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3A1B" w14:textId="77777777" w:rsidR="002F0A73" w:rsidRDefault="002F0A73" w:rsidP="002C290C">
      <w:pPr>
        <w:spacing w:after="0" w:line="240" w:lineRule="auto"/>
        <w:rPr>
          <w:rFonts w:ascii="Verdana" w:eastAsia="Geomanist Light" w:hAnsi="Verdana" w:cs="Arial"/>
          <w:lang w:val="es-MX"/>
        </w:rPr>
      </w:pPr>
    </w:p>
    <w:p w14:paraId="5934F37D" w14:textId="554B4523" w:rsidR="002F0A73" w:rsidRPr="002F0A73" w:rsidRDefault="002F0A73" w:rsidP="002F0A73">
      <w:pPr>
        <w:spacing w:after="0" w:line="240" w:lineRule="auto"/>
        <w:jc w:val="both"/>
        <w:rPr>
          <w:rFonts w:ascii="Verdana" w:eastAsia="Geomanist Light" w:hAnsi="Verdana" w:cs="Arial"/>
          <w:b/>
          <w:lang w:val="es-ES"/>
        </w:rPr>
      </w:pPr>
      <w:r w:rsidRPr="002F0A73">
        <w:rPr>
          <w:rFonts w:ascii="Verdana" w:eastAsia="Geomanist Light" w:hAnsi="Verdana" w:cs="Arial"/>
          <w:b/>
          <w:lang w:val="es-MX"/>
        </w:rPr>
        <w:t xml:space="preserve">PLIEGO DE CONDICIONES – Contenido </w:t>
      </w:r>
    </w:p>
    <w:p w14:paraId="5F6DF38D" w14:textId="77777777" w:rsidR="002F0A73" w:rsidRPr="002F0A73" w:rsidRDefault="002F0A73" w:rsidP="002F0A73">
      <w:pPr>
        <w:spacing w:after="0" w:line="240" w:lineRule="auto"/>
        <w:jc w:val="both"/>
        <w:rPr>
          <w:rFonts w:ascii="Verdana" w:eastAsia="Geomanist Light" w:hAnsi="Verdana" w:cs="Arial"/>
          <w:b/>
          <w:lang w:val="es-ES"/>
        </w:rPr>
      </w:pPr>
    </w:p>
    <w:p w14:paraId="18254CB4" w14:textId="77777777" w:rsidR="002F0A73" w:rsidRPr="002F0A73" w:rsidRDefault="002F0A73" w:rsidP="002F0A73">
      <w:pPr>
        <w:spacing w:after="0" w:line="240" w:lineRule="auto"/>
        <w:jc w:val="both"/>
        <w:rPr>
          <w:rFonts w:ascii="Verdana" w:eastAsia="Geomanist Light" w:hAnsi="Verdana" w:cs="Arial"/>
        </w:rPr>
      </w:pPr>
      <w:r w:rsidRPr="002F0A73">
        <w:rPr>
          <w:rFonts w:ascii="Verdana" w:eastAsia="Geomanist Light" w:hAnsi="Verdana" w:cs="Arial"/>
        </w:rPr>
        <w:t>De otra parte, es necesario explicar que, el pliego de condiciones es la hoja de ruta o plan sobre el cual se diseña, estructura y concreta el proceso de selección de contratistas. El mismo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p>
    <w:p w14:paraId="60DD7FD6" w14:textId="69FC5F1E" w:rsidR="002F0A73" w:rsidRDefault="002F0A73" w:rsidP="002F0A73">
      <w:pPr>
        <w:spacing w:after="0" w:line="240" w:lineRule="auto"/>
        <w:jc w:val="both"/>
        <w:rPr>
          <w:rFonts w:ascii="Verdana" w:eastAsia="Geomanist Light" w:hAnsi="Verdana" w:cs="Arial"/>
          <w:lang w:val="es-MX"/>
        </w:rPr>
      </w:pPr>
      <w:r w:rsidRPr="002F0A73">
        <w:rPr>
          <w:rFonts w:ascii="Verdana" w:eastAsia="Geomanist Light" w:hAnsi="Verdana" w:cs="Arial"/>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proofErr w:type="spellStart"/>
      <w:r w:rsidRPr="002F0A73">
        <w:rPr>
          <w:rFonts w:ascii="Verdana" w:eastAsia="Geomanist Light" w:hAnsi="Verdana" w:cs="Arial"/>
          <w:i/>
          <w:iCs/>
        </w:rPr>
        <w:t>iter</w:t>
      </w:r>
      <w:proofErr w:type="spellEnd"/>
      <w:r w:rsidRPr="002F0A73">
        <w:rPr>
          <w:rFonts w:ascii="Verdana" w:eastAsia="Geomanist Light" w:hAnsi="Verdana" w:cs="Arial"/>
        </w:rPr>
        <w:t xml:space="preserve"> contractual.</w:t>
      </w:r>
    </w:p>
    <w:p w14:paraId="7CA8C8C9" w14:textId="77777777" w:rsidR="002F0A73" w:rsidRDefault="002F0A73" w:rsidP="002C290C">
      <w:pPr>
        <w:spacing w:after="0" w:line="240" w:lineRule="auto"/>
        <w:rPr>
          <w:rFonts w:ascii="Verdana" w:eastAsia="Geomanist Light" w:hAnsi="Verdana" w:cs="Arial"/>
          <w:lang w:val="es-MX"/>
        </w:rPr>
      </w:pPr>
    </w:p>
    <w:p w14:paraId="2A15E74D" w14:textId="77777777" w:rsidR="002F0A73" w:rsidRPr="002F0A73" w:rsidRDefault="002F0A73" w:rsidP="002F0A73">
      <w:pPr>
        <w:spacing w:after="0" w:line="240" w:lineRule="auto"/>
        <w:jc w:val="both"/>
        <w:rPr>
          <w:rFonts w:ascii="Verdana" w:eastAsia="Geomanist Light" w:hAnsi="Verdana" w:cs="Arial"/>
          <w:b/>
          <w:bCs/>
          <w:lang w:val="es-MX"/>
        </w:rPr>
      </w:pPr>
      <w:r w:rsidRPr="002F0A73">
        <w:rPr>
          <w:rFonts w:ascii="Verdana" w:eastAsia="Geomanist Light" w:hAnsi="Verdana" w:cs="Arial"/>
          <w:b/>
          <w:lang w:val="es-MX"/>
        </w:rPr>
        <w:t xml:space="preserve">COMITÉ EVALUADOR – Órgano asesor – </w:t>
      </w:r>
      <w:r w:rsidRPr="002F0A73">
        <w:rPr>
          <w:rFonts w:ascii="Verdana" w:eastAsia="Geomanist Light" w:hAnsi="Verdana" w:cs="Arial"/>
          <w:b/>
          <w:bCs/>
          <w:lang w:val="es-MX"/>
        </w:rPr>
        <w:t xml:space="preserve">Actividad reglada </w:t>
      </w:r>
    </w:p>
    <w:p w14:paraId="25573E41" w14:textId="77777777" w:rsidR="002F0A73" w:rsidRPr="002F0A73" w:rsidRDefault="002F0A73" w:rsidP="002F0A73">
      <w:pPr>
        <w:spacing w:after="0" w:line="240" w:lineRule="auto"/>
        <w:jc w:val="both"/>
        <w:rPr>
          <w:rFonts w:ascii="Verdana" w:eastAsia="Geomanist Light" w:hAnsi="Verdana" w:cs="Arial"/>
          <w:b/>
          <w:lang w:val="es-MX"/>
        </w:rPr>
      </w:pPr>
    </w:p>
    <w:p w14:paraId="1EFC0FD1" w14:textId="046F7990" w:rsidR="002F0A73" w:rsidRDefault="002F0A73" w:rsidP="002F0A73">
      <w:pPr>
        <w:spacing w:after="0" w:line="240" w:lineRule="auto"/>
        <w:jc w:val="both"/>
        <w:rPr>
          <w:rFonts w:ascii="Verdana" w:eastAsia="Geomanist Light" w:hAnsi="Verdana" w:cs="Arial"/>
          <w:bCs/>
          <w:lang w:val="es-ES"/>
        </w:rPr>
      </w:pPr>
      <w:r w:rsidRPr="002F0A73">
        <w:rPr>
          <w:rFonts w:ascii="Verdana" w:eastAsia="Geomanist Light" w:hAnsi="Verdana" w:cs="Arial"/>
          <w:bCs/>
          <w:lang w:val="es-ES"/>
        </w:rPr>
        <w:t xml:space="preserve">El comité evaluador designado tiene el deber de evaluar las ofertas con sujeción estricta a los parámetros señalados en el pliego de condiciones y no puede basarse en criterios caprichosos o subjetivos. De ahí que se afirme que </w:t>
      </w:r>
      <w:r>
        <w:rPr>
          <w:rFonts w:ascii="Verdana" w:eastAsia="Geomanist Light" w:hAnsi="Verdana" w:cs="Arial"/>
          <w:bCs/>
          <w:lang w:val="es-ES"/>
        </w:rPr>
        <w:t>“l</w:t>
      </w:r>
      <w:r w:rsidRPr="002F0A73">
        <w:rPr>
          <w:rFonts w:ascii="Verdana" w:eastAsia="Geomanist Light" w:hAnsi="Verdana" w:cs="Arial"/>
          <w:bCs/>
          <w:lang w:val="es-ES"/>
        </w:rPr>
        <w:t>a actividad de evaluación es actuación reglada en la cual las recomendaciones del comité deben basarse en los criterios o parámetros previamente definidos por la administración como las bases de la licitación. Por consiguiente, el informe de evaluación de las ofertas debe ser motivado con el fin de garantizar el principio de transparencia y de publicidad de la actividad precontractual, como así lo establece el artículo 24 numeral 7 de la ley 80 de 1993</w:t>
      </w:r>
      <w:r>
        <w:rPr>
          <w:rFonts w:ascii="Verdana" w:eastAsia="Geomanist Light" w:hAnsi="Verdana" w:cs="Arial"/>
          <w:bCs/>
          <w:lang w:val="es-ES"/>
        </w:rPr>
        <w:t>”</w:t>
      </w:r>
      <w:r w:rsidRPr="002F0A73">
        <w:rPr>
          <w:rFonts w:ascii="Verdana" w:eastAsia="Geomanist Light" w:hAnsi="Verdana" w:cs="Arial"/>
          <w:bCs/>
          <w:lang w:val="es-ES"/>
        </w:rPr>
        <w:t xml:space="preserve">. Por tanto, esta actividad reglada de la evaluación se encuentra íntimamente ligada con el deber de motivación del informe de evaluación, toda vez que el comité evaluador deberá sustentar la calificación de las ofertas con base en las reglas fijadas en el pliego de condiciones, lo que supone, como mínimo, el análisis de estos en relación con la propuesta presentada. </w:t>
      </w:r>
    </w:p>
    <w:p w14:paraId="19F5DAB9" w14:textId="77777777" w:rsidR="002F0A73" w:rsidRDefault="002F0A73" w:rsidP="002F0A73">
      <w:pPr>
        <w:spacing w:after="0" w:line="240" w:lineRule="auto"/>
        <w:jc w:val="both"/>
        <w:rPr>
          <w:rFonts w:ascii="Verdana" w:eastAsia="Geomanist Light" w:hAnsi="Verdana" w:cs="Arial"/>
          <w:bCs/>
          <w:lang w:val="es-ES"/>
        </w:rPr>
      </w:pPr>
    </w:p>
    <w:p w14:paraId="2D34E4F3" w14:textId="77777777" w:rsidR="001C2661" w:rsidRPr="001C2661" w:rsidRDefault="001C2661" w:rsidP="001C2661">
      <w:pPr>
        <w:spacing w:after="0" w:line="240" w:lineRule="auto"/>
        <w:jc w:val="both"/>
        <w:rPr>
          <w:rFonts w:ascii="Verdana" w:eastAsia="Geomanist Light" w:hAnsi="Verdana" w:cs="Arial"/>
          <w:b/>
          <w:bCs/>
        </w:rPr>
      </w:pPr>
      <w:r w:rsidRPr="001C2661">
        <w:rPr>
          <w:rFonts w:ascii="Verdana" w:eastAsia="Geomanist Light" w:hAnsi="Verdana" w:cs="Arial"/>
          <w:b/>
          <w:bCs/>
        </w:rPr>
        <w:t xml:space="preserve">ENTIDADES SIN ÁNIMO DE LUCRO – Naturaleza jurídica – Capacidad para contratar </w:t>
      </w:r>
    </w:p>
    <w:p w14:paraId="614016EA" w14:textId="77777777" w:rsidR="001C2661" w:rsidRPr="001C2661" w:rsidRDefault="001C2661" w:rsidP="001C2661">
      <w:pPr>
        <w:spacing w:after="0" w:line="240" w:lineRule="auto"/>
        <w:jc w:val="both"/>
        <w:rPr>
          <w:rFonts w:ascii="Verdana" w:eastAsia="Geomanist Light" w:hAnsi="Verdana" w:cs="Arial"/>
          <w:b/>
          <w:bCs/>
        </w:rPr>
      </w:pPr>
    </w:p>
    <w:p w14:paraId="72BC0AA3" w14:textId="77777777" w:rsidR="001C2661" w:rsidRPr="001C2661" w:rsidRDefault="001C2661" w:rsidP="001C2661">
      <w:pPr>
        <w:spacing w:after="0" w:line="240" w:lineRule="auto"/>
        <w:jc w:val="both"/>
        <w:rPr>
          <w:rFonts w:ascii="Verdana" w:eastAsia="Geomanist Light" w:hAnsi="Verdana" w:cs="Arial"/>
          <w:bCs/>
        </w:rPr>
      </w:pPr>
      <w:r w:rsidRPr="001C2661">
        <w:rPr>
          <w:rFonts w:ascii="Verdana" w:eastAsia="Geomanist Light" w:hAnsi="Verdana" w:cs="Arial"/>
          <w:bCs/>
        </w:rPr>
        <w:t xml:space="preserve">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w:t>
      </w:r>
      <w:r w:rsidRPr="001C2661">
        <w:rPr>
          <w:rFonts w:ascii="Verdana" w:eastAsia="Geomanist Light" w:hAnsi="Verdana" w:cs="Arial"/>
          <w:bCs/>
        </w:rPr>
        <w:lastRenderedPageBreak/>
        <w:t>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lo que explica su nombre, y la diferencia fundamental con las sociedades comerciales.</w:t>
      </w:r>
    </w:p>
    <w:p w14:paraId="32F1042E" w14:textId="77777777" w:rsidR="001C2661" w:rsidRPr="001C2661" w:rsidRDefault="001C2661" w:rsidP="001C2661">
      <w:pPr>
        <w:spacing w:after="0" w:line="240" w:lineRule="auto"/>
        <w:jc w:val="both"/>
        <w:rPr>
          <w:rFonts w:ascii="Verdana" w:eastAsia="Geomanist Light" w:hAnsi="Verdana" w:cs="Arial"/>
          <w:bCs/>
        </w:rPr>
      </w:pPr>
      <w:r w:rsidRPr="001C2661">
        <w:rPr>
          <w:rFonts w:ascii="Verdana" w:eastAsia="Geomanist Light" w:hAnsi="Verdana" w:cs="Arial"/>
          <w:bCs/>
        </w:rPr>
        <w:t>[…]</w:t>
      </w:r>
    </w:p>
    <w:p w14:paraId="633A2104" w14:textId="77777777" w:rsidR="001C2661" w:rsidRPr="001C2661" w:rsidRDefault="001C2661" w:rsidP="001C2661">
      <w:pPr>
        <w:spacing w:after="0" w:line="240" w:lineRule="auto"/>
        <w:jc w:val="both"/>
        <w:rPr>
          <w:rFonts w:ascii="Verdana" w:eastAsia="Geomanist Light" w:hAnsi="Verdana" w:cs="Arial"/>
          <w:bCs/>
        </w:rPr>
      </w:pPr>
      <w:r w:rsidRPr="001C2661">
        <w:rPr>
          <w:rFonts w:ascii="Verdana" w:eastAsia="Geomanist Light" w:hAnsi="Verdana" w:cs="Arial"/>
          <w:bCs/>
        </w:rPr>
        <w:t>[…]es claro que las ESAL tienen capacidad para contratar bajo las reglas del Estatuto General de Contratación de la Administración Pública al ser personas jurídicas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de Contratación. En ese orden, las ESAL no sólo pueden contratar bajo las reglas establecidas en el Decreto 092 de 2017, sino que pueden intervenir en procesos de selección regidos por las reglas del Estatuto General de Contratación de la Administración Pública, caso en el cual participarán con las mismas reglas aplicables a los demás oferentes.</w:t>
      </w:r>
    </w:p>
    <w:p w14:paraId="0FC2549E" w14:textId="77777777" w:rsidR="001C2661" w:rsidRDefault="001C2661" w:rsidP="002F0A73">
      <w:pPr>
        <w:spacing w:after="0" w:line="240" w:lineRule="auto"/>
        <w:jc w:val="both"/>
        <w:rPr>
          <w:rFonts w:ascii="Verdana" w:eastAsia="Geomanist Light" w:hAnsi="Verdana" w:cs="Arial"/>
          <w:bCs/>
          <w:lang w:val="es-ES"/>
        </w:rPr>
      </w:pPr>
    </w:p>
    <w:p w14:paraId="068FE671" w14:textId="77777777" w:rsidR="002F0A73" w:rsidRPr="002F0A73" w:rsidRDefault="002F0A73" w:rsidP="002F0A73">
      <w:pPr>
        <w:spacing w:after="0" w:line="240" w:lineRule="auto"/>
        <w:jc w:val="both"/>
        <w:rPr>
          <w:rFonts w:ascii="Verdana" w:eastAsia="Geomanist Light" w:hAnsi="Verdana" w:cs="Arial"/>
          <w:bCs/>
          <w:lang w:val="es-ES"/>
        </w:rPr>
      </w:pPr>
    </w:p>
    <w:p w14:paraId="15A8FA52" w14:textId="77777777" w:rsidR="002F0A73" w:rsidRDefault="002F0A73" w:rsidP="002C290C">
      <w:pPr>
        <w:spacing w:after="0" w:line="240" w:lineRule="auto"/>
        <w:rPr>
          <w:rFonts w:ascii="Verdana" w:eastAsia="Geomanist Light" w:hAnsi="Verdana" w:cs="Arial"/>
          <w:lang w:val="es-MX"/>
        </w:rPr>
      </w:pPr>
    </w:p>
    <w:p w14:paraId="71C62C10" w14:textId="77777777" w:rsidR="002F0A73" w:rsidRDefault="002F0A73" w:rsidP="002C290C">
      <w:pPr>
        <w:spacing w:after="0" w:line="240" w:lineRule="auto"/>
        <w:rPr>
          <w:rFonts w:ascii="Verdana" w:eastAsia="Geomanist Light" w:hAnsi="Verdana" w:cs="Arial"/>
          <w:lang w:val="es-MX"/>
        </w:rPr>
      </w:pPr>
    </w:p>
    <w:p w14:paraId="2B93F69B" w14:textId="77777777" w:rsidR="002F0A73" w:rsidRDefault="002F0A73" w:rsidP="002C290C">
      <w:pPr>
        <w:spacing w:after="0" w:line="240" w:lineRule="auto"/>
        <w:rPr>
          <w:rFonts w:ascii="Verdana" w:eastAsia="Geomanist Light" w:hAnsi="Verdana" w:cs="Arial"/>
          <w:lang w:val="es-MX"/>
        </w:rPr>
      </w:pPr>
    </w:p>
    <w:p w14:paraId="4B5E021D" w14:textId="77777777" w:rsidR="002F0A73" w:rsidRDefault="002F0A73" w:rsidP="002C290C">
      <w:pPr>
        <w:spacing w:after="0" w:line="240" w:lineRule="auto"/>
        <w:rPr>
          <w:rFonts w:ascii="Verdana" w:eastAsia="Geomanist Light" w:hAnsi="Verdana" w:cs="Arial"/>
          <w:lang w:val="es-MX"/>
        </w:rPr>
      </w:pPr>
    </w:p>
    <w:p w14:paraId="0E63A3D2" w14:textId="77777777" w:rsidR="002F0A73" w:rsidRDefault="002F0A73" w:rsidP="002C290C">
      <w:pPr>
        <w:spacing w:after="0" w:line="240" w:lineRule="auto"/>
        <w:rPr>
          <w:rFonts w:ascii="Verdana" w:eastAsia="Geomanist Light" w:hAnsi="Verdana" w:cs="Arial"/>
          <w:lang w:val="es-MX"/>
        </w:rPr>
      </w:pPr>
    </w:p>
    <w:p w14:paraId="01240B23" w14:textId="77777777" w:rsidR="002F0A73" w:rsidRDefault="002F0A73" w:rsidP="002C290C">
      <w:pPr>
        <w:spacing w:after="0" w:line="240" w:lineRule="auto"/>
        <w:rPr>
          <w:rFonts w:ascii="Verdana" w:eastAsia="Geomanist Light" w:hAnsi="Verdana" w:cs="Arial"/>
          <w:lang w:val="es-MX"/>
        </w:rPr>
      </w:pPr>
    </w:p>
    <w:p w14:paraId="521BA906" w14:textId="77777777" w:rsidR="002F0A73" w:rsidRDefault="002F0A73" w:rsidP="002C290C">
      <w:pPr>
        <w:spacing w:after="0" w:line="240" w:lineRule="auto"/>
        <w:rPr>
          <w:rFonts w:ascii="Verdana" w:eastAsia="Geomanist Light" w:hAnsi="Verdana" w:cs="Arial"/>
          <w:lang w:val="es-MX"/>
        </w:rPr>
      </w:pPr>
    </w:p>
    <w:p w14:paraId="74B29ADB" w14:textId="77777777" w:rsidR="002F0A73" w:rsidRDefault="002F0A73" w:rsidP="002C290C">
      <w:pPr>
        <w:spacing w:after="0" w:line="240" w:lineRule="auto"/>
        <w:rPr>
          <w:rFonts w:ascii="Verdana" w:eastAsia="Geomanist Light" w:hAnsi="Verdana" w:cs="Arial"/>
          <w:lang w:val="es-MX"/>
        </w:rPr>
      </w:pPr>
    </w:p>
    <w:p w14:paraId="27BF58AA" w14:textId="77777777" w:rsidR="002F0A73" w:rsidRDefault="002F0A73" w:rsidP="002C290C">
      <w:pPr>
        <w:spacing w:after="0" w:line="240" w:lineRule="auto"/>
        <w:rPr>
          <w:rFonts w:ascii="Verdana" w:eastAsia="Geomanist Light" w:hAnsi="Verdana" w:cs="Arial"/>
          <w:lang w:val="es-MX"/>
        </w:rPr>
      </w:pPr>
    </w:p>
    <w:p w14:paraId="4515691E" w14:textId="77777777" w:rsidR="002F0A73" w:rsidRDefault="002F0A73" w:rsidP="002C290C">
      <w:pPr>
        <w:spacing w:after="0" w:line="240" w:lineRule="auto"/>
        <w:rPr>
          <w:rFonts w:ascii="Verdana" w:eastAsia="Geomanist Light" w:hAnsi="Verdana" w:cs="Arial"/>
          <w:lang w:val="es-MX"/>
        </w:rPr>
      </w:pPr>
    </w:p>
    <w:p w14:paraId="65DD98B6" w14:textId="77777777" w:rsidR="002F0A73" w:rsidRDefault="002F0A73" w:rsidP="002C290C">
      <w:pPr>
        <w:spacing w:after="0" w:line="240" w:lineRule="auto"/>
        <w:rPr>
          <w:rFonts w:ascii="Verdana" w:eastAsia="Geomanist Light" w:hAnsi="Verdana" w:cs="Arial"/>
          <w:lang w:val="es-MX"/>
        </w:rPr>
      </w:pPr>
    </w:p>
    <w:p w14:paraId="6C1CC672" w14:textId="77777777" w:rsidR="002F0A73" w:rsidRDefault="002F0A73" w:rsidP="002C290C">
      <w:pPr>
        <w:spacing w:after="0" w:line="240" w:lineRule="auto"/>
        <w:rPr>
          <w:rFonts w:ascii="Verdana" w:eastAsia="Geomanist Light" w:hAnsi="Verdana" w:cs="Arial"/>
          <w:lang w:val="es-MX"/>
        </w:rPr>
      </w:pPr>
    </w:p>
    <w:p w14:paraId="454C34D3" w14:textId="77777777" w:rsidR="002F0A73" w:rsidRDefault="002F0A73" w:rsidP="002C290C">
      <w:pPr>
        <w:spacing w:after="0" w:line="240" w:lineRule="auto"/>
        <w:rPr>
          <w:rFonts w:ascii="Verdana" w:eastAsia="Geomanist Light" w:hAnsi="Verdana" w:cs="Arial"/>
          <w:lang w:val="es-MX"/>
        </w:rPr>
      </w:pPr>
    </w:p>
    <w:p w14:paraId="0B8C7CBC" w14:textId="77777777" w:rsidR="002F0A73" w:rsidRDefault="002F0A73" w:rsidP="002C290C">
      <w:pPr>
        <w:spacing w:after="0" w:line="240" w:lineRule="auto"/>
        <w:rPr>
          <w:rFonts w:ascii="Verdana" w:eastAsia="Geomanist Light" w:hAnsi="Verdana" w:cs="Arial"/>
          <w:lang w:val="es-MX"/>
        </w:rPr>
      </w:pPr>
    </w:p>
    <w:p w14:paraId="556D0E51" w14:textId="77777777" w:rsidR="002F0A73" w:rsidRDefault="002F0A73" w:rsidP="002C290C">
      <w:pPr>
        <w:spacing w:after="0" w:line="240" w:lineRule="auto"/>
        <w:rPr>
          <w:rFonts w:ascii="Verdana" w:eastAsia="Geomanist Light" w:hAnsi="Verdana" w:cs="Arial"/>
          <w:lang w:val="es-MX"/>
        </w:rPr>
      </w:pPr>
    </w:p>
    <w:p w14:paraId="34BC9AB0" w14:textId="77777777" w:rsidR="002F0A73" w:rsidRDefault="002F0A73" w:rsidP="002C290C">
      <w:pPr>
        <w:spacing w:after="0" w:line="240" w:lineRule="auto"/>
        <w:rPr>
          <w:rFonts w:ascii="Verdana" w:eastAsia="Geomanist Light" w:hAnsi="Verdana" w:cs="Arial"/>
          <w:lang w:val="es-MX"/>
        </w:rPr>
      </w:pPr>
    </w:p>
    <w:p w14:paraId="57DAD520" w14:textId="77777777" w:rsidR="002F0A73" w:rsidRDefault="002F0A73" w:rsidP="002C290C">
      <w:pPr>
        <w:spacing w:after="0" w:line="240" w:lineRule="auto"/>
        <w:rPr>
          <w:rFonts w:ascii="Verdana" w:eastAsia="Geomanist Light" w:hAnsi="Verdana" w:cs="Arial"/>
          <w:lang w:val="es-MX"/>
        </w:rPr>
      </w:pPr>
    </w:p>
    <w:p w14:paraId="06EF1430" w14:textId="77777777" w:rsidR="002F0A73" w:rsidRDefault="002F0A73" w:rsidP="002C290C">
      <w:pPr>
        <w:spacing w:after="0" w:line="240" w:lineRule="auto"/>
        <w:rPr>
          <w:rFonts w:ascii="Verdana" w:eastAsia="Geomanist Light" w:hAnsi="Verdana" w:cs="Arial"/>
          <w:lang w:val="es-MX"/>
        </w:rPr>
      </w:pPr>
    </w:p>
    <w:p w14:paraId="43A5A2BA" w14:textId="77777777" w:rsidR="002F0A73" w:rsidRDefault="002F0A73" w:rsidP="002C290C">
      <w:pPr>
        <w:spacing w:after="0" w:line="240" w:lineRule="auto"/>
        <w:rPr>
          <w:rFonts w:ascii="Verdana" w:eastAsia="Geomanist Light" w:hAnsi="Verdana" w:cs="Arial"/>
          <w:lang w:val="es-MX"/>
        </w:rPr>
      </w:pPr>
    </w:p>
    <w:p w14:paraId="46CEF2AE" w14:textId="77777777" w:rsidR="002F0A73" w:rsidRDefault="002F0A73" w:rsidP="002C290C">
      <w:pPr>
        <w:spacing w:after="0" w:line="240" w:lineRule="auto"/>
        <w:rPr>
          <w:rFonts w:ascii="Verdana" w:eastAsia="Geomanist Light" w:hAnsi="Verdana" w:cs="Arial"/>
          <w:lang w:val="es-MX"/>
        </w:rPr>
      </w:pPr>
    </w:p>
    <w:p w14:paraId="311641E9" w14:textId="77777777" w:rsidR="002F0A73" w:rsidRDefault="002F0A73" w:rsidP="002C290C">
      <w:pPr>
        <w:spacing w:after="0" w:line="240" w:lineRule="auto"/>
        <w:rPr>
          <w:rFonts w:ascii="Verdana" w:eastAsia="Geomanist Light" w:hAnsi="Verdana" w:cs="Arial"/>
          <w:lang w:val="es-MX"/>
        </w:rPr>
      </w:pPr>
    </w:p>
    <w:p w14:paraId="07220517" w14:textId="77777777" w:rsidR="002F0A73" w:rsidRDefault="002F0A73" w:rsidP="002C290C">
      <w:pPr>
        <w:spacing w:after="0" w:line="240" w:lineRule="auto"/>
        <w:rPr>
          <w:rFonts w:ascii="Verdana" w:eastAsia="Geomanist Light" w:hAnsi="Verdana" w:cs="Arial"/>
          <w:lang w:val="es-MX"/>
        </w:rPr>
      </w:pPr>
    </w:p>
    <w:p w14:paraId="6BE533C2" w14:textId="77777777" w:rsidR="002F0A73" w:rsidRDefault="002F0A73" w:rsidP="002C290C">
      <w:pPr>
        <w:spacing w:after="0" w:line="240" w:lineRule="auto"/>
        <w:rPr>
          <w:rFonts w:ascii="Verdana" w:eastAsia="Geomanist Light" w:hAnsi="Verdana" w:cs="Arial"/>
          <w:lang w:val="es-MX"/>
        </w:rPr>
      </w:pPr>
    </w:p>
    <w:p w14:paraId="283A21F1" w14:textId="77777777" w:rsidR="002F0A73" w:rsidRDefault="002F0A73" w:rsidP="002C290C">
      <w:pPr>
        <w:spacing w:after="0" w:line="240" w:lineRule="auto"/>
        <w:rPr>
          <w:rFonts w:ascii="Verdana" w:eastAsia="Geomanist Light" w:hAnsi="Verdana" w:cs="Arial"/>
          <w:lang w:val="es-MX"/>
        </w:rPr>
      </w:pPr>
    </w:p>
    <w:p w14:paraId="10393C17" w14:textId="31264F8A" w:rsidR="002C290C" w:rsidRPr="009322DA" w:rsidRDefault="002C290C" w:rsidP="002C290C">
      <w:pPr>
        <w:spacing w:after="0" w:line="240" w:lineRule="auto"/>
        <w:rPr>
          <w:rFonts w:ascii="Verdana" w:eastAsia="Geomanist Light" w:hAnsi="Verdana" w:cs="Arial"/>
          <w:lang w:val="es-MX"/>
        </w:rPr>
      </w:pPr>
      <w:r w:rsidRPr="009322DA">
        <w:rPr>
          <w:rFonts w:ascii="Verdana" w:eastAsia="Geomanist Light" w:hAnsi="Verdana" w:cs="Arial"/>
          <w:lang w:val="es-MX"/>
        </w:rPr>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7EC30B3A" w14:textId="19BF6595" w:rsidR="002C290C" w:rsidRPr="009322DA" w:rsidRDefault="002C290C" w:rsidP="002C290C">
      <w:pPr>
        <w:spacing w:after="0" w:line="240" w:lineRule="auto"/>
        <w:jc w:val="both"/>
        <w:rPr>
          <w:rFonts w:ascii="Verdana" w:eastAsia="Calibri" w:hAnsi="Verdana" w:cs="Arial"/>
          <w:lang w:val="es-ES"/>
        </w:rPr>
      </w:pPr>
    </w:p>
    <w:p w14:paraId="1B92BE36" w14:textId="5EA8BF7F" w:rsidR="002C290C" w:rsidRPr="009322DA" w:rsidRDefault="001C2661" w:rsidP="002C290C">
      <w:pPr>
        <w:spacing w:after="0" w:line="240" w:lineRule="auto"/>
        <w:rPr>
          <w:rFonts w:ascii="Verdana" w:eastAsia="Calibri" w:hAnsi="Verdana" w:cs="Arial"/>
          <w:lang w:val="es-MX" w:eastAsia="es-ES"/>
        </w:rPr>
      </w:pPr>
      <w:r w:rsidRPr="001C2661">
        <w:rPr>
          <w:rFonts w:ascii="Verdana" w:eastAsia="Calibri" w:hAnsi="Verdana" w:cs="Arial"/>
          <w:noProof/>
          <w:lang w:val="es-MX" w:eastAsia="es-ES"/>
        </w:rPr>
        <w:drawing>
          <wp:anchor distT="0" distB="0" distL="114300" distR="114300" simplePos="0" relativeHeight="251658240" behindDoc="1" locked="0" layoutInCell="1" allowOverlap="1" wp14:anchorId="387DE827" wp14:editId="663479B3">
            <wp:simplePos x="0" y="0"/>
            <wp:positionH relativeFrom="column">
              <wp:posOffset>2867025</wp:posOffset>
            </wp:positionH>
            <wp:positionV relativeFrom="paragraph">
              <wp:posOffset>6985</wp:posOffset>
            </wp:positionV>
            <wp:extent cx="3658111" cy="1028844"/>
            <wp:effectExtent l="0" t="0" r="0" b="0"/>
            <wp:wrapTight wrapText="bothSides">
              <wp:wrapPolygon edited="0">
                <wp:start x="0" y="0"/>
                <wp:lineTo x="0" y="21200"/>
                <wp:lineTo x="21488" y="21200"/>
                <wp:lineTo x="21488" y="0"/>
                <wp:lineTo x="0" y="0"/>
              </wp:wrapPolygon>
            </wp:wrapTight>
            <wp:docPr id="13831227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22763" name=""/>
                    <pic:cNvPicPr/>
                  </pic:nvPicPr>
                  <pic:blipFill>
                    <a:blip r:embed="rId11">
                      <a:extLst>
                        <a:ext uri="{28A0092B-C50C-407E-A947-70E740481C1C}">
                          <a14:useLocalDpi xmlns:a14="http://schemas.microsoft.com/office/drawing/2010/main" val="0"/>
                        </a:ext>
                      </a:extLst>
                    </a:blip>
                    <a:stretch>
                      <a:fillRect/>
                    </a:stretch>
                  </pic:blipFill>
                  <pic:spPr>
                    <a:xfrm>
                      <a:off x="0" y="0"/>
                      <a:ext cx="3658111" cy="1028844"/>
                    </a:xfrm>
                    <a:prstGeom prst="rect">
                      <a:avLst/>
                    </a:prstGeom>
                  </pic:spPr>
                </pic:pic>
              </a:graphicData>
            </a:graphic>
          </wp:anchor>
        </w:drawing>
      </w:r>
    </w:p>
    <w:p w14:paraId="6797E71F" w14:textId="77777777" w:rsidR="002C290C" w:rsidRDefault="002C290C" w:rsidP="002C290C">
      <w:pPr>
        <w:spacing w:after="0" w:line="240" w:lineRule="auto"/>
        <w:rPr>
          <w:rFonts w:ascii="Verdana" w:eastAsia="Calibri" w:hAnsi="Verdana" w:cs="Arial"/>
          <w:lang w:val="es-MX" w:eastAsia="es-ES"/>
        </w:rPr>
      </w:pPr>
    </w:p>
    <w:p w14:paraId="478C84D4" w14:textId="77777777" w:rsidR="001C2661" w:rsidRDefault="001C2661" w:rsidP="002C290C">
      <w:pPr>
        <w:spacing w:after="0" w:line="240" w:lineRule="auto"/>
        <w:rPr>
          <w:rFonts w:ascii="Verdana" w:eastAsia="Calibri" w:hAnsi="Verdana" w:cs="Arial"/>
          <w:lang w:val="es-MX" w:eastAsia="es-ES"/>
        </w:rPr>
      </w:pPr>
    </w:p>
    <w:p w14:paraId="00960D9F" w14:textId="77777777" w:rsidR="001C2661" w:rsidRDefault="001C2661" w:rsidP="002C290C">
      <w:pPr>
        <w:spacing w:after="0" w:line="240" w:lineRule="auto"/>
        <w:rPr>
          <w:rFonts w:ascii="Verdana" w:eastAsia="Calibri" w:hAnsi="Verdana" w:cs="Arial"/>
          <w:lang w:val="es-MX" w:eastAsia="es-ES"/>
        </w:rPr>
      </w:pPr>
    </w:p>
    <w:p w14:paraId="22FA6D0B" w14:textId="77777777" w:rsidR="001C2661" w:rsidRDefault="001C2661" w:rsidP="002C290C">
      <w:pPr>
        <w:spacing w:after="0" w:line="240" w:lineRule="auto"/>
        <w:rPr>
          <w:rFonts w:ascii="Verdana" w:eastAsia="Calibri" w:hAnsi="Verdana" w:cs="Arial"/>
          <w:lang w:val="es-MX" w:eastAsia="es-ES"/>
        </w:rPr>
      </w:pPr>
    </w:p>
    <w:p w14:paraId="498A715E" w14:textId="062DB80D" w:rsidR="002C290C" w:rsidRPr="009322DA" w:rsidRDefault="002C290C" w:rsidP="002C290C">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r>
        <w:rPr>
          <w:rFonts w:ascii="Verdana" w:eastAsia="Calibri" w:hAnsi="Verdana" w:cs="Arial"/>
          <w:lang w:val="es-MX" w:eastAsia="es-ES"/>
        </w:rPr>
        <w:t>a</w:t>
      </w:r>
    </w:p>
    <w:p w14:paraId="5F2C0C92" w14:textId="77777777" w:rsidR="002C290C" w:rsidRPr="009322DA" w:rsidRDefault="002C290C" w:rsidP="002C290C">
      <w:pPr>
        <w:spacing w:after="0" w:line="240" w:lineRule="auto"/>
        <w:rPr>
          <w:rFonts w:ascii="Verdana" w:eastAsia="Calibri" w:hAnsi="Verdana" w:cs="Arial"/>
          <w:b/>
          <w:bCs/>
          <w:lang w:val="es-MX" w:eastAsia="es-ES"/>
        </w:rPr>
      </w:pPr>
      <w:r>
        <w:rPr>
          <w:rFonts w:ascii="Verdana" w:eastAsia="Calibri" w:hAnsi="Verdana" w:cs="Arial"/>
          <w:b/>
          <w:bCs/>
          <w:lang w:val="es-MX" w:eastAsia="es-ES"/>
        </w:rPr>
        <w:t>Wendy Johana Mondragón Parada</w:t>
      </w:r>
    </w:p>
    <w:p w14:paraId="37EB2CAF" w14:textId="77777777" w:rsidR="002C290C" w:rsidRPr="009322DA" w:rsidRDefault="006E5E1D" w:rsidP="002C290C">
      <w:pPr>
        <w:spacing w:after="0" w:line="240" w:lineRule="auto"/>
        <w:rPr>
          <w:rFonts w:ascii="Verdana" w:eastAsia="Calibri" w:hAnsi="Verdana" w:cs="Arial"/>
          <w:lang w:val="es-MX" w:eastAsia="es-ES"/>
        </w:rPr>
      </w:pPr>
      <w:hyperlink r:id="rId12" w:history="1">
        <w:r w:rsidR="002C290C" w:rsidRPr="00943ED1">
          <w:rPr>
            <w:rStyle w:val="Hipervnculo"/>
            <w:rFonts w:ascii="Verdana" w:eastAsia="Calibri" w:hAnsi="Verdana" w:cs="Arial"/>
            <w:lang w:val="es-MX" w:eastAsia="es-ES"/>
          </w:rPr>
          <w:t>adser.ong@gmail.com</w:t>
        </w:r>
      </w:hyperlink>
    </w:p>
    <w:p w14:paraId="541E01C7" w14:textId="06830986" w:rsidR="002C290C" w:rsidRPr="009322DA" w:rsidRDefault="002C290C" w:rsidP="002C290C">
      <w:pPr>
        <w:spacing w:after="0" w:line="240" w:lineRule="auto"/>
        <w:rPr>
          <w:rFonts w:ascii="Verdana" w:eastAsia="Calibri" w:hAnsi="Verdana" w:cs="Arial"/>
          <w:b/>
          <w:bCs/>
          <w:lang w:val="es-ES" w:eastAsia="es-ES"/>
        </w:rPr>
      </w:pPr>
      <w:r>
        <w:rPr>
          <w:rFonts w:ascii="Verdana" w:eastAsia="Calibri" w:hAnsi="Verdana" w:cs="Arial"/>
          <w:lang w:val="es-MX" w:eastAsia="es-ES"/>
        </w:rPr>
        <w:t>Ciudad</w:t>
      </w:r>
    </w:p>
    <w:p w14:paraId="1E36FEB8" w14:textId="77777777" w:rsidR="002C290C" w:rsidRPr="009322DA" w:rsidRDefault="002C290C" w:rsidP="002C290C">
      <w:pPr>
        <w:spacing w:after="0" w:line="240" w:lineRule="auto"/>
        <w:rPr>
          <w:rFonts w:ascii="Verdana" w:eastAsia="Calibri" w:hAnsi="Verdana" w:cs="Arial"/>
          <w:b/>
          <w:bCs/>
          <w:lang w:val="es-ES_tradnl" w:eastAsia="es-ES_tradnl"/>
        </w:rPr>
      </w:pPr>
    </w:p>
    <w:p w14:paraId="3ED6A100" w14:textId="77777777" w:rsidR="002C290C" w:rsidRPr="009322DA" w:rsidRDefault="002C290C" w:rsidP="002C290C">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C290C" w:rsidRPr="009322DA" w14:paraId="3BDA812A" w14:textId="77777777" w:rsidTr="00A570E4">
        <w:trPr>
          <w:trHeight w:val="884"/>
        </w:trPr>
        <w:tc>
          <w:tcPr>
            <w:tcW w:w="2689" w:type="dxa"/>
          </w:tcPr>
          <w:p w14:paraId="4AEB53C4" w14:textId="77777777" w:rsidR="002C290C" w:rsidRPr="009322DA" w:rsidRDefault="002C290C" w:rsidP="00A570E4">
            <w:pPr>
              <w:jc w:val="both"/>
              <w:rPr>
                <w:rFonts w:ascii="Verdana" w:hAnsi="Verdana" w:cs="Arial"/>
                <w:b/>
                <w:bCs/>
                <w:lang w:val="es-ES_tradnl" w:eastAsia="es-ES_tradnl"/>
              </w:rPr>
            </w:pPr>
          </w:p>
        </w:tc>
        <w:tc>
          <w:tcPr>
            <w:tcW w:w="6100" w:type="dxa"/>
            <w:hideMark/>
          </w:tcPr>
          <w:p w14:paraId="40F96D14" w14:textId="77777777" w:rsidR="002C290C" w:rsidRPr="009322DA" w:rsidRDefault="002C290C" w:rsidP="00A570E4">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404</w:t>
            </w:r>
            <w:r w:rsidRPr="009322DA">
              <w:rPr>
                <w:rFonts w:ascii="Verdana" w:hAnsi="Verdana" w:cs="Arial"/>
                <w:b/>
                <w:bCs/>
                <w:lang w:val="es-ES" w:eastAsia="es-ES"/>
              </w:rPr>
              <w:t xml:space="preserve"> de 2024</w:t>
            </w:r>
          </w:p>
        </w:tc>
      </w:tr>
      <w:tr w:rsidR="002C290C" w:rsidRPr="009322DA" w14:paraId="6EBD6CE8" w14:textId="77777777" w:rsidTr="00A570E4">
        <w:trPr>
          <w:trHeight w:val="884"/>
        </w:trPr>
        <w:tc>
          <w:tcPr>
            <w:tcW w:w="2689" w:type="dxa"/>
            <w:hideMark/>
          </w:tcPr>
          <w:p w14:paraId="489A0D7C" w14:textId="77777777" w:rsidR="002C290C" w:rsidRPr="009322DA" w:rsidRDefault="002C290C" w:rsidP="00A570E4">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59043718" w14:textId="17FF2E07" w:rsidR="002C290C" w:rsidRDefault="002C290C" w:rsidP="00A570E4">
            <w:pPr>
              <w:jc w:val="both"/>
              <w:rPr>
                <w:rFonts w:ascii="Verdana" w:hAnsi="Verdana" w:cs="Arial"/>
                <w:lang w:eastAsia="es-ES"/>
              </w:rPr>
            </w:pPr>
            <w:r w:rsidRPr="00246A5C">
              <w:rPr>
                <w:rFonts w:ascii="Verdana" w:eastAsia="Arial" w:hAnsi="Verdana" w:cs="Arial"/>
                <w:bCs/>
                <w:lang w:val="es-MX" w:eastAsia="es-ES"/>
              </w:rPr>
              <w:t xml:space="preserve">PLIEGO DE CONDICIONES </w:t>
            </w:r>
            <w:r>
              <w:rPr>
                <w:rFonts w:ascii="Verdana" w:eastAsia="Arial" w:hAnsi="Verdana" w:cs="Arial"/>
                <w:bCs/>
                <w:lang w:val="es-MX" w:eastAsia="es-ES"/>
              </w:rPr>
              <w:t>–</w:t>
            </w:r>
            <w:r w:rsidRPr="00246A5C">
              <w:rPr>
                <w:rFonts w:ascii="Verdana" w:eastAsia="Arial" w:hAnsi="Verdana" w:cs="Arial"/>
                <w:bCs/>
                <w:lang w:val="es-MX" w:eastAsia="es-ES"/>
              </w:rPr>
              <w:t xml:space="preserve"> Contenido</w:t>
            </w:r>
            <w:r>
              <w:rPr>
                <w:rFonts w:ascii="Verdana" w:eastAsia="Arial" w:hAnsi="Verdana" w:cs="Arial"/>
                <w:bCs/>
                <w:lang w:val="es-MX" w:eastAsia="es-ES"/>
              </w:rPr>
              <w:t xml:space="preserve"> / </w:t>
            </w:r>
            <w:r w:rsidRPr="00DD7114">
              <w:rPr>
                <w:rFonts w:ascii="Verdana" w:hAnsi="Verdana" w:cs="Arial"/>
                <w:lang w:val="es-MX" w:eastAsia="es-ES"/>
              </w:rPr>
              <w:t xml:space="preserve">COMITÉ EVALUADOR – Órgano asesor – Actividad reglada </w:t>
            </w:r>
            <w:r>
              <w:rPr>
                <w:rFonts w:ascii="Verdana" w:hAnsi="Verdana" w:cs="Arial"/>
                <w:lang w:val="es-MX" w:eastAsia="es-ES"/>
              </w:rPr>
              <w:t xml:space="preserve">/ </w:t>
            </w:r>
            <w:r w:rsidRPr="00696C9F">
              <w:rPr>
                <w:rFonts w:ascii="Verdana" w:hAnsi="Verdana" w:cs="Arial"/>
                <w:lang w:eastAsia="es-ES"/>
              </w:rPr>
              <w:t>ENTIDADES SIN ÁNIMO DE LUCRO – Naturaleza jurídica – Capacidad para contratar</w:t>
            </w:r>
          </w:p>
          <w:p w14:paraId="11C286E3" w14:textId="77777777" w:rsidR="002C290C" w:rsidRPr="00EB3000" w:rsidRDefault="002C290C" w:rsidP="00A570E4">
            <w:pPr>
              <w:jc w:val="both"/>
              <w:rPr>
                <w:rFonts w:ascii="Verdana" w:hAnsi="Verdana" w:cs="Arial"/>
                <w:lang w:val="es-ES_tradnl" w:eastAsia="es-ES"/>
              </w:rPr>
            </w:pPr>
          </w:p>
        </w:tc>
      </w:tr>
      <w:tr w:rsidR="002C290C" w:rsidRPr="009322DA" w14:paraId="7BE3841B" w14:textId="77777777" w:rsidTr="00A570E4">
        <w:tc>
          <w:tcPr>
            <w:tcW w:w="2689" w:type="dxa"/>
            <w:hideMark/>
          </w:tcPr>
          <w:p w14:paraId="7407F431" w14:textId="77777777" w:rsidR="002C290C" w:rsidRPr="009322DA" w:rsidRDefault="002C290C" w:rsidP="00A570E4">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702FFC00" w14:textId="77777777" w:rsidR="002C290C" w:rsidRPr="009322DA" w:rsidRDefault="002C290C" w:rsidP="00A570E4">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P202407</w:t>
            </w:r>
            <w:r>
              <w:rPr>
                <w:rFonts w:ascii="Verdana" w:hAnsi="Verdana"/>
                <w:lang w:eastAsia="es-ES_tradnl"/>
              </w:rPr>
              <w:t>29007739</w:t>
            </w:r>
          </w:p>
        </w:tc>
      </w:tr>
    </w:tbl>
    <w:p w14:paraId="6250069A" w14:textId="77777777" w:rsidR="002C290C" w:rsidRPr="009322DA" w:rsidRDefault="002C290C" w:rsidP="002C290C">
      <w:pPr>
        <w:spacing w:after="0" w:line="240" w:lineRule="auto"/>
        <w:jc w:val="both"/>
        <w:rPr>
          <w:rFonts w:ascii="Verdana" w:eastAsia="Calibri" w:hAnsi="Verdana" w:cs="Arial"/>
          <w:lang w:val="es-ES_tradnl" w:eastAsia="es-ES_tradnl"/>
        </w:rPr>
      </w:pPr>
    </w:p>
    <w:p w14:paraId="331A3975" w14:textId="77777777" w:rsidR="002C290C" w:rsidRPr="009322DA" w:rsidRDefault="002C290C" w:rsidP="002C290C">
      <w:pPr>
        <w:spacing w:after="0" w:line="240" w:lineRule="auto"/>
        <w:jc w:val="both"/>
        <w:rPr>
          <w:rFonts w:ascii="Verdana" w:eastAsia="Calibri" w:hAnsi="Verdana" w:cs="Arial"/>
          <w:lang w:val="es-ES_tradnl" w:eastAsia="es-ES_tradnl"/>
        </w:rPr>
      </w:pPr>
    </w:p>
    <w:p w14:paraId="101B0C7B" w14:textId="77777777" w:rsidR="002C290C" w:rsidRPr="009322DA" w:rsidRDefault="002C290C" w:rsidP="002C290C">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a</w:t>
      </w:r>
      <w:r w:rsidRPr="009322DA">
        <w:rPr>
          <w:rFonts w:ascii="Verdana" w:eastAsia="Calibri" w:hAnsi="Verdana" w:cs="Arial"/>
          <w:lang w:val="es-ES" w:eastAsia="es-ES"/>
        </w:rPr>
        <w:t xml:space="preserve"> señor</w:t>
      </w:r>
      <w:r>
        <w:rPr>
          <w:rFonts w:ascii="Verdana" w:eastAsia="Calibri" w:hAnsi="Verdana" w:cs="Arial"/>
          <w:lang w:val="es-ES" w:eastAsia="es-ES"/>
        </w:rPr>
        <w:t>a Mondragón</w:t>
      </w:r>
      <w:r w:rsidRPr="009322DA">
        <w:rPr>
          <w:rFonts w:ascii="Verdana" w:eastAsia="Calibri" w:hAnsi="Verdana" w:cs="Arial"/>
          <w:lang w:val="es-ES" w:eastAsia="es-ES"/>
        </w:rPr>
        <w:t xml:space="preserve">: </w:t>
      </w:r>
    </w:p>
    <w:p w14:paraId="78BA8F64" w14:textId="77777777" w:rsidR="002C290C" w:rsidRPr="009322DA" w:rsidRDefault="002C290C" w:rsidP="002C290C">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281BDED3" w14:textId="77777777" w:rsidR="002C290C" w:rsidRPr="009322DA" w:rsidRDefault="002C290C" w:rsidP="002C290C">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29</w:t>
      </w:r>
      <w:r w:rsidRPr="009322DA">
        <w:rPr>
          <w:rFonts w:ascii="Verdana" w:eastAsia="Calibri" w:hAnsi="Verdana" w:cs="Arial"/>
          <w:lang w:val="es-ES" w:eastAsia="es-ES"/>
        </w:rPr>
        <w:t xml:space="preserve"> de ju</w:t>
      </w:r>
      <w:r>
        <w:rPr>
          <w:rFonts w:ascii="Verdana" w:eastAsia="Calibri" w:hAnsi="Verdana" w:cs="Arial"/>
          <w:lang w:val="es-ES" w:eastAsia="es-ES"/>
        </w:rPr>
        <w:t>l</w:t>
      </w:r>
      <w:r w:rsidRPr="009322DA">
        <w:rPr>
          <w:rFonts w:ascii="Verdana" w:eastAsia="Calibri" w:hAnsi="Verdana" w:cs="Arial"/>
          <w:lang w:val="es-ES" w:eastAsia="es-ES"/>
        </w:rPr>
        <w:t xml:space="preserve">io de 2024, en la cual manifiesta lo siguiente: </w:t>
      </w:r>
    </w:p>
    <w:p w14:paraId="504002EB" w14:textId="77777777" w:rsidR="002C290C" w:rsidRPr="009322DA" w:rsidRDefault="002C290C" w:rsidP="002C290C">
      <w:pPr>
        <w:spacing w:after="0" w:line="240" w:lineRule="auto"/>
        <w:ind w:left="709" w:right="709"/>
        <w:jc w:val="both"/>
        <w:rPr>
          <w:rFonts w:ascii="Verdana" w:eastAsia="Century Gothic" w:hAnsi="Verdana" w:cs="Century Gothic"/>
          <w:sz w:val="20"/>
          <w:szCs w:val="20"/>
          <w:lang w:val="es-ES"/>
        </w:rPr>
      </w:pPr>
      <w:bookmarkStart w:id="0" w:name="_Hlk95313578"/>
    </w:p>
    <w:p w14:paraId="42BCC90A" w14:textId="77777777" w:rsidR="002C290C" w:rsidRDefault="002C290C" w:rsidP="002C290C">
      <w:pPr>
        <w:spacing w:line="240" w:lineRule="auto"/>
        <w:ind w:left="709" w:right="709"/>
        <w:jc w:val="both"/>
        <w:rPr>
          <w:rFonts w:ascii="Verdana" w:eastAsia="Calibri" w:hAnsi="Verdana" w:cs="Arial"/>
          <w:i/>
          <w:iCs/>
          <w:sz w:val="20"/>
          <w:szCs w:val="20"/>
          <w:shd w:val="clear" w:color="auto" w:fill="FFFFFF"/>
        </w:rPr>
      </w:pPr>
      <w:r w:rsidRPr="009322DA">
        <w:rPr>
          <w:rFonts w:ascii="Verdana" w:eastAsia="Century Gothic" w:hAnsi="Verdana" w:cs="Century Gothic"/>
          <w:sz w:val="20"/>
          <w:szCs w:val="20"/>
          <w:lang w:val="es-ES"/>
        </w:rPr>
        <w:t>“</w:t>
      </w:r>
      <w:r>
        <w:rPr>
          <w:rFonts w:ascii="Verdana" w:eastAsia="Century Gothic" w:hAnsi="Verdana" w:cs="Century Gothic"/>
          <w:sz w:val="20"/>
          <w:szCs w:val="20"/>
          <w:lang w:val="es-ES"/>
        </w:rPr>
        <w:t xml:space="preserve">1. </w:t>
      </w:r>
      <w:r w:rsidRPr="00D6203F">
        <w:rPr>
          <w:rFonts w:ascii="Verdana" w:eastAsia="Calibri" w:hAnsi="Verdana" w:cs="Arial"/>
          <w:i/>
          <w:iCs/>
          <w:sz w:val="20"/>
          <w:szCs w:val="20"/>
          <w:shd w:val="clear" w:color="auto" w:fill="FFFFFF"/>
        </w:rPr>
        <w:t>¿Una entidad en el marco de un proceso PRECONTRACTUAL, ya sea licitación pública, concurso de méritos o cualquier otra, puede exigir en la etapa de EVALUACIÓN un requisito NO contemplado en los pliegos de condiciones definitivos?</w:t>
      </w:r>
    </w:p>
    <w:p w14:paraId="5F794C0A" w14:textId="77777777" w:rsidR="002C290C" w:rsidRDefault="002C290C" w:rsidP="002C290C">
      <w:pPr>
        <w:spacing w:line="240" w:lineRule="auto"/>
        <w:ind w:left="709" w:right="709"/>
        <w:jc w:val="both"/>
        <w:rPr>
          <w:rFonts w:ascii="Verdana" w:eastAsia="Calibri" w:hAnsi="Verdana" w:cs="Arial"/>
          <w:i/>
          <w:iCs/>
          <w:sz w:val="20"/>
          <w:szCs w:val="20"/>
          <w:shd w:val="clear" w:color="auto" w:fill="FFFFFF"/>
        </w:rPr>
      </w:pPr>
      <w:r w:rsidRPr="00D6203F">
        <w:rPr>
          <w:rFonts w:ascii="Verdana" w:eastAsia="Calibri" w:hAnsi="Verdana" w:cs="Arial"/>
          <w:i/>
          <w:iCs/>
          <w:sz w:val="20"/>
          <w:szCs w:val="20"/>
          <w:shd w:val="clear" w:color="auto" w:fill="FFFFFF"/>
        </w:rPr>
        <w:t xml:space="preserve">2. El artículo 31 del Decreto Distrital de Bogotá 848 de 2019 exige el certificado de Inspección, Vigilancia y Control de las ESAL registradas en Bogotá, solamente para los procesos contractuales que adelanten las ENTIDADES DEL DISTRITO DE BOGOTÁ ¿Una entidad diferente del Distrito de Bogotá puede rechazar una propuesta de una ESAL por no allegar el </w:t>
      </w:r>
      <w:r w:rsidRPr="00D6203F">
        <w:rPr>
          <w:rFonts w:ascii="Verdana" w:eastAsia="Calibri" w:hAnsi="Verdana" w:cs="Arial"/>
          <w:i/>
          <w:iCs/>
          <w:sz w:val="20"/>
          <w:szCs w:val="20"/>
          <w:shd w:val="clear" w:color="auto" w:fill="FFFFFF"/>
        </w:rPr>
        <w:lastRenderedPageBreak/>
        <w:t>mencionado certificado, si el mismo NO fue requerido en los PLIEGOS DE CONDICIONES DEFINITIVOS?</w:t>
      </w:r>
    </w:p>
    <w:p w14:paraId="4B66F971" w14:textId="77777777" w:rsidR="002C290C" w:rsidRDefault="002C290C" w:rsidP="002C290C">
      <w:pPr>
        <w:spacing w:line="240" w:lineRule="auto"/>
        <w:ind w:left="709" w:right="709"/>
        <w:jc w:val="both"/>
        <w:rPr>
          <w:rFonts w:ascii="Verdana" w:eastAsia="Calibri" w:hAnsi="Verdana" w:cs="Arial"/>
          <w:i/>
          <w:iCs/>
          <w:sz w:val="20"/>
          <w:szCs w:val="20"/>
          <w:shd w:val="clear" w:color="auto" w:fill="FFFFFF"/>
        </w:rPr>
      </w:pPr>
      <w:r w:rsidRPr="00D6203F">
        <w:rPr>
          <w:rFonts w:ascii="Verdana" w:eastAsia="Calibri" w:hAnsi="Verdana" w:cs="Arial"/>
          <w:i/>
          <w:iCs/>
          <w:sz w:val="20"/>
          <w:szCs w:val="20"/>
          <w:shd w:val="clear" w:color="auto" w:fill="FFFFFF"/>
        </w:rPr>
        <w:t>3. ¿Existe una norma nacional, en el estatuto general de contratación pública, que exija el certificado de Inspección, Vigilancia y Control a las ESAL, para participar en los procesos contractuales, como requisito habilitante de capacidad jurídica?</w:t>
      </w:r>
      <w:r w:rsidRPr="009322DA">
        <w:rPr>
          <w:rFonts w:ascii="Verdana" w:eastAsia="Century Gothic" w:hAnsi="Verdana" w:cs="Century Gothic"/>
          <w:sz w:val="20"/>
          <w:szCs w:val="20"/>
          <w:lang w:val="es-ES"/>
        </w:rPr>
        <w:t>”</w:t>
      </w:r>
      <w:bookmarkEnd w:id="0"/>
      <w:r w:rsidRPr="009322DA">
        <w:rPr>
          <w:rFonts w:ascii="Verdana" w:eastAsia="Century Gothic" w:hAnsi="Verdana" w:cs="Century Gothic"/>
          <w:sz w:val="20"/>
          <w:szCs w:val="20"/>
          <w:lang w:val="es-ES"/>
        </w:rPr>
        <w:t>.</w:t>
      </w:r>
    </w:p>
    <w:p w14:paraId="487C4DC6" w14:textId="77777777" w:rsidR="002C290C" w:rsidRPr="00D6203F" w:rsidRDefault="002C290C" w:rsidP="002C290C">
      <w:pPr>
        <w:spacing w:line="240" w:lineRule="auto"/>
        <w:ind w:left="709" w:right="709"/>
        <w:jc w:val="both"/>
        <w:rPr>
          <w:rFonts w:ascii="Verdana" w:eastAsia="Calibri" w:hAnsi="Verdana" w:cs="Arial"/>
          <w:i/>
          <w:iCs/>
          <w:sz w:val="20"/>
          <w:szCs w:val="20"/>
          <w:shd w:val="clear" w:color="auto" w:fill="FFFFFF"/>
        </w:rPr>
      </w:pPr>
    </w:p>
    <w:p w14:paraId="63C08A15" w14:textId="77777777" w:rsidR="002C290C" w:rsidRPr="009322DA" w:rsidRDefault="002C290C" w:rsidP="002C290C">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6C7E29B5" w14:textId="77777777" w:rsidR="002C290C" w:rsidRPr="009322DA" w:rsidRDefault="002C290C" w:rsidP="005D251A">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F12FC0A" w14:textId="77777777" w:rsidR="002C290C" w:rsidRPr="009322DA" w:rsidRDefault="002C290C" w:rsidP="002C290C">
      <w:pPr>
        <w:spacing w:after="0" w:line="276" w:lineRule="auto"/>
        <w:ind w:firstLine="709"/>
        <w:jc w:val="both"/>
        <w:rPr>
          <w:rFonts w:ascii="Verdana" w:eastAsia="Calibri" w:hAnsi="Verdana" w:cs="Arial"/>
          <w:lang w:val="es-ES" w:eastAsia="es-ES"/>
        </w:rPr>
      </w:pPr>
    </w:p>
    <w:p w14:paraId="565BEC11" w14:textId="77777777" w:rsidR="002C290C" w:rsidRPr="009322DA" w:rsidRDefault="002C290C" w:rsidP="002C290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1F7C1940" w14:textId="77777777" w:rsidR="002C290C" w:rsidRPr="009322DA" w:rsidRDefault="002C290C" w:rsidP="002C290C">
      <w:pPr>
        <w:tabs>
          <w:tab w:val="left" w:pos="426"/>
        </w:tabs>
        <w:spacing w:after="0" w:line="276" w:lineRule="auto"/>
        <w:jc w:val="both"/>
        <w:rPr>
          <w:rFonts w:ascii="Verdana" w:eastAsia="Century Gothic" w:hAnsi="Verdana" w:cs="Century Gothic"/>
          <w:lang w:val="es-ES"/>
        </w:rPr>
      </w:pPr>
    </w:p>
    <w:p w14:paraId="76E17441" w14:textId="77777777" w:rsidR="002C290C" w:rsidRDefault="002C290C" w:rsidP="002C290C">
      <w:pPr>
        <w:spacing w:after="0" w:line="276" w:lineRule="auto"/>
        <w:jc w:val="both"/>
        <w:rPr>
          <w:rFonts w:ascii="Verdana" w:eastAsia="Century Gothic" w:hAnsi="Verdana" w:cs="Century Gothic"/>
        </w:rPr>
      </w:pPr>
      <w:r w:rsidRPr="009322DA">
        <w:rPr>
          <w:rFonts w:ascii="Verdana" w:eastAsia="Century Gothic" w:hAnsi="Verdana" w:cs="Century Gothic"/>
        </w:rPr>
        <w:t>De acuerdo con el contenido de su solicitud, esta Agencia resolverá los siguientes problemas jurídicos:</w:t>
      </w:r>
      <w:r>
        <w:rPr>
          <w:rFonts w:ascii="Verdana" w:eastAsia="Century Gothic" w:hAnsi="Verdana" w:cs="Century Gothic"/>
        </w:rPr>
        <w:t xml:space="preserve"> </w:t>
      </w:r>
    </w:p>
    <w:p w14:paraId="4235D0CF" w14:textId="77777777" w:rsidR="002C290C" w:rsidRDefault="002C290C" w:rsidP="002C290C">
      <w:pPr>
        <w:spacing w:after="0" w:line="276" w:lineRule="auto"/>
        <w:jc w:val="both"/>
        <w:rPr>
          <w:rFonts w:ascii="Verdana" w:eastAsia="Century Gothic" w:hAnsi="Verdana" w:cs="Century Gothic"/>
        </w:rPr>
      </w:pPr>
    </w:p>
    <w:p w14:paraId="25985DF5" w14:textId="2E03CFB1" w:rsidR="002C290C" w:rsidRDefault="00A44E12" w:rsidP="002C290C">
      <w:pPr>
        <w:spacing w:after="0" w:line="276" w:lineRule="auto"/>
        <w:jc w:val="both"/>
        <w:rPr>
          <w:rFonts w:ascii="Verdana" w:eastAsia="Century Gothic" w:hAnsi="Verdana" w:cs="Century Gothic"/>
        </w:rPr>
      </w:pPr>
      <w:r>
        <w:rPr>
          <w:rFonts w:ascii="Verdana" w:eastAsia="Century Gothic" w:hAnsi="Verdana" w:cs="Century Gothic"/>
        </w:rPr>
        <w:t xml:space="preserve">i) </w:t>
      </w:r>
      <w:r w:rsidR="002C290C" w:rsidRPr="003A4E9D">
        <w:rPr>
          <w:rFonts w:ascii="Verdana" w:eastAsia="Century Gothic" w:hAnsi="Verdana" w:cs="Century Gothic"/>
        </w:rPr>
        <w:t>¿</w:t>
      </w:r>
      <w:r w:rsidR="0038210D" w:rsidRPr="0038210D">
        <w:rPr>
          <w:rFonts w:ascii="Verdana" w:eastAsia="Century Gothic" w:hAnsi="Verdana" w:cs="Century Gothic"/>
        </w:rPr>
        <w:t>Puede una entidad evaluar y rechazar una propuesta de una ESAL por no presentar un requisito que no está en el pliego de condiciones definitivo?</w:t>
      </w:r>
    </w:p>
    <w:p w14:paraId="615941CA" w14:textId="77777777" w:rsidR="002C290C" w:rsidRDefault="002C290C" w:rsidP="002C290C">
      <w:pPr>
        <w:spacing w:after="0" w:line="276" w:lineRule="auto"/>
        <w:jc w:val="both"/>
        <w:rPr>
          <w:rFonts w:ascii="Verdana" w:eastAsia="Century Gothic" w:hAnsi="Verdana" w:cs="Century Gothic"/>
        </w:rPr>
      </w:pPr>
    </w:p>
    <w:p w14:paraId="383DCEA8" w14:textId="6F2A59EA" w:rsidR="002C290C" w:rsidRPr="009322DA" w:rsidRDefault="00A44E12" w:rsidP="002C290C">
      <w:pPr>
        <w:spacing w:after="0" w:line="276" w:lineRule="auto"/>
        <w:jc w:val="both"/>
        <w:rPr>
          <w:rFonts w:ascii="Verdana" w:eastAsia="Century Gothic" w:hAnsi="Verdana" w:cs="Century Gothic"/>
        </w:rPr>
      </w:pPr>
      <w:proofErr w:type="spellStart"/>
      <w:r>
        <w:rPr>
          <w:rFonts w:ascii="Verdana" w:eastAsia="Century Gothic" w:hAnsi="Verdana" w:cs="Century Gothic"/>
        </w:rPr>
        <w:t>ii</w:t>
      </w:r>
      <w:proofErr w:type="spellEnd"/>
      <w:r>
        <w:rPr>
          <w:rFonts w:ascii="Verdana" w:eastAsia="Century Gothic" w:hAnsi="Verdana" w:cs="Century Gothic"/>
        </w:rPr>
        <w:t xml:space="preserve">) </w:t>
      </w:r>
      <w:r w:rsidR="002C290C">
        <w:rPr>
          <w:rFonts w:ascii="Verdana" w:eastAsia="Century Gothic" w:hAnsi="Verdana" w:cs="Century Gothic"/>
        </w:rPr>
        <w:t>¿</w:t>
      </w:r>
      <w:r w:rsidR="006C6EF3">
        <w:rPr>
          <w:rFonts w:ascii="Verdana" w:eastAsia="Century Gothic" w:hAnsi="Verdana" w:cs="Century Gothic"/>
        </w:rPr>
        <w:t>Existe una norma general</w:t>
      </w:r>
      <w:r w:rsidR="00B43987">
        <w:rPr>
          <w:rFonts w:ascii="Verdana" w:eastAsia="Century Gothic" w:hAnsi="Verdana" w:cs="Century Gothic"/>
        </w:rPr>
        <w:t xml:space="preserve"> que exija que las ESAL presenten un certificado distrital para evaluar su capacidad jurídica como requisito habilitante</w:t>
      </w:r>
      <w:r w:rsidR="002C290C">
        <w:rPr>
          <w:rFonts w:ascii="Verdana" w:eastAsia="Century Gothic" w:hAnsi="Verdana" w:cs="Century Gothic"/>
        </w:rPr>
        <w:t>?</w:t>
      </w:r>
    </w:p>
    <w:p w14:paraId="362DC891" w14:textId="77777777" w:rsidR="002C290C" w:rsidRPr="009322DA" w:rsidRDefault="002C290C" w:rsidP="002C290C">
      <w:pPr>
        <w:spacing w:after="0" w:line="276" w:lineRule="auto"/>
        <w:jc w:val="both"/>
        <w:rPr>
          <w:rFonts w:ascii="Verdana" w:eastAsia="Calibri" w:hAnsi="Verdana" w:cs="Arial"/>
          <w:lang w:val="es-ES"/>
        </w:rPr>
      </w:pPr>
    </w:p>
    <w:p w14:paraId="15742BBC" w14:textId="77777777" w:rsidR="002C290C" w:rsidRPr="009322DA" w:rsidRDefault="002C290C" w:rsidP="002C290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C290C" w:rsidRPr="009322DA" w14:paraId="4E565FCF" w14:textId="77777777" w:rsidTr="00A570E4">
        <w:tc>
          <w:tcPr>
            <w:tcW w:w="8828" w:type="dxa"/>
            <w:tcBorders>
              <w:top w:val="dotted" w:sz="4" w:space="0" w:color="auto"/>
              <w:left w:val="dotted" w:sz="4" w:space="0" w:color="auto"/>
              <w:bottom w:val="dotted" w:sz="4" w:space="0" w:color="auto"/>
              <w:right w:val="dotted" w:sz="4" w:space="0" w:color="auto"/>
            </w:tcBorders>
          </w:tcPr>
          <w:p w14:paraId="3BA4DD02" w14:textId="49798E6B" w:rsidR="002C290C" w:rsidRDefault="00A44E12" w:rsidP="00581DA0">
            <w:pPr>
              <w:spacing w:after="120" w:line="276" w:lineRule="auto"/>
              <w:jc w:val="both"/>
              <w:rPr>
                <w:rFonts w:ascii="Verdana" w:eastAsia="Calibri" w:hAnsi="Verdana" w:cs="Arial"/>
              </w:rPr>
            </w:pPr>
            <w:r>
              <w:rPr>
                <w:rFonts w:ascii="Verdana" w:eastAsia="Calibri" w:hAnsi="Verdana" w:cs="Arial"/>
              </w:rPr>
              <w:lastRenderedPageBreak/>
              <w:t>i)</w:t>
            </w:r>
            <w:r w:rsidR="002C290C" w:rsidDel="00A832ED">
              <w:rPr>
                <w:rFonts w:ascii="Verdana" w:eastAsia="Calibri" w:hAnsi="Verdana" w:cs="Arial"/>
              </w:rPr>
              <w:t xml:space="preserve"> </w:t>
            </w:r>
            <w:r w:rsidR="00F324BE" w:rsidRPr="00F324BE">
              <w:rPr>
                <w:rFonts w:ascii="Verdana" w:eastAsia="Calibri" w:hAnsi="Verdana" w:cs="Arial"/>
              </w:rPr>
              <w:t xml:space="preserve">No, una entidad no puede evaluar ni rechazar una propuesta de una ESAL por no presentar un requisito que no está especificado en el pliego de condiciones definitivo. El proceso de evaluación debe basarse únicamente en los criterios y requisitos establecidos en el pliego de condiciones. Evaluar o rechazar una propuesta por un requisito que no fue previamente solicitado en el pliego sería contrario a los principios de transparencia </w:t>
            </w:r>
            <w:r w:rsidR="00257940">
              <w:rPr>
                <w:rFonts w:ascii="Verdana" w:eastAsia="Calibri" w:hAnsi="Verdana" w:cs="Arial"/>
              </w:rPr>
              <w:t xml:space="preserve">y </w:t>
            </w:r>
            <w:r w:rsidR="00257940" w:rsidRPr="00257940">
              <w:rPr>
                <w:rFonts w:ascii="Verdana" w:eastAsia="Calibri" w:hAnsi="Verdana" w:cs="Arial"/>
              </w:rPr>
              <w:t>libre competencia y concurrencia</w:t>
            </w:r>
            <w:r w:rsidR="00257940">
              <w:rPr>
                <w:rFonts w:ascii="Verdana" w:eastAsia="Calibri" w:hAnsi="Verdana" w:cs="Arial"/>
              </w:rPr>
              <w:t xml:space="preserve"> </w:t>
            </w:r>
            <w:r w:rsidR="00F324BE" w:rsidRPr="00F324BE">
              <w:rPr>
                <w:rFonts w:ascii="Verdana" w:eastAsia="Calibri" w:hAnsi="Verdana" w:cs="Arial"/>
              </w:rPr>
              <w:t>en los procesos contractuales</w:t>
            </w:r>
            <w:r w:rsidR="005D251A">
              <w:rPr>
                <w:rFonts w:ascii="Verdana" w:eastAsia="Calibri" w:hAnsi="Verdana" w:cs="Arial"/>
              </w:rPr>
              <w:t>.</w:t>
            </w:r>
          </w:p>
          <w:p w14:paraId="6C5B2ADC" w14:textId="3AF29822" w:rsidR="00D51AA2" w:rsidRDefault="00A44E12" w:rsidP="00581DA0">
            <w:pPr>
              <w:spacing w:after="120" w:line="276" w:lineRule="auto"/>
              <w:ind w:firstLine="709"/>
              <w:jc w:val="both"/>
              <w:rPr>
                <w:rFonts w:ascii="Verdana" w:eastAsia="Calibri" w:hAnsi="Verdana" w:cs="Arial"/>
                <w:lang w:val="es-ES"/>
              </w:rPr>
            </w:pPr>
            <w:proofErr w:type="spellStart"/>
            <w:r>
              <w:rPr>
                <w:rFonts w:ascii="Verdana" w:eastAsia="Calibri" w:hAnsi="Verdana" w:cs="Arial"/>
                <w:lang w:val="es-ES"/>
              </w:rPr>
              <w:t>ii</w:t>
            </w:r>
            <w:proofErr w:type="spellEnd"/>
            <w:r>
              <w:rPr>
                <w:rFonts w:ascii="Verdana" w:eastAsia="Calibri" w:hAnsi="Verdana" w:cs="Arial"/>
                <w:lang w:val="es-ES"/>
              </w:rPr>
              <w:t xml:space="preserve">) </w:t>
            </w:r>
            <w:r w:rsidR="00235388" w:rsidRPr="00235388">
              <w:rPr>
                <w:rFonts w:ascii="Verdana" w:eastAsia="Calibri" w:hAnsi="Verdana" w:cs="Arial"/>
                <w:lang w:val="es-ES"/>
              </w:rPr>
              <w:t xml:space="preserve">En cuanto al segundo problema </w:t>
            </w:r>
            <w:r>
              <w:rPr>
                <w:rFonts w:ascii="Verdana" w:eastAsia="Calibri" w:hAnsi="Verdana" w:cs="Arial"/>
                <w:lang w:val="es-ES"/>
              </w:rPr>
              <w:t>jurídico</w:t>
            </w:r>
            <w:r w:rsidR="00005B0F">
              <w:rPr>
                <w:rFonts w:ascii="Verdana" w:eastAsia="Calibri" w:hAnsi="Verdana" w:cs="Arial"/>
                <w:lang w:val="es-ES"/>
              </w:rPr>
              <w:t>,</w:t>
            </w:r>
            <w:r w:rsidR="00235388" w:rsidRPr="00235388">
              <w:rPr>
                <w:rFonts w:ascii="Verdana" w:eastAsia="Calibri" w:hAnsi="Verdana" w:cs="Arial"/>
                <w:lang w:val="es-ES"/>
              </w:rPr>
              <w:t xml:space="preserve"> </w:t>
            </w:r>
            <w:r w:rsidR="00005B0F">
              <w:rPr>
                <w:rFonts w:ascii="Verdana" w:eastAsia="Calibri" w:hAnsi="Verdana" w:cs="Arial"/>
                <w:lang w:val="es-ES"/>
              </w:rPr>
              <w:t>n</w:t>
            </w:r>
            <w:r w:rsidR="00235388" w:rsidRPr="00235388">
              <w:rPr>
                <w:rFonts w:ascii="Verdana" w:eastAsia="Calibri" w:hAnsi="Verdana" w:cs="Arial"/>
                <w:lang w:val="es-ES"/>
              </w:rPr>
              <w:t xml:space="preserve">o existe una norma general que exija específicamente que las Entidades Sin Ánimo de Lucro (ESAL) presenten un certificado distrital para evaluar su capacidad jurídica como requisito habilitante, sin embargo el </w:t>
            </w:r>
            <w:r w:rsidR="007A0AE4">
              <w:rPr>
                <w:rFonts w:ascii="Verdana" w:eastAsia="Calibri" w:hAnsi="Verdana" w:cs="Arial"/>
                <w:lang w:val="es-ES"/>
              </w:rPr>
              <w:t>M</w:t>
            </w:r>
            <w:r w:rsidR="007A0AE4" w:rsidRPr="00235388">
              <w:rPr>
                <w:rFonts w:ascii="Verdana" w:eastAsia="Calibri" w:hAnsi="Verdana" w:cs="Arial"/>
                <w:lang w:val="es-ES"/>
              </w:rPr>
              <w:t xml:space="preserve">anual para determinar y verificar los requisitos habilitantes en los procesos de contratación </w:t>
            </w:r>
            <w:r w:rsidR="00235388" w:rsidRPr="00235388">
              <w:rPr>
                <w:rFonts w:ascii="Verdana" w:eastAsia="Calibri" w:hAnsi="Verdana" w:cs="Arial"/>
                <w:lang w:val="es-ES"/>
              </w:rPr>
              <w:t>emitido por la ANCP - CCE, determina que esta capacidad se evalúa verificando ciertos documentos y procedimientos que acreditan su existencia y legalidad para participar en procesos de contratación pública, tales como el certificado de existencia y representación, la declaración de capacidad jurídica, la consulta de antecedentes, la revisión de estatutos y actas</w:t>
            </w:r>
            <w:r w:rsidR="000C563E">
              <w:rPr>
                <w:rFonts w:ascii="Verdana" w:eastAsia="Calibri" w:hAnsi="Verdana" w:cs="Arial"/>
                <w:lang w:val="es-ES"/>
              </w:rPr>
              <w:t>, entre otros</w:t>
            </w:r>
            <w:r w:rsidR="00235388" w:rsidRPr="00235388">
              <w:rPr>
                <w:rFonts w:ascii="Verdana" w:eastAsia="Calibri" w:hAnsi="Verdana" w:cs="Arial"/>
                <w:lang w:val="es-ES"/>
              </w:rPr>
              <w:t>.</w:t>
            </w:r>
          </w:p>
          <w:p w14:paraId="3EBF5CC2" w14:textId="7C71721B" w:rsidR="002C290C" w:rsidRPr="009322DA" w:rsidRDefault="00D51AA2" w:rsidP="00581DA0">
            <w:pPr>
              <w:spacing w:after="120" w:line="276" w:lineRule="auto"/>
              <w:ind w:firstLine="709"/>
              <w:jc w:val="both"/>
              <w:rPr>
                <w:rFonts w:ascii="Verdana" w:eastAsia="Calibri" w:hAnsi="Verdana" w:cs="Arial"/>
                <w:lang w:val="es-ES"/>
              </w:rPr>
            </w:pPr>
            <w:r w:rsidRPr="00D51AA2">
              <w:rPr>
                <w:rFonts w:ascii="Verdana" w:eastAsia="Calibri" w:hAnsi="Verdana" w:cs="Arial"/>
                <w:lang w:val="es-ES"/>
              </w:rPr>
              <w:t xml:space="preserve">Una vez revisados estos </w:t>
            </w:r>
            <w:r w:rsidR="000C563E">
              <w:rPr>
                <w:rFonts w:ascii="Verdana" w:eastAsia="Calibri" w:hAnsi="Verdana" w:cs="Arial"/>
                <w:lang w:val="es-ES"/>
              </w:rPr>
              <w:t>documentos</w:t>
            </w:r>
            <w:r w:rsidR="000C563E" w:rsidRPr="00D51AA2">
              <w:rPr>
                <w:rFonts w:ascii="Verdana" w:eastAsia="Calibri" w:hAnsi="Verdana" w:cs="Arial"/>
                <w:lang w:val="es-ES"/>
              </w:rPr>
              <w:t xml:space="preserve"> </w:t>
            </w:r>
            <w:r w:rsidRPr="00D51AA2">
              <w:rPr>
                <w:rFonts w:ascii="Verdana" w:eastAsia="Calibri" w:hAnsi="Verdana" w:cs="Arial"/>
                <w:lang w:val="es-ES"/>
              </w:rPr>
              <w:t>que deben estar regulados en el pliego de condiciones</w:t>
            </w:r>
            <w:r w:rsidR="00C613AD">
              <w:rPr>
                <w:rFonts w:ascii="Verdana" w:eastAsia="Calibri" w:hAnsi="Verdana" w:cs="Arial"/>
                <w:lang w:val="es-ES"/>
              </w:rPr>
              <w:t>,</w:t>
            </w:r>
            <w:r w:rsidRPr="00D51AA2">
              <w:rPr>
                <w:rFonts w:ascii="Verdana" w:eastAsia="Calibri" w:hAnsi="Verdana" w:cs="Arial"/>
                <w:lang w:val="es-ES"/>
              </w:rPr>
              <w:t xml:space="preserve"> se debe velar</w:t>
            </w:r>
            <w:r w:rsidR="00F01EC5">
              <w:rPr>
                <w:rFonts w:ascii="Verdana" w:eastAsia="Calibri" w:hAnsi="Verdana" w:cs="Arial"/>
                <w:lang w:val="es-ES"/>
              </w:rPr>
              <w:t xml:space="preserve"> por</w:t>
            </w:r>
            <w:r w:rsidRPr="00D51AA2">
              <w:rPr>
                <w:rFonts w:ascii="Verdana" w:eastAsia="Calibri" w:hAnsi="Verdana" w:cs="Arial"/>
                <w:lang w:val="es-ES"/>
              </w:rPr>
              <w:t xml:space="preserve"> </w:t>
            </w:r>
            <w:r w:rsidR="00F01EC5">
              <w:rPr>
                <w:rFonts w:ascii="Verdana" w:eastAsia="Calibri" w:hAnsi="Verdana" w:cs="Arial"/>
                <w:lang w:val="es-ES"/>
              </w:rPr>
              <w:t>el cumplimiento</w:t>
            </w:r>
            <w:r w:rsidR="003B3CB7">
              <w:rPr>
                <w:rFonts w:ascii="Verdana" w:eastAsia="Calibri" w:hAnsi="Verdana" w:cs="Arial"/>
                <w:lang w:val="es-ES"/>
              </w:rPr>
              <w:t xml:space="preserve"> de</w:t>
            </w:r>
            <w:r w:rsidRPr="00D51AA2">
              <w:rPr>
                <w:rFonts w:ascii="Verdana" w:eastAsia="Calibri" w:hAnsi="Verdana" w:cs="Arial"/>
                <w:lang w:val="es-ES"/>
              </w:rPr>
              <w:t xml:space="preserve"> las normas aplicables</w:t>
            </w:r>
            <w:r w:rsidR="00C86812">
              <w:rPr>
                <w:rFonts w:ascii="Verdana" w:eastAsia="Calibri" w:hAnsi="Verdana" w:cs="Arial"/>
                <w:lang w:val="es-ES"/>
              </w:rPr>
              <w:t>,</w:t>
            </w:r>
            <w:r w:rsidRPr="00D51AA2">
              <w:rPr>
                <w:rFonts w:ascii="Verdana" w:eastAsia="Calibri" w:hAnsi="Verdana" w:cs="Arial"/>
                <w:lang w:val="es-ES"/>
              </w:rPr>
              <w:t xml:space="preserve"> ya sean del orden nacional o</w:t>
            </w:r>
            <w:r w:rsidRPr="00D51AA2" w:rsidDel="00C86812">
              <w:rPr>
                <w:rFonts w:ascii="Verdana" w:eastAsia="Calibri" w:hAnsi="Verdana" w:cs="Arial"/>
                <w:lang w:val="es-ES"/>
              </w:rPr>
              <w:t xml:space="preserve"> </w:t>
            </w:r>
            <w:r w:rsidRPr="00D51AA2">
              <w:rPr>
                <w:rFonts w:ascii="Verdana" w:eastAsia="Calibri" w:hAnsi="Verdana" w:cs="Arial"/>
                <w:lang w:val="es-ES"/>
              </w:rPr>
              <w:t>territorial</w:t>
            </w:r>
            <w:r w:rsidR="00C86812">
              <w:rPr>
                <w:rFonts w:ascii="Verdana" w:eastAsia="Calibri" w:hAnsi="Verdana" w:cs="Arial"/>
                <w:lang w:val="es-ES"/>
              </w:rPr>
              <w:t>;</w:t>
            </w:r>
            <w:r w:rsidRPr="00D51AA2">
              <w:rPr>
                <w:rFonts w:ascii="Verdana" w:eastAsia="Calibri" w:hAnsi="Verdana" w:cs="Arial"/>
                <w:lang w:val="es-ES"/>
              </w:rPr>
              <w:t xml:space="preserve"> de esta manera se aseguran de que la ESAL tiene la capacidad jurídica necesaria para participar en procesos de contratación pública y cumplir con las obligaciones contractuales.</w:t>
            </w:r>
          </w:p>
        </w:tc>
      </w:tr>
    </w:tbl>
    <w:p w14:paraId="62A6602A" w14:textId="77777777" w:rsidR="002C290C" w:rsidRPr="009322DA" w:rsidRDefault="002C290C" w:rsidP="002C290C">
      <w:pPr>
        <w:tabs>
          <w:tab w:val="left" w:pos="142"/>
          <w:tab w:val="left" w:pos="284"/>
        </w:tabs>
        <w:spacing w:after="0" w:line="276" w:lineRule="auto"/>
        <w:jc w:val="both"/>
        <w:rPr>
          <w:rFonts w:ascii="Verdana" w:eastAsia="Century Gothic" w:hAnsi="Verdana" w:cs="Century Gothic"/>
          <w:b/>
          <w:bCs/>
          <w:lang w:val="es-ES"/>
        </w:rPr>
      </w:pPr>
    </w:p>
    <w:p w14:paraId="23C40E8A" w14:textId="77777777" w:rsidR="002C290C" w:rsidRPr="009322DA" w:rsidRDefault="002C290C" w:rsidP="002C290C">
      <w:pPr>
        <w:tabs>
          <w:tab w:val="left" w:pos="142"/>
          <w:tab w:val="left" w:pos="284"/>
        </w:tabs>
        <w:spacing w:after="0" w:line="276" w:lineRule="auto"/>
        <w:jc w:val="both"/>
        <w:rPr>
          <w:rFonts w:ascii="Verdana" w:eastAsia="Century Gothic" w:hAnsi="Verdana" w:cs="Century Gothic"/>
          <w:b/>
          <w:bCs/>
          <w:lang w:val="es-ES"/>
        </w:rPr>
      </w:pPr>
    </w:p>
    <w:p w14:paraId="336E9176" w14:textId="77777777" w:rsidR="002C290C" w:rsidRPr="009322DA" w:rsidRDefault="002C290C" w:rsidP="002C290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33CF20BA" w14:textId="77777777" w:rsidR="002C290C" w:rsidRPr="009322DA" w:rsidRDefault="002C290C" w:rsidP="002C290C">
      <w:pPr>
        <w:spacing w:after="0" w:line="276" w:lineRule="auto"/>
        <w:jc w:val="both"/>
        <w:rPr>
          <w:rFonts w:ascii="Verdana" w:eastAsia="Calibri" w:hAnsi="Verdana" w:cs="Arial"/>
          <w:lang w:val="es-ES"/>
        </w:rPr>
      </w:pPr>
    </w:p>
    <w:p w14:paraId="2C2756A3" w14:textId="77777777" w:rsidR="002C290C" w:rsidRDefault="002C290C" w:rsidP="002C290C">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7C338799" w14:textId="77777777" w:rsidR="002C290C" w:rsidRDefault="002C290C" w:rsidP="002C290C">
      <w:pPr>
        <w:spacing w:after="0" w:line="276" w:lineRule="auto"/>
        <w:jc w:val="both"/>
        <w:rPr>
          <w:rFonts w:ascii="Verdana" w:eastAsia="Calibri" w:hAnsi="Verdana" w:cs="Arial"/>
          <w:lang w:val="es-ES"/>
        </w:rPr>
      </w:pPr>
    </w:p>
    <w:p w14:paraId="5FE5F75C" w14:textId="77777777" w:rsidR="002C290C" w:rsidRPr="0017223D" w:rsidRDefault="002C290C" w:rsidP="002C290C">
      <w:pPr>
        <w:pStyle w:val="Prrafodelista"/>
        <w:numPr>
          <w:ilvl w:val="0"/>
          <w:numId w:val="20"/>
        </w:numPr>
        <w:spacing w:after="0" w:line="276" w:lineRule="auto"/>
        <w:jc w:val="both"/>
        <w:rPr>
          <w:rFonts w:ascii="Verdana" w:eastAsia="Calibri" w:hAnsi="Verdana" w:cs="Arial"/>
        </w:rPr>
      </w:pPr>
      <w:r>
        <w:rPr>
          <w:rFonts w:ascii="Verdana" w:eastAsia="Calibri" w:hAnsi="Verdana" w:cs="Arial"/>
          <w:lang w:val="es-CO"/>
        </w:rPr>
        <w:t>E</w:t>
      </w:r>
      <w:r w:rsidRPr="0017223D">
        <w:rPr>
          <w:rFonts w:ascii="Verdana" w:eastAsia="Calibri" w:hAnsi="Verdana" w:cs="Arial"/>
          <w:lang w:val="es-CO"/>
        </w:rPr>
        <w:t>s necesario explicar que, el pliego de condiciones es la hoja de ruta o plan</w:t>
      </w:r>
      <w:r w:rsidRPr="0017223D">
        <w:rPr>
          <w:rFonts w:ascii="Verdana" w:eastAsia="Calibri" w:hAnsi="Verdana" w:cs="Arial"/>
          <w:vertAlign w:val="superscript"/>
          <w:lang w:val="es-CO"/>
        </w:rPr>
        <w:footnoteReference w:id="2"/>
      </w:r>
      <w:r w:rsidRPr="0017223D">
        <w:rPr>
          <w:rFonts w:ascii="Verdana" w:eastAsia="Calibri" w:hAnsi="Verdana" w:cs="Arial"/>
          <w:lang w:val="es-CO"/>
        </w:rPr>
        <w:t xml:space="preserve"> sobre el cual se diseña, estructura y concreta el proceso de selección de contratistas. El mismo ha sido definido como un “acto jurídico mixto, que nace como un acto administrativo de contenido general y que, con la adjudicación y suscripción del contrato estatal, algunos de sus contenidos </w:t>
      </w:r>
      <w:r w:rsidRPr="0017223D">
        <w:rPr>
          <w:rFonts w:ascii="Verdana" w:eastAsia="Calibri" w:hAnsi="Verdana" w:cs="Arial"/>
          <w:lang w:val="es-CO"/>
        </w:rPr>
        <w:lastRenderedPageBreak/>
        <w:t>se transforman para incorporarse al texto del negocio jurídico y, por consiguiente, se convierten en cláusulas vinculantes del mismo”</w:t>
      </w:r>
      <w:r w:rsidRPr="0017223D">
        <w:rPr>
          <w:rFonts w:ascii="Verdana" w:eastAsia="Calibri" w:hAnsi="Verdana" w:cs="Arial"/>
          <w:vertAlign w:val="superscript"/>
          <w:lang w:val="es-CO"/>
        </w:rPr>
        <w:footnoteReference w:id="3"/>
      </w:r>
      <w:r w:rsidRPr="0017223D">
        <w:rPr>
          <w:rFonts w:ascii="Verdana" w:eastAsia="Calibri" w:hAnsi="Verdana" w:cs="Arial"/>
          <w:lang w:val="es-CO"/>
        </w:rPr>
        <w:t>.</w:t>
      </w:r>
    </w:p>
    <w:p w14:paraId="144F6B27" w14:textId="77777777" w:rsidR="002C290C" w:rsidRPr="0017223D" w:rsidRDefault="002C290C" w:rsidP="002C290C">
      <w:pPr>
        <w:pStyle w:val="Prrafodelista"/>
        <w:spacing w:after="0" w:line="276" w:lineRule="auto"/>
        <w:jc w:val="both"/>
        <w:rPr>
          <w:rFonts w:ascii="Verdana" w:eastAsia="Calibri" w:hAnsi="Verdana" w:cs="Arial"/>
        </w:rPr>
      </w:pPr>
    </w:p>
    <w:p w14:paraId="45CE6BC5" w14:textId="77777777" w:rsidR="002C290C" w:rsidRPr="0017223D" w:rsidRDefault="002C290C" w:rsidP="002C290C">
      <w:pPr>
        <w:pStyle w:val="Prrafodelista"/>
        <w:numPr>
          <w:ilvl w:val="0"/>
          <w:numId w:val="20"/>
        </w:numPr>
        <w:spacing w:after="0" w:line="276" w:lineRule="auto"/>
        <w:jc w:val="both"/>
        <w:rPr>
          <w:rFonts w:ascii="Verdana" w:eastAsia="Calibri" w:hAnsi="Verdana" w:cs="Arial"/>
        </w:rPr>
      </w:pPr>
      <w:r w:rsidRPr="0017223D">
        <w:rPr>
          <w:rFonts w:ascii="Verdana" w:eastAsia="Calibri" w:hAnsi="Verdana" w:cs="Arial"/>
          <w:lang w:val="es-CO"/>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proofErr w:type="spellStart"/>
      <w:r w:rsidRPr="0017223D">
        <w:rPr>
          <w:rFonts w:ascii="Verdana" w:eastAsia="Calibri" w:hAnsi="Verdana" w:cs="Arial"/>
          <w:i/>
          <w:iCs/>
          <w:lang w:val="es-CO"/>
        </w:rPr>
        <w:t>iter</w:t>
      </w:r>
      <w:proofErr w:type="spellEnd"/>
      <w:r w:rsidRPr="0017223D">
        <w:rPr>
          <w:rFonts w:ascii="Verdana" w:eastAsia="Calibri" w:hAnsi="Verdana" w:cs="Arial"/>
          <w:lang w:val="es-CO"/>
        </w:rPr>
        <w:t xml:space="preserve"> contractual. Su contenido</w:t>
      </w:r>
      <w:r w:rsidRPr="0017223D">
        <w:rPr>
          <w:rFonts w:ascii="Verdana" w:eastAsia="Calibri" w:hAnsi="Verdana" w:cs="Arial"/>
          <w:vertAlign w:val="superscript"/>
          <w:lang w:val="es-CO"/>
        </w:rPr>
        <w:footnoteReference w:id="4"/>
      </w:r>
      <w:r w:rsidRPr="0017223D">
        <w:rPr>
          <w:rFonts w:ascii="Verdana" w:eastAsia="Calibri" w:hAnsi="Verdana" w:cs="Arial"/>
          <w:lang w:val="es-CO"/>
        </w:rPr>
        <w:t xml:space="preserve"> está previsto en el numeral 5 del artículo 24 de la Ley 80 de 1993, que establece algunas directrices que deben tenerse en cuenta en su elaboración:</w:t>
      </w:r>
    </w:p>
    <w:p w14:paraId="1B092BAD" w14:textId="77777777" w:rsidR="002C290C" w:rsidRPr="0017223D" w:rsidRDefault="002C290C" w:rsidP="002C290C">
      <w:pPr>
        <w:pStyle w:val="Prrafodelista"/>
        <w:rPr>
          <w:rFonts w:ascii="Verdana" w:eastAsia="Calibri" w:hAnsi="Verdana" w:cs="Arial"/>
        </w:rPr>
      </w:pPr>
    </w:p>
    <w:p w14:paraId="49DD4DC9" w14:textId="77777777" w:rsidR="002C290C" w:rsidRPr="00305AB1" w:rsidRDefault="002C290C" w:rsidP="002C290C">
      <w:pPr>
        <w:pStyle w:val="Textoindependiente"/>
        <w:ind w:right="709" w:firstLine="360"/>
        <w:jc w:val="both"/>
        <w:rPr>
          <w:rFonts w:ascii="Verdana" w:hAnsi="Verdana"/>
          <w:sz w:val="20"/>
          <w:szCs w:val="20"/>
        </w:rPr>
      </w:pPr>
      <w:r w:rsidRPr="00305AB1">
        <w:rPr>
          <w:rFonts w:ascii="Verdana" w:hAnsi="Verdana"/>
          <w:sz w:val="20"/>
          <w:szCs w:val="20"/>
        </w:rPr>
        <w:t>“[…] 5o. En los pliegos de condiciones:</w:t>
      </w:r>
    </w:p>
    <w:p w14:paraId="49FDEBDD" w14:textId="77777777" w:rsidR="002C290C" w:rsidRPr="00305AB1" w:rsidRDefault="002C290C" w:rsidP="002C290C">
      <w:pPr>
        <w:pStyle w:val="Prrafodelista"/>
        <w:widowControl w:val="0"/>
        <w:numPr>
          <w:ilvl w:val="2"/>
          <w:numId w:val="21"/>
        </w:numPr>
        <w:tabs>
          <w:tab w:val="left" w:pos="1126"/>
        </w:tabs>
        <w:autoSpaceDE w:val="0"/>
        <w:autoSpaceDN w:val="0"/>
        <w:spacing w:after="120" w:line="240" w:lineRule="auto"/>
        <w:ind w:right="709"/>
        <w:contextualSpacing w:val="0"/>
        <w:jc w:val="both"/>
        <w:rPr>
          <w:rFonts w:ascii="Verdana" w:hAnsi="Verdana" w:cs="Arial"/>
          <w:sz w:val="20"/>
          <w:szCs w:val="20"/>
        </w:rPr>
      </w:pPr>
      <w:r w:rsidRPr="00305AB1">
        <w:rPr>
          <w:rFonts w:ascii="Verdana" w:hAnsi="Verdana" w:cs="Arial"/>
          <w:sz w:val="20"/>
          <w:szCs w:val="20"/>
        </w:rPr>
        <w:t>Se indicarán los requisitos objetivos necesarios para participar en el correspondiente proceso de</w:t>
      </w:r>
      <w:r w:rsidRPr="00305AB1">
        <w:rPr>
          <w:rFonts w:ascii="Verdana" w:hAnsi="Verdana" w:cs="Arial"/>
          <w:spacing w:val="-2"/>
          <w:sz w:val="20"/>
          <w:szCs w:val="20"/>
        </w:rPr>
        <w:t xml:space="preserve"> </w:t>
      </w:r>
      <w:r w:rsidRPr="00305AB1">
        <w:rPr>
          <w:rFonts w:ascii="Verdana" w:hAnsi="Verdana" w:cs="Arial"/>
          <w:sz w:val="20"/>
          <w:szCs w:val="20"/>
        </w:rPr>
        <w:t>selección.</w:t>
      </w:r>
    </w:p>
    <w:p w14:paraId="2D4E60F1" w14:textId="77777777" w:rsidR="002C290C" w:rsidRPr="00305AB1" w:rsidRDefault="002C290C" w:rsidP="002C290C">
      <w:pPr>
        <w:pStyle w:val="Prrafodelista"/>
        <w:widowControl w:val="0"/>
        <w:numPr>
          <w:ilvl w:val="2"/>
          <w:numId w:val="21"/>
        </w:numPr>
        <w:tabs>
          <w:tab w:val="left" w:pos="1088"/>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definirán reglas objetivas, justas, claras y completas que permitan la confección de ofrecimientos de la misma índole, aseguren una escogencia objetiva y eviten las declaratorias de desierta de la</w:t>
      </w:r>
      <w:r w:rsidRPr="00305AB1">
        <w:rPr>
          <w:rFonts w:ascii="Verdana" w:hAnsi="Verdana" w:cs="Arial"/>
          <w:spacing w:val="-16"/>
          <w:sz w:val="20"/>
          <w:szCs w:val="20"/>
        </w:rPr>
        <w:t xml:space="preserve"> </w:t>
      </w:r>
      <w:r w:rsidRPr="00305AB1">
        <w:rPr>
          <w:rFonts w:ascii="Verdana" w:hAnsi="Verdana" w:cs="Arial"/>
          <w:sz w:val="20"/>
          <w:szCs w:val="20"/>
        </w:rPr>
        <w:t>licitación.</w:t>
      </w:r>
    </w:p>
    <w:p w14:paraId="32E9C75B" w14:textId="77777777" w:rsidR="002C290C" w:rsidRPr="00305AB1" w:rsidRDefault="002C290C" w:rsidP="002C290C">
      <w:pPr>
        <w:pStyle w:val="Prrafodelista"/>
        <w:widowControl w:val="0"/>
        <w:numPr>
          <w:ilvl w:val="2"/>
          <w:numId w:val="21"/>
        </w:numPr>
        <w:tabs>
          <w:tab w:val="left" w:pos="1108"/>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definirán con precisión las condiciones de costo y calidad de los bienes, obras o servicios necesarios para la ejecución del objeto del</w:t>
      </w:r>
      <w:r w:rsidRPr="00305AB1">
        <w:rPr>
          <w:rFonts w:ascii="Verdana" w:hAnsi="Verdana" w:cs="Arial"/>
          <w:spacing w:val="-43"/>
          <w:sz w:val="20"/>
          <w:szCs w:val="20"/>
        </w:rPr>
        <w:t xml:space="preserve"> </w:t>
      </w:r>
      <w:r w:rsidRPr="00305AB1">
        <w:rPr>
          <w:rFonts w:ascii="Verdana" w:hAnsi="Verdana" w:cs="Arial"/>
          <w:sz w:val="20"/>
          <w:szCs w:val="20"/>
        </w:rPr>
        <w:t>contrato.</w:t>
      </w:r>
    </w:p>
    <w:p w14:paraId="4D91C4AD" w14:textId="77777777" w:rsidR="002C290C" w:rsidRPr="00305AB1" w:rsidRDefault="002C290C" w:rsidP="002C290C">
      <w:pPr>
        <w:pStyle w:val="Prrafodelista"/>
        <w:widowControl w:val="0"/>
        <w:numPr>
          <w:ilvl w:val="2"/>
          <w:numId w:val="21"/>
        </w:numPr>
        <w:tabs>
          <w:tab w:val="left" w:pos="1108"/>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No se incluirán condiciones y exigencias de imposible cumplimiento, ni exenciones de la responsabilidad derivada de los datos, informes y documentos que se suministren.</w:t>
      </w:r>
    </w:p>
    <w:p w14:paraId="6C32F9C9" w14:textId="77777777" w:rsidR="002C290C" w:rsidRPr="00305AB1" w:rsidRDefault="002C290C" w:rsidP="002C290C">
      <w:pPr>
        <w:pStyle w:val="Prrafodelista"/>
        <w:widowControl w:val="0"/>
        <w:numPr>
          <w:ilvl w:val="2"/>
          <w:numId w:val="21"/>
        </w:numPr>
        <w:tabs>
          <w:tab w:val="left" w:pos="1151"/>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definirán reglas que no induzcan a error a los proponentes y contratistas y que impidan la Formulación de ofrecimientos de extensión ilimitada o que dependan de la voluntad exclusiva de la</w:t>
      </w:r>
      <w:r w:rsidRPr="00305AB1">
        <w:rPr>
          <w:rFonts w:ascii="Verdana" w:hAnsi="Verdana" w:cs="Arial"/>
          <w:spacing w:val="-20"/>
          <w:sz w:val="20"/>
          <w:szCs w:val="20"/>
        </w:rPr>
        <w:t xml:space="preserve"> </w:t>
      </w:r>
      <w:r w:rsidRPr="00305AB1">
        <w:rPr>
          <w:rFonts w:ascii="Verdana" w:hAnsi="Verdana" w:cs="Arial"/>
          <w:sz w:val="20"/>
          <w:szCs w:val="20"/>
        </w:rPr>
        <w:t>entidad.</w:t>
      </w:r>
    </w:p>
    <w:p w14:paraId="7AA58528" w14:textId="77777777" w:rsidR="002C290C" w:rsidRPr="00305AB1" w:rsidRDefault="002C290C" w:rsidP="002C290C">
      <w:pPr>
        <w:pStyle w:val="Prrafodelista"/>
        <w:widowControl w:val="0"/>
        <w:numPr>
          <w:ilvl w:val="2"/>
          <w:numId w:val="21"/>
        </w:numPr>
        <w:tabs>
          <w:tab w:val="left" w:pos="1016"/>
        </w:tabs>
        <w:autoSpaceDE w:val="0"/>
        <w:autoSpaceDN w:val="0"/>
        <w:spacing w:after="120" w:line="240" w:lineRule="auto"/>
        <w:ind w:left="709" w:right="709" w:firstLine="0"/>
        <w:contextualSpacing w:val="0"/>
        <w:jc w:val="both"/>
        <w:rPr>
          <w:rFonts w:ascii="Verdana" w:hAnsi="Verdana" w:cs="Arial"/>
          <w:sz w:val="20"/>
          <w:szCs w:val="20"/>
        </w:rPr>
      </w:pPr>
      <w:r w:rsidRPr="00305AB1">
        <w:rPr>
          <w:rFonts w:ascii="Verdana" w:hAnsi="Verdana" w:cs="Arial"/>
          <w:sz w:val="20"/>
          <w:szCs w:val="20"/>
        </w:rPr>
        <w:t>Se definirá el plazo para la liquidación del contrato, cuando a ello hubiere lugar, teniendo en cuenta su objeto, naturaleza y</w:t>
      </w:r>
      <w:r w:rsidRPr="00305AB1">
        <w:rPr>
          <w:rFonts w:ascii="Verdana" w:hAnsi="Verdana" w:cs="Arial"/>
          <w:spacing w:val="-13"/>
          <w:sz w:val="20"/>
          <w:szCs w:val="20"/>
        </w:rPr>
        <w:t xml:space="preserve"> </w:t>
      </w:r>
      <w:r w:rsidRPr="00305AB1">
        <w:rPr>
          <w:rFonts w:ascii="Verdana" w:hAnsi="Verdana" w:cs="Arial"/>
          <w:sz w:val="20"/>
          <w:szCs w:val="20"/>
        </w:rPr>
        <w:t>cuantía.</w:t>
      </w:r>
    </w:p>
    <w:p w14:paraId="3AF25A86" w14:textId="77777777" w:rsidR="002C290C" w:rsidRDefault="002C290C" w:rsidP="002C290C">
      <w:pPr>
        <w:pStyle w:val="Prrafodelista"/>
        <w:spacing w:after="0" w:line="276" w:lineRule="auto"/>
        <w:jc w:val="both"/>
        <w:rPr>
          <w:rFonts w:ascii="Verdana" w:hAnsi="Verdana"/>
          <w:sz w:val="20"/>
          <w:szCs w:val="20"/>
        </w:rPr>
      </w:pPr>
      <w:r w:rsidRPr="00305AB1">
        <w:rPr>
          <w:rFonts w:ascii="Verdana" w:hAnsi="Verdana"/>
          <w:sz w:val="20"/>
          <w:szCs w:val="20"/>
        </w:rPr>
        <w:t>Serán ineficaces de pleno derecho las estipulaciones de los pliegos y de los contratos que contravengan lo dispuesto en este numeral, o dispongan renuncias a reclamaciones por la ocurrencia de los hechos aquí enunciados”.</w:t>
      </w:r>
    </w:p>
    <w:p w14:paraId="7E879E6B" w14:textId="77777777" w:rsidR="002C290C" w:rsidRDefault="002C290C" w:rsidP="002C290C">
      <w:pPr>
        <w:spacing w:after="0" w:line="276" w:lineRule="auto"/>
        <w:jc w:val="both"/>
        <w:rPr>
          <w:rFonts w:ascii="Verdana" w:eastAsia="Calibri" w:hAnsi="Verdana" w:cs="Arial"/>
        </w:rPr>
      </w:pPr>
    </w:p>
    <w:p w14:paraId="33D5639C" w14:textId="27336BF9" w:rsidR="002C290C" w:rsidRDefault="002C290C" w:rsidP="002C290C">
      <w:pPr>
        <w:pStyle w:val="Prrafodelista"/>
        <w:numPr>
          <w:ilvl w:val="0"/>
          <w:numId w:val="22"/>
        </w:numPr>
        <w:spacing w:after="0" w:line="276" w:lineRule="auto"/>
        <w:jc w:val="both"/>
        <w:rPr>
          <w:rFonts w:ascii="Verdana" w:eastAsia="Calibri" w:hAnsi="Verdana" w:cs="Arial"/>
        </w:rPr>
      </w:pPr>
      <w:r w:rsidRPr="0017223D">
        <w:rPr>
          <w:rFonts w:ascii="Verdana" w:eastAsia="Calibri" w:hAnsi="Verdana" w:cs="Arial"/>
        </w:rPr>
        <w:lastRenderedPageBreak/>
        <w:t>Sumado a lo anterior, la Corte Constitucional ha señalado, frente a la selección objetiva, que la entidad no puede establecer reglas subjetivas, sino que deben ser razonables, de acuerdo con las normas que rigen la actividad contractual</w:t>
      </w:r>
      <w:r w:rsidR="000E2AF5">
        <w:rPr>
          <w:rStyle w:val="Refdenotaalpie"/>
          <w:rFonts w:ascii="Verdana" w:eastAsia="Calibri" w:hAnsi="Verdana" w:cs="Arial"/>
        </w:rPr>
        <w:footnoteReference w:id="5"/>
      </w:r>
      <w:r w:rsidRPr="0017223D">
        <w:rPr>
          <w:rFonts w:ascii="Verdana" w:eastAsia="Calibri" w:hAnsi="Verdana" w:cs="Arial"/>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p>
    <w:p w14:paraId="1C5B3183" w14:textId="77777777" w:rsidR="002C290C" w:rsidRDefault="002C290C" w:rsidP="002C290C">
      <w:pPr>
        <w:pStyle w:val="Prrafodelista"/>
        <w:spacing w:after="0" w:line="276" w:lineRule="auto"/>
        <w:jc w:val="both"/>
        <w:rPr>
          <w:rFonts w:ascii="Verdana" w:eastAsia="Calibri" w:hAnsi="Verdana" w:cs="Arial"/>
        </w:rPr>
      </w:pPr>
    </w:p>
    <w:p w14:paraId="71874042" w14:textId="77777777" w:rsidR="002C290C" w:rsidRDefault="002C290C" w:rsidP="002C290C">
      <w:pPr>
        <w:spacing w:after="0"/>
        <w:ind w:left="1416" w:right="709"/>
        <w:jc w:val="both"/>
        <w:rPr>
          <w:rFonts w:ascii="Verdana" w:hAnsi="Verdana" w:cs="Arial"/>
          <w:color w:val="000000" w:themeColor="text1"/>
          <w:sz w:val="20"/>
          <w:szCs w:val="20"/>
        </w:rPr>
      </w:pPr>
      <w:r w:rsidRPr="00305AB1">
        <w:rPr>
          <w:rFonts w:ascii="Verdana" w:hAnsi="Verdana" w:cs="Arial"/>
          <w:color w:val="000000" w:themeColor="text1"/>
          <w:sz w:val="20"/>
          <w:szCs w:val="20"/>
        </w:rPr>
        <w:t>“Si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305AB1">
        <w:rPr>
          <w:rStyle w:val="Refdenotaalpie"/>
          <w:rFonts w:ascii="Verdana" w:hAnsi="Verdana" w:cs="Arial"/>
          <w:color w:val="000000" w:themeColor="text1"/>
          <w:sz w:val="20"/>
          <w:szCs w:val="20"/>
        </w:rPr>
        <w:footnoteReference w:id="6"/>
      </w:r>
      <w:r w:rsidRPr="00305AB1">
        <w:rPr>
          <w:rFonts w:ascii="Verdana" w:hAnsi="Verdana" w:cs="Arial"/>
          <w:color w:val="000000" w:themeColor="text1"/>
          <w:sz w:val="20"/>
          <w:szCs w:val="20"/>
        </w:rPr>
        <w:t>.</w:t>
      </w:r>
    </w:p>
    <w:p w14:paraId="6CB923BA" w14:textId="77777777" w:rsidR="002C290C" w:rsidRPr="0017223D" w:rsidRDefault="002C290C" w:rsidP="002C290C">
      <w:pPr>
        <w:spacing w:after="0"/>
        <w:ind w:left="1416" w:right="709"/>
        <w:jc w:val="both"/>
        <w:rPr>
          <w:rFonts w:ascii="Verdana" w:hAnsi="Verdana" w:cs="Arial"/>
          <w:color w:val="000000" w:themeColor="text1"/>
          <w:sz w:val="20"/>
          <w:szCs w:val="20"/>
        </w:rPr>
      </w:pPr>
    </w:p>
    <w:p w14:paraId="159C8B3D" w14:textId="77777777" w:rsidR="002C290C" w:rsidRDefault="002C290C" w:rsidP="002C290C">
      <w:pPr>
        <w:pStyle w:val="Prrafodelista"/>
        <w:numPr>
          <w:ilvl w:val="0"/>
          <w:numId w:val="18"/>
        </w:numPr>
        <w:jc w:val="both"/>
        <w:rPr>
          <w:rFonts w:ascii="Verdana" w:eastAsia="Calibri" w:hAnsi="Verdana" w:cs="Arial"/>
          <w:bCs/>
          <w:lang w:val="es-MX"/>
        </w:rPr>
      </w:pPr>
      <w:r w:rsidRPr="00B60F11">
        <w:rPr>
          <w:rFonts w:ascii="Verdana" w:eastAsia="Calibri" w:hAnsi="Verdana" w:cs="Arial"/>
          <w:bCs/>
          <w:lang w:val="es-MX"/>
        </w:rPr>
        <w:t xml:space="preserve">También, el Consejo de Estado ha determinado que el pliego de condiciones es ley para las partes, y en él se debe establecer la regulación del procedimiento de contratación, conforme a la ley, garantizando la selección objetiva del contratista.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w:t>
      </w:r>
      <w:proofErr w:type="spellStart"/>
      <w:r w:rsidRPr="00B60F11">
        <w:rPr>
          <w:rFonts w:ascii="Verdana" w:eastAsia="Calibri" w:hAnsi="Verdana" w:cs="Arial"/>
          <w:bCs/>
          <w:lang w:val="es-MX"/>
        </w:rPr>
        <w:t>ii</w:t>
      </w:r>
      <w:proofErr w:type="spellEnd"/>
      <w:r w:rsidRPr="00B60F11">
        <w:rPr>
          <w:rFonts w:ascii="Verdana" w:eastAsia="Calibri" w:hAnsi="Verdana" w:cs="Arial"/>
          <w:bCs/>
          <w:lang w:val="es-MX"/>
        </w:rPr>
        <w:t xml:space="preserve">) modalidad y criterios de selección, </w:t>
      </w:r>
      <w:proofErr w:type="spellStart"/>
      <w:r w:rsidRPr="00B60F11">
        <w:rPr>
          <w:rFonts w:ascii="Verdana" w:eastAsia="Calibri" w:hAnsi="Verdana" w:cs="Arial"/>
          <w:bCs/>
          <w:lang w:val="es-MX"/>
        </w:rPr>
        <w:t>iii</w:t>
      </w:r>
      <w:proofErr w:type="spellEnd"/>
      <w:r w:rsidRPr="00B60F11">
        <w:rPr>
          <w:rFonts w:ascii="Verdana" w:eastAsia="Calibri" w:hAnsi="Verdana" w:cs="Arial"/>
          <w:bCs/>
          <w:lang w:val="es-MX"/>
        </w:rPr>
        <w:t xml:space="preserve">) valoración económica del bien, obra o servicio, </w:t>
      </w:r>
      <w:proofErr w:type="spellStart"/>
      <w:r w:rsidRPr="00B60F11">
        <w:rPr>
          <w:rFonts w:ascii="Verdana" w:eastAsia="Calibri" w:hAnsi="Verdana" w:cs="Arial"/>
          <w:bCs/>
          <w:lang w:val="es-MX"/>
        </w:rPr>
        <w:t>iv</w:t>
      </w:r>
      <w:proofErr w:type="spellEnd"/>
      <w:r w:rsidRPr="00B60F11">
        <w:rPr>
          <w:rFonts w:ascii="Verdana" w:eastAsia="Calibri" w:hAnsi="Verdana" w:cs="Arial"/>
          <w:bCs/>
          <w:lang w:val="es-MX"/>
        </w:rPr>
        <w:t>) reglas de la presentación y manejo de las ofertas, v) riesgos y garantías, entre otros aspectos del contrato.</w:t>
      </w:r>
    </w:p>
    <w:p w14:paraId="31964F98" w14:textId="77777777" w:rsidR="002C290C" w:rsidRDefault="002C290C" w:rsidP="002C290C">
      <w:pPr>
        <w:pStyle w:val="Prrafodelista"/>
        <w:jc w:val="both"/>
        <w:rPr>
          <w:rFonts w:ascii="Verdana" w:eastAsia="Calibri" w:hAnsi="Verdana" w:cs="Arial"/>
          <w:bCs/>
          <w:lang w:val="es-MX"/>
        </w:rPr>
      </w:pPr>
    </w:p>
    <w:p w14:paraId="6E78490A" w14:textId="77777777" w:rsidR="002C290C" w:rsidRDefault="002C290C" w:rsidP="002C290C">
      <w:pPr>
        <w:pStyle w:val="Prrafodelista"/>
        <w:numPr>
          <w:ilvl w:val="0"/>
          <w:numId w:val="18"/>
        </w:numPr>
        <w:jc w:val="both"/>
        <w:rPr>
          <w:rFonts w:ascii="Verdana" w:eastAsia="Calibri" w:hAnsi="Verdana" w:cs="Arial"/>
          <w:bCs/>
          <w:lang w:val="es-MX"/>
        </w:rPr>
      </w:pPr>
      <w:r w:rsidRPr="00B60F11">
        <w:rPr>
          <w:rFonts w:ascii="Verdana" w:eastAsia="Calibri" w:hAnsi="Verdana" w:cs="Arial"/>
          <w:bCs/>
          <w:lang w:val="es-MX"/>
        </w:rPr>
        <w:lastRenderedPageBreak/>
        <w:t>En todo caso, sin perjuicio de la discrecionalidad de las Entidades Estatales para determinar las reglas de participación y escogencia que resulten más razonables para el objeto a contratar, estas deben configurar el pliego de condiciones garantizando la selección objetiva, de acuerdo con el artículo 5 de la Ley 1150 de 2007. Esto supone establecer requisitos habilitantes y ponderables, adecuados y proporcionales para el objeto del contrato, así como la aplicación de la normativa que resulte relevante para los procesos de contratación, como, por ejemplo, la referente a criterios diferenciales adoptados por la Ley 2069 de 2020 –arts. 31 y 32– o el Decreto 392 de 2018, cuestiones que son temas de los estudios previos y el análisis del sector, razón por la cual el pliego de condiciones debe reflejar el contenido de dichos documentos precontractuales.</w:t>
      </w:r>
    </w:p>
    <w:p w14:paraId="17970822" w14:textId="77777777" w:rsidR="002C290C" w:rsidRPr="00B60F11" w:rsidRDefault="002C290C" w:rsidP="002C290C">
      <w:pPr>
        <w:pStyle w:val="Prrafodelista"/>
        <w:rPr>
          <w:rFonts w:ascii="Verdana" w:eastAsia="Calibri" w:hAnsi="Verdana" w:cs="Arial"/>
          <w:bCs/>
          <w:lang w:val="es-MX"/>
        </w:rPr>
      </w:pPr>
    </w:p>
    <w:p w14:paraId="1B7EB074" w14:textId="77777777" w:rsidR="002C290C" w:rsidRDefault="002C290C" w:rsidP="002C290C">
      <w:pPr>
        <w:pStyle w:val="Prrafodelista"/>
        <w:numPr>
          <w:ilvl w:val="0"/>
          <w:numId w:val="18"/>
        </w:numPr>
        <w:jc w:val="both"/>
        <w:rPr>
          <w:rFonts w:ascii="Verdana" w:eastAsia="Calibri" w:hAnsi="Verdana" w:cs="Arial"/>
          <w:bCs/>
          <w:lang w:val="es-MX"/>
        </w:rPr>
      </w:pPr>
      <w:r>
        <w:rPr>
          <w:rFonts w:ascii="Verdana" w:eastAsia="Calibri" w:hAnsi="Verdana" w:cs="Arial"/>
          <w:bCs/>
          <w:lang w:val="es-MX"/>
        </w:rPr>
        <w:t xml:space="preserve">En cuanto a lo concerniente específicamente a la </w:t>
      </w:r>
      <w:r w:rsidRPr="007D39FF">
        <w:rPr>
          <w:rFonts w:ascii="Verdana" w:eastAsia="Calibri" w:hAnsi="Verdana" w:cs="Arial"/>
          <w:bCs/>
          <w:lang w:val="es-MX"/>
        </w:rPr>
        <w:t xml:space="preserve">evaluación de la oferta que se plasmará en el informe de evaluación las entidades estatales pueden crear comités evaluadores. Así lo prevé el artículo 2.2.1.1.2.2.3. del Decreto 1082 de 2015, según el cual </w:t>
      </w:r>
      <w:r>
        <w:rPr>
          <w:rFonts w:ascii="Verdana" w:eastAsia="Calibri" w:hAnsi="Verdana" w:cs="Arial"/>
          <w:bCs/>
          <w:lang w:val="es-MX"/>
        </w:rPr>
        <w:t>“</w:t>
      </w:r>
      <w:r w:rsidRPr="007D39FF">
        <w:rPr>
          <w:rFonts w:ascii="Verdana" w:eastAsia="Calibri" w:hAnsi="Verdana" w:cs="Arial"/>
          <w:bCs/>
          <w:lang w:val="es-MX"/>
        </w:rPr>
        <w:t>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w:t>
      </w:r>
      <w:r>
        <w:rPr>
          <w:rFonts w:ascii="Verdana" w:eastAsia="Calibri" w:hAnsi="Verdana" w:cs="Arial"/>
          <w:bCs/>
          <w:lang w:val="es-MX"/>
        </w:rPr>
        <w:t>”</w:t>
      </w:r>
      <w:r w:rsidRPr="007D39FF">
        <w:rPr>
          <w:rFonts w:ascii="Verdana" w:eastAsia="Calibri" w:hAnsi="Verdana" w:cs="Arial"/>
          <w:bCs/>
          <w:lang w:val="es-MX"/>
        </w:rPr>
        <w:t>.</w:t>
      </w:r>
    </w:p>
    <w:p w14:paraId="6644120D" w14:textId="77777777" w:rsidR="002C290C" w:rsidRPr="007D39FF" w:rsidRDefault="002C290C" w:rsidP="002C290C">
      <w:pPr>
        <w:pStyle w:val="Prrafodelista"/>
        <w:rPr>
          <w:rFonts w:ascii="Verdana" w:eastAsia="Calibri" w:hAnsi="Verdana" w:cs="Arial"/>
          <w:bCs/>
          <w:lang w:val="es-MX"/>
        </w:rPr>
      </w:pPr>
    </w:p>
    <w:p w14:paraId="5C757A9A" w14:textId="77777777" w:rsidR="002C290C" w:rsidRDefault="002C290C" w:rsidP="002C290C">
      <w:pPr>
        <w:pStyle w:val="Prrafodelista"/>
        <w:numPr>
          <w:ilvl w:val="0"/>
          <w:numId w:val="18"/>
        </w:numPr>
        <w:jc w:val="both"/>
        <w:rPr>
          <w:rFonts w:ascii="Verdana" w:eastAsia="Calibri" w:hAnsi="Verdana" w:cs="Arial"/>
          <w:bCs/>
          <w:lang w:val="es-MX"/>
        </w:rPr>
      </w:pPr>
      <w:r w:rsidRPr="007D39FF">
        <w:rPr>
          <w:rFonts w:ascii="Verdana" w:eastAsia="Calibri" w:hAnsi="Verdana" w:cs="Arial"/>
          <w:bCs/>
          <w:lang w:val="es-MX"/>
        </w:rPr>
        <w:t>De esta manera, los comités evaluadores son organismos asesores que se pueden constituir, para orientar a los representantes legales dentro de la actividad contractual, conformados por profesionales interdisciplinarios, para examinar las ofertas de manera objetiva y recomendar al ordenador del gasto el sentido de la decisión; sugerencia que se materializa en el informe de evaluación. Dicho informe, como se indicó, no tiene un carácter vinculante para el servidor público que goza de la competencia para expedir el acto administrativo que contiene la decisión correspondiente.</w:t>
      </w:r>
    </w:p>
    <w:p w14:paraId="21ED45C8" w14:textId="77777777" w:rsidR="002C290C" w:rsidRPr="007D39FF" w:rsidRDefault="002C290C" w:rsidP="002C290C">
      <w:pPr>
        <w:pStyle w:val="Prrafodelista"/>
        <w:rPr>
          <w:rFonts w:ascii="Verdana" w:eastAsia="Calibri" w:hAnsi="Verdana" w:cs="Arial"/>
          <w:bCs/>
          <w:lang w:val="es-MX"/>
        </w:rPr>
      </w:pPr>
    </w:p>
    <w:p w14:paraId="269AC959" w14:textId="77777777" w:rsidR="002C290C" w:rsidRPr="003A4E9D" w:rsidRDefault="002C290C" w:rsidP="002C290C">
      <w:pPr>
        <w:pStyle w:val="Prrafodelista"/>
        <w:numPr>
          <w:ilvl w:val="0"/>
          <w:numId w:val="18"/>
        </w:numPr>
        <w:jc w:val="both"/>
        <w:rPr>
          <w:rFonts w:ascii="Verdana" w:eastAsia="Calibri" w:hAnsi="Verdana" w:cs="Arial"/>
          <w:bCs/>
          <w:lang w:val="es-MX"/>
        </w:rPr>
      </w:pPr>
      <w:r w:rsidRPr="007D39FF">
        <w:rPr>
          <w:rFonts w:ascii="Verdana" w:eastAsia="Calibri" w:hAnsi="Verdana" w:cs="Arial"/>
          <w:bCs/>
          <w:lang w:val="es-ES_tradnl"/>
        </w:rPr>
        <w:t xml:space="preserve">De acuerdo con lo anterior, el comité evaluador designado tiene el deber de evaluar las ofertas con sujeción estricta a los parámetros señalados en el pliego de condiciones y no puede basarse en criterios caprichosos o subjetivos. De ahí que se afirme que </w:t>
      </w:r>
      <w:r>
        <w:rPr>
          <w:rFonts w:ascii="Verdana" w:eastAsia="Calibri" w:hAnsi="Verdana" w:cs="Arial"/>
          <w:bCs/>
          <w:lang w:val="es-ES_tradnl"/>
        </w:rPr>
        <w:t>“</w:t>
      </w:r>
      <w:r w:rsidRPr="007D39FF">
        <w:rPr>
          <w:rFonts w:ascii="Verdana" w:eastAsia="Calibri" w:hAnsi="Verdana" w:cs="Arial"/>
          <w:bCs/>
          <w:lang w:val="es-CO"/>
        </w:rPr>
        <w:t xml:space="preserve">la actividad de evaluación es actuación reglada en la cual las recomendaciones del comité deben basarse en los criterios o parámetros previamente definidos por la administración como las bases de la licitación. Por consiguiente, el informe </w:t>
      </w:r>
      <w:r w:rsidRPr="007D39FF">
        <w:rPr>
          <w:rFonts w:ascii="Verdana" w:eastAsia="Calibri" w:hAnsi="Verdana" w:cs="Arial"/>
          <w:bCs/>
          <w:lang w:val="es-CO"/>
        </w:rPr>
        <w:lastRenderedPageBreak/>
        <w:t>de evaluación de las ofertas debe ser motivado con el fin de garantizar el principio de transparencia y de publicidad de la actividad precontractual, como así lo establece el artículo 24 numeral 7 de la ley 80 de 1993</w:t>
      </w:r>
      <w:r>
        <w:rPr>
          <w:rFonts w:ascii="Verdana" w:eastAsia="Calibri" w:hAnsi="Verdana" w:cs="Arial"/>
          <w:bCs/>
          <w:lang w:val="es-ES_tradnl"/>
        </w:rPr>
        <w:t>”</w:t>
      </w:r>
      <w:r w:rsidRPr="007D39FF">
        <w:rPr>
          <w:rFonts w:ascii="Verdana" w:eastAsia="Calibri" w:hAnsi="Verdana" w:cs="Arial"/>
          <w:bCs/>
          <w:vertAlign w:val="superscript"/>
          <w:lang w:val="es-ES_tradnl"/>
        </w:rPr>
        <w:footnoteReference w:id="7"/>
      </w:r>
      <w:r w:rsidRPr="007D39FF">
        <w:rPr>
          <w:rFonts w:ascii="Verdana" w:eastAsia="Calibri" w:hAnsi="Verdana" w:cs="Arial"/>
          <w:bCs/>
          <w:lang w:val="es-ES_tradnl"/>
        </w:rPr>
        <w:t>. Por tanto, esta actividad reglada de la evaluación se encuentra íntimamente ligada con el deber de motivación del informe de evaluación, toda vez que el comité evaluador deberá sustentar la calificación de las ofertas con base en las reglas fijadas en el pliego de condiciones, lo que supone, como mínimo, el análisis de estos en relación con la propuesta presentada.</w:t>
      </w:r>
    </w:p>
    <w:p w14:paraId="1B2B1DF2" w14:textId="77777777" w:rsidR="002C290C" w:rsidRDefault="002C290C" w:rsidP="002C290C">
      <w:pPr>
        <w:pStyle w:val="Prrafodelista"/>
        <w:jc w:val="both"/>
        <w:rPr>
          <w:rFonts w:ascii="Verdana" w:eastAsia="Calibri" w:hAnsi="Verdana" w:cs="Arial"/>
        </w:rPr>
      </w:pPr>
    </w:p>
    <w:p w14:paraId="602892BF" w14:textId="77777777" w:rsidR="002C290C" w:rsidRDefault="002C290C" w:rsidP="002C290C">
      <w:pPr>
        <w:pStyle w:val="Prrafodelista"/>
        <w:numPr>
          <w:ilvl w:val="0"/>
          <w:numId w:val="19"/>
        </w:numPr>
        <w:jc w:val="both"/>
        <w:rPr>
          <w:rFonts w:ascii="Verdana" w:eastAsia="Calibri" w:hAnsi="Verdana" w:cs="Arial"/>
        </w:rPr>
      </w:pPr>
      <w:r w:rsidRPr="00696C9F">
        <w:rPr>
          <w:rFonts w:ascii="Verdana" w:eastAsia="Calibri" w:hAnsi="Verdana" w:cs="Arial"/>
        </w:rPr>
        <w:t>Ahora bien, respecto a la capacidad de participar en los procesos de contratación pública del EGCAP, se debe aclarar que la capacidad jurídica es la aptitud que recae en los sujetos activos o pasivos de las relaciones jurídicas</w:t>
      </w:r>
      <w:r w:rsidRPr="00696C9F">
        <w:rPr>
          <w:rFonts w:ascii="Verdana" w:eastAsia="Calibri" w:hAnsi="Verdana" w:cs="Arial"/>
          <w:vertAlign w:val="superscript"/>
        </w:rPr>
        <w:footnoteReference w:id="8"/>
      </w:r>
      <w:r w:rsidRPr="00696C9F">
        <w:rPr>
          <w:rFonts w:ascii="Verdana" w:eastAsia="Calibri" w:hAnsi="Verdana" w:cs="Arial"/>
        </w:rPr>
        <w:t xml:space="preserve">.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contrato y </w:t>
      </w:r>
      <w:proofErr w:type="spellStart"/>
      <w:r w:rsidRPr="00696C9F">
        <w:rPr>
          <w:rFonts w:ascii="Verdana" w:eastAsia="Calibri" w:hAnsi="Verdana" w:cs="Arial"/>
        </w:rPr>
        <w:t>ii</w:t>
      </w:r>
      <w:proofErr w:type="spellEnd"/>
      <w:r w:rsidRPr="00696C9F">
        <w:rPr>
          <w:rFonts w:ascii="Verdana" w:eastAsia="Calibri" w:hAnsi="Verdana" w:cs="Arial"/>
        </w:rPr>
        <w:t>) de no estar incursa en inhabilidades o incompatibilidades que impiden la celebración del negocio.</w:t>
      </w:r>
    </w:p>
    <w:p w14:paraId="0F928E52" w14:textId="77777777" w:rsidR="002C290C" w:rsidRPr="00696C9F" w:rsidRDefault="002C290C" w:rsidP="002C290C">
      <w:pPr>
        <w:pStyle w:val="Prrafodelista"/>
        <w:jc w:val="both"/>
        <w:rPr>
          <w:rFonts w:ascii="Verdana" w:eastAsia="Calibri" w:hAnsi="Verdana" w:cs="Arial"/>
        </w:rPr>
      </w:pPr>
    </w:p>
    <w:p w14:paraId="046A869B" w14:textId="77777777" w:rsidR="002C290C" w:rsidRPr="00696C9F" w:rsidRDefault="002C290C" w:rsidP="002C290C">
      <w:pPr>
        <w:pStyle w:val="Prrafodelista"/>
        <w:numPr>
          <w:ilvl w:val="0"/>
          <w:numId w:val="19"/>
        </w:numPr>
        <w:jc w:val="both"/>
        <w:rPr>
          <w:rFonts w:ascii="Verdana" w:eastAsia="Calibri" w:hAnsi="Verdana" w:cs="Arial"/>
        </w:rPr>
      </w:pPr>
      <w:r w:rsidRPr="00696C9F">
        <w:rPr>
          <w:rFonts w:ascii="Verdana" w:eastAsia="Calibri" w:hAnsi="Verdana" w:cs="Arial"/>
          <w:lang w:val="es-CO"/>
        </w:rPr>
        <w:t>Para efectos de la aplicación del EGCAP, la capacidad para contratar la tienen las personas consideradas legalmente capaces en las disposiciones vigentes</w:t>
      </w:r>
      <w:r w:rsidRPr="00696C9F">
        <w:rPr>
          <w:rFonts w:ascii="Verdana" w:eastAsia="Calibri" w:hAnsi="Verdana" w:cs="Arial"/>
          <w:vertAlign w:val="superscript"/>
          <w:lang w:val="es-CO"/>
        </w:rPr>
        <w:footnoteReference w:id="9"/>
      </w:r>
      <w:r w:rsidRPr="00696C9F">
        <w:rPr>
          <w:rFonts w:ascii="Verdana" w:eastAsia="Calibri" w:hAnsi="Verdana" w:cs="Arial"/>
          <w:lang w:val="es-CO"/>
        </w:rPr>
        <w:t>, así como otras formas asociativas.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05BA9F3C" w14:textId="77777777" w:rsidR="002C290C" w:rsidRPr="00696C9F" w:rsidRDefault="002C290C" w:rsidP="002C290C">
      <w:pPr>
        <w:pStyle w:val="Prrafodelista"/>
        <w:rPr>
          <w:rFonts w:ascii="Verdana" w:eastAsia="Calibri" w:hAnsi="Verdana" w:cs="Arial"/>
        </w:rPr>
      </w:pPr>
    </w:p>
    <w:p w14:paraId="63D82FA3" w14:textId="77777777" w:rsidR="00296B7D" w:rsidRDefault="002C290C" w:rsidP="00E642C7">
      <w:pPr>
        <w:pStyle w:val="Prrafodelista"/>
        <w:numPr>
          <w:ilvl w:val="0"/>
          <w:numId w:val="19"/>
        </w:numPr>
        <w:jc w:val="both"/>
        <w:rPr>
          <w:rFonts w:ascii="Verdana" w:eastAsia="Calibri" w:hAnsi="Verdana" w:cs="Arial"/>
        </w:rPr>
      </w:pPr>
      <w:r w:rsidRPr="00296B7D">
        <w:rPr>
          <w:rFonts w:ascii="Verdana" w:eastAsia="Calibri" w:hAnsi="Verdana" w:cs="Arial"/>
        </w:rPr>
        <w:t>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w:t>
      </w:r>
      <w:r w:rsidR="00A53213" w:rsidRPr="00296B7D">
        <w:rPr>
          <w:rFonts w:ascii="Verdana" w:eastAsia="Calibri" w:hAnsi="Verdana" w:cs="Arial"/>
        </w:rPr>
        <w:t xml:space="preserve"> con ESAL</w:t>
      </w:r>
      <w:r w:rsidRPr="00296B7D">
        <w:rPr>
          <w:rFonts w:ascii="Verdana" w:eastAsia="Calibri" w:hAnsi="Verdana" w:cs="Arial"/>
        </w:rPr>
        <w:t xml:space="preserve">; sin embargo, nada obsta para que las ESAL </w:t>
      </w:r>
      <w:r w:rsidRPr="00296B7D">
        <w:rPr>
          <w:rFonts w:ascii="Verdana" w:eastAsia="Calibri" w:hAnsi="Verdana" w:cs="Arial"/>
        </w:rPr>
        <w:lastRenderedPageBreak/>
        <w:t>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w:t>
      </w:r>
      <w:r w:rsidR="00F64D3A" w:rsidRPr="00296B7D">
        <w:rPr>
          <w:rFonts w:ascii="Verdana" w:eastAsia="Calibri" w:hAnsi="Verdana" w:cs="Arial"/>
        </w:rPr>
        <w:t>.</w:t>
      </w:r>
    </w:p>
    <w:p w14:paraId="77A85F4C" w14:textId="77777777" w:rsidR="00296B7D" w:rsidRPr="00296B7D" w:rsidRDefault="00296B7D" w:rsidP="00296B7D">
      <w:pPr>
        <w:pStyle w:val="Prrafodelista"/>
        <w:rPr>
          <w:rFonts w:ascii="Verdana" w:eastAsia="Calibri" w:hAnsi="Verdana" w:cs="Arial"/>
        </w:rPr>
      </w:pPr>
    </w:p>
    <w:p w14:paraId="220585E6" w14:textId="7989DE28" w:rsidR="00B21FFA" w:rsidRPr="00296B7D" w:rsidRDefault="00296B7D" w:rsidP="00E642C7">
      <w:pPr>
        <w:pStyle w:val="Prrafodelista"/>
        <w:numPr>
          <w:ilvl w:val="0"/>
          <w:numId w:val="19"/>
        </w:numPr>
        <w:jc w:val="both"/>
        <w:rPr>
          <w:rFonts w:ascii="Verdana" w:eastAsia="Calibri" w:hAnsi="Verdana" w:cs="Arial"/>
        </w:rPr>
      </w:pPr>
      <w:r>
        <w:rPr>
          <w:rFonts w:ascii="Verdana" w:eastAsia="Calibri" w:hAnsi="Verdana" w:cs="Arial"/>
        </w:rPr>
        <w:t>Por último,</w:t>
      </w:r>
      <w:r w:rsidR="009B5DC8" w:rsidRPr="00296B7D">
        <w:rPr>
          <w:rFonts w:ascii="Verdana" w:eastAsia="Calibri" w:hAnsi="Verdana" w:cs="Arial"/>
        </w:rPr>
        <w:t xml:space="preserve"> según lo estipulado en el Manual para determinar y verificar los requisitos habilitantes en los procesos de contratación </w:t>
      </w:r>
      <w:r w:rsidR="00593232">
        <w:rPr>
          <w:rFonts w:ascii="Verdana" w:eastAsia="Calibri" w:hAnsi="Verdana" w:cs="Arial"/>
        </w:rPr>
        <w:t>de</w:t>
      </w:r>
      <w:r w:rsidR="009B5DC8" w:rsidRPr="00296B7D">
        <w:rPr>
          <w:rFonts w:ascii="Verdana" w:eastAsia="Calibri" w:hAnsi="Verdana" w:cs="Arial"/>
        </w:rPr>
        <w:t xml:space="preserve"> la ANCP – CCE</w:t>
      </w:r>
      <w:r w:rsidR="00D3514A">
        <w:rPr>
          <w:rStyle w:val="Refdenotaalpie"/>
          <w:rFonts w:ascii="Verdana" w:eastAsia="Calibri" w:hAnsi="Verdana" w:cs="Arial"/>
        </w:rPr>
        <w:footnoteReference w:id="10"/>
      </w:r>
      <w:r w:rsidR="00AF474F">
        <w:rPr>
          <w:rFonts w:ascii="Verdana" w:eastAsia="Calibri" w:hAnsi="Verdana" w:cs="Arial"/>
        </w:rPr>
        <w:t>, los documentos que deben aportar las ESAL son</w:t>
      </w:r>
      <w:r w:rsidR="009B5DC8" w:rsidRPr="00296B7D">
        <w:rPr>
          <w:rFonts w:ascii="Verdana" w:eastAsia="Calibri" w:hAnsi="Verdana" w:cs="Arial"/>
        </w:rPr>
        <w:t>:</w:t>
      </w:r>
    </w:p>
    <w:p w14:paraId="48EE8A57" w14:textId="77777777" w:rsidR="00B21FFA" w:rsidRPr="00B21FFA" w:rsidRDefault="00B21FFA" w:rsidP="009B5DC8">
      <w:pPr>
        <w:pStyle w:val="Prrafodelista"/>
        <w:jc w:val="both"/>
        <w:rPr>
          <w:rFonts w:ascii="Verdana" w:eastAsia="Calibri" w:hAnsi="Verdana" w:cs="Arial"/>
        </w:rPr>
      </w:pPr>
    </w:p>
    <w:p w14:paraId="5960E0D2" w14:textId="77777777" w:rsidR="00903955" w:rsidRDefault="00B21FFA" w:rsidP="00903955">
      <w:pPr>
        <w:pStyle w:val="Prrafodelista"/>
        <w:numPr>
          <w:ilvl w:val="0"/>
          <w:numId w:val="24"/>
        </w:numPr>
        <w:jc w:val="both"/>
        <w:rPr>
          <w:rFonts w:ascii="Verdana" w:eastAsia="Calibri" w:hAnsi="Verdana" w:cs="Arial"/>
        </w:rPr>
      </w:pPr>
      <w:r w:rsidRPr="00B21FFA">
        <w:rPr>
          <w:rFonts w:ascii="Verdana" w:eastAsia="Calibri" w:hAnsi="Verdana" w:cs="Arial"/>
        </w:rPr>
        <w:t>Certificado de existencia y representación legal: Emitido por la Cámara de Comercio, este documento confirma que la ESAL está legalmente constituida y registrada</w:t>
      </w:r>
      <w:r w:rsidR="00903955">
        <w:rPr>
          <w:rFonts w:ascii="Verdana" w:eastAsia="Calibri" w:hAnsi="Verdana" w:cs="Arial"/>
        </w:rPr>
        <w:t>.</w:t>
      </w:r>
    </w:p>
    <w:p w14:paraId="18EF11A1" w14:textId="77777777" w:rsidR="00903955" w:rsidRDefault="00B21FFA" w:rsidP="00903955">
      <w:pPr>
        <w:pStyle w:val="Prrafodelista"/>
        <w:numPr>
          <w:ilvl w:val="0"/>
          <w:numId w:val="24"/>
        </w:numPr>
        <w:jc w:val="both"/>
        <w:rPr>
          <w:rFonts w:ascii="Verdana" w:eastAsia="Calibri" w:hAnsi="Verdana" w:cs="Arial"/>
        </w:rPr>
      </w:pPr>
      <w:r w:rsidRPr="00903955">
        <w:rPr>
          <w:rFonts w:ascii="Verdana" w:eastAsia="Calibri" w:hAnsi="Verdana" w:cs="Arial"/>
        </w:rPr>
        <w:t>Declaración de capacidad jurídica: La ESAL debe presentar una declaración en la que certifique que tiene plena capacidad jurídica y que no está incursa en inhabilidades, incompatibilidades o prohibiciones.</w:t>
      </w:r>
    </w:p>
    <w:p w14:paraId="797DE3E9" w14:textId="77777777" w:rsidR="00903955" w:rsidRDefault="00B21FFA" w:rsidP="00903955">
      <w:pPr>
        <w:pStyle w:val="Prrafodelista"/>
        <w:numPr>
          <w:ilvl w:val="0"/>
          <w:numId w:val="24"/>
        </w:numPr>
        <w:jc w:val="both"/>
        <w:rPr>
          <w:rFonts w:ascii="Verdana" w:eastAsia="Calibri" w:hAnsi="Verdana" w:cs="Arial"/>
        </w:rPr>
      </w:pPr>
      <w:r w:rsidRPr="00903955">
        <w:rPr>
          <w:rFonts w:ascii="Verdana" w:eastAsia="Calibri" w:hAnsi="Verdana" w:cs="Arial"/>
        </w:rPr>
        <w:t>Consulta de antecedentes: La entidad estatal encargada del proceso de contratación debe verificar los antecedentes judiciales y disciplinarios de la ESAL a través de sistemas de información de la Procuraduría General de la Nación y la Contraloría General de la República</w:t>
      </w:r>
      <w:r w:rsidR="00903955">
        <w:rPr>
          <w:rFonts w:ascii="Verdana" w:eastAsia="Calibri" w:hAnsi="Verdana" w:cs="Arial"/>
        </w:rPr>
        <w:t>.</w:t>
      </w:r>
    </w:p>
    <w:p w14:paraId="38014BC5" w14:textId="77777777" w:rsidR="00835FCE" w:rsidRDefault="00B21FFA" w:rsidP="00903955">
      <w:pPr>
        <w:pStyle w:val="Prrafodelista"/>
        <w:numPr>
          <w:ilvl w:val="0"/>
          <w:numId w:val="24"/>
        </w:numPr>
        <w:jc w:val="both"/>
        <w:rPr>
          <w:rFonts w:ascii="Verdana" w:eastAsia="Calibri" w:hAnsi="Verdana" w:cs="Arial"/>
        </w:rPr>
      </w:pPr>
      <w:r w:rsidRPr="00903955">
        <w:rPr>
          <w:rFonts w:ascii="Verdana" w:eastAsia="Calibri" w:hAnsi="Verdana" w:cs="Arial"/>
        </w:rPr>
        <w:t>Revisión de estatutos y actas: Se revisan los estatutos y las actas de constitución para asegurar que la ESAL cumple con los requisitos legales y que su objeto social es compatible con el objeto del contrato.</w:t>
      </w:r>
    </w:p>
    <w:p w14:paraId="24D2DAE8" w14:textId="77777777" w:rsidR="00835FCE" w:rsidRDefault="00835FCE" w:rsidP="00835FCE">
      <w:pPr>
        <w:pStyle w:val="Prrafodelista"/>
        <w:ind w:left="1080"/>
        <w:jc w:val="both"/>
        <w:rPr>
          <w:rFonts w:ascii="Verdana" w:eastAsia="Calibri" w:hAnsi="Verdana" w:cs="Arial"/>
        </w:rPr>
      </w:pPr>
    </w:p>
    <w:p w14:paraId="0598352F" w14:textId="503DFB3A" w:rsidR="00903955" w:rsidRDefault="00B21FFA" w:rsidP="00835FCE">
      <w:pPr>
        <w:pStyle w:val="Prrafodelista"/>
        <w:ind w:left="1080"/>
        <w:jc w:val="both"/>
        <w:rPr>
          <w:rFonts w:ascii="Verdana" w:eastAsia="Calibri" w:hAnsi="Verdana" w:cs="Arial"/>
        </w:rPr>
      </w:pPr>
      <w:r w:rsidRPr="00835FCE">
        <w:rPr>
          <w:rFonts w:ascii="Verdana" w:eastAsia="Calibri" w:hAnsi="Verdana" w:cs="Arial"/>
        </w:rPr>
        <w:t>Estos pasos aseguran que la ESAL tiene la capacidad jurídica necesaria para participar en procesos de contratación pública y cumplir con las obligaciones contractuales.</w:t>
      </w:r>
    </w:p>
    <w:p w14:paraId="12FA49AA" w14:textId="15D77460" w:rsidR="002C290C" w:rsidRPr="009322DA" w:rsidRDefault="002C290C" w:rsidP="002C290C">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2C290C" w:rsidRPr="009322DA" w14:paraId="7ED73662" w14:textId="77777777" w:rsidTr="00196A7A">
        <w:trPr>
          <w:trHeight w:val="4473"/>
        </w:trPr>
        <w:tc>
          <w:tcPr>
            <w:tcW w:w="8647" w:type="dxa"/>
            <w:tcBorders>
              <w:top w:val="dotted" w:sz="4" w:space="0" w:color="auto"/>
              <w:left w:val="dotted" w:sz="4" w:space="0" w:color="auto"/>
              <w:bottom w:val="dotted" w:sz="4" w:space="0" w:color="auto"/>
              <w:right w:val="dotted" w:sz="4" w:space="0" w:color="auto"/>
            </w:tcBorders>
          </w:tcPr>
          <w:p w14:paraId="2621BCAE" w14:textId="77777777" w:rsidR="00871116" w:rsidRPr="0039738A" w:rsidRDefault="00871116" w:rsidP="00871116">
            <w:pPr>
              <w:widowControl w:val="0"/>
              <w:numPr>
                <w:ilvl w:val="0"/>
                <w:numId w:val="17"/>
              </w:numPr>
              <w:autoSpaceDE w:val="0"/>
              <w:autoSpaceDN w:val="0"/>
              <w:spacing w:line="276" w:lineRule="auto"/>
              <w:contextualSpacing/>
              <w:jc w:val="both"/>
              <w:rPr>
                <w:rFonts w:ascii="Verdana" w:hAnsi="Verdana" w:cs="Arial"/>
              </w:rPr>
            </w:pPr>
            <w:r w:rsidRPr="0039738A">
              <w:rPr>
                <w:rFonts w:ascii="Verdana" w:hAnsi="Verdana" w:cs="Arial"/>
              </w:rPr>
              <w:lastRenderedPageBreak/>
              <w:t>Ley 80 de 1993, artículo</w:t>
            </w:r>
            <w:r>
              <w:rPr>
                <w:rFonts w:ascii="Verdana" w:hAnsi="Verdana" w:cs="Arial"/>
              </w:rPr>
              <w:t xml:space="preserve"> 5 </w:t>
            </w:r>
            <w:r w:rsidRPr="0039738A">
              <w:rPr>
                <w:rFonts w:ascii="Verdana" w:hAnsi="Verdana" w:cs="Arial"/>
              </w:rPr>
              <w:t>numeral 2</w:t>
            </w:r>
            <w:r>
              <w:rPr>
                <w:rFonts w:ascii="Verdana" w:hAnsi="Verdana" w:cs="Arial"/>
              </w:rPr>
              <w:t xml:space="preserve">4, articulo 24 numeral 7. </w:t>
            </w:r>
          </w:p>
          <w:p w14:paraId="77501B86" w14:textId="77777777" w:rsidR="00871116" w:rsidRPr="0039738A" w:rsidRDefault="00871116" w:rsidP="00871116">
            <w:pPr>
              <w:widowControl w:val="0"/>
              <w:numPr>
                <w:ilvl w:val="0"/>
                <w:numId w:val="17"/>
              </w:numPr>
              <w:autoSpaceDE w:val="0"/>
              <w:autoSpaceDN w:val="0"/>
              <w:spacing w:line="276" w:lineRule="auto"/>
              <w:contextualSpacing/>
              <w:jc w:val="both"/>
              <w:rPr>
                <w:rFonts w:ascii="Verdana" w:hAnsi="Verdana" w:cs="Arial"/>
              </w:rPr>
            </w:pPr>
            <w:r w:rsidRPr="0039738A">
              <w:rPr>
                <w:rFonts w:ascii="Verdana" w:hAnsi="Verdana" w:cs="Arial"/>
              </w:rPr>
              <w:t>Ley 1150 de 2007, artículo 5</w:t>
            </w:r>
            <w:r>
              <w:rPr>
                <w:rFonts w:ascii="Verdana" w:hAnsi="Verdana" w:cs="Arial"/>
              </w:rPr>
              <w:t>.</w:t>
            </w:r>
            <w:r w:rsidRPr="0039738A">
              <w:rPr>
                <w:rFonts w:ascii="Verdana" w:hAnsi="Verdana" w:cs="Arial"/>
              </w:rPr>
              <w:t xml:space="preserve"> </w:t>
            </w:r>
          </w:p>
          <w:p w14:paraId="2FAD3A3E" w14:textId="5743F829" w:rsidR="00D40762" w:rsidRDefault="00871116" w:rsidP="00871116">
            <w:pPr>
              <w:widowControl w:val="0"/>
              <w:numPr>
                <w:ilvl w:val="0"/>
                <w:numId w:val="17"/>
              </w:numPr>
              <w:autoSpaceDE w:val="0"/>
              <w:autoSpaceDN w:val="0"/>
              <w:spacing w:line="276" w:lineRule="auto"/>
              <w:contextualSpacing/>
              <w:jc w:val="both"/>
              <w:rPr>
                <w:rFonts w:ascii="Verdana" w:hAnsi="Verdana" w:cs="Arial"/>
              </w:rPr>
            </w:pPr>
            <w:r>
              <w:rPr>
                <w:rFonts w:ascii="Verdana" w:hAnsi="Verdana" w:cs="Arial"/>
              </w:rPr>
              <w:t>Ley 1882 de 2018</w:t>
            </w:r>
          </w:p>
          <w:p w14:paraId="078F1F22" w14:textId="64E1DFD9" w:rsidR="00871116" w:rsidRDefault="00871116" w:rsidP="00871116">
            <w:pPr>
              <w:widowControl w:val="0"/>
              <w:numPr>
                <w:ilvl w:val="0"/>
                <w:numId w:val="17"/>
              </w:numPr>
              <w:autoSpaceDE w:val="0"/>
              <w:autoSpaceDN w:val="0"/>
              <w:spacing w:line="276" w:lineRule="auto"/>
              <w:contextualSpacing/>
              <w:jc w:val="both"/>
              <w:rPr>
                <w:rFonts w:ascii="Verdana" w:hAnsi="Verdana" w:cs="Arial"/>
              </w:rPr>
            </w:pPr>
            <w:r w:rsidRPr="00871116">
              <w:rPr>
                <w:rFonts w:ascii="Verdana" w:hAnsi="Verdana" w:cs="Arial"/>
              </w:rPr>
              <w:t>Decreto 092 de 2017</w:t>
            </w:r>
          </w:p>
          <w:p w14:paraId="567B5184" w14:textId="280A16E6" w:rsidR="00581DA0" w:rsidRPr="00581DA0" w:rsidRDefault="00581DA0" w:rsidP="00581DA0">
            <w:pPr>
              <w:pStyle w:val="Prrafodelista"/>
              <w:numPr>
                <w:ilvl w:val="0"/>
                <w:numId w:val="17"/>
              </w:numPr>
              <w:rPr>
                <w:rFonts w:ascii="Verdana" w:hAnsi="Verdana" w:cs="Arial"/>
                <w:lang w:val="es-CO"/>
              </w:rPr>
            </w:pPr>
            <w:r w:rsidRPr="0039738A">
              <w:rPr>
                <w:rFonts w:ascii="Verdana" w:hAnsi="Verdana" w:cs="Arial"/>
                <w:lang w:val="es-CO"/>
              </w:rPr>
              <w:t>Decreto 1082 de 2015</w:t>
            </w:r>
            <w:r>
              <w:rPr>
                <w:rFonts w:ascii="Verdana" w:hAnsi="Verdana" w:cs="Arial"/>
                <w:lang w:val="es-CO"/>
              </w:rPr>
              <w:t>,</w:t>
            </w:r>
            <w:r w:rsidR="00196A7A">
              <w:rPr>
                <w:rFonts w:ascii="Verdana" w:hAnsi="Verdana" w:cs="Arial"/>
                <w:lang w:val="es-CO"/>
              </w:rPr>
              <w:t xml:space="preserve"> artículo</w:t>
            </w:r>
            <w:r>
              <w:rPr>
                <w:rFonts w:ascii="Verdana" w:hAnsi="Verdana" w:cs="Arial"/>
                <w:lang w:val="es-CO"/>
              </w:rPr>
              <w:t xml:space="preserve"> </w:t>
            </w:r>
            <w:r w:rsidRPr="0039738A">
              <w:rPr>
                <w:rFonts w:ascii="Verdana" w:hAnsi="Verdana" w:cs="Arial"/>
                <w:lang w:val="es-CO"/>
              </w:rPr>
              <w:t>2.2.1.1.2.1.3</w:t>
            </w:r>
          </w:p>
          <w:p w14:paraId="12C715FC" w14:textId="7A5BD2A7" w:rsidR="002C290C" w:rsidRDefault="002C290C" w:rsidP="00581DA0">
            <w:pPr>
              <w:pStyle w:val="Prrafodelista"/>
              <w:widowControl w:val="0"/>
              <w:numPr>
                <w:ilvl w:val="0"/>
                <w:numId w:val="17"/>
              </w:numPr>
              <w:autoSpaceDE w:val="0"/>
              <w:autoSpaceDN w:val="0"/>
              <w:spacing w:line="276" w:lineRule="auto"/>
              <w:jc w:val="both"/>
              <w:rPr>
                <w:rFonts w:ascii="Verdana" w:hAnsi="Verdana" w:cs="Arial"/>
              </w:rPr>
            </w:pPr>
            <w:r w:rsidRPr="0039738A">
              <w:rPr>
                <w:rFonts w:ascii="Verdana" w:hAnsi="Verdana" w:cs="Arial"/>
              </w:rPr>
              <w:t>CORTE CONSTITUCIONAL. Sala Plena. Sentencia C 178 de 29 de abril de 1996. Magistrado Ponente: Antonio Barrera Carbonell. Expediente No. D-974.</w:t>
            </w:r>
          </w:p>
          <w:p w14:paraId="7AA30E5B" w14:textId="77777777" w:rsidR="002C290C" w:rsidRDefault="002C290C" w:rsidP="002C290C">
            <w:pPr>
              <w:widowControl w:val="0"/>
              <w:numPr>
                <w:ilvl w:val="0"/>
                <w:numId w:val="17"/>
              </w:numPr>
              <w:autoSpaceDE w:val="0"/>
              <w:autoSpaceDN w:val="0"/>
              <w:spacing w:line="276" w:lineRule="auto"/>
              <w:contextualSpacing/>
              <w:jc w:val="both"/>
              <w:rPr>
                <w:rFonts w:ascii="Verdana" w:hAnsi="Verdana" w:cs="Arial"/>
              </w:rPr>
            </w:pPr>
            <w:r w:rsidRPr="0039738A">
              <w:rPr>
                <w:rFonts w:ascii="Verdana" w:hAnsi="Verdana" w:cs="Arial"/>
              </w:rPr>
              <w:t>CONSEJO DE ESTADO</w:t>
            </w:r>
            <w:r>
              <w:rPr>
                <w:rFonts w:ascii="Verdana" w:hAnsi="Verdana" w:cs="Arial"/>
              </w:rPr>
              <w:t xml:space="preserve">, </w:t>
            </w:r>
            <w:r w:rsidRPr="0039738A">
              <w:rPr>
                <w:rFonts w:ascii="Verdana" w:hAnsi="Verdana" w:cs="Arial"/>
              </w:rPr>
              <w:t xml:space="preserve">Sección Tercera. Sentencia de 30 de noviembre de 2006. </w:t>
            </w:r>
            <w:proofErr w:type="spellStart"/>
            <w:r w:rsidRPr="0039738A">
              <w:rPr>
                <w:rFonts w:ascii="Verdana" w:hAnsi="Verdana" w:cs="Arial"/>
              </w:rPr>
              <w:t>Exp</w:t>
            </w:r>
            <w:proofErr w:type="spellEnd"/>
            <w:r w:rsidRPr="0039738A">
              <w:rPr>
                <w:rFonts w:ascii="Verdana" w:hAnsi="Verdana" w:cs="Arial"/>
              </w:rPr>
              <w:t>. 18.059. M.P. Alier Hernández Enríquez.</w:t>
            </w:r>
          </w:p>
          <w:p w14:paraId="019D7BC5" w14:textId="77777777" w:rsidR="002C290C" w:rsidRDefault="002C290C" w:rsidP="002C290C">
            <w:pPr>
              <w:pStyle w:val="Prrafodelista"/>
              <w:numPr>
                <w:ilvl w:val="0"/>
                <w:numId w:val="17"/>
              </w:numPr>
              <w:rPr>
                <w:rFonts w:ascii="Verdana" w:hAnsi="Verdana" w:cs="Arial"/>
                <w:lang w:val="es-CO"/>
              </w:rPr>
            </w:pPr>
            <w:r w:rsidRPr="0039738A">
              <w:rPr>
                <w:rFonts w:ascii="Verdana" w:hAnsi="Verdana" w:cs="Arial"/>
                <w:lang w:val="es-CO"/>
              </w:rPr>
              <w:t xml:space="preserve">CONSEJO DE ESTADO, Sección Tercera. Sentencia del 11 de noviembre de 2009. </w:t>
            </w:r>
            <w:proofErr w:type="spellStart"/>
            <w:r w:rsidRPr="0039738A">
              <w:rPr>
                <w:rFonts w:ascii="Verdana" w:hAnsi="Verdana" w:cs="Arial"/>
                <w:lang w:val="es-CO"/>
              </w:rPr>
              <w:t>Exp</w:t>
            </w:r>
            <w:proofErr w:type="spellEnd"/>
            <w:r w:rsidRPr="0039738A">
              <w:rPr>
                <w:rFonts w:ascii="Verdana" w:hAnsi="Verdana" w:cs="Arial"/>
                <w:lang w:val="es-CO"/>
              </w:rPr>
              <w:t>. 17.366. C.P. Mauricio Fajardo Gómez.</w:t>
            </w:r>
          </w:p>
          <w:p w14:paraId="516A7DDC" w14:textId="77777777" w:rsidR="00581DA0" w:rsidRDefault="002C290C" w:rsidP="00581DA0">
            <w:pPr>
              <w:pStyle w:val="Prrafodelista"/>
              <w:numPr>
                <w:ilvl w:val="0"/>
                <w:numId w:val="17"/>
              </w:numPr>
              <w:rPr>
                <w:rFonts w:ascii="Verdana" w:hAnsi="Verdana" w:cs="Arial"/>
                <w:lang w:val="es-CO"/>
              </w:rPr>
            </w:pPr>
            <w:r w:rsidRPr="0039738A">
              <w:rPr>
                <w:rFonts w:ascii="Verdana" w:hAnsi="Verdana" w:cs="Arial"/>
                <w:lang w:val="es-CO"/>
              </w:rPr>
              <w:t>CONSEJO DE ESTADO</w:t>
            </w:r>
            <w:r>
              <w:rPr>
                <w:rFonts w:ascii="Verdana" w:hAnsi="Verdana" w:cs="Arial"/>
                <w:lang w:val="es-CO"/>
              </w:rPr>
              <w:t>,</w:t>
            </w:r>
            <w:r w:rsidRPr="0039738A">
              <w:rPr>
                <w:rFonts w:ascii="Verdana" w:hAnsi="Verdana" w:cs="Arial"/>
                <w:lang w:val="es-CO"/>
              </w:rPr>
              <w:t xml:space="preserve"> Sección Tercera. Sentencia del 16 de marzo de 2015. </w:t>
            </w:r>
            <w:proofErr w:type="spellStart"/>
            <w:r w:rsidRPr="0039738A">
              <w:rPr>
                <w:rFonts w:ascii="Verdana" w:hAnsi="Verdana" w:cs="Arial"/>
                <w:lang w:val="es-CO"/>
              </w:rPr>
              <w:t>Exp</w:t>
            </w:r>
            <w:proofErr w:type="spellEnd"/>
            <w:r w:rsidRPr="0039738A">
              <w:rPr>
                <w:rFonts w:ascii="Verdana" w:hAnsi="Verdana" w:cs="Arial"/>
                <w:lang w:val="es-CO"/>
              </w:rPr>
              <w:t xml:space="preserve">. 28.040. Consejera Ponente: Olga </w:t>
            </w:r>
            <w:proofErr w:type="spellStart"/>
            <w:r w:rsidRPr="0039738A">
              <w:rPr>
                <w:rFonts w:ascii="Verdana" w:hAnsi="Verdana" w:cs="Arial"/>
                <w:lang w:val="es-CO"/>
              </w:rPr>
              <w:t>Melida</w:t>
            </w:r>
            <w:proofErr w:type="spellEnd"/>
            <w:r w:rsidRPr="0039738A">
              <w:rPr>
                <w:rFonts w:ascii="Verdana" w:hAnsi="Verdana" w:cs="Arial"/>
                <w:lang w:val="es-CO"/>
              </w:rPr>
              <w:t xml:space="preserve"> Valle de la Hoz.</w:t>
            </w:r>
          </w:p>
          <w:p w14:paraId="5D632178" w14:textId="77777777" w:rsidR="002C290C" w:rsidRDefault="00214F25" w:rsidP="00581DA0">
            <w:pPr>
              <w:pStyle w:val="Prrafodelista"/>
              <w:numPr>
                <w:ilvl w:val="0"/>
                <w:numId w:val="17"/>
              </w:numPr>
              <w:rPr>
                <w:rFonts w:ascii="Verdana" w:hAnsi="Verdana" w:cs="Arial"/>
                <w:lang w:val="es-CO"/>
              </w:rPr>
            </w:pPr>
            <w:r>
              <w:rPr>
                <w:rFonts w:ascii="Verdana" w:hAnsi="Verdana" w:cs="Arial"/>
                <w:lang w:val="es-CO"/>
              </w:rPr>
              <w:t xml:space="preserve">Colombia Compra Eficiente, </w:t>
            </w:r>
            <w:r w:rsidR="003A7A6D">
              <w:rPr>
                <w:rFonts w:ascii="Verdana" w:hAnsi="Verdana" w:cs="Arial"/>
                <w:lang w:val="es-CO"/>
              </w:rPr>
              <w:t xml:space="preserve">“Manual </w:t>
            </w:r>
            <w:r w:rsidR="003A7A6D" w:rsidRPr="003A7A6D">
              <w:rPr>
                <w:rFonts w:ascii="Verdana" w:hAnsi="Verdana" w:cs="Arial"/>
                <w:lang w:val="es-CO"/>
              </w:rPr>
              <w:t>para determinar y verificar los requisitos habilitantes en los procesos de contratación</w:t>
            </w:r>
            <w:r w:rsidR="003A7A6D">
              <w:rPr>
                <w:rFonts w:ascii="Verdana" w:hAnsi="Verdana" w:cs="Arial"/>
                <w:lang w:val="es-CO"/>
              </w:rPr>
              <w:t>”</w:t>
            </w:r>
            <w:r>
              <w:rPr>
                <w:rFonts w:ascii="Verdana" w:hAnsi="Verdana" w:cs="Arial"/>
                <w:lang w:val="es-CO"/>
              </w:rPr>
              <w:t xml:space="preserve"> disponible en: </w:t>
            </w:r>
            <w:hyperlink r:id="rId13" w:history="1">
              <w:r w:rsidR="000F30F4" w:rsidRPr="00943ED1">
                <w:rPr>
                  <w:rStyle w:val="Hipervnculo"/>
                  <w:rFonts w:ascii="Verdana" w:hAnsi="Verdana" w:cs="Arial"/>
                  <w:lang w:val="es-CO"/>
                </w:rPr>
                <w:t>https://colombiacompra.gov.co/sites/cce_public/files/cce_documents/cce-eicp-ma-04._manual_requisitos_habilitantes_v3_29-09-2023.pdf</w:t>
              </w:r>
            </w:hyperlink>
            <w:r w:rsidR="000F30F4">
              <w:rPr>
                <w:rFonts w:ascii="Verdana" w:hAnsi="Verdana" w:cs="Arial"/>
                <w:lang w:val="es-CO"/>
              </w:rPr>
              <w:t xml:space="preserve"> </w:t>
            </w:r>
          </w:p>
          <w:p w14:paraId="7B86D646" w14:textId="4223AD9B" w:rsidR="00214F25" w:rsidRPr="00581DA0" w:rsidRDefault="00214F25" w:rsidP="00581DA0">
            <w:pPr>
              <w:pStyle w:val="Prrafodelista"/>
              <w:numPr>
                <w:ilvl w:val="0"/>
                <w:numId w:val="17"/>
              </w:numPr>
              <w:rPr>
                <w:rFonts w:ascii="Verdana" w:hAnsi="Verdana" w:cs="Arial"/>
                <w:lang w:val="es-CO"/>
              </w:rPr>
            </w:pPr>
            <w:r w:rsidRPr="00214F25">
              <w:rPr>
                <w:rFonts w:ascii="Verdana" w:hAnsi="Verdana" w:cs="Arial"/>
                <w:lang w:val="es-CO"/>
              </w:rPr>
              <w:t xml:space="preserve">OSPINA MENA, Jesús Marino. Régimen de la Contratación Estatal. Un salto a la contratación líquida. Bogotá: Ed. 1ª. </w:t>
            </w:r>
            <w:proofErr w:type="spellStart"/>
            <w:r w:rsidRPr="00214F25">
              <w:rPr>
                <w:rFonts w:ascii="Verdana" w:hAnsi="Verdana" w:cs="Arial"/>
                <w:lang w:val="es-CO"/>
              </w:rPr>
              <w:t>Diké</w:t>
            </w:r>
            <w:proofErr w:type="spellEnd"/>
            <w:r w:rsidRPr="00214F25">
              <w:rPr>
                <w:rFonts w:ascii="Verdana" w:hAnsi="Verdana" w:cs="Arial"/>
                <w:lang w:val="es-CO"/>
              </w:rPr>
              <w:t>, 2020</w:t>
            </w:r>
            <w:r>
              <w:rPr>
                <w:rFonts w:ascii="Verdana" w:hAnsi="Verdana" w:cs="Arial"/>
                <w:lang w:val="es-CO"/>
              </w:rPr>
              <w:t>.</w:t>
            </w:r>
          </w:p>
        </w:tc>
      </w:tr>
    </w:tbl>
    <w:p w14:paraId="214E50A7" w14:textId="77777777" w:rsidR="002C290C" w:rsidRPr="009322DA" w:rsidRDefault="002C290C" w:rsidP="002C290C">
      <w:pPr>
        <w:tabs>
          <w:tab w:val="left" w:pos="142"/>
          <w:tab w:val="left" w:pos="284"/>
        </w:tabs>
        <w:spacing w:after="0" w:line="276" w:lineRule="auto"/>
        <w:jc w:val="both"/>
        <w:rPr>
          <w:rFonts w:ascii="Verdana" w:eastAsia="Calibri" w:hAnsi="Verdana" w:cs="Arial"/>
        </w:rPr>
      </w:pPr>
    </w:p>
    <w:p w14:paraId="5478E4AB" w14:textId="3CB4305A" w:rsidR="002C290C" w:rsidRDefault="002C290C" w:rsidP="002C290C">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sidR="00196A7A">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3CE95155" w14:textId="77777777" w:rsidR="002C290C" w:rsidRPr="009322DA" w:rsidRDefault="002C290C" w:rsidP="002C290C">
      <w:pPr>
        <w:tabs>
          <w:tab w:val="left" w:pos="142"/>
          <w:tab w:val="left" w:pos="284"/>
        </w:tabs>
        <w:spacing w:after="0" w:line="276" w:lineRule="auto"/>
        <w:jc w:val="both"/>
        <w:rPr>
          <w:rFonts w:ascii="Verdana" w:eastAsia="Century Gothic" w:hAnsi="Verdana" w:cs="Century Gothic"/>
          <w:b/>
          <w:bCs/>
          <w:lang w:val="es-ES"/>
        </w:rPr>
      </w:pPr>
    </w:p>
    <w:p w14:paraId="43C78C89" w14:textId="1D6EC55D" w:rsidR="002C290C" w:rsidRPr="008328CE" w:rsidRDefault="002C290C" w:rsidP="00581DA0">
      <w:pPr>
        <w:spacing w:after="0" w:line="276" w:lineRule="auto"/>
        <w:jc w:val="both"/>
        <w:rPr>
          <w:rFonts w:ascii="Verdana" w:eastAsia="Calibri" w:hAnsi="Verdana" w:cs="Arial"/>
          <w:color w:val="000000" w:themeColor="text1"/>
          <w:shd w:val="clear" w:color="auto" w:fill="FFFFFF"/>
        </w:rPr>
      </w:pPr>
      <w:r w:rsidRPr="005048BD">
        <w:rPr>
          <w:rStyle w:val="normaltextrun"/>
          <w:rFonts w:ascii="Verdana" w:hAnsi="Verdana" w:cs="Arial"/>
          <w:shd w:val="clear" w:color="auto" w:fill="FFFFFF"/>
          <w:lang w:val="es-ES"/>
        </w:rPr>
        <w:t xml:space="preserve">Sobre </w:t>
      </w:r>
      <w:r w:rsidRPr="005048BD">
        <w:rPr>
          <w:rFonts w:ascii="Verdana" w:eastAsia="Times New Roman" w:hAnsi="Verdana" w:cs="Arial"/>
          <w:bCs/>
          <w:lang w:eastAsia="es-ES_tradnl"/>
        </w:rPr>
        <w:t xml:space="preserve">los </w:t>
      </w:r>
      <w:r w:rsidRPr="005048BD">
        <w:rPr>
          <w:rFonts w:ascii="Verdana" w:eastAsia="Calibri" w:hAnsi="Verdana" w:cs="Arial"/>
          <w:bCs/>
          <w:lang w:val="es-ES" w:eastAsia="es-ES"/>
        </w:rPr>
        <w:t>pliego</w:t>
      </w:r>
      <w:r>
        <w:rPr>
          <w:rFonts w:ascii="Verdana" w:eastAsia="Calibri" w:hAnsi="Verdana" w:cs="Arial"/>
          <w:bCs/>
          <w:lang w:val="es-ES" w:eastAsia="es-ES"/>
        </w:rPr>
        <w:t>s</w:t>
      </w:r>
      <w:r w:rsidRPr="005048BD">
        <w:rPr>
          <w:rFonts w:ascii="Verdana" w:eastAsia="Calibri" w:hAnsi="Verdana" w:cs="Arial"/>
          <w:bCs/>
          <w:lang w:val="es-ES" w:eastAsia="es-ES"/>
        </w:rPr>
        <w:t xml:space="preserve"> de condiciones, su naturaleza,</w:t>
      </w:r>
      <w:r w:rsidRPr="005048BD">
        <w:rPr>
          <w:rFonts w:ascii="Verdana" w:eastAsia="Arial" w:hAnsi="Verdana" w:cs="Arial"/>
          <w:bCs/>
          <w:lang w:val="es-MX" w:eastAsia="es-ES"/>
        </w:rPr>
        <w:t xml:space="preserve"> claridad y precisión de su contenido</w:t>
      </w:r>
      <w:r w:rsidRPr="005048BD">
        <w:rPr>
          <w:rStyle w:val="normaltextrun"/>
          <w:rFonts w:ascii="Verdana" w:hAnsi="Verdana" w:cs="Arial"/>
          <w:shd w:val="clear" w:color="auto" w:fill="FFFFFF"/>
          <w:lang w:val="es-ES"/>
        </w:rPr>
        <w:t xml:space="preserve"> se pronunció esta Subdirección en los conceptos</w:t>
      </w:r>
      <w:r w:rsidRPr="005048BD">
        <w:rPr>
          <w:rStyle w:val="normaltextrun"/>
          <w:rFonts w:ascii="Verdana" w:hAnsi="Verdana" w:cs="Calibri"/>
          <w:shd w:val="clear" w:color="auto" w:fill="FFFFFF"/>
        </w:rPr>
        <w:t xml:space="preserve"> C-218 de</w:t>
      </w:r>
      <w:r>
        <w:rPr>
          <w:rStyle w:val="normaltextrun"/>
          <w:rFonts w:ascii="Verdana" w:hAnsi="Verdana" w:cs="Calibri"/>
          <w:shd w:val="clear" w:color="auto" w:fill="FFFFFF"/>
        </w:rPr>
        <w:t xml:space="preserve"> 13</w:t>
      </w:r>
      <w:r w:rsidRPr="005048BD">
        <w:rPr>
          <w:rStyle w:val="normaltextrun"/>
          <w:rFonts w:ascii="Verdana" w:hAnsi="Verdana" w:cs="Calibri"/>
          <w:shd w:val="clear" w:color="auto" w:fill="FFFFFF"/>
        </w:rPr>
        <w:t xml:space="preserve"> julio del 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C-274 de</w:t>
      </w:r>
      <w:r>
        <w:rPr>
          <w:rStyle w:val="normaltextrun"/>
          <w:rFonts w:ascii="Verdana" w:hAnsi="Verdana" w:cs="Calibri"/>
          <w:shd w:val="clear" w:color="auto" w:fill="FFFFFF"/>
        </w:rPr>
        <w:t xml:space="preserve"> 14</w:t>
      </w:r>
      <w:r w:rsidRPr="005048BD">
        <w:rPr>
          <w:rStyle w:val="normaltextrun"/>
          <w:rFonts w:ascii="Verdana" w:hAnsi="Verdana" w:cs="Calibri"/>
          <w:shd w:val="clear" w:color="auto" w:fill="FFFFFF"/>
        </w:rPr>
        <w:t xml:space="preserve"> julio </w:t>
      </w:r>
      <w:r>
        <w:rPr>
          <w:rStyle w:val="normaltextrun"/>
          <w:rFonts w:ascii="Verdana" w:hAnsi="Verdana" w:cs="Calibri"/>
          <w:shd w:val="clear" w:color="auto" w:fill="FFFFFF"/>
        </w:rPr>
        <w:t xml:space="preserve">del </w:t>
      </w:r>
      <w:r w:rsidRPr="005048BD">
        <w:rPr>
          <w:rStyle w:val="normaltextrun"/>
          <w:rFonts w:ascii="Verdana" w:hAnsi="Verdana" w:cs="Calibri"/>
          <w:shd w:val="clear" w:color="auto" w:fill="FFFFFF"/>
        </w:rPr>
        <w:t>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C-309 de</w:t>
      </w:r>
      <w:r>
        <w:rPr>
          <w:rStyle w:val="normaltextrun"/>
          <w:rFonts w:ascii="Verdana" w:hAnsi="Verdana" w:cs="Calibri"/>
          <w:shd w:val="clear" w:color="auto" w:fill="FFFFFF"/>
        </w:rPr>
        <w:t xml:space="preserve"> 28</w:t>
      </w:r>
      <w:r w:rsidRPr="005048BD">
        <w:rPr>
          <w:rStyle w:val="normaltextrun"/>
          <w:rFonts w:ascii="Verdana" w:hAnsi="Verdana" w:cs="Calibri"/>
          <w:shd w:val="clear" w:color="auto" w:fill="FFFFFF"/>
        </w:rPr>
        <w:t xml:space="preserve"> julio</w:t>
      </w:r>
      <w:r>
        <w:rPr>
          <w:rStyle w:val="normaltextrun"/>
          <w:rFonts w:ascii="Verdana" w:hAnsi="Verdana" w:cs="Calibri"/>
          <w:shd w:val="clear" w:color="auto" w:fill="FFFFFF"/>
        </w:rPr>
        <w:t xml:space="preserve"> del</w:t>
      </w:r>
      <w:r w:rsidRPr="005048BD">
        <w:rPr>
          <w:rStyle w:val="normaltextrun"/>
          <w:rFonts w:ascii="Verdana" w:hAnsi="Verdana" w:cs="Calibri"/>
          <w:shd w:val="clear" w:color="auto" w:fill="FFFFFF"/>
        </w:rPr>
        <w:t xml:space="preserve"> 2023, C-344 de</w:t>
      </w:r>
      <w:r>
        <w:rPr>
          <w:rStyle w:val="normaltextrun"/>
          <w:rFonts w:ascii="Verdana" w:hAnsi="Verdana" w:cs="Calibri"/>
          <w:shd w:val="clear" w:color="auto" w:fill="FFFFFF"/>
        </w:rPr>
        <w:t xml:space="preserve"> 18</w:t>
      </w:r>
      <w:r w:rsidRPr="005048BD">
        <w:rPr>
          <w:rStyle w:val="normaltextrun"/>
          <w:rFonts w:ascii="Verdana" w:hAnsi="Verdana" w:cs="Calibri"/>
          <w:shd w:val="clear" w:color="auto" w:fill="FFFFFF"/>
        </w:rPr>
        <w:t xml:space="preserve"> agosto</w:t>
      </w:r>
      <w:r>
        <w:rPr>
          <w:rStyle w:val="normaltextrun"/>
          <w:rFonts w:ascii="Verdana" w:hAnsi="Verdana" w:cs="Calibri"/>
          <w:shd w:val="clear" w:color="auto" w:fill="FFFFFF"/>
        </w:rPr>
        <w:t xml:space="preserve"> del</w:t>
      </w:r>
      <w:r w:rsidRPr="005048BD">
        <w:rPr>
          <w:rStyle w:val="normaltextrun"/>
          <w:rFonts w:ascii="Verdana" w:hAnsi="Verdana" w:cs="Calibri"/>
          <w:shd w:val="clear" w:color="auto" w:fill="FFFFFF"/>
        </w:rPr>
        <w:t xml:space="preserve"> 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 xml:space="preserve">C-346 de </w:t>
      </w:r>
      <w:r>
        <w:rPr>
          <w:rStyle w:val="normaltextrun"/>
          <w:rFonts w:ascii="Verdana" w:hAnsi="Verdana" w:cs="Calibri"/>
          <w:shd w:val="clear" w:color="auto" w:fill="FFFFFF"/>
        </w:rPr>
        <w:t xml:space="preserve">25 </w:t>
      </w:r>
      <w:r w:rsidRPr="005048BD">
        <w:rPr>
          <w:rStyle w:val="normaltextrun"/>
          <w:rFonts w:ascii="Verdana" w:hAnsi="Verdana" w:cs="Calibri"/>
          <w:shd w:val="clear" w:color="auto" w:fill="FFFFFF"/>
        </w:rPr>
        <w:t>agosto del 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C-297 de</w:t>
      </w:r>
      <w:r>
        <w:rPr>
          <w:rStyle w:val="normaltextrun"/>
          <w:rFonts w:ascii="Verdana" w:hAnsi="Verdana" w:cs="Calibri"/>
          <w:shd w:val="clear" w:color="auto" w:fill="FFFFFF"/>
        </w:rPr>
        <w:t xml:space="preserve"> 3</w:t>
      </w:r>
      <w:r w:rsidRPr="005048BD">
        <w:rPr>
          <w:rStyle w:val="normaltextrun"/>
          <w:rFonts w:ascii="Verdana" w:hAnsi="Verdana" w:cs="Calibri"/>
          <w:shd w:val="clear" w:color="auto" w:fill="FFFFFF"/>
        </w:rPr>
        <w:t xml:space="preserve"> octubre</w:t>
      </w:r>
      <w:r>
        <w:rPr>
          <w:rStyle w:val="normaltextrun"/>
          <w:rFonts w:ascii="Verdana" w:hAnsi="Verdana" w:cs="Calibri"/>
          <w:shd w:val="clear" w:color="auto" w:fill="FFFFFF"/>
        </w:rPr>
        <w:t xml:space="preserve"> del</w:t>
      </w:r>
      <w:r w:rsidRPr="005048BD">
        <w:rPr>
          <w:rStyle w:val="normaltextrun"/>
          <w:rFonts w:ascii="Verdana" w:hAnsi="Verdana" w:cs="Calibri"/>
          <w:shd w:val="clear" w:color="auto" w:fill="FFFFFF"/>
        </w:rPr>
        <w:t xml:space="preserve"> 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C-201 de</w:t>
      </w:r>
      <w:r>
        <w:rPr>
          <w:rStyle w:val="normaltextrun"/>
          <w:rFonts w:ascii="Verdana" w:hAnsi="Verdana" w:cs="Calibri"/>
          <w:shd w:val="clear" w:color="auto" w:fill="FFFFFF"/>
        </w:rPr>
        <w:t xml:space="preserve"> 26</w:t>
      </w:r>
      <w:r w:rsidRPr="005048BD">
        <w:rPr>
          <w:rStyle w:val="normaltextrun"/>
          <w:rFonts w:ascii="Verdana" w:hAnsi="Verdana" w:cs="Calibri"/>
          <w:shd w:val="clear" w:color="auto" w:fill="FFFFFF"/>
        </w:rPr>
        <w:t xml:space="preserve"> octubre</w:t>
      </w:r>
      <w:r>
        <w:rPr>
          <w:rStyle w:val="normaltextrun"/>
          <w:rFonts w:ascii="Verdana" w:hAnsi="Verdana" w:cs="Calibri"/>
          <w:shd w:val="clear" w:color="auto" w:fill="FFFFFF"/>
        </w:rPr>
        <w:t xml:space="preserve"> de</w:t>
      </w:r>
      <w:r w:rsidRPr="005048BD">
        <w:rPr>
          <w:rStyle w:val="normaltextrun"/>
          <w:rFonts w:ascii="Verdana" w:hAnsi="Verdana" w:cs="Calibri"/>
          <w:shd w:val="clear" w:color="auto" w:fill="FFFFFF"/>
        </w:rPr>
        <w:t xml:space="preserve"> 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C-144 de</w:t>
      </w:r>
      <w:r>
        <w:rPr>
          <w:rStyle w:val="normaltextrun"/>
          <w:rFonts w:ascii="Verdana" w:hAnsi="Verdana" w:cs="Calibri"/>
          <w:shd w:val="clear" w:color="auto" w:fill="FFFFFF"/>
        </w:rPr>
        <w:t xml:space="preserve"> 6</w:t>
      </w:r>
      <w:r w:rsidRPr="005048BD">
        <w:rPr>
          <w:rStyle w:val="normaltextrun"/>
          <w:rFonts w:ascii="Verdana" w:hAnsi="Verdana" w:cs="Calibri"/>
          <w:shd w:val="clear" w:color="auto" w:fill="FFFFFF"/>
        </w:rPr>
        <w:t xml:space="preserve"> diciembre </w:t>
      </w:r>
      <w:r>
        <w:rPr>
          <w:rStyle w:val="normaltextrun"/>
          <w:rFonts w:ascii="Verdana" w:hAnsi="Verdana" w:cs="Calibri"/>
          <w:shd w:val="clear" w:color="auto" w:fill="FFFFFF"/>
        </w:rPr>
        <w:t xml:space="preserve">del </w:t>
      </w:r>
      <w:r w:rsidRPr="005048BD">
        <w:rPr>
          <w:rStyle w:val="normaltextrun"/>
          <w:rFonts w:ascii="Verdana" w:hAnsi="Verdana" w:cs="Calibri"/>
          <w:shd w:val="clear" w:color="auto" w:fill="FFFFFF"/>
        </w:rPr>
        <w:t>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C-440 de</w:t>
      </w:r>
      <w:r>
        <w:rPr>
          <w:rStyle w:val="normaltextrun"/>
          <w:rFonts w:ascii="Verdana" w:hAnsi="Verdana" w:cs="Calibri"/>
          <w:shd w:val="clear" w:color="auto" w:fill="FFFFFF"/>
        </w:rPr>
        <w:t xml:space="preserve"> 12</w:t>
      </w:r>
      <w:r w:rsidRPr="005048BD">
        <w:rPr>
          <w:rStyle w:val="normaltextrun"/>
          <w:rFonts w:ascii="Verdana" w:hAnsi="Verdana" w:cs="Calibri"/>
          <w:shd w:val="clear" w:color="auto" w:fill="FFFFFF"/>
        </w:rPr>
        <w:t xml:space="preserve"> diciembre</w:t>
      </w:r>
      <w:r>
        <w:rPr>
          <w:rStyle w:val="normaltextrun"/>
          <w:rFonts w:ascii="Verdana" w:hAnsi="Verdana" w:cs="Calibri"/>
          <w:shd w:val="clear" w:color="auto" w:fill="FFFFFF"/>
        </w:rPr>
        <w:t xml:space="preserve"> del </w:t>
      </w:r>
      <w:r w:rsidRPr="005048BD">
        <w:rPr>
          <w:rStyle w:val="normaltextrun"/>
          <w:rFonts w:ascii="Verdana" w:hAnsi="Verdana" w:cs="Calibri"/>
          <w:shd w:val="clear" w:color="auto" w:fill="FFFFFF"/>
        </w:rPr>
        <w:t>2023</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C-001 de</w:t>
      </w:r>
      <w:r>
        <w:rPr>
          <w:rStyle w:val="normaltextrun"/>
          <w:rFonts w:ascii="Verdana" w:hAnsi="Verdana" w:cs="Calibri"/>
          <w:shd w:val="clear" w:color="auto" w:fill="FFFFFF"/>
        </w:rPr>
        <w:t xml:space="preserve"> 25</w:t>
      </w:r>
      <w:r w:rsidRPr="005048BD">
        <w:rPr>
          <w:rStyle w:val="normaltextrun"/>
          <w:rFonts w:ascii="Verdana" w:hAnsi="Verdana" w:cs="Calibri"/>
          <w:shd w:val="clear" w:color="auto" w:fill="FFFFFF"/>
        </w:rPr>
        <w:t xml:space="preserve"> enero del 2024</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C-030 de</w:t>
      </w:r>
      <w:r>
        <w:rPr>
          <w:rStyle w:val="normaltextrun"/>
          <w:rFonts w:ascii="Verdana" w:hAnsi="Verdana" w:cs="Calibri"/>
          <w:shd w:val="clear" w:color="auto" w:fill="FFFFFF"/>
        </w:rPr>
        <w:t xml:space="preserve"> 9</w:t>
      </w:r>
      <w:r w:rsidRPr="005048BD">
        <w:rPr>
          <w:rStyle w:val="normaltextrun"/>
          <w:rFonts w:ascii="Verdana" w:hAnsi="Verdana" w:cs="Calibri"/>
          <w:shd w:val="clear" w:color="auto" w:fill="FFFFFF"/>
        </w:rPr>
        <w:t xml:space="preserve"> abril del 2024</w:t>
      </w:r>
      <w:r>
        <w:rPr>
          <w:rStyle w:val="normaltextrun"/>
          <w:rFonts w:ascii="Verdana" w:hAnsi="Verdana" w:cs="Calibri"/>
          <w:shd w:val="clear" w:color="auto" w:fill="FFFFFF"/>
        </w:rPr>
        <w:t xml:space="preserve">, </w:t>
      </w:r>
      <w:r w:rsidRPr="005048BD">
        <w:rPr>
          <w:rStyle w:val="normaltextrun"/>
          <w:rFonts w:ascii="Verdana" w:hAnsi="Verdana" w:cs="Calibri"/>
          <w:shd w:val="clear" w:color="auto" w:fill="FFFFFF"/>
        </w:rPr>
        <w:t>C-053 de</w:t>
      </w:r>
      <w:r>
        <w:rPr>
          <w:rStyle w:val="normaltextrun"/>
          <w:rFonts w:ascii="Verdana" w:hAnsi="Verdana" w:cs="Calibri"/>
          <w:shd w:val="clear" w:color="auto" w:fill="FFFFFF"/>
        </w:rPr>
        <w:t xml:space="preserve"> 7</w:t>
      </w:r>
      <w:r w:rsidRPr="005048BD">
        <w:rPr>
          <w:rStyle w:val="normaltextrun"/>
          <w:rFonts w:ascii="Verdana" w:hAnsi="Verdana" w:cs="Calibri"/>
          <w:shd w:val="clear" w:color="auto" w:fill="FFFFFF"/>
        </w:rPr>
        <w:t xml:space="preserve"> mayo de</w:t>
      </w:r>
      <w:r>
        <w:rPr>
          <w:rStyle w:val="normaltextrun"/>
          <w:rFonts w:ascii="Verdana" w:hAnsi="Verdana" w:cs="Calibri"/>
          <w:shd w:val="clear" w:color="auto" w:fill="FFFFFF"/>
        </w:rPr>
        <w:t>l</w:t>
      </w:r>
      <w:r w:rsidRPr="005048BD">
        <w:rPr>
          <w:rStyle w:val="normaltextrun"/>
          <w:rFonts w:ascii="Verdana" w:hAnsi="Verdana" w:cs="Calibri"/>
          <w:shd w:val="clear" w:color="auto" w:fill="FFFFFF"/>
        </w:rPr>
        <w:t xml:space="preserve"> 2024</w:t>
      </w:r>
      <w:r>
        <w:rPr>
          <w:rStyle w:val="normaltextrun"/>
          <w:rFonts w:ascii="Verdana" w:hAnsi="Verdana" w:cs="Calibri"/>
          <w:shd w:val="clear" w:color="auto" w:fill="FFFFFF"/>
        </w:rPr>
        <w:t xml:space="preserve"> y C-314 de 2024.</w:t>
      </w:r>
      <w:r w:rsidR="00BB1CCB">
        <w:rPr>
          <w:rFonts w:ascii="Verdana" w:eastAsia="Calibri" w:hAnsi="Verdana" w:cs="Arial"/>
          <w:bCs/>
          <w:shd w:val="clear" w:color="auto" w:fill="FFFFFF"/>
        </w:rPr>
        <w:t xml:space="preserve"> </w:t>
      </w:r>
      <w:r w:rsidRPr="007E08D3">
        <w:rPr>
          <w:rFonts w:ascii="Verdana" w:eastAsia="Calibri" w:hAnsi="Verdana" w:cs="Arial"/>
          <w:bCs/>
          <w:shd w:val="clear" w:color="auto" w:fill="FFFFFF"/>
        </w:rPr>
        <w:t>A su vez, la Agencia Nacional de Contratación Pública – Colombia Compra Eficiente analizó el tema relacionado</w:t>
      </w:r>
      <w:r>
        <w:rPr>
          <w:rFonts w:ascii="Verdana" w:eastAsia="Calibri" w:hAnsi="Verdana" w:cs="Arial"/>
          <w:bCs/>
          <w:shd w:val="clear" w:color="auto" w:fill="FFFFFF"/>
        </w:rPr>
        <w:t xml:space="preserve"> </w:t>
      </w:r>
      <w:r w:rsidRPr="007E08D3">
        <w:rPr>
          <w:rFonts w:ascii="Verdana" w:eastAsia="Calibri" w:hAnsi="Verdana" w:cs="Arial"/>
          <w:bCs/>
          <w:shd w:val="clear" w:color="auto" w:fill="FFFFFF"/>
        </w:rPr>
        <w:t>con la contratación con las ESAL, en diferentes conceptos entre los cuales se encuentran, el concepto C-280 del 15 de junio de 2021, C-391 de 11 de agosto de 2021, C-560 del 1 de septiembre de 2021, -021 del 22 de febrero de 2022, C-041 del 12 de abril de 2023 C-183 del 08 de junio de 2023</w:t>
      </w:r>
      <w:r>
        <w:rPr>
          <w:rFonts w:ascii="Verdana" w:eastAsia="Calibri" w:hAnsi="Verdana" w:cs="Arial"/>
          <w:bCs/>
          <w:shd w:val="clear" w:color="auto" w:fill="FFFFFF"/>
        </w:rPr>
        <w:t xml:space="preserve">, </w:t>
      </w:r>
      <w:r w:rsidRPr="007E08D3">
        <w:rPr>
          <w:rFonts w:ascii="Verdana" w:eastAsia="Calibri" w:hAnsi="Verdana" w:cs="Arial"/>
          <w:bCs/>
          <w:shd w:val="clear" w:color="auto" w:fill="FFFFFF"/>
        </w:rPr>
        <w:t>C-141 del 29 de julio de 2024</w:t>
      </w:r>
      <w:r>
        <w:rPr>
          <w:rFonts w:ascii="Verdana" w:eastAsia="Calibri" w:hAnsi="Verdana" w:cs="Arial"/>
          <w:bCs/>
          <w:shd w:val="clear" w:color="auto" w:fill="FFFFFF"/>
        </w:rPr>
        <w:t xml:space="preserve"> y C-192 de julio de 2024.</w:t>
      </w:r>
      <w:r w:rsidR="00BB1CCB">
        <w:rPr>
          <w:rFonts w:ascii="Verdana" w:eastAsia="Calibri" w:hAnsi="Verdana" w:cs="Arial"/>
          <w:color w:val="000000" w:themeColor="text1"/>
          <w:shd w:val="clear" w:color="auto" w:fill="FFFFFF"/>
        </w:rPr>
        <w:t xml:space="preserve"> </w:t>
      </w:r>
      <w:r w:rsidRPr="008328CE">
        <w:rPr>
          <w:rFonts w:ascii="Verdana" w:eastAsia="Calibri" w:hAnsi="Verdana" w:cs="Arial"/>
          <w:color w:val="000000" w:themeColor="text1"/>
          <w:shd w:val="clear" w:color="auto" w:fill="FFFFFF"/>
        </w:rPr>
        <w:t xml:space="preserve">Estos y otros conceptos se encuentran disponibles para consulta en el Sistema de Relatoría de la Agencia, en el cual </w:t>
      </w:r>
      <w:r w:rsidRPr="008328CE">
        <w:rPr>
          <w:rFonts w:ascii="Verdana" w:eastAsia="Calibri" w:hAnsi="Verdana" w:cs="Arial"/>
          <w:color w:val="000000" w:themeColor="text1"/>
          <w:shd w:val="clear" w:color="auto" w:fill="FFFFFF"/>
        </w:rPr>
        <w:lastRenderedPageBreak/>
        <w:t>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sidRPr="008328CE">
        <w:rPr>
          <w:rFonts w:ascii="Verdana" w:eastAsia="Calibri"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8328CE">
          <w:rPr>
            <w:rStyle w:val="Hipervnculo"/>
            <w:rFonts w:ascii="Verdana" w:eastAsia="Calibri" w:hAnsi="Verdana" w:cs="Arial"/>
            <w:color w:val="000000" w:themeColor="text1"/>
            <w:shd w:val="clear" w:color="auto" w:fill="FFFFFF"/>
          </w:rPr>
          <w:t>https://www.colombiacompra.gov.co/sites/cce_public/files/files_2020/boletin_de_realtoria_iii.pdf</w:t>
        </w:r>
      </w:hyperlink>
      <w:r w:rsidRPr="008328CE">
        <w:rPr>
          <w:rFonts w:ascii="Verdana" w:eastAsia="Calibri" w:hAnsi="Verdana" w:cs="Arial"/>
          <w:color w:val="000000" w:themeColor="text1"/>
          <w:shd w:val="clear" w:color="auto" w:fill="FFFFFF"/>
        </w:rPr>
        <w:t>.  </w:t>
      </w:r>
    </w:p>
    <w:p w14:paraId="59674C38" w14:textId="77777777" w:rsidR="002C290C" w:rsidRPr="009322DA" w:rsidRDefault="002C290C" w:rsidP="00581DA0">
      <w:pPr>
        <w:spacing w:after="0" w:line="276" w:lineRule="auto"/>
        <w:jc w:val="both"/>
        <w:rPr>
          <w:rFonts w:ascii="Verdana" w:eastAsia="Calibri" w:hAnsi="Verdana" w:cs="Arial"/>
          <w:color w:val="FF0000"/>
          <w:shd w:val="clear" w:color="auto" w:fill="FFFFFF"/>
        </w:rPr>
      </w:pPr>
    </w:p>
    <w:p w14:paraId="6AE3E21F" w14:textId="77777777" w:rsidR="002C290C" w:rsidRPr="009322DA" w:rsidRDefault="002C290C" w:rsidP="002C290C">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4366C10A" w14:textId="77777777" w:rsidR="002C290C" w:rsidRPr="0044528D" w:rsidRDefault="002C290C" w:rsidP="002C290C">
      <w:pPr>
        <w:spacing w:after="0" w:line="240" w:lineRule="auto"/>
        <w:jc w:val="both"/>
        <w:rPr>
          <w:rFonts w:ascii="Verdana" w:hAnsi="Verdana"/>
        </w:rPr>
      </w:pPr>
    </w:p>
    <w:p w14:paraId="5808672F" w14:textId="77777777" w:rsidR="002C290C" w:rsidRPr="0044528D" w:rsidRDefault="002C290C" w:rsidP="002C290C">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556B6C03" w14:textId="77777777" w:rsidR="002C290C" w:rsidRPr="0044528D" w:rsidRDefault="002C290C" w:rsidP="002C290C">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151B852F" w14:textId="77777777" w:rsidR="002C290C" w:rsidRPr="0044528D" w:rsidRDefault="002C290C" w:rsidP="002C290C">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5BD12A99" w14:textId="77777777" w:rsidR="002C290C" w:rsidRPr="0044528D" w:rsidRDefault="002C290C" w:rsidP="002C290C">
      <w:pPr>
        <w:widowControl w:val="0"/>
        <w:autoSpaceDE w:val="0"/>
        <w:autoSpaceDN w:val="0"/>
        <w:spacing w:after="0" w:line="276" w:lineRule="auto"/>
        <w:jc w:val="both"/>
        <w:rPr>
          <w:rFonts w:ascii="Verdana" w:hAnsi="Verdana"/>
        </w:rPr>
      </w:pPr>
    </w:p>
    <w:p w14:paraId="025C1736" w14:textId="77777777" w:rsidR="002C290C" w:rsidRPr="009322DA" w:rsidRDefault="002C290C" w:rsidP="002C290C">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21F32E1D" w14:textId="77777777" w:rsidR="002C290C" w:rsidRPr="009322DA" w:rsidRDefault="002C290C" w:rsidP="002C290C">
      <w:pPr>
        <w:widowControl w:val="0"/>
        <w:autoSpaceDE w:val="0"/>
        <w:autoSpaceDN w:val="0"/>
        <w:spacing w:after="0" w:line="276" w:lineRule="auto"/>
        <w:jc w:val="both"/>
        <w:rPr>
          <w:rFonts w:ascii="Verdana" w:eastAsia="Calibri" w:hAnsi="Verdana" w:cs="Arial"/>
        </w:rPr>
      </w:pPr>
    </w:p>
    <w:p w14:paraId="093CCA8F" w14:textId="77777777" w:rsidR="002C290C" w:rsidRPr="009322DA" w:rsidRDefault="002C290C" w:rsidP="002C290C">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7C338705" w14:textId="0CD14191" w:rsidR="002C290C" w:rsidRPr="009322DA" w:rsidRDefault="002F0A73" w:rsidP="002C290C">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2C11F20E" wp14:editId="477FC22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C290C" w:rsidRPr="009322DA" w14:paraId="3718AB2E" w14:textId="77777777" w:rsidTr="00A570E4">
        <w:trPr>
          <w:trHeight w:val="315"/>
        </w:trPr>
        <w:tc>
          <w:tcPr>
            <w:tcW w:w="893" w:type="dxa"/>
            <w:vAlign w:val="center"/>
            <w:hideMark/>
          </w:tcPr>
          <w:p w14:paraId="5FCFB80F" w14:textId="77777777" w:rsidR="002C290C" w:rsidRPr="009322DA" w:rsidRDefault="002C290C" w:rsidP="00A570E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ED5115C" w14:textId="77777777" w:rsidR="002C290C" w:rsidRPr="009322DA" w:rsidRDefault="002C290C" w:rsidP="00A570E4">
            <w:pPr>
              <w:spacing w:after="255"/>
              <w:contextualSpacing/>
              <w:rPr>
                <w:rFonts w:ascii="Verdana" w:eastAsia="Arial" w:hAnsi="Verdana" w:cs="Arial"/>
                <w:sz w:val="16"/>
                <w:szCs w:val="16"/>
              </w:rPr>
            </w:pPr>
            <w:r w:rsidRPr="009322DA">
              <w:rPr>
                <w:rFonts w:ascii="Verdana" w:hAnsi="Verdana"/>
                <w:sz w:val="16"/>
                <w:szCs w:val="16"/>
              </w:rPr>
              <w:t>Juan Manuel Avendaño Robles</w:t>
            </w:r>
          </w:p>
          <w:p w14:paraId="0F07BE35" w14:textId="77777777" w:rsidR="002C290C" w:rsidRPr="009322DA" w:rsidRDefault="002C290C" w:rsidP="00A570E4">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2C290C" w:rsidRPr="009322DA" w14:paraId="6CCDFABA" w14:textId="77777777" w:rsidTr="00A570E4">
        <w:trPr>
          <w:trHeight w:val="330"/>
        </w:trPr>
        <w:tc>
          <w:tcPr>
            <w:tcW w:w="893" w:type="dxa"/>
            <w:vAlign w:val="center"/>
            <w:hideMark/>
          </w:tcPr>
          <w:p w14:paraId="486BD8D4" w14:textId="77777777" w:rsidR="002C290C" w:rsidRPr="009322DA" w:rsidRDefault="002C290C" w:rsidP="00A570E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C6A240A" w14:textId="77777777" w:rsidR="002C290C" w:rsidRPr="009322DA" w:rsidRDefault="002C290C" w:rsidP="00581DA0">
            <w:pPr>
              <w:contextualSpacing/>
              <w:textAlignment w:val="baseline"/>
              <w:rPr>
                <w:rFonts w:ascii="Verdana" w:eastAsia="Times New Roman" w:hAnsi="Verdana" w:cs="Arial"/>
                <w:sz w:val="16"/>
                <w:szCs w:val="16"/>
                <w:lang w:eastAsia="es-ES_tradnl"/>
              </w:rPr>
            </w:pPr>
            <w:r w:rsidRPr="00581DA0">
              <w:rPr>
                <w:rFonts w:ascii="Verdana" w:eastAsia="Times New Roman" w:hAnsi="Verdana" w:cs="Arial"/>
                <w:sz w:val="16"/>
                <w:szCs w:val="16"/>
                <w:lang w:eastAsia="es-ES_tradnl"/>
              </w:rPr>
              <w:t>Ximena Ríos López</w:t>
            </w:r>
          </w:p>
          <w:p w14:paraId="3EF58A78" w14:textId="77777777" w:rsidR="002C290C" w:rsidRPr="009322DA" w:rsidRDefault="002C290C" w:rsidP="00A570E4">
            <w:pPr>
              <w:contextualSpacing/>
              <w:textAlignment w:val="baseline"/>
              <w:rPr>
                <w:rFonts w:ascii="Verdana" w:eastAsia="Times New Roman" w:hAnsi="Verdana" w:cs="Segoe UI"/>
                <w:sz w:val="16"/>
                <w:szCs w:val="16"/>
                <w:lang w:eastAsia="es-ES_tradnl"/>
              </w:rPr>
            </w:pPr>
            <w:r w:rsidRPr="00F62C65">
              <w:rPr>
                <w:rFonts w:ascii="Verdana" w:eastAsia="Times New Roman" w:hAnsi="Verdana" w:cs="Arial"/>
                <w:sz w:val="16"/>
                <w:szCs w:val="16"/>
                <w:lang w:eastAsia="es-ES_tradnl"/>
              </w:rPr>
              <w:t>Gestor código T1 grado 11</w:t>
            </w:r>
            <w:r w:rsidRPr="009322DA">
              <w:rPr>
                <w:rFonts w:ascii="Verdana" w:eastAsia="Times New Roman" w:hAnsi="Verdana" w:cs="Arial"/>
                <w:sz w:val="16"/>
                <w:szCs w:val="16"/>
                <w:lang w:eastAsia="es-ES_tradnl"/>
              </w:rPr>
              <w:t xml:space="preserve"> de la Subdirección de Gestión Contractual</w:t>
            </w:r>
          </w:p>
        </w:tc>
      </w:tr>
      <w:tr w:rsidR="002C290C" w:rsidRPr="009322DA" w14:paraId="609AD156" w14:textId="77777777" w:rsidTr="00A570E4">
        <w:trPr>
          <w:trHeight w:val="300"/>
        </w:trPr>
        <w:tc>
          <w:tcPr>
            <w:tcW w:w="893" w:type="dxa"/>
            <w:vAlign w:val="center"/>
            <w:hideMark/>
          </w:tcPr>
          <w:p w14:paraId="3518A94F" w14:textId="77777777" w:rsidR="002C290C" w:rsidRPr="009322DA" w:rsidRDefault="002C290C" w:rsidP="00A570E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23F95E" w14:textId="77777777" w:rsidR="002C290C" w:rsidRPr="009322DA" w:rsidRDefault="002C290C" w:rsidP="00A570E4">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Carolina Quintero Gacharná</w:t>
            </w:r>
          </w:p>
          <w:p w14:paraId="1522516F" w14:textId="77777777" w:rsidR="002C290C" w:rsidRPr="009322DA" w:rsidRDefault="002C290C" w:rsidP="00A570E4">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Contractual ANCP – CCE</w:t>
            </w:r>
          </w:p>
        </w:tc>
      </w:tr>
    </w:tbl>
    <w:p w14:paraId="0F293BF4" w14:textId="1716DACF" w:rsidR="00127233" w:rsidRPr="002C290C" w:rsidRDefault="00127233" w:rsidP="002C290C"/>
    <w:sectPr w:rsidR="00127233" w:rsidRPr="002C290C"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FB22" w14:textId="77777777" w:rsidR="00DA0664" w:rsidRDefault="00DA0664" w:rsidP="004A1847">
      <w:pPr>
        <w:spacing w:after="0" w:line="240" w:lineRule="auto"/>
      </w:pPr>
      <w:r>
        <w:separator/>
      </w:r>
    </w:p>
  </w:endnote>
  <w:endnote w:type="continuationSeparator" w:id="0">
    <w:p w14:paraId="5D75BFB5" w14:textId="77777777" w:rsidR="00DA0664" w:rsidRDefault="00DA0664" w:rsidP="004A1847">
      <w:pPr>
        <w:spacing w:after="0" w:line="240" w:lineRule="auto"/>
      </w:pPr>
      <w:r>
        <w:continuationSeparator/>
      </w:r>
    </w:p>
  </w:endnote>
  <w:endnote w:type="continuationNotice" w:id="1">
    <w:p w14:paraId="38B5FDA6" w14:textId="77777777" w:rsidR="00DA0664" w:rsidRDefault="00DA0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EB36" w14:textId="77777777" w:rsidR="00DA0664" w:rsidRDefault="00DA0664" w:rsidP="004A1847">
      <w:pPr>
        <w:spacing w:after="0" w:line="240" w:lineRule="auto"/>
      </w:pPr>
      <w:r>
        <w:separator/>
      </w:r>
    </w:p>
  </w:footnote>
  <w:footnote w:type="continuationSeparator" w:id="0">
    <w:p w14:paraId="2B49DD7B" w14:textId="77777777" w:rsidR="00DA0664" w:rsidRDefault="00DA0664" w:rsidP="004A1847">
      <w:pPr>
        <w:spacing w:after="0" w:line="240" w:lineRule="auto"/>
      </w:pPr>
      <w:r>
        <w:continuationSeparator/>
      </w:r>
    </w:p>
  </w:footnote>
  <w:footnote w:type="continuationNotice" w:id="1">
    <w:p w14:paraId="02C5AE50" w14:textId="77777777" w:rsidR="00DA0664" w:rsidRDefault="00DA0664">
      <w:pPr>
        <w:spacing w:after="0" w:line="240" w:lineRule="auto"/>
      </w:pPr>
    </w:p>
  </w:footnote>
  <w:footnote w:id="2">
    <w:p w14:paraId="45858CA4" w14:textId="77777777" w:rsidR="002C290C" w:rsidRPr="00305AB1" w:rsidRDefault="002C290C" w:rsidP="002C290C">
      <w:pPr>
        <w:pStyle w:val="Textonotapie"/>
        <w:ind w:firstLine="708"/>
        <w:jc w:val="both"/>
        <w:rPr>
          <w:rFonts w:ascii="Verdana" w:hAnsi="Verdana" w:cs="Arial"/>
          <w:sz w:val="16"/>
          <w:szCs w:val="16"/>
        </w:rPr>
      </w:pPr>
      <w:r w:rsidRPr="00305AB1">
        <w:rPr>
          <w:rStyle w:val="Refdenotaalpie"/>
          <w:rFonts w:ascii="Verdana" w:hAnsi="Verdana" w:cs="Arial"/>
          <w:sz w:val="16"/>
          <w:szCs w:val="16"/>
        </w:rPr>
        <w:footnoteRef/>
      </w:r>
      <w:r w:rsidRPr="00305AB1">
        <w:rPr>
          <w:rFonts w:ascii="Verdana" w:hAnsi="Verdana" w:cs="Arial"/>
          <w:sz w:val="16"/>
          <w:szCs w:val="16"/>
        </w:rPr>
        <w:t xml:space="preserve"> OSPINA MENA, Jesús Marino. Régimen de la Contratación Estatal. Un salto a la contratación líquida. Bogotá: Ed. 1ª. Diké, 2020. p. 383.</w:t>
      </w:r>
    </w:p>
    <w:p w14:paraId="2F713C3B" w14:textId="77777777" w:rsidR="002C290C" w:rsidRPr="00305AB1" w:rsidRDefault="002C290C" w:rsidP="002C290C">
      <w:pPr>
        <w:pStyle w:val="Textonotapie"/>
        <w:ind w:firstLine="708"/>
        <w:jc w:val="both"/>
        <w:rPr>
          <w:rFonts w:ascii="Verdana" w:hAnsi="Verdana" w:cs="Arial"/>
          <w:sz w:val="16"/>
          <w:szCs w:val="16"/>
        </w:rPr>
      </w:pPr>
    </w:p>
  </w:footnote>
  <w:footnote w:id="3">
    <w:p w14:paraId="2620764E" w14:textId="77777777" w:rsidR="002C290C" w:rsidRPr="00305AB1" w:rsidRDefault="002C290C" w:rsidP="002C290C">
      <w:pPr>
        <w:pStyle w:val="Textonotapie"/>
        <w:ind w:firstLine="708"/>
        <w:jc w:val="both"/>
        <w:rPr>
          <w:rFonts w:ascii="Verdana" w:hAnsi="Verdana" w:cs="Arial"/>
          <w:sz w:val="16"/>
          <w:szCs w:val="16"/>
        </w:rPr>
      </w:pPr>
      <w:r w:rsidRPr="00305AB1">
        <w:rPr>
          <w:rStyle w:val="Refdenotaalpie"/>
          <w:rFonts w:ascii="Verdana" w:hAnsi="Verdana" w:cs="Arial"/>
          <w:sz w:val="16"/>
          <w:szCs w:val="16"/>
        </w:rPr>
        <w:footnoteRef/>
      </w:r>
      <w:r w:rsidRPr="00305AB1">
        <w:rPr>
          <w:rFonts w:ascii="Verdana" w:hAnsi="Verdana" w:cs="Arial"/>
          <w:sz w:val="16"/>
          <w:szCs w:val="16"/>
        </w:rPr>
        <w:t xml:space="preserve"> CONSEJO DE ESTADO. Sección Tercera. Sentencia de 30 de noviembre de 2006. Exp. 18.059. M.P. Alier Hernández Enríquez.</w:t>
      </w:r>
    </w:p>
    <w:p w14:paraId="46676421" w14:textId="77777777" w:rsidR="002C290C" w:rsidRPr="00305AB1" w:rsidRDefault="002C290C" w:rsidP="002C290C">
      <w:pPr>
        <w:pStyle w:val="Textonotapie"/>
        <w:jc w:val="both"/>
        <w:rPr>
          <w:rFonts w:ascii="Verdana" w:hAnsi="Verdana" w:cs="Arial"/>
          <w:sz w:val="16"/>
          <w:szCs w:val="16"/>
        </w:rPr>
      </w:pPr>
    </w:p>
  </w:footnote>
  <w:footnote w:id="4">
    <w:p w14:paraId="07791F02" w14:textId="77777777" w:rsidR="002C290C" w:rsidRPr="00305AB1" w:rsidRDefault="002C290C" w:rsidP="002C290C">
      <w:pPr>
        <w:pStyle w:val="Textonotapie"/>
        <w:ind w:firstLine="708"/>
        <w:jc w:val="both"/>
        <w:rPr>
          <w:rFonts w:ascii="Verdana" w:hAnsi="Verdana"/>
          <w:sz w:val="16"/>
          <w:szCs w:val="16"/>
        </w:rPr>
      </w:pPr>
      <w:r w:rsidRPr="00305AB1">
        <w:rPr>
          <w:rStyle w:val="Refdenotaalpie"/>
          <w:rFonts w:ascii="Verdana" w:hAnsi="Verdana" w:cs="Arial"/>
          <w:sz w:val="16"/>
          <w:szCs w:val="16"/>
        </w:rPr>
        <w:footnoteRef/>
      </w:r>
      <w:r w:rsidRPr="00305AB1">
        <w:rPr>
          <w:rFonts w:ascii="Verdana" w:hAnsi="Verdana" w:cs="Arial"/>
          <w:sz w:val="16"/>
          <w:szCs w:val="16"/>
        </w:rPr>
        <w:t xml:space="preserve"> Sin perjuicio de los dispuesto en el artículo 2.2.1.1.2.1.3. del Decreto 1082 de 2015 sobre el contenido del pliego de condiciones, donde se desarrolla de forma más exhaustiva cada uno de sus componentes mínimos.</w:t>
      </w:r>
    </w:p>
  </w:footnote>
  <w:footnote w:id="5">
    <w:p w14:paraId="01E3AC5D" w14:textId="043F7669" w:rsidR="000E2AF5" w:rsidRDefault="000E2AF5" w:rsidP="0045632C">
      <w:pPr>
        <w:pStyle w:val="Textonotapie"/>
        <w:ind w:firstLine="708"/>
        <w:rPr>
          <w:rStyle w:val="normaltextrun"/>
          <w:rFonts w:ascii="Verdana" w:hAnsi="Verdana" w:cs="Calibri"/>
          <w:sz w:val="16"/>
          <w:szCs w:val="16"/>
          <w:shd w:val="clear" w:color="auto" w:fill="FFFFFF"/>
        </w:rPr>
      </w:pPr>
      <w:r w:rsidRPr="00581DA0">
        <w:rPr>
          <w:rStyle w:val="Refdenotaalpie"/>
          <w:rFonts w:ascii="Verdana" w:hAnsi="Verdana"/>
          <w:sz w:val="16"/>
          <w:szCs w:val="16"/>
        </w:rPr>
        <w:footnoteRef/>
      </w:r>
      <w:r w:rsidRPr="00581DA0">
        <w:rPr>
          <w:rFonts w:ascii="Verdana" w:hAnsi="Verdana"/>
          <w:sz w:val="16"/>
          <w:szCs w:val="16"/>
        </w:rPr>
        <w:t xml:space="preserve"> </w:t>
      </w:r>
      <w:r w:rsidRPr="00581DA0">
        <w:rPr>
          <w:rFonts w:ascii="Verdana" w:hAnsi="Verdana"/>
          <w:sz w:val="16"/>
          <w:szCs w:val="16"/>
          <w:lang w:val="es-CO"/>
        </w:rPr>
        <w:t xml:space="preserve">Extracto tomado del </w:t>
      </w:r>
      <w:r w:rsidR="005363D5" w:rsidRPr="00581DA0">
        <w:rPr>
          <w:rFonts w:ascii="Verdana" w:hAnsi="Verdana"/>
          <w:sz w:val="16"/>
          <w:szCs w:val="16"/>
          <w:lang w:val="es-CO"/>
        </w:rPr>
        <w:t xml:space="preserve">Concepto </w:t>
      </w:r>
      <w:r w:rsidR="005363D5" w:rsidRPr="00581DA0">
        <w:rPr>
          <w:rStyle w:val="normaltextrun"/>
          <w:rFonts w:ascii="Verdana" w:hAnsi="Verdana" w:cs="Calibri"/>
          <w:sz w:val="16"/>
          <w:szCs w:val="16"/>
          <w:shd w:val="clear" w:color="auto" w:fill="FFFFFF"/>
        </w:rPr>
        <w:t>C-314 de 2024</w:t>
      </w:r>
      <w:r w:rsidR="005363D5" w:rsidRPr="00811FE7">
        <w:rPr>
          <w:rStyle w:val="normaltextrun"/>
          <w:rFonts w:ascii="Verdana" w:hAnsi="Verdana" w:cs="Calibri"/>
          <w:sz w:val="16"/>
          <w:szCs w:val="16"/>
          <w:shd w:val="clear" w:color="auto" w:fill="FFFFFF"/>
        </w:rPr>
        <w:t xml:space="preserve"> expedido por la </w:t>
      </w:r>
      <w:r w:rsidR="00811FE7" w:rsidRPr="00811FE7">
        <w:rPr>
          <w:rStyle w:val="normaltextrun"/>
          <w:rFonts w:ascii="Verdana" w:hAnsi="Verdana" w:cs="Calibri"/>
          <w:sz w:val="16"/>
          <w:szCs w:val="16"/>
          <w:shd w:val="clear" w:color="auto" w:fill="FFFFFF"/>
        </w:rPr>
        <w:t xml:space="preserve">Subdirección de Gestión Contractual de la ANCP </w:t>
      </w:r>
      <w:r w:rsidR="0045632C">
        <w:rPr>
          <w:rStyle w:val="normaltextrun"/>
          <w:rFonts w:ascii="Verdana" w:hAnsi="Verdana" w:cs="Calibri"/>
          <w:sz w:val="16"/>
          <w:szCs w:val="16"/>
          <w:shd w:val="clear" w:color="auto" w:fill="FFFFFF"/>
        </w:rPr>
        <w:t>–</w:t>
      </w:r>
      <w:r w:rsidR="00811FE7" w:rsidRPr="00811FE7">
        <w:rPr>
          <w:rStyle w:val="normaltextrun"/>
          <w:rFonts w:ascii="Verdana" w:hAnsi="Verdana" w:cs="Calibri"/>
          <w:sz w:val="16"/>
          <w:szCs w:val="16"/>
          <w:shd w:val="clear" w:color="auto" w:fill="FFFFFF"/>
        </w:rPr>
        <w:t xml:space="preserve"> CCE</w:t>
      </w:r>
    </w:p>
    <w:p w14:paraId="38773445" w14:textId="79FB2C7F" w:rsidR="0045632C" w:rsidRPr="00581DA0" w:rsidRDefault="0045632C" w:rsidP="0045632C">
      <w:pPr>
        <w:pStyle w:val="Textonotapie"/>
        <w:ind w:firstLine="708"/>
        <w:rPr>
          <w:rFonts w:ascii="Verdana" w:hAnsi="Verdana"/>
          <w:sz w:val="16"/>
          <w:szCs w:val="16"/>
          <w:lang w:val="es-CO"/>
        </w:rPr>
      </w:pPr>
    </w:p>
  </w:footnote>
  <w:footnote w:id="6">
    <w:p w14:paraId="4CA73B1C" w14:textId="77777777" w:rsidR="002C290C" w:rsidRPr="00305AB1" w:rsidRDefault="002C290C" w:rsidP="002C290C">
      <w:pPr>
        <w:pStyle w:val="Textonotapie"/>
        <w:ind w:firstLine="709"/>
        <w:jc w:val="both"/>
        <w:rPr>
          <w:rFonts w:ascii="Verdana" w:hAnsi="Verdana" w:cs="Arial"/>
          <w:color w:val="000000" w:themeColor="text1"/>
          <w:sz w:val="16"/>
          <w:szCs w:val="16"/>
          <w:lang w:val="es-ES"/>
        </w:rPr>
      </w:pPr>
      <w:r w:rsidRPr="00305AB1">
        <w:rPr>
          <w:rStyle w:val="Refdenotaalpie"/>
          <w:rFonts w:ascii="Verdana" w:hAnsi="Verdana" w:cs="Arial"/>
          <w:color w:val="000000" w:themeColor="text1"/>
          <w:sz w:val="16"/>
          <w:szCs w:val="16"/>
        </w:rPr>
        <w:footnoteRef/>
      </w:r>
      <w:r w:rsidRPr="00305AB1">
        <w:rPr>
          <w:rFonts w:ascii="Verdana" w:hAnsi="Verdana" w:cs="Arial"/>
          <w:color w:val="000000" w:themeColor="text1"/>
          <w:sz w:val="16"/>
          <w:szCs w:val="16"/>
        </w:rPr>
        <w:t xml:space="preserve"> </w:t>
      </w:r>
      <w:r w:rsidRPr="004D49C5">
        <w:rPr>
          <w:rFonts w:ascii="Verdana" w:hAnsi="Verdana" w:cs="Arial"/>
          <w:color w:val="000000" w:themeColor="text1"/>
          <w:sz w:val="16"/>
          <w:szCs w:val="16"/>
        </w:rPr>
        <w:t>CONSEJO DE ESTADO</w:t>
      </w:r>
      <w:r>
        <w:rPr>
          <w:rFonts w:ascii="Verdana" w:hAnsi="Verdana" w:cs="Arial"/>
          <w:color w:val="000000" w:themeColor="text1"/>
          <w:sz w:val="16"/>
          <w:szCs w:val="16"/>
        </w:rPr>
        <w:t>,</w:t>
      </w:r>
      <w:r w:rsidRPr="00305AB1">
        <w:rPr>
          <w:rFonts w:ascii="Verdana" w:hAnsi="Verdana" w:cs="Arial"/>
          <w:color w:val="000000" w:themeColor="text1"/>
          <w:sz w:val="16"/>
          <w:szCs w:val="16"/>
        </w:rPr>
        <w:t xml:space="preserve"> Sección Tercera. Sentencia del 11 de noviembre de 2009. Exp. 17.366. C.P. Mauricio Fajardo </w:t>
      </w:r>
      <w:r w:rsidRPr="004D49C5">
        <w:rPr>
          <w:rFonts w:ascii="Verdana" w:hAnsi="Verdana" w:cs="Arial"/>
          <w:color w:val="000000" w:themeColor="text1"/>
          <w:sz w:val="16"/>
          <w:szCs w:val="16"/>
        </w:rPr>
        <w:t>Gómez</w:t>
      </w:r>
      <w:r w:rsidRPr="00305AB1">
        <w:rPr>
          <w:rFonts w:ascii="Verdana" w:hAnsi="Verdana" w:cs="Arial"/>
          <w:color w:val="000000" w:themeColor="text1"/>
          <w:sz w:val="16"/>
          <w:szCs w:val="16"/>
        </w:rPr>
        <w:t>.</w:t>
      </w:r>
    </w:p>
  </w:footnote>
  <w:footnote w:id="7">
    <w:p w14:paraId="730F3304" w14:textId="77777777" w:rsidR="002C290C" w:rsidRDefault="002C290C" w:rsidP="002C290C">
      <w:pPr>
        <w:pStyle w:val="Textonotapie"/>
        <w:ind w:firstLine="709"/>
        <w:jc w:val="both"/>
        <w:rPr>
          <w:rFonts w:ascii="Geomanist Light" w:hAnsi="Geomanist Light" w:cs="Arial"/>
          <w:sz w:val="18"/>
          <w:szCs w:val="18"/>
        </w:rPr>
      </w:pPr>
      <w:r w:rsidRPr="003265D7">
        <w:rPr>
          <w:rStyle w:val="Refdenotaalpie"/>
          <w:rFonts w:ascii="Geomanist Light" w:hAnsi="Geomanist Light"/>
          <w:sz w:val="18"/>
          <w:szCs w:val="18"/>
        </w:rPr>
        <w:footnoteRef/>
      </w:r>
      <w:r w:rsidRPr="003265D7">
        <w:rPr>
          <w:rFonts w:ascii="Geomanist Light" w:hAnsi="Geomanist Light"/>
          <w:sz w:val="18"/>
          <w:szCs w:val="18"/>
        </w:rPr>
        <w:t xml:space="preserve"> </w:t>
      </w:r>
      <w:r w:rsidRPr="009D0483">
        <w:rPr>
          <w:rFonts w:ascii="Geomanist Light" w:hAnsi="Geomanist Light" w:cs="Arial"/>
          <w:sz w:val="18"/>
          <w:szCs w:val="18"/>
        </w:rPr>
        <w:t>Consejo de Estado. Sección Tercera. Sentencia del 16 de marzo de 2015. Exp. 28.040. Consejera Ponente: Olga Melida Valle de la Hoz.</w:t>
      </w:r>
    </w:p>
    <w:p w14:paraId="6405BE32" w14:textId="77777777" w:rsidR="00301BDF" w:rsidRPr="003265D7" w:rsidRDefault="00301BDF" w:rsidP="002C290C">
      <w:pPr>
        <w:pStyle w:val="Textonotapie"/>
        <w:ind w:firstLine="709"/>
        <w:jc w:val="both"/>
        <w:rPr>
          <w:rFonts w:ascii="Geomanist Light" w:hAnsi="Geomanist Light"/>
          <w:sz w:val="18"/>
          <w:szCs w:val="18"/>
          <w:lang w:val="es-CO"/>
        </w:rPr>
      </w:pPr>
    </w:p>
  </w:footnote>
  <w:footnote w:id="8">
    <w:p w14:paraId="292505FC" w14:textId="77777777" w:rsidR="002C290C" w:rsidRPr="00E706E2" w:rsidRDefault="002C290C" w:rsidP="002C290C">
      <w:pPr>
        <w:pStyle w:val="Textonotapie"/>
        <w:ind w:firstLine="709"/>
        <w:jc w:val="both"/>
        <w:rPr>
          <w:rFonts w:ascii="Verdana" w:hAnsi="Verdana" w:cs="Arial"/>
          <w:color w:val="000000" w:themeColor="text1"/>
          <w:sz w:val="16"/>
          <w:szCs w:val="16"/>
          <w:lang w:val="es-CO"/>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Corte Constitucional. Sala Plena. Sentencia C 178 de 29 de abril de 1996. Magistrado Ponente: Antonio Barrera Carbonell. Expediente No. D-974. </w:t>
      </w:r>
    </w:p>
  </w:footnote>
  <w:footnote w:id="9">
    <w:p w14:paraId="0C634CD2" w14:textId="77777777" w:rsidR="002C290C" w:rsidRPr="00E706E2" w:rsidRDefault="002C290C" w:rsidP="002C290C">
      <w:pPr>
        <w:spacing w:after="0" w:line="240" w:lineRule="auto"/>
        <w:ind w:firstLine="709"/>
        <w:jc w:val="both"/>
        <w:rPr>
          <w:rFonts w:ascii="Verdana" w:hAnsi="Verdana" w:cs="Arial"/>
          <w:color w:val="000000" w:themeColor="text1"/>
          <w:sz w:val="16"/>
          <w:szCs w:val="16"/>
        </w:rPr>
      </w:pPr>
    </w:p>
    <w:p w14:paraId="5886D793" w14:textId="77777777" w:rsidR="002C290C" w:rsidRPr="00E706E2" w:rsidRDefault="002C290C" w:rsidP="002C290C">
      <w:pPr>
        <w:spacing w:after="0" w:line="240" w:lineRule="auto"/>
        <w:ind w:firstLine="709"/>
        <w:jc w:val="both"/>
        <w:rPr>
          <w:rFonts w:ascii="Verdana" w:hAnsi="Verdana" w:cs="Arial"/>
          <w:color w:val="000000" w:themeColor="text1"/>
          <w:sz w:val="16"/>
          <w:szCs w:val="16"/>
        </w:rPr>
      </w:pPr>
      <w:r w:rsidRPr="00E706E2">
        <w:rPr>
          <w:rStyle w:val="Refdenotaalpie"/>
          <w:rFonts w:ascii="Verdana" w:hAnsi="Verdana" w:cs="Arial"/>
          <w:color w:val="000000" w:themeColor="text1"/>
          <w:sz w:val="16"/>
          <w:szCs w:val="16"/>
        </w:rPr>
        <w:footnoteRef/>
      </w:r>
      <w:r w:rsidRPr="00E706E2">
        <w:rPr>
          <w:rFonts w:ascii="Verdana" w:hAnsi="Verdana" w:cs="Arial"/>
          <w:color w:val="000000" w:themeColor="text1"/>
          <w:sz w:val="16"/>
          <w:szCs w:val="16"/>
        </w:rPr>
        <w:t xml:space="preserve"> “Artículo 6o. De la capacidad para contratar. Pueden celebrar contratos con las entidades estatales las personas consideradas legalmente capaces en las disposiciones vigentes”.</w:t>
      </w:r>
    </w:p>
    <w:p w14:paraId="48090096" w14:textId="77777777" w:rsidR="002C290C" w:rsidRPr="00E706E2" w:rsidRDefault="002C290C" w:rsidP="002C290C">
      <w:pPr>
        <w:pStyle w:val="Textonotapie"/>
        <w:ind w:firstLine="709"/>
        <w:jc w:val="both"/>
        <w:rPr>
          <w:rFonts w:ascii="Verdana" w:hAnsi="Verdana" w:cs="Arial"/>
          <w:color w:val="000000" w:themeColor="text1"/>
          <w:sz w:val="16"/>
          <w:szCs w:val="16"/>
        </w:rPr>
      </w:pPr>
    </w:p>
  </w:footnote>
  <w:footnote w:id="10">
    <w:p w14:paraId="1910CF27" w14:textId="10D8E252" w:rsidR="00D3514A" w:rsidRPr="00D3514A" w:rsidRDefault="00D3514A" w:rsidP="00835FCE">
      <w:pPr>
        <w:pStyle w:val="Textonotapie"/>
        <w:ind w:firstLine="708"/>
        <w:rPr>
          <w:lang w:val="es-CO"/>
        </w:rPr>
      </w:pPr>
      <w:r>
        <w:rPr>
          <w:rStyle w:val="Refdenotaalpie"/>
        </w:rPr>
        <w:footnoteRef/>
      </w:r>
      <w:r>
        <w:t xml:space="preserve"> </w:t>
      </w:r>
      <w:hyperlink r:id="rId1" w:history="1">
        <w:r w:rsidR="00132052" w:rsidRPr="00943ED1">
          <w:rPr>
            <w:rStyle w:val="Hipervnculo"/>
            <w:rFonts w:ascii="Verdana" w:hAnsi="Verdana"/>
            <w:sz w:val="16"/>
            <w:szCs w:val="16"/>
          </w:rPr>
          <w:t>https://colombiacompra.gov.co/sites/cce_public/files/cce_documents/cce-eicp-ma-04._manual_requisitos_habilitantes_v3_29-09-2023.pdf</w:t>
        </w:r>
      </w:hyperlink>
      <w:r w:rsidR="00132052">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0F2489"/>
    <w:multiLevelType w:val="hybridMultilevel"/>
    <w:tmpl w:val="527A6412"/>
    <w:lvl w:ilvl="0" w:tplc="55DC5C2A">
      <w:start w:val="2"/>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E2D3F"/>
    <w:multiLevelType w:val="hybridMultilevel"/>
    <w:tmpl w:val="1CA2C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4460F"/>
    <w:multiLevelType w:val="hybridMultilevel"/>
    <w:tmpl w:val="A50EA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3A55C0"/>
    <w:multiLevelType w:val="hybridMultilevel"/>
    <w:tmpl w:val="DFAA2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E7718C"/>
    <w:multiLevelType w:val="hybridMultilevel"/>
    <w:tmpl w:val="3D7C373E"/>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E1002"/>
    <w:multiLevelType w:val="hybridMultilevel"/>
    <w:tmpl w:val="941C6F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6" w15:restartNumberingAfterBreak="0">
    <w:nsid w:val="4FEE172F"/>
    <w:multiLevelType w:val="hybridMultilevel"/>
    <w:tmpl w:val="6CD83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8" w15:restartNumberingAfterBreak="0">
    <w:nsid w:val="6562271E"/>
    <w:multiLevelType w:val="hybridMultilevel"/>
    <w:tmpl w:val="3260EB6C"/>
    <w:lvl w:ilvl="0" w:tplc="F2DA4A0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71CDA"/>
    <w:multiLevelType w:val="hybridMultilevel"/>
    <w:tmpl w:val="643E2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num>
  <w:num w:numId="7">
    <w:abstractNumId w:val="9"/>
  </w:num>
  <w:num w:numId="8">
    <w:abstractNumId w:val="20"/>
  </w:num>
  <w:num w:numId="9">
    <w:abstractNumId w:val="12"/>
  </w:num>
  <w:num w:numId="10">
    <w:abstractNumId w:val="19"/>
  </w:num>
  <w:num w:numId="11">
    <w:abstractNumId w:val="13"/>
  </w:num>
  <w:num w:numId="12">
    <w:abstractNumId w:val="2"/>
  </w:num>
  <w:num w:numId="13">
    <w:abstractNumId w:val="4"/>
  </w:num>
  <w:num w:numId="14">
    <w:abstractNumId w:val="23"/>
  </w:num>
  <w:num w:numId="15">
    <w:abstractNumId w:val="17"/>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6"/>
  </w:num>
  <w:num w:numId="20">
    <w:abstractNumId w:val="14"/>
  </w:num>
  <w:num w:numId="21">
    <w:abstractNumId w:val="15"/>
  </w:num>
  <w:num w:numId="22">
    <w:abstractNumId w:val="5"/>
  </w:num>
  <w:num w:numId="23">
    <w:abstractNumId w:val="7"/>
  </w:num>
  <w:num w:numId="24">
    <w:abstractNumId w:val="18"/>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B0F"/>
    <w:rsid w:val="00061B2A"/>
    <w:rsid w:val="00082362"/>
    <w:rsid w:val="000A683E"/>
    <w:rsid w:val="000B19B9"/>
    <w:rsid w:val="000C563E"/>
    <w:rsid w:val="000D0334"/>
    <w:rsid w:val="000E0ED3"/>
    <w:rsid w:val="000E2AF5"/>
    <w:rsid w:val="000F26C2"/>
    <w:rsid w:val="000F30F4"/>
    <w:rsid w:val="000F4124"/>
    <w:rsid w:val="000F6486"/>
    <w:rsid w:val="00125105"/>
    <w:rsid w:val="00127233"/>
    <w:rsid w:val="00132052"/>
    <w:rsid w:val="001672C9"/>
    <w:rsid w:val="00196A7A"/>
    <w:rsid w:val="001C04CE"/>
    <w:rsid w:val="001C1192"/>
    <w:rsid w:val="001C2661"/>
    <w:rsid w:val="001E0283"/>
    <w:rsid w:val="001E4177"/>
    <w:rsid w:val="001F7DC6"/>
    <w:rsid w:val="00203788"/>
    <w:rsid w:val="00214F25"/>
    <w:rsid w:val="00234B38"/>
    <w:rsid w:val="00235388"/>
    <w:rsid w:val="002421BB"/>
    <w:rsid w:val="00247934"/>
    <w:rsid w:val="002571C0"/>
    <w:rsid w:val="00257940"/>
    <w:rsid w:val="0025796E"/>
    <w:rsid w:val="002707A2"/>
    <w:rsid w:val="00283918"/>
    <w:rsid w:val="002951A0"/>
    <w:rsid w:val="002962BC"/>
    <w:rsid w:val="00296B7D"/>
    <w:rsid w:val="002A093D"/>
    <w:rsid w:val="002A0DD0"/>
    <w:rsid w:val="002A49AC"/>
    <w:rsid w:val="002A64FD"/>
    <w:rsid w:val="002A7E3C"/>
    <w:rsid w:val="002C290C"/>
    <w:rsid w:val="002C7A84"/>
    <w:rsid w:val="002E3B2C"/>
    <w:rsid w:val="002E4FD9"/>
    <w:rsid w:val="002F0A73"/>
    <w:rsid w:val="00301BDF"/>
    <w:rsid w:val="003114FB"/>
    <w:rsid w:val="00322A85"/>
    <w:rsid w:val="00324168"/>
    <w:rsid w:val="00340CD3"/>
    <w:rsid w:val="003448F4"/>
    <w:rsid w:val="00350BBF"/>
    <w:rsid w:val="00364C0B"/>
    <w:rsid w:val="003731D3"/>
    <w:rsid w:val="00374F5E"/>
    <w:rsid w:val="00377E3E"/>
    <w:rsid w:val="0038210D"/>
    <w:rsid w:val="003A26D1"/>
    <w:rsid w:val="003A3CFC"/>
    <w:rsid w:val="003A779E"/>
    <w:rsid w:val="003A7A6D"/>
    <w:rsid w:val="003B3CB7"/>
    <w:rsid w:val="003D0F4D"/>
    <w:rsid w:val="003D5B0D"/>
    <w:rsid w:val="003E0499"/>
    <w:rsid w:val="003E1D05"/>
    <w:rsid w:val="003E34E7"/>
    <w:rsid w:val="003F3941"/>
    <w:rsid w:val="00406575"/>
    <w:rsid w:val="0042225E"/>
    <w:rsid w:val="0042722E"/>
    <w:rsid w:val="0044528D"/>
    <w:rsid w:val="0045632C"/>
    <w:rsid w:val="004566E3"/>
    <w:rsid w:val="00462ADF"/>
    <w:rsid w:val="004A1847"/>
    <w:rsid w:val="004A305D"/>
    <w:rsid w:val="004E36F7"/>
    <w:rsid w:val="004F21C4"/>
    <w:rsid w:val="004F685F"/>
    <w:rsid w:val="004F7C12"/>
    <w:rsid w:val="005164D3"/>
    <w:rsid w:val="005363D5"/>
    <w:rsid w:val="005566E8"/>
    <w:rsid w:val="00574867"/>
    <w:rsid w:val="00581DA0"/>
    <w:rsid w:val="00591460"/>
    <w:rsid w:val="00592628"/>
    <w:rsid w:val="00593232"/>
    <w:rsid w:val="005C3777"/>
    <w:rsid w:val="005C5CDC"/>
    <w:rsid w:val="005D251A"/>
    <w:rsid w:val="005D476C"/>
    <w:rsid w:val="005E5CCC"/>
    <w:rsid w:val="00610812"/>
    <w:rsid w:val="006219F8"/>
    <w:rsid w:val="00650FF7"/>
    <w:rsid w:val="00665D70"/>
    <w:rsid w:val="00671DAC"/>
    <w:rsid w:val="006900D9"/>
    <w:rsid w:val="006905FA"/>
    <w:rsid w:val="006907F2"/>
    <w:rsid w:val="00691871"/>
    <w:rsid w:val="006C6EF3"/>
    <w:rsid w:val="006D12F8"/>
    <w:rsid w:val="006E5E1D"/>
    <w:rsid w:val="006F37BD"/>
    <w:rsid w:val="00706C16"/>
    <w:rsid w:val="00712EB7"/>
    <w:rsid w:val="00750982"/>
    <w:rsid w:val="00756841"/>
    <w:rsid w:val="007649AB"/>
    <w:rsid w:val="00771D0C"/>
    <w:rsid w:val="007833AC"/>
    <w:rsid w:val="00784A72"/>
    <w:rsid w:val="00792F87"/>
    <w:rsid w:val="007A0AE4"/>
    <w:rsid w:val="007A7C4E"/>
    <w:rsid w:val="007B268C"/>
    <w:rsid w:val="007B7171"/>
    <w:rsid w:val="007C0C0F"/>
    <w:rsid w:val="007C3DC2"/>
    <w:rsid w:val="007D0E91"/>
    <w:rsid w:val="007E5497"/>
    <w:rsid w:val="00801AEB"/>
    <w:rsid w:val="00805B9F"/>
    <w:rsid w:val="00806F5F"/>
    <w:rsid w:val="00811FE7"/>
    <w:rsid w:val="00820278"/>
    <w:rsid w:val="00835FCE"/>
    <w:rsid w:val="00836B21"/>
    <w:rsid w:val="00845F91"/>
    <w:rsid w:val="008461DE"/>
    <w:rsid w:val="00871116"/>
    <w:rsid w:val="00883CF2"/>
    <w:rsid w:val="008843B6"/>
    <w:rsid w:val="00891928"/>
    <w:rsid w:val="00896C00"/>
    <w:rsid w:val="008A446D"/>
    <w:rsid w:val="008B2AE7"/>
    <w:rsid w:val="008C3850"/>
    <w:rsid w:val="008D180B"/>
    <w:rsid w:val="008F0EA7"/>
    <w:rsid w:val="00903955"/>
    <w:rsid w:val="00917CDE"/>
    <w:rsid w:val="00923EEF"/>
    <w:rsid w:val="009419F9"/>
    <w:rsid w:val="0095685E"/>
    <w:rsid w:val="00961B09"/>
    <w:rsid w:val="00965334"/>
    <w:rsid w:val="0097093E"/>
    <w:rsid w:val="00977CB4"/>
    <w:rsid w:val="009A0DFA"/>
    <w:rsid w:val="009B2D26"/>
    <w:rsid w:val="009B5DC8"/>
    <w:rsid w:val="009C71FA"/>
    <w:rsid w:val="009C72E7"/>
    <w:rsid w:val="009D3058"/>
    <w:rsid w:val="009F3A13"/>
    <w:rsid w:val="009F5BA5"/>
    <w:rsid w:val="00A122D3"/>
    <w:rsid w:val="00A17F13"/>
    <w:rsid w:val="00A20739"/>
    <w:rsid w:val="00A33C78"/>
    <w:rsid w:val="00A44E12"/>
    <w:rsid w:val="00A53213"/>
    <w:rsid w:val="00A67808"/>
    <w:rsid w:val="00A832ED"/>
    <w:rsid w:val="00A87BB5"/>
    <w:rsid w:val="00A92415"/>
    <w:rsid w:val="00AB0301"/>
    <w:rsid w:val="00AB0ADB"/>
    <w:rsid w:val="00AF474F"/>
    <w:rsid w:val="00B01B1A"/>
    <w:rsid w:val="00B02775"/>
    <w:rsid w:val="00B13845"/>
    <w:rsid w:val="00B21FFA"/>
    <w:rsid w:val="00B43987"/>
    <w:rsid w:val="00B72CD3"/>
    <w:rsid w:val="00B72FFF"/>
    <w:rsid w:val="00BB1CCB"/>
    <w:rsid w:val="00BC3D36"/>
    <w:rsid w:val="00BD7F72"/>
    <w:rsid w:val="00BF15CA"/>
    <w:rsid w:val="00C02824"/>
    <w:rsid w:val="00C04FB3"/>
    <w:rsid w:val="00C330EB"/>
    <w:rsid w:val="00C613AD"/>
    <w:rsid w:val="00C754BE"/>
    <w:rsid w:val="00C76B1C"/>
    <w:rsid w:val="00C861C5"/>
    <w:rsid w:val="00C86812"/>
    <w:rsid w:val="00C953A6"/>
    <w:rsid w:val="00C968C3"/>
    <w:rsid w:val="00CB6357"/>
    <w:rsid w:val="00CC1B26"/>
    <w:rsid w:val="00CE0E6C"/>
    <w:rsid w:val="00D05647"/>
    <w:rsid w:val="00D07CBE"/>
    <w:rsid w:val="00D330A5"/>
    <w:rsid w:val="00D3514A"/>
    <w:rsid w:val="00D372D6"/>
    <w:rsid w:val="00D40762"/>
    <w:rsid w:val="00D423A2"/>
    <w:rsid w:val="00D51AA2"/>
    <w:rsid w:val="00D520D8"/>
    <w:rsid w:val="00D6186A"/>
    <w:rsid w:val="00D63AC2"/>
    <w:rsid w:val="00D7383B"/>
    <w:rsid w:val="00D91745"/>
    <w:rsid w:val="00DA0664"/>
    <w:rsid w:val="00DA231B"/>
    <w:rsid w:val="00DA23A0"/>
    <w:rsid w:val="00DA444F"/>
    <w:rsid w:val="00DC39FC"/>
    <w:rsid w:val="00DF5254"/>
    <w:rsid w:val="00E11837"/>
    <w:rsid w:val="00E16408"/>
    <w:rsid w:val="00E20894"/>
    <w:rsid w:val="00E245AB"/>
    <w:rsid w:val="00E245D3"/>
    <w:rsid w:val="00E2764C"/>
    <w:rsid w:val="00E27F2E"/>
    <w:rsid w:val="00E413EA"/>
    <w:rsid w:val="00E50AFE"/>
    <w:rsid w:val="00E75C92"/>
    <w:rsid w:val="00E771DC"/>
    <w:rsid w:val="00E80338"/>
    <w:rsid w:val="00E8320D"/>
    <w:rsid w:val="00E8772A"/>
    <w:rsid w:val="00E90F6B"/>
    <w:rsid w:val="00E92C27"/>
    <w:rsid w:val="00EA0E3D"/>
    <w:rsid w:val="00EC38A7"/>
    <w:rsid w:val="00EE1AA8"/>
    <w:rsid w:val="00F01EC5"/>
    <w:rsid w:val="00F206CF"/>
    <w:rsid w:val="00F25541"/>
    <w:rsid w:val="00F31EDC"/>
    <w:rsid w:val="00F324BE"/>
    <w:rsid w:val="00F462B3"/>
    <w:rsid w:val="00F50569"/>
    <w:rsid w:val="00F50EF6"/>
    <w:rsid w:val="00F54375"/>
    <w:rsid w:val="00F5664F"/>
    <w:rsid w:val="00F607D0"/>
    <w:rsid w:val="00F61087"/>
    <w:rsid w:val="00F64D3A"/>
    <w:rsid w:val="00F666C4"/>
    <w:rsid w:val="00F75AAB"/>
    <w:rsid w:val="00F76AFC"/>
    <w:rsid w:val="00FA05DF"/>
    <w:rsid w:val="00FA47C0"/>
    <w:rsid w:val="00FB4AE1"/>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2C290C"/>
    <w:pPr>
      <w:spacing w:line="240" w:lineRule="exact"/>
    </w:pPr>
    <w:rPr>
      <w:vertAlign w:val="superscript"/>
    </w:rPr>
  </w:style>
  <w:style w:type="table" w:customStyle="1" w:styleId="Tablaconcuadrcula1">
    <w:name w:val="Tabla con cuadrícula1"/>
    <w:basedOn w:val="Tablanormal"/>
    <w:next w:val="Tablaconcuadrcula"/>
    <w:uiPriority w:val="39"/>
    <w:qFormat/>
    <w:rsid w:val="002C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2C290C"/>
    <w:pPr>
      <w:spacing w:after="120"/>
    </w:pPr>
  </w:style>
  <w:style w:type="character" w:customStyle="1" w:styleId="TextoindependienteCar">
    <w:name w:val="Texto independiente Car"/>
    <w:basedOn w:val="Fuentedeprrafopredeter"/>
    <w:link w:val="Textoindependiente"/>
    <w:uiPriority w:val="1"/>
    <w:rsid w:val="002C290C"/>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C290C"/>
    <w:rPr>
      <w:rFonts w:ascii="Geomanist Light" w:hAnsi="Geomanist Light"/>
      <w:lang w:val="es-ES"/>
    </w:rPr>
  </w:style>
  <w:style w:type="character" w:styleId="Refdecomentario">
    <w:name w:val="annotation reference"/>
    <w:basedOn w:val="Fuentedeprrafopredeter"/>
    <w:uiPriority w:val="99"/>
    <w:semiHidden/>
    <w:unhideWhenUsed/>
    <w:rsid w:val="00DA444F"/>
    <w:rPr>
      <w:sz w:val="16"/>
      <w:szCs w:val="16"/>
    </w:rPr>
  </w:style>
  <w:style w:type="paragraph" w:styleId="Textocomentario">
    <w:name w:val="annotation text"/>
    <w:basedOn w:val="Normal"/>
    <w:link w:val="TextocomentarioCar"/>
    <w:uiPriority w:val="99"/>
    <w:unhideWhenUsed/>
    <w:rsid w:val="00DA444F"/>
    <w:pPr>
      <w:spacing w:line="240" w:lineRule="auto"/>
    </w:pPr>
    <w:rPr>
      <w:sz w:val="20"/>
      <w:szCs w:val="20"/>
    </w:rPr>
  </w:style>
  <w:style w:type="character" w:customStyle="1" w:styleId="TextocomentarioCar">
    <w:name w:val="Texto comentario Car"/>
    <w:basedOn w:val="Fuentedeprrafopredeter"/>
    <w:link w:val="Textocomentario"/>
    <w:uiPriority w:val="99"/>
    <w:rsid w:val="00DA444F"/>
    <w:rPr>
      <w:sz w:val="20"/>
      <w:szCs w:val="20"/>
    </w:rPr>
  </w:style>
  <w:style w:type="paragraph" w:styleId="Asuntodelcomentario">
    <w:name w:val="annotation subject"/>
    <w:basedOn w:val="Textocomentario"/>
    <w:next w:val="Textocomentario"/>
    <w:link w:val="AsuntodelcomentarioCar"/>
    <w:uiPriority w:val="99"/>
    <w:semiHidden/>
    <w:unhideWhenUsed/>
    <w:rsid w:val="00DA444F"/>
    <w:rPr>
      <w:b/>
      <w:bCs/>
    </w:rPr>
  </w:style>
  <w:style w:type="character" w:customStyle="1" w:styleId="AsuntodelcomentarioCar">
    <w:name w:val="Asunto del comentario Car"/>
    <w:basedOn w:val="TextocomentarioCar"/>
    <w:link w:val="Asuntodelcomentario"/>
    <w:uiPriority w:val="99"/>
    <w:semiHidden/>
    <w:rsid w:val="00DA4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sites/cce_public/files/cce_documents/cce-eicp-ma-04._manual_requisitos_habilitantes_v3_29-09-202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ser.ong@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juan.avendano%40colombiacompra.gov.co%7C5aad36a736844ec87b2108dcc1fa4639%7C7b09041e245149d08cb179d5e3d8c1be%7C0%7C0%7C638598527916589830%7CUnknown%7CTWFpbGZsb3d8eyJWIjoiMC4wLjAwMDAiLCJQIjoiV2luMzIiLCJBTiI6Ik1haWwiLCJXVCI6Mn0%3D%7C0%7C%7C%7C&amp;sdata=n8NgSxrSvJO7kk%2FCAkHZCgzHEwhQu6wmWP1FNXaghcs%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eicp-ma-04._manual_requisitos_habilitantes_v3_29-09-202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C42EDD9C-4CD1-4A8D-8035-D722A8A3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C2547B5-BA72-4484-ABC0-26402BF5D74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documentManagement/types"/>
    <ds:schemaRef ds:uri="a6cb9e4b-f1d1-4245-83ec-6cad768d538a"/>
    <ds:schemaRef ds:uri="http://schemas.microsoft.com/office/infopath/2007/PartnerControls"/>
    <ds:schemaRef ds:uri="http://purl.org/dc/elements/1.1/"/>
    <ds:schemaRef ds:uri="http://purl.org/dc/terms/"/>
    <ds:schemaRef ds:uri="http://schemas.microsoft.com/office/2006/metadata/properties"/>
    <ds:schemaRef ds:uri="http://purl.org/dc/dcmitype/"/>
    <ds:schemaRef ds:uri="9d85dbaf-23eb-4e57-a637-93dcacc8b1a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3907</Words>
  <Characters>21493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25350</CharactersWithSpaces>
  <SharedDoc>false</SharedDoc>
  <HLinks>
    <vt:vector size="30" baseType="variant">
      <vt:variant>
        <vt:i4>3866631</vt:i4>
      </vt:variant>
      <vt:variant>
        <vt:i4>9</vt:i4>
      </vt:variant>
      <vt:variant>
        <vt:i4>0</vt:i4>
      </vt:variant>
      <vt:variant>
        <vt:i4>5</vt:i4>
      </vt:variant>
      <vt:variant>
        <vt:lpwstr>https://nam02.safelinks.protection.outlook.com/?url=https%3A%2F%2Fwww.colombiacompra.gov.co%2Fsites%2Fcce_public%2Ffiles%2Ffiles_2020%2Fboletin_de_realtoria_iii.pdf&amp;data=05%7C02%7Cjuan.avendano%40colombiacompra.gov.co%7C5aad36a736844ec87b2108dcc1fa4639%7C7b09041e245149d08cb179d5e3d8c1be%7C0%7C0%7C638598527916589830%7CUnknown%7CTWFpbGZsb3d8eyJWIjoiMC4wLjAwMDAiLCJQIjoiV2luMzIiLCJBTiI6Ik1haWwiLCJXVCI6Mn0%3D%7C0%7C%7C%7C&amp;sdata=n8NgSxrSvJO7kk%2FCAkHZCgzHEwhQu6wmWP1FNXaghcs%3D&amp;reserved=0</vt:lpwstr>
      </vt:variant>
      <vt:variant>
        <vt:lpwstr/>
      </vt:variant>
      <vt:variant>
        <vt:i4>2162739</vt:i4>
      </vt:variant>
      <vt:variant>
        <vt:i4>6</vt:i4>
      </vt:variant>
      <vt:variant>
        <vt:i4>0</vt:i4>
      </vt:variant>
      <vt:variant>
        <vt:i4>5</vt:i4>
      </vt:variant>
      <vt:variant>
        <vt:lpwstr>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vt:lpwstr>
      </vt:variant>
      <vt:variant>
        <vt:lpwstr/>
      </vt:variant>
      <vt:variant>
        <vt:i4>5111908</vt:i4>
      </vt:variant>
      <vt:variant>
        <vt:i4>3</vt:i4>
      </vt:variant>
      <vt:variant>
        <vt:i4>0</vt:i4>
      </vt:variant>
      <vt:variant>
        <vt:i4>5</vt:i4>
      </vt:variant>
      <vt:variant>
        <vt:lpwstr>https://colombiacompra.gov.co/sites/cce_public/files/cce_documents/cce-eicp-ma-04._manual_requisitos_habilitantes_v3_29-09-2023.pdf</vt:lpwstr>
      </vt:variant>
      <vt:variant>
        <vt:lpwstr/>
      </vt:variant>
      <vt:variant>
        <vt:i4>7208974</vt:i4>
      </vt:variant>
      <vt:variant>
        <vt:i4>0</vt:i4>
      </vt:variant>
      <vt:variant>
        <vt:i4>0</vt:i4>
      </vt:variant>
      <vt:variant>
        <vt:i4>5</vt:i4>
      </vt:variant>
      <vt:variant>
        <vt:lpwstr>mailto:adser.ong@gmail.com</vt:lpwstr>
      </vt:variant>
      <vt:variant>
        <vt:lpwstr/>
      </vt:variant>
      <vt:variant>
        <vt:i4>5111908</vt:i4>
      </vt:variant>
      <vt:variant>
        <vt:i4>0</vt:i4>
      </vt:variant>
      <vt:variant>
        <vt:i4>0</vt:i4>
      </vt:variant>
      <vt:variant>
        <vt:i4>5</vt:i4>
      </vt:variant>
      <vt:variant>
        <vt:lpwstr>https://colombiacompra.gov.co/sites/cce_public/files/cce_documents/cce-eicp-ma-04._manual_requisitos_habilitantes_v3_29-09-2023.pdf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2024-10-01T12:30:00Z</dcterms:created>
  <dcterms:modified xsi:type="dcterms:W3CDTF">2024-10-01T12:30:00Z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