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CB5928" w:rsidR="00CB5928" w:rsidP="00CB5928" w:rsidRDefault="00CB5928" w14:paraId="70539C1A" w14:textId="77777777">
      <w:pPr>
        <w:spacing w:line="240" w:lineRule="auto"/>
        <w:jc w:val="both"/>
        <w:rPr>
          <w:rFonts w:ascii="Verdana" w:hAnsi="Verdana"/>
          <w:b/>
          <w:bCs/>
          <w:color w:val="000000"/>
        </w:rPr>
      </w:pPr>
      <w:bookmarkStart w:name="_Hlk143780582" w:id="0"/>
      <w:r w:rsidRPr="00CB5928">
        <w:rPr>
          <w:rFonts w:ascii="Verdana" w:hAnsi="Verdana"/>
          <w:b/>
          <w:bCs/>
          <w:color w:val="000000"/>
        </w:rPr>
        <w:t xml:space="preserve">CAPACIDAD RESIDUAL – Documentos Tipo – Causales de rechazo de la oferta </w:t>
      </w:r>
    </w:p>
    <w:p w:rsidRPr="00CB5928" w:rsidR="00CB5928" w:rsidP="00CB5928" w:rsidRDefault="00CB5928" w14:paraId="529873E6" w14:textId="77777777">
      <w:pPr>
        <w:spacing w:after="0"/>
        <w:jc w:val="both"/>
        <w:rPr>
          <w:rFonts w:ascii="Verdana" w:hAnsi="Verdana"/>
        </w:rPr>
      </w:pPr>
    </w:p>
    <w:p w:rsidRPr="00CB5928" w:rsidR="00CB5928" w:rsidP="00CB5928" w:rsidRDefault="00CB5928" w14:paraId="3DA33278" w14:textId="77777777">
      <w:pPr>
        <w:spacing w:after="0"/>
        <w:jc w:val="both"/>
        <w:rPr>
          <w:rFonts w:ascii="Verdana" w:hAnsi="Verdana"/>
        </w:rPr>
      </w:pPr>
      <w:r w:rsidRPr="00CB5928">
        <w:rPr>
          <w:rFonts w:ascii="Verdana" w:hAnsi="Verdana"/>
        </w:rPr>
        <w:t xml:space="preserve">La Capacidad Residual es un requisito habilitante que está sujeto a la posibilidad de solicitarle aclaración, con el fin de esclarecer dudas sobre aspectos de la información presentada por el proponente y de igual forma, esa sujeta a la posibilidad de subsanar la ausencia de requisitos, siempre que se cumpla con los límites temporales y materiales descritos en este concepto, es decir, que lo omitido no sea un factor que afecte la asignación de puntaje, que sea la prueba de una circunstancia o hecho que ocurrió con anterioridad al cierre del proceso y que no existe disposición legal o en el pliego de condiciones que prohíba su subsanación. </w:t>
      </w:r>
    </w:p>
    <w:p w:rsidRPr="00CB5928" w:rsidR="00CB5928" w:rsidP="00CB5928" w:rsidRDefault="00CB5928" w14:paraId="38D3FF5C" w14:textId="77777777">
      <w:pPr>
        <w:spacing w:after="0"/>
        <w:jc w:val="both"/>
        <w:rPr>
          <w:rFonts w:ascii="Verdana" w:hAnsi="Verdana"/>
        </w:rPr>
      </w:pPr>
    </w:p>
    <w:p w:rsidRPr="00CB5928" w:rsidR="00CB5928" w:rsidP="00CB5928" w:rsidRDefault="00CB5928" w14:paraId="37F83720" w14:textId="77777777">
      <w:pPr>
        <w:spacing w:after="0"/>
        <w:jc w:val="both"/>
        <w:rPr>
          <w:rFonts w:ascii="Verdana" w:hAnsi="Verdana"/>
        </w:rPr>
      </w:pPr>
      <w:r w:rsidRPr="00CB5928">
        <w:rPr>
          <w:rFonts w:ascii="Verdana" w:hAnsi="Verdana"/>
        </w:rPr>
        <w:t xml:space="preserve">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 </w:t>
      </w:r>
    </w:p>
    <w:p w:rsidRPr="00CB5928" w:rsidR="00CB5928" w:rsidP="00CB5928" w:rsidRDefault="00CB5928" w14:paraId="4867A423" w14:textId="77777777">
      <w:pPr>
        <w:spacing w:after="0"/>
        <w:jc w:val="both"/>
        <w:rPr>
          <w:rFonts w:ascii="Verdana" w:hAnsi="Verdana"/>
        </w:rPr>
      </w:pPr>
    </w:p>
    <w:p w:rsidRPr="00CB5928" w:rsidR="00CB5928" w:rsidP="00CB5928" w:rsidRDefault="00CB5928" w14:paraId="4B10A091" w14:textId="77777777">
      <w:pPr>
        <w:spacing w:after="0"/>
        <w:jc w:val="both"/>
        <w:rPr>
          <w:rFonts w:ascii="Verdana" w:hAnsi="Verdana"/>
        </w:rPr>
      </w:pPr>
      <w:r w:rsidRPr="00CB5928">
        <w:rPr>
          <w:rFonts w:ascii="Verdana" w:hAnsi="Verdana"/>
        </w:rPr>
        <w:t>El numeral 3.10 del documento base de obra de infraestructura de transporte para procesos de licitación pública – Versión 3, establece como requisito habilitante la capacidad residual. En este documento tipo, al menos tres causales de rechazo del numeral 1.15 se relacionan con la capacidad residual como requisito habilitante, esto es, los literales E, H y Z.</w:t>
      </w:r>
    </w:p>
    <w:p w:rsidRPr="00CB5928" w:rsidR="00CB5928" w:rsidP="00CB5928" w:rsidRDefault="00CB5928" w14:paraId="57ECA9F3" w14:textId="77777777">
      <w:pPr>
        <w:spacing w:after="0"/>
        <w:jc w:val="both"/>
        <w:rPr>
          <w:rFonts w:ascii="Verdana" w:hAnsi="Verdana"/>
        </w:rPr>
      </w:pPr>
    </w:p>
    <w:p w:rsidRPr="00CB5928" w:rsidR="00CB5928" w:rsidP="00CB5928" w:rsidRDefault="00CB5928" w14:paraId="2D40AFDD" w14:textId="77777777">
      <w:pPr>
        <w:spacing w:after="0"/>
        <w:jc w:val="both"/>
        <w:rPr>
          <w:rFonts w:ascii="Verdana" w:hAnsi="Verdana"/>
          <w:lang w:val="es-ES"/>
        </w:rPr>
      </w:pPr>
    </w:p>
    <w:p w:rsidRPr="00CB5928" w:rsidR="00CB5928" w:rsidP="00CB5928" w:rsidRDefault="00CB5928" w14:paraId="25A769EF" w14:textId="77777777">
      <w:pPr>
        <w:spacing w:after="0"/>
        <w:jc w:val="both"/>
        <w:rPr>
          <w:rFonts w:ascii="Verdana" w:hAnsi="Verdana"/>
          <w:b/>
          <w:bCs/>
        </w:rPr>
      </w:pPr>
      <w:r w:rsidRPr="00CB5928">
        <w:rPr>
          <w:rFonts w:ascii="Verdana" w:hAnsi="Verdana"/>
          <w:b/>
          <w:bCs/>
        </w:rPr>
        <w:t>SALDOS DE CONTRATOS EN EJECUCIÓN – Requisito Habilitante – Subsanación Deber de reportar la totalidad de contratos</w:t>
      </w:r>
    </w:p>
    <w:p w:rsidRPr="00CB5928" w:rsidR="00CB5928" w:rsidP="00CB5928" w:rsidRDefault="00CB5928" w14:paraId="2297B597" w14:textId="77777777">
      <w:pPr>
        <w:spacing w:after="0"/>
        <w:jc w:val="both"/>
        <w:rPr>
          <w:rFonts w:ascii="Verdana" w:hAnsi="Verdana"/>
          <w:b/>
          <w:bCs/>
        </w:rPr>
      </w:pPr>
    </w:p>
    <w:p w:rsidRPr="00CB5928" w:rsidR="00CB5928" w:rsidP="00CB5928" w:rsidRDefault="00CB5928" w14:paraId="311E2B70" w14:textId="77777777">
      <w:pPr>
        <w:spacing w:after="0"/>
        <w:jc w:val="both"/>
        <w:rPr>
          <w:rFonts w:ascii="Verdana" w:hAnsi="Verdana"/>
        </w:rPr>
      </w:pPr>
      <w:r w:rsidRPr="00CB5928">
        <w:rPr>
          <w:rFonts w:ascii="Verdana" w:hAnsi="Verdana"/>
        </w:rPr>
        <w:t>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rsidRPr="00CB5928" w:rsidR="00CB5928" w:rsidP="00CB5928" w:rsidRDefault="00CB5928" w14:paraId="6D752966" w14:textId="77777777">
      <w:pPr>
        <w:spacing w:after="0"/>
        <w:jc w:val="both"/>
        <w:rPr>
          <w:rFonts w:ascii="Verdana" w:hAnsi="Verdana"/>
        </w:rPr>
      </w:pPr>
    </w:p>
    <w:p w:rsidRPr="00CB5928" w:rsidR="00CB5928" w:rsidP="00CB5928" w:rsidRDefault="00CB5928" w14:paraId="42C2135C" w14:textId="77777777">
      <w:pPr>
        <w:spacing w:after="0"/>
        <w:jc w:val="both"/>
        <w:rPr>
          <w:rFonts w:ascii="Verdana" w:hAnsi="Verdana"/>
        </w:rPr>
      </w:pPr>
      <w:r w:rsidRPr="00CB5928">
        <w:rPr>
          <w:rFonts w:ascii="Verdana" w:hAnsi="Verdana"/>
        </w:rPr>
        <w:lastRenderedPageBreak/>
        <w:t>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w:t>
      </w:r>
    </w:p>
    <w:p w:rsidRPr="00CB5928" w:rsidR="00CB5928" w:rsidP="00CB5928" w:rsidRDefault="00CB5928" w14:paraId="2A6D7A14" w14:textId="77777777">
      <w:pPr>
        <w:spacing w:after="0"/>
        <w:jc w:val="both"/>
        <w:rPr>
          <w:rFonts w:ascii="Verdana" w:hAnsi="Verdana"/>
        </w:rPr>
      </w:pPr>
    </w:p>
    <w:p w:rsidRPr="00CB5928" w:rsidR="00CB5928" w:rsidP="00CB5928" w:rsidRDefault="00CB5928" w14:paraId="44F119F2" w14:textId="77777777">
      <w:pPr>
        <w:spacing w:after="0"/>
        <w:jc w:val="both"/>
        <w:rPr>
          <w:rFonts w:ascii="Verdana" w:hAnsi="Verdana"/>
        </w:rPr>
      </w:pPr>
      <w:proofErr w:type="spellStart"/>
      <w:r w:rsidRPr="00CB5928">
        <w:rPr>
          <w:rFonts w:ascii="Verdana" w:hAnsi="Verdana"/>
        </w:rPr>
        <w:t>ii</w:t>
      </w:r>
      <w:proofErr w:type="spellEnd"/>
      <w:r w:rsidRPr="00CB5928">
        <w:rPr>
          <w:rFonts w:ascii="Verdana" w:hAnsi="Verdana"/>
        </w:rPr>
        <w:t xml:space="preserve">)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rsidRPr="00CB5928" w:rsidR="00CB5928" w:rsidP="00CB5928" w:rsidRDefault="00CB5928" w14:paraId="707D3A18" w14:textId="77777777">
      <w:pPr>
        <w:spacing w:after="0"/>
        <w:jc w:val="both"/>
        <w:rPr>
          <w:rFonts w:ascii="Verdana" w:hAnsi="Verdana"/>
        </w:rPr>
      </w:pPr>
    </w:p>
    <w:p w:rsidRPr="00CB5928" w:rsidR="00CB5928" w:rsidP="00CB5928" w:rsidRDefault="00CB5928" w14:paraId="0F2A9B1D" w14:textId="77777777">
      <w:pPr>
        <w:spacing w:after="0"/>
        <w:jc w:val="both"/>
        <w:rPr>
          <w:rFonts w:ascii="Verdana" w:hAnsi="Verdana"/>
        </w:rPr>
      </w:pPr>
      <w:proofErr w:type="spellStart"/>
      <w:r w:rsidRPr="00CB5928">
        <w:rPr>
          <w:rFonts w:ascii="Verdana" w:hAnsi="Verdana"/>
        </w:rPr>
        <w:t>iii</w:t>
      </w:r>
      <w:proofErr w:type="spellEnd"/>
      <w:r w:rsidRPr="00CB5928">
        <w:rPr>
          <w:rFonts w:ascii="Verdana" w:hAnsi="Verdana"/>
        </w:rPr>
        <w:t>)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rsidRPr="00CB5928" w:rsidR="00CB5928" w:rsidP="00CB5928" w:rsidRDefault="00CB5928" w14:paraId="708D6CB1" w14:textId="77777777">
      <w:pPr>
        <w:spacing w:after="120" w:line="240" w:lineRule="auto"/>
        <w:jc w:val="both"/>
        <w:rPr>
          <w:rFonts w:ascii="Verdana" w:hAnsi="Verdana"/>
        </w:rPr>
      </w:pPr>
    </w:p>
    <w:p w:rsidRPr="00CB5928" w:rsidR="00CB5928" w:rsidP="00CB5928" w:rsidRDefault="00CB5928" w14:paraId="7C8FB53D" w14:textId="77777777">
      <w:pPr>
        <w:rPr>
          <w:rFonts w:ascii="Verdana" w:hAnsi="Verdana"/>
        </w:rPr>
      </w:pPr>
      <w:r w:rsidRPr="00CB5928">
        <w:rPr>
          <w:rFonts w:ascii="Verdana" w:hAnsi="Verdana"/>
        </w:rPr>
        <w:br w:type="page"/>
      </w:r>
    </w:p>
    <w:p w:rsidR="00CB5928" w:rsidP="00E245AB" w:rsidRDefault="00CB5928" w14:paraId="53F657BF" w14:textId="77777777">
      <w:pPr>
        <w:spacing w:after="0"/>
        <w:rPr>
          <w:rFonts w:ascii="Verdana" w:hAnsi="Verdana"/>
        </w:rPr>
      </w:pPr>
    </w:p>
    <w:p w:rsidRPr="0044528D" w:rsidR="00E245AB" w:rsidP="00E245AB" w:rsidRDefault="00E245AB" w14:paraId="3FE2184B" w14:textId="42766B12">
      <w:pPr>
        <w:spacing w:after="0"/>
        <w:rPr>
          <w:rFonts w:ascii="Verdana" w:hAnsi="Verdana"/>
        </w:rPr>
      </w:pPr>
      <w:r w:rsidRPr="0044528D">
        <w:rPr>
          <w:rFonts w:ascii="Verdana" w:hAnsi="Verdana"/>
        </w:rPr>
        <w:t xml:space="preserve">Bogotá D.C., </w:t>
      </w:r>
      <w:r w:rsidRPr="0044528D" w:rsidR="00891928">
        <w:rPr>
          <w:rFonts w:ascii="Verdana" w:hAnsi="Verdana"/>
        </w:rPr>
        <w:t>[Día] [</w:t>
      </w:r>
      <w:proofErr w:type="spellStart"/>
      <w:r w:rsidRPr="0044528D" w:rsidR="00891928">
        <w:rPr>
          <w:rFonts w:ascii="Verdana" w:hAnsi="Verdana"/>
        </w:rPr>
        <w:t>Mes</w:t>
      </w:r>
      <w:r w:rsidR="00E413EA">
        <w:rPr>
          <w:rFonts w:ascii="Verdana" w:hAnsi="Verdana"/>
        </w:rPr>
        <w:t>.</w:t>
      </w:r>
      <w:r w:rsidRPr="0044528D" w:rsidR="00891928">
        <w:rPr>
          <w:rFonts w:ascii="Verdana" w:hAnsi="Verdana"/>
        </w:rPr>
        <w:t>NombreCapitalizado</w:t>
      </w:r>
      <w:proofErr w:type="spellEnd"/>
      <w:r w:rsidRPr="0044528D" w:rsidR="00891928">
        <w:rPr>
          <w:rFonts w:ascii="Verdana" w:hAnsi="Verdana"/>
        </w:rPr>
        <w:t>] [Año]</w:t>
      </w:r>
      <w:r w:rsidRPr="0044528D" w:rsidR="00891928">
        <w:rPr>
          <w:rFonts w:ascii="Verdana" w:hAnsi="Verdana"/>
        </w:rPr>
        <w:tab/>
      </w:r>
    </w:p>
    <w:bookmarkEnd w:id="0"/>
    <w:p w:rsidRPr="00835FFE" w:rsidR="00322A85" w:rsidP="00835FFE" w:rsidRDefault="00322A85" w14:paraId="78053B45" w14:textId="2FE55956">
      <w:pPr>
        <w:spacing w:after="0" w:line="240" w:lineRule="auto"/>
        <w:textAlignment w:val="baseline"/>
        <w:rPr>
          <w:rFonts w:ascii="Verdana" w:hAnsi="Verdana" w:eastAsia="Times New Roman" w:cs="Segoe UI"/>
          <w:sz w:val="18"/>
          <w:szCs w:val="18"/>
          <w:lang w:eastAsia="es-CO"/>
        </w:rPr>
      </w:pPr>
    </w:p>
    <w:p w:rsidRPr="00835FFE" w:rsidR="00835FFE" w:rsidP="00835FFE" w:rsidRDefault="00835FFE" w14:paraId="5C137ED3" w14:textId="77777777">
      <w:pPr>
        <w:spacing w:after="0" w:line="240" w:lineRule="auto"/>
        <w:jc w:val="both"/>
        <w:rPr>
          <w:rFonts w:ascii="Verdana" w:hAnsi="Verdana" w:eastAsia="Times New Roman"/>
          <w:lang w:val="es-ES_tradnl" w:eastAsia="es-ES_tradnl"/>
        </w:rPr>
      </w:pPr>
      <w:r w:rsidRPr="00835FFE">
        <w:rPr>
          <w:rFonts w:ascii="Verdana" w:hAnsi="Verdana" w:eastAsia="Times New Roman"/>
          <w:lang w:val="es-ES_tradnl" w:eastAsia="es-ES_tradnl"/>
        </w:rPr>
        <w:t>Señora</w:t>
      </w:r>
    </w:p>
    <w:p w:rsidRPr="00835FFE" w:rsidR="00835FFE" w:rsidP="00835FFE" w:rsidRDefault="00835FFE" w14:paraId="72F54E5B" w14:textId="77777777">
      <w:pPr>
        <w:spacing w:after="0" w:line="240" w:lineRule="auto"/>
        <w:rPr>
          <w:rFonts w:ascii="Verdana" w:hAnsi="Verdana" w:eastAsia="Times New Roman"/>
          <w:b/>
          <w:bCs/>
          <w:lang w:val="es-ES_tradnl" w:eastAsia="es-ES_tradnl"/>
        </w:rPr>
      </w:pPr>
      <w:r w:rsidRPr="00835FFE">
        <w:rPr>
          <w:rFonts w:ascii="Verdana" w:hAnsi="Verdana" w:eastAsia="Times New Roman"/>
          <w:b/>
          <w:bCs/>
          <w:lang w:val="es-ES_tradnl" w:eastAsia="es-ES_tradnl"/>
        </w:rPr>
        <w:t>MARCELA MENCO NARVAEZ</w:t>
      </w:r>
    </w:p>
    <w:p w:rsidRPr="00835FFE" w:rsidR="00835FFE" w:rsidP="00835FFE" w:rsidRDefault="00835FFE" w14:paraId="47CBE614" w14:textId="77777777">
      <w:pPr>
        <w:spacing w:after="0" w:line="240" w:lineRule="auto"/>
        <w:rPr>
          <w:rFonts w:ascii="Verdana" w:hAnsi="Verdana" w:eastAsia="Times New Roman"/>
          <w:lang w:val="es-ES_tradnl" w:eastAsia="es-ES_tradnl"/>
        </w:rPr>
      </w:pPr>
      <w:hyperlink w:history="1" r:id="rId10">
        <w:r w:rsidRPr="00835FFE">
          <w:rPr>
            <w:rStyle w:val="Hipervnculo"/>
            <w:rFonts w:ascii="Verdana" w:hAnsi="Verdana" w:eastAsia="Times New Roman"/>
            <w:lang w:val="es-ES_tradnl" w:eastAsia="es-ES_tradnl"/>
          </w:rPr>
          <w:t>procesosjuridicosj3@gmail.com</w:t>
        </w:r>
      </w:hyperlink>
      <w:r w:rsidRPr="00835FFE">
        <w:rPr>
          <w:rFonts w:ascii="Verdana" w:hAnsi="Verdana" w:eastAsia="Times New Roman"/>
          <w:lang w:val="es-ES_tradnl" w:eastAsia="es-ES_tradnl"/>
        </w:rPr>
        <w:t xml:space="preserve"> </w:t>
      </w:r>
    </w:p>
    <w:p w:rsidRPr="00835FFE" w:rsidR="00835FFE" w:rsidP="00835FFE" w:rsidRDefault="00835FFE" w14:paraId="74467231" w14:textId="77777777">
      <w:pPr>
        <w:spacing w:after="0" w:line="240" w:lineRule="auto"/>
        <w:rPr>
          <w:rFonts w:ascii="Verdana" w:hAnsi="Verdana" w:eastAsia="Times New Roman"/>
          <w:lang w:val="es-ES_tradnl" w:eastAsia="es-ES_tradnl"/>
        </w:rPr>
      </w:pPr>
      <w:r w:rsidRPr="00835FFE">
        <w:rPr>
          <w:rFonts w:ascii="Verdana" w:hAnsi="Verdana" w:eastAsia="Times New Roman"/>
          <w:lang w:val="es-ES_tradnl" w:eastAsia="es-ES_tradnl"/>
        </w:rPr>
        <w:t xml:space="preserve">Pasto, Nariño.  </w:t>
      </w:r>
    </w:p>
    <w:p w:rsidR="00835FFE" w:rsidP="00835FFE" w:rsidRDefault="00835FFE" w14:paraId="4D97B557" w14:textId="77777777">
      <w:pPr>
        <w:spacing w:after="0" w:line="240" w:lineRule="auto"/>
        <w:rPr>
          <w:rFonts w:ascii="Verdana" w:hAnsi="Verdana" w:eastAsia="Times New Roman"/>
          <w:lang w:val="es-ES_tradnl" w:eastAsia="es-ES_tradnl"/>
        </w:rPr>
      </w:pPr>
    </w:p>
    <w:p w:rsidR="00FD5392" w:rsidP="00835FFE" w:rsidRDefault="00FD5392" w14:paraId="586E831C" w14:textId="77777777">
      <w:pPr>
        <w:spacing w:after="0" w:line="240" w:lineRule="auto"/>
        <w:rPr>
          <w:rFonts w:ascii="Verdana" w:hAnsi="Verdana" w:eastAsia="Times New Roman"/>
          <w:lang w:val="es-ES_tradnl" w:eastAsia="es-ES_tradnl"/>
        </w:rPr>
      </w:pPr>
    </w:p>
    <w:p w:rsidRPr="00835FFE" w:rsidR="00FD5392" w:rsidP="00FD5392" w:rsidRDefault="00FD5392" w14:paraId="3C895462" w14:textId="61E8B018">
      <w:pPr>
        <w:spacing w:after="0" w:line="240" w:lineRule="auto"/>
        <w:jc w:val="right"/>
        <w:rPr>
          <w:rFonts w:ascii="Verdana" w:hAnsi="Verdana" w:eastAsia="Times New Roman"/>
          <w:lang w:val="es-ES_tradnl" w:eastAsia="es-ES_tradnl"/>
        </w:rPr>
      </w:pPr>
      <w:r w:rsidRPr="00FD5392">
        <w:rPr>
          <w:rFonts w:ascii="Verdana" w:hAnsi="Verdana" w:eastAsia="Times New Roman"/>
          <w:lang w:val="es-ES_tradnl" w:eastAsia="es-ES_tradnl"/>
        </w:rPr>
        <w:drawing>
          <wp:inline distT="0" distB="0" distL="0" distR="0" wp14:anchorId="36B873DE" wp14:editId="5D41DBBF">
            <wp:extent cx="3619814" cy="1044030"/>
            <wp:effectExtent l="0" t="0" r="0" b="3810"/>
            <wp:docPr id="299494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9472" name=""/>
                    <pic:cNvPicPr/>
                  </pic:nvPicPr>
                  <pic:blipFill>
                    <a:blip r:embed="rId11"/>
                    <a:stretch>
                      <a:fillRect/>
                    </a:stretch>
                  </pic:blipFill>
                  <pic:spPr>
                    <a:xfrm>
                      <a:off x="0" y="0"/>
                      <a:ext cx="3619814" cy="1044030"/>
                    </a:xfrm>
                    <a:prstGeom prst="rect">
                      <a:avLst/>
                    </a:prstGeom>
                  </pic:spPr>
                </pic:pic>
              </a:graphicData>
            </a:graphic>
          </wp:inline>
        </w:drawing>
      </w:r>
    </w:p>
    <w:p w:rsidRPr="00835FFE" w:rsidR="00835FFE" w:rsidP="00835FFE" w:rsidRDefault="00835FFE" w14:paraId="5014A80A" w14:textId="77777777">
      <w:pPr>
        <w:spacing w:after="0" w:line="240" w:lineRule="auto"/>
        <w:rPr>
          <w:rFonts w:ascii="Verdana" w:hAnsi="Verdana" w:eastAsia="Times New Roman"/>
          <w:lang w:val="es-ES_tradnl" w:eastAsia="es-ES_tradnl"/>
        </w:rPr>
      </w:pPr>
    </w:p>
    <w:tbl>
      <w:tblPr>
        <w:tblStyle w:val="Tablaconcuadrcula"/>
        <w:tblW w:w="89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701"/>
        <w:gridCol w:w="7230"/>
      </w:tblGrid>
      <w:tr w:rsidRPr="00835FFE" w:rsidR="00835FFE" w:rsidTr="00F539C6" w14:paraId="07528B90" w14:textId="77777777">
        <w:trPr>
          <w:trHeight w:val="884"/>
        </w:trPr>
        <w:tc>
          <w:tcPr>
            <w:tcW w:w="1701" w:type="dxa"/>
          </w:tcPr>
          <w:p w:rsidRPr="00835FFE" w:rsidR="00835FFE" w:rsidP="00B35555" w:rsidRDefault="00835FFE" w14:paraId="437F74E1" w14:textId="77777777">
            <w:pPr>
              <w:jc w:val="both"/>
              <w:rPr>
                <w:rFonts w:ascii="Verdana" w:hAnsi="Verdana" w:eastAsia="Times New Roman"/>
                <w:lang w:val="es-ES_tradnl" w:eastAsia="es-ES_tradnl"/>
              </w:rPr>
            </w:pPr>
          </w:p>
        </w:tc>
        <w:tc>
          <w:tcPr>
            <w:tcW w:w="7230" w:type="dxa"/>
          </w:tcPr>
          <w:p w:rsidRPr="00835FFE" w:rsidR="00835FFE" w:rsidP="00B35555" w:rsidRDefault="00835FFE" w14:paraId="0BB3AF23" w14:textId="77777777">
            <w:pPr>
              <w:jc w:val="both"/>
              <w:rPr>
                <w:rFonts w:ascii="Verdana" w:hAnsi="Verdana" w:eastAsia="Times New Roman"/>
                <w:b/>
                <w:bCs/>
                <w:lang w:val="es-ES_tradnl" w:eastAsia="es-ES_tradnl"/>
              </w:rPr>
            </w:pPr>
            <w:r w:rsidRPr="00835FFE">
              <w:rPr>
                <w:rFonts w:ascii="Verdana" w:hAnsi="Verdana" w:eastAsia="Times New Roman"/>
                <w:b/>
                <w:bCs/>
                <w:lang w:val="es-ES_tradnl" w:eastAsia="es-ES_tradnl"/>
              </w:rPr>
              <w:t>Concepto C- 421 de 2024</w:t>
            </w:r>
          </w:p>
        </w:tc>
      </w:tr>
      <w:tr w:rsidRPr="00835FFE" w:rsidR="00835FFE" w:rsidTr="00F539C6" w14:paraId="58514524" w14:textId="77777777">
        <w:trPr>
          <w:trHeight w:val="884"/>
        </w:trPr>
        <w:tc>
          <w:tcPr>
            <w:tcW w:w="1701" w:type="dxa"/>
          </w:tcPr>
          <w:p w:rsidRPr="00835FFE" w:rsidR="00835FFE" w:rsidP="00B35555" w:rsidRDefault="00835FFE" w14:paraId="04C0CF7C" w14:textId="77777777">
            <w:pPr>
              <w:jc w:val="both"/>
              <w:rPr>
                <w:rFonts w:ascii="Verdana" w:hAnsi="Verdana" w:eastAsia="Times New Roman"/>
                <w:lang w:val="es-ES_tradnl" w:eastAsia="es-ES_tradnl"/>
              </w:rPr>
            </w:pPr>
            <w:r w:rsidRPr="00835FFE">
              <w:rPr>
                <w:rFonts w:ascii="Verdana" w:hAnsi="Verdana" w:eastAsia="Times New Roman"/>
                <w:lang w:val="es-ES_tradnl" w:eastAsia="es-ES_tradnl"/>
              </w:rPr>
              <w:t xml:space="preserve">Temas:                   </w:t>
            </w:r>
          </w:p>
        </w:tc>
        <w:tc>
          <w:tcPr>
            <w:tcW w:w="7230" w:type="dxa"/>
          </w:tcPr>
          <w:p w:rsidRPr="00835FFE" w:rsidR="00835FFE" w:rsidP="00B35555" w:rsidRDefault="00835FFE" w14:paraId="73E4760D" w14:textId="77777777">
            <w:pPr>
              <w:spacing w:line="276" w:lineRule="auto"/>
              <w:jc w:val="both"/>
              <w:rPr>
                <w:rFonts w:ascii="Verdana" w:hAnsi="Verdana" w:eastAsia="Calibri"/>
                <w:lang w:val="es-ES" w:eastAsia="es-ES"/>
              </w:rPr>
            </w:pPr>
            <w:r w:rsidRPr="00835FFE">
              <w:rPr>
                <w:rFonts w:ascii="Verdana" w:hAnsi="Verdana" w:eastAsia="Calibri"/>
                <w:lang w:val="es-ES" w:eastAsia="es-ES"/>
              </w:rPr>
              <w:t xml:space="preserve">CAPACIDAD RESIDUAL – Documentos Tipo – Causales de rechazo de la oferta / SALDOS DE CONTRATOS EN EJECUCIÓN – Requisito Habilitante – Subsanación Deber de reportar la totalidad de contratos. </w:t>
            </w:r>
          </w:p>
          <w:p w:rsidRPr="00835FFE" w:rsidR="00835FFE" w:rsidP="00B35555" w:rsidRDefault="00835FFE" w14:paraId="1E91BECB" w14:textId="77777777">
            <w:pPr>
              <w:spacing w:line="276" w:lineRule="auto"/>
              <w:jc w:val="both"/>
              <w:rPr>
                <w:rFonts w:ascii="Verdana" w:hAnsi="Verdana" w:eastAsia="Times New Roman"/>
                <w:lang w:val="es-ES" w:eastAsia="es-ES_tradnl"/>
              </w:rPr>
            </w:pPr>
          </w:p>
        </w:tc>
      </w:tr>
      <w:tr w:rsidRPr="00835FFE" w:rsidR="00835FFE" w:rsidTr="00F539C6" w14:paraId="4BCFF417" w14:textId="77777777">
        <w:tc>
          <w:tcPr>
            <w:tcW w:w="1701" w:type="dxa"/>
          </w:tcPr>
          <w:p w:rsidRPr="00835FFE" w:rsidR="00835FFE" w:rsidP="00B35555" w:rsidRDefault="00835FFE" w14:paraId="40D65649" w14:textId="77777777">
            <w:pPr>
              <w:jc w:val="both"/>
              <w:rPr>
                <w:rFonts w:ascii="Verdana" w:hAnsi="Verdana" w:eastAsia="Times New Roman"/>
                <w:lang w:val="es-ES_tradnl" w:eastAsia="es-ES_tradnl"/>
              </w:rPr>
            </w:pPr>
            <w:r w:rsidRPr="00835FFE">
              <w:rPr>
                <w:rFonts w:ascii="Verdana" w:hAnsi="Verdana" w:eastAsia="Times New Roman"/>
                <w:lang w:val="es-ES_tradnl" w:eastAsia="es-ES_tradnl"/>
              </w:rPr>
              <w:t xml:space="preserve">Radicación:               </w:t>
            </w:r>
          </w:p>
        </w:tc>
        <w:tc>
          <w:tcPr>
            <w:tcW w:w="7230" w:type="dxa"/>
          </w:tcPr>
          <w:p w:rsidRPr="00835FFE" w:rsidR="00835FFE" w:rsidP="00B35555" w:rsidRDefault="00835FFE" w14:paraId="79B9110C" w14:textId="77777777">
            <w:pPr>
              <w:jc w:val="both"/>
              <w:rPr>
                <w:rFonts w:ascii="Verdana" w:hAnsi="Verdana" w:eastAsia="Times New Roman"/>
                <w:lang w:val="es-ES_tradnl" w:eastAsia="es-ES_tradnl"/>
              </w:rPr>
            </w:pPr>
            <w:r w:rsidRPr="00835FFE">
              <w:rPr>
                <w:rFonts w:ascii="Verdana" w:hAnsi="Verdana" w:eastAsia="Times New Roman"/>
                <w:lang w:val="es-ES_tradnl" w:eastAsia="es-ES_tradnl"/>
              </w:rPr>
              <w:t xml:space="preserve">Respuesta a consulta con radicado No. P20240731007851 </w:t>
            </w:r>
          </w:p>
        </w:tc>
      </w:tr>
    </w:tbl>
    <w:p w:rsidRPr="00835FFE" w:rsidR="00835FFE" w:rsidP="00835FFE" w:rsidRDefault="00835FFE" w14:paraId="03D40494" w14:textId="77777777">
      <w:pPr>
        <w:spacing w:after="0" w:line="240" w:lineRule="auto"/>
        <w:jc w:val="both"/>
        <w:rPr>
          <w:rFonts w:ascii="Verdana" w:hAnsi="Verdana" w:eastAsia="Times New Roman"/>
          <w:lang w:val="es-ES_tradnl" w:eastAsia="es-ES_tradnl"/>
        </w:rPr>
      </w:pPr>
    </w:p>
    <w:p w:rsidRPr="00835FFE" w:rsidR="00835FFE" w:rsidP="00835FFE" w:rsidRDefault="00835FFE" w14:paraId="77C05CA8" w14:textId="77777777">
      <w:pPr>
        <w:spacing w:after="0" w:line="240" w:lineRule="auto"/>
        <w:jc w:val="both"/>
        <w:rPr>
          <w:rFonts w:ascii="Verdana" w:hAnsi="Verdana" w:eastAsia="Times New Roman"/>
          <w:lang w:val="es-ES_tradnl" w:eastAsia="es-ES_tradnl"/>
        </w:rPr>
      </w:pPr>
    </w:p>
    <w:p w:rsidRPr="00835FFE" w:rsidR="00835FFE" w:rsidP="00835FFE" w:rsidRDefault="00835FFE" w14:paraId="29AF9065" w14:textId="77777777">
      <w:pPr>
        <w:spacing w:after="0" w:line="276" w:lineRule="auto"/>
        <w:jc w:val="both"/>
        <w:rPr>
          <w:rFonts w:ascii="Verdana" w:hAnsi="Verdana" w:eastAsia="Times New Roman"/>
          <w:lang w:val="es-ES_tradnl" w:eastAsia="es-ES_tradnl"/>
        </w:rPr>
      </w:pPr>
      <w:r w:rsidRPr="00835FFE">
        <w:rPr>
          <w:rFonts w:ascii="Verdana" w:hAnsi="Verdana" w:eastAsia="Times New Roman"/>
          <w:lang w:val="es-ES_tradnl" w:eastAsia="es-ES_tradnl"/>
        </w:rPr>
        <w:t xml:space="preserve">Estimado señora Menco: </w:t>
      </w:r>
    </w:p>
    <w:p w:rsidRPr="00835FFE" w:rsidR="00835FFE" w:rsidP="00835FFE" w:rsidRDefault="00835FFE" w14:paraId="4F4333CE" w14:textId="77777777">
      <w:pPr>
        <w:tabs>
          <w:tab w:val="left" w:pos="3768"/>
        </w:tabs>
        <w:spacing w:after="0" w:line="276" w:lineRule="auto"/>
        <w:jc w:val="both"/>
        <w:rPr>
          <w:rFonts w:ascii="Verdana" w:hAnsi="Verdana" w:eastAsia="Calibri"/>
          <w:color w:val="000000" w:themeColor="text1"/>
          <w:lang w:val="es-ES" w:eastAsia="es-ES"/>
        </w:rPr>
      </w:pPr>
      <w:r w:rsidRPr="00835FFE">
        <w:rPr>
          <w:rFonts w:ascii="Verdana" w:hAnsi="Verdana" w:eastAsia="Calibri"/>
          <w:color w:val="000000" w:themeColor="text1"/>
          <w:lang w:val="es-ES" w:eastAsia="es-ES"/>
        </w:rPr>
        <w:tab/>
      </w:r>
    </w:p>
    <w:p w:rsidRPr="00835FFE" w:rsidR="00835FFE" w:rsidP="00835FFE" w:rsidRDefault="00835FFE" w14:paraId="602739C1" w14:textId="77777777">
      <w:pPr>
        <w:spacing w:after="0" w:line="276" w:lineRule="auto"/>
        <w:jc w:val="both"/>
        <w:rPr>
          <w:rFonts w:ascii="Verdana" w:hAnsi="Verdana" w:eastAsia="Calibri"/>
          <w:lang w:val="es-ES_tradnl"/>
        </w:rPr>
      </w:pPr>
      <w:r w:rsidRPr="00835FFE">
        <w:rPr>
          <w:rFonts w:ascii="Verdana" w:hAnsi="Verdana" w:eastAsia="Calibri"/>
          <w:lang w:val="es-ES_tradnl"/>
        </w:rPr>
        <w:t xml:space="preserve">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31 de julio de 2024, en la cual manifiesta lo siguiente: </w:t>
      </w:r>
    </w:p>
    <w:p w:rsidRPr="00835FFE" w:rsidR="00835FFE" w:rsidP="00835FFE" w:rsidRDefault="00835FFE" w14:paraId="5BDF8BBC" w14:textId="77777777">
      <w:pPr>
        <w:pStyle w:val="Prrafodelista"/>
        <w:tabs>
          <w:tab w:val="left" w:pos="142"/>
          <w:tab w:val="left" w:pos="284"/>
        </w:tabs>
        <w:spacing w:line="276" w:lineRule="auto"/>
        <w:ind w:left="0"/>
        <w:jc w:val="both"/>
        <w:rPr>
          <w:rFonts w:ascii="Verdana" w:hAnsi="Verdana" w:eastAsia="Calibri"/>
          <w:sz w:val="20"/>
          <w:szCs w:val="20"/>
          <w:lang w:val="es-ES_tradnl"/>
        </w:rPr>
      </w:pPr>
    </w:p>
    <w:p w:rsidRPr="00835FFE" w:rsidR="00835FFE" w:rsidP="321DD53E" w:rsidRDefault="00835FFE" w14:paraId="2A009758" w14:textId="77777777">
      <w:pPr>
        <w:ind w:left="709" w:right="616"/>
        <w:jc w:val="both"/>
        <w:rPr>
          <w:rFonts w:ascii="Verdana" w:hAnsi="Verdana" w:eastAsia="Calibri"/>
          <w:sz w:val="20"/>
          <w:szCs w:val="20"/>
          <w:lang w:val="es-ES"/>
        </w:rPr>
      </w:pPr>
      <w:bookmarkStart w:name="_Hlk95313578" w:id="1"/>
      <w:r w:rsidRPr="321DD53E" w:rsidR="00835FFE">
        <w:rPr>
          <w:rFonts w:ascii="Verdana" w:hAnsi="Verdana" w:eastAsia="Calibri"/>
          <w:sz w:val="20"/>
          <w:szCs w:val="20"/>
          <w:lang w:val="es-ES"/>
        </w:rPr>
        <w:t>“</w:t>
      </w:r>
      <w:bookmarkEnd w:id="1"/>
      <w:r w:rsidRPr="321DD53E" w:rsidR="00835FFE">
        <w:rPr>
          <w:rFonts w:ascii="Verdana" w:hAnsi="Verdana" w:eastAsia="Calibri"/>
          <w:sz w:val="20"/>
          <w:szCs w:val="20"/>
          <w:lang w:val="es-ES"/>
        </w:rPr>
        <w:t xml:space="preserve">Buen día, Solicito comedidamente brindar concepto acerca de la causal rechazo: Z "No informar todos los contratos que el proponente tenga en ejecución antes del </w:t>
      </w:r>
      <w:r w:rsidRPr="321DD53E" w:rsidR="00835FFE">
        <w:rPr>
          <w:rFonts w:ascii="Verdana" w:hAnsi="Verdana" w:eastAsia="Calibri"/>
          <w:sz w:val="20"/>
          <w:szCs w:val="20"/>
          <w:lang w:val="es-ES"/>
        </w:rPr>
        <w:t>cierre,necesarios</w:t>
      </w:r>
      <w:r w:rsidRPr="321DD53E" w:rsidR="00835FFE">
        <w:rPr>
          <w:rFonts w:ascii="Verdana" w:hAnsi="Verdana" w:eastAsia="Calibri"/>
          <w:sz w:val="20"/>
          <w:szCs w:val="20"/>
          <w:lang w:val="es-ES"/>
        </w:rPr>
        <w:t xml:space="preserve"> para acreditar su capacidad residual conforme a la sección 3.10." con </w:t>
      </w:r>
      <w:r w:rsidRPr="321DD53E" w:rsidR="00835FFE">
        <w:rPr>
          <w:rFonts w:ascii="Verdana" w:hAnsi="Verdana" w:eastAsia="Calibri"/>
          <w:sz w:val="20"/>
          <w:szCs w:val="20"/>
          <w:lang w:val="es-ES"/>
        </w:rPr>
        <w:t>elfin</w:t>
      </w:r>
      <w:r w:rsidRPr="321DD53E" w:rsidR="00835FFE">
        <w:rPr>
          <w:rFonts w:ascii="Verdana" w:hAnsi="Verdana" w:eastAsia="Calibri"/>
          <w:sz w:val="20"/>
          <w:szCs w:val="20"/>
          <w:lang w:val="es-ES"/>
        </w:rPr>
        <w:t xml:space="preserve"> de aclarar, si esta causal se configura con la no presentación o ausencia total del formato 5 Saldo de contratos en ejecución o por el contrario, se </w:t>
      </w:r>
      <w:r w:rsidRPr="321DD53E" w:rsidR="00835FFE">
        <w:rPr>
          <w:rFonts w:ascii="Verdana" w:hAnsi="Verdana" w:eastAsia="Calibri"/>
          <w:sz w:val="20"/>
          <w:szCs w:val="20"/>
          <w:lang w:val="es-ES"/>
        </w:rPr>
        <w:t>configura,cuando</w:t>
      </w:r>
      <w:r w:rsidRPr="321DD53E" w:rsidR="00835FFE">
        <w:rPr>
          <w:rFonts w:ascii="Verdana" w:hAnsi="Verdana" w:eastAsia="Calibri"/>
          <w:sz w:val="20"/>
          <w:szCs w:val="20"/>
          <w:lang w:val="es-ES"/>
        </w:rPr>
        <w:t xml:space="preserve"> se presenta dicho </w:t>
      </w:r>
      <w:r w:rsidRPr="321DD53E" w:rsidR="00835FFE">
        <w:rPr>
          <w:rFonts w:ascii="Verdana" w:hAnsi="Verdana" w:eastAsia="Calibri"/>
          <w:sz w:val="20"/>
          <w:szCs w:val="20"/>
          <w:lang w:val="es-ES"/>
        </w:rPr>
        <w:t xml:space="preserve">formato, pero NO se relacionan todos los contratos </w:t>
      </w:r>
      <w:r w:rsidRPr="321DD53E" w:rsidR="00835FFE">
        <w:rPr>
          <w:rFonts w:ascii="Verdana" w:hAnsi="Verdana" w:eastAsia="Calibri"/>
          <w:sz w:val="20"/>
          <w:szCs w:val="20"/>
          <w:lang w:val="es-ES"/>
        </w:rPr>
        <w:t>quetiene</w:t>
      </w:r>
      <w:r w:rsidRPr="321DD53E" w:rsidR="00835FFE">
        <w:rPr>
          <w:rFonts w:ascii="Verdana" w:hAnsi="Verdana" w:eastAsia="Calibri"/>
          <w:sz w:val="20"/>
          <w:szCs w:val="20"/>
          <w:lang w:val="es-ES"/>
        </w:rPr>
        <w:t xml:space="preserve"> en ejecución el proponente. Mil gracias. [sic]</w:t>
      </w:r>
    </w:p>
    <w:p w:rsidRPr="00835FFE" w:rsidR="00835FFE" w:rsidP="00835FFE" w:rsidRDefault="00835FFE" w14:paraId="73BAE1F5" w14:textId="77777777">
      <w:pPr>
        <w:pStyle w:val="Prrafodelista"/>
        <w:tabs>
          <w:tab w:val="left" w:pos="142"/>
          <w:tab w:val="left" w:pos="284"/>
        </w:tabs>
        <w:spacing w:line="276" w:lineRule="auto"/>
        <w:ind w:left="0"/>
        <w:jc w:val="both"/>
        <w:rPr>
          <w:rFonts w:ascii="Verdana" w:hAnsi="Verdana" w:eastAsia="Calibri"/>
          <w:lang w:val="es-ES_tradnl"/>
        </w:rPr>
      </w:pPr>
    </w:p>
    <w:p w:rsidRPr="00835FFE" w:rsidR="00835FFE" w:rsidP="321DD53E" w:rsidRDefault="00835FFE" w14:paraId="637B6FC9" w14:textId="77777777" w14:noSpellErr="1">
      <w:pPr>
        <w:spacing w:after="120" w:line="276" w:lineRule="auto"/>
        <w:ind w:firstLine="709"/>
        <w:jc w:val="both"/>
        <w:rPr>
          <w:rFonts w:ascii="Verdana" w:hAnsi="Verdana" w:eastAsia="Calibri"/>
          <w:lang w:val="es-ES"/>
        </w:rPr>
      </w:pPr>
      <w:r w:rsidRPr="321DD53E" w:rsidR="00835FFE">
        <w:rPr>
          <w:rFonts w:ascii="Verdana" w:hAnsi="Verdana" w:eastAsia="Calibri"/>
          <w:lang w:val="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w:t>
      </w:r>
      <w:r w:rsidRPr="321DD53E" w:rsidR="00835FFE">
        <w:rPr>
          <w:rFonts w:ascii="Verdana" w:hAnsi="Verdana" w:eastAsia="Calibri"/>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321DD53E" w:rsidR="00835FFE">
        <w:rPr>
          <w:rFonts w:ascii="Verdana" w:hAnsi="Verdana" w:eastAsia="Calibri"/>
          <w:lang w:val="es-ES"/>
        </w:rPr>
        <w:t xml:space="preserve"> Esta competencia de interpretación de normas generales, por definición, no puede extenderse a la resolución de controversias, ni a brindar asesorías sobre casos puntuales. </w:t>
      </w:r>
      <w:r>
        <w:tab/>
      </w:r>
    </w:p>
    <w:p w:rsidRPr="00835FFE" w:rsidR="00835FFE" w:rsidP="321DD53E" w:rsidRDefault="00835FFE" w14:paraId="117C4E8F" w14:textId="77777777" w14:noSpellErr="1">
      <w:pPr>
        <w:spacing w:after="0" w:line="276" w:lineRule="auto"/>
        <w:ind w:firstLine="709"/>
        <w:jc w:val="both"/>
        <w:rPr>
          <w:rFonts w:ascii="Verdana" w:hAnsi="Verdana" w:eastAsia="Calibri"/>
          <w:lang w:val="es-ES"/>
        </w:rPr>
      </w:pPr>
      <w:r w:rsidRPr="321DD53E" w:rsidR="00835FFE">
        <w:rPr>
          <w:rFonts w:ascii="Verdana" w:hAnsi="Verdana" w:eastAsia="Calibri"/>
          <w:lang w:val="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r w:rsidRPr="321DD53E" w:rsidR="00835FFE">
        <w:rPr>
          <w:rFonts w:ascii="Verdana" w:hAnsi="Verdana" w:eastAsia="Calibri"/>
          <w:lang w:val="es-ES"/>
        </w:rPr>
        <w:t xml:space="preserve"> </w:t>
      </w:r>
    </w:p>
    <w:p w:rsidRPr="00835FFE" w:rsidR="00835FFE" w:rsidP="00835FFE" w:rsidRDefault="00835FFE" w14:paraId="68DE83F0" w14:textId="77777777">
      <w:pPr>
        <w:spacing w:after="0" w:line="276" w:lineRule="auto"/>
        <w:ind w:firstLine="709"/>
        <w:jc w:val="both"/>
        <w:rPr>
          <w:rFonts w:ascii="Verdana" w:hAnsi="Verdana" w:eastAsia="Calibri"/>
          <w:color w:val="000000"/>
          <w:lang w:val="es-ES" w:eastAsia="es-ES"/>
        </w:rPr>
      </w:pPr>
    </w:p>
    <w:p w:rsidRPr="00835FFE" w:rsidR="00835FFE" w:rsidP="00835FFE" w:rsidRDefault="00835FFE" w14:paraId="3B786CAC" w14:textId="77777777">
      <w:pPr>
        <w:spacing w:after="0" w:line="276" w:lineRule="auto"/>
        <w:ind w:firstLine="709"/>
        <w:jc w:val="both"/>
        <w:rPr>
          <w:rFonts w:ascii="Verdana" w:hAnsi="Verdana" w:eastAsia="Calibri"/>
          <w:color w:val="000000"/>
          <w:lang w:val="es-ES" w:eastAsia="es-ES"/>
        </w:rPr>
      </w:pPr>
    </w:p>
    <w:p w:rsidRPr="00835FFE" w:rsidR="00835FFE" w:rsidP="00835FFE" w:rsidRDefault="00835FFE" w14:paraId="15EDDE33" w14:textId="77777777">
      <w:pPr>
        <w:pStyle w:val="Prrafodelista"/>
        <w:numPr>
          <w:ilvl w:val="0"/>
          <w:numId w:val="16"/>
        </w:numPr>
        <w:tabs>
          <w:tab w:val="left" w:pos="142"/>
          <w:tab w:val="left" w:pos="284"/>
        </w:tabs>
        <w:spacing w:after="0" w:line="276" w:lineRule="auto"/>
        <w:ind w:left="0" w:firstLine="0"/>
        <w:jc w:val="both"/>
        <w:rPr>
          <w:rFonts w:ascii="Verdana" w:hAnsi="Verdana" w:eastAsia="Century Gothic"/>
          <w:b/>
          <w:bCs/>
        </w:rPr>
      </w:pPr>
      <w:r w:rsidRPr="00835FFE">
        <w:rPr>
          <w:rFonts w:ascii="Verdana" w:hAnsi="Verdana" w:eastAsia="Century Gothic"/>
          <w:b/>
          <w:bCs/>
        </w:rPr>
        <w:t>Problema planteado:</w:t>
      </w:r>
    </w:p>
    <w:p w:rsidRPr="00835FFE" w:rsidR="00835FFE" w:rsidP="00835FFE" w:rsidRDefault="00835FFE" w14:paraId="61720A97" w14:textId="77777777">
      <w:pPr>
        <w:tabs>
          <w:tab w:val="left" w:pos="426"/>
        </w:tabs>
        <w:spacing w:after="0" w:line="276" w:lineRule="auto"/>
        <w:jc w:val="both"/>
        <w:rPr>
          <w:rFonts w:ascii="Verdana" w:hAnsi="Verdana" w:eastAsia="Century Gothic"/>
          <w:lang w:val="es-ES"/>
        </w:rPr>
      </w:pPr>
    </w:p>
    <w:p w:rsidRPr="00835FFE" w:rsidR="00835FFE" w:rsidP="00835FFE" w:rsidRDefault="00835FFE" w14:paraId="6F0D284E" w14:textId="77777777">
      <w:pPr>
        <w:tabs>
          <w:tab w:val="left" w:pos="426"/>
        </w:tabs>
        <w:spacing w:after="0" w:line="276" w:lineRule="auto"/>
        <w:jc w:val="both"/>
        <w:rPr>
          <w:rFonts w:ascii="Verdana" w:hAnsi="Verdana" w:eastAsia="Century Gothic"/>
          <w:lang w:val="es-ES"/>
        </w:rPr>
      </w:pPr>
    </w:p>
    <w:p w:rsidRPr="00835FFE" w:rsidR="00835FFE" w:rsidP="00835FFE" w:rsidRDefault="00835FFE" w14:paraId="66D0364A" w14:textId="430840D7">
      <w:pPr>
        <w:pStyle w:val="Textoindependiente"/>
        <w:spacing w:before="1" w:line="276" w:lineRule="auto"/>
        <w:ind w:right="306"/>
        <w:jc w:val="both"/>
        <w:rPr>
          <w:rFonts w:ascii="Verdana" w:hAnsi="Verdana" w:eastAsia="Calibri"/>
          <w:lang w:val="es-ES_tradnl"/>
        </w:rPr>
      </w:pPr>
      <w:r w:rsidRPr="00835FFE">
        <w:rPr>
          <w:rFonts w:ascii="Verdana" w:hAnsi="Verdana" w:eastAsia="Calibri"/>
          <w:lang w:val="es-ES_tradnl"/>
        </w:rPr>
        <w:t xml:space="preserve">De acuerdo con el contenido de su solicitud, esta Agencia resolverá los siguientes problemas jurídico: </w:t>
      </w:r>
      <w:r w:rsidRPr="00835FFE">
        <w:rPr>
          <w:rFonts w:ascii="Verdana" w:hAnsi="Verdana" w:eastAsia="Century Gothic"/>
        </w:rPr>
        <w:t xml:space="preserve"> ¿</w:t>
      </w:r>
      <w:r w:rsidR="008F31F2">
        <w:rPr>
          <w:rFonts w:ascii="Verdana" w:hAnsi="Verdana" w:eastAsia="Century Gothic"/>
        </w:rPr>
        <w:t>Al momento del cierre</w:t>
      </w:r>
      <w:r w:rsidRPr="00835FFE">
        <w:rPr>
          <w:rFonts w:ascii="Verdana" w:hAnsi="Verdana" w:eastAsia="Century Gothic"/>
        </w:rPr>
        <w:t xml:space="preserve"> </w:t>
      </w:r>
      <w:r w:rsidR="008F31F2">
        <w:rPr>
          <w:rFonts w:ascii="Verdana" w:hAnsi="Verdana" w:eastAsia="Century Gothic"/>
        </w:rPr>
        <w:t xml:space="preserve">el </w:t>
      </w:r>
      <w:r w:rsidRPr="00835FFE">
        <w:rPr>
          <w:rFonts w:ascii="Verdana" w:hAnsi="Verdana" w:eastAsia="Century Gothic"/>
        </w:rPr>
        <w:t xml:space="preserve">proponente puede incluir información de contratos adicionales en el formato </w:t>
      </w:r>
      <w:r w:rsidR="004526BB">
        <w:rPr>
          <w:rFonts w:ascii="Verdana" w:hAnsi="Verdana" w:eastAsia="Century Gothic"/>
        </w:rPr>
        <w:t xml:space="preserve">5 </w:t>
      </w:r>
      <w:r w:rsidRPr="00835FFE">
        <w:rPr>
          <w:rFonts w:ascii="Verdana" w:hAnsi="Verdana" w:eastAsia="Century Gothic"/>
        </w:rPr>
        <w:t>?</w:t>
      </w:r>
    </w:p>
    <w:p w:rsidRPr="00835FFE" w:rsidR="00835FFE" w:rsidP="00835FFE" w:rsidRDefault="00835FFE" w14:paraId="5CBF9BC2" w14:textId="77777777">
      <w:pPr>
        <w:spacing w:after="0" w:line="276" w:lineRule="auto"/>
        <w:jc w:val="both"/>
        <w:rPr>
          <w:rFonts w:ascii="Verdana" w:hAnsi="Verdana" w:eastAsia="Calibri"/>
          <w:lang w:val="es-ES_tradnl"/>
        </w:rPr>
      </w:pPr>
      <w:r w:rsidRPr="00835FFE">
        <w:rPr>
          <w:rFonts w:ascii="Verdana" w:hAnsi="Verdana" w:eastAsia="Calibri"/>
          <w:lang w:val="es-ES_tradnl"/>
        </w:rPr>
        <w:t xml:space="preserve"> </w:t>
      </w:r>
    </w:p>
    <w:p w:rsidRPr="00835FFE" w:rsidR="00835FFE" w:rsidP="00835FFE" w:rsidRDefault="00835FFE" w14:paraId="3DC74A60" w14:textId="77777777">
      <w:pPr>
        <w:spacing w:after="0" w:line="276" w:lineRule="auto"/>
        <w:jc w:val="both"/>
        <w:rPr>
          <w:rFonts w:ascii="Verdana" w:hAnsi="Verdana" w:eastAsia="Century Gothic"/>
        </w:rPr>
      </w:pPr>
    </w:p>
    <w:p w:rsidRPr="00835FFE" w:rsidR="00835FFE" w:rsidP="00835FFE" w:rsidRDefault="00835FFE" w14:paraId="217D2A1B"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b/>
          <w:bCs/>
        </w:rPr>
      </w:pPr>
      <w:r w:rsidRPr="00835FFE">
        <w:rPr>
          <w:rFonts w:ascii="Verdana" w:hAnsi="Verdana" w:eastAsia="Century Gothic"/>
          <w:b/>
          <w:bCs/>
        </w:rPr>
        <w:t>Respuesta:</w:t>
      </w:r>
    </w:p>
    <w:p w:rsidRPr="00835FFE" w:rsidR="00835FFE" w:rsidP="00835FFE" w:rsidRDefault="00835FFE" w14:paraId="59C5107E" w14:textId="77777777">
      <w:pPr>
        <w:tabs>
          <w:tab w:val="left" w:pos="142"/>
          <w:tab w:val="left" w:pos="284"/>
        </w:tabs>
        <w:spacing w:after="0" w:line="276" w:lineRule="auto"/>
        <w:jc w:val="both"/>
        <w:rPr>
          <w:rFonts w:ascii="Verdana" w:hAnsi="Verdana" w:eastAsia="Century Gothic"/>
          <w:b/>
          <w:bCs/>
          <w:lang w:val="es-ES"/>
        </w:rPr>
      </w:pPr>
    </w:p>
    <w:tbl>
      <w:tblPr>
        <w:tblStyle w:val="Tablaconcuadrcula"/>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835FFE" w:rsidR="00835FFE" w:rsidTr="00B35555" w14:paraId="33B4438B" w14:textId="77777777">
        <w:tc>
          <w:tcPr>
            <w:tcW w:w="8828" w:type="dxa"/>
            <w:shd w:val="clear" w:color="auto" w:fill="auto"/>
          </w:tcPr>
          <w:p w:rsidRPr="00F539C6" w:rsidR="00835FFE" w:rsidP="00B35555" w:rsidRDefault="00835FFE" w14:paraId="7816A4EF" w14:textId="77777777">
            <w:pPr>
              <w:spacing w:line="276" w:lineRule="auto"/>
              <w:jc w:val="both"/>
              <w:rPr>
                <w:rFonts w:ascii="Verdana" w:hAnsi="Verdana" w:eastAsia="Calibri"/>
                <w:bCs/>
                <w:color w:val="000000" w:themeColor="text1"/>
                <w:lang w:val="es-MX"/>
              </w:rPr>
            </w:pPr>
            <w:r w:rsidRPr="00F539C6">
              <w:rPr>
                <w:rFonts w:ascii="Verdana" w:hAnsi="Verdana" w:eastAsia="Calibri"/>
                <w:bCs/>
                <w:color w:val="000000" w:themeColor="text1"/>
                <w:lang w:val="es-MX"/>
              </w:rPr>
              <w:t xml:space="preserve">I y II) El numeral 3.10 del documento base de obra de infraestructura de transporte para procesos de licitación pública – Versión 3, establece como requisito habilitante la capacidad residual. En este documento tipo, al menos </w:t>
            </w:r>
            <w:r w:rsidRPr="00F539C6">
              <w:rPr>
                <w:rFonts w:ascii="Verdana" w:hAnsi="Verdana" w:eastAsia="Calibri"/>
                <w:bCs/>
                <w:color w:val="000000" w:themeColor="text1"/>
                <w:lang w:val="es-MX"/>
              </w:rPr>
              <w:lastRenderedPageBreak/>
              <w:t>tres causales de rechazo del numeral 1.15 se relacionan con la capacidad residual como requisito habilitante, esto es, los literales E, H y Z así:</w:t>
            </w:r>
          </w:p>
          <w:p w:rsidRPr="00F539C6" w:rsidR="00835FFE" w:rsidP="00B35555" w:rsidRDefault="00835FFE" w14:paraId="17C26BFF" w14:textId="77777777">
            <w:pPr>
              <w:spacing w:line="276" w:lineRule="auto"/>
              <w:jc w:val="both"/>
              <w:rPr>
                <w:rFonts w:ascii="Verdana" w:hAnsi="Verdana" w:eastAsia="Calibri"/>
                <w:bCs/>
                <w:color w:val="000000" w:themeColor="text1"/>
                <w:lang w:val="es-MX"/>
              </w:rPr>
            </w:pPr>
          </w:p>
          <w:p w:rsidRPr="00F539C6" w:rsidR="00835FFE" w:rsidP="00835FFE" w:rsidRDefault="00835FFE" w14:paraId="18B5E331" w14:textId="77777777">
            <w:pPr>
              <w:pStyle w:val="Prrafodelista"/>
              <w:numPr>
                <w:ilvl w:val="0"/>
                <w:numId w:val="19"/>
              </w:numPr>
              <w:jc w:val="both"/>
              <w:rPr>
                <w:rFonts w:ascii="Verdana" w:hAnsi="Verdana" w:eastAsia="Calibri"/>
                <w:bCs/>
                <w:color w:val="000000" w:themeColor="text1"/>
                <w:lang w:val="es-MX"/>
              </w:rPr>
            </w:pPr>
            <w:r w:rsidRPr="00F539C6">
              <w:rPr>
                <w:rFonts w:ascii="Verdana" w:hAnsi="Verdana" w:eastAsia="Calibri"/>
                <w:bCs/>
                <w:color w:val="000000" w:themeColor="text1"/>
                <w:lang w:val="es-MX"/>
              </w:rPr>
              <w:t>Literal E: Que el proponente no aclare, subsane o aporte documentos necesarios para cumplir un requisito habilitante o aportándolos no lo haga de forma correcta, en los términos establecidos en la sección 1.6.</w:t>
            </w:r>
          </w:p>
          <w:p w:rsidRPr="00F539C6" w:rsidR="00835FFE" w:rsidP="00835FFE" w:rsidRDefault="00835FFE" w14:paraId="14D98234" w14:textId="77777777">
            <w:pPr>
              <w:pStyle w:val="Prrafodelista"/>
              <w:numPr>
                <w:ilvl w:val="0"/>
                <w:numId w:val="19"/>
              </w:numPr>
              <w:jc w:val="both"/>
              <w:rPr>
                <w:rFonts w:ascii="Verdana" w:hAnsi="Verdana" w:eastAsia="Calibri"/>
                <w:bCs/>
                <w:color w:val="000000" w:themeColor="text1"/>
                <w:lang w:val="es-MX"/>
              </w:rPr>
            </w:pPr>
            <w:r w:rsidRPr="00F539C6">
              <w:rPr>
                <w:rFonts w:ascii="Verdana" w:hAnsi="Verdana" w:eastAsia="Calibri"/>
                <w:bCs/>
                <w:color w:val="000000" w:themeColor="text1"/>
                <w:lang w:val="es-MX"/>
              </w:rPr>
              <w:t>Literal H: Que el proponente aporte información inexacta sobre la cual pueda existir una posible falsedad en los términos de la sección 1.11.</w:t>
            </w:r>
          </w:p>
          <w:p w:rsidRPr="00F539C6" w:rsidR="00835FFE" w:rsidP="00835FFE" w:rsidRDefault="00835FFE" w14:paraId="7764CF97" w14:textId="77777777">
            <w:pPr>
              <w:pStyle w:val="Prrafodelista"/>
              <w:numPr>
                <w:ilvl w:val="0"/>
                <w:numId w:val="19"/>
              </w:numPr>
              <w:jc w:val="both"/>
              <w:rPr>
                <w:rFonts w:ascii="Verdana" w:hAnsi="Verdana" w:eastAsia="Calibri"/>
                <w:bCs/>
                <w:color w:val="000000" w:themeColor="text1"/>
                <w:lang w:val="es-MX"/>
              </w:rPr>
            </w:pPr>
            <w:r w:rsidRPr="00F539C6">
              <w:rPr>
                <w:rFonts w:ascii="Verdana" w:hAnsi="Verdana" w:eastAsia="Calibri"/>
                <w:bCs/>
                <w:color w:val="000000" w:themeColor="text1"/>
                <w:lang w:val="es-MX"/>
              </w:rPr>
              <w:t>Literal Z: No informar todos los contratos que el proponente tenga en ejecución antes del cierre, necesarios para acreditar su capacidad residual conforme a la sección 3.10.</w:t>
            </w:r>
          </w:p>
          <w:p w:rsidRPr="00F539C6" w:rsidR="00835FFE" w:rsidP="00B35555" w:rsidRDefault="00835FFE" w14:paraId="717CD7BA" w14:textId="77777777">
            <w:pPr>
              <w:pStyle w:val="Prrafodelista"/>
              <w:jc w:val="both"/>
              <w:rPr>
                <w:rFonts w:ascii="Verdana" w:hAnsi="Verdana" w:eastAsia="Calibri"/>
                <w:bCs/>
                <w:color w:val="000000" w:themeColor="text1"/>
                <w:lang w:val="es-MX"/>
              </w:rPr>
            </w:pPr>
          </w:p>
          <w:p w:rsidRPr="00F539C6" w:rsidR="00483038" w:rsidP="00F539C6" w:rsidRDefault="00483038" w14:paraId="250ED753" w14:textId="77777777">
            <w:pPr>
              <w:pStyle w:val="Prrafodelista"/>
              <w:numPr>
                <w:ilvl w:val="0"/>
                <w:numId w:val="19"/>
              </w:numPr>
              <w:jc w:val="both"/>
              <w:rPr>
                <w:rFonts w:ascii="Verdana" w:hAnsi="Verdana" w:eastAsia="Calibri"/>
                <w:bCs/>
                <w:color w:val="000000" w:themeColor="text1"/>
                <w:lang w:val="es-MX"/>
              </w:rPr>
            </w:pPr>
            <w:r w:rsidRPr="00F539C6">
              <w:rPr>
                <w:rFonts w:ascii="Verdana" w:hAnsi="Verdana" w:eastAsia="Calibri"/>
                <w:bCs/>
                <w:color w:val="000000" w:themeColor="text1"/>
                <w:lang w:val="es-MX"/>
              </w:rPr>
              <w:t>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el contenido de la información de los contratos, siempre que los reporte todos. Por tanto, la configuración de la causal de rechazo del literal Z es objetiva, pues solo aplica ante la omisión del proponente de informar todos los  contratos en ejecución antes del cierre del proceso, es decir, opera también cuando no se aporte con la oferta el Formato 5, sólo si, con ello se está omitiendo informar contratos que tenga en ejecución el proponente.</w:t>
            </w:r>
          </w:p>
          <w:p w:rsidRPr="00F539C6" w:rsidR="00483038" w:rsidP="00F539C6" w:rsidRDefault="00483038" w14:paraId="456742E6" w14:textId="77777777">
            <w:pPr>
              <w:pStyle w:val="Prrafodelista"/>
              <w:numPr>
                <w:ilvl w:val="0"/>
                <w:numId w:val="19"/>
              </w:numPr>
              <w:jc w:val="both"/>
              <w:rPr>
                <w:rFonts w:ascii="Verdana" w:hAnsi="Verdana" w:eastAsia="Calibri"/>
                <w:bCs/>
                <w:color w:val="000000" w:themeColor="text1"/>
                <w:lang w:val="es-MX"/>
              </w:rPr>
            </w:pPr>
            <w:bookmarkStart w:name="_Hlk91596835" w:id="2"/>
            <w:proofErr w:type="spellStart"/>
            <w:r w:rsidRPr="00F539C6">
              <w:rPr>
                <w:rFonts w:ascii="Verdana" w:hAnsi="Verdana" w:eastAsia="Calibri"/>
                <w:bCs/>
                <w:color w:val="000000" w:themeColor="text1"/>
                <w:lang w:val="es-MX"/>
              </w:rPr>
              <w:t>ii</w:t>
            </w:r>
            <w:proofErr w:type="spellEnd"/>
            <w:r w:rsidRPr="00F539C6">
              <w:rPr>
                <w:rFonts w:ascii="Verdana" w:hAnsi="Verdana" w:eastAsia="Calibri"/>
                <w:bCs/>
                <w:color w:val="000000" w:themeColor="text1"/>
                <w:lang w:val="es-MX"/>
              </w:rPr>
              <w:t>)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w:t>
            </w:r>
            <w:bookmarkEnd w:id="2"/>
            <w:r w:rsidRPr="00F539C6">
              <w:rPr>
                <w:rFonts w:ascii="Verdana" w:hAnsi="Verdana" w:eastAsia="Calibri"/>
                <w:bCs/>
                <w:color w:val="000000" w:themeColor="text1"/>
                <w:lang w:val="es-MX"/>
              </w:rPr>
              <w:t xml:space="preserve"> </w:t>
            </w:r>
          </w:p>
          <w:p w:rsidRPr="00F539C6" w:rsidR="00483038" w:rsidP="00F539C6" w:rsidRDefault="00483038" w14:paraId="257E50CA" w14:textId="77777777">
            <w:pPr>
              <w:pStyle w:val="Prrafodelista"/>
              <w:numPr>
                <w:ilvl w:val="0"/>
                <w:numId w:val="19"/>
              </w:numPr>
              <w:jc w:val="both"/>
              <w:rPr>
                <w:rFonts w:ascii="Verdana" w:hAnsi="Verdana" w:eastAsia="Calibri"/>
                <w:bCs/>
                <w:color w:val="000000" w:themeColor="text1"/>
                <w:lang w:val="es-MX"/>
              </w:rPr>
            </w:pPr>
            <w:proofErr w:type="spellStart"/>
            <w:r w:rsidRPr="00F539C6">
              <w:rPr>
                <w:rFonts w:ascii="Verdana" w:hAnsi="Verdana" w:eastAsia="Calibri"/>
                <w:bCs/>
                <w:color w:val="000000" w:themeColor="text1"/>
                <w:lang w:val="es-MX"/>
              </w:rPr>
              <w:t>iii</w:t>
            </w:r>
            <w:proofErr w:type="spellEnd"/>
            <w:r w:rsidRPr="00F539C6">
              <w:rPr>
                <w:rFonts w:ascii="Verdana" w:hAnsi="Verdana" w:eastAsia="Calibri"/>
                <w:bCs/>
                <w:color w:val="000000" w:themeColor="text1"/>
                <w:lang w:val="es-MX"/>
              </w:rPr>
              <w:t xml:space="preserve">) Lo dicho en los numerales precedentes tampoco descarta la posibilidad de que la entidad rechace la oferta si encuentra configurada la causal establecida en </w:t>
            </w:r>
            <w:bookmarkStart w:name="_Hlk81383775" w:id="3"/>
            <w:r w:rsidRPr="00F539C6">
              <w:rPr>
                <w:rFonts w:ascii="Verdana" w:hAnsi="Verdana" w:eastAsia="Calibri"/>
                <w:bCs/>
                <w:color w:val="000000" w:themeColor="text1"/>
                <w:lang w:val="es-MX"/>
              </w:rPr>
              <w:t>el literal H del numeral 1.15, que aplica cuando el proponente aporta información inexacta, de acuerdo con lo señalado en el numeral 1.11. del documento base</w:t>
            </w:r>
            <w:bookmarkEnd w:id="3"/>
            <w:r w:rsidRPr="00F539C6">
              <w:rPr>
                <w:rFonts w:ascii="Verdana" w:hAnsi="Verdana" w:eastAsia="Calibri"/>
                <w:bCs/>
                <w:color w:val="000000" w:themeColor="text1"/>
                <w:lang w:val="es-MX"/>
              </w:rPr>
              <w:t xml:space="preserve">: </w:t>
            </w:r>
          </w:p>
          <w:p w:rsidRPr="00F539C6" w:rsidR="00835FFE" w:rsidP="00B35555" w:rsidRDefault="00835FFE" w14:paraId="43848FC6" w14:textId="7E2E5996">
            <w:pPr>
              <w:spacing w:line="276" w:lineRule="auto"/>
              <w:jc w:val="both"/>
              <w:rPr>
                <w:rFonts w:ascii="Verdana" w:hAnsi="Verdana" w:eastAsia="Calibri"/>
                <w:bCs/>
                <w:color w:val="000000" w:themeColor="text1"/>
                <w:lang w:val="es-MX"/>
              </w:rPr>
            </w:pPr>
          </w:p>
          <w:p w:rsidRPr="00F539C6" w:rsidR="00835FFE" w:rsidP="00BF7227" w:rsidRDefault="002E1A29" w14:paraId="4F8C861B" w14:textId="78C45239">
            <w:pPr>
              <w:spacing w:before="120" w:after="120" w:line="276" w:lineRule="auto"/>
              <w:ind w:firstLine="709"/>
              <w:jc w:val="both"/>
              <w:rPr>
                <w:rFonts w:ascii="Verdana" w:hAnsi="Verdana" w:eastAsia="Calibri"/>
                <w:bCs/>
                <w:color w:val="000000" w:themeColor="text1"/>
                <w:lang w:val="es-MX"/>
              </w:rPr>
            </w:pPr>
            <w:r w:rsidRPr="00F539C6">
              <w:rPr>
                <w:rFonts w:ascii="Verdana" w:hAnsi="Verdana" w:eastAsia="Calibri"/>
                <w:bCs/>
                <w:color w:val="000000" w:themeColor="text1"/>
                <w:lang w:val="es-MX"/>
              </w:rPr>
              <w:t xml:space="preserve">Como se expresó, la causal del literal Z procede cuando el proponente no informa todos los contratos de obra, fenómeno que se verifica con el formato 5. En este supuesto, lo que genera el rechazo de la oferta no es la ausencia de la información del contrato omitido, sino el hecho de haberse </w:t>
            </w:r>
            <w:r w:rsidRPr="00F539C6">
              <w:rPr>
                <w:rFonts w:ascii="Verdana" w:hAnsi="Verdana" w:eastAsia="Calibri"/>
                <w:bCs/>
                <w:color w:val="000000" w:themeColor="text1"/>
                <w:lang w:val="es-MX"/>
              </w:rPr>
              <w:lastRenderedPageBreak/>
              <w:t xml:space="preserve">omitido anexar el documento mediante el cual se acredita la capacidad residual, correspondiente a el Formato 5, en caso de tener efectivamente contratos en ejecución. Incluso, en el evento en que el proponente “corrija” el error y aporte el formato 5, informando la existencia de contratos en ejecución no reportados al momento del cierre del proceso, implica aceptar que ocurrió la causal del literal Z, esto es, que el proponente incumplió su obligación de informar todos los contratos de obra que tenía en ejecución al momento del cierre del proceso de selección. </w:t>
            </w:r>
          </w:p>
          <w:p w:rsidRPr="00F539C6" w:rsidR="00831211" w:rsidP="00831211" w:rsidRDefault="00831211" w14:paraId="6D5027EF" w14:textId="77777777">
            <w:pPr>
              <w:spacing w:before="120" w:after="120" w:line="276" w:lineRule="auto"/>
              <w:ind w:firstLine="708"/>
              <w:jc w:val="both"/>
              <w:rPr>
                <w:rFonts w:ascii="Verdana" w:hAnsi="Verdana" w:eastAsia="Calibri"/>
                <w:bCs/>
                <w:color w:val="000000" w:themeColor="text1"/>
                <w:lang w:val="es-MX"/>
              </w:rPr>
            </w:pPr>
            <w:r w:rsidRPr="00F539C6">
              <w:rPr>
                <w:rFonts w:ascii="Verdana" w:hAnsi="Verdana" w:eastAsia="Calibri"/>
                <w:bCs/>
                <w:color w:val="000000" w:themeColor="text1"/>
                <w:lang w:val="es-MX"/>
              </w:rPr>
              <w:t xml:space="preserve">Ahora bien, en congruencia con lo explicado en el numeral anterior, es importante tener en cuenta que la causal de rechazo del literal Z del numeral 1.15 del pliego aplica por “No informar todos los contratos que el Proponente tenga en ejecución antes del cierre, necesarios para acreditar su capacidad residual conforme a la sección 3.10”. Para estos efectos, conforme a las definiciones previstas en la Guía para Determinar y Verificar la Capacidad Residual del Proponente en los Procesos de Contratación de Obra Pública, el numeral II del literal E del numeral 3.10.2 del documento base dispone que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 </w:t>
            </w:r>
          </w:p>
          <w:p w:rsidRPr="00F539C6" w:rsidR="00835FFE" w:rsidP="00F539C6" w:rsidRDefault="00835FFE" w14:paraId="21397117" w14:textId="77777777">
            <w:pPr>
              <w:jc w:val="both"/>
              <w:rPr>
                <w:rFonts w:ascii="Verdana" w:hAnsi="Verdana" w:eastAsia="Calibri"/>
                <w:bCs/>
                <w:color w:val="000000" w:themeColor="text1"/>
                <w:lang w:val="es-MX"/>
              </w:rPr>
            </w:pPr>
          </w:p>
        </w:tc>
      </w:tr>
    </w:tbl>
    <w:p w:rsidRPr="00835FFE" w:rsidR="00835FFE" w:rsidP="00835FFE" w:rsidRDefault="00835FFE" w14:paraId="258FEA37" w14:textId="77777777">
      <w:pPr>
        <w:tabs>
          <w:tab w:val="left" w:pos="142"/>
          <w:tab w:val="left" w:pos="284"/>
        </w:tabs>
        <w:spacing w:after="0" w:line="276" w:lineRule="auto"/>
        <w:jc w:val="both"/>
        <w:rPr>
          <w:rFonts w:ascii="Verdana" w:hAnsi="Verdana" w:eastAsia="Century Gothic"/>
          <w:b/>
          <w:bCs/>
          <w:lang w:val="es-ES"/>
        </w:rPr>
      </w:pPr>
    </w:p>
    <w:p w:rsidRPr="00835FFE" w:rsidR="00835FFE" w:rsidP="00835FFE" w:rsidRDefault="00835FFE" w14:paraId="1D18F4BC"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b/>
          <w:bCs/>
        </w:rPr>
      </w:pPr>
      <w:r w:rsidRPr="00835FFE">
        <w:rPr>
          <w:rFonts w:ascii="Verdana" w:hAnsi="Verdana" w:eastAsia="Century Gothic"/>
          <w:b/>
          <w:bCs/>
        </w:rPr>
        <w:t>Razones de la respuesta:</w:t>
      </w:r>
    </w:p>
    <w:p w:rsidRPr="00835FFE" w:rsidR="00835FFE" w:rsidP="00835FFE" w:rsidRDefault="00835FFE" w14:paraId="61717EFA" w14:textId="77777777">
      <w:pPr>
        <w:spacing w:after="0" w:line="276" w:lineRule="auto"/>
        <w:jc w:val="both"/>
        <w:rPr>
          <w:rFonts w:ascii="Verdana" w:hAnsi="Verdana" w:eastAsia="Calibri"/>
          <w:color w:val="7030A0"/>
          <w:lang w:val="es-ES"/>
        </w:rPr>
      </w:pPr>
    </w:p>
    <w:p w:rsidRPr="00835FFE" w:rsidR="00835FFE" w:rsidP="00835FFE" w:rsidRDefault="00835FFE" w14:paraId="5A211CE1" w14:textId="77777777">
      <w:pPr>
        <w:spacing w:after="0" w:line="276" w:lineRule="auto"/>
        <w:jc w:val="both"/>
        <w:rPr>
          <w:rFonts w:ascii="Verdana" w:hAnsi="Verdana" w:eastAsia="Calibri"/>
          <w:lang w:val="es-ES"/>
        </w:rPr>
      </w:pPr>
      <w:r w:rsidRPr="00835FFE">
        <w:rPr>
          <w:rFonts w:ascii="Verdana" w:hAnsi="Verdana" w:eastAsia="Calibri"/>
          <w:lang w:val="es-ES"/>
        </w:rPr>
        <w:t xml:space="preserve">Lo anterior se sustenta en las siguientes consideraciones: </w:t>
      </w:r>
    </w:p>
    <w:p w:rsidRPr="00835FFE" w:rsidR="00835FFE" w:rsidP="00835FFE" w:rsidRDefault="00835FFE" w14:paraId="435DB855" w14:textId="77777777">
      <w:pPr>
        <w:spacing w:after="0" w:line="276" w:lineRule="auto"/>
        <w:jc w:val="both"/>
        <w:rPr>
          <w:rFonts w:ascii="Verdana" w:hAnsi="Verdana" w:eastAsia="Calibri"/>
          <w:color w:val="7030A0"/>
          <w:lang w:val="es-ES"/>
        </w:rPr>
      </w:pPr>
    </w:p>
    <w:p w:rsidRPr="00835FFE" w:rsidR="00835FFE" w:rsidP="00835FFE" w:rsidRDefault="00835FFE" w14:paraId="7D75717D" w14:textId="77777777">
      <w:pPr>
        <w:pStyle w:val="Prrafodelista"/>
        <w:numPr>
          <w:ilvl w:val="0"/>
          <w:numId w:val="17"/>
        </w:numPr>
        <w:spacing w:after="0" w:line="276" w:lineRule="auto"/>
        <w:jc w:val="both"/>
        <w:rPr>
          <w:rFonts w:ascii="Verdana" w:hAnsi="Verdana" w:eastAsia="Calibri"/>
        </w:rPr>
      </w:pPr>
      <w:r w:rsidRPr="00835FFE">
        <w:rPr>
          <w:rFonts w:ascii="Verdana" w:hAnsi="Verdana" w:eastAsia="Calibri"/>
        </w:rPr>
        <w:t xml:space="preserve">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 </w:t>
      </w:r>
    </w:p>
    <w:p w:rsidRPr="00835FFE" w:rsidR="00835FFE" w:rsidP="00835FFE" w:rsidRDefault="00835FFE" w14:paraId="1D8FB5BC" w14:textId="77777777">
      <w:pPr>
        <w:pStyle w:val="Prrafodelista"/>
        <w:spacing w:after="0" w:line="276" w:lineRule="auto"/>
        <w:jc w:val="both"/>
        <w:rPr>
          <w:rFonts w:ascii="Verdana" w:hAnsi="Verdana" w:eastAsia="Calibri"/>
        </w:rPr>
      </w:pPr>
    </w:p>
    <w:p w:rsidRPr="00835FFE" w:rsidR="00835FFE" w:rsidP="00835FFE" w:rsidRDefault="00835FFE" w14:paraId="2D3BA160" w14:textId="77777777">
      <w:pPr>
        <w:pStyle w:val="Prrafodelista"/>
        <w:numPr>
          <w:ilvl w:val="0"/>
          <w:numId w:val="17"/>
        </w:numPr>
        <w:spacing w:after="0" w:line="276" w:lineRule="auto"/>
        <w:jc w:val="both"/>
        <w:rPr>
          <w:rFonts w:ascii="Verdana" w:hAnsi="Verdana" w:eastAsia="Calibri"/>
        </w:rPr>
      </w:pPr>
      <w:r w:rsidRPr="00835FFE">
        <w:rPr>
          <w:rFonts w:ascii="Verdana" w:hAnsi="Verdana" w:eastAsia="Calibri"/>
        </w:rPr>
        <w:lastRenderedPageBreak/>
        <w:t>Las causales de rechazo son las establecidas en la Ley y las fijadas por la Entidad Estatal en los pliegos de condiciones. Sin embargo, en ejercicio de dicha facultad, a las entidades no les es dable fijar causales de rechazo que soslayen o afecten la selección objetiva en la contratación. Sobre el particular, el Consejo de Estado</w:t>
      </w:r>
      <w:r w:rsidRPr="00835FFE">
        <w:rPr>
          <w:rStyle w:val="Refdenotaalpie"/>
          <w:rFonts w:ascii="Verdana" w:hAnsi="Verdana" w:eastAsia="Calibri"/>
        </w:rPr>
        <w:footnoteReference w:id="1"/>
      </w:r>
      <w:r w:rsidRPr="00835FFE">
        <w:rPr>
          <w:rFonts w:ascii="Verdana" w:hAnsi="Verdana" w:eastAsia="Calibri"/>
        </w:rPr>
        <w:t xml:space="preserve"> señala:</w:t>
      </w:r>
    </w:p>
    <w:p w:rsidRPr="00835FFE" w:rsidR="00835FFE" w:rsidP="00835FFE" w:rsidRDefault="00835FFE" w14:paraId="63AA9C91" w14:textId="77777777">
      <w:pPr>
        <w:pStyle w:val="Prrafodelista"/>
        <w:spacing w:after="0" w:line="276" w:lineRule="auto"/>
        <w:jc w:val="both"/>
        <w:rPr>
          <w:rFonts w:ascii="Verdana" w:hAnsi="Verdana" w:eastAsia="Calibri"/>
        </w:rPr>
      </w:pPr>
    </w:p>
    <w:p w:rsidRPr="00835FFE" w:rsidR="00835FFE" w:rsidP="00835FFE" w:rsidRDefault="00835FFE" w14:paraId="23454576" w14:textId="77777777">
      <w:pPr>
        <w:pStyle w:val="Prrafodelista"/>
        <w:spacing w:after="0" w:line="276" w:lineRule="auto"/>
        <w:jc w:val="both"/>
        <w:rPr>
          <w:rFonts w:ascii="Verdana" w:hAnsi="Verdana" w:eastAsia="Calibri"/>
        </w:rPr>
      </w:pPr>
      <w:r w:rsidRPr="00835FFE">
        <w:rPr>
          <w:rFonts w:ascii="Verdana" w:hAnsi="Verdana" w:eastAsia="Calibri"/>
        </w:rPr>
        <w:t xml:space="preserve">“Quiere con esto destacar la Sala que las causales de rechazo de las propuestas pueden ser legales y por lo mismo generan el efecto del descarte o exclusión de la oferta </w:t>
      </w:r>
      <w:proofErr w:type="spellStart"/>
      <w:r w:rsidRPr="00835FFE">
        <w:rPr>
          <w:rFonts w:ascii="Verdana" w:hAnsi="Verdana" w:eastAsia="Calibri"/>
        </w:rPr>
        <w:t>ope</w:t>
      </w:r>
      <w:proofErr w:type="spellEnd"/>
      <w:r w:rsidRPr="00835FFE">
        <w:rPr>
          <w:rFonts w:ascii="Verdana" w:hAnsi="Verdana" w:eastAsia="Calibri"/>
        </w:rPr>
        <w:t xml:space="preserve"> </w:t>
      </w:r>
      <w:proofErr w:type="spellStart"/>
      <w:r w:rsidRPr="00835FFE">
        <w:rPr>
          <w:rFonts w:ascii="Verdana" w:hAnsi="Verdana" w:eastAsia="Calibri"/>
        </w:rPr>
        <w:t>legis</w:t>
      </w:r>
      <w:proofErr w:type="spellEnd"/>
      <w:r w:rsidRPr="00835FFE">
        <w:rPr>
          <w:rFonts w:ascii="Verdana" w:hAnsi="Verdana" w:eastAsia="Calibri"/>
        </w:rPr>
        <w:t xml:space="preserve"> ,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p>
    <w:p w:rsidRPr="00835FFE" w:rsidR="00835FFE" w:rsidP="00835FFE" w:rsidRDefault="00835FFE" w14:paraId="33869117" w14:textId="77777777">
      <w:pPr>
        <w:pStyle w:val="Prrafodelista"/>
        <w:spacing w:after="0" w:line="276" w:lineRule="auto"/>
        <w:jc w:val="both"/>
        <w:rPr>
          <w:rFonts w:ascii="Verdana" w:hAnsi="Verdana" w:eastAsia="Calibri"/>
        </w:rPr>
      </w:pPr>
    </w:p>
    <w:p w:rsidRPr="00835FFE" w:rsidR="00835FFE" w:rsidP="00835FFE" w:rsidRDefault="00835FFE" w14:paraId="4C78F54C" w14:textId="77777777">
      <w:pPr>
        <w:pStyle w:val="Prrafodelista"/>
        <w:numPr>
          <w:ilvl w:val="0"/>
          <w:numId w:val="20"/>
        </w:numPr>
        <w:spacing w:line="276" w:lineRule="auto"/>
        <w:jc w:val="both"/>
        <w:rPr>
          <w:rFonts w:ascii="Verdana" w:hAnsi="Verdana"/>
        </w:rPr>
      </w:pPr>
      <w:r w:rsidRPr="00835FFE">
        <w:rPr>
          <w:rFonts w:ascii="Verdana" w:hAnsi="Verdana"/>
        </w:rPr>
        <w:t xml:space="preserve">La Capacidad Residual es un requisito habilitante que está sujeto a la posibilidad de solicitarle aclaración, con el fin de esclarecer dudas sobre aspectos de la información presentada por el proponente y de igual forma, esa sujeta a la posibilidad de subsanar la ausencia de requisitos, siempre que se cumpla con los límites temporales y materiales descritos en este concepto, es decir, que lo omitido no sea un factor que afecte la asignación de puntaje, que sea la prueba de una circunstancia o hecho que ocurrió con anterioridad al cierre del proceso y que no existe disposición legal o en el pliego de condiciones que prohíba su subsanación. </w:t>
      </w:r>
    </w:p>
    <w:p w:rsidRPr="00835FFE" w:rsidR="00835FFE" w:rsidP="00835FFE" w:rsidRDefault="00835FFE" w14:paraId="57674B8F" w14:textId="77777777">
      <w:pPr>
        <w:pStyle w:val="Prrafodelista"/>
        <w:spacing w:line="276" w:lineRule="auto"/>
        <w:jc w:val="both"/>
        <w:rPr>
          <w:rFonts w:ascii="Verdana" w:hAnsi="Verdana"/>
        </w:rPr>
      </w:pPr>
    </w:p>
    <w:p w:rsidRPr="00835FFE" w:rsidR="00835FFE" w:rsidP="00835FFE" w:rsidRDefault="00835FFE" w14:paraId="30CA9CD2" w14:textId="77777777">
      <w:pPr>
        <w:pStyle w:val="Prrafodelista"/>
        <w:numPr>
          <w:ilvl w:val="0"/>
          <w:numId w:val="20"/>
        </w:numPr>
        <w:spacing w:line="276" w:lineRule="auto"/>
        <w:jc w:val="both"/>
        <w:rPr>
          <w:rFonts w:ascii="Verdana" w:hAnsi="Verdana"/>
        </w:rPr>
      </w:pPr>
      <w:r w:rsidRPr="00835FFE">
        <w:rPr>
          <w:rFonts w:ascii="Verdana" w:hAnsi="Verdana"/>
        </w:rPr>
        <w:t>El numeral 3.10 del documento base de obra de infraestructura de transporte para procesos de licitación pública – Versión 3, establece como requisito habilitante la capacidad residual. En este documento tipo, al menos tres causales de rechazo del numeral 1.15 se relacionan con la capacidad residual como requisito habilitante, esto es, los literales E, H y Z.</w:t>
      </w:r>
    </w:p>
    <w:p w:rsidRPr="00835FFE" w:rsidR="00835FFE" w:rsidP="00835FFE" w:rsidRDefault="00835FFE" w14:paraId="67EEDF08" w14:textId="77777777">
      <w:pPr>
        <w:pStyle w:val="Prrafodelista"/>
        <w:rPr>
          <w:rFonts w:ascii="Verdana" w:hAnsi="Verdana"/>
        </w:rPr>
      </w:pPr>
    </w:p>
    <w:p w:rsidRPr="00835FFE" w:rsidR="00835FFE" w:rsidP="00835FFE" w:rsidRDefault="00835FFE" w14:paraId="51EF1F54" w14:textId="77777777">
      <w:pPr>
        <w:pStyle w:val="Prrafodelista"/>
        <w:numPr>
          <w:ilvl w:val="0"/>
          <w:numId w:val="20"/>
        </w:numPr>
        <w:spacing w:line="276" w:lineRule="auto"/>
        <w:jc w:val="both"/>
        <w:rPr>
          <w:rFonts w:ascii="Verdana" w:hAnsi="Verdana"/>
        </w:rPr>
      </w:pPr>
      <w:r w:rsidRPr="00835FFE">
        <w:rPr>
          <w:rFonts w:ascii="Verdana" w:hAnsi="Verdana"/>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rsidRPr="00835FFE" w:rsidR="00835FFE" w:rsidP="00835FFE" w:rsidRDefault="00835FFE" w14:paraId="5D91C928" w14:textId="77777777">
      <w:pPr>
        <w:pStyle w:val="Prrafodelista"/>
        <w:spacing w:line="276" w:lineRule="auto"/>
        <w:jc w:val="both"/>
        <w:rPr>
          <w:rFonts w:ascii="Verdana" w:hAnsi="Verdana"/>
        </w:rPr>
      </w:pPr>
    </w:p>
    <w:p w:rsidRPr="00835FFE" w:rsidR="00835FFE" w:rsidP="00835FFE" w:rsidRDefault="00835FFE" w14:paraId="3CDEF619" w14:textId="77777777">
      <w:pPr>
        <w:pStyle w:val="Prrafodelista"/>
        <w:spacing w:line="276" w:lineRule="auto"/>
        <w:jc w:val="both"/>
        <w:rPr>
          <w:rFonts w:ascii="Verdana" w:hAnsi="Verdana"/>
        </w:rPr>
      </w:pPr>
      <w:r w:rsidRPr="00835FFE">
        <w:rPr>
          <w:rFonts w:ascii="Verdana" w:hAnsi="Verdana"/>
        </w:rPr>
        <w:t>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w:t>
      </w:r>
    </w:p>
    <w:p w:rsidRPr="00835FFE" w:rsidR="00835FFE" w:rsidP="00835FFE" w:rsidRDefault="00835FFE" w14:paraId="5093EC81" w14:textId="77777777">
      <w:pPr>
        <w:pStyle w:val="Prrafodelista"/>
        <w:spacing w:line="276" w:lineRule="auto"/>
        <w:jc w:val="both"/>
        <w:rPr>
          <w:rFonts w:ascii="Verdana" w:hAnsi="Verdana"/>
        </w:rPr>
      </w:pPr>
    </w:p>
    <w:p w:rsidRPr="00835FFE" w:rsidR="00835FFE" w:rsidP="00835FFE" w:rsidRDefault="00835FFE" w14:paraId="55E4FF62" w14:textId="77777777">
      <w:pPr>
        <w:pStyle w:val="Prrafodelista"/>
        <w:spacing w:line="276" w:lineRule="auto"/>
        <w:jc w:val="both"/>
        <w:rPr>
          <w:rFonts w:ascii="Verdana" w:hAnsi="Verdana"/>
        </w:rPr>
      </w:pPr>
      <w:proofErr w:type="spellStart"/>
      <w:r w:rsidRPr="00835FFE">
        <w:rPr>
          <w:rFonts w:ascii="Verdana" w:hAnsi="Verdana"/>
        </w:rPr>
        <w:t>ii</w:t>
      </w:r>
      <w:proofErr w:type="spellEnd"/>
      <w:r w:rsidRPr="00835FFE">
        <w:rPr>
          <w:rFonts w:ascii="Verdana" w:hAnsi="Verdana"/>
        </w:rPr>
        <w:t xml:space="preserve">)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rsidRPr="00835FFE" w:rsidR="00835FFE" w:rsidP="00835FFE" w:rsidRDefault="00835FFE" w14:paraId="4D26295E" w14:textId="77777777">
      <w:pPr>
        <w:pStyle w:val="Prrafodelista"/>
        <w:spacing w:line="276" w:lineRule="auto"/>
        <w:jc w:val="both"/>
        <w:rPr>
          <w:rFonts w:ascii="Verdana" w:hAnsi="Verdana"/>
        </w:rPr>
      </w:pPr>
    </w:p>
    <w:p w:rsidRPr="00835FFE" w:rsidR="00835FFE" w:rsidP="00835FFE" w:rsidRDefault="00835FFE" w14:paraId="4C0DE206" w14:textId="77777777">
      <w:pPr>
        <w:pStyle w:val="Prrafodelista"/>
        <w:spacing w:line="276" w:lineRule="auto"/>
        <w:jc w:val="both"/>
        <w:rPr>
          <w:rFonts w:ascii="Verdana" w:hAnsi="Verdana"/>
        </w:rPr>
      </w:pPr>
      <w:proofErr w:type="spellStart"/>
      <w:r w:rsidRPr="00835FFE">
        <w:rPr>
          <w:rFonts w:ascii="Verdana" w:hAnsi="Verdana"/>
        </w:rPr>
        <w:t>iii</w:t>
      </w:r>
      <w:proofErr w:type="spellEnd"/>
      <w:r w:rsidRPr="00835FFE">
        <w:rPr>
          <w:rFonts w:ascii="Verdana" w:hAnsi="Verdana"/>
        </w:rPr>
        <w:t>) 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w:t>
      </w:r>
    </w:p>
    <w:p w:rsidRPr="00835FFE" w:rsidR="00835FFE" w:rsidP="00835FFE" w:rsidRDefault="00835FFE" w14:paraId="4BA4E914" w14:textId="77777777">
      <w:pPr>
        <w:pStyle w:val="Prrafodelista"/>
        <w:spacing w:line="276" w:lineRule="auto"/>
        <w:jc w:val="both"/>
        <w:rPr>
          <w:rFonts w:ascii="Verdana" w:hAnsi="Verdana"/>
        </w:rPr>
      </w:pPr>
    </w:p>
    <w:p w:rsidRPr="00835FFE" w:rsidR="00835FFE" w:rsidP="00835FFE" w:rsidRDefault="00835FFE" w14:paraId="108E897F" w14:textId="77777777">
      <w:pPr>
        <w:pStyle w:val="Prrafodelista"/>
        <w:numPr>
          <w:ilvl w:val="0"/>
          <w:numId w:val="20"/>
        </w:numPr>
        <w:spacing w:line="276" w:lineRule="auto"/>
        <w:jc w:val="both"/>
        <w:rPr>
          <w:rFonts w:ascii="Verdana" w:hAnsi="Verdana"/>
        </w:rPr>
      </w:pPr>
      <w:r w:rsidRPr="00835FFE">
        <w:rPr>
          <w:rFonts w:ascii="Verdana" w:hAnsi="Verdana"/>
        </w:rPr>
        <w:lastRenderedPageBreak/>
        <w:t xml:space="preserve">En relación con las reglas de </w:t>
      </w:r>
      <w:proofErr w:type="spellStart"/>
      <w:r w:rsidRPr="00835FFE">
        <w:rPr>
          <w:rFonts w:ascii="Verdana" w:hAnsi="Verdana"/>
        </w:rPr>
        <w:t>subsanabilidad</w:t>
      </w:r>
      <w:proofErr w:type="spellEnd"/>
      <w:r w:rsidRPr="00835FFE">
        <w:rPr>
          <w:rFonts w:ascii="Verdana" w:hAnsi="Verdana"/>
        </w:rPr>
        <w:t xml:space="preserve"> de las ofertas de la Ley 1150 de 2007, es necesario precisar que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rsidRPr="00835FFE" w:rsidR="00835FFE" w:rsidP="00835FFE" w:rsidRDefault="00835FFE" w14:paraId="473D8FD3" w14:textId="77777777">
      <w:pPr>
        <w:pStyle w:val="Prrafodelista"/>
        <w:spacing w:line="276" w:lineRule="auto"/>
        <w:jc w:val="both"/>
        <w:rPr>
          <w:rFonts w:ascii="Verdana" w:hAnsi="Verdana"/>
        </w:rPr>
      </w:pPr>
    </w:p>
    <w:p w:rsidRPr="00835FFE" w:rsidR="00835FFE" w:rsidP="00835FFE" w:rsidRDefault="00835FFE" w14:paraId="1FC35E75" w14:textId="77777777">
      <w:pPr>
        <w:pStyle w:val="Prrafodelista"/>
        <w:spacing w:line="276" w:lineRule="auto"/>
        <w:jc w:val="both"/>
        <w:rPr>
          <w:rFonts w:ascii="Verdana" w:hAnsi="Verdana"/>
        </w:rPr>
      </w:pPr>
      <w:r w:rsidRPr="00835FFE">
        <w:rPr>
          <w:rFonts w:ascii="Verdana" w:hAnsi="Verdana"/>
        </w:rPr>
        <w:t>Ahora bien, es importante precisar que lo expresado en el párrafo precedente no contradice lo dispuesto en el artículo 5, parágrafo 1, de la Ley 1150 de 2007, adicionado por el artículo 5 de la Ley 1882 de 2018, norma que dispone que “[…] 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w:t>
      </w:r>
    </w:p>
    <w:p w:rsidRPr="00835FFE" w:rsidR="00835FFE" w:rsidP="00835FFE" w:rsidRDefault="00835FFE" w14:paraId="250B68F3" w14:textId="77777777">
      <w:pPr>
        <w:pStyle w:val="Prrafodelista"/>
        <w:spacing w:line="276" w:lineRule="auto"/>
        <w:jc w:val="both"/>
        <w:rPr>
          <w:rFonts w:ascii="Verdana" w:hAnsi="Verdana"/>
        </w:rPr>
      </w:pPr>
    </w:p>
    <w:p w:rsidRPr="00835FFE" w:rsidR="00835FFE" w:rsidP="00835FFE" w:rsidRDefault="00835FFE" w14:paraId="41C5FFD4" w14:textId="77777777">
      <w:pPr>
        <w:pStyle w:val="Prrafodelista"/>
        <w:spacing w:line="276" w:lineRule="auto"/>
        <w:jc w:val="both"/>
        <w:rPr>
          <w:rFonts w:ascii="Verdana" w:hAnsi="Verdana"/>
        </w:rPr>
      </w:pPr>
      <w:r w:rsidRPr="00835FFE">
        <w:rPr>
          <w:rFonts w:ascii="Verdana" w:hAnsi="Verdana"/>
        </w:rPr>
        <w:t>Por lo anterior, aunque la causal de rechazo del literal Z del numeral 1.15 de los documentos tipo se relacionan con la capacidad residual como requisito habilitante, esta se aplica cuando el proponente deja de informar la totalidad de los contratos que tiene en ejecución antes del cierre o no reporta la información de los contratos exigida en el documento base, es decir en el formato, y efectivamente tiene contratos en ejecución omitiendo su información.</w:t>
      </w:r>
    </w:p>
    <w:p w:rsidRPr="00835FFE" w:rsidR="00835FFE" w:rsidP="00835FFE" w:rsidRDefault="00835FFE" w14:paraId="63F441C7" w14:textId="77777777">
      <w:pPr>
        <w:pStyle w:val="Prrafodelista"/>
        <w:spacing w:line="276" w:lineRule="auto"/>
        <w:jc w:val="both"/>
        <w:rPr>
          <w:rFonts w:ascii="Verdana" w:hAnsi="Verdana"/>
        </w:rPr>
      </w:pPr>
      <w:r w:rsidRPr="00835FFE">
        <w:rPr>
          <w:rFonts w:ascii="Verdana" w:hAnsi="Verdana"/>
        </w:rPr>
        <w:t xml:space="preserve"> </w:t>
      </w:r>
    </w:p>
    <w:p w:rsidRPr="00835FFE" w:rsidR="00835FFE" w:rsidP="00835FFE" w:rsidRDefault="00835FFE" w14:paraId="2C8C605C" w14:textId="77777777">
      <w:pPr>
        <w:pStyle w:val="Prrafodelista"/>
        <w:numPr>
          <w:ilvl w:val="0"/>
          <w:numId w:val="20"/>
        </w:numPr>
        <w:spacing w:line="276" w:lineRule="auto"/>
        <w:jc w:val="both"/>
        <w:rPr>
          <w:rFonts w:ascii="Verdana" w:hAnsi="Verdana"/>
        </w:rPr>
      </w:pPr>
      <w:r w:rsidRPr="00835FFE">
        <w:rPr>
          <w:rFonts w:ascii="Verdana" w:hAnsi="Verdana"/>
        </w:rPr>
        <w:t xml:space="preserve">En relación con el literal H del numeral 1.15. del documento base, en el entendido de que el supuesto de hecho de esa causal, esto es, lo que genera el rechazo de la oferta, es la acción del proponente de aportar “[…] información inexacta sobre la cual pueda existir una posible falsedad […]”, </w:t>
      </w:r>
      <w:r w:rsidRPr="00835FFE">
        <w:rPr>
          <w:rFonts w:ascii="Verdana" w:hAnsi="Verdana"/>
        </w:rPr>
        <w:lastRenderedPageBreak/>
        <w:t xml:space="preserve">no la ausencia de la información que podría haberse tomado del contrato viciado de falsedad. 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incurre en algún error en la información de estos contratos, como por ejemplo en el valor o el plazo. En este caso, conforme a la explicación precedente, en principio, no se trata de información inexacta que tenga la connotación de falsedad por lo que no habría lugar a rechazo de la propuesta por esta </w:t>
      </w:r>
      <w:proofErr w:type="spellStart"/>
      <w:r w:rsidRPr="00835FFE">
        <w:rPr>
          <w:rFonts w:ascii="Verdana" w:hAnsi="Verdana"/>
        </w:rPr>
        <w:t>causal</w:t>
      </w:r>
      <w:proofErr w:type="spellEnd"/>
      <w:r w:rsidRPr="00835FFE">
        <w:rPr>
          <w:rFonts w:ascii="Verdana" w:hAnsi="Verdana"/>
        </w:rPr>
        <w:t xml:space="preserve">. Por ello, si el proponente omite o se equivoca en la información específica de un contrato incluido en el formato respectivo, la entidad podrá requerirlo para que aclare la información y, en caso de no responder, rechazar la propuesta por la causal que consagra el literal E del numeral 1.15. </w:t>
      </w:r>
    </w:p>
    <w:p w:rsidRPr="00835FFE" w:rsidR="00835FFE" w:rsidP="00835FFE" w:rsidRDefault="00835FFE" w14:paraId="205986EF" w14:textId="77777777">
      <w:pPr>
        <w:pStyle w:val="Prrafodelista"/>
        <w:spacing w:line="276" w:lineRule="auto"/>
        <w:jc w:val="both"/>
        <w:rPr>
          <w:rFonts w:ascii="Verdana" w:hAnsi="Verdana"/>
        </w:rPr>
      </w:pPr>
    </w:p>
    <w:p w:rsidRPr="00835FFE" w:rsidR="00835FFE" w:rsidP="00835FFE" w:rsidRDefault="00835FFE" w14:paraId="259A4CAD" w14:textId="77777777">
      <w:pPr>
        <w:pStyle w:val="Prrafodelista"/>
        <w:numPr>
          <w:ilvl w:val="0"/>
          <w:numId w:val="20"/>
        </w:numPr>
        <w:spacing w:line="276" w:lineRule="auto"/>
        <w:jc w:val="both"/>
        <w:rPr>
          <w:rFonts w:ascii="Verdana" w:hAnsi="Verdana"/>
        </w:rPr>
      </w:pPr>
      <w:r w:rsidRPr="00835FFE">
        <w:rPr>
          <w:rFonts w:ascii="Verdana" w:hAnsi="Verdana"/>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w:t>
      </w:r>
    </w:p>
    <w:p w:rsidRPr="00835FFE" w:rsidR="00835FFE" w:rsidP="00835FFE" w:rsidRDefault="00835FFE" w14:paraId="2B7C5820" w14:textId="77777777">
      <w:pPr>
        <w:pStyle w:val="Prrafodelista"/>
        <w:rPr>
          <w:rFonts w:ascii="Verdana" w:hAnsi="Verdana"/>
        </w:rPr>
      </w:pPr>
    </w:p>
    <w:p w:rsidRPr="00835FFE" w:rsidR="00835FFE" w:rsidP="00835FFE" w:rsidRDefault="00835FFE" w14:paraId="5C4D7DD8" w14:textId="77777777">
      <w:pPr>
        <w:pStyle w:val="Prrafodelista"/>
        <w:numPr>
          <w:ilvl w:val="0"/>
          <w:numId w:val="20"/>
        </w:numPr>
        <w:spacing w:line="276" w:lineRule="auto"/>
        <w:jc w:val="both"/>
        <w:rPr>
          <w:rFonts w:ascii="Verdana" w:hAnsi="Verdana"/>
        </w:rPr>
      </w:pPr>
      <w:r w:rsidRPr="00835FFE">
        <w:rPr>
          <w:rFonts w:ascii="Verdana" w:hAnsi="Verdana"/>
        </w:rPr>
        <w:t>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w:t>
      </w:r>
    </w:p>
    <w:p w:rsidRPr="00835FFE" w:rsidR="00835FFE" w:rsidP="00835FFE" w:rsidRDefault="00835FFE" w14:paraId="23E1A67B" w14:textId="77777777">
      <w:pPr>
        <w:pStyle w:val="Prrafodelista"/>
        <w:spacing w:line="276" w:lineRule="auto"/>
        <w:jc w:val="both"/>
        <w:rPr>
          <w:rFonts w:ascii="Verdana" w:hAnsi="Verdana"/>
        </w:rPr>
      </w:pPr>
    </w:p>
    <w:p w:rsidRPr="00835FFE" w:rsidR="00835FFE" w:rsidP="00835FFE" w:rsidRDefault="00835FFE" w14:paraId="22BC7C73" w14:textId="77777777">
      <w:pPr>
        <w:pStyle w:val="Prrafodelista"/>
        <w:spacing w:line="276" w:lineRule="auto"/>
        <w:jc w:val="both"/>
        <w:rPr>
          <w:rFonts w:ascii="Verdana" w:hAnsi="Verdana"/>
        </w:rPr>
      </w:pPr>
      <w:r w:rsidRPr="00835FFE">
        <w:rPr>
          <w:rFonts w:ascii="Verdana" w:hAnsi="Verdana"/>
        </w:rPr>
        <w:t xml:space="preserve">De conformidad con esta regla, el rechazo de la oferta procede cuando en ejercicio de la potestad verificadora se advierta que luego de agotar la posibilidad de subsanación o aclaración el proponente dejó de incluir información que afecta la capacidad, esto es, la referente a contratos de obra en ejecución. Es del caso precisar que la expresión “afecta la capacidad residual” no se restringe a aquellos eventos en los que la información omitida conduce a que el proponente no cumpla con la exigencia de capacidad residual, pues, incluso, si la información omitida </w:t>
      </w:r>
      <w:r w:rsidRPr="00835FFE">
        <w:rPr>
          <w:rFonts w:ascii="Verdana" w:hAnsi="Verdana"/>
        </w:rPr>
        <w:lastRenderedPageBreak/>
        <w:t>no conduce al incumplimiento de dicho requisito, estaríamos frente a un supuesto que cubre esa noción. Esto concuerda con la causal de rechazo prevista en el literal “H” del numeral 1.15 del documento base, el cual autoriza el rechazo de la propuesta en el evento en “Que el Proponente aporte información inexacta sobre la cual pueda existir una posible falsedad en los términos de la sección 1.11”.</w:t>
      </w:r>
    </w:p>
    <w:p w:rsidRPr="00835FFE" w:rsidR="00835FFE" w:rsidP="00835FFE" w:rsidRDefault="00835FFE" w14:paraId="33FF115C" w14:textId="77777777">
      <w:pPr>
        <w:pStyle w:val="Prrafodelista"/>
        <w:spacing w:line="276" w:lineRule="auto"/>
        <w:jc w:val="both"/>
        <w:rPr>
          <w:rFonts w:ascii="Verdana" w:hAnsi="Verdana"/>
        </w:rPr>
      </w:pPr>
    </w:p>
    <w:p w:rsidRPr="00835FFE" w:rsidR="00835FFE" w:rsidP="00835FFE" w:rsidRDefault="00835FFE" w14:paraId="5B49B822" w14:textId="77777777">
      <w:pPr>
        <w:pStyle w:val="Prrafodelista"/>
        <w:numPr>
          <w:ilvl w:val="0"/>
          <w:numId w:val="20"/>
        </w:numPr>
        <w:spacing w:line="276" w:lineRule="auto"/>
        <w:jc w:val="both"/>
        <w:rPr>
          <w:rFonts w:ascii="Verdana" w:hAnsi="Verdana"/>
        </w:rPr>
      </w:pPr>
      <w:r w:rsidRPr="00835FFE">
        <w:rPr>
          <w:rFonts w:ascii="Verdana" w:hAnsi="Verdana"/>
        </w:rPr>
        <w:t>En todo caso, resulta pertinente mencionar que, debe ser la Entidad Estatal quien determine si alguno de los supuestos de hecho contenidos en las causales de rechazo contenidas del numeral 1.15 del Documento Base de los “Documentos Tipo – Versión 3”, aplican frente a cada situación particular.</w:t>
      </w:r>
    </w:p>
    <w:p w:rsidRPr="00835FFE" w:rsidR="00835FFE" w:rsidP="00835FFE" w:rsidRDefault="00835FFE" w14:paraId="3629D5A8" w14:textId="77777777">
      <w:pPr>
        <w:pStyle w:val="Prrafodelista"/>
        <w:spacing w:line="276" w:lineRule="auto"/>
        <w:jc w:val="both"/>
        <w:rPr>
          <w:rFonts w:ascii="Verdana" w:hAnsi="Verdana"/>
        </w:rPr>
      </w:pPr>
    </w:p>
    <w:p w:rsidRPr="00835FFE" w:rsidR="00835FFE" w:rsidP="00835FFE" w:rsidRDefault="00835FFE" w14:paraId="7DF657AF" w14:textId="77777777">
      <w:pPr>
        <w:pStyle w:val="Prrafodelista"/>
        <w:numPr>
          <w:ilvl w:val="0"/>
          <w:numId w:val="20"/>
        </w:numPr>
        <w:jc w:val="both"/>
        <w:rPr>
          <w:rFonts w:ascii="Verdana" w:hAnsi="Verdana"/>
        </w:rPr>
      </w:pPr>
      <w:r w:rsidRPr="00835FFE">
        <w:rPr>
          <w:rFonts w:ascii="Verdana" w:hAnsi="Verdana"/>
        </w:rPr>
        <w:t xml:space="preserve">Finalmente, en congruencia con lo explicado en el numeral anterior, es importante tener en cuenta que la causal de rechazo del literal Z del numeral 1.15 del pliego aplica por “No informar todos los contratos que el Proponente tenga en ejecución antes del cierre, necesarios para acreditar su capacidad residual conforme a la sección 3.10”. Para estos efectos, conforme a las definiciones previstas en la Guía para Determinar y Verificar la Capacidad Residual del Proponente en los Procesos de Contratación de Obra Pública, el numeral II del literal E del numeral 3.10.2 del documento base dispone que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 </w:t>
      </w:r>
    </w:p>
    <w:p w:rsidRPr="00835FFE" w:rsidR="00835FFE" w:rsidP="00835FFE" w:rsidRDefault="00835FFE" w14:paraId="6E8EC39E" w14:textId="77777777">
      <w:pPr>
        <w:pStyle w:val="Prrafodelista"/>
        <w:rPr>
          <w:rFonts w:ascii="Verdana" w:hAnsi="Verdana"/>
        </w:rPr>
      </w:pPr>
    </w:p>
    <w:p w:rsidRPr="00835FFE" w:rsidR="00835FFE" w:rsidP="00835FFE" w:rsidRDefault="00835FFE" w14:paraId="75F365BA" w14:textId="77777777">
      <w:pPr>
        <w:pStyle w:val="Prrafodelista"/>
        <w:jc w:val="both"/>
        <w:rPr>
          <w:rFonts w:ascii="Verdana" w:hAnsi="Verdana"/>
        </w:rPr>
      </w:pPr>
      <w:r w:rsidRPr="00835FFE">
        <w:rPr>
          <w:rFonts w:ascii="Verdana" w:hAnsi="Verdana"/>
        </w:rPr>
        <w:t xml:space="preserve">Como se observa, la definición solo aplica a los contratos perfeccionados, aunque estos estén suspendidos o no tengan acta de inicio, </w:t>
      </w:r>
      <w:r w:rsidRPr="00835FFE">
        <w:rPr>
          <w:rFonts w:ascii="Verdana" w:hAnsi="Verdana" w:eastAsia="Calibri"/>
        </w:rPr>
        <w:t>es decir aquellos que a la fecha de presentación de la oferta obligan al contratista, por lo cual, no se entenderá como Contratos en Ejecución los que se encuentren en etapa de liquidación o ya fueron liquidados, por ende estos no deberán ser reportados por el proponente para efectos de calcular su capacidad residual, y su no presentación, no implica para el proponente incurrir en la causal de rechazo</w:t>
      </w:r>
      <w:r w:rsidRPr="00835FFE">
        <w:rPr>
          <w:rFonts w:ascii="Verdana" w:hAnsi="Verdana"/>
        </w:rPr>
        <w:t xml:space="preserve"> del literal Z del numeral 1.15 de los documentos tipo.</w:t>
      </w:r>
    </w:p>
    <w:p w:rsidRPr="00835FFE" w:rsidR="00835FFE" w:rsidP="00835FFE" w:rsidRDefault="00835FFE" w14:paraId="15928EFA" w14:textId="77777777">
      <w:pPr>
        <w:pStyle w:val="Prrafodelista"/>
        <w:jc w:val="both"/>
        <w:rPr>
          <w:rFonts w:ascii="Verdana" w:hAnsi="Verdana"/>
        </w:rPr>
      </w:pPr>
    </w:p>
    <w:p w:rsidRPr="00835FFE" w:rsidR="00835FFE" w:rsidP="00835FFE" w:rsidRDefault="00835FFE" w14:paraId="3283D0C8" w14:textId="77777777">
      <w:pPr>
        <w:pStyle w:val="Prrafodelista"/>
        <w:numPr>
          <w:ilvl w:val="0"/>
          <w:numId w:val="20"/>
        </w:numPr>
        <w:spacing w:after="0" w:line="276" w:lineRule="auto"/>
        <w:jc w:val="both"/>
        <w:rPr>
          <w:rFonts w:ascii="Verdana" w:hAnsi="Verdana"/>
          <w:i/>
          <w:iCs/>
        </w:rPr>
      </w:pPr>
      <w:r w:rsidRPr="00835FFE">
        <w:rPr>
          <w:rFonts w:ascii="Verdana" w:hAnsi="Verdana" w:eastAsia="Calibri"/>
          <w:bCs/>
          <w:color w:val="000000" w:themeColor="text1"/>
          <w:lang w:val="es-MX"/>
        </w:rPr>
        <w:lastRenderedPageBreak/>
        <w:t xml:space="preserve">Ahora bien, particularmente, </w:t>
      </w:r>
      <w:bookmarkStart w:name="_Hlk100139879" w:id="4"/>
      <w:r w:rsidRPr="00835FFE">
        <w:rPr>
          <w:rFonts w:ascii="Verdana" w:hAnsi="Verdana" w:eastAsia="Calibri"/>
          <w:bCs/>
          <w:color w:val="000000" w:themeColor="text1"/>
          <w:lang w:val="es-MX"/>
        </w:rPr>
        <w:t xml:space="preserve">respecto del factor de saldos de los contratos en ejecución </w:t>
      </w:r>
      <w:r w:rsidRPr="00835FFE">
        <w:rPr>
          <w:rFonts w:ascii="Verdana" w:hAnsi="Verdana" w:eastAsia="Calibri"/>
          <w:bCs/>
          <w:color w:val="000000" w:themeColor="text1"/>
        </w:rPr>
        <w:t>“SCE”,</w:t>
      </w:r>
      <w:r w:rsidRPr="00835FFE">
        <w:rPr>
          <w:rFonts w:ascii="Verdana" w:hAnsi="Verdana"/>
        </w:rPr>
        <w:t xml:space="preserve"> es necesario tener en cuenta que la Guía para Determinar y Verificar la Capacidad Residual del Proponente en los Procesos de Contratación de Obra Pública</w:t>
      </w:r>
      <w:r w:rsidRPr="00835FFE">
        <w:rPr>
          <w:rFonts w:ascii="Verdana" w:hAnsi="Verdana"/>
          <w:i/>
          <w:iCs/>
        </w:rPr>
        <w:t xml:space="preserve">, </w:t>
      </w:r>
      <w:r w:rsidRPr="00835FFE">
        <w:rPr>
          <w:rFonts w:ascii="Verdana" w:hAnsi="Verdana"/>
        </w:rPr>
        <w:t xml:space="preserve">define a este factor </w:t>
      </w:r>
      <w:r w:rsidRPr="00835FFE">
        <w:rPr>
          <w:rFonts w:ascii="Verdana" w:hAnsi="Verdana" w:eastAsia="Calibri"/>
          <w:bCs/>
          <w:color w:val="000000" w:themeColor="text1"/>
        </w:rPr>
        <w:t>como “la suma de los montos por ejecutar de los contratos en ejecución durante los 12 meses siguientes</w:t>
      </w:r>
      <w:bookmarkEnd w:id="4"/>
      <w:r w:rsidRPr="00835FFE">
        <w:rPr>
          <w:rFonts w:ascii="Verdana" w:hAnsi="Verdana" w:eastAsia="Calibri"/>
          <w:bCs/>
          <w:color w:val="000000" w:themeColor="text1"/>
        </w:rPr>
        <w:t>”. Así mismo, define los</w:t>
      </w:r>
      <w:r w:rsidRPr="00835FFE">
        <w:rPr>
          <w:rFonts w:ascii="Verdana" w:hAnsi="Verdana"/>
        </w:rPr>
        <w:t xml:space="preserve"> </w:t>
      </w:r>
      <w:bookmarkStart w:name="_Hlk78819022" w:id="5"/>
      <w:r w:rsidRPr="00835FFE">
        <w:rPr>
          <w:rFonts w:ascii="Verdana" w:hAnsi="Verdana"/>
          <w:i/>
          <w:iCs/>
        </w:rPr>
        <w:t>Contratos en Ejecución</w:t>
      </w:r>
      <w:r w:rsidRPr="00835FFE">
        <w:rPr>
          <w:rFonts w:ascii="Verdana" w:hAnsi="Verdana"/>
        </w:rPr>
        <w:t xml:space="preserve"> </w:t>
      </w:r>
      <w:bookmarkEnd w:id="5"/>
      <w:r w:rsidRPr="00835FFE">
        <w:rPr>
          <w:rFonts w:ascii="Verdana" w:hAnsi="Verdana"/>
        </w:rPr>
        <w:t xml:space="preserve">de la siguiente manera: </w:t>
      </w:r>
      <w:r w:rsidRPr="00835FFE">
        <w:rPr>
          <w:rFonts w:ascii="Verdana" w:hAnsi="Verdana"/>
          <w:i/>
          <w:iCs/>
        </w:rPr>
        <w:t xml:space="preserve"> </w:t>
      </w:r>
    </w:p>
    <w:p w:rsidRPr="00835FFE" w:rsidR="00835FFE" w:rsidP="00835FFE" w:rsidRDefault="00835FFE" w14:paraId="05ED58D5" w14:textId="77777777">
      <w:pPr>
        <w:spacing w:after="0" w:line="276" w:lineRule="auto"/>
        <w:jc w:val="both"/>
        <w:rPr>
          <w:rFonts w:ascii="Verdana" w:hAnsi="Verdana"/>
          <w:i/>
          <w:iCs/>
          <w:sz w:val="20"/>
          <w:szCs w:val="20"/>
        </w:rPr>
      </w:pPr>
    </w:p>
    <w:p w:rsidRPr="00835FFE" w:rsidR="00835FFE" w:rsidP="00835FFE" w:rsidRDefault="00835FFE" w14:paraId="7D75A47D" w14:textId="77777777">
      <w:pPr>
        <w:spacing w:after="0" w:line="240" w:lineRule="auto"/>
        <w:ind w:left="709" w:right="709"/>
        <w:jc w:val="both"/>
        <w:rPr>
          <w:rFonts w:ascii="Verdana" w:hAnsi="Verdana"/>
          <w:i/>
          <w:iCs/>
          <w:sz w:val="20"/>
          <w:szCs w:val="20"/>
        </w:rPr>
      </w:pPr>
      <w:r w:rsidRPr="00835FFE">
        <w:rPr>
          <w:rFonts w:ascii="Verdana" w:hAnsi="Verdana"/>
          <w:i/>
          <w:iCs/>
          <w:sz w:val="20"/>
          <w:szCs w:val="20"/>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rsidRPr="00835FFE" w:rsidR="00835FFE" w:rsidP="00835FFE" w:rsidRDefault="00835FFE" w14:paraId="253449B2" w14:textId="77777777">
      <w:pPr>
        <w:spacing w:after="0" w:line="276" w:lineRule="auto"/>
        <w:ind w:right="709"/>
        <w:jc w:val="both"/>
        <w:rPr>
          <w:rFonts w:ascii="Verdana" w:hAnsi="Verdana"/>
        </w:rPr>
      </w:pPr>
    </w:p>
    <w:p w:rsidRPr="00835FFE" w:rsidR="00835FFE" w:rsidP="00835FFE" w:rsidRDefault="00835FFE" w14:paraId="61FBF5EC" w14:textId="77777777">
      <w:pPr>
        <w:pStyle w:val="Prrafodelista"/>
        <w:numPr>
          <w:ilvl w:val="0"/>
          <w:numId w:val="20"/>
        </w:numPr>
        <w:spacing w:after="0" w:line="276" w:lineRule="auto"/>
        <w:jc w:val="both"/>
        <w:rPr>
          <w:rFonts w:ascii="Verdana" w:hAnsi="Verdana"/>
          <w:lang w:val="es-MX"/>
        </w:rPr>
      </w:pPr>
      <w:bookmarkStart w:name="_Hlk100139912" w:id="6"/>
      <w:bookmarkStart w:name="_Hlk103609030" w:id="7"/>
      <w:r w:rsidRPr="00835FFE">
        <w:rPr>
          <w:rFonts w:ascii="Verdana" w:hAnsi="Verdana"/>
        </w:rPr>
        <w:t>En este sentido, los saldos pendientes se derivan de las obligaciones que se encuentran en ejecución al momento de la presentación de la oferta y se refieren a contratos cuyo objeto sea la ejecución de obras civiles</w:t>
      </w:r>
      <w:bookmarkEnd w:id="6"/>
      <w:r w:rsidRPr="00835FFE">
        <w:rPr>
          <w:rFonts w:ascii="Verdana" w:hAnsi="Verdana"/>
        </w:rPr>
        <w:t xml:space="preserve">. </w:t>
      </w:r>
      <w:bookmarkStart w:name="_Hlk100139986" w:id="8"/>
      <w:r w:rsidRPr="00835FFE">
        <w:rPr>
          <w:rFonts w:ascii="Verdana" w:hAnsi="Verdana"/>
        </w:rPr>
        <w:t xml:space="preserve">Se aclara que deben tenerse en cuenta los contratos sin acta de inicio, pues el criterio determinante para establecer si un contrato se encuentra en ejecución no lo determina el acta, sino que el mismo contrato obligue al proponente, tal como se establece en la Guía indicada. Además, los saldos pendientes por ejecutar de los contratos afectados por una suspensión constituyen, también, información relevante para calcular la capacidad residual del proponente </w:t>
      </w:r>
      <w:r w:rsidRPr="00835FFE">
        <w:rPr>
          <w:rFonts w:ascii="Verdana" w:hAnsi="Verdana" w:eastAsia="Calibri"/>
          <w:b/>
          <w:color w:val="000000" w:themeColor="text1"/>
        </w:rPr>
        <w:t>“</w:t>
      </w:r>
      <w:r w:rsidRPr="00835FFE">
        <w:rPr>
          <w:rFonts w:ascii="Verdana" w:hAnsi="Verdana" w:eastAsia="Calibri"/>
          <w:bCs/>
          <w:color w:val="000000" w:themeColor="text1"/>
        </w:rPr>
        <w:t>CRP</w:t>
      </w:r>
      <w:r w:rsidRPr="00835FFE">
        <w:rPr>
          <w:rFonts w:ascii="Verdana" w:hAnsi="Verdana" w:eastAsia="Calibri"/>
          <w:b/>
          <w:color w:val="000000" w:themeColor="text1"/>
        </w:rPr>
        <w:t>”</w:t>
      </w:r>
      <w:r w:rsidRPr="00835FFE">
        <w:rPr>
          <w:rFonts w:ascii="Verdana" w:hAnsi="Verdana"/>
        </w:rPr>
        <w:t>. Lo anterior, en la medida en que la ejecución de los contratos en principio suspendidos puede, eventualmente, afectar la aptitud del oferente para cumplir con el contrato ofertado, razón por la que, ante la posibilidad de que tales contratos se reanuden, la Guía estimó necesario evaluar los saldos pendientes por ejecutar de tales contratos para determinar si el proponente cumple con la capacidad residual requerida</w:t>
      </w:r>
      <w:bookmarkEnd w:id="7"/>
      <w:bookmarkEnd w:id="8"/>
      <w:r w:rsidRPr="00835FFE">
        <w:rPr>
          <w:rFonts w:ascii="Verdana" w:hAnsi="Verdana"/>
        </w:rPr>
        <w:t xml:space="preserve">. </w:t>
      </w:r>
      <w:r w:rsidRPr="00835FFE">
        <w:rPr>
          <w:rFonts w:ascii="Verdana" w:hAnsi="Verdana"/>
          <w:lang w:val="es-MX"/>
        </w:rPr>
        <w:t>Por lo demás, en dicha guía también se precisa que:</w:t>
      </w:r>
    </w:p>
    <w:p w:rsidRPr="00835FFE" w:rsidR="00835FFE" w:rsidP="00835FFE" w:rsidRDefault="00835FFE" w14:paraId="1A164AC9" w14:textId="77777777">
      <w:pPr>
        <w:spacing w:after="0" w:line="276" w:lineRule="auto"/>
        <w:ind w:firstLine="709"/>
        <w:jc w:val="both"/>
        <w:rPr>
          <w:rFonts w:ascii="Verdana" w:hAnsi="Verdana"/>
          <w:lang w:val="es-MX"/>
        </w:rPr>
      </w:pPr>
    </w:p>
    <w:p w:rsidRPr="00835FFE" w:rsidR="00835FFE" w:rsidP="00835FFE" w:rsidRDefault="00835FFE" w14:paraId="643FB1A5" w14:textId="77777777">
      <w:pPr>
        <w:spacing w:after="0"/>
        <w:ind w:left="709" w:right="709"/>
        <w:jc w:val="both"/>
        <w:rPr>
          <w:rFonts w:ascii="Verdana" w:hAnsi="Verdana"/>
          <w:i/>
          <w:iCs/>
          <w:sz w:val="20"/>
          <w:szCs w:val="20"/>
        </w:rPr>
      </w:pPr>
      <w:bookmarkStart w:name="_Hlk100140013" w:id="9"/>
      <w:r w:rsidRPr="00835FFE">
        <w:rPr>
          <w:rFonts w:ascii="Verdana" w:hAnsi="Verdana"/>
          <w:i/>
          <w:iCs/>
          <w:sz w:val="20"/>
          <w:szCs w:val="20"/>
        </w:rPr>
        <w:t xml:space="preserve">“El cálculo del Saldo de los Contratos en Ejecución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el respectivo contratista. Si el número de días por ejecutar en un contrato es superior a 12 meses, es </w:t>
      </w:r>
      <w:r w:rsidRPr="00835FFE">
        <w:rPr>
          <w:rFonts w:ascii="Verdana" w:hAnsi="Verdana"/>
          <w:i/>
          <w:iCs/>
          <w:sz w:val="20"/>
          <w:szCs w:val="20"/>
        </w:rPr>
        <w:lastRenderedPageBreak/>
        <w:t>decir 360 días, el Saldo del Contrato en Ejecución solo tendrá en cuenta la proporción lineal de 12 meses</w:t>
      </w:r>
      <w:bookmarkEnd w:id="9"/>
      <w:r w:rsidRPr="00835FFE">
        <w:rPr>
          <w:rFonts w:ascii="Verdana" w:hAnsi="Verdana"/>
          <w:i/>
          <w:iCs/>
          <w:sz w:val="20"/>
          <w:szCs w:val="20"/>
        </w:rPr>
        <w:t>.</w:t>
      </w:r>
    </w:p>
    <w:p w:rsidRPr="00835FFE" w:rsidR="00835FFE" w:rsidP="00835FFE" w:rsidRDefault="00835FFE" w14:paraId="7A8F02B8" w14:textId="77777777">
      <w:pPr>
        <w:spacing w:after="0"/>
        <w:ind w:left="709" w:right="709"/>
        <w:jc w:val="both"/>
        <w:rPr>
          <w:rFonts w:ascii="Verdana" w:hAnsi="Verdana"/>
          <w:i/>
          <w:iCs/>
          <w:sz w:val="20"/>
          <w:szCs w:val="20"/>
          <w:lang w:val="es-MX"/>
        </w:rPr>
      </w:pPr>
      <w:r w:rsidRPr="00835FFE">
        <w:rPr>
          <w:rFonts w:ascii="Verdana" w:hAnsi="Verdana"/>
          <w:i/>
          <w:iCs/>
          <w:sz w:val="20"/>
          <w:szCs w:val="20"/>
          <w:lang w:val="es-MX"/>
        </w:rPr>
        <w:t>[…]</w:t>
      </w:r>
    </w:p>
    <w:p w:rsidRPr="00835FFE" w:rsidR="00835FFE" w:rsidP="00835FFE" w:rsidRDefault="00835FFE" w14:paraId="5B684FBE" w14:textId="77777777">
      <w:pPr>
        <w:spacing w:after="0"/>
        <w:ind w:left="709" w:right="709"/>
        <w:jc w:val="both"/>
        <w:rPr>
          <w:rFonts w:ascii="Verdana" w:hAnsi="Verdana"/>
          <w:i/>
          <w:iCs/>
          <w:sz w:val="20"/>
          <w:szCs w:val="20"/>
        </w:rPr>
      </w:pPr>
      <w:r w:rsidRPr="00835FFE">
        <w:rPr>
          <w:rFonts w:ascii="Verdana" w:hAnsi="Verdana"/>
          <w:i/>
          <w:iCs/>
          <w:sz w:val="20"/>
          <w:szCs w:val="20"/>
        </w:rPr>
        <w:t>Si un contrato se encuentra suspendido, el cálculo del Saldo del Contrato en Ejecución de dicho contrato debe calcularse asumiendo que lo que falta por ejecutar empezará a ejecutarse en la fecha de la presentación de la oferta del Proceso de Contratación.” (Énfasis fuera de texto)</w:t>
      </w:r>
    </w:p>
    <w:p w:rsidRPr="00835FFE" w:rsidR="00835FFE" w:rsidP="00835FFE" w:rsidRDefault="00835FFE" w14:paraId="4BC81273" w14:textId="77777777">
      <w:pPr>
        <w:spacing w:after="0" w:line="276" w:lineRule="auto"/>
        <w:ind w:firstLine="709"/>
        <w:jc w:val="both"/>
        <w:rPr>
          <w:rFonts w:ascii="Verdana" w:hAnsi="Verdana"/>
        </w:rPr>
      </w:pPr>
    </w:p>
    <w:p w:rsidRPr="00835FFE" w:rsidR="00835FFE" w:rsidP="00835FFE" w:rsidRDefault="00835FFE" w14:paraId="5578AB3B" w14:textId="77777777">
      <w:pPr>
        <w:pStyle w:val="Prrafodelista"/>
        <w:numPr>
          <w:ilvl w:val="0"/>
          <w:numId w:val="20"/>
        </w:numPr>
        <w:spacing w:after="0" w:line="276" w:lineRule="auto"/>
        <w:jc w:val="both"/>
        <w:rPr>
          <w:rFonts w:ascii="Verdana" w:hAnsi="Verdana"/>
        </w:rPr>
      </w:pPr>
      <w:r w:rsidRPr="00835FFE">
        <w:rPr>
          <w:rFonts w:ascii="Verdana" w:hAnsi="Verdana"/>
        </w:rPr>
        <w:t xml:space="preserve">De este modo, para acreditar el factor </w:t>
      </w:r>
      <w:r w:rsidRPr="00835FFE">
        <w:rPr>
          <w:rFonts w:ascii="Verdana" w:hAnsi="Verdana" w:eastAsia="Calibri"/>
          <w:bCs/>
          <w:color w:val="000000" w:themeColor="text1"/>
          <w:lang w:val="es-MX"/>
        </w:rPr>
        <w:t xml:space="preserve">saldos de los contratos en ejecución </w:t>
      </w:r>
      <w:r w:rsidRPr="00835FFE">
        <w:rPr>
          <w:rFonts w:ascii="Verdana" w:hAnsi="Verdana" w:eastAsia="Calibri"/>
          <w:bCs/>
          <w:color w:val="000000" w:themeColor="text1"/>
        </w:rPr>
        <w:t>“SCE”,</w:t>
      </w:r>
      <w:r w:rsidRPr="00835FFE">
        <w:rPr>
          <w:rFonts w:ascii="Verdana" w:hAnsi="Verdana"/>
        </w:rPr>
        <w:t xml:space="preserve">  como lo establece la Guía, el proponente debe presentar la lista de contratos de obras civiles en ejecución, tanto a nivel nacional como internacional señalando: i) el valor del contrato; </w:t>
      </w:r>
      <w:proofErr w:type="spellStart"/>
      <w:r w:rsidRPr="00835FFE">
        <w:rPr>
          <w:rFonts w:ascii="Verdana" w:hAnsi="Verdana"/>
        </w:rPr>
        <w:t>ii</w:t>
      </w:r>
      <w:proofErr w:type="spellEnd"/>
      <w:r w:rsidRPr="00835FFE">
        <w:rPr>
          <w:rFonts w:ascii="Verdana" w:hAnsi="Verdana"/>
        </w:rPr>
        <w:t xml:space="preserve">) el plazo del contrato en meses; </w:t>
      </w:r>
      <w:proofErr w:type="spellStart"/>
      <w:r w:rsidRPr="00835FFE">
        <w:rPr>
          <w:rFonts w:ascii="Verdana" w:hAnsi="Verdana"/>
        </w:rPr>
        <w:t>iii</w:t>
      </w:r>
      <w:proofErr w:type="spellEnd"/>
      <w:r w:rsidRPr="00835FFE">
        <w:rPr>
          <w:rFonts w:ascii="Verdana" w:hAnsi="Verdana"/>
        </w:rPr>
        <w:t xml:space="preserve">) la fecha de inicio de las obras objeto del contrato (día, mes, año); </w:t>
      </w:r>
      <w:proofErr w:type="spellStart"/>
      <w:r w:rsidRPr="00835FFE">
        <w:rPr>
          <w:rFonts w:ascii="Verdana" w:hAnsi="Verdana"/>
        </w:rPr>
        <w:t>iv</w:t>
      </w:r>
      <w:proofErr w:type="spellEnd"/>
      <w:r w:rsidRPr="00835FFE">
        <w:rPr>
          <w:rFonts w:ascii="Verdana" w:hAnsi="Verdana"/>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En concordancia con lo anterior, sobre la acreditación del factor </w:t>
      </w:r>
      <w:r w:rsidRPr="00835FFE">
        <w:rPr>
          <w:rFonts w:ascii="Verdana" w:hAnsi="Verdana" w:eastAsia="Calibri"/>
          <w:bCs/>
          <w:color w:val="000000" w:themeColor="text1"/>
        </w:rPr>
        <w:t xml:space="preserve">“SCE” </w:t>
      </w:r>
      <w:r w:rsidRPr="00835FFE">
        <w:rPr>
          <w:rFonts w:ascii="Verdana" w:hAnsi="Verdana"/>
        </w:rPr>
        <w:t xml:space="preserve">en los documentos tipo de licitación de obra pública para infraestructura de transporte, </w:t>
      </w:r>
      <w:bookmarkStart w:name="_Hlk100140108" w:id="10"/>
      <w:r w:rsidRPr="00835FFE">
        <w:rPr>
          <w:rFonts w:ascii="Verdana" w:hAnsi="Verdana"/>
        </w:rPr>
        <w:t>el literal E del numeral 3.10.2 del documento base</w:t>
      </w:r>
      <w:bookmarkEnd w:id="10"/>
      <w:r w:rsidRPr="00835FFE">
        <w:rPr>
          <w:rFonts w:ascii="Verdana" w:hAnsi="Verdana"/>
        </w:rPr>
        <w:t xml:space="preserve"> señala lo siguiente:</w:t>
      </w:r>
    </w:p>
    <w:p w:rsidRPr="00835FFE" w:rsidR="00835FFE" w:rsidP="00835FFE" w:rsidRDefault="00835FFE" w14:paraId="114DCE07" w14:textId="77777777">
      <w:pPr>
        <w:spacing w:after="0" w:line="276" w:lineRule="auto"/>
        <w:ind w:firstLine="709"/>
        <w:jc w:val="both"/>
        <w:rPr>
          <w:rFonts w:ascii="Verdana" w:hAnsi="Verdana"/>
        </w:rPr>
      </w:pPr>
    </w:p>
    <w:p w:rsidRPr="00835FFE" w:rsidR="00835FFE" w:rsidP="00835FFE" w:rsidRDefault="00835FFE" w14:paraId="70E5A2FB" w14:textId="77777777">
      <w:pPr>
        <w:spacing w:after="0"/>
        <w:ind w:left="708" w:right="709"/>
        <w:jc w:val="both"/>
        <w:rPr>
          <w:rFonts w:ascii="Verdana" w:hAnsi="Verdana" w:eastAsia="Arial,"/>
        </w:rPr>
      </w:pPr>
      <w:r w:rsidRPr="00835FFE">
        <w:rPr>
          <w:rFonts w:ascii="Verdana" w:hAnsi="Verdana"/>
        </w:rPr>
        <w:t>Para</w:t>
      </w:r>
      <w:r w:rsidRPr="00835FFE">
        <w:rPr>
          <w:rFonts w:ascii="Verdana" w:hAnsi="Verdana" w:eastAsia="Arial,"/>
        </w:rPr>
        <w:t xml:space="preserve"> </w:t>
      </w:r>
      <w:r w:rsidRPr="00835FFE">
        <w:rPr>
          <w:rFonts w:ascii="Verdana" w:hAnsi="Verdana"/>
        </w:rPr>
        <w:t>acreditar</w:t>
      </w:r>
      <w:r w:rsidRPr="00835FFE">
        <w:rPr>
          <w:rFonts w:ascii="Verdana" w:hAnsi="Verdana" w:eastAsia="Arial,"/>
        </w:rPr>
        <w:t xml:space="preserve"> </w:t>
      </w:r>
      <w:r w:rsidRPr="00835FFE">
        <w:rPr>
          <w:rFonts w:ascii="Verdana" w:hAnsi="Verdana"/>
        </w:rPr>
        <w:t>el</w:t>
      </w:r>
      <w:r w:rsidRPr="00835FFE">
        <w:rPr>
          <w:rFonts w:ascii="Verdana" w:hAnsi="Verdana" w:eastAsia="Arial,"/>
        </w:rPr>
        <w:t xml:space="preserve"> </w:t>
      </w:r>
      <w:r w:rsidRPr="00835FFE">
        <w:rPr>
          <w:rFonts w:ascii="Verdana" w:hAnsi="Verdana"/>
        </w:rPr>
        <w:t>factor</w:t>
      </w:r>
      <w:r w:rsidRPr="00835FFE">
        <w:rPr>
          <w:rFonts w:ascii="Verdana" w:hAnsi="Verdana" w:eastAsia="Arial,"/>
        </w:rPr>
        <w:t xml:space="preserve"> </w:t>
      </w:r>
      <w:r w:rsidRPr="00835FFE">
        <w:rPr>
          <w:rFonts w:ascii="Verdana" w:hAnsi="Verdana"/>
        </w:rPr>
        <w:t>(SCE)</w:t>
      </w:r>
      <w:r w:rsidRPr="00835FFE">
        <w:rPr>
          <w:rFonts w:ascii="Verdana" w:hAnsi="Verdana" w:eastAsia="Arial,"/>
        </w:rPr>
        <w:t xml:space="preserve"> </w:t>
      </w:r>
      <w:r w:rsidRPr="00835FFE">
        <w:rPr>
          <w:rFonts w:ascii="Verdana" w:hAnsi="Verdana"/>
        </w:rPr>
        <w:t>el</w:t>
      </w:r>
      <w:r w:rsidRPr="00835FFE">
        <w:rPr>
          <w:rFonts w:ascii="Verdana" w:hAnsi="Verdana" w:eastAsia="Arial,"/>
        </w:rPr>
        <w:t xml:space="preserve"> </w:t>
      </w:r>
      <w:r w:rsidRPr="00835FFE">
        <w:rPr>
          <w:rFonts w:ascii="Verdana" w:hAnsi="Verdana"/>
        </w:rPr>
        <w:t>Proponente</w:t>
      </w:r>
      <w:r w:rsidRPr="00835FFE">
        <w:rPr>
          <w:rFonts w:ascii="Verdana" w:hAnsi="Verdana" w:eastAsia="Arial,"/>
        </w:rPr>
        <w:t xml:space="preserve"> </w:t>
      </w:r>
      <w:r w:rsidRPr="00835FFE">
        <w:rPr>
          <w:rFonts w:ascii="Verdana" w:hAnsi="Verdana"/>
        </w:rPr>
        <w:t>tendrá</w:t>
      </w:r>
      <w:r w:rsidRPr="00835FFE">
        <w:rPr>
          <w:rFonts w:ascii="Verdana" w:hAnsi="Verdana" w:eastAsia="Arial,"/>
        </w:rPr>
        <w:t xml:space="preserve"> </w:t>
      </w:r>
      <w:r w:rsidRPr="00835FFE">
        <w:rPr>
          <w:rFonts w:ascii="Verdana" w:hAnsi="Verdana"/>
        </w:rPr>
        <w:t>en</w:t>
      </w:r>
      <w:r w:rsidRPr="00835FFE">
        <w:rPr>
          <w:rFonts w:ascii="Verdana" w:hAnsi="Verdana" w:eastAsia="Arial,"/>
        </w:rPr>
        <w:t xml:space="preserve"> </w:t>
      </w:r>
      <w:r w:rsidRPr="00835FFE">
        <w:rPr>
          <w:rFonts w:ascii="Verdana" w:hAnsi="Verdana"/>
        </w:rPr>
        <w:t>cuenta</w:t>
      </w:r>
      <w:r w:rsidRPr="00835FFE">
        <w:rPr>
          <w:rFonts w:ascii="Verdana" w:hAnsi="Verdana" w:eastAsia="Arial,"/>
        </w:rPr>
        <w:t xml:space="preserve"> </w:t>
      </w:r>
      <w:r w:rsidRPr="00835FFE">
        <w:rPr>
          <w:rFonts w:ascii="Verdana" w:hAnsi="Verdana"/>
        </w:rPr>
        <w:t>lo</w:t>
      </w:r>
      <w:r w:rsidRPr="00835FFE">
        <w:rPr>
          <w:rFonts w:ascii="Verdana" w:hAnsi="Verdana" w:eastAsia="Arial,"/>
        </w:rPr>
        <w:t xml:space="preserve"> </w:t>
      </w:r>
      <w:r w:rsidRPr="00835FFE">
        <w:rPr>
          <w:rFonts w:ascii="Verdana" w:hAnsi="Verdana"/>
        </w:rPr>
        <w:t>siguiente:</w:t>
      </w:r>
      <w:r w:rsidRPr="00835FFE">
        <w:rPr>
          <w:rFonts w:ascii="Verdana" w:hAnsi="Verdana" w:eastAsia="Arial,"/>
        </w:rPr>
        <w:t xml:space="preserve"> </w:t>
      </w:r>
    </w:p>
    <w:p w:rsidRPr="00835FFE" w:rsidR="00835FFE" w:rsidP="00835FFE" w:rsidRDefault="00835FFE" w14:paraId="34AA591E" w14:textId="77777777">
      <w:pPr>
        <w:spacing w:after="0"/>
        <w:ind w:right="709" w:firstLine="709"/>
        <w:jc w:val="both"/>
        <w:rPr>
          <w:rFonts w:ascii="Verdana" w:hAnsi="Verdana" w:eastAsia="Arial,"/>
        </w:rPr>
      </w:pPr>
      <w:r w:rsidRPr="00835FFE">
        <w:rPr>
          <w:rFonts w:ascii="Verdana" w:hAnsi="Verdana" w:eastAsia="Arial,"/>
        </w:rPr>
        <w:t>[…]</w:t>
      </w:r>
    </w:p>
    <w:p w:rsidRPr="00835FFE" w:rsidR="00835FFE" w:rsidP="00835FFE" w:rsidRDefault="00835FFE" w14:paraId="062996F7" w14:textId="77777777">
      <w:pPr>
        <w:spacing w:after="0"/>
        <w:ind w:right="709" w:firstLine="709"/>
        <w:jc w:val="both"/>
        <w:rPr>
          <w:rFonts w:ascii="Verdana" w:hAnsi="Verdana" w:eastAsia="Arial,"/>
        </w:rPr>
      </w:pPr>
    </w:p>
    <w:p w:rsidRPr="00835FFE" w:rsidR="00835FFE" w:rsidP="00835FFE" w:rsidRDefault="00835FFE" w14:paraId="049124A7" w14:textId="77777777">
      <w:pPr>
        <w:spacing w:after="0"/>
        <w:ind w:left="1134" w:right="709" w:hanging="425"/>
        <w:jc w:val="both"/>
        <w:rPr>
          <w:rFonts w:ascii="Verdana" w:hAnsi="Verdana" w:eastAsia="Arial"/>
          <w:lang w:val="es-MX"/>
        </w:rPr>
      </w:pPr>
      <w:r w:rsidRPr="00835FFE">
        <w:rPr>
          <w:rFonts w:ascii="Verdana" w:hAnsi="Verdana" w:eastAsia="Arial"/>
          <w:lang w:val="es-MX"/>
        </w:rPr>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rsidRPr="00835FFE" w:rsidR="00835FFE" w:rsidP="00835FFE" w:rsidRDefault="00835FFE" w14:paraId="4F37C082" w14:textId="77777777">
      <w:pPr>
        <w:spacing w:after="0"/>
        <w:ind w:left="1134" w:right="709" w:hanging="425"/>
        <w:jc w:val="both"/>
        <w:rPr>
          <w:rFonts w:ascii="Verdana" w:hAnsi="Verdana" w:eastAsia="Arial"/>
          <w:lang w:val="es-MX"/>
        </w:rPr>
      </w:pPr>
      <w:r w:rsidRPr="00835FFE">
        <w:rPr>
          <w:rFonts w:ascii="Verdana" w:hAnsi="Verdana" w:eastAsia="Arial"/>
          <w:lang w:val="es-MX"/>
        </w:rPr>
        <w:t>III.  Se tendrán en cuenta los contratos de obras civiles en ejecución suscritos por el proponente o por sociedades, consorcios o uniones temporales en los cuales el proponente tenga participación</w:t>
      </w:r>
    </w:p>
    <w:p w:rsidRPr="00835FFE" w:rsidR="00835FFE" w:rsidP="00835FFE" w:rsidRDefault="00835FFE" w14:paraId="28E10AA7" w14:textId="77777777">
      <w:pPr>
        <w:spacing w:after="0"/>
        <w:ind w:left="1134" w:right="709" w:hanging="425"/>
        <w:jc w:val="both"/>
        <w:rPr>
          <w:rFonts w:ascii="Verdana" w:hAnsi="Verdana" w:eastAsia="Arial"/>
          <w:i/>
          <w:iCs/>
          <w:lang w:val="es-MX"/>
        </w:rPr>
      </w:pPr>
      <w:r w:rsidRPr="00835FFE">
        <w:rPr>
          <w:rFonts w:ascii="Verdana" w:hAnsi="Verdana" w:eastAsia="Arial"/>
          <w:lang w:val="es-MX"/>
        </w:rPr>
        <w:lastRenderedPageBreak/>
        <w:t xml:space="preserve">IV.  </w:t>
      </w:r>
      <w:bookmarkStart w:name="_Hlk100140218" w:id="11"/>
      <w:r w:rsidRPr="00835FFE">
        <w:rPr>
          <w:rFonts w:ascii="Verdana" w:hAnsi="Verdana" w:eastAsia="Arial"/>
          <w:lang w:val="es-MX"/>
        </w:rPr>
        <w:t>Si</w:t>
      </w:r>
      <w:r w:rsidRPr="00835FFE">
        <w:rPr>
          <w:rFonts w:ascii="Verdana" w:hAnsi="Verdana" w:eastAsia="Arial,"/>
          <w:lang w:val="es-MX"/>
        </w:rPr>
        <w:t xml:space="preserve"> </w:t>
      </w:r>
      <w:r w:rsidRPr="00835FFE">
        <w:rPr>
          <w:rFonts w:ascii="Verdana" w:hAnsi="Verdana" w:eastAsia="Arial"/>
          <w:lang w:val="es-MX"/>
        </w:rPr>
        <w:t>un</w:t>
      </w:r>
      <w:r w:rsidRPr="00835FFE">
        <w:rPr>
          <w:rFonts w:ascii="Verdana" w:hAnsi="Verdana" w:eastAsia="Arial,"/>
          <w:lang w:val="es-MX"/>
        </w:rPr>
        <w:t xml:space="preserve"> </w:t>
      </w:r>
      <w:r w:rsidRPr="00835FFE">
        <w:rPr>
          <w:rFonts w:ascii="Verdana" w:hAnsi="Verdana" w:eastAsia="Arial"/>
          <w:lang w:val="es-MX"/>
        </w:rPr>
        <w:t>contrato</w:t>
      </w:r>
      <w:r w:rsidRPr="00835FFE">
        <w:rPr>
          <w:rFonts w:ascii="Verdana" w:hAnsi="Verdana" w:eastAsia="Arial,"/>
          <w:lang w:val="es-MX"/>
        </w:rPr>
        <w:t xml:space="preserve"> </w:t>
      </w:r>
      <w:r w:rsidRPr="00835FFE">
        <w:rPr>
          <w:rFonts w:ascii="Verdana" w:hAnsi="Verdana" w:eastAsia="Arial"/>
          <w:lang w:val="es-MX"/>
        </w:rPr>
        <w:t>se</w:t>
      </w:r>
      <w:r w:rsidRPr="00835FFE">
        <w:rPr>
          <w:rFonts w:ascii="Verdana" w:hAnsi="Verdana" w:eastAsia="Arial,"/>
          <w:lang w:val="es-MX"/>
        </w:rPr>
        <w:t xml:space="preserve"> </w:t>
      </w:r>
      <w:r w:rsidRPr="00835FFE">
        <w:rPr>
          <w:rFonts w:ascii="Verdana" w:hAnsi="Verdana" w:eastAsia="Arial"/>
          <w:lang w:val="es-MX"/>
        </w:rPr>
        <w:t>encuentra</w:t>
      </w:r>
      <w:r w:rsidRPr="00835FFE">
        <w:rPr>
          <w:rFonts w:ascii="Verdana" w:hAnsi="Verdana" w:eastAsia="Arial,"/>
          <w:lang w:val="es-MX"/>
        </w:rPr>
        <w:t xml:space="preserve"> </w:t>
      </w:r>
      <w:r w:rsidRPr="00835FFE">
        <w:rPr>
          <w:rFonts w:ascii="Verdana" w:hAnsi="Verdana" w:eastAsia="Arial"/>
          <w:lang w:val="es-MX"/>
        </w:rPr>
        <w:t>suspendido,</w:t>
      </w:r>
      <w:r w:rsidRPr="00835FFE">
        <w:rPr>
          <w:rFonts w:ascii="Verdana" w:hAnsi="Verdana" w:eastAsia="Arial,"/>
          <w:lang w:val="es-MX"/>
        </w:rPr>
        <w:t xml:space="preserve"> </w:t>
      </w:r>
      <w:r w:rsidRPr="00835FFE">
        <w:rPr>
          <w:rFonts w:ascii="Verdana" w:hAnsi="Verdana" w:eastAsia="Arial"/>
          <w:lang w:val="es-MX"/>
        </w:rPr>
        <w:t>el</w:t>
      </w:r>
      <w:r w:rsidRPr="00835FFE">
        <w:rPr>
          <w:rFonts w:ascii="Verdana" w:hAnsi="Verdana" w:eastAsia="Arial,"/>
          <w:lang w:val="es-MX"/>
        </w:rPr>
        <w:t xml:space="preserve"> </w:t>
      </w:r>
      <w:r w:rsidRPr="00835FFE">
        <w:rPr>
          <w:rFonts w:ascii="Verdana" w:hAnsi="Verdana" w:eastAsia="Arial"/>
          <w:lang w:val="es-MX"/>
        </w:rPr>
        <w:t>cálculo</w:t>
      </w:r>
      <w:r w:rsidRPr="00835FFE">
        <w:rPr>
          <w:rFonts w:ascii="Verdana" w:hAnsi="Verdana" w:eastAsia="Arial,"/>
          <w:lang w:val="es-MX"/>
        </w:rPr>
        <w:t xml:space="preserve"> </w:t>
      </w:r>
      <w:r w:rsidRPr="00835FFE">
        <w:rPr>
          <w:rFonts w:ascii="Verdana" w:hAnsi="Verdana" w:eastAsia="Arial"/>
          <w:lang w:val="es-MX"/>
        </w:rPr>
        <w:t>del</w:t>
      </w:r>
      <w:r w:rsidRPr="00835FFE">
        <w:rPr>
          <w:rFonts w:ascii="Verdana" w:hAnsi="Verdana" w:eastAsia="Arial,"/>
          <w:lang w:val="es-MX"/>
        </w:rPr>
        <w:t xml:space="preserve"> </w:t>
      </w:r>
      <w:r w:rsidRPr="00835FFE">
        <w:rPr>
          <w:rFonts w:ascii="Verdana" w:hAnsi="Verdana" w:eastAsia="Arial"/>
          <w:lang w:val="es-MX"/>
        </w:rPr>
        <w:t>(SCE)</w:t>
      </w:r>
      <w:r w:rsidRPr="00835FFE">
        <w:rPr>
          <w:rFonts w:ascii="Verdana" w:hAnsi="Verdana" w:eastAsia="Arial,"/>
          <w:lang w:val="es-MX"/>
        </w:rPr>
        <w:t xml:space="preserve"> </w:t>
      </w:r>
      <w:r w:rsidRPr="00835FFE">
        <w:rPr>
          <w:rFonts w:ascii="Verdana" w:hAnsi="Verdana" w:eastAsia="Arial"/>
          <w:lang w:val="es-MX"/>
        </w:rPr>
        <w:t>de</w:t>
      </w:r>
      <w:r w:rsidRPr="00835FFE">
        <w:rPr>
          <w:rFonts w:ascii="Verdana" w:hAnsi="Verdana" w:eastAsia="Arial,"/>
          <w:lang w:val="es-MX"/>
        </w:rPr>
        <w:t xml:space="preserve"> </w:t>
      </w:r>
      <w:r w:rsidRPr="00835FFE">
        <w:rPr>
          <w:rFonts w:ascii="Verdana" w:hAnsi="Verdana" w:eastAsia="Arial"/>
          <w:lang w:val="es-MX"/>
        </w:rPr>
        <w:t>dicho</w:t>
      </w:r>
      <w:r w:rsidRPr="00835FFE">
        <w:rPr>
          <w:rFonts w:ascii="Verdana" w:hAnsi="Verdana" w:eastAsia="Arial,"/>
          <w:lang w:val="es-MX"/>
        </w:rPr>
        <w:t xml:space="preserve"> </w:t>
      </w:r>
      <w:r w:rsidRPr="00835FFE">
        <w:rPr>
          <w:rFonts w:ascii="Verdana" w:hAnsi="Verdana" w:eastAsia="Arial"/>
          <w:lang w:val="es-MX"/>
        </w:rPr>
        <w:t>contrato</w:t>
      </w:r>
      <w:r w:rsidRPr="00835FFE">
        <w:rPr>
          <w:rFonts w:ascii="Verdana" w:hAnsi="Verdana" w:eastAsia="Arial,"/>
          <w:lang w:val="es-MX"/>
        </w:rPr>
        <w:t xml:space="preserve"> </w:t>
      </w:r>
      <w:r w:rsidRPr="00835FFE">
        <w:rPr>
          <w:rFonts w:ascii="Verdana" w:hAnsi="Verdana" w:eastAsia="Arial"/>
          <w:lang w:val="es-MX"/>
        </w:rPr>
        <w:t>debe</w:t>
      </w:r>
      <w:r w:rsidRPr="00835FFE">
        <w:rPr>
          <w:rFonts w:ascii="Verdana" w:hAnsi="Verdana" w:eastAsia="Arial,"/>
          <w:lang w:val="es-MX"/>
        </w:rPr>
        <w:t xml:space="preserve"> </w:t>
      </w:r>
      <w:r w:rsidRPr="00835FFE">
        <w:rPr>
          <w:rFonts w:ascii="Verdana" w:hAnsi="Verdana" w:eastAsia="Arial"/>
          <w:lang w:val="es-MX"/>
        </w:rPr>
        <w:t>efectuarse</w:t>
      </w:r>
      <w:r w:rsidRPr="00835FFE">
        <w:rPr>
          <w:rFonts w:ascii="Verdana" w:hAnsi="Verdana" w:eastAsia="Arial,"/>
          <w:lang w:val="es-MX"/>
        </w:rPr>
        <w:t xml:space="preserve"> </w:t>
      </w:r>
      <w:r w:rsidRPr="00835FFE">
        <w:rPr>
          <w:rFonts w:ascii="Verdana" w:hAnsi="Verdana" w:eastAsia="Arial"/>
          <w:lang w:val="es-MX"/>
        </w:rPr>
        <w:t>asumiendo</w:t>
      </w:r>
      <w:r w:rsidRPr="00835FFE">
        <w:rPr>
          <w:rFonts w:ascii="Verdana" w:hAnsi="Verdana" w:eastAsia="Arial,"/>
          <w:lang w:val="es-MX"/>
        </w:rPr>
        <w:t xml:space="preserve"> </w:t>
      </w:r>
      <w:r w:rsidRPr="00835FFE">
        <w:rPr>
          <w:rFonts w:ascii="Verdana" w:hAnsi="Verdana" w:eastAsia="Arial"/>
          <w:lang w:val="es-MX"/>
        </w:rPr>
        <w:t>que</w:t>
      </w:r>
      <w:r w:rsidRPr="00835FFE">
        <w:rPr>
          <w:rFonts w:ascii="Verdana" w:hAnsi="Verdana" w:eastAsia="Arial,"/>
          <w:lang w:val="es-MX"/>
        </w:rPr>
        <w:t xml:space="preserve"> </w:t>
      </w:r>
      <w:r w:rsidRPr="00835FFE">
        <w:rPr>
          <w:rFonts w:ascii="Verdana" w:hAnsi="Verdana" w:eastAsia="Arial"/>
          <w:lang w:val="es-MX"/>
        </w:rPr>
        <w:t>lo</w:t>
      </w:r>
      <w:r w:rsidRPr="00835FFE">
        <w:rPr>
          <w:rFonts w:ascii="Verdana" w:hAnsi="Verdana" w:eastAsia="Arial,"/>
          <w:lang w:val="es-MX"/>
        </w:rPr>
        <w:t xml:space="preserve"> </w:t>
      </w:r>
      <w:r w:rsidRPr="00835FFE">
        <w:rPr>
          <w:rFonts w:ascii="Verdana" w:hAnsi="Verdana" w:eastAsia="Arial"/>
          <w:lang w:val="es-MX"/>
        </w:rPr>
        <w:t>que</w:t>
      </w:r>
      <w:r w:rsidRPr="00835FFE">
        <w:rPr>
          <w:rFonts w:ascii="Verdana" w:hAnsi="Verdana" w:eastAsia="Arial,"/>
          <w:lang w:val="es-MX"/>
        </w:rPr>
        <w:t xml:space="preserve"> </w:t>
      </w:r>
      <w:r w:rsidRPr="00835FFE">
        <w:rPr>
          <w:rFonts w:ascii="Verdana" w:hAnsi="Verdana" w:eastAsia="Arial"/>
          <w:lang w:val="es-MX"/>
        </w:rPr>
        <w:t>falta</w:t>
      </w:r>
      <w:r w:rsidRPr="00835FFE">
        <w:rPr>
          <w:rFonts w:ascii="Verdana" w:hAnsi="Verdana" w:eastAsia="Arial,"/>
          <w:lang w:val="es-MX"/>
        </w:rPr>
        <w:t xml:space="preserve"> </w:t>
      </w:r>
      <w:r w:rsidRPr="00835FFE">
        <w:rPr>
          <w:rFonts w:ascii="Verdana" w:hAnsi="Verdana" w:eastAsia="Arial"/>
          <w:lang w:val="es-MX"/>
        </w:rPr>
        <w:t>por</w:t>
      </w:r>
      <w:r w:rsidRPr="00835FFE">
        <w:rPr>
          <w:rFonts w:ascii="Verdana" w:hAnsi="Verdana" w:eastAsia="Arial,"/>
          <w:lang w:val="es-MX"/>
        </w:rPr>
        <w:t xml:space="preserve"> </w:t>
      </w:r>
      <w:r w:rsidRPr="00835FFE">
        <w:rPr>
          <w:rFonts w:ascii="Verdana" w:hAnsi="Verdana" w:eastAsia="Arial"/>
          <w:lang w:val="es-MX"/>
        </w:rPr>
        <w:t>ejecutar</w:t>
      </w:r>
      <w:r w:rsidRPr="00835FFE">
        <w:rPr>
          <w:rFonts w:ascii="Verdana" w:hAnsi="Verdana" w:eastAsia="Arial,"/>
          <w:lang w:val="es-MX"/>
        </w:rPr>
        <w:t xml:space="preserve"> </w:t>
      </w:r>
      <w:r w:rsidRPr="00835FFE">
        <w:rPr>
          <w:rFonts w:ascii="Verdana" w:hAnsi="Verdana" w:eastAsia="Arial"/>
          <w:lang w:val="es-MX"/>
        </w:rPr>
        <w:t>iniciara</w:t>
      </w:r>
      <w:r w:rsidRPr="00835FFE">
        <w:rPr>
          <w:rFonts w:ascii="Verdana" w:hAnsi="Verdana" w:eastAsia="Arial,"/>
          <w:lang w:val="es-MX"/>
        </w:rPr>
        <w:t xml:space="preserve"> </w:t>
      </w:r>
      <w:r w:rsidRPr="00835FFE">
        <w:rPr>
          <w:rFonts w:ascii="Verdana" w:hAnsi="Verdana" w:eastAsia="Arial"/>
          <w:lang w:val="es-MX"/>
        </w:rPr>
        <w:t>en</w:t>
      </w:r>
      <w:r w:rsidRPr="00835FFE">
        <w:rPr>
          <w:rFonts w:ascii="Verdana" w:hAnsi="Verdana" w:eastAsia="Arial,"/>
          <w:lang w:val="es-MX"/>
        </w:rPr>
        <w:t xml:space="preserve"> </w:t>
      </w:r>
      <w:r w:rsidRPr="00835FFE">
        <w:rPr>
          <w:rFonts w:ascii="Verdana" w:hAnsi="Verdana" w:eastAsia="Arial"/>
          <w:lang w:val="es-MX"/>
        </w:rPr>
        <w:t>la</w:t>
      </w:r>
      <w:r w:rsidRPr="00835FFE">
        <w:rPr>
          <w:rFonts w:ascii="Verdana" w:hAnsi="Verdana" w:eastAsia="Arial,"/>
          <w:lang w:val="es-MX"/>
        </w:rPr>
        <w:t xml:space="preserve"> </w:t>
      </w:r>
      <w:r w:rsidRPr="00835FFE">
        <w:rPr>
          <w:rFonts w:ascii="Verdana" w:hAnsi="Verdana" w:eastAsia="Arial"/>
          <w:lang w:val="es-MX"/>
        </w:rPr>
        <w:t>fecha de</w:t>
      </w:r>
      <w:r w:rsidRPr="00835FFE">
        <w:rPr>
          <w:rFonts w:ascii="Verdana" w:hAnsi="Verdana" w:eastAsia="Arial,"/>
          <w:lang w:val="es-MX"/>
        </w:rPr>
        <w:t xml:space="preserve"> </w:t>
      </w:r>
      <w:r w:rsidRPr="00835FFE">
        <w:rPr>
          <w:rFonts w:ascii="Verdana" w:hAnsi="Verdana" w:eastAsia="Arial"/>
          <w:lang w:val="es-MX"/>
        </w:rPr>
        <w:t>presentación</w:t>
      </w:r>
      <w:r w:rsidRPr="00835FFE">
        <w:rPr>
          <w:rFonts w:ascii="Verdana" w:hAnsi="Verdana" w:eastAsia="Arial,"/>
          <w:lang w:val="es-MX"/>
        </w:rPr>
        <w:t xml:space="preserve"> </w:t>
      </w:r>
      <w:r w:rsidRPr="00835FFE">
        <w:rPr>
          <w:rFonts w:ascii="Verdana" w:hAnsi="Verdana" w:eastAsia="Arial"/>
          <w:lang w:val="es-MX"/>
        </w:rPr>
        <w:t>de</w:t>
      </w:r>
      <w:r w:rsidRPr="00835FFE">
        <w:rPr>
          <w:rFonts w:ascii="Verdana" w:hAnsi="Verdana" w:eastAsia="Arial,"/>
          <w:lang w:val="es-MX"/>
        </w:rPr>
        <w:t xml:space="preserve"> </w:t>
      </w:r>
      <w:r w:rsidRPr="00835FFE">
        <w:rPr>
          <w:rFonts w:ascii="Verdana" w:hAnsi="Verdana" w:eastAsia="Arial"/>
          <w:lang w:val="es-MX"/>
        </w:rPr>
        <w:t>la</w:t>
      </w:r>
      <w:r w:rsidRPr="00835FFE">
        <w:rPr>
          <w:rFonts w:ascii="Verdana" w:hAnsi="Verdana" w:eastAsia="Arial,"/>
          <w:lang w:val="es-MX"/>
        </w:rPr>
        <w:t xml:space="preserve"> </w:t>
      </w:r>
      <w:r w:rsidRPr="00835FFE">
        <w:rPr>
          <w:rFonts w:ascii="Verdana" w:hAnsi="Verdana" w:eastAsia="Arial"/>
          <w:lang w:val="es-MX"/>
        </w:rPr>
        <w:t>oferta</w:t>
      </w:r>
      <w:r w:rsidRPr="00835FFE">
        <w:rPr>
          <w:rFonts w:ascii="Verdana" w:hAnsi="Verdana" w:eastAsia="Arial,"/>
          <w:lang w:val="es-MX"/>
        </w:rPr>
        <w:t xml:space="preserve"> </w:t>
      </w:r>
      <w:r w:rsidRPr="00835FFE">
        <w:rPr>
          <w:rFonts w:ascii="Verdana" w:hAnsi="Verdana" w:eastAsia="Arial"/>
          <w:lang w:val="es-MX"/>
        </w:rPr>
        <w:t>del</w:t>
      </w:r>
      <w:r w:rsidRPr="00835FFE">
        <w:rPr>
          <w:rFonts w:ascii="Verdana" w:hAnsi="Verdana" w:eastAsia="Arial,"/>
          <w:lang w:val="es-MX"/>
        </w:rPr>
        <w:t xml:space="preserve"> </w:t>
      </w:r>
      <w:r w:rsidRPr="00835FFE">
        <w:rPr>
          <w:rFonts w:ascii="Verdana" w:hAnsi="Verdana" w:eastAsia="Arial"/>
          <w:lang w:val="es-MX"/>
        </w:rPr>
        <w:t>Proceso de Contratación.</w:t>
      </w:r>
      <w:r w:rsidRPr="00835FFE">
        <w:rPr>
          <w:rFonts w:ascii="Verdana" w:hAnsi="Verdana" w:eastAsia="Arial,"/>
          <w:lang w:val="es-MX"/>
        </w:rPr>
        <w:t xml:space="preserve"> </w:t>
      </w:r>
      <w:r w:rsidRPr="00835FFE">
        <w:rPr>
          <w:rFonts w:ascii="Verdana" w:hAnsi="Verdana" w:eastAsia="Arial"/>
          <w:lang w:val="es-MX"/>
        </w:rPr>
        <w:t>Si</w:t>
      </w:r>
      <w:r w:rsidRPr="00835FFE">
        <w:rPr>
          <w:rFonts w:ascii="Verdana" w:hAnsi="Verdana" w:eastAsia="Arial,"/>
          <w:lang w:val="es-MX"/>
        </w:rPr>
        <w:t xml:space="preserve"> </w:t>
      </w:r>
      <w:r w:rsidRPr="00835FFE">
        <w:rPr>
          <w:rFonts w:ascii="Verdana" w:hAnsi="Verdana" w:eastAsia="Arial"/>
          <w:lang w:val="es-MX"/>
        </w:rPr>
        <w:t>el</w:t>
      </w:r>
      <w:r w:rsidRPr="00835FFE">
        <w:rPr>
          <w:rFonts w:ascii="Verdana" w:hAnsi="Verdana" w:eastAsia="Arial,"/>
          <w:lang w:val="es-MX"/>
        </w:rPr>
        <w:t xml:space="preserve"> </w:t>
      </w:r>
      <w:r w:rsidRPr="00835FFE">
        <w:rPr>
          <w:rFonts w:ascii="Verdana" w:hAnsi="Verdana" w:eastAsia="Arial"/>
          <w:lang w:val="es-MX"/>
        </w:rPr>
        <w:t>contrato</w:t>
      </w:r>
      <w:r w:rsidRPr="00835FFE">
        <w:rPr>
          <w:rFonts w:ascii="Verdana" w:hAnsi="Verdana" w:eastAsia="Arial,"/>
          <w:lang w:val="es-MX"/>
        </w:rPr>
        <w:t xml:space="preserve"> </w:t>
      </w:r>
      <w:r w:rsidRPr="00835FFE">
        <w:rPr>
          <w:rFonts w:ascii="Verdana" w:hAnsi="Verdana" w:eastAsia="Arial"/>
          <w:lang w:val="es-MX"/>
        </w:rPr>
        <w:t>está</w:t>
      </w:r>
      <w:r w:rsidRPr="00835FFE">
        <w:rPr>
          <w:rFonts w:ascii="Verdana" w:hAnsi="Verdana" w:eastAsia="Arial,"/>
          <w:lang w:val="es-MX"/>
        </w:rPr>
        <w:t xml:space="preserve"> </w:t>
      </w:r>
      <w:r w:rsidRPr="00835FFE">
        <w:rPr>
          <w:rFonts w:ascii="Verdana" w:hAnsi="Verdana" w:eastAsia="Arial"/>
          <w:lang w:val="es-MX"/>
        </w:rPr>
        <w:t>suspendido</w:t>
      </w:r>
      <w:r w:rsidRPr="00835FFE">
        <w:rPr>
          <w:rFonts w:ascii="Verdana" w:hAnsi="Verdana" w:eastAsia="Arial,"/>
          <w:lang w:val="es-MX"/>
        </w:rPr>
        <w:t xml:space="preserve"> </w:t>
      </w:r>
      <w:r w:rsidRPr="00835FFE">
        <w:rPr>
          <w:rFonts w:ascii="Verdana" w:hAnsi="Verdana" w:eastAsia="Arial"/>
          <w:lang w:val="es-MX"/>
        </w:rPr>
        <w:t>el</w:t>
      </w:r>
      <w:r w:rsidRPr="00835FFE">
        <w:rPr>
          <w:rFonts w:ascii="Verdana" w:hAnsi="Verdana" w:eastAsia="Arial,"/>
          <w:lang w:val="es-MX"/>
        </w:rPr>
        <w:t xml:space="preserve"> </w:t>
      </w:r>
      <w:r w:rsidRPr="00835FFE">
        <w:rPr>
          <w:rFonts w:ascii="Verdana" w:hAnsi="Verdana" w:eastAsia="Arial"/>
          <w:lang w:val="es-MX"/>
        </w:rPr>
        <w:t>Proponente</w:t>
      </w:r>
      <w:r w:rsidRPr="00835FFE">
        <w:rPr>
          <w:rFonts w:ascii="Verdana" w:hAnsi="Verdana" w:eastAsia="Arial,"/>
          <w:lang w:val="es-MX"/>
        </w:rPr>
        <w:t xml:space="preserve"> </w:t>
      </w:r>
      <w:r w:rsidRPr="00835FFE">
        <w:rPr>
          <w:rFonts w:ascii="Verdana" w:hAnsi="Verdana" w:eastAsia="Arial"/>
          <w:lang w:val="es-MX"/>
        </w:rPr>
        <w:t>debe</w:t>
      </w:r>
      <w:r w:rsidRPr="00835FFE">
        <w:rPr>
          <w:rFonts w:ascii="Verdana" w:hAnsi="Verdana" w:eastAsia="Arial,"/>
          <w:lang w:val="es-MX"/>
        </w:rPr>
        <w:t xml:space="preserve"> </w:t>
      </w:r>
      <w:r w:rsidRPr="00835FFE">
        <w:rPr>
          <w:rFonts w:ascii="Verdana" w:hAnsi="Verdana" w:eastAsia="Arial"/>
          <w:lang w:val="es-MX"/>
        </w:rPr>
        <w:t>informar</w:t>
      </w:r>
      <w:r w:rsidRPr="00835FFE">
        <w:rPr>
          <w:rFonts w:ascii="Verdana" w:hAnsi="Verdana" w:eastAsia="Arial,"/>
          <w:lang w:val="es-MX"/>
        </w:rPr>
        <w:t xml:space="preserve"> </w:t>
      </w:r>
      <w:r w:rsidRPr="00835FFE">
        <w:rPr>
          <w:rFonts w:ascii="Verdana" w:hAnsi="Verdana" w:eastAsia="Arial"/>
          <w:lang w:val="es-MX"/>
        </w:rPr>
        <w:t>el</w:t>
      </w:r>
      <w:r w:rsidRPr="00835FFE">
        <w:rPr>
          <w:rFonts w:ascii="Verdana" w:hAnsi="Verdana" w:eastAsia="Arial,"/>
          <w:lang w:val="es-MX"/>
        </w:rPr>
        <w:t xml:space="preserve"> </w:t>
      </w:r>
      <w:r w:rsidRPr="00835FFE">
        <w:rPr>
          <w:rFonts w:ascii="Verdana" w:hAnsi="Verdana" w:eastAsia="Arial"/>
          <w:lang w:val="es-MX"/>
        </w:rPr>
        <w:t>saldo</w:t>
      </w:r>
      <w:r w:rsidRPr="00835FFE">
        <w:rPr>
          <w:rFonts w:ascii="Verdana" w:hAnsi="Verdana" w:eastAsia="Arial,"/>
          <w:lang w:val="es-MX"/>
        </w:rPr>
        <w:t xml:space="preserve"> </w:t>
      </w:r>
      <w:r w:rsidRPr="00835FFE">
        <w:rPr>
          <w:rFonts w:ascii="Verdana" w:hAnsi="Verdana" w:eastAsia="Arial"/>
          <w:lang w:val="es-MX"/>
        </w:rPr>
        <w:t>pendiente</w:t>
      </w:r>
      <w:r w:rsidRPr="00835FFE">
        <w:rPr>
          <w:rFonts w:ascii="Verdana" w:hAnsi="Verdana" w:eastAsia="Arial,"/>
          <w:lang w:val="es-MX"/>
        </w:rPr>
        <w:t xml:space="preserve"> </w:t>
      </w:r>
      <w:r w:rsidRPr="00835FFE">
        <w:rPr>
          <w:rFonts w:ascii="Verdana" w:hAnsi="Verdana" w:eastAsia="Arial"/>
          <w:lang w:val="es-MX"/>
        </w:rPr>
        <w:t>por</w:t>
      </w:r>
      <w:r w:rsidRPr="00835FFE">
        <w:rPr>
          <w:rFonts w:ascii="Verdana" w:hAnsi="Verdana" w:eastAsia="Arial,"/>
          <w:lang w:val="es-MX"/>
        </w:rPr>
        <w:t xml:space="preserve"> </w:t>
      </w:r>
      <w:r w:rsidRPr="00835FFE">
        <w:rPr>
          <w:rFonts w:ascii="Verdana" w:hAnsi="Verdana" w:eastAsia="Arial"/>
          <w:lang w:val="es-MX"/>
        </w:rPr>
        <w:t>ejecutar</w:t>
      </w:r>
      <w:bookmarkEnd w:id="11"/>
      <w:r w:rsidRPr="00835FFE">
        <w:rPr>
          <w:rFonts w:ascii="Verdana" w:hAnsi="Verdana" w:eastAsia="Arial"/>
          <w:lang w:val="es-MX"/>
        </w:rPr>
        <w:t>.</w:t>
      </w:r>
      <w:r w:rsidRPr="00835FFE">
        <w:rPr>
          <w:rFonts w:ascii="Verdana" w:hAnsi="Verdana" w:eastAsia="Arial"/>
          <w:i/>
          <w:iCs/>
          <w:lang w:val="es-MX"/>
        </w:rPr>
        <w:t xml:space="preserve"> </w:t>
      </w:r>
    </w:p>
    <w:p w:rsidRPr="00835FFE" w:rsidR="00835FFE" w:rsidP="00835FFE" w:rsidRDefault="00835FFE" w14:paraId="5C6270D3" w14:textId="77777777">
      <w:pPr>
        <w:spacing w:after="0"/>
        <w:ind w:left="1134" w:right="709" w:hanging="425"/>
        <w:jc w:val="both"/>
        <w:rPr>
          <w:rFonts w:ascii="Verdana" w:hAnsi="Verdana" w:eastAsia="Arial"/>
          <w:lang w:val="es-MX"/>
        </w:rPr>
      </w:pPr>
      <w:r w:rsidRPr="00835FFE">
        <w:rPr>
          <w:rFonts w:ascii="Verdana" w:hAnsi="Verdana" w:eastAsia="Arial"/>
          <w:lang w:val="es-MX"/>
        </w:rPr>
        <w:t xml:space="preserve">V.  </w:t>
      </w:r>
      <w:bookmarkStart w:name="_Hlk100140164" w:id="12"/>
      <w:r w:rsidRPr="00835FFE">
        <w:rPr>
          <w:rFonts w:ascii="Verdana" w:hAnsi="Verdana"/>
        </w:rPr>
        <w:t>El</w:t>
      </w:r>
      <w:r w:rsidRPr="00835FFE">
        <w:rPr>
          <w:rFonts w:ascii="Verdana" w:hAnsi="Verdana" w:eastAsia="Arial"/>
        </w:rPr>
        <w:t xml:space="preserve"> </w:t>
      </w:r>
      <w:r w:rsidRPr="00835FFE">
        <w:rPr>
          <w:rFonts w:ascii="Verdana" w:hAnsi="Verdana"/>
        </w:rPr>
        <w:t>cálculo</w:t>
      </w:r>
      <w:r w:rsidRPr="00835FFE">
        <w:rPr>
          <w:rFonts w:ascii="Verdana" w:hAnsi="Verdana" w:eastAsia="Arial"/>
        </w:rPr>
        <w:t xml:space="preserve"> </w:t>
      </w:r>
      <w:r w:rsidRPr="00835FFE">
        <w:rPr>
          <w:rFonts w:ascii="Verdana" w:hAnsi="Verdana"/>
        </w:rPr>
        <w:t>del</w:t>
      </w:r>
      <w:r w:rsidRPr="00835FFE">
        <w:rPr>
          <w:rFonts w:ascii="Verdana" w:hAnsi="Verdana" w:eastAsia="Arial"/>
        </w:rPr>
        <w:t xml:space="preserve"> </w:t>
      </w:r>
      <w:r w:rsidRPr="00835FFE">
        <w:rPr>
          <w:rFonts w:ascii="Verdana" w:hAnsi="Verdana"/>
        </w:rPr>
        <w:t>factor</w:t>
      </w:r>
      <w:r w:rsidRPr="00835FFE">
        <w:rPr>
          <w:rFonts w:ascii="Verdana" w:hAnsi="Verdana" w:eastAsia="Arial"/>
        </w:rPr>
        <w:t xml:space="preserve"> </w:t>
      </w:r>
      <w:r w:rsidRPr="00835FFE">
        <w:rPr>
          <w:rFonts w:ascii="Verdana" w:hAnsi="Verdana"/>
        </w:rPr>
        <w:t>(SCE)</w:t>
      </w:r>
      <w:r w:rsidRPr="00835FFE">
        <w:rPr>
          <w:rFonts w:ascii="Verdana" w:hAnsi="Verdana" w:eastAsia="Arial"/>
        </w:rPr>
        <w:t xml:space="preserve"> </w:t>
      </w:r>
      <w:r w:rsidRPr="00835FFE">
        <w:rPr>
          <w:rFonts w:ascii="Verdana" w:hAnsi="Verdana"/>
        </w:rPr>
        <w:t>debe</w:t>
      </w:r>
      <w:r w:rsidRPr="00835FFE">
        <w:rPr>
          <w:rFonts w:ascii="Verdana" w:hAnsi="Verdana" w:eastAsia="Arial"/>
        </w:rPr>
        <w:t xml:space="preserve"> </w:t>
      </w:r>
      <w:r w:rsidRPr="00835FFE">
        <w:rPr>
          <w:rFonts w:ascii="Verdana" w:hAnsi="Verdana"/>
        </w:rPr>
        <w:t>hacerse</w:t>
      </w:r>
      <w:r w:rsidRPr="00835FFE">
        <w:rPr>
          <w:rFonts w:ascii="Verdana" w:hAnsi="Verdana" w:eastAsia="Arial"/>
        </w:rPr>
        <w:t xml:space="preserve"> </w:t>
      </w:r>
      <w:r w:rsidRPr="00835FFE">
        <w:rPr>
          <w:rFonts w:ascii="Verdana" w:hAnsi="Verdana"/>
        </w:rPr>
        <w:t>linealmente</w:t>
      </w:r>
      <w:r w:rsidRPr="00835FFE">
        <w:rPr>
          <w:rFonts w:ascii="Verdana" w:hAnsi="Verdana" w:eastAsia="Arial"/>
        </w:rPr>
        <w:t xml:space="preserve"> </w:t>
      </w:r>
      <w:r w:rsidRPr="00835FFE">
        <w:rPr>
          <w:rFonts w:ascii="Verdana" w:hAnsi="Verdana"/>
        </w:rPr>
        <w:t>calculando</w:t>
      </w:r>
      <w:r w:rsidRPr="00835FFE">
        <w:rPr>
          <w:rFonts w:ascii="Verdana" w:hAnsi="Verdana" w:eastAsia="Arial"/>
        </w:rPr>
        <w:t xml:space="preserve"> </w:t>
      </w:r>
      <w:r w:rsidRPr="00835FFE">
        <w:rPr>
          <w:rFonts w:ascii="Verdana" w:hAnsi="Verdana"/>
        </w:rPr>
        <w:t>una</w:t>
      </w:r>
      <w:r w:rsidRPr="00835FFE">
        <w:rPr>
          <w:rFonts w:ascii="Verdana" w:hAnsi="Verdana" w:eastAsia="Arial"/>
        </w:rPr>
        <w:t xml:space="preserve"> </w:t>
      </w:r>
      <w:r w:rsidRPr="00835FFE">
        <w:rPr>
          <w:rFonts w:ascii="Verdana" w:hAnsi="Verdana"/>
        </w:rPr>
        <w:t>ejecución</w:t>
      </w:r>
      <w:r w:rsidRPr="00835FFE">
        <w:rPr>
          <w:rFonts w:ascii="Verdana" w:hAnsi="Verdana" w:eastAsia="Arial"/>
        </w:rPr>
        <w:t xml:space="preserve"> </w:t>
      </w:r>
      <w:r w:rsidRPr="00835FFE">
        <w:rPr>
          <w:rFonts w:ascii="Verdana" w:hAnsi="Verdana"/>
        </w:rPr>
        <w:t>diaria</w:t>
      </w:r>
      <w:r w:rsidRPr="00835FFE">
        <w:rPr>
          <w:rFonts w:ascii="Verdana" w:hAnsi="Verdana" w:eastAsia="Arial"/>
        </w:rPr>
        <w:t xml:space="preserve"> </w:t>
      </w:r>
      <w:r w:rsidRPr="00835FFE">
        <w:rPr>
          <w:rFonts w:ascii="Verdana" w:hAnsi="Verdana"/>
        </w:rPr>
        <w:t>equivalente</w:t>
      </w:r>
      <w:r w:rsidRPr="00835FFE">
        <w:rPr>
          <w:rFonts w:ascii="Verdana" w:hAnsi="Verdana" w:eastAsia="Arial"/>
        </w:rPr>
        <w:t xml:space="preserve"> </w:t>
      </w:r>
      <w:r w:rsidRPr="00835FFE">
        <w:rPr>
          <w:rFonts w:ascii="Verdana" w:hAnsi="Verdana"/>
        </w:rPr>
        <w:t>al</w:t>
      </w:r>
      <w:r w:rsidRPr="00835FFE">
        <w:rPr>
          <w:rFonts w:ascii="Verdana" w:hAnsi="Verdana" w:eastAsia="Arial"/>
        </w:rPr>
        <w:t xml:space="preserve"> </w:t>
      </w:r>
      <w:r w:rsidRPr="00835FFE">
        <w:rPr>
          <w:rFonts w:ascii="Verdana" w:hAnsi="Verdana"/>
        </w:rPr>
        <w:t>valor</w:t>
      </w:r>
      <w:r w:rsidRPr="00835FFE">
        <w:rPr>
          <w:rFonts w:ascii="Verdana" w:hAnsi="Verdana" w:eastAsia="Arial"/>
        </w:rPr>
        <w:t xml:space="preserve"> </w:t>
      </w:r>
      <w:r w:rsidRPr="00835FFE">
        <w:rPr>
          <w:rFonts w:ascii="Verdana" w:hAnsi="Verdana"/>
        </w:rPr>
        <w:t>del</w:t>
      </w:r>
      <w:r w:rsidRPr="00835FFE">
        <w:rPr>
          <w:rFonts w:ascii="Verdana" w:hAnsi="Verdana" w:eastAsia="Arial"/>
        </w:rPr>
        <w:t xml:space="preserve"> </w:t>
      </w:r>
      <w:r w:rsidRPr="00835FFE">
        <w:rPr>
          <w:rFonts w:ascii="Verdana" w:hAnsi="Verdana"/>
        </w:rPr>
        <w:t>contrato</w:t>
      </w:r>
      <w:r w:rsidRPr="00835FFE">
        <w:rPr>
          <w:rFonts w:ascii="Verdana" w:hAnsi="Verdana" w:eastAsia="Arial"/>
        </w:rPr>
        <w:t xml:space="preserve"> </w:t>
      </w:r>
      <w:r w:rsidRPr="00835FFE">
        <w:rPr>
          <w:rFonts w:ascii="Verdana" w:hAnsi="Verdana"/>
        </w:rPr>
        <w:t>dividido</w:t>
      </w:r>
      <w:r w:rsidRPr="00835FFE">
        <w:rPr>
          <w:rFonts w:ascii="Verdana" w:hAnsi="Verdana" w:eastAsia="Arial"/>
        </w:rPr>
        <w:t xml:space="preserve"> </w:t>
      </w:r>
      <w:r w:rsidRPr="00835FFE">
        <w:rPr>
          <w:rFonts w:ascii="Verdana" w:hAnsi="Verdana"/>
        </w:rPr>
        <w:t>por</w:t>
      </w:r>
      <w:r w:rsidRPr="00835FFE">
        <w:rPr>
          <w:rFonts w:ascii="Verdana" w:hAnsi="Verdana" w:eastAsia="Arial"/>
        </w:rPr>
        <w:t xml:space="preserve"> </w:t>
      </w:r>
      <w:r w:rsidRPr="00835FFE">
        <w:rPr>
          <w:rFonts w:ascii="Verdana" w:hAnsi="Verdana"/>
        </w:rPr>
        <w:t>el</w:t>
      </w:r>
      <w:r w:rsidRPr="00835FFE">
        <w:rPr>
          <w:rFonts w:ascii="Verdana" w:hAnsi="Verdana" w:eastAsia="Arial"/>
        </w:rPr>
        <w:t xml:space="preserve"> </w:t>
      </w:r>
      <w:r w:rsidRPr="00835FFE">
        <w:rPr>
          <w:rFonts w:ascii="Verdana" w:hAnsi="Verdana"/>
        </w:rPr>
        <w:t>plazo</w:t>
      </w:r>
      <w:r w:rsidRPr="00835FFE">
        <w:rPr>
          <w:rFonts w:ascii="Verdana" w:hAnsi="Verdana" w:eastAsia="Arial"/>
        </w:rPr>
        <w:t xml:space="preserve"> </w:t>
      </w:r>
      <w:r w:rsidRPr="00835FFE">
        <w:rPr>
          <w:rFonts w:ascii="Verdana" w:hAnsi="Verdana"/>
        </w:rPr>
        <w:t>del</w:t>
      </w:r>
      <w:r w:rsidRPr="00835FFE">
        <w:rPr>
          <w:rFonts w:ascii="Verdana" w:hAnsi="Verdana" w:eastAsia="Arial"/>
        </w:rPr>
        <w:t xml:space="preserve"> </w:t>
      </w:r>
      <w:r w:rsidRPr="00835FFE">
        <w:rPr>
          <w:rFonts w:ascii="Verdana" w:hAnsi="Verdana"/>
        </w:rPr>
        <w:t>contrato</w:t>
      </w:r>
      <w:r w:rsidRPr="00835FFE">
        <w:rPr>
          <w:rFonts w:ascii="Verdana" w:hAnsi="Verdana" w:eastAsia="Arial"/>
        </w:rPr>
        <w:t xml:space="preserve"> </w:t>
      </w:r>
      <w:r w:rsidRPr="00835FFE">
        <w:rPr>
          <w:rFonts w:ascii="Verdana" w:hAnsi="Verdana"/>
        </w:rPr>
        <w:t>expresado</w:t>
      </w:r>
      <w:r w:rsidRPr="00835FFE">
        <w:rPr>
          <w:rFonts w:ascii="Verdana" w:hAnsi="Verdana" w:eastAsia="Arial"/>
        </w:rPr>
        <w:t xml:space="preserve"> </w:t>
      </w:r>
      <w:r w:rsidRPr="00835FFE">
        <w:rPr>
          <w:rFonts w:ascii="Verdana" w:hAnsi="Verdana"/>
        </w:rPr>
        <w:t>en</w:t>
      </w:r>
      <w:r w:rsidRPr="00835FFE">
        <w:rPr>
          <w:rFonts w:ascii="Verdana" w:hAnsi="Verdana" w:eastAsia="Arial"/>
        </w:rPr>
        <w:t xml:space="preserve"> </w:t>
      </w:r>
      <w:r w:rsidRPr="00835FFE">
        <w:rPr>
          <w:rFonts w:ascii="Verdana" w:hAnsi="Verdana"/>
        </w:rPr>
        <w:t>días.</w:t>
      </w:r>
      <w:r w:rsidRPr="00835FFE">
        <w:rPr>
          <w:rFonts w:ascii="Verdana" w:hAnsi="Verdana" w:eastAsia="Arial"/>
        </w:rPr>
        <w:t xml:space="preserve"> </w:t>
      </w:r>
      <w:r w:rsidRPr="00835FFE">
        <w:rPr>
          <w:rFonts w:ascii="Verdana" w:hAnsi="Verdana"/>
        </w:rPr>
        <w:t>Este</w:t>
      </w:r>
      <w:r w:rsidRPr="00835FFE">
        <w:rPr>
          <w:rFonts w:ascii="Verdana" w:hAnsi="Verdana" w:eastAsia="Arial"/>
        </w:rPr>
        <w:t xml:space="preserve"> </w:t>
      </w:r>
      <w:r w:rsidRPr="00835FFE">
        <w:rPr>
          <w:rFonts w:ascii="Verdana" w:hAnsi="Verdana"/>
        </w:rPr>
        <w:t>resultado</w:t>
      </w:r>
      <w:r w:rsidRPr="00835FFE">
        <w:rPr>
          <w:rFonts w:ascii="Verdana" w:hAnsi="Verdana" w:eastAsia="Arial"/>
        </w:rPr>
        <w:t xml:space="preserve"> </w:t>
      </w:r>
      <w:r w:rsidRPr="00835FFE">
        <w:rPr>
          <w:rFonts w:ascii="Verdana" w:hAnsi="Verdana"/>
        </w:rPr>
        <w:t>se</w:t>
      </w:r>
      <w:r w:rsidRPr="00835FFE">
        <w:rPr>
          <w:rFonts w:ascii="Verdana" w:hAnsi="Verdana" w:eastAsia="Arial"/>
        </w:rPr>
        <w:t xml:space="preserve"> </w:t>
      </w:r>
      <w:r w:rsidRPr="00835FFE">
        <w:rPr>
          <w:rFonts w:ascii="Verdana" w:hAnsi="Verdana"/>
        </w:rPr>
        <w:t>multiplica</w:t>
      </w:r>
      <w:r w:rsidRPr="00835FFE">
        <w:rPr>
          <w:rFonts w:ascii="Verdana" w:hAnsi="Verdana" w:eastAsia="Arial"/>
        </w:rPr>
        <w:t xml:space="preserve"> </w:t>
      </w:r>
      <w:r w:rsidRPr="00835FFE">
        <w:rPr>
          <w:rFonts w:ascii="Verdana" w:hAnsi="Verdana"/>
        </w:rPr>
        <w:t>por</w:t>
      </w:r>
      <w:r w:rsidRPr="00835FFE">
        <w:rPr>
          <w:rFonts w:ascii="Verdana" w:hAnsi="Verdana" w:eastAsia="Arial"/>
        </w:rPr>
        <w:t xml:space="preserve"> </w:t>
      </w:r>
      <w:r w:rsidRPr="00835FFE">
        <w:rPr>
          <w:rFonts w:ascii="Verdana" w:hAnsi="Verdana"/>
        </w:rPr>
        <w:t>el</w:t>
      </w:r>
      <w:r w:rsidRPr="00835FFE">
        <w:rPr>
          <w:rFonts w:ascii="Verdana" w:hAnsi="Verdana" w:eastAsia="Arial"/>
        </w:rPr>
        <w:t xml:space="preserve"> </w:t>
      </w:r>
      <w:r w:rsidRPr="00835FFE">
        <w:rPr>
          <w:rFonts w:ascii="Verdana" w:hAnsi="Verdana"/>
        </w:rPr>
        <w:t>número</w:t>
      </w:r>
      <w:r w:rsidRPr="00835FFE">
        <w:rPr>
          <w:rFonts w:ascii="Verdana" w:hAnsi="Verdana" w:eastAsia="Arial"/>
        </w:rPr>
        <w:t xml:space="preserve"> </w:t>
      </w:r>
      <w:r w:rsidRPr="00835FFE">
        <w:rPr>
          <w:rFonts w:ascii="Verdana" w:hAnsi="Verdana"/>
        </w:rPr>
        <w:t>de</w:t>
      </w:r>
      <w:r w:rsidRPr="00835FFE">
        <w:rPr>
          <w:rFonts w:ascii="Verdana" w:hAnsi="Verdana" w:eastAsia="Arial"/>
        </w:rPr>
        <w:t xml:space="preserve"> </w:t>
      </w:r>
      <w:r w:rsidRPr="00835FFE">
        <w:rPr>
          <w:rFonts w:ascii="Verdana" w:hAnsi="Verdana"/>
        </w:rPr>
        <w:t>días</w:t>
      </w:r>
      <w:r w:rsidRPr="00835FFE">
        <w:rPr>
          <w:rFonts w:ascii="Verdana" w:hAnsi="Verdana" w:eastAsia="Arial"/>
        </w:rPr>
        <w:t xml:space="preserve"> </w:t>
      </w:r>
      <w:r w:rsidRPr="00835FFE">
        <w:rPr>
          <w:rFonts w:ascii="Verdana" w:hAnsi="Verdana"/>
        </w:rPr>
        <w:t>pendientes</w:t>
      </w:r>
      <w:r w:rsidRPr="00835FFE">
        <w:rPr>
          <w:rFonts w:ascii="Verdana" w:hAnsi="Verdana" w:eastAsia="Arial"/>
        </w:rPr>
        <w:t xml:space="preserve"> </w:t>
      </w:r>
      <w:r w:rsidRPr="00835FFE">
        <w:rPr>
          <w:rFonts w:ascii="Verdana" w:hAnsi="Verdana"/>
        </w:rPr>
        <w:t>para</w:t>
      </w:r>
      <w:r w:rsidRPr="00835FFE">
        <w:rPr>
          <w:rFonts w:ascii="Verdana" w:hAnsi="Verdana" w:eastAsia="Arial"/>
        </w:rPr>
        <w:t xml:space="preserve"> </w:t>
      </w:r>
      <w:r w:rsidRPr="00835FFE">
        <w:rPr>
          <w:rFonts w:ascii="Verdana" w:hAnsi="Verdana"/>
        </w:rPr>
        <w:t>cumplir</w:t>
      </w:r>
      <w:r w:rsidRPr="00835FFE">
        <w:rPr>
          <w:rFonts w:ascii="Verdana" w:hAnsi="Verdana" w:eastAsia="Arial"/>
        </w:rPr>
        <w:t xml:space="preserve"> </w:t>
      </w:r>
      <w:r w:rsidRPr="00835FFE">
        <w:rPr>
          <w:rFonts w:ascii="Verdana" w:hAnsi="Verdana"/>
        </w:rPr>
        <w:t>el</w:t>
      </w:r>
      <w:r w:rsidRPr="00835FFE">
        <w:rPr>
          <w:rFonts w:ascii="Verdana" w:hAnsi="Verdana" w:eastAsia="Arial"/>
        </w:rPr>
        <w:t xml:space="preserve"> </w:t>
      </w:r>
      <w:r w:rsidRPr="00835FFE">
        <w:rPr>
          <w:rFonts w:ascii="Verdana" w:hAnsi="Verdana"/>
        </w:rPr>
        <w:t>plazo</w:t>
      </w:r>
      <w:r w:rsidRPr="00835FFE">
        <w:rPr>
          <w:rFonts w:ascii="Verdana" w:hAnsi="Verdana" w:eastAsia="Arial"/>
        </w:rPr>
        <w:t xml:space="preserve"> </w:t>
      </w:r>
      <w:r w:rsidRPr="00835FFE">
        <w:rPr>
          <w:rFonts w:ascii="Verdana" w:hAnsi="Verdana"/>
        </w:rPr>
        <w:t>del</w:t>
      </w:r>
      <w:r w:rsidRPr="00835FFE">
        <w:rPr>
          <w:rFonts w:ascii="Verdana" w:hAnsi="Verdana" w:eastAsia="Arial"/>
        </w:rPr>
        <w:t xml:space="preserve"> </w:t>
      </w:r>
      <w:r w:rsidRPr="00835FFE">
        <w:rPr>
          <w:rFonts w:ascii="Verdana" w:hAnsi="Verdana"/>
        </w:rPr>
        <w:t>contrato</w:t>
      </w:r>
      <w:r w:rsidRPr="00835FFE">
        <w:rPr>
          <w:rFonts w:ascii="Verdana" w:hAnsi="Verdana" w:eastAsia="Arial"/>
        </w:rPr>
        <w:t xml:space="preserve"> </w:t>
      </w:r>
      <w:r w:rsidRPr="00835FFE">
        <w:rPr>
          <w:rFonts w:ascii="Verdana" w:hAnsi="Verdana"/>
        </w:rPr>
        <w:t>y</w:t>
      </w:r>
      <w:r w:rsidRPr="00835FFE">
        <w:rPr>
          <w:rFonts w:ascii="Verdana" w:hAnsi="Verdana" w:eastAsia="Arial"/>
        </w:rPr>
        <w:t xml:space="preserve"> </w:t>
      </w:r>
      <w:r w:rsidRPr="00835FFE">
        <w:rPr>
          <w:rFonts w:ascii="Verdana" w:hAnsi="Verdana"/>
        </w:rPr>
        <w:t>si</w:t>
      </w:r>
      <w:r w:rsidRPr="00835FFE">
        <w:rPr>
          <w:rFonts w:ascii="Verdana" w:hAnsi="Verdana" w:eastAsia="Arial"/>
        </w:rPr>
        <w:t xml:space="preserve"> </w:t>
      </w:r>
      <w:r w:rsidRPr="00835FFE">
        <w:rPr>
          <w:rFonts w:ascii="Verdana" w:hAnsi="Verdana"/>
        </w:rPr>
        <w:t>el</w:t>
      </w:r>
      <w:r w:rsidRPr="00835FFE">
        <w:rPr>
          <w:rFonts w:ascii="Verdana" w:hAnsi="Verdana" w:eastAsia="Arial"/>
        </w:rPr>
        <w:t xml:space="preserve"> </w:t>
      </w:r>
      <w:r w:rsidRPr="00835FFE">
        <w:rPr>
          <w:rFonts w:ascii="Verdana" w:hAnsi="Verdana"/>
        </w:rPr>
        <w:t>contrato</w:t>
      </w:r>
      <w:r w:rsidRPr="00835FFE">
        <w:rPr>
          <w:rFonts w:ascii="Verdana" w:hAnsi="Verdana" w:eastAsia="Arial"/>
        </w:rPr>
        <w:t xml:space="preserve"> </w:t>
      </w:r>
      <w:r w:rsidRPr="00835FFE">
        <w:rPr>
          <w:rFonts w:ascii="Verdana" w:hAnsi="Verdana"/>
        </w:rPr>
        <w:t>es</w:t>
      </w:r>
      <w:r w:rsidRPr="00835FFE">
        <w:rPr>
          <w:rFonts w:ascii="Verdana" w:hAnsi="Verdana" w:eastAsia="Arial"/>
        </w:rPr>
        <w:t xml:space="preserve"> </w:t>
      </w:r>
      <w:r w:rsidRPr="00835FFE">
        <w:rPr>
          <w:rFonts w:ascii="Verdana" w:hAnsi="Verdana"/>
        </w:rPr>
        <w:t>ejecutado</w:t>
      </w:r>
      <w:r w:rsidRPr="00835FFE">
        <w:rPr>
          <w:rFonts w:ascii="Verdana" w:hAnsi="Verdana" w:eastAsia="Arial"/>
        </w:rPr>
        <w:t xml:space="preserve"> </w:t>
      </w:r>
      <w:r w:rsidRPr="00835FFE">
        <w:rPr>
          <w:rFonts w:ascii="Verdana" w:hAnsi="Verdana"/>
        </w:rPr>
        <w:t>por</w:t>
      </w:r>
      <w:r w:rsidRPr="00835FFE">
        <w:rPr>
          <w:rFonts w:ascii="Verdana" w:hAnsi="Verdana" w:eastAsia="Arial"/>
        </w:rPr>
        <w:t xml:space="preserve"> </w:t>
      </w:r>
      <w:r w:rsidRPr="00835FFE">
        <w:rPr>
          <w:rFonts w:ascii="Verdana" w:hAnsi="Verdana"/>
        </w:rPr>
        <w:t>una estructura plural</w:t>
      </w:r>
      <w:r w:rsidRPr="00835FFE">
        <w:rPr>
          <w:rFonts w:ascii="Verdana" w:hAnsi="Verdana" w:eastAsia="Arial"/>
        </w:rPr>
        <w:t xml:space="preserve"> </w:t>
      </w:r>
      <w:r w:rsidRPr="00835FFE">
        <w:rPr>
          <w:rFonts w:ascii="Verdana" w:hAnsi="Verdana"/>
        </w:rPr>
        <w:t>por</w:t>
      </w:r>
      <w:r w:rsidRPr="00835FFE">
        <w:rPr>
          <w:rFonts w:ascii="Verdana" w:hAnsi="Verdana" w:eastAsia="Arial"/>
        </w:rPr>
        <w:t xml:space="preserve"> </w:t>
      </w:r>
      <w:r w:rsidRPr="00835FFE">
        <w:rPr>
          <w:rFonts w:ascii="Verdana" w:hAnsi="Verdana"/>
        </w:rPr>
        <w:t>la</w:t>
      </w:r>
      <w:r w:rsidRPr="00835FFE">
        <w:rPr>
          <w:rFonts w:ascii="Verdana" w:hAnsi="Verdana" w:eastAsia="Arial"/>
        </w:rPr>
        <w:t xml:space="preserve"> </w:t>
      </w:r>
      <w:r w:rsidRPr="00835FFE">
        <w:rPr>
          <w:rFonts w:ascii="Verdana" w:hAnsi="Verdana"/>
        </w:rPr>
        <w:t>participación</w:t>
      </w:r>
      <w:r w:rsidRPr="00835FFE">
        <w:rPr>
          <w:rFonts w:ascii="Verdana" w:hAnsi="Verdana" w:eastAsia="Arial"/>
        </w:rPr>
        <w:t xml:space="preserve"> </w:t>
      </w:r>
      <w:r w:rsidRPr="00835FFE">
        <w:rPr>
          <w:rFonts w:ascii="Verdana" w:hAnsi="Verdana"/>
        </w:rPr>
        <w:t>del</w:t>
      </w:r>
      <w:r w:rsidRPr="00835FFE">
        <w:rPr>
          <w:rFonts w:ascii="Verdana" w:hAnsi="Verdana" w:eastAsia="Arial"/>
        </w:rPr>
        <w:t xml:space="preserve"> </w:t>
      </w:r>
      <w:r w:rsidRPr="00835FFE">
        <w:rPr>
          <w:rFonts w:ascii="Verdana" w:hAnsi="Verdana"/>
        </w:rPr>
        <w:t>Proponente</w:t>
      </w:r>
      <w:r w:rsidRPr="00835FFE">
        <w:rPr>
          <w:rFonts w:ascii="Verdana" w:hAnsi="Verdana" w:eastAsia="Arial"/>
        </w:rPr>
        <w:t xml:space="preserve"> </w:t>
      </w:r>
      <w:r w:rsidRPr="00835FFE">
        <w:rPr>
          <w:rFonts w:ascii="Verdana" w:hAnsi="Verdana"/>
        </w:rPr>
        <w:t>en</w:t>
      </w:r>
      <w:r w:rsidRPr="00835FFE">
        <w:rPr>
          <w:rFonts w:ascii="Verdana" w:hAnsi="Verdana" w:eastAsia="Arial"/>
        </w:rPr>
        <w:t xml:space="preserve"> </w:t>
      </w:r>
      <w:r w:rsidRPr="00835FFE">
        <w:rPr>
          <w:rFonts w:ascii="Verdana" w:hAnsi="Verdana"/>
        </w:rPr>
        <w:t>la respectiva estructura</w:t>
      </w:r>
      <w:bookmarkEnd w:id="12"/>
      <w:r w:rsidRPr="00835FFE">
        <w:rPr>
          <w:rFonts w:ascii="Verdana" w:hAnsi="Verdana"/>
        </w:rPr>
        <w:t xml:space="preserve">. </w:t>
      </w:r>
    </w:p>
    <w:p w:rsidRPr="00835FFE" w:rsidR="00835FFE" w:rsidP="00835FFE" w:rsidRDefault="00835FFE" w14:paraId="478F256B" w14:textId="77777777">
      <w:pPr>
        <w:spacing w:after="0" w:line="276" w:lineRule="auto"/>
        <w:jc w:val="both"/>
        <w:rPr>
          <w:rFonts w:ascii="Verdana" w:hAnsi="Verdana" w:eastAsia="Arial,"/>
          <w:lang w:val="es-MX"/>
        </w:rPr>
      </w:pPr>
    </w:p>
    <w:p w:rsidRPr="00835FFE" w:rsidR="00835FFE" w:rsidP="00835FFE" w:rsidRDefault="00835FFE" w14:paraId="599B60BF" w14:textId="77777777">
      <w:pPr>
        <w:pStyle w:val="Prrafodelista"/>
        <w:numPr>
          <w:ilvl w:val="0"/>
          <w:numId w:val="20"/>
        </w:numPr>
        <w:spacing w:after="0" w:line="276" w:lineRule="auto"/>
        <w:jc w:val="both"/>
        <w:rPr>
          <w:rFonts w:ascii="Verdana" w:hAnsi="Verdana"/>
        </w:rPr>
      </w:pPr>
      <w:r w:rsidRPr="00835FFE">
        <w:rPr>
          <w:rFonts w:ascii="Verdana" w:hAnsi="Verdana" w:eastAsia="Arial,"/>
        </w:rPr>
        <w:t xml:space="preserve">Como se aprecia, los apartados transcritos del documento base están en armonía con lo dispuesto en la </w:t>
      </w:r>
      <w:r w:rsidRPr="00835FFE">
        <w:rPr>
          <w:rFonts w:ascii="Verdana" w:hAnsi="Verdana"/>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835FFE">
        <w:rPr>
          <w:rFonts w:ascii="Verdana" w:hAnsi="Verdana" w:eastAsia="Calibri"/>
          <w:color w:val="000000" w:themeColor="text1"/>
          <w:lang w:val="es-MX"/>
        </w:rPr>
        <w:t xml:space="preserve">el artículo 2.2.1.1.1.6.4 del Decreto 1082 de 2015, en virtud del cual, para efectos de </w:t>
      </w:r>
      <w:r w:rsidRPr="00835FFE">
        <w:rPr>
          <w:rFonts w:ascii="Verdana" w:hAnsi="Verdana"/>
          <w:lang w:val="es-MX"/>
        </w:rPr>
        <w:t xml:space="preserve">acreditar la capacidad residual del proponente, se requiere el listado de contratos de obra civiles en ejecución suscritos con entidades estatales y con entidades privadas. </w:t>
      </w:r>
    </w:p>
    <w:p w:rsidRPr="00835FFE" w:rsidR="00835FFE" w:rsidP="00835FFE" w:rsidRDefault="00835FFE" w14:paraId="38DB6849" w14:textId="77777777">
      <w:pPr>
        <w:spacing w:after="0" w:line="276" w:lineRule="auto"/>
        <w:ind w:firstLine="708"/>
        <w:jc w:val="both"/>
        <w:rPr>
          <w:rFonts w:ascii="Verdana" w:hAnsi="Verdana"/>
          <w:color w:val="000000" w:themeColor="text1"/>
        </w:rPr>
      </w:pPr>
    </w:p>
    <w:p w:rsidRPr="00835FFE" w:rsidR="00835FFE" w:rsidP="00835FFE" w:rsidRDefault="00835FFE" w14:paraId="543C9DBF" w14:textId="77777777">
      <w:pPr>
        <w:widowControl w:val="0"/>
        <w:autoSpaceDE w:val="0"/>
        <w:autoSpaceDN w:val="0"/>
        <w:spacing w:after="0" w:line="276" w:lineRule="auto"/>
        <w:ind w:left="708" w:hanging="708"/>
        <w:jc w:val="both"/>
        <w:rPr>
          <w:rFonts w:ascii="Verdana" w:hAnsi="Verdana"/>
        </w:rPr>
      </w:pPr>
    </w:p>
    <w:p w:rsidRPr="00835FFE" w:rsidR="00835FFE" w:rsidP="00835FFE" w:rsidRDefault="00835FFE" w14:paraId="347C9170"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b/>
          <w:bCs/>
        </w:rPr>
      </w:pPr>
      <w:r w:rsidRPr="00835FFE">
        <w:rPr>
          <w:rFonts w:ascii="Verdana" w:hAnsi="Verdana" w:eastAsia="Century Gothic"/>
          <w:b/>
          <w:bCs/>
        </w:rPr>
        <w:t>Referencias normativas, jurisprudenciales y otras fuentes:</w:t>
      </w:r>
    </w:p>
    <w:p w:rsidRPr="00835FFE" w:rsidR="00835FFE" w:rsidP="00835FFE" w:rsidRDefault="00835FFE" w14:paraId="29E4427E" w14:textId="77777777">
      <w:pPr>
        <w:widowControl w:val="0"/>
        <w:autoSpaceDE w:val="0"/>
        <w:autoSpaceDN w:val="0"/>
        <w:spacing w:after="0" w:line="276" w:lineRule="auto"/>
        <w:jc w:val="both"/>
        <w:rPr>
          <w:rFonts w:ascii="Verdana" w:hAnsi="Verdana"/>
        </w:rPr>
      </w:pPr>
    </w:p>
    <w:tbl>
      <w:tblPr>
        <w:tblStyle w:val="Tablaconcuadrcula"/>
        <w:tblW w:w="8647"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7"/>
      </w:tblGrid>
      <w:tr w:rsidRPr="00835FFE" w:rsidR="00835FFE" w:rsidTr="00B35555" w14:paraId="6F613F43" w14:textId="77777777">
        <w:trPr>
          <w:trHeight w:val="870"/>
        </w:trPr>
        <w:tc>
          <w:tcPr>
            <w:tcW w:w="8647" w:type="dxa"/>
          </w:tcPr>
          <w:p w:rsidRPr="00835FFE" w:rsidR="00835FFE" w:rsidP="00835FFE" w:rsidRDefault="00835FFE" w14:paraId="34D79638" w14:textId="77777777">
            <w:pPr>
              <w:pStyle w:val="Prrafodelista"/>
              <w:widowControl w:val="0"/>
              <w:numPr>
                <w:ilvl w:val="0"/>
                <w:numId w:val="18"/>
              </w:numPr>
              <w:autoSpaceDE w:val="0"/>
              <w:autoSpaceDN w:val="0"/>
              <w:spacing w:after="120" w:line="276" w:lineRule="auto"/>
              <w:jc w:val="both"/>
              <w:rPr>
                <w:rFonts w:ascii="Verdana" w:hAnsi="Verdana"/>
              </w:rPr>
            </w:pPr>
            <w:r w:rsidRPr="00835FFE">
              <w:rPr>
                <w:rFonts w:ascii="Verdana" w:hAnsi="Verdana"/>
              </w:rPr>
              <w:t xml:space="preserve">Ley 2022 de 2020, artículo 1. </w:t>
            </w:r>
          </w:p>
          <w:p w:rsidRPr="00835FFE" w:rsidR="00835FFE" w:rsidP="00835FFE" w:rsidRDefault="00835FFE" w14:paraId="4DAAAFE5" w14:textId="77777777">
            <w:pPr>
              <w:pStyle w:val="Prrafodelista"/>
              <w:widowControl w:val="0"/>
              <w:numPr>
                <w:ilvl w:val="0"/>
                <w:numId w:val="18"/>
              </w:numPr>
              <w:autoSpaceDE w:val="0"/>
              <w:autoSpaceDN w:val="0"/>
              <w:spacing w:after="120" w:line="276" w:lineRule="auto"/>
              <w:jc w:val="both"/>
              <w:rPr>
                <w:rFonts w:ascii="Verdana" w:hAnsi="Verdana"/>
              </w:rPr>
            </w:pPr>
            <w:r w:rsidRPr="00835FFE">
              <w:rPr>
                <w:rFonts w:ascii="Verdana" w:hAnsi="Verdana"/>
              </w:rPr>
              <w:t>Ley 1150 de 2007, artículo 5.</w:t>
            </w:r>
          </w:p>
          <w:p w:rsidRPr="00835FFE" w:rsidR="00835FFE" w:rsidP="00835FFE" w:rsidRDefault="00835FFE" w14:paraId="282ABDF5" w14:textId="77777777">
            <w:pPr>
              <w:pStyle w:val="Prrafodelista"/>
              <w:widowControl w:val="0"/>
              <w:numPr>
                <w:ilvl w:val="0"/>
                <w:numId w:val="18"/>
              </w:numPr>
              <w:autoSpaceDE w:val="0"/>
              <w:autoSpaceDN w:val="0"/>
              <w:spacing w:after="120" w:line="276" w:lineRule="auto"/>
              <w:jc w:val="both"/>
              <w:rPr>
                <w:rFonts w:ascii="Verdana" w:hAnsi="Verdana"/>
              </w:rPr>
            </w:pPr>
            <w:r w:rsidRPr="00835FFE">
              <w:rPr>
                <w:rFonts w:ascii="Verdana" w:hAnsi="Verdana"/>
              </w:rPr>
              <w:t xml:space="preserve">Documentos tipo de licitación de obra pública de infraestructura de transporte – versión 3 –. Resolución 240 de 2020 de la Agencia Nacional de Contratación Pública – Colombia Compra Eficiente. Disponible en: </w:t>
            </w:r>
            <w:hyperlink w:history="1" r:id="rId12">
              <w:r w:rsidRPr="00835FFE">
                <w:rPr>
                  <w:rStyle w:val="Hipervnculo"/>
                  <w:rFonts w:ascii="Verdana" w:hAnsi="Verdana"/>
                </w:rPr>
                <w:t>https://www.colombiacompra.gov.co/content/04-documentos-tipo-para-licitacion-de-obra-publica-de-nfraestructurade-transporte-version</w:t>
              </w:r>
            </w:hyperlink>
          </w:p>
          <w:p w:rsidRPr="00835FFE" w:rsidR="00835FFE" w:rsidP="00835FFE" w:rsidRDefault="00835FFE" w14:paraId="0AC62AB6" w14:textId="77777777">
            <w:pPr>
              <w:pStyle w:val="Prrafodelista"/>
              <w:widowControl w:val="0"/>
              <w:numPr>
                <w:ilvl w:val="0"/>
                <w:numId w:val="18"/>
              </w:numPr>
              <w:autoSpaceDE w:val="0"/>
              <w:autoSpaceDN w:val="0"/>
              <w:spacing w:after="120" w:line="276" w:lineRule="auto"/>
              <w:contextualSpacing w:val="0"/>
              <w:jc w:val="both"/>
              <w:rPr>
                <w:rFonts w:ascii="Verdana" w:hAnsi="Verdana" w:eastAsia="Calibri"/>
                <w:lang w:val="es-ES_tradnl"/>
              </w:rPr>
            </w:pPr>
            <w:r w:rsidRPr="00835FFE">
              <w:rPr>
                <w:rFonts w:ascii="Verdana" w:hAnsi="Verdana"/>
              </w:rPr>
              <w:t xml:space="preserve">Guía para Determinar y Verificar la Capacidad Residual del Proponente en los Procesos de Contratación de Obra Pública. Disponible en: </w:t>
            </w:r>
            <w:hyperlink w:history="1" r:id="rId13">
              <w:r w:rsidRPr="00835FFE">
                <w:rPr>
                  <w:rStyle w:val="Hipervnculo"/>
                  <w:rFonts w:ascii="Verdana" w:hAnsi="Verdana"/>
                </w:rPr>
                <w:t>https://www.colombiacompra.gov.co/manuales-guias-y-pliegostipo/manuales-y-guias</w:t>
              </w:r>
            </w:hyperlink>
            <w:r w:rsidRPr="00835FFE">
              <w:rPr>
                <w:rFonts w:ascii="Verdana" w:hAnsi="Verdana" w:eastAsia="Calibri"/>
                <w:lang w:val="es-ES_tradnl"/>
              </w:rPr>
              <w:t xml:space="preserve"> </w:t>
            </w:r>
          </w:p>
        </w:tc>
      </w:tr>
    </w:tbl>
    <w:p w:rsidRPr="00835FFE" w:rsidR="00835FFE" w:rsidP="00835FFE" w:rsidRDefault="00835FFE" w14:paraId="00C4E18F" w14:textId="77777777">
      <w:pPr>
        <w:widowControl w:val="0"/>
        <w:autoSpaceDE w:val="0"/>
        <w:autoSpaceDN w:val="0"/>
        <w:spacing w:after="0" w:line="276" w:lineRule="auto"/>
        <w:jc w:val="both"/>
        <w:rPr>
          <w:rFonts w:ascii="Verdana" w:hAnsi="Verdana"/>
        </w:rPr>
      </w:pPr>
    </w:p>
    <w:p w:rsidRPr="00835FFE" w:rsidR="00835FFE" w:rsidP="00835FFE" w:rsidRDefault="00835FFE" w14:paraId="1C0DD3F0" w14:textId="77777777">
      <w:pPr>
        <w:widowControl w:val="0"/>
        <w:autoSpaceDE w:val="0"/>
        <w:autoSpaceDN w:val="0"/>
        <w:spacing w:after="0" w:line="276" w:lineRule="auto"/>
        <w:jc w:val="both"/>
        <w:rPr>
          <w:rFonts w:ascii="Verdana" w:hAnsi="Verdana"/>
        </w:rPr>
      </w:pPr>
    </w:p>
    <w:p w:rsidRPr="00835FFE" w:rsidR="00835FFE" w:rsidP="00835FFE" w:rsidRDefault="00835FFE" w14:paraId="59885F60" w14:textId="77777777">
      <w:pPr>
        <w:pStyle w:val="Prrafodelista"/>
        <w:numPr>
          <w:ilvl w:val="0"/>
          <w:numId w:val="16"/>
        </w:numPr>
        <w:tabs>
          <w:tab w:val="left" w:pos="142"/>
          <w:tab w:val="left" w:pos="284"/>
        </w:tabs>
        <w:spacing w:after="0" w:line="276" w:lineRule="auto"/>
        <w:ind w:left="0" w:firstLine="0"/>
        <w:contextualSpacing w:val="0"/>
        <w:jc w:val="both"/>
        <w:rPr>
          <w:rFonts w:ascii="Verdana" w:hAnsi="Verdana" w:eastAsia="Century Gothic"/>
          <w:b/>
          <w:bCs/>
        </w:rPr>
      </w:pPr>
      <w:r w:rsidRPr="00835FFE">
        <w:rPr>
          <w:rFonts w:ascii="Verdana" w:hAnsi="Verdana" w:eastAsia="Century Gothic"/>
          <w:b/>
          <w:bCs/>
        </w:rPr>
        <w:t>Doctrina de la Agencia Nacional de Contratación Pública:</w:t>
      </w:r>
    </w:p>
    <w:p w:rsidRPr="00835FFE" w:rsidR="00835FFE" w:rsidP="00835FFE" w:rsidRDefault="00835FFE" w14:paraId="5FBFCC43" w14:textId="77777777">
      <w:pPr>
        <w:widowControl w:val="0"/>
        <w:autoSpaceDE w:val="0"/>
        <w:autoSpaceDN w:val="0"/>
        <w:spacing w:after="0" w:line="276" w:lineRule="auto"/>
        <w:jc w:val="both"/>
        <w:rPr>
          <w:rFonts w:ascii="Verdana" w:hAnsi="Verdana"/>
        </w:rPr>
      </w:pPr>
    </w:p>
    <w:p w:rsidRPr="00835FFE" w:rsidR="00835FFE" w:rsidP="00835FFE" w:rsidRDefault="00835FFE" w14:paraId="5C0C1B87" w14:textId="77777777">
      <w:pPr>
        <w:widowControl w:val="0"/>
        <w:autoSpaceDE w:val="0"/>
        <w:autoSpaceDN w:val="0"/>
        <w:spacing w:after="0" w:line="276" w:lineRule="auto"/>
        <w:jc w:val="both"/>
        <w:rPr>
          <w:rFonts w:ascii="Verdana" w:hAnsi="Verdana"/>
          <w:shd w:val="clear" w:color="auto" w:fill="FFFFFF"/>
          <w:lang w:val="es-ES"/>
        </w:rPr>
      </w:pPr>
      <w:r w:rsidRPr="00835FFE">
        <w:rPr>
          <w:rStyle w:val="normaltextrun"/>
          <w:rFonts w:ascii="Verdana" w:hAnsi="Verdana"/>
          <w:shd w:val="clear" w:color="auto" w:fill="FFFFFF"/>
          <w:lang w:val="es-ES"/>
        </w:rPr>
        <w:t xml:space="preserve">La Agencia Nacional de Contratación Pública − Colombia Compra Eficiente se pronunció sobre las causales de rechazo incorporadas en los pliegos de condiciones, en los conceptos 2201913000007117 del 25 de septiembre de 2019, 2201913000009538 del 23 de diciembre de 2019, 20240531007971 del 31 de mayo de 2024, C- 716 del 30 de octubre de 2020, C-096 del 24 de marzo de 2021, C-056 del 20 de abril de 2021, C-078 del 15 de marzo de 2022, C-321 del 17 de mayo de 2022, C-113 del 22 de marzo de 2022, C-178, C-186 del 12 de abril de 2022, C-849 de 7 de diciembre de 2022, C- 053 de 28 de marzo de 2023, C-280 del 06 de junio de 2023, C-271 del 15 de agosto de 2023, C-406 del 2 de octubre de 2023, entre otros. Es tos y otros conceptos se encuentran disponibles para consulta en el sistema de relatoría de la Agencia, al cual se puede acceder a través del siguiente enlace: </w:t>
      </w:r>
      <w:r w:rsidRPr="00835FFE">
        <w:rPr>
          <w:rStyle w:val="normaltextrun"/>
          <w:rFonts w:ascii="Verdana" w:hAnsi="Verdana"/>
          <w:u w:val="single"/>
          <w:shd w:val="clear" w:color="auto" w:fill="FFFFFF"/>
          <w:lang w:val="es-ES"/>
        </w:rPr>
        <w:t>https://relatoria.colombiacompra.gov.co/busqueda/conceptos.</w:t>
      </w:r>
      <w:r w:rsidRPr="00835FFE">
        <w:rPr>
          <w:rFonts w:ascii="Verdana" w:hAnsi="Verdana" w:eastAsia="Calibri"/>
          <w:lang w:val="es-ES_tradnl"/>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w:tgtFrame="_blank" w:tooltip="Dirección URL original: https://relatoria.colombiacompra.gov.co/. Haga clic o pulse si confía en este vínculo." w:history="1" r:id="rId14">
        <w:r w:rsidRPr="00835FFE">
          <w:rPr>
            <w:rFonts w:ascii="Verdana" w:hAnsi="Verdana" w:eastAsia="Calibri"/>
            <w:u w:val="single"/>
            <w:lang w:val="es-ES_tradnl"/>
          </w:rPr>
          <w:t>https://relatoria.colombiacompra.gov.co/</w:t>
        </w:r>
      </w:hyperlink>
      <w:r w:rsidRPr="00835FFE">
        <w:rPr>
          <w:rFonts w:ascii="Verdana" w:hAnsi="Verdana" w:eastAsia="Calibri"/>
          <w:u w:val="single"/>
          <w:lang w:val="es-ES_tradnl"/>
        </w:rPr>
        <w:t xml:space="preserve">. </w:t>
      </w:r>
    </w:p>
    <w:p w:rsidRPr="00835FFE" w:rsidR="00835FFE" w:rsidP="00835FFE" w:rsidRDefault="00835FFE" w14:paraId="5788E72D" w14:textId="77777777">
      <w:pPr>
        <w:widowControl w:val="0"/>
        <w:autoSpaceDE w:val="0"/>
        <w:autoSpaceDN w:val="0"/>
        <w:spacing w:after="0" w:line="276" w:lineRule="auto"/>
        <w:jc w:val="both"/>
        <w:rPr>
          <w:rFonts w:ascii="Verdana" w:hAnsi="Verdana" w:eastAsia="Calibri"/>
          <w:lang w:val="es-ES_tradnl"/>
        </w:rPr>
      </w:pPr>
    </w:p>
    <w:p w:rsidRPr="00835FFE" w:rsidR="00835FFE" w:rsidP="321DD53E" w:rsidRDefault="00835FFE" w14:paraId="3A19A115" w14:textId="77777777" w14:noSpellErr="1">
      <w:pPr>
        <w:widowControl w:val="0"/>
        <w:autoSpaceDE w:val="0"/>
        <w:autoSpaceDN w:val="0"/>
        <w:spacing w:after="0" w:line="276" w:lineRule="auto"/>
        <w:jc w:val="both"/>
        <w:rPr>
          <w:rFonts w:ascii="Verdana" w:hAnsi="Verdana" w:eastAsia="Calibri"/>
          <w:u w:val="single"/>
          <w:lang w:val="es-ES"/>
        </w:rPr>
      </w:pPr>
      <w:r w:rsidRPr="321DD53E" w:rsidR="00835FFE">
        <w:rPr>
          <w:rFonts w:ascii="Verdana" w:hAnsi="Verdana" w:eastAsia="Calibri"/>
          <w:lang w:val="es-ES"/>
        </w:rPr>
        <w:t xml:space="preserve">Te invitamos también a revisar la tercera edición </w:t>
      </w:r>
      <w:r w:rsidRPr="321DD53E" w:rsidR="00835FFE">
        <w:rPr>
          <w:rFonts w:ascii="Verdana" w:hAnsi="Verdana" w:eastAsia="Calibri"/>
          <w:lang w:val="es-ES"/>
        </w:rPr>
        <w:t>del  Boletín</w:t>
      </w:r>
      <w:r w:rsidRPr="321DD53E" w:rsidR="00835FFE">
        <w:rPr>
          <w:rFonts w:ascii="Verdana" w:hAnsi="Verdana" w:eastAsia="Calibri"/>
          <w:lang w:val="es-ES"/>
        </w:rPr>
        <w:t xml:space="preserve"> de Relatoría de 2024 en el cual podrás consultar en detalle el marco normativo de documentos tipo: </w:t>
      </w:r>
      <w:hyperlink r:id="R507f50b62e4b4758">
        <w:r w:rsidRPr="321DD53E" w:rsidR="00835FFE">
          <w:rPr>
            <w:rFonts w:ascii="Verdana" w:hAnsi="Verdana" w:eastAsia="Calibri"/>
            <w:u w:val="single"/>
            <w:lang w:val="es-ES"/>
          </w:rPr>
          <w:t>https://www.colombiacompra.gov.co/sites/cce_public/files/files_2020/boletin_de_realtoria_iii.pdf</w:t>
        </w:r>
      </w:hyperlink>
      <w:r w:rsidRPr="321DD53E" w:rsidR="00835FFE">
        <w:rPr>
          <w:rFonts w:ascii="Verdana" w:hAnsi="Verdana" w:eastAsia="Calibri"/>
          <w:u w:val="single"/>
          <w:lang w:val="es-ES"/>
        </w:rPr>
        <w:t>.</w:t>
      </w:r>
    </w:p>
    <w:p w:rsidRPr="00835FFE" w:rsidR="00835FFE" w:rsidP="00835FFE" w:rsidRDefault="00835FFE" w14:paraId="04458683" w14:textId="77777777">
      <w:pPr>
        <w:widowControl w:val="0"/>
        <w:autoSpaceDE w:val="0"/>
        <w:autoSpaceDN w:val="0"/>
        <w:spacing w:after="0" w:line="276" w:lineRule="auto"/>
        <w:jc w:val="both"/>
        <w:rPr>
          <w:rStyle w:val="normaltextrun"/>
          <w:rFonts w:ascii="Verdana" w:hAnsi="Verdana"/>
          <w:color w:val="FF0000"/>
          <w:shd w:val="clear" w:color="auto" w:fill="FFFFFF"/>
          <w:lang w:val="es-ES"/>
        </w:rPr>
      </w:pPr>
      <w:r w:rsidRPr="00835FFE">
        <w:rPr>
          <w:rStyle w:val="normaltextrun"/>
          <w:rFonts w:ascii="Verdana" w:hAnsi="Verdana"/>
          <w:color w:val="FF0000"/>
          <w:shd w:val="clear" w:color="auto" w:fill="FFFFFF"/>
          <w:lang w:val="es-ES"/>
        </w:rPr>
        <w:t xml:space="preserve">   </w:t>
      </w:r>
    </w:p>
    <w:p w:rsidRPr="00835FFE" w:rsidR="00835FFE" w:rsidP="00835FFE" w:rsidRDefault="00835FFE" w14:paraId="7A4607EF" w14:textId="77777777">
      <w:pPr>
        <w:spacing w:after="0" w:line="240" w:lineRule="auto"/>
        <w:jc w:val="both"/>
        <w:rPr>
          <w:rFonts w:ascii="Verdana" w:hAnsi="Verdana"/>
        </w:rPr>
      </w:pPr>
      <w:r w:rsidRPr="00835FFE">
        <w:rPr>
          <w:rFonts w:ascii="Verdana" w:hAnsi="Verdana"/>
        </w:rPr>
        <w:t xml:space="preserve">Por último, lo invitamos a seguirnos en las redes sociales en las cuales se difunde información institucional: </w:t>
      </w:r>
    </w:p>
    <w:p w:rsidRPr="00835FFE" w:rsidR="00835FFE" w:rsidP="00835FFE" w:rsidRDefault="00835FFE" w14:paraId="6BAB4C70" w14:textId="77777777">
      <w:pPr>
        <w:spacing w:after="0" w:line="240" w:lineRule="auto"/>
        <w:jc w:val="both"/>
        <w:rPr>
          <w:rFonts w:ascii="Verdana" w:hAnsi="Verdana"/>
        </w:rPr>
      </w:pPr>
    </w:p>
    <w:p w:rsidRPr="00835FFE" w:rsidR="00835FFE" w:rsidP="00835FFE" w:rsidRDefault="00835FFE" w14:paraId="25A06531" w14:textId="77777777">
      <w:pPr>
        <w:spacing w:after="0" w:line="240" w:lineRule="auto"/>
        <w:jc w:val="both"/>
        <w:rPr>
          <w:rFonts w:ascii="Verdana" w:hAnsi="Verdana"/>
        </w:rPr>
      </w:pPr>
      <w:r w:rsidRPr="00835FFE">
        <w:rPr>
          <w:rFonts w:ascii="Verdana" w:hAnsi="Verdana"/>
        </w:rPr>
        <w:t xml:space="preserve">Twitter: </w:t>
      </w:r>
      <w:r w:rsidRPr="00835FFE">
        <w:rPr>
          <w:rStyle w:val="Hipervnculo"/>
          <w:rFonts w:ascii="Verdana" w:hAnsi="Verdana"/>
          <w:color w:val="4472C4" w:themeColor="accent1"/>
        </w:rPr>
        <w:t>@colombiacompra</w:t>
      </w:r>
      <w:r w:rsidRPr="00835FFE">
        <w:rPr>
          <w:rFonts w:ascii="Verdana" w:hAnsi="Verdana"/>
          <w:color w:val="4472C4" w:themeColor="accent1"/>
        </w:rPr>
        <w:t xml:space="preserve"> </w:t>
      </w:r>
    </w:p>
    <w:p w:rsidRPr="00835FFE" w:rsidR="00835FFE" w:rsidP="00835FFE" w:rsidRDefault="00835FFE" w14:paraId="1556D00F" w14:textId="77777777">
      <w:pPr>
        <w:spacing w:after="0" w:line="240" w:lineRule="auto"/>
        <w:jc w:val="both"/>
        <w:rPr>
          <w:rFonts w:ascii="Verdana" w:hAnsi="Verdana"/>
        </w:rPr>
      </w:pPr>
      <w:r w:rsidRPr="00835FFE">
        <w:rPr>
          <w:rFonts w:ascii="Verdana" w:hAnsi="Verdana"/>
        </w:rPr>
        <w:t xml:space="preserve">Facebook: </w:t>
      </w:r>
      <w:proofErr w:type="spellStart"/>
      <w:r w:rsidRPr="00835FFE">
        <w:rPr>
          <w:rStyle w:val="Hipervnculo"/>
          <w:rFonts w:ascii="Verdana" w:hAnsi="Verdana"/>
          <w:color w:val="4472C4" w:themeColor="accent1"/>
        </w:rPr>
        <w:t>ColombiaCompraEficiente</w:t>
      </w:r>
      <w:proofErr w:type="spellEnd"/>
    </w:p>
    <w:p w:rsidRPr="00835FFE" w:rsidR="00835FFE" w:rsidP="00835FFE" w:rsidRDefault="00835FFE" w14:paraId="3E789F53" w14:textId="77777777">
      <w:pPr>
        <w:spacing w:after="0" w:line="240" w:lineRule="auto"/>
        <w:jc w:val="both"/>
        <w:rPr>
          <w:rFonts w:ascii="Verdana" w:hAnsi="Verdana"/>
        </w:rPr>
      </w:pPr>
      <w:r w:rsidRPr="00835FFE">
        <w:rPr>
          <w:rFonts w:ascii="Verdana" w:hAnsi="Verdana"/>
        </w:rPr>
        <w:t xml:space="preserve">LinkedIn: </w:t>
      </w:r>
      <w:r w:rsidRPr="00835FFE">
        <w:rPr>
          <w:rStyle w:val="Hipervnculo"/>
          <w:rFonts w:ascii="Verdana" w:hAnsi="Verdana"/>
          <w:color w:val="4472C4" w:themeColor="accent1"/>
        </w:rPr>
        <w:t>Agencia Nacional de Contratación Pública - Colombia Compra Eficiente</w:t>
      </w:r>
      <w:r w:rsidRPr="00835FFE">
        <w:rPr>
          <w:rFonts w:ascii="Verdana" w:hAnsi="Verdana"/>
          <w:color w:val="4472C4" w:themeColor="accent1"/>
        </w:rPr>
        <w:t xml:space="preserve"> </w:t>
      </w:r>
      <w:r w:rsidRPr="00835FFE">
        <w:rPr>
          <w:rFonts w:ascii="Verdana" w:hAnsi="Verdana"/>
        </w:rPr>
        <w:t xml:space="preserve">Instagram: </w:t>
      </w:r>
      <w:r w:rsidRPr="00835FFE">
        <w:rPr>
          <w:rStyle w:val="Hipervnculo"/>
          <w:rFonts w:ascii="Verdana" w:hAnsi="Verdana"/>
          <w:color w:val="4472C4" w:themeColor="accent1"/>
        </w:rPr>
        <w:t>@colombiacompraeficiente_cce</w:t>
      </w:r>
    </w:p>
    <w:p w:rsidRPr="00835FFE" w:rsidR="00835FFE" w:rsidP="00835FFE" w:rsidRDefault="00835FFE" w14:paraId="3484FEC2" w14:textId="77777777">
      <w:pPr>
        <w:widowControl w:val="0"/>
        <w:autoSpaceDE w:val="0"/>
        <w:autoSpaceDN w:val="0"/>
        <w:spacing w:after="0" w:line="276" w:lineRule="auto"/>
        <w:jc w:val="both"/>
        <w:rPr>
          <w:rFonts w:ascii="Verdana" w:hAnsi="Verdana"/>
        </w:rPr>
      </w:pPr>
    </w:p>
    <w:p w:rsidR="004967B6" w:rsidP="00835FFE" w:rsidRDefault="004967B6" w14:paraId="242C7E73" w14:textId="77777777">
      <w:pPr>
        <w:widowControl w:val="0"/>
        <w:autoSpaceDE w:val="0"/>
        <w:autoSpaceDN w:val="0"/>
        <w:spacing w:after="0" w:line="276" w:lineRule="auto"/>
        <w:jc w:val="both"/>
        <w:rPr>
          <w:rFonts w:ascii="Verdana" w:hAnsi="Verdana" w:eastAsia="Calibri"/>
          <w:lang w:val="es-ES_tradnl"/>
        </w:rPr>
      </w:pPr>
    </w:p>
    <w:p w:rsidR="004967B6" w:rsidP="00835FFE" w:rsidRDefault="004967B6" w14:paraId="2B8FEBD1" w14:textId="77777777">
      <w:pPr>
        <w:widowControl w:val="0"/>
        <w:autoSpaceDE w:val="0"/>
        <w:autoSpaceDN w:val="0"/>
        <w:spacing w:after="0" w:line="276" w:lineRule="auto"/>
        <w:jc w:val="both"/>
        <w:rPr>
          <w:rFonts w:ascii="Verdana" w:hAnsi="Verdana" w:eastAsia="Calibri"/>
          <w:lang w:val="es-ES_tradnl"/>
        </w:rPr>
      </w:pPr>
    </w:p>
    <w:p w:rsidR="004967B6" w:rsidP="00835FFE" w:rsidRDefault="004967B6" w14:paraId="5055E70D" w14:textId="77777777">
      <w:pPr>
        <w:widowControl w:val="0"/>
        <w:autoSpaceDE w:val="0"/>
        <w:autoSpaceDN w:val="0"/>
        <w:spacing w:after="0" w:line="276" w:lineRule="auto"/>
        <w:jc w:val="both"/>
        <w:rPr>
          <w:rFonts w:ascii="Verdana" w:hAnsi="Verdana" w:eastAsia="Calibri"/>
          <w:lang w:val="es-ES_tradnl"/>
        </w:rPr>
      </w:pPr>
    </w:p>
    <w:p w:rsidR="004967B6" w:rsidP="00835FFE" w:rsidRDefault="004967B6" w14:paraId="785231CB" w14:textId="77777777">
      <w:pPr>
        <w:widowControl w:val="0"/>
        <w:autoSpaceDE w:val="0"/>
        <w:autoSpaceDN w:val="0"/>
        <w:spacing w:after="0" w:line="276" w:lineRule="auto"/>
        <w:jc w:val="both"/>
        <w:rPr>
          <w:rFonts w:ascii="Verdana" w:hAnsi="Verdana" w:eastAsia="Calibri"/>
          <w:lang w:val="es-ES_tradnl"/>
        </w:rPr>
      </w:pPr>
    </w:p>
    <w:p w:rsidR="004967B6" w:rsidP="00835FFE" w:rsidRDefault="004967B6" w14:paraId="21499721" w14:textId="77777777">
      <w:pPr>
        <w:widowControl w:val="0"/>
        <w:autoSpaceDE w:val="0"/>
        <w:autoSpaceDN w:val="0"/>
        <w:spacing w:after="0" w:line="276" w:lineRule="auto"/>
        <w:jc w:val="both"/>
        <w:rPr>
          <w:rFonts w:ascii="Verdana" w:hAnsi="Verdana" w:eastAsia="Calibri"/>
          <w:lang w:val="es-ES_tradnl"/>
        </w:rPr>
      </w:pPr>
    </w:p>
    <w:p w:rsidR="004967B6" w:rsidP="00835FFE" w:rsidRDefault="004967B6" w14:paraId="3395155F" w14:textId="77777777">
      <w:pPr>
        <w:widowControl w:val="0"/>
        <w:autoSpaceDE w:val="0"/>
        <w:autoSpaceDN w:val="0"/>
        <w:spacing w:after="0" w:line="276" w:lineRule="auto"/>
        <w:jc w:val="both"/>
        <w:rPr>
          <w:rFonts w:ascii="Verdana" w:hAnsi="Verdana" w:eastAsia="Calibri"/>
          <w:lang w:val="es-ES_tradnl"/>
        </w:rPr>
      </w:pPr>
    </w:p>
    <w:p w:rsidRPr="00835FFE" w:rsidR="00835FFE" w:rsidP="00835FFE" w:rsidRDefault="00835FFE" w14:paraId="6D2E1684" w14:textId="1F379D2A">
      <w:pPr>
        <w:widowControl w:val="0"/>
        <w:autoSpaceDE w:val="0"/>
        <w:autoSpaceDN w:val="0"/>
        <w:spacing w:after="0" w:line="276" w:lineRule="auto"/>
        <w:jc w:val="both"/>
        <w:rPr>
          <w:rFonts w:ascii="Verdana" w:hAnsi="Verdana" w:eastAsia="Calibri"/>
          <w:lang w:val="es-ES_tradnl"/>
        </w:rPr>
      </w:pPr>
      <w:r w:rsidRPr="00835FFE">
        <w:rPr>
          <w:rFonts w:ascii="Verdana" w:hAnsi="Verdana" w:eastAsia="Calibri"/>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835FFE" w:rsidR="00835FFE" w:rsidP="00835FFE" w:rsidRDefault="00835FFE" w14:paraId="1C22AF14" w14:textId="77777777">
      <w:pPr>
        <w:widowControl w:val="0"/>
        <w:autoSpaceDE w:val="0"/>
        <w:autoSpaceDN w:val="0"/>
        <w:spacing w:after="0" w:line="276" w:lineRule="auto"/>
        <w:jc w:val="both"/>
        <w:rPr>
          <w:rFonts w:ascii="Verdana" w:hAnsi="Verdana"/>
        </w:rPr>
      </w:pPr>
    </w:p>
    <w:p w:rsidRPr="00835FFE" w:rsidR="00835FFE" w:rsidP="00835FFE" w:rsidRDefault="00835FFE" w14:paraId="79A3661B" w14:textId="77777777">
      <w:pPr>
        <w:spacing w:after="0" w:line="240" w:lineRule="auto"/>
        <w:rPr>
          <w:rFonts w:ascii="Verdana" w:hAnsi="Verdana"/>
        </w:rPr>
      </w:pPr>
      <w:r w:rsidRPr="00835FFE">
        <w:rPr>
          <w:rFonts w:ascii="Verdana" w:hAnsi="Verdana"/>
        </w:rPr>
        <w:t xml:space="preserve">Atentamente, </w:t>
      </w:r>
    </w:p>
    <w:p w:rsidR="00DA2EBD" w:rsidP="00DA2EBD" w:rsidRDefault="00DA2EBD" w14:paraId="61E07A0D" w14:textId="77777777">
      <w:pPr>
        <w:spacing w:line="276" w:lineRule="auto"/>
        <w:rPr>
          <w:rFonts w:ascii="Verdana" w:hAnsi="Verdana"/>
          <w:noProof/>
          <w:lang w:val="es-ES_tradnl" w:eastAsia="es-CO"/>
        </w:rPr>
      </w:pPr>
    </w:p>
    <w:p w:rsidRPr="00835FFE" w:rsidR="00DA2EBD" w:rsidP="00835FFE" w:rsidRDefault="00DA2EBD" w14:paraId="57D1EA5D" w14:textId="274B67C2">
      <w:pPr>
        <w:spacing w:line="276" w:lineRule="auto"/>
        <w:jc w:val="center"/>
        <w:rPr>
          <w:rFonts w:ascii="Verdana" w:hAnsi="Verdana"/>
          <w:color w:val="000000"/>
          <w:lang w:val="es-ES_tradnl" w:eastAsia="es-CO"/>
        </w:rPr>
      </w:pPr>
      <w:r w:rsidRPr="002C3AD6">
        <w:rPr>
          <w:rFonts w:ascii="Century Gothic" w:hAnsi="Century Gothic"/>
          <w:noProof/>
        </w:rPr>
        <w:drawing>
          <wp:inline distT="0" distB="0" distL="0" distR="0" wp14:anchorId="12D848A2" wp14:editId="0E672973">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835FFE" w:rsidR="00835FFE" w:rsidTr="321DD53E" w14:paraId="390895E4" w14:textId="77777777">
        <w:trPr>
          <w:trHeight w:val="315"/>
        </w:trPr>
        <w:tc>
          <w:tcPr>
            <w:tcW w:w="893" w:type="dxa"/>
            <w:tcMar/>
            <w:vAlign w:val="center"/>
            <w:hideMark/>
          </w:tcPr>
          <w:p w:rsidRPr="00835FFE" w:rsidR="00835FFE" w:rsidP="00B35555" w:rsidRDefault="00835FFE" w14:paraId="371845F9" w14:textId="77777777">
            <w:pPr>
              <w:contextualSpacing/>
              <w:rPr>
                <w:rFonts w:ascii="Verdana" w:hAnsi="Verdana" w:eastAsia="Calibri"/>
                <w:sz w:val="16"/>
                <w:szCs w:val="16"/>
                <w:lang w:val="es-ES_tradnl"/>
              </w:rPr>
            </w:pPr>
            <w:r w:rsidRPr="00835FFE">
              <w:rPr>
                <w:rFonts w:ascii="Verdana" w:hAnsi="Verdana" w:eastAsia="Calibri"/>
                <w:sz w:val="16"/>
                <w:szCs w:val="16"/>
                <w:lang w:val="es-ES_tradnl"/>
              </w:rPr>
              <w:t>Elaboró:</w:t>
            </w:r>
          </w:p>
        </w:tc>
        <w:tc>
          <w:tcPr>
            <w:tcW w:w="5628" w:type="dxa"/>
            <w:tcBorders>
              <w:top w:val="nil"/>
              <w:left w:val="nil"/>
              <w:bottom w:val="dotted" w:color="7F7F7F" w:themeColor="text1" w:themeTint="80" w:sz="4" w:space="0"/>
              <w:right w:val="nil"/>
            </w:tcBorders>
            <w:tcMar/>
            <w:vAlign w:val="center"/>
            <w:hideMark/>
          </w:tcPr>
          <w:p w:rsidRPr="00835FFE" w:rsidR="00835FFE" w:rsidP="00B35555" w:rsidRDefault="00835FFE" w14:paraId="39411FA6" w14:textId="77777777">
            <w:pPr>
              <w:contextualSpacing/>
              <w:rPr>
                <w:rFonts w:ascii="Verdana" w:hAnsi="Verdana" w:eastAsia="Calibri"/>
                <w:sz w:val="16"/>
                <w:szCs w:val="16"/>
                <w:lang w:val="es-ES_tradnl"/>
              </w:rPr>
            </w:pPr>
            <w:r w:rsidRPr="00835FFE">
              <w:rPr>
                <w:rFonts w:ascii="Verdana" w:hAnsi="Verdana" w:eastAsia="Calibri"/>
                <w:sz w:val="16"/>
                <w:szCs w:val="16"/>
                <w:lang w:val="es-ES_tradnl"/>
              </w:rPr>
              <w:t xml:space="preserve">Diana Carolina Blanco Rodriguez </w:t>
            </w:r>
          </w:p>
          <w:p w:rsidRPr="00835FFE" w:rsidR="00835FFE" w:rsidP="00B35555" w:rsidRDefault="00835FFE" w14:paraId="1267F401" w14:textId="77777777">
            <w:pPr>
              <w:contextualSpacing/>
              <w:rPr>
                <w:rFonts w:ascii="Verdana" w:hAnsi="Verdana" w:eastAsia="Calibri"/>
                <w:sz w:val="16"/>
                <w:szCs w:val="16"/>
                <w:lang w:val="es-ES_tradnl"/>
              </w:rPr>
            </w:pPr>
            <w:r w:rsidRPr="00835FFE">
              <w:rPr>
                <w:rFonts w:ascii="Verdana" w:hAnsi="Verdana" w:eastAsia="Calibri"/>
                <w:sz w:val="16"/>
                <w:szCs w:val="16"/>
                <w:lang w:val="es-ES_tradnl"/>
              </w:rPr>
              <w:t>Contratista de la Subdirección de Gestión Contractual</w:t>
            </w:r>
          </w:p>
        </w:tc>
      </w:tr>
      <w:tr w:rsidRPr="00835FFE" w:rsidR="00835FFE" w:rsidTr="321DD53E" w14:paraId="38F299AC" w14:textId="77777777">
        <w:trPr>
          <w:trHeight w:val="330"/>
        </w:trPr>
        <w:tc>
          <w:tcPr>
            <w:tcW w:w="893" w:type="dxa"/>
            <w:tcMar/>
            <w:vAlign w:val="center"/>
            <w:hideMark/>
          </w:tcPr>
          <w:p w:rsidRPr="00835FFE" w:rsidR="00835FFE" w:rsidP="00B35555" w:rsidRDefault="00835FFE" w14:paraId="196B2944" w14:textId="77777777">
            <w:pPr>
              <w:contextualSpacing/>
              <w:rPr>
                <w:rFonts w:ascii="Verdana" w:hAnsi="Verdana" w:eastAsia="Calibri"/>
                <w:sz w:val="16"/>
                <w:szCs w:val="16"/>
                <w:lang w:val="es-ES_tradnl"/>
              </w:rPr>
            </w:pPr>
            <w:r w:rsidRPr="00835FFE">
              <w:rPr>
                <w:rFonts w:ascii="Verdana" w:hAnsi="Verdana" w:eastAsia="Calibri"/>
                <w:sz w:val="16"/>
                <w:szCs w:val="16"/>
                <w:lang w:val="es-ES_tradnl"/>
              </w:rPr>
              <w:t>Revisó:</w:t>
            </w:r>
          </w:p>
        </w:tc>
        <w:tc>
          <w:tcPr>
            <w:tcW w:w="5628" w:type="dxa"/>
            <w:tcBorders>
              <w:top w:val="dotted" w:color="7F7F7F" w:themeColor="text1" w:themeTint="80" w:sz="4" w:space="0"/>
              <w:left w:val="nil"/>
              <w:bottom w:val="dotted" w:color="7F7F7F" w:themeColor="text1" w:themeTint="80" w:sz="4" w:space="0"/>
              <w:right w:val="nil"/>
            </w:tcBorders>
            <w:tcMar/>
            <w:vAlign w:val="center"/>
            <w:hideMark/>
          </w:tcPr>
          <w:p w:rsidRPr="00835FFE" w:rsidR="00835FFE" w:rsidP="00B35555" w:rsidRDefault="00835FFE" w14:paraId="3F1ADC96" w14:textId="77777777">
            <w:pPr>
              <w:pStyle w:val="paragraph"/>
              <w:spacing w:before="0" w:beforeAutospacing="0" w:after="0" w:afterAutospacing="0"/>
              <w:contextualSpacing/>
              <w:textAlignment w:val="baseline"/>
              <w:rPr>
                <w:rFonts w:ascii="Verdana" w:hAnsi="Verdana" w:eastAsia="Calibri" w:cstheme="minorBidi"/>
                <w:sz w:val="16"/>
                <w:szCs w:val="16"/>
                <w:lang w:val="es-ES_tradnl" w:eastAsia="en-US"/>
              </w:rPr>
            </w:pPr>
            <w:r w:rsidRPr="00835FFE">
              <w:rPr>
                <w:rFonts w:ascii="Verdana" w:hAnsi="Verdana" w:eastAsia="Calibri" w:cstheme="minorBidi"/>
                <w:sz w:val="16"/>
                <w:szCs w:val="16"/>
                <w:lang w:val="es-ES_tradnl" w:eastAsia="en-US"/>
              </w:rPr>
              <w:t>A</w:t>
            </w:r>
            <w:r w:rsidRPr="00835FFE">
              <w:rPr>
                <w:rFonts w:ascii="Verdana" w:hAnsi="Verdana" w:eastAsia="Calibri" w:cstheme="minorBidi"/>
                <w:sz w:val="16"/>
                <w:szCs w:val="16"/>
                <w:lang w:val="es-ES_tradnl"/>
              </w:rPr>
              <w:t xml:space="preserve">driana López </w:t>
            </w:r>
          </w:p>
          <w:p w:rsidRPr="00835FFE" w:rsidR="00835FFE" w:rsidP="00B35555" w:rsidRDefault="00835FFE" w14:paraId="048D39E4" w14:textId="77777777">
            <w:pPr>
              <w:pStyle w:val="paragraph"/>
              <w:spacing w:before="0" w:beforeAutospacing="0" w:after="0" w:afterAutospacing="0"/>
              <w:contextualSpacing/>
              <w:textAlignment w:val="baseline"/>
              <w:rPr>
                <w:rFonts w:ascii="Verdana" w:hAnsi="Verdana" w:eastAsia="Calibri" w:cstheme="minorBidi"/>
                <w:sz w:val="16"/>
                <w:szCs w:val="16"/>
                <w:lang w:val="es-ES_tradnl" w:eastAsia="en-US"/>
              </w:rPr>
            </w:pPr>
            <w:r w:rsidRPr="00835FFE">
              <w:rPr>
                <w:rFonts w:ascii="Verdana" w:hAnsi="Verdana" w:eastAsia="Calibri" w:cstheme="minorBidi"/>
                <w:sz w:val="16"/>
                <w:szCs w:val="16"/>
                <w:lang w:val="es-ES_tradnl" w:eastAsia="en-US"/>
              </w:rPr>
              <w:t>Contratista de la Subdirección de Gestión Contractual </w:t>
            </w:r>
          </w:p>
        </w:tc>
      </w:tr>
      <w:tr w:rsidRPr="00835FFE" w:rsidR="00835FFE" w:rsidTr="321DD53E" w14:paraId="4BCA75BE" w14:textId="77777777">
        <w:trPr>
          <w:trHeight w:val="300"/>
        </w:trPr>
        <w:tc>
          <w:tcPr>
            <w:tcW w:w="893" w:type="dxa"/>
            <w:tcMar/>
            <w:vAlign w:val="center"/>
          </w:tcPr>
          <w:p w:rsidRPr="00835FFE" w:rsidR="00835FFE" w:rsidP="00B35555" w:rsidRDefault="00835FFE" w14:paraId="4DFE3E04" w14:textId="77777777">
            <w:pPr>
              <w:contextualSpacing/>
              <w:rPr>
                <w:rFonts w:ascii="Verdana" w:hAnsi="Verdana" w:eastAsia="Calibri"/>
                <w:sz w:val="16"/>
                <w:szCs w:val="16"/>
                <w:lang w:val="es-ES_tradnl"/>
              </w:rPr>
            </w:pPr>
            <w:r w:rsidRPr="00835FFE">
              <w:rPr>
                <w:rFonts w:ascii="Verdana" w:hAnsi="Verdana" w:eastAsia="Calibri"/>
                <w:sz w:val="16"/>
                <w:szCs w:val="16"/>
                <w:lang w:val="es-ES_tradnl"/>
              </w:rPr>
              <w:t>Aprobó:</w:t>
            </w:r>
          </w:p>
        </w:tc>
        <w:tc>
          <w:tcPr>
            <w:tcW w:w="5628" w:type="dxa"/>
            <w:tcBorders>
              <w:top w:val="dotted" w:color="7F7F7F" w:themeColor="text1" w:themeTint="80" w:sz="4" w:space="0"/>
              <w:left w:val="nil"/>
              <w:bottom w:val="dotted" w:color="7F7F7F" w:themeColor="text1" w:themeTint="80" w:sz="4" w:space="0"/>
              <w:right w:val="nil"/>
            </w:tcBorders>
            <w:tcMar/>
            <w:vAlign w:val="center"/>
          </w:tcPr>
          <w:p w:rsidRPr="00835FFE" w:rsidR="00835FFE" w:rsidP="321DD53E" w:rsidRDefault="00835FFE" w14:paraId="2D9DF3D3" w14:textId="77777777">
            <w:pPr>
              <w:spacing/>
              <w:contextualSpacing/>
              <w:rPr>
                <w:rFonts w:ascii="Verdana" w:hAnsi="Verdana" w:eastAsia="Calibri"/>
                <w:sz w:val="16"/>
                <w:szCs w:val="16"/>
                <w:lang w:val="es-ES"/>
              </w:rPr>
            </w:pPr>
            <w:r w:rsidRPr="321DD53E" w:rsidR="00835FFE">
              <w:rPr>
                <w:rFonts w:ascii="Verdana" w:hAnsi="Verdana" w:eastAsia="Calibri"/>
                <w:sz w:val="16"/>
                <w:szCs w:val="16"/>
                <w:lang w:val="es-ES"/>
              </w:rPr>
              <w:t xml:space="preserve">Carolina Quintero </w:t>
            </w:r>
            <w:r w:rsidRPr="321DD53E" w:rsidR="00835FFE">
              <w:rPr>
                <w:rFonts w:ascii="Verdana" w:hAnsi="Verdana" w:eastAsia="Calibri"/>
                <w:sz w:val="16"/>
                <w:szCs w:val="16"/>
                <w:lang w:val="es-ES"/>
              </w:rPr>
              <w:t>Gacharná</w:t>
            </w:r>
          </w:p>
          <w:p w:rsidRPr="00835FFE" w:rsidR="00835FFE" w:rsidP="00B35555" w:rsidRDefault="00835FFE" w14:paraId="1F9FAD5C" w14:textId="77777777">
            <w:pPr>
              <w:contextualSpacing/>
              <w:rPr>
                <w:rFonts w:ascii="Verdana" w:hAnsi="Verdana" w:eastAsia="Calibri"/>
                <w:sz w:val="16"/>
                <w:szCs w:val="16"/>
                <w:lang w:val="es-ES_tradnl"/>
              </w:rPr>
            </w:pPr>
            <w:r w:rsidRPr="00835FFE">
              <w:rPr>
                <w:rFonts w:ascii="Verdana" w:hAnsi="Verdana" w:eastAsia="Calibri"/>
                <w:sz w:val="16"/>
                <w:szCs w:val="16"/>
                <w:lang w:val="es-ES_tradnl"/>
              </w:rPr>
              <w:t>Subdirectora de Gestión Contractual ANCP – CCE</w:t>
            </w:r>
          </w:p>
        </w:tc>
      </w:tr>
    </w:tbl>
    <w:p w:rsidRPr="00835FFE" w:rsidR="00835FFE" w:rsidP="00835FFE" w:rsidRDefault="00835FFE" w14:paraId="3113D344" w14:textId="77777777">
      <w:pPr>
        <w:spacing w:after="0" w:line="240" w:lineRule="auto"/>
        <w:rPr>
          <w:rFonts w:ascii="Verdana" w:hAnsi="Verdana" w:eastAsia="Times New Roman"/>
          <w:lang w:eastAsia="es-ES"/>
        </w:rPr>
      </w:pPr>
    </w:p>
    <w:p w:rsidRPr="00835FFE" w:rsidR="00835FFE" w:rsidP="00835FFE" w:rsidRDefault="00835FFE" w14:paraId="609C97FD" w14:textId="77777777">
      <w:pPr>
        <w:rPr>
          <w:rFonts w:ascii="Verdana" w:hAnsi="Verdana"/>
        </w:rPr>
      </w:pPr>
    </w:p>
    <w:p w:rsidRPr="00835FFE" w:rsidR="00127233" w:rsidP="00665D70" w:rsidRDefault="00127233" w14:paraId="0F293BF4" w14:textId="7BBFAB11">
      <w:pPr>
        <w:spacing w:after="0"/>
        <w:jc w:val="both"/>
        <w:rPr>
          <w:rFonts w:ascii="Verdana" w:hAnsi="Verdana"/>
        </w:rPr>
      </w:pPr>
    </w:p>
    <w:sectPr w:rsidRPr="00835FFE" w:rsidR="00127233" w:rsidSect="007C0C0F">
      <w:headerReference w:type="default" r:id="rId17"/>
      <w:footerReference w:type="default" r:id="rId18"/>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7401" w:rsidP="004A1847" w:rsidRDefault="00F97401" w14:paraId="24E1A932" w14:textId="77777777">
      <w:pPr>
        <w:spacing w:after="0" w:line="240" w:lineRule="auto"/>
      </w:pPr>
      <w:r>
        <w:separator/>
      </w:r>
    </w:p>
  </w:endnote>
  <w:endnote w:type="continuationSeparator" w:id="0">
    <w:p w:rsidR="00F97401" w:rsidP="004A1847" w:rsidRDefault="00F97401" w14:paraId="17F015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charset w:val="00"/>
    <w:family w:val="auto"/>
    <w:pitch w:val="default"/>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7401" w:rsidP="004A1847" w:rsidRDefault="00F97401" w14:paraId="2E3F9966" w14:textId="77777777">
      <w:pPr>
        <w:spacing w:after="0" w:line="240" w:lineRule="auto"/>
      </w:pPr>
      <w:r>
        <w:separator/>
      </w:r>
    </w:p>
  </w:footnote>
  <w:footnote w:type="continuationSeparator" w:id="0">
    <w:p w:rsidR="00F97401" w:rsidP="004A1847" w:rsidRDefault="00F97401" w14:paraId="09947DAE" w14:textId="77777777">
      <w:pPr>
        <w:spacing w:after="0" w:line="240" w:lineRule="auto"/>
      </w:pPr>
      <w:r>
        <w:continuationSeparator/>
      </w:r>
    </w:p>
  </w:footnote>
  <w:footnote w:id="1">
    <w:p w:rsidRPr="00695BC0" w:rsidR="00835FFE" w:rsidP="00835FFE" w:rsidRDefault="00835FFE" w14:paraId="18DB762D" w14:textId="77777777">
      <w:pPr>
        <w:pStyle w:val="Textonotapie"/>
        <w:rPr>
          <w:lang w:val="es-CO"/>
        </w:rPr>
      </w:pPr>
      <w:r>
        <w:rPr>
          <w:rStyle w:val="Refdenotaalpie"/>
        </w:rPr>
        <w:footnoteRef/>
      </w:r>
      <w:r>
        <w:t xml:space="preserve"> </w:t>
      </w:r>
      <w:r w:rsidRPr="00695BC0">
        <w:t>Consejo de Estado. Sección Tercera. Sentencia del 27 de abril de 2011. Exp. 18.293. C.P. Ruth Stella Correa Palacio.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11.4pt;height:11.4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11A06CC6"/>
    <w:multiLevelType w:val="hybridMultilevel"/>
    <w:tmpl w:val="4C0A994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2" w15:restartNumberingAfterBreak="0">
    <w:nsid w:val="45AF195D"/>
    <w:multiLevelType w:val="hybridMultilevel"/>
    <w:tmpl w:val="6658D2C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153760126">
    <w:abstractNumId w:val="0"/>
  </w:num>
  <w:num w:numId="17" w16cid:durableId="1857033774">
    <w:abstractNumId w:val="6"/>
  </w:num>
  <w:num w:numId="18" w16cid:durableId="1770733962">
    <w:abstractNumId w:val="11"/>
  </w:num>
  <w:num w:numId="19" w16cid:durableId="519853902">
    <w:abstractNumId w:val="3"/>
  </w:num>
  <w:num w:numId="20" w16cid:durableId="13904919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87401"/>
    <w:rsid w:val="001E4177"/>
    <w:rsid w:val="001F7DC6"/>
    <w:rsid w:val="00227240"/>
    <w:rsid w:val="002421BB"/>
    <w:rsid w:val="0025796E"/>
    <w:rsid w:val="002707A2"/>
    <w:rsid w:val="002951A0"/>
    <w:rsid w:val="002962BC"/>
    <w:rsid w:val="002A093D"/>
    <w:rsid w:val="002A0DD0"/>
    <w:rsid w:val="002A49AC"/>
    <w:rsid w:val="002A64FD"/>
    <w:rsid w:val="002B315B"/>
    <w:rsid w:val="002C7A84"/>
    <w:rsid w:val="002E1A29"/>
    <w:rsid w:val="002E4FD9"/>
    <w:rsid w:val="00322A85"/>
    <w:rsid w:val="00324168"/>
    <w:rsid w:val="003448F4"/>
    <w:rsid w:val="00374F5E"/>
    <w:rsid w:val="00377E3E"/>
    <w:rsid w:val="003A26D1"/>
    <w:rsid w:val="003A6FB5"/>
    <w:rsid w:val="003A779E"/>
    <w:rsid w:val="003B4FC4"/>
    <w:rsid w:val="003D0F4D"/>
    <w:rsid w:val="003D5B0D"/>
    <w:rsid w:val="003E0499"/>
    <w:rsid w:val="003F3941"/>
    <w:rsid w:val="00406575"/>
    <w:rsid w:val="0042722E"/>
    <w:rsid w:val="0044528D"/>
    <w:rsid w:val="004526BB"/>
    <w:rsid w:val="00483038"/>
    <w:rsid w:val="004967B6"/>
    <w:rsid w:val="004A1847"/>
    <w:rsid w:val="004A305D"/>
    <w:rsid w:val="004F21C4"/>
    <w:rsid w:val="004F685F"/>
    <w:rsid w:val="0051702F"/>
    <w:rsid w:val="005566E8"/>
    <w:rsid w:val="00574867"/>
    <w:rsid w:val="00591460"/>
    <w:rsid w:val="00592628"/>
    <w:rsid w:val="005C3777"/>
    <w:rsid w:val="005C5CDC"/>
    <w:rsid w:val="005D476C"/>
    <w:rsid w:val="00610812"/>
    <w:rsid w:val="006219F8"/>
    <w:rsid w:val="00650FF7"/>
    <w:rsid w:val="00665D70"/>
    <w:rsid w:val="00671DAC"/>
    <w:rsid w:val="006900D9"/>
    <w:rsid w:val="006D12F8"/>
    <w:rsid w:val="007054F6"/>
    <w:rsid w:val="00706C16"/>
    <w:rsid w:val="00726410"/>
    <w:rsid w:val="00756841"/>
    <w:rsid w:val="007649AB"/>
    <w:rsid w:val="00771D0C"/>
    <w:rsid w:val="00776C05"/>
    <w:rsid w:val="007833AC"/>
    <w:rsid w:val="007A391C"/>
    <w:rsid w:val="007B268C"/>
    <w:rsid w:val="007B7171"/>
    <w:rsid w:val="007C0C0F"/>
    <w:rsid w:val="007C3DC2"/>
    <w:rsid w:val="007E5497"/>
    <w:rsid w:val="00806F5F"/>
    <w:rsid w:val="00820278"/>
    <w:rsid w:val="00831211"/>
    <w:rsid w:val="00835FFE"/>
    <w:rsid w:val="00871352"/>
    <w:rsid w:val="008843B6"/>
    <w:rsid w:val="00891928"/>
    <w:rsid w:val="008A446D"/>
    <w:rsid w:val="008D180B"/>
    <w:rsid w:val="008F0EA7"/>
    <w:rsid w:val="008F31F2"/>
    <w:rsid w:val="00923EEF"/>
    <w:rsid w:val="009419F9"/>
    <w:rsid w:val="0095685E"/>
    <w:rsid w:val="00961B09"/>
    <w:rsid w:val="00965334"/>
    <w:rsid w:val="0097093E"/>
    <w:rsid w:val="009900BE"/>
    <w:rsid w:val="009A0DFA"/>
    <w:rsid w:val="009B2D26"/>
    <w:rsid w:val="009C09B7"/>
    <w:rsid w:val="009C71FA"/>
    <w:rsid w:val="009C72E7"/>
    <w:rsid w:val="009D3058"/>
    <w:rsid w:val="009F3A13"/>
    <w:rsid w:val="00A122D3"/>
    <w:rsid w:val="00A17F13"/>
    <w:rsid w:val="00A20739"/>
    <w:rsid w:val="00A33C78"/>
    <w:rsid w:val="00A8770C"/>
    <w:rsid w:val="00AB0ADB"/>
    <w:rsid w:val="00AD5A04"/>
    <w:rsid w:val="00B01B1A"/>
    <w:rsid w:val="00B72CD3"/>
    <w:rsid w:val="00B72FFF"/>
    <w:rsid w:val="00B81948"/>
    <w:rsid w:val="00BC3D36"/>
    <w:rsid w:val="00BD6050"/>
    <w:rsid w:val="00BD7F72"/>
    <w:rsid w:val="00BF08B1"/>
    <w:rsid w:val="00BF7227"/>
    <w:rsid w:val="00C04FB3"/>
    <w:rsid w:val="00C330EB"/>
    <w:rsid w:val="00C71286"/>
    <w:rsid w:val="00C754BE"/>
    <w:rsid w:val="00C76B1C"/>
    <w:rsid w:val="00C9199B"/>
    <w:rsid w:val="00CB5928"/>
    <w:rsid w:val="00CB6357"/>
    <w:rsid w:val="00CC1B26"/>
    <w:rsid w:val="00D423A2"/>
    <w:rsid w:val="00D520D8"/>
    <w:rsid w:val="00D63AC2"/>
    <w:rsid w:val="00D7383B"/>
    <w:rsid w:val="00DA231B"/>
    <w:rsid w:val="00DA23A0"/>
    <w:rsid w:val="00DA2EBD"/>
    <w:rsid w:val="00DC39FC"/>
    <w:rsid w:val="00DC684A"/>
    <w:rsid w:val="00DD0292"/>
    <w:rsid w:val="00DF5254"/>
    <w:rsid w:val="00E16408"/>
    <w:rsid w:val="00E20894"/>
    <w:rsid w:val="00E23712"/>
    <w:rsid w:val="00E245AB"/>
    <w:rsid w:val="00E2764C"/>
    <w:rsid w:val="00E27F2E"/>
    <w:rsid w:val="00E413EA"/>
    <w:rsid w:val="00E50AFE"/>
    <w:rsid w:val="00E730D4"/>
    <w:rsid w:val="00E75C92"/>
    <w:rsid w:val="00E771DC"/>
    <w:rsid w:val="00E8772A"/>
    <w:rsid w:val="00E90F6B"/>
    <w:rsid w:val="00E92C27"/>
    <w:rsid w:val="00EA0E3D"/>
    <w:rsid w:val="00EC38A7"/>
    <w:rsid w:val="00EE019B"/>
    <w:rsid w:val="00EE1AA8"/>
    <w:rsid w:val="00F31EDC"/>
    <w:rsid w:val="00F462B3"/>
    <w:rsid w:val="00F539C6"/>
    <w:rsid w:val="00F5664F"/>
    <w:rsid w:val="00F666C4"/>
    <w:rsid w:val="00F76AFC"/>
    <w:rsid w:val="00F97401"/>
    <w:rsid w:val="00FA47C0"/>
    <w:rsid w:val="00FB5DD1"/>
    <w:rsid w:val="00FC2B5D"/>
    <w:rsid w:val="00FD5392"/>
    <w:rsid w:val="00FF1449"/>
    <w:rsid w:val="321DD53E"/>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835FFE"/>
    <w:pPr>
      <w:spacing w:line="240" w:lineRule="exact"/>
    </w:pPr>
    <w:rPr>
      <w:vertAlign w:val="superscript"/>
    </w:rPr>
  </w:style>
  <w:style w:type="paragraph" w:styleId="Textoindependiente">
    <w:name w:val="Body Text"/>
    <w:basedOn w:val="Normal"/>
    <w:link w:val="TextoindependienteCar"/>
    <w:uiPriority w:val="1"/>
    <w:unhideWhenUsed/>
    <w:qFormat/>
    <w:rsid w:val="00835FFE"/>
    <w:pPr>
      <w:spacing w:after="120"/>
    </w:pPr>
  </w:style>
  <w:style w:type="character" w:styleId="TextoindependienteCar" w:customStyle="1">
    <w:name w:val="Texto independiente Car"/>
    <w:basedOn w:val="Fuentedeprrafopredeter"/>
    <w:link w:val="Textoindependiente"/>
    <w:uiPriority w:val="1"/>
    <w:rsid w:val="00835FFE"/>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35FFE"/>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olombiacompra.gov.co/manuales-guias-y-pliegostipo/manuales-y-guia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olombiacompra.gov.co/content/04-documentos-tipo-para-licitacion-de-obra-publica-de-nfraestructurade-transporte-version"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mailto:procesosjuridicosj3@gmail.com"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 Id="rId14" /><Relationship Type="http://schemas.openxmlformats.org/officeDocument/2006/relationships/hyperlink" Target="https://nam02.safelinks.protection.outlook.com/?url=https%3A%2F%2Fwww.colombiacompra.gov.co%2Fsites%2Fcce_public%2Ffiles%2Ffiles_2020%2Fboletin_de_realtoria_iii.pdf&amp;data=05%7C02%7Cdiana.blanco%40colombiacompra.gov.co%7C5aad36a736844ec87b2108dcc1fa4639%7C7b09041e245149d08cb179d5e3d8c1be%7C0%7C0%7C638598527917605093%7CUnknown%7CTWFpbGZsb3d8eyJWIjoiMC4wLjAwMDAiLCJQIjoiV2luMzIiLCJBTiI6Ik1haWwiLCJXVCI6Mn0%3D%7C0%7C%7C%7C&amp;sdata=GC1x4nLNGPX5zoV2M4K11reL8XIUFpjc0LcVId%2FHtgY%3D&amp;reserved=0" TargetMode="External" Id="R507f50b62e4b4758"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A19BE07B-8701-4123-B6E6-8D1DFD7806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Andreina Cerpa Muñoz</lastModifiedBy>
  <revision>5</revision>
  <lastPrinted>2023-01-10T21:18:00.0000000Z</lastPrinted>
  <dcterms:created xsi:type="dcterms:W3CDTF">2024-09-18T14:41:00.0000000Z</dcterms:created>
  <dcterms:modified xsi:type="dcterms:W3CDTF">2024-10-07T16:47:33.5974875Z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