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BF71" w14:textId="77777777" w:rsidR="00A548AB" w:rsidRPr="00AF1555" w:rsidRDefault="00A548AB" w:rsidP="00A548AB">
      <w:pPr>
        <w:tabs>
          <w:tab w:val="left" w:pos="709"/>
        </w:tabs>
        <w:spacing w:after="0" w:line="240" w:lineRule="auto"/>
        <w:jc w:val="both"/>
        <w:rPr>
          <w:rFonts w:ascii="Verdana" w:eastAsia="Calibri" w:hAnsi="Verdana" w:cs="Arial"/>
          <w:bCs/>
          <w:sz w:val="20"/>
          <w:szCs w:val="20"/>
          <w:lang w:val="es-ES_tradnl" w:eastAsia="es-ES_tradnl"/>
        </w:rPr>
      </w:pPr>
      <w:bookmarkStart w:id="0" w:name="_Hlk174358977"/>
    </w:p>
    <w:p w14:paraId="17672F60" w14:textId="77777777" w:rsidR="00A548AB" w:rsidRPr="00AF1555" w:rsidRDefault="00A548AB" w:rsidP="00A548AB">
      <w:pPr>
        <w:spacing w:after="0" w:line="240" w:lineRule="auto"/>
        <w:jc w:val="both"/>
        <w:rPr>
          <w:rFonts w:ascii="Verdana" w:eastAsia="Calibri" w:hAnsi="Verdana" w:cs="Arial"/>
          <w:b/>
          <w:color w:val="000000" w:themeColor="text1"/>
          <w:lang w:val="es-ES"/>
        </w:rPr>
      </w:pPr>
      <w:r>
        <w:rPr>
          <w:rFonts w:ascii="Verdana" w:eastAsia="Calibri" w:hAnsi="Verdana" w:cs="Arial"/>
          <w:b/>
          <w:color w:val="000000" w:themeColor="text1"/>
          <w:lang w:val="es-ES"/>
        </w:rPr>
        <w:t>PLANEACIÓN CONTRACTUAL</w:t>
      </w:r>
      <w:r w:rsidRPr="00E95799">
        <w:rPr>
          <w:rFonts w:ascii="Verdana" w:eastAsia="Calibri" w:hAnsi="Verdana" w:cs="Arial"/>
          <w:b/>
          <w:color w:val="000000" w:themeColor="text1"/>
          <w:lang w:val="es-ES"/>
        </w:rPr>
        <w:t xml:space="preserve"> – </w:t>
      </w:r>
      <w:r>
        <w:rPr>
          <w:rFonts w:ascii="Verdana" w:eastAsia="Calibri" w:hAnsi="Verdana" w:cs="Arial"/>
          <w:b/>
          <w:color w:val="000000" w:themeColor="text1"/>
          <w:lang w:val="es-ES"/>
        </w:rPr>
        <w:t>Manifestaciones – Análisis del sector – Estudios previos</w:t>
      </w:r>
      <w:r w:rsidRPr="00AF1555">
        <w:rPr>
          <w:rFonts w:ascii="Verdana" w:eastAsia="Calibri" w:hAnsi="Verdana" w:cs="Arial"/>
          <w:b/>
          <w:color w:val="000000" w:themeColor="text1"/>
          <w:lang w:val="es-ES"/>
        </w:rPr>
        <w:t xml:space="preserve"> </w:t>
      </w:r>
    </w:p>
    <w:p w14:paraId="6C914585" w14:textId="77777777" w:rsidR="00A548AB" w:rsidRPr="00AF1555" w:rsidRDefault="00A548AB" w:rsidP="00A548AB">
      <w:pPr>
        <w:spacing w:after="0" w:line="240" w:lineRule="auto"/>
        <w:jc w:val="both"/>
        <w:rPr>
          <w:rFonts w:ascii="Verdana" w:eastAsia="Calibri" w:hAnsi="Verdana" w:cs="Arial"/>
          <w:bCs/>
          <w:color w:val="000000" w:themeColor="text1"/>
          <w:sz w:val="20"/>
          <w:szCs w:val="20"/>
          <w:lang w:val="es-ES"/>
        </w:rPr>
      </w:pPr>
    </w:p>
    <w:p w14:paraId="1C2502BE" w14:textId="77777777" w:rsidR="00A548AB" w:rsidRDefault="00A548AB" w:rsidP="00A548AB">
      <w:pPr>
        <w:spacing w:after="0" w:line="240" w:lineRule="auto"/>
        <w:jc w:val="both"/>
        <w:rPr>
          <w:rFonts w:ascii="Verdana" w:eastAsia="Calibri" w:hAnsi="Verdana" w:cs="Arial"/>
          <w:bCs/>
          <w:color w:val="000000" w:themeColor="text1"/>
          <w:sz w:val="20"/>
          <w:szCs w:val="20"/>
          <w:lang w:eastAsia="es-ES_tradnl"/>
        </w:rPr>
      </w:pPr>
      <w:r w:rsidRPr="007478FA">
        <w:rPr>
          <w:rFonts w:ascii="Verdana" w:eastAsia="Calibri" w:hAnsi="Verdana" w:cs="Arial"/>
          <w:bCs/>
          <w:color w:val="000000" w:themeColor="text1"/>
          <w:sz w:val="20"/>
          <w:szCs w:val="20"/>
          <w:lang w:eastAsia="es-ES_tradnl"/>
        </w:rPr>
        <w:t>La planeación contractual es una herramienta de gerencia pública que exige estructurar el proceso contractual dedicando tiempo y esfuerzo para elaborar estudios previos y análisis de sector económico,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p>
    <w:p w14:paraId="52E6FD6D" w14:textId="77777777" w:rsidR="00A548AB" w:rsidRPr="007478FA" w:rsidRDefault="00A548AB" w:rsidP="00A548AB">
      <w:pPr>
        <w:spacing w:after="0" w:line="240" w:lineRule="auto"/>
        <w:jc w:val="both"/>
        <w:rPr>
          <w:rFonts w:ascii="Verdana" w:eastAsia="Calibri" w:hAnsi="Verdana" w:cs="Arial"/>
          <w:bCs/>
          <w:color w:val="000000" w:themeColor="text1"/>
          <w:sz w:val="20"/>
          <w:szCs w:val="20"/>
          <w:lang w:eastAsia="es-ES_tradnl"/>
        </w:rPr>
      </w:pPr>
    </w:p>
    <w:p w14:paraId="0295269A" w14:textId="77777777" w:rsidR="00A548AB" w:rsidRPr="00EB0B5F" w:rsidRDefault="00A548AB" w:rsidP="00A548AB">
      <w:pPr>
        <w:spacing w:after="0" w:line="240" w:lineRule="auto"/>
        <w:jc w:val="both"/>
        <w:rPr>
          <w:rFonts w:ascii="Verdana" w:eastAsia="Calibri" w:hAnsi="Verdana" w:cs="Arial"/>
          <w:iCs/>
          <w:color w:val="000000" w:themeColor="text1"/>
          <w:sz w:val="20"/>
          <w:szCs w:val="20"/>
          <w:lang w:eastAsia="es-ES_tradnl"/>
        </w:rPr>
      </w:pPr>
      <w:r w:rsidRPr="007478FA">
        <w:rPr>
          <w:rFonts w:ascii="Verdana" w:eastAsia="Calibri" w:hAnsi="Verdana" w:cs="Arial"/>
          <w:bCs/>
          <w:color w:val="000000" w:themeColor="text1"/>
          <w:sz w:val="20"/>
          <w:szCs w:val="20"/>
          <w:lang w:eastAsia="es-ES_tradnl"/>
        </w:rPr>
        <w:t>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este contexto, el contenido de los estudios previos y del análisis del sector se encuentran regulados en los artículos 2.2.1.1.1.6.1 y 2.2.1.1.2.1.1 del Decreto 1082 de 2015.</w:t>
      </w:r>
    </w:p>
    <w:p w14:paraId="2EF699EB"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457B9A26" w14:textId="77777777" w:rsidR="00A548AB" w:rsidRPr="00AF1555" w:rsidRDefault="00A548AB" w:rsidP="00A548AB">
      <w:pPr>
        <w:spacing w:after="0" w:line="240" w:lineRule="auto"/>
        <w:jc w:val="both"/>
        <w:rPr>
          <w:rFonts w:ascii="Verdana" w:eastAsia="Calibri" w:hAnsi="Verdana" w:cs="Arial"/>
          <w:b/>
          <w:lang w:val="es-ES"/>
        </w:rPr>
      </w:pPr>
      <w:r>
        <w:rPr>
          <w:rFonts w:ascii="Verdana" w:eastAsia="Calibri" w:hAnsi="Verdana" w:cs="Arial"/>
          <w:b/>
          <w:lang w:val="es-ES"/>
        </w:rPr>
        <w:t>DOCUMENTOS TIPO</w:t>
      </w:r>
      <w:r w:rsidRPr="00E95799">
        <w:rPr>
          <w:rFonts w:ascii="Verdana" w:eastAsia="Calibri" w:hAnsi="Verdana" w:cs="Arial"/>
          <w:b/>
          <w:lang w:val="es-ES"/>
        </w:rPr>
        <w:t xml:space="preserve"> – </w:t>
      </w:r>
      <w:r>
        <w:rPr>
          <w:rFonts w:ascii="Verdana" w:eastAsia="Calibri" w:hAnsi="Verdana" w:cs="Arial"/>
          <w:b/>
          <w:lang w:val="es-ES"/>
        </w:rPr>
        <w:t>Requisitos habilitantes – Inalterabilidad</w:t>
      </w:r>
    </w:p>
    <w:p w14:paraId="31D5831D" w14:textId="77777777" w:rsidR="00A548AB" w:rsidRPr="00AF1555" w:rsidRDefault="00A548AB" w:rsidP="00A548AB">
      <w:pPr>
        <w:spacing w:after="0" w:line="240" w:lineRule="auto"/>
        <w:jc w:val="both"/>
        <w:rPr>
          <w:rFonts w:ascii="Verdana" w:eastAsia="Calibri" w:hAnsi="Verdana" w:cs="Arial"/>
          <w:b/>
          <w:sz w:val="20"/>
          <w:szCs w:val="20"/>
          <w:lang w:val="es-ES"/>
        </w:rPr>
      </w:pPr>
    </w:p>
    <w:p w14:paraId="6713CB2C" w14:textId="77777777" w:rsidR="00A548AB" w:rsidRDefault="00A548AB" w:rsidP="00A548AB">
      <w:pPr>
        <w:spacing w:after="0" w:line="240" w:lineRule="auto"/>
        <w:jc w:val="both"/>
        <w:rPr>
          <w:rFonts w:ascii="Verdana" w:eastAsia="Calibri" w:hAnsi="Verdana" w:cs="Arial"/>
          <w:bCs/>
          <w:sz w:val="20"/>
          <w:szCs w:val="20"/>
        </w:rPr>
      </w:pPr>
      <w:r w:rsidRPr="007478FA">
        <w:rPr>
          <w:rFonts w:ascii="Verdana" w:eastAsia="Calibri" w:hAnsi="Verdana" w:cs="Arial"/>
          <w:bCs/>
          <w:sz w:val="20"/>
          <w:szCs w:val="20"/>
        </w:rPr>
        <w:t xml:space="preserve">El artículo 2.2.1.2.6.1.4 del Decreto 1082 de 2015 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que fijados en ellos. </w:t>
      </w:r>
    </w:p>
    <w:p w14:paraId="7D663671" w14:textId="77777777" w:rsidR="00A548AB" w:rsidRPr="007478FA" w:rsidRDefault="00A548AB" w:rsidP="00A548AB">
      <w:pPr>
        <w:spacing w:after="0" w:line="240" w:lineRule="auto"/>
        <w:jc w:val="both"/>
        <w:rPr>
          <w:rFonts w:ascii="Verdana" w:eastAsia="Calibri" w:hAnsi="Verdana" w:cs="Arial"/>
          <w:bCs/>
          <w:sz w:val="20"/>
          <w:szCs w:val="20"/>
        </w:rPr>
      </w:pPr>
    </w:p>
    <w:p w14:paraId="554376A0" w14:textId="77777777" w:rsidR="00A548AB" w:rsidRPr="00EB0B5F" w:rsidRDefault="00A548AB" w:rsidP="00A548AB">
      <w:pPr>
        <w:spacing w:after="0" w:line="240" w:lineRule="auto"/>
        <w:jc w:val="both"/>
        <w:rPr>
          <w:rFonts w:ascii="Verdana" w:eastAsia="Calibri" w:hAnsi="Verdana" w:cs="Arial"/>
          <w:bCs/>
          <w:sz w:val="20"/>
          <w:szCs w:val="20"/>
        </w:rPr>
      </w:pPr>
      <w:r w:rsidRPr="007478FA">
        <w:rPr>
          <w:rFonts w:ascii="Verdana" w:eastAsia="Calibri" w:hAnsi="Verdana" w:cs="Arial"/>
          <w:bCs/>
          <w:sz w:val="20"/>
          <w:szCs w:val="20"/>
        </w:rPr>
        <w:t xml:space="preserve">Esta prohibición se ratifica en el artículo 3 de la Resolución No. 240 de 2020,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Esta regulación se retoma </w:t>
      </w:r>
      <w:r w:rsidRPr="007478FA">
        <w:rPr>
          <w:rFonts w:ascii="Verdana" w:eastAsia="Calibri" w:hAnsi="Verdana" w:cs="Arial"/>
          <w:bCs/>
          <w:i/>
          <w:iCs/>
          <w:sz w:val="20"/>
          <w:szCs w:val="20"/>
        </w:rPr>
        <w:t>mutatis mutandis</w:t>
      </w:r>
      <w:r w:rsidRPr="007478FA">
        <w:rPr>
          <w:rFonts w:ascii="Verdana" w:eastAsia="Calibri" w:hAnsi="Verdana" w:cs="Arial"/>
          <w:bCs/>
          <w:sz w:val="20"/>
          <w:szCs w:val="20"/>
        </w:rPr>
        <w:t xml:space="preserve"> para las demás modalidades de selección en los que la Agencia </w:t>
      </w:r>
      <w:r>
        <w:rPr>
          <w:rFonts w:ascii="Verdana" w:eastAsia="Calibri" w:hAnsi="Verdana" w:cs="Arial"/>
          <w:bCs/>
          <w:sz w:val="20"/>
          <w:szCs w:val="20"/>
        </w:rPr>
        <w:t>h</w:t>
      </w:r>
      <w:r w:rsidRPr="007478FA">
        <w:rPr>
          <w:rFonts w:ascii="Verdana" w:eastAsia="Calibri" w:hAnsi="Verdana" w:cs="Arial"/>
          <w:bCs/>
          <w:sz w:val="20"/>
          <w:szCs w:val="20"/>
        </w:rPr>
        <w:t>a ejercido la competencia descrita en el párrafo anterior.</w:t>
      </w:r>
    </w:p>
    <w:p w14:paraId="182AAF6B"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389866CD"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eastAsia="es-CO"/>
        </w:rPr>
        <w:t>REQUISITOS HABILITANTES</w:t>
      </w:r>
      <w:r w:rsidRPr="00607390">
        <w:rPr>
          <w:rFonts w:ascii="Verdana" w:hAnsi="Verdana" w:cs="Arial"/>
          <w:b/>
          <w:lang w:eastAsia="es-CO"/>
        </w:rPr>
        <w:t xml:space="preserve"> – </w:t>
      </w:r>
      <w:r>
        <w:rPr>
          <w:rFonts w:ascii="Verdana" w:hAnsi="Verdana" w:cs="Arial"/>
          <w:b/>
          <w:lang w:eastAsia="es-CO"/>
        </w:rPr>
        <w:t>Verificación</w:t>
      </w:r>
      <w:r w:rsidRPr="00607390">
        <w:rPr>
          <w:rFonts w:ascii="Verdana" w:hAnsi="Verdana" w:cs="Arial"/>
          <w:b/>
          <w:lang w:eastAsia="es-CO"/>
        </w:rPr>
        <w:t xml:space="preserve"> – </w:t>
      </w:r>
      <w:r>
        <w:rPr>
          <w:rFonts w:ascii="Verdana" w:hAnsi="Verdana" w:cs="Arial"/>
          <w:b/>
          <w:lang w:eastAsia="es-CO"/>
        </w:rPr>
        <w:t>Sujeción a los documentos del proceso</w:t>
      </w:r>
      <w:r w:rsidRPr="00AF1555">
        <w:rPr>
          <w:rFonts w:ascii="Verdana" w:hAnsi="Verdana" w:cs="Arial"/>
          <w:b/>
          <w:lang w:eastAsia="es-CO"/>
        </w:rPr>
        <w:t xml:space="preserve">  </w:t>
      </w:r>
    </w:p>
    <w:p w14:paraId="49AC9286"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7C7E0687" w14:textId="77777777" w:rsidR="00A548AB" w:rsidRPr="005E1218" w:rsidRDefault="00A548AB" w:rsidP="00A548AB">
      <w:pPr>
        <w:spacing w:after="0" w:line="240" w:lineRule="auto"/>
        <w:jc w:val="both"/>
        <w:rPr>
          <w:rFonts w:ascii="Verdana" w:hAnsi="Verdana" w:cs="Arial"/>
          <w:bCs/>
          <w:sz w:val="20"/>
          <w:szCs w:val="20"/>
          <w:lang w:eastAsia="es-CO"/>
        </w:rPr>
      </w:pPr>
      <w:r>
        <w:rPr>
          <w:rFonts w:ascii="Verdana" w:hAnsi="Verdana" w:cs="Arial"/>
          <w:bCs/>
          <w:sz w:val="20"/>
          <w:szCs w:val="20"/>
          <w:lang w:eastAsia="es-CO"/>
        </w:rPr>
        <w:lastRenderedPageBreak/>
        <w:t xml:space="preserve">[…] </w:t>
      </w:r>
      <w:r w:rsidRPr="004773A8">
        <w:rPr>
          <w:rFonts w:ascii="Verdana" w:hAnsi="Verdana" w:cs="Arial"/>
          <w:bCs/>
          <w:sz w:val="20"/>
          <w:szCs w:val="20"/>
          <w:lang w:val="es-ES_tradnl" w:eastAsia="es-CO"/>
        </w:rPr>
        <w:t xml:space="preserve">De acuerdo con el artículo 2.2.1.1.1.6.2 del Decreto 1082 de 2015,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 De esta manera, como se explicó en el </w:t>
      </w:r>
      <w:r w:rsidRPr="004773A8">
        <w:rPr>
          <w:rFonts w:ascii="Verdana" w:hAnsi="Verdana" w:cs="Arial"/>
          <w:bCs/>
          <w:i/>
          <w:iCs/>
          <w:sz w:val="20"/>
          <w:szCs w:val="20"/>
          <w:lang w:val="es-ES_tradnl" w:eastAsia="es-CO"/>
        </w:rPr>
        <w:t>punto i</w:t>
      </w:r>
      <w:r w:rsidRPr="004773A8">
        <w:rPr>
          <w:rFonts w:ascii="Verdana" w:hAnsi="Verdana" w:cs="Arial"/>
          <w:bCs/>
          <w:sz w:val="20"/>
          <w:szCs w:val="20"/>
          <w:lang w:val="es-ES_tradnl" w:eastAsia="es-CO"/>
        </w:rPr>
        <w:t>, la etapa de planeación sirve para establecer los requisitos habilitantes de indicadores financieros en el pliego de condiciones. Una vez precisados, la evaluación financiera se realiza con estricta sujeción a los documentos del proceso, exceptuado aquellos regidos por documentos tipo por las razones explicadas en el punto anterior</w:t>
      </w:r>
      <w:r w:rsidRPr="005E1218">
        <w:rPr>
          <w:rFonts w:ascii="Verdana" w:hAnsi="Verdana" w:cs="Arial"/>
          <w:bCs/>
          <w:sz w:val="20"/>
          <w:szCs w:val="20"/>
          <w:lang w:eastAsia="es-CO"/>
        </w:rPr>
        <w:t>.</w:t>
      </w:r>
    </w:p>
    <w:p w14:paraId="09CD5FCF"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26E137EE"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eastAsia="es-CO"/>
        </w:rPr>
        <w:t>SELECCIÓN ABREVIADA</w:t>
      </w:r>
      <w:r w:rsidRPr="00607390">
        <w:rPr>
          <w:rFonts w:ascii="Verdana" w:hAnsi="Verdana" w:cs="Arial"/>
          <w:b/>
          <w:lang w:eastAsia="es-CO"/>
        </w:rPr>
        <w:t xml:space="preserve"> – </w:t>
      </w:r>
      <w:r>
        <w:rPr>
          <w:rFonts w:ascii="Verdana" w:hAnsi="Verdana" w:cs="Arial"/>
          <w:b/>
          <w:lang w:eastAsia="es-CO"/>
        </w:rPr>
        <w:t>Subasta inversa</w:t>
      </w:r>
      <w:r w:rsidRPr="00607390">
        <w:rPr>
          <w:rFonts w:ascii="Verdana" w:hAnsi="Verdana" w:cs="Arial"/>
          <w:b/>
          <w:lang w:eastAsia="es-CO"/>
        </w:rPr>
        <w:t xml:space="preserve"> – </w:t>
      </w:r>
      <w:r>
        <w:rPr>
          <w:rFonts w:ascii="Verdana" w:hAnsi="Verdana" w:cs="Arial"/>
          <w:b/>
          <w:lang w:eastAsia="es-CO"/>
        </w:rPr>
        <w:t>Fundamento normativo</w:t>
      </w:r>
      <w:r w:rsidRPr="00AF1555">
        <w:rPr>
          <w:rFonts w:ascii="Verdana" w:hAnsi="Verdana" w:cs="Arial"/>
          <w:b/>
          <w:lang w:eastAsia="es-CO"/>
        </w:rPr>
        <w:t xml:space="preserve">  </w:t>
      </w:r>
    </w:p>
    <w:p w14:paraId="292B73FD"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030D722D" w14:textId="77777777" w:rsidR="00A548AB" w:rsidRDefault="00A548AB" w:rsidP="00A548AB">
      <w:pPr>
        <w:spacing w:after="0" w:line="240" w:lineRule="auto"/>
        <w:jc w:val="both"/>
        <w:rPr>
          <w:rFonts w:ascii="Verdana" w:hAnsi="Verdana" w:cs="Arial"/>
          <w:bCs/>
          <w:sz w:val="20"/>
          <w:szCs w:val="20"/>
          <w:lang w:eastAsia="es-CO"/>
        </w:rPr>
      </w:pPr>
      <w:r w:rsidRPr="004773A8">
        <w:rPr>
          <w:rFonts w:ascii="Verdana" w:hAnsi="Verdana" w:cs="Arial"/>
          <w:bCs/>
          <w:sz w:val="20"/>
          <w:szCs w:val="20"/>
          <w:lang w:val="es-ES_tradnl" w:eastAsia="es-CO"/>
        </w:rPr>
        <w:t xml:space="preserve">En la </w:t>
      </w:r>
      <w:r w:rsidRPr="004773A8">
        <w:rPr>
          <w:rFonts w:ascii="Verdana" w:hAnsi="Verdana" w:cs="Arial"/>
          <w:bCs/>
          <w:i/>
          <w:iCs/>
          <w:sz w:val="20"/>
          <w:szCs w:val="20"/>
          <w:lang w:val="es-ES_tradnl" w:eastAsia="es-CO"/>
        </w:rPr>
        <w:t>subasta ordinaria</w:t>
      </w:r>
      <w:r w:rsidRPr="004773A8">
        <w:rPr>
          <w:rFonts w:ascii="Verdana" w:hAnsi="Verdana" w:cs="Arial"/>
          <w:bCs/>
          <w:sz w:val="20"/>
          <w:szCs w:val="20"/>
          <w:lang w:val="es-ES_tradnl" w:eastAsia="es-CO"/>
        </w:rPr>
        <w:t xml:space="preserve"> los compradores compiten para obtener un bien o servicio ofreciendo precios cada vez más altos al vendedor. Sin embargo, la </w:t>
      </w:r>
      <w:r w:rsidRPr="004773A8">
        <w:rPr>
          <w:rFonts w:ascii="Verdana" w:hAnsi="Verdana" w:cs="Arial"/>
          <w:bCs/>
          <w:i/>
          <w:iCs/>
          <w:sz w:val="20"/>
          <w:szCs w:val="20"/>
          <w:lang w:val="es-ES_tradnl" w:eastAsia="es-CO"/>
        </w:rPr>
        <w:t>subasta inversa</w:t>
      </w:r>
      <w:r w:rsidRPr="004773A8">
        <w:rPr>
          <w:rFonts w:ascii="Verdana" w:hAnsi="Verdana" w:cs="Arial"/>
          <w:bCs/>
          <w:sz w:val="20"/>
          <w:szCs w:val="20"/>
          <w:lang w:val="es-ES_tradnl" w:eastAsia="es-CO"/>
        </w:rPr>
        <w:t xml:space="preserve"> implica un intercambio es estos roles, es decir, los vendedores compiten para suscribir el contrato con el comprador y los precios disminuyen a medida que existe puja entre los oferentes. Sin perjuicio de la conformación dinámica de la oferta en la licitación pública, este procedimiento se encuentra tipificado como una causal de selección abreviada en el literal a) del artículo 2.2 de la Ley 1150 de 2007 para la adquisición o suministro de bienes y servicios de características técnicas uniformes y de común utilización</w:t>
      </w:r>
      <w:r w:rsidRPr="005E1218">
        <w:rPr>
          <w:rFonts w:ascii="Verdana" w:hAnsi="Verdana" w:cs="Arial"/>
          <w:bCs/>
          <w:sz w:val="20"/>
          <w:szCs w:val="20"/>
          <w:lang w:eastAsia="es-CO"/>
        </w:rPr>
        <w:t>.</w:t>
      </w:r>
    </w:p>
    <w:p w14:paraId="35E1E3D7"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35EE917D"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eastAsia="es-CO"/>
        </w:rPr>
        <w:t xml:space="preserve">RUP </w:t>
      </w:r>
      <w:r w:rsidRPr="00607390">
        <w:rPr>
          <w:rFonts w:ascii="Verdana" w:hAnsi="Verdana" w:cs="Arial"/>
          <w:b/>
          <w:lang w:eastAsia="es-CO"/>
        </w:rPr>
        <w:t xml:space="preserve">– </w:t>
      </w:r>
      <w:r>
        <w:rPr>
          <w:rFonts w:ascii="Verdana" w:hAnsi="Verdana" w:cs="Arial"/>
          <w:b/>
          <w:lang w:eastAsia="es-CO"/>
        </w:rPr>
        <w:t>Características</w:t>
      </w:r>
      <w:r w:rsidRPr="00607390">
        <w:rPr>
          <w:rFonts w:ascii="Verdana" w:hAnsi="Verdana" w:cs="Arial"/>
          <w:b/>
          <w:lang w:eastAsia="es-CO"/>
        </w:rPr>
        <w:t xml:space="preserve"> – </w:t>
      </w:r>
      <w:r>
        <w:rPr>
          <w:rFonts w:ascii="Verdana" w:hAnsi="Verdana" w:cs="Arial"/>
          <w:b/>
          <w:lang w:eastAsia="es-CO"/>
        </w:rPr>
        <w:t>Plena prueba</w:t>
      </w:r>
      <w:r w:rsidRPr="00AF1555">
        <w:rPr>
          <w:rFonts w:ascii="Verdana" w:hAnsi="Verdana" w:cs="Arial"/>
          <w:b/>
          <w:lang w:eastAsia="es-CO"/>
        </w:rPr>
        <w:t xml:space="preserve">  </w:t>
      </w:r>
    </w:p>
    <w:p w14:paraId="1C5045D9"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4E945CB7" w14:textId="77777777" w:rsidR="00A548AB" w:rsidRDefault="00A548AB" w:rsidP="00A548AB">
      <w:pPr>
        <w:spacing w:after="0" w:line="240" w:lineRule="auto"/>
        <w:jc w:val="both"/>
        <w:rPr>
          <w:rFonts w:ascii="Verdana" w:hAnsi="Verdana" w:cs="Arial"/>
          <w:bCs/>
          <w:sz w:val="20"/>
          <w:szCs w:val="20"/>
          <w:lang w:val="es-ES_tradnl" w:eastAsia="es-CO"/>
        </w:rPr>
      </w:pPr>
      <w:r w:rsidRPr="004773A8">
        <w:rPr>
          <w:rFonts w:ascii="Verdana" w:hAnsi="Verdana" w:cs="Arial"/>
          <w:bCs/>
          <w:sz w:val="20"/>
          <w:szCs w:val="20"/>
          <w:lang w:val="es-ES_tradnl" w:eastAsia="es-CO"/>
        </w:rPr>
        <w:t xml:space="preserve">El Registro Único de Proponentes es el documento donde consta la información relacionada con las personas naturales y jurídicas, que tiene por objeto consolidar los datos relacionados con la capacidad jurídica, técnica, financiera y organizacional de los posibles proponentes, con el fin que participen en los procedimientos de selección realizados por las entidades estatales, facilitando la revisión de los datos contenidos en el registro. </w:t>
      </w:r>
    </w:p>
    <w:p w14:paraId="2CB5ABE1" w14:textId="77777777" w:rsidR="00A548AB" w:rsidRPr="004773A8" w:rsidRDefault="00A548AB" w:rsidP="00A548AB">
      <w:pPr>
        <w:spacing w:after="0" w:line="240" w:lineRule="auto"/>
        <w:jc w:val="both"/>
        <w:rPr>
          <w:rFonts w:ascii="Verdana" w:hAnsi="Verdana" w:cs="Arial"/>
          <w:bCs/>
          <w:sz w:val="20"/>
          <w:szCs w:val="20"/>
          <w:lang w:val="es-ES_tradnl" w:eastAsia="es-CO"/>
        </w:rPr>
      </w:pPr>
    </w:p>
    <w:p w14:paraId="508F9095" w14:textId="77777777" w:rsidR="00A548AB" w:rsidRPr="004773A8" w:rsidRDefault="00A548AB" w:rsidP="00A548AB">
      <w:pPr>
        <w:spacing w:after="0" w:line="240" w:lineRule="auto"/>
        <w:jc w:val="both"/>
        <w:rPr>
          <w:rFonts w:ascii="Verdana" w:eastAsia="Geomanist Light" w:hAnsi="Verdana" w:cs="Arial"/>
          <w:color w:val="000000" w:themeColor="text1"/>
          <w:lang w:val="es-ES_tradnl"/>
        </w:rPr>
      </w:pPr>
      <w:r w:rsidRPr="004773A8">
        <w:rPr>
          <w:rFonts w:ascii="Verdana" w:hAnsi="Verdana" w:cs="Arial"/>
          <w:bCs/>
          <w:sz w:val="20"/>
          <w:szCs w:val="20"/>
          <w:lang w:val="es-ES_tradnl" w:eastAsia="es-CO"/>
        </w:rPr>
        <w:t>El artículo 6.1 de la Ley 1150 de 2007, al determinar las características aplicables al RUP, cualifica la información plasmada en él, al establecer que constituye plena prueba de lo que contiene.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p>
    <w:p w14:paraId="2EAA86A9" w14:textId="77777777" w:rsidR="00A548AB" w:rsidRDefault="00A548AB" w:rsidP="00A548AB">
      <w:pPr>
        <w:spacing w:after="0" w:line="240" w:lineRule="auto"/>
        <w:jc w:val="both"/>
        <w:rPr>
          <w:rFonts w:ascii="Verdana" w:eastAsia="Geomanist Light" w:hAnsi="Verdana" w:cs="Arial"/>
          <w:color w:val="000000" w:themeColor="text1"/>
          <w:lang w:val="es-MX"/>
        </w:rPr>
      </w:pPr>
    </w:p>
    <w:p w14:paraId="5EFCD5C3"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24A187E9"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eastAsia="es-CO"/>
        </w:rPr>
        <w:t xml:space="preserve">SELECCIÓN ABREVIADA – Menor cuantía </w:t>
      </w:r>
      <w:r w:rsidRPr="00607390">
        <w:rPr>
          <w:rFonts w:ascii="Verdana" w:hAnsi="Verdana" w:cs="Arial"/>
          <w:b/>
          <w:lang w:eastAsia="es-CO"/>
        </w:rPr>
        <w:t xml:space="preserve">– </w:t>
      </w:r>
      <w:r>
        <w:rPr>
          <w:rFonts w:ascii="Verdana" w:hAnsi="Verdana" w:cs="Arial"/>
          <w:b/>
          <w:lang w:eastAsia="es-CO"/>
        </w:rPr>
        <w:t>Manifestación de interés</w:t>
      </w:r>
      <w:r w:rsidRPr="00607390">
        <w:rPr>
          <w:rFonts w:ascii="Verdana" w:hAnsi="Verdana" w:cs="Arial"/>
          <w:b/>
          <w:lang w:eastAsia="es-CO"/>
        </w:rPr>
        <w:t xml:space="preserve"> – </w:t>
      </w:r>
      <w:r>
        <w:rPr>
          <w:rFonts w:ascii="Verdana" w:hAnsi="Verdana" w:cs="Arial"/>
          <w:b/>
          <w:lang w:eastAsia="es-CO"/>
        </w:rPr>
        <w:t>Requisito habilitante</w:t>
      </w:r>
      <w:r w:rsidRPr="00AF1555">
        <w:rPr>
          <w:rFonts w:ascii="Verdana" w:hAnsi="Verdana" w:cs="Arial"/>
          <w:b/>
          <w:lang w:eastAsia="es-CO"/>
        </w:rPr>
        <w:t xml:space="preserve">  </w:t>
      </w:r>
    </w:p>
    <w:p w14:paraId="63E7C8F7"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4E1584F8" w14:textId="77777777" w:rsidR="00A548AB" w:rsidRDefault="00A548AB" w:rsidP="00A548AB">
      <w:pPr>
        <w:spacing w:after="0" w:line="240" w:lineRule="auto"/>
        <w:jc w:val="both"/>
        <w:rPr>
          <w:rFonts w:ascii="Verdana" w:hAnsi="Verdana" w:cs="Arial"/>
          <w:bCs/>
          <w:sz w:val="20"/>
          <w:szCs w:val="20"/>
          <w:lang w:val="es-ES_tradnl" w:eastAsia="es-CO"/>
        </w:rPr>
      </w:pPr>
      <w:r w:rsidRPr="004773A8">
        <w:rPr>
          <w:rFonts w:ascii="Verdana" w:hAnsi="Verdana" w:cs="Arial"/>
          <w:bCs/>
          <w:sz w:val="20"/>
          <w:szCs w:val="20"/>
          <w:lang w:val="es-ES_tradnl" w:eastAsia="es-CO"/>
        </w:rPr>
        <w:t xml:space="preserve">El Registro Único de Proponentes es el documento donde consta la información relacionada con las personas naturales y jurídicas, que tiene por objeto consolidar los datos relacionados con la capacidad jurídica, técnica, financiera y organizacional de los </w:t>
      </w:r>
      <w:r w:rsidRPr="004773A8">
        <w:rPr>
          <w:rFonts w:ascii="Verdana" w:hAnsi="Verdana" w:cs="Arial"/>
          <w:bCs/>
          <w:sz w:val="20"/>
          <w:szCs w:val="20"/>
          <w:lang w:val="es-ES_tradnl" w:eastAsia="es-CO"/>
        </w:rPr>
        <w:lastRenderedPageBreak/>
        <w:t xml:space="preserve">posibles proponentes, con el fin que participen en los procedimientos de selección realizados por las entidades estatales, facilitando la revisión de los datos contenidos en el registro. </w:t>
      </w:r>
    </w:p>
    <w:p w14:paraId="2A9B04BF"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1811E762"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val="es-ES_tradnl" w:eastAsia="es-CO"/>
        </w:rPr>
        <w:t>MÍNIMA CUANTÍA</w:t>
      </w:r>
      <w:r>
        <w:rPr>
          <w:rFonts w:ascii="Verdana" w:hAnsi="Verdana" w:cs="Arial"/>
          <w:b/>
          <w:lang w:eastAsia="es-CO"/>
        </w:rPr>
        <w:t xml:space="preserve"> – Fundamento normativo – Menor precio </w:t>
      </w:r>
      <w:r w:rsidRPr="00AF1555">
        <w:rPr>
          <w:rFonts w:ascii="Verdana" w:hAnsi="Verdana" w:cs="Arial"/>
          <w:b/>
          <w:lang w:eastAsia="es-CO"/>
        </w:rPr>
        <w:t xml:space="preserve">  </w:t>
      </w:r>
    </w:p>
    <w:p w14:paraId="01E665D5"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7EDD5DF0" w14:textId="77777777" w:rsidR="00A548AB" w:rsidRPr="004773A8" w:rsidRDefault="00A548AB" w:rsidP="00A548AB">
      <w:pPr>
        <w:spacing w:after="0" w:line="240" w:lineRule="auto"/>
        <w:jc w:val="both"/>
        <w:rPr>
          <w:rFonts w:ascii="Verdana" w:hAnsi="Verdana" w:cs="Arial"/>
          <w:bCs/>
          <w:sz w:val="20"/>
          <w:szCs w:val="20"/>
          <w:lang w:val="es-ES_tradnl" w:eastAsia="es-CO"/>
        </w:rPr>
      </w:pPr>
      <w:r>
        <w:rPr>
          <w:rFonts w:ascii="Verdana" w:hAnsi="Verdana" w:cs="Arial"/>
          <w:bCs/>
          <w:sz w:val="20"/>
          <w:szCs w:val="20"/>
          <w:lang w:val="es-ES_tradnl" w:eastAsia="es-CO"/>
        </w:rPr>
        <w:t xml:space="preserve">[…] </w:t>
      </w:r>
      <w:r w:rsidRPr="004773A8">
        <w:rPr>
          <w:rFonts w:ascii="Verdana" w:hAnsi="Verdana" w:cs="Arial"/>
          <w:bCs/>
          <w:sz w:val="20"/>
          <w:szCs w:val="20"/>
          <w:lang w:val="es-ES_tradnl" w:eastAsia="es-CO"/>
        </w:rPr>
        <w:t xml:space="preserve">el artículo 30 de la Ley 2069 de 2020 modifica el numeral 5 del artículo 2 de la Ley 1150 de 2007, el cual regula la mínima cuantía. En esta modalidad de selección, </w:t>
      </w:r>
      <w:proofErr w:type="gramStart"/>
      <w:r w:rsidRPr="004773A8">
        <w:rPr>
          <w:rFonts w:ascii="Verdana" w:hAnsi="Verdana" w:cs="Arial"/>
          <w:bCs/>
          <w:sz w:val="20"/>
          <w:szCs w:val="20"/>
          <w:lang w:val="es-ES_tradnl" w:eastAsia="es-CO"/>
        </w:rPr>
        <w:t>la  entidad</w:t>
      </w:r>
      <w:proofErr w:type="gramEnd"/>
      <w:r w:rsidRPr="004773A8">
        <w:rPr>
          <w:rFonts w:ascii="Verdana" w:hAnsi="Verdana" w:cs="Arial"/>
          <w:bCs/>
          <w:sz w:val="20"/>
          <w:szCs w:val="20"/>
          <w:lang w:val="es-ES_tradnl" w:eastAsia="es-CO"/>
        </w:rPr>
        <w:t xml:space="preserve">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0D69BDEC"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2CA7C933"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val="es-ES_tradnl" w:eastAsia="es-CO"/>
        </w:rPr>
        <w:t>INFORME DE EVALUACIÓN</w:t>
      </w:r>
      <w:r>
        <w:rPr>
          <w:rFonts w:ascii="Verdana" w:hAnsi="Verdana" w:cs="Arial"/>
          <w:b/>
          <w:lang w:eastAsia="es-CO"/>
        </w:rPr>
        <w:t xml:space="preserve"> – Regulación </w:t>
      </w:r>
      <w:r w:rsidRPr="00AF1555">
        <w:rPr>
          <w:rFonts w:ascii="Verdana" w:hAnsi="Verdana" w:cs="Arial"/>
          <w:b/>
          <w:lang w:eastAsia="es-CO"/>
        </w:rPr>
        <w:t xml:space="preserve">  </w:t>
      </w:r>
    </w:p>
    <w:p w14:paraId="3BDE616D"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5D4C5967" w14:textId="77777777" w:rsidR="00A548AB" w:rsidRDefault="00A548AB" w:rsidP="00A548AB">
      <w:pPr>
        <w:spacing w:after="0" w:line="240" w:lineRule="auto"/>
        <w:jc w:val="both"/>
        <w:rPr>
          <w:rFonts w:ascii="Verdana" w:hAnsi="Verdana" w:cs="Arial"/>
          <w:bCs/>
          <w:sz w:val="20"/>
          <w:szCs w:val="20"/>
          <w:lang w:val="es-ES_tradnl" w:eastAsia="es-CO"/>
        </w:rPr>
      </w:pPr>
      <w:r w:rsidRPr="00924877">
        <w:rPr>
          <w:rFonts w:ascii="Verdana" w:hAnsi="Verdana" w:cs="Arial"/>
          <w:bCs/>
          <w:sz w:val="20"/>
          <w:szCs w:val="20"/>
          <w:lang w:val="es-ES_tradnl" w:eastAsia="es-CO"/>
        </w:rPr>
        <w:t xml:space="preserve">Las normas del sistema de compras públicas no regulan aspectos formales de la presentación de los informes que verifican los requisitos habilitantes y que asignan puntaje a los criterios de evaluación. En cualquier modalidad de selección, lo importante es que el contenido material del documento esté relacionado con los requisitos mencionados en el pliego de condiciones, pues la evaluación es un acto reglado y, por tanto, adjudicación de los contratos no está sujeta a criterios de oportunidad ni de conveniencia. </w:t>
      </w:r>
    </w:p>
    <w:p w14:paraId="550EB735" w14:textId="77777777" w:rsidR="00A548AB" w:rsidRPr="00924877" w:rsidRDefault="00A548AB" w:rsidP="00A548AB">
      <w:pPr>
        <w:spacing w:after="0" w:line="240" w:lineRule="auto"/>
        <w:jc w:val="both"/>
        <w:rPr>
          <w:rFonts w:ascii="Verdana" w:hAnsi="Verdana" w:cs="Arial"/>
          <w:bCs/>
          <w:sz w:val="20"/>
          <w:szCs w:val="20"/>
          <w:lang w:val="es-ES_tradnl" w:eastAsia="es-CO"/>
        </w:rPr>
      </w:pPr>
    </w:p>
    <w:p w14:paraId="30975096" w14:textId="77777777" w:rsidR="00A548AB" w:rsidRPr="004773A8" w:rsidRDefault="00A548AB" w:rsidP="00A548AB">
      <w:pPr>
        <w:spacing w:after="0" w:line="240" w:lineRule="auto"/>
        <w:jc w:val="both"/>
        <w:rPr>
          <w:rFonts w:ascii="Verdana" w:hAnsi="Verdana" w:cs="Arial"/>
          <w:bCs/>
          <w:sz w:val="20"/>
          <w:szCs w:val="20"/>
          <w:lang w:val="es-ES_tradnl" w:eastAsia="es-CO"/>
        </w:rPr>
      </w:pPr>
      <w:r w:rsidRPr="00924877">
        <w:rPr>
          <w:rFonts w:ascii="Verdana" w:hAnsi="Verdana" w:cs="Arial"/>
          <w:bCs/>
          <w:sz w:val="20"/>
          <w:szCs w:val="20"/>
          <w:lang w:val="es-ES_tradnl" w:eastAsia="es-CO"/>
        </w:rPr>
        <w:t xml:space="preserve">Sumado a que cada pliego de condiciones establece los requisitos necesarios para contratar de acuerdo con la tipología aplicable, el ordenamiento también orienta la selección objetiva del contratista. Por regla general, el artículo 5.2 de la Ley 1150 de 2007 dispone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 Por lo demás, indica que en los procesos de selección en los que se tenga en cuenta los factores técnicos y económicos, la oferta más ventajosa será la que resulte de aplicar i) la ponderación de los elementos de calidad y precio soportados en puntajes o fórmulas señaladas en el pliego de condiciones o </w:t>
      </w:r>
      <w:proofErr w:type="spellStart"/>
      <w:r w:rsidRPr="00924877">
        <w:rPr>
          <w:rFonts w:ascii="Verdana" w:hAnsi="Verdana" w:cs="Arial"/>
          <w:bCs/>
          <w:sz w:val="20"/>
          <w:szCs w:val="20"/>
          <w:lang w:val="es-ES_tradnl" w:eastAsia="es-CO"/>
        </w:rPr>
        <w:t>ii</w:t>
      </w:r>
      <w:proofErr w:type="spellEnd"/>
      <w:r w:rsidRPr="00924877">
        <w:rPr>
          <w:rFonts w:ascii="Verdana" w:hAnsi="Verdana" w:cs="Arial"/>
          <w:bCs/>
          <w:sz w:val="20"/>
          <w:szCs w:val="20"/>
          <w:lang w:val="es-ES_tradnl" w:eastAsia="es-CO"/>
        </w:rPr>
        <w:t>) la ponderación de los elementos de calidad y precio que representen la mejor relación de costo-beneficio. Sin embargo, tratándose de concurso de méritos, el artículo 5.4 ibidem prescribe que “En ningún caso se podrá incluir el precio, como factor de escogencia para la selección de consultores”, por lo que la evaluación recae sobre aspectos técnicos, experiencia específica del oferente y del equipo de trabajo</w:t>
      </w:r>
      <w:r w:rsidRPr="004773A8">
        <w:rPr>
          <w:rFonts w:ascii="Verdana" w:hAnsi="Verdana" w:cs="Arial"/>
          <w:bCs/>
          <w:sz w:val="20"/>
          <w:szCs w:val="20"/>
          <w:lang w:val="es-ES_tradnl" w:eastAsia="es-CO"/>
        </w:rPr>
        <w:t>.</w:t>
      </w:r>
    </w:p>
    <w:p w14:paraId="37FB4649"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3DC43669"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val="es-ES_tradnl" w:eastAsia="es-CO"/>
        </w:rPr>
        <w:t>VICIOS DEL PROCEDIMIENTO</w:t>
      </w:r>
      <w:r>
        <w:rPr>
          <w:rFonts w:ascii="Verdana" w:hAnsi="Verdana" w:cs="Arial"/>
          <w:b/>
          <w:lang w:eastAsia="es-CO"/>
        </w:rPr>
        <w:t xml:space="preserve"> – Saneamiento – Requisitos </w:t>
      </w:r>
      <w:r w:rsidRPr="00AF1555">
        <w:rPr>
          <w:rFonts w:ascii="Verdana" w:hAnsi="Verdana" w:cs="Arial"/>
          <w:b/>
          <w:lang w:eastAsia="es-CO"/>
        </w:rPr>
        <w:t xml:space="preserve">  </w:t>
      </w:r>
    </w:p>
    <w:p w14:paraId="2B683675"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57FDF7F3" w14:textId="77777777" w:rsidR="00A548AB" w:rsidRDefault="00A548AB" w:rsidP="00A548AB">
      <w:pPr>
        <w:spacing w:after="0" w:line="240" w:lineRule="auto"/>
        <w:jc w:val="both"/>
        <w:rPr>
          <w:rFonts w:ascii="Verdana" w:hAnsi="Verdana" w:cs="Arial"/>
          <w:bCs/>
          <w:sz w:val="20"/>
          <w:szCs w:val="20"/>
          <w:lang w:val="es-ES_tradnl" w:eastAsia="es-CO"/>
        </w:rPr>
      </w:pPr>
      <w:r w:rsidRPr="00924877">
        <w:rPr>
          <w:rFonts w:ascii="Verdana" w:hAnsi="Verdana" w:cs="Arial"/>
          <w:bCs/>
          <w:sz w:val="20"/>
          <w:szCs w:val="20"/>
          <w:lang w:val="es-ES_tradnl" w:eastAsia="es-CO"/>
        </w:rPr>
        <w:t xml:space="preserve">La Ley 80 de 1993 otorga una autorización a las entidades estatales para que puedan remediar o corregir aquellos defectos o irregularidades de procedimiento o de forma que </w:t>
      </w:r>
      <w:r w:rsidRPr="00924877">
        <w:rPr>
          <w:rFonts w:ascii="Verdana" w:hAnsi="Verdana" w:cs="Arial"/>
          <w:bCs/>
          <w:sz w:val="20"/>
          <w:szCs w:val="20"/>
          <w:lang w:val="es-ES_tradnl" w:eastAsia="es-CO"/>
        </w:rPr>
        <w:lastRenderedPageBreak/>
        <w:t>no constituyen causales de nulidad del contrato, a través de la figura del “saneamiento de los vicios de procedimiento o de forma” establecida en el artículo 49 de la siguiente manera: “Ante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451E1020" w14:textId="77777777" w:rsidR="00A548AB" w:rsidRPr="00924877" w:rsidRDefault="00A548AB" w:rsidP="00A548AB">
      <w:pPr>
        <w:spacing w:after="0" w:line="240" w:lineRule="auto"/>
        <w:jc w:val="both"/>
        <w:rPr>
          <w:rFonts w:ascii="Verdana" w:hAnsi="Verdana" w:cs="Arial"/>
          <w:bCs/>
          <w:sz w:val="20"/>
          <w:szCs w:val="20"/>
          <w:lang w:val="es-ES_tradnl" w:eastAsia="es-CO"/>
        </w:rPr>
      </w:pPr>
    </w:p>
    <w:p w14:paraId="2D5D7637" w14:textId="77777777" w:rsidR="00A548AB" w:rsidRPr="00924877" w:rsidRDefault="00A548AB" w:rsidP="00A548AB">
      <w:pPr>
        <w:spacing w:after="0" w:line="240" w:lineRule="auto"/>
        <w:jc w:val="both"/>
        <w:rPr>
          <w:rFonts w:ascii="Verdana" w:hAnsi="Verdana" w:cs="Arial"/>
          <w:bCs/>
          <w:sz w:val="20"/>
          <w:szCs w:val="20"/>
          <w:lang w:val="es-ES_tradnl" w:eastAsia="es-CO"/>
        </w:rPr>
      </w:pPr>
      <w:r w:rsidRPr="00924877">
        <w:rPr>
          <w:rFonts w:ascii="Verdana" w:hAnsi="Verdana" w:cs="Arial"/>
          <w:bCs/>
          <w:sz w:val="20"/>
          <w:szCs w:val="20"/>
          <w:lang w:val="es-ES_tradnl" w:eastAsia="es-CO"/>
        </w:rPr>
        <w:t xml:space="preserve">De la lectura de esta norma se puede apreciar que para su aplicación se requiere el cumplimiento de los siguientes requisitos: i) el vicio a sanear tiene de que ser de procedimiento o de forma, lo que significa que no es posible sanear a través de esta figura los vicios de fondo o sustanciales del contrato, lo que lleva a que,  </w:t>
      </w:r>
      <w:proofErr w:type="spellStart"/>
      <w:r w:rsidRPr="00924877">
        <w:rPr>
          <w:rFonts w:ascii="Verdana" w:hAnsi="Verdana" w:cs="Arial"/>
          <w:bCs/>
          <w:sz w:val="20"/>
          <w:szCs w:val="20"/>
          <w:lang w:val="es-ES_tradnl" w:eastAsia="es-CO"/>
        </w:rPr>
        <w:t>ii</w:t>
      </w:r>
      <w:proofErr w:type="spellEnd"/>
      <w:r w:rsidRPr="00924877">
        <w:rPr>
          <w:rFonts w:ascii="Verdana" w:hAnsi="Verdana" w:cs="Arial"/>
          <w:bCs/>
          <w:sz w:val="20"/>
          <w:szCs w:val="20"/>
          <w:lang w:val="es-ES_tradnl" w:eastAsia="es-CO"/>
        </w:rPr>
        <w:t xml:space="preserve">) el vicio a sanear no puede corresponder a  ninguna de las causales de nulidad absoluta o relativa de los contratos estatales, </w:t>
      </w:r>
      <w:proofErr w:type="spellStart"/>
      <w:r w:rsidRPr="00924877">
        <w:rPr>
          <w:rFonts w:ascii="Verdana" w:hAnsi="Verdana" w:cs="Arial"/>
          <w:bCs/>
          <w:sz w:val="20"/>
          <w:szCs w:val="20"/>
          <w:lang w:val="es-ES_tradnl" w:eastAsia="es-CO"/>
        </w:rPr>
        <w:t>iii</w:t>
      </w:r>
      <w:proofErr w:type="spellEnd"/>
      <w:r w:rsidRPr="00924877">
        <w:rPr>
          <w:rFonts w:ascii="Verdana" w:hAnsi="Verdana" w:cs="Arial"/>
          <w:bCs/>
          <w:sz w:val="20"/>
          <w:szCs w:val="20"/>
          <w:lang w:val="es-ES_tradnl" w:eastAsia="es-CO"/>
        </w:rPr>
        <w:t xml:space="preserve">) debe hacerse mediante acto administrativo motivado, </w:t>
      </w:r>
      <w:proofErr w:type="spellStart"/>
      <w:r w:rsidRPr="00924877">
        <w:rPr>
          <w:rFonts w:ascii="Verdana" w:hAnsi="Verdana" w:cs="Arial"/>
          <w:bCs/>
          <w:sz w:val="20"/>
          <w:szCs w:val="20"/>
          <w:lang w:val="es-ES_tradnl" w:eastAsia="es-CO"/>
        </w:rPr>
        <w:t>iv</w:t>
      </w:r>
      <w:proofErr w:type="spellEnd"/>
      <w:r w:rsidRPr="00924877">
        <w:rPr>
          <w:rFonts w:ascii="Verdana" w:hAnsi="Verdana" w:cs="Arial"/>
          <w:bCs/>
          <w:sz w:val="20"/>
          <w:szCs w:val="20"/>
          <w:lang w:val="es-ES_tradnl" w:eastAsia="es-CO"/>
        </w:rPr>
        <w:t>) el funcionario competente es el jefe o representante legal de la entidad y v) el saneamiento debe ocurrir cuando las necesidades del servicio lo exijan o a las reglas de la buena administración lo aconsejen.</w:t>
      </w:r>
    </w:p>
    <w:p w14:paraId="758CE69B" w14:textId="77777777" w:rsidR="00A548AB" w:rsidRPr="00AF1555" w:rsidRDefault="00A548AB" w:rsidP="00A548AB">
      <w:pPr>
        <w:spacing w:after="0" w:line="240" w:lineRule="auto"/>
        <w:rPr>
          <w:rFonts w:ascii="Verdana" w:eastAsia="Geomanist Light" w:hAnsi="Verdana" w:cs="Arial"/>
          <w:color w:val="000000" w:themeColor="text1"/>
          <w:sz w:val="20"/>
          <w:szCs w:val="20"/>
          <w:lang w:val="es-ES_tradnl"/>
        </w:rPr>
      </w:pPr>
    </w:p>
    <w:p w14:paraId="3977C537" w14:textId="77777777" w:rsidR="00A548AB" w:rsidRPr="00AF1555" w:rsidRDefault="00A548AB" w:rsidP="00A548AB">
      <w:pPr>
        <w:tabs>
          <w:tab w:val="left" w:pos="426"/>
        </w:tabs>
        <w:spacing w:after="0" w:line="240" w:lineRule="auto"/>
        <w:jc w:val="both"/>
        <w:rPr>
          <w:rFonts w:ascii="Verdana" w:hAnsi="Verdana" w:cs="Arial"/>
          <w:b/>
          <w:lang w:eastAsia="es-CO"/>
        </w:rPr>
      </w:pPr>
      <w:r>
        <w:rPr>
          <w:rFonts w:ascii="Verdana" w:hAnsi="Verdana" w:cs="Arial"/>
          <w:b/>
          <w:lang w:val="es-ES_tradnl" w:eastAsia="es-CO"/>
        </w:rPr>
        <w:t>SECOP II</w:t>
      </w:r>
      <w:r>
        <w:rPr>
          <w:rFonts w:ascii="Verdana" w:hAnsi="Verdana" w:cs="Arial"/>
          <w:b/>
          <w:lang w:eastAsia="es-CO"/>
        </w:rPr>
        <w:t xml:space="preserve"> – Características – Funcionamiento </w:t>
      </w:r>
      <w:r w:rsidRPr="00AF1555">
        <w:rPr>
          <w:rFonts w:ascii="Verdana" w:hAnsi="Verdana" w:cs="Arial"/>
          <w:b/>
          <w:lang w:eastAsia="es-CO"/>
        </w:rPr>
        <w:t xml:space="preserve">  </w:t>
      </w:r>
    </w:p>
    <w:p w14:paraId="42D5A107" w14:textId="77777777" w:rsidR="00A548AB" w:rsidRPr="00AF1555" w:rsidRDefault="00A548AB" w:rsidP="00A548AB">
      <w:pPr>
        <w:tabs>
          <w:tab w:val="left" w:pos="426"/>
        </w:tabs>
        <w:spacing w:after="0" w:line="240" w:lineRule="auto"/>
        <w:jc w:val="both"/>
        <w:rPr>
          <w:rFonts w:ascii="Verdana" w:hAnsi="Verdana" w:cs="Arial"/>
          <w:b/>
          <w:sz w:val="20"/>
          <w:szCs w:val="20"/>
          <w:lang w:eastAsia="es-CO"/>
        </w:rPr>
      </w:pPr>
    </w:p>
    <w:p w14:paraId="188F5F6A" w14:textId="77777777" w:rsidR="00A548AB" w:rsidRDefault="00A548AB" w:rsidP="00A548AB">
      <w:pPr>
        <w:spacing w:after="0" w:line="240" w:lineRule="auto"/>
        <w:jc w:val="both"/>
        <w:rPr>
          <w:rFonts w:ascii="Verdana" w:hAnsi="Verdana" w:cs="Arial"/>
          <w:bCs/>
          <w:sz w:val="20"/>
          <w:szCs w:val="20"/>
          <w:lang w:val="es-ES_tradnl" w:eastAsia="es-CO"/>
        </w:rPr>
      </w:pPr>
      <w:r w:rsidRPr="00924877">
        <w:rPr>
          <w:rFonts w:ascii="Verdana" w:hAnsi="Verdana" w:cs="Arial"/>
          <w:bCs/>
          <w:sz w:val="20"/>
          <w:szCs w:val="20"/>
          <w:lang w:val="es-ES_tradnl" w:eastAsia="es-CO"/>
        </w:rPr>
        <w:t xml:space="preserve">el SECOP II permite generar contratos en línea y realizar la firma electrónica de los mismos. Tiene funciones que permiten al proveedor presentar garantías y facturas; y a la entidad estatal, realizar la revisión y aprobación de ambos tipos de documentos en línea. Además, el módulo permite hacer modificaciones contractuales, tanto unilaterales como bilaterales –estas últimas son enviadas para aprobación del proveedor antes de la publicación por parte de la entidad estatal–. Para registrar el seguimiento al avance de la ejecución, el módulo de gestión contractual habilita el registro de planes de ejecución por porcentaje de avance y el cargue de documentos tanto a proveedor como a la entidad estatal, la cual puede crear usuarios para que los supervisores de los contratos carguen la información pertinente. Finalmente, la liquidación y el cierre de los expedientes contractuales también puede realizarse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 Las guías de uso de la plataforma se encuentran en el siguiente enlace: </w:t>
      </w:r>
      <w:hyperlink r:id="rId10" w:history="1">
        <w:r w:rsidRPr="000C0A89">
          <w:rPr>
            <w:rStyle w:val="Hipervnculo"/>
            <w:rFonts w:ascii="Verdana" w:hAnsi="Verdana" w:cs="Arial"/>
            <w:bCs/>
            <w:sz w:val="20"/>
            <w:szCs w:val="20"/>
            <w:lang w:val="es-ES_tradnl" w:eastAsia="es-CO"/>
          </w:rPr>
          <w:t>https://www.colombiacompra.gov.co/secop-ii</w:t>
        </w:r>
      </w:hyperlink>
      <w:r>
        <w:rPr>
          <w:rFonts w:ascii="Verdana" w:hAnsi="Verdana" w:cs="Arial"/>
          <w:bCs/>
          <w:sz w:val="20"/>
          <w:szCs w:val="20"/>
          <w:lang w:val="es-ES_tradnl" w:eastAsia="es-CO"/>
        </w:rPr>
        <w:t>.</w:t>
      </w:r>
    </w:p>
    <w:p w14:paraId="0B7D179C" w14:textId="77777777" w:rsidR="00A548AB" w:rsidRPr="00A548AB" w:rsidRDefault="00A548AB" w:rsidP="00193BDF">
      <w:pPr>
        <w:spacing w:after="0" w:line="240" w:lineRule="auto"/>
        <w:rPr>
          <w:rFonts w:ascii="Verdana" w:eastAsia="Geomanist Light" w:hAnsi="Verdana" w:cs="Arial"/>
          <w:color w:val="000000" w:themeColor="text1"/>
          <w:lang w:val="es-ES_tradnl"/>
        </w:rPr>
      </w:pPr>
    </w:p>
    <w:p w14:paraId="582FEF4E" w14:textId="77777777" w:rsidR="00A548AB" w:rsidRDefault="00A548AB" w:rsidP="00193BDF">
      <w:pPr>
        <w:spacing w:after="0" w:line="240" w:lineRule="auto"/>
        <w:rPr>
          <w:rFonts w:ascii="Verdana" w:eastAsia="Geomanist Light" w:hAnsi="Verdana" w:cs="Arial"/>
          <w:color w:val="000000" w:themeColor="text1"/>
          <w:lang w:val="es-MX"/>
        </w:rPr>
      </w:pPr>
    </w:p>
    <w:p w14:paraId="0D15F06A" w14:textId="77777777" w:rsidR="00A548AB" w:rsidRDefault="00A548AB" w:rsidP="00193BDF">
      <w:pPr>
        <w:spacing w:after="0" w:line="240" w:lineRule="auto"/>
        <w:rPr>
          <w:rFonts w:ascii="Verdana" w:eastAsia="Geomanist Light" w:hAnsi="Verdana" w:cs="Arial"/>
          <w:color w:val="000000" w:themeColor="text1"/>
          <w:lang w:val="es-MX"/>
        </w:rPr>
      </w:pPr>
    </w:p>
    <w:p w14:paraId="6E67EFE9" w14:textId="77777777" w:rsidR="00A548AB" w:rsidRDefault="00A548AB" w:rsidP="00193BDF">
      <w:pPr>
        <w:spacing w:after="0" w:line="240" w:lineRule="auto"/>
        <w:rPr>
          <w:rFonts w:ascii="Verdana" w:eastAsia="Geomanist Light" w:hAnsi="Verdana" w:cs="Arial"/>
          <w:color w:val="000000" w:themeColor="text1"/>
          <w:lang w:val="es-MX"/>
        </w:rPr>
      </w:pPr>
    </w:p>
    <w:p w14:paraId="51933FB5" w14:textId="77777777" w:rsidR="00A548AB" w:rsidRDefault="00A548AB" w:rsidP="00193BDF">
      <w:pPr>
        <w:spacing w:after="0" w:line="240" w:lineRule="auto"/>
        <w:rPr>
          <w:rFonts w:ascii="Verdana" w:eastAsia="Geomanist Light" w:hAnsi="Verdana" w:cs="Arial"/>
          <w:color w:val="000000" w:themeColor="text1"/>
          <w:lang w:val="es-MX"/>
        </w:rPr>
      </w:pPr>
    </w:p>
    <w:p w14:paraId="293A765A" w14:textId="77777777" w:rsidR="00A548AB" w:rsidRDefault="00A548AB" w:rsidP="00193BDF">
      <w:pPr>
        <w:spacing w:after="0" w:line="240" w:lineRule="auto"/>
        <w:rPr>
          <w:rFonts w:ascii="Verdana" w:eastAsia="Geomanist Light" w:hAnsi="Verdana" w:cs="Arial"/>
          <w:color w:val="000000" w:themeColor="text1"/>
          <w:lang w:val="es-MX"/>
        </w:rPr>
      </w:pPr>
    </w:p>
    <w:p w14:paraId="6B8CFF31" w14:textId="77777777" w:rsidR="00A548AB" w:rsidRDefault="00A548AB" w:rsidP="00193BDF">
      <w:pPr>
        <w:spacing w:after="0" w:line="240" w:lineRule="auto"/>
        <w:rPr>
          <w:rFonts w:ascii="Verdana" w:eastAsia="Geomanist Light" w:hAnsi="Verdana" w:cs="Arial"/>
          <w:color w:val="000000" w:themeColor="text1"/>
          <w:lang w:val="es-MX"/>
        </w:rPr>
      </w:pPr>
    </w:p>
    <w:p w14:paraId="419D855B" w14:textId="77777777" w:rsidR="00A548AB" w:rsidRDefault="00A548AB" w:rsidP="00193BDF">
      <w:pPr>
        <w:spacing w:after="0" w:line="240" w:lineRule="auto"/>
        <w:rPr>
          <w:rFonts w:ascii="Verdana" w:eastAsia="Geomanist Light" w:hAnsi="Verdana" w:cs="Arial"/>
          <w:color w:val="000000" w:themeColor="text1"/>
          <w:lang w:val="es-MX"/>
        </w:rPr>
      </w:pPr>
    </w:p>
    <w:p w14:paraId="6ABBFD41" w14:textId="77777777" w:rsidR="00A548AB" w:rsidRDefault="00A548AB" w:rsidP="00193BDF">
      <w:pPr>
        <w:spacing w:after="0" w:line="240" w:lineRule="auto"/>
        <w:rPr>
          <w:rFonts w:ascii="Verdana" w:eastAsia="Geomanist Light" w:hAnsi="Verdana" w:cs="Arial"/>
          <w:color w:val="000000" w:themeColor="text1"/>
          <w:lang w:val="es-MX"/>
        </w:rPr>
      </w:pPr>
    </w:p>
    <w:p w14:paraId="29A676B7" w14:textId="77777777" w:rsidR="00A548AB" w:rsidRDefault="00A548AB" w:rsidP="00193BDF">
      <w:pPr>
        <w:spacing w:after="0" w:line="240" w:lineRule="auto"/>
        <w:rPr>
          <w:rFonts w:ascii="Verdana" w:eastAsia="Geomanist Light" w:hAnsi="Verdana" w:cs="Arial"/>
          <w:color w:val="000000" w:themeColor="text1"/>
          <w:lang w:val="es-MX"/>
        </w:rPr>
      </w:pPr>
    </w:p>
    <w:p w14:paraId="14E3DB7E" w14:textId="77777777" w:rsidR="00A548AB" w:rsidRDefault="00A548AB" w:rsidP="00193BDF">
      <w:pPr>
        <w:spacing w:after="0" w:line="240" w:lineRule="auto"/>
        <w:rPr>
          <w:rFonts w:ascii="Verdana" w:eastAsia="Geomanist Light" w:hAnsi="Verdana" w:cs="Arial"/>
          <w:color w:val="000000" w:themeColor="text1"/>
          <w:lang w:val="es-MX"/>
        </w:rPr>
      </w:pPr>
    </w:p>
    <w:p w14:paraId="2A26BE37" w14:textId="77777777" w:rsidR="00A548AB" w:rsidRDefault="00A548AB" w:rsidP="00193BDF">
      <w:pPr>
        <w:spacing w:after="0" w:line="240" w:lineRule="auto"/>
        <w:rPr>
          <w:rFonts w:ascii="Verdana" w:eastAsia="Geomanist Light" w:hAnsi="Verdana" w:cs="Arial"/>
          <w:color w:val="000000" w:themeColor="text1"/>
          <w:lang w:val="es-MX"/>
        </w:rPr>
      </w:pPr>
    </w:p>
    <w:p w14:paraId="5671DE57" w14:textId="04682381" w:rsidR="00193BDF" w:rsidRPr="00593A5F" w:rsidRDefault="00193BDF" w:rsidP="00193BDF">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w:t>
      </w:r>
      <w:bookmarkEnd w:id="0"/>
      <w:r w:rsidRPr="00593A5F">
        <w:rPr>
          <w:rFonts w:ascii="Verdana" w:eastAsia="Geomanist Light" w:hAnsi="Verdana" w:cs="Arial"/>
          <w:color w:val="000000" w:themeColor="text1"/>
          <w:lang w:val="es-MX"/>
        </w:rPr>
        <w:t>, </w:t>
      </w:r>
      <w:r w:rsidR="00700F8F" w:rsidRPr="00700F8F">
        <w:rPr>
          <w:rFonts w:ascii="Verdana" w:eastAsia="Geomanist Light" w:hAnsi="Verdana" w:cs="Arial"/>
          <w:color w:val="000000" w:themeColor="text1"/>
          <w:lang w:val="es-MX"/>
        </w:rPr>
        <w:t>13 de Septiembre de 2024</w:t>
      </w:r>
    </w:p>
    <w:p w14:paraId="696B9595" w14:textId="77777777" w:rsidR="00193BDF" w:rsidRDefault="00193BDF" w:rsidP="00193BDF">
      <w:pPr>
        <w:spacing w:after="0" w:line="240" w:lineRule="auto"/>
        <w:jc w:val="both"/>
        <w:rPr>
          <w:rFonts w:ascii="Verdana" w:eastAsia="Calibri" w:hAnsi="Verdana" w:cs="Arial"/>
          <w:color w:val="000000"/>
          <w:lang w:val="es-ES"/>
        </w:rPr>
      </w:pPr>
    </w:p>
    <w:p w14:paraId="342E41D1" w14:textId="27F873C3" w:rsidR="00700F8F" w:rsidRDefault="00700F8F" w:rsidP="00700F8F">
      <w:pPr>
        <w:spacing w:after="0" w:line="240" w:lineRule="auto"/>
        <w:jc w:val="right"/>
        <w:rPr>
          <w:rFonts w:ascii="Verdana" w:eastAsia="Calibri" w:hAnsi="Verdana" w:cs="Arial"/>
          <w:color w:val="000000"/>
          <w:lang w:val="es-ES"/>
        </w:rPr>
      </w:pPr>
      <w:r w:rsidRPr="00700F8F">
        <w:rPr>
          <w:rFonts w:ascii="Verdana" w:eastAsia="Calibri" w:hAnsi="Verdana" w:cs="Arial"/>
          <w:color w:val="000000"/>
          <w:lang w:val="es-ES"/>
        </w:rPr>
        <w:drawing>
          <wp:inline distT="0" distB="0" distL="0" distR="0" wp14:anchorId="017DD257" wp14:editId="52FB068E">
            <wp:extent cx="3238500" cy="901700"/>
            <wp:effectExtent l="0" t="0" r="0" b="0"/>
            <wp:docPr id="6067356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35659" name=""/>
                    <pic:cNvPicPr/>
                  </pic:nvPicPr>
                  <pic:blipFill>
                    <a:blip r:embed="rId11"/>
                    <a:stretch>
                      <a:fillRect/>
                    </a:stretch>
                  </pic:blipFill>
                  <pic:spPr>
                    <a:xfrm>
                      <a:off x="0" y="0"/>
                      <a:ext cx="3238500" cy="901700"/>
                    </a:xfrm>
                    <a:prstGeom prst="rect">
                      <a:avLst/>
                    </a:prstGeom>
                  </pic:spPr>
                </pic:pic>
              </a:graphicData>
            </a:graphic>
          </wp:inline>
        </w:drawing>
      </w:r>
    </w:p>
    <w:p w14:paraId="5F565722" w14:textId="77777777" w:rsidR="00193BDF" w:rsidRPr="00593A5F" w:rsidRDefault="00193BDF" w:rsidP="00193BDF">
      <w:pPr>
        <w:spacing w:after="0" w:line="240" w:lineRule="auto"/>
        <w:jc w:val="both"/>
        <w:rPr>
          <w:rFonts w:ascii="Verdana" w:eastAsia="Calibri" w:hAnsi="Verdana" w:cs="Arial"/>
          <w:color w:val="000000"/>
          <w:lang w:val="es-ES"/>
        </w:rPr>
      </w:pPr>
    </w:p>
    <w:p w14:paraId="0E59A3AC" w14:textId="77777777" w:rsidR="00193BDF" w:rsidRPr="00B96799" w:rsidRDefault="00193BDF" w:rsidP="00193BD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a</w:t>
      </w:r>
    </w:p>
    <w:p w14:paraId="1FE8BBAD" w14:textId="77777777" w:rsidR="00193BDF" w:rsidRDefault="00193BDF" w:rsidP="00193BDF">
      <w:pPr>
        <w:spacing w:after="0" w:line="240" w:lineRule="auto"/>
        <w:rPr>
          <w:rFonts w:ascii="Verdana" w:eastAsia="Calibri" w:hAnsi="Verdana" w:cs="Arial"/>
          <w:b/>
          <w:lang w:val="es-ES_tradnl" w:eastAsia="es-ES_tradnl"/>
        </w:rPr>
      </w:pPr>
      <w:r w:rsidRPr="00D0460B">
        <w:rPr>
          <w:rFonts w:ascii="Verdana" w:eastAsia="Calibri" w:hAnsi="Verdana" w:cs="Arial"/>
          <w:b/>
          <w:lang w:val="es-ES_tradnl" w:eastAsia="es-ES_tradnl"/>
        </w:rPr>
        <w:t>Angie Shakira Ortiz Prada</w:t>
      </w:r>
    </w:p>
    <w:p w14:paraId="3E74AC8C" w14:textId="77777777" w:rsidR="00193BDF" w:rsidRPr="00D0460B" w:rsidRDefault="00193BDF" w:rsidP="00193BDF">
      <w:pPr>
        <w:spacing w:after="0" w:line="240" w:lineRule="auto"/>
        <w:rPr>
          <w:rFonts w:ascii="Verdana" w:eastAsia="Calibri" w:hAnsi="Verdana" w:cs="Arial"/>
          <w:lang w:val="es-ES" w:eastAsia="es-ES"/>
        </w:rPr>
      </w:pPr>
      <w:hyperlink r:id="rId12" w:history="1">
        <w:r w:rsidRPr="00785087">
          <w:rPr>
            <w:rStyle w:val="Hipervnculo"/>
            <w:rFonts w:ascii="Verdana" w:hAnsi="Verdana"/>
          </w:rPr>
          <w:t>angieortizp28@gmail.com</w:t>
        </w:r>
      </w:hyperlink>
      <w:r>
        <w:rPr>
          <w:rFonts w:ascii="Verdana" w:eastAsia="Calibri" w:hAnsi="Verdana" w:cs="Arial"/>
          <w:lang w:val="es-ES" w:eastAsia="es-ES"/>
        </w:rPr>
        <w:t xml:space="preserve"> </w:t>
      </w:r>
      <w:r w:rsidRPr="00D0460B">
        <w:rPr>
          <w:rFonts w:ascii="Verdana" w:eastAsia="Calibri" w:hAnsi="Verdana" w:cs="Arial"/>
          <w:lang w:val="es-ES" w:eastAsia="es-ES"/>
        </w:rPr>
        <w:t xml:space="preserve">   </w:t>
      </w:r>
    </w:p>
    <w:p w14:paraId="1D0C4264" w14:textId="77777777" w:rsidR="00193BDF" w:rsidRDefault="00193BDF" w:rsidP="00193BDF">
      <w:pPr>
        <w:spacing w:after="0" w:line="240" w:lineRule="auto"/>
        <w:rPr>
          <w:rFonts w:ascii="Verdana" w:eastAsia="Calibri" w:hAnsi="Verdana" w:cs="Arial"/>
          <w:lang w:val="es-ES" w:eastAsia="es-ES"/>
        </w:rPr>
      </w:pPr>
      <w:r w:rsidRPr="00D0460B">
        <w:rPr>
          <w:rFonts w:ascii="Verdana" w:eastAsia="Calibri" w:hAnsi="Verdana" w:cs="Arial"/>
          <w:lang w:val="es-ES" w:eastAsia="es-ES"/>
        </w:rPr>
        <w:t>Bogotá D.C.</w:t>
      </w:r>
      <w:r>
        <w:rPr>
          <w:rFonts w:ascii="Verdana" w:eastAsia="Calibri" w:hAnsi="Verdana" w:cs="Arial"/>
          <w:lang w:val="es-ES" w:eastAsia="es-ES"/>
        </w:rPr>
        <w:t xml:space="preserve"> </w:t>
      </w:r>
    </w:p>
    <w:p w14:paraId="7A5BAD66" w14:textId="77777777" w:rsidR="00193BDF" w:rsidRPr="00593A5F" w:rsidRDefault="00193BDF" w:rsidP="00193BDF">
      <w:pPr>
        <w:spacing w:after="0" w:line="240" w:lineRule="auto"/>
        <w:rPr>
          <w:rFonts w:ascii="Verdana" w:eastAsia="Calibri" w:hAnsi="Verdana" w:cs="Arial"/>
          <w:b/>
          <w:bCs/>
          <w:color w:val="000000"/>
          <w:lang w:val="es-ES_tradnl" w:eastAsia="es-ES_tradnl"/>
        </w:rPr>
      </w:pPr>
    </w:p>
    <w:p w14:paraId="2A180F4D" w14:textId="77777777" w:rsidR="00193BDF" w:rsidRPr="00593A5F" w:rsidRDefault="00193BDF" w:rsidP="00193BD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93BDF" w:rsidRPr="00593A5F" w14:paraId="71F10785" w14:textId="77777777" w:rsidTr="00F70182">
        <w:trPr>
          <w:trHeight w:val="884"/>
        </w:trPr>
        <w:tc>
          <w:tcPr>
            <w:tcW w:w="2689" w:type="dxa"/>
          </w:tcPr>
          <w:p w14:paraId="780FD084" w14:textId="77777777" w:rsidR="00193BDF" w:rsidRPr="00C00976" w:rsidRDefault="00193BDF" w:rsidP="00F70182">
            <w:pPr>
              <w:jc w:val="both"/>
              <w:rPr>
                <w:rFonts w:ascii="Verdana" w:eastAsia="Calibri" w:hAnsi="Verdana" w:cs="Arial"/>
                <w:b/>
                <w:bCs/>
                <w:color w:val="7030A0"/>
                <w:lang w:val="es-ES_tradnl" w:eastAsia="es-ES_tradnl"/>
              </w:rPr>
            </w:pPr>
          </w:p>
        </w:tc>
        <w:tc>
          <w:tcPr>
            <w:tcW w:w="6100" w:type="dxa"/>
          </w:tcPr>
          <w:p w14:paraId="11BF461A" w14:textId="77777777" w:rsidR="00193BDF" w:rsidRPr="00C00976" w:rsidRDefault="00193BDF" w:rsidP="00F70182">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425</w:t>
            </w:r>
            <w:r w:rsidRPr="008E6AD9">
              <w:rPr>
                <w:rFonts w:ascii="Verdana" w:eastAsia="Calibri" w:hAnsi="Verdana" w:cs="Arial"/>
                <w:b/>
                <w:bCs/>
                <w:lang w:val="es-ES" w:eastAsia="es-ES"/>
              </w:rPr>
              <w:t xml:space="preserve"> de 2024</w:t>
            </w:r>
          </w:p>
        </w:tc>
      </w:tr>
      <w:tr w:rsidR="00193BDF" w:rsidRPr="00593A5F" w14:paraId="24F77841" w14:textId="77777777" w:rsidTr="00F70182">
        <w:trPr>
          <w:trHeight w:val="884"/>
        </w:trPr>
        <w:tc>
          <w:tcPr>
            <w:tcW w:w="2689" w:type="dxa"/>
          </w:tcPr>
          <w:p w14:paraId="46BA5C5F" w14:textId="77777777" w:rsidR="00193BDF" w:rsidRPr="00593A5F" w:rsidRDefault="00193BDF" w:rsidP="00F70182">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76768771" w14:textId="77777777" w:rsidR="00193BDF" w:rsidRPr="00A11406" w:rsidRDefault="00193BDF" w:rsidP="00F70182">
            <w:pPr>
              <w:spacing w:line="276" w:lineRule="auto"/>
              <w:jc w:val="both"/>
              <w:rPr>
                <w:rFonts w:ascii="Verdana" w:eastAsia="Calibri" w:hAnsi="Verdana" w:cs="Arial"/>
                <w:lang w:val="es-ES" w:eastAsia="es-ES"/>
              </w:rPr>
            </w:pPr>
            <w:r w:rsidRPr="00924877">
              <w:rPr>
                <w:rFonts w:ascii="Verdana" w:eastAsia="Calibri" w:hAnsi="Verdana" w:cs="Arial"/>
                <w:lang w:val="es-ES" w:eastAsia="es-ES"/>
              </w:rPr>
              <w:t xml:space="preserve">PLANEACIÓN CONTRACTUAL – Manifestaciones – Análisis del sector – Estudios previos </w:t>
            </w:r>
            <w:r>
              <w:rPr>
                <w:rFonts w:ascii="Verdana" w:eastAsia="Calibri" w:hAnsi="Verdana" w:cs="Arial"/>
                <w:lang w:val="es-ES" w:eastAsia="es-ES"/>
              </w:rPr>
              <w:t xml:space="preserve">/ </w:t>
            </w:r>
            <w:r w:rsidRPr="00924877">
              <w:rPr>
                <w:rFonts w:ascii="Verdana" w:eastAsia="Calibri" w:hAnsi="Verdana" w:cs="Arial"/>
                <w:lang w:val="es-ES" w:eastAsia="es-ES"/>
              </w:rPr>
              <w:t>DOCUMENTOS TIPO – Requisitos habilitantes – Inalterabilidad</w:t>
            </w:r>
            <w:r>
              <w:rPr>
                <w:rFonts w:ascii="Verdana" w:eastAsia="Calibri" w:hAnsi="Verdana" w:cs="Arial"/>
                <w:lang w:val="es-ES" w:eastAsia="es-ES"/>
              </w:rPr>
              <w:t xml:space="preserve"> / </w:t>
            </w:r>
            <w:r w:rsidRPr="00924877">
              <w:rPr>
                <w:rFonts w:ascii="Verdana" w:eastAsia="Calibri" w:hAnsi="Verdana" w:cs="Arial"/>
                <w:lang w:val="es-ES" w:eastAsia="es-ES"/>
              </w:rPr>
              <w:t xml:space="preserve">REQUISITOS HABILITANTES – Verificación – Sujeción a los documentos del proceso </w:t>
            </w:r>
            <w:r>
              <w:rPr>
                <w:rFonts w:ascii="Verdana" w:eastAsia="Calibri" w:hAnsi="Verdana" w:cs="Arial"/>
                <w:lang w:val="es-ES" w:eastAsia="es-ES"/>
              </w:rPr>
              <w:t xml:space="preserve">/ </w:t>
            </w:r>
            <w:r w:rsidRPr="00924877">
              <w:rPr>
                <w:rFonts w:ascii="Verdana" w:eastAsia="Calibri" w:hAnsi="Verdana" w:cs="Arial"/>
                <w:lang w:val="es-ES" w:eastAsia="es-ES"/>
              </w:rPr>
              <w:t xml:space="preserve">SELECCIÓN ABREVIADA – Subasta inversa – Fundamento normativo </w:t>
            </w:r>
            <w:r>
              <w:rPr>
                <w:rFonts w:ascii="Verdana" w:eastAsia="Calibri" w:hAnsi="Verdana" w:cs="Arial"/>
                <w:lang w:val="es-ES" w:eastAsia="es-ES"/>
              </w:rPr>
              <w:t xml:space="preserve">/ </w:t>
            </w:r>
            <w:r w:rsidRPr="00924877">
              <w:rPr>
                <w:rFonts w:ascii="Verdana" w:eastAsia="Calibri" w:hAnsi="Verdana" w:cs="Arial"/>
                <w:lang w:val="es-ES" w:eastAsia="es-ES"/>
              </w:rPr>
              <w:t>RUP – Características – Plena prueba</w:t>
            </w:r>
            <w:r>
              <w:rPr>
                <w:rFonts w:ascii="Verdana" w:eastAsia="Calibri" w:hAnsi="Verdana" w:cs="Arial"/>
                <w:lang w:val="es-ES" w:eastAsia="es-ES"/>
              </w:rPr>
              <w:t xml:space="preserve"> / </w:t>
            </w:r>
            <w:r w:rsidRPr="00924877">
              <w:rPr>
                <w:rFonts w:ascii="Verdana" w:eastAsia="Calibri" w:hAnsi="Verdana" w:cs="Arial"/>
                <w:lang w:val="es-ES" w:eastAsia="es-ES"/>
              </w:rPr>
              <w:t>SELECCIÓN ABREVIADA – Menor cuantía – Manifestación de interés – Requisito habilitante</w:t>
            </w:r>
            <w:r>
              <w:rPr>
                <w:rFonts w:ascii="Verdana" w:eastAsia="Calibri" w:hAnsi="Verdana" w:cs="Arial"/>
                <w:lang w:val="es-ES" w:eastAsia="es-ES"/>
              </w:rPr>
              <w:t xml:space="preserve"> / </w:t>
            </w:r>
            <w:r w:rsidRPr="00924877">
              <w:rPr>
                <w:rFonts w:ascii="Verdana" w:eastAsia="Calibri" w:hAnsi="Verdana" w:cs="Arial"/>
                <w:lang w:val="es-ES" w:eastAsia="es-ES"/>
              </w:rPr>
              <w:t>MÍNIMA CUANTÍA – Fundamento normativo – Menor precio</w:t>
            </w:r>
            <w:r>
              <w:rPr>
                <w:rFonts w:ascii="Verdana" w:eastAsia="Calibri" w:hAnsi="Verdana" w:cs="Arial"/>
                <w:lang w:val="es-ES" w:eastAsia="es-ES"/>
              </w:rPr>
              <w:t xml:space="preserve"> / </w:t>
            </w:r>
            <w:r w:rsidRPr="00924877">
              <w:rPr>
                <w:rFonts w:ascii="Verdana" w:eastAsia="Calibri" w:hAnsi="Verdana" w:cs="Arial"/>
                <w:lang w:val="es-ES" w:eastAsia="es-ES"/>
              </w:rPr>
              <w:t>INFORME DE EVALUACIÓ</w:t>
            </w:r>
            <w:r>
              <w:rPr>
                <w:rFonts w:ascii="Verdana" w:eastAsia="Calibri" w:hAnsi="Verdana" w:cs="Arial"/>
                <w:lang w:val="es-ES" w:eastAsia="es-ES"/>
              </w:rPr>
              <w:t xml:space="preserve">N </w:t>
            </w:r>
            <w:r w:rsidRPr="00924877">
              <w:rPr>
                <w:rFonts w:ascii="Verdana" w:eastAsia="Calibri" w:hAnsi="Verdana" w:cs="Arial"/>
                <w:lang w:val="es-ES" w:eastAsia="es-ES"/>
              </w:rPr>
              <w:t>– Regulación</w:t>
            </w:r>
            <w:r>
              <w:rPr>
                <w:rFonts w:ascii="Verdana" w:eastAsia="Calibri" w:hAnsi="Verdana" w:cs="Arial"/>
                <w:lang w:val="es-ES" w:eastAsia="es-ES"/>
              </w:rPr>
              <w:t xml:space="preserve"> / </w:t>
            </w:r>
            <w:r w:rsidRPr="00924877">
              <w:rPr>
                <w:rFonts w:ascii="Verdana" w:eastAsia="Calibri" w:hAnsi="Verdana" w:cs="Arial"/>
                <w:lang w:val="es-ES" w:eastAsia="es-ES"/>
              </w:rPr>
              <w:t>VICIOS DEL PROCEDIMIENTO – Saneamiento – Requisitos</w:t>
            </w:r>
            <w:r>
              <w:rPr>
                <w:rFonts w:ascii="Verdana" w:eastAsia="Calibri" w:hAnsi="Verdana" w:cs="Arial"/>
                <w:lang w:val="es-ES" w:eastAsia="es-ES"/>
              </w:rPr>
              <w:t xml:space="preserve"> / </w:t>
            </w:r>
            <w:r w:rsidRPr="00924877">
              <w:rPr>
                <w:rFonts w:ascii="Verdana" w:eastAsia="Calibri" w:hAnsi="Verdana" w:cs="Arial"/>
                <w:lang w:val="es-ES" w:eastAsia="es-ES"/>
              </w:rPr>
              <w:t xml:space="preserve">SECOP II – Características – Funcionamiento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3C36FF93" w14:textId="77777777" w:rsidR="00193BDF" w:rsidRPr="00593A5F" w:rsidRDefault="00193BDF" w:rsidP="00F70182">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193BDF" w:rsidRPr="008E6AD9" w14:paraId="45BB205E" w14:textId="77777777" w:rsidTr="00F70182">
        <w:tc>
          <w:tcPr>
            <w:tcW w:w="2689" w:type="dxa"/>
          </w:tcPr>
          <w:p w14:paraId="44CD24E3" w14:textId="77777777" w:rsidR="00193BDF" w:rsidRPr="008E6AD9" w:rsidRDefault="00193BDF" w:rsidP="00F70182">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D0CF90D" w14:textId="77777777" w:rsidR="00193BDF" w:rsidRPr="008E6AD9" w:rsidRDefault="00193BDF" w:rsidP="00F70182">
            <w:pPr>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 xml:space="preserve">consulta con radicado No. </w:t>
            </w:r>
            <w:r w:rsidRPr="00D0460B">
              <w:rPr>
                <w:rFonts w:ascii="Verdana" w:eastAsia="Calibri" w:hAnsi="Verdana" w:cs="Arial"/>
                <w:lang w:val="es-ES_tradnl" w:eastAsia="es-ES_tradnl"/>
              </w:rPr>
              <w:t>P20240731007886</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6D59C47" w14:textId="77777777" w:rsidR="00193BDF" w:rsidRPr="00593A5F" w:rsidRDefault="00193BDF" w:rsidP="00193BDF">
      <w:pPr>
        <w:spacing w:after="0" w:line="240" w:lineRule="auto"/>
        <w:jc w:val="both"/>
        <w:rPr>
          <w:rFonts w:ascii="Verdana" w:eastAsia="Calibri" w:hAnsi="Verdana" w:cs="Arial"/>
          <w:color w:val="000000"/>
          <w:lang w:val="es-ES_tradnl" w:eastAsia="es-ES_tradnl"/>
        </w:rPr>
      </w:pPr>
    </w:p>
    <w:p w14:paraId="3BD91960" w14:textId="77777777" w:rsidR="00193BDF" w:rsidRPr="00593A5F" w:rsidRDefault="00193BDF" w:rsidP="00193BDF">
      <w:pPr>
        <w:spacing w:after="0" w:line="240" w:lineRule="auto"/>
        <w:jc w:val="both"/>
        <w:rPr>
          <w:rFonts w:ascii="Verdana" w:eastAsia="Calibri" w:hAnsi="Verdana" w:cs="Arial"/>
          <w:color w:val="000000"/>
          <w:lang w:val="es-ES_tradnl" w:eastAsia="es-ES_tradnl"/>
        </w:rPr>
      </w:pPr>
    </w:p>
    <w:p w14:paraId="12AF3997" w14:textId="77777777" w:rsidR="00193BDF" w:rsidRPr="008E6AD9" w:rsidRDefault="00193BDF" w:rsidP="00193BD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a</w:t>
      </w:r>
      <w:r w:rsidRPr="008E6AD9">
        <w:rPr>
          <w:rFonts w:ascii="Verdana" w:eastAsia="Calibri" w:hAnsi="Verdana" w:cs="Arial"/>
          <w:lang w:val="es-ES" w:eastAsia="es-ES"/>
        </w:rPr>
        <w:t xml:space="preserve"> señor</w:t>
      </w:r>
      <w:r>
        <w:rPr>
          <w:rFonts w:ascii="Verdana" w:eastAsia="Calibri" w:hAnsi="Verdana" w:cs="Arial"/>
          <w:lang w:val="es-ES" w:eastAsia="es-ES"/>
        </w:rPr>
        <w:t>a</w:t>
      </w:r>
      <w:r w:rsidRPr="008E6AD9">
        <w:rPr>
          <w:rFonts w:ascii="Verdana" w:eastAsia="Calibri" w:hAnsi="Verdana" w:cs="Arial"/>
          <w:lang w:val="es-ES" w:eastAsia="es-ES"/>
        </w:rPr>
        <w:t xml:space="preserve"> </w:t>
      </w:r>
      <w:r w:rsidRPr="00D0460B">
        <w:rPr>
          <w:rFonts w:ascii="Verdana" w:eastAsia="Calibri" w:hAnsi="Verdana" w:cs="Arial"/>
          <w:lang w:val="es-ES" w:eastAsia="es-ES"/>
        </w:rPr>
        <w:t>Ortiz Prada</w:t>
      </w:r>
      <w:r w:rsidRPr="008E6AD9">
        <w:rPr>
          <w:rFonts w:ascii="Verdana" w:eastAsia="Calibri" w:hAnsi="Verdana" w:cs="Arial"/>
          <w:lang w:val="es-ES" w:eastAsia="es-ES"/>
        </w:rPr>
        <w:t xml:space="preserve">: </w:t>
      </w:r>
    </w:p>
    <w:p w14:paraId="674114CB" w14:textId="77777777" w:rsidR="00193BDF" w:rsidRDefault="00193BDF" w:rsidP="00193BD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46C79FC4" w14:textId="77777777" w:rsidR="00193BDF" w:rsidRPr="00593A5F" w:rsidRDefault="00193BDF" w:rsidP="00193BDF">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w:t>
      </w:r>
      <w:r w:rsidRPr="00593A5F">
        <w:rPr>
          <w:rFonts w:ascii="Verdana" w:eastAsia="Calibri" w:hAnsi="Verdana" w:cs="Arial"/>
          <w:color w:val="000000" w:themeColor="text1"/>
          <w:lang w:val="es-ES" w:eastAsia="es-ES"/>
        </w:rPr>
        <w:lastRenderedPageBreak/>
        <w:t>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31 de julio</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realiza las siguientes preguntas</w:t>
      </w:r>
      <w:r w:rsidRPr="008E6AD9">
        <w:rPr>
          <w:rFonts w:ascii="Verdana" w:eastAsia="Calibri" w:hAnsi="Verdana" w:cs="Arial"/>
          <w:lang w:val="es-ES" w:eastAsia="es-ES"/>
        </w:rPr>
        <w:t xml:space="preserve">: </w:t>
      </w:r>
    </w:p>
    <w:p w14:paraId="7348EAE1" w14:textId="77777777" w:rsidR="00193BDF" w:rsidRPr="00272A7B" w:rsidRDefault="00193BDF" w:rsidP="00565DAB">
      <w:pPr>
        <w:pStyle w:val="Prrafodelista"/>
        <w:tabs>
          <w:tab w:val="left" w:pos="142"/>
          <w:tab w:val="left" w:pos="284"/>
        </w:tabs>
        <w:spacing w:after="0" w:line="276" w:lineRule="auto"/>
        <w:ind w:left="0"/>
        <w:jc w:val="both"/>
        <w:rPr>
          <w:rFonts w:ascii="Verdana" w:eastAsia="Century Gothic" w:hAnsi="Verdana" w:cs="Century Gothic"/>
          <w:b/>
          <w:bCs/>
        </w:rPr>
      </w:pPr>
    </w:p>
    <w:p w14:paraId="4F67C148"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bookmarkStart w:id="1" w:name="_Hlk95313578"/>
      <w:r w:rsidRPr="006040CE">
        <w:rPr>
          <w:rFonts w:ascii="Verdana" w:eastAsia="Century Gothic" w:hAnsi="Verdana" w:cs="Century Gothic"/>
          <w:sz w:val="21"/>
          <w:szCs w:val="21"/>
          <w:lang w:val="es-ES"/>
        </w:rPr>
        <w:t>“</w:t>
      </w:r>
      <w:bookmarkEnd w:id="1"/>
      <w:r w:rsidRPr="007871C6">
        <w:rPr>
          <w:rFonts w:ascii="Verdana" w:eastAsia="Century Gothic" w:hAnsi="Verdana" w:cs="Century Gothic"/>
          <w:sz w:val="21"/>
          <w:szCs w:val="21"/>
          <w:lang w:val="es-ES"/>
        </w:rPr>
        <w:t>1. ¿De dónde se saca la información financiera en los estudios previos y análisis del sector de abreviadas y demás?</w:t>
      </w:r>
    </w:p>
    <w:p w14:paraId="5A6ED79F"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2. ¿Cómo saco los indicadores financieros de un proceso y saber que cumplan con los pliegos tipo?</w:t>
      </w:r>
    </w:p>
    <w:p w14:paraId="6952E140"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3. ¿Cómo se realiza la evaluación financiera de una abreviada y demás, aunque tengo idea, quisiera saber cómo se deja la proporción de experiencia cuando son uniones temporales?</w:t>
      </w:r>
    </w:p>
    <w:p w14:paraId="2B984312"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4. ¿Cuándo es una subasta, </w:t>
      </w:r>
      <w:proofErr w:type="gramStart"/>
      <w:r w:rsidRPr="007871C6">
        <w:rPr>
          <w:rFonts w:ascii="Verdana" w:eastAsia="Century Gothic" w:hAnsi="Verdana" w:cs="Century Gothic"/>
          <w:sz w:val="21"/>
          <w:szCs w:val="21"/>
          <w:lang w:val="es-ES"/>
        </w:rPr>
        <w:t>cómo se realizan los lances?</w:t>
      </w:r>
      <w:proofErr w:type="gramEnd"/>
    </w:p>
    <w:p w14:paraId="0B51D5D2"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5. ¿El RUP sirve para las abreviadas y para la licitación o se necesita algo más?</w:t>
      </w:r>
    </w:p>
    <w:p w14:paraId="5D848951"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6. ¿Si una persona no presenta la manifestación de intereses en la abreviada, pero cumple y se presenta en el cierre, se puede evaluar? </w:t>
      </w:r>
    </w:p>
    <w:p w14:paraId="4094D2D3"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7. ¿Qué es lo más importante que se debe tener en cuenta a la hora de realizar el informe de evaluación en una mínima?</w:t>
      </w:r>
    </w:p>
    <w:p w14:paraId="2868BFCC"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8. ¿En el caso de que una persona tenga RUP y se presente a un proceso, la experiencia que anexe debe estar inmersa en el RUP, o puede anexar otra, en el caso que esta no esté anexada en el RUP? </w:t>
      </w:r>
    </w:p>
    <w:p w14:paraId="5592B21A"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9. ¿La evaluación jurídica es un formato estándar o se debe anexar algo en especial por el tipo de contrato?</w:t>
      </w:r>
    </w:p>
    <w:p w14:paraId="77C763BD"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10. ¿Las licitaciones y concurso de méritos qué requisitos requiere para contratar y a la hora de evaluar que se tiene en cuenta? </w:t>
      </w:r>
    </w:p>
    <w:p w14:paraId="374A30C3"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11. En qué momento se debe emitir una resolución para sanear un vicio en la contratación? </w:t>
      </w:r>
    </w:p>
    <w:p w14:paraId="343D8048"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12. </w:t>
      </w:r>
      <w:proofErr w:type="gramStart"/>
      <w:r w:rsidRPr="007871C6">
        <w:rPr>
          <w:rFonts w:ascii="Verdana" w:eastAsia="Century Gothic" w:hAnsi="Verdana" w:cs="Century Gothic"/>
          <w:sz w:val="21"/>
          <w:szCs w:val="21"/>
          <w:lang w:val="es-ES"/>
        </w:rPr>
        <w:t>Los códigos si no están contemplados dentro de la invitación pública y si al menos se cuenta con uno en el registro mercantil que tenga relación con el objeto a contratar, debe aceptar la propuesta?</w:t>
      </w:r>
      <w:proofErr w:type="gramEnd"/>
    </w:p>
    <w:p w14:paraId="366F2306" w14:textId="77777777" w:rsidR="00193BDF" w:rsidRPr="007871C6" w:rsidRDefault="00193BDF" w:rsidP="00193BDF">
      <w:pPr>
        <w:spacing w:after="120" w:line="240" w:lineRule="auto"/>
        <w:ind w:left="709" w:right="709"/>
        <w:jc w:val="both"/>
        <w:rPr>
          <w:rFonts w:ascii="Verdana" w:eastAsia="Century Gothic" w:hAnsi="Verdana" w:cs="Century Gothic"/>
          <w:sz w:val="21"/>
          <w:szCs w:val="21"/>
          <w:lang w:val="es-ES"/>
        </w:rPr>
      </w:pPr>
      <w:r w:rsidRPr="007871C6">
        <w:rPr>
          <w:rFonts w:ascii="Verdana" w:eastAsia="Century Gothic" w:hAnsi="Verdana" w:cs="Century Gothic"/>
          <w:sz w:val="21"/>
          <w:szCs w:val="21"/>
          <w:lang w:val="es-ES"/>
        </w:rPr>
        <w:t xml:space="preserve">13. ¿Cuál es la forma correcta de manejar el </w:t>
      </w:r>
      <w:proofErr w:type="spellStart"/>
      <w:r w:rsidRPr="007871C6">
        <w:rPr>
          <w:rFonts w:ascii="Verdana" w:eastAsia="Century Gothic" w:hAnsi="Verdana" w:cs="Century Gothic"/>
          <w:sz w:val="21"/>
          <w:szCs w:val="21"/>
          <w:lang w:val="es-ES"/>
        </w:rPr>
        <w:t>Secop</w:t>
      </w:r>
      <w:proofErr w:type="spellEnd"/>
      <w:r w:rsidRPr="007871C6">
        <w:rPr>
          <w:rFonts w:ascii="Verdana" w:eastAsia="Century Gothic" w:hAnsi="Verdana" w:cs="Century Gothic"/>
          <w:sz w:val="21"/>
          <w:szCs w:val="21"/>
          <w:lang w:val="es-ES"/>
        </w:rPr>
        <w:t xml:space="preserve"> 2 y presentarse en los procesos que publiquen? </w:t>
      </w:r>
    </w:p>
    <w:p w14:paraId="609F60FD" w14:textId="77777777" w:rsidR="00193BDF" w:rsidRPr="00FA0F71" w:rsidRDefault="00193BDF" w:rsidP="00193BDF">
      <w:pPr>
        <w:spacing w:after="0" w:line="240" w:lineRule="auto"/>
        <w:ind w:left="709" w:right="709"/>
        <w:jc w:val="both"/>
        <w:rPr>
          <w:rFonts w:ascii="Verdana" w:hAnsi="Verdana" w:cs="Arial"/>
          <w:sz w:val="21"/>
          <w:szCs w:val="21"/>
          <w:shd w:val="clear" w:color="auto" w:fill="FFFFFF"/>
          <w:lang w:val="es-ES"/>
        </w:rPr>
      </w:pPr>
      <w:r w:rsidRPr="007871C6">
        <w:rPr>
          <w:rFonts w:ascii="Verdana" w:eastAsia="Century Gothic" w:hAnsi="Verdana" w:cs="Century Gothic"/>
          <w:sz w:val="21"/>
          <w:szCs w:val="21"/>
          <w:lang w:val="es-ES"/>
        </w:rPr>
        <w:t>Pues como último. ¿Qu</w:t>
      </w:r>
      <w:r>
        <w:rPr>
          <w:rFonts w:ascii="Verdana" w:eastAsia="Century Gothic" w:hAnsi="Verdana" w:cs="Century Gothic"/>
          <w:sz w:val="21"/>
          <w:szCs w:val="21"/>
          <w:lang w:val="es-ES"/>
        </w:rPr>
        <w:t>é</w:t>
      </w:r>
      <w:r w:rsidRPr="007871C6">
        <w:rPr>
          <w:rFonts w:ascii="Verdana" w:eastAsia="Century Gothic" w:hAnsi="Verdana" w:cs="Century Gothic"/>
          <w:sz w:val="21"/>
          <w:szCs w:val="21"/>
          <w:lang w:val="es-ES"/>
        </w:rPr>
        <w:t xml:space="preserve"> </w:t>
      </w:r>
      <w:proofErr w:type="spellStart"/>
      <w:r w:rsidRPr="007871C6">
        <w:rPr>
          <w:rFonts w:ascii="Verdana" w:eastAsia="Century Gothic" w:hAnsi="Verdana" w:cs="Century Gothic"/>
          <w:sz w:val="21"/>
          <w:szCs w:val="21"/>
          <w:lang w:val="es-ES"/>
        </w:rPr>
        <w:t>tips</w:t>
      </w:r>
      <w:proofErr w:type="spellEnd"/>
      <w:r w:rsidRPr="007871C6">
        <w:rPr>
          <w:rFonts w:ascii="Verdana" w:eastAsia="Century Gothic" w:hAnsi="Verdana" w:cs="Century Gothic"/>
          <w:sz w:val="21"/>
          <w:szCs w:val="21"/>
          <w:lang w:val="es-ES"/>
        </w:rPr>
        <w:t xml:space="preserve"> se deben tener en cuenta a la hora de presentarse y evaluar cualquier tipo de modalidad de contratación?</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5D58B282" w14:textId="77777777" w:rsidR="00193BDF" w:rsidRPr="008E6AD9" w:rsidRDefault="00193BDF" w:rsidP="00565DAB">
      <w:pPr>
        <w:pStyle w:val="Prrafodelista"/>
        <w:tabs>
          <w:tab w:val="left" w:pos="142"/>
          <w:tab w:val="left" w:pos="284"/>
        </w:tabs>
        <w:spacing w:after="0" w:line="276" w:lineRule="auto"/>
        <w:ind w:left="0"/>
        <w:jc w:val="both"/>
        <w:rPr>
          <w:rFonts w:ascii="Verdana" w:eastAsia="Century Gothic" w:hAnsi="Verdana" w:cs="Century Gothic"/>
          <w:b/>
          <w:bCs/>
        </w:rPr>
      </w:pPr>
    </w:p>
    <w:p w14:paraId="2EC514F2" w14:textId="77777777" w:rsidR="00193BDF" w:rsidRPr="00A652FF" w:rsidRDefault="00193BDF" w:rsidP="00193BD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59C15B15" w14:textId="77777777" w:rsidR="00193BDF" w:rsidRDefault="00193BDF" w:rsidP="00193BD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 xml:space="preserve">s en la </w:t>
      </w:r>
      <w:r w:rsidRPr="00144481">
        <w:rPr>
          <w:rFonts w:ascii="Verdana" w:eastAsia="Calibri" w:hAnsi="Verdana" w:cs="Arial"/>
          <w:color w:val="000000"/>
          <w:lang w:val="es-ES" w:eastAsia="es-ES"/>
        </w:rPr>
        <w:t>pregunta 12 de la solicitud</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los problemas jurídicos de los demás puntos</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9D0264B" w14:textId="77777777" w:rsidR="00193BDF" w:rsidRPr="00593A5F" w:rsidRDefault="00193BDF" w:rsidP="00193BDF">
      <w:pPr>
        <w:spacing w:after="0" w:line="276" w:lineRule="auto"/>
        <w:ind w:firstLine="709"/>
        <w:jc w:val="both"/>
        <w:rPr>
          <w:rFonts w:ascii="Verdana" w:eastAsia="Calibri" w:hAnsi="Verdana" w:cs="Arial"/>
          <w:color w:val="000000"/>
          <w:lang w:val="es-ES" w:eastAsia="es-ES"/>
        </w:rPr>
      </w:pPr>
    </w:p>
    <w:p w14:paraId="7159FA23" w14:textId="77777777" w:rsidR="00193BDF" w:rsidRPr="00593A5F" w:rsidRDefault="00193BDF" w:rsidP="00193BD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w:t>
      </w:r>
      <w:r>
        <w:rPr>
          <w:rFonts w:ascii="Verdana" w:eastAsia="Century Gothic" w:hAnsi="Verdana" w:cs="Century Gothic"/>
          <w:b/>
          <w:bCs/>
        </w:rPr>
        <w:t>s</w:t>
      </w:r>
      <w:r w:rsidRPr="00593A5F">
        <w:rPr>
          <w:rFonts w:ascii="Verdana" w:eastAsia="Century Gothic" w:hAnsi="Verdana" w:cs="Century Gothic"/>
          <w:b/>
          <w:bCs/>
        </w:rPr>
        <w:t xml:space="preserve"> planteado</w:t>
      </w:r>
      <w:r>
        <w:rPr>
          <w:rFonts w:ascii="Verdana" w:eastAsia="Century Gothic" w:hAnsi="Verdana" w:cs="Century Gothic"/>
          <w:b/>
          <w:bCs/>
        </w:rPr>
        <w:t>s</w:t>
      </w:r>
      <w:r w:rsidRPr="00593A5F">
        <w:rPr>
          <w:rFonts w:ascii="Verdana" w:eastAsia="Century Gothic" w:hAnsi="Verdana" w:cs="Century Gothic"/>
          <w:b/>
          <w:bCs/>
        </w:rPr>
        <w:t>:</w:t>
      </w:r>
    </w:p>
    <w:p w14:paraId="23DE0A53" w14:textId="77777777" w:rsidR="00193BDF" w:rsidRPr="00593A5F" w:rsidRDefault="00193BDF" w:rsidP="00193BDF">
      <w:pPr>
        <w:tabs>
          <w:tab w:val="left" w:pos="426"/>
        </w:tabs>
        <w:spacing w:after="0" w:line="276" w:lineRule="auto"/>
        <w:jc w:val="both"/>
        <w:rPr>
          <w:rFonts w:ascii="Verdana" w:eastAsia="Century Gothic" w:hAnsi="Verdana" w:cs="Century Gothic"/>
          <w:lang w:val="es-ES"/>
        </w:rPr>
      </w:pPr>
    </w:p>
    <w:p w14:paraId="183EE480" w14:textId="77777777" w:rsidR="00193BDF" w:rsidRPr="00593A5F" w:rsidRDefault="00193BDF" w:rsidP="00193BDF">
      <w:pPr>
        <w:spacing w:after="0" w:line="276" w:lineRule="auto"/>
        <w:jc w:val="both"/>
        <w:rPr>
          <w:rFonts w:ascii="Verdana" w:eastAsia="Century Gothic" w:hAnsi="Verdana" w:cs="Century Gothic"/>
        </w:rPr>
      </w:pPr>
      <w:r>
        <w:rPr>
          <w:rFonts w:ascii="Verdana" w:eastAsia="Century Gothic" w:hAnsi="Verdana" w:cs="Century Gothic"/>
        </w:rPr>
        <w:t>Excluida la pregunta 12 de la competencia consultiva de la entidad</w:t>
      </w:r>
      <w:r w:rsidRPr="00593A5F">
        <w:rPr>
          <w:rFonts w:ascii="Verdana" w:eastAsia="Century Gothic" w:hAnsi="Verdana" w:cs="Century Gothic"/>
        </w:rPr>
        <w:t xml:space="preserve">, esta Agencia resolverá </w:t>
      </w:r>
      <w:r>
        <w:rPr>
          <w:rFonts w:ascii="Verdana" w:eastAsia="Century Gothic" w:hAnsi="Verdana" w:cs="Century Gothic"/>
        </w:rPr>
        <w:t>los</w:t>
      </w:r>
      <w:r w:rsidRPr="00593A5F">
        <w:rPr>
          <w:rFonts w:ascii="Verdana" w:eastAsia="Century Gothic" w:hAnsi="Verdana" w:cs="Century Gothic"/>
        </w:rPr>
        <w:t xml:space="preserve"> problema</w:t>
      </w:r>
      <w:r>
        <w:rPr>
          <w:rFonts w:ascii="Verdana" w:eastAsia="Century Gothic" w:hAnsi="Verdana" w:cs="Century Gothic"/>
        </w:rPr>
        <w:t>s</w:t>
      </w:r>
      <w:r w:rsidRPr="00593A5F">
        <w:rPr>
          <w:rFonts w:ascii="Verdana" w:eastAsia="Century Gothic" w:hAnsi="Verdana" w:cs="Century Gothic"/>
        </w:rPr>
        <w:t xml:space="preserve"> jurídico</w:t>
      </w:r>
      <w:r>
        <w:rPr>
          <w:rFonts w:ascii="Verdana" w:eastAsia="Century Gothic" w:hAnsi="Verdana" w:cs="Century Gothic"/>
        </w:rPr>
        <w:t xml:space="preserve">s planteados en las demás preguntas formuladas en la solicitud.    </w:t>
      </w:r>
      <w:r w:rsidRPr="00C00976">
        <w:rPr>
          <w:rFonts w:ascii="Verdana" w:eastAsia="Century Gothic" w:hAnsi="Verdana" w:cs="Century Gothic"/>
          <w:color w:val="7030A0"/>
        </w:rPr>
        <w:t xml:space="preserve"> </w:t>
      </w:r>
    </w:p>
    <w:p w14:paraId="3FD0CDE1" w14:textId="77777777" w:rsidR="00193BDF" w:rsidRPr="004B140F" w:rsidRDefault="00193BDF" w:rsidP="00193BDF">
      <w:pPr>
        <w:spacing w:after="0" w:line="276" w:lineRule="auto"/>
        <w:jc w:val="both"/>
        <w:rPr>
          <w:rFonts w:ascii="Verdana" w:eastAsia="Calibri" w:hAnsi="Verdana" w:cs="Arial"/>
          <w:color w:val="7030A0"/>
        </w:rPr>
      </w:pPr>
    </w:p>
    <w:p w14:paraId="4877003D" w14:textId="77777777" w:rsidR="00193BDF" w:rsidRPr="00593A5F" w:rsidRDefault="00193BDF" w:rsidP="00193BD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r>
        <w:rPr>
          <w:rFonts w:ascii="Verdana" w:eastAsia="Century Gothic" w:hAnsi="Verdana" w:cs="Century Gothic"/>
          <w:b/>
          <w:bCs/>
        </w:rPr>
        <w:t>s</w:t>
      </w:r>
      <w:r w:rsidRPr="00593A5F">
        <w:rPr>
          <w:rFonts w:ascii="Verdana" w:eastAsia="Century Gothic" w:hAnsi="Verdana" w:cs="Century Gothic"/>
          <w:b/>
          <w:bCs/>
        </w:rPr>
        <w:t>:</w:t>
      </w:r>
    </w:p>
    <w:p w14:paraId="1850F34A" w14:textId="77777777" w:rsidR="00193BDF" w:rsidRPr="00593A5F" w:rsidRDefault="00193BDF" w:rsidP="00193BD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93BDF" w:rsidRPr="00593A5F" w14:paraId="3DFCB549" w14:textId="77777777" w:rsidTr="5F0DCBDA">
        <w:trPr>
          <w:jc w:val="center"/>
        </w:trPr>
        <w:tc>
          <w:tcPr>
            <w:tcW w:w="8828" w:type="dxa"/>
            <w:shd w:val="clear" w:color="auto" w:fill="auto"/>
          </w:tcPr>
          <w:p w14:paraId="74920A2A" w14:textId="77777777" w:rsidR="00193BDF" w:rsidRDefault="00193BDF" w:rsidP="00F70182">
            <w:pPr>
              <w:spacing w:after="120" w:line="276" w:lineRule="auto"/>
              <w:jc w:val="both"/>
              <w:rPr>
                <w:rFonts w:ascii="Verdana" w:eastAsia="Calibri" w:hAnsi="Verdana" w:cs="Arial"/>
                <w:lang w:val="es-ES_tradnl"/>
              </w:rPr>
            </w:pPr>
            <w:bookmarkStart w:id="2" w:name="_Hlk171694685"/>
            <w:r w:rsidRPr="00EE395F">
              <w:rPr>
                <w:rFonts w:ascii="Verdana" w:eastAsia="Times New Roman" w:hAnsi="Verdana" w:cs="Arial"/>
                <w:i/>
                <w:iCs/>
                <w:color w:val="000000"/>
                <w:lang w:val="es-ES_tradnl" w:eastAsia="es-ES_tradnl"/>
              </w:rPr>
              <w:t>En primer lugar</w:t>
            </w:r>
            <w:r>
              <w:rPr>
                <w:rFonts w:ascii="Verdana" w:eastAsia="Times New Roman" w:hAnsi="Verdana" w:cs="Arial"/>
                <w:color w:val="000000"/>
                <w:lang w:val="es-ES_tradnl" w:eastAsia="es-ES_tradnl"/>
              </w:rPr>
              <w:t xml:space="preserve">, </w:t>
            </w:r>
            <w:r>
              <w:rPr>
                <w:rFonts w:ascii="Verdana" w:eastAsia="Calibri" w:hAnsi="Verdana" w:cs="Arial"/>
                <w:lang w:val="es-ES_tradnl"/>
              </w:rPr>
              <w:t>como se indica en la “</w:t>
            </w:r>
            <w:r w:rsidRPr="005E2573">
              <w:rPr>
                <w:rFonts w:ascii="Verdana" w:eastAsia="Calibri" w:hAnsi="Verdana" w:cs="Arial"/>
                <w:lang w:val="es-ES_tradnl"/>
              </w:rPr>
              <w:t xml:space="preserve">Guía </w:t>
            </w:r>
            <w:r>
              <w:rPr>
                <w:rFonts w:ascii="Verdana" w:eastAsia="Calibri" w:hAnsi="Verdana" w:cs="Arial"/>
                <w:lang w:val="es-ES_tradnl"/>
              </w:rPr>
              <w:t>d</w:t>
            </w:r>
            <w:r w:rsidRPr="005E2573">
              <w:rPr>
                <w:rFonts w:ascii="Verdana" w:eastAsia="Calibri" w:hAnsi="Verdana" w:cs="Arial"/>
                <w:lang w:val="es-ES_tradnl"/>
              </w:rPr>
              <w:t xml:space="preserve">e Elaboración </w:t>
            </w:r>
            <w:r>
              <w:rPr>
                <w:rFonts w:ascii="Verdana" w:eastAsia="Calibri" w:hAnsi="Verdana" w:cs="Arial"/>
                <w:lang w:val="es-ES_tradnl"/>
              </w:rPr>
              <w:t>d</w:t>
            </w:r>
            <w:r w:rsidRPr="005E2573">
              <w:rPr>
                <w:rFonts w:ascii="Verdana" w:eastAsia="Calibri" w:hAnsi="Verdana" w:cs="Arial"/>
                <w:lang w:val="es-ES_tradnl"/>
              </w:rPr>
              <w:t xml:space="preserve">e Estudios </w:t>
            </w:r>
            <w:r>
              <w:rPr>
                <w:rFonts w:ascii="Verdana" w:eastAsia="Calibri" w:hAnsi="Verdana" w:cs="Arial"/>
                <w:lang w:val="es-ES_tradnl"/>
              </w:rPr>
              <w:t>d</w:t>
            </w:r>
            <w:r w:rsidRPr="005E2573">
              <w:rPr>
                <w:rFonts w:ascii="Verdana" w:eastAsia="Calibri" w:hAnsi="Verdana" w:cs="Arial"/>
                <w:lang w:val="es-ES_tradnl"/>
              </w:rPr>
              <w:t>e</w:t>
            </w:r>
            <w:r>
              <w:rPr>
                <w:rFonts w:ascii="Verdana" w:eastAsia="Calibri" w:hAnsi="Verdana" w:cs="Arial"/>
                <w:lang w:val="es-ES_tradnl"/>
              </w:rPr>
              <w:t xml:space="preserve">l </w:t>
            </w:r>
            <w:r w:rsidRPr="005E2573">
              <w:rPr>
                <w:rFonts w:ascii="Verdana" w:eastAsia="Calibri" w:hAnsi="Verdana" w:cs="Arial"/>
                <w:lang w:val="es-ES_tradnl"/>
              </w:rPr>
              <w:t>Sector</w:t>
            </w:r>
            <w:r>
              <w:rPr>
                <w:rFonts w:ascii="Verdana" w:eastAsia="Calibri" w:hAnsi="Verdana" w:cs="Arial"/>
                <w:lang w:val="es-ES_tradnl"/>
              </w:rPr>
              <w:t xml:space="preserve">” expedida por esta Agencia, la información relevante para el tema objeto de consulta se desprende del análisis de los aspectos generales del mercado, el comportamiento del gasto histórico, el estudio de la oferta y el estudio de mercado. Asimismo, de acuerdo con el numeral 8.3.1 del Modelo de Abastecimiento Estratégico, el análisis del mercado de oferta permite “[…] </w:t>
            </w:r>
            <w:r w:rsidRPr="00E365C4">
              <w:rPr>
                <w:rFonts w:ascii="Verdana" w:eastAsia="Calibri" w:hAnsi="Verdana" w:cs="Arial"/>
                <w:lang w:val="es-ES_tradnl"/>
              </w:rPr>
              <w:t>realizar análisis económicos, análisis financieros,</w:t>
            </w:r>
            <w:r>
              <w:rPr>
                <w:rFonts w:ascii="Verdana" w:eastAsia="Calibri" w:hAnsi="Verdana" w:cs="Arial"/>
                <w:lang w:val="es-ES_tradnl"/>
              </w:rPr>
              <w:t xml:space="preserve"> </w:t>
            </w:r>
            <w:r w:rsidRPr="00E365C4">
              <w:rPr>
                <w:rFonts w:ascii="Verdana" w:eastAsia="Calibri" w:hAnsi="Verdana" w:cs="Arial"/>
                <w:lang w:val="es-ES_tradnl"/>
              </w:rPr>
              <w:t>análisis estratégicos y de cadena de suministro, los cuales permitirán definir de</w:t>
            </w:r>
            <w:r>
              <w:rPr>
                <w:rFonts w:ascii="Verdana" w:eastAsia="Calibri" w:hAnsi="Verdana" w:cs="Arial"/>
                <w:lang w:val="es-ES_tradnl"/>
              </w:rPr>
              <w:t xml:space="preserve"> </w:t>
            </w:r>
            <w:r w:rsidRPr="00E365C4">
              <w:rPr>
                <w:rFonts w:ascii="Verdana" w:eastAsia="Calibri" w:hAnsi="Verdana" w:cs="Arial"/>
                <w:lang w:val="es-ES_tradnl"/>
              </w:rPr>
              <w:t>manera adecuada las estrategias de compra</w:t>
            </w:r>
            <w:r>
              <w:rPr>
                <w:rFonts w:ascii="Verdana" w:eastAsia="Calibri" w:hAnsi="Verdana" w:cs="Arial"/>
                <w:lang w:val="es-ES_tradnl"/>
              </w:rPr>
              <w:t xml:space="preserve"> […]”.</w:t>
            </w:r>
          </w:p>
          <w:p w14:paraId="219CD483" w14:textId="77777777" w:rsidR="00193BDF" w:rsidRDefault="00193BDF" w:rsidP="00F70182">
            <w:pPr>
              <w:spacing w:after="120" w:line="276" w:lineRule="auto"/>
              <w:ind w:firstLine="731"/>
              <w:jc w:val="both"/>
              <w:rPr>
                <w:rFonts w:ascii="Verdana" w:hAnsi="Verdana" w:cs="Arial"/>
                <w:bCs/>
                <w:lang w:val="es-ES_tradnl"/>
              </w:rPr>
            </w:pPr>
            <w:r w:rsidRPr="00EE395F">
              <w:rPr>
                <w:rFonts w:ascii="Verdana" w:eastAsia="Calibri" w:hAnsi="Verdana" w:cs="Arial"/>
                <w:i/>
                <w:iCs/>
                <w:lang w:val="es-ES_tradnl"/>
              </w:rPr>
              <w:t>Por otra parte</w:t>
            </w:r>
            <w:r>
              <w:rPr>
                <w:rFonts w:ascii="Verdana" w:eastAsia="Calibri" w:hAnsi="Verdana" w:cs="Arial"/>
                <w:lang w:val="es-ES_tradnl"/>
              </w:rPr>
              <w:t xml:space="preserve">, </w:t>
            </w:r>
            <w:r>
              <w:rPr>
                <w:rFonts w:ascii="Verdana" w:hAnsi="Verdana" w:cs="Arial"/>
                <w:bCs/>
                <w:lang w:val="es-ES_tradnl"/>
              </w:rPr>
              <w:t xml:space="preserve">teniendo en cuenta que los indicadores financieros hacen parte de los requisitos habilitantes, en los procesos regidos por documentos tipo éstos se verifican de acuerdo con el contenido estandarizado del pliego de condiciones, por lo que las entidades se sujetan a ellos sin posibilidad de modificarlos. Para estos efectos, se sugiere la revisión exhaustiva de los </w:t>
            </w:r>
            <w:r>
              <w:rPr>
                <w:rFonts w:ascii="Verdana" w:hAnsi="Verdana" w:cs="Arial"/>
                <w:bCs/>
                <w:lang w:val="es-ES_tradnl"/>
              </w:rPr>
              <w:lastRenderedPageBreak/>
              <w:t xml:space="preserve">Documentos Tipo expedidos por esta Agencia en la página web </w:t>
            </w:r>
            <w:hyperlink r:id="rId13" w:history="1">
              <w:r w:rsidRPr="00785087">
                <w:rPr>
                  <w:rStyle w:val="Hipervnculo"/>
                  <w:rFonts w:ascii="Verdana" w:hAnsi="Verdana" w:cs="Arial"/>
                  <w:bCs/>
                  <w:lang w:val="es-ES_tradnl"/>
                </w:rPr>
                <w:t>https://www.colombiacompra.gov.co/documentos-tipo/documentos-tipo</w:t>
              </w:r>
            </w:hyperlink>
            <w:r>
              <w:rPr>
                <w:rFonts w:ascii="Verdana" w:hAnsi="Verdana" w:cs="Arial"/>
                <w:bCs/>
                <w:lang w:val="es-ES_tradnl"/>
              </w:rPr>
              <w:t>.</w:t>
            </w:r>
          </w:p>
          <w:p w14:paraId="189164C2" w14:textId="77777777" w:rsidR="00193BDF" w:rsidRDefault="00193BDF" w:rsidP="00F70182">
            <w:pPr>
              <w:spacing w:after="120" w:line="276" w:lineRule="auto"/>
              <w:ind w:firstLine="731"/>
              <w:jc w:val="both"/>
              <w:rPr>
                <w:rFonts w:ascii="Verdana" w:eastAsia="Calibri" w:hAnsi="Verdana" w:cs="Arial"/>
                <w:lang w:val="es-ES_tradnl"/>
              </w:rPr>
            </w:pPr>
            <w:r>
              <w:rPr>
                <w:rFonts w:ascii="Verdana" w:eastAsia="Calibri" w:hAnsi="Verdana" w:cs="Arial"/>
                <w:i/>
                <w:iCs/>
                <w:lang w:val="es-ES_tradnl"/>
              </w:rPr>
              <w:t>Asimismo</w:t>
            </w:r>
            <w:r>
              <w:rPr>
                <w:rFonts w:ascii="Verdana" w:eastAsia="Calibri" w:hAnsi="Verdana" w:cs="Arial"/>
                <w:lang w:val="es-ES_tradnl"/>
              </w:rPr>
              <w:t xml:space="preserve">, </w:t>
            </w:r>
            <w:r w:rsidRPr="003F3FBC">
              <w:rPr>
                <w:rFonts w:ascii="Verdana" w:eastAsia="Calibri" w:hAnsi="Verdana" w:cs="Arial"/>
                <w:lang w:val="es-ES_tradnl"/>
              </w:rPr>
              <w:t xml:space="preserve">como se explicó en </w:t>
            </w:r>
            <w:r>
              <w:rPr>
                <w:rFonts w:ascii="Verdana" w:eastAsia="Calibri" w:hAnsi="Verdana" w:cs="Arial"/>
                <w:lang w:val="es-ES_tradnl"/>
              </w:rPr>
              <w:t>la respuesta de la primera pregunta</w:t>
            </w:r>
            <w:r w:rsidRPr="003F3FBC">
              <w:rPr>
                <w:rFonts w:ascii="Verdana" w:eastAsia="Calibri" w:hAnsi="Verdana" w:cs="Arial"/>
                <w:lang w:val="es-ES_tradnl"/>
              </w:rPr>
              <w:t>, la etapa de planeación sirve para establecer los requisitos habilitantes de indicadores financieros en el pliego de condiciones. Una vez precisados, la evaluación financiera se realiza con estricta sujeción a los documentos del proceso, exceptuado aquellos regidos por documentos tipo por las razones explicadas en</w:t>
            </w:r>
            <w:r>
              <w:rPr>
                <w:rFonts w:ascii="Verdana" w:eastAsia="Calibri" w:hAnsi="Verdana" w:cs="Arial"/>
                <w:lang w:val="es-ES_tradnl"/>
              </w:rPr>
              <w:t xml:space="preserve"> </w:t>
            </w:r>
            <w:r w:rsidRPr="003F3FBC">
              <w:rPr>
                <w:rFonts w:ascii="Verdana" w:eastAsia="Calibri" w:hAnsi="Verdana" w:cs="Arial"/>
                <w:lang w:val="es-ES_tradnl"/>
              </w:rPr>
              <w:t xml:space="preserve">el punto anterior.  </w:t>
            </w:r>
          </w:p>
          <w:p w14:paraId="1CD31EAD" w14:textId="77777777" w:rsidR="00193BDF" w:rsidRPr="00473392" w:rsidRDefault="00193BDF" w:rsidP="00F70182">
            <w:pPr>
              <w:spacing w:after="120" w:line="276" w:lineRule="auto"/>
              <w:ind w:firstLine="709"/>
              <w:jc w:val="both"/>
              <w:rPr>
                <w:rFonts w:ascii="Verdana" w:hAnsi="Verdana" w:cs="Arial"/>
                <w:bCs/>
                <w:lang w:val="es-ES_tradnl"/>
              </w:rPr>
            </w:pPr>
            <w:r>
              <w:rPr>
                <w:rFonts w:ascii="Verdana" w:hAnsi="Verdana" w:cs="Arial"/>
                <w:bCs/>
                <w:lang w:val="es-ES_tradnl"/>
              </w:rPr>
              <w:t>Por lo demás, como señala el numeral 2 del “</w:t>
            </w:r>
            <w:r w:rsidRPr="00473392">
              <w:rPr>
                <w:rFonts w:ascii="Verdana" w:hAnsi="Verdana" w:cs="Arial"/>
                <w:bCs/>
                <w:lang w:val="es-ES_tradnl"/>
              </w:rPr>
              <w:t xml:space="preserve">Manual </w:t>
            </w:r>
            <w:r>
              <w:rPr>
                <w:rFonts w:ascii="Verdana" w:hAnsi="Verdana" w:cs="Arial"/>
                <w:bCs/>
                <w:lang w:val="es-ES_tradnl"/>
              </w:rPr>
              <w:t>p</w:t>
            </w:r>
            <w:r w:rsidRPr="00473392">
              <w:rPr>
                <w:rFonts w:ascii="Verdana" w:hAnsi="Verdana" w:cs="Arial"/>
                <w:bCs/>
                <w:lang w:val="es-ES_tradnl"/>
              </w:rPr>
              <w:t xml:space="preserve">ara Determinar </w:t>
            </w:r>
            <w:r>
              <w:rPr>
                <w:rFonts w:ascii="Verdana" w:hAnsi="Verdana" w:cs="Arial"/>
                <w:bCs/>
                <w:lang w:val="es-ES_tradnl"/>
              </w:rPr>
              <w:t>y</w:t>
            </w:r>
            <w:r w:rsidRPr="00473392">
              <w:rPr>
                <w:rFonts w:ascii="Verdana" w:hAnsi="Verdana" w:cs="Arial"/>
                <w:bCs/>
                <w:lang w:val="es-ES_tradnl"/>
              </w:rPr>
              <w:t xml:space="preserve"> Verificar </w:t>
            </w:r>
            <w:r>
              <w:rPr>
                <w:rFonts w:ascii="Verdana" w:hAnsi="Verdana" w:cs="Arial"/>
                <w:bCs/>
                <w:lang w:val="es-ES_tradnl"/>
              </w:rPr>
              <w:t>l</w:t>
            </w:r>
            <w:r w:rsidRPr="00473392">
              <w:rPr>
                <w:rFonts w:ascii="Verdana" w:hAnsi="Verdana" w:cs="Arial"/>
                <w:bCs/>
                <w:lang w:val="es-ES_tradnl"/>
              </w:rPr>
              <w:t>os</w:t>
            </w:r>
            <w:r>
              <w:rPr>
                <w:rFonts w:ascii="Verdana" w:hAnsi="Verdana" w:cs="Arial"/>
                <w:bCs/>
                <w:lang w:val="es-ES_tradnl"/>
              </w:rPr>
              <w:t xml:space="preserve"> </w:t>
            </w:r>
            <w:r w:rsidRPr="00473392">
              <w:rPr>
                <w:rFonts w:ascii="Verdana" w:hAnsi="Verdana" w:cs="Arial"/>
                <w:bCs/>
                <w:lang w:val="es-ES_tradnl"/>
              </w:rPr>
              <w:t xml:space="preserve">Requisitos Habilitantes </w:t>
            </w:r>
            <w:r>
              <w:rPr>
                <w:rFonts w:ascii="Verdana" w:hAnsi="Verdana" w:cs="Arial"/>
                <w:bCs/>
                <w:lang w:val="es-ES_tradnl"/>
              </w:rPr>
              <w:t>e</w:t>
            </w:r>
            <w:r w:rsidRPr="00473392">
              <w:rPr>
                <w:rFonts w:ascii="Verdana" w:hAnsi="Verdana" w:cs="Arial"/>
                <w:bCs/>
                <w:lang w:val="es-ES_tradnl"/>
              </w:rPr>
              <w:t xml:space="preserve">n </w:t>
            </w:r>
            <w:r>
              <w:rPr>
                <w:rFonts w:ascii="Verdana" w:hAnsi="Verdana" w:cs="Arial"/>
                <w:bCs/>
                <w:lang w:val="es-ES_tradnl"/>
              </w:rPr>
              <w:t>l</w:t>
            </w:r>
            <w:r w:rsidRPr="00473392">
              <w:rPr>
                <w:rFonts w:ascii="Verdana" w:hAnsi="Verdana" w:cs="Arial"/>
                <w:bCs/>
                <w:lang w:val="es-ES_tradnl"/>
              </w:rPr>
              <w:t>os Procesos De Contratación</w:t>
            </w:r>
            <w:r>
              <w:rPr>
                <w:rFonts w:ascii="Verdana" w:hAnsi="Verdana" w:cs="Arial"/>
                <w:bCs/>
                <w:lang w:val="es-ES_tradnl"/>
              </w:rPr>
              <w:t xml:space="preserve">”, “[…] </w:t>
            </w:r>
            <w:r w:rsidRPr="00473392">
              <w:rPr>
                <w:rFonts w:ascii="Verdana" w:hAnsi="Verdana" w:cs="Arial"/>
                <w:bCs/>
                <w:i/>
                <w:iCs/>
                <w:lang w:val="es-ES_tradnl"/>
              </w:rPr>
              <w:t>la experiencia de los oferentes plurales debe ser proporcional a la participación de cada uno de sus integrantes en el consorcio o unión temporal</w:t>
            </w:r>
            <w:r w:rsidRPr="00473392">
              <w:rPr>
                <w:rFonts w:ascii="Verdana" w:hAnsi="Verdana" w:cs="Arial"/>
                <w:bCs/>
                <w:lang w:val="es-ES_tradnl"/>
              </w:rPr>
              <w:t>.</w:t>
            </w:r>
            <w:r>
              <w:rPr>
                <w:rFonts w:ascii="Verdana" w:hAnsi="Verdana" w:cs="Arial"/>
                <w:bCs/>
                <w:lang w:val="es-ES_tradnl"/>
              </w:rPr>
              <w:t xml:space="preserve"> </w:t>
            </w:r>
            <w:r w:rsidRPr="00473392">
              <w:rPr>
                <w:rFonts w:ascii="Verdana" w:hAnsi="Verdana" w:cs="Arial"/>
                <w:bCs/>
                <w:lang w:val="es-ES_tradnl"/>
              </w:rPr>
              <w:t>Sin perjuicio del carácter personal de la experiencia, entre los integrantes del</w:t>
            </w:r>
            <w:r>
              <w:rPr>
                <w:rFonts w:ascii="Verdana" w:hAnsi="Verdana" w:cs="Arial"/>
                <w:bCs/>
                <w:lang w:val="es-ES_tradnl"/>
              </w:rPr>
              <w:t xml:space="preserve"> </w:t>
            </w:r>
            <w:r w:rsidRPr="00473392">
              <w:rPr>
                <w:rFonts w:ascii="Verdana" w:hAnsi="Verdana" w:cs="Arial"/>
                <w:bCs/>
                <w:lang w:val="es-ES_tradnl"/>
              </w:rPr>
              <w:t>oferente plural la experiencia se puede compartir, sin que implique que la</w:t>
            </w:r>
            <w:r>
              <w:rPr>
                <w:rFonts w:ascii="Verdana" w:hAnsi="Verdana" w:cs="Arial"/>
                <w:bCs/>
                <w:lang w:val="es-ES_tradnl"/>
              </w:rPr>
              <w:t xml:space="preserve"> </w:t>
            </w:r>
            <w:r w:rsidRPr="00473392">
              <w:rPr>
                <w:rFonts w:ascii="Verdana" w:hAnsi="Verdana" w:cs="Arial"/>
                <w:bCs/>
                <w:lang w:val="es-ES_tradnl"/>
              </w:rPr>
              <w:t>experiencia compartida con alguna de las partes se entienda como propia.</w:t>
            </w:r>
            <w:r>
              <w:rPr>
                <w:rFonts w:ascii="Verdana" w:hAnsi="Verdana" w:cs="Arial"/>
                <w:bCs/>
                <w:lang w:val="es-ES_tradnl"/>
              </w:rPr>
              <w:t xml:space="preserve"> </w:t>
            </w:r>
            <w:r w:rsidRPr="00473392">
              <w:rPr>
                <w:rFonts w:ascii="Verdana" w:hAnsi="Verdana" w:cs="Arial"/>
                <w:bCs/>
                <w:lang w:val="es-ES_tradnl"/>
              </w:rPr>
              <w:t>Dentro del procedimiento contractual se reflejará que uno de los integrantes del</w:t>
            </w:r>
            <w:r>
              <w:rPr>
                <w:rFonts w:ascii="Verdana" w:hAnsi="Verdana" w:cs="Arial"/>
                <w:bCs/>
                <w:lang w:val="es-ES_tradnl"/>
              </w:rPr>
              <w:t xml:space="preserve"> </w:t>
            </w:r>
            <w:r w:rsidRPr="00473392">
              <w:rPr>
                <w:rFonts w:ascii="Verdana" w:hAnsi="Verdana" w:cs="Arial"/>
                <w:bCs/>
                <w:lang w:val="es-ES_tradnl"/>
              </w:rPr>
              <w:t>proponente plural comparte la experiencia de otra. Esto es claro en el caso de</w:t>
            </w:r>
            <w:r>
              <w:rPr>
                <w:rFonts w:ascii="Verdana" w:hAnsi="Verdana" w:cs="Arial"/>
                <w:bCs/>
                <w:lang w:val="es-ES_tradnl"/>
              </w:rPr>
              <w:t xml:space="preserve"> </w:t>
            </w:r>
            <w:r w:rsidRPr="00473392">
              <w:rPr>
                <w:rFonts w:ascii="Verdana" w:hAnsi="Verdana" w:cs="Arial"/>
                <w:bCs/>
                <w:lang w:val="es-ES_tradnl"/>
              </w:rPr>
              <w:t>las figuras asociativas donde se verificará en el documento privado de</w:t>
            </w:r>
            <w:r>
              <w:rPr>
                <w:rFonts w:ascii="Verdana" w:hAnsi="Verdana" w:cs="Arial"/>
                <w:bCs/>
                <w:lang w:val="es-ES_tradnl"/>
              </w:rPr>
              <w:t xml:space="preserve"> </w:t>
            </w:r>
            <w:r w:rsidRPr="00473392">
              <w:rPr>
                <w:rFonts w:ascii="Verdana" w:hAnsi="Verdana" w:cs="Arial"/>
                <w:bCs/>
                <w:lang w:val="es-ES_tradnl"/>
              </w:rPr>
              <w:t>constitución</w:t>
            </w:r>
            <w:r>
              <w:rPr>
                <w:rFonts w:ascii="Verdana" w:hAnsi="Verdana" w:cs="Arial"/>
                <w:bCs/>
                <w:lang w:val="es-ES_tradnl"/>
              </w:rPr>
              <w:t>” (Énfasis fuera de texto).</w:t>
            </w:r>
            <w:r w:rsidRPr="003F3FBC">
              <w:rPr>
                <w:rFonts w:ascii="Verdana" w:eastAsia="Calibri" w:hAnsi="Verdana" w:cs="Arial"/>
                <w:lang w:val="es-ES_tradnl"/>
              </w:rPr>
              <w:t xml:space="preserve">  </w:t>
            </w:r>
          </w:p>
          <w:p w14:paraId="6A4C8F2A" w14:textId="77777777" w:rsidR="00193BDF" w:rsidRDefault="00193BDF" w:rsidP="5F0DCBDA">
            <w:pPr>
              <w:spacing w:after="120" w:line="276" w:lineRule="auto"/>
              <w:ind w:firstLine="731"/>
              <w:jc w:val="both"/>
              <w:rPr>
                <w:rFonts w:ascii="Verdana" w:hAnsi="Verdana" w:cs="Arial"/>
                <w:lang w:val="es-ES"/>
              </w:rPr>
            </w:pPr>
            <w:r w:rsidRPr="5F0DCBDA">
              <w:rPr>
                <w:rFonts w:ascii="Verdana" w:eastAsia="Calibri" w:hAnsi="Verdana" w:cs="Arial"/>
                <w:i/>
                <w:iCs/>
                <w:lang w:val="es-ES"/>
              </w:rPr>
              <w:t>Igualmente</w:t>
            </w:r>
            <w:r w:rsidRPr="5F0DCBDA">
              <w:rPr>
                <w:rFonts w:ascii="Verdana" w:eastAsia="Calibri" w:hAnsi="Verdana" w:cs="Arial"/>
                <w:lang w:val="es-ES"/>
              </w:rPr>
              <w:t>, la subasta inversa corresponde a</w:t>
            </w:r>
            <w:r w:rsidRPr="5F0DCBDA">
              <w:rPr>
                <w:rFonts w:ascii="Verdana" w:hAnsi="Verdana" w:cs="Arial"/>
                <w:lang w:val="es-ES"/>
              </w:rPr>
              <w:t xml:space="preserve"> una causal de selección abreviada conforme al literal a) del artículo 2.2 de la Ley 1150 de 2007 para la adquisición o suministro de bienes y servicios de características técnicas uniformes y de común utilización. De acuerdo con el artículo 5.3 </w:t>
            </w:r>
            <w:r w:rsidRPr="5F0DCBDA">
              <w:rPr>
                <w:rFonts w:ascii="Verdana" w:hAnsi="Verdana" w:cs="Arial"/>
                <w:i/>
                <w:iCs/>
                <w:lang w:val="es-ES"/>
              </w:rPr>
              <w:t>ibidem</w:t>
            </w:r>
            <w:r w:rsidRPr="5F0DCBDA">
              <w:rPr>
                <w:rFonts w:ascii="Verdana" w:hAnsi="Verdana" w:cs="Arial"/>
                <w:lang w:val="es-ES"/>
              </w:rPr>
              <w:t xml:space="preserve">, las entidades estatales incluirán como único factor de evaluación el menor precio ofrecido; razón por la cual, los numerales 6, 7, 8 y 9 del artículo 2.2.1.2.1.2.2 del Decreto 1082 de 2015 regulan los lances entre los proponentes que participan en la subasta. </w:t>
            </w:r>
          </w:p>
          <w:p w14:paraId="161D2091" w14:textId="77777777" w:rsidR="00193BDF" w:rsidRDefault="00193BDF" w:rsidP="00F70182">
            <w:pPr>
              <w:spacing w:after="120" w:line="276" w:lineRule="auto"/>
              <w:ind w:firstLine="731"/>
              <w:jc w:val="both"/>
              <w:rPr>
                <w:rFonts w:ascii="Verdana" w:hAnsi="Verdana" w:cs="Arial"/>
                <w:bCs/>
                <w:lang w:val="es-ES_tradnl"/>
              </w:rPr>
            </w:pPr>
            <w:r w:rsidRPr="00E411E7">
              <w:rPr>
                <w:rFonts w:ascii="Verdana" w:hAnsi="Verdana" w:cs="Arial"/>
                <w:bCs/>
                <w:i/>
                <w:iCs/>
                <w:lang w:val="es-ES_tradnl"/>
              </w:rPr>
              <w:t>Para efectos de las preguntas 5 y 8</w:t>
            </w:r>
            <w:r>
              <w:rPr>
                <w:rFonts w:ascii="Verdana" w:hAnsi="Verdana" w:cs="Arial"/>
                <w:bCs/>
                <w:lang w:val="es-ES_tradnl"/>
              </w:rPr>
              <w:t xml:space="preserve">, el RUP es obligatorio en todos los procesos de selección, incluidas las licitaciones y las selecciones abreviadas, con excepción de la </w:t>
            </w:r>
            <w:r w:rsidRPr="00BD0C22">
              <w:rPr>
                <w:rFonts w:ascii="Verdana" w:hAnsi="Verdana" w:cs="Arial"/>
                <w:bCs/>
                <w:lang w:val="es-ES_tradnl"/>
              </w:rPr>
              <w:t>contratación directa</w:t>
            </w:r>
            <w:r>
              <w:rPr>
                <w:rFonts w:ascii="Verdana" w:hAnsi="Verdana" w:cs="Arial"/>
                <w:bCs/>
                <w:lang w:val="es-ES_tradnl"/>
              </w:rPr>
              <w:t>,</w:t>
            </w:r>
            <w:r w:rsidRPr="00BD0C22">
              <w:rPr>
                <w:rFonts w:ascii="Verdana" w:hAnsi="Verdana" w:cs="Arial"/>
                <w:bCs/>
                <w:lang w:val="es-ES_tradnl"/>
              </w:rPr>
              <w:t xml:space="preserve"> contratos para la prestación de servicios de salud</w:t>
            </w:r>
            <w:r>
              <w:rPr>
                <w:rFonts w:ascii="Verdana" w:hAnsi="Verdana" w:cs="Arial"/>
                <w:bCs/>
                <w:lang w:val="es-ES_tradnl"/>
              </w:rPr>
              <w:t>,</w:t>
            </w:r>
            <w:r w:rsidRPr="00BD0C22">
              <w:rPr>
                <w:rFonts w:ascii="Verdana" w:hAnsi="Verdana" w:cs="Arial"/>
                <w:bCs/>
                <w:lang w:val="es-ES_tradnl"/>
              </w:rPr>
              <w:t xml:space="preserve"> contratos de mínima cuantía</w:t>
            </w:r>
            <w:r>
              <w:rPr>
                <w:rFonts w:ascii="Verdana" w:hAnsi="Verdana" w:cs="Arial"/>
                <w:bCs/>
                <w:lang w:val="es-ES_tradnl"/>
              </w:rPr>
              <w:t>,</w:t>
            </w:r>
            <w:r w:rsidRPr="00BD0C22">
              <w:rPr>
                <w:rFonts w:ascii="Verdana" w:hAnsi="Verdana" w:cs="Arial"/>
                <w:bCs/>
                <w:lang w:val="es-ES_tradnl"/>
              </w:rPr>
              <w:t xml:space="preserve"> enajenación de bienes del Estado</w:t>
            </w:r>
            <w:r>
              <w:rPr>
                <w:rFonts w:ascii="Verdana" w:hAnsi="Verdana" w:cs="Arial"/>
                <w:bCs/>
                <w:lang w:val="es-ES_tradnl"/>
              </w:rPr>
              <w:t>,</w:t>
            </w:r>
            <w:r w:rsidRPr="00BD0C22">
              <w:rPr>
                <w:rFonts w:ascii="Verdana" w:hAnsi="Verdana" w:cs="Arial"/>
                <w:bCs/>
                <w:lang w:val="es-ES_tradnl"/>
              </w:rPr>
              <w:t xml:space="preserve"> contratos que tengan por objeto la adquisición de productos de origen o destinación agropecuaria que se ofrezcan en bolsas de productos legalmente constituidas</w:t>
            </w:r>
            <w:r>
              <w:rPr>
                <w:rFonts w:ascii="Verdana" w:hAnsi="Verdana" w:cs="Arial"/>
                <w:bCs/>
                <w:lang w:val="es-ES_tradnl"/>
              </w:rPr>
              <w:t>,</w:t>
            </w:r>
            <w:r w:rsidRPr="00BD0C22">
              <w:rPr>
                <w:rFonts w:ascii="Verdana" w:hAnsi="Verdana" w:cs="Arial"/>
                <w:bCs/>
                <w:lang w:val="es-ES_tradnl"/>
              </w:rPr>
              <w:t xml:space="preserve"> los actos y contratos que tengan por objeto directo las actividades comerciales e industriales propias de las empresas industriales y comerciales del Estado y las sociedades de economía mixta y los contratos de </w:t>
            </w:r>
            <w:r w:rsidRPr="00BD0C22">
              <w:rPr>
                <w:rFonts w:ascii="Verdana" w:hAnsi="Verdana" w:cs="Arial"/>
                <w:bCs/>
                <w:lang w:val="es-ES_tradnl"/>
              </w:rPr>
              <w:lastRenderedPageBreak/>
              <w:t>concesión de cualquier índole</w:t>
            </w:r>
            <w:r>
              <w:rPr>
                <w:rFonts w:ascii="Verdana" w:hAnsi="Verdana" w:cs="Arial"/>
                <w:bCs/>
                <w:lang w:val="es-ES_tradnl"/>
              </w:rPr>
              <w:t xml:space="preserve">. Igualmente, el RUP no es exigible en los contratos del Decreto 092 de 2017 ni en los procesos de selección de las entidades excluidas del EGCAP. Sin embargo, en los casos en que es obligatorio, este documento será plena prueba de las condiciones de la </w:t>
            </w:r>
            <w:r w:rsidRPr="001B247A">
              <w:rPr>
                <w:rFonts w:ascii="Verdana" w:eastAsia="Calibri" w:hAnsi="Verdana" w:cs="Arial"/>
              </w:rPr>
              <w:t>capacidad jurídica, las condiciones de experiencia, la capacidad financiera y de organización de los proponentes</w:t>
            </w:r>
            <w:r>
              <w:rPr>
                <w:rFonts w:ascii="Verdana" w:eastAsia="Calibri" w:hAnsi="Verdana" w:cs="Arial"/>
              </w:rPr>
              <w:t>, por lo que</w:t>
            </w:r>
            <w:r w:rsidRPr="001B247A">
              <w:rPr>
                <w:rFonts w:ascii="Verdana" w:eastAsia="Calibri" w:hAnsi="Verdana" w:cs="Arial"/>
              </w:rPr>
              <w:t xml:space="preserve"> deberán verificarse exclusivamente con el Registro Único de Proponentes</w:t>
            </w:r>
            <w:r>
              <w:rPr>
                <w:rFonts w:ascii="Verdana" w:eastAsia="Calibri" w:hAnsi="Verdana" w:cs="Arial"/>
              </w:rPr>
              <w:t xml:space="preserve"> sin posibilidad de aportar documento que lo reemplace.</w:t>
            </w:r>
          </w:p>
          <w:p w14:paraId="76771A23" w14:textId="77777777" w:rsidR="00193BDF" w:rsidRDefault="00193BDF" w:rsidP="00F70182">
            <w:pPr>
              <w:spacing w:after="120" w:line="276" w:lineRule="auto"/>
              <w:ind w:firstLine="731"/>
              <w:jc w:val="both"/>
              <w:rPr>
                <w:rFonts w:ascii="Verdana" w:hAnsi="Verdana" w:cs="Arial"/>
                <w:bCs/>
                <w:lang w:val="es-ES_tradnl"/>
              </w:rPr>
            </w:pPr>
            <w:r w:rsidRPr="0076231A">
              <w:rPr>
                <w:rFonts w:ascii="Verdana" w:hAnsi="Verdana" w:cs="Arial"/>
                <w:bCs/>
                <w:i/>
                <w:iCs/>
                <w:lang w:val="es-ES_tradnl"/>
              </w:rPr>
              <w:t>Por otro lado</w:t>
            </w:r>
            <w:r>
              <w:rPr>
                <w:rFonts w:ascii="Verdana" w:hAnsi="Verdana" w:cs="Arial"/>
                <w:bCs/>
                <w:lang w:val="es-ES_tradnl"/>
              </w:rPr>
              <w:t xml:space="preserve">, </w:t>
            </w:r>
            <w:r w:rsidRPr="0076231A">
              <w:rPr>
                <w:rFonts w:ascii="Verdana" w:hAnsi="Verdana" w:cs="Arial"/>
                <w:bCs/>
                <w:lang w:val="es-ES_tradnl"/>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 para participar en un proceso de contratación como oferente. En efecto, según lo dispuesto en el artículo 2.2.1.2.1.2.20 del Decreto 1082 de 2015, el procedimiento inicia con la apertura del proceso que haga la entidad, y los interesados en el procedimiento contractual deben presentar una “manifestación de interés” para participar en el mismo, como requisito para poder continuar participando en el procedimiento de selección. Es decir, sin el cumplimiento de este requisito previo, la oferta no puede evaluarse</w:t>
            </w:r>
            <w:r>
              <w:rPr>
                <w:rFonts w:ascii="Verdana" w:hAnsi="Verdana" w:cs="Arial"/>
                <w:bCs/>
                <w:lang w:val="es-ES_tradnl"/>
              </w:rPr>
              <w:t>.</w:t>
            </w:r>
          </w:p>
          <w:p w14:paraId="5232AB26" w14:textId="66FA6B4C" w:rsidR="00193BDF" w:rsidRDefault="00193BDF" w:rsidP="00F70182">
            <w:pPr>
              <w:spacing w:after="120" w:line="276" w:lineRule="auto"/>
              <w:ind w:firstLine="731"/>
              <w:jc w:val="both"/>
              <w:rPr>
                <w:rFonts w:ascii="Verdana" w:hAnsi="Verdana" w:cs="Arial"/>
                <w:bCs/>
                <w:lang w:val="es-ES_tradnl"/>
              </w:rPr>
            </w:pPr>
            <w:r w:rsidRPr="005B1A08">
              <w:rPr>
                <w:rFonts w:ascii="Verdana" w:hAnsi="Verdana" w:cs="Arial"/>
                <w:bCs/>
                <w:i/>
                <w:iCs/>
                <w:lang w:val="es-ES_tradnl"/>
              </w:rPr>
              <w:t>De igual forma</w:t>
            </w:r>
            <w:r>
              <w:rPr>
                <w:rFonts w:ascii="Verdana" w:hAnsi="Verdana" w:cs="Arial"/>
                <w:bCs/>
                <w:lang w:val="es-ES_tradnl"/>
              </w:rPr>
              <w:t>, la mínima cuantía del artículo 2</w:t>
            </w:r>
            <w:r w:rsidR="00AD5343">
              <w:rPr>
                <w:rFonts w:ascii="Verdana" w:hAnsi="Verdana" w:cs="Arial"/>
                <w:bCs/>
                <w:lang w:val="es-ES_tradnl"/>
              </w:rPr>
              <w:t xml:space="preserve">, numeral </w:t>
            </w:r>
            <w:r>
              <w:rPr>
                <w:rFonts w:ascii="Verdana" w:hAnsi="Verdana" w:cs="Arial"/>
                <w:bCs/>
                <w:lang w:val="es-ES_tradnl"/>
              </w:rPr>
              <w:t>5 de la Ley 1150 de 2007</w:t>
            </w:r>
            <w:r w:rsidRPr="00EF6DA2">
              <w:rPr>
                <w:rFonts w:ascii="Verdana" w:hAnsi="Verdana" w:cs="Arial"/>
                <w:bCs/>
                <w:lang w:val="es-ES_tradnl"/>
              </w:rPr>
              <w:t xml:space="preserve"> está reglamentada en el artículo 2.2.1.2.1.5.2 del Decreto 1082 de 2015, norma que dispone el procedimiento para aceptar la oferta ganadora. Para efectos de la consulta, es relevante el numeral 5 </w:t>
            </w:r>
            <w:r w:rsidRPr="00EF6DA2">
              <w:rPr>
                <w:rFonts w:ascii="Verdana" w:hAnsi="Verdana" w:cs="Arial"/>
                <w:bCs/>
                <w:i/>
                <w:iCs/>
                <w:lang w:val="es-ES_tradnl"/>
              </w:rPr>
              <w:t>ibidem</w:t>
            </w:r>
            <w:r w:rsidRPr="00EF6DA2">
              <w:rPr>
                <w:rFonts w:ascii="Verdana" w:hAnsi="Verdana" w:cs="Arial"/>
                <w:bCs/>
                <w:lang w:val="es-ES_tradnl"/>
              </w:rPr>
              <w:t xml:space="preserve">: “La Entidad Estatal debe revisar las ofertas económicas y verificar que la de menor precio cumple con las condiciones de la invitación. Si esta no cumple, la Entidad Estatal debe verificar el cumplimiento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 En todo caso, como prescribe el numeral 7, “La Entidad Estatal debe aceptar la </w:t>
            </w:r>
            <w:r w:rsidRPr="00EF6DA2">
              <w:rPr>
                <w:rFonts w:ascii="Verdana" w:hAnsi="Verdana" w:cs="Arial"/>
                <w:bCs/>
                <w:lang w:val="es-ES_tradnl"/>
              </w:rPr>
              <w:lastRenderedPageBreak/>
              <w:t>oferta de menor precio, siempre que cumpla con las condiciones establecidas en la invitación a participar en procesos de mínima cuantía. En la aceptación de la oferta, la Entidad Estatal debe informar al contratista el nombre del supervisor o interventor del contrato”.</w:t>
            </w:r>
            <w:r>
              <w:rPr>
                <w:rFonts w:ascii="Verdana" w:hAnsi="Verdana" w:cs="Arial"/>
                <w:bCs/>
                <w:lang w:val="es-ES_tradnl"/>
              </w:rPr>
              <w:t xml:space="preserve"> </w:t>
            </w:r>
          </w:p>
          <w:p w14:paraId="7CDCA326" w14:textId="77777777" w:rsidR="00193BDF" w:rsidRDefault="00193BDF" w:rsidP="00F70182">
            <w:pPr>
              <w:pStyle w:val="Textoindependiente"/>
              <w:spacing w:after="120" w:line="276" w:lineRule="auto"/>
              <w:ind w:left="0" w:firstLine="731"/>
              <w:jc w:val="both"/>
              <w:rPr>
                <w:rFonts w:ascii="Verdana" w:hAnsi="Verdana"/>
              </w:rPr>
            </w:pPr>
            <w:r w:rsidRPr="00E411E7">
              <w:rPr>
                <w:rFonts w:ascii="Verdana" w:hAnsi="Verdana" w:cs="Arial"/>
                <w:bCs/>
                <w:i/>
                <w:iCs/>
                <w:lang w:val="es-ES_tradnl"/>
              </w:rPr>
              <w:t>Respecto a las preguntas 9, 10 y 14</w:t>
            </w:r>
            <w:r>
              <w:rPr>
                <w:rFonts w:ascii="Verdana" w:hAnsi="Verdana" w:cs="Arial"/>
                <w:bCs/>
                <w:lang w:val="es-ES_tradnl"/>
              </w:rPr>
              <w:t>, l</w:t>
            </w:r>
            <w:proofErr w:type="spellStart"/>
            <w:r>
              <w:rPr>
                <w:rFonts w:ascii="Verdana" w:hAnsi="Verdana"/>
              </w:rPr>
              <w:t>as</w:t>
            </w:r>
            <w:proofErr w:type="spellEnd"/>
            <w:r>
              <w:rPr>
                <w:rFonts w:ascii="Verdana" w:hAnsi="Verdana"/>
              </w:rPr>
              <w:t xml:space="preserve"> normas del sistema de compras públicas no regulan aspectos formales de la presentación de los informes que verifican los requisitos habilitantes y que asignan puntaje a los criterios de evaluación. En cualquier modalidad de selección, lo importante es que el contenido material del documento esté relacionado con los requisitos mencionados en el pliego de condiciones, pues la evaluación es un acto reglado y, por tanto, adjudicación de los contratos no está sujeta a criterios de oportunidad ni de conveniencia. </w:t>
            </w:r>
          </w:p>
          <w:p w14:paraId="376BDA8C" w14:textId="77777777" w:rsidR="00193BDF" w:rsidRDefault="00193BDF" w:rsidP="00F70182">
            <w:pPr>
              <w:pStyle w:val="Textoindependiente"/>
              <w:spacing w:after="120" w:line="276" w:lineRule="auto"/>
              <w:ind w:left="0" w:firstLine="708"/>
              <w:jc w:val="both"/>
              <w:rPr>
                <w:rFonts w:ascii="Verdana" w:hAnsi="Verdana"/>
              </w:rPr>
            </w:pPr>
            <w:r>
              <w:rPr>
                <w:rFonts w:ascii="Verdana" w:hAnsi="Verdana"/>
              </w:rPr>
              <w:t>Sumado a que cada pliego de condiciones establece los requisitos necesarios para contratar de acuerdo con la tipología aplicable, el ordenamiento también orienta la selección objetiva del contratista. Por regla general, el artículo 5.2 de la Ley 1150 de 2007 dispone que “</w:t>
            </w:r>
            <w:r w:rsidRPr="00D07509">
              <w:rPr>
                <w:rFonts w:ascii="Verdana" w:hAnsi="Verdana"/>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w:t>
            </w:r>
            <w:r>
              <w:rPr>
                <w:rFonts w:ascii="Verdana" w:hAnsi="Verdana"/>
              </w:rPr>
              <w:t xml:space="preserve">. </w:t>
            </w:r>
            <w:r w:rsidRPr="00D07509">
              <w:rPr>
                <w:rFonts w:ascii="Verdana" w:hAnsi="Verdana"/>
              </w:rPr>
              <w:t>En los contratos de obra pública, el menor plazo ofrecido no será objeto de evaluación</w:t>
            </w:r>
            <w:r>
              <w:rPr>
                <w:rFonts w:ascii="Verdana" w:hAnsi="Verdana"/>
              </w:rPr>
              <w:t xml:space="preserve"> […]”</w:t>
            </w:r>
            <w:r w:rsidRPr="00D07509">
              <w:rPr>
                <w:rFonts w:ascii="Verdana" w:hAnsi="Verdana"/>
              </w:rPr>
              <w:t>.</w:t>
            </w:r>
            <w:r>
              <w:rPr>
                <w:rFonts w:ascii="Verdana" w:hAnsi="Verdana"/>
              </w:rPr>
              <w:t xml:space="preserve"> Por lo demás, indica que e</w:t>
            </w:r>
            <w:r w:rsidRPr="00D07509">
              <w:rPr>
                <w:rFonts w:ascii="Verdana" w:hAnsi="Verdana"/>
              </w:rPr>
              <w:t>n los procesos de selección en los que se tenga en cuenta los factores técnicos y económicos, la oferta más ventajosa será la que resulte de aplicar</w:t>
            </w:r>
            <w:r>
              <w:rPr>
                <w:rFonts w:ascii="Verdana" w:hAnsi="Verdana"/>
              </w:rPr>
              <w:t xml:space="preserve"> i) la </w:t>
            </w:r>
            <w:r w:rsidRPr="00D07509">
              <w:rPr>
                <w:rFonts w:ascii="Verdana" w:hAnsi="Verdana"/>
              </w:rPr>
              <w:t>ponderación de los elementos de calidad y precio soportados en puntajes o fórmulas señaladas en el pliego de condiciones</w:t>
            </w:r>
            <w:r>
              <w:rPr>
                <w:rFonts w:ascii="Verdana" w:hAnsi="Verdana"/>
              </w:rPr>
              <w:t xml:space="preserve"> o </w:t>
            </w:r>
            <w:proofErr w:type="spellStart"/>
            <w:r>
              <w:rPr>
                <w:rFonts w:ascii="Verdana" w:hAnsi="Verdana"/>
              </w:rPr>
              <w:t>ii</w:t>
            </w:r>
            <w:proofErr w:type="spellEnd"/>
            <w:r>
              <w:rPr>
                <w:rFonts w:ascii="Verdana" w:hAnsi="Verdana"/>
              </w:rPr>
              <w:t>) l</w:t>
            </w:r>
            <w:r w:rsidRPr="00D07509">
              <w:rPr>
                <w:rFonts w:ascii="Verdana" w:hAnsi="Verdana"/>
              </w:rPr>
              <w:t>a ponderación de los elementos de calidad y precio que representen la mejor relación de costo-beneficio</w:t>
            </w:r>
            <w:r>
              <w:rPr>
                <w:rFonts w:ascii="Verdana" w:hAnsi="Verdana"/>
              </w:rPr>
              <w:t xml:space="preserve">. Sin embargo, tratándose de concurso de méritos, el artículo 5.4 </w:t>
            </w:r>
            <w:r w:rsidRPr="00E411E7">
              <w:rPr>
                <w:rFonts w:ascii="Verdana" w:hAnsi="Verdana"/>
                <w:i/>
                <w:iCs/>
              </w:rPr>
              <w:t>ibidem</w:t>
            </w:r>
            <w:r>
              <w:rPr>
                <w:rFonts w:ascii="Verdana" w:hAnsi="Verdana"/>
              </w:rPr>
              <w:t xml:space="preserve"> prescribe que “</w:t>
            </w:r>
            <w:r w:rsidRPr="00E411E7">
              <w:rPr>
                <w:rFonts w:ascii="Verdana" w:hAnsi="Verdana"/>
              </w:rPr>
              <w:t>En ningún caso se podrá incluir el precio, como factor de escogencia para la selección de consultores</w:t>
            </w:r>
            <w:r>
              <w:rPr>
                <w:rFonts w:ascii="Verdana" w:hAnsi="Verdana"/>
              </w:rPr>
              <w:t xml:space="preserve">”, por lo que la evaluación recae sobre aspectos técnicos, </w:t>
            </w:r>
            <w:r w:rsidRPr="00E411E7">
              <w:rPr>
                <w:rFonts w:ascii="Verdana" w:hAnsi="Verdana"/>
              </w:rPr>
              <w:t>experiencia específica del oferente y del equipo de trabajo.</w:t>
            </w:r>
            <w:r>
              <w:rPr>
                <w:rFonts w:ascii="Verdana" w:hAnsi="Verdana"/>
              </w:rPr>
              <w:t xml:space="preserve"> </w:t>
            </w:r>
          </w:p>
          <w:p w14:paraId="3FABFC82" w14:textId="77777777" w:rsidR="00193BDF" w:rsidRDefault="00193BDF" w:rsidP="00F70182">
            <w:pPr>
              <w:pStyle w:val="Textoindependiente"/>
              <w:spacing w:after="120" w:line="276" w:lineRule="auto"/>
              <w:ind w:left="0" w:firstLine="708"/>
              <w:jc w:val="both"/>
              <w:rPr>
                <w:rFonts w:ascii="Verdana" w:eastAsia="Times New Roman" w:hAnsi="Verdana" w:cs="Arial"/>
                <w:bCs/>
                <w:color w:val="000000" w:themeColor="text1"/>
                <w:lang w:eastAsia="es-ES_tradnl"/>
              </w:rPr>
            </w:pPr>
            <w:r w:rsidRPr="00A35787">
              <w:rPr>
                <w:rFonts w:ascii="Verdana" w:hAnsi="Verdana"/>
                <w:i/>
                <w:iCs/>
              </w:rPr>
              <w:t>Por otra parte</w:t>
            </w:r>
            <w:r>
              <w:rPr>
                <w:rFonts w:ascii="Verdana" w:hAnsi="Verdana"/>
              </w:rPr>
              <w:t>, de acuerdo con el artículo 49 de la Ley 80 de 1993, los actos</w:t>
            </w:r>
            <w:r w:rsidRPr="00771C8A">
              <w:rPr>
                <w:rFonts w:ascii="Verdana" w:hAnsi="Verdana"/>
              </w:rPr>
              <w:t xml:space="preserve"> de saneamiento son propios de la etapa precontractual, por lo que no es posible expedirlos después de la adjudicación, de la suscripción del negocio jurídico ni mucho menos durante o después de la liquidación del contrato.</w:t>
            </w:r>
            <w:r>
              <w:rPr>
                <w:rFonts w:ascii="Verdana" w:hAnsi="Verdana"/>
              </w:rPr>
              <w:t xml:space="preserve"> Dicha facultad está sujeta a </w:t>
            </w:r>
            <w:r w:rsidRPr="00771C8A">
              <w:rPr>
                <w:rFonts w:ascii="Verdana" w:eastAsia="Arial" w:hAnsi="Verdana" w:cs="Arial"/>
                <w:color w:val="000000" w:themeColor="text1"/>
              </w:rPr>
              <w:t xml:space="preserve">los siguientes requisitos: </w:t>
            </w:r>
            <w:r w:rsidRPr="00771C8A">
              <w:rPr>
                <w:rFonts w:ascii="Verdana" w:eastAsia="Times New Roman" w:hAnsi="Verdana" w:cs="Arial"/>
                <w:bCs/>
                <w:color w:val="000000" w:themeColor="text1"/>
                <w:lang w:eastAsia="es-ES_tradnl"/>
              </w:rPr>
              <w:t xml:space="preserve">i) el vicio a sanear tiene </w:t>
            </w:r>
            <w:r w:rsidRPr="00771C8A">
              <w:rPr>
                <w:rFonts w:ascii="Verdana" w:eastAsia="Times New Roman" w:hAnsi="Verdana" w:cs="Arial"/>
                <w:bCs/>
                <w:color w:val="000000" w:themeColor="text1"/>
                <w:lang w:eastAsia="es-ES_tradnl"/>
              </w:rPr>
              <w:lastRenderedPageBreak/>
              <w:t xml:space="preserve">de que ser de procedimiento o de forma, lo que significa que no es posible sanear a través de esta figura los vicios de fondo o sustanciales del contrato, lo que lleva a que,  </w:t>
            </w:r>
            <w:proofErr w:type="spellStart"/>
            <w:r w:rsidRPr="00771C8A">
              <w:rPr>
                <w:rFonts w:ascii="Verdana" w:eastAsia="Times New Roman" w:hAnsi="Verdana" w:cs="Arial"/>
                <w:bCs/>
                <w:color w:val="000000" w:themeColor="text1"/>
                <w:lang w:eastAsia="es-ES_tradnl"/>
              </w:rPr>
              <w:t>ii</w:t>
            </w:r>
            <w:proofErr w:type="spellEnd"/>
            <w:r w:rsidRPr="00771C8A">
              <w:rPr>
                <w:rFonts w:ascii="Verdana" w:eastAsia="Times New Roman" w:hAnsi="Verdana" w:cs="Arial"/>
                <w:bCs/>
                <w:color w:val="000000" w:themeColor="text1"/>
                <w:lang w:eastAsia="es-ES_tradnl"/>
              </w:rPr>
              <w:t xml:space="preserve">) el vicio a sanear no puede corresponder a  ninguna de las causales de nulidad absoluta o relativa de los contratos estatales, </w:t>
            </w:r>
            <w:proofErr w:type="spellStart"/>
            <w:r w:rsidRPr="00771C8A">
              <w:rPr>
                <w:rFonts w:ascii="Verdana" w:eastAsia="Times New Roman" w:hAnsi="Verdana" w:cs="Arial"/>
                <w:bCs/>
                <w:color w:val="000000" w:themeColor="text1"/>
                <w:lang w:eastAsia="es-ES_tradnl"/>
              </w:rPr>
              <w:t>iii</w:t>
            </w:r>
            <w:proofErr w:type="spellEnd"/>
            <w:r w:rsidRPr="00771C8A">
              <w:rPr>
                <w:rFonts w:ascii="Verdana" w:eastAsia="Times New Roman" w:hAnsi="Verdana" w:cs="Arial"/>
                <w:bCs/>
                <w:color w:val="000000" w:themeColor="text1"/>
                <w:lang w:eastAsia="es-ES_tradnl"/>
              </w:rPr>
              <w:t xml:space="preserve">) debe hacerse mediante acto administrativo motivado, </w:t>
            </w:r>
            <w:proofErr w:type="spellStart"/>
            <w:r w:rsidRPr="00771C8A">
              <w:rPr>
                <w:rFonts w:ascii="Verdana" w:eastAsia="Times New Roman" w:hAnsi="Verdana" w:cs="Arial"/>
                <w:bCs/>
                <w:color w:val="000000" w:themeColor="text1"/>
                <w:lang w:eastAsia="es-ES_tradnl"/>
              </w:rPr>
              <w:t>iv</w:t>
            </w:r>
            <w:proofErr w:type="spellEnd"/>
            <w:r w:rsidRPr="00771C8A">
              <w:rPr>
                <w:rFonts w:ascii="Verdana" w:eastAsia="Times New Roman" w:hAnsi="Verdana" w:cs="Arial"/>
                <w:bCs/>
                <w:color w:val="000000" w:themeColor="text1"/>
                <w:lang w:eastAsia="es-ES_tradnl"/>
              </w:rPr>
              <w:t>) el funcionario competente es el jefe o representante legal de la entidad y v) el saneamiento debe ocurrir cuando las necesidades del servicio lo exijan o a las reglas de la buena administración lo aconsejen.</w:t>
            </w:r>
          </w:p>
          <w:p w14:paraId="4402E44A" w14:textId="77777777" w:rsidR="00193BDF" w:rsidRPr="000C42A9" w:rsidRDefault="00193BDF" w:rsidP="00F70182">
            <w:pPr>
              <w:pStyle w:val="Textoindependiente"/>
              <w:spacing w:line="276" w:lineRule="auto"/>
              <w:ind w:left="0" w:firstLine="708"/>
              <w:jc w:val="both"/>
              <w:rPr>
                <w:rFonts w:ascii="Verdana" w:eastAsia="Times New Roman" w:hAnsi="Verdana" w:cs="Arial"/>
                <w:color w:val="000000"/>
                <w:lang w:val="es-ES_tradnl" w:eastAsia="es-ES_tradnl"/>
              </w:rPr>
            </w:pPr>
            <w:r w:rsidRPr="002E2B0F">
              <w:rPr>
                <w:rFonts w:ascii="Verdana" w:eastAsia="Times New Roman" w:hAnsi="Verdana" w:cs="Arial"/>
                <w:bCs/>
                <w:i/>
                <w:iCs/>
                <w:color w:val="000000" w:themeColor="text1"/>
                <w:lang w:eastAsia="es-ES_tradnl"/>
              </w:rPr>
              <w:t>Finalmente</w:t>
            </w:r>
            <w:r>
              <w:rPr>
                <w:rFonts w:ascii="Verdana" w:eastAsia="Times New Roman" w:hAnsi="Verdana" w:cs="Arial"/>
                <w:bCs/>
                <w:color w:val="000000" w:themeColor="text1"/>
                <w:lang w:eastAsia="es-ES_tradnl"/>
              </w:rPr>
              <w:t xml:space="preserve">, </w:t>
            </w:r>
            <w:r w:rsidRPr="008F096A">
              <w:rPr>
                <w:rFonts w:ascii="Verdana" w:eastAsia="Calibri" w:hAnsi="Verdana" w:cs="Arial"/>
                <w:bCs/>
                <w:color w:val="000000" w:themeColor="text1"/>
                <w:lang w:val="es-ES_tradnl"/>
              </w:rPr>
              <w:t>el SECOP II permite generar contratos en línea y realizar la firma electrónica de los mismos. Tiene funciones que permiten al proveedor presentar garantías y facturas; y a la entidad estatal, realizar la revisión y aprobación de ambos tipos de documentos en línea. Además, el módulo permite hacer modificaciones contractuales, tanto unilaterales como bilaterales –estas últimas son enviadas para aprobación del proveedor antes de la publicación por parte de la entidad estatal–. Para registrar el seguimiento al avance de la ejecución, el módulo de gestión contractual habilita el registro de planes de ejecución por porcentaje de avance y el cargue de documentos tanto a proveedor como a la entidad estatal, la cual puede crear usuarios para que los supervisores de los contratos carguen la información pertinente. Finalmente, la liquidación y el cierre de los expedientes contractuales también puede realizarse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w:t>
            </w:r>
            <w:r>
              <w:rPr>
                <w:rFonts w:ascii="Verdana" w:eastAsia="Calibri" w:hAnsi="Verdana" w:cs="Arial"/>
                <w:bCs/>
                <w:color w:val="000000" w:themeColor="text1"/>
                <w:lang w:val="es-ES_tradnl"/>
              </w:rPr>
              <w:t xml:space="preserve"> Las guías de uso de la plataforma se encuentran en el siguiente enlace: </w:t>
            </w:r>
            <w:hyperlink r:id="rId14" w:history="1">
              <w:r w:rsidRPr="00785087">
                <w:rPr>
                  <w:rStyle w:val="Hipervnculo"/>
                  <w:rFonts w:ascii="Verdana" w:eastAsia="Calibri" w:hAnsi="Verdana" w:cs="Arial"/>
                  <w:bCs/>
                  <w:lang w:val="es-ES_tradnl"/>
                </w:rPr>
                <w:t>https://www.colombiacompra.gov.co/secop-ii</w:t>
              </w:r>
            </w:hyperlink>
            <w:r>
              <w:rPr>
                <w:rFonts w:ascii="Verdana" w:eastAsia="Calibri" w:hAnsi="Verdana" w:cs="Arial"/>
                <w:bCs/>
                <w:color w:val="000000" w:themeColor="text1"/>
                <w:lang w:val="es-ES_tradnl"/>
              </w:rPr>
              <w:t>.</w:t>
            </w:r>
          </w:p>
        </w:tc>
      </w:tr>
    </w:tbl>
    <w:p w14:paraId="22C39986" w14:textId="77777777" w:rsidR="00193BDF" w:rsidRPr="00593A5F" w:rsidRDefault="00193BDF" w:rsidP="00193BDF">
      <w:pPr>
        <w:tabs>
          <w:tab w:val="left" w:pos="142"/>
          <w:tab w:val="left" w:pos="284"/>
        </w:tabs>
        <w:spacing w:after="0" w:line="276" w:lineRule="auto"/>
        <w:jc w:val="both"/>
        <w:rPr>
          <w:rFonts w:ascii="Verdana" w:eastAsia="Century Gothic" w:hAnsi="Verdana" w:cs="Century Gothic"/>
          <w:b/>
          <w:bCs/>
          <w:lang w:val="es-ES"/>
        </w:rPr>
      </w:pPr>
    </w:p>
    <w:bookmarkEnd w:id="2"/>
    <w:p w14:paraId="44E561A7" w14:textId="77777777" w:rsidR="00193BDF" w:rsidRPr="00593A5F" w:rsidRDefault="00193BDF" w:rsidP="00193BD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w:t>
      </w:r>
      <w:r>
        <w:rPr>
          <w:rFonts w:ascii="Verdana" w:eastAsia="Century Gothic" w:hAnsi="Verdana" w:cs="Century Gothic"/>
          <w:b/>
          <w:bCs/>
        </w:rPr>
        <w:t>s</w:t>
      </w:r>
      <w:r w:rsidRPr="00593A5F">
        <w:rPr>
          <w:rFonts w:ascii="Verdana" w:eastAsia="Century Gothic" w:hAnsi="Verdana" w:cs="Century Gothic"/>
          <w:b/>
          <w:bCs/>
        </w:rPr>
        <w:t xml:space="preserve"> respuesta</w:t>
      </w:r>
      <w:r>
        <w:rPr>
          <w:rFonts w:ascii="Verdana" w:eastAsia="Century Gothic" w:hAnsi="Verdana" w:cs="Century Gothic"/>
          <w:b/>
          <w:bCs/>
        </w:rPr>
        <w:t>s</w:t>
      </w:r>
      <w:r w:rsidRPr="00593A5F">
        <w:rPr>
          <w:rFonts w:ascii="Verdana" w:eastAsia="Century Gothic" w:hAnsi="Verdana" w:cs="Century Gothic"/>
          <w:b/>
          <w:bCs/>
        </w:rPr>
        <w:t>:</w:t>
      </w:r>
    </w:p>
    <w:p w14:paraId="2EE01172" w14:textId="77777777" w:rsidR="00193BDF" w:rsidRPr="00593A5F" w:rsidRDefault="00193BDF" w:rsidP="00193BDF">
      <w:pPr>
        <w:spacing w:after="0" w:line="276" w:lineRule="auto"/>
        <w:jc w:val="both"/>
        <w:rPr>
          <w:rFonts w:ascii="Verdana" w:eastAsia="Calibri" w:hAnsi="Verdana" w:cs="Arial"/>
          <w:color w:val="7030A0"/>
          <w:lang w:val="es-ES"/>
        </w:rPr>
      </w:pPr>
    </w:p>
    <w:p w14:paraId="650A0AB8" w14:textId="77777777" w:rsidR="00193BDF" w:rsidRDefault="00193BDF" w:rsidP="00193BDF">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4D4A198C" w14:textId="77777777" w:rsidR="00193BDF" w:rsidRDefault="00193BDF" w:rsidP="00193BDF">
      <w:pPr>
        <w:spacing w:after="0" w:line="276" w:lineRule="auto"/>
        <w:jc w:val="both"/>
        <w:rPr>
          <w:rFonts w:ascii="Verdana" w:eastAsia="Calibri" w:hAnsi="Verdana" w:cs="Arial"/>
          <w:lang w:val="es-ES"/>
        </w:rPr>
      </w:pPr>
    </w:p>
    <w:p w14:paraId="2EC2EE7F" w14:textId="77777777" w:rsidR="00193BDF" w:rsidRPr="007871C6" w:rsidRDefault="00193BDF" w:rsidP="00193BDF">
      <w:pPr>
        <w:spacing w:after="120" w:line="276" w:lineRule="auto"/>
        <w:jc w:val="both"/>
        <w:rPr>
          <w:rFonts w:ascii="Verdana" w:eastAsia="Calibri" w:hAnsi="Verdana" w:cs="Arial"/>
          <w:lang w:val="es-ES_tradnl"/>
        </w:rPr>
      </w:pPr>
      <w:r>
        <w:rPr>
          <w:rFonts w:ascii="Verdana" w:eastAsia="Calibri" w:hAnsi="Verdana" w:cs="Arial"/>
          <w:lang w:val="es-ES_tradnl"/>
        </w:rPr>
        <w:t xml:space="preserve">i. </w:t>
      </w:r>
      <w:bookmarkStart w:id="3" w:name="_Hlk174375050"/>
      <w:r w:rsidRPr="007871C6">
        <w:rPr>
          <w:rFonts w:ascii="Verdana" w:eastAsia="Calibri" w:hAnsi="Verdana" w:cs="Arial"/>
          <w:lang w:val="es-ES_tradnl"/>
        </w:rPr>
        <w:t>La planeación contractual es una herramienta de gerencia pública</w:t>
      </w:r>
      <w:r>
        <w:rPr>
          <w:rFonts w:ascii="Verdana" w:eastAsia="Calibri" w:hAnsi="Verdana" w:cs="Arial"/>
          <w:lang w:val="es-ES_tradnl"/>
        </w:rPr>
        <w:t xml:space="preserve"> que</w:t>
      </w:r>
      <w:r w:rsidRPr="007871C6">
        <w:rPr>
          <w:rFonts w:ascii="Verdana" w:eastAsia="Calibri" w:hAnsi="Verdana" w:cs="Arial"/>
          <w:lang w:val="es-ES_tradnl"/>
        </w:rPr>
        <w:t xml:space="preserve"> exige estructurar el proceso contractual dedicando tiempo y esfuerzo para elaborar estudios previos</w:t>
      </w:r>
      <w:r>
        <w:rPr>
          <w:rFonts w:ascii="Verdana" w:eastAsia="Calibri" w:hAnsi="Verdana" w:cs="Arial"/>
          <w:lang w:val="es-ES_tradnl"/>
        </w:rPr>
        <w:t xml:space="preserve"> y análisis de sector económico</w:t>
      </w:r>
      <w:r w:rsidRPr="007871C6">
        <w:rPr>
          <w:rFonts w:ascii="Verdana" w:eastAsia="Calibri" w:hAnsi="Verdana" w:cs="Arial"/>
          <w:lang w:val="es-ES_tradnl"/>
        </w:rPr>
        <w:t xml:space="preserve">,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w:t>
      </w:r>
      <w:r w:rsidRPr="007871C6">
        <w:rPr>
          <w:rFonts w:ascii="Verdana" w:eastAsia="Calibri" w:hAnsi="Verdana" w:cs="Arial"/>
          <w:lang w:val="es-ES_tradnl"/>
        </w:rPr>
        <w:lastRenderedPageBreak/>
        <w:t>mejor oferta para beneficiar los intereses y fines públicos inmersos en la contratación de las entidades estatales.</w:t>
      </w:r>
    </w:p>
    <w:p w14:paraId="0744416D" w14:textId="77777777" w:rsidR="00193BDF" w:rsidRDefault="00193BDF" w:rsidP="00193BDF">
      <w:pPr>
        <w:spacing w:after="120" w:line="276" w:lineRule="auto"/>
        <w:ind w:firstLine="708"/>
        <w:jc w:val="both"/>
        <w:rPr>
          <w:rFonts w:ascii="Verdana" w:eastAsia="Calibri" w:hAnsi="Verdana" w:cs="Arial"/>
          <w:lang w:val="es-ES_tradnl"/>
        </w:rPr>
      </w:pPr>
      <w:r w:rsidRPr="007871C6">
        <w:rPr>
          <w:rFonts w:ascii="Verdana" w:eastAsia="Calibri" w:hAnsi="Verdana" w:cs="Arial"/>
          <w:lang w:val="es-ES_tradnl"/>
        </w:rPr>
        <w:t>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Pr>
          <w:rFonts w:ascii="Verdana" w:eastAsia="Calibri" w:hAnsi="Verdana" w:cs="Arial"/>
          <w:lang w:val="es-ES_tradnl"/>
        </w:rPr>
        <w:t xml:space="preserve"> En este contexto, el contenido de los estudios previos y del análisis del sector se encuentran regulados en los artículos </w:t>
      </w:r>
      <w:r w:rsidRPr="005E2573">
        <w:rPr>
          <w:rFonts w:ascii="Verdana" w:eastAsia="Calibri" w:hAnsi="Verdana" w:cs="Arial"/>
          <w:lang w:val="es-ES_tradnl"/>
        </w:rPr>
        <w:t>2.2.1.1.1.6.1</w:t>
      </w:r>
      <w:r>
        <w:rPr>
          <w:rFonts w:ascii="Verdana" w:eastAsia="Calibri" w:hAnsi="Verdana" w:cs="Arial"/>
          <w:lang w:val="es-ES_tradnl"/>
        </w:rPr>
        <w:t xml:space="preserve"> y </w:t>
      </w:r>
      <w:r w:rsidRPr="005E2573">
        <w:rPr>
          <w:rFonts w:ascii="Verdana" w:eastAsia="Calibri" w:hAnsi="Verdana" w:cs="Arial"/>
          <w:lang w:val="es-ES_tradnl"/>
        </w:rPr>
        <w:t>2.2.1.1.2.1.1</w:t>
      </w:r>
      <w:r>
        <w:rPr>
          <w:rFonts w:ascii="Verdana" w:eastAsia="Calibri" w:hAnsi="Verdana" w:cs="Arial"/>
          <w:lang w:val="es-ES_tradnl"/>
        </w:rPr>
        <w:t xml:space="preserve"> del Decreto 1082 de 2015. </w:t>
      </w:r>
    </w:p>
    <w:bookmarkEnd w:id="3"/>
    <w:p w14:paraId="608EAA6B" w14:textId="77777777" w:rsidR="00193BDF" w:rsidRDefault="00193BDF" w:rsidP="5F0DCBDA">
      <w:pPr>
        <w:spacing w:after="0" w:line="276" w:lineRule="auto"/>
        <w:ind w:firstLine="708"/>
        <w:jc w:val="both"/>
        <w:rPr>
          <w:rFonts w:ascii="Verdana" w:eastAsia="Calibri" w:hAnsi="Verdana" w:cs="Arial"/>
        </w:rPr>
      </w:pPr>
      <w:r w:rsidRPr="5F0DCBDA">
        <w:rPr>
          <w:rFonts w:ascii="Verdana" w:eastAsia="Calibri" w:hAnsi="Verdana" w:cs="Arial"/>
        </w:rPr>
        <w:t>De esta manera, como se indica en la “Guía de Elaboración de Estudios del Sector” expedida por esta Agencia, la información relevante para el tema objeto de consulta se desprende del análisis de los aspectos generales del mercado, el comportamiento del gasto histórico, el estudio de la oferta y el estudio de mercado</w:t>
      </w:r>
      <w:r w:rsidRPr="5F0DCBDA">
        <w:rPr>
          <w:rStyle w:val="Refdenotaalpie"/>
          <w:rFonts w:ascii="Verdana" w:eastAsia="Calibri" w:hAnsi="Verdana" w:cs="Arial"/>
        </w:rPr>
        <w:footnoteReference w:id="1"/>
      </w:r>
      <w:r w:rsidRPr="5F0DCBDA">
        <w:rPr>
          <w:rFonts w:ascii="Verdana" w:eastAsia="Calibri" w:hAnsi="Verdana" w:cs="Arial"/>
        </w:rPr>
        <w:t>. Asimismo, de acuerdo con el numeral 8.3.1 del Modelo de Abastecimiento Estratégico, el análisis del mercado de oferta permite “[…] realizar análisis económicos, análisis financieros, análisis estratégicos y de cadena de suministro, los cuales permitirán definir de manera adecuada las estrategias de compra […]”</w:t>
      </w:r>
      <w:r w:rsidRPr="5F0DCBDA">
        <w:rPr>
          <w:rStyle w:val="Refdenotaalpie"/>
          <w:rFonts w:ascii="Verdana" w:eastAsia="Calibri" w:hAnsi="Verdana" w:cs="Arial"/>
        </w:rPr>
        <w:footnoteReference w:id="2"/>
      </w:r>
      <w:r w:rsidRPr="5F0DCBDA">
        <w:rPr>
          <w:rFonts w:ascii="Verdana" w:eastAsia="Calibri" w:hAnsi="Verdana" w:cs="Arial"/>
        </w:rPr>
        <w:t>.</w:t>
      </w:r>
    </w:p>
    <w:p w14:paraId="5C2CB112" w14:textId="77777777" w:rsidR="00193BDF" w:rsidRDefault="00193BDF" w:rsidP="00193BDF">
      <w:pPr>
        <w:spacing w:after="0" w:line="276" w:lineRule="auto"/>
        <w:ind w:firstLine="708"/>
        <w:jc w:val="both"/>
        <w:rPr>
          <w:rFonts w:ascii="Verdana" w:eastAsia="Calibri" w:hAnsi="Verdana" w:cs="Arial"/>
          <w:lang w:val="es-ES_tradnl"/>
        </w:rPr>
      </w:pPr>
    </w:p>
    <w:p w14:paraId="3991F673" w14:textId="77777777" w:rsidR="00193BDF" w:rsidRPr="00EE395F" w:rsidRDefault="00193BDF" w:rsidP="00193BDF">
      <w:pPr>
        <w:shd w:val="clear" w:color="auto" w:fill="FFFFFF"/>
        <w:spacing w:line="276" w:lineRule="auto"/>
        <w:jc w:val="both"/>
        <w:textAlignment w:val="baseline"/>
        <w:rPr>
          <w:rFonts w:ascii="Verdana" w:hAnsi="Verdana" w:cs="Arial"/>
          <w:b/>
          <w:bCs/>
          <w:color w:val="000000"/>
          <w:lang w:eastAsia="es-CO"/>
        </w:rPr>
      </w:pPr>
      <w:proofErr w:type="spellStart"/>
      <w:r w:rsidRPr="00EE395F">
        <w:rPr>
          <w:rFonts w:ascii="Verdana" w:eastAsia="Calibri" w:hAnsi="Verdana" w:cs="Arial"/>
          <w:lang w:val="es-ES_tradnl"/>
        </w:rPr>
        <w:t>ii</w:t>
      </w:r>
      <w:proofErr w:type="spellEnd"/>
      <w:r w:rsidRPr="00EE395F">
        <w:rPr>
          <w:rFonts w:ascii="Verdana" w:eastAsia="Calibri" w:hAnsi="Verdana" w:cs="Arial"/>
          <w:lang w:val="es-ES_tradnl"/>
        </w:rPr>
        <w:t xml:space="preserve">. </w:t>
      </w:r>
      <w:bookmarkStart w:id="4" w:name="_Hlk72774853"/>
      <w:r w:rsidRPr="00EE395F">
        <w:rPr>
          <w:rFonts w:ascii="Verdana" w:hAnsi="Verdana" w:cs="Arial"/>
          <w:bCs/>
          <w:lang w:val="es-ES_tradnl"/>
        </w:rPr>
        <w:t xml:space="preserve">El </w:t>
      </w:r>
      <w:bookmarkStart w:id="5" w:name="_Hlk81313863"/>
      <w:r w:rsidRPr="00EE395F">
        <w:rPr>
          <w:rFonts w:ascii="Verdana" w:hAnsi="Verdana" w:cs="Arial"/>
          <w:bCs/>
          <w:lang w:val="es-ES_tradnl"/>
        </w:rPr>
        <w:t xml:space="preserve">artículo 2.2.1.2.6.1.4 del Decreto 1082 de 2015 </w:t>
      </w:r>
      <w:bookmarkEnd w:id="5"/>
      <w:r w:rsidRPr="00EE395F">
        <w:rPr>
          <w:rFonts w:ascii="Verdana" w:hAnsi="Verdana" w:cs="Arial"/>
          <w:bCs/>
          <w:lang w:val="es-ES_tradnl"/>
        </w:rPr>
        <w:t>dispone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EE395F">
        <w:rPr>
          <w:rStyle w:val="Refdenotaalpie"/>
          <w:rFonts w:ascii="Verdana" w:hAnsi="Verdana" w:cs="Arial"/>
          <w:bCs/>
          <w:lang w:val="es-ES_tradnl"/>
        </w:rPr>
        <w:footnoteReference w:id="3"/>
      </w:r>
      <w:r w:rsidRPr="00EE395F">
        <w:rPr>
          <w:rFonts w:ascii="Verdana" w:hAnsi="Verdana" w:cs="Arial"/>
          <w:bCs/>
          <w:lang w:val="es-ES_tradnl"/>
        </w:rPr>
        <w:t>. En consecuencia</w:t>
      </w:r>
      <w:bookmarkStart w:id="6" w:name="_Hlk64290904"/>
      <w:r w:rsidRPr="00EE395F">
        <w:rPr>
          <w:rFonts w:ascii="Verdana" w:hAnsi="Verdana" w:cs="Arial"/>
          <w:bCs/>
          <w:lang w:val="es-ES_tradnl"/>
        </w:rPr>
        <w:t xml:space="preserve">, las condiciones establecidas en los documentos que adopte la Agencia, en ejercicio del mandato establecido en el artículo 1 de la Ley 2022 de 2020, son de obligatorio cumplimiento para las entidades sometidas al Estatuto General de Contratación de la Administración </w:t>
      </w:r>
      <w:r w:rsidRPr="00EE395F">
        <w:rPr>
          <w:rFonts w:ascii="Verdana" w:hAnsi="Verdana" w:cs="Arial"/>
          <w:bCs/>
          <w:lang w:val="es-ES_tradnl"/>
        </w:rPr>
        <w:lastRenderedPageBreak/>
        <w:t>pública que adelanten procesos que deban regirse por su contenido y no pueden variarse los requisitos que fijados en ellos.</w:t>
      </w:r>
      <w:bookmarkEnd w:id="6"/>
      <w:r w:rsidRPr="00EE395F">
        <w:rPr>
          <w:rFonts w:ascii="Verdana" w:hAnsi="Verdana" w:cs="Arial"/>
          <w:bCs/>
          <w:lang w:val="es-ES_tradnl"/>
        </w:rPr>
        <w:t xml:space="preserve"> </w:t>
      </w:r>
    </w:p>
    <w:p w14:paraId="2FA87DBC" w14:textId="77777777" w:rsidR="00193BDF" w:rsidRDefault="00193BDF" w:rsidP="00193BDF">
      <w:pPr>
        <w:spacing w:before="120" w:line="276" w:lineRule="auto"/>
        <w:ind w:firstLine="709"/>
        <w:jc w:val="both"/>
        <w:rPr>
          <w:rFonts w:ascii="Verdana" w:hAnsi="Verdana" w:cs="Arial"/>
          <w:bCs/>
          <w:lang w:val="es-ES_tradnl"/>
        </w:rPr>
      </w:pPr>
      <w:r w:rsidRPr="00EE395F">
        <w:rPr>
          <w:rFonts w:ascii="Verdana" w:hAnsi="Verdana" w:cs="Arial"/>
          <w:bCs/>
          <w:lang w:val="es-ES_tradnl"/>
        </w:rPr>
        <w:t xml:space="preserve">Esta prohibición se ratifica en el </w:t>
      </w:r>
      <w:bookmarkStart w:id="7" w:name="_Hlk81313856"/>
      <w:r w:rsidRPr="00EE395F">
        <w:rPr>
          <w:rFonts w:ascii="Verdana" w:hAnsi="Verdana" w:cs="Arial"/>
          <w:bCs/>
          <w:lang w:val="es-ES_tradnl"/>
        </w:rPr>
        <w:t>artículo 3 de la Resolución No. 240 de 2020</w:t>
      </w:r>
      <w:bookmarkEnd w:id="7"/>
      <w:r w:rsidRPr="00EE395F">
        <w:rPr>
          <w:rFonts w:ascii="Verdana" w:hAnsi="Verdana" w:cs="Arial"/>
          <w:bCs/>
          <w:lang w:val="es-ES_tradnl"/>
        </w:rPr>
        <w:t xml:space="preserve">,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6DEC549C" w14:textId="77777777" w:rsidR="00193BDF" w:rsidRDefault="00193BDF" w:rsidP="5F0DCBDA">
      <w:pPr>
        <w:spacing w:before="120" w:after="0" w:line="276" w:lineRule="auto"/>
        <w:ind w:firstLine="709"/>
        <w:jc w:val="both"/>
        <w:rPr>
          <w:rFonts w:ascii="Verdana" w:hAnsi="Verdana" w:cs="Arial"/>
          <w:lang w:val="es-ES"/>
        </w:rPr>
      </w:pPr>
      <w:r w:rsidRPr="5F0DCBDA">
        <w:rPr>
          <w:rFonts w:ascii="Verdana" w:hAnsi="Verdana" w:cs="Arial"/>
          <w:lang w:val="es-ES"/>
        </w:rPr>
        <w:t xml:space="preserve">Esta regulación se retoma </w:t>
      </w:r>
      <w:r w:rsidRPr="5F0DCBDA">
        <w:rPr>
          <w:rFonts w:ascii="Verdana" w:hAnsi="Verdana" w:cs="Arial"/>
          <w:i/>
          <w:iCs/>
          <w:lang w:val="es-ES"/>
        </w:rPr>
        <w:t>mutatis mutandis</w:t>
      </w:r>
      <w:r w:rsidRPr="5F0DCBDA">
        <w:rPr>
          <w:rFonts w:ascii="Verdana" w:hAnsi="Verdana" w:cs="Arial"/>
          <w:lang w:val="es-ES"/>
        </w:rPr>
        <w:t xml:space="preserve"> para las demás modalidades de selección en los que la Agencia ha ejercido la competencia descrita en el párrafo anterior. Por ello, teniendo en cuenta que los indicadores financieros hacen parte de los requisitos habilitantes, en los procesos regidos por documentos tipo éstos se verifican de acuerdo con el contenido estandarizado del pliego de condiciones, por lo que las entidades se sujetan a ellos sin posibilidad de modificarlos. Para estos efectos, se sugiere la revisión exhaustiva de los Documentos Tipo expedidos por esta Agencia en la página web </w:t>
      </w:r>
      <w:hyperlink r:id="rId15">
        <w:r w:rsidRPr="5F0DCBDA">
          <w:rPr>
            <w:rStyle w:val="Hipervnculo"/>
            <w:rFonts w:ascii="Verdana" w:hAnsi="Verdana" w:cs="Arial"/>
            <w:lang w:val="es-ES"/>
          </w:rPr>
          <w:t>https://www.colombiacompra.gov.co/documentos-tipo/documentos-tipo</w:t>
        </w:r>
      </w:hyperlink>
      <w:r w:rsidRPr="5F0DCBDA">
        <w:rPr>
          <w:rFonts w:ascii="Verdana" w:hAnsi="Verdana" w:cs="Arial"/>
          <w:lang w:val="es-ES"/>
        </w:rPr>
        <w:t xml:space="preserve">. </w:t>
      </w:r>
    </w:p>
    <w:p w14:paraId="1E76D12C" w14:textId="77777777" w:rsidR="00193BDF" w:rsidRDefault="00193BDF" w:rsidP="00193BDF">
      <w:pPr>
        <w:spacing w:after="0" w:line="276" w:lineRule="auto"/>
        <w:jc w:val="both"/>
        <w:rPr>
          <w:rFonts w:ascii="Verdana" w:hAnsi="Verdana" w:cs="Arial"/>
          <w:bCs/>
          <w:lang w:val="es-ES_tradnl"/>
        </w:rPr>
      </w:pPr>
      <w:r>
        <w:rPr>
          <w:rFonts w:ascii="Verdana" w:hAnsi="Verdana" w:cs="Arial"/>
          <w:bCs/>
          <w:lang w:val="es-ES_tradnl"/>
        </w:rPr>
        <w:tab/>
      </w:r>
    </w:p>
    <w:p w14:paraId="4F43390F" w14:textId="77777777" w:rsidR="00193BDF" w:rsidRDefault="00193BDF" w:rsidP="5F0DCBDA">
      <w:pPr>
        <w:spacing w:after="120" w:line="276" w:lineRule="auto"/>
        <w:jc w:val="both"/>
        <w:rPr>
          <w:rFonts w:ascii="Verdana" w:hAnsi="Verdana" w:cs="Arial"/>
          <w:lang w:val="es-ES"/>
        </w:rPr>
      </w:pPr>
      <w:proofErr w:type="spellStart"/>
      <w:r w:rsidRPr="5F0DCBDA">
        <w:rPr>
          <w:rFonts w:ascii="Verdana" w:hAnsi="Verdana" w:cs="Arial"/>
          <w:lang w:val="es-ES"/>
        </w:rPr>
        <w:t>iii</w:t>
      </w:r>
      <w:proofErr w:type="spellEnd"/>
      <w:r w:rsidRPr="5F0DCBDA">
        <w:rPr>
          <w:rFonts w:ascii="Verdana" w:hAnsi="Verdana" w:cs="Arial"/>
          <w:lang w:val="es-ES"/>
        </w:rPr>
        <w:t xml:space="preserve">. </w:t>
      </w:r>
      <w:bookmarkStart w:id="8" w:name="_Hlk174375281"/>
      <w:r w:rsidRPr="5F0DCBDA">
        <w:rPr>
          <w:rFonts w:ascii="Verdana" w:hAnsi="Verdana" w:cs="Arial"/>
          <w:lang w:val="es-ES"/>
        </w:rPr>
        <w:t xml:space="preserve">De acuerdo con el artículo 2.2.1.1.1.6.2 del Decreto 1082 de 2015,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 De esta manera, como se explicó en el </w:t>
      </w:r>
      <w:r w:rsidRPr="5F0DCBDA">
        <w:rPr>
          <w:rFonts w:ascii="Verdana" w:hAnsi="Verdana" w:cs="Arial"/>
          <w:i/>
          <w:iCs/>
          <w:lang w:val="es-ES"/>
        </w:rPr>
        <w:t>punto i</w:t>
      </w:r>
      <w:r w:rsidRPr="5F0DCBDA">
        <w:rPr>
          <w:rFonts w:ascii="Verdana" w:hAnsi="Verdana" w:cs="Arial"/>
          <w:lang w:val="es-ES"/>
        </w:rPr>
        <w:t xml:space="preserve">, la etapa de planeación sirve para establecer los requisitos habilitantes de indicadores financieros en el pliego de condiciones. Una vez precisados, la evaluación financiera se realiza con estricta sujeción a los documentos del proceso, exceptuado aquellos regidos por documentos tipo por las razones explicadas en el punto anterior. </w:t>
      </w:r>
    </w:p>
    <w:bookmarkEnd w:id="8"/>
    <w:p w14:paraId="60F0D781" w14:textId="77777777" w:rsidR="00193BDF" w:rsidRDefault="00193BDF" w:rsidP="00193BDF">
      <w:pPr>
        <w:spacing w:after="0" w:line="276" w:lineRule="auto"/>
        <w:ind w:firstLine="708"/>
        <w:jc w:val="both"/>
        <w:rPr>
          <w:rFonts w:ascii="Verdana" w:hAnsi="Verdana" w:cs="Arial"/>
          <w:bCs/>
          <w:lang w:val="es-ES_tradnl"/>
        </w:rPr>
      </w:pPr>
      <w:r>
        <w:rPr>
          <w:rFonts w:ascii="Verdana" w:hAnsi="Verdana" w:cs="Arial"/>
          <w:bCs/>
          <w:lang w:val="es-ES_tradnl"/>
        </w:rPr>
        <w:t>Por lo demás, como señala el numeral 2 del “</w:t>
      </w:r>
      <w:r w:rsidRPr="00473392">
        <w:rPr>
          <w:rFonts w:ascii="Verdana" w:hAnsi="Verdana" w:cs="Arial"/>
          <w:bCs/>
          <w:lang w:val="es-ES_tradnl"/>
        </w:rPr>
        <w:t xml:space="preserve">Manual </w:t>
      </w:r>
      <w:r>
        <w:rPr>
          <w:rFonts w:ascii="Verdana" w:hAnsi="Verdana" w:cs="Arial"/>
          <w:bCs/>
          <w:lang w:val="es-ES_tradnl"/>
        </w:rPr>
        <w:t>p</w:t>
      </w:r>
      <w:r w:rsidRPr="00473392">
        <w:rPr>
          <w:rFonts w:ascii="Verdana" w:hAnsi="Verdana" w:cs="Arial"/>
          <w:bCs/>
          <w:lang w:val="es-ES_tradnl"/>
        </w:rPr>
        <w:t xml:space="preserve">ara Determinar </w:t>
      </w:r>
      <w:r>
        <w:rPr>
          <w:rFonts w:ascii="Verdana" w:hAnsi="Verdana" w:cs="Arial"/>
          <w:bCs/>
          <w:lang w:val="es-ES_tradnl"/>
        </w:rPr>
        <w:t>y</w:t>
      </w:r>
      <w:r w:rsidRPr="00473392">
        <w:rPr>
          <w:rFonts w:ascii="Verdana" w:hAnsi="Verdana" w:cs="Arial"/>
          <w:bCs/>
          <w:lang w:val="es-ES_tradnl"/>
        </w:rPr>
        <w:t xml:space="preserve"> Verificar </w:t>
      </w:r>
      <w:r>
        <w:rPr>
          <w:rFonts w:ascii="Verdana" w:hAnsi="Verdana" w:cs="Arial"/>
          <w:bCs/>
          <w:lang w:val="es-ES_tradnl"/>
        </w:rPr>
        <w:t>l</w:t>
      </w:r>
      <w:r w:rsidRPr="00473392">
        <w:rPr>
          <w:rFonts w:ascii="Verdana" w:hAnsi="Verdana" w:cs="Arial"/>
          <w:bCs/>
          <w:lang w:val="es-ES_tradnl"/>
        </w:rPr>
        <w:t>os</w:t>
      </w:r>
      <w:r>
        <w:rPr>
          <w:rFonts w:ascii="Verdana" w:hAnsi="Verdana" w:cs="Arial"/>
          <w:bCs/>
          <w:lang w:val="es-ES_tradnl"/>
        </w:rPr>
        <w:t xml:space="preserve"> </w:t>
      </w:r>
      <w:r w:rsidRPr="00473392">
        <w:rPr>
          <w:rFonts w:ascii="Verdana" w:hAnsi="Verdana" w:cs="Arial"/>
          <w:bCs/>
          <w:lang w:val="es-ES_tradnl"/>
        </w:rPr>
        <w:t xml:space="preserve">Requisitos Habilitantes </w:t>
      </w:r>
      <w:r>
        <w:rPr>
          <w:rFonts w:ascii="Verdana" w:hAnsi="Verdana" w:cs="Arial"/>
          <w:bCs/>
          <w:lang w:val="es-ES_tradnl"/>
        </w:rPr>
        <w:t>e</w:t>
      </w:r>
      <w:r w:rsidRPr="00473392">
        <w:rPr>
          <w:rFonts w:ascii="Verdana" w:hAnsi="Verdana" w:cs="Arial"/>
          <w:bCs/>
          <w:lang w:val="es-ES_tradnl"/>
        </w:rPr>
        <w:t xml:space="preserve">n </w:t>
      </w:r>
      <w:r>
        <w:rPr>
          <w:rFonts w:ascii="Verdana" w:hAnsi="Verdana" w:cs="Arial"/>
          <w:bCs/>
          <w:lang w:val="es-ES_tradnl"/>
        </w:rPr>
        <w:t>l</w:t>
      </w:r>
      <w:r w:rsidRPr="00473392">
        <w:rPr>
          <w:rFonts w:ascii="Verdana" w:hAnsi="Verdana" w:cs="Arial"/>
          <w:bCs/>
          <w:lang w:val="es-ES_tradnl"/>
        </w:rPr>
        <w:t>os Procesos De Contratación</w:t>
      </w:r>
      <w:r>
        <w:rPr>
          <w:rFonts w:ascii="Verdana" w:hAnsi="Verdana" w:cs="Arial"/>
          <w:bCs/>
          <w:lang w:val="es-ES_tradnl"/>
        </w:rPr>
        <w:t xml:space="preserve">”, “[…] </w:t>
      </w:r>
      <w:r w:rsidRPr="00473392">
        <w:rPr>
          <w:rFonts w:ascii="Verdana" w:hAnsi="Verdana" w:cs="Arial"/>
          <w:bCs/>
          <w:i/>
          <w:iCs/>
          <w:lang w:val="es-ES_tradnl"/>
        </w:rPr>
        <w:t>la experiencia de los oferentes plurales debe ser proporcional a la participación de cada uno de sus integrantes en el consorcio o unión temporal</w:t>
      </w:r>
      <w:r w:rsidRPr="00473392">
        <w:rPr>
          <w:rFonts w:ascii="Verdana" w:hAnsi="Verdana" w:cs="Arial"/>
          <w:bCs/>
          <w:lang w:val="es-ES_tradnl"/>
        </w:rPr>
        <w:t>.</w:t>
      </w:r>
      <w:r>
        <w:rPr>
          <w:rFonts w:ascii="Verdana" w:hAnsi="Verdana" w:cs="Arial"/>
          <w:bCs/>
          <w:lang w:val="es-ES_tradnl"/>
        </w:rPr>
        <w:t xml:space="preserve"> </w:t>
      </w:r>
      <w:r w:rsidRPr="00473392">
        <w:rPr>
          <w:rFonts w:ascii="Verdana" w:hAnsi="Verdana" w:cs="Arial"/>
          <w:bCs/>
          <w:lang w:val="es-ES_tradnl"/>
        </w:rPr>
        <w:t>Sin perjuicio del carácter personal de la experiencia, entre los integrantes del</w:t>
      </w:r>
      <w:r>
        <w:rPr>
          <w:rFonts w:ascii="Verdana" w:hAnsi="Verdana" w:cs="Arial"/>
          <w:bCs/>
          <w:lang w:val="es-ES_tradnl"/>
        </w:rPr>
        <w:t xml:space="preserve"> </w:t>
      </w:r>
      <w:r w:rsidRPr="00473392">
        <w:rPr>
          <w:rFonts w:ascii="Verdana" w:hAnsi="Verdana" w:cs="Arial"/>
          <w:bCs/>
          <w:lang w:val="es-ES_tradnl"/>
        </w:rPr>
        <w:t>oferente plural la experiencia se puede compartir, sin que implique que la</w:t>
      </w:r>
      <w:r>
        <w:rPr>
          <w:rFonts w:ascii="Verdana" w:hAnsi="Verdana" w:cs="Arial"/>
          <w:bCs/>
          <w:lang w:val="es-ES_tradnl"/>
        </w:rPr>
        <w:t xml:space="preserve"> </w:t>
      </w:r>
      <w:r w:rsidRPr="00473392">
        <w:rPr>
          <w:rFonts w:ascii="Verdana" w:hAnsi="Verdana" w:cs="Arial"/>
          <w:bCs/>
          <w:lang w:val="es-ES_tradnl"/>
        </w:rPr>
        <w:t>experiencia compartida con alguna de las partes se entienda como propia.</w:t>
      </w:r>
      <w:r>
        <w:rPr>
          <w:rFonts w:ascii="Verdana" w:hAnsi="Verdana" w:cs="Arial"/>
          <w:bCs/>
          <w:lang w:val="es-ES_tradnl"/>
        </w:rPr>
        <w:t xml:space="preserve"> </w:t>
      </w:r>
      <w:r w:rsidRPr="00473392">
        <w:rPr>
          <w:rFonts w:ascii="Verdana" w:hAnsi="Verdana" w:cs="Arial"/>
          <w:bCs/>
          <w:lang w:val="es-ES_tradnl"/>
        </w:rPr>
        <w:t xml:space="preserve">Dentro del procedimiento </w:t>
      </w:r>
      <w:r w:rsidRPr="00473392">
        <w:rPr>
          <w:rFonts w:ascii="Verdana" w:hAnsi="Verdana" w:cs="Arial"/>
          <w:bCs/>
          <w:lang w:val="es-ES_tradnl"/>
        </w:rPr>
        <w:lastRenderedPageBreak/>
        <w:t>contractual se reflejará que uno de los integrantes del</w:t>
      </w:r>
      <w:r>
        <w:rPr>
          <w:rFonts w:ascii="Verdana" w:hAnsi="Verdana" w:cs="Arial"/>
          <w:bCs/>
          <w:lang w:val="es-ES_tradnl"/>
        </w:rPr>
        <w:t xml:space="preserve"> </w:t>
      </w:r>
      <w:r w:rsidRPr="00473392">
        <w:rPr>
          <w:rFonts w:ascii="Verdana" w:hAnsi="Verdana" w:cs="Arial"/>
          <w:bCs/>
          <w:lang w:val="es-ES_tradnl"/>
        </w:rPr>
        <w:t>proponente plural comparte la experiencia de otra. Esto es claro en el caso de</w:t>
      </w:r>
      <w:r>
        <w:rPr>
          <w:rFonts w:ascii="Verdana" w:hAnsi="Verdana" w:cs="Arial"/>
          <w:bCs/>
          <w:lang w:val="es-ES_tradnl"/>
        </w:rPr>
        <w:t xml:space="preserve"> </w:t>
      </w:r>
      <w:r w:rsidRPr="00473392">
        <w:rPr>
          <w:rFonts w:ascii="Verdana" w:hAnsi="Verdana" w:cs="Arial"/>
          <w:bCs/>
          <w:lang w:val="es-ES_tradnl"/>
        </w:rPr>
        <w:t>las figuras asociativas donde se verificará en el documento privado de</w:t>
      </w:r>
      <w:r>
        <w:rPr>
          <w:rFonts w:ascii="Verdana" w:hAnsi="Verdana" w:cs="Arial"/>
          <w:bCs/>
          <w:lang w:val="es-ES_tradnl"/>
        </w:rPr>
        <w:t xml:space="preserve"> </w:t>
      </w:r>
      <w:r w:rsidRPr="00473392">
        <w:rPr>
          <w:rFonts w:ascii="Verdana" w:hAnsi="Verdana" w:cs="Arial"/>
          <w:bCs/>
          <w:lang w:val="es-ES_tradnl"/>
        </w:rPr>
        <w:t>constitución</w:t>
      </w:r>
      <w:r>
        <w:rPr>
          <w:rFonts w:ascii="Verdana" w:hAnsi="Verdana" w:cs="Arial"/>
          <w:bCs/>
          <w:lang w:val="es-ES_tradnl"/>
        </w:rPr>
        <w:t>”</w:t>
      </w:r>
      <w:r>
        <w:rPr>
          <w:rStyle w:val="Refdenotaalpie"/>
          <w:rFonts w:ascii="Verdana" w:hAnsi="Verdana" w:cs="Arial"/>
          <w:bCs/>
          <w:lang w:val="es-ES_tradnl"/>
        </w:rPr>
        <w:footnoteReference w:id="4"/>
      </w:r>
      <w:r>
        <w:rPr>
          <w:rFonts w:ascii="Verdana" w:hAnsi="Verdana" w:cs="Arial"/>
          <w:bCs/>
          <w:lang w:val="es-ES_tradnl"/>
        </w:rPr>
        <w:t xml:space="preserve"> (Énfasis fuera de texto).</w:t>
      </w:r>
    </w:p>
    <w:p w14:paraId="12884EA7" w14:textId="77777777" w:rsidR="00193BDF" w:rsidRDefault="00193BDF" w:rsidP="00193BDF">
      <w:pPr>
        <w:spacing w:after="0" w:line="276" w:lineRule="auto"/>
        <w:jc w:val="both"/>
        <w:rPr>
          <w:rFonts w:ascii="Verdana" w:hAnsi="Verdana" w:cs="Arial"/>
          <w:bCs/>
          <w:lang w:val="es-ES_tradnl"/>
        </w:rPr>
      </w:pPr>
      <w:r>
        <w:rPr>
          <w:rFonts w:ascii="Verdana" w:hAnsi="Verdana" w:cs="Arial"/>
          <w:bCs/>
          <w:lang w:val="es-ES_tradnl"/>
        </w:rPr>
        <w:t xml:space="preserve"> </w:t>
      </w:r>
    </w:p>
    <w:p w14:paraId="123E0788" w14:textId="77777777" w:rsidR="00193BDF" w:rsidRDefault="00193BDF" w:rsidP="5F0DCBDA">
      <w:pPr>
        <w:spacing w:line="276" w:lineRule="auto"/>
        <w:jc w:val="both"/>
        <w:rPr>
          <w:rFonts w:ascii="Verdana" w:hAnsi="Verdana" w:cs="Arial"/>
          <w:lang w:val="es-ES"/>
        </w:rPr>
      </w:pPr>
      <w:proofErr w:type="spellStart"/>
      <w:r w:rsidRPr="5F0DCBDA">
        <w:rPr>
          <w:rFonts w:ascii="Verdana" w:hAnsi="Verdana" w:cs="Arial"/>
          <w:lang w:val="es-ES"/>
        </w:rPr>
        <w:t>iv</w:t>
      </w:r>
      <w:proofErr w:type="spellEnd"/>
      <w:r w:rsidRPr="5F0DCBDA">
        <w:rPr>
          <w:rFonts w:ascii="Verdana" w:hAnsi="Verdana" w:cs="Arial"/>
          <w:lang w:val="es-ES"/>
        </w:rPr>
        <w:t xml:space="preserve">. </w:t>
      </w:r>
      <w:bookmarkStart w:id="9" w:name="_Hlk174375437"/>
      <w:r w:rsidRPr="5F0DCBDA">
        <w:rPr>
          <w:rFonts w:ascii="Verdana" w:hAnsi="Verdana" w:cs="Arial"/>
          <w:lang w:val="es-ES"/>
        </w:rPr>
        <w:t xml:space="preserve">En la </w:t>
      </w:r>
      <w:r w:rsidRPr="5F0DCBDA">
        <w:rPr>
          <w:rFonts w:ascii="Verdana" w:hAnsi="Verdana" w:cs="Arial"/>
          <w:i/>
          <w:iCs/>
          <w:lang w:val="es-ES"/>
        </w:rPr>
        <w:t>subasta ordinaria</w:t>
      </w:r>
      <w:r w:rsidRPr="5F0DCBDA">
        <w:rPr>
          <w:rFonts w:ascii="Verdana" w:hAnsi="Verdana" w:cs="Arial"/>
          <w:lang w:val="es-ES"/>
        </w:rPr>
        <w:t xml:space="preserve"> los compradores compiten para obtener un bien o servicio ofreciendo precios cada vez más altos al vendedor. Sin embargo, la </w:t>
      </w:r>
      <w:r w:rsidRPr="5F0DCBDA">
        <w:rPr>
          <w:rFonts w:ascii="Verdana" w:hAnsi="Verdana" w:cs="Arial"/>
          <w:i/>
          <w:iCs/>
          <w:lang w:val="es-ES"/>
        </w:rPr>
        <w:t>subasta inversa</w:t>
      </w:r>
      <w:r w:rsidRPr="5F0DCBDA">
        <w:rPr>
          <w:rFonts w:ascii="Verdana" w:hAnsi="Verdana" w:cs="Arial"/>
          <w:lang w:val="es-ES"/>
        </w:rPr>
        <w:t xml:space="preserve"> implica un intercambio es estos roles, es decir, los vendedores compiten para suscribir el contrato con el comprador y los precios disminuyen a medida que existe puja entre los oferentes. Sin perjuicio de la conformación dinámica de la oferta en la licitación pública, este procedimiento se encuentra tipificado como una causal de selección abreviada en el literal a) del artículo 2.2 de la Ley 1150 de 2007 para la adquisición o suministro de bienes y servicios de características técnicas uniformes y de común utilización.</w:t>
      </w:r>
      <w:bookmarkEnd w:id="9"/>
      <w:r w:rsidRPr="5F0DCBDA">
        <w:rPr>
          <w:rFonts w:ascii="Verdana" w:hAnsi="Verdana" w:cs="Arial"/>
          <w:lang w:val="es-ES"/>
        </w:rPr>
        <w:t xml:space="preserve"> </w:t>
      </w:r>
    </w:p>
    <w:p w14:paraId="70B39BFC" w14:textId="77777777" w:rsidR="00193BDF" w:rsidRDefault="00193BDF" w:rsidP="5F0DCBDA">
      <w:pPr>
        <w:spacing w:after="0" w:line="276" w:lineRule="auto"/>
        <w:jc w:val="both"/>
        <w:rPr>
          <w:rFonts w:ascii="Verdana" w:hAnsi="Verdana" w:cs="Arial"/>
          <w:lang w:val="es-ES"/>
        </w:rPr>
      </w:pPr>
      <w:r>
        <w:rPr>
          <w:rFonts w:ascii="Verdana" w:hAnsi="Verdana" w:cs="Arial"/>
          <w:bCs/>
          <w:lang w:val="es-ES_tradnl"/>
        </w:rPr>
        <w:tab/>
      </w:r>
      <w:r w:rsidRPr="5F0DCBDA">
        <w:rPr>
          <w:rFonts w:ascii="Verdana" w:hAnsi="Verdana" w:cs="Arial"/>
          <w:lang w:val="es-ES"/>
        </w:rPr>
        <w:t xml:space="preserve">Conforme al artículo 5.3 </w:t>
      </w:r>
      <w:r w:rsidRPr="5F0DCBDA">
        <w:rPr>
          <w:rFonts w:ascii="Verdana" w:hAnsi="Verdana" w:cs="Arial"/>
          <w:i/>
          <w:iCs/>
          <w:lang w:val="es-ES"/>
        </w:rPr>
        <w:t>ibidem</w:t>
      </w:r>
      <w:r w:rsidRPr="5F0DCBDA">
        <w:rPr>
          <w:rFonts w:ascii="Verdana" w:hAnsi="Verdana" w:cs="Arial"/>
          <w:lang w:val="es-ES"/>
        </w:rPr>
        <w:t xml:space="preserve">, las entidades estatales incluirán como único factor de evaluación el menor precio ofrecido; razón por la cual, el artículo 2.2.1.2.1.2.2 del Decreto 1082 de 2015 regula los lances entre los proponentes que participan en la subasta. Particularmente, los numerales 6, 7, 8 y 9 disponen los siguiente: i) “La subasta debe iniciar con el precio más bajo indicado por los oferentes y en consecuencia, solamente serán válidos los Lances efectuados durante la subasta inversa en los cuales la oferta sea mejorada en por lo menos el Margen Mínimo establecido”, </w:t>
      </w:r>
      <w:proofErr w:type="spellStart"/>
      <w:r w:rsidRPr="5F0DCBDA">
        <w:rPr>
          <w:rFonts w:ascii="Verdana" w:hAnsi="Verdana" w:cs="Arial"/>
          <w:lang w:val="es-ES"/>
        </w:rPr>
        <w:t>ii</w:t>
      </w:r>
      <w:proofErr w:type="spellEnd"/>
      <w:r w:rsidRPr="5F0DCBDA">
        <w:rPr>
          <w:rFonts w:ascii="Verdana" w:hAnsi="Verdana" w:cs="Arial"/>
          <w:lang w:val="es-ES"/>
        </w:rPr>
        <w:t xml:space="preserve">) “Si los oferentes no presentan Lances durante la subasta, la Entidad Estatal debe adjudicar el contrato al oferente que haya presentado el precio inicial más bajo”, </w:t>
      </w:r>
      <w:proofErr w:type="spellStart"/>
      <w:r w:rsidRPr="5F0DCBDA">
        <w:rPr>
          <w:rFonts w:ascii="Verdana" w:hAnsi="Verdana" w:cs="Arial"/>
          <w:lang w:val="es-ES"/>
        </w:rPr>
        <w:t>iii</w:t>
      </w:r>
      <w:proofErr w:type="spellEnd"/>
      <w:r w:rsidRPr="5F0DCBDA">
        <w:rPr>
          <w:rFonts w:ascii="Verdana" w:hAnsi="Verdana" w:cs="Arial"/>
          <w:lang w:val="es-ES"/>
        </w:rPr>
        <w:t xml:space="preserve">) “Al terminar la presentación de cada Lance, la Entidad Estatal debe informar el valor del Lance más bajo” y </w:t>
      </w:r>
      <w:proofErr w:type="spellStart"/>
      <w:r w:rsidRPr="5F0DCBDA">
        <w:rPr>
          <w:rFonts w:ascii="Verdana" w:hAnsi="Verdana" w:cs="Arial"/>
          <w:lang w:val="es-ES"/>
        </w:rPr>
        <w:t>iv</w:t>
      </w:r>
      <w:proofErr w:type="spellEnd"/>
      <w:r w:rsidRPr="5F0DCBDA">
        <w:rPr>
          <w:rFonts w:ascii="Verdana" w:hAnsi="Verdana" w:cs="Arial"/>
          <w:lang w:val="es-ES"/>
        </w:rPr>
        <w:t>) “Si al terminar la subasta inversa hay empate, la Entidad Estatal debe aplicar los criterios del artículo 35 de la Ley 2069 de 2020 conforme con los medios de acreditación del artículo 2.2.1.2.4.2.17 del presente decreto”.</w:t>
      </w:r>
    </w:p>
    <w:p w14:paraId="3573F980" w14:textId="77777777" w:rsidR="00193BDF" w:rsidRDefault="00193BDF" w:rsidP="00193BDF">
      <w:pPr>
        <w:spacing w:after="0" w:line="276" w:lineRule="auto"/>
        <w:jc w:val="both"/>
        <w:rPr>
          <w:rFonts w:ascii="Verdana" w:hAnsi="Verdana" w:cs="Arial"/>
          <w:bCs/>
          <w:lang w:val="es-ES_tradnl"/>
        </w:rPr>
      </w:pPr>
      <w:r>
        <w:rPr>
          <w:rFonts w:ascii="Verdana" w:hAnsi="Verdana" w:cs="Arial"/>
          <w:bCs/>
          <w:lang w:val="es-ES_tradnl"/>
        </w:rPr>
        <w:t xml:space="preserve">  </w:t>
      </w:r>
    </w:p>
    <w:p w14:paraId="3D376D28" w14:textId="77777777" w:rsidR="00193BDF" w:rsidRPr="001B247A" w:rsidRDefault="00193BDF" w:rsidP="00193BDF">
      <w:pPr>
        <w:spacing w:line="276" w:lineRule="auto"/>
        <w:jc w:val="both"/>
        <w:rPr>
          <w:rFonts w:ascii="Verdana" w:hAnsi="Verdana" w:cs="Arial"/>
          <w:bCs/>
          <w:lang w:val="es-ES_tradnl"/>
        </w:rPr>
      </w:pPr>
      <w:r>
        <w:rPr>
          <w:rFonts w:ascii="Verdana" w:hAnsi="Verdana" w:cs="Arial"/>
          <w:bCs/>
          <w:lang w:val="es-ES_tradnl"/>
        </w:rPr>
        <w:t xml:space="preserve">v. </w:t>
      </w:r>
      <w:r w:rsidRPr="001B247A">
        <w:rPr>
          <w:rFonts w:ascii="Verdana" w:hAnsi="Verdana" w:cs="Arial"/>
          <w:bCs/>
          <w:lang w:val="es-ES_tradnl"/>
        </w:rPr>
        <w:t xml:space="preserve">El Registro Único de Proponentes es el documento donde consta la información relacionada con las personas naturales y jurídicas, que tiene por objeto consolidar los datos relacionados con la capacidad jurídica, técnica, financiera y organizacional de los posibles proponentes, con el fin que participen en los procedimientos de selección realizados por las entidades estatales, facilitando la revisión de los datos contenidos en el registro. </w:t>
      </w:r>
    </w:p>
    <w:p w14:paraId="12636037" w14:textId="77777777" w:rsidR="00193BDF" w:rsidRDefault="00193BDF" w:rsidP="5F0DCBDA">
      <w:pPr>
        <w:spacing w:line="276" w:lineRule="auto"/>
        <w:ind w:firstLine="708"/>
        <w:jc w:val="both"/>
        <w:rPr>
          <w:rFonts w:ascii="Verdana" w:hAnsi="Verdana" w:cs="Arial"/>
          <w:lang w:val="es-ES"/>
        </w:rPr>
      </w:pPr>
      <w:r w:rsidRPr="5F0DCBDA">
        <w:rPr>
          <w:rFonts w:ascii="Verdana" w:hAnsi="Verdana" w:cs="Arial"/>
          <w:lang w:val="es-ES"/>
        </w:rPr>
        <w:lastRenderedPageBreak/>
        <w:t xml:space="preserve">El artículo 6.1 de la Ley 1150 de 2007, al determinar las características aplicables al RUP, cualifica la información plasmada en él, al establecer que constituye plena prueba de lo que contiene.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 </w:t>
      </w:r>
    </w:p>
    <w:p w14:paraId="096ED8CE" w14:textId="77777777" w:rsidR="00193BDF" w:rsidRPr="001B247A" w:rsidRDefault="00193BDF" w:rsidP="00193BDF">
      <w:pPr>
        <w:spacing w:after="120" w:line="276" w:lineRule="auto"/>
        <w:ind w:firstLine="709"/>
        <w:jc w:val="both"/>
        <w:rPr>
          <w:rFonts w:ascii="Verdana" w:eastAsia="Calibri" w:hAnsi="Verdana" w:cs="Arial"/>
        </w:rPr>
      </w:pPr>
      <w:r>
        <w:rPr>
          <w:rFonts w:ascii="Verdana" w:eastAsia="Calibri" w:hAnsi="Verdana" w:cs="Arial"/>
        </w:rPr>
        <w:t>En este</w:t>
      </w:r>
      <w:r w:rsidRPr="001B247A">
        <w:rPr>
          <w:rFonts w:ascii="Verdana" w:eastAsia="Calibri" w:hAnsi="Verdana" w:cs="Arial"/>
        </w:rPr>
        <w:t xml:space="preserve"> contexto, la capacidad jurídica, las condiciones de experiencia, la capacidad financiera y de organización de los proponentes deberán verificarse exclusivamente con el Registro Único de Proponentes, pues constituye plena prueba de la información contenida en él. No obstante,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7C7FFA80" w14:textId="77777777" w:rsidR="00193BDF" w:rsidRPr="001B247A" w:rsidRDefault="00193BDF" w:rsidP="00193BDF">
      <w:pPr>
        <w:spacing w:after="0" w:line="276" w:lineRule="auto"/>
        <w:ind w:firstLine="708"/>
        <w:jc w:val="both"/>
        <w:rPr>
          <w:rFonts w:ascii="Verdana" w:eastAsia="Calibri" w:hAnsi="Verdana" w:cs="Arial"/>
        </w:rPr>
      </w:pPr>
      <w:r w:rsidRPr="001B247A">
        <w:rPr>
          <w:rFonts w:ascii="Verdana" w:eastAsia="Calibri" w:hAnsi="Verdana" w:cs="Arial"/>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p>
    <w:p w14:paraId="54B9EC05" w14:textId="77777777" w:rsidR="00193BDF" w:rsidRPr="001B247A" w:rsidRDefault="00193BDF" w:rsidP="00193BDF">
      <w:pPr>
        <w:spacing w:after="0" w:line="276" w:lineRule="auto"/>
        <w:ind w:firstLine="708"/>
        <w:jc w:val="both"/>
        <w:rPr>
          <w:rFonts w:ascii="Verdana" w:eastAsia="Calibri" w:hAnsi="Verdana" w:cs="Arial"/>
        </w:rPr>
      </w:pPr>
    </w:p>
    <w:p w14:paraId="7BA06ED4" w14:textId="77777777" w:rsidR="00193BDF" w:rsidRDefault="00193BDF" w:rsidP="00193BDF">
      <w:pPr>
        <w:pStyle w:val="Prrafodelista"/>
        <w:numPr>
          <w:ilvl w:val="0"/>
          <w:numId w:val="18"/>
        </w:numPr>
        <w:spacing w:after="120" w:line="240" w:lineRule="auto"/>
        <w:ind w:left="714" w:hanging="357"/>
        <w:jc w:val="both"/>
        <w:rPr>
          <w:rFonts w:ascii="Verdana" w:eastAsia="Calibri" w:hAnsi="Verdana" w:cs="Arial"/>
          <w:sz w:val="21"/>
          <w:szCs w:val="21"/>
        </w:rPr>
      </w:pPr>
      <w:r w:rsidRPr="001B247A">
        <w:rPr>
          <w:rFonts w:ascii="Verdana" w:eastAsia="Calibri" w:hAnsi="Verdana" w:cs="Arial"/>
          <w:sz w:val="21"/>
          <w:szCs w:val="21"/>
        </w:rPr>
        <w:t>No se requiere el RUP respecto de los proponentes que pretenden celebrar los contratos enunciados en el inciso segundo del artículo 6 de la ley 1150, así como en los eventos de contratación directa.</w:t>
      </w:r>
    </w:p>
    <w:p w14:paraId="54C8B440" w14:textId="77777777" w:rsidR="00193BDF" w:rsidRPr="001B247A" w:rsidRDefault="00193BDF" w:rsidP="00193BDF">
      <w:pPr>
        <w:pStyle w:val="Prrafodelista"/>
        <w:spacing w:after="120"/>
        <w:ind w:left="714"/>
        <w:jc w:val="both"/>
        <w:rPr>
          <w:rFonts w:ascii="Verdana" w:eastAsia="Calibri" w:hAnsi="Verdana" w:cs="Arial"/>
          <w:sz w:val="12"/>
          <w:szCs w:val="12"/>
        </w:rPr>
      </w:pPr>
    </w:p>
    <w:p w14:paraId="32B7D132" w14:textId="77777777" w:rsidR="00193BDF" w:rsidRDefault="00193BDF" w:rsidP="00193BDF">
      <w:pPr>
        <w:pStyle w:val="Prrafodelista"/>
        <w:numPr>
          <w:ilvl w:val="0"/>
          <w:numId w:val="18"/>
        </w:numPr>
        <w:spacing w:before="240" w:after="120" w:line="240" w:lineRule="auto"/>
        <w:ind w:left="714" w:hanging="357"/>
        <w:jc w:val="both"/>
        <w:rPr>
          <w:rFonts w:ascii="Verdana" w:eastAsia="Calibri" w:hAnsi="Verdana" w:cs="Arial"/>
          <w:sz w:val="21"/>
          <w:szCs w:val="21"/>
        </w:rPr>
      </w:pPr>
      <w:r w:rsidRPr="001B247A">
        <w:rPr>
          <w:rFonts w:ascii="Verdana" w:eastAsia="Calibri" w:hAnsi="Verdana" w:cs="Arial"/>
          <w:sz w:val="21"/>
          <w:szCs w:val="21"/>
        </w:rPr>
        <w:t>Tratándose de personas naturales extranjeras sin domicilio en el país o de personas jurídicas extranjeras que no tengan sucursal en Colombia, o en aquellos casos en que el procedimiento de selección haya utilizado sistemas de precalificación.</w:t>
      </w:r>
    </w:p>
    <w:p w14:paraId="50E12BC0" w14:textId="77777777" w:rsidR="00193BDF" w:rsidRPr="001B247A" w:rsidRDefault="00193BDF" w:rsidP="00193BDF">
      <w:pPr>
        <w:pStyle w:val="Prrafodelista"/>
        <w:jc w:val="both"/>
        <w:rPr>
          <w:rFonts w:ascii="Verdana" w:eastAsia="Calibri" w:hAnsi="Verdana" w:cs="Arial"/>
          <w:sz w:val="12"/>
          <w:szCs w:val="12"/>
        </w:rPr>
      </w:pPr>
    </w:p>
    <w:p w14:paraId="6958549E" w14:textId="77777777" w:rsidR="00193BDF" w:rsidRPr="001B247A" w:rsidRDefault="00193BDF" w:rsidP="00193BDF">
      <w:pPr>
        <w:pStyle w:val="Prrafodelista"/>
        <w:numPr>
          <w:ilvl w:val="0"/>
          <w:numId w:val="18"/>
        </w:numPr>
        <w:spacing w:after="0" w:line="240" w:lineRule="auto"/>
        <w:jc w:val="both"/>
        <w:rPr>
          <w:rFonts w:ascii="Verdana" w:eastAsia="Calibri" w:hAnsi="Verdana" w:cs="Arial"/>
          <w:sz w:val="21"/>
          <w:szCs w:val="21"/>
        </w:rPr>
      </w:pPr>
      <w:r w:rsidRPr="001B247A">
        <w:rPr>
          <w:rFonts w:ascii="Verdana" w:eastAsia="Calibri" w:hAnsi="Verdana" w:cs="Arial"/>
          <w:sz w:val="21"/>
          <w:szCs w:val="21"/>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7CB31281" w14:textId="77777777" w:rsidR="00193BDF" w:rsidRPr="001B247A" w:rsidRDefault="00193BDF" w:rsidP="00193BDF">
      <w:pPr>
        <w:spacing w:after="0" w:line="276" w:lineRule="auto"/>
        <w:ind w:firstLine="708"/>
        <w:jc w:val="both"/>
        <w:rPr>
          <w:rFonts w:ascii="Verdana" w:eastAsia="Calibri" w:hAnsi="Verdana" w:cs="Arial"/>
        </w:rPr>
      </w:pPr>
    </w:p>
    <w:p w14:paraId="7CD9C849" w14:textId="77777777" w:rsidR="00193BDF" w:rsidRPr="001B247A" w:rsidRDefault="00193BDF" w:rsidP="00193BDF">
      <w:pPr>
        <w:spacing w:after="120" w:line="276" w:lineRule="auto"/>
        <w:ind w:firstLine="709"/>
        <w:jc w:val="both"/>
        <w:rPr>
          <w:rFonts w:ascii="Verdana" w:eastAsia="Calibri" w:hAnsi="Verdana" w:cs="Arial"/>
        </w:rPr>
      </w:pPr>
      <w:r w:rsidRPr="001B247A">
        <w:rPr>
          <w:rFonts w:ascii="Verdana" w:eastAsia="Calibri" w:hAnsi="Verdana" w:cs="Arial"/>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sidRPr="001B247A">
        <w:rPr>
          <w:rFonts w:ascii="Verdana" w:eastAsia="Calibri" w:hAnsi="Verdana" w:cs="Arial"/>
        </w:rPr>
        <w:tab/>
      </w:r>
    </w:p>
    <w:p w14:paraId="49E5883D" w14:textId="77777777" w:rsidR="00193BDF" w:rsidRDefault="00193BDF" w:rsidP="00193BDF">
      <w:pPr>
        <w:spacing w:after="0" w:line="276" w:lineRule="auto"/>
        <w:ind w:firstLine="708"/>
        <w:jc w:val="both"/>
        <w:rPr>
          <w:rStyle w:val="normaltextrun"/>
          <w:rFonts w:ascii="Verdana" w:hAnsi="Verdana" w:cs="Arial"/>
          <w:color w:val="000000"/>
          <w:shd w:val="clear" w:color="auto" w:fill="FFFFFF"/>
          <w:lang w:val="es-ES"/>
        </w:rPr>
      </w:pPr>
      <w:r w:rsidRPr="001B247A">
        <w:rPr>
          <w:rStyle w:val="normaltextrun"/>
          <w:rFonts w:ascii="Verdana" w:hAnsi="Verdana" w:cs="Arial"/>
          <w:color w:val="000000"/>
          <w:shd w:val="clear" w:color="auto" w:fill="FFFFFF"/>
          <w:lang w:val="es-ES"/>
        </w:rPr>
        <w:t>En este sentido, salvo las excepciones enunciadas, por regla general 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para estos efectos, especialmente los de selección objetiva y economía.</w:t>
      </w:r>
    </w:p>
    <w:p w14:paraId="05A85F69" w14:textId="77777777" w:rsidR="00193BDF" w:rsidRDefault="00193BDF" w:rsidP="00193BDF">
      <w:pPr>
        <w:spacing w:after="0" w:line="276" w:lineRule="auto"/>
        <w:jc w:val="both"/>
        <w:rPr>
          <w:rStyle w:val="normaltextrun"/>
          <w:rFonts w:ascii="Verdana" w:hAnsi="Verdana" w:cs="Arial"/>
          <w:color w:val="000000"/>
          <w:shd w:val="clear" w:color="auto" w:fill="FFFFFF"/>
          <w:lang w:val="es-ES"/>
        </w:rPr>
      </w:pPr>
    </w:p>
    <w:p w14:paraId="2760EB0E" w14:textId="77777777" w:rsidR="00193BDF" w:rsidRPr="0076231A" w:rsidRDefault="00193BDF" w:rsidP="00193BDF">
      <w:pPr>
        <w:spacing w:after="120" w:line="276" w:lineRule="auto"/>
        <w:jc w:val="both"/>
        <w:rPr>
          <w:rFonts w:ascii="Verdana" w:eastAsia="Calibri" w:hAnsi="Verdana" w:cs="Arial"/>
          <w:lang w:val="es-MX"/>
        </w:rPr>
      </w:pPr>
      <w:r w:rsidRPr="0076231A">
        <w:rPr>
          <w:rStyle w:val="normaltextrun"/>
          <w:rFonts w:ascii="Verdana" w:hAnsi="Verdana" w:cs="Arial"/>
          <w:color w:val="000000"/>
          <w:shd w:val="clear" w:color="auto" w:fill="FFFFFF"/>
          <w:lang w:val="es-ES"/>
        </w:rPr>
        <w:t xml:space="preserve">vi. </w:t>
      </w:r>
      <w:r w:rsidRPr="0076231A">
        <w:rPr>
          <w:rFonts w:ascii="Verdana" w:eastAsia="Calibri" w:hAnsi="Verdana" w:cs="Arial"/>
          <w:lang w:val="es-MX"/>
        </w:rPr>
        <w:t xml:space="preserve">La manifestación de interés es un acto mediante el cual el interesado expresa a la entidad su </w:t>
      </w:r>
      <w:r>
        <w:rPr>
          <w:rFonts w:ascii="Verdana" w:eastAsia="Calibri" w:hAnsi="Verdana" w:cs="Arial"/>
          <w:lang w:val="es-MX"/>
        </w:rPr>
        <w:t>intención de</w:t>
      </w:r>
      <w:r w:rsidRPr="0076231A">
        <w:rPr>
          <w:rFonts w:ascii="Verdana" w:eastAsia="Calibri" w:hAnsi="Verdana" w:cs="Arial"/>
          <w:lang w:val="es-MX"/>
        </w:rPr>
        <w:t xml:space="preserve"> participar en </w:t>
      </w:r>
      <w:r>
        <w:rPr>
          <w:rFonts w:ascii="Verdana" w:eastAsia="Calibri" w:hAnsi="Verdana" w:cs="Arial"/>
          <w:lang w:val="es-MX"/>
        </w:rPr>
        <w:t>un</w:t>
      </w:r>
      <w:r w:rsidRPr="0076231A">
        <w:rPr>
          <w:rFonts w:ascii="Verdana" w:eastAsia="Calibri" w:hAnsi="Verdana" w:cs="Arial"/>
          <w:lang w:val="es-MX"/>
        </w:rPr>
        <w:t xml:space="preserve"> procedimiento de selección abreviada de menor cuantía. El artículo 2.2.1.2.1.2.20</w:t>
      </w:r>
      <w:r>
        <w:rPr>
          <w:rFonts w:ascii="Verdana" w:eastAsia="Calibri" w:hAnsi="Verdana" w:cs="Arial"/>
          <w:lang w:val="es-MX"/>
        </w:rPr>
        <w:t xml:space="preserve"> del Decreto 1082 de 2015</w:t>
      </w:r>
      <w:r w:rsidRPr="0076231A">
        <w:rPr>
          <w:rFonts w:ascii="Verdana" w:eastAsia="Calibri" w:hAnsi="Verdana" w:cs="Arial"/>
          <w:lang w:val="es-MX"/>
        </w:rPr>
        <w:t xml:space="preserve"> no señala la forma como debe realizarse la manifestación, por lo cual es discrecional de la entidad la forma de establecerlo, pudiendo 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p>
    <w:p w14:paraId="4C263C7F" w14:textId="77777777" w:rsidR="00193BDF" w:rsidRPr="0076231A" w:rsidRDefault="00193BDF" w:rsidP="00193BDF">
      <w:pPr>
        <w:spacing w:before="120" w:after="120" w:line="276" w:lineRule="auto"/>
        <w:jc w:val="both"/>
        <w:rPr>
          <w:rFonts w:ascii="Verdana" w:eastAsia="Calibri" w:hAnsi="Verdana" w:cs="Arial"/>
          <w:lang w:val="es-MX"/>
        </w:rPr>
      </w:pPr>
      <w:r w:rsidRPr="0076231A">
        <w:rPr>
          <w:rFonts w:ascii="Verdana" w:eastAsia="Calibri" w:hAnsi="Verdana" w:cs="Arial"/>
          <w:lang w:val="es-MX"/>
        </w:rPr>
        <w:tab/>
        <w:t xml:space="preserve"> El numeral primero del artículo 2.2.1.2.1.2.20 del Decreto 1082 de 2015 dispone que el interesado debe manifestar su </w:t>
      </w:r>
      <w:r>
        <w:rPr>
          <w:rFonts w:ascii="Verdana" w:eastAsia="Calibri" w:hAnsi="Verdana" w:cs="Arial"/>
          <w:lang w:val="es-MX"/>
        </w:rPr>
        <w:t>“</w:t>
      </w:r>
      <w:r w:rsidRPr="0076231A">
        <w:rPr>
          <w:rFonts w:ascii="Verdana" w:eastAsia="Calibri" w:hAnsi="Verdana" w:cs="Arial"/>
          <w:lang w:val="es-MX"/>
        </w:rPr>
        <w:t>intención</w:t>
      </w:r>
      <w:r>
        <w:rPr>
          <w:rFonts w:ascii="Verdana" w:eastAsia="Calibri" w:hAnsi="Verdana" w:cs="Arial"/>
          <w:lang w:val="es-MX"/>
        </w:rPr>
        <w:t>”</w:t>
      </w:r>
      <w:r w:rsidRPr="0076231A">
        <w:rPr>
          <w:rFonts w:ascii="Verdana" w:eastAsia="Calibri" w:hAnsi="Verdana" w:cs="Arial"/>
          <w:lang w:val="es-MX"/>
        </w:rPr>
        <w:t xml:space="preserve"> de participar en los procesos de selección abreviada de menor cuantía. Conviene precisar que el 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 </w:t>
      </w:r>
    </w:p>
    <w:p w14:paraId="71EBA7C1" w14:textId="77777777" w:rsidR="00193BDF" w:rsidRPr="0076231A" w:rsidRDefault="00193BDF" w:rsidP="00193BDF">
      <w:pPr>
        <w:spacing w:before="120" w:after="120" w:line="276" w:lineRule="auto"/>
        <w:jc w:val="both"/>
        <w:rPr>
          <w:rFonts w:ascii="Verdana" w:eastAsia="Calibri" w:hAnsi="Verdana" w:cs="Arial"/>
          <w:lang w:val="es-MX"/>
        </w:rPr>
      </w:pPr>
      <w:r w:rsidRPr="0076231A">
        <w:rPr>
          <w:rFonts w:ascii="Verdana" w:eastAsia="Calibri" w:hAnsi="Verdana" w:cs="Arial"/>
          <w:lang w:val="es-MX"/>
        </w:rPr>
        <w:tab/>
        <w:t xml:space="preserve">La interpretación ajustada a los principios que orientan la contratación pública es que un interesado presente una sola comunicación de intención de participar, por la razón de que el interés de vincularse al proceso es uno solo. Esta conclusión no se infiere únicamente de la redacción de la disposición analizada, que con claridad deja entrever que lo relevante es manifestar la </w:t>
      </w:r>
      <w:r w:rsidRPr="0076231A">
        <w:rPr>
          <w:rFonts w:ascii="Verdana" w:eastAsia="Calibri" w:hAnsi="Verdana" w:cs="Arial"/>
          <w:lang w:val="es-MX"/>
        </w:rPr>
        <w:lastRenderedPageBreak/>
        <w:t xml:space="preserve">intención del interesado como criterio para participar en el procedimiento, sino que el fin consiste en darle a los interesados la posibilidad de participar en igualdad de condiciones, por lo que no debe permitirse que un mismo interesado presente varias </w:t>
      </w:r>
      <w:r>
        <w:rPr>
          <w:rFonts w:ascii="Verdana" w:eastAsia="Calibri" w:hAnsi="Verdana" w:cs="Arial"/>
          <w:lang w:val="es-MX"/>
        </w:rPr>
        <w:t>“</w:t>
      </w:r>
      <w:r w:rsidRPr="0076231A">
        <w:rPr>
          <w:rFonts w:ascii="Verdana" w:eastAsia="Calibri" w:hAnsi="Verdana" w:cs="Arial"/>
          <w:lang w:val="es-MX"/>
        </w:rPr>
        <w:t>manifestaciones de interés</w:t>
      </w:r>
      <w:r>
        <w:rPr>
          <w:rFonts w:ascii="Verdana" w:eastAsia="Calibri" w:hAnsi="Verdana" w:cs="Arial"/>
          <w:lang w:val="es-MX"/>
        </w:rPr>
        <w:t>”</w:t>
      </w:r>
      <w:r w:rsidRPr="0076231A">
        <w:rPr>
          <w:rFonts w:ascii="Verdana" w:eastAsia="Calibri" w:hAnsi="Verdana" w:cs="Arial"/>
          <w:lang w:val="es-MX"/>
        </w:rPr>
        <w:t xml:space="preserve">, pues ello iría en contra de los principios que orientan la contratación pública.  </w:t>
      </w:r>
    </w:p>
    <w:p w14:paraId="788F8C39" w14:textId="77777777" w:rsidR="00193BDF" w:rsidRDefault="00193BDF" w:rsidP="00193BDF">
      <w:pPr>
        <w:spacing w:before="120" w:after="0" w:line="276" w:lineRule="auto"/>
        <w:jc w:val="both"/>
        <w:rPr>
          <w:rFonts w:ascii="Verdana" w:eastAsia="Calibri" w:hAnsi="Verdana" w:cs="Arial"/>
          <w:lang w:val="es-MX"/>
        </w:rPr>
      </w:pPr>
      <w:r w:rsidRPr="0076231A">
        <w:rPr>
          <w:rFonts w:ascii="Verdana" w:eastAsia="Calibri" w:hAnsi="Verdana" w:cs="Arial"/>
          <w:lang w:val="es-MX"/>
        </w:rPr>
        <w:tab/>
        <w:t>Ahora bien, 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76231A">
        <w:rPr>
          <w:rFonts w:ascii="Verdana" w:hAnsi="Verdana" w:cs="Arial"/>
          <w:shd w:val="clear" w:color="auto" w:fill="FFFFFF"/>
        </w:rPr>
        <w:t xml:space="preserve"> para participar en un proceso de contratación como oferente. En efecto, </w:t>
      </w:r>
      <w:r w:rsidRPr="0076231A">
        <w:rPr>
          <w:rFonts w:ascii="Verdana" w:eastAsia="Calibri" w:hAnsi="Verdana" w:cs="Arial"/>
          <w:lang w:val="es-MX"/>
        </w:rPr>
        <w:t>según lo dispuesto en el artículo 2.2.1.2.1.2.20 del Decreto 1082 de 2015</w:t>
      </w:r>
      <w:r w:rsidRPr="0076231A">
        <w:rPr>
          <w:rFonts w:ascii="Verdana" w:eastAsia="Calibri" w:hAnsi="Verdana" w:cs="Arial"/>
          <w:vertAlign w:val="superscript"/>
          <w:lang w:val="es-MX"/>
        </w:rPr>
        <w:t xml:space="preserve">, </w:t>
      </w:r>
      <w:r w:rsidRPr="0076231A">
        <w:rPr>
          <w:rFonts w:ascii="Verdana" w:eastAsia="Calibri" w:hAnsi="Verdana" w:cs="Arial"/>
          <w:lang w:val="es-MX"/>
        </w:rPr>
        <w:t xml:space="preserve">el procedimiento inicia con la apertura del proceso que haga la entidad, y los interesados en el procedimiento contractual deben presentar una </w:t>
      </w:r>
      <w:r>
        <w:rPr>
          <w:rFonts w:ascii="Verdana" w:eastAsia="Calibri" w:hAnsi="Verdana" w:cs="Arial"/>
          <w:lang w:val="es-MX"/>
        </w:rPr>
        <w:t>“</w:t>
      </w:r>
      <w:r w:rsidRPr="0076231A">
        <w:rPr>
          <w:rFonts w:ascii="Verdana" w:eastAsia="Calibri" w:hAnsi="Verdana" w:cs="Arial"/>
          <w:lang w:val="es-MX"/>
        </w:rPr>
        <w:t>manifestación de interés</w:t>
      </w:r>
      <w:r>
        <w:rPr>
          <w:rFonts w:ascii="Verdana" w:eastAsia="Calibri" w:hAnsi="Verdana" w:cs="Arial"/>
          <w:lang w:val="es-MX"/>
        </w:rPr>
        <w:t>”</w:t>
      </w:r>
      <w:r w:rsidRPr="0076231A">
        <w:rPr>
          <w:rFonts w:ascii="Verdana" w:eastAsia="Calibri" w:hAnsi="Verdana" w:cs="Arial"/>
          <w:lang w:val="es-MX"/>
        </w:rPr>
        <w:t xml:space="preserve"> para participar en el mismo, como requisito para poder continuar participando en el procedimiento de selección</w:t>
      </w:r>
      <w:r>
        <w:rPr>
          <w:rFonts w:ascii="Verdana" w:eastAsia="Calibri" w:hAnsi="Verdana" w:cs="Arial"/>
          <w:lang w:val="es-MX"/>
        </w:rPr>
        <w:t>. Es decir, sin el cumplimiento de este requisito previo, la oferta no puede evaluarse</w:t>
      </w:r>
      <w:r w:rsidRPr="0076231A">
        <w:rPr>
          <w:rStyle w:val="Refdenotaalpie"/>
          <w:rFonts w:ascii="Verdana" w:eastAsia="Calibri" w:hAnsi="Verdana" w:cs="Arial"/>
          <w:lang w:val="es-MX"/>
        </w:rPr>
        <w:footnoteReference w:id="5"/>
      </w:r>
      <w:r w:rsidRPr="0076231A">
        <w:rPr>
          <w:rFonts w:ascii="Verdana" w:eastAsia="Calibri" w:hAnsi="Verdana" w:cs="Arial"/>
          <w:lang w:val="es-MX"/>
        </w:rPr>
        <w:t>.</w:t>
      </w:r>
    </w:p>
    <w:p w14:paraId="36036350" w14:textId="77777777" w:rsidR="00193BDF" w:rsidRDefault="00193BDF" w:rsidP="00193BDF">
      <w:pPr>
        <w:spacing w:after="0" w:line="276" w:lineRule="auto"/>
        <w:jc w:val="both"/>
        <w:rPr>
          <w:rFonts w:ascii="Verdana" w:eastAsia="Calibri" w:hAnsi="Verdana" w:cs="Arial"/>
          <w:lang w:val="es-MX"/>
        </w:rPr>
      </w:pPr>
      <w:r w:rsidRPr="0076231A">
        <w:rPr>
          <w:rFonts w:ascii="Verdana" w:eastAsia="Calibri" w:hAnsi="Verdana" w:cs="Arial"/>
          <w:lang w:val="es-MX"/>
        </w:rPr>
        <w:t xml:space="preserve"> </w:t>
      </w:r>
    </w:p>
    <w:p w14:paraId="3B05D099" w14:textId="77777777" w:rsidR="00193BDF" w:rsidRDefault="00193BDF" w:rsidP="00193BDF">
      <w:pPr>
        <w:pStyle w:val="Textoindependiente"/>
        <w:spacing w:after="120" w:line="276" w:lineRule="auto"/>
        <w:ind w:left="0"/>
        <w:jc w:val="both"/>
        <w:rPr>
          <w:rFonts w:ascii="Verdana" w:hAnsi="Verdana"/>
        </w:rPr>
      </w:pPr>
      <w:r>
        <w:rPr>
          <w:rFonts w:ascii="Verdana" w:eastAsia="Calibri" w:hAnsi="Verdana" w:cs="Arial"/>
          <w:lang w:val="es-MX"/>
        </w:rPr>
        <w:t xml:space="preserve">vii. </w:t>
      </w:r>
      <w:r>
        <w:rPr>
          <w:rFonts w:ascii="Verdana" w:eastAsia="Calibri" w:hAnsi="Verdana" w:cs="Arial"/>
          <w:color w:val="000000" w:themeColor="text1"/>
        </w:rPr>
        <w:t>E</w:t>
      </w:r>
      <w:r w:rsidRPr="008E1809">
        <w:rPr>
          <w:rFonts w:ascii="Verdana" w:eastAsia="Calibri" w:hAnsi="Verdana" w:cs="Arial"/>
          <w:color w:val="000000" w:themeColor="text1"/>
        </w:rPr>
        <w:t xml:space="preserve">s necesario tener en cuenta que </w:t>
      </w:r>
      <w:r>
        <w:rPr>
          <w:rFonts w:ascii="Verdana" w:eastAsia="Calibri" w:hAnsi="Verdana" w:cs="Arial"/>
          <w:color w:val="000000" w:themeColor="text1"/>
        </w:rPr>
        <w:t>e</w:t>
      </w:r>
      <w:r w:rsidRPr="008E1809">
        <w:rPr>
          <w:rFonts w:ascii="Verdana" w:hAnsi="Verdana"/>
        </w:rPr>
        <w:t>l artículo 30 de la Ley 2069 de 2020 modifica el numeral 5 del artículo 2 de la</w:t>
      </w:r>
      <w:r w:rsidRPr="008E1809">
        <w:rPr>
          <w:rFonts w:ascii="Verdana" w:hAnsi="Verdana"/>
          <w:spacing w:val="1"/>
        </w:rPr>
        <w:t xml:space="preserve"> </w:t>
      </w:r>
      <w:r w:rsidRPr="008E1809">
        <w:rPr>
          <w:rFonts w:ascii="Verdana" w:hAnsi="Verdana"/>
        </w:rPr>
        <w:t>Ley</w:t>
      </w:r>
      <w:r w:rsidRPr="008E1809">
        <w:rPr>
          <w:rFonts w:ascii="Verdana" w:hAnsi="Verdana"/>
          <w:spacing w:val="-3"/>
        </w:rPr>
        <w:t xml:space="preserve"> </w:t>
      </w:r>
      <w:r w:rsidRPr="008E1809">
        <w:rPr>
          <w:rFonts w:ascii="Verdana" w:hAnsi="Verdana"/>
        </w:rPr>
        <w:t>1150</w:t>
      </w:r>
      <w:r w:rsidRPr="008E1809">
        <w:rPr>
          <w:rFonts w:ascii="Verdana" w:hAnsi="Verdana"/>
          <w:spacing w:val="-2"/>
        </w:rPr>
        <w:t xml:space="preserve"> </w:t>
      </w:r>
      <w:r w:rsidRPr="008E1809">
        <w:rPr>
          <w:rFonts w:ascii="Verdana" w:hAnsi="Verdana"/>
        </w:rPr>
        <w:t>de</w:t>
      </w:r>
      <w:r w:rsidRPr="008E1809">
        <w:rPr>
          <w:rFonts w:ascii="Verdana" w:hAnsi="Verdana"/>
          <w:spacing w:val="-2"/>
        </w:rPr>
        <w:t xml:space="preserve"> </w:t>
      </w:r>
      <w:r w:rsidRPr="008E1809">
        <w:rPr>
          <w:rFonts w:ascii="Verdana" w:hAnsi="Verdana"/>
        </w:rPr>
        <w:t>2007,</w:t>
      </w:r>
      <w:r w:rsidRPr="008E1809">
        <w:rPr>
          <w:rFonts w:ascii="Verdana" w:hAnsi="Verdana"/>
          <w:spacing w:val="-2"/>
        </w:rPr>
        <w:t xml:space="preserve"> </w:t>
      </w:r>
      <w:r w:rsidRPr="008E1809">
        <w:rPr>
          <w:rFonts w:ascii="Verdana" w:hAnsi="Verdana"/>
        </w:rPr>
        <w:t>el</w:t>
      </w:r>
      <w:r w:rsidRPr="008E1809">
        <w:rPr>
          <w:rFonts w:ascii="Verdana" w:hAnsi="Verdana"/>
          <w:spacing w:val="-3"/>
        </w:rPr>
        <w:t xml:space="preserve"> </w:t>
      </w:r>
      <w:r w:rsidRPr="008E1809">
        <w:rPr>
          <w:rFonts w:ascii="Verdana" w:hAnsi="Verdana"/>
        </w:rPr>
        <w:t>cual</w:t>
      </w:r>
      <w:r w:rsidRPr="008E1809">
        <w:rPr>
          <w:rFonts w:ascii="Verdana" w:hAnsi="Verdana"/>
          <w:spacing w:val="-2"/>
        </w:rPr>
        <w:t xml:space="preserve"> </w:t>
      </w:r>
      <w:r w:rsidRPr="008E1809">
        <w:rPr>
          <w:rFonts w:ascii="Verdana" w:hAnsi="Verdana"/>
        </w:rPr>
        <w:t>regula</w:t>
      </w:r>
      <w:r w:rsidRPr="008E1809">
        <w:rPr>
          <w:rFonts w:ascii="Verdana" w:hAnsi="Verdana"/>
          <w:spacing w:val="-2"/>
        </w:rPr>
        <w:t xml:space="preserve"> </w:t>
      </w:r>
      <w:r w:rsidRPr="008E1809">
        <w:rPr>
          <w:rFonts w:ascii="Verdana" w:hAnsi="Verdana"/>
        </w:rPr>
        <w:t>la</w:t>
      </w:r>
      <w:r w:rsidRPr="008E1809">
        <w:rPr>
          <w:rFonts w:ascii="Verdana" w:hAnsi="Verdana"/>
          <w:spacing w:val="-2"/>
        </w:rPr>
        <w:t xml:space="preserve"> </w:t>
      </w:r>
      <w:r w:rsidRPr="008E1809">
        <w:rPr>
          <w:rFonts w:ascii="Verdana" w:hAnsi="Verdana"/>
        </w:rPr>
        <w:t>mínima</w:t>
      </w:r>
      <w:r w:rsidRPr="008E1809">
        <w:rPr>
          <w:rFonts w:ascii="Verdana" w:hAnsi="Verdana"/>
          <w:spacing w:val="-3"/>
        </w:rPr>
        <w:t xml:space="preserve"> </w:t>
      </w:r>
      <w:r w:rsidRPr="008E1809">
        <w:rPr>
          <w:rFonts w:ascii="Verdana" w:hAnsi="Verdana"/>
        </w:rPr>
        <w:t>cuantía.</w:t>
      </w:r>
      <w:r w:rsidRPr="008E1809">
        <w:rPr>
          <w:rFonts w:ascii="Verdana" w:hAnsi="Verdana"/>
          <w:spacing w:val="-2"/>
        </w:rPr>
        <w:t xml:space="preserve"> </w:t>
      </w:r>
      <w:r w:rsidRPr="008E1809">
        <w:rPr>
          <w:rFonts w:ascii="Verdana" w:hAnsi="Verdana"/>
        </w:rPr>
        <w:t>En</w:t>
      </w:r>
      <w:r w:rsidRPr="008E1809">
        <w:rPr>
          <w:rFonts w:ascii="Verdana" w:hAnsi="Verdana"/>
          <w:spacing w:val="-2"/>
        </w:rPr>
        <w:t xml:space="preserve"> </w:t>
      </w:r>
      <w:r w:rsidRPr="008E1809">
        <w:rPr>
          <w:rFonts w:ascii="Verdana" w:hAnsi="Verdana"/>
        </w:rPr>
        <w:t>esta</w:t>
      </w:r>
      <w:r w:rsidRPr="008E1809">
        <w:rPr>
          <w:rFonts w:ascii="Verdana" w:hAnsi="Verdana"/>
          <w:spacing w:val="-2"/>
        </w:rPr>
        <w:t xml:space="preserve"> </w:t>
      </w:r>
      <w:r w:rsidRPr="008E1809">
        <w:rPr>
          <w:rFonts w:ascii="Verdana" w:hAnsi="Verdana"/>
        </w:rPr>
        <w:t>modalidad</w:t>
      </w:r>
      <w:r w:rsidRPr="008E1809">
        <w:rPr>
          <w:rFonts w:ascii="Verdana" w:hAnsi="Verdana"/>
          <w:spacing w:val="-2"/>
        </w:rPr>
        <w:t xml:space="preserve"> </w:t>
      </w:r>
      <w:r w:rsidRPr="008E1809">
        <w:rPr>
          <w:rFonts w:ascii="Verdana" w:hAnsi="Verdana"/>
        </w:rPr>
        <w:t>de</w:t>
      </w:r>
      <w:r w:rsidRPr="008E1809">
        <w:rPr>
          <w:rFonts w:ascii="Verdana" w:hAnsi="Verdana"/>
          <w:spacing w:val="-3"/>
        </w:rPr>
        <w:t xml:space="preserve"> </w:t>
      </w:r>
      <w:r w:rsidRPr="008E1809">
        <w:rPr>
          <w:rFonts w:ascii="Verdana" w:hAnsi="Verdana"/>
        </w:rPr>
        <w:t>selección,</w:t>
      </w:r>
      <w:r w:rsidRPr="008E1809">
        <w:rPr>
          <w:rFonts w:ascii="Verdana" w:hAnsi="Verdana"/>
          <w:spacing w:val="-2"/>
        </w:rPr>
        <w:t xml:space="preserve"> </w:t>
      </w:r>
      <w:proofErr w:type="gramStart"/>
      <w:r w:rsidRPr="008E1809">
        <w:rPr>
          <w:rFonts w:ascii="Verdana" w:hAnsi="Verdana"/>
        </w:rPr>
        <w:t>la</w:t>
      </w:r>
      <w:r w:rsidRPr="008E1809">
        <w:rPr>
          <w:rFonts w:ascii="Verdana" w:hAnsi="Verdana"/>
          <w:spacing w:val="-59"/>
        </w:rPr>
        <w:t xml:space="preserve"> </w:t>
      </w:r>
      <w:r>
        <w:rPr>
          <w:rFonts w:ascii="Verdana" w:hAnsi="Verdana"/>
          <w:spacing w:val="-59"/>
        </w:rPr>
        <w:t xml:space="preserve"> </w:t>
      </w:r>
      <w:r w:rsidRPr="008E1809">
        <w:rPr>
          <w:rFonts w:ascii="Verdana" w:hAnsi="Verdana"/>
        </w:rPr>
        <w:t>entidad</w:t>
      </w:r>
      <w:proofErr w:type="gramEnd"/>
      <w:r w:rsidRPr="008E1809">
        <w:rPr>
          <w:rFonts w:ascii="Verdana" w:hAnsi="Verdana"/>
          <w:spacing w:val="-15"/>
        </w:rPr>
        <w:t xml:space="preserve"> </w:t>
      </w:r>
      <w:r w:rsidRPr="008E1809">
        <w:rPr>
          <w:rFonts w:ascii="Verdana" w:hAnsi="Verdana"/>
        </w:rPr>
        <w:t>estatal</w:t>
      </w:r>
      <w:r w:rsidRPr="008E1809">
        <w:rPr>
          <w:rFonts w:ascii="Verdana" w:hAnsi="Verdana"/>
          <w:spacing w:val="-15"/>
        </w:rPr>
        <w:t xml:space="preserve"> </w:t>
      </w:r>
      <w:r w:rsidRPr="008E1809">
        <w:rPr>
          <w:rFonts w:ascii="Verdana" w:hAnsi="Verdana"/>
        </w:rPr>
        <w:t>realiza</w:t>
      </w:r>
      <w:r w:rsidRPr="008E1809">
        <w:rPr>
          <w:rFonts w:ascii="Verdana" w:hAnsi="Verdana"/>
          <w:spacing w:val="-15"/>
        </w:rPr>
        <w:t xml:space="preserve"> </w:t>
      </w:r>
      <w:r w:rsidRPr="008E1809">
        <w:rPr>
          <w:rFonts w:ascii="Verdana" w:hAnsi="Verdana"/>
        </w:rPr>
        <w:t>una</w:t>
      </w:r>
      <w:r w:rsidRPr="008E1809">
        <w:rPr>
          <w:rFonts w:ascii="Verdana" w:hAnsi="Verdana"/>
          <w:spacing w:val="-14"/>
        </w:rPr>
        <w:t xml:space="preserve"> </w:t>
      </w:r>
      <w:r w:rsidRPr="008E1809">
        <w:rPr>
          <w:rFonts w:ascii="Verdana" w:hAnsi="Verdana"/>
        </w:rPr>
        <w:t>convocatoria</w:t>
      </w:r>
      <w:r w:rsidRPr="008E1809">
        <w:rPr>
          <w:rFonts w:ascii="Verdana" w:hAnsi="Verdana"/>
          <w:spacing w:val="-15"/>
        </w:rPr>
        <w:t xml:space="preserve"> </w:t>
      </w:r>
      <w:r w:rsidRPr="008E1809">
        <w:rPr>
          <w:rFonts w:ascii="Verdana" w:hAnsi="Verdana"/>
        </w:rPr>
        <w:t>pública</w:t>
      </w:r>
      <w:r w:rsidRPr="008E1809">
        <w:rPr>
          <w:rFonts w:ascii="Verdana" w:hAnsi="Verdana"/>
          <w:spacing w:val="-15"/>
        </w:rPr>
        <w:t xml:space="preserve"> </w:t>
      </w:r>
      <w:r w:rsidRPr="008E1809">
        <w:rPr>
          <w:rFonts w:ascii="Verdana" w:hAnsi="Verdana"/>
        </w:rPr>
        <w:t>para</w:t>
      </w:r>
      <w:r w:rsidRPr="008E1809">
        <w:rPr>
          <w:rFonts w:ascii="Verdana" w:hAnsi="Verdana"/>
          <w:spacing w:val="-15"/>
        </w:rPr>
        <w:t xml:space="preserve"> </w:t>
      </w:r>
      <w:r w:rsidRPr="008E1809">
        <w:rPr>
          <w:rFonts w:ascii="Verdana" w:hAnsi="Verdana"/>
        </w:rPr>
        <w:t>recibir</w:t>
      </w:r>
      <w:r w:rsidRPr="008E1809">
        <w:rPr>
          <w:rFonts w:ascii="Verdana" w:hAnsi="Verdana"/>
          <w:spacing w:val="-14"/>
        </w:rPr>
        <w:t xml:space="preserve"> </w:t>
      </w:r>
      <w:r w:rsidRPr="008E1809">
        <w:rPr>
          <w:rFonts w:ascii="Verdana" w:hAnsi="Verdana"/>
        </w:rPr>
        <w:t>ofertas</w:t>
      </w:r>
      <w:r w:rsidRPr="008E1809">
        <w:rPr>
          <w:rFonts w:ascii="Verdana" w:hAnsi="Verdana"/>
          <w:spacing w:val="-15"/>
        </w:rPr>
        <w:t xml:space="preserve"> </w:t>
      </w:r>
      <w:r w:rsidRPr="008E1809">
        <w:rPr>
          <w:rFonts w:ascii="Verdana" w:hAnsi="Verdana"/>
        </w:rPr>
        <w:t>de</w:t>
      </w:r>
      <w:r w:rsidRPr="008E1809">
        <w:rPr>
          <w:rFonts w:ascii="Verdana" w:hAnsi="Verdana"/>
          <w:spacing w:val="-15"/>
        </w:rPr>
        <w:t xml:space="preserve"> </w:t>
      </w:r>
      <w:r w:rsidRPr="008E1809">
        <w:rPr>
          <w:rFonts w:ascii="Verdana" w:hAnsi="Verdana"/>
        </w:rPr>
        <w:t>bienes</w:t>
      </w:r>
      <w:r w:rsidRPr="008E1809">
        <w:rPr>
          <w:rFonts w:ascii="Verdana" w:hAnsi="Verdana"/>
          <w:spacing w:val="-15"/>
        </w:rPr>
        <w:t xml:space="preserve"> </w:t>
      </w:r>
      <w:r w:rsidRPr="008E1809">
        <w:rPr>
          <w:rFonts w:ascii="Verdana" w:hAnsi="Verdana"/>
        </w:rPr>
        <w:t>o</w:t>
      </w:r>
      <w:r w:rsidRPr="008E1809">
        <w:rPr>
          <w:rFonts w:ascii="Verdana" w:hAnsi="Verdana"/>
          <w:spacing w:val="-14"/>
        </w:rPr>
        <w:t xml:space="preserve"> </w:t>
      </w:r>
      <w:r w:rsidRPr="008E1809">
        <w:rPr>
          <w:rFonts w:ascii="Verdana" w:hAnsi="Verdana"/>
        </w:rPr>
        <w:t>servicios</w:t>
      </w:r>
      <w:r w:rsidRPr="008E1809">
        <w:rPr>
          <w:rFonts w:ascii="Verdana" w:hAnsi="Verdana"/>
          <w:spacing w:val="-59"/>
        </w:rPr>
        <w:t xml:space="preserve"> </w:t>
      </w:r>
      <w:r w:rsidRPr="008E1809">
        <w:rPr>
          <w:rFonts w:ascii="Verdana" w:hAnsi="Verdana"/>
        </w:rPr>
        <w:t>cuyo valor no excede el diez por ciento –10%– de la menor cuantía. Fue creada por el</w:t>
      </w:r>
      <w:r w:rsidRPr="008E1809">
        <w:rPr>
          <w:rFonts w:ascii="Verdana" w:hAnsi="Verdana"/>
          <w:spacing w:val="1"/>
        </w:rPr>
        <w:t xml:space="preserve"> </w:t>
      </w:r>
      <w:r w:rsidRPr="008E1809">
        <w:rPr>
          <w:rFonts w:ascii="Verdana" w:hAnsi="Verdana"/>
        </w:rPr>
        <w:t>artículo 274 de la Ley 1450 de 2011 y modificada por el artículo 94 de la Ley 1474 de</w:t>
      </w:r>
      <w:r w:rsidRPr="008E1809">
        <w:rPr>
          <w:rFonts w:ascii="Verdana" w:hAnsi="Verdana"/>
          <w:spacing w:val="1"/>
        </w:rPr>
        <w:t xml:space="preserve"> </w:t>
      </w:r>
      <w:r w:rsidRPr="008E1809">
        <w:rPr>
          <w:rFonts w:ascii="Verdana" w:hAnsi="Verdana"/>
        </w:rPr>
        <w:t>2011,</w:t>
      </w:r>
      <w:r w:rsidRPr="008E1809">
        <w:rPr>
          <w:rFonts w:ascii="Verdana" w:hAnsi="Verdana"/>
          <w:spacing w:val="1"/>
        </w:rPr>
        <w:t xml:space="preserve"> </w:t>
      </w:r>
      <w:r w:rsidRPr="008E1809">
        <w:rPr>
          <w:rFonts w:ascii="Verdana" w:hAnsi="Verdana"/>
        </w:rPr>
        <w:t>disponiendo</w:t>
      </w:r>
      <w:r w:rsidRPr="008E1809">
        <w:rPr>
          <w:rFonts w:ascii="Verdana" w:hAnsi="Verdana"/>
          <w:spacing w:val="1"/>
        </w:rPr>
        <w:t xml:space="preserve"> </w:t>
      </w:r>
      <w:r w:rsidRPr="008E1809">
        <w:rPr>
          <w:rFonts w:ascii="Verdana" w:hAnsi="Verdana"/>
        </w:rPr>
        <w:t>que</w:t>
      </w:r>
      <w:r w:rsidRPr="008E1809">
        <w:rPr>
          <w:rFonts w:ascii="Verdana" w:hAnsi="Verdana"/>
          <w:spacing w:val="1"/>
        </w:rPr>
        <w:t xml:space="preserve"> </w:t>
      </w:r>
      <w:r w:rsidRPr="008E1809">
        <w:rPr>
          <w:rFonts w:ascii="Verdana" w:hAnsi="Verdana"/>
        </w:rPr>
        <w:t>el</w:t>
      </w:r>
      <w:r w:rsidRPr="008E1809">
        <w:rPr>
          <w:rFonts w:ascii="Verdana" w:hAnsi="Verdana"/>
          <w:spacing w:val="1"/>
        </w:rPr>
        <w:t xml:space="preserve"> </w:t>
      </w:r>
      <w:r w:rsidRPr="008E1809">
        <w:rPr>
          <w:rFonts w:ascii="Verdana" w:hAnsi="Verdana"/>
        </w:rPr>
        <w:t>factor</w:t>
      </w:r>
      <w:r w:rsidRPr="008E1809">
        <w:rPr>
          <w:rFonts w:ascii="Verdana" w:hAnsi="Verdana"/>
          <w:spacing w:val="1"/>
        </w:rPr>
        <w:t xml:space="preserve"> </w:t>
      </w:r>
      <w:r w:rsidRPr="008E1809">
        <w:rPr>
          <w:rFonts w:ascii="Verdana" w:hAnsi="Verdana"/>
        </w:rPr>
        <w:t>determinante</w:t>
      </w:r>
      <w:r w:rsidRPr="008E1809">
        <w:rPr>
          <w:rFonts w:ascii="Verdana" w:hAnsi="Verdana"/>
          <w:spacing w:val="1"/>
        </w:rPr>
        <w:t xml:space="preserve"> </w:t>
      </w:r>
      <w:r w:rsidRPr="008E1809">
        <w:rPr>
          <w:rFonts w:ascii="Verdana" w:hAnsi="Verdana"/>
        </w:rPr>
        <w:t>para</w:t>
      </w:r>
      <w:r w:rsidRPr="008E1809">
        <w:rPr>
          <w:rFonts w:ascii="Verdana" w:hAnsi="Verdana"/>
          <w:spacing w:val="1"/>
        </w:rPr>
        <w:t xml:space="preserve"> </w:t>
      </w:r>
      <w:r w:rsidRPr="008E1809">
        <w:rPr>
          <w:rFonts w:ascii="Verdana" w:hAnsi="Verdana"/>
        </w:rPr>
        <w:t>adelantarla</w:t>
      </w:r>
      <w:r w:rsidRPr="008E1809">
        <w:rPr>
          <w:rFonts w:ascii="Verdana" w:hAnsi="Verdana"/>
          <w:spacing w:val="1"/>
        </w:rPr>
        <w:t xml:space="preserve"> </w:t>
      </w:r>
      <w:r w:rsidRPr="008E1809">
        <w:rPr>
          <w:rFonts w:ascii="Verdana" w:hAnsi="Verdana"/>
        </w:rPr>
        <w:t>es</w:t>
      </w:r>
      <w:r w:rsidRPr="008E1809">
        <w:rPr>
          <w:rFonts w:ascii="Verdana" w:hAnsi="Verdana"/>
          <w:spacing w:val="1"/>
        </w:rPr>
        <w:t xml:space="preserve"> </w:t>
      </w:r>
      <w:r w:rsidRPr="008E1809">
        <w:rPr>
          <w:rFonts w:ascii="Verdana" w:hAnsi="Verdana"/>
        </w:rPr>
        <w:t>el</w:t>
      </w:r>
      <w:r w:rsidRPr="008E1809">
        <w:rPr>
          <w:rFonts w:ascii="Verdana" w:hAnsi="Verdana"/>
          <w:spacing w:val="1"/>
        </w:rPr>
        <w:t xml:space="preserve"> </w:t>
      </w:r>
      <w:r w:rsidRPr="008E1809">
        <w:rPr>
          <w:rFonts w:ascii="Verdana" w:hAnsi="Verdana"/>
        </w:rPr>
        <w:t>valor</w:t>
      </w:r>
      <w:r w:rsidRPr="008E1809">
        <w:rPr>
          <w:rFonts w:ascii="Verdana" w:hAnsi="Verdana"/>
          <w:spacing w:val="1"/>
        </w:rPr>
        <w:t xml:space="preserve"> </w:t>
      </w:r>
      <w:r w:rsidRPr="008E1809">
        <w:rPr>
          <w:rFonts w:ascii="Verdana" w:hAnsi="Verdana"/>
        </w:rPr>
        <w:t>del</w:t>
      </w:r>
      <w:r w:rsidRPr="008E1809">
        <w:rPr>
          <w:rFonts w:ascii="Verdana" w:hAnsi="Verdana"/>
          <w:spacing w:val="1"/>
        </w:rPr>
        <w:t xml:space="preserve"> </w:t>
      </w:r>
      <w:r w:rsidRPr="008E1809">
        <w:rPr>
          <w:rFonts w:ascii="Verdana" w:hAnsi="Verdana"/>
        </w:rPr>
        <w:t>presupuesto oficial con independencia de su objeto. Por lo demás, como en este</w:t>
      </w:r>
      <w:r w:rsidRPr="008E1809">
        <w:rPr>
          <w:rFonts w:ascii="Verdana" w:hAnsi="Verdana"/>
          <w:spacing w:val="1"/>
        </w:rPr>
        <w:t xml:space="preserve"> </w:t>
      </w:r>
      <w:r w:rsidRPr="008E1809">
        <w:rPr>
          <w:rFonts w:ascii="Verdana" w:hAnsi="Verdana"/>
        </w:rPr>
        <w:t>procedimiento</w:t>
      </w:r>
      <w:r w:rsidRPr="008E1809">
        <w:rPr>
          <w:rFonts w:ascii="Verdana" w:hAnsi="Verdana"/>
          <w:spacing w:val="-9"/>
        </w:rPr>
        <w:t xml:space="preserve"> </w:t>
      </w:r>
      <w:r w:rsidRPr="008E1809">
        <w:rPr>
          <w:rFonts w:ascii="Verdana" w:hAnsi="Verdana"/>
        </w:rPr>
        <w:t>el</w:t>
      </w:r>
      <w:r w:rsidRPr="008E1809">
        <w:rPr>
          <w:rFonts w:ascii="Verdana" w:hAnsi="Verdana"/>
          <w:spacing w:val="-9"/>
        </w:rPr>
        <w:t xml:space="preserve"> </w:t>
      </w:r>
      <w:r w:rsidRPr="008E1809">
        <w:rPr>
          <w:rFonts w:ascii="Verdana" w:hAnsi="Verdana"/>
        </w:rPr>
        <w:t>contrato</w:t>
      </w:r>
      <w:r w:rsidRPr="008E1809">
        <w:rPr>
          <w:rFonts w:ascii="Verdana" w:hAnsi="Verdana"/>
          <w:spacing w:val="-9"/>
        </w:rPr>
        <w:t xml:space="preserve"> </w:t>
      </w:r>
      <w:r w:rsidRPr="008E1809">
        <w:rPr>
          <w:rFonts w:ascii="Verdana" w:hAnsi="Verdana"/>
        </w:rPr>
        <w:t>se</w:t>
      </w:r>
      <w:r w:rsidRPr="008E1809">
        <w:rPr>
          <w:rFonts w:ascii="Verdana" w:hAnsi="Verdana"/>
          <w:spacing w:val="-9"/>
        </w:rPr>
        <w:t xml:space="preserve"> </w:t>
      </w:r>
      <w:r w:rsidRPr="008E1809">
        <w:rPr>
          <w:rFonts w:ascii="Verdana" w:hAnsi="Verdana"/>
        </w:rPr>
        <w:t>perfecciona</w:t>
      </w:r>
      <w:r w:rsidRPr="008E1809">
        <w:rPr>
          <w:rFonts w:ascii="Verdana" w:hAnsi="Verdana"/>
          <w:spacing w:val="-8"/>
        </w:rPr>
        <w:t xml:space="preserve"> </w:t>
      </w:r>
      <w:r w:rsidRPr="008E1809">
        <w:rPr>
          <w:rFonts w:ascii="Verdana" w:hAnsi="Verdana"/>
        </w:rPr>
        <w:t>con</w:t>
      </w:r>
      <w:r w:rsidRPr="008E1809">
        <w:rPr>
          <w:rFonts w:ascii="Verdana" w:hAnsi="Verdana"/>
          <w:spacing w:val="-9"/>
        </w:rPr>
        <w:t xml:space="preserve"> </w:t>
      </w:r>
      <w:r w:rsidRPr="008E1809">
        <w:rPr>
          <w:rFonts w:ascii="Verdana" w:hAnsi="Verdana"/>
        </w:rPr>
        <w:t>la</w:t>
      </w:r>
      <w:r w:rsidRPr="008E1809">
        <w:rPr>
          <w:rFonts w:ascii="Verdana" w:hAnsi="Verdana"/>
          <w:spacing w:val="-9"/>
        </w:rPr>
        <w:t xml:space="preserve"> </w:t>
      </w:r>
      <w:r w:rsidRPr="008E1809">
        <w:rPr>
          <w:rFonts w:ascii="Verdana" w:hAnsi="Verdana"/>
        </w:rPr>
        <w:t>aceptación</w:t>
      </w:r>
      <w:r w:rsidRPr="008E1809">
        <w:rPr>
          <w:rFonts w:ascii="Verdana" w:hAnsi="Verdana"/>
          <w:spacing w:val="-8"/>
        </w:rPr>
        <w:t xml:space="preserve"> </w:t>
      </w:r>
      <w:r w:rsidRPr="008E1809">
        <w:rPr>
          <w:rFonts w:ascii="Verdana" w:hAnsi="Verdana"/>
        </w:rPr>
        <w:t>de</w:t>
      </w:r>
      <w:r w:rsidRPr="008E1809">
        <w:rPr>
          <w:rFonts w:ascii="Verdana" w:hAnsi="Verdana"/>
          <w:spacing w:val="-9"/>
        </w:rPr>
        <w:t xml:space="preserve"> </w:t>
      </w:r>
      <w:r w:rsidRPr="008E1809">
        <w:rPr>
          <w:rFonts w:ascii="Verdana" w:hAnsi="Verdana"/>
        </w:rPr>
        <w:t>la</w:t>
      </w:r>
      <w:r w:rsidRPr="008E1809">
        <w:rPr>
          <w:rFonts w:ascii="Verdana" w:hAnsi="Verdana"/>
          <w:spacing w:val="-9"/>
        </w:rPr>
        <w:t xml:space="preserve"> </w:t>
      </w:r>
      <w:r w:rsidRPr="008E1809">
        <w:rPr>
          <w:rFonts w:ascii="Verdana" w:hAnsi="Verdana"/>
        </w:rPr>
        <w:t>oferta,</w:t>
      </w:r>
      <w:r w:rsidRPr="008E1809">
        <w:rPr>
          <w:rFonts w:ascii="Verdana" w:hAnsi="Verdana"/>
          <w:spacing w:val="-9"/>
        </w:rPr>
        <w:t xml:space="preserve"> </w:t>
      </w:r>
      <w:r w:rsidRPr="008E1809">
        <w:rPr>
          <w:rFonts w:ascii="Verdana" w:hAnsi="Verdana"/>
        </w:rPr>
        <w:t>se</w:t>
      </w:r>
      <w:r w:rsidRPr="008E1809">
        <w:rPr>
          <w:rFonts w:ascii="Verdana" w:hAnsi="Verdana"/>
          <w:spacing w:val="-10"/>
        </w:rPr>
        <w:t xml:space="preserve"> </w:t>
      </w:r>
      <w:r w:rsidRPr="008E1809">
        <w:rPr>
          <w:rFonts w:ascii="Verdana" w:hAnsi="Verdana"/>
        </w:rPr>
        <w:t>considera</w:t>
      </w:r>
      <w:r w:rsidRPr="008E1809">
        <w:rPr>
          <w:rFonts w:ascii="Verdana" w:hAnsi="Verdana"/>
          <w:spacing w:val="-9"/>
        </w:rPr>
        <w:t xml:space="preserve"> </w:t>
      </w:r>
      <w:r w:rsidRPr="008E1809">
        <w:rPr>
          <w:rFonts w:ascii="Verdana" w:hAnsi="Verdana"/>
        </w:rPr>
        <w:t>un</w:t>
      </w:r>
      <w:r w:rsidRPr="008E1809">
        <w:rPr>
          <w:rFonts w:ascii="Verdana" w:hAnsi="Verdana"/>
          <w:spacing w:val="-58"/>
        </w:rPr>
        <w:t xml:space="preserve"> </w:t>
      </w:r>
      <w:r w:rsidRPr="008E1809">
        <w:rPr>
          <w:rFonts w:ascii="Verdana" w:hAnsi="Verdana"/>
        </w:rPr>
        <w:t>sucedáneo</w:t>
      </w:r>
      <w:r w:rsidRPr="008E1809">
        <w:rPr>
          <w:rFonts w:ascii="Verdana" w:hAnsi="Verdana"/>
          <w:spacing w:val="-2"/>
        </w:rPr>
        <w:t xml:space="preserve"> </w:t>
      </w:r>
      <w:r w:rsidRPr="008E1809">
        <w:rPr>
          <w:rFonts w:ascii="Verdana" w:hAnsi="Verdana"/>
        </w:rPr>
        <w:t>de</w:t>
      </w:r>
      <w:r w:rsidRPr="008E1809">
        <w:rPr>
          <w:rFonts w:ascii="Verdana" w:hAnsi="Verdana"/>
          <w:spacing w:val="-2"/>
        </w:rPr>
        <w:t xml:space="preserve"> </w:t>
      </w:r>
      <w:r w:rsidRPr="008E1809">
        <w:rPr>
          <w:rFonts w:ascii="Verdana" w:hAnsi="Verdana"/>
        </w:rPr>
        <w:t>los</w:t>
      </w:r>
      <w:r w:rsidRPr="008E1809">
        <w:rPr>
          <w:rFonts w:ascii="Verdana" w:hAnsi="Verdana"/>
          <w:spacing w:val="-1"/>
        </w:rPr>
        <w:t xml:space="preserve"> </w:t>
      </w:r>
      <w:r w:rsidRPr="008E1809">
        <w:rPr>
          <w:rFonts w:ascii="Verdana" w:hAnsi="Verdana"/>
        </w:rPr>
        <w:t>denominados</w:t>
      </w:r>
      <w:r w:rsidRPr="008E1809">
        <w:rPr>
          <w:rFonts w:ascii="Verdana" w:hAnsi="Verdana"/>
          <w:spacing w:val="-2"/>
        </w:rPr>
        <w:t xml:space="preserve"> </w:t>
      </w:r>
      <w:r>
        <w:rPr>
          <w:rFonts w:ascii="Verdana" w:hAnsi="Verdana"/>
        </w:rPr>
        <w:t>“</w:t>
      </w:r>
      <w:r w:rsidRPr="008E1809">
        <w:rPr>
          <w:rFonts w:ascii="Verdana" w:hAnsi="Verdana"/>
        </w:rPr>
        <w:t>contratos</w:t>
      </w:r>
      <w:r w:rsidRPr="008E1809">
        <w:rPr>
          <w:rFonts w:ascii="Verdana" w:hAnsi="Verdana"/>
          <w:spacing w:val="-1"/>
        </w:rPr>
        <w:t xml:space="preserve"> </w:t>
      </w:r>
      <w:r w:rsidRPr="008E1809">
        <w:rPr>
          <w:rFonts w:ascii="Verdana" w:hAnsi="Verdana"/>
        </w:rPr>
        <w:t>sin</w:t>
      </w:r>
      <w:r w:rsidRPr="008E1809">
        <w:rPr>
          <w:rFonts w:ascii="Verdana" w:hAnsi="Verdana"/>
          <w:spacing w:val="-2"/>
        </w:rPr>
        <w:t xml:space="preserve"> </w:t>
      </w:r>
      <w:r w:rsidRPr="008E1809">
        <w:rPr>
          <w:rFonts w:ascii="Verdana" w:hAnsi="Verdana"/>
        </w:rPr>
        <w:t>formalidades</w:t>
      </w:r>
      <w:r w:rsidRPr="008E1809">
        <w:rPr>
          <w:rFonts w:ascii="Verdana" w:hAnsi="Verdana"/>
          <w:spacing w:val="-1"/>
        </w:rPr>
        <w:t xml:space="preserve"> </w:t>
      </w:r>
      <w:r w:rsidRPr="008E1809">
        <w:rPr>
          <w:rFonts w:ascii="Verdana" w:hAnsi="Verdana"/>
        </w:rPr>
        <w:t>plenas</w:t>
      </w:r>
      <w:r>
        <w:rPr>
          <w:rFonts w:ascii="Verdana" w:hAnsi="Verdana"/>
        </w:rPr>
        <w:t>”</w:t>
      </w:r>
      <w:r>
        <w:rPr>
          <w:rStyle w:val="Refdenotaalpie"/>
          <w:rFonts w:ascii="Verdana" w:hAnsi="Verdana"/>
        </w:rPr>
        <w:footnoteReference w:id="6"/>
      </w:r>
      <w:r w:rsidRPr="008E1809">
        <w:rPr>
          <w:rFonts w:ascii="Verdana" w:hAnsi="Verdana"/>
        </w:rPr>
        <w:t>.</w:t>
      </w:r>
    </w:p>
    <w:p w14:paraId="692063EF" w14:textId="77777777" w:rsidR="00193BDF" w:rsidRDefault="00193BDF" w:rsidP="00193BDF">
      <w:pPr>
        <w:pStyle w:val="Textoindependiente"/>
        <w:spacing w:line="276" w:lineRule="auto"/>
        <w:ind w:left="0"/>
        <w:jc w:val="both"/>
        <w:rPr>
          <w:rFonts w:ascii="Verdana" w:hAnsi="Verdana"/>
        </w:rPr>
      </w:pPr>
      <w:r>
        <w:rPr>
          <w:rFonts w:ascii="Verdana" w:hAnsi="Verdana"/>
        </w:rPr>
        <w:lastRenderedPageBreak/>
        <w:tab/>
        <w:t xml:space="preserve">Esta modalidad de selección está reglamentada en el artículo </w:t>
      </w:r>
      <w:r w:rsidRPr="005B1A08">
        <w:rPr>
          <w:rFonts w:ascii="Verdana" w:hAnsi="Verdana"/>
        </w:rPr>
        <w:t>2.2.1.2.1.5.2</w:t>
      </w:r>
      <w:r>
        <w:rPr>
          <w:rFonts w:ascii="Verdana" w:hAnsi="Verdana"/>
        </w:rPr>
        <w:t xml:space="preserve"> del Decreto 1082 de 2015, norma que dispone el procedimiento para aceptar la oferta ganadora. Para efectos de la consulta, es relevante el numeral 5 </w:t>
      </w:r>
      <w:r w:rsidRPr="005B1A08">
        <w:rPr>
          <w:rFonts w:ascii="Verdana" w:hAnsi="Verdana"/>
          <w:i/>
          <w:iCs/>
        </w:rPr>
        <w:t>ibidem</w:t>
      </w:r>
      <w:r>
        <w:rPr>
          <w:rFonts w:ascii="Verdana" w:hAnsi="Verdana"/>
        </w:rPr>
        <w:t>: “</w:t>
      </w:r>
      <w:r w:rsidRPr="005B1A08">
        <w:rPr>
          <w:rFonts w:ascii="Verdana" w:hAnsi="Verdana"/>
        </w:rPr>
        <w:t>La Entidad Estatal debe revisar las ofertas económicas y verificar que la de menor precio cumple con las condiciones de la invitación. Si esta no cumple, la Entidad Estatal debe verificar el cumplimiento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Pr>
          <w:rFonts w:ascii="Verdana" w:hAnsi="Verdana"/>
        </w:rPr>
        <w:t>”</w:t>
      </w:r>
      <w:r w:rsidRPr="005B1A08">
        <w:rPr>
          <w:rFonts w:ascii="Verdana" w:hAnsi="Verdana"/>
        </w:rPr>
        <w:t>.</w:t>
      </w:r>
      <w:r>
        <w:rPr>
          <w:rFonts w:ascii="Verdana" w:hAnsi="Verdana"/>
        </w:rPr>
        <w:t xml:space="preserve"> En todo caso, como prescribe el numeral 7, “</w:t>
      </w:r>
      <w:r w:rsidRPr="005B1A08">
        <w:rPr>
          <w:rFonts w:ascii="Verdana" w:hAnsi="Verdana"/>
        </w:rPr>
        <w:t>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r>
        <w:rPr>
          <w:rFonts w:ascii="Verdana" w:hAnsi="Verdana"/>
        </w:rPr>
        <w:t>”</w:t>
      </w:r>
      <w:r w:rsidRPr="005B1A08">
        <w:rPr>
          <w:rFonts w:ascii="Verdana" w:hAnsi="Verdana"/>
        </w:rPr>
        <w:t>.</w:t>
      </w:r>
    </w:p>
    <w:p w14:paraId="1AA6A650" w14:textId="77777777" w:rsidR="00193BDF" w:rsidRDefault="00193BDF" w:rsidP="00193BDF">
      <w:pPr>
        <w:pStyle w:val="Textoindependiente"/>
        <w:spacing w:line="276" w:lineRule="auto"/>
        <w:ind w:left="0"/>
        <w:jc w:val="both"/>
        <w:rPr>
          <w:rFonts w:ascii="Verdana" w:hAnsi="Verdana"/>
        </w:rPr>
      </w:pPr>
    </w:p>
    <w:p w14:paraId="0647006A" w14:textId="77777777" w:rsidR="00193BDF" w:rsidRDefault="00193BDF" w:rsidP="00193BDF">
      <w:pPr>
        <w:pStyle w:val="Textoindependiente"/>
        <w:spacing w:after="120" w:line="276" w:lineRule="auto"/>
        <w:ind w:left="0"/>
        <w:jc w:val="both"/>
        <w:rPr>
          <w:rFonts w:ascii="Verdana" w:hAnsi="Verdana"/>
        </w:rPr>
      </w:pPr>
      <w:proofErr w:type="spellStart"/>
      <w:r>
        <w:rPr>
          <w:rFonts w:ascii="Verdana" w:hAnsi="Verdana"/>
        </w:rPr>
        <w:t>viii</w:t>
      </w:r>
      <w:proofErr w:type="spellEnd"/>
      <w:r>
        <w:rPr>
          <w:rFonts w:ascii="Verdana" w:hAnsi="Verdana"/>
        </w:rPr>
        <w:t xml:space="preserve">. Las normas del sistema de compras públicas no regulan aspectos formales de la presentación de los informes que verifican los requisitos habilitantes y que asignan puntaje a los criterios de evaluación. En cualquier modalidad de selección, lo importante es que el contenido material del documento esté relacionado con los requisitos mencionados en el pliego de condiciones, pues la evaluación es un acto reglado y, por tanto, adjudicación de los contratos no está sujeta a criterios de oportunidad ni de conveniencia. </w:t>
      </w:r>
    </w:p>
    <w:p w14:paraId="6CE7A292" w14:textId="77777777" w:rsidR="00193BDF" w:rsidRDefault="00193BDF" w:rsidP="00193BDF">
      <w:pPr>
        <w:pStyle w:val="Textoindependiente"/>
        <w:spacing w:line="276" w:lineRule="auto"/>
        <w:ind w:left="0" w:firstLine="708"/>
        <w:jc w:val="both"/>
        <w:rPr>
          <w:rFonts w:ascii="Verdana" w:hAnsi="Verdana"/>
        </w:rPr>
      </w:pPr>
      <w:r>
        <w:rPr>
          <w:rFonts w:ascii="Verdana" w:hAnsi="Verdana"/>
        </w:rPr>
        <w:t>Sumado a que cada pliego de condiciones establece los requisitos necesarios para contratar de acuerdo con la tipología aplicable, el ordenamiento también orienta la selección objetiva del contratista. Por regla general, el artículo 5.2 de la Ley 1150 de 2007 dispone que “</w:t>
      </w:r>
      <w:r w:rsidRPr="00D07509">
        <w:rPr>
          <w:rFonts w:ascii="Verdana" w:hAnsi="Verdana"/>
        </w:rPr>
        <w:t xml:space="preserve">La oferta más favorable será aquella que, teniendo en cuenta los factores técnicos y económicos de escogencia y la </w:t>
      </w:r>
      <w:r w:rsidRPr="00D07509">
        <w:rPr>
          <w:rFonts w:ascii="Verdana" w:hAnsi="Verdana"/>
        </w:rPr>
        <w:lastRenderedPageBreak/>
        <w:t>ponderación precisa y detallada de los mismos contenida en los pliegos de condiciones o sus equivalentes, resulte ser la más ventajosa para la entidad, sin que la favorabilidad la constituyan factores diferentes a los contenidos en dichos documentos</w:t>
      </w:r>
      <w:r>
        <w:rPr>
          <w:rFonts w:ascii="Verdana" w:hAnsi="Verdana"/>
        </w:rPr>
        <w:t xml:space="preserve">. </w:t>
      </w:r>
      <w:r w:rsidRPr="00D07509">
        <w:rPr>
          <w:rFonts w:ascii="Verdana" w:hAnsi="Verdana"/>
        </w:rPr>
        <w:t>En los contratos de obra pública, el menor plazo ofrecido no será objeto de evaluación</w:t>
      </w:r>
      <w:r>
        <w:rPr>
          <w:rFonts w:ascii="Verdana" w:hAnsi="Verdana"/>
        </w:rPr>
        <w:t xml:space="preserve"> […]”</w:t>
      </w:r>
      <w:r w:rsidRPr="00D07509">
        <w:rPr>
          <w:rFonts w:ascii="Verdana" w:hAnsi="Verdana"/>
        </w:rPr>
        <w:t>.</w:t>
      </w:r>
      <w:r>
        <w:rPr>
          <w:rFonts w:ascii="Verdana" w:hAnsi="Verdana"/>
        </w:rPr>
        <w:t xml:space="preserve"> Por lo demás, indica que e</w:t>
      </w:r>
      <w:r w:rsidRPr="00D07509">
        <w:rPr>
          <w:rFonts w:ascii="Verdana" w:hAnsi="Verdana"/>
        </w:rPr>
        <w:t>n los procesos de selección en los que se tenga en cuenta los factores técnicos y económicos, la oferta más ventajosa será la que resulte de aplicar</w:t>
      </w:r>
      <w:r>
        <w:rPr>
          <w:rFonts w:ascii="Verdana" w:hAnsi="Verdana"/>
        </w:rPr>
        <w:t xml:space="preserve"> i) la </w:t>
      </w:r>
      <w:r w:rsidRPr="00D07509">
        <w:rPr>
          <w:rFonts w:ascii="Verdana" w:hAnsi="Verdana"/>
        </w:rPr>
        <w:t>ponderación de los elementos de calidad y precio soportados en puntajes o fórmulas señaladas en el pliego de condiciones</w:t>
      </w:r>
      <w:r>
        <w:rPr>
          <w:rFonts w:ascii="Verdana" w:hAnsi="Verdana"/>
        </w:rPr>
        <w:t xml:space="preserve"> o </w:t>
      </w:r>
      <w:proofErr w:type="spellStart"/>
      <w:r>
        <w:rPr>
          <w:rFonts w:ascii="Verdana" w:hAnsi="Verdana"/>
        </w:rPr>
        <w:t>ii</w:t>
      </w:r>
      <w:proofErr w:type="spellEnd"/>
      <w:r>
        <w:rPr>
          <w:rFonts w:ascii="Verdana" w:hAnsi="Verdana"/>
        </w:rPr>
        <w:t>) l</w:t>
      </w:r>
      <w:r w:rsidRPr="00D07509">
        <w:rPr>
          <w:rFonts w:ascii="Verdana" w:hAnsi="Verdana"/>
        </w:rPr>
        <w:t>a ponderación de los elementos de calidad y precio que representen la mejor relación de costo-beneficio</w:t>
      </w:r>
      <w:r>
        <w:rPr>
          <w:rFonts w:ascii="Verdana" w:hAnsi="Verdana"/>
        </w:rPr>
        <w:t xml:space="preserve">. Sin embargo, tratándose de concurso de méritos, el artículo 5.4 </w:t>
      </w:r>
      <w:r w:rsidRPr="00E411E7">
        <w:rPr>
          <w:rFonts w:ascii="Verdana" w:hAnsi="Verdana"/>
          <w:i/>
          <w:iCs/>
        </w:rPr>
        <w:t>ibidem</w:t>
      </w:r>
      <w:r>
        <w:rPr>
          <w:rFonts w:ascii="Verdana" w:hAnsi="Verdana"/>
        </w:rPr>
        <w:t xml:space="preserve"> prescribe que “</w:t>
      </w:r>
      <w:r w:rsidRPr="00E411E7">
        <w:rPr>
          <w:rFonts w:ascii="Verdana" w:hAnsi="Verdana"/>
        </w:rPr>
        <w:t>En ningún caso se podrá incluir el precio, como factor de escogencia para la selección de consultores</w:t>
      </w:r>
      <w:r>
        <w:rPr>
          <w:rFonts w:ascii="Verdana" w:hAnsi="Verdana"/>
        </w:rPr>
        <w:t xml:space="preserve">”, por lo que la evaluación recae sobre aspectos técnicos, </w:t>
      </w:r>
      <w:r w:rsidRPr="00E411E7">
        <w:rPr>
          <w:rFonts w:ascii="Verdana" w:hAnsi="Verdana"/>
        </w:rPr>
        <w:t>experiencia específica del oferente y del equipo de trabajo.</w:t>
      </w:r>
    </w:p>
    <w:p w14:paraId="0D54A07F" w14:textId="77777777" w:rsidR="00193BDF" w:rsidRDefault="00193BDF" w:rsidP="00193BDF">
      <w:pPr>
        <w:pStyle w:val="Textoindependiente"/>
        <w:spacing w:line="276" w:lineRule="auto"/>
        <w:ind w:left="0" w:firstLine="708"/>
        <w:jc w:val="both"/>
        <w:rPr>
          <w:rFonts w:ascii="Verdana" w:hAnsi="Verdana"/>
        </w:rPr>
      </w:pPr>
    </w:p>
    <w:p w14:paraId="029DD985" w14:textId="77777777" w:rsidR="00193BDF" w:rsidRPr="00771C8A" w:rsidRDefault="00193BDF" w:rsidP="00193BDF">
      <w:pPr>
        <w:tabs>
          <w:tab w:val="left" w:pos="426"/>
        </w:tabs>
        <w:spacing w:after="120" w:line="276" w:lineRule="auto"/>
        <w:jc w:val="both"/>
        <w:rPr>
          <w:rFonts w:ascii="Verdana" w:hAnsi="Verdana" w:cs="Arial"/>
          <w:bCs/>
          <w:lang w:val="es-MX"/>
        </w:rPr>
      </w:pPr>
      <w:proofErr w:type="spellStart"/>
      <w:r w:rsidRPr="00771C8A">
        <w:rPr>
          <w:rFonts w:ascii="Verdana" w:hAnsi="Verdana"/>
        </w:rPr>
        <w:t>ix</w:t>
      </w:r>
      <w:proofErr w:type="spellEnd"/>
      <w:r w:rsidRPr="00771C8A">
        <w:rPr>
          <w:rFonts w:ascii="Verdana" w:hAnsi="Verdana"/>
        </w:rPr>
        <w:t xml:space="preserve">. </w:t>
      </w:r>
      <w:r w:rsidRPr="00771C8A">
        <w:rPr>
          <w:rFonts w:ascii="Verdana" w:hAnsi="Verdana" w:cs="Arial"/>
          <w:bCs/>
          <w:lang w:val="es-MX"/>
        </w:rPr>
        <w:t xml:space="preserve">La Ley 80 de 1993 otorga una autorización a las entidades estatales para que puedan remediar o corregir aquellos defectos o irregularidades de procedimiento o de forma que no constituyen causales de nulidad del contrato, a través de la figura del </w:t>
      </w:r>
      <w:r>
        <w:rPr>
          <w:rFonts w:ascii="Verdana" w:hAnsi="Verdana" w:cs="Arial"/>
          <w:bCs/>
          <w:lang w:val="es-MX"/>
        </w:rPr>
        <w:t>“</w:t>
      </w:r>
      <w:r w:rsidRPr="00771C8A">
        <w:rPr>
          <w:rFonts w:ascii="Verdana" w:hAnsi="Verdana" w:cs="Arial"/>
          <w:bCs/>
          <w:lang w:val="es-MX"/>
        </w:rPr>
        <w:t xml:space="preserve">saneamiento de los vicios de procedimiento o de forma” establecida en el artículo 49 de la siguiente manera: </w:t>
      </w:r>
      <w:r w:rsidRPr="00771C8A">
        <w:rPr>
          <w:rFonts w:ascii="Verdana" w:hAnsi="Verdana" w:cs="Arial"/>
          <w:lang w:val="es-MX"/>
        </w:rPr>
        <w:t>“</w:t>
      </w:r>
      <w:r w:rsidRPr="00771C8A">
        <w:rPr>
          <w:rFonts w:ascii="Verdana" w:hAnsi="Verdana" w:cs="Arial"/>
          <w:lang w:val="es-ES" w:eastAsia="es-CO"/>
        </w:rPr>
        <w:t>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7CAE6B53" w14:textId="77777777" w:rsidR="00193BDF" w:rsidRPr="00771C8A" w:rsidRDefault="00193BDF" w:rsidP="00193BDF">
      <w:pPr>
        <w:widowControl w:val="0"/>
        <w:autoSpaceDE w:val="0"/>
        <w:autoSpaceDN w:val="0"/>
        <w:spacing w:after="120" w:line="276" w:lineRule="auto"/>
        <w:ind w:right="108" w:firstLine="709"/>
        <w:jc w:val="both"/>
        <w:rPr>
          <w:rFonts w:ascii="Verdana" w:eastAsia="Times New Roman" w:hAnsi="Verdana" w:cs="Arial"/>
          <w:bCs/>
          <w:color w:val="000000" w:themeColor="text1"/>
          <w:lang w:val="es-ES" w:eastAsia="es-ES_tradnl"/>
        </w:rPr>
      </w:pPr>
      <w:r w:rsidRPr="00771C8A">
        <w:rPr>
          <w:rFonts w:ascii="Verdana" w:eastAsia="Arial" w:hAnsi="Verdana" w:cs="Arial"/>
          <w:color w:val="000000" w:themeColor="text1"/>
          <w:lang w:val="es-MX"/>
        </w:rPr>
        <w:t xml:space="preserve">De la lectura de </w:t>
      </w:r>
      <w:r w:rsidRPr="00771C8A">
        <w:rPr>
          <w:rFonts w:ascii="Verdana" w:eastAsia="Arial" w:hAnsi="Verdana" w:cs="Arial"/>
          <w:color w:val="000000" w:themeColor="text1"/>
          <w:lang w:val="es-ES"/>
        </w:rPr>
        <w:t xml:space="preserve">esta norma se puede apreciar que para su aplicación se requiere el cumplimiento de los siguientes requisitos: </w:t>
      </w:r>
      <w:r w:rsidRPr="00771C8A">
        <w:rPr>
          <w:rFonts w:ascii="Verdana" w:eastAsia="Times New Roman" w:hAnsi="Verdana" w:cs="Arial"/>
          <w:bCs/>
          <w:color w:val="000000" w:themeColor="text1"/>
          <w:lang w:val="es-ES" w:eastAsia="es-ES_tradnl"/>
        </w:rPr>
        <w:t xml:space="preserve">i) el vicio a sanear tiene de que ser de procedimiento o de forma, lo que significa que no es posible sanear a través de esta figura los vicios de fondo o sustanciales del contrato, lo que lleva a que,  </w:t>
      </w:r>
      <w:proofErr w:type="spellStart"/>
      <w:r w:rsidRPr="00771C8A">
        <w:rPr>
          <w:rFonts w:ascii="Verdana" w:eastAsia="Times New Roman" w:hAnsi="Verdana" w:cs="Arial"/>
          <w:bCs/>
          <w:color w:val="000000" w:themeColor="text1"/>
          <w:lang w:val="es-ES" w:eastAsia="es-ES_tradnl"/>
        </w:rPr>
        <w:t>ii</w:t>
      </w:r>
      <w:proofErr w:type="spellEnd"/>
      <w:r w:rsidRPr="00771C8A">
        <w:rPr>
          <w:rFonts w:ascii="Verdana" w:eastAsia="Times New Roman" w:hAnsi="Verdana" w:cs="Arial"/>
          <w:bCs/>
          <w:color w:val="000000" w:themeColor="text1"/>
          <w:lang w:val="es-ES" w:eastAsia="es-ES_tradnl"/>
        </w:rPr>
        <w:t xml:space="preserve">) el vicio a sanear no puede corresponder a  ninguna de las causales de nulidad absoluta o relativa de los contratos estatales, </w:t>
      </w:r>
      <w:proofErr w:type="spellStart"/>
      <w:r w:rsidRPr="00771C8A">
        <w:rPr>
          <w:rFonts w:ascii="Verdana" w:eastAsia="Times New Roman" w:hAnsi="Verdana" w:cs="Arial"/>
          <w:bCs/>
          <w:color w:val="000000" w:themeColor="text1"/>
          <w:lang w:val="es-ES" w:eastAsia="es-ES_tradnl"/>
        </w:rPr>
        <w:t>iii</w:t>
      </w:r>
      <w:proofErr w:type="spellEnd"/>
      <w:r w:rsidRPr="00771C8A">
        <w:rPr>
          <w:rFonts w:ascii="Verdana" w:eastAsia="Times New Roman" w:hAnsi="Verdana" w:cs="Arial"/>
          <w:bCs/>
          <w:color w:val="000000" w:themeColor="text1"/>
          <w:lang w:val="es-ES" w:eastAsia="es-ES_tradnl"/>
        </w:rPr>
        <w:t xml:space="preserve">) debe hacerse mediante acto administrativo motivado, </w:t>
      </w:r>
      <w:proofErr w:type="spellStart"/>
      <w:r w:rsidRPr="00771C8A">
        <w:rPr>
          <w:rFonts w:ascii="Verdana" w:eastAsia="Times New Roman" w:hAnsi="Verdana" w:cs="Arial"/>
          <w:bCs/>
          <w:color w:val="000000" w:themeColor="text1"/>
          <w:lang w:val="es-ES" w:eastAsia="es-ES_tradnl"/>
        </w:rPr>
        <w:t>iv</w:t>
      </w:r>
      <w:proofErr w:type="spellEnd"/>
      <w:r w:rsidRPr="00771C8A">
        <w:rPr>
          <w:rFonts w:ascii="Verdana" w:eastAsia="Times New Roman" w:hAnsi="Verdana" w:cs="Arial"/>
          <w:bCs/>
          <w:color w:val="000000" w:themeColor="text1"/>
          <w:lang w:val="es-ES" w:eastAsia="es-ES_tradnl"/>
        </w:rPr>
        <w:t xml:space="preserve">) el funcionario competente es el jefe o representante legal de la entidad y v) el saneamiento debe ocurrir cuando las necesidades del servicio lo exijan o a las reglas de la buena administración lo aconsejen. </w:t>
      </w:r>
    </w:p>
    <w:p w14:paraId="4A584F35" w14:textId="77777777" w:rsidR="00193BDF" w:rsidRDefault="00193BDF" w:rsidP="00193BDF">
      <w:pPr>
        <w:tabs>
          <w:tab w:val="left" w:pos="426"/>
        </w:tabs>
        <w:spacing w:after="0" w:line="276" w:lineRule="auto"/>
        <w:ind w:firstLine="709"/>
        <w:jc w:val="both"/>
        <w:rPr>
          <w:rFonts w:ascii="Verdana" w:eastAsia="Calibri" w:hAnsi="Verdana" w:cs="Arial"/>
          <w:color w:val="000000" w:themeColor="text1"/>
          <w:lang w:val="es-ES_tradnl"/>
        </w:rPr>
      </w:pPr>
      <w:r w:rsidRPr="00771C8A">
        <w:rPr>
          <w:rFonts w:ascii="Verdana" w:hAnsi="Verdana" w:cs="Arial"/>
          <w:color w:val="000000" w:themeColor="text1"/>
          <w:lang w:val="es-MX"/>
        </w:rPr>
        <w:t>De lo anterior, resulta relevante precisa</w:t>
      </w:r>
      <w:r>
        <w:rPr>
          <w:rFonts w:ascii="Verdana" w:hAnsi="Verdana" w:cs="Arial"/>
          <w:color w:val="000000" w:themeColor="text1"/>
          <w:lang w:val="es-MX"/>
        </w:rPr>
        <w:t>r</w:t>
      </w:r>
      <w:r w:rsidRPr="00771C8A">
        <w:rPr>
          <w:rFonts w:ascii="Verdana" w:hAnsi="Verdana" w:cs="Arial"/>
          <w:color w:val="000000" w:themeColor="text1"/>
          <w:lang w:val="es-MX"/>
        </w:rPr>
        <w:t xml:space="preserve"> que </w:t>
      </w:r>
      <w:r w:rsidRPr="00771C8A">
        <w:rPr>
          <w:rFonts w:ascii="Verdana" w:eastAsia="Calibri" w:hAnsi="Verdana" w:cs="Arial"/>
          <w:color w:val="000000" w:themeColor="text1"/>
          <w:lang w:val="es-ES_tradnl"/>
        </w:rPr>
        <w:t xml:space="preserve">los vicios de procedimiento o de forma son aquellos que se presentan cuando la Administración no observa los requisitos previos y concomitantes a la expedición del acto administrativo, como la omisión de las etapas de la licitación o el desconocimiento del carácter </w:t>
      </w:r>
      <w:r w:rsidRPr="00771C8A">
        <w:rPr>
          <w:rFonts w:ascii="Verdana" w:eastAsia="Calibri" w:hAnsi="Verdana" w:cs="Arial"/>
          <w:color w:val="000000" w:themeColor="text1"/>
          <w:lang w:val="es-ES_tradnl"/>
        </w:rPr>
        <w:lastRenderedPageBreak/>
        <w:t>preclusivo y perentorio de las mismas, situación que debe ser tratada con especial cuidado para tener certeza que no se  origine un vicio de nulidad de la adjudicación, pues las etapas previas a la expedición del acto administrativo constituyen formalidades que deben cumplirse, como elemento de validez de este. Como ha dicho la doctrina</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la inobservancia de las </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formas</w:t>
      </w:r>
      <w:r>
        <w:rPr>
          <w:rFonts w:ascii="Verdana" w:eastAsia="Calibri" w:hAnsi="Verdana" w:cs="Arial"/>
          <w:color w:val="000000" w:themeColor="text1"/>
          <w:lang w:val="es-ES_tradnl"/>
        </w:rPr>
        <w:t>’</w:t>
      </w:r>
      <w:r w:rsidRPr="00771C8A">
        <w:rPr>
          <w:rFonts w:ascii="Verdana" w:eastAsia="Calibri" w:hAnsi="Verdana" w:cs="Arial"/>
          <w:color w:val="000000" w:themeColor="text1"/>
          <w:lang w:val="es-ES_tradnl"/>
        </w:rPr>
        <w:t xml:space="preserve"> y requisitos del procedimiento administrativo se traduce en un defecto de preparación de la voluntad administrativa (así la defensa en juicio en el procedimiento administrativo; la licitación pública para las contrataciones; el concurso para la provisión de cargos) […]</w:t>
      </w:r>
      <w:r>
        <w:rPr>
          <w:rFonts w:ascii="Verdana" w:eastAsia="Calibri" w:hAnsi="Verdana" w:cs="Arial"/>
          <w:color w:val="000000" w:themeColor="text1"/>
          <w:lang w:val="es-ES_tradnl"/>
        </w:rPr>
        <w:t>”</w:t>
      </w:r>
      <w:r w:rsidRPr="00771C8A">
        <w:rPr>
          <w:rFonts w:ascii="Verdana" w:eastAsia="Calibri" w:hAnsi="Verdana" w:cs="Arial"/>
          <w:color w:val="000000" w:themeColor="text1"/>
          <w:vertAlign w:val="superscript"/>
          <w:lang w:val="es-ES_tradnl"/>
        </w:rPr>
        <w:footnoteReference w:id="7"/>
      </w:r>
      <w:r w:rsidRPr="00771C8A">
        <w:rPr>
          <w:rFonts w:ascii="Verdana" w:eastAsia="Calibri" w:hAnsi="Verdana" w:cs="Arial"/>
          <w:color w:val="000000" w:themeColor="text1"/>
          <w:lang w:val="es-ES_tradnl"/>
        </w:rPr>
        <w:t xml:space="preserve">. </w:t>
      </w:r>
      <w:r>
        <w:rPr>
          <w:rFonts w:ascii="Verdana" w:eastAsia="Calibri" w:hAnsi="Verdana" w:cs="Arial"/>
          <w:color w:val="000000" w:themeColor="text1"/>
          <w:lang w:val="es-ES_tradnl"/>
        </w:rPr>
        <w:t>Por tanto, dichos actos de saneamiento son propios de la etapa precontractual, por lo que no es posible expedirlos después de la adjudicación, de la suscripción del negocio jurídico ni mucho menos durante o después de la liquidación del contrato.</w:t>
      </w:r>
    </w:p>
    <w:p w14:paraId="38E37EFE" w14:textId="77777777" w:rsidR="00193BDF" w:rsidRDefault="00193BDF" w:rsidP="00193BDF">
      <w:pPr>
        <w:tabs>
          <w:tab w:val="left" w:pos="426"/>
        </w:tabs>
        <w:spacing w:after="0" w:line="276" w:lineRule="auto"/>
        <w:ind w:firstLine="709"/>
        <w:jc w:val="both"/>
        <w:rPr>
          <w:rFonts w:ascii="Verdana" w:eastAsia="Calibri" w:hAnsi="Verdana" w:cs="Arial"/>
          <w:color w:val="000000" w:themeColor="text1"/>
          <w:lang w:val="es-ES_tradnl"/>
        </w:rPr>
      </w:pPr>
    </w:p>
    <w:p w14:paraId="0A8BAED8" w14:textId="77777777" w:rsidR="00193BDF" w:rsidRPr="008F096A" w:rsidRDefault="00193BDF" w:rsidP="00193BDF">
      <w:pPr>
        <w:spacing w:after="120" w:line="276" w:lineRule="auto"/>
        <w:jc w:val="both"/>
        <w:rPr>
          <w:rFonts w:ascii="Verdana" w:eastAsia="Calibri" w:hAnsi="Verdana" w:cs="Arial"/>
          <w:lang w:val="es-ES_tradnl"/>
        </w:rPr>
      </w:pPr>
      <w:r w:rsidRPr="008F096A">
        <w:rPr>
          <w:rFonts w:ascii="Verdana" w:eastAsia="Calibri" w:hAnsi="Verdana" w:cs="Arial"/>
          <w:color w:val="000000" w:themeColor="text1"/>
          <w:lang w:val="es-ES_tradnl"/>
        </w:rPr>
        <w:t xml:space="preserve">xi. </w:t>
      </w:r>
      <w:r>
        <w:rPr>
          <w:rFonts w:ascii="Verdana" w:eastAsia="Calibri" w:hAnsi="Verdana" w:cs="Arial"/>
          <w:lang w:val="es-ES_tradnl"/>
        </w:rPr>
        <w:t>E</w:t>
      </w:r>
      <w:r w:rsidRPr="008F096A">
        <w:rPr>
          <w:rFonts w:ascii="Verdana" w:eastAsia="Calibri" w:hAnsi="Verdana" w:cs="Arial"/>
          <w:lang w:val="es-ES_tradnl"/>
        </w:rPr>
        <w:t xml:space="preserve">l artículo 3 de la Ley 1150 de 2007 crea </w:t>
      </w:r>
      <w:bookmarkStart w:id="10" w:name="_Hlk56073112"/>
      <w:r w:rsidRPr="008F096A">
        <w:rPr>
          <w:rFonts w:ascii="Verdana" w:eastAsia="Calibri" w:hAnsi="Verdana" w:cs="Arial"/>
          <w:lang w:val="es-ES_tradnl"/>
        </w:rPr>
        <w:t>el Sistema Electrónico para la Contratación Pública</w:t>
      </w:r>
      <w:bookmarkEnd w:id="10"/>
      <w:r w:rsidRPr="008F096A">
        <w:rPr>
          <w:rFonts w:ascii="Verdana" w:eastAsia="Calibri" w:hAnsi="Verdana" w:cs="Arial"/>
          <w:lang w:val="es-ES_tradnl"/>
        </w:rPr>
        <w:t xml:space="preserve">, el cual –de conformidad con el artículo 3.8 del Decreto 4170 de 2011– es administrado por esta Agencia. Esta plataforma no solo es un canal de publicidad de la gestión contractual de las entidades públicas, pues también es un medio transaccional para la suscripción de contratos electrónicos. A estas dos (2) facetas del SECOP se refiere la ley citada cuando dispone, respectivamente, que “De conformidad con lo dispuesto en la Ley 527 de 1999, […] la expedición de los […] contratos y en general los actos derivados de la actividad precontractual y contractual, podrán tener lugar por medios electrónicos” y que “Contará con la información oficial de la contratación realizada con dineros públicos, para lo cual establecerá los patrones a que haya lugar y se encargará de su difusión a través de canales electrónicos”. </w:t>
      </w:r>
    </w:p>
    <w:p w14:paraId="2BBF3C68" w14:textId="77777777" w:rsidR="00193BDF" w:rsidRPr="008F096A" w:rsidRDefault="00193BDF" w:rsidP="00193BDF">
      <w:pPr>
        <w:spacing w:before="120" w:after="120" w:line="276" w:lineRule="auto"/>
        <w:jc w:val="both"/>
        <w:rPr>
          <w:rFonts w:ascii="Verdana" w:eastAsia="Calibri" w:hAnsi="Verdana" w:cs="Arial"/>
          <w:bCs/>
          <w:color w:val="000000" w:themeColor="text1"/>
          <w:lang w:val="es-ES_tradnl"/>
        </w:rPr>
      </w:pPr>
      <w:r w:rsidRPr="008F096A">
        <w:rPr>
          <w:rFonts w:ascii="Verdana" w:eastAsia="Calibri" w:hAnsi="Verdana" w:cs="Arial"/>
          <w:lang w:val="es-ES_tradnl"/>
        </w:rPr>
        <w:tab/>
        <w:t xml:space="preserve">El numeral 1.2 </w:t>
      </w:r>
      <w:r w:rsidRPr="008F096A">
        <w:rPr>
          <w:rFonts w:ascii="Verdana" w:eastAsia="Calibri" w:hAnsi="Verdana" w:cs="Arial"/>
        </w:rPr>
        <w:t>de la Circular Externa Única de la Agencia Nacional de Contratación Pública – Colombia Compra Eficiente dispone que el Sistema Electrónico para la Contratación Pública</w:t>
      </w:r>
      <w:r w:rsidRPr="008F096A">
        <w:rPr>
          <w:rFonts w:ascii="Verdana" w:eastAsia="Calibri" w:hAnsi="Verdana" w:cs="Arial"/>
          <w:lang w:val="es-ES_tradnl"/>
        </w:rPr>
        <w:t xml:space="preserve"> está compuesto por el SECOP I, el SECOP II y la Tienda Virtual del Estado Colombiano. Conforme a lo explicado en el párrafo precedente</w:t>
      </w:r>
      <w:r w:rsidRPr="008F096A">
        <w:rPr>
          <w:rFonts w:ascii="Verdana" w:eastAsia="Calibri" w:hAnsi="Verdana" w:cs="Arial"/>
          <w:bCs/>
          <w:color w:val="000000" w:themeColor="text1"/>
          <w:lang w:val="es-ES_tradnl"/>
        </w:rPr>
        <w:t xml:space="preserve">, el SECOP I solo funciona como medio de publicidad, es decir, no tiene carácter transaccional. Esto significa que el procedimiento contractual se adelanta fuera de la plataforma a través de un expediente físico. No obstante, las actuaciones y los documentos se convierten en electrónicos para cargarse posteriormente a la plataforma por quien tenga la función dentro de la entidad. </w:t>
      </w:r>
    </w:p>
    <w:p w14:paraId="627D3480" w14:textId="77777777" w:rsidR="00193BDF" w:rsidRDefault="00193BDF" w:rsidP="5F0DCBDA">
      <w:pPr>
        <w:tabs>
          <w:tab w:val="left" w:pos="426"/>
        </w:tabs>
        <w:spacing w:after="0" w:line="276" w:lineRule="auto"/>
        <w:jc w:val="both"/>
        <w:rPr>
          <w:rFonts w:ascii="Verdana" w:eastAsia="Calibri" w:hAnsi="Verdana" w:cs="Arial"/>
          <w:color w:val="000000" w:themeColor="text1"/>
          <w:lang w:val="es-ES"/>
        </w:rPr>
      </w:pPr>
      <w:r>
        <w:rPr>
          <w:rFonts w:ascii="Verdana" w:eastAsia="Calibri" w:hAnsi="Verdana" w:cs="Arial"/>
          <w:bCs/>
          <w:color w:val="000000" w:themeColor="text1"/>
          <w:lang w:val="es-ES_tradnl"/>
        </w:rPr>
        <w:lastRenderedPageBreak/>
        <w:tab/>
      </w:r>
      <w:r>
        <w:rPr>
          <w:rFonts w:ascii="Verdana" w:eastAsia="Calibri" w:hAnsi="Verdana" w:cs="Arial"/>
          <w:bCs/>
          <w:color w:val="000000" w:themeColor="text1"/>
          <w:lang w:val="es-ES_tradnl"/>
        </w:rPr>
        <w:tab/>
      </w:r>
      <w:r w:rsidRPr="5F0DCBDA">
        <w:rPr>
          <w:rFonts w:ascii="Verdana" w:eastAsia="Calibri" w:hAnsi="Verdana" w:cs="Arial"/>
          <w:color w:val="000000" w:themeColor="text1"/>
          <w:lang w:val="es-ES"/>
        </w:rPr>
        <w:t xml:space="preserve">En contraste, </w:t>
      </w:r>
      <w:bookmarkStart w:id="11" w:name="_Hlk174376097"/>
      <w:r w:rsidRPr="5F0DCBDA">
        <w:rPr>
          <w:rFonts w:ascii="Verdana" w:eastAsia="Calibri" w:hAnsi="Verdana" w:cs="Arial"/>
          <w:color w:val="000000" w:themeColor="text1"/>
          <w:lang w:val="es-ES"/>
        </w:rPr>
        <w:t xml:space="preserve">el SECOP II permite generar contratos en línea y realizar la firma electrónica de los mismos. Tiene funciones que permiten al proveedor presentar garantías y facturas; y a la entidad estatal, realizar la revisión y aprobación de ambos tipos de documentos en línea. Además, el módulo permite hacer modificaciones contractuales, tanto unilaterales como bilaterales –estas últimas son enviadas para aprobación del proveedor antes de la publicación por parte de la entidad estatal–. Para registrar el seguimiento al avance de la ejecución, el módulo de gestión contractual habilita el registro de planes de ejecución por porcentaje de avance y el cargue de documentos tanto a proveedor como a la entidad estatal, la cual puede crear usuarios para que los supervisores de los contratos carguen la información pertinente. Finalmente, la liquidación y el cierre de los expedientes contractuales también puede realizarse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 Las guías de uso de la plataforma se encuentran en el siguiente enlace: </w:t>
      </w:r>
      <w:hyperlink r:id="rId16" w:history="1">
        <w:r w:rsidRPr="5F0DCBDA">
          <w:rPr>
            <w:rStyle w:val="Hipervnculo"/>
            <w:rFonts w:ascii="Verdana" w:eastAsia="Calibri" w:hAnsi="Verdana" w:cs="Arial"/>
            <w:lang w:val="es-ES"/>
          </w:rPr>
          <w:t>https://www.colombiacompra.gov.co/secop-ii</w:t>
        </w:r>
      </w:hyperlink>
      <w:r w:rsidRPr="5F0DCBDA">
        <w:rPr>
          <w:rFonts w:ascii="Verdana" w:eastAsia="Calibri" w:hAnsi="Verdana" w:cs="Arial"/>
          <w:color w:val="000000" w:themeColor="text1"/>
          <w:lang w:val="es-ES"/>
        </w:rPr>
        <w:t>.</w:t>
      </w:r>
      <w:bookmarkEnd w:id="4"/>
      <w:bookmarkEnd w:id="11"/>
    </w:p>
    <w:p w14:paraId="785400B7" w14:textId="77777777" w:rsidR="00193BDF" w:rsidRDefault="00193BDF" w:rsidP="00193BDF">
      <w:pPr>
        <w:tabs>
          <w:tab w:val="left" w:pos="426"/>
        </w:tabs>
        <w:spacing w:after="0" w:line="276" w:lineRule="auto"/>
        <w:jc w:val="both"/>
        <w:rPr>
          <w:rFonts w:ascii="Verdana" w:eastAsia="Calibri" w:hAnsi="Verdana" w:cs="Arial"/>
          <w:bCs/>
          <w:color w:val="000000" w:themeColor="text1"/>
          <w:lang w:val="es-ES_tradnl"/>
        </w:rPr>
      </w:pPr>
    </w:p>
    <w:p w14:paraId="49AC741A" w14:textId="77777777" w:rsidR="00193BDF" w:rsidRDefault="00193BDF" w:rsidP="00193BDF">
      <w:pPr>
        <w:widowControl w:val="0"/>
        <w:autoSpaceDE w:val="0"/>
        <w:autoSpaceDN w:val="0"/>
        <w:spacing w:after="120" w:line="276" w:lineRule="auto"/>
        <w:jc w:val="both"/>
        <w:rPr>
          <w:rFonts w:ascii="Verdana" w:hAnsi="Verdana" w:cs="Arial"/>
        </w:rPr>
      </w:pPr>
      <w:proofErr w:type="spellStart"/>
      <w:r>
        <w:rPr>
          <w:rFonts w:ascii="Verdana" w:eastAsia="Calibri" w:hAnsi="Verdana" w:cs="Arial"/>
          <w:bCs/>
          <w:color w:val="000000" w:themeColor="text1"/>
          <w:lang w:val="es-ES_tradnl"/>
        </w:rPr>
        <w:t>xii</w:t>
      </w:r>
      <w:proofErr w:type="spellEnd"/>
      <w:r>
        <w:rPr>
          <w:rFonts w:ascii="Verdana" w:eastAsia="Calibri" w:hAnsi="Verdana" w:cs="Arial"/>
          <w:bCs/>
          <w:color w:val="000000" w:themeColor="text1"/>
          <w:lang w:val="es-ES_tradnl"/>
        </w:rPr>
        <w:t xml:space="preserve">. </w:t>
      </w:r>
      <w:r>
        <w:rPr>
          <w:rFonts w:ascii="Verdana" w:hAnsi="Verdana" w:cs="Arial"/>
        </w:rPr>
        <w:t>Al margen de la explicación precedente</w:t>
      </w:r>
      <w:r w:rsidRPr="006759B0">
        <w:rPr>
          <w:rFonts w:ascii="Verdana" w:hAnsi="Verdana" w:cs="Arial"/>
        </w:rPr>
        <w:t xml:space="preserve"> debe advertirse que el análisis requerido </w:t>
      </w:r>
      <w:r w:rsidRPr="00016280">
        <w:rPr>
          <w:rFonts w:ascii="Verdana" w:hAnsi="Verdana" w:cs="Arial"/>
        </w:rPr>
        <w:t xml:space="preserve">para </w:t>
      </w:r>
      <w:r>
        <w:rPr>
          <w:rFonts w:ascii="Verdana" w:hAnsi="Verdana" w:cs="Arial"/>
        </w:rPr>
        <w:t>alguna gestión puntual</w:t>
      </w:r>
      <w:r w:rsidRPr="006759B0">
        <w:rPr>
          <w:rFonts w:ascii="Verdana" w:hAnsi="Verdana" w:cs="Arial"/>
        </w:rPr>
        <w:t xml:space="preserve"> debe ser realizado por </w:t>
      </w:r>
      <w:r>
        <w:rPr>
          <w:rFonts w:ascii="Verdana" w:hAnsi="Verdana" w:cs="Arial"/>
        </w:rPr>
        <w:t>quienes tengan interés en ello</w:t>
      </w:r>
      <w:r w:rsidRPr="006759B0">
        <w:rPr>
          <w:rFonts w:ascii="Verdana" w:hAnsi="Verdana" w:cs="Arial"/>
        </w:rPr>
        <w:t xml:space="preserve">, de acuerdo con lo explicado </w:t>
      </w:r>
      <w:r>
        <w:rPr>
          <w:rFonts w:ascii="Verdana" w:hAnsi="Verdana" w:cs="Arial"/>
        </w:rPr>
        <w:t>la aclaración preliminar del presente oficio</w:t>
      </w:r>
      <w:r w:rsidRPr="006759B0">
        <w:rPr>
          <w:rFonts w:ascii="Verdana" w:hAnsi="Verdana" w:cs="Arial"/>
        </w:rPr>
        <w:t xml:space="preserve">. De esta manera, las afirmaciones aquí realizadas </w:t>
      </w:r>
      <w:r>
        <w:rPr>
          <w:rFonts w:ascii="Verdana" w:hAnsi="Verdana" w:cs="Arial"/>
        </w:rPr>
        <w:t xml:space="preserve">no </w:t>
      </w:r>
      <w:r w:rsidRPr="006759B0">
        <w:rPr>
          <w:rFonts w:ascii="Verdana" w:hAnsi="Verdana" w:cs="Arial"/>
        </w:rPr>
        <w:t>pueden ser interpretadas como juicios de valor sobre circunstancias</w:t>
      </w:r>
      <w:r>
        <w:rPr>
          <w:rFonts w:ascii="Verdana" w:hAnsi="Verdana" w:cs="Arial"/>
        </w:rPr>
        <w:t xml:space="preserve"> concretas</w:t>
      </w:r>
      <w:r w:rsidRPr="006759B0">
        <w:rPr>
          <w:rFonts w:ascii="Verdana" w:hAnsi="Verdana" w:cs="Arial"/>
        </w:rPr>
        <w:t xml:space="preserve"> relacionadas con los hechos que motivan la </w:t>
      </w:r>
      <w:r>
        <w:rPr>
          <w:rFonts w:ascii="Verdana" w:hAnsi="Verdana" w:cs="Arial"/>
        </w:rPr>
        <w:t>consulta</w:t>
      </w:r>
      <w:r w:rsidRPr="006759B0">
        <w:rPr>
          <w:rFonts w:ascii="Verdana" w:hAnsi="Verdana" w:cs="Arial"/>
        </w:rPr>
        <w:t>.</w:t>
      </w:r>
      <w:r>
        <w:rPr>
          <w:rFonts w:ascii="Verdana" w:hAnsi="Verdana" w:cs="Arial"/>
        </w:rPr>
        <w:t xml:space="preserve"> </w:t>
      </w:r>
      <w:r w:rsidRPr="00DE3BB8">
        <w:rPr>
          <w:rFonts w:ascii="Verdana" w:hAnsi="Verdana" w:cs="Arial"/>
        </w:rPr>
        <w:t>Por lo anterior, previo concepto de sus asesores, la solución de situaciones particulares corresponde a l</w:t>
      </w:r>
      <w:r>
        <w:rPr>
          <w:rFonts w:ascii="Verdana" w:hAnsi="Verdana" w:cs="Arial"/>
        </w:rPr>
        <w:t>os interesados</w:t>
      </w:r>
      <w:r w:rsidRPr="00DE3BB8">
        <w:rPr>
          <w:rFonts w:ascii="Verdana" w:hAnsi="Verdana" w:cs="Arial"/>
        </w:rPr>
        <w:t xml:space="preserve"> adoptar la decisión correspondiente y, en caso de conflicto, a las autoridades judiciales, fiscales y disciplinarias. </w:t>
      </w:r>
      <w:r>
        <w:rPr>
          <w:rFonts w:ascii="Verdana" w:hAnsi="Verdana" w:cs="Arial"/>
        </w:rPr>
        <w:t xml:space="preserve"> </w:t>
      </w:r>
    </w:p>
    <w:p w14:paraId="77EEDA97" w14:textId="77777777" w:rsidR="00193BDF" w:rsidRPr="008A4AEC" w:rsidRDefault="00193BDF" w:rsidP="00193BDF">
      <w:pPr>
        <w:widowControl w:val="0"/>
        <w:autoSpaceDE w:val="0"/>
        <w:autoSpaceDN w:val="0"/>
        <w:spacing w:after="0" w:line="276" w:lineRule="auto"/>
        <w:ind w:firstLine="708"/>
        <w:jc w:val="both"/>
        <w:rPr>
          <w:rFonts w:ascii="Verdana" w:hAnsi="Verdana" w:cs="Arial"/>
        </w:rPr>
      </w:pPr>
      <w:r>
        <w:rPr>
          <w:rFonts w:ascii="Verdana" w:hAnsi="Verdana" w:cs="Arial"/>
        </w:rPr>
        <w:t>Igualmente</w:t>
      </w:r>
      <w:r w:rsidRPr="001E3FCB">
        <w:rPr>
          <w:rFonts w:ascii="Verdana" w:hAnsi="Verdana" w:cs="Arial"/>
        </w:rPr>
        <w:t xml:space="preserve">, </w:t>
      </w:r>
      <w:r>
        <w:rPr>
          <w:rFonts w:ascii="Verdana" w:hAnsi="Verdana" w:cs="Arial"/>
        </w:rPr>
        <w:t>el interesado</w:t>
      </w:r>
      <w:r w:rsidRPr="001E3FCB">
        <w:rPr>
          <w:rFonts w:ascii="Verdana" w:hAnsi="Verdana" w:cs="Arial"/>
        </w:rPr>
        <w:t xml:space="preserve"> definirá en cada caso concreto lo</w:t>
      </w:r>
      <w:r>
        <w:rPr>
          <w:rFonts w:ascii="Verdana" w:hAnsi="Verdana" w:cs="Arial"/>
        </w:rPr>
        <w:t xml:space="preserve"> relacionado con el punto 12 de la presenten consulta</w:t>
      </w:r>
      <w:r w:rsidRPr="001E3FCB">
        <w:rPr>
          <w:rFonts w:ascii="Verdana" w:hAnsi="Verdana" w:cs="Arial"/>
        </w:rPr>
        <w:t xml:space="preserve">. Al tratarse de un análisis que debe realizarse en el procedimiento contractual específico, la Agencia no puede definir un criterio universal y absoluto por vía consultiva, </w:t>
      </w:r>
      <w:r>
        <w:rPr>
          <w:rFonts w:ascii="Verdana" w:hAnsi="Verdana" w:cs="Arial"/>
        </w:rPr>
        <w:t xml:space="preserve">pues no le corresponde pronunciarse sobre la presunta omisión de los códigos </w:t>
      </w:r>
      <w:r w:rsidRPr="007478FA">
        <w:rPr>
          <w:rFonts w:ascii="Verdana" w:hAnsi="Verdana" w:cs="Arial"/>
        </w:rPr>
        <w:t>UNSPSC</w:t>
      </w:r>
      <w:r>
        <w:rPr>
          <w:rFonts w:ascii="Verdana" w:hAnsi="Verdana" w:cs="Arial"/>
        </w:rPr>
        <w:t xml:space="preserve"> ni sobre la forma de subsanar dicha irregularidad en los procesos de selección</w:t>
      </w:r>
      <w:r w:rsidRPr="001E3FCB">
        <w:rPr>
          <w:rFonts w:ascii="Verdana" w:hAnsi="Verdana" w:cs="Arial"/>
        </w:rPr>
        <w:t xml:space="preserve">. De esta manera, cada </w:t>
      </w:r>
      <w:r>
        <w:rPr>
          <w:rFonts w:ascii="Verdana" w:hAnsi="Verdana" w:cs="Arial"/>
        </w:rPr>
        <w:t>partícipe del sistema de compras públicas</w:t>
      </w:r>
      <w:r w:rsidRPr="001E3FCB">
        <w:rPr>
          <w:rFonts w:ascii="Verdana" w:hAnsi="Verdana" w:cs="Arial"/>
        </w:rPr>
        <w:t xml:space="preserve"> definirá la forma de adelantar su gestión contractual, sin que sea atribución de Colombia Compra Eficiente validar sus actuaciones.</w:t>
      </w:r>
    </w:p>
    <w:p w14:paraId="2144C832" w14:textId="77777777" w:rsidR="00193BDF" w:rsidRPr="005E2573" w:rsidRDefault="00193BDF" w:rsidP="00193BDF">
      <w:pPr>
        <w:tabs>
          <w:tab w:val="left" w:pos="426"/>
        </w:tabs>
        <w:spacing w:after="0" w:line="276" w:lineRule="auto"/>
        <w:jc w:val="both"/>
        <w:rPr>
          <w:rFonts w:ascii="Verdana" w:eastAsia="Calibri" w:hAnsi="Verdana" w:cs="Arial"/>
          <w:lang w:val="es-ES_tradnl"/>
        </w:rPr>
      </w:pPr>
    </w:p>
    <w:p w14:paraId="66C0EB05" w14:textId="77777777" w:rsidR="00193BDF" w:rsidRPr="00593A5F" w:rsidRDefault="00193BDF" w:rsidP="00193BD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lastRenderedPageBreak/>
        <w:t>Referencias normativas:</w:t>
      </w:r>
    </w:p>
    <w:p w14:paraId="12051C40" w14:textId="77777777" w:rsidR="00193BDF" w:rsidRPr="00593A5F" w:rsidRDefault="00193BDF" w:rsidP="00193BD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93BDF" w:rsidRPr="002407CE" w14:paraId="6994E0E9" w14:textId="77777777" w:rsidTr="00F70182">
        <w:trPr>
          <w:trHeight w:val="870"/>
          <w:jc w:val="center"/>
        </w:trPr>
        <w:tc>
          <w:tcPr>
            <w:tcW w:w="8647" w:type="dxa"/>
          </w:tcPr>
          <w:p w14:paraId="69197945"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 49.</w:t>
            </w:r>
          </w:p>
          <w:p w14:paraId="114E4AD9"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2, 3, 5 y 6.</w:t>
            </w:r>
          </w:p>
          <w:p w14:paraId="039A2733"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2022 de 2020, artículo 1.</w:t>
            </w:r>
          </w:p>
          <w:p w14:paraId="4BDE8420" w14:textId="77777777" w:rsidR="00193BDF" w:rsidRPr="00522927"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Ley 4170 de 2011, artículo 3.8.</w:t>
            </w:r>
          </w:p>
          <w:p w14:paraId="327FAD19"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1082 de 2015, artículos</w:t>
            </w:r>
            <w:r>
              <w:rPr>
                <w:rFonts w:ascii="Verdana" w:eastAsia="Calibri" w:hAnsi="Verdana" w:cs="Arial"/>
                <w:lang w:val="es-ES_tradnl"/>
              </w:rPr>
              <w:t xml:space="preserve"> </w:t>
            </w:r>
            <w:r w:rsidRPr="00E365C4">
              <w:rPr>
                <w:rFonts w:ascii="Verdana" w:eastAsia="Calibri" w:hAnsi="Verdana" w:cs="Arial"/>
                <w:lang w:val="es-ES_tradnl"/>
              </w:rPr>
              <w:t>2.2.1.1.1.6.1</w:t>
            </w:r>
            <w:r>
              <w:rPr>
                <w:rFonts w:ascii="Verdana" w:eastAsia="Calibri" w:hAnsi="Verdana" w:cs="Arial"/>
                <w:lang w:val="es-ES_tradnl"/>
              </w:rPr>
              <w:t xml:space="preserve">, </w:t>
            </w:r>
            <w:r w:rsidRPr="003F3FBC">
              <w:rPr>
                <w:rFonts w:ascii="Verdana" w:eastAsia="Calibri" w:hAnsi="Verdana" w:cs="Arial"/>
                <w:lang w:val="es-ES_tradnl"/>
              </w:rPr>
              <w:t>2.2.1.1.1.6.2</w:t>
            </w:r>
            <w:r>
              <w:rPr>
                <w:rFonts w:ascii="Verdana" w:eastAsia="Calibri" w:hAnsi="Verdana" w:cs="Arial"/>
                <w:lang w:val="es-ES_tradnl"/>
              </w:rPr>
              <w:t xml:space="preserve">, </w:t>
            </w:r>
            <w:r w:rsidRPr="00E365C4">
              <w:rPr>
                <w:rFonts w:ascii="Verdana" w:eastAsia="Calibri" w:hAnsi="Verdana" w:cs="Arial"/>
                <w:lang w:val="es-ES_tradnl"/>
              </w:rPr>
              <w:t>2.2.1.1.2.1.1</w:t>
            </w:r>
            <w:r>
              <w:rPr>
                <w:rFonts w:ascii="Verdana" w:eastAsia="Calibri" w:hAnsi="Verdana" w:cs="Arial"/>
                <w:lang w:val="es-ES_tradnl"/>
              </w:rPr>
              <w:t xml:space="preserve">, </w:t>
            </w:r>
            <w:r w:rsidRPr="00F16B6C">
              <w:rPr>
                <w:rFonts w:ascii="Verdana" w:eastAsia="Calibri" w:hAnsi="Verdana" w:cs="Arial"/>
                <w:lang w:val="es-ES_tradnl"/>
              </w:rPr>
              <w:t>2.2.1.2.1.2.2</w:t>
            </w:r>
            <w:r>
              <w:rPr>
                <w:rFonts w:ascii="Verdana" w:eastAsia="Calibri" w:hAnsi="Verdana" w:cs="Arial"/>
                <w:lang w:val="es-ES_tradnl"/>
              </w:rPr>
              <w:t xml:space="preserve">, </w:t>
            </w:r>
            <w:r w:rsidRPr="0076231A">
              <w:rPr>
                <w:rFonts w:ascii="Verdana" w:eastAsia="Calibri" w:hAnsi="Verdana" w:cs="Arial"/>
              </w:rPr>
              <w:t>2.2.1.2.1.2.20</w:t>
            </w:r>
            <w:r>
              <w:rPr>
                <w:rFonts w:ascii="Verdana" w:eastAsia="Calibri" w:hAnsi="Verdana" w:cs="Arial"/>
              </w:rPr>
              <w:t xml:space="preserve"> y </w:t>
            </w:r>
            <w:r w:rsidRPr="00EF6DA2">
              <w:rPr>
                <w:rFonts w:ascii="Verdana" w:eastAsia="Calibri" w:hAnsi="Verdana" w:cs="Arial"/>
              </w:rPr>
              <w:t>2.2.1.2.1.5.2</w:t>
            </w:r>
            <w:r w:rsidRPr="00E365C4">
              <w:rPr>
                <w:rFonts w:ascii="Verdana" w:hAnsi="Verdana" w:cs="Arial"/>
              </w:rPr>
              <w:t>.</w:t>
            </w:r>
            <w:r>
              <w:rPr>
                <w:rFonts w:ascii="Verdana" w:hAnsi="Verdana" w:cs="Arial"/>
              </w:rPr>
              <w:t xml:space="preserve"> </w:t>
            </w:r>
          </w:p>
          <w:p w14:paraId="67205A04"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74409B">
              <w:rPr>
                <w:rFonts w:ascii="Verdana" w:hAnsi="Verdana" w:cs="Arial"/>
              </w:rPr>
              <w:t>Circular Externa Única de la Agencia Nacional de Contratación Pública – Colombia Compra Eficiente</w:t>
            </w:r>
            <w:r>
              <w:rPr>
                <w:rFonts w:ascii="Verdana" w:hAnsi="Verdana" w:cs="Arial"/>
              </w:rPr>
              <w:t xml:space="preserve">. Disponible en: </w:t>
            </w:r>
            <w:hyperlink r:id="rId17" w:history="1">
              <w:r w:rsidRPr="00785087">
                <w:rPr>
                  <w:rStyle w:val="Hipervnculo"/>
                  <w:rFonts w:ascii="Verdana" w:hAnsi="Verdana" w:cs="Arial"/>
                </w:rPr>
                <w:t>https://colombiacompra.gov.co/sites/cce_public/files/cce_circulares/circular_externa_unica_version_3_vf49.pdf</w:t>
              </w:r>
            </w:hyperlink>
            <w:r>
              <w:rPr>
                <w:rFonts w:ascii="Verdana" w:hAnsi="Verdana" w:cs="Arial"/>
              </w:rPr>
              <w:t xml:space="preserve">. </w:t>
            </w:r>
          </w:p>
          <w:p w14:paraId="5F2A45A9"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Documentos Tipo expedidos por la </w:t>
            </w:r>
            <w:r w:rsidRPr="00E51982">
              <w:rPr>
                <w:rFonts w:ascii="Verdana" w:hAnsi="Verdana" w:cs="Arial"/>
              </w:rPr>
              <w:t>Agencia Nacional de Contratación Pública – Colombia Compra Eficiente</w:t>
            </w:r>
            <w:r>
              <w:rPr>
                <w:rFonts w:ascii="Verdana" w:hAnsi="Verdana" w:cs="Arial"/>
              </w:rPr>
              <w:t xml:space="preserve">. Disponibles en: </w:t>
            </w:r>
            <w:hyperlink r:id="rId18" w:history="1">
              <w:r w:rsidRPr="00785087">
                <w:rPr>
                  <w:rStyle w:val="Hipervnculo"/>
                  <w:rFonts w:ascii="Verdana" w:hAnsi="Verdana" w:cs="Arial"/>
                </w:rPr>
                <w:t>https://www.colombiacompra.gov.co/documentos-tipo/documentos-tipo</w:t>
              </w:r>
            </w:hyperlink>
            <w:r>
              <w:rPr>
                <w:rFonts w:ascii="Verdana" w:hAnsi="Verdana" w:cs="Arial"/>
              </w:rPr>
              <w:t xml:space="preserve">. </w:t>
            </w:r>
          </w:p>
          <w:p w14:paraId="73BF480C"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473392">
              <w:rPr>
                <w:rFonts w:ascii="Verdana" w:hAnsi="Verdana" w:cs="Arial"/>
              </w:rPr>
              <w:t>Manual para Determinar y Verificar los Requisitos Habilitantes en los Procesos De Contratación</w:t>
            </w:r>
            <w:r>
              <w:rPr>
                <w:rFonts w:ascii="Verdana" w:hAnsi="Verdana" w:cs="Arial"/>
              </w:rPr>
              <w:t xml:space="preserve"> expedido por la </w:t>
            </w:r>
            <w:r w:rsidRPr="00E51982">
              <w:rPr>
                <w:rFonts w:ascii="Verdana" w:hAnsi="Verdana" w:cs="Arial"/>
              </w:rPr>
              <w:t>Agencia Nacional de Contratación Pública – Colombia Compra Eficiente</w:t>
            </w:r>
            <w:r>
              <w:rPr>
                <w:rFonts w:ascii="Verdana" w:hAnsi="Verdana" w:cs="Arial"/>
              </w:rPr>
              <w:t xml:space="preserve">. Disponible en: </w:t>
            </w:r>
            <w:hyperlink r:id="rId19" w:history="1">
              <w:r w:rsidRPr="00785087">
                <w:rPr>
                  <w:rStyle w:val="Hipervnculo"/>
                  <w:rFonts w:ascii="Verdana" w:hAnsi="Verdana" w:cs="Arial"/>
                </w:rPr>
                <w:t>https://colombiacompra.gov.co/sites/cce_public/files/cce_documents/cce-eicp-ma-04._manual_requisitos_habilitantes_v3_29-09-2023.pdf</w:t>
              </w:r>
            </w:hyperlink>
            <w:r>
              <w:rPr>
                <w:rFonts w:ascii="Verdana" w:hAnsi="Verdana" w:cs="Arial"/>
              </w:rPr>
              <w:t xml:space="preserve">. </w:t>
            </w:r>
          </w:p>
          <w:p w14:paraId="0C3BE488"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E365C4">
              <w:rPr>
                <w:rFonts w:ascii="Verdana" w:hAnsi="Verdana" w:cs="Arial"/>
              </w:rPr>
              <w:t>Guía de Elaboración de Estudios del Sector</w:t>
            </w:r>
            <w:r>
              <w:rPr>
                <w:rFonts w:ascii="Verdana" w:hAnsi="Verdana" w:cs="Arial"/>
              </w:rPr>
              <w:t xml:space="preserve"> de la</w:t>
            </w:r>
            <w:r w:rsidRPr="00E365C4">
              <w:rPr>
                <w:rFonts w:ascii="Verdana" w:hAnsi="Verdana" w:cs="Arial"/>
              </w:rPr>
              <w:t xml:space="preserve"> Agencia Nacional de Contratación Pública – Colombia Compra Eficiente</w:t>
            </w:r>
            <w:r>
              <w:rPr>
                <w:rFonts w:ascii="Verdana" w:hAnsi="Verdana" w:cs="Arial"/>
              </w:rPr>
              <w:t xml:space="preserve">. Disponible en: </w:t>
            </w:r>
            <w:hyperlink r:id="rId20" w:history="1">
              <w:r w:rsidRPr="00785087">
                <w:rPr>
                  <w:rStyle w:val="Hipervnculo"/>
                  <w:rFonts w:ascii="Verdana" w:hAnsi="Verdana" w:cs="Arial"/>
                </w:rPr>
                <w:t>https://www.colombiacompra.gov.co/sites/cce_public/files/cce_documentos/cce-eicp-gi-18._gees_v.2_2.pdf</w:t>
              </w:r>
            </w:hyperlink>
            <w:r>
              <w:rPr>
                <w:rFonts w:ascii="Verdana" w:hAnsi="Verdana" w:cs="Arial"/>
              </w:rPr>
              <w:t>.</w:t>
            </w:r>
          </w:p>
          <w:p w14:paraId="70BAE5BB" w14:textId="77777777" w:rsidR="00193BDF"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E365C4">
              <w:rPr>
                <w:rFonts w:ascii="Verdana" w:hAnsi="Verdana" w:cs="Arial"/>
              </w:rPr>
              <w:t>Modelo de Abastecimiento Estratégico</w:t>
            </w:r>
            <w:r>
              <w:rPr>
                <w:rFonts w:ascii="Verdana" w:hAnsi="Verdana" w:cs="Arial"/>
              </w:rPr>
              <w:t xml:space="preserve"> de la Subdirección de la Subdirección de Estudios de Mercado de la ANCP – CCE. Disponible en: </w:t>
            </w:r>
            <w:hyperlink r:id="rId21" w:anchor="page=22" w:history="1">
              <w:r w:rsidRPr="00785087">
                <w:rPr>
                  <w:rStyle w:val="Hipervnculo"/>
                  <w:rFonts w:ascii="Verdana" w:hAnsi="Verdana" w:cs="Arial"/>
                </w:rPr>
                <w:t>https://www.colombiacompra.gov.co/sites/cce_public/files/files_2020/mae_2.0_vf.pdf#page=22</w:t>
              </w:r>
            </w:hyperlink>
            <w:r>
              <w:rPr>
                <w:rFonts w:ascii="Verdana" w:hAnsi="Verdana" w:cs="Arial"/>
              </w:rPr>
              <w:t xml:space="preserve">.  </w:t>
            </w:r>
          </w:p>
          <w:p w14:paraId="4D0C3D34" w14:textId="77777777" w:rsidR="00193BDF" w:rsidRPr="001D733B" w:rsidRDefault="00193BDF" w:rsidP="00193BD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Guía de uso del SECOP II. Disponible en: </w:t>
            </w:r>
            <w:hyperlink r:id="rId22" w:history="1">
              <w:r w:rsidRPr="00785087">
                <w:rPr>
                  <w:rStyle w:val="Hipervnculo"/>
                  <w:rFonts w:ascii="Verdana" w:hAnsi="Verdana" w:cs="Arial"/>
                </w:rPr>
                <w:t>https://www.colombiacompra.gov.co/secop-ii</w:t>
              </w:r>
            </w:hyperlink>
            <w:r>
              <w:rPr>
                <w:rFonts w:ascii="Verdana" w:hAnsi="Verdana" w:cs="Arial"/>
              </w:rPr>
              <w:t xml:space="preserve">.  </w:t>
            </w:r>
          </w:p>
        </w:tc>
      </w:tr>
    </w:tbl>
    <w:p w14:paraId="0F852F80" w14:textId="77777777" w:rsidR="00193BDF" w:rsidRPr="002407CE" w:rsidRDefault="00193BDF" w:rsidP="00193BDF">
      <w:pPr>
        <w:widowControl w:val="0"/>
        <w:autoSpaceDE w:val="0"/>
        <w:autoSpaceDN w:val="0"/>
        <w:spacing w:after="0" w:line="276" w:lineRule="auto"/>
        <w:jc w:val="both"/>
        <w:rPr>
          <w:rFonts w:ascii="Verdana" w:hAnsi="Verdana" w:cs="Arial"/>
        </w:rPr>
      </w:pPr>
    </w:p>
    <w:p w14:paraId="037C07B6" w14:textId="77777777" w:rsidR="00193BDF" w:rsidRPr="00593A5F" w:rsidRDefault="00193BDF" w:rsidP="00193BD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lastRenderedPageBreak/>
        <w:t>Doctrina de la Agencia Nacional de Contratación Pública</w:t>
      </w:r>
      <w:r w:rsidRPr="00593A5F">
        <w:rPr>
          <w:rFonts w:ascii="Verdana" w:eastAsia="Century Gothic" w:hAnsi="Verdana" w:cs="Century Gothic"/>
          <w:b/>
          <w:bCs/>
        </w:rPr>
        <w:t>:</w:t>
      </w:r>
    </w:p>
    <w:p w14:paraId="48408C29" w14:textId="77777777" w:rsidR="00193BDF" w:rsidRPr="00593A5F" w:rsidRDefault="00193BDF" w:rsidP="00193BDF">
      <w:pPr>
        <w:widowControl w:val="0"/>
        <w:autoSpaceDE w:val="0"/>
        <w:autoSpaceDN w:val="0"/>
        <w:spacing w:after="0" w:line="276" w:lineRule="auto"/>
        <w:jc w:val="both"/>
        <w:rPr>
          <w:rFonts w:ascii="Verdana" w:hAnsi="Verdana" w:cs="Arial"/>
        </w:rPr>
      </w:pPr>
    </w:p>
    <w:p w14:paraId="6F4DDFD3" w14:textId="77777777" w:rsidR="00193BDF" w:rsidRDefault="00193BDF" w:rsidP="00193BD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DD781E">
        <w:rPr>
          <w:rStyle w:val="normaltextrun"/>
          <w:rFonts w:ascii="Verdana" w:hAnsi="Verdana" w:cs="Arial"/>
          <w:shd w:val="clear" w:color="auto" w:fill="FFFFFF"/>
          <w:lang w:val="es-ES"/>
        </w:rPr>
        <w:t xml:space="preserve">Esta Subdirección se ha pronunciado sobre </w:t>
      </w:r>
      <w:r>
        <w:rPr>
          <w:rStyle w:val="normaltextrun"/>
          <w:rFonts w:ascii="Verdana" w:hAnsi="Verdana" w:cs="Arial"/>
          <w:shd w:val="clear" w:color="auto" w:fill="FFFFFF"/>
          <w:lang w:val="es-ES"/>
        </w:rPr>
        <w:t>varios de los temas objeto de la solicitud</w:t>
      </w:r>
      <w:r w:rsidRPr="00EA761C">
        <w:rPr>
          <w:rStyle w:val="normaltextrun"/>
          <w:rFonts w:ascii="Verdana" w:hAnsi="Verdana" w:cs="Arial"/>
          <w:shd w:val="clear" w:color="auto" w:fill="FFFFFF"/>
          <w:lang w:val="es-ES"/>
        </w:rPr>
        <w:t>. Es</w:t>
      </w:r>
      <w:r w:rsidRPr="00EA761C">
        <w:rPr>
          <w:rFonts w:ascii="Verdana" w:hAnsi="Verdana"/>
        </w:rPr>
        <w:t>tos</w:t>
      </w:r>
      <w:r>
        <w:rPr>
          <w:rFonts w:ascii="Verdana" w:hAnsi="Verdana"/>
        </w:rPr>
        <w:t xml:space="preserve"> conceptos</w:t>
      </w:r>
      <w:r w:rsidRPr="00A1554D">
        <w:rPr>
          <w:rFonts w:ascii="Verdana" w:hAnsi="Verdana"/>
        </w:rPr>
        <w:t xml:space="preserve"> se encuentran disponibles para consulta en el Sistema de </w:t>
      </w:r>
      <w:r>
        <w:rPr>
          <w:rFonts w:ascii="Verdana" w:hAnsi="Verdana"/>
        </w:rPr>
        <w:t>r</w:t>
      </w:r>
      <w:r w:rsidRPr="00A1554D">
        <w:rPr>
          <w:rFonts w:ascii="Verdana" w:hAnsi="Verdana"/>
        </w:rPr>
        <w:t>elatoría de la Agencia, al cual puede acceder</w:t>
      </w:r>
      <w:r>
        <w:rPr>
          <w:rFonts w:ascii="Verdana" w:hAnsi="Verdana"/>
        </w:rPr>
        <w:t>se</w:t>
      </w:r>
      <w:r w:rsidRPr="00A1554D">
        <w:rPr>
          <w:rFonts w:ascii="Verdana" w:hAnsi="Verdana"/>
        </w:rPr>
        <w:t xml:space="preserve"> a través del siguiente enlace:</w:t>
      </w:r>
      <w:r w:rsidRPr="00A1554D">
        <w:rPr>
          <w:rStyle w:val="normaltextrun"/>
          <w:rFonts w:ascii="Verdana" w:hAnsi="Verdana" w:cs="Arial"/>
          <w:shd w:val="clear" w:color="auto" w:fill="FFFFFF"/>
          <w:lang w:val="es-ES"/>
        </w:rPr>
        <w:t xml:space="preserve"> </w:t>
      </w:r>
      <w:hyperlink r:id="rId23" w:history="1">
        <w:r w:rsidRPr="00A1554D">
          <w:rPr>
            <w:rStyle w:val="Hipervnculo"/>
            <w:rFonts w:ascii="Verdana" w:hAnsi="Verdana" w:cs="Arial"/>
            <w:shd w:val="clear" w:color="auto" w:fill="FFFFFF"/>
            <w:lang w:val="es-ES"/>
          </w:rPr>
          <w:t>https://relatoria.colombiacompra.gov.co/busqueda/conceptos</w:t>
        </w:r>
      </w:hyperlink>
      <w:r w:rsidRPr="00CD3D06">
        <w:rPr>
          <w:rStyle w:val="normaltextrun"/>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p>
    <w:p w14:paraId="1990A72D" w14:textId="77777777" w:rsidR="00193BDF" w:rsidRDefault="00193BDF" w:rsidP="00193BD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D6A3732" w14:textId="77777777" w:rsidR="00193BDF" w:rsidRPr="00A1554D" w:rsidRDefault="00193BDF" w:rsidP="00193BD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24" w:history="1">
        <w:r w:rsidRPr="003705EA">
          <w:rPr>
            <w:rStyle w:val="Hipervnculo"/>
            <w:rFonts w:ascii="Verdana" w:hAnsi="Verdana" w:cs="Arial"/>
            <w:shd w:val="clear" w:color="auto" w:fill="FFFFFF"/>
            <w:lang w:val="es-ES"/>
          </w:rPr>
          <w:t>https://www.colombiacompra.gov.co/sala-de-prensa/boletin-digital</w:t>
        </w:r>
      </w:hyperlink>
      <w:r w:rsidRPr="00EA761C">
        <w:rPr>
          <w:rStyle w:val="Hipervnculo"/>
          <w:rFonts w:ascii="Verdana" w:hAnsi="Verdana" w:cs="Arial"/>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ED46ECD" w14:textId="77777777" w:rsidR="00193BDF" w:rsidRPr="00593A5F" w:rsidRDefault="00193BDF" w:rsidP="00193BDF">
      <w:pPr>
        <w:widowControl w:val="0"/>
        <w:autoSpaceDE w:val="0"/>
        <w:autoSpaceDN w:val="0"/>
        <w:spacing w:after="0" w:line="276" w:lineRule="auto"/>
        <w:jc w:val="both"/>
        <w:rPr>
          <w:rFonts w:ascii="Verdana" w:hAnsi="Verdana" w:cs="Arial"/>
        </w:rPr>
      </w:pPr>
    </w:p>
    <w:p w14:paraId="46AB8F0E" w14:textId="77777777" w:rsidR="00193BDF" w:rsidRPr="00593A5F" w:rsidRDefault="00193BDF" w:rsidP="00193BD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E9BEB18" w14:textId="77777777" w:rsidR="00193BDF" w:rsidRPr="00593A5F" w:rsidRDefault="00193BDF" w:rsidP="00193BDF">
      <w:pPr>
        <w:widowControl w:val="0"/>
        <w:autoSpaceDE w:val="0"/>
        <w:autoSpaceDN w:val="0"/>
        <w:spacing w:after="0" w:line="276" w:lineRule="auto"/>
        <w:jc w:val="both"/>
        <w:rPr>
          <w:rFonts w:ascii="Verdana" w:hAnsi="Verdana" w:cs="Arial"/>
        </w:rPr>
      </w:pPr>
    </w:p>
    <w:p w14:paraId="7E96DDD8" w14:textId="77777777" w:rsidR="00193BDF" w:rsidRPr="00593A5F" w:rsidRDefault="00193BDF" w:rsidP="00193BD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CC99769" w14:textId="3E63DE15" w:rsidR="00193BDF" w:rsidRPr="00593A5F" w:rsidRDefault="00700F8F" w:rsidP="00193BDF">
      <w:pPr>
        <w:spacing w:line="276" w:lineRule="auto"/>
        <w:jc w:val="center"/>
        <w:rPr>
          <w:rFonts w:ascii="Verdana" w:hAnsi="Verdana" w:cs="Arial"/>
          <w:color w:val="000000"/>
          <w:lang w:val="es-ES_tradnl" w:eastAsia="es-CO"/>
        </w:rPr>
      </w:pPr>
      <w:r>
        <w:rPr>
          <w:noProof/>
        </w:rPr>
        <w:drawing>
          <wp:inline distT="0" distB="0" distL="0" distR="0" wp14:anchorId="184B8EEB" wp14:editId="25B68532">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193BDF" w:rsidRPr="00593A5F" w14:paraId="6574E158" w14:textId="77777777" w:rsidTr="00F70182">
        <w:trPr>
          <w:trHeight w:val="315"/>
        </w:trPr>
        <w:tc>
          <w:tcPr>
            <w:tcW w:w="893" w:type="dxa"/>
            <w:vAlign w:val="center"/>
            <w:hideMark/>
          </w:tcPr>
          <w:p w14:paraId="5CC27F5E" w14:textId="77777777" w:rsidR="00193BDF" w:rsidRPr="003751C7" w:rsidRDefault="00193BDF" w:rsidP="00F70182">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C9D2C77" w14:textId="77777777" w:rsidR="00193BDF" w:rsidRPr="00254A7A" w:rsidRDefault="00193BDF" w:rsidP="00F70182">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4BF999D" w14:textId="77777777" w:rsidR="00193BDF" w:rsidRPr="00254A7A" w:rsidRDefault="00193BDF" w:rsidP="00F70182">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193BDF" w:rsidRPr="00593A5F" w14:paraId="1797A779" w14:textId="77777777" w:rsidTr="00F70182">
        <w:trPr>
          <w:trHeight w:val="330"/>
        </w:trPr>
        <w:tc>
          <w:tcPr>
            <w:tcW w:w="893" w:type="dxa"/>
            <w:vAlign w:val="center"/>
            <w:hideMark/>
          </w:tcPr>
          <w:p w14:paraId="4FF5C77B" w14:textId="77777777" w:rsidR="00193BDF" w:rsidRPr="003751C7" w:rsidRDefault="00193BDF" w:rsidP="00F70182">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2F2A3B6" w14:textId="77777777" w:rsidR="00193BDF" w:rsidRPr="00254A7A" w:rsidRDefault="00193BDF" w:rsidP="00F70182">
            <w:pPr>
              <w:pStyle w:val="paragraph"/>
              <w:spacing w:after="0"/>
              <w:contextualSpacing/>
              <w:textAlignment w:val="baseline"/>
              <w:rPr>
                <w:rStyle w:val="normaltextrun"/>
                <w:rFonts w:ascii="Verdana" w:hAnsi="Verdana" w:cs="Arial"/>
                <w:sz w:val="16"/>
                <w:szCs w:val="16"/>
                <w:lang w:val="es-ES"/>
              </w:rPr>
            </w:pPr>
            <w:r w:rsidRPr="00254A7A">
              <w:rPr>
                <w:rStyle w:val="normaltextrun"/>
                <w:rFonts w:ascii="Verdana" w:hAnsi="Verdana" w:cs="Arial"/>
                <w:sz w:val="16"/>
                <w:szCs w:val="16"/>
                <w:lang w:val="es-ES"/>
              </w:rPr>
              <w:t>Alejandro Sarmiento Cantillo</w:t>
            </w:r>
          </w:p>
          <w:p w14:paraId="517F316B" w14:textId="77777777" w:rsidR="00193BDF" w:rsidRPr="00254A7A" w:rsidRDefault="00193BDF" w:rsidP="00F70182">
            <w:pPr>
              <w:pStyle w:val="paragraph"/>
              <w:spacing w:before="0" w:beforeAutospacing="0" w:after="0" w:afterAutospacing="0"/>
              <w:contextualSpacing/>
              <w:textAlignment w:val="baseline"/>
              <w:rPr>
                <w:rFonts w:ascii="Verdana" w:hAnsi="Verdana" w:cs="Segoe UI"/>
                <w:sz w:val="16"/>
                <w:szCs w:val="16"/>
              </w:rPr>
            </w:pPr>
            <w:r w:rsidRPr="00254A7A">
              <w:rPr>
                <w:rStyle w:val="normaltextrun"/>
                <w:rFonts w:ascii="Verdana" w:hAnsi="Verdana" w:cs="Arial"/>
                <w:sz w:val="16"/>
                <w:szCs w:val="16"/>
                <w:lang w:val="es-ES"/>
              </w:rPr>
              <w:t>Gestor T1 ‒ 15 de la Subdirección de Gestión Contractual</w:t>
            </w:r>
            <w:r w:rsidRPr="00254A7A">
              <w:rPr>
                <w:rStyle w:val="eop"/>
                <w:rFonts w:ascii="Verdana" w:hAnsi="Verdana" w:cs="Arial"/>
                <w:sz w:val="16"/>
                <w:szCs w:val="16"/>
              </w:rPr>
              <w:t> </w:t>
            </w:r>
          </w:p>
        </w:tc>
      </w:tr>
      <w:tr w:rsidR="00193BDF" w:rsidRPr="00593A5F" w14:paraId="738071B1" w14:textId="77777777" w:rsidTr="00F70182">
        <w:trPr>
          <w:trHeight w:val="300"/>
        </w:trPr>
        <w:tc>
          <w:tcPr>
            <w:tcW w:w="893" w:type="dxa"/>
            <w:vAlign w:val="center"/>
          </w:tcPr>
          <w:p w14:paraId="30007904" w14:textId="77777777" w:rsidR="00193BDF" w:rsidRPr="003751C7" w:rsidRDefault="00193BDF" w:rsidP="00F70182">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D2F60CD" w14:textId="77777777" w:rsidR="00193BDF" w:rsidRPr="003751C7" w:rsidRDefault="00193BDF" w:rsidP="00F70182">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3DA163DA" w14:textId="77777777" w:rsidR="00193BDF" w:rsidRPr="003751C7" w:rsidRDefault="00193BDF" w:rsidP="00F70182">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219688CA" w14:textId="77777777" w:rsidR="00193BDF" w:rsidRPr="00593A5F" w:rsidRDefault="00193BDF" w:rsidP="00193BDF">
      <w:pPr>
        <w:spacing w:after="0" w:line="240" w:lineRule="auto"/>
        <w:rPr>
          <w:rFonts w:ascii="Verdana" w:eastAsia="Times New Roman" w:hAnsi="Verdana" w:cs="Arial"/>
          <w:sz w:val="24"/>
          <w:szCs w:val="24"/>
          <w:lang w:eastAsia="es-ES"/>
        </w:rPr>
      </w:pPr>
    </w:p>
    <w:p w14:paraId="0F293BF4" w14:textId="7BBFAB11" w:rsidR="00127233" w:rsidRPr="002E357C" w:rsidRDefault="00127233" w:rsidP="002E357C"/>
    <w:sectPr w:rsidR="00127233" w:rsidRPr="002E357C" w:rsidSect="007C0C0F">
      <w:headerReference w:type="default" r:id="rId26"/>
      <w:footerReference w:type="default" r:id="rId2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B0C0" w14:textId="77777777" w:rsidR="005C06E6" w:rsidRDefault="005C06E6" w:rsidP="004A1847">
      <w:pPr>
        <w:spacing w:after="0" w:line="240" w:lineRule="auto"/>
      </w:pPr>
      <w:r>
        <w:separator/>
      </w:r>
    </w:p>
  </w:endnote>
  <w:endnote w:type="continuationSeparator" w:id="0">
    <w:p w14:paraId="3F0517AE" w14:textId="77777777" w:rsidR="005C06E6" w:rsidRDefault="005C06E6"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CC36" w14:textId="77777777" w:rsidR="005C06E6" w:rsidRDefault="005C06E6" w:rsidP="004A1847">
      <w:pPr>
        <w:spacing w:after="0" w:line="240" w:lineRule="auto"/>
      </w:pPr>
      <w:r>
        <w:separator/>
      </w:r>
    </w:p>
  </w:footnote>
  <w:footnote w:type="continuationSeparator" w:id="0">
    <w:p w14:paraId="0543FE6E" w14:textId="77777777" w:rsidR="005C06E6" w:rsidRDefault="005C06E6" w:rsidP="004A1847">
      <w:pPr>
        <w:spacing w:after="0" w:line="240" w:lineRule="auto"/>
      </w:pPr>
      <w:r>
        <w:continuationSeparator/>
      </w:r>
    </w:p>
  </w:footnote>
  <w:footnote w:id="1">
    <w:p w14:paraId="690D181F" w14:textId="77777777" w:rsidR="00193BDF" w:rsidRPr="0074409B" w:rsidRDefault="00193BDF" w:rsidP="00193BDF">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w:t>
      </w:r>
      <w:hyperlink r:id="rId1" w:history="1">
        <w:r w:rsidRPr="0074409B">
          <w:rPr>
            <w:rStyle w:val="Hipervnculo"/>
            <w:rFonts w:ascii="Verdana" w:hAnsi="Verdana"/>
            <w:sz w:val="16"/>
            <w:szCs w:val="16"/>
          </w:rPr>
          <w:t>https://www.colombiacompra.gov.co/sites/cce_public/files/cce_documentos/cce-eicp-gi-18._gees_v.2_2.pdf</w:t>
        </w:r>
      </w:hyperlink>
      <w:r w:rsidRPr="0074409B">
        <w:rPr>
          <w:rFonts w:ascii="Verdana" w:hAnsi="Verdana"/>
          <w:sz w:val="16"/>
          <w:szCs w:val="16"/>
        </w:rPr>
        <w:t xml:space="preserve">. </w:t>
      </w:r>
    </w:p>
  </w:footnote>
  <w:footnote w:id="2">
    <w:p w14:paraId="36635440" w14:textId="77777777" w:rsidR="00193BDF" w:rsidRPr="0074409B" w:rsidRDefault="00193BDF" w:rsidP="00193BDF">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w:t>
      </w:r>
      <w:hyperlink r:id="rId2" w:anchor="page=22" w:history="1">
        <w:r w:rsidRPr="0074409B">
          <w:rPr>
            <w:rStyle w:val="Hipervnculo"/>
            <w:rFonts w:ascii="Verdana" w:hAnsi="Verdana"/>
            <w:sz w:val="16"/>
            <w:szCs w:val="16"/>
          </w:rPr>
          <w:t>https://www.colombiacompra.gov.co/sites/cce_public/files/files_2020/mae_2.0_vf.pdf#page=22</w:t>
        </w:r>
      </w:hyperlink>
      <w:r w:rsidRPr="0074409B">
        <w:rPr>
          <w:rFonts w:ascii="Verdana" w:hAnsi="Verdana"/>
          <w:sz w:val="16"/>
          <w:szCs w:val="16"/>
        </w:rPr>
        <w:t xml:space="preserve">. </w:t>
      </w:r>
    </w:p>
  </w:footnote>
  <w:footnote w:id="3">
    <w:p w14:paraId="1BA3DFD0" w14:textId="77777777" w:rsidR="00193BDF" w:rsidRPr="0074409B" w:rsidRDefault="00193BDF" w:rsidP="00193BDF">
      <w:pPr>
        <w:pStyle w:val="Textonotapie"/>
        <w:ind w:firstLine="708"/>
        <w:jc w:val="both"/>
        <w:rPr>
          <w:rFonts w:ascii="Verdana" w:hAnsi="Verdana" w:cs="Arial"/>
          <w:sz w:val="16"/>
          <w:szCs w:val="16"/>
        </w:rPr>
      </w:pPr>
      <w:r w:rsidRPr="0074409B">
        <w:rPr>
          <w:rStyle w:val="Refdenotaalpie"/>
          <w:rFonts w:ascii="Verdana" w:hAnsi="Verdana" w:cs="Arial"/>
          <w:sz w:val="16"/>
          <w:szCs w:val="16"/>
        </w:rPr>
        <w:footnoteRef/>
      </w:r>
      <w:r w:rsidRPr="0074409B">
        <w:rPr>
          <w:rFonts w:ascii="Verdana" w:hAnsi="Verdana" w:cs="Arial"/>
          <w:sz w:val="16"/>
          <w:szCs w:val="16"/>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4">
    <w:p w14:paraId="78CDE9C1" w14:textId="77777777" w:rsidR="00193BDF" w:rsidRPr="0074409B" w:rsidRDefault="00193BDF" w:rsidP="00193BDF">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w:t>
      </w:r>
      <w:hyperlink r:id="rId3" w:history="1">
        <w:r w:rsidRPr="0074409B">
          <w:rPr>
            <w:rStyle w:val="Hipervnculo"/>
            <w:rFonts w:ascii="Verdana" w:hAnsi="Verdana"/>
            <w:sz w:val="16"/>
            <w:szCs w:val="16"/>
          </w:rPr>
          <w:t>https://colombiacompra.gov.co/sites/cce_public/files/cce_documents/cce-eicp-ma-04._manual_requisitos_habilitantes_v3_29-09-2023.pdf</w:t>
        </w:r>
      </w:hyperlink>
      <w:r w:rsidRPr="0074409B">
        <w:rPr>
          <w:rFonts w:ascii="Verdana" w:hAnsi="Verdana"/>
          <w:sz w:val="16"/>
          <w:szCs w:val="16"/>
        </w:rPr>
        <w:t xml:space="preserve">. </w:t>
      </w:r>
    </w:p>
  </w:footnote>
  <w:footnote w:id="5">
    <w:p w14:paraId="0E8D7DFD" w14:textId="77777777" w:rsidR="00193BDF" w:rsidRPr="0074409B" w:rsidRDefault="00193BDF" w:rsidP="00193BDF">
      <w:pPr>
        <w:pStyle w:val="Textonotapie"/>
        <w:ind w:firstLine="708"/>
        <w:jc w:val="both"/>
        <w:rPr>
          <w:rFonts w:ascii="Verdana" w:hAnsi="Verdana" w:cs="Arial"/>
          <w:sz w:val="16"/>
          <w:szCs w:val="16"/>
        </w:rPr>
      </w:pPr>
      <w:r w:rsidRPr="0074409B">
        <w:rPr>
          <w:rStyle w:val="Refdenotaalpie"/>
          <w:rFonts w:ascii="Verdana" w:hAnsi="Verdana" w:cs="Arial"/>
          <w:sz w:val="16"/>
          <w:szCs w:val="16"/>
        </w:rPr>
        <w:footnoteRef/>
      </w:r>
      <w:r w:rsidRPr="0074409B">
        <w:rPr>
          <w:rFonts w:ascii="Verdana" w:hAnsi="Verdana" w:cs="Arial"/>
          <w:sz w:val="16"/>
          <w:szCs w:val="16"/>
        </w:rPr>
        <w:t xml:space="preserve"> En armonía con lo anterior, a modo simplemente ejemplificativo, los Documentos Tipo para los procesos de selección abreviada de menor cuantía de obra pública de infraestructura de transporte, adoptados mediante la Resolución 241 de 2020, por parte de la Agencia Nacional de Contratación Pública Colombia Compra Eficiente, incluyen la siguiente causal de rechazo en dicho pliego tipo: “X. </w:t>
      </w:r>
      <w:r w:rsidRPr="0074409B">
        <w:rPr>
          <w:rFonts w:ascii="Verdana" w:eastAsiaTheme="minorEastAsia" w:hAnsi="Verdana" w:cs="Arial"/>
          <w:color w:val="000000" w:themeColor="text1"/>
          <w:sz w:val="16"/>
          <w:szCs w:val="16"/>
          <w:lang w:eastAsia="es-CO"/>
        </w:rPr>
        <w:t>Que el proponente no haya presentado la manifestación de interés para participar en el proceso de selección, y aun así haya presentado propuesta”.</w:t>
      </w:r>
    </w:p>
  </w:footnote>
  <w:footnote w:id="6">
    <w:p w14:paraId="65270389" w14:textId="77777777" w:rsidR="00193BDF" w:rsidRPr="0074409B" w:rsidRDefault="00193BDF" w:rsidP="00193BDF">
      <w:pPr>
        <w:pStyle w:val="Textonotapie"/>
        <w:ind w:firstLine="708"/>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footnote>
  <w:footnote w:id="7">
    <w:p w14:paraId="24BF9A8E" w14:textId="77777777" w:rsidR="00193BDF" w:rsidRPr="0074409B" w:rsidRDefault="00193BDF" w:rsidP="00193BDF">
      <w:pPr>
        <w:pStyle w:val="Textonotapie"/>
        <w:ind w:firstLine="709"/>
        <w:jc w:val="both"/>
        <w:rPr>
          <w:rFonts w:ascii="Verdana" w:hAnsi="Verdana"/>
          <w:sz w:val="16"/>
          <w:szCs w:val="16"/>
        </w:rPr>
      </w:pPr>
      <w:r w:rsidRPr="0074409B">
        <w:rPr>
          <w:rStyle w:val="Refdenotaalpie"/>
          <w:rFonts w:ascii="Verdana" w:hAnsi="Verdana"/>
          <w:sz w:val="16"/>
          <w:szCs w:val="16"/>
        </w:rPr>
        <w:footnoteRef/>
      </w:r>
      <w:r w:rsidRPr="0074409B">
        <w:rPr>
          <w:rFonts w:ascii="Verdana" w:hAnsi="Verdana"/>
          <w:sz w:val="16"/>
          <w:szCs w:val="16"/>
        </w:rPr>
        <w:t xml:space="preserve"> GORDILLO, Agustín. Tratado de derecho administrativo y obras selectas. Tomo 5. Primeras obras. Libro II. El acto administrativo. Buenos Aires: Fundación de Derecho Administrativo, 2012. p. EAA-IV-29.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1C0253"/>
    <w:multiLevelType w:val="hybridMultilevel"/>
    <w:tmpl w:val="BE9E2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 w:numId="18" w16cid:durableId="1589656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55D3"/>
    <w:rsid w:val="000F6486"/>
    <w:rsid w:val="00125105"/>
    <w:rsid w:val="00127233"/>
    <w:rsid w:val="00193BDF"/>
    <w:rsid w:val="001E4177"/>
    <w:rsid w:val="001E5C86"/>
    <w:rsid w:val="001F7DC6"/>
    <w:rsid w:val="002421BB"/>
    <w:rsid w:val="0025796E"/>
    <w:rsid w:val="002707A2"/>
    <w:rsid w:val="002951A0"/>
    <w:rsid w:val="002962BC"/>
    <w:rsid w:val="002A093D"/>
    <w:rsid w:val="002A0DD0"/>
    <w:rsid w:val="002A49AC"/>
    <w:rsid w:val="002A64FD"/>
    <w:rsid w:val="002C7A84"/>
    <w:rsid w:val="002E357C"/>
    <w:rsid w:val="002E4FD9"/>
    <w:rsid w:val="00322A85"/>
    <w:rsid w:val="00324168"/>
    <w:rsid w:val="003448F4"/>
    <w:rsid w:val="00374F5E"/>
    <w:rsid w:val="00377E3E"/>
    <w:rsid w:val="00393B80"/>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65DAB"/>
    <w:rsid w:val="00574867"/>
    <w:rsid w:val="00575F7A"/>
    <w:rsid w:val="00591460"/>
    <w:rsid w:val="00592628"/>
    <w:rsid w:val="005B4D47"/>
    <w:rsid w:val="005C06E6"/>
    <w:rsid w:val="005C3777"/>
    <w:rsid w:val="005C5CDC"/>
    <w:rsid w:val="005D476C"/>
    <w:rsid w:val="00610812"/>
    <w:rsid w:val="006219F8"/>
    <w:rsid w:val="00650FF7"/>
    <w:rsid w:val="00665D70"/>
    <w:rsid w:val="00671DAC"/>
    <w:rsid w:val="006900D9"/>
    <w:rsid w:val="006D12F8"/>
    <w:rsid w:val="00700F8F"/>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548AB"/>
    <w:rsid w:val="00AB0ADB"/>
    <w:rsid w:val="00AD5343"/>
    <w:rsid w:val="00B01B1A"/>
    <w:rsid w:val="00B51557"/>
    <w:rsid w:val="00B72CD3"/>
    <w:rsid w:val="00B72FFF"/>
    <w:rsid w:val="00B97273"/>
    <w:rsid w:val="00BC3D36"/>
    <w:rsid w:val="00BD7F72"/>
    <w:rsid w:val="00BE48C4"/>
    <w:rsid w:val="00C04FB3"/>
    <w:rsid w:val="00C330EB"/>
    <w:rsid w:val="00C754BE"/>
    <w:rsid w:val="00C76B1C"/>
    <w:rsid w:val="00CB6357"/>
    <w:rsid w:val="00CC1B26"/>
    <w:rsid w:val="00D423A2"/>
    <w:rsid w:val="00D520D8"/>
    <w:rsid w:val="00D63AC2"/>
    <w:rsid w:val="00D7383B"/>
    <w:rsid w:val="00DA231B"/>
    <w:rsid w:val="00DA23A0"/>
    <w:rsid w:val="00DA4F37"/>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5724"/>
    <w:rsid w:val="00F5664F"/>
    <w:rsid w:val="00F666C4"/>
    <w:rsid w:val="00F76AFC"/>
    <w:rsid w:val="00FA47C0"/>
    <w:rsid w:val="00FB5DD1"/>
    <w:rsid w:val="00FC2B5D"/>
    <w:rsid w:val="00FF1449"/>
    <w:rsid w:val="5CEADB7B"/>
    <w:rsid w:val="5F0DCB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193BD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93BDF"/>
    <w:rPr>
      <w:rFonts w:ascii="Geomanist Light" w:hAnsi="Geomanist Light"/>
      <w:lang w:val="es-ES"/>
    </w:rPr>
  </w:style>
  <w:style w:type="paragraph" w:styleId="Textoindependiente">
    <w:name w:val="Body Text"/>
    <w:basedOn w:val="Normal"/>
    <w:link w:val="TextoindependienteCar"/>
    <w:uiPriority w:val="1"/>
    <w:qFormat/>
    <w:rsid w:val="00193BDF"/>
    <w:pPr>
      <w:widowControl w:val="0"/>
      <w:autoSpaceDE w:val="0"/>
      <w:autoSpaceDN w:val="0"/>
      <w:spacing w:after="0" w:line="240" w:lineRule="auto"/>
      <w:ind w:left="12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93BD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documentos-tipo/documentos-tipo" TargetMode="External"/><Relationship Id="rId18" Type="http://schemas.openxmlformats.org/officeDocument/2006/relationships/hyperlink" Target="https://www.colombiacompra.gov.co/documentos-tipo/documentos-tip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olombiacompra.gov.co/sites/cce_public/files/files_2020/mae_2.0_vf.pdf" TargetMode="External"/><Relationship Id="rId7" Type="http://schemas.openxmlformats.org/officeDocument/2006/relationships/webSettings" Target="webSettings.xml"/><Relationship Id="rId12" Type="http://schemas.openxmlformats.org/officeDocument/2006/relationships/hyperlink" Target="mailto:angieortizp28@gmail.com" TargetMode="External"/><Relationship Id="rId17" Type="http://schemas.openxmlformats.org/officeDocument/2006/relationships/hyperlink" Target="https://colombiacompra.gov.co/sites/cce_public/files/cce_circulares/circular_externa_unica_version_3_vf49.pdf"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ecop-ii" TargetMode="External"/><Relationship Id="rId20" Type="http://schemas.openxmlformats.org/officeDocument/2006/relationships/hyperlink" Target="https://www.colombiacompra.gov.co/sites/cce_public/files/cce_documentos/cce-eicp-gi-18._gees_v.2_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olombiacompra.gov.co/sala-de-prensa/boletin-digital" TargetMode="External"/><Relationship Id="rId5" Type="http://schemas.openxmlformats.org/officeDocument/2006/relationships/styles" Target="styles.xml"/><Relationship Id="rId15" Type="http://schemas.openxmlformats.org/officeDocument/2006/relationships/hyperlink" Target="https://www.colombiacompra.gov.co/documentos-tipo/documentos-tipo" TargetMode="External"/><Relationship Id="rId23" Type="http://schemas.openxmlformats.org/officeDocument/2006/relationships/hyperlink" Target="https://relatoria.colombiacompra.gov.co/busqueda/conceptos" TargetMode="External"/><Relationship Id="rId28" Type="http://schemas.openxmlformats.org/officeDocument/2006/relationships/fontTable" Target="fontTable.xml"/><Relationship Id="rId10" Type="http://schemas.openxmlformats.org/officeDocument/2006/relationships/hyperlink" Target="https://www.colombiacompra.gov.co/secop-ii" TargetMode="External"/><Relationship Id="rId19" Type="http://schemas.openxmlformats.org/officeDocument/2006/relationships/hyperlink" Target="https://colombiacompra.gov.co/sites/cce_public/files/cce_documents/cce-eicp-ma-04._manual_requisitos_habilitantes_v3_29-09-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ecop-ii" TargetMode="External"/><Relationship Id="rId22" Type="http://schemas.openxmlformats.org/officeDocument/2006/relationships/hyperlink" Target="https://www.colombiacompra.gov.co/secop-ii"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cce_public/files/cce_documents/cce-eicp-ma-04._manual_requisitos_habilitantes_v3_29-09-2023.pdf" TargetMode="External"/><Relationship Id="rId2" Type="http://schemas.openxmlformats.org/officeDocument/2006/relationships/hyperlink" Target="https://www.colombiacompra.gov.co/sites/cce_public/files/files_2020/mae_2.0_vf.pdf" TargetMode="External"/><Relationship Id="rId1" Type="http://schemas.openxmlformats.org/officeDocument/2006/relationships/hyperlink" Target="https://www.colombiacompra.gov.co/sites/cce_public/files/cce_documentos/cce-eicp-gi-18._gees_v.2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36CFDE5-AC9D-478F-992C-53E007D9C9EA}"/>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8766</Words>
  <Characters>48215</Characters>
  <Application>Microsoft Office Word</Application>
  <DocSecurity>0</DocSecurity>
  <Lines>401</Lines>
  <Paragraphs>113</Paragraphs>
  <ScaleCrop>false</ScaleCrop>
  <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4</cp:revision>
  <cp:lastPrinted>2023-01-10T21:18:00Z</cp:lastPrinted>
  <dcterms:created xsi:type="dcterms:W3CDTF">2024-09-13T18:26:00Z</dcterms:created>
  <dcterms:modified xsi:type="dcterms:W3CDTF">2024-09-18T16:15:00Z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