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3BCDF" w14:textId="77777777" w:rsidR="00025225" w:rsidRPr="004E345C" w:rsidRDefault="00025225" w:rsidP="00025225">
      <w:pPr>
        <w:spacing w:after="0" w:line="276" w:lineRule="auto"/>
        <w:ind w:left="708" w:hanging="708"/>
        <w:contextualSpacing/>
        <w:jc w:val="both"/>
        <w:rPr>
          <w:rFonts w:ascii="Verdana" w:eastAsia="Times New Roman" w:hAnsi="Verdana" w:cs="Arial"/>
          <w:b/>
          <w:bCs/>
          <w:lang w:val="es-ES_tradnl" w:eastAsia="es-MX"/>
        </w:rPr>
      </w:pPr>
      <w:r w:rsidRPr="004E345C">
        <w:rPr>
          <w:rFonts w:ascii="Verdana" w:eastAsia="Times New Roman" w:hAnsi="Verdana" w:cs="Arial"/>
          <w:b/>
          <w:bCs/>
          <w:lang w:val="es-ES_tradnl" w:eastAsia="es-MX"/>
        </w:rPr>
        <w:t xml:space="preserve">REQUISITOS HABILITANTES – Concepto </w:t>
      </w:r>
    </w:p>
    <w:p w14:paraId="505186F6" w14:textId="77777777" w:rsidR="00025225" w:rsidRPr="004E345C" w:rsidRDefault="00025225" w:rsidP="00025225">
      <w:pPr>
        <w:spacing w:after="0" w:line="240" w:lineRule="auto"/>
        <w:contextualSpacing/>
        <w:jc w:val="both"/>
        <w:rPr>
          <w:rFonts w:ascii="Verdana" w:eastAsia="Times New Roman" w:hAnsi="Verdana" w:cs="Arial"/>
          <w:b/>
          <w:bCs/>
          <w:sz w:val="20"/>
          <w:szCs w:val="20"/>
          <w:lang w:val="es-ES_tradnl" w:eastAsia="es-MX"/>
        </w:rPr>
      </w:pPr>
    </w:p>
    <w:p w14:paraId="62B35DF0" w14:textId="77777777" w:rsidR="00025225" w:rsidRPr="004E345C" w:rsidRDefault="00025225" w:rsidP="00025225">
      <w:pPr>
        <w:spacing w:after="0" w:line="240" w:lineRule="auto"/>
        <w:contextualSpacing/>
        <w:jc w:val="both"/>
        <w:rPr>
          <w:rFonts w:ascii="Verdana" w:hAnsi="Verdana" w:cs="Arial"/>
          <w:sz w:val="20"/>
          <w:szCs w:val="20"/>
        </w:rPr>
      </w:pPr>
      <w:r w:rsidRPr="004E345C">
        <w:rPr>
          <w:rFonts w:ascii="Verdana" w:hAnsi="Verdana" w:cs="Arial"/>
          <w:sz w:val="20"/>
          <w:szCs w:val="20"/>
        </w:rPr>
        <w:t xml:space="preserve">Los requisitos habilitantes se definen como aquellas exigencias de participación en los procedimientos de selección, establecidas en disposiciones normativas, de carácter legal o reglamentario, o contenidas en el acto administrativo que regula las reglas de la convocatoria–es decir, en el pliego de condiciones o el documento equivalente a este–. Se diferencian de los criterios de evaluación –también conocidos como criterios de calificación– en que estos son los factores definidos por la entidad estatal para la asignación de puntaje en el momento de la comparación de las ofertas, y que, a partir de su ponderación, permiten establecer el orden de elegibilidad y, por ende, la propuesta ganadora. </w:t>
      </w:r>
    </w:p>
    <w:p w14:paraId="1627A079" w14:textId="77777777" w:rsidR="00025225" w:rsidRPr="004E345C" w:rsidRDefault="00025225" w:rsidP="00025225">
      <w:pPr>
        <w:spacing w:after="0" w:line="240" w:lineRule="auto"/>
        <w:contextualSpacing/>
        <w:jc w:val="both"/>
        <w:rPr>
          <w:rFonts w:ascii="Verdana" w:hAnsi="Verdana" w:cs="Arial"/>
          <w:sz w:val="20"/>
          <w:szCs w:val="20"/>
        </w:rPr>
      </w:pPr>
    </w:p>
    <w:p w14:paraId="09440519" w14:textId="77777777" w:rsidR="00025225" w:rsidRPr="004E345C" w:rsidRDefault="00025225" w:rsidP="00025225">
      <w:pPr>
        <w:spacing w:after="0" w:line="240" w:lineRule="auto"/>
        <w:contextualSpacing/>
        <w:jc w:val="both"/>
        <w:rPr>
          <w:rFonts w:ascii="Verdana" w:eastAsia="Calibri" w:hAnsi="Verdana" w:cs="Arial"/>
          <w:sz w:val="20"/>
          <w:szCs w:val="20"/>
          <w:lang w:val="es-ES_tradnl" w:eastAsia="es-MX"/>
        </w:rPr>
      </w:pPr>
      <w:r w:rsidRPr="004E345C">
        <w:rPr>
          <w:rFonts w:ascii="Verdana" w:hAnsi="Verdana" w:cs="Arial"/>
          <w:sz w:val="20"/>
          <w:szCs w:val="20"/>
        </w:rPr>
        <w:t xml:space="preserve">[…] </w:t>
      </w:r>
      <w:r w:rsidRPr="004E345C">
        <w:rPr>
          <w:rFonts w:ascii="Verdana" w:eastAsia="Calibri" w:hAnsi="Verdana" w:cs="Arial"/>
          <w:sz w:val="20"/>
          <w:szCs w:val="20"/>
          <w:lang w:val="es-ES_tradnl" w:eastAsia="es-MX"/>
        </w:rPr>
        <w:t>Específicamente, el numeral 1º del artículo referido establece que en los procesos de selección de contratistas serán objeto de verificación, como requisitos habilitantes, entre otros, los siguientes: i) la capacidad jurídica; ii) la experiencia; iii) la capacidad financiera y iv) la capacidad de organización.</w:t>
      </w:r>
    </w:p>
    <w:p w14:paraId="118439F8" w14:textId="77777777" w:rsidR="00025225" w:rsidRPr="004E345C" w:rsidRDefault="00025225" w:rsidP="00025225">
      <w:pPr>
        <w:spacing w:after="0" w:line="240" w:lineRule="auto"/>
        <w:contextualSpacing/>
        <w:jc w:val="both"/>
        <w:rPr>
          <w:rFonts w:ascii="Verdana" w:eastAsia="Calibri" w:hAnsi="Verdana" w:cs="Arial"/>
          <w:sz w:val="20"/>
          <w:szCs w:val="20"/>
          <w:lang w:val="es-ES_tradnl" w:eastAsia="es-MX"/>
        </w:rPr>
      </w:pPr>
    </w:p>
    <w:p w14:paraId="18B0A72D" w14:textId="77777777" w:rsidR="00025225" w:rsidRDefault="00025225" w:rsidP="00025225">
      <w:pPr>
        <w:spacing w:after="0" w:line="276" w:lineRule="auto"/>
        <w:contextualSpacing/>
        <w:jc w:val="both"/>
        <w:rPr>
          <w:rFonts w:ascii="Verdana" w:eastAsia="Times New Roman" w:hAnsi="Verdana" w:cs="Arial"/>
          <w:b/>
          <w:bCs/>
          <w:lang w:val="es-ES_tradnl" w:eastAsia="es-MX"/>
        </w:rPr>
      </w:pPr>
    </w:p>
    <w:p w14:paraId="4C0A3925" w14:textId="77777777" w:rsidR="00025225" w:rsidRPr="004E345C" w:rsidRDefault="00025225" w:rsidP="00025225">
      <w:pPr>
        <w:spacing w:after="0" w:line="276" w:lineRule="auto"/>
        <w:contextualSpacing/>
        <w:jc w:val="both"/>
        <w:rPr>
          <w:rFonts w:ascii="Verdana" w:eastAsia="Times New Roman" w:hAnsi="Verdana" w:cs="Arial"/>
          <w:b/>
          <w:bCs/>
          <w:lang w:val="es-ES_tradnl" w:eastAsia="es-MX"/>
        </w:rPr>
      </w:pPr>
      <w:r w:rsidRPr="004E345C">
        <w:rPr>
          <w:rFonts w:ascii="Verdana" w:eastAsia="Times New Roman" w:hAnsi="Verdana" w:cs="Arial"/>
          <w:b/>
          <w:bCs/>
          <w:lang w:val="es-ES_tradnl" w:eastAsia="es-MX"/>
        </w:rPr>
        <w:t>REQUISITOS HABILITANTES – Carácter enunciativo – Artículo 5 de la Ley 1150 de 2007</w:t>
      </w:r>
    </w:p>
    <w:p w14:paraId="3F3F2B70" w14:textId="77777777" w:rsidR="00025225" w:rsidRPr="004E345C" w:rsidRDefault="00025225" w:rsidP="00025225">
      <w:pPr>
        <w:spacing w:after="0" w:line="240" w:lineRule="auto"/>
        <w:contextualSpacing/>
        <w:jc w:val="both"/>
        <w:rPr>
          <w:rFonts w:ascii="Verdana" w:eastAsia="Times New Roman" w:hAnsi="Verdana" w:cs="Arial"/>
          <w:b/>
          <w:bCs/>
          <w:sz w:val="20"/>
          <w:szCs w:val="20"/>
          <w:lang w:val="es-ES_tradnl" w:eastAsia="es-MX"/>
        </w:rPr>
      </w:pPr>
    </w:p>
    <w:p w14:paraId="75725036" w14:textId="77777777" w:rsidR="00025225" w:rsidRPr="004E345C" w:rsidRDefault="00025225" w:rsidP="00025225">
      <w:pPr>
        <w:spacing w:after="0" w:line="240" w:lineRule="auto"/>
        <w:contextualSpacing/>
        <w:jc w:val="both"/>
        <w:rPr>
          <w:rFonts w:ascii="Verdana" w:hAnsi="Verdana" w:cs="Arial"/>
          <w:sz w:val="20"/>
          <w:szCs w:val="20"/>
        </w:rPr>
      </w:pPr>
      <w:r w:rsidRPr="004E345C">
        <w:rPr>
          <w:rFonts w:ascii="Verdana" w:hAnsi="Verdana" w:cs="Arial"/>
          <w:sz w:val="20"/>
          <w:szCs w:val="20"/>
        </w:rPr>
        <w:t>La Agencia Nacional de Contratación Pública ha defendido el carácter enunciativo del listado de los requisitos habilitantes contenidos en el numeral 1 del artículo 5 de la Ley 1150 de 2007, en la medida en que la referida disposición, al referirse a los requisitos habilitantes, no contiene una expresión como «únicamente» o «solo», de la que pueda colegirse la taxatividad de los requisitos mencionados.</w:t>
      </w:r>
    </w:p>
    <w:p w14:paraId="3D7C105E" w14:textId="77777777" w:rsidR="00025225" w:rsidRPr="004E345C" w:rsidRDefault="00025225" w:rsidP="00025225">
      <w:pPr>
        <w:spacing w:after="0" w:line="240" w:lineRule="auto"/>
        <w:contextualSpacing/>
        <w:jc w:val="both"/>
        <w:rPr>
          <w:rFonts w:ascii="Verdana" w:hAnsi="Verdana" w:cs="Arial"/>
          <w:sz w:val="20"/>
          <w:szCs w:val="20"/>
        </w:rPr>
      </w:pPr>
    </w:p>
    <w:p w14:paraId="5B8CBD97" w14:textId="77777777" w:rsidR="00025225" w:rsidRPr="004E345C" w:rsidRDefault="00025225" w:rsidP="00025225">
      <w:pPr>
        <w:spacing w:after="0" w:line="240" w:lineRule="auto"/>
        <w:contextualSpacing/>
        <w:jc w:val="both"/>
        <w:rPr>
          <w:rFonts w:ascii="Verdana" w:hAnsi="Verdana" w:cs="Arial"/>
          <w:sz w:val="20"/>
          <w:szCs w:val="20"/>
        </w:rPr>
      </w:pPr>
      <w:r w:rsidRPr="004E345C">
        <w:rPr>
          <w:rFonts w:ascii="Verdana" w:hAnsi="Verdana" w:cs="Arial"/>
          <w:sz w:val="20"/>
          <w:szCs w:val="20"/>
        </w:rPr>
        <w:t xml:space="preserve">En ese sentido, si bien la Ley 1150 de 2007 estableció unos requisitos habilitantes para los proponentes –la capacidad jurídica, las condiciones de experiencia, la capacidad financiera y la capacidad de organización–, estos no son taxativos. En consecuencia, corresponde a las entidades estatales, durante la etapa de planeación del contrato estatal, estudiar y determinar los requisitos habilitantes que establecerán en los pliegos de condiciones, los cuales deben fijarse de forma adecuada y proporcional. </w:t>
      </w:r>
    </w:p>
    <w:p w14:paraId="415222B8" w14:textId="77777777" w:rsidR="00025225" w:rsidRPr="004E345C" w:rsidRDefault="00025225" w:rsidP="00025225">
      <w:pPr>
        <w:spacing w:after="0" w:line="240" w:lineRule="auto"/>
        <w:contextualSpacing/>
        <w:jc w:val="both"/>
        <w:rPr>
          <w:rFonts w:ascii="Verdana" w:hAnsi="Verdana" w:cs="Arial"/>
          <w:sz w:val="20"/>
          <w:szCs w:val="20"/>
        </w:rPr>
      </w:pPr>
    </w:p>
    <w:p w14:paraId="070AD705" w14:textId="77777777" w:rsidR="00025225" w:rsidRPr="004E345C" w:rsidRDefault="00025225" w:rsidP="00025225">
      <w:pPr>
        <w:spacing w:after="0" w:line="240" w:lineRule="auto"/>
        <w:contextualSpacing/>
        <w:jc w:val="both"/>
        <w:rPr>
          <w:rFonts w:ascii="Verdana" w:hAnsi="Verdana" w:cs="Arial"/>
          <w:sz w:val="20"/>
          <w:szCs w:val="20"/>
        </w:rPr>
      </w:pPr>
      <w:r w:rsidRPr="004E345C">
        <w:rPr>
          <w:rFonts w:ascii="Verdana" w:hAnsi="Verdana" w:cs="Arial"/>
          <w:sz w:val="20"/>
          <w:szCs w:val="20"/>
        </w:rPr>
        <w:t xml:space="preserve">En ese sentido, las entidades estatales son autónomas para definir los requisitos habilitantes, pero tal facultad debe ser ejercida procurando diseñar condiciones habilitantes de manera objetiva, de suerte que estas sirvan para determinar si los participantes del proceso de contratación cuentan con las capacidades que los hacen aptos para ejecutar el objeto contractual. Para esto resulta indispensable que los requisitos establecidos por la entidad, además se fijen de manera adecuada y proporcional a las características del objeto ofertado, procurando además ceñirse a la normativa que resulte aplicable. </w:t>
      </w:r>
    </w:p>
    <w:p w14:paraId="45E79D0E" w14:textId="77777777" w:rsidR="00025225" w:rsidRPr="004E345C" w:rsidRDefault="00025225" w:rsidP="00025225">
      <w:pPr>
        <w:spacing w:after="0" w:line="276" w:lineRule="auto"/>
        <w:jc w:val="both"/>
        <w:rPr>
          <w:rFonts w:ascii="Verdana" w:eastAsia="Calibri" w:hAnsi="Verdana" w:cs="Arial"/>
          <w:b/>
          <w:bCs/>
          <w:color w:val="7030A0"/>
          <w:sz w:val="20"/>
          <w:szCs w:val="20"/>
          <w:lang w:val="es-ES" w:eastAsia="es-ES"/>
        </w:rPr>
      </w:pPr>
    </w:p>
    <w:p w14:paraId="6180EB70" w14:textId="77777777" w:rsidR="00025225" w:rsidRDefault="00025225" w:rsidP="00025225">
      <w:pPr>
        <w:spacing w:line="276" w:lineRule="auto"/>
        <w:jc w:val="both"/>
        <w:rPr>
          <w:rFonts w:ascii="Verdana" w:eastAsia="Calibri" w:hAnsi="Verdana" w:cs="Arial"/>
          <w:b/>
          <w:bCs/>
          <w:lang w:eastAsia="es-ES_tradnl"/>
        </w:rPr>
      </w:pPr>
    </w:p>
    <w:p w14:paraId="29D52139" w14:textId="77777777" w:rsidR="00025225" w:rsidRPr="004E345C" w:rsidRDefault="00025225" w:rsidP="00025225">
      <w:pPr>
        <w:spacing w:line="276" w:lineRule="auto"/>
        <w:jc w:val="both"/>
        <w:rPr>
          <w:rFonts w:ascii="Verdana" w:eastAsia="Calibri" w:hAnsi="Verdana" w:cs="Arial"/>
          <w:b/>
          <w:bCs/>
          <w:lang w:eastAsia="es-ES_tradnl"/>
        </w:rPr>
      </w:pPr>
      <w:r w:rsidRPr="004E345C">
        <w:rPr>
          <w:rFonts w:ascii="Verdana" w:eastAsia="Calibri" w:hAnsi="Verdana" w:cs="Arial"/>
          <w:b/>
          <w:bCs/>
          <w:lang w:eastAsia="es-ES_tradnl"/>
        </w:rPr>
        <w:t>SUBSANABILIDAD – Regla – Requisitos habilitantes – Ley 1882 de 2018</w:t>
      </w:r>
    </w:p>
    <w:p w14:paraId="70685302" w14:textId="77777777" w:rsidR="00025225" w:rsidRPr="004E345C" w:rsidRDefault="00025225" w:rsidP="00025225">
      <w:pPr>
        <w:spacing w:line="240" w:lineRule="auto"/>
        <w:jc w:val="both"/>
        <w:rPr>
          <w:rFonts w:ascii="Verdana" w:eastAsia="Calibri" w:hAnsi="Verdana" w:cs="Arial"/>
          <w:sz w:val="20"/>
          <w:szCs w:val="20"/>
          <w:lang w:eastAsia="es-ES_tradnl"/>
        </w:rPr>
      </w:pPr>
      <w:r w:rsidRPr="004E345C">
        <w:rPr>
          <w:rFonts w:ascii="Verdana" w:eastAsia="Calibri" w:hAnsi="Verdana" w:cs="Arial"/>
          <w:sz w:val="20"/>
          <w:szCs w:val="20"/>
          <w:lang w:eastAsia="es-ES_tradnl"/>
        </w:rPr>
        <w:lastRenderedPageBreak/>
        <w:t>Esta Subdirección se ha pronunciado en diversas oportunidades acerca del alcance de la regla de la subsanabilidad, contenida actualmente en el parágrafo 1 del artículo 5 de la Ley 1150 de 2007, modificado por el artículo 5 de la Ley 1882 de 2018. Al respecto, la postura que se reitera en el presente concepto es la siguiente: por regla general, la falta de entrega o los defectos frente a los requisitos que no asignan puntaje, son subsanables. La excepción se encuentra en los casos, previstos en la ley, que limitan la subsanabilidad, como, por ejemplo, la prohibición de permitir la entrega de la garantía de seriedad de la oferta que no fue aportada con la propuesta y de permitir la acreditación de circunstancias ocurridas con posterioridad al cierre del proceso.</w:t>
      </w:r>
    </w:p>
    <w:p w14:paraId="6D45629E" w14:textId="77777777" w:rsidR="00025225" w:rsidRPr="004E345C" w:rsidRDefault="00025225" w:rsidP="00025225">
      <w:pPr>
        <w:spacing w:line="240" w:lineRule="auto"/>
        <w:jc w:val="both"/>
        <w:rPr>
          <w:rFonts w:ascii="Verdana" w:eastAsia="Calibri" w:hAnsi="Verdana" w:cs="Arial"/>
          <w:sz w:val="20"/>
          <w:szCs w:val="20"/>
          <w:lang w:eastAsia="es-ES_tradnl"/>
        </w:rPr>
      </w:pPr>
      <w:r w:rsidRPr="004E345C">
        <w:rPr>
          <w:rFonts w:ascii="Verdana" w:eastAsia="Calibri" w:hAnsi="Verdana" w:cs="Arial"/>
          <w:sz w:val="20"/>
          <w:szCs w:val="20"/>
          <w:lang w:eastAsia="es-ES_tradnl"/>
        </w:rPr>
        <w:t>[…]</w:t>
      </w:r>
    </w:p>
    <w:p w14:paraId="19E54102" w14:textId="77777777" w:rsidR="00025225" w:rsidRPr="004E345C" w:rsidRDefault="00025225" w:rsidP="00025225">
      <w:pPr>
        <w:spacing w:line="240" w:lineRule="auto"/>
        <w:jc w:val="both"/>
        <w:rPr>
          <w:rFonts w:ascii="Verdana" w:eastAsia="Arial" w:hAnsi="Verdana" w:cs="Arial"/>
          <w:color w:val="000000"/>
          <w:sz w:val="20"/>
          <w:szCs w:val="20"/>
          <w:lang w:eastAsia="es-MX"/>
        </w:rPr>
      </w:pPr>
      <w:r w:rsidRPr="004E345C">
        <w:rPr>
          <w:rFonts w:ascii="Verdana" w:eastAsia="Arial" w:hAnsi="Verdana" w:cs="Arial"/>
          <w:color w:val="000000"/>
          <w:sz w:val="20"/>
          <w:szCs w:val="20"/>
          <w:lang w:eastAsia="es-MX"/>
        </w:rPr>
        <w:t xml:space="preserve">Por un lado, el </w:t>
      </w:r>
      <w:r w:rsidRPr="004E345C">
        <w:rPr>
          <w:rFonts w:ascii="Verdana" w:eastAsia="Arial" w:hAnsi="Verdana" w:cs="Arial"/>
          <w:i/>
          <w:iCs/>
          <w:color w:val="000000"/>
          <w:sz w:val="20"/>
          <w:szCs w:val="20"/>
          <w:lang w:eastAsia="es-MX"/>
        </w:rPr>
        <w:t>primero</w:t>
      </w:r>
      <w:r w:rsidRPr="004E345C">
        <w:rPr>
          <w:rFonts w:ascii="Verdana" w:eastAsia="Arial" w:hAnsi="Verdana" w:cs="Arial"/>
          <w:color w:val="000000"/>
          <w:sz w:val="20"/>
          <w:szCs w:val="20"/>
          <w:lang w:eastAsia="es-MX"/>
        </w:rPr>
        <w:t xml:space="preserve">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 en este último los documentos o requisitos subsanables deben solicitarse, como límite final, hasta el momento previo a su realización. </w:t>
      </w:r>
    </w:p>
    <w:p w14:paraId="0AFBBC14" w14:textId="77777777" w:rsidR="00025225" w:rsidRPr="004E345C" w:rsidRDefault="00025225" w:rsidP="00025225">
      <w:pPr>
        <w:spacing w:line="240" w:lineRule="auto"/>
        <w:jc w:val="both"/>
        <w:rPr>
          <w:rFonts w:ascii="Verdana" w:eastAsia="Calibri" w:hAnsi="Verdana" w:cs="Arial"/>
          <w:sz w:val="20"/>
          <w:szCs w:val="20"/>
          <w:lang w:eastAsia="es-ES_tradnl"/>
        </w:rPr>
      </w:pPr>
      <w:r w:rsidRPr="004E345C">
        <w:rPr>
          <w:rFonts w:ascii="Verdana" w:eastAsia="Calibri" w:hAnsi="Verdana" w:cs="Arial"/>
          <w:sz w:val="20"/>
          <w:szCs w:val="20"/>
          <w:lang w:eastAsia="es-ES_tradnl"/>
        </w:rPr>
        <w:t>[…]</w:t>
      </w:r>
    </w:p>
    <w:p w14:paraId="766AF047" w14:textId="77777777" w:rsidR="00025225" w:rsidRPr="004E345C" w:rsidRDefault="00025225" w:rsidP="00025225">
      <w:pPr>
        <w:spacing w:line="240" w:lineRule="auto"/>
        <w:jc w:val="both"/>
        <w:rPr>
          <w:rFonts w:ascii="Verdana" w:eastAsia="Arial" w:hAnsi="Verdana" w:cs="Arial"/>
          <w:color w:val="000000"/>
          <w:sz w:val="20"/>
          <w:szCs w:val="20"/>
          <w:lang w:eastAsia="es-MX"/>
        </w:rPr>
      </w:pPr>
      <w:r w:rsidRPr="004E345C">
        <w:rPr>
          <w:rFonts w:ascii="Verdana" w:eastAsia="Arial" w:hAnsi="Verdana" w:cs="Arial"/>
          <w:color w:val="000000"/>
          <w:sz w:val="20"/>
          <w:szCs w:val="20"/>
          <w:lang w:eastAsia="es-MX"/>
        </w:rPr>
        <w:t xml:space="preserve">Por otro lado, el </w:t>
      </w:r>
      <w:r w:rsidRPr="004E345C">
        <w:rPr>
          <w:rFonts w:ascii="Verdana" w:eastAsia="Arial" w:hAnsi="Verdana" w:cs="Arial"/>
          <w:i/>
          <w:iCs/>
          <w:color w:val="000000"/>
          <w:sz w:val="20"/>
          <w:szCs w:val="20"/>
          <w:lang w:eastAsia="es-MX"/>
        </w:rPr>
        <w:t>segundo</w:t>
      </w:r>
      <w:r w:rsidRPr="004E345C">
        <w:rPr>
          <w:rFonts w:ascii="Verdana" w:eastAsia="Arial" w:hAnsi="Verdana" w:cs="Arial"/>
          <w:color w:val="000000"/>
          <w:sz w:val="20"/>
          <w:szCs w:val="20"/>
          <w:lang w:eastAsia="es-MX"/>
        </w:rPr>
        <w:t xml:space="preserve"> cambio importante de la Ley 1882 de 2018 </w:t>
      </w:r>
      <w:r w:rsidRPr="004E345C">
        <w:rPr>
          <w:rFonts w:ascii="Verdana" w:eastAsia="Calibri" w:hAnsi="Verdana" w:cs="Arial"/>
          <w:color w:val="000000"/>
          <w:sz w:val="20"/>
          <w:szCs w:val="20"/>
          <w:lang w:eastAsia="es-MX"/>
        </w:rPr>
        <w:t>es el correspondiente a la garantía de seriedad, a la cual hace referencia en su consulta. El parágrafo 3 del artículo 5 de la Ley 1150 de 2007, adicionado por el artículo 5 de la Ley 1882 de 2018 dispone que la falta de entrega de la garantía de seriedad es insubsanable. Al respecto, la norma prescribe lo siguiente: “Parágrafo 3o. La no entrega de la garantía de seriedad junto con la propuesta no será subsanable y será causal de rechazo de la misma”.</w:t>
      </w:r>
    </w:p>
    <w:p w14:paraId="7F90C9A7" w14:textId="77777777" w:rsidR="00025225" w:rsidRPr="004E345C" w:rsidRDefault="00025225" w:rsidP="00025225">
      <w:pPr>
        <w:spacing w:line="240" w:lineRule="auto"/>
        <w:jc w:val="both"/>
        <w:rPr>
          <w:rFonts w:ascii="Verdana" w:eastAsia="Arial" w:hAnsi="Verdana" w:cs="Arial"/>
          <w:color w:val="000000"/>
          <w:sz w:val="20"/>
          <w:szCs w:val="20"/>
          <w:lang w:eastAsia="es-MX"/>
        </w:rPr>
      </w:pPr>
      <w:r w:rsidRPr="004E345C">
        <w:rPr>
          <w:rFonts w:ascii="Verdana" w:eastAsia="Arial" w:hAnsi="Verdana" w:cs="Arial"/>
          <w:color w:val="000000"/>
          <w:sz w:val="20"/>
          <w:szCs w:val="20"/>
          <w:lang w:eastAsia="es-MX"/>
        </w:rPr>
        <w:t xml:space="preserve">Finalmente, el </w:t>
      </w:r>
      <w:r w:rsidRPr="004E345C">
        <w:rPr>
          <w:rFonts w:ascii="Verdana" w:eastAsia="Arial" w:hAnsi="Verdana" w:cs="Arial"/>
          <w:i/>
          <w:iCs/>
          <w:color w:val="000000"/>
          <w:sz w:val="20"/>
          <w:szCs w:val="20"/>
          <w:lang w:eastAsia="es-MX"/>
        </w:rPr>
        <w:t>último</w:t>
      </w:r>
      <w:r w:rsidRPr="004E345C">
        <w:rPr>
          <w:rFonts w:ascii="Verdana" w:eastAsia="Arial" w:hAnsi="Verdana" w:cs="Arial"/>
          <w:color w:val="000000"/>
          <w:sz w:val="20"/>
          <w:szCs w:val="20"/>
          <w:lang w:eastAsia="es-MX"/>
        </w:rPr>
        <w:t xml:space="preserve"> cambio de la Ley 1882 de 2018 fue la introducción de un criterio material, directamente relacionado con los aspectos subsanables: “los proponentes no podrán acreditar circunstancias ocurridas con posterioridad al cierre del proceso”</w:t>
      </w:r>
      <w:r w:rsidRPr="004E345C">
        <w:rPr>
          <w:rFonts w:ascii="Verdana" w:eastAsia="Arial" w:hAnsi="Verdana" w:cs="Arial"/>
          <w:b/>
          <w:bCs/>
          <w:color w:val="000000"/>
          <w:sz w:val="20"/>
          <w:szCs w:val="20"/>
          <w:lang w:eastAsia="es-MX"/>
        </w:rPr>
        <w:t>.</w:t>
      </w:r>
      <w:r w:rsidRPr="004E345C">
        <w:rPr>
          <w:rFonts w:ascii="Verdana" w:eastAsia="Times New Roman" w:hAnsi="Verdana" w:cs="Arial"/>
          <w:sz w:val="20"/>
          <w:szCs w:val="20"/>
          <w:bdr w:val="none" w:sz="0" w:space="0" w:color="auto" w:frame="1"/>
          <w:lang w:val="es-ES_tradnl" w:eastAsia="es-MX"/>
        </w:rPr>
        <w:t xml:space="preserve"> Esta regla tiene una finalidad particular y es que, al momento de presentar la oferta, el proponente la deberá hacerlo de forma íntegra y así evitar que a lo largo del procedimiento contractual complete o adicione su propuesta, conforme mejora su situación particular.</w:t>
      </w:r>
    </w:p>
    <w:p w14:paraId="22688930" w14:textId="77777777" w:rsidR="00025225" w:rsidRDefault="00025225" w:rsidP="00394125">
      <w:pPr>
        <w:spacing w:after="0" w:line="240" w:lineRule="auto"/>
        <w:rPr>
          <w:rFonts w:ascii="Verdana" w:eastAsia="Geomanist Light" w:hAnsi="Verdana" w:cs="Arial"/>
          <w:color w:val="000000" w:themeColor="text1"/>
          <w:lang w:val="es-MX"/>
        </w:rPr>
      </w:pPr>
    </w:p>
    <w:p w14:paraId="28C8C43C" w14:textId="77777777" w:rsidR="00025225" w:rsidRDefault="00025225" w:rsidP="00394125">
      <w:pPr>
        <w:spacing w:after="0" w:line="240" w:lineRule="auto"/>
        <w:rPr>
          <w:rFonts w:ascii="Verdana" w:eastAsia="Geomanist Light" w:hAnsi="Verdana" w:cs="Arial"/>
          <w:color w:val="000000" w:themeColor="text1"/>
          <w:lang w:val="es-MX"/>
        </w:rPr>
      </w:pPr>
    </w:p>
    <w:p w14:paraId="2799BD51" w14:textId="77777777" w:rsidR="00025225" w:rsidRDefault="00025225" w:rsidP="00394125">
      <w:pPr>
        <w:spacing w:after="0" w:line="240" w:lineRule="auto"/>
        <w:rPr>
          <w:rFonts w:ascii="Verdana" w:eastAsia="Geomanist Light" w:hAnsi="Verdana" w:cs="Arial"/>
          <w:color w:val="000000" w:themeColor="text1"/>
          <w:lang w:val="es-MX"/>
        </w:rPr>
      </w:pPr>
    </w:p>
    <w:p w14:paraId="3EBEAC83" w14:textId="77777777" w:rsidR="00025225" w:rsidRDefault="00025225" w:rsidP="00394125">
      <w:pPr>
        <w:spacing w:after="0" w:line="240" w:lineRule="auto"/>
        <w:rPr>
          <w:rFonts w:ascii="Verdana" w:eastAsia="Geomanist Light" w:hAnsi="Verdana" w:cs="Arial"/>
          <w:color w:val="000000" w:themeColor="text1"/>
          <w:lang w:val="es-MX"/>
        </w:rPr>
      </w:pPr>
    </w:p>
    <w:p w14:paraId="2483ECA5" w14:textId="77777777" w:rsidR="00025225" w:rsidRDefault="00025225" w:rsidP="00394125">
      <w:pPr>
        <w:spacing w:after="0" w:line="240" w:lineRule="auto"/>
        <w:rPr>
          <w:rFonts w:ascii="Verdana" w:eastAsia="Geomanist Light" w:hAnsi="Verdana" w:cs="Arial"/>
          <w:color w:val="000000" w:themeColor="text1"/>
          <w:lang w:val="es-MX"/>
        </w:rPr>
      </w:pPr>
    </w:p>
    <w:p w14:paraId="2C884A77" w14:textId="77777777" w:rsidR="00025225" w:rsidRDefault="00025225" w:rsidP="00394125">
      <w:pPr>
        <w:spacing w:after="0" w:line="240" w:lineRule="auto"/>
        <w:rPr>
          <w:rFonts w:ascii="Verdana" w:eastAsia="Geomanist Light" w:hAnsi="Verdana" w:cs="Arial"/>
          <w:color w:val="000000" w:themeColor="text1"/>
          <w:lang w:val="es-MX"/>
        </w:rPr>
      </w:pPr>
    </w:p>
    <w:p w14:paraId="4BD6939C" w14:textId="77777777" w:rsidR="00025225" w:rsidRDefault="00025225" w:rsidP="00394125">
      <w:pPr>
        <w:spacing w:after="0" w:line="240" w:lineRule="auto"/>
        <w:rPr>
          <w:rFonts w:ascii="Verdana" w:eastAsia="Geomanist Light" w:hAnsi="Verdana" w:cs="Arial"/>
          <w:color w:val="000000" w:themeColor="text1"/>
          <w:lang w:val="es-MX"/>
        </w:rPr>
      </w:pPr>
    </w:p>
    <w:p w14:paraId="7E21CB03" w14:textId="77777777" w:rsidR="00025225" w:rsidRDefault="00025225" w:rsidP="00394125">
      <w:pPr>
        <w:spacing w:after="0" w:line="240" w:lineRule="auto"/>
        <w:rPr>
          <w:rFonts w:ascii="Verdana" w:eastAsia="Geomanist Light" w:hAnsi="Verdana" w:cs="Arial"/>
          <w:color w:val="000000" w:themeColor="text1"/>
          <w:lang w:val="es-MX"/>
        </w:rPr>
      </w:pPr>
    </w:p>
    <w:p w14:paraId="5EBF0C8F" w14:textId="77777777" w:rsidR="00025225" w:rsidRDefault="00025225" w:rsidP="00394125">
      <w:pPr>
        <w:spacing w:after="0" w:line="240" w:lineRule="auto"/>
        <w:rPr>
          <w:rFonts w:ascii="Verdana" w:eastAsia="Geomanist Light" w:hAnsi="Verdana" w:cs="Arial"/>
          <w:color w:val="000000" w:themeColor="text1"/>
          <w:lang w:val="es-MX"/>
        </w:rPr>
      </w:pPr>
    </w:p>
    <w:p w14:paraId="70CBD0A3" w14:textId="77777777" w:rsidR="00025225" w:rsidRDefault="00025225" w:rsidP="00394125">
      <w:pPr>
        <w:spacing w:after="0" w:line="240" w:lineRule="auto"/>
        <w:rPr>
          <w:rFonts w:ascii="Verdana" w:eastAsia="Geomanist Light" w:hAnsi="Verdana" w:cs="Arial"/>
          <w:color w:val="000000" w:themeColor="text1"/>
          <w:lang w:val="es-MX"/>
        </w:rPr>
      </w:pPr>
    </w:p>
    <w:p w14:paraId="32F4B0CE" w14:textId="0EC47927" w:rsidR="00394125" w:rsidRPr="00C861EF" w:rsidRDefault="00394125" w:rsidP="00394125">
      <w:pPr>
        <w:spacing w:after="0" w:line="240" w:lineRule="auto"/>
        <w:rPr>
          <w:rFonts w:ascii="Verdana" w:eastAsia="Geomanist Light" w:hAnsi="Verdana" w:cs="Arial"/>
          <w:color w:val="201F1E"/>
          <w:lang w:val="es-MX"/>
        </w:rPr>
      </w:pPr>
      <w:r w:rsidRPr="00C861EF">
        <w:rPr>
          <w:rFonts w:ascii="Verdana" w:eastAsia="Geomanist Light" w:hAnsi="Verdana" w:cs="Arial"/>
          <w:color w:val="000000" w:themeColor="text1"/>
          <w:lang w:val="es-MX"/>
        </w:rPr>
        <w:lastRenderedPageBreak/>
        <w:t>Bogotá D.C., </w:t>
      </w:r>
      <w:r w:rsidR="006E6402">
        <w:rPr>
          <w:rFonts w:ascii="Verdana" w:eastAsia="Geomanist Light" w:hAnsi="Verdana" w:cs="Arial"/>
          <w:color w:val="201F1E"/>
          <w:lang w:val="es-MX"/>
        </w:rPr>
        <w:t>13 de septiembre de 2024</w:t>
      </w:r>
    </w:p>
    <w:p w14:paraId="702FA287" w14:textId="69A47EFC" w:rsidR="00394125" w:rsidRPr="00C861EF" w:rsidRDefault="004F0F71" w:rsidP="00394125">
      <w:pPr>
        <w:spacing w:after="0" w:line="240" w:lineRule="auto"/>
        <w:jc w:val="both"/>
        <w:rPr>
          <w:rFonts w:ascii="Verdana" w:eastAsia="Calibri" w:hAnsi="Verdana" w:cs="Arial"/>
          <w:color w:val="000000"/>
          <w:lang w:val="es-ES"/>
        </w:rPr>
      </w:pPr>
      <w:r w:rsidRPr="004F0F71">
        <w:rPr>
          <w:rFonts w:ascii="Verdana" w:eastAsia="Calibri" w:hAnsi="Verdana" w:cs="Arial"/>
          <w:noProof/>
          <w:lang w:val="es-ES" w:eastAsia="es-ES"/>
        </w:rPr>
        <w:drawing>
          <wp:anchor distT="0" distB="0" distL="114300" distR="114300" simplePos="0" relativeHeight="251658240" behindDoc="0" locked="0" layoutInCell="1" allowOverlap="1" wp14:anchorId="0264509E" wp14:editId="5B7CDDE7">
            <wp:simplePos x="0" y="0"/>
            <wp:positionH relativeFrom="margin">
              <wp:posOffset>2720340</wp:posOffset>
            </wp:positionH>
            <wp:positionV relativeFrom="paragraph">
              <wp:posOffset>13335</wp:posOffset>
            </wp:positionV>
            <wp:extent cx="2886075" cy="822244"/>
            <wp:effectExtent l="0" t="0" r="0" b="0"/>
            <wp:wrapNone/>
            <wp:docPr id="662600547"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00547" name="Imagen 1" descr="Interfaz de usuario gráfica, 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905425" cy="827757"/>
                    </a:xfrm>
                    <a:prstGeom prst="rect">
                      <a:avLst/>
                    </a:prstGeom>
                  </pic:spPr>
                </pic:pic>
              </a:graphicData>
            </a:graphic>
            <wp14:sizeRelH relativeFrom="margin">
              <wp14:pctWidth>0</wp14:pctWidth>
            </wp14:sizeRelH>
            <wp14:sizeRelV relativeFrom="margin">
              <wp14:pctHeight>0</wp14:pctHeight>
            </wp14:sizeRelV>
          </wp:anchor>
        </w:drawing>
      </w:r>
    </w:p>
    <w:p w14:paraId="6E7B111F" w14:textId="73504643" w:rsidR="00394125" w:rsidRPr="00C861EF" w:rsidRDefault="00394125" w:rsidP="00394125">
      <w:pPr>
        <w:spacing w:after="0" w:line="240" w:lineRule="auto"/>
        <w:jc w:val="both"/>
        <w:rPr>
          <w:rFonts w:ascii="Verdana" w:eastAsia="Calibri" w:hAnsi="Verdana" w:cs="Arial"/>
          <w:lang w:val="es-ES" w:eastAsia="es-ES"/>
        </w:rPr>
      </w:pPr>
      <w:r w:rsidRPr="00C861EF">
        <w:rPr>
          <w:rFonts w:ascii="Verdana" w:eastAsia="Calibri" w:hAnsi="Verdana" w:cs="Arial"/>
          <w:lang w:val="es-ES" w:eastAsia="es-ES"/>
        </w:rPr>
        <w:t>Señora</w:t>
      </w:r>
    </w:p>
    <w:p w14:paraId="024CCAAD" w14:textId="77777777" w:rsidR="00394125" w:rsidRPr="00C861EF" w:rsidRDefault="00394125" w:rsidP="00394125">
      <w:pPr>
        <w:spacing w:after="0" w:line="240" w:lineRule="auto"/>
        <w:rPr>
          <w:rFonts w:ascii="Verdana" w:eastAsia="Calibri" w:hAnsi="Verdana" w:cs="Arial"/>
          <w:b/>
          <w:lang w:val="es-ES_tradnl" w:eastAsia="es-ES_tradnl"/>
        </w:rPr>
      </w:pPr>
      <w:r w:rsidRPr="00C861EF">
        <w:rPr>
          <w:rFonts w:ascii="Verdana" w:eastAsia="Calibri" w:hAnsi="Verdana" w:cs="Arial"/>
          <w:b/>
          <w:lang w:val="es-ES_tradnl" w:eastAsia="es-ES_tradnl"/>
        </w:rPr>
        <w:t>Sofia González</w:t>
      </w:r>
    </w:p>
    <w:p w14:paraId="5707FE6D" w14:textId="77777777" w:rsidR="00394125" w:rsidRPr="00C861EF" w:rsidRDefault="00394125" w:rsidP="00394125">
      <w:pPr>
        <w:spacing w:after="0" w:line="240" w:lineRule="auto"/>
        <w:rPr>
          <w:rFonts w:ascii="Verdana" w:eastAsia="Calibri" w:hAnsi="Verdana" w:cs="Arial"/>
          <w:color w:val="4472C4" w:themeColor="accent1"/>
          <w:u w:val="single"/>
          <w:lang w:val="es-ES" w:eastAsia="es-ES"/>
        </w:rPr>
      </w:pPr>
      <w:hyperlink r:id="rId12" w:history="1">
        <w:r w:rsidRPr="00C861EF">
          <w:rPr>
            <w:rStyle w:val="Hipervnculo"/>
            <w:rFonts w:ascii="Verdana" w:eastAsia="Calibri" w:hAnsi="Verdana" w:cs="Arial"/>
            <w:color w:val="4472C4" w:themeColor="accent1"/>
            <w:lang w:val="es-ES" w:eastAsia="es-ES"/>
          </w:rPr>
          <w:t>sofia.gonzalezb@urosario.edu.co</w:t>
        </w:r>
      </w:hyperlink>
    </w:p>
    <w:p w14:paraId="68B8828D" w14:textId="77777777" w:rsidR="00394125" w:rsidRPr="00C861EF" w:rsidRDefault="00394125" w:rsidP="00394125">
      <w:pPr>
        <w:spacing w:after="0" w:line="240" w:lineRule="auto"/>
        <w:rPr>
          <w:rFonts w:ascii="Verdana" w:eastAsia="Calibri" w:hAnsi="Verdana" w:cs="Arial"/>
          <w:b/>
          <w:bCs/>
          <w:lang w:val="es-ES" w:eastAsia="es-ES"/>
        </w:rPr>
      </w:pPr>
      <w:r w:rsidRPr="00C861EF">
        <w:rPr>
          <w:rFonts w:ascii="Verdana" w:eastAsia="Calibri" w:hAnsi="Verdana" w:cs="Arial"/>
          <w:lang w:val="es-ES" w:eastAsia="es-ES"/>
        </w:rPr>
        <w:t>Bogotá D.C.</w:t>
      </w:r>
      <w:r w:rsidRPr="00C861EF">
        <w:rPr>
          <w:rStyle w:val="Refdecomentario"/>
          <w:rFonts w:ascii="Verdana" w:hAnsi="Verdana"/>
        </w:rPr>
        <w:t xml:space="preserve"> </w:t>
      </w:r>
    </w:p>
    <w:p w14:paraId="09753BBC" w14:textId="77777777" w:rsidR="00394125" w:rsidRPr="00C861EF" w:rsidRDefault="00394125" w:rsidP="00394125">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394125" w:rsidRPr="00C861EF" w14:paraId="38A3A71C" w14:textId="77777777" w:rsidTr="00C21F74">
        <w:trPr>
          <w:trHeight w:val="884"/>
        </w:trPr>
        <w:tc>
          <w:tcPr>
            <w:tcW w:w="2689" w:type="dxa"/>
          </w:tcPr>
          <w:p w14:paraId="71814CF9" w14:textId="77777777" w:rsidR="00394125" w:rsidRPr="00C861EF" w:rsidRDefault="00394125" w:rsidP="00C21F74">
            <w:pPr>
              <w:jc w:val="both"/>
              <w:rPr>
                <w:rFonts w:ascii="Verdana" w:eastAsia="Calibri" w:hAnsi="Verdana" w:cs="Arial"/>
                <w:b/>
                <w:bCs/>
                <w:lang w:val="es-ES_tradnl" w:eastAsia="es-ES_tradnl"/>
              </w:rPr>
            </w:pPr>
          </w:p>
        </w:tc>
        <w:tc>
          <w:tcPr>
            <w:tcW w:w="6100" w:type="dxa"/>
          </w:tcPr>
          <w:p w14:paraId="0872D6B6" w14:textId="77777777" w:rsidR="00394125" w:rsidRPr="00C861EF" w:rsidRDefault="00394125" w:rsidP="00C21F74">
            <w:pPr>
              <w:jc w:val="both"/>
              <w:rPr>
                <w:rFonts w:ascii="Verdana" w:eastAsia="Calibri" w:hAnsi="Verdana" w:cs="Arial"/>
                <w:b/>
                <w:bCs/>
                <w:lang w:val="es-ES" w:eastAsia="es-ES"/>
              </w:rPr>
            </w:pPr>
            <w:r w:rsidRPr="00C861EF">
              <w:rPr>
                <w:rFonts w:ascii="Verdana" w:eastAsia="Calibri" w:hAnsi="Verdana" w:cs="Arial"/>
                <w:b/>
                <w:bCs/>
                <w:lang w:val="es-ES" w:eastAsia="es-ES"/>
              </w:rPr>
              <w:t>Concepto C-426 de 2024</w:t>
            </w:r>
          </w:p>
        </w:tc>
      </w:tr>
      <w:tr w:rsidR="00394125" w:rsidRPr="00C861EF" w14:paraId="09A5247D" w14:textId="77777777" w:rsidTr="00C21F74">
        <w:trPr>
          <w:trHeight w:val="884"/>
        </w:trPr>
        <w:tc>
          <w:tcPr>
            <w:tcW w:w="2689" w:type="dxa"/>
          </w:tcPr>
          <w:p w14:paraId="794EB057" w14:textId="77777777" w:rsidR="00394125" w:rsidRPr="00C861EF" w:rsidRDefault="00394125" w:rsidP="00C21F74">
            <w:pPr>
              <w:jc w:val="both"/>
              <w:rPr>
                <w:rFonts w:ascii="Verdana" w:eastAsia="Calibri" w:hAnsi="Verdana" w:cs="Arial"/>
                <w:lang w:val="es-ES_tradnl" w:eastAsia="es-ES_tradnl"/>
              </w:rPr>
            </w:pPr>
            <w:r w:rsidRPr="00C861EF">
              <w:rPr>
                <w:rFonts w:ascii="Verdana" w:eastAsia="Calibri" w:hAnsi="Verdana" w:cs="Arial"/>
                <w:b/>
                <w:lang w:val="es-ES_tradnl" w:eastAsia="es-ES_tradnl"/>
              </w:rPr>
              <w:t>Temas:</w:t>
            </w:r>
            <w:r w:rsidRPr="00C861EF">
              <w:rPr>
                <w:rFonts w:ascii="Verdana" w:eastAsia="Calibri" w:hAnsi="Verdana" w:cs="Arial"/>
                <w:lang w:val="es-ES_tradnl" w:eastAsia="es-ES_tradnl"/>
              </w:rPr>
              <w:t xml:space="preserve">                   </w:t>
            </w:r>
          </w:p>
        </w:tc>
        <w:tc>
          <w:tcPr>
            <w:tcW w:w="6100" w:type="dxa"/>
          </w:tcPr>
          <w:p w14:paraId="5ACFEB45" w14:textId="77777777" w:rsidR="00394125" w:rsidRPr="00C861EF" w:rsidRDefault="00394125" w:rsidP="00C21F74">
            <w:pPr>
              <w:spacing w:line="276" w:lineRule="auto"/>
              <w:jc w:val="both"/>
              <w:rPr>
                <w:rFonts w:ascii="Verdana" w:eastAsia="Calibri" w:hAnsi="Verdana" w:cs="Arial"/>
                <w:lang w:val="es-ES" w:eastAsia="es-ES"/>
              </w:rPr>
            </w:pPr>
            <w:r w:rsidRPr="00C861EF">
              <w:rPr>
                <w:rFonts w:ascii="Verdana" w:eastAsia="Calibri" w:hAnsi="Verdana" w:cs="Arial"/>
                <w:lang w:val="es-ES" w:eastAsia="es-ES"/>
              </w:rPr>
              <w:t>REQUISITOS HABILITANTES – Concepto / REQUISITOS HABILITANTES – Carácter enunciativo – Artículo 5 de la Ley 1150 de 2007 / SUBSANABILIDAD – Regla – Requisitos habilitantes – Ley 1882 de 2018</w:t>
            </w:r>
          </w:p>
          <w:p w14:paraId="7581A508" w14:textId="77777777" w:rsidR="00394125" w:rsidRPr="00C861EF" w:rsidRDefault="00394125" w:rsidP="00C21F74">
            <w:pPr>
              <w:spacing w:line="276" w:lineRule="auto"/>
              <w:jc w:val="both"/>
              <w:rPr>
                <w:rFonts w:ascii="Verdana" w:eastAsia="Calibri" w:hAnsi="Verdana" w:cs="Arial"/>
                <w:lang w:val="es-ES" w:eastAsia="es-ES"/>
              </w:rPr>
            </w:pPr>
          </w:p>
        </w:tc>
      </w:tr>
      <w:tr w:rsidR="00394125" w:rsidRPr="00C861EF" w14:paraId="2E2E612A" w14:textId="77777777" w:rsidTr="00C21F74">
        <w:tc>
          <w:tcPr>
            <w:tcW w:w="2689" w:type="dxa"/>
          </w:tcPr>
          <w:p w14:paraId="1F757733" w14:textId="77777777" w:rsidR="00394125" w:rsidRPr="00C861EF" w:rsidRDefault="00394125" w:rsidP="00C21F74">
            <w:pPr>
              <w:jc w:val="both"/>
              <w:rPr>
                <w:rFonts w:ascii="Verdana" w:eastAsia="Calibri" w:hAnsi="Verdana" w:cs="Arial"/>
                <w:b/>
                <w:lang w:val="es-ES_tradnl" w:eastAsia="es-ES_tradnl"/>
              </w:rPr>
            </w:pPr>
            <w:r w:rsidRPr="00C861EF">
              <w:rPr>
                <w:rFonts w:ascii="Verdana" w:eastAsia="Calibri" w:hAnsi="Verdana" w:cs="Arial"/>
                <w:b/>
                <w:lang w:val="es-ES_tradnl" w:eastAsia="es-ES_tradnl"/>
              </w:rPr>
              <w:t>Radicación:</w:t>
            </w:r>
            <w:r w:rsidRPr="00C861EF">
              <w:rPr>
                <w:rFonts w:ascii="Verdana" w:eastAsia="Calibri" w:hAnsi="Verdana" w:cs="Arial"/>
                <w:lang w:val="es-ES_tradnl" w:eastAsia="es-ES_tradnl"/>
              </w:rPr>
              <w:t xml:space="preserve">               </w:t>
            </w:r>
          </w:p>
        </w:tc>
        <w:tc>
          <w:tcPr>
            <w:tcW w:w="6100" w:type="dxa"/>
          </w:tcPr>
          <w:p w14:paraId="786AA44F" w14:textId="77777777" w:rsidR="00394125" w:rsidRPr="00C861EF" w:rsidRDefault="00394125" w:rsidP="00C21F74">
            <w:pPr>
              <w:jc w:val="both"/>
              <w:rPr>
                <w:rFonts w:ascii="Verdana" w:eastAsia="Calibri" w:hAnsi="Verdana" w:cs="Arial"/>
                <w:lang w:val="es-ES_tradnl" w:eastAsia="es-ES_tradnl"/>
              </w:rPr>
            </w:pPr>
            <w:r w:rsidRPr="00C861EF">
              <w:rPr>
                <w:rFonts w:ascii="Verdana" w:eastAsia="Calibri" w:hAnsi="Verdana" w:cs="Arial"/>
                <w:lang w:val="es-ES_tradnl" w:eastAsia="es-ES_tradnl"/>
              </w:rPr>
              <w:t>Respuesta a consulta con radicado No. P20240731007891</w:t>
            </w:r>
          </w:p>
        </w:tc>
      </w:tr>
    </w:tbl>
    <w:p w14:paraId="4452427A" w14:textId="77777777" w:rsidR="00394125" w:rsidRPr="00C861EF" w:rsidRDefault="00394125" w:rsidP="00394125">
      <w:pPr>
        <w:spacing w:after="0" w:line="240" w:lineRule="auto"/>
        <w:jc w:val="both"/>
        <w:rPr>
          <w:rFonts w:ascii="Verdana" w:eastAsia="Calibri" w:hAnsi="Verdana" w:cs="Arial"/>
          <w:lang w:val="es-ES_tradnl" w:eastAsia="es-ES_tradnl"/>
        </w:rPr>
      </w:pPr>
    </w:p>
    <w:p w14:paraId="22CD2155" w14:textId="77777777" w:rsidR="00394125" w:rsidRPr="00C861EF" w:rsidRDefault="00394125" w:rsidP="00394125">
      <w:pPr>
        <w:spacing w:after="0" w:line="240" w:lineRule="auto"/>
        <w:jc w:val="both"/>
        <w:rPr>
          <w:rFonts w:ascii="Verdana" w:eastAsia="Calibri" w:hAnsi="Verdana" w:cs="Arial"/>
          <w:lang w:val="es-ES_tradnl" w:eastAsia="es-ES_tradnl"/>
        </w:rPr>
      </w:pPr>
    </w:p>
    <w:p w14:paraId="328479A5" w14:textId="77777777" w:rsidR="00394125" w:rsidRPr="00C861EF" w:rsidRDefault="00394125" w:rsidP="00394125">
      <w:pPr>
        <w:spacing w:after="0" w:line="276" w:lineRule="auto"/>
        <w:jc w:val="both"/>
        <w:rPr>
          <w:rFonts w:ascii="Verdana" w:eastAsia="Calibri" w:hAnsi="Verdana" w:cs="Arial"/>
          <w:lang w:val="es-ES" w:eastAsia="es-ES"/>
        </w:rPr>
      </w:pPr>
      <w:r w:rsidRPr="00C861EF">
        <w:rPr>
          <w:rFonts w:ascii="Verdana" w:eastAsia="Calibri" w:hAnsi="Verdana" w:cs="Arial"/>
          <w:lang w:val="es-ES" w:eastAsia="es-ES"/>
        </w:rPr>
        <w:t xml:space="preserve">Estimada señora Sofia: </w:t>
      </w:r>
    </w:p>
    <w:p w14:paraId="1F3B7886" w14:textId="77777777" w:rsidR="00394125" w:rsidRPr="00C861EF" w:rsidRDefault="00394125" w:rsidP="00394125">
      <w:pPr>
        <w:tabs>
          <w:tab w:val="left" w:pos="3768"/>
        </w:tabs>
        <w:spacing w:after="0" w:line="276" w:lineRule="auto"/>
        <w:jc w:val="both"/>
        <w:rPr>
          <w:rFonts w:ascii="Verdana" w:eastAsia="Calibri" w:hAnsi="Verdana" w:cs="Arial"/>
          <w:lang w:val="es-ES" w:eastAsia="es-ES"/>
        </w:rPr>
      </w:pPr>
      <w:r w:rsidRPr="00C861EF">
        <w:rPr>
          <w:rFonts w:ascii="Verdana" w:eastAsia="Calibri" w:hAnsi="Verdana" w:cs="Arial"/>
          <w:lang w:val="es-ES" w:eastAsia="es-ES"/>
        </w:rPr>
        <w:tab/>
      </w:r>
    </w:p>
    <w:p w14:paraId="478B6E64" w14:textId="77777777" w:rsidR="00394125" w:rsidRPr="00C861EF" w:rsidRDefault="00394125" w:rsidP="00394125">
      <w:pPr>
        <w:spacing w:after="0" w:line="276" w:lineRule="auto"/>
        <w:jc w:val="both"/>
        <w:rPr>
          <w:rFonts w:ascii="Verdana" w:eastAsia="Calibri" w:hAnsi="Verdana" w:cs="Arial"/>
          <w:lang w:val="es-ES" w:eastAsia="es-ES"/>
        </w:rPr>
      </w:pPr>
      <w:r w:rsidRPr="00C861EF">
        <w:rPr>
          <w:rFonts w:ascii="Verdana" w:eastAsia="Calibri" w:hAnsi="Verdana" w:cs="Arial"/>
          <w:lang w:val="es-ES" w:eastAsia="es-ES"/>
        </w:rPr>
        <w:t>En ejercicio de la competencia otorgada por los artículos 3, numeral 5º, y 11, numeral 8º, del Decreto Ley 4170 de 2011,</w:t>
      </w:r>
      <w:r w:rsidRPr="00C861EF">
        <w:rPr>
          <w:rFonts w:ascii="Verdana" w:eastAsia="Arial MT" w:hAnsi="Verdana" w:cs="Arial MT"/>
          <w:lang w:val="es-ES" w:eastAsia="es-ES"/>
        </w:rPr>
        <w:t xml:space="preserve"> </w:t>
      </w:r>
      <w:r w:rsidRPr="00C861EF">
        <w:rPr>
          <w:rFonts w:ascii="Verdana" w:hAnsi="Verdana" w:cs="Arial"/>
        </w:rPr>
        <w:t xml:space="preserve">así como lo establecido en el artículo 4 de la Resolución 1707 de 2018 expedida por esta Entidad, </w:t>
      </w:r>
      <w:r w:rsidRPr="00C861EF">
        <w:rPr>
          <w:rFonts w:ascii="Verdana" w:eastAsia="Calibri" w:hAnsi="Verdana" w:cs="Arial"/>
          <w:lang w:val="es-ES" w:eastAsia="es-ES"/>
        </w:rPr>
        <w:t xml:space="preserve">la Agencia Nacional de Contratación Pública –Colombia Compra Eficiente– responde su solicitud de consulta, remitida por la Superintendencia de Industria y Comercio el 31 de julio de 2024 con oficio remisorio No. </w:t>
      </w:r>
      <w:r w:rsidRPr="00C861EF">
        <w:rPr>
          <w:rFonts w:ascii="Verdana" w:eastAsia="Calibri" w:hAnsi="Verdana" w:cs="Arial"/>
          <w:lang w:eastAsia="es-ES"/>
        </w:rPr>
        <w:t>24-305377</w:t>
      </w:r>
      <w:r w:rsidRPr="00C861EF">
        <w:rPr>
          <w:rFonts w:ascii="Verdana" w:eastAsia="Calibri" w:hAnsi="Verdana" w:cs="Arial"/>
          <w:lang w:val="es-ES" w:eastAsia="es-ES"/>
        </w:rPr>
        <w:t xml:space="preserve">, en la cual manifiesta lo siguiente: </w:t>
      </w:r>
    </w:p>
    <w:p w14:paraId="4B16D7A1" w14:textId="77777777" w:rsidR="00394125" w:rsidRPr="00C861EF" w:rsidRDefault="00394125" w:rsidP="00394125">
      <w:pPr>
        <w:pStyle w:val="Prrafodelista"/>
        <w:tabs>
          <w:tab w:val="left" w:pos="142"/>
          <w:tab w:val="left" w:pos="284"/>
        </w:tabs>
        <w:spacing w:line="276" w:lineRule="auto"/>
        <w:ind w:left="0"/>
        <w:jc w:val="both"/>
        <w:rPr>
          <w:rFonts w:ascii="Verdana" w:eastAsia="Century Gothic" w:hAnsi="Verdana" w:cs="Century Gothic"/>
          <w:b/>
          <w:bCs/>
        </w:rPr>
      </w:pPr>
    </w:p>
    <w:p w14:paraId="465B2B82" w14:textId="77777777" w:rsidR="00394125" w:rsidRPr="00C861EF" w:rsidRDefault="00394125" w:rsidP="00394125">
      <w:pPr>
        <w:spacing w:after="0" w:line="240" w:lineRule="auto"/>
        <w:ind w:left="709" w:right="709"/>
        <w:jc w:val="both"/>
        <w:rPr>
          <w:rFonts w:ascii="Verdana" w:hAnsi="Verdana" w:cs="Arial"/>
          <w:sz w:val="20"/>
          <w:szCs w:val="20"/>
          <w:shd w:val="clear" w:color="auto" w:fill="FFFFFF"/>
        </w:rPr>
      </w:pPr>
      <w:bookmarkStart w:id="0" w:name="_Hlk95313578"/>
      <w:r w:rsidRPr="00C861EF">
        <w:rPr>
          <w:rFonts w:ascii="Verdana" w:eastAsia="Century Gothic" w:hAnsi="Verdana" w:cs="Century Gothic"/>
          <w:sz w:val="20"/>
          <w:szCs w:val="20"/>
          <w:lang w:val="es-ES"/>
        </w:rPr>
        <w:t>“</w:t>
      </w:r>
      <w:r w:rsidRPr="00C861EF">
        <w:rPr>
          <w:rFonts w:ascii="Verdana" w:hAnsi="Verdana" w:cs="Arial"/>
          <w:sz w:val="20"/>
          <w:szCs w:val="20"/>
          <w:shd w:val="clear" w:color="auto" w:fill="FFFFFF"/>
        </w:rPr>
        <w:t xml:space="preserve">1. En el marco de procesos licitatorios que ordene la ley, ¿es jurídicamente viable otorgar un derecho a igualar o mejorar oferta, a favor de un participante específico? </w:t>
      </w:r>
    </w:p>
    <w:p w14:paraId="32A0E2E8" w14:textId="77777777" w:rsidR="00394125" w:rsidRPr="00C861EF" w:rsidRDefault="00394125" w:rsidP="00394125">
      <w:pPr>
        <w:spacing w:after="0" w:line="240" w:lineRule="auto"/>
        <w:ind w:left="709" w:right="709"/>
        <w:jc w:val="both"/>
        <w:rPr>
          <w:rFonts w:ascii="Verdana" w:eastAsia="Century Gothic" w:hAnsi="Verdana" w:cs="Century Gothic"/>
          <w:sz w:val="20"/>
          <w:szCs w:val="20"/>
          <w:lang w:val="es-ES"/>
        </w:rPr>
      </w:pPr>
      <w:r w:rsidRPr="00C861EF">
        <w:rPr>
          <w:rFonts w:ascii="Verdana" w:hAnsi="Verdana" w:cs="Arial"/>
          <w:sz w:val="20"/>
          <w:szCs w:val="20"/>
          <w:shd w:val="clear" w:color="auto" w:fill="FFFFFF"/>
        </w:rPr>
        <w:t>2. En el marco de estos procesos licitatorios, ¿es viable pactar dentro de sus condiciones la posibilidad de tener una segunda ronda de presentación de posturas después de la primera adjudicación?</w:t>
      </w:r>
      <w:r w:rsidRPr="00C861EF">
        <w:rPr>
          <w:rFonts w:ascii="Verdana" w:eastAsia="Century Gothic" w:hAnsi="Verdana" w:cs="Century Gothic"/>
          <w:sz w:val="20"/>
          <w:szCs w:val="20"/>
          <w:lang w:val="es-ES"/>
        </w:rPr>
        <w:t>”</w:t>
      </w:r>
      <w:bookmarkEnd w:id="0"/>
      <w:r w:rsidRPr="00C861EF">
        <w:rPr>
          <w:rFonts w:ascii="Verdana" w:eastAsia="Century Gothic" w:hAnsi="Verdana" w:cs="Century Gothic"/>
          <w:sz w:val="20"/>
          <w:szCs w:val="20"/>
          <w:lang w:val="es-ES"/>
        </w:rPr>
        <w:t>.</w:t>
      </w:r>
    </w:p>
    <w:p w14:paraId="612DBF76" w14:textId="77777777" w:rsidR="00394125" w:rsidRPr="00C861EF" w:rsidRDefault="00394125" w:rsidP="00394125">
      <w:pPr>
        <w:pStyle w:val="Prrafodelista"/>
        <w:tabs>
          <w:tab w:val="left" w:pos="142"/>
          <w:tab w:val="left" w:pos="284"/>
        </w:tabs>
        <w:spacing w:line="276" w:lineRule="auto"/>
        <w:ind w:left="0"/>
        <w:jc w:val="both"/>
        <w:rPr>
          <w:rFonts w:ascii="Verdana" w:eastAsia="Century Gothic" w:hAnsi="Verdana" w:cs="Century Gothic"/>
          <w:b/>
          <w:bCs/>
        </w:rPr>
      </w:pPr>
    </w:p>
    <w:p w14:paraId="33170243" w14:textId="77777777" w:rsidR="00394125" w:rsidRPr="00C861EF" w:rsidRDefault="00394125" w:rsidP="00394125">
      <w:pPr>
        <w:spacing w:after="120" w:line="276" w:lineRule="auto"/>
        <w:ind w:firstLine="709"/>
        <w:jc w:val="both"/>
        <w:rPr>
          <w:rFonts w:ascii="Verdana" w:eastAsia="Calibri" w:hAnsi="Verdana" w:cs="Arial"/>
          <w:color w:val="000000"/>
          <w:szCs w:val="24"/>
          <w:lang w:val="es-ES_tradnl" w:eastAsia="es-ES_tradnl"/>
        </w:rPr>
      </w:pPr>
      <w:r w:rsidRPr="00C861E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w:t>
      </w:r>
      <w:r w:rsidRPr="00C861EF">
        <w:rPr>
          <w:rFonts w:ascii="Verdana" w:eastAsia="Calibri" w:hAnsi="Verdana" w:cs="Arial"/>
          <w:color w:val="000000"/>
          <w:lang w:val="es-ES" w:eastAsia="es-ES"/>
        </w:rPr>
        <w:lastRenderedPageBreak/>
        <w:t xml:space="preserve">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C861EF">
        <w:rPr>
          <w:rFonts w:ascii="Verdana" w:eastAsia="Calibri" w:hAnsi="Verdana" w:cs="Arial"/>
          <w:color w:val="000000"/>
          <w:szCs w:val="24"/>
          <w:lang w:val="es-ES_tradnl" w:eastAsia="es-ES_tradnl"/>
        </w:rPr>
        <w:tab/>
      </w:r>
    </w:p>
    <w:p w14:paraId="14BE8980" w14:textId="77777777" w:rsidR="00394125" w:rsidRPr="00C861EF" w:rsidRDefault="00394125" w:rsidP="00394125">
      <w:pPr>
        <w:spacing w:after="0" w:line="276" w:lineRule="auto"/>
        <w:ind w:firstLine="709"/>
        <w:jc w:val="both"/>
        <w:rPr>
          <w:rFonts w:ascii="Verdana" w:eastAsia="Calibri" w:hAnsi="Verdana" w:cs="Arial"/>
          <w:lang w:val="es-ES" w:eastAsia="es-ES"/>
        </w:rPr>
      </w:pPr>
      <w:r w:rsidRPr="00C861EF">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w:t>
      </w:r>
      <w:r w:rsidRPr="00C861EF">
        <w:rPr>
          <w:rFonts w:ascii="Verdana" w:eastAsia="Calibri" w:hAnsi="Verdana" w:cs="Arial"/>
          <w:lang w:val="es-ES" w:eastAsia="es-ES"/>
        </w:rPr>
        <w:t xml:space="preserve">concretas mencionadas en su petición, pero haciendo unas consideraciones sobre las normas generales relacionadas con los problemas jurídicos de su consulta. </w:t>
      </w:r>
    </w:p>
    <w:p w14:paraId="6CADC013" w14:textId="77777777" w:rsidR="00394125" w:rsidRPr="00C861EF" w:rsidRDefault="00394125" w:rsidP="00394125">
      <w:pPr>
        <w:spacing w:after="0" w:line="276" w:lineRule="auto"/>
        <w:ind w:firstLine="709"/>
        <w:jc w:val="both"/>
        <w:rPr>
          <w:rFonts w:ascii="Verdana" w:eastAsia="Calibri" w:hAnsi="Verdana" w:cs="Arial"/>
          <w:lang w:val="es-ES" w:eastAsia="es-ES"/>
        </w:rPr>
      </w:pPr>
    </w:p>
    <w:p w14:paraId="60AE8B2B" w14:textId="77777777" w:rsidR="00394125" w:rsidRPr="00C861EF" w:rsidRDefault="00394125" w:rsidP="00394125">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C861EF">
        <w:rPr>
          <w:rFonts w:ascii="Verdana" w:eastAsia="Century Gothic" w:hAnsi="Verdana" w:cs="Century Gothic"/>
          <w:b/>
          <w:bCs/>
        </w:rPr>
        <w:t>Problema planteado:</w:t>
      </w:r>
    </w:p>
    <w:p w14:paraId="231DCA9D" w14:textId="77777777" w:rsidR="00394125" w:rsidRPr="00C861EF" w:rsidRDefault="00394125" w:rsidP="00394125">
      <w:pPr>
        <w:tabs>
          <w:tab w:val="left" w:pos="426"/>
        </w:tabs>
        <w:spacing w:after="0" w:line="276" w:lineRule="auto"/>
        <w:jc w:val="both"/>
        <w:rPr>
          <w:rFonts w:ascii="Verdana" w:eastAsia="Century Gothic" w:hAnsi="Verdana" w:cs="Century Gothic"/>
          <w:lang w:val="es-ES"/>
        </w:rPr>
      </w:pPr>
    </w:p>
    <w:p w14:paraId="48F2A248" w14:textId="77777777" w:rsidR="00394125" w:rsidRPr="00C861EF" w:rsidRDefault="00394125" w:rsidP="00394125">
      <w:pPr>
        <w:spacing w:after="0" w:line="276" w:lineRule="auto"/>
        <w:jc w:val="both"/>
        <w:rPr>
          <w:rFonts w:ascii="Verdana" w:eastAsia="Century Gothic" w:hAnsi="Verdana" w:cs="Century Gothic"/>
        </w:rPr>
      </w:pPr>
      <w:r w:rsidRPr="00C861EF">
        <w:rPr>
          <w:rFonts w:ascii="Verdana" w:eastAsia="Century Gothic" w:hAnsi="Verdana" w:cs="Century Gothic"/>
        </w:rPr>
        <w:t>De acuerdo con el contenido de su solicitud, esta Agencia resolverá los siguientes problemas jurídicos: 1) ¿</w:t>
      </w:r>
      <w:r w:rsidRPr="00C861EF">
        <w:rPr>
          <w:rFonts w:ascii="Verdana" w:hAnsi="Verdana"/>
        </w:rPr>
        <w:t>Es</w:t>
      </w:r>
      <w:r w:rsidRPr="00C861EF">
        <w:rPr>
          <w:rFonts w:ascii="Verdana" w:eastAsia="Century Gothic" w:hAnsi="Verdana" w:cs="Century Gothic"/>
        </w:rPr>
        <w:t xml:space="preserve"> posible para los proponentes mejorar las ofertas en un proceso de selección? Y, 2) ¿Es posible que exista una segunda adjudicación en un proceso de selección? </w:t>
      </w:r>
    </w:p>
    <w:p w14:paraId="1F48754E" w14:textId="77777777" w:rsidR="00394125" w:rsidRPr="00C861EF" w:rsidRDefault="00394125" w:rsidP="00394125">
      <w:pPr>
        <w:spacing w:after="0" w:line="276" w:lineRule="auto"/>
        <w:jc w:val="both"/>
        <w:rPr>
          <w:rFonts w:ascii="Verdana" w:eastAsia="Calibri" w:hAnsi="Verdana" w:cs="Arial"/>
          <w:lang w:val="es-ES"/>
        </w:rPr>
      </w:pPr>
    </w:p>
    <w:p w14:paraId="39C90050" w14:textId="77777777" w:rsidR="00394125" w:rsidRPr="00C861EF" w:rsidRDefault="00394125" w:rsidP="0039412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861EF">
        <w:rPr>
          <w:rFonts w:ascii="Verdana" w:eastAsia="Century Gothic" w:hAnsi="Verdana" w:cs="Century Gothic"/>
          <w:b/>
          <w:bCs/>
        </w:rPr>
        <w:t>Respuesta:</w:t>
      </w:r>
    </w:p>
    <w:p w14:paraId="6F1DC1C5" w14:textId="77777777" w:rsidR="00394125" w:rsidRPr="00C861EF" w:rsidRDefault="00394125" w:rsidP="00394125">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394125" w:rsidRPr="00C861EF" w14:paraId="460CDD07" w14:textId="77777777" w:rsidTr="00791542">
        <w:trPr>
          <w:trHeight w:val="2755"/>
        </w:trPr>
        <w:tc>
          <w:tcPr>
            <w:tcW w:w="8828" w:type="dxa"/>
            <w:shd w:val="clear" w:color="auto" w:fill="auto"/>
          </w:tcPr>
          <w:p w14:paraId="02C2364C" w14:textId="3EB0FF04" w:rsidR="00547175" w:rsidRPr="00C861EF" w:rsidRDefault="00C7637C" w:rsidP="00547175">
            <w:pPr>
              <w:pStyle w:val="Prrafodelista"/>
              <w:numPr>
                <w:ilvl w:val="0"/>
                <w:numId w:val="19"/>
              </w:numPr>
              <w:spacing w:line="276" w:lineRule="auto"/>
              <w:jc w:val="both"/>
              <w:rPr>
                <w:rFonts w:ascii="Verdana" w:eastAsia="Calibri" w:hAnsi="Verdana" w:cs="Arial"/>
              </w:rPr>
            </w:pPr>
            <w:r w:rsidRPr="00C861EF">
              <w:rPr>
                <w:rFonts w:ascii="Verdana" w:eastAsia="Calibri" w:hAnsi="Verdana" w:cs="Arial"/>
              </w:rPr>
              <w:t xml:space="preserve">Frente al primer interrogante planteado, </w:t>
            </w:r>
            <w:r w:rsidR="004F6856" w:rsidRPr="00C861EF">
              <w:rPr>
                <w:rFonts w:ascii="Verdana" w:hAnsi="Verdana"/>
              </w:rPr>
              <w:t xml:space="preserve">es menester señalar que la subsanabilidad es un mecanismo previsto en los procedimientos regulados por el Estatuto de Contratación Estatal de Colombia; regla prevista en </w:t>
            </w:r>
            <w:r w:rsidR="005C01FC" w:rsidRPr="00C861EF">
              <w:rPr>
                <w:rFonts w:ascii="Verdana" w:hAnsi="Verdana"/>
              </w:rPr>
              <w:t>los parágrafos</w:t>
            </w:r>
            <w:r w:rsidR="004F6856" w:rsidRPr="00C861EF">
              <w:rPr>
                <w:rFonts w:ascii="Verdana" w:hAnsi="Verdana"/>
              </w:rPr>
              <w:t xml:space="preserve"> 1 al 4 del artículo 5 de la Ley 1150 de 2007, modificado por la Ley 1882 de 2018, en tanto que permite que los proponentes puedan enmendar, corregir o modificar los errores en los documentos de la oferta respecto a los requisitos habilitantes. </w:t>
            </w:r>
          </w:p>
          <w:p w14:paraId="5C895F2F" w14:textId="77777777" w:rsidR="00547175" w:rsidRPr="00C861EF" w:rsidRDefault="00547175" w:rsidP="00547175">
            <w:pPr>
              <w:pStyle w:val="Prrafodelista"/>
              <w:spacing w:line="276" w:lineRule="auto"/>
              <w:jc w:val="both"/>
              <w:rPr>
                <w:rFonts w:ascii="Verdana" w:eastAsia="Calibri" w:hAnsi="Verdana" w:cs="Arial"/>
              </w:rPr>
            </w:pPr>
          </w:p>
          <w:p w14:paraId="0F80B451" w14:textId="6FA9B4C8" w:rsidR="00CE45D0" w:rsidRPr="00C861EF" w:rsidRDefault="00CE45D0" w:rsidP="00547175">
            <w:pPr>
              <w:pStyle w:val="Prrafodelista"/>
              <w:spacing w:line="276" w:lineRule="auto"/>
              <w:jc w:val="both"/>
              <w:rPr>
                <w:rFonts w:ascii="Verdana" w:eastAsia="Calibri" w:hAnsi="Verdana" w:cs="Arial"/>
                <w:bCs/>
              </w:rPr>
            </w:pPr>
            <w:r w:rsidRPr="00C861EF">
              <w:rPr>
                <w:rFonts w:ascii="Verdana" w:eastAsia="Calibri" w:hAnsi="Verdana" w:cs="Arial"/>
                <w:bCs/>
              </w:rPr>
              <w:t xml:space="preserve">En ese orden de ideas, conforme a la norma señalada los requisitos habilitantes dentro de los procesos de contratación como regla general son subsanable siempre y cuando estos no afecten la asignación de puntaje, y deberán ser solicitados por las entidades estatales y entregados por los proponentes hasta el término de traslado del informe </w:t>
            </w:r>
            <w:r w:rsidRPr="00C861EF">
              <w:rPr>
                <w:rFonts w:ascii="Verdana" w:eastAsia="Calibri" w:hAnsi="Verdana" w:cs="Arial"/>
                <w:bCs/>
              </w:rPr>
              <w:lastRenderedPageBreak/>
              <w:t>de evaluación que corresponda a cada modalidad de selección. En caso tal, si el proponente no subsana la información solicitada por la entidad dentro del plazo, será rechazada la oferta.</w:t>
            </w:r>
          </w:p>
          <w:p w14:paraId="5FA03532" w14:textId="77777777" w:rsidR="00547175" w:rsidRPr="00C861EF" w:rsidRDefault="00547175" w:rsidP="00547175">
            <w:pPr>
              <w:pStyle w:val="Prrafodelista"/>
              <w:spacing w:line="276" w:lineRule="auto"/>
              <w:jc w:val="both"/>
              <w:rPr>
                <w:rFonts w:ascii="Verdana" w:hAnsi="Verdana"/>
              </w:rPr>
            </w:pPr>
          </w:p>
          <w:p w14:paraId="5D418E98" w14:textId="13AE42F8" w:rsidR="00B512CC" w:rsidRPr="00C861EF" w:rsidRDefault="00547175" w:rsidP="00B512CC">
            <w:pPr>
              <w:pStyle w:val="Prrafodelista"/>
              <w:spacing w:line="276" w:lineRule="auto"/>
              <w:jc w:val="both"/>
              <w:rPr>
                <w:rFonts w:ascii="Verdana" w:eastAsia="Calibri" w:hAnsi="Verdana" w:cs="Arial"/>
              </w:rPr>
            </w:pPr>
            <w:r w:rsidRPr="00C861EF">
              <w:rPr>
                <w:rFonts w:ascii="Verdana" w:hAnsi="Verdana"/>
              </w:rPr>
              <w:t xml:space="preserve">Por lo antes señalado, la norma es clara y permite la subsanación más </w:t>
            </w:r>
            <w:r w:rsidR="00E41DB5" w:rsidRPr="00C861EF">
              <w:rPr>
                <w:rFonts w:ascii="Verdana" w:hAnsi="Verdana"/>
              </w:rPr>
              <w:t>no la</w:t>
            </w:r>
            <w:r w:rsidRPr="00C861EF">
              <w:rPr>
                <w:rFonts w:ascii="Verdana" w:hAnsi="Verdana"/>
              </w:rPr>
              <w:t xml:space="preserve"> “mejora” de una oferta, </w:t>
            </w:r>
            <w:r w:rsidR="00434754" w:rsidRPr="00C861EF">
              <w:rPr>
                <w:rFonts w:ascii="Verdana" w:hAnsi="Verdana"/>
              </w:rPr>
              <w:t>de tal manera que,</w:t>
            </w:r>
            <w:r w:rsidR="00B512CC" w:rsidRPr="00C861EF">
              <w:rPr>
                <w:rFonts w:ascii="Verdana" w:eastAsia="Calibri" w:hAnsi="Verdana" w:cs="Arial"/>
              </w:rPr>
              <w:t xml:space="preserve"> no podrán mejorarse las ofertas en los procesos de selección, ya que, no se pueden acreditar circunstancias ocurridas con posterioridad al cierre del proceso</w:t>
            </w:r>
            <w:r w:rsidR="00D72400" w:rsidRPr="00C861EF">
              <w:rPr>
                <w:rFonts w:ascii="Verdana" w:eastAsia="Calibri" w:hAnsi="Verdana" w:cs="Arial"/>
              </w:rPr>
              <w:t>.</w:t>
            </w:r>
          </w:p>
          <w:p w14:paraId="53A7AFED" w14:textId="77777777" w:rsidR="00B512CC" w:rsidRPr="00C861EF" w:rsidRDefault="00B512CC" w:rsidP="00B512CC">
            <w:pPr>
              <w:pStyle w:val="Prrafodelista"/>
              <w:spacing w:line="276" w:lineRule="auto"/>
              <w:jc w:val="both"/>
              <w:rPr>
                <w:rFonts w:ascii="Verdana" w:hAnsi="Verdana"/>
              </w:rPr>
            </w:pPr>
          </w:p>
          <w:p w14:paraId="17EBE224" w14:textId="2CB6C9D0" w:rsidR="004F6856" w:rsidRPr="00C861EF" w:rsidRDefault="00B512CC" w:rsidP="00B512CC">
            <w:pPr>
              <w:pStyle w:val="Prrafodelista"/>
              <w:spacing w:line="276" w:lineRule="auto"/>
              <w:jc w:val="both"/>
              <w:rPr>
                <w:rFonts w:ascii="Verdana" w:eastAsia="Calibri" w:hAnsi="Verdana" w:cs="Arial"/>
              </w:rPr>
            </w:pPr>
            <w:r w:rsidRPr="00C861EF">
              <w:rPr>
                <w:rFonts w:ascii="Verdana" w:hAnsi="Verdana"/>
              </w:rPr>
              <w:t xml:space="preserve">Aunado a lo </w:t>
            </w:r>
            <w:r w:rsidR="00E41DB5" w:rsidRPr="00C861EF">
              <w:rPr>
                <w:rFonts w:ascii="Verdana" w:hAnsi="Verdana"/>
              </w:rPr>
              <w:t>anterior, mejorar</w:t>
            </w:r>
            <w:r w:rsidRPr="00C861EF">
              <w:rPr>
                <w:rFonts w:ascii="Verdana" w:hAnsi="Verdana"/>
              </w:rPr>
              <w:t xml:space="preserve"> una </w:t>
            </w:r>
            <w:r w:rsidR="00E931A5" w:rsidRPr="00C861EF">
              <w:rPr>
                <w:rFonts w:ascii="Verdana" w:hAnsi="Verdana"/>
              </w:rPr>
              <w:t>oferta, es</w:t>
            </w:r>
            <w:r w:rsidR="00D72400" w:rsidRPr="00C861EF">
              <w:rPr>
                <w:rFonts w:ascii="Verdana" w:hAnsi="Verdana"/>
              </w:rPr>
              <w:t xml:space="preserve"> contrario a </w:t>
            </w:r>
            <w:r w:rsidR="00547175" w:rsidRPr="00C861EF">
              <w:rPr>
                <w:rFonts w:ascii="Verdana" w:hAnsi="Verdana"/>
              </w:rPr>
              <w:t>los principios de la función pública y de la con</w:t>
            </w:r>
            <w:r w:rsidRPr="00C861EF">
              <w:rPr>
                <w:rFonts w:ascii="Verdana" w:hAnsi="Verdana"/>
              </w:rPr>
              <w:t xml:space="preserve">tratación estatal, tales </w:t>
            </w:r>
            <w:r w:rsidR="00E931A5" w:rsidRPr="00C861EF">
              <w:rPr>
                <w:rFonts w:ascii="Verdana" w:hAnsi="Verdana"/>
              </w:rPr>
              <w:t>como transparencia</w:t>
            </w:r>
            <w:r w:rsidR="00547175" w:rsidRPr="00C861EF">
              <w:rPr>
                <w:rFonts w:ascii="Verdana" w:hAnsi="Verdana"/>
              </w:rPr>
              <w:t>, imparcialidad</w:t>
            </w:r>
            <w:r w:rsidR="00D72400" w:rsidRPr="00C861EF">
              <w:rPr>
                <w:rFonts w:ascii="Verdana" w:hAnsi="Verdana"/>
              </w:rPr>
              <w:t xml:space="preserve">, </w:t>
            </w:r>
            <w:r w:rsidR="00547175" w:rsidRPr="00C861EF">
              <w:rPr>
                <w:rFonts w:ascii="Verdana" w:hAnsi="Verdana"/>
              </w:rPr>
              <w:t>selección objetiva</w:t>
            </w:r>
            <w:r w:rsidR="00D72400" w:rsidRPr="00C861EF">
              <w:rPr>
                <w:rFonts w:ascii="Verdana" w:hAnsi="Verdana"/>
              </w:rPr>
              <w:t xml:space="preserve"> y las reglas del proceso de contratación.</w:t>
            </w:r>
          </w:p>
          <w:p w14:paraId="4B9FCFC5" w14:textId="77777777" w:rsidR="009826C4" w:rsidRPr="00C861EF" w:rsidRDefault="009826C4" w:rsidP="00CE45D0">
            <w:pPr>
              <w:spacing w:line="276" w:lineRule="auto"/>
              <w:ind w:left="720"/>
              <w:jc w:val="both"/>
              <w:rPr>
                <w:rFonts w:ascii="Verdana" w:eastAsia="Calibri" w:hAnsi="Verdana" w:cs="Arial"/>
              </w:rPr>
            </w:pPr>
          </w:p>
          <w:p w14:paraId="2607630E" w14:textId="098DAA99" w:rsidR="00394125" w:rsidRPr="00C861EF" w:rsidRDefault="00547175" w:rsidP="00313FCD">
            <w:pPr>
              <w:pStyle w:val="Prrafodelista"/>
              <w:numPr>
                <w:ilvl w:val="0"/>
                <w:numId w:val="19"/>
              </w:numPr>
              <w:jc w:val="both"/>
              <w:rPr>
                <w:rFonts w:ascii="Verdana" w:hAnsi="Verdana"/>
              </w:rPr>
            </w:pPr>
            <w:r w:rsidRPr="00C861EF">
              <w:rPr>
                <w:rFonts w:ascii="Verdana" w:eastAsia="Calibri" w:hAnsi="Verdana" w:cs="Arial"/>
              </w:rPr>
              <w:t xml:space="preserve">Frente al segundo interrogante, </w:t>
            </w:r>
            <w:r w:rsidR="00394125" w:rsidRPr="00C861EF">
              <w:rPr>
                <w:rFonts w:ascii="Verdana" w:hAnsi="Verdana"/>
              </w:rPr>
              <w:t>esta circunstancia es posible en los eventos en que i) el primer adjudicatario desista de la suscripción del contrato,</w:t>
            </w:r>
            <w:r w:rsidR="00376E31" w:rsidRPr="00C861EF">
              <w:rPr>
                <w:rStyle w:val="Refdenotaalpie"/>
                <w:rFonts w:ascii="Verdana" w:hAnsi="Verdana"/>
              </w:rPr>
              <w:footnoteReference w:id="1"/>
            </w:r>
            <w:r w:rsidR="00394125" w:rsidRPr="00C861EF">
              <w:rPr>
                <w:rFonts w:ascii="Verdana" w:hAnsi="Verdana"/>
              </w:rPr>
              <w:t xml:space="preserve"> y ii) el primer adjudicatario esté inmerso en las causales de inhabilidades o incompatibilidades contempladas en el artículo </w:t>
            </w:r>
            <w:r w:rsidR="00796645" w:rsidRPr="00C861EF">
              <w:rPr>
                <w:rFonts w:ascii="Verdana" w:hAnsi="Verdana"/>
              </w:rPr>
              <w:t>9</w:t>
            </w:r>
            <w:r w:rsidR="00394125" w:rsidRPr="00C861EF">
              <w:rPr>
                <w:rFonts w:ascii="Verdana" w:hAnsi="Verdana"/>
              </w:rPr>
              <w:t xml:space="preserve"> de la Ley 80 de 1993, entre otras.</w:t>
            </w:r>
          </w:p>
          <w:p w14:paraId="046FCE6E" w14:textId="77777777" w:rsidR="00B4484B" w:rsidRPr="00C861EF" w:rsidRDefault="00B4484B" w:rsidP="001E0D78">
            <w:pPr>
              <w:pStyle w:val="Prrafodelista"/>
              <w:jc w:val="both"/>
              <w:rPr>
                <w:rFonts w:ascii="Verdana" w:hAnsi="Verdana"/>
              </w:rPr>
            </w:pPr>
          </w:p>
          <w:p w14:paraId="098044FF" w14:textId="77777777" w:rsidR="00B4484B" w:rsidRPr="00C861EF" w:rsidRDefault="00B4484B" w:rsidP="001E0D78">
            <w:pPr>
              <w:pStyle w:val="Prrafodelista"/>
              <w:jc w:val="both"/>
              <w:rPr>
                <w:rFonts w:ascii="Verdana" w:hAnsi="Verdana" w:cs="Arial"/>
                <w:i/>
                <w:color w:val="333333"/>
                <w:sz w:val="25"/>
                <w:szCs w:val="25"/>
                <w:shd w:val="clear" w:color="auto" w:fill="FFFFFF"/>
              </w:rPr>
            </w:pPr>
            <w:r w:rsidRPr="00C861EF">
              <w:rPr>
                <w:rFonts w:ascii="Verdana" w:hAnsi="Verdana"/>
              </w:rPr>
              <w:t xml:space="preserve">Es menester señalar que frente a la posibilidad de adjudicar en caso de desistimiento del  adjudicatario, es facultativo de la entidad adjudicar al segundo en lista, ya que la el numeral 12 del artículo 30 de la Ley 80 de 1993 establece que </w:t>
            </w:r>
            <w:r w:rsidRPr="00C861EF">
              <w:rPr>
                <w:rFonts w:ascii="Verdana" w:hAnsi="Verdana"/>
                <w:i/>
              </w:rPr>
              <w:t>“</w:t>
            </w:r>
            <w:r w:rsidRPr="00C861EF">
              <w:rPr>
                <w:rFonts w:ascii="Verdana" w:hAnsi="Verdana" w:cs="Arial"/>
                <w:i/>
                <w:color w:val="333333"/>
                <w:sz w:val="25"/>
                <w:szCs w:val="25"/>
                <w:shd w:val="clear" w:color="auto" w:fill="FFFFFF"/>
              </w:rPr>
              <w:t>la entidad estatal mediante acto administrativo debidamente motivado, podrá adjudicar el contrato, dentro de los quince (15) días siguientes, al proponente calificado en segundo lugar, siempre y cuando su propuesta sea igualmente favorable para la entidad”.</w:t>
            </w:r>
          </w:p>
          <w:p w14:paraId="18E3AC94" w14:textId="77777777" w:rsidR="00796645" w:rsidRPr="00C861EF" w:rsidRDefault="00796645" w:rsidP="001E0D78">
            <w:pPr>
              <w:pStyle w:val="Prrafodelista"/>
              <w:jc w:val="both"/>
              <w:rPr>
                <w:rFonts w:ascii="Verdana" w:hAnsi="Verdana"/>
              </w:rPr>
            </w:pPr>
          </w:p>
          <w:p w14:paraId="6F466428" w14:textId="77777777" w:rsidR="00796645" w:rsidRPr="00C861EF" w:rsidRDefault="00796645" w:rsidP="001E0D78">
            <w:pPr>
              <w:pStyle w:val="Prrafodelista"/>
              <w:jc w:val="both"/>
              <w:rPr>
                <w:rFonts w:ascii="Verdana" w:hAnsi="Verdana"/>
              </w:rPr>
            </w:pPr>
            <w:r w:rsidRPr="00C861EF">
              <w:rPr>
                <w:rFonts w:ascii="Verdana" w:hAnsi="Verdana"/>
              </w:rPr>
              <w:t xml:space="preserve">Frente a la segunda causal, </w:t>
            </w:r>
            <w:r w:rsidR="00664833" w:rsidRPr="00C861EF">
              <w:rPr>
                <w:rFonts w:ascii="Verdana" w:hAnsi="Verdana" w:cs="Arial"/>
                <w:color w:val="333333"/>
                <w:shd w:val="clear" w:color="auto" w:fill="FFFFFF"/>
              </w:rPr>
              <w:t>c</w:t>
            </w:r>
            <w:r w:rsidRPr="00C861EF">
              <w:rPr>
                <w:rFonts w:ascii="Verdana" w:hAnsi="Verdana" w:cs="Arial"/>
                <w:color w:val="333333"/>
                <w:shd w:val="clear" w:color="auto" w:fill="FFFFFF"/>
              </w:rPr>
              <w:t xml:space="preserve">uando la inhabilidad o incompatibilidad sobrevenga en un proponente dentro de un proceso de selección, se entenderá que renuncia a la participación en el proceso de selección y a los derechos surgidos del mismo, y en virtud del principio de celeridad la administración podrá dar aplicación al </w:t>
            </w:r>
            <w:r w:rsidRPr="00C861EF">
              <w:rPr>
                <w:rFonts w:ascii="Verdana" w:hAnsi="Verdana"/>
              </w:rPr>
              <w:t>numeral 12 del artículo 30 de la Ley 80 de 1993.</w:t>
            </w:r>
          </w:p>
          <w:p w14:paraId="7A7D471E" w14:textId="77777777" w:rsidR="00664833" w:rsidRPr="00C861EF" w:rsidRDefault="00664833" w:rsidP="001E0D78">
            <w:pPr>
              <w:pStyle w:val="Prrafodelista"/>
              <w:jc w:val="both"/>
              <w:rPr>
                <w:rFonts w:ascii="Verdana" w:hAnsi="Verdana"/>
              </w:rPr>
            </w:pPr>
          </w:p>
          <w:p w14:paraId="1D2F98FD" w14:textId="714D6AC1" w:rsidR="00F6065D" w:rsidRPr="00C861EF" w:rsidRDefault="00F6065D" w:rsidP="001E0D78">
            <w:pPr>
              <w:jc w:val="both"/>
              <w:rPr>
                <w:rFonts w:ascii="Verdana" w:hAnsi="Verdana"/>
              </w:rPr>
            </w:pPr>
          </w:p>
        </w:tc>
      </w:tr>
    </w:tbl>
    <w:p w14:paraId="76883B71" w14:textId="77777777" w:rsidR="00394125" w:rsidRPr="00C861EF" w:rsidRDefault="00394125" w:rsidP="00394125">
      <w:pPr>
        <w:tabs>
          <w:tab w:val="left" w:pos="142"/>
          <w:tab w:val="left" w:pos="284"/>
        </w:tabs>
        <w:spacing w:after="0" w:line="276" w:lineRule="auto"/>
        <w:jc w:val="both"/>
        <w:rPr>
          <w:rFonts w:ascii="Verdana" w:eastAsia="Century Gothic" w:hAnsi="Verdana" w:cs="Century Gothic"/>
          <w:b/>
          <w:bCs/>
          <w:lang w:val="es-ES"/>
        </w:rPr>
      </w:pPr>
    </w:p>
    <w:p w14:paraId="635D5F73" w14:textId="77777777" w:rsidR="00394125" w:rsidRPr="00C861EF" w:rsidRDefault="00394125" w:rsidP="0039412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861EF">
        <w:rPr>
          <w:rFonts w:ascii="Verdana" w:eastAsia="Century Gothic" w:hAnsi="Verdana" w:cs="Century Gothic"/>
          <w:b/>
          <w:bCs/>
        </w:rPr>
        <w:lastRenderedPageBreak/>
        <w:t>Razones de la respuesta:</w:t>
      </w:r>
    </w:p>
    <w:p w14:paraId="1023B34B" w14:textId="77777777" w:rsidR="00394125" w:rsidRPr="00C861EF" w:rsidRDefault="00394125" w:rsidP="00394125">
      <w:pPr>
        <w:spacing w:after="0" w:line="276" w:lineRule="auto"/>
        <w:jc w:val="both"/>
        <w:rPr>
          <w:rFonts w:ascii="Verdana" w:eastAsia="Calibri" w:hAnsi="Verdana" w:cs="Arial"/>
          <w:color w:val="7030A0"/>
          <w:lang w:val="es-ES"/>
        </w:rPr>
      </w:pPr>
    </w:p>
    <w:p w14:paraId="44A20908" w14:textId="77777777" w:rsidR="00394125" w:rsidRPr="00C861EF" w:rsidRDefault="00394125" w:rsidP="00394125">
      <w:pPr>
        <w:spacing w:after="0" w:line="276" w:lineRule="auto"/>
        <w:jc w:val="both"/>
        <w:rPr>
          <w:rFonts w:ascii="Verdana" w:eastAsia="Calibri" w:hAnsi="Verdana" w:cs="Arial"/>
          <w:lang w:val="es-ES"/>
        </w:rPr>
      </w:pPr>
      <w:r w:rsidRPr="00C861EF">
        <w:rPr>
          <w:rFonts w:ascii="Verdana" w:eastAsia="Calibri" w:hAnsi="Verdana" w:cs="Arial"/>
          <w:lang w:val="es-ES"/>
        </w:rPr>
        <w:t xml:space="preserve">Lo anterior se sustenta en las siguientes consideraciones: </w:t>
      </w:r>
    </w:p>
    <w:p w14:paraId="17414802" w14:textId="77777777" w:rsidR="00394125" w:rsidRPr="00C861EF" w:rsidRDefault="00394125" w:rsidP="00394125">
      <w:pPr>
        <w:spacing w:after="0" w:line="276" w:lineRule="auto"/>
        <w:jc w:val="both"/>
        <w:rPr>
          <w:rFonts w:ascii="Verdana" w:hAnsi="Verdana" w:cs="Arial"/>
          <w:color w:val="7030A0"/>
        </w:rPr>
      </w:pPr>
    </w:p>
    <w:p w14:paraId="3E742EDF" w14:textId="77777777" w:rsidR="00394125" w:rsidRPr="00C861EF" w:rsidRDefault="00394125" w:rsidP="00394125">
      <w:pPr>
        <w:pStyle w:val="Prrafodelista"/>
        <w:numPr>
          <w:ilvl w:val="0"/>
          <w:numId w:val="17"/>
        </w:numPr>
        <w:spacing w:after="120" w:line="276" w:lineRule="auto"/>
        <w:jc w:val="both"/>
        <w:rPr>
          <w:rFonts w:ascii="Verdana" w:eastAsia="Calibri" w:hAnsi="Verdana" w:cs="Arial"/>
          <w:lang w:val="es-ES_tradnl" w:eastAsia="es-MX"/>
        </w:rPr>
      </w:pPr>
      <w:bookmarkStart w:id="1" w:name="_Hlk99546562"/>
      <w:r w:rsidRPr="00C861EF">
        <w:rPr>
          <w:rFonts w:ascii="Verdana" w:eastAsia="Calibri" w:hAnsi="Verdana" w:cs="Arial"/>
          <w:lang w:val="es-ES_tradnl" w:eastAsia="es-MX"/>
        </w:rPr>
        <w:t xml:space="preserve">Los </w:t>
      </w:r>
      <w:r w:rsidRPr="00C861EF">
        <w:rPr>
          <w:rFonts w:ascii="Verdana" w:eastAsia="Calibri" w:hAnsi="Verdana" w:cs="Arial"/>
          <w:i/>
          <w:iCs/>
          <w:lang w:val="es-ES_tradnl" w:eastAsia="es-MX"/>
        </w:rPr>
        <w:t>requisitos habilitantes</w:t>
      </w:r>
      <w:r w:rsidRPr="00C861EF">
        <w:rPr>
          <w:rFonts w:ascii="Verdana" w:eastAsia="Calibri" w:hAnsi="Verdana" w:cs="Arial"/>
          <w:lang w:val="es-ES_tradnl" w:eastAsia="es-MX"/>
        </w:rPr>
        <w:t xml:space="preserve"> se definen como aquellas exigencias de participación en los procedimientos de selección, establecidas en disposiciones normativas, de carácter legal o reglamentario, o contenidas en el acto administrativo que regula las reglas de la convocatoria–es decir, en el pliego de condiciones o el documento equivalente a este–. Se diferencian de los </w:t>
      </w:r>
      <w:r w:rsidRPr="00C861EF">
        <w:rPr>
          <w:rFonts w:ascii="Verdana" w:eastAsia="Calibri" w:hAnsi="Verdana" w:cs="Arial"/>
          <w:i/>
          <w:iCs/>
          <w:lang w:val="es-ES_tradnl" w:eastAsia="es-MX"/>
        </w:rPr>
        <w:t>criterios de evaluación</w:t>
      </w:r>
      <w:r w:rsidRPr="00C861EF">
        <w:rPr>
          <w:rFonts w:ascii="Verdana" w:eastAsia="Calibri" w:hAnsi="Verdana" w:cs="Arial"/>
          <w:lang w:val="es-ES_tradnl" w:eastAsia="es-MX"/>
        </w:rPr>
        <w:t xml:space="preserve"> –también conocidos como criterios de calificación– en que estos son los factores definidos por la entidad estatal para la asignación de puntaje en el momento de la comparación de las ofertas, y que, a partir de su ponderación, permiten establecer el orden de elegibilidad y, por ende, la propuesta ganadora. </w:t>
      </w:r>
    </w:p>
    <w:bookmarkEnd w:id="1"/>
    <w:p w14:paraId="0A36F90E" w14:textId="77777777" w:rsidR="00394125" w:rsidRPr="00C861EF" w:rsidRDefault="00394125" w:rsidP="00394125">
      <w:pPr>
        <w:pStyle w:val="Prrafodelista"/>
        <w:numPr>
          <w:ilvl w:val="0"/>
          <w:numId w:val="17"/>
        </w:numPr>
        <w:spacing w:after="120" w:line="276" w:lineRule="auto"/>
        <w:jc w:val="both"/>
        <w:rPr>
          <w:rFonts w:ascii="Verdana" w:eastAsia="Calibri" w:hAnsi="Verdana" w:cs="Arial"/>
          <w:lang w:val="es-ES_tradnl" w:eastAsia="es-MX"/>
        </w:rPr>
      </w:pPr>
      <w:r w:rsidRPr="00C861EF">
        <w:rPr>
          <w:rFonts w:ascii="Verdana" w:eastAsia="Calibri" w:hAnsi="Verdana" w:cs="Arial"/>
          <w:lang w:val="es-ES_tradnl" w:eastAsia="es-MX"/>
        </w:rPr>
        <w:t>Los requisitos habilitantes constituyen los requerimientos mínimos con los que deben cumplir los proponentes para poder participar en el procedimiento de selección, razón por la que los mismos no se valoran con un puntaje tendiente a determinar el orden de escogencia, sino que se analizan como criterios previos a la evaluación en sentido estricto, de manera que quienes no los reúnan no pueden continuar en el procedimiento de selección, es decir, incurren en causal de rechazo. Esto sin perjuicio del derecho que tienen los oferentes de subsanar los defectos que se presenten en la prueba de tales requisitos, de conformidad con el artículo 5, parágrafos 1º al 4º, de la Ley 1150 de 2007.</w:t>
      </w:r>
    </w:p>
    <w:p w14:paraId="79FD51F8" w14:textId="77777777" w:rsidR="00394125" w:rsidRPr="00C861EF" w:rsidRDefault="00394125" w:rsidP="00394125">
      <w:pPr>
        <w:pStyle w:val="Prrafodelista"/>
        <w:numPr>
          <w:ilvl w:val="0"/>
          <w:numId w:val="17"/>
        </w:numPr>
        <w:spacing w:after="120" w:line="276" w:lineRule="auto"/>
        <w:jc w:val="both"/>
        <w:rPr>
          <w:rFonts w:ascii="Verdana" w:eastAsia="Calibri" w:hAnsi="Verdana" w:cs="Arial"/>
          <w:lang w:val="es-ES_tradnl" w:eastAsia="es-MX"/>
        </w:rPr>
      </w:pPr>
      <w:r w:rsidRPr="00C861EF">
        <w:rPr>
          <w:rFonts w:ascii="Verdana" w:eastAsia="Calibri" w:hAnsi="Verdana" w:cs="Arial"/>
          <w:lang w:val="es-ES_tradnl" w:eastAsia="es-MX"/>
        </w:rPr>
        <w:t xml:space="preserve">El mencionado artículo dispone que se considera “[…] objetiva la selección en la cual la escogencia se haga al ofrecimiento más favorable a la entidad y a los fines que ella busca, sin tener en consideración factores de afecto o de interés y, en general, cualquier clase de motivación subjetiva”. En ese contexto, los factores de escogencia y calificación que establezcan las entidades en los pliegos de condiciones o sus documentos equivalentes deberán tener en cuenta, entre otras cuestiones, los criterios establecidos en dicha disposición. </w:t>
      </w:r>
    </w:p>
    <w:p w14:paraId="063E86AA" w14:textId="77777777" w:rsidR="00394125" w:rsidRPr="00C861EF" w:rsidRDefault="00394125" w:rsidP="00394125">
      <w:pPr>
        <w:pStyle w:val="Prrafodelista"/>
        <w:numPr>
          <w:ilvl w:val="0"/>
          <w:numId w:val="17"/>
        </w:numPr>
        <w:spacing w:after="0" w:line="276" w:lineRule="auto"/>
        <w:jc w:val="both"/>
        <w:rPr>
          <w:rFonts w:ascii="Verdana" w:eastAsia="Calibri" w:hAnsi="Verdana" w:cs="Arial"/>
          <w:lang w:val="es-ES_tradnl" w:eastAsia="es-MX"/>
        </w:rPr>
      </w:pPr>
      <w:r w:rsidRPr="00C861EF">
        <w:rPr>
          <w:rFonts w:ascii="Verdana" w:eastAsia="Calibri" w:hAnsi="Verdana" w:cs="Arial"/>
          <w:lang w:val="es-ES_tradnl" w:eastAsia="es-MX"/>
        </w:rPr>
        <w:t xml:space="preserve">Específicamente, el numeral 1º del artículo referido establece que en los procesos de selección de contratistas serán objeto de verificación, como requisitos habilitantes, entre otros, los siguientes: i) la capacidad jurídica; ii) la experiencia; iii) la capacidad financiera y iv) la capacidad de organización. En efecto, la normativa citada dispone: </w:t>
      </w:r>
    </w:p>
    <w:p w14:paraId="27C0ED11" w14:textId="77777777" w:rsidR="00394125" w:rsidRPr="00C861EF" w:rsidRDefault="00394125" w:rsidP="00394125">
      <w:pPr>
        <w:pStyle w:val="Prrafodelista"/>
        <w:spacing w:after="0" w:line="276" w:lineRule="auto"/>
        <w:jc w:val="both"/>
        <w:rPr>
          <w:rFonts w:ascii="Verdana" w:eastAsia="Calibri" w:hAnsi="Verdana" w:cs="Arial"/>
          <w:lang w:val="es-ES_tradnl" w:eastAsia="es-MX"/>
        </w:rPr>
      </w:pPr>
    </w:p>
    <w:p w14:paraId="2F537FB1" w14:textId="77777777" w:rsidR="00394125" w:rsidRPr="00C861EF" w:rsidRDefault="00394125" w:rsidP="00394125">
      <w:pPr>
        <w:pStyle w:val="Prrafodelista"/>
        <w:spacing w:after="0"/>
        <w:ind w:left="1134" w:right="357"/>
        <w:jc w:val="both"/>
        <w:rPr>
          <w:rFonts w:ascii="Verdana" w:eastAsia="Calibri" w:hAnsi="Verdana" w:cs="Arial"/>
          <w:sz w:val="20"/>
          <w:szCs w:val="20"/>
          <w:lang w:val="es-ES_tradnl" w:eastAsia="es-MX"/>
        </w:rPr>
      </w:pPr>
      <w:r w:rsidRPr="00C861EF">
        <w:rPr>
          <w:rFonts w:ascii="Verdana" w:eastAsia="Calibri" w:hAnsi="Verdana" w:cs="Arial"/>
          <w:sz w:val="20"/>
          <w:szCs w:val="20"/>
          <w:lang w:val="es-ES_tradnl" w:eastAsia="es-MX"/>
        </w:rPr>
        <w:lastRenderedPageBreak/>
        <w:t xml:space="preserve">“Artículo 5. De la Selección Objetiva. </w:t>
      </w:r>
    </w:p>
    <w:p w14:paraId="31566CF6" w14:textId="77777777" w:rsidR="00394125" w:rsidRPr="00C861EF" w:rsidRDefault="00394125" w:rsidP="00394125">
      <w:pPr>
        <w:pStyle w:val="Prrafodelista"/>
        <w:spacing w:after="120"/>
        <w:ind w:left="1134" w:right="357"/>
        <w:jc w:val="both"/>
        <w:rPr>
          <w:rFonts w:ascii="Verdana" w:eastAsia="Calibri" w:hAnsi="Verdana" w:cs="Arial"/>
          <w:sz w:val="20"/>
          <w:szCs w:val="20"/>
          <w:lang w:val="es-ES_tradnl" w:eastAsia="es-MX"/>
        </w:rPr>
      </w:pPr>
      <w:r w:rsidRPr="00C861EF">
        <w:rPr>
          <w:rFonts w:ascii="Verdana" w:eastAsia="Calibri" w:hAnsi="Verdana" w:cs="Arial"/>
          <w:sz w:val="20"/>
          <w:szCs w:val="20"/>
          <w:lang w:val="es-ES_tradnl" w:eastAsia="es-MX"/>
        </w:rPr>
        <w:t>[…]</w:t>
      </w:r>
    </w:p>
    <w:p w14:paraId="5B9EF407" w14:textId="77777777" w:rsidR="00394125" w:rsidRPr="00C861EF" w:rsidRDefault="00394125" w:rsidP="00394125">
      <w:pPr>
        <w:pStyle w:val="Prrafodelista"/>
        <w:spacing w:after="0"/>
        <w:ind w:left="1134" w:right="357"/>
        <w:jc w:val="both"/>
        <w:rPr>
          <w:rFonts w:ascii="Verdana" w:eastAsia="Calibri" w:hAnsi="Verdana" w:cs="Arial"/>
          <w:sz w:val="20"/>
          <w:szCs w:val="20"/>
          <w:lang w:val="es-ES_tradnl"/>
        </w:rPr>
      </w:pPr>
      <w:r w:rsidRPr="00C861EF">
        <w:rPr>
          <w:rFonts w:ascii="Verdana" w:eastAsia="Calibri" w:hAnsi="Verdana" w:cs="Arial"/>
          <w:sz w:val="20"/>
          <w:szCs w:val="20"/>
          <w:lang w:val="es-ES_tradnl"/>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w:t>
      </w:r>
    </w:p>
    <w:p w14:paraId="7C04A880" w14:textId="77777777" w:rsidR="00394125" w:rsidRPr="00C861EF" w:rsidRDefault="00394125" w:rsidP="00394125">
      <w:pPr>
        <w:pStyle w:val="Prrafodelista"/>
        <w:spacing w:after="0"/>
        <w:ind w:right="709"/>
        <w:jc w:val="both"/>
        <w:rPr>
          <w:rFonts w:ascii="Verdana" w:eastAsia="Calibri" w:hAnsi="Verdana" w:cs="Arial"/>
          <w:sz w:val="21"/>
          <w:szCs w:val="21"/>
          <w:lang w:val="es-ES_tradnl"/>
        </w:rPr>
      </w:pPr>
    </w:p>
    <w:p w14:paraId="59C12F48" w14:textId="77777777" w:rsidR="00394125" w:rsidRPr="00C861EF" w:rsidRDefault="00394125" w:rsidP="00394125">
      <w:pPr>
        <w:pStyle w:val="Prrafodelista"/>
        <w:numPr>
          <w:ilvl w:val="0"/>
          <w:numId w:val="17"/>
        </w:numPr>
        <w:spacing w:after="0"/>
        <w:jc w:val="both"/>
        <w:rPr>
          <w:rFonts w:ascii="Verdana" w:eastAsia="Calibri" w:hAnsi="Verdana" w:cs="Arial"/>
          <w:sz w:val="21"/>
          <w:szCs w:val="21"/>
          <w:lang w:val="es-ES_tradnl"/>
        </w:rPr>
      </w:pPr>
      <w:bookmarkStart w:id="2" w:name="_Hlk99547809"/>
      <w:bookmarkStart w:id="3" w:name="_Hlk99546625"/>
      <w:r w:rsidRPr="00C861EF">
        <w:rPr>
          <w:rFonts w:ascii="Verdana" w:eastAsia="Times New Roman" w:hAnsi="Verdana" w:cs="Arial"/>
          <w:lang w:val="es-ES_tradnl" w:eastAsia="es-MX"/>
        </w:rPr>
        <w:t xml:space="preserve">La Agencia Nacional de Contratación Pública ha defendido el carácter </w:t>
      </w:r>
      <w:bookmarkStart w:id="4" w:name="_Hlk99547799"/>
      <w:r w:rsidRPr="00C861EF">
        <w:rPr>
          <w:rFonts w:ascii="Verdana" w:eastAsia="Times New Roman" w:hAnsi="Verdana" w:cs="Arial"/>
          <w:lang w:val="es-ES_tradnl" w:eastAsia="es-MX"/>
        </w:rPr>
        <w:t xml:space="preserve">enunciativo del listado de los requisitos habilitantes contenidos en el numeral 1 del artículo 5 de la Ley 1150 de 2007, en la medida en que la referida disposición, al referirse a los requisitos habilitantes, no contiene una expresión como “únicamente” o “solo”, de la que pueda colegirse la taxatividad de los requisitos mencionados. </w:t>
      </w:r>
      <w:bookmarkEnd w:id="2"/>
      <w:bookmarkEnd w:id="4"/>
      <w:r w:rsidRPr="00C861EF">
        <w:rPr>
          <w:rFonts w:ascii="Verdana" w:eastAsia="Times New Roman" w:hAnsi="Verdana" w:cs="Arial"/>
          <w:lang w:val="es-ES_tradnl" w:eastAsia="es-MX"/>
        </w:rPr>
        <w:t>Esta conclusión además se apoya en una la lectura integral de las normas que regulan la contratación estatal, en virtud de la cual es posible evidenciar que existen otras condiciones que deben cumplirse para la contratación con entidades públicas, de las que derivan requisitos habilitantes, como sucede, por ejemplo, con la capacidad residual a la que se refiere el artículo 6º, parágrafo 1, de la Ley 1150 de 2007</w:t>
      </w:r>
      <w:bookmarkEnd w:id="3"/>
      <w:r w:rsidRPr="00C861EF">
        <w:rPr>
          <w:rFonts w:ascii="Verdana" w:hAnsi="Verdana"/>
          <w:vertAlign w:val="superscript"/>
          <w:lang w:val="es-ES_tradnl" w:eastAsia="es-MX"/>
        </w:rPr>
        <w:footnoteReference w:id="2"/>
      </w:r>
      <w:r w:rsidRPr="00C861EF">
        <w:rPr>
          <w:rFonts w:ascii="Verdana" w:eastAsia="Times New Roman" w:hAnsi="Verdana" w:cs="Arial"/>
          <w:lang w:val="es-ES_tradnl" w:eastAsia="es-MX"/>
        </w:rPr>
        <w:t xml:space="preserve">. </w:t>
      </w:r>
    </w:p>
    <w:p w14:paraId="7B1BCE3E" w14:textId="77777777" w:rsidR="001E0D78" w:rsidRPr="00C861EF" w:rsidRDefault="00394125" w:rsidP="00394125">
      <w:pPr>
        <w:pStyle w:val="Prrafodelista"/>
        <w:numPr>
          <w:ilvl w:val="0"/>
          <w:numId w:val="17"/>
        </w:numPr>
        <w:spacing w:before="120" w:after="120" w:line="276" w:lineRule="auto"/>
        <w:jc w:val="both"/>
        <w:rPr>
          <w:rFonts w:ascii="Verdana" w:eastAsia="Times New Roman" w:hAnsi="Verdana" w:cs="Arial"/>
          <w:lang w:val="es-ES_tradnl" w:eastAsia="es-MX"/>
        </w:rPr>
      </w:pPr>
      <w:r w:rsidRPr="00C861EF">
        <w:rPr>
          <w:rFonts w:ascii="Verdana" w:eastAsia="Times New Roman" w:hAnsi="Verdana" w:cs="Arial"/>
          <w:lang w:val="es-ES_tradnl" w:eastAsia="es-MX"/>
        </w:rPr>
        <w:t>Por otro lado, en el “Manual para determinar y verificar los requisitos habilitantes en los Procesos de Contratación”</w:t>
      </w:r>
      <w:r w:rsidRPr="00C861EF">
        <w:rPr>
          <w:rFonts w:ascii="Verdana" w:eastAsia="Calibri" w:hAnsi="Verdana" w:cs="Arial"/>
          <w:lang w:val="es-ES_tradnl" w:eastAsia="es-MX"/>
        </w:rPr>
        <w:t>,</w:t>
      </w:r>
      <w:r w:rsidRPr="00C861EF">
        <w:rPr>
          <w:rFonts w:ascii="Verdana" w:eastAsia="Times New Roman" w:hAnsi="Verdana" w:cs="Arial"/>
          <w:lang w:val="es-ES_tradnl" w:eastAsia="es-MX"/>
        </w:rPr>
        <w:t xml:space="preserve"> expedido por la </w:t>
      </w:r>
      <w:r w:rsidRPr="00C861EF">
        <w:rPr>
          <w:rFonts w:ascii="Verdana" w:eastAsia="Calibri" w:hAnsi="Verdana" w:cs="Arial"/>
          <w:lang w:val="es-ES_tradnl" w:eastAsia="es-MX"/>
        </w:rPr>
        <w:t>Agencia Nacional de Contratación Pública – Colombia Compra Eficiente</w:t>
      </w:r>
      <w:r w:rsidRPr="00C861EF">
        <w:rPr>
          <w:rFonts w:ascii="Verdana" w:eastAsia="Times New Roman" w:hAnsi="Verdana" w:cs="Arial"/>
          <w:lang w:val="es-ES_tradnl" w:eastAsia="es-MX"/>
        </w:rPr>
        <w:t xml:space="preserve"> se determinaron los parámetros para establecer, acreditar y subsanar los requisitos habilitantes. Allí también se precisó que estos tienen como fin primordial medir “la aptitud del proponente para participar en un Proceso de Contratación como oferente y están referidos a su capacidad jurídica, financiera, organizacional y su experiencia”. De acuerdo con el Manual, su propósito consiste en “establecer unas condiciones mínimas para los </w:t>
      </w:r>
      <w:r w:rsidRPr="00C861EF">
        <w:rPr>
          <w:rFonts w:ascii="Verdana" w:eastAsia="Times New Roman" w:hAnsi="Verdana" w:cs="Arial"/>
          <w:lang w:val="es-ES_tradnl" w:eastAsia="es-MX"/>
        </w:rPr>
        <w:lastRenderedPageBreak/>
        <w:t xml:space="preserve">proponentes de tal manera que la Entidad Estatal sólo evalúe las ofertas de aquellos que están en condiciones de cumplir con el objeto del Proceso de Contratación”. </w:t>
      </w:r>
    </w:p>
    <w:p w14:paraId="633FD5DD" w14:textId="7692DC56" w:rsidR="00394125" w:rsidRPr="00C861EF" w:rsidRDefault="00394125" w:rsidP="00394125">
      <w:pPr>
        <w:pStyle w:val="Prrafodelista"/>
        <w:numPr>
          <w:ilvl w:val="0"/>
          <w:numId w:val="17"/>
        </w:numPr>
        <w:spacing w:before="120" w:after="120" w:line="276" w:lineRule="auto"/>
        <w:jc w:val="both"/>
        <w:rPr>
          <w:rFonts w:ascii="Verdana" w:eastAsia="Times New Roman" w:hAnsi="Verdana" w:cs="Arial"/>
          <w:lang w:val="es-ES_tradnl" w:eastAsia="es-MX"/>
        </w:rPr>
      </w:pPr>
      <w:r w:rsidRPr="00C861EF">
        <w:rPr>
          <w:rFonts w:ascii="Verdana" w:eastAsia="Times New Roman" w:hAnsi="Verdana" w:cs="Arial"/>
          <w:lang w:val="es-ES_tradnl" w:eastAsia="es-MX"/>
        </w:rPr>
        <w:t>Así las cosas, al tratarse de condiciones mínimas, significa que las entidades podrían establecer otras, según su autonomía de la voluntad, y teniendo en cuenta el objeto del contrato, los riesgos detectados en los estudios previos, el presupuesto oficial, entre otros factores.</w:t>
      </w:r>
    </w:p>
    <w:p w14:paraId="22FC7107" w14:textId="77777777" w:rsidR="00394125" w:rsidRPr="00C861EF" w:rsidRDefault="00394125" w:rsidP="00394125">
      <w:pPr>
        <w:pStyle w:val="Prrafodelista"/>
        <w:numPr>
          <w:ilvl w:val="0"/>
          <w:numId w:val="17"/>
        </w:numPr>
        <w:spacing w:before="120" w:after="120" w:line="276" w:lineRule="auto"/>
        <w:jc w:val="both"/>
        <w:rPr>
          <w:rFonts w:ascii="Verdana" w:eastAsia="Times New Roman" w:hAnsi="Verdana" w:cs="Arial"/>
          <w:lang w:val="es-ES_tradnl" w:eastAsia="es-MX"/>
        </w:rPr>
      </w:pPr>
      <w:r w:rsidRPr="00C861EF">
        <w:rPr>
          <w:rFonts w:ascii="Verdana" w:eastAsia="Times New Roman" w:hAnsi="Verdana" w:cs="Arial"/>
          <w:lang w:val="es-ES_tradnl" w:eastAsia="es-MX"/>
        </w:rPr>
        <w:t>Al respecto, en la Sentencia C-004 de 2017, la Corte Constitucional señaló que “[l]a determinación de dichas condiciones habilitantes para participar, es competencia de la entidad que planee la celebración del contrato, a través de la valoración en concreto de las características mínimas de idoneidad, experiencia, capacidad jurídica y financiera para que la realización del objeto contractual resulte eficiente y eficaz frente a la necesidad identificada”.</w:t>
      </w:r>
    </w:p>
    <w:p w14:paraId="4988E90B" w14:textId="77777777" w:rsidR="00394125" w:rsidRPr="00C861EF" w:rsidRDefault="00394125" w:rsidP="00394125">
      <w:pPr>
        <w:pStyle w:val="Prrafodelista"/>
        <w:numPr>
          <w:ilvl w:val="0"/>
          <w:numId w:val="17"/>
        </w:numPr>
        <w:tabs>
          <w:tab w:val="left" w:pos="426"/>
        </w:tabs>
        <w:spacing w:before="120" w:after="120" w:line="276" w:lineRule="auto"/>
        <w:jc w:val="both"/>
        <w:rPr>
          <w:rFonts w:ascii="Verdana" w:eastAsia="Times New Roman" w:hAnsi="Verdana" w:cs="Arial"/>
          <w:lang w:val="es-ES_tradnl" w:eastAsia="es-MX"/>
        </w:rPr>
      </w:pPr>
      <w:bookmarkStart w:id="5" w:name="_Hlk99548027"/>
      <w:r w:rsidRPr="00C861EF">
        <w:rPr>
          <w:rFonts w:ascii="Verdana" w:eastAsia="Times New Roman" w:hAnsi="Verdana" w:cs="Arial"/>
          <w:lang w:val="es-ES_tradnl" w:eastAsia="es-MX"/>
        </w:rPr>
        <w:t xml:space="preserve">En ese sentido, si bien </w:t>
      </w:r>
      <w:r w:rsidRPr="00C861EF">
        <w:rPr>
          <w:rFonts w:ascii="Verdana" w:eastAsia="Calibri" w:hAnsi="Verdana" w:cs="Arial"/>
          <w:lang w:val="es-ES_tradnl" w:eastAsia="es-MX"/>
        </w:rPr>
        <w:t xml:space="preserve">la Ley 1150 de 2007 estableció unos requisitos habilitantes para los proponentes –la capacidad jurídica, las condiciones de experiencia, la capacidad financiera y la capacidad de organización–, estos no son taxativos. </w:t>
      </w:r>
      <w:bookmarkStart w:id="6" w:name="_Hlk34917473"/>
      <w:r w:rsidRPr="00C861EF">
        <w:rPr>
          <w:rFonts w:ascii="Verdana" w:eastAsia="Times New Roman" w:hAnsi="Verdana" w:cs="Arial"/>
          <w:lang w:val="es-ES_tradnl" w:eastAsia="es-MX"/>
        </w:rPr>
        <w:t xml:space="preserve">En consecuencia, corresponde a las entidades estatales, durante la etapa de planeación del contrato estatal, estudiar y </w:t>
      </w:r>
      <w:r w:rsidRPr="00C861EF">
        <w:rPr>
          <w:rFonts w:ascii="Verdana" w:eastAsia="Times New Roman" w:hAnsi="Verdana" w:cs="Arial"/>
          <w:bCs/>
          <w:iCs/>
          <w:lang w:val="es-ES_tradnl" w:eastAsia="es-MX"/>
        </w:rPr>
        <w:t>determinar</w:t>
      </w:r>
      <w:r w:rsidRPr="00C861EF">
        <w:rPr>
          <w:rFonts w:ascii="Verdana" w:eastAsia="Times New Roman" w:hAnsi="Verdana" w:cs="Arial"/>
          <w:lang w:val="es-ES_tradnl" w:eastAsia="es-MX"/>
        </w:rPr>
        <w:t xml:space="preserve"> los requisitos habilitantes que establecerán en los pliegos de condiciones, los cuales deben fijarse de forma adecuada y proporcional. </w:t>
      </w:r>
    </w:p>
    <w:bookmarkEnd w:id="5"/>
    <w:p w14:paraId="24611A1F" w14:textId="77777777" w:rsidR="00394125" w:rsidRPr="00C861EF" w:rsidRDefault="00394125" w:rsidP="00394125">
      <w:pPr>
        <w:pStyle w:val="Prrafodelista"/>
        <w:numPr>
          <w:ilvl w:val="0"/>
          <w:numId w:val="17"/>
        </w:numPr>
        <w:tabs>
          <w:tab w:val="left" w:pos="426"/>
        </w:tabs>
        <w:spacing w:before="120" w:after="120" w:line="276" w:lineRule="auto"/>
        <w:jc w:val="both"/>
        <w:rPr>
          <w:rFonts w:ascii="Verdana" w:eastAsia="Times New Roman" w:hAnsi="Verdana" w:cs="Arial"/>
          <w:lang w:val="es-ES_tradnl" w:eastAsia="es-MX"/>
        </w:rPr>
      </w:pPr>
      <w:r w:rsidRPr="00C861EF">
        <w:rPr>
          <w:rFonts w:ascii="Verdana" w:eastAsia="Times New Roman" w:hAnsi="Verdana" w:cs="Arial"/>
          <w:lang w:val="es-ES_tradnl" w:eastAsia="es-MX"/>
        </w:rPr>
        <w:t>El Decreto 1082 de 2015 en su artículo 2.2.1.1.1.6.2 reglamenta los requisitos habilitantes, estableciendo que estos deben ser señalados en los pliegos de condiciones o en la invitación</w:t>
      </w:r>
      <w:r w:rsidRPr="00C861EF">
        <w:rPr>
          <w:rStyle w:val="Refdenotaalpie"/>
          <w:rFonts w:ascii="Verdana" w:eastAsia="Times New Roman" w:hAnsi="Verdana" w:cs="Arial"/>
          <w:lang w:val="es-ES_tradnl" w:eastAsia="es-MX"/>
        </w:rPr>
        <w:footnoteReference w:id="3"/>
      </w:r>
      <w:r w:rsidRPr="00C861EF">
        <w:rPr>
          <w:rFonts w:ascii="Verdana" w:eastAsia="Times New Roman" w:hAnsi="Verdana" w:cs="Arial"/>
          <w:lang w:val="es-ES_tradnl" w:eastAsia="es-MX"/>
        </w:rPr>
        <w:t>, lo cual es concordante con el numeral 5 del artículo 2.2.1.1.2.1.3, en el que se establece como uno de los componentes mínimos de los pliegos de condiciones</w:t>
      </w:r>
      <w:r w:rsidRPr="00C861EF">
        <w:rPr>
          <w:rFonts w:ascii="Verdana" w:hAnsi="Verdana" w:cs="Arial"/>
          <w:color w:val="000000"/>
        </w:rPr>
        <w:t xml:space="preserve"> a las reglas </w:t>
      </w:r>
      <w:r w:rsidRPr="00C861EF">
        <w:rPr>
          <w:rFonts w:ascii="Verdana" w:hAnsi="Verdana" w:cs="Arial"/>
          <w:color w:val="000000"/>
        </w:rPr>
        <w:lastRenderedPageBreak/>
        <w:t xml:space="preserve">aplicables a la presentación y evaluación de las ofertas, entre las que se inscriben las relativas a la acreditación de las condiciones habilitantes. </w:t>
      </w:r>
      <w:r w:rsidRPr="00C861EF">
        <w:rPr>
          <w:rFonts w:ascii="Verdana" w:eastAsia="Times New Roman" w:hAnsi="Verdana" w:cs="Arial"/>
          <w:lang w:val="es-ES_tradnl" w:eastAsia="es-MX"/>
        </w:rPr>
        <w:t xml:space="preserve"> Establece además el artículo 2.2.1.1.1.6.2 que la determinación de los requisitos habilitantes debe ser realizada en función de criterios como el riesgo del proceso de contratación, el valor del contrato, el análisis del sector económico respectivo y el conocimiento de fondo de los posibles oferentes desde la perspectiva comercial. </w:t>
      </w:r>
    </w:p>
    <w:p w14:paraId="5C1774E9" w14:textId="77777777" w:rsidR="001E0D78" w:rsidRPr="00C861EF" w:rsidRDefault="00394125" w:rsidP="00394125">
      <w:pPr>
        <w:pStyle w:val="Prrafodelista"/>
        <w:numPr>
          <w:ilvl w:val="0"/>
          <w:numId w:val="17"/>
        </w:numPr>
        <w:tabs>
          <w:tab w:val="left" w:pos="426"/>
        </w:tabs>
        <w:spacing w:before="120" w:after="0" w:line="276" w:lineRule="auto"/>
        <w:jc w:val="both"/>
        <w:rPr>
          <w:rFonts w:ascii="Verdana" w:eastAsia="Times New Roman" w:hAnsi="Verdana" w:cs="Arial"/>
          <w:lang w:val="es-ES_tradnl" w:eastAsia="es-MX"/>
        </w:rPr>
      </w:pPr>
      <w:r w:rsidRPr="00C861EF">
        <w:rPr>
          <w:rFonts w:ascii="Verdana" w:eastAsia="Times New Roman" w:hAnsi="Verdana" w:cs="Arial"/>
          <w:lang w:val="es-ES_tradnl" w:eastAsia="es-MX"/>
        </w:rPr>
        <w:t xml:space="preserve">Los mencionados criterios deben ser aplicados de manera tal que de la ponderación de los mismos resulten requisitos que permitan medir la aptitud de los oferentes para cumplir con el contrato, y que, además de ser proporcionales y adecuados al objeto del contrato, no limiten la participación en el proceso de selección. </w:t>
      </w:r>
    </w:p>
    <w:p w14:paraId="3C33E9E8" w14:textId="1AFFA2DB" w:rsidR="00394125" w:rsidRPr="00C861EF" w:rsidRDefault="00394125" w:rsidP="00394125">
      <w:pPr>
        <w:pStyle w:val="Prrafodelista"/>
        <w:numPr>
          <w:ilvl w:val="0"/>
          <w:numId w:val="17"/>
        </w:numPr>
        <w:tabs>
          <w:tab w:val="left" w:pos="426"/>
        </w:tabs>
        <w:spacing w:before="120" w:after="0" w:line="276" w:lineRule="auto"/>
        <w:jc w:val="both"/>
        <w:rPr>
          <w:rFonts w:ascii="Verdana" w:eastAsia="Times New Roman" w:hAnsi="Verdana" w:cs="Arial"/>
          <w:lang w:val="es-ES_tradnl" w:eastAsia="es-MX"/>
        </w:rPr>
      </w:pPr>
      <w:r w:rsidRPr="00C861EF">
        <w:rPr>
          <w:rFonts w:ascii="Verdana" w:eastAsia="Times New Roman" w:hAnsi="Verdana" w:cs="Arial"/>
          <w:lang w:val="es-ES_tradnl" w:eastAsia="es-MX"/>
        </w:rPr>
        <w:t xml:space="preserve">En ese sentido, las entidades tienen autonomía para estructurar los requisitos habilitantes en los procesos que adelantan, pero tal facultad no puede ejercerse de forma arbitraria, caprichosa y, mucho menos, con el ánimo de direccionar el proceso de contratación o favorecer a alguno de los proponentes. Tampoco puede suceder que el ejercicio de dicha atribución se haga con desconocimiento de los límites impuestos por la normativa vigente, como, por ejemplo, el parágrafo 2 del artículo 5 de la Ley 1150 de 2007, que prohíbe exigir certificaciones de sistemas de gestión de calidad como requisito habilitante. </w:t>
      </w:r>
    </w:p>
    <w:p w14:paraId="2EA15089" w14:textId="2C9E9085" w:rsidR="00394125" w:rsidRPr="00C861EF" w:rsidRDefault="001E0D78" w:rsidP="00394125">
      <w:pPr>
        <w:pStyle w:val="Prrafodelista"/>
        <w:numPr>
          <w:ilvl w:val="0"/>
          <w:numId w:val="17"/>
        </w:numPr>
        <w:tabs>
          <w:tab w:val="left" w:pos="426"/>
        </w:tabs>
        <w:spacing w:before="120" w:after="0" w:line="276" w:lineRule="auto"/>
        <w:jc w:val="both"/>
        <w:rPr>
          <w:rFonts w:ascii="Verdana" w:eastAsia="Times New Roman" w:hAnsi="Verdana" w:cs="Arial"/>
          <w:lang w:val="es-ES_tradnl" w:eastAsia="es-MX"/>
        </w:rPr>
      </w:pPr>
      <w:bookmarkStart w:id="7" w:name="_Hlk99547936"/>
      <w:r w:rsidRPr="00C861EF">
        <w:rPr>
          <w:rFonts w:ascii="Verdana" w:eastAsia="Times New Roman" w:hAnsi="Verdana" w:cs="Arial"/>
          <w:lang w:val="es-ES_tradnl" w:eastAsia="es-MX"/>
        </w:rPr>
        <w:t>De tal manera que</w:t>
      </w:r>
      <w:r w:rsidR="00394125" w:rsidRPr="00C861EF">
        <w:rPr>
          <w:rFonts w:ascii="Verdana" w:eastAsia="Times New Roman" w:hAnsi="Verdana" w:cs="Arial"/>
          <w:lang w:val="es-ES_tradnl" w:eastAsia="es-MX"/>
        </w:rPr>
        <w:t xml:space="preserve">, las entidades estatales son autónomas para definir los requisitos habilitantes, pero tal facultad debe ser ejercida procurando diseñar condiciones habilitantes de manera objetiva, de suerte que estas sirvan para determinar si los participantes del proceso de contratación cuentan con las capacidades que los hacen aptos para ejecutar el objeto contractual. Para esto resulta indispensable que los requisitos establecidos por la entidad, además se fijen de manera adecuada y proporcional a las características del objeto ofertado, procurando además ceñirse a la normativa que resulte aplicable. </w:t>
      </w:r>
    </w:p>
    <w:bookmarkEnd w:id="6"/>
    <w:bookmarkEnd w:id="7"/>
    <w:p w14:paraId="7D9B56C8" w14:textId="77777777" w:rsidR="00394125" w:rsidRPr="00C861EF" w:rsidRDefault="00394125" w:rsidP="00394125">
      <w:pPr>
        <w:pStyle w:val="Prrafodelista"/>
        <w:numPr>
          <w:ilvl w:val="0"/>
          <w:numId w:val="17"/>
        </w:numPr>
        <w:spacing w:line="276" w:lineRule="auto"/>
        <w:jc w:val="both"/>
        <w:rPr>
          <w:rFonts w:ascii="Verdana" w:hAnsi="Verdana"/>
        </w:rPr>
      </w:pPr>
      <w:r w:rsidRPr="00C861EF">
        <w:rPr>
          <w:rFonts w:ascii="Verdana" w:hAnsi="Verdana"/>
        </w:rPr>
        <w:t>La regla de subsanabilidad es un mecanismo previsto en los procesos de contratación estatal que se regulan por el Estatuto General de Contratación de la Administración Pública – en adelante EGCAP. Esta regla, prevista en el artículo 5 de la Ley 1150 de 2007, consiste en permitir que los proponentes puedan enmendar, corregir o modificar los errores en los que se incurre en los documentos contentivos de la oferta. Así lo ha establecido el Consejo de Estado, en los siguientes términos:</w:t>
      </w:r>
    </w:p>
    <w:p w14:paraId="4B5D2DA4" w14:textId="77777777" w:rsidR="00394125" w:rsidRPr="00C861EF" w:rsidRDefault="00394125" w:rsidP="00394125">
      <w:pPr>
        <w:pStyle w:val="Prrafodelista"/>
        <w:spacing w:line="276" w:lineRule="auto"/>
        <w:jc w:val="both"/>
        <w:rPr>
          <w:rFonts w:ascii="Verdana" w:hAnsi="Verdana"/>
        </w:rPr>
      </w:pPr>
    </w:p>
    <w:p w14:paraId="50ACD780" w14:textId="77777777" w:rsidR="00394125" w:rsidRPr="00C861EF" w:rsidRDefault="00394125" w:rsidP="00394125">
      <w:pPr>
        <w:pStyle w:val="Prrafodelista"/>
        <w:spacing w:line="240" w:lineRule="auto"/>
        <w:ind w:left="1134" w:right="357"/>
        <w:jc w:val="both"/>
        <w:rPr>
          <w:rFonts w:ascii="Verdana" w:hAnsi="Verdana"/>
          <w:sz w:val="20"/>
          <w:szCs w:val="20"/>
        </w:rPr>
      </w:pPr>
      <w:r w:rsidRPr="00C861EF">
        <w:rPr>
          <w:rFonts w:ascii="Verdana" w:hAnsi="Verdana"/>
          <w:sz w:val="20"/>
          <w:szCs w:val="20"/>
        </w:rPr>
        <w:lastRenderedPageBreak/>
        <w:t>“[…] materializar un principio general de primacía de lo sustancial sobre lo formal, adoptando medidas de saneamiento del proceso de selección tendientes a que los meros defectos formales, que no afecten sustancialmente la oferta, referidos a la documentación o instrumentalización de la misma, priven a la administración de considerar una oferta por causa de tales falencias”</w:t>
      </w:r>
      <w:r w:rsidRPr="00C861EF">
        <w:rPr>
          <w:rStyle w:val="Refdenotaalpie"/>
          <w:rFonts w:ascii="Verdana" w:hAnsi="Verdana"/>
          <w:sz w:val="20"/>
          <w:szCs w:val="20"/>
        </w:rPr>
        <w:footnoteReference w:id="4"/>
      </w:r>
      <w:r w:rsidRPr="00C861EF">
        <w:rPr>
          <w:rFonts w:ascii="Verdana" w:hAnsi="Verdana"/>
          <w:sz w:val="20"/>
          <w:szCs w:val="20"/>
        </w:rPr>
        <w:t>.</w:t>
      </w:r>
    </w:p>
    <w:p w14:paraId="11D42B0F" w14:textId="77777777" w:rsidR="00394125" w:rsidRPr="00C861EF" w:rsidRDefault="00394125" w:rsidP="00394125">
      <w:pPr>
        <w:pStyle w:val="Prrafodelista"/>
        <w:spacing w:line="240" w:lineRule="auto"/>
        <w:ind w:left="1134" w:right="357"/>
        <w:jc w:val="both"/>
        <w:rPr>
          <w:rFonts w:ascii="Verdana" w:hAnsi="Verdana"/>
          <w:sz w:val="20"/>
          <w:szCs w:val="20"/>
        </w:rPr>
      </w:pPr>
    </w:p>
    <w:p w14:paraId="1384A4F6" w14:textId="3CB1728B" w:rsidR="00394125" w:rsidRPr="00C861EF" w:rsidRDefault="00394125" w:rsidP="00394125">
      <w:pPr>
        <w:pStyle w:val="Prrafodelista"/>
        <w:widowControl w:val="0"/>
        <w:numPr>
          <w:ilvl w:val="0"/>
          <w:numId w:val="17"/>
        </w:numPr>
        <w:autoSpaceDE w:val="0"/>
        <w:autoSpaceDN w:val="0"/>
        <w:spacing w:line="276" w:lineRule="auto"/>
        <w:jc w:val="both"/>
        <w:rPr>
          <w:rFonts w:ascii="Verdana" w:eastAsia="Calibri" w:hAnsi="Verdana" w:cs="Arial"/>
          <w:lang w:eastAsia="es-ES_tradnl"/>
        </w:rPr>
      </w:pPr>
      <w:r w:rsidRPr="00C861EF">
        <w:rPr>
          <w:rFonts w:ascii="Verdana" w:eastAsia="Calibri" w:hAnsi="Verdana" w:cs="Arial"/>
          <w:lang w:eastAsia="es-ES_tradnl"/>
        </w:rPr>
        <w:t>Esta Subdirección se ha pronunciado en diversas oportunidades acerca del alcance de la regla de la subsanabilidad</w:t>
      </w:r>
      <w:r w:rsidR="00C861EF">
        <w:rPr>
          <w:rStyle w:val="Refdenotaalpie"/>
          <w:rFonts w:ascii="Verdana" w:eastAsia="Calibri" w:hAnsi="Verdana" w:cs="Arial"/>
          <w:lang w:eastAsia="es-ES_tradnl"/>
        </w:rPr>
        <w:footnoteReference w:id="5"/>
      </w:r>
      <w:r w:rsidRPr="00C861EF">
        <w:rPr>
          <w:rFonts w:ascii="Verdana" w:eastAsia="Calibri" w:hAnsi="Verdana" w:cs="Arial"/>
          <w:lang w:eastAsia="es-ES_tradnl"/>
        </w:rPr>
        <w:t>, contenida actualmente en el parágrafo 1 del artículo 5 de la Ley 1150 de 2007, modificado por el artículo 5 de la Ley 1882 de 2018</w:t>
      </w:r>
      <w:r w:rsidRPr="00C861EF">
        <w:rPr>
          <w:rFonts w:ascii="Verdana" w:hAnsi="Verdana"/>
          <w:vertAlign w:val="superscript"/>
          <w:lang w:eastAsia="es-ES_tradnl"/>
        </w:rPr>
        <w:footnoteReference w:id="6"/>
      </w:r>
      <w:r w:rsidRPr="00C861EF">
        <w:rPr>
          <w:rFonts w:ascii="Verdana" w:eastAsia="Calibri" w:hAnsi="Verdana" w:cs="Arial"/>
          <w:lang w:eastAsia="es-ES_tradnl"/>
        </w:rPr>
        <w:t>. Al respecto, la postura que se reitera en el presente concepto es la siguiente: por regla general, la falta de entrega o los defectos frente a los requisitos que no asignan puntaje, son subsanables. La excepción se encuentra en los casos, previstos en la ley, que limitan la subsanabilidad, como, por ejemplo, la prohibición de permitir la entrega de la garantía de seriedad de la oferta que no fue aportada con la propuesta y de permitir la acreditación de circunstancias ocurridas con posterioridad al cierre del proceso.</w:t>
      </w:r>
    </w:p>
    <w:p w14:paraId="62B921EB" w14:textId="77777777" w:rsidR="00394125" w:rsidRPr="00C861EF" w:rsidRDefault="00394125" w:rsidP="00394125">
      <w:pPr>
        <w:pStyle w:val="Prrafodelista"/>
        <w:widowControl w:val="0"/>
        <w:numPr>
          <w:ilvl w:val="0"/>
          <w:numId w:val="17"/>
        </w:numPr>
        <w:tabs>
          <w:tab w:val="left" w:pos="284"/>
        </w:tabs>
        <w:autoSpaceDE w:val="0"/>
        <w:autoSpaceDN w:val="0"/>
        <w:spacing w:before="120" w:line="276" w:lineRule="auto"/>
        <w:jc w:val="both"/>
        <w:rPr>
          <w:rFonts w:ascii="Verdana" w:eastAsia="Calibri" w:hAnsi="Verdana" w:cs="Arial"/>
          <w:color w:val="000000"/>
          <w:lang w:val="es-ES_tradnl" w:eastAsia="es-ES_tradnl"/>
        </w:rPr>
      </w:pPr>
      <w:r w:rsidRPr="00C861EF">
        <w:rPr>
          <w:rFonts w:ascii="Verdana" w:eastAsia="Calibri" w:hAnsi="Verdana" w:cs="Arial"/>
          <w:lang w:eastAsia="es-ES_tradnl"/>
        </w:rPr>
        <w:t xml:space="preserve">En este sentido, bajo la normativa actual que regula la subsanabilidad de las ofertas debe tenerse en cuenta que </w:t>
      </w:r>
      <w:r w:rsidRPr="00C861EF">
        <w:rPr>
          <w:rFonts w:ascii="Verdana" w:eastAsia="Arial" w:hAnsi="Verdana" w:cs="Arial"/>
          <w:lang w:eastAsia="es-ES_tradnl"/>
        </w:rPr>
        <w:t>el</w:t>
      </w:r>
      <w:r w:rsidRPr="00C861EF">
        <w:rPr>
          <w:rFonts w:ascii="Verdana" w:eastAsia="Arial" w:hAnsi="Verdana" w:cs="Arial"/>
          <w:spacing w:val="-12"/>
          <w:lang w:eastAsia="es-ES_tradnl"/>
        </w:rPr>
        <w:t xml:space="preserve"> </w:t>
      </w:r>
      <w:r w:rsidRPr="00C861EF">
        <w:rPr>
          <w:rFonts w:ascii="Verdana" w:eastAsia="Arial" w:hAnsi="Verdana" w:cs="Arial"/>
          <w:lang w:eastAsia="es-ES_tradnl"/>
        </w:rPr>
        <w:t>legislador</w:t>
      </w:r>
      <w:r w:rsidRPr="00C861EF">
        <w:rPr>
          <w:rFonts w:ascii="Verdana" w:eastAsia="Arial" w:hAnsi="Verdana" w:cs="Arial"/>
          <w:spacing w:val="-12"/>
          <w:lang w:eastAsia="es-ES_tradnl"/>
        </w:rPr>
        <w:t xml:space="preserve"> </w:t>
      </w:r>
      <w:r w:rsidRPr="00C861EF">
        <w:rPr>
          <w:rFonts w:ascii="Verdana" w:eastAsia="Arial" w:hAnsi="Verdana" w:cs="Arial"/>
          <w:lang w:eastAsia="es-ES_tradnl"/>
        </w:rPr>
        <w:t>expidió</w:t>
      </w:r>
      <w:r w:rsidRPr="00C861EF">
        <w:rPr>
          <w:rFonts w:ascii="Verdana" w:eastAsia="Arial" w:hAnsi="Verdana" w:cs="Arial"/>
          <w:spacing w:val="-13"/>
          <w:lang w:eastAsia="es-ES_tradnl"/>
        </w:rPr>
        <w:t xml:space="preserve"> </w:t>
      </w:r>
      <w:r w:rsidRPr="00C861EF">
        <w:rPr>
          <w:rFonts w:ascii="Verdana" w:eastAsia="Arial" w:hAnsi="Verdana" w:cs="Arial"/>
          <w:lang w:eastAsia="es-ES_tradnl"/>
        </w:rPr>
        <w:t>la</w:t>
      </w:r>
      <w:r w:rsidRPr="00C861EF">
        <w:rPr>
          <w:rFonts w:ascii="Verdana" w:eastAsia="Arial" w:hAnsi="Verdana" w:cs="Arial"/>
          <w:spacing w:val="-12"/>
          <w:lang w:eastAsia="es-ES_tradnl"/>
        </w:rPr>
        <w:t xml:space="preserve"> </w:t>
      </w:r>
      <w:r w:rsidRPr="00C861EF">
        <w:rPr>
          <w:rFonts w:ascii="Verdana" w:eastAsia="Arial" w:hAnsi="Verdana" w:cs="Arial"/>
          <w:lang w:eastAsia="es-ES_tradnl"/>
        </w:rPr>
        <w:t>Ley</w:t>
      </w:r>
      <w:r w:rsidRPr="00C861EF">
        <w:rPr>
          <w:rFonts w:ascii="Verdana" w:eastAsia="Arial" w:hAnsi="Verdana" w:cs="Arial"/>
          <w:spacing w:val="-13"/>
          <w:lang w:eastAsia="es-ES_tradnl"/>
        </w:rPr>
        <w:t xml:space="preserve"> </w:t>
      </w:r>
      <w:r w:rsidRPr="00C861EF">
        <w:rPr>
          <w:rFonts w:ascii="Verdana" w:eastAsia="Arial" w:hAnsi="Verdana" w:cs="Arial"/>
          <w:lang w:eastAsia="es-ES_tradnl"/>
        </w:rPr>
        <w:t>1882</w:t>
      </w:r>
      <w:r w:rsidRPr="00C861EF">
        <w:rPr>
          <w:rFonts w:ascii="Verdana" w:eastAsia="Arial" w:hAnsi="Verdana" w:cs="Arial"/>
          <w:spacing w:val="-13"/>
          <w:lang w:eastAsia="es-ES_tradnl"/>
        </w:rPr>
        <w:t xml:space="preserve"> </w:t>
      </w:r>
      <w:r w:rsidRPr="00C861EF">
        <w:rPr>
          <w:rFonts w:ascii="Verdana" w:eastAsia="Arial" w:hAnsi="Verdana" w:cs="Arial"/>
          <w:lang w:eastAsia="es-ES_tradnl"/>
        </w:rPr>
        <w:t>de</w:t>
      </w:r>
      <w:r w:rsidRPr="00C861EF">
        <w:rPr>
          <w:rFonts w:ascii="Verdana" w:eastAsia="Arial" w:hAnsi="Verdana" w:cs="Arial"/>
          <w:spacing w:val="-12"/>
          <w:lang w:eastAsia="es-ES_tradnl"/>
        </w:rPr>
        <w:t xml:space="preserve"> </w:t>
      </w:r>
      <w:r w:rsidRPr="00C861EF">
        <w:rPr>
          <w:rFonts w:ascii="Verdana" w:eastAsia="Arial" w:hAnsi="Verdana" w:cs="Arial"/>
          <w:lang w:eastAsia="es-ES_tradnl"/>
        </w:rPr>
        <w:t>2018,</w:t>
      </w:r>
      <w:r w:rsidRPr="00C861EF">
        <w:rPr>
          <w:rFonts w:ascii="Verdana" w:eastAsia="Arial" w:hAnsi="Verdana" w:cs="Arial"/>
          <w:spacing w:val="-13"/>
          <w:lang w:eastAsia="es-ES_tradnl"/>
        </w:rPr>
        <w:t xml:space="preserve"> </w:t>
      </w:r>
      <w:r w:rsidRPr="00C861EF">
        <w:rPr>
          <w:rFonts w:ascii="Verdana" w:eastAsia="Arial" w:hAnsi="Verdana" w:cs="Arial"/>
          <w:lang w:eastAsia="es-ES_tradnl"/>
        </w:rPr>
        <w:t>con</w:t>
      </w:r>
      <w:r w:rsidRPr="00C861EF">
        <w:rPr>
          <w:rFonts w:ascii="Verdana" w:eastAsia="Arial" w:hAnsi="Verdana" w:cs="Arial"/>
          <w:spacing w:val="-12"/>
          <w:lang w:eastAsia="es-ES_tradnl"/>
        </w:rPr>
        <w:t xml:space="preserve"> </w:t>
      </w:r>
      <w:r w:rsidRPr="00C861EF">
        <w:rPr>
          <w:rFonts w:ascii="Verdana" w:eastAsia="Arial" w:hAnsi="Verdana" w:cs="Arial"/>
          <w:lang w:eastAsia="es-ES_tradnl"/>
        </w:rPr>
        <w:t>la</w:t>
      </w:r>
      <w:r w:rsidRPr="00C861EF">
        <w:rPr>
          <w:rFonts w:ascii="Verdana" w:eastAsia="Arial" w:hAnsi="Verdana" w:cs="Arial"/>
          <w:spacing w:val="-13"/>
          <w:lang w:eastAsia="es-ES_tradnl"/>
        </w:rPr>
        <w:t xml:space="preserve"> </w:t>
      </w:r>
      <w:r w:rsidRPr="00C861EF">
        <w:rPr>
          <w:rFonts w:ascii="Verdana" w:eastAsia="Arial" w:hAnsi="Verdana" w:cs="Arial"/>
          <w:lang w:eastAsia="es-ES_tradnl"/>
        </w:rPr>
        <w:t xml:space="preserve">finalidad de introducir cambios y ajustes para fortalecer la contratación pública. </w:t>
      </w:r>
      <w:r w:rsidRPr="00C861EF">
        <w:rPr>
          <w:rFonts w:ascii="Verdana" w:eastAsia="Calibri" w:hAnsi="Verdana" w:cs="Arial"/>
          <w:lang w:eastAsia="es-ES_tradnl"/>
        </w:rPr>
        <w:t>Particularmente, el artículo 5 modificó el parágrafo 1º del artículo 5 de la Ley 1150 de 2007</w:t>
      </w:r>
      <w:r w:rsidRPr="00C861EF">
        <w:rPr>
          <w:rFonts w:ascii="Verdana" w:eastAsia="Arial" w:hAnsi="Verdana" w:cs="Arial"/>
          <w:color w:val="000000"/>
          <w:lang w:val="es-ES_tradnl" w:eastAsia="es-ES_tradnl"/>
        </w:rPr>
        <w:t xml:space="preserve">: </w:t>
      </w:r>
    </w:p>
    <w:p w14:paraId="7357292E" w14:textId="77777777" w:rsidR="00394125" w:rsidRPr="00C861EF" w:rsidRDefault="00394125" w:rsidP="00394125">
      <w:pPr>
        <w:pStyle w:val="Prrafodelista"/>
        <w:widowControl w:val="0"/>
        <w:tabs>
          <w:tab w:val="left" w:pos="284"/>
        </w:tabs>
        <w:autoSpaceDE w:val="0"/>
        <w:autoSpaceDN w:val="0"/>
        <w:spacing w:before="120" w:line="276" w:lineRule="auto"/>
        <w:jc w:val="both"/>
        <w:rPr>
          <w:rFonts w:ascii="Verdana" w:eastAsia="Calibri" w:hAnsi="Verdana" w:cs="Arial"/>
          <w:color w:val="000000"/>
          <w:lang w:val="es-ES_tradnl" w:eastAsia="es-ES_tradnl"/>
        </w:rPr>
      </w:pPr>
    </w:p>
    <w:p w14:paraId="71D3D0BB" w14:textId="77777777" w:rsidR="00394125" w:rsidRPr="00C861EF" w:rsidRDefault="00394125" w:rsidP="00394125">
      <w:pPr>
        <w:pStyle w:val="Prrafodelista"/>
        <w:spacing w:line="240" w:lineRule="auto"/>
        <w:ind w:left="1134" w:right="357"/>
        <w:jc w:val="both"/>
        <w:rPr>
          <w:rFonts w:ascii="Verdana" w:eastAsia="Calibri" w:hAnsi="Verdana" w:cs="Arial"/>
          <w:color w:val="000000"/>
          <w:sz w:val="20"/>
          <w:szCs w:val="20"/>
          <w:lang w:val="es-ES_tradnl" w:eastAsia="es-ES_tradnl"/>
        </w:rPr>
      </w:pPr>
      <w:r w:rsidRPr="00C861EF">
        <w:rPr>
          <w:rFonts w:ascii="Verdana" w:eastAsia="Calibri" w:hAnsi="Verdana" w:cs="Arial"/>
          <w:color w:val="000000"/>
          <w:sz w:val="20"/>
          <w:szCs w:val="20"/>
          <w:lang w:val="es-ES_tradnl" w:eastAsia="es-ES_tradnl"/>
        </w:rPr>
        <w:t xml:space="preserve">“Artículo 5°. De la selección objetiva. </w:t>
      </w:r>
    </w:p>
    <w:p w14:paraId="65FB7C0F" w14:textId="77777777" w:rsidR="00394125" w:rsidRPr="00C861EF" w:rsidRDefault="00394125" w:rsidP="00394125">
      <w:pPr>
        <w:pStyle w:val="Prrafodelista"/>
        <w:spacing w:line="240" w:lineRule="auto"/>
        <w:ind w:left="1134" w:right="357"/>
        <w:jc w:val="both"/>
        <w:rPr>
          <w:rFonts w:ascii="Verdana" w:eastAsia="Calibri" w:hAnsi="Verdana" w:cs="Arial"/>
          <w:color w:val="000000"/>
          <w:sz w:val="20"/>
          <w:szCs w:val="20"/>
          <w:lang w:val="es-ES_tradnl" w:eastAsia="es-ES_tradnl"/>
        </w:rPr>
      </w:pPr>
      <w:r w:rsidRPr="00C861EF">
        <w:rPr>
          <w:rFonts w:ascii="Verdana" w:eastAsia="Calibri" w:hAnsi="Verdana" w:cs="Arial"/>
          <w:color w:val="000000"/>
          <w:sz w:val="20"/>
          <w:szCs w:val="20"/>
          <w:lang w:val="es-ES_tradnl" w:eastAsia="es-ES_tradnl"/>
        </w:rPr>
        <w:t xml:space="preserve">[...] </w:t>
      </w:r>
    </w:p>
    <w:p w14:paraId="7BD33B77" w14:textId="77777777" w:rsidR="00394125" w:rsidRPr="00C861EF" w:rsidRDefault="00394125" w:rsidP="00394125">
      <w:pPr>
        <w:pStyle w:val="Prrafodelista"/>
        <w:spacing w:line="240" w:lineRule="auto"/>
        <w:ind w:left="1134" w:right="357"/>
        <w:jc w:val="both"/>
        <w:rPr>
          <w:rFonts w:ascii="Verdana" w:eastAsia="Calibri" w:hAnsi="Verdana" w:cs="Arial"/>
          <w:color w:val="000000"/>
          <w:sz w:val="20"/>
          <w:szCs w:val="20"/>
          <w:lang w:val="es-ES_tradnl" w:eastAsia="es-ES_tradnl"/>
        </w:rPr>
      </w:pPr>
      <w:r w:rsidRPr="00C861EF">
        <w:rPr>
          <w:rFonts w:ascii="Verdana" w:eastAsia="Calibri" w:hAnsi="Verdana" w:cs="Arial"/>
          <w:color w:val="000000"/>
          <w:sz w:val="20"/>
          <w:szCs w:val="20"/>
          <w:lang w:val="es-ES_tradnl" w:eastAsia="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w:t>
      </w:r>
      <w:r w:rsidRPr="00C861EF">
        <w:rPr>
          <w:rFonts w:ascii="Verdana" w:eastAsia="Calibri" w:hAnsi="Verdana" w:cs="Arial"/>
          <w:color w:val="000000"/>
          <w:sz w:val="20"/>
          <w:szCs w:val="20"/>
          <w:lang w:val="es-ES_tradnl" w:eastAsia="es-ES_tradnl"/>
        </w:rPr>
        <w:lastRenderedPageBreak/>
        <w:t>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w:t>
      </w:r>
    </w:p>
    <w:p w14:paraId="719D3346" w14:textId="77777777" w:rsidR="00394125" w:rsidRPr="00C861EF" w:rsidRDefault="00394125" w:rsidP="00394125">
      <w:pPr>
        <w:pStyle w:val="Prrafodelista"/>
        <w:spacing w:line="276" w:lineRule="auto"/>
        <w:ind w:right="709"/>
        <w:jc w:val="both"/>
        <w:rPr>
          <w:rFonts w:ascii="Verdana" w:hAnsi="Verdana"/>
        </w:rPr>
      </w:pPr>
    </w:p>
    <w:p w14:paraId="36C4E5C3" w14:textId="77777777" w:rsidR="00394125" w:rsidRPr="00C861EF" w:rsidRDefault="00394125" w:rsidP="00394125">
      <w:pPr>
        <w:pStyle w:val="Prrafodelista"/>
        <w:numPr>
          <w:ilvl w:val="0"/>
          <w:numId w:val="17"/>
        </w:numPr>
        <w:spacing w:line="276" w:lineRule="auto"/>
        <w:jc w:val="both"/>
        <w:rPr>
          <w:rFonts w:ascii="Verdana" w:eastAsia="Arial" w:hAnsi="Verdana" w:cs="Arial"/>
          <w:color w:val="000000"/>
          <w:lang w:eastAsia="es-MX"/>
        </w:rPr>
      </w:pPr>
      <w:r w:rsidRPr="00C861EF">
        <w:rPr>
          <w:rFonts w:ascii="Verdana" w:eastAsia="Calibri" w:hAnsi="Verdana" w:cs="Arial"/>
          <w:color w:val="000000"/>
          <w:lang w:val="es-ES_tradnl" w:eastAsia="es-ES_tradnl"/>
        </w:rPr>
        <w:t>Esta norma: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y; iii) introduce modificaciones en relación con tres aspectos que se analizarán a continuación</w:t>
      </w:r>
      <w:r w:rsidRPr="00C861EF">
        <w:rPr>
          <w:rFonts w:ascii="Verdana" w:eastAsia="Arial" w:hAnsi="Verdana"/>
          <w:vertAlign w:val="superscript"/>
          <w:lang w:eastAsia="es-MX"/>
        </w:rPr>
        <w:footnoteReference w:id="7"/>
      </w:r>
      <w:r w:rsidRPr="00C861EF">
        <w:rPr>
          <w:rFonts w:ascii="Verdana" w:eastAsia="Arial" w:hAnsi="Verdana" w:cs="Arial"/>
          <w:color w:val="000000"/>
          <w:lang w:eastAsia="es-MX"/>
        </w:rPr>
        <w:t xml:space="preserve">. </w:t>
      </w:r>
    </w:p>
    <w:p w14:paraId="3AAF41E2" w14:textId="77777777" w:rsidR="00394125" w:rsidRPr="00C861EF" w:rsidRDefault="00394125" w:rsidP="00394125">
      <w:pPr>
        <w:pStyle w:val="Prrafodelista"/>
        <w:numPr>
          <w:ilvl w:val="0"/>
          <w:numId w:val="17"/>
        </w:numPr>
        <w:spacing w:line="276" w:lineRule="auto"/>
        <w:jc w:val="both"/>
        <w:rPr>
          <w:rFonts w:ascii="Verdana" w:eastAsia="Arial" w:hAnsi="Verdana" w:cs="Arial"/>
          <w:color w:val="000000"/>
          <w:lang w:eastAsia="es-MX"/>
        </w:rPr>
      </w:pPr>
      <w:r w:rsidRPr="00C861EF">
        <w:rPr>
          <w:rFonts w:ascii="Verdana" w:eastAsia="Arial" w:hAnsi="Verdana" w:cs="Arial"/>
          <w:color w:val="000000"/>
          <w:lang w:eastAsia="es-MX"/>
        </w:rPr>
        <w:t xml:space="preserve">Por un lado, el </w:t>
      </w:r>
      <w:r w:rsidRPr="00C861EF">
        <w:rPr>
          <w:rFonts w:ascii="Verdana" w:eastAsia="Arial" w:hAnsi="Verdana" w:cs="Arial"/>
          <w:i/>
          <w:iCs/>
          <w:color w:val="000000"/>
          <w:lang w:eastAsia="es-MX"/>
        </w:rPr>
        <w:t>primero</w:t>
      </w:r>
      <w:r w:rsidRPr="00C861EF">
        <w:rPr>
          <w:rFonts w:ascii="Verdana" w:eastAsia="Arial" w:hAnsi="Verdana" w:cs="Arial"/>
          <w:color w:val="000000"/>
          <w:lang w:eastAsia="es-MX"/>
        </w:rPr>
        <w:t xml:space="preserve">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 en este último los documentos o requisitos subsanables deben solicitarse, como límite final, hasta el momento previo a su realización</w:t>
      </w:r>
      <w:r w:rsidRPr="00C861EF">
        <w:rPr>
          <w:rFonts w:ascii="Verdana" w:hAnsi="Verdana"/>
          <w:vertAlign w:val="superscript"/>
          <w:lang w:eastAsia="es-MX"/>
        </w:rPr>
        <w:footnoteReference w:id="8"/>
      </w:r>
      <w:r w:rsidRPr="00C861EF">
        <w:rPr>
          <w:rFonts w:ascii="Verdana" w:eastAsia="Arial" w:hAnsi="Verdana" w:cs="Arial"/>
          <w:color w:val="000000"/>
          <w:lang w:eastAsia="es-MX"/>
        </w:rPr>
        <w:t>.</w:t>
      </w:r>
    </w:p>
    <w:p w14:paraId="707F3EFC" w14:textId="77777777" w:rsidR="00394125" w:rsidRPr="00C861EF" w:rsidRDefault="00394125" w:rsidP="00394125">
      <w:pPr>
        <w:pStyle w:val="Prrafodelista"/>
        <w:numPr>
          <w:ilvl w:val="0"/>
          <w:numId w:val="17"/>
        </w:numPr>
        <w:spacing w:line="276" w:lineRule="auto"/>
        <w:jc w:val="both"/>
        <w:rPr>
          <w:rFonts w:ascii="Verdana" w:eastAsia="Calibri" w:hAnsi="Verdana" w:cs="Arial"/>
          <w:bCs/>
          <w:lang w:val="es-MX" w:eastAsia="es-ES_tradnl"/>
        </w:rPr>
      </w:pPr>
      <w:r w:rsidRPr="00C861EF">
        <w:rPr>
          <w:rFonts w:ascii="Verdana" w:eastAsia="Times New Roman" w:hAnsi="Verdana" w:cs="Arial"/>
          <w:color w:val="000000"/>
          <w:shd w:val="clear" w:color="auto" w:fill="FFFFFF"/>
          <w:lang w:eastAsia="es-MX"/>
        </w:rPr>
        <w:t>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 evaluación. </w:t>
      </w:r>
      <w:r w:rsidRPr="00C861EF">
        <w:rPr>
          <w:rFonts w:ascii="Verdana" w:eastAsia="Calibri" w:hAnsi="Verdana" w:cs="Arial"/>
          <w:bCs/>
          <w:lang w:val="es-MX" w:eastAsia="es-ES_tradnl"/>
        </w:rPr>
        <w:t>En efecto, la redacción de la norma permite que la Administración solicite a los oferentes subsanar y que estos lo hagan hasta antes del término del traslado del informe de evaluación: “deberán ser solicitados por las entidades estatales y deberán ser entregados por los proponentes hasta el término de traslado del informe de evaluación que corresponda a cada modalidad de selección”.</w:t>
      </w:r>
    </w:p>
    <w:p w14:paraId="5CA0391D" w14:textId="77777777" w:rsidR="00394125" w:rsidRPr="00C861EF" w:rsidRDefault="00394125" w:rsidP="00394125">
      <w:pPr>
        <w:pStyle w:val="Prrafodelista"/>
        <w:numPr>
          <w:ilvl w:val="0"/>
          <w:numId w:val="17"/>
        </w:numPr>
        <w:spacing w:line="276" w:lineRule="auto"/>
        <w:jc w:val="both"/>
        <w:rPr>
          <w:rFonts w:ascii="Verdana" w:eastAsia="Times New Roman" w:hAnsi="Verdana" w:cs="Arial"/>
          <w:lang w:val="es-ES_tradnl" w:eastAsia="es-ES_tradnl"/>
        </w:rPr>
      </w:pPr>
      <w:r w:rsidRPr="00C861EF">
        <w:rPr>
          <w:rFonts w:ascii="Verdana" w:eastAsia="Times New Roman" w:hAnsi="Verdana" w:cs="Arial"/>
          <w:lang w:val="es-ES_tradnl" w:eastAsia="es-ES_tradnl"/>
        </w:rPr>
        <w:lastRenderedPageBreak/>
        <w:t xml:space="preserve">No obstante, de la lectura de este aparte podrían, en la práctica, darse dos interpretaciones que dan lugar a dos formas de proceder en los procesos de selección, en lo que a la subsanabilidad de las ofertas se refiere. Primera, que la posibilidad para subsanar de los oferentes es el término del traslado del informe de evaluación, ya que es en este documento donde la Administración consigna los requisitos o documentos omitidos que los oferentes deben subsanar, so pena de rechazo; segunda, que el término del traslado del informe de evaluación es el </w:t>
      </w:r>
      <w:r w:rsidRPr="00C861EF">
        <w:rPr>
          <w:rFonts w:ascii="Verdana" w:eastAsia="Times New Roman" w:hAnsi="Verdana" w:cs="Arial"/>
          <w:i/>
          <w:iCs/>
          <w:lang w:val="es-ES_tradnl" w:eastAsia="es-ES_tradnl"/>
        </w:rPr>
        <w:t>límite</w:t>
      </w:r>
      <w:r w:rsidRPr="00C861EF">
        <w:rPr>
          <w:rFonts w:ascii="Verdana" w:eastAsia="Times New Roman" w:hAnsi="Verdana" w:cs="Arial"/>
          <w:lang w:val="es-ES_tradnl" w:eastAsia="es-ES_tradnl"/>
        </w:rPr>
        <w:t xml:space="preserve"> para la subsanación de ofertas, pero no el único momento para hacerlo. </w:t>
      </w:r>
    </w:p>
    <w:p w14:paraId="09BBF936" w14:textId="77777777" w:rsidR="00394125" w:rsidRPr="00C861EF" w:rsidRDefault="00394125" w:rsidP="00394125">
      <w:pPr>
        <w:pStyle w:val="Prrafodelista"/>
        <w:numPr>
          <w:ilvl w:val="0"/>
          <w:numId w:val="17"/>
        </w:numPr>
        <w:spacing w:line="276" w:lineRule="auto"/>
        <w:jc w:val="both"/>
        <w:rPr>
          <w:rFonts w:ascii="Verdana" w:eastAsia="Times New Roman" w:hAnsi="Verdana" w:cs="Arial"/>
          <w:lang w:val="es-ES_tradnl" w:eastAsia="es-ES_tradnl"/>
        </w:rPr>
      </w:pPr>
      <w:r w:rsidRPr="00C861EF">
        <w:rPr>
          <w:rFonts w:ascii="Verdana" w:eastAsia="Times New Roman" w:hAnsi="Verdana" w:cs="Arial"/>
          <w:lang w:val="es-ES_tradnl" w:eastAsia="es-ES_tradnl"/>
        </w:rPr>
        <w:t xml:space="preserve">De acuerdo con la primera interpretación, el informe de evaluación se convierte en la oportunidad que adopta la Administración para decirles a los oferentes qué documentos o requisitos omitieron y deben subsanar y, consecuentemente, el término del traslado es la oportunidad del proponente para cumplir con lo solicitado.  </w:t>
      </w:r>
    </w:p>
    <w:p w14:paraId="0B5440C5" w14:textId="77777777" w:rsidR="00394125" w:rsidRPr="00C861EF" w:rsidRDefault="00394125" w:rsidP="00394125">
      <w:pPr>
        <w:pStyle w:val="Prrafodelista"/>
        <w:numPr>
          <w:ilvl w:val="0"/>
          <w:numId w:val="17"/>
        </w:numPr>
        <w:spacing w:line="276" w:lineRule="auto"/>
        <w:jc w:val="both"/>
        <w:rPr>
          <w:rFonts w:ascii="Verdana" w:eastAsia="Times New Roman" w:hAnsi="Verdana" w:cs="Arial"/>
          <w:lang w:val="es-ES_tradnl" w:eastAsia="es-ES_tradnl"/>
        </w:rPr>
      </w:pPr>
      <w:r w:rsidRPr="00C861EF">
        <w:rPr>
          <w:rFonts w:ascii="Verdana" w:eastAsia="Times New Roman" w:hAnsi="Verdana" w:cs="Arial"/>
          <w:lang w:val="es-ES_tradnl" w:eastAsia="es-ES_tradnl"/>
        </w:rPr>
        <w:t>La segunda interpretación permitiría que la Administración requiera al oferente durante el proceso de evaluación de las propuestas, tan pronto advierta que hace falta un documento o requisito que se puede subsanar. En este caso, el proceso de subsanación se podría realizar con anterioridad a la publicación del informe de evaluación, de manera que, una vez se publique el informe ya se encuentren subsanadas las propuestas, sin perjuicio del término límite que concedió la ley.</w:t>
      </w:r>
    </w:p>
    <w:p w14:paraId="7FDDDE86" w14:textId="77777777" w:rsidR="001E0D78" w:rsidRPr="00C861EF" w:rsidRDefault="00394125" w:rsidP="00394125">
      <w:pPr>
        <w:pStyle w:val="Prrafodelista"/>
        <w:numPr>
          <w:ilvl w:val="0"/>
          <w:numId w:val="17"/>
        </w:numPr>
        <w:spacing w:line="276" w:lineRule="auto"/>
        <w:jc w:val="both"/>
        <w:rPr>
          <w:rFonts w:ascii="Verdana" w:eastAsia="Times New Roman" w:hAnsi="Verdana" w:cs="Arial"/>
          <w:lang w:val="es-ES_tradnl" w:eastAsia="es-ES_tradnl"/>
        </w:rPr>
      </w:pPr>
      <w:r w:rsidRPr="00C861EF">
        <w:rPr>
          <w:rFonts w:ascii="Verdana" w:eastAsia="Times New Roman" w:hAnsi="Verdana" w:cs="Arial"/>
          <w:lang w:val="es-ES_tradnl" w:eastAsia="es-ES_tradnl"/>
        </w:rPr>
        <w:t xml:space="preserve">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w:t>
      </w:r>
    </w:p>
    <w:p w14:paraId="3A45893A" w14:textId="0275E4F9" w:rsidR="00394125" w:rsidRPr="00C861EF" w:rsidRDefault="00394125" w:rsidP="00394125">
      <w:pPr>
        <w:pStyle w:val="Prrafodelista"/>
        <w:numPr>
          <w:ilvl w:val="0"/>
          <w:numId w:val="17"/>
        </w:numPr>
        <w:spacing w:line="276" w:lineRule="auto"/>
        <w:jc w:val="both"/>
        <w:rPr>
          <w:rFonts w:ascii="Verdana" w:eastAsia="Times New Roman" w:hAnsi="Verdana" w:cs="Arial"/>
          <w:lang w:val="es-ES_tradnl" w:eastAsia="es-ES_tradnl"/>
        </w:rPr>
      </w:pPr>
      <w:r w:rsidRPr="00C861EF">
        <w:rPr>
          <w:rFonts w:ascii="Verdana" w:eastAsia="Times New Roman" w:hAnsi="Verdana" w:cs="Arial"/>
          <w:lang w:val="es-ES_tradnl" w:eastAsia="es-ES_tradnl"/>
        </w:rPr>
        <w:t>Lo anterior, se aclara, sin desconocer el límite que establece la norma para que los oferentes, sin perjuicio de que lo hagan antes, cuenten hasta el término de traslado del informe de evaluación con la posibilidad de presentar la información solicitada.</w:t>
      </w:r>
    </w:p>
    <w:p w14:paraId="18AE50BC" w14:textId="77777777" w:rsidR="00394125" w:rsidRPr="00C861EF" w:rsidRDefault="00394125" w:rsidP="00394125">
      <w:pPr>
        <w:pStyle w:val="Prrafodelista"/>
        <w:numPr>
          <w:ilvl w:val="0"/>
          <w:numId w:val="17"/>
        </w:numPr>
        <w:spacing w:line="276" w:lineRule="auto"/>
        <w:jc w:val="both"/>
        <w:rPr>
          <w:rFonts w:ascii="Verdana" w:eastAsia="Calibri" w:hAnsi="Verdana" w:cs="Arial"/>
          <w:color w:val="000000"/>
          <w:lang w:eastAsia="es-MX"/>
        </w:rPr>
      </w:pPr>
      <w:r w:rsidRPr="00C861EF">
        <w:rPr>
          <w:rFonts w:ascii="Verdana" w:eastAsia="Arial" w:hAnsi="Verdana" w:cs="Arial"/>
          <w:color w:val="000000"/>
          <w:lang w:eastAsia="es-MX"/>
        </w:rPr>
        <w:t xml:space="preserve">Por otro lado, el </w:t>
      </w:r>
      <w:r w:rsidRPr="00C861EF">
        <w:rPr>
          <w:rFonts w:ascii="Verdana" w:eastAsia="Arial" w:hAnsi="Verdana" w:cs="Arial"/>
          <w:i/>
          <w:iCs/>
          <w:color w:val="000000"/>
          <w:lang w:eastAsia="es-MX"/>
        </w:rPr>
        <w:t>segundo</w:t>
      </w:r>
      <w:r w:rsidRPr="00C861EF">
        <w:rPr>
          <w:rFonts w:ascii="Verdana" w:eastAsia="Arial" w:hAnsi="Verdana" w:cs="Arial"/>
          <w:color w:val="000000"/>
          <w:lang w:eastAsia="es-MX"/>
        </w:rPr>
        <w:t xml:space="preserve"> cambio importante de la Ley 1882 de 2018 </w:t>
      </w:r>
      <w:r w:rsidRPr="00C861EF">
        <w:rPr>
          <w:rFonts w:ascii="Verdana" w:eastAsia="Calibri" w:hAnsi="Verdana" w:cs="Arial"/>
          <w:color w:val="000000"/>
          <w:lang w:eastAsia="es-MX"/>
        </w:rPr>
        <w:t xml:space="preserve">es el correspondiente a la garantía de seriedad, a la cual hace referencia en </w:t>
      </w:r>
      <w:r w:rsidRPr="00C861EF">
        <w:rPr>
          <w:rFonts w:ascii="Verdana" w:eastAsia="Calibri" w:hAnsi="Verdana" w:cs="Arial"/>
          <w:color w:val="000000"/>
          <w:lang w:eastAsia="es-MX"/>
        </w:rPr>
        <w:lastRenderedPageBreak/>
        <w:t>su consulta. El parágrafo 3 del artículo 5 de la Ley 1150 de 2007, adicionado por el artículo 5 de la Ley 1882 de 2018 dispone que la falta de entrega de la garantía de seriedad es insubsanable. Al respecto, la norma prescribe lo siguiente: “Parágrafo 3o. La no entrega de la garantía de seriedad junto con la propuesta no será subsanable y será causal de rechazo de la misma”.</w:t>
      </w:r>
    </w:p>
    <w:p w14:paraId="725C0DE4" w14:textId="77777777" w:rsidR="00394125" w:rsidRPr="00C861EF" w:rsidRDefault="00394125" w:rsidP="00394125">
      <w:pPr>
        <w:pStyle w:val="Prrafodelista"/>
        <w:numPr>
          <w:ilvl w:val="0"/>
          <w:numId w:val="17"/>
        </w:numPr>
        <w:spacing w:line="276" w:lineRule="auto"/>
        <w:jc w:val="both"/>
        <w:rPr>
          <w:rFonts w:ascii="Verdana" w:eastAsia="Times New Roman" w:hAnsi="Verdana" w:cs="Arial"/>
          <w:bdr w:val="none" w:sz="0" w:space="0" w:color="auto" w:frame="1"/>
          <w:lang w:val="es-ES_tradnl" w:eastAsia="es-MX"/>
        </w:rPr>
      </w:pPr>
      <w:r w:rsidRPr="00C861EF">
        <w:rPr>
          <w:rFonts w:ascii="Verdana" w:eastAsia="Arial" w:hAnsi="Verdana" w:cs="Arial"/>
          <w:color w:val="000000"/>
          <w:lang w:eastAsia="es-MX"/>
        </w:rPr>
        <w:t xml:space="preserve">Finalmente, el </w:t>
      </w:r>
      <w:r w:rsidRPr="00C861EF">
        <w:rPr>
          <w:rFonts w:ascii="Verdana" w:eastAsia="Arial" w:hAnsi="Verdana" w:cs="Arial"/>
          <w:i/>
          <w:iCs/>
          <w:color w:val="000000"/>
          <w:lang w:eastAsia="es-MX"/>
        </w:rPr>
        <w:t>último</w:t>
      </w:r>
      <w:r w:rsidRPr="00C861EF">
        <w:rPr>
          <w:rFonts w:ascii="Verdana" w:eastAsia="Arial" w:hAnsi="Verdana" w:cs="Arial"/>
          <w:color w:val="000000"/>
          <w:lang w:eastAsia="es-MX"/>
        </w:rPr>
        <w:t xml:space="preserve"> cambio de la Ley 1882 de 2018 fue la introducción de un criterio material, directamente relacionado con los aspectos subsanables: “los proponentes no podrán acreditar circunstancias ocurridas con posterioridad al cierre del proceso”</w:t>
      </w:r>
      <w:r w:rsidRPr="00C861EF">
        <w:rPr>
          <w:rFonts w:ascii="Verdana" w:eastAsia="Arial" w:hAnsi="Verdana" w:cs="Arial"/>
          <w:b/>
          <w:bCs/>
          <w:color w:val="000000"/>
          <w:lang w:eastAsia="es-MX"/>
        </w:rPr>
        <w:t>.</w:t>
      </w:r>
      <w:r w:rsidRPr="00C861EF">
        <w:rPr>
          <w:rFonts w:ascii="Verdana" w:eastAsia="Times New Roman" w:hAnsi="Verdana" w:cs="Arial"/>
          <w:bdr w:val="none" w:sz="0" w:space="0" w:color="auto" w:frame="1"/>
          <w:lang w:val="es-ES_tradnl" w:eastAsia="es-MX"/>
        </w:rPr>
        <w:t xml:space="preserve"> Esta regla tiene una finalidad particular y es que, al momento de presentar la oferta, el proponente la deberá hacerlo de forma íntegra y así evitar que a lo largo del procedimiento contractual complete o adicione su propuesta, conforme mejora su situación particular. En términos del Consejo de Estado:</w:t>
      </w:r>
    </w:p>
    <w:p w14:paraId="508DDC9D" w14:textId="77777777" w:rsidR="00394125" w:rsidRPr="00C861EF" w:rsidRDefault="00394125" w:rsidP="00394125">
      <w:pPr>
        <w:pStyle w:val="Prrafodelista"/>
        <w:tabs>
          <w:tab w:val="left" w:pos="426"/>
        </w:tabs>
        <w:spacing w:line="276" w:lineRule="auto"/>
        <w:ind w:right="709"/>
        <w:jc w:val="both"/>
        <w:rPr>
          <w:rFonts w:ascii="Verdana" w:eastAsia="Arial" w:hAnsi="Verdana" w:cs="Arial"/>
          <w:color w:val="000000"/>
          <w:sz w:val="20"/>
          <w:szCs w:val="20"/>
          <w:lang w:eastAsia="es-MX"/>
        </w:rPr>
      </w:pPr>
    </w:p>
    <w:p w14:paraId="6D554561" w14:textId="77777777" w:rsidR="00394125" w:rsidRPr="00C861EF" w:rsidRDefault="00394125" w:rsidP="00394125">
      <w:pPr>
        <w:pStyle w:val="Prrafodelista"/>
        <w:tabs>
          <w:tab w:val="left" w:pos="426"/>
        </w:tabs>
        <w:spacing w:line="276" w:lineRule="auto"/>
        <w:ind w:left="1134" w:right="357"/>
        <w:jc w:val="both"/>
        <w:rPr>
          <w:rFonts w:ascii="Verdana" w:eastAsia="Arial" w:hAnsi="Verdana" w:cs="Arial"/>
          <w:color w:val="000000"/>
          <w:sz w:val="20"/>
          <w:szCs w:val="20"/>
          <w:lang w:eastAsia="es-MX"/>
        </w:rPr>
      </w:pPr>
      <w:r w:rsidRPr="00C861EF">
        <w:rPr>
          <w:rFonts w:ascii="Verdana" w:eastAsia="Arial" w:hAnsi="Verdana" w:cs="Arial"/>
          <w:color w:val="000000"/>
          <w:sz w:val="20"/>
          <w:szCs w:val="20"/>
          <w:lang w:eastAsia="es-MX"/>
        </w:rPr>
        <w:t>“[…] no es posible que el oferente vaya mejorando, completando, adicionando, modificando o estructurando su propuesta a lo largo del proceso contractual según vaya evolucionando su situación particular en el mismo, pues como se establece en el numeral 6º del artículo 30 de la Ley 80 de 1993, “las propuestas deben referirse y sujetarse a todos y cada uno de los puntos contenidos en el pliego de condiciones”, es decir, todos los elementos del negocio jurídico exigidos en los pliegos de condiciones. Dicho de otra forma, el oferente tiene la carga de presentar su oferta en forma íntegra, esto es, respondiendo todos los puntos del pliego de condiciones y adjuntando todos los documentos de soporte o prueba de las condiciones habilitantes y de los elementos de su oferta, de manera que la entidad licitante pueda, con economía de medios, evaluarla lo más eficientemente posible, y sólo si hace falta algún requisito o un documento, la administración puede requerirlo del oferente”.</w:t>
      </w:r>
      <w:r w:rsidRPr="00C861EF">
        <w:rPr>
          <w:rFonts w:ascii="Verdana" w:hAnsi="Verdana"/>
          <w:vertAlign w:val="superscript"/>
          <w:lang w:eastAsia="es-MX"/>
        </w:rPr>
        <w:footnoteReference w:id="9"/>
      </w:r>
    </w:p>
    <w:p w14:paraId="4DC03CF1" w14:textId="143ED60B" w:rsidR="006573EB" w:rsidRPr="00C861EF" w:rsidRDefault="001E0D78" w:rsidP="006573EB">
      <w:pPr>
        <w:pStyle w:val="Prrafodelista"/>
        <w:numPr>
          <w:ilvl w:val="0"/>
          <w:numId w:val="22"/>
        </w:numPr>
        <w:jc w:val="both"/>
        <w:rPr>
          <w:rFonts w:ascii="Verdana" w:eastAsia="Arial" w:hAnsi="Verdana" w:cs="Arial"/>
          <w:color w:val="000000"/>
          <w:lang w:eastAsia="es-MX"/>
        </w:rPr>
      </w:pPr>
      <w:r w:rsidRPr="00C861EF">
        <w:rPr>
          <w:rFonts w:ascii="Verdana" w:eastAsia="Arial" w:hAnsi="Verdana" w:cs="Arial"/>
          <w:color w:val="000000"/>
          <w:lang w:eastAsia="es-MX"/>
        </w:rPr>
        <w:t>Por otro lado, frente a</w:t>
      </w:r>
      <w:r w:rsidR="006573EB" w:rsidRPr="00C861EF">
        <w:rPr>
          <w:rFonts w:ascii="Verdana" w:eastAsia="Arial" w:hAnsi="Verdana" w:cs="Arial"/>
          <w:color w:val="000000"/>
          <w:lang w:eastAsia="es-MX"/>
        </w:rPr>
        <w:t xml:space="preserve"> la </w:t>
      </w:r>
      <w:r w:rsidRPr="00C861EF">
        <w:rPr>
          <w:rFonts w:ascii="Verdana" w:eastAsia="Arial" w:hAnsi="Verdana" w:cs="Arial"/>
          <w:color w:val="000000"/>
          <w:lang w:eastAsia="es-MX"/>
        </w:rPr>
        <w:t xml:space="preserve">adjudicación, </w:t>
      </w:r>
      <w:r w:rsidR="006573EB" w:rsidRPr="00C861EF">
        <w:rPr>
          <w:rFonts w:ascii="Verdana" w:eastAsia="Arial" w:hAnsi="Verdana" w:cs="Arial"/>
          <w:color w:val="000000"/>
          <w:lang w:eastAsia="es-MX"/>
        </w:rPr>
        <w:t xml:space="preserve">ha sido entendida jurisprudencial y doctrinalmente como el acto (administrativo) mediante el cual una entidad </w:t>
      </w:r>
      <w:r w:rsidR="003724E1" w:rsidRPr="00C861EF">
        <w:rPr>
          <w:rFonts w:ascii="Verdana" w:eastAsia="Arial" w:hAnsi="Verdana" w:cs="Arial"/>
          <w:color w:val="000000"/>
          <w:lang w:eastAsia="es-MX"/>
        </w:rPr>
        <w:t>pública</w:t>
      </w:r>
      <w:r w:rsidR="006573EB" w:rsidRPr="00C861EF">
        <w:rPr>
          <w:rFonts w:ascii="Verdana" w:eastAsia="Arial" w:hAnsi="Verdana" w:cs="Arial"/>
          <w:color w:val="000000"/>
          <w:lang w:eastAsia="es-MX"/>
        </w:rPr>
        <w:t xml:space="preserve"> manifiesta su </w:t>
      </w:r>
      <w:r w:rsidR="00E41DB5" w:rsidRPr="00C861EF">
        <w:rPr>
          <w:rFonts w:ascii="Verdana" w:eastAsia="Arial" w:hAnsi="Verdana" w:cs="Arial"/>
          <w:color w:val="000000"/>
          <w:lang w:eastAsia="es-MX"/>
        </w:rPr>
        <w:t>aceptación</w:t>
      </w:r>
      <w:r w:rsidR="006573EB" w:rsidRPr="00C861EF">
        <w:rPr>
          <w:rFonts w:ascii="Verdana" w:eastAsia="Arial" w:hAnsi="Verdana" w:cs="Arial"/>
          <w:color w:val="000000"/>
          <w:lang w:eastAsia="es-MX"/>
        </w:rPr>
        <w:t xml:space="preserve"> a la propuesta u oferta presentada por alguno de los participantes en un proceso de </w:t>
      </w:r>
      <w:r w:rsidR="003724E1" w:rsidRPr="00C861EF">
        <w:rPr>
          <w:rFonts w:ascii="Verdana" w:eastAsia="Arial" w:hAnsi="Verdana" w:cs="Arial"/>
          <w:color w:val="000000"/>
          <w:lang w:eastAsia="es-MX"/>
        </w:rPr>
        <w:t>selección</w:t>
      </w:r>
      <w:r w:rsidR="006573EB" w:rsidRPr="00C861EF">
        <w:rPr>
          <w:rFonts w:ascii="Verdana" w:eastAsia="Arial" w:hAnsi="Verdana" w:cs="Arial"/>
          <w:color w:val="000000"/>
          <w:lang w:eastAsia="es-MX"/>
        </w:rPr>
        <w:t xml:space="preserve">, y se obliga a suscribir con este el contrato proyectado. Tal </w:t>
      </w:r>
      <w:r w:rsidR="003724E1" w:rsidRPr="00C861EF">
        <w:rPr>
          <w:rFonts w:ascii="Verdana" w:eastAsia="Arial" w:hAnsi="Verdana" w:cs="Arial"/>
          <w:color w:val="000000"/>
          <w:lang w:eastAsia="es-MX"/>
        </w:rPr>
        <w:t>decisión</w:t>
      </w:r>
      <w:r w:rsidR="006573EB" w:rsidRPr="00C861EF">
        <w:rPr>
          <w:rFonts w:ascii="Verdana" w:eastAsia="Arial" w:hAnsi="Verdana" w:cs="Arial"/>
          <w:color w:val="000000"/>
          <w:lang w:eastAsia="es-MX"/>
        </w:rPr>
        <w:t xml:space="preserve"> implica la escogencia o </w:t>
      </w:r>
      <w:r w:rsidR="003724E1" w:rsidRPr="00C861EF">
        <w:rPr>
          <w:rFonts w:ascii="Verdana" w:eastAsia="Arial" w:hAnsi="Verdana" w:cs="Arial"/>
          <w:color w:val="000000"/>
          <w:lang w:eastAsia="es-MX"/>
        </w:rPr>
        <w:t>selección</w:t>
      </w:r>
      <w:r w:rsidR="006573EB" w:rsidRPr="00C861EF">
        <w:rPr>
          <w:rFonts w:ascii="Verdana" w:eastAsia="Arial" w:hAnsi="Verdana" w:cs="Arial"/>
          <w:color w:val="000000"/>
          <w:lang w:eastAsia="es-MX"/>
        </w:rPr>
        <w:t xml:space="preserve"> definitiva de dicho oferente, con base en el </w:t>
      </w:r>
      <w:r w:rsidR="006573EB" w:rsidRPr="00C861EF">
        <w:rPr>
          <w:rFonts w:ascii="Verdana" w:eastAsia="Arial" w:hAnsi="Verdana" w:cs="Arial"/>
          <w:color w:val="000000"/>
          <w:lang w:eastAsia="es-MX"/>
        </w:rPr>
        <w:lastRenderedPageBreak/>
        <w:t xml:space="preserve">respectivo informe de </w:t>
      </w:r>
      <w:r w:rsidR="003724E1" w:rsidRPr="00C861EF">
        <w:rPr>
          <w:rFonts w:ascii="Verdana" w:eastAsia="Arial" w:hAnsi="Verdana" w:cs="Arial"/>
          <w:color w:val="000000"/>
          <w:lang w:eastAsia="es-MX"/>
        </w:rPr>
        <w:t>evaluación</w:t>
      </w:r>
      <w:r w:rsidR="006573EB" w:rsidRPr="00C861EF">
        <w:rPr>
          <w:rFonts w:ascii="Verdana" w:eastAsia="Arial" w:hAnsi="Verdana" w:cs="Arial"/>
          <w:color w:val="000000"/>
          <w:lang w:eastAsia="es-MX"/>
        </w:rPr>
        <w:t xml:space="preserve"> y </w:t>
      </w:r>
      <w:r w:rsidR="00E41DB5" w:rsidRPr="00C861EF">
        <w:rPr>
          <w:rFonts w:ascii="Verdana" w:eastAsia="Arial" w:hAnsi="Verdana" w:cs="Arial"/>
          <w:color w:val="000000"/>
          <w:lang w:eastAsia="es-MX"/>
        </w:rPr>
        <w:t>calificación</w:t>
      </w:r>
      <w:r w:rsidR="006573EB" w:rsidRPr="00C861EF">
        <w:rPr>
          <w:rFonts w:ascii="Verdana" w:eastAsia="Arial" w:hAnsi="Verdana" w:cs="Arial"/>
          <w:color w:val="000000"/>
          <w:lang w:eastAsia="es-MX"/>
        </w:rPr>
        <w:t xml:space="preserve"> de las propuestas, descartando, por lo tanto, a los </w:t>
      </w:r>
      <w:r w:rsidR="003724E1" w:rsidRPr="00C861EF">
        <w:rPr>
          <w:rFonts w:ascii="Verdana" w:eastAsia="Arial" w:hAnsi="Verdana" w:cs="Arial"/>
          <w:color w:val="000000"/>
          <w:lang w:eastAsia="es-MX"/>
        </w:rPr>
        <w:t>demás</w:t>
      </w:r>
      <w:r w:rsidR="006573EB" w:rsidRPr="00C861EF">
        <w:rPr>
          <w:rFonts w:ascii="Verdana" w:eastAsia="Arial" w:hAnsi="Verdana" w:cs="Arial"/>
          <w:color w:val="000000"/>
          <w:lang w:eastAsia="es-MX"/>
        </w:rPr>
        <w:t xml:space="preserve"> oferentes y a las </w:t>
      </w:r>
      <w:r w:rsidR="003724E1" w:rsidRPr="00C861EF">
        <w:rPr>
          <w:rFonts w:ascii="Verdana" w:eastAsia="Arial" w:hAnsi="Verdana" w:cs="Arial"/>
          <w:color w:val="000000"/>
          <w:lang w:eastAsia="es-MX"/>
        </w:rPr>
        <w:t>demás</w:t>
      </w:r>
      <w:r w:rsidR="006573EB" w:rsidRPr="00C861EF">
        <w:rPr>
          <w:rFonts w:ascii="Verdana" w:eastAsia="Arial" w:hAnsi="Verdana" w:cs="Arial"/>
          <w:color w:val="000000"/>
          <w:lang w:eastAsia="es-MX"/>
        </w:rPr>
        <w:t xml:space="preserve"> propuestas. </w:t>
      </w:r>
      <w:r w:rsidR="006573EB" w:rsidRPr="00C861EF">
        <w:rPr>
          <w:rStyle w:val="Refdenotaalpie"/>
          <w:rFonts w:ascii="Verdana" w:eastAsia="Arial" w:hAnsi="Verdana" w:cs="Arial"/>
          <w:color w:val="000000"/>
          <w:lang w:eastAsia="es-MX"/>
        </w:rPr>
        <w:footnoteReference w:id="10"/>
      </w:r>
    </w:p>
    <w:p w14:paraId="054A4A62" w14:textId="77777777" w:rsidR="006573EB" w:rsidRPr="00C861EF" w:rsidRDefault="006573EB" w:rsidP="005C01FC">
      <w:pPr>
        <w:pStyle w:val="Prrafodelista"/>
        <w:jc w:val="both"/>
        <w:rPr>
          <w:rFonts w:ascii="Verdana" w:eastAsia="Arial" w:hAnsi="Verdana" w:cs="Arial"/>
          <w:color w:val="000000"/>
          <w:lang w:eastAsia="es-MX"/>
        </w:rPr>
      </w:pPr>
    </w:p>
    <w:p w14:paraId="42574A49" w14:textId="48004768" w:rsidR="006573EB" w:rsidRPr="00C861EF" w:rsidRDefault="006573EB" w:rsidP="005C01FC">
      <w:pPr>
        <w:pStyle w:val="Prrafodelista"/>
        <w:numPr>
          <w:ilvl w:val="0"/>
          <w:numId w:val="22"/>
        </w:numPr>
        <w:jc w:val="both"/>
        <w:rPr>
          <w:rFonts w:ascii="Verdana" w:eastAsia="Arial" w:hAnsi="Verdana" w:cs="Arial"/>
          <w:color w:val="000000"/>
          <w:lang w:eastAsia="es-MX"/>
        </w:rPr>
      </w:pPr>
      <w:r w:rsidRPr="00C861EF">
        <w:rPr>
          <w:rFonts w:ascii="Verdana" w:eastAsia="Arial" w:hAnsi="Verdana" w:cs="Arial"/>
          <w:color w:val="000000"/>
          <w:lang w:eastAsia="es-MX"/>
        </w:rPr>
        <w:t xml:space="preserve">Frente al acto de adjudicación el numeral 12 del artículo 30 de la Ley 80 de 1993 establece </w:t>
      </w:r>
    </w:p>
    <w:p w14:paraId="30ED6917" w14:textId="77777777" w:rsidR="006573EB" w:rsidRPr="00C861EF" w:rsidRDefault="006573EB" w:rsidP="006573EB">
      <w:pPr>
        <w:pStyle w:val="Prrafodelista"/>
        <w:jc w:val="both"/>
        <w:rPr>
          <w:rFonts w:ascii="Verdana" w:eastAsia="Arial" w:hAnsi="Verdana" w:cs="Arial"/>
          <w:color w:val="000000"/>
          <w:lang w:eastAsia="es-MX"/>
        </w:rPr>
      </w:pPr>
    </w:p>
    <w:p w14:paraId="1D17D2C4" w14:textId="7B817834" w:rsidR="006573EB" w:rsidRPr="00C861EF" w:rsidRDefault="006573EB" w:rsidP="00E461A9">
      <w:pPr>
        <w:pStyle w:val="Prrafodelista"/>
        <w:spacing w:after="0" w:line="240" w:lineRule="auto"/>
        <w:ind w:left="1134" w:right="357"/>
        <w:jc w:val="both"/>
        <w:rPr>
          <w:rFonts w:ascii="Verdana" w:eastAsia="Arial" w:hAnsi="Verdana" w:cs="Arial"/>
          <w:color w:val="000000"/>
          <w:sz w:val="20"/>
          <w:szCs w:val="20"/>
          <w:lang w:val="es-CO" w:eastAsia="es-MX"/>
        </w:rPr>
      </w:pPr>
      <w:r w:rsidRPr="00C861EF">
        <w:rPr>
          <w:rFonts w:ascii="Verdana" w:eastAsia="Arial" w:hAnsi="Verdana" w:cs="Arial"/>
          <w:color w:val="000000"/>
          <w:sz w:val="20"/>
          <w:szCs w:val="20"/>
          <w:lang w:eastAsia="es-MX"/>
        </w:rPr>
        <w:t xml:space="preserve">“(…) </w:t>
      </w:r>
      <w:r w:rsidRPr="00C861EF">
        <w:rPr>
          <w:rFonts w:ascii="Verdana" w:eastAsia="Arial" w:hAnsi="Verdana" w:cs="Arial"/>
          <w:color w:val="000000"/>
          <w:sz w:val="20"/>
          <w:szCs w:val="20"/>
          <w:lang w:val="es-CO" w:eastAsia="es-MX"/>
        </w:rPr>
        <w:t>12. Si el adjudicatario no suscribe el contrato correspondiente dentro del término que se haya señalado, quedará a favor de la entidad contratante, en calidad de sanción, el valor del depósito o garantía constituidos para responder por la seriedad de la propuesta, sin menoscabo de las acciones legales conducentes al reconocimiento de perjuicios causados y no cubiertos por el valor de los citados depósito o garantía.</w:t>
      </w:r>
    </w:p>
    <w:p w14:paraId="35FD7AA7" w14:textId="54750015" w:rsidR="006573EB" w:rsidRPr="00C861EF" w:rsidRDefault="006573EB" w:rsidP="00E461A9">
      <w:pPr>
        <w:pStyle w:val="Prrafodelista"/>
        <w:spacing w:line="240" w:lineRule="auto"/>
        <w:ind w:left="1134" w:right="357"/>
        <w:jc w:val="both"/>
        <w:rPr>
          <w:rFonts w:ascii="Verdana" w:eastAsia="Arial" w:hAnsi="Verdana" w:cs="Arial"/>
          <w:color w:val="000000"/>
          <w:sz w:val="20"/>
          <w:szCs w:val="20"/>
          <w:lang w:val="es-CO" w:eastAsia="es-MX"/>
        </w:rPr>
      </w:pPr>
      <w:r w:rsidRPr="00C861EF">
        <w:rPr>
          <w:rFonts w:ascii="Verdana" w:eastAsia="Arial" w:hAnsi="Verdana" w:cs="Arial"/>
          <w:color w:val="000000"/>
          <w:sz w:val="20"/>
          <w:szCs w:val="20"/>
          <w:lang w:val="es-CO" w:eastAsia="es-MX"/>
        </w:rPr>
        <w:t xml:space="preserve">En este evento, la entidad estatal mediante acto administrativo debidamente </w:t>
      </w:r>
      <w:r w:rsidR="00E931A5" w:rsidRPr="00C861EF">
        <w:rPr>
          <w:rFonts w:ascii="Verdana" w:eastAsia="Arial" w:hAnsi="Verdana" w:cs="Arial"/>
          <w:color w:val="000000"/>
          <w:sz w:val="20"/>
          <w:szCs w:val="20"/>
          <w:lang w:val="es-CO" w:eastAsia="es-MX"/>
        </w:rPr>
        <w:t>motivado</w:t>
      </w:r>
      <w:r w:rsidRPr="00C861EF">
        <w:rPr>
          <w:rFonts w:ascii="Verdana" w:eastAsia="Arial" w:hAnsi="Verdana" w:cs="Arial"/>
          <w:color w:val="000000"/>
          <w:sz w:val="20"/>
          <w:szCs w:val="20"/>
          <w:lang w:val="es-CO" w:eastAsia="es-MX"/>
        </w:rPr>
        <w:t xml:space="preserve"> podrá adjudicar el contrato, dentro de los quince (15) días siguientes, al proponente calificado en segundo lugar, siempre y cuando su propuesta sea igualmente favorable para la entidad. (…)”</w:t>
      </w:r>
    </w:p>
    <w:p w14:paraId="6EE7FC78" w14:textId="77777777" w:rsidR="006573EB" w:rsidRPr="00C861EF" w:rsidRDefault="006573EB" w:rsidP="006573EB">
      <w:pPr>
        <w:jc w:val="both"/>
        <w:rPr>
          <w:rFonts w:ascii="Verdana" w:eastAsia="Arial" w:hAnsi="Verdana" w:cs="Arial"/>
          <w:color w:val="000000"/>
          <w:lang w:eastAsia="es-MX"/>
        </w:rPr>
      </w:pPr>
    </w:p>
    <w:p w14:paraId="411CEEC8" w14:textId="07E7C3DC" w:rsidR="006B13BE" w:rsidRPr="00C861EF" w:rsidRDefault="003724E1" w:rsidP="005C01FC">
      <w:pPr>
        <w:pStyle w:val="Prrafodelista"/>
        <w:numPr>
          <w:ilvl w:val="0"/>
          <w:numId w:val="22"/>
        </w:numPr>
        <w:jc w:val="both"/>
        <w:rPr>
          <w:rFonts w:ascii="Verdana" w:eastAsia="Arial" w:hAnsi="Verdana" w:cs="Arial"/>
          <w:color w:val="000000"/>
          <w:lang w:eastAsia="es-MX"/>
        </w:rPr>
      </w:pPr>
      <w:r w:rsidRPr="00C861EF">
        <w:rPr>
          <w:rFonts w:ascii="Verdana" w:eastAsia="Arial" w:hAnsi="Verdana" w:cs="Arial"/>
          <w:color w:val="000000"/>
          <w:lang w:eastAsia="es-MX"/>
        </w:rPr>
        <w:t>Así</w:t>
      </w:r>
      <w:r w:rsidR="006B13BE" w:rsidRPr="00C861EF">
        <w:rPr>
          <w:rFonts w:ascii="Verdana" w:eastAsia="Arial" w:hAnsi="Verdana" w:cs="Arial"/>
          <w:color w:val="000000"/>
          <w:lang w:eastAsia="es-MX"/>
        </w:rPr>
        <w:t xml:space="preserve"> mismo, el inciso   del </w:t>
      </w:r>
      <w:r w:rsidRPr="00C861EF">
        <w:rPr>
          <w:rFonts w:ascii="Verdana" w:eastAsia="Arial" w:hAnsi="Verdana" w:cs="Arial"/>
          <w:color w:val="000000"/>
          <w:lang w:eastAsia="es-MX"/>
        </w:rPr>
        <w:t>artículo</w:t>
      </w:r>
      <w:r w:rsidR="006B13BE" w:rsidRPr="00C861EF">
        <w:rPr>
          <w:rFonts w:ascii="Verdana" w:eastAsia="Arial" w:hAnsi="Verdana" w:cs="Arial"/>
          <w:color w:val="000000"/>
          <w:lang w:eastAsia="es-MX"/>
        </w:rPr>
        <w:t xml:space="preserve"> 9 de la Ley 1150 de 2007 ha prescrito que “(…) </w:t>
      </w:r>
      <w:r w:rsidR="006B13BE" w:rsidRPr="00C861EF">
        <w:rPr>
          <w:rFonts w:ascii="Verdana" w:eastAsia="Times New Roman" w:hAnsi="Verdana" w:cs="Times New Roman"/>
          <w:color w:val="333333"/>
          <w:lang w:eastAsia="es-MX"/>
        </w:rPr>
        <w:t xml:space="preserve">El acto de adjudicación es irrevocable y obliga a la entidad y al adjudicatario. No </w:t>
      </w:r>
      <w:r w:rsidR="00E931A5" w:rsidRPr="00C861EF">
        <w:rPr>
          <w:rFonts w:ascii="Verdana" w:eastAsia="Times New Roman" w:hAnsi="Verdana" w:cs="Times New Roman"/>
          <w:color w:val="333333"/>
          <w:lang w:eastAsia="es-MX"/>
        </w:rPr>
        <w:t>obstante,</w:t>
      </w:r>
      <w:r w:rsidR="006B13BE" w:rsidRPr="00C861EF">
        <w:rPr>
          <w:rFonts w:ascii="Verdana" w:eastAsia="Times New Roman" w:hAnsi="Verdana" w:cs="Times New Roman"/>
          <w:color w:val="333333"/>
          <w:lang w:eastAsia="es-MX"/>
        </w:rPr>
        <w:t xml:space="preserve"> lo anterior, si dentro del plazo comprendido entre la adjudicación del contrato y la suscripción del mismo, sobreviene una inhabilidad o incompatibilidad o si se demuestra que el acto se obtuvo por medios ilegales, este podrá ser revocado, caso en el cual, la entidad podrá aplicar lo previsto en el inciso final del numeral 12 del artículo 30 de la Ley 80 de </w:t>
      </w:r>
      <w:r w:rsidR="00E931A5" w:rsidRPr="00C861EF">
        <w:rPr>
          <w:rFonts w:ascii="Verdana" w:eastAsia="Times New Roman" w:hAnsi="Verdana" w:cs="Times New Roman"/>
          <w:color w:val="333333"/>
          <w:lang w:eastAsia="es-MX"/>
        </w:rPr>
        <w:t>1993. (</w:t>
      </w:r>
      <w:r w:rsidR="006B13BE" w:rsidRPr="00C861EF">
        <w:rPr>
          <w:rFonts w:ascii="Verdana" w:eastAsia="Times New Roman" w:hAnsi="Verdana" w:cs="Times New Roman"/>
          <w:color w:val="333333"/>
          <w:lang w:eastAsia="es-MX"/>
        </w:rPr>
        <w:t>…)”</w:t>
      </w:r>
    </w:p>
    <w:p w14:paraId="0E0151A4" w14:textId="382CC723" w:rsidR="006B13BE" w:rsidRPr="00C861EF" w:rsidRDefault="003724E1" w:rsidP="006B13BE">
      <w:pPr>
        <w:pStyle w:val="Prrafodelista"/>
        <w:numPr>
          <w:ilvl w:val="0"/>
          <w:numId w:val="22"/>
        </w:numPr>
        <w:spacing w:after="0" w:line="240" w:lineRule="auto"/>
        <w:rPr>
          <w:rFonts w:ascii="Verdana" w:eastAsia="Times New Roman" w:hAnsi="Verdana" w:cs="Times New Roman"/>
          <w:lang w:eastAsia="es-MX"/>
        </w:rPr>
      </w:pPr>
      <w:r w:rsidRPr="00C861EF">
        <w:rPr>
          <w:rFonts w:ascii="Verdana" w:eastAsia="Times New Roman" w:hAnsi="Verdana" w:cs="Times New Roman"/>
          <w:lang w:eastAsia="es-MX"/>
        </w:rPr>
        <w:t>Así</w:t>
      </w:r>
      <w:r w:rsidR="006B13BE" w:rsidRPr="00C861EF">
        <w:rPr>
          <w:rFonts w:ascii="Verdana" w:eastAsia="Times New Roman" w:hAnsi="Verdana" w:cs="Times New Roman"/>
          <w:lang w:eastAsia="es-MX"/>
        </w:rPr>
        <w:t xml:space="preserve"> mismo, el Consejo de Estado Sala de Consulta y Servicio Civil en Sentencia del 15 de agosto de 2017 señaló:</w:t>
      </w:r>
    </w:p>
    <w:p w14:paraId="0D02F6E6" w14:textId="79255A58" w:rsidR="006B13BE" w:rsidRPr="00C861EF" w:rsidRDefault="006B13BE" w:rsidP="005C01FC">
      <w:pPr>
        <w:pStyle w:val="Prrafodelista"/>
        <w:spacing w:after="0" w:line="240" w:lineRule="auto"/>
        <w:rPr>
          <w:rFonts w:ascii="Verdana" w:eastAsia="Times New Roman" w:hAnsi="Verdana" w:cs="Times New Roman"/>
          <w:lang w:eastAsia="es-MX"/>
        </w:rPr>
      </w:pPr>
      <w:r w:rsidRPr="00C861EF">
        <w:rPr>
          <w:rFonts w:ascii="Verdana" w:eastAsia="Times New Roman" w:hAnsi="Verdana" w:cs="Times New Roman"/>
          <w:lang w:eastAsia="es-MX"/>
        </w:rPr>
        <w:t xml:space="preserve"> </w:t>
      </w:r>
    </w:p>
    <w:p w14:paraId="08AF6532" w14:textId="2DF9F302" w:rsidR="006B13BE" w:rsidRPr="00C861EF" w:rsidRDefault="006B13BE" w:rsidP="0080023E">
      <w:pPr>
        <w:pStyle w:val="Prrafodelista"/>
        <w:spacing w:after="0" w:line="240" w:lineRule="auto"/>
        <w:ind w:left="1134" w:right="357"/>
        <w:jc w:val="both"/>
        <w:rPr>
          <w:rFonts w:ascii="Verdana" w:eastAsia="Arial" w:hAnsi="Verdana" w:cs="Arial"/>
          <w:color w:val="000000"/>
          <w:sz w:val="20"/>
          <w:szCs w:val="20"/>
          <w:lang w:eastAsia="es-MX"/>
        </w:rPr>
      </w:pPr>
      <w:r w:rsidRPr="00C861EF">
        <w:rPr>
          <w:rFonts w:ascii="Verdana" w:eastAsia="Arial" w:hAnsi="Verdana" w:cs="Arial"/>
          <w:color w:val="000000"/>
          <w:sz w:val="20"/>
          <w:szCs w:val="20"/>
          <w:lang w:eastAsia="es-MX"/>
        </w:rPr>
        <w:t xml:space="preserve">(…) Por otro lado, conviene aclarar que el inciso final del numeral 12 del </w:t>
      </w:r>
      <w:r w:rsidR="003724E1" w:rsidRPr="00C861EF">
        <w:rPr>
          <w:rFonts w:ascii="Verdana" w:eastAsia="Arial" w:hAnsi="Verdana" w:cs="Arial"/>
          <w:color w:val="000000"/>
          <w:sz w:val="20"/>
          <w:szCs w:val="20"/>
          <w:lang w:eastAsia="es-MX"/>
        </w:rPr>
        <w:t>artículo</w:t>
      </w:r>
      <w:r w:rsidRPr="00C861EF">
        <w:rPr>
          <w:rFonts w:ascii="Verdana" w:eastAsia="Arial" w:hAnsi="Verdana" w:cs="Arial"/>
          <w:color w:val="000000"/>
          <w:sz w:val="20"/>
          <w:szCs w:val="20"/>
          <w:lang w:eastAsia="es-MX"/>
        </w:rPr>
        <w:t xml:space="preserve"> 30 de la Ley 80 de 1993, al cual remite el </w:t>
      </w:r>
      <w:r w:rsidR="003724E1" w:rsidRPr="00C861EF">
        <w:rPr>
          <w:rFonts w:ascii="Verdana" w:eastAsia="Arial" w:hAnsi="Verdana" w:cs="Arial"/>
          <w:color w:val="000000"/>
          <w:sz w:val="20"/>
          <w:szCs w:val="20"/>
          <w:lang w:eastAsia="es-MX"/>
        </w:rPr>
        <w:t>artículo</w:t>
      </w:r>
      <w:r w:rsidRPr="00C861EF">
        <w:rPr>
          <w:rFonts w:ascii="Verdana" w:eastAsia="Arial" w:hAnsi="Verdana" w:cs="Arial"/>
          <w:color w:val="000000"/>
          <w:sz w:val="20"/>
          <w:szCs w:val="20"/>
          <w:lang w:eastAsia="es-MX"/>
        </w:rPr>
        <w:t xml:space="preserve"> 9o de la Ley 1150, permite que las entidades estatales, mediante acto administrativo debidamente motivado, puedan adjudicar el contrato al “proponente calificado en segundo lugar, siempre y cuando su propuesta sea igualmente favorable para la entidad”, cuando el oferente inicialmente seleccionado, y al cual se le haya adjudicado el contrato, no lo suscribe dentro del </w:t>
      </w:r>
      <w:r w:rsidR="003724E1" w:rsidRPr="00C861EF">
        <w:rPr>
          <w:rFonts w:ascii="Verdana" w:eastAsia="Arial" w:hAnsi="Verdana" w:cs="Arial"/>
          <w:color w:val="000000"/>
          <w:sz w:val="20"/>
          <w:szCs w:val="20"/>
          <w:lang w:eastAsia="es-MX"/>
        </w:rPr>
        <w:t>término</w:t>
      </w:r>
      <w:r w:rsidRPr="00C861EF">
        <w:rPr>
          <w:rFonts w:ascii="Verdana" w:eastAsia="Arial" w:hAnsi="Verdana" w:cs="Arial"/>
          <w:color w:val="000000"/>
          <w:sz w:val="20"/>
          <w:szCs w:val="20"/>
          <w:lang w:eastAsia="es-MX"/>
        </w:rPr>
        <w:t xml:space="preserve"> previsto para el efecto en el pliego de condiciones. </w:t>
      </w:r>
    </w:p>
    <w:p w14:paraId="23EF4E2A" w14:textId="77777777" w:rsidR="006B13BE" w:rsidRPr="00C861EF" w:rsidRDefault="006B13BE" w:rsidP="0080023E">
      <w:pPr>
        <w:pStyle w:val="Prrafodelista"/>
        <w:spacing w:after="0" w:line="240" w:lineRule="auto"/>
        <w:ind w:left="1134" w:right="357"/>
        <w:jc w:val="both"/>
        <w:rPr>
          <w:rFonts w:ascii="Verdana" w:eastAsia="Arial" w:hAnsi="Verdana" w:cs="Arial"/>
          <w:color w:val="000000"/>
          <w:sz w:val="20"/>
          <w:szCs w:val="20"/>
          <w:lang w:eastAsia="es-MX"/>
        </w:rPr>
      </w:pPr>
    </w:p>
    <w:p w14:paraId="671A0DE5" w14:textId="055ABD90" w:rsidR="006B13BE" w:rsidRPr="00C861EF" w:rsidRDefault="006B13BE" w:rsidP="0080023E">
      <w:pPr>
        <w:pStyle w:val="Prrafodelista"/>
        <w:spacing w:after="0" w:line="240" w:lineRule="auto"/>
        <w:ind w:left="1134" w:right="357"/>
        <w:jc w:val="both"/>
        <w:rPr>
          <w:rFonts w:ascii="Verdana" w:eastAsia="Arial" w:hAnsi="Verdana" w:cs="Arial"/>
          <w:color w:val="000000"/>
          <w:sz w:val="20"/>
          <w:szCs w:val="20"/>
          <w:lang w:eastAsia="es-MX"/>
        </w:rPr>
      </w:pPr>
      <w:r w:rsidRPr="00C861EF">
        <w:rPr>
          <w:rFonts w:ascii="Verdana" w:eastAsia="Arial" w:hAnsi="Verdana" w:cs="Arial"/>
          <w:color w:val="000000"/>
          <w:sz w:val="20"/>
          <w:szCs w:val="20"/>
          <w:lang w:eastAsia="es-MX"/>
        </w:rPr>
        <w:lastRenderedPageBreak/>
        <w:t xml:space="preserve">En consecuencia, la </w:t>
      </w:r>
      <w:r w:rsidR="003724E1" w:rsidRPr="00C861EF">
        <w:rPr>
          <w:rFonts w:ascii="Verdana" w:eastAsia="Arial" w:hAnsi="Verdana" w:cs="Arial"/>
          <w:color w:val="000000"/>
          <w:sz w:val="20"/>
          <w:szCs w:val="20"/>
          <w:lang w:eastAsia="es-MX"/>
        </w:rPr>
        <w:t>integración</w:t>
      </w:r>
      <w:r w:rsidRPr="00C861EF">
        <w:rPr>
          <w:rFonts w:ascii="Verdana" w:eastAsia="Arial" w:hAnsi="Verdana" w:cs="Arial"/>
          <w:color w:val="000000"/>
          <w:sz w:val="20"/>
          <w:szCs w:val="20"/>
          <w:lang w:eastAsia="es-MX"/>
        </w:rPr>
        <w:t xml:space="preserve"> de estas dos normas permite deducir que cuando una entidad estatal revoque el acto de </w:t>
      </w:r>
      <w:r w:rsidR="003724E1" w:rsidRPr="00C861EF">
        <w:rPr>
          <w:rFonts w:ascii="Verdana" w:eastAsia="Arial" w:hAnsi="Verdana" w:cs="Arial"/>
          <w:color w:val="000000"/>
          <w:sz w:val="20"/>
          <w:szCs w:val="20"/>
          <w:lang w:eastAsia="es-MX"/>
        </w:rPr>
        <w:t>adjudicación</w:t>
      </w:r>
      <w:r w:rsidRPr="00C861EF">
        <w:rPr>
          <w:rFonts w:ascii="Verdana" w:eastAsia="Arial" w:hAnsi="Verdana" w:cs="Arial"/>
          <w:color w:val="000000"/>
          <w:sz w:val="20"/>
          <w:szCs w:val="20"/>
          <w:lang w:eastAsia="es-MX"/>
        </w:rPr>
        <w:t xml:space="preserve"> de un contrato estatal, por cualquiera de las causales </w:t>
      </w:r>
      <w:r w:rsidR="003724E1" w:rsidRPr="00C861EF">
        <w:rPr>
          <w:rFonts w:ascii="Verdana" w:eastAsia="Arial" w:hAnsi="Verdana" w:cs="Arial"/>
          <w:color w:val="000000"/>
          <w:sz w:val="20"/>
          <w:szCs w:val="20"/>
          <w:lang w:eastAsia="es-MX"/>
        </w:rPr>
        <w:t>señaladas</w:t>
      </w:r>
      <w:r w:rsidRPr="00C861EF">
        <w:rPr>
          <w:rFonts w:ascii="Verdana" w:eastAsia="Arial" w:hAnsi="Verdana" w:cs="Arial"/>
          <w:color w:val="000000"/>
          <w:sz w:val="20"/>
          <w:szCs w:val="20"/>
          <w:lang w:eastAsia="es-MX"/>
        </w:rPr>
        <w:t xml:space="preserve"> en el </w:t>
      </w:r>
      <w:r w:rsidR="00E41DB5" w:rsidRPr="00C861EF">
        <w:rPr>
          <w:rFonts w:ascii="Verdana" w:eastAsia="Arial" w:hAnsi="Verdana" w:cs="Arial"/>
          <w:color w:val="000000"/>
          <w:sz w:val="20"/>
          <w:szCs w:val="20"/>
          <w:lang w:eastAsia="es-MX"/>
        </w:rPr>
        <w:t>artículo</w:t>
      </w:r>
      <w:r w:rsidRPr="00C861EF">
        <w:rPr>
          <w:rFonts w:ascii="Verdana" w:eastAsia="Arial" w:hAnsi="Verdana" w:cs="Arial"/>
          <w:color w:val="000000"/>
          <w:sz w:val="20"/>
          <w:szCs w:val="20"/>
          <w:lang w:eastAsia="es-MX"/>
        </w:rPr>
        <w:t xml:space="preserve"> 9o de la Ley 1150 de 2007, puede adjudicar el contrato, dentro de los quince (15) </w:t>
      </w:r>
      <w:r w:rsidR="005F5F8E" w:rsidRPr="00C861EF">
        <w:rPr>
          <w:rFonts w:ascii="Verdana" w:eastAsia="Arial" w:hAnsi="Verdana" w:cs="Arial"/>
          <w:color w:val="000000"/>
          <w:sz w:val="20"/>
          <w:szCs w:val="20"/>
          <w:lang w:eastAsia="es-MX"/>
        </w:rPr>
        <w:t>días</w:t>
      </w:r>
      <w:r w:rsidRPr="00C861EF">
        <w:rPr>
          <w:rFonts w:ascii="Verdana" w:eastAsia="Arial" w:hAnsi="Verdana" w:cs="Arial"/>
          <w:color w:val="000000"/>
          <w:sz w:val="20"/>
          <w:szCs w:val="20"/>
          <w:lang w:eastAsia="es-MX"/>
        </w:rPr>
        <w:t xml:space="preserve"> siguientes, al proponente que haya quedado calificado en segundo lugar dentro del respectivo proceso de </w:t>
      </w:r>
      <w:r w:rsidR="005F5F8E" w:rsidRPr="00C861EF">
        <w:rPr>
          <w:rFonts w:ascii="Verdana" w:eastAsia="Arial" w:hAnsi="Verdana" w:cs="Arial"/>
          <w:color w:val="000000"/>
          <w:sz w:val="20"/>
          <w:szCs w:val="20"/>
          <w:lang w:eastAsia="es-MX"/>
        </w:rPr>
        <w:t>selección</w:t>
      </w:r>
      <w:r w:rsidRPr="00C861EF">
        <w:rPr>
          <w:rFonts w:ascii="Verdana" w:eastAsia="Arial" w:hAnsi="Verdana" w:cs="Arial"/>
          <w:color w:val="000000"/>
          <w:sz w:val="20"/>
          <w:szCs w:val="20"/>
          <w:lang w:eastAsia="es-MX"/>
        </w:rPr>
        <w:t xml:space="preserve">, siempre y cuando su oferta sea igualmente favorable para los intereses de la entidad contratante. Aclara la Sala que, en este caso, debe entenderse que el referido plazo de 15 </w:t>
      </w:r>
      <w:r w:rsidR="005F5F8E" w:rsidRPr="00C861EF">
        <w:rPr>
          <w:rFonts w:ascii="Verdana" w:eastAsia="Arial" w:hAnsi="Verdana" w:cs="Arial"/>
          <w:color w:val="000000"/>
          <w:sz w:val="20"/>
          <w:szCs w:val="20"/>
          <w:lang w:eastAsia="es-MX"/>
        </w:rPr>
        <w:t>días</w:t>
      </w:r>
      <w:r w:rsidRPr="00C861EF">
        <w:rPr>
          <w:rFonts w:ascii="Verdana" w:eastAsia="Arial" w:hAnsi="Verdana" w:cs="Arial"/>
          <w:color w:val="000000"/>
          <w:sz w:val="20"/>
          <w:szCs w:val="20"/>
          <w:lang w:eastAsia="es-MX"/>
        </w:rPr>
        <w:t xml:space="preserve"> empieza a correr el </w:t>
      </w:r>
      <w:r w:rsidR="005F5F8E" w:rsidRPr="00C861EF">
        <w:rPr>
          <w:rFonts w:ascii="Verdana" w:eastAsia="Arial" w:hAnsi="Verdana" w:cs="Arial"/>
          <w:color w:val="000000"/>
          <w:sz w:val="20"/>
          <w:szCs w:val="20"/>
          <w:lang w:eastAsia="es-MX"/>
        </w:rPr>
        <w:t>día</w:t>
      </w:r>
      <w:r w:rsidRPr="00C861EF">
        <w:rPr>
          <w:rFonts w:ascii="Verdana" w:eastAsia="Arial" w:hAnsi="Verdana" w:cs="Arial"/>
          <w:color w:val="000000"/>
          <w:sz w:val="20"/>
          <w:szCs w:val="20"/>
          <w:lang w:eastAsia="es-MX"/>
        </w:rPr>
        <w:t xml:space="preserve"> siguiente al de ejecutoria del acto administrativo mediante el cual se haya revocado la </w:t>
      </w:r>
      <w:r w:rsidR="005F5F8E" w:rsidRPr="00C861EF">
        <w:rPr>
          <w:rFonts w:ascii="Verdana" w:eastAsia="Arial" w:hAnsi="Verdana" w:cs="Arial"/>
          <w:color w:val="000000"/>
          <w:sz w:val="20"/>
          <w:szCs w:val="20"/>
          <w:lang w:eastAsia="es-MX"/>
        </w:rPr>
        <w:t>adjudicación</w:t>
      </w:r>
      <w:r w:rsidRPr="00C861EF">
        <w:rPr>
          <w:rFonts w:ascii="Verdana" w:eastAsia="Arial" w:hAnsi="Verdana" w:cs="Arial"/>
          <w:color w:val="000000"/>
          <w:sz w:val="20"/>
          <w:szCs w:val="20"/>
          <w:lang w:eastAsia="es-MX"/>
        </w:rPr>
        <w:t xml:space="preserve"> inicial. (…)”</w:t>
      </w:r>
      <w:r w:rsidRPr="00C861EF">
        <w:rPr>
          <w:rFonts w:ascii="Verdana" w:hAnsi="Verdana"/>
          <w:sz w:val="20"/>
          <w:szCs w:val="20"/>
        </w:rPr>
        <w:footnoteReference w:id="11"/>
      </w:r>
    </w:p>
    <w:p w14:paraId="464DD182" w14:textId="58571D27" w:rsidR="006573EB" w:rsidRPr="00C861EF" w:rsidRDefault="006573EB" w:rsidP="006B13BE">
      <w:pPr>
        <w:pStyle w:val="Prrafodelista"/>
        <w:spacing w:after="0" w:line="240" w:lineRule="auto"/>
        <w:jc w:val="both"/>
        <w:rPr>
          <w:rFonts w:ascii="Verdana" w:eastAsia="Arial" w:hAnsi="Verdana" w:cs="Arial"/>
          <w:color w:val="000000"/>
          <w:lang w:val="es-CO" w:eastAsia="es-MX"/>
        </w:rPr>
      </w:pPr>
    </w:p>
    <w:p w14:paraId="7B538BFA" w14:textId="6395AFFE" w:rsidR="00394125" w:rsidRPr="00C861EF" w:rsidRDefault="00D36926" w:rsidP="00D36926">
      <w:pPr>
        <w:pStyle w:val="Prrafodelista"/>
        <w:widowControl w:val="0"/>
        <w:numPr>
          <w:ilvl w:val="0"/>
          <w:numId w:val="22"/>
        </w:numPr>
        <w:autoSpaceDE w:val="0"/>
        <w:autoSpaceDN w:val="0"/>
        <w:spacing w:after="0" w:line="276" w:lineRule="auto"/>
        <w:jc w:val="both"/>
        <w:rPr>
          <w:rFonts w:ascii="Verdana" w:hAnsi="Verdana" w:cs="Arial"/>
        </w:rPr>
      </w:pPr>
      <w:r w:rsidRPr="00C861EF">
        <w:rPr>
          <w:rFonts w:ascii="Verdana" w:hAnsi="Verdana" w:cs="Arial"/>
        </w:rPr>
        <w:t>Ahora bien, frente a las inhabilidades e incompatibilidades que pueden presentar los oferentes en los procesos de contratación, estas son taxativas y se encuentran contempladas en el artículo 8 de la Ley 80 de 1993 y pueden presentarse de forma previa a participar o pueden ser sobrevinientes.</w:t>
      </w:r>
    </w:p>
    <w:p w14:paraId="3C180A68" w14:textId="0855CCF1" w:rsidR="00D36926" w:rsidRPr="00C861EF" w:rsidRDefault="00D36926" w:rsidP="00394125">
      <w:pPr>
        <w:widowControl w:val="0"/>
        <w:autoSpaceDE w:val="0"/>
        <w:autoSpaceDN w:val="0"/>
        <w:spacing w:after="0" w:line="276" w:lineRule="auto"/>
        <w:jc w:val="both"/>
        <w:rPr>
          <w:rFonts w:ascii="Verdana" w:hAnsi="Verdana" w:cs="Arial"/>
        </w:rPr>
      </w:pPr>
    </w:p>
    <w:p w14:paraId="002F814E" w14:textId="5078898D" w:rsidR="00D36926" w:rsidRPr="00C861EF" w:rsidRDefault="00D36926" w:rsidP="00D36926">
      <w:pPr>
        <w:pStyle w:val="Prrafodelista"/>
        <w:widowControl w:val="0"/>
        <w:numPr>
          <w:ilvl w:val="0"/>
          <w:numId w:val="22"/>
        </w:numPr>
        <w:autoSpaceDE w:val="0"/>
        <w:autoSpaceDN w:val="0"/>
        <w:spacing w:after="0" w:line="276" w:lineRule="auto"/>
        <w:jc w:val="both"/>
        <w:rPr>
          <w:rFonts w:ascii="Verdana" w:hAnsi="Verdana" w:cs="Arial"/>
          <w:i/>
          <w:iCs/>
        </w:rPr>
      </w:pPr>
      <w:r w:rsidRPr="00C861EF">
        <w:rPr>
          <w:rFonts w:ascii="Verdana" w:hAnsi="Verdana" w:cs="Arial"/>
        </w:rPr>
        <w:t xml:space="preserve">Respecto a las inhabilidades sobrevinientes el artículo 9 de la norma ibidem ha señalado que </w:t>
      </w:r>
      <w:r w:rsidRPr="00C861EF">
        <w:rPr>
          <w:rFonts w:ascii="Verdana" w:hAnsi="Verdana" w:cs="Arial"/>
          <w:i/>
          <w:iCs/>
        </w:rPr>
        <w:t>“</w:t>
      </w:r>
      <w:bookmarkStart w:id="8" w:name="BM9"/>
      <w:bookmarkStart w:id="9" w:name="9"/>
      <w:bookmarkEnd w:id="8"/>
      <w:bookmarkEnd w:id="9"/>
      <w:r w:rsidRPr="00C861EF">
        <w:rPr>
          <w:rFonts w:ascii="Verdana" w:hAnsi="Verdana" w:cs="Arial"/>
          <w:i/>
          <w:iCs/>
        </w:rPr>
        <w:t>(…)</w:t>
      </w:r>
      <w:r w:rsidRPr="00C861EF">
        <w:rPr>
          <w:rFonts w:ascii="Verdana" w:hAnsi="Verdana" w:cs="Arial"/>
          <w:b/>
          <w:bCs/>
          <w:i/>
          <w:iCs/>
        </w:rPr>
        <w:t xml:space="preserve"> </w:t>
      </w:r>
      <w:r w:rsidRPr="00C861EF">
        <w:rPr>
          <w:rFonts w:ascii="Verdana" w:hAnsi="Verdana" w:cs="Arial"/>
          <w:i/>
          <w:iCs/>
        </w:rPr>
        <w:t>Si llegare a sobrevenir inhabilidad o incompatibilidad en el contratista, este cederá el contrato previa autorización escrita de la entidad contratante o, si ello no fuere posible, renunciará a su ejecución.</w:t>
      </w:r>
    </w:p>
    <w:p w14:paraId="50936555" w14:textId="77777777" w:rsidR="00D36926" w:rsidRPr="00C861EF" w:rsidRDefault="00D36926" w:rsidP="00D36926">
      <w:pPr>
        <w:widowControl w:val="0"/>
        <w:autoSpaceDE w:val="0"/>
        <w:autoSpaceDN w:val="0"/>
        <w:spacing w:after="0" w:line="276" w:lineRule="auto"/>
        <w:jc w:val="both"/>
        <w:rPr>
          <w:rFonts w:ascii="Verdana" w:hAnsi="Verdana" w:cs="Arial"/>
          <w:i/>
          <w:iCs/>
        </w:rPr>
      </w:pPr>
    </w:p>
    <w:p w14:paraId="39803A85" w14:textId="77777777" w:rsidR="00D36926" w:rsidRPr="00C861EF" w:rsidRDefault="00D36926" w:rsidP="00D36926">
      <w:pPr>
        <w:pStyle w:val="Prrafodelista"/>
        <w:widowControl w:val="0"/>
        <w:autoSpaceDE w:val="0"/>
        <w:autoSpaceDN w:val="0"/>
        <w:spacing w:after="0" w:line="276" w:lineRule="auto"/>
        <w:jc w:val="both"/>
        <w:rPr>
          <w:rFonts w:ascii="Verdana" w:hAnsi="Verdana" w:cs="Arial"/>
          <w:i/>
          <w:iCs/>
        </w:rPr>
      </w:pPr>
      <w:r w:rsidRPr="00C861EF">
        <w:rPr>
          <w:rFonts w:ascii="Verdana" w:hAnsi="Verdana" w:cs="Arial"/>
          <w:i/>
          <w:iCs/>
        </w:rPr>
        <w:t>Cuando la inhabilidad o incompatibilidad sobrevenga en un proponente dentro de un proceso de selección, se entenderá que renuncia a la participación en el proceso de selección y a los derechos surgidos del mismo.</w:t>
      </w:r>
    </w:p>
    <w:p w14:paraId="5B60CB69" w14:textId="77777777" w:rsidR="00D36926" w:rsidRPr="00C861EF" w:rsidRDefault="00D36926" w:rsidP="00D36926">
      <w:pPr>
        <w:widowControl w:val="0"/>
        <w:autoSpaceDE w:val="0"/>
        <w:autoSpaceDN w:val="0"/>
        <w:spacing w:after="0" w:line="276" w:lineRule="auto"/>
        <w:jc w:val="both"/>
        <w:rPr>
          <w:rFonts w:ascii="Verdana" w:hAnsi="Verdana" w:cs="Arial"/>
          <w:i/>
          <w:iCs/>
        </w:rPr>
      </w:pPr>
    </w:p>
    <w:p w14:paraId="093B3243" w14:textId="747B5145" w:rsidR="00791542" w:rsidRPr="00C861EF" w:rsidRDefault="00D36926" w:rsidP="00791542">
      <w:pPr>
        <w:pStyle w:val="Prrafodelista"/>
        <w:widowControl w:val="0"/>
        <w:autoSpaceDE w:val="0"/>
        <w:autoSpaceDN w:val="0"/>
        <w:spacing w:after="0" w:line="276" w:lineRule="auto"/>
        <w:jc w:val="both"/>
        <w:rPr>
          <w:rFonts w:ascii="Verdana" w:hAnsi="Verdana" w:cs="Arial"/>
          <w:i/>
          <w:iCs/>
        </w:rPr>
      </w:pPr>
      <w:r w:rsidRPr="00C861EF">
        <w:rPr>
          <w:rFonts w:ascii="Verdana" w:hAnsi="Verdana" w:cs="Arial"/>
          <w:i/>
          <w:iCs/>
        </w:rPr>
        <w:t xml:space="preserve">Si la inhabilidad o incompatibilidad sobreviene en uno de los miembros de un consorcio o unión temporal, este cederá su participación a un tercero previa autorización escrita de la entidad contratante. En ningún caso podrá haber cesión del contrato entre quienes integran el consorcio o unión </w:t>
      </w:r>
      <w:r w:rsidR="00E931A5" w:rsidRPr="00C861EF">
        <w:rPr>
          <w:rFonts w:ascii="Verdana" w:hAnsi="Verdana" w:cs="Arial"/>
          <w:i/>
          <w:iCs/>
        </w:rPr>
        <w:t>temporal. (</w:t>
      </w:r>
      <w:r w:rsidRPr="00C861EF">
        <w:rPr>
          <w:rFonts w:ascii="Verdana" w:hAnsi="Verdana" w:cs="Arial"/>
          <w:i/>
          <w:iCs/>
        </w:rPr>
        <w:t>…)”</w:t>
      </w:r>
    </w:p>
    <w:p w14:paraId="4B94D9F9" w14:textId="77777777" w:rsidR="00791542" w:rsidRPr="00C861EF" w:rsidRDefault="00791542" w:rsidP="00791542">
      <w:pPr>
        <w:widowControl w:val="0"/>
        <w:autoSpaceDE w:val="0"/>
        <w:autoSpaceDN w:val="0"/>
        <w:spacing w:after="0" w:line="276" w:lineRule="auto"/>
        <w:jc w:val="both"/>
        <w:rPr>
          <w:rFonts w:ascii="Verdana" w:hAnsi="Verdana" w:cs="Arial"/>
          <w:i/>
          <w:iCs/>
        </w:rPr>
      </w:pPr>
    </w:p>
    <w:p w14:paraId="586C89B0" w14:textId="40D693BB" w:rsidR="00791542" w:rsidRPr="00C861EF" w:rsidRDefault="00791542" w:rsidP="00791542">
      <w:pPr>
        <w:pStyle w:val="Prrafodelista"/>
        <w:widowControl w:val="0"/>
        <w:numPr>
          <w:ilvl w:val="0"/>
          <w:numId w:val="22"/>
        </w:numPr>
        <w:autoSpaceDE w:val="0"/>
        <w:autoSpaceDN w:val="0"/>
        <w:spacing w:after="0" w:line="276" w:lineRule="auto"/>
        <w:jc w:val="both"/>
        <w:rPr>
          <w:rFonts w:ascii="Verdana" w:hAnsi="Verdana" w:cs="Arial"/>
        </w:rPr>
      </w:pPr>
      <w:r w:rsidRPr="00C861EF">
        <w:rPr>
          <w:rFonts w:ascii="Verdana" w:hAnsi="Verdana" w:cs="Arial"/>
        </w:rPr>
        <w:t xml:space="preserve">Ahora bien, de presentarse una  inhabilidad o incompatibilidad sobreviene durante el </w:t>
      </w:r>
      <w:r w:rsidR="005F5F8E" w:rsidRPr="00C861EF">
        <w:rPr>
          <w:rFonts w:ascii="Verdana" w:hAnsi="Verdana" w:cs="Arial"/>
        </w:rPr>
        <w:t>periodo</w:t>
      </w:r>
      <w:r w:rsidRPr="00C861EF">
        <w:rPr>
          <w:rFonts w:ascii="Verdana" w:hAnsi="Verdana" w:cs="Arial"/>
        </w:rPr>
        <w:t xml:space="preserve"> comprendido entre la </w:t>
      </w:r>
      <w:r w:rsidR="005F5F8E" w:rsidRPr="00C861EF">
        <w:rPr>
          <w:rFonts w:ascii="Verdana" w:hAnsi="Verdana" w:cs="Arial"/>
        </w:rPr>
        <w:t>adjudicación</w:t>
      </w:r>
      <w:r w:rsidRPr="00C861EF">
        <w:rPr>
          <w:rFonts w:ascii="Verdana" w:hAnsi="Verdana" w:cs="Arial"/>
        </w:rPr>
        <w:t xml:space="preserve"> del contrato y su </w:t>
      </w:r>
      <w:r w:rsidRPr="00C861EF">
        <w:rPr>
          <w:rFonts w:ascii="Verdana" w:hAnsi="Verdana" w:cs="Arial"/>
        </w:rPr>
        <w:lastRenderedPageBreak/>
        <w:t xml:space="preserve">perfeccionamiento, da lugar a la revocatoria del acto de </w:t>
      </w:r>
      <w:r w:rsidR="005F5F8E" w:rsidRPr="00C861EF">
        <w:rPr>
          <w:rFonts w:ascii="Verdana" w:hAnsi="Verdana" w:cs="Arial"/>
        </w:rPr>
        <w:t>adjudicación</w:t>
      </w:r>
      <w:r w:rsidRPr="00C861EF">
        <w:rPr>
          <w:rFonts w:ascii="Verdana" w:hAnsi="Verdana" w:cs="Arial"/>
        </w:rPr>
        <w:t xml:space="preserve"> proferido (</w:t>
      </w:r>
      <w:r w:rsidR="00E41DB5" w:rsidRPr="00C861EF">
        <w:rPr>
          <w:rFonts w:ascii="Verdana" w:hAnsi="Verdana" w:cs="Arial"/>
        </w:rPr>
        <w:t>artículo</w:t>
      </w:r>
      <w:r w:rsidRPr="00C861EF">
        <w:rPr>
          <w:rFonts w:ascii="Verdana" w:hAnsi="Verdana" w:cs="Arial"/>
        </w:rPr>
        <w:t xml:space="preserve"> 9, Ley 1150 de 2007) y posibilita a la entidad estatal “adjudicar el contrato, dentro de los quince (15) </w:t>
      </w:r>
      <w:r w:rsidR="005F5F8E" w:rsidRPr="00C861EF">
        <w:rPr>
          <w:rFonts w:ascii="Verdana" w:hAnsi="Verdana" w:cs="Arial"/>
        </w:rPr>
        <w:t>días</w:t>
      </w:r>
      <w:r w:rsidRPr="00C861EF">
        <w:rPr>
          <w:rFonts w:ascii="Verdana" w:hAnsi="Verdana" w:cs="Arial"/>
        </w:rPr>
        <w:t xml:space="preserve"> siguientes, al proponente calificado en segundo lugar, siempre y cuando su propuesta sea igualmente favorable para la entidad” (inciso final del numeral 12 del </w:t>
      </w:r>
      <w:r w:rsidR="005F5F8E" w:rsidRPr="00C861EF">
        <w:rPr>
          <w:rFonts w:ascii="Verdana" w:hAnsi="Verdana" w:cs="Arial"/>
        </w:rPr>
        <w:t>artículo</w:t>
      </w:r>
      <w:r w:rsidRPr="00C861EF">
        <w:rPr>
          <w:rFonts w:ascii="Verdana" w:hAnsi="Verdana" w:cs="Arial"/>
        </w:rPr>
        <w:t xml:space="preserve"> 30 de la Ley 80 de 1993). </w:t>
      </w:r>
    </w:p>
    <w:p w14:paraId="366EE34B" w14:textId="77777777" w:rsidR="00791542" w:rsidRPr="00C861EF" w:rsidRDefault="00791542" w:rsidP="00791542">
      <w:pPr>
        <w:pStyle w:val="Prrafodelista"/>
        <w:widowControl w:val="0"/>
        <w:autoSpaceDE w:val="0"/>
        <w:autoSpaceDN w:val="0"/>
        <w:spacing w:after="0" w:line="276" w:lineRule="auto"/>
        <w:jc w:val="both"/>
        <w:rPr>
          <w:rFonts w:ascii="Verdana" w:hAnsi="Verdana" w:cs="Arial"/>
        </w:rPr>
      </w:pPr>
    </w:p>
    <w:p w14:paraId="5C6C393C" w14:textId="07550BAE" w:rsidR="00791542" w:rsidRPr="00C861EF" w:rsidRDefault="00791542" w:rsidP="00791542">
      <w:pPr>
        <w:pStyle w:val="Prrafodelista"/>
        <w:spacing w:line="240" w:lineRule="auto"/>
        <w:jc w:val="both"/>
        <w:rPr>
          <w:rFonts w:ascii="Verdana" w:hAnsi="Verdana"/>
        </w:rPr>
      </w:pPr>
      <w:r w:rsidRPr="00C861EF">
        <w:rPr>
          <w:rFonts w:ascii="Verdana" w:hAnsi="Verdana" w:cs="Arial"/>
        </w:rPr>
        <w:t xml:space="preserve">En conclusión, es posible que se </w:t>
      </w:r>
      <w:r w:rsidR="00E41DB5" w:rsidRPr="00C861EF">
        <w:rPr>
          <w:rFonts w:ascii="Verdana" w:hAnsi="Verdana" w:cs="Arial"/>
        </w:rPr>
        <w:t>dé</w:t>
      </w:r>
      <w:r w:rsidRPr="00C861EF">
        <w:rPr>
          <w:rFonts w:ascii="Verdana" w:hAnsi="Verdana" w:cs="Arial"/>
        </w:rPr>
        <w:t xml:space="preserve"> una segunda adjudicación cuando </w:t>
      </w:r>
      <w:r w:rsidRPr="00C861EF">
        <w:rPr>
          <w:rFonts w:ascii="Verdana" w:hAnsi="Verdana"/>
        </w:rPr>
        <w:t>i) el primer adjudicatario desista de la suscripción del contrato,</w:t>
      </w:r>
      <w:r w:rsidRPr="00C861EF">
        <w:rPr>
          <w:rStyle w:val="Refdenotaalpie"/>
          <w:rFonts w:ascii="Verdana" w:hAnsi="Verdana"/>
        </w:rPr>
        <w:footnoteReference w:id="12"/>
      </w:r>
      <w:r w:rsidRPr="00C861EF">
        <w:rPr>
          <w:rFonts w:ascii="Verdana" w:hAnsi="Verdana"/>
        </w:rPr>
        <w:t xml:space="preserve"> y ii) el primer adjudicatario esté inmerso en las causales de inhabilidades o incompatibilidades contempladas en el artículo 9 de la Ley 80 de 1993, entre otras.</w:t>
      </w:r>
    </w:p>
    <w:p w14:paraId="214CD33E" w14:textId="1D24BC74" w:rsidR="00791542" w:rsidRPr="00C861EF" w:rsidRDefault="00791542" w:rsidP="00791542">
      <w:pPr>
        <w:pStyle w:val="Prrafodelista"/>
        <w:widowControl w:val="0"/>
        <w:autoSpaceDE w:val="0"/>
        <w:autoSpaceDN w:val="0"/>
        <w:spacing w:after="0" w:line="276" w:lineRule="auto"/>
        <w:jc w:val="both"/>
        <w:rPr>
          <w:rFonts w:ascii="Verdana" w:hAnsi="Verdana" w:cs="Arial"/>
        </w:rPr>
      </w:pPr>
    </w:p>
    <w:p w14:paraId="3B9943F3" w14:textId="56EB02BF" w:rsidR="00791542" w:rsidRPr="00C861EF" w:rsidRDefault="00791542" w:rsidP="00791542">
      <w:pPr>
        <w:widowControl w:val="0"/>
        <w:autoSpaceDE w:val="0"/>
        <w:autoSpaceDN w:val="0"/>
        <w:spacing w:after="0" w:line="276" w:lineRule="auto"/>
        <w:jc w:val="both"/>
        <w:rPr>
          <w:rFonts w:ascii="Verdana" w:hAnsi="Verdana" w:cs="Arial"/>
        </w:rPr>
      </w:pPr>
    </w:p>
    <w:p w14:paraId="6E30DAD0" w14:textId="77777777" w:rsidR="00791542" w:rsidRPr="00C861EF" w:rsidRDefault="00791542" w:rsidP="00791542">
      <w:pPr>
        <w:widowControl w:val="0"/>
        <w:autoSpaceDE w:val="0"/>
        <w:autoSpaceDN w:val="0"/>
        <w:spacing w:after="0" w:line="276" w:lineRule="auto"/>
        <w:jc w:val="both"/>
        <w:rPr>
          <w:rFonts w:ascii="Verdana" w:hAnsi="Verdana" w:cs="Arial"/>
        </w:rPr>
      </w:pPr>
    </w:p>
    <w:p w14:paraId="0195942A" w14:textId="67764FC1" w:rsidR="00D36926" w:rsidRPr="00C861EF" w:rsidRDefault="00D36926" w:rsidP="00394125">
      <w:pPr>
        <w:widowControl w:val="0"/>
        <w:autoSpaceDE w:val="0"/>
        <w:autoSpaceDN w:val="0"/>
        <w:spacing w:after="0" w:line="276" w:lineRule="auto"/>
        <w:jc w:val="both"/>
        <w:rPr>
          <w:rFonts w:ascii="Verdana" w:hAnsi="Verdana" w:cs="Arial"/>
        </w:rPr>
      </w:pPr>
    </w:p>
    <w:p w14:paraId="4F2DEBD5" w14:textId="77777777" w:rsidR="00394125" w:rsidRPr="00C861EF" w:rsidRDefault="00394125" w:rsidP="0039412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861EF">
        <w:rPr>
          <w:rFonts w:ascii="Verdana" w:eastAsia="Century Gothic" w:hAnsi="Verdana" w:cs="Century Gothic"/>
          <w:b/>
          <w:bCs/>
        </w:rPr>
        <w:t>Referencias normativas, jurisprudenciales y otras fuentes:</w:t>
      </w:r>
    </w:p>
    <w:p w14:paraId="2FBD2784" w14:textId="77777777" w:rsidR="00394125" w:rsidRPr="00C861EF" w:rsidRDefault="00394125" w:rsidP="00394125">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394125" w:rsidRPr="00C861EF" w14:paraId="39F66CA7" w14:textId="77777777" w:rsidTr="00C21F74">
        <w:trPr>
          <w:trHeight w:val="870"/>
        </w:trPr>
        <w:tc>
          <w:tcPr>
            <w:tcW w:w="8647" w:type="dxa"/>
          </w:tcPr>
          <w:p w14:paraId="66DC3A1E" w14:textId="65488A39" w:rsidR="00D36926" w:rsidRPr="00C861EF" w:rsidRDefault="005F5F8E" w:rsidP="00394125">
            <w:pPr>
              <w:pStyle w:val="Prrafodelista"/>
              <w:widowControl w:val="0"/>
              <w:numPr>
                <w:ilvl w:val="0"/>
                <w:numId w:val="18"/>
              </w:numPr>
              <w:autoSpaceDE w:val="0"/>
              <w:autoSpaceDN w:val="0"/>
              <w:spacing w:after="120" w:line="276" w:lineRule="auto"/>
              <w:jc w:val="both"/>
              <w:rPr>
                <w:rFonts w:ascii="Verdana" w:hAnsi="Verdana" w:cs="Arial"/>
                <w:lang w:val="es-CO"/>
              </w:rPr>
            </w:pPr>
            <w:r w:rsidRPr="00C861EF">
              <w:rPr>
                <w:rFonts w:ascii="Verdana" w:hAnsi="Verdana" w:cs="Arial"/>
                <w:lang w:val="es-CO"/>
              </w:rPr>
              <w:t>Artículo</w:t>
            </w:r>
            <w:r w:rsidR="00D36926" w:rsidRPr="00C861EF">
              <w:rPr>
                <w:rFonts w:ascii="Verdana" w:hAnsi="Verdana" w:cs="Arial"/>
                <w:lang w:val="es-CO"/>
              </w:rPr>
              <w:t xml:space="preserve"> 30 Ley 80 de 1993</w:t>
            </w:r>
          </w:p>
          <w:p w14:paraId="06A1C454" w14:textId="40325B10" w:rsidR="00394125" w:rsidRPr="00C861EF" w:rsidRDefault="00394125" w:rsidP="00394125">
            <w:pPr>
              <w:pStyle w:val="Prrafodelista"/>
              <w:widowControl w:val="0"/>
              <w:numPr>
                <w:ilvl w:val="0"/>
                <w:numId w:val="18"/>
              </w:numPr>
              <w:autoSpaceDE w:val="0"/>
              <w:autoSpaceDN w:val="0"/>
              <w:spacing w:after="120" w:line="276" w:lineRule="auto"/>
              <w:jc w:val="both"/>
              <w:rPr>
                <w:rFonts w:ascii="Verdana" w:hAnsi="Verdana" w:cs="Arial"/>
                <w:lang w:val="es-CO"/>
              </w:rPr>
            </w:pPr>
            <w:r w:rsidRPr="00C861EF">
              <w:rPr>
                <w:rFonts w:ascii="Verdana" w:hAnsi="Verdana" w:cs="Arial"/>
                <w:lang w:val="es-ES_tradnl"/>
              </w:rPr>
              <w:t xml:space="preserve">Ley 1150 de 2007: artículo 5 parágrafos 1º al 4º. </w:t>
            </w:r>
          </w:p>
          <w:p w14:paraId="06F58809" w14:textId="77777777" w:rsidR="00394125" w:rsidRPr="00C861EF" w:rsidRDefault="00394125" w:rsidP="00394125">
            <w:pPr>
              <w:pStyle w:val="Prrafodelista"/>
              <w:widowControl w:val="0"/>
              <w:numPr>
                <w:ilvl w:val="0"/>
                <w:numId w:val="18"/>
              </w:numPr>
              <w:autoSpaceDE w:val="0"/>
              <w:autoSpaceDN w:val="0"/>
              <w:spacing w:after="120" w:line="276" w:lineRule="auto"/>
              <w:jc w:val="both"/>
              <w:rPr>
                <w:rFonts w:ascii="Verdana" w:hAnsi="Verdana" w:cs="Arial"/>
                <w:lang w:val="es-CO"/>
              </w:rPr>
            </w:pPr>
            <w:r w:rsidRPr="00C861EF">
              <w:rPr>
                <w:rFonts w:ascii="Verdana" w:hAnsi="Verdana" w:cs="Arial"/>
                <w:lang w:val="es-ES_tradnl"/>
              </w:rPr>
              <w:t>Decreto 1082 de 2015: artículos 2.2.1.1.1.6.2, 2.2.1.1.2.1.3 numeral 5°.</w:t>
            </w:r>
          </w:p>
          <w:p w14:paraId="7A115057" w14:textId="77777777" w:rsidR="006B13BE" w:rsidRPr="00C861EF" w:rsidRDefault="00394125" w:rsidP="006B13BE">
            <w:pPr>
              <w:pStyle w:val="Prrafodelista"/>
              <w:widowControl w:val="0"/>
              <w:numPr>
                <w:ilvl w:val="0"/>
                <w:numId w:val="18"/>
              </w:numPr>
              <w:autoSpaceDE w:val="0"/>
              <w:autoSpaceDN w:val="0"/>
              <w:spacing w:after="120" w:line="276" w:lineRule="auto"/>
              <w:jc w:val="both"/>
              <w:rPr>
                <w:rFonts w:ascii="Verdana" w:hAnsi="Verdana" w:cs="Arial"/>
              </w:rPr>
            </w:pPr>
            <w:r w:rsidRPr="00C861EF">
              <w:rPr>
                <w:rFonts w:ascii="Verdana" w:hAnsi="Verdana" w:cs="Arial"/>
              </w:rPr>
              <w:t>Ley 1882 de 2018: artículo 5.</w:t>
            </w:r>
          </w:p>
          <w:p w14:paraId="1470799E" w14:textId="1CE28001" w:rsidR="006B13BE" w:rsidRPr="00C861EF" w:rsidRDefault="006B13BE" w:rsidP="00C861EF">
            <w:pPr>
              <w:pStyle w:val="Prrafodelista"/>
              <w:widowControl w:val="0"/>
              <w:numPr>
                <w:ilvl w:val="0"/>
                <w:numId w:val="18"/>
              </w:numPr>
              <w:autoSpaceDE w:val="0"/>
              <w:autoSpaceDN w:val="0"/>
              <w:spacing w:after="120" w:line="276" w:lineRule="auto"/>
              <w:jc w:val="both"/>
              <w:rPr>
                <w:rFonts w:ascii="Verdana" w:hAnsi="Verdana" w:cs="Arial"/>
              </w:rPr>
            </w:pPr>
            <w:r w:rsidRPr="00C861EF">
              <w:rPr>
                <w:rFonts w:ascii="Verdana" w:hAnsi="Verdana"/>
                <w:lang w:val="es-CO"/>
              </w:rPr>
              <w:t xml:space="preserve">CONSEJO DE ESTADO SALA DE CONSULTA Y SERVICIO CIVIL Consejero ponente: ÁLVARO NAMÉN VARGAS </w:t>
            </w:r>
            <w:r w:rsidR="00E41DB5" w:rsidRPr="00C861EF">
              <w:rPr>
                <w:rFonts w:ascii="Verdana" w:hAnsi="Verdana"/>
                <w:lang w:val="es-CO"/>
              </w:rPr>
              <w:t>Bogotá</w:t>
            </w:r>
            <w:r w:rsidRPr="00C861EF">
              <w:rPr>
                <w:rFonts w:ascii="Verdana" w:hAnsi="Verdana"/>
                <w:lang w:val="es-CO"/>
              </w:rPr>
              <w:t>́ D.C., quince (15) de agosto de dos mil diecisiete (2017</w:t>
            </w:r>
            <w:r w:rsidR="00E41DB5" w:rsidRPr="00C861EF">
              <w:rPr>
                <w:rFonts w:ascii="Verdana" w:hAnsi="Verdana"/>
                <w:lang w:val="es-CO"/>
              </w:rPr>
              <w:t>) Radicación</w:t>
            </w:r>
            <w:r w:rsidRPr="00C861EF">
              <w:rPr>
                <w:rFonts w:ascii="Verdana" w:hAnsi="Verdana"/>
                <w:lang w:val="es-CO"/>
              </w:rPr>
              <w:t xml:space="preserve"> </w:t>
            </w:r>
            <w:r w:rsidR="00E41DB5" w:rsidRPr="00C861EF">
              <w:rPr>
                <w:rFonts w:ascii="Verdana" w:hAnsi="Verdana"/>
                <w:lang w:val="es-CO"/>
              </w:rPr>
              <w:t>número</w:t>
            </w:r>
            <w:r w:rsidRPr="00C861EF">
              <w:rPr>
                <w:rFonts w:ascii="Verdana" w:hAnsi="Verdana"/>
                <w:lang w:val="es-CO"/>
              </w:rPr>
              <w:t xml:space="preserve">: 11001-03-06-000-2017-00098-00(2346) Actor: MINISTERIO DE TRANSPORTE </w:t>
            </w:r>
          </w:p>
        </w:tc>
      </w:tr>
    </w:tbl>
    <w:p w14:paraId="3DB31CBB" w14:textId="77777777" w:rsidR="00394125" w:rsidRPr="00C861EF" w:rsidRDefault="00394125" w:rsidP="00394125">
      <w:pPr>
        <w:widowControl w:val="0"/>
        <w:autoSpaceDE w:val="0"/>
        <w:autoSpaceDN w:val="0"/>
        <w:spacing w:after="0" w:line="276" w:lineRule="auto"/>
        <w:jc w:val="both"/>
        <w:rPr>
          <w:rFonts w:ascii="Verdana" w:hAnsi="Verdana" w:cs="Arial"/>
        </w:rPr>
      </w:pPr>
    </w:p>
    <w:p w14:paraId="1B621883" w14:textId="77777777" w:rsidR="00394125" w:rsidRPr="00C861EF" w:rsidRDefault="00394125" w:rsidP="0039412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861EF">
        <w:rPr>
          <w:rFonts w:ascii="Verdana" w:eastAsia="Century Gothic" w:hAnsi="Verdana" w:cs="Century Gothic"/>
          <w:b/>
          <w:bCs/>
        </w:rPr>
        <w:t>Doctrina de la Agencia Nacional de Contratación Pública:</w:t>
      </w:r>
    </w:p>
    <w:p w14:paraId="1D53269E" w14:textId="77777777" w:rsidR="00394125" w:rsidRPr="00C861EF" w:rsidRDefault="00394125" w:rsidP="00394125">
      <w:pPr>
        <w:widowControl w:val="0"/>
        <w:autoSpaceDE w:val="0"/>
        <w:autoSpaceDN w:val="0"/>
        <w:spacing w:after="0" w:line="276" w:lineRule="auto"/>
        <w:jc w:val="both"/>
        <w:rPr>
          <w:rFonts w:ascii="Verdana" w:hAnsi="Verdana" w:cs="Arial"/>
        </w:rPr>
      </w:pPr>
    </w:p>
    <w:p w14:paraId="19FD4AC0" w14:textId="77777777" w:rsidR="00394125" w:rsidRPr="00C861EF" w:rsidRDefault="00394125" w:rsidP="00394125">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C861EF">
        <w:rPr>
          <w:rStyle w:val="normaltextrun"/>
          <w:rFonts w:ascii="Verdana" w:hAnsi="Verdana" w:cs="Arial"/>
          <w:shd w:val="clear" w:color="auto" w:fill="FFFFFF"/>
          <w:lang w:val="es-ES"/>
        </w:rPr>
        <w:t>Sobre la naturaleza de los requisitos habilitantes y el carácter enunciativo de los mencionados en el artículo 5-1 de la Ley 1150 de 2007 se pronunció esta Subdirección en los conceptos</w:t>
      </w:r>
      <w:r w:rsidRPr="00C861EF">
        <w:rPr>
          <w:rStyle w:val="normaltextrun"/>
          <w:rFonts w:ascii="Verdana" w:hAnsi="Verdana" w:cs="Calibri"/>
          <w:shd w:val="clear" w:color="auto" w:fill="FFFFFF"/>
        </w:rPr>
        <w:t xml:space="preserve"> </w:t>
      </w:r>
      <w:r w:rsidRPr="00C861EF">
        <w:rPr>
          <w:rStyle w:val="normaltextrun"/>
          <w:rFonts w:ascii="Verdana" w:hAnsi="Verdana" w:cs="Arial"/>
          <w:shd w:val="clear" w:color="auto" w:fill="FFFFFF"/>
          <w:lang w:val="es-ES"/>
        </w:rPr>
        <w:t xml:space="preserve">C-120 del 3 de marzo de 2020, C-204 del 31 de marzo de 2020, C-099 del 6 de abril de 2020, C-195 del 13 de abril de 2020, C-013 del 17 de abril de 2020, C-330 del 27 de mayo de 2020, C-396 de 16 de </w:t>
      </w:r>
      <w:r w:rsidRPr="00C861EF">
        <w:rPr>
          <w:rStyle w:val="normaltextrun"/>
          <w:rFonts w:ascii="Verdana" w:hAnsi="Verdana" w:cs="Arial"/>
          <w:shd w:val="clear" w:color="auto" w:fill="FFFFFF"/>
          <w:lang w:val="es-ES"/>
        </w:rPr>
        <w:lastRenderedPageBreak/>
        <w:t>julio de 2020 y C-142 del 30 de marzo de 2022. Por otro lado, sobre la subsanabilidad de los requisitos habilitantes en los procesos de selección se pronunció esta subdirección en los conceptos C-218 del 2 de abril de 2020, C-307 del 21 de mayo de 2020, C-391 del 10 de agosto de 2020, C-675 del 25 de noviembre de 2020 y C-683 del 21 de noviembre de 2020, C-779 del 20 de septiembre de 2020, C-882 del 21 de diciembre de 2022 y C-426 del 17 de octubre de 2023. Es</w:t>
      </w:r>
      <w:r w:rsidRPr="00C861EF">
        <w:rPr>
          <w:rFonts w:ascii="Verdana" w:hAnsi="Verdana"/>
        </w:rPr>
        <w:t>tos y otros conceptos se encuentran disponibles para consulta en el Sistema de relatoría de la Agencia, al cual se puede acceder a través del siguiente enlace:</w:t>
      </w:r>
      <w:r w:rsidRPr="00C861EF">
        <w:rPr>
          <w:rStyle w:val="normaltextrun"/>
          <w:rFonts w:ascii="Verdana" w:hAnsi="Verdana" w:cs="Arial"/>
          <w:shd w:val="clear" w:color="auto" w:fill="FFFFFF"/>
          <w:lang w:val="es-ES"/>
        </w:rPr>
        <w:t xml:space="preserve"> </w:t>
      </w:r>
      <w:hyperlink r:id="rId13" w:history="1">
        <w:r w:rsidRPr="00C861EF">
          <w:rPr>
            <w:rStyle w:val="Hipervnculo"/>
            <w:rFonts w:ascii="Verdana" w:hAnsi="Verdana" w:cs="Arial"/>
            <w:color w:val="4472C4" w:themeColor="accent1"/>
            <w:shd w:val="clear" w:color="auto" w:fill="FFFFFF"/>
            <w:lang w:val="es-ES"/>
          </w:rPr>
          <w:t>https://relatoria.colombiacompra.gov.co/busqueda/conceptos</w:t>
        </w:r>
      </w:hyperlink>
      <w:r w:rsidRPr="00C861EF">
        <w:rPr>
          <w:rStyle w:val="normaltextrun"/>
          <w:rFonts w:ascii="Verdana" w:hAnsi="Verdana" w:cs="Arial"/>
          <w:color w:val="4472C4" w:themeColor="accent1"/>
          <w:shd w:val="clear" w:color="auto" w:fill="FFFFFF"/>
          <w:lang w:val="es-ES"/>
        </w:rPr>
        <w:t xml:space="preserve">. </w:t>
      </w:r>
    </w:p>
    <w:p w14:paraId="252968F1" w14:textId="77777777" w:rsidR="00394125" w:rsidRPr="00C861EF" w:rsidRDefault="00394125" w:rsidP="00394125">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40AB9A13" w14:textId="77777777" w:rsidR="00394125" w:rsidRPr="00C861EF" w:rsidRDefault="00394125" w:rsidP="00394125">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C861EF">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sidRPr="00C861EF">
        <w:rPr>
          <w:rStyle w:val="normaltextrun"/>
          <w:rFonts w:ascii="Verdana" w:hAnsi="Verdana" w:cs="Arial"/>
          <w:color w:val="FF0000"/>
          <w:shd w:val="clear" w:color="auto" w:fill="FFFFFF"/>
          <w:lang w:val="es-ES"/>
        </w:rPr>
        <w:t xml:space="preserve"> </w:t>
      </w:r>
      <w:hyperlink r:id="rId14" w:history="1">
        <w:r w:rsidRPr="00C861EF">
          <w:rPr>
            <w:rStyle w:val="Hipervnculo"/>
            <w:rFonts w:ascii="Verdana" w:hAnsi="Verdana" w:cs="Arial"/>
            <w:color w:val="4472C4" w:themeColor="accent1"/>
            <w:shd w:val="clear" w:color="auto" w:fill="FFFFFF"/>
            <w:lang w:val="es-ES"/>
          </w:rPr>
          <w:t>https://www.colombiacompra.gov.co/sala-de-prensa/boletin-digital</w:t>
        </w:r>
      </w:hyperlink>
      <w:r w:rsidRPr="00C861EF">
        <w:rPr>
          <w:rStyle w:val="normaltextrun"/>
          <w:rFonts w:ascii="Verdana" w:hAnsi="Verdana" w:cs="Arial"/>
          <w:color w:val="4472C4" w:themeColor="accent1"/>
          <w:shd w:val="clear" w:color="auto" w:fill="FFFFFF"/>
          <w:lang w:val="es-ES"/>
        </w:rPr>
        <w:t xml:space="preserve">      </w:t>
      </w:r>
    </w:p>
    <w:p w14:paraId="1242B168" w14:textId="77777777" w:rsidR="00394125" w:rsidRPr="00C861EF" w:rsidRDefault="00394125" w:rsidP="00394125">
      <w:pPr>
        <w:spacing w:after="0" w:line="240" w:lineRule="auto"/>
        <w:jc w:val="both"/>
        <w:rPr>
          <w:rFonts w:ascii="Verdana" w:hAnsi="Verdana"/>
        </w:rPr>
      </w:pPr>
      <w:r w:rsidRPr="00C861EF">
        <w:rPr>
          <w:rFonts w:ascii="Verdana" w:hAnsi="Verdana"/>
        </w:rPr>
        <w:t xml:space="preserve">Por último, lo invitamos a seguirnos en las redes sociales en las cuales se difunde información institucional: </w:t>
      </w:r>
    </w:p>
    <w:p w14:paraId="239CA8D7" w14:textId="77777777" w:rsidR="00394125" w:rsidRPr="00C861EF" w:rsidRDefault="00394125" w:rsidP="00394125">
      <w:pPr>
        <w:spacing w:after="0" w:line="240" w:lineRule="auto"/>
        <w:jc w:val="both"/>
        <w:rPr>
          <w:rFonts w:ascii="Verdana" w:hAnsi="Verdana"/>
        </w:rPr>
      </w:pPr>
    </w:p>
    <w:p w14:paraId="4C061393" w14:textId="77777777" w:rsidR="00394125" w:rsidRPr="00C861EF" w:rsidRDefault="00394125" w:rsidP="00394125">
      <w:pPr>
        <w:spacing w:after="0" w:line="240" w:lineRule="auto"/>
        <w:jc w:val="both"/>
        <w:rPr>
          <w:rFonts w:ascii="Verdana" w:hAnsi="Verdana"/>
        </w:rPr>
      </w:pPr>
      <w:r w:rsidRPr="00C861EF">
        <w:rPr>
          <w:rFonts w:ascii="Verdana" w:hAnsi="Verdana"/>
        </w:rPr>
        <w:t xml:space="preserve">Twitter: </w:t>
      </w:r>
      <w:r w:rsidRPr="00C861EF">
        <w:rPr>
          <w:rStyle w:val="Hipervnculo"/>
          <w:rFonts w:ascii="Verdana" w:hAnsi="Verdana"/>
          <w:color w:val="4472C4" w:themeColor="accent1"/>
        </w:rPr>
        <w:t>@colombiacompra</w:t>
      </w:r>
      <w:r w:rsidRPr="00C861EF">
        <w:rPr>
          <w:rFonts w:ascii="Verdana" w:hAnsi="Verdana"/>
          <w:color w:val="4472C4" w:themeColor="accent1"/>
        </w:rPr>
        <w:t xml:space="preserve"> </w:t>
      </w:r>
    </w:p>
    <w:p w14:paraId="2029D595" w14:textId="77777777" w:rsidR="00394125" w:rsidRPr="00C861EF" w:rsidRDefault="00394125" w:rsidP="00394125">
      <w:pPr>
        <w:spacing w:after="0" w:line="240" w:lineRule="auto"/>
        <w:jc w:val="both"/>
        <w:rPr>
          <w:rFonts w:ascii="Verdana" w:hAnsi="Verdana"/>
        </w:rPr>
      </w:pPr>
      <w:r w:rsidRPr="00C861EF">
        <w:rPr>
          <w:rFonts w:ascii="Verdana" w:hAnsi="Verdana"/>
        </w:rPr>
        <w:t xml:space="preserve">Facebook: </w:t>
      </w:r>
      <w:r w:rsidRPr="00C861EF">
        <w:rPr>
          <w:rStyle w:val="Hipervnculo"/>
          <w:rFonts w:ascii="Verdana" w:hAnsi="Verdana"/>
          <w:color w:val="4472C4" w:themeColor="accent1"/>
        </w:rPr>
        <w:t>ColombiaCompraEficiente</w:t>
      </w:r>
    </w:p>
    <w:p w14:paraId="7FF36D2C" w14:textId="77777777" w:rsidR="00394125" w:rsidRPr="00C861EF" w:rsidRDefault="00394125" w:rsidP="00394125">
      <w:pPr>
        <w:spacing w:after="0" w:line="240" w:lineRule="auto"/>
        <w:jc w:val="both"/>
        <w:rPr>
          <w:rFonts w:ascii="Verdana" w:hAnsi="Verdana"/>
        </w:rPr>
      </w:pPr>
      <w:r w:rsidRPr="00C861EF">
        <w:rPr>
          <w:rFonts w:ascii="Verdana" w:hAnsi="Verdana"/>
        </w:rPr>
        <w:t xml:space="preserve">LinkedIn: </w:t>
      </w:r>
      <w:r w:rsidRPr="00C861EF">
        <w:rPr>
          <w:rStyle w:val="Hipervnculo"/>
          <w:rFonts w:ascii="Verdana" w:hAnsi="Verdana"/>
          <w:color w:val="4472C4" w:themeColor="accent1"/>
        </w:rPr>
        <w:t>Agencia Nacional de Contratación Pública - Colombia Compra Eficiente</w:t>
      </w:r>
      <w:r w:rsidRPr="00C861EF">
        <w:rPr>
          <w:rFonts w:ascii="Verdana" w:hAnsi="Verdana"/>
          <w:color w:val="4472C4" w:themeColor="accent1"/>
        </w:rPr>
        <w:t xml:space="preserve"> </w:t>
      </w:r>
      <w:r w:rsidRPr="00C861EF">
        <w:rPr>
          <w:rFonts w:ascii="Verdana" w:hAnsi="Verdana"/>
        </w:rPr>
        <w:t xml:space="preserve">Instagram: </w:t>
      </w:r>
      <w:r w:rsidRPr="00C861EF">
        <w:rPr>
          <w:rStyle w:val="Hipervnculo"/>
          <w:rFonts w:ascii="Verdana" w:hAnsi="Verdana"/>
          <w:color w:val="4472C4" w:themeColor="accent1"/>
        </w:rPr>
        <w:t>@colombiacompraeficiente_cce</w:t>
      </w:r>
    </w:p>
    <w:p w14:paraId="38B02C18" w14:textId="77777777" w:rsidR="00394125" w:rsidRPr="00C861EF" w:rsidRDefault="00394125" w:rsidP="00394125">
      <w:pPr>
        <w:widowControl w:val="0"/>
        <w:autoSpaceDE w:val="0"/>
        <w:autoSpaceDN w:val="0"/>
        <w:spacing w:after="0" w:line="276" w:lineRule="auto"/>
        <w:jc w:val="both"/>
        <w:rPr>
          <w:rFonts w:ascii="Verdana" w:hAnsi="Verdana" w:cs="Arial"/>
        </w:rPr>
      </w:pPr>
    </w:p>
    <w:p w14:paraId="599858FA" w14:textId="77777777" w:rsidR="00394125" w:rsidRPr="00C861EF" w:rsidRDefault="00394125" w:rsidP="00394125">
      <w:pPr>
        <w:widowControl w:val="0"/>
        <w:autoSpaceDE w:val="0"/>
        <w:autoSpaceDN w:val="0"/>
        <w:spacing w:after="0" w:line="276" w:lineRule="auto"/>
        <w:jc w:val="both"/>
        <w:rPr>
          <w:rFonts w:ascii="Verdana" w:hAnsi="Verdana" w:cs="Arial"/>
          <w:lang w:val="es-ES_tradnl"/>
        </w:rPr>
      </w:pPr>
      <w:r w:rsidRPr="00C861EF">
        <w:rPr>
          <w:rFonts w:ascii="Verdana" w:hAnsi="Verdana" w:cs="Arial"/>
        </w:rPr>
        <w:t xml:space="preserve">Este concepto tiene el alcance previsto en el artículo 28 del Código de Procedimiento Administrativo y de lo Contencioso Administrativo </w:t>
      </w:r>
      <w:r w:rsidRPr="00C861EF">
        <w:rPr>
          <w:rFonts w:ascii="Verdana" w:hAnsi="Verdana" w:cs="Arial"/>
          <w:lang w:val="es-ES_tradnl"/>
        </w:rPr>
        <w:t>y las expresiones aquí utilizadas con mayúscula inicial deben ser entendidas con el significado que les otorga el artículo 2.2.1.1.1.3.1. del Decreto 1082 de 2015.</w:t>
      </w:r>
    </w:p>
    <w:p w14:paraId="449A5ADE" w14:textId="77777777" w:rsidR="00394125" w:rsidRPr="00C861EF" w:rsidRDefault="00394125" w:rsidP="00394125">
      <w:pPr>
        <w:widowControl w:val="0"/>
        <w:autoSpaceDE w:val="0"/>
        <w:autoSpaceDN w:val="0"/>
        <w:spacing w:after="0" w:line="276" w:lineRule="auto"/>
        <w:jc w:val="both"/>
        <w:rPr>
          <w:rFonts w:ascii="Verdana" w:hAnsi="Verdana" w:cs="Arial"/>
        </w:rPr>
      </w:pPr>
    </w:p>
    <w:p w14:paraId="709CCDA3" w14:textId="77777777" w:rsidR="00394125" w:rsidRPr="00C861EF" w:rsidRDefault="00394125" w:rsidP="00394125">
      <w:pPr>
        <w:spacing w:after="0" w:line="240" w:lineRule="auto"/>
        <w:rPr>
          <w:rFonts w:ascii="Verdana" w:hAnsi="Verdana" w:cs="Arial"/>
          <w:lang w:eastAsia="es-CO"/>
        </w:rPr>
      </w:pPr>
      <w:r w:rsidRPr="00C861EF">
        <w:rPr>
          <w:rFonts w:ascii="Verdana" w:eastAsia="Times New Roman" w:hAnsi="Verdana" w:cs="Arial"/>
          <w:lang w:eastAsia="es-CO"/>
        </w:rPr>
        <w:t>Atentamente,</w:t>
      </w:r>
      <w:r w:rsidRPr="00C861EF">
        <w:rPr>
          <w:rFonts w:ascii="Verdana" w:hAnsi="Verdana" w:cs="Arial"/>
          <w:lang w:eastAsia="es-CO"/>
        </w:rPr>
        <w:t xml:space="preserve"> </w:t>
      </w:r>
    </w:p>
    <w:p w14:paraId="4A89E1FF" w14:textId="4DC77C24" w:rsidR="00394125" w:rsidRPr="00C861EF" w:rsidRDefault="001B4A38" w:rsidP="00394125">
      <w:pPr>
        <w:spacing w:line="276" w:lineRule="auto"/>
        <w:jc w:val="center"/>
        <w:rPr>
          <w:rFonts w:ascii="Verdana" w:hAnsi="Verdana" w:cs="Arial"/>
          <w:lang w:val="es-ES_tradnl" w:eastAsia="es-CO"/>
        </w:rPr>
      </w:pPr>
      <w:r>
        <w:rPr>
          <w:noProof/>
        </w:rPr>
        <w:drawing>
          <wp:inline distT="0" distB="0" distL="0" distR="0" wp14:anchorId="4DAFE372" wp14:editId="6FB57AB5">
            <wp:extent cx="3771429" cy="1400000"/>
            <wp:effectExtent l="0" t="0" r="635" b="0"/>
            <wp:docPr id="3185049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504918" name=""/>
                    <pic:cNvPicPr/>
                  </pic:nvPicPr>
                  <pic:blipFill>
                    <a:blip r:embed="rId15"/>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394125" w:rsidRPr="00C861EF" w14:paraId="7A6CD648" w14:textId="77777777" w:rsidTr="00C21F74">
        <w:trPr>
          <w:trHeight w:val="315"/>
        </w:trPr>
        <w:tc>
          <w:tcPr>
            <w:tcW w:w="893" w:type="dxa"/>
            <w:vAlign w:val="center"/>
            <w:hideMark/>
          </w:tcPr>
          <w:p w14:paraId="26AFD02D" w14:textId="77777777" w:rsidR="00394125" w:rsidRPr="00C861EF" w:rsidRDefault="00394125" w:rsidP="00C21F74">
            <w:pPr>
              <w:contextualSpacing/>
              <w:rPr>
                <w:rFonts w:ascii="Verdana" w:hAnsi="Verdana" w:cs="Arial"/>
                <w:sz w:val="16"/>
                <w:szCs w:val="16"/>
                <w:lang w:val="es-ES" w:eastAsia="es-ES"/>
              </w:rPr>
            </w:pPr>
            <w:r w:rsidRPr="00C861EF">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41D20E56" w14:textId="77777777" w:rsidR="00394125" w:rsidRPr="00C861EF" w:rsidRDefault="00394125" w:rsidP="00C21F74">
            <w:pPr>
              <w:contextualSpacing/>
              <w:rPr>
                <w:rStyle w:val="normaltextrun"/>
                <w:rFonts w:ascii="Verdana" w:hAnsi="Verdana"/>
                <w:sz w:val="16"/>
                <w:szCs w:val="16"/>
              </w:rPr>
            </w:pPr>
            <w:r w:rsidRPr="00C861EF">
              <w:rPr>
                <w:rStyle w:val="normaltextrun"/>
                <w:rFonts w:ascii="Verdana" w:hAnsi="Verdana"/>
                <w:sz w:val="16"/>
                <w:szCs w:val="16"/>
              </w:rPr>
              <w:t>Santiago Alberto Herrera Morillo</w:t>
            </w:r>
          </w:p>
          <w:p w14:paraId="327CD7BA" w14:textId="77777777" w:rsidR="00394125" w:rsidRPr="00C861EF" w:rsidRDefault="00394125" w:rsidP="00C21F74">
            <w:pPr>
              <w:contextualSpacing/>
              <w:rPr>
                <w:rFonts w:ascii="Verdana" w:eastAsia="Arial" w:hAnsi="Verdana" w:cs="Arial"/>
                <w:sz w:val="16"/>
                <w:szCs w:val="16"/>
              </w:rPr>
            </w:pPr>
            <w:r w:rsidRPr="00C861EF">
              <w:rPr>
                <w:rStyle w:val="normaltextrun"/>
                <w:rFonts w:ascii="Verdana" w:hAnsi="Verdana"/>
                <w:sz w:val="16"/>
                <w:szCs w:val="16"/>
              </w:rPr>
              <w:t xml:space="preserve">Analista T2-02 </w:t>
            </w:r>
            <w:r w:rsidRPr="00C861EF">
              <w:rPr>
                <w:rStyle w:val="normaltextrun"/>
                <w:rFonts w:ascii="Verdana" w:eastAsia="Arial" w:hAnsi="Verdana" w:cs="Arial"/>
                <w:sz w:val="16"/>
                <w:szCs w:val="16"/>
              </w:rPr>
              <w:t>de la Subdirección de Gestión Contractual</w:t>
            </w:r>
          </w:p>
        </w:tc>
      </w:tr>
      <w:tr w:rsidR="00394125" w:rsidRPr="00C861EF" w14:paraId="0A3F698A" w14:textId="77777777" w:rsidTr="00C21F74">
        <w:trPr>
          <w:trHeight w:val="330"/>
        </w:trPr>
        <w:tc>
          <w:tcPr>
            <w:tcW w:w="893" w:type="dxa"/>
            <w:vAlign w:val="center"/>
            <w:hideMark/>
          </w:tcPr>
          <w:p w14:paraId="3C656E95" w14:textId="77777777" w:rsidR="00394125" w:rsidRPr="00C861EF" w:rsidRDefault="00394125" w:rsidP="00C21F74">
            <w:pPr>
              <w:contextualSpacing/>
              <w:rPr>
                <w:rFonts w:ascii="Verdana" w:hAnsi="Verdana" w:cs="Arial"/>
                <w:sz w:val="16"/>
                <w:szCs w:val="16"/>
                <w:lang w:val="es-ES" w:eastAsia="es-ES"/>
              </w:rPr>
            </w:pPr>
            <w:r w:rsidRPr="00C861EF">
              <w:rPr>
                <w:rFonts w:ascii="Verdana" w:hAnsi="Verdana" w:cs="Arial"/>
                <w:sz w:val="16"/>
                <w:szCs w:val="16"/>
                <w:lang w:val="es-ES" w:eastAsia="es-ES"/>
              </w:rPr>
              <w:lastRenderedPageBreak/>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1A502FA9" w14:textId="77777777" w:rsidR="00394125" w:rsidRPr="00C861EF" w:rsidRDefault="00394125" w:rsidP="00C21F74">
            <w:pPr>
              <w:pStyle w:val="paragraph"/>
              <w:spacing w:before="0" w:beforeAutospacing="0" w:after="0" w:afterAutospacing="0"/>
              <w:contextualSpacing/>
              <w:textAlignment w:val="baseline"/>
              <w:rPr>
                <w:rStyle w:val="normaltextrun"/>
                <w:rFonts w:ascii="Verdana" w:hAnsi="Verdana" w:cs="Arial"/>
                <w:sz w:val="16"/>
                <w:szCs w:val="16"/>
                <w:lang w:val="es-ES"/>
              </w:rPr>
            </w:pPr>
            <w:r w:rsidRPr="00C861EF">
              <w:rPr>
                <w:rStyle w:val="normaltextrun"/>
                <w:rFonts w:ascii="Verdana" w:hAnsi="Verdana" w:cs="Arial"/>
                <w:sz w:val="16"/>
                <w:szCs w:val="16"/>
                <w:lang w:val="es-ES"/>
              </w:rPr>
              <w:t>Cielo Victoria González Meza</w:t>
            </w:r>
          </w:p>
          <w:p w14:paraId="11411E98" w14:textId="77777777" w:rsidR="00394125" w:rsidRPr="00C861EF" w:rsidRDefault="00394125" w:rsidP="00C21F74">
            <w:pPr>
              <w:pStyle w:val="paragraph"/>
              <w:spacing w:before="0" w:beforeAutospacing="0" w:after="0" w:afterAutospacing="0"/>
              <w:contextualSpacing/>
              <w:textAlignment w:val="baseline"/>
              <w:rPr>
                <w:rFonts w:ascii="Verdana" w:hAnsi="Verdana" w:cs="Segoe UI"/>
                <w:sz w:val="16"/>
                <w:szCs w:val="16"/>
              </w:rPr>
            </w:pPr>
            <w:r w:rsidRPr="00C861EF">
              <w:rPr>
                <w:rStyle w:val="normaltextrun"/>
                <w:rFonts w:ascii="Verdana" w:hAnsi="Verdana" w:cs="Arial"/>
                <w:sz w:val="16"/>
                <w:szCs w:val="16"/>
                <w:lang w:val="es-ES"/>
              </w:rPr>
              <w:t>Contratista de la Subdirección de Gestión Contractual</w:t>
            </w:r>
            <w:r w:rsidRPr="00C861EF">
              <w:rPr>
                <w:rStyle w:val="eop"/>
                <w:rFonts w:ascii="Verdana" w:hAnsi="Verdana" w:cs="Arial"/>
                <w:sz w:val="16"/>
                <w:szCs w:val="16"/>
              </w:rPr>
              <w:t> </w:t>
            </w:r>
          </w:p>
        </w:tc>
      </w:tr>
      <w:tr w:rsidR="00394125" w:rsidRPr="00C861EF" w14:paraId="2B5D2390" w14:textId="77777777" w:rsidTr="00C21F74">
        <w:trPr>
          <w:trHeight w:val="300"/>
        </w:trPr>
        <w:tc>
          <w:tcPr>
            <w:tcW w:w="893" w:type="dxa"/>
            <w:vAlign w:val="center"/>
          </w:tcPr>
          <w:p w14:paraId="3DC08F13" w14:textId="77777777" w:rsidR="00394125" w:rsidRPr="00C861EF" w:rsidRDefault="00394125" w:rsidP="00C21F74">
            <w:pPr>
              <w:contextualSpacing/>
              <w:rPr>
                <w:rFonts w:ascii="Verdana" w:hAnsi="Verdana" w:cs="Arial"/>
                <w:sz w:val="16"/>
                <w:szCs w:val="16"/>
                <w:lang w:val="es-ES" w:eastAsia="es-ES"/>
              </w:rPr>
            </w:pPr>
            <w:r w:rsidRPr="00C861EF">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1F3DB1BB" w14:textId="77777777" w:rsidR="00394125" w:rsidRPr="00C861EF" w:rsidRDefault="00394125" w:rsidP="00C21F74">
            <w:pPr>
              <w:contextualSpacing/>
              <w:rPr>
                <w:rFonts w:ascii="Verdana" w:eastAsia="Calibri" w:hAnsi="Verdana" w:cs="Arial"/>
                <w:sz w:val="16"/>
                <w:szCs w:val="16"/>
                <w:lang w:val="pt-BR" w:eastAsia="es-ES"/>
              </w:rPr>
            </w:pPr>
            <w:r w:rsidRPr="00C861EF">
              <w:rPr>
                <w:rFonts w:ascii="Verdana" w:eastAsia="Calibri" w:hAnsi="Verdana" w:cs="Arial"/>
                <w:sz w:val="16"/>
                <w:szCs w:val="16"/>
                <w:lang w:val="pt-BR" w:eastAsia="es-ES"/>
              </w:rPr>
              <w:t>Carolina Quintero Gacharná</w:t>
            </w:r>
          </w:p>
          <w:p w14:paraId="1CD82701" w14:textId="77777777" w:rsidR="00394125" w:rsidRPr="00C861EF" w:rsidRDefault="00394125" w:rsidP="00C21F74">
            <w:pPr>
              <w:contextualSpacing/>
              <w:rPr>
                <w:rFonts w:ascii="Verdana" w:eastAsia="Calibri" w:hAnsi="Verdana" w:cs="Arial"/>
                <w:sz w:val="16"/>
                <w:szCs w:val="16"/>
                <w:lang w:val="pt-BR" w:eastAsia="es-ES"/>
              </w:rPr>
            </w:pPr>
            <w:r w:rsidRPr="00C861EF">
              <w:rPr>
                <w:rFonts w:ascii="Verdana" w:eastAsia="Calibri" w:hAnsi="Verdana" w:cs="Arial"/>
                <w:sz w:val="16"/>
                <w:szCs w:val="16"/>
                <w:lang w:eastAsia="es-ES"/>
              </w:rPr>
              <w:t>Subdirectora</w:t>
            </w:r>
            <w:r w:rsidRPr="00C861EF">
              <w:rPr>
                <w:rFonts w:ascii="Verdana" w:eastAsia="Calibri" w:hAnsi="Verdana" w:cs="Arial"/>
                <w:sz w:val="16"/>
                <w:szCs w:val="16"/>
                <w:lang w:val="pt-BR" w:eastAsia="es-ES"/>
              </w:rPr>
              <w:t xml:space="preserve"> de Gestión Contractual ANCP – CCE</w:t>
            </w:r>
          </w:p>
        </w:tc>
      </w:tr>
    </w:tbl>
    <w:p w14:paraId="2F2A08C1" w14:textId="77777777" w:rsidR="00394125" w:rsidRPr="00C861EF" w:rsidRDefault="00394125" w:rsidP="00394125">
      <w:pPr>
        <w:spacing w:after="0" w:line="240" w:lineRule="auto"/>
        <w:rPr>
          <w:rFonts w:ascii="Verdana" w:eastAsia="Times New Roman" w:hAnsi="Verdana" w:cs="Arial"/>
          <w:sz w:val="24"/>
          <w:szCs w:val="24"/>
          <w:lang w:eastAsia="es-ES"/>
        </w:rPr>
      </w:pPr>
    </w:p>
    <w:p w14:paraId="7A9EABDA" w14:textId="77777777" w:rsidR="00394125" w:rsidRPr="00C861EF" w:rsidRDefault="00394125" w:rsidP="00394125">
      <w:pPr>
        <w:rPr>
          <w:rFonts w:ascii="Verdana" w:hAnsi="Verdana"/>
        </w:rPr>
      </w:pPr>
    </w:p>
    <w:p w14:paraId="0F293BF4" w14:textId="1A778D3F" w:rsidR="00127233" w:rsidRPr="00C861EF" w:rsidRDefault="00127233" w:rsidP="00394125">
      <w:pPr>
        <w:rPr>
          <w:rFonts w:ascii="Verdana" w:hAnsi="Verdana"/>
        </w:rPr>
      </w:pPr>
    </w:p>
    <w:sectPr w:rsidR="00127233" w:rsidRPr="00C861EF"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C1929" w14:textId="77777777" w:rsidR="002107D9" w:rsidRDefault="002107D9" w:rsidP="004A1847">
      <w:pPr>
        <w:spacing w:after="0" w:line="240" w:lineRule="auto"/>
      </w:pPr>
      <w:r>
        <w:separator/>
      </w:r>
    </w:p>
  </w:endnote>
  <w:endnote w:type="continuationSeparator" w:id="0">
    <w:p w14:paraId="64D19E72" w14:textId="77777777" w:rsidR="002107D9" w:rsidRDefault="002107D9"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sidR="00E740BF" w:rsidRPr="00E740BF">
      <w:rPr>
        <w:rFonts w:ascii="Verdana" w:eastAsiaTheme="minorEastAsia" w:hAnsi="Verdana"/>
        <w:b/>
        <w:bCs/>
        <w:noProof/>
        <w:sz w:val="16"/>
        <w:szCs w:val="16"/>
      </w:rPr>
      <w:t>15</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C21F74" w:rsidRDefault="00C21F74">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902AE" w14:textId="77777777" w:rsidR="002107D9" w:rsidRDefault="002107D9" w:rsidP="004A1847">
      <w:pPr>
        <w:spacing w:after="0" w:line="240" w:lineRule="auto"/>
      </w:pPr>
      <w:r>
        <w:separator/>
      </w:r>
    </w:p>
  </w:footnote>
  <w:footnote w:type="continuationSeparator" w:id="0">
    <w:p w14:paraId="7BF9651A" w14:textId="77777777" w:rsidR="002107D9" w:rsidRDefault="002107D9" w:rsidP="004A1847">
      <w:pPr>
        <w:spacing w:after="0" w:line="240" w:lineRule="auto"/>
      </w:pPr>
      <w:r>
        <w:continuationSeparator/>
      </w:r>
    </w:p>
  </w:footnote>
  <w:footnote w:id="1">
    <w:p w14:paraId="16DCA582" w14:textId="4FA29C5D" w:rsidR="00376E31" w:rsidRPr="00045DDA" w:rsidRDefault="00376E31" w:rsidP="00045DDA">
      <w:pPr>
        <w:pStyle w:val="Textonotapie"/>
        <w:jc w:val="both"/>
        <w:rPr>
          <w:rFonts w:ascii="Verdana" w:hAnsi="Verdana"/>
          <w:sz w:val="14"/>
          <w:szCs w:val="14"/>
          <w:lang w:val="es-ES"/>
        </w:rPr>
      </w:pPr>
      <w:r w:rsidRPr="00045DDA">
        <w:rPr>
          <w:rStyle w:val="Refdenotaalpie"/>
          <w:rFonts w:ascii="Verdana" w:hAnsi="Verdana"/>
          <w:sz w:val="14"/>
          <w:szCs w:val="14"/>
        </w:rPr>
        <w:footnoteRef/>
      </w:r>
      <w:r w:rsidRPr="00045DDA">
        <w:rPr>
          <w:rFonts w:ascii="Verdana" w:hAnsi="Verdana"/>
          <w:sz w:val="14"/>
          <w:szCs w:val="14"/>
        </w:rPr>
        <w:t xml:space="preserve"> </w:t>
      </w:r>
      <w:r w:rsidRPr="00045DDA">
        <w:rPr>
          <w:rFonts w:ascii="Verdana" w:hAnsi="Verdana"/>
          <w:sz w:val="14"/>
          <w:szCs w:val="14"/>
          <w:lang w:val="es-ES"/>
        </w:rPr>
        <w:t>Numeral 12 del artículo 30 de la Ley 80 de 1993.</w:t>
      </w:r>
    </w:p>
  </w:footnote>
  <w:footnote w:id="2">
    <w:p w14:paraId="26F63B6E" w14:textId="77777777" w:rsidR="00394125" w:rsidRPr="00045DDA" w:rsidRDefault="00394125" w:rsidP="00045DDA">
      <w:pPr>
        <w:pStyle w:val="NormalWeb"/>
        <w:spacing w:after="0"/>
        <w:ind w:firstLine="709"/>
        <w:contextualSpacing/>
        <w:jc w:val="both"/>
        <w:rPr>
          <w:rFonts w:ascii="Verdana" w:hAnsi="Verdana" w:cs="Arial"/>
          <w:sz w:val="14"/>
          <w:szCs w:val="14"/>
        </w:rPr>
      </w:pPr>
      <w:r w:rsidRPr="00045DDA">
        <w:rPr>
          <w:rStyle w:val="Refdenotaalpie"/>
          <w:rFonts w:ascii="Verdana" w:hAnsi="Verdana" w:cs="Arial"/>
          <w:sz w:val="14"/>
          <w:szCs w:val="14"/>
        </w:rPr>
        <w:footnoteRef/>
      </w:r>
      <w:r w:rsidRPr="00045DDA">
        <w:rPr>
          <w:rFonts w:ascii="Verdana" w:hAnsi="Verdana" w:cs="Arial"/>
          <w:sz w:val="14"/>
          <w:szCs w:val="14"/>
        </w:rPr>
        <w:t xml:space="preserve"> </w:t>
      </w:r>
      <w:r w:rsidRPr="00045DDA">
        <w:rPr>
          <w:rFonts w:ascii="Verdana" w:hAnsi="Verdana" w:cs="Arial"/>
          <w:sz w:val="14"/>
          <w:szCs w:val="14"/>
          <w:lang w:val="es-ES"/>
        </w:rPr>
        <w:t>“</w:t>
      </w:r>
      <w:r w:rsidRPr="00045DDA">
        <w:rPr>
          <w:rFonts w:ascii="Verdana" w:hAnsi="Verdana" w:cs="Arial"/>
          <w:sz w:val="14"/>
          <w:szCs w:val="14"/>
        </w:rPr>
        <w:t xml:space="preserve">Para poder participar en los procesos de selección de los contratos de obra, la capacidad residual del proponente o K de contratación deberá ser igual o superior al que la entidad haya establecido para el efecto en los pliegos de condiciones. </w:t>
      </w:r>
    </w:p>
    <w:p w14:paraId="4F52C45A" w14:textId="77777777" w:rsidR="00394125" w:rsidRPr="00045DDA" w:rsidRDefault="00394125" w:rsidP="00045DDA">
      <w:pPr>
        <w:pStyle w:val="NormalWeb"/>
        <w:spacing w:after="0"/>
        <w:ind w:firstLine="709"/>
        <w:contextualSpacing/>
        <w:jc w:val="both"/>
        <w:rPr>
          <w:rFonts w:ascii="Verdana" w:hAnsi="Verdana" w:cs="Arial"/>
          <w:sz w:val="14"/>
          <w:szCs w:val="14"/>
        </w:rPr>
      </w:pPr>
    </w:p>
    <w:p w14:paraId="35437EEC" w14:textId="77777777" w:rsidR="00394125" w:rsidRPr="00045DDA" w:rsidRDefault="00394125" w:rsidP="00045DDA">
      <w:pPr>
        <w:spacing w:after="0" w:line="240" w:lineRule="auto"/>
        <w:ind w:firstLine="709"/>
        <w:contextualSpacing/>
        <w:jc w:val="both"/>
        <w:rPr>
          <w:rFonts w:ascii="Verdana" w:hAnsi="Verdana" w:cs="Arial"/>
          <w:sz w:val="14"/>
          <w:szCs w:val="14"/>
        </w:rPr>
      </w:pPr>
      <w:r w:rsidRPr="00045DDA">
        <w:rPr>
          <w:rFonts w:ascii="Verdana" w:hAnsi="Verdana" w:cs="Arial"/>
          <w:sz w:val="14"/>
          <w:szCs w:val="14"/>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footnote>
  <w:footnote w:id="3">
    <w:p w14:paraId="7968EF7C" w14:textId="77777777" w:rsidR="00394125" w:rsidRPr="00045DDA" w:rsidRDefault="00394125" w:rsidP="00045DDA">
      <w:pPr>
        <w:pStyle w:val="NormalWeb"/>
        <w:spacing w:after="0"/>
        <w:ind w:firstLine="709"/>
        <w:contextualSpacing/>
        <w:jc w:val="both"/>
        <w:rPr>
          <w:rFonts w:ascii="Verdana" w:hAnsi="Verdana" w:cs="Arial"/>
          <w:sz w:val="14"/>
          <w:szCs w:val="14"/>
          <w:lang w:val="es-ES"/>
        </w:rPr>
      </w:pPr>
      <w:r w:rsidRPr="00045DDA">
        <w:rPr>
          <w:rStyle w:val="Refdenotaalpie"/>
          <w:rFonts w:ascii="Verdana" w:hAnsi="Verdana" w:cs="Arial"/>
          <w:sz w:val="14"/>
          <w:szCs w:val="14"/>
        </w:rPr>
        <w:footnoteRef/>
      </w:r>
      <w:r w:rsidRPr="00045DDA">
        <w:rPr>
          <w:rStyle w:val="Refdenotaalpie"/>
          <w:rFonts w:ascii="Verdana" w:hAnsi="Verdana" w:cs="Arial"/>
          <w:sz w:val="14"/>
          <w:szCs w:val="14"/>
        </w:rPr>
        <w:t xml:space="preserve"> “</w:t>
      </w:r>
      <w:r w:rsidRPr="00045DDA">
        <w:rPr>
          <w:rFonts w:ascii="Verdana" w:hAnsi="Verdana" w:cs="Arial"/>
          <w:sz w:val="14"/>
          <w:szCs w:val="14"/>
          <w:lang w:val="es-ES"/>
        </w:rPr>
        <w:t>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49B85A63" w14:textId="5A22A788" w:rsidR="00394125" w:rsidRPr="00045DDA" w:rsidRDefault="00E41DB5" w:rsidP="00045DDA">
      <w:pPr>
        <w:pStyle w:val="NormalWeb"/>
        <w:spacing w:after="0"/>
        <w:ind w:firstLine="709"/>
        <w:contextualSpacing/>
        <w:jc w:val="both"/>
        <w:rPr>
          <w:rFonts w:ascii="Verdana" w:hAnsi="Verdana" w:cs="Arial"/>
          <w:sz w:val="14"/>
          <w:szCs w:val="14"/>
          <w:lang w:val="es-ES"/>
        </w:rPr>
      </w:pPr>
      <w:r w:rsidRPr="00045DDA">
        <w:rPr>
          <w:rFonts w:ascii="Verdana" w:hAnsi="Verdana" w:cs="Arial"/>
          <w:sz w:val="14"/>
          <w:szCs w:val="14"/>
          <w:lang w:val="es-ES"/>
        </w:rPr>
        <w:t>“Parágrafo</w:t>
      </w:r>
      <w:r w:rsidR="00394125" w:rsidRPr="00045DDA">
        <w:rPr>
          <w:rFonts w:ascii="Verdana" w:hAnsi="Verdana" w:cs="Arial"/>
          <w:sz w:val="14"/>
          <w:szCs w:val="14"/>
          <w:lang w:val="es-ES"/>
        </w:rPr>
        <w:t xml:space="preserve"> Transitorio. </w:t>
      </w:r>
      <w:hyperlink r:id="rId1" w:tgtFrame="_blank" w:history="1"/>
      <w:r w:rsidR="00394125" w:rsidRPr="00045DDA">
        <w:rPr>
          <w:rFonts w:ascii="Verdana" w:hAnsi="Verdana" w:cs="Arial"/>
          <w:sz w:val="14"/>
          <w:szCs w:val="14"/>
          <w:lang w:val="es-ES"/>
        </w:rPr>
        <w:t>De conformidad con los parágrafos transitorios de los artículos 2.2.1.1.1.5.2. y 2.2.1.1.1.5.6., yen desarrollo del deber de análisis de las Entidades Estatales, de que trata el artículo 2.2.1.1.1.6.1. de este Decreto, a partir del 1 de julio de 2021 las Entidades Estatales establecerán y evaluarán los requisitos habilitantes de capacidad financiera y organizacional teniendo en cuenta la información que conste en el Registro Único de Proponentes. En todo caso, se establecerán indicadores proporcionales al procedimiento de contratación.  </w:t>
      </w:r>
    </w:p>
    <w:p w14:paraId="407068FF" w14:textId="0FFC5FF0" w:rsidR="00394125" w:rsidRPr="00045DDA" w:rsidRDefault="00394125" w:rsidP="00045DDA">
      <w:pPr>
        <w:pStyle w:val="NormalWeb"/>
        <w:spacing w:after="0"/>
        <w:ind w:firstLine="709"/>
        <w:contextualSpacing/>
        <w:jc w:val="both"/>
        <w:rPr>
          <w:rFonts w:ascii="Verdana" w:hAnsi="Verdana" w:cs="Arial"/>
          <w:sz w:val="14"/>
          <w:szCs w:val="14"/>
          <w:lang w:val="es-ES"/>
        </w:rPr>
      </w:pPr>
      <w:r w:rsidRPr="00045DDA">
        <w:rPr>
          <w:rFonts w:ascii="Verdana" w:hAnsi="Verdana" w:cs="Arial"/>
          <w:sz w:val="14"/>
          <w:szCs w:val="14"/>
          <w:lang w:val="es-ES"/>
        </w:rPr>
        <w:t>“Para ello, atendiendo a las condiciones aludidas, en relación con los indicadores de la capacidad financiera y organizacional, de los procesos de selección cuyo acto administrativo de apertura o invitación se publique a partir del 1 de julio de 2021, se tendrá en cuenta la información vigente y en firme en el RUP, por lo que las Entidades Estatales evaluarán estos </w:t>
      </w:r>
      <w:r w:rsidR="00E41DB5" w:rsidRPr="00045DDA">
        <w:rPr>
          <w:rFonts w:ascii="Verdana" w:hAnsi="Verdana" w:cs="Arial"/>
          <w:sz w:val="14"/>
          <w:szCs w:val="14"/>
          <w:lang w:val="es-ES"/>
        </w:rPr>
        <w:t>indicadores</w:t>
      </w:r>
      <w:r w:rsidRPr="00045DDA">
        <w:rPr>
          <w:rFonts w:ascii="Verdana" w:hAnsi="Verdana" w:cs="Arial"/>
          <w:sz w:val="14"/>
          <w:szCs w:val="14"/>
          <w:lang w:val="es-ES"/>
        </w:rPr>
        <w:t xml:space="preserve">, teniendo en cuenta el mejor año fiscal que se refleje en el </w:t>
      </w:r>
      <w:r w:rsidR="00E41DB5" w:rsidRPr="00045DDA">
        <w:rPr>
          <w:rFonts w:ascii="Verdana" w:hAnsi="Verdana" w:cs="Arial"/>
          <w:sz w:val="14"/>
          <w:szCs w:val="14"/>
          <w:lang w:val="es-ES"/>
        </w:rPr>
        <w:t>registro</w:t>
      </w:r>
      <w:r w:rsidRPr="00045DDA">
        <w:rPr>
          <w:rFonts w:ascii="Verdana" w:hAnsi="Verdana" w:cs="Arial"/>
          <w:sz w:val="14"/>
          <w:szCs w:val="14"/>
          <w:lang w:val="es-ES"/>
        </w:rPr>
        <w:t xml:space="preserve"> de cada proponente</w:t>
      </w:r>
      <w:r w:rsidRPr="00045DDA">
        <w:rPr>
          <w:rFonts w:ascii="Arial" w:hAnsi="Arial" w:cs="Arial"/>
          <w:sz w:val="14"/>
          <w:szCs w:val="14"/>
          <w:lang w:val="es-ES"/>
        </w:rPr>
        <w:t>​</w:t>
      </w:r>
      <w:r w:rsidRPr="00045DDA">
        <w:rPr>
          <w:rFonts w:ascii="Verdana" w:hAnsi="Verdana" w:cs="Arial"/>
          <w:sz w:val="14"/>
          <w:szCs w:val="14"/>
          <w:lang w:val="es-ES"/>
        </w:rPr>
        <w:t>”.</w:t>
      </w:r>
    </w:p>
    <w:p w14:paraId="3378E118" w14:textId="77777777" w:rsidR="00394125" w:rsidRPr="00045DDA" w:rsidRDefault="00394125" w:rsidP="00045DDA">
      <w:pPr>
        <w:pStyle w:val="NormalWeb"/>
        <w:spacing w:after="0"/>
        <w:ind w:firstLine="709"/>
        <w:contextualSpacing/>
        <w:jc w:val="both"/>
        <w:rPr>
          <w:rStyle w:val="Refdenotaalpie"/>
          <w:rFonts w:ascii="Verdana" w:hAnsi="Verdana" w:cs="Arial"/>
          <w:sz w:val="14"/>
          <w:szCs w:val="14"/>
        </w:rPr>
      </w:pPr>
    </w:p>
  </w:footnote>
  <w:footnote w:id="4">
    <w:p w14:paraId="3F60231F" w14:textId="77777777" w:rsidR="00394125" w:rsidRPr="00045DDA" w:rsidRDefault="00394125" w:rsidP="00045DDA">
      <w:pPr>
        <w:pStyle w:val="Textonotapie"/>
        <w:ind w:firstLine="708"/>
        <w:contextualSpacing/>
        <w:jc w:val="both"/>
        <w:rPr>
          <w:rFonts w:ascii="Verdana" w:eastAsia="Times New Roman" w:hAnsi="Verdana" w:cs="Arial"/>
          <w:sz w:val="14"/>
          <w:szCs w:val="14"/>
          <w:lang w:eastAsia="es-CO"/>
        </w:rPr>
      </w:pPr>
      <w:r w:rsidRPr="00045DDA">
        <w:rPr>
          <w:rStyle w:val="Refdenotaalpie"/>
          <w:rFonts w:ascii="Verdana" w:hAnsi="Verdana"/>
          <w:sz w:val="14"/>
          <w:szCs w:val="14"/>
        </w:rPr>
        <w:footnoteRef/>
      </w:r>
      <w:r w:rsidRPr="00045DDA">
        <w:rPr>
          <w:rFonts w:ascii="Verdana" w:hAnsi="Verdana"/>
          <w:sz w:val="14"/>
          <w:szCs w:val="14"/>
        </w:rPr>
        <w:t xml:space="preserve"> </w:t>
      </w:r>
      <w:r w:rsidRPr="00045DDA">
        <w:rPr>
          <w:rFonts w:ascii="Verdana" w:eastAsia="Times New Roman" w:hAnsi="Verdana" w:cs="Arial"/>
          <w:sz w:val="14"/>
          <w:szCs w:val="14"/>
          <w:lang w:eastAsia="es-CO"/>
        </w:rPr>
        <w:t>Consejo de Estado. Sala de Consulta y Servicio Civil. Concepto del 20 de mayo de 2010. Exp. 1.992. C.P. Enrique José Arboleda Perdomo.</w:t>
      </w:r>
    </w:p>
    <w:p w14:paraId="66302816" w14:textId="77777777" w:rsidR="00394125" w:rsidRPr="00045DDA" w:rsidRDefault="00394125" w:rsidP="00045DDA">
      <w:pPr>
        <w:pStyle w:val="Textonotapie"/>
        <w:jc w:val="both"/>
        <w:rPr>
          <w:rFonts w:ascii="Verdana" w:hAnsi="Verdana"/>
          <w:sz w:val="14"/>
          <w:szCs w:val="14"/>
        </w:rPr>
      </w:pPr>
    </w:p>
  </w:footnote>
  <w:footnote w:id="5">
    <w:p w14:paraId="7E840719" w14:textId="7B5E69DB" w:rsidR="00C861EF" w:rsidRPr="00045DDA" w:rsidRDefault="00C861EF" w:rsidP="00045DDA">
      <w:pPr>
        <w:pStyle w:val="Textonotapie"/>
        <w:jc w:val="both"/>
        <w:rPr>
          <w:rFonts w:ascii="Verdana" w:hAnsi="Verdana"/>
          <w:sz w:val="14"/>
          <w:szCs w:val="14"/>
        </w:rPr>
      </w:pPr>
      <w:r w:rsidRPr="00045DDA">
        <w:rPr>
          <w:rStyle w:val="Refdenotaalpie"/>
          <w:rFonts w:ascii="Verdana" w:hAnsi="Verdana"/>
          <w:sz w:val="14"/>
          <w:szCs w:val="14"/>
        </w:rPr>
        <w:footnoteRef/>
      </w:r>
      <w:r w:rsidRPr="00045DDA">
        <w:rPr>
          <w:rFonts w:ascii="Verdana" w:hAnsi="Verdana"/>
          <w:sz w:val="14"/>
          <w:szCs w:val="14"/>
        </w:rPr>
        <w:t xml:space="preserve"> </w:t>
      </w:r>
      <w:r w:rsidR="00045DDA">
        <w:rPr>
          <w:rFonts w:ascii="Verdana" w:hAnsi="Verdana"/>
          <w:sz w:val="14"/>
          <w:szCs w:val="14"/>
        </w:rPr>
        <w:t xml:space="preserve">Conceptos: </w:t>
      </w:r>
      <w:r w:rsidRPr="00045DDA">
        <w:rPr>
          <w:rFonts w:ascii="Verdana" w:hAnsi="Verdana"/>
          <w:sz w:val="14"/>
          <w:szCs w:val="14"/>
          <w:lang w:val="es-ES"/>
        </w:rPr>
        <w:t xml:space="preserve">C-218 del 2 de abril de 2020, C-307 del 21 de mayo de 2020, C-391 del 10 de agosto de 2020, C-675 del 25 de noviembre de 2020 y C-683 del 21 de noviembre de 2020, C-779 del 20 de septiembre de 2020, C-882 del 21 de diciembre de 2022 y C-426 del 17 de octubre de 2023. </w:t>
      </w:r>
      <w:hyperlink r:id="rId2" w:history="1">
        <w:r w:rsidR="00045DDA" w:rsidRPr="00045DDA">
          <w:rPr>
            <w:rStyle w:val="Hipervnculo"/>
            <w:rFonts w:ascii="Verdana" w:hAnsi="Verdana"/>
            <w:color w:val="4472C4" w:themeColor="accent1"/>
            <w:sz w:val="14"/>
            <w:szCs w:val="14"/>
            <w:lang w:val="es-ES"/>
          </w:rPr>
          <w:t>https://relatoria.colombiacompra.gov.co/busqueda/conceptos</w:t>
        </w:r>
      </w:hyperlink>
    </w:p>
  </w:footnote>
  <w:footnote w:id="6">
    <w:p w14:paraId="607ECD4D" w14:textId="77777777" w:rsidR="00394125" w:rsidRPr="00045DDA" w:rsidRDefault="00394125" w:rsidP="00045DDA">
      <w:pPr>
        <w:pStyle w:val="Textonotapie"/>
        <w:ind w:firstLine="708"/>
        <w:contextualSpacing/>
        <w:jc w:val="both"/>
        <w:rPr>
          <w:rFonts w:ascii="Verdana" w:eastAsia="Times New Roman" w:hAnsi="Verdana" w:cs="Arial"/>
          <w:sz w:val="14"/>
          <w:szCs w:val="14"/>
          <w:lang w:eastAsia="es-CO"/>
        </w:rPr>
      </w:pPr>
      <w:r w:rsidRPr="00045DDA">
        <w:rPr>
          <w:rStyle w:val="Refdenotaalpie"/>
          <w:rFonts w:ascii="Verdana" w:hAnsi="Verdana" w:cs="Arial"/>
          <w:sz w:val="14"/>
          <w:szCs w:val="14"/>
        </w:rPr>
        <w:footnoteRef/>
      </w:r>
      <w:r w:rsidRPr="00045DDA">
        <w:rPr>
          <w:rFonts w:ascii="Verdana" w:hAnsi="Verdana" w:cs="Arial"/>
          <w:sz w:val="14"/>
          <w:szCs w:val="14"/>
        </w:rPr>
        <w:t xml:space="preserve"> </w:t>
      </w:r>
      <w:r w:rsidRPr="00045DDA">
        <w:rPr>
          <w:rFonts w:ascii="Verdana" w:eastAsia="Times New Roman" w:hAnsi="Verdana" w:cs="Arial"/>
          <w:sz w:val="14"/>
          <w:szCs w:val="14"/>
          <w:lang w:eastAsia="es-CO"/>
        </w:rPr>
        <w:t>Ver conceptos: C-008 del 4 de mayo de 2020, C-267 del 4 de mayo de 2020, C-283 del 4 de mayo de 2020, C-365 del 30 de junio de 2020 y C-730 del 14 de diciembre del 2020 y C-779 de 18 de enero de 2021.</w:t>
      </w:r>
    </w:p>
    <w:p w14:paraId="7B96DFBB" w14:textId="77777777" w:rsidR="00394125" w:rsidRPr="00045DDA" w:rsidRDefault="00394125" w:rsidP="00045DDA">
      <w:pPr>
        <w:pStyle w:val="Textonotapie"/>
        <w:ind w:firstLine="708"/>
        <w:contextualSpacing/>
        <w:jc w:val="both"/>
        <w:rPr>
          <w:rFonts w:ascii="Verdana" w:eastAsia="Times New Roman" w:hAnsi="Verdana" w:cs="Arial"/>
          <w:sz w:val="14"/>
          <w:szCs w:val="14"/>
          <w:lang w:eastAsia="es-CO"/>
        </w:rPr>
      </w:pPr>
    </w:p>
  </w:footnote>
  <w:footnote w:id="7">
    <w:p w14:paraId="66120430" w14:textId="77777777" w:rsidR="00394125" w:rsidRPr="00045DDA" w:rsidRDefault="00394125" w:rsidP="00045DDA">
      <w:pPr>
        <w:pStyle w:val="Textonotapie"/>
        <w:ind w:firstLine="708"/>
        <w:contextualSpacing/>
        <w:jc w:val="both"/>
        <w:rPr>
          <w:rFonts w:ascii="Verdana" w:hAnsi="Verdana" w:cs="Arial"/>
          <w:sz w:val="14"/>
          <w:szCs w:val="14"/>
        </w:rPr>
      </w:pPr>
      <w:r w:rsidRPr="00045DDA">
        <w:rPr>
          <w:rStyle w:val="Refdenotaalpie"/>
          <w:rFonts w:ascii="Verdana" w:hAnsi="Verdana" w:cs="Arial"/>
          <w:sz w:val="14"/>
          <w:szCs w:val="14"/>
        </w:rPr>
        <w:footnoteRef/>
      </w:r>
      <w:r w:rsidRPr="00045DDA">
        <w:rPr>
          <w:rFonts w:ascii="Verdana" w:hAnsi="Verdana" w:cs="Arial"/>
          <w:sz w:val="14"/>
          <w:szCs w:val="14"/>
        </w:rPr>
        <w:t xml:space="preserve"> Solo se profundizará en dos de ellos, por tener relación con el esquema general de subsanabilidad, en este sentido, el tercer aspecto, en que no se profundizará en este texto, se deriva de lo establecido en el parágrafo 3 del artículo 5 de la Ley 1150 de 2007, incluido por el artículo 5 de la Ley 1882 de 2018: “Parágrafo 3. La no entrega de la garantía de seriedad junto con la propuesta no será subsanable y será causal de rechazo de la misma”. </w:t>
      </w:r>
    </w:p>
    <w:p w14:paraId="5C379DFF" w14:textId="77777777" w:rsidR="00394125" w:rsidRPr="00045DDA" w:rsidRDefault="00394125" w:rsidP="00045DDA">
      <w:pPr>
        <w:pStyle w:val="Textonotapie"/>
        <w:ind w:firstLine="708"/>
        <w:contextualSpacing/>
        <w:jc w:val="both"/>
        <w:rPr>
          <w:rFonts w:ascii="Verdana" w:hAnsi="Verdana" w:cs="Arial"/>
          <w:sz w:val="14"/>
          <w:szCs w:val="14"/>
          <w:lang w:val="es-CO"/>
        </w:rPr>
      </w:pPr>
    </w:p>
  </w:footnote>
  <w:footnote w:id="8">
    <w:p w14:paraId="5CB52371" w14:textId="77777777" w:rsidR="00394125" w:rsidRPr="00045DDA" w:rsidRDefault="00394125" w:rsidP="00045DDA">
      <w:pPr>
        <w:pBdr>
          <w:top w:val="nil"/>
          <w:left w:val="nil"/>
          <w:bottom w:val="nil"/>
          <w:right w:val="nil"/>
          <w:between w:val="nil"/>
        </w:pBdr>
        <w:spacing w:after="0" w:line="240" w:lineRule="auto"/>
        <w:ind w:firstLine="709"/>
        <w:contextualSpacing/>
        <w:jc w:val="both"/>
        <w:rPr>
          <w:rFonts w:ascii="Verdana" w:eastAsia="Arial" w:hAnsi="Verdana" w:cs="Arial"/>
          <w:sz w:val="14"/>
          <w:szCs w:val="14"/>
        </w:rPr>
      </w:pPr>
      <w:r w:rsidRPr="00045DDA">
        <w:rPr>
          <w:rFonts w:ascii="Verdana" w:hAnsi="Verdana" w:cs="Arial"/>
          <w:sz w:val="14"/>
          <w:szCs w:val="14"/>
          <w:vertAlign w:val="superscript"/>
        </w:rPr>
        <w:footnoteRef/>
      </w:r>
      <w:r w:rsidRPr="00045DDA">
        <w:rPr>
          <w:rFonts w:ascii="Verdana" w:eastAsia="Arial" w:hAnsi="Verdana" w:cs="Arial"/>
          <w:sz w:val="14"/>
          <w:szCs w:val="14"/>
          <w:vertAlign w:val="superscript"/>
        </w:rPr>
        <w:t xml:space="preserve"> </w:t>
      </w:r>
      <w:r w:rsidRPr="00045DDA">
        <w:rPr>
          <w:rFonts w:ascii="Verdana" w:eastAsia="Arial" w:hAnsi="Verdana" w:cs="Arial"/>
          <w:sz w:val="14"/>
          <w:szCs w:val="14"/>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p w14:paraId="2C1D7DCB" w14:textId="77777777" w:rsidR="00394125" w:rsidRPr="00045DDA" w:rsidRDefault="00394125" w:rsidP="00045DDA">
      <w:pPr>
        <w:pBdr>
          <w:top w:val="nil"/>
          <w:left w:val="nil"/>
          <w:bottom w:val="nil"/>
          <w:right w:val="nil"/>
          <w:between w:val="nil"/>
        </w:pBdr>
        <w:spacing w:after="0" w:line="240" w:lineRule="auto"/>
        <w:ind w:firstLine="709"/>
        <w:contextualSpacing/>
        <w:jc w:val="both"/>
        <w:rPr>
          <w:rFonts w:ascii="Verdana" w:eastAsia="Arial" w:hAnsi="Verdana" w:cs="Arial"/>
          <w:sz w:val="14"/>
          <w:szCs w:val="14"/>
        </w:rPr>
      </w:pPr>
    </w:p>
  </w:footnote>
  <w:footnote w:id="9">
    <w:p w14:paraId="026FA320" w14:textId="77777777" w:rsidR="00394125" w:rsidRPr="00045DDA" w:rsidRDefault="00394125" w:rsidP="00045DDA">
      <w:pPr>
        <w:pStyle w:val="Textonotapie"/>
        <w:ind w:firstLine="708"/>
        <w:contextualSpacing/>
        <w:jc w:val="both"/>
        <w:rPr>
          <w:rFonts w:ascii="Verdana" w:hAnsi="Verdana" w:cs="Arial"/>
          <w:sz w:val="14"/>
          <w:szCs w:val="14"/>
        </w:rPr>
      </w:pPr>
      <w:r w:rsidRPr="00045DDA">
        <w:rPr>
          <w:rFonts w:ascii="Verdana" w:eastAsia="Arial" w:hAnsi="Verdana" w:cs="Arial"/>
          <w:sz w:val="14"/>
          <w:szCs w:val="14"/>
          <w:vertAlign w:val="superscript"/>
        </w:rPr>
        <w:footnoteRef/>
      </w:r>
      <w:r w:rsidRPr="00045DDA">
        <w:rPr>
          <w:rFonts w:ascii="Verdana" w:eastAsia="Arial" w:hAnsi="Verdana" w:cs="Arial"/>
          <w:sz w:val="14"/>
          <w:szCs w:val="14"/>
          <w:vertAlign w:val="superscript"/>
        </w:rPr>
        <w:t xml:space="preserve"> </w:t>
      </w:r>
      <w:r w:rsidRPr="00045DDA">
        <w:rPr>
          <w:rFonts w:ascii="Verdana" w:eastAsia="Arial" w:hAnsi="Verdana" w:cs="Arial"/>
          <w:sz w:val="14"/>
          <w:szCs w:val="14"/>
        </w:rPr>
        <w:t>Consejo de Estado. Sala de Consulta y Servicio Civil. Concepto del 20 de mayo de 2010. No. de Radicado: 11001-03-06-000-2010-00034-00(1992). C.P. Enrique José Arboleda Perdomo.</w:t>
      </w:r>
    </w:p>
    <w:p w14:paraId="0FD1B5F4" w14:textId="77777777" w:rsidR="00394125" w:rsidRPr="00045DDA" w:rsidRDefault="00394125" w:rsidP="00045DDA">
      <w:pPr>
        <w:pStyle w:val="Textonotapie"/>
        <w:ind w:firstLine="708"/>
        <w:contextualSpacing/>
        <w:jc w:val="both"/>
        <w:rPr>
          <w:rFonts w:ascii="Verdana" w:hAnsi="Verdana" w:cs="Arial"/>
          <w:sz w:val="14"/>
          <w:szCs w:val="14"/>
        </w:rPr>
      </w:pPr>
    </w:p>
  </w:footnote>
  <w:footnote w:id="10">
    <w:p w14:paraId="754CBE74" w14:textId="7968CA6F" w:rsidR="006573EB" w:rsidRPr="00045DDA" w:rsidRDefault="006573EB" w:rsidP="00045DDA">
      <w:pPr>
        <w:pStyle w:val="Textonotapie"/>
        <w:jc w:val="both"/>
        <w:rPr>
          <w:rFonts w:ascii="Verdana" w:hAnsi="Verdana"/>
          <w:sz w:val="14"/>
          <w:szCs w:val="14"/>
          <w:lang w:val="es-CO"/>
        </w:rPr>
      </w:pPr>
      <w:r w:rsidRPr="00045DDA">
        <w:rPr>
          <w:rStyle w:val="Refdenotaalpie"/>
          <w:rFonts w:ascii="Verdana" w:hAnsi="Verdana"/>
          <w:sz w:val="14"/>
          <w:szCs w:val="14"/>
        </w:rPr>
        <w:footnoteRef/>
      </w:r>
      <w:r w:rsidRPr="00045DDA">
        <w:rPr>
          <w:rFonts w:ascii="Verdana" w:hAnsi="Verdana"/>
          <w:sz w:val="14"/>
          <w:szCs w:val="14"/>
        </w:rPr>
        <w:t xml:space="preserve"> </w:t>
      </w:r>
      <w:r w:rsidRPr="00045DDA">
        <w:rPr>
          <w:rFonts w:ascii="Verdana" w:hAnsi="Verdana"/>
          <w:sz w:val="14"/>
          <w:szCs w:val="14"/>
          <w:lang w:val="es-CO"/>
        </w:rPr>
        <w:t xml:space="preserve">CONSEJO DE ESTADO SALA DE CONSULTA Y SERVICIO CIVIL Consejero ponente: ÁLVARO NAMÉN VARGAS </w:t>
      </w:r>
    </w:p>
    <w:p w14:paraId="772078C9" w14:textId="070B9235" w:rsidR="006573EB" w:rsidRPr="00045DDA" w:rsidRDefault="00E41DB5" w:rsidP="00045DDA">
      <w:pPr>
        <w:pStyle w:val="Textonotapie"/>
        <w:jc w:val="both"/>
        <w:rPr>
          <w:rFonts w:ascii="Verdana" w:hAnsi="Verdana"/>
          <w:sz w:val="14"/>
          <w:szCs w:val="14"/>
          <w:lang w:val="es-CO"/>
        </w:rPr>
      </w:pPr>
      <w:r w:rsidRPr="00045DDA">
        <w:rPr>
          <w:rFonts w:ascii="Verdana" w:hAnsi="Verdana"/>
          <w:sz w:val="14"/>
          <w:szCs w:val="14"/>
          <w:lang w:val="es-CO"/>
        </w:rPr>
        <w:t>Bogotá</w:t>
      </w:r>
      <w:r w:rsidR="006573EB" w:rsidRPr="00045DDA">
        <w:rPr>
          <w:rFonts w:ascii="Verdana" w:hAnsi="Verdana"/>
          <w:sz w:val="14"/>
          <w:szCs w:val="14"/>
          <w:lang w:val="es-CO"/>
        </w:rPr>
        <w:t>́ D.C., quince (15) de agosto de dos mil diecisiete (2017</w:t>
      </w:r>
      <w:r w:rsidRPr="00045DDA">
        <w:rPr>
          <w:rFonts w:ascii="Verdana" w:hAnsi="Verdana"/>
          <w:sz w:val="14"/>
          <w:szCs w:val="14"/>
          <w:lang w:val="es-CO"/>
        </w:rPr>
        <w:t>) Radicación</w:t>
      </w:r>
      <w:r w:rsidR="006573EB" w:rsidRPr="00045DDA">
        <w:rPr>
          <w:rFonts w:ascii="Verdana" w:hAnsi="Verdana"/>
          <w:sz w:val="14"/>
          <w:szCs w:val="14"/>
          <w:lang w:val="es-CO"/>
        </w:rPr>
        <w:t xml:space="preserve"> </w:t>
      </w:r>
      <w:r w:rsidRPr="00045DDA">
        <w:rPr>
          <w:rFonts w:ascii="Verdana" w:hAnsi="Verdana"/>
          <w:sz w:val="14"/>
          <w:szCs w:val="14"/>
          <w:lang w:val="es-CO"/>
        </w:rPr>
        <w:t>número</w:t>
      </w:r>
      <w:r w:rsidR="006573EB" w:rsidRPr="00045DDA">
        <w:rPr>
          <w:rFonts w:ascii="Verdana" w:hAnsi="Verdana"/>
          <w:sz w:val="14"/>
          <w:szCs w:val="14"/>
          <w:lang w:val="es-CO"/>
        </w:rPr>
        <w:t xml:space="preserve">: 11001-03-06-000-2017-00098-00(2346) Actor: MINISTERIO DE TRANSPORTE </w:t>
      </w:r>
    </w:p>
    <w:p w14:paraId="644E8F4D" w14:textId="33C6C1A3" w:rsidR="006573EB" w:rsidRPr="00045DDA" w:rsidRDefault="006573EB" w:rsidP="00045DDA">
      <w:pPr>
        <w:pStyle w:val="Textonotapie"/>
        <w:jc w:val="both"/>
        <w:rPr>
          <w:rFonts w:ascii="Verdana" w:hAnsi="Verdana"/>
          <w:sz w:val="14"/>
          <w:szCs w:val="14"/>
          <w:lang w:val="es-ES"/>
        </w:rPr>
      </w:pPr>
    </w:p>
  </w:footnote>
  <w:footnote w:id="11">
    <w:p w14:paraId="0EEF73EF" w14:textId="77777777" w:rsidR="006B13BE" w:rsidRPr="00045DDA" w:rsidRDefault="006B13BE" w:rsidP="00045DDA">
      <w:pPr>
        <w:pStyle w:val="Textonotapie"/>
        <w:jc w:val="both"/>
        <w:rPr>
          <w:rFonts w:ascii="Verdana" w:hAnsi="Verdana"/>
          <w:sz w:val="14"/>
          <w:szCs w:val="14"/>
          <w:lang w:val="es-CO"/>
        </w:rPr>
      </w:pPr>
      <w:r w:rsidRPr="00045DDA">
        <w:rPr>
          <w:rStyle w:val="Refdenotaalpie"/>
          <w:rFonts w:ascii="Verdana" w:hAnsi="Verdana"/>
          <w:sz w:val="14"/>
          <w:szCs w:val="14"/>
        </w:rPr>
        <w:footnoteRef/>
      </w:r>
      <w:r w:rsidRPr="00045DDA">
        <w:rPr>
          <w:rFonts w:ascii="Verdana" w:hAnsi="Verdana"/>
          <w:sz w:val="14"/>
          <w:szCs w:val="14"/>
        </w:rPr>
        <w:t xml:space="preserve"> </w:t>
      </w:r>
      <w:r w:rsidRPr="00045DDA">
        <w:rPr>
          <w:rFonts w:ascii="Verdana" w:hAnsi="Verdana"/>
          <w:sz w:val="14"/>
          <w:szCs w:val="14"/>
          <w:lang w:val="es-CO"/>
        </w:rPr>
        <w:t xml:space="preserve">CONSEJO DE ESTADO SALA DE CONSULTA Y SERVICIO CIVIL Consejero ponente: ÁLVARO NAMÉN VARGAS </w:t>
      </w:r>
    </w:p>
    <w:p w14:paraId="133F581E" w14:textId="72377B3A" w:rsidR="006B13BE" w:rsidRPr="00045DDA" w:rsidRDefault="00E41DB5" w:rsidP="00045DDA">
      <w:pPr>
        <w:pStyle w:val="Textonotapie"/>
        <w:jc w:val="both"/>
        <w:rPr>
          <w:rFonts w:ascii="Verdana" w:hAnsi="Verdana"/>
          <w:sz w:val="14"/>
          <w:szCs w:val="14"/>
          <w:lang w:val="es-CO"/>
        </w:rPr>
      </w:pPr>
      <w:r w:rsidRPr="00045DDA">
        <w:rPr>
          <w:rFonts w:ascii="Verdana" w:hAnsi="Verdana"/>
          <w:sz w:val="14"/>
          <w:szCs w:val="14"/>
          <w:lang w:val="es-CO"/>
        </w:rPr>
        <w:t>Bogotá</w:t>
      </w:r>
      <w:r w:rsidR="006B13BE" w:rsidRPr="00045DDA">
        <w:rPr>
          <w:rFonts w:ascii="Verdana" w:hAnsi="Verdana"/>
          <w:sz w:val="14"/>
          <w:szCs w:val="14"/>
          <w:lang w:val="es-CO"/>
        </w:rPr>
        <w:t>́ D.C., quince (15) de agosto de dos mil diecisiete (2017</w:t>
      </w:r>
      <w:r w:rsidRPr="00045DDA">
        <w:rPr>
          <w:rFonts w:ascii="Verdana" w:hAnsi="Verdana"/>
          <w:sz w:val="14"/>
          <w:szCs w:val="14"/>
          <w:lang w:val="es-CO"/>
        </w:rPr>
        <w:t>) Radicación</w:t>
      </w:r>
      <w:r w:rsidR="006B13BE" w:rsidRPr="00045DDA">
        <w:rPr>
          <w:rFonts w:ascii="Verdana" w:hAnsi="Verdana"/>
          <w:sz w:val="14"/>
          <w:szCs w:val="14"/>
          <w:lang w:val="es-CO"/>
        </w:rPr>
        <w:t xml:space="preserve"> </w:t>
      </w:r>
      <w:r w:rsidRPr="00045DDA">
        <w:rPr>
          <w:rFonts w:ascii="Verdana" w:hAnsi="Verdana"/>
          <w:sz w:val="14"/>
          <w:szCs w:val="14"/>
          <w:lang w:val="es-CO"/>
        </w:rPr>
        <w:t>número</w:t>
      </w:r>
      <w:r w:rsidR="006B13BE" w:rsidRPr="00045DDA">
        <w:rPr>
          <w:rFonts w:ascii="Verdana" w:hAnsi="Verdana"/>
          <w:sz w:val="14"/>
          <w:szCs w:val="14"/>
          <w:lang w:val="es-CO"/>
        </w:rPr>
        <w:t xml:space="preserve">: 11001-03-06-000-2017-00098-00(2346) Actor: MINISTERIO DE TRANSPORTE </w:t>
      </w:r>
    </w:p>
    <w:p w14:paraId="088F6E80" w14:textId="00242489" w:rsidR="006B13BE" w:rsidRPr="00045DDA" w:rsidRDefault="006B13BE" w:rsidP="00045DDA">
      <w:pPr>
        <w:pStyle w:val="Textonotapie"/>
        <w:jc w:val="both"/>
        <w:rPr>
          <w:rFonts w:ascii="Verdana" w:hAnsi="Verdana"/>
          <w:sz w:val="14"/>
          <w:szCs w:val="14"/>
          <w:lang w:val="es-CO"/>
        </w:rPr>
      </w:pPr>
    </w:p>
  </w:footnote>
  <w:footnote w:id="12">
    <w:p w14:paraId="32AF457A" w14:textId="77777777" w:rsidR="00791542" w:rsidRPr="00045DDA" w:rsidRDefault="00791542" w:rsidP="00045DDA">
      <w:pPr>
        <w:pStyle w:val="Textonotapie"/>
        <w:jc w:val="both"/>
        <w:rPr>
          <w:rFonts w:ascii="Verdana" w:hAnsi="Verdana"/>
          <w:sz w:val="14"/>
          <w:szCs w:val="14"/>
          <w:lang w:val="es-ES"/>
        </w:rPr>
      </w:pPr>
      <w:r w:rsidRPr="00045DDA">
        <w:rPr>
          <w:rStyle w:val="Refdenotaalpie"/>
          <w:rFonts w:ascii="Verdana" w:hAnsi="Verdana"/>
          <w:sz w:val="14"/>
          <w:szCs w:val="14"/>
        </w:rPr>
        <w:footnoteRef/>
      </w:r>
      <w:r w:rsidRPr="00045DDA">
        <w:rPr>
          <w:rFonts w:ascii="Verdana" w:hAnsi="Verdana"/>
          <w:sz w:val="14"/>
          <w:szCs w:val="14"/>
        </w:rPr>
        <w:t xml:space="preserve"> </w:t>
      </w:r>
      <w:r w:rsidRPr="00045DDA">
        <w:rPr>
          <w:rFonts w:ascii="Verdana" w:hAnsi="Verdana"/>
          <w:sz w:val="14"/>
          <w:szCs w:val="14"/>
          <w:lang w:val="es-ES"/>
        </w:rPr>
        <w:t>Numeral 12 del artículo 30 de la Ley 80 de 1993.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lang w:eastAsia="es-CO"/>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457380"/>
    <w:multiLevelType w:val="hybridMultilevel"/>
    <w:tmpl w:val="892CC0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46E0D8D"/>
    <w:multiLevelType w:val="hybridMultilevel"/>
    <w:tmpl w:val="3522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7FA7610"/>
    <w:multiLevelType w:val="hybridMultilevel"/>
    <w:tmpl w:val="80CC9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5"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3574FC"/>
    <w:multiLevelType w:val="hybridMultilevel"/>
    <w:tmpl w:val="8A1277E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0842804">
    <w:abstractNumId w:val="8"/>
  </w:num>
  <w:num w:numId="2" w16cid:durableId="1810707730">
    <w:abstractNumId w:val="2"/>
  </w:num>
  <w:num w:numId="3" w16cid:durableId="1212502688">
    <w:abstractNumId w:val="5"/>
  </w:num>
  <w:num w:numId="4" w16cid:durableId="18270866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8263361">
    <w:abstractNumId w:val="2"/>
  </w:num>
  <w:num w:numId="6" w16cid:durableId="540551983">
    <w:abstractNumId w:val="17"/>
  </w:num>
  <w:num w:numId="7" w16cid:durableId="1806893196">
    <w:abstractNumId w:val="7"/>
  </w:num>
  <w:num w:numId="8" w16cid:durableId="31661457">
    <w:abstractNumId w:val="16"/>
  </w:num>
  <w:num w:numId="9" w16cid:durableId="2015254019">
    <w:abstractNumId w:val="10"/>
  </w:num>
  <w:num w:numId="10" w16cid:durableId="1389719707">
    <w:abstractNumId w:val="15"/>
  </w:num>
  <w:num w:numId="11" w16cid:durableId="1984919572">
    <w:abstractNumId w:val="11"/>
  </w:num>
  <w:num w:numId="12" w16cid:durableId="968978610">
    <w:abstractNumId w:val="1"/>
  </w:num>
  <w:num w:numId="13" w16cid:durableId="576788524">
    <w:abstractNumId w:val="3"/>
  </w:num>
  <w:num w:numId="14" w16cid:durableId="779685303">
    <w:abstractNumId w:val="18"/>
  </w:num>
  <w:num w:numId="15" w16cid:durableId="602228530">
    <w:abstractNumId w:val="14"/>
  </w:num>
  <w:num w:numId="16" w16cid:durableId="1586961095">
    <w:abstractNumId w:val="0"/>
  </w:num>
  <w:num w:numId="17" w16cid:durableId="187254162">
    <w:abstractNumId w:val="6"/>
  </w:num>
  <w:num w:numId="18" w16cid:durableId="1651057431">
    <w:abstractNumId w:val="12"/>
  </w:num>
  <w:num w:numId="19" w16cid:durableId="1745031648">
    <w:abstractNumId w:val="4"/>
  </w:num>
  <w:num w:numId="20" w16cid:durableId="1226719597">
    <w:abstractNumId w:val="9"/>
  </w:num>
  <w:num w:numId="21" w16cid:durableId="1277785041">
    <w:abstractNumId w:val="19"/>
  </w:num>
  <w:num w:numId="22" w16cid:durableId="19396736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25225"/>
    <w:rsid w:val="00027A52"/>
    <w:rsid w:val="00045DDA"/>
    <w:rsid w:val="000604CB"/>
    <w:rsid w:val="00061B2A"/>
    <w:rsid w:val="00082362"/>
    <w:rsid w:val="000A683E"/>
    <w:rsid w:val="000B19B9"/>
    <w:rsid w:val="000D0334"/>
    <w:rsid w:val="000F625D"/>
    <w:rsid w:val="000F6486"/>
    <w:rsid w:val="001067B3"/>
    <w:rsid w:val="00125105"/>
    <w:rsid w:val="00125F52"/>
    <w:rsid w:val="00127233"/>
    <w:rsid w:val="001B4A38"/>
    <w:rsid w:val="001B5E6E"/>
    <w:rsid w:val="001C70DC"/>
    <w:rsid w:val="001E0D78"/>
    <w:rsid w:val="001E4177"/>
    <w:rsid w:val="001F7DC6"/>
    <w:rsid w:val="002107D9"/>
    <w:rsid w:val="002421BB"/>
    <w:rsid w:val="0025796E"/>
    <w:rsid w:val="00260807"/>
    <w:rsid w:val="002707A2"/>
    <w:rsid w:val="002951A0"/>
    <w:rsid w:val="002962BC"/>
    <w:rsid w:val="002A093D"/>
    <w:rsid w:val="002A0DD0"/>
    <w:rsid w:val="002A49AC"/>
    <w:rsid w:val="002A555B"/>
    <w:rsid w:val="002A64FD"/>
    <w:rsid w:val="002B6020"/>
    <w:rsid w:val="002C7A84"/>
    <w:rsid w:val="002E4FD9"/>
    <w:rsid w:val="00313FCD"/>
    <w:rsid w:val="00322A85"/>
    <w:rsid w:val="00324168"/>
    <w:rsid w:val="003448F4"/>
    <w:rsid w:val="003724E1"/>
    <w:rsid w:val="00374F5E"/>
    <w:rsid w:val="00376E31"/>
    <w:rsid w:val="00377E3E"/>
    <w:rsid w:val="00394125"/>
    <w:rsid w:val="003A26D1"/>
    <w:rsid w:val="003A779E"/>
    <w:rsid w:val="003D0F4D"/>
    <w:rsid w:val="003D5B0D"/>
    <w:rsid w:val="003E0499"/>
    <w:rsid w:val="003F3941"/>
    <w:rsid w:val="00406575"/>
    <w:rsid w:val="0042722E"/>
    <w:rsid w:val="00434754"/>
    <w:rsid w:val="0044528D"/>
    <w:rsid w:val="00491079"/>
    <w:rsid w:val="004A1847"/>
    <w:rsid w:val="004A305D"/>
    <w:rsid w:val="004F0F71"/>
    <w:rsid w:val="004F21C4"/>
    <w:rsid w:val="004F6856"/>
    <w:rsid w:val="004F685F"/>
    <w:rsid w:val="00547175"/>
    <w:rsid w:val="005566E8"/>
    <w:rsid w:val="00574867"/>
    <w:rsid w:val="00591460"/>
    <w:rsid w:val="00592628"/>
    <w:rsid w:val="005A0CED"/>
    <w:rsid w:val="005B3141"/>
    <w:rsid w:val="005C01FC"/>
    <w:rsid w:val="005C3777"/>
    <w:rsid w:val="005C5CDC"/>
    <w:rsid w:val="005D476C"/>
    <w:rsid w:val="005F5F8E"/>
    <w:rsid w:val="00610812"/>
    <w:rsid w:val="00620769"/>
    <w:rsid w:val="006219F8"/>
    <w:rsid w:val="00634072"/>
    <w:rsid w:val="00650FF7"/>
    <w:rsid w:val="006573EB"/>
    <w:rsid w:val="00664833"/>
    <w:rsid w:val="00665D70"/>
    <w:rsid w:val="00671DAC"/>
    <w:rsid w:val="006900D9"/>
    <w:rsid w:val="006B13BE"/>
    <w:rsid w:val="006C6DFF"/>
    <w:rsid w:val="006D12F8"/>
    <w:rsid w:val="006E6402"/>
    <w:rsid w:val="006F3650"/>
    <w:rsid w:val="006F3E03"/>
    <w:rsid w:val="00706C16"/>
    <w:rsid w:val="00733DE9"/>
    <w:rsid w:val="00756841"/>
    <w:rsid w:val="007649AB"/>
    <w:rsid w:val="00771D0C"/>
    <w:rsid w:val="007833AC"/>
    <w:rsid w:val="00791542"/>
    <w:rsid w:val="00796645"/>
    <w:rsid w:val="007B268C"/>
    <w:rsid w:val="007B7171"/>
    <w:rsid w:val="007C0C0F"/>
    <w:rsid w:val="007C3DC2"/>
    <w:rsid w:val="007E5497"/>
    <w:rsid w:val="007F3948"/>
    <w:rsid w:val="0080023E"/>
    <w:rsid w:val="00806F5F"/>
    <w:rsid w:val="00820278"/>
    <w:rsid w:val="008843B6"/>
    <w:rsid w:val="00891928"/>
    <w:rsid w:val="008A446D"/>
    <w:rsid w:val="008B3CC8"/>
    <w:rsid w:val="008D180B"/>
    <w:rsid w:val="008F0EA7"/>
    <w:rsid w:val="00923EEF"/>
    <w:rsid w:val="00933F0E"/>
    <w:rsid w:val="009419F9"/>
    <w:rsid w:val="00943072"/>
    <w:rsid w:val="009520B1"/>
    <w:rsid w:val="0095685E"/>
    <w:rsid w:val="00961B09"/>
    <w:rsid w:val="00965334"/>
    <w:rsid w:val="0097093E"/>
    <w:rsid w:val="009826C4"/>
    <w:rsid w:val="009A0DFA"/>
    <w:rsid w:val="009B2D26"/>
    <w:rsid w:val="009C71FA"/>
    <w:rsid w:val="009C72E7"/>
    <w:rsid w:val="009D3058"/>
    <w:rsid w:val="009F3A13"/>
    <w:rsid w:val="00A122D3"/>
    <w:rsid w:val="00A17F13"/>
    <w:rsid w:val="00A20739"/>
    <w:rsid w:val="00A31D39"/>
    <w:rsid w:val="00A33C78"/>
    <w:rsid w:val="00A547EC"/>
    <w:rsid w:val="00AB0ADB"/>
    <w:rsid w:val="00B01B1A"/>
    <w:rsid w:val="00B3480A"/>
    <w:rsid w:val="00B4484B"/>
    <w:rsid w:val="00B512CC"/>
    <w:rsid w:val="00B72CD3"/>
    <w:rsid w:val="00B72FFF"/>
    <w:rsid w:val="00BC3D36"/>
    <w:rsid w:val="00BD7F72"/>
    <w:rsid w:val="00C04FB3"/>
    <w:rsid w:val="00C07B2A"/>
    <w:rsid w:val="00C21F74"/>
    <w:rsid w:val="00C330EB"/>
    <w:rsid w:val="00C754BE"/>
    <w:rsid w:val="00C7637C"/>
    <w:rsid w:val="00C76B1C"/>
    <w:rsid w:val="00C861EF"/>
    <w:rsid w:val="00CB6357"/>
    <w:rsid w:val="00CC1B26"/>
    <w:rsid w:val="00CE45D0"/>
    <w:rsid w:val="00D04465"/>
    <w:rsid w:val="00D36926"/>
    <w:rsid w:val="00D423A2"/>
    <w:rsid w:val="00D520D8"/>
    <w:rsid w:val="00D63AC2"/>
    <w:rsid w:val="00D72400"/>
    <w:rsid w:val="00D7383B"/>
    <w:rsid w:val="00D83911"/>
    <w:rsid w:val="00DA231B"/>
    <w:rsid w:val="00DA23A0"/>
    <w:rsid w:val="00DC39FC"/>
    <w:rsid w:val="00DD60C3"/>
    <w:rsid w:val="00DF3FB9"/>
    <w:rsid w:val="00DF5254"/>
    <w:rsid w:val="00E16408"/>
    <w:rsid w:val="00E20894"/>
    <w:rsid w:val="00E245AB"/>
    <w:rsid w:val="00E2764C"/>
    <w:rsid w:val="00E27F2E"/>
    <w:rsid w:val="00E413EA"/>
    <w:rsid w:val="00E41DB5"/>
    <w:rsid w:val="00E461A9"/>
    <w:rsid w:val="00E50AFE"/>
    <w:rsid w:val="00E740BF"/>
    <w:rsid w:val="00E749BE"/>
    <w:rsid w:val="00E75C92"/>
    <w:rsid w:val="00E771DC"/>
    <w:rsid w:val="00E8772A"/>
    <w:rsid w:val="00E90F6B"/>
    <w:rsid w:val="00E92C27"/>
    <w:rsid w:val="00E931A5"/>
    <w:rsid w:val="00EA0E3D"/>
    <w:rsid w:val="00EA6DF7"/>
    <w:rsid w:val="00EC38A7"/>
    <w:rsid w:val="00EE1AA8"/>
    <w:rsid w:val="00F13577"/>
    <w:rsid w:val="00F31EDC"/>
    <w:rsid w:val="00F36CC6"/>
    <w:rsid w:val="00F462B3"/>
    <w:rsid w:val="00F5664F"/>
    <w:rsid w:val="00F6065D"/>
    <w:rsid w:val="00F666C4"/>
    <w:rsid w:val="00F76AFC"/>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EE115020-C075-48BB-96DB-123066C9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customStyle="1" w:styleId="Mencinsinresolver1">
    <w:name w:val="Mención sin resolver1"/>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394125"/>
    <w:pPr>
      <w:spacing w:line="240" w:lineRule="exact"/>
    </w:pPr>
    <w:rPr>
      <w:vertAlign w:val="superscript"/>
    </w:rPr>
  </w:style>
  <w:style w:type="character" w:styleId="Refdecomentario">
    <w:name w:val="annotation reference"/>
    <w:basedOn w:val="Fuentedeprrafopredeter"/>
    <w:uiPriority w:val="99"/>
    <w:semiHidden/>
    <w:unhideWhenUsed/>
    <w:rsid w:val="00394125"/>
    <w:rPr>
      <w:sz w:val="16"/>
      <w:szCs w:val="16"/>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94125"/>
    <w:rPr>
      <w:rFonts w:ascii="Geomanist Light" w:hAnsi="Geomanist Light"/>
      <w:lang w:val="es-ES"/>
    </w:rPr>
  </w:style>
  <w:style w:type="character" w:customStyle="1" w:styleId="NormalWebCar">
    <w:name w:val="Normal (Web) Car"/>
    <w:link w:val="NormalWeb"/>
    <w:uiPriority w:val="99"/>
    <w:locked/>
    <w:rsid w:val="00394125"/>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C763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637C"/>
    <w:rPr>
      <w:rFonts w:ascii="Segoe UI" w:hAnsi="Segoe UI" w:cs="Segoe UI"/>
      <w:sz w:val="18"/>
      <w:szCs w:val="18"/>
    </w:rPr>
  </w:style>
  <w:style w:type="paragraph" w:styleId="Textocomentario">
    <w:name w:val="annotation text"/>
    <w:basedOn w:val="Normal"/>
    <w:link w:val="TextocomentarioCar"/>
    <w:uiPriority w:val="99"/>
    <w:semiHidden/>
    <w:unhideWhenUsed/>
    <w:rsid w:val="001E0D7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0D78"/>
    <w:rPr>
      <w:sz w:val="20"/>
      <w:szCs w:val="20"/>
    </w:rPr>
  </w:style>
  <w:style w:type="paragraph" w:styleId="Asuntodelcomentario">
    <w:name w:val="annotation subject"/>
    <w:basedOn w:val="Textocomentario"/>
    <w:next w:val="Textocomentario"/>
    <w:link w:val="AsuntodelcomentarioCar"/>
    <w:uiPriority w:val="99"/>
    <w:semiHidden/>
    <w:unhideWhenUsed/>
    <w:rsid w:val="001E0D78"/>
    <w:rPr>
      <w:b/>
      <w:bCs/>
    </w:rPr>
  </w:style>
  <w:style w:type="character" w:customStyle="1" w:styleId="AsuntodelcomentarioCar">
    <w:name w:val="Asunto del comentario Car"/>
    <w:basedOn w:val="TextocomentarioCar"/>
    <w:link w:val="Asuntodelcomentario"/>
    <w:uiPriority w:val="99"/>
    <w:semiHidden/>
    <w:rsid w:val="001E0D78"/>
    <w:rPr>
      <w:b/>
      <w:bCs/>
      <w:sz w:val="20"/>
      <w:szCs w:val="20"/>
    </w:rPr>
  </w:style>
  <w:style w:type="character" w:styleId="Textoennegrita">
    <w:name w:val="Strong"/>
    <w:basedOn w:val="Fuentedeprrafopredeter"/>
    <w:uiPriority w:val="22"/>
    <w:qFormat/>
    <w:rsid w:val="006B13BE"/>
    <w:rPr>
      <w:b/>
      <w:bCs/>
    </w:rPr>
  </w:style>
  <w:style w:type="character" w:customStyle="1" w:styleId="apple-converted-space">
    <w:name w:val="apple-converted-space"/>
    <w:basedOn w:val="Fuentedeprrafopredeter"/>
    <w:rsid w:val="006B13BE"/>
  </w:style>
  <w:style w:type="character" w:styleId="Mencinsinresolver">
    <w:name w:val="Unresolved Mention"/>
    <w:basedOn w:val="Fuentedeprrafopredeter"/>
    <w:uiPriority w:val="99"/>
    <w:semiHidden/>
    <w:unhideWhenUsed/>
    <w:rsid w:val="00D36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647894">
      <w:bodyDiv w:val="1"/>
      <w:marLeft w:val="0"/>
      <w:marRight w:val="0"/>
      <w:marTop w:val="0"/>
      <w:marBottom w:val="0"/>
      <w:divBdr>
        <w:top w:val="none" w:sz="0" w:space="0" w:color="auto"/>
        <w:left w:val="none" w:sz="0" w:space="0" w:color="auto"/>
        <w:bottom w:val="none" w:sz="0" w:space="0" w:color="auto"/>
        <w:right w:val="none" w:sz="0" w:space="0" w:color="auto"/>
      </w:divBdr>
      <w:divsChild>
        <w:div w:id="161511483">
          <w:marLeft w:val="0"/>
          <w:marRight w:val="0"/>
          <w:marTop w:val="0"/>
          <w:marBottom w:val="0"/>
          <w:divBdr>
            <w:top w:val="none" w:sz="0" w:space="0" w:color="auto"/>
            <w:left w:val="none" w:sz="0" w:space="0" w:color="auto"/>
            <w:bottom w:val="none" w:sz="0" w:space="0" w:color="auto"/>
            <w:right w:val="none" w:sz="0" w:space="0" w:color="auto"/>
          </w:divBdr>
          <w:divsChild>
            <w:div w:id="874007537">
              <w:marLeft w:val="0"/>
              <w:marRight w:val="0"/>
              <w:marTop w:val="0"/>
              <w:marBottom w:val="0"/>
              <w:divBdr>
                <w:top w:val="none" w:sz="0" w:space="0" w:color="auto"/>
                <w:left w:val="none" w:sz="0" w:space="0" w:color="auto"/>
                <w:bottom w:val="none" w:sz="0" w:space="0" w:color="auto"/>
                <w:right w:val="none" w:sz="0" w:space="0" w:color="auto"/>
              </w:divBdr>
              <w:divsChild>
                <w:div w:id="12866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214705581">
      <w:bodyDiv w:val="1"/>
      <w:marLeft w:val="0"/>
      <w:marRight w:val="0"/>
      <w:marTop w:val="0"/>
      <w:marBottom w:val="0"/>
      <w:divBdr>
        <w:top w:val="none" w:sz="0" w:space="0" w:color="auto"/>
        <w:left w:val="none" w:sz="0" w:space="0" w:color="auto"/>
        <w:bottom w:val="none" w:sz="0" w:space="0" w:color="auto"/>
        <w:right w:val="none" w:sz="0" w:space="0" w:color="auto"/>
      </w:divBdr>
      <w:divsChild>
        <w:div w:id="1749232645">
          <w:marLeft w:val="0"/>
          <w:marRight w:val="0"/>
          <w:marTop w:val="0"/>
          <w:marBottom w:val="0"/>
          <w:divBdr>
            <w:top w:val="none" w:sz="0" w:space="0" w:color="auto"/>
            <w:left w:val="none" w:sz="0" w:space="0" w:color="auto"/>
            <w:bottom w:val="none" w:sz="0" w:space="0" w:color="auto"/>
            <w:right w:val="none" w:sz="0" w:space="0" w:color="auto"/>
          </w:divBdr>
          <w:divsChild>
            <w:div w:id="2052611645">
              <w:marLeft w:val="0"/>
              <w:marRight w:val="0"/>
              <w:marTop w:val="0"/>
              <w:marBottom w:val="0"/>
              <w:divBdr>
                <w:top w:val="none" w:sz="0" w:space="0" w:color="auto"/>
                <w:left w:val="none" w:sz="0" w:space="0" w:color="auto"/>
                <w:bottom w:val="none" w:sz="0" w:space="0" w:color="auto"/>
                <w:right w:val="none" w:sz="0" w:space="0" w:color="auto"/>
              </w:divBdr>
              <w:divsChild>
                <w:div w:id="2405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6264">
          <w:marLeft w:val="0"/>
          <w:marRight w:val="0"/>
          <w:marTop w:val="0"/>
          <w:marBottom w:val="0"/>
          <w:divBdr>
            <w:top w:val="none" w:sz="0" w:space="0" w:color="auto"/>
            <w:left w:val="none" w:sz="0" w:space="0" w:color="auto"/>
            <w:bottom w:val="none" w:sz="0" w:space="0" w:color="auto"/>
            <w:right w:val="none" w:sz="0" w:space="0" w:color="auto"/>
          </w:divBdr>
          <w:divsChild>
            <w:div w:id="1942491052">
              <w:marLeft w:val="0"/>
              <w:marRight w:val="0"/>
              <w:marTop w:val="0"/>
              <w:marBottom w:val="0"/>
              <w:divBdr>
                <w:top w:val="none" w:sz="0" w:space="0" w:color="auto"/>
                <w:left w:val="none" w:sz="0" w:space="0" w:color="auto"/>
                <w:bottom w:val="none" w:sz="0" w:space="0" w:color="auto"/>
                <w:right w:val="none" w:sz="0" w:space="0" w:color="auto"/>
              </w:divBdr>
              <w:divsChild>
                <w:div w:id="164574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02762">
      <w:bodyDiv w:val="1"/>
      <w:marLeft w:val="0"/>
      <w:marRight w:val="0"/>
      <w:marTop w:val="0"/>
      <w:marBottom w:val="0"/>
      <w:divBdr>
        <w:top w:val="none" w:sz="0" w:space="0" w:color="auto"/>
        <w:left w:val="none" w:sz="0" w:space="0" w:color="auto"/>
        <w:bottom w:val="none" w:sz="0" w:space="0" w:color="auto"/>
        <w:right w:val="none" w:sz="0" w:space="0" w:color="auto"/>
      </w:divBdr>
      <w:divsChild>
        <w:div w:id="835613884">
          <w:marLeft w:val="0"/>
          <w:marRight w:val="0"/>
          <w:marTop w:val="0"/>
          <w:marBottom w:val="0"/>
          <w:divBdr>
            <w:top w:val="none" w:sz="0" w:space="0" w:color="auto"/>
            <w:left w:val="none" w:sz="0" w:space="0" w:color="auto"/>
            <w:bottom w:val="none" w:sz="0" w:space="0" w:color="auto"/>
            <w:right w:val="none" w:sz="0" w:space="0" w:color="auto"/>
          </w:divBdr>
          <w:divsChild>
            <w:div w:id="600917662">
              <w:marLeft w:val="0"/>
              <w:marRight w:val="0"/>
              <w:marTop w:val="0"/>
              <w:marBottom w:val="0"/>
              <w:divBdr>
                <w:top w:val="none" w:sz="0" w:space="0" w:color="auto"/>
                <w:left w:val="none" w:sz="0" w:space="0" w:color="auto"/>
                <w:bottom w:val="none" w:sz="0" w:space="0" w:color="auto"/>
                <w:right w:val="none" w:sz="0" w:space="0" w:color="auto"/>
              </w:divBdr>
              <w:divsChild>
                <w:div w:id="22749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16105">
      <w:bodyDiv w:val="1"/>
      <w:marLeft w:val="0"/>
      <w:marRight w:val="0"/>
      <w:marTop w:val="0"/>
      <w:marBottom w:val="0"/>
      <w:divBdr>
        <w:top w:val="none" w:sz="0" w:space="0" w:color="auto"/>
        <w:left w:val="none" w:sz="0" w:space="0" w:color="auto"/>
        <w:bottom w:val="none" w:sz="0" w:space="0" w:color="auto"/>
        <w:right w:val="none" w:sz="0" w:space="0" w:color="auto"/>
      </w:divBdr>
    </w:div>
    <w:div w:id="531962486">
      <w:bodyDiv w:val="1"/>
      <w:marLeft w:val="0"/>
      <w:marRight w:val="0"/>
      <w:marTop w:val="0"/>
      <w:marBottom w:val="0"/>
      <w:divBdr>
        <w:top w:val="none" w:sz="0" w:space="0" w:color="auto"/>
        <w:left w:val="none" w:sz="0" w:space="0" w:color="auto"/>
        <w:bottom w:val="none" w:sz="0" w:space="0" w:color="auto"/>
        <w:right w:val="none" w:sz="0" w:space="0" w:color="auto"/>
      </w:divBdr>
      <w:divsChild>
        <w:div w:id="647056300">
          <w:marLeft w:val="0"/>
          <w:marRight w:val="0"/>
          <w:marTop w:val="0"/>
          <w:marBottom w:val="0"/>
          <w:divBdr>
            <w:top w:val="none" w:sz="0" w:space="0" w:color="auto"/>
            <w:left w:val="none" w:sz="0" w:space="0" w:color="auto"/>
            <w:bottom w:val="none" w:sz="0" w:space="0" w:color="auto"/>
            <w:right w:val="none" w:sz="0" w:space="0" w:color="auto"/>
          </w:divBdr>
          <w:divsChild>
            <w:div w:id="691148195">
              <w:marLeft w:val="0"/>
              <w:marRight w:val="0"/>
              <w:marTop w:val="0"/>
              <w:marBottom w:val="0"/>
              <w:divBdr>
                <w:top w:val="none" w:sz="0" w:space="0" w:color="auto"/>
                <w:left w:val="none" w:sz="0" w:space="0" w:color="auto"/>
                <w:bottom w:val="none" w:sz="0" w:space="0" w:color="auto"/>
                <w:right w:val="none" w:sz="0" w:space="0" w:color="auto"/>
              </w:divBdr>
              <w:divsChild>
                <w:div w:id="9166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32979226">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755983268">
      <w:bodyDiv w:val="1"/>
      <w:marLeft w:val="0"/>
      <w:marRight w:val="0"/>
      <w:marTop w:val="0"/>
      <w:marBottom w:val="0"/>
      <w:divBdr>
        <w:top w:val="none" w:sz="0" w:space="0" w:color="auto"/>
        <w:left w:val="none" w:sz="0" w:space="0" w:color="auto"/>
        <w:bottom w:val="none" w:sz="0" w:space="0" w:color="auto"/>
        <w:right w:val="none" w:sz="0" w:space="0" w:color="auto"/>
      </w:divBdr>
      <w:divsChild>
        <w:div w:id="171604364">
          <w:marLeft w:val="0"/>
          <w:marRight w:val="0"/>
          <w:marTop w:val="0"/>
          <w:marBottom w:val="0"/>
          <w:divBdr>
            <w:top w:val="none" w:sz="0" w:space="0" w:color="auto"/>
            <w:left w:val="none" w:sz="0" w:space="0" w:color="auto"/>
            <w:bottom w:val="none" w:sz="0" w:space="0" w:color="auto"/>
            <w:right w:val="none" w:sz="0" w:space="0" w:color="auto"/>
          </w:divBdr>
          <w:divsChild>
            <w:div w:id="1977418525">
              <w:marLeft w:val="0"/>
              <w:marRight w:val="0"/>
              <w:marTop w:val="0"/>
              <w:marBottom w:val="0"/>
              <w:divBdr>
                <w:top w:val="none" w:sz="0" w:space="0" w:color="auto"/>
                <w:left w:val="none" w:sz="0" w:space="0" w:color="auto"/>
                <w:bottom w:val="none" w:sz="0" w:space="0" w:color="auto"/>
                <w:right w:val="none" w:sz="0" w:space="0" w:color="auto"/>
              </w:divBdr>
              <w:divsChild>
                <w:div w:id="1228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5853">
      <w:bodyDiv w:val="1"/>
      <w:marLeft w:val="0"/>
      <w:marRight w:val="0"/>
      <w:marTop w:val="0"/>
      <w:marBottom w:val="0"/>
      <w:divBdr>
        <w:top w:val="none" w:sz="0" w:space="0" w:color="auto"/>
        <w:left w:val="none" w:sz="0" w:space="0" w:color="auto"/>
        <w:bottom w:val="none" w:sz="0" w:space="0" w:color="auto"/>
        <w:right w:val="none" w:sz="0" w:space="0" w:color="auto"/>
      </w:divBdr>
      <w:divsChild>
        <w:div w:id="1193415899">
          <w:marLeft w:val="0"/>
          <w:marRight w:val="0"/>
          <w:marTop w:val="0"/>
          <w:marBottom w:val="0"/>
          <w:divBdr>
            <w:top w:val="none" w:sz="0" w:space="0" w:color="auto"/>
            <w:left w:val="none" w:sz="0" w:space="0" w:color="auto"/>
            <w:bottom w:val="none" w:sz="0" w:space="0" w:color="auto"/>
            <w:right w:val="none" w:sz="0" w:space="0" w:color="auto"/>
          </w:divBdr>
          <w:divsChild>
            <w:div w:id="113134139">
              <w:marLeft w:val="0"/>
              <w:marRight w:val="0"/>
              <w:marTop w:val="0"/>
              <w:marBottom w:val="0"/>
              <w:divBdr>
                <w:top w:val="none" w:sz="0" w:space="0" w:color="auto"/>
                <w:left w:val="none" w:sz="0" w:space="0" w:color="auto"/>
                <w:bottom w:val="none" w:sz="0" w:space="0" w:color="auto"/>
                <w:right w:val="none" w:sz="0" w:space="0" w:color="auto"/>
              </w:divBdr>
              <w:divsChild>
                <w:div w:id="2360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92194">
      <w:bodyDiv w:val="1"/>
      <w:marLeft w:val="0"/>
      <w:marRight w:val="0"/>
      <w:marTop w:val="0"/>
      <w:marBottom w:val="0"/>
      <w:divBdr>
        <w:top w:val="none" w:sz="0" w:space="0" w:color="auto"/>
        <w:left w:val="none" w:sz="0" w:space="0" w:color="auto"/>
        <w:bottom w:val="none" w:sz="0" w:space="0" w:color="auto"/>
        <w:right w:val="none" w:sz="0" w:space="0" w:color="auto"/>
      </w:divBdr>
      <w:divsChild>
        <w:div w:id="1208760862">
          <w:marLeft w:val="0"/>
          <w:marRight w:val="0"/>
          <w:marTop w:val="0"/>
          <w:marBottom w:val="0"/>
          <w:divBdr>
            <w:top w:val="none" w:sz="0" w:space="0" w:color="auto"/>
            <w:left w:val="none" w:sz="0" w:space="0" w:color="auto"/>
            <w:bottom w:val="none" w:sz="0" w:space="0" w:color="auto"/>
            <w:right w:val="none" w:sz="0" w:space="0" w:color="auto"/>
          </w:divBdr>
          <w:divsChild>
            <w:div w:id="80640077">
              <w:marLeft w:val="0"/>
              <w:marRight w:val="0"/>
              <w:marTop w:val="0"/>
              <w:marBottom w:val="0"/>
              <w:divBdr>
                <w:top w:val="none" w:sz="0" w:space="0" w:color="auto"/>
                <w:left w:val="none" w:sz="0" w:space="0" w:color="auto"/>
                <w:bottom w:val="none" w:sz="0" w:space="0" w:color="auto"/>
                <w:right w:val="none" w:sz="0" w:space="0" w:color="auto"/>
              </w:divBdr>
              <w:divsChild>
                <w:div w:id="69107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32545491">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75937267">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431270514">
      <w:bodyDiv w:val="1"/>
      <w:marLeft w:val="0"/>
      <w:marRight w:val="0"/>
      <w:marTop w:val="0"/>
      <w:marBottom w:val="0"/>
      <w:divBdr>
        <w:top w:val="none" w:sz="0" w:space="0" w:color="auto"/>
        <w:left w:val="none" w:sz="0" w:space="0" w:color="auto"/>
        <w:bottom w:val="none" w:sz="0" w:space="0" w:color="auto"/>
        <w:right w:val="none" w:sz="0" w:space="0" w:color="auto"/>
      </w:divBdr>
      <w:divsChild>
        <w:div w:id="2032220036">
          <w:marLeft w:val="0"/>
          <w:marRight w:val="0"/>
          <w:marTop w:val="0"/>
          <w:marBottom w:val="0"/>
          <w:divBdr>
            <w:top w:val="none" w:sz="0" w:space="0" w:color="auto"/>
            <w:left w:val="none" w:sz="0" w:space="0" w:color="auto"/>
            <w:bottom w:val="none" w:sz="0" w:space="0" w:color="auto"/>
            <w:right w:val="none" w:sz="0" w:space="0" w:color="auto"/>
          </w:divBdr>
          <w:divsChild>
            <w:div w:id="1237933953">
              <w:marLeft w:val="0"/>
              <w:marRight w:val="0"/>
              <w:marTop w:val="0"/>
              <w:marBottom w:val="0"/>
              <w:divBdr>
                <w:top w:val="none" w:sz="0" w:space="0" w:color="auto"/>
                <w:left w:val="none" w:sz="0" w:space="0" w:color="auto"/>
                <w:bottom w:val="none" w:sz="0" w:space="0" w:color="auto"/>
                <w:right w:val="none" w:sz="0" w:space="0" w:color="auto"/>
              </w:divBdr>
              <w:divsChild>
                <w:div w:id="159837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20547">
      <w:bodyDiv w:val="1"/>
      <w:marLeft w:val="0"/>
      <w:marRight w:val="0"/>
      <w:marTop w:val="0"/>
      <w:marBottom w:val="0"/>
      <w:divBdr>
        <w:top w:val="none" w:sz="0" w:space="0" w:color="auto"/>
        <w:left w:val="none" w:sz="0" w:space="0" w:color="auto"/>
        <w:bottom w:val="none" w:sz="0" w:space="0" w:color="auto"/>
        <w:right w:val="none" w:sz="0" w:space="0" w:color="auto"/>
      </w:divBdr>
      <w:divsChild>
        <w:div w:id="1646155360">
          <w:marLeft w:val="0"/>
          <w:marRight w:val="0"/>
          <w:marTop w:val="0"/>
          <w:marBottom w:val="0"/>
          <w:divBdr>
            <w:top w:val="none" w:sz="0" w:space="0" w:color="auto"/>
            <w:left w:val="none" w:sz="0" w:space="0" w:color="auto"/>
            <w:bottom w:val="none" w:sz="0" w:space="0" w:color="auto"/>
            <w:right w:val="none" w:sz="0" w:space="0" w:color="auto"/>
          </w:divBdr>
          <w:divsChild>
            <w:div w:id="927345453">
              <w:marLeft w:val="0"/>
              <w:marRight w:val="0"/>
              <w:marTop w:val="0"/>
              <w:marBottom w:val="0"/>
              <w:divBdr>
                <w:top w:val="none" w:sz="0" w:space="0" w:color="auto"/>
                <w:left w:val="none" w:sz="0" w:space="0" w:color="auto"/>
                <w:bottom w:val="none" w:sz="0" w:space="0" w:color="auto"/>
                <w:right w:val="none" w:sz="0" w:space="0" w:color="auto"/>
              </w:divBdr>
              <w:divsChild>
                <w:div w:id="16870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7915">
          <w:marLeft w:val="0"/>
          <w:marRight w:val="0"/>
          <w:marTop w:val="0"/>
          <w:marBottom w:val="0"/>
          <w:divBdr>
            <w:top w:val="none" w:sz="0" w:space="0" w:color="auto"/>
            <w:left w:val="none" w:sz="0" w:space="0" w:color="auto"/>
            <w:bottom w:val="none" w:sz="0" w:space="0" w:color="auto"/>
            <w:right w:val="none" w:sz="0" w:space="0" w:color="auto"/>
          </w:divBdr>
          <w:divsChild>
            <w:div w:id="81336899">
              <w:marLeft w:val="0"/>
              <w:marRight w:val="0"/>
              <w:marTop w:val="0"/>
              <w:marBottom w:val="0"/>
              <w:divBdr>
                <w:top w:val="none" w:sz="0" w:space="0" w:color="auto"/>
                <w:left w:val="none" w:sz="0" w:space="0" w:color="auto"/>
                <w:bottom w:val="none" w:sz="0" w:space="0" w:color="auto"/>
                <w:right w:val="none" w:sz="0" w:space="0" w:color="auto"/>
              </w:divBdr>
              <w:divsChild>
                <w:div w:id="1176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28011">
      <w:bodyDiv w:val="1"/>
      <w:marLeft w:val="0"/>
      <w:marRight w:val="0"/>
      <w:marTop w:val="0"/>
      <w:marBottom w:val="0"/>
      <w:divBdr>
        <w:top w:val="none" w:sz="0" w:space="0" w:color="auto"/>
        <w:left w:val="none" w:sz="0" w:space="0" w:color="auto"/>
        <w:bottom w:val="none" w:sz="0" w:space="0" w:color="auto"/>
        <w:right w:val="none" w:sz="0" w:space="0" w:color="auto"/>
      </w:divBdr>
      <w:divsChild>
        <w:div w:id="1125192964">
          <w:marLeft w:val="0"/>
          <w:marRight w:val="0"/>
          <w:marTop w:val="0"/>
          <w:marBottom w:val="0"/>
          <w:divBdr>
            <w:top w:val="none" w:sz="0" w:space="0" w:color="auto"/>
            <w:left w:val="none" w:sz="0" w:space="0" w:color="auto"/>
            <w:bottom w:val="none" w:sz="0" w:space="0" w:color="auto"/>
            <w:right w:val="none" w:sz="0" w:space="0" w:color="auto"/>
          </w:divBdr>
          <w:divsChild>
            <w:div w:id="616908930">
              <w:marLeft w:val="0"/>
              <w:marRight w:val="0"/>
              <w:marTop w:val="0"/>
              <w:marBottom w:val="0"/>
              <w:divBdr>
                <w:top w:val="none" w:sz="0" w:space="0" w:color="auto"/>
                <w:left w:val="none" w:sz="0" w:space="0" w:color="auto"/>
                <w:bottom w:val="none" w:sz="0" w:space="0" w:color="auto"/>
                <w:right w:val="none" w:sz="0" w:space="0" w:color="auto"/>
              </w:divBdr>
              <w:divsChild>
                <w:div w:id="9044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22895">
          <w:marLeft w:val="0"/>
          <w:marRight w:val="0"/>
          <w:marTop w:val="0"/>
          <w:marBottom w:val="0"/>
          <w:divBdr>
            <w:top w:val="none" w:sz="0" w:space="0" w:color="auto"/>
            <w:left w:val="none" w:sz="0" w:space="0" w:color="auto"/>
            <w:bottom w:val="none" w:sz="0" w:space="0" w:color="auto"/>
            <w:right w:val="none" w:sz="0" w:space="0" w:color="auto"/>
          </w:divBdr>
          <w:divsChild>
            <w:div w:id="482890369">
              <w:marLeft w:val="0"/>
              <w:marRight w:val="0"/>
              <w:marTop w:val="0"/>
              <w:marBottom w:val="0"/>
              <w:divBdr>
                <w:top w:val="none" w:sz="0" w:space="0" w:color="auto"/>
                <w:left w:val="none" w:sz="0" w:space="0" w:color="auto"/>
                <w:bottom w:val="none" w:sz="0" w:space="0" w:color="auto"/>
                <w:right w:val="none" w:sz="0" w:space="0" w:color="auto"/>
              </w:divBdr>
              <w:divsChild>
                <w:div w:id="15260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170799">
      <w:bodyDiv w:val="1"/>
      <w:marLeft w:val="0"/>
      <w:marRight w:val="0"/>
      <w:marTop w:val="0"/>
      <w:marBottom w:val="0"/>
      <w:divBdr>
        <w:top w:val="none" w:sz="0" w:space="0" w:color="auto"/>
        <w:left w:val="none" w:sz="0" w:space="0" w:color="auto"/>
        <w:bottom w:val="none" w:sz="0" w:space="0" w:color="auto"/>
        <w:right w:val="none" w:sz="0" w:space="0" w:color="auto"/>
      </w:divBdr>
    </w:div>
    <w:div w:id="1636985650">
      <w:bodyDiv w:val="1"/>
      <w:marLeft w:val="0"/>
      <w:marRight w:val="0"/>
      <w:marTop w:val="0"/>
      <w:marBottom w:val="0"/>
      <w:divBdr>
        <w:top w:val="none" w:sz="0" w:space="0" w:color="auto"/>
        <w:left w:val="none" w:sz="0" w:space="0" w:color="auto"/>
        <w:bottom w:val="none" w:sz="0" w:space="0" w:color="auto"/>
        <w:right w:val="none" w:sz="0" w:space="0" w:color="auto"/>
      </w:divBdr>
    </w:div>
    <w:div w:id="1713653363">
      <w:bodyDiv w:val="1"/>
      <w:marLeft w:val="0"/>
      <w:marRight w:val="0"/>
      <w:marTop w:val="0"/>
      <w:marBottom w:val="0"/>
      <w:divBdr>
        <w:top w:val="none" w:sz="0" w:space="0" w:color="auto"/>
        <w:left w:val="none" w:sz="0" w:space="0" w:color="auto"/>
        <w:bottom w:val="none" w:sz="0" w:space="0" w:color="auto"/>
        <w:right w:val="none" w:sz="0" w:space="0" w:color="auto"/>
      </w:divBdr>
      <w:divsChild>
        <w:div w:id="23218450">
          <w:marLeft w:val="0"/>
          <w:marRight w:val="0"/>
          <w:marTop w:val="0"/>
          <w:marBottom w:val="0"/>
          <w:divBdr>
            <w:top w:val="none" w:sz="0" w:space="0" w:color="auto"/>
            <w:left w:val="none" w:sz="0" w:space="0" w:color="auto"/>
            <w:bottom w:val="none" w:sz="0" w:space="0" w:color="auto"/>
            <w:right w:val="none" w:sz="0" w:space="0" w:color="auto"/>
          </w:divBdr>
          <w:divsChild>
            <w:div w:id="1766732520">
              <w:marLeft w:val="0"/>
              <w:marRight w:val="0"/>
              <w:marTop w:val="0"/>
              <w:marBottom w:val="0"/>
              <w:divBdr>
                <w:top w:val="none" w:sz="0" w:space="0" w:color="auto"/>
                <w:left w:val="none" w:sz="0" w:space="0" w:color="auto"/>
                <w:bottom w:val="none" w:sz="0" w:space="0" w:color="auto"/>
                <w:right w:val="none" w:sz="0" w:space="0" w:color="auto"/>
              </w:divBdr>
              <w:divsChild>
                <w:div w:id="80677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74631">
      <w:bodyDiv w:val="1"/>
      <w:marLeft w:val="0"/>
      <w:marRight w:val="0"/>
      <w:marTop w:val="0"/>
      <w:marBottom w:val="0"/>
      <w:divBdr>
        <w:top w:val="none" w:sz="0" w:space="0" w:color="auto"/>
        <w:left w:val="none" w:sz="0" w:space="0" w:color="auto"/>
        <w:bottom w:val="none" w:sz="0" w:space="0" w:color="auto"/>
        <w:right w:val="none" w:sz="0" w:space="0" w:color="auto"/>
      </w:divBdr>
      <w:divsChild>
        <w:div w:id="1948074798">
          <w:marLeft w:val="0"/>
          <w:marRight w:val="0"/>
          <w:marTop w:val="0"/>
          <w:marBottom w:val="0"/>
          <w:divBdr>
            <w:top w:val="none" w:sz="0" w:space="0" w:color="auto"/>
            <w:left w:val="none" w:sz="0" w:space="0" w:color="auto"/>
            <w:bottom w:val="none" w:sz="0" w:space="0" w:color="auto"/>
            <w:right w:val="none" w:sz="0" w:space="0" w:color="auto"/>
          </w:divBdr>
          <w:divsChild>
            <w:div w:id="584270132">
              <w:marLeft w:val="0"/>
              <w:marRight w:val="0"/>
              <w:marTop w:val="0"/>
              <w:marBottom w:val="0"/>
              <w:divBdr>
                <w:top w:val="none" w:sz="0" w:space="0" w:color="auto"/>
                <w:left w:val="none" w:sz="0" w:space="0" w:color="auto"/>
                <w:bottom w:val="none" w:sz="0" w:space="0" w:color="auto"/>
                <w:right w:val="none" w:sz="0" w:space="0" w:color="auto"/>
              </w:divBdr>
              <w:divsChild>
                <w:div w:id="31571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80387">
      <w:bodyDiv w:val="1"/>
      <w:marLeft w:val="0"/>
      <w:marRight w:val="0"/>
      <w:marTop w:val="0"/>
      <w:marBottom w:val="0"/>
      <w:divBdr>
        <w:top w:val="none" w:sz="0" w:space="0" w:color="auto"/>
        <w:left w:val="none" w:sz="0" w:space="0" w:color="auto"/>
        <w:bottom w:val="none" w:sz="0" w:space="0" w:color="auto"/>
        <w:right w:val="none" w:sz="0" w:space="0" w:color="auto"/>
      </w:divBdr>
      <w:divsChild>
        <w:div w:id="2099060901">
          <w:marLeft w:val="0"/>
          <w:marRight w:val="0"/>
          <w:marTop w:val="0"/>
          <w:marBottom w:val="0"/>
          <w:divBdr>
            <w:top w:val="none" w:sz="0" w:space="0" w:color="auto"/>
            <w:left w:val="none" w:sz="0" w:space="0" w:color="auto"/>
            <w:bottom w:val="none" w:sz="0" w:space="0" w:color="auto"/>
            <w:right w:val="none" w:sz="0" w:space="0" w:color="auto"/>
          </w:divBdr>
          <w:divsChild>
            <w:div w:id="228196992">
              <w:marLeft w:val="0"/>
              <w:marRight w:val="0"/>
              <w:marTop w:val="0"/>
              <w:marBottom w:val="0"/>
              <w:divBdr>
                <w:top w:val="none" w:sz="0" w:space="0" w:color="auto"/>
                <w:left w:val="none" w:sz="0" w:space="0" w:color="auto"/>
                <w:bottom w:val="none" w:sz="0" w:space="0" w:color="auto"/>
                <w:right w:val="none" w:sz="0" w:space="0" w:color="auto"/>
              </w:divBdr>
              <w:divsChild>
                <w:div w:id="177871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69683">
          <w:marLeft w:val="0"/>
          <w:marRight w:val="0"/>
          <w:marTop w:val="0"/>
          <w:marBottom w:val="0"/>
          <w:divBdr>
            <w:top w:val="none" w:sz="0" w:space="0" w:color="auto"/>
            <w:left w:val="none" w:sz="0" w:space="0" w:color="auto"/>
            <w:bottom w:val="none" w:sz="0" w:space="0" w:color="auto"/>
            <w:right w:val="none" w:sz="0" w:space="0" w:color="auto"/>
          </w:divBdr>
          <w:divsChild>
            <w:div w:id="1794590072">
              <w:marLeft w:val="0"/>
              <w:marRight w:val="0"/>
              <w:marTop w:val="0"/>
              <w:marBottom w:val="0"/>
              <w:divBdr>
                <w:top w:val="none" w:sz="0" w:space="0" w:color="auto"/>
                <w:left w:val="none" w:sz="0" w:space="0" w:color="auto"/>
                <w:bottom w:val="none" w:sz="0" w:space="0" w:color="auto"/>
                <w:right w:val="none" w:sz="0" w:space="0" w:color="auto"/>
              </w:divBdr>
              <w:divsChild>
                <w:div w:id="15548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87274">
      <w:bodyDiv w:val="1"/>
      <w:marLeft w:val="0"/>
      <w:marRight w:val="0"/>
      <w:marTop w:val="0"/>
      <w:marBottom w:val="0"/>
      <w:divBdr>
        <w:top w:val="none" w:sz="0" w:space="0" w:color="auto"/>
        <w:left w:val="none" w:sz="0" w:space="0" w:color="auto"/>
        <w:bottom w:val="none" w:sz="0" w:space="0" w:color="auto"/>
        <w:right w:val="none" w:sz="0" w:space="0" w:color="auto"/>
      </w:divBdr>
    </w:div>
    <w:div w:id="1991709269">
      <w:bodyDiv w:val="1"/>
      <w:marLeft w:val="0"/>
      <w:marRight w:val="0"/>
      <w:marTop w:val="0"/>
      <w:marBottom w:val="0"/>
      <w:divBdr>
        <w:top w:val="none" w:sz="0" w:space="0" w:color="auto"/>
        <w:left w:val="none" w:sz="0" w:space="0" w:color="auto"/>
        <w:bottom w:val="none" w:sz="0" w:space="0" w:color="auto"/>
        <w:right w:val="none" w:sz="0" w:space="0" w:color="auto"/>
      </w:divBdr>
      <w:divsChild>
        <w:div w:id="219370665">
          <w:marLeft w:val="0"/>
          <w:marRight w:val="0"/>
          <w:marTop w:val="0"/>
          <w:marBottom w:val="0"/>
          <w:divBdr>
            <w:top w:val="none" w:sz="0" w:space="0" w:color="auto"/>
            <w:left w:val="none" w:sz="0" w:space="0" w:color="auto"/>
            <w:bottom w:val="none" w:sz="0" w:space="0" w:color="auto"/>
            <w:right w:val="none" w:sz="0" w:space="0" w:color="auto"/>
          </w:divBdr>
          <w:divsChild>
            <w:div w:id="2048674298">
              <w:marLeft w:val="0"/>
              <w:marRight w:val="0"/>
              <w:marTop w:val="0"/>
              <w:marBottom w:val="0"/>
              <w:divBdr>
                <w:top w:val="none" w:sz="0" w:space="0" w:color="auto"/>
                <w:left w:val="none" w:sz="0" w:space="0" w:color="auto"/>
                <w:bottom w:val="none" w:sz="0" w:space="0" w:color="auto"/>
                <w:right w:val="none" w:sz="0" w:space="0" w:color="auto"/>
              </w:divBdr>
              <w:divsChild>
                <w:div w:id="104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17509">
          <w:marLeft w:val="0"/>
          <w:marRight w:val="0"/>
          <w:marTop w:val="0"/>
          <w:marBottom w:val="0"/>
          <w:divBdr>
            <w:top w:val="none" w:sz="0" w:space="0" w:color="auto"/>
            <w:left w:val="none" w:sz="0" w:space="0" w:color="auto"/>
            <w:bottom w:val="none" w:sz="0" w:space="0" w:color="auto"/>
            <w:right w:val="none" w:sz="0" w:space="0" w:color="auto"/>
          </w:divBdr>
          <w:divsChild>
            <w:div w:id="2039700524">
              <w:marLeft w:val="0"/>
              <w:marRight w:val="0"/>
              <w:marTop w:val="0"/>
              <w:marBottom w:val="0"/>
              <w:divBdr>
                <w:top w:val="none" w:sz="0" w:space="0" w:color="auto"/>
                <w:left w:val="none" w:sz="0" w:space="0" w:color="auto"/>
                <w:bottom w:val="none" w:sz="0" w:space="0" w:color="auto"/>
                <w:right w:val="none" w:sz="0" w:space="0" w:color="auto"/>
              </w:divBdr>
              <w:divsChild>
                <w:div w:id="19989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026709981">
      <w:bodyDiv w:val="1"/>
      <w:marLeft w:val="0"/>
      <w:marRight w:val="0"/>
      <w:marTop w:val="0"/>
      <w:marBottom w:val="0"/>
      <w:divBdr>
        <w:top w:val="none" w:sz="0" w:space="0" w:color="auto"/>
        <w:left w:val="none" w:sz="0" w:space="0" w:color="auto"/>
        <w:bottom w:val="none" w:sz="0" w:space="0" w:color="auto"/>
        <w:right w:val="none" w:sz="0" w:space="0" w:color="auto"/>
      </w:divBdr>
      <w:divsChild>
        <w:div w:id="1239822128">
          <w:marLeft w:val="0"/>
          <w:marRight w:val="0"/>
          <w:marTop w:val="0"/>
          <w:marBottom w:val="0"/>
          <w:divBdr>
            <w:top w:val="none" w:sz="0" w:space="0" w:color="auto"/>
            <w:left w:val="none" w:sz="0" w:space="0" w:color="auto"/>
            <w:bottom w:val="none" w:sz="0" w:space="0" w:color="auto"/>
            <w:right w:val="none" w:sz="0" w:space="0" w:color="auto"/>
          </w:divBdr>
          <w:divsChild>
            <w:div w:id="718432652">
              <w:marLeft w:val="0"/>
              <w:marRight w:val="0"/>
              <w:marTop w:val="0"/>
              <w:marBottom w:val="0"/>
              <w:divBdr>
                <w:top w:val="none" w:sz="0" w:space="0" w:color="auto"/>
                <w:left w:val="none" w:sz="0" w:space="0" w:color="auto"/>
                <w:bottom w:val="none" w:sz="0" w:space="0" w:color="auto"/>
                <w:right w:val="none" w:sz="0" w:space="0" w:color="auto"/>
              </w:divBdr>
              <w:divsChild>
                <w:div w:id="4442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53150">
          <w:marLeft w:val="0"/>
          <w:marRight w:val="0"/>
          <w:marTop w:val="0"/>
          <w:marBottom w:val="0"/>
          <w:divBdr>
            <w:top w:val="none" w:sz="0" w:space="0" w:color="auto"/>
            <w:left w:val="none" w:sz="0" w:space="0" w:color="auto"/>
            <w:bottom w:val="none" w:sz="0" w:space="0" w:color="auto"/>
            <w:right w:val="none" w:sz="0" w:space="0" w:color="auto"/>
          </w:divBdr>
          <w:divsChild>
            <w:div w:id="2013069996">
              <w:marLeft w:val="0"/>
              <w:marRight w:val="0"/>
              <w:marTop w:val="0"/>
              <w:marBottom w:val="0"/>
              <w:divBdr>
                <w:top w:val="none" w:sz="0" w:space="0" w:color="auto"/>
                <w:left w:val="none" w:sz="0" w:space="0" w:color="auto"/>
                <w:bottom w:val="none" w:sz="0" w:space="0" w:color="auto"/>
                <w:right w:val="none" w:sz="0" w:space="0" w:color="auto"/>
              </w:divBdr>
              <w:divsChild>
                <w:div w:id="14622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busqueda/concepto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fia.gonzalezb@urosario.edu.c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sala-de-prensa/boletin-digita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relatoria.colombiacompra.gov.co/busqueda/conceptos" TargetMode="External"/><Relationship Id="rId1" Type="http://schemas.openxmlformats.org/officeDocument/2006/relationships/hyperlink" Target="https://colaboracion.dnp.gov.co/CDT/Normatividad/DECRETO%20579%20DEL%2031%20DE%20MAYO%20DE%20202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Props1.xml><?xml version="1.0" encoding="utf-8"?>
<ds:datastoreItem xmlns:ds="http://schemas.openxmlformats.org/officeDocument/2006/customXml" ds:itemID="{27F6A5C2-B26B-4C66-B195-58324554B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08F526-4EC0-4C50-9797-6ED77D115579}">
  <ds:schemaRefs>
    <ds:schemaRef ds:uri="http://schemas.openxmlformats.org/officeDocument/2006/bibliography"/>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18</Pages>
  <Words>5667</Words>
  <Characters>31173</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31</cp:revision>
  <cp:lastPrinted>2023-01-10T21:18:00Z</cp:lastPrinted>
  <dcterms:created xsi:type="dcterms:W3CDTF">2024-09-12T14:16:00Z</dcterms:created>
  <dcterms:modified xsi:type="dcterms:W3CDTF">2024-10-17T14:29:00Z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