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D5999" w14:textId="77777777" w:rsidR="009F0B57" w:rsidRDefault="009F0B57" w:rsidP="009F0B57">
      <w:pPr>
        <w:spacing w:after="0" w:line="240" w:lineRule="auto"/>
        <w:jc w:val="both"/>
        <w:rPr>
          <w:rFonts w:ascii="Verdana" w:hAnsi="Verdana" w:cs="Arial"/>
          <w:lang w:val="es-MX"/>
        </w:rPr>
      </w:pPr>
    </w:p>
    <w:p w14:paraId="1742FEFA" w14:textId="59139C58" w:rsidR="009F0B57" w:rsidRPr="00C91D87" w:rsidRDefault="009F0B57" w:rsidP="009F0B57">
      <w:pPr>
        <w:spacing w:after="0" w:line="240" w:lineRule="auto"/>
        <w:jc w:val="both"/>
        <w:rPr>
          <w:rFonts w:ascii="Verdana" w:eastAsia="Calibri" w:hAnsi="Verdana" w:cs="Arial"/>
          <w:b/>
          <w:lang w:val="es-ES" w:eastAsia="es-ES"/>
        </w:rPr>
      </w:pPr>
      <w:r w:rsidRPr="00C91D87">
        <w:rPr>
          <w:rFonts w:ascii="Verdana" w:eastAsia="Calibri" w:hAnsi="Verdana" w:cs="Arial"/>
          <w:b/>
          <w:lang w:val="es-ES" w:eastAsia="es-ES"/>
        </w:rPr>
        <w:t>PLIEGO DE CONDICIONES – Objet</w:t>
      </w:r>
      <w:r w:rsidR="008D5F5F" w:rsidRPr="00C91D87">
        <w:rPr>
          <w:rFonts w:ascii="Verdana" w:eastAsia="Calibri" w:hAnsi="Verdana" w:cs="Arial"/>
          <w:b/>
          <w:lang w:val="es-ES" w:eastAsia="es-ES"/>
        </w:rPr>
        <w:t xml:space="preserve">o y </w:t>
      </w:r>
      <w:r w:rsidR="008D5F5F" w:rsidRPr="00C91D87">
        <w:rPr>
          <w:rFonts w:ascii="Verdana" w:eastAsia="Calibri" w:hAnsi="Verdana" w:cs="Arial"/>
          <w:b/>
          <w:lang w:val="es-ES" w:eastAsia="es-ES"/>
        </w:rPr>
        <w:tab/>
        <w:t>Normativa</w:t>
      </w:r>
    </w:p>
    <w:p w14:paraId="003C7FBC" w14:textId="77777777" w:rsidR="009F0B57" w:rsidRPr="00C91D87" w:rsidRDefault="009F0B57" w:rsidP="009F0B57">
      <w:pPr>
        <w:spacing w:after="0" w:line="240" w:lineRule="auto"/>
        <w:jc w:val="both"/>
        <w:rPr>
          <w:rFonts w:ascii="Verdana" w:eastAsia="Calibri" w:hAnsi="Verdana" w:cs="Arial"/>
          <w:b/>
          <w:lang w:val="es-ES" w:eastAsia="es-ES"/>
        </w:rPr>
      </w:pPr>
    </w:p>
    <w:p w14:paraId="2BFD0AA4" w14:textId="77777777" w:rsidR="009F0B57" w:rsidRPr="00C91D87" w:rsidRDefault="009F0B57" w:rsidP="008508D8">
      <w:pPr>
        <w:spacing w:after="120" w:line="240" w:lineRule="auto"/>
        <w:jc w:val="both"/>
        <w:rPr>
          <w:rFonts w:ascii="Verdana" w:hAnsi="Verdana"/>
          <w:lang w:val="es-MX"/>
        </w:rPr>
      </w:pPr>
      <w:r w:rsidRPr="00C91D87">
        <w:rPr>
          <w:rFonts w:ascii="Verdana" w:hAnsi="Verdana"/>
          <w:lang w:val="es-MX"/>
        </w:rPr>
        <w:t xml:space="preserve">Mas allá del cumplimiento de la normativa, </w:t>
      </w:r>
      <w:r w:rsidRPr="00C91D87">
        <w:rPr>
          <w:rFonts w:ascii="Verdana" w:hAnsi="Verdana"/>
          <w:i/>
          <w:iCs/>
          <w:lang w:val="es-MX"/>
        </w:rPr>
        <w:t>“los estudios y documentos previos son el soporte para elaborar el proyecto de pliegos, los pliegos de condiciones, y el contrato”,</w:t>
      </w:r>
      <w:r w:rsidRPr="00C91D87">
        <w:rPr>
          <w:rFonts w:ascii="Verdana" w:hAnsi="Verdana"/>
          <w:lang w:val="es-MX"/>
        </w:rPr>
        <w:t xml:space="preserve">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258E0A07" w14:textId="77777777" w:rsidR="009F0B57" w:rsidRPr="00C91D87" w:rsidRDefault="009F0B57" w:rsidP="009F0B57">
      <w:pPr>
        <w:spacing w:after="0" w:line="240" w:lineRule="auto"/>
        <w:jc w:val="both"/>
        <w:rPr>
          <w:rFonts w:ascii="Verdana" w:hAnsi="Verdana"/>
          <w:lang w:val="es-MX"/>
        </w:rPr>
      </w:pPr>
      <w:r w:rsidRPr="00C91D87">
        <w:rPr>
          <w:rFonts w:ascii="Verdana" w:hAnsi="Verdana"/>
          <w:lang w:val="es-MX"/>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p>
    <w:p w14:paraId="1C167CF3" w14:textId="77777777" w:rsidR="00251B3A" w:rsidRPr="00C91D87" w:rsidRDefault="00251B3A" w:rsidP="00251B3A">
      <w:pPr>
        <w:spacing w:after="0" w:line="240" w:lineRule="auto"/>
        <w:jc w:val="both"/>
        <w:rPr>
          <w:rFonts w:ascii="Verdana" w:hAnsi="Verdana"/>
          <w:lang w:val="es-MX"/>
        </w:rPr>
      </w:pPr>
    </w:p>
    <w:p w14:paraId="649C6BA4" w14:textId="03C68838" w:rsidR="008D5F5F" w:rsidRPr="00C91D87" w:rsidRDefault="00C91D87" w:rsidP="009F0B57">
      <w:pPr>
        <w:spacing w:after="0" w:line="240" w:lineRule="auto"/>
        <w:jc w:val="both"/>
        <w:rPr>
          <w:rFonts w:ascii="Verdana" w:eastAsia="Arial" w:hAnsi="Verdana" w:cs="Arial"/>
          <w:b/>
          <w:lang w:val="es-MX" w:eastAsia="es-ES"/>
        </w:rPr>
      </w:pPr>
      <w:r w:rsidRPr="00C91D87">
        <w:rPr>
          <w:rFonts w:ascii="Verdana" w:eastAsia="Arial" w:hAnsi="Verdana" w:cs="Arial"/>
          <w:b/>
          <w:lang w:val="es-MX" w:eastAsia="es-ES"/>
        </w:rPr>
        <w:t>RECHAZO DE LA OFERTA- Causales</w:t>
      </w:r>
    </w:p>
    <w:p w14:paraId="154EC40A" w14:textId="77777777" w:rsidR="00C91D87" w:rsidRPr="00C91D87" w:rsidRDefault="00C91D87" w:rsidP="009F0B57">
      <w:pPr>
        <w:spacing w:after="0" w:line="240" w:lineRule="auto"/>
        <w:jc w:val="both"/>
        <w:rPr>
          <w:rFonts w:ascii="Verdana" w:eastAsia="Arial" w:hAnsi="Verdana" w:cs="Arial"/>
          <w:b/>
          <w:lang w:val="es-MX" w:eastAsia="es-ES"/>
        </w:rPr>
      </w:pPr>
    </w:p>
    <w:p w14:paraId="4E8B5AC3" w14:textId="72BBB49E" w:rsidR="00C91D87" w:rsidRPr="00C91D87" w:rsidRDefault="00C91D87" w:rsidP="008508D8">
      <w:pPr>
        <w:widowControl w:val="0"/>
        <w:autoSpaceDE w:val="0"/>
        <w:autoSpaceDN w:val="0"/>
        <w:spacing w:after="120" w:line="276" w:lineRule="auto"/>
        <w:jc w:val="both"/>
        <w:rPr>
          <w:rFonts w:ascii="Verdana" w:eastAsia="Arial" w:hAnsi="Verdana" w:cs="Arial"/>
          <w:lang w:val="es-ES"/>
        </w:rPr>
      </w:pPr>
      <w:r>
        <w:rPr>
          <w:rFonts w:ascii="Verdana" w:eastAsia="Arial" w:hAnsi="Verdana" w:cs="Arial"/>
          <w:lang w:val="es-ES"/>
        </w:rPr>
        <w:t>E</w:t>
      </w:r>
      <w:r w:rsidRPr="00C91D87">
        <w:rPr>
          <w:rFonts w:ascii="Verdana" w:eastAsia="Arial" w:hAnsi="Verdana" w:cs="Arial"/>
          <w:lang w:val="es-ES"/>
        </w:rPr>
        <w:t>l rechazo de las ofertas y los eventos en los que proceden han sido asuntos de los que se ha ocupado la legislación nacional en materia de contratación pública, por lo que “la competencia de las entidades estales para establecer eventos de exclusión de propuestas es de carácter residual y restringido”</w:t>
      </w:r>
      <w:r w:rsidRPr="00C91D87">
        <w:rPr>
          <w:rStyle w:val="Refdenotaalpie"/>
          <w:rFonts w:ascii="Verdana" w:eastAsia="Arial" w:hAnsi="Verdana" w:cs="Arial"/>
          <w:lang w:val="es-ES"/>
        </w:rPr>
        <w:footnoteReference w:id="1"/>
      </w:r>
      <w:r w:rsidRPr="00C91D87">
        <w:rPr>
          <w:rFonts w:ascii="Verdana" w:eastAsia="Arial" w:hAnsi="Verdana" w:cs="Arial"/>
          <w:lang w:val="es-ES"/>
        </w:rPr>
        <w:t>. En ese sentido, si bien las entidades estatales, en ejercicio de la discrecionalidad que les corresponde en la configuración de los pliegos de condiciones, tienen competencia para determinar los requisitos que deben cumplir los proponentes para la presentación de ofertas</w:t>
      </w:r>
      <w:r w:rsidRPr="00C91D87">
        <w:rPr>
          <w:rStyle w:val="Refdenotaalpie"/>
          <w:rFonts w:ascii="Verdana" w:eastAsia="Arial" w:hAnsi="Verdana" w:cs="Arial"/>
          <w:lang w:val="es-ES"/>
        </w:rPr>
        <w:footnoteReference w:id="2"/>
      </w:r>
      <w:r w:rsidRPr="00C91D87">
        <w:rPr>
          <w:rFonts w:ascii="Verdana" w:eastAsia="Arial" w:hAnsi="Verdana" w:cs="Arial"/>
          <w:lang w:val="es-ES"/>
        </w:rPr>
        <w:t xml:space="preserve"> y regular los eventos en los que procede su rechazo</w:t>
      </w:r>
      <w:r w:rsidRPr="00C91D87">
        <w:rPr>
          <w:rStyle w:val="Refdenotaalpie"/>
          <w:rFonts w:ascii="Verdana" w:eastAsia="Arial" w:hAnsi="Verdana" w:cs="Arial"/>
          <w:lang w:val="es-ES"/>
        </w:rPr>
        <w:footnoteReference w:id="3"/>
      </w:r>
      <w:r w:rsidRPr="00C91D87">
        <w:rPr>
          <w:rFonts w:ascii="Verdana" w:eastAsia="Arial" w:hAnsi="Verdana" w:cs="Arial"/>
          <w:lang w:val="es-ES"/>
        </w:rPr>
        <w:t xml:space="preserve">, el ejercicio de tales facultades encuentra ciertos límites en la ley y el reglamento, así como en los principios de razonabilidad y proporcionalidad.  </w:t>
      </w:r>
    </w:p>
    <w:p w14:paraId="767B0E45" w14:textId="54E73082" w:rsidR="00C91D87" w:rsidRDefault="00C91D87" w:rsidP="008508D8">
      <w:pPr>
        <w:widowControl w:val="0"/>
        <w:autoSpaceDE w:val="0"/>
        <w:autoSpaceDN w:val="0"/>
        <w:spacing w:after="120" w:line="276" w:lineRule="auto"/>
        <w:jc w:val="both"/>
        <w:rPr>
          <w:rFonts w:ascii="Verdana" w:hAnsi="Verdana" w:cs="Arial"/>
        </w:rPr>
      </w:pPr>
      <w:r w:rsidRPr="00C91D87">
        <w:rPr>
          <w:rFonts w:ascii="Verdana" w:hAnsi="Verdana" w:cs="Arial"/>
          <w:lang w:val="es-ES"/>
        </w:rPr>
        <w:lastRenderedPageBreak/>
        <w:t xml:space="preserve">En ese entendido, uno de los límites a la facultad para establecer causales de rechazo, se encuentra en la regla de </w:t>
      </w:r>
      <w:proofErr w:type="spellStart"/>
      <w:r w:rsidRPr="00C91D87">
        <w:rPr>
          <w:rFonts w:ascii="Verdana" w:hAnsi="Verdana" w:cs="Arial"/>
          <w:lang w:val="es-ES"/>
        </w:rPr>
        <w:t>subsanabilidad</w:t>
      </w:r>
      <w:proofErr w:type="spellEnd"/>
      <w:r w:rsidRPr="00C91D87">
        <w:rPr>
          <w:rFonts w:ascii="Verdana" w:hAnsi="Verdana" w:cs="Arial"/>
          <w:lang w:val="es-ES"/>
        </w:rPr>
        <w:t xml:space="preserve"> del parágrafo 1 del artículo 5 de la Ley 1150 de 2007, según la cual “</w:t>
      </w:r>
      <w:r w:rsidRPr="00C91D87">
        <w:rPr>
          <w:rFonts w:ascii="Verdana" w:hAnsi="Verdana" w:cs="Arial"/>
        </w:rPr>
        <w:t xml:space="preserve">La ausencia de requisitos o la falta de documentos referentes a la futura contratación o al proponente, no necesarios para la comparación de las propuestas no servirán de título suficiente para el rechazo de los ofrecimientos hechos”, por lo que las entidades no podrán establecer causales de rechazo referentes a meros requisitos formales o rechazar las ofertas por esa razón. </w:t>
      </w:r>
    </w:p>
    <w:p w14:paraId="457F2FE8" w14:textId="77777777" w:rsidR="00D241BB" w:rsidRDefault="00D241BB" w:rsidP="00731523">
      <w:pPr>
        <w:widowControl w:val="0"/>
        <w:autoSpaceDE w:val="0"/>
        <w:autoSpaceDN w:val="0"/>
        <w:spacing w:after="120" w:line="276" w:lineRule="auto"/>
        <w:ind w:firstLine="708"/>
        <w:jc w:val="both"/>
        <w:rPr>
          <w:rFonts w:ascii="Verdana" w:hAnsi="Verdana" w:cs="Arial"/>
        </w:rPr>
      </w:pPr>
    </w:p>
    <w:p w14:paraId="23AEA88A" w14:textId="1B570E2D" w:rsidR="00731523" w:rsidRDefault="00731523" w:rsidP="00C91D87">
      <w:pPr>
        <w:widowControl w:val="0"/>
        <w:autoSpaceDE w:val="0"/>
        <w:autoSpaceDN w:val="0"/>
        <w:spacing w:after="120" w:line="276" w:lineRule="auto"/>
        <w:jc w:val="both"/>
        <w:rPr>
          <w:rFonts w:ascii="Verdana" w:hAnsi="Verdana" w:cs="Arial"/>
          <w:b/>
          <w:bCs/>
        </w:rPr>
      </w:pPr>
      <w:r>
        <w:rPr>
          <w:rFonts w:ascii="Verdana" w:hAnsi="Verdana" w:cs="Arial"/>
          <w:b/>
          <w:bCs/>
        </w:rPr>
        <w:t xml:space="preserve">ENTIDADES ESTATALES </w:t>
      </w:r>
    </w:p>
    <w:p w14:paraId="0E8C9FA6" w14:textId="1F529011" w:rsidR="00731523" w:rsidRPr="0099705E" w:rsidRDefault="00731523" w:rsidP="008508D8">
      <w:pPr>
        <w:spacing w:after="120" w:line="276" w:lineRule="auto"/>
        <w:jc w:val="both"/>
        <w:rPr>
          <w:rFonts w:ascii="Verdana" w:eastAsia="Calibri" w:hAnsi="Verdana"/>
          <w:lang w:val="es-ES"/>
        </w:rPr>
      </w:pPr>
      <w:r>
        <w:rPr>
          <w:rFonts w:ascii="Verdana" w:eastAsia="Calibri" w:hAnsi="Verdana"/>
        </w:rPr>
        <w:t>C</w:t>
      </w:r>
      <w:r w:rsidRPr="0099705E">
        <w:rPr>
          <w:rFonts w:ascii="Verdana" w:eastAsia="Calibri" w:hAnsi="Verdana"/>
        </w:rPr>
        <w:t>orresponde a las Entidades Estatales contratantes analizar en cada caso concreto si en efecto se presentan contradicciones entre el contenido de los diferentes los Documentos del Proceso, en aras de determinar el tratamiento interpretativo del que deben ser objeto las mismas en aras de preservar la legalidad del Proceso de Contratación. </w:t>
      </w:r>
    </w:p>
    <w:p w14:paraId="43D55475" w14:textId="1055065C" w:rsidR="00731523" w:rsidRPr="00E81306" w:rsidRDefault="001534A2" w:rsidP="008508D8">
      <w:pPr>
        <w:widowControl w:val="0"/>
        <w:autoSpaceDE w:val="0"/>
        <w:autoSpaceDN w:val="0"/>
        <w:spacing w:after="120" w:line="276" w:lineRule="auto"/>
        <w:jc w:val="both"/>
        <w:rPr>
          <w:rFonts w:ascii="Verdana" w:eastAsia="Calibri" w:hAnsi="Verdana" w:cs="Arial"/>
          <w:lang w:val="es-MX"/>
        </w:rPr>
      </w:pPr>
      <w:r>
        <w:rPr>
          <w:rFonts w:ascii="Verdana" w:eastAsia="Calibri" w:hAnsi="Verdana" w:cs="Arial"/>
          <w:lang w:val="es-MX"/>
        </w:rPr>
        <w:t xml:space="preserve">   </w:t>
      </w:r>
      <w:r w:rsidR="00731523" w:rsidRPr="00E81306">
        <w:rPr>
          <w:rFonts w:ascii="Verdana" w:eastAsia="Calibri" w:hAnsi="Verdana" w:cs="Arial"/>
          <w:lang w:val="es-MX"/>
        </w:rPr>
        <w:t>De lo explicado se desprende que</w:t>
      </w:r>
      <w:r w:rsidR="00731523">
        <w:rPr>
          <w:rFonts w:ascii="Verdana" w:eastAsia="Calibri" w:hAnsi="Verdana" w:cs="Arial"/>
          <w:lang w:val="es-MX"/>
        </w:rPr>
        <w:t>,</w:t>
      </w:r>
      <w:r w:rsidR="00731523" w:rsidRPr="00E81306">
        <w:rPr>
          <w:rFonts w:ascii="Verdana" w:eastAsia="Calibri" w:hAnsi="Verdana" w:cs="Arial"/>
          <w:lang w:val="es-MX"/>
        </w:rPr>
        <w:t xml:space="preserv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r w:rsidR="00731523" w:rsidRPr="00E81306">
        <w:rPr>
          <w:rFonts w:ascii="Verdana" w:eastAsia="Calibri" w:hAnsi="Verdana" w:cs="Arial"/>
          <w:vertAlign w:val="superscript"/>
          <w:lang w:val="es-MX"/>
        </w:rPr>
        <w:footnoteReference w:id="4"/>
      </w:r>
      <w:r w:rsidR="00731523" w:rsidRPr="00E81306">
        <w:rPr>
          <w:rFonts w:ascii="Verdana" w:eastAsia="Calibri" w:hAnsi="Verdana" w:cs="Arial"/>
          <w:lang w:val="es-MX"/>
        </w:rPr>
        <w:t>.</w:t>
      </w:r>
    </w:p>
    <w:p w14:paraId="014679D2" w14:textId="77777777" w:rsidR="00D241BB" w:rsidRDefault="00D241BB" w:rsidP="00731523">
      <w:pPr>
        <w:widowControl w:val="0"/>
        <w:autoSpaceDE w:val="0"/>
        <w:autoSpaceDN w:val="0"/>
        <w:spacing w:after="120" w:line="276" w:lineRule="auto"/>
        <w:jc w:val="both"/>
        <w:rPr>
          <w:rFonts w:ascii="Verdana" w:eastAsia="Calibri" w:hAnsi="Verdana" w:cs="Arial"/>
        </w:rPr>
      </w:pPr>
    </w:p>
    <w:p w14:paraId="159706C9" w14:textId="77777777" w:rsidR="00D241BB" w:rsidRDefault="00D241BB" w:rsidP="00731523">
      <w:pPr>
        <w:widowControl w:val="0"/>
        <w:autoSpaceDE w:val="0"/>
        <w:autoSpaceDN w:val="0"/>
        <w:spacing w:after="120" w:line="276" w:lineRule="auto"/>
        <w:jc w:val="both"/>
        <w:rPr>
          <w:rFonts w:ascii="Verdana" w:eastAsia="Calibri" w:hAnsi="Verdana" w:cs="Arial"/>
        </w:rPr>
      </w:pPr>
    </w:p>
    <w:p w14:paraId="5564A658" w14:textId="77777777" w:rsidR="00D241BB" w:rsidRDefault="00D241BB" w:rsidP="00731523">
      <w:pPr>
        <w:widowControl w:val="0"/>
        <w:autoSpaceDE w:val="0"/>
        <w:autoSpaceDN w:val="0"/>
        <w:spacing w:after="120" w:line="276" w:lineRule="auto"/>
        <w:jc w:val="both"/>
        <w:rPr>
          <w:rFonts w:ascii="Verdana" w:eastAsia="Calibri" w:hAnsi="Verdana" w:cs="Arial"/>
        </w:rPr>
      </w:pPr>
    </w:p>
    <w:p w14:paraId="063C39F5" w14:textId="77777777" w:rsidR="00D241BB" w:rsidRDefault="00D241BB" w:rsidP="00731523">
      <w:pPr>
        <w:widowControl w:val="0"/>
        <w:autoSpaceDE w:val="0"/>
        <w:autoSpaceDN w:val="0"/>
        <w:spacing w:after="120" w:line="276" w:lineRule="auto"/>
        <w:jc w:val="both"/>
        <w:rPr>
          <w:rFonts w:ascii="Verdana" w:eastAsia="Calibri" w:hAnsi="Verdana" w:cs="Arial"/>
        </w:rPr>
      </w:pPr>
    </w:p>
    <w:p w14:paraId="36E4240F" w14:textId="77777777" w:rsidR="00D241BB" w:rsidRDefault="00D241BB" w:rsidP="00731523">
      <w:pPr>
        <w:widowControl w:val="0"/>
        <w:autoSpaceDE w:val="0"/>
        <w:autoSpaceDN w:val="0"/>
        <w:spacing w:after="120" w:line="276" w:lineRule="auto"/>
        <w:jc w:val="both"/>
        <w:rPr>
          <w:rFonts w:ascii="Verdana" w:eastAsia="Calibri" w:hAnsi="Verdana" w:cs="Arial"/>
        </w:rPr>
      </w:pPr>
    </w:p>
    <w:p w14:paraId="10F2C213" w14:textId="77777777" w:rsidR="00D241BB" w:rsidRDefault="00D241BB" w:rsidP="00731523">
      <w:pPr>
        <w:widowControl w:val="0"/>
        <w:autoSpaceDE w:val="0"/>
        <w:autoSpaceDN w:val="0"/>
        <w:spacing w:after="120" w:line="276" w:lineRule="auto"/>
        <w:jc w:val="both"/>
        <w:rPr>
          <w:rFonts w:ascii="Verdana" w:eastAsia="Calibri" w:hAnsi="Verdana" w:cs="Arial"/>
        </w:rPr>
      </w:pPr>
    </w:p>
    <w:p w14:paraId="06C4AD3D" w14:textId="77777777" w:rsidR="00D241BB" w:rsidRPr="00731523" w:rsidRDefault="00D241BB" w:rsidP="00731523">
      <w:pPr>
        <w:widowControl w:val="0"/>
        <w:autoSpaceDE w:val="0"/>
        <w:autoSpaceDN w:val="0"/>
        <w:spacing w:after="120" w:line="276" w:lineRule="auto"/>
        <w:jc w:val="both"/>
        <w:rPr>
          <w:rFonts w:ascii="Verdana" w:hAnsi="Verdana" w:cs="Arial"/>
          <w:b/>
          <w:bCs/>
        </w:rPr>
      </w:pPr>
    </w:p>
    <w:p w14:paraId="09749536" w14:textId="7628BC3B" w:rsidR="00C9747A" w:rsidRDefault="000B3A52" w:rsidP="00C9747A">
      <w:pPr>
        <w:spacing w:after="0" w:line="240" w:lineRule="auto"/>
        <w:jc w:val="both"/>
        <w:rPr>
          <w:rFonts w:ascii="Verdana" w:eastAsia="Calibri" w:hAnsi="Verdana" w:cs="Arial"/>
          <w:color w:val="000000" w:themeColor="text1"/>
          <w:lang w:val="es-ES"/>
        </w:rPr>
      </w:pPr>
      <w:r w:rsidRPr="000B3A52">
        <w:rPr>
          <w:rFonts w:ascii="Verdana" w:eastAsia="Calibri" w:hAnsi="Verdana" w:cs="Arial"/>
          <w:color w:val="000000" w:themeColor="text1"/>
        </w:rPr>
        <w:t xml:space="preserve">Bogotá D.C., 13 de </w:t>
      </w:r>
      <w:proofErr w:type="gramStart"/>
      <w:r w:rsidRPr="000B3A52">
        <w:rPr>
          <w:rFonts w:ascii="Verdana" w:eastAsia="Calibri" w:hAnsi="Verdana" w:cs="Arial"/>
          <w:color w:val="000000" w:themeColor="text1"/>
        </w:rPr>
        <w:t>Septiembre</w:t>
      </w:r>
      <w:proofErr w:type="gramEnd"/>
      <w:r w:rsidRPr="000B3A52">
        <w:rPr>
          <w:rFonts w:ascii="Verdana" w:eastAsia="Calibri" w:hAnsi="Verdana" w:cs="Arial"/>
          <w:color w:val="000000" w:themeColor="text1"/>
        </w:rPr>
        <w:t xml:space="preserve"> de 2024</w:t>
      </w:r>
    </w:p>
    <w:p w14:paraId="588CEC04" w14:textId="77777777" w:rsidR="00C9747A" w:rsidRPr="00115E3D" w:rsidRDefault="00C9747A" w:rsidP="00C9747A">
      <w:pPr>
        <w:spacing w:after="0" w:line="240" w:lineRule="auto"/>
        <w:jc w:val="both"/>
        <w:rPr>
          <w:rFonts w:ascii="Verdana" w:eastAsia="Calibri" w:hAnsi="Verdana" w:cs="Arial"/>
          <w:color w:val="000000" w:themeColor="text1"/>
          <w:lang w:val="es-ES"/>
        </w:rPr>
      </w:pPr>
    </w:p>
    <w:p w14:paraId="31474685" w14:textId="1CDA845E" w:rsidR="00C9747A" w:rsidRPr="00115E3D" w:rsidRDefault="00C9747A" w:rsidP="00C9747A">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r>
        <w:rPr>
          <w:rFonts w:ascii="Verdana" w:eastAsia="Calibri" w:hAnsi="Verdana" w:cs="Arial"/>
          <w:color w:val="000000" w:themeColor="text1"/>
          <w:lang w:val="es-ES" w:eastAsia="es-ES"/>
        </w:rPr>
        <w:t>a</w:t>
      </w:r>
    </w:p>
    <w:p w14:paraId="166939D4" w14:textId="5791395F" w:rsidR="00C9747A" w:rsidRPr="00115E3D" w:rsidRDefault="00C9747A" w:rsidP="00C9747A">
      <w:pPr>
        <w:spacing w:after="0" w:line="240" w:lineRule="auto"/>
        <w:rPr>
          <w:rFonts w:ascii="Verdana" w:eastAsia="Calibri" w:hAnsi="Verdana" w:cs="Arial"/>
          <w:b/>
          <w:color w:val="000000" w:themeColor="text1"/>
          <w:lang w:val="es-ES_tradnl" w:eastAsia="es-ES_tradnl"/>
        </w:rPr>
      </w:pPr>
      <w:r>
        <w:rPr>
          <w:rFonts w:ascii="Verdana" w:eastAsia="Calibri" w:hAnsi="Verdana" w:cs="Arial"/>
          <w:b/>
          <w:color w:val="000000" w:themeColor="text1"/>
          <w:lang w:val="es-ES_tradnl" w:eastAsia="es-ES_tradnl"/>
        </w:rPr>
        <w:t>Ingrid Maryory García Fonseca</w:t>
      </w:r>
    </w:p>
    <w:p w14:paraId="5DDC47DD" w14:textId="27002A40" w:rsidR="00C9747A" w:rsidRDefault="00C9747A" w:rsidP="00C9747A">
      <w:pPr>
        <w:spacing w:after="0" w:line="240" w:lineRule="auto"/>
        <w:rPr>
          <w:rFonts w:ascii="Verdana" w:eastAsia="Calibri" w:hAnsi="Verdana" w:cs="Arial"/>
          <w:color w:val="000000" w:themeColor="text1"/>
          <w:u w:val="single"/>
          <w:lang w:val="es-ES" w:eastAsia="es-ES"/>
        </w:rPr>
      </w:pPr>
      <w:hyperlink r:id="rId7" w:history="1">
        <w:r w:rsidRPr="002825FE">
          <w:rPr>
            <w:rStyle w:val="Hipervnculo"/>
            <w:rFonts w:ascii="Verdana" w:eastAsia="Calibri" w:hAnsi="Verdana" w:cs="Arial"/>
            <w:lang w:val="es-ES" w:eastAsia="es-ES"/>
          </w:rPr>
          <w:t>ingridgarciaf@gmail.com</w:t>
        </w:r>
      </w:hyperlink>
    </w:p>
    <w:p w14:paraId="66BDDEEC" w14:textId="4C61A84D" w:rsidR="00C9747A" w:rsidRPr="00115E3D" w:rsidRDefault="00CA718A" w:rsidP="00C9747A">
      <w:pPr>
        <w:spacing w:after="0" w:line="240" w:lineRule="auto"/>
        <w:rPr>
          <w:rFonts w:ascii="Verdana" w:eastAsia="Calibri" w:hAnsi="Verdana" w:cs="Arial"/>
          <w:b/>
          <w:bCs/>
          <w:color w:val="000000" w:themeColor="text1"/>
          <w:lang w:val="es-ES" w:eastAsia="es-ES"/>
        </w:rPr>
      </w:pPr>
      <w:r w:rsidRPr="00CA718A">
        <w:rPr>
          <w:rFonts w:ascii="Verdana" w:eastAsia="Calibri" w:hAnsi="Verdana" w:cs="Arial"/>
          <w:noProof/>
          <w:color w:val="000000" w:themeColor="text1"/>
          <w:lang w:val="es-ES" w:eastAsia="es-ES"/>
        </w:rPr>
        <w:drawing>
          <wp:anchor distT="0" distB="0" distL="114300" distR="114300" simplePos="0" relativeHeight="251658240" behindDoc="0" locked="0" layoutInCell="1" allowOverlap="1" wp14:anchorId="07DE2259" wp14:editId="794F94AC">
            <wp:simplePos x="0" y="0"/>
            <wp:positionH relativeFrom="column">
              <wp:posOffset>3291205</wp:posOffset>
            </wp:positionH>
            <wp:positionV relativeFrom="paragraph">
              <wp:posOffset>230505</wp:posOffset>
            </wp:positionV>
            <wp:extent cx="2150745" cy="591820"/>
            <wp:effectExtent l="0" t="0" r="1905" b="0"/>
            <wp:wrapTopAndBottom/>
            <wp:docPr id="7388584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58419"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50745" cy="591820"/>
                    </a:xfrm>
                    <a:prstGeom prst="rect">
                      <a:avLst/>
                    </a:prstGeom>
                  </pic:spPr>
                </pic:pic>
              </a:graphicData>
            </a:graphic>
          </wp:anchor>
        </w:drawing>
      </w:r>
      <w:r w:rsidR="00C9747A">
        <w:rPr>
          <w:rFonts w:ascii="Verdana" w:eastAsia="Calibri" w:hAnsi="Verdana" w:cs="Arial"/>
          <w:color w:val="000000" w:themeColor="text1"/>
          <w:lang w:val="es-ES" w:eastAsia="es-ES"/>
        </w:rPr>
        <w:t>Villavicencio</w:t>
      </w:r>
      <w:r w:rsidR="00C9747A" w:rsidRPr="00115E3D">
        <w:rPr>
          <w:rFonts w:ascii="Verdana" w:eastAsia="Calibri" w:hAnsi="Verdana" w:cs="Arial"/>
          <w:color w:val="000000" w:themeColor="text1"/>
          <w:lang w:val="es-ES" w:eastAsia="es-ES"/>
        </w:rPr>
        <w:t xml:space="preserve">, </w:t>
      </w:r>
      <w:r w:rsidR="00C9747A">
        <w:rPr>
          <w:rFonts w:ascii="Verdana" w:eastAsia="Calibri" w:hAnsi="Verdana" w:cs="Arial"/>
          <w:color w:val="000000" w:themeColor="text1"/>
          <w:lang w:val="es-ES" w:eastAsia="es-ES"/>
        </w:rPr>
        <w:t xml:space="preserve">Meta </w:t>
      </w:r>
    </w:p>
    <w:p w14:paraId="1ECCD670" w14:textId="77777777" w:rsidR="00C9747A" w:rsidRPr="00115E3D" w:rsidRDefault="00C9747A" w:rsidP="00C9747A">
      <w:pPr>
        <w:spacing w:after="0" w:line="240" w:lineRule="auto"/>
        <w:rPr>
          <w:rFonts w:ascii="Verdana" w:eastAsia="Calibri" w:hAnsi="Verdana" w:cs="Arial"/>
          <w:b/>
          <w:bCs/>
          <w:color w:val="000000" w:themeColor="text1"/>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9747A" w:rsidRPr="00115E3D" w14:paraId="02480FEC" w14:textId="77777777" w:rsidTr="0058295E">
        <w:trPr>
          <w:trHeight w:val="884"/>
        </w:trPr>
        <w:tc>
          <w:tcPr>
            <w:tcW w:w="2689" w:type="dxa"/>
          </w:tcPr>
          <w:p w14:paraId="334B4674" w14:textId="77777777" w:rsidR="00C9747A" w:rsidRPr="00115E3D" w:rsidRDefault="00C9747A" w:rsidP="0058295E">
            <w:pPr>
              <w:jc w:val="both"/>
              <w:rPr>
                <w:rFonts w:ascii="Verdana" w:eastAsia="Calibri" w:hAnsi="Verdana" w:cs="Arial"/>
                <w:b/>
                <w:bCs/>
                <w:color w:val="000000" w:themeColor="text1"/>
                <w:lang w:val="es-ES_tradnl" w:eastAsia="es-ES_tradnl"/>
              </w:rPr>
            </w:pPr>
          </w:p>
        </w:tc>
        <w:tc>
          <w:tcPr>
            <w:tcW w:w="6100" w:type="dxa"/>
          </w:tcPr>
          <w:p w14:paraId="69DA99B8" w14:textId="77777777" w:rsidR="00C9747A" w:rsidRPr="00115E3D" w:rsidRDefault="00C9747A" w:rsidP="0058295E">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427</w:t>
            </w:r>
            <w:r w:rsidRPr="00115E3D">
              <w:rPr>
                <w:rFonts w:ascii="Verdana" w:eastAsia="Calibri" w:hAnsi="Verdana" w:cs="Arial"/>
                <w:b/>
                <w:bCs/>
                <w:color w:val="000000" w:themeColor="text1"/>
                <w:lang w:val="es-ES" w:eastAsia="es-ES"/>
              </w:rPr>
              <w:t xml:space="preserve"> de 2024</w:t>
            </w:r>
          </w:p>
        </w:tc>
      </w:tr>
      <w:tr w:rsidR="00C9747A" w:rsidRPr="00115E3D" w14:paraId="59FD67F9" w14:textId="77777777" w:rsidTr="0058295E">
        <w:trPr>
          <w:trHeight w:val="884"/>
        </w:trPr>
        <w:tc>
          <w:tcPr>
            <w:tcW w:w="2689" w:type="dxa"/>
          </w:tcPr>
          <w:p w14:paraId="21978FAD" w14:textId="77777777" w:rsidR="00C9747A" w:rsidRPr="00115E3D" w:rsidRDefault="00C9747A" w:rsidP="0058295E">
            <w:pPr>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100" w:type="dxa"/>
          </w:tcPr>
          <w:p w14:paraId="4E6FA981" w14:textId="77777777" w:rsidR="00C9747A" w:rsidRDefault="00C9747A" w:rsidP="0058295E">
            <w:pPr>
              <w:spacing w:line="276" w:lineRule="auto"/>
              <w:jc w:val="both"/>
              <w:rPr>
                <w:rFonts w:ascii="Verdana" w:hAnsi="Verdana"/>
              </w:rPr>
            </w:pPr>
            <w:r>
              <w:rPr>
                <w:rFonts w:ascii="Verdana" w:eastAsia="Arial" w:hAnsi="Verdana" w:cs="Arial"/>
                <w:bCs/>
                <w:lang w:val="es-MX" w:eastAsia="es-ES"/>
              </w:rPr>
              <w:t>PLIEGO DE CONDICIONES – Objeto</w:t>
            </w:r>
            <w:r w:rsidRPr="0050095A">
              <w:rPr>
                <w:rFonts w:ascii="Verdana" w:eastAsia="Arial" w:hAnsi="Verdana" w:cs="Arial"/>
                <w:bCs/>
                <w:lang w:val="es-MX" w:eastAsia="es-ES"/>
              </w:rPr>
              <w:t xml:space="preserve"> </w:t>
            </w:r>
            <w:r w:rsidRPr="0050095A">
              <w:rPr>
                <w:rFonts w:ascii="Verdana" w:hAnsi="Verdana"/>
              </w:rPr>
              <w:t>–</w:t>
            </w:r>
            <w:r>
              <w:rPr>
                <w:rFonts w:ascii="Verdana" w:hAnsi="Verdana"/>
              </w:rPr>
              <w:t xml:space="preserve"> normativa / RECHAZO DE LA OFERTA – Causales – Entidades Estatales </w:t>
            </w:r>
          </w:p>
          <w:p w14:paraId="2CC6998C" w14:textId="77777777" w:rsidR="00C9747A" w:rsidRPr="0050095A" w:rsidRDefault="00C9747A" w:rsidP="0058295E">
            <w:pPr>
              <w:spacing w:line="276" w:lineRule="auto"/>
              <w:jc w:val="both"/>
              <w:rPr>
                <w:rFonts w:ascii="Verdana" w:eastAsia="Calibri" w:hAnsi="Verdana" w:cs="Arial"/>
                <w:color w:val="000000" w:themeColor="text1"/>
                <w:lang w:val="es-ES" w:eastAsia="es-ES"/>
              </w:rPr>
            </w:pPr>
          </w:p>
        </w:tc>
      </w:tr>
      <w:tr w:rsidR="00C9747A" w:rsidRPr="00115E3D" w14:paraId="4961EF6F" w14:textId="77777777" w:rsidTr="00191297">
        <w:tc>
          <w:tcPr>
            <w:tcW w:w="2689" w:type="dxa"/>
          </w:tcPr>
          <w:p w14:paraId="698AACAC" w14:textId="77777777" w:rsidR="00C9747A" w:rsidRPr="00115E3D" w:rsidRDefault="00C9747A" w:rsidP="0058295E">
            <w:pPr>
              <w:jc w:val="both"/>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Radicación:</w:t>
            </w:r>
            <w:r w:rsidRPr="00115E3D">
              <w:rPr>
                <w:rFonts w:ascii="Verdana" w:eastAsia="Calibri" w:hAnsi="Verdana" w:cs="Arial"/>
                <w:color w:val="000000" w:themeColor="text1"/>
                <w:lang w:val="es-ES_tradnl" w:eastAsia="es-ES_tradnl"/>
              </w:rPr>
              <w:t xml:space="preserve">               </w:t>
            </w:r>
          </w:p>
        </w:tc>
        <w:tc>
          <w:tcPr>
            <w:tcW w:w="6100" w:type="dxa"/>
          </w:tcPr>
          <w:p w14:paraId="080F2DEF" w14:textId="77777777" w:rsidR="00C9747A" w:rsidRPr="00115E3D" w:rsidRDefault="00C9747A" w:rsidP="0058295E">
            <w:pPr>
              <w:jc w:val="both"/>
              <w:rPr>
                <w:rFonts w:ascii="Verdana" w:eastAsia="Calibri" w:hAnsi="Verdana" w:cs="Arial"/>
                <w:color w:val="000000" w:themeColor="text1"/>
                <w:lang w:val="es-ES_tradnl" w:eastAsia="es-ES_tradnl"/>
              </w:rPr>
            </w:pPr>
            <w:r w:rsidRPr="00115E3D">
              <w:rPr>
                <w:rFonts w:ascii="Verdana" w:eastAsia="Calibri" w:hAnsi="Verdana" w:cs="Arial"/>
                <w:color w:val="000000" w:themeColor="text1"/>
                <w:lang w:val="es-ES_tradnl" w:eastAsia="es-ES_tradnl"/>
              </w:rPr>
              <w:t xml:space="preserve">Respuesta a consulta con radicado No. </w:t>
            </w:r>
            <w:r w:rsidRPr="00545C00">
              <w:rPr>
                <w:rFonts w:ascii="Verdana" w:eastAsia="Calibri" w:hAnsi="Verdana" w:cs="Arial"/>
                <w:lang w:val="es-ES_tradnl" w:eastAsia="es-ES_tradnl"/>
              </w:rPr>
              <w:t>P20240731007897</w:t>
            </w:r>
          </w:p>
        </w:tc>
      </w:tr>
    </w:tbl>
    <w:p w14:paraId="4D2B4559" w14:textId="77777777" w:rsidR="00C9747A" w:rsidRPr="00115E3D" w:rsidRDefault="00C9747A" w:rsidP="00C9747A">
      <w:pPr>
        <w:spacing w:after="0" w:line="240" w:lineRule="auto"/>
        <w:jc w:val="both"/>
        <w:rPr>
          <w:rFonts w:ascii="Verdana" w:eastAsia="Calibri" w:hAnsi="Verdana" w:cs="Arial"/>
          <w:color w:val="000000" w:themeColor="text1"/>
          <w:lang w:val="es-ES_tradnl" w:eastAsia="es-ES_tradnl"/>
        </w:rPr>
      </w:pPr>
    </w:p>
    <w:p w14:paraId="101040E0" w14:textId="77777777" w:rsidR="00C9747A" w:rsidRPr="00115E3D" w:rsidRDefault="00C9747A" w:rsidP="00C9747A">
      <w:pPr>
        <w:spacing w:after="0" w:line="240" w:lineRule="auto"/>
        <w:jc w:val="both"/>
        <w:rPr>
          <w:rFonts w:ascii="Verdana" w:eastAsia="Calibri" w:hAnsi="Verdana" w:cs="Arial"/>
          <w:color w:val="000000" w:themeColor="text1"/>
          <w:lang w:val="es-ES_tradnl" w:eastAsia="es-ES_tradnl"/>
        </w:rPr>
      </w:pPr>
    </w:p>
    <w:p w14:paraId="5A95872C" w14:textId="77777777" w:rsidR="00C9747A" w:rsidRPr="00115E3D" w:rsidRDefault="00C9747A" w:rsidP="00C9747A">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w:t>
      </w:r>
      <w:r w:rsidRPr="00115E3D">
        <w:rPr>
          <w:rFonts w:ascii="Verdana" w:eastAsia="Calibri" w:hAnsi="Verdana" w:cs="Arial"/>
          <w:color w:val="000000" w:themeColor="text1"/>
          <w:lang w:val="es-ES" w:eastAsia="es-ES"/>
        </w:rPr>
        <w:t xml:space="preserve"> señor</w:t>
      </w:r>
      <w:r>
        <w:rPr>
          <w:rFonts w:ascii="Verdana" w:eastAsia="Calibri" w:hAnsi="Verdana" w:cs="Arial"/>
          <w:color w:val="000000" w:themeColor="text1"/>
          <w:lang w:val="es-ES" w:eastAsia="es-ES"/>
        </w:rPr>
        <w:t>a</w:t>
      </w:r>
      <w:r w:rsidRPr="00115E3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García</w:t>
      </w:r>
      <w:r w:rsidRPr="00115E3D">
        <w:rPr>
          <w:rFonts w:ascii="Verdana" w:eastAsia="Calibri" w:hAnsi="Verdana" w:cs="Arial"/>
          <w:color w:val="000000" w:themeColor="text1"/>
          <w:lang w:val="es-ES" w:eastAsia="es-ES"/>
        </w:rPr>
        <w:t xml:space="preserve">: </w:t>
      </w:r>
    </w:p>
    <w:p w14:paraId="356F8CDC" w14:textId="77777777" w:rsidR="00C9747A" w:rsidRPr="00115E3D" w:rsidRDefault="00C9747A" w:rsidP="00C9747A">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137BA0A7" w14:textId="77777777" w:rsidR="00C9747A" w:rsidRPr="00115E3D" w:rsidRDefault="00C9747A" w:rsidP="00C9747A">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31</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julio</w:t>
      </w:r>
      <w:r w:rsidRPr="00115E3D">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08CEDA26" w14:textId="77777777" w:rsidR="00C9747A" w:rsidRPr="00115E3D" w:rsidRDefault="00C9747A" w:rsidP="00C9747A">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02938F1E" w14:textId="77777777" w:rsidR="00C9747A" w:rsidRPr="00312696" w:rsidRDefault="00C9747A" w:rsidP="00C9747A">
      <w:pPr>
        <w:spacing w:after="0" w:line="240" w:lineRule="auto"/>
        <w:ind w:left="709" w:right="709"/>
        <w:jc w:val="both"/>
        <w:rPr>
          <w:rFonts w:ascii="Verdana" w:eastAsia="Century Gothic" w:hAnsi="Verdana" w:cs="Century Gothic"/>
          <w:i/>
          <w:iCs/>
          <w:color w:val="000000" w:themeColor="text1"/>
          <w:sz w:val="20"/>
          <w:szCs w:val="20"/>
          <w:lang w:val="es-ES"/>
        </w:rPr>
      </w:pPr>
      <w:bookmarkStart w:id="0" w:name="_Hlk95313578"/>
      <w:bookmarkStart w:id="1" w:name="_Hlk177060891"/>
      <w:r w:rsidRPr="00312696">
        <w:rPr>
          <w:rFonts w:ascii="Verdana" w:eastAsia="Century Gothic" w:hAnsi="Verdana" w:cs="Century Gothic"/>
          <w:i/>
          <w:iCs/>
          <w:color w:val="000000" w:themeColor="text1"/>
          <w:sz w:val="20"/>
          <w:szCs w:val="20"/>
          <w:lang w:val="es-ES"/>
        </w:rPr>
        <w:t>“</w:t>
      </w:r>
      <w:bookmarkEnd w:id="0"/>
      <w:r w:rsidRPr="00312696">
        <w:rPr>
          <w:rFonts w:ascii="Verdana" w:eastAsia="Century Gothic" w:hAnsi="Verdana" w:cs="Century Gothic"/>
          <w:i/>
          <w:iCs/>
          <w:color w:val="000000" w:themeColor="text1"/>
          <w:sz w:val="20"/>
          <w:szCs w:val="20"/>
          <w:lang w:val="es-ES"/>
        </w:rPr>
        <w:t xml:space="preserve">me presente a un proceso de </w:t>
      </w:r>
      <w:proofErr w:type="spellStart"/>
      <w:r w:rsidRPr="00312696">
        <w:rPr>
          <w:rFonts w:ascii="Verdana" w:eastAsia="Century Gothic" w:hAnsi="Verdana" w:cs="Century Gothic"/>
          <w:i/>
          <w:iCs/>
          <w:color w:val="000000" w:themeColor="text1"/>
          <w:sz w:val="20"/>
          <w:szCs w:val="20"/>
          <w:lang w:val="es-ES"/>
        </w:rPr>
        <w:t>minima</w:t>
      </w:r>
      <w:proofErr w:type="spellEnd"/>
      <w:r w:rsidRPr="00312696">
        <w:rPr>
          <w:rFonts w:ascii="Verdana" w:eastAsia="Century Gothic" w:hAnsi="Verdana" w:cs="Century Gothic"/>
          <w:i/>
          <w:iCs/>
          <w:color w:val="000000" w:themeColor="text1"/>
          <w:sz w:val="20"/>
          <w:szCs w:val="20"/>
          <w:lang w:val="es-ES"/>
        </w:rPr>
        <w:t xml:space="preserve"> </w:t>
      </w:r>
      <w:proofErr w:type="spellStart"/>
      <w:r w:rsidRPr="00312696">
        <w:rPr>
          <w:rFonts w:ascii="Verdana" w:eastAsia="Century Gothic" w:hAnsi="Verdana" w:cs="Century Gothic"/>
          <w:i/>
          <w:iCs/>
          <w:color w:val="000000" w:themeColor="text1"/>
          <w:sz w:val="20"/>
          <w:szCs w:val="20"/>
          <w:lang w:val="es-ES"/>
        </w:rPr>
        <w:t>cuantia</w:t>
      </w:r>
      <w:proofErr w:type="spellEnd"/>
      <w:r w:rsidRPr="00312696">
        <w:rPr>
          <w:rFonts w:ascii="Verdana" w:eastAsia="Century Gothic" w:hAnsi="Verdana" w:cs="Century Gothic"/>
          <w:i/>
          <w:iCs/>
          <w:color w:val="000000" w:themeColor="text1"/>
          <w:sz w:val="20"/>
          <w:szCs w:val="20"/>
          <w:lang w:val="es-ES"/>
        </w:rPr>
        <w:t xml:space="preserve">, donde en la </w:t>
      </w:r>
      <w:proofErr w:type="spellStart"/>
      <w:r w:rsidRPr="00312696">
        <w:rPr>
          <w:rFonts w:ascii="Verdana" w:eastAsia="Century Gothic" w:hAnsi="Verdana" w:cs="Century Gothic"/>
          <w:i/>
          <w:iCs/>
          <w:color w:val="000000" w:themeColor="text1"/>
          <w:sz w:val="20"/>
          <w:szCs w:val="20"/>
          <w:lang w:val="es-ES"/>
        </w:rPr>
        <w:t>invitacion</w:t>
      </w:r>
      <w:proofErr w:type="spellEnd"/>
      <w:r w:rsidRPr="00312696">
        <w:rPr>
          <w:rFonts w:ascii="Verdana" w:eastAsia="Century Gothic" w:hAnsi="Verdana" w:cs="Century Gothic"/>
          <w:i/>
          <w:iCs/>
          <w:color w:val="000000" w:themeColor="text1"/>
          <w:sz w:val="20"/>
          <w:szCs w:val="20"/>
          <w:lang w:val="es-ES"/>
        </w:rPr>
        <w:t xml:space="preserve"> publica ni en los requisitos habilitantes, no </w:t>
      </w:r>
      <w:proofErr w:type="spellStart"/>
      <w:r w:rsidRPr="00312696">
        <w:rPr>
          <w:rFonts w:ascii="Verdana" w:eastAsia="Century Gothic" w:hAnsi="Verdana" w:cs="Century Gothic"/>
          <w:i/>
          <w:iCs/>
          <w:color w:val="000000" w:themeColor="text1"/>
          <w:sz w:val="20"/>
          <w:szCs w:val="20"/>
          <w:lang w:val="es-ES"/>
        </w:rPr>
        <w:t>exigian</w:t>
      </w:r>
      <w:proofErr w:type="spellEnd"/>
      <w:r w:rsidRPr="00312696">
        <w:rPr>
          <w:rFonts w:ascii="Verdana" w:eastAsia="Century Gothic" w:hAnsi="Verdana" w:cs="Century Gothic"/>
          <w:i/>
          <w:iCs/>
          <w:color w:val="000000" w:themeColor="text1"/>
          <w:sz w:val="20"/>
          <w:szCs w:val="20"/>
          <w:lang w:val="es-ES"/>
        </w:rPr>
        <w:t xml:space="preserve"> </w:t>
      </w:r>
      <w:proofErr w:type="spellStart"/>
      <w:r w:rsidRPr="00312696">
        <w:rPr>
          <w:rFonts w:ascii="Verdana" w:eastAsia="Century Gothic" w:hAnsi="Verdana" w:cs="Century Gothic"/>
          <w:i/>
          <w:iCs/>
          <w:color w:val="000000" w:themeColor="text1"/>
          <w:sz w:val="20"/>
          <w:szCs w:val="20"/>
          <w:lang w:val="es-ES"/>
        </w:rPr>
        <w:t>poliza</w:t>
      </w:r>
      <w:proofErr w:type="spellEnd"/>
      <w:r w:rsidRPr="00312696">
        <w:rPr>
          <w:rFonts w:ascii="Verdana" w:eastAsia="Century Gothic" w:hAnsi="Verdana" w:cs="Century Gothic"/>
          <w:i/>
          <w:iCs/>
          <w:color w:val="000000" w:themeColor="text1"/>
          <w:sz w:val="20"/>
          <w:szCs w:val="20"/>
          <w:lang w:val="es-ES"/>
        </w:rPr>
        <w:t xml:space="preserve"> de </w:t>
      </w:r>
      <w:proofErr w:type="spellStart"/>
      <w:r w:rsidRPr="00312696">
        <w:rPr>
          <w:rFonts w:ascii="Verdana" w:eastAsia="Century Gothic" w:hAnsi="Verdana" w:cs="Century Gothic"/>
          <w:i/>
          <w:iCs/>
          <w:color w:val="000000" w:themeColor="text1"/>
          <w:sz w:val="20"/>
          <w:szCs w:val="20"/>
          <w:lang w:val="es-ES"/>
        </w:rPr>
        <w:t>grantia</w:t>
      </w:r>
      <w:proofErr w:type="spellEnd"/>
      <w:r w:rsidRPr="00312696">
        <w:rPr>
          <w:rFonts w:ascii="Verdana" w:eastAsia="Century Gothic" w:hAnsi="Verdana" w:cs="Century Gothic"/>
          <w:i/>
          <w:iCs/>
          <w:color w:val="000000" w:themeColor="text1"/>
          <w:sz w:val="20"/>
          <w:szCs w:val="20"/>
          <w:lang w:val="es-ES"/>
        </w:rPr>
        <w:t xml:space="preserve"> de seriedad de la oferta, en el momento del cierre del proceso me exigen la </w:t>
      </w:r>
      <w:proofErr w:type="spellStart"/>
      <w:r w:rsidRPr="00312696">
        <w:rPr>
          <w:rFonts w:ascii="Verdana" w:eastAsia="Century Gothic" w:hAnsi="Verdana" w:cs="Century Gothic"/>
          <w:i/>
          <w:iCs/>
          <w:color w:val="000000" w:themeColor="text1"/>
          <w:sz w:val="20"/>
          <w:szCs w:val="20"/>
          <w:lang w:val="es-ES"/>
        </w:rPr>
        <w:t>poliza</w:t>
      </w:r>
      <w:proofErr w:type="spellEnd"/>
      <w:r w:rsidRPr="00312696">
        <w:rPr>
          <w:rFonts w:ascii="Verdana" w:eastAsia="Century Gothic" w:hAnsi="Verdana" w:cs="Century Gothic"/>
          <w:i/>
          <w:iCs/>
          <w:color w:val="000000" w:themeColor="text1"/>
          <w:sz w:val="20"/>
          <w:szCs w:val="20"/>
          <w:lang w:val="es-ES"/>
        </w:rPr>
        <w:t xml:space="preserve"> que porque en el </w:t>
      </w:r>
      <w:proofErr w:type="spellStart"/>
      <w:r w:rsidRPr="00312696">
        <w:rPr>
          <w:rFonts w:ascii="Verdana" w:eastAsia="Century Gothic" w:hAnsi="Verdana" w:cs="Century Gothic"/>
          <w:i/>
          <w:iCs/>
          <w:color w:val="000000" w:themeColor="text1"/>
          <w:sz w:val="20"/>
          <w:szCs w:val="20"/>
          <w:lang w:val="es-ES"/>
        </w:rPr>
        <w:t>estudioprevio</w:t>
      </w:r>
      <w:proofErr w:type="spellEnd"/>
      <w:r w:rsidRPr="00312696">
        <w:rPr>
          <w:rFonts w:ascii="Verdana" w:eastAsia="Century Gothic" w:hAnsi="Verdana" w:cs="Century Gothic"/>
          <w:i/>
          <w:iCs/>
          <w:color w:val="000000" w:themeColor="text1"/>
          <w:sz w:val="20"/>
          <w:szCs w:val="20"/>
          <w:lang w:val="es-ES"/>
        </w:rPr>
        <w:t xml:space="preserve"> </w:t>
      </w:r>
      <w:proofErr w:type="spellStart"/>
      <w:r w:rsidRPr="00312696">
        <w:rPr>
          <w:rFonts w:ascii="Verdana" w:eastAsia="Century Gothic" w:hAnsi="Verdana" w:cs="Century Gothic"/>
          <w:i/>
          <w:iCs/>
          <w:color w:val="000000" w:themeColor="text1"/>
          <w:sz w:val="20"/>
          <w:szCs w:val="20"/>
          <w:lang w:val="es-ES"/>
        </w:rPr>
        <w:t>habia</w:t>
      </w:r>
      <w:proofErr w:type="spellEnd"/>
      <w:r w:rsidRPr="00312696">
        <w:rPr>
          <w:rFonts w:ascii="Verdana" w:eastAsia="Century Gothic" w:hAnsi="Verdana" w:cs="Century Gothic"/>
          <w:i/>
          <w:iCs/>
          <w:color w:val="000000" w:themeColor="text1"/>
          <w:sz w:val="20"/>
          <w:szCs w:val="20"/>
          <w:lang w:val="es-ES"/>
        </w:rPr>
        <w:t xml:space="preserve"> quedado. </w:t>
      </w:r>
    </w:p>
    <w:p w14:paraId="71E624EC" w14:textId="77777777" w:rsidR="00C9747A" w:rsidRPr="00312696" w:rsidRDefault="00C9747A" w:rsidP="00C9747A">
      <w:pPr>
        <w:spacing w:after="0" w:line="240" w:lineRule="auto"/>
        <w:ind w:left="709" w:right="709"/>
        <w:jc w:val="both"/>
        <w:rPr>
          <w:rFonts w:ascii="Verdana" w:eastAsia="Century Gothic" w:hAnsi="Verdana" w:cs="Century Gothic"/>
          <w:i/>
          <w:iCs/>
          <w:color w:val="000000" w:themeColor="text1"/>
          <w:sz w:val="20"/>
          <w:szCs w:val="20"/>
          <w:lang w:val="es-ES"/>
        </w:rPr>
      </w:pPr>
      <w:r w:rsidRPr="00312696">
        <w:rPr>
          <w:rFonts w:ascii="Verdana" w:eastAsia="Century Gothic" w:hAnsi="Verdana" w:cs="Century Gothic"/>
          <w:i/>
          <w:iCs/>
          <w:color w:val="000000" w:themeColor="text1"/>
          <w:sz w:val="20"/>
          <w:szCs w:val="20"/>
          <w:lang w:val="es-ES"/>
        </w:rPr>
        <w:t>inquietudes?</w:t>
      </w:r>
    </w:p>
    <w:p w14:paraId="25236654" w14:textId="77777777" w:rsidR="00C9747A" w:rsidRPr="00312696" w:rsidRDefault="00C9747A" w:rsidP="00C9747A">
      <w:pPr>
        <w:spacing w:after="0" w:line="240" w:lineRule="auto"/>
        <w:ind w:left="709" w:right="709"/>
        <w:jc w:val="both"/>
        <w:rPr>
          <w:rFonts w:ascii="Verdana" w:eastAsia="Century Gothic" w:hAnsi="Verdana" w:cs="Century Gothic"/>
          <w:i/>
          <w:iCs/>
          <w:color w:val="000000" w:themeColor="text1"/>
          <w:sz w:val="20"/>
          <w:szCs w:val="20"/>
          <w:lang w:val="es-ES"/>
        </w:rPr>
      </w:pPr>
      <w:r w:rsidRPr="00312696">
        <w:rPr>
          <w:rFonts w:ascii="Verdana" w:eastAsia="Century Gothic" w:hAnsi="Verdana" w:cs="Century Gothic"/>
          <w:i/>
          <w:iCs/>
          <w:color w:val="000000" w:themeColor="text1"/>
          <w:sz w:val="20"/>
          <w:szCs w:val="20"/>
          <w:lang w:val="es-ES"/>
        </w:rPr>
        <w:t xml:space="preserve">1. que prevalece en este caso lo exigido en la </w:t>
      </w:r>
      <w:proofErr w:type="spellStart"/>
      <w:r w:rsidRPr="00312696">
        <w:rPr>
          <w:rFonts w:ascii="Verdana" w:eastAsia="Century Gothic" w:hAnsi="Verdana" w:cs="Century Gothic"/>
          <w:i/>
          <w:iCs/>
          <w:color w:val="000000" w:themeColor="text1"/>
          <w:sz w:val="20"/>
          <w:szCs w:val="20"/>
          <w:lang w:val="es-ES"/>
        </w:rPr>
        <w:t>invitacion</w:t>
      </w:r>
      <w:proofErr w:type="spellEnd"/>
      <w:r w:rsidRPr="00312696">
        <w:rPr>
          <w:rFonts w:ascii="Verdana" w:eastAsia="Century Gothic" w:hAnsi="Verdana" w:cs="Century Gothic"/>
          <w:i/>
          <w:iCs/>
          <w:color w:val="000000" w:themeColor="text1"/>
          <w:sz w:val="20"/>
          <w:szCs w:val="20"/>
          <w:lang w:val="es-ES"/>
        </w:rPr>
        <w:t xml:space="preserve"> publica o lo que estaba en el estudio previo</w:t>
      </w:r>
    </w:p>
    <w:p w14:paraId="5A1960FB" w14:textId="77777777" w:rsidR="00C9747A" w:rsidRPr="00312696" w:rsidRDefault="00C9747A" w:rsidP="00C9747A">
      <w:pPr>
        <w:spacing w:after="0" w:line="240" w:lineRule="auto"/>
        <w:ind w:left="709" w:right="709"/>
        <w:jc w:val="both"/>
        <w:rPr>
          <w:rFonts w:ascii="Verdana" w:eastAsia="Century Gothic" w:hAnsi="Verdana" w:cs="Century Gothic"/>
          <w:i/>
          <w:iCs/>
          <w:color w:val="000000" w:themeColor="text1"/>
          <w:sz w:val="20"/>
          <w:szCs w:val="20"/>
          <w:lang w:val="es-ES"/>
        </w:rPr>
      </w:pPr>
      <w:r w:rsidRPr="00312696">
        <w:rPr>
          <w:rFonts w:ascii="Verdana" w:eastAsia="Century Gothic" w:hAnsi="Verdana" w:cs="Century Gothic"/>
          <w:i/>
          <w:iCs/>
          <w:color w:val="000000" w:themeColor="text1"/>
          <w:sz w:val="20"/>
          <w:szCs w:val="20"/>
          <w:lang w:val="es-ES"/>
        </w:rPr>
        <w:lastRenderedPageBreak/>
        <w:t xml:space="preserve">2. me pueden rechazar por la falta de la </w:t>
      </w:r>
      <w:proofErr w:type="spellStart"/>
      <w:r w:rsidRPr="00312696">
        <w:rPr>
          <w:rFonts w:ascii="Verdana" w:eastAsia="Century Gothic" w:hAnsi="Verdana" w:cs="Century Gothic"/>
          <w:i/>
          <w:iCs/>
          <w:color w:val="000000" w:themeColor="text1"/>
          <w:sz w:val="20"/>
          <w:szCs w:val="20"/>
          <w:lang w:val="es-ES"/>
        </w:rPr>
        <w:t>poliza</w:t>
      </w:r>
      <w:proofErr w:type="spellEnd"/>
      <w:r w:rsidRPr="00312696">
        <w:rPr>
          <w:rFonts w:ascii="Verdana" w:eastAsia="Century Gothic" w:hAnsi="Verdana" w:cs="Century Gothic"/>
          <w:i/>
          <w:iCs/>
          <w:color w:val="000000" w:themeColor="text1"/>
          <w:sz w:val="20"/>
          <w:szCs w:val="20"/>
          <w:lang w:val="es-ES"/>
        </w:rPr>
        <w:t xml:space="preserve"> que no quedo dentro de la invitación y </w:t>
      </w:r>
      <w:proofErr w:type="spellStart"/>
      <w:proofErr w:type="gramStart"/>
      <w:r w:rsidRPr="00312696">
        <w:rPr>
          <w:rFonts w:ascii="Verdana" w:eastAsia="Century Gothic" w:hAnsi="Verdana" w:cs="Century Gothic"/>
          <w:i/>
          <w:iCs/>
          <w:color w:val="000000" w:themeColor="text1"/>
          <w:sz w:val="20"/>
          <w:szCs w:val="20"/>
          <w:lang w:val="es-ES"/>
        </w:rPr>
        <w:t>ta,poco</w:t>
      </w:r>
      <w:proofErr w:type="spellEnd"/>
      <w:proofErr w:type="gramEnd"/>
      <w:r w:rsidRPr="00312696">
        <w:rPr>
          <w:rFonts w:ascii="Verdana" w:eastAsia="Century Gothic" w:hAnsi="Verdana" w:cs="Century Gothic"/>
          <w:i/>
          <w:iCs/>
          <w:color w:val="000000" w:themeColor="text1"/>
          <w:sz w:val="20"/>
          <w:szCs w:val="20"/>
          <w:lang w:val="es-ES"/>
        </w:rPr>
        <w:t xml:space="preserve"> dentro de los requisitos habilitantes.”(SIC)</w:t>
      </w:r>
    </w:p>
    <w:bookmarkEnd w:id="1"/>
    <w:p w14:paraId="1AAA6D6E" w14:textId="77777777" w:rsidR="00C9747A" w:rsidRPr="00312696" w:rsidRDefault="00C9747A" w:rsidP="00C9747A">
      <w:pPr>
        <w:spacing w:after="0" w:line="276" w:lineRule="auto"/>
        <w:jc w:val="both"/>
        <w:rPr>
          <w:rFonts w:ascii="Verdana" w:eastAsia="Century Gothic" w:hAnsi="Verdana" w:cs="Century Gothic"/>
          <w:i/>
          <w:color w:val="000000" w:themeColor="text1"/>
          <w:sz w:val="20"/>
          <w:szCs w:val="20"/>
          <w:lang w:val="es-ES"/>
        </w:rPr>
      </w:pPr>
    </w:p>
    <w:p w14:paraId="1734CC30" w14:textId="77777777" w:rsidR="00C9747A" w:rsidRPr="00115E3D" w:rsidRDefault="00C9747A" w:rsidP="00C9747A">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5F89FBE4" w14:textId="77777777" w:rsidR="00C9747A" w:rsidRPr="00115E3D" w:rsidRDefault="00C9747A" w:rsidP="00C9747A">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Pr>
          <w:rFonts w:ascii="Verdana" w:eastAsia="Calibri" w:hAnsi="Verdana" w:cs="Arial"/>
          <w:color w:val="000000" w:themeColor="text1"/>
          <w:lang w:val="es-ES" w:eastAsia="es-ES"/>
        </w:rPr>
        <w:t>los</w:t>
      </w:r>
      <w:r w:rsidRPr="00115E3D">
        <w:rPr>
          <w:rFonts w:ascii="Verdana" w:eastAsia="Calibri" w:hAnsi="Verdana" w:cs="Arial"/>
          <w:color w:val="000000" w:themeColor="text1"/>
          <w:lang w:val="es-ES" w:eastAsia="es-ES"/>
        </w:rPr>
        <w:t xml:space="preserve"> problema</w:t>
      </w:r>
      <w:r>
        <w:rPr>
          <w:rFonts w:ascii="Verdana" w:eastAsia="Calibri" w:hAnsi="Verdana" w:cs="Arial"/>
          <w:color w:val="000000" w:themeColor="text1"/>
          <w:lang w:val="es-ES" w:eastAsia="es-ES"/>
        </w:rPr>
        <w:t>s</w:t>
      </w:r>
      <w:r w:rsidRPr="00115E3D">
        <w:rPr>
          <w:rFonts w:ascii="Verdana" w:eastAsia="Calibri" w:hAnsi="Verdana" w:cs="Arial"/>
          <w:color w:val="000000" w:themeColor="text1"/>
          <w:lang w:val="es-ES" w:eastAsia="es-ES"/>
        </w:rPr>
        <w:t xml:space="preserve"> jurídico de su consulta. </w:t>
      </w:r>
    </w:p>
    <w:p w14:paraId="4B914B58" w14:textId="77777777" w:rsidR="00C9747A" w:rsidRPr="00115E3D" w:rsidRDefault="00C9747A" w:rsidP="00C9747A">
      <w:pPr>
        <w:spacing w:after="0" w:line="276" w:lineRule="auto"/>
        <w:ind w:firstLine="709"/>
        <w:jc w:val="both"/>
        <w:rPr>
          <w:rFonts w:ascii="Verdana" w:eastAsia="Calibri" w:hAnsi="Verdana" w:cs="Arial"/>
          <w:color w:val="000000" w:themeColor="text1"/>
          <w:lang w:val="es-ES" w:eastAsia="es-ES"/>
        </w:rPr>
      </w:pPr>
    </w:p>
    <w:p w14:paraId="20044FEE" w14:textId="77777777" w:rsidR="00C9747A" w:rsidRPr="00115E3D" w:rsidRDefault="00C9747A" w:rsidP="00C9747A">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Problema planteado:</w:t>
      </w:r>
    </w:p>
    <w:p w14:paraId="607B1295" w14:textId="77777777" w:rsidR="00C9747A" w:rsidRPr="00115E3D" w:rsidRDefault="00C9747A" w:rsidP="00C9747A">
      <w:pPr>
        <w:tabs>
          <w:tab w:val="left" w:pos="426"/>
        </w:tabs>
        <w:spacing w:after="0" w:line="276" w:lineRule="auto"/>
        <w:jc w:val="both"/>
        <w:rPr>
          <w:rFonts w:ascii="Verdana" w:eastAsia="Century Gothic" w:hAnsi="Verdana" w:cs="Century Gothic"/>
          <w:color w:val="000000" w:themeColor="text1"/>
          <w:lang w:val="es-ES"/>
        </w:rPr>
      </w:pPr>
    </w:p>
    <w:p w14:paraId="6C84D603" w14:textId="77777777" w:rsidR="00C9747A" w:rsidRDefault="00C9747A" w:rsidP="00C9747A">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De acuerdo con el contenido de su solicitud, esta Agencia resolverá </w:t>
      </w:r>
      <w:r>
        <w:rPr>
          <w:rFonts w:ascii="Verdana" w:eastAsia="Century Gothic" w:hAnsi="Verdana" w:cs="Century Gothic"/>
          <w:color w:val="000000" w:themeColor="text1"/>
        </w:rPr>
        <w:t xml:space="preserve">el </w:t>
      </w:r>
      <w:r w:rsidRPr="00115E3D">
        <w:rPr>
          <w:rFonts w:ascii="Verdana" w:eastAsia="Century Gothic" w:hAnsi="Verdana" w:cs="Century Gothic"/>
          <w:color w:val="000000" w:themeColor="text1"/>
        </w:rPr>
        <w:t xml:space="preserve">siguiente problema jurídico: </w:t>
      </w:r>
    </w:p>
    <w:p w14:paraId="3F1322E8" w14:textId="77777777" w:rsidR="00C9747A" w:rsidRDefault="00C9747A" w:rsidP="00C9747A">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 </w:t>
      </w:r>
    </w:p>
    <w:p w14:paraId="5C2EF4D2" w14:textId="77777777" w:rsidR="00C9747A" w:rsidRDefault="00C9747A" w:rsidP="00C9747A">
      <w:pPr>
        <w:spacing w:after="0" w:line="276" w:lineRule="auto"/>
        <w:jc w:val="both"/>
        <w:rPr>
          <w:rFonts w:ascii="Verdana" w:eastAsia="Century Gothic" w:hAnsi="Verdana" w:cs="Century Gothic"/>
          <w:color w:val="000000" w:themeColor="text1"/>
        </w:rPr>
      </w:pPr>
      <w:r>
        <w:rPr>
          <w:rFonts w:ascii="Verdana" w:eastAsia="Century Gothic" w:hAnsi="Verdana" w:cs="Century Gothic"/>
          <w:color w:val="000000" w:themeColor="text1"/>
        </w:rPr>
        <w:t>¿</w:t>
      </w:r>
      <w:r w:rsidRPr="00B15FA2">
        <w:rPr>
          <w:rFonts w:ascii="Verdana" w:eastAsia="Century Gothic" w:hAnsi="Verdana" w:cs="Century Gothic"/>
          <w:color w:val="000000" w:themeColor="text1"/>
        </w:rPr>
        <w:t>Qué documento prevalece cuando en el estudio previo se exige la garantía de la seriedad de la oferta, pero en la invitación no se señaló como requisito, y se puede rechazar la oferta por no allegar esta garantía?</w:t>
      </w:r>
    </w:p>
    <w:p w14:paraId="107314A1" w14:textId="77777777" w:rsidR="00C9747A" w:rsidRPr="00573BAA" w:rsidRDefault="00C9747A" w:rsidP="00C9747A">
      <w:pPr>
        <w:spacing w:after="0" w:line="276" w:lineRule="auto"/>
        <w:jc w:val="both"/>
        <w:rPr>
          <w:rFonts w:ascii="Verdana" w:eastAsia="Calibri" w:hAnsi="Verdana" w:cs="Arial"/>
          <w:color w:val="000000" w:themeColor="text1"/>
        </w:rPr>
      </w:pPr>
    </w:p>
    <w:p w14:paraId="29EB0D07" w14:textId="77777777" w:rsidR="00C9747A" w:rsidRPr="00115E3D" w:rsidRDefault="00C9747A" w:rsidP="00C974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Respuesta:</w:t>
      </w:r>
    </w:p>
    <w:p w14:paraId="395F8349" w14:textId="77777777" w:rsidR="00C9747A" w:rsidRPr="00115E3D" w:rsidRDefault="00C9747A" w:rsidP="00C9747A">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9747A" w:rsidRPr="00115E3D" w14:paraId="4A8C6C7A" w14:textId="77777777" w:rsidTr="0058295E">
        <w:tc>
          <w:tcPr>
            <w:tcW w:w="8828" w:type="dxa"/>
            <w:shd w:val="clear" w:color="auto" w:fill="auto"/>
          </w:tcPr>
          <w:p w14:paraId="203C54C6" w14:textId="77777777" w:rsidR="00C9747A" w:rsidRDefault="00C9747A" w:rsidP="0058295E">
            <w:pPr>
              <w:spacing w:after="120" w:line="276" w:lineRule="auto"/>
              <w:ind w:right="105"/>
              <w:jc w:val="both"/>
              <w:rPr>
                <w:rFonts w:ascii="Verdana" w:hAnsi="Verdana"/>
              </w:rPr>
            </w:pPr>
            <w:r w:rsidRPr="0049106E">
              <w:rPr>
                <w:rFonts w:ascii="Verdana" w:hAnsi="Verdana"/>
              </w:rPr>
              <w:t xml:space="preserve">De acuerdo con lo establecido en la jurisprudencia de la Sección Tercera del Consejo de Estado y la doctrina nacional, el carácter normativo del pliego de condiciones dota al mismo de un carácter prevalente respecto de los demás </w:t>
            </w:r>
            <w:r w:rsidRPr="0049106E">
              <w:rPr>
                <w:rFonts w:ascii="Verdana" w:hAnsi="Verdana"/>
              </w:rPr>
              <w:lastRenderedPageBreak/>
              <w:t>documentos contractuales, en la medida en que los efectos que devienen de él devienen irradian el desarrollo del proceso de selección, la celebración del contrato y su ejecución. Debido a esto, no resulta posible que la Entidad Estatal solicite un requisito que no está consignado en las reglas o elementos del negocio jurídico que debe consolidarse como resultado del Proceso de Contratación. Sin embargo, dicho carácter prevalente del pliego de condiciones no puede servir para transgredir el interés general y la selección objetiva, ni para desconocer las características del negocio jurídico determinadas en el marco de la etapa de planeación, ni requisitos que resultan de obligatoria aplicación en virtud de la ley. </w:t>
            </w:r>
          </w:p>
          <w:p w14:paraId="458CEDD2" w14:textId="77777777" w:rsidR="00C9747A" w:rsidRPr="00567E0C" w:rsidRDefault="00C9747A" w:rsidP="0058295E">
            <w:pPr>
              <w:spacing w:after="120" w:line="276" w:lineRule="auto"/>
              <w:ind w:right="105" w:firstLine="709"/>
              <w:jc w:val="both"/>
              <w:rPr>
                <w:rFonts w:ascii="Verdana" w:hAnsi="Verdana"/>
              </w:rPr>
            </w:pPr>
            <w:r w:rsidRPr="00881E09">
              <w:rPr>
                <w:rFonts w:ascii="Verdana" w:hAnsi="Verdana"/>
              </w:rPr>
              <w:t xml:space="preserve">Finalmente, sobre </w:t>
            </w:r>
            <w:r>
              <w:rPr>
                <w:rFonts w:ascii="Verdana" w:hAnsi="Verdana"/>
              </w:rPr>
              <w:t>la posibilidad de rechazar una oferta por un requisito no establecido en el pliego</w:t>
            </w:r>
            <w:r w:rsidRPr="00881E09">
              <w:rPr>
                <w:rFonts w:ascii="Verdana" w:hAnsi="Verdana"/>
              </w:rPr>
              <w:t xml:space="preserve">, </w:t>
            </w:r>
            <w:r>
              <w:rPr>
                <w:rFonts w:ascii="Verdana" w:hAnsi="Verdana"/>
              </w:rPr>
              <w:t>se debe tener en cuenta que</w:t>
            </w:r>
            <w:r w:rsidRPr="00881E09">
              <w:rPr>
                <w:rFonts w:ascii="Verdana" w:hAnsi="Verdana"/>
              </w:rPr>
              <w:t xml:space="preserve"> la facultad de las entidades estatales para establecer causales de exclusión de propuestas es de naturaleza limitada y residual. Aunque dichas entidades, en el marco de su discrecionalidad al elaborar los pliegos de condiciones, tienen la capacidad de definir los requisitos que los oferentes deben cumplir para presentar sus propuestas y regular los motivos de rechazo, el ejercicio de estas facultades está sujeto a los límites establecidos por la ley</w:t>
            </w:r>
            <w:r>
              <w:rPr>
                <w:rFonts w:ascii="Verdana" w:hAnsi="Verdana"/>
              </w:rPr>
              <w:t xml:space="preserve">, </w:t>
            </w:r>
            <w:r w:rsidRPr="00881E09">
              <w:rPr>
                <w:rFonts w:ascii="Verdana" w:hAnsi="Verdana"/>
              </w:rPr>
              <w:t>el reglamento, y debe observar los principios de razonabilidad y proporcionalidad.</w:t>
            </w:r>
            <w:r>
              <w:rPr>
                <w:rFonts w:ascii="Verdana" w:hAnsi="Verdana"/>
              </w:rPr>
              <w:t xml:space="preserve"> En ese sentido, las causales de rechazo pueden estar establecidas en el pliego de condiciones o en la ley, y no aportar la póliza de seriedad de la oferta, al no ser un requisito del pliego ni una causal de rechazo de ley, no se considera un motivo de rechazo de la oferta, salvo que así se haya consagrado en el pliego de condiciones.</w:t>
            </w:r>
          </w:p>
        </w:tc>
      </w:tr>
    </w:tbl>
    <w:p w14:paraId="082A6056" w14:textId="77777777" w:rsidR="00C9747A" w:rsidRPr="00115E3D" w:rsidRDefault="00C9747A" w:rsidP="00C9747A">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5CBE78D1" w14:textId="77777777" w:rsidR="00C9747A" w:rsidRPr="00115E3D" w:rsidRDefault="00C9747A" w:rsidP="00C974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Razones de la respuesta:</w:t>
      </w:r>
    </w:p>
    <w:p w14:paraId="122DBEE6" w14:textId="77777777" w:rsidR="00C9747A" w:rsidRPr="00115E3D" w:rsidRDefault="00C9747A" w:rsidP="00C9747A">
      <w:pPr>
        <w:spacing w:after="0" w:line="276" w:lineRule="auto"/>
        <w:jc w:val="both"/>
        <w:rPr>
          <w:rFonts w:ascii="Verdana" w:eastAsia="Calibri" w:hAnsi="Verdana" w:cs="Arial"/>
          <w:color w:val="000000" w:themeColor="text1"/>
          <w:lang w:val="es-ES"/>
        </w:rPr>
      </w:pPr>
    </w:p>
    <w:p w14:paraId="00013049" w14:textId="77777777" w:rsidR="00C9747A" w:rsidRDefault="00C9747A" w:rsidP="00C9747A">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48A612DF" w14:textId="77777777" w:rsidR="00C9747A" w:rsidRDefault="00C9747A" w:rsidP="00C9747A">
      <w:pPr>
        <w:spacing w:after="0" w:line="276" w:lineRule="auto"/>
        <w:jc w:val="both"/>
        <w:rPr>
          <w:rFonts w:ascii="Verdana" w:eastAsia="Calibri" w:hAnsi="Verdana" w:cs="Arial"/>
          <w:color w:val="000000" w:themeColor="text1"/>
          <w:lang w:val="es-ES"/>
        </w:rPr>
      </w:pPr>
    </w:p>
    <w:p w14:paraId="262ED140" w14:textId="77777777" w:rsidR="00C9747A" w:rsidRDefault="00C9747A" w:rsidP="00C9747A">
      <w:pPr>
        <w:spacing w:after="120" w:line="276" w:lineRule="auto"/>
        <w:jc w:val="both"/>
        <w:rPr>
          <w:rFonts w:ascii="Verdana" w:eastAsia="Calibri" w:hAnsi="Verdana" w:cs="Arial"/>
          <w:color w:val="000000" w:themeColor="text1"/>
        </w:rPr>
      </w:pPr>
      <w:r w:rsidRPr="00545C00">
        <w:rPr>
          <w:rFonts w:ascii="Verdana" w:eastAsia="Calibri" w:hAnsi="Verdana" w:cs="Arial"/>
          <w:color w:val="000000" w:themeColor="text1"/>
          <w:lang w:val="es-ES"/>
        </w:rPr>
        <w:t>El</w:t>
      </w:r>
      <w:r w:rsidRPr="00545C00">
        <w:rPr>
          <w:rFonts w:ascii="Verdana" w:eastAsia="Calibri" w:hAnsi="Verdana" w:cs="Arial"/>
          <w:color w:val="000000" w:themeColor="text1"/>
        </w:rPr>
        <w:t xml:space="preserve"> Consejo de Estado ha determinado que el pliego de condiciones es ley para las partes, y en él se debe establecer la regulación del procedimiento de contratación, conforme a la ley, garantizando la selección objetiva del contratista</w:t>
      </w:r>
      <w:r w:rsidRPr="00545C00">
        <w:rPr>
          <w:rStyle w:val="Refdenotaalpie"/>
          <w:rFonts w:ascii="Verdana" w:eastAsia="Calibri" w:hAnsi="Verdana" w:cs="Arial"/>
          <w:color w:val="000000" w:themeColor="text1"/>
        </w:rPr>
        <w:footnoteReference w:id="5"/>
      </w:r>
      <w:r w:rsidRPr="00545C00">
        <w:rPr>
          <w:rFonts w:ascii="Verdana" w:eastAsia="Calibri" w:hAnsi="Verdana" w:cs="Arial"/>
          <w:color w:val="000000" w:themeColor="text1"/>
        </w:rPr>
        <w:t xml:space="preserve">. El artículo 2.2.1.1.2.1.3. del Decreto 1082 de 2015 establece el </w:t>
      </w:r>
      <w:r w:rsidRPr="00545C00">
        <w:rPr>
          <w:rFonts w:ascii="Verdana" w:eastAsia="Calibri" w:hAnsi="Verdana" w:cs="Arial"/>
          <w:color w:val="000000" w:themeColor="text1"/>
        </w:rPr>
        <w:lastRenderedPageBreak/>
        <w:t xml:space="preserve">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w:t>
      </w:r>
      <w:proofErr w:type="spellStart"/>
      <w:r w:rsidRPr="00545C00">
        <w:rPr>
          <w:rFonts w:ascii="Verdana" w:eastAsia="Calibri" w:hAnsi="Verdana" w:cs="Arial"/>
          <w:color w:val="000000" w:themeColor="text1"/>
        </w:rPr>
        <w:t>ii</w:t>
      </w:r>
      <w:proofErr w:type="spellEnd"/>
      <w:r w:rsidRPr="00545C00">
        <w:rPr>
          <w:rFonts w:ascii="Verdana" w:eastAsia="Calibri" w:hAnsi="Verdana" w:cs="Arial"/>
          <w:color w:val="000000" w:themeColor="text1"/>
        </w:rPr>
        <w:t xml:space="preserve">) modalidad y criterios de selección, </w:t>
      </w:r>
      <w:proofErr w:type="spellStart"/>
      <w:r w:rsidRPr="00545C00">
        <w:rPr>
          <w:rFonts w:ascii="Verdana" w:eastAsia="Calibri" w:hAnsi="Verdana" w:cs="Arial"/>
          <w:color w:val="000000" w:themeColor="text1"/>
        </w:rPr>
        <w:t>iii</w:t>
      </w:r>
      <w:proofErr w:type="spellEnd"/>
      <w:r w:rsidRPr="00545C00">
        <w:rPr>
          <w:rFonts w:ascii="Verdana" w:eastAsia="Calibri" w:hAnsi="Verdana" w:cs="Arial"/>
          <w:color w:val="000000" w:themeColor="text1"/>
        </w:rPr>
        <w:t>) valoración económica del bien, obra o servicio, iv) reglas de la presentación y manejo de las ofertas, v) riesgos y garantías, entre otros aspectos del contrato</w:t>
      </w:r>
      <w:r w:rsidRPr="00545C00">
        <w:rPr>
          <w:rStyle w:val="Refdenotaalpie"/>
          <w:rFonts w:ascii="Verdana" w:eastAsia="Calibri" w:hAnsi="Verdana" w:cs="Arial"/>
          <w:color w:val="000000" w:themeColor="text1"/>
        </w:rPr>
        <w:footnoteReference w:id="6"/>
      </w:r>
      <w:r w:rsidRPr="00545C00">
        <w:rPr>
          <w:rFonts w:ascii="Verdana" w:eastAsia="Calibri" w:hAnsi="Verdana" w:cs="Arial"/>
          <w:color w:val="000000" w:themeColor="text1"/>
        </w:rPr>
        <w:t>.</w:t>
      </w:r>
    </w:p>
    <w:p w14:paraId="6D1E5C97" w14:textId="77777777" w:rsidR="00C9747A" w:rsidRPr="00E861C6" w:rsidRDefault="00C9747A" w:rsidP="00C9747A">
      <w:pPr>
        <w:spacing w:after="120" w:line="276" w:lineRule="auto"/>
        <w:ind w:firstLine="708"/>
        <w:jc w:val="both"/>
        <w:rPr>
          <w:rFonts w:ascii="Verdana" w:eastAsia="Calibri" w:hAnsi="Verdana" w:cs="Arial"/>
          <w:color w:val="000000" w:themeColor="text1"/>
        </w:rPr>
      </w:pPr>
      <w:r w:rsidRPr="00305AB1">
        <w:rPr>
          <w:rFonts w:ascii="Verdana" w:eastAsia="Calibri" w:hAnsi="Verdana" w:cs="Arial"/>
          <w:color w:val="000000" w:themeColor="text1"/>
        </w:rPr>
        <w:t>También, el Consejo de Estado ha determinado que el pliego de condiciones es ley para las partes, y en él se debe establecer la regulación del procedimiento de contratación, conforme a la ley, garantizando la selección objetiva del contratista</w:t>
      </w:r>
      <w:r w:rsidRPr="00305AB1">
        <w:rPr>
          <w:rStyle w:val="Refdenotaalpie"/>
          <w:rFonts w:ascii="Verdana" w:eastAsia="Calibri" w:hAnsi="Verdana" w:cs="Arial"/>
          <w:color w:val="000000" w:themeColor="text1"/>
        </w:rPr>
        <w:footnoteReference w:id="7"/>
      </w:r>
      <w:r w:rsidRPr="00305AB1">
        <w:rPr>
          <w:rFonts w:ascii="Verdana" w:eastAsia="Calibri" w:hAnsi="Verdana" w:cs="Arial"/>
          <w:color w:val="000000" w:themeColor="text1"/>
        </w:rPr>
        <w:t xml:space="preserve">.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w:t>
      </w:r>
      <w:proofErr w:type="spellStart"/>
      <w:r w:rsidRPr="00305AB1">
        <w:rPr>
          <w:rFonts w:ascii="Verdana" w:eastAsia="Calibri" w:hAnsi="Verdana" w:cs="Arial"/>
          <w:color w:val="000000" w:themeColor="text1"/>
        </w:rPr>
        <w:t>ii</w:t>
      </w:r>
      <w:proofErr w:type="spellEnd"/>
      <w:r w:rsidRPr="00305AB1">
        <w:rPr>
          <w:rFonts w:ascii="Verdana" w:eastAsia="Calibri" w:hAnsi="Verdana" w:cs="Arial"/>
          <w:color w:val="000000" w:themeColor="text1"/>
        </w:rPr>
        <w:t xml:space="preserve">) modalidad y criterios de selección, </w:t>
      </w:r>
      <w:proofErr w:type="spellStart"/>
      <w:r w:rsidRPr="00305AB1">
        <w:rPr>
          <w:rFonts w:ascii="Verdana" w:eastAsia="Calibri" w:hAnsi="Verdana" w:cs="Arial"/>
          <w:color w:val="000000" w:themeColor="text1"/>
        </w:rPr>
        <w:t>iii</w:t>
      </w:r>
      <w:proofErr w:type="spellEnd"/>
      <w:r w:rsidRPr="00305AB1">
        <w:rPr>
          <w:rFonts w:ascii="Verdana" w:eastAsia="Calibri" w:hAnsi="Verdana" w:cs="Arial"/>
          <w:color w:val="000000" w:themeColor="text1"/>
        </w:rPr>
        <w:t>) valoración económica del bien, obra o servicio, iv) reglas de la presentación y manejo de las ofertas, v) riesgos y garantías, entre otros aspectos del contrato</w:t>
      </w:r>
      <w:r w:rsidRPr="00305AB1">
        <w:rPr>
          <w:rStyle w:val="Refdenotaalpie"/>
          <w:rFonts w:ascii="Verdana" w:eastAsia="Calibri" w:hAnsi="Verdana" w:cs="Arial"/>
          <w:color w:val="000000" w:themeColor="text1"/>
        </w:rPr>
        <w:footnoteReference w:id="8"/>
      </w:r>
      <w:r w:rsidRPr="00305AB1">
        <w:rPr>
          <w:rFonts w:ascii="Verdana" w:eastAsia="Calibri" w:hAnsi="Verdana" w:cs="Arial"/>
          <w:color w:val="000000" w:themeColor="text1"/>
        </w:rPr>
        <w:t>.</w:t>
      </w:r>
    </w:p>
    <w:p w14:paraId="40D2EC9D" w14:textId="77777777" w:rsidR="00C9747A" w:rsidRPr="00545C00" w:rsidRDefault="00C9747A" w:rsidP="00C9747A">
      <w:pPr>
        <w:spacing w:after="120" w:line="276" w:lineRule="auto"/>
        <w:jc w:val="both"/>
        <w:rPr>
          <w:rFonts w:ascii="Verdana" w:eastAsia="Calibri" w:hAnsi="Verdana" w:cs="Arial"/>
          <w:color w:val="000000" w:themeColor="text1"/>
        </w:rPr>
      </w:pPr>
    </w:p>
    <w:p w14:paraId="76CC2244" w14:textId="77777777" w:rsidR="00C9747A" w:rsidRPr="00545C00" w:rsidRDefault="00C9747A" w:rsidP="00C9747A">
      <w:pPr>
        <w:spacing w:after="120" w:line="276" w:lineRule="auto"/>
        <w:ind w:right="105" w:firstLine="709"/>
        <w:jc w:val="both"/>
        <w:rPr>
          <w:rFonts w:ascii="Verdana" w:hAnsi="Verdana"/>
        </w:rPr>
      </w:pPr>
      <w:r w:rsidRPr="00545C00">
        <w:rPr>
          <w:rFonts w:ascii="Verdana" w:hAnsi="Verdana"/>
        </w:rPr>
        <w:t xml:space="preserve">En todo caso, sin perjuicio de la discrecionalidad de las Entidades Estatales para determinar las reglas de participación y escogencia que resulten más razonables para el objeto a contratar, estas deben configurar el pliego de condiciones garantizando la selección objetiva, de acuerdo con el artículo 5 de la Ley 1150 de 2007. Esto supone establecer requisitos habilitantes y ponderables, adecuados y proporcionales para el objeto del contrato, así como la aplicación de la normativa que resulte relevante para los procesos de contratación, como, por ejemplo, la referente a criterios diferenciales adoptados por la Ley 2069 de 2020 –arts. 31 y 32– o el Decreto 392 de 2018, cuestiones que son temas de los estudios previos y el análisis del sector, razón por la cual el pliego de condiciones debe reflejar el contenido de dichos documentos precontractuales. </w:t>
      </w:r>
    </w:p>
    <w:p w14:paraId="104B85BD" w14:textId="77777777" w:rsidR="00C9747A" w:rsidRPr="00545C00" w:rsidRDefault="00C9747A" w:rsidP="00C9747A">
      <w:pPr>
        <w:spacing w:after="120" w:line="276" w:lineRule="auto"/>
        <w:ind w:right="105" w:firstLine="709"/>
        <w:jc w:val="both"/>
        <w:rPr>
          <w:rFonts w:ascii="Verdana" w:hAnsi="Verdana"/>
        </w:rPr>
      </w:pPr>
      <w:r w:rsidRPr="00545C00">
        <w:rPr>
          <w:rFonts w:ascii="Verdana" w:hAnsi="Verdana"/>
        </w:rPr>
        <w:t>En consideración a esto, el Estatuto General de Contratación de la Administración Pública, fuera de la potestad exorbitante de interpretación unilateral establecida en el artículo 14, el componente del principio de economía referido por el numeral 2° del artículo 25</w:t>
      </w:r>
      <w:r w:rsidRPr="00545C00">
        <w:rPr>
          <w:rStyle w:val="Refdenotaalpie"/>
          <w:rFonts w:ascii="Verdana" w:hAnsi="Verdana"/>
        </w:rPr>
        <w:footnoteReference w:id="9"/>
      </w:r>
      <w:r w:rsidRPr="00545C00">
        <w:rPr>
          <w:rFonts w:ascii="Verdana" w:hAnsi="Verdana"/>
        </w:rPr>
        <w:t xml:space="preserve"> y la regla general de interpretación consagrada en el artículo 28 de la Ley 80 de 1993</w:t>
      </w:r>
      <w:r w:rsidRPr="00545C00">
        <w:rPr>
          <w:rStyle w:val="Refdenotaalpie"/>
          <w:rFonts w:ascii="Verdana" w:hAnsi="Verdana"/>
        </w:rPr>
        <w:footnoteReference w:id="10"/>
      </w:r>
      <w:r w:rsidRPr="00545C00">
        <w:rPr>
          <w:rFonts w:ascii="Verdana" w:hAnsi="Verdana"/>
        </w:rPr>
        <w:t xml:space="preserve">, no establece una disposición que prevea la posibilidad de interpretar discrepancias entre los </w:t>
      </w:r>
      <w:r w:rsidRPr="00545C00">
        <w:rPr>
          <w:rFonts w:ascii="Verdana" w:hAnsi="Verdana"/>
        </w:rPr>
        <w:lastRenderedPageBreak/>
        <w:t xml:space="preserve">documentos precontractuales, el pliego de condiciones y la minuta del contrato documentos precontractuales.   </w:t>
      </w:r>
    </w:p>
    <w:p w14:paraId="3C566107" w14:textId="77777777" w:rsidR="00C9747A" w:rsidRPr="00545C00" w:rsidRDefault="00C9747A" w:rsidP="00C9747A">
      <w:pPr>
        <w:spacing w:after="0" w:line="276" w:lineRule="auto"/>
        <w:ind w:right="105" w:firstLine="709"/>
        <w:jc w:val="both"/>
        <w:rPr>
          <w:rFonts w:ascii="Verdana" w:hAnsi="Verdana"/>
        </w:rPr>
      </w:pPr>
      <w:r w:rsidRPr="00545C00">
        <w:rPr>
          <w:rFonts w:ascii="Verdana" w:hAnsi="Verdana"/>
        </w:rPr>
        <w:t>No obstante, la jurisprudencia contenciosa administrativa ha sido enfática en reconocer el carácter prevalente del pliego de condiciones respecto de los demás documentos del contrato. Al respecto, en providencia del 29 de enero de 2004 la Sección Tercera del Consejo de Estado indicó lo siguiente:</w:t>
      </w:r>
    </w:p>
    <w:p w14:paraId="58D51A51" w14:textId="77777777" w:rsidR="00C9747A" w:rsidRPr="00545C00" w:rsidRDefault="00C9747A" w:rsidP="00C9747A">
      <w:pPr>
        <w:spacing w:after="0" w:line="276" w:lineRule="auto"/>
        <w:ind w:right="105" w:firstLine="709"/>
        <w:jc w:val="both"/>
        <w:rPr>
          <w:rFonts w:ascii="Verdana" w:hAnsi="Verdana"/>
        </w:rPr>
      </w:pPr>
      <w:r w:rsidRPr="00545C00">
        <w:rPr>
          <w:rFonts w:ascii="Verdana" w:hAnsi="Verdana"/>
        </w:rPr>
        <w:t xml:space="preserve"> </w:t>
      </w:r>
    </w:p>
    <w:p w14:paraId="025F67ED" w14:textId="77777777" w:rsidR="00C9747A" w:rsidRDefault="00C9747A" w:rsidP="00C9747A">
      <w:pPr>
        <w:spacing w:after="0" w:line="240" w:lineRule="auto"/>
        <w:ind w:left="709" w:right="709"/>
        <w:jc w:val="both"/>
        <w:rPr>
          <w:rFonts w:ascii="Verdana" w:hAnsi="Verdana" w:cs="Arial"/>
          <w:iCs/>
        </w:rPr>
      </w:pPr>
      <w:r w:rsidRPr="00545C00">
        <w:rPr>
          <w:rFonts w:ascii="Verdana" w:hAnsi="Verdana" w:cs="Arial"/>
          <w:bCs/>
          <w:iCs/>
          <w:sz w:val="20"/>
          <w:szCs w:val="20"/>
          <w:lang w:val="es-ES"/>
        </w:rPr>
        <w:t xml:space="preserve">“[…] </w:t>
      </w:r>
      <w:r w:rsidRPr="00545C00">
        <w:rPr>
          <w:rFonts w:ascii="Verdana" w:hAnsi="Verdana" w:cs="Arial"/>
          <w:iCs/>
          <w:sz w:val="20"/>
          <w:szCs w:val="20"/>
        </w:rPr>
        <w:t xml:space="preserve">los pliegos de condiciones forman parte esencial del contrato porque son la fuente principal de los derechos y obligaciones de las partes y son la base para la interpretación e integración del contrato, en la medida que contienen la voluntad de la administración a la que se someten por adhesión los proponentes y el contratista que resulte favorecido. </w:t>
      </w:r>
      <w:r w:rsidRPr="00545C00">
        <w:rPr>
          <w:rFonts w:ascii="Verdana" w:hAnsi="Verdana" w:cs="Arial"/>
          <w:i/>
          <w:sz w:val="20"/>
          <w:szCs w:val="20"/>
        </w:rPr>
        <w:t>Por tal motivo, las reglas de los pliegos de condiciones deben prevalecer sobre los demás documentos del contrato y en particular sobre la minuta, la cual debe limitarse a formalizar el acuerdo de voluntades y a plasmar en forma fidedigna la regulación del objeto contractual y los derechos y obligaciones a cargo de las partes</w:t>
      </w:r>
      <w:r w:rsidRPr="00545C00">
        <w:rPr>
          <w:rFonts w:ascii="Verdana" w:hAnsi="Verdana" w:cs="Arial"/>
          <w:iCs/>
          <w:sz w:val="20"/>
          <w:szCs w:val="20"/>
        </w:rPr>
        <w:t>”</w:t>
      </w:r>
      <w:r w:rsidRPr="00545C00">
        <w:rPr>
          <w:rStyle w:val="Refdenotaalpie"/>
          <w:rFonts w:ascii="Verdana" w:hAnsi="Verdana" w:cs="Arial"/>
          <w:iCs/>
          <w:sz w:val="20"/>
          <w:szCs w:val="20"/>
        </w:rPr>
        <w:footnoteReference w:id="11"/>
      </w:r>
      <w:r w:rsidRPr="00545C00">
        <w:rPr>
          <w:rFonts w:ascii="Verdana" w:hAnsi="Verdana" w:cs="Arial"/>
          <w:iCs/>
          <w:sz w:val="20"/>
          <w:szCs w:val="20"/>
        </w:rPr>
        <w:t xml:space="preserve"> </w:t>
      </w:r>
      <w:r w:rsidRPr="00545C00">
        <w:rPr>
          <w:rFonts w:ascii="Verdana" w:hAnsi="Verdana" w:cs="Arial"/>
          <w:iCs/>
        </w:rPr>
        <w:t>[Énfasis fuera de texto].</w:t>
      </w:r>
    </w:p>
    <w:p w14:paraId="2122A20D" w14:textId="77777777" w:rsidR="00C9747A" w:rsidRDefault="00C9747A" w:rsidP="00C9747A">
      <w:pPr>
        <w:spacing w:after="0" w:line="240" w:lineRule="auto"/>
        <w:ind w:left="709" w:right="709"/>
        <w:jc w:val="both"/>
        <w:rPr>
          <w:rFonts w:ascii="Verdana" w:hAnsi="Verdana" w:cs="Arial"/>
          <w:iCs/>
        </w:rPr>
      </w:pPr>
    </w:p>
    <w:p w14:paraId="48AF93FB" w14:textId="77777777" w:rsidR="00C9747A" w:rsidRDefault="00C9747A" w:rsidP="00C9747A">
      <w:pPr>
        <w:spacing w:after="0" w:line="276" w:lineRule="auto"/>
        <w:ind w:right="49" w:firstLine="708"/>
        <w:jc w:val="both"/>
        <w:rPr>
          <w:rFonts w:ascii="Verdana" w:hAnsi="Verdana"/>
        </w:rPr>
      </w:pPr>
      <w:r>
        <w:rPr>
          <w:rFonts w:ascii="Verdana" w:hAnsi="Verdana"/>
        </w:rPr>
        <w:t>En el mismo sentido, la referida corporación judicial realizó las siguientes consideraciones en sentencia del 10 de marzo de 2011:</w:t>
      </w:r>
    </w:p>
    <w:p w14:paraId="12CCEB10" w14:textId="77777777" w:rsidR="00C9747A" w:rsidRDefault="00C9747A" w:rsidP="00C9747A">
      <w:pPr>
        <w:spacing w:after="0" w:line="240" w:lineRule="auto"/>
        <w:ind w:left="709" w:right="709"/>
        <w:jc w:val="both"/>
        <w:rPr>
          <w:rFonts w:ascii="Verdana" w:hAnsi="Verdana"/>
        </w:rPr>
      </w:pPr>
    </w:p>
    <w:p w14:paraId="5A628759" w14:textId="77777777" w:rsidR="00C9747A" w:rsidRDefault="00C9747A" w:rsidP="00C9747A">
      <w:pPr>
        <w:spacing w:after="0" w:line="240" w:lineRule="auto"/>
        <w:ind w:left="709" w:right="709"/>
        <w:jc w:val="both"/>
        <w:rPr>
          <w:rFonts w:ascii="Verdana" w:hAnsi="Verdana" w:cs="Arial"/>
          <w:iCs/>
        </w:rPr>
      </w:pPr>
      <w:r w:rsidRPr="00305AB1">
        <w:rPr>
          <w:rFonts w:ascii="Verdana" w:hAnsi="Verdana"/>
          <w:sz w:val="20"/>
          <w:szCs w:val="20"/>
        </w:rPr>
        <w:t xml:space="preserve">“El contenido del contrato fruto de un proceso licitatorio como el que es objeto de la presente litis, debe coincidir con los términos anunciados en el respectivo pliego de condiciones, el cual constituye no solo la ley del proceso de selección, por establecer todas las normas de participación, evaluación y adjudicación de la respectiva licitación o concurso, sino también la ley del futuro contrato, en la medida en que debe establecer el contenido del negocio jurídico que se celebrará como resultado de la licitación y especificar los derechos y obligaciones que surgirán para las partes del contrato a adjudicar. Así lo ha considerado la jurisprudencia de la corporación, para la cual, </w:t>
      </w:r>
      <w:r w:rsidRPr="00305AB1">
        <w:rPr>
          <w:rFonts w:ascii="Verdana" w:hAnsi="Verdana"/>
          <w:i/>
          <w:iCs/>
          <w:sz w:val="20"/>
          <w:szCs w:val="20"/>
        </w:rPr>
        <w:t>una vez suscrito el contrato, las disposiciones del pliego hacen parte integral de su clausulado y se imponen sobre las pactadas en el contrato mismo</w:t>
      </w:r>
      <w:r w:rsidRPr="00305AB1">
        <w:rPr>
          <w:rFonts w:ascii="Verdana" w:hAnsi="Verdana"/>
          <w:sz w:val="20"/>
          <w:szCs w:val="20"/>
        </w:rPr>
        <w:t>”</w:t>
      </w:r>
      <w:r w:rsidRPr="00305AB1">
        <w:rPr>
          <w:rStyle w:val="Refdenotaalpie"/>
          <w:rFonts w:ascii="Verdana" w:hAnsi="Verdana"/>
          <w:sz w:val="20"/>
          <w:szCs w:val="20"/>
        </w:rPr>
        <w:footnoteReference w:id="12"/>
      </w:r>
      <w:r>
        <w:rPr>
          <w:rFonts w:ascii="Verdana" w:hAnsi="Verdana"/>
          <w:sz w:val="20"/>
          <w:szCs w:val="20"/>
        </w:rPr>
        <w:t>.</w:t>
      </w:r>
      <w:r w:rsidRPr="00305AB1">
        <w:rPr>
          <w:rFonts w:ascii="Verdana" w:hAnsi="Verdana"/>
          <w:sz w:val="20"/>
          <w:szCs w:val="20"/>
        </w:rPr>
        <w:t xml:space="preserve"> </w:t>
      </w:r>
      <w:r w:rsidRPr="009E161B">
        <w:rPr>
          <w:rFonts w:ascii="Verdana" w:hAnsi="Verdana" w:cs="Arial"/>
          <w:iCs/>
        </w:rPr>
        <w:t>[Énfasis fuera de texto].</w:t>
      </w:r>
    </w:p>
    <w:p w14:paraId="10EF4690" w14:textId="77777777" w:rsidR="00C9747A" w:rsidRDefault="00C9747A" w:rsidP="00C9747A">
      <w:pPr>
        <w:spacing w:after="0" w:line="240" w:lineRule="auto"/>
        <w:ind w:left="709" w:right="709"/>
        <w:jc w:val="both"/>
        <w:rPr>
          <w:rFonts w:ascii="Verdana" w:hAnsi="Verdana" w:cs="Arial"/>
          <w:iCs/>
        </w:rPr>
      </w:pPr>
    </w:p>
    <w:p w14:paraId="4672C500" w14:textId="77777777" w:rsidR="00C9747A" w:rsidRPr="002C5611" w:rsidRDefault="00C9747A" w:rsidP="00C9747A">
      <w:pPr>
        <w:spacing w:after="0" w:line="276" w:lineRule="auto"/>
        <w:ind w:firstLine="352"/>
        <w:jc w:val="both"/>
        <w:rPr>
          <w:rFonts w:ascii="Verdana" w:eastAsia="Calibri" w:hAnsi="Verdana"/>
          <w:lang w:val="es-ES"/>
        </w:rPr>
      </w:pPr>
      <w:r w:rsidRPr="002C5611">
        <w:rPr>
          <w:rFonts w:ascii="Verdana" w:eastAsia="Calibri" w:hAnsi="Verdana"/>
          <w:lang w:val="es-ES"/>
        </w:rPr>
        <w:t xml:space="preserve">Tal prevalencia otorgada al pliego de condiciones respecto de los demás documentos contractuales tiene que ver con el carácter normativo de este acto, </w:t>
      </w:r>
      <w:r w:rsidRPr="002C5611">
        <w:rPr>
          <w:rFonts w:ascii="Verdana" w:eastAsia="Calibri" w:hAnsi="Verdana"/>
          <w:lang w:val="es-ES"/>
        </w:rPr>
        <w:lastRenderedPageBreak/>
        <w:t xml:space="preserve">el cual condiciona la relación contractual que surge del proceso de selección que regula. Sobre el particular la doctrina nacional ha señalado: </w:t>
      </w:r>
    </w:p>
    <w:p w14:paraId="3BFC5DCD" w14:textId="77777777" w:rsidR="00C9747A" w:rsidRPr="002C5611" w:rsidRDefault="00C9747A" w:rsidP="00C9747A">
      <w:pPr>
        <w:spacing w:after="0" w:line="276" w:lineRule="auto"/>
        <w:ind w:firstLine="352"/>
        <w:jc w:val="both"/>
        <w:rPr>
          <w:rFonts w:ascii="Verdana" w:eastAsia="Calibri" w:hAnsi="Verdana"/>
          <w:lang w:val="es-ES"/>
        </w:rPr>
      </w:pPr>
    </w:p>
    <w:p w14:paraId="5BA76247" w14:textId="77777777" w:rsidR="00C9747A" w:rsidRPr="002C5611" w:rsidRDefault="00C9747A" w:rsidP="00C9747A">
      <w:pPr>
        <w:spacing w:after="0" w:line="240" w:lineRule="auto"/>
        <w:ind w:left="709" w:right="709"/>
        <w:jc w:val="both"/>
        <w:rPr>
          <w:rFonts w:ascii="Verdana" w:eastAsia="Calibri" w:hAnsi="Verdana"/>
          <w:sz w:val="20"/>
          <w:szCs w:val="20"/>
        </w:rPr>
      </w:pPr>
      <w:r w:rsidRPr="002C5611">
        <w:rPr>
          <w:rFonts w:ascii="Verdana" w:eastAsia="Calibri" w:hAnsi="Verdana"/>
          <w:sz w:val="20"/>
          <w:szCs w:val="20"/>
          <w:lang w:val="es-ES"/>
        </w:rPr>
        <w:t>“</w:t>
      </w:r>
      <w:r w:rsidRPr="002C5611">
        <w:rPr>
          <w:rFonts w:ascii="Verdana" w:eastAsia="Calibri" w:hAnsi="Verdana"/>
          <w:sz w:val="20"/>
          <w:szCs w:val="20"/>
        </w:rPr>
        <w:t>Las sentencias de la Sección Tercera, en múltiples oportunidades ha destacado la característica fundamental del pliego de condiciones, esto es su carácter prevalente respecto del mismo contenido contractual.</w:t>
      </w:r>
    </w:p>
    <w:p w14:paraId="3F7231B5" w14:textId="77777777" w:rsidR="00C9747A" w:rsidRPr="002C5611" w:rsidRDefault="00C9747A" w:rsidP="00C9747A">
      <w:pPr>
        <w:spacing w:after="0" w:line="240" w:lineRule="auto"/>
        <w:ind w:left="709" w:right="709"/>
        <w:jc w:val="both"/>
        <w:rPr>
          <w:rFonts w:ascii="Verdana" w:eastAsia="Calibri" w:hAnsi="Verdana"/>
          <w:sz w:val="20"/>
          <w:szCs w:val="20"/>
        </w:rPr>
      </w:pPr>
    </w:p>
    <w:p w14:paraId="1AE9C685" w14:textId="77777777" w:rsidR="00C9747A" w:rsidRPr="002C5611" w:rsidRDefault="00C9747A" w:rsidP="00C9747A">
      <w:pPr>
        <w:spacing w:after="0" w:line="240" w:lineRule="auto"/>
        <w:ind w:left="709" w:right="709"/>
        <w:jc w:val="both"/>
        <w:rPr>
          <w:rFonts w:ascii="Verdana" w:eastAsia="Calibri" w:hAnsi="Verdana"/>
          <w:sz w:val="20"/>
          <w:szCs w:val="20"/>
        </w:rPr>
      </w:pPr>
      <w:r w:rsidRPr="002C5611">
        <w:rPr>
          <w:rFonts w:ascii="Verdana" w:eastAsia="Calibri" w:hAnsi="Verdana"/>
          <w:sz w:val="20"/>
          <w:szCs w:val="20"/>
        </w:rPr>
        <w:t>La razón es evidente: si la mejor oferta para ejecutar el contrato es seleccionada con fundamento en los requisitos ponderables y habilitantes exigidos en el pliego de condiciones, una vez perfeccionado el mismo, las condiciones de su ejecución deben corresponder al cumplimiento de esos requisitos iniciales exigidos en el pliego, tanto sobre las calidades del contratista y de su grupo de trabajo, como las derivadas del objeto y las condiciones de tiempo, lugar y modo para su cumplimiento.</w:t>
      </w:r>
    </w:p>
    <w:p w14:paraId="1571A706" w14:textId="77777777" w:rsidR="00C9747A" w:rsidRPr="002C5611" w:rsidRDefault="00C9747A" w:rsidP="00C9747A">
      <w:pPr>
        <w:spacing w:after="0" w:line="240" w:lineRule="auto"/>
        <w:ind w:left="709" w:right="709"/>
        <w:jc w:val="both"/>
        <w:rPr>
          <w:rFonts w:ascii="Verdana" w:eastAsia="Calibri" w:hAnsi="Verdana"/>
          <w:sz w:val="20"/>
          <w:szCs w:val="20"/>
        </w:rPr>
      </w:pPr>
      <w:r w:rsidRPr="002C5611">
        <w:rPr>
          <w:rFonts w:ascii="Verdana" w:eastAsia="Calibri" w:hAnsi="Verdana"/>
          <w:sz w:val="20"/>
          <w:szCs w:val="20"/>
        </w:rPr>
        <w:br/>
        <w:t>Si tales condiciones variaran sin una razón justificable y sobreviniente, dejaría sin razón de ser el pliego y el mismo proceso de selección, pues la ejecución del contrato no correspondería a las reglas sobre las cuales se edificó el procedimiento y el mismo pliego.</w:t>
      </w:r>
    </w:p>
    <w:p w14:paraId="44214854" w14:textId="77777777" w:rsidR="00C9747A" w:rsidRPr="002C5611" w:rsidRDefault="00C9747A" w:rsidP="00C9747A">
      <w:pPr>
        <w:spacing w:after="0" w:line="240" w:lineRule="auto"/>
        <w:ind w:left="709" w:right="709"/>
        <w:jc w:val="both"/>
        <w:rPr>
          <w:rFonts w:ascii="Verdana" w:eastAsia="Calibri" w:hAnsi="Verdana"/>
          <w:sz w:val="20"/>
          <w:szCs w:val="20"/>
        </w:rPr>
      </w:pPr>
      <w:r w:rsidRPr="002C5611">
        <w:rPr>
          <w:rFonts w:ascii="Verdana" w:eastAsia="Calibri" w:hAnsi="Verdana"/>
          <w:sz w:val="20"/>
          <w:szCs w:val="20"/>
        </w:rPr>
        <w:br/>
      </w:r>
      <w:r w:rsidRPr="002C5611">
        <w:rPr>
          <w:rFonts w:ascii="Verdana" w:eastAsia="Calibri" w:hAnsi="Verdana"/>
          <w:i/>
          <w:iCs/>
          <w:sz w:val="20"/>
          <w:szCs w:val="20"/>
        </w:rPr>
        <w:t>Cuando se presenten contradicciones entre el pliego de condiciones y el contrato, es necesario afirmar la prevalencia del primero, independiente de las menciones que se hagan en el mismo cuerpo contractual, pues su obligatoriedad y preeminencia no dependen del acuerdo de voluntades, sino de su carácter normativo que se impone como orientador del acuerdo entre ellas</w:t>
      </w:r>
      <w:r w:rsidRPr="002C5611">
        <w:rPr>
          <w:rFonts w:ascii="Verdana" w:eastAsia="Calibri" w:hAnsi="Verdana"/>
          <w:sz w:val="20"/>
          <w:szCs w:val="20"/>
        </w:rPr>
        <w:t>”</w:t>
      </w:r>
      <w:r w:rsidRPr="002C5611">
        <w:rPr>
          <w:rStyle w:val="Refdenotaalpie"/>
          <w:rFonts w:ascii="Verdana" w:eastAsia="Calibri" w:hAnsi="Verdana"/>
          <w:sz w:val="20"/>
          <w:szCs w:val="20"/>
        </w:rPr>
        <w:footnoteReference w:id="13"/>
      </w:r>
      <w:r w:rsidRPr="002C5611">
        <w:rPr>
          <w:rFonts w:ascii="Verdana" w:eastAsia="Calibri" w:hAnsi="Verdana"/>
          <w:sz w:val="20"/>
          <w:szCs w:val="20"/>
        </w:rPr>
        <w:t xml:space="preserve"> </w:t>
      </w:r>
      <w:r w:rsidRPr="002C5611">
        <w:rPr>
          <w:rFonts w:ascii="Verdana" w:hAnsi="Verdana" w:cs="Arial"/>
          <w:iCs/>
        </w:rPr>
        <w:t>[Énfasis fuera de texto].</w:t>
      </w:r>
    </w:p>
    <w:p w14:paraId="4BE08C5E" w14:textId="77777777" w:rsidR="00C9747A" w:rsidRPr="002C5611" w:rsidRDefault="00C9747A" w:rsidP="00C9747A">
      <w:pPr>
        <w:spacing w:after="0" w:line="276" w:lineRule="auto"/>
        <w:ind w:firstLine="352"/>
        <w:jc w:val="both"/>
        <w:rPr>
          <w:rFonts w:ascii="Verdana" w:eastAsia="Calibri" w:hAnsi="Verdana"/>
          <w:lang w:val="es-ES"/>
        </w:rPr>
      </w:pPr>
    </w:p>
    <w:p w14:paraId="0075C16D" w14:textId="77777777" w:rsidR="00C9747A" w:rsidRPr="002C5611" w:rsidRDefault="00C9747A" w:rsidP="00C9747A">
      <w:pPr>
        <w:spacing w:after="120" w:line="276" w:lineRule="auto"/>
        <w:jc w:val="both"/>
        <w:rPr>
          <w:rFonts w:ascii="Verdana" w:eastAsia="Calibri" w:hAnsi="Verdana"/>
          <w:lang w:val="es-ES"/>
        </w:rPr>
      </w:pPr>
      <w:r w:rsidRPr="002C5611">
        <w:rPr>
          <w:rFonts w:ascii="Verdana" w:eastAsia="Calibri" w:hAnsi="Verdana"/>
          <w:lang w:val="es-ES"/>
        </w:rPr>
        <w:tab/>
        <w:t xml:space="preserve">Conforme a lo anterior, la jurisprudencia y la doctrina coinciden en señalar la prevalencia del pliego de condiciones respecto de los demás documentos contractuales, en la medida en que los efectos que devienen de su naturaleza normativa irradian el desarrollo del proceso de selección, la celebración del contrato y su ejecución. Debido a esto, no resulta posible la Entidad Estatal ejerzan la autonomía de la voluntad contraviniendo en la minuta las reglas o elementos del negocio jurídico que debe consolidarse como resultado del Proceso de Contratación.   </w:t>
      </w:r>
    </w:p>
    <w:p w14:paraId="408A2CD1" w14:textId="77777777" w:rsidR="00C9747A" w:rsidRPr="002C5611" w:rsidRDefault="00C9747A" w:rsidP="00C9747A">
      <w:pPr>
        <w:spacing w:after="120" w:line="276" w:lineRule="auto"/>
        <w:ind w:firstLine="709"/>
        <w:jc w:val="both"/>
        <w:rPr>
          <w:rFonts w:ascii="Verdana" w:eastAsia="Calibri" w:hAnsi="Verdana"/>
          <w:lang w:val="es-ES"/>
        </w:rPr>
      </w:pPr>
      <w:r w:rsidRPr="002C5611">
        <w:rPr>
          <w:rFonts w:ascii="Verdana" w:eastAsia="Calibri" w:hAnsi="Verdana"/>
          <w:lang w:val="es-ES"/>
        </w:rPr>
        <w:lastRenderedPageBreak/>
        <w:t xml:space="preserve">Sin embargo, el carácter prevalente del pliego de condiciones no puede alegarse con la finalidad de transgredir el interés general o el ordenamiento. Sobre este punto el Consejo de Estado ha indicado: </w:t>
      </w:r>
    </w:p>
    <w:p w14:paraId="0FE62CF0" w14:textId="77777777" w:rsidR="00C9747A" w:rsidRPr="002C5611" w:rsidRDefault="00C9747A" w:rsidP="00C9747A">
      <w:pPr>
        <w:spacing w:after="120" w:line="240" w:lineRule="auto"/>
        <w:ind w:left="709" w:right="709"/>
        <w:jc w:val="both"/>
        <w:rPr>
          <w:rFonts w:ascii="Verdana" w:eastAsia="Calibri" w:hAnsi="Verdana"/>
          <w:sz w:val="20"/>
          <w:szCs w:val="20"/>
          <w:lang w:val="es-ES"/>
        </w:rPr>
      </w:pPr>
      <w:r w:rsidRPr="002C5611">
        <w:rPr>
          <w:rFonts w:ascii="Verdana" w:eastAsia="Calibri" w:hAnsi="Verdana"/>
          <w:sz w:val="20"/>
          <w:szCs w:val="20"/>
        </w:rPr>
        <w:t>“Se ha sostenido que, en lo que al contenido respecta, las cláusulas de los pliegos de condiciones admiten una suerte de categorización, en tanto un grupo o categoría de cláusulas cumplen la función práctico-jurídica de determinar las reglas generales con arreglo a las cuales el contrato habrá de ejecutarse, en tanto otro grupo o categoría está orientado a disciplinar el reglamento que habrá de regir el proceso de selección del oferente.</w:t>
      </w:r>
      <w:r w:rsidRPr="002C5611">
        <w:rPr>
          <w:rFonts w:ascii="Verdana" w:eastAsia="Calibri" w:hAnsi="Verdana"/>
          <w:sz w:val="20"/>
          <w:szCs w:val="20"/>
        </w:rPr>
        <w:br/>
      </w:r>
      <w:r w:rsidRPr="002C5611">
        <w:rPr>
          <w:rFonts w:ascii="Verdana" w:eastAsia="Calibri" w:hAnsi="Verdana"/>
          <w:i/>
          <w:iCs/>
          <w:sz w:val="20"/>
          <w:szCs w:val="20"/>
        </w:rPr>
        <w:t>Pues bien, sea que se trate de las cláusulas cuya función es disciplinar el procedimiento de selección exclusivamente, ya se trate de aquellas que se integran al contenido del contrato estatal, es lo cierto que la Administración no puede establecer criterios irrazonables que no consulten el interés general presente tanto en el proceso de selección como en la ejecución del contrato estatal, so pena de ineficacia de dichas cláusulas predispuestas ante casos de violación mayúscula del ordenamiento jurídico -v. gr., contravención de norma de orden público-, o de exponerse a un control riguroso de contenido por parte del juez del contrato</w:t>
      </w:r>
      <w:r w:rsidRPr="002C5611">
        <w:rPr>
          <w:rFonts w:ascii="Verdana" w:eastAsia="Calibri" w:hAnsi="Verdana"/>
          <w:sz w:val="20"/>
          <w:szCs w:val="20"/>
        </w:rPr>
        <w:t>, quien por la vía de la cláusula general de buena fe o, bajo la óptica del principio de objetividad o de igualdad, puede corregir o ajustar el contenido de la cláusula, con el propósito de preservar la eficacia vinculante de la que ha sido predispuesta, garantizando así, en todo caso, la aplicación cabal de los principios informadores de la contratación estatal”</w:t>
      </w:r>
      <w:r w:rsidRPr="002C5611">
        <w:rPr>
          <w:rStyle w:val="Refdenotaalpie"/>
          <w:rFonts w:ascii="Verdana" w:eastAsia="Calibri" w:hAnsi="Verdana"/>
          <w:sz w:val="20"/>
          <w:szCs w:val="20"/>
        </w:rPr>
        <w:footnoteReference w:id="14"/>
      </w:r>
      <w:r w:rsidRPr="002C5611">
        <w:rPr>
          <w:rFonts w:ascii="Verdana" w:eastAsia="Calibri" w:hAnsi="Verdana"/>
          <w:sz w:val="20"/>
          <w:szCs w:val="20"/>
        </w:rPr>
        <w:t>.</w:t>
      </w:r>
      <w:r w:rsidRPr="002C5611">
        <w:rPr>
          <w:rFonts w:ascii="Verdana" w:eastAsia="Calibri" w:hAnsi="Verdana"/>
          <w:sz w:val="20"/>
          <w:szCs w:val="20"/>
          <w:lang w:val="es-ES"/>
        </w:rPr>
        <w:t xml:space="preserve"> [</w:t>
      </w:r>
      <w:r w:rsidRPr="002C5611">
        <w:rPr>
          <w:rFonts w:ascii="Verdana" w:hAnsi="Verdana" w:cs="Arial"/>
          <w:iCs/>
        </w:rPr>
        <w:t>Énfasis fuera de texto].</w:t>
      </w:r>
    </w:p>
    <w:p w14:paraId="0C56BE6B" w14:textId="77777777" w:rsidR="00C9747A" w:rsidRDefault="00C9747A" w:rsidP="00C9747A">
      <w:pPr>
        <w:spacing w:after="120" w:line="276" w:lineRule="auto"/>
        <w:ind w:firstLine="709"/>
        <w:jc w:val="both"/>
        <w:rPr>
          <w:rFonts w:ascii="Verdana" w:eastAsia="Calibri" w:hAnsi="Verdana"/>
          <w:lang w:val="es-ES"/>
        </w:rPr>
      </w:pPr>
      <w:r w:rsidRPr="002C5611">
        <w:rPr>
          <w:rFonts w:ascii="Verdana" w:eastAsia="Calibri" w:hAnsi="Verdana"/>
          <w:lang w:val="es-ES"/>
        </w:rPr>
        <w:t xml:space="preserve">De acuerdo con lo anterior, es importante tener en cuenta que el pliego de condiciones definitivo es un acto que surge como resultado de una fase previa de planeación en el marco de la cual se establece su contenido. Tal planeación se expresa en el análisis del sector, ejercicio en el marco del cual, de acuerdo el artículo 2.2.1.1.1.6.2 del Decreto 1082 de 2015, se deben determinar los requisitos habilitantes, así como en los estudios y documentos previos, dentro de los cuales se deben establecer </w:t>
      </w:r>
      <w:r w:rsidRPr="002C5611">
        <w:rPr>
          <w:rFonts w:ascii="Verdana" w:eastAsia="Calibri" w:hAnsi="Verdana"/>
        </w:rPr>
        <w:t xml:space="preserve">los criterios para seleccionar la oferta más favorable, según lo indicado en el numeral 5 del artículo </w:t>
      </w:r>
      <w:r w:rsidRPr="002C5611">
        <w:rPr>
          <w:rFonts w:ascii="Verdana" w:eastAsia="Calibri" w:hAnsi="Verdana"/>
          <w:lang w:val="es-ES"/>
        </w:rPr>
        <w:t xml:space="preserve">2.2.1.1.2.1.1 del Decreto 1082 de 2015. En ese sentido, sin perjuicio de las modificaciones que puedan realizarse en respuesta a las observaciones al proyecto de pliego de condiciones, es claro que los requisitos de participación y adjudicación que deben expresarse en el mismo deben guardar relación con lo establecido en los </w:t>
      </w:r>
      <w:r w:rsidRPr="002C5611">
        <w:rPr>
          <w:rFonts w:ascii="Verdana" w:eastAsia="Calibri" w:hAnsi="Verdana"/>
          <w:lang w:val="es-ES"/>
        </w:rPr>
        <w:lastRenderedPageBreak/>
        <w:t xml:space="preserve">documentos precontractuales expedidos el marco de la planeación, garantizando la selección objetiva. </w:t>
      </w:r>
    </w:p>
    <w:p w14:paraId="76D3D06E" w14:textId="77777777" w:rsidR="00C9747A" w:rsidRPr="0099705E" w:rsidRDefault="00C9747A" w:rsidP="00C9747A">
      <w:pPr>
        <w:spacing w:after="120" w:line="276" w:lineRule="auto"/>
        <w:ind w:firstLine="709"/>
        <w:jc w:val="both"/>
        <w:rPr>
          <w:rFonts w:ascii="Verdana" w:eastAsia="Calibri" w:hAnsi="Verdana"/>
          <w:lang w:val="es-ES"/>
        </w:rPr>
      </w:pPr>
      <w:r w:rsidRPr="0099705E">
        <w:rPr>
          <w:rFonts w:ascii="Verdana" w:eastAsia="Calibri" w:hAnsi="Verdana"/>
        </w:rPr>
        <w:t>Con todo, corresponde a las Entidades Estatales contratantes analizar en cada caso concreto si en efecto se presentan contradicciones entre el contenido de los diferentes los Documentos del Proceso, en aras de determinar el tratamiento interpretativo del que deben ser objeto las mismas en aras de preservar la legalidad del Proceso de Contratación. </w:t>
      </w:r>
    </w:p>
    <w:p w14:paraId="36F009B1" w14:textId="77777777" w:rsidR="00C9747A" w:rsidRPr="00E81306" w:rsidRDefault="00C9747A" w:rsidP="00C9747A">
      <w:pPr>
        <w:widowControl w:val="0"/>
        <w:autoSpaceDE w:val="0"/>
        <w:autoSpaceDN w:val="0"/>
        <w:spacing w:after="120" w:line="276" w:lineRule="auto"/>
        <w:ind w:firstLine="709"/>
        <w:jc w:val="both"/>
        <w:rPr>
          <w:rFonts w:ascii="Verdana" w:eastAsia="Calibri" w:hAnsi="Verdana" w:cs="Arial"/>
          <w:lang w:val="es-MX"/>
        </w:rPr>
      </w:pPr>
      <w:bookmarkStart w:id="2" w:name="_Hlk54011438"/>
      <w:r w:rsidRPr="00E81306">
        <w:rPr>
          <w:rFonts w:ascii="Verdana" w:eastAsia="Calibri" w:hAnsi="Verdana" w:cs="Arial"/>
          <w:lang w:val="es-MX"/>
        </w:rPr>
        <w:t>De lo explicado se desprende que</w:t>
      </w:r>
      <w:r>
        <w:rPr>
          <w:rFonts w:ascii="Verdana" w:eastAsia="Calibri" w:hAnsi="Verdana" w:cs="Arial"/>
          <w:lang w:val="es-MX"/>
        </w:rPr>
        <w:t>,</w:t>
      </w:r>
      <w:r w:rsidRPr="00E81306">
        <w:rPr>
          <w:rFonts w:ascii="Verdana" w:eastAsia="Calibri" w:hAnsi="Verdana" w:cs="Arial"/>
          <w:lang w:val="es-MX"/>
        </w:rPr>
        <w:t xml:space="preserv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2"/>
      <w:r w:rsidRPr="00E81306">
        <w:rPr>
          <w:rFonts w:ascii="Verdana" w:eastAsia="Calibri" w:hAnsi="Verdana" w:cs="Arial"/>
          <w:vertAlign w:val="superscript"/>
          <w:lang w:val="es-MX"/>
        </w:rPr>
        <w:footnoteReference w:id="15"/>
      </w:r>
      <w:r w:rsidRPr="00E81306">
        <w:rPr>
          <w:rFonts w:ascii="Verdana" w:eastAsia="Calibri" w:hAnsi="Verdana" w:cs="Arial"/>
          <w:lang w:val="es-MX"/>
        </w:rPr>
        <w:t>.</w:t>
      </w:r>
    </w:p>
    <w:p w14:paraId="31B09D59" w14:textId="77777777" w:rsidR="00C9747A" w:rsidRPr="00E81306" w:rsidRDefault="00C9747A" w:rsidP="00C9747A">
      <w:pPr>
        <w:widowControl w:val="0"/>
        <w:autoSpaceDE w:val="0"/>
        <w:autoSpaceDN w:val="0"/>
        <w:spacing w:after="120" w:line="276" w:lineRule="auto"/>
        <w:ind w:firstLine="709"/>
        <w:jc w:val="both"/>
        <w:rPr>
          <w:rFonts w:ascii="Verdana" w:eastAsia="Calibri" w:hAnsi="Verdana" w:cs="Arial"/>
        </w:rPr>
      </w:pPr>
      <w:r w:rsidRPr="00E81306">
        <w:rPr>
          <w:rFonts w:ascii="Verdana" w:eastAsia="Calibri" w:hAnsi="Verdana" w:cs="Arial"/>
        </w:rPr>
        <w:t>De otra parte, es necesario explicar que, el pliego de condiciones es la hoja de ruta o plan</w:t>
      </w:r>
      <w:r w:rsidRPr="00E81306">
        <w:rPr>
          <w:rFonts w:ascii="Verdana" w:eastAsia="Calibri" w:hAnsi="Verdana" w:cs="Arial"/>
          <w:vertAlign w:val="superscript"/>
        </w:rPr>
        <w:footnoteReference w:id="16"/>
      </w:r>
      <w:r w:rsidRPr="00E81306">
        <w:rPr>
          <w:rFonts w:ascii="Verdana" w:eastAsia="Calibri" w:hAnsi="Verdana" w:cs="Arial"/>
        </w:rPr>
        <w:t xml:space="preserve"> sobre el cual se diseña, estructura y concreta el proceso de selección de contratistas. El mismo ha sido definido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r w:rsidRPr="00EF0D94">
        <w:rPr>
          <w:rFonts w:ascii="Verdana" w:eastAsia="Calibri" w:hAnsi="Verdana" w:cs="Arial"/>
          <w:vertAlign w:val="superscript"/>
        </w:rPr>
        <w:footnoteReference w:id="17"/>
      </w:r>
      <w:r w:rsidRPr="00E81306">
        <w:rPr>
          <w:rFonts w:ascii="Verdana" w:eastAsia="Calibri" w:hAnsi="Verdana" w:cs="Arial"/>
        </w:rPr>
        <w:t>.</w:t>
      </w:r>
    </w:p>
    <w:p w14:paraId="5F913533" w14:textId="77777777" w:rsidR="00C9747A" w:rsidRPr="004B7F53" w:rsidRDefault="00C9747A" w:rsidP="00C9747A">
      <w:pPr>
        <w:widowControl w:val="0"/>
        <w:autoSpaceDE w:val="0"/>
        <w:autoSpaceDN w:val="0"/>
        <w:spacing w:after="120" w:line="276" w:lineRule="auto"/>
        <w:ind w:firstLine="709"/>
        <w:jc w:val="both"/>
        <w:rPr>
          <w:rFonts w:ascii="Verdana" w:eastAsia="Arial" w:hAnsi="Verdana" w:cs="Arial"/>
          <w:lang w:val="es-ES"/>
        </w:rPr>
      </w:pPr>
      <w:r w:rsidRPr="0054463E">
        <w:rPr>
          <w:rFonts w:ascii="Verdana" w:eastAsia="Calibri" w:hAnsi="Verdana" w:cs="Arial"/>
        </w:rPr>
        <w:t xml:space="preserve">De este modo, el pliego es un instrumento en el cual se materializa el principio de transparencia, pues en ese documento se fijan las reglas de escogencia del contratista del Estado, para la selección objetiva de la mejor oferta, la adjudicación y la posterior celebración y ejecución del contrato, lo cual lo </w:t>
      </w:r>
      <w:r w:rsidRPr="0054463E">
        <w:rPr>
          <w:rFonts w:ascii="Verdana" w:eastAsia="Arial" w:hAnsi="Verdana" w:cs="Arial"/>
          <w:lang w:val="es-ES"/>
        </w:rPr>
        <w:t xml:space="preserve">convierte en una reglamentación de todo el </w:t>
      </w:r>
      <w:proofErr w:type="spellStart"/>
      <w:r w:rsidRPr="0054463E">
        <w:rPr>
          <w:rFonts w:ascii="Verdana" w:eastAsia="Arial" w:hAnsi="Verdana" w:cs="Arial"/>
          <w:lang w:val="es-ES"/>
        </w:rPr>
        <w:t>iter</w:t>
      </w:r>
      <w:proofErr w:type="spellEnd"/>
      <w:r w:rsidRPr="0054463E">
        <w:rPr>
          <w:rFonts w:ascii="Verdana" w:eastAsia="Arial" w:hAnsi="Verdana" w:cs="Arial"/>
          <w:lang w:val="es-ES"/>
        </w:rPr>
        <w:t xml:space="preserve"> contractual.</w:t>
      </w:r>
    </w:p>
    <w:p w14:paraId="60B2C582" w14:textId="77777777" w:rsidR="00C9747A" w:rsidRDefault="00C9747A" w:rsidP="00C9747A">
      <w:pPr>
        <w:widowControl w:val="0"/>
        <w:autoSpaceDE w:val="0"/>
        <w:autoSpaceDN w:val="0"/>
        <w:spacing w:after="120" w:line="276" w:lineRule="auto"/>
        <w:ind w:firstLine="709"/>
        <w:jc w:val="both"/>
        <w:rPr>
          <w:rFonts w:ascii="Verdana" w:eastAsia="Calibri" w:hAnsi="Verdana" w:cs="Arial"/>
          <w:color w:val="000000"/>
          <w:lang w:val="es-ES"/>
        </w:rPr>
      </w:pPr>
      <w:r w:rsidRPr="004B7F53">
        <w:rPr>
          <w:rFonts w:ascii="Verdana" w:eastAsia="Arial" w:hAnsi="Verdana" w:cs="Arial"/>
          <w:lang w:val="es-ES"/>
        </w:rPr>
        <w:t>Por otro</w:t>
      </w:r>
      <w:r>
        <w:rPr>
          <w:rFonts w:ascii="Verdana" w:eastAsia="Calibri" w:hAnsi="Verdana" w:cs="Arial"/>
          <w:color w:val="000000"/>
          <w:lang w:val="es-ES"/>
        </w:rPr>
        <w:t xml:space="preserve"> lado, l</w:t>
      </w:r>
      <w:r w:rsidRPr="00F114DE">
        <w:rPr>
          <w:rFonts w:ascii="Verdana" w:eastAsia="Calibri" w:hAnsi="Verdana" w:cs="Arial"/>
          <w:color w:val="000000"/>
          <w:lang w:val="es-ES"/>
        </w:rPr>
        <w:t xml:space="preserve">as causales de rechazo son las establecidas en la Ley y las fijadas por la Entidad Estatal en los pliegos de condiciones. Sin embargo, en </w:t>
      </w:r>
      <w:r w:rsidRPr="00F114DE">
        <w:rPr>
          <w:rFonts w:ascii="Verdana" w:eastAsia="Calibri" w:hAnsi="Verdana" w:cs="Arial"/>
          <w:color w:val="000000"/>
          <w:lang w:val="es-ES"/>
        </w:rPr>
        <w:lastRenderedPageBreak/>
        <w:t>ejercicio de dicha facultad, a las entidades no les es dable fijar causales de rechazo que soslayen o afecten la selección objetiva en la contratación. Sobre el particular, el Consejo de Estado señala:</w:t>
      </w:r>
    </w:p>
    <w:p w14:paraId="45500037" w14:textId="77777777" w:rsidR="00C9747A" w:rsidRPr="00F114DE" w:rsidRDefault="00C9747A" w:rsidP="00C9747A">
      <w:pPr>
        <w:spacing w:after="0" w:line="276" w:lineRule="auto"/>
        <w:jc w:val="both"/>
        <w:rPr>
          <w:rFonts w:ascii="Verdana" w:eastAsia="Calibri" w:hAnsi="Verdana" w:cs="Arial"/>
          <w:color w:val="000000"/>
          <w:lang w:val="es-ES"/>
        </w:rPr>
      </w:pPr>
    </w:p>
    <w:p w14:paraId="29251EB7" w14:textId="77777777" w:rsidR="00C9747A" w:rsidRPr="00502DA4" w:rsidRDefault="00C9747A" w:rsidP="00C9747A">
      <w:pPr>
        <w:tabs>
          <w:tab w:val="left" w:pos="709"/>
        </w:tabs>
        <w:spacing w:after="0" w:line="240" w:lineRule="auto"/>
        <w:ind w:left="709" w:right="709"/>
        <w:jc w:val="both"/>
        <w:rPr>
          <w:rFonts w:ascii="Verdana" w:eastAsia="Times New Roman" w:hAnsi="Verdana" w:cs="Arial"/>
          <w:kern w:val="2"/>
          <w:sz w:val="20"/>
          <w:szCs w:val="20"/>
          <w:lang w:val="es-ES"/>
        </w:rPr>
      </w:pPr>
      <w:r w:rsidRPr="00502DA4">
        <w:rPr>
          <w:rFonts w:ascii="Verdana" w:eastAsia="Times New Roman" w:hAnsi="Verdana" w:cs="Arial"/>
          <w:kern w:val="2"/>
          <w:sz w:val="20"/>
          <w:szCs w:val="20"/>
          <w:lang w:val="es-ES"/>
        </w:rPr>
        <w:t xml:space="preserve">“Quiere con esto destacar la Sala que las causales de rechazo de las propuestas pueden ser legales y por lo mismo generan el efecto del descarte o exclusión de la oferta </w:t>
      </w:r>
      <w:proofErr w:type="spellStart"/>
      <w:r w:rsidRPr="00502DA4">
        <w:rPr>
          <w:rFonts w:ascii="Verdana" w:eastAsia="Times New Roman" w:hAnsi="Verdana" w:cs="Arial"/>
          <w:kern w:val="2"/>
          <w:sz w:val="20"/>
          <w:szCs w:val="20"/>
          <w:lang w:val="es-ES"/>
        </w:rPr>
        <w:t>ope</w:t>
      </w:r>
      <w:proofErr w:type="spellEnd"/>
      <w:r w:rsidRPr="00502DA4">
        <w:rPr>
          <w:rFonts w:ascii="Verdana" w:eastAsia="Times New Roman" w:hAnsi="Verdana" w:cs="Arial"/>
          <w:kern w:val="2"/>
          <w:sz w:val="20"/>
          <w:szCs w:val="20"/>
          <w:lang w:val="es-ES"/>
        </w:rPr>
        <w:t xml:space="preserve"> </w:t>
      </w:r>
      <w:proofErr w:type="spellStart"/>
      <w:r w:rsidRPr="00502DA4">
        <w:rPr>
          <w:rFonts w:ascii="Verdana" w:eastAsia="Times New Roman" w:hAnsi="Verdana" w:cs="Arial"/>
          <w:kern w:val="2"/>
          <w:sz w:val="20"/>
          <w:szCs w:val="20"/>
          <w:lang w:val="es-ES"/>
        </w:rPr>
        <w:t>legis</w:t>
      </w:r>
      <w:proofErr w:type="spellEnd"/>
      <w:r w:rsidRPr="00502DA4">
        <w:rPr>
          <w:rFonts w:ascii="Verdana" w:eastAsia="Times New Roman" w:hAnsi="Verdana" w:cs="Arial"/>
          <w:kern w:val="2"/>
          <w:sz w:val="20"/>
          <w:szCs w:val="20"/>
          <w:lang w:val="es-ES"/>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14:paraId="10181911" w14:textId="77777777" w:rsidR="00C9747A" w:rsidRDefault="00C9747A" w:rsidP="00C9747A">
      <w:pPr>
        <w:spacing w:after="0" w:line="276" w:lineRule="auto"/>
        <w:jc w:val="both"/>
        <w:rPr>
          <w:rFonts w:ascii="Verdana" w:eastAsia="Calibri" w:hAnsi="Verdana" w:cs="Arial"/>
          <w:color w:val="000000"/>
          <w:lang w:val="es-ES_tradnl"/>
        </w:rPr>
      </w:pPr>
    </w:p>
    <w:p w14:paraId="078658B4" w14:textId="77777777" w:rsidR="00C9747A" w:rsidRPr="00FE747F" w:rsidRDefault="00C9747A" w:rsidP="00C9747A">
      <w:pPr>
        <w:widowControl w:val="0"/>
        <w:autoSpaceDE w:val="0"/>
        <w:autoSpaceDN w:val="0"/>
        <w:spacing w:after="120" w:line="276" w:lineRule="auto"/>
        <w:ind w:firstLine="709"/>
        <w:jc w:val="both"/>
        <w:rPr>
          <w:rFonts w:ascii="Verdana" w:eastAsia="Arial" w:hAnsi="Verdana" w:cs="Arial"/>
          <w:lang w:val="es-ES"/>
        </w:rPr>
      </w:pPr>
      <w:r>
        <w:rPr>
          <w:rFonts w:ascii="Verdana" w:eastAsia="Calibri" w:hAnsi="Verdana" w:cs="Arial"/>
          <w:color w:val="000000"/>
          <w:lang w:val="es-ES_tradnl"/>
        </w:rPr>
        <w:t>En ese sentido</w:t>
      </w:r>
      <w:r w:rsidRPr="00FE747F">
        <w:rPr>
          <w:rFonts w:ascii="Verdana" w:eastAsia="Calibri" w:hAnsi="Verdana" w:cs="Arial"/>
          <w:color w:val="000000"/>
          <w:lang w:val="es-ES_tradnl"/>
        </w:rPr>
        <w:t xml:space="preserve">, </w:t>
      </w:r>
      <w:r>
        <w:rPr>
          <w:rFonts w:ascii="Verdana" w:eastAsia="Arial" w:hAnsi="Verdana" w:cs="Arial"/>
          <w:lang w:val="es-ES"/>
        </w:rPr>
        <w:t>e</w:t>
      </w:r>
      <w:r w:rsidRPr="00FE747F">
        <w:rPr>
          <w:rFonts w:ascii="Verdana" w:eastAsia="Arial" w:hAnsi="Verdana" w:cs="Arial"/>
          <w:lang w:val="es-ES"/>
        </w:rPr>
        <w:t xml:space="preserve">l rechazo de las ofertas y los eventos en los que proceden han sido asuntos de los que se ha ocupado la legislación nacional en materia de contratación pública, por lo que </w:t>
      </w:r>
      <w:r>
        <w:rPr>
          <w:rFonts w:ascii="Verdana" w:eastAsia="Arial" w:hAnsi="Verdana" w:cs="Arial"/>
          <w:lang w:val="es-ES"/>
        </w:rPr>
        <w:t>“</w:t>
      </w:r>
      <w:r w:rsidRPr="00FE747F">
        <w:rPr>
          <w:rFonts w:ascii="Verdana" w:eastAsia="Arial" w:hAnsi="Verdana" w:cs="Arial"/>
          <w:lang w:val="es-ES"/>
        </w:rPr>
        <w:t>la competencia de las entidades estales para establecer eventos de exclusión de propuestas es de carácter residual y restringido</w:t>
      </w:r>
      <w:r>
        <w:rPr>
          <w:rFonts w:ascii="Verdana" w:eastAsia="Arial" w:hAnsi="Verdana" w:cs="Arial"/>
          <w:lang w:val="es-ES"/>
        </w:rPr>
        <w:t>”</w:t>
      </w:r>
      <w:r w:rsidRPr="00FE747F">
        <w:rPr>
          <w:rStyle w:val="Refdenotaalpie"/>
          <w:rFonts w:ascii="Verdana" w:eastAsia="Arial" w:hAnsi="Verdana" w:cs="Arial"/>
          <w:lang w:val="es-ES"/>
        </w:rPr>
        <w:footnoteReference w:id="18"/>
      </w:r>
      <w:r w:rsidRPr="00FE747F">
        <w:rPr>
          <w:rFonts w:ascii="Verdana" w:eastAsia="Arial" w:hAnsi="Verdana" w:cs="Arial"/>
          <w:lang w:val="es-ES"/>
        </w:rPr>
        <w:t>. En ese sentido, si bien las entidades estatales, en ejercicio de la discrecionalidad que les corresponde en la configuración de los pliegos de condiciones, tienen competencia para determinar los requisitos que deben cumplir los proponentes para la presentación de ofertas</w:t>
      </w:r>
      <w:r w:rsidRPr="00FE747F">
        <w:rPr>
          <w:rStyle w:val="Refdenotaalpie"/>
          <w:rFonts w:ascii="Verdana" w:eastAsia="Arial" w:hAnsi="Verdana" w:cs="Arial"/>
          <w:lang w:val="es-ES"/>
        </w:rPr>
        <w:footnoteReference w:id="19"/>
      </w:r>
      <w:r w:rsidRPr="00FE747F">
        <w:rPr>
          <w:rFonts w:ascii="Verdana" w:eastAsia="Arial" w:hAnsi="Verdana" w:cs="Arial"/>
          <w:lang w:val="es-ES"/>
        </w:rPr>
        <w:t xml:space="preserve"> y regular los eventos en los que procede su rechazo</w:t>
      </w:r>
      <w:r w:rsidRPr="00FE747F">
        <w:rPr>
          <w:rStyle w:val="Refdenotaalpie"/>
          <w:rFonts w:ascii="Verdana" w:eastAsia="Arial" w:hAnsi="Verdana" w:cs="Arial"/>
          <w:lang w:val="es-ES"/>
        </w:rPr>
        <w:footnoteReference w:id="20"/>
      </w:r>
      <w:r w:rsidRPr="00FE747F">
        <w:rPr>
          <w:rFonts w:ascii="Verdana" w:eastAsia="Arial" w:hAnsi="Verdana" w:cs="Arial"/>
          <w:lang w:val="es-ES"/>
        </w:rPr>
        <w:t xml:space="preserve">, el ejercicio de tales facultades encuentra ciertos límites en la ley y el reglamento, así como en los principios de razonabilidad y </w:t>
      </w:r>
      <w:r w:rsidRPr="00FE747F">
        <w:rPr>
          <w:rFonts w:ascii="Verdana" w:eastAsia="Arial" w:hAnsi="Verdana" w:cs="Arial"/>
          <w:lang w:val="es-ES"/>
        </w:rPr>
        <w:lastRenderedPageBreak/>
        <w:t xml:space="preserve">proporcionalidad.  </w:t>
      </w:r>
    </w:p>
    <w:p w14:paraId="4805955B" w14:textId="77777777" w:rsidR="00C9747A" w:rsidRPr="00FE747F" w:rsidRDefault="00C9747A" w:rsidP="00C9747A">
      <w:pPr>
        <w:widowControl w:val="0"/>
        <w:autoSpaceDE w:val="0"/>
        <w:autoSpaceDN w:val="0"/>
        <w:spacing w:after="120" w:line="276" w:lineRule="auto"/>
        <w:ind w:firstLine="607"/>
        <w:jc w:val="both"/>
        <w:rPr>
          <w:rFonts w:ascii="Verdana" w:hAnsi="Verdana" w:cs="Arial"/>
        </w:rPr>
      </w:pPr>
      <w:r w:rsidRPr="00FE747F">
        <w:rPr>
          <w:rFonts w:ascii="Verdana" w:hAnsi="Verdana" w:cs="Arial"/>
          <w:lang w:val="es-ES"/>
        </w:rPr>
        <w:t xml:space="preserve">En ese entendido, uno de los límites a la facultad para establecer causales de rechazo, se encuentra en la regla de </w:t>
      </w:r>
      <w:proofErr w:type="spellStart"/>
      <w:r w:rsidRPr="00FE747F">
        <w:rPr>
          <w:rFonts w:ascii="Verdana" w:hAnsi="Verdana" w:cs="Arial"/>
          <w:lang w:val="es-ES"/>
        </w:rPr>
        <w:t>subsanabilidad</w:t>
      </w:r>
      <w:proofErr w:type="spellEnd"/>
      <w:r w:rsidRPr="00FE747F">
        <w:rPr>
          <w:rFonts w:ascii="Verdana" w:hAnsi="Verdana" w:cs="Arial"/>
          <w:lang w:val="es-ES"/>
        </w:rPr>
        <w:t xml:space="preserve"> del parágrafo 1 del artículo 5 de la Ley 1150 de 2007, según la cual </w:t>
      </w:r>
      <w:r>
        <w:rPr>
          <w:rFonts w:ascii="Verdana" w:hAnsi="Verdana" w:cs="Arial"/>
          <w:lang w:val="es-ES"/>
        </w:rPr>
        <w:t>“</w:t>
      </w:r>
      <w:r w:rsidRPr="00FE747F">
        <w:rPr>
          <w:rFonts w:ascii="Verdana" w:hAnsi="Verdana" w:cs="Arial"/>
        </w:rPr>
        <w:t>La ausencia de requisitos o la falta de documentos referentes a la futura contratación o al proponente, no necesarios para la comparación de las propuestas no servirán de título suficiente para el rechazo de los ofrecimientos hechos</w:t>
      </w:r>
      <w:r>
        <w:rPr>
          <w:rFonts w:ascii="Verdana" w:hAnsi="Verdana" w:cs="Arial"/>
        </w:rPr>
        <w:t>”</w:t>
      </w:r>
      <w:r w:rsidRPr="00FE747F">
        <w:rPr>
          <w:rFonts w:ascii="Verdana" w:hAnsi="Verdana" w:cs="Arial"/>
        </w:rPr>
        <w:t xml:space="preserve">, por lo que las entidades no podrán establecer causales de rechazo referentes a meros requisitos formales o rechazar las ofertas por esa razón. </w:t>
      </w:r>
    </w:p>
    <w:p w14:paraId="193FA518" w14:textId="77777777" w:rsidR="00C9747A" w:rsidRPr="00FE747F" w:rsidRDefault="00C9747A" w:rsidP="00C9747A">
      <w:pPr>
        <w:widowControl w:val="0"/>
        <w:autoSpaceDE w:val="0"/>
        <w:autoSpaceDN w:val="0"/>
        <w:spacing w:before="120" w:line="276" w:lineRule="auto"/>
        <w:ind w:firstLine="708"/>
        <w:jc w:val="both"/>
        <w:rPr>
          <w:rFonts w:ascii="Verdana" w:eastAsia="Arial" w:hAnsi="Verdana" w:cs="Arial"/>
          <w:lang w:val="es-ES"/>
        </w:rPr>
      </w:pPr>
      <w:r w:rsidRPr="00FE747F">
        <w:rPr>
          <w:rFonts w:ascii="Verdana" w:eastAsia="Arial" w:hAnsi="Verdana" w:cs="Arial"/>
          <w:lang w:val="es-ES"/>
        </w:rPr>
        <w:t>La jurisprudencia del Consejo de Estado ha determinado que las causales de rechazo pueden o no estar establecidas en el pliego de condiciones, sin perjuicio de que sean aplicables al proceso contractual las establecidas directamente en la ley. Así se estableció en la sentencia del 27 de abril de 2011, en los siguientes términos:</w:t>
      </w:r>
    </w:p>
    <w:p w14:paraId="39AD45D0" w14:textId="77777777" w:rsidR="00C9747A" w:rsidRPr="006F1F38" w:rsidRDefault="00C9747A" w:rsidP="00C9747A">
      <w:pPr>
        <w:widowControl w:val="0"/>
        <w:autoSpaceDE w:val="0"/>
        <w:autoSpaceDN w:val="0"/>
        <w:ind w:left="709" w:right="709"/>
        <w:jc w:val="both"/>
        <w:rPr>
          <w:rFonts w:ascii="Verdana" w:eastAsia="Arial" w:hAnsi="Verdana" w:cs="Arial"/>
          <w:sz w:val="20"/>
          <w:szCs w:val="20"/>
          <w:lang w:val="es-ES"/>
        </w:rPr>
      </w:pPr>
      <w:r w:rsidRPr="006F1F38">
        <w:rPr>
          <w:rFonts w:ascii="Verdana" w:eastAsia="Arial" w:hAnsi="Verdana" w:cs="Arial"/>
          <w:sz w:val="20"/>
          <w:szCs w:val="20"/>
          <w:lang w:val="es-ES"/>
        </w:rPr>
        <w:t>En efecto, la Administración puede rechazar o descalificar los ofrecimientos hechos por causales previstas en la ley; hipótesis bajo la cual, la entidad pública licitante se limita a dar por comprobado el hecho que justifica la exclusión y así lo declarará apoyada en normas legales o reglamentarias de carácter general.</w:t>
      </w:r>
    </w:p>
    <w:p w14:paraId="475C09F7" w14:textId="77777777" w:rsidR="00C9747A" w:rsidRPr="006F1F38" w:rsidRDefault="00C9747A" w:rsidP="00C9747A">
      <w:pPr>
        <w:widowControl w:val="0"/>
        <w:autoSpaceDE w:val="0"/>
        <w:autoSpaceDN w:val="0"/>
        <w:ind w:left="709" w:right="709"/>
        <w:jc w:val="both"/>
        <w:rPr>
          <w:rFonts w:ascii="Verdana" w:eastAsia="Arial" w:hAnsi="Verdana" w:cs="Arial"/>
          <w:sz w:val="20"/>
          <w:szCs w:val="20"/>
          <w:lang w:val="es-ES"/>
        </w:rPr>
      </w:pPr>
      <w:r w:rsidRPr="006F1F38">
        <w:rPr>
          <w:rFonts w:ascii="Verdana" w:eastAsia="Arial" w:hAnsi="Verdana" w:cs="Arial"/>
          <w:sz w:val="20"/>
          <w:szCs w:val="20"/>
          <w:lang w:val="es-ES"/>
        </w:rPr>
        <w:t>En esta línea de pensamiento, resulta claro que el rechazo o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w:t>
      </w:r>
      <w:r w:rsidRPr="006F1F38">
        <w:rPr>
          <w:rFonts w:ascii="Verdana" w:eastAsia="Arial" w:hAnsi="Verdana" w:cs="Arial"/>
          <w:spacing w:val="20"/>
          <w:sz w:val="20"/>
          <w:szCs w:val="20"/>
          <w:lang w:val="es-ES"/>
        </w:rPr>
        <w:t xml:space="preserve"> </w:t>
      </w:r>
      <w:r w:rsidRPr="006F1F38">
        <w:rPr>
          <w:rFonts w:ascii="Verdana" w:eastAsia="Arial" w:hAnsi="Verdana" w:cs="Arial"/>
          <w:sz w:val="20"/>
          <w:szCs w:val="20"/>
          <w:lang w:val="es-ES"/>
        </w:rPr>
        <w:t>a</w:t>
      </w:r>
      <w:r w:rsidRPr="006F1F38">
        <w:rPr>
          <w:rFonts w:ascii="Verdana" w:eastAsia="Arial" w:hAnsi="Verdana" w:cs="Arial"/>
          <w:spacing w:val="21"/>
          <w:sz w:val="20"/>
          <w:szCs w:val="20"/>
          <w:lang w:val="es-ES"/>
        </w:rPr>
        <w:t xml:space="preserve"> </w:t>
      </w:r>
      <w:r w:rsidRPr="006F1F38">
        <w:rPr>
          <w:rFonts w:ascii="Verdana" w:eastAsia="Arial" w:hAnsi="Verdana" w:cs="Arial"/>
          <w:sz w:val="20"/>
          <w:szCs w:val="20"/>
          <w:lang w:val="es-ES"/>
        </w:rPr>
        <w:t>la</w:t>
      </w:r>
      <w:r w:rsidRPr="006F1F38">
        <w:rPr>
          <w:rFonts w:ascii="Verdana" w:eastAsia="Arial" w:hAnsi="Verdana" w:cs="Arial"/>
          <w:spacing w:val="22"/>
          <w:sz w:val="20"/>
          <w:szCs w:val="20"/>
          <w:lang w:val="es-ES"/>
        </w:rPr>
        <w:t xml:space="preserve"> </w:t>
      </w:r>
      <w:r w:rsidRPr="006F1F38">
        <w:rPr>
          <w:rFonts w:ascii="Verdana" w:eastAsia="Arial" w:hAnsi="Verdana" w:cs="Arial"/>
          <w:sz w:val="20"/>
          <w:szCs w:val="20"/>
          <w:lang w:val="es-ES"/>
        </w:rPr>
        <w:t>futura</w:t>
      </w:r>
      <w:r w:rsidRPr="006F1F38">
        <w:rPr>
          <w:rFonts w:ascii="Verdana" w:eastAsia="Arial" w:hAnsi="Verdana" w:cs="Arial"/>
          <w:spacing w:val="21"/>
          <w:sz w:val="20"/>
          <w:szCs w:val="20"/>
          <w:lang w:val="es-ES"/>
        </w:rPr>
        <w:t xml:space="preserve"> </w:t>
      </w:r>
      <w:r w:rsidRPr="006F1F38">
        <w:rPr>
          <w:rFonts w:ascii="Verdana" w:eastAsia="Arial" w:hAnsi="Verdana" w:cs="Arial"/>
          <w:sz w:val="20"/>
          <w:szCs w:val="20"/>
          <w:lang w:val="es-ES"/>
        </w:rPr>
        <w:t>contratación</w:t>
      </w:r>
      <w:r w:rsidRPr="006F1F38">
        <w:rPr>
          <w:rFonts w:ascii="Verdana" w:eastAsia="Arial" w:hAnsi="Verdana" w:cs="Arial"/>
          <w:spacing w:val="22"/>
          <w:sz w:val="20"/>
          <w:szCs w:val="20"/>
          <w:lang w:val="es-ES"/>
        </w:rPr>
        <w:t xml:space="preserve"> </w:t>
      </w:r>
      <w:r w:rsidRPr="006F1F38">
        <w:rPr>
          <w:rFonts w:ascii="Verdana" w:eastAsia="Arial" w:hAnsi="Verdana" w:cs="Arial"/>
          <w:sz w:val="20"/>
          <w:szCs w:val="20"/>
          <w:lang w:val="es-ES"/>
        </w:rPr>
        <w:t>que</w:t>
      </w:r>
      <w:r w:rsidRPr="006F1F38">
        <w:rPr>
          <w:rFonts w:ascii="Verdana" w:eastAsia="Arial" w:hAnsi="Verdana" w:cs="Arial"/>
          <w:spacing w:val="21"/>
          <w:sz w:val="20"/>
          <w:szCs w:val="20"/>
          <w:lang w:val="es-ES"/>
        </w:rPr>
        <w:t xml:space="preserve"> </w:t>
      </w:r>
      <w:r w:rsidRPr="006F1F38">
        <w:rPr>
          <w:rFonts w:ascii="Verdana" w:eastAsia="Arial" w:hAnsi="Verdana" w:cs="Arial"/>
          <w:sz w:val="20"/>
          <w:szCs w:val="20"/>
          <w:lang w:val="es-ES"/>
        </w:rPr>
        <w:t>sean</w:t>
      </w:r>
      <w:r w:rsidRPr="006F1F38">
        <w:rPr>
          <w:rFonts w:ascii="Verdana" w:eastAsia="Arial" w:hAnsi="Verdana" w:cs="Arial"/>
          <w:spacing w:val="22"/>
          <w:sz w:val="20"/>
          <w:szCs w:val="20"/>
          <w:lang w:val="es-ES"/>
        </w:rPr>
        <w:t xml:space="preserve"> </w:t>
      </w:r>
      <w:r w:rsidRPr="006F1F38">
        <w:rPr>
          <w:rFonts w:ascii="Verdana" w:eastAsia="Arial" w:hAnsi="Verdana" w:cs="Arial"/>
          <w:sz w:val="20"/>
          <w:szCs w:val="20"/>
          <w:lang w:val="es-ES"/>
        </w:rPr>
        <w:t>necesarios</w:t>
      </w:r>
      <w:r w:rsidRPr="006F1F38">
        <w:rPr>
          <w:rFonts w:ascii="Verdana" w:eastAsia="Arial" w:hAnsi="Verdana" w:cs="Arial"/>
          <w:spacing w:val="20"/>
          <w:sz w:val="20"/>
          <w:szCs w:val="20"/>
          <w:lang w:val="es-ES"/>
        </w:rPr>
        <w:t xml:space="preserve"> </w:t>
      </w:r>
      <w:r w:rsidRPr="006F1F38">
        <w:rPr>
          <w:rFonts w:ascii="Verdana" w:eastAsia="Arial" w:hAnsi="Verdana" w:cs="Arial"/>
          <w:sz w:val="20"/>
          <w:szCs w:val="20"/>
          <w:lang w:val="es-ES"/>
        </w:rPr>
        <w:t>para</w:t>
      </w:r>
      <w:r w:rsidRPr="006F1F38">
        <w:rPr>
          <w:rFonts w:ascii="Verdana" w:eastAsia="Arial" w:hAnsi="Verdana" w:cs="Arial"/>
          <w:spacing w:val="20"/>
          <w:sz w:val="20"/>
          <w:szCs w:val="20"/>
          <w:lang w:val="es-ES"/>
        </w:rPr>
        <w:t xml:space="preserve"> </w:t>
      </w:r>
      <w:r w:rsidRPr="006F1F38">
        <w:rPr>
          <w:rFonts w:ascii="Verdana" w:eastAsia="Arial" w:hAnsi="Verdana" w:cs="Arial"/>
          <w:sz w:val="20"/>
          <w:szCs w:val="20"/>
          <w:lang w:val="es-ES"/>
        </w:rPr>
        <w:t>la</w:t>
      </w:r>
      <w:r w:rsidRPr="006F1F38">
        <w:rPr>
          <w:rFonts w:ascii="Verdana" w:eastAsia="Arial" w:hAnsi="Verdana" w:cs="Arial"/>
          <w:spacing w:val="21"/>
          <w:sz w:val="20"/>
          <w:szCs w:val="20"/>
          <w:lang w:val="es-ES"/>
        </w:rPr>
        <w:t xml:space="preserve"> </w:t>
      </w:r>
      <w:r w:rsidRPr="006F1F38">
        <w:rPr>
          <w:rFonts w:ascii="Verdana" w:eastAsia="Arial" w:hAnsi="Verdana" w:cs="Arial"/>
          <w:sz w:val="20"/>
          <w:szCs w:val="20"/>
          <w:lang w:val="es-ES"/>
        </w:rPr>
        <w:t>comparación</w:t>
      </w:r>
      <w:r w:rsidRPr="006F1F38">
        <w:rPr>
          <w:rFonts w:ascii="Verdana" w:eastAsia="Arial" w:hAnsi="Verdana" w:cs="Arial"/>
          <w:spacing w:val="22"/>
          <w:sz w:val="20"/>
          <w:szCs w:val="20"/>
          <w:lang w:val="es-ES"/>
        </w:rPr>
        <w:t xml:space="preserve"> </w:t>
      </w:r>
      <w:r w:rsidRPr="006F1F38">
        <w:rPr>
          <w:rFonts w:ascii="Verdana" w:eastAsia="Arial" w:hAnsi="Verdana" w:cs="Arial"/>
          <w:sz w:val="20"/>
          <w:szCs w:val="20"/>
          <w:lang w:val="es-ES"/>
        </w:rPr>
        <w:t>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w:t>
      </w:r>
      <w:r w:rsidRPr="006F1F38">
        <w:rPr>
          <w:rFonts w:ascii="Verdana" w:eastAsia="Arial" w:hAnsi="Verdana" w:cs="Arial"/>
          <w:spacing w:val="-31"/>
          <w:sz w:val="20"/>
          <w:szCs w:val="20"/>
          <w:lang w:val="es-ES"/>
        </w:rPr>
        <w:t xml:space="preserve"> </w:t>
      </w:r>
      <w:r w:rsidRPr="006F1F38">
        <w:rPr>
          <w:rFonts w:ascii="Verdana" w:eastAsia="Arial" w:hAnsi="Verdana" w:cs="Arial"/>
          <w:sz w:val="20"/>
          <w:szCs w:val="20"/>
          <w:lang w:val="es-ES"/>
        </w:rPr>
        <w:t>contratación.</w:t>
      </w:r>
    </w:p>
    <w:p w14:paraId="30F7148F" w14:textId="77777777" w:rsidR="00C9747A" w:rsidRPr="006F1F38" w:rsidRDefault="00C9747A" w:rsidP="00C9747A">
      <w:pPr>
        <w:widowControl w:val="0"/>
        <w:autoSpaceDE w:val="0"/>
        <w:autoSpaceDN w:val="0"/>
        <w:ind w:left="709" w:right="709"/>
        <w:rPr>
          <w:rFonts w:ascii="Verdana" w:eastAsia="Arial" w:hAnsi="Verdana" w:cs="Arial"/>
          <w:sz w:val="20"/>
          <w:szCs w:val="20"/>
          <w:lang w:val="es-ES"/>
        </w:rPr>
      </w:pPr>
      <w:r w:rsidRPr="006F1F38">
        <w:rPr>
          <w:rFonts w:ascii="Verdana" w:eastAsia="Arial" w:hAnsi="Verdana" w:cs="Arial"/>
          <w:sz w:val="20"/>
          <w:szCs w:val="20"/>
          <w:lang w:val="es-ES"/>
        </w:rPr>
        <w:t>[…]</w:t>
      </w:r>
    </w:p>
    <w:p w14:paraId="11DC84E6" w14:textId="77777777" w:rsidR="00C9747A" w:rsidRPr="006F1F38" w:rsidRDefault="00C9747A" w:rsidP="00C9747A">
      <w:pPr>
        <w:widowControl w:val="0"/>
        <w:autoSpaceDE w:val="0"/>
        <w:autoSpaceDN w:val="0"/>
        <w:ind w:left="709" w:right="709"/>
        <w:jc w:val="both"/>
        <w:rPr>
          <w:rFonts w:ascii="Verdana" w:eastAsia="Arial" w:hAnsi="Verdana" w:cs="Arial"/>
          <w:sz w:val="20"/>
          <w:szCs w:val="20"/>
          <w:lang w:val="es-ES"/>
        </w:rPr>
      </w:pPr>
      <w:r w:rsidRPr="006F1F38">
        <w:rPr>
          <w:rFonts w:ascii="Verdana" w:eastAsia="Arial" w:hAnsi="Verdana" w:cs="Arial"/>
          <w:sz w:val="20"/>
          <w:szCs w:val="20"/>
          <w:lang w:val="es-ES"/>
        </w:rPr>
        <w:t xml:space="preserve">Quiere con esto destacar la Sala que las causales de rechazo de las </w:t>
      </w:r>
      <w:r w:rsidRPr="006F1F38">
        <w:rPr>
          <w:rFonts w:ascii="Verdana" w:eastAsia="Arial" w:hAnsi="Verdana" w:cs="Arial"/>
          <w:sz w:val="20"/>
          <w:szCs w:val="20"/>
          <w:lang w:val="es-ES"/>
        </w:rPr>
        <w:lastRenderedPageBreak/>
        <w:t xml:space="preserve">propuestas pueden ser legales y por lo mismo generan el efecto del descarte o exclusión de la oferta </w:t>
      </w:r>
      <w:proofErr w:type="spellStart"/>
      <w:r w:rsidRPr="006F1F38">
        <w:rPr>
          <w:rFonts w:ascii="Verdana" w:eastAsia="Arial" w:hAnsi="Verdana" w:cs="Arial"/>
          <w:sz w:val="20"/>
          <w:szCs w:val="20"/>
          <w:lang w:val="es-ES"/>
        </w:rPr>
        <w:t>ope</w:t>
      </w:r>
      <w:proofErr w:type="spellEnd"/>
      <w:r w:rsidRPr="006F1F38">
        <w:rPr>
          <w:rFonts w:ascii="Verdana" w:eastAsia="Arial" w:hAnsi="Verdana" w:cs="Arial"/>
          <w:sz w:val="20"/>
          <w:szCs w:val="20"/>
          <w:lang w:val="es-ES"/>
        </w:rPr>
        <w:t xml:space="preserve"> </w:t>
      </w:r>
      <w:proofErr w:type="spellStart"/>
      <w:r w:rsidRPr="006F1F38">
        <w:rPr>
          <w:rFonts w:ascii="Verdana" w:eastAsia="Arial" w:hAnsi="Verdana" w:cs="Arial"/>
          <w:sz w:val="20"/>
          <w:szCs w:val="20"/>
          <w:lang w:val="es-ES"/>
        </w:rPr>
        <w:t>legis</w:t>
      </w:r>
      <w:proofErr w:type="spellEnd"/>
      <w:r w:rsidRPr="006F1F38">
        <w:rPr>
          <w:rFonts w:ascii="Verdana" w:eastAsia="Arial" w:hAnsi="Verdana" w:cs="Arial"/>
          <w:sz w:val="20"/>
          <w:szCs w:val="20"/>
          <w:lang w:val="es-ES"/>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w:t>
      </w:r>
      <w:r w:rsidRPr="006F1F38">
        <w:rPr>
          <w:rFonts w:ascii="Verdana" w:eastAsia="Arial" w:hAnsi="Verdana" w:cs="Arial"/>
          <w:spacing w:val="-6"/>
          <w:sz w:val="20"/>
          <w:szCs w:val="20"/>
          <w:lang w:val="es-ES"/>
        </w:rPr>
        <w:t xml:space="preserve"> </w:t>
      </w:r>
      <w:r w:rsidRPr="006F1F38">
        <w:rPr>
          <w:rFonts w:ascii="Verdana" w:eastAsia="Arial" w:hAnsi="Verdana" w:cs="Arial"/>
          <w:sz w:val="20"/>
          <w:szCs w:val="20"/>
          <w:lang w:val="es-ES"/>
        </w:rPr>
        <w:t>contratación</w:t>
      </w:r>
      <w:r w:rsidRPr="006F1F38">
        <w:rPr>
          <w:rStyle w:val="Refdenotaalpie"/>
          <w:rFonts w:ascii="Verdana" w:eastAsia="Arial" w:hAnsi="Verdana" w:cs="Arial"/>
          <w:sz w:val="20"/>
          <w:szCs w:val="20"/>
          <w:lang w:val="es-ES"/>
        </w:rPr>
        <w:footnoteReference w:id="21"/>
      </w:r>
      <w:r w:rsidRPr="006F1F38">
        <w:rPr>
          <w:rFonts w:ascii="Verdana" w:eastAsia="Arial" w:hAnsi="Verdana" w:cs="Arial"/>
          <w:sz w:val="20"/>
          <w:szCs w:val="20"/>
          <w:lang w:val="es-ES"/>
        </w:rPr>
        <w:t>.</w:t>
      </w:r>
    </w:p>
    <w:p w14:paraId="53E321F4" w14:textId="77777777" w:rsidR="00C9747A" w:rsidRPr="00FE747F" w:rsidRDefault="00C9747A" w:rsidP="00C9747A">
      <w:pPr>
        <w:widowControl w:val="0"/>
        <w:autoSpaceDE w:val="0"/>
        <w:autoSpaceDN w:val="0"/>
        <w:spacing w:after="120" w:line="276" w:lineRule="auto"/>
        <w:ind w:firstLine="607"/>
        <w:jc w:val="both"/>
        <w:rPr>
          <w:rFonts w:ascii="Verdana" w:hAnsi="Verdana" w:cs="Arial"/>
          <w:lang w:val="es-ES"/>
        </w:rPr>
      </w:pPr>
      <w:r w:rsidRPr="00FE747F">
        <w:rPr>
          <w:rFonts w:ascii="Verdana" w:eastAsia="Arial" w:hAnsi="Verdana" w:cs="Arial"/>
          <w:lang w:val="es-ES"/>
        </w:rPr>
        <w:t>De acuerdo con la jurisprudencia citada, existen dos casos en los que procede el rechazo de la oferta: (i) que se configure alguna de las causales de rechazo establecidas en ley o en el pliego de condiciones o (</w:t>
      </w:r>
      <w:proofErr w:type="spellStart"/>
      <w:r w:rsidRPr="00FE747F">
        <w:rPr>
          <w:rFonts w:ascii="Verdana" w:eastAsia="Arial" w:hAnsi="Verdana" w:cs="Arial"/>
          <w:lang w:val="es-ES"/>
        </w:rPr>
        <w:t>ii</w:t>
      </w:r>
      <w:proofErr w:type="spellEnd"/>
      <w:r w:rsidRPr="00FE747F">
        <w:rPr>
          <w:rFonts w:ascii="Verdana" w:eastAsia="Arial" w:hAnsi="Verdana" w:cs="Arial"/>
          <w:lang w:val="es-ES"/>
        </w:rPr>
        <w:t xml:space="preserve">) la ausencia de requisitos necesarios para la comparación de ofertas. </w:t>
      </w:r>
      <w:r w:rsidRPr="00FE747F">
        <w:rPr>
          <w:rFonts w:ascii="Verdana" w:hAnsi="Verdana" w:cs="Arial"/>
          <w:lang w:val="es-ES"/>
        </w:rPr>
        <w:t xml:space="preserve">Según tales consideraciones, las causales de rechazo de la oferta serán las consagradas en la ley o producto de su aplicación, así como las definidas por las entidades en el respectivo pliego de condiciones para tales efectos. </w:t>
      </w:r>
    </w:p>
    <w:p w14:paraId="4B9A6289" w14:textId="77777777" w:rsidR="00C9747A" w:rsidRPr="00FE747F" w:rsidRDefault="00C9747A" w:rsidP="00C9747A">
      <w:pPr>
        <w:widowControl w:val="0"/>
        <w:autoSpaceDE w:val="0"/>
        <w:autoSpaceDN w:val="0"/>
        <w:spacing w:line="276" w:lineRule="auto"/>
        <w:ind w:firstLine="608"/>
        <w:jc w:val="both"/>
        <w:rPr>
          <w:rFonts w:ascii="Verdana" w:hAnsi="Verdana" w:cs="Arial"/>
        </w:rPr>
      </w:pPr>
      <w:r w:rsidRPr="00FE747F">
        <w:rPr>
          <w:rFonts w:ascii="Verdana" w:hAnsi="Verdana" w:cs="Arial"/>
        </w:rPr>
        <w:t>De otra parte, el Consejo de Estado ha sostenido que las causales de exclusión o rechazo de ofertas, deben se razonables y proporcionadas, lo que supone que las mismas obedezcan a motivos que tengan alguna incidencia en el proceso de contratación y no a meros aspectos formales. Así lo manifestó en el Consejo de Estado en sentencia del 21 de noviembre de 2013.</w:t>
      </w:r>
    </w:p>
    <w:p w14:paraId="7CC2F3E3" w14:textId="77777777" w:rsidR="00C9747A" w:rsidRPr="00FE747F" w:rsidRDefault="00C9747A" w:rsidP="00C9747A">
      <w:pPr>
        <w:widowControl w:val="0"/>
        <w:autoSpaceDE w:val="0"/>
        <w:autoSpaceDN w:val="0"/>
        <w:spacing w:line="276" w:lineRule="auto"/>
        <w:ind w:firstLine="608"/>
        <w:jc w:val="both"/>
        <w:rPr>
          <w:rFonts w:ascii="Verdana" w:hAnsi="Verdana" w:cs="Arial"/>
        </w:rPr>
      </w:pPr>
    </w:p>
    <w:p w14:paraId="5E134EAA" w14:textId="77777777" w:rsidR="00C9747A" w:rsidRPr="007563D3" w:rsidRDefault="00C9747A" w:rsidP="00C9747A">
      <w:pPr>
        <w:pStyle w:val="western"/>
        <w:spacing w:before="0" w:beforeAutospacing="0"/>
        <w:ind w:left="709" w:right="709"/>
        <w:jc w:val="both"/>
        <w:rPr>
          <w:rFonts w:ascii="Verdana" w:hAnsi="Verdana" w:cs="Arial"/>
          <w:sz w:val="20"/>
          <w:szCs w:val="20"/>
        </w:rPr>
      </w:pPr>
      <w:r w:rsidRPr="007563D3">
        <w:rPr>
          <w:rFonts w:ascii="Verdana" w:hAnsi="Verdana" w:cs="Arial"/>
          <w:sz w:val="20"/>
          <w:szCs w:val="20"/>
        </w:rPr>
        <w:t>En efecto, la Administración puede rechazar o descalificar los ofrecimientos hechos, por causales previstas en la ley, hipótesis bajo la cual la entidad pública licitante se limita a dar por comprobado el hecho que justifica la exclusión y así lo declaran apoyada en normas legales o reglamentarias de carácter general.</w:t>
      </w:r>
    </w:p>
    <w:p w14:paraId="25BDABB2" w14:textId="77777777" w:rsidR="00C9747A" w:rsidRPr="007563D3" w:rsidRDefault="00C9747A" w:rsidP="00C9747A">
      <w:pPr>
        <w:pStyle w:val="western"/>
        <w:ind w:left="709" w:right="709"/>
        <w:jc w:val="both"/>
        <w:rPr>
          <w:rFonts w:ascii="Verdana" w:hAnsi="Verdana"/>
          <w:sz w:val="20"/>
          <w:szCs w:val="20"/>
        </w:rPr>
      </w:pPr>
      <w:r w:rsidRPr="007563D3">
        <w:rPr>
          <w:rFonts w:ascii="Verdana" w:hAnsi="Verdana" w:cs="Arial"/>
          <w:sz w:val="20"/>
          <w:szCs w:val="20"/>
        </w:rPr>
        <w:t xml:space="preserve">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w:t>
      </w:r>
      <w:r w:rsidRPr="007563D3">
        <w:rPr>
          <w:rFonts w:ascii="Verdana" w:hAnsi="Verdana" w:cs="Arial"/>
          <w:sz w:val="20"/>
          <w:szCs w:val="20"/>
        </w:rPr>
        <w:lastRenderedPageBreak/>
        <w:t>particular; en consecuencia, para rechazar o descalificar una propuesta, la entidad pública debe sujetarse a determinadas reglas 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w:t>
      </w:r>
      <w:r w:rsidRPr="007563D3">
        <w:rPr>
          <w:rStyle w:val="Refdenotaalpie"/>
          <w:rFonts w:ascii="Verdana" w:eastAsiaTheme="majorEastAsia" w:hAnsi="Verdana" w:cs="Arial"/>
          <w:sz w:val="20"/>
          <w:szCs w:val="20"/>
        </w:rPr>
        <w:footnoteReference w:id="22"/>
      </w:r>
      <w:r w:rsidRPr="007563D3">
        <w:rPr>
          <w:rFonts w:ascii="Verdana" w:hAnsi="Verdana" w:cs="Arial"/>
          <w:sz w:val="20"/>
          <w:szCs w:val="20"/>
        </w:rPr>
        <w:t>.</w:t>
      </w:r>
    </w:p>
    <w:p w14:paraId="7870A0A1" w14:textId="77777777" w:rsidR="00C9747A" w:rsidRPr="00FE747F" w:rsidRDefault="00C9747A" w:rsidP="00C9747A">
      <w:pPr>
        <w:pStyle w:val="western"/>
        <w:spacing w:after="0" w:afterAutospacing="0" w:line="276" w:lineRule="auto"/>
        <w:ind w:firstLine="708"/>
        <w:jc w:val="both"/>
        <w:rPr>
          <w:rFonts w:ascii="Verdana" w:hAnsi="Verdana" w:cs="Arial"/>
          <w:sz w:val="22"/>
          <w:szCs w:val="22"/>
          <w:lang w:val="es-ES"/>
        </w:rPr>
      </w:pPr>
      <w:r w:rsidRPr="00FE747F">
        <w:rPr>
          <w:rFonts w:ascii="Verdana" w:hAnsi="Verdana" w:cs="Arial"/>
          <w:sz w:val="22"/>
          <w:szCs w:val="22"/>
          <w:lang w:val="es-ES"/>
        </w:rPr>
        <w:t>En ese mismo sentido, reiterando las anteriores consideraciones, en sentencia del 12 de junio de 2017, la misma Corporación expresó:</w:t>
      </w:r>
    </w:p>
    <w:p w14:paraId="13CF3FF2" w14:textId="77777777" w:rsidR="00C9747A" w:rsidRPr="00FE747F" w:rsidRDefault="00C9747A" w:rsidP="00C9747A">
      <w:pPr>
        <w:pStyle w:val="western"/>
        <w:spacing w:before="0" w:beforeAutospacing="0" w:after="0" w:afterAutospacing="0"/>
        <w:ind w:left="709" w:right="709"/>
        <w:jc w:val="both"/>
        <w:rPr>
          <w:rFonts w:ascii="Verdana" w:hAnsi="Verdana" w:cs="Arial"/>
          <w:sz w:val="21"/>
          <w:szCs w:val="21"/>
          <w:lang w:val="es-ES"/>
        </w:rPr>
      </w:pPr>
    </w:p>
    <w:p w14:paraId="10D4D958" w14:textId="77777777" w:rsidR="00C9747A" w:rsidRPr="00FE747F" w:rsidRDefault="00C9747A" w:rsidP="00C9747A">
      <w:pPr>
        <w:pStyle w:val="western"/>
        <w:spacing w:before="0" w:beforeAutospacing="0" w:after="0" w:afterAutospacing="0"/>
        <w:ind w:left="709" w:right="709"/>
        <w:jc w:val="both"/>
        <w:rPr>
          <w:rFonts w:ascii="Verdana" w:hAnsi="Verdana" w:cs="Arial"/>
          <w:sz w:val="21"/>
          <w:szCs w:val="21"/>
          <w:lang w:val="es-ES"/>
        </w:rPr>
      </w:pPr>
      <w:r w:rsidRPr="00FE747F">
        <w:rPr>
          <w:rFonts w:ascii="Verdana" w:hAnsi="Verdana" w:cs="Arial"/>
          <w:sz w:val="21"/>
          <w:szCs w:val="21"/>
          <w:lang w:val="es-ES"/>
        </w:rPr>
        <w:t>[…] 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 y, a la luz de la Ley 1150 de 2007, debe aludir a aspectos que afecten la asignación de puntaje</w:t>
      </w:r>
      <w:r w:rsidRPr="00FE747F">
        <w:rPr>
          <w:rStyle w:val="Refdenotaalpie"/>
          <w:rFonts w:ascii="Verdana" w:eastAsiaTheme="majorEastAsia" w:hAnsi="Verdana" w:cs="Arial"/>
          <w:sz w:val="21"/>
          <w:szCs w:val="21"/>
          <w:lang w:val="es-ES"/>
        </w:rPr>
        <w:footnoteReference w:id="23"/>
      </w:r>
      <w:r w:rsidRPr="00FE747F">
        <w:rPr>
          <w:rFonts w:ascii="Verdana" w:hAnsi="Verdana" w:cs="Arial"/>
          <w:sz w:val="21"/>
          <w:szCs w:val="21"/>
          <w:lang w:val="es-ES"/>
        </w:rPr>
        <w:t>.</w:t>
      </w:r>
    </w:p>
    <w:p w14:paraId="50A2C1CF" w14:textId="77777777" w:rsidR="00C9747A" w:rsidRPr="00FE747F" w:rsidRDefault="00C9747A" w:rsidP="00C9747A">
      <w:pPr>
        <w:widowControl w:val="0"/>
        <w:autoSpaceDE w:val="0"/>
        <w:autoSpaceDN w:val="0"/>
        <w:spacing w:line="276" w:lineRule="auto"/>
        <w:jc w:val="both"/>
        <w:rPr>
          <w:rFonts w:ascii="Verdana" w:hAnsi="Verdana" w:cs="Arial"/>
          <w:lang w:val="es-ES_tradnl"/>
        </w:rPr>
      </w:pPr>
    </w:p>
    <w:p w14:paraId="0EF20EEC" w14:textId="77777777" w:rsidR="00C9747A" w:rsidRPr="00FE747F" w:rsidRDefault="00C9747A" w:rsidP="00C9747A">
      <w:pPr>
        <w:spacing w:after="120" w:line="276" w:lineRule="auto"/>
        <w:ind w:firstLine="709"/>
        <w:jc w:val="both"/>
        <w:rPr>
          <w:rFonts w:ascii="Verdana" w:hAnsi="Verdana" w:cs="Arial"/>
        </w:rPr>
      </w:pPr>
      <w:r w:rsidRPr="00FE747F">
        <w:rPr>
          <w:rFonts w:ascii="Verdana" w:hAnsi="Verdana" w:cs="Arial"/>
        </w:rPr>
        <w:t xml:space="preserve">En tales términos, la facultad de las entidades estatales para incluir en los pliegos de condiciones causales de rechazo de las ofertas, no es una facultad absoluta, en la medida que se encuentra limitada por lo dispuesto en ley, al igual que por los principios de razonabilidad y proporcionalidad, los cuales exigen que las causales de rechazo que sean establecidas por la entidad, además de no contrariar el ordenamiento jurídico, no versen sobre aspectos meramente formales sin relevancia para el transcurso del proceso de selección o el perfeccionamiento del contrato. </w:t>
      </w:r>
    </w:p>
    <w:p w14:paraId="77333CB6" w14:textId="77777777" w:rsidR="00C9747A" w:rsidRPr="00115E3D" w:rsidRDefault="00C9747A" w:rsidP="00C9747A">
      <w:pPr>
        <w:widowControl w:val="0"/>
        <w:autoSpaceDE w:val="0"/>
        <w:autoSpaceDN w:val="0"/>
        <w:spacing w:after="0" w:line="276" w:lineRule="auto"/>
        <w:jc w:val="both"/>
        <w:rPr>
          <w:rFonts w:ascii="Verdana" w:hAnsi="Verdana" w:cs="Arial"/>
          <w:color w:val="000000" w:themeColor="text1"/>
        </w:rPr>
      </w:pPr>
    </w:p>
    <w:p w14:paraId="03AD0F2D" w14:textId="77777777" w:rsidR="00C9747A" w:rsidRPr="00115E3D" w:rsidRDefault="00C9747A" w:rsidP="00C974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Referencias normativas, jurisprudenciales y otras fuentes:</w:t>
      </w:r>
    </w:p>
    <w:p w14:paraId="212BEAF8" w14:textId="77777777" w:rsidR="00C9747A" w:rsidRPr="00115E3D" w:rsidRDefault="00C9747A" w:rsidP="00C9747A">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9747A" w:rsidRPr="00115E3D" w14:paraId="3047456E" w14:textId="77777777" w:rsidTr="0058295E">
        <w:trPr>
          <w:trHeight w:val="870"/>
        </w:trPr>
        <w:tc>
          <w:tcPr>
            <w:tcW w:w="8647" w:type="dxa"/>
          </w:tcPr>
          <w:p w14:paraId="2CE1F9B9" w14:textId="035B3A5A" w:rsidR="00C9747A" w:rsidRPr="0099705E" w:rsidRDefault="00C9747A" w:rsidP="00C9747A">
            <w:pPr>
              <w:pStyle w:val="Prrafodelista"/>
              <w:numPr>
                <w:ilvl w:val="0"/>
                <w:numId w:val="5"/>
              </w:numPr>
              <w:spacing w:line="276" w:lineRule="auto"/>
              <w:rPr>
                <w:rStyle w:val="Textoennegrita"/>
                <w:rFonts w:ascii="Verdana" w:hAnsi="Verdana"/>
                <w:b w:val="0"/>
                <w:bCs w:val="0"/>
              </w:rPr>
            </w:pPr>
            <w:r w:rsidRPr="0099705E">
              <w:rPr>
                <w:rFonts w:ascii="Verdana" w:hAnsi="Verdana"/>
              </w:rPr>
              <w:lastRenderedPageBreak/>
              <w:t>Ley 80 de 1993, artículo 24, numeral 2°, 15 del artículo 25</w:t>
            </w:r>
            <w:r w:rsidR="00A563EA">
              <w:rPr>
                <w:rFonts w:ascii="Verdana" w:hAnsi="Verdana"/>
              </w:rPr>
              <w:t xml:space="preserve"> y </w:t>
            </w:r>
            <w:r w:rsidRPr="0099705E">
              <w:rPr>
                <w:rStyle w:val="Textoennegrita"/>
                <w:rFonts w:ascii="Verdana" w:hAnsi="Verdana" w:cs="Arial"/>
                <w:b w:val="0"/>
                <w:color w:val="000000"/>
              </w:rPr>
              <w:t>28.</w:t>
            </w:r>
          </w:p>
          <w:p w14:paraId="7435E893" w14:textId="77777777" w:rsidR="00C9747A" w:rsidRPr="0099705E" w:rsidRDefault="00C9747A" w:rsidP="00C9747A">
            <w:pPr>
              <w:pStyle w:val="Prrafodelista"/>
              <w:numPr>
                <w:ilvl w:val="0"/>
                <w:numId w:val="5"/>
              </w:numPr>
              <w:spacing w:line="276" w:lineRule="auto"/>
              <w:rPr>
                <w:rStyle w:val="Textoennegrita"/>
                <w:rFonts w:ascii="Verdana" w:hAnsi="Verdana"/>
                <w:b w:val="0"/>
                <w:bCs w:val="0"/>
              </w:rPr>
            </w:pPr>
            <w:r w:rsidRPr="0099705E">
              <w:rPr>
                <w:rFonts w:ascii="Verdana" w:hAnsi="Verdana"/>
              </w:rPr>
              <w:t>Ley 1150 de 2007, artículo 5, parágrafo 1.</w:t>
            </w:r>
          </w:p>
          <w:p w14:paraId="53283C59" w14:textId="77777777" w:rsidR="00C9747A" w:rsidRPr="0099705E" w:rsidRDefault="00C9747A" w:rsidP="00C9747A">
            <w:pPr>
              <w:pStyle w:val="Prrafodelista"/>
              <w:numPr>
                <w:ilvl w:val="0"/>
                <w:numId w:val="5"/>
              </w:numPr>
              <w:spacing w:line="276" w:lineRule="auto"/>
              <w:rPr>
                <w:rFonts w:ascii="Verdana" w:hAnsi="Verdana" w:cs="Arial"/>
                <w:color w:val="000000" w:themeColor="text1"/>
              </w:rPr>
            </w:pPr>
            <w:r w:rsidRPr="0099705E">
              <w:rPr>
                <w:rFonts w:ascii="Verdana" w:hAnsi="Verdana" w:cs="Arial"/>
                <w:color w:val="000000" w:themeColor="text1"/>
              </w:rPr>
              <w:t xml:space="preserve">Decreto 1082 de 2015, Artículo </w:t>
            </w:r>
            <w:r w:rsidRPr="006A74CA">
              <w:rPr>
                <w:rFonts w:ascii="Verdana" w:eastAsia="Calibri" w:hAnsi="Verdana"/>
              </w:rPr>
              <w:t xml:space="preserve">2.2.1.1.1.6.2, </w:t>
            </w:r>
            <w:r w:rsidRPr="009B3C96">
              <w:rPr>
                <w:rFonts w:ascii="Verdana" w:hAnsi="Verdana" w:cs="Arial"/>
              </w:rPr>
              <w:t>2.2.1.1.2.1.1</w:t>
            </w:r>
            <w:r>
              <w:rPr>
                <w:rFonts w:ascii="Verdana" w:hAnsi="Verdana" w:cs="Arial"/>
              </w:rPr>
              <w:t xml:space="preserve">, </w:t>
            </w:r>
            <w:r w:rsidRPr="009B3C96">
              <w:rPr>
                <w:rFonts w:ascii="Verdana" w:hAnsi="Verdana" w:cs="Arial"/>
              </w:rPr>
              <w:t xml:space="preserve">2.2.1.1.2.1.3 </w:t>
            </w:r>
            <w:r>
              <w:rPr>
                <w:rFonts w:ascii="Verdana" w:hAnsi="Verdana" w:cs="Arial"/>
              </w:rPr>
              <w:t>y</w:t>
            </w:r>
            <w:r w:rsidRPr="009B3C96">
              <w:rPr>
                <w:rFonts w:ascii="Verdana" w:hAnsi="Verdana" w:cs="Arial"/>
              </w:rPr>
              <w:t xml:space="preserve"> 2.2.1.2.4.2.15</w:t>
            </w:r>
            <w:r>
              <w:rPr>
                <w:rFonts w:ascii="Verdana" w:hAnsi="Verdana" w:cs="Arial"/>
              </w:rPr>
              <w:t>.</w:t>
            </w:r>
          </w:p>
          <w:p w14:paraId="49A0005E" w14:textId="77777777" w:rsidR="00C9747A" w:rsidRPr="0099705E" w:rsidRDefault="00C9747A" w:rsidP="00C9747A">
            <w:pPr>
              <w:pStyle w:val="Prrafodelista"/>
              <w:numPr>
                <w:ilvl w:val="0"/>
                <w:numId w:val="5"/>
              </w:numPr>
              <w:spacing w:line="276" w:lineRule="auto"/>
              <w:rPr>
                <w:rStyle w:val="Textoennegrita"/>
                <w:rFonts w:ascii="Verdana" w:hAnsi="Verdana"/>
                <w:b w:val="0"/>
                <w:bCs w:val="0"/>
              </w:rPr>
            </w:pPr>
            <w:r w:rsidRPr="0099705E">
              <w:rPr>
                <w:rFonts w:ascii="Verdana" w:hAnsi="Verdana"/>
              </w:rPr>
              <w:t>Decreto 392 de 2018.</w:t>
            </w:r>
          </w:p>
          <w:p w14:paraId="1A3AEE6B" w14:textId="77777777" w:rsidR="00C9747A" w:rsidRPr="00AF1063" w:rsidRDefault="00C9747A" w:rsidP="00C9747A">
            <w:pPr>
              <w:pStyle w:val="Textonotapie"/>
              <w:numPr>
                <w:ilvl w:val="0"/>
                <w:numId w:val="5"/>
              </w:numPr>
              <w:spacing w:line="276" w:lineRule="auto"/>
              <w:jc w:val="both"/>
              <w:rPr>
                <w:rFonts w:ascii="Verdana" w:hAnsi="Verdana" w:cs="Arial"/>
                <w:sz w:val="22"/>
                <w:szCs w:val="22"/>
              </w:rPr>
            </w:pPr>
            <w:r w:rsidRPr="002C55D8">
              <w:rPr>
                <w:rFonts w:ascii="Verdana" w:hAnsi="Verdana" w:cs="Arial"/>
                <w:sz w:val="22"/>
                <w:szCs w:val="22"/>
              </w:rPr>
              <w:t>RODRÍGUEZ TAMAYO, Mauricio Fernando. Evaluación y rechazo de ofertas en la Ley 80 de 1993, Librería Jurídica Sánchez, 2016, Medellín, pp. 190.</w:t>
            </w:r>
          </w:p>
          <w:p w14:paraId="61D9314C" w14:textId="77777777" w:rsidR="00C9747A" w:rsidRPr="00AF1063" w:rsidRDefault="00C9747A" w:rsidP="00C9747A">
            <w:pPr>
              <w:pStyle w:val="Textonotapie"/>
              <w:numPr>
                <w:ilvl w:val="0"/>
                <w:numId w:val="5"/>
              </w:numPr>
              <w:spacing w:line="276" w:lineRule="auto"/>
              <w:jc w:val="both"/>
              <w:rPr>
                <w:rFonts w:ascii="Verdana" w:hAnsi="Verdana" w:cs="Arial"/>
                <w:sz w:val="22"/>
                <w:szCs w:val="22"/>
              </w:rPr>
            </w:pPr>
            <w:r w:rsidRPr="002C55D8">
              <w:rPr>
                <w:rFonts w:ascii="Verdana" w:hAnsi="Verdana" w:cs="Arial"/>
                <w:sz w:val="22"/>
                <w:szCs w:val="22"/>
              </w:rPr>
              <w:t xml:space="preserve">Consejo de Estado, Sección Tercera, Sentencia del 29 de enero de 2004, C.P. Alier Eduardo Hernández Enríquez, Exp. No. 10.779.  </w:t>
            </w:r>
          </w:p>
          <w:p w14:paraId="644513D0" w14:textId="77777777" w:rsidR="00C9747A" w:rsidRPr="00AF1063" w:rsidRDefault="00C9747A" w:rsidP="00C9747A">
            <w:pPr>
              <w:pStyle w:val="Textonotapie"/>
              <w:numPr>
                <w:ilvl w:val="0"/>
                <w:numId w:val="5"/>
              </w:numPr>
              <w:spacing w:line="276" w:lineRule="auto"/>
              <w:jc w:val="both"/>
              <w:rPr>
                <w:rFonts w:ascii="Verdana" w:hAnsi="Verdana" w:cs="Arial"/>
                <w:sz w:val="22"/>
                <w:szCs w:val="22"/>
              </w:rPr>
            </w:pPr>
            <w:r w:rsidRPr="002C55D8">
              <w:rPr>
                <w:rFonts w:ascii="Verdana" w:hAnsi="Verdana"/>
                <w:sz w:val="22"/>
                <w:szCs w:val="22"/>
              </w:rPr>
              <w:t>Consejo de Estado,</w:t>
            </w:r>
            <w:r w:rsidRPr="002C55D8">
              <w:rPr>
                <w:rFonts w:ascii="Verdana" w:hAnsi="Verdana" w:cs="Arial"/>
                <w:sz w:val="22"/>
                <w:szCs w:val="22"/>
              </w:rPr>
              <w:t xml:space="preserve"> Sección Tercera. Sentencia de 30 de noviembre de 2006. Exp. 18.059. M.P. Alier Hernández Enríquez.</w:t>
            </w:r>
          </w:p>
          <w:p w14:paraId="4915FF49" w14:textId="77777777" w:rsidR="00C9747A" w:rsidRPr="00AF1063" w:rsidRDefault="00C9747A" w:rsidP="00C9747A">
            <w:pPr>
              <w:pStyle w:val="Prrafodelista"/>
              <w:numPr>
                <w:ilvl w:val="0"/>
                <w:numId w:val="5"/>
              </w:numPr>
              <w:spacing w:after="160" w:line="276" w:lineRule="auto"/>
              <w:rPr>
                <w:rFonts w:ascii="Verdana" w:hAnsi="Verdana"/>
                <w:lang w:val="es-ES"/>
              </w:rPr>
            </w:pPr>
            <w:r w:rsidRPr="00BC1529">
              <w:rPr>
                <w:rFonts w:ascii="Verdana" w:hAnsi="Verdana"/>
              </w:rPr>
              <w:t>Consejo de Estado, Sección Tercera, Subsección B, 31 de agosto de 2011, Exp. No. 18080, C.P. Ruth Stella Correa Palacio.</w:t>
            </w:r>
          </w:p>
          <w:p w14:paraId="6BEF5C7F" w14:textId="77777777" w:rsidR="00C9747A" w:rsidRPr="00AF1063" w:rsidRDefault="00C9747A" w:rsidP="00C9747A">
            <w:pPr>
              <w:pStyle w:val="Textonotapie"/>
              <w:numPr>
                <w:ilvl w:val="0"/>
                <w:numId w:val="5"/>
              </w:numPr>
              <w:spacing w:line="276" w:lineRule="auto"/>
              <w:jc w:val="both"/>
              <w:rPr>
                <w:rFonts w:ascii="Verdana" w:hAnsi="Verdana" w:cs="Arial"/>
                <w:sz w:val="22"/>
                <w:szCs w:val="22"/>
              </w:rPr>
            </w:pPr>
            <w:r w:rsidRPr="002C55D8">
              <w:rPr>
                <w:rFonts w:ascii="Verdana" w:hAnsi="Verdana"/>
                <w:sz w:val="22"/>
                <w:szCs w:val="22"/>
              </w:rPr>
              <w:t>Consejo de Estado</w:t>
            </w:r>
            <w:r w:rsidRPr="002C55D8">
              <w:rPr>
                <w:rFonts w:ascii="Verdana" w:hAnsi="Verdana" w:cs="Arial"/>
                <w:sz w:val="22"/>
                <w:szCs w:val="22"/>
              </w:rPr>
              <w:t>, Sección Tercera Subsección B. Sentencia del 27 de abril de 2011. Expediente No. 18.293. C.P. Ponente: Ruth Stella Correa Palacio.</w:t>
            </w:r>
          </w:p>
          <w:p w14:paraId="58BC7131" w14:textId="77777777" w:rsidR="00C9747A" w:rsidRPr="00AF1063" w:rsidRDefault="00C9747A" w:rsidP="00C9747A">
            <w:pPr>
              <w:pStyle w:val="Textonotapie"/>
              <w:numPr>
                <w:ilvl w:val="0"/>
                <w:numId w:val="5"/>
              </w:numPr>
              <w:spacing w:line="276" w:lineRule="auto"/>
              <w:jc w:val="both"/>
              <w:rPr>
                <w:rFonts w:ascii="Verdana" w:hAnsi="Verdana" w:cs="Arial"/>
                <w:sz w:val="22"/>
                <w:szCs w:val="22"/>
              </w:rPr>
            </w:pPr>
            <w:r w:rsidRPr="002C55D8">
              <w:rPr>
                <w:rFonts w:ascii="Verdana" w:hAnsi="Verdana" w:cs="Arial"/>
                <w:sz w:val="22"/>
                <w:szCs w:val="22"/>
              </w:rPr>
              <w:t>CONSEJO DE ESTADO. Sección Tercera, Subsección A. Sentencia del 21 de noviembre de 2013. Exp. No. 25397. C.P. Carlos Alberto Zambrano Barrera.</w:t>
            </w:r>
          </w:p>
          <w:p w14:paraId="504F44C9" w14:textId="77777777" w:rsidR="00C9747A" w:rsidRPr="00AF1063" w:rsidRDefault="00C9747A" w:rsidP="00C9747A">
            <w:pPr>
              <w:pStyle w:val="Textonotapie"/>
              <w:numPr>
                <w:ilvl w:val="0"/>
                <w:numId w:val="5"/>
              </w:numPr>
              <w:spacing w:line="276" w:lineRule="auto"/>
              <w:jc w:val="both"/>
              <w:rPr>
                <w:rFonts w:ascii="Verdana" w:hAnsi="Verdana" w:cs="Arial"/>
                <w:sz w:val="22"/>
                <w:szCs w:val="22"/>
              </w:rPr>
            </w:pPr>
            <w:r w:rsidRPr="002C55D8">
              <w:rPr>
                <w:rFonts w:ascii="Verdana" w:hAnsi="Verdana" w:cs="Arial"/>
                <w:sz w:val="22"/>
                <w:szCs w:val="22"/>
              </w:rPr>
              <w:t xml:space="preserve">OSPINA MENA, Jesús Marino. Régimen de la Contratación Estatal. Un salto a la contratación líquida. Bogotá: Ed. 1ª. </w:t>
            </w:r>
            <w:proofErr w:type="spellStart"/>
            <w:r w:rsidRPr="002C55D8">
              <w:rPr>
                <w:rFonts w:ascii="Verdana" w:hAnsi="Verdana" w:cs="Arial"/>
                <w:sz w:val="22"/>
                <w:szCs w:val="22"/>
              </w:rPr>
              <w:t>Diké</w:t>
            </w:r>
            <w:proofErr w:type="spellEnd"/>
            <w:r w:rsidRPr="002C55D8">
              <w:rPr>
                <w:rFonts w:ascii="Verdana" w:hAnsi="Verdana" w:cs="Arial"/>
                <w:sz w:val="22"/>
                <w:szCs w:val="22"/>
              </w:rPr>
              <w:t>, 2020. p. 383.</w:t>
            </w:r>
          </w:p>
          <w:p w14:paraId="0C0EA0A6" w14:textId="77777777" w:rsidR="00C9747A" w:rsidRPr="002C55D8" w:rsidRDefault="00C9747A" w:rsidP="00C9747A">
            <w:pPr>
              <w:pStyle w:val="Textonotapie"/>
              <w:numPr>
                <w:ilvl w:val="0"/>
                <w:numId w:val="5"/>
              </w:numPr>
              <w:spacing w:line="276" w:lineRule="auto"/>
              <w:jc w:val="both"/>
              <w:rPr>
                <w:rFonts w:ascii="Verdana" w:hAnsi="Verdana" w:cs="Arial"/>
                <w:sz w:val="22"/>
                <w:szCs w:val="22"/>
                <w:lang w:val="es-CO"/>
              </w:rPr>
            </w:pPr>
            <w:r w:rsidRPr="002C55D8">
              <w:rPr>
                <w:rFonts w:ascii="Verdana" w:hAnsi="Verdana"/>
                <w:sz w:val="22"/>
                <w:szCs w:val="22"/>
              </w:rPr>
              <w:t>Consejo de Estado</w:t>
            </w:r>
            <w:r w:rsidRPr="002C55D8">
              <w:rPr>
                <w:rFonts w:ascii="Verdana" w:hAnsi="Verdana" w:cs="Arial"/>
                <w:sz w:val="22"/>
                <w:szCs w:val="22"/>
              </w:rPr>
              <w:t>, Sección Tercera, Subsección A. Sentencia del 12 de junio de 2017. Exp. No. 51364. C.P. Marta Nubia Velásquez Rico.</w:t>
            </w:r>
          </w:p>
          <w:p w14:paraId="2835BAAD" w14:textId="77777777" w:rsidR="00C9747A" w:rsidRPr="008F1419" w:rsidRDefault="00C9747A" w:rsidP="0058295E">
            <w:pPr>
              <w:pStyle w:val="Textonotapie"/>
              <w:ind w:left="720"/>
              <w:jc w:val="both"/>
              <w:rPr>
                <w:rFonts w:ascii="Verdana" w:hAnsi="Verdana"/>
                <w:sz w:val="22"/>
                <w:szCs w:val="22"/>
              </w:rPr>
            </w:pPr>
          </w:p>
        </w:tc>
      </w:tr>
      <w:tr w:rsidR="00C9747A" w:rsidRPr="00115E3D" w14:paraId="50F2D129" w14:textId="77777777" w:rsidTr="0058295E">
        <w:trPr>
          <w:trHeight w:val="870"/>
        </w:trPr>
        <w:tc>
          <w:tcPr>
            <w:tcW w:w="8647" w:type="dxa"/>
          </w:tcPr>
          <w:p w14:paraId="393F6AD9" w14:textId="77777777" w:rsidR="00C9747A" w:rsidRPr="008B585F" w:rsidRDefault="00C9747A" w:rsidP="0058295E">
            <w:pPr>
              <w:spacing w:line="276" w:lineRule="auto"/>
              <w:rPr>
                <w:rFonts w:ascii="Verdana" w:hAnsi="Verdana"/>
                <w:highlight w:val="yellow"/>
              </w:rPr>
            </w:pPr>
          </w:p>
        </w:tc>
      </w:tr>
    </w:tbl>
    <w:p w14:paraId="0E4EF2EE" w14:textId="77777777" w:rsidR="00C9747A" w:rsidRPr="00115E3D" w:rsidRDefault="00C9747A" w:rsidP="00C9747A">
      <w:pPr>
        <w:widowControl w:val="0"/>
        <w:autoSpaceDE w:val="0"/>
        <w:autoSpaceDN w:val="0"/>
        <w:spacing w:after="0" w:line="276" w:lineRule="auto"/>
        <w:jc w:val="both"/>
        <w:rPr>
          <w:rFonts w:ascii="Verdana" w:hAnsi="Verdana" w:cs="Arial"/>
          <w:color w:val="000000" w:themeColor="text1"/>
        </w:rPr>
      </w:pPr>
    </w:p>
    <w:p w14:paraId="05CA508F" w14:textId="77777777" w:rsidR="00C9747A" w:rsidRPr="00115E3D" w:rsidRDefault="00C9747A" w:rsidP="00C974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Doctrina de la Agencia Nacional de Contratación Pública:</w:t>
      </w:r>
    </w:p>
    <w:p w14:paraId="3D8124FD" w14:textId="77777777" w:rsidR="00C9747A" w:rsidRDefault="00C9747A" w:rsidP="00C9747A">
      <w:pPr>
        <w:widowControl w:val="0"/>
        <w:autoSpaceDE w:val="0"/>
        <w:autoSpaceDN w:val="0"/>
        <w:spacing w:after="0" w:line="276" w:lineRule="auto"/>
        <w:jc w:val="both"/>
        <w:rPr>
          <w:rFonts w:ascii="Verdana" w:hAnsi="Verdana" w:cs="Arial"/>
          <w:color w:val="000000" w:themeColor="text1"/>
        </w:rPr>
      </w:pPr>
    </w:p>
    <w:p w14:paraId="1E74C9BD" w14:textId="77777777" w:rsidR="00C9747A" w:rsidRPr="00213717" w:rsidRDefault="00C9747A" w:rsidP="00C9747A">
      <w:pPr>
        <w:widowControl w:val="0"/>
        <w:autoSpaceDE w:val="0"/>
        <w:autoSpaceDN w:val="0"/>
        <w:spacing w:after="0" w:line="276" w:lineRule="auto"/>
        <w:jc w:val="both"/>
        <w:rPr>
          <w:rStyle w:val="normaltextrun"/>
          <w:rFonts w:ascii="Verdana" w:eastAsia="Calibri" w:hAnsi="Verdana" w:cs="Arial"/>
          <w:lang w:eastAsia="es-ES_tradnl"/>
        </w:rPr>
      </w:pPr>
      <w:r w:rsidRPr="007574A5">
        <w:rPr>
          <w:rFonts w:ascii="Verdana" w:eastAsia="Calibri" w:hAnsi="Verdana" w:cs="Arial"/>
          <w:lang w:val="es-ES" w:eastAsia="es-ES_tradnl"/>
        </w:rPr>
        <w:t xml:space="preserve">Sobre </w:t>
      </w:r>
      <w:r w:rsidRPr="007574A5">
        <w:rPr>
          <w:rFonts w:ascii="Verdana" w:eastAsia="Calibri" w:hAnsi="Verdana" w:cs="Arial"/>
          <w:bCs/>
          <w:lang w:eastAsia="es-ES_tradnl"/>
        </w:rPr>
        <w:t>los estudios previo</w:t>
      </w:r>
      <w:r>
        <w:rPr>
          <w:rFonts w:ascii="Verdana" w:eastAsia="Calibri" w:hAnsi="Verdana" w:cs="Arial"/>
          <w:bCs/>
          <w:lang w:eastAsia="es-ES_tradnl"/>
        </w:rPr>
        <w:t>s,</w:t>
      </w:r>
      <w:r w:rsidRPr="007574A5">
        <w:rPr>
          <w:rFonts w:ascii="Verdana" w:eastAsia="Calibri" w:hAnsi="Verdana" w:cs="Arial"/>
          <w:bCs/>
          <w:lang w:val="es-ES_tradnl" w:eastAsia="es-ES_tradnl"/>
        </w:rPr>
        <w:t xml:space="preserve"> </w:t>
      </w:r>
      <w:r w:rsidRPr="007574A5">
        <w:rPr>
          <w:rFonts w:ascii="Verdana" w:eastAsia="Calibri" w:hAnsi="Verdana" w:cs="Arial"/>
          <w:bCs/>
          <w:lang w:val="es-ES" w:eastAsia="es-ES_tradnl"/>
        </w:rPr>
        <w:t>pliego de condiciones, su naturaleza,</w:t>
      </w:r>
      <w:r w:rsidRPr="007574A5">
        <w:rPr>
          <w:rFonts w:ascii="Verdana" w:eastAsia="Calibri" w:hAnsi="Verdana" w:cs="Arial"/>
          <w:bCs/>
          <w:lang w:val="es-MX" w:eastAsia="es-ES_tradnl"/>
        </w:rPr>
        <w:t xml:space="preserve"> claridad y precisión de su contenido</w:t>
      </w:r>
      <w:r w:rsidRPr="007574A5">
        <w:rPr>
          <w:rFonts w:ascii="Verdana" w:eastAsia="Calibri" w:hAnsi="Verdana" w:cs="Arial"/>
          <w:lang w:val="es-ES" w:eastAsia="es-ES_tradnl"/>
        </w:rPr>
        <w:t xml:space="preserve"> se pronunció esta Subdirección en los conceptos</w:t>
      </w:r>
      <w:r w:rsidRPr="007574A5">
        <w:rPr>
          <w:rFonts w:ascii="Verdana" w:eastAsia="Calibri" w:hAnsi="Verdana" w:cs="Arial"/>
          <w:lang w:eastAsia="es-ES_tradnl"/>
        </w:rPr>
        <w:t xml:space="preserve"> C-218 de 13 julio del 2023, C-274 de 14 julio del 2023, C-309 de 28 julio del 2023, C-344 de 18 agosto del 2023, C-346 de 25 agosto del 2023, C-297 de 3 octubre </w:t>
      </w:r>
      <w:r w:rsidRPr="007574A5">
        <w:rPr>
          <w:rFonts w:ascii="Verdana" w:eastAsia="Calibri" w:hAnsi="Verdana" w:cs="Arial"/>
          <w:lang w:eastAsia="es-ES_tradnl"/>
        </w:rPr>
        <w:lastRenderedPageBreak/>
        <w:t>del 2023, C-201 de 26 octubre de 2023, C-144 de 6 diciembre del 2023, C-440 de 12 diciembre del 2023, C-001 de 25 enero del 2024, C-030 de 9 abril del 2024, C-053 de 7 mayo del 2024</w:t>
      </w:r>
      <w:r w:rsidRPr="008C5EF6">
        <w:rPr>
          <w:rFonts w:ascii="Verdana" w:eastAsia="Calibri" w:hAnsi="Verdana" w:cs="Arial"/>
          <w:lang w:eastAsia="es-ES_tradnl"/>
        </w:rPr>
        <w:t xml:space="preserve">. </w:t>
      </w:r>
      <w:r>
        <w:rPr>
          <w:rFonts w:ascii="Verdana" w:eastAsia="Calibri" w:hAnsi="Verdana" w:cs="Arial"/>
          <w:lang w:val="es-ES" w:eastAsia="es-ES_tradnl"/>
        </w:rPr>
        <w:t>S</w:t>
      </w:r>
      <w:r w:rsidRPr="00535747">
        <w:rPr>
          <w:rFonts w:ascii="Verdana" w:eastAsia="Calibri" w:hAnsi="Verdana" w:cs="Arial"/>
          <w:lang w:val="es-ES" w:eastAsia="es-ES_tradnl"/>
        </w:rPr>
        <w:t xml:space="preserve">obre las causales de rechazo incorporadas en los pliegos de condiciones, </w:t>
      </w:r>
      <w:r>
        <w:rPr>
          <w:rFonts w:ascii="Verdana" w:eastAsia="Calibri" w:hAnsi="Verdana" w:cs="Arial"/>
          <w:lang w:val="es-ES" w:eastAsia="es-ES_tradnl"/>
        </w:rPr>
        <w:t>se pronunció</w:t>
      </w:r>
      <w:r w:rsidRPr="00535747">
        <w:rPr>
          <w:rFonts w:ascii="Verdana" w:eastAsia="Calibri" w:hAnsi="Verdana" w:cs="Arial"/>
          <w:lang w:val="es-ES" w:eastAsia="es-ES_tradnl"/>
        </w:rPr>
        <w:t xml:space="preserve"> en los conceptos 2201913000007117 del 25 de septiembre de 2019, 2201913000009538 del 23 de diciembre de 2019, C- 716 del 30 de octubre de 2020, C-096 del 24 de marzo de 2021, C-056 del 20 de abril de 2021, C-078 del 15 de marzo de 2022, C-321 del 17 de mayo de 2022, C-113 del 22 de marzo de 2022, C-178, C-186 del 12 de abril de 2022, C-406 del 2 de octubre de 2023,</w:t>
      </w:r>
      <w:r>
        <w:rPr>
          <w:rFonts w:ascii="Verdana" w:eastAsia="Calibri" w:hAnsi="Verdana" w:cs="Arial"/>
          <w:lang w:val="es-ES" w:eastAsia="es-ES_tradnl"/>
        </w:rPr>
        <w:t xml:space="preserve"> C-128 del agosto de 2024, </w:t>
      </w:r>
      <w:r w:rsidRPr="00535747">
        <w:rPr>
          <w:rFonts w:ascii="Verdana" w:eastAsia="Calibri" w:hAnsi="Verdana" w:cs="Arial"/>
          <w:lang w:val="es-ES" w:eastAsia="es-ES_tradnl"/>
        </w:rPr>
        <w:t>entre otros.</w:t>
      </w:r>
      <w:r>
        <w:rPr>
          <w:rFonts w:ascii="Verdana" w:eastAsia="Calibri" w:hAnsi="Verdana" w:cs="Arial"/>
          <w:lang w:val="es-ES" w:eastAsia="es-ES_tradnl"/>
        </w:rPr>
        <w:t xml:space="preserve"> </w:t>
      </w:r>
      <w:r w:rsidRPr="00E406E8">
        <w:rPr>
          <w:rFonts w:ascii="Verdana" w:eastAsia="Calibri" w:hAnsi="Verdana" w:cs="Arial"/>
          <w:lang w:val="es-ES" w:eastAsia="es-ES_tradnl"/>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r>
        <w:rPr>
          <w:rFonts w:ascii="Verdana" w:eastAsia="Calibri" w:hAnsi="Verdana" w:cs="Arial"/>
          <w:lang w:val="es-ES" w:eastAsia="es-ES_tradnl"/>
        </w:rPr>
        <w:t xml:space="preserve"> </w:t>
      </w:r>
      <w:r w:rsidRPr="00E406E8">
        <w:rPr>
          <w:rFonts w:ascii="Verdana" w:eastAsia="Calibri" w:hAnsi="Verdana" w:cs="Arial"/>
          <w:lang w:val="es-ES" w:eastAsia="es-ES_tradnl"/>
        </w:rPr>
        <w:t xml:space="preserve">https://relatoria.colombiacompra.gov.co/. Te invitamos también a revisar la tercera edición </w:t>
      </w:r>
      <w:proofErr w:type="gramStart"/>
      <w:r w:rsidRPr="00E406E8">
        <w:rPr>
          <w:rFonts w:ascii="Verdana" w:eastAsia="Calibri" w:hAnsi="Verdana" w:cs="Arial"/>
          <w:lang w:val="es-ES" w:eastAsia="es-ES_tradnl"/>
        </w:rPr>
        <w:t>del  Boletín</w:t>
      </w:r>
      <w:proofErr w:type="gramEnd"/>
      <w:r w:rsidRPr="00E406E8">
        <w:rPr>
          <w:rFonts w:ascii="Verdana" w:eastAsia="Calibri" w:hAnsi="Verdana" w:cs="Arial"/>
          <w:lang w:val="es-ES" w:eastAsia="es-ES_tradnl"/>
        </w:rPr>
        <w:t xml:space="preserve"> de Relatoría de 2024 en el cual podrás consultar en detalle el marco normativo de documentos tipo: </w:t>
      </w:r>
      <w:hyperlink r:id="rId9" w:history="1">
        <w:r w:rsidRPr="003A4DDF">
          <w:rPr>
            <w:rStyle w:val="Hipervnculo"/>
            <w:rFonts w:ascii="Verdana" w:eastAsia="Calibri" w:hAnsi="Verdana" w:cs="Arial"/>
            <w:lang w:val="es-ES" w:eastAsia="es-ES_tradnl"/>
          </w:rPr>
          <w:t>https://www.colombiacompra.gov.co/sites/cce_public/files/files_2020/boletin_de_realtoria_iii.pdf</w:t>
        </w:r>
      </w:hyperlink>
      <w:r>
        <w:rPr>
          <w:rFonts w:ascii="Verdana" w:eastAsia="Calibri" w:hAnsi="Verdana" w:cs="Arial"/>
          <w:lang w:val="es-ES" w:eastAsia="es-ES_tradnl"/>
        </w:rPr>
        <w:t xml:space="preserve"> </w:t>
      </w:r>
    </w:p>
    <w:p w14:paraId="016C2A9C" w14:textId="77777777" w:rsidR="00C9747A" w:rsidRPr="00545C00" w:rsidRDefault="00C9747A" w:rsidP="00C9747A">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2DAB5912" w14:textId="77777777" w:rsidR="00C9747A" w:rsidRPr="00545C00" w:rsidRDefault="00C9747A" w:rsidP="00C9747A">
      <w:pPr>
        <w:spacing w:after="0" w:line="276" w:lineRule="auto"/>
        <w:jc w:val="both"/>
        <w:rPr>
          <w:rFonts w:ascii="Verdana" w:hAnsi="Verdana"/>
        </w:rPr>
      </w:pPr>
      <w:r w:rsidRPr="00545C00">
        <w:rPr>
          <w:rFonts w:ascii="Verdana" w:hAnsi="Verdana"/>
        </w:rPr>
        <w:t xml:space="preserve">Por último, lo invitamos a seguirnos en las redes sociales en las cuales se difunde información institucional: </w:t>
      </w:r>
    </w:p>
    <w:p w14:paraId="2184DC70" w14:textId="77777777" w:rsidR="00C9747A" w:rsidRPr="00545C00" w:rsidRDefault="00C9747A" w:rsidP="00C9747A">
      <w:pPr>
        <w:spacing w:after="0" w:line="276" w:lineRule="auto"/>
        <w:jc w:val="both"/>
        <w:rPr>
          <w:rFonts w:ascii="Verdana" w:hAnsi="Verdana"/>
        </w:rPr>
      </w:pPr>
      <w:r w:rsidRPr="00545C00">
        <w:rPr>
          <w:rFonts w:ascii="Verdana" w:hAnsi="Verdana"/>
        </w:rPr>
        <w:t xml:space="preserve">Twitter: </w:t>
      </w:r>
      <w:r w:rsidRPr="00545C00">
        <w:rPr>
          <w:rStyle w:val="Hipervnculo"/>
          <w:rFonts w:ascii="Verdana" w:hAnsi="Verdana"/>
          <w:color w:val="156082" w:themeColor="accent1"/>
        </w:rPr>
        <w:t>@colombiacompra</w:t>
      </w:r>
      <w:r w:rsidRPr="00545C00">
        <w:rPr>
          <w:rFonts w:ascii="Verdana" w:hAnsi="Verdana"/>
          <w:color w:val="156082" w:themeColor="accent1"/>
        </w:rPr>
        <w:t xml:space="preserve"> </w:t>
      </w:r>
    </w:p>
    <w:p w14:paraId="01096BF4" w14:textId="77777777" w:rsidR="00C9747A" w:rsidRPr="00545C00" w:rsidRDefault="00C9747A" w:rsidP="00C9747A">
      <w:pPr>
        <w:spacing w:after="0" w:line="276" w:lineRule="auto"/>
        <w:jc w:val="both"/>
        <w:rPr>
          <w:rFonts w:ascii="Verdana" w:hAnsi="Verdana"/>
        </w:rPr>
      </w:pPr>
      <w:r w:rsidRPr="00545C00">
        <w:rPr>
          <w:rFonts w:ascii="Verdana" w:hAnsi="Verdana"/>
        </w:rPr>
        <w:t xml:space="preserve">Facebook: </w:t>
      </w:r>
      <w:r w:rsidRPr="00545C00">
        <w:rPr>
          <w:rStyle w:val="Hipervnculo"/>
          <w:rFonts w:ascii="Verdana" w:hAnsi="Verdana"/>
          <w:color w:val="156082" w:themeColor="accent1"/>
        </w:rPr>
        <w:t>ColombiaCompraEficiente</w:t>
      </w:r>
    </w:p>
    <w:p w14:paraId="617F0E66" w14:textId="77777777" w:rsidR="00C9747A" w:rsidRPr="00545C00" w:rsidRDefault="00C9747A" w:rsidP="00C9747A">
      <w:pPr>
        <w:spacing w:after="0" w:line="276" w:lineRule="auto"/>
        <w:jc w:val="both"/>
        <w:rPr>
          <w:rFonts w:ascii="Verdana" w:hAnsi="Verdana"/>
        </w:rPr>
      </w:pPr>
      <w:r w:rsidRPr="00545C00">
        <w:rPr>
          <w:rFonts w:ascii="Verdana" w:hAnsi="Verdana"/>
        </w:rPr>
        <w:t xml:space="preserve">LinkedIn: </w:t>
      </w:r>
      <w:r w:rsidRPr="00545C00">
        <w:rPr>
          <w:rStyle w:val="Hipervnculo"/>
          <w:rFonts w:ascii="Verdana" w:hAnsi="Verdana"/>
          <w:color w:val="156082" w:themeColor="accent1"/>
        </w:rPr>
        <w:t>Agencia Nacional de Contratación Pública - Colombia Compra Eficiente</w:t>
      </w:r>
      <w:r w:rsidRPr="00545C00">
        <w:rPr>
          <w:rFonts w:ascii="Verdana" w:hAnsi="Verdana"/>
          <w:color w:val="156082" w:themeColor="accent1"/>
        </w:rPr>
        <w:t xml:space="preserve"> </w:t>
      </w:r>
      <w:r w:rsidRPr="00545C00">
        <w:rPr>
          <w:rFonts w:ascii="Verdana" w:hAnsi="Verdana"/>
        </w:rPr>
        <w:t xml:space="preserve">Instagram: </w:t>
      </w:r>
      <w:r w:rsidRPr="00545C00">
        <w:rPr>
          <w:rStyle w:val="Hipervnculo"/>
          <w:rFonts w:ascii="Verdana" w:hAnsi="Verdana"/>
          <w:color w:val="156082" w:themeColor="accent1"/>
        </w:rPr>
        <w:t>@colombiacompraeficiente_cce</w:t>
      </w:r>
    </w:p>
    <w:p w14:paraId="62583B54" w14:textId="77777777" w:rsidR="00C9747A" w:rsidRPr="00545C00" w:rsidRDefault="00C9747A" w:rsidP="00C9747A">
      <w:pPr>
        <w:widowControl w:val="0"/>
        <w:autoSpaceDE w:val="0"/>
        <w:autoSpaceDN w:val="0"/>
        <w:spacing w:after="0" w:line="276" w:lineRule="auto"/>
        <w:jc w:val="both"/>
        <w:rPr>
          <w:rFonts w:ascii="Verdana" w:hAnsi="Verdana"/>
        </w:rPr>
      </w:pPr>
    </w:p>
    <w:p w14:paraId="6DE8F229" w14:textId="77777777" w:rsidR="00C9747A" w:rsidRPr="00545C00" w:rsidRDefault="00C9747A" w:rsidP="00C9747A">
      <w:pPr>
        <w:widowControl w:val="0"/>
        <w:autoSpaceDE w:val="0"/>
        <w:autoSpaceDN w:val="0"/>
        <w:spacing w:after="0" w:line="276" w:lineRule="auto"/>
        <w:jc w:val="both"/>
        <w:rPr>
          <w:rFonts w:ascii="Verdana" w:hAnsi="Verdana" w:cs="Arial"/>
          <w:lang w:val="es-ES_tradnl"/>
        </w:rPr>
      </w:pPr>
      <w:r w:rsidRPr="00545C00">
        <w:rPr>
          <w:rFonts w:ascii="Verdana" w:hAnsi="Verdana" w:cs="Arial"/>
        </w:rPr>
        <w:t xml:space="preserve">Este concepto tiene el alcance previsto en el artículo 28 del Código de Procedimiento Administrativo y de lo Contencioso Administrativo </w:t>
      </w:r>
      <w:r w:rsidRPr="00545C00">
        <w:rPr>
          <w:rFonts w:ascii="Verdana" w:hAnsi="Verdana" w:cs="Arial"/>
          <w:lang w:val="es-ES_tradnl"/>
        </w:rPr>
        <w:t>y las expresiones aquí utilizadas con mayúscula inicial deben ser entendidas con el significado que les otorga el artículo 2.2.1.1.1.3.1. del Decreto 1082 de 2015.</w:t>
      </w:r>
    </w:p>
    <w:p w14:paraId="1C9EF746" w14:textId="77777777" w:rsidR="00C9747A" w:rsidRPr="00545C00" w:rsidRDefault="00C9747A" w:rsidP="00C9747A">
      <w:pPr>
        <w:widowControl w:val="0"/>
        <w:autoSpaceDE w:val="0"/>
        <w:autoSpaceDN w:val="0"/>
        <w:spacing w:after="0" w:line="276" w:lineRule="auto"/>
        <w:jc w:val="both"/>
        <w:rPr>
          <w:rFonts w:ascii="Verdana" w:hAnsi="Verdana" w:cs="Arial"/>
        </w:rPr>
      </w:pPr>
    </w:p>
    <w:p w14:paraId="1980ECF5" w14:textId="77777777" w:rsidR="00C9747A" w:rsidRPr="00545C00" w:rsidRDefault="00C9747A" w:rsidP="00C9747A">
      <w:pPr>
        <w:spacing w:after="0" w:line="240" w:lineRule="auto"/>
        <w:rPr>
          <w:rFonts w:ascii="Verdana" w:hAnsi="Verdana" w:cs="Arial"/>
          <w:lang w:eastAsia="es-CO"/>
        </w:rPr>
      </w:pPr>
      <w:r w:rsidRPr="00545C00">
        <w:rPr>
          <w:rFonts w:ascii="Verdana" w:eastAsia="Times New Roman" w:hAnsi="Verdana" w:cs="Arial"/>
          <w:lang w:eastAsia="es-CO"/>
        </w:rPr>
        <w:t>Atentamente,</w:t>
      </w:r>
      <w:r w:rsidRPr="00545C00">
        <w:rPr>
          <w:rFonts w:ascii="Verdana" w:hAnsi="Verdana" w:cs="Arial"/>
          <w:lang w:eastAsia="es-CO"/>
        </w:rPr>
        <w:t xml:space="preserve"> </w:t>
      </w:r>
    </w:p>
    <w:p w14:paraId="020F3326" w14:textId="2894F4AE" w:rsidR="00C9747A" w:rsidRPr="00D77485" w:rsidRDefault="00D77485" w:rsidP="00D77485">
      <w:pPr>
        <w:spacing w:line="276" w:lineRule="auto"/>
        <w:jc w:val="center"/>
        <w:rPr>
          <w:rFonts w:ascii="Verdana" w:hAnsi="Verdana" w:cs="Arial"/>
          <w:lang w:val="es-MX" w:eastAsia="es-CO"/>
        </w:rPr>
      </w:pPr>
      <w:r w:rsidRPr="00D77485">
        <w:rPr>
          <w:rFonts w:ascii="Verdana" w:hAnsi="Verdana" w:cs="Arial"/>
          <w:noProof/>
          <w:lang w:val="es-MX" w:eastAsia="es-CO"/>
        </w:rPr>
        <w:lastRenderedPageBreak/>
        <w:drawing>
          <wp:inline distT="0" distB="0" distL="0" distR="0" wp14:anchorId="732D869D" wp14:editId="17C77577">
            <wp:extent cx="3400024" cy="983557"/>
            <wp:effectExtent l="0" t="0" r="0" b="7620"/>
            <wp:docPr id="139686464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64644" name="Imagen 2"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8020" cy="991656"/>
                    </a:xfrm>
                    <a:prstGeom prst="rect">
                      <a:avLst/>
                    </a:prstGeom>
                    <a:noFill/>
                    <a:ln>
                      <a:noFill/>
                    </a:ln>
                  </pic:spPr>
                </pic:pic>
              </a:graphicData>
            </a:graphic>
          </wp:inline>
        </w:drawing>
      </w:r>
    </w:p>
    <w:tbl>
      <w:tblPr>
        <w:tblStyle w:val="Tablaconcuadrcula"/>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919"/>
      </w:tblGrid>
      <w:tr w:rsidR="00C9747A" w:rsidRPr="00545C00" w14:paraId="5FAEDBC5" w14:textId="77777777" w:rsidTr="0058295E">
        <w:trPr>
          <w:trHeight w:val="315"/>
        </w:trPr>
        <w:tc>
          <w:tcPr>
            <w:tcW w:w="893" w:type="dxa"/>
            <w:vAlign w:val="center"/>
            <w:hideMark/>
          </w:tcPr>
          <w:p w14:paraId="1C29D880" w14:textId="77777777" w:rsidR="00C9747A" w:rsidRPr="00545C00" w:rsidRDefault="00C9747A" w:rsidP="0058295E">
            <w:pPr>
              <w:spacing w:after="255"/>
              <w:contextualSpacing/>
              <w:rPr>
                <w:rFonts w:ascii="Verdana" w:hAnsi="Verdana" w:cs="Arial"/>
                <w:sz w:val="16"/>
                <w:szCs w:val="16"/>
                <w:lang w:val="es-ES" w:eastAsia="es-ES"/>
              </w:rPr>
            </w:pPr>
            <w:r w:rsidRPr="00545C00">
              <w:rPr>
                <w:rFonts w:ascii="Verdana" w:hAnsi="Verdana" w:cs="Arial"/>
                <w:sz w:val="16"/>
                <w:szCs w:val="16"/>
                <w:lang w:val="es-ES" w:eastAsia="es-ES"/>
              </w:rPr>
              <w:t>Elaboró:</w:t>
            </w:r>
          </w:p>
        </w:tc>
        <w:tc>
          <w:tcPr>
            <w:tcW w:w="4919" w:type="dxa"/>
            <w:tcBorders>
              <w:top w:val="nil"/>
              <w:left w:val="nil"/>
              <w:bottom w:val="dotted" w:sz="4" w:space="0" w:color="7F7F7F" w:themeColor="text1" w:themeTint="80"/>
              <w:right w:val="nil"/>
            </w:tcBorders>
            <w:vAlign w:val="center"/>
            <w:hideMark/>
          </w:tcPr>
          <w:p w14:paraId="0C6379FA" w14:textId="77777777" w:rsidR="00C9747A" w:rsidRPr="00545C00" w:rsidRDefault="00C9747A" w:rsidP="0058295E">
            <w:pPr>
              <w:spacing w:after="255"/>
              <w:contextualSpacing/>
              <w:rPr>
                <w:rFonts w:ascii="Verdana" w:eastAsia="Arial" w:hAnsi="Verdana" w:cs="Arial"/>
                <w:sz w:val="16"/>
                <w:szCs w:val="16"/>
              </w:rPr>
            </w:pPr>
            <w:r w:rsidRPr="00545C00">
              <w:rPr>
                <w:rStyle w:val="normaltextrun"/>
                <w:rFonts w:ascii="Verdana" w:hAnsi="Verdana"/>
                <w:sz w:val="16"/>
                <w:szCs w:val="16"/>
              </w:rPr>
              <w:t>Gloria Ximena Moreno Guio</w:t>
            </w:r>
          </w:p>
          <w:p w14:paraId="5F4B1D45" w14:textId="77777777" w:rsidR="00C9747A" w:rsidRPr="00545C00" w:rsidRDefault="00C9747A" w:rsidP="0058295E">
            <w:pPr>
              <w:spacing w:after="255"/>
              <w:contextualSpacing/>
              <w:rPr>
                <w:rFonts w:ascii="Verdana" w:eastAsia="Arial" w:hAnsi="Verdana" w:cs="Arial"/>
                <w:sz w:val="16"/>
                <w:szCs w:val="16"/>
              </w:rPr>
            </w:pPr>
            <w:r w:rsidRPr="00545C00">
              <w:rPr>
                <w:rStyle w:val="normaltextrun"/>
                <w:rFonts w:ascii="Verdana" w:eastAsia="Arial" w:hAnsi="Verdana" w:cs="Arial"/>
                <w:sz w:val="16"/>
                <w:szCs w:val="16"/>
              </w:rPr>
              <w:t>Contratista de la Subdirección de Gestión Contractual</w:t>
            </w:r>
          </w:p>
        </w:tc>
      </w:tr>
      <w:tr w:rsidR="00C9747A" w:rsidRPr="00545C00" w14:paraId="2FC2AFE4" w14:textId="77777777" w:rsidTr="0058295E">
        <w:trPr>
          <w:trHeight w:val="330"/>
        </w:trPr>
        <w:tc>
          <w:tcPr>
            <w:tcW w:w="893" w:type="dxa"/>
            <w:vAlign w:val="center"/>
            <w:hideMark/>
          </w:tcPr>
          <w:p w14:paraId="5232107F" w14:textId="77777777" w:rsidR="00C9747A" w:rsidRPr="00545C00" w:rsidRDefault="00C9747A" w:rsidP="0058295E">
            <w:pPr>
              <w:spacing w:after="255"/>
              <w:contextualSpacing/>
              <w:rPr>
                <w:rFonts w:ascii="Verdana" w:hAnsi="Verdana" w:cs="Arial"/>
                <w:sz w:val="16"/>
                <w:szCs w:val="16"/>
                <w:lang w:val="es-ES" w:eastAsia="es-ES"/>
              </w:rPr>
            </w:pPr>
            <w:r w:rsidRPr="00545C00">
              <w:rPr>
                <w:rFonts w:ascii="Verdana" w:hAnsi="Verdana" w:cs="Arial"/>
                <w:sz w:val="16"/>
                <w:szCs w:val="16"/>
                <w:lang w:val="es-ES" w:eastAsia="es-ES"/>
              </w:rPr>
              <w:t>Revisó:</w:t>
            </w:r>
          </w:p>
        </w:tc>
        <w:tc>
          <w:tcPr>
            <w:tcW w:w="4919" w:type="dxa"/>
            <w:tcBorders>
              <w:top w:val="dotted" w:sz="4" w:space="0" w:color="7F7F7F" w:themeColor="text1" w:themeTint="80"/>
              <w:left w:val="nil"/>
              <w:bottom w:val="dotted" w:sz="4" w:space="0" w:color="7F7F7F" w:themeColor="text1" w:themeTint="80"/>
              <w:right w:val="nil"/>
            </w:tcBorders>
            <w:vAlign w:val="center"/>
            <w:hideMark/>
          </w:tcPr>
          <w:p w14:paraId="65AFC29C" w14:textId="77777777" w:rsidR="00C9747A" w:rsidRPr="00545C00" w:rsidRDefault="00C9747A" w:rsidP="0058295E">
            <w:pPr>
              <w:pStyle w:val="paragraph"/>
              <w:spacing w:before="0" w:beforeAutospacing="0" w:after="0" w:afterAutospacing="0"/>
              <w:contextualSpacing/>
              <w:textAlignment w:val="baseline"/>
              <w:rPr>
                <w:rStyle w:val="normaltextrun"/>
                <w:rFonts w:ascii="Verdana" w:hAnsi="Verdana" w:cs="Arial"/>
                <w:sz w:val="16"/>
                <w:szCs w:val="16"/>
                <w:lang w:val="es-ES"/>
              </w:rPr>
            </w:pPr>
            <w:r w:rsidRPr="00545C00">
              <w:rPr>
                <w:rStyle w:val="normaltextrun"/>
                <w:rFonts w:ascii="Verdana" w:hAnsi="Verdana" w:cs="Arial"/>
                <w:sz w:val="16"/>
                <w:szCs w:val="16"/>
                <w:lang w:val="es-ES"/>
              </w:rPr>
              <w:t>Ximena Ríos López</w:t>
            </w:r>
          </w:p>
          <w:p w14:paraId="22C9B8C9" w14:textId="77777777" w:rsidR="00C9747A" w:rsidRPr="00545C00" w:rsidRDefault="00C9747A" w:rsidP="0058295E">
            <w:pPr>
              <w:pStyle w:val="paragraph"/>
              <w:spacing w:after="0"/>
              <w:contextualSpacing/>
              <w:textAlignment w:val="baseline"/>
              <w:rPr>
                <w:rFonts w:ascii="Verdana" w:hAnsi="Verdana" w:cs="Arial"/>
                <w:sz w:val="16"/>
                <w:szCs w:val="16"/>
                <w:lang w:val="es-ES"/>
              </w:rPr>
            </w:pPr>
            <w:r w:rsidRPr="00545C00">
              <w:rPr>
                <w:rStyle w:val="normaltextrun"/>
                <w:rFonts w:ascii="Verdana" w:hAnsi="Verdana" w:cs="Arial"/>
                <w:sz w:val="16"/>
                <w:szCs w:val="16"/>
                <w:lang w:val="es-ES"/>
              </w:rPr>
              <w:t>Gestor T1</w:t>
            </w:r>
            <w:r>
              <w:rPr>
                <w:rStyle w:val="normaltextrun"/>
                <w:rFonts w:ascii="Verdana" w:hAnsi="Verdana" w:cs="Arial"/>
                <w:sz w:val="16"/>
                <w:szCs w:val="16"/>
                <w:lang w:val="es-ES"/>
              </w:rPr>
              <w:t>-</w:t>
            </w:r>
            <w:r w:rsidRPr="00545C00">
              <w:rPr>
                <w:rStyle w:val="normaltextrun"/>
                <w:rFonts w:ascii="Verdana" w:hAnsi="Verdana" w:cs="Arial"/>
                <w:sz w:val="16"/>
                <w:szCs w:val="16"/>
                <w:lang w:val="es-ES"/>
              </w:rPr>
              <w:t>11 Subdirección de Gestión Contractual</w:t>
            </w:r>
          </w:p>
        </w:tc>
      </w:tr>
      <w:tr w:rsidR="00C9747A" w:rsidRPr="00545C00" w14:paraId="45772BF3" w14:textId="77777777" w:rsidTr="0058295E">
        <w:trPr>
          <w:trHeight w:val="300"/>
        </w:trPr>
        <w:tc>
          <w:tcPr>
            <w:tcW w:w="893" w:type="dxa"/>
            <w:vAlign w:val="center"/>
            <w:hideMark/>
          </w:tcPr>
          <w:p w14:paraId="5AE2927F" w14:textId="77777777" w:rsidR="00C9747A" w:rsidRPr="00545C00" w:rsidRDefault="00C9747A" w:rsidP="0058295E">
            <w:pPr>
              <w:spacing w:after="255"/>
              <w:contextualSpacing/>
              <w:rPr>
                <w:rFonts w:ascii="Verdana" w:hAnsi="Verdana" w:cs="Arial"/>
                <w:sz w:val="16"/>
                <w:szCs w:val="16"/>
                <w:lang w:val="es-ES" w:eastAsia="es-ES"/>
              </w:rPr>
            </w:pPr>
            <w:r w:rsidRPr="00545C00">
              <w:rPr>
                <w:rFonts w:ascii="Verdana" w:hAnsi="Verdana" w:cs="Arial"/>
                <w:sz w:val="16"/>
                <w:szCs w:val="16"/>
                <w:lang w:val="es-ES" w:eastAsia="es-ES"/>
              </w:rPr>
              <w:t>Aprobó:</w:t>
            </w:r>
          </w:p>
        </w:tc>
        <w:tc>
          <w:tcPr>
            <w:tcW w:w="4919" w:type="dxa"/>
            <w:tcBorders>
              <w:top w:val="dotted" w:sz="4" w:space="0" w:color="7F7F7F" w:themeColor="text1" w:themeTint="80"/>
              <w:left w:val="nil"/>
              <w:bottom w:val="dotted" w:sz="4" w:space="0" w:color="7F7F7F" w:themeColor="text1" w:themeTint="80"/>
              <w:right w:val="nil"/>
            </w:tcBorders>
            <w:vAlign w:val="center"/>
            <w:hideMark/>
          </w:tcPr>
          <w:p w14:paraId="411AF5B7" w14:textId="77777777" w:rsidR="00C9747A" w:rsidRPr="00545C00" w:rsidRDefault="00C9747A" w:rsidP="0058295E">
            <w:pPr>
              <w:spacing w:after="255"/>
              <w:contextualSpacing/>
              <w:rPr>
                <w:rFonts w:ascii="Verdana" w:eastAsia="Calibri" w:hAnsi="Verdana" w:cs="Arial"/>
                <w:sz w:val="16"/>
                <w:szCs w:val="16"/>
                <w:lang w:val="pt-BR" w:eastAsia="es-ES"/>
              </w:rPr>
            </w:pPr>
            <w:r w:rsidRPr="00545C00">
              <w:rPr>
                <w:rFonts w:ascii="Verdana" w:eastAsia="Calibri" w:hAnsi="Verdana" w:cs="Arial"/>
                <w:sz w:val="16"/>
                <w:szCs w:val="16"/>
                <w:lang w:val="pt-BR" w:eastAsia="es-ES"/>
              </w:rPr>
              <w:t>Carolina Quintero Gacharná</w:t>
            </w:r>
          </w:p>
          <w:p w14:paraId="425156AE" w14:textId="77777777" w:rsidR="00C9747A" w:rsidRPr="00545C00" w:rsidRDefault="00C9747A" w:rsidP="0058295E">
            <w:pPr>
              <w:spacing w:after="255"/>
              <w:contextualSpacing/>
              <w:rPr>
                <w:rFonts w:ascii="Verdana" w:eastAsia="Calibri" w:hAnsi="Verdana" w:cs="Arial"/>
                <w:sz w:val="16"/>
                <w:szCs w:val="16"/>
                <w:lang w:val="pt-BR" w:eastAsia="es-ES"/>
              </w:rPr>
            </w:pPr>
            <w:r w:rsidRPr="00545C00">
              <w:rPr>
                <w:rFonts w:ascii="Verdana" w:eastAsia="Calibri" w:hAnsi="Verdana" w:cs="Arial"/>
                <w:sz w:val="16"/>
                <w:szCs w:val="16"/>
                <w:lang w:eastAsia="es-ES"/>
              </w:rPr>
              <w:t>Subdirectora</w:t>
            </w:r>
            <w:r w:rsidRPr="00545C00">
              <w:rPr>
                <w:rFonts w:ascii="Verdana" w:eastAsia="Calibri" w:hAnsi="Verdana" w:cs="Arial"/>
                <w:sz w:val="16"/>
                <w:szCs w:val="16"/>
                <w:lang w:val="pt-BR" w:eastAsia="es-ES"/>
              </w:rPr>
              <w:t xml:space="preserve"> de Gestión Contratual ANCP – CCE</w:t>
            </w:r>
          </w:p>
        </w:tc>
      </w:tr>
    </w:tbl>
    <w:p w14:paraId="4AA3E949" w14:textId="77777777" w:rsidR="00312696" w:rsidRPr="00C9747A" w:rsidRDefault="00312696" w:rsidP="00D77485">
      <w:pPr>
        <w:widowControl w:val="0"/>
        <w:autoSpaceDE w:val="0"/>
        <w:autoSpaceDN w:val="0"/>
        <w:spacing w:after="0" w:line="276" w:lineRule="auto"/>
        <w:jc w:val="both"/>
      </w:pPr>
    </w:p>
    <w:sectPr w:rsidR="00312696" w:rsidRPr="00C9747A" w:rsidSect="00BD02CA">
      <w:headerReference w:type="default" r:id="rId11"/>
      <w:footerReference w:type="defaul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F89E" w14:textId="77777777" w:rsidR="001D7EA3" w:rsidRDefault="001D7EA3" w:rsidP="00BD02CA">
      <w:pPr>
        <w:spacing w:after="0" w:line="240" w:lineRule="auto"/>
      </w:pPr>
      <w:r>
        <w:separator/>
      </w:r>
    </w:p>
  </w:endnote>
  <w:endnote w:type="continuationSeparator" w:id="0">
    <w:p w14:paraId="4F5761B3" w14:textId="77777777" w:rsidR="001D7EA3" w:rsidRDefault="001D7EA3" w:rsidP="00BD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7E6D2" w14:textId="77777777" w:rsidR="006B369E" w:rsidRDefault="006B369E" w:rsidP="000849D5">
    <w:pPr>
      <w:spacing w:after="0"/>
      <w:rPr>
        <w:rFonts w:ascii="Verdana" w:hAnsi="Verdana"/>
        <w:b/>
        <w:bCs/>
        <w:sz w:val="20"/>
        <w:szCs w:val="20"/>
      </w:rPr>
    </w:pPr>
  </w:p>
  <w:p w14:paraId="475EDBC8" w14:textId="77777777" w:rsidR="006B369E" w:rsidRPr="00174B77" w:rsidRDefault="006B369E"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D226B2A" w14:textId="77777777" w:rsidR="006B369E" w:rsidRDefault="006B369E"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4C75E620" w14:textId="77777777" w:rsidR="006B369E" w:rsidRPr="00E41027" w:rsidRDefault="006B369E" w:rsidP="000849D5">
    <w:pPr>
      <w:spacing w:after="0"/>
      <w:jc w:val="both"/>
      <w:rPr>
        <w:rFonts w:ascii="Verdana" w:hAnsi="Verdana"/>
        <w:sz w:val="18"/>
        <w:szCs w:val="18"/>
      </w:rPr>
    </w:pPr>
    <w:r w:rsidRPr="00E41027">
      <w:rPr>
        <w:rFonts w:ascii="Verdana" w:hAnsi="Verdana"/>
        <w:sz w:val="18"/>
        <w:szCs w:val="18"/>
      </w:rPr>
      <w:t>Mesa de servicio: (+57) 601 7456788</w:t>
    </w:r>
  </w:p>
  <w:p w14:paraId="620A387C" w14:textId="77777777" w:rsidR="006B369E" w:rsidRDefault="006B369E"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D25C53D" w14:textId="77777777" w:rsidR="006B369E" w:rsidRPr="007D04B2" w:rsidRDefault="006B369E" w:rsidP="000849D5">
    <w:pPr>
      <w:pStyle w:val="Piedepgina"/>
    </w:pPr>
  </w:p>
  <w:p w14:paraId="6D0C86FB" w14:textId="77777777" w:rsidR="006B369E" w:rsidRPr="000849D5" w:rsidRDefault="006B369E"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1C00" w14:textId="77777777" w:rsidR="001D7EA3" w:rsidRDefault="001D7EA3" w:rsidP="00BD02CA">
      <w:pPr>
        <w:spacing w:after="0" w:line="240" w:lineRule="auto"/>
      </w:pPr>
      <w:r>
        <w:separator/>
      </w:r>
    </w:p>
  </w:footnote>
  <w:footnote w:type="continuationSeparator" w:id="0">
    <w:p w14:paraId="03A4C207" w14:textId="77777777" w:rsidR="001D7EA3" w:rsidRDefault="001D7EA3" w:rsidP="00BD02CA">
      <w:pPr>
        <w:spacing w:after="0" w:line="240" w:lineRule="auto"/>
      </w:pPr>
      <w:r>
        <w:continuationSeparator/>
      </w:r>
    </w:p>
  </w:footnote>
  <w:footnote w:id="1">
    <w:p w14:paraId="6CC30430" w14:textId="77777777" w:rsidR="00C91D87" w:rsidRPr="00DD3AAB" w:rsidRDefault="00C91D87" w:rsidP="00C91D87">
      <w:pPr>
        <w:pStyle w:val="Textonotapie"/>
        <w:ind w:firstLine="708"/>
        <w:jc w:val="both"/>
        <w:rPr>
          <w:rFonts w:ascii="Verdana" w:hAnsi="Verdana" w:cs="Arial"/>
          <w:sz w:val="12"/>
          <w:szCs w:val="12"/>
          <w:lang w:val="es-CO"/>
        </w:rPr>
      </w:pPr>
      <w:r w:rsidRPr="00DD3AAB">
        <w:rPr>
          <w:rStyle w:val="Refdenotaalpie"/>
          <w:rFonts w:ascii="Verdana" w:hAnsi="Verdana" w:cs="Arial"/>
          <w:sz w:val="12"/>
          <w:szCs w:val="12"/>
        </w:rPr>
        <w:footnoteRef/>
      </w:r>
      <w:r w:rsidRPr="00DD3AAB">
        <w:rPr>
          <w:rFonts w:ascii="Verdana" w:hAnsi="Verdana" w:cs="Arial"/>
          <w:sz w:val="12"/>
          <w:szCs w:val="12"/>
        </w:rPr>
        <w:t xml:space="preserve"> RODRÍGUEZ TAMAYO, Mauricio Fernando. Evaluación y rechazo de ofertas en la Ley 80 de 1993, Librería Jurídica Sánchez, 2016, Medellín, pp. 190. </w:t>
      </w:r>
    </w:p>
  </w:footnote>
  <w:footnote w:id="2">
    <w:p w14:paraId="10849E00" w14:textId="77777777" w:rsidR="00C91D87" w:rsidRPr="00DD3AAB" w:rsidRDefault="00C91D87" w:rsidP="00C91D87">
      <w:pPr>
        <w:pStyle w:val="Textonotapie"/>
        <w:ind w:firstLine="708"/>
        <w:rPr>
          <w:rFonts w:ascii="Verdana" w:hAnsi="Verdana" w:cs="Arial"/>
          <w:sz w:val="12"/>
          <w:szCs w:val="12"/>
        </w:rPr>
      </w:pPr>
    </w:p>
    <w:p w14:paraId="4AAE2384" w14:textId="77777777" w:rsidR="00C91D87" w:rsidRPr="00DD3AAB" w:rsidRDefault="00C91D87" w:rsidP="00C91D87">
      <w:pPr>
        <w:pStyle w:val="Textonotapie"/>
        <w:ind w:firstLine="708"/>
        <w:jc w:val="both"/>
        <w:rPr>
          <w:rFonts w:ascii="Verdana" w:hAnsi="Verdana" w:cs="Arial"/>
          <w:sz w:val="12"/>
          <w:szCs w:val="12"/>
        </w:rPr>
      </w:pPr>
      <w:r w:rsidRPr="00DD3AAB">
        <w:rPr>
          <w:rStyle w:val="Refdenotaalpie"/>
          <w:rFonts w:ascii="Verdana" w:hAnsi="Verdana" w:cs="Arial"/>
          <w:sz w:val="12"/>
          <w:szCs w:val="12"/>
        </w:rPr>
        <w:footnoteRef/>
      </w:r>
      <w:r w:rsidRPr="00DD3AAB">
        <w:rPr>
          <w:rFonts w:ascii="Verdana" w:hAnsi="Verdana" w:cs="Arial"/>
          <w:sz w:val="12"/>
          <w:szCs w:val="12"/>
        </w:rPr>
        <w:t xml:space="preserve"> Ley 80 de 1993 “</w:t>
      </w:r>
      <w:r w:rsidRPr="00DD3AAB">
        <w:rPr>
          <w:rStyle w:val="Textoennegrita"/>
          <w:rFonts w:ascii="Verdana" w:hAnsi="Verdana" w:cs="Arial"/>
          <w:color w:val="000000"/>
          <w:sz w:val="12"/>
          <w:szCs w:val="12"/>
        </w:rPr>
        <w:t>Articulo 24. Del principio de transparencia. </w:t>
      </w:r>
      <w:r w:rsidRPr="00DD3AAB">
        <w:rPr>
          <w:rFonts w:ascii="Verdana" w:hAnsi="Verdana" w:cs="Arial"/>
          <w:color w:val="000000"/>
          <w:sz w:val="12"/>
          <w:szCs w:val="12"/>
        </w:rPr>
        <w:t>En virtud de este principio:</w:t>
      </w:r>
      <w:r w:rsidRPr="00DD3AAB">
        <w:rPr>
          <w:rFonts w:ascii="Verdana" w:hAnsi="Verdana" w:cs="Arial"/>
          <w:sz w:val="12"/>
          <w:szCs w:val="12"/>
        </w:rPr>
        <w:t xml:space="preserve"> </w:t>
      </w:r>
    </w:p>
    <w:p w14:paraId="15955DAA" w14:textId="77777777" w:rsidR="00C91D87" w:rsidRPr="00DD3AAB" w:rsidRDefault="00C91D87" w:rsidP="00C91D87">
      <w:pPr>
        <w:pStyle w:val="Textonotapie"/>
        <w:ind w:firstLine="708"/>
        <w:jc w:val="both"/>
        <w:rPr>
          <w:rFonts w:ascii="Verdana" w:hAnsi="Verdana" w:cs="Arial"/>
          <w:sz w:val="12"/>
          <w:szCs w:val="12"/>
        </w:rPr>
      </w:pPr>
      <w:r w:rsidRPr="00DD3AAB">
        <w:rPr>
          <w:rFonts w:ascii="Verdana" w:hAnsi="Verdana" w:cs="Arial"/>
          <w:sz w:val="12"/>
          <w:szCs w:val="12"/>
        </w:rPr>
        <w:t>[…]</w:t>
      </w:r>
    </w:p>
    <w:p w14:paraId="1E370D04" w14:textId="77777777" w:rsidR="00C91D87" w:rsidRPr="00DD3AAB" w:rsidRDefault="00C91D87" w:rsidP="00C91D87">
      <w:pPr>
        <w:ind w:firstLine="708"/>
        <w:jc w:val="both"/>
        <w:rPr>
          <w:rFonts w:ascii="Verdana" w:eastAsia="Times New Roman" w:hAnsi="Verdana" w:cs="Arial"/>
          <w:color w:val="000000"/>
          <w:sz w:val="12"/>
          <w:szCs w:val="12"/>
          <w:lang w:eastAsia="es-CO"/>
        </w:rPr>
      </w:pPr>
      <w:r w:rsidRPr="00DD3AAB">
        <w:rPr>
          <w:rFonts w:ascii="Verdana" w:eastAsia="Times New Roman" w:hAnsi="Verdana" w:cs="Arial"/>
          <w:color w:val="000000"/>
          <w:sz w:val="12"/>
          <w:szCs w:val="12"/>
          <w:lang w:eastAsia="es-CO"/>
        </w:rPr>
        <w:t>“5o. En los pliegos de condiciones:</w:t>
      </w:r>
    </w:p>
    <w:p w14:paraId="40FB0627" w14:textId="77777777" w:rsidR="00C91D87" w:rsidRPr="00DD3AAB" w:rsidRDefault="00C91D87" w:rsidP="00C91D87">
      <w:pPr>
        <w:jc w:val="both"/>
        <w:rPr>
          <w:rFonts w:ascii="Verdana" w:eastAsia="Times New Roman" w:hAnsi="Verdana" w:cs="Arial"/>
          <w:color w:val="000000"/>
          <w:sz w:val="12"/>
          <w:szCs w:val="12"/>
          <w:lang w:eastAsia="es-CO"/>
        </w:rPr>
      </w:pPr>
      <w:r w:rsidRPr="00DD3AAB">
        <w:rPr>
          <w:rFonts w:ascii="Verdana" w:eastAsia="Times New Roman" w:hAnsi="Verdana" w:cs="Arial"/>
          <w:color w:val="000000"/>
          <w:sz w:val="12"/>
          <w:szCs w:val="12"/>
          <w:lang w:eastAsia="es-CO"/>
        </w:rPr>
        <w:t>  </w:t>
      </w:r>
      <w:r w:rsidRPr="00DD3AAB">
        <w:rPr>
          <w:rFonts w:ascii="Verdana" w:eastAsia="Times New Roman" w:hAnsi="Verdana" w:cs="Arial"/>
          <w:color w:val="000000"/>
          <w:sz w:val="12"/>
          <w:szCs w:val="12"/>
          <w:lang w:eastAsia="es-CO"/>
        </w:rPr>
        <w:tab/>
        <w:t>[…]</w:t>
      </w:r>
    </w:p>
    <w:p w14:paraId="7927ECBE" w14:textId="77777777" w:rsidR="00C91D87" w:rsidRPr="00DD3AAB" w:rsidRDefault="00C91D87" w:rsidP="00C91D87">
      <w:pPr>
        <w:ind w:firstLine="708"/>
        <w:jc w:val="both"/>
        <w:rPr>
          <w:rFonts w:ascii="Verdana" w:hAnsi="Verdana" w:cs="Arial"/>
          <w:sz w:val="12"/>
          <w:szCs w:val="12"/>
        </w:rPr>
      </w:pPr>
      <w:r w:rsidRPr="00DD3AAB">
        <w:rPr>
          <w:rFonts w:ascii="Verdana" w:eastAsia="Times New Roman" w:hAnsi="Verdana" w:cs="Arial"/>
          <w:color w:val="000000"/>
          <w:sz w:val="12"/>
          <w:szCs w:val="12"/>
          <w:lang w:eastAsia="es-CO"/>
        </w:rPr>
        <w:t>“b) Se definirán reglas objetivas, justas, claras y completas que permitan la confección de ofrecimientos de la misma índole, aseguren una escogencia objetiva y eviten la declaratoria de desierta de la licitación […]”.</w:t>
      </w:r>
    </w:p>
  </w:footnote>
  <w:footnote w:id="3">
    <w:p w14:paraId="0BB2286B" w14:textId="77777777" w:rsidR="00C91D87" w:rsidRPr="00DD3AAB" w:rsidRDefault="00C91D87" w:rsidP="00C91D87">
      <w:pPr>
        <w:pStyle w:val="Textonotapie"/>
        <w:rPr>
          <w:rFonts w:ascii="Verdana" w:hAnsi="Verdana" w:cs="Arial"/>
          <w:sz w:val="12"/>
          <w:szCs w:val="12"/>
        </w:rPr>
      </w:pPr>
    </w:p>
    <w:p w14:paraId="4CC539DB" w14:textId="77777777" w:rsidR="00C91D87" w:rsidRPr="00DD3AAB" w:rsidRDefault="00C91D87" w:rsidP="00C91D87">
      <w:pPr>
        <w:pStyle w:val="Textonotapie"/>
        <w:ind w:firstLine="708"/>
        <w:jc w:val="both"/>
        <w:rPr>
          <w:rFonts w:ascii="Verdana" w:hAnsi="Verdana" w:cs="Arial"/>
          <w:sz w:val="12"/>
          <w:szCs w:val="12"/>
        </w:rPr>
      </w:pPr>
      <w:r w:rsidRPr="00DD3AAB">
        <w:rPr>
          <w:rStyle w:val="Refdenotaalpie"/>
          <w:rFonts w:ascii="Verdana" w:hAnsi="Verdana" w:cs="Arial"/>
          <w:sz w:val="12"/>
          <w:szCs w:val="12"/>
        </w:rPr>
        <w:footnoteRef/>
      </w:r>
      <w:r w:rsidRPr="00DD3AAB">
        <w:rPr>
          <w:rFonts w:ascii="Verdana" w:hAnsi="Verdana" w:cs="Arial"/>
          <w:sz w:val="12"/>
          <w:szCs w:val="12"/>
        </w:rPr>
        <w:t xml:space="preserve"> Decreto 1082 de 2015 </w:t>
      </w:r>
      <w:r>
        <w:rPr>
          <w:rFonts w:ascii="Verdana" w:hAnsi="Verdana" w:cs="Arial"/>
          <w:sz w:val="12"/>
          <w:szCs w:val="12"/>
        </w:rPr>
        <w:t>“</w:t>
      </w:r>
      <w:r w:rsidRPr="00DD3AAB">
        <w:rPr>
          <w:rFonts w:ascii="Verdana" w:hAnsi="Verdana" w:cs="Arial"/>
          <w:sz w:val="12"/>
          <w:szCs w:val="12"/>
        </w:rPr>
        <w:t>Artículo 2.2.1.1.2.1.3. Pliegos de condiciones. Los pliegos de condiciones deben contener por lo menos la siguiente información</w:t>
      </w:r>
    </w:p>
    <w:p w14:paraId="45496E1C" w14:textId="77777777" w:rsidR="00C91D87" w:rsidRPr="00DD3AAB" w:rsidRDefault="00C91D87" w:rsidP="00C91D87">
      <w:pPr>
        <w:pStyle w:val="Textonotapie"/>
        <w:ind w:firstLine="708"/>
        <w:jc w:val="both"/>
        <w:rPr>
          <w:rFonts w:ascii="Verdana" w:hAnsi="Verdana" w:cs="Arial"/>
          <w:sz w:val="12"/>
          <w:szCs w:val="12"/>
        </w:rPr>
      </w:pPr>
      <w:r w:rsidRPr="00DD3AAB">
        <w:rPr>
          <w:rFonts w:ascii="Verdana" w:hAnsi="Verdana" w:cs="Arial"/>
          <w:sz w:val="12"/>
          <w:szCs w:val="12"/>
        </w:rPr>
        <w:t>[…]</w:t>
      </w:r>
    </w:p>
    <w:p w14:paraId="2D120310" w14:textId="77777777" w:rsidR="00C91D87" w:rsidRPr="00DD3AAB" w:rsidRDefault="00C91D87" w:rsidP="00C91D87">
      <w:pPr>
        <w:pStyle w:val="Textonotapie"/>
        <w:ind w:firstLine="708"/>
        <w:jc w:val="both"/>
        <w:rPr>
          <w:rFonts w:ascii="Verdana" w:hAnsi="Verdana" w:cs="Arial"/>
          <w:sz w:val="12"/>
          <w:szCs w:val="12"/>
          <w:lang w:val="es-CO"/>
        </w:rPr>
      </w:pPr>
      <w:r>
        <w:rPr>
          <w:rFonts w:ascii="Verdana" w:hAnsi="Verdana" w:cs="Arial"/>
          <w:sz w:val="12"/>
          <w:szCs w:val="12"/>
        </w:rPr>
        <w:t>“</w:t>
      </w:r>
      <w:r w:rsidRPr="00DD3AAB">
        <w:rPr>
          <w:rFonts w:ascii="Verdana" w:hAnsi="Verdana" w:cs="Arial"/>
          <w:sz w:val="12"/>
          <w:szCs w:val="12"/>
        </w:rPr>
        <w:t>6. Las causas que dan lugar a rechazar una oferta […]”</w:t>
      </w:r>
    </w:p>
  </w:footnote>
  <w:footnote w:id="4">
    <w:p w14:paraId="6618854B" w14:textId="77777777" w:rsidR="00731523" w:rsidRDefault="00731523" w:rsidP="00731523">
      <w:pPr>
        <w:pStyle w:val="Textoindependiente"/>
        <w:spacing w:before="1"/>
        <w:ind w:right="108" w:firstLine="709"/>
        <w:jc w:val="both"/>
        <w:rPr>
          <w:rFonts w:ascii="Verdana" w:hAnsi="Verdana"/>
          <w:sz w:val="12"/>
          <w:szCs w:val="12"/>
        </w:rPr>
      </w:pPr>
    </w:p>
    <w:p w14:paraId="55BE7738" w14:textId="77777777" w:rsidR="00731523" w:rsidRPr="00DD3AAB" w:rsidRDefault="00731523" w:rsidP="00731523">
      <w:pPr>
        <w:pStyle w:val="Textoindependiente"/>
        <w:spacing w:before="1"/>
        <w:ind w:right="108" w:firstLine="709"/>
        <w:jc w:val="both"/>
        <w:rPr>
          <w:rFonts w:ascii="Verdana" w:hAnsi="Verdana"/>
          <w:sz w:val="12"/>
          <w:szCs w:val="12"/>
        </w:rPr>
      </w:pPr>
      <w:r w:rsidRPr="00DD3AAB">
        <w:rPr>
          <w:rFonts w:ascii="Verdana" w:hAnsi="Verdana"/>
          <w:sz w:val="12"/>
          <w:szCs w:val="12"/>
          <w:vertAlign w:val="superscript"/>
        </w:rPr>
        <w:footnoteRef/>
      </w:r>
      <w:r w:rsidRPr="00DD3AAB">
        <w:rPr>
          <w:rFonts w:ascii="Verdana" w:hAnsi="Verdana"/>
          <w:sz w:val="12"/>
          <w:szCs w:val="12"/>
        </w:rPr>
        <w:t xml:space="preserve"> Consejo de Estado, Sección Tercera, Subsección B, 31 de agosto de 2011, Exp. No.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06F08B8B" w14:textId="77777777" w:rsidR="00731523" w:rsidRPr="00DD3AAB" w:rsidRDefault="00731523" w:rsidP="00731523">
      <w:pPr>
        <w:pStyle w:val="Textoindependiente"/>
        <w:spacing w:before="1"/>
        <w:ind w:right="108" w:firstLine="709"/>
        <w:jc w:val="both"/>
        <w:rPr>
          <w:rFonts w:ascii="Verdana" w:hAnsi="Verdana"/>
          <w:sz w:val="12"/>
          <w:szCs w:val="12"/>
        </w:rPr>
      </w:pPr>
    </w:p>
  </w:footnote>
  <w:footnote w:id="5">
    <w:p w14:paraId="24ED7EEB" w14:textId="77777777" w:rsidR="00C9747A" w:rsidRPr="00DD3AAB" w:rsidRDefault="00C9747A" w:rsidP="00C9747A">
      <w:pPr>
        <w:pStyle w:val="Textonotapie"/>
        <w:ind w:firstLine="709"/>
        <w:jc w:val="both"/>
        <w:rPr>
          <w:rFonts w:ascii="Verdana" w:hAnsi="Verdana" w:cs="Arial"/>
          <w:color w:val="000000" w:themeColor="text1"/>
          <w:sz w:val="12"/>
          <w:szCs w:val="12"/>
        </w:rPr>
      </w:pPr>
      <w:r w:rsidRPr="00DD3AAB">
        <w:rPr>
          <w:rStyle w:val="Refdenotaalpie"/>
          <w:rFonts w:ascii="Verdana" w:hAnsi="Verdana" w:cs="Arial"/>
          <w:color w:val="000000" w:themeColor="text1"/>
          <w:sz w:val="12"/>
          <w:szCs w:val="12"/>
        </w:rPr>
        <w:footnoteRef/>
      </w:r>
      <w:r w:rsidRPr="00DD3AAB">
        <w:rPr>
          <w:rFonts w:ascii="Verdana" w:hAnsi="Verdana" w:cs="Arial"/>
          <w:color w:val="000000" w:themeColor="text1"/>
          <w:sz w:val="12"/>
          <w:szCs w:val="12"/>
        </w:rPr>
        <w:t xml:space="preserve"> CONSEJO DE ESTADO. Sección Tercera, Sentencia del 24 de julio de 2013. Exp. 25.642. C.P. Enrique Gil Botero: “Concreta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p>
    <w:p w14:paraId="462ACE5E" w14:textId="77777777" w:rsidR="00C9747A" w:rsidRPr="00DD3AAB" w:rsidRDefault="00C9747A" w:rsidP="00C9747A">
      <w:pPr>
        <w:pStyle w:val="Textonotapie"/>
        <w:ind w:firstLine="709"/>
        <w:jc w:val="both"/>
        <w:rPr>
          <w:rFonts w:ascii="Verdana" w:hAnsi="Verdana" w:cs="Arial"/>
          <w:color w:val="000000" w:themeColor="text1"/>
          <w:sz w:val="12"/>
          <w:szCs w:val="12"/>
          <w:lang w:val="es-ES"/>
        </w:rPr>
      </w:pPr>
    </w:p>
  </w:footnote>
  <w:footnote w:id="6">
    <w:p w14:paraId="733BD38C" w14:textId="77777777" w:rsidR="00C9747A" w:rsidRPr="00DD3AAB" w:rsidRDefault="00C9747A" w:rsidP="00C9747A">
      <w:pPr>
        <w:pStyle w:val="Textonotapie"/>
        <w:ind w:firstLine="709"/>
        <w:jc w:val="both"/>
        <w:rPr>
          <w:rFonts w:ascii="Verdana" w:hAnsi="Verdana" w:cs="Arial"/>
          <w:color w:val="000000" w:themeColor="text1"/>
          <w:sz w:val="12"/>
          <w:szCs w:val="12"/>
        </w:rPr>
      </w:pPr>
      <w:r w:rsidRPr="00DD3AAB">
        <w:rPr>
          <w:rStyle w:val="Refdenotaalpie"/>
          <w:rFonts w:ascii="Verdana" w:hAnsi="Verdana" w:cs="Arial"/>
          <w:color w:val="000000" w:themeColor="text1"/>
          <w:sz w:val="12"/>
          <w:szCs w:val="12"/>
        </w:rPr>
        <w:footnoteRef/>
      </w:r>
      <w:r w:rsidRPr="00DD3AAB">
        <w:rPr>
          <w:rFonts w:ascii="Verdana" w:hAnsi="Verdana" w:cs="Arial"/>
          <w:color w:val="000000" w:themeColor="text1"/>
          <w:sz w:val="12"/>
          <w:szCs w:val="12"/>
        </w:rPr>
        <w:t xml:space="preserve"> Decreto 1082 de 2015: “Artículo 2.2.1.1.2.1.3. Pliegos de condiciones. Los pliegos de condiciones deben contener por lo menos la siguiente información:</w:t>
      </w:r>
    </w:p>
    <w:p w14:paraId="592F952C" w14:textId="77777777" w:rsidR="00C9747A" w:rsidRPr="00DD3AAB" w:rsidRDefault="00C9747A" w:rsidP="00C9747A">
      <w:pPr>
        <w:pStyle w:val="Textonotapie"/>
        <w:ind w:firstLine="709"/>
        <w:jc w:val="both"/>
        <w:rPr>
          <w:rFonts w:ascii="Verdana" w:hAnsi="Verdana" w:cs="Arial"/>
          <w:color w:val="000000" w:themeColor="text1"/>
          <w:sz w:val="12"/>
          <w:szCs w:val="12"/>
        </w:rPr>
      </w:pPr>
      <w:r w:rsidRPr="00DD3AAB">
        <w:rPr>
          <w:rFonts w:ascii="Verdana" w:hAnsi="Verdana" w:cs="Arial"/>
          <w:color w:val="000000" w:themeColor="text1"/>
          <w:sz w:val="12"/>
          <w:szCs w:val="12"/>
        </w:rPr>
        <w:t xml:space="preserve">1. La descripción técnica, detallada y completa del bien o servicio objeto del contrato, identificado con el cuarto nivel del Clasificador de Bienes y Servicios, de ser posible o de lo contrario con el tercer nivel </w:t>
      </w:r>
      <w:proofErr w:type="gramStart"/>
      <w:r w:rsidRPr="00DD3AAB">
        <w:rPr>
          <w:rFonts w:ascii="Verdana" w:hAnsi="Verdana" w:cs="Arial"/>
          <w:color w:val="000000" w:themeColor="text1"/>
          <w:sz w:val="12"/>
          <w:szCs w:val="12"/>
        </w:rPr>
        <w:t>del mismo</w:t>
      </w:r>
      <w:proofErr w:type="gramEnd"/>
      <w:r w:rsidRPr="00DD3AAB">
        <w:rPr>
          <w:rFonts w:ascii="Verdana" w:hAnsi="Verdana" w:cs="Arial"/>
          <w:color w:val="000000" w:themeColor="text1"/>
          <w:sz w:val="12"/>
          <w:szCs w:val="12"/>
        </w:rPr>
        <w:t>.</w:t>
      </w:r>
    </w:p>
    <w:p w14:paraId="117AA7CE" w14:textId="77777777" w:rsidR="00C9747A" w:rsidRPr="00DD3AAB" w:rsidRDefault="00C9747A" w:rsidP="00C9747A">
      <w:pPr>
        <w:pStyle w:val="Textonotapie"/>
        <w:ind w:firstLine="709"/>
        <w:jc w:val="both"/>
        <w:rPr>
          <w:rFonts w:ascii="Verdana" w:hAnsi="Verdana" w:cs="Arial"/>
          <w:color w:val="000000" w:themeColor="text1"/>
          <w:sz w:val="12"/>
          <w:szCs w:val="12"/>
        </w:rPr>
      </w:pPr>
      <w:r w:rsidRPr="00DD3AAB">
        <w:rPr>
          <w:rFonts w:ascii="Verdana" w:hAnsi="Verdana" w:cs="Arial"/>
          <w:color w:val="000000" w:themeColor="text1"/>
          <w:sz w:val="12"/>
          <w:szCs w:val="12"/>
        </w:rPr>
        <w:t>2. La modalidad del proceso de selección y su justificación.</w:t>
      </w:r>
    </w:p>
    <w:p w14:paraId="2984561D" w14:textId="77777777" w:rsidR="00C9747A" w:rsidRPr="00DD3AAB" w:rsidRDefault="00C9747A" w:rsidP="00C9747A">
      <w:pPr>
        <w:pStyle w:val="Textonotapie"/>
        <w:ind w:firstLine="709"/>
        <w:jc w:val="both"/>
        <w:rPr>
          <w:rFonts w:ascii="Verdana" w:hAnsi="Verdana" w:cs="Arial"/>
          <w:color w:val="000000" w:themeColor="text1"/>
          <w:sz w:val="12"/>
          <w:szCs w:val="12"/>
        </w:rPr>
      </w:pPr>
      <w:r w:rsidRPr="00DD3AAB">
        <w:rPr>
          <w:rFonts w:ascii="Verdana" w:hAnsi="Verdana" w:cs="Arial"/>
          <w:color w:val="000000" w:themeColor="text1"/>
          <w:sz w:val="12"/>
          <w:szCs w:val="12"/>
        </w:rPr>
        <w:t>3. Los criterios de selección, incluyendo los factores de desempate y los incentivos cuando a ello haya lugar.</w:t>
      </w:r>
    </w:p>
    <w:p w14:paraId="54E86CED"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4. Las condiciones de costo y/o calidad que la Entidad Estatal debe tener en cuenta para la selección objetiva, de acuerdo con la modalidad de selección del contratista.</w:t>
      </w:r>
    </w:p>
    <w:p w14:paraId="73A7AA7E"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5.    Las reglas aplicables a la presentación de las ofertas, su evaluación y a la adjudicación del contrato.</w:t>
      </w:r>
    </w:p>
    <w:p w14:paraId="0244A148"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6. Las causas que dan lugar a rechazar una oferta.</w:t>
      </w:r>
    </w:p>
    <w:p w14:paraId="1DEC043A"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7. El valor del contrato, el plazo, el cronograma de pagos y la determinación de si debe haber lugar a la entrega de anticipo, y si hubiere, indicar su valor, el cual debe tener en cuenta los rendimientos que este pueda generar.</w:t>
      </w:r>
    </w:p>
    <w:p w14:paraId="026AD9FA"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8. Los Riesgos asociados al contrato, la forma de mitigarlos y la asignación del Riesgo entre las partes contratantes.</w:t>
      </w:r>
    </w:p>
    <w:p w14:paraId="5838F913"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9. Las garantías exigidas en el Proceso de Contratación y sus condiciones.</w:t>
      </w:r>
    </w:p>
    <w:p w14:paraId="1CB84305"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10. La mención de si la Entidad Estatal y el contrato objeto de los pliegos de condiciones están cubiertos por un Acuerdo Comercial.</w:t>
      </w:r>
    </w:p>
    <w:p w14:paraId="63EFDD9F"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11. Los términos, condiciones y minuta del contrato.</w:t>
      </w:r>
    </w:p>
    <w:p w14:paraId="04160F8E"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12. Los términos de la supervisión y/o de la interventoría del contrato.</w:t>
      </w:r>
    </w:p>
    <w:p w14:paraId="5D5F788D"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13. El plazo dentro del cual la Entidad Estatal puede expedir Adendas.</w:t>
      </w:r>
    </w:p>
    <w:p w14:paraId="32A09B61" w14:textId="77777777" w:rsidR="00C9747A" w:rsidRPr="00DD3AAB" w:rsidRDefault="00C9747A" w:rsidP="00C9747A">
      <w:pPr>
        <w:pStyle w:val="Textonotapie"/>
        <w:ind w:firstLine="708"/>
        <w:jc w:val="both"/>
        <w:rPr>
          <w:rFonts w:ascii="Verdana" w:hAnsi="Verdana" w:cs="Arial"/>
          <w:color w:val="000000" w:themeColor="text1"/>
          <w:sz w:val="12"/>
          <w:szCs w:val="12"/>
        </w:rPr>
      </w:pPr>
      <w:r w:rsidRPr="00DD3AAB">
        <w:rPr>
          <w:rFonts w:ascii="Verdana" w:hAnsi="Verdana" w:cs="Arial"/>
          <w:color w:val="000000" w:themeColor="text1"/>
          <w:sz w:val="12"/>
          <w:szCs w:val="12"/>
        </w:rPr>
        <w:t>14. El Cronograma”.</w:t>
      </w:r>
    </w:p>
  </w:footnote>
  <w:footnote w:id="7">
    <w:p w14:paraId="5675B021" w14:textId="77777777" w:rsidR="00C9747A" w:rsidRPr="00305AB1" w:rsidRDefault="00C9747A" w:rsidP="00C9747A">
      <w:pPr>
        <w:pStyle w:val="Textonotapie"/>
        <w:ind w:firstLine="709"/>
        <w:jc w:val="both"/>
        <w:rPr>
          <w:rFonts w:ascii="Verdana" w:hAnsi="Verdana" w:cs="Arial"/>
          <w:color w:val="000000" w:themeColor="text1"/>
          <w:sz w:val="16"/>
          <w:szCs w:val="16"/>
        </w:rPr>
      </w:pPr>
    </w:p>
    <w:p w14:paraId="7BF2BE4C" w14:textId="77777777" w:rsidR="00C9747A" w:rsidRPr="00AF1063" w:rsidRDefault="00C9747A" w:rsidP="00C9747A">
      <w:pPr>
        <w:pStyle w:val="Textonotapie"/>
        <w:ind w:firstLine="709"/>
        <w:jc w:val="both"/>
        <w:rPr>
          <w:rFonts w:ascii="Verdana" w:hAnsi="Verdana" w:cs="Arial"/>
          <w:color w:val="000000" w:themeColor="text1"/>
          <w:sz w:val="12"/>
          <w:szCs w:val="12"/>
        </w:rPr>
      </w:pPr>
      <w:r w:rsidRPr="00AF1063">
        <w:rPr>
          <w:rStyle w:val="Refdenotaalpie"/>
          <w:rFonts w:ascii="Verdana" w:hAnsi="Verdana" w:cs="Arial"/>
          <w:color w:val="000000" w:themeColor="text1"/>
          <w:sz w:val="12"/>
          <w:szCs w:val="12"/>
        </w:rPr>
        <w:footnoteRef/>
      </w:r>
      <w:r w:rsidRPr="00AF1063">
        <w:rPr>
          <w:rFonts w:ascii="Verdana" w:hAnsi="Verdana" w:cs="Arial"/>
          <w:color w:val="000000" w:themeColor="text1"/>
          <w:sz w:val="12"/>
          <w:szCs w:val="12"/>
        </w:rPr>
        <w:t xml:space="preserve"> CONSEJO DE ESTADO. Sección Tercera, Sentencia del 24 de julio de 2013. Exp. 25.642. C.P. Enrique Gil Botero: “Concreta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p>
    <w:p w14:paraId="2A7B616C" w14:textId="77777777" w:rsidR="00C9747A" w:rsidRPr="00AF1063" w:rsidRDefault="00C9747A" w:rsidP="00C9747A">
      <w:pPr>
        <w:pStyle w:val="Textonotapie"/>
        <w:ind w:firstLine="709"/>
        <w:jc w:val="both"/>
        <w:rPr>
          <w:rFonts w:ascii="Verdana" w:hAnsi="Verdana" w:cs="Arial"/>
          <w:color w:val="000000" w:themeColor="text1"/>
          <w:sz w:val="12"/>
          <w:szCs w:val="12"/>
          <w:lang w:val="es-ES"/>
        </w:rPr>
      </w:pPr>
    </w:p>
  </w:footnote>
  <w:footnote w:id="8">
    <w:p w14:paraId="5A5530CB" w14:textId="77777777" w:rsidR="00C9747A" w:rsidRPr="00AF1063" w:rsidRDefault="00C9747A" w:rsidP="00C9747A">
      <w:pPr>
        <w:pStyle w:val="Textonotapie"/>
        <w:ind w:firstLine="709"/>
        <w:jc w:val="both"/>
        <w:rPr>
          <w:rFonts w:ascii="Verdana" w:hAnsi="Verdana" w:cs="Arial"/>
          <w:color w:val="000000" w:themeColor="text1"/>
          <w:sz w:val="12"/>
          <w:szCs w:val="12"/>
        </w:rPr>
      </w:pPr>
      <w:r w:rsidRPr="00AF1063">
        <w:rPr>
          <w:rStyle w:val="Refdenotaalpie"/>
          <w:rFonts w:ascii="Verdana" w:hAnsi="Verdana" w:cs="Arial"/>
          <w:color w:val="000000" w:themeColor="text1"/>
          <w:sz w:val="12"/>
          <w:szCs w:val="12"/>
        </w:rPr>
        <w:footnoteRef/>
      </w:r>
      <w:r w:rsidRPr="00AF1063">
        <w:rPr>
          <w:rFonts w:ascii="Verdana" w:hAnsi="Verdana" w:cs="Arial"/>
          <w:color w:val="000000" w:themeColor="text1"/>
          <w:sz w:val="12"/>
          <w:szCs w:val="12"/>
        </w:rPr>
        <w:t xml:space="preserve"> Decreto 1082 de 2015: “Artículo 2.2.1.1.2.1.3. Pliegos de condiciones. Los pliegos de condiciones deben contener por lo menos la siguiente información:</w:t>
      </w:r>
    </w:p>
    <w:p w14:paraId="113DBD4E" w14:textId="77777777" w:rsidR="00C9747A" w:rsidRPr="00AF1063" w:rsidRDefault="00C9747A" w:rsidP="00C9747A">
      <w:pPr>
        <w:pStyle w:val="Textonotapie"/>
        <w:ind w:firstLine="709"/>
        <w:jc w:val="both"/>
        <w:rPr>
          <w:rFonts w:ascii="Verdana" w:hAnsi="Verdana" w:cs="Arial"/>
          <w:color w:val="000000" w:themeColor="text1"/>
          <w:sz w:val="12"/>
          <w:szCs w:val="12"/>
        </w:rPr>
      </w:pPr>
      <w:r w:rsidRPr="00AF1063">
        <w:rPr>
          <w:rFonts w:ascii="Verdana" w:hAnsi="Verdana" w:cs="Arial"/>
          <w:color w:val="000000" w:themeColor="text1"/>
          <w:sz w:val="12"/>
          <w:szCs w:val="12"/>
        </w:rPr>
        <w:t xml:space="preserve">1. La descripción técnica, detallada y completa del bien o servicio objeto del contrato, identificado con el cuarto nivel del Clasificador de Bienes y Servicios, de ser posible o de lo contrario con el tercer nivel </w:t>
      </w:r>
      <w:proofErr w:type="gramStart"/>
      <w:r w:rsidRPr="00AF1063">
        <w:rPr>
          <w:rFonts w:ascii="Verdana" w:hAnsi="Verdana" w:cs="Arial"/>
          <w:color w:val="000000" w:themeColor="text1"/>
          <w:sz w:val="12"/>
          <w:szCs w:val="12"/>
        </w:rPr>
        <w:t>del mismo</w:t>
      </w:r>
      <w:proofErr w:type="gramEnd"/>
      <w:r w:rsidRPr="00AF1063">
        <w:rPr>
          <w:rFonts w:ascii="Verdana" w:hAnsi="Verdana" w:cs="Arial"/>
          <w:color w:val="000000" w:themeColor="text1"/>
          <w:sz w:val="12"/>
          <w:szCs w:val="12"/>
        </w:rPr>
        <w:t>.</w:t>
      </w:r>
    </w:p>
    <w:p w14:paraId="08941FD9" w14:textId="77777777" w:rsidR="00C9747A" w:rsidRPr="00AF1063" w:rsidRDefault="00C9747A" w:rsidP="00C9747A">
      <w:pPr>
        <w:pStyle w:val="Textonotapie"/>
        <w:ind w:firstLine="709"/>
        <w:jc w:val="both"/>
        <w:rPr>
          <w:rFonts w:ascii="Verdana" w:hAnsi="Verdana" w:cs="Arial"/>
          <w:color w:val="000000" w:themeColor="text1"/>
          <w:sz w:val="12"/>
          <w:szCs w:val="12"/>
        </w:rPr>
      </w:pPr>
      <w:r w:rsidRPr="00AF1063">
        <w:rPr>
          <w:rFonts w:ascii="Verdana" w:hAnsi="Verdana" w:cs="Arial"/>
          <w:color w:val="000000" w:themeColor="text1"/>
          <w:sz w:val="12"/>
          <w:szCs w:val="12"/>
        </w:rPr>
        <w:t>2. La modalidad del proceso de selección y su justificación.</w:t>
      </w:r>
    </w:p>
    <w:p w14:paraId="35967863" w14:textId="77777777" w:rsidR="00C9747A" w:rsidRPr="00AF1063" w:rsidRDefault="00C9747A" w:rsidP="00C9747A">
      <w:pPr>
        <w:pStyle w:val="Textonotapie"/>
        <w:ind w:firstLine="709"/>
        <w:jc w:val="both"/>
        <w:rPr>
          <w:rFonts w:ascii="Verdana" w:hAnsi="Verdana" w:cs="Arial"/>
          <w:color w:val="000000" w:themeColor="text1"/>
          <w:sz w:val="12"/>
          <w:szCs w:val="12"/>
        </w:rPr>
      </w:pPr>
      <w:r w:rsidRPr="00AF1063">
        <w:rPr>
          <w:rFonts w:ascii="Verdana" w:hAnsi="Verdana" w:cs="Arial"/>
          <w:color w:val="000000" w:themeColor="text1"/>
          <w:sz w:val="12"/>
          <w:szCs w:val="12"/>
        </w:rPr>
        <w:t>3. Los criterios de selección, incluyendo los factores de desempate y los incentivos cuando a ello haya lugar.</w:t>
      </w:r>
    </w:p>
    <w:p w14:paraId="68953C6A"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4. Las condiciones de costo y/o calidad que la Entidad Estatal debe tener en cuenta para la selección objetiva, de acuerdo con la modalidad de selección del contratista.</w:t>
      </w:r>
    </w:p>
    <w:p w14:paraId="403B8F2A"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5.    Las reglas aplicables a la presentación de las ofertas, su evaluación y a la adjudicación del contrato.</w:t>
      </w:r>
    </w:p>
    <w:p w14:paraId="47F0243C"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6. Las causas que dan lugar a rechazar una oferta.</w:t>
      </w:r>
    </w:p>
    <w:p w14:paraId="62AAF3CD"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7. El valor del contrato, el plazo, el cronograma de pagos y la determinación de si debe haber lugar a la entrega de anticipo, y si hubiere, indicar su valor, el cual debe tener en cuenta los rendimientos que este pueda generar.</w:t>
      </w:r>
    </w:p>
    <w:p w14:paraId="5357EFCA"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8. Los Riesgos asociados al contrato, la forma de mitigarlos y la asignación del Riesgo entre las partes contratantes.</w:t>
      </w:r>
    </w:p>
    <w:p w14:paraId="6F96FCEF"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9. Las garantías exigidas en el Proceso de Contratación y sus condiciones.</w:t>
      </w:r>
    </w:p>
    <w:p w14:paraId="0E7253E3"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10. La mención de si la Entidad Estatal y el contrato objeto de los pliegos de condiciones están cubiertos por un Acuerdo Comercial.</w:t>
      </w:r>
    </w:p>
    <w:p w14:paraId="5308F711"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11. Los términos, condiciones y minuta del contrato.</w:t>
      </w:r>
    </w:p>
    <w:p w14:paraId="19FB2B95"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12. Los términos de la supervisión y/o de la interventoría del contrato.</w:t>
      </w:r>
    </w:p>
    <w:p w14:paraId="53C3B5E4"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13. El plazo dentro del cual la Entidad Estatal puede expedir Adendas.</w:t>
      </w:r>
    </w:p>
    <w:p w14:paraId="1625BF9A" w14:textId="77777777" w:rsidR="00C9747A" w:rsidRPr="00AF1063" w:rsidRDefault="00C9747A" w:rsidP="00C9747A">
      <w:pPr>
        <w:pStyle w:val="Textonotapie"/>
        <w:ind w:firstLine="708"/>
        <w:jc w:val="both"/>
        <w:rPr>
          <w:rFonts w:ascii="Verdana" w:hAnsi="Verdana" w:cs="Arial"/>
          <w:color w:val="000000" w:themeColor="text1"/>
          <w:sz w:val="12"/>
          <w:szCs w:val="12"/>
        </w:rPr>
      </w:pPr>
      <w:r w:rsidRPr="00AF1063">
        <w:rPr>
          <w:rFonts w:ascii="Verdana" w:hAnsi="Verdana" w:cs="Arial"/>
          <w:color w:val="000000" w:themeColor="text1"/>
          <w:sz w:val="12"/>
          <w:szCs w:val="12"/>
        </w:rPr>
        <w:t>14. El Cronograma”.</w:t>
      </w:r>
    </w:p>
    <w:p w14:paraId="41342D45" w14:textId="77777777" w:rsidR="00C9747A" w:rsidRPr="00305AB1" w:rsidRDefault="00C9747A" w:rsidP="00C9747A">
      <w:pPr>
        <w:pStyle w:val="Textonotapie"/>
        <w:jc w:val="both"/>
        <w:rPr>
          <w:rFonts w:ascii="Verdana" w:hAnsi="Verdana" w:cs="Arial"/>
          <w:color w:val="000000" w:themeColor="text1"/>
          <w:sz w:val="16"/>
          <w:szCs w:val="16"/>
        </w:rPr>
      </w:pPr>
    </w:p>
  </w:footnote>
  <w:footnote w:id="9">
    <w:p w14:paraId="09B97DFF" w14:textId="77777777" w:rsidR="00C9747A" w:rsidRDefault="00C9747A" w:rsidP="00C9747A">
      <w:pPr>
        <w:pStyle w:val="Textonotapie"/>
        <w:ind w:firstLine="708"/>
        <w:jc w:val="both"/>
        <w:rPr>
          <w:rFonts w:ascii="Verdana" w:hAnsi="Verdana" w:cs="Arial"/>
          <w:sz w:val="12"/>
          <w:szCs w:val="12"/>
        </w:rPr>
      </w:pPr>
    </w:p>
    <w:p w14:paraId="2C234F84" w14:textId="77777777" w:rsidR="00C9747A" w:rsidRPr="00DD3AAB" w:rsidRDefault="00C9747A" w:rsidP="00C9747A">
      <w:pPr>
        <w:pStyle w:val="Textonotapie"/>
        <w:ind w:firstLine="708"/>
        <w:jc w:val="both"/>
        <w:rPr>
          <w:rFonts w:ascii="Verdana" w:hAnsi="Verdana" w:cs="Arial"/>
          <w:sz w:val="12"/>
          <w:szCs w:val="12"/>
          <w:lang w:val="es-CO"/>
        </w:rPr>
      </w:pPr>
      <w:r w:rsidRPr="00DD3AAB">
        <w:rPr>
          <w:rStyle w:val="Refdenotaalpie"/>
          <w:rFonts w:ascii="Verdana" w:hAnsi="Verdana" w:cs="Arial"/>
          <w:sz w:val="12"/>
          <w:szCs w:val="12"/>
        </w:rPr>
        <w:footnoteRef/>
      </w:r>
      <w:r w:rsidRPr="00DD3AAB">
        <w:rPr>
          <w:rFonts w:ascii="Verdana" w:hAnsi="Verdana" w:cs="Arial"/>
          <w:sz w:val="12"/>
          <w:szCs w:val="12"/>
        </w:rPr>
        <w:t xml:space="preserve"> “</w:t>
      </w:r>
      <w:r w:rsidRPr="00DD3AAB">
        <w:rPr>
          <w:rFonts w:ascii="Verdana" w:hAnsi="Verdana" w:cs="Arial"/>
          <w:sz w:val="12"/>
          <w:szCs w:val="12"/>
          <w:lang w:val="es-CO"/>
        </w:rPr>
        <w:t>Artículo 25. del Principio de economía. En virtud de este principio: </w:t>
      </w:r>
    </w:p>
    <w:p w14:paraId="61AE576A" w14:textId="77777777" w:rsidR="00C9747A" w:rsidRPr="00DD3AAB" w:rsidRDefault="00C9747A" w:rsidP="00C9747A">
      <w:pPr>
        <w:pStyle w:val="Textonotapie"/>
        <w:ind w:firstLine="708"/>
        <w:jc w:val="both"/>
        <w:rPr>
          <w:rFonts w:ascii="Verdana" w:hAnsi="Verdana" w:cs="Arial"/>
          <w:sz w:val="12"/>
          <w:szCs w:val="12"/>
          <w:lang w:val="es-CO"/>
        </w:rPr>
      </w:pPr>
      <w:r w:rsidRPr="00DD3AAB">
        <w:rPr>
          <w:rFonts w:ascii="Verdana" w:hAnsi="Verdana" w:cs="Arial"/>
          <w:sz w:val="12"/>
          <w:szCs w:val="12"/>
          <w:lang w:val="es-CO"/>
        </w:rPr>
        <w:t>  […]</w:t>
      </w:r>
    </w:p>
    <w:p w14:paraId="785C5CE3" w14:textId="77777777" w:rsidR="00C9747A" w:rsidRPr="00DD3AAB" w:rsidRDefault="00C9747A" w:rsidP="00C9747A">
      <w:pPr>
        <w:pStyle w:val="Textonotapie"/>
        <w:ind w:firstLine="708"/>
        <w:jc w:val="both"/>
        <w:rPr>
          <w:rFonts w:ascii="Verdana" w:hAnsi="Verdana" w:cs="Arial"/>
          <w:sz w:val="12"/>
          <w:szCs w:val="12"/>
        </w:rPr>
      </w:pPr>
      <w:r w:rsidRPr="00DD3AAB">
        <w:rPr>
          <w:rFonts w:ascii="Verdana" w:hAnsi="Verdana" w:cs="Arial"/>
          <w:sz w:val="12"/>
          <w:szCs w:val="12"/>
          <w:lang w:val="es-CO"/>
        </w:rPr>
        <w:t>2o.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 </w:t>
      </w:r>
    </w:p>
  </w:footnote>
  <w:footnote w:id="10">
    <w:p w14:paraId="0A647970" w14:textId="77777777" w:rsidR="00C9747A" w:rsidRPr="00DD3AAB" w:rsidRDefault="00C9747A" w:rsidP="00C9747A">
      <w:pPr>
        <w:pStyle w:val="Textonotapie"/>
        <w:jc w:val="both"/>
        <w:rPr>
          <w:rFonts w:ascii="Verdana" w:hAnsi="Verdana" w:cs="Arial"/>
          <w:sz w:val="12"/>
          <w:szCs w:val="12"/>
        </w:rPr>
      </w:pPr>
    </w:p>
    <w:p w14:paraId="4B9372A9" w14:textId="77777777" w:rsidR="00C9747A" w:rsidRPr="00DD3AAB" w:rsidRDefault="00C9747A" w:rsidP="00C9747A">
      <w:pPr>
        <w:pStyle w:val="Textonotapie"/>
        <w:ind w:firstLine="708"/>
        <w:jc w:val="both"/>
        <w:rPr>
          <w:rFonts w:ascii="Verdana" w:hAnsi="Verdana" w:cs="Arial"/>
          <w:sz w:val="12"/>
          <w:szCs w:val="12"/>
        </w:rPr>
      </w:pPr>
      <w:r w:rsidRPr="00DD3AAB">
        <w:rPr>
          <w:rStyle w:val="Refdenotaalpie"/>
          <w:rFonts w:ascii="Verdana" w:hAnsi="Verdana" w:cs="Arial"/>
          <w:sz w:val="12"/>
          <w:szCs w:val="12"/>
        </w:rPr>
        <w:footnoteRef/>
      </w:r>
      <w:r w:rsidRPr="00DD3AAB">
        <w:rPr>
          <w:rFonts w:ascii="Verdana" w:hAnsi="Verdana" w:cs="Arial"/>
          <w:sz w:val="12"/>
          <w:szCs w:val="12"/>
        </w:rPr>
        <w:t xml:space="preserve"> “</w:t>
      </w:r>
      <w:r w:rsidRPr="00DD3AAB">
        <w:rPr>
          <w:rFonts w:ascii="Verdana" w:hAnsi="Verdana" w:cs="Arial"/>
          <w:sz w:val="12"/>
          <w:szCs w:val="12"/>
          <w:lang w:val="es-CO"/>
        </w:rPr>
        <w:t>Artículo 28. De la interpretación de las reglas contractuales.</w:t>
      </w:r>
      <w:r w:rsidRPr="00DD3AAB">
        <w:rPr>
          <w:rFonts w:ascii="Verdana" w:hAnsi="Verdana" w:cs="Arial"/>
          <w:b/>
          <w:bCs/>
          <w:sz w:val="12"/>
          <w:szCs w:val="12"/>
          <w:lang w:val="es-CO"/>
        </w:rPr>
        <w:t> </w:t>
      </w:r>
      <w:r w:rsidRPr="00DD3AAB">
        <w:rPr>
          <w:rFonts w:ascii="Verdana" w:hAnsi="Verdana" w:cs="Arial"/>
          <w:sz w:val="12"/>
          <w:szCs w:val="12"/>
          <w:lang w:val="es-CO"/>
        </w:rPr>
        <w:t>En la interpretación de las normas sobre contratos estatales, relativas a procedimientos de selección y escogencia de contratistas y en la de las cláusulas y estipulaciones de los contratos, se tendrá en consideración los fines y los principios de que trata esta ley, los mandatos de la buena fe y la igualdad y equilibrio entre prestaciones y derechos que caracteriza a los contratos conmutativos”. </w:t>
      </w:r>
    </w:p>
  </w:footnote>
  <w:footnote w:id="11">
    <w:p w14:paraId="72A2A757" w14:textId="77777777" w:rsidR="00C9747A" w:rsidRPr="00DD3AAB" w:rsidRDefault="00C9747A" w:rsidP="00C9747A">
      <w:pPr>
        <w:pStyle w:val="Textonotapie"/>
        <w:ind w:firstLine="708"/>
        <w:jc w:val="both"/>
        <w:rPr>
          <w:rFonts w:ascii="Verdana" w:hAnsi="Verdana" w:cs="Arial"/>
          <w:sz w:val="12"/>
          <w:szCs w:val="12"/>
        </w:rPr>
      </w:pPr>
      <w:r w:rsidRPr="00DD3AAB">
        <w:rPr>
          <w:rStyle w:val="Refdenotaalpie"/>
          <w:rFonts w:ascii="Verdana" w:hAnsi="Verdana" w:cs="Arial"/>
          <w:sz w:val="12"/>
          <w:szCs w:val="12"/>
        </w:rPr>
        <w:footnoteRef/>
      </w:r>
      <w:r w:rsidRPr="00DD3AAB">
        <w:rPr>
          <w:rFonts w:ascii="Verdana" w:hAnsi="Verdana" w:cs="Arial"/>
          <w:sz w:val="12"/>
          <w:szCs w:val="12"/>
        </w:rPr>
        <w:t xml:space="preserve"> CONSEJO DE ESTADO, Sección Tercera, Sentencia del 29 de enero de 2004, C.P. Alier Eduardo Hernández Enríquez, Exp. No. 10.779.  </w:t>
      </w:r>
    </w:p>
  </w:footnote>
  <w:footnote w:id="12">
    <w:p w14:paraId="64FAAEA9" w14:textId="77777777" w:rsidR="00C9747A" w:rsidRPr="00BD704E" w:rsidRDefault="00C9747A" w:rsidP="00C9747A">
      <w:pPr>
        <w:pStyle w:val="Textonotapie"/>
        <w:ind w:firstLine="708"/>
        <w:jc w:val="both"/>
        <w:rPr>
          <w:rFonts w:ascii="Verdana" w:hAnsi="Verdana"/>
          <w:sz w:val="16"/>
          <w:szCs w:val="16"/>
        </w:rPr>
      </w:pPr>
      <w:r w:rsidRPr="00305AB1">
        <w:rPr>
          <w:rStyle w:val="Refdenotaalpie"/>
          <w:rFonts w:ascii="Verdana" w:hAnsi="Verdana"/>
          <w:sz w:val="16"/>
          <w:szCs w:val="16"/>
        </w:rPr>
        <w:footnoteRef/>
      </w:r>
      <w:r w:rsidRPr="00305AB1">
        <w:rPr>
          <w:rFonts w:ascii="Verdana" w:hAnsi="Verdana"/>
          <w:sz w:val="16"/>
          <w:szCs w:val="16"/>
        </w:rPr>
        <w:t xml:space="preserve"> </w:t>
      </w:r>
      <w:r w:rsidRPr="00BD704E">
        <w:rPr>
          <w:rFonts w:ascii="Verdana" w:hAnsi="Verdana"/>
          <w:sz w:val="16"/>
          <w:szCs w:val="16"/>
        </w:rPr>
        <w:t>CONSEJO DE ESTADO</w:t>
      </w:r>
      <w:r w:rsidRPr="00305AB1">
        <w:rPr>
          <w:rFonts w:ascii="Verdana" w:hAnsi="Verdana"/>
          <w:sz w:val="16"/>
          <w:szCs w:val="16"/>
        </w:rPr>
        <w:t xml:space="preserve">, Sección Tercera, Sentencia del 10 de marzo de 2011, C.P. Danilo Rojas </w:t>
      </w:r>
      <w:proofErr w:type="spellStart"/>
      <w:r w:rsidRPr="00305AB1">
        <w:rPr>
          <w:rFonts w:ascii="Verdana" w:hAnsi="Verdana"/>
          <w:sz w:val="16"/>
          <w:szCs w:val="16"/>
        </w:rPr>
        <w:t>Betancourth</w:t>
      </w:r>
      <w:proofErr w:type="spellEnd"/>
      <w:r w:rsidRPr="00305AB1">
        <w:rPr>
          <w:rFonts w:ascii="Verdana" w:hAnsi="Verdana"/>
          <w:sz w:val="16"/>
          <w:szCs w:val="16"/>
        </w:rPr>
        <w:t xml:space="preserve">, Exp. No. 15.666. </w:t>
      </w:r>
    </w:p>
    <w:p w14:paraId="000B858E" w14:textId="77777777" w:rsidR="00C9747A" w:rsidRPr="00305AB1" w:rsidRDefault="00C9747A" w:rsidP="00C9747A">
      <w:pPr>
        <w:pStyle w:val="Textonotapie"/>
        <w:ind w:firstLine="708"/>
        <w:jc w:val="both"/>
        <w:rPr>
          <w:rFonts w:ascii="Verdana" w:hAnsi="Verdana"/>
          <w:sz w:val="16"/>
          <w:szCs w:val="16"/>
        </w:rPr>
      </w:pPr>
    </w:p>
  </w:footnote>
  <w:footnote w:id="13">
    <w:p w14:paraId="550F4B3D" w14:textId="77777777" w:rsidR="00C9747A" w:rsidRPr="00305AB1" w:rsidRDefault="00C9747A" w:rsidP="00C9747A">
      <w:pPr>
        <w:pStyle w:val="Textonotapie"/>
        <w:ind w:firstLine="709"/>
        <w:jc w:val="both"/>
        <w:rPr>
          <w:rFonts w:ascii="Verdana" w:hAnsi="Verdana"/>
          <w:sz w:val="16"/>
          <w:szCs w:val="16"/>
        </w:rPr>
      </w:pPr>
      <w:r w:rsidRPr="00305AB1">
        <w:rPr>
          <w:rStyle w:val="Refdenotaalpie"/>
          <w:rFonts w:ascii="Verdana" w:hAnsi="Verdana"/>
          <w:sz w:val="16"/>
          <w:szCs w:val="16"/>
        </w:rPr>
        <w:footnoteRef/>
      </w:r>
      <w:r w:rsidRPr="00305AB1">
        <w:rPr>
          <w:rFonts w:ascii="Verdana" w:hAnsi="Verdana"/>
          <w:sz w:val="16"/>
          <w:szCs w:val="16"/>
        </w:rPr>
        <w:t xml:space="preserve"> GONZÁLEZ LÓPEZ, Edgar, Los contratos estatales. El proceso de selección y la modificación de los contratos, Bogotá, Universidad Externado de Colombia, Ed. Tirant lo Blanch, 2023, pp. 813-814.</w:t>
      </w:r>
    </w:p>
  </w:footnote>
  <w:footnote w:id="14">
    <w:p w14:paraId="46C634E9" w14:textId="77777777" w:rsidR="00C9747A" w:rsidRDefault="00C9747A" w:rsidP="00C9747A">
      <w:pPr>
        <w:pStyle w:val="Textonotapie"/>
        <w:ind w:firstLine="708"/>
      </w:pPr>
      <w:r>
        <w:rPr>
          <w:rStyle w:val="Refdenotaalpie"/>
        </w:rPr>
        <w:footnoteRef/>
      </w:r>
      <w:r>
        <w:t xml:space="preserve"> </w:t>
      </w:r>
      <w:r w:rsidRPr="00BD704E">
        <w:rPr>
          <w:rFonts w:ascii="Verdana" w:hAnsi="Verdana"/>
          <w:sz w:val="16"/>
          <w:szCs w:val="16"/>
        </w:rPr>
        <w:t>CONSEJO DE ESTADO</w:t>
      </w:r>
      <w:r>
        <w:rPr>
          <w:rFonts w:ascii="Verdana" w:hAnsi="Verdana"/>
          <w:sz w:val="16"/>
          <w:szCs w:val="16"/>
        </w:rPr>
        <w:t xml:space="preserve">, Sección Tercera, Sentencia del 3 de mayo de 1999, Exp. No. 12344, C.P. Daniel Suarez Hernández. </w:t>
      </w:r>
    </w:p>
  </w:footnote>
  <w:footnote w:id="15">
    <w:p w14:paraId="3CE89647" w14:textId="77777777" w:rsidR="00C9747A" w:rsidRDefault="00C9747A" w:rsidP="00C9747A">
      <w:pPr>
        <w:pStyle w:val="Textoindependiente"/>
        <w:spacing w:before="1"/>
        <w:ind w:right="108" w:firstLine="709"/>
        <w:jc w:val="both"/>
        <w:rPr>
          <w:rFonts w:ascii="Verdana" w:hAnsi="Verdana"/>
          <w:sz w:val="12"/>
          <w:szCs w:val="12"/>
        </w:rPr>
      </w:pPr>
    </w:p>
    <w:p w14:paraId="41D9EE25" w14:textId="77777777" w:rsidR="00C9747A" w:rsidRPr="00DD3AAB" w:rsidRDefault="00C9747A" w:rsidP="00C9747A">
      <w:pPr>
        <w:pStyle w:val="Textoindependiente"/>
        <w:spacing w:before="1"/>
        <w:ind w:right="108" w:firstLine="709"/>
        <w:jc w:val="both"/>
        <w:rPr>
          <w:rFonts w:ascii="Verdana" w:hAnsi="Verdana"/>
          <w:sz w:val="12"/>
          <w:szCs w:val="12"/>
        </w:rPr>
      </w:pPr>
      <w:r w:rsidRPr="00DD3AAB">
        <w:rPr>
          <w:rFonts w:ascii="Verdana" w:hAnsi="Verdana"/>
          <w:sz w:val="12"/>
          <w:szCs w:val="12"/>
          <w:vertAlign w:val="superscript"/>
        </w:rPr>
        <w:footnoteRef/>
      </w:r>
      <w:r w:rsidRPr="00DD3AAB">
        <w:rPr>
          <w:rFonts w:ascii="Verdana" w:hAnsi="Verdana"/>
          <w:sz w:val="12"/>
          <w:szCs w:val="12"/>
        </w:rPr>
        <w:t xml:space="preserve"> Consejo de Estado, Sección Tercera, Subsección B, 31 de agosto de 2011, Exp. No.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6091DECD" w14:textId="77777777" w:rsidR="00C9747A" w:rsidRPr="00DD3AAB" w:rsidRDefault="00C9747A" w:rsidP="00C9747A">
      <w:pPr>
        <w:pStyle w:val="Textoindependiente"/>
        <w:spacing w:before="1"/>
        <w:ind w:right="108" w:firstLine="709"/>
        <w:jc w:val="both"/>
        <w:rPr>
          <w:rFonts w:ascii="Verdana" w:hAnsi="Verdana"/>
          <w:sz w:val="12"/>
          <w:szCs w:val="12"/>
        </w:rPr>
      </w:pPr>
    </w:p>
  </w:footnote>
  <w:footnote w:id="16">
    <w:p w14:paraId="571D44C0" w14:textId="77777777" w:rsidR="00C9747A" w:rsidRPr="00DD3AAB" w:rsidRDefault="00C9747A" w:rsidP="00C9747A">
      <w:pPr>
        <w:pStyle w:val="Textonotapie"/>
        <w:ind w:firstLine="708"/>
        <w:jc w:val="both"/>
        <w:rPr>
          <w:rFonts w:ascii="Verdana" w:hAnsi="Verdana" w:cs="Arial"/>
          <w:sz w:val="12"/>
          <w:szCs w:val="12"/>
        </w:rPr>
      </w:pPr>
      <w:r w:rsidRPr="00DD3AAB">
        <w:rPr>
          <w:rFonts w:ascii="Verdana" w:hAnsi="Verdana" w:cs="Arial"/>
          <w:sz w:val="12"/>
          <w:szCs w:val="12"/>
          <w:vertAlign w:val="superscript"/>
        </w:rPr>
        <w:footnoteRef/>
      </w:r>
      <w:r w:rsidRPr="00DD3AAB">
        <w:rPr>
          <w:rFonts w:ascii="Verdana" w:hAnsi="Verdana" w:cs="Arial"/>
          <w:sz w:val="12"/>
          <w:szCs w:val="12"/>
        </w:rPr>
        <w:t xml:space="preserve"> OSPINA MENA, Jesús Marino. Régimen de la Contratación Estatal. Un salto a la contratación líquida. Bogotá: Ed. 1ª. </w:t>
      </w:r>
      <w:proofErr w:type="spellStart"/>
      <w:r w:rsidRPr="00DD3AAB">
        <w:rPr>
          <w:rFonts w:ascii="Verdana" w:hAnsi="Verdana" w:cs="Arial"/>
          <w:sz w:val="12"/>
          <w:szCs w:val="12"/>
        </w:rPr>
        <w:t>Diké</w:t>
      </w:r>
      <w:proofErr w:type="spellEnd"/>
      <w:r w:rsidRPr="00DD3AAB">
        <w:rPr>
          <w:rFonts w:ascii="Verdana" w:hAnsi="Verdana" w:cs="Arial"/>
          <w:sz w:val="12"/>
          <w:szCs w:val="12"/>
        </w:rPr>
        <w:t>, 2020. p. 383.</w:t>
      </w:r>
    </w:p>
    <w:p w14:paraId="18E35145" w14:textId="77777777" w:rsidR="00C9747A" w:rsidRPr="00DD3AAB" w:rsidRDefault="00C9747A" w:rsidP="00C9747A">
      <w:pPr>
        <w:pStyle w:val="Textonotapie"/>
        <w:ind w:firstLine="708"/>
        <w:jc w:val="both"/>
        <w:rPr>
          <w:rFonts w:ascii="Verdana" w:hAnsi="Verdana"/>
          <w:sz w:val="12"/>
          <w:szCs w:val="12"/>
        </w:rPr>
      </w:pPr>
    </w:p>
  </w:footnote>
  <w:footnote w:id="17">
    <w:p w14:paraId="63B17D89" w14:textId="77777777" w:rsidR="00C9747A" w:rsidRPr="00DD3AAB" w:rsidRDefault="00C9747A" w:rsidP="00C9747A">
      <w:pPr>
        <w:pStyle w:val="Textonotapie"/>
        <w:ind w:firstLine="708"/>
        <w:jc w:val="both"/>
        <w:rPr>
          <w:rFonts w:ascii="Verdana" w:hAnsi="Verdana" w:cs="Arial"/>
          <w:sz w:val="12"/>
          <w:szCs w:val="12"/>
        </w:rPr>
      </w:pPr>
      <w:r w:rsidRPr="00DD3AAB">
        <w:rPr>
          <w:rFonts w:ascii="Verdana" w:hAnsi="Verdana" w:cs="Arial"/>
          <w:sz w:val="12"/>
          <w:szCs w:val="12"/>
          <w:vertAlign w:val="superscript"/>
        </w:rPr>
        <w:footnoteRef/>
      </w:r>
      <w:r w:rsidRPr="00DD3AAB">
        <w:rPr>
          <w:rFonts w:ascii="Verdana" w:hAnsi="Verdana" w:cs="Arial"/>
          <w:sz w:val="12"/>
          <w:szCs w:val="12"/>
        </w:rPr>
        <w:t xml:space="preserve"> CONSEJO DE ESTADO. Sección Tercera. Sentencia de 30 de noviembre de 2006. Exp. 18.059. M.P. Alier Hernández Enríquez.</w:t>
      </w:r>
    </w:p>
    <w:p w14:paraId="2B29D6D3" w14:textId="77777777" w:rsidR="00C9747A" w:rsidRPr="00DD3AAB" w:rsidRDefault="00C9747A" w:rsidP="00C9747A">
      <w:pPr>
        <w:pStyle w:val="Textonotapie"/>
        <w:ind w:firstLine="708"/>
        <w:jc w:val="both"/>
        <w:rPr>
          <w:rFonts w:ascii="Verdana" w:hAnsi="Verdana"/>
          <w:sz w:val="12"/>
          <w:szCs w:val="12"/>
        </w:rPr>
      </w:pPr>
    </w:p>
  </w:footnote>
  <w:footnote w:id="18">
    <w:p w14:paraId="7F231F43" w14:textId="77777777" w:rsidR="00C9747A" w:rsidRPr="00DD3AAB" w:rsidRDefault="00C9747A" w:rsidP="00C9747A">
      <w:pPr>
        <w:pStyle w:val="Textonotapie"/>
        <w:ind w:firstLine="708"/>
        <w:jc w:val="both"/>
        <w:rPr>
          <w:rFonts w:ascii="Verdana" w:hAnsi="Verdana" w:cs="Arial"/>
          <w:sz w:val="12"/>
          <w:szCs w:val="12"/>
          <w:lang w:val="es-CO"/>
        </w:rPr>
      </w:pPr>
      <w:r w:rsidRPr="00DD3AAB">
        <w:rPr>
          <w:rStyle w:val="Refdenotaalpie"/>
          <w:rFonts w:ascii="Verdana" w:hAnsi="Verdana" w:cs="Arial"/>
          <w:sz w:val="12"/>
          <w:szCs w:val="12"/>
        </w:rPr>
        <w:footnoteRef/>
      </w:r>
      <w:r w:rsidRPr="00DD3AAB">
        <w:rPr>
          <w:rFonts w:ascii="Verdana" w:hAnsi="Verdana" w:cs="Arial"/>
          <w:sz w:val="12"/>
          <w:szCs w:val="12"/>
        </w:rPr>
        <w:t xml:space="preserve"> RODRÍGUEZ TAMAYO, Mauricio Fernando. Evaluación y rechazo de ofertas en la Ley 80 de 1993, Librería Jurídica Sánchez, 2016, Medellín, pp. 190. </w:t>
      </w:r>
    </w:p>
  </w:footnote>
  <w:footnote w:id="19">
    <w:p w14:paraId="0173398A" w14:textId="77777777" w:rsidR="00C9747A" w:rsidRPr="00DD3AAB" w:rsidRDefault="00C9747A" w:rsidP="00C9747A">
      <w:pPr>
        <w:pStyle w:val="Textonotapie"/>
        <w:ind w:firstLine="708"/>
        <w:rPr>
          <w:rFonts w:ascii="Verdana" w:hAnsi="Verdana" w:cs="Arial"/>
          <w:sz w:val="12"/>
          <w:szCs w:val="12"/>
        </w:rPr>
      </w:pPr>
    </w:p>
    <w:p w14:paraId="3C7321B3" w14:textId="77777777" w:rsidR="00C9747A" w:rsidRPr="00DD3AAB" w:rsidRDefault="00C9747A" w:rsidP="00C9747A">
      <w:pPr>
        <w:pStyle w:val="Textonotapie"/>
        <w:ind w:firstLine="708"/>
        <w:jc w:val="both"/>
        <w:rPr>
          <w:rFonts w:ascii="Verdana" w:hAnsi="Verdana" w:cs="Arial"/>
          <w:sz w:val="12"/>
          <w:szCs w:val="12"/>
        </w:rPr>
      </w:pPr>
      <w:r w:rsidRPr="00DD3AAB">
        <w:rPr>
          <w:rStyle w:val="Refdenotaalpie"/>
          <w:rFonts w:ascii="Verdana" w:hAnsi="Verdana" w:cs="Arial"/>
          <w:sz w:val="12"/>
          <w:szCs w:val="12"/>
        </w:rPr>
        <w:footnoteRef/>
      </w:r>
      <w:r w:rsidRPr="00DD3AAB">
        <w:rPr>
          <w:rFonts w:ascii="Verdana" w:hAnsi="Verdana" w:cs="Arial"/>
          <w:sz w:val="12"/>
          <w:szCs w:val="12"/>
        </w:rPr>
        <w:t xml:space="preserve"> Ley 80 de 1993 “</w:t>
      </w:r>
      <w:r w:rsidRPr="00DD3AAB">
        <w:rPr>
          <w:rStyle w:val="Textoennegrita"/>
          <w:rFonts w:ascii="Verdana" w:hAnsi="Verdana" w:cs="Arial"/>
          <w:color w:val="000000"/>
          <w:sz w:val="12"/>
          <w:szCs w:val="12"/>
        </w:rPr>
        <w:t>Articulo 24. Del principio de transparencia. </w:t>
      </w:r>
      <w:r w:rsidRPr="00DD3AAB">
        <w:rPr>
          <w:rFonts w:ascii="Verdana" w:hAnsi="Verdana" w:cs="Arial"/>
          <w:color w:val="000000"/>
          <w:sz w:val="12"/>
          <w:szCs w:val="12"/>
        </w:rPr>
        <w:t>En virtud de este principio:</w:t>
      </w:r>
      <w:r w:rsidRPr="00DD3AAB">
        <w:rPr>
          <w:rFonts w:ascii="Verdana" w:hAnsi="Verdana" w:cs="Arial"/>
          <w:sz w:val="12"/>
          <w:szCs w:val="12"/>
        </w:rPr>
        <w:t xml:space="preserve"> </w:t>
      </w:r>
    </w:p>
    <w:p w14:paraId="27E09D35" w14:textId="77777777" w:rsidR="00C9747A" w:rsidRPr="00DD3AAB" w:rsidRDefault="00C9747A" w:rsidP="00C9747A">
      <w:pPr>
        <w:pStyle w:val="Textonotapie"/>
        <w:ind w:firstLine="708"/>
        <w:jc w:val="both"/>
        <w:rPr>
          <w:rFonts w:ascii="Verdana" w:hAnsi="Verdana" w:cs="Arial"/>
          <w:sz w:val="12"/>
          <w:szCs w:val="12"/>
        </w:rPr>
      </w:pPr>
      <w:r w:rsidRPr="00DD3AAB">
        <w:rPr>
          <w:rFonts w:ascii="Verdana" w:hAnsi="Verdana" w:cs="Arial"/>
          <w:sz w:val="12"/>
          <w:szCs w:val="12"/>
        </w:rPr>
        <w:t>[…]</w:t>
      </w:r>
    </w:p>
    <w:p w14:paraId="6EFBBCA3" w14:textId="77777777" w:rsidR="00C9747A" w:rsidRPr="00DD3AAB" w:rsidRDefault="00C9747A" w:rsidP="00C9747A">
      <w:pPr>
        <w:ind w:firstLine="708"/>
        <w:jc w:val="both"/>
        <w:rPr>
          <w:rFonts w:ascii="Verdana" w:eastAsia="Times New Roman" w:hAnsi="Verdana" w:cs="Arial"/>
          <w:color w:val="000000"/>
          <w:sz w:val="12"/>
          <w:szCs w:val="12"/>
          <w:lang w:eastAsia="es-CO"/>
        </w:rPr>
      </w:pPr>
      <w:r w:rsidRPr="00DD3AAB">
        <w:rPr>
          <w:rFonts w:ascii="Verdana" w:eastAsia="Times New Roman" w:hAnsi="Verdana" w:cs="Arial"/>
          <w:color w:val="000000"/>
          <w:sz w:val="12"/>
          <w:szCs w:val="12"/>
          <w:lang w:eastAsia="es-CO"/>
        </w:rPr>
        <w:t>“5o. En los pliegos de condiciones:</w:t>
      </w:r>
    </w:p>
    <w:p w14:paraId="4A80B6DF" w14:textId="77777777" w:rsidR="00C9747A" w:rsidRPr="00DD3AAB" w:rsidRDefault="00C9747A" w:rsidP="00C9747A">
      <w:pPr>
        <w:jc w:val="both"/>
        <w:rPr>
          <w:rFonts w:ascii="Verdana" w:eastAsia="Times New Roman" w:hAnsi="Verdana" w:cs="Arial"/>
          <w:color w:val="000000"/>
          <w:sz w:val="12"/>
          <w:szCs w:val="12"/>
          <w:lang w:eastAsia="es-CO"/>
        </w:rPr>
      </w:pPr>
      <w:r w:rsidRPr="00DD3AAB">
        <w:rPr>
          <w:rFonts w:ascii="Verdana" w:eastAsia="Times New Roman" w:hAnsi="Verdana" w:cs="Arial"/>
          <w:color w:val="000000"/>
          <w:sz w:val="12"/>
          <w:szCs w:val="12"/>
          <w:lang w:eastAsia="es-CO"/>
        </w:rPr>
        <w:t>  </w:t>
      </w:r>
      <w:r w:rsidRPr="00DD3AAB">
        <w:rPr>
          <w:rFonts w:ascii="Verdana" w:eastAsia="Times New Roman" w:hAnsi="Verdana" w:cs="Arial"/>
          <w:color w:val="000000"/>
          <w:sz w:val="12"/>
          <w:szCs w:val="12"/>
          <w:lang w:eastAsia="es-CO"/>
        </w:rPr>
        <w:tab/>
        <w:t>[…]</w:t>
      </w:r>
    </w:p>
    <w:p w14:paraId="46F45404" w14:textId="77777777" w:rsidR="00C9747A" w:rsidRPr="00DD3AAB" w:rsidRDefault="00C9747A" w:rsidP="00C9747A">
      <w:pPr>
        <w:ind w:firstLine="708"/>
        <w:jc w:val="both"/>
        <w:rPr>
          <w:rFonts w:ascii="Verdana" w:hAnsi="Verdana" w:cs="Arial"/>
          <w:sz w:val="12"/>
          <w:szCs w:val="12"/>
        </w:rPr>
      </w:pPr>
      <w:r w:rsidRPr="00DD3AAB">
        <w:rPr>
          <w:rFonts w:ascii="Verdana" w:eastAsia="Times New Roman" w:hAnsi="Verdana" w:cs="Arial"/>
          <w:color w:val="000000"/>
          <w:sz w:val="12"/>
          <w:szCs w:val="12"/>
          <w:lang w:eastAsia="es-CO"/>
        </w:rPr>
        <w:t>“b) Se definirán reglas objetivas, justas, claras y completas que permitan la confección de ofrecimientos de la misma índole, aseguren una escogencia objetiva y eviten la declaratoria de desierta de la licitación […]”.</w:t>
      </w:r>
    </w:p>
  </w:footnote>
  <w:footnote w:id="20">
    <w:p w14:paraId="2647F07A" w14:textId="77777777" w:rsidR="00C9747A" w:rsidRPr="00DD3AAB" w:rsidRDefault="00C9747A" w:rsidP="00C9747A">
      <w:pPr>
        <w:pStyle w:val="Textonotapie"/>
        <w:rPr>
          <w:rFonts w:ascii="Verdana" w:hAnsi="Verdana" w:cs="Arial"/>
          <w:sz w:val="12"/>
          <w:szCs w:val="12"/>
        </w:rPr>
      </w:pPr>
    </w:p>
    <w:p w14:paraId="30E135B0" w14:textId="77777777" w:rsidR="00C9747A" w:rsidRPr="00DD3AAB" w:rsidRDefault="00C9747A" w:rsidP="00C9747A">
      <w:pPr>
        <w:pStyle w:val="Textonotapie"/>
        <w:ind w:firstLine="708"/>
        <w:jc w:val="both"/>
        <w:rPr>
          <w:rFonts w:ascii="Verdana" w:hAnsi="Verdana" w:cs="Arial"/>
          <w:sz w:val="12"/>
          <w:szCs w:val="12"/>
        </w:rPr>
      </w:pPr>
      <w:r w:rsidRPr="00DD3AAB">
        <w:rPr>
          <w:rStyle w:val="Refdenotaalpie"/>
          <w:rFonts w:ascii="Verdana" w:hAnsi="Verdana" w:cs="Arial"/>
          <w:sz w:val="12"/>
          <w:szCs w:val="12"/>
        </w:rPr>
        <w:footnoteRef/>
      </w:r>
      <w:r w:rsidRPr="00DD3AAB">
        <w:rPr>
          <w:rFonts w:ascii="Verdana" w:hAnsi="Verdana" w:cs="Arial"/>
          <w:sz w:val="12"/>
          <w:szCs w:val="12"/>
        </w:rPr>
        <w:t xml:space="preserve"> Decreto 1082 de 2015 </w:t>
      </w:r>
      <w:r>
        <w:rPr>
          <w:rFonts w:ascii="Verdana" w:hAnsi="Verdana" w:cs="Arial"/>
          <w:sz w:val="12"/>
          <w:szCs w:val="12"/>
        </w:rPr>
        <w:t>“</w:t>
      </w:r>
      <w:r w:rsidRPr="00DD3AAB">
        <w:rPr>
          <w:rFonts w:ascii="Verdana" w:hAnsi="Verdana" w:cs="Arial"/>
          <w:sz w:val="12"/>
          <w:szCs w:val="12"/>
        </w:rPr>
        <w:t>Artículo 2.2.1.1.2.1.3. Pliegos de condiciones. Los pliegos de condiciones deben contener por lo menos la siguiente información</w:t>
      </w:r>
    </w:p>
    <w:p w14:paraId="4AD571B6" w14:textId="77777777" w:rsidR="00C9747A" w:rsidRPr="00DD3AAB" w:rsidRDefault="00C9747A" w:rsidP="00C9747A">
      <w:pPr>
        <w:pStyle w:val="Textonotapie"/>
        <w:ind w:firstLine="708"/>
        <w:jc w:val="both"/>
        <w:rPr>
          <w:rFonts w:ascii="Verdana" w:hAnsi="Verdana" w:cs="Arial"/>
          <w:sz w:val="12"/>
          <w:szCs w:val="12"/>
        </w:rPr>
      </w:pPr>
      <w:r w:rsidRPr="00DD3AAB">
        <w:rPr>
          <w:rFonts w:ascii="Verdana" w:hAnsi="Verdana" w:cs="Arial"/>
          <w:sz w:val="12"/>
          <w:szCs w:val="12"/>
        </w:rPr>
        <w:t>[…]</w:t>
      </w:r>
    </w:p>
    <w:p w14:paraId="7978259C" w14:textId="77777777" w:rsidR="00C9747A" w:rsidRPr="00DD3AAB" w:rsidRDefault="00C9747A" w:rsidP="00C9747A">
      <w:pPr>
        <w:pStyle w:val="Textonotapie"/>
        <w:ind w:firstLine="708"/>
        <w:jc w:val="both"/>
        <w:rPr>
          <w:rFonts w:ascii="Verdana" w:hAnsi="Verdana" w:cs="Arial"/>
          <w:sz w:val="12"/>
          <w:szCs w:val="12"/>
          <w:lang w:val="es-CO"/>
        </w:rPr>
      </w:pPr>
      <w:r>
        <w:rPr>
          <w:rFonts w:ascii="Verdana" w:hAnsi="Verdana" w:cs="Arial"/>
          <w:sz w:val="12"/>
          <w:szCs w:val="12"/>
        </w:rPr>
        <w:t>“</w:t>
      </w:r>
      <w:r w:rsidRPr="00DD3AAB">
        <w:rPr>
          <w:rFonts w:ascii="Verdana" w:hAnsi="Verdana" w:cs="Arial"/>
          <w:sz w:val="12"/>
          <w:szCs w:val="12"/>
        </w:rPr>
        <w:t>6. Las causas que dan lugar a rechazar una oferta […]”</w:t>
      </w:r>
    </w:p>
  </w:footnote>
  <w:footnote w:id="21">
    <w:p w14:paraId="1147D15A" w14:textId="77777777" w:rsidR="00C9747A" w:rsidRPr="00DD3AAB" w:rsidRDefault="00C9747A" w:rsidP="00C9747A">
      <w:pPr>
        <w:pStyle w:val="Textonotapie"/>
        <w:ind w:firstLine="708"/>
        <w:jc w:val="both"/>
        <w:rPr>
          <w:rFonts w:ascii="Verdana" w:hAnsi="Verdana" w:cs="Arial"/>
          <w:sz w:val="12"/>
          <w:szCs w:val="12"/>
          <w:lang w:val="es-CO"/>
        </w:rPr>
      </w:pPr>
      <w:r w:rsidRPr="00DD3AAB">
        <w:rPr>
          <w:rStyle w:val="Refdenotaalpie"/>
          <w:rFonts w:ascii="Verdana" w:hAnsi="Verdana" w:cs="Arial"/>
          <w:sz w:val="12"/>
          <w:szCs w:val="12"/>
        </w:rPr>
        <w:footnoteRef/>
      </w:r>
      <w:r w:rsidRPr="00DD3AAB">
        <w:rPr>
          <w:rFonts w:ascii="Verdana" w:hAnsi="Verdana" w:cs="Arial"/>
          <w:sz w:val="12"/>
          <w:szCs w:val="12"/>
        </w:rPr>
        <w:t xml:space="preserve"> CONSEJO DE ESTADO. Sección Tercera Subsección B. Sentencia del 27 de abril de 2011. Expediente No. 18.293. C.P. Ponente: Ruth Stella Correa Palacio. </w:t>
      </w:r>
    </w:p>
  </w:footnote>
  <w:footnote w:id="22">
    <w:p w14:paraId="0B3730F5" w14:textId="77777777" w:rsidR="00C9747A" w:rsidRPr="00DD3AAB" w:rsidRDefault="00C9747A" w:rsidP="00C9747A">
      <w:pPr>
        <w:pStyle w:val="Textonotapie"/>
        <w:ind w:firstLine="708"/>
        <w:jc w:val="both"/>
        <w:rPr>
          <w:rFonts w:ascii="Verdana" w:hAnsi="Verdana" w:cs="Arial"/>
          <w:sz w:val="12"/>
          <w:szCs w:val="12"/>
        </w:rPr>
      </w:pPr>
      <w:r w:rsidRPr="00DD3AAB">
        <w:rPr>
          <w:rStyle w:val="Refdenotaalpie"/>
          <w:rFonts w:ascii="Verdana" w:hAnsi="Verdana" w:cs="Arial"/>
          <w:sz w:val="12"/>
          <w:szCs w:val="12"/>
        </w:rPr>
        <w:footnoteRef/>
      </w:r>
      <w:r w:rsidRPr="00DD3AAB">
        <w:rPr>
          <w:rFonts w:ascii="Verdana" w:hAnsi="Verdana" w:cs="Arial"/>
          <w:sz w:val="12"/>
          <w:szCs w:val="12"/>
        </w:rPr>
        <w:t xml:space="preserve"> CONSEJO DE ESTADO. Sección Tercera, Subsección A. Sentencia del 21 de noviembre de 2013. Exp. No. 25397. C.P. Carlos Alberto Zambrano Barrera.</w:t>
      </w:r>
    </w:p>
    <w:p w14:paraId="5F5DD083" w14:textId="77777777" w:rsidR="00C9747A" w:rsidRPr="00DD3AAB" w:rsidRDefault="00C9747A" w:rsidP="00C9747A">
      <w:pPr>
        <w:pStyle w:val="Textonotapie"/>
        <w:ind w:firstLine="708"/>
        <w:rPr>
          <w:rFonts w:ascii="Verdana" w:hAnsi="Verdana" w:cs="Arial"/>
          <w:sz w:val="12"/>
          <w:szCs w:val="12"/>
          <w:lang w:val="es-CO"/>
        </w:rPr>
      </w:pPr>
      <w:r w:rsidRPr="00DD3AAB">
        <w:rPr>
          <w:rFonts w:ascii="Verdana" w:hAnsi="Verdana" w:cs="Arial"/>
          <w:sz w:val="12"/>
          <w:szCs w:val="12"/>
        </w:rPr>
        <w:t xml:space="preserve"> </w:t>
      </w:r>
    </w:p>
  </w:footnote>
  <w:footnote w:id="23">
    <w:p w14:paraId="2D15238F" w14:textId="77777777" w:rsidR="00C9747A" w:rsidRPr="00DD3AAB" w:rsidRDefault="00C9747A" w:rsidP="00C9747A">
      <w:pPr>
        <w:pStyle w:val="Textonotapie"/>
        <w:ind w:firstLine="708"/>
        <w:jc w:val="both"/>
        <w:rPr>
          <w:rFonts w:ascii="Verdana" w:hAnsi="Verdana" w:cs="Arial"/>
          <w:sz w:val="12"/>
          <w:szCs w:val="12"/>
          <w:lang w:val="es-CO"/>
        </w:rPr>
      </w:pPr>
      <w:r w:rsidRPr="00DD3AAB">
        <w:rPr>
          <w:rStyle w:val="Refdenotaalpie"/>
          <w:rFonts w:ascii="Verdana" w:hAnsi="Verdana" w:cs="Arial"/>
          <w:sz w:val="12"/>
          <w:szCs w:val="12"/>
        </w:rPr>
        <w:footnoteRef/>
      </w:r>
      <w:r w:rsidRPr="00DD3AAB">
        <w:rPr>
          <w:rFonts w:ascii="Verdana" w:hAnsi="Verdana" w:cs="Arial"/>
          <w:sz w:val="12"/>
          <w:szCs w:val="12"/>
        </w:rPr>
        <w:t xml:space="preserve"> CONSEJO DE ESTADO. Sección Tercera, Subsección A. Sentencia del 12 de junio de 2017. Exp. No. 51364. C.P. Marta Nubia Velásquez 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0DE8" w14:textId="77777777" w:rsidR="006B369E" w:rsidRDefault="006B369E" w:rsidP="00515FB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3D591A6" wp14:editId="434160C6">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E2A731B" wp14:editId="7D8EB1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9DB53AD" w14:textId="77777777" w:rsidR="006B369E" w:rsidRDefault="006B369E" w:rsidP="00515FB5">
    <w:pPr>
      <w:pStyle w:val="Encabezado"/>
    </w:pPr>
  </w:p>
  <w:p w14:paraId="2E25D7E2" w14:textId="77777777" w:rsidR="006B369E" w:rsidRDefault="006B369E" w:rsidP="00515FB5">
    <w:pPr>
      <w:pStyle w:val="Encabezado"/>
    </w:pPr>
  </w:p>
  <w:p w14:paraId="46ED352F" w14:textId="77777777" w:rsidR="006B369E" w:rsidRPr="00515FB5" w:rsidRDefault="006B369E"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2BB090C"/>
    <w:multiLevelType w:val="hybridMultilevel"/>
    <w:tmpl w:val="5E984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57C2DAC"/>
    <w:multiLevelType w:val="hybridMultilevel"/>
    <w:tmpl w:val="A120D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492209491">
    <w:abstractNumId w:val="2"/>
  </w:num>
  <w:num w:numId="3" w16cid:durableId="679089576">
    <w:abstractNumId w:val="3"/>
  </w:num>
  <w:num w:numId="4" w16cid:durableId="1681347082">
    <w:abstractNumId w:val="1"/>
  </w:num>
  <w:num w:numId="5" w16cid:durableId="2038961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CA"/>
    <w:rsid w:val="00025D93"/>
    <w:rsid w:val="000339B3"/>
    <w:rsid w:val="0004045D"/>
    <w:rsid w:val="00070A06"/>
    <w:rsid w:val="000B0EC8"/>
    <w:rsid w:val="000B3A52"/>
    <w:rsid w:val="000D3CF0"/>
    <w:rsid w:val="000F3004"/>
    <w:rsid w:val="000F5A42"/>
    <w:rsid w:val="0010028D"/>
    <w:rsid w:val="0010140D"/>
    <w:rsid w:val="00103A52"/>
    <w:rsid w:val="00112276"/>
    <w:rsid w:val="00146F1B"/>
    <w:rsid w:val="001534A2"/>
    <w:rsid w:val="00163435"/>
    <w:rsid w:val="0017361E"/>
    <w:rsid w:val="001827DD"/>
    <w:rsid w:val="00191297"/>
    <w:rsid w:val="00193B29"/>
    <w:rsid w:val="001D0594"/>
    <w:rsid w:val="001D7EA3"/>
    <w:rsid w:val="00213717"/>
    <w:rsid w:val="002240E2"/>
    <w:rsid w:val="002360D8"/>
    <w:rsid w:val="00251B3A"/>
    <w:rsid w:val="0029778F"/>
    <w:rsid w:val="002A6358"/>
    <w:rsid w:val="00312696"/>
    <w:rsid w:val="00404F4B"/>
    <w:rsid w:val="00420884"/>
    <w:rsid w:val="0042217A"/>
    <w:rsid w:val="0049106E"/>
    <w:rsid w:val="004A289C"/>
    <w:rsid w:val="004B7F53"/>
    <w:rsid w:val="004D574C"/>
    <w:rsid w:val="0050095A"/>
    <w:rsid w:val="00502DA4"/>
    <w:rsid w:val="00535747"/>
    <w:rsid w:val="00542FD1"/>
    <w:rsid w:val="0054463E"/>
    <w:rsid w:val="00567E0C"/>
    <w:rsid w:val="00573BAA"/>
    <w:rsid w:val="005A2D91"/>
    <w:rsid w:val="005A3533"/>
    <w:rsid w:val="005B73CB"/>
    <w:rsid w:val="006144E8"/>
    <w:rsid w:val="00630B59"/>
    <w:rsid w:val="00636B4F"/>
    <w:rsid w:val="0066293B"/>
    <w:rsid w:val="00694E4A"/>
    <w:rsid w:val="006B369E"/>
    <w:rsid w:val="006E77C4"/>
    <w:rsid w:val="006F1F38"/>
    <w:rsid w:val="00731523"/>
    <w:rsid w:val="007400B8"/>
    <w:rsid w:val="007563D3"/>
    <w:rsid w:val="007574A5"/>
    <w:rsid w:val="007846F0"/>
    <w:rsid w:val="0079027A"/>
    <w:rsid w:val="0079471C"/>
    <w:rsid w:val="00797D18"/>
    <w:rsid w:val="007A6FBD"/>
    <w:rsid w:val="007B7ABF"/>
    <w:rsid w:val="007C44FF"/>
    <w:rsid w:val="007E79D6"/>
    <w:rsid w:val="007F391D"/>
    <w:rsid w:val="00842B80"/>
    <w:rsid w:val="008508D8"/>
    <w:rsid w:val="008662FA"/>
    <w:rsid w:val="00881E09"/>
    <w:rsid w:val="00882F03"/>
    <w:rsid w:val="008B3389"/>
    <w:rsid w:val="008D5F5F"/>
    <w:rsid w:val="008E40FE"/>
    <w:rsid w:val="008F1419"/>
    <w:rsid w:val="008F5F17"/>
    <w:rsid w:val="009332C6"/>
    <w:rsid w:val="0098556D"/>
    <w:rsid w:val="00996CFA"/>
    <w:rsid w:val="009D17D6"/>
    <w:rsid w:val="009F0B57"/>
    <w:rsid w:val="00A079D0"/>
    <w:rsid w:val="00A12218"/>
    <w:rsid w:val="00A5039D"/>
    <w:rsid w:val="00A563EA"/>
    <w:rsid w:val="00A67831"/>
    <w:rsid w:val="00A90678"/>
    <w:rsid w:val="00AC2DF7"/>
    <w:rsid w:val="00AD6C84"/>
    <w:rsid w:val="00B02B8C"/>
    <w:rsid w:val="00B15FA2"/>
    <w:rsid w:val="00B46951"/>
    <w:rsid w:val="00BC1529"/>
    <w:rsid w:val="00BC3FD0"/>
    <w:rsid w:val="00BD02CA"/>
    <w:rsid w:val="00BD7B66"/>
    <w:rsid w:val="00C001B0"/>
    <w:rsid w:val="00C1710A"/>
    <w:rsid w:val="00C252DD"/>
    <w:rsid w:val="00C70DF4"/>
    <w:rsid w:val="00C91D87"/>
    <w:rsid w:val="00C9747A"/>
    <w:rsid w:val="00CA718A"/>
    <w:rsid w:val="00CB0B99"/>
    <w:rsid w:val="00CF5BCA"/>
    <w:rsid w:val="00D241BB"/>
    <w:rsid w:val="00D5645C"/>
    <w:rsid w:val="00D77485"/>
    <w:rsid w:val="00D9691B"/>
    <w:rsid w:val="00DD3AAB"/>
    <w:rsid w:val="00E11593"/>
    <w:rsid w:val="00E217C7"/>
    <w:rsid w:val="00E54C06"/>
    <w:rsid w:val="00E635D8"/>
    <w:rsid w:val="00E73863"/>
    <w:rsid w:val="00E81306"/>
    <w:rsid w:val="00EB428C"/>
    <w:rsid w:val="00EB7330"/>
    <w:rsid w:val="00F114DE"/>
    <w:rsid w:val="00F2074F"/>
    <w:rsid w:val="00F621D5"/>
    <w:rsid w:val="00F83DE4"/>
    <w:rsid w:val="00F86AAD"/>
    <w:rsid w:val="00FE1A78"/>
    <w:rsid w:val="00FE747F"/>
    <w:rsid w:val="00FF6B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1ECA"/>
  <w15:chartTrackingRefBased/>
  <w15:docId w15:val="{504B3BCE-4F7A-4C18-84A2-563AEB2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523"/>
    <w:rPr>
      <w:kern w:val="0"/>
      <w14:ligatures w14:val="none"/>
    </w:rPr>
  </w:style>
  <w:style w:type="paragraph" w:styleId="Ttulo1">
    <w:name w:val="heading 1"/>
    <w:basedOn w:val="Normal"/>
    <w:next w:val="Normal"/>
    <w:link w:val="Ttulo1Car"/>
    <w:uiPriority w:val="9"/>
    <w:qFormat/>
    <w:rsid w:val="00BD0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0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02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02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02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02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02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02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02C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02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02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02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02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02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02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02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02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02CA"/>
    <w:rPr>
      <w:rFonts w:eastAsiaTheme="majorEastAsia" w:cstheme="majorBidi"/>
      <w:color w:val="272727" w:themeColor="text1" w:themeTint="D8"/>
    </w:rPr>
  </w:style>
  <w:style w:type="paragraph" w:styleId="Ttulo">
    <w:name w:val="Title"/>
    <w:basedOn w:val="Normal"/>
    <w:next w:val="Normal"/>
    <w:link w:val="TtuloCar"/>
    <w:uiPriority w:val="10"/>
    <w:qFormat/>
    <w:rsid w:val="00BD0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02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02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02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02CA"/>
    <w:pPr>
      <w:spacing w:before="160"/>
      <w:jc w:val="center"/>
    </w:pPr>
    <w:rPr>
      <w:i/>
      <w:iCs/>
      <w:color w:val="404040" w:themeColor="text1" w:themeTint="BF"/>
    </w:rPr>
  </w:style>
  <w:style w:type="character" w:customStyle="1" w:styleId="CitaCar">
    <w:name w:val="Cita Car"/>
    <w:basedOn w:val="Fuentedeprrafopredeter"/>
    <w:link w:val="Cita"/>
    <w:uiPriority w:val="29"/>
    <w:rsid w:val="00BD02CA"/>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D02CA"/>
    <w:pPr>
      <w:ind w:left="720"/>
      <w:contextualSpacing/>
    </w:pPr>
  </w:style>
  <w:style w:type="character" w:styleId="nfasisintenso">
    <w:name w:val="Intense Emphasis"/>
    <w:basedOn w:val="Fuentedeprrafopredeter"/>
    <w:uiPriority w:val="21"/>
    <w:qFormat/>
    <w:rsid w:val="00BD02CA"/>
    <w:rPr>
      <w:i/>
      <w:iCs/>
      <w:color w:val="0F4761" w:themeColor="accent1" w:themeShade="BF"/>
    </w:rPr>
  </w:style>
  <w:style w:type="paragraph" w:styleId="Citadestacada">
    <w:name w:val="Intense Quote"/>
    <w:basedOn w:val="Normal"/>
    <w:next w:val="Normal"/>
    <w:link w:val="CitadestacadaCar"/>
    <w:uiPriority w:val="30"/>
    <w:qFormat/>
    <w:rsid w:val="00BD0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02CA"/>
    <w:rPr>
      <w:i/>
      <w:iCs/>
      <w:color w:val="0F4761" w:themeColor="accent1" w:themeShade="BF"/>
    </w:rPr>
  </w:style>
  <w:style w:type="character" w:styleId="Referenciaintensa">
    <w:name w:val="Intense Reference"/>
    <w:basedOn w:val="Fuentedeprrafopredeter"/>
    <w:uiPriority w:val="32"/>
    <w:qFormat/>
    <w:rsid w:val="00BD02CA"/>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D02C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D02CA"/>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BD02CA"/>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BD02CA"/>
    <w:rPr>
      <w:vertAlign w:val="superscript"/>
    </w:rPr>
  </w:style>
  <w:style w:type="paragraph" w:customStyle="1" w:styleId="Appelnotedebasde">
    <w:name w:val="Appel note de bas de..."/>
    <w:basedOn w:val="Normal"/>
    <w:link w:val="Refdenotaalpie"/>
    <w:rsid w:val="00BD02CA"/>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BD02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02CA"/>
    <w:rPr>
      <w:kern w:val="0"/>
      <w14:ligatures w14:val="none"/>
    </w:rPr>
  </w:style>
  <w:style w:type="paragraph" w:styleId="Piedepgina">
    <w:name w:val="footer"/>
    <w:basedOn w:val="Normal"/>
    <w:link w:val="PiedepginaCar"/>
    <w:uiPriority w:val="99"/>
    <w:unhideWhenUsed/>
    <w:rsid w:val="00BD02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02CA"/>
    <w:rPr>
      <w:kern w:val="0"/>
      <w14:ligatures w14:val="none"/>
    </w:rPr>
  </w:style>
  <w:style w:type="table" w:styleId="Tablaconcuadrcula">
    <w:name w:val="Table Grid"/>
    <w:basedOn w:val="Tablanormal"/>
    <w:uiPriority w:val="39"/>
    <w:qFormat/>
    <w:rsid w:val="00BD02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02CA"/>
    <w:rPr>
      <w:color w:val="467886" w:themeColor="hyperlink"/>
      <w:u w:val="single"/>
    </w:rPr>
  </w:style>
  <w:style w:type="character" w:styleId="Refdecomentario">
    <w:name w:val="annotation reference"/>
    <w:basedOn w:val="Fuentedeprrafopredeter"/>
    <w:uiPriority w:val="99"/>
    <w:semiHidden/>
    <w:unhideWhenUsed/>
    <w:rsid w:val="00BD02CA"/>
    <w:rPr>
      <w:sz w:val="16"/>
      <w:szCs w:val="16"/>
    </w:rPr>
  </w:style>
  <w:style w:type="paragraph" w:styleId="Textocomentario">
    <w:name w:val="annotation text"/>
    <w:basedOn w:val="Normal"/>
    <w:link w:val="TextocomentarioCar"/>
    <w:uiPriority w:val="99"/>
    <w:unhideWhenUsed/>
    <w:rsid w:val="00BD02CA"/>
    <w:pPr>
      <w:spacing w:line="240" w:lineRule="auto"/>
    </w:pPr>
    <w:rPr>
      <w:sz w:val="20"/>
      <w:szCs w:val="20"/>
    </w:rPr>
  </w:style>
  <w:style w:type="character" w:customStyle="1" w:styleId="TextocomentarioCar">
    <w:name w:val="Texto comentario Car"/>
    <w:basedOn w:val="Fuentedeprrafopredeter"/>
    <w:link w:val="Textocomentario"/>
    <w:uiPriority w:val="99"/>
    <w:rsid w:val="00BD02CA"/>
    <w:rPr>
      <w:kern w:val="0"/>
      <w:sz w:val="20"/>
      <w:szCs w:val="20"/>
      <w14:ligatures w14:val="none"/>
    </w:rPr>
  </w:style>
  <w:style w:type="character" w:customStyle="1" w:styleId="normaltextrun">
    <w:name w:val="normaltextrun"/>
    <w:basedOn w:val="Fuentedeprrafopredeter"/>
    <w:rsid w:val="00BD02CA"/>
  </w:style>
  <w:style w:type="character" w:customStyle="1" w:styleId="eop">
    <w:name w:val="eop"/>
    <w:basedOn w:val="Fuentedeprrafopredeter"/>
    <w:rsid w:val="00BD02CA"/>
  </w:style>
  <w:style w:type="paragraph" w:customStyle="1" w:styleId="paragraph">
    <w:name w:val="paragraph"/>
    <w:basedOn w:val="Normal"/>
    <w:rsid w:val="00BD02C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D02CA"/>
  </w:style>
  <w:style w:type="character" w:styleId="Mencinsinresolver">
    <w:name w:val="Unresolved Mention"/>
    <w:basedOn w:val="Fuentedeprrafopredeter"/>
    <w:uiPriority w:val="99"/>
    <w:semiHidden/>
    <w:unhideWhenUsed/>
    <w:rsid w:val="00BD02CA"/>
    <w:rPr>
      <w:color w:val="605E5C"/>
      <w:shd w:val="clear" w:color="auto" w:fill="E1DFDD"/>
    </w:rPr>
  </w:style>
  <w:style w:type="paragraph" w:styleId="Revisin">
    <w:name w:val="Revision"/>
    <w:hidden/>
    <w:uiPriority w:val="99"/>
    <w:semiHidden/>
    <w:rsid w:val="004A289C"/>
    <w:pPr>
      <w:spacing w:after="0" w:line="240" w:lineRule="auto"/>
    </w:pPr>
    <w:rPr>
      <w:kern w:val="0"/>
      <w14:ligatures w14:val="none"/>
    </w:rPr>
  </w:style>
  <w:style w:type="paragraph" w:styleId="Textoindependiente">
    <w:name w:val="Body Text"/>
    <w:basedOn w:val="Normal"/>
    <w:link w:val="TextoindependienteCar"/>
    <w:uiPriority w:val="1"/>
    <w:qFormat/>
    <w:rsid w:val="0050095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0095A"/>
    <w:rPr>
      <w:rFonts w:ascii="Arial MT" w:eastAsia="Arial MT" w:hAnsi="Arial MT" w:cs="Arial MT"/>
      <w:kern w:val="0"/>
      <w:lang w:val="es-ES"/>
      <w14:ligatures w14:val="none"/>
    </w:rPr>
  </w:style>
  <w:style w:type="character" w:styleId="Textoennegrita">
    <w:name w:val="Strong"/>
    <w:basedOn w:val="Fuentedeprrafopredeter"/>
    <w:uiPriority w:val="22"/>
    <w:qFormat/>
    <w:rsid w:val="00FE747F"/>
    <w:rPr>
      <w:b/>
      <w:bCs/>
    </w:rPr>
  </w:style>
  <w:style w:type="paragraph" w:customStyle="1" w:styleId="western">
    <w:name w:val="western"/>
    <w:basedOn w:val="Normal"/>
    <w:rsid w:val="00FE747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5644">
      <w:bodyDiv w:val="1"/>
      <w:marLeft w:val="0"/>
      <w:marRight w:val="0"/>
      <w:marTop w:val="0"/>
      <w:marBottom w:val="0"/>
      <w:divBdr>
        <w:top w:val="none" w:sz="0" w:space="0" w:color="auto"/>
        <w:left w:val="none" w:sz="0" w:space="0" w:color="auto"/>
        <w:bottom w:val="none" w:sz="0" w:space="0" w:color="auto"/>
        <w:right w:val="none" w:sz="0" w:space="0" w:color="auto"/>
      </w:divBdr>
    </w:div>
    <w:div w:id="337345512">
      <w:bodyDiv w:val="1"/>
      <w:marLeft w:val="0"/>
      <w:marRight w:val="0"/>
      <w:marTop w:val="0"/>
      <w:marBottom w:val="0"/>
      <w:divBdr>
        <w:top w:val="none" w:sz="0" w:space="0" w:color="auto"/>
        <w:left w:val="none" w:sz="0" w:space="0" w:color="auto"/>
        <w:bottom w:val="none" w:sz="0" w:space="0" w:color="auto"/>
        <w:right w:val="none" w:sz="0" w:space="0" w:color="auto"/>
      </w:divBdr>
    </w:div>
    <w:div w:id="376391070">
      <w:bodyDiv w:val="1"/>
      <w:marLeft w:val="0"/>
      <w:marRight w:val="0"/>
      <w:marTop w:val="0"/>
      <w:marBottom w:val="0"/>
      <w:divBdr>
        <w:top w:val="none" w:sz="0" w:space="0" w:color="auto"/>
        <w:left w:val="none" w:sz="0" w:space="0" w:color="auto"/>
        <w:bottom w:val="none" w:sz="0" w:space="0" w:color="auto"/>
        <w:right w:val="none" w:sz="0" w:space="0" w:color="auto"/>
      </w:divBdr>
    </w:div>
    <w:div w:id="512301586">
      <w:bodyDiv w:val="1"/>
      <w:marLeft w:val="0"/>
      <w:marRight w:val="0"/>
      <w:marTop w:val="0"/>
      <w:marBottom w:val="0"/>
      <w:divBdr>
        <w:top w:val="none" w:sz="0" w:space="0" w:color="auto"/>
        <w:left w:val="none" w:sz="0" w:space="0" w:color="auto"/>
        <w:bottom w:val="none" w:sz="0" w:space="0" w:color="auto"/>
        <w:right w:val="none" w:sz="0" w:space="0" w:color="auto"/>
      </w:divBdr>
    </w:div>
    <w:div w:id="529536187">
      <w:bodyDiv w:val="1"/>
      <w:marLeft w:val="0"/>
      <w:marRight w:val="0"/>
      <w:marTop w:val="0"/>
      <w:marBottom w:val="0"/>
      <w:divBdr>
        <w:top w:val="none" w:sz="0" w:space="0" w:color="auto"/>
        <w:left w:val="none" w:sz="0" w:space="0" w:color="auto"/>
        <w:bottom w:val="none" w:sz="0" w:space="0" w:color="auto"/>
        <w:right w:val="none" w:sz="0" w:space="0" w:color="auto"/>
      </w:divBdr>
    </w:div>
    <w:div w:id="1173686123">
      <w:bodyDiv w:val="1"/>
      <w:marLeft w:val="0"/>
      <w:marRight w:val="0"/>
      <w:marTop w:val="0"/>
      <w:marBottom w:val="0"/>
      <w:divBdr>
        <w:top w:val="none" w:sz="0" w:space="0" w:color="auto"/>
        <w:left w:val="none" w:sz="0" w:space="0" w:color="auto"/>
        <w:bottom w:val="none" w:sz="0" w:space="0" w:color="auto"/>
        <w:right w:val="none" w:sz="0" w:space="0" w:color="auto"/>
      </w:divBdr>
      <w:divsChild>
        <w:div w:id="1725250491">
          <w:marLeft w:val="0"/>
          <w:marRight w:val="0"/>
          <w:marTop w:val="0"/>
          <w:marBottom w:val="0"/>
          <w:divBdr>
            <w:top w:val="none" w:sz="0" w:space="0" w:color="auto"/>
            <w:left w:val="none" w:sz="0" w:space="0" w:color="auto"/>
            <w:bottom w:val="none" w:sz="0" w:space="0" w:color="auto"/>
            <w:right w:val="none" w:sz="0" w:space="0" w:color="auto"/>
          </w:divBdr>
        </w:div>
        <w:div w:id="14696875">
          <w:marLeft w:val="0"/>
          <w:marRight w:val="0"/>
          <w:marTop w:val="0"/>
          <w:marBottom w:val="0"/>
          <w:divBdr>
            <w:top w:val="none" w:sz="0" w:space="0" w:color="auto"/>
            <w:left w:val="none" w:sz="0" w:space="0" w:color="auto"/>
            <w:bottom w:val="none" w:sz="0" w:space="0" w:color="auto"/>
            <w:right w:val="none" w:sz="0" w:space="0" w:color="auto"/>
          </w:divBdr>
        </w:div>
        <w:div w:id="1435514727">
          <w:marLeft w:val="0"/>
          <w:marRight w:val="0"/>
          <w:marTop w:val="0"/>
          <w:marBottom w:val="0"/>
          <w:divBdr>
            <w:top w:val="none" w:sz="0" w:space="0" w:color="auto"/>
            <w:left w:val="none" w:sz="0" w:space="0" w:color="auto"/>
            <w:bottom w:val="none" w:sz="0" w:space="0" w:color="auto"/>
            <w:right w:val="none" w:sz="0" w:space="0" w:color="auto"/>
          </w:divBdr>
        </w:div>
        <w:div w:id="2072577313">
          <w:marLeft w:val="0"/>
          <w:marRight w:val="0"/>
          <w:marTop w:val="0"/>
          <w:marBottom w:val="0"/>
          <w:divBdr>
            <w:top w:val="none" w:sz="0" w:space="0" w:color="auto"/>
            <w:left w:val="none" w:sz="0" w:space="0" w:color="auto"/>
            <w:bottom w:val="none" w:sz="0" w:space="0" w:color="auto"/>
            <w:right w:val="none" w:sz="0" w:space="0" w:color="auto"/>
          </w:divBdr>
        </w:div>
        <w:div w:id="1262686187">
          <w:marLeft w:val="0"/>
          <w:marRight w:val="0"/>
          <w:marTop w:val="0"/>
          <w:marBottom w:val="0"/>
          <w:divBdr>
            <w:top w:val="none" w:sz="0" w:space="0" w:color="auto"/>
            <w:left w:val="none" w:sz="0" w:space="0" w:color="auto"/>
            <w:bottom w:val="none" w:sz="0" w:space="0" w:color="auto"/>
            <w:right w:val="none" w:sz="0" w:space="0" w:color="auto"/>
          </w:divBdr>
        </w:div>
      </w:divsChild>
    </w:div>
    <w:div w:id="1361124171">
      <w:bodyDiv w:val="1"/>
      <w:marLeft w:val="0"/>
      <w:marRight w:val="0"/>
      <w:marTop w:val="0"/>
      <w:marBottom w:val="0"/>
      <w:divBdr>
        <w:top w:val="none" w:sz="0" w:space="0" w:color="auto"/>
        <w:left w:val="none" w:sz="0" w:space="0" w:color="auto"/>
        <w:bottom w:val="none" w:sz="0" w:space="0" w:color="auto"/>
        <w:right w:val="none" w:sz="0" w:space="0" w:color="auto"/>
      </w:divBdr>
    </w:div>
    <w:div w:id="1660692452">
      <w:bodyDiv w:val="1"/>
      <w:marLeft w:val="0"/>
      <w:marRight w:val="0"/>
      <w:marTop w:val="0"/>
      <w:marBottom w:val="0"/>
      <w:divBdr>
        <w:top w:val="none" w:sz="0" w:space="0" w:color="auto"/>
        <w:left w:val="none" w:sz="0" w:space="0" w:color="auto"/>
        <w:bottom w:val="none" w:sz="0" w:space="0" w:color="auto"/>
        <w:right w:val="none" w:sz="0" w:space="0" w:color="auto"/>
      </w:divBdr>
      <w:divsChild>
        <w:div w:id="342710727">
          <w:marLeft w:val="0"/>
          <w:marRight w:val="0"/>
          <w:marTop w:val="0"/>
          <w:marBottom w:val="0"/>
          <w:divBdr>
            <w:top w:val="none" w:sz="0" w:space="0" w:color="auto"/>
            <w:left w:val="none" w:sz="0" w:space="0" w:color="auto"/>
            <w:bottom w:val="none" w:sz="0" w:space="0" w:color="auto"/>
            <w:right w:val="none" w:sz="0" w:space="0" w:color="auto"/>
          </w:divBdr>
        </w:div>
        <w:div w:id="1170750616">
          <w:marLeft w:val="0"/>
          <w:marRight w:val="0"/>
          <w:marTop w:val="0"/>
          <w:marBottom w:val="0"/>
          <w:divBdr>
            <w:top w:val="none" w:sz="0" w:space="0" w:color="auto"/>
            <w:left w:val="none" w:sz="0" w:space="0" w:color="auto"/>
            <w:bottom w:val="none" w:sz="0" w:space="0" w:color="auto"/>
            <w:right w:val="none" w:sz="0" w:space="0" w:color="auto"/>
          </w:divBdr>
        </w:div>
        <w:div w:id="800266138">
          <w:marLeft w:val="0"/>
          <w:marRight w:val="0"/>
          <w:marTop w:val="0"/>
          <w:marBottom w:val="0"/>
          <w:divBdr>
            <w:top w:val="none" w:sz="0" w:space="0" w:color="auto"/>
            <w:left w:val="none" w:sz="0" w:space="0" w:color="auto"/>
            <w:bottom w:val="none" w:sz="0" w:space="0" w:color="auto"/>
            <w:right w:val="none" w:sz="0" w:space="0" w:color="auto"/>
          </w:divBdr>
        </w:div>
        <w:div w:id="174272519">
          <w:marLeft w:val="0"/>
          <w:marRight w:val="0"/>
          <w:marTop w:val="0"/>
          <w:marBottom w:val="0"/>
          <w:divBdr>
            <w:top w:val="none" w:sz="0" w:space="0" w:color="auto"/>
            <w:left w:val="none" w:sz="0" w:space="0" w:color="auto"/>
            <w:bottom w:val="none" w:sz="0" w:space="0" w:color="auto"/>
            <w:right w:val="none" w:sz="0" w:space="0" w:color="auto"/>
          </w:divBdr>
        </w:div>
        <w:div w:id="127551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garciaf@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olombiacompra.gov.co/sites/cce_public/files/files_2020/boletin_de_realtoria_iii.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4992</Words>
  <Characters>27461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Gloria Ximena Moreno Guio</cp:lastModifiedBy>
  <cp:revision>26</cp:revision>
  <dcterms:created xsi:type="dcterms:W3CDTF">2024-09-13T19:03:00Z</dcterms:created>
  <dcterms:modified xsi:type="dcterms:W3CDTF">2024-10-11T00:54:00Z</dcterms:modified>
</cp:coreProperties>
</file>