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2CF0B3" w14:textId="77777777" w:rsidR="003B3684" w:rsidRPr="0049612B" w:rsidRDefault="003B3684" w:rsidP="003B3684">
      <w:pPr>
        <w:spacing w:after="0" w:line="240" w:lineRule="auto"/>
        <w:jc w:val="both"/>
        <w:rPr>
          <w:rFonts w:ascii="Verdana" w:eastAsia="Calibri" w:hAnsi="Verdana" w:cs="Arial"/>
          <w:b/>
          <w:bCs/>
          <w:lang w:val="es-ES" w:eastAsia="es-ES"/>
        </w:rPr>
      </w:pPr>
      <w:r w:rsidRPr="47862E06">
        <w:rPr>
          <w:rFonts w:ascii="Verdana" w:eastAsia="Calibri" w:hAnsi="Verdana" w:cs="Arial"/>
          <w:b/>
          <w:bCs/>
          <w:lang w:val="es-ES" w:eastAsia="es-ES"/>
        </w:rPr>
        <w:t xml:space="preserve">CONTRATACIÓN PÚBLICA – Principio de publicidad – Principio de transparencia – Uso del SECOP </w:t>
      </w:r>
    </w:p>
    <w:p w14:paraId="6B1ACFFA" w14:textId="77777777" w:rsidR="003B3684" w:rsidRPr="0049612B" w:rsidRDefault="003B3684" w:rsidP="003B3684">
      <w:pPr>
        <w:spacing w:after="0" w:line="240" w:lineRule="auto"/>
        <w:jc w:val="both"/>
        <w:rPr>
          <w:rFonts w:ascii="Verdana" w:eastAsia="Calibri" w:hAnsi="Verdana" w:cs="Arial"/>
          <w:b/>
          <w:bCs/>
          <w:sz w:val="20"/>
          <w:szCs w:val="20"/>
          <w:lang w:val="es-ES_tradnl" w:eastAsia="es-ES_tradnl"/>
        </w:rPr>
      </w:pPr>
    </w:p>
    <w:p w14:paraId="7EA99890" w14:textId="77777777" w:rsidR="003B3684" w:rsidRDefault="003B3684" w:rsidP="003B3684">
      <w:pPr>
        <w:spacing w:after="0" w:line="240" w:lineRule="auto"/>
        <w:jc w:val="both"/>
        <w:rPr>
          <w:rFonts w:ascii="Verdana" w:eastAsia="Aptos" w:hAnsi="Verdana" w:cs="Times New Roman"/>
          <w:sz w:val="20"/>
          <w:szCs w:val="20"/>
        </w:rPr>
      </w:pPr>
      <w:r w:rsidRPr="0049612B">
        <w:rPr>
          <w:rFonts w:ascii="Verdana" w:eastAsia="Aptos" w:hAnsi="Verdana" w:cs="Times New Roman"/>
          <w:sz w:val="20"/>
          <w:szCs w:val="20"/>
        </w:rPr>
        <w:t>El principio de publicidad impone a las autoridades el debe</w:t>
      </w:r>
      <w:r>
        <w:rPr>
          <w:rFonts w:ascii="Verdana" w:eastAsia="Aptos" w:hAnsi="Verdana" w:cs="Times New Roman"/>
          <w:sz w:val="20"/>
          <w:szCs w:val="20"/>
        </w:rPr>
        <w:t>r</w:t>
      </w:r>
      <w:r w:rsidRPr="0049612B">
        <w:rPr>
          <w:rFonts w:ascii="Verdana" w:eastAsia="Aptos" w:hAnsi="Verdana" w:cs="Times New Roman"/>
          <w:sz w:val="20"/>
          <w:szCs w:val="20"/>
        </w:rPr>
        <w:t xml:space="preserve"> de dar a conocer sus actos, contratos y decisiones, para que se divulguen y, eventualmente, se controlen dichas actuaciones. Es por eso por lo que, en materia de la contratación estatal, el literal c) del artículo 3 de la Ley 1150 de 2007 establece el Sistema Electrónico para la Contratación Pública, en adelante SECOP, como un mecanismo que “contará con la información oficial de la contratación realizada con dineros públicos, para lo cual establecerá los patrones a que haya lugar y se encargará de su difusión a través de canales electrónicos”.</w:t>
      </w:r>
    </w:p>
    <w:p w14:paraId="4B4EB822" w14:textId="77777777" w:rsidR="003B3684" w:rsidRPr="0049612B" w:rsidRDefault="003B3684" w:rsidP="003B3684">
      <w:pPr>
        <w:spacing w:after="0" w:line="240" w:lineRule="auto"/>
        <w:jc w:val="both"/>
        <w:rPr>
          <w:rFonts w:ascii="Verdana" w:eastAsia="Aptos" w:hAnsi="Verdana" w:cs="Times New Roman"/>
          <w:sz w:val="20"/>
          <w:szCs w:val="20"/>
        </w:rPr>
      </w:pPr>
    </w:p>
    <w:p w14:paraId="25FAD8E1" w14:textId="77777777" w:rsidR="003B3684" w:rsidRDefault="003B3684" w:rsidP="003B3684">
      <w:pPr>
        <w:spacing w:after="0" w:line="240" w:lineRule="auto"/>
        <w:jc w:val="both"/>
        <w:rPr>
          <w:rFonts w:ascii="Verdana" w:eastAsia="Aptos" w:hAnsi="Verdana" w:cs="Times New Roman"/>
          <w:sz w:val="20"/>
          <w:szCs w:val="20"/>
        </w:rPr>
      </w:pPr>
      <w:r w:rsidRPr="0049612B">
        <w:rPr>
          <w:rFonts w:ascii="Verdana" w:eastAsia="Aptos" w:hAnsi="Verdana" w:cs="Times New Roman"/>
          <w:sz w:val="20"/>
          <w:szCs w:val="20"/>
        </w:rPr>
        <w:t>[…]</w:t>
      </w:r>
    </w:p>
    <w:p w14:paraId="235EF220" w14:textId="77777777" w:rsidR="003B3684" w:rsidRPr="0049612B" w:rsidRDefault="003B3684" w:rsidP="003B3684">
      <w:pPr>
        <w:spacing w:after="0" w:line="240" w:lineRule="auto"/>
        <w:jc w:val="both"/>
        <w:rPr>
          <w:rFonts w:ascii="Verdana" w:eastAsia="Aptos" w:hAnsi="Verdana" w:cs="Times New Roman"/>
          <w:sz w:val="20"/>
          <w:szCs w:val="20"/>
        </w:rPr>
      </w:pPr>
    </w:p>
    <w:p w14:paraId="0C7B8CEC" w14:textId="77777777" w:rsidR="003B3684" w:rsidRPr="0049612B" w:rsidRDefault="003B3684" w:rsidP="003B3684">
      <w:pPr>
        <w:spacing w:after="0" w:line="240" w:lineRule="auto"/>
        <w:jc w:val="both"/>
        <w:rPr>
          <w:rFonts w:ascii="Verdana" w:eastAsia="Aptos" w:hAnsi="Verdana" w:cs="Times New Roman"/>
          <w:sz w:val="20"/>
          <w:szCs w:val="20"/>
        </w:rPr>
      </w:pPr>
      <w:r w:rsidRPr="0049612B">
        <w:rPr>
          <w:rFonts w:ascii="Verdana" w:eastAsia="Aptos" w:hAnsi="Verdana" w:cs="Times New Roman"/>
          <w:sz w:val="20"/>
          <w:szCs w:val="20"/>
        </w:rPr>
        <w:t>De otra parte, la Ley 1712 de 2014 “Por medio de la cual se crea la Ley de Transparencia y del Derecho de Acceso a la Información Pública Nacional y se dictan otras disposiciones”, identifica como principios que orientan el derecho de acceso a la información pública, el principio de máxima publicidad, el principio de transparencia en la información y el principio de buena fe. El principio de máxima publicidad establece que “toda información en posesión, bajo control o custodia de un sujeto obligado es pública y no podrá ser reservada o limitada sino por disposición constitucional o legal”. El principio de transparencia en la información alude al deber de los sujetos de proporcionar y facilitar el acceso a la misma en los términos más amplios posibles, a través de los medios y procedimientos legales. Y el principio de buena fe hace referencia al deber de todo sujeto obligado de cumplir con las obligaciones derivadas del derecho de acceso a la información pública con motivación honesta, leal y desprovista de cualquier intención dolosa o culposa</w:t>
      </w:r>
    </w:p>
    <w:p w14:paraId="7AD9DE4C" w14:textId="77777777" w:rsidR="003B3684" w:rsidRPr="0049612B" w:rsidRDefault="003B3684" w:rsidP="003B3684">
      <w:pPr>
        <w:spacing w:after="0" w:line="240" w:lineRule="auto"/>
        <w:jc w:val="both"/>
        <w:rPr>
          <w:rFonts w:ascii="Verdana" w:eastAsia="Aptos" w:hAnsi="Verdana" w:cs="Times New Roman"/>
          <w:sz w:val="20"/>
          <w:szCs w:val="20"/>
        </w:rPr>
      </w:pPr>
    </w:p>
    <w:p w14:paraId="1331FC07" w14:textId="77777777" w:rsidR="003B3684" w:rsidRDefault="003B3684" w:rsidP="003B3684">
      <w:pPr>
        <w:spacing w:after="0" w:line="240" w:lineRule="auto"/>
        <w:jc w:val="both"/>
        <w:rPr>
          <w:rFonts w:ascii="Verdana" w:eastAsia="Times New Roman" w:hAnsi="Verdana" w:cs="Arial"/>
          <w:noProof/>
          <w:lang w:val="es-ES" w:eastAsia="es-ES_tradnl"/>
        </w:rPr>
      </w:pPr>
    </w:p>
    <w:p w14:paraId="7F9E5A1A" w14:textId="77777777" w:rsidR="003B3684" w:rsidRDefault="003B3684" w:rsidP="003B3684">
      <w:pPr>
        <w:spacing w:after="0" w:line="240" w:lineRule="auto"/>
        <w:jc w:val="both"/>
        <w:rPr>
          <w:rFonts w:ascii="Verdana" w:eastAsia="Times New Roman" w:hAnsi="Verdana" w:cs="Arial"/>
          <w:noProof/>
          <w:lang w:val="es-ES" w:eastAsia="es-ES_tradnl"/>
        </w:rPr>
      </w:pPr>
    </w:p>
    <w:p w14:paraId="78F3952C" w14:textId="77777777" w:rsidR="003B3684" w:rsidRDefault="003B3684" w:rsidP="003B3684">
      <w:pPr>
        <w:spacing w:after="0" w:line="240" w:lineRule="auto"/>
        <w:jc w:val="both"/>
        <w:rPr>
          <w:rFonts w:ascii="Verdana" w:eastAsia="Times New Roman" w:hAnsi="Verdana" w:cs="Arial"/>
          <w:noProof/>
          <w:lang w:val="es-ES" w:eastAsia="es-ES_tradnl"/>
        </w:rPr>
      </w:pPr>
    </w:p>
    <w:p w14:paraId="33AEB165" w14:textId="77777777" w:rsidR="003B3684" w:rsidRDefault="003B3684" w:rsidP="003B3684">
      <w:pPr>
        <w:spacing w:after="0" w:line="240" w:lineRule="auto"/>
        <w:jc w:val="both"/>
        <w:rPr>
          <w:rFonts w:ascii="Verdana" w:eastAsia="Times New Roman" w:hAnsi="Verdana" w:cs="Arial"/>
          <w:noProof/>
          <w:lang w:val="es-ES" w:eastAsia="es-ES_tradnl"/>
        </w:rPr>
      </w:pPr>
    </w:p>
    <w:p w14:paraId="4FD845A2" w14:textId="77777777" w:rsidR="003B3684" w:rsidRDefault="003B3684" w:rsidP="003B3684">
      <w:pPr>
        <w:spacing w:after="0" w:line="240" w:lineRule="auto"/>
        <w:jc w:val="both"/>
        <w:rPr>
          <w:rFonts w:ascii="Verdana" w:eastAsia="Times New Roman" w:hAnsi="Verdana" w:cs="Arial"/>
          <w:noProof/>
          <w:lang w:val="es-ES" w:eastAsia="es-ES_tradnl"/>
        </w:rPr>
      </w:pPr>
    </w:p>
    <w:p w14:paraId="36F43ECE" w14:textId="77777777" w:rsidR="003B3684" w:rsidRDefault="003B3684" w:rsidP="003B3684">
      <w:pPr>
        <w:spacing w:after="0" w:line="240" w:lineRule="auto"/>
        <w:jc w:val="both"/>
        <w:rPr>
          <w:rFonts w:ascii="Verdana" w:eastAsia="Times New Roman" w:hAnsi="Verdana" w:cs="Arial"/>
          <w:noProof/>
          <w:lang w:val="es-ES" w:eastAsia="es-ES_tradnl"/>
        </w:rPr>
      </w:pPr>
    </w:p>
    <w:p w14:paraId="531A2E57" w14:textId="77777777" w:rsidR="003B3684" w:rsidRDefault="003B3684" w:rsidP="003B3684">
      <w:pPr>
        <w:spacing w:after="0" w:line="240" w:lineRule="auto"/>
        <w:jc w:val="both"/>
        <w:rPr>
          <w:rFonts w:ascii="Verdana" w:eastAsia="Times New Roman" w:hAnsi="Verdana" w:cs="Arial"/>
          <w:noProof/>
          <w:lang w:val="es-ES" w:eastAsia="es-ES_tradnl"/>
        </w:rPr>
      </w:pPr>
    </w:p>
    <w:p w14:paraId="2E70A0B7" w14:textId="77777777" w:rsidR="003B3684" w:rsidRDefault="003B3684" w:rsidP="003B3684">
      <w:pPr>
        <w:spacing w:after="0" w:line="240" w:lineRule="auto"/>
        <w:jc w:val="both"/>
        <w:rPr>
          <w:rFonts w:ascii="Verdana" w:eastAsia="Times New Roman" w:hAnsi="Verdana" w:cs="Arial"/>
          <w:noProof/>
          <w:lang w:val="es-ES" w:eastAsia="es-ES_tradnl"/>
        </w:rPr>
      </w:pPr>
    </w:p>
    <w:p w14:paraId="31D24F8B" w14:textId="77777777" w:rsidR="003B3684" w:rsidRDefault="003B3684" w:rsidP="003B3684">
      <w:pPr>
        <w:spacing w:after="0" w:line="240" w:lineRule="auto"/>
        <w:jc w:val="both"/>
        <w:rPr>
          <w:rFonts w:ascii="Verdana" w:eastAsia="Times New Roman" w:hAnsi="Verdana" w:cs="Arial"/>
          <w:noProof/>
          <w:lang w:val="es-ES" w:eastAsia="es-ES_tradnl"/>
        </w:rPr>
      </w:pPr>
    </w:p>
    <w:p w14:paraId="6C4250C6" w14:textId="77777777" w:rsidR="003B3684" w:rsidRDefault="003B3684" w:rsidP="003B3684">
      <w:pPr>
        <w:spacing w:after="0" w:line="240" w:lineRule="auto"/>
        <w:jc w:val="both"/>
        <w:rPr>
          <w:rFonts w:ascii="Verdana" w:eastAsia="Times New Roman" w:hAnsi="Verdana" w:cs="Arial"/>
          <w:noProof/>
          <w:lang w:val="es-ES" w:eastAsia="es-ES_tradnl"/>
        </w:rPr>
      </w:pPr>
    </w:p>
    <w:p w14:paraId="4721AE7F" w14:textId="77777777" w:rsidR="003B3684" w:rsidRDefault="003B3684" w:rsidP="003B3684">
      <w:pPr>
        <w:spacing w:after="0" w:line="240" w:lineRule="auto"/>
        <w:jc w:val="both"/>
        <w:rPr>
          <w:rFonts w:ascii="Verdana" w:eastAsia="Times New Roman" w:hAnsi="Verdana" w:cs="Arial"/>
          <w:noProof/>
          <w:lang w:val="es-ES" w:eastAsia="es-ES_tradnl"/>
        </w:rPr>
      </w:pPr>
    </w:p>
    <w:p w14:paraId="72300DA2" w14:textId="77777777" w:rsidR="003B3684" w:rsidRDefault="003B3684" w:rsidP="003B3684">
      <w:pPr>
        <w:spacing w:after="0" w:line="240" w:lineRule="auto"/>
        <w:jc w:val="both"/>
        <w:rPr>
          <w:rFonts w:ascii="Verdana" w:eastAsia="Times New Roman" w:hAnsi="Verdana" w:cs="Arial"/>
          <w:noProof/>
          <w:lang w:val="es-ES_tradnl" w:eastAsia="es-ES_tradnl"/>
        </w:rPr>
      </w:pPr>
    </w:p>
    <w:p w14:paraId="3887F557" w14:textId="77777777" w:rsidR="003B3684" w:rsidRDefault="003B3684" w:rsidP="003B3684">
      <w:pPr>
        <w:spacing w:after="0" w:line="240" w:lineRule="auto"/>
        <w:jc w:val="both"/>
        <w:rPr>
          <w:rFonts w:ascii="Verdana" w:eastAsia="Times New Roman" w:hAnsi="Verdana" w:cs="Arial"/>
          <w:noProof/>
          <w:lang w:val="es-ES_tradnl" w:eastAsia="es-ES_tradnl"/>
        </w:rPr>
      </w:pPr>
    </w:p>
    <w:p w14:paraId="52DBDD40" w14:textId="77777777" w:rsidR="003B3684" w:rsidRDefault="003B3684" w:rsidP="003B3684">
      <w:pPr>
        <w:spacing w:after="0" w:line="240" w:lineRule="auto"/>
        <w:jc w:val="both"/>
        <w:rPr>
          <w:rFonts w:ascii="Verdana" w:eastAsia="Times New Roman" w:hAnsi="Verdana" w:cs="Arial"/>
          <w:noProof/>
          <w:lang w:val="es-ES_tradnl" w:eastAsia="es-ES_tradnl"/>
        </w:rPr>
      </w:pPr>
    </w:p>
    <w:p w14:paraId="57C3C780" w14:textId="77777777" w:rsidR="003B3684" w:rsidRDefault="003B3684" w:rsidP="003B3684">
      <w:pPr>
        <w:spacing w:after="0" w:line="240" w:lineRule="auto"/>
        <w:jc w:val="both"/>
        <w:rPr>
          <w:rFonts w:ascii="Verdana" w:eastAsia="Times New Roman" w:hAnsi="Verdana" w:cs="Arial"/>
          <w:noProof/>
          <w:lang w:val="es-ES_tradnl" w:eastAsia="es-ES_tradnl"/>
        </w:rPr>
      </w:pPr>
    </w:p>
    <w:p w14:paraId="0CC95EE2" w14:textId="77777777" w:rsidR="003B3684" w:rsidRDefault="003B3684" w:rsidP="003B3684">
      <w:pPr>
        <w:spacing w:after="0" w:line="240" w:lineRule="auto"/>
        <w:jc w:val="both"/>
        <w:rPr>
          <w:rFonts w:ascii="Verdana" w:eastAsia="Times New Roman" w:hAnsi="Verdana" w:cs="Arial"/>
          <w:noProof/>
          <w:lang w:val="es-ES_tradnl" w:eastAsia="es-ES_tradnl"/>
        </w:rPr>
      </w:pPr>
    </w:p>
    <w:p w14:paraId="2449AE5D" w14:textId="77777777" w:rsidR="003B3684" w:rsidRDefault="003B3684" w:rsidP="003B3684">
      <w:pPr>
        <w:spacing w:after="0" w:line="240" w:lineRule="auto"/>
        <w:jc w:val="both"/>
        <w:rPr>
          <w:rFonts w:ascii="Verdana" w:eastAsia="Times New Roman" w:hAnsi="Verdana" w:cs="Arial"/>
          <w:noProof/>
          <w:lang w:val="es-ES_tradnl" w:eastAsia="es-ES_tradnl"/>
        </w:rPr>
      </w:pPr>
    </w:p>
    <w:p w14:paraId="39B2EA58" w14:textId="77777777" w:rsidR="003B3684" w:rsidRDefault="003B3684" w:rsidP="003B3684">
      <w:pPr>
        <w:spacing w:after="0" w:line="240" w:lineRule="auto"/>
        <w:jc w:val="both"/>
        <w:rPr>
          <w:rFonts w:ascii="Verdana" w:eastAsia="Times New Roman" w:hAnsi="Verdana" w:cs="Arial"/>
          <w:noProof/>
          <w:lang w:val="es-ES_tradnl" w:eastAsia="es-ES_tradnl"/>
        </w:rPr>
      </w:pPr>
    </w:p>
    <w:p w14:paraId="1FD51387" w14:textId="77777777" w:rsidR="003B3684" w:rsidRDefault="003B3684" w:rsidP="003B3684">
      <w:pPr>
        <w:spacing w:after="0" w:line="240" w:lineRule="auto"/>
        <w:jc w:val="both"/>
        <w:rPr>
          <w:rFonts w:ascii="Verdana" w:eastAsia="Times New Roman" w:hAnsi="Verdana" w:cs="Arial"/>
          <w:noProof/>
          <w:lang w:val="es-ES_tradnl" w:eastAsia="es-ES_tradnl"/>
        </w:rPr>
      </w:pPr>
    </w:p>
    <w:p w14:paraId="571E0E62" w14:textId="0D9F4DE2" w:rsidR="00C03AF4" w:rsidRPr="00262582" w:rsidRDefault="00C03AF4" w:rsidP="00C03AF4">
      <w:pPr>
        <w:spacing w:after="0" w:line="240" w:lineRule="auto"/>
        <w:jc w:val="both"/>
        <w:rPr>
          <w:rFonts w:ascii="Verdana" w:eastAsia="Times New Roman" w:hAnsi="Verdana" w:cs="Arial"/>
          <w:noProof/>
          <w:lang w:val="es-ES_tradnl" w:eastAsia="es-ES_tradnl"/>
        </w:rPr>
      </w:pPr>
      <w:r w:rsidRPr="00262582">
        <w:rPr>
          <w:rFonts w:ascii="Verdana" w:eastAsia="Times New Roman" w:hAnsi="Verdana" w:cs="Arial"/>
          <w:noProof/>
          <w:lang w:val="es-ES_tradnl" w:eastAsia="es-ES_tradnl"/>
        </w:rPr>
        <w:lastRenderedPageBreak/>
        <w:t>Bogotá D.C., [Día] de [Mes.NombreCapitalizado] de [Año]</w:t>
      </w:r>
    </w:p>
    <w:p w14:paraId="371AAB81" w14:textId="77777777" w:rsidR="00C03AF4" w:rsidRPr="00262582" w:rsidRDefault="00C03AF4" w:rsidP="00C03AF4">
      <w:pPr>
        <w:spacing w:after="0" w:line="240" w:lineRule="auto"/>
        <w:jc w:val="both"/>
        <w:rPr>
          <w:rFonts w:ascii="Verdana" w:eastAsia="Times New Roman" w:hAnsi="Verdana" w:cs="Arial"/>
          <w:noProof/>
          <w:lang w:val="es-ES_tradnl" w:eastAsia="es-ES_tradnl"/>
        </w:rPr>
      </w:pPr>
    </w:p>
    <w:p w14:paraId="15324EE7" w14:textId="2FCB5A4F" w:rsidR="00C03AF4" w:rsidRDefault="002F417E" w:rsidP="00C03AF4">
      <w:pPr>
        <w:spacing w:after="0" w:line="240" w:lineRule="auto"/>
        <w:jc w:val="right"/>
        <w:rPr>
          <w:noProof/>
          <w14:ligatures w14:val="standardContextual"/>
        </w:rPr>
      </w:pPr>
      <w:r>
        <w:rPr>
          <w:noProof/>
          <w14:ligatures w14:val="standardContextual"/>
        </w:rPr>
        <w:drawing>
          <wp:inline distT="0" distB="0" distL="0" distR="0" wp14:anchorId="27544B3D" wp14:editId="3C24B60C">
            <wp:extent cx="3742717" cy="1085850"/>
            <wp:effectExtent l="0" t="0" r="0" b="0"/>
            <wp:docPr id="179914059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40596" name="Imagen 1" descr="Interfaz de usuario gráfica, Aplicación, Word&#10;&#10;Descripción generada automáticamente"/>
                    <pic:cNvPicPr/>
                  </pic:nvPicPr>
                  <pic:blipFill rotWithShape="1">
                    <a:blip r:embed="rId10"/>
                    <a:srcRect l="10750" t="35182" r="52590" b="28872"/>
                    <a:stretch/>
                  </pic:blipFill>
                  <pic:spPr bwMode="auto">
                    <a:xfrm>
                      <a:off x="0" y="0"/>
                      <a:ext cx="3751432" cy="1088378"/>
                    </a:xfrm>
                    <a:prstGeom prst="rect">
                      <a:avLst/>
                    </a:prstGeom>
                    <a:ln>
                      <a:noFill/>
                    </a:ln>
                    <a:extLst>
                      <a:ext uri="{53640926-AAD7-44D8-BBD7-CCE9431645EC}">
                        <a14:shadowObscured xmlns:a14="http://schemas.microsoft.com/office/drawing/2010/main"/>
                      </a:ext>
                    </a:extLst>
                  </pic:spPr>
                </pic:pic>
              </a:graphicData>
            </a:graphic>
          </wp:inline>
        </w:drawing>
      </w:r>
    </w:p>
    <w:p w14:paraId="4609C1FE" w14:textId="77777777" w:rsidR="00C03AF4" w:rsidRPr="00262582" w:rsidRDefault="00C03AF4" w:rsidP="00C03AF4">
      <w:pPr>
        <w:spacing w:after="0" w:line="240" w:lineRule="auto"/>
        <w:jc w:val="right"/>
        <w:rPr>
          <w:rFonts w:ascii="Verdana" w:eastAsia="Times New Roman" w:hAnsi="Verdana" w:cs="Arial"/>
          <w:noProof/>
          <w:lang w:val="es-ES_tradnl" w:eastAsia="es-ES_tradnl"/>
        </w:rPr>
      </w:pPr>
    </w:p>
    <w:p w14:paraId="7F641173" w14:textId="77777777" w:rsidR="00C03AF4" w:rsidRPr="00262582" w:rsidRDefault="00C03AF4" w:rsidP="00C03AF4">
      <w:pPr>
        <w:spacing w:after="0" w:line="240" w:lineRule="auto"/>
        <w:jc w:val="both"/>
        <w:rPr>
          <w:rFonts w:ascii="Verdana" w:eastAsia="Calibri" w:hAnsi="Verdana" w:cs="Arial"/>
          <w:lang w:val="es-ES" w:eastAsia="es-ES_tradnl"/>
        </w:rPr>
      </w:pPr>
      <w:r>
        <w:rPr>
          <w:rFonts w:ascii="Verdana" w:eastAsia="Calibri" w:hAnsi="Verdana" w:cs="Arial"/>
          <w:lang w:val="es-ES" w:eastAsia="es-ES_tradnl"/>
        </w:rPr>
        <w:t>Señora</w:t>
      </w:r>
    </w:p>
    <w:p w14:paraId="3CFE635C" w14:textId="77777777" w:rsidR="00C03AF4" w:rsidRDefault="00C03AF4" w:rsidP="00C03AF4">
      <w:pPr>
        <w:spacing w:after="0" w:line="240" w:lineRule="auto"/>
        <w:rPr>
          <w:rFonts w:ascii="Verdana" w:eastAsia="Calibri" w:hAnsi="Verdana" w:cs="Arial"/>
          <w:b/>
          <w:bCs/>
          <w:lang w:val="es-ES" w:eastAsia="es-ES_tradnl"/>
        </w:rPr>
      </w:pPr>
      <w:proofErr w:type="spellStart"/>
      <w:r w:rsidRPr="00AE57E5">
        <w:rPr>
          <w:rFonts w:ascii="Verdana" w:eastAsia="Calibri" w:hAnsi="Verdana" w:cs="Arial"/>
          <w:b/>
          <w:bCs/>
          <w:lang w:val="es-ES" w:eastAsia="es-ES_tradnl"/>
        </w:rPr>
        <w:t>Maria</w:t>
      </w:r>
      <w:proofErr w:type="spellEnd"/>
      <w:r w:rsidRPr="00AE57E5">
        <w:rPr>
          <w:rFonts w:ascii="Verdana" w:eastAsia="Calibri" w:hAnsi="Verdana" w:cs="Arial"/>
          <w:b/>
          <w:bCs/>
          <w:lang w:val="es-ES" w:eastAsia="es-ES_tradnl"/>
        </w:rPr>
        <w:t xml:space="preserve"> Consuelo Castro Trillos</w:t>
      </w:r>
    </w:p>
    <w:p w14:paraId="0636A08F" w14:textId="77777777" w:rsidR="00C03AF4" w:rsidRPr="00262582" w:rsidRDefault="00C03AF4" w:rsidP="00C03AF4">
      <w:pPr>
        <w:spacing w:after="0" w:line="240" w:lineRule="auto"/>
        <w:rPr>
          <w:rFonts w:ascii="Verdana" w:eastAsia="Calibri" w:hAnsi="Verdana" w:cs="Arial"/>
          <w:lang w:val="es-ES_tradnl" w:eastAsia="es-ES_tradnl"/>
        </w:rPr>
      </w:pPr>
      <w:r>
        <w:rPr>
          <w:rFonts w:ascii="Verdana" w:eastAsia="Calibri" w:hAnsi="Verdana" w:cs="Arial"/>
          <w:lang w:val="es-ES" w:eastAsia="es-ES_tradnl"/>
        </w:rPr>
        <w:t>Aguachica, Cesar</w:t>
      </w:r>
    </w:p>
    <w:p w14:paraId="78BA4325" w14:textId="77777777" w:rsidR="00C03AF4" w:rsidRPr="00262582" w:rsidRDefault="00C03AF4" w:rsidP="00C03AF4">
      <w:pPr>
        <w:spacing w:after="0" w:line="240" w:lineRule="auto"/>
        <w:rPr>
          <w:rFonts w:ascii="Verdana" w:eastAsia="Calibri" w:hAnsi="Verdana" w:cs="Arial"/>
          <w:lang w:val="es-ES_tradnl" w:eastAsia="es-ES_tradnl"/>
        </w:rPr>
      </w:pPr>
    </w:p>
    <w:p w14:paraId="1CAEE14C" w14:textId="77777777" w:rsidR="00C03AF4" w:rsidRPr="00262582" w:rsidRDefault="00C03AF4" w:rsidP="00C03AF4">
      <w:pPr>
        <w:spacing w:after="0" w:line="240" w:lineRule="auto"/>
        <w:rPr>
          <w:rFonts w:ascii="Verdana" w:eastAsia="Calibri" w:hAnsi="Verdana" w:cs="Arial"/>
          <w:lang w:val="es-ES_tradnl" w:eastAsia="es-ES_tradnl"/>
        </w:rPr>
      </w:pPr>
    </w:p>
    <w:p w14:paraId="7C05E803" w14:textId="77777777" w:rsidR="00C03AF4" w:rsidRPr="00262582" w:rsidRDefault="00C03AF4" w:rsidP="00C03AF4">
      <w:pPr>
        <w:spacing w:after="0" w:line="240" w:lineRule="auto"/>
        <w:ind w:left="2694"/>
        <w:rPr>
          <w:rFonts w:ascii="Verdana" w:eastAsia="Calibri" w:hAnsi="Verdana" w:cs="Arial"/>
          <w:b/>
          <w:bCs/>
          <w:lang w:val="es-ES" w:eastAsia="es-ES_tradnl"/>
        </w:rPr>
      </w:pPr>
      <w:r w:rsidRPr="00262582">
        <w:rPr>
          <w:rFonts w:ascii="Verdana" w:eastAsia="Calibri" w:hAnsi="Verdana" w:cs="Arial"/>
          <w:b/>
          <w:bCs/>
          <w:lang w:val="es-ES" w:eastAsia="es-ES_tradnl"/>
        </w:rPr>
        <w:t>Concepto C-</w:t>
      </w:r>
      <w:r>
        <w:rPr>
          <w:rFonts w:ascii="Verdana" w:eastAsia="Calibri" w:hAnsi="Verdana" w:cs="Arial"/>
          <w:b/>
          <w:bCs/>
          <w:lang w:val="es-ES" w:eastAsia="es-ES_tradnl"/>
        </w:rPr>
        <w:t>439</w:t>
      </w:r>
      <w:r w:rsidRPr="00262582">
        <w:rPr>
          <w:rFonts w:ascii="Verdana" w:eastAsia="Calibri" w:hAnsi="Verdana" w:cs="Arial"/>
          <w:b/>
          <w:bCs/>
          <w:lang w:val="es-ES" w:eastAsia="es-ES_tradnl"/>
        </w:rPr>
        <w:t xml:space="preserve"> de 2024</w:t>
      </w:r>
    </w:p>
    <w:p w14:paraId="09A2BF44" w14:textId="77777777" w:rsidR="00C03AF4" w:rsidRPr="00262582" w:rsidRDefault="00C03AF4" w:rsidP="00C03AF4">
      <w:pPr>
        <w:spacing w:after="0" w:line="240" w:lineRule="auto"/>
        <w:jc w:val="both"/>
        <w:rPr>
          <w:rFonts w:ascii="Verdana" w:eastAsia="Calibri" w:hAnsi="Verdana" w:cs="Arial"/>
          <w:lang w:val="es-ES_tradnl" w:eastAsia="es-ES_tradnl"/>
        </w:rPr>
      </w:pPr>
    </w:p>
    <w:tbl>
      <w:tblPr>
        <w:tblStyle w:val="Tablaconcuadrcula"/>
        <w:tblW w:w="878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6090"/>
      </w:tblGrid>
      <w:tr w:rsidR="00C03AF4" w:rsidRPr="00262582" w14:paraId="3A4B16D0" w14:textId="77777777" w:rsidTr="00B4588D">
        <w:trPr>
          <w:jc w:val="right"/>
        </w:trPr>
        <w:tc>
          <w:tcPr>
            <w:tcW w:w="2694" w:type="dxa"/>
          </w:tcPr>
          <w:p w14:paraId="43905710" w14:textId="77777777" w:rsidR="00C03AF4" w:rsidRPr="00262582" w:rsidRDefault="00C03AF4" w:rsidP="00B4588D">
            <w:pPr>
              <w:rPr>
                <w:rFonts w:ascii="Verdana" w:eastAsia="Calibri" w:hAnsi="Verdana" w:cs="Arial"/>
                <w:lang w:val="es-ES_tradnl" w:eastAsia="es-ES_tradnl"/>
              </w:rPr>
            </w:pPr>
            <w:r w:rsidRPr="00262582">
              <w:rPr>
                <w:rFonts w:ascii="Verdana" w:eastAsia="Calibri" w:hAnsi="Verdana" w:cs="Arial"/>
                <w:b/>
                <w:lang w:val="es-ES_tradnl" w:eastAsia="es-ES_tradnl"/>
              </w:rPr>
              <w:t>Temas:</w:t>
            </w:r>
          </w:p>
        </w:tc>
        <w:tc>
          <w:tcPr>
            <w:tcW w:w="6090" w:type="dxa"/>
          </w:tcPr>
          <w:p w14:paraId="1368E5F8" w14:textId="77777777" w:rsidR="00C03AF4" w:rsidRPr="00F71B57" w:rsidRDefault="00C03AF4" w:rsidP="00B4588D">
            <w:pPr>
              <w:jc w:val="both"/>
              <w:textAlignment w:val="baseline"/>
              <w:rPr>
                <w:rFonts w:ascii="Verdana" w:eastAsia="Times New Roman" w:hAnsi="Verdana" w:cs="Arial"/>
                <w:lang w:eastAsia="es-ES_tradnl"/>
              </w:rPr>
            </w:pPr>
            <w:r w:rsidRPr="00041EDD">
              <w:rPr>
                <w:rFonts w:ascii="Verdana" w:eastAsia="Calibri" w:hAnsi="Verdana" w:cs="Arial"/>
                <w:color w:val="000000" w:themeColor="text1"/>
                <w:szCs w:val="24"/>
                <w:lang w:val="es-ES" w:eastAsia="es-ES_tradnl"/>
              </w:rPr>
              <w:t xml:space="preserve">CONTRATACIÓN PÚBLICA – Principio de publicidad – Principio de transparencia – Uso del SECOP </w:t>
            </w:r>
          </w:p>
        </w:tc>
      </w:tr>
      <w:tr w:rsidR="00C03AF4" w:rsidRPr="00262582" w14:paraId="62270AD4" w14:textId="77777777" w:rsidTr="00B4588D">
        <w:trPr>
          <w:jc w:val="right"/>
        </w:trPr>
        <w:tc>
          <w:tcPr>
            <w:tcW w:w="2694" w:type="dxa"/>
          </w:tcPr>
          <w:p w14:paraId="6DB6FA7C" w14:textId="77777777" w:rsidR="00C03AF4" w:rsidRPr="00262582" w:rsidRDefault="00C03AF4" w:rsidP="00B4588D">
            <w:pPr>
              <w:rPr>
                <w:rFonts w:ascii="Verdana" w:eastAsia="Calibri" w:hAnsi="Verdana" w:cs="Arial"/>
                <w:b/>
                <w:lang w:val="es-ES" w:eastAsia="es-ES_tradnl"/>
              </w:rPr>
            </w:pPr>
            <w:r w:rsidRPr="00262582">
              <w:rPr>
                <w:rFonts w:ascii="Verdana" w:eastAsia="Calibri" w:hAnsi="Verdana" w:cs="Arial"/>
                <w:b/>
                <w:lang w:val="es-ES" w:eastAsia="es-ES_tradnl"/>
              </w:rPr>
              <w:t>Radicación:</w:t>
            </w:r>
          </w:p>
        </w:tc>
        <w:tc>
          <w:tcPr>
            <w:tcW w:w="6090" w:type="dxa"/>
          </w:tcPr>
          <w:p w14:paraId="1FB4477B" w14:textId="77777777" w:rsidR="00C03AF4" w:rsidRPr="00262582" w:rsidRDefault="00C03AF4" w:rsidP="00B4588D">
            <w:pPr>
              <w:jc w:val="both"/>
              <w:rPr>
                <w:rFonts w:ascii="Verdana" w:eastAsia="Calibri" w:hAnsi="Verdana" w:cs="Arial"/>
                <w:lang w:val="es-ES" w:eastAsia="es-ES_tradnl"/>
              </w:rPr>
            </w:pPr>
            <w:r w:rsidRPr="00262582">
              <w:rPr>
                <w:rFonts w:ascii="Verdana" w:eastAsia="Calibri" w:hAnsi="Verdana" w:cs="Arial"/>
                <w:lang w:val="es-ES" w:eastAsia="es-ES_tradnl"/>
              </w:rPr>
              <w:t xml:space="preserve">Respuesta a consulta radicado No. </w:t>
            </w:r>
            <w:r w:rsidRPr="007819D1">
              <w:rPr>
                <w:rFonts w:ascii="Verdana" w:eastAsia="Times New Roman" w:hAnsi="Verdana" w:cs="Arial"/>
                <w:lang w:eastAsia="es-ES_tradnl"/>
              </w:rPr>
              <w:t>P20240805008013</w:t>
            </w:r>
          </w:p>
        </w:tc>
      </w:tr>
    </w:tbl>
    <w:p w14:paraId="0ED75C5B" w14:textId="77777777" w:rsidR="00C03AF4" w:rsidRPr="00262582" w:rsidRDefault="00C03AF4" w:rsidP="00C03AF4">
      <w:pPr>
        <w:spacing w:after="0" w:line="240" w:lineRule="auto"/>
        <w:jc w:val="both"/>
        <w:rPr>
          <w:rFonts w:ascii="Verdana" w:eastAsia="Calibri" w:hAnsi="Verdana" w:cs="Arial"/>
          <w:lang w:val="es-ES_tradnl" w:eastAsia="es-ES_tradnl"/>
        </w:rPr>
      </w:pPr>
    </w:p>
    <w:p w14:paraId="76FED3C4" w14:textId="77777777" w:rsidR="00C03AF4" w:rsidRPr="00262582" w:rsidRDefault="00C03AF4" w:rsidP="00C03AF4">
      <w:pPr>
        <w:spacing w:after="0" w:line="240" w:lineRule="auto"/>
        <w:jc w:val="both"/>
        <w:rPr>
          <w:rFonts w:ascii="Verdana" w:eastAsia="Calibri" w:hAnsi="Verdana" w:cs="Arial"/>
          <w:lang w:val="es-ES_tradnl" w:eastAsia="es-ES_tradnl"/>
        </w:rPr>
      </w:pPr>
    </w:p>
    <w:p w14:paraId="290EF5B3" w14:textId="77777777" w:rsidR="00C03AF4" w:rsidRPr="00262582" w:rsidRDefault="00C03AF4" w:rsidP="00C03AF4">
      <w:pPr>
        <w:spacing w:after="0" w:line="276" w:lineRule="auto"/>
        <w:contextualSpacing/>
        <w:jc w:val="both"/>
        <w:rPr>
          <w:rFonts w:ascii="Verdana" w:eastAsia="Calibri" w:hAnsi="Verdana" w:cs="Arial"/>
          <w:bCs/>
          <w:lang w:val="es-ES_tradnl" w:eastAsia="es-ES_tradnl"/>
        </w:rPr>
      </w:pPr>
      <w:r>
        <w:rPr>
          <w:rFonts w:ascii="Verdana" w:eastAsia="Calibri" w:hAnsi="Verdana" w:cs="Arial"/>
          <w:lang w:val="es-ES_tradnl" w:eastAsia="es-ES_tradnl"/>
        </w:rPr>
        <w:t>Respetada</w:t>
      </w:r>
      <w:r w:rsidRPr="00262582">
        <w:rPr>
          <w:rFonts w:ascii="Verdana" w:eastAsia="Calibri" w:hAnsi="Verdana" w:cs="Arial"/>
          <w:lang w:val="es-ES_tradnl" w:eastAsia="es-ES_tradnl"/>
        </w:rPr>
        <w:t xml:space="preserve"> </w:t>
      </w:r>
      <w:r>
        <w:rPr>
          <w:rFonts w:ascii="Verdana" w:eastAsia="Calibri" w:hAnsi="Verdana" w:cs="Arial"/>
          <w:lang w:val="es-ES_tradnl" w:eastAsia="es-ES_tradnl"/>
        </w:rPr>
        <w:t>señora Castro Trillos</w:t>
      </w:r>
      <w:r w:rsidRPr="00262582">
        <w:rPr>
          <w:rFonts w:ascii="Verdana" w:eastAsia="Calibri" w:hAnsi="Verdana" w:cs="Arial"/>
          <w:bCs/>
          <w:lang w:val="es-ES_tradnl" w:eastAsia="es-ES_tradnl"/>
        </w:rPr>
        <w:t>:</w:t>
      </w:r>
    </w:p>
    <w:p w14:paraId="3DF4924B" w14:textId="77777777" w:rsidR="00C03AF4" w:rsidRPr="00262582" w:rsidRDefault="00C03AF4" w:rsidP="00C03AF4">
      <w:pPr>
        <w:spacing w:after="0" w:line="276" w:lineRule="auto"/>
        <w:contextualSpacing/>
        <w:jc w:val="both"/>
        <w:rPr>
          <w:rFonts w:ascii="Verdana" w:eastAsia="Calibri" w:hAnsi="Verdana" w:cs="Arial"/>
          <w:lang w:val="es-ES_tradnl" w:eastAsia="es-ES_tradnl"/>
        </w:rPr>
      </w:pPr>
    </w:p>
    <w:p w14:paraId="6A9D1EE9" w14:textId="77777777" w:rsidR="00C03AF4" w:rsidRPr="00262582" w:rsidRDefault="00C03AF4" w:rsidP="00C03AF4">
      <w:pPr>
        <w:spacing w:after="0" w:line="276" w:lineRule="auto"/>
        <w:contextualSpacing/>
        <w:jc w:val="both"/>
        <w:rPr>
          <w:rFonts w:ascii="Verdana" w:eastAsia="Calibri" w:hAnsi="Verdana" w:cs="Arial"/>
          <w:lang w:val="es-ES" w:eastAsia="es-ES_tradnl"/>
        </w:rPr>
      </w:pPr>
      <w:r w:rsidRPr="00262582">
        <w:rPr>
          <w:rFonts w:ascii="Verdana" w:eastAsia="Calibri" w:hAnsi="Verdana" w:cs="Arial"/>
          <w:lang w:val="es-ES"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val="es-ES" w:eastAsia="es-ES_tradnl"/>
        </w:rPr>
        <w:t>5</w:t>
      </w:r>
      <w:r w:rsidRPr="00262582">
        <w:rPr>
          <w:rFonts w:ascii="Verdana" w:eastAsia="Calibri" w:hAnsi="Verdana" w:cs="Arial"/>
          <w:lang w:val="es-ES" w:eastAsia="es-ES_tradnl"/>
        </w:rPr>
        <w:t xml:space="preserve"> de </w:t>
      </w:r>
      <w:r>
        <w:rPr>
          <w:rFonts w:ascii="Verdana" w:eastAsia="Calibri" w:hAnsi="Verdana" w:cs="Arial"/>
          <w:lang w:val="es-ES" w:eastAsia="es-ES_tradnl"/>
        </w:rPr>
        <w:t>agosto</w:t>
      </w:r>
      <w:r w:rsidRPr="00262582">
        <w:rPr>
          <w:rFonts w:ascii="Verdana" w:eastAsia="Calibri" w:hAnsi="Verdana" w:cs="Arial"/>
          <w:lang w:val="es-ES" w:eastAsia="es-ES_tradnl"/>
        </w:rPr>
        <w:t xml:space="preserve"> de 2024, en la cual </w:t>
      </w:r>
      <w:r>
        <w:rPr>
          <w:rFonts w:ascii="Verdana" w:eastAsia="Calibri" w:hAnsi="Verdana" w:cs="Arial"/>
          <w:lang w:val="es-ES" w:eastAsia="es-ES_tradnl"/>
        </w:rPr>
        <w:t>plantea lo siguiente</w:t>
      </w:r>
      <w:r w:rsidRPr="00262582">
        <w:rPr>
          <w:rFonts w:ascii="Verdana" w:eastAsia="Calibri" w:hAnsi="Verdana" w:cs="Arial"/>
          <w:lang w:val="es-ES" w:eastAsia="es-ES_tradnl"/>
        </w:rPr>
        <w:t>:</w:t>
      </w:r>
    </w:p>
    <w:p w14:paraId="28B7BE6B" w14:textId="77777777" w:rsidR="00C03AF4" w:rsidRPr="00262582" w:rsidRDefault="00C03AF4" w:rsidP="00C03AF4">
      <w:pPr>
        <w:spacing w:after="0" w:line="276" w:lineRule="auto"/>
        <w:contextualSpacing/>
        <w:jc w:val="both"/>
        <w:rPr>
          <w:rFonts w:ascii="Verdana" w:eastAsia="Calibri" w:hAnsi="Verdana" w:cs="Arial"/>
          <w:b/>
          <w:szCs w:val="24"/>
          <w:lang w:val="es-ES_tradnl" w:eastAsia="es-ES_tradnl"/>
        </w:rPr>
      </w:pPr>
    </w:p>
    <w:p w14:paraId="2C10C652" w14:textId="77777777" w:rsidR="00C03AF4" w:rsidRPr="00262582" w:rsidRDefault="00C03AF4" w:rsidP="00C03AF4">
      <w:pPr>
        <w:spacing w:after="0" w:line="240" w:lineRule="auto"/>
        <w:ind w:left="709" w:right="709"/>
        <w:contextualSpacing/>
        <w:jc w:val="both"/>
        <w:rPr>
          <w:rFonts w:ascii="Verdana" w:eastAsia="Times New Roman" w:hAnsi="Verdana" w:cs="Arial"/>
          <w:sz w:val="21"/>
          <w:szCs w:val="21"/>
          <w:lang w:eastAsia="es-ES_tradnl"/>
        </w:rPr>
      </w:pPr>
      <w:r w:rsidRPr="00262582">
        <w:rPr>
          <w:rFonts w:ascii="Verdana" w:eastAsia="Times New Roman" w:hAnsi="Verdana" w:cs="Arial"/>
          <w:sz w:val="21"/>
          <w:szCs w:val="21"/>
          <w:lang w:eastAsia="es-ES_tradnl"/>
        </w:rPr>
        <w:t>“</w:t>
      </w:r>
      <w:r>
        <w:rPr>
          <w:rFonts w:ascii="Verdana" w:eastAsia="Times New Roman" w:hAnsi="Verdana" w:cs="Arial"/>
          <w:sz w:val="21"/>
          <w:szCs w:val="21"/>
          <w:lang w:eastAsia="es-ES_tradnl"/>
        </w:rPr>
        <w:t xml:space="preserve">[…] </w:t>
      </w:r>
      <w:r w:rsidRPr="00863A7D">
        <w:rPr>
          <w:rFonts w:ascii="Verdana" w:eastAsia="Times New Roman" w:hAnsi="Verdana" w:cs="Arial"/>
          <w:sz w:val="21"/>
          <w:szCs w:val="21"/>
          <w:lang w:eastAsia="es-ES_tradnl"/>
        </w:rPr>
        <w:t xml:space="preserve">Buen día, me </w:t>
      </w:r>
      <w:r w:rsidRPr="007819D1">
        <w:rPr>
          <w:rFonts w:ascii="Verdana" w:eastAsia="Times New Roman" w:hAnsi="Verdana" w:cs="Arial"/>
          <w:sz w:val="21"/>
          <w:szCs w:val="21"/>
          <w:lang w:eastAsia="es-ES_tradnl"/>
        </w:rPr>
        <w:t xml:space="preserve">permito se me asesore respecto a la celebración de convenios de una entidad territorial con establecimientos comerciales (almacenes- supermercados) o IPS, es necesario que se realice convenios previos o el funcionario puede autorizar que se le apliquen descuentos por nómina y que estos sean girados a las diferentes establecimientos comerciales?, o IPS toda vez que en el municipio hay una IPS que presta diversos servicios de salud que no están incluidos en el POS y manifiestan la voluntad de realizar convenio o un acuerdo con el fin de que sea descontado de la nómina ciertos valores ya sea por una consulta? o unas gafas en fin. agradezco se me informe cual es </w:t>
      </w:r>
      <w:proofErr w:type="gramStart"/>
      <w:r w:rsidRPr="007819D1">
        <w:rPr>
          <w:rFonts w:ascii="Verdana" w:eastAsia="Times New Roman" w:hAnsi="Verdana" w:cs="Arial"/>
          <w:sz w:val="21"/>
          <w:szCs w:val="21"/>
          <w:lang w:eastAsia="es-ES_tradnl"/>
        </w:rPr>
        <w:t>el procedimiento a seguir</w:t>
      </w:r>
      <w:proofErr w:type="gramEnd"/>
      <w:r w:rsidRPr="007819D1">
        <w:rPr>
          <w:rFonts w:ascii="Verdana" w:eastAsia="Times New Roman" w:hAnsi="Verdana" w:cs="Arial"/>
          <w:sz w:val="21"/>
          <w:szCs w:val="21"/>
          <w:lang w:eastAsia="es-ES_tradnl"/>
        </w:rPr>
        <w:t xml:space="preserve">. Por otra parte, el ente territorial maneja cesantías retroactivas, también solicito se me informe cual es el procedimiento para realizar si este convenio de cesantías si se hace necesario publicar en el SECOP. o solo se necesita la firma de la minuta </w:t>
      </w:r>
      <w:r w:rsidRPr="007819D1">
        <w:rPr>
          <w:rFonts w:ascii="Verdana" w:eastAsia="Times New Roman" w:hAnsi="Verdana" w:cs="Arial"/>
          <w:sz w:val="21"/>
          <w:szCs w:val="21"/>
          <w:lang w:eastAsia="es-ES_tradnl"/>
        </w:rPr>
        <w:lastRenderedPageBreak/>
        <w:t>por parte del representante legal. Por otra parte, solicito se me informe los convenios con las universidades para que los estudiantes desarrollen sus prácticas si es necesario la publicación en el SECOP, teniendo en cuenta que en virtud de la autonomía universitaria la</w:t>
      </w:r>
      <w:r w:rsidRPr="00863A7D">
        <w:rPr>
          <w:rFonts w:ascii="Verdana" w:eastAsia="Times New Roman" w:hAnsi="Verdana" w:cs="Arial"/>
          <w:sz w:val="21"/>
          <w:szCs w:val="21"/>
          <w:lang w:eastAsia="es-ES_tradnl"/>
        </w:rPr>
        <w:t xml:space="preserve"> universidad puede solicitar la suscripción del convenio. </w:t>
      </w:r>
      <w:r>
        <w:rPr>
          <w:rFonts w:ascii="Verdana" w:eastAsia="Times New Roman" w:hAnsi="Verdana" w:cs="Arial"/>
          <w:sz w:val="21"/>
          <w:szCs w:val="21"/>
          <w:lang w:eastAsia="es-ES_tradnl"/>
        </w:rPr>
        <w:t>[…]” SIC</w:t>
      </w:r>
    </w:p>
    <w:p w14:paraId="1A94FB27" w14:textId="77777777" w:rsidR="00C03AF4" w:rsidRPr="00262582" w:rsidRDefault="00C03AF4" w:rsidP="00C03AF4">
      <w:pPr>
        <w:spacing w:after="0" w:line="240" w:lineRule="auto"/>
        <w:ind w:left="709" w:right="709"/>
        <w:contextualSpacing/>
        <w:jc w:val="both"/>
        <w:rPr>
          <w:rFonts w:ascii="Verdana" w:eastAsia="Times New Roman" w:hAnsi="Verdana" w:cs="Arial"/>
          <w:sz w:val="21"/>
          <w:szCs w:val="21"/>
          <w:lang w:eastAsia="es-ES_tradnl"/>
        </w:rPr>
      </w:pPr>
    </w:p>
    <w:p w14:paraId="6073C5F5" w14:textId="77777777" w:rsidR="00C03AF4" w:rsidRPr="00262582" w:rsidRDefault="00C03AF4" w:rsidP="00C03AF4">
      <w:pPr>
        <w:spacing w:after="120" w:line="276" w:lineRule="auto"/>
        <w:ind w:firstLine="709"/>
        <w:jc w:val="both"/>
        <w:rPr>
          <w:rFonts w:ascii="Verdana" w:eastAsia="Calibri" w:hAnsi="Verdana" w:cs="Arial"/>
          <w:color w:val="000000"/>
          <w:szCs w:val="24"/>
          <w:lang w:val="es-ES_tradnl" w:eastAsia="es-ES_tradnl"/>
        </w:rPr>
      </w:pPr>
      <w:r w:rsidRPr="00262582">
        <w:rPr>
          <w:rFonts w:ascii="Verdana" w:eastAsia="Calibri" w:hAnsi="Verdana" w:cs="Arial"/>
          <w:color w:val="000000"/>
          <w:lang w:val="es-ES" w:eastAsia="es-ES"/>
        </w:rPr>
        <w:t>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w:t>
      </w:r>
      <w:r>
        <w:rPr>
          <w:rFonts w:ascii="Verdana" w:eastAsia="Calibri" w:hAnsi="Verdana" w:cs="Arial"/>
          <w:color w:val="000000"/>
          <w:lang w:val="es-ES" w:eastAsia="es-ES"/>
        </w:rPr>
        <w:t xml:space="preserve"> o</w:t>
      </w:r>
      <w:r w:rsidRPr="00262582">
        <w:rPr>
          <w:rFonts w:ascii="Verdana" w:eastAsia="Calibri" w:hAnsi="Verdana" w:cs="Arial"/>
          <w:color w:val="000000"/>
          <w:lang w:val="es-ES" w:eastAsia="es-ES"/>
        </w:rPr>
        <w:t xml:space="preserve"> brindar asesorías sobre casos puntuale</w:t>
      </w:r>
      <w:r>
        <w:rPr>
          <w:rFonts w:ascii="Verdana" w:eastAsia="Calibri" w:hAnsi="Verdana" w:cs="Arial"/>
          <w:color w:val="000000"/>
          <w:lang w:val="es-ES" w:eastAsia="es-ES"/>
        </w:rPr>
        <w:t>s, ni mucho menos a definir los instrumentos por medio de los cuales una entidad estatal en particular deba contratar un bien o servicio determinado.</w:t>
      </w:r>
    </w:p>
    <w:p w14:paraId="547E2A16" w14:textId="77777777" w:rsidR="00C03AF4" w:rsidRPr="00262582" w:rsidRDefault="00C03AF4" w:rsidP="00C03AF4">
      <w:pPr>
        <w:spacing w:after="0" w:line="276" w:lineRule="auto"/>
        <w:ind w:firstLine="709"/>
        <w:jc w:val="both"/>
        <w:rPr>
          <w:rFonts w:ascii="Verdana" w:eastAsia="Calibri" w:hAnsi="Verdana" w:cs="Arial"/>
          <w:lang w:val="es-ES" w:eastAsia="es-ES"/>
        </w:rPr>
      </w:pPr>
      <w:r w:rsidRPr="00262582">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w:t>
      </w:r>
      <w:r>
        <w:rPr>
          <w:rFonts w:ascii="Verdana" w:eastAsia="Calibri" w:hAnsi="Verdana" w:cs="Arial"/>
          <w:lang w:val="es-ES" w:eastAsia="es-ES"/>
        </w:rPr>
        <w:t>el</w:t>
      </w:r>
      <w:r w:rsidRPr="00262582">
        <w:rPr>
          <w:rFonts w:ascii="Verdana" w:eastAsia="Calibri" w:hAnsi="Verdana" w:cs="Arial"/>
          <w:lang w:val="es-ES" w:eastAsia="es-ES"/>
        </w:rPr>
        <w:t xml:space="preserve"> problema jurídico de su consulta. </w:t>
      </w:r>
    </w:p>
    <w:p w14:paraId="07215EEB" w14:textId="77777777" w:rsidR="00C03AF4" w:rsidRPr="00262582" w:rsidRDefault="00C03AF4" w:rsidP="00C03AF4">
      <w:pPr>
        <w:spacing w:after="0" w:line="276" w:lineRule="auto"/>
        <w:contextualSpacing/>
        <w:jc w:val="both"/>
        <w:rPr>
          <w:rFonts w:ascii="Verdana" w:eastAsia="Times New Roman" w:hAnsi="Verdana" w:cs="Arial"/>
          <w:szCs w:val="24"/>
          <w:lang w:val="es-ES_tradnl" w:eastAsia="es-ES_tradnl"/>
        </w:rPr>
      </w:pPr>
    </w:p>
    <w:p w14:paraId="26431771" w14:textId="77777777" w:rsidR="00C03AF4" w:rsidRPr="00262582" w:rsidRDefault="00C03AF4" w:rsidP="00C03AF4">
      <w:pPr>
        <w:tabs>
          <w:tab w:val="left" w:pos="0"/>
          <w:tab w:val="left" w:pos="284"/>
        </w:tabs>
        <w:spacing w:after="0" w:line="276" w:lineRule="auto"/>
        <w:contextualSpacing/>
        <w:jc w:val="both"/>
        <w:rPr>
          <w:rFonts w:ascii="Verdana" w:eastAsia="Calibri" w:hAnsi="Verdana" w:cs="Arial"/>
          <w:b/>
          <w:lang w:val="es-ES_tradnl"/>
        </w:rPr>
      </w:pPr>
      <w:r w:rsidRPr="00262582">
        <w:rPr>
          <w:rFonts w:ascii="Verdana" w:eastAsia="Calibri" w:hAnsi="Verdana" w:cs="Arial"/>
          <w:b/>
          <w:lang w:val="es-ES_tradnl"/>
        </w:rPr>
        <w:t>1. Problema planteado:</w:t>
      </w:r>
    </w:p>
    <w:p w14:paraId="76E71B1F" w14:textId="77777777" w:rsidR="00C03AF4" w:rsidRPr="00262582" w:rsidRDefault="00C03AF4" w:rsidP="00C03AF4">
      <w:pPr>
        <w:tabs>
          <w:tab w:val="left" w:pos="0"/>
          <w:tab w:val="left" w:pos="284"/>
        </w:tabs>
        <w:spacing w:after="0" w:line="276" w:lineRule="auto"/>
        <w:contextualSpacing/>
        <w:jc w:val="both"/>
        <w:rPr>
          <w:rFonts w:ascii="Verdana" w:eastAsia="Calibri" w:hAnsi="Verdana" w:cs="Arial"/>
          <w:b/>
          <w:lang w:val="es-ES_tradnl"/>
        </w:rPr>
      </w:pPr>
    </w:p>
    <w:p w14:paraId="1B0862A2" w14:textId="77777777" w:rsidR="00C03AF4" w:rsidRPr="00262582" w:rsidRDefault="00C03AF4" w:rsidP="00C03AF4">
      <w:pPr>
        <w:spacing w:after="0" w:line="276" w:lineRule="auto"/>
        <w:jc w:val="both"/>
        <w:rPr>
          <w:rFonts w:ascii="Verdana" w:eastAsia="Century Gothic" w:hAnsi="Verdana" w:cs="Century Gothic"/>
        </w:rPr>
      </w:pPr>
      <w:r w:rsidRPr="00262582">
        <w:rPr>
          <w:rFonts w:ascii="Verdana" w:eastAsia="Century Gothic" w:hAnsi="Verdana" w:cs="Century Gothic"/>
        </w:rPr>
        <w:t>De acuerdo con el contenido de su solicitud</w:t>
      </w:r>
      <w:r>
        <w:rPr>
          <w:rFonts w:ascii="Verdana" w:eastAsia="Century Gothic" w:hAnsi="Verdana" w:cs="Century Gothic"/>
        </w:rPr>
        <w:t xml:space="preserve">, </w:t>
      </w:r>
      <w:r w:rsidRPr="00262582">
        <w:rPr>
          <w:rFonts w:ascii="Verdana" w:eastAsia="Century Gothic" w:hAnsi="Verdana" w:cs="Century Gothic"/>
        </w:rPr>
        <w:t>esta Agencia resolverá el siguiente problema jurídico: ¿</w:t>
      </w:r>
      <w:r>
        <w:rPr>
          <w:rFonts w:ascii="Verdana" w:eastAsia="Century Gothic" w:hAnsi="Verdana" w:cs="Century Gothic"/>
        </w:rPr>
        <w:t>Deben las entidades estatales publicar los contratos y convenios celebrados en el SECOP</w:t>
      </w:r>
      <w:r w:rsidRPr="00262582">
        <w:rPr>
          <w:rFonts w:ascii="Verdana" w:eastAsia="Century Gothic" w:hAnsi="Verdana" w:cs="Century Gothic"/>
        </w:rPr>
        <w:t xml:space="preserve">? </w:t>
      </w:r>
    </w:p>
    <w:p w14:paraId="2BBCA9C2" w14:textId="77777777" w:rsidR="00C03AF4" w:rsidRPr="00262582" w:rsidRDefault="00C03AF4" w:rsidP="00C03AF4">
      <w:pPr>
        <w:spacing w:after="0" w:line="276" w:lineRule="auto"/>
        <w:ind w:firstLine="709"/>
        <w:jc w:val="both"/>
        <w:rPr>
          <w:rFonts w:ascii="Verdana" w:eastAsia="Calibri" w:hAnsi="Verdana" w:cs="Arial"/>
          <w:lang w:val="es-ES" w:eastAsia="es-ES_tradnl"/>
        </w:rPr>
      </w:pPr>
    </w:p>
    <w:p w14:paraId="7FC94732" w14:textId="77777777" w:rsidR="00C03AF4" w:rsidRPr="00262582" w:rsidRDefault="00C03AF4" w:rsidP="00C03AF4">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2. Respuesta:</w:t>
      </w:r>
    </w:p>
    <w:p w14:paraId="67BD538E" w14:textId="77777777" w:rsidR="00C03AF4" w:rsidRPr="00262582" w:rsidRDefault="00C03AF4" w:rsidP="00C03AF4">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C03AF4" w:rsidRPr="00262582" w14:paraId="4D7C1FE7" w14:textId="77777777" w:rsidTr="00B4588D">
        <w:tc>
          <w:tcPr>
            <w:tcW w:w="8828" w:type="dxa"/>
            <w:shd w:val="clear" w:color="auto" w:fill="auto"/>
          </w:tcPr>
          <w:p w14:paraId="653B5B4E" w14:textId="77777777" w:rsidR="00C03AF4" w:rsidRPr="00F156FB" w:rsidRDefault="00C03AF4" w:rsidP="00B4588D">
            <w:pPr>
              <w:spacing w:after="120" w:line="276" w:lineRule="auto"/>
              <w:jc w:val="both"/>
              <w:rPr>
                <w:rFonts w:ascii="Verdana" w:eastAsia="Calibri" w:hAnsi="Verdana" w:cs="Arial"/>
                <w:strike/>
                <w:color w:val="000000" w:themeColor="text1"/>
                <w:lang w:val="es-ES" w:eastAsia="es-ES"/>
              </w:rPr>
            </w:pPr>
            <w:r>
              <w:rPr>
                <w:rFonts w:ascii="Verdana" w:eastAsia="Calibri" w:hAnsi="Verdana" w:cs="Arial"/>
                <w:color w:val="000000" w:themeColor="text1"/>
                <w:lang w:val="es-ES_tradnl"/>
              </w:rPr>
              <w:t xml:space="preserve">De conformidad con </w:t>
            </w:r>
            <w:r w:rsidRPr="0041492A">
              <w:rPr>
                <w:rFonts w:ascii="Verdana" w:eastAsia="Calibri" w:hAnsi="Verdana" w:cs="Arial"/>
                <w:color w:val="000000" w:themeColor="text1"/>
                <w:lang w:val="es-ES_tradnl"/>
              </w:rPr>
              <w:t>el literal c) del artículo 3 de la Ley 1150 de 2007</w:t>
            </w:r>
            <w:r>
              <w:rPr>
                <w:rFonts w:ascii="Verdana" w:eastAsia="Calibri" w:hAnsi="Verdana" w:cs="Arial"/>
                <w:color w:val="000000" w:themeColor="text1"/>
                <w:lang w:val="es-ES_tradnl"/>
              </w:rPr>
              <w:t xml:space="preserve">, el </w:t>
            </w:r>
            <w:r w:rsidRPr="0041492A">
              <w:rPr>
                <w:rFonts w:ascii="Verdana" w:hAnsi="Verdana" w:cs="Arial"/>
                <w:color w:val="000000" w:themeColor="text1"/>
                <w:lang w:val="es-ES_tradnl"/>
              </w:rPr>
              <w:t>literal e) del artículo 9</w:t>
            </w:r>
            <w:r>
              <w:rPr>
                <w:rFonts w:ascii="Verdana" w:hAnsi="Verdana" w:cs="Arial"/>
                <w:color w:val="000000" w:themeColor="text1"/>
                <w:lang w:val="es-ES_tradnl"/>
              </w:rPr>
              <w:t xml:space="preserve"> y </w:t>
            </w:r>
            <w:r w:rsidRPr="0041492A">
              <w:rPr>
                <w:rFonts w:ascii="Verdana" w:hAnsi="Verdana" w:cs="Arial"/>
                <w:color w:val="000000" w:themeColor="text1"/>
                <w:lang w:val="es-ES_tradnl"/>
              </w:rPr>
              <w:t>literal g) del artículo 11</w:t>
            </w:r>
            <w:r>
              <w:rPr>
                <w:rFonts w:ascii="Verdana" w:hAnsi="Verdana" w:cs="Arial"/>
                <w:color w:val="000000" w:themeColor="text1"/>
                <w:lang w:val="es-ES_tradnl"/>
              </w:rPr>
              <w:t xml:space="preserve">, las entidades estatales, </w:t>
            </w:r>
            <w:r w:rsidRPr="0041492A">
              <w:rPr>
                <w:rFonts w:ascii="Verdana" w:hAnsi="Verdana" w:cs="Arial"/>
                <w:color w:val="000000" w:themeColor="text1"/>
                <w:lang w:val="es-ES_tradnl"/>
              </w:rPr>
              <w:t>sin distinción de su régimen jurídico, naturaleza jurídica o la pertenencia a una u otra rama del poder público</w:t>
            </w:r>
            <w:r>
              <w:rPr>
                <w:rFonts w:ascii="Verdana" w:hAnsi="Verdana" w:cs="Arial"/>
                <w:color w:val="000000" w:themeColor="text1"/>
                <w:lang w:val="es-ES_tradnl"/>
              </w:rPr>
              <w:t>, tienen e</w:t>
            </w:r>
            <w:r>
              <w:rPr>
                <w:rFonts w:ascii="Verdana" w:eastAsia="Calibri" w:hAnsi="Verdana" w:cs="Arial"/>
                <w:color w:val="000000" w:themeColor="text1"/>
                <w:lang w:val="es-ES_tradnl"/>
              </w:rPr>
              <w:t>l</w:t>
            </w:r>
            <w:r w:rsidRPr="00F156FB">
              <w:rPr>
                <w:rFonts w:ascii="Verdana" w:eastAsia="Calibri" w:hAnsi="Verdana" w:cs="Arial"/>
                <w:color w:val="000000" w:themeColor="text1"/>
                <w:lang w:val="es-ES_tradnl"/>
              </w:rPr>
              <w:t xml:space="preserve"> deber de publicar toda información relacionada con el respectivo contrato, sin incluir ninguna excepción </w:t>
            </w:r>
            <w:r w:rsidRPr="00F156FB">
              <w:rPr>
                <w:rFonts w:ascii="Verdana" w:eastAsia="Calibri" w:hAnsi="Verdana" w:cs="Arial"/>
                <w:color w:val="000000" w:themeColor="text1"/>
                <w:lang w:val="es-ES_tradnl"/>
              </w:rPr>
              <w:lastRenderedPageBreak/>
              <w:t xml:space="preserve">relacionada con la naturaleza u objeto contractual. Por lo tanto, </w:t>
            </w:r>
            <w:r>
              <w:rPr>
                <w:rFonts w:ascii="Verdana" w:eastAsia="Calibri" w:hAnsi="Verdana" w:cs="Arial"/>
                <w:color w:val="000000" w:themeColor="text1"/>
                <w:lang w:val="es-ES_tradnl"/>
              </w:rPr>
              <w:t>las entidades estatales están llamadas a cumplir con</w:t>
            </w:r>
            <w:r w:rsidRPr="00F156FB">
              <w:rPr>
                <w:rFonts w:ascii="Verdana" w:eastAsia="Calibri" w:hAnsi="Verdana" w:cs="Arial"/>
                <w:color w:val="000000" w:themeColor="text1"/>
                <w:lang w:val="es-ES_tradnl"/>
              </w:rPr>
              <w:t xml:space="preserve"> </w:t>
            </w:r>
            <w:r>
              <w:rPr>
                <w:rFonts w:ascii="Verdana" w:eastAsia="Calibri" w:hAnsi="Verdana" w:cs="Arial"/>
                <w:color w:val="000000" w:themeColor="text1"/>
                <w:lang w:val="es-ES_tradnl"/>
              </w:rPr>
              <w:t xml:space="preserve">el deber </w:t>
            </w:r>
            <w:r w:rsidRPr="00F156FB">
              <w:rPr>
                <w:rFonts w:ascii="Verdana" w:eastAsia="Calibri" w:hAnsi="Verdana" w:cs="Arial"/>
                <w:color w:val="000000" w:themeColor="text1"/>
                <w:lang w:val="es-ES_tradnl"/>
              </w:rPr>
              <w:t xml:space="preserve">de publicidad </w:t>
            </w:r>
            <w:r>
              <w:rPr>
                <w:rFonts w:ascii="Verdana" w:eastAsia="Calibri" w:hAnsi="Verdana" w:cs="Arial"/>
                <w:color w:val="000000" w:themeColor="text1"/>
                <w:lang w:val="es-ES_tradnl"/>
              </w:rPr>
              <w:t>publicando en el SECOP</w:t>
            </w:r>
            <w:r w:rsidRPr="00F156FB">
              <w:rPr>
                <w:rFonts w:ascii="Verdana" w:eastAsia="Calibri" w:hAnsi="Verdana" w:cs="Arial"/>
                <w:color w:val="000000" w:themeColor="text1"/>
                <w:lang w:val="es-ES_tradnl"/>
              </w:rPr>
              <w:t xml:space="preserve"> todo documento expedido durante las diferentes etapas del proceso contractual, abarcando desde la fase previa a su celebración, pasando por la ejecución y hasta la fase posterior a su ejecución.</w:t>
            </w:r>
          </w:p>
          <w:p w14:paraId="312AAEAE" w14:textId="77777777" w:rsidR="00C03AF4" w:rsidRPr="00FC5E1F" w:rsidRDefault="00C03AF4" w:rsidP="00B4588D">
            <w:pPr>
              <w:spacing w:line="276" w:lineRule="auto"/>
              <w:ind w:firstLine="709"/>
              <w:jc w:val="both"/>
              <w:rPr>
                <w:rFonts w:ascii="Verdana" w:eastAsia="Times New Roman" w:hAnsi="Verdana" w:cs="Arial"/>
                <w:color w:val="000000" w:themeColor="text1"/>
                <w:lang w:eastAsia="es-CO"/>
              </w:rPr>
            </w:pPr>
            <w:r w:rsidRPr="00F156FB">
              <w:rPr>
                <w:rFonts w:ascii="Verdana" w:eastAsia="Calibri" w:hAnsi="Verdana" w:cs="Arial"/>
                <w:color w:val="000000" w:themeColor="text1"/>
                <w:lang w:val="es-ES_tradnl"/>
              </w:rPr>
              <w:t xml:space="preserve">Así pues, </w:t>
            </w:r>
            <w:r w:rsidRPr="00F156FB">
              <w:rPr>
                <w:rFonts w:ascii="Verdana" w:hAnsi="Verdana" w:cs="Arial"/>
                <w:iCs/>
                <w:color w:val="000000" w:themeColor="text1"/>
                <w:lang w:val="es-ES_tradnl"/>
              </w:rPr>
              <w:t xml:space="preserve">los convenios o contratos, sin importar su denominación, suscritos entre </w:t>
            </w:r>
            <w:r>
              <w:rPr>
                <w:rFonts w:ascii="Verdana" w:hAnsi="Verdana" w:cs="Arial"/>
                <w:iCs/>
                <w:color w:val="000000" w:themeColor="text1"/>
                <w:lang w:val="es-ES_tradnl"/>
              </w:rPr>
              <w:t>entidades estatales (interadministrativos) o aquellos suscritos entre entidades estatales y particulares</w:t>
            </w:r>
            <w:r w:rsidRPr="00F156FB">
              <w:rPr>
                <w:rFonts w:ascii="Verdana" w:hAnsi="Verdana" w:cs="Arial"/>
                <w:iCs/>
                <w:color w:val="000000" w:themeColor="text1"/>
                <w:lang w:val="es-ES_tradnl"/>
              </w:rPr>
              <w:t xml:space="preserve"> deberán publicar</w:t>
            </w:r>
            <w:r>
              <w:rPr>
                <w:rFonts w:ascii="Verdana" w:hAnsi="Verdana" w:cs="Arial"/>
                <w:iCs/>
                <w:color w:val="000000" w:themeColor="text1"/>
                <w:lang w:val="es-ES_tradnl"/>
              </w:rPr>
              <w:t>se</w:t>
            </w:r>
            <w:r w:rsidRPr="00F156FB">
              <w:rPr>
                <w:rFonts w:ascii="Verdana" w:hAnsi="Verdana" w:cs="Arial"/>
                <w:iCs/>
                <w:color w:val="000000" w:themeColor="text1"/>
                <w:lang w:val="es-ES_tradnl"/>
              </w:rPr>
              <w:t xml:space="preserve"> en el SECOP </w:t>
            </w:r>
            <w:r w:rsidRPr="00F156FB">
              <w:rPr>
                <w:rFonts w:ascii="Verdana" w:eastAsia="Calibri" w:hAnsi="Verdana" w:cs="Arial"/>
                <w:color w:val="000000" w:themeColor="text1"/>
                <w:lang w:val="es-ES"/>
              </w:rPr>
              <w:t>dentro de los tres (3) días siguientes a la expedición de los Documentos del Proceso</w:t>
            </w:r>
            <w:r w:rsidRPr="00F156FB">
              <w:rPr>
                <w:rFonts w:ascii="Verdana" w:hAnsi="Verdana" w:cs="Arial"/>
                <w:iCs/>
                <w:color w:val="000000" w:themeColor="text1"/>
                <w:lang w:val="es-ES_tradnl"/>
              </w:rPr>
              <w:t>, por parte del ente contratante o el que adelantó la contratación. Esto, sin perjuicio de que dichos convenios o contratos causen o no erogación presupuestal.</w:t>
            </w:r>
          </w:p>
        </w:tc>
      </w:tr>
    </w:tbl>
    <w:p w14:paraId="2DE0C0D4" w14:textId="77777777" w:rsidR="00C03AF4" w:rsidRPr="00262582" w:rsidRDefault="00C03AF4" w:rsidP="00C03AF4">
      <w:pPr>
        <w:spacing w:after="0" w:line="276" w:lineRule="auto"/>
        <w:contextualSpacing/>
        <w:jc w:val="both"/>
        <w:rPr>
          <w:rFonts w:ascii="Verdana" w:eastAsia="Times New Roman" w:hAnsi="Verdana" w:cs="Arial"/>
          <w:lang w:eastAsia="es-ES_tradnl"/>
        </w:rPr>
      </w:pPr>
    </w:p>
    <w:p w14:paraId="22524BAD" w14:textId="77777777" w:rsidR="00C03AF4" w:rsidRPr="00262582" w:rsidRDefault="00C03AF4" w:rsidP="00C03AF4">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3. Razones de la respuesta:</w:t>
      </w:r>
    </w:p>
    <w:p w14:paraId="4A2DEA56" w14:textId="77777777" w:rsidR="00C03AF4" w:rsidRPr="00262582" w:rsidRDefault="00C03AF4" w:rsidP="00C03AF4">
      <w:pPr>
        <w:spacing w:after="0" w:line="276" w:lineRule="auto"/>
        <w:jc w:val="both"/>
        <w:rPr>
          <w:rFonts w:ascii="Verdana" w:eastAsia="Calibri" w:hAnsi="Verdana" w:cs="Arial"/>
          <w:color w:val="7030A0"/>
          <w:lang w:val="es-ES"/>
        </w:rPr>
      </w:pPr>
    </w:p>
    <w:p w14:paraId="5E83D1D0" w14:textId="77777777" w:rsidR="00C03AF4" w:rsidRDefault="00C03AF4" w:rsidP="00C03AF4">
      <w:pPr>
        <w:spacing w:after="0" w:line="276" w:lineRule="auto"/>
        <w:jc w:val="both"/>
        <w:rPr>
          <w:rFonts w:ascii="Verdana" w:eastAsia="Calibri" w:hAnsi="Verdana" w:cs="Arial"/>
          <w:lang w:val="es-ES"/>
        </w:rPr>
      </w:pPr>
      <w:r w:rsidRPr="00262582">
        <w:rPr>
          <w:rFonts w:ascii="Verdana" w:eastAsia="Calibri" w:hAnsi="Verdana" w:cs="Arial"/>
          <w:lang w:val="es-ES"/>
        </w:rPr>
        <w:t xml:space="preserve">Lo anterior se sustenta en las siguientes consideraciones: </w:t>
      </w:r>
    </w:p>
    <w:p w14:paraId="0214F9F9" w14:textId="77777777" w:rsidR="00C03AF4" w:rsidRPr="00596104" w:rsidRDefault="00C03AF4" w:rsidP="00C03AF4">
      <w:pPr>
        <w:spacing w:after="0" w:line="276" w:lineRule="auto"/>
        <w:jc w:val="both"/>
        <w:rPr>
          <w:rFonts w:ascii="Verdana" w:eastAsia="Calibri" w:hAnsi="Verdana" w:cs="Arial"/>
          <w:lang w:val="es-ES"/>
        </w:rPr>
      </w:pPr>
    </w:p>
    <w:p w14:paraId="79C67E06" w14:textId="77777777" w:rsidR="00C03AF4" w:rsidRPr="0041492A" w:rsidRDefault="00C03AF4" w:rsidP="00C03AF4">
      <w:pPr>
        <w:spacing w:line="276" w:lineRule="auto"/>
        <w:jc w:val="both"/>
        <w:rPr>
          <w:rFonts w:ascii="Verdana" w:eastAsia="Calibri" w:hAnsi="Verdana" w:cs="Arial"/>
          <w:color w:val="000000" w:themeColor="text1"/>
          <w:lang w:val="es-ES_tradnl"/>
        </w:rPr>
      </w:pPr>
      <w:r>
        <w:rPr>
          <w:rFonts w:ascii="Verdana" w:eastAsia="Calibri" w:hAnsi="Verdana" w:cs="Arial"/>
          <w:lang w:val="es-ES"/>
        </w:rPr>
        <w:t xml:space="preserve">Uno de los postulados más importantes de un Estado Social </w:t>
      </w:r>
      <w:r w:rsidRPr="0081382F">
        <w:rPr>
          <w:rFonts w:ascii="Verdana" w:eastAsia="Calibri" w:hAnsi="Verdana" w:cs="Arial"/>
          <w:lang w:val="es-ES"/>
        </w:rPr>
        <w:t xml:space="preserve">y Democrático de Derecho es el principio de publicidad, pues este permite que las actuaciones de las autoridades gocen de visibilidad. La </w:t>
      </w:r>
      <w:bookmarkStart w:id="0" w:name="_Hlk177973082"/>
      <w:r w:rsidRPr="0081382F">
        <w:rPr>
          <w:rFonts w:ascii="Verdana" w:eastAsia="Calibri" w:hAnsi="Verdana" w:cs="Arial"/>
          <w:lang w:val="es-ES"/>
        </w:rPr>
        <w:t xml:space="preserve">Constitución Política de 1991 </w:t>
      </w:r>
      <w:bookmarkEnd w:id="0"/>
      <w:r w:rsidRPr="0081382F">
        <w:rPr>
          <w:rFonts w:ascii="Verdana" w:eastAsia="Calibri" w:hAnsi="Verdana" w:cs="Arial"/>
          <w:lang w:val="es-ES"/>
        </w:rPr>
        <w:t>consagra en varios artículos la publicidad como un principio rector del Estado colombiano. Entre los más destacados, puede mencionarse el 209, que afirma que la publicidad es uno de los principios que fundamentan el ejercicio de la función administrativa, y el artículo 74, que consagra la garantía de acceso a los documentos públicos que no gocen de reserva –y esta, además, es excepcional, pues solo procede si existe causal constitucional o legal expresa–.</w:t>
      </w:r>
    </w:p>
    <w:p w14:paraId="4EDDB1B4" w14:textId="77777777" w:rsidR="00C03AF4" w:rsidRPr="0041492A" w:rsidRDefault="00C03AF4" w:rsidP="00C03AF4">
      <w:pPr>
        <w:spacing w:line="276" w:lineRule="auto"/>
        <w:ind w:firstLine="709"/>
        <w:jc w:val="both"/>
        <w:rPr>
          <w:rFonts w:ascii="Verdana" w:eastAsia="Calibri" w:hAnsi="Verdana" w:cs="Arial"/>
          <w:color w:val="000000" w:themeColor="text1"/>
          <w:lang w:val="es-ES_tradnl"/>
        </w:rPr>
      </w:pPr>
      <w:r w:rsidRPr="0041492A">
        <w:rPr>
          <w:rFonts w:ascii="Verdana" w:eastAsia="Calibri" w:hAnsi="Verdana" w:cs="Arial"/>
          <w:color w:val="000000" w:themeColor="text1"/>
          <w:lang w:val="es-ES_tradnl"/>
        </w:rPr>
        <w:t xml:space="preserve">El principio de publicidad impone a las autoridades administrativas el deber de dar a conocer sus actos, contratos y decisiones, para que se divulguen y eventualmente se controlen dichas actuaciones. Es por eso por lo que, en la contratación estatal, el </w:t>
      </w:r>
      <w:bookmarkStart w:id="1" w:name="_Hlk177973116"/>
      <w:r w:rsidRPr="0041492A">
        <w:rPr>
          <w:rFonts w:ascii="Verdana" w:eastAsia="Calibri" w:hAnsi="Verdana" w:cs="Arial"/>
          <w:color w:val="000000" w:themeColor="text1"/>
          <w:lang w:val="es-ES_tradnl"/>
        </w:rPr>
        <w:t xml:space="preserve">literal c) del artículo 3 </w:t>
      </w:r>
      <w:bookmarkEnd w:id="1"/>
      <w:r w:rsidRPr="0041492A">
        <w:rPr>
          <w:rFonts w:ascii="Verdana" w:eastAsia="Calibri" w:hAnsi="Verdana" w:cs="Arial"/>
          <w:color w:val="000000" w:themeColor="text1"/>
          <w:lang w:val="es-ES_tradnl"/>
        </w:rPr>
        <w:t xml:space="preserve">de la </w:t>
      </w:r>
      <w:bookmarkStart w:id="2" w:name="_Hlk177973109"/>
      <w:r w:rsidRPr="0041492A">
        <w:rPr>
          <w:rFonts w:ascii="Verdana" w:eastAsia="Calibri" w:hAnsi="Verdana" w:cs="Arial"/>
          <w:color w:val="000000" w:themeColor="text1"/>
          <w:lang w:val="es-ES_tradnl"/>
        </w:rPr>
        <w:t xml:space="preserve">Ley 1150 de 2007 </w:t>
      </w:r>
      <w:bookmarkEnd w:id="2"/>
      <w:r w:rsidRPr="0041492A">
        <w:rPr>
          <w:rFonts w:ascii="Verdana" w:eastAsia="Calibri" w:hAnsi="Verdana" w:cs="Arial"/>
          <w:color w:val="000000" w:themeColor="text1"/>
          <w:lang w:val="es-ES_tradnl"/>
        </w:rPr>
        <w:t xml:space="preserve">establece el Sistema Electrónico para la Contratación Pública –SECOP– como un mecanismo que </w:t>
      </w:r>
      <w:r>
        <w:rPr>
          <w:rFonts w:ascii="Verdana" w:eastAsia="Calibri" w:hAnsi="Verdana" w:cs="Arial"/>
          <w:color w:val="000000" w:themeColor="text1"/>
          <w:lang w:val="es-ES_tradnl"/>
        </w:rPr>
        <w:t>“</w:t>
      </w:r>
      <w:r w:rsidRPr="0041492A">
        <w:rPr>
          <w:rFonts w:ascii="Verdana" w:eastAsia="Calibri" w:hAnsi="Verdana" w:cs="Arial"/>
          <w:color w:val="000000" w:themeColor="text1"/>
          <w:lang w:val="es-ES_tradnl"/>
        </w:rPr>
        <w:t>contará con la información oficial de la contratación realizada con dineros públicos, para lo cual establecerá los patrones a que haya lugar y se encargará de su difusión a través de canales electrónicos</w:t>
      </w:r>
      <w:r>
        <w:rPr>
          <w:rFonts w:ascii="Verdana" w:eastAsia="Calibri" w:hAnsi="Verdana" w:cs="Arial"/>
          <w:color w:val="000000" w:themeColor="text1"/>
          <w:lang w:val="es-ES_tradnl"/>
        </w:rPr>
        <w:t>”</w:t>
      </w:r>
      <w:r w:rsidRPr="0041492A">
        <w:rPr>
          <w:rStyle w:val="Refdenotaalpie"/>
          <w:rFonts w:ascii="Verdana" w:eastAsia="Calibri" w:hAnsi="Verdana" w:cs="Arial"/>
          <w:color w:val="000000" w:themeColor="text1"/>
          <w:lang w:val="es-ES_tradnl"/>
        </w:rPr>
        <w:footnoteReference w:id="2"/>
      </w:r>
      <w:r w:rsidRPr="0041492A">
        <w:rPr>
          <w:rFonts w:ascii="Verdana" w:eastAsia="Calibri" w:hAnsi="Verdana" w:cs="Arial"/>
          <w:color w:val="000000" w:themeColor="text1"/>
          <w:lang w:val="es-ES_tradnl"/>
        </w:rPr>
        <w:t xml:space="preserve">. </w:t>
      </w:r>
    </w:p>
    <w:p w14:paraId="29F72B2C" w14:textId="77777777" w:rsidR="00C03AF4" w:rsidRPr="0041492A" w:rsidRDefault="00C03AF4" w:rsidP="00C03AF4">
      <w:pPr>
        <w:spacing w:before="120" w:line="276" w:lineRule="auto"/>
        <w:ind w:firstLine="709"/>
        <w:jc w:val="both"/>
        <w:rPr>
          <w:rFonts w:ascii="Verdana" w:eastAsia="Calibri" w:hAnsi="Verdana" w:cs="Arial"/>
          <w:color w:val="000000" w:themeColor="text1"/>
          <w:lang w:val="es-ES_tradnl"/>
        </w:rPr>
      </w:pPr>
      <w:r w:rsidRPr="0041492A">
        <w:rPr>
          <w:rFonts w:ascii="Verdana" w:hAnsi="Verdana" w:cs="Arial"/>
          <w:color w:val="000000" w:themeColor="text1"/>
          <w:lang w:val="es-ES_tradnl"/>
        </w:rPr>
        <w:lastRenderedPageBreak/>
        <w:t xml:space="preserve">De otra parte, la </w:t>
      </w:r>
      <w:bookmarkStart w:id="3" w:name="_Hlk177973126"/>
      <w:r w:rsidRPr="0041492A">
        <w:rPr>
          <w:rFonts w:ascii="Verdana" w:hAnsi="Verdana" w:cs="Arial"/>
          <w:color w:val="000000" w:themeColor="text1"/>
          <w:lang w:val="es-ES_tradnl"/>
        </w:rPr>
        <w:t xml:space="preserve">Ley 1712 de 2014 </w:t>
      </w:r>
      <w:bookmarkEnd w:id="3"/>
      <w:r w:rsidRPr="0041492A">
        <w:rPr>
          <w:rFonts w:ascii="Verdana" w:hAnsi="Verdana" w:cs="Arial"/>
          <w:color w:val="000000" w:themeColor="text1"/>
          <w:lang w:val="es-ES_tradnl"/>
        </w:rPr>
        <w:t xml:space="preserve">–ley estatutaria que regula la transparencia y el derecho de acceso a la información y a los documentos públicos–, identifica como principios que orientan el derecho de acceso a la información pública, el de máxima publicidad, transparencia en la información y buena fe. El principio de máxima publicidad establece que </w:t>
      </w:r>
      <w:r>
        <w:rPr>
          <w:rFonts w:ascii="Verdana" w:hAnsi="Verdana" w:cs="Arial"/>
          <w:color w:val="000000" w:themeColor="text1"/>
          <w:lang w:val="es-ES_tradnl"/>
        </w:rPr>
        <w:t>“</w:t>
      </w:r>
      <w:r w:rsidRPr="0041492A">
        <w:rPr>
          <w:rFonts w:ascii="Verdana" w:hAnsi="Verdana" w:cs="Arial"/>
          <w:color w:val="000000" w:themeColor="text1"/>
          <w:lang w:val="es-ES_tradnl"/>
        </w:rPr>
        <w:t>toda información en posesión, bajo control o custodia de un sujeto obligado es pública y no podrá ser reservada o limitada sino por disposición constitucional o legal</w:t>
      </w:r>
      <w:r>
        <w:rPr>
          <w:rFonts w:ascii="Verdana" w:hAnsi="Verdana" w:cs="Arial"/>
          <w:color w:val="000000" w:themeColor="text1"/>
          <w:lang w:val="es-ES_tradnl"/>
        </w:rPr>
        <w:t>”</w:t>
      </w:r>
      <w:r w:rsidRPr="0041492A">
        <w:rPr>
          <w:rStyle w:val="Refdenotaalpie"/>
          <w:rFonts w:ascii="Verdana" w:hAnsi="Verdana" w:cs="Arial"/>
          <w:color w:val="000000" w:themeColor="text1"/>
          <w:lang w:val="es-ES_tradnl"/>
        </w:rPr>
        <w:footnoteReference w:id="3"/>
      </w:r>
      <w:r w:rsidRPr="0041492A">
        <w:rPr>
          <w:rFonts w:ascii="Verdana" w:hAnsi="Verdana" w:cs="Arial"/>
          <w:color w:val="000000" w:themeColor="text1"/>
          <w:lang w:val="es-ES_tradnl"/>
        </w:rPr>
        <w:t xml:space="preserve">. El principio de transparencia en la información alude al deber de los sujetos de proporcionar y facilitar el acceso a la misma en los términos más amplios posibles, y a través de los medios y procedimientos legales. La ley estatutaria citada establece, en el literal e) del </w:t>
      </w:r>
      <w:bookmarkStart w:id="4" w:name="_Hlk177973132"/>
      <w:r w:rsidRPr="0041492A">
        <w:rPr>
          <w:rFonts w:ascii="Verdana" w:hAnsi="Verdana" w:cs="Arial"/>
          <w:color w:val="000000" w:themeColor="text1"/>
          <w:lang w:val="es-ES_tradnl"/>
        </w:rPr>
        <w:t>artículo 9</w:t>
      </w:r>
      <w:bookmarkEnd w:id="4"/>
      <w:r w:rsidRPr="0041492A">
        <w:rPr>
          <w:rFonts w:ascii="Verdana" w:hAnsi="Verdana" w:cs="Arial"/>
          <w:color w:val="000000" w:themeColor="text1"/>
          <w:lang w:val="es-ES_tradnl"/>
        </w:rPr>
        <w:t>, que los sujetos obligados, que son todas las entidades públicas</w:t>
      </w:r>
      <w:r w:rsidRPr="0041492A">
        <w:rPr>
          <w:rStyle w:val="Refdenotaalpie"/>
          <w:rFonts w:ascii="Verdana" w:hAnsi="Verdana" w:cs="Arial"/>
          <w:color w:val="000000" w:themeColor="text1"/>
          <w:lang w:val="es-ES_tradnl"/>
        </w:rPr>
        <w:footnoteReference w:id="4"/>
      </w:r>
      <w:r w:rsidRPr="0041492A">
        <w:rPr>
          <w:rFonts w:ascii="Verdana" w:hAnsi="Verdana" w:cs="Arial"/>
          <w:color w:val="000000" w:themeColor="text1"/>
          <w:lang w:val="es-ES_tradnl"/>
        </w:rPr>
        <w:t>, deben publicar la información relativa a su contratación. Esta obligación fue desarrollada por el Decreto Único Reglamentario 1081 de 2015</w:t>
      </w:r>
      <w:r w:rsidRPr="0041492A">
        <w:rPr>
          <w:rStyle w:val="Refdenotaalpie"/>
          <w:rFonts w:ascii="Verdana" w:hAnsi="Verdana" w:cs="Arial"/>
          <w:color w:val="000000" w:themeColor="text1"/>
          <w:lang w:val="es-ES_tradnl"/>
        </w:rPr>
        <w:footnoteReference w:id="5"/>
      </w:r>
      <w:r w:rsidRPr="0041492A">
        <w:rPr>
          <w:rFonts w:ascii="Verdana" w:hAnsi="Verdana" w:cs="Arial"/>
          <w:color w:val="000000" w:themeColor="text1"/>
          <w:lang w:val="es-ES_tradnl"/>
        </w:rPr>
        <w:t>, el cual dispuso que la publicación de la información contractual de los sujetos obligados, que contratan con cargo a recursos públicos, debe hacerse en el Sistema Electrónico para la Contratación Pública ─</w:t>
      </w:r>
      <w:r w:rsidRPr="0041492A">
        <w:rPr>
          <w:rFonts w:ascii="Verdana" w:hAnsi="Verdana" w:cs="Arial"/>
          <w:color w:val="000000" w:themeColor="text1"/>
          <w:lang w:val="es-ES_tradnl"/>
        </w:rPr>
        <w:softHyphen/>
        <w:t xml:space="preserve"> </w:t>
      </w:r>
      <w:r w:rsidRPr="0041492A">
        <w:rPr>
          <w:rFonts w:ascii="Verdana" w:hAnsi="Verdana" w:cs="Arial"/>
          <w:color w:val="000000" w:themeColor="text1"/>
          <w:lang w:val="es-ES_tradnl"/>
        </w:rPr>
        <w:softHyphen/>
        <w:t>SECOP–.</w:t>
      </w:r>
    </w:p>
    <w:p w14:paraId="0A3FF63A" w14:textId="77777777" w:rsidR="00C03AF4" w:rsidRPr="0041492A" w:rsidRDefault="00C03AF4" w:rsidP="00C03AF4">
      <w:pPr>
        <w:spacing w:before="120" w:line="276" w:lineRule="auto"/>
        <w:ind w:firstLine="709"/>
        <w:jc w:val="both"/>
        <w:rPr>
          <w:rFonts w:ascii="Verdana" w:hAnsi="Verdana" w:cs="Arial"/>
          <w:color w:val="000000" w:themeColor="text1"/>
          <w:lang w:val="es-ES_tradnl"/>
        </w:rPr>
      </w:pPr>
      <w:r w:rsidRPr="0041492A">
        <w:rPr>
          <w:rFonts w:ascii="Verdana" w:hAnsi="Verdana" w:cs="Arial"/>
          <w:color w:val="000000" w:themeColor="text1"/>
          <w:lang w:val="es-ES_tradnl"/>
        </w:rPr>
        <w:t xml:space="preserve">Asimismo, de acuerdo con el </w:t>
      </w:r>
      <w:bookmarkStart w:id="5" w:name="_Hlk177973152"/>
      <w:r w:rsidRPr="0041492A">
        <w:rPr>
          <w:rFonts w:ascii="Verdana" w:hAnsi="Verdana" w:cs="Arial"/>
          <w:color w:val="000000" w:themeColor="text1"/>
          <w:lang w:val="es-ES_tradnl"/>
        </w:rPr>
        <w:t xml:space="preserve">literal g) del artículo 11 </w:t>
      </w:r>
      <w:bookmarkEnd w:id="5"/>
      <w:r w:rsidRPr="0041492A">
        <w:rPr>
          <w:rFonts w:ascii="Verdana" w:hAnsi="Verdana" w:cs="Arial"/>
          <w:color w:val="000000" w:themeColor="text1"/>
          <w:lang w:val="es-ES_tradnl"/>
        </w:rPr>
        <w:t xml:space="preserve">de la misma Ley, todos los destinatarios de la ley de transparencia deben garantizar la publicidad de </w:t>
      </w:r>
      <w:r>
        <w:rPr>
          <w:rFonts w:ascii="Verdana" w:hAnsi="Verdana" w:cs="Arial"/>
          <w:color w:val="000000" w:themeColor="text1"/>
          <w:lang w:val="es-ES_tradnl"/>
        </w:rPr>
        <w:t>“</w:t>
      </w:r>
      <w:r w:rsidRPr="0041492A">
        <w:rPr>
          <w:rFonts w:ascii="Verdana" w:hAnsi="Verdana" w:cs="Arial"/>
          <w:color w:val="000000" w:themeColor="text1"/>
          <w:lang w:val="es-ES_tradnl"/>
        </w:rPr>
        <w:t>sus procedimientos, lineamientos, políticas en materia de adquisiciones y compras, así como todos los datos de adjudicación y ejecución de contratos, incluidos concursos y licitaciones</w:t>
      </w:r>
      <w:r>
        <w:rPr>
          <w:rFonts w:ascii="Verdana" w:hAnsi="Verdana" w:cs="Arial"/>
          <w:color w:val="000000" w:themeColor="text1"/>
          <w:lang w:val="es-ES_tradnl"/>
        </w:rPr>
        <w:t>”</w:t>
      </w:r>
      <w:r w:rsidRPr="0041492A">
        <w:rPr>
          <w:rFonts w:ascii="Verdana" w:hAnsi="Verdana" w:cs="Arial"/>
          <w:color w:val="000000" w:themeColor="text1"/>
          <w:lang w:val="es-ES_tradnl"/>
        </w:rPr>
        <w:t xml:space="preserve">, y esta información también debe estar en el </w:t>
      </w:r>
      <w:r w:rsidRPr="0041492A">
        <w:rPr>
          <w:rFonts w:ascii="Verdana" w:hAnsi="Verdana" w:cs="Arial"/>
          <w:color w:val="000000" w:themeColor="text1"/>
          <w:lang w:val="es-ES_tradnl"/>
        </w:rPr>
        <w:lastRenderedPageBreak/>
        <w:t xml:space="preserve">SECOP. </w:t>
      </w:r>
      <w:r w:rsidRPr="0041492A">
        <w:rPr>
          <w:rFonts w:ascii="Verdana" w:eastAsia="Calibri" w:hAnsi="Verdana" w:cs="Arial"/>
          <w:color w:val="000000" w:themeColor="text1"/>
          <w:lang w:val="es-ES_tradnl"/>
        </w:rPr>
        <w:t>El derecho de acceso a la información pública o de interés público permite a toda persona, sin necesidad de acreditar calidad, interés o condición particular, conocer la existencia de información pública, acceder a la misma y difundirla o publicarla, según su interés</w:t>
      </w:r>
      <w:r w:rsidRPr="0041492A">
        <w:rPr>
          <w:rStyle w:val="Refdenotaalpie"/>
          <w:rFonts w:ascii="Verdana" w:eastAsia="Calibri" w:hAnsi="Verdana" w:cs="Arial"/>
          <w:color w:val="000000" w:themeColor="text1"/>
          <w:lang w:val="es-ES_tradnl"/>
        </w:rPr>
        <w:footnoteReference w:id="6"/>
      </w:r>
      <w:r w:rsidRPr="0041492A">
        <w:rPr>
          <w:rFonts w:ascii="Verdana" w:eastAsia="Calibri" w:hAnsi="Verdana" w:cs="Arial"/>
          <w:color w:val="000000" w:themeColor="text1"/>
          <w:lang w:val="es-ES_tradnl"/>
        </w:rPr>
        <w:t>.</w:t>
      </w:r>
    </w:p>
    <w:p w14:paraId="52D5CE3C" w14:textId="77777777" w:rsidR="00C03AF4" w:rsidRPr="0041492A" w:rsidRDefault="00C03AF4" w:rsidP="00C03AF4">
      <w:pPr>
        <w:spacing w:before="120" w:line="276" w:lineRule="auto"/>
        <w:ind w:firstLine="709"/>
        <w:jc w:val="both"/>
        <w:rPr>
          <w:rFonts w:ascii="Verdana" w:hAnsi="Verdana" w:cs="Arial"/>
          <w:color w:val="000000" w:themeColor="text1"/>
          <w:lang w:val="es-ES_tradnl"/>
        </w:rPr>
      </w:pPr>
      <w:r w:rsidRPr="0041492A">
        <w:rPr>
          <w:rFonts w:ascii="Verdana" w:hAnsi="Verdana" w:cs="Arial"/>
          <w:color w:val="000000" w:themeColor="text1"/>
          <w:lang w:val="es-ES_tradnl"/>
        </w:rPr>
        <w:t>Para el año 2013, la Agencia Nacional de Contratación Pública ─ Colombia Compra Eficiente, mediante la Circular Externa No 1 del 21 de junio de 2013, recopilada en la Circular Externa Única, recordó a todas las entidades del Estado el deber de publicar oportunamente la información oficial de la contratación en el SECOP, sin distinción de su régimen jurídico, naturaleza jurídica o la pertenencia a una u otra rama del poder público</w:t>
      </w:r>
      <w:r w:rsidRPr="0041492A">
        <w:rPr>
          <w:rStyle w:val="Refdenotaalpie"/>
          <w:rFonts w:ascii="Verdana" w:hAnsi="Verdana" w:cs="Arial"/>
          <w:color w:val="000000" w:themeColor="text1"/>
          <w:lang w:val="es-ES_tradnl"/>
        </w:rPr>
        <w:footnoteReference w:id="7"/>
      </w:r>
      <w:r w:rsidRPr="0041492A">
        <w:rPr>
          <w:rFonts w:ascii="Verdana" w:hAnsi="Verdana" w:cs="Arial"/>
          <w:color w:val="000000" w:themeColor="text1"/>
          <w:lang w:val="es-ES_tradnl"/>
        </w:rPr>
        <w:t xml:space="preserve">. Este deber, como se verá más adelante, permanece vigente, incluso con el auto del 25 de febrero de 2021. Además, la </w:t>
      </w:r>
      <w:bookmarkStart w:id="6" w:name="_Hlk177973166"/>
      <w:r w:rsidRPr="0041492A">
        <w:rPr>
          <w:rFonts w:ascii="Verdana" w:hAnsi="Verdana" w:cs="Arial"/>
          <w:color w:val="000000" w:themeColor="text1"/>
          <w:lang w:val="es-ES_tradnl"/>
        </w:rPr>
        <w:t>Circular Externa Única, en el numeral 1.1.</w:t>
      </w:r>
      <w:bookmarkEnd w:id="6"/>
      <w:r w:rsidRPr="0041492A">
        <w:rPr>
          <w:rFonts w:ascii="Verdana" w:hAnsi="Verdana" w:cs="Arial"/>
          <w:color w:val="000000" w:themeColor="text1"/>
          <w:lang w:val="es-ES_tradnl"/>
        </w:rPr>
        <w:t xml:space="preserve">, estableció, de manera enunciativa, que deben publicar en el SECOP: </w:t>
      </w:r>
      <w:r>
        <w:rPr>
          <w:rFonts w:ascii="Verdana" w:hAnsi="Verdana" w:cs="Arial"/>
          <w:color w:val="000000" w:themeColor="text1"/>
          <w:lang w:val="es-ES_tradnl"/>
        </w:rPr>
        <w:t>“</w:t>
      </w:r>
      <w:r w:rsidRPr="0041492A">
        <w:rPr>
          <w:rFonts w:ascii="Verdana" w:hAnsi="Verdana" w:cs="Arial"/>
          <w:color w:val="000000" w:themeColor="text1"/>
          <w:lang w:val="es-ES_tradnl"/>
        </w:rPr>
        <w:t>2. Las entidades del Estado que tienen un régimen especial de contratación, siempre y cuando el contrato ejecute o tenga como fuente de financiación dineros públicos, sin importar su proporción, a través del módulo [Régimen Especial], de acuerdo con lo establecido en su propio manual de contratación</w:t>
      </w:r>
      <w:r>
        <w:rPr>
          <w:rFonts w:ascii="Verdana" w:hAnsi="Verdana" w:cs="Arial"/>
          <w:color w:val="000000" w:themeColor="text1"/>
          <w:lang w:val="es-ES_tradnl"/>
        </w:rPr>
        <w:t>”</w:t>
      </w:r>
      <w:r w:rsidRPr="0041492A">
        <w:rPr>
          <w:rFonts w:ascii="Verdana" w:hAnsi="Verdana" w:cs="Arial"/>
          <w:color w:val="000000" w:themeColor="text1"/>
          <w:lang w:val="es-ES_tradnl"/>
        </w:rPr>
        <w:t>.</w:t>
      </w:r>
    </w:p>
    <w:p w14:paraId="6F55B25B" w14:textId="77777777" w:rsidR="00C03AF4" w:rsidRPr="0041492A" w:rsidRDefault="00C03AF4" w:rsidP="00C03AF4">
      <w:pPr>
        <w:spacing w:after="0" w:line="276" w:lineRule="auto"/>
        <w:ind w:firstLine="709"/>
        <w:jc w:val="both"/>
        <w:rPr>
          <w:rFonts w:ascii="Verdana" w:hAnsi="Verdana" w:cs="Arial"/>
          <w:color w:val="000000" w:themeColor="text1"/>
          <w:lang w:val="es-ES_tradnl"/>
        </w:rPr>
      </w:pPr>
      <w:r w:rsidRPr="0041492A">
        <w:rPr>
          <w:rFonts w:ascii="Verdana" w:hAnsi="Verdana" w:cs="Arial"/>
          <w:color w:val="000000" w:themeColor="text1"/>
          <w:lang w:val="es-ES_tradnl"/>
        </w:rPr>
        <w:t>El debate sobre la obligatoriedad o no de publicar en el SECOP para las entidades con régimen especial de contratación, había sido definido, al menos de manera preliminar, por el Consejo de Estado. En este sentido, la Sección Tercera, Subsección C, en el Auto del 14 de agosto de 2017</w:t>
      </w:r>
      <w:r w:rsidRPr="0041492A">
        <w:rPr>
          <w:rStyle w:val="Refdenotaalpie"/>
          <w:rFonts w:ascii="Verdana" w:hAnsi="Verdana" w:cs="Arial"/>
          <w:color w:val="000000" w:themeColor="text1"/>
          <w:lang w:val="es-ES_tradnl"/>
        </w:rPr>
        <w:footnoteReference w:id="8"/>
      </w:r>
      <w:r w:rsidRPr="0041492A">
        <w:rPr>
          <w:rFonts w:ascii="Verdana" w:hAnsi="Verdana" w:cs="Arial"/>
          <w:color w:val="000000" w:themeColor="text1"/>
          <w:lang w:val="es-ES_tradnl"/>
        </w:rPr>
        <w:t>, expresó que la obligación prevista en la Circular Externa No. 1 se ajusta a la normativa superior, en los siguientes términos:</w:t>
      </w:r>
    </w:p>
    <w:p w14:paraId="45A82FBD" w14:textId="77777777" w:rsidR="00C03AF4" w:rsidRPr="0041492A" w:rsidRDefault="00C03AF4" w:rsidP="00C03AF4">
      <w:pPr>
        <w:spacing w:after="0" w:line="276" w:lineRule="auto"/>
        <w:jc w:val="both"/>
        <w:rPr>
          <w:rFonts w:ascii="Verdana" w:hAnsi="Verdana" w:cs="Arial"/>
          <w:color w:val="000000" w:themeColor="text1"/>
          <w:lang w:val="es-ES_tradnl"/>
        </w:rPr>
      </w:pPr>
    </w:p>
    <w:p w14:paraId="603C480A" w14:textId="77777777" w:rsidR="00C03AF4" w:rsidRPr="0041492A" w:rsidRDefault="00C03AF4" w:rsidP="00C03AF4">
      <w:pPr>
        <w:tabs>
          <w:tab w:val="left" w:pos="3885"/>
        </w:tabs>
        <w:ind w:left="709" w:right="709"/>
        <w:jc w:val="both"/>
        <w:rPr>
          <w:rFonts w:ascii="Verdana" w:hAnsi="Verdana" w:cs="Arial"/>
          <w:color w:val="000000" w:themeColor="text1"/>
          <w:sz w:val="21"/>
          <w:szCs w:val="21"/>
          <w:lang w:val="es-ES_tradnl"/>
        </w:rPr>
      </w:pPr>
      <w:r w:rsidRPr="0041492A">
        <w:rPr>
          <w:rFonts w:ascii="Verdana" w:hAnsi="Verdana" w:cs="Arial"/>
          <w:color w:val="000000" w:themeColor="text1"/>
          <w:sz w:val="21"/>
          <w:szCs w:val="21"/>
          <w:lang w:val="es-ES_tradnl"/>
        </w:rPr>
        <w:t>[…] resulta razonable concluir, en esta oportunidad, que en virtud del deber de información prescrito en el literal c) del artículo 3 o de la Ley 1150 de 2007 los sujetos obligados bajo tal norma [todos los que realizan contratación con dineros públicos] deben suministrar información sobre su contratación en términos veraces, auténticos y completos en el sistema electrónico SECOP, lo que incluye, entonces, todo acto que sea expresión de ejercicio o despliegue de actividad contractual.</w:t>
      </w:r>
    </w:p>
    <w:p w14:paraId="03A4946F" w14:textId="77777777" w:rsidR="00C03AF4" w:rsidRPr="0041492A" w:rsidRDefault="00C03AF4" w:rsidP="061C3CFB">
      <w:pPr>
        <w:tabs>
          <w:tab w:val="left" w:pos="3885"/>
        </w:tabs>
        <w:ind w:left="709" w:right="709"/>
        <w:jc w:val="both"/>
        <w:rPr>
          <w:rFonts w:ascii="Verdana" w:hAnsi="Verdana" w:cs="Arial"/>
          <w:color w:val="000000" w:themeColor="text1"/>
          <w:sz w:val="21"/>
          <w:szCs w:val="21"/>
          <w:lang w:val="es-ES"/>
        </w:rPr>
      </w:pPr>
      <w:r w:rsidRPr="061C3CFB">
        <w:rPr>
          <w:rFonts w:ascii="Verdana" w:hAnsi="Verdana" w:cs="Arial"/>
          <w:color w:val="000000" w:themeColor="text1"/>
          <w:sz w:val="21"/>
          <w:szCs w:val="21"/>
          <w:lang w:val="es-ES"/>
        </w:rPr>
        <w:lastRenderedPageBreak/>
        <w:t>11.5. ─Y es que, si se quiere en términos más detallados el literal c) del artículo 3o de la Ley en comento responde claramente las siguientes inquietudes: ¿Quiénes están obligados? los que realizan contratación con dineros públicos; ¿</w:t>
      </w:r>
      <w:proofErr w:type="gramStart"/>
      <w:r w:rsidRPr="061C3CFB">
        <w:rPr>
          <w:rFonts w:ascii="Verdana" w:hAnsi="Verdana" w:cs="Arial"/>
          <w:color w:val="000000" w:themeColor="text1"/>
          <w:sz w:val="21"/>
          <w:szCs w:val="21"/>
          <w:lang w:val="es-ES"/>
        </w:rPr>
        <w:t>en razón de</w:t>
      </w:r>
      <w:proofErr w:type="gramEnd"/>
      <w:r w:rsidRPr="061C3CFB">
        <w:rPr>
          <w:rFonts w:ascii="Verdana" w:hAnsi="Verdana" w:cs="Arial"/>
          <w:color w:val="000000" w:themeColor="text1"/>
          <w:sz w:val="21"/>
          <w:szCs w:val="21"/>
          <w:lang w:val="es-ES"/>
        </w:rPr>
        <w:t xml:space="preserve"> qué están obligados? En razón al manejo de tales recursos públicos y no por razón diferente; ¿Cuál es el límite o la extensión de ese deber? Única y exclusivamente comprende la información relativa a lo que sea objeto de contratación con recursos públicos, se excluyen de allí la que se realice con otras fuentes. ¿Dónde se debe surtir ese deber de información? Por conducto del sistema electrónico SECOP.</w:t>
      </w:r>
    </w:p>
    <w:p w14:paraId="5BDF0FE8" w14:textId="77777777" w:rsidR="00C03AF4" w:rsidRPr="0041492A" w:rsidRDefault="00C03AF4" w:rsidP="00C03AF4">
      <w:pPr>
        <w:tabs>
          <w:tab w:val="left" w:pos="3885"/>
        </w:tabs>
        <w:ind w:left="709" w:right="709"/>
        <w:jc w:val="both"/>
        <w:rPr>
          <w:rFonts w:ascii="Verdana" w:hAnsi="Verdana" w:cs="Arial"/>
          <w:color w:val="000000" w:themeColor="text1"/>
          <w:sz w:val="21"/>
          <w:szCs w:val="21"/>
          <w:lang w:val="es-ES_tradnl"/>
        </w:rPr>
      </w:pPr>
      <w:r w:rsidRPr="0041492A">
        <w:rPr>
          <w:rFonts w:ascii="Verdana" w:hAnsi="Verdana" w:cs="Arial"/>
          <w:color w:val="000000" w:themeColor="text1"/>
          <w:sz w:val="21"/>
          <w:szCs w:val="21"/>
          <w:lang w:val="es-ES_tradnl"/>
        </w:rPr>
        <w:t>[…]</w:t>
      </w:r>
    </w:p>
    <w:p w14:paraId="17723038" w14:textId="77777777" w:rsidR="00C03AF4" w:rsidRPr="0041492A" w:rsidRDefault="00C03AF4" w:rsidP="00C03AF4">
      <w:pPr>
        <w:tabs>
          <w:tab w:val="left" w:pos="3885"/>
        </w:tabs>
        <w:ind w:left="709" w:right="709"/>
        <w:jc w:val="both"/>
        <w:rPr>
          <w:rFonts w:ascii="Verdana" w:hAnsi="Verdana" w:cs="Arial"/>
          <w:color w:val="000000" w:themeColor="text1"/>
          <w:sz w:val="21"/>
          <w:szCs w:val="21"/>
          <w:lang w:val="es-ES_tradnl"/>
        </w:rPr>
      </w:pPr>
    </w:p>
    <w:p w14:paraId="12B08E44" w14:textId="77777777" w:rsidR="00C03AF4" w:rsidRDefault="00C03AF4" w:rsidP="00C03AF4">
      <w:pPr>
        <w:tabs>
          <w:tab w:val="left" w:pos="3885"/>
        </w:tabs>
        <w:spacing w:after="0"/>
        <w:ind w:left="709" w:right="709"/>
        <w:jc w:val="both"/>
        <w:rPr>
          <w:rFonts w:ascii="Verdana" w:hAnsi="Verdana" w:cs="Arial"/>
          <w:color w:val="000000" w:themeColor="text1"/>
          <w:sz w:val="21"/>
          <w:szCs w:val="21"/>
          <w:lang w:val="es-ES_tradnl"/>
        </w:rPr>
      </w:pPr>
      <w:r w:rsidRPr="0041492A">
        <w:rPr>
          <w:rFonts w:ascii="Verdana" w:hAnsi="Verdana" w:cs="Arial"/>
          <w:color w:val="000000" w:themeColor="text1"/>
          <w:sz w:val="21"/>
          <w:szCs w:val="21"/>
          <w:lang w:val="es-ES_tradnl"/>
        </w:rPr>
        <w:t>Así, lo que resulta también razonable afirmar es que el aludido deber de informar ya se encontraba bien dispuesto y definido desde el precepto legal de 2007, pues del texto del inciso de marras se sabe qué, quién y cómo se debe satisfacer ese deber y no surgió, como parece anotarlo la Fundación, con la expedición de la Circular Externa contra la cual se promueve este juicio contencioso de legalidad. Y, agrega este Despacho, este deber vino a ser reiterado [no creado] en la Ley 1712 de 2014</w:t>
      </w:r>
      <w:r w:rsidRPr="0041492A">
        <w:rPr>
          <w:rStyle w:val="Refdenotaalpie"/>
          <w:rFonts w:ascii="Verdana" w:hAnsi="Verdana" w:cs="Arial"/>
          <w:color w:val="000000" w:themeColor="text1"/>
          <w:sz w:val="21"/>
          <w:szCs w:val="21"/>
          <w:lang w:val="es-ES_tradnl"/>
        </w:rPr>
        <w:footnoteReference w:id="9"/>
      </w:r>
      <w:r w:rsidRPr="0041492A">
        <w:rPr>
          <w:rFonts w:ascii="Verdana" w:hAnsi="Verdana" w:cs="Arial"/>
          <w:color w:val="000000" w:themeColor="text1"/>
          <w:sz w:val="21"/>
          <w:szCs w:val="21"/>
          <w:lang w:val="es-ES_tradnl"/>
        </w:rPr>
        <w:t>.</w:t>
      </w:r>
    </w:p>
    <w:p w14:paraId="1A4E89D7" w14:textId="77777777" w:rsidR="00C03AF4" w:rsidRPr="0041492A" w:rsidRDefault="00C03AF4" w:rsidP="00C03AF4">
      <w:pPr>
        <w:tabs>
          <w:tab w:val="left" w:pos="3885"/>
        </w:tabs>
        <w:spacing w:after="0"/>
        <w:ind w:left="709" w:right="709"/>
        <w:jc w:val="both"/>
        <w:rPr>
          <w:rFonts w:ascii="Verdana" w:eastAsia="Calibri" w:hAnsi="Verdana" w:cs="Arial"/>
          <w:color w:val="000000" w:themeColor="text1"/>
          <w:lang w:val="es-ES_tradnl"/>
        </w:rPr>
      </w:pPr>
    </w:p>
    <w:p w14:paraId="520ACD5A" w14:textId="77777777" w:rsidR="00C03AF4" w:rsidRPr="0041492A" w:rsidRDefault="00C03AF4" w:rsidP="00C03AF4">
      <w:pPr>
        <w:spacing w:after="0" w:line="276" w:lineRule="auto"/>
        <w:ind w:firstLine="708"/>
        <w:jc w:val="both"/>
        <w:rPr>
          <w:rFonts w:ascii="Verdana" w:hAnsi="Verdana" w:cs="Arial"/>
          <w:color w:val="000000" w:themeColor="text1"/>
          <w:sz w:val="21"/>
          <w:szCs w:val="21"/>
          <w:lang w:val="es-ES_tradnl"/>
        </w:rPr>
      </w:pPr>
      <w:r w:rsidRPr="0041492A">
        <w:rPr>
          <w:rFonts w:ascii="Verdana" w:hAnsi="Verdana" w:cs="Arial"/>
          <w:color w:val="000000" w:themeColor="text1"/>
          <w:lang w:val="es-ES_tradnl"/>
        </w:rPr>
        <w:t xml:space="preserve">Adicionalmente, el deber de hacer pública la información contractual oficial no se determina por la naturaleza de la entidad ejecutora ─pública o privada─, ni por el régimen sustantivo contractual que aplique, sea la Ley 80 de 1993 o un régimen exceptuado. En particular, sobre el deber de publicidad de las entidades con régimen especial, el Consejo de Estado sostuvo: </w:t>
      </w:r>
    </w:p>
    <w:p w14:paraId="0374E425" w14:textId="77777777" w:rsidR="00C03AF4" w:rsidRDefault="00C03AF4" w:rsidP="00C03AF4">
      <w:pPr>
        <w:spacing w:after="0"/>
        <w:ind w:left="709" w:right="709"/>
        <w:jc w:val="both"/>
        <w:rPr>
          <w:rFonts w:ascii="Verdana" w:hAnsi="Verdana" w:cs="Arial"/>
          <w:color w:val="000000" w:themeColor="text1"/>
          <w:sz w:val="21"/>
          <w:szCs w:val="21"/>
          <w:lang w:val="es-ES_tradnl"/>
        </w:rPr>
      </w:pPr>
    </w:p>
    <w:p w14:paraId="366108E1" w14:textId="77777777" w:rsidR="00C03AF4" w:rsidRPr="0041492A" w:rsidRDefault="00C03AF4" w:rsidP="00C03AF4">
      <w:pPr>
        <w:spacing w:after="0"/>
        <w:ind w:left="709" w:right="709"/>
        <w:jc w:val="both"/>
        <w:rPr>
          <w:rFonts w:ascii="Verdana" w:hAnsi="Verdana" w:cs="Arial"/>
          <w:color w:val="000000" w:themeColor="text1"/>
          <w:sz w:val="21"/>
          <w:szCs w:val="21"/>
          <w:lang w:val="es-ES_tradnl"/>
        </w:rPr>
      </w:pPr>
      <w:r w:rsidRPr="0041492A">
        <w:rPr>
          <w:rFonts w:ascii="Verdana" w:hAnsi="Verdana" w:cs="Arial"/>
          <w:color w:val="000000" w:themeColor="text1"/>
          <w:sz w:val="21"/>
          <w:szCs w:val="21"/>
          <w:lang w:val="es-ES_tradnl"/>
        </w:rPr>
        <w:t xml:space="preserve">Por consiguiente, otra conclusión natural de lo que se viene de decir es que la exigibilidad prevista en el literal c) del artículo 3° de la Ley 1150 de 2007 y aquella reflejada en la Circular Externa sobre deber de informar no alteran ni trastocan el régimen jurídico contractual, por la potísima razón que lo único que impone o carga a cuenta de los sujetos obligados es hacer público, publicitar, reportar, informar ciertos asuntos específicos: la completa actividad contractual que hayan ejecutado con cargo a tales recursos públicos, de donde se desprende </w:t>
      </w:r>
      <w:r w:rsidRPr="0041492A">
        <w:rPr>
          <w:rFonts w:ascii="Verdana" w:hAnsi="Verdana" w:cs="Arial"/>
          <w:color w:val="000000" w:themeColor="text1"/>
          <w:sz w:val="21"/>
          <w:szCs w:val="21"/>
          <w:lang w:val="es-ES_tradnl"/>
        </w:rPr>
        <w:lastRenderedPageBreak/>
        <w:t>que no se estructura ese deber informativo en relación a los negocios que celebren con cargo a recursos de otra índole</w:t>
      </w:r>
      <w:r w:rsidRPr="0041492A">
        <w:rPr>
          <w:rStyle w:val="Refdenotaalpie"/>
          <w:rFonts w:ascii="Verdana" w:hAnsi="Verdana" w:cs="Arial"/>
          <w:color w:val="000000" w:themeColor="text1"/>
          <w:sz w:val="21"/>
          <w:szCs w:val="21"/>
          <w:lang w:val="es-ES_tradnl"/>
        </w:rPr>
        <w:footnoteReference w:id="10"/>
      </w:r>
      <w:r w:rsidRPr="0041492A">
        <w:rPr>
          <w:rFonts w:ascii="Verdana" w:hAnsi="Verdana" w:cs="Arial"/>
          <w:color w:val="000000" w:themeColor="text1"/>
          <w:sz w:val="21"/>
          <w:szCs w:val="21"/>
          <w:lang w:val="es-ES_tradnl"/>
        </w:rPr>
        <w:t>.</w:t>
      </w:r>
    </w:p>
    <w:p w14:paraId="439E645F" w14:textId="77777777" w:rsidR="00C03AF4" w:rsidRPr="0041492A" w:rsidRDefault="00C03AF4" w:rsidP="00C03AF4">
      <w:pPr>
        <w:spacing w:after="0" w:line="276" w:lineRule="auto"/>
        <w:ind w:leftChars="709" w:left="1560" w:right="709"/>
        <w:jc w:val="both"/>
        <w:rPr>
          <w:rFonts w:ascii="Verdana" w:hAnsi="Verdana" w:cs="Arial"/>
          <w:color w:val="000000" w:themeColor="text1"/>
          <w:sz w:val="21"/>
          <w:szCs w:val="21"/>
          <w:lang w:val="es-ES_tradnl"/>
        </w:rPr>
      </w:pPr>
    </w:p>
    <w:p w14:paraId="2E7D790A" w14:textId="77777777" w:rsidR="00C03AF4" w:rsidRPr="0041492A" w:rsidRDefault="00C03AF4" w:rsidP="00C03AF4">
      <w:pPr>
        <w:spacing w:line="276" w:lineRule="auto"/>
        <w:ind w:firstLine="708"/>
        <w:jc w:val="both"/>
        <w:rPr>
          <w:rFonts w:ascii="Verdana" w:hAnsi="Verdana" w:cs="Arial"/>
          <w:color w:val="000000" w:themeColor="text1"/>
          <w:lang w:val="es-ES_tradnl"/>
        </w:rPr>
      </w:pPr>
      <w:r w:rsidRPr="0041492A">
        <w:rPr>
          <w:rFonts w:ascii="Verdana" w:hAnsi="Verdana" w:cs="Arial"/>
          <w:color w:val="000000" w:themeColor="text1"/>
          <w:lang w:val="es-ES_tradnl"/>
        </w:rPr>
        <w:t xml:space="preserve">Nótese, entonces, que en ese momento el Consejo de Estado asumió como criterio para determinar la obligatoriedad de publicar en el SECOP que la contratación se realizara con recursos públicos, conclusión que extrajo del literal c) del artículo 3 de la Ley 1150 de 2007. Así, la decisión judicial citada reforzó la obligación de publicar en el SECOP, mandato que además está expresamente consagrado en las Leyes 1150 de 2007, 1712 de 2014 y la Circular Externa Única. </w:t>
      </w:r>
    </w:p>
    <w:p w14:paraId="1E993706" w14:textId="77777777" w:rsidR="00C03AF4" w:rsidRPr="0041492A" w:rsidRDefault="00C03AF4" w:rsidP="00C03AF4">
      <w:pPr>
        <w:spacing w:before="120" w:line="276" w:lineRule="auto"/>
        <w:ind w:firstLine="709"/>
        <w:jc w:val="both"/>
        <w:rPr>
          <w:rFonts w:ascii="Verdana" w:eastAsia="Calibri" w:hAnsi="Verdana" w:cs="Arial"/>
          <w:color w:val="000000" w:themeColor="text1"/>
          <w:lang w:val="es-ES_tradnl"/>
        </w:rPr>
      </w:pPr>
      <w:r w:rsidRPr="0041492A">
        <w:rPr>
          <w:rFonts w:ascii="Verdana" w:eastAsia="Calibri" w:hAnsi="Verdana" w:cs="Arial"/>
          <w:color w:val="000000" w:themeColor="text1"/>
          <w:lang w:val="es-ES_tradnl"/>
        </w:rPr>
        <w:t xml:space="preserve">El 18 de enero del año en curso se promulgó la </w:t>
      </w:r>
      <w:bookmarkStart w:id="7" w:name="_Hlk177973191"/>
      <w:r w:rsidRPr="0041492A">
        <w:rPr>
          <w:rFonts w:ascii="Verdana" w:eastAsia="Calibri" w:hAnsi="Verdana" w:cs="Arial"/>
          <w:color w:val="000000" w:themeColor="text1"/>
          <w:lang w:val="es-ES_tradnl"/>
        </w:rPr>
        <w:t>Ley 2195 de 2022</w:t>
      </w:r>
      <w:bookmarkEnd w:id="7"/>
      <w:r w:rsidRPr="0041492A">
        <w:rPr>
          <w:rFonts w:ascii="Verdana" w:eastAsia="Calibri" w:hAnsi="Verdana" w:cs="Arial"/>
          <w:color w:val="000000" w:themeColor="text1"/>
          <w:lang w:val="es-ES_tradnl"/>
        </w:rPr>
        <w:t xml:space="preserve">. Según lo establece su artículo 1, esta Ley </w:t>
      </w:r>
      <w:r>
        <w:rPr>
          <w:rFonts w:ascii="Verdana" w:eastAsia="Calibri" w:hAnsi="Verdana" w:cs="Arial"/>
          <w:color w:val="000000" w:themeColor="text1"/>
          <w:lang w:val="es-ES_tradnl"/>
        </w:rPr>
        <w:t>“</w:t>
      </w:r>
      <w:r w:rsidRPr="0041492A">
        <w:rPr>
          <w:rFonts w:ascii="Verdana" w:hAnsi="Verdana" w:cs="Arial"/>
          <w:lang w:val="es-ES_tradnl"/>
        </w:rPr>
        <w:t xml:space="preserve">[…] </w:t>
      </w:r>
      <w:r w:rsidRPr="0041492A">
        <w:rPr>
          <w:rFonts w:ascii="Verdana" w:eastAsia="Calibri" w:hAnsi="Verdana" w:cs="Arial"/>
          <w:color w:val="000000" w:themeColor="text1"/>
          <w:lang w:val="es-ES_tradnl"/>
        </w:rPr>
        <w:t>tiene por objeto adoptar disposiciones tendientes a prevenir los actos de corrupción, a reforzar la articulación y coordinación de las entidades del Estado y a recuperar los daños ocasionados por dichos actos con el fin de asegurar promover la cultura de la legalidad e integridad y recuperar la confianza ciudadana y el respeto por lo público</w:t>
      </w:r>
      <w:r>
        <w:rPr>
          <w:rFonts w:ascii="Verdana" w:eastAsia="Calibri" w:hAnsi="Verdana" w:cs="Arial"/>
          <w:color w:val="000000" w:themeColor="text1"/>
          <w:lang w:val="es-ES_tradnl"/>
        </w:rPr>
        <w:t>”</w:t>
      </w:r>
      <w:r w:rsidRPr="0041492A">
        <w:rPr>
          <w:rFonts w:ascii="Verdana" w:eastAsia="Calibri" w:hAnsi="Verdana" w:cs="Arial"/>
          <w:color w:val="000000" w:themeColor="text1"/>
          <w:lang w:val="es-ES_tradnl"/>
        </w:rPr>
        <w:t xml:space="preserve">. Dentro del capítulo VIII de esta Ley, que lleva por título </w:t>
      </w:r>
      <w:r>
        <w:rPr>
          <w:rFonts w:ascii="Verdana" w:eastAsia="Calibri" w:hAnsi="Verdana" w:cs="Arial"/>
          <w:color w:val="000000" w:themeColor="text1"/>
          <w:lang w:val="es-ES_tradnl"/>
        </w:rPr>
        <w:t>“</w:t>
      </w:r>
      <w:r w:rsidRPr="0041492A">
        <w:rPr>
          <w:rFonts w:ascii="Verdana" w:eastAsia="Calibri" w:hAnsi="Verdana" w:cs="Arial"/>
          <w:color w:val="000000" w:themeColor="text1"/>
          <w:lang w:val="es-ES_tradnl"/>
        </w:rPr>
        <w:t>Disposiciones en materia contractual para la moralización y la transparencia</w:t>
      </w:r>
      <w:r>
        <w:rPr>
          <w:rFonts w:ascii="Verdana" w:eastAsia="Calibri" w:hAnsi="Verdana" w:cs="Arial"/>
          <w:color w:val="000000" w:themeColor="text1"/>
          <w:lang w:val="es-ES_tradnl"/>
        </w:rPr>
        <w:t>”</w:t>
      </w:r>
      <w:r w:rsidRPr="0041492A">
        <w:rPr>
          <w:rFonts w:ascii="Verdana" w:eastAsia="Calibri" w:hAnsi="Verdana" w:cs="Arial"/>
          <w:color w:val="000000" w:themeColor="text1"/>
          <w:lang w:val="es-ES_tradnl"/>
        </w:rPr>
        <w:t>, se ubica</w:t>
      </w:r>
      <w:r>
        <w:rPr>
          <w:rFonts w:ascii="Verdana" w:eastAsia="Calibri" w:hAnsi="Verdana" w:cs="Arial"/>
          <w:color w:val="000000" w:themeColor="text1"/>
          <w:lang w:val="es-ES_tradnl"/>
        </w:rPr>
        <w:t xml:space="preserve"> el</w:t>
      </w:r>
      <w:r w:rsidRPr="0041492A">
        <w:rPr>
          <w:rFonts w:ascii="Verdana" w:eastAsia="Calibri" w:hAnsi="Verdana" w:cs="Arial"/>
          <w:color w:val="000000" w:themeColor="text1"/>
          <w:lang w:val="es-ES_tradnl"/>
        </w:rPr>
        <w:t xml:space="preserve"> </w:t>
      </w:r>
      <w:bookmarkStart w:id="8" w:name="_Hlk177973198"/>
      <w:r w:rsidRPr="0041492A">
        <w:rPr>
          <w:rFonts w:ascii="Verdana" w:eastAsia="Calibri" w:hAnsi="Verdana" w:cs="Arial"/>
          <w:color w:val="000000" w:themeColor="text1"/>
          <w:lang w:val="es-ES_tradnl"/>
        </w:rPr>
        <w:t>artículo 5</w:t>
      </w:r>
      <w:r>
        <w:rPr>
          <w:rFonts w:ascii="Verdana" w:eastAsia="Calibri" w:hAnsi="Verdana" w:cs="Arial"/>
          <w:color w:val="000000" w:themeColor="text1"/>
          <w:lang w:val="es-ES_tradnl"/>
        </w:rPr>
        <w:t>3</w:t>
      </w:r>
      <w:bookmarkEnd w:id="8"/>
      <w:r w:rsidRPr="0041492A">
        <w:rPr>
          <w:rFonts w:ascii="Verdana" w:eastAsia="Calibri" w:hAnsi="Verdana" w:cs="Arial"/>
          <w:color w:val="000000" w:themeColor="text1"/>
          <w:lang w:val="es-ES_tradnl"/>
        </w:rPr>
        <w:t xml:space="preserve"> </w:t>
      </w:r>
      <w:r>
        <w:rPr>
          <w:rFonts w:ascii="Verdana" w:eastAsia="Calibri" w:hAnsi="Verdana" w:cs="Arial"/>
          <w:color w:val="000000" w:themeColor="text1"/>
          <w:lang w:val="es-ES_tradnl"/>
        </w:rPr>
        <w:t>que regula</w:t>
      </w:r>
      <w:r w:rsidRPr="0041492A">
        <w:rPr>
          <w:rFonts w:ascii="Verdana" w:eastAsia="Calibri" w:hAnsi="Verdana" w:cs="Arial"/>
          <w:color w:val="000000" w:themeColor="text1"/>
          <w:lang w:val="es-ES_tradnl"/>
        </w:rPr>
        <w:t xml:space="preserve"> el deber de las entidades que cuentan con un régimen contractual especial, de publicar los documentos relacionados con su actividad contractual en el SECOP II.</w:t>
      </w:r>
    </w:p>
    <w:p w14:paraId="76E0921B" w14:textId="77777777" w:rsidR="00C03AF4" w:rsidRDefault="00C03AF4" w:rsidP="00C03AF4">
      <w:pPr>
        <w:spacing w:after="0" w:line="276" w:lineRule="auto"/>
        <w:ind w:firstLine="709"/>
        <w:jc w:val="both"/>
        <w:rPr>
          <w:rFonts w:ascii="Verdana" w:eastAsia="Calibri" w:hAnsi="Verdana" w:cs="Arial"/>
          <w:color w:val="000000" w:themeColor="text1"/>
          <w:lang w:val="es-ES_tradnl"/>
        </w:rPr>
      </w:pPr>
      <w:r w:rsidRPr="0041492A">
        <w:rPr>
          <w:rFonts w:ascii="Verdana" w:eastAsia="Calibri" w:hAnsi="Verdana" w:cs="Arial"/>
          <w:color w:val="000000" w:themeColor="text1"/>
          <w:lang w:val="es-ES_tradnl"/>
        </w:rPr>
        <w:t>Según se indicó, el artículo 53 de la Ley 2195 de 2022 hace obligatorio el uso del SECOP II para las entidades exceptuadas del Estatuto General de Contratación de la Administración Pública. En efecto, esta norma dispone:</w:t>
      </w:r>
    </w:p>
    <w:p w14:paraId="2052071A" w14:textId="77777777" w:rsidR="00C03AF4" w:rsidRPr="0041492A" w:rsidRDefault="00C03AF4" w:rsidP="00C03AF4">
      <w:pPr>
        <w:spacing w:after="0" w:line="276" w:lineRule="auto"/>
        <w:ind w:firstLine="709"/>
        <w:jc w:val="both"/>
        <w:rPr>
          <w:rFonts w:ascii="Verdana" w:eastAsia="Calibri" w:hAnsi="Verdana" w:cs="Arial"/>
          <w:color w:val="000000" w:themeColor="text1"/>
          <w:sz w:val="21"/>
          <w:szCs w:val="21"/>
          <w:lang w:val="es-ES_tradnl"/>
        </w:rPr>
      </w:pPr>
    </w:p>
    <w:p w14:paraId="05E73C80" w14:textId="77777777" w:rsidR="00C03AF4" w:rsidRPr="0041492A" w:rsidRDefault="00C03AF4" w:rsidP="00C03AF4">
      <w:pPr>
        <w:ind w:left="709" w:right="709"/>
        <w:jc w:val="both"/>
        <w:rPr>
          <w:rFonts w:ascii="Verdana" w:eastAsia="Calibri" w:hAnsi="Verdana" w:cs="Arial"/>
          <w:sz w:val="21"/>
          <w:szCs w:val="21"/>
        </w:rPr>
      </w:pPr>
      <w:r w:rsidRPr="0041492A">
        <w:rPr>
          <w:rFonts w:ascii="Verdana" w:eastAsia="Calibri" w:hAnsi="Verdana" w:cs="Arial"/>
          <w:sz w:val="21"/>
          <w:szCs w:val="21"/>
        </w:rPr>
        <w:t>Adiciónese los siguientes incisos al artículo 13 de la Ley 1150 de 2007, el cual quedará así:</w:t>
      </w:r>
    </w:p>
    <w:p w14:paraId="1308BBFE" w14:textId="77777777" w:rsidR="00C03AF4" w:rsidRPr="0041492A" w:rsidRDefault="00C03AF4" w:rsidP="00C03AF4">
      <w:pPr>
        <w:ind w:left="709" w:right="709"/>
        <w:jc w:val="both"/>
        <w:rPr>
          <w:rFonts w:ascii="Verdana" w:eastAsia="Calibri" w:hAnsi="Verdana" w:cs="Arial"/>
          <w:sz w:val="21"/>
          <w:szCs w:val="21"/>
        </w:rPr>
      </w:pPr>
      <w:r w:rsidRPr="0041492A">
        <w:rPr>
          <w:rFonts w:ascii="Verdana" w:eastAsia="Calibri" w:hAnsi="Verdana" w:cs="Arial"/>
          <w:sz w:val="21"/>
          <w:szCs w:val="21"/>
        </w:rPr>
        <w:t xml:space="preserve">Artículo 13. PRINCIPIOS GENERALES DE LA ACTIVIDAD CONTRACTUAL PARA ENTIDADES NO SOMETIDAS AL ESTATUTO GENERAL DE CONTRATACIÓN DE LA ADMINISTRACIÓN PÚBLICA. Las entidades estatales que por disposición legal cuenten con un régimen contractual excepcional al del Estatuto General de Contratación de la Administración Pública, aplicarán en desarrollo de su actividad contractual, acorde con su régimen legal especial, los principios de la función administrativa y de la gestión fiscal de que tratan los artículos 209 y 267 de la Constitución Política, respectivamente según sea el </w:t>
      </w:r>
      <w:r w:rsidRPr="0041492A">
        <w:rPr>
          <w:rFonts w:ascii="Verdana" w:eastAsia="Calibri" w:hAnsi="Verdana" w:cs="Arial"/>
          <w:sz w:val="21"/>
          <w:szCs w:val="21"/>
        </w:rPr>
        <w:lastRenderedPageBreak/>
        <w:t>caso y estarán sometidas al régimen de inhabilidades e incompatibilidades previsto legalmente para la contratación estatal.</w:t>
      </w:r>
    </w:p>
    <w:p w14:paraId="5120A94F" w14:textId="77777777" w:rsidR="00C03AF4" w:rsidRPr="0041492A" w:rsidRDefault="00C03AF4" w:rsidP="00C03AF4">
      <w:pPr>
        <w:ind w:left="709" w:right="709"/>
        <w:jc w:val="both"/>
        <w:rPr>
          <w:rFonts w:ascii="Verdana" w:eastAsia="Calibri" w:hAnsi="Verdana" w:cs="Arial"/>
          <w:sz w:val="21"/>
          <w:szCs w:val="21"/>
        </w:rPr>
      </w:pPr>
      <w:r w:rsidRPr="0041492A">
        <w:rPr>
          <w:rFonts w:ascii="Verdana" w:eastAsia="Calibri" w:hAnsi="Verdana" w:cs="Arial"/>
          <w:sz w:val="21"/>
          <w:szCs w:val="21"/>
        </w:rPr>
        <w:t xml:space="preserve">En desarrollo de los anteriores principios, deberán publicar los documentos relacionados con su actividad contractual en el Sistema Electrónico para la Contratación PÚBLICA –SECOP II– o la plataforma transaccional que haga sus veces. Para los efectos de este artículo, se entiende por actividad contractual los documentos, contratos, actos e información generada por oferentes, contratista, contratante, supervisor o interventor, tanto en la etapa precontractual, como en la contractual y la </w:t>
      </w:r>
      <w:proofErr w:type="spellStart"/>
      <w:r w:rsidRPr="0041492A">
        <w:rPr>
          <w:rFonts w:ascii="Verdana" w:eastAsia="Calibri" w:hAnsi="Verdana" w:cs="Arial"/>
          <w:sz w:val="21"/>
          <w:szCs w:val="21"/>
        </w:rPr>
        <w:t>postcontractual</w:t>
      </w:r>
      <w:proofErr w:type="spellEnd"/>
      <w:r w:rsidRPr="0041492A">
        <w:rPr>
          <w:rFonts w:ascii="Verdana" w:eastAsia="Calibri" w:hAnsi="Verdana" w:cs="Arial"/>
          <w:sz w:val="21"/>
          <w:szCs w:val="21"/>
        </w:rPr>
        <w:t>.</w:t>
      </w:r>
    </w:p>
    <w:p w14:paraId="6D0C11B7" w14:textId="77777777" w:rsidR="00C03AF4" w:rsidRDefault="00C03AF4" w:rsidP="00C03AF4">
      <w:pPr>
        <w:spacing w:after="0"/>
        <w:ind w:left="709" w:right="709"/>
        <w:jc w:val="both"/>
        <w:rPr>
          <w:rFonts w:ascii="Verdana" w:eastAsia="Calibri" w:hAnsi="Verdana" w:cs="Arial"/>
          <w:sz w:val="21"/>
          <w:szCs w:val="21"/>
        </w:rPr>
      </w:pPr>
      <w:r w:rsidRPr="0041492A">
        <w:rPr>
          <w:rFonts w:ascii="Verdana" w:eastAsia="Calibri" w:hAnsi="Verdana" w:cs="Arial"/>
          <w:sz w:val="21"/>
          <w:szCs w:val="21"/>
        </w:rPr>
        <w:t xml:space="preserve">A partir de la </w:t>
      </w:r>
      <w:proofErr w:type="gramStart"/>
      <w:r w:rsidRPr="0041492A">
        <w:rPr>
          <w:rFonts w:ascii="Verdana" w:eastAsia="Calibri" w:hAnsi="Verdana" w:cs="Arial"/>
          <w:sz w:val="21"/>
          <w:szCs w:val="21"/>
        </w:rPr>
        <w:t>entrada en vigencia</w:t>
      </w:r>
      <w:proofErr w:type="gramEnd"/>
      <w:r w:rsidRPr="0041492A">
        <w:rPr>
          <w:rFonts w:ascii="Verdana" w:eastAsia="Calibri" w:hAnsi="Verdana" w:cs="Arial"/>
          <w:sz w:val="21"/>
          <w:szCs w:val="21"/>
        </w:rPr>
        <w:t xml:space="preserve"> de la presente Ley, se establecerá un periodo de transición de seis (6) meses, para que las entidades den cumplimiento efectivo a lo aquí establecido.</w:t>
      </w:r>
    </w:p>
    <w:p w14:paraId="03108768" w14:textId="77777777" w:rsidR="00C03AF4" w:rsidRPr="0041492A" w:rsidRDefault="00C03AF4" w:rsidP="00C03AF4">
      <w:pPr>
        <w:spacing w:after="0"/>
        <w:ind w:left="709" w:right="709"/>
        <w:jc w:val="both"/>
        <w:rPr>
          <w:rFonts w:ascii="Verdana" w:eastAsia="Calibri" w:hAnsi="Verdana" w:cs="Arial"/>
          <w:color w:val="000000" w:themeColor="text1"/>
          <w:lang w:val="es-ES_tradnl"/>
        </w:rPr>
      </w:pPr>
    </w:p>
    <w:p w14:paraId="2C273FE1" w14:textId="77777777" w:rsidR="00C03AF4" w:rsidRPr="0041492A" w:rsidRDefault="00C03AF4" w:rsidP="00C03AF4">
      <w:pPr>
        <w:spacing w:line="276" w:lineRule="auto"/>
        <w:ind w:firstLine="709"/>
        <w:jc w:val="both"/>
        <w:rPr>
          <w:rFonts w:ascii="Verdana" w:eastAsia="Calibri" w:hAnsi="Verdana" w:cs="Arial"/>
          <w:color w:val="000000" w:themeColor="text1"/>
          <w:lang w:val="es-ES_tradnl"/>
        </w:rPr>
      </w:pPr>
      <w:r w:rsidRPr="0041492A">
        <w:rPr>
          <w:rFonts w:ascii="Verdana" w:eastAsia="Calibri" w:hAnsi="Verdana" w:cs="Arial"/>
          <w:color w:val="000000" w:themeColor="text1"/>
          <w:lang w:val="es-ES_tradnl"/>
        </w:rPr>
        <w:t xml:space="preserve">Como puede observarse, aunque la publicación en el SECOP de los documentos relacionados con la actividad contractual ya era obligatoria –lo sigue siendo– para las entidades que cuentan con un régimen especial, el artículo 53 de la Ley 2195 de 2022 –que modifica el artículo 13 de la Ley 1150 de 2007– establece con mayor precisión este deber y lo complementa con la exigencia de emplear el SECOP II. En otras palabras, en el artículo 53 de la Ley 2195 de 2022 el Congreso de la República dispone que las entidades estatales exceptuadas del Estatuto General de Contratación de la Administración Pública deben publicar en el SECOP II –es decir en la plataforma transaccional vigente– su actividad contractual. </w:t>
      </w:r>
    </w:p>
    <w:p w14:paraId="78CA5CD3" w14:textId="77777777" w:rsidR="00C03AF4" w:rsidRPr="0041492A" w:rsidRDefault="00C03AF4" w:rsidP="00C03AF4">
      <w:pPr>
        <w:spacing w:before="120" w:line="276" w:lineRule="auto"/>
        <w:ind w:firstLine="709"/>
        <w:jc w:val="both"/>
        <w:rPr>
          <w:rFonts w:ascii="Verdana" w:eastAsia="Calibri" w:hAnsi="Verdana" w:cs="Arial"/>
          <w:color w:val="000000" w:themeColor="text1"/>
          <w:lang w:val="es-ES_tradnl"/>
        </w:rPr>
      </w:pPr>
      <w:r w:rsidRPr="0041492A">
        <w:rPr>
          <w:rFonts w:ascii="Verdana" w:eastAsia="Calibri" w:hAnsi="Verdana" w:cs="Arial"/>
          <w:color w:val="000000" w:themeColor="text1"/>
          <w:lang w:val="es-ES_tradnl"/>
        </w:rPr>
        <w:t xml:space="preserve">La Agencia Nacional de Contratación Pública – Colombia Compra Eficiente considera que al establecer el artículo 53 que este deber ha de cumplirse en el SECOP II </w:t>
      </w:r>
      <w:r>
        <w:rPr>
          <w:rFonts w:ascii="Verdana" w:eastAsia="Calibri" w:hAnsi="Verdana" w:cs="Arial"/>
          <w:color w:val="000000" w:themeColor="text1"/>
          <w:lang w:val="es-ES_tradnl"/>
        </w:rPr>
        <w:t>“</w:t>
      </w:r>
      <w:r w:rsidRPr="0041492A">
        <w:rPr>
          <w:rFonts w:ascii="Verdana" w:eastAsia="Calibri" w:hAnsi="Verdana" w:cs="Arial"/>
          <w:color w:val="000000" w:themeColor="text1"/>
          <w:lang w:val="es-ES_tradnl"/>
        </w:rPr>
        <w:t>o la plataforma transaccional que haga sus veces</w:t>
      </w:r>
      <w:r>
        <w:rPr>
          <w:rFonts w:ascii="Verdana" w:eastAsia="Calibri" w:hAnsi="Verdana" w:cs="Arial"/>
          <w:color w:val="000000" w:themeColor="text1"/>
          <w:lang w:val="es-ES_tradnl"/>
        </w:rPr>
        <w:t>”</w:t>
      </w:r>
      <w:r w:rsidRPr="0041492A">
        <w:rPr>
          <w:rFonts w:ascii="Verdana" w:eastAsia="Calibri" w:hAnsi="Verdana" w:cs="Arial"/>
          <w:color w:val="000000" w:themeColor="text1"/>
          <w:lang w:val="es-ES_tradnl"/>
        </w:rPr>
        <w:t xml:space="preserve"> esto debe interpretarse en el sentido en que a pesar de que en la actualidad el SECOP II es la plataforma transaccional vigente en el Estado colombiano, si en el futuro esta es reemplazada por otra que tenga otra denominación, las entidades que tienen un régimen especial de contratación pública deben continuar publicando la documentación de su actividad transaccional en la nueva plataforma. </w:t>
      </w:r>
    </w:p>
    <w:p w14:paraId="06580371" w14:textId="77777777" w:rsidR="00C03AF4" w:rsidRDefault="00C03AF4" w:rsidP="00C03AF4">
      <w:pPr>
        <w:spacing w:before="120" w:line="276" w:lineRule="auto"/>
        <w:ind w:firstLine="709"/>
        <w:jc w:val="both"/>
        <w:rPr>
          <w:rFonts w:ascii="Verdana" w:eastAsia="Calibri" w:hAnsi="Verdana" w:cs="Arial"/>
          <w:color w:val="000000" w:themeColor="text1"/>
        </w:rPr>
      </w:pPr>
      <w:r>
        <w:rPr>
          <w:rFonts w:ascii="Verdana" w:eastAsia="Calibri" w:hAnsi="Verdana" w:cs="Arial"/>
          <w:color w:val="000000" w:themeColor="text1"/>
          <w:lang w:val="es-ES_tradnl"/>
        </w:rPr>
        <w:t>Así mismo</w:t>
      </w:r>
      <w:r w:rsidRPr="0041492A">
        <w:rPr>
          <w:rFonts w:ascii="Verdana" w:eastAsia="Calibri" w:hAnsi="Verdana" w:cs="Arial"/>
          <w:color w:val="000000" w:themeColor="text1"/>
          <w:lang w:val="es-ES_tradnl"/>
        </w:rPr>
        <w:t>, el referido artículo disp</w:t>
      </w:r>
      <w:r>
        <w:rPr>
          <w:rFonts w:ascii="Verdana" w:eastAsia="Calibri" w:hAnsi="Verdana" w:cs="Arial"/>
          <w:color w:val="000000" w:themeColor="text1"/>
          <w:lang w:val="es-ES_tradnl"/>
        </w:rPr>
        <w:t>uso</w:t>
      </w:r>
      <w:r w:rsidRPr="0041492A">
        <w:rPr>
          <w:rFonts w:ascii="Verdana" w:eastAsia="Calibri" w:hAnsi="Verdana" w:cs="Arial"/>
          <w:color w:val="000000" w:themeColor="text1"/>
          <w:lang w:val="es-ES_tradnl"/>
        </w:rPr>
        <w:t xml:space="preserve"> en el inciso final, que </w:t>
      </w:r>
      <w:r>
        <w:rPr>
          <w:rFonts w:ascii="Verdana" w:eastAsia="Calibri" w:hAnsi="Verdana" w:cs="Arial"/>
          <w:color w:val="000000" w:themeColor="text1"/>
          <w:lang w:val="es-ES_tradnl"/>
        </w:rPr>
        <w:t>“</w:t>
      </w:r>
      <w:r w:rsidRPr="0041492A">
        <w:rPr>
          <w:rFonts w:ascii="Verdana" w:eastAsia="Calibri" w:hAnsi="Verdana" w:cs="Arial"/>
          <w:color w:val="000000" w:themeColor="text1"/>
          <w:lang w:val="es-ES_tradnl"/>
        </w:rPr>
        <w:t xml:space="preserve">A partir de la </w:t>
      </w:r>
      <w:proofErr w:type="gramStart"/>
      <w:r w:rsidRPr="0041492A">
        <w:rPr>
          <w:rFonts w:ascii="Verdana" w:eastAsia="Calibri" w:hAnsi="Verdana" w:cs="Arial"/>
          <w:color w:val="000000" w:themeColor="text1"/>
          <w:lang w:val="es-ES_tradnl"/>
        </w:rPr>
        <w:t>entrada en vigencia</w:t>
      </w:r>
      <w:proofErr w:type="gramEnd"/>
      <w:r w:rsidRPr="0041492A">
        <w:rPr>
          <w:rFonts w:ascii="Verdana" w:eastAsia="Calibri" w:hAnsi="Verdana" w:cs="Arial"/>
          <w:color w:val="000000" w:themeColor="text1"/>
          <w:lang w:val="es-ES_tradnl"/>
        </w:rPr>
        <w:t xml:space="preserve"> de la presente Ley, se establecerá un periodo de transición de seis (6) meses, para que las entidades den cumplimiento efectivo a lo aquí establecido</w:t>
      </w:r>
      <w:r>
        <w:rPr>
          <w:rFonts w:ascii="Verdana" w:eastAsia="Calibri" w:hAnsi="Verdana" w:cs="Arial"/>
          <w:color w:val="000000" w:themeColor="text1"/>
          <w:lang w:val="es-ES_tradnl"/>
        </w:rPr>
        <w:t>”</w:t>
      </w:r>
      <w:r w:rsidRPr="0041492A">
        <w:rPr>
          <w:rFonts w:ascii="Verdana" w:eastAsia="Calibri" w:hAnsi="Verdana" w:cs="Arial"/>
          <w:color w:val="000000" w:themeColor="text1"/>
          <w:lang w:val="es-ES_tradnl"/>
        </w:rPr>
        <w:t>. Es decir que se trat</w:t>
      </w:r>
      <w:r>
        <w:rPr>
          <w:rFonts w:ascii="Verdana" w:eastAsia="Calibri" w:hAnsi="Verdana" w:cs="Arial"/>
          <w:color w:val="000000" w:themeColor="text1"/>
          <w:lang w:val="es-ES_tradnl"/>
        </w:rPr>
        <w:t>ó</w:t>
      </w:r>
      <w:r w:rsidRPr="0041492A">
        <w:rPr>
          <w:rFonts w:ascii="Verdana" w:eastAsia="Calibri" w:hAnsi="Verdana" w:cs="Arial"/>
          <w:color w:val="000000" w:themeColor="text1"/>
          <w:lang w:val="es-ES_tradnl"/>
        </w:rPr>
        <w:t xml:space="preserve"> de un período concedido por el Legislador a las entidades que tienen un régimen especial de contratación para adelantar las </w:t>
      </w:r>
      <w:r w:rsidRPr="0041492A">
        <w:rPr>
          <w:rFonts w:ascii="Verdana" w:eastAsia="Calibri" w:hAnsi="Verdana" w:cs="Arial"/>
          <w:color w:val="000000" w:themeColor="text1"/>
          <w:lang w:val="es-ES_tradnl"/>
        </w:rPr>
        <w:lastRenderedPageBreak/>
        <w:t xml:space="preserve">gestiones administrativas, técnicas y jurídicas pertinentes, a fin de cumplir lo establecido en el artículo 53. Este período de transición </w:t>
      </w:r>
      <w:r>
        <w:rPr>
          <w:rFonts w:ascii="Verdana" w:eastAsia="Calibri" w:hAnsi="Verdana" w:cs="Arial"/>
          <w:color w:val="000000" w:themeColor="text1"/>
          <w:lang w:val="es-ES_tradnl"/>
        </w:rPr>
        <w:t>estuvo comprendido desde el</w:t>
      </w:r>
      <w:r w:rsidRPr="0041492A">
        <w:rPr>
          <w:rFonts w:ascii="Verdana" w:eastAsia="Calibri" w:hAnsi="Verdana" w:cs="Arial"/>
          <w:color w:val="000000" w:themeColor="text1"/>
          <w:lang w:val="es-ES_tradnl"/>
        </w:rPr>
        <w:t xml:space="preserve"> 18 de enero al 18 de julio de 2022. La Agencia Nacional de Contratación Pública – Colombia Compra Eficiente </w:t>
      </w:r>
      <w:r w:rsidRPr="00286475">
        <w:rPr>
          <w:rFonts w:ascii="Verdana" w:eastAsia="Calibri" w:hAnsi="Verdana" w:cs="Arial"/>
          <w:color w:val="000000" w:themeColor="text1"/>
          <w:lang w:val="es-ES_tradnl"/>
        </w:rPr>
        <w:t>exhort</w:t>
      </w:r>
      <w:r>
        <w:rPr>
          <w:rFonts w:ascii="Verdana" w:eastAsia="Calibri" w:hAnsi="Verdana" w:cs="Arial"/>
          <w:color w:val="000000" w:themeColor="text1"/>
          <w:lang w:val="es-ES_tradnl"/>
        </w:rPr>
        <w:t>ó</w:t>
      </w:r>
      <w:r w:rsidRPr="00286475">
        <w:rPr>
          <w:rFonts w:ascii="Verdana" w:eastAsia="Calibri" w:hAnsi="Verdana" w:cs="Arial"/>
          <w:color w:val="000000" w:themeColor="text1"/>
          <w:lang w:val="es-ES_tradnl"/>
        </w:rPr>
        <w:t xml:space="preserve"> a todas las entidades con</w:t>
      </w:r>
      <w:r>
        <w:rPr>
          <w:rFonts w:ascii="Verdana" w:eastAsia="Calibri" w:hAnsi="Verdana" w:cs="Arial"/>
          <w:color w:val="000000" w:themeColor="text1"/>
          <w:lang w:val="es-ES_tradnl"/>
        </w:rPr>
        <w:t xml:space="preserve"> </w:t>
      </w:r>
      <w:r w:rsidRPr="00286475">
        <w:rPr>
          <w:rFonts w:ascii="Verdana" w:eastAsia="Calibri" w:hAnsi="Verdana" w:cs="Arial"/>
          <w:color w:val="000000" w:themeColor="text1"/>
          <w:lang w:val="es-ES_tradnl"/>
        </w:rPr>
        <w:t>regímenes exceptuados, es decir, aquellas que no se encuentran obligadas a la</w:t>
      </w:r>
      <w:r>
        <w:rPr>
          <w:rFonts w:ascii="Verdana" w:eastAsia="Calibri" w:hAnsi="Verdana" w:cs="Arial"/>
          <w:color w:val="000000" w:themeColor="text1"/>
          <w:lang w:val="es-ES_tradnl"/>
        </w:rPr>
        <w:t xml:space="preserve"> </w:t>
      </w:r>
      <w:r w:rsidRPr="00483C06">
        <w:rPr>
          <w:rFonts w:ascii="Verdana" w:eastAsia="Calibri" w:hAnsi="Verdana" w:cs="Arial"/>
          <w:color w:val="000000" w:themeColor="text1"/>
        </w:rPr>
        <w:t>aplicación del Estatuto General de Contratación de la Administración Pública</w:t>
      </w:r>
      <w:r>
        <w:rPr>
          <w:rFonts w:ascii="Verdana" w:eastAsia="Calibri" w:hAnsi="Verdana" w:cs="Arial"/>
          <w:color w:val="000000" w:themeColor="text1"/>
        </w:rPr>
        <w:t xml:space="preserve">  que tengan a su cargo el manejo de recursos públicos, </w:t>
      </w:r>
      <w:r w:rsidRPr="00D40B04">
        <w:rPr>
          <w:rFonts w:ascii="Verdana" w:eastAsia="Calibri" w:hAnsi="Verdana" w:cs="Arial"/>
          <w:color w:val="000000" w:themeColor="text1"/>
        </w:rPr>
        <w:t>, a publicar toda su actividad contractual en</w:t>
      </w:r>
      <w:r>
        <w:rPr>
          <w:rFonts w:ascii="Verdana" w:eastAsia="Calibri" w:hAnsi="Verdana" w:cs="Arial"/>
          <w:color w:val="000000" w:themeColor="text1"/>
        </w:rPr>
        <w:t xml:space="preserve"> </w:t>
      </w:r>
      <w:r w:rsidRPr="00D40B04">
        <w:rPr>
          <w:rFonts w:ascii="Verdana" w:eastAsia="Calibri" w:hAnsi="Verdana" w:cs="Arial"/>
          <w:color w:val="000000" w:themeColor="text1"/>
        </w:rPr>
        <w:t>el SECOP II, en aras de cumplir con los principios de la contratación estatal,</w:t>
      </w:r>
      <w:r>
        <w:rPr>
          <w:rFonts w:ascii="Verdana" w:eastAsia="Calibri" w:hAnsi="Verdana" w:cs="Arial"/>
          <w:color w:val="000000" w:themeColor="text1"/>
        </w:rPr>
        <w:t xml:space="preserve"> </w:t>
      </w:r>
      <w:r w:rsidRPr="00D40B04">
        <w:rPr>
          <w:rFonts w:ascii="Verdana" w:eastAsia="Calibri" w:hAnsi="Verdana" w:cs="Arial"/>
          <w:color w:val="000000" w:themeColor="text1"/>
        </w:rPr>
        <w:t>principalmente el de transparencia</w:t>
      </w:r>
      <w:r>
        <w:rPr>
          <w:rFonts w:ascii="Verdana" w:eastAsia="Calibri" w:hAnsi="Verdana" w:cs="Arial"/>
          <w:color w:val="000000" w:themeColor="text1"/>
        </w:rPr>
        <w:t xml:space="preserve">, mediante la reciente </w:t>
      </w:r>
      <w:bookmarkStart w:id="9" w:name="_Hlk177973217"/>
      <w:r>
        <w:rPr>
          <w:rFonts w:ascii="Verdana" w:eastAsia="Calibri" w:hAnsi="Verdana" w:cs="Arial"/>
          <w:color w:val="000000" w:themeColor="text1"/>
        </w:rPr>
        <w:t>Circular Externa 002 del 23 de agosto de 2024</w:t>
      </w:r>
      <w:bookmarkEnd w:id="9"/>
      <w:r>
        <w:rPr>
          <w:rFonts w:ascii="Verdana" w:eastAsia="Calibri" w:hAnsi="Verdana" w:cs="Arial"/>
          <w:color w:val="000000" w:themeColor="text1"/>
        </w:rPr>
        <w:t>, en virtud del referenciado artículo 53 de la Ley 2195 de 2022.</w:t>
      </w:r>
    </w:p>
    <w:p w14:paraId="7988B208" w14:textId="77777777" w:rsidR="00C03AF4" w:rsidRPr="00F156FB" w:rsidRDefault="00C03AF4" w:rsidP="00C03AF4">
      <w:pPr>
        <w:spacing w:after="120" w:line="276" w:lineRule="auto"/>
        <w:ind w:firstLine="708"/>
        <w:jc w:val="both"/>
        <w:rPr>
          <w:rFonts w:ascii="Verdana" w:eastAsia="Calibri" w:hAnsi="Verdana" w:cs="Arial"/>
          <w:strike/>
          <w:color w:val="000000" w:themeColor="text1"/>
          <w:lang w:val="es-ES" w:eastAsia="es-ES"/>
        </w:rPr>
      </w:pPr>
      <w:r>
        <w:rPr>
          <w:rFonts w:ascii="Verdana" w:eastAsia="Calibri" w:hAnsi="Verdana" w:cs="Arial"/>
          <w:color w:val="000000" w:themeColor="text1"/>
          <w:lang w:val="es-ES_tradnl"/>
        </w:rPr>
        <w:t>En conclusión</w:t>
      </w:r>
      <w:r w:rsidRPr="00F156FB">
        <w:rPr>
          <w:rFonts w:ascii="Verdana" w:eastAsia="Calibri" w:hAnsi="Verdana" w:cs="Arial"/>
          <w:color w:val="000000" w:themeColor="text1"/>
          <w:lang w:val="es-ES_tradnl"/>
        </w:rPr>
        <w:t xml:space="preserve">, la citada disposición establece el deber de publicar toda aquella información relacionada con el respectivo contrato, sin incluir ninguna excepción relacionada con la naturaleza u objeto contractual. Por lo tanto, </w:t>
      </w:r>
      <w:r>
        <w:rPr>
          <w:rFonts w:ascii="Verdana" w:eastAsia="Calibri" w:hAnsi="Verdana" w:cs="Arial"/>
          <w:color w:val="000000" w:themeColor="text1"/>
          <w:lang w:val="es-ES_tradnl"/>
        </w:rPr>
        <w:t>las entidades estatales están llamadas a cumplir con</w:t>
      </w:r>
      <w:r w:rsidRPr="00F156FB">
        <w:rPr>
          <w:rFonts w:ascii="Verdana" w:eastAsia="Calibri" w:hAnsi="Verdana" w:cs="Arial"/>
          <w:color w:val="000000" w:themeColor="text1"/>
          <w:lang w:val="es-ES_tradnl"/>
        </w:rPr>
        <w:t xml:space="preserve"> </w:t>
      </w:r>
      <w:r>
        <w:rPr>
          <w:rFonts w:ascii="Verdana" w:eastAsia="Calibri" w:hAnsi="Verdana" w:cs="Arial"/>
          <w:color w:val="000000" w:themeColor="text1"/>
          <w:lang w:val="es-ES_tradnl"/>
        </w:rPr>
        <w:t xml:space="preserve">el deber </w:t>
      </w:r>
      <w:r w:rsidRPr="00F156FB">
        <w:rPr>
          <w:rFonts w:ascii="Verdana" w:eastAsia="Calibri" w:hAnsi="Verdana" w:cs="Arial"/>
          <w:color w:val="000000" w:themeColor="text1"/>
          <w:lang w:val="es-ES_tradnl"/>
        </w:rPr>
        <w:t xml:space="preserve">de publicidad </w:t>
      </w:r>
      <w:r>
        <w:rPr>
          <w:rFonts w:ascii="Verdana" w:eastAsia="Calibri" w:hAnsi="Verdana" w:cs="Arial"/>
          <w:color w:val="000000" w:themeColor="text1"/>
          <w:lang w:val="es-ES_tradnl"/>
        </w:rPr>
        <w:t>publicando en el SECOP</w:t>
      </w:r>
      <w:r w:rsidRPr="00F156FB">
        <w:rPr>
          <w:rFonts w:ascii="Verdana" w:eastAsia="Calibri" w:hAnsi="Verdana" w:cs="Arial"/>
          <w:color w:val="000000" w:themeColor="text1"/>
          <w:lang w:val="es-ES_tradnl"/>
        </w:rPr>
        <w:t xml:space="preserve"> todo documento expedido durante las diferentes etapas del proceso contractual, abarcando desde la fase previa a su celebración, pasando por la ejecución y hasta la fase posterior a su ejecución.</w:t>
      </w:r>
    </w:p>
    <w:p w14:paraId="0C22CEA7" w14:textId="77777777" w:rsidR="00C03AF4" w:rsidRPr="0041492A" w:rsidRDefault="00C03AF4" w:rsidP="00C03AF4">
      <w:pPr>
        <w:spacing w:after="0" w:line="276" w:lineRule="auto"/>
        <w:ind w:firstLine="709"/>
        <w:jc w:val="both"/>
        <w:rPr>
          <w:rFonts w:ascii="Verdana" w:eastAsia="Calibri" w:hAnsi="Verdana" w:cs="Arial"/>
          <w:color w:val="000000" w:themeColor="text1"/>
          <w:lang w:val="es-ES_tradnl"/>
        </w:rPr>
      </w:pPr>
      <w:r w:rsidRPr="00F156FB">
        <w:rPr>
          <w:rFonts w:ascii="Verdana" w:eastAsia="Calibri" w:hAnsi="Verdana" w:cs="Arial"/>
          <w:color w:val="000000" w:themeColor="text1"/>
          <w:lang w:val="es-ES_tradnl"/>
        </w:rPr>
        <w:t xml:space="preserve">Así pues, </w:t>
      </w:r>
      <w:r w:rsidRPr="00F156FB">
        <w:rPr>
          <w:rFonts w:ascii="Verdana" w:hAnsi="Verdana" w:cs="Arial"/>
          <w:iCs/>
          <w:color w:val="000000" w:themeColor="text1"/>
          <w:lang w:val="es-ES_tradnl"/>
        </w:rPr>
        <w:t xml:space="preserve">los convenios o contratos, sin importar su denominación, suscritos entre </w:t>
      </w:r>
      <w:r>
        <w:rPr>
          <w:rFonts w:ascii="Verdana" w:hAnsi="Verdana" w:cs="Arial"/>
          <w:iCs/>
          <w:color w:val="000000" w:themeColor="text1"/>
          <w:lang w:val="es-ES_tradnl"/>
        </w:rPr>
        <w:t>entidades estatales (interadministrativos) o aquellos suscritos entre entidades estatales y particulares</w:t>
      </w:r>
      <w:r w:rsidRPr="00F156FB">
        <w:rPr>
          <w:rFonts w:ascii="Verdana" w:hAnsi="Verdana" w:cs="Arial"/>
          <w:iCs/>
          <w:color w:val="000000" w:themeColor="text1"/>
          <w:lang w:val="es-ES_tradnl"/>
        </w:rPr>
        <w:t xml:space="preserve"> deberán publicar</w:t>
      </w:r>
      <w:r>
        <w:rPr>
          <w:rFonts w:ascii="Verdana" w:hAnsi="Verdana" w:cs="Arial"/>
          <w:iCs/>
          <w:color w:val="000000" w:themeColor="text1"/>
          <w:lang w:val="es-ES_tradnl"/>
        </w:rPr>
        <w:t>se</w:t>
      </w:r>
      <w:r w:rsidRPr="00F156FB">
        <w:rPr>
          <w:rFonts w:ascii="Verdana" w:hAnsi="Verdana" w:cs="Arial"/>
          <w:iCs/>
          <w:color w:val="000000" w:themeColor="text1"/>
          <w:lang w:val="es-ES_tradnl"/>
        </w:rPr>
        <w:t xml:space="preserve"> en el SECOP </w:t>
      </w:r>
      <w:r w:rsidRPr="00F156FB">
        <w:rPr>
          <w:rFonts w:ascii="Verdana" w:eastAsia="Calibri" w:hAnsi="Verdana" w:cs="Arial"/>
          <w:color w:val="000000" w:themeColor="text1"/>
          <w:lang w:val="es-ES"/>
        </w:rPr>
        <w:t>dentro de los tres (3) días siguientes a la expedición de los Documentos del Proceso</w:t>
      </w:r>
      <w:r w:rsidRPr="00F156FB">
        <w:rPr>
          <w:rFonts w:ascii="Verdana" w:hAnsi="Verdana" w:cs="Arial"/>
          <w:iCs/>
          <w:color w:val="000000" w:themeColor="text1"/>
          <w:lang w:val="es-ES_tradnl"/>
        </w:rPr>
        <w:t>, por parte del ente contratante o el que adelantó la contratación. Esto, sin perjuicio de que dichos convenios o contratos causen o no erogación presupuestal.</w:t>
      </w:r>
    </w:p>
    <w:p w14:paraId="2E5E85F4" w14:textId="77777777" w:rsidR="00C03AF4" w:rsidRPr="0041492A" w:rsidRDefault="00C03AF4" w:rsidP="00C03AF4">
      <w:pPr>
        <w:spacing w:after="0" w:line="276" w:lineRule="auto"/>
        <w:ind w:firstLine="709"/>
        <w:jc w:val="both"/>
        <w:rPr>
          <w:rFonts w:ascii="Verdana" w:eastAsia="Calibri" w:hAnsi="Verdana" w:cs="Arial"/>
          <w:color w:val="000000" w:themeColor="text1"/>
          <w:lang w:val="es-ES_tradnl"/>
        </w:rPr>
      </w:pPr>
    </w:p>
    <w:p w14:paraId="7B45BEB3" w14:textId="77777777" w:rsidR="00C03AF4" w:rsidRPr="00262582" w:rsidRDefault="00C03AF4" w:rsidP="00C03AF4">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4. Referencias normativas, jurisprudenciales y otras fuentes:</w:t>
      </w:r>
    </w:p>
    <w:p w14:paraId="3DB1C9CB" w14:textId="77777777" w:rsidR="00C03AF4" w:rsidRPr="00262582" w:rsidRDefault="00C03AF4" w:rsidP="00C03AF4">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C03AF4" w:rsidRPr="00262582" w14:paraId="07AC670F" w14:textId="77777777" w:rsidTr="00B4588D">
        <w:trPr>
          <w:trHeight w:val="1904"/>
        </w:trPr>
        <w:tc>
          <w:tcPr>
            <w:tcW w:w="8647" w:type="dxa"/>
          </w:tcPr>
          <w:p w14:paraId="00F79554" w14:textId="77777777" w:rsidR="002F417E" w:rsidRPr="002F417E" w:rsidRDefault="002F417E" w:rsidP="00C03AF4">
            <w:pPr>
              <w:widowControl w:val="0"/>
              <w:numPr>
                <w:ilvl w:val="0"/>
                <w:numId w:val="1"/>
              </w:numPr>
              <w:autoSpaceDE w:val="0"/>
              <w:autoSpaceDN w:val="0"/>
              <w:spacing w:line="276" w:lineRule="auto"/>
              <w:jc w:val="both"/>
              <w:rPr>
                <w:rFonts w:ascii="Verdana" w:eastAsia="Calibri" w:hAnsi="Verdana" w:cs="Arial"/>
              </w:rPr>
            </w:pPr>
            <w:r w:rsidRPr="002F417E">
              <w:rPr>
                <w:rFonts w:ascii="Verdana" w:eastAsia="Century Gothic" w:hAnsi="Verdana" w:cs="Century Gothic"/>
              </w:rPr>
              <w:t>Constitución Política de 1991, Artículo 74, 209</w:t>
            </w:r>
          </w:p>
          <w:p w14:paraId="4CEEEDD6" w14:textId="77777777" w:rsidR="002F417E" w:rsidRPr="002F417E" w:rsidRDefault="002F417E" w:rsidP="00C03AF4">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F417E">
              <w:rPr>
                <w:rFonts w:ascii="Verdana" w:eastAsia="Century Gothic" w:hAnsi="Verdana" w:cs="Century Gothic"/>
                <w:lang w:val="es-CO"/>
              </w:rPr>
              <w:t>Ley 1150 de 2007, literal c) del artículo 3</w:t>
            </w:r>
          </w:p>
          <w:p w14:paraId="17FF01FF" w14:textId="77777777" w:rsidR="00C03AF4" w:rsidRDefault="002F417E" w:rsidP="00C03AF4">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F417E">
              <w:rPr>
                <w:rFonts w:ascii="Verdana" w:hAnsi="Verdana" w:cs="Arial"/>
              </w:rPr>
              <w:t>Ley 1712 de 2014, artículo 9, literal g) del artículo 11</w:t>
            </w:r>
          </w:p>
          <w:p w14:paraId="00DF59F9" w14:textId="77777777" w:rsidR="002F417E" w:rsidRDefault="002F417E" w:rsidP="00C03AF4">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F417E">
              <w:rPr>
                <w:rFonts w:ascii="Verdana" w:hAnsi="Verdana" w:cs="Arial"/>
              </w:rPr>
              <w:t>Ley 2195 de 2022, artículo 53</w:t>
            </w:r>
          </w:p>
          <w:p w14:paraId="036E278C" w14:textId="77777777" w:rsidR="002F417E" w:rsidRDefault="002F417E" w:rsidP="00C03AF4">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F417E">
              <w:rPr>
                <w:rFonts w:ascii="Verdana" w:hAnsi="Verdana" w:cs="Arial"/>
              </w:rPr>
              <w:t>Circular Externa Única, en el numeral 1.1.</w:t>
            </w:r>
          </w:p>
          <w:p w14:paraId="12DB71E0" w14:textId="06C6FDB2" w:rsidR="002F417E" w:rsidRPr="00603B6F" w:rsidRDefault="002F417E" w:rsidP="00C03AF4">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2F417E">
              <w:rPr>
                <w:rFonts w:ascii="Verdana" w:hAnsi="Verdana" w:cs="Arial"/>
              </w:rPr>
              <w:t>Circular Externa 002 del 23 de agosto de 2024</w:t>
            </w:r>
          </w:p>
        </w:tc>
      </w:tr>
    </w:tbl>
    <w:p w14:paraId="7BFA6544" w14:textId="77777777" w:rsidR="00C03AF4" w:rsidRPr="00262582" w:rsidRDefault="00C03AF4" w:rsidP="00C03AF4">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500BD218" w14:textId="77777777" w:rsidR="00C03AF4" w:rsidRPr="00262582" w:rsidRDefault="00C03AF4" w:rsidP="00C03AF4">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5. Doctrina de la Agencia Nacional de Contratación Pública:</w:t>
      </w:r>
    </w:p>
    <w:p w14:paraId="7087CE3D" w14:textId="77777777" w:rsidR="00C03AF4" w:rsidRPr="00262582" w:rsidRDefault="00C03AF4" w:rsidP="00C03AF4">
      <w:pPr>
        <w:spacing w:after="0" w:line="276" w:lineRule="auto"/>
        <w:ind w:firstLine="709"/>
        <w:jc w:val="both"/>
        <w:rPr>
          <w:rFonts w:ascii="Verdana" w:eastAsia="Times New Roman" w:hAnsi="Verdana" w:cs="Arial"/>
          <w:szCs w:val="24"/>
          <w:lang w:val="es-ES" w:eastAsia="es-ES_tradnl"/>
        </w:rPr>
      </w:pPr>
    </w:p>
    <w:p w14:paraId="24FFED1A" w14:textId="77777777" w:rsidR="00C03AF4" w:rsidRDefault="00C03AF4" w:rsidP="00C03AF4">
      <w:pPr>
        <w:widowControl w:val="0"/>
        <w:autoSpaceDE w:val="0"/>
        <w:autoSpaceDN w:val="0"/>
        <w:spacing w:after="0" w:line="276" w:lineRule="auto"/>
        <w:jc w:val="both"/>
        <w:rPr>
          <w:rFonts w:ascii="Verdana" w:eastAsia="Aptos" w:hAnsi="Verdana" w:cs="Arial"/>
          <w:shd w:val="clear" w:color="auto" w:fill="FFFFFF"/>
          <w:lang w:val="es-ES"/>
        </w:rPr>
      </w:pPr>
      <w:r w:rsidRPr="006E7036">
        <w:rPr>
          <w:rFonts w:ascii="Verdana" w:eastAsia="Aptos" w:hAnsi="Verdana" w:cs="Arial"/>
          <w:shd w:val="clear" w:color="auto" w:fill="FFFFFF"/>
          <w:lang w:val="es-ES"/>
        </w:rPr>
        <w:lastRenderedPageBreak/>
        <w:t xml:space="preserve">Sobre </w:t>
      </w:r>
      <w:r>
        <w:rPr>
          <w:rFonts w:ascii="Verdana" w:eastAsia="Aptos" w:hAnsi="Verdana" w:cs="Arial"/>
          <w:shd w:val="clear" w:color="auto" w:fill="FFFFFF"/>
          <w:lang w:val="es-ES"/>
        </w:rPr>
        <w:t>el Sistema Electrónico para la Contratación Pública – SECOP</w:t>
      </w:r>
      <w:r w:rsidRPr="006E7036">
        <w:rPr>
          <w:rFonts w:ascii="Verdana" w:eastAsia="Aptos" w:hAnsi="Verdana" w:cs="Arial"/>
          <w:shd w:val="clear" w:color="auto" w:fill="FFFFFF"/>
          <w:lang w:val="es-ES"/>
        </w:rPr>
        <w:t xml:space="preserve">, esta Subdirección se ha referido en los Conceptos </w:t>
      </w:r>
      <w:r w:rsidRPr="004019DB">
        <w:rPr>
          <w:rFonts w:ascii="Verdana" w:eastAsia="Calibri" w:hAnsi="Verdana" w:cs="Arial"/>
          <w:lang w:val="es-ES_tradnl" w:eastAsia="es-MX"/>
        </w:rPr>
        <w:t>CU-367 del 23 de julio de 2020, reiterado en los conceptos: C−433 de 24 de julio de 2020, C−468 del 24 de julio de 2020, C−474 de 24 de julio de 2020, C−488 del 28 de julio de 2020, C−544 del 21 de agosto de 2020, C−575 del 27 de agosto de 2020, C−643 del 26 de octubre de 2020, C−661 del 17 de noviembre de 2020, C-094 del 13 de abril de 2021, C−068 del 22 de abril de 2021, C-185 del 29 de abril de 2021 y C-472 del 6 de septiembre de 2021. De igual manera, recientemente, se pronunció sobre la interpretación del artículo 53 de la Ley 2195 de 2022, en los conceptos C-049 del 7 de marzo de 2022, C-120 del 22 de marzo de 2022, C-124 del 22 de marzo de 2022, C-132 del 28 de marzo de 2022, C-337 del 25 de mayo de 2022, C-348 del 13 de junio de 2022, C-480 del 18 de julio de 2022, C- 544 del 29 de agosto de 2022, C-555 del 6 de septiembre de 2022, C- 821 de 29 de noviembre de 2022 y C-071 del 28 de marzo de 2023</w:t>
      </w:r>
      <w:r w:rsidRPr="00FC49A2">
        <w:rPr>
          <w:rFonts w:ascii="Verdana" w:eastAsia="Aptos" w:hAnsi="Verdana" w:cs="Arial"/>
          <w:shd w:val="clear" w:color="auto" w:fill="FFFFFF"/>
          <w:lang w:val="es-ES"/>
        </w:rPr>
        <w:t xml:space="preserve">, entre otros. </w:t>
      </w:r>
      <w:r w:rsidRPr="00B242B3">
        <w:rPr>
          <w:rFonts w:ascii="Verdana" w:eastAsia="Aptos" w:hAnsi="Verdana" w:cs="Arial"/>
          <w:shd w:val="clear" w:color="auto" w:fill="FFFFFF"/>
          <w:lang w:val="es-ES"/>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1" w:history="1">
        <w:r w:rsidRPr="00B4257D">
          <w:rPr>
            <w:rStyle w:val="Hipervnculo"/>
            <w:rFonts w:ascii="Verdana" w:eastAsia="Aptos" w:hAnsi="Verdana" w:cs="Arial"/>
            <w:shd w:val="clear" w:color="auto" w:fill="FFFFFF"/>
            <w:lang w:val="es-ES"/>
          </w:rPr>
          <w:t>https://relatoria.colombiacompra.gov.co/</w:t>
        </w:r>
      </w:hyperlink>
      <w:r w:rsidRPr="00B242B3">
        <w:rPr>
          <w:rFonts w:ascii="Verdana" w:eastAsia="Aptos" w:hAnsi="Verdana" w:cs="Arial"/>
          <w:shd w:val="clear" w:color="auto" w:fill="FFFFFF"/>
          <w:lang w:val="es-ES"/>
        </w:rPr>
        <w:t xml:space="preserve">. </w:t>
      </w:r>
    </w:p>
    <w:p w14:paraId="0937CA80" w14:textId="77777777" w:rsidR="00C03AF4" w:rsidRDefault="00C03AF4" w:rsidP="00C03AF4">
      <w:pPr>
        <w:widowControl w:val="0"/>
        <w:autoSpaceDE w:val="0"/>
        <w:autoSpaceDN w:val="0"/>
        <w:spacing w:after="0" w:line="276" w:lineRule="auto"/>
        <w:jc w:val="both"/>
        <w:rPr>
          <w:rFonts w:ascii="Verdana" w:eastAsia="Aptos" w:hAnsi="Verdana" w:cs="Arial"/>
          <w:shd w:val="clear" w:color="auto" w:fill="FFFFFF"/>
          <w:lang w:val="es-ES"/>
        </w:rPr>
      </w:pPr>
    </w:p>
    <w:p w14:paraId="3C6051FD" w14:textId="77777777" w:rsidR="00C03AF4" w:rsidRPr="00FC49A2" w:rsidRDefault="00C03AF4" w:rsidP="00C03AF4">
      <w:pPr>
        <w:widowControl w:val="0"/>
        <w:autoSpaceDE w:val="0"/>
        <w:autoSpaceDN w:val="0"/>
        <w:spacing w:after="0" w:line="276" w:lineRule="auto"/>
        <w:jc w:val="both"/>
        <w:rPr>
          <w:rFonts w:ascii="Verdana" w:eastAsia="Aptos" w:hAnsi="Verdana" w:cs="Arial"/>
          <w:shd w:val="clear" w:color="auto" w:fill="FFFFFF"/>
          <w:lang w:val="es-ES"/>
        </w:rPr>
      </w:pPr>
      <w:r w:rsidRPr="00B242B3">
        <w:rPr>
          <w:rFonts w:ascii="Verdana" w:eastAsia="Aptos" w:hAnsi="Verdana" w:cs="Arial"/>
          <w:shd w:val="clear" w:color="auto" w:fill="FFFFFF"/>
          <w:lang w:val="es-ES"/>
        </w:rPr>
        <w:t xml:space="preserve">Te invitamos también a revisar la tercera edición del Boletín de Relatoría de 2024 en el cual podrás consultar en detalle el marco normativo de documentos tipo: </w:t>
      </w:r>
      <w:hyperlink r:id="rId12" w:history="1">
        <w:r w:rsidRPr="00B4257D">
          <w:rPr>
            <w:rStyle w:val="Hipervnculo"/>
            <w:rFonts w:ascii="Verdana" w:eastAsia="Aptos" w:hAnsi="Verdana" w:cs="Arial"/>
            <w:shd w:val="clear" w:color="auto" w:fill="FFFFFF"/>
            <w:lang w:val="es-ES"/>
          </w:rPr>
          <w:t>https://www.colombiacompra.gov.co/sites/cce_public/files/files_2020/boletin_de_realtoria_iii.pdf</w:t>
        </w:r>
      </w:hyperlink>
      <w:r w:rsidRPr="00B242B3">
        <w:rPr>
          <w:rFonts w:ascii="Verdana" w:eastAsia="Aptos" w:hAnsi="Verdana" w:cs="Arial"/>
          <w:shd w:val="clear" w:color="auto" w:fill="FFFFFF"/>
          <w:lang w:val="es-ES"/>
        </w:rPr>
        <w:t xml:space="preserve">. </w:t>
      </w:r>
    </w:p>
    <w:p w14:paraId="5636274F" w14:textId="77777777" w:rsidR="00C03AF4" w:rsidRPr="00262582" w:rsidRDefault="00C03AF4" w:rsidP="00C03AF4">
      <w:pPr>
        <w:spacing w:after="0" w:line="240" w:lineRule="auto"/>
        <w:jc w:val="both"/>
        <w:rPr>
          <w:rFonts w:ascii="Verdana" w:hAnsi="Verdana"/>
        </w:rPr>
      </w:pPr>
    </w:p>
    <w:p w14:paraId="768ED7B7" w14:textId="77777777" w:rsidR="00C03AF4" w:rsidRPr="00262582" w:rsidRDefault="00C03AF4" w:rsidP="00C03AF4">
      <w:pPr>
        <w:spacing w:after="0" w:line="240" w:lineRule="auto"/>
        <w:jc w:val="both"/>
        <w:rPr>
          <w:rFonts w:ascii="Verdana" w:hAnsi="Verdana"/>
        </w:rPr>
      </w:pPr>
      <w:r w:rsidRPr="00262582">
        <w:rPr>
          <w:rFonts w:ascii="Verdana" w:hAnsi="Verdana"/>
        </w:rPr>
        <w:t xml:space="preserve">Por último, lo invitamos a seguirnos en las redes sociales en las cuales se difunde información institucional: </w:t>
      </w:r>
    </w:p>
    <w:p w14:paraId="60F67566" w14:textId="77777777" w:rsidR="00C03AF4" w:rsidRPr="00262582" w:rsidRDefault="00C03AF4" w:rsidP="00C03AF4">
      <w:pPr>
        <w:spacing w:after="0" w:line="240" w:lineRule="auto"/>
        <w:jc w:val="both"/>
        <w:rPr>
          <w:rFonts w:ascii="Verdana" w:hAnsi="Verdana"/>
        </w:rPr>
      </w:pPr>
    </w:p>
    <w:p w14:paraId="6A02B5E0" w14:textId="77777777" w:rsidR="00C03AF4" w:rsidRPr="00262582" w:rsidRDefault="00C03AF4" w:rsidP="00C03AF4">
      <w:pPr>
        <w:spacing w:after="0" w:line="240" w:lineRule="auto"/>
        <w:jc w:val="both"/>
        <w:rPr>
          <w:rFonts w:ascii="Verdana" w:hAnsi="Verdana"/>
        </w:rPr>
      </w:pPr>
      <w:r w:rsidRPr="00262582">
        <w:rPr>
          <w:rFonts w:ascii="Verdana" w:hAnsi="Verdana"/>
        </w:rPr>
        <w:t xml:space="preserve">Twitter: </w:t>
      </w:r>
      <w:r w:rsidRPr="00262582">
        <w:rPr>
          <w:rStyle w:val="Hipervnculo"/>
          <w:rFonts w:ascii="Verdana" w:hAnsi="Verdana"/>
          <w:color w:val="4472C4" w:themeColor="accent1"/>
        </w:rPr>
        <w:t>@colombiacompra</w:t>
      </w:r>
      <w:r w:rsidRPr="00262582">
        <w:rPr>
          <w:rFonts w:ascii="Verdana" w:hAnsi="Verdana"/>
          <w:color w:val="4472C4" w:themeColor="accent1"/>
        </w:rPr>
        <w:t xml:space="preserve"> </w:t>
      </w:r>
    </w:p>
    <w:p w14:paraId="05083AD4" w14:textId="77777777" w:rsidR="00C03AF4" w:rsidRPr="00262582" w:rsidRDefault="00C03AF4" w:rsidP="00C03AF4">
      <w:pPr>
        <w:spacing w:after="0" w:line="240" w:lineRule="auto"/>
        <w:jc w:val="both"/>
        <w:rPr>
          <w:rFonts w:ascii="Verdana" w:hAnsi="Verdana"/>
        </w:rPr>
      </w:pPr>
      <w:r w:rsidRPr="00262582">
        <w:rPr>
          <w:rFonts w:ascii="Verdana" w:hAnsi="Verdana"/>
        </w:rPr>
        <w:t xml:space="preserve">Facebook: </w:t>
      </w:r>
      <w:r w:rsidRPr="00262582">
        <w:rPr>
          <w:rStyle w:val="Hipervnculo"/>
          <w:rFonts w:ascii="Verdana" w:hAnsi="Verdana"/>
          <w:color w:val="4472C4" w:themeColor="accent1"/>
        </w:rPr>
        <w:t>ColombiaCompraEficiente</w:t>
      </w:r>
    </w:p>
    <w:p w14:paraId="27C59270" w14:textId="77777777" w:rsidR="00C03AF4" w:rsidRPr="00262582" w:rsidRDefault="00C03AF4" w:rsidP="00C03AF4">
      <w:pPr>
        <w:spacing w:after="0" w:line="240" w:lineRule="auto"/>
        <w:jc w:val="both"/>
        <w:rPr>
          <w:rFonts w:ascii="Verdana" w:hAnsi="Verdana"/>
        </w:rPr>
      </w:pPr>
      <w:r w:rsidRPr="00262582">
        <w:rPr>
          <w:rFonts w:ascii="Verdana" w:hAnsi="Verdana"/>
        </w:rPr>
        <w:t xml:space="preserve">LinkedIn: </w:t>
      </w:r>
      <w:r w:rsidRPr="00262582">
        <w:rPr>
          <w:rStyle w:val="Hipervnculo"/>
          <w:rFonts w:ascii="Verdana" w:hAnsi="Verdana"/>
          <w:color w:val="4472C4" w:themeColor="accent1"/>
        </w:rPr>
        <w:t>Agencia Nacional de Contratación Pública - Colombia Compra Eficiente</w:t>
      </w:r>
      <w:r w:rsidRPr="00262582">
        <w:rPr>
          <w:rFonts w:ascii="Verdana" w:hAnsi="Verdana"/>
          <w:color w:val="4472C4" w:themeColor="accent1"/>
        </w:rPr>
        <w:t xml:space="preserve"> </w:t>
      </w:r>
      <w:r w:rsidRPr="00262582">
        <w:rPr>
          <w:rFonts w:ascii="Verdana" w:hAnsi="Verdana"/>
        </w:rPr>
        <w:t xml:space="preserve">Instagram: </w:t>
      </w:r>
      <w:r w:rsidRPr="00262582">
        <w:rPr>
          <w:rStyle w:val="Hipervnculo"/>
          <w:rFonts w:ascii="Verdana" w:hAnsi="Verdana"/>
          <w:color w:val="4472C4" w:themeColor="accent1"/>
        </w:rPr>
        <w:t>@colombiacompraeficiente_cce</w:t>
      </w:r>
    </w:p>
    <w:p w14:paraId="618F87BC" w14:textId="77777777" w:rsidR="00C03AF4" w:rsidRPr="0044528D" w:rsidRDefault="00C03AF4" w:rsidP="00C03AF4">
      <w:pPr>
        <w:widowControl w:val="0"/>
        <w:autoSpaceDE w:val="0"/>
        <w:autoSpaceDN w:val="0"/>
        <w:spacing w:after="0" w:line="276" w:lineRule="auto"/>
        <w:jc w:val="both"/>
        <w:rPr>
          <w:rFonts w:ascii="Verdana" w:hAnsi="Verdana"/>
        </w:rPr>
      </w:pPr>
    </w:p>
    <w:p w14:paraId="5A572836" w14:textId="77777777" w:rsidR="00C03AF4" w:rsidRPr="00262582" w:rsidRDefault="00C03AF4" w:rsidP="00C03AF4">
      <w:pPr>
        <w:widowControl w:val="0"/>
        <w:autoSpaceDE w:val="0"/>
        <w:autoSpaceDN w:val="0"/>
        <w:spacing w:after="0" w:line="276" w:lineRule="auto"/>
        <w:jc w:val="both"/>
        <w:rPr>
          <w:rFonts w:ascii="Verdana" w:hAnsi="Verdana" w:cs="Arial"/>
          <w:lang w:val="es-ES_tradnl"/>
        </w:rPr>
      </w:pPr>
      <w:r w:rsidRPr="00262582">
        <w:rPr>
          <w:rFonts w:ascii="Verdana" w:hAnsi="Verdana" w:cs="Arial"/>
        </w:rPr>
        <w:t xml:space="preserve">Este concepto tiene el alcance previsto en el artículo 28 del Código de Procedimiento Administrativo y de lo Contencioso Administrativo </w:t>
      </w:r>
      <w:r w:rsidRPr="00262582">
        <w:rPr>
          <w:rFonts w:ascii="Verdana" w:hAnsi="Verdana" w:cs="Arial"/>
          <w:lang w:val="es-ES_tradnl"/>
        </w:rPr>
        <w:t>y las expresiones aquí utilizadas con mayúscula inicial deben ser entendidas con el significado que les otorga el artículo 2.2.1.1.1.3.1. del Decreto 1082 de 2015.</w:t>
      </w:r>
    </w:p>
    <w:p w14:paraId="5CAE958E" w14:textId="77777777" w:rsidR="00C03AF4" w:rsidRPr="00262582" w:rsidRDefault="00C03AF4" w:rsidP="00C03AF4">
      <w:pPr>
        <w:spacing w:after="0" w:line="276" w:lineRule="auto"/>
        <w:ind w:firstLine="709"/>
        <w:jc w:val="both"/>
        <w:rPr>
          <w:rFonts w:ascii="Verdana" w:eastAsia="Times New Roman" w:hAnsi="Verdana" w:cs="Arial"/>
          <w:szCs w:val="24"/>
          <w:lang w:val="es-ES_tradnl" w:eastAsia="es-ES_tradnl"/>
        </w:rPr>
      </w:pPr>
    </w:p>
    <w:p w14:paraId="30AC3EAE" w14:textId="77777777" w:rsidR="00C03AF4" w:rsidRPr="00262582" w:rsidRDefault="00C03AF4" w:rsidP="00C03AF4">
      <w:pPr>
        <w:spacing w:after="0" w:line="276" w:lineRule="auto"/>
        <w:jc w:val="both"/>
        <w:rPr>
          <w:rFonts w:ascii="Verdana" w:eastAsia="Times New Roman" w:hAnsi="Verdana" w:cs="Arial"/>
          <w:lang w:val="es-ES_tradnl" w:eastAsia="es-CO"/>
        </w:rPr>
      </w:pPr>
      <w:bookmarkStart w:id="10" w:name="_Hlk117695077"/>
      <w:r w:rsidRPr="00262582">
        <w:rPr>
          <w:rFonts w:ascii="Verdana" w:eastAsia="Times New Roman" w:hAnsi="Verdana" w:cs="Arial"/>
          <w:lang w:val="es-ES_tradnl" w:eastAsia="es-CO"/>
        </w:rPr>
        <w:t>Atentamente,</w:t>
      </w:r>
    </w:p>
    <w:bookmarkEnd w:id="10"/>
    <w:p w14:paraId="5AED67BC" w14:textId="56F179A9" w:rsidR="00C03AF4" w:rsidRPr="00262582" w:rsidRDefault="002F417E" w:rsidP="00C03AF4">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lastRenderedPageBreak/>
        <w:drawing>
          <wp:inline distT="0" distB="0" distL="0" distR="0" wp14:anchorId="08D526F5" wp14:editId="74444151">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3"/>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919"/>
      </w:tblGrid>
      <w:tr w:rsidR="00C03AF4" w:rsidRPr="00262582" w14:paraId="1CBA6E98" w14:textId="77777777" w:rsidTr="00B4588D">
        <w:trPr>
          <w:trHeight w:val="286"/>
        </w:trPr>
        <w:tc>
          <w:tcPr>
            <w:tcW w:w="893" w:type="dxa"/>
            <w:vAlign w:val="center"/>
            <w:hideMark/>
          </w:tcPr>
          <w:p w14:paraId="60B17EEC" w14:textId="77777777" w:rsidR="00C03AF4" w:rsidRPr="00262582" w:rsidRDefault="00C03AF4" w:rsidP="00B4588D">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Elaboró:</w:t>
            </w:r>
          </w:p>
        </w:tc>
        <w:tc>
          <w:tcPr>
            <w:tcW w:w="4919" w:type="dxa"/>
            <w:tcBorders>
              <w:top w:val="nil"/>
              <w:left w:val="nil"/>
              <w:bottom w:val="dotted" w:sz="4" w:space="0" w:color="7F7F7F"/>
              <w:right w:val="nil"/>
            </w:tcBorders>
            <w:vAlign w:val="center"/>
            <w:hideMark/>
          </w:tcPr>
          <w:p w14:paraId="145F0598" w14:textId="77777777" w:rsidR="00C03AF4" w:rsidRPr="00262582" w:rsidRDefault="00C03AF4" w:rsidP="00B4588D">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Sergio</w:t>
            </w:r>
            <w:r>
              <w:rPr>
                <w:rFonts w:ascii="Verdana" w:eastAsia="Times New Roman" w:hAnsi="Verdana" w:cs="Arial"/>
                <w:sz w:val="16"/>
                <w:szCs w:val="16"/>
                <w:lang w:val="es-ES_tradnl" w:eastAsia="es-ES"/>
              </w:rPr>
              <w:t xml:space="preserve"> Enrique</w:t>
            </w:r>
            <w:r w:rsidRPr="00262582">
              <w:rPr>
                <w:rFonts w:ascii="Verdana" w:eastAsia="Times New Roman" w:hAnsi="Verdana" w:cs="Arial"/>
                <w:sz w:val="16"/>
                <w:szCs w:val="16"/>
                <w:lang w:val="es-ES_tradnl" w:eastAsia="es-ES"/>
              </w:rPr>
              <w:t xml:space="preserve"> Caballero</w:t>
            </w:r>
            <w:r>
              <w:rPr>
                <w:rFonts w:ascii="Verdana" w:eastAsia="Times New Roman" w:hAnsi="Verdana" w:cs="Arial"/>
                <w:sz w:val="16"/>
                <w:szCs w:val="16"/>
                <w:lang w:val="es-ES_tradnl" w:eastAsia="es-ES"/>
              </w:rPr>
              <w:t xml:space="preserve"> Lesmes</w:t>
            </w:r>
          </w:p>
          <w:p w14:paraId="1C66543D" w14:textId="77777777" w:rsidR="00C03AF4" w:rsidRPr="00262582" w:rsidRDefault="00C03AF4" w:rsidP="00B4588D">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262582">
              <w:rPr>
                <w:rFonts w:ascii="Verdana" w:eastAsia="Times New Roman" w:hAnsi="Verdana" w:cs="Arial"/>
                <w:sz w:val="16"/>
                <w:szCs w:val="16"/>
                <w:lang w:eastAsia="es-ES"/>
              </w:rPr>
              <w:t>-1 de la Subdirección de Gestión Contractual</w:t>
            </w:r>
          </w:p>
        </w:tc>
      </w:tr>
      <w:tr w:rsidR="00C03AF4" w:rsidRPr="00262582" w14:paraId="2A2C8C22" w14:textId="77777777" w:rsidTr="00B4588D">
        <w:trPr>
          <w:trHeight w:val="299"/>
        </w:trPr>
        <w:tc>
          <w:tcPr>
            <w:tcW w:w="893" w:type="dxa"/>
            <w:vAlign w:val="center"/>
            <w:hideMark/>
          </w:tcPr>
          <w:p w14:paraId="37318D2B" w14:textId="77777777" w:rsidR="00C03AF4" w:rsidRPr="00262582" w:rsidRDefault="00C03AF4" w:rsidP="00B4588D">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Revisó:</w:t>
            </w:r>
          </w:p>
        </w:tc>
        <w:tc>
          <w:tcPr>
            <w:tcW w:w="4919" w:type="dxa"/>
            <w:tcBorders>
              <w:top w:val="dotted" w:sz="4" w:space="0" w:color="7F7F7F"/>
              <w:left w:val="nil"/>
              <w:bottom w:val="dotted" w:sz="4" w:space="0" w:color="7F7F7F"/>
              <w:right w:val="nil"/>
            </w:tcBorders>
            <w:vAlign w:val="center"/>
            <w:hideMark/>
          </w:tcPr>
          <w:p w14:paraId="03017D32" w14:textId="77777777" w:rsidR="00C03AF4" w:rsidRPr="00262582" w:rsidRDefault="00C03AF4" w:rsidP="00B4588D">
            <w:pPr>
              <w:rPr>
                <w:rFonts w:ascii="Verdana" w:eastAsia="Times New Roman" w:hAnsi="Verdana" w:cs="Arial"/>
                <w:sz w:val="16"/>
                <w:szCs w:val="16"/>
                <w:lang w:val="es-ES_tradnl" w:eastAsia="es-ES"/>
              </w:rPr>
            </w:pPr>
            <w:r>
              <w:rPr>
                <w:rFonts w:ascii="Verdana" w:eastAsia="Times New Roman" w:hAnsi="Verdana" w:cs="Arial"/>
                <w:sz w:val="16"/>
                <w:szCs w:val="16"/>
                <w:lang w:val="es-ES_tradnl" w:eastAsia="es-ES"/>
              </w:rPr>
              <w:t>Alejandro Sarmiento Cantillo</w:t>
            </w:r>
          </w:p>
          <w:p w14:paraId="6B2CA115" w14:textId="77777777" w:rsidR="00C03AF4" w:rsidRPr="00262582" w:rsidRDefault="00C03AF4" w:rsidP="00B4588D">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Contratista de la Subdirección de Gestión Contractual</w:t>
            </w:r>
          </w:p>
        </w:tc>
      </w:tr>
      <w:tr w:rsidR="00C03AF4" w:rsidRPr="00262582" w14:paraId="60DA873D" w14:textId="77777777" w:rsidTr="00B4588D">
        <w:trPr>
          <w:trHeight w:val="272"/>
        </w:trPr>
        <w:tc>
          <w:tcPr>
            <w:tcW w:w="893" w:type="dxa"/>
            <w:vAlign w:val="center"/>
            <w:hideMark/>
          </w:tcPr>
          <w:p w14:paraId="0A08B551" w14:textId="77777777" w:rsidR="00C03AF4" w:rsidRPr="00262582" w:rsidRDefault="00C03AF4" w:rsidP="00B4588D">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Aprobó:</w:t>
            </w:r>
          </w:p>
        </w:tc>
        <w:tc>
          <w:tcPr>
            <w:tcW w:w="4919" w:type="dxa"/>
            <w:tcBorders>
              <w:top w:val="dotted" w:sz="4" w:space="0" w:color="7F7F7F"/>
              <w:left w:val="nil"/>
              <w:bottom w:val="dotted" w:sz="4" w:space="0" w:color="7F7F7F"/>
              <w:right w:val="nil"/>
            </w:tcBorders>
            <w:vAlign w:val="center"/>
            <w:hideMark/>
          </w:tcPr>
          <w:p w14:paraId="0B20AA6A" w14:textId="77777777" w:rsidR="00C03AF4" w:rsidRPr="00262582" w:rsidRDefault="00C03AF4" w:rsidP="00B4588D">
            <w:pPr>
              <w:rPr>
                <w:rFonts w:ascii="Verdana" w:eastAsia="Times New Roman" w:hAnsi="Verdana" w:cs="Arial"/>
                <w:sz w:val="16"/>
                <w:szCs w:val="16"/>
                <w:lang w:eastAsia="es-ES"/>
              </w:rPr>
            </w:pPr>
            <w:r w:rsidRPr="00262582">
              <w:rPr>
                <w:rFonts w:ascii="Verdana" w:eastAsia="Times New Roman" w:hAnsi="Verdana" w:cs="Arial"/>
                <w:sz w:val="16"/>
                <w:szCs w:val="16"/>
                <w:lang w:eastAsia="es-ES"/>
              </w:rPr>
              <w:t>Carolina Quintero Gacharná</w:t>
            </w:r>
          </w:p>
          <w:p w14:paraId="7F364AA5" w14:textId="77777777" w:rsidR="00C03AF4" w:rsidRPr="00262582" w:rsidRDefault="00C03AF4" w:rsidP="00B4588D">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Subdirectora de Gestión Contractual ANCP – CCE</w:t>
            </w:r>
          </w:p>
        </w:tc>
      </w:tr>
    </w:tbl>
    <w:p w14:paraId="3A830D32" w14:textId="77777777" w:rsidR="00C03AF4" w:rsidRPr="00262582" w:rsidRDefault="00C03AF4" w:rsidP="00C03AF4">
      <w:pPr>
        <w:spacing w:after="0" w:line="276" w:lineRule="auto"/>
        <w:jc w:val="both"/>
        <w:rPr>
          <w:rFonts w:ascii="Verdana" w:eastAsia="Times New Roman" w:hAnsi="Verdana" w:cs="Arial"/>
          <w:lang w:val="es-ES_tradnl"/>
        </w:rPr>
      </w:pPr>
    </w:p>
    <w:p w14:paraId="509E0F6E" w14:textId="77777777" w:rsidR="00C03AF4" w:rsidRPr="00262582" w:rsidRDefault="00C03AF4" w:rsidP="00C03AF4">
      <w:pPr>
        <w:spacing w:after="0" w:line="240" w:lineRule="auto"/>
        <w:rPr>
          <w:rFonts w:ascii="Verdana" w:eastAsia="Times New Roman" w:hAnsi="Verdana" w:cs="Arial"/>
          <w:sz w:val="24"/>
          <w:szCs w:val="24"/>
          <w:lang w:eastAsia="es-ES_tradnl"/>
        </w:rPr>
      </w:pPr>
    </w:p>
    <w:p w14:paraId="5AC2C7C0" w14:textId="77777777" w:rsidR="00C03AF4" w:rsidRPr="00262582" w:rsidRDefault="00C03AF4" w:rsidP="00C03AF4">
      <w:pPr>
        <w:rPr>
          <w:rFonts w:ascii="Verdana" w:hAnsi="Verdana"/>
        </w:rPr>
      </w:pPr>
    </w:p>
    <w:p w14:paraId="7D75F3F4" w14:textId="77777777" w:rsidR="00C03AF4" w:rsidRPr="0077713E" w:rsidRDefault="00C03AF4" w:rsidP="00C03AF4"/>
    <w:p w14:paraId="311CC45D" w14:textId="77777777" w:rsidR="00C03AF4" w:rsidRDefault="00C03AF4" w:rsidP="00C03AF4"/>
    <w:p w14:paraId="37A5ECD7" w14:textId="77777777" w:rsidR="00C03AF4" w:rsidRPr="003E6FAA" w:rsidRDefault="00C03AF4" w:rsidP="00C03AF4"/>
    <w:p w14:paraId="737BD1C3" w14:textId="77777777" w:rsidR="00C03AF4" w:rsidRPr="00F62300" w:rsidRDefault="00C03AF4" w:rsidP="00C03AF4"/>
    <w:p w14:paraId="702B27FD" w14:textId="77777777" w:rsidR="00C03AF4" w:rsidRPr="00756E2D" w:rsidRDefault="00C03AF4" w:rsidP="00C03AF4"/>
    <w:p w14:paraId="5F13F5AA" w14:textId="77777777" w:rsidR="00175E6F" w:rsidRDefault="00175E6F"/>
    <w:sectPr w:rsidR="00175E6F" w:rsidSect="00C03AF4">
      <w:headerReference w:type="default" r:id="rId14"/>
      <w:footerReference w:type="default" r:id="rId15"/>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DE6C3" w14:textId="77777777" w:rsidR="00A24E20" w:rsidRDefault="00A24E20" w:rsidP="00C03AF4">
      <w:pPr>
        <w:spacing w:after="0" w:line="240" w:lineRule="auto"/>
      </w:pPr>
      <w:r>
        <w:separator/>
      </w:r>
    </w:p>
  </w:endnote>
  <w:endnote w:type="continuationSeparator" w:id="0">
    <w:p w14:paraId="180FA8A3" w14:textId="77777777" w:rsidR="00A24E20" w:rsidRDefault="00A24E20" w:rsidP="00C03AF4">
      <w:pPr>
        <w:spacing w:after="0" w:line="240" w:lineRule="auto"/>
      </w:pPr>
      <w:r>
        <w:continuationSeparator/>
      </w:r>
    </w:p>
  </w:endnote>
  <w:endnote w:type="continuationNotice" w:id="1">
    <w:p w14:paraId="07226BBE" w14:textId="77777777" w:rsidR="00B55AD0" w:rsidRDefault="00B55A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manist Light">
    <w:altName w:val="Calibri"/>
    <w:panose1 w:val="00000000000000000000"/>
    <w:charset w:val="00"/>
    <w:family w:val="modern"/>
    <w:notTrueType/>
    <w:pitch w:val="variable"/>
    <w:sig w:usb0="A000002F" w:usb1="1000004A" w:usb2="00000000" w:usb3="00000000" w:csb0="000001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E293C" w14:textId="77777777" w:rsidR="003B3684" w:rsidRDefault="003B3684">
    <w:pPr>
      <w:pStyle w:val="Piedepgina"/>
    </w:pPr>
  </w:p>
  <w:p w14:paraId="1390B0BA" w14:textId="77777777" w:rsidR="003B3684" w:rsidRPr="00174B77" w:rsidRDefault="003B3684"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30D87F73" w14:textId="77777777" w:rsidR="003B3684" w:rsidRDefault="003B3684"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C9E3B3C" w14:textId="77777777" w:rsidR="003B3684" w:rsidRPr="00E41027" w:rsidRDefault="003B3684" w:rsidP="00D520D8">
    <w:pPr>
      <w:spacing w:after="0"/>
      <w:jc w:val="both"/>
      <w:rPr>
        <w:rFonts w:ascii="Verdana" w:hAnsi="Verdana"/>
        <w:sz w:val="18"/>
        <w:szCs w:val="18"/>
      </w:rPr>
    </w:pPr>
    <w:r w:rsidRPr="00E41027">
      <w:rPr>
        <w:rFonts w:ascii="Verdana" w:hAnsi="Verdana"/>
        <w:sz w:val="18"/>
        <w:szCs w:val="18"/>
      </w:rPr>
      <w:t>Mesa de servicio: (+57) 601 7456788</w:t>
    </w:r>
  </w:p>
  <w:p w14:paraId="5D53728B" w14:textId="77777777" w:rsidR="003B3684" w:rsidRDefault="003B3684"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83CDD" w14:textId="77777777" w:rsidR="00A24E20" w:rsidRDefault="00A24E20" w:rsidP="00C03AF4">
      <w:pPr>
        <w:spacing w:after="0" w:line="240" w:lineRule="auto"/>
      </w:pPr>
      <w:r>
        <w:separator/>
      </w:r>
    </w:p>
  </w:footnote>
  <w:footnote w:type="continuationSeparator" w:id="0">
    <w:p w14:paraId="0E96607D" w14:textId="77777777" w:rsidR="00A24E20" w:rsidRDefault="00A24E20" w:rsidP="00C03AF4">
      <w:pPr>
        <w:spacing w:after="0" w:line="240" w:lineRule="auto"/>
      </w:pPr>
      <w:r>
        <w:continuationSeparator/>
      </w:r>
    </w:p>
  </w:footnote>
  <w:footnote w:type="continuationNotice" w:id="1">
    <w:p w14:paraId="56416D52" w14:textId="77777777" w:rsidR="00B55AD0" w:rsidRDefault="00B55AD0">
      <w:pPr>
        <w:spacing w:after="0" w:line="240" w:lineRule="auto"/>
      </w:pPr>
    </w:p>
  </w:footnote>
  <w:footnote w:id="2">
    <w:p w14:paraId="5FD800D9"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Style w:val="Refdenotaalpie"/>
          <w:rFonts w:ascii="Verdana" w:hAnsi="Verdana" w:cs="Arial"/>
          <w:color w:val="000000" w:themeColor="text1"/>
          <w:sz w:val="14"/>
          <w:szCs w:val="14"/>
        </w:rPr>
        <w:footnoteRef/>
      </w:r>
      <w:r w:rsidRPr="0041492A">
        <w:rPr>
          <w:rFonts w:ascii="Verdana" w:hAnsi="Verdana" w:cs="Arial"/>
          <w:color w:val="000000" w:themeColor="text1"/>
          <w:sz w:val="14"/>
          <w:szCs w:val="14"/>
        </w:rPr>
        <w:t xml:space="preserve"> Ley 1150 de 2007: </w:t>
      </w:r>
      <w:r>
        <w:rPr>
          <w:rFonts w:ascii="Verdana" w:hAnsi="Verdana" w:cs="Arial"/>
          <w:color w:val="000000" w:themeColor="text1"/>
          <w:sz w:val="14"/>
          <w:szCs w:val="14"/>
        </w:rPr>
        <w:t>“</w:t>
      </w:r>
      <w:r w:rsidRPr="0041492A">
        <w:rPr>
          <w:rFonts w:ascii="Verdana" w:hAnsi="Verdana" w:cs="Arial"/>
          <w:color w:val="000000" w:themeColor="text1"/>
          <w:sz w:val="14"/>
          <w:szCs w:val="14"/>
        </w:rPr>
        <w:t>Artículo 3. De conformidad con lo dispuesto en la Ley 527 de 1999, la sustanciación de las actuaciones, la expedición de los actos administrativos, los documentos, contratos y en general los actos derivados de la actividad precontractual y contractual, podrán tener lugar por medios electrónicos. Para el trámite, notificación y publicación de tales actos, podrán utilizarse soportes, medios y aplicaciones electrónicas. Los mecanismos e instrumentos por medio de los cuales las entidades cumplirán con las obligaciones de publicidad del proceso contractual serán señalados por el Gobierno Nacional.</w:t>
      </w:r>
    </w:p>
    <w:p w14:paraId="7CA5645D"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Fonts w:ascii="Verdana" w:hAnsi="Verdana" w:cs="Arial"/>
          <w:color w:val="000000" w:themeColor="text1"/>
          <w:sz w:val="14"/>
          <w:szCs w:val="14"/>
        </w:rPr>
        <w:t>Lo anterior, sin perjuicio de las publicaciones previstas en el numeral 3 del artículo 30 de la Ley 80 de 1993.</w:t>
      </w:r>
    </w:p>
    <w:p w14:paraId="70083453"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Fonts w:ascii="Verdana" w:hAnsi="Verdana" w:cs="Arial"/>
          <w:color w:val="000000" w:themeColor="text1"/>
          <w:sz w:val="14"/>
          <w:szCs w:val="14"/>
        </w:rPr>
        <w:t xml:space="preserve">Con el fin de materializar los objetivos a que se refiere el inciso anterior, el Gobierno Nacional desarrollará el Sistema Electrónico para la Contratación Pública, SECOP, el cual: </w:t>
      </w:r>
    </w:p>
    <w:p w14:paraId="05CC4DC4"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Fonts w:ascii="Verdana" w:hAnsi="Verdana" w:cs="Arial"/>
          <w:color w:val="000000" w:themeColor="text1"/>
          <w:sz w:val="14"/>
          <w:szCs w:val="14"/>
        </w:rPr>
        <w:t>[…]</w:t>
      </w:r>
    </w:p>
    <w:p w14:paraId="09D00431"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Fonts w:ascii="Verdana" w:hAnsi="Verdana" w:cs="Arial"/>
          <w:color w:val="000000" w:themeColor="text1"/>
          <w:sz w:val="14"/>
          <w:szCs w:val="14"/>
        </w:rPr>
        <w:t>c) Contará con la información oficial de la contratación realizada con dineros públicos, para lo cual establecerá los patrones a que haya lugar y se encargará de su difusión a través de canales electrónico</w:t>
      </w:r>
      <w:r>
        <w:rPr>
          <w:rFonts w:ascii="Verdana" w:hAnsi="Verdana" w:cs="Arial"/>
          <w:color w:val="000000" w:themeColor="text1"/>
          <w:sz w:val="14"/>
          <w:szCs w:val="14"/>
        </w:rPr>
        <w:t>”</w:t>
      </w:r>
      <w:r w:rsidRPr="0041492A">
        <w:rPr>
          <w:rFonts w:ascii="Verdana" w:hAnsi="Verdana" w:cs="Arial"/>
          <w:color w:val="000000" w:themeColor="text1"/>
          <w:sz w:val="14"/>
          <w:szCs w:val="14"/>
        </w:rPr>
        <w:t xml:space="preserve">. </w:t>
      </w:r>
    </w:p>
    <w:p w14:paraId="0C3D70D2" w14:textId="77777777" w:rsidR="00C03AF4" w:rsidRPr="0041492A" w:rsidRDefault="00C03AF4" w:rsidP="00C03AF4">
      <w:pPr>
        <w:pStyle w:val="Textonotapie"/>
        <w:ind w:firstLine="709"/>
        <w:jc w:val="both"/>
        <w:rPr>
          <w:rFonts w:ascii="Verdana" w:hAnsi="Verdana" w:cs="Arial"/>
          <w:color w:val="000000" w:themeColor="text1"/>
          <w:sz w:val="14"/>
          <w:szCs w:val="14"/>
          <w:lang w:val="es-CO"/>
        </w:rPr>
      </w:pPr>
    </w:p>
  </w:footnote>
  <w:footnote w:id="3">
    <w:p w14:paraId="2C1DD16D"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Style w:val="Refdenotaalpie"/>
          <w:rFonts w:ascii="Verdana" w:hAnsi="Verdana" w:cs="Arial"/>
          <w:color w:val="000000" w:themeColor="text1"/>
          <w:sz w:val="14"/>
          <w:szCs w:val="14"/>
        </w:rPr>
        <w:footnoteRef/>
      </w:r>
      <w:r w:rsidRPr="0041492A">
        <w:rPr>
          <w:rFonts w:ascii="Verdana" w:hAnsi="Verdana" w:cs="Arial"/>
          <w:color w:val="000000" w:themeColor="text1"/>
          <w:sz w:val="14"/>
          <w:szCs w:val="14"/>
        </w:rPr>
        <w:t xml:space="preserve"> Ley 1712 de 2014: </w:t>
      </w:r>
      <w:r>
        <w:rPr>
          <w:rFonts w:ascii="Verdana" w:hAnsi="Verdana" w:cs="Arial"/>
          <w:color w:val="000000" w:themeColor="text1"/>
          <w:sz w:val="14"/>
          <w:szCs w:val="14"/>
        </w:rPr>
        <w:t>“</w:t>
      </w:r>
      <w:r w:rsidRPr="0041492A">
        <w:rPr>
          <w:rFonts w:ascii="Verdana" w:hAnsi="Verdana" w:cs="Arial"/>
          <w:color w:val="000000" w:themeColor="text1"/>
          <w:sz w:val="14"/>
          <w:szCs w:val="14"/>
        </w:rPr>
        <w:t>Artículo 2. Toda información en posesión, bajo control o custodia de un sujeto obligado es pública y no podrá ser reservada o limitada sino por disposición constitucional o legal, de conformidad con la presente ley».</w:t>
      </w:r>
    </w:p>
    <w:p w14:paraId="0EF811BA" w14:textId="77777777" w:rsidR="00C03AF4" w:rsidRPr="0041492A" w:rsidRDefault="00C03AF4" w:rsidP="00C03AF4">
      <w:pPr>
        <w:pStyle w:val="Textonotapie"/>
        <w:ind w:firstLine="709"/>
        <w:jc w:val="both"/>
        <w:rPr>
          <w:rFonts w:ascii="Verdana" w:hAnsi="Verdana" w:cs="Arial"/>
          <w:color w:val="000000" w:themeColor="text1"/>
          <w:sz w:val="14"/>
          <w:szCs w:val="14"/>
          <w:lang w:val="es-CO"/>
        </w:rPr>
      </w:pPr>
    </w:p>
  </w:footnote>
  <w:footnote w:id="4">
    <w:p w14:paraId="5DCCB8DA"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Style w:val="Refdenotaalpie"/>
          <w:rFonts w:ascii="Verdana" w:hAnsi="Verdana" w:cs="Arial"/>
          <w:color w:val="000000" w:themeColor="text1"/>
          <w:sz w:val="14"/>
          <w:szCs w:val="14"/>
        </w:rPr>
        <w:footnoteRef/>
      </w:r>
      <w:r w:rsidRPr="0041492A">
        <w:rPr>
          <w:rFonts w:ascii="Verdana" w:hAnsi="Verdana" w:cs="Arial"/>
          <w:color w:val="000000" w:themeColor="text1"/>
          <w:sz w:val="14"/>
          <w:szCs w:val="14"/>
        </w:rPr>
        <w:t xml:space="preserve"> Ley 1712 de 2014: </w:t>
      </w:r>
      <w:r>
        <w:rPr>
          <w:rFonts w:ascii="Verdana" w:hAnsi="Verdana" w:cs="Arial"/>
          <w:color w:val="000000" w:themeColor="text1"/>
          <w:sz w:val="14"/>
          <w:szCs w:val="14"/>
        </w:rPr>
        <w:t>“</w:t>
      </w:r>
      <w:r w:rsidRPr="0041492A">
        <w:rPr>
          <w:rFonts w:ascii="Verdana" w:hAnsi="Verdana" w:cs="Arial"/>
          <w:color w:val="000000" w:themeColor="text1"/>
          <w:sz w:val="14"/>
          <w:szCs w:val="14"/>
        </w:rPr>
        <w:t xml:space="preserve">Artículo 5. Ámbito de aplicación. Las disposiciones de esta ley serán aplicables a las siguientes personas en calidad de sujetos obligados: </w:t>
      </w:r>
    </w:p>
    <w:p w14:paraId="11DC6A73"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Fonts w:ascii="Verdana" w:hAnsi="Verdana" w:cs="Arial"/>
          <w:color w:val="000000" w:themeColor="text1"/>
          <w:sz w:val="14"/>
          <w:szCs w:val="14"/>
        </w:rPr>
        <w:t>a) Toda entidad pública, incluyendo las pertenecientes a todas las Ramas del Poder Público, en todos los niveles de la estructura estatal, central o descentralizada por servicios o territorialmente, en los órdenes nacional, departamental, municipal y distrital</w:t>
      </w:r>
      <w:r>
        <w:rPr>
          <w:rFonts w:ascii="Verdana" w:hAnsi="Verdana" w:cs="Arial"/>
          <w:color w:val="000000" w:themeColor="text1"/>
          <w:sz w:val="14"/>
          <w:szCs w:val="14"/>
        </w:rPr>
        <w:t>”</w:t>
      </w:r>
      <w:r w:rsidRPr="0041492A">
        <w:rPr>
          <w:rFonts w:ascii="Verdana" w:hAnsi="Verdana" w:cs="Arial"/>
          <w:color w:val="000000" w:themeColor="text1"/>
          <w:sz w:val="14"/>
          <w:szCs w:val="14"/>
        </w:rPr>
        <w:t>.</w:t>
      </w:r>
    </w:p>
    <w:p w14:paraId="4FEC7CCB" w14:textId="77777777" w:rsidR="00C03AF4" w:rsidRPr="0041492A" w:rsidRDefault="00C03AF4" w:rsidP="00C03AF4">
      <w:pPr>
        <w:pStyle w:val="Textonotapie"/>
        <w:ind w:firstLine="709"/>
        <w:jc w:val="both"/>
        <w:rPr>
          <w:rFonts w:ascii="Verdana" w:hAnsi="Verdana" w:cs="Arial"/>
          <w:color w:val="000000" w:themeColor="text1"/>
          <w:sz w:val="14"/>
          <w:szCs w:val="14"/>
          <w:lang w:val="es-CO"/>
        </w:rPr>
      </w:pPr>
    </w:p>
  </w:footnote>
  <w:footnote w:id="5">
    <w:p w14:paraId="3E7C485F"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Fonts w:ascii="Verdana" w:eastAsia="Times New Roman" w:hAnsi="Verdana" w:cs="Arial"/>
          <w:color w:val="000000" w:themeColor="text1"/>
          <w:sz w:val="14"/>
          <w:szCs w:val="14"/>
          <w:vertAlign w:val="superscript"/>
          <w:lang w:val="es-ES" w:eastAsia="es-ES"/>
        </w:rPr>
        <w:footnoteRef/>
      </w:r>
      <w:r w:rsidRPr="0041492A">
        <w:rPr>
          <w:rFonts w:ascii="Verdana" w:eastAsia="Times New Roman" w:hAnsi="Verdana" w:cs="Arial"/>
          <w:color w:val="000000" w:themeColor="text1"/>
          <w:sz w:val="14"/>
          <w:szCs w:val="14"/>
          <w:vertAlign w:val="superscript"/>
          <w:lang w:val="es-ES" w:eastAsia="es-ES"/>
        </w:rPr>
        <w:t xml:space="preserve"> </w:t>
      </w:r>
      <w:r>
        <w:rPr>
          <w:rFonts w:ascii="Verdana" w:eastAsia="Times New Roman" w:hAnsi="Verdana" w:cs="Arial"/>
          <w:color w:val="000000" w:themeColor="text1"/>
          <w:sz w:val="14"/>
          <w:szCs w:val="14"/>
          <w:lang w:val="es-ES" w:eastAsia="es-ES"/>
        </w:rPr>
        <w:t>“</w:t>
      </w:r>
      <w:r w:rsidRPr="0041492A">
        <w:rPr>
          <w:rFonts w:ascii="Verdana" w:hAnsi="Verdana" w:cs="Arial"/>
          <w:color w:val="000000" w:themeColor="text1"/>
          <w:sz w:val="14"/>
          <w:szCs w:val="14"/>
        </w:rPr>
        <w:t xml:space="preserve">Artículo 2.1.1.2.1.7. Publicación de la información contractual. 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w:t>
      </w:r>
    </w:p>
    <w:p w14:paraId="40F12912" w14:textId="77777777" w:rsidR="00C03AF4" w:rsidRPr="0041492A" w:rsidRDefault="00C03AF4" w:rsidP="00C03AF4">
      <w:pPr>
        <w:pStyle w:val="Textonotapie"/>
        <w:ind w:firstLine="709"/>
        <w:jc w:val="both"/>
        <w:rPr>
          <w:rFonts w:ascii="Verdana" w:eastAsia="Times New Roman" w:hAnsi="Verdana" w:cs="Arial"/>
          <w:color w:val="000000" w:themeColor="text1"/>
          <w:sz w:val="14"/>
          <w:szCs w:val="14"/>
          <w:lang w:val="es-ES" w:eastAsia="es-ES"/>
        </w:rPr>
      </w:pPr>
      <w:r w:rsidRPr="0041492A">
        <w:rPr>
          <w:rFonts w:ascii="Verdana" w:hAnsi="Verdana" w:cs="Arial"/>
          <w:color w:val="000000" w:themeColor="text1"/>
          <w:sz w:val="14"/>
          <w:szCs w:val="14"/>
        </w:rPr>
        <w:t>[…].</w:t>
      </w:r>
    </w:p>
    <w:p w14:paraId="7EC17918" w14:textId="77777777" w:rsidR="00C03AF4" w:rsidRPr="0041492A" w:rsidRDefault="00C03AF4" w:rsidP="00C03AF4">
      <w:pPr>
        <w:pStyle w:val="Textonotapie"/>
        <w:ind w:firstLine="709"/>
        <w:jc w:val="both"/>
        <w:rPr>
          <w:rFonts w:ascii="Verdana" w:eastAsia="Times New Roman" w:hAnsi="Verdana" w:cs="Arial"/>
          <w:color w:val="000000" w:themeColor="text1"/>
          <w:sz w:val="14"/>
          <w:szCs w:val="14"/>
          <w:lang w:val="es-ES" w:eastAsia="es-ES"/>
        </w:rPr>
      </w:pPr>
      <w:r>
        <w:rPr>
          <w:rFonts w:ascii="Verdana" w:eastAsia="Times New Roman" w:hAnsi="Verdana" w:cs="Arial"/>
          <w:color w:val="000000" w:themeColor="text1"/>
          <w:sz w:val="14"/>
          <w:szCs w:val="14"/>
          <w:lang w:val="es-ES" w:eastAsia="es-ES"/>
        </w:rPr>
        <w:t>“</w:t>
      </w:r>
      <w:r w:rsidRPr="0041492A">
        <w:rPr>
          <w:rFonts w:ascii="Verdana" w:eastAsia="Times New Roman" w:hAnsi="Verdana" w:cs="Arial"/>
          <w:color w:val="000000" w:themeColor="text1"/>
          <w:sz w:val="14"/>
          <w:szCs w:val="14"/>
          <w:lang w:val="es-ES" w:eastAsia="es-ES"/>
        </w:rPr>
        <w:t>Los sujetos obligados que contratan con recursos públicos y recursos privados, deben publicar la información de su gestión contractual con cargo a recursos públicos en el Sistema Electrónico para la Contratación Pública [SECOP]</w:t>
      </w:r>
      <w:r>
        <w:rPr>
          <w:rFonts w:ascii="Verdana" w:eastAsia="Times New Roman" w:hAnsi="Verdana" w:cs="Arial"/>
          <w:color w:val="000000" w:themeColor="text1"/>
          <w:sz w:val="14"/>
          <w:szCs w:val="14"/>
          <w:lang w:val="es-ES" w:eastAsia="es-ES"/>
        </w:rPr>
        <w:t>”</w:t>
      </w:r>
      <w:r w:rsidRPr="0041492A">
        <w:rPr>
          <w:rFonts w:ascii="Verdana" w:eastAsia="Times New Roman" w:hAnsi="Verdana" w:cs="Arial"/>
          <w:color w:val="000000" w:themeColor="text1"/>
          <w:sz w:val="14"/>
          <w:szCs w:val="14"/>
          <w:lang w:val="es-ES" w:eastAsia="es-ES"/>
        </w:rPr>
        <w:t>.</w:t>
      </w:r>
    </w:p>
    <w:p w14:paraId="5F4F7A97" w14:textId="77777777" w:rsidR="00C03AF4" w:rsidRPr="0041492A" w:rsidRDefault="00C03AF4" w:rsidP="00C03AF4">
      <w:pPr>
        <w:pStyle w:val="Textonotapie"/>
        <w:ind w:firstLine="709"/>
        <w:jc w:val="both"/>
        <w:rPr>
          <w:rFonts w:ascii="Verdana" w:eastAsia="Times New Roman" w:hAnsi="Verdana" w:cs="Arial"/>
          <w:color w:val="000000" w:themeColor="text1"/>
          <w:sz w:val="14"/>
          <w:szCs w:val="14"/>
          <w:lang w:val="es-ES" w:eastAsia="es-ES"/>
        </w:rPr>
      </w:pPr>
    </w:p>
  </w:footnote>
  <w:footnote w:id="6">
    <w:p w14:paraId="071EC9DA"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Style w:val="Refdenotaalpie"/>
          <w:rFonts w:ascii="Verdana" w:hAnsi="Verdana" w:cs="Arial"/>
          <w:color w:val="000000" w:themeColor="text1"/>
          <w:sz w:val="14"/>
          <w:szCs w:val="14"/>
        </w:rPr>
        <w:footnoteRef/>
      </w:r>
      <w:r w:rsidRPr="0041492A">
        <w:rPr>
          <w:rFonts w:ascii="Verdana" w:hAnsi="Verdana" w:cs="Arial"/>
          <w:color w:val="000000" w:themeColor="text1"/>
          <w:sz w:val="14"/>
          <w:szCs w:val="14"/>
        </w:rPr>
        <w:t xml:space="preserve"> C</w:t>
      </w:r>
      <w:r w:rsidRPr="0041492A">
        <w:rPr>
          <w:rFonts w:ascii="Verdana" w:eastAsia="Times New Roman" w:hAnsi="Verdana" w:cs="Arial"/>
          <w:color w:val="000000" w:themeColor="text1"/>
          <w:sz w:val="14"/>
          <w:szCs w:val="14"/>
          <w:lang w:val="es-ES" w:eastAsia="es-ES"/>
        </w:rPr>
        <w:t xml:space="preserve">orte Constitucional. Sentencia C‒274 de 9 de mayo de 2013. M.P. María Victoria Calle Correa. </w:t>
      </w:r>
    </w:p>
    <w:p w14:paraId="43325F40" w14:textId="77777777" w:rsidR="00C03AF4" w:rsidRPr="0041492A" w:rsidRDefault="00C03AF4" w:rsidP="00C03AF4">
      <w:pPr>
        <w:pStyle w:val="Textonotapie"/>
        <w:ind w:firstLine="709"/>
        <w:jc w:val="both"/>
        <w:rPr>
          <w:rFonts w:ascii="Verdana" w:hAnsi="Verdana" w:cs="Arial"/>
          <w:color w:val="000000" w:themeColor="text1"/>
          <w:sz w:val="14"/>
          <w:szCs w:val="14"/>
          <w:lang w:val="es-CO"/>
        </w:rPr>
      </w:pPr>
    </w:p>
  </w:footnote>
  <w:footnote w:id="7">
    <w:p w14:paraId="7E7CF6C8"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Style w:val="Refdenotaalpie"/>
          <w:rFonts w:ascii="Verdana" w:hAnsi="Verdana" w:cs="Arial"/>
          <w:color w:val="000000" w:themeColor="text1"/>
          <w:sz w:val="14"/>
          <w:szCs w:val="14"/>
        </w:rPr>
        <w:footnoteRef/>
      </w:r>
      <w:r w:rsidRPr="0041492A">
        <w:rPr>
          <w:rFonts w:ascii="Verdana" w:hAnsi="Verdana" w:cs="Arial"/>
          <w:color w:val="000000" w:themeColor="text1"/>
          <w:sz w:val="14"/>
          <w:szCs w:val="14"/>
        </w:rPr>
        <w:t xml:space="preserve"> </w:t>
      </w:r>
      <w:r>
        <w:rPr>
          <w:rFonts w:ascii="Verdana" w:hAnsi="Verdana" w:cs="Arial"/>
          <w:color w:val="000000" w:themeColor="text1"/>
          <w:sz w:val="14"/>
          <w:szCs w:val="14"/>
        </w:rPr>
        <w:t>“</w:t>
      </w:r>
      <w:r w:rsidRPr="0041492A">
        <w:rPr>
          <w:rFonts w:ascii="Verdana" w:hAnsi="Verdana" w:cs="Arial"/>
          <w:color w:val="000000" w:themeColor="text1"/>
          <w:sz w:val="14"/>
          <w:szCs w:val="14"/>
        </w:rPr>
        <w:t>Numeral 1.1 […] Las Entidades que contratan con cargo a recursos públicos están obligadas a publicar oportunamente su actividad contractual en el SECOP, sin que sea relevante para la exigencia de esta obligación su régimen jurídico, naturaleza de público o privado o la pertenencia a una u otra rama del poder público</w:t>
      </w:r>
      <w:r>
        <w:rPr>
          <w:rFonts w:ascii="Verdana" w:hAnsi="Verdana" w:cs="Arial"/>
          <w:color w:val="000000" w:themeColor="text1"/>
          <w:sz w:val="14"/>
          <w:szCs w:val="14"/>
        </w:rPr>
        <w:t>”</w:t>
      </w:r>
      <w:r w:rsidRPr="0041492A">
        <w:rPr>
          <w:rFonts w:ascii="Verdana" w:hAnsi="Verdana" w:cs="Arial"/>
          <w:color w:val="000000" w:themeColor="text1"/>
          <w:sz w:val="14"/>
          <w:szCs w:val="14"/>
        </w:rPr>
        <w:t>.</w:t>
      </w:r>
    </w:p>
    <w:p w14:paraId="1B146360" w14:textId="77777777" w:rsidR="00C03AF4" w:rsidRPr="0041492A" w:rsidRDefault="00C03AF4" w:rsidP="00C03AF4">
      <w:pPr>
        <w:pStyle w:val="Textonotapie"/>
        <w:ind w:firstLine="709"/>
        <w:jc w:val="both"/>
        <w:rPr>
          <w:rFonts w:ascii="Verdana" w:hAnsi="Verdana" w:cs="Arial"/>
          <w:color w:val="000000" w:themeColor="text1"/>
          <w:sz w:val="14"/>
          <w:szCs w:val="14"/>
          <w:lang w:val="es-CO"/>
        </w:rPr>
      </w:pPr>
    </w:p>
  </w:footnote>
  <w:footnote w:id="8">
    <w:p w14:paraId="78351225" w14:textId="77777777" w:rsidR="00C03AF4" w:rsidRPr="0041492A" w:rsidRDefault="00C03AF4" w:rsidP="00C03AF4">
      <w:pPr>
        <w:pStyle w:val="Textonotapie"/>
        <w:ind w:firstLine="709"/>
        <w:jc w:val="both"/>
        <w:rPr>
          <w:rFonts w:ascii="Verdana" w:hAnsi="Verdana" w:cs="Arial"/>
          <w:sz w:val="14"/>
          <w:szCs w:val="14"/>
          <w:lang w:val="es-ES"/>
        </w:rPr>
      </w:pPr>
      <w:r w:rsidRPr="0041492A">
        <w:rPr>
          <w:rStyle w:val="Refdenotaalpie"/>
          <w:rFonts w:ascii="Verdana" w:hAnsi="Verdana" w:cs="Arial"/>
          <w:sz w:val="14"/>
          <w:szCs w:val="14"/>
        </w:rPr>
        <w:footnoteRef/>
      </w:r>
      <w:r w:rsidRPr="0041492A">
        <w:rPr>
          <w:rFonts w:ascii="Verdana" w:hAnsi="Verdana" w:cs="Arial"/>
          <w:sz w:val="14"/>
          <w:szCs w:val="14"/>
        </w:rPr>
        <w:t xml:space="preserve"> </w:t>
      </w:r>
      <w:r w:rsidRPr="0041492A">
        <w:rPr>
          <w:rFonts w:ascii="Verdana" w:hAnsi="Verdana" w:cs="Arial"/>
          <w:color w:val="000000" w:themeColor="text1"/>
          <w:sz w:val="14"/>
          <w:szCs w:val="14"/>
          <w:lang w:val="es-ES"/>
        </w:rPr>
        <w:t>Consejero Ponente: Jaime Orlando Santofimio Gamboa.</w:t>
      </w:r>
    </w:p>
  </w:footnote>
  <w:footnote w:id="9">
    <w:p w14:paraId="2705FF18" w14:textId="77777777" w:rsidR="00C03AF4" w:rsidRPr="0041492A" w:rsidRDefault="00C03AF4" w:rsidP="00C03AF4">
      <w:pPr>
        <w:pStyle w:val="Textonotapie"/>
        <w:ind w:firstLine="709"/>
        <w:jc w:val="both"/>
        <w:rPr>
          <w:rFonts w:ascii="Verdana" w:hAnsi="Verdana" w:cs="Arial"/>
          <w:color w:val="000000" w:themeColor="text1"/>
          <w:sz w:val="14"/>
          <w:szCs w:val="14"/>
        </w:rPr>
      </w:pPr>
    </w:p>
    <w:p w14:paraId="2C17F3B1" w14:textId="77777777" w:rsidR="00C03AF4" w:rsidRPr="0041492A" w:rsidRDefault="00C03AF4" w:rsidP="00C03AF4">
      <w:pPr>
        <w:pStyle w:val="Textonotapie"/>
        <w:ind w:firstLine="709"/>
        <w:jc w:val="both"/>
        <w:rPr>
          <w:rFonts w:ascii="Verdana" w:hAnsi="Verdana" w:cs="Arial"/>
          <w:color w:val="000000" w:themeColor="text1"/>
          <w:sz w:val="14"/>
          <w:szCs w:val="14"/>
        </w:rPr>
      </w:pPr>
      <w:r w:rsidRPr="0041492A">
        <w:rPr>
          <w:rStyle w:val="Refdenotaalpie"/>
          <w:rFonts w:ascii="Verdana" w:hAnsi="Verdana" w:cs="Arial"/>
          <w:color w:val="000000" w:themeColor="text1"/>
          <w:sz w:val="14"/>
          <w:szCs w:val="14"/>
        </w:rPr>
        <w:footnoteRef/>
      </w:r>
      <w:r w:rsidRPr="0041492A">
        <w:rPr>
          <w:rFonts w:ascii="Verdana" w:hAnsi="Verdana" w:cs="Arial"/>
          <w:color w:val="000000" w:themeColor="text1"/>
          <w:sz w:val="14"/>
          <w:szCs w:val="14"/>
        </w:rPr>
        <w:t xml:space="preserve"> Consejo de Estado. Sección Tercera. Subsección C. Auto del 14 de agosto de 2017. Exp. 58.820. C.P. Jaime Orlando Santofimio Gamboa. </w:t>
      </w:r>
    </w:p>
    <w:p w14:paraId="2DEC9B14" w14:textId="77777777" w:rsidR="00C03AF4" w:rsidRPr="0041492A" w:rsidRDefault="00C03AF4" w:rsidP="00C03AF4">
      <w:pPr>
        <w:pStyle w:val="Textonotapie"/>
        <w:ind w:firstLine="709"/>
        <w:jc w:val="both"/>
        <w:rPr>
          <w:rFonts w:ascii="Verdana" w:hAnsi="Verdana" w:cs="Arial"/>
          <w:color w:val="000000" w:themeColor="text1"/>
          <w:sz w:val="14"/>
          <w:szCs w:val="14"/>
          <w:lang w:val="es-CO"/>
        </w:rPr>
      </w:pPr>
    </w:p>
  </w:footnote>
  <w:footnote w:id="10">
    <w:p w14:paraId="69061692" w14:textId="77777777" w:rsidR="00C03AF4" w:rsidRPr="0041492A" w:rsidRDefault="00C03AF4" w:rsidP="00C03AF4">
      <w:pPr>
        <w:pStyle w:val="Textonotapie"/>
        <w:ind w:firstLine="709"/>
        <w:jc w:val="both"/>
        <w:rPr>
          <w:rFonts w:ascii="Verdana" w:hAnsi="Verdana" w:cs="Arial"/>
          <w:sz w:val="14"/>
          <w:szCs w:val="14"/>
        </w:rPr>
      </w:pPr>
      <w:r w:rsidRPr="0041492A">
        <w:rPr>
          <w:rStyle w:val="Refdenotaalpie"/>
          <w:rFonts w:ascii="Verdana" w:hAnsi="Verdana" w:cs="Arial"/>
          <w:sz w:val="14"/>
          <w:szCs w:val="14"/>
        </w:rPr>
        <w:footnoteRef/>
      </w:r>
      <w:r w:rsidRPr="0041492A">
        <w:rPr>
          <w:rFonts w:ascii="Verdana" w:hAnsi="Verdana" w:cs="Arial"/>
          <w:sz w:val="14"/>
          <w:szCs w:val="14"/>
        </w:rPr>
        <w:t xml:space="preserve"> Ibíd.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CC3BF" w14:textId="77777777" w:rsidR="003B3684" w:rsidRDefault="003B3684">
    <w:pPr>
      <w:pStyle w:val="Encabezado"/>
    </w:pPr>
    <w:r>
      <w:rPr>
        <w:rFonts w:ascii="Geomanist Bold" w:hAnsi="Geomanist Bold"/>
        <w:b/>
        <w:bCs/>
        <w:noProof/>
        <w:color w:val="002060"/>
        <w:sz w:val="24"/>
        <w:szCs w:val="24"/>
      </w:rPr>
      <w:drawing>
        <wp:anchor distT="0" distB="0" distL="114300" distR="114300" simplePos="0" relativeHeight="251658241" behindDoc="1" locked="0" layoutInCell="1" allowOverlap="1" wp14:anchorId="672B9DA7" wp14:editId="0F4BF580">
          <wp:simplePos x="0" y="0"/>
          <wp:positionH relativeFrom="margin">
            <wp:align>center</wp:align>
          </wp:positionH>
          <wp:positionV relativeFrom="paragraph">
            <wp:posOffset>-345440</wp:posOffset>
          </wp:positionV>
          <wp:extent cx="1924050" cy="856004"/>
          <wp:effectExtent l="0" t="0" r="0" b="1270"/>
          <wp:wrapNone/>
          <wp:docPr id="1309089902" name="Imagen 130908990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8240" behindDoc="0" locked="0" layoutInCell="1" allowOverlap="1" wp14:anchorId="7015DD34" wp14:editId="11D40C74">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7E0E2EA8" w14:textId="77777777" w:rsidR="003B3684" w:rsidRDefault="003B3684">
    <w:pPr>
      <w:pStyle w:val="Encabezado"/>
    </w:pPr>
  </w:p>
  <w:p w14:paraId="0120CCAF" w14:textId="77777777" w:rsidR="003B3684" w:rsidRDefault="003B3684" w:rsidP="004A305D">
    <w:pPr>
      <w:spacing w:after="0"/>
      <w:rPr>
        <w:rFonts w:ascii="Verdana" w:hAnsi="Verdana"/>
        <w:b/>
        <w:bCs/>
      </w:rPr>
    </w:pPr>
  </w:p>
  <w:p w14:paraId="62590D8B" w14:textId="77777777" w:rsidR="003B3684" w:rsidRPr="004A305D" w:rsidRDefault="003B3684" w:rsidP="00B01B1A">
    <w:pPr>
      <w:spacing w:after="0" w:line="120" w:lineRule="auto"/>
      <w:rPr>
        <w:rFonts w:ascii="Century Gothic" w:eastAsia="Geo" w:hAnsi="Century Gothic" w:cs="Geo"/>
        <w:sz w:val="16"/>
        <w:szCs w:val="16"/>
        <w:lang w:eastAsia="es-CO"/>
      </w:rPr>
    </w:pPr>
  </w:p>
  <w:p w14:paraId="0D6981A4" w14:textId="77777777" w:rsidR="003B3684" w:rsidRDefault="003B3684"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AF4"/>
    <w:rsid w:val="00124F5F"/>
    <w:rsid w:val="00175E6F"/>
    <w:rsid w:val="002F417E"/>
    <w:rsid w:val="00322A15"/>
    <w:rsid w:val="003B3684"/>
    <w:rsid w:val="00641964"/>
    <w:rsid w:val="00757B26"/>
    <w:rsid w:val="008E185E"/>
    <w:rsid w:val="00A24E20"/>
    <w:rsid w:val="00B55AD0"/>
    <w:rsid w:val="00C03AF4"/>
    <w:rsid w:val="00C10A3F"/>
    <w:rsid w:val="00C559FD"/>
    <w:rsid w:val="00F14A88"/>
    <w:rsid w:val="061C3C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72D95"/>
  <w15:chartTrackingRefBased/>
  <w15:docId w15:val="{D1676F80-5F64-4D2B-AD28-9DC7FE56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AF4"/>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3A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3AF4"/>
    <w:rPr>
      <w:kern w:val="0"/>
      <w14:ligatures w14:val="none"/>
    </w:rPr>
  </w:style>
  <w:style w:type="paragraph" w:styleId="Piedepgina">
    <w:name w:val="footer"/>
    <w:basedOn w:val="Normal"/>
    <w:link w:val="PiedepginaCar"/>
    <w:uiPriority w:val="99"/>
    <w:unhideWhenUsed/>
    <w:rsid w:val="00C03A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3AF4"/>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C03AF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C03AF4"/>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C03AF4"/>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C03AF4"/>
    <w:rPr>
      <w:vertAlign w:val="superscript"/>
    </w:rPr>
  </w:style>
  <w:style w:type="table" w:styleId="Tablaconcuadrcula">
    <w:name w:val="Table Grid"/>
    <w:basedOn w:val="Tablanormal"/>
    <w:uiPriority w:val="39"/>
    <w:qFormat/>
    <w:rsid w:val="00C03A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C03AF4"/>
    <w:pPr>
      <w:ind w:left="720"/>
      <w:contextualSpacing/>
    </w:pPr>
    <w:rPr>
      <w:rFonts w:ascii="Geomanist Light" w:hAnsi="Geomanist Light"/>
      <w:lang w:val="es-ES"/>
    </w:rPr>
  </w:style>
  <w:style w:type="character" w:styleId="Hipervnculo">
    <w:name w:val="Hyperlink"/>
    <w:basedOn w:val="Fuentedeprrafopredeter"/>
    <w:uiPriority w:val="99"/>
    <w:unhideWhenUsed/>
    <w:rsid w:val="00C03AF4"/>
    <w:rPr>
      <w:color w:val="0000FF"/>
      <w:u w:val="single"/>
    </w:rPr>
  </w:style>
  <w:style w:type="table" w:customStyle="1" w:styleId="Tablaconcuadrcula1">
    <w:name w:val="Tabla con cuadrícula1"/>
    <w:basedOn w:val="Tablanormal"/>
    <w:next w:val="Tablaconcuadrcula"/>
    <w:uiPriority w:val="59"/>
    <w:rsid w:val="00C03AF4"/>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C03AF4"/>
    <w:rPr>
      <w:rFonts w:ascii="Geomanist Light" w:hAnsi="Geomanist Light"/>
      <w:kern w:val="0"/>
      <w:lang w:val="es-ES"/>
      <w14:ligatures w14:val="none"/>
    </w:rPr>
  </w:style>
  <w:style w:type="paragraph" w:customStyle="1" w:styleId="Appelnotedebasde">
    <w:name w:val="Appel note de bas de..."/>
    <w:basedOn w:val="Normal"/>
    <w:link w:val="Refdenotaalpie"/>
    <w:uiPriority w:val="99"/>
    <w:rsid w:val="00C03AF4"/>
    <w:pPr>
      <w:spacing w:line="240" w:lineRule="exact"/>
    </w:pPr>
    <w:rPr>
      <w:kern w:val="2"/>
      <w:vertAlign w:val="superscrip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olombiacompra.gov.co/sites/cce_public/files/files_2020/boletin_de_realtoria_iii.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latoria.colombiacompra.gov.co/"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90B630-1E52-4319-963C-EF5A3B4CB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842F28-E563-4882-8E81-B14D078B4CAC}">
  <ds:schemaRefs>
    <ds:schemaRef ds:uri="http://purl.org/dc/terms/"/>
    <ds:schemaRef ds:uri="9d85dbaf-23eb-4e57-a637-93dcacc8b1a1"/>
    <ds:schemaRef ds:uri="http://purl.org/dc/dcmitype/"/>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6cb9e4b-f1d1-4245-83ec-6cad768d538a"/>
    <ds:schemaRef ds:uri="http://schemas.microsoft.com/office/2006/metadata/properties"/>
  </ds:schemaRefs>
</ds:datastoreItem>
</file>

<file path=customXml/itemProps3.xml><?xml version="1.0" encoding="utf-8"?>
<ds:datastoreItem xmlns:ds="http://schemas.openxmlformats.org/officeDocument/2006/customXml" ds:itemID="{0500DFAF-9BD9-432C-918B-D57AC6344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3647</Words>
  <Characters>20063</Characters>
  <Application>Microsoft Office Word</Application>
  <DocSecurity>0</DocSecurity>
  <Lines>167</Lines>
  <Paragraphs>47</Paragraphs>
  <ScaleCrop>false</ScaleCrop>
  <Company/>
  <LinksUpToDate>false</LinksUpToDate>
  <CharactersWithSpaces>23663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2024-10-03T00:03:00Z</dcterms:created>
  <dcterms:modified xsi:type="dcterms:W3CDTF">2024-10-03T00:03:00Z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