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F2476" w14:textId="77777777" w:rsidR="001742EF" w:rsidRPr="00914070" w:rsidRDefault="001742EF" w:rsidP="001742EF">
      <w:pPr>
        <w:spacing w:after="0" w:line="240" w:lineRule="auto"/>
        <w:jc w:val="both"/>
        <w:rPr>
          <w:rFonts w:ascii="Verdana" w:eastAsia="Calibri" w:hAnsi="Verdana" w:cs="Arial"/>
          <w:b/>
          <w:bCs/>
          <w:lang w:val="es-ES" w:eastAsia="es-ES"/>
        </w:rPr>
      </w:pPr>
      <w:bookmarkStart w:id="0" w:name="_Hlk143780582"/>
      <w:r w:rsidRPr="00914070">
        <w:rPr>
          <w:rFonts w:ascii="Verdana" w:eastAsia="Calibri" w:hAnsi="Verdana" w:cs="Arial"/>
          <w:b/>
          <w:bCs/>
          <w:lang w:val="es-ES" w:eastAsia="es-ES"/>
        </w:rPr>
        <w:t>SUBSANABILIDAD – Aplicación – R</w:t>
      </w:r>
      <w:r w:rsidRPr="00914070">
        <w:rPr>
          <w:rFonts w:ascii="Verdana" w:eastAsia="Calibri" w:hAnsi="Verdana"/>
          <w:b/>
          <w:bCs/>
          <w:lang w:val="es-ES" w:eastAsia="es-ES"/>
        </w:rPr>
        <w:t>egla general</w:t>
      </w:r>
      <w:r w:rsidRPr="00914070">
        <w:rPr>
          <w:rFonts w:ascii="Verdana" w:eastAsia="Calibri" w:hAnsi="Verdana" w:cs="Arial"/>
          <w:b/>
          <w:bCs/>
          <w:lang w:val="es-ES" w:eastAsia="es-ES"/>
        </w:rPr>
        <w:t xml:space="preserve"> – Excepciones </w:t>
      </w:r>
    </w:p>
    <w:p w14:paraId="5DB680FB" w14:textId="77777777" w:rsidR="001742EF" w:rsidRDefault="001742EF" w:rsidP="001742EF">
      <w:pPr>
        <w:spacing w:after="0" w:line="240" w:lineRule="auto"/>
        <w:jc w:val="both"/>
        <w:rPr>
          <w:rFonts w:ascii="Verdana" w:hAnsi="Verdana" w:cs="Arial"/>
          <w:noProof/>
          <w:sz w:val="20"/>
          <w:szCs w:val="20"/>
          <w:lang w:val="es-ES_tradnl"/>
        </w:rPr>
      </w:pPr>
    </w:p>
    <w:p w14:paraId="3D7F0D47" w14:textId="77777777" w:rsidR="001742EF" w:rsidRPr="00914070" w:rsidRDefault="001742EF" w:rsidP="001742EF">
      <w:pPr>
        <w:spacing w:after="0" w:line="240" w:lineRule="auto"/>
        <w:jc w:val="both"/>
        <w:rPr>
          <w:rFonts w:ascii="Verdana" w:eastAsia="Times New Roman" w:hAnsi="Verdana" w:cs="Arial"/>
          <w:sz w:val="20"/>
          <w:szCs w:val="20"/>
          <w:lang w:val="es-ES_tradnl" w:eastAsia="es-ES_tradnl"/>
        </w:rPr>
      </w:pPr>
      <w:r w:rsidRPr="00914070">
        <w:rPr>
          <w:rFonts w:ascii="Verdana" w:hAnsi="Verdana" w:cs="Arial"/>
          <w:noProof/>
          <w:sz w:val="20"/>
          <w:szCs w:val="20"/>
          <w:lang w:val="es-ES_tradnl"/>
        </w:rPr>
        <w:t>L</w:t>
      </w:r>
      <w:r w:rsidRPr="00914070">
        <w:rPr>
          <w:rFonts w:ascii="Verdana" w:eastAsia="Times New Roman" w:hAnsi="Verdana" w:cs="Arial"/>
          <w:sz w:val="20"/>
          <w:szCs w:val="20"/>
        </w:rPr>
        <w:t>a regla de la subsanabilidad de las ofertas en los procedimientos de selección</w:t>
      </w:r>
      <w:r w:rsidRPr="00914070">
        <w:rPr>
          <w:rFonts w:ascii="Verdana" w:eastAsia="Times New Roman" w:hAnsi="Verdana" w:cs="Arial"/>
          <w:b/>
          <w:bCs/>
          <w:sz w:val="20"/>
          <w:szCs w:val="20"/>
        </w:rPr>
        <w:t xml:space="preserve"> </w:t>
      </w:r>
      <w:r w:rsidRPr="00914070">
        <w:rPr>
          <w:rFonts w:ascii="Verdana" w:eastAsia="Times New Roman" w:hAnsi="Verdana" w:cs="Arial"/>
          <w:sz w:val="20"/>
          <w:szCs w:val="20"/>
          <w:lang w:val="es-ES_tradnl" w:eastAsia="es-ES_tradnl"/>
        </w:rPr>
        <w:t>indica que, por regla general, la falta de entrega y los defectos en la acreditación de los requisitos habilitantes son aspectos subsanables. La excepción a esta regla se encuentra en la prohibición de permitir la entrega de la garantía de seriedad de la oferta que no fue aportada con la propuesta y de valer la acreditación de circunstancias ocurridas con posterioridad al cierre del proceso.</w:t>
      </w:r>
    </w:p>
    <w:p w14:paraId="4E2D2C71" w14:textId="77777777" w:rsidR="001742EF" w:rsidRPr="00914070" w:rsidRDefault="001742EF" w:rsidP="001742EF">
      <w:pPr>
        <w:spacing w:after="0" w:line="240" w:lineRule="auto"/>
        <w:jc w:val="both"/>
        <w:rPr>
          <w:rFonts w:ascii="Verdana" w:eastAsia="Calibri" w:hAnsi="Verdana" w:cs="Arial"/>
          <w:sz w:val="20"/>
          <w:szCs w:val="20"/>
          <w:lang w:val="es-ES" w:eastAsia="es-ES"/>
        </w:rPr>
      </w:pPr>
    </w:p>
    <w:p w14:paraId="360EC81D" w14:textId="77777777" w:rsidR="001742EF" w:rsidRPr="00914070" w:rsidRDefault="001742EF" w:rsidP="001742EF">
      <w:pPr>
        <w:spacing w:after="0" w:line="240" w:lineRule="auto"/>
        <w:jc w:val="both"/>
        <w:rPr>
          <w:rFonts w:ascii="Verdana" w:eastAsia="Calibri" w:hAnsi="Verdana" w:cs="Arial"/>
          <w:b/>
          <w:bCs/>
          <w:lang w:val="es-ES" w:eastAsia="es-ES"/>
        </w:rPr>
      </w:pPr>
      <w:r w:rsidRPr="00914070">
        <w:rPr>
          <w:rFonts w:ascii="Verdana" w:eastAsia="Calibri" w:hAnsi="Verdana" w:cs="Arial"/>
          <w:b/>
          <w:bCs/>
          <w:lang w:val="es-ES" w:eastAsia="es-ES"/>
        </w:rPr>
        <w:t xml:space="preserve">SUBSANABILIDAD – Circunstancias posteriores – Cierre del proceso- Ley 1882 de 2018 </w:t>
      </w:r>
    </w:p>
    <w:p w14:paraId="701FCAF0" w14:textId="77777777" w:rsidR="001742EF" w:rsidRPr="00914070" w:rsidRDefault="001742EF" w:rsidP="001742EF">
      <w:pPr>
        <w:spacing w:after="0" w:line="240" w:lineRule="auto"/>
        <w:jc w:val="both"/>
        <w:rPr>
          <w:rFonts w:ascii="Verdana" w:eastAsia="Calibri" w:hAnsi="Verdana" w:cs="Arial"/>
          <w:sz w:val="20"/>
          <w:szCs w:val="20"/>
          <w:lang w:val="es-ES" w:eastAsia="es-ES"/>
        </w:rPr>
      </w:pPr>
    </w:p>
    <w:p w14:paraId="0EB94131" w14:textId="77777777" w:rsidR="001742EF" w:rsidRDefault="001742EF" w:rsidP="001742EF">
      <w:pPr>
        <w:spacing w:after="0" w:line="240" w:lineRule="auto"/>
        <w:jc w:val="both"/>
        <w:rPr>
          <w:rFonts w:ascii="Verdana" w:eastAsia="Times New Roman" w:hAnsi="Verdana" w:cs="Arial"/>
          <w:sz w:val="20"/>
          <w:szCs w:val="20"/>
          <w:lang w:val="es-ES_tradnl" w:eastAsia="es-ES_tradnl"/>
        </w:rPr>
      </w:pPr>
      <w:r w:rsidRPr="00914070">
        <w:rPr>
          <w:rFonts w:ascii="Verdana" w:eastAsia="Times New Roman" w:hAnsi="Verdana" w:cs="Arial"/>
          <w:sz w:val="20"/>
          <w:szCs w:val="20"/>
          <w:lang w:val="es-ES_tradnl" w:eastAsia="es-ES_tradnl"/>
        </w:rPr>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7406ACC5" w14:textId="77777777" w:rsidR="001742EF" w:rsidRPr="00914070" w:rsidRDefault="001742EF" w:rsidP="001742EF">
      <w:pPr>
        <w:spacing w:after="0" w:line="240" w:lineRule="auto"/>
        <w:jc w:val="both"/>
        <w:rPr>
          <w:rFonts w:ascii="Verdana" w:eastAsia="Times New Roman" w:hAnsi="Verdana" w:cs="Arial"/>
          <w:sz w:val="20"/>
          <w:szCs w:val="20"/>
          <w:lang w:val="es-ES_tradnl" w:eastAsia="es-ES_tradnl"/>
        </w:rPr>
      </w:pPr>
    </w:p>
    <w:p w14:paraId="3F1EF5B5" w14:textId="77777777" w:rsidR="001742EF" w:rsidRDefault="001742EF" w:rsidP="001742EF">
      <w:pPr>
        <w:spacing w:after="0" w:line="240" w:lineRule="auto"/>
        <w:jc w:val="both"/>
        <w:rPr>
          <w:rFonts w:ascii="Verdana" w:eastAsia="Times New Roman" w:hAnsi="Verdana" w:cs="Arial"/>
          <w:sz w:val="20"/>
          <w:szCs w:val="20"/>
          <w:lang w:val="es-ES" w:eastAsia="es-ES"/>
        </w:rPr>
      </w:pPr>
      <w:r w:rsidRPr="00914070">
        <w:rPr>
          <w:rFonts w:ascii="Verdana" w:eastAsia="Times New Roman" w:hAnsi="Verdana" w:cs="Arial"/>
          <w:sz w:val="20"/>
          <w:szCs w:val="20"/>
          <w:lang w:val="es-ES" w:eastAsia="es-ES"/>
        </w:rPr>
        <w:t xml:space="preserve">Un mejor entendimiento del significado de la expresión </w:t>
      </w:r>
      <w:r w:rsidRPr="00914070">
        <w:rPr>
          <w:rFonts w:ascii="Verdana" w:eastAsia="Times New Roman" w:hAnsi="Verdana" w:cs="Arial"/>
          <w:i/>
          <w:sz w:val="20"/>
          <w:szCs w:val="20"/>
          <w:lang w:val="es-ES" w:eastAsia="es-ES"/>
        </w:rPr>
        <w:t>“circunstancias ocurridas con posterioridad al cierre del proceso”</w:t>
      </w:r>
      <w:r w:rsidRPr="00914070">
        <w:rPr>
          <w:rFonts w:ascii="Verdana" w:eastAsia="Times New Roman" w:hAnsi="Verdana" w:cs="Arial"/>
          <w:sz w:val="20"/>
          <w:szCs w:val="20"/>
          <w:lang w:val="es-ES" w:eastAsia="es-ES"/>
        </w:rPr>
        <w:t xml:space="preserve"> implica distinguir entre la prueba de un hecho y el hecho mismo. En el caso de la subsanabilidad de las ofertas, una cosa es el requisito habilitante o el elemento de la propuesta y otra su prueba. Lo que prohíbe la norma es que se subsanen requisitos que no estaban materialmente cumplidos al momento de presentación de la oferta, o en palabras de la ley, que se acrediten hechos que ocurrieron después del cierre del proceso</w:t>
      </w:r>
      <w:r>
        <w:rPr>
          <w:rFonts w:ascii="Verdana" w:eastAsia="Times New Roman" w:hAnsi="Verdana" w:cs="Arial"/>
          <w:sz w:val="20"/>
          <w:szCs w:val="20"/>
          <w:lang w:val="es-ES" w:eastAsia="es-ES"/>
        </w:rPr>
        <w:t xml:space="preserve">. </w:t>
      </w:r>
    </w:p>
    <w:p w14:paraId="21C4E936" w14:textId="77777777" w:rsidR="001742EF" w:rsidRPr="00914070" w:rsidRDefault="001742EF" w:rsidP="001742EF">
      <w:pPr>
        <w:spacing w:after="0" w:line="240" w:lineRule="auto"/>
        <w:jc w:val="both"/>
        <w:rPr>
          <w:rFonts w:ascii="Verdana" w:eastAsia="Calibri" w:hAnsi="Verdana" w:cs="Arial"/>
          <w:sz w:val="20"/>
          <w:szCs w:val="20"/>
          <w:lang w:val="es-ES" w:eastAsia="es-ES"/>
        </w:rPr>
      </w:pPr>
    </w:p>
    <w:p w14:paraId="1A3388E6" w14:textId="77777777" w:rsidR="001742EF" w:rsidRPr="00914070" w:rsidRDefault="001742EF" w:rsidP="001742EF">
      <w:pPr>
        <w:spacing w:after="0" w:line="240" w:lineRule="auto"/>
        <w:jc w:val="both"/>
        <w:rPr>
          <w:rFonts w:ascii="Verdana" w:eastAsia="Calibri" w:hAnsi="Verdana" w:cs="Arial"/>
          <w:b/>
          <w:bCs/>
          <w:lang w:val="es-ES" w:eastAsia="es-ES"/>
        </w:rPr>
      </w:pPr>
      <w:r w:rsidRPr="00914070">
        <w:rPr>
          <w:rFonts w:ascii="Verdana" w:eastAsia="Calibri" w:hAnsi="Verdana" w:cs="Arial"/>
          <w:b/>
          <w:bCs/>
          <w:lang w:val="es-ES" w:eastAsia="es-ES"/>
        </w:rPr>
        <w:t>SUBSANABILIDAD – Concurso de méritos</w:t>
      </w:r>
    </w:p>
    <w:p w14:paraId="46178F95" w14:textId="77777777" w:rsidR="001742EF" w:rsidRDefault="001742EF" w:rsidP="001742EF">
      <w:pPr>
        <w:spacing w:after="0" w:line="240" w:lineRule="auto"/>
        <w:jc w:val="both"/>
        <w:rPr>
          <w:rFonts w:ascii="Verdana" w:eastAsia="Times New Roman" w:hAnsi="Verdana" w:cs="Arial"/>
          <w:sz w:val="20"/>
          <w:szCs w:val="20"/>
          <w:lang w:val="es-ES" w:eastAsia="es-ES"/>
        </w:rPr>
      </w:pPr>
    </w:p>
    <w:p w14:paraId="10EC3188" w14:textId="77777777" w:rsidR="001742EF" w:rsidRPr="00914070" w:rsidRDefault="001742EF" w:rsidP="001742EF">
      <w:pPr>
        <w:spacing w:after="0" w:line="240" w:lineRule="auto"/>
        <w:jc w:val="both"/>
        <w:rPr>
          <w:rFonts w:ascii="Verdana" w:eastAsia="Times New Roman" w:hAnsi="Verdana" w:cs="Arial"/>
          <w:sz w:val="20"/>
          <w:szCs w:val="20"/>
          <w:lang w:val="es-ES" w:eastAsia="es-ES"/>
        </w:rPr>
      </w:pPr>
      <w:r w:rsidRPr="00914070">
        <w:rPr>
          <w:rFonts w:ascii="Verdana" w:eastAsia="Times New Roman" w:hAnsi="Verdana" w:cs="Arial"/>
          <w:sz w:val="20"/>
          <w:szCs w:val="20"/>
          <w:lang w:val="es-ES" w:eastAsia="es-ES"/>
        </w:rPr>
        <w:t>Visto lo anterior, con miras a dar respuesta al problema jurídico planteado, debe decirse que, una vez verificada la ausencia de requisitos y/o documentos de la oferta, para efectos de saber si se pueden subsanar, la Administración se debe preguntar: en primer lugar, si lo que hace falta es un documento que afecte la asignación de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afecte la asignación de puntaje y la respuesta al segundo interrogante debe dar cuenta de que lo omitido sea la prueba de una circunstancia o hecho que ocurrió con anterioridad al cierre del proceso.</w:t>
      </w:r>
    </w:p>
    <w:p w14:paraId="5034DF2F" w14:textId="77777777" w:rsidR="001742EF" w:rsidRDefault="001742EF" w:rsidP="001742EF">
      <w:pPr>
        <w:spacing w:after="0" w:line="240" w:lineRule="auto"/>
        <w:jc w:val="both"/>
        <w:rPr>
          <w:rFonts w:ascii="Verdana" w:hAnsi="Verdana" w:cs="Arial"/>
          <w:noProof/>
          <w:sz w:val="20"/>
          <w:szCs w:val="20"/>
          <w:lang w:val="es-ES_tradnl"/>
        </w:rPr>
      </w:pPr>
    </w:p>
    <w:p w14:paraId="1762F16F" w14:textId="77777777" w:rsidR="001742EF" w:rsidRPr="00914070" w:rsidRDefault="001742EF" w:rsidP="001742EF">
      <w:pPr>
        <w:spacing w:after="0" w:line="240" w:lineRule="auto"/>
        <w:jc w:val="both"/>
        <w:rPr>
          <w:rFonts w:ascii="Verdana" w:hAnsi="Verdana" w:cs="Arial"/>
          <w:noProof/>
          <w:sz w:val="20"/>
          <w:szCs w:val="20"/>
          <w:lang w:val="es-ES_tradnl"/>
        </w:rPr>
      </w:pPr>
      <w:r w:rsidRPr="00914070">
        <w:rPr>
          <w:rFonts w:ascii="Verdana" w:hAnsi="Verdana" w:cs="Arial"/>
          <w:noProof/>
          <w:sz w:val="20"/>
          <w:szCs w:val="20"/>
          <w:lang w:val="es-ES_tradnl"/>
        </w:rPr>
        <w:t xml:space="preserve">En conclusion, los requisitos o documentos que no sean necesarios para la comparación de las ofertas pueden subsanarse y todo lo que no sea necesario para la comparación de propuestas no es título suficiente para su rechazo. En sentido, si en un concurso de méritos se presentó a un profesional para cumplir con un perfil solicitado como requisito habilitante, pero la entidad encontró alguna inconsistencia, podría subsanarse el requisito habilitante. </w:t>
      </w:r>
    </w:p>
    <w:p w14:paraId="5E590985" w14:textId="77777777" w:rsidR="001742EF" w:rsidRDefault="001742EF">
      <w:pPr>
        <w:rPr>
          <w:rFonts w:ascii="Verdana" w:hAnsi="Verdana"/>
        </w:rPr>
      </w:pPr>
      <w:r>
        <w:rPr>
          <w:rFonts w:ascii="Verdana" w:hAnsi="Verdana"/>
        </w:rPr>
        <w:br w:type="page"/>
      </w:r>
    </w:p>
    <w:p w14:paraId="3FE2184B" w14:textId="3E0B5A4A" w:rsidR="00E245AB" w:rsidRPr="0044528D" w:rsidRDefault="00E245AB" w:rsidP="00E245AB">
      <w:pPr>
        <w:spacing w:after="0"/>
        <w:rPr>
          <w:rFonts w:ascii="Verdana" w:hAnsi="Verdana"/>
        </w:rPr>
      </w:pPr>
      <w:r w:rsidRPr="0044528D">
        <w:rPr>
          <w:rFonts w:ascii="Verdana" w:hAnsi="Verdana"/>
        </w:rPr>
        <w:lastRenderedPageBreak/>
        <w:t xml:space="preserve">Bogotá D.C., </w:t>
      </w:r>
      <w:r w:rsidR="00B80EB2">
        <w:rPr>
          <w:rFonts w:ascii="Verdana" w:hAnsi="Verdana"/>
        </w:rPr>
        <w:t xml:space="preserve">19 de septiembre de 2024. </w:t>
      </w:r>
    </w:p>
    <w:p w14:paraId="5FCADBF9" w14:textId="42E579EC" w:rsidR="00E245AB" w:rsidRDefault="00B80EB2" w:rsidP="00B80EB2">
      <w:pPr>
        <w:spacing w:after="0"/>
        <w:jc w:val="right"/>
        <w:rPr>
          <w:rFonts w:ascii="Verdana" w:hAnsi="Verdana"/>
        </w:rPr>
      </w:pPr>
      <w:r w:rsidRPr="00B80EB2">
        <w:rPr>
          <w:rFonts w:ascii="Verdana" w:hAnsi="Verdana"/>
          <w:noProof/>
        </w:rPr>
        <w:drawing>
          <wp:inline distT="0" distB="0" distL="0" distR="0" wp14:anchorId="78832048" wp14:editId="2E9351EF">
            <wp:extent cx="3787588" cy="1094192"/>
            <wp:effectExtent l="0" t="0" r="3810" b="0"/>
            <wp:docPr id="13108393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839327" name=""/>
                    <pic:cNvPicPr/>
                  </pic:nvPicPr>
                  <pic:blipFill>
                    <a:blip r:embed="rId10"/>
                    <a:stretch>
                      <a:fillRect/>
                    </a:stretch>
                  </pic:blipFill>
                  <pic:spPr>
                    <a:xfrm>
                      <a:off x="0" y="0"/>
                      <a:ext cx="3800261" cy="1097853"/>
                    </a:xfrm>
                    <a:prstGeom prst="rect">
                      <a:avLst/>
                    </a:prstGeom>
                  </pic:spPr>
                </pic:pic>
              </a:graphicData>
            </a:graphic>
          </wp:inline>
        </w:drawing>
      </w:r>
    </w:p>
    <w:p w14:paraId="3557F547" w14:textId="77777777" w:rsidR="007F4029" w:rsidRPr="0063746A" w:rsidRDefault="007F4029" w:rsidP="007F4029">
      <w:pPr>
        <w:spacing w:after="0" w:line="240" w:lineRule="auto"/>
        <w:jc w:val="both"/>
        <w:rPr>
          <w:rFonts w:ascii="Verdana" w:eastAsia="Calibri" w:hAnsi="Verdana" w:cs="Arial"/>
          <w:lang w:val="es-ES" w:eastAsia="es-ES"/>
        </w:rPr>
      </w:pPr>
      <w:r w:rsidRPr="0063746A">
        <w:rPr>
          <w:rFonts w:ascii="Verdana" w:eastAsia="Calibri" w:hAnsi="Verdana" w:cs="Arial"/>
          <w:lang w:val="es-ES" w:eastAsia="es-ES"/>
        </w:rPr>
        <w:t>Señor</w:t>
      </w:r>
    </w:p>
    <w:p w14:paraId="0A69757F" w14:textId="77777777" w:rsidR="007F4029" w:rsidRPr="0063746A" w:rsidRDefault="007F4029" w:rsidP="007F4029">
      <w:pPr>
        <w:spacing w:after="0" w:line="240" w:lineRule="auto"/>
        <w:rPr>
          <w:rFonts w:ascii="Verdana" w:eastAsia="Calibri" w:hAnsi="Verdana" w:cs="Arial"/>
          <w:b/>
          <w:lang w:val="es-ES_tradnl" w:eastAsia="es-ES_tradnl"/>
        </w:rPr>
      </w:pPr>
      <w:r w:rsidRPr="0063746A">
        <w:rPr>
          <w:rFonts w:ascii="Verdana" w:eastAsia="Calibri" w:hAnsi="Verdana" w:cs="Arial"/>
          <w:b/>
          <w:lang w:val="es-ES_tradnl" w:eastAsia="es-ES_tradnl"/>
        </w:rPr>
        <w:t xml:space="preserve">Salim Antonio </w:t>
      </w:r>
      <w:proofErr w:type="spellStart"/>
      <w:r w:rsidRPr="0063746A">
        <w:rPr>
          <w:rFonts w:ascii="Verdana" w:eastAsia="Calibri" w:hAnsi="Verdana" w:cs="Arial"/>
          <w:b/>
          <w:lang w:val="es-ES_tradnl" w:eastAsia="es-ES_tradnl"/>
        </w:rPr>
        <w:t>Salon</w:t>
      </w:r>
      <w:proofErr w:type="spellEnd"/>
      <w:r w:rsidRPr="0063746A">
        <w:rPr>
          <w:rFonts w:ascii="Verdana" w:eastAsia="Calibri" w:hAnsi="Verdana" w:cs="Arial"/>
          <w:b/>
          <w:lang w:val="es-ES_tradnl" w:eastAsia="es-ES_tradnl"/>
        </w:rPr>
        <w:t xml:space="preserve"> </w:t>
      </w:r>
      <w:proofErr w:type="spellStart"/>
      <w:r w:rsidRPr="0063746A">
        <w:rPr>
          <w:rFonts w:ascii="Verdana" w:eastAsia="Calibri" w:hAnsi="Verdana" w:cs="Arial"/>
          <w:b/>
          <w:lang w:val="es-ES_tradnl" w:eastAsia="es-ES_tradnl"/>
        </w:rPr>
        <w:t>Rodriguez</w:t>
      </w:r>
      <w:proofErr w:type="spellEnd"/>
    </w:p>
    <w:p w14:paraId="0ACD2E4E" w14:textId="77777777" w:rsidR="007F4029" w:rsidRPr="0063746A" w:rsidRDefault="007F4029" w:rsidP="007F4029">
      <w:pPr>
        <w:spacing w:after="0" w:line="240" w:lineRule="auto"/>
        <w:rPr>
          <w:rFonts w:ascii="Verdana" w:eastAsia="Calibri" w:hAnsi="Verdana" w:cs="Arial"/>
          <w:b/>
          <w:bCs/>
          <w:lang w:val="es-ES" w:eastAsia="es-ES"/>
        </w:rPr>
      </w:pPr>
      <w:r w:rsidRPr="0063746A">
        <w:rPr>
          <w:rFonts w:ascii="Verdana" w:eastAsia="Calibri" w:hAnsi="Verdana" w:cs="Arial"/>
          <w:lang w:val="es-ES" w:eastAsia="es-ES"/>
        </w:rPr>
        <w:t>Bogotá D.C.</w:t>
      </w:r>
    </w:p>
    <w:p w14:paraId="7C761D68" w14:textId="77777777" w:rsidR="007F4029" w:rsidRPr="0063746A" w:rsidRDefault="007F4029" w:rsidP="007F4029">
      <w:pPr>
        <w:spacing w:after="0" w:line="240" w:lineRule="auto"/>
        <w:rPr>
          <w:rFonts w:ascii="Verdana" w:eastAsia="Calibri" w:hAnsi="Verdana" w:cs="Arial"/>
          <w:b/>
          <w:bCs/>
          <w:lang w:val="es-ES_tradnl" w:eastAsia="es-ES_tradnl"/>
        </w:rPr>
      </w:pPr>
    </w:p>
    <w:p w14:paraId="5A530C07" w14:textId="77777777" w:rsidR="007F4029" w:rsidRPr="0063746A" w:rsidRDefault="007F4029" w:rsidP="007F4029">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7F4029" w:rsidRPr="00C02E1B" w14:paraId="46CBC67B" w14:textId="77777777" w:rsidTr="00576AAE">
        <w:trPr>
          <w:trHeight w:val="243"/>
        </w:trPr>
        <w:tc>
          <w:tcPr>
            <w:tcW w:w="2689" w:type="dxa"/>
          </w:tcPr>
          <w:p w14:paraId="3F013C17" w14:textId="77777777" w:rsidR="007F4029" w:rsidRPr="0063746A" w:rsidRDefault="007F4029" w:rsidP="00576AAE">
            <w:pPr>
              <w:jc w:val="both"/>
              <w:rPr>
                <w:rFonts w:ascii="Verdana" w:eastAsia="Calibri" w:hAnsi="Verdana" w:cs="Arial"/>
                <w:b/>
                <w:bCs/>
                <w:lang w:val="es-ES_tradnl" w:eastAsia="es-ES_tradnl"/>
              </w:rPr>
            </w:pPr>
          </w:p>
        </w:tc>
        <w:tc>
          <w:tcPr>
            <w:tcW w:w="6100" w:type="dxa"/>
          </w:tcPr>
          <w:p w14:paraId="2D6B0623" w14:textId="77777777" w:rsidR="007F4029" w:rsidRPr="00C02E1B" w:rsidRDefault="007F4029" w:rsidP="00576AAE">
            <w:pPr>
              <w:jc w:val="both"/>
              <w:rPr>
                <w:rFonts w:ascii="Verdana" w:eastAsia="Calibri" w:hAnsi="Verdana" w:cs="Arial"/>
                <w:b/>
                <w:bCs/>
                <w:lang w:val="es-ES" w:eastAsia="es-ES"/>
              </w:rPr>
            </w:pPr>
            <w:r w:rsidRPr="00C02E1B">
              <w:rPr>
                <w:rFonts w:ascii="Verdana" w:eastAsia="Calibri" w:hAnsi="Verdana" w:cs="Arial"/>
                <w:b/>
                <w:bCs/>
                <w:lang w:val="es-ES" w:eastAsia="es-ES"/>
              </w:rPr>
              <w:t>Concepto C- 447 de 2024</w:t>
            </w:r>
          </w:p>
          <w:p w14:paraId="7DD74700" w14:textId="77777777" w:rsidR="007F4029" w:rsidRPr="00C02E1B" w:rsidRDefault="007F4029" w:rsidP="00576AAE">
            <w:pPr>
              <w:jc w:val="both"/>
              <w:rPr>
                <w:rFonts w:ascii="Verdana" w:eastAsia="Calibri" w:hAnsi="Verdana" w:cs="Arial"/>
                <w:b/>
                <w:bCs/>
                <w:lang w:val="es-ES" w:eastAsia="es-ES"/>
              </w:rPr>
            </w:pPr>
          </w:p>
        </w:tc>
      </w:tr>
      <w:tr w:rsidR="007F4029" w:rsidRPr="00C02E1B" w14:paraId="2A621FE8" w14:textId="77777777" w:rsidTr="00576AAE">
        <w:trPr>
          <w:trHeight w:val="884"/>
        </w:trPr>
        <w:tc>
          <w:tcPr>
            <w:tcW w:w="2689" w:type="dxa"/>
          </w:tcPr>
          <w:p w14:paraId="128A43B7" w14:textId="77777777" w:rsidR="007F4029" w:rsidRPr="0063746A" w:rsidRDefault="007F4029" w:rsidP="00576AAE">
            <w:pPr>
              <w:jc w:val="both"/>
              <w:rPr>
                <w:rFonts w:ascii="Verdana" w:eastAsia="Calibri" w:hAnsi="Verdana" w:cs="Arial"/>
                <w:lang w:val="es-ES_tradnl" w:eastAsia="es-ES_tradnl"/>
              </w:rPr>
            </w:pPr>
            <w:r w:rsidRPr="0063746A">
              <w:rPr>
                <w:rFonts w:ascii="Verdana" w:eastAsia="Calibri" w:hAnsi="Verdana" w:cs="Arial"/>
                <w:b/>
                <w:lang w:val="es-ES_tradnl" w:eastAsia="es-ES_tradnl"/>
              </w:rPr>
              <w:t>Temas:</w:t>
            </w:r>
            <w:r w:rsidRPr="0063746A">
              <w:rPr>
                <w:rFonts w:ascii="Verdana" w:eastAsia="Calibri" w:hAnsi="Verdana" w:cs="Arial"/>
                <w:lang w:val="es-ES_tradnl" w:eastAsia="es-ES_tradnl"/>
              </w:rPr>
              <w:t xml:space="preserve">                   </w:t>
            </w:r>
          </w:p>
        </w:tc>
        <w:tc>
          <w:tcPr>
            <w:tcW w:w="6100" w:type="dxa"/>
          </w:tcPr>
          <w:p w14:paraId="5D546D97" w14:textId="40BC9B4E" w:rsidR="007F4029" w:rsidRPr="00C02E1B" w:rsidRDefault="007F4029" w:rsidP="00576AAE">
            <w:pPr>
              <w:jc w:val="both"/>
              <w:rPr>
                <w:rFonts w:ascii="Verdana" w:eastAsia="Calibri" w:hAnsi="Verdana" w:cs="Arial"/>
                <w:lang w:val="es-ES" w:eastAsia="es-ES"/>
              </w:rPr>
            </w:pPr>
            <w:r w:rsidRPr="00C02E1B">
              <w:rPr>
                <w:rFonts w:ascii="Verdana" w:eastAsia="Calibri" w:hAnsi="Verdana" w:cs="Arial"/>
                <w:lang w:val="es-ES" w:eastAsia="es-ES"/>
              </w:rPr>
              <w:t>SUBSANABILIDAD –</w:t>
            </w:r>
            <w:r w:rsidR="00BF72DF" w:rsidRPr="00C02E1B">
              <w:rPr>
                <w:rFonts w:ascii="Verdana" w:eastAsia="Calibri" w:hAnsi="Verdana" w:cs="Arial"/>
                <w:lang w:val="es-ES" w:eastAsia="es-ES"/>
              </w:rPr>
              <w:t xml:space="preserve"> </w:t>
            </w:r>
            <w:r w:rsidRPr="00C02E1B">
              <w:rPr>
                <w:rFonts w:ascii="Verdana" w:eastAsia="Calibri" w:hAnsi="Verdana" w:cs="Arial"/>
                <w:lang w:val="es-ES" w:eastAsia="es-ES"/>
              </w:rPr>
              <w:t xml:space="preserve">Aplicación – </w:t>
            </w:r>
            <w:r w:rsidR="00D02612" w:rsidRPr="00C02E1B">
              <w:rPr>
                <w:rFonts w:ascii="Verdana" w:eastAsia="Calibri" w:hAnsi="Verdana" w:cs="Arial"/>
                <w:lang w:val="es-ES" w:eastAsia="es-ES"/>
              </w:rPr>
              <w:t>R</w:t>
            </w:r>
            <w:r w:rsidR="00D02612" w:rsidRPr="00C02E1B">
              <w:rPr>
                <w:rFonts w:ascii="Verdana" w:eastAsia="Calibri" w:hAnsi="Verdana"/>
                <w:lang w:val="es-ES" w:eastAsia="es-ES"/>
              </w:rPr>
              <w:t>egla general</w:t>
            </w:r>
            <w:r w:rsidRPr="00C02E1B">
              <w:rPr>
                <w:rFonts w:ascii="Verdana" w:eastAsia="Calibri" w:hAnsi="Verdana" w:cs="Arial"/>
                <w:lang w:val="es-ES" w:eastAsia="es-ES"/>
              </w:rPr>
              <w:t xml:space="preserve"> –</w:t>
            </w:r>
            <w:r w:rsidR="00D02612" w:rsidRPr="00C02E1B">
              <w:rPr>
                <w:rFonts w:ascii="Verdana" w:eastAsia="Calibri" w:hAnsi="Verdana" w:cs="Arial"/>
                <w:lang w:val="es-ES" w:eastAsia="es-ES"/>
              </w:rPr>
              <w:t xml:space="preserve"> Excepciones / SUBSANABILIDAD –</w:t>
            </w:r>
            <w:r w:rsidRPr="00C02E1B">
              <w:rPr>
                <w:rFonts w:ascii="Verdana" w:eastAsia="Calibri" w:hAnsi="Verdana" w:cs="Arial"/>
                <w:lang w:val="es-ES" w:eastAsia="es-ES"/>
              </w:rPr>
              <w:t xml:space="preserve"> Circunstancias posteriores – Cierre del proceso- Ley 1882 de 2018 / SUBSANABILIDAD – </w:t>
            </w:r>
            <w:r w:rsidR="00D02612" w:rsidRPr="00C02E1B">
              <w:rPr>
                <w:rFonts w:ascii="Verdana" w:eastAsia="Calibri" w:hAnsi="Verdana" w:cs="Arial"/>
                <w:lang w:val="es-ES" w:eastAsia="es-ES"/>
              </w:rPr>
              <w:t>Concurso de méritos</w:t>
            </w:r>
          </w:p>
          <w:p w14:paraId="0AFD16D8" w14:textId="77777777" w:rsidR="007F4029" w:rsidRPr="00C02E1B" w:rsidRDefault="007F4029" w:rsidP="00576AAE">
            <w:pPr>
              <w:jc w:val="both"/>
              <w:rPr>
                <w:rFonts w:ascii="Verdana" w:eastAsia="Calibri" w:hAnsi="Verdana" w:cs="Arial"/>
                <w:lang w:val="es-ES" w:eastAsia="es-ES"/>
              </w:rPr>
            </w:pPr>
          </w:p>
        </w:tc>
      </w:tr>
      <w:tr w:rsidR="007F4029" w:rsidRPr="00C02E1B" w14:paraId="01815685" w14:textId="77777777" w:rsidTr="00576AAE">
        <w:trPr>
          <w:trHeight w:val="377"/>
        </w:trPr>
        <w:tc>
          <w:tcPr>
            <w:tcW w:w="2689" w:type="dxa"/>
          </w:tcPr>
          <w:p w14:paraId="116ECD0B" w14:textId="77777777" w:rsidR="007F4029" w:rsidRPr="0063746A" w:rsidRDefault="007F4029" w:rsidP="00576AAE">
            <w:pPr>
              <w:jc w:val="both"/>
              <w:rPr>
                <w:rFonts w:ascii="Verdana" w:eastAsia="Calibri" w:hAnsi="Verdana" w:cs="Arial"/>
                <w:b/>
                <w:lang w:val="es-ES_tradnl" w:eastAsia="es-ES_tradnl"/>
              </w:rPr>
            </w:pPr>
            <w:r w:rsidRPr="0063746A">
              <w:rPr>
                <w:rFonts w:ascii="Verdana" w:eastAsia="Calibri" w:hAnsi="Verdana" w:cs="Arial"/>
                <w:b/>
                <w:lang w:val="es-ES_tradnl" w:eastAsia="es-ES_tradnl"/>
              </w:rPr>
              <w:t>Radicación:</w:t>
            </w:r>
            <w:r w:rsidRPr="0063746A">
              <w:rPr>
                <w:rFonts w:ascii="Verdana" w:eastAsia="Calibri" w:hAnsi="Verdana" w:cs="Arial"/>
                <w:lang w:val="es-ES_tradnl" w:eastAsia="es-ES_tradnl"/>
              </w:rPr>
              <w:t xml:space="preserve">               </w:t>
            </w:r>
          </w:p>
        </w:tc>
        <w:tc>
          <w:tcPr>
            <w:tcW w:w="6100" w:type="dxa"/>
          </w:tcPr>
          <w:p w14:paraId="62BCD697" w14:textId="77777777" w:rsidR="007F4029" w:rsidRPr="00C02E1B" w:rsidRDefault="007F4029" w:rsidP="00576AAE">
            <w:pPr>
              <w:jc w:val="both"/>
              <w:rPr>
                <w:rFonts w:ascii="Verdana" w:hAnsi="Verdana" w:cs="Calibri"/>
              </w:rPr>
            </w:pPr>
            <w:r w:rsidRPr="00C02E1B">
              <w:rPr>
                <w:rFonts w:ascii="Verdana" w:eastAsia="Calibri" w:hAnsi="Verdana" w:cs="Arial"/>
                <w:lang w:val="es-ES_tradnl" w:eastAsia="es-ES_tradnl"/>
              </w:rPr>
              <w:t xml:space="preserve">Respuesta a consulta con radicado No. </w:t>
            </w:r>
            <w:r w:rsidRPr="00C02E1B">
              <w:rPr>
                <w:rFonts w:ascii="Verdana" w:hAnsi="Verdana" w:cs="Calibri"/>
              </w:rPr>
              <w:t>P20240806008051</w:t>
            </w:r>
          </w:p>
        </w:tc>
      </w:tr>
    </w:tbl>
    <w:p w14:paraId="59E0E2DD" w14:textId="77777777" w:rsidR="007F4029" w:rsidRPr="0063746A" w:rsidRDefault="007F4029" w:rsidP="007F4029">
      <w:pPr>
        <w:spacing w:after="0" w:line="276" w:lineRule="auto"/>
        <w:jc w:val="both"/>
        <w:rPr>
          <w:rFonts w:ascii="Verdana" w:eastAsia="Calibri" w:hAnsi="Verdana" w:cs="Arial"/>
          <w:lang w:val="es-ES_tradnl" w:eastAsia="es-ES_tradnl"/>
        </w:rPr>
      </w:pPr>
    </w:p>
    <w:p w14:paraId="236C1B1E" w14:textId="77777777" w:rsidR="007F4029" w:rsidRPr="0063746A" w:rsidRDefault="007F4029" w:rsidP="007F4029">
      <w:pPr>
        <w:spacing w:after="0" w:line="276" w:lineRule="auto"/>
        <w:jc w:val="both"/>
        <w:rPr>
          <w:rFonts w:ascii="Verdana" w:eastAsia="Calibri" w:hAnsi="Verdana" w:cs="Arial"/>
          <w:lang w:val="es-ES_tradnl" w:eastAsia="es-ES_tradnl"/>
        </w:rPr>
      </w:pPr>
    </w:p>
    <w:p w14:paraId="0559233F" w14:textId="77777777" w:rsidR="007F4029" w:rsidRPr="0063746A" w:rsidRDefault="007F4029" w:rsidP="007F4029">
      <w:pPr>
        <w:spacing w:after="0" w:line="276" w:lineRule="auto"/>
        <w:jc w:val="both"/>
        <w:rPr>
          <w:rFonts w:ascii="Verdana" w:eastAsia="Calibri" w:hAnsi="Verdana" w:cs="Arial"/>
          <w:lang w:val="es-ES" w:eastAsia="es-ES"/>
        </w:rPr>
      </w:pPr>
      <w:r w:rsidRPr="0063746A">
        <w:rPr>
          <w:rFonts w:ascii="Verdana" w:eastAsia="Calibri" w:hAnsi="Verdana" w:cs="Arial"/>
          <w:lang w:val="es-ES" w:eastAsia="es-ES"/>
        </w:rPr>
        <w:t xml:space="preserve">Estimado señor </w:t>
      </w:r>
      <w:proofErr w:type="spellStart"/>
      <w:r w:rsidRPr="0063746A">
        <w:rPr>
          <w:rFonts w:ascii="Verdana" w:eastAsia="Calibri" w:hAnsi="Verdana" w:cs="Arial"/>
          <w:lang w:val="es-ES_tradnl" w:eastAsia="es-ES_tradnl"/>
        </w:rPr>
        <w:t>Salon</w:t>
      </w:r>
      <w:proofErr w:type="spellEnd"/>
      <w:r w:rsidRPr="0063746A">
        <w:rPr>
          <w:rFonts w:ascii="Verdana" w:eastAsia="Calibri" w:hAnsi="Verdana" w:cs="Arial"/>
          <w:lang w:val="es-ES_tradnl" w:eastAsia="es-ES_tradnl"/>
        </w:rPr>
        <w:t xml:space="preserve"> </w:t>
      </w:r>
      <w:proofErr w:type="spellStart"/>
      <w:r w:rsidRPr="0063746A">
        <w:rPr>
          <w:rFonts w:ascii="Verdana" w:eastAsia="Calibri" w:hAnsi="Verdana" w:cs="Arial"/>
          <w:lang w:val="es-ES_tradnl" w:eastAsia="es-ES_tradnl"/>
        </w:rPr>
        <w:t>Rodriguez</w:t>
      </w:r>
      <w:proofErr w:type="spellEnd"/>
      <w:r w:rsidRPr="0063746A">
        <w:rPr>
          <w:rFonts w:ascii="Verdana" w:eastAsia="Calibri" w:hAnsi="Verdana" w:cs="Arial"/>
          <w:lang w:val="es-ES" w:eastAsia="es-ES"/>
        </w:rPr>
        <w:t xml:space="preserve">: </w:t>
      </w:r>
    </w:p>
    <w:p w14:paraId="47A9D717" w14:textId="77777777" w:rsidR="007F4029" w:rsidRPr="0063746A" w:rsidRDefault="007F4029" w:rsidP="007F4029">
      <w:pPr>
        <w:tabs>
          <w:tab w:val="left" w:pos="3768"/>
        </w:tabs>
        <w:spacing w:after="0" w:line="276" w:lineRule="auto"/>
        <w:jc w:val="both"/>
        <w:rPr>
          <w:rFonts w:ascii="Verdana" w:eastAsia="Calibri" w:hAnsi="Verdana" w:cs="Arial"/>
          <w:lang w:val="es-ES" w:eastAsia="es-ES"/>
        </w:rPr>
      </w:pPr>
      <w:r w:rsidRPr="0063746A">
        <w:rPr>
          <w:rFonts w:ascii="Verdana" w:eastAsia="Calibri" w:hAnsi="Verdana" w:cs="Arial"/>
          <w:lang w:val="es-ES" w:eastAsia="es-ES"/>
        </w:rPr>
        <w:tab/>
      </w:r>
    </w:p>
    <w:p w14:paraId="59AD77D4" w14:textId="77777777" w:rsidR="007F4029" w:rsidRPr="0063746A" w:rsidRDefault="007F4029" w:rsidP="007F4029">
      <w:pPr>
        <w:spacing w:after="0" w:line="276" w:lineRule="auto"/>
        <w:jc w:val="both"/>
        <w:rPr>
          <w:rFonts w:ascii="Verdana" w:eastAsia="Calibri" w:hAnsi="Verdana" w:cs="Arial"/>
          <w:lang w:val="es-ES" w:eastAsia="es-ES"/>
        </w:rPr>
      </w:pPr>
      <w:r w:rsidRPr="0063746A">
        <w:rPr>
          <w:rFonts w:ascii="Verdana" w:eastAsia="Calibri" w:hAnsi="Verdana" w:cs="Arial"/>
          <w:lang w:val="es-ES" w:eastAsia="es-ES"/>
        </w:rPr>
        <w:t>En ejercicio de la competencia otorgada por los artículos 3, numeral 5º, y 11, numeral 8º, del Decreto Ley 4170 de 2011,</w:t>
      </w:r>
      <w:r w:rsidRPr="0063746A">
        <w:rPr>
          <w:rFonts w:ascii="Verdana" w:eastAsia="Arial MT" w:hAnsi="Verdana" w:cs="Arial MT"/>
          <w:lang w:val="es-ES" w:eastAsia="es-ES"/>
        </w:rPr>
        <w:t xml:space="preserve"> </w:t>
      </w:r>
      <w:r w:rsidRPr="0063746A">
        <w:rPr>
          <w:rFonts w:ascii="Verdana" w:hAnsi="Verdana" w:cs="Arial"/>
        </w:rPr>
        <w:t xml:space="preserve">así como lo establecido en el artículo 4 de la Resolución 1707 de 2018 expedida por esta Entidad, </w:t>
      </w:r>
      <w:r w:rsidRPr="0063746A">
        <w:rPr>
          <w:rFonts w:ascii="Verdana" w:eastAsia="Calibri" w:hAnsi="Verdana" w:cs="Arial"/>
          <w:lang w:val="es-ES" w:eastAsia="es-ES"/>
        </w:rPr>
        <w:t xml:space="preserve">la Agencia Nacional de Contratación Pública – Colombia Compra Eficiente– responde su solicitud de consulta de fecha 6 de agosto de 2024, en la cual manifiesta lo siguiente: </w:t>
      </w:r>
    </w:p>
    <w:p w14:paraId="6EDADE1F" w14:textId="77777777" w:rsidR="007F4029" w:rsidRPr="0063746A" w:rsidRDefault="007F4029" w:rsidP="007F4029">
      <w:pPr>
        <w:pStyle w:val="Prrafodelista"/>
        <w:tabs>
          <w:tab w:val="left" w:pos="142"/>
          <w:tab w:val="left" w:pos="284"/>
        </w:tabs>
        <w:spacing w:line="276" w:lineRule="auto"/>
        <w:ind w:left="0"/>
        <w:contextualSpacing w:val="0"/>
        <w:jc w:val="both"/>
        <w:rPr>
          <w:rFonts w:ascii="Verdana" w:eastAsia="Century Gothic" w:hAnsi="Verdana" w:cs="Century Gothic"/>
          <w:b/>
          <w:bCs/>
        </w:rPr>
      </w:pPr>
    </w:p>
    <w:p w14:paraId="5D8850DB" w14:textId="77777777" w:rsidR="007F4029" w:rsidRPr="00CA2545" w:rsidRDefault="007F4029" w:rsidP="007F4029">
      <w:pPr>
        <w:spacing w:after="0" w:line="240" w:lineRule="auto"/>
        <w:ind w:left="709" w:right="709"/>
        <w:jc w:val="both"/>
        <w:rPr>
          <w:rFonts w:ascii="Verdana" w:eastAsia="Century Gothic" w:hAnsi="Verdana" w:cs="Century Gothic"/>
          <w:sz w:val="20"/>
          <w:szCs w:val="20"/>
          <w:lang w:val="es-ES"/>
        </w:rPr>
      </w:pPr>
      <w:bookmarkStart w:id="1" w:name="_Hlk95313578"/>
      <w:r w:rsidRPr="00CA2545">
        <w:rPr>
          <w:rFonts w:ascii="Verdana" w:eastAsia="Century Gothic" w:hAnsi="Verdana" w:cs="Century Gothic"/>
          <w:sz w:val="20"/>
          <w:szCs w:val="20"/>
          <w:lang w:val="es-ES"/>
        </w:rPr>
        <w:t>“</w:t>
      </w:r>
      <w:r w:rsidRPr="00CA2545">
        <w:rPr>
          <w:rStyle w:val="normaltextrun"/>
          <w:rFonts w:ascii="Verdana" w:hAnsi="Verdana" w:cs="Arial"/>
          <w:sz w:val="20"/>
          <w:szCs w:val="20"/>
          <w:shd w:val="clear" w:color="auto" w:fill="FFFFFF"/>
          <w:lang w:val="es-ES"/>
        </w:rPr>
        <w:t>En un concurso de méritos, se presentó a un profesional para cumplir con un perfil solicitado como requisito habilitante, es decir, este perfil no daba puntos adicionales. Durante la evaluación, la entidad advierte que el profesional no cumple con los requisitos. ¿Puede el proponente cambiar a este profesional por otro que sí cumpla, o esto se considera una mejora de la oferta?:</w:t>
      </w:r>
      <w:r w:rsidRPr="00CA2545">
        <w:rPr>
          <w:rFonts w:ascii="Verdana" w:eastAsia="Century Gothic" w:hAnsi="Verdana" w:cs="Century Gothic"/>
          <w:sz w:val="20"/>
          <w:szCs w:val="20"/>
          <w:lang w:val="es-ES"/>
        </w:rPr>
        <w:t>”</w:t>
      </w:r>
      <w:bookmarkEnd w:id="1"/>
      <w:r w:rsidRPr="00CA2545">
        <w:rPr>
          <w:rFonts w:ascii="Verdana" w:eastAsia="Century Gothic" w:hAnsi="Verdana" w:cs="Century Gothic"/>
          <w:sz w:val="20"/>
          <w:szCs w:val="20"/>
          <w:lang w:val="es-ES"/>
        </w:rPr>
        <w:t>.</w:t>
      </w:r>
    </w:p>
    <w:p w14:paraId="5192DCAA" w14:textId="77777777" w:rsidR="007F4029" w:rsidRPr="00CA2545" w:rsidRDefault="007F4029" w:rsidP="007F4029">
      <w:pPr>
        <w:pStyle w:val="Prrafodelista"/>
        <w:tabs>
          <w:tab w:val="left" w:pos="142"/>
          <w:tab w:val="left" w:pos="284"/>
        </w:tabs>
        <w:spacing w:line="276" w:lineRule="auto"/>
        <w:ind w:left="0"/>
        <w:jc w:val="both"/>
        <w:rPr>
          <w:rFonts w:ascii="Verdana" w:eastAsia="Century Gothic" w:hAnsi="Verdana" w:cs="Century Gothic"/>
          <w:b/>
          <w:bCs/>
        </w:rPr>
      </w:pPr>
    </w:p>
    <w:p w14:paraId="0A28504F" w14:textId="77777777" w:rsidR="007F4029" w:rsidRPr="00CA2545" w:rsidRDefault="007F4029" w:rsidP="007F4029">
      <w:pPr>
        <w:spacing w:after="120" w:line="276" w:lineRule="auto"/>
        <w:jc w:val="both"/>
        <w:rPr>
          <w:rFonts w:ascii="Verdana" w:eastAsia="Calibri" w:hAnsi="Verdana" w:cs="Arial"/>
          <w:color w:val="000000"/>
          <w:lang w:val="es-ES_tradnl" w:eastAsia="es-ES_tradnl"/>
        </w:rPr>
      </w:pPr>
      <w:r w:rsidRPr="00CA2545">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w:t>
      </w:r>
      <w:r w:rsidRPr="00CA2545">
        <w:rPr>
          <w:rFonts w:ascii="Verdana" w:eastAsia="Calibri" w:hAnsi="Verdana" w:cs="Arial"/>
          <w:color w:val="000000"/>
          <w:lang w:val="es-ES" w:eastAsia="es-ES"/>
        </w:rPr>
        <w:lastRenderedPageBreak/>
        <w:t xml:space="preserve">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CA2545">
        <w:rPr>
          <w:rFonts w:ascii="Verdana" w:eastAsia="Calibri" w:hAnsi="Verdana" w:cs="Arial"/>
          <w:color w:val="000000"/>
          <w:lang w:val="es-ES_tradnl" w:eastAsia="es-ES_tradnl"/>
        </w:rPr>
        <w:tab/>
      </w:r>
    </w:p>
    <w:p w14:paraId="479DA56A" w14:textId="77777777" w:rsidR="007F4029" w:rsidRPr="00CA2545" w:rsidRDefault="007F4029" w:rsidP="007F4029">
      <w:pPr>
        <w:spacing w:after="0" w:line="276" w:lineRule="auto"/>
        <w:ind w:firstLine="709"/>
        <w:jc w:val="both"/>
        <w:rPr>
          <w:rFonts w:ascii="Verdana" w:eastAsia="Calibri" w:hAnsi="Verdana" w:cs="Arial"/>
          <w:color w:val="000000"/>
          <w:lang w:val="es-ES" w:eastAsia="es-ES"/>
        </w:rPr>
      </w:pPr>
      <w:r w:rsidRPr="00CA2545">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w:t>
      </w:r>
      <w:r>
        <w:rPr>
          <w:rFonts w:ascii="Verdana" w:eastAsia="Calibri" w:hAnsi="Verdana" w:cs="Arial"/>
          <w:color w:val="000000"/>
          <w:lang w:val="es-ES" w:eastAsia="es-ES"/>
        </w:rPr>
        <w:t>e</w:t>
      </w:r>
      <w:r w:rsidRPr="00CA2545">
        <w:rPr>
          <w:rFonts w:ascii="Verdana" w:eastAsia="Calibri" w:hAnsi="Verdana" w:cs="Arial"/>
          <w:color w:val="7030A0"/>
          <w:lang w:val="es-ES" w:eastAsia="es-ES"/>
        </w:rPr>
        <w:t xml:space="preserve">l </w:t>
      </w:r>
      <w:r w:rsidRPr="00CA2545">
        <w:rPr>
          <w:rFonts w:ascii="Verdana" w:eastAsia="Calibri" w:hAnsi="Verdana" w:cs="Arial"/>
          <w:color w:val="000000"/>
          <w:lang w:val="es-ES" w:eastAsia="es-ES"/>
        </w:rPr>
        <w:t>problema</w:t>
      </w:r>
      <w:r w:rsidRPr="00CA2545">
        <w:rPr>
          <w:rFonts w:ascii="Verdana" w:eastAsia="Calibri" w:hAnsi="Verdana" w:cs="Arial"/>
          <w:color w:val="7030A0"/>
          <w:lang w:val="es-ES" w:eastAsia="es-ES"/>
        </w:rPr>
        <w:t xml:space="preserve"> </w:t>
      </w:r>
      <w:r w:rsidRPr="00CA2545">
        <w:rPr>
          <w:rFonts w:ascii="Verdana" w:eastAsia="Calibri" w:hAnsi="Verdana" w:cs="Arial"/>
          <w:color w:val="000000"/>
          <w:lang w:val="es-ES" w:eastAsia="es-ES"/>
        </w:rPr>
        <w:t>jurídico</w:t>
      </w:r>
      <w:r w:rsidRPr="00CA2545">
        <w:rPr>
          <w:rFonts w:ascii="Verdana" w:eastAsia="Calibri" w:hAnsi="Verdana" w:cs="Arial"/>
          <w:color w:val="7030A0"/>
          <w:lang w:val="es-ES" w:eastAsia="es-ES"/>
        </w:rPr>
        <w:t xml:space="preserve"> </w:t>
      </w:r>
      <w:r w:rsidRPr="00CA2545">
        <w:rPr>
          <w:rFonts w:ascii="Verdana" w:eastAsia="Calibri" w:hAnsi="Verdana" w:cs="Arial"/>
          <w:color w:val="000000"/>
          <w:lang w:val="es-ES" w:eastAsia="es-ES"/>
        </w:rPr>
        <w:t xml:space="preserve">de su consulta. </w:t>
      </w:r>
    </w:p>
    <w:p w14:paraId="05DFAEA0" w14:textId="77777777" w:rsidR="007F4029" w:rsidRPr="00CA2545" w:rsidRDefault="007F4029" w:rsidP="007F4029">
      <w:pPr>
        <w:spacing w:after="0" w:line="276" w:lineRule="auto"/>
        <w:ind w:firstLine="709"/>
        <w:jc w:val="both"/>
        <w:rPr>
          <w:rFonts w:ascii="Verdana" w:eastAsia="Calibri" w:hAnsi="Verdana" w:cs="Arial"/>
          <w:color w:val="000000"/>
          <w:lang w:val="es-ES" w:eastAsia="es-ES"/>
        </w:rPr>
      </w:pPr>
    </w:p>
    <w:p w14:paraId="713ADECD" w14:textId="77777777" w:rsidR="007F4029" w:rsidRPr="00C75C5C" w:rsidRDefault="007F4029" w:rsidP="007F402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C75C5C">
        <w:rPr>
          <w:rFonts w:ascii="Verdana" w:eastAsia="Century Gothic" w:hAnsi="Verdana" w:cs="Century Gothic"/>
          <w:b/>
          <w:bCs/>
        </w:rPr>
        <w:t>Problema planteado:</w:t>
      </w:r>
    </w:p>
    <w:p w14:paraId="7A8264E4" w14:textId="77777777" w:rsidR="007F4029" w:rsidRPr="00C75C5C" w:rsidRDefault="007F4029" w:rsidP="007F4029">
      <w:pPr>
        <w:tabs>
          <w:tab w:val="left" w:pos="426"/>
        </w:tabs>
        <w:spacing w:after="0" w:line="276" w:lineRule="auto"/>
        <w:jc w:val="both"/>
        <w:rPr>
          <w:rFonts w:ascii="Verdana" w:eastAsia="Century Gothic" w:hAnsi="Verdana" w:cs="Century Gothic"/>
          <w:lang w:val="es-ES"/>
        </w:rPr>
      </w:pPr>
    </w:p>
    <w:p w14:paraId="776579EF" w14:textId="77777777" w:rsidR="007F4029" w:rsidRDefault="007F4029" w:rsidP="007F4029">
      <w:pPr>
        <w:spacing w:after="0" w:line="276" w:lineRule="auto"/>
        <w:jc w:val="both"/>
        <w:rPr>
          <w:rFonts w:ascii="Verdana" w:eastAsia="Century Gothic" w:hAnsi="Verdana" w:cs="Century Gothic"/>
        </w:rPr>
      </w:pPr>
      <w:r w:rsidRPr="00C75C5C">
        <w:rPr>
          <w:rFonts w:ascii="Verdana" w:eastAsia="Century Gothic" w:hAnsi="Verdana" w:cs="Century Gothic"/>
        </w:rPr>
        <w:t>De acuerdo con el contenido de su solicitud, esta Agencia resolverá el siguiente problema jurídico: ¿Qué requisitos son subsanables en los diferentes procesos de selección, según lo dispuesto en el Estatuto General de la Contratación de la Administración Pública – en adelante EGCAP?</w:t>
      </w:r>
      <w:r>
        <w:rPr>
          <w:rFonts w:ascii="Verdana" w:eastAsia="Century Gothic" w:hAnsi="Verdana" w:cs="Century Gothic"/>
        </w:rPr>
        <w:t xml:space="preserve"> </w:t>
      </w:r>
    </w:p>
    <w:p w14:paraId="0B03B073" w14:textId="77777777" w:rsidR="007F4029" w:rsidRPr="00384705" w:rsidRDefault="007F4029" w:rsidP="007F4029">
      <w:pPr>
        <w:spacing w:after="0" w:line="276" w:lineRule="auto"/>
        <w:jc w:val="both"/>
        <w:rPr>
          <w:rFonts w:ascii="Verdana" w:eastAsia="Calibri" w:hAnsi="Verdana" w:cs="Arial"/>
          <w:color w:val="7030A0"/>
        </w:rPr>
      </w:pPr>
    </w:p>
    <w:p w14:paraId="2794F18A" w14:textId="77777777" w:rsidR="007F4029" w:rsidRPr="00B74530" w:rsidRDefault="007F4029" w:rsidP="007F402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B74530">
        <w:rPr>
          <w:rFonts w:ascii="Verdana" w:eastAsia="Century Gothic" w:hAnsi="Verdana" w:cs="Century Gothic"/>
          <w:b/>
          <w:bCs/>
        </w:rPr>
        <w:t>Respuesta:</w:t>
      </w:r>
    </w:p>
    <w:p w14:paraId="1802F2BB" w14:textId="77777777" w:rsidR="007F4029" w:rsidRPr="00DE4E8C" w:rsidRDefault="007F4029" w:rsidP="007F4029">
      <w:pPr>
        <w:tabs>
          <w:tab w:val="left" w:pos="142"/>
          <w:tab w:val="left" w:pos="284"/>
        </w:tabs>
        <w:spacing w:after="0" w:line="276" w:lineRule="auto"/>
        <w:jc w:val="both"/>
        <w:rPr>
          <w:rFonts w:ascii="Verdana" w:eastAsia="Century Gothic" w:hAnsi="Verdana" w:cs="Century Gothic"/>
          <w:b/>
          <w:bCs/>
          <w:highlight w:val="yellow"/>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7F4029" w:rsidRPr="00593A5F" w14:paraId="1567D36B" w14:textId="77777777" w:rsidTr="00576AAE">
        <w:tc>
          <w:tcPr>
            <w:tcW w:w="8828" w:type="dxa"/>
            <w:shd w:val="clear" w:color="auto" w:fill="auto"/>
          </w:tcPr>
          <w:p w14:paraId="4426C13B" w14:textId="77777777" w:rsidR="007F4029" w:rsidRPr="001A10D9" w:rsidRDefault="007F4029" w:rsidP="00576AAE">
            <w:pPr>
              <w:spacing w:after="120" w:line="276" w:lineRule="auto"/>
              <w:jc w:val="both"/>
              <w:rPr>
                <w:rFonts w:ascii="Verdana" w:eastAsia="Calibri" w:hAnsi="Verdana" w:cs="Arial"/>
              </w:rPr>
            </w:pPr>
            <w:r w:rsidRPr="001A10D9">
              <w:rPr>
                <w:rFonts w:ascii="Verdana" w:eastAsia="Calibri" w:hAnsi="Verdana" w:cs="Arial"/>
              </w:rPr>
              <w:t xml:space="preserve">La regla de subsanabilidad, prevista en el artículo 5 de la Ley 1150 de 2007, es un mecanismo previsto en los procesos de contratación estatal que se regulan por el EGCAP, según la cual los </w:t>
            </w:r>
            <w:proofErr w:type="spellStart"/>
            <w:r w:rsidRPr="001A10D9">
              <w:rPr>
                <w:rFonts w:ascii="Verdana" w:eastAsia="Calibri" w:hAnsi="Verdana" w:cs="Arial"/>
              </w:rPr>
              <w:t>proponentespueden</w:t>
            </w:r>
            <w:proofErr w:type="spellEnd"/>
            <w:r w:rsidRPr="001A10D9">
              <w:rPr>
                <w:rFonts w:ascii="Verdana" w:eastAsia="Calibri" w:hAnsi="Verdana" w:cs="Arial"/>
              </w:rPr>
              <w:t xml:space="preserve"> enmendar, corregir o modificar los errores en los que se incurre en los documentos contentivos de la oferta. </w:t>
            </w:r>
          </w:p>
          <w:p w14:paraId="1DCFD159" w14:textId="77777777" w:rsidR="007F4029" w:rsidRPr="001A10D9" w:rsidRDefault="007F4029" w:rsidP="00576AAE">
            <w:pPr>
              <w:spacing w:after="120" w:line="276" w:lineRule="auto"/>
              <w:ind w:firstLine="708"/>
              <w:jc w:val="both"/>
              <w:rPr>
                <w:rFonts w:ascii="Verdana" w:eastAsia="Times New Roman" w:hAnsi="Verdana" w:cs="Arial"/>
                <w:i/>
                <w:lang w:val="es-ES" w:eastAsia="es-ES"/>
              </w:rPr>
            </w:pPr>
            <w:r w:rsidRPr="001A10D9">
              <w:rPr>
                <w:rFonts w:ascii="Verdana" w:hAnsi="Verdana" w:cs="Arial"/>
                <w:noProof/>
                <w:lang w:val="es-ES_tradnl"/>
              </w:rPr>
              <w:t xml:space="preserve">Conforme a las reglas de subsanabilidad, los requisitos o documentos que no sean necesarios para la comparación de las ofertas pueden subsanarse y todo lo que no sea necesario para la comparación de propuestas no es título suficiente para su rechazo. </w:t>
            </w:r>
          </w:p>
          <w:p w14:paraId="489EFFCD" w14:textId="77777777" w:rsidR="007F4029" w:rsidRPr="001A10D9" w:rsidRDefault="007F4029" w:rsidP="00576AAE">
            <w:pPr>
              <w:spacing w:after="120" w:line="276" w:lineRule="auto"/>
              <w:ind w:firstLine="709"/>
              <w:jc w:val="both"/>
              <w:rPr>
                <w:rFonts w:ascii="Verdana" w:eastAsia="Times New Roman" w:hAnsi="Verdana" w:cs="Arial"/>
                <w:lang w:val="es-ES_tradnl" w:eastAsia="es-ES_tradnl"/>
              </w:rPr>
            </w:pPr>
            <w:r w:rsidRPr="001A10D9">
              <w:rPr>
                <w:rFonts w:ascii="Verdana" w:eastAsia="Times New Roman" w:hAnsi="Verdana" w:cs="Arial"/>
                <w:lang w:val="es-ES_tradnl" w:eastAsia="es-ES_tradnl"/>
              </w:rPr>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w:t>
            </w:r>
            <w:r w:rsidRPr="001A10D9">
              <w:rPr>
                <w:rFonts w:ascii="Verdana" w:eastAsia="Times New Roman" w:hAnsi="Verdana" w:cs="Arial"/>
                <w:lang w:val="es-ES_tradnl" w:eastAsia="es-ES_tradnl"/>
              </w:rPr>
              <w:lastRenderedPageBreak/>
              <w:t xml:space="preserve">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16C8255B" w14:textId="77777777" w:rsidR="007F4029" w:rsidRPr="001A10D9" w:rsidRDefault="007F4029" w:rsidP="00576AAE">
            <w:pPr>
              <w:spacing w:after="120" w:line="276" w:lineRule="auto"/>
              <w:ind w:firstLine="709"/>
              <w:jc w:val="both"/>
              <w:rPr>
                <w:rFonts w:ascii="Verdana" w:eastAsia="Times New Roman" w:hAnsi="Verdana" w:cs="Arial"/>
                <w:lang w:val="es-ES" w:eastAsia="es-ES"/>
              </w:rPr>
            </w:pPr>
            <w:r w:rsidRPr="001A10D9">
              <w:rPr>
                <w:rFonts w:ascii="Verdana" w:eastAsia="Times New Roman" w:hAnsi="Verdana" w:cs="Arial"/>
                <w:lang w:val="es-ES" w:eastAsia="es-ES"/>
              </w:rPr>
              <w:t>Visto lo anterior, con miras a dar respuesta al problema jurídico planteado, debe decirse que, una vez verificada la ausencia de requisitos y/o documentos de la oferta, para efectos de saber si se pueden subsanar, la Administración se debe preguntar: en primer lugar, si lo que hace falta es un documento que afecte la asignación de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afecte la asignación de puntaje y la respuesta al segundo interrogante debe dar cuenta de que lo omitido sea la prueba de una circunstancia o hecho que ocurrió con anterioridad al cierre del proceso.</w:t>
            </w:r>
          </w:p>
          <w:p w14:paraId="174DCB49" w14:textId="77777777" w:rsidR="007F4029" w:rsidRPr="001A10D9" w:rsidRDefault="007F4029" w:rsidP="00576AAE">
            <w:pPr>
              <w:spacing w:after="120" w:line="276" w:lineRule="auto"/>
              <w:ind w:firstLine="709"/>
              <w:jc w:val="both"/>
              <w:rPr>
                <w:rFonts w:ascii="Verdana" w:hAnsi="Verdana" w:cs="Arial"/>
                <w:noProof/>
                <w:lang w:val="es-ES_tradnl"/>
              </w:rPr>
            </w:pPr>
            <w:r w:rsidRPr="001A10D9">
              <w:rPr>
                <w:rFonts w:ascii="Verdana" w:hAnsi="Verdana" w:cs="Arial"/>
                <w:noProof/>
                <w:lang w:val="es-ES_tradnl"/>
              </w:rPr>
              <w:t xml:space="preserve">En conclusion, los requisitos o documentos que no sean necesarios para la comparación de las ofertas pueden subsanarse y todo lo que no sea necesario para la comparación de propuestas no es título suficiente para su rechazo. En sentido, si en un concurso de méritos se presentó a un profesional para cumplir con un perfil solicitado como requisito habilitante, pero la entidad encontró alguna inconsistencia, podría subsanarse el requisito habilitante. </w:t>
            </w:r>
          </w:p>
          <w:p w14:paraId="1E7C5DFA" w14:textId="77777777" w:rsidR="007F4029" w:rsidRPr="003716E2" w:rsidRDefault="007F4029" w:rsidP="00576AAE">
            <w:pPr>
              <w:spacing w:after="120" w:line="276" w:lineRule="auto"/>
              <w:ind w:firstLine="709"/>
              <w:jc w:val="both"/>
              <w:rPr>
                <w:rFonts w:ascii="Verdana" w:hAnsi="Verdana" w:cs="Arial"/>
                <w:noProof/>
                <w:lang w:val="es-ES_tradnl"/>
              </w:rPr>
            </w:pPr>
            <w:r w:rsidRPr="001A10D9">
              <w:rPr>
                <w:rFonts w:ascii="Verdana" w:hAnsi="Verdana" w:cs="Arial"/>
                <w:noProof/>
                <w:lang w:val="es-ES_tradnl"/>
              </w:rPr>
              <w:t>No obstante, a la luz del artículo 5 de la Ley 1882 de 2018, lo subsanable es la prueba de todas las circunstancias ocurridas antes del vencimiento del término para presentar las ofertas, pues una cosa es el requisito habilitante o el elemento de la propuesta y otra su prueba. De tal modo que lo que prohíbe la norma es que se subsanen requisitos que no estaban materialmente cumplidos al momento de presentación de la oferta, o en palabras de la ley, que se acrediten hechos que ocurrieron después del cierre del proceso, por lo que dicha limitación a la regla de subsanabilidad también deberá ser tenida en cuenta.</w:t>
            </w:r>
          </w:p>
          <w:p w14:paraId="242E0AFA" w14:textId="77777777" w:rsidR="007F4029" w:rsidRPr="009B03BE" w:rsidRDefault="007F4029" w:rsidP="00576AAE">
            <w:pPr>
              <w:spacing w:line="276" w:lineRule="auto"/>
              <w:ind w:firstLine="709"/>
              <w:jc w:val="both"/>
              <w:rPr>
                <w:rFonts w:ascii="Verdana" w:eastAsia="Times New Roman" w:hAnsi="Verdana" w:cs="Arial"/>
                <w:i/>
                <w:lang w:val="es-ES" w:eastAsia="es-ES"/>
              </w:rPr>
            </w:pPr>
            <w:r w:rsidRPr="003716E2">
              <w:rPr>
                <w:rFonts w:ascii="Verdana" w:hAnsi="Verdana" w:cs="Arial"/>
                <w:noProof/>
                <w:lang w:val="es-ES_tradnl"/>
              </w:rPr>
              <w:t>Finalmente, debe señalarse que, e</w:t>
            </w:r>
            <w:r w:rsidRPr="003716E2">
              <w:rPr>
                <w:rFonts w:ascii="Verdana" w:hAnsi="Verdana" w:cs="Arial"/>
              </w:rPr>
              <w:t>n el concurso de méritos es posible que la Entidad en el pliego de condiciones haya establecido criterios de puntaje respecto de los mismos perfiles que se han exigido como habilitantes, en dicho caso será posible subsanar el requisito habilitante pero no podrá asignársele puntaje.</w:t>
            </w:r>
          </w:p>
        </w:tc>
      </w:tr>
    </w:tbl>
    <w:p w14:paraId="4B2664FF" w14:textId="77777777" w:rsidR="007F4029" w:rsidRPr="00593A5F" w:rsidRDefault="007F4029" w:rsidP="007F4029">
      <w:pPr>
        <w:tabs>
          <w:tab w:val="left" w:pos="142"/>
          <w:tab w:val="left" w:pos="284"/>
        </w:tabs>
        <w:spacing w:after="0" w:line="276" w:lineRule="auto"/>
        <w:jc w:val="both"/>
        <w:rPr>
          <w:rFonts w:ascii="Verdana" w:eastAsia="Century Gothic" w:hAnsi="Verdana" w:cs="Century Gothic"/>
          <w:b/>
          <w:bCs/>
          <w:lang w:val="es-ES"/>
        </w:rPr>
      </w:pPr>
    </w:p>
    <w:p w14:paraId="1AFD5C29" w14:textId="77777777" w:rsidR="007F4029" w:rsidRPr="00593A5F" w:rsidRDefault="007F4029" w:rsidP="007F402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04C55C5A" w14:textId="77777777" w:rsidR="007F4029" w:rsidRPr="00593A5F" w:rsidRDefault="007F4029" w:rsidP="007F4029">
      <w:pPr>
        <w:spacing w:after="0" w:line="276" w:lineRule="auto"/>
        <w:jc w:val="both"/>
        <w:rPr>
          <w:rFonts w:ascii="Verdana" w:eastAsia="Calibri" w:hAnsi="Verdana" w:cs="Arial"/>
          <w:color w:val="7030A0"/>
          <w:lang w:val="es-ES"/>
        </w:rPr>
      </w:pPr>
    </w:p>
    <w:p w14:paraId="227498CD" w14:textId="77777777" w:rsidR="007F4029" w:rsidRPr="00B96799" w:rsidRDefault="007F4029" w:rsidP="007F4029">
      <w:pPr>
        <w:spacing w:after="0" w:line="276" w:lineRule="auto"/>
        <w:jc w:val="both"/>
        <w:rPr>
          <w:rFonts w:ascii="Verdana" w:eastAsia="Calibri" w:hAnsi="Verdana" w:cs="Arial"/>
          <w:lang w:val="es-ES"/>
        </w:rPr>
      </w:pPr>
      <w:r w:rsidRPr="00B96799">
        <w:rPr>
          <w:rFonts w:ascii="Verdana" w:eastAsia="Calibri" w:hAnsi="Verdana" w:cs="Arial"/>
          <w:lang w:val="es-ES"/>
        </w:rPr>
        <w:t xml:space="preserve">Lo anterior se sustenta en las siguientes consideraciones: </w:t>
      </w:r>
    </w:p>
    <w:p w14:paraId="6E16BB79" w14:textId="77777777" w:rsidR="007F4029" w:rsidRDefault="007F4029" w:rsidP="007F4029">
      <w:pPr>
        <w:spacing w:after="0" w:line="276" w:lineRule="auto"/>
        <w:jc w:val="both"/>
        <w:rPr>
          <w:rFonts w:ascii="Verdana" w:eastAsia="Calibri" w:hAnsi="Verdana" w:cs="Arial"/>
          <w:lang w:val="es-ES" w:eastAsia="es-ES"/>
        </w:rPr>
      </w:pPr>
    </w:p>
    <w:p w14:paraId="79230A56" w14:textId="77777777" w:rsidR="007F4029" w:rsidRDefault="007F4029" w:rsidP="007F4029">
      <w:pPr>
        <w:spacing w:after="120" w:line="276" w:lineRule="auto"/>
        <w:jc w:val="both"/>
        <w:rPr>
          <w:rFonts w:ascii="Verdana" w:eastAsia="Times New Roman" w:hAnsi="Verdana" w:cs="Arial"/>
          <w:lang w:val="es-ES_tradnl" w:eastAsia="es-ES_tradnl"/>
        </w:rPr>
      </w:pPr>
      <w:r w:rsidRPr="00D16A5E">
        <w:rPr>
          <w:rFonts w:ascii="Verdana" w:hAnsi="Verdana" w:cs="Arial"/>
          <w:noProof/>
          <w:lang w:val="es-ES_tradnl"/>
        </w:rPr>
        <w:t>L</w:t>
      </w:r>
      <w:r w:rsidRPr="00D16A5E">
        <w:rPr>
          <w:rFonts w:ascii="Verdana" w:eastAsia="Times New Roman" w:hAnsi="Verdana" w:cs="Arial"/>
        </w:rPr>
        <w:t>a regla de la subsanabilidad de las ofertas en los procedimientos de selección</w:t>
      </w:r>
      <w:r w:rsidRPr="00D16A5E">
        <w:rPr>
          <w:rFonts w:ascii="Verdana" w:eastAsia="Times New Roman" w:hAnsi="Verdana" w:cs="Arial"/>
          <w:b/>
          <w:bCs/>
        </w:rPr>
        <w:t xml:space="preserve"> </w:t>
      </w:r>
      <w:r w:rsidRPr="00D16A5E">
        <w:rPr>
          <w:rFonts w:ascii="Verdana" w:eastAsia="Times New Roman" w:hAnsi="Verdana" w:cs="Arial"/>
          <w:lang w:val="es-ES_tradnl" w:eastAsia="es-ES_tradnl"/>
        </w:rPr>
        <w:t>indica que, por regla general, la falta de entrega y los defectos en la acreditación de los requisitos habilitantes son aspectos subsanables. La excepción</w:t>
      </w:r>
      <w:r>
        <w:rPr>
          <w:rFonts w:ascii="Verdana" w:eastAsia="Times New Roman" w:hAnsi="Verdana" w:cs="Arial"/>
          <w:lang w:val="es-ES_tradnl" w:eastAsia="es-ES_tradnl"/>
        </w:rPr>
        <w:t xml:space="preserve"> a esta regla </w:t>
      </w:r>
      <w:r w:rsidRPr="00D16A5E">
        <w:rPr>
          <w:rFonts w:ascii="Verdana" w:eastAsia="Times New Roman" w:hAnsi="Verdana" w:cs="Arial"/>
          <w:lang w:val="es-ES_tradnl" w:eastAsia="es-ES_tradnl"/>
        </w:rPr>
        <w:t>se encuentra en la prohibición de permitir la entrega de la garantía de seriedad de la oferta que no fue aportada con la propuesta y de valer la acreditación de circunstancias ocurridas con posterioridad al cierre del proceso.</w:t>
      </w:r>
    </w:p>
    <w:p w14:paraId="50508F56" w14:textId="77777777" w:rsidR="007F4029" w:rsidRPr="00447C67" w:rsidRDefault="007F4029" w:rsidP="007F4029">
      <w:pPr>
        <w:spacing w:after="120" w:line="276" w:lineRule="auto"/>
        <w:ind w:firstLine="708"/>
        <w:jc w:val="both"/>
        <w:rPr>
          <w:rFonts w:ascii="Verdana" w:eastAsia="Times New Roman" w:hAnsi="Verdana" w:cs="Arial"/>
          <w:lang w:val="es-ES_tradnl" w:eastAsia="es-ES_tradnl"/>
        </w:rPr>
      </w:pPr>
      <w:r>
        <w:rPr>
          <w:rFonts w:ascii="Verdana" w:eastAsia="Times New Roman" w:hAnsi="Verdana" w:cs="Arial"/>
          <w:lang w:val="es-ES_tradnl" w:eastAsia="es-ES_tradnl"/>
        </w:rPr>
        <w:t>L</w:t>
      </w:r>
      <w:r w:rsidRPr="00D16A5E">
        <w:rPr>
          <w:rFonts w:ascii="Verdana" w:eastAsia="Times New Roman" w:hAnsi="Verdana" w:cs="Arial"/>
          <w:lang w:val="es-ES_tradnl" w:eastAsia="es-ES_tradnl"/>
        </w:rPr>
        <w:t>a posibilidad de enmendar, corregir o subsanar los errores en los que se incurre en los documentos contentivos de la oferta es un tema que ha tenido diferentes momentos o etapas en el ordenamiento jurídico colombiano.</w:t>
      </w:r>
      <w:r>
        <w:rPr>
          <w:rFonts w:ascii="Verdana" w:eastAsia="Times New Roman" w:hAnsi="Verdana" w:cs="Arial"/>
          <w:lang w:val="es-ES_tradnl" w:eastAsia="es-ES_tradnl"/>
        </w:rPr>
        <w:t xml:space="preserve"> En atención a </w:t>
      </w:r>
      <w:r w:rsidRPr="00D16A5E">
        <w:rPr>
          <w:rFonts w:ascii="Verdana" w:eastAsia="Times New Roman" w:hAnsi="Verdana" w:cs="Arial"/>
          <w:lang w:val="es-ES" w:eastAsia="es-ES"/>
        </w:rPr>
        <w:t xml:space="preserve">lo anterior, a continuación, se hará referencia en forma general a los antecedentes de las diferentes posturas en torno a la subsanabilidad. </w:t>
      </w:r>
    </w:p>
    <w:p w14:paraId="3D97A717" w14:textId="77777777" w:rsidR="007F4029" w:rsidRPr="00D16A5E" w:rsidRDefault="007F4029" w:rsidP="007F4029">
      <w:pPr>
        <w:spacing w:after="120" w:line="276" w:lineRule="auto"/>
        <w:ind w:firstLine="708"/>
        <w:jc w:val="both"/>
        <w:rPr>
          <w:rFonts w:ascii="Verdana" w:eastAsia="Calibri" w:hAnsi="Verdana" w:cs="Arial"/>
          <w:lang w:val="es-ES" w:eastAsia="es-ES"/>
        </w:rPr>
      </w:pPr>
      <w:r w:rsidRPr="00D16A5E">
        <w:rPr>
          <w:rFonts w:ascii="Verdana" w:eastAsia="Times New Roman" w:hAnsi="Verdana" w:cs="Arial"/>
          <w:lang w:val="es-ES" w:eastAsia="es-ES"/>
        </w:rPr>
        <w:t xml:space="preserve">En un </w:t>
      </w:r>
      <w:r w:rsidRPr="00D16A5E">
        <w:rPr>
          <w:rFonts w:ascii="Verdana" w:eastAsia="Times New Roman" w:hAnsi="Verdana" w:cs="Arial"/>
          <w:i/>
          <w:lang w:val="es-ES" w:eastAsia="es-ES"/>
        </w:rPr>
        <w:t>primer momento</w:t>
      </w:r>
      <w:r w:rsidRPr="00D16A5E">
        <w:rPr>
          <w:rFonts w:ascii="Verdana" w:eastAsia="Times New Roman" w:hAnsi="Verdana" w:cs="Arial"/>
          <w:lang w:val="es-ES" w:eastAsia="es-ES"/>
        </w:rPr>
        <w:t xml:space="preserve">, antes de la entrada en vigor de la Constitución Política de 1991, el régimen jurídico de la subsanabilidad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7DF1F6D1" w14:textId="77777777" w:rsidR="007F4029" w:rsidRPr="00D16A5E" w:rsidRDefault="007F4029" w:rsidP="007F4029">
      <w:pPr>
        <w:spacing w:after="0" w:line="276" w:lineRule="auto"/>
        <w:ind w:firstLine="709"/>
        <w:jc w:val="both"/>
        <w:rPr>
          <w:rFonts w:ascii="Verdana" w:eastAsia="Times New Roman" w:hAnsi="Verdana" w:cs="Arial"/>
          <w:lang w:val="es-ES_tradnl" w:eastAsia="es-ES_tradnl"/>
        </w:rPr>
      </w:pPr>
      <w:r w:rsidRPr="00D16A5E">
        <w:rPr>
          <w:rFonts w:ascii="Verdana" w:eastAsia="Times New Roman" w:hAnsi="Verdana" w:cs="Arial"/>
          <w:lang w:val="es-ES_tradnl" w:eastAsia="es-ES_tradnl"/>
        </w:rPr>
        <w:t xml:space="preserve">En un </w:t>
      </w:r>
      <w:r w:rsidRPr="00D16A5E">
        <w:rPr>
          <w:rFonts w:ascii="Verdana" w:eastAsia="Times New Roman" w:hAnsi="Verdana" w:cs="Arial"/>
          <w:i/>
          <w:lang w:val="es-ES_tradnl" w:eastAsia="es-ES_tradnl"/>
        </w:rPr>
        <w:t>segundo momento</w:t>
      </w:r>
      <w:r w:rsidRPr="00D16A5E">
        <w:rPr>
          <w:rFonts w:ascii="Verdana" w:eastAsia="Times New Roman" w:hAnsi="Verdana" w:cs="Arial"/>
          <w:lang w:val="es-ES_tradnl" w:eastAsia="es-ES_tradnl"/>
        </w:rPr>
        <w:t xml:space="preserve"> se expidió la Ley 80 de 1993, bajo el nuevo paradigma que supuso la Constitución de 1991, particularmente en la forma como se relaciona lo formal y lo sustancial en las actuaciones judiciales y administrativas. Este cambio quedó consignado en el artículo 228, que introdujo un principio de supremacía o prevalencia del derecho sustancial sobre lo procedimental. En este nuevo escenario constitucional, el numeral 15 del artículo 25 de la Ley 80 de 1993 dispuso lo siguiente: </w:t>
      </w:r>
    </w:p>
    <w:p w14:paraId="4696AB7C" w14:textId="77777777" w:rsidR="007F4029" w:rsidRPr="00D16A5E" w:rsidRDefault="007F4029" w:rsidP="007F4029">
      <w:pPr>
        <w:spacing w:after="0" w:line="276" w:lineRule="auto"/>
        <w:ind w:firstLine="709"/>
        <w:jc w:val="both"/>
        <w:rPr>
          <w:rFonts w:ascii="Verdana" w:eastAsia="Times New Roman" w:hAnsi="Verdana" w:cs="Arial"/>
          <w:lang w:val="es-ES_tradnl" w:eastAsia="es-ES_tradnl"/>
        </w:rPr>
      </w:pPr>
    </w:p>
    <w:p w14:paraId="1D3D7BC1" w14:textId="77777777" w:rsidR="007F4029" w:rsidRPr="00DA349C" w:rsidRDefault="007F4029" w:rsidP="007F4029">
      <w:pPr>
        <w:spacing w:after="0" w:line="240" w:lineRule="auto"/>
        <w:ind w:left="709" w:right="709"/>
        <w:jc w:val="both"/>
        <w:rPr>
          <w:rFonts w:ascii="Verdana" w:eastAsia="Times New Roman" w:hAnsi="Verdana" w:cs="Arial"/>
          <w:sz w:val="20"/>
          <w:szCs w:val="20"/>
          <w:lang w:val="es-ES_tradnl" w:eastAsia="es-ES_tradnl"/>
        </w:rPr>
      </w:pPr>
      <w:r w:rsidRPr="00DA349C">
        <w:rPr>
          <w:rFonts w:ascii="Verdana" w:eastAsia="Times New Roman" w:hAnsi="Verdana" w:cs="Arial"/>
          <w:sz w:val="20"/>
          <w:szCs w:val="20"/>
          <w:lang w:val="es-ES_tradnl" w:eastAsia="es-ES_tradnl"/>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5AC16E6F" w14:textId="77777777" w:rsidR="007F4029" w:rsidRPr="00DA349C" w:rsidRDefault="007F4029" w:rsidP="007F4029">
      <w:pPr>
        <w:spacing w:after="0" w:line="240" w:lineRule="auto"/>
        <w:ind w:left="709" w:right="709"/>
        <w:jc w:val="both"/>
        <w:rPr>
          <w:rFonts w:ascii="Verdana" w:eastAsia="Times New Roman" w:hAnsi="Verdana" w:cs="Arial"/>
          <w:sz w:val="20"/>
          <w:szCs w:val="20"/>
          <w:lang w:val="es-ES_tradnl" w:eastAsia="es-ES_tradnl"/>
        </w:rPr>
      </w:pPr>
    </w:p>
    <w:p w14:paraId="49B67190" w14:textId="77777777" w:rsidR="007F4029" w:rsidRPr="00DA349C" w:rsidRDefault="007F4029" w:rsidP="007F4029">
      <w:pPr>
        <w:spacing w:after="0" w:line="240" w:lineRule="auto"/>
        <w:ind w:left="709" w:right="709"/>
        <w:jc w:val="both"/>
        <w:rPr>
          <w:rFonts w:ascii="Verdana" w:eastAsia="Times New Roman" w:hAnsi="Verdana" w:cs="Arial"/>
          <w:sz w:val="20"/>
          <w:szCs w:val="20"/>
          <w:lang w:val="es-ES_tradnl" w:eastAsia="es-ES_tradnl"/>
        </w:rPr>
      </w:pPr>
      <w:r w:rsidRPr="00DA349C">
        <w:rPr>
          <w:rFonts w:ascii="Verdana" w:eastAsia="Times New Roman" w:hAnsi="Verdana" w:cs="Arial"/>
          <w:sz w:val="20"/>
          <w:szCs w:val="20"/>
          <w:lang w:val="es-ES_tradnl" w:eastAsia="es-ES_tradnl"/>
        </w:rPr>
        <w:t xml:space="preserve">La ausencia de requisitos o la falta de documentos referentes a la futura contratación o al proponente, no necesarios para la comparación de </w:t>
      </w:r>
      <w:r w:rsidRPr="00DA349C">
        <w:rPr>
          <w:rFonts w:ascii="Verdana" w:eastAsia="Times New Roman" w:hAnsi="Verdana" w:cs="Arial"/>
          <w:sz w:val="20"/>
          <w:szCs w:val="20"/>
          <w:lang w:val="es-ES_tradnl" w:eastAsia="es-ES_tradnl"/>
        </w:rPr>
        <w:lastRenderedPageBreak/>
        <w:t xml:space="preserve">propuestas, no servirá de título suficiente para el rechazo de los ofrecimientos hechos. </w:t>
      </w:r>
    </w:p>
    <w:p w14:paraId="772F87F6" w14:textId="77777777" w:rsidR="007F4029" w:rsidRPr="00D16A5E" w:rsidRDefault="007F4029" w:rsidP="007F4029">
      <w:pPr>
        <w:spacing w:after="0" w:line="276" w:lineRule="auto"/>
        <w:ind w:left="709" w:right="709"/>
        <w:jc w:val="both"/>
        <w:rPr>
          <w:rFonts w:ascii="Verdana" w:eastAsia="Times New Roman" w:hAnsi="Verdana" w:cs="Arial"/>
          <w:lang w:val="es-ES_tradnl" w:eastAsia="es-ES_tradnl"/>
        </w:rPr>
      </w:pPr>
    </w:p>
    <w:p w14:paraId="757FE2B9" w14:textId="77777777" w:rsidR="007F4029" w:rsidRPr="00D16A5E" w:rsidRDefault="007F4029" w:rsidP="007F4029">
      <w:pPr>
        <w:spacing w:after="120" w:line="276" w:lineRule="auto"/>
        <w:ind w:firstLine="709"/>
        <w:jc w:val="both"/>
        <w:rPr>
          <w:rFonts w:ascii="Verdana" w:eastAsia="Times New Roman" w:hAnsi="Verdana" w:cs="Arial"/>
          <w:lang w:val="es-ES" w:eastAsia="es-ES"/>
        </w:rPr>
      </w:pPr>
      <w:r w:rsidRPr="00D16A5E">
        <w:rPr>
          <w:rFonts w:ascii="Verdana" w:eastAsia="Times New Roman" w:hAnsi="Verdana" w:cs="Arial"/>
          <w:lang w:val="es-ES" w:eastAsia="es-ES"/>
        </w:rPr>
        <w:t>Bajo el amparo de esta norma, el régimen jurídico de subsanabilidad de las ofertas sufre un cambio fundamental, pues ya no era posible rechazar las ofertas por falta de requisitos o documentos que no fueran “</w:t>
      </w:r>
      <w:r w:rsidRPr="00D16A5E">
        <w:rPr>
          <w:rFonts w:ascii="Verdana" w:eastAsia="Times New Roman" w:hAnsi="Verdana" w:cs="Arial"/>
          <w:i/>
          <w:lang w:val="es-ES" w:eastAsia="es-ES"/>
        </w:rPr>
        <w:t>necesarios para la comparación de propuestas”.</w:t>
      </w:r>
      <w:r w:rsidRPr="00D16A5E">
        <w:rPr>
          <w:rFonts w:ascii="Verdana" w:eastAsia="Times New Roman" w:hAnsi="Verdana" w:cs="Arial"/>
          <w:lang w:val="es-ES" w:eastAsia="es-ES"/>
        </w:rPr>
        <w:t xml:space="preserve">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4629C4E0" w14:textId="77777777" w:rsidR="007F4029" w:rsidRPr="00D16A5E" w:rsidRDefault="007F4029" w:rsidP="007F4029">
      <w:pPr>
        <w:spacing w:after="120" w:line="276" w:lineRule="auto"/>
        <w:ind w:firstLine="709"/>
        <w:jc w:val="both"/>
        <w:rPr>
          <w:rFonts w:ascii="Verdana" w:eastAsia="Times New Roman" w:hAnsi="Verdana" w:cs="Arial"/>
          <w:lang w:val="es-ES_tradnl" w:eastAsia="es-ES_tradnl"/>
        </w:rPr>
      </w:pPr>
      <w:r w:rsidRPr="00D16A5E">
        <w:rPr>
          <w:rFonts w:ascii="Verdana" w:eastAsia="Times New Roman" w:hAnsi="Verdana" w:cs="Arial"/>
          <w:lang w:val="es-ES_tradnl" w:eastAsia="es-ES_tradnl"/>
        </w:rPr>
        <w:t>Esta norma debía leerse en conjunto con otras de la Ley 80 de 1993, particularmente con el artículo 30.7</w:t>
      </w:r>
      <w:r w:rsidRPr="00D16A5E">
        <w:rPr>
          <w:rFonts w:ascii="Verdana" w:eastAsia="Times New Roman" w:hAnsi="Verdana" w:cs="Arial"/>
          <w:vertAlign w:val="superscript"/>
          <w:lang w:val="es-ES_tradnl" w:eastAsia="es-ES_tradnl"/>
        </w:rPr>
        <w:footnoteReference w:id="1"/>
      </w:r>
      <w:r w:rsidRPr="00D16A5E">
        <w:rPr>
          <w:rFonts w:ascii="Verdana" w:eastAsia="Times New Roman" w:hAnsi="Verdana" w:cs="Arial"/>
          <w:lang w:val="es-ES_tradnl" w:eastAsia="es-ES_tradnl"/>
        </w:rPr>
        <w:t>, que ordena a la entidad señalar un plazo razonable para evaluar las propuestas y para pedir a los proponentes, de ser necesario, que aclaren o expliquen aspectos que ofrezcan dudas y resulten indispensables para llevar a cabo la evaluación</w:t>
      </w:r>
      <w:r>
        <w:rPr>
          <w:rFonts w:ascii="Verdana" w:eastAsia="Times New Roman" w:hAnsi="Verdana" w:cs="Arial"/>
          <w:lang w:val="es-ES_tradnl" w:eastAsia="es-ES_tradnl"/>
        </w:rPr>
        <w:t xml:space="preserve">. Así mimos, </w:t>
      </w:r>
      <w:r w:rsidRPr="00D16A5E">
        <w:rPr>
          <w:rFonts w:ascii="Verdana" w:eastAsia="Times New Roman" w:hAnsi="Verdana" w:cs="Arial"/>
          <w:lang w:val="es-ES_tradnl" w:eastAsia="es-ES_tradnl"/>
        </w:rPr>
        <w:t>con el artículo 30.8</w:t>
      </w:r>
      <w:r w:rsidRPr="00D16A5E">
        <w:rPr>
          <w:rFonts w:ascii="Verdana" w:eastAsia="Times New Roman" w:hAnsi="Verdana" w:cs="Arial"/>
          <w:vertAlign w:val="superscript"/>
          <w:lang w:val="es-ES_tradnl" w:eastAsia="es-ES_tradnl"/>
        </w:rPr>
        <w:footnoteReference w:id="2"/>
      </w:r>
      <w:r w:rsidRPr="00D16A5E">
        <w:rPr>
          <w:rFonts w:ascii="Verdana" w:eastAsia="Times New Roman" w:hAnsi="Verdana" w:cs="Arial"/>
          <w:lang w:val="es-ES_tradnl" w:eastAsia="es-ES_tradnl"/>
        </w:rPr>
        <w:t xml:space="preserve">, que consagró el término de </w:t>
      </w:r>
      <w:r>
        <w:rPr>
          <w:rFonts w:ascii="Verdana" w:eastAsia="Times New Roman" w:hAnsi="Verdana" w:cs="Arial"/>
          <w:lang w:val="es-ES_tradnl" w:eastAsia="es-ES_tradnl"/>
        </w:rPr>
        <w:t>cinco (</w:t>
      </w:r>
      <w:r w:rsidRPr="00D16A5E">
        <w:rPr>
          <w:rFonts w:ascii="Verdana" w:eastAsia="Times New Roman" w:hAnsi="Verdana" w:cs="Arial"/>
          <w:lang w:val="es-ES_tradnl" w:eastAsia="es-ES_tradnl"/>
        </w:rPr>
        <w:t>5</w:t>
      </w:r>
      <w:r>
        <w:rPr>
          <w:rFonts w:ascii="Verdana" w:eastAsia="Times New Roman" w:hAnsi="Verdana" w:cs="Arial"/>
          <w:lang w:val="es-ES_tradnl" w:eastAsia="es-ES_tradnl"/>
        </w:rPr>
        <w:t>)</w:t>
      </w:r>
      <w:r w:rsidRPr="00D16A5E">
        <w:rPr>
          <w:rFonts w:ascii="Verdana" w:eastAsia="Times New Roman" w:hAnsi="Verdana" w:cs="Arial"/>
          <w:lang w:val="es-ES_tradnl" w:eastAsia="es-ES_tradnl"/>
        </w:rPr>
        <w:t xml:space="preserve"> días hábiles para que los oferentes presenten observaciones al informe de evaluación de las propuestas, sin que sea posible completar, adicionar, modificar o mejorar su oferta.  </w:t>
      </w:r>
    </w:p>
    <w:p w14:paraId="4B728DFB" w14:textId="77777777" w:rsidR="007F4029" w:rsidRPr="00D16A5E" w:rsidRDefault="007F4029" w:rsidP="007F4029">
      <w:pPr>
        <w:spacing w:after="120" w:line="276" w:lineRule="auto"/>
        <w:ind w:firstLine="709"/>
        <w:jc w:val="both"/>
        <w:rPr>
          <w:rFonts w:ascii="Verdana" w:eastAsia="Times New Roman" w:hAnsi="Verdana" w:cs="Arial"/>
          <w:lang w:val="es-ES" w:eastAsia="es-ES"/>
        </w:rPr>
      </w:pPr>
      <w:r w:rsidRPr="00D16A5E">
        <w:rPr>
          <w:rFonts w:ascii="Verdana" w:eastAsia="Times New Roman" w:hAnsi="Verdana" w:cs="Arial"/>
          <w:lang w:val="es-ES" w:eastAsia="es-ES"/>
        </w:rPr>
        <w:t xml:space="preserve">A partir de la lectura integrada de estas tres normas debía concluirse que con la Ley 80 de 1993 era posible subsanar las propuestas, y la omisión o el error en algún aspecto de esta no podía llevar a su rechazo, sin antes verificar que lo omitido fuera un aspecto necesario para la comparación. </w:t>
      </w:r>
    </w:p>
    <w:p w14:paraId="04BDB067" w14:textId="77777777" w:rsidR="007F4029" w:rsidRPr="00D16A5E" w:rsidRDefault="007F4029" w:rsidP="007F4029">
      <w:pPr>
        <w:spacing w:after="0" w:line="276" w:lineRule="auto"/>
        <w:ind w:firstLine="709"/>
        <w:jc w:val="both"/>
        <w:rPr>
          <w:rFonts w:ascii="Verdana" w:eastAsia="Times New Roman" w:hAnsi="Verdana" w:cs="Arial"/>
          <w:lang w:val="es-ES_tradnl" w:eastAsia="es-ES_tradnl"/>
        </w:rPr>
      </w:pPr>
      <w:r w:rsidRPr="00D16A5E">
        <w:rPr>
          <w:rFonts w:ascii="Verdana" w:eastAsia="Times New Roman" w:hAnsi="Verdana" w:cs="Arial"/>
          <w:lang w:val="es-ES_tradnl" w:eastAsia="es-ES_tradnl"/>
        </w:rPr>
        <w:t xml:space="preserve">En un </w:t>
      </w:r>
      <w:r w:rsidRPr="00D16A5E">
        <w:rPr>
          <w:rFonts w:ascii="Verdana" w:eastAsia="Times New Roman" w:hAnsi="Verdana" w:cs="Arial"/>
          <w:i/>
          <w:lang w:val="es-ES_tradnl" w:eastAsia="es-ES_tradnl"/>
        </w:rPr>
        <w:t>tercer momento</w:t>
      </w:r>
      <w:r w:rsidRPr="00D16A5E">
        <w:rPr>
          <w:rFonts w:ascii="Verdana" w:eastAsia="Times New Roman" w:hAnsi="Verdana" w:cs="Arial"/>
          <w:lang w:val="es-ES_tradnl" w:eastAsia="es-ES_tradnl"/>
        </w:rPr>
        <w:t xml:space="preserve">, siguiendo la línea trazada por la Ley 80 de 1993, el legislador expidió la Ley 1150 de 2007, que, en el parágrafo 1º del artículo 5, determinó lo siguiente: </w:t>
      </w:r>
    </w:p>
    <w:p w14:paraId="7C250734" w14:textId="77777777" w:rsidR="007F4029" w:rsidRPr="00462445" w:rsidRDefault="007F4029" w:rsidP="007F4029">
      <w:pPr>
        <w:spacing w:after="0" w:line="276" w:lineRule="auto"/>
        <w:ind w:left="709" w:right="709"/>
        <w:jc w:val="both"/>
        <w:rPr>
          <w:rFonts w:ascii="Verdana" w:eastAsia="Times New Roman" w:hAnsi="Verdana" w:cs="Arial"/>
          <w:lang w:val="es-ES" w:eastAsia="es-ES"/>
        </w:rPr>
      </w:pPr>
    </w:p>
    <w:p w14:paraId="3392410A" w14:textId="77777777" w:rsidR="007F4029" w:rsidRDefault="007F4029" w:rsidP="007F4029">
      <w:pPr>
        <w:spacing w:after="0" w:line="240" w:lineRule="auto"/>
        <w:ind w:left="709" w:right="709"/>
        <w:jc w:val="both"/>
        <w:rPr>
          <w:rFonts w:ascii="Verdana" w:eastAsia="Times New Roman" w:hAnsi="Verdana" w:cs="Arial"/>
          <w:sz w:val="20"/>
          <w:szCs w:val="20"/>
          <w:lang w:val="es-ES" w:eastAsia="es-ES"/>
        </w:rPr>
      </w:pPr>
      <w:r w:rsidRPr="00462445">
        <w:rPr>
          <w:rFonts w:ascii="Verdana" w:eastAsia="Times New Roman" w:hAnsi="Verdana" w:cs="Arial"/>
          <w:sz w:val="20"/>
          <w:szCs w:val="20"/>
          <w:lang w:val="es-ES" w:eastAsia="es-ES"/>
        </w:rPr>
        <w:t xml:space="preserve">Parágrafo 1°. La ausencia de requisitos o la falta de documentos referentes a la futura contratación o al proponente, no necesarios para la comparación de las propuestas no servirán de título suficiente para el </w:t>
      </w:r>
      <w:r w:rsidRPr="00462445">
        <w:rPr>
          <w:rFonts w:ascii="Verdana" w:eastAsia="Times New Roman" w:hAnsi="Verdana" w:cs="Arial"/>
          <w:sz w:val="20"/>
          <w:szCs w:val="20"/>
          <w:lang w:val="es-ES" w:eastAsia="es-ES"/>
        </w:rPr>
        <w:lastRenderedPageBreak/>
        <w:t xml:space="preserve">rechazo de los ofrecimientos hechos. En consecuencia, todos aquellos requisitos de la propuesta que no afecten la asignación de </w:t>
      </w:r>
      <w:proofErr w:type="gramStart"/>
      <w:r w:rsidRPr="00462445">
        <w:rPr>
          <w:rFonts w:ascii="Verdana" w:eastAsia="Times New Roman" w:hAnsi="Verdana" w:cs="Arial"/>
          <w:sz w:val="20"/>
          <w:szCs w:val="20"/>
          <w:lang w:val="es-ES" w:eastAsia="es-ES"/>
        </w:rPr>
        <w:t>puntaje,</w:t>
      </w:r>
      <w:proofErr w:type="gramEnd"/>
      <w:r w:rsidRPr="00462445">
        <w:rPr>
          <w:rFonts w:ascii="Verdana" w:eastAsia="Times New Roman" w:hAnsi="Verdana" w:cs="Arial"/>
          <w:sz w:val="20"/>
          <w:szCs w:val="20"/>
          <w:lang w:val="es-ES" w:eastAsia="es-ES"/>
        </w:rPr>
        <w:t xml:space="preserve"> podrán ser solicitados por las entidades en cualquier momento, hasta la adjudicación. No </w:t>
      </w:r>
      <w:proofErr w:type="gramStart"/>
      <w:r w:rsidRPr="00462445">
        <w:rPr>
          <w:rFonts w:ascii="Verdana" w:eastAsia="Times New Roman" w:hAnsi="Verdana" w:cs="Arial"/>
          <w:sz w:val="20"/>
          <w:szCs w:val="20"/>
          <w:lang w:val="es-ES" w:eastAsia="es-ES"/>
        </w:rPr>
        <w:t>obstante</w:t>
      </w:r>
      <w:proofErr w:type="gramEnd"/>
      <w:r w:rsidRPr="00462445">
        <w:rPr>
          <w:rFonts w:ascii="Verdana" w:eastAsia="Times New Roman" w:hAnsi="Verdana" w:cs="Arial"/>
          <w:sz w:val="20"/>
          <w:szCs w:val="20"/>
          <w:lang w:val="es-ES" w:eastAsia="es-ES"/>
        </w:rPr>
        <w:t xml:space="preserve"> lo anterior, en aquellos procesos de selección en los que se utilice el mecanismo de subasta, deberán ser solicitados hasta el momento previo a su realización. </w:t>
      </w:r>
    </w:p>
    <w:p w14:paraId="0CD5ECE2" w14:textId="77777777" w:rsidR="007F4029" w:rsidRPr="00462445" w:rsidRDefault="007F4029" w:rsidP="007F4029">
      <w:pPr>
        <w:spacing w:after="0" w:line="276" w:lineRule="auto"/>
        <w:ind w:left="709" w:right="709"/>
        <w:jc w:val="both"/>
        <w:rPr>
          <w:rFonts w:ascii="Verdana" w:eastAsia="Times New Roman" w:hAnsi="Verdana" w:cs="Arial"/>
          <w:lang w:val="es-ES" w:eastAsia="es-ES"/>
        </w:rPr>
      </w:pPr>
    </w:p>
    <w:p w14:paraId="05ED6230" w14:textId="77777777" w:rsidR="007F4029" w:rsidRPr="00D16A5E" w:rsidRDefault="007F4029" w:rsidP="007F4029">
      <w:pPr>
        <w:spacing w:after="120" w:line="276" w:lineRule="auto"/>
        <w:ind w:firstLine="709"/>
        <w:jc w:val="both"/>
        <w:rPr>
          <w:rFonts w:ascii="Verdana" w:eastAsia="Times New Roman" w:hAnsi="Verdana" w:cs="Arial"/>
          <w:lang w:val="es-ES" w:eastAsia="es-ES"/>
        </w:rPr>
      </w:pPr>
      <w:r w:rsidRPr="00D16A5E">
        <w:rPr>
          <w:rFonts w:ascii="Verdana" w:eastAsia="Times New Roman" w:hAnsi="Verdana" w:cs="Arial"/>
          <w:lang w:val="es-ES" w:eastAsia="es-ES"/>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14:paraId="7EDC74DF" w14:textId="77777777" w:rsidR="007F4029" w:rsidRPr="00D16A5E" w:rsidRDefault="007F4029" w:rsidP="007F4029">
      <w:pPr>
        <w:spacing w:after="120" w:line="276" w:lineRule="auto"/>
        <w:ind w:firstLine="709"/>
        <w:jc w:val="both"/>
        <w:rPr>
          <w:rFonts w:ascii="Verdana" w:eastAsia="Times New Roman" w:hAnsi="Verdana" w:cs="Arial"/>
          <w:lang w:val="es-ES" w:eastAsia="es-ES"/>
        </w:rPr>
      </w:pPr>
      <w:r w:rsidRPr="00D16A5E">
        <w:rPr>
          <w:rFonts w:ascii="Verdana" w:eastAsia="Times New Roman" w:hAnsi="Verdana" w:cs="Arial"/>
          <w:lang w:val="es-ES" w:eastAsia="es-ES"/>
        </w:rPr>
        <w:t>A partir de la Ley 1150 de 2007</w:t>
      </w:r>
      <w:r>
        <w:rPr>
          <w:rFonts w:ascii="Verdana" w:eastAsia="Times New Roman" w:hAnsi="Verdana" w:cs="Arial"/>
          <w:lang w:val="es-ES" w:eastAsia="es-ES"/>
        </w:rPr>
        <w:t>,</w:t>
      </w:r>
      <w:r w:rsidRPr="00D16A5E">
        <w:rPr>
          <w:rFonts w:ascii="Verdana" w:eastAsia="Times New Roman" w:hAnsi="Verdana" w:cs="Arial"/>
          <w:lang w:val="es-ES" w:eastAsia="es-ES"/>
        </w:rPr>
        <w:t xml:space="preserve">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Si la Administración encuentra que lo omitido por el proponente es un aspecto que otorga puntaje, no es posible subsanarlo; pero, si lo omitido no otorga puntaje, la Administración debe requerir al proponente para que lo subsane.  </w:t>
      </w:r>
    </w:p>
    <w:p w14:paraId="6A7C7A02" w14:textId="77777777" w:rsidR="007F4029" w:rsidRPr="00D16A5E" w:rsidRDefault="007F4029" w:rsidP="007F4029">
      <w:pPr>
        <w:spacing w:after="0" w:line="276" w:lineRule="auto"/>
        <w:ind w:firstLine="709"/>
        <w:jc w:val="both"/>
        <w:rPr>
          <w:rFonts w:ascii="Verdana" w:eastAsia="Times New Roman" w:hAnsi="Verdana" w:cs="Arial"/>
          <w:lang w:val="es-ES_tradnl" w:eastAsia="es-ES_tradnl"/>
        </w:rPr>
      </w:pPr>
      <w:r w:rsidRPr="00D16A5E">
        <w:rPr>
          <w:rFonts w:ascii="Verdana" w:eastAsia="Times New Roman" w:hAnsi="Verdana" w:cs="Arial"/>
          <w:lang w:val="es-ES_tradnl" w:eastAsia="es-ES_tradnl"/>
        </w:rPr>
        <w:t xml:space="preserve">El artículo 5 de la Ley 1150 de 2007, además de consagrar un criterio más claro, y, de paso, reducir la discrecionalidad de la Administración, fijó un ámbito temporal para que las entidades requirieran la subsanación de las ofertas: “en cualquier momento, hasta la adjudicación”. El Consejo de Estado, con particular sindéresis, concluyó que a partir del parágrafo 1º del artículo 5 de la Ley 1150, la definición de lo que es subsanable y lo que no lo es surge a partir del planteamiento de la pregunta sobre si el defecto asigna puntaje o no, en estos términos: </w:t>
      </w:r>
    </w:p>
    <w:p w14:paraId="44618740" w14:textId="77777777" w:rsidR="007F4029" w:rsidRPr="00D16A5E" w:rsidRDefault="007F4029" w:rsidP="007F4029">
      <w:pPr>
        <w:spacing w:after="0" w:line="276" w:lineRule="auto"/>
        <w:ind w:firstLine="709"/>
        <w:jc w:val="both"/>
        <w:rPr>
          <w:rFonts w:ascii="Verdana" w:eastAsia="Times New Roman" w:hAnsi="Verdana" w:cs="Arial"/>
          <w:lang w:val="es-ES_tradnl" w:eastAsia="es-ES_tradnl"/>
        </w:rPr>
      </w:pPr>
    </w:p>
    <w:p w14:paraId="6C8E8AFF" w14:textId="77777777" w:rsidR="007F4029" w:rsidRPr="00D16A5E" w:rsidRDefault="007F4029" w:rsidP="007F4029">
      <w:pPr>
        <w:spacing w:after="0" w:line="240" w:lineRule="auto"/>
        <w:ind w:left="709" w:right="709"/>
        <w:jc w:val="both"/>
        <w:rPr>
          <w:rFonts w:ascii="Verdana" w:eastAsia="Times New Roman" w:hAnsi="Verdana" w:cs="Arial"/>
          <w:sz w:val="21"/>
          <w:szCs w:val="21"/>
          <w:lang w:val="es-ES_tradnl" w:eastAsia="es-ES_tradnl"/>
        </w:rPr>
      </w:pPr>
      <w:r w:rsidRPr="00D16A5E">
        <w:rPr>
          <w:rFonts w:ascii="Verdana" w:eastAsia="Times New Roman" w:hAnsi="Verdana" w:cs="Arial"/>
          <w:sz w:val="21"/>
          <w:szCs w:val="21"/>
          <w:lang w:val="es-ES_tradnl" w:eastAsia="es-ES_tradnl"/>
        </w:rPr>
        <w:t xml:space="preserve">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o no a problemas de capacidad o a requisitos cumplidos antes o después </w:t>
      </w:r>
      <w:r w:rsidRPr="00D16A5E">
        <w:rPr>
          <w:rFonts w:ascii="Verdana" w:eastAsia="Times New Roman" w:hAnsi="Verdana" w:cs="Arial"/>
          <w:sz w:val="21"/>
          <w:szCs w:val="21"/>
          <w:lang w:val="es-ES_tradnl" w:eastAsia="es-ES_tradnl"/>
        </w:rPr>
        <w:lastRenderedPageBreak/>
        <w:t>de presentadas las ofertas, con la condición de que cuando le pidan la acreditación la satisfaga suficientemente</w:t>
      </w:r>
      <w:r w:rsidRPr="00D16A5E">
        <w:rPr>
          <w:rFonts w:ascii="Verdana" w:eastAsia="Times New Roman" w:hAnsi="Verdana" w:cs="Arial"/>
          <w:sz w:val="21"/>
          <w:szCs w:val="21"/>
          <w:vertAlign w:val="superscript"/>
          <w:lang w:val="es-ES_tradnl" w:eastAsia="es-ES_tradnl"/>
        </w:rPr>
        <w:footnoteReference w:id="3"/>
      </w:r>
      <w:r w:rsidRPr="00D16A5E">
        <w:rPr>
          <w:rFonts w:ascii="Verdana" w:eastAsia="Times New Roman" w:hAnsi="Verdana" w:cs="Arial"/>
          <w:sz w:val="21"/>
          <w:szCs w:val="21"/>
          <w:lang w:val="es-ES_tradnl" w:eastAsia="es-ES_tradnl"/>
        </w:rPr>
        <w:t>.</w:t>
      </w:r>
    </w:p>
    <w:p w14:paraId="3377564B" w14:textId="77777777" w:rsidR="007F4029" w:rsidRPr="00D16A5E" w:rsidRDefault="007F4029" w:rsidP="007F4029">
      <w:pPr>
        <w:spacing w:after="0" w:line="240" w:lineRule="auto"/>
        <w:ind w:left="709" w:right="709"/>
        <w:jc w:val="both"/>
        <w:rPr>
          <w:rFonts w:ascii="Verdana" w:eastAsia="Times New Roman" w:hAnsi="Verdana" w:cs="Arial"/>
          <w:sz w:val="21"/>
          <w:szCs w:val="21"/>
          <w:lang w:val="es-ES_tradnl" w:eastAsia="es-ES_tradnl"/>
        </w:rPr>
      </w:pPr>
    </w:p>
    <w:p w14:paraId="04364641" w14:textId="77777777" w:rsidR="007F4029" w:rsidRPr="00D16A5E" w:rsidRDefault="007F4029" w:rsidP="007F4029">
      <w:pPr>
        <w:tabs>
          <w:tab w:val="left" w:pos="284"/>
        </w:tabs>
        <w:spacing w:after="120" w:line="276" w:lineRule="auto"/>
        <w:ind w:firstLine="709"/>
        <w:jc w:val="both"/>
        <w:rPr>
          <w:rFonts w:ascii="Verdana" w:eastAsia="Times New Roman" w:hAnsi="Verdana" w:cs="Arial"/>
          <w:lang w:val="es-ES" w:eastAsia="es-ES"/>
        </w:rPr>
      </w:pPr>
      <w:r w:rsidRPr="00D16A5E">
        <w:rPr>
          <w:rFonts w:ascii="Verdana" w:eastAsia="Times New Roman" w:hAnsi="Verdana" w:cs="Arial"/>
          <w:lang w:val="es-ES" w:eastAsia="es-ES"/>
        </w:rPr>
        <w:t xml:space="preserve">Esa interpretación fue compartida por la </w:t>
      </w:r>
      <w:r w:rsidRPr="00D16A5E">
        <w:rPr>
          <w:rFonts w:ascii="Verdana" w:eastAsia="Times New Roman" w:hAnsi="Verdana" w:cs="Arial"/>
          <w:lang w:val="es-ES" w:eastAsia="es-CO"/>
        </w:rPr>
        <w:t>Agencia Nacional de Contratación Pública – Colombia Compra Eficiente</w:t>
      </w:r>
      <w:r w:rsidRPr="00D16A5E">
        <w:rPr>
          <w:rFonts w:ascii="Verdana" w:eastAsia="Times New Roman" w:hAnsi="Verdana" w:cs="Arial"/>
          <w:lang w:val="es-ES" w:eastAsia="es-ES"/>
        </w:rPr>
        <w:t>, pues en la Circular Externa Única se precisó que</w:t>
      </w:r>
      <w:r>
        <w:rPr>
          <w:rFonts w:ascii="Verdana" w:eastAsia="Times New Roman" w:hAnsi="Verdana" w:cs="Arial"/>
          <w:lang w:val="es-ES" w:eastAsia="es-ES"/>
        </w:rPr>
        <w:t>,</w:t>
      </w:r>
      <w:r w:rsidRPr="00D16A5E">
        <w:rPr>
          <w:rFonts w:ascii="Verdana" w:eastAsia="Times New Roman" w:hAnsi="Verdana" w:cs="Arial"/>
          <w:lang w:val="es-ES" w:eastAsia="es-ES"/>
        </w:rPr>
        <w:t xml:space="preserve"> si durante un Proceso de Contratación hay proponentes que no acreditaron en sus ofertas requisitos que no afectan la asignación de puntaje o la comparación de </w:t>
      </w:r>
      <w:proofErr w:type="gramStart"/>
      <w:r w:rsidRPr="00D16A5E">
        <w:rPr>
          <w:rFonts w:ascii="Verdana" w:eastAsia="Times New Roman" w:hAnsi="Verdana" w:cs="Arial"/>
          <w:lang w:val="es-ES" w:eastAsia="es-ES"/>
        </w:rPr>
        <w:t>las mismas</w:t>
      </w:r>
      <w:proofErr w:type="gramEnd"/>
      <w:r w:rsidRPr="00D16A5E">
        <w:rPr>
          <w:rFonts w:ascii="Verdana" w:eastAsia="Times New Roman" w:hAnsi="Verdana" w:cs="Arial"/>
          <w:lang w:val="es-ES" w:eastAsia="es-ES"/>
        </w:rPr>
        <w:t>, la Entidad Estatal deberá indicarlo en el informe de evaluación y advertir que la correspondiente oferta puede ser subsanada.</w:t>
      </w:r>
    </w:p>
    <w:p w14:paraId="3131D846" w14:textId="77777777" w:rsidR="007F4029" w:rsidRPr="00D16A5E" w:rsidRDefault="007F4029" w:rsidP="007F4029">
      <w:pPr>
        <w:tabs>
          <w:tab w:val="left" w:pos="284"/>
        </w:tabs>
        <w:spacing w:after="0" w:line="276" w:lineRule="auto"/>
        <w:ind w:firstLine="709"/>
        <w:jc w:val="both"/>
        <w:rPr>
          <w:rFonts w:ascii="Verdana" w:eastAsia="Times New Roman" w:hAnsi="Verdana" w:cs="Arial"/>
          <w:lang w:val="es-ES_tradnl" w:eastAsia="es-CO"/>
        </w:rPr>
      </w:pPr>
      <w:r w:rsidRPr="00D16A5E">
        <w:rPr>
          <w:rFonts w:ascii="Verdana" w:eastAsia="Times New Roman" w:hAnsi="Verdana" w:cs="Arial"/>
          <w:lang w:val="es-ES_tradnl" w:eastAsia="es-CO"/>
        </w:rPr>
        <w:t xml:space="preserve">Finalmente, en un </w:t>
      </w:r>
      <w:r w:rsidRPr="00D16A5E">
        <w:rPr>
          <w:rFonts w:ascii="Verdana" w:eastAsia="Times New Roman" w:hAnsi="Verdana" w:cs="Arial"/>
          <w:i/>
          <w:lang w:val="es-ES_tradnl" w:eastAsia="es-CO"/>
        </w:rPr>
        <w:t>cuarto momento</w:t>
      </w:r>
      <w:r w:rsidRPr="00D16A5E">
        <w:rPr>
          <w:rFonts w:ascii="Verdana" w:eastAsia="Times New Roman" w:hAnsi="Verdana" w:cs="Arial"/>
          <w:lang w:val="es-ES_tradnl" w:eastAsia="es-CO"/>
        </w:rPr>
        <w:t xml:space="preserve">, el legislador expidió la Ley 1882 de 2018, con la finalidad de introducir cambios y ajustes para fortalecer la contratación pública. El artículo 5 modificó el parágrafo 1º y adicionó algunos otros, entre ellos el </w:t>
      </w:r>
      <w:r>
        <w:rPr>
          <w:rFonts w:ascii="Verdana" w:eastAsia="Times New Roman" w:hAnsi="Verdana" w:cs="Arial"/>
          <w:lang w:val="es-ES_tradnl" w:eastAsia="es-CO"/>
        </w:rPr>
        <w:t>3</w:t>
      </w:r>
      <w:r w:rsidRPr="00D16A5E">
        <w:rPr>
          <w:rFonts w:ascii="Verdana" w:eastAsia="Times New Roman" w:hAnsi="Verdana" w:cs="Arial"/>
          <w:lang w:val="es-ES_tradnl" w:eastAsia="es-CO"/>
        </w:rPr>
        <w:t>°</w:t>
      </w:r>
      <w:r>
        <w:rPr>
          <w:rFonts w:ascii="Verdana" w:eastAsia="Times New Roman" w:hAnsi="Verdana" w:cs="Arial"/>
          <w:lang w:val="es-ES_tradnl" w:eastAsia="es-CO"/>
        </w:rPr>
        <w:t xml:space="preserve"> y </w:t>
      </w:r>
      <w:r w:rsidRPr="00D16A5E">
        <w:rPr>
          <w:rFonts w:ascii="Verdana" w:eastAsia="Times New Roman" w:hAnsi="Verdana" w:cs="Arial"/>
          <w:lang w:val="es-ES_tradnl" w:eastAsia="es-CO"/>
        </w:rPr>
        <w:t xml:space="preserve">4° del artículo 5 de la Ley 1150 de 2007: </w:t>
      </w:r>
    </w:p>
    <w:p w14:paraId="6042B2CB" w14:textId="77777777" w:rsidR="007F4029" w:rsidRPr="000D2E9F" w:rsidRDefault="007F4029" w:rsidP="007F4029">
      <w:pPr>
        <w:spacing w:after="0" w:line="276" w:lineRule="auto"/>
        <w:ind w:left="709" w:right="709"/>
        <w:jc w:val="both"/>
        <w:rPr>
          <w:rFonts w:ascii="Verdana" w:eastAsia="Times New Roman" w:hAnsi="Verdana" w:cs="Arial"/>
          <w:lang w:val="es-ES_tradnl" w:eastAsia="es-CO"/>
        </w:rPr>
      </w:pPr>
    </w:p>
    <w:p w14:paraId="79D20CE1" w14:textId="77777777" w:rsidR="007F4029" w:rsidRPr="00556BC7" w:rsidRDefault="007F4029" w:rsidP="007F4029">
      <w:pPr>
        <w:spacing w:after="0" w:line="240" w:lineRule="auto"/>
        <w:ind w:left="709" w:right="709"/>
        <w:jc w:val="both"/>
        <w:rPr>
          <w:rFonts w:ascii="Verdana" w:eastAsia="Times New Roman" w:hAnsi="Verdana" w:cs="Arial"/>
          <w:sz w:val="20"/>
          <w:szCs w:val="20"/>
          <w:lang w:val="es-ES_tradnl" w:eastAsia="es-CO"/>
        </w:rPr>
      </w:pPr>
      <w:r w:rsidRPr="00556BC7">
        <w:rPr>
          <w:rFonts w:ascii="Verdana" w:eastAsia="Times New Roman" w:hAnsi="Verdana" w:cs="Arial"/>
          <w:sz w:val="20"/>
          <w:szCs w:val="20"/>
          <w:lang w:val="es-ES_tradnl" w:eastAsia="es-CO"/>
        </w:rPr>
        <w:t xml:space="preserve">Artículo 5°. De la selección objetiva. </w:t>
      </w:r>
    </w:p>
    <w:p w14:paraId="0A450C9A" w14:textId="77777777" w:rsidR="007F4029" w:rsidRDefault="007F4029" w:rsidP="007F4029">
      <w:pPr>
        <w:pStyle w:val="paragraph"/>
        <w:spacing w:before="0" w:beforeAutospacing="0" w:after="0" w:afterAutospacing="0"/>
        <w:ind w:left="709" w:right="709"/>
        <w:jc w:val="both"/>
        <w:textAlignment w:val="baseline"/>
        <w:rPr>
          <w:rStyle w:val="normaltextrun"/>
          <w:rFonts w:ascii="Verdana" w:hAnsi="Verdana" w:cs="Arial"/>
          <w:color w:val="000000"/>
          <w:sz w:val="20"/>
          <w:szCs w:val="20"/>
          <w:lang w:val="es-ES"/>
        </w:rPr>
      </w:pPr>
    </w:p>
    <w:p w14:paraId="160122F9" w14:textId="77777777" w:rsidR="007F4029" w:rsidRPr="00556BC7" w:rsidRDefault="007F4029" w:rsidP="007F4029">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 xml:space="preserve">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w:t>
      </w:r>
      <w:proofErr w:type="gramStart"/>
      <w:r w:rsidRPr="00556BC7">
        <w:rPr>
          <w:rStyle w:val="normaltextrun"/>
          <w:rFonts w:ascii="Verdana" w:hAnsi="Verdana" w:cs="Arial"/>
          <w:color w:val="000000"/>
          <w:sz w:val="20"/>
          <w:szCs w:val="20"/>
          <w:lang w:val="es-ES"/>
        </w:rPr>
        <w:t>equivalentes,</w:t>
      </w:r>
      <w:proofErr w:type="gramEnd"/>
      <w:r w:rsidRPr="00556BC7">
        <w:rPr>
          <w:rStyle w:val="normaltextrun"/>
          <w:rFonts w:ascii="Verdana" w:hAnsi="Verdana" w:cs="Arial"/>
          <w:color w:val="000000"/>
          <w:sz w:val="20"/>
          <w:szCs w:val="20"/>
          <w:lang w:val="es-ES"/>
        </w:rPr>
        <w:t xml:space="preserve"> tendrán en cuenta los siguientes criterios:</w:t>
      </w:r>
      <w:r w:rsidRPr="00556BC7">
        <w:rPr>
          <w:rStyle w:val="eop"/>
          <w:rFonts w:ascii="Verdana" w:hAnsi="Verdana" w:cs="Arial"/>
          <w:color w:val="000000"/>
          <w:sz w:val="20"/>
          <w:szCs w:val="20"/>
        </w:rPr>
        <w:t> </w:t>
      </w:r>
    </w:p>
    <w:p w14:paraId="44A778AF" w14:textId="77777777" w:rsidR="007F4029" w:rsidRPr="00556BC7" w:rsidRDefault="007F4029" w:rsidP="007F4029">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eop"/>
          <w:rFonts w:ascii="Verdana" w:hAnsi="Verdana" w:cs="Arial"/>
          <w:color w:val="000000"/>
          <w:sz w:val="20"/>
          <w:szCs w:val="20"/>
        </w:rPr>
        <w:t> </w:t>
      </w:r>
    </w:p>
    <w:p w14:paraId="67CD9D53" w14:textId="77777777" w:rsidR="007F4029" w:rsidRPr="00556BC7" w:rsidRDefault="007F4029" w:rsidP="007F4029">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r w:rsidRPr="00556BC7">
        <w:rPr>
          <w:rStyle w:val="eop"/>
          <w:rFonts w:ascii="Verdana" w:hAnsi="Verdana" w:cs="Arial"/>
          <w:color w:val="000000"/>
          <w:sz w:val="20"/>
          <w:szCs w:val="20"/>
        </w:rPr>
        <w:t> </w:t>
      </w:r>
    </w:p>
    <w:p w14:paraId="56196B7E" w14:textId="77777777" w:rsidR="007F4029" w:rsidRPr="00556BC7" w:rsidRDefault="007F4029" w:rsidP="007F4029">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eop"/>
          <w:rFonts w:ascii="Verdana" w:hAnsi="Verdana" w:cs="Arial"/>
          <w:color w:val="000000"/>
          <w:sz w:val="20"/>
          <w:szCs w:val="20"/>
        </w:rPr>
        <w:t> </w:t>
      </w:r>
    </w:p>
    <w:p w14:paraId="283DA1A8" w14:textId="77777777" w:rsidR="007F4029" w:rsidRPr="00556BC7" w:rsidRDefault="007F4029" w:rsidP="007F4029">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 xml:space="preserve">2. &lt;Numeral modificado por el artículo 88 de la Ley 1474 de 2011. El nuevo texto es el siguiente:&gt;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w:t>
      </w:r>
      <w:r w:rsidRPr="00556BC7">
        <w:rPr>
          <w:rStyle w:val="normaltextrun"/>
          <w:rFonts w:ascii="Verdana" w:hAnsi="Verdana" w:cs="Arial"/>
          <w:color w:val="000000"/>
          <w:sz w:val="20"/>
          <w:szCs w:val="20"/>
          <w:lang w:val="es-ES"/>
        </w:rPr>
        <w:lastRenderedPageBreak/>
        <w:t>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r w:rsidRPr="00556BC7">
        <w:rPr>
          <w:rStyle w:val="eop"/>
          <w:rFonts w:ascii="Verdana" w:hAnsi="Verdana" w:cs="Arial"/>
          <w:color w:val="000000"/>
          <w:sz w:val="20"/>
          <w:szCs w:val="20"/>
        </w:rPr>
        <w:t> </w:t>
      </w:r>
    </w:p>
    <w:p w14:paraId="5F6F7E8C" w14:textId="4C6BB474" w:rsidR="007F4029" w:rsidRPr="00556BC7" w:rsidRDefault="007F4029" w:rsidP="007F4029">
      <w:pPr>
        <w:pStyle w:val="paragraph"/>
        <w:spacing w:before="0" w:beforeAutospacing="0" w:after="0" w:afterAutospacing="0"/>
        <w:ind w:left="709" w:right="709"/>
        <w:jc w:val="both"/>
        <w:textAlignment w:val="baseline"/>
        <w:rPr>
          <w:rFonts w:ascii="Verdana" w:hAnsi="Verdana" w:cs="Segoe UI"/>
          <w:sz w:val="20"/>
          <w:szCs w:val="20"/>
        </w:rPr>
      </w:pPr>
    </w:p>
    <w:p w14:paraId="5356BCDD" w14:textId="77777777" w:rsidR="007F4029" w:rsidRPr="00556BC7" w:rsidRDefault="007F4029" w:rsidP="007F4029">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En los procesos de selección en los que se tenga en cuenta los factores técnicos y económicos, la oferta más ventajosa será la que resulte de aplicar alguna de las siguientes alternativas:</w:t>
      </w:r>
      <w:r w:rsidRPr="00556BC7">
        <w:rPr>
          <w:rStyle w:val="eop"/>
          <w:rFonts w:ascii="Verdana" w:hAnsi="Verdana" w:cs="Arial"/>
          <w:color w:val="000000"/>
          <w:sz w:val="20"/>
          <w:szCs w:val="20"/>
        </w:rPr>
        <w:t> </w:t>
      </w:r>
    </w:p>
    <w:p w14:paraId="41985BBA" w14:textId="5AF6A85F" w:rsidR="007F4029" w:rsidRPr="00556BC7" w:rsidRDefault="007F4029" w:rsidP="007F4029">
      <w:pPr>
        <w:pStyle w:val="paragraph"/>
        <w:spacing w:before="0" w:beforeAutospacing="0" w:after="0" w:afterAutospacing="0"/>
        <w:ind w:left="709" w:right="709"/>
        <w:jc w:val="both"/>
        <w:textAlignment w:val="baseline"/>
        <w:rPr>
          <w:rFonts w:ascii="Verdana" w:hAnsi="Verdana" w:cs="Segoe UI"/>
          <w:sz w:val="20"/>
          <w:szCs w:val="20"/>
        </w:rPr>
      </w:pPr>
    </w:p>
    <w:p w14:paraId="0D03C890" w14:textId="5B3E8A36" w:rsidR="007F4029" w:rsidRPr="00556BC7" w:rsidRDefault="007F4029" w:rsidP="007F4029">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a) La ponderación de los elementos de calidad y precio soportados en puntajes o fórmulas señaladas en el pliego de condiciones; o</w:t>
      </w:r>
    </w:p>
    <w:p w14:paraId="6531F58E" w14:textId="57A7CBB4" w:rsidR="007F4029" w:rsidRPr="00556BC7" w:rsidRDefault="007F4029" w:rsidP="007F4029">
      <w:pPr>
        <w:pStyle w:val="paragraph"/>
        <w:spacing w:before="0" w:beforeAutospacing="0" w:after="0" w:afterAutospacing="0"/>
        <w:ind w:left="709" w:right="709"/>
        <w:jc w:val="both"/>
        <w:textAlignment w:val="baseline"/>
        <w:rPr>
          <w:rFonts w:ascii="Verdana" w:hAnsi="Verdana" w:cs="Segoe UI"/>
          <w:sz w:val="20"/>
          <w:szCs w:val="20"/>
        </w:rPr>
      </w:pPr>
    </w:p>
    <w:p w14:paraId="48A64019" w14:textId="77777777" w:rsidR="007F4029" w:rsidRPr="00556BC7" w:rsidRDefault="007F4029" w:rsidP="007F4029">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b) La ponderación de los elementos de calidad y precio que representen la mejor relación de costo-beneficio para la entidad.</w:t>
      </w:r>
      <w:r w:rsidRPr="00556BC7">
        <w:rPr>
          <w:rStyle w:val="eop"/>
          <w:rFonts w:ascii="Verdana" w:hAnsi="Verdana" w:cs="Arial"/>
          <w:color w:val="000000"/>
          <w:sz w:val="20"/>
          <w:szCs w:val="20"/>
        </w:rPr>
        <w:t> </w:t>
      </w:r>
    </w:p>
    <w:p w14:paraId="2CF5CE0F" w14:textId="43A6235F" w:rsidR="007F4029" w:rsidRPr="00556BC7" w:rsidRDefault="007F4029" w:rsidP="007F4029">
      <w:pPr>
        <w:pStyle w:val="paragraph"/>
        <w:spacing w:before="0" w:beforeAutospacing="0" w:after="0" w:afterAutospacing="0"/>
        <w:ind w:left="709" w:right="709"/>
        <w:jc w:val="both"/>
        <w:textAlignment w:val="baseline"/>
        <w:rPr>
          <w:rFonts w:ascii="Verdana" w:hAnsi="Verdana" w:cs="Segoe UI"/>
          <w:sz w:val="20"/>
          <w:szCs w:val="20"/>
        </w:rPr>
      </w:pPr>
    </w:p>
    <w:p w14:paraId="6CEEDA28" w14:textId="77777777" w:rsidR="007F4029" w:rsidRPr="00556BC7" w:rsidRDefault="007F4029" w:rsidP="007F4029">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w:t>
      </w:r>
      <w:r w:rsidRPr="00556BC7">
        <w:rPr>
          <w:rStyle w:val="eop"/>
          <w:rFonts w:ascii="Verdana" w:hAnsi="Verdana" w:cs="Arial"/>
          <w:color w:val="000000"/>
          <w:sz w:val="20"/>
          <w:szCs w:val="20"/>
        </w:rPr>
        <w:t> </w:t>
      </w:r>
    </w:p>
    <w:p w14:paraId="22342007" w14:textId="77777777" w:rsidR="007F4029" w:rsidRPr="00556BC7" w:rsidRDefault="007F4029" w:rsidP="007F4029">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eop"/>
          <w:rFonts w:ascii="Verdana" w:hAnsi="Verdana" w:cs="Arial"/>
          <w:color w:val="000000"/>
          <w:sz w:val="20"/>
          <w:szCs w:val="20"/>
        </w:rPr>
        <w:t> </w:t>
      </w:r>
    </w:p>
    <w:p w14:paraId="44BD6ACF" w14:textId="77777777" w:rsidR="007F4029" w:rsidRPr="00556BC7" w:rsidRDefault="007F4029" w:rsidP="007F4029">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w:t>
      </w:r>
      <w:r w:rsidRPr="00556BC7">
        <w:rPr>
          <w:rStyle w:val="eop"/>
          <w:rFonts w:ascii="Verdana" w:hAnsi="Verdana" w:cs="Arial"/>
          <w:color w:val="000000"/>
          <w:sz w:val="20"/>
          <w:szCs w:val="20"/>
        </w:rPr>
        <w:t> </w:t>
      </w:r>
    </w:p>
    <w:p w14:paraId="31B75EDE" w14:textId="77777777" w:rsidR="007F4029" w:rsidRPr="00556BC7" w:rsidRDefault="007F4029" w:rsidP="007F4029">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eop"/>
          <w:rFonts w:ascii="Verdana" w:hAnsi="Verdana" w:cs="Arial"/>
          <w:color w:val="000000"/>
          <w:sz w:val="20"/>
          <w:szCs w:val="20"/>
        </w:rPr>
        <w:t> </w:t>
      </w:r>
    </w:p>
    <w:p w14:paraId="62BF320E" w14:textId="77777777" w:rsidR="007F4029" w:rsidRPr="00556BC7" w:rsidRDefault="007F4029" w:rsidP="007F4029">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En ningún caso se podrá incluir el precio, como factor de escogencia para la selección de consultores.</w:t>
      </w:r>
      <w:r w:rsidRPr="00556BC7">
        <w:rPr>
          <w:rStyle w:val="eop"/>
          <w:rFonts w:ascii="Verdana" w:hAnsi="Verdana" w:cs="Arial"/>
          <w:color w:val="000000"/>
          <w:sz w:val="20"/>
          <w:szCs w:val="20"/>
        </w:rPr>
        <w:t> </w:t>
      </w:r>
    </w:p>
    <w:p w14:paraId="5BF020E5" w14:textId="77777777" w:rsidR="007F4029" w:rsidRPr="00556BC7" w:rsidRDefault="007F4029" w:rsidP="007F4029">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eop"/>
          <w:rFonts w:ascii="Verdana" w:hAnsi="Verdana" w:cs="Arial"/>
          <w:color w:val="000000"/>
          <w:sz w:val="20"/>
          <w:szCs w:val="20"/>
        </w:rPr>
        <w:t> </w:t>
      </w:r>
    </w:p>
    <w:p w14:paraId="262ADAEB" w14:textId="77777777" w:rsidR="007F4029" w:rsidRPr="00556BC7" w:rsidRDefault="007F4029" w:rsidP="007F4029">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 xml:space="preserve">PARÁGRAFO 1o. &lt;Parágrafo modificado por el artículo 5 de la Ley 1882 de 2018. El nuevo texto es el siguiente:&gt;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556BC7">
        <w:rPr>
          <w:rStyle w:val="normaltextrun"/>
          <w:rFonts w:ascii="Verdana" w:hAnsi="Verdana" w:cs="Arial"/>
          <w:color w:val="000000"/>
          <w:sz w:val="20"/>
          <w:szCs w:val="20"/>
          <w:lang w:val="es-ES"/>
        </w:rPr>
        <w:t>puntaje,</w:t>
      </w:r>
      <w:proofErr w:type="gramEnd"/>
      <w:r w:rsidRPr="00556BC7">
        <w:rPr>
          <w:rStyle w:val="normaltextrun"/>
          <w:rFonts w:ascii="Verdana" w:hAnsi="Verdana" w:cs="Arial"/>
          <w:color w:val="000000"/>
          <w:sz w:val="20"/>
          <w:szCs w:val="20"/>
          <w:lang w:val="es-ES"/>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r w:rsidRPr="00556BC7">
        <w:rPr>
          <w:rStyle w:val="eop"/>
          <w:rFonts w:ascii="Verdana" w:hAnsi="Verdana" w:cs="Arial"/>
          <w:color w:val="000000"/>
          <w:sz w:val="20"/>
          <w:szCs w:val="20"/>
        </w:rPr>
        <w:t> </w:t>
      </w:r>
    </w:p>
    <w:p w14:paraId="551D2829" w14:textId="77777777" w:rsidR="007F4029" w:rsidRPr="00556BC7" w:rsidRDefault="007F4029" w:rsidP="007F4029">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eop"/>
          <w:rFonts w:ascii="Verdana" w:hAnsi="Verdana" w:cs="Arial"/>
          <w:color w:val="000000"/>
          <w:sz w:val="20"/>
          <w:szCs w:val="20"/>
        </w:rPr>
        <w:t> </w:t>
      </w:r>
    </w:p>
    <w:p w14:paraId="5A9A8EF9" w14:textId="77777777" w:rsidR="007F4029" w:rsidRPr="00556BC7" w:rsidRDefault="007F4029" w:rsidP="007F4029">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Durante el término otorgado para subsanar las ofertas, los proponentes no podrán acreditar circunstancias ocurridas con posterioridad al cierre del proceso.</w:t>
      </w:r>
      <w:r w:rsidRPr="00556BC7">
        <w:rPr>
          <w:rStyle w:val="eop"/>
          <w:rFonts w:ascii="Verdana" w:hAnsi="Verdana" w:cs="Arial"/>
          <w:color w:val="000000"/>
          <w:sz w:val="20"/>
          <w:szCs w:val="20"/>
        </w:rPr>
        <w:t> </w:t>
      </w:r>
    </w:p>
    <w:p w14:paraId="766BDDBD" w14:textId="77777777" w:rsidR="007F4029" w:rsidRPr="00556BC7" w:rsidRDefault="007F4029" w:rsidP="007F4029">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eop"/>
          <w:rFonts w:ascii="Verdana" w:hAnsi="Verdana" w:cs="Arial"/>
          <w:color w:val="000000"/>
          <w:sz w:val="20"/>
          <w:szCs w:val="20"/>
        </w:rPr>
        <w:lastRenderedPageBreak/>
        <w:t> </w:t>
      </w:r>
    </w:p>
    <w:p w14:paraId="2326A275" w14:textId="77777777" w:rsidR="007F4029" w:rsidRPr="00556BC7" w:rsidRDefault="007F4029" w:rsidP="007F4029">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PARÁGRAFO 2o. Las certificaciones de sistemas de gestión de calidad no serán objeto de calificación, ni podrán establecerse como documento habilitante para participar en licitaciones o concursos.</w:t>
      </w:r>
      <w:r w:rsidRPr="00556BC7">
        <w:rPr>
          <w:rStyle w:val="eop"/>
          <w:rFonts w:ascii="Verdana" w:hAnsi="Verdana" w:cs="Arial"/>
          <w:color w:val="000000"/>
          <w:sz w:val="20"/>
          <w:szCs w:val="20"/>
        </w:rPr>
        <w:t> </w:t>
      </w:r>
    </w:p>
    <w:p w14:paraId="1C3333A7" w14:textId="77777777" w:rsidR="007F4029" w:rsidRPr="00556BC7" w:rsidRDefault="007F4029" w:rsidP="007F4029">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eop"/>
          <w:rFonts w:ascii="Verdana" w:hAnsi="Verdana" w:cs="Arial"/>
          <w:color w:val="000000"/>
          <w:sz w:val="20"/>
          <w:szCs w:val="20"/>
        </w:rPr>
        <w:t> </w:t>
      </w:r>
    </w:p>
    <w:p w14:paraId="73515CA4" w14:textId="77777777" w:rsidR="007F4029" w:rsidRPr="00556BC7" w:rsidRDefault="007F4029" w:rsidP="007F4029">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 xml:space="preserve">PARÁGRAFO 3o. &lt;Parágrafo adicionado por el artículo 5 de la Ley 1882 de 2018. El nuevo texto es el siguiente:&gt; La no entrega de la garantía de seriedad junto con la propuesta no será subsanable y será causal de rechazo de </w:t>
      </w:r>
      <w:proofErr w:type="gramStart"/>
      <w:r w:rsidRPr="00556BC7">
        <w:rPr>
          <w:rStyle w:val="normaltextrun"/>
          <w:rFonts w:ascii="Verdana" w:hAnsi="Verdana" w:cs="Arial"/>
          <w:color w:val="000000"/>
          <w:sz w:val="20"/>
          <w:szCs w:val="20"/>
          <w:lang w:val="es-ES"/>
        </w:rPr>
        <w:t>la misma</w:t>
      </w:r>
      <w:proofErr w:type="gramEnd"/>
      <w:r w:rsidRPr="00556BC7">
        <w:rPr>
          <w:rStyle w:val="normaltextrun"/>
          <w:rFonts w:ascii="Verdana" w:hAnsi="Verdana" w:cs="Arial"/>
          <w:color w:val="000000"/>
          <w:sz w:val="20"/>
          <w:szCs w:val="20"/>
          <w:lang w:val="es-ES"/>
        </w:rPr>
        <w:t>.</w:t>
      </w:r>
      <w:r w:rsidRPr="00556BC7">
        <w:rPr>
          <w:rStyle w:val="eop"/>
          <w:rFonts w:ascii="Verdana" w:hAnsi="Verdana" w:cs="Arial"/>
          <w:color w:val="000000"/>
          <w:sz w:val="20"/>
          <w:szCs w:val="20"/>
        </w:rPr>
        <w:t> </w:t>
      </w:r>
    </w:p>
    <w:p w14:paraId="135BEAA7" w14:textId="77777777" w:rsidR="007F4029" w:rsidRPr="00556BC7" w:rsidRDefault="007F4029" w:rsidP="007F4029">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eop"/>
          <w:rFonts w:ascii="Verdana" w:hAnsi="Verdana" w:cs="Arial"/>
          <w:color w:val="000000"/>
          <w:sz w:val="20"/>
          <w:szCs w:val="20"/>
        </w:rPr>
        <w:t> </w:t>
      </w:r>
    </w:p>
    <w:p w14:paraId="4845D1DF" w14:textId="77777777" w:rsidR="007F4029" w:rsidRPr="00556BC7" w:rsidRDefault="007F4029" w:rsidP="007F4029">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PARÁGRAFO 4o. &lt;Parágrafo adicionado por el artículo 5 de la Ley 1882 de 2018. El nuevo texto es el siguiente:&gt; En aquellos procesos de selección en los que se utilice el mecanismo de subasta, los documentos referentes a la futura contratación o al proponente, no necesarios para la comparación de las propuestas, deberán ser solicitados hasta el momento previo a su realización.</w:t>
      </w:r>
      <w:r w:rsidRPr="00556BC7">
        <w:rPr>
          <w:rStyle w:val="eop"/>
          <w:rFonts w:ascii="Verdana" w:hAnsi="Verdana" w:cs="Arial"/>
          <w:color w:val="000000"/>
          <w:sz w:val="20"/>
          <w:szCs w:val="20"/>
        </w:rPr>
        <w:t> </w:t>
      </w:r>
    </w:p>
    <w:p w14:paraId="3991439C" w14:textId="77777777" w:rsidR="007F4029" w:rsidRPr="00556BC7" w:rsidRDefault="007F4029" w:rsidP="007F4029">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eop"/>
          <w:rFonts w:ascii="Verdana" w:hAnsi="Verdana" w:cs="Arial"/>
          <w:color w:val="000000"/>
          <w:sz w:val="20"/>
          <w:szCs w:val="20"/>
        </w:rPr>
        <w:t> </w:t>
      </w:r>
    </w:p>
    <w:p w14:paraId="14DB8B38" w14:textId="77777777" w:rsidR="007F4029" w:rsidRPr="00556BC7" w:rsidRDefault="007F4029" w:rsidP="007F4029">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PARÁGRAFO 5o. &lt;Parágrafo adicionado por el artículo 5 de la Ley 1882 de 2018. El nuevo texto es el siguiente:&gt; En los procesos de contratación, las entidades estatales deberán aceptar la experiencia adquirida por los proponentes a través de la ejecución de contratos con particulares. </w:t>
      </w:r>
      <w:r w:rsidRPr="00556BC7">
        <w:rPr>
          <w:rStyle w:val="eop"/>
          <w:rFonts w:ascii="Verdana" w:hAnsi="Verdana" w:cs="Arial"/>
          <w:color w:val="000000"/>
          <w:sz w:val="20"/>
          <w:szCs w:val="20"/>
        </w:rPr>
        <w:t> </w:t>
      </w:r>
    </w:p>
    <w:p w14:paraId="4578AB20" w14:textId="77777777" w:rsidR="007F4029" w:rsidRPr="00556BC7" w:rsidRDefault="007F4029" w:rsidP="007F4029">
      <w:pPr>
        <w:spacing w:after="0" w:line="276" w:lineRule="auto"/>
        <w:ind w:left="709" w:right="709"/>
        <w:jc w:val="both"/>
        <w:rPr>
          <w:rFonts w:ascii="Verdana" w:eastAsia="Times New Roman" w:hAnsi="Verdana" w:cs="Arial"/>
          <w:lang w:eastAsia="es-CO"/>
        </w:rPr>
      </w:pPr>
    </w:p>
    <w:p w14:paraId="4149C4EA" w14:textId="77777777" w:rsidR="007F4029" w:rsidRPr="00D16A5E" w:rsidRDefault="007F4029" w:rsidP="007F4029">
      <w:pPr>
        <w:spacing w:after="120" w:line="276" w:lineRule="auto"/>
        <w:ind w:firstLine="709"/>
        <w:jc w:val="both"/>
        <w:rPr>
          <w:rFonts w:ascii="Verdana" w:eastAsia="Times New Roman" w:hAnsi="Verdana" w:cs="Arial"/>
          <w:lang w:val="es-ES" w:eastAsia="es-ES"/>
        </w:rPr>
      </w:pPr>
      <w:r w:rsidRPr="00D16A5E">
        <w:rPr>
          <w:rFonts w:ascii="Verdana" w:eastAsia="Times New Roman" w:hAnsi="Verdana" w:cs="Arial"/>
          <w:lang w:val="es-ES" w:eastAsia="es-ES"/>
        </w:rPr>
        <w:t xml:space="preserve">Como puede observarse, la Ley 1882 de 2018: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y, iii) introduce modificaciones en relación con algunos aspectos que se analizarán a continuación. </w:t>
      </w:r>
    </w:p>
    <w:p w14:paraId="46141A20" w14:textId="77777777" w:rsidR="007F4029" w:rsidRPr="00D16A5E" w:rsidRDefault="007F4029" w:rsidP="007F4029">
      <w:pPr>
        <w:spacing w:after="120" w:line="276" w:lineRule="auto"/>
        <w:ind w:right="51" w:firstLine="709"/>
        <w:jc w:val="both"/>
        <w:rPr>
          <w:rFonts w:ascii="Verdana" w:eastAsia="Times New Roman" w:hAnsi="Verdana" w:cs="Arial"/>
          <w:lang w:val="es-ES_tradnl" w:eastAsia="es-ES_tradnl"/>
        </w:rPr>
      </w:pPr>
      <w:r>
        <w:rPr>
          <w:rFonts w:ascii="Verdana" w:eastAsia="Times New Roman" w:hAnsi="Verdana" w:cs="Arial"/>
          <w:i/>
          <w:iCs/>
          <w:lang w:val="es-ES_tradnl" w:eastAsia="es-ES_tradnl"/>
        </w:rPr>
        <w:t>La</w:t>
      </w:r>
      <w:r w:rsidRPr="00D16A5E">
        <w:rPr>
          <w:rFonts w:ascii="Verdana" w:eastAsia="Times New Roman" w:hAnsi="Verdana" w:cs="Arial"/>
          <w:i/>
          <w:iCs/>
          <w:lang w:val="es-ES_tradnl" w:eastAsia="es-ES_tradnl"/>
        </w:rPr>
        <w:t xml:space="preserve"> primer</w:t>
      </w:r>
      <w:r>
        <w:rPr>
          <w:rFonts w:ascii="Verdana" w:eastAsia="Times New Roman" w:hAnsi="Verdana" w:cs="Arial"/>
          <w:i/>
          <w:iCs/>
          <w:lang w:val="es-ES_tradnl" w:eastAsia="es-ES_tradnl"/>
        </w:rPr>
        <w:t xml:space="preserve">a modificación </w:t>
      </w:r>
      <w:r>
        <w:rPr>
          <w:rFonts w:ascii="Verdana" w:eastAsia="Times New Roman" w:hAnsi="Verdana" w:cs="Arial"/>
          <w:lang w:val="es-ES_tradnl" w:eastAsia="es-ES_tradnl"/>
        </w:rPr>
        <w:t xml:space="preserve">está relacionada con </w:t>
      </w:r>
      <w:r w:rsidRPr="00D16A5E">
        <w:rPr>
          <w:rFonts w:ascii="Verdana" w:eastAsia="Times New Roman" w:hAnsi="Verdana" w:cs="Arial"/>
          <w:lang w:val="es-ES_tradnl" w:eastAsia="es-ES_tradnl"/>
        </w:rPr>
        <w:t>el ámbito temporal para ejercer la facultad de subsanar la oferta, pues la Ley 1882 de 2018 fijó una regla general y una excepción. La regla general es que</w:t>
      </w:r>
      <w:r>
        <w:rPr>
          <w:rFonts w:ascii="Verdana" w:eastAsia="Times New Roman" w:hAnsi="Verdana" w:cs="Arial"/>
          <w:lang w:val="es-ES_tradnl" w:eastAsia="es-ES_tradnl"/>
        </w:rPr>
        <w:t>,</w:t>
      </w:r>
      <w:r w:rsidRPr="00D16A5E">
        <w:rPr>
          <w:rFonts w:ascii="Verdana" w:eastAsia="Times New Roman" w:hAnsi="Verdana" w:cs="Arial"/>
          <w:lang w:val="es-ES_tradnl" w:eastAsia="es-ES_tradnl"/>
        </w:rPr>
        <w:t xml:space="preserve"> el límite para que la entidad solicite y para que el proponente corrija lo que haga falta es hasta el término de traslado del informe de evaluación que corresponda a cada modalidad de selección. La excepción es que el límite anterior no aplica para los procesos de mínima cuantía y para el proceso de selección a través del sistema de subasta</w:t>
      </w:r>
      <w:r w:rsidRPr="00D16A5E">
        <w:rPr>
          <w:rFonts w:ascii="Verdana" w:eastAsia="Times New Roman" w:hAnsi="Verdana" w:cs="Arial"/>
          <w:vertAlign w:val="superscript"/>
          <w:lang w:val="es-ES_tradnl" w:eastAsia="es-ES_tradnl"/>
        </w:rPr>
        <w:footnoteReference w:id="4"/>
      </w:r>
      <w:r>
        <w:rPr>
          <w:rFonts w:ascii="Verdana" w:eastAsia="Times New Roman" w:hAnsi="Verdana" w:cs="Arial"/>
          <w:lang w:val="es-ES_tradnl" w:eastAsia="es-ES_tradnl"/>
        </w:rPr>
        <w:t>.</w:t>
      </w:r>
    </w:p>
    <w:p w14:paraId="0C3B24A8" w14:textId="77777777" w:rsidR="007F4029" w:rsidRPr="00D16A5E" w:rsidRDefault="007F4029" w:rsidP="007F4029">
      <w:pPr>
        <w:spacing w:after="120" w:line="276" w:lineRule="auto"/>
        <w:ind w:firstLine="709"/>
        <w:jc w:val="both"/>
        <w:rPr>
          <w:rFonts w:ascii="Verdana" w:eastAsia="Times New Roman" w:hAnsi="Verdana" w:cs="Arial"/>
          <w:lang w:val="es-ES_tradnl" w:eastAsia="es-ES_tradnl"/>
        </w:rPr>
      </w:pPr>
      <w:r w:rsidRPr="00D16A5E">
        <w:rPr>
          <w:rFonts w:ascii="Verdana" w:eastAsia="Times New Roman" w:hAnsi="Verdana" w:cs="Arial"/>
          <w:lang w:val="es-ES_tradnl" w:eastAsia="es-ES_tradnl"/>
        </w:rPr>
        <w:t>Frente a la regla general aplicable a los demás procesos de selección, la norma fijó un límite final para que la Administración y los oferentes subsanen los requisitos o documentos que puedan y deban ser subsanados</w:t>
      </w:r>
      <w:r>
        <w:rPr>
          <w:rFonts w:ascii="Verdana" w:eastAsia="Times New Roman" w:hAnsi="Verdana" w:cs="Arial"/>
          <w:lang w:val="es-ES_tradnl" w:eastAsia="es-ES_tradnl"/>
        </w:rPr>
        <w:t xml:space="preserve">. No </w:t>
      </w:r>
      <w:proofErr w:type="gramStart"/>
      <w:r>
        <w:rPr>
          <w:rFonts w:ascii="Verdana" w:eastAsia="Times New Roman" w:hAnsi="Verdana" w:cs="Arial"/>
          <w:lang w:val="es-ES_tradnl" w:eastAsia="es-ES_tradnl"/>
        </w:rPr>
        <w:t>obstante</w:t>
      </w:r>
      <w:proofErr w:type="gramEnd"/>
      <w:r>
        <w:rPr>
          <w:rFonts w:ascii="Verdana" w:eastAsia="Times New Roman" w:hAnsi="Verdana" w:cs="Arial"/>
          <w:lang w:val="es-ES_tradnl" w:eastAsia="es-ES_tradnl"/>
        </w:rPr>
        <w:t xml:space="preserve"> </w:t>
      </w:r>
      <w:r>
        <w:rPr>
          <w:rFonts w:ascii="Verdana" w:eastAsia="Times New Roman" w:hAnsi="Verdana" w:cs="Arial"/>
          <w:lang w:val="es-ES_tradnl" w:eastAsia="es-ES_tradnl"/>
        </w:rPr>
        <w:lastRenderedPageBreak/>
        <w:t>lo anterior,</w:t>
      </w:r>
      <w:r w:rsidRPr="00D16A5E">
        <w:rPr>
          <w:rFonts w:ascii="Verdana" w:eastAsia="Times New Roman" w:hAnsi="Verdana" w:cs="Arial"/>
          <w:lang w:val="es-ES_tradnl" w:eastAsia="es-ES_tradnl"/>
        </w:rPr>
        <w:t xml:space="preserve"> nada impide, y la norma no lo hace, que la Administración requiera al proponente antes de publicar el informe de evaluación. En efecto, la redacción de la norma permite que la Administración solicite a los oferentes subsanar y que estos lo hagan hasta antes del término del traslado del informe de evaluación: “</w:t>
      </w:r>
      <w:r w:rsidRPr="00D16A5E">
        <w:rPr>
          <w:rFonts w:ascii="Verdana" w:eastAsia="Times New Roman" w:hAnsi="Verdana" w:cs="Arial"/>
          <w:i/>
          <w:iCs/>
          <w:lang w:val="es-ES_tradnl" w:eastAsia="es-ES_tradnl"/>
        </w:rPr>
        <w:t>deberán ser solicitados por las entidades estatales y deberán ser entregados por los proponentes hasta el término de traslado del informe de evaluación que corresponda a cada modalidad de selección”.</w:t>
      </w:r>
      <w:r w:rsidRPr="00D16A5E">
        <w:rPr>
          <w:rFonts w:ascii="Verdana" w:eastAsia="Times New Roman" w:hAnsi="Verdana" w:cs="Arial"/>
          <w:lang w:val="es-ES_tradnl" w:eastAsia="es-ES_tradnl"/>
        </w:rPr>
        <w:t xml:space="preserve"> </w:t>
      </w:r>
    </w:p>
    <w:p w14:paraId="53F9EB24" w14:textId="77777777" w:rsidR="007F4029" w:rsidRPr="00D16A5E" w:rsidRDefault="007F4029" w:rsidP="007F4029">
      <w:pPr>
        <w:spacing w:after="120" w:line="276" w:lineRule="auto"/>
        <w:ind w:firstLine="709"/>
        <w:jc w:val="both"/>
        <w:rPr>
          <w:rFonts w:ascii="Verdana" w:eastAsia="Times New Roman" w:hAnsi="Verdana" w:cs="Arial"/>
          <w:lang w:val="es-ES" w:eastAsia="es-ES"/>
        </w:rPr>
      </w:pPr>
      <w:r>
        <w:rPr>
          <w:rFonts w:ascii="Verdana" w:eastAsia="Times New Roman" w:hAnsi="Verdana" w:cs="Arial"/>
          <w:lang w:val="es-ES" w:eastAsia="es-ES"/>
        </w:rPr>
        <w:t>Sin perjuicio de lo expuesto</w:t>
      </w:r>
      <w:r w:rsidRPr="00D16A5E">
        <w:rPr>
          <w:rFonts w:ascii="Verdana" w:eastAsia="Times New Roman" w:hAnsi="Verdana" w:cs="Arial"/>
          <w:lang w:val="es-ES" w:eastAsia="es-ES"/>
        </w:rPr>
        <w:t>, de la lectura de este aparte podrían, en la práctica, darse dos interpretaciones que dan lugar a dos formas de proceder en los procesos de selección, en lo que a la subsanabilidad de las ofertas se refiere. Primera, que la posibilidad para subsanar de los oferentes es el término del traslado del informe de evaluación, ya que es en este documento donde la Administración consigna los requisitos o documentos omitidos que los oferentes deben subsanar, so pena de rechazo</w:t>
      </w:r>
      <w:r>
        <w:rPr>
          <w:rFonts w:ascii="Verdana" w:eastAsia="Times New Roman" w:hAnsi="Verdana" w:cs="Arial"/>
          <w:lang w:val="es-ES" w:eastAsia="es-ES"/>
        </w:rPr>
        <w:t>. S</w:t>
      </w:r>
      <w:r w:rsidRPr="00D16A5E">
        <w:rPr>
          <w:rFonts w:ascii="Verdana" w:eastAsia="Times New Roman" w:hAnsi="Verdana" w:cs="Arial"/>
          <w:lang w:val="es-ES" w:eastAsia="es-ES"/>
        </w:rPr>
        <w:t xml:space="preserve">egunda, que el término del traslado del informe de evaluación es el </w:t>
      </w:r>
      <w:r w:rsidRPr="00D16A5E">
        <w:rPr>
          <w:rFonts w:ascii="Verdana" w:eastAsia="Times New Roman" w:hAnsi="Verdana" w:cs="Arial"/>
          <w:i/>
          <w:lang w:val="es-ES" w:eastAsia="es-ES"/>
        </w:rPr>
        <w:t>límite</w:t>
      </w:r>
      <w:r w:rsidRPr="00D16A5E">
        <w:rPr>
          <w:rFonts w:ascii="Verdana" w:eastAsia="Times New Roman" w:hAnsi="Verdana" w:cs="Arial"/>
          <w:lang w:val="es-ES" w:eastAsia="es-ES"/>
        </w:rPr>
        <w:t xml:space="preserve"> para la subsanación de ofertas, pero no el único momento para hacerlo. </w:t>
      </w:r>
    </w:p>
    <w:p w14:paraId="35BEA111" w14:textId="77777777" w:rsidR="007F4029" w:rsidRPr="00D16A5E" w:rsidRDefault="007F4029" w:rsidP="007F4029">
      <w:pPr>
        <w:spacing w:after="120" w:line="276" w:lineRule="auto"/>
        <w:ind w:firstLine="709"/>
        <w:jc w:val="both"/>
        <w:rPr>
          <w:rFonts w:ascii="Verdana" w:eastAsia="Times New Roman" w:hAnsi="Verdana" w:cs="Arial"/>
          <w:lang w:val="es-ES_tradnl" w:eastAsia="es-ES_tradnl"/>
        </w:rPr>
      </w:pPr>
      <w:r w:rsidRPr="00D16A5E">
        <w:rPr>
          <w:rFonts w:ascii="Verdana" w:eastAsia="Times New Roman" w:hAnsi="Verdana" w:cs="Arial"/>
          <w:lang w:val="es-ES_tradnl" w:eastAsia="es-ES_tradnl"/>
        </w:rPr>
        <w:t>De acuerdo con la primera interpretación, el informe de evaluación se convierte en la oportunidad que adopta la Administración para decirles a los oferentes qué documentos o requisitos omitieron y deben subsanar</w:t>
      </w:r>
      <w:r>
        <w:rPr>
          <w:rFonts w:ascii="Verdana" w:eastAsia="Times New Roman" w:hAnsi="Verdana" w:cs="Arial"/>
          <w:lang w:val="es-ES_tradnl" w:eastAsia="es-ES_tradnl"/>
        </w:rPr>
        <w:t>. C</w:t>
      </w:r>
      <w:r w:rsidRPr="00D16A5E">
        <w:rPr>
          <w:rFonts w:ascii="Verdana" w:eastAsia="Times New Roman" w:hAnsi="Verdana" w:cs="Arial"/>
          <w:lang w:val="es-ES_tradnl" w:eastAsia="es-ES_tradnl"/>
        </w:rPr>
        <w:t xml:space="preserve">onsecuentemente, el término del traslado es la oportunidad del proponente para cumplir con lo solicitado.  </w:t>
      </w:r>
    </w:p>
    <w:p w14:paraId="6D35CC9C" w14:textId="77777777" w:rsidR="007F4029" w:rsidRPr="00D16A5E" w:rsidRDefault="007F4029" w:rsidP="007F4029">
      <w:pPr>
        <w:spacing w:after="120" w:line="276" w:lineRule="auto"/>
        <w:ind w:firstLine="709"/>
        <w:jc w:val="both"/>
        <w:rPr>
          <w:rFonts w:ascii="Verdana" w:eastAsia="Times New Roman" w:hAnsi="Verdana" w:cs="Arial"/>
          <w:lang w:val="es-ES_tradnl" w:eastAsia="es-ES_tradnl"/>
        </w:rPr>
      </w:pPr>
      <w:r w:rsidRPr="00D16A5E">
        <w:rPr>
          <w:rFonts w:ascii="Verdana" w:eastAsia="Times New Roman" w:hAnsi="Verdana" w:cs="Arial"/>
          <w:lang w:val="es-ES_tradnl" w:eastAsia="es-ES_tradnl"/>
        </w:rPr>
        <w:t>La segunda interpretación permitiría que la Administración requiera al oferente durante el proceso de evaluación de las propuestas, tan pronto advierta que hace falta un documento o requisito que se puede subsanar. En este caso, el proceso de subsanación se podría realizar con anterioridad a la publicación del informe de evaluación, de manera que, una vez se publique el informe ya se encuentren subsanadas las propuestas, sin perjuicio del término límite que concedió la ley.</w:t>
      </w:r>
    </w:p>
    <w:p w14:paraId="43F768CB" w14:textId="77777777" w:rsidR="007F4029" w:rsidRPr="00D16A5E" w:rsidRDefault="007F4029" w:rsidP="007F4029">
      <w:pPr>
        <w:spacing w:after="120" w:line="276" w:lineRule="auto"/>
        <w:ind w:firstLine="709"/>
        <w:jc w:val="both"/>
        <w:rPr>
          <w:rFonts w:ascii="Verdana" w:eastAsia="Times New Roman" w:hAnsi="Verdana" w:cs="Arial"/>
          <w:lang w:val="es-ES" w:eastAsia="es-ES"/>
        </w:rPr>
      </w:pPr>
      <w:r w:rsidRPr="00D16A5E">
        <w:rPr>
          <w:rFonts w:ascii="Verdana" w:eastAsia="Times New Roman" w:hAnsi="Verdana" w:cs="Arial"/>
          <w:lang w:val="es-ES" w:eastAsia="es-ES"/>
        </w:rPr>
        <w:t>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w:t>
      </w:r>
      <w:r>
        <w:rPr>
          <w:rFonts w:ascii="Verdana" w:eastAsia="Times New Roman" w:hAnsi="Verdana" w:cs="Arial"/>
          <w:lang w:val="es-ES" w:eastAsia="es-ES"/>
        </w:rPr>
        <w:t>. I</w:t>
      </w:r>
      <w:r w:rsidRPr="00D16A5E">
        <w:rPr>
          <w:rFonts w:ascii="Verdana" w:eastAsia="Times New Roman" w:hAnsi="Verdana" w:cs="Arial"/>
          <w:lang w:val="es-ES" w:eastAsia="es-ES"/>
        </w:rPr>
        <w:t xml:space="preserve">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w:t>
      </w:r>
      <w:r w:rsidRPr="00D16A5E">
        <w:rPr>
          <w:rFonts w:ascii="Verdana" w:eastAsia="Times New Roman" w:hAnsi="Verdana" w:cs="Arial"/>
          <w:lang w:val="es-ES" w:eastAsia="es-ES"/>
        </w:rPr>
        <w:lastRenderedPageBreak/>
        <w:t>transparencia y selección objetiva. Lo anterior, se aclara, sin desconocer el límite que establece la norma para que los oferentes, sin perjuicio de que lo hagan antes, cuenten hasta el término de traslado del informe de evaluación con la posibilidad de presentar la información solicitada.</w:t>
      </w:r>
    </w:p>
    <w:p w14:paraId="057C11C9" w14:textId="77777777" w:rsidR="007F4029" w:rsidRPr="00D16A5E" w:rsidRDefault="007F4029" w:rsidP="007F4029">
      <w:pPr>
        <w:spacing w:after="120" w:line="276" w:lineRule="auto"/>
        <w:ind w:firstLine="709"/>
        <w:jc w:val="both"/>
        <w:rPr>
          <w:rFonts w:ascii="Verdana" w:eastAsia="Times New Roman" w:hAnsi="Verdana" w:cs="Arial"/>
          <w:lang w:val="es-ES_tradnl" w:eastAsia="es-ES_tradnl"/>
        </w:rPr>
      </w:pPr>
      <w:r w:rsidRPr="00D16A5E">
        <w:rPr>
          <w:rFonts w:ascii="Verdana" w:eastAsia="Times New Roman" w:hAnsi="Verdana" w:cs="Arial"/>
          <w:lang w:val="es-ES_tradnl" w:eastAsia="es-ES_tradnl"/>
        </w:rPr>
        <w:t xml:space="preserve">El </w:t>
      </w:r>
      <w:r w:rsidRPr="003049F6">
        <w:rPr>
          <w:rFonts w:ascii="Verdana" w:eastAsia="Times New Roman" w:hAnsi="Verdana" w:cs="Arial"/>
          <w:i/>
          <w:iCs/>
          <w:lang w:val="es-ES_tradnl" w:eastAsia="es-ES_tradnl"/>
        </w:rPr>
        <w:t>segundo cambio</w:t>
      </w:r>
      <w:r w:rsidRPr="00D16A5E">
        <w:rPr>
          <w:rFonts w:ascii="Verdana" w:eastAsia="Times New Roman" w:hAnsi="Verdana" w:cs="Arial"/>
          <w:lang w:val="es-ES_tradnl" w:eastAsia="es-ES_tradnl"/>
        </w:rPr>
        <w:t xml:space="preserve"> importante de la Ley 1882 de 2018 fue la introducción de un criterio material, directamente relacionado con los aspectos subsanables: </w:t>
      </w:r>
      <w:r w:rsidRPr="00D16A5E">
        <w:rPr>
          <w:rFonts w:ascii="Verdana" w:eastAsia="Times New Roman" w:hAnsi="Verdana" w:cs="Arial"/>
          <w:i/>
          <w:iCs/>
          <w:lang w:val="es-ES_tradnl" w:eastAsia="es-ES_tradnl"/>
        </w:rPr>
        <w:t>“los proponentes no podrán acreditar circunstancias ocurridas con posterioridad al cierre del proceso”.</w:t>
      </w:r>
      <w:r w:rsidRPr="00D16A5E">
        <w:rPr>
          <w:rFonts w:ascii="Verdana" w:eastAsia="Times New Roman" w:hAnsi="Verdana" w:cs="Arial"/>
          <w:lang w:val="es-ES_tradnl" w:eastAsia="es-ES_tradnl"/>
        </w:rPr>
        <w:t xml:space="preserve"> Lo anterior ofrece dos aspectos que merecen clarificación</w:t>
      </w:r>
      <w:r>
        <w:rPr>
          <w:rFonts w:ascii="Verdana" w:eastAsia="Times New Roman" w:hAnsi="Verdana" w:cs="Arial"/>
          <w:lang w:val="es-ES_tradnl" w:eastAsia="es-ES_tradnl"/>
        </w:rPr>
        <w:t>;</w:t>
      </w:r>
      <w:r w:rsidRPr="00D16A5E">
        <w:rPr>
          <w:rFonts w:ascii="Verdana" w:eastAsia="Times New Roman" w:hAnsi="Verdana" w:cs="Arial"/>
          <w:lang w:val="es-ES_tradnl" w:eastAsia="es-ES_tradnl"/>
        </w:rPr>
        <w:t xml:space="preserve"> primero, qué debe entenderse por circunstancias ocurridas con posterioridad; y segundo, qué es el cierre del proceso. </w:t>
      </w:r>
    </w:p>
    <w:p w14:paraId="03C2FDED" w14:textId="77777777" w:rsidR="007F4029" w:rsidRPr="00D16A5E" w:rsidRDefault="007F4029" w:rsidP="007F4029">
      <w:pPr>
        <w:spacing w:after="120" w:line="276" w:lineRule="auto"/>
        <w:ind w:firstLine="709"/>
        <w:jc w:val="both"/>
        <w:rPr>
          <w:rFonts w:ascii="Verdana" w:eastAsia="Times New Roman" w:hAnsi="Verdana" w:cs="Arial"/>
          <w:lang w:val="es-ES" w:eastAsia="es-ES"/>
        </w:rPr>
      </w:pPr>
      <w:r w:rsidRPr="00D16A5E">
        <w:rPr>
          <w:rFonts w:ascii="Verdana" w:eastAsia="Times New Roman" w:hAnsi="Verdana" w:cs="Arial"/>
          <w:lang w:val="es-ES" w:eastAsia="es-ES"/>
        </w:rPr>
        <w:t>La Sala de Consulta y Servicio Civil del Consejo de Estado ya había tenido la oportunidad de precisar estas expresiones, a propósito de un concepto en el que se refirió al artículo 10 del derogado Decreto 2474 de 2008, que había determinado que en ningún caso la entidad podía permitir que se acreditaran circunstancias ocurridas con posterioridad al cierre del proceso. E</w:t>
      </w:r>
      <w:r>
        <w:rPr>
          <w:rFonts w:ascii="Verdana" w:eastAsia="Times New Roman" w:hAnsi="Verdana" w:cs="Arial"/>
          <w:lang w:val="es-ES" w:eastAsia="es-ES"/>
        </w:rPr>
        <w:t>n esa ocasión, e</w:t>
      </w:r>
      <w:r w:rsidRPr="00D16A5E">
        <w:rPr>
          <w:rFonts w:ascii="Verdana" w:eastAsia="Times New Roman" w:hAnsi="Verdana" w:cs="Arial"/>
          <w:lang w:val="es-ES" w:eastAsia="es-ES"/>
        </w:rPr>
        <w:t>l Consejo de Estado precisó que</w:t>
      </w:r>
      <w:r>
        <w:rPr>
          <w:rFonts w:ascii="Verdana" w:eastAsia="Times New Roman" w:hAnsi="Verdana" w:cs="Arial"/>
          <w:lang w:val="es-ES" w:eastAsia="es-ES"/>
        </w:rPr>
        <w:t>,</w:t>
      </w:r>
      <w:r w:rsidRPr="00D16A5E">
        <w:rPr>
          <w:rFonts w:ascii="Verdana" w:eastAsia="Times New Roman" w:hAnsi="Verdana" w:cs="Arial"/>
          <w:lang w:val="es-ES" w:eastAsia="es-ES"/>
        </w:rPr>
        <w:t xml:space="preserve"> por cierre del proceso debe entenderse el vencimiento del plazo para la presentación de las ofertas y que lo subsanable son las circunstancias que ocurrieron con anterioridad a esa fecha</w:t>
      </w:r>
      <w:r w:rsidRPr="00D16A5E">
        <w:rPr>
          <w:rFonts w:ascii="Verdana" w:eastAsia="Times New Roman" w:hAnsi="Verdana" w:cs="Arial"/>
          <w:vertAlign w:val="superscript"/>
          <w:lang w:val="es-ES" w:eastAsia="es-ES"/>
        </w:rPr>
        <w:footnoteReference w:id="5"/>
      </w:r>
      <w:r w:rsidRPr="00D16A5E">
        <w:rPr>
          <w:rFonts w:ascii="Verdana" w:eastAsia="Times New Roman" w:hAnsi="Verdana" w:cs="Arial"/>
          <w:lang w:val="es-ES" w:eastAsia="es-ES"/>
        </w:rPr>
        <w:t>.</w:t>
      </w:r>
    </w:p>
    <w:p w14:paraId="6A941F86" w14:textId="77777777" w:rsidR="007F4029" w:rsidRPr="00D16A5E" w:rsidRDefault="007F4029" w:rsidP="007F4029">
      <w:pPr>
        <w:spacing w:after="120" w:line="276" w:lineRule="auto"/>
        <w:ind w:firstLine="709"/>
        <w:jc w:val="both"/>
        <w:rPr>
          <w:rFonts w:ascii="Verdana" w:eastAsia="Times New Roman" w:hAnsi="Verdana" w:cs="Arial"/>
          <w:lang w:val="es-ES_tradnl" w:eastAsia="es-ES_tradnl"/>
        </w:rPr>
      </w:pPr>
      <w:r w:rsidRPr="00D16A5E">
        <w:rPr>
          <w:rFonts w:ascii="Verdana" w:eastAsia="Times New Roman" w:hAnsi="Verdana" w:cs="Arial"/>
          <w:lang w:val="es-ES_tradnl" w:eastAsia="es-ES_tradnl"/>
        </w:rPr>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w:t>
      </w:r>
      <w:r w:rsidRPr="00D16A5E">
        <w:rPr>
          <w:rFonts w:ascii="Verdana" w:eastAsia="Times New Roman" w:hAnsi="Verdana" w:cs="Arial"/>
          <w:lang w:val="es-ES_tradnl" w:eastAsia="es-ES_tradnl"/>
        </w:rPr>
        <w:lastRenderedPageBreak/>
        <w:t xml:space="preserve">cumplirlos durante el proceso de selección o, inclusive, que se puedan variar condiciones de la oferta una vez presentada. </w:t>
      </w:r>
    </w:p>
    <w:p w14:paraId="4F8A3AE2" w14:textId="77777777" w:rsidR="007F4029" w:rsidRPr="00D16A5E" w:rsidRDefault="007F4029" w:rsidP="007F4029">
      <w:pPr>
        <w:spacing w:after="120" w:line="276" w:lineRule="auto"/>
        <w:ind w:firstLine="709"/>
        <w:jc w:val="both"/>
        <w:rPr>
          <w:rFonts w:ascii="Verdana" w:eastAsia="Times New Roman" w:hAnsi="Verdana" w:cs="Arial"/>
          <w:lang w:val="es-ES" w:eastAsia="es-ES"/>
        </w:rPr>
      </w:pPr>
      <w:r w:rsidRPr="00D16A5E">
        <w:rPr>
          <w:rFonts w:ascii="Verdana" w:eastAsia="Times New Roman" w:hAnsi="Verdana" w:cs="Arial"/>
          <w:lang w:val="es-ES" w:eastAsia="es-ES"/>
        </w:rPr>
        <w:t xml:space="preserve">Un mejor entendimiento del significado de la expresión </w:t>
      </w:r>
      <w:r w:rsidRPr="00D16A5E">
        <w:rPr>
          <w:rFonts w:ascii="Verdana" w:eastAsia="Times New Roman" w:hAnsi="Verdana" w:cs="Arial"/>
          <w:i/>
          <w:lang w:val="es-ES" w:eastAsia="es-ES"/>
        </w:rPr>
        <w:t>“circunstancias ocurridas con posterioridad al cierre del proceso”</w:t>
      </w:r>
      <w:r w:rsidRPr="00D16A5E">
        <w:rPr>
          <w:rFonts w:ascii="Verdana" w:eastAsia="Times New Roman" w:hAnsi="Verdana" w:cs="Arial"/>
          <w:lang w:val="es-ES" w:eastAsia="es-ES"/>
        </w:rPr>
        <w:t xml:space="preserve"> implica distinguir entre la prueba de un hecho y el hecho mismo. En el caso de la subsanabilidad de las ofertas, una cosa es el requisito habilitante o el elemento de la propuesta y otra su prueba. Lo que prohíbe la norma es que se subsanen requisitos que no estaban materialmente cumplidos al momento de presentación de la oferta, o en palabras de la ley, que se acrediten hechos que ocurrieron después del cierre del proceso</w:t>
      </w:r>
      <w:r w:rsidRPr="00D16A5E">
        <w:rPr>
          <w:rFonts w:ascii="Verdana" w:eastAsia="Times New Roman" w:hAnsi="Verdana" w:cs="Arial"/>
          <w:vertAlign w:val="superscript"/>
          <w:lang w:val="es-ES" w:eastAsia="es-ES"/>
        </w:rPr>
        <w:footnoteReference w:id="6"/>
      </w:r>
      <w:r w:rsidRPr="00D16A5E">
        <w:rPr>
          <w:rFonts w:ascii="Verdana" w:eastAsia="Times New Roman" w:hAnsi="Verdana" w:cs="Arial"/>
          <w:lang w:val="es-ES" w:eastAsia="es-ES"/>
        </w:rPr>
        <w:t xml:space="preserve">. </w:t>
      </w:r>
    </w:p>
    <w:p w14:paraId="0501DCD4" w14:textId="77777777" w:rsidR="007F4029" w:rsidRPr="00D16A5E" w:rsidRDefault="007F4029" w:rsidP="007F4029">
      <w:pPr>
        <w:spacing w:after="120" w:line="276" w:lineRule="auto"/>
        <w:ind w:firstLine="709"/>
        <w:jc w:val="both"/>
        <w:rPr>
          <w:rFonts w:ascii="Verdana" w:eastAsia="Times New Roman" w:hAnsi="Verdana" w:cs="Arial"/>
          <w:lang w:val="es-ES" w:eastAsia="es-ES"/>
        </w:rPr>
      </w:pPr>
      <w:r w:rsidRPr="00D16A5E">
        <w:rPr>
          <w:rFonts w:ascii="Verdana" w:eastAsia="Times New Roman" w:hAnsi="Verdana" w:cs="Arial"/>
          <w:lang w:val="es-ES" w:eastAsia="es-ES"/>
        </w:rPr>
        <w:t>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estando está en firme para dicho momento; ii) si un oferente presentó la propuesta sin allegar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D16A5E">
        <w:rPr>
          <w:rFonts w:ascii="Verdana" w:eastAsia="Times New Roman" w:hAnsi="Verdana" w:cs="Arial"/>
          <w:vertAlign w:val="superscript"/>
          <w:lang w:val="es-ES" w:eastAsia="es-ES"/>
        </w:rPr>
        <w:footnoteReference w:id="7"/>
      </w:r>
      <w:r w:rsidRPr="00D16A5E">
        <w:rPr>
          <w:rFonts w:ascii="Verdana" w:eastAsia="Times New Roman" w:hAnsi="Verdana" w:cs="Arial"/>
          <w:lang w:val="es-ES" w:eastAsia="es-ES"/>
        </w:rPr>
        <w:t>; iii) si un oferente no anexó el Certificado de existencia y representación legal, el documento aportado con posterioridad debe dar cuenta de que la sociedad existía antes del cierre del proceso</w:t>
      </w:r>
      <w:r w:rsidRPr="00D16A5E">
        <w:rPr>
          <w:rFonts w:ascii="Verdana" w:eastAsia="Times New Roman" w:hAnsi="Verdana" w:cs="Arial"/>
          <w:vertAlign w:val="superscript"/>
          <w:lang w:val="es-ES" w:eastAsia="es-ES"/>
        </w:rPr>
        <w:footnoteReference w:id="8"/>
      </w:r>
      <w:r w:rsidRPr="00D16A5E">
        <w:rPr>
          <w:rFonts w:ascii="Verdana" w:eastAsia="Times New Roman" w:hAnsi="Verdana" w:cs="Arial"/>
          <w:lang w:val="es-ES" w:eastAsia="es-ES"/>
        </w:rPr>
        <w:t xml:space="preserve">; iv) si </w:t>
      </w:r>
      <w:r w:rsidRPr="00D16A5E">
        <w:rPr>
          <w:rFonts w:ascii="Verdana" w:eastAsia="Times New Roman" w:hAnsi="Verdana" w:cs="Arial"/>
          <w:lang w:val="es-ES" w:eastAsia="es-ES"/>
        </w:rPr>
        <w:lastRenderedPageBreak/>
        <w:t xml:space="preserve">un oferente olvidó adjuntar un certificado que demuestra un título universitario, el documento, aunque tenga fecha posterior al cierre del proceso, debe acreditar que el título académico se obtuvo con anterioridad al cierre del proceso; v) si un oferente no allegó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ella, puede subsanar sin que con ello se entienda que acreditó una circunstancia ocurrida con posterioridad al cierre del proceso. </w:t>
      </w:r>
    </w:p>
    <w:p w14:paraId="338153A2" w14:textId="77777777" w:rsidR="007F4029" w:rsidRDefault="007F4029" w:rsidP="007F4029">
      <w:pPr>
        <w:spacing w:after="120" w:line="276" w:lineRule="auto"/>
        <w:ind w:firstLine="709"/>
        <w:jc w:val="both"/>
        <w:rPr>
          <w:rFonts w:ascii="Verdana" w:eastAsia="Times New Roman" w:hAnsi="Verdana" w:cs="Arial"/>
          <w:i/>
          <w:lang w:val="es-ES" w:eastAsia="es-ES"/>
        </w:rPr>
      </w:pPr>
      <w:r w:rsidRPr="00D16A5E">
        <w:rPr>
          <w:rFonts w:ascii="Verdana" w:eastAsia="Times New Roman" w:hAnsi="Verdana" w:cs="Arial"/>
          <w:lang w:val="es-ES" w:eastAsia="es-ES"/>
        </w:rPr>
        <w:t>Lo anterior quiere decir que no es la prueba –usualmente un documento– lo que debe ser anterior al cierre del proceso, sino el hecho que ella acredita</w:t>
      </w:r>
      <w:r>
        <w:rPr>
          <w:rFonts w:ascii="Verdana" w:eastAsia="Times New Roman" w:hAnsi="Verdana" w:cs="Arial"/>
          <w:lang w:val="es-ES" w:eastAsia="es-ES"/>
        </w:rPr>
        <w:t>. E</w:t>
      </w:r>
      <w:r w:rsidRPr="00D16A5E">
        <w:rPr>
          <w:rFonts w:ascii="Verdana" w:eastAsia="Times New Roman" w:hAnsi="Verdana" w:cs="Arial"/>
          <w:lang w:val="es-ES" w:eastAsia="es-ES"/>
        </w:rPr>
        <w:t xml:space="preserve">s decir, ante la 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 proceso. Es por esto </w:t>
      </w:r>
      <w:proofErr w:type="gramStart"/>
      <w:r w:rsidRPr="00D16A5E">
        <w:rPr>
          <w:rFonts w:ascii="Verdana" w:eastAsia="Times New Roman" w:hAnsi="Verdana" w:cs="Arial"/>
          <w:lang w:val="es-ES" w:eastAsia="es-ES"/>
        </w:rPr>
        <w:t>que</w:t>
      </w:r>
      <w:proofErr w:type="gramEnd"/>
      <w:r w:rsidRPr="00D16A5E">
        <w:rPr>
          <w:rFonts w:ascii="Verdana" w:eastAsia="Times New Roman" w:hAnsi="Verdana" w:cs="Arial"/>
          <w:lang w:val="es-ES" w:eastAsia="es-ES"/>
        </w:rPr>
        <w:t xml:space="preserv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D16A5E">
        <w:rPr>
          <w:rFonts w:ascii="Verdana" w:eastAsia="Times New Roman" w:hAnsi="Verdana" w:cs="Arial"/>
          <w:vertAlign w:val="superscript"/>
          <w:lang w:val="es-ES" w:eastAsia="es-ES"/>
        </w:rPr>
        <w:footnoteReference w:id="9"/>
      </w:r>
      <w:r w:rsidRPr="00D16A5E">
        <w:rPr>
          <w:rFonts w:ascii="Verdana" w:eastAsia="Times New Roman" w:hAnsi="Verdana" w:cs="Arial"/>
          <w:lang w:val="es-ES" w:eastAsia="es-ES"/>
        </w:rPr>
        <w:t>.</w:t>
      </w:r>
    </w:p>
    <w:p w14:paraId="0372448C" w14:textId="77777777" w:rsidR="007F4029" w:rsidRPr="009F4606" w:rsidRDefault="007F4029" w:rsidP="007F4029">
      <w:pPr>
        <w:spacing w:after="120" w:line="276" w:lineRule="auto"/>
        <w:ind w:firstLine="709"/>
        <w:jc w:val="both"/>
        <w:rPr>
          <w:rStyle w:val="eop"/>
          <w:rFonts w:ascii="Verdana" w:hAnsi="Verdana" w:cs="Arial"/>
          <w:color w:val="000000"/>
        </w:rPr>
      </w:pPr>
      <w:r w:rsidRPr="00246D72">
        <w:rPr>
          <w:rFonts w:ascii="Verdana" w:eastAsia="Times New Roman" w:hAnsi="Verdana" w:cs="Arial"/>
          <w:iCs/>
          <w:lang w:val="es-ES" w:eastAsia="es-ES"/>
        </w:rPr>
        <w:t>Ahora bien,</w:t>
      </w:r>
      <w:r>
        <w:rPr>
          <w:rFonts w:ascii="Verdana" w:eastAsia="Times New Roman" w:hAnsi="Verdana" w:cs="Arial"/>
          <w:i/>
          <w:lang w:val="es-ES" w:eastAsia="es-ES"/>
        </w:rPr>
        <w:t xml:space="preserve"> e</w:t>
      </w:r>
      <w:r w:rsidRPr="009F4606">
        <w:rPr>
          <w:rStyle w:val="normaltextrun"/>
          <w:rFonts w:ascii="Verdana" w:hAnsi="Verdana" w:cs="Arial"/>
          <w:color w:val="000000"/>
          <w:lang w:val="es-ES"/>
        </w:rPr>
        <w:t xml:space="preserve">l parágrafo 3 del artículo 5 de la Ley 1882 de 2018 determinó, de manera expresa, que </w:t>
      </w:r>
      <w:r>
        <w:rPr>
          <w:rStyle w:val="normaltextrun"/>
          <w:rFonts w:ascii="Verdana" w:hAnsi="Verdana" w:cs="Arial"/>
          <w:color w:val="000000"/>
          <w:lang w:val="es-ES"/>
        </w:rPr>
        <w:t>“</w:t>
      </w:r>
      <w:r w:rsidRPr="009F4606">
        <w:rPr>
          <w:rStyle w:val="normaltextrun"/>
          <w:rFonts w:ascii="Verdana" w:hAnsi="Verdana" w:cs="Arial"/>
          <w:color w:val="000000"/>
          <w:lang w:val="es-ES"/>
        </w:rPr>
        <w:t xml:space="preserve">la no entrega de la garantía de seriedad junto con la propuesta no será subsanable y será causal de rechazo de </w:t>
      </w:r>
      <w:proofErr w:type="gramStart"/>
      <w:r w:rsidRPr="009F4606">
        <w:rPr>
          <w:rStyle w:val="normaltextrun"/>
          <w:rFonts w:ascii="Verdana" w:hAnsi="Verdana" w:cs="Arial"/>
          <w:color w:val="000000"/>
          <w:lang w:val="es-ES"/>
        </w:rPr>
        <w:t>la misma</w:t>
      </w:r>
      <w:proofErr w:type="gramEnd"/>
      <w:r>
        <w:rPr>
          <w:rStyle w:val="normaltextrun"/>
          <w:rFonts w:ascii="Verdana" w:hAnsi="Verdana" w:cs="Arial"/>
          <w:color w:val="000000"/>
          <w:lang w:val="es-ES"/>
        </w:rPr>
        <w:t>”</w:t>
      </w:r>
      <w:r w:rsidRPr="009F4606">
        <w:rPr>
          <w:rStyle w:val="normaltextrun"/>
          <w:rFonts w:ascii="Verdana" w:hAnsi="Verdana" w:cs="Arial"/>
          <w:color w:val="000000"/>
          <w:lang w:val="es-ES"/>
        </w:rPr>
        <w:t>, dejando claro que se trata de un documento de obligatoria presentación junto con la propuesta y que materializa los principios de seriedad e irrevocabilidad de la oferta.</w:t>
      </w:r>
      <w:r w:rsidRPr="009F4606">
        <w:rPr>
          <w:rStyle w:val="eop"/>
          <w:rFonts w:ascii="Verdana" w:hAnsi="Verdana" w:cs="Arial"/>
          <w:color w:val="000000"/>
        </w:rPr>
        <w:t> </w:t>
      </w:r>
    </w:p>
    <w:p w14:paraId="51BC6867" w14:textId="77777777" w:rsidR="007F4029" w:rsidRDefault="007F4029" w:rsidP="007F4029">
      <w:pPr>
        <w:spacing w:after="120" w:line="276" w:lineRule="auto"/>
        <w:ind w:firstLine="709"/>
        <w:jc w:val="both"/>
        <w:rPr>
          <w:rFonts w:ascii="Verdana" w:eastAsia="Times New Roman" w:hAnsi="Verdana" w:cs="Arial"/>
          <w:lang w:val="es-ES" w:eastAsia="es-ES"/>
        </w:rPr>
      </w:pPr>
      <w:r w:rsidRPr="50927A94">
        <w:rPr>
          <w:rFonts w:ascii="Verdana" w:eastAsia="Times New Roman" w:hAnsi="Verdana" w:cs="Arial"/>
          <w:lang w:val="es-ES" w:eastAsia="es-ES"/>
        </w:rPr>
        <w:t>Visto lo anterior,</w:t>
      </w:r>
      <w:r>
        <w:rPr>
          <w:rFonts w:ascii="Verdana" w:eastAsia="Times New Roman" w:hAnsi="Verdana" w:cs="Arial"/>
          <w:lang w:val="es-ES" w:eastAsia="es-ES"/>
        </w:rPr>
        <w:t xml:space="preserve"> con miras a dar respuesta al problema jurídico planteado, debe decirse que,</w:t>
      </w:r>
      <w:r w:rsidRPr="50927A94">
        <w:rPr>
          <w:rFonts w:ascii="Verdana" w:eastAsia="Times New Roman" w:hAnsi="Verdana" w:cs="Arial"/>
          <w:lang w:val="es-ES" w:eastAsia="es-ES"/>
        </w:rPr>
        <w:t xml:space="preserve"> una vez verificada la ausencia de requisitos y/o documentos de la oferta, para efectos de saber si se pueden subsanar, la Administración se debe preguntar</w:t>
      </w:r>
      <w:r>
        <w:rPr>
          <w:rFonts w:ascii="Verdana" w:eastAsia="Times New Roman" w:hAnsi="Verdana" w:cs="Arial"/>
          <w:lang w:val="es-ES" w:eastAsia="es-ES"/>
        </w:rPr>
        <w:t xml:space="preserve">: </w:t>
      </w:r>
      <w:r w:rsidRPr="50927A94">
        <w:rPr>
          <w:rFonts w:ascii="Verdana" w:eastAsia="Times New Roman" w:hAnsi="Verdana" w:cs="Arial"/>
          <w:lang w:val="es-ES" w:eastAsia="es-ES"/>
        </w:rPr>
        <w:t>en primer lugar, si lo que hace falta es un documento que afecte la asignación de puntaje o no y</w:t>
      </w:r>
      <w:r>
        <w:rPr>
          <w:rFonts w:ascii="Verdana" w:eastAsia="Times New Roman" w:hAnsi="Verdana" w:cs="Arial"/>
          <w:lang w:val="es-ES" w:eastAsia="es-ES"/>
        </w:rPr>
        <w:t>;</w:t>
      </w:r>
      <w:r w:rsidRPr="50927A94">
        <w:rPr>
          <w:rFonts w:ascii="Verdana" w:eastAsia="Times New Roman" w:hAnsi="Verdana" w:cs="Arial"/>
          <w:lang w:val="es-ES" w:eastAsia="es-ES"/>
        </w:rPr>
        <w:t xml:space="preserve">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afecte la asignación de puntaje y la </w:t>
      </w:r>
      <w:r w:rsidRPr="50927A94">
        <w:rPr>
          <w:rFonts w:ascii="Verdana" w:eastAsia="Times New Roman" w:hAnsi="Verdana" w:cs="Arial"/>
          <w:lang w:val="es-ES" w:eastAsia="es-ES"/>
        </w:rPr>
        <w:lastRenderedPageBreak/>
        <w:t>respuesta al segundo interrogante debe dar cuenta de que lo omitido sea la prueba de una circunstancia o hecho que ocurrió con anterioridad al cierre del proceso.</w:t>
      </w:r>
    </w:p>
    <w:p w14:paraId="43FE2470" w14:textId="77777777" w:rsidR="007F4029" w:rsidRDefault="007F4029" w:rsidP="007F4029">
      <w:pPr>
        <w:spacing w:after="120" w:line="276" w:lineRule="auto"/>
        <w:ind w:firstLine="709"/>
        <w:jc w:val="both"/>
        <w:rPr>
          <w:rFonts w:ascii="Verdana" w:hAnsi="Verdana" w:cs="Arial"/>
          <w:noProof/>
          <w:lang w:val="es-ES_tradnl"/>
        </w:rPr>
      </w:pPr>
      <w:r w:rsidRPr="00D16A5E">
        <w:rPr>
          <w:rFonts w:ascii="Verdana" w:hAnsi="Verdana" w:cs="Arial"/>
          <w:noProof/>
          <w:lang w:val="es-ES_tradnl"/>
        </w:rPr>
        <w:t>En conclusion</w:t>
      </w:r>
      <w:r>
        <w:rPr>
          <w:rFonts w:ascii="Verdana" w:hAnsi="Verdana" w:cs="Arial"/>
          <w:noProof/>
          <w:lang w:val="es-ES_tradnl"/>
        </w:rPr>
        <w:t xml:space="preserve">, </w:t>
      </w:r>
      <w:r w:rsidRPr="00D16A5E">
        <w:rPr>
          <w:rFonts w:ascii="Verdana" w:hAnsi="Verdana" w:cs="Arial"/>
          <w:noProof/>
          <w:lang w:val="es-ES_tradnl"/>
        </w:rPr>
        <w:t>los requisitos o documentos que no sean necesarios para la comparación de las ofertas pueden subsanarse y todo lo que no sea necesario para la comparación de propuestas no es título suficiente para su rechazo</w:t>
      </w:r>
      <w:r>
        <w:rPr>
          <w:rFonts w:ascii="Verdana" w:hAnsi="Verdana" w:cs="Arial"/>
          <w:noProof/>
          <w:lang w:val="es-ES_tradnl"/>
        </w:rPr>
        <w:t xml:space="preserve">. En sentido, si en un concurso de méritos </w:t>
      </w:r>
      <w:r w:rsidRPr="003471F6">
        <w:rPr>
          <w:rFonts w:ascii="Verdana" w:hAnsi="Verdana" w:cs="Arial"/>
          <w:noProof/>
          <w:lang w:val="es-ES_tradnl"/>
        </w:rPr>
        <w:t>se presentó a un profesional para cumplir con un perfil</w:t>
      </w:r>
      <w:r>
        <w:rPr>
          <w:rFonts w:ascii="Verdana" w:hAnsi="Verdana" w:cs="Arial"/>
          <w:noProof/>
          <w:lang w:val="es-ES_tradnl"/>
        </w:rPr>
        <w:t xml:space="preserve"> </w:t>
      </w:r>
      <w:r w:rsidRPr="003471F6">
        <w:rPr>
          <w:rFonts w:ascii="Verdana" w:hAnsi="Verdana" w:cs="Arial"/>
          <w:noProof/>
          <w:lang w:val="es-ES_tradnl"/>
        </w:rPr>
        <w:t>solicitado como requisito habilitante</w:t>
      </w:r>
      <w:r>
        <w:rPr>
          <w:rFonts w:ascii="Verdana" w:hAnsi="Verdana" w:cs="Arial"/>
          <w:noProof/>
          <w:lang w:val="es-ES_tradnl"/>
        </w:rPr>
        <w:t xml:space="preserve">, pero la entidad encontró alguna inconsistencia, podría subsanarse el requisito habilitante. </w:t>
      </w:r>
    </w:p>
    <w:p w14:paraId="07C8C18B" w14:textId="77777777" w:rsidR="007F4029" w:rsidRPr="003716E2" w:rsidRDefault="007F4029" w:rsidP="007F4029">
      <w:pPr>
        <w:spacing w:after="120" w:line="276" w:lineRule="auto"/>
        <w:ind w:firstLine="709"/>
        <w:jc w:val="both"/>
        <w:rPr>
          <w:rFonts w:ascii="Verdana" w:hAnsi="Verdana" w:cs="Arial"/>
          <w:noProof/>
          <w:lang w:val="es-ES_tradnl"/>
        </w:rPr>
      </w:pPr>
      <w:r w:rsidRPr="003716E2">
        <w:rPr>
          <w:rFonts w:ascii="Verdana" w:hAnsi="Verdana" w:cs="Arial"/>
          <w:noProof/>
          <w:lang w:val="es-ES_tradnl"/>
        </w:rPr>
        <w:t>No obstante, a la luz del artículo 5 de la Ley 1882 de 2018, lo subsanable es la prueba de todas las circunstancias ocurridas antes del vencimiento del término para presentar las ofertas, pues una cosa es el requisito habilitante o el elemento de la propuesta y otra su prueba. De tal modo que lo que prohíbe la norma es que se subsanen requisitos que no estaban materialmente cumplidos al momento de presentación de la oferta, o en palabras de la ley, que se acrediten hechos que ocurrieron después del cierre del proceso, por lo que dicha limitación a la regla de subsanabilidad también deberá ser tenida en cuenta.</w:t>
      </w:r>
    </w:p>
    <w:p w14:paraId="3BB5B7B4" w14:textId="77777777" w:rsidR="007F4029" w:rsidRPr="003716E2" w:rsidRDefault="007F4029" w:rsidP="007F4029">
      <w:pPr>
        <w:spacing w:after="120" w:line="276" w:lineRule="auto"/>
        <w:ind w:firstLine="709"/>
        <w:jc w:val="both"/>
        <w:rPr>
          <w:rFonts w:ascii="Verdana" w:eastAsia="Times New Roman" w:hAnsi="Verdana" w:cs="Arial"/>
          <w:i/>
          <w:lang w:val="es-ES" w:eastAsia="es-ES"/>
        </w:rPr>
      </w:pPr>
      <w:r w:rsidRPr="003716E2">
        <w:rPr>
          <w:rFonts w:ascii="Verdana" w:hAnsi="Verdana" w:cs="Arial"/>
          <w:noProof/>
          <w:lang w:val="es-ES_tradnl"/>
        </w:rPr>
        <w:t>Finalmente, debe señalarse que, e</w:t>
      </w:r>
      <w:r w:rsidRPr="003716E2">
        <w:rPr>
          <w:rFonts w:ascii="Verdana" w:hAnsi="Verdana" w:cs="Arial"/>
        </w:rPr>
        <w:t>n el concurso de méritos es posible que la Entidad en el pliego de condiciones haya establecido criterios de puntaje respecto de los mismos perfiles que se han exigido como habilitantes, en dicho caso será posible subsanar el requisito habilitante pero no podrá asignársele puntaje.</w:t>
      </w:r>
    </w:p>
    <w:p w14:paraId="455555CC" w14:textId="77777777" w:rsidR="007F4029" w:rsidRPr="00593A5F" w:rsidRDefault="007F4029" w:rsidP="007F4029">
      <w:pPr>
        <w:widowControl w:val="0"/>
        <w:autoSpaceDE w:val="0"/>
        <w:autoSpaceDN w:val="0"/>
        <w:spacing w:after="0" w:line="276" w:lineRule="auto"/>
        <w:jc w:val="both"/>
        <w:rPr>
          <w:rFonts w:ascii="Verdana" w:hAnsi="Verdana" w:cs="Arial"/>
        </w:rPr>
      </w:pPr>
    </w:p>
    <w:p w14:paraId="75C9520A" w14:textId="77777777" w:rsidR="007F4029" w:rsidRPr="00593A5F" w:rsidRDefault="007F4029" w:rsidP="007F402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475D4F28" w14:textId="77777777" w:rsidR="007F4029" w:rsidRPr="00593A5F" w:rsidRDefault="007F4029" w:rsidP="007F4029">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7F4029" w:rsidRPr="00593A5F" w14:paraId="1804B538" w14:textId="77777777" w:rsidTr="00576AAE">
        <w:trPr>
          <w:trHeight w:val="870"/>
        </w:trPr>
        <w:tc>
          <w:tcPr>
            <w:tcW w:w="8647" w:type="dxa"/>
          </w:tcPr>
          <w:p w14:paraId="61B27F61" w14:textId="77777777" w:rsidR="007F4029" w:rsidRPr="00D16A5E" w:rsidRDefault="007F4029" w:rsidP="007F4029">
            <w:pPr>
              <w:pStyle w:val="Prrafodelista"/>
              <w:numPr>
                <w:ilvl w:val="0"/>
                <w:numId w:val="17"/>
              </w:numPr>
              <w:spacing w:after="120" w:line="276" w:lineRule="auto"/>
              <w:ind w:left="360"/>
              <w:jc w:val="both"/>
              <w:rPr>
                <w:rFonts w:ascii="Verdana" w:hAnsi="Verdana" w:cs="Arial"/>
                <w:noProof/>
                <w:lang w:val="es-ES_tradnl"/>
              </w:rPr>
            </w:pPr>
            <w:r>
              <w:rPr>
                <w:rFonts w:ascii="Verdana" w:hAnsi="Verdana" w:cs="Arial"/>
                <w:noProof/>
                <w:lang w:val="es-ES_tradnl"/>
              </w:rPr>
              <w:t>A</w:t>
            </w:r>
            <w:r w:rsidRPr="009F4606">
              <w:rPr>
                <w:rFonts w:ascii="Verdana" w:hAnsi="Verdana" w:cs="Arial"/>
                <w:noProof/>
                <w:lang w:val="es-ES_tradnl"/>
              </w:rPr>
              <w:t>rtículo 5 de la Ley 1150 de 2007, modificado por la Ley 1882 de 2018, parágrafos 1, 3 y 4.</w:t>
            </w:r>
            <w:r>
              <w:rPr>
                <w:rFonts w:ascii="Verdana" w:hAnsi="Verdana" w:cs="Arial"/>
                <w:noProof/>
                <w:lang w:val="es-ES_tradnl"/>
              </w:rPr>
              <w:t xml:space="preserve"> </w:t>
            </w:r>
          </w:p>
          <w:p w14:paraId="17CDA1E1" w14:textId="77777777" w:rsidR="007F4029" w:rsidRDefault="007F4029" w:rsidP="007F4029">
            <w:pPr>
              <w:pStyle w:val="Prrafodelista"/>
              <w:numPr>
                <w:ilvl w:val="0"/>
                <w:numId w:val="17"/>
              </w:numPr>
              <w:spacing w:after="120" w:line="276" w:lineRule="auto"/>
              <w:ind w:left="360"/>
              <w:jc w:val="both"/>
              <w:rPr>
                <w:rFonts w:ascii="Verdana" w:hAnsi="Verdana" w:cs="Arial"/>
                <w:noProof/>
                <w:lang w:val="es-ES_tradnl"/>
              </w:rPr>
            </w:pPr>
            <w:r w:rsidRPr="009F4606">
              <w:rPr>
                <w:rFonts w:ascii="Verdana" w:hAnsi="Verdana" w:cs="Arial"/>
                <w:noProof/>
                <w:lang w:val="es-ES_tradnl"/>
              </w:rPr>
              <w:t>Consejo de Estado. Sala de Consulta y Servicio Civil. Concepto del 20 de mayo de 2010. Exp. 1.992. C.P. Enrique José Arboleda Perdomo.</w:t>
            </w:r>
          </w:p>
          <w:p w14:paraId="46C7EEF5" w14:textId="77777777" w:rsidR="007F4029" w:rsidRDefault="007F4029" w:rsidP="007F4029">
            <w:pPr>
              <w:pStyle w:val="Prrafodelista"/>
              <w:numPr>
                <w:ilvl w:val="0"/>
                <w:numId w:val="17"/>
              </w:numPr>
              <w:spacing w:after="120" w:line="276" w:lineRule="auto"/>
              <w:ind w:left="360"/>
              <w:jc w:val="both"/>
              <w:rPr>
                <w:rFonts w:ascii="Verdana" w:hAnsi="Verdana" w:cs="Arial"/>
                <w:noProof/>
                <w:lang w:val="es-ES_tradnl"/>
              </w:rPr>
            </w:pPr>
            <w:r w:rsidRPr="00F97212">
              <w:rPr>
                <w:rFonts w:ascii="Verdana" w:hAnsi="Verdana" w:cs="Arial"/>
                <w:noProof/>
                <w:lang w:val="es-ES_tradnl"/>
              </w:rPr>
              <w:t>Consejo De Estado. Sección Tercera. Subsección C. Sentencia del 26 de febrero de 2014. Expediente: 25.804. Consejero Ponente: Enrique Gil Botero</w:t>
            </w:r>
            <w:r>
              <w:rPr>
                <w:rFonts w:ascii="Verdana" w:hAnsi="Verdana" w:cs="Arial"/>
                <w:noProof/>
                <w:lang w:val="es-ES_tradnl"/>
              </w:rPr>
              <w:t>.</w:t>
            </w:r>
          </w:p>
          <w:p w14:paraId="7F270C02" w14:textId="77777777" w:rsidR="007F4029" w:rsidRPr="00F97212" w:rsidRDefault="007F4029" w:rsidP="007F4029">
            <w:pPr>
              <w:pStyle w:val="Prrafodelista"/>
              <w:numPr>
                <w:ilvl w:val="0"/>
                <w:numId w:val="17"/>
              </w:numPr>
              <w:spacing w:after="120" w:line="276" w:lineRule="auto"/>
              <w:ind w:left="360"/>
              <w:jc w:val="both"/>
              <w:rPr>
                <w:rFonts w:ascii="Verdana" w:hAnsi="Verdana" w:cs="Arial"/>
                <w:noProof/>
                <w:lang w:val="es-ES_tradnl"/>
              </w:rPr>
            </w:pPr>
            <w:r w:rsidRPr="00F97212">
              <w:rPr>
                <w:rFonts w:ascii="Verdana" w:hAnsi="Verdana" w:cs="Arial"/>
                <w:noProof/>
                <w:lang w:val="es-ES_tradnl"/>
              </w:rPr>
              <w:t>Consejo De Estado, Sección Tercera, Subsección C. Sentencia del 26 de febrero de 2011. C.P. Jaime Orlando Santofimio. Rad. 36.408.</w:t>
            </w:r>
          </w:p>
        </w:tc>
      </w:tr>
    </w:tbl>
    <w:p w14:paraId="07A8EF01" w14:textId="77777777" w:rsidR="007F4029" w:rsidRPr="00593A5F" w:rsidRDefault="007F4029" w:rsidP="007F4029">
      <w:pPr>
        <w:widowControl w:val="0"/>
        <w:autoSpaceDE w:val="0"/>
        <w:autoSpaceDN w:val="0"/>
        <w:spacing w:after="0" w:line="276" w:lineRule="auto"/>
        <w:jc w:val="both"/>
        <w:rPr>
          <w:rFonts w:ascii="Verdana" w:hAnsi="Verdana" w:cs="Arial"/>
        </w:rPr>
      </w:pPr>
    </w:p>
    <w:p w14:paraId="76E59BAD" w14:textId="77777777" w:rsidR="007F4029" w:rsidRPr="00593A5F" w:rsidRDefault="007F4029" w:rsidP="007F402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61924364" w14:textId="77777777" w:rsidR="007F4029" w:rsidRPr="00593A5F" w:rsidRDefault="007F4029" w:rsidP="007F4029">
      <w:pPr>
        <w:widowControl w:val="0"/>
        <w:autoSpaceDE w:val="0"/>
        <w:autoSpaceDN w:val="0"/>
        <w:spacing w:after="0" w:line="276" w:lineRule="auto"/>
        <w:jc w:val="both"/>
        <w:rPr>
          <w:rFonts w:ascii="Verdana" w:hAnsi="Verdana" w:cs="Arial"/>
        </w:rPr>
      </w:pPr>
    </w:p>
    <w:p w14:paraId="433043CC" w14:textId="77777777" w:rsidR="007F4029" w:rsidRPr="00525E10" w:rsidRDefault="007F4029" w:rsidP="007F4029">
      <w:pPr>
        <w:widowControl w:val="0"/>
        <w:autoSpaceDE w:val="0"/>
        <w:autoSpaceDN w:val="0"/>
        <w:spacing w:after="0" w:line="276" w:lineRule="auto"/>
        <w:jc w:val="both"/>
        <w:rPr>
          <w:rStyle w:val="normaltextrun"/>
          <w:rFonts w:ascii="Verdana" w:hAnsi="Verdana" w:cs="Arial"/>
          <w:shd w:val="clear" w:color="auto" w:fill="FFFFFF"/>
          <w:lang w:val="es-ES"/>
        </w:rPr>
      </w:pPr>
      <w:r w:rsidRPr="00D16A5E">
        <w:rPr>
          <w:rFonts w:ascii="Verdana" w:eastAsia="Calibri" w:hAnsi="Verdana" w:cs="Arial"/>
          <w:lang w:val="es-ES" w:eastAsia="es-ES"/>
        </w:rPr>
        <w:t xml:space="preserve">Sobre la </w:t>
      </w:r>
      <w:r w:rsidRPr="00D16A5E">
        <w:rPr>
          <w:rFonts w:ascii="Verdana" w:eastAsia="Calibri" w:hAnsi="Verdana" w:cs="Arial"/>
          <w:lang w:val="es-ES"/>
        </w:rPr>
        <w:t>regla de subsanabilidad en los procesos de selección,</w:t>
      </w:r>
      <w:r w:rsidRPr="00D16A5E">
        <w:rPr>
          <w:rStyle w:val="superscript"/>
          <w:rFonts w:ascii="Verdana" w:hAnsi="Verdana" w:cs="Arial"/>
          <w:shd w:val="clear" w:color="auto" w:fill="FFFFFF"/>
          <w:lang w:val="es-ES"/>
        </w:rPr>
        <w:t xml:space="preserve"> </w:t>
      </w:r>
      <w:r w:rsidRPr="00D16A5E">
        <w:rPr>
          <w:rStyle w:val="normaltextrun"/>
          <w:rFonts w:ascii="Verdana" w:hAnsi="Verdana" w:cs="Arial"/>
          <w:shd w:val="clear" w:color="auto" w:fill="FFFFFF"/>
          <w:lang w:val="es-ES"/>
        </w:rPr>
        <w:t xml:space="preserve">se pronunció esta Subdirección </w:t>
      </w:r>
      <w:r w:rsidRPr="00D16A5E">
        <w:rPr>
          <w:rFonts w:ascii="Verdana" w:eastAsia="Calibri" w:hAnsi="Verdana" w:cs="Arial"/>
          <w:lang w:val="es-ES"/>
        </w:rPr>
        <w:t xml:space="preserve">en los conceptos 4201913000007643 del 26 de diciembre de 2019, C-343 del 17 de junio de 2020, C-518 del 9 de septiembre de 2020, C-614 del 5 de octubre de 2022, C-882 del 21 de diciembre de 2022 y C-172 del 6 de junio de 2023. </w:t>
      </w:r>
      <w:r w:rsidRPr="00A1554D">
        <w:rPr>
          <w:rStyle w:val="normaltextrun"/>
          <w:rFonts w:ascii="Verdana" w:hAnsi="Verdana" w:cs="Arial"/>
          <w:shd w:val="clear" w:color="auto" w:fill="FFFFFF"/>
          <w:lang w:val="es-ES"/>
        </w:rPr>
        <w:t>Es</w:t>
      </w:r>
      <w:r w:rsidRPr="00A1554D">
        <w:rPr>
          <w:rFonts w:ascii="Verdana" w:hAnsi="Verdana"/>
        </w:rPr>
        <w:t xml:space="preserve">tos y otros conceptos se encuentran disponibles para consulta en el Sistema de </w:t>
      </w:r>
      <w:r>
        <w:rPr>
          <w:rFonts w:ascii="Verdana" w:hAnsi="Verdana"/>
        </w:rPr>
        <w:t>r</w:t>
      </w:r>
      <w:r w:rsidRPr="00A1554D">
        <w:rPr>
          <w:rFonts w:ascii="Verdana" w:hAnsi="Verdana"/>
        </w:rPr>
        <w:t>elatoría de la Agencia, al cual se puede acceder a través del siguiente enlace:</w:t>
      </w:r>
      <w:r w:rsidRPr="00A1554D">
        <w:rPr>
          <w:rStyle w:val="normaltextrun"/>
          <w:rFonts w:ascii="Verdana" w:hAnsi="Verdana" w:cs="Arial"/>
          <w:shd w:val="clear" w:color="auto" w:fill="FFFFFF"/>
          <w:lang w:val="es-ES"/>
        </w:rPr>
        <w:t xml:space="preserve"> </w:t>
      </w:r>
      <w:hyperlink r:id="rId11" w:history="1">
        <w:r w:rsidRPr="00A1554D">
          <w:rPr>
            <w:rStyle w:val="Hipervnculo"/>
            <w:rFonts w:ascii="Verdana" w:hAnsi="Verdana" w:cs="Arial"/>
            <w:shd w:val="clear" w:color="auto" w:fill="FFFFFF"/>
            <w:lang w:val="es-ES"/>
          </w:rPr>
          <w:t>https://relatoria.colombiacompra.gov.co/busqueda/conceptos</w:t>
        </w:r>
      </w:hyperlink>
      <w:r>
        <w:rPr>
          <w:rStyle w:val="normaltextrun"/>
          <w:rFonts w:ascii="Verdana" w:hAnsi="Verdana" w:cs="Arial"/>
          <w:shd w:val="clear" w:color="auto" w:fill="FFFFFF"/>
          <w:lang w:val="es-ES"/>
        </w:rPr>
        <w:t>.</w:t>
      </w:r>
    </w:p>
    <w:p w14:paraId="2DA5B53D" w14:textId="77777777" w:rsidR="007F4029" w:rsidRPr="00593A5F" w:rsidRDefault="007F4029" w:rsidP="007F4029">
      <w:pPr>
        <w:widowControl w:val="0"/>
        <w:autoSpaceDE w:val="0"/>
        <w:autoSpaceDN w:val="0"/>
        <w:spacing w:after="0" w:line="276" w:lineRule="auto"/>
        <w:jc w:val="both"/>
        <w:rPr>
          <w:rFonts w:ascii="Verdana" w:hAnsi="Verdana" w:cs="Arial"/>
        </w:rPr>
      </w:pPr>
    </w:p>
    <w:p w14:paraId="4926AD9E" w14:textId="77777777" w:rsidR="007F4029" w:rsidRPr="00593A5F" w:rsidRDefault="007F4029" w:rsidP="007F4029">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6BDF52AC" w14:textId="77777777" w:rsidR="007F4029" w:rsidRPr="00593A5F" w:rsidRDefault="007F4029" w:rsidP="007F4029">
      <w:pPr>
        <w:widowControl w:val="0"/>
        <w:autoSpaceDE w:val="0"/>
        <w:autoSpaceDN w:val="0"/>
        <w:spacing w:after="0" w:line="276" w:lineRule="auto"/>
        <w:jc w:val="both"/>
        <w:rPr>
          <w:rFonts w:ascii="Verdana" w:hAnsi="Verdana" w:cs="Arial"/>
        </w:rPr>
      </w:pPr>
    </w:p>
    <w:p w14:paraId="71738D3D" w14:textId="77777777" w:rsidR="007F4029" w:rsidRPr="00593A5F" w:rsidRDefault="007F4029" w:rsidP="007F4029">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78FE47A1" w14:textId="32B4A071" w:rsidR="007F4029" w:rsidRPr="00593A5F" w:rsidRDefault="00A65E5B" w:rsidP="007F4029">
      <w:pPr>
        <w:spacing w:line="276" w:lineRule="auto"/>
        <w:jc w:val="center"/>
        <w:rPr>
          <w:rFonts w:ascii="Verdana" w:hAnsi="Verdana" w:cs="Arial"/>
          <w:color w:val="000000"/>
          <w:lang w:val="es-ES_tradnl" w:eastAsia="es-CO"/>
        </w:rPr>
      </w:pPr>
      <w:r>
        <w:rPr>
          <w:noProof/>
        </w:rPr>
        <w:drawing>
          <wp:inline distT="0" distB="0" distL="0" distR="0" wp14:anchorId="567BD0B0" wp14:editId="6701CE45">
            <wp:extent cx="3355975" cy="1092200"/>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rotWithShape="1">
                    <a:blip r:embed="rId12"/>
                    <a:srcRect t="12330"/>
                    <a:stretch/>
                  </pic:blipFill>
                  <pic:spPr bwMode="auto">
                    <a:xfrm>
                      <a:off x="0" y="0"/>
                      <a:ext cx="3355975" cy="1092200"/>
                    </a:xfrm>
                    <a:prstGeom prst="rect">
                      <a:avLst/>
                    </a:prstGeom>
                    <a:ln>
                      <a:noFill/>
                    </a:ln>
                    <a:extLst>
                      <a:ext uri="{53640926-AAD7-44D8-BBD7-CCE9431645EC}">
                        <a14:shadowObscured xmlns:a14="http://schemas.microsoft.com/office/drawing/2010/main"/>
                      </a:ext>
                    </a:extLst>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7F4029" w:rsidRPr="00D16A5E" w14:paraId="410DB3B5" w14:textId="77777777" w:rsidTr="00576AAE">
        <w:trPr>
          <w:trHeight w:val="409"/>
        </w:trPr>
        <w:tc>
          <w:tcPr>
            <w:tcW w:w="817" w:type="dxa"/>
            <w:tcBorders>
              <w:top w:val="nil"/>
              <w:left w:val="nil"/>
              <w:bottom w:val="nil"/>
              <w:right w:val="nil"/>
            </w:tcBorders>
            <w:vAlign w:val="center"/>
            <w:hideMark/>
          </w:tcPr>
          <w:p w14:paraId="4E0EF009" w14:textId="77777777" w:rsidR="007F4029" w:rsidRPr="00D16A5E" w:rsidRDefault="007F4029" w:rsidP="00576AAE">
            <w:pPr>
              <w:spacing w:after="0" w:line="240" w:lineRule="auto"/>
              <w:jc w:val="both"/>
              <w:rPr>
                <w:rFonts w:ascii="Verdana" w:hAnsi="Verdana" w:cs="Arial"/>
                <w:sz w:val="16"/>
                <w:szCs w:val="16"/>
              </w:rPr>
            </w:pPr>
            <w:r w:rsidRPr="00D16A5E">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2E1B6F8C" w14:textId="77777777" w:rsidR="007F4029" w:rsidRPr="00D16A5E" w:rsidRDefault="007F4029" w:rsidP="00576AAE">
            <w:pPr>
              <w:spacing w:after="0" w:line="240" w:lineRule="auto"/>
              <w:jc w:val="both"/>
              <w:rPr>
                <w:rFonts w:ascii="Verdana" w:hAnsi="Verdana" w:cs="Arial"/>
                <w:sz w:val="16"/>
                <w:szCs w:val="16"/>
              </w:rPr>
            </w:pPr>
            <w:r>
              <w:rPr>
                <w:rFonts w:ascii="Verdana" w:hAnsi="Verdana" w:cs="Arial"/>
                <w:sz w:val="16"/>
                <w:szCs w:val="16"/>
              </w:rPr>
              <w:t>Diana Lucia Saavedra Castañeda</w:t>
            </w:r>
          </w:p>
          <w:p w14:paraId="6D932560" w14:textId="77777777" w:rsidR="007F4029" w:rsidRPr="00D16A5E" w:rsidRDefault="007F4029" w:rsidP="00576AAE">
            <w:pPr>
              <w:spacing w:after="0" w:line="240" w:lineRule="auto"/>
              <w:jc w:val="both"/>
              <w:rPr>
                <w:rFonts w:ascii="Verdana" w:hAnsi="Verdana" w:cs="Arial"/>
                <w:sz w:val="16"/>
                <w:szCs w:val="16"/>
              </w:rPr>
            </w:pPr>
            <w:r w:rsidRPr="00D16A5E">
              <w:rPr>
                <w:rFonts w:ascii="Verdana" w:hAnsi="Verdana" w:cs="Arial"/>
                <w:sz w:val="16"/>
                <w:szCs w:val="16"/>
              </w:rPr>
              <w:t>Contratista de la Subdirección de Gestión Contractual</w:t>
            </w:r>
          </w:p>
        </w:tc>
      </w:tr>
      <w:tr w:rsidR="007F4029" w:rsidRPr="00D16A5E" w14:paraId="0D535FD3" w14:textId="77777777" w:rsidTr="00576AAE">
        <w:trPr>
          <w:trHeight w:val="409"/>
        </w:trPr>
        <w:tc>
          <w:tcPr>
            <w:tcW w:w="817" w:type="dxa"/>
            <w:tcBorders>
              <w:top w:val="nil"/>
              <w:left w:val="nil"/>
              <w:right w:val="nil"/>
            </w:tcBorders>
            <w:vAlign w:val="center"/>
          </w:tcPr>
          <w:p w14:paraId="45B40CE2" w14:textId="77777777" w:rsidR="007F4029" w:rsidRPr="00D16A5E" w:rsidRDefault="007F4029" w:rsidP="00576AAE">
            <w:pPr>
              <w:spacing w:after="0"/>
              <w:jc w:val="both"/>
              <w:rPr>
                <w:rFonts w:ascii="Verdana" w:hAnsi="Verdana" w:cs="Arial"/>
                <w:sz w:val="16"/>
                <w:szCs w:val="16"/>
              </w:rPr>
            </w:pPr>
            <w:r w:rsidRPr="00D16A5E">
              <w:rPr>
                <w:rFonts w:ascii="Verdana" w:hAnsi="Verdana"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275F03AF" w14:textId="77777777" w:rsidR="007F4029" w:rsidRPr="00D16A5E" w:rsidRDefault="007F4029" w:rsidP="00576AAE">
            <w:pPr>
              <w:spacing w:after="0" w:line="240" w:lineRule="auto"/>
              <w:jc w:val="both"/>
              <w:rPr>
                <w:rStyle w:val="normaltextrun"/>
                <w:rFonts w:ascii="Verdana" w:eastAsia="Times New Roman" w:hAnsi="Verdana" w:cs="Segoe UI"/>
                <w:color w:val="000000" w:themeColor="text1"/>
                <w:sz w:val="16"/>
                <w:szCs w:val="16"/>
                <w:lang w:eastAsia="es-CO"/>
              </w:rPr>
            </w:pPr>
            <w:r w:rsidRPr="00D16A5E">
              <w:rPr>
                <w:rStyle w:val="normaltextrun"/>
                <w:rFonts w:ascii="Verdana" w:eastAsia="Times New Roman" w:hAnsi="Verdana" w:cs="Segoe UI"/>
                <w:color w:val="000000" w:themeColor="text1"/>
                <w:sz w:val="16"/>
                <w:szCs w:val="16"/>
                <w:lang w:eastAsia="es-CO"/>
              </w:rPr>
              <w:t>Alejandro Sarmiento Cantillo</w:t>
            </w:r>
          </w:p>
          <w:p w14:paraId="031D124A" w14:textId="77777777" w:rsidR="007F4029" w:rsidRPr="00D16A5E" w:rsidRDefault="007F4029" w:rsidP="00576AAE">
            <w:pPr>
              <w:spacing w:after="0" w:line="240" w:lineRule="auto"/>
              <w:jc w:val="both"/>
              <w:rPr>
                <w:rFonts w:ascii="Verdana" w:hAnsi="Verdana" w:cs="Arial"/>
                <w:sz w:val="16"/>
                <w:szCs w:val="16"/>
              </w:rPr>
            </w:pPr>
            <w:r w:rsidRPr="00D16A5E">
              <w:rPr>
                <w:rStyle w:val="normaltextrun"/>
                <w:rFonts w:ascii="Verdana" w:eastAsia="Times New Roman" w:hAnsi="Verdana" w:cs="Segoe UI"/>
                <w:color w:val="000000" w:themeColor="text1"/>
                <w:sz w:val="16"/>
                <w:szCs w:val="16"/>
                <w:lang w:eastAsia="es-CO"/>
              </w:rPr>
              <w:t xml:space="preserve">Gestor T1 </w:t>
            </w:r>
            <w:r w:rsidRPr="00D16A5E">
              <w:rPr>
                <w:rStyle w:val="normaltextrun"/>
                <w:rFonts w:ascii="Verdana" w:eastAsia="Times New Roman" w:hAnsi="Verdana" w:cs="Arial"/>
                <w:color w:val="000000" w:themeColor="text1"/>
                <w:sz w:val="16"/>
                <w:szCs w:val="16"/>
                <w:lang w:eastAsia="es-CO"/>
              </w:rPr>
              <w:t>‒</w:t>
            </w:r>
            <w:r w:rsidRPr="00D16A5E">
              <w:rPr>
                <w:rStyle w:val="normaltextrun"/>
                <w:rFonts w:ascii="Verdana" w:eastAsia="Times New Roman" w:hAnsi="Verdana" w:cs="Segoe UI"/>
                <w:color w:val="000000" w:themeColor="text1"/>
                <w:sz w:val="16"/>
                <w:szCs w:val="16"/>
                <w:lang w:eastAsia="es-CO"/>
              </w:rPr>
              <w:t xml:space="preserve"> 15 de la Subdirección de Gestión Contractual</w:t>
            </w:r>
          </w:p>
        </w:tc>
      </w:tr>
      <w:tr w:rsidR="007F4029" w:rsidRPr="00D16A5E" w14:paraId="08950483" w14:textId="77777777" w:rsidTr="00576AAE">
        <w:trPr>
          <w:trHeight w:val="389"/>
        </w:trPr>
        <w:tc>
          <w:tcPr>
            <w:tcW w:w="817" w:type="dxa"/>
            <w:tcBorders>
              <w:top w:val="nil"/>
              <w:left w:val="nil"/>
              <w:bottom w:val="nil"/>
              <w:right w:val="nil"/>
            </w:tcBorders>
            <w:vAlign w:val="center"/>
            <w:hideMark/>
          </w:tcPr>
          <w:p w14:paraId="528FEB4F" w14:textId="77777777" w:rsidR="007F4029" w:rsidRPr="00D16A5E" w:rsidRDefault="007F4029" w:rsidP="00576AAE">
            <w:pPr>
              <w:spacing w:after="0" w:line="240" w:lineRule="auto"/>
              <w:jc w:val="both"/>
              <w:rPr>
                <w:rFonts w:ascii="Verdana" w:hAnsi="Verdana" w:cs="Arial"/>
                <w:sz w:val="16"/>
                <w:szCs w:val="16"/>
              </w:rPr>
            </w:pPr>
            <w:r w:rsidRPr="00D16A5E">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7643155F" w14:textId="77777777" w:rsidR="007F4029" w:rsidRPr="00D16A5E" w:rsidRDefault="007F4029" w:rsidP="00576AAE">
            <w:pPr>
              <w:spacing w:after="0"/>
              <w:rPr>
                <w:rFonts w:ascii="Verdana" w:eastAsia="Calibri" w:hAnsi="Verdana" w:cs="Arial"/>
                <w:sz w:val="16"/>
                <w:szCs w:val="16"/>
                <w:lang w:val="pt-BR" w:eastAsia="es-ES"/>
              </w:rPr>
            </w:pPr>
            <w:r w:rsidRPr="00D16A5E">
              <w:rPr>
                <w:rFonts w:ascii="Verdana" w:eastAsia="Calibri" w:hAnsi="Verdana" w:cs="Arial"/>
                <w:sz w:val="16"/>
                <w:szCs w:val="16"/>
                <w:lang w:val="pt-BR" w:eastAsia="es-ES"/>
              </w:rPr>
              <w:t>Carolina Quintero Gacharná</w:t>
            </w:r>
          </w:p>
          <w:p w14:paraId="0697CCB6" w14:textId="77777777" w:rsidR="007F4029" w:rsidRPr="00D16A5E" w:rsidRDefault="007F4029" w:rsidP="00576AAE">
            <w:pPr>
              <w:spacing w:after="0" w:line="240" w:lineRule="auto"/>
              <w:jc w:val="both"/>
              <w:rPr>
                <w:rFonts w:ascii="Verdana" w:hAnsi="Verdana" w:cs="Arial"/>
                <w:sz w:val="16"/>
                <w:szCs w:val="16"/>
              </w:rPr>
            </w:pPr>
            <w:r w:rsidRPr="00D16A5E">
              <w:rPr>
                <w:rFonts w:ascii="Verdana" w:hAnsi="Verdana" w:cs="Arial"/>
                <w:sz w:val="16"/>
                <w:szCs w:val="16"/>
              </w:rPr>
              <w:t>Subdirectora de Gestión Contractual ANCP – CCE</w:t>
            </w:r>
          </w:p>
        </w:tc>
      </w:tr>
    </w:tbl>
    <w:p w14:paraId="57DAD760" w14:textId="77777777" w:rsidR="007F4029" w:rsidRPr="00D16A5E" w:rsidRDefault="007F4029" w:rsidP="007F4029">
      <w:pPr>
        <w:pStyle w:val="Default"/>
        <w:tabs>
          <w:tab w:val="left" w:pos="2864"/>
        </w:tabs>
        <w:jc w:val="both"/>
        <w:rPr>
          <w:rFonts w:ascii="Verdana" w:hAnsi="Verdana"/>
          <w:sz w:val="22"/>
          <w:szCs w:val="22"/>
          <w:lang w:val="es-ES"/>
        </w:rPr>
      </w:pPr>
    </w:p>
    <w:p w14:paraId="01856A27" w14:textId="77777777" w:rsidR="007F4029" w:rsidRPr="00B87B77" w:rsidRDefault="007F4029" w:rsidP="007F4029">
      <w:pPr>
        <w:spacing w:after="0" w:line="240" w:lineRule="auto"/>
        <w:rPr>
          <w:rFonts w:ascii="Verdana" w:eastAsia="Times New Roman" w:hAnsi="Verdana" w:cs="Arial"/>
          <w:sz w:val="24"/>
          <w:szCs w:val="24"/>
          <w:lang w:val="es-ES" w:eastAsia="es-ES"/>
        </w:rPr>
      </w:pPr>
    </w:p>
    <w:bookmarkEnd w:id="0"/>
    <w:p w14:paraId="28FD63B1" w14:textId="77777777" w:rsidR="007F4029" w:rsidRPr="007F4029" w:rsidRDefault="007F4029" w:rsidP="00E245AB">
      <w:pPr>
        <w:spacing w:after="0"/>
        <w:rPr>
          <w:rFonts w:ascii="Verdana" w:hAnsi="Verdana"/>
          <w:lang w:val="es-ES"/>
        </w:rPr>
      </w:pPr>
    </w:p>
    <w:sectPr w:rsidR="007F4029" w:rsidRPr="007F4029" w:rsidSect="007C0C0F">
      <w:headerReference w:type="default" r:id="rId13"/>
      <w:footerReference w:type="default" r:id="rId14"/>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3E06E" w14:textId="77777777" w:rsidR="002A26EB" w:rsidRDefault="002A26EB" w:rsidP="004A1847">
      <w:pPr>
        <w:spacing w:after="0" w:line="240" w:lineRule="auto"/>
      </w:pPr>
      <w:r>
        <w:separator/>
      </w:r>
    </w:p>
  </w:endnote>
  <w:endnote w:type="continuationSeparator" w:id="0">
    <w:p w14:paraId="79138C52" w14:textId="77777777" w:rsidR="002A26EB" w:rsidRDefault="002A26EB"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50F34" w14:textId="77777777" w:rsidR="002A26EB" w:rsidRDefault="002A26EB" w:rsidP="004A1847">
      <w:pPr>
        <w:spacing w:after="0" w:line="240" w:lineRule="auto"/>
      </w:pPr>
      <w:r>
        <w:separator/>
      </w:r>
    </w:p>
  </w:footnote>
  <w:footnote w:type="continuationSeparator" w:id="0">
    <w:p w14:paraId="0EAD9D58" w14:textId="77777777" w:rsidR="002A26EB" w:rsidRDefault="002A26EB" w:rsidP="004A1847">
      <w:pPr>
        <w:spacing w:after="0" w:line="240" w:lineRule="auto"/>
      </w:pPr>
      <w:r>
        <w:continuationSeparator/>
      </w:r>
    </w:p>
  </w:footnote>
  <w:footnote w:id="1">
    <w:p w14:paraId="157907AC" w14:textId="792B6825" w:rsidR="007F4029" w:rsidRPr="00B74530" w:rsidRDefault="007F4029" w:rsidP="007F4029">
      <w:pPr>
        <w:pStyle w:val="Textonotapie"/>
        <w:ind w:firstLine="709"/>
        <w:jc w:val="both"/>
        <w:rPr>
          <w:rFonts w:ascii="Verdana" w:hAnsi="Verdana" w:cs="Arial"/>
          <w:color w:val="000000"/>
          <w:sz w:val="16"/>
          <w:szCs w:val="16"/>
        </w:rPr>
      </w:pPr>
      <w:r w:rsidRPr="00B74530">
        <w:rPr>
          <w:rStyle w:val="Refdenotaalpie"/>
          <w:rFonts w:ascii="Verdana" w:hAnsi="Verdana" w:cs="Arial"/>
          <w:color w:val="000000"/>
          <w:sz w:val="16"/>
          <w:szCs w:val="16"/>
        </w:rPr>
        <w:footnoteRef/>
      </w:r>
      <w:r w:rsidRPr="00B74530">
        <w:rPr>
          <w:rFonts w:ascii="Verdana" w:hAnsi="Verdana" w:cs="Arial"/>
          <w:color w:val="000000"/>
          <w:sz w:val="16"/>
          <w:szCs w:val="16"/>
        </w:rPr>
        <w:t xml:space="preserve"> Ley 80 de 1993. Art. 30.7: </w:t>
      </w:r>
      <w:r w:rsidR="00B74530">
        <w:rPr>
          <w:rFonts w:ascii="Verdana" w:hAnsi="Verdana" w:cs="Arial"/>
          <w:color w:val="000000"/>
          <w:sz w:val="16"/>
          <w:szCs w:val="16"/>
        </w:rPr>
        <w:t>“</w:t>
      </w:r>
      <w:r w:rsidRPr="00B74530">
        <w:rPr>
          <w:rFonts w:ascii="Verdana" w:hAnsi="Verdana" w:cs="Arial"/>
          <w:color w:val="000000"/>
          <w:sz w:val="16"/>
          <w:szCs w:val="16"/>
        </w:rPr>
        <w:t>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w:t>
      </w:r>
      <w:r w:rsidR="00B74530">
        <w:rPr>
          <w:rFonts w:ascii="Verdana" w:hAnsi="Verdana" w:cs="Arial"/>
          <w:color w:val="000000"/>
          <w:sz w:val="16"/>
          <w:szCs w:val="16"/>
        </w:rPr>
        <w:t>”</w:t>
      </w:r>
      <w:r w:rsidRPr="00B74530">
        <w:rPr>
          <w:rFonts w:ascii="Verdana" w:hAnsi="Verdana" w:cs="Arial"/>
          <w:color w:val="000000"/>
          <w:sz w:val="16"/>
          <w:szCs w:val="16"/>
        </w:rPr>
        <w:t xml:space="preserve">. </w:t>
      </w:r>
    </w:p>
    <w:p w14:paraId="5F280CE7" w14:textId="77777777" w:rsidR="007F4029" w:rsidRPr="00B74530" w:rsidRDefault="007F4029" w:rsidP="007F4029">
      <w:pPr>
        <w:pStyle w:val="Textonotapie"/>
        <w:ind w:firstLine="709"/>
        <w:jc w:val="both"/>
        <w:rPr>
          <w:rFonts w:ascii="Verdana" w:hAnsi="Verdana" w:cs="Arial"/>
          <w:color w:val="000000"/>
          <w:sz w:val="16"/>
          <w:szCs w:val="16"/>
        </w:rPr>
      </w:pPr>
    </w:p>
  </w:footnote>
  <w:footnote w:id="2">
    <w:p w14:paraId="1E83D555" w14:textId="560493DC" w:rsidR="007F4029" w:rsidRDefault="007F4029" w:rsidP="007F4029">
      <w:pPr>
        <w:pStyle w:val="Textonotapie"/>
        <w:ind w:firstLine="709"/>
        <w:jc w:val="both"/>
        <w:rPr>
          <w:rFonts w:ascii="Verdana" w:hAnsi="Verdana" w:cs="Arial"/>
          <w:color w:val="000000"/>
          <w:sz w:val="16"/>
          <w:szCs w:val="16"/>
        </w:rPr>
      </w:pPr>
      <w:r w:rsidRPr="00B74530">
        <w:rPr>
          <w:rStyle w:val="Refdenotaalpie"/>
          <w:rFonts w:ascii="Verdana" w:hAnsi="Verdana" w:cs="Arial"/>
          <w:color w:val="000000"/>
          <w:sz w:val="16"/>
          <w:szCs w:val="16"/>
        </w:rPr>
        <w:footnoteRef/>
      </w:r>
      <w:r w:rsidRPr="00B74530">
        <w:rPr>
          <w:rFonts w:ascii="Verdana" w:hAnsi="Verdana" w:cs="Arial"/>
          <w:color w:val="000000"/>
          <w:sz w:val="16"/>
          <w:szCs w:val="16"/>
        </w:rPr>
        <w:t xml:space="preserve"> Ley 80 de 1993. Art. 30.8: </w:t>
      </w:r>
      <w:r w:rsidR="00B74530">
        <w:rPr>
          <w:rFonts w:ascii="Verdana" w:hAnsi="Verdana" w:cs="Arial"/>
          <w:color w:val="000000"/>
          <w:sz w:val="16"/>
          <w:szCs w:val="16"/>
        </w:rPr>
        <w:t>“</w:t>
      </w:r>
      <w:r w:rsidRPr="00B74530">
        <w:rPr>
          <w:rFonts w:ascii="Verdana" w:hAnsi="Verdana" w:cs="Arial"/>
          <w:color w:val="000000"/>
          <w:sz w:val="16"/>
          <w:szCs w:val="16"/>
        </w:rPr>
        <w:t>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r w:rsidR="00B74530">
        <w:rPr>
          <w:rFonts w:ascii="Verdana" w:hAnsi="Verdana" w:cs="Arial"/>
          <w:color w:val="000000"/>
          <w:sz w:val="16"/>
          <w:szCs w:val="16"/>
        </w:rPr>
        <w:t>”</w:t>
      </w:r>
      <w:r w:rsidRPr="00B74530">
        <w:rPr>
          <w:rFonts w:ascii="Verdana" w:hAnsi="Verdana" w:cs="Arial"/>
          <w:color w:val="000000"/>
          <w:sz w:val="16"/>
          <w:szCs w:val="16"/>
        </w:rPr>
        <w:t>.</w:t>
      </w:r>
    </w:p>
    <w:p w14:paraId="6049731F" w14:textId="77777777" w:rsidR="00B74530" w:rsidRPr="00B74530" w:rsidRDefault="00B74530" w:rsidP="007F4029">
      <w:pPr>
        <w:pStyle w:val="Textonotapie"/>
        <w:ind w:firstLine="709"/>
        <w:jc w:val="both"/>
        <w:rPr>
          <w:rFonts w:ascii="Verdana" w:hAnsi="Verdana" w:cs="Arial"/>
          <w:color w:val="000000"/>
          <w:sz w:val="16"/>
          <w:szCs w:val="16"/>
        </w:rPr>
      </w:pPr>
    </w:p>
  </w:footnote>
  <w:footnote w:id="3">
    <w:p w14:paraId="2B05F78A" w14:textId="08B2BF90" w:rsidR="00B74530" w:rsidRPr="00B74530" w:rsidRDefault="007F4029" w:rsidP="00B74530">
      <w:pPr>
        <w:pStyle w:val="Textonotapie"/>
        <w:ind w:firstLine="709"/>
        <w:jc w:val="both"/>
        <w:rPr>
          <w:rFonts w:ascii="Verdana" w:hAnsi="Verdana" w:cs="Arial"/>
          <w:color w:val="000000"/>
          <w:sz w:val="16"/>
          <w:szCs w:val="16"/>
        </w:rPr>
      </w:pPr>
      <w:r w:rsidRPr="00B74530">
        <w:rPr>
          <w:rStyle w:val="Refdenotaalpie"/>
          <w:rFonts w:ascii="Verdana" w:hAnsi="Verdana" w:cs="Arial"/>
          <w:color w:val="000000"/>
          <w:sz w:val="16"/>
          <w:szCs w:val="16"/>
        </w:rPr>
        <w:footnoteRef/>
      </w:r>
      <w:r w:rsidRPr="00B74530">
        <w:rPr>
          <w:rFonts w:ascii="Verdana" w:hAnsi="Verdana" w:cs="Arial"/>
          <w:color w:val="000000"/>
          <w:sz w:val="16"/>
          <w:szCs w:val="16"/>
        </w:rPr>
        <w:t xml:space="preserve"> CONSEJO DE ESTADO. Sección Tercera. Subsección C. Sentencia del 26 de febrero de 2014. Expediente: 25.804. Consejero Ponente: Enrique Gil Botero.</w:t>
      </w:r>
      <w:r w:rsidRPr="00B74530">
        <w:rPr>
          <w:rFonts w:ascii="Verdana" w:hAnsi="Verdana"/>
          <w:sz w:val="16"/>
          <w:szCs w:val="16"/>
        </w:rPr>
        <w:t xml:space="preserve"> </w:t>
      </w:r>
      <w:hyperlink r:id="rId1" w:history="1">
        <w:r w:rsidRPr="00B74530">
          <w:rPr>
            <w:rStyle w:val="Hipervnculo"/>
            <w:rFonts w:ascii="Verdana" w:hAnsi="Verdana" w:cs="Arial"/>
            <w:sz w:val="16"/>
            <w:szCs w:val="16"/>
          </w:rPr>
          <w:t>https://relatoria.colombiacompra.gov.co/providencias-consejo-de-estado/</w:t>
        </w:r>
      </w:hyperlink>
      <w:r w:rsidRPr="00B74530">
        <w:rPr>
          <w:rFonts w:ascii="Verdana" w:hAnsi="Verdana" w:cs="Arial"/>
          <w:color w:val="000000"/>
          <w:sz w:val="16"/>
          <w:szCs w:val="16"/>
        </w:rPr>
        <w:t xml:space="preserve"> </w:t>
      </w:r>
    </w:p>
  </w:footnote>
  <w:footnote w:id="4">
    <w:p w14:paraId="7230B9E5" w14:textId="77777777" w:rsidR="007F4029" w:rsidRPr="00B74530" w:rsidRDefault="007F4029" w:rsidP="007F4029">
      <w:pPr>
        <w:pStyle w:val="Textonotapie"/>
        <w:ind w:firstLine="709"/>
        <w:jc w:val="both"/>
        <w:rPr>
          <w:rFonts w:ascii="Verdana" w:hAnsi="Verdana" w:cs="Arial"/>
          <w:color w:val="000000"/>
          <w:sz w:val="16"/>
          <w:szCs w:val="16"/>
        </w:rPr>
      </w:pPr>
      <w:r w:rsidRPr="00B74530">
        <w:rPr>
          <w:rStyle w:val="Refdenotaalpie"/>
          <w:rFonts w:ascii="Verdana" w:hAnsi="Verdana" w:cs="Arial"/>
          <w:color w:val="000000"/>
          <w:sz w:val="16"/>
          <w:szCs w:val="16"/>
        </w:rPr>
        <w:footnoteRef/>
      </w:r>
      <w:r w:rsidRPr="00B74530">
        <w:rPr>
          <w:rStyle w:val="Refdenotaalpie"/>
          <w:rFonts w:ascii="Verdana" w:hAnsi="Verdana" w:cs="Arial"/>
          <w:color w:val="000000"/>
          <w:sz w:val="16"/>
          <w:szCs w:val="16"/>
        </w:rPr>
        <w:t xml:space="preserve"> </w:t>
      </w:r>
      <w:r w:rsidRPr="00B74530">
        <w:rPr>
          <w:rFonts w:ascii="Verdana" w:hAnsi="Verdana" w:cs="Arial"/>
          <w:color w:val="000000"/>
          <w:sz w:val="16"/>
          <w:szCs w:val="16"/>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p w14:paraId="525882A6" w14:textId="77777777" w:rsidR="007F4029" w:rsidRPr="00B74530" w:rsidRDefault="007F4029" w:rsidP="007F4029">
      <w:pPr>
        <w:pStyle w:val="Textonotapie"/>
        <w:ind w:firstLine="709"/>
        <w:jc w:val="both"/>
        <w:rPr>
          <w:rFonts w:ascii="Verdana" w:hAnsi="Verdana" w:cs="Arial"/>
          <w:color w:val="000000"/>
          <w:sz w:val="16"/>
          <w:szCs w:val="16"/>
        </w:rPr>
      </w:pPr>
    </w:p>
  </w:footnote>
  <w:footnote w:id="5">
    <w:p w14:paraId="2898E8E8" w14:textId="77777777" w:rsidR="007F4029" w:rsidRPr="00B74530" w:rsidRDefault="007F4029" w:rsidP="007F4029">
      <w:pPr>
        <w:pStyle w:val="Textonotapie"/>
        <w:ind w:firstLine="709"/>
        <w:jc w:val="both"/>
        <w:rPr>
          <w:rFonts w:ascii="Verdana" w:hAnsi="Verdana" w:cs="Arial"/>
          <w:color w:val="000000"/>
          <w:sz w:val="16"/>
          <w:szCs w:val="16"/>
        </w:rPr>
      </w:pPr>
      <w:r w:rsidRPr="00B74530">
        <w:rPr>
          <w:rStyle w:val="Refdenotaalpie"/>
          <w:rFonts w:ascii="Verdana" w:hAnsi="Verdana" w:cs="Arial"/>
          <w:color w:val="000000"/>
          <w:sz w:val="16"/>
          <w:szCs w:val="16"/>
        </w:rPr>
        <w:footnoteRef/>
      </w:r>
      <w:r w:rsidRPr="00B74530">
        <w:rPr>
          <w:rFonts w:ascii="Verdana" w:hAnsi="Verdana" w:cs="Arial"/>
          <w:color w:val="000000"/>
          <w:sz w:val="16"/>
          <w:szCs w:val="16"/>
        </w:rPr>
        <w:t xml:space="preserve"> Sin embargo, debe tenerse en cuenta que la última norma en cita -Decreto 2474 de 2008, aparte subrayado-, establece un límite a la subsanabilidad, puesto que en cualquier caso debe referirse o recaer sobre circunstancias ocurridas antes del cierre del respectivo proceso, esto es, del vencimiento del plazo para presentar ofertas.</w:t>
      </w:r>
    </w:p>
    <w:p w14:paraId="72E56961" w14:textId="77777777" w:rsidR="00B74530" w:rsidRDefault="00B74530" w:rsidP="007F4029">
      <w:pPr>
        <w:pStyle w:val="Textonotapie"/>
        <w:ind w:firstLine="709"/>
        <w:jc w:val="both"/>
        <w:rPr>
          <w:rFonts w:ascii="Verdana" w:hAnsi="Verdana" w:cs="Arial"/>
          <w:color w:val="000000"/>
          <w:sz w:val="16"/>
          <w:szCs w:val="16"/>
        </w:rPr>
      </w:pPr>
    </w:p>
    <w:p w14:paraId="0D2BD484" w14:textId="76B9EF8D" w:rsidR="007F4029" w:rsidRDefault="007F4029" w:rsidP="007F4029">
      <w:pPr>
        <w:pStyle w:val="Textonotapie"/>
        <w:ind w:firstLine="709"/>
        <w:jc w:val="both"/>
        <w:rPr>
          <w:rFonts w:ascii="Verdana" w:hAnsi="Verdana" w:cs="Arial"/>
          <w:color w:val="000000"/>
          <w:sz w:val="16"/>
          <w:szCs w:val="16"/>
        </w:rPr>
      </w:pPr>
      <w:r w:rsidRPr="00B74530">
        <w:rPr>
          <w:rFonts w:ascii="Verdana" w:hAnsi="Verdana" w:cs="Arial"/>
          <w:color w:val="000000"/>
          <w:sz w:val="16"/>
          <w:szCs w:val="16"/>
        </w:rPr>
        <w:t>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la misma,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w:t>
      </w:r>
      <w:r w:rsidR="00B74530">
        <w:rPr>
          <w:rFonts w:ascii="Verdana" w:hAnsi="Verdana" w:cs="Arial"/>
          <w:color w:val="000000"/>
          <w:sz w:val="16"/>
          <w:szCs w:val="16"/>
        </w:rPr>
        <w:t>.</w:t>
      </w:r>
      <w:r w:rsidRPr="00B74530">
        <w:rPr>
          <w:rFonts w:ascii="Verdana" w:hAnsi="Verdana" w:cs="Arial"/>
          <w:color w:val="000000"/>
          <w:sz w:val="16"/>
          <w:szCs w:val="16"/>
        </w:rPr>
        <w:t xml:space="preserve"> (Consejo de Estado. Sala de Consulta y Servicio Civil. Concepto del 6 de noviembre de 2008. Expediente: 1927. Consejero Ponente: William Zambrano Cetina).</w:t>
      </w:r>
    </w:p>
    <w:p w14:paraId="56BBE134" w14:textId="77777777" w:rsidR="00B74530" w:rsidRPr="00B74530" w:rsidRDefault="00B74530" w:rsidP="007F4029">
      <w:pPr>
        <w:pStyle w:val="Textonotapie"/>
        <w:ind w:firstLine="709"/>
        <w:jc w:val="both"/>
        <w:rPr>
          <w:rFonts w:ascii="Verdana" w:hAnsi="Verdana" w:cs="Arial"/>
          <w:color w:val="000000"/>
          <w:sz w:val="16"/>
          <w:szCs w:val="16"/>
        </w:rPr>
      </w:pPr>
    </w:p>
  </w:footnote>
  <w:footnote w:id="6">
    <w:p w14:paraId="65848353" w14:textId="77777777" w:rsidR="007F4029" w:rsidRPr="00B74530" w:rsidRDefault="007F4029" w:rsidP="007F4029">
      <w:pPr>
        <w:pStyle w:val="Textonotapie"/>
        <w:ind w:firstLine="709"/>
        <w:jc w:val="both"/>
        <w:rPr>
          <w:rFonts w:ascii="Verdana" w:hAnsi="Verdana" w:cs="Arial"/>
          <w:color w:val="000000"/>
          <w:sz w:val="16"/>
          <w:szCs w:val="16"/>
        </w:rPr>
      </w:pPr>
      <w:r w:rsidRPr="00B74530">
        <w:rPr>
          <w:rStyle w:val="Refdenotaalpie"/>
          <w:rFonts w:ascii="Verdana" w:hAnsi="Verdana" w:cs="Arial"/>
          <w:sz w:val="16"/>
          <w:szCs w:val="16"/>
        </w:rPr>
        <w:footnoteRef/>
      </w:r>
      <w:r w:rsidRPr="00B74530">
        <w:rPr>
          <w:rFonts w:ascii="Verdana" w:hAnsi="Verdana" w:cs="Arial"/>
          <w:sz w:val="16"/>
          <w:szCs w:val="16"/>
        </w:rPr>
        <w:t xml:space="preserve"> </w:t>
      </w:r>
      <w:r w:rsidRPr="00B74530">
        <w:rPr>
          <w:rFonts w:ascii="Verdana" w:hAnsi="Verdana" w:cs="Arial"/>
          <w:color w:val="000000"/>
          <w:sz w:val="16"/>
          <w:szCs w:val="16"/>
        </w:rPr>
        <w:t xml:space="preserve">En armonía con lo anterior, actualmente la Circular Externa Única de Colombia Compra Eficiente señala lo siguiente: “De otro lado, cabe destacar que, de conformidad con el artículo 5 de la Ley 1882 de 2018, durante el término otorgado para subsanar, los proponentes no podrán acreditar circunstancias ocurridas luego del cierre del proceso. De esta manera, es subsanable la prueba de todas las circunstancias ocurridas antes del vencimiento del término para presentar las ofertas, por lo que no se podrán acreditar circunstancias ocurridas con posterioridad a dicho momento. </w:t>
      </w:r>
    </w:p>
    <w:p w14:paraId="27AEE9E9" w14:textId="77777777" w:rsidR="007F4029" w:rsidRPr="00B74530" w:rsidRDefault="007F4029" w:rsidP="007F4029">
      <w:pPr>
        <w:pStyle w:val="Textonotapie"/>
        <w:ind w:firstLine="709"/>
        <w:jc w:val="both"/>
        <w:rPr>
          <w:rFonts w:ascii="Verdana" w:hAnsi="Verdana" w:cs="Arial"/>
          <w:color w:val="000000"/>
          <w:sz w:val="16"/>
          <w:szCs w:val="16"/>
        </w:rPr>
      </w:pPr>
    </w:p>
    <w:p w14:paraId="7C50528D" w14:textId="77777777" w:rsidR="007F4029" w:rsidRPr="00B74530" w:rsidRDefault="007F4029" w:rsidP="007F4029">
      <w:pPr>
        <w:pStyle w:val="Textonotapie"/>
        <w:ind w:firstLine="709"/>
        <w:jc w:val="both"/>
        <w:rPr>
          <w:rFonts w:ascii="Verdana" w:hAnsi="Verdana" w:cs="Arial"/>
          <w:color w:val="000000"/>
          <w:sz w:val="16"/>
          <w:szCs w:val="16"/>
        </w:rPr>
      </w:pPr>
      <w:r w:rsidRPr="00B74530">
        <w:rPr>
          <w:rFonts w:ascii="Verdana" w:hAnsi="Verdana" w:cs="Arial"/>
          <w:color w:val="000000"/>
          <w:sz w:val="16"/>
          <w:szCs w:val="16"/>
        </w:rPr>
        <w:t xml:space="preserve">Lo anterior quiere decir que no es la prueba lo que debe ser anterior al cierre del proceso, sino el hecho que esta acredita. En ese sentido, ante la solicitud de la Administración de subsanar un requisito, el documento podría estar fechado con posterioridad al vencimiento del término para recibir propuestas, con la condición de que el hecho que acredite haya ocurrido antes, esto es, que no sea una circunstancia ocurrida con posterioridad al cierre del proceso. Un mejor entendimiento del significado de la expresión «circunstancias ocurridas con posterioridad al cierre del proceso» implica distinguir entre la prueba de un hecho y el hecho mismo. En el caso de la subsanabilidad de las ofertas, una cosa es el requisito habilitante o el elemento de la propuesta que permite cumplir determinada exigencia del pliego de condiciones –o documento equivalente– y otra su prueba. Lo que prohíbe la norma es que se subsanen requisitos que no estaban materialmente cumplidos al momento del cierre del proceso”. Disponible en: </w:t>
      </w:r>
      <w:hyperlink r:id="rId2" w:history="1">
        <w:r w:rsidRPr="00B74530">
          <w:rPr>
            <w:rStyle w:val="Hipervnculo"/>
            <w:rFonts w:ascii="Verdana" w:hAnsi="Verdana" w:cs="Arial"/>
            <w:sz w:val="16"/>
            <w:szCs w:val="16"/>
          </w:rPr>
          <w:t>https://www.colombiacompra.gov.co/circulares?page=2</w:t>
        </w:r>
      </w:hyperlink>
      <w:r w:rsidRPr="00B74530">
        <w:rPr>
          <w:rStyle w:val="Hipervnculo"/>
          <w:rFonts w:ascii="Verdana" w:hAnsi="Verdana" w:cs="Arial"/>
          <w:color w:val="000000"/>
          <w:sz w:val="16"/>
          <w:szCs w:val="16"/>
        </w:rPr>
        <w:t xml:space="preserve"> </w:t>
      </w:r>
    </w:p>
    <w:p w14:paraId="307BF34B" w14:textId="77777777" w:rsidR="007F4029" w:rsidRPr="00B74530" w:rsidRDefault="007F4029" w:rsidP="007F4029">
      <w:pPr>
        <w:pStyle w:val="Textonotapie"/>
        <w:ind w:firstLine="709"/>
        <w:jc w:val="both"/>
        <w:rPr>
          <w:rFonts w:ascii="Verdana" w:hAnsi="Verdana" w:cs="Arial"/>
          <w:color w:val="000000"/>
          <w:sz w:val="16"/>
          <w:szCs w:val="16"/>
        </w:rPr>
      </w:pPr>
    </w:p>
  </w:footnote>
  <w:footnote w:id="7">
    <w:p w14:paraId="1E3158B1" w14:textId="77777777" w:rsidR="007F4029" w:rsidRPr="00B74530" w:rsidRDefault="007F4029" w:rsidP="007F4029">
      <w:pPr>
        <w:pStyle w:val="Textonotapie"/>
        <w:ind w:firstLine="709"/>
        <w:jc w:val="both"/>
        <w:rPr>
          <w:rFonts w:ascii="Verdana" w:hAnsi="Verdana" w:cs="Arial"/>
          <w:color w:val="000000"/>
          <w:sz w:val="16"/>
          <w:szCs w:val="16"/>
        </w:rPr>
      </w:pPr>
      <w:r w:rsidRPr="00B74530">
        <w:rPr>
          <w:rStyle w:val="Refdenotaalpie"/>
          <w:rFonts w:ascii="Verdana" w:hAnsi="Verdana" w:cs="Arial"/>
          <w:color w:val="000000"/>
          <w:sz w:val="16"/>
          <w:szCs w:val="16"/>
        </w:rPr>
        <w:footnoteRef/>
      </w:r>
      <w:r w:rsidRPr="00B74530">
        <w:rPr>
          <w:rFonts w:ascii="Verdana" w:hAnsi="Verdana" w:cs="Arial"/>
          <w:color w:val="000000"/>
          <w:sz w:val="16"/>
          <w:szCs w:val="16"/>
        </w:rPr>
        <w:t xml:space="preserve"> Ver CONSEJO DE ESTADO, Sección Tercera, Subsección C. Sentencia del 26 de febrero de 2011. C.P. Jaime Orlando Santofimio. Rad. 36.408. </w:t>
      </w:r>
    </w:p>
  </w:footnote>
  <w:footnote w:id="8">
    <w:p w14:paraId="66244CF9" w14:textId="77777777" w:rsidR="007F4029" w:rsidRPr="00B74530" w:rsidRDefault="007F4029" w:rsidP="007F4029">
      <w:pPr>
        <w:pStyle w:val="Textonotapie"/>
        <w:ind w:firstLine="709"/>
        <w:jc w:val="both"/>
        <w:rPr>
          <w:rFonts w:ascii="Verdana" w:hAnsi="Verdana" w:cs="Arial"/>
          <w:color w:val="000000"/>
          <w:sz w:val="16"/>
          <w:szCs w:val="16"/>
        </w:rPr>
      </w:pPr>
    </w:p>
    <w:p w14:paraId="19A9E206" w14:textId="77777777" w:rsidR="007F4029" w:rsidRPr="00B74530" w:rsidRDefault="007F4029" w:rsidP="007F4029">
      <w:pPr>
        <w:pStyle w:val="Textonotapie"/>
        <w:ind w:firstLine="709"/>
        <w:jc w:val="both"/>
        <w:rPr>
          <w:rFonts w:ascii="Verdana" w:hAnsi="Verdana" w:cs="Arial"/>
          <w:color w:val="000000"/>
          <w:sz w:val="16"/>
          <w:szCs w:val="16"/>
        </w:rPr>
      </w:pPr>
      <w:r w:rsidRPr="00B74530">
        <w:rPr>
          <w:rStyle w:val="Refdenotaalpie"/>
          <w:rFonts w:ascii="Verdana" w:hAnsi="Verdana" w:cs="Arial"/>
          <w:color w:val="000000"/>
          <w:sz w:val="16"/>
          <w:szCs w:val="16"/>
        </w:rPr>
        <w:footnoteRef/>
      </w:r>
      <w:r w:rsidRPr="00B74530">
        <w:rPr>
          <w:rFonts w:ascii="Verdana" w:hAnsi="Verdana" w:cs="Arial"/>
          <w:color w:val="000000"/>
          <w:sz w:val="16"/>
          <w:szCs w:val="16"/>
        </w:rPr>
        <w:t xml:space="preserve"> Ver CONSEJO DE ESTADO, Sección Tercera, Subsección C. Sentencia del 26 de febrero de 2014. C.P. Enrique Gil Botero. Rad. 25.804. </w:t>
      </w:r>
    </w:p>
    <w:p w14:paraId="2550B36F" w14:textId="77777777" w:rsidR="007F4029" w:rsidRPr="00B74530" w:rsidRDefault="007F4029" w:rsidP="007F4029">
      <w:pPr>
        <w:pStyle w:val="Textonotapie"/>
        <w:ind w:firstLine="709"/>
        <w:jc w:val="both"/>
        <w:rPr>
          <w:rFonts w:ascii="Verdana" w:hAnsi="Verdana" w:cs="Arial"/>
          <w:color w:val="000000"/>
          <w:sz w:val="16"/>
          <w:szCs w:val="16"/>
        </w:rPr>
      </w:pPr>
    </w:p>
  </w:footnote>
  <w:footnote w:id="9">
    <w:p w14:paraId="24006618" w14:textId="77777777" w:rsidR="007F4029" w:rsidRPr="00B74530" w:rsidRDefault="007F4029" w:rsidP="007F4029">
      <w:pPr>
        <w:pStyle w:val="Textonotapie"/>
        <w:ind w:firstLine="708"/>
        <w:jc w:val="both"/>
        <w:rPr>
          <w:rFonts w:ascii="Verdana" w:hAnsi="Verdana" w:cs="Arial"/>
          <w:color w:val="000000"/>
          <w:sz w:val="16"/>
          <w:szCs w:val="16"/>
        </w:rPr>
      </w:pPr>
      <w:r w:rsidRPr="00B74530">
        <w:rPr>
          <w:rStyle w:val="Refdenotaalpie"/>
          <w:rFonts w:ascii="Verdana" w:hAnsi="Verdana" w:cs="Arial"/>
          <w:color w:val="000000"/>
          <w:sz w:val="16"/>
          <w:szCs w:val="16"/>
        </w:rPr>
        <w:footnoteRef/>
      </w:r>
      <w:r w:rsidRPr="00B74530">
        <w:rPr>
          <w:rFonts w:ascii="Verdana" w:hAnsi="Verdana" w:cs="Arial"/>
          <w:color w:val="000000"/>
          <w:sz w:val="16"/>
          <w:szCs w:val="16"/>
        </w:rPr>
        <w:t xml:space="preserve"> CONSEJO DE ESTADO. Sala de Consulta y Servicio Civil. Concepto del 20 de mayo de 2010. Expediente: 1992. Consejero Ponente: Enrique José Arboleda Perdomo.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1B13"/>
      </v:shape>
    </w:pict>
  </w:numPicBullet>
  <w:abstractNum w:abstractNumId="0" w15:restartNumberingAfterBreak="0">
    <w:nsid w:val="01C06310"/>
    <w:multiLevelType w:val="multilevel"/>
    <w:tmpl w:val="1562CEC2"/>
    <w:lvl w:ilvl="0">
      <w:start w:val="1"/>
      <w:numFmt w:val="decimal"/>
      <w:lvlText w:val="%1."/>
      <w:lvlJc w:val="lef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0"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CC6F5F"/>
    <w:multiLevelType w:val="hybridMultilevel"/>
    <w:tmpl w:val="D2B62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2"/>
  </w:num>
  <w:num w:numId="7" w16cid:durableId="1946422806">
    <w:abstractNumId w:val="5"/>
  </w:num>
  <w:num w:numId="8" w16cid:durableId="152644682">
    <w:abstractNumId w:val="11"/>
  </w:num>
  <w:num w:numId="9" w16cid:durableId="1317221377">
    <w:abstractNumId w:val="7"/>
  </w:num>
  <w:num w:numId="10" w16cid:durableId="1471245386">
    <w:abstractNumId w:val="10"/>
  </w:num>
  <w:num w:numId="11" w16cid:durableId="289172385">
    <w:abstractNumId w:val="8"/>
  </w:num>
  <w:num w:numId="12" w16cid:durableId="1470781324">
    <w:abstractNumId w:val="1"/>
  </w:num>
  <w:num w:numId="13" w16cid:durableId="1512908409">
    <w:abstractNumId w:val="3"/>
  </w:num>
  <w:num w:numId="14" w16cid:durableId="895897244">
    <w:abstractNumId w:val="13"/>
  </w:num>
  <w:num w:numId="15" w16cid:durableId="390349800">
    <w:abstractNumId w:val="9"/>
  </w:num>
  <w:num w:numId="16" w16cid:durableId="1330140246">
    <w:abstractNumId w:val="0"/>
  </w:num>
  <w:num w:numId="17" w16cid:durableId="7840391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D0334"/>
    <w:rsid w:val="000F6486"/>
    <w:rsid w:val="00125105"/>
    <w:rsid w:val="00127233"/>
    <w:rsid w:val="0013231B"/>
    <w:rsid w:val="001742EF"/>
    <w:rsid w:val="001B3729"/>
    <w:rsid w:val="001E4177"/>
    <w:rsid w:val="001F7DC6"/>
    <w:rsid w:val="002421BB"/>
    <w:rsid w:val="0025796E"/>
    <w:rsid w:val="002707A2"/>
    <w:rsid w:val="002951A0"/>
    <w:rsid w:val="002962BC"/>
    <w:rsid w:val="002A093D"/>
    <w:rsid w:val="002A0DD0"/>
    <w:rsid w:val="002A26EB"/>
    <w:rsid w:val="002A49AC"/>
    <w:rsid w:val="002A64FD"/>
    <w:rsid w:val="002C7A84"/>
    <w:rsid w:val="002E4FD9"/>
    <w:rsid w:val="00322A85"/>
    <w:rsid w:val="00324168"/>
    <w:rsid w:val="003448F4"/>
    <w:rsid w:val="00374F5E"/>
    <w:rsid w:val="00377E3E"/>
    <w:rsid w:val="003A26D1"/>
    <w:rsid w:val="003A779E"/>
    <w:rsid w:val="003D0F4D"/>
    <w:rsid w:val="003D5B0D"/>
    <w:rsid w:val="003E0499"/>
    <w:rsid w:val="003F3941"/>
    <w:rsid w:val="003F66A0"/>
    <w:rsid w:val="00406575"/>
    <w:rsid w:val="0042722E"/>
    <w:rsid w:val="0044528D"/>
    <w:rsid w:val="004A1847"/>
    <w:rsid w:val="004A305D"/>
    <w:rsid w:val="004A434F"/>
    <w:rsid w:val="004F21C4"/>
    <w:rsid w:val="004F685F"/>
    <w:rsid w:val="005566E8"/>
    <w:rsid w:val="00574867"/>
    <w:rsid w:val="00591460"/>
    <w:rsid w:val="00592628"/>
    <w:rsid w:val="005C3777"/>
    <w:rsid w:val="005C5CDC"/>
    <w:rsid w:val="005D476C"/>
    <w:rsid w:val="00600FC2"/>
    <w:rsid w:val="00610812"/>
    <w:rsid w:val="006219F8"/>
    <w:rsid w:val="00650FF7"/>
    <w:rsid w:val="00665D70"/>
    <w:rsid w:val="00671DAC"/>
    <w:rsid w:val="006900D9"/>
    <w:rsid w:val="006D12F8"/>
    <w:rsid w:val="00706C16"/>
    <w:rsid w:val="00756841"/>
    <w:rsid w:val="007649AB"/>
    <w:rsid w:val="00771D0C"/>
    <w:rsid w:val="007833AC"/>
    <w:rsid w:val="007B268C"/>
    <w:rsid w:val="007B7171"/>
    <w:rsid w:val="007C0C0F"/>
    <w:rsid w:val="007C3DC2"/>
    <w:rsid w:val="007E5497"/>
    <w:rsid w:val="007F4029"/>
    <w:rsid w:val="00806F5F"/>
    <w:rsid w:val="00820278"/>
    <w:rsid w:val="008843B6"/>
    <w:rsid w:val="00891928"/>
    <w:rsid w:val="008A446D"/>
    <w:rsid w:val="008D180B"/>
    <w:rsid w:val="008F0EA7"/>
    <w:rsid w:val="00923EEF"/>
    <w:rsid w:val="009419F9"/>
    <w:rsid w:val="0095685E"/>
    <w:rsid w:val="00961B09"/>
    <w:rsid w:val="00965334"/>
    <w:rsid w:val="0097093E"/>
    <w:rsid w:val="009A0DFA"/>
    <w:rsid w:val="009B2D26"/>
    <w:rsid w:val="009C71FA"/>
    <w:rsid w:val="009C72E7"/>
    <w:rsid w:val="009D3058"/>
    <w:rsid w:val="009F3A13"/>
    <w:rsid w:val="00A122D3"/>
    <w:rsid w:val="00A17F13"/>
    <w:rsid w:val="00A20739"/>
    <w:rsid w:val="00A33C78"/>
    <w:rsid w:val="00A573A4"/>
    <w:rsid w:val="00A65E5B"/>
    <w:rsid w:val="00AA65AB"/>
    <w:rsid w:val="00AB0ADB"/>
    <w:rsid w:val="00B01B1A"/>
    <w:rsid w:val="00B72CD3"/>
    <w:rsid w:val="00B72FFF"/>
    <w:rsid w:val="00B74530"/>
    <w:rsid w:val="00B80EB2"/>
    <w:rsid w:val="00BC39F8"/>
    <w:rsid w:val="00BC3D36"/>
    <w:rsid w:val="00BD7F72"/>
    <w:rsid w:val="00BF72DF"/>
    <w:rsid w:val="00C02E1B"/>
    <w:rsid w:val="00C04FB3"/>
    <w:rsid w:val="00C330EB"/>
    <w:rsid w:val="00C754BE"/>
    <w:rsid w:val="00C76B1C"/>
    <w:rsid w:val="00CB6357"/>
    <w:rsid w:val="00CC1B26"/>
    <w:rsid w:val="00CE7555"/>
    <w:rsid w:val="00D02612"/>
    <w:rsid w:val="00D11BE7"/>
    <w:rsid w:val="00D423A2"/>
    <w:rsid w:val="00D520D8"/>
    <w:rsid w:val="00D63AC2"/>
    <w:rsid w:val="00D7383B"/>
    <w:rsid w:val="00DA231B"/>
    <w:rsid w:val="00DA23A0"/>
    <w:rsid w:val="00DC39FC"/>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D1331"/>
    <w:rsid w:val="00EE1AA8"/>
    <w:rsid w:val="00EF2AF0"/>
    <w:rsid w:val="00F31EDC"/>
    <w:rsid w:val="00F462B3"/>
    <w:rsid w:val="00F5664F"/>
    <w:rsid w:val="00F666C4"/>
    <w:rsid w:val="00F76AFC"/>
    <w:rsid w:val="00FA47C0"/>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7F4029"/>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F4029"/>
    <w:rPr>
      <w:rFonts w:ascii="Geomanist Light" w:hAnsi="Geomanist Light"/>
      <w:lang w:val="es-ES"/>
    </w:rPr>
  </w:style>
  <w:style w:type="character" w:customStyle="1" w:styleId="superscript">
    <w:name w:val="superscript"/>
    <w:basedOn w:val="Fuentedeprrafopredeter"/>
    <w:rsid w:val="007F4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latoria.colombiacompra.gov.co/busqueda/concepto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circulares?page=2" TargetMode="External"/><Relationship Id="rId1" Type="http://schemas.openxmlformats.org/officeDocument/2006/relationships/hyperlink" Target="https://relatoria.colombiacompra.gov.co/providencias-consejo-de-estad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339028-584F-471D-B514-DF6AD2DE9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5529</Words>
  <Characters>30413</Characters>
  <Application>Microsoft Office Word</Application>
  <DocSecurity>0</DocSecurity>
  <Lines>253</Lines>
  <Paragraphs>71</Paragraphs>
  <ScaleCrop>false</ScaleCrop>
  <Company/>
  <LinksUpToDate>false</LinksUpToDate>
  <CharactersWithSpaces>35871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6</cp:revision>
  <cp:lastPrinted>2023-01-10T21:18:00Z</cp:lastPrinted>
  <dcterms:created xsi:type="dcterms:W3CDTF">2024-09-20T01:43:00Z</dcterms:created>
  <dcterms:modified xsi:type="dcterms:W3CDTF">2024-10-17T15:32:00Z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