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0A8DD" w14:textId="77777777" w:rsidR="00E43EE1" w:rsidRPr="00E43EE1" w:rsidRDefault="00E43EE1" w:rsidP="00E43EE1">
      <w:pPr>
        <w:tabs>
          <w:tab w:val="left" w:pos="426"/>
        </w:tabs>
        <w:jc w:val="both"/>
        <w:rPr>
          <w:rFonts w:ascii="Verdana" w:eastAsia="Calibri" w:hAnsi="Verdana" w:cs="Arial"/>
          <w:b/>
        </w:rPr>
      </w:pPr>
      <w:r w:rsidRPr="00E43EE1">
        <w:rPr>
          <w:rFonts w:ascii="Verdana" w:eastAsia="Calibri" w:hAnsi="Verdana" w:cs="Arial"/>
          <w:b/>
        </w:rPr>
        <w:t>INSTITUCIONES EDUCATIVAS OFICIAL</w:t>
      </w:r>
      <w:bookmarkStart w:id="0" w:name="_Hlk39676694"/>
      <w:r w:rsidRPr="00E43EE1">
        <w:rPr>
          <w:rFonts w:ascii="Verdana" w:eastAsia="Calibri" w:hAnsi="Verdana" w:cs="Arial"/>
          <w:b/>
        </w:rPr>
        <w:t>ES –</w:t>
      </w:r>
      <w:bookmarkEnd w:id="0"/>
      <w:r w:rsidRPr="00E43EE1">
        <w:rPr>
          <w:rFonts w:ascii="Verdana" w:eastAsia="Calibri" w:hAnsi="Verdana" w:cs="Arial"/>
          <w:b/>
        </w:rPr>
        <w:t xml:space="preserve"> Naturaleza jurídica – Capacidad para contratar</w:t>
      </w:r>
    </w:p>
    <w:p w14:paraId="292B0ED0" w14:textId="77777777" w:rsidR="00E43EE1" w:rsidRPr="00E43EE1" w:rsidRDefault="00E43EE1" w:rsidP="00E43EE1">
      <w:pPr>
        <w:tabs>
          <w:tab w:val="left" w:pos="426"/>
        </w:tabs>
        <w:jc w:val="both"/>
        <w:rPr>
          <w:rFonts w:ascii="Verdana" w:eastAsia="Calibri" w:hAnsi="Verdana" w:cs="Arial"/>
          <w:b/>
        </w:rPr>
      </w:pPr>
    </w:p>
    <w:p w14:paraId="0D785892" w14:textId="1A0B6290" w:rsidR="00E43EE1" w:rsidRPr="00E43EE1" w:rsidRDefault="00E43EE1" w:rsidP="00E43EE1">
      <w:pPr>
        <w:jc w:val="both"/>
        <w:rPr>
          <w:rFonts w:ascii="Verdana" w:hAnsi="Verdana" w:cs="Arial"/>
        </w:rPr>
      </w:pPr>
      <w:r w:rsidRPr="00E43EE1">
        <w:rPr>
          <w:rFonts w:ascii="Verdana" w:hAnsi="Verdana" w:cs="Arial"/>
        </w:rPr>
        <w:t xml:space="preserve">Las Leyes 60 de 1993 y 715 de 2001 descentralizaron el sistema educativo en Colombia, asignándoles a los departamentos, distritos y municipios las competencias y los recursos económicos para dirigir las instituciones educativas. Es decir, el sistema educativo está descentralizado por las competencias propias que se </w:t>
      </w:r>
      <w:proofErr w:type="gramStart"/>
      <w:r w:rsidRPr="00E43EE1">
        <w:rPr>
          <w:rFonts w:ascii="Verdana" w:hAnsi="Verdana" w:cs="Arial"/>
        </w:rPr>
        <w:t>le</w:t>
      </w:r>
      <w:proofErr w:type="gramEnd"/>
      <w:r w:rsidRPr="00E43EE1">
        <w:rPr>
          <w:rFonts w:ascii="Verdana" w:hAnsi="Verdana" w:cs="Arial"/>
        </w:rPr>
        <w:t xml:space="preserve"> han otorgado a las entidades territoriales para administrar las instituciones educativas que pueden ser de los diferentes niveles pero estas no son entidades descentralizadas</w:t>
      </w:r>
    </w:p>
    <w:p w14:paraId="5CEAA40A" w14:textId="77777777" w:rsidR="00E43EE1" w:rsidRPr="00E43EE1" w:rsidRDefault="00E43EE1" w:rsidP="00E43EE1">
      <w:pPr>
        <w:jc w:val="both"/>
        <w:rPr>
          <w:rFonts w:ascii="Verdana" w:hAnsi="Verdana" w:cs="Arial"/>
        </w:rPr>
      </w:pPr>
      <w:r w:rsidRPr="00E43EE1">
        <w:rPr>
          <w:rFonts w:ascii="Verdana" w:hAnsi="Verdana" w:cs="Arial"/>
        </w:rPr>
        <w:t>Conforme a lo anterior, las instituciones educativas pertenecen a la entidad territorial que haya efectuado su reconocimiento de carácter oficial. No obstante, carecen de personería jurídica, pero tienen capacidad para contratar y se concreta en la competencia que le otorgó el legislador en la Ley 715 de 2001 para administrar los fondos de servicios educativos, siendo cuentas contables que le permiten a las instituciones realizar la gestión y ejecución presupuestal de los recursos que reciben los establecimientos educativos</w:t>
      </w:r>
    </w:p>
    <w:p w14:paraId="21F37362" w14:textId="77777777" w:rsidR="00E43EE1" w:rsidRPr="00E43EE1" w:rsidRDefault="00E43EE1" w:rsidP="00E43EE1">
      <w:pPr>
        <w:pStyle w:val="Textoindependiente"/>
        <w:spacing w:before="101"/>
        <w:rPr>
          <w:b/>
          <w:bCs/>
        </w:rPr>
      </w:pPr>
      <w:r w:rsidRPr="00E43EE1">
        <w:rPr>
          <w:b/>
          <w:bCs/>
        </w:rPr>
        <w:t xml:space="preserve">INSTITUCIONES EDUCATIVAS OFICIALES – Contratación – Umbral – Veinte salarios mínimos legales mensuales vigentes </w:t>
      </w:r>
    </w:p>
    <w:p w14:paraId="139E4C06" w14:textId="77777777" w:rsidR="00E43EE1" w:rsidRPr="00E43EE1" w:rsidRDefault="00E43EE1" w:rsidP="00E43EE1">
      <w:pPr>
        <w:pStyle w:val="Textoindependiente"/>
        <w:spacing w:before="101"/>
        <w:rPr>
          <w:b/>
          <w:bCs/>
        </w:rPr>
      </w:pPr>
    </w:p>
    <w:p w14:paraId="3AD7385A" w14:textId="77777777" w:rsidR="00E43EE1" w:rsidRDefault="00E43EE1" w:rsidP="00E43EE1">
      <w:pPr>
        <w:jc w:val="both"/>
        <w:rPr>
          <w:rFonts w:ascii="Verdana" w:hAnsi="Verdana"/>
        </w:rPr>
      </w:pPr>
      <w:r w:rsidRPr="00E43EE1">
        <w:rPr>
          <w:rFonts w:ascii="Verdana" w:hAnsi="Verdana"/>
        </w:rPr>
        <w:t>La Ley 715 de 2001 les atribuye</w:t>
      </w:r>
      <w:r w:rsidRPr="00E43EE1">
        <w:rPr>
          <w:rFonts w:ascii="Verdana" w:hAnsi="Verdana"/>
          <w:spacing w:val="1"/>
        </w:rPr>
        <w:t xml:space="preserve"> </w:t>
      </w:r>
      <w:r w:rsidRPr="00E43EE1">
        <w:rPr>
          <w:rFonts w:ascii="Verdana" w:hAnsi="Verdana"/>
        </w:rPr>
        <w:t>capacidad</w:t>
      </w:r>
      <w:r w:rsidRPr="00E43EE1">
        <w:rPr>
          <w:rFonts w:ascii="Verdana" w:hAnsi="Verdana"/>
          <w:spacing w:val="1"/>
        </w:rPr>
        <w:t xml:space="preserve"> </w:t>
      </w:r>
      <w:r w:rsidRPr="00E43EE1">
        <w:rPr>
          <w:rFonts w:ascii="Verdana" w:hAnsi="Verdana"/>
        </w:rPr>
        <w:t>para</w:t>
      </w:r>
      <w:r w:rsidRPr="00E43EE1">
        <w:rPr>
          <w:rFonts w:ascii="Verdana" w:hAnsi="Verdana"/>
          <w:spacing w:val="1"/>
        </w:rPr>
        <w:t xml:space="preserve"> </w:t>
      </w:r>
      <w:r w:rsidRPr="00E43EE1">
        <w:rPr>
          <w:rFonts w:ascii="Verdana" w:hAnsi="Verdana"/>
        </w:rPr>
        <w:t>contratar</w:t>
      </w:r>
      <w:r w:rsidRPr="00E43EE1">
        <w:rPr>
          <w:rFonts w:ascii="Verdana" w:hAnsi="Verdana"/>
          <w:spacing w:val="1"/>
        </w:rPr>
        <w:t xml:space="preserve"> </w:t>
      </w:r>
      <w:r w:rsidRPr="00E43EE1">
        <w:rPr>
          <w:rFonts w:ascii="Verdana" w:hAnsi="Verdana"/>
        </w:rPr>
        <w:t>a</w:t>
      </w:r>
      <w:r w:rsidRPr="00E43EE1">
        <w:rPr>
          <w:rFonts w:ascii="Verdana" w:hAnsi="Verdana"/>
          <w:spacing w:val="1"/>
        </w:rPr>
        <w:t xml:space="preserve"> </w:t>
      </w:r>
      <w:r w:rsidRPr="00E43EE1">
        <w:rPr>
          <w:rFonts w:ascii="Verdana" w:hAnsi="Verdana"/>
        </w:rPr>
        <w:t>las</w:t>
      </w:r>
      <w:r w:rsidRPr="00E43EE1">
        <w:rPr>
          <w:rFonts w:ascii="Verdana" w:hAnsi="Verdana"/>
          <w:spacing w:val="1"/>
        </w:rPr>
        <w:t xml:space="preserve"> </w:t>
      </w:r>
      <w:r w:rsidRPr="00E43EE1">
        <w:rPr>
          <w:rFonts w:ascii="Verdana" w:hAnsi="Verdana"/>
        </w:rPr>
        <w:t>Instituciones</w:t>
      </w:r>
      <w:r w:rsidRPr="00E43EE1">
        <w:rPr>
          <w:rFonts w:ascii="Verdana" w:hAnsi="Verdana"/>
          <w:spacing w:val="1"/>
        </w:rPr>
        <w:t xml:space="preserve"> </w:t>
      </w:r>
      <w:r w:rsidRPr="00E43EE1">
        <w:rPr>
          <w:rFonts w:ascii="Verdana" w:hAnsi="Verdana"/>
        </w:rPr>
        <w:t>Educativas</w:t>
      </w:r>
      <w:r w:rsidRPr="00E43EE1">
        <w:rPr>
          <w:rFonts w:ascii="Verdana" w:hAnsi="Verdana"/>
          <w:spacing w:val="1"/>
        </w:rPr>
        <w:t xml:space="preserve"> </w:t>
      </w:r>
      <w:r w:rsidRPr="00E43EE1">
        <w:rPr>
          <w:rFonts w:ascii="Verdana" w:hAnsi="Verdana"/>
        </w:rPr>
        <w:t>Oficiales</w:t>
      </w:r>
      <w:r w:rsidRPr="00E43EE1">
        <w:rPr>
          <w:rFonts w:ascii="Verdana" w:hAnsi="Verdana"/>
          <w:spacing w:val="1"/>
        </w:rPr>
        <w:t xml:space="preserve"> </w:t>
      </w:r>
      <w:r w:rsidRPr="00E43EE1">
        <w:rPr>
          <w:rFonts w:ascii="Verdana" w:hAnsi="Verdana"/>
        </w:rPr>
        <w:t>para</w:t>
      </w:r>
      <w:r w:rsidRPr="00E43EE1">
        <w:rPr>
          <w:rFonts w:ascii="Verdana" w:hAnsi="Verdana"/>
          <w:spacing w:val="1"/>
        </w:rPr>
        <w:t xml:space="preserve"> </w:t>
      </w:r>
      <w:r w:rsidRPr="00E43EE1">
        <w:rPr>
          <w:rFonts w:ascii="Verdana" w:hAnsi="Verdana"/>
        </w:rPr>
        <w:t>la</w:t>
      </w:r>
      <w:r w:rsidRPr="00E43EE1">
        <w:rPr>
          <w:rFonts w:ascii="Verdana" w:hAnsi="Verdana"/>
          <w:spacing w:val="1"/>
        </w:rPr>
        <w:t xml:space="preserve"> </w:t>
      </w:r>
      <w:r w:rsidRPr="00E43EE1">
        <w:rPr>
          <w:rFonts w:ascii="Verdana" w:hAnsi="Verdana"/>
        </w:rPr>
        <w:t>ejecución</w:t>
      </w:r>
      <w:r w:rsidRPr="00E43EE1">
        <w:rPr>
          <w:rFonts w:ascii="Verdana" w:hAnsi="Verdana"/>
          <w:spacing w:val="-14"/>
        </w:rPr>
        <w:t xml:space="preserve"> </w:t>
      </w:r>
      <w:r w:rsidRPr="00E43EE1">
        <w:rPr>
          <w:rFonts w:ascii="Verdana" w:hAnsi="Verdana"/>
        </w:rPr>
        <w:t>de</w:t>
      </w:r>
      <w:r w:rsidRPr="00E43EE1">
        <w:rPr>
          <w:rFonts w:ascii="Verdana" w:hAnsi="Verdana"/>
          <w:spacing w:val="-16"/>
        </w:rPr>
        <w:t xml:space="preserve"> </w:t>
      </w:r>
      <w:r w:rsidRPr="00E43EE1">
        <w:rPr>
          <w:rFonts w:ascii="Verdana" w:hAnsi="Verdana"/>
        </w:rPr>
        <w:t>los</w:t>
      </w:r>
      <w:r w:rsidRPr="00E43EE1">
        <w:rPr>
          <w:rFonts w:ascii="Verdana" w:hAnsi="Verdana"/>
          <w:spacing w:val="-16"/>
        </w:rPr>
        <w:t xml:space="preserve"> </w:t>
      </w:r>
      <w:r w:rsidRPr="00E43EE1">
        <w:rPr>
          <w:rFonts w:ascii="Verdana" w:hAnsi="Verdana"/>
        </w:rPr>
        <w:t>recursos</w:t>
      </w:r>
      <w:r w:rsidRPr="00E43EE1">
        <w:rPr>
          <w:rFonts w:ascii="Verdana" w:hAnsi="Verdana"/>
          <w:spacing w:val="-14"/>
        </w:rPr>
        <w:t xml:space="preserve"> </w:t>
      </w:r>
      <w:r w:rsidRPr="00E43EE1">
        <w:rPr>
          <w:rFonts w:ascii="Verdana" w:hAnsi="Verdana"/>
        </w:rPr>
        <w:t>del</w:t>
      </w:r>
      <w:r w:rsidRPr="00E43EE1">
        <w:rPr>
          <w:rFonts w:ascii="Verdana" w:hAnsi="Verdana"/>
          <w:spacing w:val="-16"/>
        </w:rPr>
        <w:t xml:space="preserve"> </w:t>
      </w:r>
      <w:r w:rsidRPr="00E43EE1">
        <w:rPr>
          <w:rFonts w:ascii="Verdana" w:hAnsi="Verdana"/>
        </w:rPr>
        <w:t>Fondo</w:t>
      </w:r>
      <w:r w:rsidRPr="00E43EE1">
        <w:rPr>
          <w:rFonts w:ascii="Verdana" w:hAnsi="Verdana"/>
          <w:spacing w:val="-16"/>
        </w:rPr>
        <w:t xml:space="preserve"> </w:t>
      </w:r>
      <w:r w:rsidRPr="00E43EE1">
        <w:rPr>
          <w:rFonts w:ascii="Verdana" w:hAnsi="Verdana"/>
        </w:rPr>
        <w:t>de</w:t>
      </w:r>
      <w:r w:rsidRPr="00E43EE1">
        <w:rPr>
          <w:rFonts w:ascii="Verdana" w:hAnsi="Verdana"/>
          <w:spacing w:val="-16"/>
        </w:rPr>
        <w:t xml:space="preserve"> </w:t>
      </w:r>
      <w:r w:rsidRPr="00E43EE1">
        <w:rPr>
          <w:rFonts w:ascii="Verdana" w:hAnsi="Verdana"/>
        </w:rPr>
        <w:t>Servicios</w:t>
      </w:r>
      <w:r w:rsidRPr="00E43EE1">
        <w:rPr>
          <w:rFonts w:ascii="Verdana" w:hAnsi="Verdana"/>
          <w:spacing w:val="-14"/>
        </w:rPr>
        <w:t xml:space="preserve"> </w:t>
      </w:r>
      <w:r w:rsidRPr="00E43EE1">
        <w:rPr>
          <w:rFonts w:ascii="Verdana" w:hAnsi="Verdana"/>
        </w:rPr>
        <w:t>Educativos,</w:t>
      </w:r>
      <w:r w:rsidRPr="00E43EE1">
        <w:rPr>
          <w:rFonts w:ascii="Verdana" w:hAnsi="Verdana"/>
          <w:spacing w:val="-14"/>
        </w:rPr>
        <w:t xml:space="preserve"> </w:t>
      </w:r>
      <w:r w:rsidRPr="00E43EE1">
        <w:rPr>
          <w:rFonts w:ascii="Verdana" w:hAnsi="Verdana"/>
        </w:rPr>
        <w:t>se</w:t>
      </w:r>
      <w:r w:rsidRPr="00E43EE1">
        <w:rPr>
          <w:rFonts w:ascii="Verdana" w:hAnsi="Verdana"/>
          <w:spacing w:val="-16"/>
        </w:rPr>
        <w:t xml:space="preserve"> </w:t>
      </w:r>
      <w:r w:rsidRPr="00E43EE1">
        <w:rPr>
          <w:rFonts w:ascii="Verdana" w:hAnsi="Verdana"/>
        </w:rPr>
        <w:t>estima</w:t>
      </w:r>
      <w:r w:rsidRPr="00E43EE1">
        <w:rPr>
          <w:rFonts w:ascii="Verdana" w:hAnsi="Verdana"/>
          <w:spacing w:val="-14"/>
        </w:rPr>
        <w:t xml:space="preserve"> </w:t>
      </w:r>
      <w:r w:rsidRPr="00E43EE1">
        <w:rPr>
          <w:rFonts w:ascii="Verdana" w:hAnsi="Verdana"/>
        </w:rPr>
        <w:t>que,</w:t>
      </w:r>
      <w:r w:rsidRPr="00E43EE1">
        <w:rPr>
          <w:rFonts w:ascii="Verdana" w:hAnsi="Verdana"/>
          <w:spacing w:val="-16"/>
        </w:rPr>
        <w:t xml:space="preserve"> </w:t>
      </w:r>
      <w:r w:rsidRPr="00E43EE1">
        <w:rPr>
          <w:rFonts w:ascii="Verdana" w:hAnsi="Verdana"/>
        </w:rPr>
        <w:t>para</w:t>
      </w:r>
      <w:r w:rsidRPr="00E43EE1">
        <w:rPr>
          <w:rFonts w:ascii="Verdana" w:hAnsi="Verdana"/>
          <w:spacing w:val="-75"/>
        </w:rPr>
        <w:t xml:space="preserve"> </w:t>
      </w:r>
      <w:r w:rsidRPr="00E43EE1">
        <w:rPr>
          <w:rFonts w:ascii="Verdana" w:hAnsi="Verdana"/>
        </w:rPr>
        <w:t>la contratación que dichos fondos desarrollen por encima del umbral de los</w:t>
      </w:r>
      <w:r w:rsidRPr="00E43EE1">
        <w:rPr>
          <w:rFonts w:ascii="Verdana" w:hAnsi="Verdana"/>
          <w:spacing w:val="1"/>
        </w:rPr>
        <w:t xml:space="preserve"> </w:t>
      </w:r>
      <w:r w:rsidRPr="00E43EE1">
        <w:rPr>
          <w:rFonts w:ascii="Verdana" w:hAnsi="Verdana"/>
        </w:rPr>
        <w:t>veinte</w:t>
      </w:r>
      <w:r w:rsidRPr="00E43EE1">
        <w:rPr>
          <w:rFonts w:ascii="Verdana" w:hAnsi="Verdana"/>
          <w:spacing w:val="1"/>
        </w:rPr>
        <w:t xml:space="preserve"> </w:t>
      </w:r>
      <w:r w:rsidRPr="00E43EE1">
        <w:rPr>
          <w:rFonts w:ascii="Verdana" w:hAnsi="Verdana"/>
        </w:rPr>
        <w:t>(20)</w:t>
      </w:r>
      <w:r w:rsidRPr="00E43EE1">
        <w:rPr>
          <w:rFonts w:ascii="Verdana" w:hAnsi="Verdana"/>
          <w:spacing w:val="1"/>
        </w:rPr>
        <w:t xml:space="preserve"> </w:t>
      </w:r>
      <w:r w:rsidRPr="00E43EE1">
        <w:rPr>
          <w:rFonts w:ascii="Verdana" w:hAnsi="Verdana"/>
        </w:rPr>
        <w:t>salarios</w:t>
      </w:r>
      <w:r w:rsidRPr="00E43EE1">
        <w:rPr>
          <w:rFonts w:ascii="Verdana" w:hAnsi="Verdana"/>
          <w:spacing w:val="1"/>
        </w:rPr>
        <w:t xml:space="preserve"> </w:t>
      </w:r>
      <w:r w:rsidRPr="00E43EE1">
        <w:rPr>
          <w:rFonts w:ascii="Verdana" w:hAnsi="Verdana"/>
        </w:rPr>
        <w:t>mínimos</w:t>
      </w:r>
      <w:r w:rsidRPr="00E43EE1">
        <w:rPr>
          <w:rFonts w:ascii="Verdana" w:hAnsi="Verdana"/>
          <w:spacing w:val="1"/>
        </w:rPr>
        <w:t xml:space="preserve"> </w:t>
      </w:r>
      <w:r w:rsidRPr="00E43EE1">
        <w:rPr>
          <w:rFonts w:ascii="Verdana" w:hAnsi="Verdana"/>
        </w:rPr>
        <w:t>legales</w:t>
      </w:r>
      <w:r w:rsidRPr="00E43EE1">
        <w:rPr>
          <w:rFonts w:ascii="Verdana" w:hAnsi="Verdana"/>
          <w:spacing w:val="1"/>
        </w:rPr>
        <w:t xml:space="preserve"> </w:t>
      </w:r>
      <w:r w:rsidRPr="00E43EE1">
        <w:rPr>
          <w:rFonts w:ascii="Verdana" w:hAnsi="Verdana"/>
        </w:rPr>
        <w:t>mensuales</w:t>
      </w:r>
      <w:r w:rsidRPr="00E43EE1">
        <w:rPr>
          <w:rFonts w:ascii="Verdana" w:hAnsi="Verdana"/>
          <w:spacing w:val="1"/>
        </w:rPr>
        <w:t xml:space="preserve"> </w:t>
      </w:r>
      <w:r w:rsidRPr="00E43EE1">
        <w:rPr>
          <w:rFonts w:ascii="Verdana" w:hAnsi="Verdana"/>
        </w:rPr>
        <w:t>vigentes,</w:t>
      </w:r>
      <w:r w:rsidRPr="00E43EE1">
        <w:rPr>
          <w:rFonts w:ascii="Verdana" w:hAnsi="Verdana"/>
          <w:spacing w:val="1"/>
        </w:rPr>
        <w:t xml:space="preserve"> </w:t>
      </w:r>
      <w:r w:rsidRPr="00E43EE1">
        <w:rPr>
          <w:rFonts w:ascii="Verdana" w:hAnsi="Verdana"/>
        </w:rPr>
        <w:t>estas</w:t>
      </w:r>
      <w:r w:rsidRPr="00E43EE1">
        <w:rPr>
          <w:rFonts w:ascii="Verdana" w:hAnsi="Verdana"/>
          <w:spacing w:val="1"/>
        </w:rPr>
        <w:t xml:space="preserve"> </w:t>
      </w:r>
      <w:r w:rsidRPr="00E43EE1">
        <w:rPr>
          <w:rFonts w:ascii="Verdana" w:hAnsi="Verdana"/>
        </w:rPr>
        <w:t>deben</w:t>
      </w:r>
      <w:r w:rsidRPr="00E43EE1">
        <w:rPr>
          <w:rFonts w:ascii="Verdana" w:hAnsi="Verdana"/>
          <w:spacing w:val="1"/>
        </w:rPr>
        <w:t xml:space="preserve"> </w:t>
      </w:r>
      <w:r w:rsidRPr="00E43EE1">
        <w:rPr>
          <w:rFonts w:ascii="Verdana" w:hAnsi="Verdana"/>
        </w:rPr>
        <w:t>determinar el valor de la menor y mínima cuantía de los contratos que deban</w:t>
      </w:r>
      <w:r w:rsidRPr="00E43EE1">
        <w:rPr>
          <w:rFonts w:ascii="Verdana" w:hAnsi="Verdana"/>
          <w:spacing w:val="1"/>
        </w:rPr>
        <w:t xml:space="preserve"> </w:t>
      </w:r>
      <w:r w:rsidRPr="00E43EE1">
        <w:rPr>
          <w:rFonts w:ascii="Verdana" w:hAnsi="Verdana"/>
        </w:rPr>
        <w:t>celebrar aplicando lo dispuesto en los numerales 2 y 5 de la Ley 1150 de 2007,</w:t>
      </w:r>
      <w:r w:rsidRPr="00E43EE1">
        <w:rPr>
          <w:rFonts w:ascii="Verdana" w:hAnsi="Verdana"/>
          <w:spacing w:val="-75"/>
        </w:rPr>
        <w:t xml:space="preserve"> </w:t>
      </w:r>
      <w:r w:rsidRPr="00E43EE1">
        <w:rPr>
          <w:rFonts w:ascii="Verdana" w:hAnsi="Verdana"/>
        </w:rPr>
        <w:t>tomando como referencia el presupuesto asignado a la Institución Educativa</w:t>
      </w:r>
      <w:r w:rsidRPr="00E43EE1">
        <w:rPr>
          <w:rFonts w:ascii="Verdana" w:hAnsi="Verdana"/>
          <w:spacing w:val="1"/>
        </w:rPr>
        <w:t xml:space="preserve"> </w:t>
      </w:r>
      <w:r w:rsidRPr="00E43EE1">
        <w:rPr>
          <w:rFonts w:ascii="Verdana" w:hAnsi="Verdana"/>
        </w:rPr>
        <w:t>Oficial</w:t>
      </w:r>
      <w:r w:rsidRPr="00E43EE1">
        <w:rPr>
          <w:rFonts w:ascii="Verdana" w:hAnsi="Verdana"/>
          <w:spacing w:val="-6"/>
        </w:rPr>
        <w:t xml:space="preserve"> </w:t>
      </w:r>
      <w:r w:rsidRPr="00E43EE1">
        <w:rPr>
          <w:rFonts w:ascii="Verdana" w:hAnsi="Verdana"/>
        </w:rPr>
        <w:t>y</w:t>
      </w:r>
      <w:r w:rsidRPr="00E43EE1">
        <w:rPr>
          <w:rFonts w:ascii="Verdana" w:hAnsi="Verdana"/>
          <w:spacing w:val="-7"/>
        </w:rPr>
        <w:t xml:space="preserve"> </w:t>
      </w:r>
      <w:r w:rsidRPr="00E43EE1">
        <w:rPr>
          <w:rFonts w:ascii="Verdana" w:hAnsi="Verdana"/>
        </w:rPr>
        <w:t>no</w:t>
      </w:r>
      <w:r w:rsidRPr="00E43EE1">
        <w:rPr>
          <w:rFonts w:ascii="Verdana" w:hAnsi="Verdana"/>
          <w:spacing w:val="-7"/>
        </w:rPr>
        <w:t xml:space="preserve"> </w:t>
      </w:r>
      <w:r w:rsidRPr="00E43EE1">
        <w:rPr>
          <w:rFonts w:ascii="Verdana" w:hAnsi="Verdana"/>
        </w:rPr>
        <w:t>el</w:t>
      </w:r>
      <w:r w:rsidRPr="00E43EE1">
        <w:rPr>
          <w:rFonts w:ascii="Verdana" w:hAnsi="Verdana"/>
          <w:spacing w:val="-6"/>
        </w:rPr>
        <w:t xml:space="preserve"> </w:t>
      </w:r>
      <w:r w:rsidRPr="00E43EE1">
        <w:rPr>
          <w:rFonts w:ascii="Verdana" w:hAnsi="Verdana"/>
        </w:rPr>
        <w:t>presupuesto</w:t>
      </w:r>
      <w:r w:rsidRPr="00E43EE1">
        <w:rPr>
          <w:rFonts w:ascii="Verdana" w:hAnsi="Verdana"/>
          <w:spacing w:val="-5"/>
        </w:rPr>
        <w:t xml:space="preserve"> </w:t>
      </w:r>
      <w:r w:rsidRPr="00E43EE1">
        <w:rPr>
          <w:rFonts w:ascii="Verdana" w:hAnsi="Verdana"/>
        </w:rPr>
        <w:t>general</w:t>
      </w:r>
      <w:r w:rsidRPr="00E43EE1">
        <w:rPr>
          <w:rFonts w:ascii="Verdana" w:hAnsi="Verdana"/>
          <w:spacing w:val="-5"/>
        </w:rPr>
        <w:t xml:space="preserve"> </w:t>
      </w:r>
      <w:r w:rsidRPr="00E43EE1">
        <w:rPr>
          <w:rFonts w:ascii="Verdana" w:hAnsi="Verdana"/>
        </w:rPr>
        <w:t>de</w:t>
      </w:r>
      <w:r w:rsidRPr="00E43EE1">
        <w:rPr>
          <w:rFonts w:ascii="Verdana" w:hAnsi="Verdana"/>
          <w:spacing w:val="-7"/>
        </w:rPr>
        <w:t xml:space="preserve"> </w:t>
      </w:r>
      <w:r w:rsidRPr="00E43EE1">
        <w:rPr>
          <w:rFonts w:ascii="Verdana" w:hAnsi="Verdana"/>
        </w:rPr>
        <w:t>la</w:t>
      </w:r>
      <w:r w:rsidRPr="00E43EE1">
        <w:rPr>
          <w:rFonts w:ascii="Verdana" w:hAnsi="Verdana"/>
          <w:spacing w:val="-7"/>
        </w:rPr>
        <w:t xml:space="preserve"> </w:t>
      </w:r>
      <w:r w:rsidRPr="00E43EE1">
        <w:rPr>
          <w:rFonts w:ascii="Verdana" w:hAnsi="Verdana"/>
        </w:rPr>
        <w:t>entidad</w:t>
      </w:r>
      <w:r w:rsidRPr="00E43EE1">
        <w:rPr>
          <w:rFonts w:ascii="Verdana" w:hAnsi="Verdana"/>
          <w:spacing w:val="-5"/>
        </w:rPr>
        <w:t xml:space="preserve"> </w:t>
      </w:r>
      <w:r w:rsidRPr="00E43EE1">
        <w:rPr>
          <w:rFonts w:ascii="Verdana" w:hAnsi="Verdana"/>
        </w:rPr>
        <w:t>territorial</w:t>
      </w:r>
      <w:r w:rsidRPr="00E43EE1">
        <w:rPr>
          <w:rFonts w:ascii="Verdana" w:hAnsi="Verdana"/>
          <w:spacing w:val="-5"/>
        </w:rPr>
        <w:t xml:space="preserve"> </w:t>
      </w:r>
      <w:r w:rsidRPr="00E43EE1">
        <w:rPr>
          <w:rFonts w:ascii="Verdana" w:hAnsi="Verdana"/>
        </w:rPr>
        <w:t>a</w:t>
      </w:r>
      <w:r w:rsidRPr="00E43EE1">
        <w:rPr>
          <w:rFonts w:ascii="Verdana" w:hAnsi="Verdana"/>
          <w:spacing w:val="-7"/>
        </w:rPr>
        <w:t xml:space="preserve"> </w:t>
      </w:r>
      <w:r w:rsidRPr="00E43EE1">
        <w:rPr>
          <w:rFonts w:ascii="Verdana" w:hAnsi="Verdana"/>
        </w:rPr>
        <w:t>la</w:t>
      </w:r>
      <w:r w:rsidRPr="00E43EE1">
        <w:rPr>
          <w:rFonts w:ascii="Verdana" w:hAnsi="Verdana"/>
          <w:spacing w:val="-7"/>
        </w:rPr>
        <w:t xml:space="preserve"> </w:t>
      </w:r>
      <w:r w:rsidRPr="00E43EE1">
        <w:rPr>
          <w:rFonts w:ascii="Verdana" w:hAnsi="Verdana"/>
        </w:rPr>
        <w:t>cual</w:t>
      </w:r>
      <w:r w:rsidRPr="00E43EE1">
        <w:rPr>
          <w:rFonts w:ascii="Verdana" w:hAnsi="Verdana"/>
          <w:spacing w:val="-6"/>
        </w:rPr>
        <w:t xml:space="preserve"> </w:t>
      </w:r>
      <w:r w:rsidRPr="00E43EE1">
        <w:rPr>
          <w:rFonts w:ascii="Verdana" w:hAnsi="Verdana"/>
        </w:rPr>
        <w:t>pertenecen.</w:t>
      </w:r>
    </w:p>
    <w:p w14:paraId="49F3F869" w14:textId="77777777" w:rsidR="00E43EE1" w:rsidRDefault="00E43EE1" w:rsidP="00E43EE1">
      <w:pPr>
        <w:jc w:val="both"/>
        <w:rPr>
          <w:rFonts w:ascii="Verdana" w:hAnsi="Verdana"/>
        </w:rPr>
      </w:pPr>
    </w:p>
    <w:p w14:paraId="6B525774" w14:textId="50F2007D" w:rsidR="00E43EE1" w:rsidRPr="00E43EE1" w:rsidRDefault="00E43EE1" w:rsidP="00E43EE1">
      <w:pPr>
        <w:jc w:val="both"/>
        <w:rPr>
          <w:rFonts w:ascii="Verdana" w:hAnsi="Verdana"/>
          <w:b/>
        </w:rPr>
      </w:pPr>
      <w:r w:rsidRPr="00E43EE1">
        <w:rPr>
          <w:rFonts w:ascii="Verdana" w:eastAsia="Arial" w:hAnsi="Verdana" w:cs="Arial"/>
          <w:b/>
          <w:lang w:val="es-ES" w:bidi="es-ES"/>
        </w:rPr>
        <w:t xml:space="preserve">MODIFICACIÓN DE LOS CONTRATOS ESTATALES </w:t>
      </w:r>
      <w:r w:rsidRPr="00E43EE1">
        <w:rPr>
          <w:rFonts w:ascii="Verdana" w:hAnsi="Verdana" w:cs="Arial"/>
          <w:b/>
        </w:rPr>
        <w:t>–</w:t>
      </w:r>
      <w:r w:rsidRPr="00E43EE1">
        <w:rPr>
          <w:rFonts w:ascii="Verdana" w:eastAsia="Arial" w:hAnsi="Verdana" w:cs="Arial"/>
          <w:b/>
          <w:lang w:val="es-ES" w:bidi="es-ES"/>
        </w:rPr>
        <w:t xml:space="preserve"> Procedencia – Límites </w:t>
      </w:r>
      <w:r w:rsidRPr="00E43EE1">
        <w:rPr>
          <w:rFonts w:ascii="Verdana" w:eastAsia="Arial" w:hAnsi="Verdana" w:cs="Arial"/>
          <w:b/>
          <w:lang w:bidi="es-ES"/>
        </w:rPr>
        <w:t xml:space="preserve">/ ADICIÓN </w:t>
      </w:r>
      <w:r w:rsidRPr="00E43EE1">
        <w:rPr>
          <w:rFonts w:ascii="Verdana" w:hAnsi="Verdana" w:cs="Arial"/>
          <w:b/>
        </w:rPr>
        <w:t>–</w:t>
      </w:r>
      <w:r w:rsidRPr="00E43EE1">
        <w:rPr>
          <w:rFonts w:ascii="Verdana" w:eastAsia="Arial" w:hAnsi="Verdana" w:cs="Arial"/>
          <w:b/>
          <w:lang w:bidi="es-ES"/>
        </w:rPr>
        <w:t xml:space="preserve"> Concepto </w:t>
      </w:r>
      <w:r w:rsidRPr="00E43EE1">
        <w:rPr>
          <w:rFonts w:ascii="Verdana" w:hAnsi="Verdana" w:cs="Arial"/>
          <w:b/>
        </w:rPr>
        <w:t xml:space="preserve">– </w:t>
      </w:r>
      <w:r w:rsidRPr="00E43EE1">
        <w:rPr>
          <w:rFonts w:ascii="Verdana" w:eastAsia="Arial" w:hAnsi="Verdana" w:cs="Arial"/>
          <w:b/>
          <w:lang w:bidi="es-ES"/>
        </w:rPr>
        <w:t xml:space="preserve">Distintos supuestos </w:t>
      </w:r>
      <w:r w:rsidRPr="00E43EE1">
        <w:rPr>
          <w:rFonts w:ascii="Verdana" w:hAnsi="Verdana" w:cs="Arial"/>
          <w:b/>
        </w:rPr>
        <w:t>–</w:t>
      </w:r>
      <w:r w:rsidRPr="00E43EE1">
        <w:rPr>
          <w:rFonts w:ascii="Verdana" w:eastAsia="Arial" w:hAnsi="Verdana" w:cs="Arial"/>
          <w:b/>
          <w:lang w:bidi="es-ES"/>
        </w:rPr>
        <w:t xml:space="preserve"> Prohibición </w:t>
      </w:r>
      <w:r w:rsidRPr="00E43EE1">
        <w:rPr>
          <w:rFonts w:ascii="Verdana" w:hAnsi="Verdana" w:cs="Arial"/>
          <w:b/>
        </w:rPr>
        <w:t>–</w:t>
      </w:r>
      <w:r w:rsidRPr="00E43EE1">
        <w:rPr>
          <w:rFonts w:ascii="Verdana" w:eastAsia="Arial" w:hAnsi="Verdana" w:cs="Arial"/>
          <w:b/>
          <w:lang w:bidi="es-ES"/>
        </w:rPr>
        <w:t xml:space="preserve"> Adición en más del 50%</w:t>
      </w:r>
    </w:p>
    <w:p w14:paraId="589B5B76" w14:textId="77777777" w:rsidR="00E43EE1" w:rsidRDefault="00E43EE1" w:rsidP="001328E7">
      <w:pPr>
        <w:spacing w:after="0" w:line="240" w:lineRule="auto"/>
        <w:rPr>
          <w:rFonts w:ascii="Verdana" w:eastAsia="Geomanist Light" w:hAnsi="Verdana" w:cs="Arial"/>
          <w:color w:val="000000" w:themeColor="text1"/>
        </w:rPr>
      </w:pPr>
    </w:p>
    <w:p w14:paraId="4382313E" w14:textId="77777777" w:rsidR="00E43EE1" w:rsidRDefault="00E43EE1" w:rsidP="00E43EE1">
      <w:pPr>
        <w:jc w:val="both"/>
        <w:rPr>
          <w:rFonts w:ascii="Verdana" w:eastAsia="Century Gothic" w:hAnsi="Verdana" w:cs="Century Gothic"/>
          <w:lang w:eastAsia="es-ES_tradnl"/>
        </w:rPr>
      </w:pPr>
      <w:r>
        <w:rPr>
          <w:rFonts w:ascii="Verdana" w:eastAsia="Century Gothic" w:hAnsi="Verdana" w:cs="Century Gothic"/>
          <w:lang w:eastAsia="es-ES_tradnl"/>
        </w:rPr>
        <w:t xml:space="preserve">Por lo anterior, </w:t>
      </w:r>
      <w:r w:rsidRPr="007055C1">
        <w:rPr>
          <w:rFonts w:ascii="Verdana" w:eastAsia="Century Gothic" w:hAnsi="Verdana" w:cs="Century Gothic"/>
          <w:lang w:eastAsia="es-ES_tradnl"/>
        </w:rPr>
        <w:t xml:space="preserve">es fundamental que las instituciones educativas oficiales sigan los </w:t>
      </w:r>
      <w:r w:rsidRPr="00E43EE1">
        <w:rPr>
          <w:rFonts w:ascii="Verdana" w:hAnsi="Verdana"/>
        </w:rPr>
        <w:t>procedimientos</w:t>
      </w:r>
      <w:r w:rsidRPr="007055C1">
        <w:rPr>
          <w:rFonts w:ascii="Verdana" w:eastAsia="Century Gothic" w:hAnsi="Verdana" w:cs="Century Gothic"/>
          <w:lang w:eastAsia="es-ES_tradnl"/>
        </w:rPr>
        <w:t xml:space="preserve"> establecidos para la contratación de pólizas de seguro, garantizando así la transparencia y la legalidad en el manejo de recursos </w:t>
      </w:r>
      <w:r w:rsidRPr="007055C1">
        <w:rPr>
          <w:rFonts w:ascii="Verdana" w:eastAsia="Century Gothic" w:hAnsi="Verdana" w:cs="Century Gothic"/>
          <w:lang w:eastAsia="es-ES_tradnl"/>
        </w:rPr>
        <w:lastRenderedPageBreak/>
        <w:t>públicos. Al adherirse a las normativas correspondientes, ya sea a través de su reglamento interno o de la Ley 80</w:t>
      </w:r>
      <w:r>
        <w:rPr>
          <w:rFonts w:ascii="Verdana" w:eastAsia="Century Gothic" w:hAnsi="Verdana" w:cs="Century Gothic"/>
          <w:lang w:eastAsia="es-ES_tradnl"/>
        </w:rPr>
        <w:t xml:space="preserve"> de 1993</w:t>
      </w:r>
      <w:r w:rsidRPr="007055C1">
        <w:rPr>
          <w:rFonts w:ascii="Verdana" w:eastAsia="Century Gothic" w:hAnsi="Verdana" w:cs="Century Gothic"/>
          <w:lang w:eastAsia="es-ES_tradnl"/>
        </w:rPr>
        <w:t>,</w:t>
      </w:r>
      <w:r>
        <w:rPr>
          <w:rFonts w:ascii="Verdana" w:eastAsia="Century Gothic" w:hAnsi="Verdana" w:cs="Century Gothic"/>
          <w:lang w:eastAsia="es-ES_tradnl"/>
        </w:rPr>
        <w:t xml:space="preserve"> deben entrar a determinar si les aplicaría el principio de anualidad presupuestal al tenor del artículo 13 de la Ley 1150 de 2007, caso en el cual el contrato de seguro solo podría tener duración dentro de la misma vigencia fiscal, salvo lo regulado en las normas presupuestales sobre vigencias futuras.</w:t>
      </w:r>
    </w:p>
    <w:p w14:paraId="60853CA3" w14:textId="74A7F0E9" w:rsidR="00E43EE1" w:rsidRDefault="00E43EE1" w:rsidP="00E43EE1">
      <w:pPr>
        <w:jc w:val="both"/>
        <w:rPr>
          <w:rFonts w:ascii="Verdana" w:eastAsia="Geomanist Light" w:hAnsi="Verdana" w:cs="Arial"/>
          <w:color w:val="000000" w:themeColor="text1"/>
        </w:rPr>
      </w:pPr>
      <w:r>
        <w:rPr>
          <w:rFonts w:ascii="Verdana" w:eastAsia="Century Gothic" w:hAnsi="Verdana" w:cs="Century Gothic"/>
          <w:lang w:eastAsia="es-ES_tradnl"/>
        </w:rPr>
        <w:t>Por otra parte,</w:t>
      </w:r>
      <w:r w:rsidRPr="00925FF7">
        <w:rPr>
          <w:rFonts w:ascii="Verdana" w:eastAsia="Century Gothic" w:hAnsi="Verdana" w:cs="Century Gothic"/>
          <w:lang w:eastAsia="es-ES_tradnl"/>
        </w:rPr>
        <w:t xml:space="preserve"> dependerá de la </w:t>
      </w:r>
      <w:r>
        <w:rPr>
          <w:rFonts w:ascii="Verdana" w:eastAsia="Century Gothic" w:hAnsi="Verdana" w:cs="Century Gothic"/>
          <w:lang w:eastAsia="es-ES_tradnl"/>
        </w:rPr>
        <w:t>normativa que rija al</w:t>
      </w:r>
      <w:r w:rsidRPr="00925FF7">
        <w:rPr>
          <w:rFonts w:ascii="Verdana" w:eastAsia="Century Gothic" w:hAnsi="Verdana" w:cs="Century Gothic"/>
          <w:lang w:eastAsia="es-ES_tradnl"/>
        </w:rPr>
        <w:t xml:space="preserve"> proceso</w:t>
      </w:r>
      <w:r>
        <w:rPr>
          <w:rFonts w:ascii="Verdana" w:eastAsia="Century Gothic" w:hAnsi="Verdana" w:cs="Century Gothic"/>
          <w:lang w:eastAsia="es-ES_tradnl"/>
        </w:rPr>
        <w:t>,</w:t>
      </w:r>
      <w:r w:rsidRPr="00925FF7">
        <w:rPr>
          <w:rFonts w:ascii="Verdana" w:eastAsia="Century Gothic" w:hAnsi="Verdana" w:cs="Century Gothic"/>
          <w:lang w:eastAsia="es-ES_tradnl"/>
        </w:rPr>
        <w:t xml:space="preserve"> si la institución educativa </w:t>
      </w:r>
      <w:r>
        <w:rPr>
          <w:rFonts w:ascii="Verdana" w:eastAsia="Century Gothic" w:hAnsi="Verdana" w:cs="Century Gothic"/>
          <w:lang w:eastAsia="es-ES_tradnl"/>
        </w:rPr>
        <w:t>a</w:t>
      </w:r>
      <w:r w:rsidRPr="00925FF7">
        <w:rPr>
          <w:rFonts w:ascii="Verdana" w:eastAsia="Century Gothic" w:hAnsi="Verdana" w:cs="Century Gothic"/>
          <w:lang w:eastAsia="es-ES_tradnl"/>
        </w:rPr>
        <w:t xml:space="preserve">plica lo </w:t>
      </w:r>
      <w:r w:rsidRPr="00E43EE1">
        <w:rPr>
          <w:rFonts w:ascii="Verdana" w:hAnsi="Verdana"/>
        </w:rPr>
        <w:t>dispuesto</w:t>
      </w:r>
      <w:r w:rsidRPr="00925FF7">
        <w:rPr>
          <w:rFonts w:ascii="Verdana" w:eastAsia="Century Gothic" w:hAnsi="Verdana" w:cs="Century Gothic"/>
          <w:lang w:eastAsia="es-ES_tradnl"/>
        </w:rPr>
        <w:t xml:space="preserve"> en el reglamento en torno a las adiciones</w:t>
      </w:r>
      <w:r>
        <w:rPr>
          <w:rFonts w:ascii="Verdana" w:eastAsia="Century Gothic" w:hAnsi="Verdana" w:cs="Century Gothic"/>
          <w:lang w:eastAsia="es-ES_tradnl"/>
        </w:rPr>
        <w:t xml:space="preserve"> entendidas como renovaciones del contrato de seguro</w:t>
      </w:r>
      <w:r w:rsidRPr="00925FF7">
        <w:rPr>
          <w:rFonts w:ascii="Verdana" w:eastAsia="Century Gothic" w:hAnsi="Verdana" w:cs="Century Gothic"/>
          <w:lang w:eastAsia="es-ES_tradnl"/>
        </w:rPr>
        <w:t xml:space="preserve">, </w:t>
      </w:r>
      <w:r>
        <w:rPr>
          <w:rFonts w:ascii="Verdana" w:eastAsia="Century Gothic" w:hAnsi="Verdana" w:cs="Century Gothic"/>
          <w:lang w:eastAsia="es-ES_tradnl"/>
        </w:rPr>
        <w:t>o si</w:t>
      </w:r>
      <w:r w:rsidRPr="00925FF7">
        <w:rPr>
          <w:rFonts w:ascii="Verdana" w:eastAsia="Century Gothic" w:hAnsi="Verdana" w:cs="Century Gothic"/>
          <w:lang w:eastAsia="es-ES_tradnl"/>
        </w:rPr>
        <w:t xml:space="preserve"> aplicará lo dispuesto en el artículo 40 de la </w:t>
      </w:r>
      <w:r>
        <w:rPr>
          <w:rFonts w:ascii="Verdana" w:eastAsia="Century Gothic" w:hAnsi="Verdana" w:cs="Century Gothic"/>
          <w:lang w:eastAsia="es-ES_tradnl"/>
        </w:rPr>
        <w:t>L</w:t>
      </w:r>
      <w:r w:rsidRPr="00925FF7">
        <w:rPr>
          <w:rFonts w:ascii="Verdana" w:eastAsia="Century Gothic" w:hAnsi="Verdana" w:cs="Century Gothic"/>
          <w:lang w:eastAsia="es-ES_tradnl"/>
        </w:rPr>
        <w:t xml:space="preserve">ey 80 de 1993 que dispone </w:t>
      </w:r>
      <w:r w:rsidRPr="00925FF7">
        <w:rPr>
          <w:rFonts w:ascii="Verdana" w:hAnsi="Verdana" w:cs="Arial"/>
        </w:rPr>
        <w:t>que los contratos no podrán adicionarse en más del 50% de su valor inicial, expresado en SMM</w:t>
      </w:r>
      <w:r>
        <w:rPr>
          <w:rFonts w:ascii="Verdana" w:hAnsi="Verdana" w:cs="Arial"/>
        </w:rPr>
        <w:t>L</w:t>
      </w:r>
      <w:r w:rsidRPr="00925FF7">
        <w:rPr>
          <w:rFonts w:ascii="Verdana" w:hAnsi="Verdana" w:cs="Arial"/>
        </w:rPr>
        <w:t>V.</w:t>
      </w:r>
    </w:p>
    <w:p w14:paraId="6B4523A9" w14:textId="77777777" w:rsidR="00E43EE1" w:rsidRDefault="00E43EE1" w:rsidP="001328E7">
      <w:pPr>
        <w:spacing w:after="0" w:line="240" w:lineRule="auto"/>
        <w:rPr>
          <w:rFonts w:ascii="Verdana" w:eastAsia="Geomanist Light" w:hAnsi="Verdana" w:cs="Arial"/>
          <w:color w:val="000000" w:themeColor="text1"/>
        </w:rPr>
      </w:pPr>
    </w:p>
    <w:p w14:paraId="055F90ED" w14:textId="77777777" w:rsidR="00E43EE1" w:rsidRDefault="00E43EE1" w:rsidP="001328E7">
      <w:pPr>
        <w:spacing w:after="0" w:line="240" w:lineRule="auto"/>
        <w:rPr>
          <w:rFonts w:ascii="Verdana" w:eastAsia="Geomanist Light" w:hAnsi="Verdana" w:cs="Arial"/>
          <w:color w:val="000000" w:themeColor="text1"/>
        </w:rPr>
      </w:pPr>
    </w:p>
    <w:p w14:paraId="577117DC" w14:textId="77777777" w:rsidR="00E43EE1" w:rsidRDefault="00E43EE1" w:rsidP="001328E7">
      <w:pPr>
        <w:spacing w:after="0" w:line="240" w:lineRule="auto"/>
        <w:rPr>
          <w:rFonts w:ascii="Verdana" w:eastAsia="Geomanist Light" w:hAnsi="Verdana" w:cs="Arial"/>
          <w:color w:val="000000" w:themeColor="text1"/>
        </w:rPr>
      </w:pPr>
    </w:p>
    <w:p w14:paraId="190ACA73" w14:textId="77777777" w:rsidR="00E43EE1" w:rsidRDefault="00E43EE1" w:rsidP="001328E7">
      <w:pPr>
        <w:spacing w:after="0" w:line="240" w:lineRule="auto"/>
        <w:rPr>
          <w:rFonts w:ascii="Verdana" w:eastAsia="Geomanist Light" w:hAnsi="Verdana" w:cs="Arial"/>
          <w:color w:val="000000" w:themeColor="text1"/>
        </w:rPr>
      </w:pPr>
    </w:p>
    <w:p w14:paraId="40F06F69" w14:textId="77777777" w:rsidR="00E43EE1" w:rsidRDefault="00E43EE1" w:rsidP="001328E7">
      <w:pPr>
        <w:spacing w:after="0" w:line="240" w:lineRule="auto"/>
        <w:rPr>
          <w:rFonts w:ascii="Verdana" w:eastAsia="Geomanist Light" w:hAnsi="Verdana" w:cs="Arial"/>
          <w:color w:val="000000" w:themeColor="text1"/>
        </w:rPr>
      </w:pPr>
    </w:p>
    <w:p w14:paraId="1CA4C9AB" w14:textId="77777777" w:rsidR="00E43EE1" w:rsidRDefault="00E43EE1" w:rsidP="001328E7">
      <w:pPr>
        <w:spacing w:after="0" w:line="240" w:lineRule="auto"/>
        <w:rPr>
          <w:rFonts w:ascii="Verdana" w:eastAsia="Geomanist Light" w:hAnsi="Verdana" w:cs="Arial"/>
          <w:color w:val="000000" w:themeColor="text1"/>
        </w:rPr>
      </w:pPr>
    </w:p>
    <w:p w14:paraId="498F848F" w14:textId="77777777" w:rsidR="00E43EE1" w:rsidRDefault="00E43EE1" w:rsidP="001328E7">
      <w:pPr>
        <w:spacing w:after="0" w:line="240" w:lineRule="auto"/>
        <w:rPr>
          <w:rFonts w:ascii="Verdana" w:eastAsia="Geomanist Light" w:hAnsi="Verdana" w:cs="Arial"/>
          <w:color w:val="000000" w:themeColor="text1"/>
        </w:rPr>
      </w:pPr>
    </w:p>
    <w:p w14:paraId="3E9F0DD1" w14:textId="77777777" w:rsidR="00E43EE1" w:rsidRDefault="00E43EE1" w:rsidP="001328E7">
      <w:pPr>
        <w:spacing w:after="0" w:line="240" w:lineRule="auto"/>
        <w:rPr>
          <w:rFonts w:ascii="Verdana" w:eastAsia="Geomanist Light" w:hAnsi="Verdana" w:cs="Arial"/>
          <w:color w:val="000000" w:themeColor="text1"/>
        </w:rPr>
      </w:pPr>
    </w:p>
    <w:p w14:paraId="4FD06A61" w14:textId="77777777" w:rsidR="00E43EE1" w:rsidRDefault="00E43EE1" w:rsidP="001328E7">
      <w:pPr>
        <w:spacing w:after="0" w:line="240" w:lineRule="auto"/>
        <w:rPr>
          <w:rFonts w:ascii="Verdana" w:eastAsia="Geomanist Light" w:hAnsi="Verdana" w:cs="Arial"/>
          <w:color w:val="000000" w:themeColor="text1"/>
        </w:rPr>
      </w:pPr>
    </w:p>
    <w:p w14:paraId="2468F8A1" w14:textId="77777777" w:rsidR="00E43EE1" w:rsidRDefault="00E43EE1" w:rsidP="001328E7">
      <w:pPr>
        <w:spacing w:after="0" w:line="240" w:lineRule="auto"/>
        <w:rPr>
          <w:rFonts w:ascii="Verdana" w:eastAsia="Geomanist Light" w:hAnsi="Verdana" w:cs="Arial"/>
          <w:color w:val="000000" w:themeColor="text1"/>
        </w:rPr>
      </w:pPr>
    </w:p>
    <w:p w14:paraId="0DDCE398" w14:textId="77777777" w:rsidR="00E43EE1" w:rsidRDefault="00E43EE1" w:rsidP="001328E7">
      <w:pPr>
        <w:spacing w:after="0" w:line="240" w:lineRule="auto"/>
        <w:rPr>
          <w:rFonts w:ascii="Verdana" w:eastAsia="Geomanist Light" w:hAnsi="Verdana" w:cs="Arial"/>
          <w:color w:val="000000" w:themeColor="text1"/>
        </w:rPr>
      </w:pPr>
    </w:p>
    <w:p w14:paraId="0E4E89CA" w14:textId="77777777" w:rsidR="00E43EE1" w:rsidRDefault="00E43EE1" w:rsidP="001328E7">
      <w:pPr>
        <w:spacing w:after="0" w:line="240" w:lineRule="auto"/>
        <w:rPr>
          <w:rFonts w:ascii="Verdana" w:eastAsia="Geomanist Light" w:hAnsi="Verdana" w:cs="Arial"/>
          <w:color w:val="000000" w:themeColor="text1"/>
        </w:rPr>
      </w:pPr>
    </w:p>
    <w:p w14:paraId="46B38640" w14:textId="77777777" w:rsidR="00E43EE1" w:rsidRDefault="00E43EE1" w:rsidP="001328E7">
      <w:pPr>
        <w:spacing w:after="0" w:line="240" w:lineRule="auto"/>
        <w:rPr>
          <w:rFonts w:ascii="Verdana" w:eastAsia="Geomanist Light" w:hAnsi="Verdana" w:cs="Arial"/>
          <w:color w:val="000000" w:themeColor="text1"/>
        </w:rPr>
      </w:pPr>
    </w:p>
    <w:p w14:paraId="4FB6F1D1" w14:textId="77777777" w:rsidR="00E43EE1" w:rsidRDefault="00E43EE1" w:rsidP="001328E7">
      <w:pPr>
        <w:spacing w:after="0" w:line="240" w:lineRule="auto"/>
        <w:rPr>
          <w:rFonts w:ascii="Verdana" w:eastAsia="Geomanist Light" w:hAnsi="Verdana" w:cs="Arial"/>
          <w:color w:val="000000" w:themeColor="text1"/>
        </w:rPr>
      </w:pPr>
    </w:p>
    <w:p w14:paraId="004FF00C" w14:textId="77777777" w:rsidR="00E43EE1" w:rsidRDefault="00E43EE1" w:rsidP="001328E7">
      <w:pPr>
        <w:spacing w:after="0" w:line="240" w:lineRule="auto"/>
        <w:rPr>
          <w:rFonts w:ascii="Verdana" w:eastAsia="Geomanist Light" w:hAnsi="Verdana" w:cs="Arial"/>
          <w:color w:val="000000" w:themeColor="text1"/>
        </w:rPr>
      </w:pPr>
    </w:p>
    <w:p w14:paraId="6B551E5C" w14:textId="77777777" w:rsidR="00E43EE1" w:rsidRDefault="00E43EE1" w:rsidP="001328E7">
      <w:pPr>
        <w:spacing w:after="0" w:line="240" w:lineRule="auto"/>
        <w:rPr>
          <w:rFonts w:ascii="Verdana" w:eastAsia="Geomanist Light" w:hAnsi="Verdana" w:cs="Arial"/>
          <w:color w:val="000000" w:themeColor="text1"/>
        </w:rPr>
      </w:pPr>
    </w:p>
    <w:p w14:paraId="69234FB6" w14:textId="77777777" w:rsidR="00E43EE1" w:rsidRDefault="00E43EE1" w:rsidP="001328E7">
      <w:pPr>
        <w:spacing w:after="0" w:line="240" w:lineRule="auto"/>
        <w:rPr>
          <w:rFonts w:ascii="Verdana" w:eastAsia="Geomanist Light" w:hAnsi="Verdana" w:cs="Arial"/>
          <w:color w:val="000000" w:themeColor="text1"/>
        </w:rPr>
      </w:pPr>
    </w:p>
    <w:p w14:paraId="02333014" w14:textId="77777777" w:rsidR="00E43EE1" w:rsidRDefault="00E43EE1" w:rsidP="001328E7">
      <w:pPr>
        <w:spacing w:after="0" w:line="240" w:lineRule="auto"/>
        <w:rPr>
          <w:rFonts w:ascii="Verdana" w:eastAsia="Geomanist Light" w:hAnsi="Verdana" w:cs="Arial"/>
          <w:color w:val="000000" w:themeColor="text1"/>
        </w:rPr>
      </w:pPr>
    </w:p>
    <w:p w14:paraId="16FE1AD1" w14:textId="77777777" w:rsidR="00E43EE1" w:rsidRDefault="00E43EE1" w:rsidP="001328E7">
      <w:pPr>
        <w:spacing w:after="0" w:line="240" w:lineRule="auto"/>
        <w:rPr>
          <w:rFonts w:ascii="Verdana" w:eastAsia="Geomanist Light" w:hAnsi="Verdana" w:cs="Arial"/>
          <w:color w:val="000000" w:themeColor="text1"/>
        </w:rPr>
      </w:pPr>
    </w:p>
    <w:p w14:paraId="0F4D0573" w14:textId="77777777" w:rsidR="00E43EE1" w:rsidRDefault="00E43EE1" w:rsidP="001328E7">
      <w:pPr>
        <w:spacing w:after="0" w:line="240" w:lineRule="auto"/>
        <w:rPr>
          <w:rFonts w:ascii="Verdana" w:eastAsia="Geomanist Light" w:hAnsi="Verdana" w:cs="Arial"/>
          <w:color w:val="000000" w:themeColor="text1"/>
        </w:rPr>
      </w:pPr>
    </w:p>
    <w:p w14:paraId="02F8FF83" w14:textId="77777777" w:rsidR="00E43EE1" w:rsidRDefault="00E43EE1" w:rsidP="001328E7">
      <w:pPr>
        <w:spacing w:after="0" w:line="240" w:lineRule="auto"/>
        <w:rPr>
          <w:rFonts w:ascii="Verdana" w:eastAsia="Geomanist Light" w:hAnsi="Verdana" w:cs="Arial"/>
          <w:color w:val="000000" w:themeColor="text1"/>
        </w:rPr>
      </w:pPr>
    </w:p>
    <w:p w14:paraId="2C82FD9C" w14:textId="77777777" w:rsidR="00E43EE1" w:rsidRDefault="00E43EE1" w:rsidP="001328E7">
      <w:pPr>
        <w:spacing w:after="0" w:line="240" w:lineRule="auto"/>
        <w:rPr>
          <w:rFonts w:ascii="Verdana" w:eastAsia="Geomanist Light" w:hAnsi="Verdana" w:cs="Arial"/>
          <w:color w:val="000000" w:themeColor="text1"/>
        </w:rPr>
      </w:pPr>
    </w:p>
    <w:p w14:paraId="42B80810" w14:textId="77777777" w:rsidR="00E43EE1" w:rsidRDefault="00E43EE1" w:rsidP="001328E7">
      <w:pPr>
        <w:spacing w:after="0" w:line="240" w:lineRule="auto"/>
        <w:rPr>
          <w:rFonts w:ascii="Verdana" w:eastAsia="Geomanist Light" w:hAnsi="Verdana" w:cs="Arial"/>
          <w:color w:val="000000" w:themeColor="text1"/>
        </w:rPr>
      </w:pPr>
    </w:p>
    <w:p w14:paraId="6C5E989A" w14:textId="77777777" w:rsidR="00E43EE1" w:rsidRDefault="00E43EE1" w:rsidP="001328E7">
      <w:pPr>
        <w:spacing w:after="0" w:line="240" w:lineRule="auto"/>
        <w:rPr>
          <w:rFonts w:ascii="Verdana" w:eastAsia="Geomanist Light" w:hAnsi="Verdana" w:cs="Arial"/>
          <w:color w:val="000000" w:themeColor="text1"/>
        </w:rPr>
      </w:pPr>
    </w:p>
    <w:p w14:paraId="270D7AB1" w14:textId="77777777" w:rsidR="00E43EE1" w:rsidRDefault="00E43EE1" w:rsidP="001328E7">
      <w:pPr>
        <w:spacing w:after="0" w:line="240" w:lineRule="auto"/>
        <w:rPr>
          <w:rFonts w:ascii="Verdana" w:eastAsia="Geomanist Light" w:hAnsi="Verdana" w:cs="Arial"/>
          <w:color w:val="000000" w:themeColor="text1"/>
        </w:rPr>
      </w:pPr>
    </w:p>
    <w:p w14:paraId="735AFFD8" w14:textId="77777777" w:rsidR="00E43EE1" w:rsidRDefault="00E43EE1" w:rsidP="001328E7">
      <w:pPr>
        <w:spacing w:after="0" w:line="240" w:lineRule="auto"/>
        <w:rPr>
          <w:rFonts w:ascii="Verdana" w:eastAsia="Geomanist Light" w:hAnsi="Verdana" w:cs="Arial"/>
          <w:color w:val="000000" w:themeColor="text1"/>
        </w:rPr>
      </w:pPr>
    </w:p>
    <w:p w14:paraId="33E707B9" w14:textId="77777777" w:rsidR="00E43EE1" w:rsidRDefault="00E43EE1" w:rsidP="001328E7">
      <w:pPr>
        <w:spacing w:after="0" w:line="240" w:lineRule="auto"/>
        <w:rPr>
          <w:rFonts w:ascii="Verdana" w:eastAsia="Geomanist Light" w:hAnsi="Verdana" w:cs="Arial"/>
          <w:color w:val="000000" w:themeColor="text1"/>
        </w:rPr>
      </w:pPr>
    </w:p>
    <w:p w14:paraId="081F24AE" w14:textId="77777777" w:rsidR="00E43EE1" w:rsidRDefault="00E43EE1" w:rsidP="001328E7">
      <w:pPr>
        <w:spacing w:after="0" w:line="240" w:lineRule="auto"/>
        <w:rPr>
          <w:rFonts w:ascii="Verdana" w:eastAsia="Geomanist Light" w:hAnsi="Verdana" w:cs="Arial"/>
          <w:color w:val="000000" w:themeColor="text1"/>
        </w:rPr>
      </w:pPr>
    </w:p>
    <w:p w14:paraId="76ADA0D1" w14:textId="77777777" w:rsidR="00E43EE1" w:rsidRDefault="00E43EE1" w:rsidP="001328E7">
      <w:pPr>
        <w:spacing w:after="0" w:line="240" w:lineRule="auto"/>
        <w:rPr>
          <w:rFonts w:ascii="Verdana" w:eastAsia="Geomanist Light" w:hAnsi="Verdana" w:cs="Arial"/>
          <w:color w:val="000000" w:themeColor="text1"/>
        </w:rPr>
      </w:pPr>
    </w:p>
    <w:p w14:paraId="4C5147BB" w14:textId="77777777" w:rsidR="00E43EE1" w:rsidRDefault="00E43EE1" w:rsidP="001328E7">
      <w:pPr>
        <w:spacing w:after="0" w:line="240" w:lineRule="auto"/>
        <w:rPr>
          <w:rFonts w:ascii="Verdana" w:eastAsia="Geomanist Light" w:hAnsi="Verdana" w:cs="Arial"/>
          <w:color w:val="000000" w:themeColor="text1"/>
        </w:rPr>
      </w:pPr>
    </w:p>
    <w:p w14:paraId="00C6503C" w14:textId="77777777" w:rsidR="00E43EE1" w:rsidRPr="00E43EE1" w:rsidRDefault="00E43EE1" w:rsidP="001328E7">
      <w:pPr>
        <w:spacing w:after="0" w:line="240" w:lineRule="auto"/>
        <w:rPr>
          <w:rFonts w:ascii="Verdana" w:eastAsia="Geomanist Light" w:hAnsi="Verdana" w:cs="Arial"/>
          <w:color w:val="000000" w:themeColor="text1"/>
        </w:rPr>
      </w:pPr>
    </w:p>
    <w:p w14:paraId="01570FE5" w14:textId="2C097914" w:rsidR="001328E7" w:rsidRPr="00CF64C0" w:rsidRDefault="001328E7" w:rsidP="001328E7">
      <w:pPr>
        <w:spacing w:after="0" w:line="240" w:lineRule="auto"/>
        <w:rPr>
          <w:rFonts w:ascii="Verdana" w:eastAsia="Geomanist Light" w:hAnsi="Verdana" w:cs="Arial"/>
          <w:color w:val="201F1E"/>
          <w:lang w:val="es-MX"/>
        </w:rPr>
      </w:pPr>
      <w:r w:rsidRPr="00CF64C0">
        <w:rPr>
          <w:rFonts w:ascii="Verdana" w:eastAsia="Geomanist Light" w:hAnsi="Verdana" w:cs="Arial"/>
          <w:color w:val="000000" w:themeColor="text1"/>
          <w:lang w:val="es-MX"/>
        </w:rPr>
        <w:lastRenderedPageBreak/>
        <w:t>Bogotá D.C., </w:t>
      </w:r>
      <w:r w:rsidR="00E43EE1">
        <w:rPr>
          <w:rFonts w:ascii="Verdana" w:eastAsia="Geomanist Light" w:hAnsi="Verdana" w:cs="Arial"/>
          <w:color w:val="201F1E"/>
          <w:lang w:val="es-MX"/>
        </w:rPr>
        <w:t>19</w:t>
      </w:r>
      <w:r w:rsidRPr="00CF64C0">
        <w:rPr>
          <w:rFonts w:ascii="Verdana" w:eastAsia="Geomanist Light" w:hAnsi="Verdana" w:cs="Arial"/>
          <w:color w:val="201F1E"/>
          <w:lang w:val="es-MX"/>
        </w:rPr>
        <w:t xml:space="preserve"> de</w:t>
      </w:r>
      <w:r w:rsidR="00E43EE1">
        <w:rPr>
          <w:rFonts w:ascii="Verdana" w:eastAsia="Geomanist Light" w:hAnsi="Verdana" w:cs="Arial"/>
          <w:color w:val="201F1E"/>
          <w:lang w:val="es-MX"/>
        </w:rPr>
        <w:t xml:space="preserve"> septiembre </w:t>
      </w:r>
      <w:r w:rsidRPr="00CF64C0">
        <w:rPr>
          <w:rFonts w:ascii="Verdana" w:eastAsia="Geomanist Light" w:hAnsi="Verdana" w:cs="Arial"/>
          <w:color w:val="201F1E"/>
          <w:lang w:val="es-MX"/>
        </w:rPr>
        <w:t xml:space="preserve">de </w:t>
      </w:r>
      <w:r w:rsidR="00E43EE1">
        <w:rPr>
          <w:rFonts w:ascii="Verdana" w:eastAsia="Geomanist Light" w:hAnsi="Verdana" w:cs="Arial"/>
          <w:color w:val="201F1E"/>
          <w:lang w:val="es-MX"/>
        </w:rPr>
        <w:t>2024</w:t>
      </w:r>
    </w:p>
    <w:p w14:paraId="04096DDB" w14:textId="77777777" w:rsidR="001328E7" w:rsidRPr="00CF64C0" w:rsidRDefault="001328E7" w:rsidP="001328E7">
      <w:pPr>
        <w:spacing w:after="0" w:line="240" w:lineRule="auto"/>
        <w:jc w:val="both"/>
        <w:rPr>
          <w:rFonts w:ascii="Verdana" w:eastAsia="Calibri" w:hAnsi="Verdana" w:cs="Arial"/>
          <w:color w:val="000000"/>
          <w:lang w:val="es-ES"/>
        </w:rPr>
      </w:pPr>
    </w:p>
    <w:p w14:paraId="2DEA1745" w14:textId="09195B5F" w:rsidR="00E43EE1" w:rsidRDefault="00E43EE1" w:rsidP="00E43EE1">
      <w:pPr>
        <w:spacing w:after="0" w:line="240" w:lineRule="auto"/>
        <w:ind w:left="4956"/>
        <w:jc w:val="both"/>
        <w:rPr>
          <w:rFonts w:ascii="Verdana" w:eastAsia="Calibri" w:hAnsi="Verdana" w:cs="Arial"/>
          <w:lang w:val="es-ES" w:eastAsia="es-ES"/>
        </w:rPr>
      </w:pPr>
      <w:bookmarkStart w:id="1" w:name="_Hlk175917643"/>
      <w:r w:rsidRPr="00E43EE1">
        <w:rPr>
          <w:rFonts w:ascii="Verdana" w:eastAsia="Calibri" w:hAnsi="Verdana" w:cs="Arial"/>
          <w:noProof/>
          <w:lang w:val="es-ES" w:eastAsia="es-ES"/>
        </w:rPr>
        <w:drawing>
          <wp:inline distT="0" distB="0" distL="0" distR="0" wp14:anchorId="2CD30FEC" wp14:editId="3816A45B">
            <wp:extent cx="3429479" cy="1066949"/>
            <wp:effectExtent l="0" t="0" r="0" b="0"/>
            <wp:docPr id="7094326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432693" name=""/>
                    <pic:cNvPicPr/>
                  </pic:nvPicPr>
                  <pic:blipFill>
                    <a:blip r:embed="rId10"/>
                    <a:stretch>
                      <a:fillRect/>
                    </a:stretch>
                  </pic:blipFill>
                  <pic:spPr>
                    <a:xfrm>
                      <a:off x="0" y="0"/>
                      <a:ext cx="3429479" cy="1066949"/>
                    </a:xfrm>
                    <a:prstGeom prst="rect">
                      <a:avLst/>
                    </a:prstGeom>
                  </pic:spPr>
                </pic:pic>
              </a:graphicData>
            </a:graphic>
          </wp:inline>
        </w:drawing>
      </w:r>
    </w:p>
    <w:p w14:paraId="78C81DBC" w14:textId="744248A7" w:rsidR="001328E7" w:rsidRPr="00CF64C0" w:rsidRDefault="001328E7" w:rsidP="001328E7">
      <w:pPr>
        <w:spacing w:after="0" w:line="240" w:lineRule="auto"/>
        <w:jc w:val="both"/>
        <w:rPr>
          <w:rFonts w:ascii="Verdana" w:eastAsia="Calibri" w:hAnsi="Verdana" w:cs="Arial"/>
          <w:lang w:val="es-ES" w:eastAsia="es-ES"/>
        </w:rPr>
      </w:pPr>
      <w:r w:rsidRPr="00CF64C0">
        <w:rPr>
          <w:rFonts w:ascii="Verdana" w:eastAsia="Calibri" w:hAnsi="Verdana" w:cs="Arial"/>
          <w:lang w:val="es-ES" w:eastAsia="es-ES"/>
        </w:rPr>
        <w:t>Señor</w:t>
      </w:r>
    </w:p>
    <w:p w14:paraId="30299CF5" w14:textId="77777777" w:rsidR="001328E7" w:rsidDel="00771E1B" w:rsidRDefault="001328E7" w:rsidP="001328E7">
      <w:pPr>
        <w:spacing w:after="0" w:line="240" w:lineRule="auto"/>
        <w:rPr>
          <w:rFonts w:ascii="Verdana" w:eastAsia="Calibri" w:hAnsi="Verdana" w:cs="Arial"/>
          <w:b/>
          <w:lang w:eastAsia="es-ES"/>
        </w:rPr>
      </w:pPr>
      <w:r>
        <w:rPr>
          <w:rFonts w:ascii="Verdana" w:eastAsia="Calibri" w:hAnsi="Verdana" w:cs="Arial"/>
          <w:b/>
          <w:bCs/>
          <w:lang w:eastAsia="es-ES"/>
        </w:rPr>
        <w:t>CARLOS ANDRÉS RAMIREZ ARISTIZABAL</w:t>
      </w:r>
    </w:p>
    <w:p w14:paraId="47772D8F" w14:textId="77777777" w:rsidR="001328E7" w:rsidRPr="00771E1B" w:rsidRDefault="001328E7" w:rsidP="001328E7">
      <w:pPr>
        <w:spacing w:after="0" w:line="240" w:lineRule="auto"/>
        <w:rPr>
          <w:rFonts w:ascii="Verdana" w:hAnsi="Verdana"/>
        </w:rPr>
      </w:pPr>
      <w:hyperlink r:id="rId11" w:history="1">
        <w:r w:rsidRPr="00771E1B">
          <w:rPr>
            <w:rStyle w:val="Hipervnculo"/>
            <w:rFonts w:ascii="Verdana" w:hAnsi="Verdana"/>
          </w:rPr>
          <w:t>caracoladelrio@gmail.com</w:t>
        </w:r>
      </w:hyperlink>
    </w:p>
    <w:p w14:paraId="421B9686" w14:textId="77777777" w:rsidR="001328E7" w:rsidRPr="00CF64C0" w:rsidRDefault="001328E7" w:rsidP="001328E7">
      <w:pPr>
        <w:spacing w:after="0" w:line="240" w:lineRule="auto"/>
        <w:rPr>
          <w:rFonts w:ascii="Verdana" w:eastAsia="Calibri" w:hAnsi="Verdana" w:cs="Arial"/>
          <w:b/>
          <w:bCs/>
          <w:color w:val="000000"/>
          <w:lang w:val="es-ES_tradnl" w:eastAsia="es-ES_tradnl"/>
        </w:rPr>
      </w:pPr>
      <w:r w:rsidRPr="00CF64C0">
        <w:rPr>
          <w:rFonts w:ascii="Verdana" w:eastAsia="Calibri" w:hAnsi="Verdana" w:cs="Arial"/>
          <w:lang w:val="es-ES" w:eastAsia="es-ES"/>
        </w:rPr>
        <w:t>Bogotá D.C.</w:t>
      </w:r>
    </w:p>
    <w:p w14:paraId="376A68C6" w14:textId="77777777" w:rsidR="001328E7" w:rsidRPr="00CF64C0" w:rsidRDefault="001328E7" w:rsidP="001328E7">
      <w:pPr>
        <w:spacing w:after="0" w:line="240" w:lineRule="auto"/>
        <w:rPr>
          <w:rFonts w:ascii="Verdana" w:eastAsia="Calibri" w:hAnsi="Verdana" w:cs="Arial"/>
          <w:b/>
          <w:bCs/>
          <w:color w:val="000000"/>
          <w:lang w:val="es-ES_tradnl" w:eastAsia="es-ES_tradnl"/>
        </w:rPr>
      </w:pPr>
    </w:p>
    <w:tbl>
      <w:tblPr>
        <w:tblStyle w:val="Tablaconcuadrcu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095"/>
      </w:tblGrid>
      <w:tr w:rsidR="001328E7" w:rsidRPr="00CF64C0" w14:paraId="18C09810" w14:textId="77777777" w:rsidTr="00A85733">
        <w:trPr>
          <w:trHeight w:val="519"/>
        </w:trPr>
        <w:tc>
          <w:tcPr>
            <w:tcW w:w="2410" w:type="dxa"/>
          </w:tcPr>
          <w:p w14:paraId="08424275" w14:textId="77777777" w:rsidR="001328E7" w:rsidRPr="00CF64C0" w:rsidRDefault="001328E7" w:rsidP="00A85733">
            <w:pPr>
              <w:jc w:val="both"/>
              <w:rPr>
                <w:rFonts w:ascii="Verdana" w:eastAsia="Calibri" w:hAnsi="Verdana" w:cs="Arial"/>
                <w:b/>
                <w:bCs/>
                <w:color w:val="7030A0"/>
                <w:lang w:val="es-ES_tradnl" w:eastAsia="es-ES_tradnl"/>
              </w:rPr>
            </w:pPr>
          </w:p>
        </w:tc>
        <w:tc>
          <w:tcPr>
            <w:tcW w:w="6095" w:type="dxa"/>
          </w:tcPr>
          <w:p w14:paraId="70FC43C4" w14:textId="77777777" w:rsidR="001328E7" w:rsidRPr="00CF64C0" w:rsidRDefault="001328E7" w:rsidP="00A85733">
            <w:pPr>
              <w:jc w:val="both"/>
              <w:rPr>
                <w:rFonts w:ascii="Verdana" w:eastAsia="Calibri" w:hAnsi="Verdana" w:cs="Arial"/>
                <w:b/>
                <w:bCs/>
                <w:color w:val="7030A0"/>
                <w:lang w:val="es-ES" w:eastAsia="es-ES"/>
              </w:rPr>
            </w:pPr>
            <w:r w:rsidRPr="00CF64C0">
              <w:rPr>
                <w:rFonts w:ascii="Verdana" w:eastAsia="Calibri" w:hAnsi="Verdana" w:cs="Arial"/>
                <w:b/>
                <w:bCs/>
                <w:lang w:val="es-ES" w:eastAsia="es-ES"/>
              </w:rPr>
              <w:t>Concepto C- 4</w:t>
            </w:r>
            <w:r>
              <w:rPr>
                <w:rFonts w:ascii="Verdana" w:eastAsia="Calibri" w:hAnsi="Verdana" w:cs="Arial"/>
                <w:b/>
                <w:bCs/>
                <w:lang w:val="es-ES" w:eastAsia="es-ES"/>
              </w:rPr>
              <w:t>5</w:t>
            </w:r>
            <w:r w:rsidRPr="00CF64C0">
              <w:rPr>
                <w:rFonts w:ascii="Verdana" w:eastAsia="Calibri" w:hAnsi="Verdana" w:cs="Arial"/>
                <w:b/>
                <w:bCs/>
                <w:lang w:val="es-ES" w:eastAsia="es-ES"/>
              </w:rPr>
              <w:t>1</w:t>
            </w:r>
            <w:r w:rsidRPr="00CF64C0">
              <w:rPr>
                <w:rFonts w:ascii="Verdana" w:eastAsia="Calibri" w:hAnsi="Verdana" w:cs="Arial"/>
                <w:b/>
                <w:bCs/>
                <w:color w:val="7030A0"/>
                <w:lang w:val="es-ES" w:eastAsia="es-ES"/>
              </w:rPr>
              <w:t xml:space="preserve"> </w:t>
            </w:r>
            <w:r w:rsidRPr="00CF64C0">
              <w:rPr>
                <w:rFonts w:ascii="Verdana" w:eastAsia="Calibri" w:hAnsi="Verdana" w:cs="Arial"/>
                <w:b/>
                <w:bCs/>
                <w:lang w:val="es-ES" w:eastAsia="es-ES"/>
              </w:rPr>
              <w:t>de 2024</w:t>
            </w:r>
          </w:p>
        </w:tc>
      </w:tr>
      <w:tr w:rsidR="001328E7" w:rsidRPr="00CF64C0" w14:paraId="3CFBFD4B" w14:textId="77777777" w:rsidTr="00A85733">
        <w:trPr>
          <w:trHeight w:val="884"/>
        </w:trPr>
        <w:tc>
          <w:tcPr>
            <w:tcW w:w="2410" w:type="dxa"/>
          </w:tcPr>
          <w:p w14:paraId="2F9659FB" w14:textId="77777777" w:rsidR="001328E7" w:rsidRPr="00031053" w:rsidRDefault="001328E7" w:rsidP="00A85733">
            <w:pPr>
              <w:jc w:val="both"/>
              <w:rPr>
                <w:rFonts w:ascii="Verdana" w:eastAsia="Calibri" w:hAnsi="Verdana" w:cs="Arial"/>
                <w:color w:val="000000"/>
                <w:lang w:val="es-ES_tradnl" w:eastAsia="es-ES_tradnl"/>
              </w:rPr>
            </w:pPr>
            <w:r w:rsidRPr="00031053">
              <w:rPr>
                <w:rFonts w:ascii="Verdana" w:eastAsia="Calibri" w:hAnsi="Verdana" w:cs="Arial"/>
                <w:b/>
                <w:color w:val="000000"/>
                <w:lang w:val="es-ES_tradnl" w:eastAsia="es-ES_tradnl"/>
              </w:rPr>
              <w:t>Temas:</w:t>
            </w:r>
            <w:r w:rsidRPr="00031053">
              <w:rPr>
                <w:rFonts w:ascii="Verdana" w:eastAsia="Calibri" w:hAnsi="Verdana" w:cs="Arial"/>
                <w:color w:val="000000"/>
                <w:lang w:val="es-ES_tradnl" w:eastAsia="es-ES_tradnl"/>
              </w:rPr>
              <w:t xml:space="preserve">                   </w:t>
            </w:r>
          </w:p>
        </w:tc>
        <w:tc>
          <w:tcPr>
            <w:tcW w:w="6095" w:type="dxa"/>
          </w:tcPr>
          <w:p w14:paraId="3606C68E" w14:textId="07E5DCB9" w:rsidR="001328E7" w:rsidRPr="00031053" w:rsidRDefault="001328E7" w:rsidP="00A85733">
            <w:pPr>
              <w:spacing w:line="276" w:lineRule="auto"/>
              <w:jc w:val="both"/>
              <w:rPr>
                <w:rFonts w:ascii="Verdana" w:eastAsia="Calibri" w:hAnsi="Verdana" w:cs="Arial"/>
                <w:lang w:eastAsia="es-ES"/>
              </w:rPr>
            </w:pPr>
            <w:r w:rsidRPr="00031053">
              <w:rPr>
                <w:rFonts w:ascii="Verdana" w:hAnsi="Verdana" w:cs="Arial"/>
              </w:rPr>
              <w:t xml:space="preserve">INSTITUCIONES EDUCATIVAS OFICIALES – Tipo de Contratación – Cuantías </w:t>
            </w:r>
            <w:r w:rsidR="00166FB4" w:rsidRPr="00031053">
              <w:rPr>
                <w:rFonts w:ascii="Verdana" w:hAnsi="Verdana" w:cs="Arial"/>
              </w:rPr>
              <w:t>–</w:t>
            </w:r>
            <w:r w:rsidRPr="00031053">
              <w:rPr>
                <w:rFonts w:ascii="Verdana" w:hAnsi="Verdana" w:cs="Arial"/>
              </w:rPr>
              <w:t xml:space="preserve"> Reglas </w:t>
            </w:r>
            <w:r w:rsidR="00166FB4">
              <w:rPr>
                <w:rFonts w:ascii="Verdana" w:hAnsi="Verdana" w:cs="Arial"/>
              </w:rPr>
              <w:t xml:space="preserve">/ </w:t>
            </w:r>
            <w:r w:rsidRPr="00031053">
              <w:rPr>
                <w:rFonts w:ascii="Verdana" w:eastAsia="Arial" w:hAnsi="Verdana" w:cs="Arial"/>
                <w:bCs/>
                <w:lang w:val="es-ES" w:bidi="es-ES"/>
              </w:rPr>
              <w:t xml:space="preserve">MODIFICACIÓN DE LOS CONTRATOS ESTATALES </w:t>
            </w:r>
            <w:r w:rsidR="00166FB4" w:rsidRPr="00031053">
              <w:rPr>
                <w:rFonts w:ascii="Verdana" w:hAnsi="Verdana" w:cs="Arial"/>
              </w:rPr>
              <w:t>–</w:t>
            </w:r>
            <w:r w:rsidRPr="00031053">
              <w:rPr>
                <w:rFonts w:ascii="Verdana" w:eastAsia="Arial" w:hAnsi="Verdana" w:cs="Arial"/>
                <w:bCs/>
                <w:lang w:val="es-ES" w:bidi="es-ES"/>
              </w:rPr>
              <w:t xml:space="preserve"> Procedencia – Límites </w:t>
            </w:r>
            <w:r w:rsidRPr="00031053">
              <w:rPr>
                <w:rFonts w:ascii="Verdana" w:eastAsia="Arial" w:hAnsi="Verdana" w:cs="Arial"/>
                <w:lang w:bidi="es-ES"/>
              </w:rPr>
              <w:t xml:space="preserve">/ ADICIÓN </w:t>
            </w:r>
            <w:r w:rsidR="00166FB4" w:rsidRPr="00031053">
              <w:rPr>
                <w:rFonts w:ascii="Verdana" w:hAnsi="Verdana" w:cs="Arial"/>
              </w:rPr>
              <w:t>–</w:t>
            </w:r>
            <w:r w:rsidRPr="00031053">
              <w:rPr>
                <w:rFonts w:ascii="Verdana" w:eastAsia="Arial" w:hAnsi="Verdana" w:cs="Arial"/>
                <w:lang w:bidi="es-ES"/>
              </w:rPr>
              <w:t xml:space="preserve"> Concepto </w:t>
            </w:r>
            <w:r w:rsidR="002A4830" w:rsidRPr="00031053">
              <w:rPr>
                <w:rFonts w:ascii="Verdana" w:hAnsi="Verdana" w:cs="Arial"/>
              </w:rPr>
              <w:t>–</w:t>
            </w:r>
            <w:r w:rsidR="002A4830">
              <w:rPr>
                <w:rFonts w:ascii="Verdana" w:hAnsi="Verdana" w:cs="Arial"/>
              </w:rPr>
              <w:t xml:space="preserve"> </w:t>
            </w:r>
            <w:r w:rsidRPr="00031053">
              <w:rPr>
                <w:rFonts w:ascii="Verdana" w:eastAsia="Arial" w:hAnsi="Verdana" w:cs="Arial"/>
                <w:lang w:bidi="es-ES"/>
              </w:rPr>
              <w:t xml:space="preserve">Distintos supuestos </w:t>
            </w:r>
            <w:r w:rsidR="002A4830" w:rsidRPr="00031053">
              <w:rPr>
                <w:rFonts w:ascii="Verdana" w:hAnsi="Verdana" w:cs="Arial"/>
              </w:rPr>
              <w:t>–</w:t>
            </w:r>
            <w:r w:rsidRPr="00031053">
              <w:rPr>
                <w:rFonts w:ascii="Verdana" w:eastAsia="Arial" w:hAnsi="Verdana" w:cs="Arial"/>
                <w:lang w:bidi="es-ES"/>
              </w:rPr>
              <w:t xml:space="preserve"> Prohibición </w:t>
            </w:r>
            <w:r w:rsidR="002A4830" w:rsidRPr="00031053">
              <w:rPr>
                <w:rFonts w:ascii="Verdana" w:hAnsi="Verdana" w:cs="Arial"/>
              </w:rPr>
              <w:t>–</w:t>
            </w:r>
            <w:r w:rsidRPr="00031053">
              <w:rPr>
                <w:rFonts w:ascii="Verdana" w:eastAsia="Arial" w:hAnsi="Verdana" w:cs="Arial"/>
                <w:lang w:bidi="es-ES"/>
              </w:rPr>
              <w:t xml:space="preserve"> Adición en más del 50% </w:t>
            </w:r>
          </w:p>
        </w:tc>
      </w:tr>
      <w:tr w:rsidR="001328E7" w:rsidRPr="00CF64C0" w14:paraId="6C662A63" w14:textId="77777777" w:rsidTr="00A85733">
        <w:tc>
          <w:tcPr>
            <w:tcW w:w="2410" w:type="dxa"/>
          </w:tcPr>
          <w:p w14:paraId="2A30F991" w14:textId="77777777" w:rsidR="001328E7" w:rsidRPr="00CF64C0" w:rsidRDefault="001328E7" w:rsidP="00A85733">
            <w:pPr>
              <w:jc w:val="both"/>
              <w:rPr>
                <w:rFonts w:ascii="Verdana" w:eastAsia="Calibri" w:hAnsi="Verdana" w:cs="Arial"/>
                <w:b/>
                <w:color w:val="7030A0"/>
                <w:lang w:val="es-ES_tradnl" w:eastAsia="es-ES_tradnl"/>
              </w:rPr>
            </w:pPr>
            <w:r w:rsidRPr="00CF64C0">
              <w:rPr>
                <w:rFonts w:ascii="Verdana" w:eastAsia="Calibri" w:hAnsi="Verdana" w:cs="Arial"/>
                <w:b/>
                <w:lang w:val="es-ES_tradnl" w:eastAsia="es-ES_tradnl"/>
              </w:rPr>
              <w:t xml:space="preserve">Radicación:               </w:t>
            </w:r>
          </w:p>
        </w:tc>
        <w:tc>
          <w:tcPr>
            <w:tcW w:w="6095" w:type="dxa"/>
          </w:tcPr>
          <w:p w14:paraId="33E308EB" w14:textId="77777777" w:rsidR="001328E7" w:rsidRPr="00CF64C0" w:rsidRDefault="001328E7" w:rsidP="00A85733">
            <w:pPr>
              <w:jc w:val="both"/>
              <w:rPr>
                <w:rFonts w:ascii="Verdana" w:eastAsia="Calibri" w:hAnsi="Verdana" w:cs="Arial"/>
                <w:color w:val="7030A0"/>
                <w:lang w:val="es-ES_tradnl" w:eastAsia="es-ES_tradnl"/>
              </w:rPr>
            </w:pPr>
            <w:r w:rsidRPr="00CF64C0">
              <w:rPr>
                <w:rFonts w:ascii="Verdana" w:eastAsia="Calibri" w:hAnsi="Verdana" w:cs="Arial"/>
                <w:lang w:val="es-ES_tradnl" w:eastAsia="es-ES_tradnl"/>
              </w:rPr>
              <w:t>Respuesta</w:t>
            </w:r>
            <w:r>
              <w:rPr>
                <w:rFonts w:ascii="Verdana" w:eastAsia="Calibri" w:hAnsi="Verdana" w:cs="Arial"/>
                <w:lang w:val="es-ES_tradnl" w:eastAsia="es-ES_tradnl"/>
              </w:rPr>
              <w:t>s</w:t>
            </w:r>
            <w:r w:rsidRPr="00CF64C0">
              <w:rPr>
                <w:rFonts w:ascii="Verdana" w:eastAsia="Calibri" w:hAnsi="Verdana" w:cs="Arial"/>
                <w:lang w:val="es-ES_tradnl" w:eastAsia="es-ES_tradnl"/>
              </w:rPr>
              <w:t xml:space="preserve"> a consulta</w:t>
            </w:r>
            <w:r>
              <w:rPr>
                <w:rFonts w:ascii="Verdana" w:eastAsia="Calibri" w:hAnsi="Verdana" w:cs="Arial"/>
                <w:lang w:val="es-ES_tradnl" w:eastAsia="es-ES_tradnl"/>
              </w:rPr>
              <w:t>s</w:t>
            </w:r>
            <w:r w:rsidRPr="00CF64C0">
              <w:rPr>
                <w:rFonts w:ascii="Verdana" w:eastAsia="Calibri" w:hAnsi="Verdana" w:cs="Arial"/>
                <w:lang w:val="es-ES_tradnl" w:eastAsia="es-ES_tradnl"/>
              </w:rPr>
              <w:t xml:space="preserve"> con radicado</w:t>
            </w:r>
            <w:r>
              <w:rPr>
                <w:rFonts w:ascii="Verdana" w:eastAsia="Calibri" w:hAnsi="Verdana" w:cs="Arial"/>
                <w:lang w:val="es-ES_tradnl" w:eastAsia="es-ES_tradnl"/>
              </w:rPr>
              <w:t>s</w:t>
            </w:r>
            <w:r w:rsidRPr="00CF64C0">
              <w:rPr>
                <w:rFonts w:ascii="Verdana" w:eastAsia="Calibri" w:hAnsi="Verdana" w:cs="Arial"/>
                <w:lang w:val="es-ES_tradnl" w:eastAsia="es-ES_tradnl"/>
              </w:rPr>
              <w:t xml:space="preserve"> No. </w:t>
            </w:r>
            <w:r w:rsidRPr="00771E1B">
              <w:rPr>
                <w:rFonts w:ascii="Verdana" w:eastAsia="Calibri" w:hAnsi="Verdana" w:cs="Arial"/>
                <w:lang w:val="es-ES_tradnl" w:eastAsia="es-ES_tradnl"/>
              </w:rPr>
              <w:t>P20240806008078</w:t>
            </w:r>
            <w:r>
              <w:rPr>
                <w:rFonts w:ascii="Verdana" w:eastAsia="Calibri" w:hAnsi="Verdana" w:cs="Arial"/>
                <w:lang w:val="es-ES_tradnl" w:eastAsia="es-ES_tradnl"/>
              </w:rPr>
              <w:t xml:space="preserve"> y </w:t>
            </w:r>
            <w:r w:rsidRPr="00771E1B">
              <w:rPr>
                <w:rFonts w:ascii="Verdana" w:eastAsia="Calibri" w:hAnsi="Verdana" w:cs="Arial"/>
                <w:lang w:eastAsia="es-ES_tradnl"/>
              </w:rPr>
              <w:t>P20240809008178</w:t>
            </w:r>
          </w:p>
          <w:p w14:paraId="27D9DFA9" w14:textId="77777777" w:rsidR="001328E7" w:rsidRPr="00CF64C0" w:rsidRDefault="001328E7" w:rsidP="00A85733">
            <w:pPr>
              <w:jc w:val="both"/>
              <w:rPr>
                <w:rFonts w:ascii="Verdana" w:eastAsia="Calibri" w:hAnsi="Verdana" w:cs="Arial"/>
                <w:color w:val="7030A0"/>
                <w:lang w:val="es-ES_tradnl" w:eastAsia="es-ES_tradnl"/>
              </w:rPr>
            </w:pPr>
          </w:p>
        </w:tc>
      </w:tr>
    </w:tbl>
    <w:p w14:paraId="2675098F" w14:textId="77777777" w:rsidR="001328E7" w:rsidRPr="0007375E" w:rsidRDefault="001328E7" w:rsidP="001328E7">
      <w:pPr>
        <w:spacing w:after="0" w:line="240" w:lineRule="auto"/>
        <w:jc w:val="both"/>
        <w:rPr>
          <w:rFonts w:ascii="Verdana" w:eastAsia="Calibri" w:hAnsi="Verdana" w:cs="Arial"/>
          <w:color w:val="000000"/>
          <w:lang w:val="es-ES_tradnl" w:eastAsia="es-ES_tradnl"/>
        </w:rPr>
      </w:pPr>
    </w:p>
    <w:p w14:paraId="72FC7482" w14:textId="77777777" w:rsidR="001328E7" w:rsidRPr="0007375E" w:rsidRDefault="001328E7" w:rsidP="001328E7">
      <w:pPr>
        <w:spacing w:after="0" w:line="276" w:lineRule="auto"/>
        <w:jc w:val="both"/>
        <w:rPr>
          <w:rFonts w:ascii="Verdana" w:eastAsia="Calibri" w:hAnsi="Verdana" w:cs="Arial"/>
          <w:color w:val="000000" w:themeColor="text1"/>
          <w:lang w:val="es-ES" w:eastAsia="es-ES"/>
        </w:rPr>
      </w:pPr>
      <w:r w:rsidRPr="0007375E">
        <w:rPr>
          <w:rFonts w:ascii="Verdana" w:eastAsia="Calibri" w:hAnsi="Verdana" w:cs="Arial"/>
          <w:color w:val="000000" w:themeColor="text1"/>
          <w:lang w:val="es-ES" w:eastAsia="es-ES"/>
        </w:rPr>
        <w:t xml:space="preserve">Estimado </w:t>
      </w:r>
      <w:r w:rsidRPr="0007375E">
        <w:rPr>
          <w:rFonts w:ascii="Verdana" w:eastAsia="Calibri" w:hAnsi="Verdana" w:cs="Arial"/>
          <w:lang w:val="es-ES" w:eastAsia="es-ES"/>
        </w:rPr>
        <w:t xml:space="preserve">señor </w:t>
      </w:r>
      <w:r>
        <w:rPr>
          <w:rFonts w:ascii="Verdana" w:eastAsia="Calibri" w:hAnsi="Verdana" w:cs="Arial"/>
          <w:lang w:val="es-ES" w:eastAsia="es-ES"/>
        </w:rPr>
        <w:t>Ramírez</w:t>
      </w:r>
      <w:r w:rsidRPr="0007375E">
        <w:rPr>
          <w:rFonts w:ascii="Verdana" w:eastAsia="Calibri" w:hAnsi="Verdana" w:cs="Arial"/>
          <w:lang w:val="es-ES" w:eastAsia="es-ES"/>
        </w:rPr>
        <w:t xml:space="preserve">: </w:t>
      </w:r>
    </w:p>
    <w:p w14:paraId="5A0E9CF4" w14:textId="77777777" w:rsidR="001328E7" w:rsidRPr="0007375E" w:rsidRDefault="001328E7" w:rsidP="001328E7">
      <w:pPr>
        <w:tabs>
          <w:tab w:val="left" w:pos="3768"/>
        </w:tabs>
        <w:spacing w:after="0" w:line="276" w:lineRule="auto"/>
        <w:jc w:val="both"/>
        <w:rPr>
          <w:rFonts w:ascii="Verdana" w:eastAsia="Calibri" w:hAnsi="Verdana" w:cs="Arial"/>
          <w:color w:val="000000" w:themeColor="text1"/>
          <w:lang w:val="es-ES" w:eastAsia="es-ES"/>
        </w:rPr>
      </w:pPr>
      <w:r w:rsidRPr="0007375E">
        <w:rPr>
          <w:rFonts w:ascii="Verdana" w:eastAsia="Calibri" w:hAnsi="Verdana" w:cs="Arial"/>
          <w:color w:val="000000" w:themeColor="text1"/>
          <w:lang w:val="es-ES" w:eastAsia="es-ES"/>
        </w:rPr>
        <w:tab/>
      </w:r>
    </w:p>
    <w:p w14:paraId="7DA8350C" w14:textId="1DCFCDFB" w:rsidR="001328E7" w:rsidRDefault="001328E7" w:rsidP="00450169">
      <w:pPr>
        <w:spacing w:line="276" w:lineRule="auto"/>
        <w:jc w:val="both"/>
        <w:rPr>
          <w:rFonts w:ascii="Verdana" w:eastAsia="Calibri" w:hAnsi="Verdana" w:cs="Arial"/>
          <w:lang w:eastAsia="es-ES"/>
        </w:rPr>
      </w:pPr>
      <w:r w:rsidRPr="00B6062C">
        <w:rPr>
          <w:rFonts w:ascii="Verdana" w:eastAsia="Calibri" w:hAnsi="Verdana" w:cs="Arial"/>
          <w:color w:val="000000" w:themeColor="text1"/>
          <w:lang w:eastAsia="es-ES"/>
        </w:rPr>
        <w:t>En ejercicio de la competencia otorgada por los artículos 3, numeral 5º, y 11, numeral 8º, del Decreto Ley 4170 de 2011,</w:t>
      </w:r>
      <w:r w:rsidRPr="00B6062C">
        <w:rPr>
          <w:rFonts w:ascii="Verdana" w:eastAsia="Arial MT" w:hAnsi="Verdana" w:cs="Arial MT"/>
          <w:lang w:eastAsia="es-ES"/>
        </w:rPr>
        <w:t xml:space="preserve"> </w:t>
      </w:r>
      <w:r w:rsidRPr="00B6062C">
        <w:rPr>
          <w:rFonts w:ascii="Verdana" w:hAnsi="Verdana" w:cs="Arial"/>
        </w:rPr>
        <w:t xml:space="preserve">así como lo establecido en el artículo 4 de la Resolución 1707 de 2018 expedida por esta Entidad, </w:t>
      </w:r>
      <w:r w:rsidRPr="00B6062C">
        <w:rPr>
          <w:rFonts w:ascii="Verdana" w:eastAsia="Calibri" w:hAnsi="Verdana" w:cs="Arial"/>
          <w:color w:val="000000" w:themeColor="text1"/>
          <w:lang w:eastAsia="es-ES"/>
        </w:rPr>
        <w:t xml:space="preserve">la Agencia Nacional de Contratación Pública – Colombia Compra Eficiente– responde su solicitud de </w:t>
      </w:r>
      <w:r w:rsidRPr="00B6062C">
        <w:rPr>
          <w:rFonts w:ascii="Verdana" w:eastAsia="Calibri" w:hAnsi="Verdana" w:cs="Arial"/>
          <w:lang w:eastAsia="es-ES"/>
        </w:rPr>
        <w:t>consulta de fecha 0</w:t>
      </w:r>
      <w:r>
        <w:rPr>
          <w:rFonts w:ascii="Verdana" w:eastAsia="Calibri" w:hAnsi="Verdana" w:cs="Arial"/>
          <w:lang w:eastAsia="es-ES"/>
        </w:rPr>
        <w:t>6</w:t>
      </w:r>
      <w:r w:rsidRPr="00B6062C">
        <w:rPr>
          <w:rFonts w:ascii="Verdana" w:eastAsia="Calibri" w:hAnsi="Verdana" w:cs="Arial"/>
          <w:lang w:eastAsia="es-ES"/>
        </w:rPr>
        <w:t xml:space="preserve"> </w:t>
      </w:r>
      <w:r w:rsidR="00E61065">
        <w:rPr>
          <w:rFonts w:ascii="Verdana" w:eastAsia="Calibri" w:hAnsi="Verdana" w:cs="Arial"/>
          <w:lang w:eastAsia="es-ES"/>
        </w:rPr>
        <w:t>y 09</w:t>
      </w:r>
      <w:r w:rsidRPr="00B6062C">
        <w:rPr>
          <w:rFonts w:ascii="Verdana" w:eastAsia="Calibri" w:hAnsi="Verdana" w:cs="Arial"/>
          <w:lang w:eastAsia="es-ES"/>
        </w:rPr>
        <w:t xml:space="preserve"> de agosto de 2024, en la cual manifiesta lo siguiente: </w:t>
      </w:r>
    </w:p>
    <w:p w14:paraId="39080997" w14:textId="77777777" w:rsidR="001328E7" w:rsidRPr="00771E1B" w:rsidRDefault="001328E7" w:rsidP="001328E7">
      <w:pPr>
        <w:spacing w:line="240" w:lineRule="auto"/>
        <w:jc w:val="both"/>
        <w:rPr>
          <w:rFonts w:ascii="Verdana" w:eastAsia="Calibri" w:hAnsi="Verdana" w:cs="Arial"/>
          <w:i/>
          <w:iCs/>
          <w:color w:val="000000" w:themeColor="text1"/>
          <w:sz w:val="21"/>
          <w:szCs w:val="21"/>
          <w:lang w:eastAsia="es-ES"/>
        </w:rPr>
      </w:pPr>
      <w:r w:rsidRPr="00771E1B">
        <w:rPr>
          <w:rFonts w:ascii="Verdana" w:eastAsia="Calibri" w:hAnsi="Verdana" w:cs="Arial"/>
          <w:i/>
          <w:iCs/>
          <w:color w:val="000000" w:themeColor="text1"/>
          <w:sz w:val="21"/>
          <w:szCs w:val="21"/>
          <w:lang w:eastAsia="es-ES"/>
        </w:rPr>
        <w:t xml:space="preserve">“[…] </w:t>
      </w:r>
      <w:r w:rsidRPr="00C36DAC">
        <w:rPr>
          <w:rFonts w:ascii="Verdana" w:eastAsia="Calibri" w:hAnsi="Verdana" w:cs="Arial"/>
          <w:i/>
          <w:iCs/>
          <w:color w:val="000000" w:themeColor="text1"/>
          <w:sz w:val="21"/>
          <w:szCs w:val="21"/>
          <w:lang w:eastAsia="es-ES"/>
        </w:rPr>
        <w:t>Las Instituciones Educativas, deben adquirir pólizas de seguro, para amparar los</w:t>
      </w:r>
      <w:r w:rsidRPr="00771E1B">
        <w:rPr>
          <w:rFonts w:ascii="Verdana" w:eastAsia="Calibri" w:hAnsi="Verdana" w:cs="Arial"/>
          <w:i/>
          <w:iCs/>
          <w:color w:val="000000" w:themeColor="text1"/>
          <w:sz w:val="21"/>
          <w:szCs w:val="21"/>
          <w:lang w:eastAsia="es-ES"/>
        </w:rPr>
        <w:t xml:space="preserve"> </w:t>
      </w:r>
      <w:r w:rsidRPr="00C36DAC">
        <w:rPr>
          <w:rFonts w:ascii="Verdana" w:eastAsia="Calibri" w:hAnsi="Verdana" w:cs="Arial"/>
          <w:i/>
          <w:iCs/>
          <w:color w:val="000000" w:themeColor="text1"/>
          <w:sz w:val="21"/>
          <w:szCs w:val="21"/>
          <w:lang w:eastAsia="es-ES"/>
        </w:rPr>
        <w:t>diferentes bienes que ostenta y que son vitales para la adecuada prestación del</w:t>
      </w:r>
      <w:r w:rsidRPr="00771E1B">
        <w:rPr>
          <w:rFonts w:ascii="Verdana" w:eastAsia="Calibri" w:hAnsi="Verdana" w:cs="Arial"/>
          <w:i/>
          <w:iCs/>
          <w:color w:val="000000" w:themeColor="text1"/>
          <w:sz w:val="21"/>
          <w:szCs w:val="21"/>
          <w:lang w:eastAsia="es-ES"/>
        </w:rPr>
        <w:t xml:space="preserve"> </w:t>
      </w:r>
      <w:r w:rsidRPr="00C36DAC">
        <w:rPr>
          <w:rFonts w:ascii="Verdana" w:eastAsia="Calibri" w:hAnsi="Verdana" w:cs="Arial"/>
          <w:i/>
          <w:iCs/>
          <w:color w:val="000000" w:themeColor="text1"/>
          <w:sz w:val="21"/>
          <w:szCs w:val="21"/>
          <w:lang w:eastAsia="es-ES"/>
        </w:rPr>
        <w:t>servicio educativo, para efectos de la adquisición de esta póliza, que dicho sea de</w:t>
      </w:r>
      <w:r w:rsidRPr="00771E1B">
        <w:rPr>
          <w:rFonts w:ascii="Verdana" w:eastAsia="Calibri" w:hAnsi="Verdana" w:cs="Arial"/>
          <w:i/>
          <w:iCs/>
          <w:color w:val="000000" w:themeColor="text1"/>
          <w:sz w:val="21"/>
          <w:szCs w:val="21"/>
          <w:lang w:eastAsia="es-ES"/>
        </w:rPr>
        <w:t xml:space="preserve"> </w:t>
      </w:r>
      <w:r w:rsidRPr="00C36DAC">
        <w:rPr>
          <w:rFonts w:ascii="Verdana" w:eastAsia="Calibri" w:hAnsi="Verdana" w:cs="Arial"/>
          <w:i/>
          <w:iCs/>
          <w:color w:val="000000" w:themeColor="text1"/>
          <w:sz w:val="21"/>
          <w:szCs w:val="21"/>
          <w:lang w:eastAsia="es-ES"/>
        </w:rPr>
        <w:t>paso, cuenta con vigencia de un año cada póliza, ¿es necesario realizar un proceso</w:t>
      </w:r>
      <w:r w:rsidRPr="00771E1B">
        <w:rPr>
          <w:rFonts w:ascii="Verdana" w:eastAsia="Calibri" w:hAnsi="Verdana" w:cs="Arial"/>
          <w:i/>
          <w:iCs/>
          <w:color w:val="000000" w:themeColor="text1"/>
          <w:sz w:val="21"/>
          <w:szCs w:val="21"/>
          <w:lang w:eastAsia="es-ES"/>
        </w:rPr>
        <w:t xml:space="preserve"> </w:t>
      </w:r>
      <w:r w:rsidRPr="00C36DAC">
        <w:rPr>
          <w:rFonts w:ascii="Verdana" w:eastAsia="Calibri" w:hAnsi="Verdana" w:cs="Arial"/>
          <w:i/>
          <w:iCs/>
          <w:color w:val="000000" w:themeColor="text1"/>
          <w:sz w:val="21"/>
          <w:szCs w:val="21"/>
          <w:lang w:eastAsia="es-ES"/>
        </w:rPr>
        <w:t>de contratación por cada vigencia o es posible contratar en una vigencia</w:t>
      </w:r>
      <w:r w:rsidRPr="00771E1B">
        <w:rPr>
          <w:rFonts w:ascii="Verdana" w:eastAsia="Calibri" w:hAnsi="Verdana" w:cs="Arial"/>
          <w:i/>
          <w:iCs/>
          <w:color w:val="000000" w:themeColor="text1"/>
          <w:sz w:val="21"/>
          <w:szCs w:val="21"/>
          <w:lang w:eastAsia="es-ES"/>
        </w:rPr>
        <w:t xml:space="preserve"> </w:t>
      </w:r>
      <w:r w:rsidRPr="00C36DAC">
        <w:rPr>
          <w:rFonts w:ascii="Verdana" w:eastAsia="Calibri" w:hAnsi="Verdana" w:cs="Arial"/>
          <w:i/>
          <w:iCs/>
          <w:color w:val="000000" w:themeColor="text1"/>
          <w:sz w:val="21"/>
          <w:szCs w:val="21"/>
          <w:lang w:eastAsia="es-ES"/>
        </w:rPr>
        <w:t>determinada y posteriormente renovar la póliza con la misma aseguradora sin llevar</w:t>
      </w:r>
      <w:r w:rsidRPr="00771E1B">
        <w:rPr>
          <w:rFonts w:ascii="Verdana" w:eastAsia="Calibri" w:hAnsi="Verdana" w:cs="Arial"/>
          <w:i/>
          <w:iCs/>
          <w:color w:val="000000" w:themeColor="text1"/>
          <w:sz w:val="21"/>
          <w:szCs w:val="21"/>
          <w:lang w:eastAsia="es-ES"/>
        </w:rPr>
        <w:t xml:space="preserve"> </w:t>
      </w:r>
      <w:r w:rsidRPr="00C36DAC">
        <w:rPr>
          <w:rFonts w:ascii="Verdana" w:eastAsia="Calibri" w:hAnsi="Verdana" w:cs="Arial"/>
          <w:i/>
          <w:iCs/>
          <w:color w:val="000000" w:themeColor="text1"/>
          <w:sz w:val="21"/>
          <w:szCs w:val="21"/>
          <w:lang w:eastAsia="es-ES"/>
        </w:rPr>
        <w:t>a cabo un proceso de contratación?</w:t>
      </w:r>
      <w:r w:rsidRPr="00771E1B">
        <w:rPr>
          <w:rFonts w:ascii="Verdana" w:eastAsia="Calibri" w:hAnsi="Verdana" w:cs="Arial"/>
          <w:i/>
          <w:iCs/>
          <w:color w:val="000000" w:themeColor="text1"/>
          <w:sz w:val="21"/>
          <w:szCs w:val="21"/>
          <w:lang w:eastAsia="es-ES"/>
        </w:rPr>
        <w:t xml:space="preserve">[…]”. </w:t>
      </w:r>
    </w:p>
    <w:p w14:paraId="0464C5FE" w14:textId="77777777" w:rsidR="001328E7" w:rsidRPr="0007375E" w:rsidRDefault="001328E7" w:rsidP="001328E7">
      <w:pPr>
        <w:spacing w:after="120" w:line="276" w:lineRule="auto"/>
        <w:ind w:firstLine="709"/>
        <w:jc w:val="both"/>
        <w:rPr>
          <w:rFonts w:ascii="Verdana" w:eastAsia="Calibri" w:hAnsi="Verdana" w:cs="Arial"/>
          <w:color w:val="000000"/>
          <w:szCs w:val="24"/>
          <w:lang w:val="es-ES_tradnl" w:eastAsia="es-ES_tradnl"/>
        </w:rPr>
      </w:pPr>
      <w:r w:rsidRPr="0007375E">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w:t>
      </w:r>
      <w:r w:rsidRPr="0007375E">
        <w:rPr>
          <w:rFonts w:ascii="Verdana" w:eastAsia="Calibri" w:hAnsi="Verdana" w:cs="Arial"/>
          <w:color w:val="000000"/>
          <w:lang w:val="es-ES" w:eastAsia="es-ES"/>
        </w:rPr>
        <w:lastRenderedPageBreak/>
        <w:t xml:space="preserve">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07375E">
        <w:rPr>
          <w:rFonts w:ascii="Verdana" w:eastAsia="Calibri" w:hAnsi="Verdana" w:cs="Arial"/>
          <w:color w:val="000000"/>
          <w:szCs w:val="24"/>
          <w:lang w:val="es-ES_tradnl" w:eastAsia="es-ES_tradnl"/>
        </w:rPr>
        <w:tab/>
      </w:r>
    </w:p>
    <w:p w14:paraId="290C5679" w14:textId="77777777" w:rsidR="001328E7" w:rsidRPr="0007375E" w:rsidRDefault="001328E7" w:rsidP="001328E7">
      <w:pPr>
        <w:spacing w:after="0" w:line="276" w:lineRule="auto"/>
        <w:ind w:firstLine="709"/>
        <w:jc w:val="both"/>
        <w:rPr>
          <w:rFonts w:ascii="Verdana" w:eastAsia="Calibri" w:hAnsi="Verdana" w:cs="Arial"/>
          <w:lang w:val="es-ES" w:eastAsia="es-ES"/>
        </w:rPr>
      </w:pPr>
      <w:r w:rsidRPr="0007375E">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(los) problema(s) jurídico(s) de su consulta. </w:t>
      </w:r>
    </w:p>
    <w:p w14:paraId="595E3872" w14:textId="77777777" w:rsidR="001328E7" w:rsidRPr="0007375E" w:rsidRDefault="001328E7" w:rsidP="001328E7">
      <w:pPr>
        <w:spacing w:after="0" w:line="276" w:lineRule="auto"/>
        <w:ind w:firstLine="709"/>
        <w:jc w:val="both"/>
        <w:rPr>
          <w:rFonts w:ascii="Verdana" w:eastAsia="Calibri" w:hAnsi="Verdana" w:cs="Arial"/>
          <w:color w:val="000000"/>
          <w:lang w:val="es-ES" w:eastAsia="es-ES"/>
        </w:rPr>
      </w:pPr>
    </w:p>
    <w:p w14:paraId="0EA85B1D" w14:textId="77777777" w:rsidR="001328E7" w:rsidRPr="0007375E" w:rsidRDefault="001328E7" w:rsidP="001328E7">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07375E">
        <w:rPr>
          <w:rFonts w:ascii="Verdana" w:eastAsia="Century Gothic" w:hAnsi="Verdana" w:cs="Century Gothic"/>
          <w:b/>
          <w:bCs/>
        </w:rPr>
        <w:t>Problema planteado:</w:t>
      </w:r>
    </w:p>
    <w:p w14:paraId="6BBC1803" w14:textId="77777777" w:rsidR="001328E7" w:rsidRPr="0007375E" w:rsidRDefault="001328E7" w:rsidP="001328E7">
      <w:pPr>
        <w:tabs>
          <w:tab w:val="left" w:pos="426"/>
        </w:tabs>
        <w:spacing w:after="0" w:line="276" w:lineRule="auto"/>
        <w:jc w:val="both"/>
        <w:rPr>
          <w:rFonts w:ascii="Verdana" w:eastAsia="Century Gothic" w:hAnsi="Verdana" w:cs="Century Gothic"/>
          <w:lang w:val="es-ES"/>
        </w:rPr>
      </w:pPr>
    </w:p>
    <w:p w14:paraId="5D196595" w14:textId="7E4875C3" w:rsidR="008062D2" w:rsidRDefault="001328E7" w:rsidP="008062D2">
      <w:pPr>
        <w:jc w:val="both"/>
        <w:rPr>
          <w:rFonts w:ascii="Verdana" w:hAnsi="Verdana"/>
        </w:rPr>
      </w:pPr>
      <w:r w:rsidRPr="0007375E">
        <w:rPr>
          <w:rFonts w:ascii="Verdana" w:eastAsia="Century Gothic" w:hAnsi="Verdana" w:cs="Century Gothic"/>
        </w:rPr>
        <w:t xml:space="preserve">De acuerdo con el </w:t>
      </w:r>
      <w:r w:rsidRPr="009731F5">
        <w:rPr>
          <w:rFonts w:ascii="Verdana" w:eastAsia="Century Gothic" w:hAnsi="Verdana" w:cs="Century Gothic"/>
        </w:rPr>
        <w:t xml:space="preserve">contenido de su solicitud, esta Agencia resolverá el siguiente problema jurídico: </w:t>
      </w:r>
      <w:r>
        <w:rPr>
          <w:rFonts w:ascii="Verdana" w:hAnsi="Verdana"/>
        </w:rPr>
        <w:t>¿Cómo deben las instituciones educativas oficiales darle tr</w:t>
      </w:r>
      <w:r w:rsidR="00DA26EE">
        <w:rPr>
          <w:rFonts w:ascii="Verdana" w:hAnsi="Verdana"/>
        </w:rPr>
        <w:t>á</w:t>
      </w:r>
      <w:r>
        <w:rPr>
          <w:rFonts w:ascii="Verdana" w:hAnsi="Verdana"/>
        </w:rPr>
        <w:t>mite a</w:t>
      </w:r>
      <w:r w:rsidR="00DA26EE">
        <w:rPr>
          <w:rFonts w:ascii="Verdana" w:hAnsi="Verdana"/>
        </w:rPr>
        <w:t>l vencimiento</w:t>
      </w:r>
      <w:r>
        <w:rPr>
          <w:rFonts w:ascii="Verdana" w:hAnsi="Verdana"/>
        </w:rPr>
        <w:t xml:space="preserve"> de las pólizas de seguros adquiridas para garantizar los bienes de dicha entidad?</w:t>
      </w:r>
    </w:p>
    <w:p w14:paraId="494FC905" w14:textId="3594C901" w:rsidR="008062D2" w:rsidRPr="009F7011" w:rsidRDefault="001328E7" w:rsidP="008062D2">
      <w:pPr>
        <w:jc w:val="both"/>
        <w:rPr>
          <w:rFonts w:ascii="Verdana" w:hAnsi="Verdana"/>
        </w:rPr>
      </w:pPr>
      <w:r>
        <w:rPr>
          <w:rFonts w:ascii="Verdana" w:hAnsi="Verdana"/>
        </w:rPr>
        <w:t xml:space="preserve"> </w:t>
      </w:r>
    </w:p>
    <w:p w14:paraId="410FBE2B" w14:textId="17DE3C64" w:rsidR="001328E7" w:rsidRPr="0007375E" w:rsidRDefault="008062D2" w:rsidP="00EB7C63">
      <w:pPr>
        <w:rPr>
          <w:rFonts w:ascii="Verdana" w:eastAsia="Century Gothic" w:hAnsi="Verdana" w:cs="Century Gothic"/>
          <w:b/>
          <w:bCs/>
        </w:rPr>
      </w:pPr>
      <w:r w:rsidRPr="009F7011">
        <w:rPr>
          <w:rFonts w:ascii="Verdana" w:eastAsia="Century Gothic" w:hAnsi="Verdana" w:cs="Century Gothic"/>
          <w:b/>
          <w:bCs/>
        </w:rPr>
        <w:t xml:space="preserve">2. </w:t>
      </w:r>
      <w:r w:rsidR="001328E7" w:rsidRPr="0007375E">
        <w:rPr>
          <w:rFonts w:ascii="Verdana" w:eastAsia="Century Gothic" w:hAnsi="Verdana" w:cs="Century Gothic"/>
          <w:b/>
          <w:bCs/>
        </w:rPr>
        <w:t>Respuesta:</w:t>
      </w:r>
    </w:p>
    <w:p w14:paraId="13FF56EF" w14:textId="77777777" w:rsidR="001328E7" w:rsidRPr="0007375E" w:rsidRDefault="001328E7" w:rsidP="001328E7">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1328E7" w:rsidRPr="0007375E" w14:paraId="7CDC16E0" w14:textId="77777777" w:rsidTr="00A85733">
        <w:tc>
          <w:tcPr>
            <w:tcW w:w="8828" w:type="dxa"/>
            <w:shd w:val="clear" w:color="auto" w:fill="auto"/>
          </w:tcPr>
          <w:p w14:paraId="7C2151E3" w14:textId="45DE69D2" w:rsidR="007055C1" w:rsidRDefault="007573BB" w:rsidP="007573BB">
            <w:pPr>
              <w:spacing w:before="120" w:line="276" w:lineRule="auto"/>
              <w:jc w:val="both"/>
              <w:rPr>
                <w:rFonts w:ascii="Verdana" w:eastAsia="Century Gothic" w:hAnsi="Verdana" w:cs="Century Gothic"/>
                <w:lang w:val="es-ES" w:eastAsia="es-ES_tradnl"/>
              </w:rPr>
            </w:pPr>
            <w:r>
              <w:rPr>
                <w:rFonts w:ascii="Verdana" w:eastAsia="Century Gothic" w:hAnsi="Verdana" w:cs="Century Gothic"/>
                <w:lang w:val="es-ES" w:eastAsia="es-ES_tradnl"/>
              </w:rPr>
              <w:t>L</w:t>
            </w:r>
            <w:r w:rsidR="001328E7">
              <w:rPr>
                <w:rFonts w:ascii="Verdana" w:eastAsia="Century Gothic" w:hAnsi="Verdana" w:cs="Century Gothic"/>
                <w:lang w:val="es-ES" w:eastAsia="es-ES_tradnl"/>
              </w:rPr>
              <w:t>as instituciones educativas oficiales en aras de estructurar la vigencia del proceso de contratación de las pólizas de seguro de sus bienes deberá</w:t>
            </w:r>
            <w:r w:rsidR="00ED36EC">
              <w:rPr>
                <w:rFonts w:ascii="Verdana" w:eastAsia="Century Gothic" w:hAnsi="Verdana" w:cs="Century Gothic"/>
                <w:lang w:val="es-ES" w:eastAsia="es-ES_tradnl"/>
              </w:rPr>
              <w:t>n,</w:t>
            </w:r>
            <w:r w:rsidR="001328E7">
              <w:rPr>
                <w:rFonts w:ascii="Verdana" w:eastAsia="Century Gothic" w:hAnsi="Verdana" w:cs="Century Gothic"/>
                <w:lang w:val="es-ES" w:eastAsia="es-ES_tradnl"/>
              </w:rPr>
              <w:t xml:space="preserve"> dependiendo de la cuantía</w:t>
            </w:r>
            <w:r w:rsidR="00ED36EC">
              <w:rPr>
                <w:rFonts w:ascii="Verdana" w:eastAsia="Century Gothic" w:hAnsi="Verdana" w:cs="Century Gothic"/>
                <w:lang w:val="es-ES" w:eastAsia="es-ES_tradnl"/>
              </w:rPr>
              <w:t>,</w:t>
            </w:r>
            <w:r w:rsidR="001328E7">
              <w:rPr>
                <w:rFonts w:ascii="Verdana" w:eastAsia="Century Gothic" w:hAnsi="Verdana" w:cs="Century Gothic"/>
                <w:lang w:val="es-ES" w:eastAsia="es-ES_tradnl"/>
              </w:rPr>
              <w:t xml:space="preserve"> hacerlo o con su </w:t>
            </w:r>
            <w:r w:rsidR="001328E7" w:rsidRPr="00CA274E">
              <w:rPr>
                <w:rFonts w:ascii="Verdana" w:hAnsi="Verdana"/>
              </w:rPr>
              <w:t>reglamento de contratación que expid</w:t>
            </w:r>
            <w:r w:rsidR="00CB4CCC">
              <w:rPr>
                <w:rFonts w:ascii="Verdana" w:hAnsi="Verdana"/>
              </w:rPr>
              <w:t>e</w:t>
            </w:r>
            <w:r w:rsidR="001328E7" w:rsidRPr="00CA274E">
              <w:rPr>
                <w:rFonts w:ascii="Verdana" w:hAnsi="Verdana"/>
              </w:rPr>
              <w:t xml:space="preserve"> el consejo</w:t>
            </w:r>
            <w:r w:rsidR="001328E7" w:rsidRPr="00CA274E">
              <w:rPr>
                <w:rFonts w:ascii="Verdana" w:hAnsi="Verdana"/>
                <w:spacing w:val="1"/>
              </w:rPr>
              <w:t xml:space="preserve"> </w:t>
            </w:r>
            <w:r w:rsidR="001328E7" w:rsidRPr="00CA274E">
              <w:rPr>
                <w:rFonts w:ascii="Verdana" w:hAnsi="Verdana"/>
              </w:rPr>
              <w:t>directivo de la institución</w:t>
            </w:r>
            <w:r w:rsidR="005F54D9">
              <w:rPr>
                <w:rFonts w:ascii="Verdana" w:hAnsi="Verdana"/>
              </w:rPr>
              <w:t xml:space="preserve"> si el proceso no supera los veinte (20)</w:t>
            </w:r>
            <w:r w:rsidR="00EC77AA">
              <w:rPr>
                <w:rFonts w:ascii="Verdana" w:hAnsi="Verdana"/>
              </w:rPr>
              <w:t xml:space="preserve"> SM</w:t>
            </w:r>
            <w:r w:rsidR="009A74E4">
              <w:rPr>
                <w:rFonts w:ascii="Verdana" w:hAnsi="Verdana"/>
              </w:rPr>
              <w:t>ML</w:t>
            </w:r>
            <w:r w:rsidR="00CB4CCC">
              <w:rPr>
                <w:rFonts w:ascii="Verdana" w:hAnsi="Verdana"/>
              </w:rPr>
              <w:t>V</w:t>
            </w:r>
            <w:r w:rsidR="00ED36EC">
              <w:rPr>
                <w:rFonts w:ascii="Verdana" w:hAnsi="Verdana"/>
              </w:rPr>
              <w:t>;</w:t>
            </w:r>
            <w:r w:rsidR="001328E7">
              <w:rPr>
                <w:rFonts w:ascii="Verdana" w:eastAsia="Century Gothic" w:hAnsi="Verdana" w:cs="Century Gothic"/>
                <w:lang w:val="es-ES" w:eastAsia="es-ES_tradnl"/>
              </w:rPr>
              <w:t xml:space="preserve"> o</w:t>
            </w:r>
            <w:r w:rsidR="009838F3">
              <w:rPr>
                <w:rFonts w:ascii="Verdana" w:eastAsia="Century Gothic" w:hAnsi="Verdana" w:cs="Century Gothic"/>
                <w:lang w:val="es-ES" w:eastAsia="es-ES_tradnl"/>
              </w:rPr>
              <w:t xml:space="preserve"> por el contrario si supera dicho tope, </w:t>
            </w:r>
            <w:r w:rsidR="001328E7">
              <w:rPr>
                <w:rFonts w:ascii="Verdana" w:eastAsia="Century Gothic" w:hAnsi="Verdana" w:cs="Century Gothic"/>
                <w:lang w:val="es-ES" w:eastAsia="es-ES_tradnl"/>
              </w:rPr>
              <w:t>sujetarl</w:t>
            </w:r>
            <w:r w:rsidR="009838F3">
              <w:rPr>
                <w:rFonts w:ascii="Verdana" w:eastAsia="Century Gothic" w:hAnsi="Verdana" w:cs="Century Gothic"/>
                <w:lang w:val="es-ES" w:eastAsia="es-ES_tradnl"/>
              </w:rPr>
              <w:t>os</w:t>
            </w:r>
            <w:r w:rsidR="001328E7">
              <w:rPr>
                <w:rFonts w:ascii="Verdana" w:eastAsia="Century Gothic" w:hAnsi="Verdana" w:cs="Century Gothic"/>
                <w:lang w:val="es-ES" w:eastAsia="es-ES_tradnl"/>
              </w:rPr>
              <w:t xml:space="preserve"> a las disposiciones de la </w:t>
            </w:r>
            <w:r w:rsidR="00734BAB">
              <w:rPr>
                <w:rFonts w:ascii="Verdana" w:eastAsia="Century Gothic" w:hAnsi="Verdana" w:cs="Century Gothic"/>
                <w:lang w:val="es-ES" w:eastAsia="es-ES_tradnl"/>
              </w:rPr>
              <w:t>L</w:t>
            </w:r>
            <w:r w:rsidR="001328E7">
              <w:rPr>
                <w:rFonts w:ascii="Verdana" w:eastAsia="Century Gothic" w:hAnsi="Verdana" w:cs="Century Gothic"/>
                <w:lang w:val="es-ES" w:eastAsia="es-ES_tradnl"/>
              </w:rPr>
              <w:t>ey 80</w:t>
            </w:r>
            <w:r w:rsidR="00734BAB">
              <w:rPr>
                <w:rFonts w:ascii="Verdana" w:eastAsia="Century Gothic" w:hAnsi="Verdana" w:cs="Century Gothic"/>
                <w:lang w:val="es-ES" w:eastAsia="es-ES_tradnl"/>
              </w:rPr>
              <w:t xml:space="preserve"> de 1993</w:t>
            </w:r>
            <w:r w:rsidR="001328E7">
              <w:rPr>
                <w:rFonts w:ascii="Verdana" w:eastAsia="Century Gothic" w:hAnsi="Verdana" w:cs="Century Gothic"/>
                <w:lang w:val="es-ES" w:eastAsia="es-ES_tradnl"/>
              </w:rPr>
              <w:t xml:space="preserve"> y demás normas concordantes, es decir, que se debe</w:t>
            </w:r>
            <w:r w:rsidR="00734BAB">
              <w:rPr>
                <w:rFonts w:ascii="Verdana" w:eastAsia="Century Gothic" w:hAnsi="Verdana" w:cs="Century Gothic"/>
                <w:lang w:val="es-ES" w:eastAsia="es-ES_tradnl"/>
              </w:rPr>
              <w:t>n</w:t>
            </w:r>
            <w:r w:rsidR="001328E7">
              <w:rPr>
                <w:rFonts w:ascii="Verdana" w:eastAsia="Century Gothic" w:hAnsi="Verdana" w:cs="Century Gothic"/>
                <w:lang w:val="es-ES" w:eastAsia="es-ES_tradnl"/>
              </w:rPr>
              <w:t xml:space="preserve"> acatar los lineamientos y/o disposiciones que traen consigo la facultad de modificar, adicionar y/o prorrogar los contratos estales.</w:t>
            </w:r>
          </w:p>
          <w:p w14:paraId="5F3A11A5" w14:textId="5C9F322C" w:rsidR="001D66A3" w:rsidRDefault="00BC48FA" w:rsidP="00C53A4B">
            <w:pPr>
              <w:spacing w:before="120" w:line="276" w:lineRule="auto"/>
              <w:ind w:firstLine="709"/>
              <w:jc w:val="both"/>
              <w:rPr>
                <w:rFonts w:ascii="Verdana" w:eastAsia="Century Gothic" w:hAnsi="Verdana" w:cs="Century Gothic"/>
                <w:lang w:eastAsia="es-ES_tradnl"/>
              </w:rPr>
            </w:pPr>
            <w:r>
              <w:rPr>
                <w:rFonts w:ascii="Verdana" w:eastAsia="Century Gothic" w:hAnsi="Verdana" w:cs="Century Gothic"/>
                <w:lang w:eastAsia="es-ES_tradnl"/>
              </w:rPr>
              <w:t xml:space="preserve">Por lo anterior, </w:t>
            </w:r>
            <w:r w:rsidR="007055C1" w:rsidRPr="007055C1">
              <w:rPr>
                <w:rFonts w:ascii="Verdana" w:eastAsia="Century Gothic" w:hAnsi="Verdana" w:cs="Century Gothic"/>
                <w:lang w:eastAsia="es-ES_tradnl"/>
              </w:rPr>
              <w:t xml:space="preserve">es fundamental que las instituciones educativas oficiales sigan los procedimientos establecidos para la contratación de pólizas de seguro, garantizando así la transparencia y la legalidad en el manejo de </w:t>
            </w:r>
            <w:r w:rsidR="007055C1" w:rsidRPr="007055C1">
              <w:rPr>
                <w:rFonts w:ascii="Verdana" w:eastAsia="Century Gothic" w:hAnsi="Verdana" w:cs="Century Gothic"/>
                <w:lang w:eastAsia="es-ES_tradnl"/>
              </w:rPr>
              <w:lastRenderedPageBreak/>
              <w:t>recursos públicos. Al adherirse a las normativas correspondientes, ya sea a través de su reglamento interno o de la Ley 80</w:t>
            </w:r>
            <w:r w:rsidR="00923158">
              <w:rPr>
                <w:rFonts w:ascii="Verdana" w:eastAsia="Century Gothic" w:hAnsi="Verdana" w:cs="Century Gothic"/>
                <w:lang w:eastAsia="es-ES_tradnl"/>
              </w:rPr>
              <w:t xml:space="preserve"> de 1993</w:t>
            </w:r>
            <w:r w:rsidR="007055C1" w:rsidRPr="007055C1">
              <w:rPr>
                <w:rFonts w:ascii="Verdana" w:eastAsia="Century Gothic" w:hAnsi="Verdana" w:cs="Century Gothic"/>
                <w:lang w:eastAsia="es-ES_tradnl"/>
              </w:rPr>
              <w:t>,</w:t>
            </w:r>
            <w:r w:rsidR="001D66A3">
              <w:rPr>
                <w:rFonts w:ascii="Verdana" w:eastAsia="Century Gothic" w:hAnsi="Verdana" w:cs="Century Gothic"/>
                <w:lang w:eastAsia="es-ES_tradnl"/>
              </w:rPr>
              <w:t xml:space="preserve"> </w:t>
            </w:r>
            <w:r w:rsidR="00AD556B">
              <w:rPr>
                <w:rFonts w:ascii="Verdana" w:eastAsia="Century Gothic" w:hAnsi="Verdana" w:cs="Century Gothic"/>
                <w:lang w:eastAsia="es-ES_tradnl"/>
              </w:rPr>
              <w:t>deben</w:t>
            </w:r>
            <w:r w:rsidR="006F0321">
              <w:rPr>
                <w:rFonts w:ascii="Verdana" w:eastAsia="Century Gothic" w:hAnsi="Verdana" w:cs="Century Gothic"/>
                <w:lang w:eastAsia="es-ES_tradnl"/>
              </w:rPr>
              <w:t xml:space="preserve"> entrar a determinar si les aplicaría el principio de anualidad presupuestal al tenor del </w:t>
            </w:r>
            <w:r w:rsidR="00EA7FEB">
              <w:rPr>
                <w:rFonts w:ascii="Verdana" w:eastAsia="Century Gothic" w:hAnsi="Verdana" w:cs="Century Gothic"/>
                <w:lang w:eastAsia="es-ES_tradnl"/>
              </w:rPr>
              <w:t>artículo</w:t>
            </w:r>
            <w:r w:rsidR="006F0321">
              <w:rPr>
                <w:rFonts w:ascii="Verdana" w:eastAsia="Century Gothic" w:hAnsi="Verdana" w:cs="Century Gothic"/>
                <w:lang w:eastAsia="es-ES_tradnl"/>
              </w:rPr>
              <w:t xml:space="preserve"> </w:t>
            </w:r>
            <w:r w:rsidR="00D85D70">
              <w:rPr>
                <w:rFonts w:ascii="Verdana" w:eastAsia="Century Gothic" w:hAnsi="Verdana" w:cs="Century Gothic"/>
                <w:lang w:eastAsia="es-ES_tradnl"/>
              </w:rPr>
              <w:t>13 de la Ley 1150 de 2007</w:t>
            </w:r>
            <w:r w:rsidR="00AD556B">
              <w:rPr>
                <w:rFonts w:ascii="Verdana" w:eastAsia="Century Gothic" w:hAnsi="Verdana" w:cs="Century Gothic"/>
                <w:lang w:eastAsia="es-ES_tradnl"/>
              </w:rPr>
              <w:t>, caso en el cual el contrato de seguro solo podría tener duración dentro de la misma vigencia fiscal, salvo lo regulado en las normas presupuestales sobre vigencias futuras</w:t>
            </w:r>
            <w:r w:rsidR="001B7137">
              <w:rPr>
                <w:rFonts w:ascii="Verdana" w:eastAsia="Century Gothic" w:hAnsi="Verdana" w:cs="Century Gothic"/>
                <w:lang w:eastAsia="es-ES_tradnl"/>
              </w:rPr>
              <w:t>.</w:t>
            </w:r>
          </w:p>
          <w:p w14:paraId="507D9579" w14:textId="038F3C17" w:rsidR="00516FE9" w:rsidRPr="00C343F9" w:rsidRDefault="00572F3A" w:rsidP="00DD1E38">
            <w:pPr>
              <w:spacing w:before="120" w:line="276" w:lineRule="auto"/>
              <w:ind w:firstLine="709"/>
              <w:jc w:val="both"/>
              <w:rPr>
                <w:rFonts w:ascii="Verdana" w:hAnsi="Verdana" w:cs="Arial"/>
              </w:rPr>
            </w:pPr>
            <w:r>
              <w:rPr>
                <w:rFonts w:ascii="Verdana" w:eastAsia="Century Gothic" w:hAnsi="Verdana" w:cs="Century Gothic"/>
                <w:lang w:eastAsia="es-ES_tradnl"/>
              </w:rPr>
              <w:t>Por otra parte,</w:t>
            </w:r>
            <w:r w:rsidR="00ED5A91" w:rsidRPr="00925FF7">
              <w:rPr>
                <w:rFonts w:ascii="Verdana" w:eastAsia="Century Gothic" w:hAnsi="Verdana" w:cs="Century Gothic"/>
                <w:lang w:eastAsia="es-ES_tradnl"/>
              </w:rPr>
              <w:t xml:space="preserve"> depend</w:t>
            </w:r>
            <w:r w:rsidR="00993E2A" w:rsidRPr="00925FF7">
              <w:rPr>
                <w:rFonts w:ascii="Verdana" w:eastAsia="Century Gothic" w:hAnsi="Verdana" w:cs="Century Gothic"/>
                <w:lang w:eastAsia="es-ES_tradnl"/>
              </w:rPr>
              <w:t xml:space="preserve">erá de la </w:t>
            </w:r>
            <w:r>
              <w:rPr>
                <w:rFonts w:ascii="Verdana" w:eastAsia="Century Gothic" w:hAnsi="Verdana" w:cs="Century Gothic"/>
                <w:lang w:eastAsia="es-ES_tradnl"/>
              </w:rPr>
              <w:t xml:space="preserve">normativa que </w:t>
            </w:r>
            <w:r w:rsidR="00667FCF">
              <w:rPr>
                <w:rFonts w:ascii="Verdana" w:eastAsia="Century Gothic" w:hAnsi="Verdana" w:cs="Century Gothic"/>
                <w:lang w:eastAsia="es-ES_tradnl"/>
              </w:rPr>
              <w:t>rija</w:t>
            </w:r>
            <w:r>
              <w:rPr>
                <w:rFonts w:ascii="Verdana" w:eastAsia="Century Gothic" w:hAnsi="Verdana" w:cs="Century Gothic"/>
                <w:lang w:eastAsia="es-ES_tradnl"/>
              </w:rPr>
              <w:t xml:space="preserve"> </w:t>
            </w:r>
            <w:r w:rsidR="009C3685">
              <w:rPr>
                <w:rFonts w:ascii="Verdana" w:eastAsia="Century Gothic" w:hAnsi="Verdana" w:cs="Century Gothic"/>
                <w:lang w:eastAsia="es-ES_tradnl"/>
              </w:rPr>
              <w:t>a</w:t>
            </w:r>
            <w:r>
              <w:rPr>
                <w:rFonts w:ascii="Verdana" w:eastAsia="Century Gothic" w:hAnsi="Verdana" w:cs="Century Gothic"/>
                <w:lang w:eastAsia="es-ES_tradnl"/>
              </w:rPr>
              <w:t>l</w:t>
            </w:r>
            <w:r w:rsidR="00993E2A" w:rsidRPr="00925FF7">
              <w:rPr>
                <w:rFonts w:ascii="Verdana" w:eastAsia="Century Gothic" w:hAnsi="Verdana" w:cs="Century Gothic"/>
                <w:lang w:eastAsia="es-ES_tradnl"/>
              </w:rPr>
              <w:t xml:space="preserve"> proceso</w:t>
            </w:r>
            <w:r w:rsidR="00667FCF">
              <w:rPr>
                <w:rFonts w:ascii="Verdana" w:eastAsia="Century Gothic" w:hAnsi="Verdana" w:cs="Century Gothic"/>
                <w:lang w:eastAsia="es-ES_tradnl"/>
              </w:rPr>
              <w:t>,</w:t>
            </w:r>
            <w:r w:rsidR="006A74E0" w:rsidRPr="00925FF7">
              <w:rPr>
                <w:rFonts w:ascii="Verdana" w:eastAsia="Century Gothic" w:hAnsi="Verdana" w:cs="Century Gothic"/>
                <w:lang w:eastAsia="es-ES_tradnl"/>
              </w:rPr>
              <w:t xml:space="preserve"> si la institución educativa </w:t>
            </w:r>
            <w:r w:rsidR="00667FCF">
              <w:rPr>
                <w:rFonts w:ascii="Verdana" w:eastAsia="Century Gothic" w:hAnsi="Verdana" w:cs="Century Gothic"/>
                <w:lang w:eastAsia="es-ES_tradnl"/>
              </w:rPr>
              <w:t>a</w:t>
            </w:r>
            <w:r w:rsidR="0084056F" w:rsidRPr="00925FF7">
              <w:rPr>
                <w:rFonts w:ascii="Verdana" w:eastAsia="Century Gothic" w:hAnsi="Verdana" w:cs="Century Gothic"/>
                <w:lang w:eastAsia="es-ES_tradnl"/>
              </w:rPr>
              <w:t>plica lo dispuesto en el reglamento en torno</w:t>
            </w:r>
            <w:r w:rsidR="00384E48" w:rsidRPr="00925FF7">
              <w:rPr>
                <w:rFonts w:ascii="Verdana" w:eastAsia="Century Gothic" w:hAnsi="Verdana" w:cs="Century Gothic"/>
                <w:lang w:eastAsia="es-ES_tradnl"/>
              </w:rPr>
              <w:t xml:space="preserve"> </w:t>
            </w:r>
            <w:r w:rsidR="005F6AA6" w:rsidRPr="00925FF7">
              <w:rPr>
                <w:rFonts w:ascii="Verdana" w:eastAsia="Century Gothic" w:hAnsi="Verdana" w:cs="Century Gothic"/>
                <w:lang w:eastAsia="es-ES_tradnl"/>
              </w:rPr>
              <w:t>a las adiciones</w:t>
            </w:r>
            <w:r w:rsidR="009C3685">
              <w:rPr>
                <w:rFonts w:ascii="Verdana" w:eastAsia="Century Gothic" w:hAnsi="Verdana" w:cs="Century Gothic"/>
                <w:lang w:eastAsia="es-ES_tradnl"/>
              </w:rPr>
              <w:t xml:space="preserve"> entendidas como renovaciones del contrato de seguro</w:t>
            </w:r>
            <w:r w:rsidR="00C54AF5" w:rsidRPr="00925FF7">
              <w:rPr>
                <w:rFonts w:ascii="Verdana" w:eastAsia="Century Gothic" w:hAnsi="Verdana" w:cs="Century Gothic"/>
                <w:lang w:eastAsia="es-ES_tradnl"/>
              </w:rPr>
              <w:t xml:space="preserve">, </w:t>
            </w:r>
            <w:r w:rsidR="009C3685">
              <w:rPr>
                <w:rFonts w:ascii="Verdana" w:eastAsia="Century Gothic" w:hAnsi="Verdana" w:cs="Century Gothic"/>
                <w:lang w:eastAsia="es-ES_tradnl"/>
              </w:rPr>
              <w:t>o si</w:t>
            </w:r>
            <w:r w:rsidR="006A74E0" w:rsidRPr="00925FF7">
              <w:rPr>
                <w:rFonts w:ascii="Verdana" w:eastAsia="Century Gothic" w:hAnsi="Verdana" w:cs="Century Gothic"/>
                <w:lang w:eastAsia="es-ES_tradnl"/>
              </w:rPr>
              <w:t xml:space="preserve"> aplicará lo dispuesto en el </w:t>
            </w:r>
            <w:r w:rsidR="00925FF7" w:rsidRPr="00925FF7">
              <w:rPr>
                <w:rFonts w:ascii="Verdana" w:eastAsia="Century Gothic" w:hAnsi="Verdana" w:cs="Century Gothic"/>
                <w:lang w:eastAsia="es-ES_tradnl"/>
              </w:rPr>
              <w:t>artículo</w:t>
            </w:r>
            <w:r w:rsidR="006A74E0" w:rsidRPr="00925FF7">
              <w:rPr>
                <w:rFonts w:ascii="Verdana" w:eastAsia="Century Gothic" w:hAnsi="Verdana" w:cs="Century Gothic"/>
                <w:lang w:eastAsia="es-ES_tradnl"/>
              </w:rPr>
              <w:t xml:space="preserve"> 40 de la </w:t>
            </w:r>
            <w:r w:rsidR="000406E8">
              <w:rPr>
                <w:rFonts w:ascii="Verdana" w:eastAsia="Century Gothic" w:hAnsi="Verdana" w:cs="Century Gothic"/>
                <w:lang w:eastAsia="es-ES_tradnl"/>
              </w:rPr>
              <w:t>L</w:t>
            </w:r>
            <w:r w:rsidR="006A74E0" w:rsidRPr="00925FF7">
              <w:rPr>
                <w:rFonts w:ascii="Verdana" w:eastAsia="Century Gothic" w:hAnsi="Verdana" w:cs="Century Gothic"/>
                <w:lang w:eastAsia="es-ES_tradnl"/>
              </w:rPr>
              <w:t>ey 80 de 1993</w:t>
            </w:r>
            <w:r w:rsidR="00F56283" w:rsidRPr="00925FF7">
              <w:rPr>
                <w:rFonts w:ascii="Verdana" w:eastAsia="Century Gothic" w:hAnsi="Verdana" w:cs="Century Gothic"/>
                <w:lang w:eastAsia="es-ES_tradnl"/>
              </w:rPr>
              <w:t xml:space="preserve"> que dispone </w:t>
            </w:r>
            <w:r w:rsidR="006257E8" w:rsidRPr="00925FF7">
              <w:rPr>
                <w:rFonts w:ascii="Verdana" w:hAnsi="Verdana" w:cs="Arial"/>
              </w:rPr>
              <w:t>que los contratos no podrán adicionarse en más del 50% de su valor inicial, expresado en SMM</w:t>
            </w:r>
            <w:r w:rsidR="000406E8">
              <w:rPr>
                <w:rFonts w:ascii="Verdana" w:hAnsi="Verdana" w:cs="Arial"/>
              </w:rPr>
              <w:t>L</w:t>
            </w:r>
            <w:r w:rsidR="006257E8" w:rsidRPr="00925FF7">
              <w:rPr>
                <w:rFonts w:ascii="Verdana" w:hAnsi="Verdana" w:cs="Arial"/>
              </w:rPr>
              <w:t>V.</w:t>
            </w:r>
          </w:p>
        </w:tc>
      </w:tr>
    </w:tbl>
    <w:p w14:paraId="21C1D8FD" w14:textId="77777777" w:rsidR="001328E7" w:rsidRPr="0007375E" w:rsidRDefault="001328E7" w:rsidP="001328E7">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24AE1876" w14:textId="77777777" w:rsidR="001328E7" w:rsidRPr="0007375E" w:rsidRDefault="001328E7" w:rsidP="001328E7">
      <w:pPr>
        <w:tabs>
          <w:tab w:val="left" w:pos="142"/>
          <w:tab w:val="left" w:pos="284"/>
        </w:tabs>
        <w:spacing w:after="0" w:line="276" w:lineRule="auto"/>
        <w:jc w:val="both"/>
        <w:rPr>
          <w:rFonts w:ascii="Verdana" w:eastAsia="Century Gothic" w:hAnsi="Verdana" w:cs="Century Gothic"/>
          <w:b/>
          <w:bCs/>
          <w:lang w:val="es-ES"/>
        </w:rPr>
      </w:pPr>
      <w:r w:rsidRPr="0007375E">
        <w:rPr>
          <w:rFonts w:ascii="Verdana" w:eastAsia="Century Gothic" w:hAnsi="Verdana" w:cs="Century Gothic"/>
          <w:b/>
          <w:bCs/>
        </w:rPr>
        <w:t>3.Razones de la respuesta:</w:t>
      </w:r>
    </w:p>
    <w:p w14:paraId="45ED2356" w14:textId="77777777" w:rsidR="001328E7" w:rsidRPr="0007375E" w:rsidRDefault="001328E7" w:rsidP="001328E7">
      <w:pPr>
        <w:spacing w:after="0" w:line="276" w:lineRule="auto"/>
        <w:jc w:val="both"/>
        <w:rPr>
          <w:rFonts w:ascii="Verdana" w:eastAsia="Calibri" w:hAnsi="Verdana" w:cs="Arial"/>
          <w:lang w:val="es-ES"/>
        </w:rPr>
      </w:pPr>
    </w:p>
    <w:p w14:paraId="3571641F" w14:textId="77777777" w:rsidR="001328E7" w:rsidRPr="0007375E" w:rsidRDefault="001328E7" w:rsidP="001328E7">
      <w:pPr>
        <w:spacing w:after="0" w:line="276" w:lineRule="auto"/>
        <w:jc w:val="both"/>
        <w:rPr>
          <w:rFonts w:ascii="Verdana" w:eastAsia="Calibri" w:hAnsi="Verdana" w:cs="Arial"/>
          <w:lang w:val="es-ES"/>
        </w:rPr>
      </w:pPr>
      <w:r w:rsidRPr="0007375E">
        <w:rPr>
          <w:rFonts w:ascii="Verdana" w:eastAsia="Calibri" w:hAnsi="Verdana" w:cs="Arial"/>
          <w:lang w:val="es-ES"/>
        </w:rPr>
        <w:t>Lo anterior se sustenta en las siguientes consideraciones:</w:t>
      </w:r>
    </w:p>
    <w:p w14:paraId="5A1AD6D9" w14:textId="77777777" w:rsidR="001328E7" w:rsidRDefault="001328E7" w:rsidP="001328E7">
      <w:pPr>
        <w:spacing w:after="0" w:line="276" w:lineRule="auto"/>
        <w:jc w:val="both"/>
        <w:rPr>
          <w:rFonts w:ascii="Verdana" w:eastAsia="Calibri" w:hAnsi="Verdana" w:cs="Arial"/>
          <w:lang w:val="es-ES"/>
        </w:rPr>
      </w:pPr>
    </w:p>
    <w:p w14:paraId="52B117A6" w14:textId="77777777" w:rsidR="001328E7" w:rsidRPr="00464015" w:rsidRDefault="001328E7" w:rsidP="001328E7">
      <w:pPr>
        <w:spacing w:after="120" w:line="276" w:lineRule="auto"/>
        <w:jc w:val="both"/>
        <w:rPr>
          <w:rFonts w:ascii="Verdana" w:hAnsi="Verdana" w:cs="Arial"/>
        </w:rPr>
      </w:pPr>
      <w:r w:rsidRPr="00464015">
        <w:rPr>
          <w:rFonts w:ascii="Verdana" w:hAnsi="Verdana" w:cs="Arial"/>
        </w:rPr>
        <w:t xml:space="preserve">Las Leyes 60 de 1993 y 715 de 2001 descentralizaron el sistema educativo en Colombia, asignándoles a los departamentos, distritos y municipios las competencias y los recursos para dirigir las instituciones educativas. Es decir, el sistema educativo está descentralizado por las competencias propias que se le han otorgado a las entidades territoriales para administrar las instituciones educativas, que pueden ser de los diferentes niveles, pero estas no son entidades descentralizadas. </w:t>
      </w:r>
    </w:p>
    <w:p w14:paraId="6EE52CD2" w14:textId="77777777" w:rsidR="001328E7" w:rsidRDefault="001328E7" w:rsidP="00DD1E38">
      <w:pPr>
        <w:spacing w:after="120" w:line="276" w:lineRule="auto"/>
        <w:ind w:firstLine="708"/>
        <w:jc w:val="both"/>
        <w:rPr>
          <w:rFonts w:ascii="Verdana" w:hAnsi="Verdana"/>
        </w:rPr>
      </w:pPr>
      <w:r w:rsidRPr="00464015">
        <w:rPr>
          <w:rFonts w:ascii="Verdana" w:hAnsi="Verdana" w:cs="Arial"/>
        </w:rPr>
        <w:t>Conforme a lo anterior, las instituciones educativas pertenecen a la entidad territorial que haya efectuado su reconocimiento de carácter oficial. No obstante, carecen de personería jurídica, pero tienen capacidad para contratar y se concreta en la competencia que le otorgó el legislador en la Ley 715 de 2001 para administrar los fondos de servicios educativos, siendo cuentas contables que le permiten a las instituciones realizar la gestión y ejecución presupuestal de los recursos que reciben los establecimientos educativos</w:t>
      </w:r>
      <w:r w:rsidRPr="00292F1B">
        <w:rPr>
          <w:rStyle w:val="Refdenotaalpie"/>
          <w:rFonts w:ascii="Arial" w:hAnsi="Arial" w:cs="Arial"/>
        </w:rPr>
        <w:footnoteReference w:id="2"/>
      </w:r>
    </w:p>
    <w:p w14:paraId="26D42D87" w14:textId="77777777" w:rsidR="001328E7" w:rsidRDefault="001328E7" w:rsidP="00DD1E38">
      <w:pPr>
        <w:spacing w:after="0" w:line="276" w:lineRule="auto"/>
        <w:ind w:firstLine="708"/>
        <w:jc w:val="both"/>
        <w:rPr>
          <w:rFonts w:ascii="Verdana" w:hAnsi="Verdana"/>
        </w:rPr>
      </w:pPr>
      <w:r>
        <w:rPr>
          <w:rFonts w:ascii="Verdana" w:hAnsi="Verdana"/>
        </w:rPr>
        <w:t>Por lo anterior, es menester indicar que e</w:t>
      </w:r>
      <w:r w:rsidRPr="00CA274E">
        <w:rPr>
          <w:rFonts w:ascii="Verdana" w:hAnsi="Verdana"/>
        </w:rPr>
        <w:t>l régimen de contratación de las Instituciones Educativas Oficiales que</w:t>
      </w:r>
      <w:r w:rsidRPr="00CA274E">
        <w:rPr>
          <w:rFonts w:ascii="Verdana" w:hAnsi="Verdana"/>
          <w:spacing w:val="1"/>
        </w:rPr>
        <w:t xml:space="preserve"> </w:t>
      </w:r>
      <w:r w:rsidRPr="00CA274E">
        <w:rPr>
          <w:rFonts w:ascii="Verdana" w:hAnsi="Verdana"/>
        </w:rPr>
        <w:t xml:space="preserve">dispongan de recursos del Fondo de </w:t>
      </w:r>
      <w:r w:rsidRPr="00CA274E">
        <w:rPr>
          <w:rFonts w:ascii="Verdana" w:hAnsi="Verdana"/>
        </w:rPr>
        <w:lastRenderedPageBreak/>
        <w:t>Servicios Educativos está regulado por el</w:t>
      </w:r>
      <w:r w:rsidRPr="00CA274E">
        <w:rPr>
          <w:rFonts w:ascii="Verdana" w:hAnsi="Verdana"/>
          <w:spacing w:val="1"/>
        </w:rPr>
        <w:t xml:space="preserve"> </w:t>
      </w:r>
      <w:r w:rsidRPr="00CA274E">
        <w:rPr>
          <w:rFonts w:ascii="Verdana" w:hAnsi="Verdana"/>
        </w:rPr>
        <w:t>artículo</w:t>
      </w:r>
      <w:r w:rsidRPr="00CA274E">
        <w:rPr>
          <w:rFonts w:ascii="Verdana" w:hAnsi="Verdana"/>
          <w:spacing w:val="-6"/>
        </w:rPr>
        <w:t xml:space="preserve"> </w:t>
      </w:r>
      <w:r w:rsidRPr="00CA274E">
        <w:rPr>
          <w:rFonts w:ascii="Verdana" w:hAnsi="Verdana"/>
        </w:rPr>
        <w:t>13</w:t>
      </w:r>
      <w:r w:rsidRPr="00CA274E">
        <w:rPr>
          <w:rFonts w:ascii="Verdana" w:hAnsi="Verdana"/>
          <w:spacing w:val="-8"/>
        </w:rPr>
        <w:t xml:space="preserve"> </w:t>
      </w:r>
      <w:r w:rsidRPr="00CA274E">
        <w:rPr>
          <w:rFonts w:ascii="Verdana" w:hAnsi="Verdana"/>
        </w:rPr>
        <w:t>de</w:t>
      </w:r>
      <w:r w:rsidRPr="00CA274E">
        <w:rPr>
          <w:rFonts w:ascii="Verdana" w:hAnsi="Verdana"/>
          <w:spacing w:val="-7"/>
        </w:rPr>
        <w:t xml:space="preserve"> </w:t>
      </w:r>
      <w:r w:rsidRPr="00CA274E">
        <w:rPr>
          <w:rFonts w:ascii="Verdana" w:hAnsi="Verdana"/>
        </w:rPr>
        <w:t>la</w:t>
      </w:r>
      <w:r w:rsidRPr="00CA274E">
        <w:rPr>
          <w:rFonts w:ascii="Verdana" w:hAnsi="Verdana"/>
          <w:spacing w:val="-8"/>
        </w:rPr>
        <w:t xml:space="preserve"> </w:t>
      </w:r>
      <w:r w:rsidRPr="00CA274E">
        <w:rPr>
          <w:rFonts w:ascii="Verdana" w:hAnsi="Verdana"/>
        </w:rPr>
        <w:t>Ley</w:t>
      </w:r>
      <w:r w:rsidRPr="00CA274E">
        <w:rPr>
          <w:rFonts w:ascii="Verdana" w:hAnsi="Verdana"/>
          <w:spacing w:val="-7"/>
        </w:rPr>
        <w:t xml:space="preserve"> </w:t>
      </w:r>
      <w:r w:rsidRPr="00CA274E">
        <w:rPr>
          <w:rFonts w:ascii="Verdana" w:hAnsi="Verdana"/>
        </w:rPr>
        <w:t>715</w:t>
      </w:r>
      <w:r w:rsidRPr="00CA274E">
        <w:rPr>
          <w:rFonts w:ascii="Verdana" w:hAnsi="Verdana"/>
          <w:spacing w:val="-6"/>
        </w:rPr>
        <w:t xml:space="preserve"> </w:t>
      </w:r>
      <w:r w:rsidRPr="00CA274E">
        <w:rPr>
          <w:rFonts w:ascii="Verdana" w:hAnsi="Verdana"/>
        </w:rPr>
        <w:t>de</w:t>
      </w:r>
      <w:r w:rsidRPr="00CA274E">
        <w:rPr>
          <w:rFonts w:ascii="Verdana" w:hAnsi="Verdana"/>
          <w:spacing w:val="-8"/>
        </w:rPr>
        <w:t xml:space="preserve"> </w:t>
      </w:r>
      <w:r w:rsidRPr="00CA274E">
        <w:rPr>
          <w:rFonts w:ascii="Verdana" w:hAnsi="Verdana"/>
        </w:rPr>
        <w:t>2011,</w:t>
      </w:r>
      <w:r w:rsidRPr="00CA274E">
        <w:rPr>
          <w:rFonts w:ascii="Verdana" w:hAnsi="Verdana"/>
          <w:spacing w:val="-8"/>
        </w:rPr>
        <w:t xml:space="preserve"> </w:t>
      </w:r>
      <w:r w:rsidRPr="00CA274E">
        <w:rPr>
          <w:rFonts w:ascii="Verdana" w:hAnsi="Verdana"/>
        </w:rPr>
        <w:t>reglamentado</w:t>
      </w:r>
      <w:r w:rsidRPr="00CA274E">
        <w:rPr>
          <w:rFonts w:ascii="Verdana" w:hAnsi="Verdana"/>
          <w:spacing w:val="-4"/>
        </w:rPr>
        <w:t xml:space="preserve"> </w:t>
      </w:r>
      <w:r w:rsidRPr="00CA274E">
        <w:rPr>
          <w:rFonts w:ascii="Verdana" w:hAnsi="Verdana"/>
        </w:rPr>
        <w:t>en</w:t>
      </w:r>
      <w:r w:rsidRPr="00CA274E">
        <w:rPr>
          <w:rFonts w:ascii="Verdana" w:hAnsi="Verdana"/>
          <w:spacing w:val="-8"/>
        </w:rPr>
        <w:t xml:space="preserve"> </w:t>
      </w:r>
      <w:r w:rsidRPr="00CA274E">
        <w:rPr>
          <w:rFonts w:ascii="Verdana" w:hAnsi="Verdana"/>
        </w:rPr>
        <w:t>el</w:t>
      </w:r>
      <w:r w:rsidRPr="00CA274E">
        <w:rPr>
          <w:rFonts w:ascii="Verdana" w:hAnsi="Verdana"/>
          <w:spacing w:val="-8"/>
        </w:rPr>
        <w:t xml:space="preserve"> </w:t>
      </w:r>
      <w:r w:rsidRPr="00CA274E">
        <w:rPr>
          <w:rFonts w:ascii="Verdana" w:hAnsi="Verdana"/>
        </w:rPr>
        <w:t>artículo</w:t>
      </w:r>
      <w:r w:rsidRPr="00CA274E">
        <w:rPr>
          <w:rFonts w:ascii="Verdana" w:hAnsi="Verdana"/>
          <w:spacing w:val="-5"/>
        </w:rPr>
        <w:t xml:space="preserve"> </w:t>
      </w:r>
      <w:r w:rsidRPr="00CA274E">
        <w:rPr>
          <w:rFonts w:ascii="Verdana" w:hAnsi="Verdana"/>
        </w:rPr>
        <w:t>2.3.1.6.3.17.</w:t>
      </w:r>
      <w:r>
        <w:rPr>
          <w:rFonts w:ascii="Verdana" w:hAnsi="Verdana"/>
        </w:rPr>
        <w:t xml:space="preserve"> del </w:t>
      </w:r>
      <w:r w:rsidRPr="00CA274E">
        <w:rPr>
          <w:rFonts w:ascii="Verdana" w:hAnsi="Verdana"/>
          <w:spacing w:val="-75"/>
        </w:rPr>
        <w:t xml:space="preserve"> </w:t>
      </w:r>
      <w:r>
        <w:rPr>
          <w:rFonts w:ascii="Verdana" w:hAnsi="Verdana"/>
          <w:spacing w:val="-75"/>
        </w:rPr>
        <w:t xml:space="preserve">       </w:t>
      </w:r>
      <w:r w:rsidRPr="00CA274E">
        <w:rPr>
          <w:rFonts w:ascii="Verdana" w:hAnsi="Verdana"/>
        </w:rPr>
        <w:t>Decreto 1075 del 2015. De acuerdo con estas normas, la contratación que</w:t>
      </w:r>
      <w:r w:rsidRPr="00CA274E">
        <w:rPr>
          <w:rFonts w:ascii="Verdana" w:hAnsi="Verdana"/>
          <w:spacing w:val="1"/>
        </w:rPr>
        <w:t xml:space="preserve"> </w:t>
      </w:r>
      <w:r w:rsidRPr="00CA274E">
        <w:rPr>
          <w:rFonts w:ascii="Verdana" w:hAnsi="Verdana"/>
        </w:rPr>
        <w:t>realicen las instituciones educativas, siempre que se ubique por debajo de los</w:t>
      </w:r>
      <w:r w:rsidRPr="00CA274E">
        <w:rPr>
          <w:rFonts w:ascii="Verdana" w:hAnsi="Verdana"/>
          <w:spacing w:val="1"/>
        </w:rPr>
        <w:t xml:space="preserve"> </w:t>
      </w:r>
      <w:r w:rsidRPr="00CA274E">
        <w:rPr>
          <w:rFonts w:ascii="Verdana" w:hAnsi="Verdana"/>
        </w:rPr>
        <w:t>veinte (20) salarios mínimos mensuales legales vigentes, se sujetará a las</w:t>
      </w:r>
      <w:r w:rsidRPr="00CA274E">
        <w:rPr>
          <w:rFonts w:ascii="Verdana" w:hAnsi="Verdana"/>
          <w:spacing w:val="1"/>
        </w:rPr>
        <w:t xml:space="preserve"> </w:t>
      </w:r>
      <w:r w:rsidRPr="00CA274E">
        <w:rPr>
          <w:rFonts w:ascii="Verdana" w:hAnsi="Verdana"/>
        </w:rPr>
        <w:t>condiciones previstas en el reglamento de contratación que expida el consejo</w:t>
      </w:r>
      <w:r w:rsidRPr="00CA274E">
        <w:rPr>
          <w:rFonts w:ascii="Verdana" w:hAnsi="Verdana"/>
          <w:spacing w:val="1"/>
        </w:rPr>
        <w:t xml:space="preserve"> </w:t>
      </w:r>
      <w:r w:rsidRPr="00CA274E">
        <w:rPr>
          <w:rFonts w:ascii="Verdana" w:hAnsi="Verdana"/>
        </w:rPr>
        <w:t>directivo de la institución, es decir, que en dicho caso cuentan con un régimen</w:t>
      </w:r>
      <w:r w:rsidRPr="00CA274E">
        <w:rPr>
          <w:rFonts w:ascii="Verdana" w:hAnsi="Verdana"/>
          <w:spacing w:val="1"/>
        </w:rPr>
        <w:t xml:space="preserve"> </w:t>
      </w:r>
      <w:r w:rsidRPr="00CA274E">
        <w:rPr>
          <w:rFonts w:ascii="Verdana" w:hAnsi="Verdana"/>
        </w:rPr>
        <w:t>especial de contratación. Por el contrario, cuando la celebración de contratos a</w:t>
      </w:r>
      <w:r w:rsidRPr="00CA274E">
        <w:rPr>
          <w:rFonts w:ascii="Verdana" w:hAnsi="Verdana"/>
          <w:spacing w:val="1"/>
        </w:rPr>
        <w:t xml:space="preserve"> </w:t>
      </w:r>
      <w:r w:rsidRPr="00CA274E">
        <w:rPr>
          <w:rFonts w:ascii="Verdana" w:hAnsi="Verdana"/>
        </w:rPr>
        <w:t>que haya lugar supere la cuantía de los veinte (20) salarios mínimos legales</w:t>
      </w:r>
      <w:r w:rsidRPr="00CA274E">
        <w:rPr>
          <w:rFonts w:ascii="Verdana" w:hAnsi="Verdana"/>
          <w:spacing w:val="1"/>
        </w:rPr>
        <w:t xml:space="preserve"> </w:t>
      </w:r>
      <w:r w:rsidRPr="00CA274E">
        <w:rPr>
          <w:rFonts w:ascii="Verdana" w:hAnsi="Verdana"/>
        </w:rPr>
        <w:t>mensuales</w:t>
      </w:r>
      <w:r w:rsidRPr="00CA274E">
        <w:rPr>
          <w:rFonts w:ascii="Verdana" w:hAnsi="Verdana"/>
          <w:spacing w:val="-4"/>
        </w:rPr>
        <w:t xml:space="preserve"> </w:t>
      </w:r>
      <w:r w:rsidRPr="00CA274E">
        <w:rPr>
          <w:rFonts w:ascii="Verdana" w:hAnsi="Verdana"/>
        </w:rPr>
        <w:t>vigentes,</w:t>
      </w:r>
      <w:r w:rsidRPr="00CA274E">
        <w:rPr>
          <w:rFonts w:ascii="Verdana" w:hAnsi="Verdana"/>
          <w:spacing w:val="-3"/>
        </w:rPr>
        <w:t xml:space="preserve"> </w:t>
      </w:r>
      <w:r w:rsidRPr="00CA274E">
        <w:rPr>
          <w:rFonts w:ascii="Verdana" w:hAnsi="Verdana"/>
        </w:rPr>
        <w:t>debe</w:t>
      </w:r>
      <w:r w:rsidRPr="00CA274E">
        <w:rPr>
          <w:rFonts w:ascii="Verdana" w:hAnsi="Verdana"/>
          <w:spacing w:val="-6"/>
        </w:rPr>
        <w:t xml:space="preserve"> </w:t>
      </w:r>
      <w:r w:rsidRPr="00CA274E">
        <w:rPr>
          <w:rFonts w:ascii="Verdana" w:hAnsi="Verdana"/>
        </w:rPr>
        <w:t>hacerse</w:t>
      </w:r>
      <w:r w:rsidRPr="00CA274E">
        <w:rPr>
          <w:rFonts w:ascii="Verdana" w:hAnsi="Verdana"/>
          <w:spacing w:val="-4"/>
        </w:rPr>
        <w:t xml:space="preserve"> </w:t>
      </w:r>
      <w:r w:rsidRPr="00CA274E">
        <w:rPr>
          <w:rFonts w:ascii="Verdana" w:hAnsi="Verdana"/>
        </w:rPr>
        <w:t>con</w:t>
      </w:r>
      <w:r w:rsidRPr="00CA274E">
        <w:rPr>
          <w:rFonts w:ascii="Verdana" w:hAnsi="Verdana"/>
          <w:spacing w:val="-6"/>
        </w:rPr>
        <w:t xml:space="preserve"> </w:t>
      </w:r>
      <w:r w:rsidRPr="00CA274E">
        <w:rPr>
          <w:rFonts w:ascii="Verdana" w:hAnsi="Verdana"/>
        </w:rPr>
        <w:t>estricta</w:t>
      </w:r>
      <w:r w:rsidRPr="00CA274E">
        <w:rPr>
          <w:rFonts w:ascii="Verdana" w:hAnsi="Verdana"/>
          <w:spacing w:val="-5"/>
        </w:rPr>
        <w:t xml:space="preserve"> </w:t>
      </w:r>
      <w:r w:rsidRPr="00CA274E">
        <w:rPr>
          <w:rFonts w:ascii="Verdana" w:hAnsi="Verdana"/>
        </w:rPr>
        <w:t>sujeción</w:t>
      </w:r>
      <w:r w:rsidRPr="00CA274E">
        <w:rPr>
          <w:rFonts w:ascii="Verdana" w:hAnsi="Verdana"/>
          <w:spacing w:val="-4"/>
        </w:rPr>
        <w:t xml:space="preserve"> </w:t>
      </w:r>
      <w:r w:rsidRPr="00CA274E">
        <w:rPr>
          <w:rFonts w:ascii="Verdana" w:hAnsi="Verdana"/>
        </w:rPr>
        <w:t>a</w:t>
      </w:r>
      <w:r w:rsidRPr="00CA274E">
        <w:rPr>
          <w:rFonts w:ascii="Verdana" w:hAnsi="Verdana"/>
          <w:spacing w:val="-7"/>
        </w:rPr>
        <w:t xml:space="preserve"> </w:t>
      </w:r>
      <w:r w:rsidRPr="00CA274E">
        <w:rPr>
          <w:rFonts w:ascii="Verdana" w:hAnsi="Verdana"/>
        </w:rPr>
        <w:t>lo</w:t>
      </w:r>
      <w:r w:rsidRPr="00CA274E">
        <w:rPr>
          <w:rFonts w:ascii="Verdana" w:hAnsi="Verdana"/>
          <w:spacing w:val="-6"/>
        </w:rPr>
        <w:t xml:space="preserve"> </w:t>
      </w:r>
      <w:r w:rsidRPr="00CA274E">
        <w:rPr>
          <w:rFonts w:ascii="Verdana" w:hAnsi="Verdana"/>
        </w:rPr>
        <w:t>dispuesto</w:t>
      </w:r>
      <w:r w:rsidRPr="00CA274E">
        <w:rPr>
          <w:rFonts w:ascii="Verdana" w:hAnsi="Verdana"/>
          <w:spacing w:val="-4"/>
        </w:rPr>
        <w:t xml:space="preserve"> </w:t>
      </w:r>
      <w:r w:rsidRPr="00CA274E">
        <w:rPr>
          <w:rFonts w:ascii="Verdana" w:hAnsi="Verdana"/>
        </w:rPr>
        <w:t>en</w:t>
      </w:r>
      <w:r w:rsidRPr="00CA274E">
        <w:rPr>
          <w:rFonts w:ascii="Verdana" w:hAnsi="Verdana"/>
          <w:spacing w:val="-6"/>
        </w:rPr>
        <w:t xml:space="preserve"> </w:t>
      </w:r>
      <w:r w:rsidRPr="00CA274E">
        <w:rPr>
          <w:rFonts w:ascii="Verdana" w:hAnsi="Verdana"/>
        </w:rPr>
        <w:t>la</w:t>
      </w:r>
      <w:r w:rsidRPr="00CA274E">
        <w:rPr>
          <w:rFonts w:ascii="Verdana" w:hAnsi="Verdana"/>
          <w:spacing w:val="-7"/>
        </w:rPr>
        <w:t xml:space="preserve"> </w:t>
      </w:r>
      <w:r w:rsidRPr="00CA274E">
        <w:rPr>
          <w:rFonts w:ascii="Verdana" w:hAnsi="Verdana"/>
        </w:rPr>
        <w:t>Le</w:t>
      </w:r>
      <w:r>
        <w:rPr>
          <w:rFonts w:ascii="Verdana" w:hAnsi="Verdana"/>
        </w:rPr>
        <w:t xml:space="preserve">y </w:t>
      </w:r>
      <w:r w:rsidRPr="00CA274E">
        <w:rPr>
          <w:rFonts w:ascii="Verdana" w:hAnsi="Verdana"/>
        </w:rPr>
        <w:t>80 de 1993, por lo que las reglas a las que deben sujetarse los procedimientos</w:t>
      </w:r>
      <w:r w:rsidRPr="00CA274E">
        <w:rPr>
          <w:rFonts w:ascii="Verdana" w:hAnsi="Verdana"/>
          <w:spacing w:val="1"/>
        </w:rPr>
        <w:t xml:space="preserve"> </w:t>
      </w:r>
      <w:r w:rsidRPr="00CA274E">
        <w:rPr>
          <w:rFonts w:ascii="Verdana" w:hAnsi="Verdana"/>
        </w:rPr>
        <w:t>dentro</w:t>
      </w:r>
      <w:r w:rsidRPr="00CA274E">
        <w:rPr>
          <w:rFonts w:ascii="Verdana" w:hAnsi="Verdana"/>
          <w:spacing w:val="-14"/>
        </w:rPr>
        <w:t xml:space="preserve"> </w:t>
      </w:r>
      <w:r w:rsidRPr="00CA274E">
        <w:rPr>
          <w:rFonts w:ascii="Verdana" w:hAnsi="Verdana"/>
        </w:rPr>
        <w:t>de</w:t>
      </w:r>
      <w:r w:rsidRPr="00CA274E">
        <w:rPr>
          <w:rFonts w:ascii="Verdana" w:hAnsi="Verdana"/>
          <w:spacing w:val="-15"/>
        </w:rPr>
        <w:t xml:space="preserve"> </w:t>
      </w:r>
      <w:r w:rsidRPr="00CA274E">
        <w:rPr>
          <w:rFonts w:ascii="Verdana" w:hAnsi="Verdana"/>
        </w:rPr>
        <w:t>los</w:t>
      </w:r>
      <w:r w:rsidRPr="00CA274E">
        <w:rPr>
          <w:rFonts w:ascii="Verdana" w:hAnsi="Verdana"/>
          <w:spacing w:val="-15"/>
        </w:rPr>
        <w:t xml:space="preserve"> </w:t>
      </w:r>
      <w:r w:rsidRPr="00CA274E">
        <w:rPr>
          <w:rFonts w:ascii="Verdana" w:hAnsi="Verdana"/>
        </w:rPr>
        <w:t>que</w:t>
      </w:r>
      <w:r w:rsidRPr="00CA274E">
        <w:rPr>
          <w:rFonts w:ascii="Verdana" w:hAnsi="Verdana"/>
          <w:spacing w:val="-14"/>
        </w:rPr>
        <w:t xml:space="preserve"> </w:t>
      </w:r>
      <w:r w:rsidRPr="00CA274E">
        <w:rPr>
          <w:rFonts w:ascii="Verdana" w:hAnsi="Verdana"/>
        </w:rPr>
        <w:t>se</w:t>
      </w:r>
      <w:r w:rsidRPr="00CA274E">
        <w:rPr>
          <w:rFonts w:ascii="Verdana" w:hAnsi="Verdana"/>
          <w:spacing w:val="-15"/>
        </w:rPr>
        <w:t xml:space="preserve"> </w:t>
      </w:r>
      <w:r w:rsidRPr="00CA274E">
        <w:rPr>
          <w:rFonts w:ascii="Verdana" w:hAnsi="Verdana"/>
        </w:rPr>
        <w:t>enmarque</w:t>
      </w:r>
      <w:r w:rsidRPr="00CA274E">
        <w:rPr>
          <w:rFonts w:ascii="Verdana" w:hAnsi="Verdana"/>
          <w:spacing w:val="-13"/>
        </w:rPr>
        <w:t xml:space="preserve"> </w:t>
      </w:r>
      <w:r w:rsidRPr="00CA274E">
        <w:rPr>
          <w:rFonts w:ascii="Verdana" w:hAnsi="Verdana"/>
        </w:rPr>
        <w:t>esta</w:t>
      </w:r>
      <w:r w:rsidRPr="00CA274E">
        <w:rPr>
          <w:rFonts w:ascii="Verdana" w:hAnsi="Verdana"/>
          <w:spacing w:val="-14"/>
        </w:rPr>
        <w:t xml:space="preserve"> </w:t>
      </w:r>
      <w:r w:rsidRPr="00CA274E">
        <w:rPr>
          <w:rFonts w:ascii="Verdana" w:hAnsi="Verdana"/>
        </w:rPr>
        <w:t>contratación</w:t>
      </w:r>
      <w:r w:rsidRPr="00CA274E">
        <w:rPr>
          <w:rFonts w:ascii="Verdana" w:hAnsi="Verdana"/>
          <w:spacing w:val="-12"/>
        </w:rPr>
        <w:t xml:space="preserve"> </w:t>
      </w:r>
      <w:r w:rsidRPr="00CA274E">
        <w:rPr>
          <w:rFonts w:ascii="Verdana" w:hAnsi="Verdana"/>
        </w:rPr>
        <w:t>son</w:t>
      </w:r>
      <w:r w:rsidRPr="00CA274E">
        <w:rPr>
          <w:rFonts w:ascii="Verdana" w:hAnsi="Verdana"/>
          <w:spacing w:val="-15"/>
        </w:rPr>
        <w:t xml:space="preserve"> </w:t>
      </w:r>
      <w:r w:rsidRPr="00CA274E">
        <w:rPr>
          <w:rFonts w:ascii="Verdana" w:hAnsi="Verdana"/>
        </w:rPr>
        <w:t>las</w:t>
      </w:r>
      <w:r w:rsidRPr="00CA274E">
        <w:rPr>
          <w:rFonts w:ascii="Verdana" w:hAnsi="Verdana"/>
          <w:spacing w:val="-14"/>
        </w:rPr>
        <w:t xml:space="preserve"> </w:t>
      </w:r>
      <w:r w:rsidRPr="00CA274E">
        <w:rPr>
          <w:rFonts w:ascii="Verdana" w:hAnsi="Verdana"/>
        </w:rPr>
        <w:t>del</w:t>
      </w:r>
      <w:r w:rsidRPr="00CA274E">
        <w:rPr>
          <w:rFonts w:ascii="Verdana" w:hAnsi="Verdana"/>
          <w:spacing w:val="-15"/>
        </w:rPr>
        <w:t xml:space="preserve"> </w:t>
      </w:r>
      <w:r w:rsidRPr="00CA274E">
        <w:rPr>
          <w:rFonts w:ascii="Verdana" w:hAnsi="Verdana"/>
        </w:rPr>
        <w:t>Estatuto</w:t>
      </w:r>
      <w:r w:rsidRPr="00CA274E">
        <w:rPr>
          <w:rFonts w:ascii="Verdana" w:hAnsi="Verdana"/>
          <w:spacing w:val="-13"/>
        </w:rPr>
        <w:t xml:space="preserve"> </w:t>
      </w:r>
      <w:r w:rsidRPr="00CA274E">
        <w:rPr>
          <w:rFonts w:ascii="Verdana" w:hAnsi="Verdana"/>
        </w:rPr>
        <w:t>General</w:t>
      </w:r>
      <w:r w:rsidRPr="00CA274E">
        <w:rPr>
          <w:rFonts w:ascii="Verdana" w:hAnsi="Verdana"/>
          <w:spacing w:val="-13"/>
        </w:rPr>
        <w:t xml:space="preserve"> </w:t>
      </w:r>
      <w:r w:rsidRPr="00CA274E">
        <w:rPr>
          <w:rFonts w:ascii="Verdana" w:hAnsi="Verdana"/>
        </w:rPr>
        <w:t>de</w:t>
      </w:r>
      <w:r>
        <w:rPr>
          <w:rFonts w:ascii="Verdana" w:hAnsi="Verdana"/>
        </w:rPr>
        <w:t xml:space="preserve"> </w:t>
      </w:r>
      <w:r w:rsidRPr="00CA274E">
        <w:rPr>
          <w:rFonts w:ascii="Verdana" w:hAnsi="Verdana"/>
          <w:spacing w:val="-75"/>
        </w:rPr>
        <w:t xml:space="preserve"> </w:t>
      </w:r>
      <w:r w:rsidRPr="00CA274E">
        <w:rPr>
          <w:rFonts w:ascii="Verdana" w:hAnsi="Verdana"/>
        </w:rPr>
        <w:t>Contratación de la Administración Pública, procediendo la aplicación de las</w:t>
      </w:r>
      <w:r w:rsidRPr="00CA274E">
        <w:rPr>
          <w:rFonts w:ascii="Verdana" w:hAnsi="Verdana"/>
          <w:spacing w:val="1"/>
        </w:rPr>
        <w:t xml:space="preserve"> </w:t>
      </w:r>
      <w:r w:rsidRPr="00CA274E">
        <w:rPr>
          <w:rFonts w:ascii="Verdana" w:hAnsi="Verdana"/>
        </w:rPr>
        <w:t>modalidades</w:t>
      </w:r>
      <w:r w:rsidRPr="00CA274E">
        <w:rPr>
          <w:rFonts w:ascii="Verdana" w:hAnsi="Verdana"/>
          <w:spacing w:val="59"/>
        </w:rPr>
        <w:t xml:space="preserve"> </w:t>
      </w:r>
      <w:r w:rsidRPr="00CA274E">
        <w:rPr>
          <w:rFonts w:ascii="Verdana" w:hAnsi="Verdana"/>
        </w:rPr>
        <w:t>de</w:t>
      </w:r>
      <w:r w:rsidRPr="00CA274E">
        <w:rPr>
          <w:rFonts w:ascii="Verdana" w:hAnsi="Verdana"/>
          <w:spacing w:val="57"/>
        </w:rPr>
        <w:t xml:space="preserve"> </w:t>
      </w:r>
      <w:r w:rsidRPr="00CA274E">
        <w:rPr>
          <w:rFonts w:ascii="Verdana" w:hAnsi="Verdana"/>
        </w:rPr>
        <w:t>selección</w:t>
      </w:r>
      <w:r w:rsidRPr="00CA274E">
        <w:rPr>
          <w:rFonts w:ascii="Verdana" w:hAnsi="Verdana"/>
          <w:spacing w:val="59"/>
        </w:rPr>
        <w:t xml:space="preserve"> </w:t>
      </w:r>
      <w:r w:rsidRPr="00CA274E">
        <w:rPr>
          <w:rFonts w:ascii="Verdana" w:hAnsi="Verdana"/>
        </w:rPr>
        <w:t>definidas</w:t>
      </w:r>
      <w:r w:rsidRPr="00CA274E">
        <w:rPr>
          <w:rFonts w:ascii="Verdana" w:hAnsi="Verdana"/>
          <w:spacing w:val="59"/>
        </w:rPr>
        <w:t xml:space="preserve"> </w:t>
      </w:r>
      <w:r w:rsidRPr="00CA274E">
        <w:rPr>
          <w:rFonts w:ascii="Verdana" w:hAnsi="Verdana"/>
        </w:rPr>
        <w:t>en</w:t>
      </w:r>
      <w:r w:rsidRPr="00CA274E">
        <w:rPr>
          <w:rFonts w:ascii="Verdana" w:hAnsi="Verdana"/>
          <w:spacing w:val="57"/>
        </w:rPr>
        <w:t xml:space="preserve"> </w:t>
      </w:r>
      <w:r w:rsidRPr="00CA274E">
        <w:rPr>
          <w:rFonts w:ascii="Verdana" w:hAnsi="Verdana"/>
        </w:rPr>
        <w:t>la</w:t>
      </w:r>
      <w:r w:rsidRPr="00CA274E">
        <w:rPr>
          <w:rFonts w:ascii="Verdana" w:hAnsi="Verdana"/>
          <w:spacing w:val="56"/>
        </w:rPr>
        <w:t xml:space="preserve"> </w:t>
      </w:r>
      <w:r w:rsidRPr="00CA274E">
        <w:rPr>
          <w:rFonts w:ascii="Verdana" w:hAnsi="Verdana"/>
        </w:rPr>
        <w:t>Ley</w:t>
      </w:r>
      <w:r w:rsidRPr="00CA274E">
        <w:rPr>
          <w:rFonts w:ascii="Verdana" w:hAnsi="Verdana"/>
          <w:spacing w:val="58"/>
        </w:rPr>
        <w:t xml:space="preserve"> </w:t>
      </w:r>
      <w:r w:rsidRPr="00CA274E">
        <w:rPr>
          <w:rFonts w:ascii="Verdana" w:hAnsi="Verdana"/>
        </w:rPr>
        <w:t>1150</w:t>
      </w:r>
      <w:r w:rsidRPr="00CA274E">
        <w:rPr>
          <w:rFonts w:ascii="Verdana" w:hAnsi="Verdana"/>
          <w:spacing w:val="58"/>
        </w:rPr>
        <w:t xml:space="preserve"> </w:t>
      </w:r>
      <w:r w:rsidRPr="00CA274E">
        <w:rPr>
          <w:rFonts w:ascii="Verdana" w:hAnsi="Verdana"/>
        </w:rPr>
        <w:t>de</w:t>
      </w:r>
      <w:r w:rsidRPr="00CA274E">
        <w:rPr>
          <w:rFonts w:ascii="Verdana" w:hAnsi="Verdana"/>
          <w:spacing w:val="56"/>
        </w:rPr>
        <w:t xml:space="preserve"> </w:t>
      </w:r>
      <w:r w:rsidRPr="00CA274E">
        <w:rPr>
          <w:rFonts w:ascii="Verdana" w:hAnsi="Verdana"/>
        </w:rPr>
        <w:t>2007,</w:t>
      </w:r>
      <w:r w:rsidRPr="00CA274E">
        <w:rPr>
          <w:rFonts w:ascii="Verdana" w:hAnsi="Verdana"/>
          <w:spacing w:val="58"/>
        </w:rPr>
        <w:t xml:space="preserve"> </w:t>
      </w:r>
      <w:r w:rsidRPr="00CA274E">
        <w:rPr>
          <w:rFonts w:ascii="Verdana" w:hAnsi="Verdana"/>
        </w:rPr>
        <w:t>así</w:t>
      </w:r>
      <w:r w:rsidRPr="00CA274E">
        <w:rPr>
          <w:rFonts w:ascii="Verdana" w:hAnsi="Verdana"/>
          <w:spacing w:val="58"/>
        </w:rPr>
        <w:t xml:space="preserve"> </w:t>
      </w:r>
      <w:r w:rsidRPr="00CA274E">
        <w:rPr>
          <w:rFonts w:ascii="Verdana" w:hAnsi="Verdana"/>
        </w:rPr>
        <w:t>como</w:t>
      </w:r>
      <w:r w:rsidRPr="00CA274E">
        <w:rPr>
          <w:rFonts w:ascii="Verdana" w:hAnsi="Verdana"/>
          <w:spacing w:val="57"/>
        </w:rPr>
        <w:t xml:space="preserve"> </w:t>
      </w:r>
      <w:r w:rsidRPr="00CA274E">
        <w:rPr>
          <w:rFonts w:ascii="Verdana" w:hAnsi="Verdana"/>
        </w:rPr>
        <w:t>los</w:t>
      </w:r>
      <w:r>
        <w:rPr>
          <w:rFonts w:ascii="Verdana" w:hAnsi="Verdana"/>
        </w:rPr>
        <w:t xml:space="preserve"> </w:t>
      </w:r>
      <w:r w:rsidRPr="00CA274E">
        <w:rPr>
          <w:rFonts w:ascii="Verdana" w:hAnsi="Verdana"/>
        </w:rPr>
        <w:t>requisitos y formalidades establecidas en el Decreto 1082 del 2015 y demás</w:t>
      </w:r>
      <w:r w:rsidRPr="00CA274E">
        <w:rPr>
          <w:rFonts w:ascii="Verdana" w:hAnsi="Verdana"/>
          <w:spacing w:val="1"/>
        </w:rPr>
        <w:t xml:space="preserve"> </w:t>
      </w:r>
      <w:r w:rsidRPr="00CA274E">
        <w:rPr>
          <w:rFonts w:ascii="Verdana" w:hAnsi="Verdana"/>
        </w:rPr>
        <w:t>normativa</w:t>
      </w:r>
      <w:r w:rsidRPr="00CA274E">
        <w:rPr>
          <w:rFonts w:ascii="Verdana" w:hAnsi="Verdana"/>
          <w:spacing w:val="-2"/>
        </w:rPr>
        <w:t xml:space="preserve"> </w:t>
      </w:r>
      <w:r w:rsidRPr="00CA274E">
        <w:rPr>
          <w:rFonts w:ascii="Verdana" w:hAnsi="Verdana"/>
        </w:rPr>
        <w:t>integrante</w:t>
      </w:r>
      <w:r w:rsidRPr="00CA274E">
        <w:rPr>
          <w:rFonts w:ascii="Verdana" w:hAnsi="Verdana"/>
          <w:spacing w:val="-2"/>
        </w:rPr>
        <w:t xml:space="preserve"> </w:t>
      </w:r>
      <w:r w:rsidRPr="00CA274E">
        <w:rPr>
          <w:rFonts w:ascii="Verdana" w:hAnsi="Verdana"/>
        </w:rPr>
        <w:t>del</w:t>
      </w:r>
      <w:r w:rsidRPr="00CA274E">
        <w:rPr>
          <w:rFonts w:ascii="Verdana" w:hAnsi="Verdana"/>
          <w:spacing w:val="-2"/>
        </w:rPr>
        <w:t xml:space="preserve"> </w:t>
      </w:r>
      <w:r w:rsidRPr="00CA274E">
        <w:rPr>
          <w:rFonts w:ascii="Verdana" w:hAnsi="Verdana"/>
        </w:rPr>
        <w:t>referido</w:t>
      </w:r>
      <w:r w:rsidRPr="00CA274E">
        <w:rPr>
          <w:rFonts w:ascii="Verdana" w:hAnsi="Verdana"/>
          <w:spacing w:val="-1"/>
        </w:rPr>
        <w:t xml:space="preserve"> </w:t>
      </w:r>
      <w:r w:rsidRPr="00CA274E">
        <w:rPr>
          <w:rFonts w:ascii="Verdana" w:hAnsi="Verdana"/>
        </w:rPr>
        <w:t>estatuto.</w:t>
      </w:r>
    </w:p>
    <w:p w14:paraId="0F13214B" w14:textId="77777777" w:rsidR="001328E7" w:rsidRPr="00B245C1" w:rsidRDefault="001328E7" w:rsidP="001328E7">
      <w:pPr>
        <w:spacing w:before="120" w:line="276" w:lineRule="auto"/>
        <w:ind w:firstLine="709"/>
        <w:jc w:val="both"/>
        <w:rPr>
          <w:rFonts w:ascii="Verdana" w:eastAsia="Times New Roman" w:hAnsi="Verdana" w:cs="Arial"/>
          <w:szCs w:val="24"/>
          <w:lang w:eastAsia="es-MX"/>
        </w:rPr>
      </w:pPr>
      <w:r w:rsidRPr="00B245C1">
        <w:rPr>
          <w:rFonts w:ascii="Verdana" w:eastAsia="Times New Roman" w:hAnsi="Verdana" w:cs="Arial"/>
          <w:lang w:eastAsia="es-MX"/>
        </w:rPr>
        <w:t xml:space="preserve">En lo que respecta al régimen sustantivo de los contratos estatales sometidos a la Ley 80 de 1993, el inciso primero del artículo 13 dispone que </w:t>
      </w:r>
      <w:r>
        <w:rPr>
          <w:rFonts w:ascii="Verdana" w:eastAsia="Times New Roman" w:hAnsi="Verdana" w:cs="Arial"/>
          <w:lang w:eastAsia="es-MX"/>
        </w:rPr>
        <w:t>“</w:t>
      </w:r>
      <w:r w:rsidRPr="00B245C1">
        <w:rPr>
          <w:rFonts w:ascii="Verdana" w:eastAsia="Times New Roman" w:hAnsi="Verdana" w:cs="Arial"/>
          <w:lang w:eastAsia="es-MX"/>
        </w:rPr>
        <w:t>Los contratos que celebren las entidades a que se refiere el artículo 2o. del presente estatuto se regirán por las disposiciones comerciales y civiles pertinentes, salvo en las materias particularmente reguladas en esta ley</w:t>
      </w:r>
      <w:r>
        <w:rPr>
          <w:rFonts w:ascii="Verdana" w:eastAsia="Times New Roman" w:hAnsi="Verdana" w:cs="Arial"/>
          <w:lang w:eastAsia="es-MX"/>
        </w:rPr>
        <w:t>”</w:t>
      </w:r>
      <w:r w:rsidRPr="00B245C1">
        <w:rPr>
          <w:rFonts w:ascii="Verdana" w:eastAsia="Times New Roman" w:hAnsi="Verdana" w:cs="Arial"/>
          <w:lang w:eastAsia="es-MX"/>
        </w:rPr>
        <w:t xml:space="preserve">. En concordancia con los artículos 32 y 40 </w:t>
      </w:r>
      <w:proofErr w:type="spellStart"/>
      <w:r w:rsidRPr="00B245C1">
        <w:rPr>
          <w:rFonts w:ascii="Verdana" w:eastAsia="Times New Roman" w:hAnsi="Verdana" w:cs="Arial"/>
          <w:i/>
          <w:iCs/>
          <w:lang w:eastAsia="es-MX"/>
        </w:rPr>
        <w:t>ibídem</w:t>
      </w:r>
      <w:proofErr w:type="spellEnd"/>
      <w:r w:rsidRPr="00B245C1">
        <w:rPr>
          <w:rFonts w:ascii="Verdana" w:eastAsia="Times New Roman" w:hAnsi="Verdana" w:cs="Arial"/>
          <w:vertAlign w:val="superscript"/>
          <w:lang w:eastAsia="es-MX"/>
        </w:rPr>
        <w:footnoteReference w:id="3"/>
      </w:r>
      <w:r w:rsidRPr="00B245C1">
        <w:rPr>
          <w:rFonts w:ascii="Verdana" w:eastAsia="Times New Roman" w:hAnsi="Verdana" w:cs="Arial"/>
          <w:lang w:eastAsia="es-MX"/>
        </w:rPr>
        <w:t>, esto significa que los contratos de las entidades sometidas al Estatuto General de Contratación se rigen generalmente por el derecho privado y excepcionalmente por el derecho público, pues las normas civiles y comerciales son el derecho común de los contratos estatales</w:t>
      </w:r>
      <w:r w:rsidRPr="00B245C1">
        <w:rPr>
          <w:rFonts w:ascii="Verdana" w:eastAsia="Times New Roman" w:hAnsi="Verdana" w:cs="Arial"/>
          <w:vertAlign w:val="superscript"/>
          <w:lang w:eastAsia="es-MX"/>
        </w:rPr>
        <w:footnoteReference w:id="4"/>
      </w:r>
      <w:r w:rsidRPr="00B245C1">
        <w:rPr>
          <w:rFonts w:ascii="Verdana" w:eastAsia="Times New Roman" w:hAnsi="Verdana" w:cs="Arial"/>
          <w:lang w:eastAsia="es-MX"/>
        </w:rPr>
        <w:t>. Así lo ha entendido la doctrina:</w:t>
      </w:r>
    </w:p>
    <w:p w14:paraId="6BF0EB19" w14:textId="77777777" w:rsidR="001328E7" w:rsidRPr="00B245C1" w:rsidRDefault="001328E7" w:rsidP="001328E7">
      <w:pPr>
        <w:spacing w:line="276" w:lineRule="auto"/>
        <w:ind w:firstLine="709"/>
        <w:jc w:val="both"/>
        <w:rPr>
          <w:rFonts w:ascii="Verdana" w:eastAsia="Times New Roman" w:hAnsi="Verdana" w:cs="Arial"/>
          <w:szCs w:val="24"/>
          <w:lang w:eastAsia="es-MX"/>
        </w:rPr>
      </w:pPr>
    </w:p>
    <w:p w14:paraId="14780869" w14:textId="77777777" w:rsidR="001328E7" w:rsidRPr="00B245C1" w:rsidRDefault="001328E7" w:rsidP="001328E7">
      <w:pPr>
        <w:ind w:left="709" w:right="709"/>
        <w:jc w:val="both"/>
        <w:rPr>
          <w:rFonts w:ascii="Verdana" w:eastAsia="Times New Roman" w:hAnsi="Verdana" w:cs="Arial"/>
          <w:sz w:val="21"/>
          <w:szCs w:val="21"/>
          <w:lang w:eastAsia="es-MX"/>
        </w:rPr>
      </w:pPr>
      <w:r w:rsidRPr="00B245C1">
        <w:rPr>
          <w:rFonts w:ascii="Verdana" w:eastAsia="Times New Roman" w:hAnsi="Verdana" w:cs="Arial"/>
          <w:sz w:val="21"/>
          <w:szCs w:val="21"/>
          <w:lang w:eastAsia="es-MX"/>
        </w:rPr>
        <w:t xml:space="preserve">[…] no hace otra cosa que aprovechar ciertos principios rectores de las contratación general que aunque tengan su consagración en códigos de derecho privado como el civil y comercial, no son propios y exclusivos de este derecho. Baste pensar en los requisitos de consentimiento válido, objeto y causa lícitos, capacidad, elementos </w:t>
      </w:r>
      <w:r w:rsidRPr="00B245C1">
        <w:rPr>
          <w:rFonts w:ascii="Verdana" w:eastAsia="Times New Roman" w:hAnsi="Verdana" w:cs="Arial"/>
          <w:sz w:val="21"/>
          <w:szCs w:val="21"/>
          <w:lang w:eastAsia="es-MX"/>
        </w:rPr>
        <w:lastRenderedPageBreak/>
        <w:t>esenciales según la naturaleza de cada contrato, responsabilidad, naturaleza de las obligaciones emanadas de los mismos, etc. Extremos éstos que de derecho privado no tienen sino […] el nombre y que la tradición, desde su origen romano se acostumbró a calificarlos así y a no preocuparse por su cuestionamiento. En otras palabras, extremos como los indicados […] son […] de derecho propio, aplicables a toda relación contractual, con prescindencia de los sujetos involucrados en la misma</w:t>
      </w:r>
      <w:r w:rsidRPr="00B245C1">
        <w:rPr>
          <w:rFonts w:ascii="Verdana" w:eastAsia="Times New Roman" w:hAnsi="Verdana" w:cs="Arial"/>
          <w:sz w:val="21"/>
          <w:szCs w:val="21"/>
          <w:vertAlign w:val="superscript"/>
          <w:lang w:eastAsia="es-MX"/>
        </w:rPr>
        <w:footnoteReference w:id="5"/>
      </w:r>
      <w:r w:rsidRPr="00B245C1">
        <w:rPr>
          <w:rFonts w:ascii="Verdana" w:eastAsia="Times New Roman" w:hAnsi="Verdana" w:cs="Arial"/>
          <w:sz w:val="21"/>
          <w:szCs w:val="21"/>
          <w:lang w:eastAsia="es-MX"/>
        </w:rPr>
        <w:t xml:space="preserve">. </w:t>
      </w:r>
    </w:p>
    <w:p w14:paraId="5BE74E07" w14:textId="77777777" w:rsidR="001328E7" w:rsidRPr="00B245C1" w:rsidRDefault="001328E7" w:rsidP="001328E7">
      <w:pPr>
        <w:spacing w:after="120" w:line="276" w:lineRule="auto"/>
        <w:jc w:val="both"/>
        <w:rPr>
          <w:rFonts w:ascii="Verdana" w:eastAsia="Times New Roman" w:hAnsi="Verdana" w:cs="Arial"/>
          <w:szCs w:val="24"/>
          <w:lang w:eastAsia="es-MX"/>
        </w:rPr>
      </w:pPr>
      <w:r w:rsidRPr="00B245C1">
        <w:rPr>
          <w:rFonts w:ascii="Verdana" w:eastAsia="Times New Roman" w:hAnsi="Verdana" w:cs="Arial"/>
          <w:szCs w:val="24"/>
          <w:lang w:eastAsia="es-MX"/>
        </w:rPr>
        <w:tab/>
        <w:t>Ello no implica una privatización fuerte del régimen contractual de las entidades públicas, pues la Ley 80 de 1993 –entre otros aspectos– regula especialmente la capacidad jurídica –inhabilidades, incompatibilidades, consorcios y uniones temporales y registro único de proponentes–, las reglas de selección objetiva –procedimientos de selección–, así como algunos aspectos de ejecución contractual –manejo del riesgo, cláusulas exorbitantes y tipologías contractuales–. Por ello, con excepción de las materias expresamente reguladas en el Estatuto de Contratación, es posible aplicar las normas civiles y comerciales.</w:t>
      </w:r>
    </w:p>
    <w:p w14:paraId="53A950FD" w14:textId="443254C6" w:rsidR="001328E7" w:rsidRPr="00B245C1" w:rsidRDefault="001328E7" w:rsidP="001328E7">
      <w:pPr>
        <w:spacing w:after="120" w:line="276" w:lineRule="auto"/>
        <w:jc w:val="both"/>
        <w:rPr>
          <w:rFonts w:ascii="Verdana" w:eastAsia="Times New Roman" w:hAnsi="Verdana" w:cs="Arial"/>
          <w:szCs w:val="24"/>
          <w:lang w:eastAsia="es-MX"/>
        </w:rPr>
      </w:pPr>
      <w:r w:rsidRPr="00B245C1">
        <w:rPr>
          <w:rFonts w:ascii="Verdana" w:eastAsia="Times New Roman" w:hAnsi="Verdana" w:cs="Arial"/>
          <w:szCs w:val="24"/>
          <w:lang w:eastAsia="es-MX"/>
        </w:rPr>
        <w:tab/>
        <w:t xml:space="preserve">En lo que respecta a los contratos exceptuados de la Ley 80 de 1993, es necesario aplicar las normas generales de las obligaciones y de los contratos dispuestas en el Código Civil y de Comercio. Esto en la medida que, como se explicó, el derecho privado es aplicable a todo contrato con independencia de los sujetos, especialmente, en lo relacionado con los requisitos de consentimiento válido, objeto y causa lícitos, capacidad, elementos esenciales según la naturaleza de cada contrato, responsabilidad, naturaleza de las obligaciones emanadas de los mismos, etc., pues contiene las reglas comunes de la materia. </w:t>
      </w:r>
    </w:p>
    <w:p w14:paraId="2194C9B6" w14:textId="77777777" w:rsidR="001328E7" w:rsidRPr="00B245C1" w:rsidRDefault="001328E7" w:rsidP="001328E7">
      <w:pPr>
        <w:spacing w:after="120" w:line="276" w:lineRule="auto"/>
        <w:jc w:val="both"/>
        <w:rPr>
          <w:rFonts w:ascii="Verdana" w:eastAsia="Times New Roman" w:hAnsi="Verdana" w:cs="Arial"/>
          <w:szCs w:val="24"/>
          <w:lang w:eastAsia="es-MX"/>
        </w:rPr>
      </w:pPr>
      <w:r w:rsidRPr="00B245C1">
        <w:rPr>
          <w:rFonts w:ascii="Verdana" w:eastAsia="Times New Roman" w:hAnsi="Verdana" w:cs="Arial"/>
          <w:szCs w:val="24"/>
          <w:lang w:eastAsia="es-MX"/>
        </w:rPr>
        <w:tab/>
        <w:t xml:space="preserve">En consecuencia, cuando no superen los veinte (20) salarios mínimos legales mensuales vigentes, el régimen sustantivo de los contratos celebrados con recursos del fondo de servicios educativos también se rige por el derecho privado. Dado que el </w:t>
      </w:r>
      <w:bookmarkStart w:id="2" w:name="_Hlk177504889"/>
      <w:r w:rsidRPr="00B245C1">
        <w:rPr>
          <w:rFonts w:ascii="Verdana" w:eastAsia="Times New Roman" w:hAnsi="Verdana" w:cs="Arial"/>
          <w:szCs w:val="24"/>
          <w:lang w:eastAsia="es-MX"/>
        </w:rPr>
        <w:t>artículo 13 de la Ley 715 de 2001</w:t>
      </w:r>
      <w:bookmarkEnd w:id="2"/>
      <w:r w:rsidRPr="00B245C1">
        <w:rPr>
          <w:rFonts w:ascii="Verdana" w:eastAsia="Times New Roman" w:hAnsi="Verdana" w:cs="Arial"/>
          <w:szCs w:val="24"/>
          <w:lang w:eastAsia="es-MX"/>
        </w:rPr>
        <w:t xml:space="preserve">, en concordancia con el </w:t>
      </w:r>
      <w:bookmarkStart w:id="3" w:name="_Hlk177504879"/>
      <w:r w:rsidRPr="00B245C1">
        <w:rPr>
          <w:rFonts w:ascii="Verdana" w:eastAsia="Times New Roman" w:hAnsi="Verdana" w:cs="Arial"/>
          <w:szCs w:val="24"/>
          <w:lang w:eastAsia="es-MX"/>
        </w:rPr>
        <w:t>artículo 2.3.1.6.3.17. del Decreto 1075 de 2015</w:t>
      </w:r>
      <w:bookmarkEnd w:id="3"/>
      <w:r w:rsidRPr="00B245C1">
        <w:rPr>
          <w:rFonts w:ascii="Verdana" w:eastAsia="Times New Roman" w:hAnsi="Verdana" w:cs="Arial"/>
          <w:szCs w:val="24"/>
          <w:lang w:eastAsia="es-MX"/>
        </w:rPr>
        <w:t xml:space="preserve">, permite que el consejo directivo regule </w:t>
      </w:r>
      <w:r>
        <w:rPr>
          <w:rFonts w:ascii="Verdana" w:eastAsia="Times New Roman" w:hAnsi="Verdana" w:cs="Arial"/>
          <w:szCs w:val="24"/>
          <w:lang w:eastAsia="es-MX"/>
        </w:rPr>
        <w:t>“</w:t>
      </w:r>
      <w:r w:rsidRPr="00B245C1">
        <w:rPr>
          <w:rFonts w:ascii="Verdana" w:eastAsia="Times New Roman" w:hAnsi="Verdana" w:cs="Arial"/>
          <w:szCs w:val="24"/>
          <w:lang w:eastAsia="es-MX"/>
        </w:rPr>
        <w:t>[…] los trámites, garantías y constancias que deben cumplirse para que el rector o director celebre cualquier acto o contrato que cree, extinga o modifique obligaciones que deban registrarse en el Fondo […]</w:t>
      </w:r>
      <w:r>
        <w:rPr>
          <w:rFonts w:ascii="Verdana" w:eastAsia="Times New Roman" w:hAnsi="Verdana" w:cs="Arial"/>
          <w:szCs w:val="24"/>
          <w:lang w:eastAsia="es-MX"/>
        </w:rPr>
        <w:t>”</w:t>
      </w:r>
      <w:r w:rsidRPr="00B245C1">
        <w:rPr>
          <w:rFonts w:ascii="Verdana" w:eastAsia="Times New Roman" w:hAnsi="Verdana" w:cs="Arial"/>
          <w:szCs w:val="24"/>
          <w:lang w:eastAsia="es-MX"/>
        </w:rPr>
        <w:t xml:space="preserve">, el reglamento que defina los procedimientos aplicables complementa las normas civiles y </w:t>
      </w:r>
      <w:r w:rsidRPr="00B245C1">
        <w:rPr>
          <w:rFonts w:ascii="Verdana" w:eastAsia="Times New Roman" w:hAnsi="Verdana" w:cs="Arial"/>
          <w:szCs w:val="24"/>
          <w:lang w:eastAsia="es-MX"/>
        </w:rPr>
        <w:lastRenderedPageBreak/>
        <w:t xml:space="preserve">comerciales, sin que este acto administrativo pueda modificar o derogar estas últimas por tratarse de aspectos regulados en la ley. </w:t>
      </w:r>
    </w:p>
    <w:p w14:paraId="640B0FC0" w14:textId="77777777" w:rsidR="001328E7" w:rsidRPr="00B245C1" w:rsidRDefault="001328E7" w:rsidP="001328E7">
      <w:pPr>
        <w:spacing w:after="120" w:line="276" w:lineRule="auto"/>
        <w:ind w:firstLine="708"/>
        <w:jc w:val="both"/>
        <w:rPr>
          <w:rFonts w:ascii="Verdana" w:eastAsia="Times New Roman" w:hAnsi="Verdana" w:cs="Arial"/>
          <w:szCs w:val="24"/>
          <w:lang w:eastAsia="es-MX"/>
        </w:rPr>
      </w:pPr>
      <w:r w:rsidRPr="00B245C1">
        <w:rPr>
          <w:rFonts w:ascii="Verdana" w:eastAsia="Times New Roman" w:hAnsi="Verdana" w:cs="Arial"/>
          <w:lang w:eastAsia="es-MX"/>
        </w:rPr>
        <w:t xml:space="preserve">Naturalmente, los contratos mencionados en el párrafo precedente no se rigen exclusivamente por las normas civiles y comerciales, pues además del reglamento del consejo directivo, el </w:t>
      </w:r>
      <w:bookmarkStart w:id="4" w:name="_Hlk177504862"/>
      <w:r w:rsidRPr="00B245C1">
        <w:rPr>
          <w:rFonts w:ascii="Verdana" w:eastAsia="Times New Roman" w:hAnsi="Verdana" w:cs="Arial"/>
          <w:lang w:eastAsia="es-MX"/>
        </w:rPr>
        <w:t xml:space="preserve">artículo 13 de la Ley 1150 de 2007 </w:t>
      </w:r>
      <w:bookmarkEnd w:id="4"/>
      <w:r w:rsidRPr="00B245C1">
        <w:rPr>
          <w:rFonts w:ascii="Verdana" w:eastAsia="Times New Roman" w:hAnsi="Verdana" w:cs="Arial"/>
          <w:lang w:eastAsia="es-MX"/>
        </w:rPr>
        <w:t>dispone que la contratación exceptuada del Estatuto General también se rige por los principios de la función administrativa, los principios de la gestión fiscal y el régimen de inhabilidades e incompatibilidades previsto para la contratación estatal</w:t>
      </w:r>
      <w:r w:rsidRPr="00B245C1">
        <w:rPr>
          <w:rFonts w:ascii="Verdana" w:eastAsia="Times New Roman" w:hAnsi="Verdana" w:cs="Arial"/>
          <w:vertAlign w:val="superscript"/>
          <w:lang w:eastAsia="es-MX"/>
        </w:rPr>
        <w:footnoteReference w:id="6"/>
      </w:r>
      <w:r w:rsidRPr="00B245C1">
        <w:rPr>
          <w:rFonts w:ascii="Verdana" w:eastAsia="Times New Roman" w:hAnsi="Verdana" w:cs="Arial"/>
          <w:lang w:eastAsia="es-MX"/>
        </w:rPr>
        <w:t>.</w:t>
      </w:r>
    </w:p>
    <w:p w14:paraId="10D1632F" w14:textId="51E776E3" w:rsidR="001328E7" w:rsidRPr="00D204A7" w:rsidRDefault="001328E7" w:rsidP="00DD1E38">
      <w:pPr>
        <w:spacing w:after="120" w:line="276" w:lineRule="auto"/>
        <w:ind w:firstLine="708"/>
        <w:jc w:val="both"/>
        <w:rPr>
          <w:rFonts w:ascii="Verdana" w:hAnsi="Verdana" w:cs="Arial"/>
        </w:rPr>
      </w:pPr>
      <w:r w:rsidRPr="00D204A7">
        <w:rPr>
          <w:rFonts w:ascii="Verdana" w:eastAsia="Calibri" w:hAnsi="Verdana" w:cs="Arial"/>
          <w:lang w:val="es-ES_tradnl"/>
        </w:rPr>
        <w:t>Ahora bien, en</w:t>
      </w:r>
      <w:r w:rsidR="00361182">
        <w:rPr>
          <w:rFonts w:ascii="Verdana" w:eastAsia="Calibri" w:hAnsi="Verdana" w:cs="Arial"/>
          <w:lang w:val="es-ES_tradnl"/>
        </w:rPr>
        <w:t xml:space="preserve"> lo</w:t>
      </w:r>
      <w:r w:rsidRPr="00D204A7">
        <w:rPr>
          <w:rFonts w:ascii="Verdana" w:eastAsia="Calibri" w:hAnsi="Verdana" w:cs="Arial"/>
          <w:lang w:val="es-ES_tradnl"/>
        </w:rPr>
        <w:t xml:space="preserve"> referente a la posibilidad que tienen las entidades de modificar las estipulaciones del contrato estatal, e</w:t>
      </w:r>
      <w:r w:rsidRPr="00D204A7">
        <w:rPr>
          <w:rFonts w:ascii="Verdana" w:hAnsi="Verdana" w:cs="Arial"/>
        </w:rPr>
        <w:t xml:space="preserve">l Estatuto General de Contratación de la Administración Pública, contenido en las Leyes 80 de 1993 y 1150 de 2007, así como en las normas que las han modificado y las reglamentan, no consagran una regulación expresa sobre la posibilidad de modificar los contratos </w:t>
      </w:r>
      <w:r w:rsidRPr="00DD1E38">
        <w:rPr>
          <w:rFonts w:ascii="Verdana" w:eastAsia="Times New Roman" w:hAnsi="Verdana" w:cs="Arial"/>
          <w:lang w:eastAsia="es-MX"/>
        </w:rPr>
        <w:t>celebrados</w:t>
      </w:r>
      <w:r w:rsidRPr="00D204A7">
        <w:rPr>
          <w:rFonts w:ascii="Verdana" w:hAnsi="Verdana" w:cs="Arial"/>
        </w:rPr>
        <w:t xml:space="preserve"> por las Entidades Estatales. </w:t>
      </w:r>
    </w:p>
    <w:p w14:paraId="069DF84C" w14:textId="77777777" w:rsidR="001328E7" w:rsidRPr="00D204A7" w:rsidRDefault="001328E7" w:rsidP="001328E7">
      <w:pPr>
        <w:tabs>
          <w:tab w:val="left" w:pos="284"/>
        </w:tabs>
        <w:spacing w:line="276" w:lineRule="auto"/>
        <w:jc w:val="both"/>
        <w:rPr>
          <w:rFonts w:ascii="Verdana" w:hAnsi="Verdana" w:cs="Arial"/>
        </w:rPr>
      </w:pPr>
      <w:r w:rsidRPr="00D204A7">
        <w:rPr>
          <w:rFonts w:ascii="Verdana" w:hAnsi="Verdana" w:cs="Arial"/>
        </w:rPr>
        <w:tab/>
      </w:r>
      <w:r w:rsidRPr="00D204A7">
        <w:rPr>
          <w:rFonts w:ascii="Verdana" w:hAnsi="Verdana" w:cs="Arial"/>
        </w:rPr>
        <w:tab/>
        <w:t xml:space="preserve">Ello encuentra sustento en que, en principio, los contratos deben ejecutarse en las condiciones pactadas inicialmente, pues tales condiciones fueron convenidas luego de que la Entidad Estatal surtiera todos los procedimientos previstos para la selección de su contratista y definiera los aspectos, técnicos, legales y financieros propios de cada caso, con observancia de los principios de transparencia, economía y responsabilidad, así como de todos los demás principios de la función administrativa, aplicables al proceso de gestión contractual. La regulación expresa contenida en la Ley se limita a fijar los porcentajes límite para adicionar los valores inicialmente pactados, como lo hace </w:t>
      </w:r>
      <w:bookmarkStart w:id="5" w:name="_Hlk177479743"/>
      <w:r w:rsidRPr="00D204A7">
        <w:rPr>
          <w:rFonts w:ascii="Verdana" w:hAnsi="Verdana" w:cs="Arial"/>
        </w:rPr>
        <w:t xml:space="preserve">el </w:t>
      </w:r>
      <w:bookmarkStart w:id="6" w:name="_Hlk177504838"/>
      <w:r w:rsidRPr="00D204A7">
        <w:rPr>
          <w:rFonts w:ascii="Verdana" w:hAnsi="Verdana" w:cs="Arial"/>
        </w:rPr>
        <w:t>artículo 40 de la Ley 80 de 1993</w:t>
      </w:r>
      <w:bookmarkEnd w:id="5"/>
      <w:bookmarkEnd w:id="6"/>
      <w:r w:rsidRPr="00D204A7">
        <w:rPr>
          <w:rFonts w:ascii="Arial" w:eastAsia="Arial" w:hAnsi="Arial" w:cs="Arial"/>
          <w:vertAlign w:val="superscript"/>
          <w:lang w:val="es-MX" w:eastAsia="es-ES" w:bidi="es-ES"/>
        </w:rPr>
        <w:footnoteReference w:id="7"/>
      </w:r>
      <w:r w:rsidRPr="00D204A7">
        <w:rPr>
          <w:rFonts w:ascii="Verdana" w:hAnsi="Verdana" w:cs="Arial"/>
        </w:rPr>
        <w:t xml:space="preserve">.  </w:t>
      </w:r>
    </w:p>
    <w:p w14:paraId="754B214C" w14:textId="77777777" w:rsidR="001328E7" w:rsidRPr="00D204A7" w:rsidRDefault="001328E7" w:rsidP="001328E7">
      <w:pPr>
        <w:tabs>
          <w:tab w:val="left" w:pos="284"/>
        </w:tabs>
        <w:spacing w:after="0" w:line="276" w:lineRule="auto"/>
        <w:jc w:val="both"/>
        <w:rPr>
          <w:rFonts w:ascii="Verdana" w:hAnsi="Verdana" w:cs="Arial"/>
        </w:rPr>
      </w:pPr>
      <w:r w:rsidRPr="00D204A7">
        <w:rPr>
          <w:rFonts w:ascii="Verdana" w:hAnsi="Verdana" w:cs="Arial"/>
        </w:rPr>
        <w:tab/>
      </w:r>
      <w:r w:rsidRPr="00D204A7">
        <w:rPr>
          <w:rFonts w:ascii="Verdana" w:hAnsi="Verdana" w:cs="Arial"/>
        </w:rPr>
        <w:tab/>
        <w:t xml:space="preserve">Ahora bien, no existe ninguna restricción expresa para modificar los contratos estatales y los mismos principios antes referidos puede poner en evidencia la necesidad de suscribir documentos de modificación en los cuales se cambie parte de las estipulaciones pactadas en un comienzo. En el contexto antes descrito, la jurisprudencia ha fijado pautas generales conforme a las cuales la Administración Pública debe evaluar, teniendo cuenta las particularidades de </w:t>
      </w:r>
      <w:r w:rsidRPr="00D204A7">
        <w:rPr>
          <w:rFonts w:ascii="Verdana" w:hAnsi="Verdana" w:cs="Arial"/>
        </w:rPr>
        <w:lastRenderedPageBreak/>
        <w:t xml:space="preserve">cada caso, si resulta procedente suscribir documentos de modificación a los contratos que ha celebrado. Así, por ejemplo, la Corte Constitucional, mediante </w:t>
      </w:r>
      <w:bookmarkStart w:id="7" w:name="_Hlk177479766"/>
      <w:r w:rsidRPr="00D204A7">
        <w:rPr>
          <w:rFonts w:ascii="Verdana" w:hAnsi="Verdana" w:cs="Arial"/>
        </w:rPr>
        <w:t>sentencia C - 416 de 2012</w:t>
      </w:r>
      <w:bookmarkEnd w:id="7"/>
      <w:r w:rsidRPr="00D204A7">
        <w:rPr>
          <w:rStyle w:val="Refdenotaalpie"/>
          <w:rFonts w:ascii="Arial" w:eastAsia="Arial" w:hAnsi="Arial" w:cs="Arial"/>
          <w:lang w:val="es-ES" w:eastAsia="es-ES" w:bidi="es-ES"/>
        </w:rPr>
        <w:footnoteReference w:id="8"/>
      </w:r>
      <w:r w:rsidRPr="00D204A7">
        <w:rPr>
          <w:rFonts w:ascii="Verdana" w:hAnsi="Verdana" w:cs="Arial"/>
        </w:rPr>
        <w:t>, expresó lo siguiente sobre la posibilidad de modificar los contratos estatales:</w:t>
      </w:r>
    </w:p>
    <w:p w14:paraId="5E494875" w14:textId="77777777" w:rsidR="001328E7" w:rsidRPr="00D204A7" w:rsidRDefault="001328E7" w:rsidP="001328E7">
      <w:pPr>
        <w:tabs>
          <w:tab w:val="left" w:pos="284"/>
        </w:tabs>
        <w:spacing w:after="0" w:line="276" w:lineRule="auto"/>
        <w:jc w:val="both"/>
        <w:rPr>
          <w:rFonts w:ascii="Verdana" w:hAnsi="Verdana" w:cs="Arial"/>
        </w:rPr>
      </w:pPr>
    </w:p>
    <w:p w14:paraId="3C6DA76A" w14:textId="77777777" w:rsidR="001328E7" w:rsidRPr="00D204A7" w:rsidRDefault="001328E7" w:rsidP="001328E7">
      <w:pPr>
        <w:tabs>
          <w:tab w:val="left" w:pos="284"/>
        </w:tabs>
        <w:spacing w:after="0" w:line="240" w:lineRule="auto"/>
        <w:ind w:left="1049" w:right="709"/>
        <w:jc w:val="both"/>
        <w:rPr>
          <w:rFonts w:ascii="Verdana" w:hAnsi="Verdana" w:cs="Arial"/>
          <w:sz w:val="21"/>
          <w:szCs w:val="21"/>
          <w:lang w:val="es-ES"/>
        </w:rPr>
      </w:pPr>
      <w:r w:rsidRPr="00D204A7">
        <w:rPr>
          <w:rFonts w:ascii="Verdana" w:hAnsi="Verdana" w:cs="Arial"/>
          <w:sz w:val="21"/>
          <w:szCs w:val="21"/>
        </w:rPr>
        <w:t>“Por regla general, los contratos estatales pueden ser modificados cuando sea necesario para lograr su finalidad y en aras de la realización de los fines del Estado, a los cuales sirve el contrato</w:t>
      </w:r>
      <w:r w:rsidRPr="00D204A7">
        <w:rPr>
          <w:rFonts w:ascii="Arial" w:eastAsia="Arial" w:hAnsi="Arial" w:cs="Arial"/>
          <w:sz w:val="20"/>
          <w:szCs w:val="20"/>
          <w:vertAlign w:val="superscript"/>
          <w:lang w:val="es-ES" w:eastAsia="es-ES" w:bidi="es-ES"/>
        </w:rPr>
        <w:footnoteReference w:id="9"/>
      </w:r>
      <w:r w:rsidRPr="00D204A7">
        <w:rPr>
          <w:rFonts w:ascii="Verdana" w:hAnsi="Verdana" w:cs="Arial"/>
          <w:sz w:val="21"/>
          <w:szCs w:val="21"/>
        </w:rPr>
        <w:t>. Así lo prevén por ejemplo los artículos 14 y 16 de la ley 80, los cuales facultan a las entidades contratantes a modificar los contratos de común acuerdo o de forma unilateral, para “[…] evitar la paralización o la afectación grave de los servicios públicos a su cargo y asegurar la inmediata, continua y adecuada prestación”, entre otros. En el mismo sentido, en la sentencia C-949 de 2001</w:t>
      </w:r>
      <w:r w:rsidRPr="00D204A7">
        <w:rPr>
          <w:rFonts w:ascii="Arial" w:eastAsia="Arial" w:hAnsi="Arial" w:cs="Arial"/>
          <w:sz w:val="20"/>
          <w:szCs w:val="20"/>
          <w:vertAlign w:val="superscript"/>
          <w:lang w:val="es-ES" w:eastAsia="es-ES" w:bidi="es-ES"/>
        </w:rPr>
        <w:footnoteReference w:id="10"/>
      </w:r>
      <w:r w:rsidRPr="00D204A7">
        <w:rPr>
          <w:rFonts w:ascii="Verdana" w:hAnsi="Verdana" w:cs="Arial"/>
          <w:sz w:val="21"/>
          <w:szCs w:val="21"/>
        </w:rPr>
        <w:t>, la Corte Constitucional señaló que las prórrogas de los contratos –como especie de modificación- pueden ser un instrumento útil para lograr los fines propios de la contratación estatal</w:t>
      </w:r>
      <w:r w:rsidRPr="00D204A7">
        <w:rPr>
          <w:rFonts w:ascii="Arial" w:eastAsia="Arial" w:hAnsi="Arial" w:cs="Arial"/>
          <w:sz w:val="20"/>
          <w:szCs w:val="20"/>
          <w:vertAlign w:val="superscript"/>
          <w:lang w:val="es-ES" w:eastAsia="es-ES" w:bidi="es-ES"/>
        </w:rPr>
        <w:footnoteReference w:id="11"/>
      </w:r>
      <w:r w:rsidRPr="00D204A7">
        <w:rPr>
          <w:rFonts w:ascii="Verdana" w:hAnsi="Verdana" w:cs="Arial"/>
          <w:sz w:val="21"/>
          <w:szCs w:val="21"/>
          <w:lang w:val="es-ES"/>
        </w:rPr>
        <w:t>.</w:t>
      </w:r>
    </w:p>
    <w:p w14:paraId="55BC7176" w14:textId="77777777" w:rsidR="001328E7" w:rsidRPr="00D204A7" w:rsidRDefault="001328E7" w:rsidP="001328E7">
      <w:pPr>
        <w:tabs>
          <w:tab w:val="left" w:pos="284"/>
        </w:tabs>
        <w:spacing w:after="0" w:line="240" w:lineRule="auto"/>
        <w:ind w:left="1049" w:right="709"/>
        <w:jc w:val="both"/>
        <w:rPr>
          <w:rFonts w:ascii="Verdana" w:hAnsi="Verdana" w:cs="Arial"/>
          <w:sz w:val="21"/>
          <w:szCs w:val="21"/>
          <w:lang w:val="es-ES"/>
        </w:rPr>
      </w:pPr>
    </w:p>
    <w:p w14:paraId="3959A18C" w14:textId="77777777" w:rsidR="001328E7" w:rsidRPr="00D204A7" w:rsidRDefault="001328E7" w:rsidP="001328E7">
      <w:pPr>
        <w:tabs>
          <w:tab w:val="left" w:pos="284"/>
        </w:tabs>
        <w:spacing w:after="0" w:line="240" w:lineRule="auto"/>
        <w:ind w:left="1049" w:right="709"/>
        <w:jc w:val="both"/>
        <w:rPr>
          <w:rFonts w:ascii="Verdana" w:hAnsi="Verdana" w:cs="Arial"/>
          <w:sz w:val="21"/>
          <w:szCs w:val="21"/>
        </w:rPr>
      </w:pPr>
      <w:r w:rsidRPr="00D204A7">
        <w:rPr>
          <w:rFonts w:ascii="Verdana" w:hAnsi="Verdana" w:cs="Arial"/>
          <w:sz w:val="21"/>
          <w:szCs w:val="21"/>
        </w:rPr>
        <w:t xml:space="preserve">[…] </w:t>
      </w:r>
    </w:p>
    <w:p w14:paraId="3E973DFE" w14:textId="77777777" w:rsidR="001328E7" w:rsidRPr="00D204A7" w:rsidRDefault="001328E7" w:rsidP="001328E7">
      <w:pPr>
        <w:tabs>
          <w:tab w:val="left" w:pos="284"/>
        </w:tabs>
        <w:spacing w:after="0" w:line="240" w:lineRule="auto"/>
        <w:ind w:left="1049" w:right="709"/>
        <w:jc w:val="both"/>
        <w:rPr>
          <w:rFonts w:ascii="Verdana" w:hAnsi="Verdana" w:cs="Arial"/>
          <w:sz w:val="21"/>
          <w:szCs w:val="21"/>
        </w:rPr>
      </w:pPr>
    </w:p>
    <w:p w14:paraId="4B3213B6" w14:textId="77777777" w:rsidR="001328E7" w:rsidRPr="00D204A7" w:rsidRDefault="001328E7" w:rsidP="001328E7">
      <w:pPr>
        <w:tabs>
          <w:tab w:val="left" w:pos="284"/>
        </w:tabs>
        <w:spacing w:after="0" w:line="240" w:lineRule="auto"/>
        <w:ind w:left="1049" w:right="709"/>
        <w:jc w:val="both"/>
        <w:rPr>
          <w:rFonts w:ascii="Verdana" w:hAnsi="Verdana" w:cs="Arial"/>
          <w:sz w:val="21"/>
          <w:szCs w:val="21"/>
        </w:rPr>
      </w:pPr>
      <w:r w:rsidRPr="00D204A7">
        <w:rPr>
          <w:rFonts w:ascii="Verdana" w:hAnsi="Verdana" w:cs="Arial"/>
          <w:sz w:val="21"/>
          <w:szCs w:val="21"/>
        </w:rPr>
        <w:t>La modificación de los contratos estatales es especialmente importante en aquellos por naturaleza incompletos, es decir, (i) los afectados por asimetrías de información que impiden la previsión de todas las contingencias que pueden afectar su ejecución, y (</w:t>
      </w:r>
      <w:proofErr w:type="spellStart"/>
      <w:r w:rsidRPr="00D204A7">
        <w:rPr>
          <w:rFonts w:ascii="Verdana" w:hAnsi="Verdana" w:cs="Arial"/>
          <w:sz w:val="21"/>
          <w:szCs w:val="21"/>
        </w:rPr>
        <w:t>ii</w:t>
      </w:r>
      <w:proofErr w:type="spellEnd"/>
      <w:r w:rsidRPr="00D204A7">
        <w:rPr>
          <w:rFonts w:ascii="Verdana" w:hAnsi="Verdana" w:cs="Arial"/>
          <w:sz w:val="21"/>
          <w:szCs w:val="21"/>
        </w:rPr>
        <w:t xml:space="preserve">) en el marco de los cuales, por esa misma razón, es difícil prever ex ante los remedios necesarios para afrontar tales contingencias, como ocurre por lo general con los contratos de largo plazo. En efecto, con el paso del tiempo, pueden surgir nuevas exigencias sociales, tecnológicas, culturales, etc. sobre la forma cómo el Estado debe cumplir sus fines y sobre cómo se deben prestar los servicios públicos, o simplemente pueden aparecer circunstancias extraordinarias e imprevisibles al momento del diseño del negocio, para que las que tampoco era posible, en dicho momento, prever un remedio adecuado y específico. En este tipo de contratos es preciso entonces el diseño de reglas que permitan la adaptación y la resolución pacífica de las controversias para evitar el fracaso. </w:t>
      </w:r>
    </w:p>
    <w:p w14:paraId="5B2B102C" w14:textId="77777777" w:rsidR="001328E7" w:rsidRPr="00D204A7" w:rsidRDefault="001328E7" w:rsidP="001328E7">
      <w:pPr>
        <w:tabs>
          <w:tab w:val="left" w:pos="284"/>
        </w:tabs>
        <w:spacing w:after="0" w:line="240" w:lineRule="auto"/>
        <w:ind w:left="1049" w:right="709"/>
        <w:jc w:val="both"/>
        <w:rPr>
          <w:rFonts w:ascii="Verdana" w:hAnsi="Verdana" w:cs="Arial"/>
          <w:sz w:val="21"/>
          <w:szCs w:val="21"/>
        </w:rPr>
      </w:pPr>
    </w:p>
    <w:p w14:paraId="1E1846C5" w14:textId="77777777" w:rsidR="001328E7" w:rsidRPr="00D204A7" w:rsidRDefault="001328E7" w:rsidP="001328E7">
      <w:pPr>
        <w:tabs>
          <w:tab w:val="left" w:pos="284"/>
        </w:tabs>
        <w:spacing w:after="0" w:line="240" w:lineRule="auto"/>
        <w:ind w:left="1049" w:right="709"/>
        <w:jc w:val="both"/>
        <w:rPr>
          <w:rFonts w:ascii="Verdana" w:hAnsi="Verdana" w:cs="Arial"/>
          <w:sz w:val="21"/>
          <w:szCs w:val="21"/>
        </w:rPr>
      </w:pPr>
      <w:r w:rsidRPr="00D204A7">
        <w:rPr>
          <w:rFonts w:ascii="Verdana" w:hAnsi="Verdana" w:cs="Arial"/>
          <w:sz w:val="21"/>
          <w:szCs w:val="21"/>
        </w:rPr>
        <w:lastRenderedPageBreak/>
        <w:t>Ahora bien, el que la mutabilidad de los contratos estatales sea posible no significa que pueda llevarse a cabo por la mera voluntad de las partes o de la entidad contratante; por el contrario, la modificación del contrato debe ser excepcional en virtud de los principios de planeación y seguridad jurídica. Por ello la Corte concuerda con la Sala de Consulta y Servicio Civil en que la modificación debe obedecer a una causa real y cierta autorizada en la ley, sustentada y probada, y acorde con los fines estatales a los que sirve la contratación estatal”.</w:t>
      </w:r>
    </w:p>
    <w:p w14:paraId="245FC4CA" w14:textId="77777777" w:rsidR="001328E7" w:rsidRPr="00D204A7" w:rsidRDefault="001328E7" w:rsidP="001328E7">
      <w:pPr>
        <w:tabs>
          <w:tab w:val="left" w:pos="284"/>
        </w:tabs>
        <w:spacing w:after="0" w:line="240" w:lineRule="auto"/>
        <w:ind w:left="1049" w:right="709"/>
        <w:jc w:val="both"/>
        <w:rPr>
          <w:rFonts w:ascii="Verdana" w:eastAsia="Arial MT" w:hAnsi="Verdana" w:cs="Arial"/>
        </w:rPr>
      </w:pPr>
    </w:p>
    <w:p w14:paraId="3EDBCDBA" w14:textId="10B4AA0C" w:rsidR="001328E7" w:rsidRPr="00D204A7" w:rsidRDefault="001328E7" w:rsidP="001328E7">
      <w:pPr>
        <w:widowControl w:val="0"/>
        <w:autoSpaceDE w:val="0"/>
        <w:autoSpaceDN w:val="0"/>
        <w:spacing w:after="120" w:line="276" w:lineRule="auto"/>
        <w:ind w:right="-2" w:firstLine="709"/>
        <w:jc w:val="both"/>
        <w:rPr>
          <w:rFonts w:ascii="Verdana" w:eastAsia="Arial" w:hAnsi="Verdana" w:cs="Arial"/>
          <w:lang w:val="es-ES" w:eastAsia="es-ES" w:bidi="es-ES"/>
        </w:rPr>
      </w:pPr>
      <w:r w:rsidRPr="00D204A7">
        <w:rPr>
          <w:rFonts w:ascii="Verdana" w:eastAsia="Arial" w:hAnsi="Verdana" w:cs="Arial"/>
          <w:lang w:val="es-ES" w:eastAsia="es-ES" w:bidi="es-ES"/>
        </w:rPr>
        <w:t xml:space="preserve">Es claro, entonces, que conforme a la regulación legal y a la interpretación es viable jurídicamente modificar los contratos estatales, pero esta medida tienen carácter excepcional y solo procede cuando con ella se pretenda garantizar el interés público, cuando la entidad haya verificado y así pueda constatarse por cualquier que la causa de la modificación es real y cierta, y cuando se deriva de previsiones legales, esto es, cuando la modificación encuentra sustento no solo en circunstancias fácticas propias de la ejecución del contrato, sino, además, cuando tales situaciones ponen de presente la necesidad de dar cumplimiento a previsiones establecidas por el legislador. </w:t>
      </w:r>
    </w:p>
    <w:p w14:paraId="11702AEB" w14:textId="77777777" w:rsidR="001328E7" w:rsidRPr="00D204A7" w:rsidRDefault="001328E7" w:rsidP="001328E7">
      <w:pPr>
        <w:widowControl w:val="0"/>
        <w:autoSpaceDE w:val="0"/>
        <w:autoSpaceDN w:val="0"/>
        <w:spacing w:after="120" w:line="276" w:lineRule="auto"/>
        <w:ind w:right="-2" w:firstLine="709"/>
        <w:jc w:val="both"/>
        <w:rPr>
          <w:rFonts w:ascii="Verdana" w:eastAsia="Arial" w:hAnsi="Verdana" w:cs="Arial"/>
          <w:color w:val="000000" w:themeColor="text1"/>
          <w:lang w:val="es-ES" w:eastAsia="es-ES" w:bidi="es-ES"/>
        </w:rPr>
      </w:pPr>
      <w:r w:rsidRPr="00D204A7">
        <w:rPr>
          <w:rFonts w:ascii="Verdana" w:eastAsia="Arial" w:hAnsi="Verdana" w:cs="Arial"/>
          <w:lang w:val="es-ES" w:eastAsia="es-ES" w:bidi="es-ES"/>
        </w:rPr>
        <w:t xml:space="preserve">Así las cosas, para establecer si un contrato determinado puede ser susceptible de modificación, se hace necesario que la Administración analice, en cada caso, la concurrencia de los aspectos antes referidos. </w:t>
      </w:r>
      <w:r w:rsidRPr="00D204A7">
        <w:rPr>
          <w:rFonts w:ascii="Verdana" w:eastAsia="Arial" w:hAnsi="Verdana" w:cs="Arial"/>
          <w:color w:val="000000" w:themeColor="text1"/>
          <w:lang w:val="es-ES" w:eastAsia="es-ES" w:bidi="es-ES"/>
        </w:rPr>
        <w:t>Además de lo anterior, las modificaciones no podrían suponer la variación del objeto de un contrato, pues ello supondría la alteración de su esencia y lo convertiría en otro tipo de negocio jurídico. Si se presentara esta situación lo indicado no sería modificar el contrato sino celebrar uno nuevo.</w:t>
      </w:r>
      <w:bookmarkStart w:id="8" w:name="_ftnref22"/>
      <w:r w:rsidRPr="00D204A7">
        <w:rPr>
          <w:rFonts w:ascii="Verdana" w:eastAsia="Arial" w:hAnsi="Verdana" w:cs="Arial"/>
          <w:color w:val="000000" w:themeColor="text1"/>
          <w:lang w:val="es-ES" w:eastAsia="es-ES" w:bidi="es-ES"/>
        </w:rPr>
        <w:t xml:space="preserve"> </w:t>
      </w:r>
    </w:p>
    <w:bookmarkEnd w:id="8"/>
    <w:p w14:paraId="037BEB61" w14:textId="77777777" w:rsidR="001328E7" w:rsidRPr="00D204A7" w:rsidRDefault="001328E7" w:rsidP="001328E7">
      <w:pPr>
        <w:widowControl w:val="0"/>
        <w:autoSpaceDE w:val="0"/>
        <w:autoSpaceDN w:val="0"/>
        <w:spacing w:after="120" w:line="276" w:lineRule="auto"/>
        <w:ind w:firstLine="709"/>
        <w:jc w:val="both"/>
        <w:rPr>
          <w:rFonts w:ascii="Verdana" w:eastAsia="Arial" w:hAnsi="Verdana" w:cs="Arial"/>
          <w:color w:val="000000" w:themeColor="text1"/>
          <w:lang w:val="es-ES" w:eastAsia="es-ES" w:bidi="es-ES"/>
        </w:rPr>
      </w:pPr>
      <w:r w:rsidRPr="00D204A7">
        <w:rPr>
          <w:rFonts w:ascii="Verdana" w:eastAsia="Arial" w:hAnsi="Verdana" w:cs="Arial"/>
          <w:color w:val="000000" w:themeColor="text1"/>
          <w:lang w:val="es-ES" w:eastAsia="es-ES" w:bidi="es-ES"/>
        </w:rPr>
        <w:t xml:space="preserve">En todo caso, corresponderá a cada Entidad Estatal realizar el análisis respecto a la precedencia de modificar determinado contrato estatal, en el entendido que se respeten las reglas establecidas en el ordenamiento jurídico, de acuerdo con lo expuesto anteriormente, además de definir previamente su procedencia desde la perspectiva jurídica, técnica y financiera. </w:t>
      </w:r>
    </w:p>
    <w:p w14:paraId="44019485" w14:textId="77777777" w:rsidR="001328E7" w:rsidRPr="00D204A7" w:rsidRDefault="001328E7" w:rsidP="001328E7">
      <w:pPr>
        <w:widowControl w:val="0"/>
        <w:autoSpaceDE w:val="0"/>
        <w:autoSpaceDN w:val="0"/>
        <w:spacing w:after="120" w:line="276" w:lineRule="auto"/>
        <w:ind w:firstLine="709"/>
        <w:jc w:val="both"/>
        <w:rPr>
          <w:rFonts w:ascii="Verdana" w:eastAsia="Arial" w:hAnsi="Verdana" w:cs="Arial"/>
          <w:color w:val="000000" w:themeColor="text1"/>
          <w:lang w:eastAsia="es-ES" w:bidi="es-ES"/>
        </w:rPr>
      </w:pPr>
      <w:r w:rsidRPr="00D204A7">
        <w:rPr>
          <w:rFonts w:ascii="Verdana" w:eastAsia="Arial" w:hAnsi="Verdana" w:cs="Arial"/>
          <w:color w:val="000000" w:themeColor="text1"/>
          <w:lang w:val="es-ES" w:eastAsia="es-ES" w:bidi="es-ES"/>
        </w:rPr>
        <w:t xml:space="preserve">Ahora bien, frente a la forma de cómo se debe adelantar una modificación de un contrato estatal, la norma no contempló un procedimiento al respecto sino que se debe acudir al Manual de contratación de la entidad estatal; no obstante, es más que claro que </w:t>
      </w:r>
      <w:r w:rsidRPr="00D204A7">
        <w:rPr>
          <w:rFonts w:ascii="Verdana" w:eastAsia="Arial" w:hAnsi="Verdana" w:cs="Arial"/>
          <w:color w:val="000000" w:themeColor="text1"/>
          <w:lang w:eastAsia="es-ES" w:bidi="es-ES"/>
        </w:rPr>
        <w:t xml:space="preserve">en esencia, los contratos estatales, por regla general, son contratos solemnes, lo cual a la luz del </w:t>
      </w:r>
      <w:bookmarkStart w:id="9" w:name="_Hlk177479807"/>
      <w:r w:rsidRPr="00D204A7">
        <w:rPr>
          <w:rFonts w:ascii="Verdana" w:eastAsia="Arial" w:hAnsi="Verdana" w:cs="Arial"/>
          <w:color w:val="000000" w:themeColor="text1"/>
          <w:lang w:eastAsia="es-ES" w:bidi="es-ES"/>
        </w:rPr>
        <w:t xml:space="preserve">artículo 1500 Código Civil </w:t>
      </w:r>
      <w:bookmarkEnd w:id="9"/>
      <w:r w:rsidRPr="00D204A7">
        <w:rPr>
          <w:rFonts w:ascii="Verdana" w:eastAsia="Arial" w:hAnsi="Verdana" w:cs="Arial"/>
          <w:color w:val="000000" w:themeColor="text1"/>
          <w:lang w:eastAsia="es-ES" w:bidi="es-ES"/>
        </w:rPr>
        <w:t xml:space="preserve">significa que están sujetos a la observancia de ciertas formalidades especiales, de manera </w:t>
      </w:r>
      <w:r w:rsidRPr="00D204A7">
        <w:rPr>
          <w:rFonts w:ascii="Verdana" w:eastAsia="Arial" w:hAnsi="Verdana" w:cs="Arial"/>
          <w:color w:val="000000" w:themeColor="text1"/>
          <w:lang w:eastAsia="es-ES" w:bidi="es-ES"/>
        </w:rPr>
        <w:lastRenderedPageBreak/>
        <w:t>que sin ellas no producen ningún efecto</w:t>
      </w:r>
      <w:r w:rsidRPr="00D204A7">
        <w:rPr>
          <w:rStyle w:val="Refdenotaalpie"/>
          <w:rFonts w:ascii="Verdana" w:eastAsia="Arial" w:hAnsi="Verdana" w:cs="Arial"/>
          <w:color w:val="000000" w:themeColor="text1"/>
          <w:lang w:val="es-ES" w:eastAsia="es-ES" w:bidi="es-ES"/>
        </w:rPr>
        <w:footnoteReference w:id="12"/>
      </w:r>
      <w:r w:rsidRPr="00D204A7">
        <w:rPr>
          <w:rFonts w:ascii="Verdana" w:eastAsia="Arial" w:hAnsi="Verdana" w:cs="Arial"/>
          <w:color w:val="000000" w:themeColor="text1"/>
          <w:lang w:eastAsia="es-ES" w:bidi="es-ES"/>
        </w:rPr>
        <w:t xml:space="preserve">, de tal manera que la modificación del mismo debe revestir dicha solemnidad. </w:t>
      </w:r>
    </w:p>
    <w:p w14:paraId="0BAB9992" w14:textId="77777777" w:rsidR="001328E7" w:rsidRPr="009731F5" w:rsidRDefault="001328E7" w:rsidP="001328E7">
      <w:pPr>
        <w:spacing w:after="120" w:line="276" w:lineRule="auto"/>
        <w:ind w:firstLine="708"/>
        <w:jc w:val="both"/>
        <w:rPr>
          <w:rFonts w:ascii="Verdana" w:eastAsia="Arial MT" w:hAnsi="Verdana" w:cs="Arial"/>
          <w:lang w:eastAsia="es-ES" w:bidi="es-ES"/>
        </w:rPr>
      </w:pPr>
      <w:r w:rsidRPr="00D204A7">
        <w:rPr>
          <w:rFonts w:ascii="Verdana" w:eastAsia="Arial" w:hAnsi="Verdana" w:cs="Arial"/>
          <w:color w:val="000000" w:themeColor="text1"/>
          <w:lang w:eastAsia="es-ES" w:bidi="es-ES"/>
        </w:rPr>
        <w:t xml:space="preserve">En ese sentido, dando cumplimiento a la solemnidad del acto, la norma señala de forma expresa la obligatoriedad de cumplir con el principio de publicidad que rigen las actuaciones administrativas, de tal manera que, </w:t>
      </w:r>
      <w:r w:rsidRPr="00D204A7">
        <w:rPr>
          <w:rFonts w:ascii="Verdana" w:eastAsia="Arial MT" w:hAnsi="Verdana" w:cs="Arial"/>
          <w:lang w:eastAsia="es-ES" w:bidi="es-ES"/>
        </w:rPr>
        <w:t xml:space="preserve">la modificación del contrato no es ajena a este, por lo cual deberá darse cumplimiento a la aplicación del </w:t>
      </w:r>
      <w:bookmarkStart w:id="10" w:name="_Hlk177479826"/>
      <w:r w:rsidRPr="00D204A7">
        <w:rPr>
          <w:rFonts w:ascii="Verdana" w:eastAsia="Arial MT" w:hAnsi="Verdana" w:cs="Arial"/>
          <w:lang w:eastAsia="es-ES" w:bidi="es-ES"/>
        </w:rPr>
        <w:t xml:space="preserve">literal c) del artículo 3 de la Ley 1150 de 2007 </w:t>
      </w:r>
      <w:bookmarkEnd w:id="10"/>
      <w:r w:rsidRPr="00D204A7">
        <w:rPr>
          <w:rStyle w:val="Refdenotaalpie"/>
          <w:rFonts w:ascii="Verdana" w:eastAsia="Arial MT" w:hAnsi="Verdana" w:cs="Arial"/>
          <w:lang w:eastAsia="es-ES" w:bidi="es-ES"/>
        </w:rPr>
        <w:footnoteReference w:id="13"/>
      </w:r>
      <w:r w:rsidRPr="00D204A7">
        <w:rPr>
          <w:rFonts w:ascii="Verdana" w:eastAsia="Arial MT" w:hAnsi="Verdana" w:cs="Arial"/>
          <w:lang w:eastAsia="es-ES" w:bidi="es-ES"/>
        </w:rPr>
        <w:t xml:space="preserve"> y del </w:t>
      </w:r>
      <w:bookmarkStart w:id="11" w:name="_Hlk177479841"/>
      <w:r w:rsidRPr="00D204A7">
        <w:rPr>
          <w:rFonts w:ascii="Verdana" w:eastAsia="Arial MT" w:hAnsi="Verdana" w:cs="Arial"/>
          <w:lang w:eastAsia="es-ES" w:bidi="es-ES"/>
        </w:rPr>
        <w:t xml:space="preserve">artículo 2.2.1.1.1.7. </w:t>
      </w:r>
      <w:r w:rsidRPr="00D204A7">
        <w:rPr>
          <w:rStyle w:val="Refdenotaalpie"/>
          <w:rFonts w:ascii="Verdana" w:eastAsia="Arial MT" w:hAnsi="Verdana" w:cs="Arial"/>
          <w:lang w:eastAsia="es-ES" w:bidi="es-ES"/>
        </w:rPr>
        <w:footnoteReference w:id="14"/>
      </w:r>
      <w:r w:rsidRPr="00D204A7">
        <w:rPr>
          <w:rFonts w:ascii="Verdana" w:eastAsia="Arial MT" w:hAnsi="Verdana" w:cs="Arial"/>
          <w:lang w:eastAsia="es-ES" w:bidi="es-ES"/>
        </w:rPr>
        <w:t>del Decreto 1082 del 2015</w:t>
      </w:r>
      <w:bookmarkEnd w:id="11"/>
      <w:r w:rsidRPr="00D204A7">
        <w:rPr>
          <w:rFonts w:ascii="Verdana" w:eastAsia="Arial MT" w:hAnsi="Verdana" w:cs="Arial"/>
          <w:lang w:eastAsia="es-ES" w:bidi="es-ES"/>
        </w:rPr>
        <w:t>, de decir, publicar cualquier documento expedido por la entidad estatal haciendo uso de las plataformas SECOP I o SECOP II, conforme sea el caso que les aplique.</w:t>
      </w:r>
      <w:r>
        <w:rPr>
          <w:rFonts w:ascii="Verdana" w:eastAsia="Calibri" w:hAnsi="Verdana" w:cs="Arial"/>
          <w:color w:val="000000" w:themeColor="text1"/>
        </w:rPr>
        <w:t xml:space="preserve"> </w:t>
      </w:r>
    </w:p>
    <w:p w14:paraId="512F350E" w14:textId="77777777" w:rsidR="001328E7" w:rsidRPr="0050528D" w:rsidRDefault="001328E7" w:rsidP="001328E7">
      <w:pPr>
        <w:tabs>
          <w:tab w:val="left" w:pos="142"/>
          <w:tab w:val="left" w:pos="284"/>
        </w:tabs>
        <w:spacing w:after="0" w:line="276" w:lineRule="auto"/>
        <w:jc w:val="both"/>
        <w:rPr>
          <w:rFonts w:ascii="Verdana" w:eastAsia="Century Gothic" w:hAnsi="Verdana" w:cs="Century Gothic"/>
          <w:b/>
          <w:bCs/>
        </w:rPr>
      </w:pPr>
      <w:r w:rsidRPr="0050528D">
        <w:rPr>
          <w:rFonts w:ascii="Verdana" w:hAnsi="Verdana" w:cs="Arial"/>
          <w:b/>
          <w:bCs/>
          <w:color w:val="000000" w:themeColor="text1"/>
        </w:rPr>
        <w:t xml:space="preserve">4. </w:t>
      </w:r>
      <w:r w:rsidRPr="0050528D">
        <w:rPr>
          <w:rFonts w:ascii="Verdana" w:eastAsia="Century Gothic" w:hAnsi="Verdana" w:cs="Century Gothic"/>
          <w:b/>
          <w:bCs/>
        </w:rPr>
        <w:t>Referencias normativas, jurisprudenciales y otras fuentes:</w:t>
      </w:r>
    </w:p>
    <w:p w14:paraId="1B132AB6" w14:textId="77777777" w:rsidR="001328E7" w:rsidRPr="0007375E" w:rsidRDefault="001328E7" w:rsidP="001328E7">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1328E7" w:rsidRPr="0007375E" w14:paraId="5A845D2D" w14:textId="77777777" w:rsidTr="00A85733">
        <w:trPr>
          <w:trHeight w:val="870"/>
        </w:trPr>
        <w:tc>
          <w:tcPr>
            <w:tcW w:w="8647" w:type="dxa"/>
          </w:tcPr>
          <w:p w14:paraId="413CDEA2" w14:textId="77777777" w:rsidR="00C61DFC" w:rsidRPr="00365431" w:rsidRDefault="00C61DFC" w:rsidP="00C61DFC">
            <w:pPr>
              <w:pStyle w:val="Prrafodelista"/>
              <w:numPr>
                <w:ilvl w:val="0"/>
                <w:numId w:val="17"/>
              </w:numPr>
              <w:spacing w:line="278" w:lineRule="auto"/>
              <w:rPr>
                <w:rFonts w:ascii="Verdana" w:hAnsi="Verdana" w:cs="Arial"/>
              </w:rPr>
            </w:pPr>
            <w:r w:rsidRPr="00365431">
              <w:rPr>
                <w:rFonts w:ascii="Verdana" w:hAnsi="Verdana" w:cs="Arial"/>
              </w:rPr>
              <w:t>Ley 80 de 1993, artículos 13, 32 y 40.</w:t>
            </w:r>
          </w:p>
          <w:p w14:paraId="5735C950" w14:textId="77777777" w:rsidR="00C61DFC" w:rsidRPr="00365431" w:rsidRDefault="00C61DFC" w:rsidP="00C61DFC">
            <w:pPr>
              <w:pStyle w:val="Prrafodelista"/>
              <w:numPr>
                <w:ilvl w:val="0"/>
                <w:numId w:val="17"/>
              </w:numPr>
              <w:spacing w:line="278" w:lineRule="auto"/>
              <w:rPr>
                <w:rFonts w:ascii="Verdana" w:hAnsi="Verdana" w:cs="Arial"/>
              </w:rPr>
            </w:pPr>
            <w:r w:rsidRPr="00365431">
              <w:rPr>
                <w:rFonts w:ascii="Verdana" w:hAnsi="Verdana" w:cs="Arial"/>
              </w:rPr>
              <w:t xml:space="preserve">Ley 1150 de 2007, Artículos 3 Literal c) y 13. </w:t>
            </w:r>
          </w:p>
          <w:p w14:paraId="4578E172" w14:textId="77777777" w:rsidR="00C61DFC" w:rsidRPr="00365431" w:rsidRDefault="00C61DFC" w:rsidP="00C61DFC">
            <w:pPr>
              <w:pStyle w:val="Prrafodelista"/>
              <w:numPr>
                <w:ilvl w:val="0"/>
                <w:numId w:val="17"/>
              </w:numPr>
              <w:spacing w:line="278" w:lineRule="auto"/>
              <w:rPr>
                <w:rFonts w:ascii="Verdana" w:hAnsi="Verdana" w:cs="Arial"/>
              </w:rPr>
            </w:pPr>
            <w:r w:rsidRPr="00365431">
              <w:rPr>
                <w:rFonts w:ascii="Verdana" w:hAnsi="Verdana" w:cs="Arial"/>
              </w:rPr>
              <w:t>Ley 60 de 1993</w:t>
            </w:r>
          </w:p>
          <w:p w14:paraId="496DB505" w14:textId="77777777" w:rsidR="00C61DFC" w:rsidRPr="00365431" w:rsidRDefault="00C61DFC" w:rsidP="00C61DFC">
            <w:pPr>
              <w:pStyle w:val="Prrafodelista"/>
              <w:numPr>
                <w:ilvl w:val="0"/>
                <w:numId w:val="17"/>
              </w:numPr>
              <w:spacing w:line="278" w:lineRule="auto"/>
              <w:rPr>
                <w:rFonts w:ascii="Verdana" w:hAnsi="Verdana" w:cs="Arial"/>
              </w:rPr>
            </w:pPr>
            <w:r w:rsidRPr="00365431">
              <w:rPr>
                <w:rFonts w:ascii="Verdana" w:hAnsi="Verdana" w:cs="Arial"/>
              </w:rPr>
              <w:t>Ley 715 de 2001, Articulo 11 y 13.</w:t>
            </w:r>
          </w:p>
          <w:p w14:paraId="10C65C28" w14:textId="77777777" w:rsidR="00C61DFC" w:rsidRPr="00365431" w:rsidRDefault="00C61DFC" w:rsidP="00C61DFC">
            <w:pPr>
              <w:pStyle w:val="Prrafodelista"/>
              <w:numPr>
                <w:ilvl w:val="0"/>
                <w:numId w:val="17"/>
              </w:numPr>
              <w:spacing w:line="278" w:lineRule="auto"/>
              <w:rPr>
                <w:rFonts w:ascii="Verdana" w:hAnsi="Verdana" w:cs="Arial"/>
              </w:rPr>
            </w:pPr>
            <w:r w:rsidRPr="00365431">
              <w:rPr>
                <w:rFonts w:ascii="Verdana" w:hAnsi="Verdana" w:cs="Arial"/>
              </w:rPr>
              <w:t>Decreto 1082 de 2015, Articulo 2.2.1.1.1.7.</w:t>
            </w:r>
          </w:p>
          <w:p w14:paraId="24CA2E1E" w14:textId="77777777" w:rsidR="00C61DFC" w:rsidRDefault="00C61DFC" w:rsidP="00C61DFC">
            <w:pPr>
              <w:pStyle w:val="Prrafodelista"/>
              <w:numPr>
                <w:ilvl w:val="0"/>
                <w:numId w:val="17"/>
              </w:numPr>
              <w:spacing w:line="278" w:lineRule="auto"/>
              <w:jc w:val="both"/>
              <w:rPr>
                <w:rFonts w:ascii="Verdana" w:hAnsi="Verdana" w:cs="Arial"/>
              </w:rPr>
            </w:pPr>
            <w:r w:rsidRPr="00365431">
              <w:rPr>
                <w:rFonts w:ascii="Verdana" w:hAnsi="Verdana" w:cs="Arial"/>
              </w:rPr>
              <w:t>Decreto 1075 de 2015, Articulo 2.3.1.6.3.17.</w:t>
            </w:r>
          </w:p>
          <w:p w14:paraId="7B580897" w14:textId="77777777" w:rsidR="00C61DFC" w:rsidRDefault="00C61DFC" w:rsidP="00C61DFC">
            <w:pPr>
              <w:pStyle w:val="Prrafodelista"/>
              <w:numPr>
                <w:ilvl w:val="0"/>
                <w:numId w:val="17"/>
              </w:numPr>
              <w:spacing w:line="278" w:lineRule="auto"/>
              <w:jc w:val="both"/>
              <w:rPr>
                <w:rFonts w:ascii="Verdana" w:hAnsi="Verdana" w:cs="Arial"/>
              </w:rPr>
            </w:pPr>
            <w:r w:rsidRPr="00365431">
              <w:rPr>
                <w:rFonts w:ascii="Verdana" w:hAnsi="Verdana" w:cs="Arial"/>
              </w:rPr>
              <w:t xml:space="preserve">Sentencia C-932 de </w:t>
            </w:r>
            <w:smartTag w:uri="urn:schemas-microsoft-com:office:smarttags" w:element="metricconverter">
              <w:smartTagPr>
                <w:attr w:name="ProductID" w:val="2007, M"/>
              </w:smartTagPr>
              <w:r w:rsidRPr="00365431">
                <w:rPr>
                  <w:rFonts w:ascii="Verdana" w:hAnsi="Verdana" w:cs="Arial"/>
                </w:rPr>
                <w:t>2007, M</w:t>
              </w:r>
            </w:smartTag>
            <w:r w:rsidRPr="00365431">
              <w:rPr>
                <w:rFonts w:ascii="Verdana" w:hAnsi="Verdana" w:cs="Arial"/>
              </w:rPr>
              <w:t>.P. Marco Gerardo Monroy Cabra.</w:t>
            </w:r>
          </w:p>
          <w:p w14:paraId="7B4E84EF" w14:textId="77777777" w:rsidR="00C61DFC" w:rsidRPr="00365431" w:rsidRDefault="00C61DFC" w:rsidP="00C61DFC">
            <w:pPr>
              <w:pStyle w:val="Prrafodelista"/>
              <w:numPr>
                <w:ilvl w:val="0"/>
                <w:numId w:val="17"/>
              </w:numPr>
              <w:spacing w:line="278" w:lineRule="auto"/>
              <w:jc w:val="both"/>
              <w:rPr>
                <w:rFonts w:ascii="Verdana" w:hAnsi="Verdana" w:cs="Arial"/>
              </w:rPr>
            </w:pPr>
            <w:r w:rsidRPr="00365431">
              <w:rPr>
                <w:rFonts w:ascii="Verdana" w:hAnsi="Verdana" w:cs="Arial"/>
              </w:rPr>
              <w:t xml:space="preserve">Sentencia C-068 de </w:t>
            </w:r>
            <w:smartTag w:uri="urn:schemas-microsoft-com:office:smarttags" w:element="metricconverter">
              <w:smartTagPr>
                <w:attr w:name="ProductID" w:val="2009, M"/>
              </w:smartTagPr>
              <w:r w:rsidRPr="00365431">
                <w:rPr>
                  <w:rFonts w:ascii="Verdana" w:hAnsi="Verdana" w:cs="Arial"/>
                </w:rPr>
                <w:t>2009, M</w:t>
              </w:r>
            </w:smartTag>
            <w:r w:rsidRPr="00365431">
              <w:rPr>
                <w:rFonts w:ascii="Verdana" w:hAnsi="Verdana" w:cs="Arial"/>
              </w:rPr>
              <w:t>.P. Mauricio González Cuervo.</w:t>
            </w:r>
          </w:p>
          <w:p w14:paraId="0E4EBD3D" w14:textId="77777777" w:rsidR="00C61DFC" w:rsidRPr="00365431" w:rsidRDefault="00C61DFC" w:rsidP="00C61DFC">
            <w:pPr>
              <w:pStyle w:val="Prrafodelista"/>
              <w:numPr>
                <w:ilvl w:val="0"/>
                <w:numId w:val="17"/>
              </w:numPr>
              <w:spacing w:line="278" w:lineRule="auto"/>
              <w:rPr>
                <w:rFonts w:ascii="Verdana" w:hAnsi="Verdana" w:cs="Arial"/>
              </w:rPr>
            </w:pPr>
            <w:r>
              <w:rPr>
                <w:rFonts w:ascii="Verdana" w:hAnsi="Verdana" w:cs="Arial"/>
              </w:rPr>
              <w:t>S</w:t>
            </w:r>
            <w:r w:rsidRPr="00365431">
              <w:rPr>
                <w:rFonts w:ascii="Verdana" w:hAnsi="Verdana" w:cs="Arial"/>
              </w:rPr>
              <w:t>entencia C - 416 de 2012</w:t>
            </w:r>
          </w:p>
          <w:p w14:paraId="1E0C5778" w14:textId="6F2FA06B" w:rsidR="001328E7" w:rsidRPr="003E76B2" w:rsidRDefault="00C61DFC" w:rsidP="003E76B2">
            <w:pPr>
              <w:pStyle w:val="Prrafodelista"/>
              <w:numPr>
                <w:ilvl w:val="0"/>
                <w:numId w:val="17"/>
              </w:numPr>
              <w:spacing w:line="278" w:lineRule="auto"/>
              <w:rPr>
                <w:rFonts w:ascii="Verdana" w:hAnsi="Verdana" w:cs="Arial"/>
              </w:rPr>
            </w:pPr>
            <w:r w:rsidRPr="00365431">
              <w:rPr>
                <w:rFonts w:ascii="Verdana" w:hAnsi="Verdana"/>
              </w:rPr>
              <w:t>Libro “Delitos de celebración indebida de contratos” Autor: Jaime Orlando Santofimio Gamboa.</w:t>
            </w:r>
          </w:p>
        </w:tc>
      </w:tr>
    </w:tbl>
    <w:p w14:paraId="22F7653C" w14:textId="77777777" w:rsidR="001328E7" w:rsidRPr="0007375E" w:rsidRDefault="001328E7" w:rsidP="001328E7">
      <w:pPr>
        <w:widowControl w:val="0"/>
        <w:autoSpaceDE w:val="0"/>
        <w:autoSpaceDN w:val="0"/>
        <w:spacing w:after="0" w:line="276" w:lineRule="auto"/>
        <w:jc w:val="both"/>
        <w:rPr>
          <w:rFonts w:ascii="Verdana" w:hAnsi="Verdana" w:cs="Arial"/>
        </w:rPr>
      </w:pPr>
    </w:p>
    <w:p w14:paraId="07F37921" w14:textId="77777777" w:rsidR="001328E7" w:rsidRPr="0050528D" w:rsidRDefault="001328E7" w:rsidP="001328E7">
      <w:pPr>
        <w:pStyle w:val="Prrafodelista"/>
        <w:numPr>
          <w:ilvl w:val="0"/>
          <w:numId w:val="18"/>
        </w:numPr>
        <w:tabs>
          <w:tab w:val="left" w:pos="142"/>
          <w:tab w:val="left" w:pos="284"/>
        </w:tabs>
        <w:spacing w:after="0" w:line="276" w:lineRule="auto"/>
        <w:jc w:val="both"/>
        <w:rPr>
          <w:rFonts w:ascii="Verdana" w:eastAsia="Century Gothic" w:hAnsi="Verdana" w:cs="Century Gothic"/>
          <w:b/>
          <w:bCs/>
        </w:rPr>
      </w:pPr>
      <w:r w:rsidRPr="0050528D">
        <w:rPr>
          <w:rFonts w:ascii="Verdana" w:eastAsia="Century Gothic" w:hAnsi="Verdana" w:cs="Century Gothic"/>
          <w:b/>
          <w:bCs/>
        </w:rPr>
        <w:t>Doctrina de la Agencia Nacional de Contratación Pública:</w:t>
      </w:r>
    </w:p>
    <w:p w14:paraId="227AA1A9" w14:textId="77777777" w:rsidR="001328E7" w:rsidRPr="0007375E" w:rsidRDefault="001328E7" w:rsidP="001328E7">
      <w:pPr>
        <w:widowControl w:val="0"/>
        <w:autoSpaceDE w:val="0"/>
        <w:autoSpaceDN w:val="0"/>
        <w:spacing w:after="0" w:line="276" w:lineRule="auto"/>
        <w:jc w:val="both"/>
        <w:rPr>
          <w:rFonts w:ascii="Verdana" w:hAnsi="Verdana" w:cs="Arial"/>
        </w:rPr>
      </w:pPr>
    </w:p>
    <w:p w14:paraId="0F3BF5C9" w14:textId="77777777" w:rsidR="00BD6AB6" w:rsidRDefault="00E94700" w:rsidP="00BD6AB6">
      <w:pPr>
        <w:spacing w:after="120" w:line="276" w:lineRule="auto"/>
        <w:ind w:firstLine="708"/>
        <w:jc w:val="both"/>
        <w:rPr>
          <w:rFonts w:ascii="Verdana" w:hAnsi="Verdana" w:cs="Arial"/>
        </w:rPr>
      </w:pPr>
      <w:r w:rsidRPr="00E94700">
        <w:rPr>
          <w:rFonts w:ascii="Verdana" w:hAnsi="Verdana" w:cs="Arial"/>
        </w:rPr>
        <w:t xml:space="preserve">La Agencia Nacional de Contratación Pública – Colombia Compra eficiente estudió el tema de la naturaleza jurídica de las instituciones educativas y su régimen de contratación en los conceptos con radicado 2201913000006285 del 27 de agosto de 2019, No. </w:t>
      </w:r>
      <w:hyperlink r:id="rId12" w:tgtFrame="_blank" w:history="1">
        <w:r w:rsidRPr="00E94700">
          <w:rPr>
            <w:rFonts w:ascii="Verdana" w:hAnsi="Verdana" w:cs="Arial"/>
          </w:rPr>
          <w:t>2201913000006068</w:t>
        </w:r>
      </w:hyperlink>
      <w:r w:rsidRPr="00E94700">
        <w:rPr>
          <w:rFonts w:ascii="Verdana" w:hAnsi="Verdana" w:cs="Arial"/>
        </w:rPr>
        <w:t xml:space="preserve"> del 28 de agosto de 2019, 2201913000008174 del 31 de octubre de 2019,  </w:t>
      </w:r>
      <w:hyperlink r:id="rId13" w:tgtFrame="_blank" w:history="1">
        <w:r w:rsidRPr="00E94700">
          <w:rPr>
            <w:rFonts w:ascii="Verdana" w:hAnsi="Verdana" w:cs="Arial"/>
          </w:rPr>
          <w:t>2201913000008197</w:t>
        </w:r>
      </w:hyperlink>
      <w:r w:rsidRPr="00E94700">
        <w:rPr>
          <w:rFonts w:ascii="Verdana" w:hAnsi="Verdana" w:cs="Arial"/>
        </w:rPr>
        <w:t xml:space="preserve"> del 1 de noviembre de 2019, C-181 del 6 de abril de 2020, C-272 del 27 de abril de 2020, C-284 del 27 de mayo de 20</w:t>
      </w:r>
      <w:r w:rsidR="00C56418">
        <w:rPr>
          <w:rFonts w:ascii="Verdana" w:hAnsi="Verdana" w:cs="Arial"/>
        </w:rPr>
        <w:t>20</w:t>
      </w:r>
      <w:r w:rsidRPr="00E94700">
        <w:rPr>
          <w:rFonts w:ascii="Verdana" w:hAnsi="Verdana" w:cs="Arial"/>
        </w:rPr>
        <w:t>, C-399 del 23 de junio de 2020 y C-574 del 28 de agosto de 2020</w:t>
      </w:r>
      <w:r w:rsidR="00C56418">
        <w:rPr>
          <w:rFonts w:ascii="Verdana" w:hAnsi="Verdana" w:cs="Arial"/>
        </w:rPr>
        <w:t xml:space="preserve">, </w:t>
      </w:r>
      <w:r w:rsidR="001C7651" w:rsidRPr="001C7651">
        <w:rPr>
          <w:rFonts w:ascii="Verdana" w:hAnsi="Verdana" w:cs="Arial"/>
          <w:lang w:val="es-ES"/>
        </w:rPr>
        <w:t>C-552 del 31 de agosto de 2020, C-203 del 13 de abril de 2022, C-355 del 02 de junio de 2022, C-171 del 25 de julio de 2024, entre otros</w:t>
      </w:r>
      <w:r w:rsidR="00C56418">
        <w:rPr>
          <w:rFonts w:ascii="Verdana" w:hAnsi="Verdana" w:cs="Arial"/>
          <w:lang w:val="es-ES"/>
        </w:rPr>
        <w:t>.</w:t>
      </w:r>
      <w:r w:rsidRPr="00E94700">
        <w:rPr>
          <w:rFonts w:ascii="Verdana" w:hAnsi="Verdana" w:cs="Arial"/>
        </w:rPr>
        <w:tab/>
      </w:r>
    </w:p>
    <w:p w14:paraId="6BF24B63" w14:textId="3528F2F9" w:rsidR="001328E7" w:rsidRPr="00BD6AB6" w:rsidRDefault="001328E7" w:rsidP="00BD6AB6">
      <w:pPr>
        <w:spacing w:after="120" w:line="276" w:lineRule="auto"/>
        <w:jc w:val="both"/>
        <w:rPr>
          <w:rFonts w:ascii="Verdana" w:hAnsi="Verdana" w:cs="Arial"/>
        </w:rPr>
      </w:pPr>
      <w:r>
        <w:rPr>
          <w:rFonts w:ascii="Verdana" w:eastAsia="Calibri" w:hAnsi="Verdana" w:cs="Arial"/>
        </w:rPr>
        <w:t xml:space="preserve">Sobre </w:t>
      </w:r>
      <w:r w:rsidRPr="00823C6A">
        <w:rPr>
          <w:rFonts w:ascii="Verdana" w:hAnsi="Verdana"/>
        </w:rPr>
        <w:t>las modificaciones y adiciones en los contratos estatales</w:t>
      </w:r>
      <w:r>
        <w:rPr>
          <w:rFonts w:ascii="Verdana" w:hAnsi="Verdana"/>
        </w:rPr>
        <w:t>, la Agencia se ha pronunciado</w:t>
      </w:r>
      <w:r w:rsidRPr="00823C6A">
        <w:rPr>
          <w:rFonts w:ascii="Verdana" w:hAnsi="Verdana"/>
        </w:rPr>
        <w:t xml:space="preserve"> en los conceptos Nro. C-277 de 21 de junio de 2021, C-644 de 18 de noviembre de 2021, C-755 de 21 de enero de 2022, C-152 de 1 de abril de 2022, C-267 de 5 de mayo de 2022, C-432 de 13 de julio de 2022, C-630 del 29 de septiembre de 2022, C784 del 21 de noviembre del 2022, C-398 del 27 de septiembre de 2023, C-452 del 7 de noviembre de 2023, C-463 del 22 de noviembre de 2023</w:t>
      </w:r>
      <w:r w:rsidR="003E76B2">
        <w:rPr>
          <w:rFonts w:ascii="Verdana" w:hAnsi="Verdana"/>
        </w:rPr>
        <w:t xml:space="preserve"> y</w:t>
      </w:r>
      <w:r w:rsidRPr="00823C6A">
        <w:rPr>
          <w:rFonts w:ascii="Verdana" w:hAnsi="Verdana"/>
        </w:rPr>
        <w:t xml:space="preserve"> C-471 del 25 de enero del 2024</w:t>
      </w:r>
      <w:r>
        <w:rPr>
          <w:rFonts w:ascii="Verdana" w:hAnsi="Verdana"/>
        </w:rPr>
        <w:t>.</w:t>
      </w:r>
    </w:p>
    <w:p w14:paraId="49430E46" w14:textId="77777777" w:rsidR="001328E7" w:rsidRDefault="001328E7" w:rsidP="001328E7">
      <w:pPr>
        <w:widowControl w:val="0"/>
        <w:autoSpaceDE w:val="0"/>
        <w:autoSpaceDN w:val="0"/>
        <w:spacing w:after="0" w:line="276" w:lineRule="auto"/>
        <w:jc w:val="both"/>
        <w:rPr>
          <w:rFonts w:ascii="Verdana" w:eastAsia="Arial" w:hAnsi="Verdana" w:cs="Arial"/>
          <w:lang w:val="es-ES"/>
        </w:rPr>
      </w:pPr>
    </w:p>
    <w:p w14:paraId="2C877044" w14:textId="77777777" w:rsidR="001328E7" w:rsidRPr="0007375E" w:rsidRDefault="001328E7" w:rsidP="001328E7">
      <w:pPr>
        <w:widowControl w:val="0"/>
        <w:autoSpaceDE w:val="0"/>
        <w:autoSpaceDN w:val="0"/>
        <w:spacing w:after="0" w:line="276" w:lineRule="auto"/>
        <w:jc w:val="both"/>
        <w:rPr>
          <w:rFonts w:ascii="Verdana" w:hAnsi="Verdana" w:cs="Arial"/>
        </w:rPr>
      </w:pPr>
      <w:r w:rsidRPr="0007375E">
        <w:rPr>
          <w:rFonts w:ascii="Verdana" w:eastAsia="Arial" w:hAnsi="Verdana" w:cs="Arial"/>
          <w:lang w:val="es-ES"/>
        </w:rPr>
        <w:t>Estos y otros conceptos se encuentran disponibles para consulta en el Sistema de Relatoría de la Agencia, en el c</w:t>
      </w:r>
      <w:proofErr w:type="spellStart"/>
      <w:r w:rsidRPr="0007375E">
        <w:rPr>
          <w:rFonts w:ascii="Verdana" w:hAnsi="Verdana" w:cs="Arial"/>
        </w:rPr>
        <w:t>ual</w:t>
      </w:r>
      <w:proofErr w:type="spellEnd"/>
      <w:r w:rsidRPr="0007375E">
        <w:rPr>
          <w:rFonts w:ascii="Verdana" w:hAnsi="Verdana" w:cs="Arial"/>
        </w:rPr>
        <w:t xml:space="preserve"> también podrás encontrar jurisprudencia del Consejo de Estado, laudos arbitrales y la normativa de la contratación concordada con la doctrina de la Subdirección de Gestión Contractual. Accede a través del siguiente enlace: </w:t>
      </w:r>
      <w:hyperlink r:id="rId14" w:tgtFrame="_blank" w:tooltip="Dirección URL original: https://relatoria.colombiacompra.gov.co/. Haga clic o pulse si confía en este vínculo." w:history="1">
        <w:r w:rsidRPr="0007375E">
          <w:rPr>
            <w:rFonts w:ascii="Verdana" w:hAnsi="Verdana" w:cs="Arial"/>
            <w:color w:val="0563C1" w:themeColor="hyperlink"/>
            <w:u w:val="single"/>
          </w:rPr>
          <w:t>https://relatoria.colombiacompra.gov.co/</w:t>
        </w:r>
      </w:hyperlink>
      <w:r w:rsidRPr="0007375E">
        <w:rPr>
          <w:rFonts w:ascii="Verdana" w:hAnsi="Verdana" w:cs="Arial"/>
        </w:rPr>
        <w:t> . Te invitamos también a revisar la tercera edición del  Boletín de Relatoría de 2024 en el cual podrás consultar en detalle el marco normativo de documentos tipo: </w:t>
      </w:r>
      <w:hyperlink r:id="rId15" w:tgtFrame="_blank" w:tooltip="Dirección URL original: https://www.colombiacompra.gov.co/sites/cce_public/files/files_2020/boletin_de_realtoria_iii.pdf. Haga clic o pulse si confía en este vínculo." w:history="1">
        <w:r w:rsidRPr="0007375E">
          <w:rPr>
            <w:rFonts w:ascii="Verdana" w:hAnsi="Verdana" w:cs="Arial"/>
            <w:color w:val="0563C1" w:themeColor="hyperlink"/>
            <w:u w:val="single"/>
          </w:rPr>
          <w:t>https://www.colombiacompra.gov.co/sites/cce_public/files/files_2020/boletin_de_realtoria_iii.pdf</w:t>
        </w:r>
      </w:hyperlink>
      <w:r w:rsidRPr="0007375E">
        <w:rPr>
          <w:rFonts w:ascii="Verdana" w:hAnsi="Verdana" w:cs="Arial"/>
        </w:rPr>
        <w:t>.</w:t>
      </w:r>
    </w:p>
    <w:p w14:paraId="62EABC90" w14:textId="77777777" w:rsidR="001328E7" w:rsidRPr="0007375E" w:rsidRDefault="001328E7" w:rsidP="001328E7">
      <w:pPr>
        <w:widowControl w:val="0"/>
        <w:autoSpaceDE w:val="0"/>
        <w:autoSpaceDN w:val="0"/>
        <w:spacing w:after="0" w:line="276" w:lineRule="auto"/>
        <w:jc w:val="both"/>
        <w:rPr>
          <w:rFonts w:ascii="Verdana" w:hAnsi="Verdana" w:cs="Arial"/>
        </w:rPr>
      </w:pPr>
    </w:p>
    <w:p w14:paraId="6250D4AD" w14:textId="77777777" w:rsidR="001328E7" w:rsidRPr="0007375E" w:rsidRDefault="001328E7" w:rsidP="001328E7">
      <w:pPr>
        <w:spacing w:after="0" w:line="240" w:lineRule="auto"/>
        <w:jc w:val="both"/>
        <w:rPr>
          <w:rFonts w:ascii="Verdana" w:hAnsi="Verdana" w:cs="Arial"/>
        </w:rPr>
      </w:pPr>
      <w:r w:rsidRPr="0007375E">
        <w:rPr>
          <w:rFonts w:ascii="Verdana" w:hAnsi="Verdana" w:cs="Arial"/>
        </w:rPr>
        <w:t xml:space="preserve">Por último, lo invitamos a seguirnos en las redes sociales en las cuales se difunde información institucional: </w:t>
      </w:r>
    </w:p>
    <w:p w14:paraId="51FBCE0F" w14:textId="77777777" w:rsidR="001328E7" w:rsidRPr="0007375E" w:rsidRDefault="001328E7" w:rsidP="001328E7">
      <w:pPr>
        <w:spacing w:after="0" w:line="240" w:lineRule="auto"/>
        <w:jc w:val="both"/>
        <w:rPr>
          <w:rFonts w:ascii="Verdana" w:hAnsi="Verdana" w:cs="Arial"/>
        </w:rPr>
      </w:pPr>
    </w:p>
    <w:p w14:paraId="441CEDCA" w14:textId="77777777" w:rsidR="001328E7" w:rsidRPr="0007375E" w:rsidRDefault="001328E7" w:rsidP="001328E7">
      <w:pPr>
        <w:spacing w:after="0" w:line="240" w:lineRule="auto"/>
        <w:jc w:val="both"/>
        <w:rPr>
          <w:rFonts w:ascii="Verdana" w:hAnsi="Verdana" w:cs="Arial"/>
        </w:rPr>
      </w:pPr>
      <w:r w:rsidRPr="0007375E">
        <w:rPr>
          <w:rFonts w:ascii="Verdana" w:hAnsi="Verdana" w:cs="Arial"/>
        </w:rPr>
        <w:t xml:space="preserve">Twitter: </w:t>
      </w:r>
      <w:r w:rsidRPr="0007375E">
        <w:rPr>
          <w:rFonts w:ascii="Verdana" w:hAnsi="Verdana" w:cs="Arial"/>
          <w:color w:val="4472C4" w:themeColor="accent1"/>
          <w:u w:val="single"/>
        </w:rPr>
        <w:t>@colombiacompra</w:t>
      </w:r>
      <w:r w:rsidRPr="0007375E">
        <w:rPr>
          <w:rFonts w:ascii="Verdana" w:hAnsi="Verdana" w:cs="Arial"/>
          <w:color w:val="4472C4" w:themeColor="accent1"/>
        </w:rPr>
        <w:t xml:space="preserve"> </w:t>
      </w:r>
    </w:p>
    <w:p w14:paraId="24DB3E25" w14:textId="77777777" w:rsidR="001328E7" w:rsidRPr="0007375E" w:rsidRDefault="001328E7" w:rsidP="001328E7">
      <w:pPr>
        <w:spacing w:after="0" w:line="240" w:lineRule="auto"/>
        <w:jc w:val="both"/>
        <w:rPr>
          <w:rFonts w:ascii="Verdana" w:hAnsi="Verdana" w:cs="Arial"/>
        </w:rPr>
      </w:pPr>
      <w:r w:rsidRPr="0007375E">
        <w:rPr>
          <w:rFonts w:ascii="Verdana" w:hAnsi="Verdana" w:cs="Arial"/>
        </w:rPr>
        <w:t xml:space="preserve">Facebook: </w:t>
      </w:r>
      <w:proofErr w:type="spellStart"/>
      <w:r w:rsidRPr="0007375E">
        <w:rPr>
          <w:rFonts w:ascii="Verdana" w:hAnsi="Verdana" w:cs="Arial"/>
          <w:color w:val="4472C4" w:themeColor="accent1"/>
          <w:u w:val="single"/>
        </w:rPr>
        <w:t>ColombiaCompraEficiente</w:t>
      </w:r>
      <w:proofErr w:type="spellEnd"/>
    </w:p>
    <w:p w14:paraId="09EBCA2A" w14:textId="77777777" w:rsidR="001328E7" w:rsidRPr="0007375E" w:rsidRDefault="001328E7" w:rsidP="001328E7">
      <w:pPr>
        <w:spacing w:after="0" w:line="240" w:lineRule="auto"/>
        <w:jc w:val="both"/>
        <w:rPr>
          <w:rFonts w:ascii="Verdana" w:hAnsi="Verdana" w:cs="Arial"/>
        </w:rPr>
      </w:pPr>
      <w:r w:rsidRPr="0007375E">
        <w:rPr>
          <w:rFonts w:ascii="Verdana" w:hAnsi="Verdana" w:cs="Arial"/>
        </w:rPr>
        <w:t xml:space="preserve">LinkedIn: </w:t>
      </w:r>
      <w:r w:rsidRPr="0007375E">
        <w:rPr>
          <w:rFonts w:ascii="Verdana" w:hAnsi="Verdana" w:cs="Arial"/>
          <w:color w:val="4472C4" w:themeColor="accent1"/>
          <w:u w:val="single"/>
        </w:rPr>
        <w:t>Agencia Nacional de Contratación Pública - Colombia Compra Eficiente</w:t>
      </w:r>
      <w:r w:rsidRPr="0007375E">
        <w:rPr>
          <w:rFonts w:ascii="Verdana" w:hAnsi="Verdana" w:cs="Arial"/>
          <w:color w:val="4472C4" w:themeColor="accent1"/>
        </w:rPr>
        <w:t xml:space="preserve"> </w:t>
      </w:r>
      <w:r w:rsidRPr="0007375E">
        <w:rPr>
          <w:rFonts w:ascii="Verdana" w:hAnsi="Verdana" w:cs="Arial"/>
        </w:rPr>
        <w:t xml:space="preserve">Instagram: </w:t>
      </w:r>
      <w:r w:rsidRPr="0007375E">
        <w:rPr>
          <w:rFonts w:ascii="Verdana" w:hAnsi="Verdana" w:cs="Arial"/>
          <w:color w:val="4472C4" w:themeColor="accent1"/>
          <w:u w:val="single"/>
        </w:rPr>
        <w:t>@colombiacompraeficiente_cce</w:t>
      </w:r>
    </w:p>
    <w:p w14:paraId="35B773FE" w14:textId="77777777" w:rsidR="001328E7" w:rsidRPr="0007375E" w:rsidRDefault="001328E7" w:rsidP="001328E7">
      <w:pPr>
        <w:widowControl w:val="0"/>
        <w:autoSpaceDE w:val="0"/>
        <w:autoSpaceDN w:val="0"/>
        <w:spacing w:after="0" w:line="276" w:lineRule="auto"/>
        <w:jc w:val="both"/>
        <w:rPr>
          <w:rFonts w:ascii="Verdana" w:hAnsi="Verdana" w:cs="Arial"/>
        </w:rPr>
      </w:pPr>
    </w:p>
    <w:p w14:paraId="59E99CBB" w14:textId="77777777" w:rsidR="001328E7" w:rsidRPr="0007375E" w:rsidRDefault="001328E7" w:rsidP="001328E7">
      <w:pPr>
        <w:widowControl w:val="0"/>
        <w:autoSpaceDE w:val="0"/>
        <w:autoSpaceDN w:val="0"/>
        <w:spacing w:after="0" w:line="276" w:lineRule="auto"/>
        <w:jc w:val="both"/>
        <w:rPr>
          <w:rFonts w:ascii="Verdana" w:hAnsi="Verdana" w:cs="Arial"/>
          <w:lang w:val="es-ES_tradnl"/>
        </w:rPr>
      </w:pPr>
      <w:r w:rsidRPr="0007375E">
        <w:rPr>
          <w:rFonts w:ascii="Verdana" w:hAnsi="Verdana" w:cs="Arial"/>
        </w:rPr>
        <w:t xml:space="preserve">Este concepto tiene el alcance previsto en el artículo 28 del Código de Procedimiento Administrativo y de lo Contencioso Administrativo </w:t>
      </w:r>
      <w:r w:rsidRPr="0007375E">
        <w:rPr>
          <w:rFonts w:ascii="Verdana" w:hAnsi="Verdana" w:cs="Arial"/>
          <w:lang w:val="es-ES_tradnl"/>
        </w:rPr>
        <w:t>y las expresiones aquí utilizadas con mayúscula inicial deben ser entendidas con el significado que les otorga el artículo 2.2.1.1.1.3.1. del Decreto 1082 de 2015.</w:t>
      </w:r>
    </w:p>
    <w:p w14:paraId="722E9A62" w14:textId="77777777" w:rsidR="001328E7" w:rsidRPr="0007375E" w:rsidRDefault="001328E7" w:rsidP="001328E7">
      <w:pPr>
        <w:widowControl w:val="0"/>
        <w:autoSpaceDE w:val="0"/>
        <w:autoSpaceDN w:val="0"/>
        <w:spacing w:after="0" w:line="276" w:lineRule="auto"/>
        <w:jc w:val="both"/>
        <w:rPr>
          <w:rFonts w:ascii="Verdana" w:hAnsi="Verdana" w:cs="Arial"/>
          <w:lang w:val="es-ES_tradnl"/>
        </w:rPr>
      </w:pPr>
    </w:p>
    <w:p w14:paraId="00E58363" w14:textId="77777777" w:rsidR="001328E7" w:rsidRPr="0007375E" w:rsidRDefault="001328E7" w:rsidP="001328E7">
      <w:pPr>
        <w:spacing w:after="0" w:line="240" w:lineRule="auto"/>
        <w:rPr>
          <w:rFonts w:ascii="Verdana" w:hAnsi="Verdana" w:cs="Arial"/>
          <w:lang w:eastAsia="es-CO"/>
        </w:rPr>
      </w:pPr>
      <w:r w:rsidRPr="0007375E">
        <w:rPr>
          <w:rFonts w:ascii="Verdana" w:hAnsi="Verdana" w:cs="Arial"/>
          <w:lang w:eastAsia="es-CO"/>
        </w:rPr>
        <w:t xml:space="preserve">Atentamente, </w:t>
      </w:r>
    </w:p>
    <w:p w14:paraId="7FEE2216" w14:textId="7FA2BF16" w:rsidR="001328E7" w:rsidRPr="0007375E" w:rsidRDefault="00E43EE1" w:rsidP="001328E7">
      <w:pPr>
        <w:spacing w:line="276" w:lineRule="auto"/>
        <w:jc w:val="center"/>
        <w:rPr>
          <w:rFonts w:ascii="Verdana" w:hAnsi="Verdana" w:cs="Arial"/>
          <w:sz w:val="16"/>
          <w:szCs w:val="16"/>
          <w:lang w:eastAsia="es-CO"/>
        </w:rPr>
      </w:pPr>
      <w:r w:rsidRPr="002C3AD6">
        <w:rPr>
          <w:rFonts w:ascii="Century Gothic" w:hAnsi="Century Gothic"/>
          <w:noProof/>
        </w:rPr>
        <w:drawing>
          <wp:inline distT="0" distB="0" distL="0" distR="0" wp14:anchorId="21899B1E" wp14:editId="37108592">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6"/>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1328E7" w:rsidRPr="009731F5" w14:paraId="279B572E" w14:textId="77777777" w:rsidTr="00A85733">
        <w:trPr>
          <w:trHeight w:val="315"/>
        </w:trPr>
        <w:tc>
          <w:tcPr>
            <w:tcW w:w="893" w:type="dxa"/>
            <w:vAlign w:val="center"/>
            <w:hideMark/>
          </w:tcPr>
          <w:p w14:paraId="6D9E9DE0" w14:textId="77777777" w:rsidR="001328E7" w:rsidRPr="009731F5" w:rsidRDefault="001328E7" w:rsidP="00A85733">
            <w:pPr>
              <w:contextualSpacing/>
              <w:rPr>
                <w:rFonts w:ascii="Verdana" w:hAnsi="Verdana" w:cs="Arial"/>
                <w:sz w:val="16"/>
                <w:szCs w:val="16"/>
                <w:lang w:eastAsia="es-CO"/>
              </w:rPr>
            </w:pPr>
            <w:r w:rsidRPr="009731F5">
              <w:rPr>
                <w:rFonts w:ascii="Verdana" w:hAnsi="Verdana" w:cs="Arial"/>
                <w:sz w:val="16"/>
                <w:szCs w:val="16"/>
                <w:lang w:eastAsia="es-CO"/>
              </w:rPr>
              <w:t>Elaboró:</w:t>
            </w:r>
          </w:p>
        </w:tc>
        <w:tc>
          <w:tcPr>
            <w:tcW w:w="5628" w:type="dxa"/>
            <w:tcBorders>
              <w:top w:val="nil"/>
              <w:left w:val="nil"/>
              <w:bottom w:val="dotted" w:sz="4" w:space="0" w:color="7F7F7F" w:themeColor="text1" w:themeTint="80"/>
              <w:right w:val="nil"/>
            </w:tcBorders>
            <w:vAlign w:val="center"/>
            <w:hideMark/>
          </w:tcPr>
          <w:p w14:paraId="791B97BA" w14:textId="77777777" w:rsidR="001328E7" w:rsidRPr="009731F5" w:rsidRDefault="001328E7" w:rsidP="00A85733">
            <w:pPr>
              <w:contextualSpacing/>
              <w:rPr>
                <w:rFonts w:ascii="Verdana" w:hAnsi="Verdana" w:cs="Arial"/>
                <w:sz w:val="16"/>
                <w:szCs w:val="16"/>
                <w:lang w:eastAsia="es-CO"/>
              </w:rPr>
            </w:pPr>
            <w:r w:rsidRPr="009731F5">
              <w:rPr>
                <w:rFonts w:ascii="Verdana" w:hAnsi="Verdana" w:cs="Arial"/>
                <w:sz w:val="16"/>
                <w:szCs w:val="16"/>
                <w:lang w:eastAsia="es-CO"/>
              </w:rPr>
              <w:t>Richard Andrés Montenegro Siefken</w:t>
            </w:r>
          </w:p>
          <w:p w14:paraId="3298B66E" w14:textId="77777777" w:rsidR="001328E7" w:rsidRPr="009731F5" w:rsidRDefault="001328E7" w:rsidP="00A85733">
            <w:pPr>
              <w:contextualSpacing/>
              <w:rPr>
                <w:rFonts w:ascii="Verdana" w:hAnsi="Verdana" w:cs="Arial"/>
                <w:sz w:val="16"/>
                <w:szCs w:val="16"/>
                <w:lang w:eastAsia="es-CO"/>
              </w:rPr>
            </w:pPr>
            <w:r w:rsidRPr="009731F5">
              <w:rPr>
                <w:rFonts w:ascii="Verdana" w:hAnsi="Verdana" w:cs="Arial"/>
                <w:sz w:val="16"/>
                <w:szCs w:val="16"/>
                <w:lang w:eastAsia="es-CO"/>
              </w:rPr>
              <w:t>Contratista de la Subdirección de Gestión Contractual</w:t>
            </w:r>
          </w:p>
        </w:tc>
      </w:tr>
      <w:tr w:rsidR="001328E7" w:rsidRPr="009731F5" w14:paraId="35F3F51B" w14:textId="77777777" w:rsidTr="00A85733">
        <w:trPr>
          <w:trHeight w:val="330"/>
        </w:trPr>
        <w:tc>
          <w:tcPr>
            <w:tcW w:w="893" w:type="dxa"/>
            <w:vAlign w:val="center"/>
            <w:hideMark/>
          </w:tcPr>
          <w:p w14:paraId="0D6C428D" w14:textId="77777777" w:rsidR="001328E7" w:rsidRPr="009731F5" w:rsidRDefault="001328E7" w:rsidP="00A85733">
            <w:pPr>
              <w:contextualSpacing/>
              <w:rPr>
                <w:rFonts w:ascii="Verdana" w:hAnsi="Verdana" w:cs="Arial"/>
                <w:sz w:val="16"/>
                <w:szCs w:val="16"/>
                <w:lang w:eastAsia="es-CO"/>
              </w:rPr>
            </w:pPr>
            <w:r w:rsidRPr="009731F5">
              <w:rPr>
                <w:rFonts w:ascii="Verdana" w:hAnsi="Verdana" w:cs="Arial"/>
                <w:sz w:val="16"/>
                <w:szCs w:val="16"/>
                <w:lang w:eastAsia="es-CO"/>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0D41CF9A" w14:textId="77777777" w:rsidR="001328E7" w:rsidRPr="009731F5" w:rsidRDefault="001328E7" w:rsidP="00A85733">
            <w:pPr>
              <w:jc w:val="both"/>
              <w:rPr>
                <w:rFonts w:ascii="Verdana" w:hAnsi="Verdana" w:cs="Arial"/>
                <w:sz w:val="16"/>
                <w:szCs w:val="16"/>
              </w:rPr>
            </w:pPr>
            <w:r w:rsidRPr="009731F5">
              <w:rPr>
                <w:rFonts w:ascii="Verdana" w:hAnsi="Verdana" w:cs="Arial"/>
                <w:sz w:val="16"/>
                <w:szCs w:val="16"/>
              </w:rPr>
              <w:t>Ximena Ríos López</w:t>
            </w:r>
          </w:p>
          <w:p w14:paraId="30C5F926" w14:textId="77777777" w:rsidR="001328E7" w:rsidRPr="009731F5" w:rsidRDefault="001328E7" w:rsidP="00A85733">
            <w:pPr>
              <w:rPr>
                <w:rFonts w:ascii="Verdana" w:eastAsia="Times New Roman" w:hAnsi="Verdana" w:cs="Arial"/>
                <w:sz w:val="16"/>
                <w:szCs w:val="16"/>
                <w:lang w:val="es-ES" w:eastAsia="es-ES"/>
              </w:rPr>
            </w:pPr>
            <w:r w:rsidRPr="009731F5">
              <w:rPr>
                <w:rFonts w:ascii="Verdana" w:eastAsia="Times New Roman" w:hAnsi="Verdana" w:cs="Arial"/>
                <w:sz w:val="16"/>
                <w:szCs w:val="16"/>
                <w:lang w:val="es-ES" w:eastAsia="es-ES"/>
              </w:rPr>
              <w:t>Gestor T1 -11 de la Subdirección de Gestión Contractual</w:t>
            </w:r>
          </w:p>
        </w:tc>
      </w:tr>
      <w:tr w:rsidR="001328E7" w:rsidRPr="009731F5" w14:paraId="3B2C8973" w14:textId="77777777" w:rsidTr="00A85733">
        <w:trPr>
          <w:trHeight w:val="300"/>
        </w:trPr>
        <w:tc>
          <w:tcPr>
            <w:tcW w:w="893" w:type="dxa"/>
            <w:vAlign w:val="center"/>
          </w:tcPr>
          <w:p w14:paraId="6B0EDF87" w14:textId="77777777" w:rsidR="001328E7" w:rsidRPr="009731F5" w:rsidRDefault="001328E7" w:rsidP="00A85733">
            <w:pPr>
              <w:contextualSpacing/>
              <w:rPr>
                <w:rFonts w:ascii="Verdana" w:hAnsi="Verdana" w:cs="Arial"/>
                <w:sz w:val="16"/>
                <w:szCs w:val="16"/>
                <w:lang w:eastAsia="es-CO"/>
              </w:rPr>
            </w:pPr>
            <w:r w:rsidRPr="009731F5">
              <w:rPr>
                <w:rFonts w:ascii="Verdana" w:hAnsi="Verdana" w:cs="Arial"/>
                <w:sz w:val="16"/>
                <w:szCs w:val="16"/>
                <w:lang w:eastAsia="es-CO"/>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34A22C43" w14:textId="77777777" w:rsidR="001328E7" w:rsidRPr="009731F5" w:rsidRDefault="001328E7" w:rsidP="00A85733">
            <w:pPr>
              <w:contextualSpacing/>
              <w:rPr>
                <w:rFonts w:ascii="Verdana" w:hAnsi="Verdana" w:cs="Arial"/>
                <w:sz w:val="16"/>
                <w:szCs w:val="16"/>
                <w:lang w:eastAsia="es-CO"/>
              </w:rPr>
            </w:pPr>
            <w:r w:rsidRPr="009731F5">
              <w:rPr>
                <w:rFonts w:ascii="Verdana" w:hAnsi="Verdana" w:cs="Arial"/>
                <w:sz w:val="16"/>
                <w:szCs w:val="16"/>
                <w:lang w:eastAsia="es-CO"/>
              </w:rPr>
              <w:t xml:space="preserve">Carolina Quintero </w:t>
            </w:r>
            <w:proofErr w:type="spellStart"/>
            <w:r w:rsidRPr="009731F5">
              <w:rPr>
                <w:rFonts w:ascii="Verdana" w:hAnsi="Verdana" w:cs="Arial"/>
                <w:sz w:val="16"/>
                <w:szCs w:val="16"/>
                <w:lang w:eastAsia="es-CO"/>
              </w:rPr>
              <w:t>Gacharná</w:t>
            </w:r>
            <w:proofErr w:type="spellEnd"/>
          </w:p>
          <w:p w14:paraId="4C88E7AC" w14:textId="77777777" w:rsidR="001328E7" w:rsidRPr="009731F5" w:rsidRDefault="001328E7" w:rsidP="00A85733">
            <w:pPr>
              <w:contextualSpacing/>
              <w:rPr>
                <w:rFonts w:ascii="Verdana" w:hAnsi="Verdana" w:cs="Arial"/>
                <w:sz w:val="16"/>
                <w:szCs w:val="16"/>
                <w:lang w:eastAsia="es-CO"/>
              </w:rPr>
            </w:pPr>
            <w:r w:rsidRPr="009731F5">
              <w:rPr>
                <w:rFonts w:ascii="Verdana" w:hAnsi="Verdana" w:cs="Arial"/>
                <w:sz w:val="16"/>
                <w:szCs w:val="16"/>
                <w:lang w:eastAsia="es-CO"/>
              </w:rPr>
              <w:t>Subdirectora de Gestión Contractual ANCP – CCE</w:t>
            </w:r>
          </w:p>
        </w:tc>
      </w:tr>
      <w:bookmarkEnd w:id="1"/>
    </w:tbl>
    <w:p w14:paraId="36A1E40F" w14:textId="77777777" w:rsidR="001328E7" w:rsidRPr="0007375E" w:rsidRDefault="001328E7" w:rsidP="001328E7">
      <w:pPr>
        <w:rPr>
          <w:rFonts w:ascii="Verdana" w:hAnsi="Verdana"/>
        </w:rPr>
      </w:pPr>
    </w:p>
    <w:p w14:paraId="7BB6E0C6" w14:textId="77777777" w:rsidR="001328E7" w:rsidRPr="00BD27A2" w:rsidRDefault="001328E7" w:rsidP="001328E7"/>
    <w:p w14:paraId="0F293BF4" w14:textId="7F20DA2B" w:rsidR="00127233" w:rsidRPr="00743EC4" w:rsidRDefault="00127233" w:rsidP="00743EC4"/>
    <w:sectPr w:rsidR="00127233" w:rsidRPr="00743EC4" w:rsidSect="007C0C0F">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35F67" w14:textId="77777777" w:rsidR="007C6113" w:rsidRDefault="007C6113" w:rsidP="004A1847">
      <w:pPr>
        <w:spacing w:after="0" w:line="240" w:lineRule="auto"/>
      </w:pPr>
      <w:r>
        <w:separator/>
      </w:r>
    </w:p>
  </w:endnote>
  <w:endnote w:type="continuationSeparator" w:id="0">
    <w:p w14:paraId="3A27B28E" w14:textId="77777777" w:rsidR="007C6113" w:rsidRDefault="007C6113" w:rsidP="004A1847">
      <w:pPr>
        <w:spacing w:after="0" w:line="240" w:lineRule="auto"/>
      </w:pPr>
      <w:r>
        <w:continuationSeparator/>
      </w:r>
    </w:p>
  </w:endnote>
  <w:endnote w:type="continuationNotice" w:id="1">
    <w:p w14:paraId="4B827757" w14:textId="77777777" w:rsidR="007C6113" w:rsidRDefault="007C61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A75FD" w14:textId="77777777" w:rsidR="007C6113" w:rsidRDefault="007C6113" w:rsidP="004A1847">
      <w:pPr>
        <w:spacing w:after="0" w:line="240" w:lineRule="auto"/>
      </w:pPr>
      <w:r>
        <w:separator/>
      </w:r>
    </w:p>
  </w:footnote>
  <w:footnote w:type="continuationSeparator" w:id="0">
    <w:p w14:paraId="18814DAF" w14:textId="77777777" w:rsidR="007C6113" w:rsidRDefault="007C6113" w:rsidP="004A1847">
      <w:pPr>
        <w:spacing w:after="0" w:line="240" w:lineRule="auto"/>
      </w:pPr>
      <w:r>
        <w:continuationSeparator/>
      </w:r>
    </w:p>
  </w:footnote>
  <w:footnote w:type="continuationNotice" w:id="1">
    <w:p w14:paraId="64B9BE29" w14:textId="77777777" w:rsidR="007C6113" w:rsidRDefault="007C6113">
      <w:pPr>
        <w:spacing w:after="0" w:line="240" w:lineRule="auto"/>
      </w:pPr>
    </w:p>
  </w:footnote>
  <w:footnote w:id="2">
    <w:p w14:paraId="0F5A3C0F" w14:textId="77777777" w:rsidR="001328E7" w:rsidRPr="00E25594" w:rsidRDefault="001328E7" w:rsidP="001328E7">
      <w:pPr>
        <w:pStyle w:val="Textonotapie"/>
        <w:ind w:firstLine="708"/>
        <w:jc w:val="both"/>
        <w:rPr>
          <w:rFonts w:ascii="Verdana" w:hAnsi="Verdana" w:cs="Arial"/>
          <w:color w:val="000000" w:themeColor="text1"/>
          <w:sz w:val="16"/>
          <w:szCs w:val="16"/>
        </w:rPr>
      </w:pPr>
      <w:r w:rsidRPr="00E25594">
        <w:rPr>
          <w:rStyle w:val="Refdenotaalpie"/>
          <w:rFonts w:ascii="Verdana" w:hAnsi="Verdana" w:cs="Arial"/>
          <w:color w:val="000000" w:themeColor="text1"/>
          <w:sz w:val="16"/>
          <w:szCs w:val="16"/>
        </w:rPr>
        <w:footnoteRef/>
      </w:r>
      <w:r w:rsidRPr="00E25594">
        <w:rPr>
          <w:rFonts w:ascii="Verdana" w:hAnsi="Verdana" w:cs="Arial"/>
          <w:color w:val="000000" w:themeColor="text1"/>
          <w:sz w:val="16"/>
          <w:szCs w:val="16"/>
        </w:rPr>
        <w:t xml:space="preserve"> “Artículo 11. Fondos De Servicios Educativos. Las instituciones educativas estatales podrán administrar Fondos de Servicios Educativos en los cuales se manejarán los recursos destinados a financiar gastos distintos a los de personal, que faciliten el funcionamiento de la institución”.</w:t>
      </w:r>
    </w:p>
    <w:p w14:paraId="13BEB962" w14:textId="77777777" w:rsidR="001328E7" w:rsidRPr="00011E77" w:rsidRDefault="001328E7" w:rsidP="001328E7">
      <w:pPr>
        <w:pStyle w:val="Textonotapie"/>
        <w:jc w:val="both"/>
        <w:rPr>
          <w:rFonts w:ascii="Arial" w:hAnsi="Arial" w:cs="Arial"/>
          <w:color w:val="000000" w:themeColor="text1"/>
          <w:sz w:val="19"/>
          <w:szCs w:val="19"/>
        </w:rPr>
      </w:pPr>
    </w:p>
  </w:footnote>
  <w:footnote w:id="3">
    <w:p w14:paraId="16DAA558" w14:textId="4BC50B81" w:rsidR="001328E7" w:rsidRDefault="001328E7" w:rsidP="001328E7">
      <w:pPr>
        <w:pStyle w:val="Textonotapie"/>
        <w:ind w:firstLine="708"/>
        <w:jc w:val="both"/>
        <w:rPr>
          <w:rFonts w:ascii="Verdana" w:hAnsi="Verdana" w:cs="Arial"/>
          <w:sz w:val="16"/>
          <w:szCs w:val="16"/>
        </w:rPr>
      </w:pPr>
      <w:r w:rsidRPr="00B245C1">
        <w:rPr>
          <w:rStyle w:val="Refdenotaalpie"/>
          <w:rFonts w:ascii="Verdana" w:hAnsi="Verdana" w:cs="Arial"/>
          <w:sz w:val="16"/>
          <w:szCs w:val="16"/>
        </w:rPr>
        <w:footnoteRef/>
      </w:r>
      <w:r w:rsidRPr="00B245C1">
        <w:rPr>
          <w:rFonts w:ascii="Verdana" w:hAnsi="Verdana" w:cs="Arial"/>
          <w:sz w:val="16"/>
          <w:szCs w:val="16"/>
        </w:rPr>
        <w:t xml:space="preserve"> El artículo 32 de la Ley 80, en lo pertinente, dispone que </w:t>
      </w:r>
      <w:r w:rsidR="000259B5">
        <w:rPr>
          <w:rFonts w:ascii="Verdana" w:hAnsi="Verdana" w:cs="Arial"/>
          <w:sz w:val="16"/>
          <w:szCs w:val="16"/>
        </w:rPr>
        <w:t>“</w:t>
      </w:r>
      <w:r w:rsidRPr="00B245C1">
        <w:rPr>
          <w:rFonts w:ascii="Verdana" w:hAnsi="Verdana" w:cs="Arial"/>
          <w:sz w:val="16"/>
          <w:szCs w:val="16"/>
        </w:rPr>
        <w:t>Son contratos estatales todos los actos jurídicos generadores de obligaciones que celebren las entidades a que se refiere el presente estatuto, previstos en el derecho privado o en disposiciones especiales, o derivados del ejercicio de la autonomía de la voluntad […]. Por su parte, el inciso primero del artículo 40 del Estatuto General prescribe los siguiente: «Las estipulaciones de los contratos serán las que de acuerdo con las normas civiles, comerciales y las previstas en esta ley, correspondan a su esencia y naturaleza</w:t>
      </w:r>
      <w:r w:rsidR="000259B5">
        <w:rPr>
          <w:rFonts w:ascii="Verdana" w:hAnsi="Verdana" w:cs="Arial"/>
          <w:sz w:val="16"/>
          <w:szCs w:val="16"/>
        </w:rPr>
        <w:t>”</w:t>
      </w:r>
      <w:r w:rsidRPr="00B245C1">
        <w:rPr>
          <w:rFonts w:ascii="Verdana" w:hAnsi="Verdana" w:cs="Arial"/>
          <w:sz w:val="16"/>
          <w:szCs w:val="16"/>
        </w:rPr>
        <w:t>.</w:t>
      </w:r>
    </w:p>
    <w:p w14:paraId="4CF5647A" w14:textId="77777777" w:rsidR="001328E7" w:rsidRPr="00B245C1" w:rsidRDefault="001328E7" w:rsidP="001328E7">
      <w:pPr>
        <w:pStyle w:val="Textonotapie"/>
        <w:ind w:firstLine="708"/>
        <w:jc w:val="both"/>
        <w:rPr>
          <w:rFonts w:ascii="Verdana" w:hAnsi="Verdana" w:cs="Arial"/>
          <w:sz w:val="16"/>
          <w:szCs w:val="16"/>
        </w:rPr>
      </w:pPr>
    </w:p>
  </w:footnote>
  <w:footnote w:id="4">
    <w:p w14:paraId="5D05D20C" w14:textId="77777777" w:rsidR="001328E7" w:rsidRPr="00B245C1" w:rsidRDefault="001328E7" w:rsidP="001328E7">
      <w:pPr>
        <w:pStyle w:val="Textonotapie"/>
        <w:ind w:firstLine="708"/>
        <w:jc w:val="both"/>
        <w:rPr>
          <w:rFonts w:ascii="Verdana" w:hAnsi="Verdana" w:cs="Arial"/>
          <w:sz w:val="16"/>
          <w:szCs w:val="16"/>
          <w:lang w:val="es-ES"/>
        </w:rPr>
      </w:pPr>
      <w:r w:rsidRPr="00B245C1">
        <w:rPr>
          <w:rStyle w:val="Refdenotaalpie"/>
          <w:rFonts w:ascii="Verdana" w:hAnsi="Verdana" w:cs="Arial"/>
          <w:sz w:val="16"/>
          <w:szCs w:val="16"/>
        </w:rPr>
        <w:footnoteRef/>
      </w:r>
      <w:r w:rsidRPr="00B245C1">
        <w:rPr>
          <w:rFonts w:ascii="Verdana" w:hAnsi="Verdana" w:cs="Arial"/>
          <w:sz w:val="16"/>
          <w:szCs w:val="16"/>
        </w:rPr>
        <w:t xml:space="preserve"> Cfr. BENAVIDES, José Luis. El contrato estatal: entre el derecho público y el derecho privado. Segunda edición. Bogotá: Universidad Externado de Colombia, 2009. pp. 78-79.      </w:t>
      </w:r>
    </w:p>
  </w:footnote>
  <w:footnote w:id="5">
    <w:p w14:paraId="4357EF39" w14:textId="77777777" w:rsidR="001328E7" w:rsidRPr="00452353" w:rsidRDefault="001328E7" w:rsidP="001328E7">
      <w:pPr>
        <w:pStyle w:val="Textonotapie"/>
        <w:ind w:firstLine="708"/>
        <w:jc w:val="both"/>
        <w:rPr>
          <w:rFonts w:ascii="Arial" w:hAnsi="Arial" w:cs="Arial"/>
          <w:sz w:val="19"/>
          <w:szCs w:val="19"/>
          <w:lang w:val="es-ES"/>
        </w:rPr>
      </w:pPr>
      <w:r w:rsidRPr="00B245C1">
        <w:rPr>
          <w:rStyle w:val="Refdenotaalpie"/>
          <w:rFonts w:ascii="Verdana" w:hAnsi="Verdana" w:cs="Arial"/>
          <w:sz w:val="16"/>
          <w:szCs w:val="16"/>
        </w:rPr>
        <w:footnoteRef/>
      </w:r>
      <w:r w:rsidRPr="00B245C1">
        <w:rPr>
          <w:rFonts w:ascii="Verdana" w:hAnsi="Verdana" w:cs="Arial"/>
          <w:sz w:val="16"/>
          <w:szCs w:val="16"/>
        </w:rPr>
        <w:t xml:space="preserve"> BETANCUR JARAMILLO, Carlos. Derecho procesal administrativo. Cuarta edición. Medellín: Señal Editora, 1994. pp. 522-523.</w:t>
      </w:r>
      <w:r w:rsidRPr="00452353">
        <w:rPr>
          <w:rFonts w:ascii="Arial" w:hAnsi="Arial" w:cs="Arial"/>
          <w:sz w:val="19"/>
          <w:szCs w:val="19"/>
        </w:rPr>
        <w:t xml:space="preserve"> </w:t>
      </w:r>
    </w:p>
  </w:footnote>
  <w:footnote w:id="6">
    <w:p w14:paraId="1F8147E2" w14:textId="2199C911" w:rsidR="001328E7" w:rsidRPr="00AB083C" w:rsidRDefault="001328E7" w:rsidP="001328E7">
      <w:pPr>
        <w:pStyle w:val="Textonotapie"/>
        <w:ind w:firstLine="708"/>
        <w:jc w:val="both"/>
        <w:rPr>
          <w:rFonts w:ascii="Verdana" w:hAnsi="Verdana" w:cs="Arial"/>
          <w:sz w:val="14"/>
          <w:szCs w:val="14"/>
          <w:lang w:val="es-ES"/>
        </w:rPr>
      </w:pPr>
      <w:r w:rsidRPr="00AB083C">
        <w:rPr>
          <w:rStyle w:val="Refdenotaalpie"/>
          <w:rFonts w:ascii="Verdana" w:hAnsi="Verdana" w:cs="Arial"/>
          <w:sz w:val="14"/>
          <w:szCs w:val="14"/>
        </w:rPr>
        <w:footnoteRef/>
      </w:r>
      <w:r w:rsidRPr="00AB083C">
        <w:rPr>
          <w:rFonts w:ascii="Verdana" w:hAnsi="Verdana" w:cs="Arial"/>
          <w:sz w:val="14"/>
          <w:szCs w:val="14"/>
        </w:rPr>
        <w:t xml:space="preserve"> La norma citada dispone que </w:t>
      </w:r>
      <w:r w:rsidR="00B522D8">
        <w:rPr>
          <w:rFonts w:ascii="Verdana" w:hAnsi="Verdana" w:cs="Arial"/>
          <w:sz w:val="14"/>
          <w:szCs w:val="14"/>
        </w:rPr>
        <w:t>“</w:t>
      </w:r>
      <w:r w:rsidRPr="00AB083C">
        <w:rPr>
          <w:rFonts w:ascii="Verdana" w:hAnsi="Verdana" w:cs="Arial"/>
          <w:sz w:val="14"/>
          <w:szCs w:val="14"/>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r w:rsidR="00AB083C">
        <w:rPr>
          <w:rFonts w:ascii="Verdana" w:hAnsi="Verdana" w:cs="Arial"/>
          <w:sz w:val="14"/>
          <w:szCs w:val="14"/>
        </w:rPr>
        <w:t>”</w:t>
      </w:r>
      <w:r w:rsidRPr="00AB083C">
        <w:rPr>
          <w:rFonts w:ascii="Verdana" w:hAnsi="Verdana" w:cs="Arial"/>
          <w:sz w:val="14"/>
          <w:szCs w:val="14"/>
        </w:rPr>
        <w:t>.</w:t>
      </w:r>
    </w:p>
  </w:footnote>
  <w:footnote w:id="7">
    <w:p w14:paraId="3DAF6B57" w14:textId="77777777" w:rsidR="001328E7" w:rsidRPr="005C0627" w:rsidRDefault="001328E7" w:rsidP="001328E7">
      <w:pPr>
        <w:pStyle w:val="Textonotapie"/>
        <w:ind w:firstLine="708"/>
        <w:jc w:val="both"/>
        <w:rPr>
          <w:rFonts w:ascii="Verdana" w:hAnsi="Verdana" w:cs="Arial"/>
          <w:sz w:val="14"/>
          <w:szCs w:val="14"/>
          <w:lang w:val="es-CO"/>
        </w:rPr>
      </w:pPr>
      <w:r w:rsidRPr="005C0627">
        <w:rPr>
          <w:rStyle w:val="Refdenotaalpie"/>
          <w:rFonts w:ascii="Verdana" w:hAnsi="Verdana" w:cs="Arial"/>
          <w:sz w:val="14"/>
          <w:szCs w:val="14"/>
        </w:rPr>
        <w:footnoteRef/>
      </w:r>
      <w:r w:rsidRPr="005C0627">
        <w:rPr>
          <w:rFonts w:ascii="Verdana" w:hAnsi="Verdana" w:cs="Arial"/>
          <w:sz w:val="14"/>
          <w:szCs w:val="14"/>
        </w:rPr>
        <w:t xml:space="preserve"> </w:t>
      </w:r>
      <w:r w:rsidRPr="005C0627">
        <w:rPr>
          <w:rFonts w:ascii="Verdana" w:hAnsi="Verdana" w:cs="Arial"/>
          <w:sz w:val="14"/>
          <w:szCs w:val="14"/>
          <w:lang w:val="es-CO"/>
        </w:rPr>
        <w:t>El artículo 40 de la Ley 80 de 1993 dispone que los contratos no podrán adicionarse en más del 50% de su valor inicial, expresado en SMLMV.</w:t>
      </w:r>
    </w:p>
    <w:p w14:paraId="0DB5B1F7" w14:textId="77777777" w:rsidR="001328E7" w:rsidRPr="005C0627" w:rsidRDefault="001328E7" w:rsidP="001328E7">
      <w:pPr>
        <w:pStyle w:val="Textonotapie"/>
        <w:ind w:firstLine="708"/>
        <w:jc w:val="both"/>
        <w:rPr>
          <w:rFonts w:ascii="Verdana" w:hAnsi="Verdana" w:cs="Arial"/>
          <w:sz w:val="14"/>
          <w:szCs w:val="14"/>
          <w:lang w:val="es-CO"/>
        </w:rPr>
      </w:pPr>
    </w:p>
  </w:footnote>
  <w:footnote w:id="8">
    <w:p w14:paraId="0E78FD8A" w14:textId="77777777" w:rsidR="001328E7" w:rsidRPr="005C0627" w:rsidRDefault="001328E7" w:rsidP="001328E7">
      <w:pPr>
        <w:pStyle w:val="Textonotapie"/>
        <w:ind w:firstLine="708"/>
        <w:jc w:val="both"/>
        <w:rPr>
          <w:rFonts w:ascii="Verdana" w:hAnsi="Verdana" w:cs="Arial"/>
          <w:color w:val="2D2D2D"/>
          <w:sz w:val="14"/>
          <w:szCs w:val="14"/>
          <w:shd w:val="clear" w:color="auto" w:fill="FFFFFF"/>
        </w:rPr>
      </w:pPr>
      <w:r w:rsidRPr="005C0627">
        <w:rPr>
          <w:rStyle w:val="Refdenotaalpie"/>
          <w:rFonts w:ascii="Verdana" w:hAnsi="Verdana" w:cs="Arial"/>
          <w:sz w:val="14"/>
          <w:szCs w:val="14"/>
        </w:rPr>
        <w:footnoteRef/>
      </w:r>
      <w:r w:rsidRPr="005C0627">
        <w:rPr>
          <w:rFonts w:ascii="Verdana" w:hAnsi="Verdana" w:cs="Arial"/>
          <w:sz w:val="14"/>
          <w:szCs w:val="14"/>
        </w:rPr>
        <w:t xml:space="preserve">  M.P. </w:t>
      </w:r>
      <w:r w:rsidRPr="005C0627">
        <w:rPr>
          <w:rFonts w:ascii="Verdana" w:hAnsi="Verdana" w:cs="Arial"/>
          <w:color w:val="2D2D2D"/>
          <w:sz w:val="14"/>
          <w:szCs w:val="14"/>
          <w:shd w:val="clear" w:color="auto" w:fill="FFFFFF"/>
        </w:rPr>
        <w:t>Adriana María Guillén Arango.</w:t>
      </w:r>
    </w:p>
    <w:p w14:paraId="52A3626F" w14:textId="77777777" w:rsidR="001328E7" w:rsidRPr="005C0627" w:rsidRDefault="001328E7" w:rsidP="001328E7">
      <w:pPr>
        <w:pStyle w:val="Textonotapie"/>
        <w:ind w:firstLine="708"/>
        <w:jc w:val="both"/>
        <w:rPr>
          <w:rFonts w:ascii="Verdana" w:hAnsi="Verdana" w:cs="Arial"/>
          <w:sz w:val="14"/>
          <w:szCs w:val="14"/>
        </w:rPr>
      </w:pPr>
    </w:p>
  </w:footnote>
  <w:footnote w:id="9">
    <w:p w14:paraId="61042B37" w14:textId="77777777" w:rsidR="001328E7" w:rsidRPr="005C0627" w:rsidRDefault="001328E7" w:rsidP="001328E7">
      <w:pPr>
        <w:pStyle w:val="Textonotapie"/>
        <w:ind w:firstLine="708"/>
        <w:jc w:val="both"/>
        <w:rPr>
          <w:rFonts w:ascii="Verdana" w:hAnsi="Verdana" w:cs="Arial"/>
          <w:sz w:val="14"/>
          <w:szCs w:val="14"/>
        </w:rPr>
      </w:pPr>
      <w:r w:rsidRPr="005C0627">
        <w:rPr>
          <w:rStyle w:val="Refdenotaalpie"/>
          <w:rFonts w:ascii="Verdana" w:hAnsi="Verdana" w:cs="Arial"/>
          <w:sz w:val="14"/>
          <w:szCs w:val="14"/>
        </w:rPr>
        <w:footnoteRef/>
      </w:r>
      <w:r w:rsidRPr="005C0627">
        <w:rPr>
          <w:rFonts w:ascii="Verdana" w:hAnsi="Verdana" w:cs="Arial"/>
          <w:sz w:val="14"/>
          <w:szCs w:val="14"/>
        </w:rPr>
        <w:t xml:space="preserve"> Sobre la naturaleza instrumental del contrato para alcanzar los fines propios del estado social de derecho, ver la sentencia C-932 de </w:t>
      </w:r>
      <w:smartTag w:uri="urn:schemas-microsoft-com:office:smarttags" w:element="metricconverter">
        <w:smartTagPr>
          <w:attr w:name="ProductID" w:val="2007, M"/>
        </w:smartTagPr>
        <w:r w:rsidRPr="005C0627">
          <w:rPr>
            <w:rFonts w:ascii="Verdana" w:hAnsi="Verdana" w:cs="Arial"/>
            <w:sz w:val="14"/>
            <w:szCs w:val="14"/>
          </w:rPr>
          <w:t>2007, M</w:t>
        </w:r>
      </w:smartTag>
      <w:r w:rsidRPr="005C0627">
        <w:rPr>
          <w:rFonts w:ascii="Verdana" w:hAnsi="Verdana" w:cs="Arial"/>
          <w:sz w:val="14"/>
          <w:szCs w:val="14"/>
        </w:rPr>
        <w:t>.P. Marco Gerardo Monroy Cabra.</w:t>
      </w:r>
    </w:p>
    <w:p w14:paraId="77FAD696" w14:textId="77777777" w:rsidR="001328E7" w:rsidRPr="005C0627" w:rsidRDefault="001328E7" w:rsidP="001328E7">
      <w:pPr>
        <w:pStyle w:val="Textonotapie"/>
        <w:ind w:firstLine="708"/>
        <w:jc w:val="both"/>
        <w:rPr>
          <w:rFonts w:ascii="Verdana" w:hAnsi="Verdana" w:cs="Arial"/>
          <w:sz w:val="14"/>
          <w:szCs w:val="14"/>
        </w:rPr>
      </w:pPr>
    </w:p>
  </w:footnote>
  <w:footnote w:id="10">
    <w:p w14:paraId="6D073120" w14:textId="77777777" w:rsidR="001328E7" w:rsidRPr="005C0627" w:rsidRDefault="001328E7" w:rsidP="001328E7">
      <w:pPr>
        <w:pStyle w:val="Textonotapie"/>
        <w:ind w:firstLine="708"/>
        <w:jc w:val="both"/>
        <w:rPr>
          <w:rFonts w:ascii="Verdana" w:hAnsi="Verdana" w:cs="Arial"/>
          <w:sz w:val="14"/>
          <w:szCs w:val="14"/>
        </w:rPr>
      </w:pPr>
      <w:r w:rsidRPr="005C0627">
        <w:rPr>
          <w:rStyle w:val="Refdenotaalpie"/>
          <w:rFonts w:ascii="Verdana" w:hAnsi="Verdana" w:cs="Arial"/>
          <w:sz w:val="14"/>
          <w:szCs w:val="14"/>
        </w:rPr>
        <w:footnoteRef/>
      </w:r>
      <w:r w:rsidRPr="005C0627">
        <w:rPr>
          <w:rFonts w:ascii="Verdana" w:hAnsi="Verdana" w:cs="Arial"/>
          <w:sz w:val="14"/>
          <w:szCs w:val="14"/>
        </w:rPr>
        <w:t xml:space="preserve"> M.P. Clara Inés Vargas Hernández.</w:t>
      </w:r>
    </w:p>
    <w:p w14:paraId="47F4838C" w14:textId="77777777" w:rsidR="001328E7" w:rsidRPr="005C0627" w:rsidRDefault="001328E7" w:rsidP="001328E7">
      <w:pPr>
        <w:pStyle w:val="Textonotapie"/>
        <w:ind w:firstLine="708"/>
        <w:jc w:val="both"/>
        <w:rPr>
          <w:rFonts w:ascii="Verdana" w:hAnsi="Verdana" w:cs="Arial"/>
          <w:sz w:val="14"/>
          <w:szCs w:val="14"/>
        </w:rPr>
      </w:pPr>
    </w:p>
  </w:footnote>
  <w:footnote w:id="11">
    <w:p w14:paraId="0A67737F" w14:textId="77777777" w:rsidR="001328E7" w:rsidRPr="005C0627" w:rsidRDefault="001328E7" w:rsidP="001328E7">
      <w:pPr>
        <w:pStyle w:val="Textonotapie"/>
        <w:ind w:firstLine="708"/>
        <w:jc w:val="both"/>
        <w:rPr>
          <w:rFonts w:ascii="Verdana" w:hAnsi="Verdana" w:cs="Arial"/>
          <w:sz w:val="14"/>
          <w:szCs w:val="14"/>
        </w:rPr>
      </w:pPr>
      <w:r w:rsidRPr="005C0627">
        <w:rPr>
          <w:rStyle w:val="Refdenotaalpie"/>
          <w:rFonts w:ascii="Verdana" w:hAnsi="Verdana" w:cs="Arial"/>
          <w:sz w:val="14"/>
          <w:szCs w:val="14"/>
        </w:rPr>
        <w:footnoteRef/>
      </w:r>
      <w:r w:rsidRPr="005C0627">
        <w:rPr>
          <w:rFonts w:ascii="Verdana" w:hAnsi="Verdana" w:cs="Arial"/>
          <w:sz w:val="14"/>
          <w:szCs w:val="14"/>
        </w:rPr>
        <w:t xml:space="preserve"> Ver también la sentencia C-068 de </w:t>
      </w:r>
      <w:smartTag w:uri="urn:schemas-microsoft-com:office:smarttags" w:element="metricconverter">
        <w:smartTagPr>
          <w:attr w:name="ProductID" w:val="2009, M"/>
        </w:smartTagPr>
        <w:r w:rsidRPr="005C0627">
          <w:rPr>
            <w:rFonts w:ascii="Verdana" w:hAnsi="Verdana" w:cs="Arial"/>
            <w:sz w:val="14"/>
            <w:szCs w:val="14"/>
          </w:rPr>
          <w:t>2009, M</w:t>
        </w:r>
      </w:smartTag>
      <w:r w:rsidRPr="005C0627">
        <w:rPr>
          <w:rFonts w:ascii="Verdana" w:hAnsi="Verdana" w:cs="Arial"/>
          <w:sz w:val="14"/>
          <w:szCs w:val="14"/>
        </w:rPr>
        <w:t>.P. Mauricio González Cuervo</w:t>
      </w:r>
      <w:r w:rsidRPr="005C0627">
        <w:rPr>
          <w:rFonts w:ascii="Verdana" w:hAnsi="Verdana" w:cs="Arial"/>
          <w:b/>
          <w:sz w:val="14"/>
          <w:szCs w:val="14"/>
        </w:rPr>
        <w:t xml:space="preserve">, </w:t>
      </w:r>
      <w:r w:rsidRPr="005C0627">
        <w:rPr>
          <w:rFonts w:ascii="Verdana" w:hAnsi="Verdana" w:cs="Arial"/>
          <w:sz w:val="14"/>
          <w:szCs w:val="14"/>
        </w:rPr>
        <w:t>sobre la constitucional</w:t>
      </w:r>
      <w:r w:rsidRPr="005C0627">
        <w:rPr>
          <w:rFonts w:ascii="Verdana" w:hAnsi="Verdana" w:cs="Arial"/>
          <w:b/>
          <w:sz w:val="14"/>
          <w:szCs w:val="14"/>
        </w:rPr>
        <w:t xml:space="preserve"> </w:t>
      </w:r>
      <w:r w:rsidRPr="005C0627">
        <w:rPr>
          <w:rFonts w:ascii="Verdana" w:hAnsi="Verdana" w:cs="Arial"/>
          <w:sz w:val="14"/>
          <w:szCs w:val="14"/>
        </w:rPr>
        <w:t>de la posibilidad de prorrogar los contratos de concesión portuaria [artículo 8º de la ley 1º de 1991].</w:t>
      </w:r>
    </w:p>
  </w:footnote>
  <w:footnote w:id="12">
    <w:p w14:paraId="3471283A" w14:textId="77777777" w:rsidR="001328E7" w:rsidRPr="00F77588" w:rsidRDefault="001328E7" w:rsidP="001328E7">
      <w:pPr>
        <w:pStyle w:val="Textonotapie"/>
        <w:rPr>
          <w:lang w:val="es-ES"/>
        </w:rPr>
      </w:pPr>
      <w:r>
        <w:rPr>
          <w:rStyle w:val="Refdenotaalpie"/>
        </w:rPr>
        <w:footnoteRef/>
      </w:r>
      <w:r>
        <w:t xml:space="preserve"> </w:t>
      </w:r>
      <w:r w:rsidRPr="00F77588">
        <w:rPr>
          <w:rFonts w:ascii="Verdana" w:hAnsi="Verdana"/>
          <w:sz w:val="16"/>
          <w:szCs w:val="16"/>
          <w:lang w:val="es-CO"/>
        </w:rPr>
        <w:t>Jaime Orlando Santofimio Gamboa. Delitos de celebración indebida de contratos, Bogotá, Universidad Externado de Colombia, 2000, p. 290.</w:t>
      </w:r>
    </w:p>
  </w:footnote>
  <w:footnote w:id="13">
    <w:p w14:paraId="74210319" w14:textId="77777777" w:rsidR="001328E7" w:rsidRPr="00535950" w:rsidRDefault="001328E7" w:rsidP="001328E7">
      <w:pPr>
        <w:pStyle w:val="Textonotapie"/>
        <w:ind w:firstLine="708"/>
        <w:jc w:val="both"/>
        <w:rPr>
          <w:rFonts w:ascii="Verdana" w:hAnsi="Verdana"/>
          <w:sz w:val="14"/>
          <w:szCs w:val="14"/>
          <w:lang w:val="es-CO"/>
        </w:rPr>
      </w:pPr>
      <w:r w:rsidRPr="00535950">
        <w:rPr>
          <w:rStyle w:val="Refdenotaalpie"/>
          <w:rFonts w:ascii="Verdana" w:hAnsi="Verdana"/>
          <w:sz w:val="14"/>
          <w:szCs w:val="14"/>
        </w:rPr>
        <w:footnoteRef/>
      </w:r>
      <w:r w:rsidRPr="00535950">
        <w:rPr>
          <w:rFonts w:ascii="Verdana" w:hAnsi="Verdana"/>
          <w:sz w:val="14"/>
          <w:szCs w:val="14"/>
        </w:rPr>
        <w:t xml:space="preserve"> </w:t>
      </w:r>
      <w:r w:rsidRPr="00535950">
        <w:rPr>
          <w:rFonts w:ascii="Verdana" w:hAnsi="Verdana"/>
          <w:sz w:val="14"/>
          <w:szCs w:val="14"/>
          <w:lang w:val="es-CO"/>
        </w:rPr>
        <w:t>ARTÍCULO 3o. DE LA CONTRATACIÓN PÚBLICA ELECTRÓNICA. De conformidad con lo dispuesto en la Ley </w:t>
      </w:r>
      <w:hyperlink r:id="rId1" w:anchor="1" w:history="1">
        <w:r w:rsidRPr="00535950">
          <w:rPr>
            <w:rStyle w:val="Hipervnculo"/>
            <w:rFonts w:ascii="Verdana" w:hAnsi="Verdana"/>
            <w:sz w:val="14"/>
            <w:szCs w:val="14"/>
            <w:lang w:val="es-CO"/>
          </w:rPr>
          <w:t>527</w:t>
        </w:r>
      </w:hyperlink>
      <w:r w:rsidRPr="00535950">
        <w:rPr>
          <w:rFonts w:ascii="Verdana" w:hAnsi="Verdana"/>
          <w:sz w:val="14"/>
          <w:szCs w:val="14"/>
          <w:lang w:val="es-CO"/>
        </w:rPr>
        <w:t>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w:t>
      </w:r>
      <w:r w:rsidRPr="00535950">
        <w:rPr>
          <w:rFonts w:ascii="Verdana" w:hAnsi="Verdana"/>
          <w:sz w:val="14"/>
          <w:szCs w:val="14"/>
          <w:u w:val="single"/>
          <w:lang w:val="es-CO"/>
        </w:rPr>
        <w:t>Los mecanismos e instrumentos por medio de los cuales las entidades cumplirán con las obligaciones de publicidad del proceso contractual serán señalados por el Gobierno Nacional</w:t>
      </w:r>
      <w:r w:rsidRPr="00535950">
        <w:rPr>
          <w:rFonts w:ascii="Verdana" w:hAnsi="Verdana"/>
          <w:sz w:val="14"/>
          <w:szCs w:val="14"/>
          <w:lang w:val="es-CO"/>
        </w:rPr>
        <w:t>.</w:t>
      </w:r>
    </w:p>
    <w:p w14:paraId="3180C19B" w14:textId="77777777" w:rsidR="001328E7" w:rsidRPr="00535950" w:rsidRDefault="001328E7" w:rsidP="001328E7">
      <w:pPr>
        <w:pStyle w:val="Textonotapie"/>
        <w:ind w:firstLine="708"/>
        <w:jc w:val="both"/>
        <w:rPr>
          <w:rFonts w:ascii="Verdana" w:hAnsi="Verdana"/>
          <w:sz w:val="14"/>
          <w:szCs w:val="14"/>
          <w:lang w:val="es-CO"/>
        </w:rPr>
      </w:pPr>
      <w:r w:rsidRPr="00535950">
        <w:rPr>
          <w:rFonts w:ascii="Verdana" w:hAnsi="Verdana"/>
          <w:sz w:val="14"/>
          <w:szCs w:val="14"/>
          <w:lang w:val="es-CO"/>
        </w:rPr>
        <w:t>Lo anterior, sin perjuicio de las publicaciones previstas en el numeral 3 del artículo </w:t>
      </w:r>
      <w:hyperlink r:id="rId2" w:anchor="30" w:history="1">
        <w:r w:rsidRPr="00535950">
          <w:rPr>
            <w:rStyle w:val="Hipervnculo"/>
            <w:rFonts w:ascii="Verdana" w:hAnsi="Verdana"/>
            <w:sz w:val="14"/>
            <w:szCs w:val="14"/>
            <w:lang w:val="es-CO"/>
          </w:rPr>
          <w:t>30</w:t>
        </w:r>
      </w:hyperlink>
      <w:r w:rsidRPr="00535950">
        <w:rPr>
          <w:rFonts w:ascii="Verdana" w:hAnsi="Verdana"/>
          <w:sz w:val="14"/>
          <w:szCs w:val="14"/>
          <w:lang w:val="es-CO"/>
        </w:rPr>
        <w:t> de la Ley 80 de 1993.</w:t>
      </w:r>
    </w:p>
    <w:p w14:paraId="339023F6" w14:textId="77777777" w:rsidR="001328E7" w:rsidRPr="00535950" w:rsidRDefault="001328E7" w:rsidP="001328E7">
      <w:pPr>
        <w:pStyle w:val="Textonotapie"/>
        <w:ind w:firstLine="708"/>
        <w:jc w:val="both"/>
        <w:rPr>
          <w:rFonts w:ascii="Verdana" w:hAnsi="Verdana"/>
          <w:sz w:val="14"/>
          <w:szCs w:val="14"/>
          <w:lang w:val="es-CO"/>
        </w:rPr>
      </w:pPr>
      <w:r w:rsidRPr="00535950">
        <w:rPr>
          <w:rFonts w:ascii="Verdana" w:hAnsi="Verdana"/>
          <w:sz w:val="14"/>
          <w:szCs w:val="14"/>
          <w:lang w:val="es-CO"/>
        </w:rPr>
        <w:t xml:space="preserve">Con el fin de materializar los objetivos a que se refiere el inciso anterior, el Gobierno Nacional desarrollará el Sistema Electrónico para la Contratación Pública, SECOP, el cual: </w:t>
      </w:r>
    </w:p>
    <w:p w14:paraId="3BC0673D" w14:textId="77777777" w:rsidR="001328E7" w:rsidRPr="00535950" w:rsidRDefault="001328E7" w:rsidP="001328E7">
      <w:pPr>
        <w:pStyle w:val="Textonotapie"/>
        <w:jc w:val="both"/>
        <w:rPr>
          <w:rFonts w:ascii="Verdana" w:hAnsi="Verdana"/>
          <w:sz w:val="14"/>
          <w:szCs w:val="14"/>
          <w:lang w:val="es-CO"/>
        </w:rPr>
      </w:pPr>
      <w:r w:rsidRPr="00535950">
        <w:rPr>
          <w:rFonts w:ascii="Verdana" w:hAnsi="Verdana"/>
          <w:sz w:val="14"/>
          <w:szCs w:val="14"/>
          <w:lang w:val="es-CO"/>
        </w:rPr>
        <w:t>(…) c) Contará con la información oficial de la contratación realizada con dineros públicos, para lo cual establecerá los patrones a que haya lugar y se encargará de su difusión a través de canales electrónicos (…)</w:t>
      </w:r>
    </w:p>
    <w:p w14:paraId="5F4564F4" w14:textId="77777777" w:rsidR="001328E7" w:rsidRPr="00535950" w:rsidRDefault="001328E7" w:rsidP="001328E7">
      <w:pPr>
        <w:pStyle w:val="Textonotapie"/>
        <w:rPr>
          <w:sz w:val="14"/>
          <w:szCs w:val="14"/>
          <w:lang w:val="es-ES"/>
        </w:rPr>
      </w:pPr>
    </w:p>
  </w:footnote>
  <w:footnote w:id="14">
    <w:p w14:paraId="043EBDA9" w14:textId="77777777" w:rsidR="001328E7" w:rsidRPr="00535950" w:rsidRDefault="001328E7" w:rsidP="001328E7">
      <w:pPr>
        <w:pStyle w:val="Textonotapie"/>
        <w:ind w:firstLine="708"/>
        <w:jc w:val="both"/>
        <w:rPr>
          <w:rFonts w:ascii="Verdana" w:hAnsi="Verdana"/>
          <w:sz w:val="14"/>
          <w:szCs w:val="14"/>
          <w:lang w:val="es-CO"/>
        </w:rPr>
      </w:pPr>
      <w:r w:rsidRPr="00535950">
        <w:rPr>
          <w:rStyle w:val="Refdenotaalpie"/>
          <w:rFonts w:ascii="Verdana" w:hAnsi="Verdana"/>
          <w:sz w:val="14"/>
          <w:szCs w:val="14"/>
        </w:rPr>
        <w:footnoteRef/>
      </w:r>
      <w:r w:rsidRPr="00535950">
        <w:rPr>
          <w:rFonts w:ascii="Verdana" w:hAnsi="Verdana"/>
          <w:sz w:val="14"/>
          <w:szCs w:val="14"/>
        </w:rPr>
        <w:t xml:space="preserve"> </w:t>
      </w:r>
      <w:r w:rsidRPr="00535950">
        <w:rPr>
          <w:rFonts w:ascii="Verdana" w:hAnsi="Verdana"/>
          <w:sz w:val="14"/>
          <w:szCs w:val="14"/>
          <w:lang w:val="es-CO"/>
        </w:rPr>
        <w:t>ARTÍCULO </w:t>
      </w:r>
      <w:bookmarkStart w:id="12" w:name="2.2.1.1.1.7.1"/>
      <w:bookmarkEnd w:id="12"/>
      <w:r w:rsidRPr="00535950">
        <w:rPr>
          <w:rFonts w:ascii="Verdana" w:hAnsi="Verdana"/>
          <w:sz w:val="14"/>
          <w:szCs w:val="14"/>
          <w:lang w:val="es-CO"/>
        </w:rPr>
        <w:t xml:space="preserve">2.2.1.1.1.7.1.  Decreto 1082 de 105 </w:t>
      </w:r>
      <w:r w:rsidRPr="00535950">
        <w:rPr>
          <w:rFonts w:ascii="Verdana" w:hAnsi="Verdana"/>
          <w:i/>
          <w:iCs/>
          <w:sz w:val="14"/>
          <w:szCs w:val="14"/>
          <w:lang w:val="es-CO"/>
        </w:rPr>
        <w:t>Publicidad en el SECOP.</w:t>
      </w:r>
      <w:r w:rsidRPr="00535950">
        <w:rPr>
          <w:rFonts w:ascii="Verdana" w:hAnsi="Verdana"/>
          <w:sz w:val="14"/>
          <w:szCs w:val="14"/>
          <w:lang w:val="es-CO"/>
        </w:rPr>
        <w:t>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75FEA7C6" w14:textId="77777777" w:rsidR="001328E7" w:rsidRPr="00535950" w:rsidRDefault="001328E7" w:rsidP="001328E7">
      <w:pPr>
        <w:pStyle w:val="Textonotapie"/>
        <w:ind w:firstLine="708"/>
        <w:jc w:val="both"/>
        <w:rPr>
          <w:rFonts w:ascii="Verdana" w:hAnsi="Verdana"/>
          <w:sz w:val="14"/>
          <w:szCs w:val="14"/>
          <w:lang w:val="es-CO"/>
        </w:rPr>
      </w:pPr>
      <w:r w:rsidRPr="00535950">
        <w:rPr>
          <w:rFonts w:ascii="Verdana" w:hAnsi="Verdana"/>
          <w:sz w:val="14"/>
          <w:szCs w:val="14"/>
          <w:lang w:val="es-CO"/>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p w14:paraId="45775DA7" w14:textId="77777777" w:rsidR="001328E7" w:rsidRPr="00F77588" w:rsidRDefault="001328E7" w:rsidP="001328E7">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FF45C0"/>
    <w:multiLevelType w:val="hybridMultilevel"/>
    <w:tmpl w:val="FD1002E8"/>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A45612E"/>
    <w:multiLevelType w:val="hybridMultilevel"/>
    <w:tmpl w:val="CE5068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8"/>
  </w:num>
  <w:num w:numId="2" w16cid:durableId="19822139">
    <w:abstractNumId w:val="2"/>
  </w:num>
  <w:num w:numId="3" w16cid:durableId="876742304">
    <w:abstractNumId w:val="6"/>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5"/>
  </w:num>
  <w:num w:numId="7" w16cid:durableId="1946422806">
    <w:abstractNumId w:val="7"/>
  </w:num>
  <w:num w:numId="8" w16cid:durableId="152644682">
    <w:abstractNumId w:val="14"/>
  </w:num>
  <w:num w:numId="9" w16cid:durableId="1317221377">
    <w:abstractNumId w:val="9"/>
  </w:num>
  <w:num w:numId="10" w16cid:durableId="1471245386">
    <w:abstractNumId w:val="13"/>
  </w:num>
  <w:num w:numId="11" w16cid:durableId="289172385">
    <w:abstractNumId w:val="10"/>
  </w:num>
  <w:num w:numId="12" w16cid:durableId="1470781324">
    <w:abstractNumId w:val="1"/>
  </w:num>
  <w:num w:numId="13" w16cid:durableId="1512908409">
    <w:abstractNumId w:val="3"/>
  </w:num>
  <w:num w:numId="14" w16cid:durableId="895897244">
    <w:abstractNumId w:val="16"/>
  </w:num>
  <w:num w:numId="15" w16cid:durableId="390349800">
    <w:abstractNumId w:val="12"/>
  </w:num>
  <w:num w:numId="16" w16cid:durableId="1244417980">
    <w:abstractNumId w:val="0"/>
  </w:num>
  <w:num w:numId="17" w16cid:durableId="825972635">
    <w:abstractNumId w:val="11"/>
  </w:num>
  <w:num w:numId="18" w16cid:durableId="2052605301">
    <w:abstractNumId w:val="4"/>
  </w:num>
  <w:num w:numId="19" w16cid:durableId="1452456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48C1"/>
    <w:rsid w:val="000259B5"/>
    <w:rsid w:val="000406E8"/>
    <w:rsid w:val="000416FA"/>
    <w:rsid w:val="00061B2A"/>
    <w:rsid w:val="00082362"/>
    <w:rsid w:val="000830B5"/>
    <w:rsid w:val="000A683E"/>
    <w:rsid w:val="000B19B9"/>
    <w:rsid w:val="000D0334"/>
    <w:rsid w:val="000D2512"/>
    <w:rsid w:val="000D3BE2"/>
    <w:rsid w:val="000E179E"/>
    <w:rsid w:val="000F1F1E"/>
    <w:rsid w:val="000F6486"/>
    <w:rsid w:val="00116EDF"/>
    <w:rsid w:val="0012498C"/>
    <w:rsid w:val="00125105"/>
    <w:rsid w:val="00127233"/>
    <w:rsid w:val="001328E7"/>
    <w:rsid w:val="00166FB4"/>
    <w:rsid w:val="00175B5E"/>
    <w:rsid w:val="0019730B"/>
    <w:rsid w:val="001B7137"/>
    <w:rsid w:val="001C7651"/>
    <w:rsid w:val="001D66A3"/>
    <w:rsid w:val="001E4177"/>
    <w:rsid w:val="001F7DC6"/>
    <w:rsid w:val="002421BB"/>
    <w:rsid w:val="0025796E"/>
    <w:rsid w:val="002707A2"/>
    <w:rsid w:val="00271113"/>
    <w:rsid w:val="00277742"/>
    <w:rsid w:val="00291C8C"/>
    <w:rsid w:val="00293F5D"/>
    <w:rsid w:val="002951A0"/>
    <w:rsid w:val="002962BC"/>
    <w:rsid w:val="002A093D"/>
    <w:rsid w:val="002A0DD0"/>
    <w:rsid w:val="002A4830"/>
    <w:rsid w:val="002A49AC"/>
    <w:rsid w:val="002A64FD"/>
    <w:rsid w:val="002B7BB5"/>
    <w:rsid w:val="002C0A33"/>
    <w:rsid w:val="002C7A84"/>
    <w:rsid w:val="002E4FD9"/>
    <w:rsid w:val="00315536"/>
    <w:rsid w:val="00322A85"/>
    <w:rsid w:val="00323D05"/>
    <w:rsid w:val="00324168"/>
    <w:rsid w:val="003370E1"/>
    <w:rsid w:val="003448F4"/>
    <w:rsid w:val="00357E6C"/>
    <w:rsid w:val="00361182"/>
    <w:rsid w:val="003665CE"/>
    <w:rsid w:val="003723E9"/>
    <w:rsid w:val="00374F5E"/>
    <w:rsid w:val="00377E3E"/>
    <w:rsid w:val="003846DE"/>
    <w:rsid w:val="00384E48"/>
    <w:rsid w:val="00387B5F"/>
    <w:rsid w:val="00394B71"/>
    <w:rsid w:val="003A26D1"/>
    <w:rsid w:val="003A779E"/>
    <w:rsid w:val="003D0F4D"/>
    <w:rsid w:val="003D5B0D"/>
    <w:rsid w:val="003E0499"/>
    <w:rsid w:val="003E76B2"/>
    <w:rsid w:val="003F3941"/>
    <w:rsid w:val="00406575"/>
    <w:rsid w:val="00410716"/>
    <w:rsid w:val="0042722E"/>
    <w:rsid w:val="00427FF2"/>
    <w:rsid w:val="00433A22"/>
    <w:rsid w:val="0044528D"/>
    <w:rsid w:val="00450169"/>
    <w:rsid w:val="00491DD4"/>
    <w:rsid w:val="004A1847"/>
    <w:rsid w:val="004A305D"/>
    <w:rsid w:val="004D4627"/>
    <w:rsid w:val="004D4E3F"/>
    <w:rsid w:val="004F0B0D"/>
    <w:rsid w:val="004F1B7C"/>
    <w:rsid w:val="004F21C4"/>
    <w:rsid w:val="004F685F"/>
    <w:rsid w:val="00513913"/>
    <w:rsid w:val="00516FE9"/>
    <w:rsid w:val="0052595A"/>
    <w:rsid w:val="00535950"/>
    <w:rsid w:val="005410FE"/>
    <w:rsid w:val="005566E8"/>
    <w:rsid w:val="00563C01"/>
    <w:rsid w:val="00572F3A"/>
    <w:rsid w:val="00574498"/>
    <w:rsid w:val="00574867"/>
    <w:rsid w:val="00575384"/>
    <w:rsid w:val="00591460"/>
    <w:rsid w:val="00592628"/>
    <w:rsid w:val="005A7126"/>
    <w:rsid w:val="005C3777"/>
    <w:rsid w:val="005C5CDC"/>
    <w:rsid w:val="005D476C"/>
    <w:rsid w:val="005F54D9"/>
    <w:rsid w:val="005F6AA6"/>
    <w:rsid w:val="00610812"/>
    <w:rsid w:val="006219F8"/>
    <w:rsid w:val="006257E8"/>
    <w:rsid w:val="00626246"/>
    <w:rsid w:val="006317D2"/>
    <w:rsid w:val="00650FF7"/>
    <w:rsid w:val="00653B54"/>
    <w:rsid w:val="00665D70"/>
    <w:rsid w:val="00667FCF"/>
    <w:rsid w:val="00671DAC"/>
    <w:rsid w:val="006900D9"/>
    <w:rsid w:val="00696CA8"/>
    <w:rsid w:val="006A74E0"/>
    <w:rsid w:val="006C2235"/>
    <w:rsid w:val="006D0EE1"/>
    <w:rsid w:val="006D12F8"/>
    <w:rsid w:val="006D47E4"/>
    <w:rsid w:val="006E02D9"/>
    <w:rsid w:val="006E52CB"/>
    <w:rsid w:val="006F0321"/>
    <w:rsid w:val="007030BC"/>
    <w:rsid w:val="007055C1"/>
    <w:rsid w:val="00706C16"/>
    <w:rsid w:val="00734BAB"/>
    <w:rsid w:val="00743EC4"/>
    <w:rsid w:val="00746513"/>
    <w:rsid w:val="00756841"/>
    <w:rsid w:val="007573BB"/>
    <w:rsid w:val="007649AB"/>
    <w:rsid w:val="00766DF2"/>
    <w:rsid w:val="00771D0C"/>
    <w:rsid w:val="007833AC"/>
    <w:rsid w:val="007B268C"/>
    <w:rsid w:val="007B7171"/>
    <w:rsid w:val="007C0C0F"/>
    <w:rsid w:val="007C3DC2"/>
    <w:rsid w:val="007C6113"/>
    <w:rsid w:val="007D4E69"/>
    <w:rsid w:val="007E5497"/>
    <w:rsid w:val="008062D2"/>
    <w:rsid w:val="00806F5F"/>
    <w:rsid w:val="00811691"/>
    <w:rsid w:val="00817490"/>
    <w:rsid w:val="00820278"/>
    <w:rsid w:val="0084056F"/>
    <w:rsid w:val="00870A14"/>
    <w:rsid w:val="0087321F"/>
    <w:rsid w:val="008843B6"/>
    <w:rsid w:val="00891928"/>
    <w:rsid w:val="008A2235"/>
    <w:rsid w:val="008A446D"/>
    <w:rsid w:val="008B516F"/>
    <w:rsid w:val="008C5645"/>
    <w:rsid w:val="008D180B"/>
    <w:rsid w:val="008E3E7C"/>
    <w:rsid w:val="008F0EA7"/>
    <w:rsid w:val="008F6B35"/>
    <w:rsid w:val="00903E5C"/>
    <w:rsid w:val="00914467"/>
    <w:rsid w:val="00923158"/>
    <w:rsid w:val="00923EEF"/>
    <w:rsid w:val="00925FF7"/>
    <w:rsid w:val="00930FDD"/>
    <w:rsid w:val="00935729"/>
    <w:rsid w:val="009419F9"/>
    <w:rsid w:val="00950123"/>
    <w:rsid w:val="009506AE"/>
    <w:rsid w:val="0095685E"/>
    <w:rsid w:val="00961B09"/>
    <w:rsid w:val="00965334"/>
    <w:rsid w:val="0097093E"/>
    <w:rsid w:val="009838F3"/>
    <w:rsid w:val="00992866"/>
    <w:rsid w:val="00993E2A"/>
    <w:rsid w:val="009A0DFA"/>
    <w:rsid w:val="009A74E4"/>
    <w:rsid w:val="009B2D26"/>
    <w:rsid w:val="009B2DC2"/>
    <w:rsid w:val="009B6A7B"/>
    <w:rsid w:val="009C3685"/>
    <w:rsid w:val="009C71FA"/>
    <w:rsid w:val="009C72E7"/>
    <w:rsid w:val="009D3058"/>
    <w:rsid w:val="009F3009"/>
    <w:rsid w:val="009F3A13"/>
    <w:rsid w:val="009F4B05"/>
    <w:rsid w:val="009F7011"/>
    <w:rsid w:val="00A05C76"/>
    <w:rsid w:val="00A10AE9"/>
    <w:rsid w:val="00A122D3"/>
    <w:rsid w:val="00A16633"/>
    <w:rsid w:val="00A17F13"/>
    <w:rsid w:val="00A20739"/>
    <w:rsid w:val="00A212BC"/>
    <w:rsid w:val="00A22094"/>
    <w:rsid w:val="00A33C78"/>
    <w:rsid w:val="00A8691C"/>
    <w:rsid w:val="00AA0E5B"/>
    <w:rsid w:val="00AB083C"/>
    <w:rsid w:val="00AB0ADB"/>
    <w:rsid w:val="00AB0DF9"/>
    <w:rsid w:val="00AB17D9"/>
    <w:rsid w:val="00AD556B"/>
    <w:rsid w:val="00AE1BCF"/>
    <w:rsid w:val="00B01B1A"/>
    <w:rsid w:val="00B20EE7"/>
    <w:rsid w:val="00B2230F"/>
    <w:rsid w:val="00B522D8"/>
    <w:rsid w:val="00B577E6"/>
    <w:rsid w:val="00B72CD3"/>
    <w:rsid w:val="00B72FFF"/>
    <w:rsid w:val="00BB3E9F"/>
    <w:rsid w:val="00BC3D36"/>
    <w:rsid w:val="00BC48FA"/>
    <w:rsid w:val="00BD478F"/>
    <w:rsid w:val="00BD6AB6"/>
    <w:rsid w:val="00BD7F72"/>
    <w:rsid w:val="00BF22AA"/>
    <w:rsid w:val="00C04FB3"/>
    <w:rsid w:val="00C330EB"/>
    <w:rsid w:val="00C343F9"/>
    <w:rsid w:val="00C3600C"/>
    <w:rsid w:val="00C53A4B"/>
    <w:rsid w:val="00C54AF5"/>
    <w:rsid w:val="00C55A09"/>
    <w:rsid w:val="00C56418"/>
    <w:rsid w:val="00C61DFC"/>
    <w:rsid w:val="00C73012"/>
    <w:rsid w:val="00C754BE"/>
    <w:rsid w:val="00C76B1C"/>
    <w:rsid w:val="00C92E52"/>
    <w:rsid w:val="00CB4793"/>
    <w:rsid w:val="00CB4CCC"/>
    <w:rsid w:val="00CB6357"/>
    <w:rsid w:val="00CC1942"/>
    <w:rsid w:val="00CC1B26"/>
    <w:rsid w:val="00CD7AD9"/>
    <w:rsid w:val="00D000ED"/>
    <w:rsid w:val="00D423A2"/>
    <w:rsid w:val="00D520D8"/>
    <w:rsid w:val="00D60022"/>
    <w:rsid w:val="00D63AC2"/>
    <w:rsid w:val="00D7383B"/>
    <w:rsid w:val="00D83331"/>
    <w:rsid w:val="00D85D70"/>
    <w:rsid w:val="00D91E8D"/>
    <w:rsid w:val="00DA231B"/>
    <w:rsid w:val="00DA23A0"/>
    <w:rsid w:val="00DA26EE"/>
    <w:rsid w:val="00DB344C"/>
    <w:rsid w:val="00DC39FC"/>
    <w:rsid w:val="00DD1E38"/>
    <w:rsid w:val="00DF5254"/>
    <w:rsid w:val="00E16408"/>
    <w:rsid w:val="00E20894"/>
    <w:rsid w:val="00E245AB"/>
    <w:rsid w:val="00E2576E"/>
    <w:rsid w:val="00E2764C"/>
    <w:rsid w:val="00E27F2E"/>
    <w:rsid w:val="00E30BA2"/>
    <w:rsid w:val="00E413EA"/>
    <w:rsid w:val="00E43EE1"/>
    <w:rsid w:val="00E50AFE"/>
    <w:rsid w:val="00E565AF"/>
    <w:rsid w:val="00E6070B"/>
    <w:rsid w:val="00E61065"/>
    <w:rsid w:val="00E75C92"/>
    <w:rsid w:val="00E771DC"/>
    <w:rsid w:val="00E779DE"/>
    <w:rsid w:val="00E8772A"/>
    <w:rsid w:val="00E90F6B"/>
    <w:rsid w:val="00E92C27"/>
    <w:rsid w:val="00E94700"/>
    <w:rsid w:val="00EA0E3D"/>
    <w:rsid w:val="00EA7FEB"/>
    <w:rsid w:val="00EB39BB"/>
    <w:rsid w:val="00EB4F83"/>
    <w:rsid w:val="00EB7228"/>
    <w:rsid w:val="00EB7C63"/>
    <w:rsid w:val="00EC38A7"/>
    <w:rsid w:val="00EC77AA"/>
    <w:rsid w:val="00ED36EC"/>
    <w:rsid w:val="00ED5A91"/>
    <w:rsid w:val="00EE1AA8"/>
    <w:rsid w:val="00EE7F49"/>
    <w:rsid w:val="00F00C1F"/>
    <w:rsid w:val="00F17555"/>
    <w:rsid w:val="00F25E19"/>
    <w:rsid w:val="00F31EDC"/>
    <w:rsid w:val="00F462B3"/>
    <w:rsid w:val="00F500F9"/>
    <w:rsid w:val="00F5432D"/>
    <w:rsid w:val="00F56283"/>
    <w:rsid w:val="00F5664F"/>
    <w:rsid w:val="00F666C4"/>
    <w:rsid w:val="00F7334A"/>
    <w:rsid w:val="00F73D93"/>
    <w:rsid w:val="00F74E91"/>
    <w:rsid w:val="00F76AFC"/>
    <w:rsid w:val="00FA47C0"/>
    <w:rsid w:val="00FB5DD1"/>
    <w:rsid w:val="00FC0528"/>
    <w:rsid w:val="00FC2B5D"/>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1328E7"/>
    <w:rPr>
      <w:rFonts w:ascii="Geomanist Light" w:hAnsi="Geomanist Light"/>
      <w:lang w:val="es-ES"/>
    </w:rPr>
  </w:style>
  <w:style w:type="paragraph" w:customStyle="1" w:styleId="Appelnotedebasde">
    <w:name w:val="Appel note de bas de..."/>
    <w:basedOn w:val="Normal"/>
    <w:link w:val="Refdenotaalpie"/>
    <w:uiPriority w:val="99"/>
    <w:rsid w:val="001328E7"/>
    <w:pPr>
      <w:spacing w:line="240" w:lineRule="exact"/>
    </w:pPr>
    <w:rPr>
      <w:vertAlign w:val="superscript"/>
    </w:rPr>
  </w:style>
  <w:style w:type="character" w:styleId="Refdecomentario">
    <w:name w:val="annotation reference"/>
    <w:basedOn w:val="Fuentedeprrafopredeter"/>
    <w:uiPriority w:val="99"/>
    <w:semiHidden/>
    <w:unhideWhenUsed/>
    <w:rsid w:val="009F4B05"/>
    <w:rPr>
      <w:sz w:val="16"/>
      <w:szCs w:val="16"/>
    </w:rPr>
  </w:style>
  <w:style w:type="paragraph" w:styleId="Textocomentario">
    <w:name w:val="annotation text"/>
    <w:basedOn w:val="Normal"/>
    <w:link w:val="TextocomentarioCar"/>
    <w:uiPriority w:val="99"/>
    <w:unhideWhenUsed/>
    <w:rsid w:val="009F4B05"/>
    <w:pPr>
      <w:spacing w:line="240" w:lineRule="auto"/>
    </w:pPr>
    <w:rPr>
      <w:sz w:val="20"/>
      <w:szCs w:val="20"/>
    </w:rPr>
  </w:style>
  <w:style w:type="character" w:customStyle="1" w:styleId="TextocomentarioCar">
    <w:name w:val="Texto comentario Car"/>
    <w:basedOn w:val="Fuentedeprrafopredeter"/>
    <w:link w:val="Textocomentario"/>
    <w:uiPriority w:val="99"/>
    <w:rsid w:val="009F4B05"/>
    <w:rPr>
      <w:sz w:val="20"/>
      <w:szCs w:val="20"/>
    </w:rPr>
  </w:style>
  <w:style w:type="paragraph" w:styleId="Asuntodelcomentario">
    <w:name w:val="annotation subject"/>
    <w:basedOn w:val="Textocomentario"/>
    <w:next w:val="Textocomentario"/>
    <w:link w:val="AsuntodelcomentarioCar"/>
    <w:uiPriority w:val="99"/>
    <w:semiHidden/>
    <w:unhideWhenUsed/>
    <w:rsid w:val="009F4B05"/>
    <w:rPr>
      <w:b/>
      <w:bCs/>
    </w:rPr>
  </w:style>
  <w:style w:type="character" w:customStyle="1" w:styleId="AsuntodelcomentarioCar">
    <w:name w:val="Asunto del comentario Car"/>
    <w:basedOn w:val="TextocomentarioCar"/>
    <w:link w:val="Asuntodelcomentario"/>
    <w:uiPriority w:val="99"/>
    <w:semiHidden/>
    <w:rsid w:val="009F4B05"/>
    <w:rPr>
      <w:b/>
      <w:bCs/>
      <w:sz w:val="20"/>
      <w:szCs w:val="20"/>
    </w:rPr>
  </w:style>
  <w:style w:type="paragraph" w:styleId="Textoindependiente">
    <w:name w:val="Body Text"/>
    <w:basedOn w:val="Normal"/>
    <w:link w:val="TextoindependienteCar"/>
    <w:uiPriority w:val="1"/>
    <w:qFormat/>
    <w:rsid w:val="00E43EE1"/>
    <w:pPr>
      <w:widowControl w:val="0"/>
      <w:autoSpaceDE w:val="0"/>
      <w:autoSpaceDN w:val="0"/>
      <w:spacing w:after="0" w:line="240" w:lineRule="auto"/>
    </w:pPr>
    <w:rPr>
      <w:rFonts w:ascii="Verdana" w:eastAsia="Verdana" w:hAnsi="Verdana" w:cs="Verdana"/>
      <w:lang w:val="es-ES"/>
    </w:rPr>
  </w:style>
  <w:style w:type="character" w:customStyle="1" w:styleId="TextoindependienteCar">
    <w:name w:val="Texto independiente Car"/>
    <w:basedOn w:val="Fuentedeprrafopredeter"/>
    <w:link w:val="Textoindependiente"/>
    <w:uiPriority w:val="1"/>
    <w:rsid w:val="00E43EE1"/>
    <w:rPr>
      <w:rFonts w:ascii="Verdana" w:eastAsia="Verdana" w:hAnsi="Verdana" w:cs="Verdan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oxta2.colombiacompra.gov.co/sites/docs/_layouts/15/listform.aspx?PageType=6&amp;ListId=%7b41406f67-8aaf-444a-8f23-f6b9ad006b34%7d&amp;ID=90277"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poxta2.colombiacompra.gov.co/sites/docs/_layouts/15/listform.aspx?PageType=6&amp;ListId=%7b41406f67-8aaf-444a-8f23-f6b9ad006b34%7d&amp;ID=8615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acoladelrio@gmail.com"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sites%2Fcce_public%2Ffiles%2Ffiles_2020%2Fboletin_de_realtoria_iii.pdf&amp;data=05%7C02%7Cdiana.blanco%40colombiacompra.gov.co%7C5aad36a736844ec87b2108dcc1fa4639%7C7b09041e245149d08cb179d5e3d8c1be%7C0%7C0%7C638598527917605093%7CUnknown%7CTWFpbGZsb3d8eyJWIjoiMC4wLjAwMDAiLCJQIjoiV2luMzIiLCJBTiI6Ik1haWwiLCJXVCI6Mn0%3D%7C0%7C%7C%7C&amp;sdata=GC1x4nLNGPX5zoV2M4K11reL8XIUFpjc0LcVId%2FHtgY%3D&amp;reserved=0"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relatoria.colombiacompra.gov.co%2F&amp;data=05%7C02%7Cdiana.blanco%40colombiacompra.gov.co%7C5aad36a736844ec87b2108dcc1fa4639%7C7b09041e245149d08cb179d5e3d8c1be%7C0%7C0%7C638598527917590308%7CUnknown%7CTWFpbGZsb3d8eyJWIjoiMC4wLjAwMDAiLCJQIjoiV2luMzIiLCJBTiI6Ik1haWwiLCJXVCI6Mn0%3D%7C0%7C%7C%7C&amp;sdata=20bTO%2BV9qR58r83wa63pBfbKVVpQa4CxfO3WRNMrKeM%3D&amp;reserved=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senado/basedoc/ley_0080_1993.html" TargetMode="External"/><Relationship Id="rId1" Type="http://schemas.openxmlformats.org/officeDocument/2006/relationships/hyperlink" Target="http://www.secretariasenado.gov.co/senado/basedoc/ley_0527_1999.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a6cb9e4b-f1d1-4245-83ec-6cad768d538a"/>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purl.org/dc/elements/1.1/"/>
    <ds:schemaRef ds:uri="http://purl.org/dc/dcmitype/"/>
    <ds:schemaRef ds:uri="9d85dbaf-23eb-4e57-a637-93dcacc8b1a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4BE19708-4623-4EE4-9BAB-972D6AEFE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4041</Words>
  <Characters>22229</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Rey David Saido Quintero</cp:lastModifiedBy>
  <cp:revision>2</cp:revision>
  <cp:lastPrinted>2023-01-10T21:18:00Z</cp:lastPrinted>
  <dcterms:created xsi:type="dcterms:W3CDTF">2024-10-07T22:08:00Z</dcterms:created>
  <dcterms:modified xsi:type="dcterms:W3CDTF">2024-10-07T22:08:00Z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