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036B0E" w14:textId="77777777" w:rsidR="006D48D6" w:rsidRPr="00A208F6" w:rsidRDefault="006D48D6" w:rsidP="006D48D6">
      <w:pPr>
        <w:spacing w:after="0" w:line="240" w:lineRule="auto"/>
        <w:rPr>
          <w:rFonts w:ascii="Verdana" w:eastAsia="Times New Roman" w:hAnsi="Verdana" w:cs="Arial"/>
          <w:b/>
          <w:color w:val="000000" w:themeColor="text1"/>
          <w:sz w:val="20"/>
          <w:szCs w:val="20"/>
          <w:lang w:eastAsia="es-ES"/>
        </w:rPr>
      </w:pPr>
      <w:r w:rsidRPr="00A208F6">
        <w:rPr>
          <w:rFonts w:ascii="Verdana" w:eastAsia="Times New Roman" w:hAnsi="Verdana" w:cs="Arial"/>
          <w:b/>
          <w:color w:val="000000" w:themeColor="text1"/>
          <w:sz w:val="20"/>
          <w:szCs w:val="20"/>
          <w:lang w:eastAsia="es-ES"/>
        </w:rPr>
        <w:t xml:space="preserve">MODALIDADES DE SELECCIÓN – Clases </w:t>
      </w:r>
    </w:p>
    <w:p w14:paraId="7A2EB719" w14:textId="77777777" w:rsidR="006D48D6" w:rsidRPr="00A208F6" w:rsidRDefault="006D48D6" w:rsidP="006D48D6">
      <w:pPr>
        <w:spacing w:after="0" w:line="240" w:lineRule="auto"/>
        <w:rPr>
          <w:rFonts w:ascii="Verdana" w:eastAsia="Times New Roman" w:hAnsi="Verdana" w:cs="Arial"/>
          <w:b/>
          <w:color w:val="000000" w:themeColor="text1"/>
          <w:sz w:val="20"/>
          <w:szCs w:val="20"/>
          <w:lang w:eastAsia="es-ES"/>
        </w:rPr>
      </w:pPr>
    </w:p>
    <w:p w14:paraId="6D333111" w14:textId="77777777" w:rsidR="006D48D6" w:rsidRPr="00A208F6" w:rsidRDefault="006D48D6" w:rsidP="006D48D6">
      <w:pPr>
        <w:widowControl w:val="0"/>
        <w:autoSpaceDE w:val="0"/>
        <w:autoSpaceDN w:val="0"/>
        <w:spacing w:after="0" w:line="240" w:lineRule="auto"/>
        <w:jc w:val="both"/>
        <w:rPr>
          <w:rFonts w:ascii="Verdana" w:eastAsia="Times New Roman" w:hAnsi="Verdana" w:cs="Arial"/>
          <w:sz w:val="20"/>
          <w:szCs w:val="20"/>
          <w:lang w:val="es-ES" w:eastAsia="es-ES_tradnl"/>
        </w:rPr>
      </w:pPr>
      <w:r w:rsidRPr="00A208F6">
        <w:rPr>
          <w:rFonts w:ascii="Verdana" w:eastAsia="Times New Roman" w:hAnsi="Verdana" w:cs="Arial"/>
          <w:sz w:val="20"/>
          <w:szCs w:val="20"/>
          <w:lang w:eastAsia="es-ES_tradnl"/>
        </w:rPr>
        <w:t xml:space="preserve">[…] </w:t>
      </w:r>
      <w:r w:rsidRPr="00A208F6">
        <w:rPr>
          <w:rFonts w:ascii="Verdana" w:eastAsia="Times New Roman" w:hAnsi="Verdana" w:cs="Arial"/>
          <w:sz w:val="20"/>
          <w:szCs w:val="20"/>
          <w:lang w:val="es-ES" w:eastAsia="es-ES_tradnl"/>
        </w:rPr>
        <w:t>teniendo en cuenta la reforma introducida con la Ley 1474</w:t>
      </w:r>
      <w:r w:rsidRPr="00A208F6">
        <w:rPr>
          <w:rFonts w:ascii="Verdana" w:eastAsia="Times New Roman" w:hAnsi="Verdana" w:cs="Arial"/>
          <w:spacing w:val="1"/>
          <w:sz w:val="20"/>
          <w:szCs w:val="20"/>
          <w:lang w:val="es-ES" w:eastAsia="es-ES_tradnl"/>
        </w:rPr>
        <w:t xml:space="preserve"> </w:t>
      </w:r>
      <w:r w:rsidRPr="00A208F6">
        <w:rPr>
          <w:rFonts w:ascii="Verdana" w:eastAsia="Times New Roman" w:hAnsi="Verdana" w:cs="Arial"/>
          <w:sz w:val="20"/>
          <w:szCs w:val="20"/>
          <w:lang w:val="es-ES" w:eastAsia="es-ES_tradnl"/>
        </w:rPr>
        <w:t xml:space="preserve">de 2011, los procedimientos actualmente regulados son los siguientes: i) licitación pública, </w:t>
      </w:r>
      <w:proofErr w:type="spellStart"/>
      <w:r w:rsidRPr="00A208F6">
        <w:rPr>
          <w:rFonts w:ascii="Verdana" w:eastAsia="Times New Roman" w:hAnsi="Verdana" w:cs="Arial"/>
          <w:sz w:val="20"/>
          <w:szCs w:val="20"/>
          <w:lang w:val="es-ES" w:eastAsia="es-ES_tradnl"/>
        </w:rPr>
        <w:t>ii</w:t>
      </w:r>
      <w:proofErr w:type="spellEnd"/>
      <w:r w:rsidRPr="00A208F6">
        <w:rPr>
          <w:rFonts w:ascii="Verdana" w:eastAsia="Times New Roman" w:hAnsi="Verdana" w:cs="Arial"/>
          <w:sz w:val="20"/>
          <w:szCs w:val="20"/>
          <w:lang w:val="es-ES" w:eastAsia="es-ES_tradnl"/>
        </w:rPr>
        <w:t>)</w:t>
      </w:r>
      <w:r w:rsidRPr="00A208F6">
        <w:rPr>
          <w:rFonts w:ascii="Verdana" w:eastAsia="Times New Roman" w:hAnsi="Verdana" w:cs="Arial"/>
          <w:spacing w:val="1"/>
          <w:sz w:val="20"/>
          <w:szCs w:val="20"/>
          <w:lang w:val="es-ES" w:eastAsia="es-ES_tradnl"/>
        </w:rPr>
        <w:t xml:space="preserve"> </w:t>
      </w:r>
      <w:r w:rsidRPr="00A208F6">
        <w:rPr>
          <w:rFonts w:ascii="Verdana" w:eastAsia="Times New Roman" w:hAnsi="Verdana" w:cs="Arial"/>
          <w:sz w:val="20"/>
          <w:szCs w:val="20"/>
          <w:lang w:val="es-ES" w:eastAsia="es-ES_tradnl"/>
        </w:rPr>
        <w:t xml:space="preserve">selección abreviada, </w:t>
      </w:r>
      <w:proofErr w:type="spellStart"/>
      <w:r w:rsidRPr="00A208F6">
        <w:rPr>
          <w:rFonts w:ascii="Verdana" w:eastAsia="Times New Roman" w:hAnsi="Verdana" w:cs="Arial"/>
          <w:sz w:val="20"/>
          <w:szCs w:val="20"/>
          <w:lang w:val="es-ES" w:eastAsia="es-ES_tradnl"/>
        </w:rPr>
        <w:t>iii</w:t>
      </w:r>
      <w:proofErr w:type="spellEnd"/>
      <w:r w:rsidRPr="00A208F6">
        <w:rPr>
          <w:rFonts w:ascii="Verdana" w:eastAsia="Times New Roman" w:hAnsi="Verdana" w:cs="Arial"/>
          <w:sz w:val="20"/>
          <w:szCs w:val="20"/>
          <w:lang w:val="es-ES" w:eastAsia="es-ES_tradnl"/>
        </w:rPr>
        <w:t xml:space="preserve">) concurso de méritos, </w:t>
      </w:r>
      <w:proofErr w:type="spellStart"/>
      <w:r w:rsidRPr="00A208F6">
        <w:rPr>
          <w:rFonts w:ascii="Verdana" w:eastAsia="Times New Roman" w:hAnsi="Verdana" w:cs="Arial"/>
          <w:sz w:val="20"/>
          <w:szCs w:val="20"/>
          <w:lang w:val="es-ES" w:eastAsia="es-ES_tradnl"/>
        </w:rPr>
        <w:t>iv</w:t>
      </w:r>
      <w:proofErr w:type="spellEnd"/>
      <w:r w:rsidRPr="00A208F6">
        <w:rPr>
          <w:rFonts w:ascii="Verdana" w:eastAsia="Times New Roman" w:hAnsi="Verdana" w:cs="Arial"/>
          <w:sz w:val="20"/>
          <w:szCs w:val="20"/>
          <w:lang w:val="es-ES" w:eastAsia="es-ES_tradnl"/>
        </w:rPr>
        <w:t>) mínima cuantía y v) contratación directa. En</w:t>
      </w:r>
      <w:r w:rsidRPr="00A208F6">
        <w:rPr>
          <w:rFonts w:ascii="Verdana" w:eastAsia="Times New Roman" w:hAnsi="Verdana" w:cs="Arial"/>
          <w:spacing w:val="1"/>
          <w:sz w:val="20"/>
          <w:szCs w:val="20"/>
          <w:lang w:val="es-ES" w:eastAsia="es-ES_tradnl"/>
        </w:rPr>
        <w:t xml:space="preserve"> </w:t>
      </w:r>
      <w:r w:rsidRPr="00A208F6">
        <w:rPr>
          <w:rFonts w:ascii="Verdana" w:eastAsia="Times New Roman" w:hAnsi="Verdana" w:cs="Arial"/>
          <w:sz w:val="20"/>
          <w:szCs w:val="20"/>
          <w:lang w:val="es-ES" w:eastAsia="es-ES_tradnl"/>
        </w:rPr>
        <w:t>dichos</w:t>
      </w:r>
      <w:r w:rsidRPr="00A208F6">
        <w:rPr>
          <w:rFonts w:ascii="Verdana" w:eastAsia="Times New Roman" w:hAnsi="Verdana" w:cs="Arial"/>
          <w:spacing w:val="-6"/>
          <w:sz w:val="20"/>
          <w:szCs w:val="20"/>
          <w:lang w:val="es-ES" w:eastAsia="es-ES_tradnl"/>
        </w:rPr>
        <w:t xml:space="preserve"> </w:t>
      </w:r>
      <w:r w:rsidRPr="00A208F6">
        <w:rPr>
          <w:rFonts w:ascii="Verdana" w:eastAsia="Times New Roman" w:hAnsi="Verdana" w:cs="Arial"/>
          <w:sz w:val="20"/>
          <w:szCs w:val="20"/>
          <w:lang w:val="es-ES" w:eastAsia="es-ES_tradnl"/>
        </w:rPr>
        <w:t>procedimientos</w:t>
      </w:r>
      <w:r w:rsidRPr="00A208F6">
        <w:rPr>
          <w:rFonts w:ascii="Verdana" w:eastAsia="Times New Roman" w:hAnsi="Verdana" w:cs="Arial"/>
          <w:spacing w:val="-6"/>
          <w:sz w:val="20"/>
          <w:szCs w:val="20"/>
          <w:lang w:val="es-ES" w:eastAsia="es-ES_tradnl"/>
        </w:rPr>
        <w:t xml:space="preserve"> </w:t>
      </w:r>
      <w:r w:rsidRPr="00A208F6">
        <w:rPr>
          <w:rFonts w:ascii="Verdana" w:eastAsia="Times New Roman" w:hAnsi="Verdana" w:cs="Arial"/>
          <w:sz w:val="20"/>
          <w:szCs w:val="20"/>
          <w:lang w:val="es-ES" w:eastAsia="es-ES_tradnl"/>
        </w:rPr>
        <w:t>constan</w:t>
      </w:r>
      <w:r w:rsidRPr="00A208F6">
        <w:rPr>
          <w:rFonts w:ascii="Verdana" w:eastAsia="Times New Roman" w:hAnsi="Verdana" w:cs="Arial"/>
          <w:spacing w:val="-5"/>
          <w:sz w:val="20"/>
          <w:szCs w:val="20"/>
          <w:lang w:val="es-ES" w:eastAsia="es-ES_tradnl"/>
        </w:rPr>
        <w:t xml:space="preserve"> </w:t>
      </w:r>
      <w:r w:rsidRPr="00A208F6">
        <w:rPr>
          <w:rFonts w:ascii="Verdana" w:eastAsia="Times New Roman" w:hAnsi="Verdana" w:cs="Arial"/>
          <w:sz w:val="20"/>
          <w:szCs w:val="20"/>
          <w:lang w:val="es-ES" w:eastAsia="es-ES_tradnl"/>
        </w:rPr>
        <w:t>las</w:t>
      </w:r>
      <w:r w:rsidRPr="00A208F6">
        <w:rPr>
          <w:rFonts w:ascii="Verdana" w:eastAsia="Times New Roman" w:hAnsi="Verdana" w:cs="Arial"/>
          <w:spacing w:val="-6"/>
          <w:sz w:val="20"/>
          <w:szCs w:val="20"/>
          <w:lang w:val="es-ES" w:eastAsia="es-ES_tradnl"/>
        </w:rPr>
        <w:t xml:space="preserve"> </w:t>
      </w:r>
      <w:r w:rsidRPr="00A208F6">
        <w:rPr>
          <w:rFonts w:ascii="Verdana" w:eastAsia="Times New Roman" w:hAnsi="Verdana" w:cs="Arial"/>
          <w:sz w:val="20"/>
          <w:szCs w:val="20"/>
          <w:lang w:val="es-ES" w:eastAsia="es-ES_tradnl"/>
        </w:rPr>
        <w:t>etapas</w:t>
      </w:r>
      <w:r w:rsidRPr="00A208F6">
        <w:rPr>
          <w:rFonts w:ascii="Verdana" w:eastAsia="Times New Roman" w:hAnsi="Verdana" w:cs="Arial"/>
          <w:spacing w:val="-6"/>
          <w:sz w:val="20"/>
          <w:szCs w:val="20"/>
          <w:lang w:val="es-ES" w:eastAsia="es-ES_tradnl"/>
        </w:rPr>
        <w:t xml:space="preserve"> </w:t>
      </w:r>
      <w:r w:rsidRPr="00A208F6">
        <w:rPr>
          <w:rFonts w:ascii="Verdana" w:eastAsia="Times New Roman" w:hAnsi="Verdana" w:cs="Arial"/>
          <w:sz w:val="20"/>
          <w:szCs w:val="20"/>
          <w:lang w:val="es-ES" w:eastAsia="es-ES_tradnl"/>
        </w:rPr>
        <w:t>para</w:t>
      </w:r>
      <w:r w:rsidRPr="00A208F6">
        <w:rPr>
          <w:rFonts w:ascii="Verdana" w:eastAsia="Times New Roman" w:hAnsi="Verdana" w:cs="Arial"/>
          <w:spacing w:val="-5"/>
          <w:sz w:val="20"/>
          <w:szCs w:val="20"/>
          <w:lang w:val="es-ES" w:eastAsia="es-ES_tradnl"/>
        </w:rPr>
        <w:t xml:space="preserve"> </w:t>
      </w:r>
      <w:r w:rsidRPr="00A208F6">
        <w:rPr>
          <w:rFonts w:ascii="Verdana" w:eastAsia="Times New Roman" w:hAnsi="Verdana" w:cs="Arial"/>
          <w:sz w:val="20"/>
          <w:szCs w:val="20"/>
          <w:lang w:val="es-ES" w:eastAsia="es-ES_tradnl"/>
        </w:rPr>
        <w:t>la</w:t>
      </w:r>
      <w:r w:rsidRPr="00A208F6">
        <w:rPr>
          <w:rFonts w:ascii="Verdana" w:eastAsia="Times New Roman" w:hAnsi="Verdana" w:cs="Arial"/>
          <w:spacing w:val="-6"/>
          <w:sz w:val="20"/>
          <w:szCs w:val="20"/>
          <w:lang w:val="es-ES" w:eastAsia="es-ES_tradnl"/>
        </w:rPr>
        <w:t xml:space="preserve"> </w:t>
      </w:r>
      <w:r w:rsidRPr="00A208F6">
        <w:rPr>
          <w:rFonts w:ascii="Verdana" w:eastAsia="Times New Roman" w:hAnsi="Verdana" w:cs="Arial"/>
          <w:sz w:val="20"/>
          <w:szCs w:val="20"/>
          <w:lang w:val="es-ES" w:eastAsia="es-ES_tradnl"/>
        </w:rPr>
        <w:t>adquisición</w:t>
      </w:r>
      <w:r w:rsidRPr="00A208F6">
        <w:rPr>
          <w:rFonts w:ascii="Verdana" w:eastAsia="Times New Roman" w:hAnsi="Verdana" w:cs="Arial"/>
          <w:spacing w:val="-5"/>
          <w:sz w:val="20"/>
          <w:szCs w:val="20"/>
          <w:lang w:val="es-ES" w:eastAsia="es-ES_tradnl"/>
        </w:rPr>
        <w:t xml:space="preserve"> </w:t>
      </w:r>
      <w:r w:rsidRPr="00A208F6">
        <w:rPr>
          <w:rFonts w:ascii="Verdana" w:eastAsia="Times New Roman" w:hAnsi="Verdana" w:cs="Arial"/>
          <w:sz w:val="20"/>
          <w:szCs w:val="20"/>
          <w:lang w:val="es-ES" w:eastAsia="es-ES_tradnl"/>
        </w:rPr>
        <w:t>de</w:t>
      </w:r>
      <w:r w:rsidRPr="00A208F6">
        <w:rPr>
          <w:rFonts w:ascii="Verdana" w:eastAsia="Times New Roman" w:hAnsi="Verdana" w:cs="Arial"/>
          <w:spacing w:val="-6"/>
          <w:sz w:val="20"/>
          <w:szCs w:val="20"/>
          <w:lang w:val="es-ES" w:eastAsia="es-ES_tradnl"/>
        </w:rPr>
        <w:t xml:space="preserve"> </w:t>
      </w:r>
      <w:r w:rsidRPr="00A208F6">
        <w:rPr>
          <w:rFonts w:ascii="Verdana" w:eastAsia="Times New Roman" w:hAnsi="Verdana" w:cs="Arial"/>
          <w:sz w:val="20"/>
          <w:szCs w:val="20"/>
          <w:lang w:val="es-ES" w:eastAsia="es-ES_tradnl"/>
        </w:rPr>
        <w:t>obras,</w:t>
      </w:r>
      <w:r w:rsidRPr="00A208F6">
        <w:rPr>
          <w:rFonts w:ascii="Verdana" w:eastAsia="Times New Roman" w:hAnsi="Verdana" w:cs="Arial"/>
          <w:spacing w:val="-6"/>
          <w:sz w:val="20"/>
          <w:szCs w:val="20"/>
          <w:lang w:val="es-ES" w:eastAsia="es-ES_tradnl"/>
        </w:rPr>
        <w:t xml:space="preserve"> </w:t>
      </w:r>
      <w:r w:rsidRPr="00A208F6">
        <w:rPr>
          <w:rFonts w:ascii="Verdana" w:eastAsia="Times New Roman" w:hAnsi="Verdana" w:cs="Arial"/>
          <w:sz w:val="20"/>
          <w:szCs w:val="20"/>
          <w:lang w:val="es-ES" w:eastAsia="es-ES_tradnl"/>
        </w:rPr>
        <w:t>bienes</w:t>
      </w:r>
      <w:r w:rsidRPr="00A208F6">
        <w:rPr>
          <w:rFonts w:ascii="Verdana" w:eastAsia="Times New Roman" w:hAnsi="Verdana" w:cs="Arial"/>
          <w:spacing w:val="-5"/>
          <w:sz w:val="20"/>
          <w:szCs w:val="20"/>
          <w:lang w:val="es-ES" w:eastAsia="es-ES_tradnl"/>
        </w:rPr>
        <w:t xml:space="preserve"> </w:t>
      </w:r>
      <w:r w:rsidRPr="00A208F6">
        <w:rPr>
          <w:rFonts w:ascii="Verdana" w:eastAsia="Times New Roman" w:hAnsi="Verdana" w:cs="Arial"/>
          <w:sz w:val="20"/>
          <w:szCs w:val="20"/>
          <w:lang w:val="es-ES" w:eastAsia="es-ES_tradnl"/>
        </w:rPr>
        <w:t>y</w:t>
      </w:r>
      <w:r w:rsidRPr="00A208F6">
        <w:rPr>
          <w:rFonts w:ascii="Verdana" w:eastAsia="Times New Roman" w:hAnsi="Verdana" w:cs="Arial"/>
          <w:spacing w:val="-6"/>
          <w:sz w:val="20"/>
          <w:szCs w:val="20"/>
          <w:lang w:val="es-ES" w:eastAsia="es-ES_tradnl"/>
        </w:rPr>
        <w:t xml:space="preserve"> </w:t>
      </w:r>
      <w:r w:rsidRPr="00A208F6">
        <w:rPr>
          <w:rFonts w:ascii="Verdana" w:eastAsia="Times New Roman" w:hAnsi="Verdana" w:cs="Arial"/>
          <w:sz w:val="20"/>
          <w:szCs w:val="20"/>
          <w:lang w:val="es-ES" w:eastAsia="es-ES_tradnl"/>
        </w:rPr>
        <w:t>servicios,</w:t>
      </w:r>
      <w:r w:rsidRPr="00A208F6">
        <w:rPr>
          <w:rFonts w:ascii="Verdana" w:eastAsia="Times New Roman" w:hAnsi="Verdana" w:cs="Arial"/>
          <w:spacing w:val="-5"/>
          <w:sz w:val="20"/>
          <w:szCs w:val="20"/>
          <w:lang w:val="es-ES" w:eastAsia="es-ES_tradnl"/>
        </w:rPr>
        <w:t xml:space="preserve"> </w:t>
      </w:r>
      <w:r w:rsidRPr="00A208F6">
        <w:rPr>
          <w:rFonts w:ascii="Verdana" w:eastAsia="Times New Roman" w:hAnsi="Verdana" w:cs="Arial"/>
          <w:sz w:val="20"/>
          <w:szCs w:val="20"/>
          <w:lang w:val="es-ES" w:eastAsia="es-ES_tradnl"/>
        </w:rPr>
        <w:t>por</w:t>
      </w:r>
      <w:r w:rsidRPr="00A208F6">
        <w:rPr>
          <w:rFonts w:ascii="Verdana" w:eastAsia="Times New Roman" w:hAnsi="Verdana" w:cs="Arial"/>
          <w:spacing w:val="-6"/>
          <w:sz w:val="20"/>
          <w:szCs w:val="20"/>
          <w:lang w:val="es-ES" w:eastAsia="es-ES_tradnl"/>
        </w:rPr>
        <w:t xml:space="preserve"> </w:t>
      </w:r>
      <w:r w:rsidRPr="00A208F6">
        <w:rPr>
          <w:rFonts w:ascii="Verdana" w:eastAsia="Times New Roman" w:hAnsi="Verdana" w:cs="Arial"/>
          <w:sz w:val="20"/>
          <w:szCs w:val="20"/>
          <w:lang w:val="es-ES" w:eastAsia="es-ES_tradnl"/>
        </w:rPr>
        <w:t>lo</w:t>
      </w:r>
      <w:r w:rsidRPr="00A208F6">
        <w:rPr>
          <w:rFonts w:ascii="Verdana" w:eastAsia="Times New Roman" w:hAnsi="Verdana" w:cs="Arial"/>
          <w:spacing w:val="-59"/>
          <w:sz w:val="20"/>
          <w:szCs w:val="20"/>
          <w:lang w:val="es-ES" w:eastAsia="es-ES_tradnl"/>
        </w:rPr>
        <w:t xml:space="preserve"> </w:t>
      </w:r>
      <w:r w:rsidRPr="00A208F6">
        <w:rPr>
          <w:rFonts w:ascii="Verdana" w:eastAsia="Times New Roman" w:hAnsi="Verdana" w:cs="Arial"/>
          <w:sz w:val="20"/>
          <w:szCs w:val="20"/>
          <w:lang w:val="es-ES" w:eastAsia="es-ES_tradnl"/>
        </w:rPr>
        <w:t>que</w:t>
      </w:r>
      <w:r w:rsidRPr="00A208F6">
        <w:rPr>
          <w:rFonts w:ascii="Verdana" w:eastAsia="Times New Roman" w:hAnsi="Verdana" w:cs="Arial"/>
          <w:spacing w:val="-9"/>
          <w:sz w:val="20"/>
          <w:szCs w:val="20"/>
          <w:lang w:val="es-ES" w:eastAsia="es-ES_tradnl"/>
        </w:rPr>
        <w:t xml:space="preserve"> </w:t>
      </w:r>
      <w:r w:rsidRPr="00A208F6">
        <w:rPr>
          <w:rFonts w:ascii="Verdana" w:eastAsia="Times New Roman" w:hAnsi="Verdana" w:cs="Arial"/>
          <w:sz w:val="20"/>
          <w:szCs w:val="20"/>
          <w:lang w:val="es-ES" w:eastAsia="es-ES_tradnl"/>
        </w:rPr>
        <w:t>cada</w:t>
      </w:r>
      <w:r w:rsidRPr="00A208F6">
        <w:rPr>
          <w:rFonts w:ascii="Verdana" w:eastAsia="Times New Roman" w:hAnsi="Verdana" w:cs="Arial"/>
          <w:spacing w:val="-8"/>
          <w:sz w:val="20"/>
          <w:szCs w:val="20"/>
          <w:lang w:val="es-ES" w:eastAsia="es-ES_tradnl"/>
        </w:rPr>
        <w:t xml:space="preserve"> </w:t>
      </w:r>
      <w:r w:rsidRPr="00A208F6">
        <w:rPr>
          <w:rFonts w:ascii="Verdana" w:eastAsia="Times New Roman" w:hAnsi="Verdana" w:cs="Arial"/>
          <w:sz w:val="20"/>
          <w:szCs w:val="20"/>
          <w:lang w:val="es-ES" w:eastAsia="es-ES_tradnl"/>
        </w:rPr>
        <w:t>entidad</w:t>
      </w:r>
      <w:r w:rsidRPr="00A208F6">
        <w:rPr>
          <w:rFonts w:ascii="Verdana" w:eastAsia="Times New Roman" w:hAnsi="Verdana" w:cs="Arial"/>
          <w:spacing w:val="-7"/>
          <w:sz w:val="20"/>
          <w:szCs w:val="20"/>
          <w:lang w:val="es-ES" w:eastAsia="es-ES_tradnl"/>
        </w:rPr>
        <w:t xml:space="preserve"> </w:t>
      </w:r>
      <w:r w:rsidRPr="00A208F6">
        <w:rPr>
          <w:rFonts w:ascii="Verdana" w:eastAsia="Times New Roman" w:hAnsi="Verdana" w:cs="Arial"/>
          <w:sz w:val="20"/>
          <w:szCs w:val="20"/>
          <w:lang w:val="es-ES" w:eastAsia="es-ES_tradnl"/>
        </w:rPr>
        <w:t>es</w:t>
      </w:r>
      <w:r w:rsidRPr="00A208F6">
        <w:rPr>
          <w:rFonts w:ascii="Verdana" w:eastAsia="Times New Roman" w:hAnsi="Verdana" w:cs="Arial"/>
          <w:spacing w:val="-8"/>
          <w:sz w:val="20"/>
          <w:szCs w:val="20"/>
          <w:lang w:val="es-ES" w:eastAsia="es-ES_tradnl"/>
        </w:rPr>
        <w:t xml:space="preserve"> </w:t>
      </w:r>
      <w:r w:rsidRPr="00A208F6">
        <w:rPr>
          <w:rFonts w:ascii="Verdana" w:eastAsia="Times New Roman" w:hAnsi="Verdana" w:cs="Arial"/>
          <w:sz w:val="20"/>
          <w:szCs w:val="20"/>
          <w:lang w:val="es-ES" w:eastAsia="es-ES_tradnl"/>
        </w:rPr>
        <w:t>responsable</w:t>
      </w:r>
      <w:r w:rsidRPr="00A208F6">
        <w:rPr>
          <w:rFonts w:ascii="Verdana" w:eastAsia="Times New Roman" w:hAnsi="Verdana" w:cs="Arial"/>
          <w:spacing w:val="-8"/>
          <w:sz w:val="20"/>
          <w:szCs w:val="20"/>
          <w:lang w:val="es-ES" w:eastAsia="es-ES_tradnl"/>
        </w:rPr>
        <w:t xml:space="preserve"> </w:t>
      </w:r>
      <w:r w:rsidRPr="00A208F6">
        <w:rPr>
          <w:rFonts w:ascii="Verdana" w:eastAsia="Times New Roman" w:hAnsi="Verdana" w:cs="Arial"/>
          <w:sz w:val="20"/>
          <w:szCs w:val="20"/>
          <w:lang w:val="es-ES" w:eastAsia="es-ES_tradnl"/>
        </w:rPr>
        <w:t>de</w:t>
      </w:r>
      <w:r w:rsidRPr="00A208F6">
        <w:rPr>
          <w:rFonts w:ascii="Verdana" w:eastAsia="Times New Roman" w:hAnsi="Verdana" w:cs="Arial"/>
          <w:spacing w:val="-9"/>
          <w:sz w:val="20"/>
          <w:szCs w:val="20"/>
          <w:lang w:val="es-ES" w:eastAsia="es-ES_tradnl"/>
        </w:rPr>
        <w:t xml:space="preserve"> </w:t>
      </w:r>
      <w:r w:rsidRPr="00A208F6">
        <w:rPr>
          <w:rFonts w:ascii="Verdana" w:eastAsia="Times New Roman" w:hAnsi="Verdana" w:cs="Arial"/>
          <w:sz w:val="20"/>
          <w:szCs w:val="20"/>
          <w:lang w:val="es-ES" w:eastAsia="es-ES_tradnl"/>
        </w:rPr>
        <w:t>estructurar</w:t>
      </w:r>
      <w:r w:rsidRPr="00A208F6">
        <w:rPr>
          <w:rFonts w:ascii="Verdana" w:eastAsia="Times New Roman" w:hAnsi="Verdana" w:cs="Arial"/>
          <w:spacing w:val="-7"/>
          <w:sz w:val="20"/>
          <w:szCs w:val="20"/>
          <w:lang w:val="es-ES" w:eastAsia="es-ES_tradnl"/>
        </w:rPr>
        <w:t xml:space="preserve"> </w:t>
      </w:r>
      <w:r w:rsidRPr="00A208F6">
        <w:rPr>
          <w:rFonts w:ascii="Verdana" w:eastAsia="Times New Roman" w:hAnsi="Verdana" w:cs="Arial"/>
          <w:sz w:val="20"/>
          <w:szCs w:val="20"/>
          <w:lang w:val="es-ES" w:eastAsia="es-ES_tradnl"/>
        </w:rPr>
        <w:t>los</w:t>
      </w:r>
      <w:r w:rsidRPr="00A208F6">
        <w:rPr>
          <w:rFonts w:ascii="Verdana" w:eastAsia="Times New Roman" w:hAnsi="Verdana" w:cs="Arial"/>
          <w:spacing w:val="-8"/>
          <w:sz w:val="20"/>
          <w:szCs w:val="20"/>
          <w:lang w:val="es-ES" w:eastAsia="es-ES_tradnl"/>
        </w:rPr>
        <w:t xml:space="preserve"> </w:t>
      </w:r>
      <w:r w:rsidRPr="00A208F6">
        <w:rPr>
          <w:rFonts w:ascii="Verdana" w:eastAsia="Times New Roman" w:hAnsi="Verdana" w:cs="Arial"/>
          <w:sz w:val="20"/>
          <w:szCs w:val="20"/>
          <w:lang w:val="es-ES" w:eastAsia="es-ES_tradnl"/>
        </w:rPr>
        <w:t>procedimientos</w:t>
      </w:r>
      <w:r w:rsidRPr="00A208F6">
        <w:rPr>
          <w:rFonts w:ascii="Verdana" w:eastAsia="Times New Roman" w:hAnsi="Verdana" w:cs="Arial"/>
          <w:spacing w:val="-7"/>
          <w:sz w:val="20"/>
          <w:szCs w:val="20"/>
          <w:lang w:val="es-ES" w:eastAsia="es-ES_tradnl"/>
        </w:rPr>
        <w:t xml:space="preserve"> </w:t>
      </w:r>
      <w:r w:rsidRPr="00A208F6">
        <w:rPr>
          <w:rFonts w:ascii="Verdana" w:eastAsia="Times New Roman" w:hAnsi="Verdana" w:cs="Arial"/>
          <w:sz w:val="20"/>
          <w:szCs w:val="20"/>
          <w:lang w:val="es-ES" w:eastAsia="es-ES_tradnl"/>
        </w:rPr>
        <w:t>de</w:t>
      </w:r>
      <w:r w:rsidRPr="00A208F6">
        <w:rPr>
          <w:rFonts w:ascii="Verdana" w:eastAsia="Times New Roman" w:hAnsi="Verdana" w:cs="Arial"/>
          <w:spacing w:val="-8"/>
          <w:sz w:val="20"/>
          <w:szCs w:val="20"/>
          <w:lang w:val="es-ES" w:eastAsia="es-ES_tradnl"/>
        </w:rPr>
        <w:t xml:space="preserve"> </w:t>
      </w:r>
      <w:r w:rsidRPr="00A208F6">
        <w:rPr>
          <w:rFonts w:ascii="Verdana" w:eastAsia="Times New Roman" w:hAnsi="Verdana" w:cs="Arial"/>
          <w:sz w:val="20"/>
          <w:szCs w:val="20"/>
          <w:lang w:val="es-ES" w:eastAsia="es-ES_tradnl"/>
        </w:rPr>
        <w:t>contratación,</w:t>
      </w:r>
      <w:r w:rsidRPr="00A208F6">
        <w:rPr>
          <w:rFonts w:ascii="Verdana" w:eastAsia="Times New Roman" w:hAnsi="Verdana" w:cs="Arial"/>
          <w:spacing w:val="-9"/>
          <w:sz w:val="20"/>
          <w:szCs w:val="20"/>
          <w:lang w:val="es-ES" w:eastAsia="es-ES_tradnl"/>
        </w:rPr>
        <w:t xml:space="preserve"> </w:t>
      </w:r>
      <w:r w:rsidRPr="00A208F6">
        <w:rPr>
          <w:rFonts w:ascii="Verdana" w:eastAsia="Times New Roman" w:hAnsi="Verdana" w:cs="Arial"/>
          <w:sz w:val="20"/>
          <w:szCs w:val="20"/>
          <w:lang w:val="es-ES" w:eastAsia="es-ES_tradnl"/>
        </w:rPr>
        <w:t>siempre</w:t>
      </w:r>
      <w:r w:rsidRPr="00A208F6">
        <w:rPr>
          <w:rFonts w:ascii="Verdana" w:eastAsia="Times New Roman" w:hAnsi="Verdana" w:cs="Arial"/>
          <w:spacing w:val="-8"/>
          <w:sz w:val="20"/>
          <w:szCs w:val="20"/>
          <w:lang w:val="es-ES" w:eastAsia="es-ES_tradnl"/>
        </w:rPr>
        <w:t xml:space="preserve"> </w:t>
      </w:r>
      <w:r w:rsidRPr="00A208F6">
        <w:rPr>
          <w:rFonts w:ascii="Verdana" w:eastAsia="Times New Roman" w:hAnsi="Verdana" w:cs="Arial"/>
          <w:sz w:val="20"/>
          <w:szCs w:val="20"/>
          <w:lang w:val="es-ES" w:eastAsia="es-ES_tradnl"/>
        </w:rPr>
        <w:t>que</w:t>
      </w:r>
      <w:r w:rsidRPr="00A208F6">
        <w:rPr>
          <w:rFonts w:ascii="Verdana" w:eastAsia="Times New Roman" w:hAnsi="Verdana" w:cs="Arial"/>
          <w:spacing w:val="-58"/>
          <w:sz w:val="20"/>
          <w:szCs w:val="20"/>
          <w:lang w:val="es-ES" w:eastAsia="es-ES_tradnl"/>
        </w:rPr>
        <w:t xml:space="preserve"> </w:t>
      </w:r>
      <w:r w:rsidRPr="00A208F6">
        <w:rPr>
          <w:rFonts w:ascii="Verdana" w:eastAsia="Times New Roman" w:hAnsi="Verdana" w:cs="Arial"/>
          <w:sz w:val="20"/>
          <w:szCs w:val="20"/>
          <w:lang w:val="es-ES" w:eastAsia="es-ES_tradnl"/>
        </w:rPr>
        <w:t>respete</w:t>
      </w:r>
      <w:r w:rsidRPr="00A208F6">
        <w:rPr>
          <w:rFonts w:ascii="Verdana" w:eastAsia="Times New Roman" w:hAnsi="Verdana" w:cs="Arial"/>
          <w:spacing w:val="-2"/>
          <w:sz w:val="20"/>
          <w:szCs w:val="20"/>
          <w:lang w:val="es-ES" w:eastAsia="es-ES_tradnl"/>
        </w:rPr>
        <w:t xml:space="preserve"> </w:t>
      </w:r>
      <w:r w:rsidRPr="00A208F6">
        <w:rPr>
          <w:rFonts w:ascii="Verdana" w:eastAsia="Times New Roman" w:hAnsi="Verdana" w:cs="Arial"/>
          <w:sz w:val="20"/>
          <w:szCs w:val="20"/>
          <w:lang w:val="es-ES" w:eastAsia="es-ES_tradnl"/>
        </w:rPr>
        <w:t>el</w:t>
      </w:r>
      <w:r w:rsidRPr="00A208F6">
        <w:rPr>
          <w:rFonts w:ascii="Verdana" w:eastAsia="Times New Roman" w:hAnsi="Verdana" w:cs="Arial"/>
          <w:spacing w:val="-1"/>
          <w:sz w:val="20"/>
          <w:szCs w:val="20"/>
          <w:lang w:val="es-ES" w:eastAsia="es-ES_tradnl"/>
        </w:rPr>
        <w:t xml:space="preserve"> </w:t>
      </w:r>
      <w:r w:rsidRPr="00A208F6">
        <w:rPr>
          <w:rFonts w:ascii="Verdana" w:eastAsia="Times New Roman" w:hAnsi="Verdana" w:cs="Arial"/>
          <w:sz w:val="20"/>
          <w:szCs w:val="20"/>
          <w:lang w:val="es-ES" w:eastAsia="es-ES_tradnl"/>
        </w:rPr>
        <w:t>principio</w:t>
      </w:r>
      <w:r w:rsidRPr="00A208F6">
        <w:rPr>
          <w:rFonts w:ascii="Verdana" w:eastAsia="Times New Roman" w:hAnsi="Verdana" w:cs="Arial"/>
          <w:spacing w:val="-1"/>
          <w:sz w:val="20"/>
          <w:szCs w:val="20"/>
          <w:lang w:val="es-ES" w:eastAsia="es-ES_tradnl"/>
        </w:rPr>
        <w:t xml:space="preserve"> </w:t>
      </w:r>
      <w:r w:rsidRPr="00A208F6">
        <w:rPr>
          <w:rFonts w:ascii="Verdana" w:eastAsia="Times New Roman" w:hAnsi="Verdana" w:cs="Arial"/>
          <w:sz w:val="20"/>
          <w:szCs w:val="20"/>
          <w:lang w:val="es-ES" w:eastAsia="es-ES_tradnl"/>
        </w:rPr>
        <w:t>de</w:t>
      </w:r>
      <w:r w:rsidRPr="00A208F6">
        <w:rPr>
          <w:rFonts w:ascii="Verdana" w:eastAsia="Times New Roman" w:hAnsi="Verdana" w:cs="Arial"/>
          <w:spacing w:val="-1"/>
          <w:sz w:val="20"/>
          <w:szCs w:val="20"/>
          <w:lang w:val="es-ES" w:eastAsia="es-ES_tradnl"/>
        </w:rPr>
        <w:t xml:space="preserve"> </w:t>
      </w:r>
      <w:r w:rsidRPr="00A208F6">
        <w:rPr>
          <w:rFonts w:ascii="Verdana" w:eastAsia="Times New Roman" w:hAnsi="Verdana" w:cs="Arial"/>
          <w:sz w:val="20"/>
          <w:szCs w:val="20"/>
          <w:lang w:val="es-ES" w:eastAsia="es-ES_tradnl"/>
        </w:rPr>
        <w:t>legalidad.</w:t>
      </w:r>
    </w:p>
    <w:p w14:paraId="5FEE4419" w14:textId="77777777" w:rsidR="006D48D6" w:rsidRPr="00A208F6" w:rsidRDefault="006D48D6" w:rsidP="006D48D6">
      <w:pPr>
        <w:widowControl w:val="0"/>
        <w:autoSpaceDE w:val="0"/>
        <w:autoSpaceDN w:val="0"/>
        <w:spacing w:after="0" w:line="240" w:lineRule="auto"/>
        <w:jc w:val="both"/>
        <w:rPr>
          <w:rFonts w:ascii="Verdana" w:eastAsia="Times New Roman" w:hAnsi="Verdana" w:cs="Arial"/>
          <w:b/>
          <w:bCs/>
          <w:color w:val="000000" w:themeColor="text1"/>
          <w:sz w:val="20"/>
          <w:szCs w:val="20"/>
          <w:lang w:val="es-ES"/>
        </w:rPr>
      </w:pPr>
    </w:p>
    <w:p w14:paraId="52B754B6" w14:textId="77777777" w:rsidR="006D48D6" w:rsidRPr="00A208F6" w:rsidRDefault="006D48D6" w:rsidP="006D48D6">
      <w:pPr>
        <w:spacing w:after="0" w:line="240" w:lineRule="auto"/>
        <w:jc w:val="both"/>
        <w:rPr>
          <w:rFonts w:ascii="Verdana" w:eastAsia="Times New Roman" w:hAnsi="Verdana" w:cs="Arial"/>
          <w:b/>
          <w:bCs/>
          <w:color w:val="000000" w:themeColor="text1"/>
          <w:sz w:val="20"/>
          <w:szCs w:val="20"/>
          <w:lang w:val="es-ES_tradnl" w:eastAsia="es-ES_tradnl"/>
        </w:rPr>
      </w:pPr>
      <w:r w:rsidRPr="00A208F6">
        <w:rPr>
          <w:rFonts w:ascii="Verdana" w:eastAsia="Times New Roman" w:hAnsi="Verdana" w:cs="Arial"/>
          <w:b/>
          <w:bCs/>
          <w:color w:val="000000" w:themeColor="text1"/>
          <w:sz w:val="20"/>
          <w:szCs w:val="20"/>
          <w:lang w:val="es-ES_tradnl" w:eastAsia="es-ES_tradnl"/>
        </w:rPr>
        <w:t>MÍNIMA CUANTÍA – Concepto – Regulación – Requisitos</w:t>
      </w:r>
    </w:p>
    <w:p w14:paraId="5E39BDF4" w14:textId="77777777" w:rsidR="006D48D6" w:rsidRPr="00A208F6" w:rsidRDefault="006D48D6" w:rsidP="006D48D6">
      <w:pPr>
        <w:spacing w:after="0" w:line="240" w:lineRule="auto"/>
        <w:jc w:val="both"/>
        <w:rPr>
          <w:rFonts w:ascii="Verdana" w:eastAsia="Times New Roman" w:hAnsi="Verdana" w:cs="Arial"/>
          <w:b/>
          <w:bCs/>
          <w:color w:val="000000" w:themeColor="text1"/>
          <w:sz w:val="20"/>
          <w:szCs w:val="20"/>
          <w:lang w:val="es-ES_tradnl" w:eastAsia="es-ES_tradnl"/>
        </w:rPr>
      </w:pPr>
    </w:p>
    <w:p w14:paraId="683932CC" w14:textId="77777777" w:rsidR="006D48D6" w:rsidRPr="00A208F6" w:rsidRDefault="006D48D6" w:rsidP="006D48D6">
      <w:pPr>
        <w:spacing w:after="0" w:line="240" w:lineRule="auto"/>
        <w:ind w:right="62"/>
        <w:jc w:val="both"/>
        <w:rPr>
          <w:rFonts w:ascii="Verdana" w:eastAsia="Times New Roman" w:hAnsi="Verdana" w:cs="Arial"/>
          <w:sz w:val="20"/>
          <w:szCs w:val="20"/>
          <w:lang w:val="es-ES_tradnl" w:eastAsia="es-ES_tradnl"/>
        </w:rPr>
      </w:pPr>
      <w:r w:rsidRPr="00A208F6">
        <w:rPr>
          <w:rFonts w:ascii="Verdana" w:eastAsia="Times New Roman" w:hAnsi="Verdana" w:cs="Arial"/>
          <w:sz w:val="20"/>
          <w:szCs w:val="20"/>
          <w:lang w:eastAsia="es-ES_tradnl"/>
        </w:rPr>
        <w:t>[…] l</w:t>
      </w:r>
      <w:r w:rsidRPr="00A208F6">
        <w:rPr>
          <w:rFonts w:ascii="Verdana" w:eastAsia="Times New Roman" w:hAnsi="Verdana" w:cs="Arial"/>
          <w:sz w:val="20"/>
          <w:szCs w:val="20"/>
          <w:lang w:val="es-ES_tradnl" w:eastAsia="es-ES_tradnl"/>
        </w:rPr>
        <w:t xml:space="preserve">a mínima cuantía es una modalidad de selección en virtud de la cual la Entidad Estatal realiza una convocatoria pública para recibir ofertas de bienes, obras o servicios cuyo valor no excede el diez por ciento (10%) de la menor cuantía. Esta modalidad de selección fue creada en el 2011 por la Ley 1450, modificada por el artículo 94 de la Ley 1474 de 2011 –que adicionó el numeral 5º al artículo 2 de la Ley 1150 de 2007– y posteriormente por la Ley 2069 de 2020, estableciendo que el factor determinante para llevar a cabo tal procedimiento es la cuantía –calculada como presupuesto oficial a partir del estudio del sector–, “independientemente de su objeto”. </w:t>
      </w:r>
    </w:p>
    <w:p w14:paraId="755EB14B" w14:textId="77777777" w:rsidR="006D48D6" w:rsidRPr="00A208F6" w:rsidRDefault="006D48D6" w:rsidP="006D48D6">
      <w:pPr>
        <w:spacing w:after="0" w:line="240" w:lineRule="auto"/>
        <w:jc w:val="both"/>
        <w:rPr>
          <w:rFonts w:ascii="Verdana" w:eastAsia="Times New Roman" w:hAnsi="Verdana" w:cs="Arial"/>
          <w:sz w:val="20"/>
          <w:szCs w:val="20"/>
          <w:lang w:val="es-ES_tradnl" w:eastAsia="es-ES_tradnl"/>
        </w:rPr>
      </w:pPr>
    </w:p>
    <w:p w14:paraId="4CC48DBF" w14:textId="77777777" w:rsidR="006D48D6" w:rsidRPr="00A208F6" w:rsidRDefault="006D48D6" w:rsidP="006D48D6">
      <w:pPr>
        <w:spacing w:after="0" w:line="240" w:lineRule="auto"/>
        <w:jc w:val="both"/>
        <w:rPr>
          <w:rFonts w:ascii="Verdana" w:eastAsia="Times New Roman" w:hAnsi="Verdana" w:cs="Arial"/>
          <w:sz w:val="20"/>
          <w:szCs w:val="20"/>
          <w:lang w:val="es-ES_tradnl" w:eastAsia="es-ES_tradnl"/>
        </w:rPr>
      </w:pPr>
      <w:r w:rsidRPr="00A208F6">
        <w:rPr>
          <w:rFonts w:ascii="Verdana" w:eastAsia="Times New Roman" w:hAnsi="Verdana" w:cs="Arial"/>
          <w:sz w:val="20"/>
          <w:szCs w:val="20"/>
          <w:lang w:val="es-ES_tradnl" w:eastAsia="es-ES_tradnl"/>
        </w:rPr>
        <w:t xml:space="preserve">Dicho de otro modo, la mínima cuantía es un procedimiento de selección excepcional, porque es una excepción adicional a la regla general constituida por la licitación pública, pero se parece a esta en que también es un llamado general a presentar ofertas, efectuado por la Entidad Estatal interesada en contratar, aunque es distinta en otros aspectos, como su conducencia y su procedimiento; lo primero, porque solo procede por razón de una cuantía específica, y lo segundo, porque sus requisitos, etapas y términos son peculiares. </w:t>
      </w:r>
    </w:p>
    <w:p w14:paraId="2B7EA9D6" w14:textId="77777777" w:rsidR="006D48D6" w:rsidRPr="00A208F6" w:rsidRDefault="006D48D6" w:rsidP="006D48D6">
      <w:pPr>
        <w:spacing w:after="0" w:line="240" w:lineRule="auto"/>
        <w:jc w:val="both"/>
        <w:rPr>
          <w:rFonts w:ascii="Verdana" w:eastAsia="Times New Roman" w:hAnsi="Verdana" w:cs="Arial"/>
          <w:sz w:val="20"/>
          <w:szCs w:val="20"/>
          <w:lang w:val="es-ES_tradnl" w:eastAsia="es-ES_tradnl"/>
        </w:rPr>
      </w:pPr>
    </w:p>
    <w:p w14:paraId="35463B3A" w14:textId="77777777" w:rsidR="006D48D6" w:rsidRPr="00A208F6" w:rsidRDefault="006D48D6" w:rsidP="006D48D6">
      <w:pPr>
        <w:spacing w:after="0" w:line="240" w:lineRule="auto"/>
        <w:jc w:val="both"/>
        <w:rPr>
          <w:rFonts w:ascii="Verdana" w:eastAsia="Times New Roman" w:hAnsi="Verdana" w:cs="Arial"/>
          <w:sz w:val="20"/>
          <w:szCs w:val="20"/>
          <w:lang w:val="es-ES" w:eastAsia="es-ES"/>
        </w:rPr>
      </w:pPr>
      <w:r w:rsidRPr="00487F76">
        <w:rPr>
          <w:rFonts w:ascii="Verdana" w:eastAsia="Times New Roman" w:hAnsi="Verdana" w:cs="Arial"/>
          <w:sz w:val="20"/>
          <w:szCs w:val="20"/>
          <w:lang w:val="es-ES" w:eastAsia="es-ES"/>
        </w:rPr>
        <w:t>Cabe precisar que la disposición indicada anteriormente, esto es el artículo 94 de la Ley 1474 de 2011 –que adicionó el numeral 5º al artículo 2 de la Ley 1150 de 2007– ha sido modificada en distintas ocasiones, siendo la norma vigente que fundamenta la modalidad de mínima cuantía actualmente el artículo 30 de la Ley 2069 de 2020, como se procederá a explicar.</w:t>
      </w:r>
    </w:p>
    <w:p w14:paraId="625AFAA8" w14:textId="77777777" w:rsidR="006D48D6" w:rsidRPr="00A208F6" w:rsidRDefault="006D48D6" w:rsidP="006D48D6">
      <w:pPr>
        <w:spacing w:after="0" w:line="240" w:lineRule="auto"/>
        <w:jc w:val="both"/>
        <w:rPr>
          <w:rFonts w:ascii="Verdana" w:eastAsia="Times New Roman" w:hAnsi="Verdana" w:cs="Arial"/>
          <w:b/>
          <w:sz w:val="20"/>
          <w:szCs w:val="20"/>
          <w:lang w:val="es-ES_tradnl" w:eastAsia="es-ES_tradnl"/>
        </w:rPr>
      </w:pPr>
    </w:p>
    <w:p w14:paraId="574EF006" w14:textId="77777777" w:rsidR="006D48D6" w:rsidRPr="00A208F6" w:rsidRDefault="006D48D6" w:rsidP="006D48D6">
      <w:pPr>
        <w:spacing w:after="0" w:line="240" w:lineRule="auto"/>
        <w:jc w:val="both"/>
        <w:rPr>
          <w:rFonts w:ascii="Verdana" w:eastAsia="Times New Roman" w:hAnsi="Verdana" w:cs="Arial"/>
          <w:b/>
          <w:sz w:val="20"/>
          <w:szCs w:val="20"/>
          <w:lang w:val="es-ES_tradnl" w:eastAsia="es-ES_tradnl"/>
        </w:rPr>
      </w:pPr>
      <w:r w:rsidRPr="00A208F6">
        <w:rPr>
          <w:rFonts w:ascii="Verdana" w:eastAsia="Times New Roman" w:hAnsi="Verdana" w:cs="Arial"/>
          <w:b/>
          <w:sz w:val="20"/>
          <w:szCs w:val="20"/>
          <w:lang w:val="es-ES_tradnl" w:eastAsia="es-ES_tradnl"/>
        </w:rPr>
        <w:t>CONCURRENCIA DE MODALIDADES DE SELECCIÓN – Mínima cuantía – Concurso de méritos</w:t>
      </w:r>
    </w:p>
    <w:p w14:paraId="0A5AECBA" w14:textId="77777777" w:rsidR="006D48D6" w:rsidRPr="00A208F6" w:rsidRDefault="006D48D6" w:rsidP="006D48D6">
      <w:pPr>
        <w:spacing w:after="0" w:line="240" w:lineRule="auto"/>
        <w:jc w:val="both"/>
        <w:rPr>
          <w:rFonts w:ascii="Verdana" w:eastAsia="Times New Roman" w:hAnsi="Verdana" w:cs="Arial"/>
          <w:b/>
          <w:sz w:val="20"/>
          <w:szCs w:val="20"/>
          <w:lang w:val="es-ES_tradnl" w:eastAsia="es-ES_tradnl"/>
        </w:rPr>
      </w:pPr>
    </w:p>
    <w:p w14:paraId="5D38472D" w14:textId="77777777" w:rsidR="006D48D6" w:rsidRPr="00A208F6" w:rsidRDefault="006D48D6" w:rsidP="006D48D6">
      <w:pPr>
        <w:spacing w:after="0" w:line="240" w:lineRule="auto"/>
        <w:jc w:val="both"/>
        <w:rPr>
          <w:rFonts w:ascii="Verdana" w:eastAsia="Times New Roman" w:hAnsi="Verdana" w:cs="Arial"/>
          <w:color w:val="000000"/>
          <w:sz w:val="20"/>
          <w:szCs w:val="20"/>
          <w:lang w:val="es-ES" w:eastAsia="es-ES"/>
        </w:rPr>
      </w:pPr>
      <w:r w:rsidRPr="00487F76">
        <w:rPr>
          <w:rFonts w:ascii="Verdana" w:eastAsia="Times New Roman" w:hAnsi="Verdana" w:cs="Arial"/>
          <w:color w:val="000000" w:themeColor="text1"/>
          <w:sz w:val="20"/>
          <w:szCs w:val="20"/>
          <w:lang w:val="es-ES" w:eastAsia="es-ES"/>
        </w:rPr>
        <w:t xml:space="preserve">De acuerdo con lo expuesto, considerando el objeto y la modalidad de selección planteados en la consulta, se observa la concurrencia de las modalidades de selección de mínima cuantía y de concurso de méritos, siendo esta última la procedente, por regla general, para la selección de consultores. No obstante, como se indicó, si el valor de la contratación no excede del diez por ciento (10%) de la menor cuantía de la entidad, independientemente de su objeto –y sin perjuicio del análisis de procedencia de otros mecanismos especiales de selección del contratista–, el proceso de selección deberá adelantarse mediante la modalidad de selección de </w:t>
      </w:r>
      <w:r w:rsidRPr="00487F76">
        <w:rPr>
          <w:rFonts w:ascii="Verdana" w:eastAsia="Times New Roman" w:hAnsi="Verdana" w:cs="Arial"/>
          <w:i/>
          <w:color w:val="000000" w:themeColor="text1"/>
          <w:sz w:val="20"/>
          <w:szCs w:val="20"/>
          <w:lang w:val="es-ES" w:eastAsia="es-ES"/>
        </w:rPr>
        <w:t>mínima cuantía</w:t>
      </w:r>
      <w:r w:rsidRPr="00487F76">
        <w:rPr>
          <w:rFonts w:ascii="Verdana" w:eastAsia="Times New Roman" w:hAnsi="Verdana" w:cs="Arial"/>
          <w:color w:val="000000" w:themeColor="text1"/>
          <w:sz w:val="20"/>
          <w:szCs w:val="20"/>
          <w:lang w:val="es-ES" w:eastAsia="es-ES"/>
        </w:rPr>
        <w:t xml:space="preserve">, en aplicación de lo preceptuado en el artículo 2, numeral 5, de la Ley 1150 de 2007, modificado por el artículo 30 de la Ley 2069 de 2020. En consecuencia, el criterio para la escogencia del </w:t>
      </w:r>
      <w:r w:rsidRPr="00487F76">
        <w:rPr>
          <w:rFonts w:ascii="Verdana" w:eastAsia="Times New Roman" w:hAnsi="Verdana" w:cs="Arial"/>
          <w:color w:val="000000" w:themeColor="text1"/>
          <w:sz w:val="20"/>
          <w:szCs w:val="20"/>
          <w:lang w:val="es-ES" w:eastAsia="es-ES"/>
        </w:rPr>
        <w:lastRenderedPageBreak/>
        <w:t xml:space="preserve">contratista será el menor precio, siempre y cuando cumpla con las condiciones exigidas en la invitación. </w:t>
      </w:r>
    </w:p>
    <w:p w14:paraId="43FEE9F5" w14:textId="5EE78A2C" w:rsidR="00FF5819" w:rsidRPr="004E0904" w:rsidRDefault="006D48D6" w:rsidP="004E0904">
      <w:pPr>
        <w:rPr>
          <w:rFonts w:ascii="Verdana" w:eastAsia="Times New Roman" w:hAnsi="Verdana" w:cs="Times New Roman"/>
          <w:sz w:val="20"/>
          <w:szCs w:val="20"/>
        </w:rPr>
      </w:pPr>
      <w:r w:rsidRPr="00A208F6">
        <w:rPr>
          <w:rFonts w:ascii="Verdana" w:eastAsia="Times New Roman" w:hAnsi="Verdana" w:cs="Times New Roman"/>
          <w:sz w:val="20"/>
          <w:szCs w:val="20"/>
        </w:rPr>
        <w:br w:type="page"/>
      </w:r>
    </w:p>
    <w:p w14:paraId="5AFDA798" w14:textId="77777777" w:rsidR="00C91297" w:rsidRPr="00C91297" w:rsidRDefault="00C91297" w:rsidP="00C91297">
      <w:pPr>
        <w:spacing w:after="0" w:line="240" w:lineRule="auto"/>
        <w:jc w:val="both"/>
        <w:rPr>
          <w:rFonts w:ascii="Verdana" w:eastAsia="Times New Roman" w:hAnsi="Verdana" w:cs="Arial"/>
          <w:lang w:val="es-ES_tradnl"/>
        </w:rPr>
      </w:pPr>
    </w:p>
    <w:p w14:paraId="50136502" w14:textId="77777777" w:rsidR="00C91297" w:rsidRPr="00C91297" w:rsidRDefault="00C91297" w:rsidP="00C91297">
      <w:pPr>
        <w:spacing w:after="0" w:line="240" w:lineRule="auto"/>
        <w:jc w:val="right"/>
        <w:rPr>
          <w:rFonts w:ascii="Verdana" w:eastAsia="Times New Roman" w:hAnsi="Verdana" w:cs="Arial"/>
          <w:lang w:val="es-ES_tradnl" w:eastAsia="es-ES"/>
        </w:rPr>
      </w:pPr>
    </w:p>
    <w:p w14:paraId="1316E20F" w14:textId="77777777" w:rsidR="00C91297" w:rsidRPr="00C91297" w:rsidRDefault="00C91297" w:rsidP="00C91297">
      <w:pPr>
        <w:spacing w:after="0" w:line="240" w:lineRule="auto"/>
        <w:jc w:val="both"/>
        <w:rPr>
          <w:rFonts w:ascii="Verdana" w:eastAsia="Times New Roman" w:hAnsi="Verdana" w:cs="Arial"/>
          <w:lang w:eastAsia="es-ES"/>
        </w:rPr>
      </w:pPr>
      <w:r w:rsidRPr="00C91297">
        <w:rPr>
          <w:rFonts w:ascii="Verdana" w:eastAsia="Times New Roman" w:hAnsi="Verdana" w:cs="Arial"/>
          <w:lang w:eastAsia="es-ES"/>
        </w:rPr>
        <w:t>Bogotá D.C., [Día] [</w:t>
      </w:r>
      <w:proofErr w:type="spellStart"/>
      <w:r w:rsidRPr="00C91297">
        <w:rPr>
          <w:rFonts w:ascii="Verdana" w:eastAsia="Times New Roman" w:hAnsi="Verdana" w:cs="Arial"/>
          <w:lang w:eastAsia="es-ES"/>
        </w:rPr>
        <w:t>Mes.NombreCapitalizado</w:t>
      </w:r>
      <w:proofErr w:type="spellEnd"/>
      <w:r w:rsidRPr="00C91297">
        <w:rPr>
          <w:rFonts w:ascii="Verdana" w:eastAsia="Times New Roman" w:hAnsi="Verdana" w:cs="Arial"/>
          <w:lang w:eastAsia="es-ES"/>
        </w:rPr>
        <w:t>] [Año]</w:t>
      </w:r>
      <w:r w:rsidRPr="00C91297">
        <w:rPr>
          <w:rFonts w:ascii="Verdana" w:eastAsia="Times New Roman" w:hAnsi="Verdana" w:cs="Arial"/>
          <w:lang w:eastAsia="es-ES"/>
        </w:rPr>
        <w:tab/>
      </w:r>
    </w:p>
    <w:p w14:paraId="594E4A9B" w14:textId="77777777" w:rsidR="00C91297" w:rsidRPr="00C91297" w:rsidRDefault="00C91297" w:rsidP="00C91297">
      <w:pPr>
        <w:spacing w:after="0" w:line="240" w:lineRule="auto"/>
        <w:jc w:val="both"/>
        <w:rPr>
          <w:rFonts w:ascii="Verdana" w:eastAsia="Times New Roman" w:hAnsi="Verdana" w:cs="Arial"/>
          <w:lang w:val="es-ES_tradnl" w:eastAsia="es-ES"/>
        </w:rPr>
      </w:pPr>
    </w:p>
    <w:p w14:paraId="2B910309" w14:textId="77777777" w:rsidR="00C91297" w:rsidRPr="00C91297" w:rsidRDefault="00C91297" w:rsidP="00C91297">
      <w:pPr>
        <w:spacing w:after="0" w:line="240" w:lineRule="auto"/>
        <w:jc w:val="both"/>
        <w:rPr>
          <w:rFonts w:ascii="Verdana" w:eastAsia="Times New Roman" w:hAnsi="Verdana" w:cs="Arial"/>
          <w:lang w:val="es-ES_tradnl" w:eastAsia="es-ES"/>
        </w:rPr>
      </w:pPr>
      <w:r w:rsidRPr="00C91297">
        <w:rPr>
          <w:rFonts w:ascii="Verdana" w:eastAsia="Times New Roman" w:hAnsi="Verdana" w:cs="Arial"/>
          <w:lang w:val="es-ES_tradnl" w:eastAsia="es-ES"/>
        </w:rPr>
        <w:t>Señora</w:t>
      </w:r>
    </w:p>
    <w:p w14:paraId="752E4B3B" w14:textId="77777777" w:rsidR="00C91297" w:rsidRPr="00C91297" w:rsidRDefault="00C91297" w:rsidP="00C91297">
      <w:pPr>
        <w:spacing w:after="0" w:line="240" w:lineRule="auto"/>
        <w:jc w:val="both"/>
        <w:rPr>
          <w:rFonts w:ascii="Verdana" w:eastAsia="Times New Roman" w:hAnsi="Verdana" w:cs="Arial"/>
          <w:b/>
          <w:lang w:val="es-ES" w:eastAsia="es-ES"/>
        </w:rPr>
      </w:pPr>
      <w:r w:rsidRPr="03EB96D0">
        <w:rPr>
          <w:rFonts w:ascii="Verdana" w:eastAsia="Times New Roman" w:hAnsi="Verdana" w:cs="Arial"/>
          <w:b/>
          <w:lang w:val="es-ES" w:eastAsia="es-ES"/>
        </w:rPr>
        <w:t xml:space="preserve">Damaris </w:t>
      </w:r>
      <w:proofErr w:type="spellStart"/>
      <w:r w:rsidRPr="03EB96D0">
        <w:rPr>
          <w:rFonts w:ascii="Verdana" w:eastAsia="Times New Roman" w:hAnsi="Verdana" w:cs="Arial"/>
          <w:b/>
          <w:lang w:val="es-ES" w:eastAsia="es-ES"/>
        </w:rPr>
        <w:t>Deicy</w:t>
      </w:r>
      <w:proofErr w:type="spellEnd"/>
      <w:r w:rsidRPr="03EB96D0">
        <w:rPr>
          <w:rFonts w:ascii="Verdana" w:eastAsia="Times New Roman" w:hAnsi="Verdana" w:cs="Arial"/>
          <w:b/>
          <w:lang w:val="es-ES" w:eastAsia="es-ES"/>
        </w:rPr>
        <w:t xml:space="preserve"> Borda Gómez </w:t>
      </w:r>
    </w:p>
    <w:p w14:paraId="0C0903E8" w14:textId="77777777" w:rsidR="00C91297" w:rsidRPr="00C91297" w:rsidRDefault="00C91297" w:rsidP="00C91297">
      <w:pPr>
        <w:spacing w:after="0" w:line="240" w:lineRule="auto"/>
        <w:jc w:val="both"/>
        <w:rPr>
          <w:rFonts w:ascii="Verdana" w:eastAsia="Times New Roman" w:hAnsi="Verdana" w:cs="Arial"/>
          <w:lang w:val="es-ES_tradnl" w:eastAsia="es-ES"/>
        </w:rPr>
      </w:pPr>
      <w:hyperlink r:id="rId11" w:history="1">
        <w:r w:rsidRPr="00C91297">
          <w:rPr>
            <w:rFonts w:ascii="Verdana" w:eastAsia="Times New Roman" w:hAnsi="Verdana" w:cs="Arial"/>
            <w:color w:val="0000FF"/>
            <w:u w:val="single"/>
            <w:lang w:val="es-ES_tradnl" w:eastAsia="es-ES"/>
          </w:rPr>
          <w:t>Deicyborda.asesorialegal@gmail.com</w:t>
        </w:r>
      </w:hyperlink>
      <w:r w:rsidRPr="00C91297">
        <w:rPr>
          <w:rFonts w:ascii="Verdana" w:eastAsia="Times New Roman" w:hAnsi="Verdana" w:cs="Arial"/>
          <w:lang w:val="es-ES_tradnl" w:eastAsia="es-ES"/>
        </w:rPr>
        <w:t xml:space="preserve"> </w:t>
      </w:r>
    </w:p>
    <w:p w14:paraId="50E79D4B" w14:textId="77777777" w:rsidR="00C91297" w:rsidRPr="00C91297" w:rsidRDefault="00C91297" w:rsidP="00C91297">
      <w:pPr>
        <w:spacing w:after="0" w:line="240" w:lineRule="auto"/>
        <w:jc w:val="both"/>
        <w:rPr>
          <w:rFonts w:ascii="Verdana" w:eastAsia="Times New Roman" w:hAnsi="Verdana" w:cs="Arial"/>
          <w:lang w:val="es-ES_tradnl" w:eastAsia="es-ES"/>
        </w:rPr>
      </w:pPr>
      <w:r w:rsidRPr="00C91297">
        <w:rPr>
          <w:rFonts w:ascii="Verdana" w:eastAsia="Times New Roman" w:hAnsi="Verdana" w:cs="Arial"/>
          <w:lang w:val="es-ES_tradnl" w:eastAsia="es-ES"/>
        </w:rPr>
        <w:t xml:space="preserve">Tunja, Boyacá </w:t>
      </w:r>
    </w:p>
    <w:p w14:paraId="2E231BFC" w14:textId="77777777" w:rsidR="00C91297" w:rsidRPr="00C91297" w:rsidRDefault="00C91297" w:rsidP="00C91297">
      <w:pPr>
        <w:spacing w:after="0" w:line="240" w:lineRule="auto"/>
        <w:rPr>
          <w:rFonts w:ascii="Verdana" w:eastAsia="Times New Roman" w:hAnsi="Verdana" w:cs="Arial"/>
          <w:lang w:val="es-ES_tradnl" w:eastAsia="es-ES"/>
        </w:rPr>
      </w:pPr>
    </w:p>
    <w:p w14:paraId="13F55CBB" w14:textId="77777777" w:rsidR="00C91297" w:rsidRDefault="00C91297" w:rsidP="00C91297">
      <w:pPr>
        <w:spacing w:after="0" w:line="240" w:lineRule="auto"/>
        <w:rPr>
          <w:rFonts w:ascii="Verdana" w:eastAsia="Times New Roman" w:hAnsi="Verdana" w:cs="Arial"/>
          <w:b/>
          <w:bCs/>
          <w:lang w:val="es-ES_tradnl" w:eastAsia="es-ES_tradnl"/>
        </w:rPr>
      </w:pPr>
    </w:p>
    <w:p w14:paraId="64C80586" w14:textId="77777777" w:rsidR="00C3591A" w:rsidRDefault="00C3591A" w:rsidP="00C91297">
      <w:pPr>
        <w:spacing w:after="0" w:line="240" w:lineRule="auto"/>
        <w:rPr>
          <w:rFonts w:ascii="Verdana" w:eastAsia="Times New Roman" w:hAnsi="Verdana" w:cs="Arial"/>
          <w:b/>
          <w:bCs/>
          <w:lang w:val="es-ES_tradnl" w:eastAsia="es-ES_tradnl"/>
        </w:rPr>
      </w:pPr>
    </w:p>
    <w:p w14:paraId="6130C299" w14:textId="77777777" w:rsidR="00C3591A" w:rsidRDefault="00C3591A" w:rsidP="00C91297">
      <w:pPr>
        <w:spacing w:after="0" w:line="240" w:lineRule="auto"/>
        <w:rPr>
          <w:rFonts w:ascii="Verdana" w:eastAsia="Times New Roman" w:hAnsi="Verdana" w:cs="Arial"/>
          <w:b/>
          <w:bCs/>
          <w:lang w:val="es-ES_tradnl" w:eastAsia="es-ES_tradnl"/>
        </w:rPr>
      </w:pPr>
    </w:p>
    <w:p w14:paraId="56FCD1CE" w14:textId="4A172268" w:rsidR="00C3591A" w:rsidRPr="00C91297" w:rsidRDefault="00C3591A" w:rsidP="00C3591A">
      <w:pPr>
        <w:spacing w:after="0" w:line="240" w:lineRule="auto"/>
        <w:jc w:val="right"/>
        <w:rPr>
          <w:rFonts w:ascii="Verdana" w:eastAsia="Times New Roman" w:hAnsi="Verdana" w:cs="Arial"/>
          <w:b/>
          <w:bCs/>
          <w:lang w:val="es-ES_tradnl" w:eastAsia="es-ES_tradnl"/>
        </w:rPr>
      </w:pPr>
      <w:r w:rsidRPr="00C3591A">
        <w:rPr>
          <w:rFonts w:ascii="Verdana" w:eastAsia="Times New Roman" w:hAnsi="Verdana" w:cs="Arial"/>
          <w:b/>
          <w:bCs/>
          <w:lang w:val="es-ES_tradnl" w:eastAsia="es-ES_tradnl"/>
        </w:rPr>
        <w:drawing>
          <wp:inline distT="0" distB="0" distL="0" distR="0" wp14:anchorId="748FC486" wp14:editId="290A8133">
            <wp:extent cx="3314700" cy="981075"/>
            <wp:effectExtent l="0" t="0" r="0" b="9525"/>
            <wp:docPr id="89174881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748810" name="Imagen 1" descr="Texto&#10;&#10;Descripción generada automáticamente"/>
                    <pic:cNvPicPr/>
                  </pic:nvPicPr>
                  <pic:blipFill>
                    <a:blip r:embed="rId12"/>
                    <a:stretch>
                      <a:fillRect/>
                    </a:stretch>
                  </pic:blipFill>
                  <pic:spPr>
                    <a:xfrm>
                      <a:off x="0" y="0"/>
                      <a:ext cx="3314700" cy="981075"/>
                    </a:xfrm>
                    <a:prstGeom prst="rect">
                      <a:avLst/>
                    </a:prstGeom>
                  </pic:spPr>
                </pic:pic>
              </a:graphicData>
            </a:graphic>
          </wp:inline>
        </w:drawing>
      </w:r>
    </w:p>
    <w:p w14:paraId="46F31EAA" w14:textId="77777777" w:rsidR="00C91297" w:rsidRPr="00C91297" w:rsidRDefault="00C91297" w:rsidP="00C91297">
      <w:pPr>
        <w:spacing w:after="0" w:line="240" w:lineRule="auto"/>
        <w:rPr>
          <w:rFonts w:ascii="Verdana" w:eastAsia="Times New Roman" w:hAnsi="Verdana" w:cs="Arial"/>
          <w:b/>
          <w:bCs/>
          <w:lang w:val="es-ES_tradnl" w:eastAsia="es-ES_tradnl"/>
        </w:rPr>
      </w:pPr>
    </w:p>
    <w:tbl>
      <w:tblPr>
        <w:tblStyle w:val="Tablaconcuadrcula1"/>
        <w:tblW w:w="9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40"/>
        <w:gridCol w:w="6444"/>
      </w:tblGrid>
      <w:tr w:rsidR="00C91297" w:rsidRPr="00C91297" w14:paraId="46DDCC7A" w14:textId="77777777" w:rsidTr="00D45F43">
        <w:trPr>
          <w:trHeight w:val="953"/>
        </w:trPr>
        <w:tc>
          <w:tcPr>
            <w:tcW w:w="2840" w:type="dxa"/>
          </w:tcPr>
          <w:p w14:paraId="77EC4A74" w14:textId="77777777" w:rsidR="00C91297" w:rsidRPr="00C91297" w:rsidRDefault="00C91297" w:rsidP="00C91297">
            <w:pPr>
              <w:spacing w:after="160" w:line="259" w:lineRule="auto"/>
              <w:jc w:val="both"/>
              <w:rPr>
                <w:rFonts w:ascii="Verdana" w:hAnsi="Verdana" w:cs="Arial"/>
                <w:b/>
                <w:bCs/>
                <w:lang w:val="es-ES_tradnl" w:eastAsia="es-ES_tradnl"/>
              </w:rPr>
            </w:pPr>
          </w:p>
        </w:tc>
        <w:tc>
          <w:tcPr>
            <w:tcW w:w="6444" w:type="dxa"/>
          </w:tcPr>
          <w:p w14:paraId="3EF13728" w14:textId="77777777" w:rsidR="00C91297" w:rsidRPr="00C91297" w:rsidRDefault="00C91297" w:rsidP="00C91297">
            <w:pPr>
              <w:spacing w:after="160" w:line="259" w:lineRule="auto"/>
              <w:jc w:val="both"/>
              <w:rPr>
                <w:rFonts w:ascii="Verdana" w:hAnsi="Verdana" w:cs="Arial"/>
                <w:b/>
                <w:bCs/>
                <w:lang w:val="es-ES_tradnl" w:eastAsia="es-ES"/>
              </w:rPr>
            </w:pPr>
            <w:r w:rsidRPr="00C91297">
              <w:rPr>
                <w:rFonts w:ascii="Verdana" w:hAnsi="Verdana" w:cs="Arial"/>
                <w:b/>
                <w:bCs/>
                <w:lang w:val="es-ES_tradnl" w:eastAsia="es-ES"/>
              </w:rPr>
              <w:t>Concepto C – 452 de 2024</w:t>
            </w:r>
          </w:p>
        </w:tc>
      </w:tr>
      <w:tr w:rsidR="00C91297" w:rsidRPr="00C91297" w14:paraId="5D0BB24F" w14:textId="77777777" w:rsidTr="00D45F43">
        <w:trPr>
          <w:trHeight w:val="953"/>
        </w:trPr>
        <w:tc>
          <w:tcPr>
            <w:tcW w:w="2840" w:type="dxa"/>
          </w:tcPr>
          <w:p w14:paraId="45FA4115" w14:textId="77777777" w:rsidR="00C91297" w:rsidRPr="00C91297" w:rsidRDefault="00C91297" w:rsidP="00C91297">
            <w:pPr>
              <w:spacing w:after="160" w:line="259" w:lineRule="auto"/>
              <w:jc w:val="both"/>
              <w:rPr>
                <w:rFonts w:ascii="Verdana" w:hAnsi="Verdana" w:cs="Arial"/>
                <w:lang w:val="es-ES_tradnl" w:eastAsia="es-ES_tradnl"/>
              </w:rPr>
            </w:pPr>
            <w:r w:rsidRPr="00C91297">
              <w:rPr>
                <w:rFonts w:ascii="Verdana" w:hAnsi="Verdana" w:cs="Arial"/>
                <w:b/>
                <w:lang w:val="es-ES_tradnl" w:eastAsia="es-ES_tradnl"/>
              </w:rPr>
              <w:t>Temas:</w:t>
            </w:r>
            <w:r w:rsidRPr="00C91297">
              <w:rPr>
                <w:rFonts w:ascii="Verdana" w:hAnsi="Verdana" w:cs="Arial"/>
                <w:lang w:val="es-ES_tradnl" w:eastAsia="es-ES_tradnl"/>
              </w:rPr>
              <w:t xml:space="preserve">                   </w:t>
            </w:r>
          </w:p>
        </w:tc>
        <w:tc>
          <w:tcPr>
            <w:tcW w:w="6444" w:type="dxa"/>
          </w:tcPr>
          <w:p w14:paraId="7669FF84" w14:textId="77777777" w:rsidR="00A208F6" w:rsidRPr="00A208F6" w:rsidRDefault="00A208F6" w:rsidP="00A208F6">
            <w:pPr>
              <w:spacing w:line="276" w:lineRule="auto"/>
              <w:jc w:val="both"/>
              <w:rPr>
                <w:rFonts w:ascii="Verdana" w:hAnsi="Verdana" w:cs="Arial"/>
                <w:bCs/>
                <w:lang w:val="es-ES_tradnl" w:eastAsia="es-ES"/>
              </w:rPr>
            </w:pPr>
            <w:r w:rsidRPr="00A208F6">
              <w:rPr>
                <w:rFonts w:ascii="Verdana" w:hAnsi="Verdana" w:cs="Arial"/>
                <w:bCs/>
                <w:lang w:eastAsia="es-ES"/>
              </w:rPr>
              <w:t xml:space="preserve">MODALIDADES DE SELECCIÓN – Clases / </w:t>
            </w:r>
            <w:r w:rsidRPr="00A208F6">
              <w:rPr>
                <w:rFonts w:ascii="Verdana" w:hAnsi="Verdana" w:cs="Arial"/>
                <w:bCs/>
                <w:lang w:val="es-ES_tradnl" w:eastAsia="es-ES"/>
              </w:rPr>
              <w:t>MÍNIMA CUANTÍA – Concepto – Regulación – Requisitos / CONCURRENCIA DE MODALIDADES DE SELECCIÓN – Mínima cuantía – Concurso de méritos</w:t>
            </w:r>
          </w:p>
          <w:p w14:paraId="0184C1CE" w14:textId="77777777" w:rsidR="00C91297" w:rsidRPr="00C91297" w:rsidRDefault="00C91297" w:rsidP="00C91297">
            <w:pPr>
              <w:spacing w:after="160" w:line="276" w:lineRule="auto"/>
              <w:jc w:val="both"/>
              <w:rPr>
                <w:rFonts w:ascii="Verdana" w:hAnsi="Verdana" w:cs="Arial"/>
                <w:highlight w:val="yellow"/>
                <w:lang w:val="es-ES_tradnl" w:eastAsia="es-ES"/>
              </w:rPr>
            </w:pPr>
          </w:p>
        </w:tc>
      </w:tr>
      <w:tr w:rsidR="00C91297" w:rsidRPr="00C91297" w14:paraId="0CF27C7D" w14:textId="77777777" w:rsidTr="00D45F43">
        <w:trPr>
          <w:trHeight w:val="582"/>
        </w:trPr>
        <w:tc>
          <w:tcPr>
            <w:tcW w:w="2840" w:type="dxa"/>
          </w:tcPr>
          <w:p w14:paraId="24C45C91" w14:textId="77777777" w:rsidR="00C91297" w:rsidRPr="00C91297" w:rsidRDefault="00C91297" w:rsidP="00C91297">
            <w:pPr>
              <w:spacing w:after="160" w:line="259" w:lineRule="auto"/>
              <w:jc w:val="both"/>
              <w:rPr>
                <w:rFonts w:ascii="Verdana" w:hAnsi="Verdana" w:cs="Arial"/>
                <w:b/>
                <w:lang w:val="es-ES_tradnl" w:eastAsia="es-ES_tradnl"/>
              </w:rPr>
            </w:pPr>
            <w:r w:rsidRPr="00C91297">
              <w:rPr>
                <w:rFonts w:ascii="Verdana" w:hAnsi="Verdana" w:cs="Arial"/>
                <w:b/>
                <w:lang w:val="es-ES_tradnl" w:eastAsia="es-ES_tradnl"/>
              </w:rPr>
              <w:t>Radicación:</w:t>
            </w:r>
            <w:r w:rsidRPr="00C91297">
              <w:rPr>
                <w:rFonts w:ascii="Verdana" w:hAnsi="Verdana" w:cs="Arial"/>
                <w:lang w:val="es-ES_tradnl" w:eastAsia="es-ES_tradnl"/>
              </w:rPr>
              <w:t xml:space="preserve">               </w:t>
            </w:r>
          </w:p>
        </w:tc>
        <w:tc>
          <w:tcPr>
            <w:tcW w:w="6444" w:type="dxa"/>
          </w:tcPr>
          <w:p w14:paraId="1C1FD9C8" w14:textId="77777777" w:rsidR="00C91297" w:rsidRPr="00C91297" w:rsidRDefault="00C91297" w:rsidP="00C91297">
            <w:pPr>
              <w:spacing w:after="160" w:line="259" w:lineRule="auto"/>
              <w:jc w:val="both"/>
              <w:rPr>
                <w:rFonts w:ascii="Verdana" w:hAnsi="Verdana" w:cs="Arial"/>
                <w:lang w:val="es-ES_tradnl" w:eastAsia="es-ES_tradnl"/>
              </w:rPr>
            </w:pPr>
            <w:r w:rsidRPr="00C91297">
              <w:rPr>
                <w:rFonts w:ascii="Verdana" w:hAnsi="Verdana" w:cs="Arial"/>
                <w:lang w:val="es-ES_tradnl" w:eastAsia="es-ES_tradnl"/>
              </w:rPr>
              <w:t>Respuesta a consulta con radicado No. P20240806008083</w:t>
            </w:r>
          </w:p>
        </w:tc>
      </w:tr>
    </w:tbl>
    <w:p w14:paraId="4D9E8F0B" w14:textId="77777777" w:rsidR="00C91297" w:rsidRPr="00C91297" w:rsidRDefault="00C91297" w:rsidP="00C91297">
      <w:pPr>
        <w:spacing w:after="0" w:line="240" w:lineRule="auto"/>
        <w:jc w:val="both"/>
        <w:rPr>
          <w:rFonts w:ascii="Verdana" w:eastAsia="Times New Roman" w:hAnsi="Verdana" w:cs="Arial"/>
          <w:lang w:val="es-ES_tradnl" w:eastAsia="es-ES_tradnl"/>
        </w:rPr>
      </w:pPr>
    </w:p>
    <w:p w14:paraId="56E26559" w14:textId="77777777" w:rsidR="00C91297" w:rsidRPr="00C91297" w:rsidRDefault="00C91297" w:rsidP="00C91297">
      <w:pPr>
        <w:spacing w:after="0" w:line="240" w:lineRule="auto"/>
        <w:jc w:val="both"/>
        <w:rPr>
          <w:rFonts w:ascii="Verdana" w:eastAsia="Times New Roman" w:hAnsi="Verdana" w:cs="Arial"/>
          <w:lang w:val="es-ES_tradnl" w:eastAsia="es-ES_tradnl"/>
        </w:rPr>
      </w:pPr>
    </w:p>
    <w:p w14:paraId="4656E4B1" w14:textId="77777777" w:rsidR="00C91297" w:rsidRPr="00C91297" w:rsidRDefault="00C91297" w:rsidP="00C91297">
      <w:pPr>
        <w:spacing w:after="0" w:line="276" w:lineRule="auto"/>
        <w:jc w:val="both"/>
        <w:rPr>
          <w:rFonts w:ascii="Verdana" w:eastAsia="Times New Roman" w:hAnsi="Verdana" w:cs="Arial"/>
          <w:lang w:val="es-ES_tradnl" w:eastAsia="es-ES"/>
        </w:rPr>
      </w:pPr>
      <w:r w:rsidRPr="00C91297">
        <w:rPr>
          <w:rFonts w:ascii="Verdana" w:eastAsia="Times New Roman" w:hAnsi="Verdana" w:cs="Arial"/>
          <w:lang w:val="es-ES_tradnl" w:eastAsia="es-ES"/>
        </w:rPr>
        <w:t xml:space="preserve">Estimada señora Borda: </w:t>
      </w:r>
    </w:p>
    <w:p w14:paraId="0E904095" w14:textId="77777777" w:rsidR="00C91297" w:rsidRPr="00C91297" w:rsidRDefault="00C91297" w:rsidP="00C91297">
      <w:pPr>
        <w:tabs>
          <w:tab w:val="left" w:pos="3768"/>
        </w:tabs>
        <w:spacing w:after="0" w:line="276" w:lineRule="auto"/>
        <w:jc w:val="both"/>
        <w:rPr>
          <w:rFonts w:ascii="Verdana" w:eastAsia="Times New Roman" w:hAnsi="Verdana" w:cs="Arial"/>
          <w:lang w:val="es-ES_tradnl" w:eastAsia="es-ES"/>
        </w:rPr>
      </w:pPr>
      <w:r w:rsidRPr="00C91297">
        <w:rPr>
          <w:rFonts w:ascii="Verdana" w:eastAsia="Times New Roman" w:hAnsi="Verdana" w:cs="Arial"/>
          <w:lang w:val="es-ES_tradnl" w:eastAsia="es-ES"/>
        </w:rPr>
        <w:tab/>
      </w:r>
    </w:p>
    <w:p w14:paraId="4F0A4548" w14:textId="77777777" w:rsidR="00C91297" w:rsidRPr="00C91297" w:rsidRDefault="00C91297" w:rsidP="00C91297">
      <w:pPr>
        <w:snapToGrid w:val="0"/>
        <w:spacing w:after="0" w:line="276" w:lineRule="auto"/>
        <w:jc w:val="both"/>
        <w:rPr>
          <w:rFonts w:ascii="Verdana" w:eastAsia="Times New Roman" w:hAnsi="Verdana" w:cs="Arial"/>
          <w:lang w:val="es-ES_tradnl" w:eastAsia="es-ES"/>
        </w:rPr>
      </w:pPr>
      <w:r w:rsidRPr="00C91297">
        <w:rPr>
          <w:rFonts w:ascii="Verdana" w:eastAsia="Times New Roman" w:hAnsi="Verdana" w:cs="Arial"/>
          <w:lang w:val="es-ES_tradnl" w:eastAsia="es-ES"/>
        </w:rPr>
        <w:t>En ejercicio de la competencia otorgada por los artículos 3, numeral 5º, y 11, numeral 8º, del Decreto Ley 4170 de 2011,</w:t>
      </w:r>
      <w:r w:rsidRPr="00C91297">
        <w:rPr>
          <w:rFonts w:ascii="Verdana" w:eastAsia="Times New Roman" w:hAnsi="Verdana" w:cs="Arial MT"/>
          <w:lang w:val="es-ES_tradnl" w:eastAsia="es-ES"/>
        </w:rPr>
        <w:t xml:space="preserve"> </w:t>
      </w:r>
      <w:r w:rsidRPr="00C91297">
        <w:rPr>
          <w:rFonts w:ascii="Verdana" w:eastAsia="Times New Roman" w:hAnsi="Verdana" w:cs="Arial"/>
          <w:lang w:val="es-ES_tradnl"/>
        </w:rPr>
        <w:t xml:space="preserve">así como lo establecido en el artículo 4 de la Resolución 1707 de 2018 expedida por esta Entidad, </w:t>
      </w:r>
      <w:r w:rsidRPr="00C91297">
        <w:rPr>
          <w:rFonts w:ascii="Verdana" w:eastAsia="Times New Roman" w:hAnsi="Verdana" w:cs="Arial"/>
          <w:lang w:val="es-ES_tradnl" w:eastAsia="es-ES"/>
        </w:rPr>
        <w:t>la Agencia Nacional de Contratación Pública – Colombia Compra Eficiente– responde su solicitud de consulta de fecha 06 de agosto de 2024, en la cual manifiesta lo siguiente:</w:t>
      </w:r>
    </w:p>
    <w:p w14:paraId="5810BAFD" w14:textId="77777777" w:rsidR="00C91297" w:rsidRPr="00C91297" w:rsidRDefault="00C91297" w:rsidP="00C91297">
      <w:pPr>
        <w:tabs>
          <w:tab w:val="left" w:pos="142"/>
          <w:tab w:val="left" w:pos="284"/>
        </w:tabs>
        <w:snapToGrid w:val="0"/>
        <w:spacing w:after="0" w:line="240" w:lineRule="auto"/>
        <w:jc w:val="both"/>
        <w:rPr>
          <w:rFonts w:ascii="Verdana" w:eastAsia="Times New Roman" w:hAnsi="Verdana" w:cs="Century Gothic"/>
          <w:b/>
          <w:bCs/>
          <w:sz w:val="21"/>
          <w:szCs w:val="21"/>
          <w:lang w:val="es-ES_tradnl"/>
        </w:rPr>
      </w:pPr>
    </w:p>
    <w:p w14:paraId="14E261F7" w14:textId="77777777" w:rsidR="00C91297" w:rsidRPr="00C91297" w:rsidRDefault="00C91297" w:rsidP="00C91297">
      <w:pPr>
        <w:snapToGrid w:val="0"/>
        <w:spacing w:after="0" w:line="240" w:lineRule="auto"/>
        <w:ind w:left="720" w:right="709"/>
        <w:jc w:val="both"/>
        <w:rPr>
          <w:rFonts w:ascii="Verdana" w:eastAsia="Times New Roman" w:hAnsi="Verdana" w:cs="Century Gothic"/>
          <w:sz w:val="20"/>
          <w:szCs w:val="20"/>
          <w:lang w:val="es-ES"/>
        </w:rPr>
      </w:pPr>
      <w:r w:rsidRPr="00C91297">
        <w:rPr>
          <w:rFonts w:ascii="Verdana" w:eastAsia="Times New Roman" w:hAnsi="Verdana" w:cs="Century Gothic"/>
          <w:sz w:val="20"/>
          <w:szCs w:val="20"/>
          <w:lang w:val="es-ES"/>
        </w:rPr>
        <w:t xml:space="preserve">“Solicito me indique si debo usar los documentos tipo de consultoría de estudios de ingeniería de infraestructura de transporte, en un proceso </w:t>
      </w:r>
      <w:r w:rsidRPr="00C91297">
        <w:rPr>
          <w:rFonts w:ascii="Verdana" w:eastAsia="Times New Roman" w:hAnsi="Verdana" w:cs="Century Gothic"/>
          <w:sz w:val="20"/>
          <w:szCs w:val="20"/>
          <w:lang w:val="es-ES"/>
        </w:rPr>
        <w:lastRenderedPageBreak/>
        <w:t>cuyo objeto es estudios y diseños de placa huella cuando la cuantía a contratar no excede la mínima cuantía de la Entidad.”</w:t>
      </w:r>
    </w:p>
    <w:p w14:paraId="4BD50357" w14:textId="77777777" w:rsidR="00C91297" w:rsidRPr="00C91297" w:rsidRDefault="00C91297" w:rsidP="00C91297">
      <w:pPr>
        <w:tabs>
          <w:tab w:val="left" w:pos="142"/>
          <w:tab w:val="left" w:pos="284"/>
        </w:tabs>
        <w:spacing w:line="276" w:lineRule="auto"/>
        <w:contextualSpacing/>
        <w:jc w:val="both"/>
        <w:rPr>
          <w:rFonts w:ascii="Verdana" w:eastAsia="Times New Roman" w:hAnsi="Verdana" w:cs="Century Gothic"/>
          <w:b/>
          <w:bCs/>
          <w:lang w:val="es-ES_tradnl"/>
        </w:rPr>
      </w:pPr>
    </w:p>
    <w:p w14:paraId="45EE0CCD" w14:textId="77777777" w:rsidR="00C91297" w:rsidRPr="00C91297" w:rsidRDefault="00C91297" w:rsidP="00C91297">
      <w:pPr>
        <w:spacing w:after="120" w:line="276" w:lineRule="auto"/>
        <w:ind w:firstLine="709"/>
        <w:jc w:val="both"/>
        <w:rPr>
          <w:rFonts w:ascii="Verdana" w:eastAsia="Times New Roman" w:hAnsi="Verdana" w:cs="Arial"/>
          <w:lang w:val="es-ES" w:eastAsia="es-ES"/>
        </w:rPr>
      </w:pPr>
      <w:r w:rsidRPr="00C91297">
        <w:rPr>
          <w:rFonts w:ascii="Verdana" w:eastAsia="Times New Roman"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compras públicas.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C91297">
        <w:rPr>
          <w:rFonts w:eastAsia="Times New Roman" w:cs="Times New Roman"/>
        </w:rPr>
        <w:tab/>
      </w:r>
    </w:p>
    <w:p w14:paraId="586DF966" w14:textId="77777777" w:rsidR="00C91297" w:rsidRPr="00C91297" w:rsidRDefault="00C91297" w:rsidP="00C91297">
      <w:pPr>
        <w:snapToGrid w:val="0"/>
        <w:spacing w:after="0" w:line="276" w:lineRule="auto"/>
        <w:ind w:firstLine="709"/>
        <w:jc w:val="both"/>
        <w:rPr>
          <w:rFonts w:ascii="Verdana" w:eastAsia="Times New Roman" w:hAnsi="Verdana" w:cs="Arial"/>
          <w:lang w:val="es-ES_tradnl" w:eastAsia="es-ES"/>
        </w:rPr>
      </w:pPr>
      <w:r w:rsidRPr="00C91297">
        <w:rPr>
          <w:rFonts w:ascii="Verdana" w:eastAsia="Times New Roman" w:hAnsi="Verdana" w:cs="Arial"/>
          <w:lang w:val="es-ES_tradnl" w:eastAsia="es-ES"/>
        </w:rPr>
        <w:t xml:space="preserve">Conforme a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 </w:t>
      </w:r>
    </w:p>
    <w:p w14:paraId="0E05B199" w14:textId="77777777" w:rsidR="00C91297" w:rsidRPr="00C91297" w:rsidRDefault="00C91297" w:rsidP="00C91297">
      <w:pPr>
        <w:snapToGrid w:val="0"/>
        <w:spacing w:after="0" w:line="276" w:lineRule="auto"/>
        <w:ind w:firstLine="709"/>
        <w:jc w:val="both"/>
        <w:rPr>
          <w:rFonts w:ascii="Verdana" w:eastAsia="Times New Roman" w:hAnsi="Verdana" w:cs="Arial"/>
          <w:lang w:val="es-ES_tradnl" w:eastAsia="es-ES"/>
        </w:rPr>
      </w:pPr>
    </w:p>
    <w:p w14:paraId="0B7AF182" w14:textId="77777777" w:rsidR="00C91297" w:rsidRPr="00C91297" w:rsidRDefault="00C91297" w:rsidP="00C91297">
      <w:pPr>
        <w:numPr>
          <w:ilvl w:val="0"/>
          <w:numId w:val="16"/>
        </w:numPr>
        <w:tabs>
          <w:tab w:val="left" w:pos="142"/>
          <w:tab w:val="left" w:pos="284"/>
        </w:tabs>
        <w:snapToGrid w:val="0"/>
        <w:spacing w:after="0" w:line="276" w:lineRule="auto"/>
        <w:ind w:left="357" w:hanging="357"/>
        <w:jc w:val="both"/>
        <w:rPr>
          <w:rFonts w:ascii="Verdana" w:eastAsia="Times New Roman" w:hAnsi="Verdana" w:cs="Century Gothic"/>
          <w:b/>
          <w:bCs/>
          <w:lang w:val="es-ES_tradnl"/>
        </w:rPr>
      </w:pPr>
      <w:r w:rsidRPr="00C91297">
        <w:rPr>
          <w:rFonts w:ascii="Verdana" w:eastAsia="Times New Roman" w:hAnsi="Verdana" w:cs="Century Gothic"/>
          <w:b/>
          <w:bCs/>
          <w:lang w:val="es-ES_tradnl"/>
        </w:rPr>
        <w:t>Problema planteado:</w:t>
      </w:r>
    </w:p>
    <w:p w14:paraId="068FC12D" w14:textId="77777777" w:rsidR="00C91297" w:rsidRPr="00C91297" w:rsidRDefault="00C91297" w:rsidP="00C91297">
      <w:pPr>
        <w:tabs>
          <w:tab w:val="left" w:pos="426"/>
        </w:tabs>
        <w:snapToGrid w:val="0"/>
        <w:spacing w:after="0" w:line="276" w:lineRule="auto"/>
        <w:jc w:val="both"/>
        <w:rPr>
          <w:rFonts w:ascii="Verdana" w:eastAsia="Times New Roman" w:hAnsi="Verdana" w:cs="Century Gothic"/>
          <w:lang w:val="es-ES_tradnl"/>
        </w:rPr>
      </w:pPr>
    </w:p>
    <w:p w14:paraId="53F2909F" w14:textId="765A42DC" w:rsidR="00C91297" w:rsidRPr="00C91297" w:rsidRDefault="00C91297" w:rsidP="00C91297">
      <w:pPr>
        <w:snapToGrid w:val="0"/>
        <w:spacing w:after="0" w:line="276" w:lineRule="auto"/>
        <w:jc w:val="both"/>
        <w:rPr>
          <w:rFonts w:ascii="Verdana" w:eastAsia="Times New Roman" w:hAnsi="Verdana" w:cs="Century Gothic"/>
          <w:lang w:val="es-ES_tradnl"/>
        </w:rPr>
      </w:pPr>
      <w:r w:rsidRPr="00C91297">
        <w:rPr>
          <w:rFonts w:ascii="Verdana" w:eastAsia="Times New Roman" w:hAnsi="Verdana" w:cs="Century Gothic"/>
          <w:lang w:val="es-ES_tradnl"/>
        </w:rPr>
        <w:t>De acuerdo con el contenido de su solicitud, esta Agencia resolverá el siguiente problema jurídico: ¿Es obligatorio el uso del documento tipo de consultoría de estudios de ingeniería de infraestructura de transporte, en un proceso de contratación cuyo monto no supera la mínima cuantía?</w:t>
      </w:r>
    </w:p>
    <w:p w14:paraId="1BA30339" w14:textId="77777777" w:rsidR="00C91297" w:rsidRPr="00C91297" w:rsidRDefault="00C91297" w:rsidP="00C91297">
      <w:pPr>
        <w:snapToGrid w:val="0"/>
        <w:spacing w:after="0" w:line="276" w:lineRule="auto"/>
        <w:jc w:val="both"/>
        <w:rPr>
          <w:rFonts w:ascii="Verdana" w:eastAsia="Times New Roman" w:hAnsi="Verdana" w:cs="Century Gothic"/>
          <w:lang w:val="es-ES_tradnl"/>
        </w:rPr>
      </w:pPr>
    </w:p>
    <w:p w14:paraId="648F6296" w14:textId="7DC0145E" w:rsidR="00C91297" w:rsidRPr="00C91297" w:rsidRDefault="00C91297" w:rsidP="00C91297">
      <w:pPr>
        <w:numPr>
          <w:ilvl w:val="0"/>
          <w:numId w:val="16"/>
        </w:numPr>
        <w:tabs>
          <w:tab w:val="left" w:pos="142"/>
          <w:tab w:val="left" w:pos="284"/>
        </w:tabs>
        <w:snapToGrid w:val="0"/>
        <w:spacing w:after="0" w:line="276" w:lineRule="auto"/>
        <w:ind w:left="357" w:hanging="357"/>
        <w:jc w:val="both"/>
        <w:rPr>
          <w:rFonts w:ascii="Verdana" w:eastAsia="Times New Roman" w:hAnsi="Verdana" w:cs="Century Gothic"/>
          <w:b/>
          <w:bCs/>
          <w:lang w:val="es-ES_tradnl"/>
        </w:rPr>
      </w:pPr>
      <w:r w:rsidRPr="00C91297">
        <w:rPr>
          <w:rFonts w:ascii="Verdana" w:eastAsia="Times New Roman" w:hAnsi="Verdana" w:cs="Century Gothic"/>
          <w:b/>
          <w:bCs/>
          <w:lang w:val="es-ES_tradnl"/>
        </w:rPr>
        <w:t>Respuesta:</w:t>
      </w:r>
    </w:p>
    <w:p w14:paraId="6BC5FED0" w14:textId="77777777" w:rsidR="00C91297" w:rsidRPr="00C91297" w:rsidRDefault="00C91297" w:rsidP="00C91297">
      <w:pPr>
        <w:tabs>
          <w:tab w:val="left" w:pos="142"/>
          <w:tab w:val="left" w:pos="284"/>
        </w:tabs>
        <w:snapToGrid w:val="0"/>
        <w:spacing w:after="0" w:line="276" w:lineRule="auto"/>
        <w:jc w:val="both"/>
        <w:rPr>
          <w:rFonts w:ascii="Verdana" w:eastAsia="Times New Roman" w:hAnsi="Verdana" w:cs="Century Gothic"/>
          <w:b/>
          <w:bCs/>
          <w:lang w:val="es-ES_tradnl"/>
        </w:rPr>
      </w:pPr>
    </w:p>
    <w:tbl>
      <w:tblPr>
        <w:tblStyle w:val="Tablaconcuadrcula1"/>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C91297" w:rsidRPr="00C91297" w14:paraId="43295BB6" w14:textId="77777777" w:rsidTr="00D45F43">
        <w:tc>
          <w:tcPr>
            <w:tcW w:w="8828" w:type="dxa"/>
          </w:tcPr>
          <w:p w14:paraId="329F451C" w14:textId="1B2EBDDF" w:rsidR="00E21A7A" w:rsidRPr="00F5408C" w:rsidRDefault="00E21A7A" w:rsidP="00E21A7A">
            <w:pPr>
              <w:spacing w:line="276" w:lineRule="auto"/>
              <w:ind w:left="709" w:right="709"/>
              <w:jc w:val="both"/>
              <w:rPr>
                <w:rFonts w:ascii="Century Gothic" w:eastAsia="Century Gothic" w:hAnsi="Century Gothic" w:cs="Century Gothic"/>
                <w:lang w:eastAsia="es-ES_tradnl"/>
              </w:rPr>
            </w:pPr>
          </w:p>
          <w:p w14:paraId="232B130C" w14:textId="77777777" w:rsidR="00E21A7A" w:rsidRPr="00A208F6" w:rsidRDefault="00E21A7A" w:rsidP="00E21A7A">
            <w:pPr>
              <w:spacing w:after="120" w:line="276" w:lineRule="auto"/>
              <w:jc w:val="both"/>
              <w:rPr>
                <w:rFonts w:ascii="Verdana" w:hAnsi="Verdana" w:cs="Century Gothic"/>
                <w:lang w:val="es-ES_tradnl"/>
              </w:rPr>
            </w:pPr>
            <w:r w:rsidRPr="00A208F6">
              <w:rPr>
                <w:rFonts w:ascii="Verdana" w:hAnsi="Verdana" w:cs="Century Gothic"/>
                <w:lang w:val="es-ES_tradnl"/>
              </w:rPr>
              <w:t xml:space="preserve">De conformidad con las anteriores consideraciones, es posible concluir que mediante el artículo 2 de la Ley 1150 de 2007 se determinaron las modalidades de selección aplicables a las entidades sometidas al EGCAP, indicando que: “[…] la escogencia del contratista se efectuará por regla general bajo la modalidad de licitación pública, con las excepciones que se señalan en los numerales 2, 3 y 4 del presente artículo”. Particularmente, en el numeral 3° se estableció la modalidad de selección de concurso de méritos, prevista para </w:t>
            </w:r>
            <w:r w:rsidRPr="00A208F6">
              <w:rPr>
                <w:rFonts w:ascii="Verdana" w:hAnsi="Verdana" w:cs="Century Gothic"/>
                <w:lang w:val="es-ES_tradnl"/>
              </w:rPr>
              <w:lastRenderedPageBreak/>
              <w:t>la selección de “consultores o proyectos”, mientras que en el numeral 5° ibidem se reguló la modalidad de contratación de mínima cuantía, determinando mandatos especiales para su procedimiento, que se aplicará cuando el valor de la contratación “no excede del 10 por ciento de la menor cuantía de la entidad independientemente de su objeto”.</w:t>
            </w:r>
          </w:p>
          <w:p w14:paraId="1D154887" w14:textId="77777777" w:rsidR="00E21A7A" w:rsidRDefault="00E21A7A" w:rsidP="3B6C6317">
            <w:pPr>
              <w:snapToGrid w:val="0"/>
              <w:spacing w:after="160" w:line="276" w:lineRule="auto"/>
              <w:jc w:val="both"/>
              <w:rPr>
                <w:rFonts w:ascii="Verdana" w:hAnsi="Verdana" w:cs="Century Gothic"/>
                <w:lang w:val="es-ES"/>
              </w:rPr>
            </w:pPr>
            <w:r w:rsidRPr="00A208F6">
              <w:rPr>
                <w:rFonts w:ascii="Verdana" w:hAnsi="Verdana" w:cs="Century Gothic"/>
                <w:lang w:val="es-ES"/>
              </w:rPr>
              <w:t xml:space="preserve">Tal como lo refiere en su consulta, la escogencia del consultor o interventor, a través de concurso de méritos, puede llegar a concurrir con la modalidad de mínima cuantía. En este contexto, según la normativa aplicable, la jurisprudencia del Consejo de Estado y de la Corte Constitucional, y el Manual expedido por esta Agencia en la materia,  resulta claro que la modalidad denominada “mínima cuantía” </w:t>
            </w:r>
            <w:r w:rsidRPr="00A208F6">
              <w:rPr>
                <w:rFonts w:ascii="Verdana" w:eastAsiaTheme="minorEastAsia" w:hAnsi="Verdana" w:cs="Century Gothic"/>
                <w:lang w:val="es-ES"/>
              </w:rPr>
              <w:t>es un procedimiento de selección “exceptivo” porque es una excepción adicional a la regla general constituida por la licitación pública, pero se parece a esta porque también es un llamado general a presentar ofertas, efectuado por la Entidad Estatal interesada en contratar, aunque es distinta en otros aspectos, como su conducencia y su procedimiento; lo primero, porque solo procede por razón de una cuantía específica y, lo segundo, porque sus requisitos, etapas y términos son peculiares.</w:t>
            </w:r>
          </w:p>
          <w:p w14:paraId="1F7E1647" w14:textId="3617EB4C" w:rsidR="00C91297" w:rsidRPr="00C91297" w:rsidRDefault="001C4CF3" w:rsidP="00C91297">
            <w:pPr>
              <w:snapToGrid w:val="0"/>
              <w:spacing w:after="160" w:line="276" w:lineRule="auto"/>
              <w:jc w:val="both"/>
              <w:rPr>
                <w:rFonts w:ascii="Verdana" w:hAnsi="Verdana" w:cs="Arial"/>
                <w:lang w:val="es-ES"/>
              </w:rPr>
            </w:pPr>
            <w:r w:rsidRPr="001C4CF3">
              <w:rPr>
                <w:rFonts w:ascii="Verdana" w:hAnsi="Verdana" w:cs="Arial"/>
              </w:rPr>
              <w:t>En este sentido, cuando se trate de la selección del consultor o interventor mediante un concurso de méritos en el sector de infraestructura de transporte, y siempre que la cuantía del proceso de selección no exceda el 10 por ciento de la menor cuantía de la entidad, se deberá utilizar obligatoriamente los documentos tipo si la actividad a contratar se enmarca en alguna de las categorías definidas en la “Matriz 1 – Experiencia” de los Documentos Tipo de mínima cuantía.</w:t>
            </w:r>
          </w:p>
        </w:tc>
      </w:tr>
    </w:tbl>
    <w:p w14:paraId="24B03E9E" w14:textId="77777777" w:rsidR="00C91297" w:rsidRPr="00C91297" w:rsidRDefault="00C91297" w:rsidP="00C91297">
      <w:pPr>
        <w:tabs>
          <w:tab w:val="left" w:pos="142"/>
          <w:tab w:val="left" w:pos="284"/>
        </w:tabs>
        <w:snapToGrid w:val="0"/>
        <w:spacing w:after="0" w:line="276" w:lineRule="auto"/>
        <w:jc w:val="both"/>
        <w:rPr>
          <w:rFonts w:ascii="Verdana" w:eastAsia="Times New Roman" w:hAnsi="Verdana" w:cs="Century Gothic"/>
          <w:b/>
          <w:bCs/>
          <w:lang w:val="es-ES_tradnl"/>
        </w:rPr>
      </w:pPr>
    </w:p>
    <w:p w14:paraId="185F03A6" w14:textId="77777777" w:rsidR="00C91297" w:rsidRPr="00C91297" w:rsidRDefault="00C91297" w:rsidP="00C91297">
      <w:pPr>
        <w:numPr>
          <w:ilvl w:val="0"/>
          <w:numId w:val="16"/>
        </w:numPr>
        <w:tabs>
          <w:tab w:val="left" w:pos="142"/>
          <w:tab w:val="left" w:pos="284"/>
        </w:tabs>
        <w:snapToGrid w:val="0"/>
        <w:spacing w:after="0" w:line="276" w:lineRule="auto"/>
        <w:ind w:left="357" w:hanging="357"/>
        <w:jc w:val="both"/>
        <w:rPr>
          <w:rFonts w:ascii="Verdana" w:eastAsia="Times New Roman" w:hAnsi="Verdana" w:cs="Century Gothic"/>
          <w:b/>
          <w:bCs/>
          <w:lang w:val="es-ES_tradnl"/>
        </w:rPr>
      </w:pPr>
      <w:r w:rsidRPr="00C91297">
        <w:rPr>
          <w:rFonts w:ascii="Verdana" w:eastAsia="Times New Roman" w:hAnsi="Verdana" w:cs="Century Gothic"/>
          <w:b/>
          <w:bCs/>
          <w:lang w:val="es-ES_tradnl"/>
        </w:rPr>
        <w:t>Razones de la respuesta:</w:t>
      </w:r>
    </w:p>
    <w:p w14:paraId="101BBF64" w14:textId="77777777" w:rsidR="00C91297" w:rsidRPr="00C91297" w:rsidRDefault="00C91297" w:rsidP="00C91297">
      <w:pPr>
        <w:snapToGrid w:val="0"/>
        <w:spacing w:after="0" w:line="276" w:lineRule="auto"/>
        <w:jc w:val="both"/>
        <w:rPr>
          <w:rFonts w:ascii="Verdana" w:eastAsia="Times New Roman" w:hAnsi="Verdana" w:cs="Arial"/>
          <w:lang w:val="es-ES_tradnl"/>
        </w:rPr>
      </w:pPr>
    </w:p>
    <w:p w14:paraId="138A08C4" w14:textId="77777777" w:rsidR="00C91297" w:rsidRDefault="00C91297" w:rsidP="00C91297">
      <w:pPr>
        <w:snapToGrid w:val="0"/>
        <w:spacing w:after="0" w:line="276" w:lineRule="auto"/>
        <w:jc w:val="both"/>
        <w:rPr>
          <w:rFonts w:ascii="Verdana" w:eastAsia="Times New Roman" w:hAnsi="Verdana" w:cs="Arial"/>
          <w:lang w:val="es-ES_tradnl"/>
        </w:rPr>
      </w:pPr>
      <w:r w:rsidRPr="00C91297">
        <w:rPr>
          <w:rFonts w:ascii="Verdana" w:eastAsia="Times New Roman" w:hAnsi="Verdana" w:cs="Arial"/>
          <w:lang w:val="es-ES_tradnl"/>
        </w:rPr>
        <w:t xml:space="preserve">Lo anterior se sustenta en las siguientes consideraciones: </w:t>
      </w:r>
    </w:p>
    <w:p w14:paraId="0E00019F" w14:textId="77777777" w:rsidR="00C15DBA" w:rsidRDefault="00C15DBA" w:rsidP="00C91297">
      <w:pPr>
        <w:snapToGrid w:val="0"/>
        <w:spacing w:after="0" w:line="276" w:lineRule="auto"/>
        <w:jc w:val="both"/>
        <w:rPr>
          <w:rFonts w:ascii="Verdana" w:eastAsia="Times New Roman" w:hAnsi="Verdana" w:cs="Arial"/>
          <w:lang w:val="es-ES_tradnl"/>
        </w:rPr>
      </w:pPr>
    </w:p>
    <w:p w14:paraId="53B5DF89" w14:textId="6A72E449" w:rsidR="008F0241" w:rsidRDefault="008F0241" w:rsidP="00604A6D">
      <w:pPr>
        <w:pStyle w:val="Prrafodelista"/>
        <w:numPr>
          <w:ilvl w:val="0"/>
          <w:numId w:val="20"/>
        </w:numPr>
        <w:snapToGrid w:val="0"/>
        <w:spacing w:after="0" w:line="276" w:lineRule="auto"/>
        <w:jc w:val="both"/>
        <w:rPr>
          <w:rFonts w:ascii="Verdana" w:hAnsi="Verdana" w:cs="Arial"/>
          <w:lang w:eastAsia="es-ES_tradnl"/>
        </w:rPr>
      </w:pPr>
      <w:r w:rsidRPr="00A208F6">
        <w:rPr>
          <w:rFonts w:ascii="Verdana" w:hAnsi="Verdana" w:cs="Arial"/>
          <w:lang w:eastAsia="es-ES_tradnl"/>
        </w:rPr>
        <w:t xml:space="preserve">La contratación pública comprende, entre otros aspectos, las decisiones de gasto que las entidades realizan para ejecutar los recursos públicos en la adquisición de bienes, obras o servicios. En este sentido, teniendo en cuenta que mediante los procedimientos contractuales las entidades satisfacen el interés general, las normas de contratación pública </w:t>
      </w:r>
      <w:r w:rsidRPr="008F0241">
        <w:rPr>
          <w:rFonts w:ascii="Arial" w:hAnsi="Arial" w:cs="Arial"/>
          <w:lang w:eastAsia="es-ES_tradnl"/>
        </w:rPr>
        <w:t>̶</w:t>
      </w:r>
      <w:r w:rsidRPr="00A208F6">
        <w:rPr>
          <w:rFonts w:ascii="Verdana" w:hAnsi="Verdana" w:cs="Arial"/>
          <w:lang w:eastAsia="es-ES_tradnl"/>
        </w:rPr>
        <w:t xml:space="preserve"> Ley 80 de 1993, Ley 1150 de 2007, y Decreto 1082 de 2015 </w:t>
      </w:r>
      <w:r w:rsidRPr="008F0241">
        <w:rPr>
          <w:rFonts w:ascii="Arial" w:hAnsi="Arial" w:cs="Arial"/>
          <w:lang w:eastAsia="es-ES_tradnl"/>
        </w:rPr>
        <w:t>̶</w:t>
      </w:r>
      <w:r w:rsidRPr="00A208F6">
        <w:rPr>
          <w:rFonts w:ascii="Verdana" w:hAnsi="Verdana" w:cs="Arial"/>
          <w:lang w:eastAsia="es-ES_tradnl"/>
        </w:rPr>
        <w:t xml:space="preserve"> disponen los </w:t>
      </w:r>
      <w:r w:rsidRPr="00A208F6">
        <w:rPr>
          <w:rFonts w:ascii="Verdana" w:hAnsi="Verdana" w:cs="Arial"/>
          <w:lang w:eastAsia="es-ES_tradnl"/>
        </w:rPr>
        <w:lastRenderedPageBreak/>
        <w:t>principios y etapas que rigen los contratos de la Administración, conforme se señaló en el numeral anterior.</w:t>
      </w:r>
    </w:p>
    <w:p w14:paraId="4D9B5020" w14:textId="77777777" w:rsidR="00E600F0" w:rsidRDefault="00E600F0" w:rsidP="00C91297">
      <w:pPr>
        <w:snapToGrid w:val="0"/>
        <w:spacing w:after="0" w:line="276" w:lineRule="auto"/>
        <w:jc w:val="both"/>
        <w:rPr>
          <w:rFonts w:ascii="Verdana" w:hAnsi="Verdana" w:cs="Arial"/>
          <w:lang w:eastAsia="es-ES_tradnl"/>
        </w:rPr>
      </w:pPr>
    </w:p>
    <w:p w14:paraId="7910AADE" w14:textId="10C45BA0" w:rsidR="00E600F0" w:rsidRDefault="00E600F0" w:rsidP="00604A6D">
      <w:pPr>
        <w:pStyle w:val="Prrafodelista"/>
        <w:numPr>
          <w:ilvl w:val="0"/>
          <w:numId w:val="20"/>
        </w:numPr>
        <w:snapToGrid w:val="0"/>
        <w:spacing w:after="0" w:line="276" w:lineRule="auto"/>
        <w:jc w:val="both"/>
        <w:rPr>
          <w:rFonts w:ascii="Verdana" w:hAnsi="Verdana" w:cs="Arial"/>
          <w:lang w:val="es-ES_tradnl"/>
        </w:rPr>
      </w:pPr>
      <w:r w:rsidRPr="00A208F6">
        <w:rPr>
          <w:rFonts w:ascii="Verdana" w:hAnsi="Verdana" w:cs="Arial"/>
          <w:lang w:eastAsia="es-ES_tradnl"/>
        </w:rPr>
        <w:t>Específicamente, l</w:t>
      </w:r>
      <w:r w:rsidRPr="00A208F6">
        <w:rPr>
          <w:rFonts w:ascii="Verdana" w:hAnsi="Verdana" w:cs="Arial"/>
          <w:lang w:val="es-ES_tradnl"/>
        </w:rPr>
        <w:t>a mínima cuantía es una modalidad de selección en virtud de la cual la Entidad Estatal realiza una convocatoria pública para recibir ofertas de bienes, obras o servicios cuyo valor no excede el diez por ciento (10%) de la menor cuantía. Esta modalidad de selección fue creada en el 2011 por la Ley 1450, modificada por el artículo 94 de la Ley 1474 de 2011</w:t>
      </w:r>
      <w:r>
        <w:rPr>
          <w:rStyle w:val="Refdenotaalpie"/>
          <w:rFonts w:ascii="Verdana" w:hAnsi="Verdana" w:cs="Arial"/>
          <w:lang w:val="es-ES_tradnl"/>
        </w:rPr>
        <w:footnoteReference w:id="2"/>
      </w:r>
      <w:r w:rsidR="00806F63">
        <w:rPr>
          <w:rFonts w:ascii="Verdana" w:hAnsi="Verdana" w:cs="Arial"/>
          <w:lang w:val="es-ES_tradnl"/>
        </w:rPr>
        <w:t xml:space="preserve"> </w:t>
      </w:r>
      <w:r w:rsidR="00806F63" w:rsidRPr="00806F63">
        <w:rPr>
          <w:rFonts w:ascii="Verdana" w:hAnsi="Verdana" w:cs="Arial"/>
          <w:lang w:val="es-ES_tradnl"/>
        </w:rPr>
        <w:t>–que adicionó el numeral 5º al artículo 2 de la Ley 1150 de 2007– y posteriormente por la Ley 2069 de 2020, estableciendo que el factor determinante para llevar a cabo tal procedimiento es la cuantía –calculada como presupuesto oficial a partir del estudio del sector–, “independientemente de su objeto”</w:t>
      </w:r>
      <w:r w:rsidR="00806F63">
        <w:rPr>
          <w:rStyle w:val="Refdenotaalpie"/>
          <w:rFonts w:ascii="Verdana" w:hAnsi="Verdana" w:cs="Arial"/>
          <w:lang w:val="es-ES_tradnl"/>
        </w:rPr>
        <w:footnoteReference w:id="3"/>
      </w:r>
      <w:r w:rsidR="00636E0F">
        <w:rPr>
          <w:rFonts w:ascii="Verdana" w:hAnsi="Verdana" w:cs="Arial"/>
          <w:lang w:val="es-ES_tradnl"/>
        </w:rPr>
        <w:t>.</w:t>
      </w:r>
    </w:p>
    <w:p w14:paraId="32A41B09" w14:textId="77777777" w:rsidR="00636E0F" w:rsidRDefault="00636E0F" w:rsidP="00C91297">
      <w:pPr>
        <w:snapToGrid w:val="0"/>
        <w:spacing w:after="0" w:line="276" w:lineRule="auto"/>
        <w:jc w:val="both"/>
        <w:rPr>
          <w:rFonts w:ascii="Verdana" w:hAnsi="Verdana" w:cs="Arial"/>
          <w:lang w:val="es-ES_tradnl"/>
        </w:rPr>
      </w:pPr>
    </w:p>
    <w:p w14:paraId="5CC3BEA9" w14:textId="77777777" w:rsidR="00145A1C" w:rsidRDefault="00636E0F" w:rsidP="00604A6D">
      <w:pPr>
        <w:pStyle w:val="Prrafodelista"/>
        <w:numPr>
          <w:ilvl w:val="0"/>
          <w:numId w:val="20"/>
        </w:numPr>
        <w:spacing w:after="120" w:line="276" w:lineRule="auto"/>
        <w:jc w:val="both"/>
        <w:rPr>
          <w:rFonts w:ascii="Verdana" w:hAnsi="Verdana" w:cs="Arial"/>
          <w:lang w:val="es-ES_tradnl"/>
        </w:rPr>
      </w:pPr>
      <w:r w:rsidRPr="00A208F6">
        <w:rPr>
          <w:rFonts w:ascii="Verdana" w:hAnsi="Verdana" w:cs="Arial"/>
          <w:lang w:val="es-ES_tradnl"/>
        </w:rPr>
        <w:t>Dicho de otro modo, la mínima cuantía es un procedimiento de selección excepcional</w:t>
      </w:r>
      <w:r>
        <w:rPr>
          <w:rStyle w:val="Refdenotaalpie"/>
          <w:rFonts w:ascii="Century Gothic" w:hAnsi="Century Gothic" w:cs="Arial"/>
          <w:lang w:val="es-ES_tradnl"/>
        </w:rPr>
        <w:footnoteReference w:id="4"/>
      </w:r>
      <w:r w:rsidR="007B5F96">
        <w:rPr>
          <w:rFonts w:ascii="Verdana" w:hAnsi="Verdana" w:cs="Arial"/>
          <w:lang w:val="es-ES_tradnl"/>
        </w:rPr>
        <w:t xml:space="preserve">, </w:t>
      </w:r>
      <w:r w:rsidR="007B5F96" w:rsidRPr="00A208F6">
        <w:rPr>
          <w:rFonts w:ascii="Verdana" w:hAnsi="Verdana" w:cs="Arial"/>
          <w:lang w:val="es-ES_tradnl"/>
        </w:rPr>
        <w:t xml:space="preserve">porque es una excepción adicional a la regla general constituida por la licitación pública, pero se parece a esta en que también es un llamado general a presentar ofertas, efectuado por la Entidad Estatal interesada en contratar, aunque es distinta en otros aspectos, como su conducencia y su procedimiento; lo primero, porque solo procede </w:t>
      </w:r>
      <w:r w:rsidR="007B5F96" w:rsidRPr="00A208F6">
        <w:rPr>
          <w:rFonts w:ascii="Verdana" w:hAnsi="Verdana" w:cs="Arial"/>
          <w:lang w:val="es-ES_tradnl"/>
        </w:rPr>
        <w:lastRenderedPageBreak/>
        <w:t>por razón de una cuantía específica</w:t>
      </w:r>
      <w:r w:rsidR="002231E3">
        <w:rPr>
          <w:rStyle w:val="Refdenotaalpie"/>
          <w:rFonts w:ascii="Verdana" w:hAnsi="Verdana" w:cs="Arial"/>
          <w:lang w:val="es-ES_tradnl"/>
        </w:rPr>
        <w:footnoteReference w:id="5"/>
      </w:r>
      <w:r w:rsidR="00145A1C">
        <w:rPr>
          <w:rFonts w:ascii="Verdana" w:hAnsi="Verdana" w:cs="Arial"/>
          <w:lang w:val="es-ES_tradnl"/>
        </w:rPr>
        <w:t xml:space="preserve">, </w:t>
      </w:r>
      <w:r w:rsidR="00145A1C" w:rsidRPr="00A208F6">
        <w:rPr>
          <w:rFonts w:ascii="Verdana" w:hAnsi="Verdana" w:cs="Arial"/>
          <w:lang w:val="es-ES_tradnl"/>
        </w:rPr>
        <w:t xml:space="preserve">y lo segundo, porque sus requisitos, etapas y términos son peculiares. </w:t>
      </w:r>
    </w:p>
    <w:p w14:paraId="576D98E6" w14:textId="77777777" w:rsidR="00145A1C" w:rsidRPr="00A208F6" w:rsidRDefault="00145A1C" w:rsidP="00604A6D">
      <w:pPr>
        <w:pStyle w:val="Prrafodelista"/>
        <w:numPr>
          <w:ilvl w:val="0"/>
          <w:numId w:val="20"/>
        </w:numPr>
        <w:spacing w:after="0" w:line="276" w:lineRule="auto"/>
        <w:jc w:val="both"/>
        <w:rPr>
          <w:rFonts w:ascii="Verdana" w:hAnsi="Verdana" w:cs="Arial"/>
          <w:lang w:val="es-ES_tradnl"/>
        </w:rPr>
      </w:pPr>
      <w:r w:rsidRPr="00A208F6">
        <w:rPr>
          <w:rFonts w:ascii="Verdana" w:hAnsi="Verdana" w:cs="Arial"/>
          <w:lang w:val="es-ES_tradnl"/>
        </w:rPr>
        <w:t xml:space="preserve">Lo anterior, ha sido ratificado por el Consejo de Estado, el cual ha puesto de presente que: </w:t>
      </w:r>
    </w:p>
    <w:p w14:paraId="41A46223" w14:textId="77777777" w:rsidR="00145A1C" w:rsidRPr="00A208F6" w:rsidRDefault="00145A1C" w:rsidP="00145A1C">
      <w:pPr>
        <w:spacing w:after="120" w:line="276" w:lineRule="auto"/>
        <w:ind w:firstLine="709"/>
        <w:jc w:val="both"/>
        <w:rPr>
          <w:rFonts w:ascii="Verdana" w:hAnsi="Verdana" w:cs="Arial"/>
          <w:lang w:val="es-ES_tradnl"/>
        </w:rPr>
      </w:pPr>
    </w:p>
    <w:p w14:paraId="38A1C89C" w14:textId="3186FB18" w:rsidR="00636E0F" w:rsidRDefault="002862A3" w:rsidP="00604A6D">
      <w:pPr>
        <w:pStyle w:val="Prrafodelista"/>
        <w:snapToGrid w:val="0"/>
        <w:spacing w:after="0" w:line="276" w:lineRule="auto"/>
        <w:ind w:right="709"/>
        <w:jc w:val="both"/>
        <w:rPr>
          <w:rFonts w:ascii="Verdana" w:hAnsi="Verdana" w:cs="Arial"/>
          <w:sz w:val="20"/>
          <w:szCs w:val="20"/>
          <w:lang w:val="es-ES_tradnl" w:eastAsia="es-MX"/>
        </w:rPr>
      </w:pPr>
      <w:r w:rsidRPr="00A208F6">
        <w:rPr>
          <w:rFonts w:ascii="Verdana" w:hAnsi="Verdana" w:cs="Arial"/>
          <w:sz w:val="20"/>
          <w:szCs w:val="20"/>
          <w:lang w:val="es-ES_tradnl" w:eastAsia="es-MX"/>
        </w:rPr>
        <w:t>“Así, pues, cuando el monto de la contratación sea equivalente a la mínima cuantía de la entidad estatal, pero, concomitante a ello, esta última (la entidad) advierta que también aplica alguna modalidad de selección específica (dadas las condiciones especiales del objeto), ella debe acudir al procedimiento establecido para la mínima cuantía; así, por ejemplo, si la administración necesita contratar la prestación de servicios de salud (supuesto que se enmarca en el trámite de selección abreviada), pero el valor del contrato no excede del 10% de la menor cuantía de la entidad, este último será el criterio que se debe tener en cuenta para la escogencia del contratista; por tanto, el procedimiento que debe seguirse será el de mínima cuantía, independientemente -se insiste- del objeto a contratar”</w:t>
      </w:r>
      <w:r>
        <w:rPr>
          <w:rStyle w:val="Refdenotaalpie"/>
          <w:rFonts w:ascii="Verdana" w:hAnsi="Verdana" w:cs="Arial"/>
          <w:sz w:val="20"/>
          <w:szCs w:val="20"/>
          <w:lang w:val="es-ES_tradnl" w:eastAsia="es-MX"/>
        </w:rPr>
        <w:footnoteReference w:id="6"/>
      </w:r>
    </w:p>
    <w:p w14:paraId="50659A29" w14:textId="77777777" w:rsidR="00F453D8" w:rsidRDefault="00F453D8" w:rsidP="002862A3">
      <w:pPr>
        <w:snapToGrid w:val="0"/>
        <w:spacing w:after="0" w:line="276" w:lineRule="auto"/>
        <w:ind w:left="709" w:right="709"/>
        <w:jc w:val="both"/>
        <w:rPr>
          <w:rFonts w:ascii="Verdana" w:hAnsi="Verdana" w:cs="Arial"/>
          <w:sz w:val="20"/>
          <w:szCs w:val="20"/>
          <w:lang w:val="es-ES_tradnl" w:eastAsia="es-MX"/>
        </w:rPr>
      </w:pPr>
    </w:p>
    <w:p w14:paraId="6E350C22" w14:textId="77777777" w:rsidR="00F453D8" w:rsidRDefault="00F453D8" w:rsidP="00487F76">
      <w:pPr>
        <w:pStyle w:val="Prrafodelista"/>
        <w:numPr>
          <w:ilvl w:val="0"/>
          <w:numId w:val="20"/>
        </w:numPr>
        <w:spacing w:after="120" w:line="276" w:lineRule="auto"/>
        <w:jc w:val="both"/>
        <w:rPr>
          <w:rFonts w:ascii="Verdana" w:hAnsi="Verdana" w:cs="Arial"/>
        </w:rPr>
      </w:pPr>
      <w:r w:rsidRPr="00487F76">
        <w:rPr>
          <w:rFonts w:ascii="Verdana" w:hAnsi="Verdana" w:cs="Arial"/>
        </w:rPr>
        <w:t xml:space="preserve">Con base en lo anterior, se puede concluir que, sin importar el objeto del contrato, la Entidad Estatal deberá adelantar el procedimiento de selección del contratista a través de la modalidad de mínima cuantía, siempre que, en el caso concreto, el valor del contrato no exceda el diez por ciento (10%) de la menor cuantía de la entidad. </w:t>
      </w:r>
    </w:p>
    <w:p w14:paraId="0AFEB729" w14:textId="77777777" w:rsidR="00604A6D" w:rsidRPr="00604A6D" w:rsidRDefault="00604A6D" w:rsidP="00604A6D">
      <w:pPr>
        <w:pStyle w:val="Prrafodelista"/>
        <w:spacing w:after="120" w:line="276" w:lineRule="auto"/>
        <w:jc w:val="both"/>
        <w:rPr>
          <w:rFonts w:ascii="Verdana" w:hAnsi="Verdana" w:cs="Arial"/>
          <w:lang w:val="es-ES_tradnl"/>
        </w:rPr>
      </w:pPr>
    </w:p>
    <w:p w14:paraId="22B09EE1" w14:textId="2FFA1FBA" w:rsidR="00F453D8" w:rsidRDefault="00F453D8" w:rsidP="00487F76">
      <w:pPr>
        <w:pStyle w:val="Prrafodelista"/>
        <w:numPr>
          <w:ilvl w:val="0"/>
          <w:numId w:val="20"/>
        </w:numPr>
        <w:spacing w:after="120" w:line="276" w:lineRule="auto"/>
        <w:jc w:val="both"/>
        <w:rPr>
          <w:rFonts w:ascii="Verdana" w:hAnsi="Verdana" w:cs="Arial"/>
        </w:rPr>
      </w:pPr>
      <w:bookmarkStart w:id="0" w:name="_Hlk146718940"/>
      <w:r w:rsidRPr="00487F76">
        <w:rPr>
          <w:rFonts w:ascii="Verdana" w:hAnsi="Verdana" w:cs="Arial"/>
        </w:rPr>
        <w:t>Cabe precisar que la disposición indicada anteriormente, esto es el artículo 94 de la Ley 1474 de 2011 –que adicionó el numeral 5º al artículo 2 de la Ley 1150 de 2007– ha sido modificada en distintas ocasiones, siendo la norma vigente que fundamenta la modalidad de mínima cuantía actualmente el artículo 30 de la Ley 2069 de 2020, como se procederá a explicar.</w:t>
      </w:r>
    </w:p>
    <w:bookmarkEnd w:id="0"/>
    <w:p w14:paraId="1476EADC" w14:textId="77777777" w:rsidR="00742E36" w:rsidRDefault="00742E36" w:rsidP="00742E36">
      <w:pPr>
        <w:pStyle w:val="Prrafodelista"/>
        <w:widowControl w:val="0"/>
        <w:autoSpaceDE w:val="0"/>
        <w:autoSpaceDN w:val="0"/>
        <w:spacing w:after="120" w:line="276" w:lineRule="auto"/>
        <w:jc w:val="both"/>
        <w:rPr>
          <w:rFonts w:ascii="Verdana" w:hAnsi="Verdana" w:cs="Arial"/>
          <w:lang w:val="es-ES_tradnl"/>
        </w:rPr>
      </w:pPr>
    </w:p>
    <w:p w14:paraId="0F0E743C" w14:textId="5EEBBB22" w:rsidR="00201A2D" w:rsidRDefault="00F453D8" w:rsidP="00487F76">
      <w:pPr>
        <w:pStyle w:val="Prrafodelista"/>
        <w:widowControl w:val="0"/>
        <w:numPr>
          <w:ilvl w:val="0"/>
          <w:numId w:val="20"/>
        </w:numPr>
        <w:autoSpaceDE w:val="0"/>
        <w:autoSpaceDN w:val="0"/>
        <w:spacing w:after="120" w:line="276" w:lineRule="auto"/>
        <w:jc w:val="both"/>
        <w:rPr>
          <w:rFonts w:ascii="Verdana" w:hAnsi="Verdana" w:cs="Arial"/>
        </w:rPr>
      </w:pPr>
      <w:r w:rsidRPr="00487F76">
        <w:rPr>
          <w:rFonts w:ascii="Verdana" w:hAnsi="Verdana" w:cs="Arial"/>
        </w:rPr>
        <w:t xml:space="preserve">En este sentido, el artículo 30 de la Ley 2069 de 2020, “Por medio de la </w:t>
      </w:r>
      <w:r w:rsidRPr="00487F76">
        <w:rPr>
          <w:rFonts w:ascii="Verdana" w:hAnsi="Verdana" w:cs="Arial"/>
        </w:rPr>
        <w:lastRenderedPageBreak/>
        <w:t xml:space="preserve">cual se impulsa el emprendimiento en Colombia” modificó el numeral 5 del artículo 2 de la Ley 1150 de 2007. En esencia, esta disposición conserva a grandes rasgos el procedimiento previsto en el derogado artículo 94 de la Ley 1474 de 2011, definiendo aspectos tales como: i) el término mínimo para publicar la invitación, </w:t>
      </w:r>
      <w:proofErr w:type="spellStart"/>
      <w:r w:rsidRPr="00487F76">
        <w:rPr>
          <w:rFonts w:ascii="Verdana" w:hAnsi="Verdana" w:cs="Arial"/>
        </w:rPr>
        <w:t>ii</w:t>
      </w:r>
      <w:proofErr w:type="spellEnd"/>
      <w:r w:rsidRPr="00487F76">
        <w:rPr>
          <w:rFonts w:ascii="Verdana" w:hAnsi="Verdana" w:cs="Arial"/>
        </w:rPr>
        <w:t>)</w:t>
      </w:r>
      <w:r w:rsidR="00201A2D" w:rsidRPr="00487F76">
        <w:rPr>
          <w:rFonts w:ascii="Verdana" w:hAnsi="Verdana" w:cs="Arial"/>
        </w:rPr>
        <w:t xml:space="preserve">, el plazo mínimo de recepción de las ofertas, </w:t>
      </w:r>
      <w:proofErr w:type="spellStart"/>
      <w:r w:rsidR="00201A2D" w:rsidRPr="00487F76">
        <w:rPr>
          <w:rFonts w:ascii="Verdana" w:hAnsi="Verdana" w:cs="Arial"/>
        </w:rPr>
        <w:t>iii</w:t>
      </w:r>
      <w:proofErr w:type="spellEnd"/>
      <w:r w:rsidR="00201A2D" w:rsidRPr="00487F76">
        <w:rPr>
          <w:rFonts w:ascii="Verdana" w:hAnsi="Verdana" w:cs="Arial"/>
        </w:rPr>
        <w:t xml:space="preserve">) el factor de evaluación que define la selección del proponente y </w:t>
      </w:r>
      <w:proofErr w:type="spellStart"/>
      <w:r w:rsidR="00201A2D" w:rsidRPr="00487F76">
        <w:rPr>
          <w:rFonts w:ascii="Verdana" w:hAnsi="Verdana" w:cs="Arial"/>
        </w:rPr>
        <w:t>iv</w:t>
      </w:r>
      <w:proofErr w:type="spellEnd"/>
      <w:r w:rsidR="00201A2D" w:rsidRPr="00487F76">
        <w:rPr>
          <w:rFonts w:ascii="Verdana" w:hAnsi="Verdana" w:cs="Arial"/>
        </w:rPr>
        <w:t xml:space="preserve">) el perfeccionamiento del contrato. De tal manera, las entidades deben estructurar sus procedimientos de selección de acuerdo con estos parámetros. </w:t>
      </w:r>
    </w:p>
    <w:p w14:paraId="3432F080" w14:textId="77777777" w:rsidR="00604A6D" w:rsidRDefault="00604A6D" w:rsidP="00604A6D">
      <w:pPr>
        <w:pStyle w:val="Prrafodelista"/>
        <w:widowControl w:val="0"/>
        <w:autoSpaceDE w:val="0"/>
        <w:autoSpaceDN w:val="0"/>
        <w:spacing w:after="0" w:line="276" w:lineRule="auto"/>
        <w:jc w:val="both"/>
        <w:rPr>
          <w:rFonts w:ascii="Verdana" w:hAnsi="Verdana" w:cs="Arial"/>
          <w:lang w:val="es-ES_tradnl"/>
        </w:rPr>
      </w:pPr>
    </w:p>
    <w:p w14:paraId="388DDA98" w14:textId="22DA8527" w:rsidR="00201A2D" w:rsidRPr="00604A6D" w:rsidRDefault="00201A2D" w:rsidP="00487F76">
      <w:pPr>
        <w:pStyle w:val="Prrafodelista"/>
        <w:widowControl w:val="0"/>
        <w:numPr>
          <w:ilvl w:val="0"/>
          <w:numId w:val="20"/>
        </w:numPr>
        <w:autoSpaceDE w:val="0"/>
        <w:autoSpaceDN w:val="0"/>
        <w:spacing w:after="0" w:line="276" w:lineRule="auto"/>
        <w:jc w:val="both"/>
        <w:rPr>
          <w:rFonts w:ascii="Verdana" w:hAnsi="Verdana" w:cs="Arial"/>
        </w:rPr>
      </w:pPr>
      <w:r w:rsidRPr="00487F76">
        <w:rPr>
          <w:rFonts w:ascii="Verdana" w:hAnsi="Verdana" w:cs="Arial"/>
        </w:rPr>
        <w:t xml:space="preserve">Aludiendo expresamente al desarrollo reglamentario, el parágrafo primero introduce el siguiente cambio: “Las particularidades del procedimiento aquí previsto, así como la posibilidad que tengan las entidades de realizar estas adquisiciones a </w:t>
      </w:r>
      <w:proofErr w:type="spellStart"/>
      <w:r w:rsidRPr="00487F76">
        <w:rPr>
          <w:rFonts w:ascii="Verdana" w:hAnsi="Verdana" w:cs="Arial"/>
        </w:rPr>
        <w:t>Mipymes</w:t>
      </w:r>
      <w:proofErr w:type="spellEnd"/>
      <w:r w:rsidRPr="00487F76">
        <w:rPr>
          <w:rFonts w:ascii="Verdana" w:hAnsi="Verdana" w:cs="Arial"/>
        </w:rPr>
        <w:t xml:space="preserve"> o establecimientos que correspondan a la definición de "gran almacén" señalada por la Superintendencia de Industria y Comercio, se determinarán en el reglamento que para el efecto expida el Gobierno Nacional”. Como se observa, este parágrafo dispone que el reglamento es importante para regular: i) las “particularidades del procedimiento de selección” y </w:t>
      </w:r>
      <w:proofErr w:type="spellStart"/>
      <w:r w:rsidRPr="00487F76">
        <w:rPr>
          <w:rFonts w:ascii="Verdana" w:hAnsi="Verdana" w:cs="Arial"/>
        </w:rPr>
        <w:t>ii</w:t>
      </w:r>
      <w:proofErr w:type="spellEnd"/>
      <w:r w:rsidRPr="00487F76">
        <w:rPr>
          <w:rFonts w:ascii="Verdana" w:hAnsi="Verdana" w:cs="Arial"/>
        </w:rPr>
        <w:t xml:space="preserve">) la posibilidad de realizar estas adquisiciones a </w:t>
      </w:r>
      <w:proofErr w:type="spellStart"/>
      <w:r w:rsidRPr="00487F76">
        <w:rPr>
          <w:rFonts w:ascii="Verdana" w:hAnsi="Verdana" w:cs="Arial"/>
        </w:rPr>
        <w:t>Mipymes</w:t>
      </w:r>
      <w:proofErr w:type="spellEnd"/>
      <w:r w:rsidRPr="00487F76">
        <w:rPr>
          <w:rFonts w:ascii="Verdana" w:hAnsi="Verdana" w:cs="Arial"/>
        </w:rPr>
        <w:t xml:space="preserve"> o establecimientos que correspondan a la definición de “gran almacén”. En concordancia con lo anterior el parágrafo segundo señala que la contratación a la que se refiere el artículo 30 se realizará exclusivamente con las reglas contempladas en el mismo y en su reglamentación. La reglamentación a la cual se refieren las disposiciones estudiadas fue realizada mediante el Decreto 1860 del 24 de diciembre de 2021 –que modificó el Decreto 1082 de 2015– que resulta aplicable para los procesos de mínima cuantía cuya invitación se publique a los tres (3) meses contados a partir de su expedición, es decir, a partir del 24 de marzo de 2022, por lo que actualmente esta es la regulación vigente.</w:t>
      </w:r>
    </w:p>
    <w:p w14:paraId="7A23FC33" w14:textId="77777777" w:rsidR="008D60AF" w:rsidRDefault="008D60AF" w:rsidP="00201A2D">
      <w:pPr>
        <w:widowControl w:val="0"/>
        <w:autoSpaceDE w:val="0"/>
        <w:autoSpaceDN w:val="0"/>
        <w:spacing w:after="0" w:line="276" w:lineRule="auto"/>
        <w:ind w:firstLine="709"/>
        <w:jc w:val="both"/>
        <w:rPr>
          <w:rFonts w:ascii="Verdana" w:hAnsi="Verdana" w:cs="Arial"/>
          <w:lang w:val="es-ES_tradnl"/>
        </w:rPr>
      </w:pPr>
    </w:p>
    <w:p w14:paraId="36315BE7" w14:textId="77777777" w:rsidR="0060760B" w:rsidRPr="00A208F6" w:rsidRDefault="0060760B" w:rsidP="00BD1520">
      <w:pPr>
        <w:pStyle w:val="Prrafodelista"/>
        <w:numPr>
          <w:ilvl w:val="0"/>
          <w:numId w:val="20"/>
        </w:numPr>
        <w:spacing w:after="120" w:line="276" w:lineRule="auto"/>
        <w:jc w:val="both"/>
        <w:rPr>
          <w:rFonts w:ascii="Verdana" w:eastAsia="Times New Roman" w:hAnsi="Verdana" w:cs="Arial"/>
          <w:b/>
          <w:lang w:eastAsia="es-ES_tradnl"/>
        </w:rPr>
      </w:pPr>
      <w:r w:rsidRPr="00A208F6">
        <w:rPr>
          <w:rFonts w:ascii="Verdana" w:eastAsia="Times New Roman" w:hAnsi="Verdana" w:cs="Arial"/>
          <w:lang w:val="es-ES_tradnl" w:eastAsia="es-MX"/>
        </w:rPr>
        <w:t xml:space="preserve">Conforme se ha expuesto en el presente concepto, mediante el artículo 2 de la Ley 1150 de 2007 se determinaron las modalidades de selección aplicables a las entidades sometidas al EGCAP, indicando que: “[…] la escogencia del contratista se efectuará por regla general bajo la modalidad de licitación pública, con las excepciones que se señalan en los numerales 2, 3 y 4 del presente artículo”. </w:t>
      </w:r>
    </w:p>
    <w:p w14:paraId="1E9F8988" w14:textId="77777777" w:rsidR="00BD1520" w:rsidRPr="00BD1520" w:rsidRDefault="00BD1520" w:rsidP="00BD1520">
      <w:pPr>
        <w:pStyle w:val="Prrafodelista"/>
        <w:rPr>
          <w:rFonts w:ascii="Verdana" w:eastAsia="Times New Roman" w:hAnsi="Verdana" w:cs="Arial"/>
          <w:lang w:val="es-ES_tradnl" w:eastAsia="es-ES_tradnl"/>
        </w:rPr>
      </w:pPr>
    </w:p>
    <w:p w14:paraId="7921C9BD" w14:textId="0C33B19C" w:rsidR="00AE1E46" w:rsidRPr="00BD1520" w:rsidRDefault="0060760B" w:rsidP="00BD1520">
      <w:pPr>
        <w:pStyle w:val="Prrafodelista"/>
        <w:numPr>
          <w:ilvl w:val="0"/>
          <w:numId w:val="20"/>
        </w:numPr>
        <w:spacing w:after="120" w:line="276" w:lineRule="auto"/>
        <w:jc w:val="both"/>
        <w:rPr>
          <w:rFonts w:ascii="Verdana" w:eastAsia="Times New Roman" w:hAnsi="Verdana" w:cs="Arial"/>
          <w:b/>
          <w:lang w:eastAsia="es-ES_tradnl"/>
        </w:rPr>
      </w:pPr>
      <w:r w:rsidRPr="00A208F6">
        <w:rPr>
          <w:rFonts w:ascii="Verdana" w:eastAsia="Times New Roman" w:hAnsi="Verdana" w:cs="Arial"/>
          <w:lang w:val="es-ES_tradnl" w:eastAsia="es-ES_tradnl"/>
        </w:rPr>
        <w:lastRenderedPageBreak/>
        <w:t>Particularmente, en el numeral</w:t>
      </w:r>
      <w:r w:rsidRPr="00A208F6">
        <w:rPr>
          <w:rFonts w:ascii="Verdana" w:eastAsia="Times New Roman" w:hAnsi="Verdana" w:cs="Arial"/>
          <w:lang w:eastAsia="es-ES_tradnl"/>
        </w:rPr>
        <w:t xml:space="preserve"> 3° se estableció la modalidad de selección de concurso de méritos, prevista para la selección de</w:t>
      </w:r>
      <w:r w:rsidRPr="00A208F6">
        <w:rPr>
          <w:rFonts w:ascii="Verdana" w:eastAsia="Times New Roman" w:hAnsi="Verdana" w:cs="Arial"/>
          <w:lang w:val="es-ES_tradnl" w:eastAsia="es-ES_tradnl"/>
        </w:rPr>
        <w:t xml:space="preserve"> </w:t>
      </w:r>
      <w:r w:rsidRPr="00A208F6">
        <w:rPr>
          <w:rFonts w:ascii="Verdana" w:eastAsia="Times New Roman" w:hAnsi="Verdana" w:cs="Arial"/>
          <w:lang w:eastAsia="es-ES_tradnl"/>
        </w:rPr>
        <w:t>“</w:t>
      </w:r>
      <w:r w:rsidRPr="00A208F6">
        <w:rPr>
          <w:rFonts w:ascii="Verdana" w:eastAsia="Times New Roman" w:hAnsi="Verdana" w:cs="Arial"/>
          <w:lang w:val="es-ES_tradnl" w:eastAsia="es-ES_tradnl"/>
        </w:rPr>
        <w:t>consultores o proyectos</w:t>
      </w:r>
      <w:r w:rsidRPr="0060760B">
        <w:rPr>
          <w:rFonts w:ascii="Century Gothic" w:eastAsia="Times New Roman" w:hAnsi="Century Gothic" w:cs="Arial"/>
          <w:lang w:val="es-ES_tradnl" w:eastAsia="es-ES_tradnl"/>
        </w:rPr>
        <w:t>”</w:t>
      </w:r>
      <w:r>
        <w:rPr>
          <w:rStyle w:val="Refdenotaalpie"/>
          <w:rFonts w:ascii="Century Gothic" w:eastAsia="Times New Roman" w:hAnsi="Century Gothic" w:cs="Arial"/>
          <w:lang w:val="es-ES_tradnl" w:eastAsia="es-ES_tradnl"/>
        </w:rPr>
        <w:footnoteReference w:id="7"/>
      </w:r>
      <w:r w:rsidR="008672EB">
        <w:rPr>
          <w:rFonts w:ascii="Century Gothic" w:eastAsia="Times New Roman" w:hAnsi="Century Gothic" w:cs="Arial"/>
          <w:lang w:val="es-ES_tradnl" w:eastAsia="es-ES_tradnl"/>
        </w:rPr>
        <w:t>,</w:t>
      </w:r>
      <w:r w:rsidR="008672EB" w:rsidRPr="008672EB">
        <w:rPr>
          <w:rFonts w:ascii="Century Gothic" w:eastAsia="Times New Roman" w:hAnsi="Century Gothic" w:cs="Arial"/>
          <w:lang w:val="es-ES_tradnl" w:eastAsia="es-ES_tradnl"/>
        </w:rPr>
        <w:t xml:space="preserve"> </w:t>
      </w:r>
      <w:r w:rsidR="008672EB" w:rsidRPr="00A208F6">
        <w:rPr>
          <w:rFonts w:ascii="Verdana" w:eastAsia="Times New Roman" w:hAnsi="Verdana" w:cs="Arial"/>
          <w:lang w:val="es-ES_tradnl" w:eastAsia="es-MX"/>
        </w:rPr>
        <w:t>mientras que en el numeral 5° ibidem, se reguló la modalidad de contratación de mínima cuantía, determinando mandatos especiales para su procedimiento, que se aplicará cuando el valor de la contratación no excede del diez por ciento (10%) de la menor cuantía de la entidad.</w:t>
      </w:r>
    </w:p>
    <w:p w14:paraId="2BEF2A0D" w14:textId="77777777" w:rsidR="00604A6D" w:rsidRPr="00604A6D" w:rsidRDefault="00604A6D" w:rsidP="00604A6D">
      <w:pPr>
        <w:pStyle w:val="Prrafodelista"/>
        <w:spacing w:after="120" w:line="276" w:lineRule="auto"/>
        <w:jc w:val="both"/>
        <w:rPr>
          <w:rFonts w:ascii="Verdana" w:eastAsia="Times New Roman" w:hAnsi="Verdana" w:cs="Arial"/>
          <w:lang w:val="es-ES_tradnl" w:eastAsia="es-MX"/>
        </w:rPr>
      </w:pPr>
    </w:p>
    <w:p w14:paraId="13106234" w14:textId="77777777" w:rsidR="00AE1E46" w:rsidRDefault="00AE1E46" w:rsidP="00487F76">
      <w:pPr>
        <w:pStyle w:val="Prrafodelista"/>
        <w:numPr>
          <w:ilvl w:val="0"/>
          <w:numId w:val="20"/>
        </w:numPr>
        <w:spacing w:after="120" w:line="276" w:lineRule="auto"/>
        <w:jc w:val="both"/>
        <w:rPr>
          <w:rFonts w:ascii="Verdana" w:eastAsia="Times New Roman" w:hAnsi="Verdana" w:cs="Arial"/>
          <w:lang w:eastAsia="es-MX"/>
        </w:rPr>
      </w:pPr>
      <w:r w:rsidRPr="00487F76">
        <w:rPr>
          <w:rFonts w:ascii="Verdana" w:eastAsia="Times New Roman" w:hAnsi="Verdana" w:cs="Arial"/>
          <w:lang w:eastAsia="es-MX"/>
        </w:rPr>
        <w:t>De este modo, es importante analizar la solución específica para aquellos eventos en donde podría considerarse en principio que existe concurrencia de modalidades de selección, como es el caso de la consulta. En efecto, por regla general la escogencia de consultores se surte por concurso de méritos, el cual, según el numeral 3° del artículo 2 de la Ley 1150 de 2007, corresponde a la modalidad prevista para la selección “de consultores o proyectos, en la que se podrán utilizar sistemas de concurso abierto o de precalificación”.</w:t>
      </w:r>
    </w:p>
    <w:p w14:paraId="76941644" w14:textId="77777777" w:rsidR="00BD1520" w:rsidRPr="00BD1520" w:rsidRDefault="00BD1520" w:rsidP="00BD1520">
      <w:pPr>
        <w:pStyle w:val="Prrafodelista"/>
        <w:rPr>
          <w:rFonts w:ascii="Verdana" w:eastAsia="Times New Roman" w:hAnsi="Verdana" w:cs="Arial"/>
          <w:lang w:val="es-ES_tradnl" w:eastAsia="es-MX"/>
        </w:rPr>
      </w:pPr>
    </w:p>
    <w:p w14:paraId="6D6FA7DF" w14:textId="6EE645CB" w:rsidR="00AE1E46" w:rsidRDefault="00AE1E46" w:rsidP="00BD1520">
      <w:pPr>
        <w:pStyle w:val="Prrafodelista"/>
        <w:numPr>
          <w:ilvl w:val="0"/>
          <w:numId w:val="20"/>
        </w:numPr>
        <w:spacing w:after="120" w:line="276" w:lineRule="auto"/>
        <w:jc w:val="both"/>
        <w:rPr>
          <w:rFonts w:ascii="Verdana" w:eastAsia="Times New Roman" w:hAnsi="Verdana" w:cs="Arial"/>
          <w:lang w:val="es-ES_tradnl" w:eastAsia="es-MX"/>
        </w:rPr>
      </w:pPr>
      <w:r w:rsidRPr="00A208F6">
        <w:rPr>
          <w:rFonts w:ascii="Verdana" w:eastAsia="Times New Roman" w:hAnsi="Verdana" w:cs="Arial"/>
          <w:lang w:val="es-ES_tradnl" w:eastAsia="es-MX"/>
        </w:rPr>
        <w:t>En este contexto, la escogencia del consultor, a través de concurso de méritos, podría parecer que concurre con la modalidad de mínima cuantía que, como se referenció, según el artículo 94 de la Ley 1474 de 2011, modificado por el artículo 30 de la Ley 2069 de 2020, consiste en la contratación cuyo valor no excede del diez por ciento (10%) de la menor cuantía de la entidad independientemente de su objeto. Al respecto, la Corte Constitucional, en sentencia C-004 de 2017, consideró que:</w:t>
      </w:r>
    </w:p>
    <w:p w14:paraId="72C35993" w14:textId="77777777" w:rsidR="00D32BB1" w:rsidRDefault="00D32BB1" w:rsidP="00AE1E46">
      <w:pPr>
        <w:spacing w:after="0" w:line="276" w:lineRule="auto"/>
        <w:jc w:val="both"/>
        <w:rPr>
          <w:rFonts w:ascii="Verdana" w:eastAsia="Times New Roman" w:hAnsi="Verdana" w:cs="Arial"/>
          <w:lang w:val="es-ES_tradnl" w:eastAsia="es-MX"/>
        </w:rPr>
      </w:pPr>
    </w:p>
    <w:p w14:paraId="28D0EDE5" w14:textId="77777777" w:rsidR="00D32BB1" w:rsidRPr="00A208F6" w:rsidRDefault="00D32BB1" w:rsidP="00604A6D">
      <w:pPr>
        <w:pStyle w:val="Prrafodelista"/>
        <w:spacing w:after="0" w:line="240" w:lineRule="auto"/>
        <w:ind w:right="709"/>
        <w:jc w:val="both"/>
        <w:rPr>
          <w:rFonts w:ascii="Verdana" w:eastAsia="Times New Roman" w:hAnsi="Verdana" w:cs="Arial"/>
          <w:bCs/>
          <w:sz w:val="20"/>
          <w:szCs w:val="20"/>
          <w:lang w:eastAsia="es-ES_tradnl"/>
        </w:rPr>
      </w:pPr>
      <w:r w:rsidRPr="00A208F6">
        <w:rPr>
          <w:rFonts w:ascii="Verdana" w:eastAsia="Times New Roman" w:hAnsi="Verdana" w:cs="Arial"/>
          <w:bCs/>
          <w:sz w:val="20"/>
          <w:szCs w:val="20"/>
          <w:lang w:eastAsia="es-ES_tradnl"/>
        </w:rPr>
        <w:t>“[…] la expresión “independientemente de su objeto”, relativa a la procedencia del procedimiento de contratación de mínima cuantía no excluye ni la contratación directa, cuando ésta sea procedente, ni la selección abreviada por Acuerdo Marco de Precios, celebrado a instancias de la Agencia Colombia Compra Eficiente, pero sí el concurso de méritos.</w:t>
      </w:r>
    </w:p>
    <w:p w14:paraId="72433D49" w14:textId="77777777" w:rsidR="00D32BB1" w:rsidRPr="00A208F6" w:rsidRDefault="00D32BB1" w:rsidP="00953BE9">
      <w:pPr>
        <w:spacing w:after="0" w:line="240" w:lineRule="auto"/>
        <w:ind w:left="709" w:right="709"/>
        <w:jc w:val="both"/>
        <w:rPr>
          <w:rFonts w:ascii="Verdana" w:eastAsia="Times New Roman" w:hAnsi="Verdana" w:cs="Arial"/>
          <w:bCs/>
          <w:sz w:val="20"/>
          <w:szCs w:val="20"/>
          <w:lang w:eastAsia="es-ES_tradnl"/>
        </w:rPr>
      </w:pPr>
    </w:p>
    <w:p w14:paraId="18930438" w14:textId="77777777" w:rsidR="00D32BB1" w:rsidRPr="00A208F6" w:rsidRDefault="00D32BB1" w:rsidP="00604A6D">
      <w:pPr>
        <w:pStyle w:val="Prrafodelista"/>
        <w:spacing w:after="0" w:line="240" w:lineRule="auto"/>
        <w:ind w:right="709"/>
        <w:jc w:val="both"/>
        <w:rPr>
          <w:rFonts w:ascii="Verdana" w:eastAsia="Times New Roman" w:hAnsi="Verdana" w:cs="Arial"/>
          <w:bCs/>
          <w:sz w:val="20"/>
          <w:szCs w:val="20"/>
          <w:lang w:eastAsia="es-ES_tradnl"/>
        </w:rPr>
      </w:pPr>
      <w:r w:rsidRPr="00A208F6">
        <w:rPr>
          <w:rFonts w:ascii="Verdana" w:eastAsia="Times New Roman" w:hAnsi="Verdana" w:cs="Arial"/>
          <w:bCs/>
          <w:sz w:val="20"/>
          <w:szCs w:val="20"/>
          <w:lang w:eastAsia="es-ES_tradnl"/>
        </w:rPr>
        <w:t>[…]</w:t>
      </w:r>
    </w:p>
    <w:p w14:paraId="5B15A4FE" w14:textId="77777777" w:rsidR="00D32BB1" w:rsidRPr="00A208F6" w:rsidRDefault="00D32BB1" w:rsidP="00953BE9">
      <w:pPr>
        <w:spacing w:after="0" w:line="240" w:lineRule="auto"/>
        <w:ind w:left="709" w:right="709"/>
        <w:jc w:val="both"/>
        <w:rPr>
          <w:rFonts w:ascii="Verdana" w:eastAsia="Times New Roman" w:hAnsi="Verdana" w:cs="Arial"/>
          <w:bCs/>
          <w:sz w:val="20"/>
          <w:szCs w:val="20"/>
          <w:lang w:eastAsia="es-ES_tradnl"/>
        </w:rPr>
      </w:pPr>
    </w:p>
    <w:p w14:paraId="7BBFCE88" w14:textId="77777777" w:rsidR="00953BE9" w:rsidRDefault="00D32BB1" w:rsidP="00BD1520">
      <w:pPr>
        <w:pStyle w:val="Prrafodelista"/>
        <w:spacing w:after="0" w:line="240" w:lineRule="auto"/>
        <w:ind w:right="709"/>
        <w:jc w:val="both"/>
        <w:rPr>
          <w:rFonts w:ascii="Verdana" w:eastAsia="Times New Roman" w:hAnsi="Verdana" w:cs="Arial"/>
          <w:bCs/>
          <w:sz w:val="20"/>
          <w:szCs w:val="20"/>
          <w:lang w:eastAsia="es-ES_tradnl"/>
        </w:rPr>
      </w:pPr>
      <w:r w:rsidRPr="00A208F6">
        <w:rPr>
          <w:rFonts w:ascii="Verdana" w:eastAsia="Times New Roman" w:hAnsi="Verdana" w:cs="Arial"/>
          <w:bCs/>
          <w:sz w:val="20"/>
          <w:szCs w:val="20"/>
          <w:lang w:eastAsia="es-ES_tradnl"/>
        </w:rPr>
        <w:t>[…] respecto del concurso de méritos, la contratación de mínima cuantía sí prevalece, ya que la especificidad del objeto a contratar mediante el concurso no es suficiente para excluir la contratación de mínima cuantía, cuando el monto de la contratación no supere dicha cuantía. Esto quiere decir que el criterio relativo a la cuantía es subsidiario y se excluye cuando exista una causal específica, relativa al objeto, lo que no ocurre en el caso del concurso de méritos. Por esta razón, la selección de consultores o de proyectos, deberá realizarse, según la cuantía, mediante contratación de</w:t>
      </w:r>
      <w:r w:rsidR="00953BE9" w:rsidRPr="00A208F6">
        <w:rPr>
          <w:rFonts w:ascii="Verdana" w:eastAsia="Times New Roman" w:hAnsi="Verdana" w:cs="Arial"/>
          <w:bCs/>
          <w:sz w:val="20"/>
          <w:szCs w:val="20"/>
          <w:lang w:eastAsia="es-ES_tradnl"/>
        </w:rPr>
        <w:t xml:space="preserve"> mínima cuantía o mediante un concurso de méritos, en aplicación del principio de economía”.</w:t>
      </w:r>
    </w:p>
    <w:p w14:paraId="61FFE5EA" w14:textId="77777777" w:rsidR="00BC1C95" w:rsidRDefault="00BC1C95" w:rsidP="00BD1520">
      <w:pPr>
        <w:pStyle w:val="Prrafodelista"/>
        <w:spacing w:after="0" w:line="240" w:lineRule="auto"/>
        <w:ind w:right="709"/>
        <w:jc w:val="both"/>
        <w:rPr>
          <w:rFonts w:ascii="Verdana" w:eastAsia="Times New Roman" w:hAnsi="Verdana" w:cs="Arial"/>
          <w:bCs/>
          <w:sz w:val="20"/>
          <w:szCs w:val="20"/>
          <w:lang w:eastAsia="es-ES_tradnl"/>
        </w:rPr>
      </w:pPr>
    </w:p>
    <w:p w14:paraId="374378BB" w14:textId="08633BF5" w:rsidR="00BC1C95" w:rsidRPr="00BD1520" w:rsidRDefault="00BC1C95" w:rsidP="00BD1520">
      <w:pPr>
        <w:pStyle w:val="Prrafodelista"/>
        <w:numPr>
          <w:ilvl w:val="0"/>
          <w:numId w:val="20"/>
        </w:numPr>
        <w:spacing w:after="0" w:line="240" w:lineRule="auto"/>
        <w:ind w:right="709"/>
        <w:jc w:val="both"/>
        <w:rPr>
          <w:rFonts w:ascii="Verdana" w:eastAsia="Times New Roman" w:hAnsi="Verdana" w:cs="Arial"/>
          <w:sz w:val="20"/>
          <w:szCs w:val="20"/>
          <w:lang w:eastAsia="es-ES_tradnl"/>
        </w:rPr>
      </w:pPr>
      <w:r w:rsidRPr="00A208F6">
        <w:rPr>
          <w:rFonts w:ascii="Verdana" w:eastAsia="Times New Roman" w:hAnsi="Verdana" w:cs="Arial"/>
          <w:lang w:val="es-ES_tradnl" w:eastAsia="es-MX"/>
        </w:rPr>
        <w:t>De igual forma, esta ha sido la interpretación del Consejo de Estado, que, al estudiar la concurrencia entre la mínima cuantía y otras modalidades de selección –incluido el concurso de méritos para la selección de consultores, al tenor del artículo 32, numeral 2 de la Ley 80 de 1993</w:t>
      </w:r>
      <w:r>
        <w:rPr>
          <w:rStyle w:val="Refdenotaalpie"/>
          <w:rFonts w:ascii="Verdana" w:eastAsia="Times New Roman" w:hAnsi="Verdana" w:cs="Arial"/>
          <w:lang w:val="es-ES_tradnl" w:eastAsia="es-MX"/>
        </w:rPr>
        <w:footnoteReference w:id="8"/>
      </w:r>
      <w:r w:rsidR="002E6153">
        <w:rPr>
          <w:rFonts w:ascii="Verdana" w:eastAsia="Times New Roman" w:hAnsi="Verdana" w:cs="Arial"/>
          <w:lang w:val="es-ES_tradnl" w:eastAsia="es-MX"/>
        </w:rPr>
        <w:t>, ha concluido que:</w:t>
      </w:r>
    </w:p>
    <w:p w14:paraId="161718DB" w14:textId="77777777" w:rsidR="004209FE" w:rsidRDefault="004209FE" w:rsidP="00BC1C95">
      <w:pPr>
        <w:spacing w:after="0" w:line="240" w:lineRule="auto"/>
        <w:jc w:val="both"/>
        <w:rPr>
          <w:rFonts w:ascii="Verdana" w:eastAsia="Times New Roman" w:hAnsi="Verdana" w:cs="Arial"/>
          <w:lang w:val="es-ES_tradnl" w:eastAsia="es-MX"/>
        </w:rPr>
      </w:pPr>
    </w:p>
    <w:p w14:paraId="08F2F6A9" w14:textId="10C2AB8D" w:rsidR="004209FE" w:rsidRPr="00604A6D" w:rsidRDefault="004209FE" w:rsidP="00487F76">
      <w:pPr>
        <w:pStyle w:val="Prrafodelista"/>
        <w:spacing w:after="0" w:line="240" w:lineRule="auto"/>
        <w:ind w:right="709"/>
        <w:jc w:val="both"/>
        <w:rPr>
          <w:rFonts w:ascii="Verdana" w:hAnsi="Verdana" w:cs="Arial"/>
          <w:sz w:val="20"/>
          <w:szCs w:val="20"/>
          <w:lang w:eastAsia="es-ES"/>
        </w:rPr>
      </w:pPr>
      <w:r w:rsidRPr="00487F76">
        <w:rPr>
          <w:rFonts w:ascii="Verdana" w:hAnsi="Verdana" w:cs="Arial"/>
          <w:sz w:val="20"/>
          <w:szCs w:val="20"/>
          <w:lang w:eastAsia="es-ES"/>
        </w:rPr>
        <w:t>“[…], cuando el monto de la contratación sea equivalente a la mínima cuantía de la entidad estatal, pero, concomitante a ello, esta última (la entidad) advierta que también aplica alguna modalidad de selección específica (dadas las condiciones especiales del objeto), ella debe acudir al procedimiento establecido para la mínima cuantía; así, por ejemplo, si la administración necesita contratar la prestación de servicios de salud (supuesto que se enmarca en el trámite de selección abreviada), pero el valor del contrato no excede del 10% de la menor cuantía de la entidad, este último será el criterio que se debe tener en cuenta para la escogencia del contratista; por tanto, el procedimiento que debe seguirse será el de mínima cuantía, independientemente –se insiste– del objeto a contratar. Lo mismo se aplica cuando se necesita contratar una consultoría o adquirir bienes o servicios de características técnicas uniformes y de común utilización, entre otros, siempre que el costo de la contratación no supere la mínima cuantía de la entidad</w:t>
      </w:r>
      <w:r w:rsidR="003E3C2D" w:rsidRPr="00487F76">
        <w:rPr>
          <w:rFonts w:ascii="Verdana" w:hAnsi="Verdana" w:cs="Arial"/>
          <w:sz w:val="20"/>
          <w:szCs w:val="20"/>
          <w:lang w:eastAsia="es-ES"/>
        </w:rPr>
        <w:t>”</w:t>
      </w:r>
      <w:r w:rsidR="003E3C2D" w:rsidRPr="00487F76">
        <w:rPr>
          <w:rStyle w:val="Refdenotaalpie"/>
          <w:rFonts w:ascii="Verdana" w:hAnsi="Verdana" w:cs="Arial"/>
          <w:sz w:val="20"/>
          <w:szCs w:val="20"/>
          <w:lang w:eastAsia="es-ES"/>
        </w:rPr>
        <w:footnoteReference w:id="9"/>
      </w:r>
      <w:r w:rsidR="004C60A7" w:rsidRPr="00487F76">
        <w:rPr>
          <w:rFonts w:ascii="Verdana" w:hAnsi="Verdana" w:cs="Arial"/>
          <w:sz w:val="20"/>
          <w:szCs w:val="20"/>
          <w:lang w:eastAsia="es-ES"/>
        </w:rPr>
        <w:t>.</w:t>
      </w:r>
    </w:p>
    <w:p w14:paraId="7A408854" w14:textId="77777777" w:rsidR="004C60A7" w:rsidRDefault="004C60A7" w:rsidP="003E3C2D">
      <w:pPr>
        <w:spacing w:after="0" w:line="240" w:lineRule="auto"/>
        <w:ind w:left="709" w:right="709"/>
        <w:jc w:val="both"/>
        <w:rPr>
          <w:rFonts w:ascii="Verdana" w:hAnsi="Verdana" w:cs="Arial"/>
          <w:sz w:val="20"/>
          <w:szCs w:val="20"/>
          <w:lang w:val="es-ES_tradnl" w:eastAsia="es-ES_tradnl"/>
        </w:rPr>
      </w:pPr>
    </w:p>
    <w:p w14:paraId="3FEB50F2" w14:textId="77777777" w:rsidR="004C60A7" w:rsidRPr="00604A6D" w:rsidRDefault="004C60A7" w:rsidP="00487F76">
      <w:pPr>
        <w:pStyle w:val="Prrafodelista"/>
        <w:numPr>
          <w:ilvl w:val="0"/>
          <w:numId w:val="20"/>
        </w:numPr>
        <w:spacing w:after="0" w:line="276" w:lineRule="auto"/>
        <w:jc w:val="both"/>
        <w:rPr>
          <w:rFonts w:ascii="Verdana" w:eastAsia="Times New Roman" w:hAnsi="Verdana" w:cs="Arial"/>
          <w:lang w:eastAsia="es-ES"/>
        </w:rPr>
      </w:pPr>
      <w:r w:rsidRPr="00487F76">
        <w:rPr>
          <w:rFonts w:ascii="Verdana" w:eastAsia="Times New Roman" w:hAnsi="Verdana" w:cs="Arial"/>
          <w:lang w:eastAsia="es-ES"/>
        </w:rPr>
        <w:lastRenderedPageBreak/>
        <w:t>Lo anterior, para efectos de la concurrencia de la modalidad de selección de mínima cuantía y la de concurso de méritos. Sin embargo, es importante considerar que la modalidad de mínima cuantía también podría concurrir con otras modalidades de selección, como la contratación directa, por lo que en cada caso corresponderá a las Entidades Estatales efectuar el análisis correspondiente. De esta manera, el Consejo de Estado efectuó una reflexión similar a la sostenida por esta Agencia, frente a otra problemática asociada con la mínima cuantía, particularmente, cuando esta concurre con una causal de contratación directa:</w:t>
      </w:r>
    </w:p>
    <w:p w14:paraId="418D18EC" w14:textId="77777777" w:rsidR="004C60A7" w:rsidRPr="00A208F6" w:rsidRDefault="004C60A7" w:rsidP="004C60A7">
      <w:pPr>
        <w:spacing w:after="0" w:line="276" w:lineRule="auto"/>
        <w:ind w:firstLine="709"/>
        <w:jc w:val="both"/>
        <w:rPr>
          <w:rFonts w:ascii="Verdana" w:eastAsia="Times New Roman" w:hAnsi="Verdana" w:cs="Arial"/>
          <w:sz w:val="21"/>
          <w:szCs w:val="21"/>
          <w:lang w:val="es-ES_tradnl" w:eastAsia="es-ES_tradnl"/>
        </w:rPr>
      </w:pPr>
    </w:p>
    <w:p w14:paraId="5D01FABC" w14:textId="542CB9DF" w:rsidR="004C60A7" w:rsidRPr="00A208F6" w:rsidRDefault="00EE19AB" w:rsidP="00EE19AB">
      <w:pPr>
        <w:spacing w:after="0" w:line="240" w:lineRule="auto"/>
        <w:ind w:right="709"/>
        <w:jc w:val="both"/>
        <w:rPr>
          <w:rFonts w:ascii="Verdana" w:eastAsia="Times New Roman" w:hAnsi="Verdana" w:cs="Arial"/>
          <w:sz w:val="20"/>
          <w:szCs w:val="20"/>
          <w:lang w:val="es-ES_tradnl" w:eastAsia="es-ES_tradnl"/>
        </w:rPr>
      </w:pPr>
      <w:r>
        <w:rPr>
          <w:rFonts w:ascii="Verdana" w:eastAsia="Times New Roman" w:hAnsi="Verdana" w:cs="Arial"/>
          <w:color w:val="000000"/>
          <w:sz w:val="20"/>
          <w:szCs w:val="20"/>
          <w:lang w:eastAsia="es-ES_tradnl"/>
        </w:rPr>
        <w:t xml:space="preserve">          </w:t>
      </w:r>
      <w:r w:rsidR="004C60A7" w:rsidRPr="00EE19AB">
        <w:rPr>
          <w:rFonts w:ascii="Verdana" w:eastAsia="Times New Roman" w:hAnsi="Verdana" w:cs="Arial"/>
          <w:color w:val="000000"/>
          <w:sz w:val="20"/>
          <w:szCs w:val="20"/>
          <w:lang w:eastAsia="es-ES_tradnl"/>
        </w:rPr>
        <w:t>“[…]</w:t>
      </w:r>
    </w:p>
    <w:p w14:paraId="2FFCF8CE" w14:textId="77777777" w:rsidR="004C60A7" w:rsidRPr="00A208F6" w:rsidRDefault="004C60A7" w:rsidP="00830959">
      <w:pPr>
        <w:spacing w:after="0" w:line="240" w:lineRule="auto"/>
        <w:ind w:left="709" w:right="709"/>
        <w:jc w:val="both"/>
        <w:rPr>
          <w:rFonts w:ascii="Verdana" w:eastAsia="Times New Roman" w:hAnsi="Verdana" w:cs="Arial"/>
          <w:color w:val="000000"/>
          <w:sz w:val="20"/>
          <w:szCs w:val="20"/>
          <w:lang w:eastAsia="es-ES_tradnl"/>
        </w:rPr>
      </w:pPr>
    </w:p>
    <w:p w14:paraId="5D75A49A" w14:textId="58D449B7" w:rsidR="004C60A7" w:rsidRPr="004C60A7" w:rsidRDefault="004C60A7" w:rsidP="00EE19AB">
      <w:pPr>
        <w:pStyle w:val="Prrafodelista"/>
        <w:spacing w:after="0" w:line="240" w:lineRule="auto"/>
        <w:ind w:right="709"/>
        <w:jc w:val="both"/>
        <w:rPr>
          <w:rFonts w:ascii="Verdana" w:hAnsi="Verdana" w:cs="Arial"/>
          <w:sz w:val="20"/>
          <w:szCs w:val="20"/>
          <w:lang w:val="es-ES_tradnl" w:eastAsia="es-ES_tradnl"/>
        </w:rPr>
      </w:pPr>
      <w:r w:rsidRPr="00A208F6">
        <w:rPr>
          <w:rFonts w:ascii="Verdana" w:eastAsia="Times New Roman" w:hAnsi="Verdana" w:cs="Arial"/>
          <w:color w:val="000000"/>
          <w:sz w:val="20"/>
          <w:szCs w:val="20"/>
          <w:lang w:eastAsia="es-ES_tradnl"/>
        </w:rPr>
        <w:t>Precisamente, frente a la concurrencia de procedimientos de selección, el ente rector de la contratación pública (Agencia Nacional de Contratación Pública-Colombia Compra Eficiente), en su “</w:t>
      </w:r>
      <w:r w:rsidRPr="00A208F6">
        <w:rPr>
          <w:rFonts w:ascii="Verdana" w:eastAsia="Times New Roman" w:hAnsi="Verdana" w:cs="Arial"/>
          <w:i/>
          <w:iCs/>
          <w:color w:val="000000"/>
          <w:sz w:val="20"/>
          <w:szCs w:val="20"/>
          <w:lang w:eastAsia="es-ES_tradnl"/>
        </w:rPr>
        <w:t>Manual de Modalidad de Selección de Mínima Cuantía</w:t>
      </w:r>
      <w:r w:rsidRPr="00A208F6">
        <w:rPr>
          <w:rFonts w:ascii="Verdana" w:eastAsia="Times New Roman" w:hAnsi="Verdana" w:cs="Arial"/>
          <w:color w:val="000000"/>
          <w:sz w:val="20"/>
          <w:szCs w:val="20"/>
          <w:lang w:eastAsia="es-ES_tradnl"/>
        </w:rPr>
        <w:t>”, tras identificar la posibilidad de que confluyeran diversos modalidades de selección con la mínima cuantía, concluyó, para el caso de la contratación directa, que sería esta última la que debía adelantarse “</w:t>
      </w:r>
      <w:r w:rsidRPr="00A208F6">
        <w:rPr>
          <w:rFonts w:ascii="Verdana" w:eastAsia="Times New Roman" w:hAnsi="Verdana" w:cs="Arial"/>
          <w:i/>
          <w:iCs/>
          <w:color w:val="000000"/>
          <w:sz w:val="20"/>
          <w:szCs w:val="20"/>
          <w:lang w:eastAsia="es-ES_tradnl"/>
        </w:rPr>
        <w:t>dado que las causales de contratación directa son especiales y expresas frente a otras modalidades de selección y que la contratación directa permite obtener una mayor economía en el trámite del Proceso de Contratación</w:t>
      </w:r>
      <w:r w:rsidRPr="00A208F6">
        <w:rPr>
          <w:rFonts w:ascii="Verdana" w:eastAsia="Times New Roman" w:hAnsi="Verdana" w:cs="Arial"/>
          <w:color w:val="000000"/>
          <w:sz w:val="20"/>
          <w:szCs w:val="20"/>
          <w:lang w:eastAsia="es-ES_tradnl"/>
        </w:rPr>
        <w:t>” […] en la actualidad se ha identificado que la concurrencia de procedimientos puede llegarse a presentar, y ha sido precisado por la entidad encargada de “</w:t>
      </w:r>
      <w:r w:rsidRPr="00A208F6">
        <w:rPr>
          <w:rFonts w:ascii="Verdana" w:eastAsia="Times New Roman" w:hAnsi="Verdana" w:cs="Arial"/>
          <w:i/>
          <w:iCs/>
          <w:color w:val="000000"/>
          <w:sz w:val="20"/>
          <w:szCs w:val="20"/>
          <w:lang w:eastAsia="es-ES_tradnl"/>
        </w:rPr>
        <w:t>desarrollar, implementar y difundir las políticas públicas, planes, programas, normas, instrumentos y herramientas que faciliten las compras y contratación pública del Estado”</w:t>
      </w:r>
      <w:r w:rsidRPr="00A208F6">
        <w:rPr>
          <w:rFonts w:ascii="Verdana" w:eastAsia="Times New Roman" w:hAnsi="Verdana" w:cs="Arial"/>
          <w:color w:val="000000"/>
          <w:sz w:val="20"/>
          <w:szCs w:val="20"/>
          <w:lang w:eastAsia="es-ES_tradnl"/>
        </w:rPr>
        <w:t xml:space="preserve"> […]  (tal y como lo advirtió el Ministerio de Justicia y del Derecho en su contestación de la demanda), que el principio de economía podría ser el elemento que permitiría solucionar, para el caso, la concurrencia de modalidades de selección”</w:t>
      </w:r>
      <w:r>
        <w:rPr>
          <w:rStyle w:val="Refdenotaalpie"/>
          <w:rFonts w:ascii="Verdana" w:eastAsia="Times New Roman" w:hAnsi="Verdana" w:cs="Arial"/>
          <w:color w:val="000000"/>
          <w:sz w:val="20"/>
          <w:szCs w:val="20"/>
          <w:lang w:eastAsia="es-ES_tradnl"/>
        </w:rPr>
        <w:footnoteReference w:id="10"/>
      </w:r>
      <w:r w:rsidR="00830959">
        <w:rPr>
          <w:rFonts w:ascii="Verdana" w:eastAsia="Times New Roman" w:hAnsi="Verdana" w:cs="Arial"/>
          <w:color w:val="000000"/>
          <w:sz w:val="20"/>
          <w:szCs w:val="20"/>
          <w:lang w:eastAsia="es-ES_tradnl"/>
        </w:rPr>
        <w:t>.</w:t>
      </w:r>
    </w:p>
    <w:p w14:paraId="74BA7098" w14:textId="77777777" w:rsidR="004C60A7" w:rsidRPr="004C60A7" w:rsidRDefault="004C60A7" w:rsidP="00830959">
      <w:pPr>
        <w:spacing w:after="0" w:line="240" w:lineRule="auto"/>
        <w:ind w:left="709" w:right="709"/>
        <w:jc w:val="both"/>
        <w:rPr>
          <w:rFonts w:ascii="Verdana" w:hAnsi="Verdana" w:cs="Arial"/>
          <w:sz w:val="20"/>
          <w:szCs w:val="20"/>
          <w:lang w:val="es-ES_tradnl" w:eastAsia="es-ES_tradnl"/>
        </w:rPr>
      </w:pPr>
    </w:p>
    <w:p w14:paraId="2F098D42" w14:textId="77777777" w:rsidR="004C60A7" w:rsidRPr="00A208F6" w:rsidRDefault="004C60A7" w:rsidP="00830959">
      <w:pPr>
        <w:spacing w:after="0" w:line="240" w:lineRule="auto"/>
        <w:ind w:left="709" w:right="709"/>
        <w:jc w:val="both"/>
        <w:rPr>
          <w:rFonts w:ascii="Verdana" w:eastAsia="Times New Roman" w:hAnsi="Verdana" w:cs="Arial"/>
          <w:lang w:val="es-ES_tradnl" w:eastAsia="es-MX"/>
        </w:rPr>
      </w:pPr>
    </w:p>
    <w:p w14:paraId="056A89B5" w14:textId="0006087B" w:rsidR="00C349D0" w:rsidRPr="00604A6D" w:rsidRDefault="005D057A" w:rsidP="00487F76">
      <w:pPr>
        <w:pStyle w:val="Prrafodelista"/>
        <w:numPr>
          <w:ilvl w:val="0"/>
          <w:numId w:val="20"/>
        </w:numPr>
        <w:spacing w:after="0" w:line="276" w:lineRule="auto"/>
        <w:jc w:val="both"/>
        <w:rPr>
          <w:rFonts w:ascii="Verdana" w:hAnsi="Verdana" w:cs="Arial"/>
          <w:lang w:eastAsia="es-ES"/>
        </w:rPr>
      </w:pPr>
      <w:r w:rsidRPr="00487F76">
        <w:rPr>
          <w:rFonts w:ascii="Verdana" w:hAnsi="Verdana" w:cs="Arial"/>
          <w:lang w:eastAsia="es-ES"/>
        </w:rPr>
        <w:t>Igualmente, el numeral 12.2, del “Manual de la modalidad de selección de mínima cuantía”</w:t>
      </w:r>
      <w:r w:rsidR="00F43739" w:rsidRPr="00487F76">
        <w:rPr>
          <w:rStyle w:val="Refdenotaalpie"/>
          <w:rFonts w:ascii="Verdana" w:hAnsi="Verdana" w:cs="Arial"/>
          <w:lang w:eastAsia="es-ES"/>
        </w:rPr>
        <w:footnoteReference w:id="11"/>
      </w:r>
      <w:r w:rsidR="00F43739" w:rsidRPr="00487F76">
        <w:rPr>
          <w:rFonts w:ascii="Verdana" w:hAnsi="Verdana" w:cs="Arial"/>
          <w:lang w:eastAsia="es-ES"/>
        </w:rPr>
        <w:t>,</w:t>
      </w:r>
      <w:r w:rsidR="00C349D0" w:rsidRPr="00487F76">
        <w:rPr>
          <w:rFonts w:ascii="Century Gothic" w:eastAsia="Times New Roman" w:hAnsi="Century Gothic" w:cs="Arial"/>
          <w:lang w:eastAsia="es-ES"/>
        </w:rPr>
        <w:t xml:space="preserve"> </w:t>
      </w:r>
      <w:r w:rsidR="00C349D0" w:rsidRPr="00487F76">
        <w:rPr>
          <w:rFonts w:ascii="Verdana" w:hAnsi="Verdana" w:cs="Arial"/>
          <w:lang w:eastAsia="es-ES"/>
        </w:rPr>
        <w:t>expedido por la Agencia Nacional de Contratación Pública – Colombia Compra Eficiente, se expresa que:</w:t>
      </w:r>
    </w:p>
    <w:p w14:paraId="56D2FF1F" w14:textId="77777777" w:rsidR="00C349D0" w:rsidRDefault="00C349D0" w:rsidP="00C349D0">
      <w:pPr>
        <w:spacing w:after="0" w:line="276" w:lineRule="auto"/>
        <w:jc w:val="both"/>
        <w:rPr>
          <w:rFonts w:ascii="Verdana" w:hAnsi="Verdana" w:cs="Arial"/>
          <w:lang w:val="es-ES_tradnl" w:eastAsia="es-ES_tradnl"/>
        </w:rPr>
      </w:pPr>
    </w:p>
    <w:p w14:paraId="7061ACDD" w14:textId="77777777" w:rsidR="00C349D0" w:rsidRDefault="00C349D0" w:rsidP="00C349D0">
      <w:pPr>
        <w:spacing w:after="0" w:line="276" w:lineRule="auto"/>
        <w:jc w:val="both"/>
        <w:rPr>
          <w:rFonts w:ascii="Verdana" w:hAnsi="Verdana" w:cs="Arial"/>
          <w:lang w:val="es-ES_tradnl" w:eastAsia="es-ES_tradnl"/>
        </w:rPr>
      </w:pPr>
    </w:p>
    <w:p w14:paraId="44BC7CD1" w14:textId="77777777" w:rsidR="00C349D0" w:rsidRPr="00A208F6" w:rsidRDefault="00C349D0" w:rsidP="00EE19AB">
      <w:pPr>
        <w:pStyle w:val="Prrafodelista"/>
        <w:spacing w:after="0" w:line="240" w:lineRule="auto"/>
        <w:ind w:right="709"/>
        <w:jc w:val="both"/>
        <w:rPr>
          <w:rFonts w:ascii="Verdana" w:eastAsia="Times New Roman" w:hAnsi="Verdana" w:cs="Arial"/>
          <w:sz w:val="20"/>
          <w:szCs w:val="20"/>
          <w:lang w:val="es-ES_tradnl" w:eastAsia="es-ES_tradnl"/>
        </w:rPr>
      </w:pPr>
      <w:r w:rsidRPr="00A208F6">
        <w:rPr>
          <w:rFonts w:ascii="Verdana" w:eastAsia="Times New Roman" w:hAnsi="Verdana" w:cs="Arial"/>
          <w:sz w:val="20"/>
          <w:szCs w:val="20"/>
          <w:lang w:val="es-ES_tradnl" w:eastAsia="es-ES_tradnl"/>
        </w:rPr>
        <w:lastRenderedPageBreak/>
        <w:t xml:space="preserve">“Las modalidades de selección de concurso de méritos y de mínima cuantía concurren cuando </w:t>
      </w:r>
      <w:r w:rsidRPr="00A208F6">
        <w:rPr>
          <w:rFonts w:ascii="Verdana" w:eastAsia="Times New Roman" w:hAnsi="Verdana" w:cs="Arial"/>
          <w:b/>
          <w:bCs/>
          <w:sz w:val="20"/>
          <w:szCs w:val="20"/>
          <w:lang w:val="es-ES_tradnl" w:eastAsia="es-ES_tradnl"/>
        </w:rPr>
        <w:t>[a]</w:t>
      </w:r>
      <w:r w:rsidRPr="00A208F6">
        <w:rPr>
          <w:rFonts w:ascii="Verdana" w:eastAsia="Times New Roman" w:hAnsi="Verdana" w:cs="Arial"/>
          <w:sz w:val="20"/>
          <w:szCs w:val="20"/>
          <w:lang w:val="es-ES_tradnl" w:eastAsia="es-ES_tradnl"/>
        </w:rPr>
        <w:t xml:space="preserve"> el presupuesto del Proceso de Contratación es menor o igual que la mínima cuantía de la Entidad Estatal; y </w:t>
      </w:r>
      <w:r w:rsidRPr="00A208F6">
        <w:rPr>
          <w:rFonts w:ascii="Verdana" w:eastAsia="Times New Roman" w:hAnsi="Verdana" w:cs="Arial"/>
          <w:b/>
          <w:bCs/>
          <w:sz w:val="20"/>
          <w:szCs w:val="20"/>
          <w:lang w:val="es-ES_tradnl" w:eastAsia="es-ES_tradnl"/>
        </w:rPr>
        <w:t>[b]</w:t>
      </w:r>
      <w:r w:rsidRPr="00A208F6">
        <w:rPr>
          <w:rFonts w:ascii="Verdana" w:eastAsia="Times New Roman" w:hAnsi="Verdana" w:cs="Arial"/>
          <w:sz w:val="20"/>
          <w:szCs w:val="20"/>
          <w:lang w:val="es-ES_tradnl" w:eastAsia="es-ES_tradnl"/>
        </w:rPr>
        <w:t xml:space="preserve"> el objeto del Proceso de Contratación es la selección de consultores o proyectos, de conformidad con el numeral 3 del artículo 2 de la Ley 1150 de 2007.</w:t>
      </w:r>
    </w:p>
    <w:p w14:paraId="0E0D48ED" w14:textId="77777777" w:rsidR="00C349D0" w:rsidRDefault="00C349D0" w:rsidP="00C349D0">
      <w:pPr>
        <w:spacing w:after="0" w:line="240" w:lineRule="auto"/>
        <w:ind w:left="708" w:right="709"/>
        <w:jc w:val="both"/>
        <w:rPr>
          <w:rFonts w:ascii="Century Gothic" w:eastAsia="Times New Roman" w:hAnsi="Century Gothic" w:cs="Arial"/>
          <w:sz w:val="20"/>
          <w:szCs w:val="20"/>
          <w:lang w:val="es-ES_tradnl" w:eastAsia="es-ES_tradnl"/>
        </w:rPr>
      </w:pPr>
    </w:p>
    <w:p w14:paraId="5B4B6828" w14:textId="19F0FAD9" w:rsidR="00EF42CD" w:rsidRPr="00604A6D" w:rsidRDefault="00EF42CD" w:rsidP="00487F76">
      <w:pPr>
        <w:pStyle w:val="Prrafodelista"/>
        <w:spacing w:after="0" w:line="240" w:lineRule="auto"/>
        <w:ind w:right="709"/>
        <w:jc w:val="both"/>
        <w:rPr>
          <w:rFonts w:ascii="Verdana" w:eastAsia="Times New Roman" w:hAnsi="Verdana" w:cs="Arial"/>
          <w:sz w:val="20"/>
          <w:szCs w:val="20"/>
          <w:lang w:eastAsia="es-ES"/>
        </w:rPr>
      </w:pPr>
      <w:r w:rsidRPr="00487F76">
        <w:rPr>
          <w:rFonts w:ascii="Verdana" w:eastAsia="Times New Roman" w:hAnsi="Verdana" w:cs="Arial"/>
          <w:sz w:val="20"/>
          <w:szCs w:val="20"/>
          <w:lang w:eastAsia="es-ES"/>
        </w:rPr>
        <w:t>Dado que la selección de mínima cuantía es especial para cualquier objeto contractual, de conformidad con el inciso primero del artículo 30 de la Ley 2069 de 2020, en caso de concurrencia entre el concurso de méritos y la mínima cuantía, la modalidad de selección aplicable será la de mínima cuantía</w:t>
      </w:r>
      <w:r w:rsidR="00485EF3" w:rsidRPr="00487F76">
        <w:rPr>
          <w:rFonts w:ascii="Verdana" w:eastAsia="Times New Roman" w:hAnsi="Verdana" w:cs="Arial"/>
          <w:sz w:val="20"/>
          <w:szCs w:val="20"/>
          <w:lang w:eastAsia="es-ES"/>
        </w:rPr>
        <w:t>”</w:t>
      </w:r>
      <w:r w:rsidR="00485EF3" w:rsidRPr="00487F76">
        <w:rPr>
          <w:rStyle w:val="Refdenotaalpie"/>
          <w:rFonts w:ascii="Verdana" w:eastAsia="Times New Roman" w:hAnsi="Verdana" w:cs="Arial"/>
          <w:sz w:val="20"/>
          <w:szCs w:val="20"/>
          <w:lang w:eastAsia="es-ES"/>
        </w:rPr>
        <w:footnoteReference w:id="12"/>
      </w:r>
      <w:r w:rsidR="00C75E74" w:rsidRPr="00487F76">
        <w:rPr>
          <w:rFonts w:ascii="Verdana" w:eastAsia="Times New Roman" w:hAnsi="Verdana" w:cs="Arial"/>
          <w:sz w:val="20"/>
          <w:szCs w:val="20"/>
          <w:lang w:eastAsia="es-ES"/>
        </w:rPr>
        <w:t xml:space="preserve"> (énfasis fuera de texto)</w:t>
      </w:r>
    </w:p>
    <w:p w14:paraId="5B4A4796" w14:textId="77777777" w:rsidR="004D5406" w:rsidRPr="00A208F6" w:rsidRDefault="004D5406" w:rsidP="00C349D0">
      <w:pPr>
        <w:spacing w:after="0" w:line="240" w:lineRule="auto"/>
        <w:ind w:left="708" w:right="709"/>
        <w:jc w:val="both"/>
        <w:rPr>
          <w:rFonts w:ascii="Verdana" w:eastAsia="Times New Roman" w:hAnsi="Verdana" w:cs="Arial"/>
          <w:sz w:val="20"/>
          <w:szCs w:val="20"/>
          <w:lang w:val="es-ES_tradnl" w:eastAsia="es-ES_tradnl"/>
        </w:rPr>
      </w:pPr>
    </w:p>
    <w:p w14:paraId="14A6AE02" w14:textId="3507C6EC" w:rsidR="00F453D8" w:rsidRDefault="00F453D8" w:rsidP="00F453D8">
      <w:pPr>
        <w:snapToGrid w:val="0"/>
        <w:spacing w:after="0" w:line="276" w:lineRule="auto"/>
        <w:jc w:val="both"/>
        <w:rPr>
          <w:rFonts w:ascii="Verdana" w:hAnsi="Verdana" w:cs="Arial"/>
          <w:lang w:val="es-ES_tradnl"/>
        </w:rPr>
      </w:pPr>
    </w:p>
    <w:p w14:paraId="7CE6A54D" w14:textId="77777777" w:rsidR="000C7529" w:rsidRPr="00604A6D" w:rsidRDefault="000C7529" w:rsidP="00487F76">
      <w:pPr>
        <w:pStyle w:val="Prrafodelista"/>
        <w:numPr>
          <w:ilvl w:val="0"/>
          <w:numId w:val="20"/>
        </w:numPr>
        <w:spacing w:after="120" w:line="276" w:lineRule="auto"/>
        <w:jc w:val="both"/>
        <w:rPr>
          <w:rFonts w:ascii="Verdana" w:eastAsia="Times New Roman" w:hAnsi="Verdana" w:cs="Arial"/>
          <w:color w:val="000000"/>
          <w:lang w:eastAsia="es-ES"/>
        </w:rPr>
      </w:pPr>
      <w:bookmarkStart w:id="1" w:name="_Hlk146719317"/>
      <w:r w:rsidRPr="00487F76">
        <w:rPr>
          <w:rFonts w:ascii="Verdana" w:eastAsia="Times New Roman" w:hAnsi="Verdana" w:cs="Arial"/>
          <w:color w:val="000000" w:themeColor="text1"/>
          <w:lang w:eastAsia="es-ES"/>
        </w:rPr>
        <w:t xml:space="preserve">De acuerdo con lo expuesto, considerando el objeto y la modalidad de selección planteados en la consulta, se observa la concurrencia de las modalidades de selección de mínima cuantía y de concurso de méritos, siendo esta última la procedente, por regla general, para la selección de consultores. No obstante, como se indicó, si el valor de la contratación no excede del diez por ciento (10%) de la menor cuantía de la entidad, independientemente de su objeto –y sin perjuicio del análisis de procedencia de otros mecanismos especiales de selección del contratista–, el proceso de selección deberá adelantarse mediante la modalidad de selección de </w:t>
      </w:r>
      <w:r w:rsidRPr="00487F76">
        <w:rPr>
          <w:rFonts w:ascii="Verdana" w:eastAsia="Times New Roman" w:hAnsi="Verdana" w:cs="Arial"/>
          <w:i/>
          <w:color w:val="000000" w:themeColor="text1"/>
          <w:lang w:eastAsia="es-ES"/>
        </w:rPr>
        <w:t>mínima cuantía</w:t>
      </w:r>
      <w:r w:rsidRPr="00487F76">
        <w:rPr>
          <w:rFonts w:ascii="Verdana" w:eastAsia="Times New Roman" w:hAnsi="Verdana" w:cs="Arial"/>
          <w:color w:val="000000" w:themeColor="text1"/>
          <w:lang w:eastAsia="es-ES"/>
        </w:rPr>
        <w:t xml:space="preserve">, en aplicación de lo preceptuado en el artículo 2, numeral 5, de la Ley 1150 de 2007, modificado por el artículo 30 de la Ley 2069 de 2020. En consecuencia, el criterio para la escogencia del contratista será el menor precio, siempre y cuando cumpla con las condiciones exigidas en la invitación. </w:t>
      </w:r>
    </w:p>
    <w:bookmarkEnd w:id="1"/>
    <w:p w14:paraId="3797EBDD" w14:textId="77777777" w:rsidR="000C7529" w:rsidRPr="00A208F6" w:rsidRDefault="000C7529" w:rsidP="00F453D8">
      <w:pPr>
        <w:snapToGrid w:val="0"/>
        <w:spacing w:after="0" w:line="276" w:lineRule="auto"/>
        <w:jc w:val="both"/>
        <w:rPr>
          <w:rFonts w:ascii="Verdana" w:hAnsi="Verdana" w:cs="Arial"/>
          <w:lang w:val="es-ES_tradnl"/>
        </w:rPr>
      </w:pPr>
    </w:p>
    <w:p w14:paraId="6C2C63E0" w14:textId="77777777" w:rsidR="00C91297" w:rsidRPr="00C91297" w:rsidRDefault="00C91297" w:rsidP="00C91297">
      <w:pPr>
        <w:numPr>
          <w:ilvl w:val="0"/>
          <w:numId w:val="16"/>
        </w:numPr>
        <w:tabs>
          <w:tab w:val="left" w:pos="142"/>
          <w:tab w:val="left" w:pos="284"/>
        </w:tabs>
        <w:spacing w:after="0" w:line="276" w:lineRule="auto"/>
        <w:ind w:left="357" w:hanging="357"/>
        <w:jc w:val="both"/>
        <w:rPr>
          <w:rFonts w:ascii="Verdana" w:eastAsia="Times New Roman" w:hAnsi="Verdana" w:cs="Century Gothic"/>
          <w:b/>
          <w:bCs/>
          <w:lang w:val="es-ES_tradnl"/>
        </w:rPr>
      </w:pPr>
      <w:r w:rsidRPr="00C91297">
        <w:rPr>
          <w:rFonts w:ascii="Verdana" w:eastAsia="Times New Roman" w:hAnsi="Verdana" w:cs="Century Gothic"/>
          <w:b/>
          <w:bCs/>
          <w:lang w:val="es-ES_tradnl"/>
        </w:rPr>
        <w:t>Referencias normativas, jurisprudenciales y otras fuentes:</w:t>
      </w:r>
    </w:p>
    <w:p w14:paraId="7E0067C1" w14:textId="77777777" w:rsidR="00C91297" w:rsidRPr="00C91297" w:rsidRDefault="00C91297" w:rsidP="00C91297">
      <w:pPr>
        <w:widowControl w:val="0"/>
        <w:autoSpaceDE w:val="0"/>
        <w:autoSpaceDN w:val="0"/>
        <w:spacing w:after="0" w:line="276" w:lineRule="auto"/>
        <w:jc w:val="both"/>
        <w:rPr>
          <w:rFonts w:ascii="Verdana" w:eastAsia="Times New Roman" w:hAnsi="Verdana" w:cs="Arial"/>
          <w:lang w:val="es-ES_tradnl"/>
        </w:rPr>
      </w:pPr>
    </w:p>
    <w:tbl>
      <w:tblPr>
        <w:tblStyle w:val="Tablaconcuadrcula1"/>
        <w:tblW w:w="8647" w:type="dxa"/>
        <w:tblInd w:w="137"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Look w:val="04A0" w:firstRow="1" w:lastRow="0" w:firstColumn="1" w:lastColumn="0" w:noHBand="0" w:noVBand="1"/>
      </w:tblPr>
      <w:tblGrid>
        <w:gridCol w:w="8647"/>
      </w:tblGrid>
      <w:tr w:rsidR="00C91297" w:rsidRPr="00C91297" w14:paraId="0A8F5C86" w14:textId="77777777" w:rsidTr="00D45F43">
        <w:trPr>
          <w:trHeight w:val="870"/>
        </w:trPr>
        <w:tc>
          <w:tcPr>
            <w:tcW w:w="8647" w:type="dxa"/>
            <w:tcBorders>
              <w:top w:val="dotted" w:sz="4" w:space="0" w:color="auto"/>
              <w:bottom w:val="dotted" w:sz="4" w:space="0" w:color="auto"/>
            </w:tcBorders>
          </w:tcPr>
          <w:p w14:paraId="54F9ABC0" w14:textId="77777777" w:rsidR="00C91297" w:rsidRPr="00C91297" w:rsidRDefault="00C91297" w:rsidP="00C91297">
            <w:pPr>
              <w:widowControl w:val="0"/>
              <w:numPr>
                <w:ilvl w:val="0"/>
                <w:numId w:val="18"/>
              </w:numPr>
              <w:autoSpaceDE w:val="0"/>
              <w:autoSpaceDN w:val="0"/>
              <w:spacing w:after="120" w:line="276" w:lineRule="auto"/>
              <w:ind w:left="714" w:hanging="357"/>
              <w:jc w:val="both"/>
              <w:rPr>
                <w:rFonts w:ascii="Verdana" w:hAnsi="Verdana" w:cs="Arial"/>
                <w:lang w:val="es-ES_tradnl"/>
              </w:rPr>
            </w:pPr>
            <w:r w:rsidRPr="00C91297">
              <w:rPr>
                <w:rFonts w:ascii="Verdana" w:hAnsi="Verdana" w:cs="Arial"/>
                <w:lang w:val="es-ES_tradnl"/>
              </w:rPr>
              <w:t>Ley 80 de 1993, artículo 32.</w:t>
            </w:r>
          </w:p>
          <w:p w14:paraId="02979785" w14:textId="77777777" w:rsidR="00C91297" w:rsidRPr="00C91297" w:rsidRDefault="00C91297" w:rsidP="00C91297">
            <w:pPr>
              <w:widowControl w:val="0"/>
              <w:numPr>
                <w:ilvl w:val="0"/>
                <w:numId w:val="18"/>
              </w:numPr>
              <w:autoSpaceDE w:val="0"/>
              <w:autoSpaceDN w:val="0"/>
              <w:spacing w:after="120" w:line="276" w:lineRule="auto"/>
              <w:ind w:left="714" w:hanging="357"/>
              <w:jc w:val="both"/>
              <w:rPr>
                <w:rFonts w:ascii="Verdana" w:hAnsi="Verdana" w:cs="Arial"/>
                <w:lang w:val="es-ES_tradnl"/>
              </w:rPr>
            </w:pPr>
            <w:r w:rsidRPr="00C91297">
              <w:rPr>
                <w:rFonts w:ascii="Verdana" w:hAnsi="Verdana" w:cs="Arial"/>
                <w:lang w:val="es-ES_tradnl"/>
              </w:rPr>
              <w:t>Ley 1150 de 2007, artículo 2.</w:t>
            </w:r>
          </w:p>
          <w:p w14:paraId="42A04477" w14:textId="77777777" w:rsidR="00EE19AB" w:rsidRDefault="00EE19AB" w:rsidP="00EE19AB">
            <w:pPr>
              <w:widowControl w:val="0"/>
              <w:numPr>
                <w:ilvl w:val="0"/>
                <w:numId w:val="18"/>
              </w:numPr>
              <w:autoSpaceDE w:val="0"/>
              <w:autoSpaceDN w:val="0"/>
              <w:spacing w:after="120" w:line="276" w:lineRule="auto"/>
              <w:ind w:left="714" w:hanging="357"/>
              <w:jc w:val="both"/>
              <w:rPr>
                <w:rFonts w:ascii="Verdana" w:hAnsi="Verdana" w:cs="Arial"/>
                <w:lang w:val="es-ES_tradnl"/>
              </w:rPr>
            </w:pPr>
            <w:r>
              <w:rPr>
                <w:rFonts w:ascii="Verdana" w:hAnsi="Verdana" w:cs="Arial"/>
                <w:lang w:val="es-ES_tradnl"/>
              </w:rPr>
              <w:t>Ley 1474 de 2011, articulo 94</w:t>
            </w:r>
          </w:p>
          <w:p w14:paraId="47B22028" w14:textId="77777777" w:rsidR="00EE19AB" w:rsidRDefault="00EE19AB" w:rsidP="00EE19AB">
            <w:pPr>
              <w:widowControl w:val="0"/>
              <w:numPr>
                <w:ilvl w:val="0"/>
                <w:numId w:val="18"/>
              </w:numPr>
              <w:autoSpaceDE w:val="0"/>
              <w:autoSpaceDN w:val="0"/>
              <w:spacing w:after="120" w:line="276" w:lineRule="auto"/>
              <w:ind w:left="714" w:hanging="357"/>
              <w:jc w:val="both"/>
              <w:rPr>
                <w:rFonts w:ascii="Verdana" w:hAnsi="Verdana" w:cs="Arial"/>
                <w:lang w:val="es-ES_tradnl"/>
              </w:rPr>
            </w:pPr>
            <w:r>
              <w:rPr>
                <w:rFonts w:ascii="Verdana" w:hAnsi="Verdana" w:cs="Arial"/>
                <w:lang w:val="es-ES_tradnl"/>
              </w:rPr>
              <w:t>Ley 2069 de 2020, articulo 30</w:t>
            </w:r>
          </w:p>
          <w:p w14:paraId="0C9C79E0" w14:textId="7F39A184" w:rsidR="00C91297" w:rsidRDefault="00C91297" w:rsidP="00C91297">
            <w:pPr>
              <w:widowControl w:val="0"/>
              <w:numPr>
                <w:ilvl w:val="0"/>
                <w:numId w:val="18"/>
              </w:numPr>
              <w:autoSpaceDE w:val="0"/>
              <w:autoSpaceDN w:val="0"/>
              <w:spacing w:after="120" w:line="276" w:lineRule="auto"/>
              <w:ind w:left="714" w:hanging="357"/>
              <w:jc w:val="both"/>
              <w:rPr>
                <w:rFonts w:ascii="Verdana" w:hAnsi="Verdana" w:cs="Arial"/>
                <w:lang w:val="es-ES_tradnl"/>
              </w:rPr>
            </w:pPr>
            <w:r w:rsidRPr="00C91297">
              <w:rPr>
                <w:rFonts w:ascii="Verdana" w:hAnsi="Verdana" w:cs="Arial"/>
                <w:lang w:val="es-ES_tradnl"/>
              </w:rPr>
              <w:t xml:space="preserve">Decreto 1082 de </w:t>
            </w:r>
            <w:r w:rsidR="00CE796E" w:rsidRPr="00C91297">
              <w:rPr>
                <w:rFonts w:ascii="Verdana" w:hAnsi="Verdana" w:cs="Arial"/>
                <w:lang w:val="es-ES_tradnl"/>
              </w:rPr>
              <w:t>2015</w:t>
            </w:r>
          </w:p>
          <w:p w14:paraId="2E90EC4A" w14:textId="15903009" w:rsidR="00237435" w:rsidRDefault="00237435" w:rsidP="00C91297">
            <w:pPr>
              <w:widowControl w:val="0"/>
              <w:numPr>
                <w:ilvl w:val="0"/>
                <w:numId w:val="18"/>
              </w:numPr>
              <w:autoSpaceDE w:val="0"/>
              <w:autoSpaceDN w:val="0"/>
              <w:spacing w:after="120" w:line="276" w:lineRule="auto"/>
              <w:ind w:left="714" w:hanging="357"/>
              <w:jc w:val="both"/>
              <w:rPr>
                <w:rFonts w:ascii="Verdana" w:hAnsi="Verdana" w:cs="Arial"/>
                <w:lang w:val="es-ES_tradnl"/>
              </w:rPr>
            </w:pPr>
            <w:r>
              <w:rPr>
                <w:rFonts w:ascii="Verdana" w:hAnsi="Verdana" w:cs="Arial"/>
                <w:lang w:val="es-ES_tradnl"/>
              </w:rPr>
              <w:t>Decreto 1860 de 2021</w:t>
            </w:r>
          </w:p>
          <w:p w14:paraId="6FAB2E31" w14:textId="761988DC" w:rsidR="00444752" w:rsidRDefault="00444752" w:rsidP="00C91297">
            <w:pPr>
              <w:widowControl w:val="0"/>
              <w:numPr>
                <w:ilvl w:val="0"/>
                <w:numId w:val="18"/>
              </w:numPr>
              <w:autoSpaceDE w:val="0"/>
              <w:autoSpaceDN w:val="0"/>
              <w:spacing w:after="120" w:line="276" w:lineRule="auto"/>
              <w:ind w:left="714" w:hanging="357"/>
              <w:jc w:val="both"/>
              <w:rPr>
                <w:rFonts w:ascii="Verdana" w:hAnsi="Verdana" w:cs="Arial"/>
                <w:lang w:val="es-ES_tradnl"/>
              </w:rPr>
            </w:pPr>
            <w:r>
              <w:rPr>
                <w:rFonts w:ascii="Verdana" w:hAnsi="Verdana" w:cs="Arial"/>
                <w:lang w:val="es-ES_tradnl"/>
              </w:rPr>
              <w:lastRenderedPageBreak/>
              <w:t>Sentencia C-004 de 2017</w:t>
            </w:r>
          </w:p>
          <w:p w14:paraId="00DF43B2" w14:textId="123D4D3C" w:rsidR="00F94BD7" w:rsidRDefault="00F94BD7" w:rsidP="00C91297">
            <w:pPr>
              <w:widowControl w:val="0"/>
              <w:numPr>
                <w:ilvl w:val="0"/>
                <w:numId w:val="18"/>
              </w:numPr>
              <w:autoSpaceDE w:val="0"/>
              <w:autoSpaceDN w:val="0"/>
              <w:spacing w:after="120" w:line="276" w:lineRule="auto"/>
              <w:ind w:left="714" w:hanging="357"/>
              <w:jc w:val="both"/>
              <w:rPr>
                <w:rFonts w:ascii="Verdana" w:hAnsi="Verdana" w:cs="Arial"/>
                <w:lang w:val="es-ES_tradnl"/>
              </w:rPr>
            </w:pPr>
            <w:r w:rsidRPr="00F94BD7">
              <w:rPr>
                <w:rFonts w:ascii="Verdana" w:hAnsi="Verdana" w:cs="Arial"/>
                <w:lang w:val="es-ES_tradnl"/>
              </w:rPr>
              <w:t xml:space="preserve">Manual de la modalidad de selección de mínima cuantía”, expedido por la Agencia Nacional de Contratación Pública puede ser consultado en el siguiente enlace: </w:t>
            </w:r>
            <w:hyperlink r:id="rId13" w:history="1">
              <w:r w:rsidRPr="00F94BD7">
                <w:rPr>
                  <w:rStyle w:val="Hipervnculo"/>
                  <w:rFonts w:ascii="Verdana" w:hAnsi="Verdana" w:cs="Arial"/>
                  <w:lang w:val="es-ES_tradnl"/>
                </w:rPr>
                <w:t>https://www.colombiacompra.gov.co/sites/cce_public/files/cce_documents/cce-eicp-ma-05._manual_de_modalidad_de_seleccion_de_minima_cuantia_v.02.pdf</w:t>
              </w:r>
            </w:hyperlink>
          </w:p>
          <w:p w14:paraId="69FC2E76" w14:textId="741102D4" w:rsidR="00C91297" w:rsidRPr="00C91297" w:rsidRDefault="00C91297" w:rsidP="00F94BD7">
            <w:pPr>
              <w:widowControl w:val="0"/>
              <w:autoSpaceDE w:val="0"/>
              <w:autoSpaceDN w:val="0"/>
              <w:spacing w:after="160" w:line="276" w:lineRule="auto"/>
              <w:ind w:left="720"/>
              <w:jc w:val="both"/>
              <w:rPr>
                <w:rFonts w:ascii="Verdana" w:hAnsi="Verdana" w:cs="Arial"/>
                <w:lang w:val="es-ES_tradnl"/>
              </w:rPr>
            </w:pPr>
          </w:p>
        </w:tc>
      </w:tr>
    </w:tbl>
    <w:p w14:paraId="38DD27F1" w14:textId="77777777" w:rsidR="00C91297" w:rsidRPr="00C91297" w:rsidRDefault="00C91297" w:rsidP="00C91297">
      <w:pPr>
        <w:widowControl w:val="0"/>
        <w:autoSpaceDE w:val="0"/>
        <w:autoSpaceDN w:val="0"/>
        <w:snapToGrid w:val="0"/>
        <w:spacing w:after="0" w:line="276" w:lineRule="auto"/>
        <w:jc w:val="both"/>
        <w:rPr>
          <w:rFonts w:ascii="Verdana" w:eastAsia="Times New Roman" w:hAnsi="Verdana" w:cs="Arial"/>
          <w:lang w:val="es-ES_tradnl"/>
        </w:rPr>
      </w:pPr>
    </w:p>
    <w:p w14:paraId="17522949" w14:textId="77777777" w:rsidR="00C91297" w:rsidRDefault="00C91297" w:rsidP="00C91297">
      <w:pPr>
        <w:numPr>
          <w:ilvl w:val="0"/>
          <w:numId w:val="16"/>
        </w:numPr>
        <w:tabs>
          <w:tab w:val="left" w:pos="142"/>
          <w:tab w:val="left" w:pos="284"/>
        </w:tabs>
        <w:snapToGrid w:val="0"/>
        <w:spacing w:after="0" w:line="276" w:lineRule="auto"/>
        <w:ind w:left="357" w:hanging="357"/>
        <w:jc w:val="both"/>
        <w:rPr>
          <w:rFonts w:ascii="Verdana" w:eastAsia="Times New Roman" w:hAnsi="Verdana" w:cs="Century Gothic"/>
          <w:b/>
          <w:bCs/>
          <w:lang w:val="es-ES_tradnl"/>
        </w:rPr>
      </w:pPr>
      <w:r w:rsidRPr="00C91297">
        <w:rPr>
          <w:rFonts w:ascii="Verdana" w:eastAsia="Times New Roman" w:hAnsi="Verdana" w:cs="Century Gothic"/>
          <w:b/>
          <w:bCs/>
          <w:lang w:val="es-ES_tradnl"/>
        </w:rPr>
        <w:t>Doctrina de la Agencia Nacional de Contratación Pública:</w:t>
      </w:r>
    </w:p>
    <w:p w14:paraId="788857A8" w14:textId="77777777" w:rsidR="004F7AF1" w:rsidRDefault="004F7AF1" w:rsidP="004F7AF1">
      <w:pPr>
        <w:tabs>
          <w:tab w:val="left" w:pos="142"/>
          <w:tab w:val="left" w:pos="284"/>
        </w:tabs>
        <w:snapToGrid w:val="0"/>
        <w:spacing w:after="0" w:line="276" w:lineRule="auto"/>
        <w:jc w:val="both"/>
        <w:rPr>
          <w:rFonts w:ascii="Verdana" w:eastAsia="Times New Roman" w:hAnsi="Verdana" w:cs="Century Gothic"/>
          <w:b/>
          <w:bCs/>
          <w:lang w:val="es-ES_tradnl"/>
        </w:rPr>
      </w:pPr>
    </w:p>
    <w:p w14:paraId="2F16A38F" w14:textId="77777777" w:rsidR="00EE19AB" w:rsidRDefault="004F7AF1" w:rsidP="00EE19AB">
      <w:pPr>
        <w:tabs>
          <w:tab w:val="left" w:pos="142"/>
          <w:tab w:val="left" w:pos="284"/>
        </w:tabs>
        <w:snapToGrid w:val="0"/>
        <w:spacing w:after="0" w:line="276" w:lineRule="auto"/>
        <w:jc w:val="both"/>
        <w:rPr>
          <w:rFonts w:ascii="Verdana" w:hAnsi="Verdana" w:cs="Arial"/>
          <w:color w:val="000000" w:themeColor="text1"/>
          <w:shd w:val="clear" w:color="auto" w:fill="FFFFFF"/>
        </w:rPr>
      </w:pPr>
      <w:r w:rsidRPr="004F7AF1">
        <w:rPr>
          <w:rFonts w:ascii="Verdana" w:hAnsi="Verdana" w:cs="Century Gothic"/>
          <w:lang w:val="es-ES" w:eastAsia="es-ES_tradnl"/>
        </w:rPr>
        <w:t xml:space="preserve">La Agencia Nacional de Contratación Pública – Colombia Compra Eficiente, en los </w:t>
      </w:r>
      <w:r w:rsidRPr="004F7AF1">
        <w:rPr>
          <w:rFonts w:ascii="Verdana" w:hAnsi="Verdana" w:cs="Arial"/>
          <w:lang w:eastAsia="es-ES_tradnl"/>
        </w:rPr>
        <w:t>conceptos</w:t>
      </w:r>
      <w:r w:rsidRPr="004F7AF1">
        <w:rPr>
          <w:rFonts w:ascii="Verdana" w:hAnsi="Verdana" w:cs="Arial"/>
          <w:spacing w:val="1"/>
          <w:lang w:eastAsia="es-ES_tradnl"/>
        </w:rPr>
        <w:t xml:space="preserve"> </w:t>
      </w:r>
      <w:r w:rsidRPr="004F7AF1">
        <w:rPr>
          <w:rFonts w:ascii="Verdana" w:hAnsi="Verdana" w:cs="Arial"/>
          <w:lang w:eastAsia="es-ES_tradnl"/>
        </w:rPr>
        <w:t>C-107 de 2020, C-295 del 30 de abril de 2020, C-557 del 21 de agosto de 2020, C-562 del 25 de octubre de 2021, C-625 del 14 de septiembre de 2022, estudió la modalidad de selección de mínima cuantía su regulación y las</w:t>
      </w:r>
      <w:r w:rsidRPr="004F7AF1">
        <w:rPr>
          <w:rFonts w:ascii="Verdana" w:hAnsi="Verdana" w:cs="Arial"/>
          <w:spacing w:val="1"/>
          <w:lang w:eastAsia="es-ES_tradnl"/>
        </w:rPr>
        <w:t xml:space="preserve"> </w:t>
      </w:r>
      <w:r w:rsidRPr="004F7AF1">
        <w:rPr>
          <w:rFonts w:ascii="Verdana" w:hAnsi="Verdana" w:cs="Arial"/>
          <w:lang w:eastAsia="es-ES_tradnl"/>
        </w:rPr>
        <w:t>características</w:t>
      </w:r>
      <w:r w:rsidRPr="004F7AF1">
        <w:rPr>
          <w:rFonts w:ascii="Verdana" w:hAnsi="Verdana" w:cs="Arial"/>
          <w:spacing w:val="1"/>
          <w:lang w:eastAsia="es-ES_tradnl"/>
        </w:rPr>
        <w:t xml:space="preserve"> </w:t>
      </w:r>
      <w:r w:rsidRPr="004F7AF1">
        <w:rPr>
          <w:rFonts w:ascii="Verdana" w:hAnsi="Verdana" w:cs="Arial"/>
          <w:lang w:eastAsia="es-ES_tradnl"/>
        </w:rPr>
        <w:t>del</w:t>
      </w:r>
      <w:r w:rsidRPr="004F7AF1">
        <w:rPr>
          <w:rFonts w:ascii="Verdana" w:hAnsi="Verdana" w:cs="Arial"/>
          <w:spacing w:val="1"/>
          <w:lang w:eastAsia="es-ES_tradnl"/>
        </w:rPr>
        <w:t xml:space="preserve"> </w:t>
      </w:r>
      <w:r w:rsidRPr="004F7AF1">
        <w:rPr>
          <w:rFonts w:ascii="Verdana" w:hAnsi="Verdana" w:cs="Arial"/>
          <w:lang w:eastAsia="es-ES_tradnl"/>
        </w:rPr>
        <w:t>procedimiento. Igualmente, se refirió</w:t>
      </w:r>
      <w:r w:rsidRPr="004F7AF1">
        <w:rPr>
          <w:rFonts w:ascii="Verdana" w:hAnsi="Verdana" w:cs="Arial"/>
          <w:lang w:val="es-ES_tradnl" w:eastAsia="es-ES_tradnl"/>
        </w:rPr>
        <w:t xml:space="preserve"> a la concurrencia entre la mínima cuantía y otras modalidades de selección, mediante los conceptos C-108 del 3 de marzo de 2020, C-157 del 13 de abril de 2021, </w:t>
      </w:r>
      <w:r w:rsidRPr="004F7AF1">
        <w:rPr>
          <w:rFonts w:ascii="Verdana" w:hAnsi="Verdana" w:cs="Arial"/>
          <w:color w:val="000000"/>
          <w:lang w:val="es-ES_tradnl" w:eastAsia="es-MX"/>
        </w:rPr>
        <w:t>C-587 de 19 de octubre de 2021</w:t>
      </w:r>
      <w:r w:rsidRPr="004F7AF1">
        <w:rPr>
          <w:rFonts w:ascii="Verdana" w:hAnsi="Verdana" w:cs="Arial"/>
          <w:lang w:val="es-ES_tradnl" w:eastAsia="es-ES_tradnl"/>
        </w:rPr>
        <w:t>, C-557 del 6 de septiembre de 2022</w:t>
      </w:r>
      <w:r w:rsidR="003573F7">
        <w:rPr>
          <w:rFonts w:ascii="Verdana" w:hAnsi="Verdana" w:cs="Arial"/>
          <w:lang w:val="es-ES_tradnl" w:eastAsia="es-ES_tradnl"/>
        </w:rPr>
        <w:t>,</w:t>
      </w:r>
      <w:r w:rsidRPr="004F7AF1">
        <w:rPr>
          <w:rFonts w:ascii="Verdana" w:hAnsi="Verdana" w:cs="Arial"/>
          <w:lang w:val="es-ES_tradnl" w:eastAsia="es-ES_tradnl"/>
        </w:rPr>
        <w:t xml:space="preserve"> C-927 del 29 de diciembre de 2022</w:t>
      </w:r>
      <w:r w:rsidR="003573F7">
        <w:rPr>
          <w:rFonts w:ascii="Verdana" w:hAnsi="Verdana" w:cs="Arial"/>
          <w:lang w:val="es-ES_tradnl" w:eastAsia="es-ES_tradnl"/>
        </w:rPr>
        <w:t xml:space="preserve"> y C- 393 del 27 d</w:t>
      </w:r>
      <w:r w:rsidR="001F652E">
        <w:rPr>
          <w:rFonts w:ascii="Verdana" w:hAnsi="Verdana" w:cs="Arial"/>
          <w:lang w:val="es-ES_tradnl" w:eastAsia="es-ES_tradnl"/>
        </w:rPr>
        <w:t>e septiembre de 2023</w:t>
      </w:r>
      <w:r w:rsidR="00C91297" w:rsidRPr="00C91297">
        <w:rPr>
          <w:rFonts w:ascii="Verdana" w:eastAsia="Times New Roman" w:hAnsi="Verdana" w:cs="Arial"/>
          <w:shd w:val="clear" w:color="auto" w:fill="FFFFFF"/>
          <w:lang w:val="es-ES_tradnl"/>
        </w:rPr>
        <w:t>. Es</w:t>
      </w:r>
      <w:r w:rsidR="00C91297" w:rsidRPr="00C91297">
        <w:rPr>
          <w:rFonts w:ascii="Verdana" w:eastAsia="Times New Roman" w:hAnsi="Verdana" w:cs="Times New Roman"/>
          <w:lang w:val="es-ES_tradnl"/>
        </w:rPr>
        <w:t>tos y otros conceptos se encuentran disponibles para consulta en el sistema de relatoría de la Agencia, al cual se puede acceder a través del siguiente enlace:</w:t>
      </w:r>
      <w:r w:rsidR="00C91297" w:rsidRPr="00C91297">
        <w:rPr>
          <w:rFonts w:ascii="Verdana" w:eastAsia="Times New Roman" w:hAnsi="Verdana" w:cs="Arial"/>
          <w:shd w:val="clear" w:color="auto" w:fill="FFFFFF"/>
          <w:lang w:val="es-ES_tradnl"/>
        </w:rPr>
        <w:t xml:space="preserve"> </w:t>
      </w:r>
      <w:hyperlink r:id="rId14" w:history="1">
        <w:r w:rsidR="00C91297" w:rsidRPr="00C91297">
          <w:rPr>
            <w:rFonts w:ascii="Verdana" w:eastAsia="Times New Roman" w:hAnsi="Verdana" w:cs="Arial"/>
            <w:u w:val="single"/>
            <w:shd w:val="clear" w:color="auto" w:fill="FFFFFF"/>
            <w:lang w:val="es-ES_tradnl"/>
          </w:rPr>
          <w:t>https://relatoria.colombiacompra.gov.co/busqueda/conceptos</w:t>
        </w:r>
      </w:hyperlink>
      <w:r w:rsidR="00C91297" w:rsidRPr="00C91297">
        <w:rPr>
          <w:rFonts w:ascii="Verdana" w:eastAsia="Times New Roman" w:hAnsi="Verdana" w:cs="Arial"/>
          <w:shd w:val="clear" w:color="auto" w:fill="FFFFFF"/>
          <w:lang w:val="es-ES_tradnl"/>
        </w:rPr>
        <w:t>.</w:t>
      </w:r>
      <w:r w:rsidR="006F741F" w:rsidRPr="000F50D4">
        <w:rPr>
          <w:rFonts w:ascii="Verdana" w:hAnsi="Verdana" w:cs="Arial"/>
          <w:color w:val="000000" w:themeColor="text1"/>
          <w:shd w:val="clear" w:color="auto" w:fill="FFFFFF"/>
        </w:rPr>
        <w:t xml:space="preserve">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w:t>
      </w:r>
    </w:p>
    <w:p w14:paraId="33C96F1F" w14:textId="77777777" w:rsidR="00EE19AB" w:rsidRDefault="00EE19AB" w:rsidP="00EE19AB">
      <w:pPr>
        <w:tabs>
          <w:tab w:val="left" w:pos="142"/>
          <w:tab w:val="left" w:pos="284"/>
        </w:tabs>
        <w:snapToGrid w:val="0"/>
        <w:spacing w:after="0" w:line="276" w:lineRule="auto"/>
        <w:jc w:val="both"/>
        <w:rPr>
          <w:rFonts w:ascii="Verdana" w:hAnsi="Verdana" w:cs="Arial"/>
          <w:color w:val="000000" w:themeColor="text1"/>
          <w:shd w:val="clear" w:color="auto" w:fill="FFFFFF"/>
        </w:rPr>
      </w:pPr>
    </w:p>
    <w:p w14:paraId="43FB9FDD" w14:textId="128D5F79" w:rsidR="006F741F" w:rsidRPr="00C56A6D" w:rsidRDefault="006F741F" w:rsidP="00EE19AB">
      <w:pPr>
        <w:tabs>
          <w:tab w:val="left" w:pos="142"/>
          <w:tab w:val="left" w:pos="284"/>
        </w:tabs>
        <w:snapToGrid w:val="0"/>
        <w:spacing w:after="0" w:line="276" w:lineRule="auto"/>
        <w:jc w:val="both"/>
        <w:rPr>
          <w:rFonts w:ascii="Verdana" w:hAnsi="Verdana" w:cs="Arial"/>
          <w:color w:val="FF0000"/>
          <w:shd w:val="clear" w:color="auto" w:fill="FFFFFF"/>
          <w:lang w:val="es-ES"/>
        </w:rPr>
      </w:pPr>
      <w:r w:rsidRPr="000F50D4">
        <w:rPr>
          <w:rFonts w:ascii="Verdana" w:hAnsi="Verdana" w:cs="Arial"/>
          <w:color w:val="000000" w:themeColor="text1"/>
          <w:shd w:val="clear" w:color="auto" w:fill="FFFFFF"/>
        </w:rPr>
        <w:t>Te invitamos también a revisar la tercera edición del  Boletín de Relatoría de 2024 en el cual podrás consultar en detalle el marco normativo de documentos tipo: </w:t>
      </w:r>
      <w:hyperlink r:id="rId15" w:tgtFrame="_blank" w:tooltip="Dirección URL original: https://www.colombiacompra.gov.co/sites/cce_public/files/files_2020/boletin_de_realtoria_iii.pdf. Haga clic o pulse si confía en este vínculo." w:history="1">
        <w:r w:rsidRPr="00C56A6D">
          <w:rPr>
            <w:rStyle w:val="Hipervnculo"/>
            <w:rFonts w:ascii="Verdana" w:hAnsi="Verdana" w:cs="Arial"/>
            <w:shd w:val="clear" w:color="auto" w:fill="FFFFFF"/>
          </w:rPr>
          <w:t>https://www.colombiacompra.gov.co/sites/cce_public/files/files_2020/boletin_de_realtoria_iii.pdf</w:t>
        </w:r>
      </w:hyperlink>
    </w:p>
    <w:p w14:paraId="1BC233EF" w14:textId="77777777" w:rsidR="001F652E" w:rsidRPr="006F741F" w:rsidRDefault="001F652E" w:rsidP="00551EC0">
      <w:pPr>
        <w:tabs>
          <w:tab w:val="left" w:pos="142"/>
          <w:tab w:val="left" w:pos="284"/>
        </w:tabs>
        <w:snapToGrid w:val="0"/>
        <w:spacing w:after="0" w:line="276" w:lineRule="auto"/>
        <w:jc w:val="both"/>
        <w:rPr>
          <w:rFonts w:ascii="Verdana" w:eastAsia="Times New Roman" w:hAnsi="Verdana" w:cs="Century Gothic"/>
          <w:b/>
          <w:bCs/>
          <w:lang w:val="es-ES"/>
        </w:rPr>
      </w:pPr>
    </w:p>
    <w:p w14:paraId="146A2EA6" w14:textId="77777777" w:rsidR="00C91297" w:rsidRPr="00C91297" w:rsidRDefault="00C91297" w:rsidP="00C91297">
      <w:pPr>
        <w:spacing w:after="0" w:line="240" w:lineRule="auto"/>
        <w:jc w:val="both"/>
        <w:rPr>
          <w:rFonts w:ascii="Verdana" w:eastAsia="Times New Roman" w:hAnsi="Verdana" w:cs="Times New Roman"/>
          <w:lang w:val="es-ES_tradnl"/>
        </w:rPr>
      </w:pPr>
      <w:r w:rsidRPr="00C91297">
        <w:rPr>
          <w:rFonts w:ascii="Verdana" w:eastAsia="Times New Roman" w:hAnsi="Verdana" w:cs="Times New Roman"/>
          <w:lang w:val="es-ES_tradnl"/>
        </w:rPr>
        <w:lastRenderedPageBreak/>
        <w:t xml:space="preserve">Por último, los invitamos a seguirnos en las redes sociales, en las cuales se difunde información institucional: </w:t>
      </w:r>
    </w:p>
    <w:p w14:paraId="488C5B63" w14:textId="77777777" w:rsidR="00C91297" w:rsidRPr="00C91297" w:rsidRDefault="00C91297" w:rsidP="00C91297">
      <w:pPr>
        <w:spacing w:after="0" w:line="240" w:lineRule="auto"/>
        <w:jc w:val="both"/>
        <w:rPr>
          <w:rFonts w:ascii="Verdana" w:eastAsia="Times New Roman" w:hAnsi="Verdana" w:cs="Times New Roman"/>
          <w:lang w:val="es-ES_tradnl"/>
        </w:rPr>
      </w:pPr>
    </w:p>
    <w:p w14:paraId="4B9AD0F0" w14:textId="77777777" w:rsidR="00C91297" w:rsidRPr="00C91297" w:rsidRDefault="00C91297" w:rsidP="00C91297">
      <w:pPr>
        <w:spacing w:after="0" w:line="240" w:lineRule="auto"/>
        <w:jc w:val="both"/>
        <w:rPr>
          <w:rFonts w:ascii="Verdana" w:eastAsia="Times New Roman" w:hAnsi="Verdana" w:cs="Times New Roman"/>
          <w:lang w:val="es-ES_tradnl"/>
        </w:rPr>
      </w:pPr>
      <w:r w:rsidRPr="00C91297">
        <w:rPr>
          <w:rFonts w:ascii="Verdana" w:eastAsia="Times New Roman" w:hAnsi="Verdana" w:cs="Times New Roman"/>
          <w:lang w:val="es-ES_tradnl"/>
        </w:rPr>
        <w:t xml:space="preserve">Twitter: </w:t>
      </w:r>
      <w:r w:rsidRPr="00C91297">
        <w:rPr>
          <w:rFonts w:ascii="Verdana" w:eastAsia="Times New Roman" w:hAnsi="Verdana" w:cs="Times New Roman"/>
          <w:u w:val="single"/>
          <w:lang w:val="es-ES_tradnl"/>
        </w:rPr>
        <w:t>@colombiacompra</w:t>
      </w:r>
      <w:r w:rsidRPr="00C91297">
        <w:rPr>
          <w:rFonts w:ascii="Verdana" w:eastAsia="Times New Roman" w:hAnsi="Verdana" w:cs="Times New Roman"/>
          <w:lang w:val="es-ES_tradnl"/>
        </w:rPr>
        <w:t xml:space="preserve"> </w:t>
      </w:r>
    </w:p>
    <w:p w14:paraId="0D4E5737" w14:textId="77777777" w:rsidR="00C91297" w:rsidRPr="00C91297" w:rsidRDefault="00C91297" w:rsidP="00C91297">
      <w:pPr>
        <w:spacing w:after="0" w:line="240" w:lineRule="auto"/>
        <w:jc w:val="both"/>
        <w:rPr>
          <w:rFonts w:ascii="Verdana" w:eastAsia="Times New Roman" w:hAnsi="Verdana" w:cs="Times New Roman"/>
          <w:lang w:val="es-ES"/>
        </w:rPr>
      </w:pPr>
      <w:r w:rsidRPr="03EB96D0">
        <w:rPr>
          <w:rFonts w:ascii="Verdana" w:eastAsia="Times New Roman" w:hAnsi="Verdana" w:cs="Times New Roman"/>
          <w:lang w:val="es-ES"/>
        </w:rPr>
        <w:t xml:space="preserve">Facebook: </w:t>
      </w:r>
      <w:proofErr w:type="spellStart"/>
      <w:r w:rsidRPr="03EB96D0">
        <w:rPr>
          <w:rFonts w:ascii="Verdana" w:eastAsia="Times New Roman" w:hAnsi="Verdana" w:cs="Times New Roman"/>
          <w:u w:val="single"/>
          <w:lang w:val="es-ES"/>
        </w:rPr>
        <w:t>ColombiaCompraEficiente</w:t>
      </w:r>
      <w:proofErr w:type="spellEnd"/>
    </w:p>
    <w:p w14:paraId="11748C29" w14:textId="77777777" w:rsidR="00C91297" w:rsidRPr="00C91297" w:rsidRDefault="00C91297" w:rsidP="00C91297">
      <w:pPr>
        <w:spacing w:after="0" w:line="240" w:lineRule="auto"/>
        <w:jc w:val="both"/>
        <w:rPr>
          <w:rFonts w:ascii="Verdana" w:eastAsia="Times New Roman" w:hAnsi="Verdana" w:cs="Times New Roman"/>
          <w:lang w:val="es-ES_tradnl"/>
        </w:rPr>
      </w:pPr>
      <w:r w:rsidRPr="00C91297">
        <w:rPr>
          <w:rFonts w:ascii="Verdana" w:eastAsia="Times New Roman" w:hAnsi="Verdana" w:cs="Times New Roman"/>
          <w:lang w:val="es-ES_tradnl"/>
        </w:rPr>
        <w:t xml:space="preserve">LinkedIn: </w:t>
      </w:r>
      <w:r w:rsidRPr="00C91297">
        <w:rPr>
          <w:rFonts w:ascii="Verdana" w:eastAsia="Times New Roman" w:hAnsi="Verdana" w:cs="Times New Roman"/>
          <w:u w:val="single"/>
          <w:lang w:val="es-ES_tradnl"/>
        </w:rPr>
        <w:t>Agencia Nacional de Contratación Pública - Colombia Compra Eficiente</w:t>
      </w:r>
      <w:r w:rsidRPr="00C91297">
        <w:rPr>
          <w:rFonts w:ascii="Verdana" w:eastAsia="Times New Roman" w:hAnsi="Verdana" w:cs="Times New Roman"/>
          <w:lang w:val="es-ES_tradnl"/>
        </w:rPr>
        <w:t xml:space="preserve"> Instagram: </w:t>
      </w:r>
      <w:r w:rsidRPr="00C91297">
        <w:rPr>
          <w:rFonts w:ascii="Verdana" w:eastAsia="Times New Roman" w:hAnsi="Verdana" w:cs="Times New Roman"/>
          <w:u w:val="single"/>
          <w:lang w:val="es-ES_tradnl"/>
        </w:rPr>
        <w:t>@colombiacompraeficiente_cce</w:t>
      </w:r>
    </w:p>
    <w:p w14:paraId="3F31B6B2" w14:textId="77777777" w:rsidR="00C91297" w:rsidRPr="00C91297" w:rsidRDefault="00C91297" w:rsidP="00C91297">
      <w:pPr>
        <w:widowControl w:val="0"/>
        <w:autoSpaceDE w:val="0"/>
        <w:autoSpaceDN w:val="0"/>
        <w:spacing w:after="0" w:line="276" w:lineRule="auto"/>
        <w:jc w:val="both"/>
        <w:rPr>
          <w:rFonts w:ascii="Verdana" w:eastAsia="Times New Roman" w:hAnsi="Verdana" w:cs="Arial"/>
          <w:lang w:val="es-ES_tradnl"/>
        </w:rPr>
      </w:pPr>
    </w:p>
    <w:p w14:paraId="713A8E2C" w14:textId="77777777" w:rsidR="00C91297" w:rsidRPr="00C91297" w:rsidRDefault="00C91297" w:rsidP="00C91297">
      <w:pPr>
        <w:widowControl w:val="0"/>
        <w:autoSpaceDE w:val="0"/>
        <w:autoSpaceDN w:val="0"/>
        <w:spacing w:after="0" w:line="276" w:lineRule="auto"/>
        <w:jc w:val="both"/>
        <w:rPr>
          <w:rFonts w:ascii="Verdana" w:eastAsia="Times New Roman" w:hAnsi="Verdana" w:cs="Arial"/>
          <w:lang w:val="es-ES_tradnl"/>
        </w:rPr>
      </w:pPr>
      <w:r w:rsidRPr="00C91297">
        <w:rPr>
          <w:rFonts w:ascii="Verdana" w:eastAsia="Times New Roman" w:hAnsi="Verdana" w:cs="Arial"/>
          <w:lang w:val="es-ES_tradnl"/>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6E6D2112" w14:textId="77777777" w:rsidR="00C91297" w:rsidRPr="00C91297" w:rsidRDefault="00C91297" w:rsidP="00C91297">
      <w:pPr>
        <w:widowControl w:val="0"/>
        <w:autoSpaceDE w:val="0"/>
        <w:autoSpaceDN w:val="0"/>
        <w:spacing w:after="0" w:line="276" w:lineRule="auto"/>
        <w:jc w:val="both"/>
        <w:rPr>
          <w:rFonts w:ascii="Verdana" w:eastAsia="Times New Roman" w:hAnsi="Verdana" w:cs="Arial"/>
          <w:lang w:val="es-ES_tradnl"/>
        </w:rPr>
      </w:pPr>
    </w:p>
    <w:p w14:paraId="6B9AAFBD" w14:textId="77777777" w:rsidR="00C91297" w:rsidRPr="00C91297" w:rsidRDefault="00C91297" w:rsidP="00C91297">
      <w:pPr>
        <w:widowControl w:val="0"/>
        <w:autoSpaceDE w:val="0"/>
        <w:autoSpaceDN w:val="0"/>
        <w:spacing w:after="0" w:line="276" w:lineRule="auto"/>
        <w:jc w:val="both"/>
        <w:rPr>
          <w:rFonts w:ascii="Verdana" w:eastAsia="Times New Roman" w:hAnsi="Verdana" w:cs="Arial"/>
          <w:lang w:val="es-ES_tradnl"/>
        </w:rPr>
      </w:pPr>
    </w:p>
    <w:p w14:paraId="2854DDC6" w14:textId="77777777" w:rsidR="00C91297" w:rsidRPr="00C91297" w:rsidRDefault="00C91297" w:rsidP="00C91297">
      <w:pPr>
        <w:spacing w:after="0" w:line="240" w:lineRule="auto"/>
        <w:rPr>
          <w:rFonts w:ascii="Verdana" w:eastAsia="Times New Roman" w:hAnsi="Verdana" w:cs="Arial"/>
          <w:lang w:eastAsia="es-CO"/>
        </w:rPr>
      </w:pPr>
      <w:r w:rsidRPr="00C91297">
        <w:rPr>
          <w:rFonts w:ascii="Verdana" w:eastAsia="Times New Roman" w:hAnsi="Verdana" w:cs="Arial"/>
          <w:lang w:eastAsia="es-CO"/>
        </w:rPr>
        <w:t xml:space="preserve">Atentamente, </w:t>
      </w:r>
    </w:p>
    <w:p w14:paraId="5ACCAEFF" w14:textId="77777777" w:rsidR="00C91297" w:rsidRPr="00C91297" w:rsidRDefault="00C91297" w:rsidP="00C91297">
      <w:pPr>
        <w:spacing w:line="276" w:lineRule="auto"/>
        <w:jc w:val="center"/>
        <w:rPr>
          <w:rFonts w:ascii="Verdana" w:eastAsia="Times New Roman" w:hAnsi="Verdana" w:cs="Arial"/>
          <w:lang w:val="es-ES_tradnl" w:eastAsia="es-CO"/>
        </w:rPr>
      </w:pPr>
    </w:p>
    <w:p w14:paraId="33D01E04" w14:textId="075D27DB" w:rsidR="007C6D4E" w:rsidRDefault="004C6F5C" w:rsidP="007C6D4E">
      <w:pPr>
        <w:jc w:val="center"/>
        <w:rPr>
          <w:lang w:val="es-ES_tradnl"/>
        </w:rPr>
      </w:pPr>
      <w:r>
        <w:rPr>
          <w:noProof/>
        </w:rPr>
        <w:drawing>
          <wp:inline distT="0" distB="0" distL="0" distR="0" wp14:anchorId="1BCEBA87" wp14:editId="64D688D5">
            <wp:extent cx="3771900" cy="1400175"/>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a:picLocks noChangeAspect="1"/>
                    </pic:cNvPicPr>
                  </pic:nvPicPr>
                  <pic:blipFill>
                    <a:blip r:embed="rId16"/>
                    <a:stretch>
                      <a:fillRect/>
                    </a:stretch>
                  </pic:blipFill>
                  <pic:spPr>
                    <a:xfrm>
                      <a:off x="0" y="0"/>
                      <a:ext cx="3771900" cy="1400175"/>
                    </a:xfrm>
                    <a:prstGeom prst="rect">
                      <a:avLst/>
                    </a:prstGeom>
                  </pic:spPr>
                </pic:pic>
              </a:graphicData>
            </a:graphic>
          </wp:inline>
        </w:drawing>
      </w:r>
    </w:p>
    <w:p w14:paraId="1E533AC7" w14:textId="77777777" w:rsidR="007C6D4E" w:rsidRPr="007C6D4E" w:rsidRDefault="007C6D4E" w:rsidP="007C6D4E">
      <w:pPr>
        <w:jc w:val="center"/>
        <w:rPr>
          <w:lang w:val="es-ES_tradnl"/>
        </w:rPr>
      </w:pP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7C6D4E" w:rsidRPr="007C6D4E" w14:paraId="03418782" w14:textId="77777777" w:rsidTr="00D45F43">
        <w:trPr>
          <w:trHeight w:val="315"/>
        </w:trPr>
        <w:tc>
          <w:tcPr>
            <w:tcW w:w="893" w:type="dxa"/>
            <w:vAlign w:val="center"/>
            <w:hideMark/>
          </w:tcPr>
          <w:p w14:paraId="521C4F7A" w14:textId="77777777" w:rsidR="007C6D4E" w:rsidRPr="007C6D4E" w:rsidRDefault="007C6D4E" w:rsidP="007C6D4E">
            <w:pPr>
              <w:rPr>
                <w:rFonts w:ascii="Verdana" w:hAnsi="Verdana"/>
                <w:sz w:val="16"/>
                <w:szCs w:val="16"/>
                <w:lang w:val="es-ES"/>
              </w:rPr>
            </w:pPr>
            <w:r w:rsidRPr="007C6D4E">
              <w:rPr>
                <w:rFonts w:ascii="Verdana" w:hAnsi="Verdana"/>
                <w:sz w:val="16"/>
                <w:szCs w:val="16"/>
                <w:lang w:val="es-ES"/>
              </w:rPr>
              <w:t>Elaboró:</w:t>
            </w:r>
          </w:p>
        </w:tc>
        <w:tc>
          <w:tcPr>
            <w:tcW w:w="5628" w:type="dxa"/>
            <w:tcBorders>
              <w:top w:val="nil"/>
              <w:left w:val="nil"/>
              <w:bottom w:val="dotted" w:sz="4" w:space="0" w:color="7F7F7F"/>
              <w:right w:val="nil"/>
            </w:tcBorders>
            <w:vAlign w:val="center"/>
            <w:hideMark/>
          </w:tcPr>
          <w:p w14:paraId="2321D4DD" w14:textId="4FEBFB30" w:rsidR="007C6D4E" w:rsidRPr="007C6D4E" w:rsidRDefault="00D3566C" w:rsidP="007C6D4E">
            <w:pPr>
              <w:rPr>
                <w:rFonts w:ascii="Verdana" w:hAnsi="Verdana"/>
                <w:sz w:val="16"/>
                <w:szCs w:val="16"/>
              </w:rPr>
            </w:pPr>
            <w:r w:rsidRPr="007C6D4E">
              <w:rPr>
                <w:rFonts w:ascii="Verdana" w:hAnsi="Verdana"/>
                <w:sz w:val="16"/>
                <w:szCs w:val="16"/>
              </w:rPr>
              <w:t>Héctor</w:t>
            </w:r>
            <w:r w:rsidR="007C6D4E" w:rsidRPr="007C6D4E">
              <w:rPr>
                <w:rFonts w:ascii="Verdana" w:hAnsi="Verdana"/>
                <w:sz w:val="16"/>
                <w:szCs w:val="16"/>
              </w:rPr>
              <w:t xml:space="preserve"> Luis Quiñones </w:t>
            </w:r>
            <w:proofErr w:type="spellStart"/>
            <w:r w:rsidR="007C6D4E" w:rsidRPr="007C6D4E">
              <w:rPr>
                <w:rFonts w:ascii="Verdana" w:hAnsi="Verdana"/>
                <w:sz w:val="16"/>
                <w:szCs w:val="16"/>
              </w:rPr>
              <w:t>Quiñones</w:t>
            </w:r>
            <w:proofErr w:type="spellEnd"/>
          </w:p>
          <w:p w14:paraId="63EFD815" w14:textId="77777777" w:rsidR="007C6D4E" w:rsidRPr="007C6D4E" w:rsidRDefault="007C6D4E" w:rsidP="007C6D4E">
            <w:pPr>
              <w:rPr>
                <w:rFonts w:ascii="Verdana" w:hAnsi="Verdana"/>
                <w:sz w:val="16"/>
                <w:szCs w:val="16"/>
              </w:rPr>
            </w:pPr>
            <w:r w:rsidRPr="007C6D4E">
              <w:rPr>
                <w:rFonts w:ascii="Verdana" w:hAnsi="Verdana"/>
                <w:sz w:val="16"/>
                <w:szCs w:val="16"/>
              </w:rPr>
              <w:t>Analista T2-02 de la Subdirección de Gestión Contractual</w:t>
            </w:r>
          </w:p>
        </w:tc>
      </w:tr>
      <w:tr w:rsidR="007C6D4E" w:rsidRPr="007C6D4E" w14:paraId="18BE44EB" w14:textId="77777777" w:rsidTr="00D45F43">
        <w:trPr>
          <w:trHeight w:val="330"/>
        </w:trPr>
        <w:tc>
          <w:tcPr>
            <w:tcW w:w="893" w:type="dxa"/>
            <w:vAlign w:val="center"/>
            <w:hideMark/>
          </w:tcPr>
          <w:p w14:paraId="03F82C98" w14:textId="77777777" w:rsidR="007C6D4E" w:rsidRPr="007C6D4E" w:rsidRDefault="007C6D4E" w:rsidP="007C6D4E">
            <w:pPr>
              <w:rPr>
                <w:rFonts w:ascii="Verdana" w:hAnsi="Verdana"/>
                <w:sz w:val="16"/>
                <w:szCs w:val="16"/>
                <w:lang w:val="es-ES"/>
              </w:rPr>
            </w:pPr>
            <w:r w:rsidRPr="007C6D4E">
              <w:rPr>
                <w:rFonts w:ascii="Verdana" w:hAnsi="Verdana"/>
                <w:sz w:val="16"/>
                <w:szCs w:val="16"/>
                <w:lang w:val="es-ES"/>
              </w:rPr>
              <w:t>Revisó:</w:t>
            </w:r>
          </w:p>
        </w:tc>
        <w:tc>
          <w:tcPr>
            <w:tcW w:w="5628" w:type="dxa"/>
            <w:tcBorders>
              <w:top w:val="dotted" w:sz="4" w:space="0" w:color="7F7F7F"/>
              <w:left w:val="nil"/>
              <w:bottom w:val="dotted" w:sz="4" w:space="0" w:color="7F7F7F"/>
              <w:right w:val="nil"/>
            </w:tcBorders>
            <w:vAlign w:val="center"/>
            <w:hideMark/>
          </w:tcPr>
          <w:p w14:paraId="62D376B2" w14:textId="77777777" w:rsidR="007C6D4E" w:rsidRPr="007C6D4E" w:rsidRDefault="007C6D4E" w:rsidP="007C6D4E">
            <w:pPr>
              <w:rPr>
                <w:rFonts w:ascii="Verdana" w:hAnsi="Verdana"/>
                <w:sz w:val="16"/>
                <w:szCs w:val="16"/>
              </w:rPr>
            </w:pPr>
            <w:r w:rsidRPr="007C6D4E">
              <w:rPr>
                <w:rFonts w:ascii="Verdana" w:hAnsi="Verdana"/>
                <w:sz w:val="16"/>
                <w:szCs w:val="16"/>
              </w:rPr>
              <w:t xml:space="preserve">Martha Alicia Romero Vargas </w:t>
            </w:r>
          </w:p>
          <w:p w14:paraId="657D7354" w14:textId="77777777" w:rsidR="007C6D4E" w:rsidRPr="007C6D4E" w:rsidRDefault="007C6D4E" w:rsidP="007C6D4E">
            <w:pPr>
              <w:rPr>
                <w:rFonts w:ascii="Verdana" w:hAnsi="Verdana"/>
                <w:sz w:val="16"/>
                <w:szCs w:val="16"/>
              </w:rPr>
            </w:pPr>
            <w:r w:rsidRPr="007C6D4E">
              <w:rPr>
                <w:rFonts w:ascii="Verdana" w:hAnsi="Verdana"/>
                <w:sz w:val="16"/>
                <w:szCs w:val="16"/>
                <w:lang w:val="es-ES"/>
              </w:rPr>
              <w:t>Gestor T1- 15 de la Subdirección de Gestión Contractual</w:t>
            </w:r>
            <w:r w:rsidRPr="007C6D4E">
              <w:rPr>
                <w:rFonts w:ascii="Verdana" w:hAnsi="Verdana"/>
                <w:sz w:val="16"/>
                <w:szCs w:val="16"/>
              </w:rPr>
              <w:t> </w:t>
            </w:r>
          </w:p>
        </w:tc>
      </w:tr>
      <w:tr w:rsidR="007C6D4E" w:rsidRPr="007C6D4E" w14:paraId="2C7D62C8" w14:textId="77777777" w:rsidTr="00D45F43">
        <w:trPr>
          <w:trHeight w:val="300"/>
        </w:trPr>
        <w:tc>
          <w:tcPr>
            <w:tcW w:w="893" w:type="dxa"/>
            <w:vAlign w:val="center"/>
          </w:tcPr>
          <w:p w14:paraId="5666B852" w14:textId="77777777" w:rsidR="007C6D4E" w:rsidRPr="007C6D4E" w:rsidRDefault="007C6D4E" w:rsidP="007C6D4E">
            <w:pPr>
              <w:rPr>
                <w:rFonts w:ascii="Verdana" w:hAnsi="Verdana"/>
                <w:sz w:val="16"/>
                <w:szCs w:val="16"/>
                <w:lang w:val="es-ES"/>
              </w:rPr>
            </w:pPr>
            <w:r w:rsidRPr="007C6D4E">
              <w:rPr>
                <w:rFonts w:ascii="Verdana" w:hAnsi="Verdana"/>
                <w:sz w:val="16"/>
                <w:szCs w:val="16"/>
                <w:lang w:val="es-ES"/>
              </w:rPr>
              <w:t>Aprobó:</w:t>
            </w:r>
          </w:p>
        </w:tc>
        <w:tc>
          <w:tcPr>
            <w:tcW w:w="5628" w:type="dxa"/>
            <w:tcBorders>
              <w:top w:val="dotted" w:sz="4" w:space="0" w:color="7F7F7F"/>
              <w:left w:val="nil"/>
              <w:bottom w:val="dotted" w:sz="4" w:space="0" w:color="7F7F7F"/>
              <w:right w:val="nil"/>
            </w:tcBorders>
            <w:vAlign w:val="center"/>
          </w:tcPr>
          <w:p w14:paraId="3DBA1089" w14:textId="77777777" w:rsidR="007C6D4E" w:rsidRPr="007C6D4E" w:rsidRDefault="007C6D4E" w:rsidP="007C6D4E">
            <w:pPr>
              <w:rPr>
                <w:rFonts w:ascii="Verdana" w:hAnsi="Verdana"/>
                <w:sz w:val="16"/>
                <w:szCs w:val="16"/>
                <w:lang w:val="pt-BR"/>
              </w:rPr>
            </w:pPr>
            <w:r w:rsidRPr="007C6D4E">
              <w:rPr>
                <w:rFonts w:ascii="Verdana" w:hAnsi="Verdana"/>
                <w:sz w:val="16"/>
                <w:szCs w:val="16"/>
                <w:lang w:val="pt-BR"/>
              </w:rPr>
              <w:t xml:space="preserve">Carolina Quintero </w:t>
            </w:r>
            <w:proofErr w:type="spellStart"/>
            <w:r w:rsidRPr="007C6D4E">
              <w:rPr>
                <w:rFonts w:ascii="Verdana" w:hAnsi="Verdana"/>
                <w:sz w:val="16"/>
                <w:szCs w:val="16"/>
                <w:lang w:val="pt-BR"/>
              </w:rPr>
              <w:t>Gacharná</w:t>
            </w:r>
            <w:proofErr w:type="spellEnd"/>
          </w:p>
          <w:p w14:paraId="26191D15" w14:textId="77777777" w:rsidR="007C6D4E" w:rsidRPr="007C6D4E" w:rsidRDefault="007C6D4E" w:rsidP="007C6D4E">
            <w:pPr>
              <w:rPr>
                <w:rFonts w:ascii="Verdana" w:hAnsi="Verdana"/>
                <w:sz w:val="16"/>
                <w:szCs w:val="16"/>
                <w:lang w:val="pt-BR"/>
              </w:rPr>
            </w:pPr>
            <w:r w:rsidRPr="007C6D4E">
              <w:rPr>
                <w:rFonts w:ascii="Verdana" w:hAnsi="Verdana"/>
                <w:sz w:val="16"/>
                <w:szCs w:val="16"/>
              </w:rPr>
              <w:t>Subdirectora</w:t>
            </w:r>
            <w:r w:rsidRPr="007C6D4E">
              <w:rPr>
                <w:rFonts w:ascii="Verdana" w:hAnsi="Verdana"/>
                <w:sz w:val="16"/>
                <w:szCs w:val="16"/>
                <w:lang w:val="pt-BR"/>
              </w:rPr>
              <w:t xml:space="preserve"> de Gestión Contratual ANCP – CCE</w:t>
            </w:r>
          </w:p>
        </w:tc>
      </w:tr>
    </w:tbl>
    <w:p w14:paraId="0F293BF4" w14:textId="1482EBC1" w:rsidR="00127233" w:rsidRPr="00EB0560" w:rsidRDefault="00127233" w:rsidP="00EB0560"/>
    <w:sectPr w:rsidR="00127233" w:rsidRPr="00EB0560" w:rsidSect="007C0C0F">
      <w:headerReference w:type="default" r:id="rId17"/>
      <w:footerReference w:type="default" r:id="rId18"/>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85E24B" w14:textId="77777777" w:rsidR="00EC2CCA" w:rsidRDefault="00EC2CCA" w:rsidP="004A1847">
      <w:pPr>
        <w:spacing w:after="0" w:line="240" w:lineRule="auto"/>
      </w:pPr>
      <w:r>
        <w:separator/>
      </w:r>
    </w:p>
  </w:endnote>
  <w:endnote w:type="continuationSeparator" w:id="0">
    <w:p w14:paraId="43D66C6C" w14:textId="77777777" w:rsidR="00EC2CCA" w:rsidRDefault="00EC2CCA" w:rsidP="004A1847">
      <w:pPr>
        <w:spacing w:after="0" w:line="240" w:lineRule="auto"/>
      </w:pPr>
      <w:r>
        <w:continuationSeparator/>
      </w:r>
    </w:p>
  </w:endnote>
  <w:endnote w:type="continuationNotice" w:id="1">
    <w:p w14:paraId="69A6D476" w14:textId="77777777" w:rsidR="00EC2CCA" w:rsidRDefault="00EC2C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altName w:val="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D84DC0" w14:textId="77777777" w:rsidR="00EC2CCA" w:rsidRDefault="00EC2CCA" w:rsidP="004A1847">
      <w:pPr>
        <w:spacing w:after="0" w:line="240" w:lineRule="auto"/>
      </w:pPr>
      <w:r>
        <w:separator/>
      </w:r>
    </w:p>
  </w:footnote>
  <w:footnote w:type="continuationSeparator" w:id="0">
    <w:p w14:paraId="2EF0CEEE" w14:textId="77777777" w:rsidR="00EC2CCA" w:rsidRDefault="00EC2CCA" w:rsidP="004A1847">
      <w:pPr>
        <w:spacing w:after="0" w:line="240" w:lineRule="auto"/>
      </w:pPr>
      <w:r>
        <w:continuationSeparator/>
      </w:r>
    </w:p>
  </w:footnote>
  <w:footnote w:type="continuationNotice" w:id="1">
    <w:p w14:paraId="7FC3A3D4" w14:textId="77777777" w:rsidR="00EC2CCA" w:rsidRDefault="00EC2CCA">
      <w:pPr>
        <w:spacing w:after="0" w:line="240" w:lineRule="auto"/>
      </w:pPr>
    </w:p>
  </w:footnote>
  <w:footnote w:id="2">
    <w:p w14:paraId="586BCCC2" w14:textId="77777777" w:rsidR="007F36E2" w:rsidRPr="00A208F6" w:rsidRDefault="00E600F0" w:rsidP="008C28A9">
      <w:pPr>
        <w:pStyle w:val="Textonotapie"/>
        <w:ind w:firstLine="708"/>
        <w:jc w:val="both"/>
        <w:rPr>
          <w:rFonts w:ascii="Verdana" w:hAnsi="Verdana"/>
          <w:sz w:val="16"/>
          <w:szCs w:val="16"/>
          <w:lang w:val="es-ES_tradnl"/>
        </w:rPr>
      </w:pPr>
      <w:r w:rsidRPr="00A208F6">
        <w:rPr>
          <w:rStyle w:val="Refdenotaalpie"/>
          <w:rFonts w:ascii="Verdana" w:hAnsi="Verdana"/>
          <w:sz w:val="16"/>
          <w:szCs w:val="16"/>
        </w:rPr>
        <w:footnoteRef/>
      </w:r>
      <w:r w:rsidRPr="00A208F6">
        <w:rPr>
          <w:rFonts w:ascii="Verdana" w:hAnsi="Verdana"/>
          <w:sz w:val="16"/>
          <w:szCs w:val="16"/>
        </w:rPr>
        <w:t xml:space="preserve"> </w:t>
      </w:r>
      <w:r w:rsidR="007F36E2" w:rsidRPr="00A208F6">
        <w:rPr>
          <w:rFonts w:ascii="Verdana" w:hAnsi="Verdana"/>
          <w:sz w:val="16"/>
          <w:szCs w:val="16"/>
          <w:lang w:val="es-ES_tradnl"/>
        </w:rPr>
        <w:t>En efecto, este artículo dispuso: “Adiciónese al artículo 2o de la Ley 1150 de 2007 el siguiente numeral.</w:t>
      </w:r>
    </w:p>
    <w:p w14:paraId="3A9B0B77" w14:textId="77777777" w:rsidR="007F36E2" w:rsidRPr="00A208F6" w:rsidRDefault="007F36E2" w:rsidP="00A208F6">
      <w:pPr>
        <w:pStyle w:val="Textonotapie"/>
        <w:jc w:val="both"/>
        <w:rPr>
          <w:rFonts w:ascii="Verdana" w:hAnsi="Verdana"/>
          <w:sz w:val="16"/>
          <w:szCs w:val="16"/>
          <w:lang w:val="es-ES_tradnl"/>
        </w:rPr>
      </w:pPr>
      <w:r w:rsidRPr="00A208F6">
        <w:rPr>
          <w:rFonts w:ascii="Verdana" w:hAnsi="Verdana"/>
          <w:sz w:val="16"/>
          <w:szCs w:val="16"/>
          <w:lang w:val="es-ES_tradnl"/>
        </w:rPr>
        <w:t>La contratación cuyo valor no excede del 10 por ciento de la menor cuantía de la entidad independientemente de su objeto, se efectuará de conformidad con las siguientes reglas:</w:t>
      </w:r>
    </w:p>
    <w:p w14:paraId="691397AA" w14:textId="77777777" w:rsidR="007F36E2" w:rsidRPr="00A208F6" w:rsidRDefault="007F36E2" w:rsidP="00A208F6">
      <w:pPr>
        <w:pStyle w:val="Textonotapie"/>
        <w:jc w:val="both"/>
        <w:rPr>
          <w:rFonts w:ascii="Verdana" w:hAnsi="Verdana"/>
          <w:sz w:val="16"/>
          <w:szCs w:val="16"/>
          <w:lang w:val="es-ES_tradnl"/>
        </w:rPr>
      </w:pPr>
      <w:r w:rsidRPr="00A208F6">
        <w:rPr>
          <w:rFonts w:ascii="Verdana" w:hAnsi="Verdana"/>
          <w:sz w:val="16"/>
          <w:szCs w:val="16"/>
          <w:lang w:val="es-ES_tradnl"/>
        </w:rPr>
        <w:t>a) Se publicará una invitación, por un término no inferior a un día hábil, en la cual se señalará el objeto a contratar, el presupuesto destinado para tal fin, así como las condiciones técnicas exigidas;</w:t>
      </w:r>
    </w:p>
    <w:p w14:paraId="2FAE40E1" w14:textId="77777777" w:rsidR="007F36E2" w:rsidRPr="00A208F6" w:rsidRDefault="007F36E2" w:rsidP="00A208F6">
      <w:pPr>
        <w:pStyle w:val="Textonotapie"/>
        <w:jc w:val="both"/>
        <w:rPr>
          <w:rFonts w:ascii="Verdana" w:hAnsi="Verdana"/>
          <w:sz w:val="16"/>
          <w:szCs w:val="16"/>
          <w:lang w:val="es-ES_tradnl"/>
        </w:rPr>
      </w:pPr>
      <w:r w:rsidRPr="00A208F6">
        <w:rPr>
          <w:rFonts w:ascii="Verdana" w:hAnsi="Verdana"/>
          <w:sz w:val="16"/>
          <w:szCs w:val="16"/>
          <w:lang w:val="es-ES_tradnl"/>
        </w:rPr>
        <w:t>b) El término previsto en la invitación para presentar la oferta no podrá ser inferior a un día hábil;</w:t>
      </w:r>
    </w:p>
    <w:p w14:paraId="4AFBD5B3" w14:textId="77777777" w:rsidR="007F36E2" w:rsidRPr="00A208F6" w:rsidRDefault="007F36E2" w:rsidP="00A208F6">
      <w:pPr>
        <w:pStyle w:val="Textonotapie"/>
        <w:jc w:val="both"/>
        <w:rPr>
          <w:rFonts w:ascii="Verdana" w:hAnsi="Verdana"/>
          <w:sz w:val="16"/>
          <w:szCs w:val="16"/>
          <w:lang w:val="es-ES_tradnl"/>
        </w:rPr>
      </w:pPr>
      <w:r w:rsidRPr="00A208F6">
        <w:rPr>
          <w:rFonts w:ascii="Verdana" w:hAnsi="Verdana"/>
          <w:sz w:val="16"/>
          <w:szCs w:val="16"/>
          <w:lang w:val="es-ES_tradnl"/>
        </w:rPr>
        <w:t>c) La entidad seleccionará, mediante comunicación de aceptación de la oferta, la propuesta con el menor precio, siempre y cuando cumpla con las condiciones exigidas;</w:t>
      </w:r>
    </w:p>
    <w:p w14:paraId="3A420553" w14:textId="77777777" w:rsidR="007F36E2" w:rsidRPr="00A208F6" w:rsidRDefault="007F36E2" w:rsidP="00A208F6">
      <w:pPr>
        <w:pStyle w:val="Textonotapie"/>
        <w:jc w:val="both"/>
        <w:rPr>
          <w:rFonts w:ascii="Verdana" w:hAnsi="Verdana"/>
          <w:sz w:val="16"/>
          <w:szCs w:val="16"/>
          <w:lang w:val="es-ES_tradnl"/>
        </w:rPr>
      </w:pPr>
      <w:r w:rsidRPr="00A208F6">
        <w:rPr>
          <w:rFonts w:ascii="Verdana" w:hAnsi="Verdana"/>
          <w:sz w:val="16"/>
          <w:szCs w:val="16"/>
          <w:lang w:val="es-ES_tradnl"/>
        </w:rPr>
        <w:t>d) La comunicación de aceptación junto con la oferta constituyen para todos los efectos el contrato celebrado, con base en lo cual se efectuará el respectivo registro presupuestal.</w:t>
      </w:r>
    </w:p>
    <w:p w14:paraId="11D31E11" w14:textId="77777777" w:rsidR="007F36E2" w:rsidRPr="00A208F6" w:rsidRDefault="007F36E2" w:rsidP="00A208F6">
      <w:pPr>
        <w:pStyle w:val="Textonotapie"/>
        <w:jc w:val="both"/>
        <w:rPr>
          <w:rFonts w:ascii="Verdana" w:hAnsi="Verdana"/>
          <w:sz w:val="16"/>
          <w:szCs w:val="16"/>
          <w:lang w:val="es-ES_tradnl"/>
        </w:rPr>
      </w:pPr>
      <w:r w:rsidRPr="00A208F6">
        <w:rPr>
          <w:rFonts w:ascii="Verdana" w:hAnsi="Verdana"/>
          <w:sz w:val="16"/>
          <w:szCs w:val="16"/>
          <w:lang w:val="es-ES_tradnl"/>
        </w:rPr>
        <w:t>PARÁGRAFO 1o. Las particularidades del procedimiento aquí previsto, así como la posibilidad que tengan las entidades de realizar estas adquisiciones en establecimientos que correspondan a la definición de “gran almacén” señalada por la Superintendencia de Industria y Comercio, se determinarán en el reglamento que para el efecto expida el Gobierno Nacional.</w:t>
      </w:r>
    </w:p>
    <w:p w14:paraId="6B352EA4" w14:textId="77777777" w:rsidR="007F36E2" w:rsidRPr="00A208F6" w:rsidRDefault="007F36E2" w:rsidP="00A208F6">
      <w:pPr>
        <w:pStyle w:val="Textonotapie"/>
        <w:jc w:val="both"/>
        <w:rPr>
          <w:rFonts w:ascii="Verdana" w:hAnsi="Verdana"/>
          <w:sz w:val="16"/>
          <w:szCs w:val="16"/>
          <w:lang w:val="es-ES_tradnl"/>
        </w:rPr>
      </w:pPr>
      <w:r w:rsidRPr="00A208F6">
        <w:rPr>
          <w:rFonts w:ascii="Verdana" w:hAnsi="Verdana"/>
          <w:sz w:val="16"/>
          <w:szCs w:val="16"/>
          <w:lang w:val="es-ES_tradnl"/>
        </w:rPr>
        <w:t>PARÁGRAFO 2o. La contratación a que se refiere el presente artículo se realizará exclusivamente con las reglas en él contempladas y en su reglamentación. En particular no se aplicará lo previsto en la Ley 816 de 2003, ni en el artículo 12 de la Ley 1150 de 2007”.</w:t>
      </w:r>
    </w:p>
    <w:p w14:paraId="08CEA3B0" w14:textId="724B39D1" w:rsidR="00E600F0" w:rsidRPr="00A208F6" w:rsidRDefault="00E600F0">
      <w:pPr>
        <w:pStyle w:val="Textonotapie"/>
        <w:rPr>
          <w:lang w:val="es-CO"/>
        </w:rPr>
      </w:pPr>
    </w:p>
  </w:footnote>
  <w:footnote w:id="3">
    <w:p w14:paraId="639C6616" w14:textId="020996E0" w:rsidR="00806F63" w:rsidRPr="00A208F6" w:rsidRDefault="00806F63">
      <w:pPr>
        <w:pStyle w:val="Textonotapie"/>
        <w:rPr>
          <w:lang w:val="es-CO"/>
        </w:rPr>
      </w:pPr>
      <w:r>
        <w:rPr>
          <w:rStyle w:val="Refdenotaalpie"/>
        </w:rPr>
        <w:footnoteRef/>
      </w:r>
      <w:r>
        <w:t xml:space="preserve"> </w:t>
      </w:r>
      <w:r w:rsidR="006B4C87" w:rsidRPr="00A208F6">
        <w:rPr>
          <w:rFonts w:ascii="Verdana" w:hAnsi="Verdana"/>
          <w:sz w:val="16"/>
          <w:szCs w:val="16"/>
          <w:lang w:val="es-ES_tradnl"/>
        </w:rPr>
        <w:t>Esto lo ratifica el artículo 2.2.1.2.1.5.2. del Decreto 1082 de 2015.</w:t>
      </w:r>
    </w:p>
  </w:footnote>
  <w:footnote w:id="4">
    <w:p w14:paraId="623580DF" w14:textId="001A39F6" w:rsidR="00636E0F" w:rsidRPr="00A208F6" w:rsidRDefault="00636E0F" w:rsidP="00636E0F">
      <w:pPr>
        <w:pStyle w:val="Textonotapie"/>
        <w:rPr>
          <w:rFonts w:ascii="Verdana" w:hAnsi="Verdana"/>
          <w:sz w:val="16"/>
          <w:szCs w:val="16"/>
          <w:lang w:val="es-ES_tradnl"/>
        </w:rPr>
      </w:pPr>
      <w:r>
        <w:rPr>
          <w:rStyle w:val="Refdenotaalpie"/>
        </w:rPr>
        <w:footnoteRef/>
      </w:r>
      <w:r>
        <w:t xml:space="preserve"> </w:t>
      </w:r>
      <w:r w:rsidRPr="00A208F6">
        <w:rPr>
          <w:rFonts w:ascii="Verdana" w:hAnsi="Verdana"/>
          <w:sz w:val="16"/>
          <w:szCs w:val="16"/>
          <w:lang w:val="es-ES_tradnl"/>
        </w:rPr>
        <w:t>DÁVILA VINUEZA, Luis Guillermo. Régimen jurídico de la contratación estatal. 3ª ed. Bogotá: Legis, 2016. p. 463.</w:t>
      </w:r>
    </w:p>
    <w:p w14:paraId="395ADEEF" w14:textId="399DC60D" w:rsidR="00636E0F" w:rsidRPr="00A208F6" w:rsidRDefault="00636E0F">
      <w:pPr>
        <w:pStyle w:val="Textonotapie"/>
        <w:rPr>
          <w:lang w:val="es-CO"/>
        </w:rPr>
      </w:pPr>
    </w:p>
  </w:footnote>
  <w:footnote w:id="5">
    <w:p w14:paraId="181F17B6" w14:textId="77777777" w:rsidR="005D709C" w:rsidRPr="00A208F6" w:rsidRDefault="002231E3" w:rsidP="00A208F6">
      <w:pPr>
        <w:pStyle w:val="Textonotapie"/>
        <w:jc w:val="both"/>
        <w:rPr>
          <w:rFonts w:ascii="Verdana" w:hAnsi="Verdana"/>
          <w:sz w:val="16"/>
          <w:szCs w:val="16"/>
          <w:lang w:val="es-ES_tradnl"/>
        </w:rPr>
      </w:pPr>
      <w:r>
        <w:rPr>
          <w:rStyle w:val="Refdenotaalpie"/>
        </w:rPr>
        <w:footnoteRef/>
      </w:r>
      <w:r>
        <w:t xml:space="preserve"> </w:t>
      </w:r>
      <w:r w:rsidR="005D709C" w:rsidRPr="00A208F6">
        <w:rPr>
          <w:rFonts w:ascii="Verdana" w:hAnsi="Verdana"/>
          <w:sz w:val="16"/>
          <w:szCs w:val="16"/>
          <w:lang w:val="es-ES_tradnl"/>
        </w:rPr>
        <w:t>La contratación de mínima cuantía es aquella que no excede el 10% de la menor cuantía, o sea, que no supera el 10% de los topes definidos en el artículo 2, numeral 2, literal b) de la Ley 1150 de 2007, que dispone: “Se entenderá por menor cuantía los valores que a continuación se relacionan, determinados en función de los presupuestos anuales de las entidades públicas expresados en salarios mínimos legales mensuales.</w:t>
      </w:r>
    </w:p>
    <w:p w14:paraId="7BDD6872" w14:textId="77777777" w:rsidR="005D709C" w:rsidRPr="00A208F6" w:rsidRDefault="005D709C" w:rsidP="00A208F6">
      <w:pPr>
        <w:pStyle w:val="Textonotapie"/>
        <w:jc w:val="both"/>
        <w:rPr>
          <w:rFonts w:ascii="Verdana" w:hAnsi="Verdana"/>
          <w:sz w:val="16"/>
          <w:szCs w:val="16"/>
          <w:lang w:val="es-ES_tradnl"/>
        </w:rPr>
      </w:pPr>
      <w:r w:rsidRPr="00A208F6">
        <w:rPr>
          <w:rFonts w:ascii="Verdana" w:hAnsi="Verdana"/>
          <w:sz w:val="16"/>
          <w:szCs w:val="16"/>
          <w:lang w:val="es-ES_tradnl"/>
        </w:rPr>
        <w:t>Para las entidades que tengan un presupuesto anual superior o igual a 1.200.000 salarios mínimos legales mensuales, la menor cuantía será hasta 1.000 salarios mínimos legales mensuales.</w:t>
      </w:r>
    </w:p>
    <w:p w14:paraId="0CFB8369" w14:textId="77FCDA9E" w:rsidR="002231E3" w:rsidRPr="00A208F6" w:rsidRDefault="002231E3">
      <w:pPr>
        <w:pStyle w:val="Textonotapie"/>
        <w:rPr>
          <w:lang w:val="es-CO"/>
        </w:rPr>
      </w:pPr>
    </w:p>
  </w:footnote>
  <w:footnote w:id="6">
    <w:p w14:paraId="55CD7AD7" w14:textId="77777777" w:rsidR="00F453D8" w:rsidRPr="00A208F6" w:rsidRDefault="002862A3" w:rsidP="00F453D8">
      <w:pPr>
        <w:pStyle w:val="Textonotapie"/>
        <w:rPr>
          <w:rFonts w:ascii="Verdana" w:hAnsi="Verdana"/>
          <w:sz w:val="16"/>
          <w:szCs w:val="16"/>
          <w:lang w:val="es-ES_tradnl"/>
        </w:rPr>
      </w:pPr>
      <w:r>
        <w:rPr>
          <w:rStyle w:val="Refdenotaalpie"/>
        </w:rPr>
        <w:footnoteRef/>
      </w:r>
      <w:r>
        <w:t xml:space="preserve"> </w:t>
      </w:r>
      <w:r w:rsidR="00F453D8" w:rsidRPr="00A208F6">
        <w:rPr>
          <w:rFonts w:ascii="Verdana" w:hAnsi="Verdana"/>
          <w:sz w:val="16"/>
          <w:szCs w:val="16"/>
          <w:lang w:val="es-ES_tradnl"/>
        </w:rPr>
        <w:t xml:space="preserve">Consejo de Estado. Sección Tercera. Subsección A. Auto del 29 de marzo de 2017. </w:t>
      </w:r>
      <w:proofErr w:type="spellStart"/>
      <w:r w:rsidR="00F453D8" w:rsidRPr="00A208F6">
        <w:rPr>
          <w:rFonts w:ascii="Verdana" w:hAnsi="Verdana"/>
          <w:sz w:val="16"/>
          <w:szCs w:val="16"/>
          <w:lang w:val="es-ES_tradnl"/>
        </w:rPr>
        <w:t>Exp</w:t>
      </w:r>
      <w:proofErr w:type="spellEnd"/>
      <w:r w:rsidR="00F453D8" w:rsidRPr="00A208F6">
        <w:rPr>
          <w:rFonts w:ascii="Verdana" w:hAnsi="Verdana"/>
          <w:sz w:val="16"/>
          <w:szCs w:val="16"/>
          <w:lang w:val="es-ES_tradnl"/>
        </w:rPr>
        <w:t>. 56.307. Consejero: Carlos Alberto Zambrano Barrera.</w:t>
      </w:r>
    </w:p>
    <w:p w14:paraId="225BA54E" w14:textId="46EE80B8" w:rsidR="002862A3" w:rsidRPr="00A208F6" w:rsidRDefault="002862A3">
      <w:pPr>
        <w:pStyle w:val="Textonotapie"/>
        <w:rPr>
          <w:lang w:val="es-CO"/>
        </w:rPr>
      </w:pPr>
    </w:p>
  </w:footnote>
  <w:footnote w:id="7">
    <w:p w14:paraId="4D9A97B4" w14:textId="6FD91524" w:rsidR="00B926DE" w:rsidRPr="00A208F6" w:rsidRDefault="00B926DE" w:rsidP="00B926DE">
      <w:pPr>
        <w:pStyle w:val="NormalWeb"/>
        <w:spacing w:before="0" w:beforeAutospacing="0" w:after="0" w:afterAutospacing="0"/>
        <w:ind w:firstLine="709"/>
        <w:contextualSpacing/>
        <w:jc w:val="both"/>
        <w:rPr>
          <w:rFonts w:ascii="Verdana" w:hAnsi="Verdana" w:cs="Arial"/>
          <w:color w:val="000000"/>
          <w:sz w:val="16"/>
          <w:szCs w:val="16"/>
          <w:lang w:eastAsia="es-ES_tradnl"/>
        </w:rPr>
      </w:pPr>
      <w:r w:rsidRPr="00B926DE">
        <w:rPr>
          <w:rFonts w:ascii="Century Gothic" w:eastAsiaTheme="majorEastAsia" w:hAnsi="Century Gothic" w:cs="Arial"/>
          <w:sz w:val="16"/>
          <w:szCs w:val="16"/>
          <w:vertAlign w:val="superscript"/>
        </w:rPr>
        <w:footnoteRef/>
      </w:r>
      <w:r w:rsidRPr="00B926DE">
        <w:rPr>
          <w:rFonts w:ascii="Century Gothic" w:hAnsi="Century Gothic" w:cs="Arial"/>
          <w:sz w:val="16"/>
          <w:szCs w:val="16"/>
        </w:rPr>
        <w:t xml:space="preserve">  </w:t>
      </w:r>
      <w:r w:rsidRPr="00A208F6">
        <w:rPr>
          <w:rFonts w:ascii="Verdana" w:hAnsi="Verdana" w:cs="Arial"/>
          <w:sz w:val="16"/>
          <w:szCs w:val="16"/>
        </w:rPr>
        <w:t>Ley 1150 de 2007, artículo 2, numeral 3: “[…]</w:t>
      </w:r>
      <w:r w:rsidRPr="00A208F6">
        <w:rPr>
          <w:rFonts w:ascii="Verdana" w:hAnsi="Verdana" w:cs="Arial"/>
          <w:color w:val="000000"/>
          <w:sz w:val="16"/>
          <w:szCs w:val="16"/>
        </w:rPr>
        <w:t xml:space="preserve"> </w:t>
      </w:r>
      <w:r w:rsidRPr="00A208F6">
        <w:rPr>
          <w:rFonts w:ascii="Verdana" w:hAnsi="Verdana" w:cs="Arial"/>
          <w:color w:val="000000"/>
          <w:sz w:val="16"/>
          <w:szCs w:val="16"/>
          <w:lang w:eastAsia="es-ES_tradnl"/>
        </w:rPr>
        <w:t>3. Concurso de méritos. Corresponde a la modalidad prevista para la selección de consultores o proyectos, en la que se podrán utilizar sistemas de concurso abierto o de precalificación. En este último caso, la conformación de la lista de precalificados se hará mediante convocatoria pública, permitiéndose establecer listas limitadas de oferentes mediante resolución motivada, que se entenderá notificada en estrados a los interesados, en la audiencia pública de conformación de la lista, utilizando para el efecto, entre otros, criterios de experiencia, capacidad intelectual y de organización de los proponentes, según sea el caso.</w:t>
      </w:r>
    </w:p>
    <w:p w14:paraId="3EBAC2E9" w14:textId="77777777" w:rsidR="00B926DE" w:rsidRPr="00A208F6" w:rsidRDefault="00B926DE" w:rsidP="00B926DE">
      <w:pPr>
        <w:spacing w:after="0" w:line="240" w:lineRule="auto"/>
        <w:ind w:firstLine="709"/>
        <w:contextualSpacing/>
        <w:jc w:val="both"/>
        <w:rPr>
          <w:rFonts w:ascii="Verdana" w:eastAsia="Times New Roman" w:hAnsi="Verdana" w:cs="Arial"/>
          <w:color w:val="000000"/>
          <w:sz w:val="16"/>
          <w:szCs w:val="16"/>
        </w:rPr>
      </w:pPr>
      <w:r w:rsidRPr="00A208F6">
        <w:rPr>
          <w:rFonts w:ascii="Verdana" w:eastAsia="Times New Roman" w:hAnsi="Verdana" w:cs="Arial"/>
          <w:color w:val="000000"/>
          <w:sz w:val="16"/>
          <w:szCs w:val="16"/>
        </w:rPr>
        <w:t>De conformidad con las condiciones que señale el reglamento, en desarrollo de estos procesos de selección, las propuestas técnicas o de proyectos podrán ser presentadas en forma anónima ante un jurado plural, impar deliberante y calificado</w:t>
      </w:r>
      <w:r w:rsidRPr="00A208F6">
        <w:rPr>
          <w:rFonts w:ascii="Verdana" w:eastAsia="Times New Roman" w:hAnsi="Verdana" w:cs="Arial"/>
          <w:sz w:val="16"/>
          <w:szCs w:val="16"/>
        </w:rPr>
        <w:t>”.</w:t>
      </w:r>
    </w:p>
    <w:p w14:paraId="05F9B056" w14:textId="1DD43B6A" w:rsidR="0060760B" w:rsidRPr="00A208F6" w:rsidRDefault="0060760B">
      <w:pPr>
        <w:pStyle w:val="Textonotapie"/>
        <w:rPr>
          <w:rFonts w:ascii="Verdana" w:hAnsi="Verdana"/>
          <w:lang w:val="es-CO"/>
        </w:rPr>
      </w:pPr>
    </w:p>
  </w:footnote>
  <w:footnote w:id="8">
    <w:p w14:paraId="6FFBA47D" w14:textId="77777777" w:rsidR="00135C73" w:rsidRPr="00A208F6" w:rsidRDefault="00BC1C95" w:rsidP="00135C73">
      <w:pPr>
        <w:pStyle w:val="Textonotapie"/>
        <w:ind w:firstLine="709"/>
        <w:contextualSpacing/>
        <w:jc w:val="both"/>
        <w:rPr>
          <w:rFonts w:ascii="Verdana" w:eastAsia="Times New Roman" w:hAnsi="Verdana" w:cs="Arial"/>
          <w:sz w:val="16"/>
          <w:szCs w:val="16"/>
          <w:lang w:val="es-ES"/>
        </w:rPr>
      </w:pPr>
      <w:r>
        <w:rPr>
          <w:rStyle w:val="Refdenotaalpie"/>
        </w:rPr>
        <w:footnoteRef/>
      </w:r>
      <w:r>
        <w:t xml:space="preserve"> </w:t>
      </w:r>
      <w:r w:rsidR="00135C73" w:rsidRPr="00A208F6">
        <w:rPr>
          <w:rFonts w:ascii="Verdana" w:eastAsia="Times New Roman" w:hAnsi="Verdana" w:cs="Arial"/>
          <w:sz w:val="16"/>
          <w:szCs w:val="16"/>
          <w:lang w:val="es-ES"/>
        </w:rPr>
        <w:t>Este numeral dispone: “Son contratos de consultoría los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w:t>
      </w:r>
    </w:p>
    <w:p w14:paraId="23E2395C" w14:textId="77777777" w:rsidR="00135C73" w:rsidRPr="00A208F6" w:rsidRDefault="00135C73" w:rsidP="00135C73">
      <w:pPr>
        <w:spacing w:after="0" w:line="240" w:lineRule="auto"/>
        <w:ind w:firstLine="709"/>
        <w:contextualSpacing/>
        <w:jc w:val="both"/>
        <w:rPr>
          <w:rFonts w:ascii="Verdana" w:eastAsia="Times New Roman" w:hAnsi="Verdana" w:cs="Arial"/>
          <w:sz w:val="16"/>
          <w:szCs w:val="16"/>
          <w:lang w:val="es-ES"/>
        </w:rPr>
      </w:pPr>
      <w:r w:rsidRPr="00A208F6">
        <w:rPr>
          <w:rFonts w:ascii="Verdana" w:eastAsia="Times New Roman" w:hAnsi="Verdana" w:cs="Arial"/>
          <w:sz w:val="16"/>
          <w:szCs w:val="16"/>
          <w:lang w:val="es-ES"/>
        </w:rPr>
        <w:t>Son también contratos de consultoría los que tienen por objeto la interventoría, asesoría, gerencia de obra o de proyectos, dirección, programación y la ejecución de diseños, planos, anteproyectos y proyectos.</w:t>
      </w:r>
    </w:p>
    <w:p w14:paraId="38BF5244" w14:textId="77777777" w:rsidR="00135C73" w:rsidRPr="00A208F6" w:rsidRDefault="00135C73" w:rsidP="00135C73">
      <w:pPr>
        <w:spacing w:after="0" w:line="240" w:lineRule="auto"/>
        <w:ind w:firstLine="709"/>
        <w:contextualSpacing/>
        <w:jc w:val="both"/>
        <w:rPr>
          <w:rFonts w:ascii="Verdana" w:eastAsia="Times New Roman" w:hAnsi="Verdana" w:cs="Arial"/>
          <w:sz w:val="16"/>
          <w:szCs w:val="16"/>
          <w:lang w:val="es-ES"/>
        </w:rPr>
      </w:pPr>
      <w:r w:rsidRPr="00A208F6">
        <w:rPr>
          <w:rFonts w:ascii="Verdana" w:eastAsia="Times New Roman" w:hAnsi="Verdana" w:cs="Arial"/>
          <w:sz w:val="16"/>
          <w:szCs w:val="16"/>
          <w:lang w:val="es-ES"/>
        </w:rPr>
        <w:t xml:space="preserve">Ninguna orden del interventor de una obra podrá darse verbalmente. Es obligatorio para el interventor entregar por escrito sus órdenes o sugerencias y ellas deben </w:t>
      </w:r>
      <w:proofErr w:type="gramStart"/>
      <w:r w:rsidRPr="00A208F6">
        <w:rPr>
          <w:rFonts w:ascii="Verdana" w:eastAsia="Times New Roman" w:hAnsi="Verdana" w:cs="Arial"/>
          <w:sz w:val="16"/>
          <w:szCs w:val="16"/>
          <w:lang w:val="es-ES"/>
        </w:rPr>
        <w:t>enmarcarse dentro de</w:t>
      </w:r>
      <w:proofErr w:type="gramEnd"/>
      <w:r w:rsidRPr="00A208F6">
        <w:rPr>
          <w:rFonts w:ascii="Verdana" w:eastAsia="Times New Roman" w:hAnsi="Verdana" w:cs="Arial"/>
          <w:sz w:val="16"/>
          <w:szCs w:val="16"/>
          <w:lang w:val="es-ES"/>
        </w:rPr>
        <w:t xml:space="preserve"> los términos del respectivo contrato”.</w:t>
      </w:r>
    </w:p>
    <w:p w14:paraId="758F4FA9" w14:textId="1EC3DE5C" w:rsidR="00BC1C95" w:rsidRPr="00A208F6" w:rsidRDefault="00BC1C95">
      <w:pPr>
        <w:pStyle w:val="Textonotapie"/>
        <w:rPr>
          <w:lang w:val="es-ES"/>
        </w:rPr>
      </w:pPr>
    </w:p>
  </w:footnote>
  <w:footnote w:id="9">
    <w:p w14:paraId="604DBA19" w14:textId="77777777" w:rsidR="003E3C2D" w:rsidRPr="00A208F6" w:rsidRDefault="003E3C2D" w:rsidP="003E3C2D">
      <w:pPr>
        <w:pStyle w:val="Textonotapie"/>
        <w:ind w:firstLine="709"/>
        <w:contextualSpacing/>
        <w:jc w:val="both"/>
        <w:rPr>
          <w:rFonts w:ascii="Verdana" w:eastAsia="Times New Roman" w:hAnsi="Verdana" w:cs="Arial"/>
          <w:color w:val="000000" w:themeColor="text1"/>
          <w:sz w:val="16"/>
          <w:szCs w:val="16"/>
          <w:lang w:val="es-ES"/>
        </w:rPr>
      </w:pPr>
      <w:r>
        <w:rPr>
          <w:rStyle w:val="Refdenotaalpie"/>
        </w:rPr>
        <w:footnoteRef/>
      </w:r>
      <w:r>
        <w:t xml:space="preserve"> </w:t>
      </w:r>
      <w:r w:rsidRPr="00A208F6">
        <w:rPr>
          <w:rFonts w:ascii="Verdana" w:eastAsia="Times New Roman" w:hAnsi="Verdana" w:cs="Arial"/>
          <w:color w:val="000000" w:themeColor="text1"/>
          <w:sz w:val="16"/>
          <w:szCs w:val="16"/>
          <w:lang w:val="es-ES"/>
        </w:rPr>
        <w:t xml:space="preserve">Consejo de Estado. Sección Tercera. Subsección A. Auto del 29 de marzo de 2017. </w:t>
      </w:r>
      <w:proofErr w:type="spellStart"/>
      <w:r w:rsidRPr="00A208F6">
        <w:rPr>
          <w:rFonts w:ascii="Verdana" w:eastAsia="Times New Roman" w:hAnsi="Verdana" w:cs="Arial"/>
          <w:color w:val="000000" w:themeColor="text1"/>
          <w:sz w:val="16"/>
          <w:szCs w:val="16"/>
          <w:lang w:val="es-ES"/>
        </w:rPr>
        <w:t>Exp</w:t>
      </w:r>
      <w:proofErr w:type="spellEnd"/>
      <w:r w:rsidRPr="00A208F6">
        <w:rPr>
          <w:rFonts w:ascii="Verdana" w:eastAsia="Times New Roman" w:hAnsi="Verdana" w:cs="Arial"/>
          <w:color w:val="000000" w:themeColor="text1"/>
          <w:sz w:val="16"/>
          <w:szCs w:val="16"/>
          <w:lang w:val="es-ES"/>
        </w:rPr>
        <w:t>. 56307. Consejero: Carlos Alberto Zambrano Barrera.</w:t>
      </w:r>
    </w:p>
    <w:p w14:paraId="20A7023F" w14:textId="20E934AA" w:rsidR="003E3C2D" w:rsidRPr="00A208F6" w:rsidRDefault="003E3C2D">
      <w:pPr>
        <w:pStyle w:val="Textonotapie"/>
        <w:rPr>
          <w:lang w:val="es-CO"/>
        </w:rPr>
      </w:pPr>
    </w:p>
  </w:footnote>
  <w:footnote w:id="10">
    <w:p w14:paraId="0D063995" w14:textId="1CB4C6E0" w:rsidR="004C60A7" w:rsidRPr="00A208F6" w:rsidRDefault="004C60A7">
      <w:pPr>
        <w:pStyle w:val="Textonotapie"/>
        <w:rPr>
          <w:lang w:val="es-CO"/>
        </w:rPr>
      </w:pPr>
      <w:r>
        <w:rPr>
          <w:rStyle w:val="Refdenotaalpie"/>
        </w:rPr>
        <w:footnoteRef/>
      </w:r>
      <w:r>
        <w:t xml:space="preserve"> </w:t>
      </w:r>
      <w:r w:rsidR="00BF6EA5" w:rsidRPr="00A208F6">
        <w:rPr>
          <w:rFonts w:ascii="Verdana" w:hAnsi="Verdana"/>
          <w:sz w:val="16"/>
          <w:szCs w:val="16"/>
          <w:lang w:val="es-ES"/>
        </w:rPr>
        <w:t xml:space="preserve">Consejo de Estado. Sección Tercera. Subsección B. Sentencia del 5 de marzo de 2020. </w:t>
      </w:r>
      <w:proofErr w:type="spellStart"/>
      <w:r w:rsidR="00BF6EA5" w:rsidRPr="00A208F6">
        <w:rPr>
          <w:rFonts w:ascii="Verdana" w:hAnsi="Verdana"/>
          <w:sz w:val="16"/>
          <w:szCs w:val="16"/>
          <w:lang w:val="es-ES"/>
        </w:rPr>
        <w:t>Exp</w:t>
      </w:r>
      <w:proofErr w:type="spellEnd"/>
      <w:r w:rsidR="00BF6EA5" w:rsidRPr="00A208F6">
        <w:rPr>
          <w:rFonts w:ascii="Verdana" w:hAnsi="Verdana"/>
          <w:sz w:val="16"/>
          <w:szCs w:val="16"/>
          <w:lang w:val="es-ES"/>
        </w:rPr>
        <w:t>. 41619. Consejero: Alberto Montaña Plata</w:t>
      </w:r>
    </w:p>
  </w:footnote>
  <w:footnote w:id="11">
    <w:p w14:paraId="3F6039F0" w14:textId="77777777" w:rsidR="00F43739" w:rsidRPr="00F43739" w:rsidRDefault="00F43739" w:rsidP="00F43739">
      <w:pPr>
        <w:pStyle w:val="Textonotapie"/>
        <w:rPr>
          <w:lang w:val="es-ES_tradnl"/>
        </w:rPr>
      </w:pPr>
      <w:r>
        <w:rPr>
          <w:rStyle w:val="Refdenotaalpie"/>
        </w:rPr>
        <w:footnoteRef/>
      </w:r>
      <w:r>
        <w:t xml:space="preserve"> </w:t>
      </w:r>
      <w:r w:rsidRPr="00A208F6">
        <w:rPr>
          <w:rFonts w:ascii="Verdana" w:hAnsi="Verdana"/>
          <w:sz w:val="16"/>
          <w:szCs w:val="16"/>
          <w:lang w:val="es-ES"/>
        </w:rPr>
        <w:t xml:space="preserve">Manual de la modalidad de selección de mínima cuantía”, expedido por la Agencia Nacional de Contratación Pública puede ser consultado en el siguiente enlace: </w:t>
      </w:r>
      <w:hyperlink r:id="rId1" w:history="1">
        <w:r w:rsidRPr="00A208F6">
          <w:rPr>
            <w:rFonts w:ascii="Verdana" w:hAnsi="Verdana"/>
            <w:sz w:val="16"/>
            <w:szCs w:val="16"/>
            <w:lang w:val="es-ES"/>
          </w:rPr>
          <w:t>https://www.colombiacompra.gov.co/sites/cce_public/files/cce_documents/cce-eicp-ma-05._manual_de_modalidad_de_seleccion_de_minima_cuantia_v.02.pdf</w:t>
        </w:r>
      </w:hyperlink>
      <w:r w:rsidRPr="00F43739">
        <w:rPr>
          <w:lang w:val="es-ES_tradnl"/>
        </w:rPr>
        <w:t xml:space="preserve"> </w:t>
      </w:r>
    </w:p>
    <w:p w14:paraId="637B6366" w14:textId="699B80DB" w:rsidR="00F43739" w:rsidRPr="00A208F6" w:rsidRDefault="00F43739">
      <w:pPr>
        <w:pStyle w:val="Textonotapie"/>
        <w:rPr>
          <w:lang w:val="es-ES_tradnl"/>
        </w:rPr>
      </w:pPr>
    </w:p>
  </w:footnote>
  <w:footnote w:id="12">
    <w:p w14:paraId="74986DBC" w14:textId="70715306" w:rsidR="00485EF3" w:rsidRPr="00A208F6" w:rsidRDefault="00485EF3">
      <w:pPr>
        <w:pStyle w:val="Textonotapie"/>
        <w:rPr>
          <w:rFonts w:ascii="Verdana" w:hAnsi="Verdana"/>
          <w:sz w:val="16"/>
          <w:szCs w:val="16"/>
          <w:lang w:val="es-ES"/>
        </w:rPr>
      </w:pPr>
      <w:r>
        <w:rPr>
          <w:rStyle w:val="Refdenotaalpie"/>
        </w:rPr>
        <w:footnoteRef/>
      </w:r>
      <w:r>
        <w:t xml:space="preserve"> </w:t>
      </w:r>
      <w:r w:rsidRPr="00A208F6">
        <w:rPr>
          <w:rFonts w:ascii="Verdana" w:hAnsi="Verdana"/>
          <w:sz w:val="16"/>
          <w:szCs w:val="16"/>
          <w:lang w:val="es-ES"/>
        </w:rPr>
        <w:t>Ibidem. Página 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B13"/>
      </v:shape>
    </w:pict>
  </w:numPicBullet>
  <w:abstractNum w:abstractNumId="0" w15:restartNumberingAfterBreak="0">
    <w:nsid w:val="01C06310"/>
    <w:multiLevelType w:val="multilevel"/>
    <w:tmpl w:val="FFFFFFFF"/>
    <w:lvl w:ilvl="0">
      <w:start w:val="1"/>
      <w:numFmt w:val="decimal"/>
      <w:lvlText w:val="%1."/>
      <w:lvlJc w:val="left"/>
      <w:pPr>
        <w:ind w:left="6601" w:hanging="360"/>
      </w:pPr>
      <w:rPr>
        <w:rFonts w:cs="Times New Roman"/>
        <w:b/>
        <w:color w:val="000000" w:themeColor="text1"/>
      </w:rPr>
    </w:lvl>
    <w:lvl w:ilvl="1">
      <w:start w:val="2"/>
      <w:numFmt w:val="decimal"/>
      <w:isLgl/>
      <w:lvlText w:val="%1.%2"/>
      <w:lvlJc w:val="left"/>
      <w:pPr>
        <w:ind w:left="6241" w:hanging="360"/>
      </w:pPr>
      <w:rPr>
        <w:rFonts w:cs="Times New Roman"/>
      </w:rPr>
    </w:lvl>
    <w:lvl w:ilvl="2">
      <w:start w:val="1"/>
      <w:numFmt w:val="decimal"/>
      <w:isLgl/>
      <w:lvlText w:val="%1.%2.%3"/>
      <w:lvlJc w:val="left"/>
      <w:pPr>
        <w:ind w:left="6961" w:hanging="720"/>
      </w:pPr>
      <w:rPr>
        <w:rFonts w:cs="Times New Roman"/>
      </w:rPr>
    </w:lvl>
    <w:lvl w:ilvl="3">
      <w:start w:val="1"/>
      <w:numFmt w:val="decimal"/>
      <w:isLgl/>
      <w:lvlText w:val="%1.%2.%3.%4"/>
      <w:lvlJc w:val="left"/>
      <w:pPr>
        <w:ind w:left="6961" w:hanging="720"/>
      </w:pPr>
      <w:rPr>
        <w:rFonts w:cs="Times New Roman"/>
      </w:rPr>
    </w:lvl>
    <w:lvl w:ilvl="4">
      <w:start w:val="1"/>
      <w:numFmt w:val="decimal"/>
      <w:isLgl/>
      <w:lvlText w:val="%1.%2.%3.%4.%5"/>
      <w:lvlJc w:val="left"/>
      <w:pPr>
        <w:ind w:left="7321" w:hanging="1080"/>
      </w:pPr>
      <w:rPr>
        <w:rFonts w:cs="Times New Roman"/>
      </w:rPr>
    </w:lvl>
    <w:lvl w:ilvl="5">
      <w:start w:val="1"/>
      <w:numFmt w:val="decimal"/>
      <w:isLgl/>
      <w:lvlText w:val="%1.%2.%3.%4.%5.%6"/>
      <w:lvlJc w:val="left"/>
      <w:pPr>
        <w:ind w:left="7321" w:hanging="1080"/>
      </w:pPr>
      <w:rPr>
        <w:rFonts w:cs="Times New Roman"/>
      </w:rPr>
    </w:lvl>
    <w:lvl w:ilvl="6">
      <w:start w:val="1"/>
      <w:numFmt w:val="decimal"/>
      <w:isLgl/>
      <w:lvlText w:val="%1.%2.%3.%4.%5.%6.%7"/>
      <w:lvlJc w:val="left"/>
      <w:pPr>
        <w:ind w:left="7681" w:hanging="1440"/>
      </w:pPr>
      <w:rPr>
        <w:rFonts w:cs="Times New Roman"/>
      </w:rPr>
    </w:lvl>
    <w:lvl w:ilvl="7">
      <w:start w:val="1"/>
      <w:numFmt w:val="decimal"/>
      <w:isLgl/>
      <w:lvlText w:val="%1.%2.%3.%4.%5.%6.%7.%8"/>
      <w:lvlJc w:val="left"/>
      <w:pPr>
        <w:ind w:left="7681" w:hanging="1440"/>
      </w:pPr>
      <w:rPr>
        <w:rFonts w:cs="Times New Roman"/>
      </w:rPr>
    </w:lvl>
    <w:lvl w:ilvl="8">
      <w:start w:val="1"/>
      <w:numFmt w:val="decimal"/>
      <w:isLgl/>
      <w:lvlText w:val="%1.%2.%3.%4.%5.%6.%7.%8.%9"/>
      <w:lvlJc w:val="left"/>
      <w:pPr>
        <w:ind w:left="8041" w:hanging="1800"/>
      </w:pPr>
      <w:rPr>
        <w:rFonts w:cs="Times New Roman"/>
      </w:r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769791B"/>
    <w:multiLevelType w:val="hybridMultilevel"/>
    <w:tmpl w:val="FFFFFFFF"/>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18E5EF0"/>
    <w:multiLevelType w:val="hybridMultilevel"/>
    <w:tmpl w:val="FFFFFFFF"/>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D726F5"/>
    <w:multiLevelType w:val="hybridMultilevel"/>
    <w:tmpl w:val="FFFFFFFF"/>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3F1300A2"/>
    <w:multiLevelType w:val="hybridMultilevel"/>
    <w:tmpl w:val="647A2C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4"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8"/>
  </w:num>
  <w:num w:numId="2" w16cid:durableId="19822139">
    <w:abstractNumId w:val="2"/>
  </w:num>
  <w:num w:numId="3" w16cid:durableId="876742304">
    <w:abstractNumId w:val="5"/>
  </w:num>
  <w:num w:numId="4" w16cid:durableId="2451864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6"/>
  </w:num>
  <w:num w:numId="7" w16cid:durableId="1946422806">
    <w:abstractNumId w:val="7"/>
  </w:num>
  <w:num w:numId="8" w16cid:durableId="152644682">
    <w:abstractNumId w:val="15"/>
  </w:num>
  <w:num w:numId="9" w16cid:durableId="1317221377">
    <w:abstractNumId w:val="9"/>
  </w:num>
  <w:num w:numId="10" w16cid:durableId="1471245386">
    <w:abstractNumId w:val="14"/>
  </w:num>
  <w:num w:numId="11" w16cid:durableId="289172385">
    <w:abstractNumId w:val="10"/>
  </w:num>
  <w:num w:numId="12" w16cid:durableId="1470781324">
    <w:abstractNumId w:val="1"/>
  </w:num>
  <w:num w:numId="13" w16cid:durableId="1512908409">
    <w:abstractNumId w:val="4"/>
  </w:num>
  <w:num w:numId="14" w16cid:durableId="895897244">
    <w:abstractNumId w:val="17"/>
  </w:num>
  <w:num w:numId="15" w16cid:durableId="390349800">
    <w:abstractNumId w:val="13"/>
  </w:num>
  <w:num w:numId="16" w16cid:durableId="1898204644">
    <w:abstractNumId w:val="0"/>
  </w:num>
  <w:num w:numId="17" w16cid:durableId="1945262271">
    <w:abstractNumId w:val="6"/>
  </w:num>
  <w:num w:numId="18" w16cid:durableId="1606687335">
    <w:abstractNumId w:val="11"/>
  </w:num>
  <w:num w:numId="19" w16cid:durableId="488904735">
    <w:abstractNumId w:val="3"/>
  </w:num>
  <w:num w:numId="20" w16cid:durableId="6554515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0592"/>
    <w:rsid w:val="0000531C"/>
    <w:rsid w:val="0001698A"/>
    <w:rsid w:val="00061B2A"/>
    <w:rsid w:val="00073391"/>
    <w:rsid w:val="00073934"/>
    <w:rsid w:val="00082362"/>
    <w:rsid w:val="00087101"/>
    <w:rsid w:val="000A683E"/>
    <w:rsid w:val="000B19B9"/>
    <w:rsid w:val="000C7529"/>
    <w:rsid w:val="000D0334"/>
    <w:rsid w:val="000F6486"/>
    <w:rsid w:val="00125105"/>
    <w:rsid w:val="00127233"/>
    <w:rsid w:val="00131DC6"/>
    <w:rsid w:val="00135C73"/>
    <w:rsid w:val="00145A1C"/>
    <w:rsid w:val="00186DBB"/>
    <w:rsid w:val="001B1B26"/>
    <w:rsid w:val="001C4CF3"/>
    <w:rsid w:val="001E4177"/>
    <w:rsid w:val="001F440F"/>
    <w:rsid w:val="001F652E"/>
    <w:rsid w:val="001F7DC6"/>
    <w:rsid w:val="00201A2D"/>
    <w:rsid w:val="002231E3"/>
    <w:rsid w:val="00236AFB"/>
    <w:rsid w:val="00237435"/>
    <w:rsid w:val="002421BB"/>
    <w:rsid w:val="002507FA"/>
    <w:rsid w:val="0025796E"/>
    <w:rsid w:val="002707A2"/>
    <w:rsid w:val="002862A3"/>
    <w:rsid w:val="002951A0"/>
    <w:rsid w:val="002962BC"/>
    <w:rsid w:val="002A093D"/>
    <w:rsid w:val="002A0DD0"/>
    <w:rsid w:val="002A49AC"/>
    <w:rsid w:val="002A64FD"/>
    <w:rsid w:val="002C7A84"/>
    <w:rsid w:val="002E4FD9"/>
    <w:rsid w:val="002E6153"/>
    <w:rsid w:val="002F3465"/>
    <w:rsid w:val="002F5F1D"/>
    <w:rsid w:val="00322A85"/>
    <w:rsid w:val="00324168"/>
    <w:rsid w:val="0034095C"/>
    <w:rsid w:val="003448F4"/>
    <w:rsid w:val="003573F7"/>
    <w:rsid w:val="0036760F"/>
    <w:rsid w:val="00372827"/>
    <w:rsid w:val="00374F5E"/>
    <w:rsid w:val="00377E3E"/>
    <w:rsid w:val="003A26D1"/>
    <w:rsid w:val="003A28BD"/>
    <w:rsid w:val="003A779E"/>
    <w:rsid w:val="003D0F4D"/>
    <w:rsid w:val="003D5B0D"/>
    <w:rsid w:val="003E0499"/>
    <w:rsid w:val="003E3C2D"/>
    <w:rsid w:val="003F235F"/>
    <w:rsid w:val="003F3941"/>
    <w:rsid w:val="004025E8"/>
    <w:rsid w:val="00406575"/>
    <w:rsid w:val="004209FE"/>
    <w:rsid w:val="0042722E"/>
    <w:rsid w:val="00444752"/>
    <w:rsid w:val="0044528D"/>
    <w:rsid w:val="00485379"/>
    <w:rsid w:val="00485EF3"/>
    <w:rsid w:val="00487F76"/>
    <w:rsid w:val="004A1847"/>
    <w:rsid w:val="004A305D"/>
    <w:rsid w:val="004A46DC"/>
    <w:rsid w:val="004C60A7"/>
    <w:rsid w:val="004C6F5C"/>
    <w:rsid w:val="004D5406"/>
    <w:rsid w:val="004D7F46"/>
    <w:rsid w:val="004E0904"/>
    <w:rsid w:val="004F21C4"/>
    <w:rsid w:val="004F685F"/>
    <w:rsid w:val="004F7AF1"/>
    <w:rsid w:val="00525980"/>
    <w:rsid w:val="00551EC0"/>
    <w:rsid w:val="005566E8"/>
    <w:rsid w:val="00567E93"/>
    <w:rsid w:val="00571ADB"/>
    <w:rsid w:val="00574867"/>
    <w:rsid w:val="00591460"/>
    <w:rsid w:val="00592628"/>
    <w:rsid w:val="005C3777"/>
    <w:rsid w:val="005C5CDC"/>
    <w:rsid w:val="005D057A"/>
    <w:rsid w:val="005D476C"/>
    <w:rsid w:val="005D709C"/>
    <w:rsid w:val="005D7457"/>
    <w:rsid w:val="005E00F7"/>
    <w:rsid w:val="00604A6D"/>
    <w:rsid w:val="0060760B"/>
    <w:rsid w:val="00610812"/>
    <w:rsid w:val="006219F8"/>
    <w:rsid w:val="00621AEB"/>
    <w:rsid w:val="00636E0F"/>
    <w:rsid w:val="00650FF7"/>
    <w:rsid w:val="0065718D"/>
    <w:rsid w:val="00665D70"/>
    <w:rsid w:val="00671DAC"/>
    <w:rsid w:val="006737E2"/>
    <w:rsid w:val="006900D9"/>
    <w:rsid w:val="00691B8C"/>
    <w:rsid w:val="006B4C87"/>
    <w:rsid w:val="006D12F8"/>
    <w:rsid w:val="006D48D6"/>
    <w:rsid w:val="006F19A6"/>
    <w:rsid w:val="006F741F"/>
    <w:rsid w:val="00706C16"/>
    <w:rsid w:val="00740BC3"/>
    <w:rsid w:val="00742DA5"/>
    <w:rsid w:val="00742E36"/>
    <w:rsid w:val="00756841"/>
    <w:rsid w:val="007649AB"/>
    <w:rsid w:val="00771D0C"/>
    <w:rsid w:val="007833AC"/>
    <w:rsid w:val="007911E9"/>
    <w:rsid w:val="007A12CB"/>
    <w:rsid w:val="007A6EEA"/>
    <w:rsid w:val="007B268C"/>
    <w:rsid w:val="007B5F96"/>
    <w:rsid w:val="007B7171"/>
    <w:rsid w:val="007C0C0F"/>
    <w:rsid w:val="007C3DC2"/>
    <w:rsid w:val="007C6D4E"/>
    <w:rsid w:val="007E5497"/>
    <w:rsid w:val="007F36E2"/>
    <w:rsid w:val="008024AE"/>
    <w:rsid w:val="00806F5F"/>
    <w:rsid w:val="00806F63"/>
    <w:rsid w:val="00820278"/>
    <w:rsid w:val="008221C9"/>
    <w:rsid w:val="00830959"/>
    <w:rsid w:val="008328AD"/>
    <w:rsid w:val="00854B30"/>
    <w:rsid w:val="008672EB"/>
    <w:rsid w:val="008843B6"/>
    <w:rsid w:val="00890429"/>
    <w:rsid w:val="00891928"/>
    <w:rsid w:val="008A446D"/>
    <w:rsid w:val="008C28A9"/>
    <w:rsid w:val="008D180B"/>
    <w:rsid w:val="008D60AF"/>
    <w:rsid w:val="008F0241"/>
    <w:rsid w:val="008F0EA7"/>
    <w:rsid w:val="00923EEF"/>
    <w:rsid w:val="009419F9"/>
    <w:rsid w:val="00953BE9"/>
    <w:rsid w:val="0095685E"/>
    <w:rsid w:val="00961B09"/>
    <w:rsid w:val="00965334"/>
    <w:rsid w:val="0097093E"/>
    <w:rsid w:val="00995DA4"/>
    <w:rsid w:val="00997198"/>
    <w:rsid w:val="009A0DFA"/>
    <w:rsid w:val="009B2D26"/>
    <w:rsid w:val="009B5448"/>
    <w:rsid w:val="009B694B"/>
    <w:rsid w:val="009C39C0"/>
    <w:rsid w:val="009C71FA"/>
    <w:rsid w:val="009C72E7"/>
    <w:rsid w:val="009D3058"/>
    <w:rsid w:val="009D3615"/>
    <w:rsid w:val="009F3A13"/>
    <w:rsid w:val="00A0345A"/>
    <w:rsid w:val="00A122D3"/>
    <w:rsid w:val="00A17F13"/>
    <w:rsid w:val="00A20739"/>
    <w:rsid w:val="00A208F6"/>
    <w:rsid w:val="00A322B9"/>
    <w:rsid w:val="00A33C78"/>
    <w:rsid w:val="00A74C4D"/>
    <w:rsid w:val="00A83FBB"/>
    <w:rsid w:val="00AB0ADB"/>
    <w:rsid w:val="00AD35CB"/>
    <w:rsid w:val="00AE1E46"/>
    <w:rsid w:val="00B01B1A"/>
    <w:rsid w:val="00B52BD1"/>
    <w:rsid w:val="00B72CD3"/>
    <w:rsid w:val="00B72FFF"/>
    <w:rsid w:val="00B926DE"/>
    <w:rsid w:val="00BB3450"/>
    <w:rsid w:val="00BC1C95"/>
    <w:rsid w:val="00BC3D36"/>
    <w:rsid w:val="00BD1520"/>
    <w:rsid w:val="00BD7F72"/>
    <w:rsid w:val="00BF662C"/>
    <w:rsid w:val="00BF6EA5"/>
    <w:rsid w:val="00C04FB3"/>
    <w:rsid w:val="00C15DBA"/>
    <w:rsid w:val="00C330EB"/>
    <w:rsid w:val="00C349D0"/>
    <w:rsid w:val="00C3591A"/>
    <w:rsid w:val="00C754BE"/>
    <w:rsid w:val="00C75E74"/>
    <w:rsid w:val="00C76B1C"/>
    <w:rsid w:val="00C91297"/>
    <w:rsid w:val="00CB2150"/>
    <w:rsid w:val="00CB6357"/>
    <w:rsid w:val="00CC1B26"/>
    <w:rsid w:val="00CE796E"/>
    <w:rsid w:val="00D22F79"/>
    <w:rsid w:val="00D305D0"/>
    <w:rsid w:val="00D32BB1"/>
    <w:rsid w:val="00D3566C"/>
    <w:rsid w:val="00D423A2"/>
    <w:rsid w:val="00D4746B"/>
    <w:rsid w:val="00D520D8"/>
    <w:rsid w:val="00D63AC2"/>
    <w:rsid w:val="00D72D1D"/>
    <w:rsid w:val="00D7383B"/>
    <w:rsid w:val="00DA231B"/>
    <w:rsid w:val="00DA23A0"/>
    <w:rsid w:val="00DC39FC"/>
    <w:rsid w:val="00DF5254"/>
    <w:rsid w:val="00E16408"/>
    <w:rsid w:val="00E2007E"/>
    <w:rsid w:val="00E20894"/>
    <w:rsid w:val="00E21A7A"/>
    <w:rsid w:val="00E245AB"/>
    <w:rsid w:val="00E2764C"/>
    <w:rsid w:val="00E27F2E"/>
    <w:rsid w:val="00E413EA"/>
    <w:rsid w:val="00E50AFE"/>
    <w:rsid w:val="00E600F0"/>
    <w:rsid w:val="00E75C92"/>
    <w:rsid w:val="00E771DC"/>
    <w:rsid w:val="00E8772A"/>
    <w:rsid w:val="00E90F6B"/>
    <w:rsid w:val="00E92C27"/>
    <w:rsid w:val="00EA0E3D"/>
    <w:rsid w:val="00EA31F2"/>
    <w:rsid w:val="00EA4C67"/>
    <w:rsid w:val="00EA70C6"/>
    <w:rsid w:val="00EB0560"/>
    <w:rsid w:val="00EC2CCA"/>
    <w:rsid w:val="00EC38A7"/>
    <w:rsid w:val="00EE19AB"/>
    <w:rsid w:val="00EE1AA8"/>
    <w:rsid w:val="00EF42CD"/>
    <w:rsid w:val="00F13342"/>
    <w:rsid w:val="00F25D44"/>
    <w:rsid w:val="00F31EDC"/>
    <w:rsid w:val="00F43739"/>
    <w:rsid w:val="00F453D8"/>
    <w:rsid w:val="00F462B3"/>
    <w:rsid w:val="00F5664F"/>
    <w:rsid w:val="00F56B14"/>
    <w:rsid w:val="00F666C4"/>
    <w:rsid w:val="00F76AFC"/>
    <w:rsid w:val="00F92950"/>
    <w:rsid w:val="00F94BD7"/>
    <w:rsid w:val="00FA47C0"/>
    <w:rsid w:val="00FB3313"/>
    <w:rsid w:val="00FB5DD1"/>
    <w:rsid w:val="00FC2B5D"/>
    <w:rsid w:val="00FD72DB"/>
    <w:rsid w:val="00FF1449"/>
    <w:rsid w:val="00FF5819"/>
    <w:rsid w:val="03EB96D0"/>
    <w:rsid w:val="3B6C6317"/>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F,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
    <w:basedOn w:val="Fuentedeprrafopredeter"/>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table" w:customStyle="1" w:styleId="Tablaconcuadrcula1">
    <w:name w:val="Tabla con cuadrícula1"/>
    <w:basedOn w:val="Tablanormal"/>
    <w:next w:val="Tablaconcuadrcula"/>
    <w:uiPriority w:val="39"/>
    <w:qFormat/>
    <w:rsid w:val="00C91297"/>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742DA5"/>
    <w:rPr>
      <w:sz w:val="16"/>
      <w:szCs w:val="16"/>
    </w:rPr>
  </w:style>
  <w:style w:type="paragraph" w:styleId="Textocomentario">
    <w:name w:val="annotation text"/>
    <w:basedOn w:val="Normal"/>
    <w:link w:val="TextocomentarioCar"/>
    <w:uiPriority w:val="99"/>
    <w:unhideWhenUsed/>
    <w:rsid w:val="00742DA5"/>
    <w:pPr>
      <w:spacing w:line="240" w:lineRule="auto"/>
    </w:pPr>
    <w:rPr>
      <w:sz w:val="20"/>
      <w:szCs w:val="20"/>
    </w:rPr>
  </w:style>
  <w:style w:type="character" w:customStyle="1" w:styleId="TextocomentarioCar">
    <w:name w:val="Texto comentario Car"/>
    <w:basedOn w:val="Fuentedeprrafopredeter"/>
    <w:link w:val="Textocomentario"/>
    <w:uiPriority w:val="99"/>
    <w:rsid w:val="00742DA5"/>
    <w:rPr>
      <w:sz w:val="20"/>
      <w:szCs w:val="20"/>
    </w:rPr>
  </w:style>
  <w:style w:type="paragraph" w:styleId="Asuntodelcomentario">
    <w:name w:val="annotation subject"/>
    <w:basedOn w:val="Textocomentario"/>
    <w:next w:val="Textocomentario"/>
    <w:link w:val="AsuntodelcomentarioCar"/>
    <w:uiPriority w:val="99"/>
    <w:semiHidden/>
    <w:unhideWhenUsed/>
    <w:rsid w:val="00742DA5"/>
    <w:rPr>
      <w:b/>
      <w:bCs/>
    </w:rPr>
  </w:style>
  <w:style w:type="character" w:customStyle="1" w:styleId="AsuntodelcomentarioCar">
    <w:name w:val="Asunto del comentario Car"/>
    <w:basedOn w:val="TextocomentarioCar"/>
    <w:link w:val="Asuntodelcomentario"/>
    <w:uiPriority w:val="99"/>
    <w:semiHidden/>
    <w:rsid w:val="00742DA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lombiacompra.gov.co/sites/cce_public/files/cce_documents/cce-eicp-ma-05._manual_de_modalidad_de_seleccion_de_minima_cuantia_v.02.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icyborda.asesorialegal@gmail.com" TargetMode="External"/><Relationship Id="rId5" Type="http://schemas.openxmlformats.org/officeDocument/2006/relationships/numbering" Target="numbering.xml"/><Relationship Id="rId15" Type="http://schemas.openxmlformats.org/officeDocument/2006/relationships/hyperlink" Target="https://nam02.safelinks.protection.outlook.com/?url=https%3A%2F%2Fwww.colombiacompra.gov.co%2Fsites%2Fcce_public%2Ffiles%2Ffiles_2020%2Fboletin_de_realtoria_iii.pdf&amp;data=05%7C02%7Chector.quinones%40colombiacompra.gov.co%7C5aad36a736844ec87b2108dcc1fa4639%7C7b09041e245149d08cb179d5e3d8c1be%7C0%7C0%7C638598527916202814%7CUnknown%7CTWFpbGZsb3d8eyJWIjoiMC4wLjAwMDAiLCJQIjoiV2luMzIiLCJBTiI6Ik1haWwiLCJXVCI6Mn0%3D%7C0%7C%7C%7C&amp;sdata=g5JP8TCj1LS3w9euYpZO4O6u0sftAPb02SeFQncfcgw%3D&amp;reserved=0"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latoria.colombiacompra.gov.co/busqueda/concepto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olombiacompra.gov.co/sites/cce_public/files/cce_documents/cce-eicp-ma-05._manual_de_modalidad_de_seleccion_de_minima_cuantia_v.02.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163618BE-28CB-4D69-955E-CDA788483BED}">
  <ds:schemaRefs>
    <ds:schemaRef ds:uri="http://schemas.microsoft.com/office/infopath/2007/PartnerControls"/>
    <ds:schemaRef ds:uri="http://purl.org/dc/elements/1.1/"/>
    <ds:schemaRef ds:uri="http://purl.org/dc/terms/"/>
    <ds:schemaRef ds:uri="8ae15d26-076e-464e-81a7-6f76a0fb3917"/>
    <ds:schemaRef ds:uri="http://schemas.openxmlformats.org/package/2006/metadata/core-properties"/>
    <ds:schemaRef ds:uri="http://schemas.microsoft.com/office/2006/documentManagement/types"/>
    <ds:schemaRef ds:uri="http://purl.org/dc/dcmitype/"/>
    <ds:schemaRef ds:uri="36c82cfe-0eda-494d-b392-a9281b89aaf0"/>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2F55116-5E15-43E4-AE1C-6EBE211432F7}"/>
</file>

<file path=customXml/itemProps4.xml><?xml version="1.0" encoding="utf-8"?>
<ds:datastoreItem xmlns:ds="http://schemas.openxmlformats.org/officeDocument/2006/customXml" ds:itemID="{4CCFC09A-38D5-45E7-9B5E-5EBDBC9BC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3938</Words>
  <Characters>21664</Characters>
  <Application>Microsoft Office Word</Application>
  <DocSecurity>0</DocSecurity>
  <Lines>180</Lines>
  <Paragraphs>51</Paragraphs>
  <ScaleCrop>false</ScaleCrop>
  <Company/>
  <LinksUpToDate>false</LinksUpToDate>
  <CharactersWithSpaces>25551</CharactersWithSpaces>
  <SharedDoc>false</SharedDoc>
  <HLinks>
    <vt:vector size="30" baseType="variant">
      <vt:variant>
        <vt:i4>6815837</vt:i4>
      </vt:variant>
      <vt:variant>
        <vt:i4>9</vt:i4>
      </vt:variant>
      <vt:variant>
        <vt:i4>0</vt:i4>
      </vt:variant>
      <vt:variant>
        <vt:i4>5</vt:i4>
      </vt:variant>
      <vt:variant>
        <vt:lpwstr>https://nam02.safelinks.protection.outlook.com/?url=https%3A%2F%2Fwww.colombiacompra.gov.co%2Fsites%2Fcce_public%2Ffiles%2Ffiles_2020%2Fboletin_de_realtoria_iii.pdf&amp;data=05%7C02%7Chector.quinones%40colombiacompra.gov.co%7C5aad36a736844ec87b2108dcc1fa4639%7C7b09041e245149d08cb179d5e3d8c1be%7C0%7C0%7C638598527916202814%7CUnknown%7CTWFpbGZsb3d8eyJWIjoiMC4wLjAwMDAiLCJQIjoiV2luMzIiLCJBTiI6Ik1haWwiLCJXVCI6Mn0%3D%7C0%7C%7C%7C&amp;sdata=g5JP8TCj1LS3w9euYpZO4O6u0sftAPb02SeFQncfcgw%3D&amp;reserved=0</vt:lpwstr>
      </vt:variant>
      <vt:variant>
        <vt:lpwstr/>
      </vt:variant>
      <vt:variant>
        <vt:i4>7471218</vt:i4>
      </vt:variant>
      <vt:variant>
        <vt:i4>6</vt:i4>
      </vt:variant>
      <vt:variant>
        <vt:i4>0</vt:i4>
      </vt:variant>
      <vt:variant>
        <vt:i4>5</vt:i4>
      </vt:variant>
      <vt:variant>
        <vt:lpwstr>https://relatoria.colombiacompra.gov.co/busqueda/conceptos</vt:lpwstr>
      </vt:variant>
      <vt:variant>
        <vt:lpwstr/>
      </vt:variant>
      <vt:variant>
        <vt:i4>7405586</vt:i4>
      </vt:variant>
      <vt:variant>
        <vt:i4>3</vt:i4>
      </vt:variant>
      <vt:variant>
        <vt:i4>0</vt:i4>
      </vt:variant>
      <vt:variant>
        <vt:i4>5</vt:i4>
      </vt:variant>
      <vt:variant>
        <vt:lpwstr>https://www.colombiacompra.gov.co/sites/cce_public/files/cce_documents/cce-eicp-ma-05._manual_de_modalidad_de_seleccion_de_minima_cuantia_v.02.pdf</vt:lpwstr>
      </vt:variant>
      <vt:variant>
        <vt:lpwstr/>
      </vt:variant>
      <vt:variant>
        <vt:i4>2162769</vt:i4>
      </vt:variant>
      <vt:variant>
        <vt:i4>0</vt:i4>
      </vt:variant>
      <vt:variant>
        <vt:i4>0</vt:i4>
      </vt:variant>
      <vt:variant>
        <vt:i4>5</vt:i4>
      </vt:variant>
      <vt:variant>
        <vt:lpwstr>mailto:Deicyborda.asesorialegal@gmail.com</vt:lpwstr>
      </vt:variant>
      <vt:variant>
        <vt:lpwstr/>
      </vt:variant>
      <vt:variant>
        <vt:i4>7405586</vt:i4>
      </vt:variant>
      <vt:variant>
        <vt:i4>0</vt:i4>
      </vt:variant>
      <vt:variant>
        <vt:i4>0</vt:i4>
      </vt:variant>
      <vt:variant>
        <vt:i4>5</vt:i4>
      </vt:variant>
      <vt:variant>
        <vt:lpwstr>https://www.colombiacompra.gov.co/sites/cce_public/files/cce_documents/cce-eicp-ma-05._manual_de_modalidad_de_seleccion_de_minima_cuantia_v.02.pdf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Hector Luis Quiñones Quiñones</cp:lastModifiedBy>
  <cp:revision>2</cp:revision>
  <cp:lastPrinted>2023-01-10T21:18:00Z</cp:lastPrinted>
  <dcterms:created xsi:type="dcterms:W3CDTF">2024-10-04T16:42:00Z</dcterms:created>
  <dcterms:modified xsi:type="dcterms:W3CDTF">2024-10-04T16:42:00Z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