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6E2BB3" w:rsidR="00CA2625" w:rsidP="00CA2625" w:rsidRDefault="00CA2625" w14:paraId="1B408853" w14:textId="77777777">
      <w:pPr>
        <w:spacing w:after="0" w:line="240" w:lineRule="auto"/>
        <w:rPr>
          <w:rFonts w:ascii="Verdana" w:hAnsi="Verdana" w:eastAsia="Calibri" w:cs="Arial"/>
          <w:b/>
          <w:lang w:val="es-MX" w:eastAsia="es-ES_tradnl"/>
        </w:rPr>
      </w:pPr>
      <w:bookmarkStart w:name="_Hlk143780582" w:id="0"/>
      <w:r w:rsidRPr="006E2BB3">
        <w:rPr>
          <w:rFonts w:ascii="Verdana" w:hAnsi="Verdana" w:eastAsia="Calibri" w:cs="Arial"/>
          <w:b/>
          <w:lang w:val="es-MX" w:eastAsia="es-ES_tradnl"/>
        </w:rPr>
        <w:t>INHABILIDADES – Definición – Finalidad – Limitación capacidad contractual</w:t>
      </w:r>
    </w:p>
    <w:p w:rsidRPr="006E2BB3" w:rsidR="00CA2625" w:rsidP="00CA2625" w:rsidRDefault="00CA2625" w14:paraId="15BA9E96" w14:textId="77777777">
      <w:pPr>
        <w:spacing w:after="0" w:line="240" w:lineRule="auto"/>
        <w:rPr>
          <w:rFonts w:ascii="Verdana" w:hAnsi="Verdana" w:eastAsia="Calibri" w:cs="Arial"/>
          <w:bCs/>
          <w:sz w:val="20"/>
          <w:szCs w:val="20"/>
          <w:lang w:val="es-MX" w:eastAsia="es-ES_tradnl"/>
        </w:rPr>
      </w:pPr>
    </w:p>
    <w:p w:rsidRPr="006E2BB3" w:rsidR="00CA2625" w:rsidP="00CA2625" w:rsidRDefault="00CA2625" w14:paraId="3362B071" w14:textId="77777777">
      <w:pPr>
        <w:spacing w:after="0" w:line="240" w:lineRule="auto"/>
        <w:jc w:val="both"/>
        <w:rPr>
          <w:rFonts w:ascii="Verdana" w:hAnsi="Verdana" w:eastAsia="Geomanist Light" w:cs="Arial"/>
          <w:color w:val="000000" w:themeColor="text1"/>
          <w:sz w:val="20"/>
          <w:szCs w:val="20"/>
          <w:lang w:val="es-MX"/>
        </w:rPr>
      </w:pPr>
      <w:r w:rsidRPr="006E2BB3">
        <w:rPr>
          <w:rFonts w:ascii="Verdana" w:hAnsi="Verdana" w:eastAsia="Geomanist Light" w:cs="Arial"/>
          <w:color w:val="000000" w:themeColor="text1"/>
          <w:sz w:val="20"/>
          <w:szCs w:val="20"/>
          <w:lang w:val="es-MX"/>
        </w:rPr>
        <w:t>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 La consagración limitaciones que afectan la capacidad jurídica para contratar desarrolla los principios de la función administrativa consagrados en el artículo 209 de la Constitución Política, con especial énfasis el de moralidad.</w:t>
      </w:r>
    </w:p>
    <w:p w:rsidRPr="006E2BB3" w:rsidR="00CA2625" w:rsidP="00CA2625" w:rsidRDefault="00CA2625" w14:paraId="6C17B19F" w14:textId="77777777">
      <w:pPr>
        <w:spacing w:after="0" w:line="240" w:lineRule="auto"/>
        <w:contextualSpacing/>
        <w:jc w:val="both"/>
        <w:rPr>
          <w:rFonts w:ascii="Verdana" w:hAnsi="Verdana" w:eastAsia="Calibri" w:cs="Arial"/>
          <w:b/>
          <w:bCs/>
          <w:lang w:eastAsia="es-MX"/>
        </w:rPr>
      </w:pPr>
    </w:p>
    <w:p w:rsidRPr="006E2BB3" w:rsidR="00CA2625" w:rsidP="00CA2625" w:rsidRDefault="00CA2625" w14:paraId="6406010B" w14:textId="77777777">
      <w:pPr>
        <w:spacing w:after="0" w:line="240" w:lineRule="auto"/>
        <w:contextualSpacing/>
        <w:jc w:val="both"/>
        <w:rPr>
          <w:rFonts w:ascii="Verdana" w:hAnsi="Verdana" w:eastAsia="Calibri" w:cs="Arial"/>
          <w:b/>
          <w:bCs/>
          <w:lang w:eastAsia="es-MX"/>
        </w:rPr>
      </w:pPr>
      <w:r w:rsidRPr="006E2BB3">
        <w:rPr>
          <w:rFonts w:ascii="Verdana" w:hAnsi="Verdana" w:eastAsia="Calibri" w:cs="Arial"/>
          <w:b/>
          <w:bCs/>
          <w:lang w:eastAsia="es-MX"/>
        </w:rPr>
        <w:t>INHABILIDAD – Relación de parentesco – Vínculo natural – Personas naturales</w:t>
      </w:r>
    </w:p>
    <w:p w:rsidRPr="006E2BB3" w:rsidR="00CA2625" w:rsidP="00CA2625" w:rsidRDefault="00CA2625" w14:paraId="5562EC92" w14:textId="77777777">
      <w:pPr>
        <w:spacing w:after="0" w:line="240" w:lineRule="auto"/>
        <w:contextualSpacing/>
        <w:jc w:val="both"/>
        <w:rPr>
          <w:rFonts w:ascii="Verdana" w:hAnsi="Verdana" w:eastAsia="Calibri" w:cs="Arial"/>
          <w:b/>
          <w:bCs/>
          <w:lang w:eastAsia="es-MX"/>
        </w:rPr>
      </w:pPr>
    </w:p>
    <w:p w:rsidRPr="006E2BB3" w:rsidR="00CA2625" w:rsidP="00CA2625" w:rsidRDefault="00CA2625" w14:paraId="4F1A7441" w14:textId="77777777">
      <w:pPr>
        <w:spacing w:after="0" w:line="240" w:lineRule="auto"/>
        <w:jc w:val="both"/>
        <w:rPr>
          <w:rFonts w:ascii="Verdana" w:hAnsi="Verdana" w:eastAsia="Calibri" w:cs="Arial"/>
          <w:sz w:val="20"/>
          <w:szCs w:val="20"/>
          <w:lang w:val="es-ES_tradnl"/>
        </w:rPr>
      </w:pPr>
      <w:r w:rsidRPr="006E2BB3">
        <w:rPr>
          <w:rFonts w:ascii="Verdana" w:hAnsi="Verdana" w:eastAsia="Calibri" w:cs="Arial"/>
          <w:sz w:val="20"/>
          <w:szCs w:val="20"/>
          <w:lang w:val="es-ES_tradnl"/>
        </w:rPr>
        <w:t>El literal g) del numeral 1 del artículo 8 de la Ley 80 de 1993 determina que son inhábiles para participar en procesos de contratación o suscribir contratos con entidades estatales “Quienes sean cónyuges o compañeros permanentes y quienes se encuentren dentro del segundo grado de consanguinidad o segundo de afinidad con cualquier otra persona que formalmente haya presentado propuesta para una misma licitación”.</w:t>
      </w:r>
    </w:p>
    <w:p w:rsidRPr="006E2BB3" w:rsidR="00CA2625" w:rsidP="00CA2625" w:rsidRDefault="00CA2625" w14:paraId="44EACBF0" w14:textId="77777777">
      <w:pPr>
        <w:spacing w:after="0" w:line="240" w:lineRule="auto"/>
        <w:jc w:val="both"/>
        <w:rPr>
          <w:rFonts w:ascii="Verdana" w:hAnsi="Verdana" w:eastAsia="Calibri" w:cs="Arial"/>
          <w:sz w:val="20"/>
          <w:szCs w:val="20"/>
          <w:lang w:val="es-ES_tradnl"/>
        </w:rPr>
      </w:pPr>
    </w:p>
    <w:p w:rsidRPr="006E2BB3" w:rsidR="00CA2625" w:rsidP="5602F0C2" w:rsidRDefault="00CA2625" w14:paraId="7E9E865B" w14:textId="77777777">
      <w:pPr>
        <w:spacing w:after="0" w:line="240" w:lineRule="auto"/>
        <w:jc w:val="both"/>
        <w:rPr>
          <w:rFonts w:ascii="Verdana" w:hAnsi="Verdana" w:eastAsia="Calibri" w:cs="Arial"/>
          <w:sz w:val="20"/>
          <w:szCs w:val="20"/>
          <w:lang w:val="es-ES"/>
        </w:rPr>
      </w:pPr>
      <w:r w:rsidRPr="5602F0C2" w:rsidR="00CA2625">
        <w:rPr>
          <w:rFonts w:ascii="Verdana" w:hAnsi="Verdana" w:eastAsia="Calibri" w:cs="Arial"/>
          <w:sz w:val="20"/>
          <w:szCs w:val="20"/>
          <w:lang w:val="es-ES"/>
        </w:rPr>
        <w:t>La citada inhabilidad tiene fundamento en las relaciones familiares o de parentesco, tales como los cónyuges o compañeros permanentes, así como aquellas personas respecto de las que se predican relaciones de consanguinidad o afinidad hasta el segundo grado. Esa circunstancia implica que esa causal de inhabilidad se instituyó, única y exclusivamente, con el propósito de limitar la capacidad en la participación en procesos de contratación de las denominadas personas naturales, esto es, sujetos de derechos y obligaciones de la especie humana unidos entre si ya sea por vínculos naturales o jurídicos.</w:t>
      </w:r>
    </w:p>
    <w:p w:rsidRPr="006E2BB3" w:rsidR="00CA2625" w:rsidP="00CA2625" w:rsidRDefault="00CA2625" w14:paraId="22955EE6" w14:textId="77777777">
      <w:pPr>
        <w:spacing w:after="0" w:line="240" w:lineRule="auto"/>
        <w:jc w:val="both"/>
        <w:rPr>
          <w:rFonts w:ascii="Verdana" w:hAnsi="Verdana" w:eastAsia="Calibri" w:cs="Arial"/>
          <w:sz w:val="20"/>
          <w:szCs w:val="20"/>
          <w:lang w:val="es-ES_tradnl"/>
        </w:rPr>
      </w:pPr>
    </w:p>
    <w:p w:rsidRPr="006E2BB3" w:rsidR="00CA2625" w:rsidP="00CA2625" w:rsidRDefault="00CA2625" w14:paraId="5766718C" w14:textId="77777777">
      <w:pPr>
        <w:spacing w:after="0"/>
        <w:jc w:val="both"/>
        <w:rPr>
          <w:rFonts w:ascii="Verdana" w:hAnsi="Verdana" w:eastAsia="Calibri" w:cs="Arial"/>
          <w:b/>
          <w:bCs/>
          <w:lang w:val="es-ES_tradnl"/>
        </w:rPr>
      </w:pPr>
      <w:r w:rsidRPr="006E2BB3">
        <w:rPr>
          <w:rFonts w:ascii="Verdana" w:hAnsi="Verdana" w:eastAsia="Calibri" w:cs="Arial"/>
          <w:b/>
          <w:bCs/>
          <w:lang w:val="es-ES_tradnl"/>
        </w:rPr>
        <w:t>PARENTESCO – Clasificación – Consanguinidad – Afinidad – Grados</w:t>
      </w:r>
    </w:p>
    <w:p w:rsidRPr="006E2BB3" w:rsidR="00CA2625" w:rsidP="00CA2625" w:rsidRDefault="00CA2625" w14:paraId="101EF974" w14:textId="77777777">
      <w:pPr>
        <w:spacing w:after="0"/>
        <w:jc w:val="both"/>
        <w:rPr>
          <w:rFonts w:ascii="Verdana" w:hAnsi="Verdana" w:eastAsia="Calibri" w:cs="Arial"/>
          <w:lang w:val="es-ES_tradnl"/>
        </w:rPr>
      </w:pPr>
    </w:p>
    <w:p w:rsidRPr="006E2BB3" w:rsidR="00CA2625" w:rsidP="5602F0C2" w:rsidRDefault="00CA2625" w14:paraId="0F5498B5" w14:textId="77777777">
      <w:pPr>
        <w:spacing w:after="0"/>
        <w:jc w:val="both"/>
        <w:rPr>
          <w:rFonts w:ascii="Verdana" w:hAnsi="Verdana" w:eastAsia="Calibri" w:cs="Arial"/>
          <w:sz w:val="20"/>
          <w:szCs w:val="20"/>
          <w:lang w:val="es-ES"/>
        </w:rPr>
      </w:pPr>
      <w:r w:rsidRPr="5602F0C2" w:rsidR="00CA2625">
        <w:rPr>
          <w:rFonts w:ascii="Verdana" w:hAnsi="Verdana" w:eastAsia="Calibri" w:cs="Arial"/>
          <w:sz w:val="20"/>
          <w:szCs w:val="20"/>
          <w:lang w:val="es-ES"/>
        </w:rPr>
        <w:t xml:space="preserve">De otra parte y </w:t>
      </w:r>
      <w:r w:rsidRPr="5602F0C2" w:rsidR="00CA2625">
        <w:rPr>
          <w:rFonts w:ascii="Verdana" w:hAnsi="Verdana" w:eastAsia="Calibri" w:cs="Arial"/>
          <w:sz w:val="20"/>
          <w:szCs w:val="20"/>
          <w:lang w:val="es-ES"/>
        </w:rPr>
        <w:t>en relación al</w:t>
      </w:r>
      <w:r w:rsidRPr="5602F0C2" w:rsidR="00CA2625">
        <w:rPr>
          <w:rFonts w:ascii="Verdana" w:hAnsi="Verdana" w:eastAsia="Calibri" w:cs="Arial"/>
          <w:sz w:val="20"/>
          <w:szCs w:val="20"/>
          <w:lang w:val="es-ES"/>
        </w:rPr>
        <w:t xml:space="preserve"> parentesco, conforme al Código Civil, este se clasifica en parentesco de consanguinidad o parentesco de afinidad. El parentesco de consanguinidad corresponde a la “[…] relación o conexión que existe entre las personas que descienden de un mismo tronco o raíz, o que están unidas por los vínculos de la sangre”. El parentesco de afinidad se refiere a la relación surgida entre una persona y los consanguíneos de su esposo, esposa o compañeros permanentes, según el caso. Es preciso señalar que la Corte Constitucional si bien declaró la </w:t>
      </w:r>
      <w:r w:rsidRPr="5602F0C2" w:rsidR="00CA2625">
        <w:rPr>
          <w:rFonts w:ascii="Verdana" w:hAnsi="Verdana" w:eastAsia="Calibri" w:cs="Arial"/>
          <w:sz w:val="20"/>
          <w:szCs w:val="20"/>
          <w:lang w:val="es-ES"/>
        </w:rPr>
        <w:t>inexequibilidad</w:t>
      </w:r>
      <w:r w:rsidRPr="5602F0C2" w:rsidR="00CA2625">
        <w:rPr>
          <w:rFonts w:ascii="Verdana" w:hAnsi="Verdana" w:eastAsia="Calibri" w:cs="Arial"/>
          <w:sz w:val="20"/>
          <w:szCs w:val="20"/>
          <w:lang w:val="es-ES"/>
        </w:rPr>
        <w:t xml:space="preserve"> del parentesco de afinidad ilegítima, reconoció la vigencia de la denominada afinidad extramatrimonial.</w:t>
      </w:r>
    </w:p>
    <w:p w:rsidRPr="006E2BB3" w:rsidR="00CA2625" w:rsidP="00CA2625" w:rsidRDefault="00CA2625" w14:paraId="3B7308C2" w14:textId="77777777">
      <w:pPr>
        <w:spacing w:after="0"/>
        <w:jc w:val="both"/>
        <w:rPr>
          <w:rFonts w:ascii="Verdana" w:hAnsi="Verdana" w:eastAsia="Calibri" w:cs="Arial"/>
          <w:sz w:val="20"/>
          <w:szCs w:val="20"/>
          <w:lang w:val="es-ES_tradnl"/>
        </w:rPr>
      </w:pPr>
    </w:p>
    <w:p w:rsidRPr="006E2BB3" w:rsidR="00CA2625" w:rsidP="00CA2625" w:rsidRDefault="00CA2625" w14:paraId="4723CC60" w14:textId="77777777">
      <w:pPr>
        <w:spacing w:after="0"/>
        <w:jc w:val="both"/>
        <w:rPr>
          <w:rFonts w:ascii="Verdana" w:hAnsi="Verdana" w:eastAsia="Calibri" w:cs="Arial"/>
          <w:sz w:val="20"/>
          <w:szCs w:val="20"/>
          <w:lang w:val="es-ES_tradnl"/>
        </w:rPr>
      </w:pPr>
      <w:r w:rsidRPr="006E2BB3">
        <w:rPr>
          <w:rFonts w:ascii="Verdana" w:hAnsi="Verdana" w:eastAsia="Calibri" w:cs="Arial"/>
          <w:sz w:val="20"/>
          <w:szCs w:val="20"/>
          <w:lang w:val="es-ES_tradnl"/>
        </w:rPr>
        <w:t>En cuanto a los grados del parentesco se refiere, ya sea de consanguinidad o de afinidad, estos se cuentan en consideración al número de generaciones existentes entre las personas. De esta manera, esta causal de inhabilidad se configura, por ejemplo, respecto de los hermanos, abuelos y nietos, quienes se encuentran en el segundo grado de consanguinidad. Mientras que, en segundo grado de afinidad están los hermanos (cuñados), abuelos y nietos del cónyuge o compañero(a) permanente.</w:t>
      </w:r>
    </w:p>
    <w:p w:rsidRPr="006E2BB3" w:rsidR="00CA2625" w:rsidP="00CA2625" w:rsidRDefault="00CA2625" w14:paraId="436446CE" w14:textId="77777777">
      <w:pPr>
        <w:spacing w:after="120" w:line="240" w:lineRule="auto"/>
        <w:jc w:val="both"/>
        <w:rPr>
          <w:rFonts w:ascii="Verdana" w:hAnsi="Verdana" w:cs="Arial"/>
          <w:lang w:val="es-ES_tradnl"/>
        </w:rPr>
      </w:pPr>
    </w:p>
    <w:p w:rsidRPr="006E2BB3" w:rsidR="00CA2625" w:rsidP="00CA2625" w:rsidRDefault="00CA2625" w14:paraId="78FD350F" w14:textId="77777777">
      <w:pPr>
        <w:rPr>
          <w:rFonts w:ascii="Verdana" w:hAnsi="Verdana" w:cs="Arial"/>
        </w:rPr>
      </w:pPr>
      <w:r w:rsidRPr="006E2BB3">
        <w:rPr>
          <w:rFonts w:ascii="Verdana" w:hAnsi="Verdana" w:cs="Arial"/>
        </w:rPr>
        <w:br w:type="page"/>
      </w:r>
    </w:p>
    <w:p w:rsidR="00CA2625" w:rsidP="002E0FA9" w:rsidRDefault="00CA2625" w14:paraId="28661250" w14:textId="77777777">
      <w:pPr>
        <w:spacing w:after="0"/>
        <w:rPr>
          <w:rFonts w:ascii="Verdana" w:hAnsi="Verdana"/>
        </w:rPr>
      </w:pPr>
    </w:p>
    <w:p w:rsidR="00CA2625" w:rsidP="002E0FA9" w:rsidRDefault="00CA2625" w14:paraId="211FF55B" w14:textId="77777777">
      <w:pPr>
        <w:spacing w:after="0"/>
        <w:rPr>
          <w:rFonts w:ascii="Verdana" w:hAnsi="Verdana"/>
        </w:rPr>
      </w:pPr>
    </w:p>
    <w:p w:rsidR="00CA2625" w:rsidP="002E0FA9" w:rsidRDefault="00CA2625" w14:paraId="437FDCA5" w14:textId="77777777">
      <w:pPr>
        <w:spacing w:after="0"/>
        <w:rPr>
          <w:rFonts w:ascii="Verdana" w:hAnsi="Verdana"/>
        </w:rPr>
      </w:pPr>
    </w:p>
    <w:p w:rsidRPr="002E0FA9" w:rsidR="00322A85" w:rsidP="002E0FA9" w:rsidRDefault="00E245AB" w14:paraId="1FCCEBF0" w14:textId="62146552">
      <w:pPr>
        <w:spacing w:after="0"/>
        <w:rPr>
          <w:rFonts w:ascii="Verdana" w:hAnsi="Verdana"/>
        </w:rPr>
      </w:pPr>
      <w:r w:rsidRPr="0044528D">
        <w:rPr>
          <w:rFonts w:ascii="Verdana" w:hAnsi="Verdana"/>
        </w:rPr>
        <w:t xml:space="preserve">Bogotá D.C., </w:t>
      </w:r>
      <w:r w:rsidRPr="0044528D" w:rsidR="00891928">
        <w:rPr>
          <w:rFonts w:ascii="Verdana" w:hAnsi="Verdana"/>
        </w:rPr>
        <w:t>[Día] [Mes</w:t>
      </w:r>
      <w:r w:rsidR="00E413EA">
        <w:rPr>
          <w:rFonts w:ascii="Verdana" w:hAnsi="Verdana"/>
        </w:rPr>
        <w:t>.</w:t>
      </w:r>
      <w:r w:rsidRPr="0044528D" w:rsidR="00891928">
        <w:rPr>
          <w:rFonts w:ascii="Verdana" w:hAnsi="Verdana"/>
        </w:rPr>
        <w:t>NombreCapitalizado] [Año]</w:t>
      </w:r>
      <w:r w:rsidRPr="0044528D" w:rsidR="00891928">
        <w:rPr>
          <w:rFonts w:ascii="Verdana" w:hAnsi="Verdana"/>
        </w:rPr>
        <w:tab/>
      </w:r>
      <w:bookmarkEnd w:id="0"/>
    </w:p>
    <w:p w:rsidR="00322A85" w:rsidP="00322A85" w:rsidRDefault="00322A85" w14:paraId="13842371" w14:textId="12E379C4">
      <w:pPr>
        <w:spacing w:after="0" w:line="240" w:lineRule="auto"/>
        <w:textAlignment w:val="baseline"/>
        <w:rPr>
          <w:rFonts w:ascii="Verdana" w:hAnsi="Verdana" w:eastAsia="Times New Roman" w:cs="Segoe UI"/>
          <w:sz w:val="18"/>
          <w:szCs w:val="18"/>
          <w:lang w:eastAsia="es-CO"/>
        </w:rPr>
      </w:pPr>
    </w:p>
    <w:p w:rsidRPr="006E2BB3" w:rsidR="00D33E94" w:rsidP="00D33E94" w:rsidRDefault="00D33E94" w14:paraId="1CB4DBDC" w14:textId="77777777">
      <w:pPr>
        <w:spacing w:after="0" w:line="240" w:lineRule="auto"/>
        <w:jc w:val="both"/>
        <w:rPr>
          <w:rFonts w:ascii="Verdana" w:hAnsi="Verdana" w:eastAsia="Times New Roman" w:cs="Arial"/>
          <w:lang w:val="es-ES_tradnl" w:eastAsia="es-ES_tradnl"/>
        </w:rPr>
      </w:pPr>
      <w:bookmarkStart w:name="_Hlk177056533" w:id="1"/>
      <w:r w:rsidRPr="006E2BB3">
        <w:rPr>
          <w:rFonts w:ascii="Verdana" w:hAnsi="Verdana" w:eastAsia="Times New Roman" w:cs="Arial"/>
          <w:lang w:val="es-ES_tradnl" w:eastAsia="es-ES_tradnl"/>
        </w:rPr>
        <w:t>Señor</w:t>
      </w:r>
    </w:p>
    <w:p w:rsidRPr="006E2BB3" w:rsidR="00D33E94" w:rsidP="00D33E94" w:rsidRDefault="00D33E94" w14:paraId="616335FA" w14:textId="4AB5E223">
      <w:pPr>
        <w:spacing w:after="0" w:line="240" w:lineRule="auto"/>
        <w:rPr>
          <w:rFonts w:ascii="Verdana" w:hAnsi="Verdana" w:eastAsia="Times New Roman" w:cs="Arial"/>
          <w:b/>
          <w:bCs/>
          <w:lang w:val="es-ES_tradnl" w:eastAsia="es-ES_tradnl"/>
        </w:rPr>
      </w:pPr>
      <w:r w:rsidRPr="006E2BB3">
        <w:rPr>
          <w:rFonts w:ascii="Verdana" w:hAnsi="Verdana" w:eastAsia="Times New Roman" w:cs="Arial"/>
          <w:b/>
          <w:bCs/>
          <w:lang w:val="es-ES_tradnl" w:eastAsia="es-ES_tradnl"/>
        </w:rPr>
        <w:t>JOSÉ ALONSO CUENCA GÓMEZ</w:t>
      </w:r>
    </w:p>
    <w:p w:rsidRPr="006E2BB3" w:rsidR="00D33E94" w:rsidP="00D33E94" w:rsidRDefault="00D33E94" w14:paraId="361A945C" w14:textId="77777777">
      <w:pPr>
        <w:spacing w:after="0" w:line="240" w:lineRule="auto"/>
        <w:rPr>
          <w:rFonts w:ascii="Verdana" w:hAnsi="Verdana" w:eastAsia="Times New Roman" w:cs="Arial"/>
          <w:lang w:val="es-ES_tradnl" w:eastAsia="es-ES_tradnl"/>
        </w:rPr>
      </w:pPr>
      <w:r w:rsidRPr="006E2BB3">
        <w:rPr>
          <w:rFonts w:ascii="Verdana" w:hAnsi="Verdana" w:eastAsia="Times New Roman" w:cs="Arial"/>
          <w:lang w:val="es-ES_tradnl" w:eastAsia="es-ES_tradnl"/>
        </w:rPr>
        <w:t>Personero Municipal</w:t>
      </w:r>
    </w:p>
    <w:p w:rsidRPr="006E2BB3" w:rsidR="00D33E94" w:rsidP="00D33E94" w:rsidRDefault="00D33E94" w14:paraId="34BA4D69" w14:textId="77777777">
      <w:pPr>
        <w:spacing w:after="0" w:line="240" w:lineRule="auto"/>
        <w:rPr>
          <w:rFonts w:ascii="Verdana" w:hAnsi="Verdana" w:eastAsia="Times New Roman" w:cs="Arial"/>
          <w:lang w:val="es-ES_tradnl" w:eastAsia="es-ES_tradnl"/>
        </w:rPr>
      </w:pPr>
      <w:hyperlink w:history="1" r:id="rId11">
        <w:r w:rsidRPr="00E87A3D">
          <w:rPr>
            <w:rStyle w:val="Hipervnculo"/>
            <w:rFonts w:ascii="Verdana" w:hAnsi="Verdana" w:eastAsia="Times New Roman" w:cs="Arial"/>
            <w:lang w:val="es-ES_tradnl" w:eastAsia="es-ES_tradnl"/>
          </w:rPr>
          <w:t>personeria@girardot-cundinamarca.gov.co</w:t>
        </w:r>
      </w:hyperlink>
      <w:r>
        <w:rPr>
          <w:rFonts w:ascii="Verdana" w:hAnsi="Verdana" w:eastAsia="Times New Roman" w:cs="Arial"/>
          <w:lang w:val="es-ES_tradnl" w:eastAsia="es-ES_tradnl"/>
        </w:rPr>
        <w:t xml:space="preserve"> </w:t>
      </w:r>
    </w:p>
    <w:p w:rsidRPr="006E2BB3" w:rsidR="00D33E94" w:rsidP="00D33E94" w:rsidRDefault="00D33E94" w14:paraId="6A3893A0" w14:textId="77777777">
      <w:pPr>
        <w:spacing w:after="0" w:line="240" w:lineRule="auto"/>
        <w:rPr>
          <w:rFonts w:ascii="Verdana" w:hAnsi="Verdana" w:eastAsia="Times New Roman" w:cs="Arial"/>
          <w:lang w:val="es-ES_tradnl" w:eastAsia="es-ES_tradnl"/>
        </w:rPr>
      </w:pPr>
      <w:r w:rsidRPr="006E2BB3">
        <w:rPr>
          <w:rFonts w:ascii="Verdana" w:hAnsi="Verdana" w:eastAsia="Times New Roman" w:cs="Arial"/>
          <w:lang w:val="es-ES_tradnl" w:eastAsia="es-ES_tradnl"/>
        </w:rPr>
        <w:t xml:space="preserve">Girardot, Cundinamarca.  </w:t>
      </w:r>
    </w:p>
    <w:p w:rsidR="00D33E94" w:rsidP="00D33E94" w:rsidRDefault="00D33E94" w14:paraId="17846334" w14:textId="77777777">
      <w:pPr>
        <w:spacing w:after="0" w:line="240" w:lineRule="auto"/>
        <w:rPr>
          <w:rFonts w:ascii="Verdana" w:hAnsi="Verdana" w:eastAsia="Times New Roman" w:cs="Arial"/>
          <w:lang w:val="es-ES_tradnl" w:eastAsia="es-ES_tradnl"/>
        </w:rPr>
      </w:pPr>
    </w:p>
    <w:p w:rsidR="007D7D0C" w:rsidP="00D33E94" w:rsidRDefault="007D7D0C" w14:paraId="4BEE3A52" w14:textId="77777777">
      <w:pPr>
        <w:spacing w:after="0" w:line="240" w:lineRule="auto"/>
        <w:rPr>
          <w:rFonts w:ascii="Verdana" w:hAnsi="Verdana" w:eastAsia="Times New Roman" w:cs="Arial"/>
          <w:lang w:val="es-ES_tradnl" w:eastAsia="es-ES_tradnl"/>
        </w:rPr>
      </w:pPr>
    </w:p>
    <w:p w:rsidRPr="006E2BB3" w:rsidR="007D7D0C" w:rsidP="007D7D0C" w:rsidRDefault="007D7D0C" w14:paraId="722860BD" w14:textId="10D355B1">
      <w:pPr>
        <w:spacing w:after="0" w:line="240" w:lineRule="auto"/>
        <w:jc w:val="right"/>
        <w:rPr>
          <w:rFonts w:ascii="Verdana" w:hAnsi="Verdana" w:eastAsia="Times New Roman" w:cs="Arial"/>
          <w:lang w:val="es-ES_tradnl" w:eastAsia="es-ES_tradnl"/>
        </w:rPr>
      </w:pPr>
      <w:r w:rsidRPr="007D7D0C">
        <w:rPr>
          <w:rFonts w:ascii="Verdana" w:hAnsi="Verdana" w:eastAsia="Times New Roman" w:cs="Arial"/>
          <w:lang w:val="es-ES_tradnl" w:eastAsia="es-ES_tradnl"/>
        </w:rPr>
        <w:drawing>
          <wp:inline distT="0" distB="0" distL="0" distR="0" wp14:anchorId="168B15E9" wp14:editId="70D43E5E">
            <wp:extent cx="3718882" cy="1219306"/>
            <wp:effectExtent l="0" t="0" r="0" b="0"/>
            <wp:docPr id="11911196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19686" name=""/>
                    <pic:cNvPicPr/>
                  </pic:nvPicPr>
                  <pic:blipFill>
                    <a:blip r:embed="rId12"/>
                    <a:stretch>
                      <a:fillRect/>
                    </a:stretch>
                  </pic:blipFill>
                  <pic:spPr>
                    <a:xfrm>
                      <a:off x="0" y="0"/>
                      <a:ext cx="3718882" cy="1219306"/>
                    </a:xfrm>
                    <a:prstGeom prst="rect">
                      <a:avLst/>
                    </a:prstGeom>
                  </pic:spPr>
                </pic:pic>
              </a:graphicData>
            </a:graphic>
          </wp:inline>
        </w:drawing>
      </w:r>
    </w:p>
    <w:p w:rsidRPr="006E2BB3" w:rsidR="00D33E94" w:rsidP="00D33E94" w:rsidRDefault="00D33E94" w14:paraId="4CDE81F4" w14:textId="77777777">
      <w:pPr>
        <w:spacing w:after="0" w:line="240" w:lineRule="auto"/>
        <w:rPr>
          <w:rFonts w:ascii="Verdana" w:hAnsi="Verdana" w:eastAsia="Times New Roman" w:cs="Arial"/>
          <w:lang w:val="es-ES_tradnl" w:eastAsia="es-ES_tradnl"/>
        </w:rPr>
      </w:pPr>
    </w:p>
    <w:tbl>
      <w:tblPr>
        <w:tblStyle w:val="Tablaconcuadrcula"/>
        <w:tblW w:w="89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42"/>
      </w:tblGrid>
      <w:tr w:rsidRPr="006E2BB3" w:rsidR="00D33E94" w:rsidTr="00171C99" w14:paraId="70C59880" w14:textId="77777777">
        <w:trPr>
          <w:trHeight w:val="884"/>
        </w:trPr>
        <w:tc>
          <w:tcPr>
            <w:tcW w:w="2689" w:type="dxa"/>
          </w:tcPr>
          <w:p w:rsidRPr="006E2BB3" w:rsidR="00D33E94" w:rsidP="00171C99" w:rsidRDefault="00D33E94" w14:paraId="0F2C5319" w14:textId="77777777">
            <w:pPr>
              <w:jc w:val="both"/>
              <w:rPr>
                <w:rFonts w:ascii="Verdana" w:hAnsi="Verdana" w:eastAsia="Times New Roman" w:cs="Arial"/>
                <w:lang w:val="es-ES_tradnl" w:eastAsia="es-ES_tradnl"/>
              </w:rPr>
            </w:pPr>
          </w:p>
        </w:tc>
        <w:tc>
          <w:tcPr>
            <w:tcW w:w="6242" w:type="dxa"/>
          </w:tcPr>
          <w:p w:rsidRPr="006E2BB3" w:rsidR="00D33E94" w:rsidP="00171C99" w:rsidRDefault="00D33E94" w14:paraId="327C9750" w14:textId="77777777">
            <w:pPr>
              <w:jc w:val="both"/>
              <w:rPr>
                <w:rFonts w:ascii="Verdana" w:hAnsi="Verdana" w:eastAsia="Times New Roman" w:cs="Arial"/>
                <w:lang w:val="es-ES_tradnl" w:eastAsia="es-ES_tradnl"/>
              </w:rPr>
            </w:pPr>
            <w:r w:rsidRPr="006E2BB3">
              <w:rPr>
                <w:rFonts w:ascii="Verdana" w:hAnsi="Verdana" w:eastAsia="Times New Roman" w:cs="Arial"/>
                <w:lang w:val="es-ES_tradnl" w:eastAsia="es-ES_tradnl"/>
              </w:rPr>
              <w:t>Concepto C- 456 de 2024</w:t>
            </w:r>
          </w:p>
        </w:tc>
      </w:tr>
      <w:tr w:rsidRPr="006E2BB3" w:rsidR="00D33E94" w:rsidTr="00171C99" w14:paraId="3BF7B517" w14:textId="77777777">
        <w:trPr>
          <w:trHeight w:val="884"/>
        </w:trPr>
        <w:tc>
          <w:tcPr>
            <w:tcW w:w="2689" w:type="dxa"/>
          </w:tcPr>
          <w:p w:rsidRPr="006E2BB3" w:rsidR="00D33E94" w:rsidP="00171C99" w:rsidRDefault="00D33E94" w14:paraId="6778486E" w14:textId="77777777">
            <w:pPr>
              <w:jc w:val="both"/>
              <w:rPr>
                <w:rFonts w:ascii="Verdana" w:hAnsi="Verdana" w:eastAsia="Times New Roman" w:cs="Arial"/>
                <w:lang w:val="es-ES_tradnl" w:eastAsia="es-ES_tradnl"/>
              </w:rPr>
            </w:pPr>
            <w:r w:rsidRPr="006E2BB3">
              <w:rPr>
                <w:rFonts w:ascii="Verdana" w:hAnsi="Verdana" w:eastAsia="Times New Roman" w:cs="Arial"/>
                <w:lang w:val="es-ES_tradnl" w:eastAsia="es-ES_tradnl"/>
              </w:rPr>
              <w:t xml:space="preserve">Temas:                   </w:t>
            </w:r>
          </w:p>
        </w:tc>
        <w:tc>
          <w:tcPr>
            <w:tcW w:w="6242" w:type="dxa"/>
          </w:tcPr>
          <w:p w:rsidRPr="006E2BB3" w:rsidR="00D33E94" w:rsidP="00171C99" w:rsidRDefault="00D33E94" w14:paraId="0C7F8D63" w14:textId="77777777">
            <w:pPr>
              <w:ind w:right="426"/>
              <w:jc w:val="both"/>
              <w:rPr>
                <w:rFonts w:ascii="Verdana" w:hAnsi="Verdana" w:eastAsia="Times New Roman" w:cs="Arial"/>
                <w:lang w:val="es-ES_tradnl" w:eastAsia="es-ES_tradnl"/>
              </w:rPr>
            </w:pPr>
            <w:r w:rsidRPr="006E2BB3">
              <w:rPr>
                <w:rFonts w:ascii="Verdana" w:hAnsi="Verdana" w:eastAsia="Times New Roman" w:cs="Arial"/>
                <w:lang w:val="es-ES_tradnl" w:eastAsia="es-ES_tradnl"/>
              </w:rPr>
              <w:t xml:space="preserve">INHABILIDADES – Definición – Finalidad – Limitación capacidad contractual / INHABILIDADES – Relación de parentesco – Vínculo natural – Personas naturales / PARENTESCO – Clasificación – Consanguinidad – Afinidad – Grados  </w:t>
            </w:r>
          </w:p>
          <w:p w:rsidRPr="006E2BB3" w:rsidR="00D33E94" w:rsidP="00171C99" w:rsidRDefault="00D33E94" w14:paraId="145FD83F" w14:textId="77777777">
            <w:pPr>
              <w:spacing w:line="276" w:lineRule="auto"/>
              <w:jc w:val="both"/>
              <w:rPr>
                <w:rFonts w:ascii="Verdana" w:hAnsi="Verdana" w:eastAsia="Times New Roman" w:cs="Arial"/>
                <w:lang w:val="es-ES_tradnl" w:eastAsia="es-ES_tradnl"/>
              </w:rPr>
            </w:pPr>
          </w:p>
        </w:tc>
      </w:tr>
      <w:tr w:rsidRPr="006E2BB3" w:rsidR="00D33E94" w:rsidTr="00171C99" w14:paraId="71325454" w14:textId="77777777">
        <w:tc>
          <w:tcPr>
            <w:tcW w:w="2689" w:type="dxa"/>
          </w:tcPr>
          <w:p w:rsidRPr="006E2BB3" w:rsidR="00D33E94" w:rsidP="00171C99" w:rsidRDefault="00D33E94" w14:paraId="28EB02C8" w14:textId="77777777">
            <w:pPr>
              <w:jc w:val="both"/>
              <w:rPr>
                <w:rFonts w:ascii="Verdana" w:hAnsi="Verdana" w:eastAsia="Times New Roman" w:cs="Arial"/>
                <w:lang w:val="es-ES_tradnl" w:eastAsia="es-ES_tradnl"/>
              </w:rPr>
            </w:pPr>
            <w:r w:rsidRPr="006E2BB3">
              <w:rPr>
                <w:rFonts w:ascii="Verdana" w:hAnsi="Verdana" w:eastAsia="Times New Roman" w:cs="Arial"/>
                <w:lang w:val="es-ES_tradnl" w:eastAsia="es-ES_tradnl"/>
              </w:rPr>
              <w:t xml:space="preserve">Radicación:               </w:t>
            </w:r>
          </w:p>
        </w:tc>
        <w:tc>
          <w:tcPr>
            <w:tcW w:w="6242" w:type="dxa"/>
          </w:tcPr>
          <w:p w:rsidRPr="006E2BB3" w:rsidR="00D33E94" w:rsidP="00171C99" w:rsidRDefault="00D33E94" w14:paraId="5AD67AD0" w14:textId="77777777">
            <w:pPr>
              <w:jc w:val="both"/>
              <w:rPr>
                <w:rFonts w:ascii="Verdana" w:hAnsi="Verdana" w:eastAsia="Times New Roman" w:cs="Arial"/>
                <w:lang w:val="es-ES_tradnl" w:eastAsia="es-ES_tradnl"/>
              </w:rPr>
            </w:pPr>
            <w:r w:rsidRPr="006E2BB3">
              <w:rPr>
                <w:rFonts w:ascii="Verdana" w:hAnsi="Verdana" w:eastAsia="Times New Roman" w:cs="Arial"/>
                <w:lang w:val="es-ES_tradnl" w:eastAsia="es-ES_tradnl"/>
              </w:rPr>
              <w:t>Respuesta a consulta con radicado No. P20240808008100 acumulada con</w:t>
            </w:r>
            <w:r>
              <w:rPr>
                <w:rFonts w:ascii="Verdana" w:hAnsi="Verdana" w:eastAsia="Times New Roman" w:cs="Arial"/>
                <w:lang w:val="es-ES_tradnl" w:eastAsia="es-ES_tradnl"/>
              </w:rPr>
              <w:t xml:space="preserve"> el</w:t>
            </w:r>
            <w:r w:rsidRPr="006E2BB3">
              <w:rPr>
                <w:rFonts w:ascii="Verdana" w:hAnsi="Verdana" w:eastAsia="Times New Roman" w:cs="Arial"/>
                <w:lang w:val="es-ES_tradnl" w:eastAsia="es-ES_tradnl"/>
              </w:rPr>
              <w:t xml:space="preserve"> radicado No. P20240813008295</w:t>
            </w:r>
          </w:p>
        </w:tc>
      </w:tr>
    </w:tbl>
    <w:p w:rsidRPr="006E2BB3" w:rsidR="00D33E94" w:rsidP="00D33E94" w:rsidRDefault="00D33E94" w14:paraId="32DA0165" w14:textId="77777777">
      <w:pPr>
        <w:spacing w:after="0" w:line="240" w:lineRule="auto"/>
        <w:jc w:val="both"/>
        <w:rPr>
          <w:rFonts w:ascii="Verdana" w:hAnsi="Verdana" w:eastAsia="Times New Roman" w:cs="Arial"/>
          <w:lang w:val="es-ES_tradnl" w:eastAsia="es-ES_tradnl"/>
        </w:rPr>
      </w:pPr>
    </w:p>
    <w:p w:rsidRPr="006E2BB3" w:rsidR="00D33E94" w:rsidP="00D33E94" w:rsidRDefault="00D33E94" w14:paraId="7074424D" w14:textId="77777777">
      <w:pPr>
        <w:spacing w:after="0" w:line="240" w:lineRule="auto"/>
        <w:jc w:val="both"/>
        <w:rPr>
          <w:rFonts w:ascii="Verdana" w:hAnsi="Verdana" w:eastAsia="Times New Roman" w:cs="Arial"/>
          <w:lang w:val="es-ES_tradnl" w:eastAsia="es-ES_tradnl"/>
        </w:rPr>
      </w:pPr>
    </w:p>
    <w:p w:rsidRPr="006E2BB3" w:rsidR="00D33E94" w:rsidP="00D33E94" w:rsidRDefault="00D33E94" w14:paraId="3720702C" w14:textId="77777777">
      <w:pPr>
        <w:spacing w:after="0" w:line="276" w:lineRule="auto"/>
        <w:jc w:val="both"/>
        <w:rPr>
          <w:rFonts w:ascii="Verdana" w:hAnsi="Verdana" w:eastAsia="Times New Roman" w:cs="Arial"/>
          <w:lang w:val="es-ES_tradnl" w:eastAsia="es-ES_tradnl"/>
        </w:rPr>
      </w:pPr>
      <w:r w:rsidRPr="006E2BB3">
        <w:rPr>
          <w:rFonts w:ascii="Verdana" w:hAnsi="Verdana" w:eastAsia="Times New Roman" w:cs="Arial"/>
          <w:lang w:val="es-ES_tradnl" w:eastAsia="es-ES_tradnl"/>
        </w:rPr>
        <w:t xml:space="preserve">Estimado señor Cuenca: </w:t>
      </w:r>
    </w:p>
    <w:p w:rsidRPr="006E2BB3" w:rsidR="00D33E94" w:rsidP="00D33E94" w:rsidRDefault="00D33E94" w14:paraId="727C068C" w14:textId="77777777">
      <w:pPr>
        <w:tabs>
          <w:tab w:val="left" w:pos="3768"/>
        </w:tabs>
        <w:spacing w:after="0" w:line="276" w:lineRule="auto"/>
        <w:jc w:val="both"/>
        <w:rPr>
          <w:rFonts w:ascii="Verdana" w:hAnsi="Verdana" w:eastAsia="Calibri" w:cs="Arial"/>
          <w:color w:val="000000" w:themeColor="text1"/>
          <w:lang w:val="es-ES" w:eastAsia="es-ES"/>
        </w:rPr>
      </w:pPr>
      <w:r w:rsidRPr="006E2BB3">
        <w:rPr>
          <w:rFonts w:ascii="Verdana" w:hAnsi="Verdana" w:eastAsia="Calibri" w:cs="Arial"/>
          <w:color w:val="000000" w:themeColor="text1"/>
          <w:lang w:val="es-ES" w:eastAsia="es-ES"/>
        </w:rPr>
        <w:tab/>
      </w:r>
    </w:p>
    <w:p w:rsidRPr="006E2BB3" w:rsidR="00D33E94" w:rsidP="00D33E94" w:rsidRDefault="00D33E94" w14:paraId="1B141C67" w14:textId="77777777">
      <w:pPr>
        <w:spacing w:after="0" w:line="276" w:lineRule="auto"/>
        <w:jc w:val="both"/>
        <w:rPr>
          <w:rFonts w:ascii="Verdana" w:hAnsi="Verdana" w:eastAsia="Calibri" w:cs="Arial"/>
          <w:lang w:val="es-ES_tradnl"/>
        </w:rPr>
      </w:pPr>
      <w:r w:rsidRPr="006E2BB3">
        <w:rPr>
          <w:rFonts w:ascii="Verdana" w:hAnsi="Verdana" w:eastAsia="Calibri" w:cs="Arial"/>
          <w:lang w:val="es-ES_tradnl"/>
        </w:rPr>
        <w:t>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w:t>
      </w:r>
      <w:r>
        <w:rPr>
          <w:rFonts w:ascii="Verdana" w:hAnsi="Verdana" w:eastAsia="Calibri" w:cs="Arial"/>
          <w:lang w:val="es-ES_tradnl"/>
        </w:rPr>
        <w:t>s</w:t>
      </w:r>
      <w:r w:rsidRPr="006E2BB3">
        <w:rPr>
          <w:rFonts w:ascii="Verdana" w:hAnsi="Verdana" w:eastAsia="Calibri" w:cs="Arial"/>
          <w:lang w:val="es-ES_tradnl"/>
        </w:rPr>
        <w:t xml:space="preserve"> solicitud</w:t>
      </w:r>
      <w:r>
        <w:rPr>
          <w:rFonts w:ascii="Verdana" w:hAnsi="Verdana" w:eastAsia="Calibri" w:cs="Arial"/>
          <w:lang w:val="es-ES_tradnl"/>
        </w:rPr>
        <w:t>es</w:t>
      </w:r>
      <w:r w:rsidRPr="006E2BB3">
        <w:rPr>
          <w:rFonts w:ascii="Verdana" w:hAnsi="Verdana" w:eastAsia="Calibri" w:cs="Arial"/>
          <w:lang w:val="es-ES_tradnl"/>
        </w:rPr>
        <w:t xml:space="preserve"> de consulta de fecha 8 y 13 de agosto de 2024, en las cuales manifiesta lo siguiente: </w:t>
      </w:r>
    </w:p>
    <w:p w:rsidRPr="006E2BB3" w:rsidR="00D33E94" w:rsidP="00D33E94" w:rsidRDefault="00D33E94" w14:paraId="6D92527D" w14:textId="77777777">
      <w:pPr>
        <w:pStyle w:val="Prrafodelista"/>
        <w:tabs>
          <w:tab w:val="left" w:pos="142"/>
          <w:tab w:val="left" w:pos="284"/>
        </w:tabs>
        <w:spacing w:line="276" w:lineRule="auto"/>
        <w:ind w:left="0"/>
        <w:jc w:val="both"/>
        <w:rPr>
          <w:rFonts w:ascii="Verdana" w:hAnsi="Verdana" w:eastAsia="Calibri" w:cs="Arial"/>
          <w:lang w:val="es-ES_tradnl"/>
        </w:rPr>
      </w:pPr>
    </w:p>
    <w:p w:rsidRPr="00E33387" w:rsidR="00D33E94" w:rsidP="00D33E94" w:rsidRDefault="00D33E94" w14:paraId="217372A8" w14:textId="77777777">
      <w:pPr>
        <w:ind w:left="709" w:right="616"/>
        <w:jc w:val="both"/>
        <w:rPr>
          <w:rFonts w:ascii="Verdana" w:hAnsi="Verdana" w:eastAsia="Calibri" w:cs="Arial"/>
          <w:sz w:val="20"/>
          <w:szCs w:val="20"/>
          <w:lang w:val="es-ES"/>
        </w:rPr>
      </w:pPr>
      <w:bookmarkStart w:name="_Hlk95313578" w:id="2"/>
      <w:r w:rsidRPr="685E1E74">
        <w:rPr>
          <w:rFonts w:ascii="Verdana" w:hAnsi="Verdana" w:eastAsia="Calibri" w:cs="Arial"/>
          <w:lang w:val="es-ES"/>
        </w:rPr>
        <w:t>“</w:t>
      </w:r>
      <w:bookmarkEnd w:id="2"/>
      <w:r w:rsidRPr="685E1E74">
        <w:rPr>
          <w:rFonts w:ascii="Verdana" w:hAnsi="Verdana" w:eastAsia="Calibri" w:cs="Arial"/>
          <w:sz w:val="20"/>
          <w:szCs w:val="20"/>
          <w:lang w:val="es-ES"/>
        </w:rPr>
        <w:t>Existe inhabilidad para que la cónyuge o compañera permanente del actual Jefe de la Oficina Jurídica Municipal de la Alcaldía Municipal de Girardot (Cundinamarca), cargo del Nivel: Directivo; Código: 115; Grado: 03 (¿empleado de libre nombramiento y remoción, contrate con la Personería Municipal de Girardot mediante la modalidad de contratación directa por medio de contrato de prestación de servicios profesionales, atendiendo a lo dispuesto en el artículo 8° de la Ley 80 de 1993?:” [sic]</w:t>
      </w:r>
    </w:p>
    <w:p w:rsidRPr="006E2BB3" w:rsidR="00D33E94" w:rsidP="00D33E94" w:rsidRDefault="00D33E94" w14:paraId="65026A93" w14:textId="77777777">
      <w:pPr>
        <w:pStyle w:val="Prrafodelista"/>
        <w:tabs>
          <w:tab w:val="left" w:pos="142"/>
          <w:tab w:val="left" w:pos="284"/>
        </w:tabs>
        <w:spacing w:line="276" w:lineRule="auto"/>
        <w:ind w:left="0"/>
        <w:jc w:val="both"/>
        <w:rPr>
          <w:rFonts w:ascii="Verdana" w:hAnsi="Verdana" w:eastAsia="Calibri" w:cs="Arial"/>
          <w:lang w:val="es-ES_tradnl"/>
        </w:rPr>
      </w:pPr>
    </w:p>
    <w:p w:rsidRPr="006E2BB3" w:rsidR="00D33E94" w:rsidP="00D33E94" w:rsidRDefault="00D33E94" w14:paraId="28BF778C" w14:textId="77777777">
      <w:pPr>
        <w:spacing w:after="120" w:line="276" w:lineRule="auto"/>
        <w:ind w:firstLine="709"/>
        <w:jc w:val="both"/>
        <w:rPr>
          <w:rFonts w:ascii="Verdana" w:hAnsi="Verdana" w:eastAsia="Calibri" w:cs="Arial"/>
          <w:lang w:val="es-ES"/>
        </w:rPr>
      </w:pPr>
      <w:r w:rsidRPr="685E1E74">
        <w:rPr>
          <w:rFonts w:ascii="Verdana" w:hAnsi="Verdana" w:eastAsia="Calibri" w:cs="Arial"/>
          <w:lang w:val="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tab/>
      </w:r>
    </w:p>
    <w:p w:rsidRPr="006E2BB3" w:rsidR="00D33E94" w:rsidP="00D33E94" w:rsidRDefault="00D33E94" w14:paraId="545A1026" w14:textId="77777777">
      <w:pPr>
        <w:spacing w:after="0" w:line="276" w:lineRule="auto"/>
        <w:ind w:firstLine="709"/>
        <w:jc w:val="both"/>
        <w:rPr>
          <w:rFonts w:ascii="Verdana" w:hAnsi="Verdana" w:eastAsia="Calibri" w:cs="Arial"/>
          <w:lang w:val="es-ES"/>
        </w:rPr>
      </w:pPr>
      <w:r w:rsidRPr="685E1E74">
        <w:rPr>
          <w:rFonts w:ascii="Verdana" w:hAnsi="Verdana" w:eastAsia="Calibri" w:cs="Arial"/>
          <w:lang w:val="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rsidRPr="006E2BB3" w:rsidR="00D33E94" w:rsidP="00D33E94" w:rsidRDefault="00D33E94" w14:paraId="1E2A56ED" w14:textId="77777777">
      <w:pPr>
        <w:spacing w:after="0" w:line="276" w:lineRule="auto"/>
        <w:ind w:firstLine="709"/>
        <w:jc w:val="both"/>
        <w:rPr>
          <w:rFonts w:ascii="Verdana" w:hAnsi="Verdana" w:eastAsia="Calibri" w:cs="Arial"/>
          <w:color w:val="000000"/>
          <w:lang w:val="es-ES" w:eastAsia="es-ES"/>
        </w:rPr>
      </w:pPr>
    </w:p>
    <w:p w:rsidRPr="006E2BB3" w:rsidR="00D33E94" w:rsidP="00D33E94" w:rsidRDefault="00D33E94" w14:paraId="595582C2" w14:textId="77777777">
      <w:pPr>
        <w:spacing w:after="0" w:line="276" w:lineRule="auto"/>
        <w:ind w:firstLine="709"/>
        <w:jc w:val="both"/>
        <w:rPr>
          <w:rFonts w:ascii="Verdana" w:hAnsi="Verdana" w:eastAsia="Calibri" w:cs="Arial"/>
          <w:color w:val="000000"/>
          <w:lang w:val="es-ES" w:eastAsia="es-ES"/>
        </w:rPr>
      </w:pPr>
    </w:p>
    <w:p w:rsidRPr="006E2BB3" w:rsidR="00D33E94" w:rsidP="00D33E94" w:rsidRDefault="00D33E94" w14:paraId="40864350"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cs="Century Gothic"/>
          <w:b/>
          <w:bCs/>
        </w:rPr>
      </w:pPr>
      <w:r w:rsidRPr="006E2BB3">
        <w:rPr>
          <w:rFonts w:ascii="Verdana" w:hAnsi="Verdana" w:eastAsia="Century Gothic" w:cs="Century Gothic"/>
          <w:b/>
          <w:bCs/>
        </w:rPr>
        <w:t>Problema planteado:</w:t>
      </w:r>
    </w:p>
    <w:p w:rsidRPr="006E2BB3" w:rsidR="00D33E94" w:rsidP="00D33E94" w:rsidRDefault="00D33E94" w14:paraId="79D1310C" w14:textId="77777777">
      <w:pPr>
        <w:tabs>
          <w:tab w:val="left" w:pos="426"/>
        </w:tabs>
        <w:spacing w:after="0" w:line="276" w:lineRule="auto"/>
        <w:jc w:val="both"/>
        <w:rPr>
          <w:rFonts w:ascii="Verdana" w:hAnsi="Verdana" w:eastAsia="Century Gothic" w:cs="Century Gothic"/>
          <w:lang w:val="es-ES"/>
        </w:rPr>
      </w:pPr>
    </w:p>
    <w:p w:rsidRPr="006E2BB3" w:rsidR="00D33E94" w:rsidP="00D33E94" w:rsidRDefault="00D33E94" w14:paraId="69538328" w14:textId="77777777">
      <w:pPr>
        <w:tabs>
          <w:tab w:val="left" w:pos="426"/>
        </w:tabs>
        <w:spacing w:after="0" w:line="276" w:lineRule="auto"/>
        <w:jc w:val="both"/>
        <w:rPr>
          <w:rFonts w:ascii="Verdana" w:hAnsi="Verdana" w:eastAsia="Century Gothic" w:cs="Century Gothic"/>
          <w:lang w:val="es-ES"/>
        </w:rPr>
      </w:pPr>
    </w:p>
    <w:p w:rsidRPr="006E2BB3" w:rsidR="00D33E94" w:rsidP="00D33E94" w:rsidRDefault="00D33E94" w14:paraId="43DB81A7" w14:textId="77777777">
      <w:pPr>
        <w:pStyle w:val="Textoindependiente"/>
        <w:spacing w:before="1" w:line="276" w:lineRule="auto"/>
        <w:ind w:right="306"/>
        <w:jc w:val="both"/>
        <w:rPr>
          <w:rFonts w:ascii="Verdana" w:hAnsi="Verdana" w:eastAsia="Calibri" w:cs="Arial"/>
          <w:lang w:val="es-ES"/>
        </w:rPr>
      </w:pPr>
      <w:r w:rsidRPr="685E1E74">
        <w:rPr>
          <w:rFonts w:ascii="Verdana" w:hAnsi="Verdana" w:eastAsia="Calibri" w:cs="Arial"/>
          <w:lang w:val="es-ES"/>
        </w:rPr>
        <w:t xml:space="preserve">De acuerdo con el contenido de su solicitud, esta Agencia resolverá los siguientes problemas jurídico: ¿Cuáles son las inhabilidades relacionadas con el vínculo </w:t>
      </w:r>
      <w:r>
        <w:rPr>
          <w:rFonts w:ascii="Verdana" w:hAnsi="Verdana" w:eastAsia="Calibri" w:cs="Arial"/>
          <w:lang w:val="es-ES"/>
        </w:rPr>
        <w:t xml:space="preserve"> entre conyugues o compañeros permanentes </w:t>
      </w:r>
      <w:r w:rsidRPr="685E1E74">
        <w:rPr>
          <w:rFonts w:ascii="Verdana" w:hAnsi="Verdana" w:eastAsia="Calibri" w:cs="Arial"/>
          <w:lang w:val="es-ES"/>
        </w:rPr>
        <w:t>establecidas en el artículo 8 de la Ley 80 de 1993?</w:t>
      </w:r>
    </w:p>
    <w:p w:rsidRPr="006E2BB3" w:rsidR="00D33E94" w:rsidP="00D33E94" w:rsidRDefault="00D33E94" w14:paraId="5709C1A1" w14:textId="77777777">
      <w:pPr>
        <w:spacing w:after="0" w:line="276" w:lineRule="auto"/>
        <w:jc w:val="both"/>
        <w:rPr>
          <w:rFonts w:ascii="Verdana" w:hAnsi="Verdana" w:eastAsia="Calibri" w:cs="Arial"/>
          <w:lang w:val="es-ES_tradnl"/>
        </w:rPr>
      </w:pPr>
      <w:r w:rsidRPr="006E2BB3">
        <w:rPr>
          <w:rFonts w:ascii="Verdana" w:hAnsi="Verdana" w:eastAsia="Calibri" w:cs="Arial"/>
          <w:lang w:val="es-ES_tradnl"/>
        </w:rPr>
        <w:t xml:space="preserve"> </w:t>
      </w:r>
    </w:p>
    <w:p w:rsidRPr="006E2BB3" w:rsidR="00D33E94" w:rsidP="00D33E94" w:rsidRDefault="00D33E94" w14:paraId="2C560EC9" w14:textId="77777777">
      <w:pPr>
        <w:spacing w:after="0" w:line="276" w:lineRule="auto"/>
        <w:jc w:val="both"/>
        <w:rPr>
          <w:rFonts w:ascii="Verdana" w:hAnsi="Verdana" w:eastAsia="Century Gothic" w:cs="Century Gothic"/>
        </w:rPr>
      </w:pPr>
    </w:p>
    <w:p w:rsidRPr="006E2BB3" w:rsidR="00D33E94" w:rsidP="00D33E94" w:rsidRDefault="00D33E94" w14:paraId="7C8211ED"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6E2BB3">
        <w:rPr>
          <w:rFonts w:ascii="Verdana" w:hAnsi="Verdana" w:eastAsia="Century Gothic" w:cs="Century Gothic"/>
          <w:b/>
          <w:bCs/>
        </w:rPr>
        <w:t>Respuesta:</w:t>
      </w:r>
    </w:p>
    <w:p w:rsidRPr="006E2BB3" w:rsidR="00D33E94" w:rsidP="00D33E94" w:rsidRDefault="00D33E94" w14:paraId="24F6BA4B"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6E2BB3" w:rsidR="00D33E94" w:rsidTr="00171C99" w14:paraId="35E24E1F" w14:textId="77777777">
        <w:tc>
          <w:tcPr>
            <w:tcW w:w="8828" w:type="dxa"/>
            <w:shd w:val="clear" w:color="auto" w:fill="auto"/>
          </w:tcPr>
          <w:p w:rsidRPr="006E2BB3" w:rsidR="00D33E94" w:rsidP="00171C99" w:rsidRDefault="00D33E94" w14:paraId="28559934" w14:textId="77777777">
            <w:pPr>
              <w:tabs>
                <w:tab w:val="left" w:pos="0"/>
              </w:tabs>
              <w:spacing w:after="120" w:line="276" w:lineRule="auto"/>
              <w:jc w:val="both"/>
              <w:rPr>
                <w:rFonts w:ascii="Verdana" w:hAnsi="Verdana" w:eastAsia="Calibri" w:cs="Arial"/>
                <w:lang w:val="es-ES_tradnl"/>
              </w:rPr>
            </w:pPr>
            <w:r w:rsidRPr="006E2BB3">
              <w:rPr>
                <w:rFonts w:ascii="Verdana" w:hAnsi="Verdana" w:eastAsia="Calibri" w:cs="Arial"/>
                <w:lang w:val="es-ES_tradnl"/>
              </w:rPr>
              <w:t xml:space="preserve">Resulta a bien señalar que el literal g) del numeral 1 del artículo 8 de la Ley 80 de 1993 determina que son inhábiles para participar en Procesos de Contratación o suscribir contratos con Entidades Estatales “Quienes sean cónyuges o compañeros permanentes y quiénes se encuentren dentro del segundo grado de consanguinidad o segundo de afinidad con cualquier otra persona que formalmente haya presentado propuesta para una misma licitación”. Similar prohibición, se encuentra en el literal h) del numeral 1 </w:t>
            </w:r>
            <w:r w:rsidRPr="006E2BB3">
              <w:rPr>
                <w:rFonts w:ascii="Verdana" w:hAnsi="Verdana" w:eastAsia="Calibri" w:cs="Arial"/>
                <w:i/>
                <w:iCs/>
                <w:lang w:val="es-ES_tradnl"/>
              </w:rPr>
              <w:t xml:space="preserve">ibidem, </w:t>
            </w:r>
            <w:r w:rsidRPr="006E2BB3">
              <w:rPr>
                <w:rFonts w:ascii="Verdana" w:hAnsi="Verdana" w:eastAsia="Calibri" w:cs="Arial"/>
                <w:lang w:val="es-ES_tradnl"/>
              </w:rPr>
              <w:t>cuando la participación simultánea en el proceso es de sociedades, distintas a las sociedades anónimas abiertas.</w:t>
            </w:r>
          </w:p>
          <w:p w:rsidRPr="006E2BB3" w:rsidR="00D33E94" w:rsidP="00171C99" w:rsidRDefault="00D33E94" w14:paraId="76E31E14" w14:textId="77777777">
            <w:pPr>
              <w:spacing w:before="120" w:line="276" w:lineRule="auto"/>
              <w:jc w:val="both"/>
              <w:rPr>
                <w:rFonts w:ascii="Verdana" w:hAnsi="Verdana" w:eastAsia="Calibri" w:cs="Arial"/>
                <w:lang w:val="es-ES_tradnl"/>
              </w:rPr>
            </w:pPr>
            <w:r w:rsidRPr="006E2BB3">
              <w:rPr>
                <w:rFonts w:ascii="Verdana" w:hAnsi="Verdana" w:eastAsia="Calibri" w:cs="Arial"/>
                <w:lang w:val="es-ES_tradnl"/>
              </w:rPr>
              <w:t>Dichas inhabilidades tienen fundamento en las relaciones familiares o de parentesco, tales como los cónyuges o compañeros permanentes, así como aquellas personas respecto de las cuales se predican relaciones de consanguinidad o afinidad hasta el segundo grado. Esto implica que las referidas causales de inhabilidad se instituyen, única y exclusivamente, con el propósito de limitar la capacidad en la participación en Procesos de Contratación de las denominadas personas naturales</w:t>
            </w:r>
            <w:r w:rsidRPr="006E2BB3">
              <w:rPr>
                <w:rFonts w:ascii="Verdana" w:hAnsi="Verdana"/>
                <w:vertAlign w:val="superscript"/>
                <w:lang w:val="es-ES"/>
              </w:rPr>
              <w:footnoteReference w:id="2"/>
            </w:r>
            <w:r w:rsidRPr="006E2BB3">
              <w:rPr>
                <w:rFonts w:ascii="Verdana" w:hAnsi="Verdana" w:eastAsia="Calibri" w:cs="Arial"/>
                <w:lang w:val="es-ES"/>
              </w:rPr>
              <w:t>, esto es, sujetos de derechos y obligaciones de la especie humana unidos entre sí, ya sea por vínculos naturales o jurídicos</w:t>
            </w:r>
            <w:r w:rsidRPr="006E2BB3">
              <w:rPr>
                <w:rFonts w:ascii="Verdana" w:hAnsi="Verdana"/>
                <w:vertAlign w:val="superscript"/>
                <w:lang w:val="es-ES"/>
              </w:rPr>
              <w:footnoteReference w:id="3"/>
            </w:r>
            <w:r w:rsidRPr="006E2BB3">
              <w:rPr>
                <w:rFonts w:ascii="Verdana" w:hAnsi="Verdana" w:eastAsia="Calibri" w:cs="Arial"/>
                <w:lang w:val="es-ES"/>
              </w:rPr>
              <w:t>.</w:t>
            </w:r>
          </w:p>
          <w:p w:rsidRPr="006E2BB3" w:rsidR="00D33E94" w:rsidP="00171C99" w:rsidRDefault="00D33E94" w14:paraId="0205DC55" w14:textId="77777777">
            <w:pPr>
              <w:spacing w:after="120" w:line="276" w:lineRule="auto"/>
              <w:ind w:firstLine="709"/>
              <w:jc w:val="both"/>
              <w:rPr>
                <w:rFonts w:ascii="Verdana" w:hAnsi="Verdana" w:eastAsia="Calibri" w:cs="Arial"/>
                <w:lang w:val="es-ES_tradnl" w:eastAsia="es-MX"/>
              </w:rPr>
            </w:pPr>
          </w:p>
        </w:tc>
      </w:tr>
    </w:tbl>
    <w:p w:rsidRPr="006E2BB3" w:rsidR="00D33E94" w:rsidP="00D33E94" w:rsidRDefault="00D33E94" w14:paraId="45DBB94E" w14:textId="77777777">
      <w:pPr>
        <w:tabs>
          <w:tab w:val="left" w:pos="142"/>
          <w:tab w:val="left" w:pos="284"/>
        </w:tabs>
        <w:spacing w:after="0" w:line="276" w:lineRule="auto"/>
        <w:jc w:val="both"/>
        <w:rPr>
          <w:rFonts w:ascii="Verdana" w:hAnsi="Verdana" w:eastAsia="Century Gothic" w:cs="Century Gothic"/>
          <w:b/>
          <w:bCs/>
          <w:lang w:val="es-ES"/>
        </w:rPr>
      </w:pPr>
    </w:p>
    <w:p w:rsidRPr="006E2BB3" w:rsidR="00D33E94" w:rsidP="00D33E94" w:rsidRDefault="00D33E94" w14:paraId="1960BF1A"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6E2BB3">
        <w:rPr>
          <w:rFonts w:ascii="Verdana" w:hAnsi="Verdana" w:eastAsia="Century Gothic" w:cs="Century Gothic"/>
          <w:b/>
          <w:bCs/>
        </w:rPr>
        <w:t>Razones de la respuesta:</w:t>
      </w:r>
    </w:p>
    <w:p w:rsidRPr="006E2BB3" w:rsidR="00D33E94" w:rsidP="00D33E94" w:rsidRDefault="00D33E94" w14:paraId="2F901326" w14:textId="77777777">
      <w:pPr>
        <w:spacing w:after="0" w:line="276" w:lineRule="auto"/>
        <w:jc w:val="both"/>
        <w:rPr>
          <w:rFonts w:ascii="Verdana" w:hAnsi="Verdana" w:eastAsia="Calibri" w:cs="Arial"/>
          <w:color w:val="7030A0"/>
          <w:lang w:val="es-ES"/>
        </w:rPr>
      </w:pPr>
    </w:p>
    <w:p w:rsidRPr="006E2BB3" w:rsidR="00D33E94" w:rsidP="00D33E94" w:rsidRDefault="00D33E94" w14:paraId="453B7651" w14:textId="77777777">
      <w:pPr>
        <w:spacing w:after="0" w:line="276" w:lineRule="auto"/>
        <w:jc w:val="both"/>
        <w:rPr>
          <w:rFonts w:ascii="Verdana" w:hAnsi="Verdana" w:eastAsia="Calibri" w:cs="Arial"/>
          <w:lang w:val="es-ES"/>
        </w:rPr>
      </w:pPr>
      <w:r w:rsidRPr="006E2BB3">
        <w:rPr>
          <w:rFonts w:ascii="Verdana" w:hAnsi="Verdana" w:eastAsia="Calibri" w:cs="Arial"/>
          <w:lang w:val="es-ES"/>
        </w:rPr>
        <w:t xml:space="preserve">Lo anterior se sustenta en las siguientes consideraciones: </w:t>
      </w:r>
    </w:p>
    <w:p w:rsidRPr="006E2BB3" w:rsidR="00D33E94" w:rsidP="00D33E94" w:rsidRDefault="00D33E94" w14:paraId="1536CF47" w14:textId="77777777">
      <w:pPr>
        <w:spacing w:after="0" w:line="276" w:lineRule="auto"/>
        <w:jc w:val="both"/>
        <w:rPr>
          <w:rFonts w:ascii="Verdana" w:hAnsi="Verdana" w:eastAsia="Calibri" w:cs="Arial"/>
          <w:lang w:val="es-ES"/>
        </w:rPr>
      </w:pPr>
    </w:p>
    <w:p w:rsidRPr="006E2BB3" w:rsidR="00D33E94" w:rsidP="00D33E94" w:rsidRDefault="00D33E94" w14:paraId="72BAA610" w14:textId="77777777">
      <w:pPr>
        <w:pStyle w:val="Prrafodelista"/>
        <w:numPr>
          <w:ilvl w:val="0"/>
          <w:numId w:val="18"/>
        </w:numPr>
        <w:spacing w:after="120" w:line="276" w:lineRule="auto"/>
        <w:jc w:val="both"/>
        <w:rPr>
          <w:rFonts w:ascii="Verdana" w:hAnsi="Verdana" w:cs="Arial"/>
          <w:lang w:val="es-MX"/>
        </w:rPr>
      </w:pPr>
      <w:r w:rsidRPr="006E2BB3">
        <w:rPr>
          <w:rFonts w:ascii="Verdana" w:hAnsi="Verdana" w:cs="Arial"/>
          <w:lang w:val="es-MX"/>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rsidRPr="006E2BB3" w:rsidR="00D33E94" w:rsidP="00D33E94" w:rsidRDefault="00D33E94" w14:paraId="7D81BAC1" w14:textId="77777777">
      <w:pPr>
        <w:pStyle w:val="Prrafodelista"/>
        <w:numPr>
          <w:ilvl w:val="0"/>
          <w:numId w:val="18"/>
        </w:numPr>
        <w:spacing w:line="276" w:lineRule="auto"/>
        <w:jc w:val="both"/>
        <w:rPr>
          <w:rFonts w:ascii="Verdana" w:hAnsi="Verdana" w:cs="Arial"/>
        </w:rPr>
      </w:pPr>
      <w:r w:rsidRPr="006E2BB3">
        <w:rPr>
          <w:rFonts w:ascii="Verdana" w:hAnsi="Verdana" w:cs="Arial"/>
        </w:rPr>
        <w:t xml:space="preserve">El régimen de inhabilidades para contratar con el Estado es un conjunto de restricciones establecidas por el constituyente o por el legislador que afectan directamente la capacidad de las personas para establecer </w:t>
      </w:r>
      <w:r w:rsidRPr="006E2BB3">
        <w:rPr>
          <w:rFonts w:ascii="Verdana" w:hAnsi="Verdana" w:cs="Arial"/>
        </w:rPr>
        <w:t>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6E2BB3">
        <w:rPr>
          <w:rFonts w:ascii="Verdana" w:hAnsi="Verdana"/>
          <w:vertAlign w:val="superscript"/>
        </w:rPr>
        <w:footnoteReference w:id="4"/>
      </w:r>
      <w:r w:rsidRPr="006E2BB3">
        <w:rPr>
          <w:rFonts w:ascii="Verdana" w:hAnsi="Verdana" w:cs="Arial"/>
        </w:rPr>
        <w:t>.</w:t>
      </w:r>
    </w:p>
    <w:p w:rsidRPr="006E2BB3" w:rsidR="00D33E94" w:rsidP="00D33E94" w:rsidRDefault="00D33E94" w14:paraId="74E6838F" w14:textId="77777777">
      <w:pPr>
        <w:pStyle w:val="Prrafodelista"/>
        <w:numPr>
          <w:ilvl w:val="0"/>
          <w:numId w:val="18"/>
        </w:numPr>
        <w:spacing w:after="0" w:line="276" w:lineRule="auto"/>
        <w:jc w:val="both"/>
        <w:rPr>
          <w:rFonts w:ascii="Verdana" w:hAnsi="Verdana" w:cs="Arial"/>
        </w:rPr>
      </w:pPr>
      <w:r w:rsidRPr="006E2BB3">
        <w:rPr>
          <w:rFonts w:ascii="Verdana" w:hAnsi="Verdana" w:cs="Arial"/>
        </w:rPr>
        <w:t>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6E2BB3">
        <w:rPr>
          <w:rFonts w:ascii="Verdana" w:hAnsi="Verdana"/>
          <w:vertAlign w:val="superscript"/>
        </w:rPr>
        <w:footnoteReference w:id="5"/>
      </w:r>
      <w:r w:rsidRPr="006E2BB3">
        <w:rPr>
          <w:rFonts w:ascii="Verdana" w:hAnsi="Verdana" w:cs="Arial"/>
        </w:rPr>
        <w:t>.</w:t>
      </w:r>
    </w:p>
    <w:p w:rsidRPr="006E2BB3" w:rsidR="00D33E94" w:rsidP="00D33E94" w:rsidRDefault="00D33E94" w14:paraId="4A51F21F" w14:textId="77777777">
      <w:pPr>
        <w:pStyle w:val="Prrafodelista"/>
        <w:numPr>
          <w:ilvl w:val="0"/>
          <w:numId w:val="18"/>
        </w:numPr>
        <w:spacing w:before="120" w:after="120" w:line="276" w:lineRule="auto"/>
        <w:jc w:val="both"/>
        <w:rPr>
          <w:rFonts w:ascii="Verdana" w:hAnsi="Verdana" w:cs="Arial"/>
        </w:rPr>
      </w:pPr>
      <w:r w:rsidRPr="006E2BB3">
        <w:rPr>
          <w:rFonts w:ascii="Verdana" w:hAnsi="Verdana" w:cs="Arial"/>
        </w:rPr>
        <w:t>A manera de ejemplo, en materia contractual, los literales c), d) y j) del numeral 1 del artículo 8 de la Ley 80 de 1993</w:t>
      </w:r>
      <w:r w:rsidRPr="006E2BB3">
        <w:rPr>
          <w:rFonts w:ascii="Verdana" w:hAnsi="Verdana"/>
          <w:vertAlign w:val="superscript"/>
        </w:rPr>
        <w:footnoteReference w:id="6"/>
      </w:r>
      <w:r w:rsidRPr="006E2BB3">
        <w:rPr>
          <w:rFonts w:ascii="Verdana" w:hAnsi="Verdana" w:cs="Arial"/>
        </w:rPr>
        <w:t xml:space="preserve"> establecen inhabilidades-</w:t>
      </w:r>
      <w:r w:rsidRPr="006E2BB3">
        <w:rPr>
          <w:rFonts w:ascii="Verdana" w:hAnsi="Verdana" w:cs="Arial"/>
        </w:rPr>
        <w:t xml:space="preserve">sanción, 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bookmarkStart w:name="_Hlk40976328" w:id="3"/>
      <w:r w:rsidRPr="006E2BB3">
        <w:rPr>
          <w:rFonts w:ascii="Verdana" w:hAnsi="Verdana" w:cs="Arial"/>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bookmarkEnd w:id="3"/>
    </w:p>
    <w:p w:rsidRPr="006E2BB3" w:rsidR="00D33E94" w:rsidP="00D33E94" w:rsidRDefault="00D33E94" w14:paraId="44C25BC3" w14:textId="77777777">
      <w:pPr>
        <w:pStyle w:val="Prrafodelista"/>
        <w:numPr>
          <w:ilvl w:val="0"/>
          <w:numId w:val="18"/>
        </w:numPr>
        <w:spacing w:after="120" w:line="276" w:lineRule="auto"/>
        <w:jc w:val="both"/>
        <w:rPr>
          <w:rFonts w:ascii="Verdana" w:hAnsi="Verdana" w:eastAsia="Calibri" w:cs="Arial"/>
        </w:rPr>
      </w:pPr>
      <w:r w:rsidRPr="685E1E74">
        <w:rPr>
          <w:rFonts w:ascii="Verdana" w:hAnsi="Verdana" w:eastAsia="Calibri" w:cs="Arial"/>
          <w:i/>
          <w:iCs/>
        </w:rPr>
        <w:t>Igualmente</w:t>
      </w:r>
      <w:r w:rsidRPr="685E1E74">
        <w:rPr>
          <w:rFonts w:ascii="Verdana" w:hAnsi="Verdana" w:eastAsia="Calibri" w:cs="Arial"/>
        </w:rPr>
        <w:t xml:space="preserve">, en la contratación estatal, la </w:t>
      </w:r>
      <w:r w:rsidRPr="685E1E74">
        <w:rPr>
          <w:rFonts w:ascii="Verdana" w:hAnsi="Verdana" w:eastAsia="Calibri" w:cs="Arial"/>
          <w:i/>
          <w:iCs/>
        </w:rPr>
        <w:t>capacidad</w:t>
      </w:r>
      <w:r w:rsidRPr="685E1E74">
        <w:rPr>
          <w:rFonts w:ascii="Verdana" w:hAnsi="Verdana" w:eastAsia="Calibri" w:cs="Arial"/>
        </w:rPr>
        <w:t xml:space="preserve"> también es un requisito de validez de los contratos, tanto en el régimen de las entidades sujetas al Estatuto General de Contratación de la Administración Pública</w:t>
      </w:r>
      <w:r w:rsidRPr="685E1E74">
        <w:rPr>
          <w:rFonts w:ascii="Verdana" w:hAnsi="Verdana"/>
          <w:vertAlign w:val="superscript"/>
        </w:rPr>
        <w:footnoteReference w:id="7"/>
      </w:r>
      <w:r w:rsidRPr="685E1E74">
        <w:rPr>
          <w:rFonts w:ascii="Verdana" w:hAnsi="Verdana" w:eastAsia="Calibri" w:cs="Arial"/>
        </w:rPr>
        <w:t xml:space="preserve"> como en el de las entidades exceptuadas de aquel</w:t>
      </w:r>
      <w:r w:rsidRPr="685E1E74">
        <w:rPr>
          <w:rFonts w:ascii="Verdana" w:hAnsi="Verdana"/>
          <w:vertAlign w:val="superscript"/>
        </w:rPr>
        <w:footnoteReference w:id="8"/>
      </w:r>
      <w:r w:rsidRPr="685E1E74">
        <w:rPr>
          <w:rFonts w:ascii="Verdana" w:hAnsi="Verdana" w:eastAsia="Calibri" w:cs="Aria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685E1E74">
        <w:rPr>
          <w:rFonts w:ascii="Verdana" w:hAnsi="Verdana"/>
          <w:vertAlign w:val="superscript"/>
        </w:rPr>
        <w:footnoteReference w:id="9"/>
      </w:r>
      <w:r w:rsidRPr="685E1E74">
        <w:rPr>
          <w:rFonts w:ascii="Verdana" w:hAnsi="Verdana" w:eastAsia="Calibri" w:cs="Arial"/>
        </w:rPr>
        <w:t>–, se destaca el régimen de inhabilidades e incompatibilidades como un conjunto de normas que imponen restricciones para los sujetos que, eventualmente, pretendan participar en los procedimientos de selección o celebrar contratos con las entidades estatales</w:t>
      </w:r>
      <w:r w:rsidRPr="685E1E74">
        <w:rPr>
          <w:rFonts w:ascii="Verdana" w:hAnsi="Verdana"/>
          <w:vertAlign w:val="superscript"/>
        </w:rPr>
        <w:footnoteReference w:id="10"/>
      </w:r>
      <w:r w:rsidRPr="685E1E74">
        <w:rPr>
          <w:rFonts w:ascii="Verdana" w:hAnsi="Verdana" w:eastAsia="Calibri" w:cs="Arial"/>
        </w:rPr>
        <w:t>.</w:t>
      </w:r>
    </w:p>
    <w:p w:rsidRPr="006E2BB3" w:rsidR="00D33E94" w:rsidP="00D33E94" w:rsidRDefault="00D33E94" w14:paraId="6F473322" w14:textId="77777777">
      <w:pPr>
        <w:pStyle w:val="Prrafodelista"/>
        <w:numPr>
          <w:ilvl w:val="0"/>
          <w:numId w:val="18"/>
        </w:numPr>
        <w:spacing w:after="120" w:line="276" w:lineRule="auto"/>
        <w:jc w:val="both"/>
        <w:rPr>
          <w:rFonts w:ascii="Verdana" w:hAnsi="Verdana" w:eastAsia="Calibri" w:cs="Arial"/>
        </w:rPr>
      </w:pPr>
      <w:r w:rsidRPr="685E1E74">
        <w:rPr>
          <w:rFonts w:ascii="Verdana" w:hAnsi="Verdana" w:eastAsia="Calibri" w:cs="Arial"/>
        </w:rPr>
        <w:t>Las inhabilidades son prohibiciones para concurrir a los procedimientos de selección y para contratar con el Estado, que se derivan: i) de la existencia de comportamientos reprochables o de sanciones anteriormente impuestas</w:t>
      </w:r>
      <w:r w:rsidRPr="685E1E74">
        <w:rPr>
          <w:rFonts w:ascii="Verdana" w:hAnsi="Verdana"/>
          <w:vertAlign w:val="superscript"/>
        </w:rPr>
        <w:footnoteReference w:id="11"/>
      </w:r>
      <w:r w:rsidRPr="685E1E74">
        <w:rPr>
          <w:rFonts w:ascii="Verdana" w:hAnsi="Verdana" w:eastAsia="Calibri" w:cs="Arial"/>
        </w:rPr>
        <w:t>, ii) de vínculos personales relativos al parentesco o al estado civil</w:t>
      </w:r>
      <w:r w:rsidRPr="685E1E74">
        <w:rPr>
          <w:rFonts w:ascii="Verdana" w:hAnsi="Verdana"/>
          <w:vertAlign w:val="superscript"/>
        </w:rPr>
        <w:footnoteReference w:id="12"/>
      </w:r>
      <w:r w:rsidRPr="685E1E74">
        <w:rPr>
          <w:rFonts w:ascii="Verdana" w:hAnsi="Verdana" w:eastAsia="Calibri" w:cs="Arial"/>
        </w:rPr>
        <w:t xml:space="preserve"> o iii) de una actividad u oficio que se desempeñó en el pasado</w:t>
      </w:r>
      <w:r w:rsidRPr="685E1E74">
        <w:rPr>
          <w:rFonts w:ascii="Verdana" w:hAnsi="Verdana"/>
          <w:vertAlign w:val="superscript"/>
        </w:rPr>
        <w:footnoteReference w:id="13"/>
      </w:r>
      <w:r w:rsidRPr="685E1E74">
        <w:rPr>
          <w:rFonts w:ascii="Verdana" w:hAnsi="Verdana" w:eastAsia="Calibri" w:cs="Arial"/>
        </w:rPr>
        <w:t>.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685E1E74">
        <w:rPr>
          <w:rFonts w:ascii="Verdana" w:hAnsi="Verdana"/>
          <w:vertAlign w:val="superscript"/>
        </w:rPr>
        <w:footnoteReference w:id="14"/>
      </w:r>
      <w:r w:rsidRPr="685E1E74">
        <w:rPr>
          <w:rFonts w:ascii="Verdana" w:hAnsi="Verdana" w:eastAsia="Calibri" w:cs="Arial"/>
        </w:rPr>
        <w:t>. 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r w:rsidRPr="685E1E74">
        <w:rPr>
          <w:rFonts w:ascii="Verdana" w:hAnsi="Verdana"/>
          <w:vertAlign w:val="superscript"/>
        </w:rPr>
        <w:footnoteReference w:id="15"/>
      </w:r>
      <w:r w:rsidRPr="685E1E74">
        <w:rPr>
          <w:rFonts w:ascii="Verdana" w:hAnsi="Verdana" w:eastAsia="Calibri" w:cs="Arial"/>
        </w:rPr>
        <w:t>.</w:t>
      </w:r>
    </w:p>
    <w:p w:rsidRPr="006E2BB3" w:rsidR="00D33E94" w:rsidP="00D33E94" w:rsidRDefault="00D33E94" w14:paraId="1981A3C1" w14:textId="77777777">
      <w:pPr>
        <w:pStyle w:val="Prrafodelista"/>
        <w:numPr>
          <w:ilvl w:val="0"/>
          <w:numId w:val="18"/>
        </w:numPr>
        <w:spacing w:before="120" w:after="120" w:line="276" w:lineRule="auto"/>
        <w:jc w:val="both"/>
        <w:rPr>
          <w:rFonts w:ascii="Verdana" w:hAnsi="Verdana" w:eastAsia="Calibri" w:cs="Arial"/>
        </w:rPr>
      </w:pPr>
      <w:r w:rsidRPr="685E1E74">
        <w:rPr>
          <w:rFonts w:ascii="Verdana" w:hAnsi="Verdana" w:eastAsia="Calibri" w:cs="Arial"/>
        </w:rPr>
        <w:t>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“neopunitiva”</w:t>
      </w:r>
      <w:r w:rsidRPr="685E1E74">
        <w:rPr>
          <w:rFonts w:ascii="Verdana" w:hAnsi="Verdana"/>
          <w:vertAlign w:val="superscript"/>
        </w:rPr>
        <w:footnoteReference w:id="16"/>
      </w:r>
      <w:r w:rsidRPr="685E1E74">
        <w:rPr>
          <w:rFonts w:ascii="Verdana" w:hAnsi="Verdana" w:eastAsia="Calibri" w:cs="Arial"/>
        </w:rPr>
        <w:t xml:space="preserve">.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w:t>
      </w:r>
      <w:r w:rsidRPr="685E1E74">
        <w:rPr>
          <w:rFonts w:ascii="Verdana" w:hAnsi="Verdana" w:eastAsia="Calibri" w:cs="Arial"/>
        </w:rPr>
        <w:t>contractual, dirigidas a prevenir este tipo de situaciones o a sancionar tales conductas.</w:t>
      </w:r>
    </w:p>
    <w:p w:rsidRPr="006E2BB3" w:rsidR="00D33E94" w:rsidP="00D33E94" w:rsidRDefault="00D33E94" w14:paraId="1D73D518" w14:textId="77777777">
      <w:pPr>
        <w:pStyle w:val="Prrafodelista"/>
        <w:numPr>
          <w:ilvl w:val="0"/>
          <w:numId w:val="18"/>
        </w:numPr>
        <w:spacing w:after="0" w:line="276" w:lineRule="auto"/>
        <w:jc w:val="both"/>
        <w:rPr>
          <w:rFonts w:ascii="Verdana" w:hAnsi="Verdana" w:cs="Arial"/>
          <w:color w:val="000000" w:themeColor="text1"/>
        </w:rPr>
      </w:pPr>
      <w:r w:rsidRPr="006E2BB3">
        <w:rPr>
          <w:rFonts w:ascii="Verdana" w:hAnsi="Verdana" w:eastAsia="Arial" w:cs="Arial"/>
          <w:color w:val="000000"/>
          <w:lang w:val="es-ES_tradnl"/>
        </w:rPr>
        <w:t xml:space="preserve">Como se aprecia, el principio </w:t>
      </w:r>
      <w:r w:rsidRPr="006E2BB3">
        <w:rPr>
          <w:rFonts w:ascii="Verdana" w:hAnsi="Verdana" w:eastAsia="Arial" w:cs="Arial"/>
          <w:i/>
          <w:iCs/>
          <w:color w:val="000000"/>
          <w:lang w:val="es-ES_tradnl"/>
        </w:rPr>
        <w:t>pro libertate</w:t>
      </w:r>
      <w:r w:rsidRPr="006E2BB3">
        <w:rPr>
          <w:rFonts w:ascii="Verdana" w:hAnsi="Verdana" w:eastAsia="Arial"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6E2BB3">
        <w:rPr>
          <w:rFonts w:ascii="Verdana" w:hAnsi="Verdana" w:cs="Arial"/>
          <w:color w:val="000000" w:themeColor="text1"/>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r w:rsidRPr="006E2BB3">
        <w:rPr>
          <w:rFonts w:ascii="Verdana" w:hAnsi="Verdana"/>
          <w:color w:val="000000" w:themeColor="text1"/>
          <w:vertAlign w:val="superscript"/>
        </w:rPr>
        <w:footnoteReference w:id="17"/>
      </w:r>
      <w:r w:rsidRPr="006E2BB3">
        <w:rPr>
          <w:rFonts w:ascii="Verdana" w:hAnsi="Verdana" w:cs="Arial"/>
          <w:color w:val="000000" w:themeColor="text1"/>
        </w:rPr>
        <w:t>.</w:t>
      </w:r>
    </w:p>
    <w:p w:rsidRPr="006E2BB3" w:rsidR="00D33E94" w:rsidP="00D33E94" w:rsidRDefault="00D33E94" w14:paraId="7FC2B31C" w14:textId="77777777">
      <w:pPr>
        <w:pStyle w:val="Prrafodelista"/>
        <w:numPr>
          <w:ilvl w:val="0"/>
          <w:numId w:val="18"/>
        </w:numPr>
        <w:spacing w:after="120" w:line="276" w:lineRule="auto"/>
        <w:jc w:val="both"/>
        <w:rPr>
          <w:rFonts w:ascii="Verdana" w:hAnsi="Verdana" w:cs="Arial"/>
          <w:color w:val="000000"/>
          <w:shd w:val="clear" w:color="auto" w:fill="FFFFFF"/>
        </w:rPr>
      </w:pPr>
      <w:r w:rsidRPr="006E2BB3">
        <w:rPr>
          <w:rFonts w:ascii="Verdana" w:hAnsi="Verdana" w:eastAsia="Calibri" w:cs="Arial"/>
          <w:lang w:val="es-ES_tradnl"/>
        </w:rPr>
        <w:t xml:space="preserve">Retomando la línea anterior, la doctrina y la jurisprudencia son pacíficas en considera que la creación de inhabilidades e incompatibilidades es un asunto con reserva de ley, en tanto, </w:t>
      </w:r>
      <w:r w:rsidRPr="006E2BB3">
        <w:rPr>
          <w:rFonts w:ascii="Verdana" w:hAnsi="Verdana" w:cs="Arial"/>
          <w:shd w:val="clear" w:color="auto" w:fill="FFFFFF"/>
        </w:rPr>
        <w:t>“[…] su previsión y desarrollo es materia exclusiva del legislador (reserva de ley), quien en virtud del principio democrático debe definir y tipificar expresamente sus causas, vigencia, naturaleza y efectos”</w:t>
      </w:r>
      <w:r w:rsidRPr="006E2BB3">
        <w:rPr>
          <w:rFonts w:ascii="Verdana" w:hAnsi="Verdana"/>
          <w:shd w:val="clear" w:color="auto" w:fill="FFFFFF"/>
          <w:vertAlign w:val="superscript"/>
        </w:rPr>
        <w:footnoteReference w:id="18"/>
      </w:r>
      <w:r w:rsidRPr="006E2BB3">
        <w:rPr>
          <w:rFonts w:ascii="Verdana" w:hAnsi="Verdana" w:cs="Arial"/>
          <w:shd w:val="clear" w:color="auto" w:fill="FFFFFF"/>
        </w:rPr>
        <w:t xml:space="preserve"> En similar sentido, la Sala de Consulta y Servicio Civil del Consejo de Estado expresó </w:t>
      </w:r>
      <w:r w:rsidRPr="006E2BB3">
        <w:rPr>
          <w:rFonts w:ascii="Verdana" w:hAnsi="Verdana" w:cs="Arial"/>
          <w:color w:val="000000"/>
          <w:shd w:val="clear" w:color="auto" w:fill="FFFFFF"/>
        </w:rPr>
        <w:t>que “[…] las causales de inhabilidad e incompatibilidad deben estar expresa y taxativamente establecidas en la Constitución o en la ley y son de aplicación e interpretación restrictivas […]”</w:t>
      </w:r>
      <w:r w:rsidRPr="006E2BB3">
        <w:rPr>
          <w:rFonts w:ascii="Verdana" w:hAnsi="Verdana"/>
          <w:color w:val="000000"/>
          <w:shd w:val="clear" w:color="auto" w:fill="FFFFFF"/>
          <w:vertAlign w:val="superscript"/>
        </w:rPr>
        <w:footnoteReference w:id="19"/>
      </w:r>
      <w:r w:rsidRPr="006E2BB3">
        <w:rPr>
          <w:rFonts w:ascii="Verdana" w:hAnsi="Verdana" w:cs="Arial"/>
          <w:color w:val="000000"/>
          <w:shd w:val="clear" w:color="auto" w:fill="FFFFFF"/>
        </w:rPr>
        <w:t xml:space="preserve">. En este sentido, como se observa, existe consenso, incluso como lo ha expresado esta Agencia en ocasiones anteriores, que la creación de inhabilidades o incompatibilidades está reservada al constituyente o al legislador. </w:t>
      </w:r>
    </w:p>
    <w:p w:rsidRPr="006E2BB3" w:rsidR="00D33E94" w:rsidP="00D33E94" w:rsidRDefault="00D33E94" w14:paraId="6B5E3E9E" w14:textId="77777777">
      <w:pPr>
        <w:pStyle w:val="Prrafodelista"/>
        <w:numPr>
          <w:ilvl w:val="0"/>
          <w:numId w:val="18"/>
        </w:numPr>
        <w:spacing w:after="120" w:line="276" w:lineRule="auto"/>
        <w:jc w:val="both"/>
        <w:rPr>
          <w:rFonts w:ascii="Verdana" w:hAnsi="Verdana" w:eastAsia="Calibri" w:cs="Arial"/>
        </w:rPr>
      </w:pPr>
      <w:r w:rsidRPr="685E1E74">
        <w:rPr>
          <w:rFonts w:ascii="Verdana" w:hAnsi="Verdana" w:eastAsia="Calibri" w:cs="Arial"/>
        </w:rPr>
        <w:t xml:space="preserve">Bajo esa orbita, se precisa que la citada inhabilidad se predica de las personas que ostentan vínculos en los términos expuestos y que presenten formalmente ofertas en un proceso de contratación después que lo ha hecho su esposo, esposa, compañero(a) permanente o algún pariente hasta el segundo grado de consanguinidad o afinidad. Es por eso que en el artículo 2.2.1.1.2.2.5 del Decreto 1082 de 2015, se dispuso que la Entidad Estatal contratante dejará constancia de la fecha y hora en que recibió las correspondientes ofertas, para establecer cuál fue la primera </w:t>
      </w:r>
      <w:r w:rsidRPr="685E1E74">
        <w:rPr>
          <w:rFonts w:ascii="Verdana" w:hAnsi="Verdana" w:eastAsia="Calibri" w:cs="Arial"/>
        </w:rPr>
        <w:t>en el tiempo y/o cual(es) se encuentra(n) inhabilitada(s) acorde al literal g) y h) del numeral 1 del artículo 8 de la Ley 80 de 1993.</w:t>
      </w:r>
    </w:p>
    <w:p w:rsidRPr="006E2BB3" w:rsidR="00D33E94" w:rsidP="00D33E94" w:rsidRDefault="00D33E94" w14:paraId="19952092" w14:textId="77777777">
      <w:pPr>
        <w:pStyle w:val="Prrafodelista"/>
        <w:numPr>
          <w:ilvl w:val="0"/>
          <w:numId w:val="18"/>
        </w:numPr>
        <w:spacing w:before="120" w:after="120" w:line="276" w:lineRule="auto"/>
        <w:jc w:val="both"/>
        <w:rPr>
          <w:rFonts w:ascii="Verdana" w:hAnsi="Verdana" w:eastAsia="Calibri" w:cs="Arial"/>
        </w:rPr>
      </w:pPr>
      <w:r w:rsidRPr="685E1E74">
        <w:rPr>
          <w:rFonts w:ascii="Verdana" w:hAnsi="Verdana" w:eastAsia="Calibri" w:cs="Arial"/>
        </w:rPr>
        <w:t xml:space="preserve">En conclusión, </w:t>
      </w:r>
      <w:bookmarkStart w:name="_Hlk143237097" w:id="4"/>
      <w:r w:rsidRPr="685E1E74">
        <w:rPr>
          <w:rFonts w:ascii="Verdana" w:hAnsi="Verdana" w:eastAsia="Calibri" w:cs="Arial"/>
        </w:rPr>
        <w:t>debido a que el régimen de inhabilidades se interpreta de manera restrictiva, las causales de inhabilidad dispuestas en el literal g) y h) del numeral 1 del artículo 8 de la Ley 80 de 1993 se refiere solamente de personas naturales, sin que exista posibilidad de extender su aplicación a personas jurídicas, entendidas estas últimas como sujetos capaces de ejercer derechos y contraer obligaciones</w:t>
      </w:r>
      <w:r w:rsidRPr="685E1E74">
        <w:rPr>
          <w:rFonts w:ascii="Verdana" w:hAnsi="Verdana"/>
          <w:vertAlign w:val="superscript"/>
        </w:rPr>
        <w:footnoteReference w:id="20"/>
      </w:r>
      <w:r w:rsidRPr="685E1E74">
        <w:rPr>
          <w:rFonts w:ascii="Verdana" w:hAnsi="Verdana" w:eastAsia="Calibri" w:cs="Arial"/>
        </w:rPr>
        <w:t>, cuya capacidad está determinada por su objeto social</w:t>
      </w:r>
      <w:r w:rsidRPr="685E1E74">
        <w:rPr>
          <w:rFonts w:ascii="Verdana" w:hAnsi="Verdana"/>
          <w:vertAlign w:val="superscript"/>
        </w:rPr>
        <w:footnoteReference w:id="21"/>
      </w:r>
      <w:r w:rsidRPr="685E1E74">
        <w:rPr>
          <w:rFonts w:ascii="Verdana" w:hAnsi="Verdana" w:eastAsia="Calibri" w:cs="Arial"/>
        </w:rPr>
        <w:t>.</w:t>
      </w:r>
    </w:p>
    <w:p w:rsidRPr="006E2BB3" w:rsidR="00D33E94" w:rsidP="00D33E94" w:rsidRDefault="00D33E94" w14:paraId="090F4D8B" w14:textId="77777777">
      <w:pPr>
        <w:pStyle w:val="Prrafodelista"/>
        <w:numPr>
          <w:ilvl w:val="0"/>
          <w:numId w:val="18"/>
        </w:numPr>
        <w:spacing w:before="120" w:after="0" w:line="276" w:lineRule="auto"/>
        <w:jc w:val="both"/>
        <w:rPr>
          <w:rFonts w:ascii="Verdana" w:hAnsi="Verdana" w:eastAsia="Calibri" w:cs="Arial"/>
          <w:lang w:val="es-ES_tradnl"/>
        </w:rPr>
      </w:pPr>
      <w:r w:rsidRPr="006E2BB3">
        <w:rPr>
          <w:rFonts w:ascii="Verdana" w:hAnsi="Verdana" w:eastAsia="Calibri" w:cs="Arial"/>
          <w:lang w:val="es-ES_tradnl"/>
        </w:rPr>
        <w:t>De igual manera, esas causales de inhabilidad también se refieren a las personas naturales que integran sociedades distintas a las anónimas, proponentes plurales, consorcios o uniones temporales, así como la persona designada como representante de estos, ya que estas formas de asociación no constituyen una persona jurídica diferente o independiente los miembros que los integran, lo cual implica, que la sociedad distinta a las anónimas, el consorcio o unión temporal serán inhabilitados en un proceso de contratación, cuando uno de sus integrantes o representante designado se encuentra en alguna de las relaciones de parentesco determinadas en las mencionadas disposiciones.</w:t>
      </w:r>
      <w:bookmarkEnd w:id="4"/>
      <w:r w:rsidRPr="006E2BB3">
        <w:rPr>
          <w:rFonts w:ascii="Verdana" w:hAnsi="Verdana" w:eastAsia="Calibri" w:cs="Arial"/>
          <w:lang w:val="es-ES_tradnl"/>
        </w:rPr>
        <w:tab/>
      </w:r>
      <w:r w:rsidRPr="006E2BB3">
        <w:rPr>
          <w:rFonts w:ascii="Verdana" w:hAnsi="Verdana" w:eastAsia="Calibri" w:cs="Arial"/>
          <w:lang w:val="es-ES_tradnl"/>
        </w:rPr>
        <w:t xml:space="preserve"> </w:t>
      </w:r>
    </w:p>
    <w:p w:rsidRPr="006E2BB3" w:rsidR="00D33E94" w:rsidP="00D33E94" w:rsidRDefault="00D33E94" w14:paraId="2B1E926F" w14:textId="77777777">
      <w:pPr>
        <w:pStyle w:val="Prrafodelista"/>
        <w:numPr>
          <w:ilvl w:val="0"/>
          <w:numId w:val="18"/>
        </w:numPr>
        <w:spacing w:before="120" w:after="0" w:line="276" w:lineRule="auto"/>
        <w:jc w:val="both"/>
        <w:rPr>
          <w:rFonts w:ascii="Verdana" w:hAnsi="Verdana" w:eastAsia="Calibri" w:cs="Arial"/>
        </w:rPr>
      </w:pPr>
      <w:r w:rsidRPr="685E1E74">
        <w:rPr>
          <w:rFonts w:ascii="Verdana" w:hAnsi="Verdana" w:eastAsia="Calibri" w:cs="Arial"/>
        </w:rPr>
        <w:t>En ese sentido, para acreditar que los proponentes no se encuentran incursos en inhabilidades, es válido que las Entidades Estatales, al adelantar procesos de selección, exijan a los proponentes, declaraciones en las que, bajo la gravedad de juramento, manifiesten no estar incursos en causales de inhabilidad o incompatibilidad. Ello ciertamente corresponde una forma viable para demostrar el hecho al que se refiere, al ser el juramento un medio de prueba válido a la luz de las normas procesales</w:t>
      </w:r>
      <w:r w:rsidRPr="685E1E74">
        <w:rPr>
          <w:rFonts w:ascii="Verdana" w:hAnsi="Verdana"/>
          <w:vertAlign w:val="superscript"/>
        </w:rPr>
        <w:footnoteReference w:id="22"/>
      </w:r>
      <w:r w:rsidRPr="685E1E74">
        <w:rPr>
          <w:rFonts w:ascii="Verdana" w:hAnsi="Verdana" w:eastAsia="Calibri" w:cs="Arial"/>
        </w:rPr>
        <w:t xml:space="preserve">. La negación en la que consiste tal declaración, siempre que sea formulada de forma fidedigna o general, respecto del régimen de inhabilidades e incompatibilidades, o aludiendo específicamente a a los literales g) y h) del numeral 1 del artículo 8 de la Ley 80 de 1993, cobijan el supuesto de hecho al que se refiere dicha norma. En ese sentido, el </w:t>
      </w:r>
      <w:r w:rsidRPr="685E1E74">
        <w:rPr>
          <w:rFonts w:ascii="Verdana" w:hAnsi="Verdana" w:eastAsia="Calibri" w:cs="Arial"/>
        </w:rPr>
        <w:t>proponente mediante tal declaración acredita no estar incurso en las inhabilidades bajo estudio.</w:t>
      </w:r>
    </w:p>
    <w:p w:rsidRPr="006E2BB3" w:rsidR="00D33E94" w:rsidP="00D33E94" w:rsidRDefault="00D33E94" w14:paraId="4EE463FF" w14:textId="77777777">
      <w:pPr>
        <w:pStyle w:val="Prrafodelista"/>
        <w:numPr>
          <w:ilvl w:val="0"/>
          <w:numId w:val="18"/>
        </w:numPr>
        <w:spacing w:before="120" w:after="0" w:line="276" w:lineRule="auto"/>
        <w:jc w:val="both"/>
        <w:rPr>
          <w:rFonts w:ascii="Verdana" w:hAnsi="Verdana" w:eastAsia="Calibri" w:cs="Arial"/>
          <w:lang w:val="es-ES_tradnl"/>
        </w:rPr>
      </w:pPr>
      <w:r w:rsidRPr="006E2BB3">
        <w:rPr>
          <w:rFonts w:ascii="Verdana" w:hAnsi="Verdana" w:eastAsia="Calibri" w:cs="Arial"/>
          <w:lang w:val="es-ES_tradnl"/>
        </w:rPr>
        <w:t>No obstante, tal declaración no exime a la Entidad Estatal del deber de ejercer la potestad verificadora que le compete, respecto de la acreditación de la capacidad jurídica, en lo atinente a las inhabilidades de los literales g) y h) del numeral 1 del artículo 8</w:t>
      </w:r>
      <w:r w:rsidRPr="006E2BB3">
        <w:rPr>
          <w:rFonts w:ascii="Verdana" w:hAnsi="Verdana" w:cs="Arial"/>
          <w:i/>
          <w:iCs/>
        </w:rPr>
        <w:t xml:space="preserve"> ibidem, </w:t>
      </w:r>
      <w:r w:rsidRPr="006E2BB3">
        <w:rPr>
          <w:rFonts w:ascii="Verdana" w:hAnsi="Verdana" w:cs="Arial"/>
        </w:rPr>
        <w:t xml:space="preserve">cuando en el marco de la evaluación de las propuestas, se tienen dudas en relación con la configuración de dicha </w:t>
      </w:r>
      <w:r w:rsidRPr="006E2BB3">
        <w:rPr>
          <w:rFonts w:ascii="Verdana" w:hAnsi="Verdana" w:eastAsia="Calibri" w:cs="Arial"/>
          <w:lang w:val="es-ES_tradnl"/>
        </w:rPr>
        <w:t>inhabilidad. En ese sentido, en primer lugar, si en el marco de la evaluación de ofertas, antes de la publicación del respectivo informe, la Entidad Estatal tiene conocimiento de circunstancias que le indiquen la eventual configuración de la respectiva inhabilidad, tiene posibilidad de solicitar a los proponentes el esclarecimiento de dicha circunstancia, exigiendo las explicaciones y aclaraciones que sean procedentes.</w:t>
      </w:r>
    </w:p>
    <w:p w:rsidRPr="006E2BB3" w:rsidR="00D33E94" w:rsidP="00D33E94" w:rsidRDefault="00D33E94" w14:paraId="2ADD05E7" w14:textId="77777777">
      <w:pPr>
        <w:pStyle w:val="Prrafodelista"/>
        <w:numPr>
          <w:ilvl w:val="0"/>
          <w:numId w:val="18"/>
        </w:numPr>
        <w:spacing w:before="120" w:after="0" w:line="276" w:lineRule="auto"/>
        <w:jc w:val="both"/>
        <w:rPr>
          <w:rFonts w:ascii="Verdana" w:hAnsi="Verdana" w:eastAsia="Calibri" w:cs="Arial"/>
        </w:rPr>
      </w:pPr>
      <w:r w:rsidRPr="685E1E74">
        <w:rPr>
          <w:rFonts w:ascii="Verdana" w:hAnsi="Verdana" w:eastAsia="Calibri" w:cs="Arial"/>
        </w:rPr>
        <w:t>En ese contexto, como se indicó anteriormente, al ser capacidad jurídica un requisito habilitante, ante la ausencia de claridad en su acreditación, procede la regla de subsanabilidad prevista en el parágrafo 1 del artículo 5 de la Ley 1150 de 2007. Conforme a esta, hasta el término de traslado del informe de evaluación, la Entidad Estatal tiene la posibilidad de solicitar a los proponentes los proponentes los medios de prueba necesarios para verificar la configuración o no de las circunstancias y condiciones sancionadas con la inhabilidad, que confirmen o desvirtúen la negación indefinida hecha bajo la gravedad de juramento relativa a no estar incurso en inhabilidades e incompatibilidades.</w:t>
      </w:r>
    </w:p>
    <w:p w:rsidRPr="006E2BB3" w:rsidR="00D33E94" w:rsidP="00D33E94" w:rsidRDefault="00D33E94" w14:paraId="7C3847B4" w14:textId="77777777">
      <w:pPr>
        <w:pStyle w:val="Prrafodelista"/>
        <w:numPr>
          <w:ilvl w:val="0"/>
          <w:numId w:val="18"/>
        </w:numPr>
        <w:spacing w:before="120" w:after="0" w:line="276" w:lineRule="auto"/>
        <w:jc w:val="both"/>
        <w:rPr>
          <w:rFonts w:ascii="Verdana" w:hAnsi="Verdana" w:cs="Arial"/>
        </w:rPr>
      </w:pPr>
      <w:r w:rsidRPr="006E2BB3">
        <w:rPr>
          <w:rFonts w:ascii="Verdana" w:hAnsi="Verdana" w:eastAsia="Calibri" w:cs="Arial"/>
          <w:lang w:val="es-ES_tradnl"/>
        </w:rPr>
        <w:t xml:space="preserve">Sin perjuicio de lo anterior, también es posible que la configuración de la inhabilidad se evidencie en un estado más avanzado del proceso de selección, lo cual tampoco obsta para que la Entidad Estatal ejerza su potestad verificadora y descalifique la oferta del proponente afectado por la inhabilidad. Ello puede suceder si, por ejemplo, en el marco de las observaciones al informe de evaluación algún proponente pone de presente la configuración de la inhabilidad, suministrando información o documentación que así lo indique. En este caso, la entidad también debe verificar la configuración de la inhabilidad. </w:t>
      </w:r>
    </w:p>
    <w:p w:rsidRPr="006E2BB3" w:rsidR="00D33E94" w:rsidP="00D33E94" w:rsidRDefault="00D33E94" w14:paraId="1623CDF6" w14:textId="77777777">
      <w:pPr>
        <w:spacing w:after="0" w:line="276" w:lineRule="auto"/>
        <w:ind w:firstLine="708"/>
        <w:jc w:val="both"/>
        <w:rPr>
          <w:rFonts w:ascii="Verdana" w:hAnsi="Verdana" w:cs="Arial"/>
          <w:color w:val="000000" w:themeColor="text1"/>
          <w:lang w:val="es-ES"/>
        </w:rPr>
      </w:pPr>
    </w:p>
    <w:p w:rsidRPr="006E2BB3" w:rsidR="00D33E94" w:rsidP="00D33E94" w:rsidRDefault="00D33E94" w14:paraId="76A11CB9" w14:textId="77777777">
      <w:pPr>
        <w:widowControl w:val="0"/>
        <w:autoSpaceDE w:val="0"/>
        <w:autoSpaceDN w:val="0"/>
        <w:spacing w:after="0" w:line="276" w:lineRule="auto"/>
        <w:ind w:left="708" w:hanging="708"/>
        <w:jc w:val="both"/>
        <w:rPr>
          <w:rFonts w:ascii="Verdana" w:hAnsi="Verdana" w:cs="Arial"/>
        </w:rPr>
      </w:pPr>
    </w:p>
    <w:p w:rsidRPr="006E2BB3" w:rsidR="00D33E94" w:rsidP="00D33E94" w:rsidRDefault="00D33E94" w14:paraId="1DD7D48E"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6E2BB3">
        <w:rPr>
          <w:rFonts w:ascii="Verdana" w:hAnsi="Verdana" w:eastAsia="Century Gothic" w:cs="Century Gothic"/>
          <w:b/>
          <w:bCs/>
        </w:rPr>
        <w:t>Referencias normativas, jurisprudenciales y otras fuentes:</w:t>
      </w:r>
    </w:p>
    <w:p w:rsidRPr="006E2BB3" w:rsidR="00D33E94" w:rsidP="00D33E94" w:rsidRDefault="00D33E94" w14:paraId="7C01FC10" w14:textId="777777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6E2BB3" w:rsidR="00D33E94" w:rsidTr="00171C99" w14:paraId="7FE1E991" w14:textId="77777777">
        <w:trPr>
          <w:trHeight w:val="870"/>
        </w:trPr>
        <w:tc>
          <w:tcPr>
            <w:tcW w:w="8647" w:type="dxa"/>
          </w:tcPr>
          <w:p w:rsidRPr="006E2BB3" w:rsidR="00D33E94" w:rsidP="00171C99" w:rsidRDefault="00D33E94" w14:paraId="732FDFA8" w14:textId="77777777">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eastAsia="Calibri" w:cs="Arial"/>
                <w:lang w:val="es-ES_tradnl"/>
              </w:rPr>
            </w:pPr>
            <w:r w:rsidRPr="006E2BB3">
              <w:rPr>
                <w:rFonts w:ascii="Verdana" w:hAnsi="Verdana" w:eastAsia="Calibri" w:cs="Arial"/>
                <w:lang w:val="es-ES_tradnl"/>
              </w:rPr>
              <w:t>Ley 80 de 1993</w:t>
            </w:r>
          </w:p>
          <w:p w:rsidRPr="006E2BB3" w:rsidR="00D33E94" w:rsidP="00171C99" w:rsidRDefault="00D33E94" w14:paraId="0EA414F7" w14:textId="77777777">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eastAsia="Calibri" w:cs="Arial"/>
                <w:lang w:val="es-ES_tradnl"/>
              </w:rPr>
            </w:pPr>
            <w:r w:rsidRPr="006E2BB3">
              <w:rPr>
                <w:rFonts w:ascii="Verdana" w:hAnsi="Verdana" w:eastAsia="Calibri" w:cs="Arial"/>
                <w:lang w:val="es-ES_tradnl"/>
              </w:rPr>
              <w:t>Ley 1150 de 2007</w:t>
            </w:r>
          </w:p>
          <w:p w:rsidRPr="006E2BB3" w:rsidR="00D33E94" w:rsidP="00171C99" w:rsidRDefault="00D33E94" w14:paraId="47C4EE9E" w14:textId="77777777">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eastAsia="Calibri" w:cs="Arial"/>
                <w:lang w:val="es-ES_tradnl"/>
              </w:rPr>
            </w:pPr>
            <w:r w:rsidRPr="006E2BB3">
              <w:rPr>
                <w:rFonts w:ascii="Verdana" w:hAnsi="Verdana" w:eastAsia="Calibri" w:cs="Arial"/>
                <w:lang w:val="es-ES_tradnl"/>
              </w:rPr>
              <w:t>Decreto Único Reglamentario 1082 de 2015</w:t>
            </w:r>
          </w:p>
          <w:p w:rsidRPr="006E2BB3" w:rsidR="00D33E94" w:rsidP="00171C99" w:rsidRDefault="00D33E94" w14:paraId="690307A6" w14:textId="77777777">
            <w:pPr>
              <w:pStyle w:val="Prrafodelista"/>
              <w:widowControl w:val="0"/>
              <w:numPr>
                <w:ilvl w:val="0"/>
                <w:numId w:val="17"/>
              </w:numPr>
              <w:autoSpaceDE w:val="0"/>
              <w:autoSpaceDN w:val="0"/>
              <w:spacing w:after="120" w:line="276" w:lineRule="auto"/>
              <w:contextualSpacing w:val="0"/>
              <w:jc w:val="both"/>
              <w:rPr>
                <w:rFonts w:ascii="Verdana" w:hAnsi="Verdana" w:eastAsia="Calibri" w:cs="Arial"/>
                <w:lang w:val="es-ES_tradnl"/>
              </w:rPr>
            </w:pPr>
            <w:r w:rsidRPr="006E2BB3">
              <w:rPr>
                <w:rFonts w:ascii="Verdana" w:hAnsi="Verdana" w:eastAsia="Calibri" w:cs="Arial"/>
                <w:lang w:val="es-ES_tradnl"/>
              </w:rPr>
              <w:t xml:space="preserve">Jurisprudencia del Consejo de Estado. Disponible en: </w:t>
            </w:r>
            <w:hyperlink w:history="1" r:id="rId13">
              <w:r w:rsidRPr="006E2BB3">
                <w:rPr>
                  <w:rFonts w:ascii="Verdana" w:hAnsi="Verdana" w:eastAsia="Calibri" w:cs="Arial"/>
                  <w:lang w:val="es-ES_tradnl"/>
                </w:rPr>
                <w:t>https://relatoria.colombiacompra.gov.co/providencias-consejo-de-estado/</w:t>
              </w:r>
            </w:hyperlink>
            <w:r w:rsidRPr="006E2BB3">
              <w:rPr>
                <w:rFonts w:ascii="Verdana" w:hAnsi="Verdana" w:eastAsia="Calibri" w:cs="Arial"/>
                <w:lang w:val="es-ES_tradnl"/>
              </w:rPr>
              <w:t xml:space="preserve"> </w:t>
            </w:r>
          </w:p>
          <w:p w:rsidRPr="006E2BB3" w:rsidR="00D33E94" w:rsidP="00171C99" w:rsidRDefault="00D33E94" w14:paraId="34496CDB" w14:textId="77777777">
            <w:pPr>
              <w:pStyle w:val="Prrafodelista"/>
              <w:widowControl w:val="0"/>
              <w:numPr>
                <w:ilvl w:val="0"/>
                <w:numId w:val="17"/>
              </w:numPr>
              <w:autoSpaceDE w:val="0"/>
              <w:autoSpaceDN w:val="0"/>
              <w:spacing w:after="120" w:line="276" w:lineRule="auto"/>
              <w:contextualSpacing w:val="0"/>
              <w:jc w:val="both"/>
              <w:rPr>
                <w:rFonts w:ascii="Verdana" w:hAnsi="Verdana" w:eastAsia="Calibri" w:cs="Arial"/>
                <w:lang w:val="es-ES_tradnl"/>
              </w:rPr>
            </w:pPr>
            <w:r w:rsidRPr="006E2BB3">
              <w:rPr>
                <w:rFonts w:ascii="Verdana" w:hAnsi="Verdana" w:eastAsia="Calibri" w:cs="Arial"/>
                <w:lang w:val="es-ES_tradnl"/>
              </w:rPr>
              <w:t xml:space="preserve">Guías y manuales expedidos por la ANCP-CCE. Disponible en: </w:t>
            </w:r>
            <w:hyperlink w:history="1" r:id="rId14">
              <w:r w:rsidRPr="006E2BB3">
                <w:rPr>
                  <w:rFonts w:ascii="Verdana" w:hAnsi="Verdana" w:eastAsia="Calibri" w:cs="Arial"/>
                  <w:lang w:val="es-ES_tradnl"/>
                </w:rPr>
                <w:t>https://www.colombiacompra.gov.co/manuales-guias-y-pliegos-tipo/manuales-y-guias</w:t>
              </w:r>
            </w:hyperlink>
            <w:r w:rsidRPr="006E2BB3">
              <w:rPr>
                <w:rFonts w:ascii="Verdana" w:hAnsi="Verdana" w:eastAsia="Calibri" w:cs="Arial"/>
                <w:lang w:val="es-ES_tradnl"/>
              </w:rPr>
              <w:t xml:space="preserve"> </w:t>
            </w:r>
          </w:p>
        </w:tc>
      </w:tr>
    </w:tbl>
    <w:p w:rsidRPr="006E2BB3" w:rsidR="00D33E94" w:rsidP="00D33E94" w:rsidRDefault="00D33E94" w14:paraId="18CA61FB" w14:textId="77777777">
      <w:pPr>
        <w:widowControl w:val="0"/>
        <w:autoSpaceDE w:val="0"/>
        <w:autoSpaceDN w:val="0"/>
        <w:spacing w:after="0" w:line="276" w:lineRule="auto"/>
        <w:jc w:val="both"/>
        <w:rPr>
          <w:rFonts w:ascii="Verdana" w:hAnsi="Verdana" w:cs="Arial"/>
        </w:rPr>
      </w:pPr>
    </w:p>
    <w:p w:rsidRPr="006E2BB3" w:rsidR="00D33E94" w:rsidP="00D33E94" w:rsidRDefault="00D33E94" w14:paraId="271D88DE" w14:textId="77777777">
      <w:pPr>
        <w:widowControl w:val="0"/>
        <w:autoSpaceDE w:val="0"/>
        <w:autoSpaceDN w:val="0"/>
        <w:spacing w:after="0" w:line="276" w:lineRule="auto"/>
        <w:jc w:val="both"/>
        <w:rPr>
          <w:rFonts w:ascii="Verdana" w:hAnsi="Verdana" w:cs="Arial"/>
        </w:rPr>
      </w:pPr>
    </w:p>
    <w:p w:rsidRPr="006E2BB3" w:rsidR="00D33E94" w:rsidP="00D33E94" w:rsidRDefault="00D33E94" w14:paraId="33186658"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6E2BB3">
        <w:rPr>
          <w:rFonts w:ascii="Verdana" w:hAnsi="Verdana" w:eastAsia="Century Gothic" w:cs="Century Gothic"/>
          <w:b/>
          <w:bCs/>
        </w:rPr>
        <w:t>Doctrina de la Agencia Nacional de Contratación Pública:</w:t>
      </w:r>
    </w:p>
    <w:p w:rsidRPr="006E2BB3" w:rsidR="00D33E94" w:rsidP="00D33E94" w:rsidRDefault="00D33E94" w14:paraId="4A1B1290" w14:textId="77777777">
      <w:pPr>
        <w:widowControl w:val="0"/>
        <w:autoSpaceDE w:val="0"/>
        <w:autoSpaceDN w:val="0"/>
        <w:spacing w:after="0" w:line="276" w:lineRule="auto"/>
        <w:jc w:val="both"/>
        <w:rPr>
          <w:rFonts w:ascii="Verdana" w:hAnsi="Verdana" w:cs="Arial"/>
        </w:rPr>
      </w:pPr>
    </w:p>
    <w:p w:rsidRPr="006E2BB3" w:rsidR="00D33E94" w:rsidP="00D33E94" w:rsidRDefault="00D33E94" w14:paraId="0BA3FAED" w14:textId="77777777">
      <w:pPr>
        <w:widowControl w:val="0"/>
        <w:autoSpaceDE w:val="0"/>
        <w:autoSpaceDN w:val="0"/>
        <w:spacing w:after="0" w:line="276" w:lineRule="auto"/>
        <w:jc w:val="both"/>
        <w:rPr>
          <w:rFonts w:ascii="Verdana" w:hAnsi="Verdana" w:cs="Arial"/>
        </w:rPr>
      </w:pPr>
    </w:p>
    <w:p w:rsidRPr="006E2BB3" w:rsidR="00D33E94" w:rsidP="00D33E94" w:rsidRDefault="00D33E94" w14:paraId="2CDE1D0E" w14:textId="77777777">
      <w:pPr>
        <w:widowControl w:val="0"/>
        <w:autoSpaceDE w:val="0"/>
        <w:autoSpaceDN w:val="0"/>
        <w:spacing w:after="0" w:line="276" w:lineRule="auto"/>
        <w:jc w:val="both"/>
        <w:rPr>
          <w:rFonts w:ascii="Verdana" w:hAnsi="Verdana" w:eastAsia="Calibri" w:cs="Arial"/>
          <w:lang w:val="es-ES_tradnl"/>
        </w:rPr>
      </w:pPr>
      <w:r w:rsidRPr="006E2BB3">
        <w:rPr>
          <w:rFonts w:ascii="Verdana" w:hAnsi="Verdana" w:eastAsia="Calibri" w:cs="Arial"/>
          <w:lang w:val="es-ES_tradnl"/>
        </w:rPr>
        <w:t xml:space="preserve">La Agencia Nacional de Contratación Pública – Colombia Compra Eficiente, en los Conceptos número Conceptos </w:t>
      </w:r>
      <w:r w:rsidRPr="006E2BB3">
        <w:rPr>
          <w:rFonts w:ascii="Verdana" w:hAnsi="Verdana" w:eastAsia="Calibri" w:cs="Arial"/>
          <w:color w:val="000000" w:themeColor="text1"/>
          <w:lang w:val="es-MX"/>
        </w:rPr>
        <w:t xml:space="preserve">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w:t>
      </w:r>
      <w:r w:rsidRPr="006E2BB3">
        <w:rPr>
          <w:rFonts w:ascii="Verdana" w:hAnsi="Verdana" w:eastAsia="Calibri" w:cs="Arial"/>
          <w:color w:val="000000" w:themeColor="text1"/>
          <w:lang w:val="es-ES_tradnl"/>
        </w:rPr>
        <w:t xml:space="preserve">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 C-491 del 14 de septiembre de 2021, </w:t>
      </w:r>
      <w:r w:rsidRPr="006E2BB3">
        <w:rPr>
          <w:rFonts w:ascii="Verdana" w:hAnsi="Verdana" w:eastAsia="Calibri" w:cs="Arial"/>
          <w:color w:val="000000" w:themeColor="text1"/>
          <w:lang w:val="es-ES"/>
        </w:rPr>
        <w:t>C-028 del 28 de febrero de 2022, C-318 del 18 de mayo de 2022, C-252 del 30 de mayo de 2022, C-001 del 14 de febrero de 2023 y el C-175 del 4 de mayo de 2022 analizó los contornos generales del régimen de inhabilidades e incompatibilidades en la contratación estatal</w:t>
      </w:r>
      <w:r w:rsidRPr="006E2BB3">
        <w:rPr>
          <w:rFonts w:ascii="Verdana" w:hAnsi="Verdana" w:eastAsia="Calibri" w:cs="Arial"/>
          <w:lang w:val="es-ES_tradnl"/>
        </w:rPr>
        <w:t xml:space="preserve">. Estos y otros conceptos se encuentran disponibles para consulta en el Sistema de Relatoría de la Agencia, en el cual también podrás encontrar jurisprudencia del Consejo de Estado, laudos arbitrales y la normativa </w:t>
      </w:r>
      <w:r w:rsidRPr="006E2BB3">
        <w:rPr>
          <w:rFonts w:ascii="Verdana" w:hAnsi="Verdana" w:eastAsia="Calibri" w:cs="Arial"/>
          <w:lang w:val="es-ES_tradnl"/>
        </w:rPr>
        <w:t>de la contratación concordada con la doctrina de la Subdirección de Gestión Contractual. Accede a través del siguiente enlace: </w:t>
      </w:r>
      <w:hyperlink w:tgtFrame="_blank" w:tooltip="Dirección URL original: https://relatoria.colombiacompra.gov.co/. Haga clic o pulse si confía en este vínculo." w:history="1" r:id="rId15">
        <w:r w:rsidRPr="006E2BB3">
          <w:rPr>
            <w:rFonts w:ascii="Verdana" w:hAnsi="Verdana" w:eastAsia="Calibri" w:cs="Arial"/>
            <w:u w:val="single"/>
            <w:lang w:val="es-ES_tradnl"/>
          </w:rPr>
          <w:t>https://relatoria.colombiacompra.gov.co/</w:t>
        </w:r>
      </w:hyperlink>
      <w:r w:rsidRPr="006E2BB3">
        <w:rPr>
          <w:rFonts w:ascii="Verdana" w:hAnsi="Verdana" w:eastAsia="Calibri" w:cs="Arial"/>
          <w:u w:val="single"/>
          <w:lang w:val="es-ES_tradnl"/>
        </w:rPr>
        <w:t xml:space="preserve">. </w:t>
      </w:r>
    </w:p>
    <w:p w:rsidRPr="006E2BB3" w:rsidR="00D33E94" w:rsidP="00D33E94" w:rsidRDefault="00D33E94" w14:paraId="600D7C73" w14:textId="77777777">
      <w:pPr>
        <w:widowControl w:val="0"/>
        <w:autoSpaceDE w:val="0"/>
        <w:autoSpaceDN w:val="0"/>
        <w:spacing w:after="0" w:line="276" w:lineRule="auto"/>
        <w:jc w:val="both"/>
        <w:rPr>
          <w:rFonts w:ascii="Verdana" w:hAnsi="Verdana" w:eastAsia="Calibri" w:cs="Arial"/>
          <w:lang w:val="es-ES_tradnl"/>
        </w:rPr>
      </w:pPr>
    </w:p>
    <w:p w:rsidRPr="006E2BB3" w:rsidR="00D33E94" w:rsidP="00D33E94" w:rsidRDefault="00D33E94" w14:paraId="006C23DE" w14:textId="77777777">
      <w:pPr>
        <w:widowControl w:val="0"/>
        <w:autoSpaceDE w:val="0"/>
        <w:autoSpaceDN w:val="0"/>
        <w:spacing w:after="0" w:line="276" w:lineRule="auto"/>
        <w:jc w:val="both"/>
        <w:rPr>
          <w:rFonts w:ascii="Verdana" w:hAnsi="Verdana" w:eastAsia="Calibri" w:cs="Arial"/>
          <w:u w:val="single"/>
          <w:lang w:val="es-ES"/>
        </w:rPr>
      </w:pPr>
      <w:r w:rsidRPr="685E1E74">
        <w:rPr>
          <w:rFonts w:ascii="Verdana" w:hAnsi="Verdana" w:eastAsia="Calibri" w:cs="Arial"/>
          <w:lang w:val="es-ES"/>
        </w:rPr>
        <w:t>Te invitamos también a revisar la tercera edición del  Boletín de Relatoría de 2024 en el cual podrás consultar en detalle el marco normativo de documentos tipo: </w:t>
      </w:r>
      <w:hyperlink r:id="rId16">
        <w:r w:rsidRPr="685E1E74">
          <w:rPr>
            <w:rFonts w:ascii="Verdana" w:hAnsi="Verdana" w:eastAsia="Calibri" w:cs="Arial"/>
            <w:u w:val="single"/>
            <w:lang w:val="es-ES"/>
          </w:rPr>
          <w:t>https://www.colombiacompra.gov.co/sites/cce_public/files/files_2020/boletin_de_realtoria_iii.pdf</w:t>
        </w:r>
      </w:hyperlink>
      <w:r w:rsidRPr="685E1E74">
        <w:rPr>
          <w:rFonts w:ascii="Verdana" w:hAnsi="Verdana" w:eastAsia="Calibri" w:cs="Arial"/>
          <w:u w:val="single"/>
          <w:lang w:val="es-ES"/>
        </w:rPr>
        <w:t>.</w:t>
      </w:r>
    </w:p>
    <w:p w:rsidRPr="006E2BB3" w:rsidR="00D33E94" w:rsidP="00D33E94" w:rsidRDefault="00D33E94" w14:paraId="4FA8B831"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6E2BB3">
        <w:rPr>
          <w:rStyle w:val="normaltextrun"/>
          <w:rFonts w:ascii="Verdana" w:hAnsi="Verdana" w:cs="Arial"/>
          <w:color w:val="FF0000"/>
          <w:shd w:val="clear" w:color="auto" w:fill="FFFFFF"/>
          <w:lang w:val="es-ES"/>
        </w:rPr>
        <w:t xml:space="preserve">   </w:t>
      </w:r>
    </w:p>
    <w:p w:rsidRPr="006E2BB3" w:rsidR="00D33E94" w:rsidP="00D33E94" w:rsidRDefault="00D33E94" w14:paraId="16AF00A7" w14:textId="77777777">
      <w:pPr>
        <w:spacing w:after="0" w:line="240" w:lineRule="auto"/>
        <w:jc w:val="both"/>
        <w:rPr>
          <w:rFonts w:ascii="Verdana" w:hAnsi="Verdana" w:cs="Arial"/>
        </w:rPr>
      </w:pPr>
      <w:r w:rsidRPr="006E2BB3">
        <w:rPr>
          <w:rFonts w:ascii="Verdana" w:hAnsi="Verdana" w:cs="Arial"/>
        </w:rPr>
        <w:t xml:space="preserve">Por último, lo invitamos a seguirnos en las redes sociales en las cuales se difunde información institucional: </w:t>
      </w:r>
    </w:p>
    <w:p w:rsidRPr="006E2BB3" w:rsidR="00D33E94" w:rsidP="00D33E94" w:rsidRDefault="00D33E94" w14:paraId="52B8C53B" w14:textId="77777777">
      <w:pPr>
        <w:spacing w:after="0" w:line="240" w:lineRule="auto"/>
        <w:jc w:val="both"/>
        <w:rPr>
          <w:rFonts w:ascii="Verdana" w:hAnsi="Verdana" w:cs="Arial"/>
        </w:rPr>
      </w:pPr>
    </w:p>
    <w:p w:rsidRPr="006E2BB3" w:rsidR="00D33E94" w:rsidP="00D33E94" w:rsidRDefault="00D33E94" w14:paraId="15735BFA" w14:textId="77777777">
      <w:pPr>
        <w:spacing w:after="0" w:line="240" w:lineRule="auto"/>
        <w:jc w:val="both"/>
        <w:rPr>
          <w:rFonts w:ascii="Verdana" w:hAnsi="Verdana" w:cs="Arial"/>
        </w:rPr>
      </w:pPr>
      <w:r w:rsidRPr="006E2BB3">
        <w:rPr>
          <w:rFonts w:ascii="Verdana" w:hAnsi="Verdana" w:cs="Arial"/>
        </w:rPr>
        <w:t xml:space="preserve">Twitter: </w:t>
      </w:r>
      <w:r w:rsidRPr="006E2BB3">
        <w:rPr>
          <w:rStyle w:val="Hipervnculo"/>
          <w:rFonts w:ascii="Verdana" w:hAnsi="Verdana" w:cs="Arial"/>
          <w:color w:val="4472C4" w:themeColor="accent1"/>
        </w:rPr>
        <w:t>@colombiacompra</w:t>
      </w:r>
      <w:r w:rsidRPr="006E2BB3">
        <w:rPr>
          <w:rFonts w:ascii="Verdana" w:hAnsi="Verdana" w:cs="Arial"/>
          <w:color w:val="4472C4" w:themeColor="accent1"/>
        </w:rPr>
        <w:t xml:space="preserve"> </w:t>
      </w:r>
    </w:p>
    <w:p w:rsidRPr="006E2BB3" w:rsidR="00D33E94" w:rsidP="00D33E94" w:rsidRDefault="00D33E94" w14:paraId="059C3CBF" w14:textId="77777777">
      <w:pPr>
        <w:spacing w:after="0" w:line="240" w:lineRule="auto"/>
        <w:jc w:val="both"/>
        <w:rPr>
          <w:rFonts w:ascii="Verdana" w:hAnsi="Verdana" w:cs="Arial"/>
        </w:rPr>
      </w:pPr>
      <w:r w:rsidRPr="006E2BB3">
        <w:rPr>
          <w:rFonts w:ascii="Verdana" w:hAnsi="Verdana" w:cs="Arial"/>
        </w:rPr>
        <w:t xml:space="preserve">Facebook: </w:t>
      </w:r>
      <w:r w:rsidRPr="006E2BB3">
        <w:rPr>
          <w:rStyle w:val="Hipervnculo"/>
          <w:rFonts w:ascii="Verdana" w:hAnsi="Verdana" w:cs="Arial"/>
          <w:color w:val="4472C4" w:themeColor="accent1"/>
        </w:rPr>
        <w:t>ColombiaCompraEficiente</w:t>
      </w:r>
    </w:p>
    <w:p w:rsidRPr="006E2BB3" w:rsidR="00D33E94" w:rsidP="00D33E94" w:rsidRDefault="00D33E94" w14:paraId="55D32455" w14:textId="77777777">
      <w:pPr>
        <w:spacing w:after="0" w:line="240" w:lineRule="auto"/>
        <w:jc w:val="both"/>
        <w:rPr>
          <w:rFonts w:ascii="Verdana" w:hAnsi="Verdana" w:cs="Arial"/>
        </w:rPr>
      </w:pPr>
      <w:r w:rsidRPr="006E2BB3">
        <w:rPr>
          <w:rFonts w:ascii="Verdana" w:hAnsi="Verdana" w:cs="Arial"/>
        </w:rPr>
        <w:t xml:space="preserve">LinkedIn: </w:t>
      </w:r>
      <w:r w:rsidRPr="006E2BB3">
        <w:rPr>
          <w:rStyle w:val="Hipervnculo"/>
          <w:rFonts w:ascii="Verdana" w:hAnsi="Verdana" w:cs="Arial"/>
          <w:color w:val="4472C4" w:themeColor="accent1"/>
        </w:rPr>
        <w:t>Agencia Nacional de Contratación Pública - Colombia Compra Eficiente</w:t>
      </w:r>
      <w:r w:rsidRPr="006E2BB3">
        <w:rPr>
          <w:rFonts w:ascii="Verdana" w:hAnsi="Verdana" w:cs="Arial"/>
          <w:color w:val="4472C4" w:themeColor="accent1"/>
        </w:rPr>
        <w:t xml:space="preserve"> </w:t>
      </w:r>
      <w:r w:rsidRPr="006E2BB3">
        <w:rPr>
          <w:rFonts w:ascii="Verdana" w:hAnsi="Verdana" w:cs="Arial"/>
        </w:rPr>
        <w:t xml:space="preserve">Instagram: </w:t>
      </w:r>
      <w:r w:rsidRPr="006E2BB3">
        <w:rPr>
          <w:rStyle w:val="Hipervnculo"/>
          <w:rFonts w:ascii="Verdana" w:hAnsi="Verdana" w:cs="Arial"/>
          <w:color w:val="4472C4" w:themeColor="accent1"/>
        </w:rPr>
        <w:t>@colombiacompraeficiente_cce</w:t>
      </w:r>
    </w:p>
    <w:p w:rsidRPr="006E2BB3" w:rsidR="00D33E94" w:rsidP="00D33E94" w:rsidRDefault="00D33E94" w14:paraId="2025AC85" w14:textId="77777777">
      <w:pPr>
        <w:widowControl w:val="0"/>
        <w:autoSpaceDE w:val="0"/>
        <w:autoSpaceDN w:val="0"/>
        <w:spacing w:after="0" w:line="276" w:lineRule="auto"/>
        <w:jc w:val="both"/>
        <w:rPr>
          <w:rFonts w:ascii="Verdana" w:hAnsi="Verdana" w:cs="Arial"/>
        </w:rPr>
      </w:pPr>
    </w:p>
    <w:p w:rsidRPr="006E2BB3" w:rsidR="00D33E94" w:rsidP="00D33E94" w:rsidRDefault="00D33E94" w14:paraId="60582369" w14:textId="77777777">
      <w:pPr>
        <w:widowControl w:val="0"/>
        <w:autoSpaceDE w:val="0"/>
        <w:autoSpaceDN w:val="0"/>
        <w:spacing w:after="0" w:line="276" w:lineRule="auto"/>
        <w:jc w:val="both"/>
        <w:rPr>
          <w:rFonts w:ascii="Verdana" w:hAnsi="Verdana" w:eastAsia="Calibri" w:cs="Arial"/>
          <w:lang w:val="es-ES_tradnl"/>
        </w:rPr>
      </w:pPr>
      <w:r w:rsidRPr="006E2BB3">
        <w:rPr>
          <w:rFonts w:ascii="Verdana" w:hAnsi="Verdana" w:eastAsia="Calibri"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6E2BB3" w:rsidR="00D33E94" w:rsidP="00D33E94" w:rsidRDefault="00D33E94" w14:paraId="30535CB8" w14:textId="77777777">
      <w:pPr>
        <w:widowControl w:val="0"/>
        <w:autoSpaceDE w:val="0"/>
        <w:autoSpaceDN w:val="0"/>
        <w:spacing w:after="0" w:line="276" w:lineRule="auto"/>
        <w:jc w:val="both"/>
        <w:rPr>
          <w:rFonts w:ascii="Verdana" w:hAnsi="Verdana" w:cs="Arial"/>
        </w:rPr>
      </w:pPr>
    </w:p>
    <w:p w:rsidRPr="006E2BB3" w:rsidR="00D33E94" w:rsidP="00D33E94" w:rsidRDefault="00D33E94" w14:paraId="0918D610" w14:textId="77777777">
      <w:pPr>
        <w:spacing w:after="0" w:line="240" w:lineRule="auto"/>
        <w:rPr>
          <w:rFonts w:ascii="Verdana" w:hAnsi="Verdana" w:cs="Arial"/>
        </w:rPr>
      </w:pPr>
      <w:r w:rsidRPr="006E2BB3">
        <w:rPr>
          <w:rFonts w:ascii="Verdana" w:hAnsi="Verdana" w:cs="Arial"/>
        </w:rPr>
        <w:t xml:space="preserve">Atentamente, </w:t>
      </w:r>
    </w:p>
    <w:p w:rsidRPr="00F20F9F" w:rsidR="00D33E94" w:rsidP="00D33E94" w:rsidRDefault="00475E7C" w14:paraId="18D8E7C6" w14:textId="515353ED">
      <w:pPr>
        <w:spacing w:line="276" w:lineRule="auto"/>
        <w:jc w:val="center"/>
        <w:rPr>
          <w:rFonts w:ascii="Verdana" w:hAnsi="Verdana" w:cs="Arial"/>
          <w:color w:val="000000"/>
          <w:sz w:val="14"/>
          <w:szCs w:val="14"/>
          <w:lang w:val="es-ES_tradnl" w:eastAsia="es-CO"/>
        </w:rPr>
      </w:pPr>
      <w:r w:rsidRPr="002C3AD6">
        <w:rPr>
          <w:rFonts w:ascii="Century Gothic" w:hAnsi="Century Gothic"/>
          <w:noProof/>
        </w:rPr>
        <w:drawing>
          <wp:inline distT="0" distB="0" distL="0" distR="0" wp14:anchorId="04C79234" wp14:editId="7740916E">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F20F9F" w:rsidR="00D33E94" w:rsidTr="00171C99" w14:paraId="5873ED4A" w14:textId="77777777">
        <w:trPr>
          <w:trHeight w:val="315"/>
        </w:trPr>
        <w:tc>
          <w:tcPr>
            <w:tcW w:w="893" w:type="dxa"/>
            <w:vAlign w:val="center"/>
            <w:hideMark/>
          </w:tcPr>
          <w:p w:rsidRPr="00F20F9F" w:rsidR="00D33E94" w:rsidP="00171C99" w:rsidRDefault="00D33E94" w14:paraId="5440671A" w14:textId="77777777">
            <w:pPr>
              <w:contextualSpacing/>
              <w:rPr>
                <w:rFonts w:ascii="Verdana" w:hAnsi="Verdana" w:eastAsia="Calibri" w:cs="Arial"/>
                <w:sz w:val="14"/>
                <w:szCs w:val="14"/>
                <w:lang w:val="es-ES_tradnl"/>
              </w:rPr>
            </w:pPr>
            <w:r w:rsidRPr="00F20F9F">
              <w:rPr>
                <w:rFonts w:ascii="Verdana" w:hAnsi="Verdana" w:eastAsia="Calibri" w:cs="Arial"/>
                <w:sz w:val="14"/>
                <w:szCs w:val="14"/>
                <w:lang w:val="es-ES_tradnl"/>
              </w:rPr>
              <w:t>Elaboró:</w:t>
            </w:r>
          </w:p>
        </w:tc>
        <w:tc>
          <w:tcPr>
            <w:tcW w:w="5628" w:type="dxa"/>
            <w:tcBorders>
              <w:top w:val="nil"/>
              <w:left w:val="nil"/>
              <w:bottom w:val="dotted" w:color="7F7F7F" w:themeColor="text1" w:themeTint="80" w:sz="4" w:space="0"/>
              <w:right w:val="nil"/>
            </w:tcBorders>
            <w:vAlign w:val="center"/>
            <w:hideMark/>
          </w:tcPr>
          <w:p w:rsidRPr="00F20F9F" w:rsidR="00D33E94" w:rsidP="00171C99" w:rsidRDefault="00D33E94" w14:paraId="45C037EC" w14:textId="77777777">
            <w:pPr>
              <w:contextualSpacing/>
              <w:rPr>
                <w:rFonts w:ascii="Verdana" w:hAnsi="Verdana" w:eastAsia="Calibri" w:cs="Arial"/>
                <w:sz w:val="14"/>
                <w:szCs w:val="14"/>
                <w:lang w:val="es-ES_tradnl"/>
              </w:rPr>
            </w:pPr>
            <w:r w:rsidRPr="00F20F9F">
              <w:rPr>
                <w:rFonts w:ascii="Verdana" w:hAnsi="Verdana" w:eastAsia="Calibri" w:cs="Arial"/>
                <w:sz w:val="14"/>
                <w:szCs w:val="14"/>
                <w:lang w:val="es-ES_tradnl"/>
              </w:rPr>
              <w:t xml:space="preserve">Diana Carolina Blanco Rodriguez </w:t>
            </w:r>
          </w:p>
          <w:p w:rsidRPr="00F20F9F" w:rsidR="00D33E94" w:rsidP="00171C99" w:rsidRDefault="00D33E94" w14:paraId="7A2E2CA7" w14:textId="77777777">
            <w:pPr>
              <w:contextualSpacing/>
              <w:rPr>
                <w:rFonts w:ascii="Verdana" w:hAnsi="Verdana" w:eastAsia="Calibri" w:cs="Arial"/>
                <w:sz w:val="14"/>
                <w:szCs w:val="14"/>
                <w:lang w:val="es-ES_tradnl"/>
              </w:rPr>
            </w:pPr>
            <w:r w:rsidRPr="00F20F9F">
              <w:rPr>
                <w:rFonts w:ascii="Verdana" w:hAnsi="Verdana" w:eastAsia="Calibri" w:cs="Arial"/>
                <w:sz w:val="14"/>
                <w:szCs w:val="14"/>
                <w:lang w:val="es-ES_tradnl"/>
              </w:rPr>
              <w:t>Contratista de la Subdirección de Gestión Contractual</w:t>
            </w:r>
          </w:p>
        </w:tc>
      </w:tr>
      <w:tr w:rsidRPr="00F20F9F" w:rsidR="00D33E94" w:rsidTr="00171C99" w14:paraId="45F2256E" w14:textId="77777777">
        <w:trPr>
          <w:trHeight w:val="330"/>
        </w:trPr>
        <w:tc>
          <w:tcPr>
            <w:tcW w:w="893" w:type="dxa"/>
            <w:vAlign w:val="center"/>
            <w:hideMark/>
          </w:tcPr>
          <w:p w:rsidRPr="00F20F9F" w:rsidR="00D33E94" w:rsidP="00171C99" w:rsidRDefault="00D33E94" w14:paraId="72631C00" w14:textId="77777777">
            <w:pPr>
              <w:contextualSpacing/>
              <w:rPr>
                <w:rFonts w:ascii="Verdana" w:hAnsi="Verdana" w:eastAsia="Calibri" w:cs="Arial"/>
                <w:sz w:val="14"/>
                <w:szCs w:val="14"/>
                <w:lang w:val="es-ES_tradnl"/>
              </w:rPr>
            </w:pPr>
            <w:r w:rsidRPr="00F20F9F">
              <w:rPr>
                <w:rFonts w:ascii="Verdana" w:hAnsi="Verdana" w:eastAsia="Calibri" w:cs="Arial"/>
                <w:sz w:val="14"/>
                <w:szCs w:val="14"/>
                <w:lang w:val="es-ES_tradnl"/>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F20F9F" w:rsidR="00D33E94" w:rsidP="00171C99" w:rsidRDefault="00D33E94" w14:paraId="5F363052" w14:textId="77777777">
            <w:pPr>
              <w:pStyle w:val="paragraph"/>
              <w:spacing w:before="0" w:beforeAutospacing="0" w:after="0" w:afterAutospacing="0"/>
              <w:contextualSpacing/>
              <w:textAlignment w:val="baseline"/>
              <w:rPr>
                <w:rFonts w:ascii="Verdana" w:hAnsi="Verdana" w:eastAsia="Calibri" w:cs="Arial"/>
                <w:sz w:val="14"/>
                <w:szCs w:val="14"/>
                <w:lang w:val="es-ES_tradnl" w:eastAsia="en-US"/>
              </w:rPr>
            </w:pPr>
            <w:r w:rsidRPr="00F20F9F">
              <w:rPr>
                <w:rFonts w:ascii="Verdana" w:hAnsi="Verdana" w:eastAsia="Calibri" w:cs="Arial"/>
                <w:sz w:val="14"/>
                <w:szCs w:val="14"/>
                <w:lang w:val="es-ES_tradnl" w:eastAsia="en-US"/>
              </w:rPr>
              <w:t>Adriana López</w:t>
            </w:r>
          </w:p>
          <w:p w:rsidRPr="00F20F9F" w:rsidR="00D33E94" w:rsidP="00171C99" w:rsidRDefault="00D33E94" w14:paraId="3CE8B19A" w14:textId="77777777">
            <w:pPr>
              <w:pStyle w:val="paragraph"/>
              <w:spacing w:before="0" w:beforeAutospacing="0" w:after="0" w:afterAutospacing="0"/>
              <w:contextualSpacing/>
              <w:textAlignment w:val="baseline"/>
              <w:rPr>
                <w:rFonts w:ascii="Verdana" w:hAnsi="Verdana" w:eastAsia="Calibri" w:cs="Arial"/>
                <w:sz w:val="14"/>
                <w:szCs w:val="14"/>
                <w:lang w:val="es-ES_tradnl" w:eastAsia="en-US"/>
              </w:rPr>
            </w:pPr>
            <w:r w:rsidRPr="00F20F9F">
              <w:rPr>
                <w:rFonts w:ascii="Verdana" w:hAnsi="Verdana" w:eastAsia="Calibri" w:cs="Arial"/>
                <w:sz w:val="14"/>
                <w:szCs w:val="14"/>
                <w:lang w:val="es-ES_tradnl" w:eastAsia="en-US"/>
              </w:rPr>
              <w:t>Contratista de la Subdirección de Gestión Contractual </w:t>
            </w:r>
          </w:p>
        </w:tc>
      </w:tr>
      <w:tr w:rsidRPr="00F20F9F" w:rsidR="00D33E94" w:rsidTr="00171C99" w14:paraId="654D67A1" w14:textId="77777777">
        <w:trPr>
          <w:trHeight w:val="300"/>
        </w:trPr>
        <w:tc>
          <w:tcPr>
            <w:tcW w:w="893" w:type="dxa"/>
            <w:vAlign w:val="center"/>
          </w:tcPr>
          <w:p w:rsidRPr="00F20F9F" w:rsidR="00D33E94" w:rsidP="00171C99" w:rsidRDefault="00D33E94" w14:paraId="7592C78C" w14:textId="77777777">
            <w:pPr>
              <w:contextualSpacing/>
              <w:rPr>
                <w:rFonts w:ascii="Verdana" w:hAnsi="Verdana" w:eastAsia="Calibri" w:cs="Arial"/>
                <w:sz w:val="14"/>
                <w:szCs w:val="14"/>
                <w:lang w:val="es-ES_tradnl"/>
              </w:rPr>
            </w:pPr>
            <w:r w:rsidRPr="00F20F9F">
              <w:rPr>
                <w:rFonts w:ascii="Verdana" w:hAnsi="Verdana" w:eastAsia="Calibri" w:cs="Arial"/>
                <w:sz w:val="14"/>
                <w:szCs w:val="14"/>
                <w:lang w:val="es-ES_tradnl"/>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F20F9F" w:rsidR="00D33E94" w:rsidP="00171C99" w:rsidRDefault="00D33E94" w14:paraId="1AFE36DB" w14:textId="77777777">
            <w:pPr>
              <w:contextualSpacing/>
              <w:rPr>
                <w:rFonts w:ascii="Verdana" w:hAnsi="Verdana" w:eastAsia="Calibri" w:cs="Arial"/>
                <w:sz w:val="14"/>
                <w:szCs w:val="14"/>
                <w:lang w:val="es-ES"/>
              </w:rPr>
            </w:pPr>
            <w:r w:rsidRPr="685E1E74">
              <w:rPr>
                <w:rFonts w:ascii="Verdana" w:hAnsi="Verdana" w:eastAsia="Calibri" w:cs="Arial"/>
                <w:sz w:val="14"/>
                <w:szCs w:val="14"/>
                <w:lang w:val="es-ES"/>
              </w:rPr>
              <w:t>Carolina Quintero Gacharná</w:t>
            </w:r>
          </w:p>
          <w:p w:rsidRPr="00F20F9F" w:rsidR="00D33E94" w:rsidP="00171C99" w:rsidRDefault="00D33E94" w14:paraId="258B1FBD" w14:textId="77777777">
            <w:pPr>
              <w:contextualSpacing/>
              <w:rPr>
                <w:rFonts w:ascii="Verdana" w:hAnsi="Verdana" w:eastAsia="Calibri" w:cs="Arial"/>
                <w:sz w:val="14"/>
                <w:szCs w:val="14"/>
                <w:lang w:val="es-ES_tradnl"/>
              </w:rPr>
            </w:pPr>
            <w:r w:rsidRPr="00F20F9F">
              <w:rPr>
                <w:rFonts w:ascii="Verdana" w:hAnsi="Verdana" w:eastAsia="Calibri" w:cs="Arial"/>
                <w:sz w:val="14"/>
                <w:szCs w:val="14"/>
                <w:lang w:val="es-ES_tradnl"/>
              </w:rPr>
              <w:t>Subdirectora de Gestión Contractual ANCP – CCE</w:t>
            </w:r>
          </w:p>
        </w:tc>
      </w:tr>
    </w:tbl>
    <w:p w:rsidRPr="006E2BB3" w:rsidR="00D33E94" w:rsidP="00D33E94" w:rsidRDefault="00D33E94" w14:paraId="658D80C0" w14:textId="77777777">
      <w:pPr>
        <w:spacing w:after="0" w:line="240" w:lineRule="auto"/>
        <w:rPr>
          <w:rFonts w:ascii="Verdana" w:hAnsi="Verdana" w:eastAsia="Times New Roman" w:cs="Arial"/>
          <w:sz w:val="24"/>
          <w:szCs w:val="24"/>
          <w:lang w:eastAsia="es-ES"/>
        </w:rPr>
      </w:pPr>
    </w:p>
    <w:bookmarkEnd w:id="1"/>
    <w:p w:rsidR="00D33E94" w:rsidP="00322A85" w:rsidRDefault="00D33E94" w14:paraId="0F3C7082" w14:textId="77777777">
      <w:pPr>
        <w:spacing w:after="0" w:line="240" w:lineRule="auto"/>
        <w:textAlignment w:val="baseline"/>
        <w:rPr>
          <w:rFonts w:ascii="Verdana" w:hAnsi="Verdana" w:eastAsia="Times New Roman" w:cs="Segoe UI"/>
          <w:sz w:val="18"/>
          <w:szCs w:val="18"/>
          <w:lang w:eastAsia="es-CO"/>
        </w:rPr>
      </w:pPr>
    </w:p>
    <w:sectPr w:rsidR="00D33E94" w:rsidSect="007C0C0F">
      <w:headerReference w:type="default" r:id="rId18"/>
      <w:footerReference w:type="default" r:id="rId19"/>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2E8E" w:rsidP="004A1847" w:rsidRDefault="00672E8E" w14:paraId="255EB0AC" w14:textId="77777777">
      <w:pPr>
        <w:spacing w:after="0" w:line="240" w:lineRule="auto"/>
      </w:pPr>
      <w:r>
        <w:separator/>
      </w:r>
    </w:p>
  </w:endnote>
  <w:endnote w:type="continuationSeparator" w:id="0">
    <w:p w:rsidR="00672E8E" w:rsidP="004A1847" w:rsidRDefault="00672E8E" w14:paraId="41076A65" w14:textId="77777777">
      <w:pPr>
        <w:spacing w:after="0" w:line="240" w:lineRule="auto"/>
      </w:pPr>
      <w:r>
        <w:continuationSeparator/>
      </w:r>
    </w:p>
  </w:endnote>
  <w:endnote w:type="continuationNotice" w:id="1">
    <w:p w:rsidR="00672E8E" w:rsidRDefault="00672E8E" w14:paraId="3C125EB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2E8E" w:rsidP="004A1847" w:rsidRDefault="00672E8E" w14:paraId="3EA1B6E1" w14:textId="77777777">
      <w:pPr>
        <w:spacing w:after="0" w:line="240" w:lineRule="auto"/>
      </w:pPr>
      <w:r>
        <w:separator/>
      </w:r>
    </w:p>
  </w:footnote>
  <w:footnote w:type="continuationSeparator" w:id="0">
    <w:p w:rsidR="00672E8E" w:rsidP="004A1847" w:rsidRDefault="00672E8E" w14:paraId="4065015E" w14:textId="77777777">
      <w:pPr>
        <w:spacing w:after="0" w:line="240" w:lineRule="auto"/>
      </w:pPr>
      <w:r>
        <w:continuationSeparator/>
      </w:r>
    </w:p>
  </w:footnote>
  <w:footnote w:type="continuationNotice" w:id="1">
    <w:p w:rsidR="00672E8E" w:rsidRDefault="00672E8E" w14:paraId="5266A441" w14:textId="77777777">
      <w:pPr>
        <w:spacing w:after="0" w:line="240" w:lineRule="auto"/>
      </w:pPr>
    </w:p>
  </w:footnote>
  <w:footnote w:id="2">
    <w:p w:rsidRPr="009F15DA" w:rsidR="00D33E94" w:rsidP="00D33E94" w:rsidRDefault="00D33E94" w14:paraId="74708074" w14:textId="77777777">
      <w:pPr>
        <w:pStyle w:val="Textonotapie"/>
        <w:ind w:firstLine="709"/>
        <w:jc w:val="both"/>
        <w:rPr>
          <w:rFonts w:ascii="Verdana" w:hAnsi="Verdana" w:cs="Arial"/>
          <w:sz w:val="5"/>
          <w:szCs w:val="5"/>
        </w:rPr>
      </w:pPr>
      <w:r w:rsidRPr="009F15DA">
        <w:rPr>
          <w:rStyle w:val="Refdenotaalpie"/>
          <w:rFonts w:ascii="Verdana" w:hAnsi="Verdana" w:cs="Arial"/>
          <w:sz w:val="5"/>
          <w:szCs w:val="5"/>
        </w:rPr>
        <w:footnoteRef/>
      </w:r>
      <w:r w:rsidRPr="009F15DA">
        <w:rPr>
          <w:rFonts w:ascii="Verdana" w:hAnsi="Verdana" w:cs="Arial"/>
          <w:sz w:val="5"/>
          <w:szCs w:val="5"/>
        </w:rPr>
        <w:t xml:space="preserve"> Código Civil: “Artículo 33. Palabras relacionadas con las personas. La palabra persona en su sentido general se aplica(rá) a la especie humana, sin distinción de sexo”.</w:t>
      </w:r>
    </w:p>
    <w:p w:rsidRPr="009F15DA" w:rsidR="00D33E94" w:rsidP="00D33E94" w:rsidRDefault="00D33E94" w14:paraId="1AFCC8CC" w14:textId="77777777">
      <w:pPr>
        <w:pStyle w:val="Textonotapie"/>
        <w:ind w:firstLine="709"/>
        <w:jc w:val="both"/>
        <w:rPr>
          <w:rFonts w:ascii="Verdana" w:hAnsi="Verdana" w:cs="Arial"/>
          <w:sz w:val="5"/>
          <w:szCs w:val="5"/>
          <w:lang w:val="es-CO"/>
        </w:rPr>
      </w:pPr>
    </w:p>
  </w:footnote>
  <w:footnote w:id="3">
    <w:p w:rsidRPr="009F15DA" w:rsidR="00D33E94" w:rsidP="00D33E94" w:rsidRDefault="00D33E94" w14:paraId="6EAFE7E3" w14:textId="77777777">
      <w:pPr>
        <w:pStyle w:val="Textonotapie"/>
        <w:ind w:firstLine="709"/>
        <w:jc w:val="both"/>
        <w:rPr>
          <w:rFonts w:ascii="Verdana" w:hAnsi="Verdana" w:cs="Arial"/>
          <w:sz w:val="5"/>
          <w:szCs w:val="5"/>
        </w:rPr>
      </w:pPr>
      <w:r w:rsidRPr="009F15DA">
        <w:rPr>
          <w:rStyle w:val="Refdenotaalpie"/>
          <w:rFonts w:ascii="Verdana" w:hAnsi="Verdana" w:cs="Arial"/>
          <w:sz w:val="5"/>
          <w:szCs w:val="5"/>
        </w:rPr>
        <w:footnoteRef/>
      </w:r>
      <w:r w:rsidRPr="009F15DA">
        <w:rPr>
          <w:rFonts w:ascii="Verdana" w:hAnsi="Verdana" w:cs="Arial"/>
          <w:sz w:val="5"/>
          <w:szCs w:val="5"/>
        </w:rPr>
        <w:t>Constitución Política de Colombia: “Artículo 42. La familia es el núcleo fundamental de la sociedad. Se constituye por vínculos naturales o jurídicos, por la decisión libre de un hombre y una mujer de contraer matrimonio o por la voluntad responsable de conformarla”.</w:t>
      </w:r>
    </w:p>
    <w:p w:rsidRPr="009F15DA" w:rsidR="00D33E94" w:rsidP="00D33E94" w:rsidRDefault="00D33E94" w14:paraId="6D5FEEFE" w14:textId="77777777">
      <w:pPr>
        <w:pStyle w:val="Textonotapie"/>
        <w:ind w:firstLine="709"/>
        <w:jc w:val="both"/>
        <w:rPr>
          <w:rFonts w:ascii="Arial" w:hAnsi="Arial" w:cs="Arial"/>
          <w:sz w:val="5"/>
          <w:szCs w:val="5"/>
          <w:lang w:val="es-CO"/>
        </w:rPr>
      </w:pPr>
    </w:p>
  </w:footnote>
  <w:footnote w:id="4">
    <w:p w:rsidRPr="002219E5" w:rsidR="00D33E94" w:rsidP="00D33E94" w:rsidRDefault="00D33E94" w14:paraId="1460661C" w14:textId="77777777">
      <w:pPr>
        <w:pStyle w:val="Textonotapie"/>
        <w:ind w:firstLine="709"/>
        <w:jc w:val="both"/>
        <w:rPr>
          <w:rFonts w:ascii="Verdana" w:hAnsi="Verdana" w:cs="Arial"/>
          <w:sz w:val="10"/>
          <w:szCs w:val="10"/>
          <w:lang w:val="es-ES_tradnl"/>
        </w:rPr>
      </w:pPr>
      <w:r w:rsidRPr="009F15DA">
        <w:rPr>
          <w:rStyle w:val="Refdenotaalpie"/>
          <w:rFonts w:ascii="Verdana" w:hAnsi="Verdana" w:cs="Arial"/>
          <w:sz w:val="5"/>
          <w:szCs w:val="5"/>
        </w:rPr>
        <w:footnoteRef/>
      </w:r>
      <w:r w:rsidRPr="009F15DA">
        <w:rPr>
          <w:rFonts w:ascii="Verdana" w:hAnsi="Verdana" w:cs="Arial"/>
          <w:sz w:val="5"/>
          <w:szCs w:val="5"/>
        </w:rPr>
        <w:t xml:space="preserve"> </w:t>
      </w:r>
      <w:r w:rsidRPr="009F15DA">
        <w:rPr>
          <w:rFonts w:ascii="Verdana" w:hAnsi="Verdana" w:cs="Arial"/>
          <w:sz w:val="5"/>
          <w:szCs w:val="5"/>
          <w:lang w:val="pt-BR"/>
        </w:rPr>
        <w:t>CORTE CONSTITUCIONAL. Sentencia C-1016 de 2012. M.P. Jorge Iván Palacio.</w:t>
      </w:r>
    </w:p>
  </w:footnote>
  <w:footnote w:id="5">
    <w:p w:rsidRPr="009F15DA" w:rsidR="00D33E94" w:rsidP="00D33E94" w:rsidRDefault="00D33E94" w14:paraId="5139FFEF" w14:textId="77777777">
      <w:pPr>
        <w:pStyle w:val="Textonotapie"/>
        <w:ind w:firstLine="709"/>
        <w:jc w:val="both"/>
        <w:rPr>
          <w:rFonts w:ascii="Verdana" w:hAnsi="Verdana" w:cs="Arial"/>
          <w:sz w:val="5"/>
          <w:szCs w:val="5"/>
          <w:lang w:val="es-CO"/>
        </w:rPr>
      </w:pPr>
      <w:r w:rsidRPr="009F15DA">
        <w:rPr>
          <w:rStyle w:val="Refdenotaalpie"/>
          <w:rFonts w:ascii="Verdana" w:hAnsi="Verdana" w:cs="Arial"/>
          <w:sz w:val="5"/>
          <w:szCs w:val="5"/>
        </w:rPr>
        <w:footnoteRef/>
      </w:r>
      <w:r w:rsidRPr="009F15DA">
        <w:rPr>
          <w:rFonts w:ascii="Verdana" w:hAnsi="Verdana" w:cs="Arial"/>
          <w:sz w:val="5"/>
          <w:szCs w:val="5"/>
        </w:rPr>
        <w:t xml:space="preserve"> </w:t>
      </w:r>
      <w:r w:rsidRPr="009F15DA">
        <w:rPr>
          <w:rFonts w:ascii="Verdana" w:hAnsi="Verdana" w:cs="Arial"/>
          <w:sz w:val="5"/>
          <w:szCs w:val="5"/>
          <w:lang w:val="pt-BR"/>
        </w:rPr>
        <w:t xml:space="preserve">CORTE CONSTITUCIONAL. </w:t>
      </w:r>
      <w:r w:rsidRPr="009F15DA">
        <w:rPr>
          <w:rFonts w:ascii="Verdana" w:hAnsi="Verdana" w:cs="Arial"/>
          <w:sz w:val="5"/>
          <w:szCs w:val="5"/>
        </w:rPr>
        <w:t xml:space="preserve">Sentencia C-780 de 2001. </w:t>
      </w:r>
      <w:r w:rsidRPr="009F15DA">
        <w:rPr>
          <w:rFonts w:ascii="Verdana" w:hAnsi="Verdana" w:cs="Arial"/>
          <w:sz w:val="5"/>
          <w:szCs w:val="5"/>
          <w:lang w:val="es-CO"/>
        </w:rPr>
        <w:t xml:space="preserve">M.P. Jaime Córdoba Triviño. </w:t>
      </w:r>
    </w:p>
  </w:footnote>
  <w:footnote w:id="6">
    <w:p w:rsidRPr="009F15DA" w:rsidR="00D33E94" w:rsidP="00D33E94" w:rsidRDefault="00D33E94" w14:paraId="391C63C5" w14:textId="77777777">
      <w:pPr>
        <w:pStyle w:val="NormalWeb"/>
        <w:spacing w:after="0"/>
        <w:ind w:firstLine="709"/>
        <w:jc w:val="both"/>
        <w:rPr>
          <w:rFonts w:ascii="Verdana" w:hAnsi="Verdana" w:cs="Arial"/>
          <w:sz w:val="5"/>
          <w:szCs w:val="5"/>
        </w:rPr>
      </w:pPr>
    </w:p>
    <w:p w:rsidRPr="009F15DA" w:rsidR="00D33E94" w:rsidP="00D33E94" w:rsidRDefault="00D33E94" w14:paraId="112C3E48" w14:textId="77777777">
      <w:pPr>
        <w:pStyle w:val="NormalWeb"/>
        <w:spacing w:after="0"/>
        <w:ind w:firstLine="709"/>
        <w:jc w:val="both"/>
        <w:rPr>
          <w:rFonts w:ascii="Verdana" w:hAnsi="Verdana" w:cs="Arial"/>
          <w:sz w:val="5"/>
          <w:szCs w:val="5"/>
          <w:lang w:val="es-ES"/>
        </w:rPr>
      </w:pPr>
      <w:r w:rsidRPr="009F15DA">
        <w:rPr>
          <w:rStyle w:val="Refdenotaalpie"/>
          <w:rFonts w:ascii="Verdana" w:hAnsi="Verdana" w:cs="Arial"/>
          <w:sz w:val="5"/>
          <w:szCs w:val="5"/>
        </w:rPr>
        <w:footnoteRef/>
      </w:r>
      <w:r w:rsidRPr="009F15DA">
        <w:rPr>
          <w:rFonts w:ascii="Verdana" w:hAnsi="Verdana" w:cs="Arial"/>
          <w:sz w:val="5"/>
          <w:szCs w:val="5"/>
        </w:rPr>
        <w:t xml:space="preserve"> </w:t>
      </w:r>
      <w:r w:rsidRPr="009F15DA">
        <w:rPr>
          <w:rFonts w:ascii="Verdana" w:hAnsi="Verdana" w:cs="Arial"/>
          <w:sz w:val="5"/>
          <w:szCs w:val="5"/>
          <w:lang w:val="es-ES"/>
        </w:rPr>
        <w:t>Ley 80 de 1993: “Artículo 8: 1o. Son inhábiles para participar en licitaciones o concursos y para celebrar contratos con las entidades estatales: </w:t>
      </w:r>
    </w:p>
    <w:p w:rsidRPr="009F15DA" w:rsidR="00D33E94" w:rsidP="00D33E94" w:rsidRDefault="00D33E94" w14:paraId="695E0F18" w14:textId="77777777">
      <w:pPr>
        <w:pStyle w:val="NormalWeb"/>
        <w:spacing w:after="0"/>
        <w:ind w:firstLine="708"/>
        <w:jc w:val="both"/>
        <w:rPr>
          <w:rFonts w:ascii="Verdana" w:hAnsi="Verdana" w:cs="Arial"/>
          <w:sz w:val="5"/>
          <w:szCs w:val="5"/>
          <w:lang w:val="es-ES"/>
        </w:rPr>
      </w:pPr>
      <w:r w:rsidRPr="009F15DA">
        <w:rPr>
          <w:rFonts w:ascii="Verdana" w:hAnsi="Verdana" w:cs="Arial"/>
          <w:sz w:val="5"/>
          <w:szCs w:val="5"/>
          <w:lang w:val="es-ES"/>
        </w:rPr>
        <w:t>a) Las personas que se hallen inhabilitadas para contratar por la Constitución y las leyes. </w:t>
      </w:r>
    </w:p>
    <w:p w:rsidRPr="009F15DA" w:rsidR="00D33E94" w:rsidP="00D33E94" w:rsidRDefault="00D33E94" w14:paraId="5875FBBC" w14:textId="77777777">
      <w:pPr>
        <w:pStyle w:val="NormalWeb"/>
        <w:spacing w:after="0"/>
        <w:ind w:firstLine="708"/>
        <w:jc w:val="both"/>
        <w:rPr>
          <w:rFonts w:ascii="Verdana" w:hAnsi="Verdana" w:cs="Arial"/>
          <w:sz w:val="5"/>
          <w:szCs w:val="5"/>
          <w:lang w:val="es-ES"/>
        </w:rPr>
      </w:pPr>
      <w:r w:rsidRPr="009F15DA">
        <w:rPr>
          <w:rFonts w:ascii="Verdana" w:hAnsi="Verdana" w:cs="Arial"/>
          <w:sz w:val="5"/>
          <w:szCs w:val="5"/>
          <w:lang w:val="es-ES"/>
        </w:rPr>
        <w:t>b) Quienes participaron en las licitaciones o concursos o celebraron los contratos de que trata el literal anterior estando inhabilitados. </w:t>
      </w:r>
    </w:p>
    <w:p w:rsidRPr="009F15DA" w:rsidR="00D33E94" w:rsidP="00D33E94" w:rsidRDefault="00D33E94" w14:paraId="41474A57" w14:textId="77777777">
      <w:pPr>
        <w:pStyle w:val="NormalWeb"/>
        <w:spacing w:after="0"/>
        <w:ind w:firstLine="709"/>
        <w:jc w:val="both"/>
        <w:rPr>
          <w:rFonts w:ascii="Verdana" w:hAnsi="Verdana" w:cs="Arial"/>
          <w:sz w:val="5"/>
          <w:szCs w:val="5"/>
          <w:lang w:val="es-ES"/>
        </w:rPr>
      </w:pPr>
      <w:r w:rsidRPr="009F15DA">
        <w:rPr>
          <w:rFonts w:ascii="Verdana" w:hAnsi="Verdana" w:cs="Arial"/>
          <w:sz w:val="5"/>
          <w:szCs w:val="5"/>
          <w:lang w:val="es-ES"/>
        </w:rPr>
        <w:t>c) Quienes dieron lugar a la declaratoria de caducidad. </w:t>
      </w:r>
    </w:p>
    <w:p w:rsidRPr="009F15DA" w:rsidR="00D33E94" w:rsidP="00D33E94" w:rsidRDefault="00D33E94" w14:paraId="66FBCCC9" w14:textId="77777777">
      <w:pPr>
        <w:pStyle w:val="NormalWeb"/>
        <w:spacing w:after="0"/>
        <w:ind w:firstLine="709"/>
        <w:jc w:val="both"/>
        <w:rPr>
          <w:rFonts w:ascii="Verdana" w:hAnsi="Verdana" w:cs="Arial"/>
          <w:sz w:val="5"/>
          <w:szCs w:val="5"/>
          <w:lang w:val="es-ES"/>
        </w:rPr>
      </w:pPr>
      <w:r w:rsidRPr="009F15DA">
        <w:rPr>
          <w:rFonts w:ascii="Verdana" w:hAnsi="Verdana" w:cs="Arial"/>
          <w:sz w:val="5"/>
          <w:szCs w:val="5"/>
          <w:lang w:val="es-ES"/>
        </w:rPr>
        <w:t>d) Quienes en sentencia judicial hayan sido condenados a la pena accesoria de interdicción de derechos y funciones públicas y quienes hayan sido sancionados disciplinariamente con destitución. </w:t>
      </w:r>
    </w:p>
    <w:p w:rsidRPr="009F15DA" w:rsidR="00D33E94" w:rsidP="00D33E94" w:rsidRDefault="00D33E94" w14:paraId="64EC2B69" w14:textId="77777777">
      <w:pPr>
        <w:pStyle w:val="NormalWeb"/>
        <w:spacing w:after="0"/>
        <w:ind w:firstLine="708"/>
        <w:jc w:val="both"/>
        <w:rPr>
          <w:rFonts w:ascii="Verdana" w:hAnsi="Verdana" w:cs="Arial"/>
          <w:sz w:val="5"/>
          <w:szCs w:val="5"/>
          <w:lang w:val="es-ES"/>
        </w:rPr>
      </w:pPr>
      <w:r w:rsidRPr="009F15DA">
        <w:rPr>
          <w:rFonts w:ascii="Verdana" w:hAnsi="Verdana" w:cs="Arial"/>
          <w:sz w:val="5"/>
          <w:szCs w:val="5"/>
          <w:lang w:val="es-ES"/>
        </w:rPr>
        <w:t>e) Quienes sin justa causa se abstengan de suscribir el contrato estatal adjudicado. </w:t>
      </w:r>
    </w:p>
    <w:p w:rsidRPr="009F15DA" w:rsidR="00D33E94" w:rsidP="00D33E94" w:rsidRDefault="00D33E94" w14:paraId="534A46AA" w14:textId="77777777">
      <w:pPr>
        <w:pStyle w:val="NormalWeb"/>
        <w:spacing w:after="0"/>
        <w:ind w:firstLine="708"/>
        <w:jc w:val="both"/>
        <w:rPr>
          <w:rFonts w:ascii="Verdana" w:hAnsi="Verdana" w:cs="Arial"/>
          <w:sz w:val="5"/>
          <w:szCs w:val="5"/>
          <w:lang w:val="es-ES"/>
        </w:rPr>
      </w:pPr>
      <w:r w:rsidRPr="009F15DA">
        <w:rPr>
          <w:rFonts w:ascii="Verdana" w:hAnsi="Verdana" w:cs="Arial"/>
          <w:sz w:val="5"/>
          <w:szCs w:val="5"/>
          <w:lang w:val="es-ES"/>
        </w:rPr>
        <w:t>f) Los servidores públicos. </w:t>
      </w:r>
    </w:p>
    <w:p w:rsidRPr="009F15DA" w:rsidR="00D33E94" w:rsidP="00D33E94" w:rsidRDefault="00D33E94" w14:paraId="6385DAB2" w14:textId="77777777">
      <w:pPr>
        <w:pStyle w:val="NormalWeb"/>
        <w:spacing w:after="0"/>
        <w:ind w:firstLine="708"/>
        <w:jc w:val="both"/>
        <w:rPr>
          <w:rFonts w:ascii="Verdana" w:hAnsi="Verdana" w:cs="Arial"/>
          <w:sz w:val="5"/>
          <w:szCs w:val="5"/>
          <w:lang w:val="es-ES"/>
        </w:rPr>
      </w:pPr>
      <w:r w:rsidRPr="009F15DA">
        <w:rPr>
          <w:rFonts w:ascii="Verdana" w:hAnsi="Verdana" w:cs="Arial"/>
          <w:sz w:val="5"/>
          <w:szCs w:val="5"/>
          <w:lang w:val="es-ES"/>
        </w:rPr>
        <w:t>g) Quienes sean cónyuges o compañeros permanentes y quienes se encuentren dentro del segundo grado de consanguinidad o segundo de afinidad con cualquier otra persona que formalmente haya presentado propuesta para una misma licitación o concurso. </w:t>
      </w:r>
    </w:p>
    <w:p w:rsidRPr="009F15DA" w:rsidR="00D33E94" w:rsidP="00D33E94" w:rsidRDefault="00D33E94" w14:paraId="2123D0EF" w14:textId="77777777">
      <w:pPr>
        <w:pStyle w:val="NormalWeb"/>
        <w:spacing w:after="0"/>
        <w:ind w:firstLine="709"/>
        <w:jc w:val="both"/>
        <w:rPr>
          <w:rFonts w:ascii="Verdana" w:hAnsi="Verdana" w:cs="Arial"/>
          <w:sz w:val="5"/>
          <w:szCs w:val="5"/>
          <w:lang w:val="es-ES"/>
        </w:rPr>
      </w:pPr>
      <w:r w:rsidRPr="009F15DA">
        <w:rPr>
          <w:rFonts w:ascii="Verdana" w:hAnsi="Verdana" w:cs="Arial"/>
          <w:sz w:val="5"/>
          <w:szCs w:val="5"/>
          <w:lang w:val="es-E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rsidRPr="009F15DA" w:rsidR="00D33E94" w:rsidP="00D33E94" w:rsidRDefault="00D33E94" w14:paraId="7613145F" w14:textId="77777777">
      <w:pPr>
        <w:pStyle w:val="NormalWeb"/>
        <w:spacing w:after="0"/>
        <w:ind w:firstLine="708"/>
        <w:jc w:val="both"/>
        <w:rPr>
          <w:rFonts w:ascii="Verdana" w:hAnsi="Verdana" w:cs="Arial"/>
          <w:sz w:val="5"/>
          <w:szCs w:val="5"/>
          <w:lang w:val="es-ES"/>
        </w:rPr>
      </w:pPr>
      <w:r w:rsidRPr="009F15DA">
        <w:rPr>
          <w:rFonts w:ascii="Verdana" w:hAnsi="Verdana" w:cs="Arial"/>
          <w:sz w:val="5"/>
          <w:szCs w:val="5"/>
          <w:lang w:val="es-ES"/>
        </w:rPr>
        <w:t>i) Los socios de sociedades de personas a las cuales se haya declarado la caducidad, así como las sociedades de personas de las que aquellos formen parte con posterioridad a dicha declaratoria. </w:t>
      </w:r>
    </w:p>
    <w:p w:rsidRPr="009F15DA" w:rsidR="00D33E94" w:rsidP="00D33E94" w:rsidRDefault="00D33E94" w14:paraId="55017F84" w14:textId="77777777">
      <w:pPr>
        <w:pStyle w:val="NormalWeb"/>
        <w:spacing w:after="0"/>
        <w:ind w:firstLine="709"/>
        <w:jc w:val="both"/>
        <w:rPr>
          <w:rFonts w:ascii="Verdana" w:hAnsi="Verdana" w:cs="Arial"/>
          <w:sz w:val="5"/>
          <w:szCs w:val="5"/>
          <w:lang w:val="es-ES"/>
        </w:rPr>
      </w:pPr>
      <w:r w:rsidRPr="009F15DA">
        <w:rPr>
          <w:rFonts w:ascii="Verdana" w:hAnsi="Verdana" w:cs="Arial"/>
          <w:sz w:val="5"/>
          <w:szCs w:val="5"/>
          <w:lang w:val="es-ES"/>
        </w:rPr>
        <w:t>  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rsidRPr="009F15DA" w:rsidR="00D33E94" w:rsidP="00D33E94" w:rsidRDefault="00D33E94" w14:paraId="3585C04C" w14:textId="77777777">
      <w:pPr>
        <w:pStyle w:val="NormalWeb"/>
        <w:spacing w:after="0"/>
        <w:ind w:firstLine="708"/>
        <w:jc w:val="both"/>
        <w:rPr>
          <w:rFonts w:ascii="Verdana" w:hAnsi="Verdana" w:cs="Arial"/>
          <w:sz w:val="5"/>
          <w:szCs w:val="5"/>
          <w:lang w:val="es-ES"/>
        </w:rPr>
      </w:pPr>
      <w:r w:rsidRPr="009F15DA">
        <w:rPr>
          <w:rFonts w:ascii="Verdana" w:hAnsi="Verdana" w:cs="Arial"/>
          <w:sz w:val="5"/>
          <w:szCs w:val="5"/>
          <w:lang w:val="es-E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rsidRPr="009F15DA" w:rsidR="00D33E94" w:rsidP="00D33E94" w:rsidRDefault="00D33E94" w14:paraId="672EF92D" w14:textId="77777777">
      <w:pPr>
        <w:pStyle w:val="NormalWeb"/>
        <w:spacing w:after="0"/>
        <w:ind w:firstLine="708"/>
        <w:jc w:val="both"/>
        <w:rPr>
          <w:rFonts w:ascii="Verdana" w:hAnsi="Verdana" w:cs="Arial"/>
          <w:sz w:val="5"/>
          <w:szCs w:val="5"/>
          <w:lang w:val="es-ES"/>
        </w:rPr>
      </w:pPr>
      <w:r w:rsidRPr="009F15DA">
        <w:rPr>
          <w:rFonts w:ascii="Verdana" w:hAnsi="Verdana" w:cs="Arial"/>
          <w:sz w:val="5"/>
          <w:szCs w:val="5"/>
          <w:lang w:val="es-E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9F15DA">
        <w:rPr>
          <w:rFonts w:ascii="Verdana" w:hAnsi="Verdana" w:cs="Arial"/>
          <w:sz w:val="5"/>
          <w:szCs w:val="5"/>
          <w:lang w:val="es-E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9F15DA">
        <w:rPr>
          <w:rFonts w:ascii="Verdana" w:hAnsi="Verdana" w:cs="Arial"/>
          <w:sz w:val="5"/>
          <w:szCs w:val="5"/>
          <w:lang w:val="es-ES"/>
        </w:rPr>
        <w:softHyphen/>
        <w:t>cepción de las sociedades anónimas abiertas. También se considerarán inhabilitadas para contratar, las personas jurídicas sobre las cuales se haya ordenado la suspensión de la perso</w:t>
      </w:r>
      <w:r w:rsidRPr="009F15DA">
        <w:rPr>
          <w:rFonts w:ascii="Verdana" w:hAnsi="Verdana" w:cs="Arial"/>
          <w:sz w:val="5"/>
          <w:szCs w:val="5"/>
          <w:lang w:val="es-ES"/>
        </w:rPr>
        <w:softHyphen/>
        <w:t>nería jurídica en los términos de ley, o cuyos representantes legales, ad</w:t>
      </w:r>
      <w:r w:rsidRPr="009F15DA">
        <w:rPr>
          <w:rFonts w:ascii="Verdana" w:hAnsi="Verdana" w:cs="Arial"/>
          <w:sz w:val="5"/>
          <w:szCs w:val="5"/>
          <w:lang w:val="es-E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9F15DA">
        <w:rPr>
          <w:rFonts w:ascii="Verdana" w:hAnsi="Verdana" w:cs="Arial"/>
          <w:sz w:val="5"/>
          <w:szCs w:val="5"/>
          <w:lang w:val="es-E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rsidRPr="009F15DA" w:rsidR="00D33E94" w:rsidP="00D33E94" w:rsidRDefault="00D33E94" w14:paraId="101A1DD3" w14:textId="77777777">
      <w:pPr>
        <w:pStyle w:val="NormalWeb"/>
        <w:spacing w:after="0"/>
        <w:ind w:firstLine="709"/>
        <w:jc w:val="both"/>
        <w:rPr>
          <w:rFonts w:ascii="Verdana" w:hAnsi="Verdana" w:cs="Arial"/>
          <w:sz w:val="5"/>
          <w:szCs w:val="5"/>
          <w:lang w:val="es-ES"/>
        </w:rPr>
      </w:pPr>
      <w:r w:rsidRPr="009F15DA">
        <w:rPr>
          <w:rFonts w:ascii="Verdana" w:hAnsi="Verdana" w:cs="Arial"/>
          <w:sz w:val="5"/>
          <w:szCs w:val="5"/>
          <w:lang w:val="es-ES"/>
        </w:rPr>
        <w:t>[…]</w:t>
      </w:r>
    </w:p>
    <w:p w:rsidRPr="009F15DA" w:rsidR="00D33E94" w:rsidP="00D33E94" w:rsidRDefault="00D33E94" w14:paraId="54F6DF66" w14:textId="77777777">
      <w:pPr>
        <w:pStyle w:val="NormalWeb"/>
        <w:spacing w:after="0"/>
        <w:ind w:firstLine="709"/>
        <w:jc w:val="both"/>
        <w:rPr>
          <w:rFonts w:ascii="Verdana" w:hAnsi="Verdana" w:cs="Arial"/>
          <w:sz w:val="5"/>
          <w:szCs w:val="5"/>
          <w:lang w:val="es-ES"/>
        </w:rPr>
      </w:pPr>
      <w:r w:rsidRPr="009F15DA">
        <w:rPr>
          <w:rFonts w:ascii="Verdana" w:hAnsi="Verdana" w:cs="Arial"/>
          <w:sz w:val="5"/>
          <w:szCs w:val="5"/>
          <w:lang w:val="es-ES"/>
        </w:rPr>
        <w:t>2o. Tampoco podrán participar en licitaciones o concursos ni celebrar contratos estatales con la entidad respectiva: </w:t>
      </w:r>
    </w:p>
    <w:p w:rsidRPr="009F15DA" w:rsidR="00D33E94" w:rsidP="00D33E94" w:rsidRDefault="00D33E94" w14:paraId="1DE52B4A" w14:textId="77777777">
      <w:pPr>
        <w:pStyle w:val="NormalWeb"/>
        <w:spacing w:after="0"/>
        <w:ind w:firstLine="708"/>
        <w:jc w:val="both"/>
        <w:rPr>
          <w:rFonts w:ascii="Verdana" w:hAnsi="Verdana" w:cs="Arial"/>
          <w:sz w:val="5"/>
          <w:szCs w:val="5"/>
          <w:lang w:val="es-ES"/>
        </w:rPr>
      </w:pPr>
      <w:r w:rsidRPr="009F15DA">
        <w:rPr>
          <w:rFonts w:ascii="Verdana" w:hAnsi="Verdana" w:cs="Arial"/>
          <w:sz w:val="5"/>
          <w:szCs w:val="5"/>
          <w:lang w:val="es-E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rsidRPr="009F15DA" w:rsidR="00D33E94" w:rsidP="00D33E94" w:rsidRDefault="00D33E94" w14:paraId="7BBA8A8C" w14:textId="77777777">
      <w:pPr>
        <w:pStyle w:val="NormalWeb"/>
        <w:spacing w:after="0"/>
        <w:ind w:firstLine="708"/>
        <w:jc w:val="both"/>
        <w:rPr>
          <w:rFonts w:ascii="Verdana" w:hAnsi="Verdana" w:cs="Arial"/>
          <w:sz w:val="5"/>
          <w:szCs w:val="5"/>
          <w:lang w:val="es-ES"/>
        </w:rPr>
      </w:pPr>
      <w:r w:rsidRPr="009F15DA">
        <w:rPr>
          <w:rFonts w:ascii="Verdana" w:hAnsi="Verdana" w:cs="Arial"/>
          <w:sz w:val="5"/>
          <w:szCs w:val="5"/>
          <w:lang w:val="es-E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rsidRPr="009F15DA" w:rsidR="00D33E94" w:rsidP="00D33E94" w:rsidRDefault="00D33E94" w14:paraId="3E6226CE" w14:textId="77777777">
      <w:pPr>
        <w:pStyle w:val="NormalWeb"/>
        <w:spacing w:after="0"/>
        <w:ind w:firstLine="708"/>
        <w:jc w:val="both"/>
        <w:rPr>
          <w:rFonts w:ascii="Verdana" w:hAnsi="Verdana" w:cs="Arial"/>
          <w:sz w:val="5"/>
          <w:szCs w:val="5"/>
          <w:lang w:val="es-ES"/>
        </w:rPr>
      </w:pPr>
      <w:r w:rsidRPr="009F15DA">
        <w:rPr>
          <w:rFonts w:ascii="Verdana" w:hAnsi="Verdana" w:cs="Arial"/>
          <w:sz w:val="5"/>
          <w:szCs w:val="5"/>
          <w:lang w:val="es-ES"/>
        </w:rPr>
        <w:t>c) El cónyuge, compañero o compañera permanente del servidor público en los niveles directivo, asesor, ejecutivo, o de un miembro de la junta o consejo directivo, o de quien ejerza funciones de control interno o de control fiscal. </w:t>
      </w:r>
    </w:p>
    <w:p w:rsidRPr="009F15DA" w:rsidR="00D33E94" w:rsidP="00D33E94" w:rsidRDefault="00D33E94" w14:paraId="56776FBF" w14:textId="77777777">
      <w:pPr>
        <w:pStyle w:val="NormalWeb"/>
        <w:spacing w:after="0"/>
        <w:ind w:firstLine="708"/>
        <w:jc w:val="both"/>
        <w:rPr>
          <w:rFonts w:ascii="Verdana" w:hAnsi="Verdana" w:cs="Arial"/>
          <w:sz w:val="5"/>
          <w:szCs w:val="5"/>
          <w:lang w:val="es-ES"/>
        </w:rPr>
      </w:pPr>
      <w:r w:rsidRPr="009F15DA">
        <w:rPr>
          <w:rFonts w:ascii="Verdana" w:hAnsi="Verdana" w:cs="Arial"/>
          <w:sz w:val="5"/>
          <w:szCs w:val="5"/>
          <w:lang w:val="es-E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rsidRPr="009F15DA" w:rsidR="00D33E94" w:rsidP="00D33E94" w:rsidRDefault="00D33E94" w14:paraId="3F06D418" w14:textId="77777777">
      <w:pPr>
        <w:pStyle w:val="NormalWeb"/>
        <w:spacing w:after="0"/>
        <w:ind w:firstLine="708"/>
        <w:jc w:val="both"/>
        <w:rPr>
          <w:rFonts w:ascii="Verdana" w:hAnsi="Verdana" w:cs="Arial"/>
          <w:sz w:val="5"/>
          <w:szCs w:val="5"/>
          <w:lang w:val="es-ES"/>
        </w:rPr>
      </w:pPr>
      <w:r w:rsidRPr="009F15DA">
        <w:rPr>
          <w:rFonts w:ascii="Verdana" w:hAnsi="Verdana" w:cs="Arial"/>
          <w:sz w:val="5"/>
          <w:szCs w:val="5"/>
          <w:lang w:val="es-ES"/>
        </w:rPr>
        <w:t>e) Los miembros de las juntas o consejos directivos. Esta incompatibilidad sólo se predica respecto de la entidad a la cual prestan sus servicios y de las del sector administrativo al que la misma esté adscrita o vinculada. </w:t>
      </w:r>
    </w:p>
    <w:p w:rsidRPr="000B4BC8" w:rsidR="00D33E94" w:rsidP="00D33E94" w:rsidRDefault="00D33E94" w14:paraId="0403712B" w14:textId="77777777">
      <w:pPr>
        <w:pStyle w:val="NormalWeb"/>
        <w:spacing w:after="0"/>
        <w:ind w:firstLine="708"/>
        <w:jc w:val="both"/>
        <w:rPr>
          <w:rFonts w:ascii="Verdana" w:hAnsi="Verdana" w:cs="Arial"/>
          <w:sz w:val="8"/>
          <w:szCs w:val="8"/>
          <w:lang w:val="es-ES"/>
        </w:rPr>
      </w:pPr>
      <w:r w:rsidRPr="009F15DA">
        <w:rPr>
          <w:rFonts w:ascii="Verdana" w:hAnsi="Verdana" w:cs="Arial"/>
          <w:sz w:val="5"/>
          <w:szCs w:val="5"/>
          <w:lang w:val="es-ES"/>
        </w:rPr>
        <w:t>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 (…).</w:t>
      </w:r>
      <w:r w:rsidRPr="000B4BC8">
        <w:rPr>
          <w:rFonts w:ascii="Verdana" w:hAnsi="Verdana" w:cs="Arial"/>
          <w:sz w:val="8"/>
          <w:szCs w:val="8"/>
          <w:lang w:val="es-ES"/>
        </w:rPr>
        <w:t xml:space="preserve"> </w:t>
      </w:r>
    </w:p>
  </w:footnote>
  <w:footnote w:id="7">
    <w:p w:rsidRPr="009F15DA" w:rsidR="00D33E94" w:rsidP="00D33E94" w:rsidRDefault="00D33E94" w14:paraId="131926F0" w14:textId="77777777">
      <w:pPr>
        <w:pStyle w:val="Textonotapie"/>
        <w:ind w:firstLine="709"/>
        <w:jc w:val="both"/>
        <w:rPr>
          <w:rFonts w:ascii="Verdana" w:hAnsi="Verdana" w:cs="Arial"/>
          <w:sz w:val="5"/>
          <w:szCs w:val="5"/>
        </w:rPr>
      </w:pPr>
      <w:r w:rsidRPr="009F15DA">
        <w:rPr>
          <w:rStyle w:val="Refdenotaalpie"/>
          <w:rFonts w:ascii="Verdana" w:hAnsi="Verdana" w:cs="Arial"/>
          <w:sz w:val="5"/>
          <w:szCs w:val="5"/>
        </w:rPr>
        <w:footnoteRef/>
      </w:r>
      <w:r w:rsidRPr="009F15DA">
        <w:rPr>
          <w:rFonts w:ascii="Verdana" w:hAnsi="Verdana" w:cs="Arial"/>
          <w:sz w:val="5"/>
          <w:szCs w:val="5"/>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rsidRPr="009F15DA" w:rsidR="00D33E94" w:rsidP="00D33E94" w:rsidRDefault="00D33E94" w14:paraId="46F76E06" w14:textId="77777777">
      <w:pPr>
        <w:pStyle w:val="Textonotapie"/>
        <w:ind w:firstLine="709"/>
        <w:jc w:val="both"/>
        <w:rPr>
          <w:rFonts w:ascii="Verdana" w:hAnsi="Verdana" w:cs="Arial"/>
          <w:sz w:val="5"/>
          <w:szCs w:val="5"/>
        </w:rPr>
      </w:pPr>
      <w:r w:rsidRPr="009F15DA">
        <w:rPr>
          <w:rFonts w:ascii="Verdana" w:hAnsi="Verdana" w:cs="Arial"/>
          <w:sz w:val="5"/>
          <w:szCs w:val="5"/>
        </w:rPr>
        <w:t>Las personas jurídicas nacionales y extranjeras deberán acreditar que su duración no será inferior a la del plazo del contrato y un año más”.</w:t>
      </w:r>
    </w:p>
  </w:footnote>
  <w:footnote w:id="8">
    <w:p w:rsidRPr="009F15DA" w:rsidR="00D33E94" w:rsidP="00D33E94" w:rsidRDefault="00D33E94" w14:paraId="1D44B5CC" w14:textId="77777777">
      <w:pPr>
        <w:pStyle w:val="Textonotapie"/>
        <w:ind w:firstLine="709"/>
        <w:jc w:val="both"/>
        <w:rPr>
          <w:rFonts w:ascii="Verdana" w:hAnsi="Verdana" w:cs="Arial"/>
          <w:sz w:val="5"/>
          <w:szCs w:val="5"/>
        </w:rPr>
      </w:pPr>
    </w:p>
    <w:p w:rsidRPr="009F15DA" w:rsidR="00D33E94" w:rsidP="00D33E94" w:rsidRDefault="00D33E94" w14:paraId="6FFF0FE0" w14:textId="77777777">
      <w:pPr>
        <w:pStyle w:val="Textonotapie"/>
        <w:ind w:firstLine="709"/>
        <w:jc w:val="both"/>
        <w:rPr>
          <w:rFonts w:ascii="Verdana" w:hAnsi="Verdana" w:cs="Arial"/>
          <w:sz w:val="5"/>
          <w:szCs w:val="5"/>
        </w:rPr>
      </w:pPr>
      <w:r w:rsidRPr="009F15DA">
        <w:rPr>
          <w:rStyle w:val="Refdenotaalpie"/>
          <w:rFonts w:ascii="Verdana" w:hAnsi="Verdana" w:cs="Arial"/>
          <w:sz w:val="5"/>
          <w:szCs w:val="5"/>
        </w:rPr>
        <w:footnoteRef/>
      </w:r>
      <w:r w:rsidRPr="009F15DA">
        <w:rPr>
          <w:rFonts w:ascii="Verdana" w:hAnsi="Verdana" w:cs="Arial"/>
          <w:sz w:val="5"/>
          <w:szCs w:val="5"/>
        </w:rPr>
        <w:t xml:space="preserve"> Código Civil: “Artículo 1502. Requisitos para obligarse. Para que una persona se obligue a otra por un acto o declaración de voluntad, es necesario:</w:t>
      </w:r>
    </w:p>
    <w:p w:rsidRPr="009F15DA" w:rsidR="00D33E94" w:rsidP="00D33E94" w:rsidRDefault="00D33E94" w14:paraId="2710EA21" w14:textId="77777777">
      <w:pPr>
        <w:pStyle w:val="Textonotapie"/>
        <w:ind w:firstLine="709"/>
        <w:jc w:val="both"/>
        <w:rPr>
          <w:rFonts w:ascii="Verdana" w:hAnsi="Verdana" w:cs="Arial"/>
          <w:sz w:val="5"/>
          <w:szCs w:val="5"/>
        </w:rPr>
      </w:pPr>
      <w:r w:rsidRPr="009F15DA">
        <w:rPr>
          <w:rFonts w:ascii="Verdana" w:hAnsi="Verdana" w:cs="Arial"/>
          <w:sz w:val="5"/>
          <w:szCs w:val="5"/>
        </w:rPr>
        <w:t>1o.) que sea legalmente capaz.</w:t>
      </w:r>
    </w:p>
    <w:p w:rsidRPr="009F15DA" w:rsidR="00D33E94" w:rsidP="00D33E94" w:rsidRDefault="00D33E94" w14:paraId="4EF2C13D" w14:textId="77777777">
      <w:pPr>
        <w:pStyle w:val="Textonotapie"/>
        <w:ind w:firstLine="709"/>
        <w:jc w:val="both"/>
        <w:rPr>
          <w:rFonts w:ascii="Verdana" w:hAnsi="Verdana" w:cs="Arial"/>
          <w:sz w:val="5"/>
          <w:szCs w:val="5"/>
        </w:rPr>
      </w:pPr>
      <w:r w:rsidRPr="009F15DA">
        <w:rPr>
          <w:rFonts w:ascii="Verdana" w:hAnsi="Verdana" w:cs="Arial"/>
          <w:sz w:val="5"/>
          <w:szCs w:val="5"/>
        </w:rPr>
        <w:t>[…]</w:t>
      </w:r>
    </w:p>
    <w:p w:rsidRPr="009F15DA" w:rsidR="00D33E94" w:rsidP="00D33E94" w:rsidRDefault="00D33E94" w14:paraId="51EC256A" w14:textId="77777777">
      <w:pPr>
        <w:pStyle w:val="Textonotapie"/>
        <w:ind w:firstLine="709"/>
        <w:jc w:val="both"/>
        <w:rPr>
          <w:rFonts w:ascii="Verdana" w:hAnsi="Verdana" w:cs="Arial"/>
          <w:sz w:val="5"/>
          <w:szCs w:val="5"/>
        </w:rPr>
      </w:pPr>
      <w:r w:rsidRPr="009F15DA">
        <w:rPr>
          <w:rFonts w:ascii="Verdana" w:hAnsi="Verdana" w:cs="Arial"/>
          <w:sz w:val="5"/>
          <w:szCs w:val="5"/>
        </w:rPr>
        <w:t>La capacidad legal de una persona consiste en poderse obligar por sí misma, sin el ministerio o la autorización de otra”.</w:t>
      </w:r>
    </w:p>
  </w:footnote>
  <w:footnote w:id="9">
    <w:p w:rsidRPr="009F15DA" w:rsidR="00D33E94" w:rsidP="00D33E94" w:rsidRDefault="00D33E94" w14:paraId="6B642EB1" w14:textId="77777777">
      <w:pPr>
        <w:pStyle w:val="Textonotapie"/>
        <w:ind w:firstLine="709"/>
        <w:jc w:val="both"/>
        <w:rPr>
          <w:rFonts w:ascii="Verdana" w:hAnsi="Verdana" w:cs="Arial"/>
          <w:sz w:val="5"/>
          <w:szCs w:val="5"/>
        </w:rPr>
      </w:pPr>
    </w:p>
    <w:p w:rsidRPr="009F15DA" w:rsidR="00D33E94" w:rsidP="00D33E94" w:rsidRDefault="00D33E94" w14:paraId="7D603EAC" w14:textId="77777777">
      <w:pPr>
        <w:pStyle w:val="Textonotapie"/>
        <w:ind w:firstLine="709"/>
        <w:jc w:val="both"/>
        <w:rPr>
          <w:rFonts w:ascii="Verdana" w:hAnsi="Verdana" w:cs="Arial"/>
          <w:sz w:val="5"/>
          <w:szCs w:val="5"/>
        </w:rPr>
      </w:pPr>
      <w:r w:rsidRPr="009F15DA">
        <w:rPr>
          <w:rStyle w:val="Refdenotaalpie"/>
          <w:rFonts w:ascii="Verdana" w:hAnsi="Verdana" w:cs="Arial"/>
          <w:sz w:val="5"/>
          <w:szCs w:val="5"/>
        </w:rPr>
        <w:footnoteRef/>
      </w:r>
      <w:r w:rsidRPr="009F15DA">
        <w:rPr>
          <w:rFonts w:ascii="Verdana" w:hAnsi="Verdana" w:cs="Arial"/>
          <w:sz w:val="5"/>
          <w:szCs w:val="5"/>
        </w:rPr>
        <w:t xml:space="preserve"> Decreto Ley 19 de 2012: “Artículo 221. El artículo 6 de la Ley 1150 de 2007, quedará así:</w:t>
      </w:r>
    </w:p>
    <w:p w:rsidRPr="009F15DA" w:rsidR="00D33E94" w:rsidP="00D33E94" w:rsidRDefault="00D33E94" w14:paraId="70514EC8" w14:textId="77777777">
      <w:pPr>
        <w:pStyle w:val="Textonotapie"/>
        <w:ind w:firstLine="709"/>
        <w:jc w:val="both"/>
        <w:rPr>
          <w:rFonts w:ascii="Verdana" w:hAnsi="Verdana" w:cs="Arial"/>
          <w:sz w:val="5"/>
          <w:szCs w:val="5"/>
          <w:lang w:val="es-ES"/>
        </w:rPr>
      </w:pPr>
      <w:r w:rsidRPr="009F15DA">
        <w:rPr>
          <w:rFonts w:ascii="Verdana" w:hAnsi="Verdana" w:cs="Arial"/>
          <w:sz w:val="5"/>
          <w:szCs w:val="5"/>
        </w:rPr>
        <w:t>Artículo 6. De la verificación de las condiciones de los proponentes. T</w:t>
      </w:r>
      <w:r w:rsidRPr="009F15DA">
        <w:rPr>
          <w:rFonts w:ascii="Verdana" w:hAnsi="Verdana" w:cs="Arial"/>
          <w:sz w:val="5"/>
          <w:szCs w:val="5"/>
          <w:lang w:val="es-ES"/>
        </w:rPr>
        <w: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9F15DA" w:rsidR="00D33E94" w:rsidP="00D33E94" w:rsidRDefault="00D33E94" w14:paraId="7A484A0F" w14:textId="77777777">
      <w:pPr>
        <w:pStyle w:val="Textonotapie"/>
        <w:ind w:firstLine="709"/>
        <w:jc w:val="both"/>
        <w:rPr>
          <w:rFonts w:ascii="Verdana" w:hAnsi="Verdana" w:cs="Arial"/>
          <w:sz w:val="5"/>
          <w:szCs w:val="5"/>
          <w:lang w:val="es-ES"/>
        </w:rPr>
      </w:pPr>
      <w:r w:rsidRPr="009F15DA">
        <w:rPr>
          <w:rFonts w:ascii="Verdana" w:hAnsi="Verdana" w:cs="Arial"/>
          <w:sz w:val="5"/>
          <w:szCs w:val="5"/>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footnote>
  <w:footnote w:id="10">
    <w:p w:rsidRPr="009F15DA" w:rsidR="00D33E94" w:rsidP="00D33E94" w:rsidRDefault="00D33E94" w14:paraId="424E27F2" w14:textId="77777777">
      <w:pPr>
        <w:pStyle w:val="Textonotapie"/>
        <w:ind w:firstLine="709"/>
        <w:jc w:val="both"/>
        <w:rPr>
          <w:rFonts w:ascii="Verdana" w:hAnsi="Verdana" w:cs="Arial"/>
          <w:sz w:val="5"/>
          <w:szCs w:val="5"/>
          <w:lang w:val="es-ES"/>
        </w:rPr>
      </w:pPr>
      <w:r w:rsidRPr="009F15DA">
        <w:rPr>
          <w:rStyle w:val="Refdenotaalpie"/>
          <w:rFonts w:ascii="Verdana" w:hAnsi="Verdana" w:cs="Arial"/>
          <w:sz w:val="5"/>
          <w:szCs w:val="5"/>
        </w:rPr>
        <w:footnoteRef/>
      </w:r>
      <w:r w:rsidRPr="009F15DA">
        <w:rPr>
          <w:rFonts w:ascii="Verdana" w:hAnsi="Verdana" w:cs="Arial"/>
          <w:sz w:val="5"/>
          <w:szCs w:val="5"/>
        </w:rPr>
        <w:t xml:space="preserve"> </w:t>
      </w:r>
      <w:r w:rsidRPr="009F15DA">
        <w:rPr>
          <w:rFonts w:ascii="Verdana" w:hAnsi="Verdana" w:cs="Arial"/>
          <w:sz w:val="5"/>
          <w:szCs w:val="5"/>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9F15DA">
        <w:rPr>
          <w:rFonts w:ascii="Verdana" w:hAnsi="Verdana" w:cs="Arial"/>
          <w:i/>
          <w:iCs/>
          <w:sz w:val="5"/>
          <w:szCs w:val="5"/>
          <w:lang w:val="es-ES"/>
        </w:rPr>
        <w:t>el régimen de inhabilidades e incompatibilidades</w:t>
      </w:r>
      <w:r w:rsidRPr="009F15DA">
        <w:rPr>
          <w:rFonts w:ascii="Verdana" w:hAnsi="Verdana" w:cs="Arial"/>
          <w:sz w:val="5"/>
          <w:szCs w:val="5"/>
          <w:lang w:val="es-ES"/>
        </w:rPr>
        <w:t xml:space="preserve"> (1) y la obligación de ciertos proponentes de inscribirse en el </w:t>
      </w:r>
      <w:r w:rsidRPr="009F15DA">
        <w:rPr>
          <w:rFonts w:ascii="Verdana" w:hAnsi="Verdana" w:cs="Arial"/>
          <w:i/>
          <w:iCs/>
          <w:sz w:val="5"/>
          <w:szCs w:val="5"/>
          <w:lang w:val="es-ES"/>
        </w:rPr>
        <w:t>registro único</w:t>
      </w:r>
      <w:r w:rsidRPr="009F15DA">
        <w:rPr>
          <w:rFonts w:ascii="Verdana" w:hAnsi="Verdana" w:cs="Arial"/>
          <w:sz w:val="5"/>
          <w:szCs w:val="5"/>
          <w:lang w:val="es-ES"/>
        </w:rPr>
        <w:t xml:space="preserve"> (2)” (BENAVIDES, José Luis. El contrato estatal. Entre el Derecho público y el Derecho privado. 2ª ed. Bogotá: Universidad Externado de Colombia, 2004. p. 278). </w:t>
      </w:r>
    </w:p>
  </w:footnote>
  <w:footnote w:id="11">
    <w:p w:rsidRPr="009F15DA" w:rsidR="00D33E94" w:rsidP="00D33E94" w:rsidRDefault="00D33E94" w14:paraId="4B5F4A8D" w14:textId="77777777">
      <w:pPr>
        <w:spacing w:after="0" w:line="240" w:lineRule="auto"/>
        <w:ind w:firstLine="709"/>
        <w:jc w:val="both"/>
        <w:rPr>
          <w:rFonts w:ascii="Verdana" w:hAnsi="Verdana" w:cs="Arial"/>
          <w:sz w:val="5"/>
          <w:szCs w:val="5"/>
        </w:rPr>
      </w:pPr>
    </w:p>
    <w:p w:rsidRPr="000B4BC8" w:rsidR="00D33E94" w:rsidP="00D33E94" w:rsidRDefault="00D33E94" w14:paraId="21BBE2AF" w14:textId="77777777">
      <w:pPr>
        <w:spacing w:after="0" w:line="240" w:lineRule="auto"/>
        <w:ind w:firstLine="709"/>
        <w:jc w:val="both"/>
        <w:rPr>
          <w:rFonts w:ascii="Verdana" w:hAnsi="Verdana" w:cs="Arial"/>
          <w:sz w:val="8"/>
          <w:szCs w:val="8"/>
          <w:lang w:val="es-ES"/>
        </w:rPr>
      </w:pPr>
      <w:r w:rsidRPr="009F15DA">
        <w:rPr>
          <w:rStyle w:val="Refdenotaalpie"/>
          <w:rFonts w:ascii="Verdana" w:hAnsi="Verdana" w:cs="Arial"/>
          <w:sz w:val="5"/>
          <w:szCs w:val="5"/>
        </w:rPr>
        <w:footnoteRef/>
      </w:r>
      <w:r w:rsidRPr="009F15DA">
        <w:rPr>
          <w:rFonts w:ascii="Verdana" w:hAnsi="Verdana" w:cs="Arial"/>
          <w:sz w:val="5"/>
          <w:szCs w:val="5"/>
        </w:rPr>
        <w:t xml:space="preserve"> </w:t>
      </w:r>
      <w:r w:rsidRPr="009F15DA">
        <w:rPr>
          <w:rFonts w:ascii="Verdana" w:hAnsi="Verdana" w:cs="Arial"/>
          <w:sz w:val="5"/>
          <w:szCs w:val="5"/>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footnote>
  <w:footnote w:id="12">
    <w:p w:rsidRPr="009F15DA" w:rsidR="00D33E94" w:rsidP="00D33E94" w:rsidRDefault="00D33E94" w14:paraId="3FF416C9" w14:textId="77777777">
      <w:pPr>
        <w:pStyle w:val="Textonotapie"/>
        <w:ind w:firstLine="709"/>
        <w:jc w:val="both"/>
        <w:rPr>
          <w:rFonts w:ascii="Verdana" w:hAnsi="Verdana" w:cs="Arial"/>
          <w:sz w:val="5"/>
          <w:szCs w:val="5"/>
        </w:rPr>
      </w:pPr>
    </w:p>
    <w:p w:rsidRPr="009F15DA" w:rsidR="00D33E94" w:rsidP="00D33E94" w:rsidRDefault="00D33E94" w14:paraId="121AF43D" w14:textId="77777777">
      <w:pPr>
        <w:pStyle w:val="Textonotapie"/>
        <w:ind w:firstLine="709"/>
        <w:jc w:val="both"/>
        <w:rPr>
          <w:rFonts w:ascii="Verdana" w:hAnsi="Verdana" w:cs="Arial"/>
          <w:sz w:val="5"/>
          <w:szCs w:val="5"/>
          <w:lang w:val="es-ES"/>
        </w:rPr>
      </w:pPr>
      <w:r w:rsidRPr="009F15DA">
        <w:rPr>
          <w:rStyle w:val="Refdenotaalpie"/>
          <w:rFonts w:ascii="Verdana" w:hAnsi="Verdana" w:cs="Arial"/>
          <w:sz w:val="5"/>
          <w:szCs w:val="5"/>
        </w:rPr>
        <w:footnoteRef/>
      </w:r>
      <w:r w:rsidRPr="009F15DA">
        <w:rPr>
          <w:rFonts w:ascii="Verdana" w:hAnsi="Verdana" w:cs="Arial"/>
          <w:sz w:val="5"/>
          <w:szCs w:val="5"/>
        </w:rPr>
        <w:t xml:space="preserve"> </w:t>
      </w:r>
      <w:r w:rsidRPr="009F15DA">
        <w:rPr>
          <w:rFonts w:ascii="Verdana" w:hAnsi="Verdana" w:cs="Arial"/>
          <w:sz w:val="5"/>
          <w:szCs w:val="5"/>
          <w:lang w:val="es-ES"/>
        </w:rPr>
        <w:t>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footnote>
  <w:footnote w:id="13">
    <w:p w:rsidRPr="009F15DA" w:rsidR="00D33E94" w:rsidP="00D33E94" w:rsidRDefault="00D33E94" w14:paraId="2F188C1F" w14:textId="77777777">
      <w:pPr>
        <w:pStyle w:val="Textonotapie"/>
        <w:ind w:firstLine="709"/>
        <w:jc w:val="both"/>
        <w:rPr>
          <w:rFonts w:ascii="Verdana" w:hAnsi="Verdana" w:cs="Arial"/>
          <w:sz w:val="5"/>
          <w:szCs w:val="5"/>
        </w:rPr>
      </w:pPr>
    </w:p>
    <w:p w:rsidRPr="009F15DA" w:rsidR="00D33E94" w:rsidP="00D33E94" w:rsidRDefault="00D33E94" w14:paraId="5BC4516F" w14:textId="77777777">
      <w:pPr>
        <w:pStyle w:val="Textonotapie"/>
        <w:ind w:firstLine="709"/>
        <w:jc w:val="both"/>
        <w:rPr>
          <w:rFonts w:ascii="Verdana" w:hAnsi="Verdana" w:cs="Arial"/>
          <w:sz w:val="5"/>
          <w:szCs w:val="5"/>
          <w:lang w:val="es-ES"/>
        </w:rPr>
      </w:pPr>
      <w:r w:rsidRPr="009F15DA">
        <w:rPr>
          <w:rStyle w:val="Refdenotaalpie"/>
          <w:rFonts w:ascii="Verdana" w:hAnsi="Verdana" w:cs="Arial"/>
          <w:sz w:val="5"/>
          <w:szCs w:val="5"/>
        </w:rPr>
        <w:footnoteRef/>
      </w:r>
      <w:r w:rsidRPr="009F15DA">
        <w:rPr>
          <w:rFonts w:ascii="Verdana" w:hAnsi="Verdana" w:cs="Arial"/>
          <w:sz w:val="5"/>
          <w:szCs w:val="5"/>
        </w:rPr>
        <w:t xml:space="preserve"> </w:t>
      </w:r>
      <w:r w:rsidRPr="009F15DA">
        <w:rPr>
          <w:rFonts w:ascii="Verdana" w:hAnsi="Verdana" w:cs="Arial"/>
          <w:sz w:val="5"/>
          <w:szCs w:val="5"/>
          <w:lang w:val="es-ES"/>
        </w:rPr>
        <w:t>Verbigracia, entre otras, las que se indican a continuación: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w:t>
      </w:r>
      <w:r w:rsidRPr="009F15DA">
        <w:rPr>
          <w:rFonts w:ascii="Arial" w:hAnsi="Arial" w:cs="Arial"/>
          <w:sz w:val="5"/>
          <w:szCs w:val="5"/>
          <w:lang w:val="es-ES"/>
        </w:rPr>
        <w:t xml:space="preserve"> </w:t>
      </w:r>
      <w:r w:rsidRPr="009F15DA">
        <w:rPr>
          <w:rFonts w:ascii="Verdana" w:hAnsi="Verdana" w:cs="Arial"/>
          <w:sz w:val="5"/>
          <w:szCs w:val="5"/>
          <w:lang w:val="es-ES"/>
        </w:rPr>
        <w:t>administrativo para el cual fue elegido el candidato […]” (art. 8, num. 1º, lit. k), Ley 80/93, modificado por el art. 33, Ley 1778/16); “Quienes fueron miembros de la junta o consejo directivo o servidores públicos de la entidad contratante” (art. 8, num. 2º, lit. a), Ley 80/93);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w:t>
      </w:r>
    </w:p>
    <w:p w:rsidRPr="009F15DA" w:rsidR="00D33E94" w:rsidP="00D33E94" w:rsidRDefault="00D33E94" w14:paraId="1574F6CE" w14:textId="77777777">
      <w:pPr>
        <w:pStyle w:val="Textonotapie"/>
        <w:ind w:firstLine="709"/>
        <w:jc w:val="both"/>
        <w:rPr>
          <w:rFonts w:ascii="Verdana" w:hAnsi="Verdana" w:cs="Arial"/>
          <w:sz w:val="5"/>
          <w:szCs w:val="5"/>
          <w:lang w:val="es-ES"/>
        </w:rPr>
      </w:pPr>
    </w:p>
  </w:footnote>
  <w:footnote w:id="14">
    <w:p w:rsidRPr="009F15DA" w:rsidR="00D33E94" w:rsidP="00D33E94" w:rsidRDefault="00D33E94" w14:paraId="432CEA64" w14:textId="77777777">
      <w:pPr>
        <w:spacing w:after="0" w:line="240" w:lineRule="auto"/>
        <w:ind w:firstLine="709"/>
        <w:jc w:val="both"/>
        <w:rPr>
          <w:rFonts w:ascii="Verdana" w:hAnsi="Verdana" w:cs="Arial"/>
          <w:sz w:val="5"/>
          <w:szCs w:val="5"/>
          <w:lang w:val="es-ES"/>
        </w:rPr>
      </w:pPr>
      <w:r w:rsidRPr="009F15DA">
        <w:rPr>
          <w:rStyle w:val="Refdenotaalpie"/>
          <w:rFonts w:ascii="Verdana" w:hAnsi="Verdana" w:cs="Arial"/>
          <w:sz w:val="5"/>
          <w:szCs w:val="5"/>
        </w:rPr>
        <w:footnoteRef/>
      </w:r>
      <w:r w:rsidRPr="009F15DA">
        <w:rPr>
          <w:rFonts w:ascii="Verdana" w:hAnsi="Verdana" w:cs="Arial"/>
          <w:sz w:val="5"/>
          <w:szCs w:val="5"/>
        </w:rPr>
        <w:t xml:space="preserve"> </w:t>
      </w:r>
      <w:r w:rsidRPr="009F15DA">
        <w:rPr>
          <w:rFonts w:ascii="Verdana" w:hAnsi="Verdana" w:cs="Arial"/>
          <w:sz w:val="5"/>
          <w:szCs w:val="5"/>
          <w:lang w:val="es-ES"/>
        </w:rPr>
        <w:t xml:space="preserve">Como las señaladas a continuación: “Los servidores públicos” (art. 8, 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footnote>
  <w:footnote w:id="15">
    <w:p w:rsidRPr="009F15DA" w:rsidR="00D33E94" w:rsidP="00D33E94" w:rsidRDefault="00D33E94" w14:paraId="2D28E8F4" w14:textId="77777777">
      <w:pPr>
        <w:pStyle w:val="Textonotapie"/>
        <w:ind w:firstLine="709"/>
        <w:jc w:val="both"/>
        <w:rPr>
          <w:rFonts w:ascii="Verdana" w:hAnsi="Verdana" w:cs="Arial"/>
          <w:sz w:val="5"/>
          <w:szCs w:val="5"/>
        </w:rPr>
      </w:pPr>
    </w:p>
    <w:p w:rsidRPr="009F15DA" w:rsidR="00D33E94" w:rsidP="00D33E94" w:rsidRDefault="00D33E94" w14:paraId="157D9E54" w14:textId="77777777">
      <w:pPr>
        <w:pStyle w:val="Textonotapie"/>
        <w:ind w:firstLine="709"/>
        <w:jc w:val="both"/>
        <w:rPr>
          <w:rFonts w:ascii="Verdana" w:hAnsi="Verdana" w:cs="Arial"/>
          <w:sz w:val="5"/>
          <w:szCs w:val="5"/>
        </w:rPr>
      </w:pPr>
      <w:r w:rsidRPr="009F15DA">
        <w:rPr>
          <w:rStyle w:val="Refdenotaalpie"/>
          <w:rFonts w:ascii="Verdana" w:hAnsi="Verdana" w:cs="Arial"/>
          <w:sz w:val="5"/>
          <w:szCs w:val="5"/>
        </w:rPr>
        <w:footnoteRef/>
      </w:r>
      <w:r w:rsidRPr="009F15DA">
        <w:rPr>
          <w:rFonts w:ascii="Verdana" w:hAnsi="Verdana" w:cs="Arial"/>
          <w:sz w:val="5"/>
          <w:szCs w:val="5"/>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footnote>
  <w:footnote w:id="16">
    <w:p w:rsidRPr="009F15DA" w:rsidR="00D33E94" w:rsidP="00D33E94" w:rsidRDefault="00D33E94" w14:paraId="0F2FAD26" w14:textId="77777777">
      <w:pPr>
        <w:pStyle w:val="Textonotapie"/>
        <w:ind w:firstLine="709"/>
        <w:jc w:val="both"/>
        <w:rPr>
          <w:rFonts w:ascii="Verdana" w:hAnsi="Verdana" w:cs="Arial"/>
          <w:sz w:val="5"/>
          <w:szCs w:val="5"/>
        </w:rPr>
      </w:pPr>
    </w:p>
    <w:p w:rsidRPr="000B4BC8" w:rsidR="00D33E94" w:rsidP="00D33E94" w:rsidRDefault="00D33E94" w14:paraId="331239DC" w14:textId="77777777">
      <w:pPr>
        <w:pStyle w:val="Textonotapie"/>
        <w:ind w:firstLine="709"/>
        <w:jc w:val="both"/>
        <w:rPr>
          <w:rFonts w:ascii="Arial" w:hAnsi="Arial" w:cs="Arial"/>
          <w:sz w:val="8"/>
          <w:szCs w:val="8"/>
          <w:lang w:val="es-ES"/>
        </w:rPr>
      </w:pPr>
      <w:r w:rsidRPr="009F15DA">
        <w:rPr>
          <w:rStyle w:val="Refdenotaalpie"/>
          <w:rFonts w:ascii="Verdana" w:hAnsi="Verdana" w:cs="Arial"/>
          <w:sz w:val="5"/>
          <w:szCs w:val="5"/>
        </w:rPr>
        <w:footnoteRef/>
      </w:r>
      <w:r w:rsidRPr="009F15DA">
        <w:rPr>
          <w:rFonts w:ascii="Verdana" w:hAnsi="Verdana" w:cs="Arial"/>
          <w:sz w:val="5"/>
          <w:szCs w:val="5"/>
        </w:rPr>
        <w:t xml:space="preserve"> </w:t>
      </w:r>
      <w:r w:rsidRPr="009F15DA">
        <w:rPr>
          <w:rFonts w:ascii="Verdana" w:hAnsi="Verdana" w:cs="Arial"/>
          <w:sz w:val="5"/>
          <w:szCs w:val="5"/>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footnote>
  <w:footnote w:id="17">
    <w:p w:rsidRPr="009F15DA" w:rsidR="00D33E94" w:rsidP="00D33E94" w:rsidRDefault="00D33E94" w14:paraId="5D428975" w14:textId="77777777">
      <w:pPr>
        <w:pStyle w:val="Textonotapie"/>
        <w:ind w:firstLine="709"/>
        <w:jc w:val="both"/>
        <w:rPr>
          <w:rFonts w:ascii="Verdana" w:hAnsi="Verdana" w:cs="Arial"/>
          <w:sz w:val="5"/>
          <w:szCs w:val="5"/>
        </w:rPr>
      </w:pPr>
    </w:p>
    <w:p w:rsidRPr="009F15DA" w:rsidR="00D33E94" w:rsidP="00D33E94" w:rsidRDefault="00D33E94" w14:paraId="5CA033DB" w14:textId="77777777">
      <w:pPr>
        <w:pStyle w:val="Textonotapie"/>
        <w:ind w:firstLine="709"/>
        <w:jc w:val="both"/>
        <w:rPr>
          <w:rFonts w:ascii="Verdana" w:hAnsi="Verdana" w:cs="Arial"/>
          <w:sz w:val="5"/>
          <w:szCs w:val="5"/>
          <w:lang w:val="pt-BR"/>
        </w:rPr>
      </w:pPr>
      <w:r w:rsidRPr="009F15DA">
        <w:rPr>
          <w:rStyle w:val="Refdenotaalpie"/>
          <w:rFonts w:ascii="Verdana" w:hAnsi="Verdana" w:cs="Arial"/>
          <w:sz w:val="5"/>
          <w:szCs w:val="5"/>
        </w:rPr>
        <w:footnoteRef/>
      </w:r>
      <w:r w:rsidRPr="009F15DA">
        <w:rPr>
          <w:rFonts w:ascii="Verdana" w:hAnsi="Verdana" w:cs="Arial"/>
          <w:sz w:val="5"/>
          <w:szCs w:val="5"/>
        </w:rPr>
        <w:t xml:space="preserve"> </w:t>
      </w:r>
      <w:r w:rsidRPr="009F15DA">
        <w:rPr>
          <w:rFonts w:ascii="Verdana" w:hAnsi="Verdana" w:cs="Arial"/>
          <w:sz w:val="5"/>
          <w:szCs w:val="5"/>
          <w:lang w:val="pt-BR"/>
        </w:rPr>
        <w:t>Corte Constitucional. Sentencia C-415 de 1994. M.P. Eduardo Cifuentes Muñoz.</w:t>
      </w:r>
    </w:p>
  </w:footnote>
  <w:footnote w:id="18">
    <w:p w:rsidRPr="009F15DA" w:rsidR="00D33E94" w:rsidP="00D33E94" w:rsidRDefault="00D33E94" w14:paraId="08F2370C" w14:textId="77777777">
      <w:pPr>
        <w:pStyle w:val="Textonotapie"/>
        <w:ind w:firstLine="709"/>
        <w:jc w:val="both"/>
        <w:rPr>
          <w:rFonts w:ascii="Verdana" w:hAnsi="Verdana" w:cs="Arial"/>
          <w:sz w:val="5"/>
          <w:szCs w:val="5"/>
        </w:rPr>
      </w:pPr>
    </w:p>
    <w:p w:rsidRPr="009F15DA" w:rsidR="00D33E94" w:rsidP="00D33E94" w:rsidRDefault="00D33E94" w14:paraId="4F367CB5" w14:textId="77777777">
      <w:pPr>
        <w:pStyle w:val="Textonotapie"/>
        <w:ind w:firstLine="709"/>
        <w:jc w:val="both"/>
        <w:rPr>
          <w:rFonts w:ascii="Verdana" w:hAnsi="Verdana" w:cs="Arial"/>
          <w:color w:val="000000" w:themeColor="text1"/>
          <w:sz w:val="5"/>
          <w:szCs w:val="5"/>
        </w:rPr>
      </w:pPr>
      <w:r w:rsidRPr="009F15DA">
        <w:rPr>
          <w:rStyle w:val="Refdenotaalpie"/>
          <w:rFonts w:ascii="Verdana" w:hAnsi="Verdana" w:cs="Arial"/>
          <w:sz w:val="5"/>
          <w:szCs w:val="5"/>
        </w:rPr>
        <w:footnoteRef/>
      </w:r>
      <w:r w:rsidRPr="009F15DA">
        <w:rPr>
          <w:rFonts w:ascii="Verdana" w:hAnsi="Verdana" w:cs="Arial"/>
          <w:sz w:val="5"/>
          <w:szCs w:val="5"/>
        </w:rPr>
        <w:t xml:space="preserve"> </w:t>
      </w:r>
      <w:r w:rsidRPr="009F15DA">
        <w:rPr>
          <w:rFonts w:ascii="Verdana" w:hAnsi="Verdana" w:cs="Arial"/>
          <w:color w:val="000000" w:themeColor="text1"/>
          <w:sz w:val="5"/>
          <w:szCs w:val="5"/>
          <w:lang w:val="pt-BR"/>
        </w:rPr>
        <w:t xml:space="preserve">CONSEJO DE ESTADO. Sala de lo contencioso administrativo. Sentencia del 12 de diciembre de 2014. Exp. 26496. C.P. Ramiro Pazos Guerrero. </w:t>
      </w:r>
      <w:r w:rsidRPr="009F15DA">
        <w:rPr>
          <w:rFonts w:ascii="Verdana" w:hAnsi="Verdana" w:cs="Arial"/>
          <w:color w:val="000000" w:themeColor="text1"/>
          <w:sz w:val="5"/>
          <w:szCs w:val="5"/>
        </w:rPr>
        <w:t>En similar sentido, la doctrina expresa que: “[…]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footnote>
  <w:footnote w:id="19">
    <w:p w:rsidRPr="009F15DA" w:rsidR="00D33E94" w:rsidP="00D33E94" w:rsidRDefault="00D33E94" w14:paraId="785B122E" w14:textId="77777777">
      <w:pPr>
        <w:pStyle w:val="Textonotapie"/>
        <w:ind w:firstLine="709"/>
        <w:jc w:val="both"/>
        <w:rPr>
          <w:rFonts w:ascii="Verdana" w:hAnsi="Verdana" w:cs="Arial"/>
          <w:sz w:val="5"/>
          <w:szCs w:val="5"/>
        </w:rPr>
      </w:pPr>
    </w:p>
    <w:p w:rsidRPr="000B4BC8" w:rsidR="00D33E94" w:rsidP="00D33E94" w:rsidRDefault="00D33E94" w14:paraId="58D5542A" w14:textId="77777777">
      <w:pPr>
        <w:pStyle w:val="Textonotapie"/>
        <w:ind w:firstLine="709"/>
        <w:jc w:val="both"/>
        <w:rPr>
          <w:rFonts w:ascii="Arial" w:hAnsi="Arial" w:cs="Arial"/>
          <w:sz w:val="8"/>
          <w:szCs w:val="8"/>
          <w:lang w:val="es-ES_tradnl"/>
        </w:rPr>
      </w:pPr>
      <w:r w:rsidRPr="009F15DA">
        <w:rPr>
          <w:rStyle w:val="Refdenotaalpie"/>
          <w:rFonts w:ascii="Verdana" w:hAnsi="Verdana" w:cs="Arial"/>
          <w:sz w:val="5"/>
          <w:szCs w:val="5"/>
        </w:rPr>
        <w:footnoteRef/>
      </w:r>
      <w:r w:rsidRPr="009F15DA">
        <w:rPr>
          <w:rFonts w:ascii="Verdana" w:hAnsi="Verdana" w:cs="Arial"/>
          <w:sz w:val="5"/>
          <w:szCs w:val="5"/>
        </w:rPr>
        <w:t xml:space="preserve"> </w:t>
      </w:r>
      <w:r w:rsidRPr="009F15DA">
        <w:rPr>
          <w:rFonts w:ascii="Verdana" w:hAnsi="Verdana" w:cs="Arial"/>
          <w:color w:val="000000" w:themeColor="text1"/>
          <w:sz w:val="5"/>
          <w:szCs w:val="5"/>
        </w:rPr>
        <w:t>CONSEJO DE ESTADO. Sala de Consulta y Servicio Civil. Concepto del 29 de abril de 1998. Rad. 1097. C.P. Augusto Trejos Jaramillo.</w:t>
      </w:r>
    </w:p>
  </w:footnote>
  <w:footnote w:id="20">
    <w:p w:rsidRPr="009F15DA" w:rsidR="00D33E94" w:rsidP="00D33E94" w:rsidRDefault="00D33E94" w14:paraId="0B0AA701" w14:textId="77777777">
      <w:pPr>
        <w:pStyle w:val="Textonotapie"/>
        <w:ind w:firstLine="709"/>
        <w:jc w:val="both"/>
        <w:rPr>
          <w:rFonts w:ascii="Verdana" w:hAnsi="Verdana" w:cs="Arial"/>
          <w:sz w:val="5"/>
          <w:szCs w:val="5"/>
        </w:rPr>
      </w:pPr>
      <w:r w:rsidRPr="009F15DA">
        <w:rPr>
          <w:rStyle w:val="Refdenotaalpie"/>
          <w:rFonts w:ascii="Verdana" w:hAnsi="Verdana" w:cs="Arial"/>
          <w:sz w:val="5"/>
          <w:szCs w:val="5"/>
        </w:rPr>
        <w:footnoteRef/>
      </w:r>
      <w:r w:rsidRPr="009F15DA">
        <w:rPr>
          <w:rFonts w:ascii="Verdana" w:hAnsi="Verdana" w:cs="Arial"/>
          <w:sz w:val="5"/>
          <w:szCs w:val="5"/>
        </w:rPr>
        <w:t xml:space="preserve"> Código Civil: “Artículo 633. Definición de persona jurídica. Se llama persona jurídica, una persona ficticia, capaz de ejercer derechos y contraer obligaciones civiles, y de ser representada judicial y extrajudicialmente.</w:t>
      </w:r>
    </w:p>
    <w:p w:rsidRPr="009F15DA" w:rsidR="00D33E94" w:rsidP="00D33E94" w:rsidRDefault="00D33E94" w14:paraId="32B57960" w14:textId="77777777">
      <w:pPr>
        <w:pStyle w:val="Textonotapie"/>
        <w:ind w:firstLine="709"/>
        <w:jc w:val="both"/>
        <w:rPr>
          <w:rFonts w:ascii="Verdana" w:hAnsi="Verdana" w:cs="Arial"/>
          <w:sz w:val="5"/>
          <w:szCs w:val="5"/>
        </w:rPr>
      </w:pPr>
      <w:r w:rsidRPr="009F15DA">
        <w:rPr>
          <w:rFonts w:ascii="Verdana" w:hAnsi="Verdana" w:cs="Arial"/>
          <w:sz w:val="5"/>
          <w:szCs w:val="5"/>
        </w:rPr>
        <w:t>Las personas jurídicas son de dos especies: corporaciones y fundaciones de beneficencia pública.</w:t>
      </w:r>
    </w:p>
    <w:p w:rsidRPr="009F15DA" w:rsidR="00D33E94" w:rsidP="00D33E94" w:rsidRDefault="00D33E94" w14:paraId="76FE3190" w14:textId="77777777">
      <w:pPr>
        <w:pStyle w:val="Textonotapie"/>
        <w:ind w:firstLine="709"/>
        <w:jc w:val="both"/>
        <w:rPr>
          <w:rFonts w:ascii="Verdana" w:hAnsi="Verdana" w:cs="Arial"/>
          <w:sz w:val="5"/>
          <w:szCs w:val="5"/>
        </w:rPr>
      </w:pPr>
      <w:r w:rsidRPr="009F15DA">
        <w:rPr>
          <w:rFonts w:ascii="Verdana" w:hAnsi="Verdana" w:cs="Arial"/>
          <w:sz w:val="5"/>
          <w:szCs w:val="5"/>
        </w:rPr>
        <w:t>Hay personas jurídicas que participan de uno y otro carácter”.</w:t>
      </w:r>
    </w:p>
    <w:p w:rsidRPr="009F15DA" w:rsidR="00D33E94" w:rsidP="00D33E94" w:rsidRDefault="00D33E94" w14:paraId="10C04B6A" w14:textId="77777777">
      <w:pPr>
        <w:pStyle w:val="Textonotapie"/>
        <w:ind w:firstLine="709"/>
        <w:jc w:val="both"/>
        <w:rPr>
          <w:rFonts w:ascii="Verdana" w:hAnsi="Verdana" w:cs="Arial"/>
          <w:sz w:val="5"/>
          <w:szCs w:val="5"/>
          <w:lang w:val="es-CO"/>
        </w:rPr>
      </w:pPr>
    </w:p>
  </w:footnote>
  <w:footnote w:id="21">
    <w:p w:rsidRPr="009F15DA" w:rsidR="00D33E94" w:rsidP="00D33E94" w:rsidRDefault="00D33E94" w14:paraId="3C19DCC7" w14:textId="77777777">
      <w:pPr>
        <w:pStyle w:val="Textonotapie"/>
        <w:ind w:firstLine="709"/>
        <w:jc w:val="both"/>
        <w:rPr>
          <w:rFonts w:ascii="Verdana" w:hAnsi="Verdana" w:cs="Arial"/>
          <w:sz w:val="5"/>
          <w:szCs w:val="5"/>
        </w:rPr>
      </w:pPr>
      <w:r w:rsidRPr="009F15DA">
        <w:rPr>
          <w:rStyle w:val="Refdenotaalpie"/>
          <w:rFonts w:ascii="Verdana" w:hAnsi="Verdana" w:cs="Arial"/>
          <w:sz w:val="5"/>
          <w:szCs w:val="5"/>
        </w:rPr>
        <w:footnoteRef/>
      </w:r>
      <w:r w:rsidRPr="009F15DA">
        <w:rPr>
          <w:rFonts w:ascii="Verdana" w:hAnsi="Verdana" w:cs="Arial"/>
          <w:sz w:val="5"/>
          <w:szCs w:val="5"/>
        </w:rPr>
        <w:t xml:space="preserve"> Código de Comercio: “Artículo 99. Capacidad de la sociedad. La capacidad de la sociedad se circunscribirá al desarrollo de la empresa o actividad prevista en su objeto. Se entenderán incluidos en el objeto social los actos directamente relacionados con el mismo y los que tengan como finalidad ejercer los derechos o cumplir las obligaciones, legal o convencionalmente derivados de la existencia y actividad de la sociedad”.</w:t>
      </w:r>
    </w:p>
    <w:p w:rsidRPr="009F15DA" w:rsidR="00D33E94" w:rsidP="00D33E94" w:rsidRDefault="00D33E94" w14:paraId="47378BC5" w14:textId="77777777">
      <w:pPr>
        <w:pStyle w:val="Textonotapie"/>
        <w:ind w:firstLine="709"/>
        <w:jc w:val="both"/>
        <w:rPr>
          <w:rFonts w:ascii="Arial" w:hAnsi="Arial" w:cs="Arial"/>
          <w:sz w:val="5"/>
          <w:szCs w:val="5"/>
          <w:lang w:val="es-CO"/>
        </w:rPr>
      </w:pPr>
      <w:r w:rsidRPr="009F15DA">
        <w:rPr>
          <w:rFonts w:ascii="Arial" w:hAnsi="Arial" w:cs="Arial"/>
          <w:sz w:val="5"/>
          <w:szCs w:val="5"/>
        </w:rPr>
        <w:t xml:space="preserve"> </w:t>
      </w:r>
    </w:p>
  </w:footnote>
  <w:footnote w:id="22">
    <w:p w:rsidRPr="009F15DA" w:rsidR="00D33E94" w:rsidP="00D33E94" w:rsidRDefault="00D33E94" w14:paraId="38F9D75D" w14:textId="77777777">
      <w:pPr>
        <w:pStyle w:val="NormalWeb"/>
        <w:spacing w:after="0"/>
        <w:ind w:firstLine="708"/>
        <w:jc w:val="both"/>
        <w:rPr>
          <w:rFonts w:ascii="Verdana" w:hAnsi="Verdana" w:cs="Arial"/>
          <w:color w:val="000000"/>
          <w:sz w:val="5"/>
          <w:szCs w:val="5"/>
        </w:rPr>
      </w:pPr>
      <w:r w:rsidRPr="009F15DA">
        <w:rPr>
          <w:rStyle w:val="Refdenotaalpie"/>
          <w:rFonts w:ascii="Verdana" w:hAnsi="Verdana" w:cs="Arial"/>
          <w:sz w:val="5"/>
          <w:szCs w:val="5"/>
        </w:rPr>
        <w:footnoteRef/>
      </w:r>
      <w:r w:rsidRPr="009F15DA">
        <w:rPr>
          <w:rFonts w:ascii="Verdana" w:hAnsi="Verdana" w:cs="Arial"/>
          <w:sz w:val="5"/>
          <w:szCs w:val="5"/>
        </w:rPr>
        <w:t xml:space="preserve"> En el marco del procedimiento administrativo general, previsto en los artículos 34 y ss. del Código de Procedimiento Administrativo y de lo Contencioso Administrativo, el artículo 40 de dicha norma señala que: “</w:t>
      </w:r>
      <w:r w:rsidRPr="009F15DA">
        <w:rPr>
          <w:rFonts w:ascii="Verdana" w:hAnsi="Verdana" w:cs="Arial"/>
          <w:color w:val="000000"/>
          <w:sz w:val="5"/>
          <w:szCs w:val="5"/>
        </w:rPr>
        <w:t>Serán admisibles todos los medios de prueba señalados en el Código de Procedimiento Civil</w:t>
      </w:r>
      <w:r w:rsidRPr="009F15DA">
        <w:rPr>
          <w:rFonts w:ascii="Verdana" w:hAnsi="Verdana" w:cs="Arial"/>
          <w:sz w:val="5"/>
          <w:szCs w:val="5"/>
        </w:rPr>
        <w:t>”</w:t>
      </w:r>
      <w:r w:rsidRPr="009F15DA">
        <w:rPr>
          <w:rFonts w:ascii="Verdana" w:hAnsi="Verdana" w:cs="Arial"/>
          <w:color w:val="000000"/>
          <w:sz w:val="5"/>
          <w:szCs w:val="5"/>
        </w:rPr>
        <w:t xml:space="preserve">. Al respecto, la Ley 1564 de 2012, que subrogó el Código de Procedimiento Civil adoptando el Código General del Proceso, señala en su artículo 165 que: </w:t>
      </w:r>
      <w:r w:rsidRPr="009F15DA">
        <w:rPr>
          <w:rFonts w:ascii="Verdana" w:hAnsi="Verdana" w:cs="Arial"/>
          <w:sz w:val="5"/>
          <w:szCs w:val="5"/>
        </w:rPr>
        <w:t>“</w:t>
      </w:r>
      <w:r w:rsidRPr="009F15DA">
        <w:rPr>
          <w:rFonts w:ascii="Verdana" w:hAnsi="Verdana" w:cs="Arial"/>
          <w:color w:val="000000"/>
          <w:sz w:val="5"/>
          <w:szCs w:val="5"/>
        </w:rPr>
        <w:t>Son medios de prueba la declaración de parte, la confesión, el juramento, el testimonio de terceros, el dictamen pericial, la inspección judicial, los documentos, los indicios, los informes y cualesquiera otros medios que sean útiles para la formación del convencimiento del juez. El juez practicará las pruebas no previstas en este código de acuerdo con las disposiciones que regulen medios semejantes o según su prudente juicio, preservando los principios y garantías constitucionales</w:t>
      </w:r>
      <w:r w:rsidRPr="009F15DA">
        <w:rPr>
          <w:rFonts w:ascii="Verdana" w:hAnsi="Verdana" w:cs="Arial"/>
          <w:sz w:val="5"/>
          <w:szCs w:val="5"/>
        </w:rPr>
        <w:t>”</w:t>
      </w:r>
      <w:r w:rsidRPr="009F15DA">
        <w:rPr>
          <w:rFonts w:ascii="Verdana" w:hAnsi="Verdana" w:cs="Arial"/>
          <w:color w:val="000000"/>
          <w:sz w:val="5"/>
          <w:szCs w:val="5"/>
        </w:rPr>
        <w:t xml:space="preserve">. </w:t>
      </w:r>
    </w:p>
    <w:p w:rsidRPr="00B52F1D" w:rsidR="00D33E94" w:rsidP="00D33E94" w:rsidRDefault="00D33E94" w14:paraId="63C7D99C" w14:textId="77777777">
      <w:pPr>
        <w:pStyle w:val="NormalWeb"/>
        <w:spacing w:before="120" w:after="0"/>
        <w:ind w:firstLine="709"/>
        <w:jc w:val="both"/>
        <w:rPr>
          <w:rFonts w:ascii="Arial" w:hAnsi="Arial" w:cs="Arial"/>
          <w:sz w:val="12"/>
          <w:szCs w:val="12"/>
        </w:rPr>
      </w:pPr>
      <w:r w:rsidRPr="009F15DA">
        <w:rPr>
          <w:rFonts w:ascii="Verdana" w:hAnsi="Verdana" w:cs="Arial"/>
          <w:color w:val="000000"/>
          <w:sz w:val="5"/>
          <w:szCs w:val="5"/>
        </w:rPr>
        <w:t>Es posible acudir a las disposiciones anteriores en relación con los procedimientos administrativos de selección, en virtud de la remisión que realiza el artículo 77 de la Ley 80 de 1993: “</w:t>
      </w:r>
      <w:r w:rsidRPr="009F15DA">
        <w:rPr>
          <w:rStyle w:val="Textoennegrita"/>
          <w:rFonts w:ascii="Verdana" w:hAnsi="Verdana" w:cs="Arial"/>
          <w:color w:val="000000"/>
          <w:sz w:val="5"/>
          <w:szCs w:val="5"/>
        </w:rPr>
        <w:t>Artículo 77. De la normatividad aplicable en las actuaciones administrativas.</w:t>
      </w:r>
      <w:r w:rsidRPr="009F15DA">
        <w:rPr>
          <w:rFonts w:ascii="Verdana" w:hAnsi="Verdana" w:cs="Arial"/>
          <w:color w:val="000000"/>
          <w:sz w:val="5"/>
          <w:szCs w:val="5"/>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w:t>
      </w:r>
      <w:r w:rsidRPr="00B52F1D">
        <w:rPr>
          <w:rFonts w:ascii="Arial" w:hAnsi="Arial" w:cs="Arial"/>
          <w:color w:val="000000"/>
          <w:sz w:val="12"/>
          <w:szCs w:val="12"/>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7" style="width:11.4pt;height:11.4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0E0B74"/>
    <w:multiLevelType w:val="hybridMultilevel"/>
    <w:tmpl w:val="428C43F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5"/>
  </w:num>
  <w:num w:numId="8" w16cid:durableId="152644682">
    <w:abstractNumId w:val="13"/>
  </w:num>
  <w:num w:numId="9" w16cid:durableId="1317221377">
    <w:abstractNumId w:val="7"/>
  </w:num>
  <w:num w:numId="10" w16cid:durableId="1471245386">
    <w:abstractNumId w:val="12"/>
  </w:num>
  <w:num w:numId="11" w16cid:durableId="289172385">
    <w:abstractNumId w:val="8"/>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679089576">
    <w:abstractNumId w:val="10"/>
  </w:num>
  <w:num w:numId="18" w16cid:durableId="594171357">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36F7"/>
    <w:rsid w:val="000439A2"/>
    <w:rsid w:val="00061B2A"/>
    <w:rsid w:val="00064730"/>
    <w:rsid w:val="00082362"/>
    <w:rsid w:val="000A683E"/>
    <w:rsid w:val="000B19B9"/>
    <w:rsid w:val="000B4BC8"/>
    <w:rsid w:val="000D0334"/>
    <w:rsid w:val="000F6486"/>
    <w:rsid w:val="000F7B02"/>
    <w:rsid w:val="00125105"/>
    <w:rsid w:val="00127233"/>
    <w:rsid w:val="001860E8"/>
    <w:rsid w:val="001E4177"/>
    <w:rsid w:val="001F7DC6"/>
    <w:rsid w:val="002421BB"/>
    <w:rsid w:val="0025796E"/>
    <w:rsid w:val="00261F76"/>
    <w:rsid w:val="002707A2"/>
    <w:rsid w:val="002951A0"/>
    <w:rsid w:val="002962BC"/>
    <w:rsid w:val="002A093D"/>
    <w:rsid w:val="002A0DD0"/>
    <w:rsid w:val="002A49AC"/>
    <w:rsid w:val="002A64FD"/>
    <w:rsid w:val="002C7A84"/>
    <w:rsid w:val="002E0FA9"/>
    <w:rsid w:val="002E4FD9"/>
    <w:rsid w:val="002F1CBE"/>
    <w:rsid w:val="00306A1E"/>
    <w:rsid w:val="00322A85"/>
    <w:rsid w:val="00324168"/>
    <w:rsid w:val="003448F4"/>
    <w:rsid w:val="00374F5E"/>
    <w:rsid w:val="00377E3E"/>
    <w:rsid w:val="003A26D1"/>
    <w:rsid w:val="003A779E"/>
    <w:rsid w:val="003C5F95"/>
    <w:rsid w:val="003D0F4D"/>
    <w:rsid w:val="003D5B0D"/>
    <w:rsid w:val="003E0499"/>
    <w:rsid w:val="003F3941"/>
    <w:rsid w:val="003F75B8"/>
    <w:rsid w:val="00406575"/>
    <w:rsid w:val="0042722E"/>
    <w:rsid w:val="0044528D"/>
    <w:rsid w:val="0044775A"/>
    <w:rsid w:val="00460EEA"/>
    <w:rsid w:val="00475E7C"/>
    <w:rsid w:val="004A1847"/>
    <w:rsid w:val="004A305D"/>
    <w:rsid w:val="004B5FAF"/>
    <w:rsid w:val="004D185A"/>
    <w:rsid w:val="004F21C4"/>
    <w:rsid w:val="004F685F"/>
    <w:rsid w:val="005566E8"/>
    <w:rsid w:val="00563636"/>
    <w:rsid w:val="0056491F"/>
    <w:rsid w:val="005710DA"/>
    <w:rsid w:val="00574867"/>
    <w:rsid w:val="00591460"/>
    <w:rsid w:val="00592628"/>
    <w:rsid w:val="005C3777"/>
    <w:rsid w:val="005C5CDC"/>
    <w:rsid w:val="005D476C"/>
    <w:rsid w:val="00610812"/>
    <w:rsid w:val="006219F8"/>
    <w:rsid w:val="00650FF7"/>
    <w:rsid w:val="00665D70"/>
    <w:rsid w:val="00671DAC"/>
    <w:rsid w:val="00672E8E"/>
    <w:rsid w:val="006900D9"/>
    <w:rsid w:val="006A3378"/>
    <w:rsid w:val="006B246B"/>
    <w:rsid w:val="006D12F8"/>
    <w:rsid w:val="00706C16"/>
    <w:rsid w:val="00726410"/>
    <w:rsid w:val="007320F7"/>
    <w:rsid w:val="00756841"/>
    <w:rsid w:val="007649AB"/>
    <w:rsid w:val="00765CD8"/>
    <w:rsid w:val="00771D0C"/>
    <w:rsid w:val="007833AC"/>
    <w:rsid w:val="007B268C"/>
    <w:rsid w:val="007B7171"/>
    <w:rsid w:val="007C0C0F"/>
    <w:rsid w:val="007C3DC2"/>
    <w:rsid w:val="007D7D0C"/>
    <w:rsid w:val="007E5252"/>
    <w:rsid w:val="007E5497"/>
    <w:rsid w:val="00806F5F"/>
    <w:rsid w:val="00820278"/>
    <w:rsid w:val="00820AFD"/>
    <w:rsid w:val="008843B6"/>
    <w:rsid w:val="00891480"/>
    <w:rsid w:val="00891928"/>
    <w:rsid w:val="008A446D"/>
    <w:rsid w:val="008D180B"/>
    <w:rsid w:val="008F0EA7"/>
    <w:rsid w:val="00901B0C"/>
    <w:rsid w:val="00923EEF"/>
    <w:rsid w:val="009419F9"/>
    <w:rsid w:val="0095685E"/>
    <w:rsid w:val="00961B09"/>
    <w:rsid w:val="00965334"/>
    <w:rsid w:val="0097093E"/>
    <w:rsid w:val="009A0DFA"/>
    <w:rsid w:val="009B2D26"/>
    <w:rsid w:val="009C09B7"/>
    <w:rsid w:val="009C71FA"/>
    <w:rsid w:val="009C72E7"/>
    <w:rsid w:val="009D3058"/>
    <w:rsid w:val="009F15DA"/>
    <w:rsid w:val="009F3A13"/>
    <w:rsid w:val="00A122D3"/>
    <w:rsid w:val="00A17F13"/>
    <w:rsid w:val="00A20739"/>
    <w:rsid w:val="00A33C78"/>
    <w:rsid w:val="00A4579F"/>
    <w:rsid w:val="00AB0ADB"/>
    <w:rsid w:val="00B01B1A"/>
    <w:rsid w:val="00B72CD3"/>
    <w:rsid w:val="00B72FFF"/>
    <w:rsid w:val="00BA1ABE"/>
    <w:rsid w:val="00BC3D36"/>
    <w:rsid w:val="00BD7F72"/>
    <w:rsid w:val="00C04FB3"/>
    <w:rsid w:val="00C12173"/>
    <w:rsid w:val="00C330EB"/>
    <w:rsid w:val="00C35DC2"/>
    <w:rsid w:val="00C57D54"/>
    <w:rsid w:val="00C754BE"/>
    <w:rsid w:val="00C76603"/>
    <w:rsid w:val="00C76B1C"/>
    <w:rsid w:val="00C97115"/>
    <w:rsid w:val="00CA2625"/>
    <w:rsid w:val="00CB6357"/>
    <w:rsid w:val="00CC1B26"/>
    <w:rsid w:val="00D33E94"/>
    <w:rsid w:val="00D423A2"/>
    <w:rsid w:val="00D50B7C"/>
    <w:rsid w:val="00D520D8"/>
    <w:rsid w:val="00D63AC2"/>
    <w:rsid w:val="00D7383B"/>
    <w:rsid w:val="00DA1E68"/>
    <w:rsid w:val="00DA231B"/>
    <w:rsid w:val="00DA23A0"/>
    <w:rsid w:val="00DB3761"/>
    <w:rsid w:val="00DC39FC"/>
    <w:rsid w:val="00DF5254"/>
    <w:rsid w:val="00E16408"/>
    <w:rsid w:val="00E20894"/>
    <w:rsid w:val="00E245AB"/>
    <w:rsid w:val="00E2764C"/>
    <w:rsid w:val="00E27F2E"/>
    <w:rsid w:val="00E413EA"/>
    <w:rsid w:val="00E50AFE"/>
    <w:rsid w:val="00E75C92"/>
    <w:rsid w:val="00E771DC"/>
    <w:rsid w:val="00E8772A"/>
    <w:rsid w:val="00E90D73"/>
    <w:rsid w:val="00E90F6B"/>
    <w:rsid w:val="00E92C27"/>
    <w:rsid w:val="00E96258"/>
    <w:rsid w:val="00EA0E3D"/>
    <w:rsid w:val="00EC38A7"/>
    <w:rsid w:val="00EE1AA8"/>
    <w:rsid w:val="00F31EDC"/>
    <w:rsid w:val="00F462B3"/>
    <w:rsid w:val="00F55183"/>
    <w:rsid w:val="00F5664F"/>
    <w:rsid w:val="00F666C4"/>
    <w:rsid w:val="00F76AFC"/>
    <w:rsid w:val="00FA37DA"/>
    <w:rsid w:val="00FA47C0"/>
    <w:rsid w:val="00FB5DD1"/>
    <w:rsid w:val="00FC2B5D"/>
    <w:rsid w:val="00FF1449"/>
    <w:rsid w:val="4854CF0E"/>
    <w:rsid w:val="5602F0C2"/>
    <w:rsid w:val="5CEADB7B"/>
    <w:rsid w:val="685E1E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209E44AC-1FF0-4573-912A-A0864455A3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2E0FA9"/>
    <w:pPr>
      <w:spacing w:line="240" w:lineRule="exact"/>
    </w:pPr>
    <w:rPr>
      <w:vertAlign w:val="superscript"/>
    </w:rPr>
  </w:style>
  <w:style w:type="character" w:styleId="Textoennegrita">
    <w:name w:val="Strong"/>
    <w:basedOn w:val="Fuentedeprrafopredeter"/>
    <w:uiPriority w:val="22"/>
    <w:qFormat/>
    <w:rsid w:val="002E0FA9"/>
    <w:rPr>
      <w:b/>
      <w:bCs/>
    </w:rPr>
  </w:style>
  <w:style w:type="paragraph" w:styleId="Textoindependiente">
    <w:name w:val="Body Text"/>
    <w:basedOn w:val="Normal"/>
    <w:link w:val="TextoindependienteCar"/>
    <w:uiPriority w:val="1"/>
    <w:unhideWhenUsed/>
    <w:qFormat/>
    <w:rsid w:val="002E0FA9"/>
    <w:pPr>
      <w:spacing w:after="120"/>
    </w:pPr>
  </w:style>
  <w:style w:type="character" w:styleId="TextoindependienteCar" w:customStyle="1">
    <w:name w:val="Texto independiente Car"/>
    <w:basedOn w:val="Fuentedeprrafopredeter"/>
    <w:link w:val="Textoindependiente"/>
    <w:uiPriority w:val="1"/>
    <w:rsid w:val="002E0FA9"/>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E0FA9"/>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latoria.colombiacompra.gov.co/providencias-consejo-de-estado/"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hyperlink" Target="https://nam02.safelinks.protection.outlook.com/?url=https%3A%2F%2Fwww.colombiacompra.gov.co%2Fsites%2Fcce_public%2Ffiles%2Ffiles_2020%2Fboletin_de_realtoria_iii.pdf&amp;data=05%7C02%7Cdiana.blanco%40colombiacompra.gov.co%7C5aad36a736844ec87b2108dcc1fa4639%7C7b09041e245149d08cb179d5e3d8c1be%7C0%7C0%7C638598527917605093%7CUnknown%7CTWFpbGZsb3d8eyJWIjoiMC4wLjAwMDAiLCJQIjoiV2luMzIiLCJBTiI6Ik1haWwiLCJXVCI6Mn0%3D%7C0%7C%7C%7C&amp;sdata=GC1x4nLNGPX5zoV2M4K11reL8XIUFpjc0LcVId%2FHtgY%3D&amp;reserved=0"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ersoneria@girardot-cundinamarca.gov.co" TargetMode="External" Id="rId11" /><Relationship Type="http://schemas.openxmlformats.org/officeDocument/2006/relationships/numbering" Target="numbering.xml" Id="rId5" /><Relationship Type="http://schemas.openxmlformats.org/officeDocument/2006/relationships/hyperlink" Target="https://nam02.safelinks.protection.outlook.com/?url=https%3A%2F%2Frelatoria.colombiacompra.gov.co%2F&amp;data=05%7C02%7Cdiana.blanco%40colombiacompra.gov.co%7C5aad36a736844ec87b2108dcc1fa4639%7C7b09041e245149d08cb179d5e3d8c1be%7C0%7C0%7C638598527917590308%7CUnknown%7CTWFpbGZsb3d8eyJWIjoiMC4wLjAwMDAiLCJQIjoiV2luMzIiLCJBTiI6Ik1haWwiLCJXVCI6Mn0%3D%7C0%7C%7C%7C&amp;sdata=20bTO%2BV9qR58r83wa63pBfbKVVpQa4CxfO3WRNMrKeM%3D&amp;reserved=0"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olombiacompra.gov.co/manuales-guias-y-pliegos-tipo/manuales-y-guias"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8764D-A74E-4DCC-BE8C-D5B4EEFDF964}"/>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6DD01810-2E03-431A-8A09-CDB455372B4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Andreina Cerpa Muñoz</lastModifiedBy>
  <revision>8</revision>
  <lastPrinted>2023-01-11T00:18:00.0000000Z</lastPrinted>
  <dcterms:created xsi:type="dcterms:W3CDTF">2024-09-23T16:28:00.0000000Z</dcterms:created>
  <dcterms:modified xsi:type="dcterms:W3CDTF">2024-10-07T16:56:34.3732431Z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