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38DD" w14:textId="77777777" w:rsidR="003549C2" w:rsidRPr="00A17009" w:rsidRDefault="003549C2" w:rsidP="001C36AF">
      <w:pPr>
        <w:jc w:val="both"/>
        <w:rPr>
          <w:rStyle w:val="Textoennegrita"/>
        </w:rPr>
      </w:pPr>
      <w:bookmarkStart w:id="0" w:name="_Hlk143780582"/>
    </w:p>
    <w:p w14:paraId="01BA4DB4" w14:textId="3A1AD369" w:rsidR="001C36AF" w:rsidRPr="001C36AF" w:rsidRDefault="001C36AF" w:rsidP="001C36AF">
      <w:pPr>
        <w:jc w:val="both"/>
        <w:rPr>
          <w:rFonts w:ascii="Verdana" w:eastAsia="Geomanist Light" w:hAnsi="Verdana" w:cs="Arial"/>
          <w:b/>
          <w:bCs/>
          <w:color w:val="000000" w:themeColor="text1"/>
          <w:lang w:val="es-MX"/>
        </w:rPr>
      </w:pPr>
      <w:r w:rsidRPr="001C36AF">
        <w:rPr>
          <w:rFonts w:ascii="Verdana" w:eastAsia="Geomanist Light" w:hAnsi="Verdana" w:cs="Arial"/>
          <w:b/>
          <w:bCs/>
          <w:color w:val="000000" w:themeColor="text1"/>
          <w:lang w:val="es-MX"/>
        </w:rPr>
        <w:t xml:space="preserve">ENAJENACIÓN DE BIENES – Muebles – Modalidad </w:t>
      </w:r>
    </w:p>
    <w:p w14:paraId="322E4AA1" w14:textId="77777777" w:rsidR="001C36AF" w:rsidRPr="001C36AF" w:rsidRDefault="001C36AF" w:rsidP="001C36AF">
      <w:pPr>
        <w:jc w:val="both"/>
        <w:rPr>
          <w:rFonts w:ascii="Verdana" w:eastAsia="Geomanist Light" w:hAnsi="Verdana" w:cs="Arial"/>
          <w:color w:val="000000" w:themeColor="text1"/>
          <w:sz w:val="20"/>
          <w:szCs w:val="20"/>
          <w:lang w:val="es-MX"/>
        </w:rPr>
      </w:pPr>
      <w:r w:rsidRPr="001C36AF">
        <w:rPr>
          <w:rFonts w:ascii="Verdana" w:eastAsia="Geomanist Light" w:hAnsi="Verdana" w:cs="Arial"/>
          <w:color w:val="000000" w:themeColor="text1"/>
          <w:sz w:val="20"/>
          <w:szCs w:val="20"/>
          <w:lang w:val="es-MX"/>
        </w:rPr>
        <w:t>El Decreto 1082 de 2015 […] en el artículo 2.2.1.2.2.1.1., establece que la selección abreviada es la modalidad de selección por excelencia para la enajenación de bienes del Estado.</w:t>
      </w:r>
    </w:p>
    <w:p w14:paraId="3D1FD9E1" w14:textId="77777777" w:rsidR="001C36AF" w:rsidRPr="001C36AF" w:rsidRDefault="001C36AF" w:rsidP="001C36AF">
      <w:pPr>
        <w:jc w:val="both"/>
        <w:rPr>
          <w:rFonts w:ascii="Verdana" w:eastAsia="Geomanist Light" w:hAnsi="Verdana" w:cs="Arial"/>
          <w:color w:val="000000" w:themeColor="text1"/>
          <w:sz w:val="20"/>
          <w:szCs w:val="20"/>
          <w:lang w:val="es-MX"/>
        </w:rPr>
      </w:pPr>
      <w:r w:rsidRPr="001C36AF">
        <w:rPr>
          <w:rFonts w:ascii="Verdana" w:eastAsia="Geomanist Light" w:hAnsi="Verdana" w:cs="Arial"/>
          <w:color w:val="000000" w:themeColor="text1"/>
          <w:sz w:val="20"/>
          <w:szCs w:val="20"/>
          <w:lang w:val="es-MX"/>
        </w:rPr>
        <w:t xml:space="preserve">La Entidad Estatal que vaya a dar de baja sus bienes muebles que no utilizan debe hacer un inventario y ofrecerlos a título gratuito a las Entidades Estatales a través de un acto administrativo motivado. Dentro de los treinta (30) días calendario siguientes a la fecha de publicación del acto administrativo, la Entidad Estatal interesada debe manifestar interés y señalar la necesidad funcional que pretende justificar la necesidad que pretende satisfacer con el bien y las razones que justifican su solicitud. </w:t>
      </w:r>
    </w:p>
    <w:p w14:paraId="08E43631" w14:textId="77777777" w:rsidR="00413596" w:rsidRPr="00DC1584" w:rsidRDefault="00413596" w:rsidP="00413596">
      <w:pPr>
        <w:spacing w:after="0" w:line="240" w:lineRule="auto"/>
        <w:contextualSpacing/>
        <w:jc w:val="both"/>
        <w:rPr>
          <w:rFonts w:ascii="Verdana" w:eastAsia="Calibri" w:hAnsi="Verdana" w:cs="Arial"/>
          <w:sz w:val="20"/>
          <w:szCs w:val="20"/>
          <w:lang w:val="es-MX" w:eastAsia="es-ES_tradnl"/>
        </w:rPr>
      </w:pPr>
    </w:p>
    <w:p w14:paraId="7EB8D2D8" w14:textId="22733113" w:rsidR="007B53F3" w:rsidRPr="00DC1584" w:rsidRDefault="007B53F3" w:rsidP="007B53F3">
      <w:pPr>
        <w:spacing w:after="0" w:line="240" w:lineRule="auto"/>
        <w:contextualSpacing/>
        <w:jc w:val="both"/>
        <w:rPr>
          <w:rFonts w:ascii="Verdana" w:eastAsia="Calibri" w:hAnsi="Verdana" w:cs="Arial"/>
          <w:b/>
          <w:lang w:val="es-MX" w:eastAsia="es-ES_tradnl"/>
        </w:rPr>
      </w:pPr>
      <w:r w:rsidRPr="00DC1584">
        <w:rPr>
          <w:rFonts w:ascii="Verdana" w:eastAsia="Calibri" w:hAnsi="Verdana" w:cs="Arial"/>
          <w:b/>
          <w:lang w:val="es-MX" w:eastAsia="es-ES_tradnl"/>
        </w:rPr>
        <w:t xml:space="preserve">DEBER DE PUBLICIDAD – </w:t>
      </w:r>
      <w:r w:rsidR="009C4BBA" w:rsidRPr="00DC1584">
        <w:rPr>
          <w:rFonts w:ascii="Verdana" w:eastAsia="Calibri" w:hAnsi="Verdana" w:cs="Arial"/>
          <w:b/>
          <w:lang w:val="es-MX" w:eastAsia="es-ES_tradnl"/>
        </w:rPr>
        <w:t>Publicación documentos- contratos</w:t>
      </w:r>
    </w:p>
    <w:p w14:paraId="67CE1163" w14:textId="77777777" w:rsidR="009C4BBA" w:rsidRPr="00DC1584" w:rsidRDefault="009C4BBA" w:rsidP="007B53F3">
      <w:pPr>
        <w:spacing w:after="0" w:line="240" w:lineRule="auto"/>
        <w:contextualSpacing/>
        <w:jc w:val="both"/>
        <w:rPr>
          <w:rFonts w:ascii="Verdana" w:eastAsia="Calibri" w:hAnsi="Verdana" w:cs="Arial"/>
          <w:b/>
          <w:lang w:val="es-MX" w:eastAsia="es-ES_tradnl"/>
        </w:rPr>
      </w:pPr>
    </w:p>
    <w:p w14:paraId="6635B258" w14:textId="037EB72D" w:rsidR="009C4BBA" w:rsidRPr="00DC1584" w:rsidRDefault="009C4BBA" w:rsidP="007B53F3">
      <w:pPr>
        <w:spacing w:after="0" w:line="240" w:lineRule="auto"/>
        <w:contextualSpacing/>
        <w:jc w:val="both"/>
        <w:rPr>
          <w:rFonts w:ascii="Verdana" w:eastAsia="Calibri" w:hAnsi="Verdana" w:cs="Arial"/>
          <w:b/>
          <w:sz w:val="20"/>
          <w:szCs w:val="20"/>
          <w:lang w:val="es-MX" w:eastAsia="es-ES_tradnl"/>
        </w:rPr>
      </w:pPr>
      <w:r w:rsidRPr="00DC1584">
        <w:rPr>
          <w:rFonts w:ascii="Verdana" w:hAnsi="Verdana" w:cs="Arial"/>
          <w:bCs/>
          <w:sz w:val="20"/>
          <w:szCs w:val="20"/>
          <w:lang w:val="es-MX"/>
        </w:rPr>
        <w:t>El principio de publicidad impone a las autoridades el deber de dar a conocer sus actos, contratos y decisiones, para que se divulguen y, eventualmente, se controlen dichas actuaciones. En razón a lo anterior,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49602AEB" w14:textId="77777777" w:rsidR="003E7CC4" w:rsidRDefault="003E7CC4">
      <w:pPr>
        <w:rPr>
          <w:rFonts w:ascii="Verdana" w:hAnsi="Verdana"/>
        </w:rPr>
      </w:pPr>
      <w:r>
        <w:rPr>
          <w:rFonts w:ascii="Verdana" w:hAnsi="Verdana"/>
        </w:rPr>
        <w:br w:type="page"/>
      </w:r>
    </w:p>
    <w:p w14:paraId="2FBDD253" w14:textId="77777777" w:rsidR="003C7838" w:rsidRDefault="00E245AB" w:rsidP="00E245AB">
      <w:pPr>
        <w:spacing w:after="0"/>
        <w:rPr>
          <w:rFonts w:ascii="Verdana" w:hAnsi="Verdana"/>
        </w:rPr>
      </w:pPr>
      <w:r w:rsidRPr="00B910D7">
        <w:rPr>
          <w:rFonts w:ascii="Verdana" w:hAnsi="Verdana"/>
        </w:rPr>
        <w:lastRenderedPageBreak/>
        <w:t xml:space="preserve">Bogotá D.C., </w:t>
      </w:r>
      <w:r w:rsidR="003C7838">
        <w:rPr>
          <w:rFonts w:ascii="Verdana" w:hAnsi="Verdana"/>
        </w:rPr>
        <w:t>20 de Septiembre de 2024</w:t>
      </w:r>
    </w:p>
    <w:p w14:paraId="3FE2184B" w14:textId="7B81704A" w:rsidR="00E245AB" w:rsidRPr="00B910D7" w:rsidRDefault="00891928" w:rsidP="00E245AB">
      <w:pPr>
        <w:spacing w:after="0"/>
        <w:rPr>
          <w:rFonts w:ascii="Verdana" w:hAnsi="Verdana"/>
        </w:rPr>
      </w:pPr>
      <w:r w:rsidRPr="00B910D7">
        <w:rPr>
          <w:rFonts w:ascii="Verdana" w:hAnsi="Verdana"/>
        </w:rPr>
        <w:tab/>
      </w:r>
    </w:p>
    <w:p w14:paraId="5FCADBF9" w14:textId="0E5A4338" w:rsidR="00E245AB" w:rsidRPr="00B910D7" w:rsidRDefault="003C7838" w:rsidP="003C7838">
      <w:pPr>
        <w:spacing w:after="0"/>
        <w:jc w:val="right"/>
        <w:rPr>
          <w:rFonts w:ascii="Verdana" w:hAnsi="Verdana"/>
        </w:rPr>
      </w:pPr>
      <w:r w:rsidRPr="003C7838">
        <w:rPr>
          <w:rFonts w:ascii="Verdana" w:hAnsi="Verdana"/>
          <w:noProof/>
        </w:rPr>
        <w:drawing>
          <wp:inline distT="0" distB="0" distL="0" distR="0" wp14:anchorId="37D16621" wp14:editId="7747CEF6">
            <wp:extent cx="3772426" cy="10860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72426" cy="1086002"/>
                    </a:xfrm>
                    <a:prstGeom prst="rect">
                      <a:avLst/>
                    </a:prstGeom>
                  </pic:spPr>
                </pic:pic>
              </a:graphicData>
            </a:graphic>
          </wp:inline>
        </w:drawing>
      </w:r>
    </w:p>
    <w:p w14:paraId="0EBCE418" w14:textId="4C003D0A" w:rsidR="00891928" w:rsidRPr="00B910D7" w:rsidRDefault="00891928" w:rsidP="00891928">
      <w:pPr>
        <w:spacing w:after="0"/>
        <w:rPr>
          <w:rFonts w:ascii="Verdana" w:hAnsi="Verdana"/>
          <w:lang w:val="es-MX"/>
        </w:rPr>
      </w:pPr>
      <w:r w:rsidRPr="00B910D7">
        <w:rPr>
          <w:rFonts w:ascii="Verdana" w:hAnsi="Verdana"/>
          <w:lang w:val="es-MX"/>
        </w:rPr>
        <w:t xml:space="preserve">Señor </w:t>
      </w:r>
    </w:p>
    <w:p w14:paraId="171277E1" w14:textId="4BB5F737" w:rsidR="00A776B5" w:rsidRPr="00B910D7" w:rsidRDefault="00A776B5" w:rsidP="00891928">
      <w:pPr>
        <w:spacing w:after="0"/>
        <w:rPr>
          <w:rFonts w:ascii="Verdana" w:hAnsi="Verdana"/>
          <w:b/>
        </w:rPr>
      </w:pPr>
      <w:r w:rsidRPr="00B910D7">
        <w:rPr>
          <w:rFonts w:ascii="Verdana" w:hAnsi="Verdana"/>
          <w:b/>
        </w:rPr>
        <w:t xml:space="preserve">Guillermo </w:t>
      </w:r>
      <w:r w:rsidR="00891B7B" w:rsidRPr="001C36AF">
        <w:rPr>
          <w:rFonts w:ascii="Verdana" w:hAnsi="Verdana"/>
          <w:b/>
        </w:rPr>
        <w:t>Andrés</w:t>
      </w:r>
      <w:r w:rsidRPr="00B910D7">
        <w:rPr>
          <w:rFonts w:ascii="Verdana" w:hAnsi="Verdana"/>
          <w:b/>
        </w:rPr>
        <w:t xml:space="preserve"> Buitrago Huertas </w:t>
      </w:r>
    </w:p>
    <w:p w14:paraId="1F423BF7" w14:textId="48E41A51" w:rsidR="00E245AB" w:rsidRPr="00B910D7" w:rsidRDefault="00A776B5" w:rsidP="00E245AB">
      <w:pPr>
        <w:spacing w:after="0"/>
        <w:rPr>
          <w:rFonts w:ascii="Verdana" w:hAnsi="Verdana"/>
          <w:lang w:val="es-MX"/>
        </w:rPr>
      </w:pPr>
      <w:r w:rsidRPr="00B910D7">
        <w:rPr>
          <w:rFonts w:ascii="Verdana" w:hAnsi="Verdana"/>
          <w:lang w:val="es-MX"/>
        </w:rPr>
        <w:t>a</w:t>
      </w:r>
      <w:hyperlink r:id="rId12" w:history="1">
        <w:r w:rsidRPr="00B910D7">
          <w:rPr>
            <w:rFonts w:ascii="Verdana" w:hAnsi="Verdana"/>
            <w:lang w:val="es-MX"/>
          </w:rPr>
          <w:t>ndreshuertas555@gmail.com</w:t>
        </w:r>
      </w:hyperlink>
    </w:p>
    <w:p w14:paraId="737F4FAD" w14:textId="1284E79D" w:rsidR="00A776B5" w:rsidRPr="00B910D7" w:rsidRDefault="00A776B5" w:rsidP="00E245AB">
      <w:pPr>
        <w:spacing w:after="0"/>
        <w:rPr>
          <w:rFonts w:ascii="Verdana" w:hAnsi="Verdana"/>
        </w:rPr>
      </w:pPr>
      <w:r w:rsidRPr="00B910D7">
        <w:rPr>
          <w:rFonts w:ascii="Verdana" w:hAnsi="Verdana"/>
        </w:rPr>
        <w:t>Bogotá D.C</w:t>
      </w:r>
    </w:p>
    <w:p w14:paraId="0FB63181" w14:textId="1B873EB0" w:rsidR="00A776B5" w:rsidRPr="00B910D7" w:rsidRDefault="00A776B5" w:rsidP="00E245AB">
      <w:pPr>
        <w:spacing w:after="0"/>
        <w:rPr>
          <w:rFonts w:ascii="Verdana" w:hAnsi="Verdana"/>
        </w:rPr>
      </w:pPr>
    </w:p>
    <w:p w14:paraId="53954552" w14:textId="3A8FF8D6" w:rsidR="00A776B5" w:rsidRPr="00B910D7" w:rsidRDefault="00A776B5" w:rsidP="00A776B5">
      <w:pPr>
        <w:spacing w:after="0" w:line="240" w:lineRule="auto"/>
        <w:ind w:left="2694"/>
        <w:jc w:val="both"/>
        <w:rPr>
          <w:rFonts w:ascii="Verdana" w:eastAsia="Calibri" w:hAnsi="Verdana" w:cs="Arial"/>
          <w:b/>
          <w:bCs/>
          <w:lang w:val="es-ES" w:eastAsia="es-ES"/>
        </w:rPr>
      </w:pPr>
      <w:r w:rsidRPr="00B910D7">
        <w:rPr>
          <w:rFonts w:ascii="Verdana" w:eastAsia="Calibri" w:hAnsi="Verdana" w:cs="Arial"/>
          <w:b/>
          <w:bCs/>
          <w:lang w:val="es-ES" w:eastAsia="es-ES"/>
        </w:rPr>
        <w:t>Concepto C–</w:t>
      </w:r>
      <w:r w:rsidR="00A17009">
        <w:rPr>
          <w:rFonts w:ascii="Verdana" w:eastAsia="Calibri" w:hAnsi="Verdana" w:cs="Arial"/>
          <w:b/>
          <w:bCs/>
          <w:lang w:val="es-ES" w:eastAsia="es-ES"/>
        </w:rPr>
        <w:t>462</w:t>
      </w:r>
      <w:r w:rsidRPr="00B910D7">
        <w:rPr>
          <w:rFonts w:ascii="Verdana" w:eastAsia="Calibri" w:hAnsi="Verdana" w:cs="Arial"/>
          <w:b/>
          <w:bCs/>
          <w:lang w:val="es-ES" w:eastAsia="es-ES"/>
        </w:rPr>
        <w:t xml:space="preserve"> de 2024</w:t>
      </w:r>
    </w:p>
    <w:p w14:paraId="20913382" w14:textId="77777777" w:rsidR="00A776B5" w:rsidRPr="00B910D7" w:rsidRDefault="00A776B5" w:rsidP="00A776B5">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A776B5" w:rsidRPr="00B910D7" w14:paraId="3C462E59" w14:textId="77777777" w:rsidTr="0000541D">
        <w:trPr>
          <w:trHeight w:val="884"/>
        </w:trPr>
        <w:tc>
          <w:tcPr>
            <w:tcW w:w="2685" w:type="dxa"/>
            <w:hideMark/>
          </w:tcPr>
          <w:p w14:paraId="7D71B819" w14:textId="77777777" w:rsidR="00A776B5" w:rsidRPr="00155FF5" w:rsidRDefault="00A776B5" w:rsidP="0000541D">
            <w:pPr>
              <w:jc w:val="both"/>
              <w:rPr>
                <w:rFonts w:ascii="Verdana" w:eastAsia="Calibri" w:hAnsi="Verdana" w:cs="Arial"/>
                <w:szCs w:val="24"/>
                <w:lang w:val="es-ES_tradnl" w:eastAsia="es-ES_tradnl"/>
              </w:rPr>
            </w:pPr>
            <w:r w:rsidRPr="00155FF5">
              <w:rPr>
                <w:rFonts w:ascii="Verdana" w:eastAsia="Calibri" w:hAnsi="Verdana" w:cs="Arial"/>
                <w:szCs w:val="24"/>
                <w:lang w:val="es-ES_tradnl" w:eastAsia="es-ES_tradnl"/>
              </w:rPr>
              <w:t xml:space="preserve">Temas:                   </w:t>
            </w:r>
          </w:p>
        </w:tc>
        <w:tc>
          <w:tcPr>
            <w:tcW w:w="6241" w:type="dxa"/>
            <w:hideMark/>
          </w:tcPr>
          <w:p w14:paraId="0EB087ED" w14:textId="6C9FE1CE" w:rsidR="00A776B5" w:rsidRPr="00155FF5" w:rsidRDefault="009C66E7" w:rsidP="0000541D">
            <w:pPr>
              <w:spacing w:line="276" w:lineRule="auto"/>
              <w:jc w:val="both"/>
              <w:rPr>
                <w:rFonts w:ascii="Verdana" w:hAnsi="Verdana"/>
              </w:rPr>
            </w:pPr>
            <w:r w:rsidRPr="009C66E7">
              <w:rPr>
                <w:rFonts w:ascii="Verdana" w:eastAsia="Calibri" w:hAnsi="Verdana" w:cs="Arial"/>
              </w:rPr>
              <w:t xml:space="preserve">ENAJENACIÓN DE BIENES – Muebles – Modalidad </w:t>
            </w:r>
            <w:r w:rsidR="003F6A74" w:rsidRPr="009C66E7">
              <w:rPr>
                <w:rFonts w:ascii="Verdana" w:eastAsia="Calibri" w:hAnsi="Verdana" w:cs="Arial"/>
              </w:rPr>
              <w:t xml:space="preserve">/ </w:t>
            </w:r>
            <w:r w:rsidRPr="009C66E7">
              <w:rPr>
                <w:rFonts w:ascii="Verdana" w:eastAsia="Calibri" w:hAnsi="Verdana" w:cs="Arial"/>
              </w:rPr>
              <w:t>DEBER DE PUBLICIDAD – Publicación documentos- contratos</w:t>
            </w:r>
          </w:p>
        </w:tc>
        <w:tc>
          <w:tcPr>
            <w:tcW w:w="6237" w:type="dxa"/>
          </w:tcPr>
          <w:p w14:paraId="255B57DB" w14:textId="77777777" w:rsidR="00A776B5" w:rsidRPr="00155FF5" w:rsidRDefault="00A776B5" w:rsidP="0000541D">
            <w:pPr>
              <w:jc w:val="both"/>
              <w:rPr>
                <w:rFonts w:ascii="Verdana" w:hAnsi="Verdana" w:cs="Arial"/>
                <w:lang w:val="es-ES"/>
              </w:rPr>
            </w:pPr>
          </w:p>
        </w:tc>
      </w:tr>
      <w:tr w:rsidR="00A776B5" w:rsidRPr="00B910D7" w14:paraId="5C18C486" w14:textId="77777777" w:rsidTr="0000541D">
        <w:tc>
          <w:tcPr>
            <w:tcW w:w="2685" w:type="dxa"/>
            <w:hideMark/>
          </w:tcPr>
          <w:p w14:paraId="6B6CD23D" w14:textId="77777777" w:rsidR="00A776B5" w:rsidRPr="00B910D7" w:rsidRDefault="00A776B5" w:rsidP="0000541D">
            <w:pPr>
              <w:spacing w:before="120"/>
              <w:jc w:val="both"/>
              <w:rPr>
                <w:rFonts w:ascii="Verdana" w:eastAsia="Calibri" w:hAnsi="Verdana" w:cs="Arial"/>
                <w:szCs w:val="24"/>
                <w:lang w:val="es-ES_tradnl" w:eastAsia="es-ES_tradnl"/>
              </w:rPr>
            </w:pPr>
            <w:r w:rsidRPr="00B910D7">
              <w:rPr>
                <w:rFonts w:ascii="Verdana" w:eastAsia="Calibri" w:hAnsi="Verdana" w:cs="Arial"/>
                <w:szCs w:val="24"/>
                <w:lang w:val="es-ES_tradnl" w:eastAsia="es-ES_tradnl"/>
              </w:rPr>
              <w:t xml:space="preserve">Radicación:               </w:t>
            </w:r>
          </w:p>
        </w:tc>
        <w:tc>
          <w:tcPr>
            <w:tcW w:w="6241" w:type="dxa"/>
            <w:hideMark/>
          </w:tcPr>
          <w:p w14:paraId="48CA5A0F" w14:textId="0CCB493F" w:rsidR="00A776B5" w:rsidRPr="00B910D7" w:rsidRDefault="00A776B5" w:rsidP="0000541D">
            <w:pPr>
              <w:spacing w:before="120" w:line="276" w:lineRule="auto"/>
              <w:jc w:val="both"/>
              <w:rPr>
                <w:rFonts w:ascii="Verdana" w:eastAsia="Calibri" w:hAnsi="Verdana" w:cs="Arial"/>
                <w:szCs w:val="24"/>
                <w:lang w:val="es-ES_tradnl" w:eastAsia="es-ES_tradnl"/>
              </w:rPr>
            </w:pPr>
            <w:r w:rsidRPr="00B910D7">
              <w:rPr>
                <w:rFonts w:ascii="Verdana" w:eastAsia="Calibri" w:hAnsi="Verdana" w:cs="Arial"/>
                <w:szCs w:val="24"/>
                <w:lang w:val="es-ES_tradnl" w:eastAsia="es-ES_tradnl"/>
              </w:rPr>
              <w:t>Respuesta a consulta con radicado No. P20240809008154</w:t>
            </w:r>
          </w:p>
        </w:tc>
        <w:tc>
          <w:tcPr>
            <w:tcW w:w="6237" w:type="dxa"/>
          </w:tcPr>
          <w:p w14:paraId="15EDBA82" w14:textId="77777777" w:rsidR="00A776B5" w:rsidRPr="00B910D7" w:rsidRDefault="00A776B5" w:rsidP="0000541D">
            <w:pPr>
              <w:spacing w:before="120"/>
              <w:jc w:val="both"/>
              <w:rPr>
                <w:rFonts w:ascii="Verdana" w:eastAsia="Calibri" w:hAnsi="Verdana" w:cs="Arial"/>
                <w:szCs w:val="24"/>
                <w:lang w:val="es-ES_tradnl" w:eastAsia="es-ES_tradnl"/>
              </w:rPr>
            </w:pPr>
          </w:p>
        </w:tc>
      </w:tr>
    </w:tbl>
    <w:p w14:paraId="3D382478" w14:textId="77777777" w:rsidR="00A776B5" w:rsidRPr="00B910D7" w:rsidRDefault="00A776B5" w:rsidP="00A776B5">
      <w:pPr>
        <w:spacing w:after="0" w:line="240" w:lineRule="auto"/>
        <w:jc w:val="both"/>
        <w:rPr>
          <w:rFonts w:ascii="Verdana" w:eastAsia="Calibri" w:hAnsi="Verdana" w:cs="Arial"/>
          <w:szCs w:val="24"/>
          <w:lang w:val="es-ES_tradnl" w:eastAsia="es-ES_tradnl"/>
        </w:rPr>
      </w:pPr>
    </w:p>
    <w:p w14:paraId="2DDBD6A1" w14:textId="7A30C066" w:rsidR="00A776B5" w:rsidRPr="00B910D7" w:rsidRDefault="00A776B5" w:rsidP="00A776B5">
      <w:pPr>
        <w:spacing w:after="0" w:line="240" w:lineRule="auto"/>
        <w:jc w:val="both"/>
        <w:rPr>
          <w:rFonts w:ascii="Verdana" w:eastAsia="Calibri" w:hAnsi="Verdana" w:cs="Arial"/>
          <w:lang w:val="es-ES" w:eastAsia="es-ES"/>
        </w:rPr>
      </w:pPr>
      <w:r w:rsidRPr="009A2B7C">
        <w:rPr>
          <w:rFonts w:ascii="Verdana" w:eastAsia="Calibri" w:hAnsi="Verdana" w:cs="Arial"/>
          <w:lang w:val="es-ES" w:eastAsia="es-ES"/>
        </w:rPr>
        <w:t>Estimad</w:t>
      </w:r>
      <w:r w:rsidR="0096465D">
        <w:rPr>
          <w:rFonts w:ascii="Verdana" w:eastAsia="Calibri" w:hAnsi="Verdana" w:cs="Arial"/>
          <w:lang w:val="es-ES" w:eastAsia="es-ES"/>
        </w:rPr>
        <w:t>o</w:t>
      </w:r>
      <w:r w:rsidRPr="00B910D7">
        <w:rPr>
          <w:rFonts w:ascii="Verdana" w:eastAsia="Calibri" w:hAnsi="Verdana" w:cs="Arial"/>
          <w:lang w:val="es-ES" w:eastAsia="es-ES"/>
        </w:rPr>
        <w:t xml:space="preserve"> señor Guillermo: </w:t>
      </w:r>
    </w:p>
    <w:p w14:paraId="65C59974" w14:textId="77777777" w:rsidR="00A776B5" w:rsidRPr="00B910D7" w:rsidRDefault="00A776B5" w:rsidP="00A776B5">
      <w:pPr>
        <w:spacing w:after="0" w:line="240" w:lineRule="auto"/>
        <w:jc w:val="both"/>
        <w:rPr>
          <w:rFonts w:ascii="Verdana" w:eastAsia="Calibri" w:hAnsi="Verdana" w:cs="Arial"/>
          <w:lang w:val="es-ES" w:eastAsia="es-ES"/>
        </w:rPr>
      </w:pPr>
    </w:p>
    <w:p w14:paraId="689CF578" w14:textId="0FE6221D" w:rsidR="00A776B5" w:rsidRPr="00B910D7" w:rsidRDefault="00A776B5" w:rsidP="00A776B5">
      <w:pPr>
        <w:spacing w:after="120" w:line="276" w:lineRule="auto"/>
        <w:jc w:val="both"/>
        <w:rPr>
          <w:rFonts w:ascii="Verdana" w:eastAsia="Calibri" w:hAnsi="Verdana" w:cs="Arial"/>
          <w:lang w:val="es-ES" w:eastAsia="es-ES"/>
        </w:rPr>
      </w:pPr>
      <w:r w:rsidRPr="00B910D7">
        <w:rPr>
          <w:rFonts w:ascii="Verdana" w:eastAsia="Calibri" w:hAnsi="Verdana" w:cs="Arial"/>
          <w:lang w:val="es-ES" w:eastAsia="es-ES"/>
        </w:rPr>
        <w:t>En ejercicio de la competencia otorgada por los artículos 3, numeral 5º, y 11, numeral 8º, del Decreto Ley 4170 de 2011,</w:t>
      </w:r>
      <w:r w:rsidRPr="00B910D7">
        <w:rPr>
          <w:rFonts w:ascii="Verdana" w:eastAsia="Arial MT" w:hAnsi="Verdana" w:cs="Arial MT"/>
          <w:lang w:val="es-ES" w:eastAsia="es-ES"/>
        </w:rPr>
        <w:t xml:space="preserve"> </w:t>
      </w:r>
      <w:r w:rsidRPr="00B910D7">
        <w:rPr>
          <w:rFonts w:ascii="Verdana" w:eastAsia="Calibri" w:hAnsi="Verdana" w:cs="Arial"/>
          <w:lang w:val="es-ES" w:eastAsia="es-ES"/>
        </w:rPr>
        <w:t xml:space="preserve">la Agencia Nacional de Contratación Pública – Colombia Compra Eficiente– responde las solicitudes de consulta del </w:t>
      </w:r>
      <w:r w:rsidR="00413596" w:rsidRPr="00B910D7">
        <w:rPr>
          <w:rFonts w:ascii="Verdana" w:eastAsia="Calibri" w:hAnsi="Verdana" w:cs="Arial"/>
          <w:lang w:val="es-ES" w:eastAsia="es-ES"/>
        </w:rPr>
        <w:t>09 de agosto</w:t>
      </w:r>
      <w:r w:rsidRPr="00B910D7">
        <w:rPr>
          <w:rFonts w:ascii="Verdana" w:eastAsia="Calibri" w:hAnsi="Verdana" w:cs="Arial"/>
          <w:lang w:val="es-ES" w:eastAsia="es-ES"/>
        </w:rPr>
        <w:t xml:space="preserve"> de 2024. En la cual manifiesta lo siguiente:</w:t>
      </w:r>
    </w:p>
    <w:p w14:paraId="6881DFDF" w14:textId="77777777" w:rsidR="00A776B5" w:rsidRPr="00B910D7" w:rsidRDefault="00A776B5" w:rsidP="00A776B5">
      <w:pPr>
        <w:spacing w:after="0" w:line="240" w:lineRule="auto"/>
        <w:ind w:left="709" w:right="709"/>
        <w:jc w:val="both"/>
        <w:rPr>
          <w:rFonts w:ascii="Verdana" w:eastAsia="Calibri" w:hAnsi="Verdana" w:cs="Arial"/>
          <w:sz w:val="20"/>
          <w:szCs w:val="20"/>
          <w:lang w:val="es-ES" w:eastAsia="es-ES"/>
        </w:rPr>
      </w:pPr>
      <w:r w:rsidRPr="00B910D7">
        <w:rPr>
          <w:rFonts w:ascii="Verdana" w:eastAsia="Calibri" w:hAnsi="Verdana" w:cs="Arial"/>
          <w:sz w:val="20"/>
          <w:szCs w:val="20"/>
          <w:lang w:val="es-ES" w:eastAsia="es-ES"/>
        </w:rPr>
        <w:t>“(…)</w:t>
      </w:r>
    </w:p>
    <w:p w14:paraId="17D73DE4" w14:textId="14431FB1" w:rsidR="00413596" w:rsidRPr="00B910D7" w:rsidRDefault="00413596" w:rsidP="00A776B5">
      <w:pPr>
        <w:spacing w:after="0" w:line="240" w:lineRule="auto"/>
        <w:ind w:left="709" w:right="709"/>
        <w:jc w:val="both"/>
        <w:rPr>
          <w:rFonts w:ascii="Verdana" w:hAnsi="Verdana"/>
          <w:sz w:val="20"/>
        </w:rPr>
      </w:pPr>
      <w:r w:rsidRPr="00B910D7">
        <w:rPr>
          <w:rFonts w:ascii="Verdana" w:hAnsi="Verdana"/>
          <w:sz w:val="20"/>
        </w:rPr>
        <w:t xml:space="preserve">En virtud del citado artículo 355 de la Constitución Política, solicito respetuosamente respuesta a las siguientes inquietudes: </w:t>
      </w:r>
    </w:p>
    <w:p w14:paraId="62069502" w14:textId="77777777" w:rsidR="00413596" w:rsidRPr="00B910D7" w:rsidRDefault="00413596" w:rsidP="00A776B5">
      <w:pPr>
        <w:spacing w:after="0" w:line="240" w:lineRule="auto"/>
        <w:ind w:left="709" w:right="709"/>
        <w:jc w:val="both"/>
        <w:rPr>
          <w:rFonts w:ascii="Verdana" w:hAnsi="Verdana"/>
          <w:sz w:val="20"/>
        </w:rPr>
      </w:pPr>
      <w:r w:rsidRPr="00B910D7">
        <w:rPr>
          <w:rFonts w:ascii="Verdana" w:hAnsi="Verdana"/>
          <w:sz w:val="20"/>
        </w:rPr>
        <w:t>1. ¿Una alcaldía puede celebrar contratos de donación de que trata artículo 1443 del código civil, a personas naturales o jurídicas de derecho privado? ¿Por qué?</w:t>
      </w:r>
    </w:p>
    <w:p w14:paraId="62A6D8A9" w14:textId="77777777" w:rsidR="00413596" w:rsidRPr="00B910D7" w:rsidRDefault="00413596" w:rsidP="00A776B5">
      <w:pPr>
        <w:spacing w:after="0" w:line="240" w:lineRule="auto"/>
        <w:ind w:left="709" w:right="709"/>
        <w:jc w:val="both"/>
        <w:rPr>
          <w:rFonts w:ascii="Verdana" w:hAnsi="Verdana"/>
          <w:sz w:val="20"/>
        </w:rPr>
      </w:pPr>
      <w:r w:rsidRPr="00B910D7">
        <w:rPr>
          <w:rFonts w:ascii="Verdana" w:hAnsi="Verdana"/>
          <w:sz w:val="20"/>
        </w:rPr>
        <w:t xml:space="preserve">2. En caso de poderse celebrar los contratos de donación mencionados en el punto anterior, solicito indicarme: a. Modalidad de contratación. b. Si requiere estar reportado en el plan de adquisición o no. c. Si requiere ser publicado en SECOP 2 o 1, según la entidad que corresponda. </w:t>
      </w:r>
    </w:p>
    <w:p w14:paraId="2D8EFB40" w14:textId="61C1CB73" w:rsidR="00A776B5" w:rsidRPr="00B910D7" w:rsidRDefault="00413596" w:rsidP="00A776B5">
      <w:pPr>
        <w:spacing w:after="0" w:line="240" w:lineRule="auto"/>
        <w:ind w:left="709" w:right="709"/>
        <w:jc w:val="both"/>
        <w:rPr>
          <w:rFonts w:ascii="Verdana" w:hAnsi="Verdana"/>
          <w:sz w:val="20"/>
        </w:rPr>
      </w:pPr>
      <w:r w:rsidRPr="00B910D7">
        <w:rPr>
          <w:rFonts w:ascii="Verdana" w:hAnsi="Verdana"/>
          <w:sz w:val="20"/>
        </w:rPr>
        <w:t>3. ¿La prohibición solo se limita a los decretos (actos administrativos) o también a los contratos de entidades públicas? ¿Por qué?</w:t>
      </w:r>
      <w:r w:rsidRPr="00B910D7">
        <w:rPr>
          <w:rFonts w:ascii="Verdana" w:eastAsia="Calibri" w:hAnsi="Verdana" w:cs="Arial"/>
          <w:sz w:val="18"/>
          <w:szCs w:val="20"/>
          <w:lang w:eastAsia="es-ES"/>
        </w:rPr>
        <w:t xml:space="preserve"> </w:t>
      </w:r>
      <w:r w:rsidR="00A776B5" w:rsidRPr="00B910D7">
        <w:rPr>
          <w:rFonts w:ascii="Verdana" w:eastAsia="Calibri" w:hAnsi="Verdana" w:cs="Arial"/>
          <w:sz w:val="20"/>
          <w:szCs w:val="20"/>
          <w:lang w:eastAsia="es-ES"/>
        </w:rPr>
        <w:t>(…)</w:t>
      </w:r>
    </w:p>
    <w:p w14:paraId="61499D51" w14:textId="77777777" w:rsidR="00A776B5" w:rsidRPr="00B910D7" w:rsidRDefault="00A776B5" w:rsidP="00A776B5">
      <w:pPr>
        <w:spacing w:after="0" w:line="240" w:lineRule="auto"/>
        <w:ind w:left="709" w:right="709"/>
        <w:jc w:val="both"/>
        <w:rPr>
          <w:rFonts w:ascii="Verdana" w:eastAsia="Calibri" w:hAnsi="Verdana" w:cs="Arial"/>
          <w:sz w:val="20"/>
          <w:szCs w:val="20"/>
          <w:lang w:val="es-ES" w:eastAsia="es-ES"/>
        </w:rPr>
      </w:pPr>
    </w:p>
    <w:p w14:paraId="602508D0" w14:textId="77777777" w:rsidR="00A776B5" w:rsidRPr="00B910D7" w:rsidRDefault="00A776B5" w:rsidP="00A776B5">
      <w:pPr>
        <w:spacing w:after="120" w:line="276" w:lineRule="auto"/>
        <w:jc w:val="both"/>
        <w:rPr>
          <w:rFonts w:ascii="Verdana" w:eastAsia="Calibri" w:hAnsi="Verdana" w:cs="Arial"/>
          <w:lang w:val="es-ES" w:eastAsia="es-ES"/>
        </w:rPr>
      </w:pPr>
      <w:r w:rsidRPr="00B910D7">
        <w:rPr>
          <w:rFonts w:ascii="Verdana" w:eastAsia="Calibri" w:hAnsi="Verdana" w:cs="Arial"/>
          <w:lang w:val="es-ES_tradnl" w:eastAsia="es-ES_tradnl"/>
        </w:rPr>
        <w:tab/>
      </w:r>
      <w:r w:rsidRPr="00B910D7">
        <w:rPr>
          <w:rFonts w:ascii="Verdana" w:eastAsia="Calibri" w:hAnsi="Verdana" w:cs="Arial"/>
          <w:lang w:val="es-ES" w:eastAsia="es-ES"/>
        </w:rPr>
        <w:t xml:space="preserve">De manera preliminar, resulta necesario acotar que esta entidad solo tiene competencia para responder consultas sobre la aplicación de normas de carácter </w:t>
      </w:r>
      <w:r w:rsidRPr="00B910D7">
        <w:rPr>
          <w:rFonts w:ascii="Verdana" w:eastAsia="Calibri" w:hAnsi="Verdana" w:cs="Arial"/>
          <w:lang w:val="es-ES" w:eastAsia="es-ES"/>
        </w:rPr>
        <w:lastRenderedPageBreak/>
        <w:t>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07CFEBFB" w14:textId="77777777" w:rsidR="00A776B5" w:rsidRPr="00B910D7" w:rsidRDefault="00A776B5" w:rsidP="00A776B5">
      <w:pPr>
        <w:spacing w:after="0" w:line="276" w:lineRule="auto"/>
        <w:jc w:val="both"/>
        <w:rPr>
          <w:rFonts w:ascii="Verdana" w:eastAsia="Calibri" w:hAnsi="Verdana" w:cs="Arial"/>
          <w:lang w:val="es-ES" w:eastAsia="es-ES"/>
        </w:rPr>
      </w:pPr>
      <w:r w:rsidRPr="00B910D7">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4E9CBC8C" w14:textId="77777777" w:rsidR="00A776B5" w:rsidRPr="00B910D7" w:rsidRDefault="00A776B5" w:rsidP="00A776B5">
      <w:pPr>
        <w:spacing w:after="0" w:line="276" w:lineRule="auto"/>
        <w:jc w:val="both"/>
        <w:rPr>
          <w:rFonts w:ascii="Verdana" w:eastAsia="Calibri" w:hAnsi="Verdana" w:cs="Arial"/>
          <w:lang w:val="es-ES" w:eastAsia="es-ES"/>
        </w:rPr>
      </w:pPr>
    </w:p>
    <w:p w14:paraId="6DFA21D2" w14:textId="77777777" w:rsidR="00A776B5" w:rsidRPr="00B910D7" w:rsidRDefault="00A776B5" w:rsidP="00A776B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910D7">
        <w:rPr>
          <w:rFonts w:ascii="Verdana" w:eastAsia="Century Gothic" w:hAnsi="Verdana" w:cs="Century Gothic"/>
          <w:b/>
          <w:bCs/>
        </w:rPr>
        <w:t>Problema planteado:</w:t>
      </w:r>
    </w:p>
    <w:p w14:paraId="2FF062C3" w14:textId="77777777" w:rsidR="00A776B5" w:rsidRPr="00B910D7" w:rsidRDefault="00A776B5" w:rsidP="00A776B5">
      <w:pPr>
        <w:spacing w:after="0" w:line="240" w:lineRule="auto"/>
        <w:jc w:val="both"/>
        <w:rPr>
          <w:rFonts w:ascii="Verdana" w:eastAsia="Century Gothic" w:hAnsi="Verdana" w:cs="Century Gothic"/>
        </w:rPr>
      </w:pPr>
    </w:p>
    <w:p w14:paraId="340994DA" w14:textId="26E0E3CC" w:rsidR="00A776B5" w:rsidRPr="00B910D7" w:rsidRDefault="00A776B5" w:rsidP="00A776B5">
      <w:pPr>
        <w:spacing w:after="0" w:line="276" w:lineRule="auto"/>
        <w:jc w:val="both"/>
        <w:rPr>
          <w:rFonts w:ascii="Verdana" w:eastAsia="Century Gothic" w:hAnsi="Verdana" w:cs="Century Gothic"/>
        </w:rPr>
      </w:pPr>
      <w:r w:rsidRPr="00B910D7">
        <w:rPr>
          <w:rFonts w:ascii="Verdana" w:eastAsia="Century Gothic" w:hAnsi="Verdana" w:cs="Century Gothic"/>
        </w:rPr>
        <w:t xml:space="preserve">De acuerdo con el contenido de su solicitud, esta Agencia </w:t>
      </w:r>
      <w:r w:rsidR="00413596" w:rsidRPr="00B910D7">
        <w:rPr>
          <w:rFonts w:ascii="Verdana" w:eastAsia="Century Gothic" w:hAnsi="Verdana" w:cs="Century Gothic"/>
        </w:rPr>
        <w:t>los siguientes problemas jurídicos</w:t>
      </w:r>
      <w:r w:rsidRPr="00B910D7">
        <w:rPr>
          <w:rFonts w:ascii="Verdana" w:eastAsia="Century Gothic" w:hAnsi="Verdana" w:cs="Century Gothic"/>
        </w:rPr>
        <w:t xml:space="preserve">: </w:t>
      </w:r>
      <w:r w:rsidR="00413596" w:rsidRPr="00B910D7">
        <w:rPr>
          <w:rFonts w:ascii="Verdana" w:eastAsia="Century Gothic" w:hAnsi="Verdana" w:cs="Century Gothic"/>
        </w:rPr>
        <w:t xml:space="preserve">i) </w:t>
      </w:r>
      <w:r w:rsidRPr="00B910D7">
        <w:rPr>
          <w:rFonts w:ascii="Verdana" w:eastAsia="Century Gothic" w:hAnsi="Verdana" w:cs="Century Gothic"/>
        </w:rPr>
        <w:t>¿</w:t>
      </w:r>
      <w:r w:rsidR="00413596" w:rsidRPr="00B910D7">
        <w:rPr>
          <w:rFonts w:ascii="Verdana" w:eastAsia="Century Gothic" w:hAnsi="Verdana" w:cs="Century Gothic"/>
        </w:rPr>
        <w:t>las entidades públicas pueden celebrar contratos de donación</w:t>
      </w:r>
      <w:r w:rsidR="006C740D" w:rsidRPr="009A2B7C">
        <w:rPr>
          <w:rFonts w:ascii="Verdana" w:eastAsia="Century Gothic" w:hAnsi="Verdana" w:cs="Century Gothic"/>
        </w:rPr>
        <w:t xml:space="preserve"> con personas naturales o jurídicas de derecho privado</w:t>
      </w:r>
      <w:r w:rsidRPr="009A2B7C">
        <w:rPr>
          <w:rFonts w:ascii="Verdana" w:eastAsia="Century Gothic" w:hAnsi="Verdana" w:cs="Century Gothic"/>
        </w:rPr>
        <w:t>?</w:t>
      </w:r>
      <w:r w:rsidR="006C740D" w:rsidRPr="009A2B7C">
        <w:rPr>
          <w:rFonts w:ascii="Verdana" w:eastAsia="Century Gothic" w:hAnsi="Verdana" w:cs="Century Gothic"/>
        </w:rPr>
        <w:t xml:space="preserve"> </w:t>
      </w:r>
      <w:r w:rsidR="006C740D" w:rsidRPr="001C36AF">
        <w:rPr>
          <w:rFonts w:ascii="Verdana" w:eastAsia="Century Gothic" w:hAnsi="Verdana" w:cs="Century Gothic"/>
        </w:rPr>
        <w:t>y</w:t>
      </w:r>
      <w:r w:rsidRPr="001C36AF">
        <w:rPr>
          <w:rFonts w:ascii="Verdana" w:eastAsia="Century Gothic" w:hAnsi="Verdana" w:cs="Century Gothic"/>
        </w:rPr>
        <w:t xml:space="preserve"> </w:t>
      </w:r>
      <w:r w:rsidR="00413596" w:rsidRPr="001C36AF">
        <w:rPr>
          <w:rFonts w:ascii="Verdana" w:eastAsia="Century Gothic" w:hAnsi="Verdana" w:cs="Century Gothic"/>
        </w:rPr>
        <w:t xml:space="preserve">ii) </w:t>
      </w:r>
      <w:r w:rsidR="00371BB8">
        <w:rPr>
          <w:rFonts w:ascii="Verdana" w:eastAsia="Century Gothic" w:hAnsi="Verdana" w:cs="Century Gothic"/>
        </w:rPr>
        <w:t>¿Qué documentos del</w:t>
      </w:r>
      <w:r w:rsidR="00413596" w:rsidRPr="00B910D7">
        <w:rPr>
          <w:rFonts w:ascii="Verdana" w:eastAsia="Century Gothic" w:hAnsi="Verdana" w:cs="Century Gothic"/>
        </w:rPr>
        <w:t xml:space="preserve"> contrato se debe publicar en </w:t>
      </w:r>
      <w:r w:rsidR="00891B7B" w:rsidRPr="001C36AF">
        <w:rPr>
          <w:rFonts w:ascii="Verdana" w:eastAsia="Century Gothic" w:hAnsi="Verdana" w:cs="Century Gothic"/>
        </w:rPr>
        <w:t>SECOP</w:t>
      </w:r>
      <w:r w:rsidR="00413596" w:rsidRPr="00B910D7">
        <w:rPr>
          <w:rFonts w:ascii="Verdana" w:eastAsia="Century Gothic" w:hAnsi="Verdana" w:cs="Century Gothic"/>
        </w:rPr>
        <w:t xml:space="preserve"> II? </w:t>
      </w:r>
    </w:p>
    <w:p w14:paraId="6EA04A02" w14:textId="77777777" w:rsidR="00A776B5" w:rsidRPr="00B910D7" w:rsidRDefault="00A776B5" w:rsidP="00A776B5">
      <w:pPr>
        <w:spacing w:after="0" w:line="276" w:lineRule="auto"/>
        <w:jc w:val="both"/>
        <w:rPr>
          <w:rFonts w:ascii="Verdana" w:eastAsia="Century Gothic" w:hAnsi="Verdana" w:cs="Century Gothic"/>
        </w:rPr>
      </w:pPr>
    </w:p>
    <w:p w14:paraId="16440E43" w14:textId="12DDC4E2" w:rsidR="00A776B5" w:rsidRPr="00B910D7" w:rsidRDefault="00A776B5" w:rsidP="00A776B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910D7">
        <w:rPr>
          <w:rFonts w:ascii="Verdana" w:eastAsia="Century Gothic" w:hAnsi="Verdana" w:cs="Century Gothic"/>
          <w:b/>
          <w:bCs/>
        </w:rPr>
        <w:t>Respuesta:</w:t>
      </w:r>
    </w:p>
    <w:p w14:paraId="4BE3EA98" w14:textId="0807405D" w:rsidR="00A776B5" w:rsidRDefault="00A776B5" w:rsidP="00A776B5">
      <w:pPr>
        <w:pStyle w:val="Prrafodelista"/>
        <w:tabs>
          <w:tab w:val="left" w:pos="142"/>
          <w:tab w:val="left" w:pos="284"/>
        </w:tabs>
        <w:spacing w:after="0" w:line="276" w:lineRule="auto"/>
        <w:ind w:left="0"/>
        <w:jc w:val="both"/>
        <w:rPr>
          <w:rFonts w:ascii="Verdana" w:eastAsia="Century Gothic" w:hAnsi="Verdana" w:cs="Century Gothic"/>
          <w:b/>
          <w:bCs/>
        </w:rPr>
      </w:pPr>
    </w:p>
    <w:p w14:paraId="5EC7A3FE" w14:textId="77777777" w:rsidR="00755596" w:rsidRPr="001C36AF" w:rsidRDefault="00DE6407" w:rsidP="002D0B94">
      <w:pPr>
        <w:spacing w:after="0" w:line="240" w:lineRule="auto"/>
        <w:jc w:val="both"/>
        <w:rPr>
          <w:rFonts w:ascii="Verdana" w:eastAsia="Calibri" w:hAnsi="Verdana" w:cs="Arial"/>
          <w:bCs/>
          <w:lang w:val="es-ES_tradnl"/>
        </w:rPr>
      </w:pPr>
      <w:r>
        <w:rPr>
          <w:rFonts w:ascii="Verdana" w:eastAsia="Century Gothic" w:hAnsi="Verdana" w:cs="Century Gothic"/>
          <w:bCs/>
        </w:rPr>
        <w:t xml:space="preserve">Respecto al primer interrogante, se debe precisar que </w:t>
      </w:r>
      <w:r w:rsidRPr="00B910D7">
        <w:rPr>
          <w:rFonts w:ascii="Verdana" w:eastAsia="Calibri" w:hAnsi="Verdana" w:cs="Arial"/>
          <w:bCs/>
          <w:lang w:val="es-ES_tradnl"/>
        </w:rPr>
        <w:t xml:space="preserve">la Constitución Política de Colombia, </w:t>
      </w:r>
      <w:r w:rsidR="002D0B94">
        <w:rPr>
          <w:rFonts w:ascii="Verdana" w:eastAsia="Calibri" w:hAnsi="Verdana" w:cs="Arial"/>
          <w:bCs/>
          <w:lang w:val="es-ES_tradnl"/>
        </w:rPr>
        <w:t>consagra en el artículo 355</w:t>
      </w:r>
      <w:r w:rsidRPr="00B910D7">
        <w:rPr>
          <w:rFonts w:ascii="Verdana" w:eastAsia="Calibri" w:hAnsi="Verdana" w:cs="Arial"/>
          <w:bCs/>
          <w:lang w:val="es-ES_tradnl"/>
        </w:rPr>
        <w:t xml:space="preserve"> que “ninguna de las ramas u órganos del Poder Público podrá decretar auxilios o donaciones en favor de personas naturales o jurídicas de derecho privado.”</w:t>
      </w:r>
      <w:r w:rsidR="002D0B94">
        <w:rPr>
          <w:rFonts w:ascii="Verdana" w:eastAsia="Calibri" w:hAnsi="Verdana" w:cs="Arial"/>
          <w:bCs/>
          <w:lang w:val="es-ES_tradnl"/>
        </w:rPr>
        <w:t>; c</w:t>
      </w:r>
      <w:r w:rsidRPr="00B910D7">
        <w:rPr>
          <w:rFonts w:ascii="Verdana" w:eastAsia="Calibri" w:hAnsi="Verdana" w:cs="Arial"/>
          <w:bCs/>
          <w:lang w:val="es-ES_tradnl"/>
        </w:rPr>
        <w:t xml:space="preserve">omo consecuencia del anterior postulado, se deduce que dicha prohibición se refiere </w:t>
      </w:r>
      <w:r w:rsidR="002D0B94">
        <w:rPr>
          <w:rFonts w:ascii="Verdana" w:eastAsia="Calibri" w:hAnsi="Verdana" w:cs="Arial"/>
          <w:bCs/>
          <w:lang w:val="es-ES_tradnl"/>
        </w:rPr>
        <w:t xml:space="preserve">de manera clara a la </w:t>
      </w:r>
      <w:r w:rsidR="00D10D61" w:rsidRPr="009A2B7C">
        <w:rPr>
          <w:rFonts w:ascii="Verdana" w:eastAsia="Calibri" w:hAnsi="Verdana" w:cs="Arial"/>
          <w:bCs/>
          <w:lang w:val="es-ES_tradnl"/>
        </w:rPr>
        <w:t>celebración de contratos de donación de las entidades públicas</w:t>
      </w:r>
      <w:r w:rsidR="002D0B94">
        <w:rPr>
          <w:rFonts w:ascii="Verdana" w:eastAsia="Calibri" w:hAnsi="Verdana" w:cs="Arial"/>
          <w:bCs/>
          <w:lang w:val="es-ES_tradnl"/>
        </w:rPr>
        <w:t xml:space="preserve"> con personas naturales o jurídicas y de derecho privado</w:t>
      </w:r>
      <w:r w:rsidR="00D10D61" w:rsidRPr="009A2B7C">
        <w:rPr>
          <w:rFonts w:ascii="Verdana" w:eastAsia="Calibri" w:hAnsi="Verdana" w:cs="Arial"/>
          <w:bCs/>
          <w:lang w:val="es-ES_tradnl"/>
        </w:rPr>
        <w:t>;</w:t>
      </w:r>
      <w:r w:rsidR="002D0B94">
        <w:rPr>
          <w:rFonts w:ascii="Verdana" w:eastAsia="Calibri" w:hAnsi="Verdana" w:cs="Arial"/>
          <w:bCs/>
          <w:lang w:val="es-ES_tradnl"/>
        </w:rPr>
        <w:t xml:space="preserve"> de lo cual se desprende la autorización para las </w:t>
      </w:r>
      <w:r w:rsidRPr="00B910D7">
        <w:rPr>
          <w:rFonts w:ascii="Verdana" w:eastAsia="Calibri" w:hAnsi="Verdana" w:cs="Arial"/>
          <w:bCs/>
          <w:lang w:val="es-ES_tradnl"/>
        </w:rPr>
        <w:t xml:space="preserve">donaciones </w:t>
      </w:r>
      <w:r w:rsidR="006C740D" w:rsidRPr="009A2B7C">
        <w:rPr>
          <w:rFonts w:ascii="Verdana" w:eastAsia="Calibri" w:hAnsi="Verdana" w:cs="Arial"/>
          <w:bCs/>
          <w:lang w:val="es-ES_tradnl"/>
        </w:rPr>
        <w:t xml:space="preserve">únicamente </w:t>
      </w:r>
      <w:r w:rsidRPr="00B910D7">
        <w:rPr>
          <w:rFonts w:ascii="Verdana" w:eastAsia="Calibri" w:hAnsi="Verdana" w:cs="Arial"/>
          <w:bCs/>
          <w:lang w:val="es-ES_tradnl"/>
        </w:rPr>
        <w:t>entre entidades públicas, las cuales entonces, podrían realizar y celebrar este tipo de contratos, en aplicación de las normas civiles de contratación, con base en la habilitación conferida por los artículos 13 y 32 de la Ley 80 de 1993.</w:t>
      </w:r>
    </w:p>
    <w:p w14:paraId="76F4C09C" w14:textId="77777777" w:rsidR="00755596" w:rsidRPr="001C36AF" w:rsidRDefault="00755596" w:rsidP="002D0B94">
      <w:pPr>
        <w:spacing w:after="0" w:line="240" w:lineRule="auto"/>
        <w:jc w:val="both"/>
        <w:rPr>
          <w:rFonts w:ascii="Verdana" w:eastAsia="Calibri" w:hAnsi="Verdana" w:cs="Arial"/>
          <w:bCs/>
          <w:lang w:val="es-ES_tradnl"/>
        </w:rPr>
      </w:pPr>
    </w:p>
    <w:p w14:paraId="72E60110" w14:textId="16522203" w:rsidR="00DE6407" w:rsidRPr="00B910D7" w:rsidRDefault="00755596" w:rsidP="00755596">
      <w:pPr>
        <w:spacing w:after="0" w:line="240" w:lineRule="auto"/>
        <w:ind w:firstLine="708"/>
        <w:jc w:val="both"/>
        <w:rPr>
          <w:rFonts w:ascii="Verdana" w:eastAsia="Calibri" w:hAnsi="Verdana" w:cs="Arial"/>
          <w:bCs/>
          <w:lang w:val="es-ES_tradnl"/>
        </w:rPr>
      </w:pPr>
      <w:r w:rsidRPr="001C36AF">
        <w:rPr>
          <w:rFonts w:ascii="Verdana" w:eastAsia="Calibri" w:hAnsi="Verdana" w:cs="Arial"/>
          <w:bCs/>
          <w:lang w:val="es-ES_tradnl"/>
        </w:rPr>
        <w:t>Por otro lado</w:t>
      </w:r>
      <w:r w:rsidR="00DA32D1" w:rsidRPr="001C36AF">
        <w:rPr>
          <w:rFonts w:ascii="Verdana" w:eastAsia="Calibri" w:hAnsi="Verdana" w:cs="Arial"/>
          <w:bCs/>
          <w:lang w:val="es-ES_tradnl"/>
        </w:rPr>
        <w:t>,</w:t>
      </w:r>
      <w:r w:rsidRPr="001C36AF">
        <w:rPr>
          <w:rFonts w:ascii="Verdana" w:eastAsia="Calibri" w:hAnsi="Verdana" w:cs="Arial"/>
          <w:bCs/>
          <w:lang w:val="es-ES_tradnl"/>
        </w:rPr>
        <w:t xml:space="preserve"> es preciso indicar que las entidades </w:t>
      </w:r>
      <w:r w:rsidR="00DA32D1" w:rsidRPr="001C36AF">
        <w:rPr>
          <w:rFonts w:ascii="Verdana" w:eastAsia="Calibri" w:hAnsi="Verdana" w:cs="Arial"/>
          <w:bCs/>
          <w:lang w:val="es-ES_tradnl"/>
        </w:rPr>
        <w:t>públicas</w:t>
      </w:r>
      <w:r w:rsidRPr="001C36AF">
        <w:rPr>
          <w:rFonts w:ascii="Verdana" w:eastAsia="Calibri" w:hAnsi="Verdana" w:cs="Arial"/>
          <w:bCs/>
          <w:lang w:val="es-ES_tradnl"/>
        </w:rPr>
        <w:t xml:space="preserve">, podrán acudir a lo establecido en el Decreto 1082 de 2015 que en el artículo 2.2.1.2.2.1.1. y siguientes, </w:t>
      </w:r>
      <w:r w:rsidR="00DA32D1" w:rsidRPr="001C36AF">
        <w:rPr>
          <w:rFonts w:ascii="Verdana" w:eastAsia="Calibri" w:hAnsi="Verdana" w:cs="Arial"/>
          <w:bCs/>
          <w:lang w:val="es-ES_tradnl"/>
        </w:rPr>
        <w:t xml:space="preserve">en donde se establece </w:t>
      </w:r>
      <w:r w:rsidRPr="001C36AF">
        <w:rPr>
          <w:rFonts w:ascii="Verdana" w:eastAsia="Calibri" w:hAnsi="Verdana" w:cs="Arial"/>
          <w:bCs/>
          <w:lang w:val="es-ES_tradnl"/>
        </w:rPr>
        <w:t xml:space="preserve">dicha modalidad de selección para enajenar </w:t>
      </w:r>
      <w:r w:rsidRPr="001C36AF">
        <w:rPr>
          <w:rFonts w:ascii="Verdana" w:eastAsia="Calibri" w:hAnsi="Verdana" w:cs="Arial"/>
          <w:bCs/>
          <w:lang w:val="es-ES_tradnl"/>
        </w:rPr>
        <w:lastRenderedPageBreak/>
        <w:t>sus bienes fiscales, para lo cual, la Entidad Estatal interesada en realizar dicho proceso de enajenación deberá determinar, en primer lugar, si los bienes sobre los cuales requiere realizar la enajenación son muebles o inmuebles, lo que va a incidir en las reglas que deberá aplicar de conformidad con lo dispuesto en el Decreto 1082 de 2015</w:t>
      </w:r>
      <w:r w:rsidR="00DA32D1" w:rsidRPr="001C36AF">
        <w:rPr>
          <w:rFonts w:ascii="Verdana" w:eastAsia="Calibri" w:hAnsi="Verdana" w:cs="Arial"/>
          <w:bCs/>
          <w:lang w:val="es-ES_tradnl"/>
        </w:rPr>
        <w:t>.</w:t>
      </w:r>
      <w:r w:rsidR="00DE6407" w:rsidRPr="001C36AF">
        <w:rPr>
          <w:rFonts w:ascii="Verdana" w:eastAsia="Calibri" w:hAnsi="Verdana" w:cs="Arial"/>
          <w:bCs/>
          <w:lang w:val="es-ES_tradnl"/>
        </w:rPr>
        <w:t xml:space="preserve">   </w:t>
      </w:r>
    </w:p>
    <w:p w14:paraId="265E05CE" w14:textId="77777777" w:rsidR="002D0B94" w:rsidRDefault="002D0B94" w:rsidP="00A776B5">
      <w:pPr>
        <w:pStyle w:val="Prrafodelista"/>
        <w:tabs>
          <w:tab w:val="left" w:pos="142"/>
          <w:tab w:val="left" w:pos="284"/>
        </w:tabs>
        <w:spacing w:after="0" w:line="276" w:lineRule="auto"/>
        <w:ind w:left="0"/>
        <w:jc w:val="both"/>
        <w:rPr>
          <w:rFonts w:ascii="Verdana" w:eastAsia="Century Gothic" w:hAnsi="Verdana" w:cs="Century Gothic"/>
          <w:bCs/>
        </w:rPr>
      </w:pPr>
    </w:p>
    <w:p w14:paraId="04FE7B7A" w14:textId="748B4EC2" w:rsidR="002D0B94" w:rsidRDefault="00DA32D1" w:rsidP="00A776B5">
      <w:pPr>
        <w:pStyle w:val="Prrafodelista"/>
        <w:tabs>
          <w:tab w:val="left" w:pos="142"/>
          <w:tab w:val="left" w:pos="284"/>
        </w:tabs>
        <w:spacing w:after="0" w:line="276" w:lineRule="auto"/>
        <w:ind w:left="0"/>
        <w:jc w:val="both"/>
        <w:rPr>
          <w:rFonts w:ascii="Verdana" w:hAnsi="Verdana" w:cs="Arial"/>
          <w:bCs/>
          <w:lang w:val="es-MX"/>
        </w:rPr>
      </w:pPr>
      <w:r w:rsidRPr="001C36AF">
        <w:rPr>
          <w:rFonts w:ascii="Verdana" w:eastAsia="Century Gothic" w:hAnsi="Verdana" w:cs="Century Gothic"/>
          <w:bCs/>
        </w:rPr>
        <w:tab/>
      </w:r>
      <w:r w:rsidRPr="001C36AF">
        <w:rPr>
          <w:rFonts w:ascii="Verdana" w:eastAsia="Century Gothic" w:hAnsi="Verdana" w:cs="Century Gothic"/>
          <w:bCs/>
        </w:rPr>
        <w:tab/>
      </w:r>
      <w:r w:rsidRPr="001C36AF">
        <w:rPr>
          <w:rFonts w:ascii="Verdana" w:eastAsia="Century Gothic" w:hAnsi="Verdana" w:cs="Century Gothic"/>
          <w:bCs/>
        </w:rPr>
        <w:tab/>
      </w:r>
      <w:r w:rsidR="002D0B94">
        <w:rPr>
          <w:rFonts w:ascii="Verdana" w:eastAsia="Century Gothic" w:hAnsi="Verdana" w:cs="Century Gothic"/>
          <w:bCs/>
        </w:rPr>
        <w:t xml:space="preserve">Frente al segundo interrogante y de conformidad a lo establecido en el artículo </w:t>
      </w:r>
      <w:r w:rsidR="002D0B94" w:rsidRPr="00B910D7">
        <w:rPr>
          <w:rFonts w:ascii="Verdana" w:hAnsi="Verdana" w:cs="Arial"/>
          <w:bCs/>
          <w:lang w:val="es-MX"/>
        </w:rPr>
        <w:t>2.1.1.2.1.7. del Decreto Único Reglamentario 108</w:t>
      </w:r>
      <w:r w:rsidR="002D0B94">
        <w:rPr>
          <w:rFonts w:ascii="Verdana" w:hAnsi="Verdana" w:cs="Arial"/>
          <w:bCs/>
          <w:lang w:val="es-MX"/>
        </w:rPr>
        <w:t>1</w:t>
      </w:r>
      <w:r w:rsidR="002D0B94" w:rsidRPr="00B910D7">
        <w:rPr>
          <w:rFonts w:ascii="Verdana" w:hAnsi="Verdana" w:cs="Arial"/>
          <w:bCs/>
          <w:lang w:val="es-MX"/>
        </w:rPr>
        <w:t xml:space="preserve"> de 2015</w:t>
      </w:r>
      <w:r w:rsidR="002D0B94" w:rsidRPr="00B910D7">
        <w:rPr>
          <w:rFonts w:ascii="Verdana" w:hAnsi="Verdana" w:cs="Arial"/>
          <w:bCs/>
          <w:vertAlign w:val="superscript"/>
          <w:lang w:val="es-MX"/>
        </w:rPr>
        <w:footnoteReference w:id="2"/>
      </w:r>
      <w:r w:rsidR="002D0B94" w:rsidRPr="00B910D7">
        <w:rPr>
          <w:rFonts w:ascii="Verdana" w:hAnsi="Verdana" w:cs="Arial"/>
          <w:bCs/>
          <w:lang w:val="es-MX"/>
        </w:rPr>
        <w:t>, el cual dispuso que la publicación de la información contractual de los sujetos obligados, que contratan con cargo a recursos públicos, debe hacerse en el Sistema Electrónico para la Contratación Pública ─</w:t>
      </w:r>
      <w:r w:rsidR="002D0B94" w:rsidRPr="00B910D7">
        <w:rPr>
          <w:rFonts w:ascii="Verdana" w:hAnsi="Verdana" w:cs="Arial"/>
          <w:bCs/>
          <w:lang w:val="es-MX"/>
        </w:rPr>
        <w:softHyphen/>
        <w:t xml:space="preserve"> </w:t>
      </w:r>
      <w:r w:rsidR="002D0B94" w:rsidRPr="00B910D7">
        <w:rPr>
          <w:rFonts w:ascii="Verdana" w:hAnsi="Verdana" w:cs="Arial"/>
          <w:bCs/>
          <w:lang w:val="es-MX"/>
        </w:rPr>
        <w:softHyphen/>
        <w:t>SECOP–</w:t>
      </w:r>
      <w:r w:rsidR="002D0B94">
        <w:rPr>
          <w:rFonts w:ascii="Verdana" w:hAnsi="Verdana" w:cs="Arial"/>
          <w:bCs/>
          <w:lang w:val="es-MX"/>
        </w:rPr>
        <w:t>; de lo anterior resulta que todos los documentos que hagan parte del proceso de contratación deberán ser publicados en la Plataforma SECOP II o SECOP I según corresponda.</w:t>
      </w:r>
    </w:p>
    <w:p w14:paraId="6333752D" w14:textId="77777777" w:rsidR="002D0B94" w:rsidRPr="002D0B94" w:rsidRDefault="002D0B94" w:rsidP="00A776B5">
      <w:pPr>
        <w:pStyle w:val="Prrafodelista"/>
        <w:tabs>
          <w:tab w:val="left" w:pos="142"/>
          <w:tab w:val="left" w:pos="284"/>
        </w:tabs>
        <w:spacing w:after="0" w:line="276" w:lineRule="auto"/>
        <w:ind w:left="0"/>
        <w:jc w:val="both"/>
        <w:rPr>
          <w:rFonts w:ascii="Verdana" w:eastAsia="Century Gothic" w:hAnsi="Verdana" w:cs="Century Gothic"/>
          <w:bCs/>
        </w:rPr>
      </w:pPr>
    </w:p>
    <w:p w14:paraId="74C47558" w14:textId="77777777" w:rsidR="00A776B5" w:rsidRPr="00B910D7" w:rsidRDefault="00A776B5" w:rsidP="00A776B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910D7">
        <w:rPr>
          <w:rFonts w:ascii="Verdana" w:eastAsia="Century Gothic" w:hAnsi="Verdana" w:cs="Century Gothic"/>
          <w:b/>
          <w:bCs/>
        </w:rPr>
        <w:t>Razones de la respuesta:</w:t>
      </w:r>
    </w:p>
    <w:p w14:paraId="2FD6B30C" w14:textId="77777777" w:rsidR="00A776B5" w:rsidRPr="00B910D7" w:rsidRDefault="00A776B5" w:rsidP="00A776B5">
      <w:pPr>
        <w:spacing w:after="0" w:line="276" w:lineRule="auto"/>
        <w:jc w:val="both"/>
        <w:rPr>
          <w:rFonts w:ascii="Verdana" w:eastAsia="Calibri" w:hAnsi="Verdana" w:cs="Arial"/>
          <w:lang w:val="es-ES" w:eastAsia="es-ES"/>
        </w:rPr>
      </w:pPr>
    </w:p>
    <w:p w14:paraId="5A9F936C" w14:textId="77777777" w:rsidR="00A776B5" w:rsidRPr="00DE6407" w:rsidRDefault="00A776B5" w:rsidP="00A776B5">
      <w:pPr>
        <w:spacing w:after="0" w:line="240" w:lineRule="auto"/>
        <w:jc w:val="both"/>
        <w:rPr>
          <w:rFonts w:ascii="Verdana" w:eastAsia="Calibri" w:hAnsi="Verdana" w:cs="Arial"/>
          <w:lang w:val="es-ES"/>
        </w:rPr>
      </w:pPr>
      <w:r w:rsidRPr="00DE6407">
        <w:rPr>
          <w:rFonts w:ascii="Verdana" w:eastAsia="Calibri" w:hAnsi="Verdana" w:cs="Arial"/>
          <w:lang w:val="es-ES"/>
        </w:rPr>
        <w:t xml:space="preserve">Lo anterior se sustenta en las siguientes consideraciones: </w:t>
      </w:r>
    </w:p>
    <w:p w14:paraId="36E77BB0" w14:textId="7D910A21" w:rsidR="00A776B5" w:rsidRPr="00B910D7" w:rsidRDefault="00A776B5" w:rsidP="00A776B5">
      <w:pPr>
        <w:spacing w:after="0" w:line="240" w:lineRule="auto"/>
        <w:jc w:val="both"/>
        <w:rPr>
          <w:rFonts w:ascii="Verdana" w:eastAsia="Calibri" w:hAnsi="Verdana" w:cs="Arial"/>
          <w:bCs/>
          <w:highlight w:val="yellow"/>
          <w:lang w:val="es-ES_tradnl"/>
        </w:rPr>
      </w:pPr>
    </w:p>
    <w:p w14:paraId="0926FFC4" w14:textId="6FEA4F07" w:rsidR="00A9496E" w:rsidRPr="00B910D7" w:rsidRDefault="00A9496E" w:rsidP="00A776B5">
      <w:pPr>
        <w:spacing w:after="0" w:line="240" w:lineRule="auto"/>
        <w:jc w:val="both"/>
        <w:rPr>
          <w:rFonts w:ascii="Verdana" w:eastAsia="Calibri" w:hAnsi="Verdana" w:cs="Arial"/>
          <w:bCs/>
          <w:lang w:val="es-ES_tradnl"/>
        </w:rPr>
      </w:pPr>
      <w:r w:rsidRPr="00B910D7">
        <w:rPr>
          <w:rFonts w:ascii="Verdana" w:eastAsia="Calibri" w:hAnsi="Verdana" w:cs="Arial"/>
          <w:bCs/>
          <w:lang w:val="es-ES_tradnl"/>
        </w:rPr>
        <w:t xml:space="preserve">Antes de abordar la tipología contractual que se encuentra en el artículo 1443 del Código Civil, se debe acotar lo establecido en el artículo 355 de la Constitución </w:t>
      </w:r>
      <w:r w:rsidR="00D0016A" w:rsidRPr="00B910D7">
        <w:rPr>
          <w:rFonts w:ascii="Verdana" w:eastAsia="Calibri" w:hAnsi="Verdana" w:cs="Arial"/>
          <w:bCs/>
          <w:lang w:val="es-ES_tradnl"/>
        </w:rPr>
        <w:t>Política</w:t>
      </w:r>
      <w:r w:rsidRPr="00B910D7">
        <w:rPr>
          <w:rFonts w:ascii="Verdana" w:eastAsia="Calibri" w:hAnsi="Verdana" w:cs="Arial"/>
          <w:bCs/>
          <w:lang w:val="es-ES_tradnl"/>
        </w:rPr>
        <w:t xml:space="preserve"> de Colombia, el cual consagra que “ninguna de las ramas u órganos del Poder Público podrá decretar auxilios o donaciones en favor de personas naturales o jurídicas de derecho privado.”</w:t>
      </w:r>
    </w:p>
    <w:p w14:paraId="7175B778" w14:textId="77777777" w:rsidR="00A9496E" w:rsidRPr="00B910D7" w:rsidRDefault="00A9496E" w:rsidP="00A776B5">
      <w:pPr>
        <w:spacing w:after="0" w:line="240" w:lineRule="auto"/>
        <w:jc w:val="both"/>
        <w:rPr>
          <w:rFonts w:ascii="Verdana" w:eastAsia="Calibri" w:hAnsi="Verdana" w:cs="Arial"/>
          <w:bCs/>
          <w:lang w:val="es-ES_tradnl"/>
        </w:rPr>
      </w:pPr>
    </w:p>
    <w:p w14:paraId="403E8D13" w14:textId="2EC11FAD" w:rsidR="00A9496E" w:rsidRPr="00B910D7" w:rsidRDefault="00A9496E" w:rsidP="00A9496E">
      <w:pPr>
        <w:spacing w:after="0" w:line="240" w:lineRule="auto"/>
        <w:ind w:firstLine="708"/>
        <w:jc w:val="both"/>
        <w:rPr>
          <w:rFonts w:ascii="Verdana" w:eastAsia="Calibri" w:hAnsi="Verdana" w:cs="Arial"/>
          <w:bCs/>
          <w:lang w:val="es-ES_tradnl"/>
        </w:rPr>
      </w:pPr>
      <w:r w:rsidRPr="00B910D7">
        <w:rPr>
          <w:rFonts w:ascii="Verdana" w:eastAsia="Calibri" w:hAnsi="Verdana" w:cs="Arial"/>
          <w:bCs/>
          <w:lang w:val="es-ES_tradnl"/>
        </w:rPr>
        <w:t>Como consecuencia de</w:t>
      </w:r>
      <w:r w:rsidR="00D0016A" w:rsidRPr="00B910D7">
        <w:rPr>
          <w:rFonts w:ascii="Verdana" w:eastAsia="Calibri" w:hAnsi="Verdana" w:cs="Arial"/>
          <w:bCs/>
          <w:lang w:val="es-ES_tradnl"/>
        </w:rPr>
        <w:t>l anterior postulado</w:t>
      </w:r>
      <w:r w:rsidRPr="00B910D7">
        <w:rPr>
          <w:rFonts w:ascii="Verdana" w:eastAsia="Calibri" w:hAnsi="Verdana" w:cs="Arial"/>
          <w:bCs/>
          <w:lang w:val="es-ES_tradnl"/>
        </w:rPr>
        <w:t>, se deduce que dicha prohibición no se refiere al evento de donaciones entre entidades públicas realizar</w:t>
      </w:r>
      <w:r w:rsidR="00D0016A" w:rsidRPr="00B910D7">
        <w:rPr>
          <w:rFonts w:ascii="Verdana" w:eastAsia="Calibri" w:hAnsi="Verdana" w:cs="Arial"/>
          <w:bCs/>
          <w:lang w:val="es-ES_tradnl"/>
        </w:rPr>
        <w:t xml:space="preserve"> y celebrar este tipo de contratos, </w:t>
      </w:r>
      <w:r w:rsidRPr="00B910D7">
        <w:rPr>
          <w:rFonts w:ascii="Verdana" w:eastAsia="Calibri" w:hAnsi="Verdana" w:cs="Arial"/>
          <w:bCs/>
          <w:lang w:val="es-ES_tradnl"/>
        </w:rPr>
        <w:t>en aplicación de las normas civiles de contratación, con base en la habilitación conferida por los artículos 13 y 32 de la Ley 80 de 1993</w:t>
      </w:r>
      <w:r w:rsidR="001B6559">
        <w:rPr>
          <w:rFonts w:ascii="Verdana" w:eastAsia="Calibri" w:hAnsi="Verdana" w:cs="Arial"/>
          <w:bCs/>
          <w:lang w:val="es-ES_tradnl"/>
        </w:rPr>
        <w:t xml:space="preserve">, </w:t>
      </w:r>
      <w:r w:rsidR="00C02CE2">
        <w:rPr>
          <w:rFonts w:ascii="Verdana" w:eastAsia="Calibri" w:hAnsi="Verdana" w:cs="Arial"/>
          <w:bCs/>
          <w:lang w:val="es-ES_tradnl"/>
        </w:rPr>
        <w:t xml:space="preserve">sino a la </w:t>
      </w:r>
      <w:r w:rsidR="001B6559">
        <w:rPr>
          <w:rFonts w:ascii="Verdana" w:eastAsia="Calibri" w:hAnsi="Verdana" w:cs="Arial"/>
          <w:bCs/>
          <w:lang w:val="es-ES_tradnl"/>
        </w:rPr>
        <w:t xml:space="preserve">refiere a la prohibición de </w:t>
      </w:r>
      <w:r w:rsidR="004332C2">
        <w:rPr>
          <w:rFonts w:ascii="Verdana" w:eastAsia="Calibri" w:hAnsi="Verdana" w:cs="Arial"/>
          <w:bCs/>
          <w:lang w:val="es-ES_tradnl"/>
        </w:rPr>
        <w:t xml:space="preserve">la suscripción de contratos de donación </w:t>
      </w:r>
      <w:r w:rsidR="00C02CE2">
        <w:rPr>
          <w:rFonts w:ascii="Verdana" w:eastAsia="Calibri" w:hAnsi="Verdana" w:cs="Arial"/>
          <w:bCs/>
          <w:lang w:val="es-ES_tradnl"/>
        </w:rPr>
        <w:t xml:space="preserve">con personas naturales o jurídicas sometidas al derecho </w:t>
      </w:r>
      <w:r w:rsidR="00DC5F2D">
        <w:rPr>
          <w:rFonts w:ascii="Verdana" w:eastAsia="Calibri" w:hAnsi="Verdana" w:cs="Arial"/>
          <w:bCs/>
          <w:lang w:val="es-ES_tradnl"/>
        </w:rPr>
        <w:t>privado</w:t>
      </w:r>
      <w:r w:rsidR="008449FF">
        <w:rPr>
          <w:rFonts w:ascii="Verdana" w:eastAsia="Calibri" w:hAnsi="Verdana" w:cs="Arial"/>
          <w:bCs/>
          <w:lang w:val="es-ES_tradnl"/>
        </w:rPr>
        <w:t>.</w:t>
      </w:r>
      <w:r w:rsidRPr="00B910D7">
        <w:rPr>
          <w:rFonts w:ascii="Verdana" w:eastAsia="Calibri" w:hAnsi="Verdana" w:cs="Arial"/>
          <w:bCs/>
          <w:lang w:val="es-ES_tradnl"/>
        </w:rPr>
        <w:t xml:space="preserve">  </w:t>
      </w:r>
    </w:p>
    <w:p w14:paraId="05167528" w14:textId="499933E8" w:rsidR="00A9496E" w:rsidRPr="00B910D7" w:rsidRDefault="00A9496E" w:rsidP="00A776B5">
      <w:pPr>
        <w:spacing w:after="0" w:line="240" w:lineRule="auto"/>
        <w:jc w:val="both"/>
        <w:rPr>
          <w:rFonts w:ascii="Verdana" w:eastAsia="Calibri" w:hAnsi="Verdana" w:cs="Arial"/>
          <w:bCs/>
          <w:lang w:val="es-ES_tradnl"/>
        </w:rPr>
      </w:pPr>
    </w:p>
    <w:p w14:paraId="5820B148" w14:textId="076EBD02" w:rsidR="00803642" w:rsidRDefault="00666254" w:rsidP="00666254">
      <w:pPr>
        <w:spacing w:after="0" w:line="276" w:lineRule="auto"/>
        <w:ind w:firstLine="708"/>
        <w:jc w:val="both"/>
        <w:rPr>
          <w:rFonts w:ascii="Verdana" w:hAnsi="Verdana" w:cs="Arial"/>
          <w:bCs/>
          <w:lang w:val="es-MX"/>
        </w:rPr>
      </w:pPr>
      <w:r w:rsidRPr="001C36AF">
        <w:rPr>
          <w:rFonts w:ascii="Verdana" w:hAnsi="Verdana" w:cs="Arial"/>
          <w:bCs/>
          <w:lang w:val="es-MX"/>
        </w:rPr>
        <w:t>De lo anterior, e</w:t>
      </w:r>
      <w:r w:rsidR="000076E6" w:rsidRPr="001C36AF">
        <w:rPr>
          <w:rFonts w:ascii="Verdana" w:hAnsi="Verdana" w:cs="Arial"/>
          <w:bCs/>
          <w:lang w:val="es-MX"/>
        </w:rPr>
        <w:t>s preci</w:t>
      </w:r>
      <w:r w:rsidR="00252816" w:rsidRPr="001C36AF">
        <w:rPr>
          <w:rFonts w:ascii="Verdana" w:hAnsi="Verdana" w:cs="Arial"/>
          <w:bCs/>
          <w:lang w:val="es-MX"/>
        </w:rPr>
        <w:t xml:space="preserve">so indicar </w:t>
      </w:r>
      <w:r w:rsidR="007A3302">
        <w:rPr>
          <w:rFonts w:ascii="Verdana" w:hAnsi="Verdana" w:cs="Arial"/>
          <w:bCs/>
          <w:lang w:val="es-MX"/>
        </w:rPr>
        <w:t>las entidades públicas pueden</w:t>
      </w:r>
      <w:r w:rsidR="00043FAA" w:rsidRPr="001C36AF">
        <w:rPr>
          <w:rFonts w:ascii="Verdana" w:hAnsi="Verdana" w:cs="Arial"/>
          <w:bCs/>
          <w:lang w:val="es-MX"/>
        </w:rPr>
        <w:t xml:space="preserve"> realizar </w:t>
      </w:r>
      <w:r w:rsidR="00D64CFF" w:rsidRPr="001C36AF">
        <w:rPr>
          <w:rFonts w:ascii="Verdana" w:hAnsi="Verdana" w:cs="Arial"/>
          <w:bCs/>
          <w:lang w:val="es-MX"/>
        </w:rPr>
        <w:t>negocios jurídicos con los bienes del estado</w:t>
      </w:r>
      <w:r w:rsidR="007A3302">
        <w:rPr>
          <w:rFonts w:ascii="Verdana" w:hAnsi="Verdana" w:cs="Arial"/>
          <w:bCs/>
          <w:lang w:val="es-MX"/>
        </w:rPr>
        <w:t>, en atención a lo contemplado en el</w:t>
      </w:r>
      <w:r w:rsidR="00D64CFF" w:rsidRPr="001C36AF">
        <w:rPr>
          <w:rFonts w:ascii="Verdana" w:hAnsi="Verdana" w:cs="Arial"/>
          <w:bCs/>
          <w:lang w:val="es-MX"/>
        </w:rPr>
        <w:t xml:space="preserve"> </w:t>
      </w:r>
      <w:r w:rsidR="00252816" w:rsidRPr="001C36AF">
        <w:rPr>
          <w:rFonts w:ascii="Verdana" w:hAnsi="Verdana" w:cs="Arial"/>
          <w:bCs/>
          <w:lang w:val="es-MX"/>
        </w:rPr>
        <w:t>literal e) del numeral 2 del artículo 2 de la Ley 1150 de 2007</w:t>
      </w:r>
      <w:r w:rsidR="007A26E6" w:rsidRPr="001C36AF">
        <w:rPr>
          <w:rFonts w:ascii="Verdana" w:hAnsi="Verdana" w:cs="Arial"/>
          <w:bCs/>
          <w:lang w:val="es-MX"/>
        </w:rPr>
        <w:t>,</w:t>
      </w:r>
      <w:r w:rsidR="00252816" w:rsidRPr="001C36AF">
        <w:rPr>
          <w:rFonts w:ascii="Verdana" w:hAnsi="Verdana" w:cs="Arial"/>
          <w:bCs/>
          <w:lang w:val="es-MX"/>
        </w:rPr>
        <w:t xml:space="preserve"> </w:t>
      </w:r>
      <w:r w:rsidR="00803642">
        <w:rPr>
          <w:rFonts w:ascii="Verdana" w:hAnsi="Verdana" w:cs="Arial"/>
          <w:bCs/>
          <w:lang w:val="es-MX"/>
        </w:rPr>
        <w:t xml:space="preserve">en donde se </w:t>
      </w:r>
      <w:r w:rsidR="00803642" w:rsidRPr="001C36AF">
        <w:rPr>
          <w:rFonts w:ascii="Verdana" w:hAnsi="Verdana" w:cs="Arial"/>
          <w:bCs/>
          <w:lang w:val="es-MX"/>
        </w:rPr>
        <w:lastRenderedPageBreak/>
        <w:t>establece</w:t>
      </w:r>
      <w:r w:rsidR="007A26E6" w:rsidRPr="001C36AF">
        <w:rPr>
          <w:rFonts w:ascii="Verdana" w:hAnsi="Verdana" w:cs="Arial"/>
          <w:bCs/>
          <w:lang w:val="es-MX"/>
        </w:rPr>
        <w:t xml:space="preserve"> la</w:t>
      </w:r>
      <w:r w:rsidR="00252816" w:rsidRPr="001C36AF">
        <w:rPr>
          <w:rFonts w:ascii="Verdana" w:hAnsi="Verdana" w:cs="Arial"/>
          <w:bCs/>
          <w:lang w:val="es-MX"/>
        </w:rPr>
        <w:t xml:space="preserve"> enajenación de bienes del Estado</w:t>
      </w:r>
      <w:r w:rsidR="00D64CFF" w:rsidRPr="001C36AF">
        <w:rPr>
          <w:rFonts w:ascii="Verdana" w:hAnsi="Verdana" w:cs="Arial"/>
          <w:bCs/>
          <w:lang w:val="es-MX"/>
        </w:rPr>
        <w:t xml:space="preserve"> la cual </w:t>
      </w:r>
      <w:r w:rsidR="00252816" w:rsidRPr="001C36AF">
        <w:rPr>
          <w:rFonts w:ascii="Verdana" w:hAnsi="Verdana" w:cs="Arial"/>
          <w:bCs/>
          <w:lang w:val="es-MX"/>
        </w:rPr>
        <w:t xml:space="preserve">se realiza a través de la modalidad de selección abreviada. </w:t>
      </w:r>
    </w:p>
    <w:p w14:paraId="657FB36B" w14:textId="77777777" w:rsidR="00803642" w:rsidRDefault="00803642" w:rsidP="00666254">
      <w:pPr>
        <w:spacing w:after="0" w:line="276" w:lineRule="auto"/>
        <w:ind w:firstLine="708"/>
        <w:jc w:val="both"/>
        <w:rPr>
          <w:rFonts w:ascii="Verdana" w:hAnsi="Verdana" w:cs="Arial"/>
          <w:bCs/>
          <w:lang w:val="es-MX"/>
        </w:rPr>
      </w:pPr>
    </w:p>
    <w:p w14:paraId="025506AA" w14:textId="56390B9F" w:rsidR="00252816" w:rsidRPr="001C36AF" w:rsidRDefault="00252816" w:rsidP="00666254">
      <w:pPr>
        <w:spacing w:after="0" w:line="276" w:lineRule="auto"/>
        <w:ind w:firstLine="708"/>
        <w:jc w:val="both"/>
        <w:rPr>
          <w:rFonts w:ascii="Verdana" w:hAnsi="Verdana" w:cs="Arial"/>
          <w:bCs/>
          <w:lang w:val="es-MX"/>
        </w:rPr>
      </w:pPr>
      <w:r w:rsidRPr="001C36AF">
        <w:rPr>
          <w:rFonts w:ascii="Verdana" w:hAnsi="Verdana" w:cs="Arial"/>
          <w:bCs/>
          <w:lang w:val="es-MX"/>
        </w:rPr>
        <w:t xml:space="preserve">En virtud de ello, el Decreto 1082 de 2015, por medio del cual se expide el Decreto Único Reglamentario del Sector Administrativo de Planeación Nacional, dispuso en los artículos 2.2.1.2.2.1.1. y siguientes, las reglas que deben tener en cuenta las Entidades Estatales, cuando utilicen dicha modalidad de selección para enajenar sus bienes fiscales, para lo cual, la Entidad Estatal interesada en realizar </w:t>
      </w:r>
      <w:r w:rsidR="00D64CFF" w:rsidRPr="001C36AF">
        <w:rPr>
          <w:rFonts w:ascii="Verdana" w:hAnsi="Verdana" w:cs="Arial"/>
          <w:bCs/>
          <w:lang w:val="es-MX"/>
        </w:rPr>
        <w:t>dicho proceso</w:t>
      </w:r>
      <w:r w:rsidRPr="001C36AF">
        <w:rPr>
          <w:rFonts w:ascii="Verdana" w:hAnsi="Verdana" w:cs="Arial"/>
          <w:bCs/>
          <w:lang w:val="es-MX"/>
        </w:rPr>
        <w:t xml:space="preserve"> de enajenación deberá determinar, en primer lugar, si los bienes sobre los cuales requiere realizar la enajenación son muebles o inmuebles, lo que va a incidir en las reglas que deberá aplicar de conformidad con lo dispuesto en el Decreto 1082 de 2015</w:t>
      </w:r>
      <w:r w:rsidR="00012AD9" w:rsidRPr="001C36AF">
        <w:rPr>
          <w:rFonts w:ascii="Verdana" w:hAnsi="Verdana" w:cs="Arial"/>
          <w:bCs/>
          <w:lang w:val="es-MX"/>
        </w:rPr>
        <w:footnoteReference w:id="3"/>
      </w:r>
      <w:r w:rsidRPr="001C36AF">
        <w:rPr>
          <w:rFonts w:ascii="Verdana" w:hAnsi="Verdana" w:cs="Arial"/>
          <w:bCs/>
          <w:lang w:val="es-MX"/>
        </w:rPr>
        <w:t>.</w:t>
      </w:r>
    </w:p>
    <w:p w14:paraId="5088501F" w14:textId="77777777" w:rsidR="00DA32D1" w:rsidRPr="001C36AF" w:rsidRDefault="00DA32D1" w:rsidP="00666254">
      <w:pPr>
        <w:spacing w:after="0" w:line="276" w:lineRule="auto"/>
        <w:ind w:firstLine="708"/>
        <w:jc w:val="both"/>
        <w:rPr>
          <w:rFonts w:ascii="Verdana" w:hAnsi="Verdana" w:cs="Arial"/>
          <w:bCs/>
          <w:lang w:val="es-MX"/>
        </w:rPr>
      </w:pPr>
    </w:p>
    <w:p w14:paraId="12ED5791" w14:textId="2DBE0BAA" w:rsidR="00252816" w:rsidRPr="001C36AF" w:rsidRDefault="00252816" w:rsidP="001F5C8F">
      <w:pPr>
        <w:spacing w:after="0" w:line="276" w:lineRule="auto"/>
        <w:ind w:firstLine="567"/>
        <w:jc w:val="both"/>
        <w:rPr>
          <w:rFonts w:ascii="Verdana" w:hAnsi="Verdana" w:cs="Arial"/>
          <w:bCs/>
          <w:lang w:val="es-MX"/>
        </w:rPr>
      </w:pPr>
      <w:r w:rsidRPr="001C36AF">
        <w:rPr>
          <w:rFonts w:ascii="Verdana" w:hAnsi="Verdana" w:cs="Arial"/>
          <w:bCs/>
          <w:lang w:val="es-MX"/>
        </w:rPr>
        <w:t>En este sentido, si los bienes que van a ser enajenados por la Entidad Estatal se clasifican en bienes muebles, y es de su querer darlos a título gratuito a otras Entidades Estatales en virtud de lo consagrado en el artículo 2.2.1.2.2.4.3. del Decreto 1082 de 2015, la Entidad Estatal que vaya a dar de baja sus bienes, deberá realizar, en primer lugar, un inventario de los bienes muebles que no utilizan y, a continuación, se la habilita para ofrecerlos a título gratuito a las demás Entidades Estatales a través de un acto administrativo que deberá publicar en su página Web.</w:t>
      </w:r>
    </w:p>
    <w:p w14:paraId="44930710" w14:textId="77777777" w:rsidR="00DA32D1" w:rsidRPr="001C36AF" w:rsidRDefault="00DA32D1" w:rsidP="00666254">
      <w:pPr>
        <w:spacing w:after="0" w:line="276" w:lineRule="auto"/>
        <w:ind w:firstLine="708"/>
        <w:jc w:val="both"/>
        <w:rPr>
          <w:rFonts w:ascii="Verdana" w:hAnsi="Verdana" w:cs="Arial"/>
          <w:bCs/>
          <w:lang w:val="es-MX"/>
        </w:rPr>
      </w:pPr>
    </w:p>
    <w:p w14:paraId="364504CF" w14:textId="487A739F" w:rsidR="00252816" w:rsidRDefault="00252816" w:rsidP="00666254">
      <w:pPr>
        <w:spacing w:after="0" w:line="276" w:lineRule="auto"/>
        <w:ind w:firstLine="708"/>
        <w:jc w:val="both"/>
        <w:rPr>
          <w:rFonts w:ascii="Verdana" w:hAnsi="Verdana" w:cs="Arial"/>
          <w:bCs/>
          <w:lang w:val="es-MX"/>
        </w:rPr>
      </w:pPr>
      <w:r w:rsidRPr="001C36AF">
        <w:rPr>
          <w:rFonts w:ascii="Verdana" w:hAnsi="Verdana" w:cs="Arial"/>
          <w:bCs/>
          <w:lang w:val="es-MX"/>
        </w:rPr>
        <w:t>Posterior a ello, la norma en mención indica que dentro de los treinta (30) días calendario siguientes a la fecha de publicación del acto administrativo, la Entidad Estatal interesada en adquirir estos bienes a título gratuito debe manifestar su interés, y con ella, debe señalar la necesidad funcional que pretende satisfacer con el bien las razones que justifican su solicitud.</w:t>
      </w:r>
    </w:p>
    <w:p w14:paraId="058645BE" w14:textId="77777777" w:rsidR="00073BAC" w:rsidRPr="001C36AF" w:rsidRDefault="00073BAC" w:rsidP="00666254">
      <w:pPr>
        <w:spacing w:after="0" w:line="276" w:lineRule="auto"/>
        <w:ind w:firstLine="708"/>
        <w:jc w:val="both"/>
        <w:rPr>
          <w:rFonts w:ascii="Verdana" w:hAnsi="Verdana" w:cs="Arial"/>
          <w:bCs/>
          <w:lang w:val="es-MX"/>
        </w:rPr>
      </w:pPr>
    </w:p>
    <w:p w14:paraId="10D64D59" w14:textId="77777777" w:rsidR="00252816" w:rsidRDefault="00252816" w:rsidP="00666254">
      <w:pPr>
        <w:spacing w:after="0" w:line="276" w:lineRule="auto"/>
        <w:ind w:firstLine="708"/>
        <w:jc w:val="both"/>
        <w:rPr>
          <w:rFonts w:ascii="Verdana" w:hAnsi="Verdana" w:cs="Arial"/>
          <w:bCs/>
          <w:lang w:val="es-MX"/>
        </w:rPr>
      </w:pPr>
      <w:r w:rsidRPr="001C36AF">
        <w:rPr>
          <w:rFonts w:ascii="Verdana" w:hAnsi="Verdana" w:cs="Arial"/>
          <w:bCs/>
          <w:lang w:val="es-MX"/>
        </w:rPr>
        <w:t>Finalmente, la norma señala que, si hay dos o más manifestaciones de interés de Entidades Estatales para el mismo bien, la Entidad Estatal que primero haya manifestado su interés debe tener preferencia, sin que existan más normas complementarias o posteriores que hayan regulado con mayor detalle el procedimiento en mención.</w:t>
      </w:r>
    </w:p>
    <w:p w14:paraId="30F7F9FE" w14:textId="77777777" w:rsidR="001C36AF" w:rsidRPr="001C36AF" w:rsidRDefault="001C36AF" w:rsidP="00666254">
      <w:pPr>
        <w:spacing w:after="0" w:line="276" w:lineRule="auto"/>
        <w:ind w:firstLine="708"/>
        <w:jc w:val="both"/>
        <w:rPr>
          <w:rFonts w:ascii="Verdana" w:hAnsi="Verdana" w:cs="Arial"/>
          <w:bCs/>
          <w:lang w:val="es-MX"/>
        </w:rPr>
      </w:pPr>
    </w:p>
    <w:p w14:paraId="24EA921D" w14:textId="1BA292E0" w:rsidR="00B910D7" w:rsidRDefault="00AE1871" w:rsidP="00AE1871">
      <w:pPr>
        <w:spacing w:after="0" w:line="276" w:lineRule="auto"/>
        <w:ind w:firstLine="708"/>
        <w:jc w:val="both"/>
        <w:rPr>
          <w:rFonts w:ascii="Verdana" w:hAnsi="Verdana" w:cs="Arial"/>
          <w:bCs/>
          <w:lang w:val="es-MX"/>
        </w:rPr>
      </w:pPr>
      <w:r>
        <w:rPr>
          <w:rFonts w:ascii="Verdana" w:hAnsi="Verdana" w:cs="Arial"/>
          <w:bCs/>
          <w:lang w:val="es-MX"/>
        </w:rPr>
        <w:lastRenderedPageBreak/>
        <w:t>Frente a la publicidad de los documentos que hacen parte del proceso de contratación, es importante señalar que l</w:t>
      </w:r>
      <w:r w:rsidR="00B910D7" w:rsidRPr="00B910D7">
        <w:rPr>
          <w:rFonts w:ascii="Verdana" w:hAnsi="Verdana" w:cs="Arial"/>
          <w:bCs/>
          <w:lang w:val="es-MX"/>
        </w:rPr>
        <w:t xml:space="preserve">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46E95B10" w14:textId="77777777" w:rsidR="00AE1871" w:rsidRPr="00B910D7" w:rsidRDefault="00AE1871" w:rsidP="00AE1871">
      <w:pPr>
        <w:spacing w:after="0" w:line="276" w:lineRule="auto"/>
        <w:ind w:firstLine="708"/>
        <w:jc w:val="both"/>
        <w:rPr>
          <w:rFonts w:ascii="Verdana" w:hAnsi="Verdana" w:cs="Arial"/>
          <w:bCs/>
          <w:lang w:val="es-MX"/>
        </w:rPr>
      </w:pPr>
    </w:p>
    <w:p w14:paraId="101C23F5" w14:textId="77777777" w:rsidR="0057010C" w:rsidRPr="009A2B7C" w:rsidRDefault="00B910D7" w:rsidP="00B910D7">
      <w:pPr>
        <w:spacing w:after="120" w:line="276" w:lineRule="auto"/>
        <w:ind w:firstLine="709"/>
        <w:jc w:val="both"/>
        <w:rPr>
          <w:rFonts w:ascii="Verdana" w:hAnsi="Verdana" w:cs="Arial"/>
          <w:bCs/>
          <w:lang w:val="es-MX"/>
        </w:rPr>
      </w:pPr>
      <w:r w:rsidRPr="009A2B7C">
        <w:rPr>
          <w:rFonts w:ascii="Verdana" w:hAnsi="Verdana" w:cs="Arial"/>
          <w:bCs/>
          <w:lang w:val="es-MX"/>
        </w:rPr>
        <w:t>El principio de publicidad impone a las autoridades el deber de dar a conocer sus actos, contratos y decisiones, para que se divulguen y, eventualmente, se controlen dichas actuaciones. En razón a lo anterior,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9A2B7C">
        <w:rPr>
          <w:rFonts w:ascii="Verdana" w:hAnsi="Verdana" w:cs="Arial"/>
          <w:bCs/>
          <w:vertAlign w:val="superscript"/>
          <w:lang w:val="es-MX"/>
        </w:rPr>
        <w:footnoteReference w:id="4"/>
      </w:r>
      <w:r w:rsidR="00172191" w:rsidRPr="009A2B7C">
        <w:rPr>
          <w:rFonts w:ascii="Verdana" w:hAnsi="Verdana" w:cs="Arial"/>
          <w:bCs/>
          <w:lang w:val="es-MX"/>
        </w:rPr>
        <w:t xml:space="preserve">; </w:t>
      </w:r>
      <w:r w:rsidR="00CB7B84" w:rsidRPr="009A2B7C">
        <w:rPr>
          <w:rFonts w:ascii="Verdana" w:hAnsi="Verdana" w:cs="Arial"/>
          <w:bCs/>
          <w:lang w:val="es-MX"/>
        </w:rPr>
        <w:t xml:space="preserve">situación que se encuentra </w:t>
      </w:r>
      <w:r w:rsidR="001B460E" w:rsidRPr="009A2B7C">
        <w:rPr>
          <w:rFonts w:ascii="Verdana" w:hAnsi="Verdana" w:cs="Arial"/>
          <w:bCs/>
          <w:lang w:val="es-MX"/>
        </w:rPr>
        <w:t xml:space="preserve">regulada a su vez para las entidades que se encuentran exceptuadas </w:t>
      </w:r>
      <w:r w:rsidR="004D7B2C" w:rsidRPr="009A2B7C">
        <w:rPr>
          <w:rFonts w:ascii="Verdana" w:hAnsi="Verdana" w:cs="Arial"/>
          <w:bCs/>
          <w:lang w:val="es-MX"/>
        </w:rPr>
        <w:t>del EGCAP</w:t>
      </w:r>
      <w:r w:rsidR="00CB7B84" w:rsidRPr="009A2B7C">
        <w:rPr>
          <w:rFonts w:ascii="Verdana" w:hAnsi="Verdana" w:cs="Arial"/>
          <w:bCs/>
          <w:lang w:val="es-MX"/>
        </w:rPr>
        <w:t xml:space="preserve"> en el siguiente artículo 13 </w:t>
      </w:r>
      <w:r w:rsidR="004D7B2C" w:rsidRPr="009A2B7C">
        <w:rPr>
          <w:rFonts w:ascii="Verdana" w:hAnsi="Verdana" w:cs="Arial"/>
          <w:bCs/>
          <w:lang w:val="es-MX"/>
        </w:rPr>
        <w:t xml:space="preserve">modificado por el artículo </w:t>
      </w:r>
      <w:r w:rsidR="0057010C" w:rsidRPr="009A2B7C">
        <w:rPr>
          <w:rFonts w:ascii="Verdana" w:hAnsi="Verdana" w:cs="Arial"/>
          <w:bCs/>
          <w:lang w:val="es-MX"/>
        </w:rPr>
        <w:t xml:space="preserve">53 de la Ley 2195 de 2022, que señala: </w:t>
      </w:r>
    </w:p>
    <w:p w14:paraId="5404F174" w14:textId="7DF42D40" w:rsidR="00F84992" w:rsidRPr="00F84992" w:rsidRDefault="00F84992" w:rsidP="00F84992">
      <w:pPr>
        <w:spacing w:after="120" w:line="240" w:lineRule="auto"/>
        <w:ind w:left="709" w:right="900"/>
        <w:jc w:val="both"/>
        <w:rPr>
          <w:rFonts w:ascii="Verdana" w:hAnsi="Verdana" w:cs="Arial"/>
          <w:bCs/>
          <w:sz w:val="20"/>
          <w:szCs w:val="20"/>
        </w:rPr>
      </w:pPr>
      <w:r w:rsidRPr="009A2B7C">
        <w:rPr>
          <w:rFonts w:ascii="Verdana" w:hAnsi="Verdana" w:cs="Arial"/>
          <w:bCs/>
          <w:sz w:val="20"/>
          <w:szCs w:val="20"/>
        </w:rPr>
        <w:t xml:space="preserve">(…) </w:t>
      </w:r>
      <w:r w:rsidRPr="00F84992">
        <w:rPr>
          <w:rFonts w:ascii="Verdana" w:hAnsi="Verdana" w:cs="Arial"/>
          <w:bCs/>
          <w:sz w:val="20"/>
          <w:szCs w:val="20"/>
        </w:rPr>
        <w:t xml:space="preserve">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w:t>
      </w:r>
      <w:r w:rsidRPr="00F84992">
        <w:rPr>
          <w:rFonts w:ascii="Verdana" w:hAnsi="Verdana" w:cs="Arial"/>
          <w:bCs/>
          <w:sz w:val="20"/>
          <w:szCs w:val="20"/>
        </w:rPr>
        <w:lastRenderedPageBreak/>
        <w:t>según sea el caso y estarán sometidas al régimen de inhabilidades e incompatibilidades previsto legalmente para la contratación estatal. </w:t>
      </w:r>
    </w:p>
    <w:p w14:paraId="5CAFBFE9" w14:textId="58B5B2DD" w:rsidR="00F84992" w:rsidRPr="00F84992" w:rsidRDefault="00F84992" w:rsidP="00F84992">
      <w:pPr>
        <w:spacing w:after="120" w:line="240" w:lineRule="auto"/>
        <w:ind w:left="709" w:right="900"/>
        <w:jc w:val="both"/>
        <w:rPr>
          <w:rFonts w:ascii="Verdana" w:hAnsi="Verdana" w:cs="Arial"/>
          <w:bCs/>
          <w:sz w:val="20"/>
          <w:szCs w:val="20"/>
        </w:rPr>
      </w:pPr>
      <w:r w:rsidRPr="00F84992">
        <w:rPr>
          <w:rFonts w:ascii="Verdana" w:hAnsi="Verdana" w:cs="Arial"/>
          <w:bCs/>
          <w:sz w:val="20"/>
          <w:szCs w:val="20"/>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 </w:t>
      </w:r>
    </w:p>
    <w:p w14:paraId="5D624681" w14:textId="5E207224" w:rsidR="00F84992" w:rsidRPr="00F84992" w:rsidRDefault="00F84992" w:rsidP="00F84992">
      <w:pPr>
        <w:spacing w:after="120" w:line="240" w:lineRule="auto"/>
        <w:ind w:left="709" w:right="900"/>
        <w:jc w:val="both"/>
        <w:rPr>
          <w:rFonts w:ascii="Verdana" w:hAnsi="Verdana" w:cs="Arial"/>
          <w:bCs/>
          <w:sz w:val="20"/>
          <w:szCs w:val="20"/>
        </w:rPr>
      </w:pPr>
      <w:r w:rsidRPr="00F84992">
        <w:rPr>
          <w:rFonts w:ascii="Verdana" w:hAnsi="Verdana" w:cs="Arial"/>
          <w:bCs/>
          <w:sz w:val="20"/>
          <w:szCs w:val="20"/>
        </w:rPr>
        <w:t xml:space="preserve">A partir de la entrada en vigencia de la presente Ley, se establecerá un periodo de transición de seis (6) meses, para que las entidades den cumplimiento efectivo a lo aquí </w:t>
      </w:r>
      <w:r w:rsidRPr="009A2B7C">
        <w:rPr>
          <w:rFonts w:ascii="Verdana" w:hAnsi="Verdana" w:cs="Arial"/>
          <w:bCs/>
          <w:sz w:val="20"/>
          <w:szCs w:val="20"/>
        </w:rPr>
        <w:t xml:space="preserve">establecido. (…) </w:t>
      </w:r>
    </w:p>
    <w:p w14:paraId="324455C5" w14:textId="77777777" w:rsidR="008449FF" w:rsidRDefault="008449FF" w:rsidP="008449FF">
      <w:pPr>
        <w:spacing w:after="120" w:line="276" w:lineRule="auto"/>
        <w:ind w:firstLine="567"/>
        <w:jc w:val="both"/>
        <w:rPr>
          <w:rFonts w:ascii="Verdana" w:hAnsi="Verdana" w:cs="Arial"/>
          <w:bCs/>
          <w:lang w:val="es-MX"/>
        </w:rPr>
      </w:pPr>
    </w:p>
    <w:p w14:paraId="5B47F603" w14:textId="0BC57C75" w:rsidR="00113301" w:rsidRDefault="00B910D7" w:rsidP="008449FF">
      <w:pPr>
        <w:spacing w:after="120" w:line="276" w:lineRule="auto"/>
        <w:ind w:firstLine="567"/>
        <w:jc w:val="both"/>
        <w:rPr>
          <w:rFonts w:ascii="Verdana" w:hAnsi="Verdana" w:cs="Arial"/>
          <w:bCs/>
          <w:lang w:val="es-MX"/>
        </w:rPr>
      </w:pPr>
      <w:r w:rsidRPr="00B910D7">
        <w:rPr>
          <w:rFonts w:ascii="Verdana" w:hAnsi="Verdana" w:cs="Arial"/>
          <w:bCs/>
          <w:lang w:val="es-MX"/>
        </w:rPr>
        <w:t>De otra parte, la Ley 1712 de 2014, “</w:t>
      </w:r>
      <w:r w:rsidRPr="00B910D7">
        <w:rPr>
          <w:rFonts w:ascii="Verdana" w:hAnsi="Verdana" w:cs="Arial"/>
        </w:rPr>
        <w:t>P</w:t>
      </w:r>
      <w:r w:rsidRPr="00B910D7">
        <w:rPr>
          <w:rFonts w:ascii="Verdana" w:hAnsi="Verdana" w:cs="Arial"/>
          <w:lang w:eastAsia="es-CO"/>
        </w:rPr>
        <w:t>or medio de la cual se crea la Ley de Transparencia y del Derecho de Acceso a la Información Pública Nacional y se dictan otras disposiciones</w:t>
      </w:r>
      <w:r w:rsidRPr="00B910D7">
        <w:rPr>
          <w:rFonts w:ascii="Verdana" w:hAnsi="Verdana"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B910D7">
        <w:rPr>
          <w:rFonts w:ascii="Verdana" w:hAnsi="Verdana" w:cs="Arial"/>
          <w:bCs/>
          <w:i/>
          <w:iCs/>
          <w:lang w:val="es-MX"/>
        </w:rPr>
        <w:t>máxima publicidad</w:t>
      </w:r>
      <w:r w:rsidRPr="00B910D7">
        <w:rPr>
          <w:rFonts w:ascii="Verdana" w:hAnsi="Verdana" w:cs="Arial"/>
          <w:bCs/>
          <w:lang w:val="es-MX"/>
        </w:rPr>
        <w:t xml:space="preserve"> establece que “toda información en posesión, bajo control o custodia de un sujeto obligado es pública y no podrá ser reservada o limitada sino por disposición constitucional o legal”</w:t>
      </w:r>
      <w:r w:rsidRPr="00B910D7">
        <w:rPr>
          <w:rFonts w:ascii="Verdana" w:hAnsi="Verdana" w:cs="Arial"/>
          <w:bCs/>
          <w:vertAlign w:val="superscript"/>
          <w:lang w:val="es-MX"/>
        </w:rPr>
        <w:footnoteReference w:id="5"/>
      </w:r>
      <w:r w:rsidRPr="00B910D7">
        <w:rPr>
          <w:rFonts w:ascii="Verdana" w:hAnsi="Verdana" w:cs="Arial"/>
          <w:bCs/>
          <w:lang w:val="es-MX"/>
        </w:rPr>
        <w:t xml:space="preserve">. </w:t>
      </w:r>
    </w:p>
    <w:p w14:paraId="13F6D4FC" w14:textId="56497630" w:rsidR="00B910D7" w:rsidRPr="00B910D7" w:rsidRDefault="00B910D7" w:rsidP="00F84992">
      <w:pPr>
        <w:spacing w:after="120" w:line="276" w:lineRule="auto"/>
        <w:ind w:firstLine="709"/>
        <w:jc w:val="both"/>
        <w:rPr>
          <w:rFonts w:ascii="Verdana" w:hAnsi="Verdana" w:cs="Arial"/>
          <w:bCs/>
          <w:lang w:val="es-MX"/>
        </w:rPr>
      </w:pPr>
      <w:r w:rsidRPr="00B910D7">
        <w:rPr>
          <w:rFonts w:ascii="Verdana" w:hAnsi="Verdana" w:cs="Arial"/>
          <w:bCs/>
          <w:lang w:val="es-MX"/>
        </w:rPr>
        <w:t xml:space="preserve">El </w:t>
      </w:r>
      <w:r w:rsidRPr="00B910D7">
        <w:rPr>
          <w:rFonts w:ascii="Verdana" w:hAnsi="Verdana" w:cs="Arial"/>
          <w:bCs/>
          <w:i/>
          <w:iCs/>
          <w:lang w:val="es-MX"/>
        </w:rPr>
        <w:t>principio de transparencia</w:t>
      </w:r>
      <w:r w:rsidRPr="00B910D7">
        <w:rPr>
          <w:rFonts w:ascii="Verdana" w:hAnsi="Verdana" w:cs="Arial"/>
          <w:bCs/>
          <w:lang w:val="es-MX"/>
        </w:rPr>
        <w:t xml:space="preserve"> en la información alude al deber de los sujetos de proporcionar y facilitar el acceso a la misma en los términos más amplios posibles, a través de los medios y procedimientos legales</w:t>
      </w:r>
      <w:r w:rsidRPr="00B910D7">
        <w:rPr>
          <w:rFonts w:ascii="Verdana" w:hAnsi="Verdana" w:cs="Arial"/>
          <w:vertAlign w:val="superscript"/>
          <w:lang w:eastAsia="es-CO"/>
        </w:rPr>
        <w:footnoteReference w:id="6"/>
      </w:r>
      <w:r w:rsidRPr="00B910D7">
        <w:rPr>
          <w:rFonts w:ascii="Verdana" w:hAnsi="Verdana" w:cs="Arial"/>
          <w:bCs/>
          <w:lang w:val="es-MX"/>
        </w:rPr>
        <w:t xml:space="preserve">. Y el </w:t>
      </w:r>
      <w:r w:rsidRPr="00B910D7">
        <w:rPr>
          <w:rFonts w:ascii="Verdana" w:hAnsi="Verdana" w:cs="Arial"/>
          <w:bCs/>
          <w:i/>
          <w:iCs/>
          <w:lang w:val="es-MX"/>
        </w:rPr>
        <w:t>principio de buena fe</w:t>
      </w:r>
      <w:r w:rsidRPr="00B910D7">
        <w:rPr>
          <w:rFonts w:ascii="Verdana" w:hAnsi="Verdana" w:cs="Arial"/>
          <w:bCs/>
          <w:lang w:val="es-MX"/>
        </w:rPr>
        <w:t xml:space="preserve"> hace referencia al deber de todo sujeto obligado de cumplir con las obligaciones derivadas del derecho de acceso a la información pública con motivación honesta, leal y desprovista de cualquier intención dolosa o culposa</w:t>
      </w:r>
      <w:r w:rsidRPr="00B910D7">
        <w:rPr>
          <w:rFonts w:ascii="Verdana" w:hAnsi="Verdana" w:cs="Arial"/>
          <w:bCs/>
          <w:vertAlign w:val="superscript"/>
          <w:lang w:val="es-MX"/>
        </w:rPr>
        <w:footnoteReference w:id="7"/>
      </w:r>
      <w:r w:rsidRPr="00B910D7">
        <w:rPr>
          <w:rFonts w:ascii="Verdana" w:hAnsi="Verdana" w:cs="Arial"/>
          <w:bCs/>
          <w:lang w:val="es-MX"/>
        </w:rPr>
        <w:t xml:space="preserve">. </w:t>
      </w:r>
    </w:p>
    <w:p w14:paraId="35BF4CEC" w14:textId="642CF329" w:rsidR="00B910D7" w:rsidRDefault="00252BBC" w:rsidP="00B910D7">
      <w:pPr>
        <w:spacing w:after="120" w:line="276" w:lineRule="auto"/>
        <w:ind w:firstLine="708"/>
        <w:jc w:val="both"/>
        <w:rPr>
          <w:rFonts w:ascii="Verdana" w:hAnsi="Verdana" w:cs="Arial"/>
          <w:bCs/>
          <w:lang w:val="es-MX"/>
        </w:rPr>
      </w:pPr>
      <w:r>
        <w:rPr>
          <w:rFonts w:ascii="Verdana" w:hAnsi="Verdana" w:cs="Arial"/>
          <w:bCs/>
          <w:lang w:val="es-MX"/>
        </w:rPr>
        <w:lastRenderedPageBreak/>
        <w:t>Cabe acotar que esta obligación-deber f</w:t>
      </w:r>
      <w:r w:rsidR="00B910D7" w:rsidRPr="00B910D7">
        <w:rPr>
          <w:rFonts w:ascii="Verdana" w:hAnsi="Verdana" w:cs="Arial"/>
          <w:bCs/>
          <w:lang w:val="es-MX"/>
        </w:rPr>
        <w:t>ue desarrollad</w:t>
      </w:r>
      <w:r>
        <w:rPr>
          <w:rFonts w:ascii="Verdana" w:hAnsi="Verdana" w:cs="Arial"/>
          <w:bCs/>
          <w:lang w:val="es-MX"/>
        </w:rPr>
        <w:t>o</w:t>
      </w:r>
      <w:r w:rsidR="00B910D7" w:rsidRPr="00B910D7">
        <w:rPr>
          <w:rFonts w:ascii="Verdana" w:hAnsi="Verdana" w:cs="Arial"/>
          <w:bCs/>
          <w:lang w:val="es-MX"/>
        </w:rPr>
        <w:t xml:space="preserve"> por el </w:t>
      </w:r>
      <w:r>
        <w:rPr>
          <w:rFonts w:ascii="Verdana" w:hAnsi="Verdana" w:cs="Arial"/>
          <w:bCs/>
          <w:lang w:val="es-MX"/>
        </w:rPr>
        <w:t>a</w:t>
      </w:r>
      <w:r w:rsidR="00B910D7" w:rsidRPr="00B910D7">
        <w:rPr>
          <w:rFonts w:ascii="Verdana" w:hAnsi="Verdana" w:cs="Arial"/>
          <w:bCs/>
          <w:lang w:val="es-MX"/>
        </w:rPr>
        <w:t>rtículo 2.1.1.2.1.7. del Decreto Único Reglamentario 108</w:t>
      </w:r>
      <w:r w:rsidR="00AE1871">
        <w:rPr>
          <w:rFonts w:ascii="Verdana" w:hAnsi="Verdana" w:cs="Arial"/>
          <w:bCs/>
          <w:lang w:val="es-MX"/>
        </w:rPr>
        <w:t>1</w:t>
      </w:r>
      <w:r w:rsidR="00B910D7" w:rsidRPr="00B910D7">
        <w:rPr>
          <w:rFonts w:ascii="Verdana" w:hAnsi="Verdana" w:cs="Arial"/>
          <w:bCs/>
          <w:lang w:val="es-MX"/>
        </w:rPr>
        <w:t xml:space="preserve"> de 2015</w:t>
      </w:r>
      <w:r w:rsidR="00B910D7" w:rsidRPr="00B910D7">
        <w:rPr>
          <w:rFonts w:ascii="Verdana" w:hAnsi="Verdana" w:cs="Arial"/>
          <w:bCs/>
          <w:vertAlign w:val="superscript"/>
          <w:lang w:val="es-MX"/>
        </w:rPr>
        <w:footnoteReference w:id="8"/>
      </w:r>
      <w:r w:rsidR="00B910D7" w:rsidRPr="00B910D7">
        <w:rPr>
          <w:rFonts w:ascii="Verdana" w:hAnsi="Verdana" w:cs="Arial"/>
          <w:bCs/>
          <w:lang w:val="es-MX"/>
        </w:rPr>
        <w:t>, el cual dispuso que la publicación de la información contractual de los sujetos obligados, que contratan con cargo a recursos públicos, debe hacerse en el Sistema Electrónico para la Contratación Pública ─</w:t>
      </w:r>
      <w:r w:rsidR="00B910D7" w:rsidRPr="00B910D7">
        <w:rPr>
          <w:rFonts w:ascii="Verdana" w:hAnsi="Verdana" w:cs="Arial"/>
          <w:bCs/>
          <w:lang w:val="es-MX"/>
        </w:rPr>
        <w:softHyphen/>
        <w:t xml:space="preserve"> </w:t>
      </w:r>
      <w:r w:rsidR="00B910D7" w:rsidRPr="00B910D7">
        <w:rPr>
          <w:rFonts w:ascii="Verdana" w:hAnsi="Verdana" w:cs="Arial"/>
          <w:bCs/>
          <w:lang w:val="es-MX"/>
        </w:rPr>
        <w:softHyphen/>
        <w:t>SECOP–</w:t>
      </w:r>
      <w:r w:rsidR="00DE6407">
        <w:rPr>
          <w:rFonts w:ascii="Verdana" w:hAnsi="Verdana" w:cs="Arial"/>
          <w:bCs/>
          <w:lang w:val="es-MX"/>
        </w:rPr>
        <w:t>; de lo anterior resulta que todos los documentos que hagan parte del proceso de contratación deberán ser publicados en la Plataforma SECOP II</w:t>
      </w:r>
      <w:r w:rsidR="002D0B94">
        <w:rPr>
          <w:rFonts w:ascii="Verdana" w:hAnsi="Verdana" w:cs="Arial"/>
          <w:bCs/>
          <w:lang w:val="es-MX"/>
        </w:rPr>
        <w:t xml:space="preserve"> o SECOP I según corresponda</w:t>
      </w:r>
      <w:r w:rsidR="00DE6407">
        <w:rPr>
          <w:rFonts w:ascii="Verdana" w:hAnsi="Verdana" w:cs="Arial"/>
          <w:bCs/>
          <w:lang w:val="es-MX"/>
        </w:rPr>
        <w:t xml:space="preserve">. </w:t>
      </w:r>
    </w:p>
    <w:p w14:paraId="66A43EED" w14:textId="77777777" w:rsidR="00803642" w:rsidRPr="001C36AF" w:rsidRDefault="00803642" w:rsidP="00B910D7">
      <w:pPr>
        <w:spacing w:after="120" w:line="276" w:lineRule="auto"/>
        <w:ind w:firstLine="708"/>
        <w:jc w:val="both"/>
        <w:rPr>
          <w:rFonts w:ascii="Verdana" w:hAnsi="Verdana" w:cs="Arial"/>
          <w:bCs/>
          <w:lang w:val="es-MX"/>
        </w:rPr>
      </w:pPr>
    </w:p>
    <w:p w14:paraId="01A85BA8" w14:textId="77777777" w:rsidR="00A776B5" w:rsidRPr="00B910D7" w:rsidRDefault="00A776B5" w:rsidP="00A776B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910D7">
        <w:rPr>
          <w:rFonts w:ascii="Verdana" w:eastAsia="Century Gothic" w:hAnsi="Verdana" w:cs="Century Gothic"/>
          <w:b/>
          <w:bCs/>
        </w:rPr>
        <w:t>Referencias normativas, jurisprudenciales y otras fuentes:</w:t>
      </w:r>
    </w:p>
    <w:p w14:paraId="32D0FF18" w14:textId="77777777" w:rsidR="00A776B5" w:rsidRPr="00B910D7" w:rsidRDefault="00A776B5" w:rsidP="00A776B5">
      <w:pPr>
        <w:spacing w:after="0" w:line="276" w:lineRule="auto"/>
        <w:ind w:right="709"/>
        <w:jc w:val="both"/>
        <w:textAlignment w:val="baseline"/>
        <w:rPr>
          <w:rFonts w:ascii="Verdana" w:eastAsia="Times New Roman" w:hAnsi="Verdana" w:cs="Arial"/>
          <w:bCs/>
          <w:lang w:val="es-ES_tradnl" w:eastAsia="es-CO"/>
        </w:rPr>
      </w:pPr>
    </w:p>
    <w:p w14:paraId="45F2A319" w14:textId="3C31AC97" w:rsidR="00C306F7" w:rsidRDefault="00B06A21" w:rsidP="00C306F7">
      <w:pPr>
        <w:pStyle w:val="Prrafodelista"/>
        <w:numPr>
          <w:ilvl w:val="0"/>
          <w:numId w:val="17"/>
        </w:numPr>
        <w:spacing w:after="0" w:line="276" w:lineRule="auto"/>
        <w:ind w:right="709"/>
        <w:jc w:val="both"/>
        <w:rPr>
          <w:rFonts w:ascii="Verdana" w:hAnsi="Verdana" w:cs="Arial"/>
        </w:rPr>
      </w:pPr>
      <w:r w:rsidRPr="3C7D9988">
        <w:rPr>
          <w:rFonts w:ascii="Verdana" w:hAnsi="Verdana" w:cs="Arial"/>
        </w:rPr>
        <w:t xml:space="preserve">Constitución Política de Colombia: </w:t>
      </w:r>
      <w:r w:rsidR="00252BBC" w:rsidRPr="3C7D9988">
        <w:rPr>
          <w:rFonts w:ascii="Verdana" w:hAnsi="Verdana" w:cs="Arial"/>
        </w:rPr>
        <w:t>Artículo 74, Artículo 209</w:t>
      </w:r>
      <w:r w:rsidR="00063E20">
        <w:rPr>
          <w:rFonts w:ascii="Verdana" w:hAnsi="Verdana" w:cs="Arial"/>
        </w:rPr>
        <w:t>.</w:t>
      </w:r>
      <w:r w:rsidR="00252BBC" w:rsidRPr="3C7D9988">
        <w:rPr>
          <w:rFonts w:ascii="Verdana" w:hAnsi="Verdana" w:cs="Arial"/>
        </w:rPr>
        <w:t xml:space="preserve"> </w:t>
      </w:r>
      <w:r w:rsidRPr="3C7D9988">
        <w:rPr>
          <w:rFonts w:ascii="Verdana" w:hAnsi="Verdana" w:cs="Arial"/>
        </w:rPr>
        <w:t xml:space="preserve">Artículo 355. </w:t>
      </w:r>
      <w:r w:rsidRPr="001C36AF">
        <w:rPr>
          <w:rFonts w:ascii="Verdana" w:hAnsi="Verdana" w:cs="Arial"/>
        </w:rPr>
        <w:t>Disponible en:</w:t>
      </w:r>
    </w:p>
    <w:p w14:paraId="4E15429E" w14:textId="3C35CA52" w:rsidR="0080497E" w:rsidRDefault="00A17009" w:rsidP="00C306F7">
      <w:pPr>
        <w:pStyle w:val="Prrafodelista"/>
        <w:spacing w:after="0" w:line="276" w:lineRule="auto"/>
        <w:ind w:right="709"/>
        <w:jc w:val="both"/>
        <w:rPr>
          <w:rFonts w:ascii="Verdana" w:hAnsi="Verdana" w:cs="Arial"/>
        </w:rPr>
      </w:pPr>
      <w:hyperlink r:id="rId13" w:history="1">
        <w:r w:rsidR="00C306F7" w:rsidRPr="00567D32">
          <w:rPr>
            <w:rStyle w:val="Hipervnculo"/>
            <w:rFonts w:ascii="Verdana" w:hAnsi="Verdana" w:cs="Arial"/>
          </w:rPr>
          <w:t>https://relatoria.colombiacompra.gov.co/normativa/constitucion-politica-de-colombia/</w:t>
        </w:r>
      </w:hyperlink>
    </w:p>
    <w:p w14:paraId="6791405B" w14:textId="77777777" w:rsidR="00B06A21" w:rsidRDefault="00B06A21" w:rsidP="00C306F7">
      <w:pPr>
        <w:pStyle w:val="Prrafodelista"/>
        <w:spacing w:after="0" w:line="276" w:lineRule="auto"/>
        <w:ind w:right="709"/>
        <w:jc w:val="both"/>
        <w:rPr>
          <w:rFonts w:ascii="Verdana" w:hAnsi="Verdana" w:cs="Arial"/>
          <w:lang w:val="es-ES_tradnl"/>
        </w:rPr>
      </w:pPr>
    </w:p>
    <w:p w14:paraId="293A67C7" w14:textId="3D4E32FB" w:rsidR="001F5C8F" w:rsidRDefault="001F5C8F" w:rsidP="00C306F7">
      <w:pPr>
        <w:pStyle w:val="Prrafodelista"/>
        <w:numPr>
          <w:ilvl w:val="0"/>
          <w:numId w:val="17"/>
        </w:numPr>
        <w:spacing w:after="0" w:line="276" w:lineRule="auto"/>
        <w:ind w:right="709"/>
        <w:jc w:val="both"/>
        <w:rPr>
          <w:rFonts w:ascii="Verdana" w:hAnsi="Verdana" w:cs="Arial"/>
          <w:lang w:val="es-ES_tradnl"/>
        </w:rPr>
      </w:pPr>
      <w:r>
        <w:rPr>
          <w:rFonts w:ascii="Verdana" w:hAnsi="Verdana" w:cs="Arial"/>
          <w:lang w:val="es-ES_tradnl"/>
        </w:rPr>
        <w:t xml:space="preserve">Código Civil, Artículo 1443. Disponible: </w:t>
      </w:r>
      <w:hyperlink r:id="rId14" w:history="1">
        <w:r w:rsidR="009E08CE" w:rsidRPr="006E1B26">
          <w:rPr>
            <w:rStyle w:val="Hipervnculo"/>
            <w:rFonts w:ascii="Verdana" w:hAnsi="Verdana" w:cs="Arial"/>
            <w:lang w:val="es-ES_tradnl"/>
          </w:rPr>
          <w:t>https://relatoria.colombiacompra.gov.co/normativa/codigo-civil-ley-84-de-1873/</w:t>
        </w:r>
      </w:hyperlink>
    </w:p>
    <w:p w14:paraId="78D3119E" w14:textId="77777777" w:rsidR="00AA5DBD" w:rsidRPr="00AA5DBD" w:rsidRDefault="00AA5DBD" w:rsidP="001F5C8F">
      <w:pPr>
        <w:pStyle w:val="Prrafodelista"/>
        <w:spacing w:after="0" w:line="276" w:lineRule="auto"/>
        <w:ind w:right="709"/>
        <w:jc w:val="both"/>
        <w:rPr>
          <w:rFonts w:ascii="Verdana" w:hAnsi="Verdana" w:cs="Arial"/>
          <w:lang w:val="es-ES_tradnl"/>
        </w:rPr>
      </w:pPr>
    </w:p>
    <w:p w14:paraId="0022E43E" w14:textId="76E0CD8C" w:rsidR="00C306F7" w:rsidRDefault="00B06A21" w:rsidP="00C306F7">
      <w:pPr>
        <w:pStyle w:val="Prrafodelista"/>
        <w:numPr>
          <w:ilvl w:val="0"/>
          <w:numId w:val="17"/>
        </w:numPr>
        <w:spacing w:after="0" w:line="276" w:lineRule="auto"/>
        <w:ind w:right="709"/>
        <w:jc w:val="both"/>
        <w:rPr>
          <w:rFonts w:ascii="Verdana" w:hAnsi="Verdana" w:cs="Arial"/>
          <w:lang w:val="es-ES_tradnl"/>
        </w:rPr>
      </w:pPr>
      <w:r>
        <w:rPr>
          <w:rFonts w:ascii="Verdana" w:hAnsi="Verdana" w:cs="Arial"/>
          <w:lang w:val="es-ES_tradnl"/>
        </w:rPr>
        <w:t>Ley 80 de 1993: Artículo 13, Artículo 32, Artículo 40, Artículo 41. Disponible en:</w:t>
      </w:r>
    </w:p>
    <w:p w14:paraId="2ED05A2C" w14:textId="559ABD3E" w:rsidR="00B06A21" w:rsidRDefault="00A17009" w:rsidP="00C306F7">
      <w:pPr>
        <w:pStyle w:val="Prrafodelista"/>
        <w:spacing w:after="0" w:line="276" w:lineRule="auto"/>
        <w:ind w:right="709"/>
        <w:jc w:val="both"/>
        <w:rPr>
          <w:rFonts w:ascii="Verdana" w:hAnsi="Verdana" w:cs="Arial"/>
          <w:lang w:val="es-ES_tradnl"/>
        </w:rPr>
      </w:pPr>
      <w:hyperlink r:id="rId15" w:history="1">
        <w:r w:rsidR="00AA5DBD" w:rsidRPr="001E7F94">
          <w:rPr>
            <w:rStyle w:val="Hipervnculo"/>
            <w:rFonts w:ascii="Verdana" w:hAnsi="Verdana" w:cs="Arial"/>
            <w:lang w:val="es-ES_tradnl"/>
          </w:rPr>
          <w:t>https://relatoria.colombiacompra.gov.co/normativa/ley-80-de-1993/</w:t>
        </w:r>
      </w:hyperlink>
    </w:p>
    <w:p w14:paraId="5B058566" w14:textId="77777777" w:rsidR="00AA5DBD" w:rsidRPr="00AA5DBD" w:rsidRDefault="00AA5DBD" w:rsidP="00C306F7">
      <w:pPr>
        <w:pStyle w:val="Prrafodelista"/>
        <w:jc w:val="both"/>
        <w:rPr>
          <w:rFonts w:ascii="Verdana" w:hAnsi="Verdana" w:cs="Arial"/>
          <w:lang w:val="es-ES_tradnl"/>
        </w:rPr>
      </w:pPr>
    </w:p>
    <w:p w14:paraId="16D70501" w14:textId="4E7914D7" w:rsidR="00A776B5" w:rsidRPr="00B910D7" w:rsidRDefault="00A776B5" w:rsidP="00C306F7">
      <w:pPr>
        <w:pStyle w:val="Prrafodelista"/>
        <w:numPr>
          <w:ilvl w:val="0"/>
          <w:numId w:val="17"/>
        </w:numPr>
        <w:spacing w:after="0" w:line="276" w:lineRule="auto"/>
        <w:ind w:right="709"/>
        <w:jc w:val="both"/>
        <w:rPr>
          <w:rStyle w:val="Hipervnculo"/>
          <w:rFonts w:ascii="Verdana" w:hAnsi="Verdana" w:cs="Arial"/>
          <w:color w:val="auto"/>
          <w:u w:val="none"/>
        </w:rPr>
      </w:pPr>
      <w:r w:rsidRPr="3C7D9988">
        <w:rPr>
          <w:rFonts w:ascii="Verdana" w:hAnsi="Verdana" w:cs="Arial"/>
        </w:rPr>
        <w:t xml:space="preserve">Ley 1150 de 2007, Artículo </w:t>
      </w:r>
      <w:r w:rsidR="00B06A21" w:rsidRPr="3C7D9988">
        <w:rPr>
          <w:rFonts w:ascii="Verdana" w:hAnsi="Verdana" w:cs="Arial"/>
        </w:rPr>
        <w:t xml:space="preserve">2 numeral </w:t>
      </w:r>
      <w:r w:rsidR="001F5C8F">
        <w:rPr>
          <w:rFonts w:ascii="Verdana" w:hAnsi="Verdana" w:cs="Arial"/>
        </w:rPr>
        <w:t>2</w:t>
      </w:r>
      <w:r w:rsidRPr="3C7D9988">
        <w:rPr>
          <w:rFonts w:ascii="Verdana" w:hAnsi="Verdana" w:cs="Arial"/>
        </w:rPr>
        <w:t xml:space="preserve">. </w:t>
      </w:r>
      <w:r w:rsidR="00910433" w:rsidRPr="009A2B7C">
        <w:rPr>
          <w:rFonts w:ascii="Verdana" w:hAnsi="Verdana" w:cs="Arial"/>
        </w:rPr>
        <w:t xml:space="preserve">Artículo </w:t>
      </w:r>
      <w:r w:rsidR="00063E20">
        <w:rPr>
          <w:rFonts w:ascii="Verdana" w:hAnsi="Verdana" w:cs="Arial"/>
        </w:rPr>
        <w:t xml:space="preserve">3. Articulo </w:t>
      </w:r>
      <w:r w:rsidR="00910433" w:rsidRPr="009A2B7C">
        <w:rPr>
          <w:rFonts w:ascii="Verdana" w:hAnsi="Verdana" w:cs="Arial"/>
        </w:rPr>
        <w:t xml:space="preserve">13 </w:t>
      </w:r>
      <w:r w:rsidRPr="3C7D9988">
        <w:rPr>
          <w:rFonts w:ascii="Verdana" w:hAnsi="Verdana" w:cs="Arial"/>
        </w:rPr>
        <w:t xml:space="preserve">Disponible en: </w:t>
      </w:r>
      <w:hyperlink r:id="rId16">
        <w:r w:rsidRPr="3C7D9988">
          <w:rPr>
            <w:rStyle w:val="Hipervnculo"/>
            <w:rFonts w:ascii="Verdana" w:hAnsi="Verdana" w:cs="Arial"/>
          </w:rPr>
          <w:t>https://relatoria.colombiacompra.gov.co/normativa/ley-1150-de-2007/</w:t>
        </w:r>
      </w:hyperlink>
    </w:p>
    <w:p w14:paraId="51E7A8B4" w14:textId="77777777" w:rsidR="00A776B5" w:rsidRPr="00B910D7" w:rsidRDefault="00A776B5" w:rsidP="00C306F7">
      <w:pPr>
        <w:pStyle w:val="Prrafodelista"/>
        <w:spacing w:after="0" w:line="276" w:lineRule="auto"/>
        <w:ind w:right="709"/>
        <w:jc w:val="both"/>
        <w:rPr>
          <w:rStyle w:val="Hipervnculo"/>
          <w:rFonts w:ascii="Verdana" w:hAnsi="Verdana" w:cs="Arial"/>
          <w:color w:val="auto"/>
          <w:u w:val="none"/>
          <w:lang w:val="es-ES_tradnl"/>
        </w:rPr>
      </w:pPr>
    </w:p>
    <w:p w14:paraId="17CD63EC" w14:textId="3D6E8F47" w:rsidR="00063E20" w:rsidRDefault="00063E20" w:rsidP="00C306F7">
      <w:pPr>
        <w:pStyle w:val="Prrafodelista"/>
        <w:numPr>
          <w:ilvl w:val="0"/>
          <w:numId w:val="17"/>
        </w:numPr>
        <w:spacing w:after="0" w:line="276" w:lineRule="auto"/>
        <w:ind w:right="709"/>
        <w:jc w:val="both"/>
        <w:rPr>
          <w:rFonts w:ascii="Verdana" w:hAnsi="Verdana" w:cs="Arial"/>
          <w:lang w:val="es-ES_tradnl"/>
        </w:rPr>
      </w:pPr>
      <w:r>
        <w:rPr>
          <w:rFonts w:ascii="Verdana" w:hAnsi="Verdana" w:cs="Arial"/>
          <w:lang w:val="es-ES_tradnl"/>
        </w:rPr>
        <w:lastRenderedPageBreak/>
        <w:t xml:space="preserve">Ley 2195 de 2022, Artículo 53. Disponible en: </w:t>
      </w:r>
      <w:hyperlink r:id="rId17" w:history="1">
        <w:r w:rsidR="00891B7B" w:rsidRPr="00567D32">
          <w:rPr>
            <w:rStyle w:val="Hipervnculo"/>
            <w:rFonts w:ascii="Verdana" w:hAnsi="Verdana" w:cs="Arial"/>
            <w:lang w:val="es-ES_tradnl"/>
          </w:rPr>
          <w:t>https://relatoria.colombiacompra.gov.co/normativa/ley-2195-de-2022/</w:t>
        </w:r>
      </w:hyperlink>
    </w:p>
    <w:p w14:paraId="557B5DD3" w14:textId="77777777" w:rsidR="00891B7B" w:rsidRPr="00891B7B" w:rsidRDefault="00891B7B" w:rsidP="00891B7B">
      <w:pPr>
        <w:pStyle w:val="Prrafodelista"/>
        <w:rPr>
          <w:rFonts w:ascii="Verdana" w:hAnsi="Verdana" w:cs="Arial"/>
          <w:lang w:val="es-ES_tradnl"/>
        </w:rPr>
      </w:pPr>
    </w:p>
    <w:p w14:paraId="0052C32A" w14:textId="6A5D492E" w:rsidR="000D49F8" w:rsidRPr="000D49F8" w:rsidRDefault="001C36AF" w:rsidP="00C306F7">
      <w:pPr>
        <w:pStyle w:val="Prrafodelista"/>
        <w:numPr>
          <w:ilvl w:val="0"/>
          <w:numId w:val="17"/>
        </w:numPr>
        <w:spacing w:after="0" w:line="276" w:lineRule="auto"/>
        <w:ind w:right="709"/>
        <w:jc w:val="both"/>
        <w:rPr>
          <w:rFonts w:ascii="Verdana" w:hAnsi="Verdana" w:cs="Arial"/>
          <w:lang w:val="es-ES_tradnl"/>
        </w:rPr>
      </w:pPr>
      <w:r>
        <w:rPr>
          <w:rFonts w:ascii="Verdana" w:hAnsi="Verdana" w:cs="Arial"/>
          <w:lang w:val="es-ES_tradnl"/>
        </w:rPr>
        <w:t>Decreto 1082 de 2015,</w:t>
      </w:r>
      <w:r w:rsidR="00C306F7">
        <w:rPr>
          <w:rFonts w:ascii="Verdana" w:hAnsi="Verdana" w:cs="Arial"/>
          <w:lang w:val="es-ES_tradnl"/>
        </w:rPr>
        <w:t xml:space="preserve"> A</w:t>
      </w:r>
      <w:r w:rsidR="00C306F7" w:rsidRPr="001C36AF">
        <w:rPr>
          <w:rFonts w:ascii="Verdana" w:eastAsia="Calibri" w:hAnsi="Verdana" w:cs="Arial"/>
          <w:bCs/>
          <w:lang w:val="es-ES_tradnl"/>
        </w:rPr>
        <w:t>rtículo 2.2.1.2.2.1.1</w:t>
      </w:r>
      <w:r w:rsidR="00C306F7">
        <w:rPr>
          <w:rFonts w:ascii="Verdana" w:eastAsia="Calibri" w:hAnsi="Verdana" w:cs="Arial"/>
          <w:bCs/>
          <w:lang w:val="es-ES_tradnl"/>
        </w:rPr>
        <w:t xml:space="preserve">, Artículo </w:t>
      </w:r>
      <w:r w:rsidR="00C306F7" w:rsidRPr="001C36AF">
        <w:rPr>
          <w:rFonts w:ascii="Verdana" w:hAnsi="Verdana" w:cs="Arial"/>
          <w:bCs/>
          <w:lang w:val="es-MX"/>
        </w:rPr>
        <w:t xml:space="preserve">2.2.1.2.2.4.3. </w:t>
      </w:r>
      <w:r w:rsidR="00C306F7">
        <w:rPr>
          <w:rFonts w:ascii="Verdana" w:hAnsi="Verdana" w:cs="Arial"/>
          <w:bCs/>
          <w:lang w:val="es-MX"/>
        </w:rPr>
        <w:t>Disponible en:</w:t>
      </w:r>
    </w:p>
    <w:p w14:paraId="3F91B46E" w14:textId="2461E609" w:rsidR="000D49F8" w:rsidRPr="000D49F8" w:rsidRDefault="00A17009" w:rsidP="000D49F8">
      <w:pPr>
        <w:pStyle w:val="Prrafodelista"/>
        <w:spacing w:after="0" w:line="276" w:lineRule="auto"/>
        <w:ind w:right="709"/>
        <w:jc w:val="both"/>
        <w:rPr>
          <w:rFonts w:ascii="Verdana" w:hAnsi="Verdana" w:cs="Arial"/>
          <w:lang w:val="es-ES_tradnl"/>
        </w:rPr>
      </w:pPr>
      <w:hyperlink r:id="rId18" w:history="1">
        <w:r w:rsidR="000D49F8" w:rsidRPr="00567D32">
          <w:rPr>
            <w:rStyle w:val="Hipervnculo"/>
            <w:rFonts w:ascii="Verdana" w:hAnsi="Verdana" w:cs="Arial"/>
            <w:bCs/>
            <w:lang w:val="es-MX"/>
          </w:rPr>
          <w:t>https://relatoria.colombiacompra.gov.co/normativa/decreto-1082-de-2015/</w:t>
        </w:r>
      </w:hyperlink>
    </w:p>
    <w:p w14:paraId="188587B4" w14:textId="77777777" w:rsidR="001C36AF" w:rsidRPr="001C36AF" w:rsidRDefault="001C36AF" w:rsidP="00C306F7">
      <w:pPr>
        <w:pStyle w:val="Prrafodelista"/>
        <w:jc w:val="both"/>
        <w:rPr>
          <w:rFonts w:ascii="Verdana" w:hAnsi="Verdana" w:cs="Arial"/>
          <w:lang w:val="es-ES_tradnl"/>
        </w:rPr>
      </w:pPr>
    </w:p>
    <w:p w14:paraId="3F3FDF77" w14:textId="20079DD9" w:rsidR="00A776B5" w:rsidRPr="00C757D6" w:rsidRDefault="00DA7678" w:rsidP="00C306F7">
      <w:pPr>
        <w:pStyle w:val="Prrafodelista"/>
        <w:numPr>
          <w:ilvl w:val="0"/>
          <w:numId w:val="17"/>
        </w:numPr>
        <w:spacing w:after="0" w:line="276" w:lineRule="auto"/>
        <w:ind w:right="709"/>
        <w:jc w:val="both"/>
        <w:rPr>
          <w:rFonts w:ascii="Verdana" w:hAnsi="Verdana" w:cs="Arial"/>
          <w:lang w:val="es-ES_tradnl"/>
        </w:rPr>
      </w:pPr>
      <w:r>
        <w:rPr>
          <w:rFonts w:ascii="Verdana" w:hAnsi="Verdana" w:cs="Arial"/>
          <w:lang w:val="es-ES_tradnl"/>
        </w:rPr>
        <w:t xml:space="preserve">Decreto 1081 de 2015, Artículo </w:t>
      </w:r>
      <w:r w:rsidRPr="00B910D7">
        <w:rPr>
          <w:rFonts w:ascii="Verdana" w:hAnsi="Verdana" w:cs="Arial"/>
          <w:bCs/>
          <w:lang w:val="es-MX"/>
        </w:rPr>
        <w:t>2.1.1.2.1.7</w:t>
      </w:r>
      <w:r>
        <w:rPr>
          <w:rFonts w:ascii="Verdana" w:hAnsi="Verdana" w:cs="Arial"/>
          <w:bCs/>
          <w:lang w:val="es-MX"/>
        </w:rPr>
        <w:t xml:space="preserve">. Disponible en: </w:t>
      </w:r>
      <w:hyperlink r:id="rId19" w:history="1">
        <w:r w:rsidR="00AA5DBD" w:rsidRPr="001E7F94">
          <w:rPr>
            <w:rStyle w:val="Hipervnculo"/>
            <w:rFonts w:ascii="Verdana" w:hAnsi="Verdana" w:cs="Arial"/>
            <w:bCs/>
            <w:lang w:val="es-MX"/>
          </w:rPr>
          <w:t>https://relatoria.colombiacompra.gov.co/normativa/decreto-1081-de-2015/</w:t>
        </w:r>
      </w:hyperlink>
    </w:p>
    <w:p w14:paraId="5E8F40E0" w14:textId="77777777" w:rsidR="00C757D6" w:rsidRPr="00C757D6" w:rsidRDefault="00C757D6" w:rsidP="00C306F7">
      <w:pPr>
        <w:pStyle w:val="Prrafodelista"/>
        <w:jc w:val="both"/>
        <w:rPr>
          <w:rFonts w:ascii="Verdana" w:hAnsi="Verdana" w:cs="Arial"/>
          <w:lang w:val="es-ES_tradnl"/>
        </w:rPr>
      </w:pPr>
    </w:p>
    <w:p w14:paraId="2E4FD293" w14:textId="77777777" w:rsidR="00C757D6" w:rsidRPr="00C757D6" w:rsidRDefault="00C757D6" w:rsidP="00C757D6">
      <w:pPr>
        <w:pStyle w:val="Prrafodelista"/>
        <w:rPr>
          <w:rFonts w:ascii="Verdana" w:hAnsi="Verdana" w:cs="Arial"/>
          <w:lang w:val="es-ES_tradnl"/>
        </w:rPr>
      </w:pPr>
    </w:p>
    <w:p w14:paraId="62BFA852" w14:textId="77777777" w:rsidR="00A776B5" w:rsidRPr="00B910D7" w:rsidRDefault="00A776B5" w:rsidP="00A776B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910D7">
        <w:rPr>
          <w:rFonts w:ascii="Verdana" w:eastAsia="Century Gothic" w:hAnsi="Verdana" w:cs="Century Gothic"/>
          <w:b/>
          <w:bCs/>
        </w:rPr>
        <w:t>Doctrina de la Agencia Nacional de Contratación Pública:</w:t>
      </w:r>
    </w:p>
    <w:p w14:paraId="6DA94DA5" w14:textId="77777777" w:rsidR="00A776B5" w:rsidRPr="00B910D7" w:rsidRDefault="00A776B5" w:rsidP="00A776B5">
      <w:pPr>
        <w:widowControl w:val="0"/>
        <w:autoSpaceDE w:val="0"/>
        <w:autoSpaceDN w:val="0"/>
        <w:spacing w:after="0" w:line="276" w:lineRule="auto"/>
        <w:jc w:val="both"/>
        <w:rPr>
          <w:rFonts w:ascii="Verdana" w:eastAsia="Calibri" w:hAnsi="Verdana" w:cs="Arial"/>
          <w:lang w:val="es-ES" w:eastAsia="es-ES"/>
        </w:rPr>
      </w:pPr>
    </w:p>
    <w:p w14:paraId="17DC75A6" w14:textId="7D223F81" w:rsidR="00A776B5" w:rsidRPr="00AA5DBD" w:rsidRDefault="00A776B5" w:rsidP="00A776B5">
      <w:pPr>
        <w:widowControl w:val="0"/>
        <w:autoSpaceDE w:val="0"/>
        <w:autoSpaceDN w:val="0"/>
        <w:spacing w:after="0" w:line="276" w:lineRule="auto"/>
        <w:jc w:val="both"/>
        <w:rPr>
          <w:rStyle w:val="normaltextrun"/>
          <w:rFonts w:ascii="Verdana" w:hAnsi="Verdana"/>
        </w:rPr>
      </w:pPr>
      <w:r w:rsidRPr="00B910D7">
        <w:rPr>
          <w:rStyle w:val="normaltextrun"/>
          <w:rFonts w:ascii="Verdana" w:hAnsi="Verdana" w:cs="Arial"/>
          <w:shd w:val="clear" w:color="auto" w:fill="FFFFFF"/>
        </w:rPr>
        <w:t xml:space="preserve">La Agencia Nacional de Contratación Pública – Colombia Compra Eficiente </w:t>
      </w:r>
      <w:r w:rsidRPr="00B910D7">
        <w:rPr>
          <w:rStyle w:val="normaltextrun"/>
          <w:rFonts w:ascii="Verdana" w:hAnsi="Verdana"/>
          <w:shd w:val="clear" w:color="auto" w:fill="FFFFFF"/>
        </w:rPr>
        <w:t xml:space="preserve">ha revisado </w:t>
      </w:r>
      <w:r w:rsidR="003A70D7">
        <w:rPr>
          <w:rStyle w:val="normaltextrun"/>
          <w:rFonts w:ascii="Verdana" w:hAnsi="Verdana"/>
          <w:shd w:val="clear" w:color="auto" w:fill="FFFFFF"/>
        </w:rPr>
        <w:t xml:space="preserve">la enajenación a </w:t>
      </w:r>
      <w:r w:rsidR="00891B7B">
        <w:rPr>
          <w:rStyle w:val="normaltextrun"/>
          <w:rFonts w:ascii="Verdana" w:hAnsi="Verdana"/>
          <w:shd w:val="clear" w:color="auto" w:fill="FFFFFF"/>
        </w:rPr>
        <w:t>título</w:t>
      </w:r>
      <w:r w:rsidR="003A70D7">
        <w:rPr>
          <w:rStyle w:val="normaltextrun"/>
          <w:rFonts w:ascii="Verdana" w:hAnsi="Verdana"/>
          <w:shd w:val="clear" w:color="auto" w:fill="FFFFFF"/>
        </w:rPr>
        <w:t xml:space="preserve"> gratuito</w:t>
      </w:r>
      <w:r w:rsidR="00AA5DBD">
        <w:rPr>
          <w:rStyle w:val="normaltextrun"/>
          <w:rFonts w:ascii="Verdana" w:hAnsi="Verdana"/>
          <w:shd w:val="clear" w:color="auto" w:fill="FFFFFF"/>
        </w:rPr>
        <w:t xml:space="preserve"> en conceptos </w:t>
      </w:r>
      <w:r w:rsidR="003A70D7" w:rsidRPr="003A70D7">
        <w:rPr>
          <w:rStyle w:val="normaltextrun"/>
          <w:rFonts w:ascii="Verdana" w:hAnsi="Verdana"/>
          <w:shd w:val="clear" w:color="auto" w:fill="FFFFFF"/>
        </w:rPr>
        <w:t xml:space="preserve">No. 2201913000007905 del 23 de octubre de 2019, 2201913000008259 del 6 de noviembre de 2019, C-186 del 17 de marzo de 2020, </w:t>
      </w:r>
      <w:r w:rsidR="00C757D6">
        <w:rPr>
          <w:rStyle w:val="normaltextrun"/>
          <w:rFonts w:ascii="Verdana" w:hAnsi="Verdana"/>
          <w:shd w:val="clear" w:color="auto" w:fill="FFFFFF"/>
        </w:rPr>
        <w:t xml:space="preserve">C-661 del 17 de noviembre de 2020, </w:t>
      </w:r>
      <w:r w:rsidR="00C757D6" w:rsidRPr="00C757D6">
        <w:rPr>
          <w:rStyle w:val="normaltextrun"/>
          <w:rFonts w:ascii="Verdana" w:hAnsi="Verdana"/>
          <w:shd w:val="clear" w:color="auto" w:fill="FFFFFF"/>
        </w:rPr>
        <w:t>C-</w:t>
      </w:r>
      <w:r w:rsidR="003A70D7" w:rsidRPr="003A70D7">
        <w:rPr>
          <w:rStyle w:val="normaltextrun"/>
          <w:rFonts w:ascii="Verdana" w:hAnsi="Verdana"/>
          <w:shd w:val="clear" w:color="auto" w:fill="FFFFFF"/>
        </w:rPr>
        <w:t>397 del 18 de julio de 2022</w:t>
      </w:r>
      <w:r w:rsidR="003A70D7">
        <w:rPr>
          <w:rStyle w:val="normaltextrun"/>
          <w:rFonts w:ascii="Verdana" w:hAnsi="Verdana"/>
          <w:shd w:val="clear" w:color="auto" w:fill="FFFFFF"/>
        </w:rPr>
        <w:t>,</w:t>
      </w:r>
      <w:r w:rsidR="003A70D7" w:rsidRPr="003A70D7">
        <w:rPr>
          <w:rStyle w:val="normaltextrun"/>
          <w:rFonts w:ascii="Verdana" w:hAnsi="Verdana"/>
          <w:shd w:val="clear" w:color="auto" w:fill="FFFFFF"/>
        </w:rPr>
        <w:t xml:space="preserve"> C-704 de 2022</w:t>
      </w:r>
      <w:r w:rsidR="003A70D7">
        <w:rPr>
          <w:rStyle w:val="normaltextrun"/>
          <w:rFonts w:ascii="Verdana" w:hAnsi="Verdana"/>
          <w:shd w:val="clear" w:color="auto" w:fill="FFFFFF"/>
        </w:rPr>
        <w:t xml:space="preserve"> y </w:t>
      </w:r>
      <w:r w:rsidR="00C90D74">
        <w:rPr>
          <w:rStyle w:val="normaltextrun"/>
          <w:rFonts w:ascii="Verdana" w:hAnsi="Verdana"/>
          <w:shd w:val="clear" w:color="auto" w:fill="FFFFFF"/>
        </w:rPr>
        <w:t xml:space="preserve">C-309 </w:t>
      </w:r>
      <w:r w:rsidR="00344536">
        <w:rPr>
          <w:rStyle w:val="normaltextrun"/>
          <w:rFonts w:ascii="Verdana" w:hAnsi="Verdana"/>
          <w:shd w:val="clear" w:color="auto" w:fill="FFFFFF"/>
        </w:rPr>
        <w:t xml:space="preserve">del 22 de agosto de </w:t>
      </w:r>
      <w:r w:rsidR="00AA5DBD">
        <w:rPr>
          <w:rStyle w:val="normaltextrun"/>
          <w:rFonts w:ascii="Verdana" w:hAnsi="Verdana"/>
          <w:shd w:val="clear" w:color="auto" w:fill="FFFFFF"/>
        </w:rPr>
        <w:t>2024</w:t>
      </w:r>
      <w:r w:rsidR="00344536">
        <w:rPr>
          <w:rStyle w:val="normaltextrun"/>
          <w:rFonts w:ascii="Verdana" w:hAnsi="Verdana"/>
          <w:shd w:val="clear" w:color="auto" w:fill="FFFFFF"/>
        </w:rPr>
        <w:t>. P</w:t>
      </w:r>
      <w:r w:rsidR="00C757D6" w:rsidRPr="001C36AF">
        <w:rPr>
          <w:rStyle w:val="normaltextrun"/>
          <w:rFonts w:ascii="Verdana" w:hAnsi="Verdana"/>
          <w:shd w:val="clear" w:color="auto" w:fill="FFFFFF"/>
        </w:rPr>
        <w:t>or</w:t>
      </w:r>
      <w:r w:rsidR="00C757D6">
        <w:rPr>
          <w:rStyle w:val="normaltextrun"/>
          <w:rFonts w:ascii="Verdana" w:hAnsi="Verdana"/>
          <w:shd w:val="clear" w:color="auto" w:fill="FFFFFF"/>
        </w:rPr>
        <w:t xml:space="preserve"> otro lado la Agencia </w:t>
      </w:r>
      <w:r w:rsidR="00C757D6" w:rsidRPr="00BB368C">
        <w:rPr>
          <w:rFonts w:ascii="Verdana" w:eastAsia="Calibri" w:hAnsi="Verdana" w:cs="Arial"/>
          <w:color w:val="000000"/>
          <w:szCs w:val="24"/>
          <w:lang w:val="es-ES"/>
        </w:rPr>
        <w:t>analizó el deber de publicar la documentación contractual en las Sistema Electrónico de Contratación Pública–SECOP,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C-508 de 30 de agosto de 2022, C-457 del 24 de octubre de 2023, C-460 del 30 de noviembre de 2023, C-284 del 08 de julio de 2024</w:t>
      </w:r>
      <w:r w:rsidR="00C757D6">
        <w:rPr>
          <w:rFonts w:ascii="Verdana" w:eastAsia="Calibri" w:hAnsi="Verdana" w:cs="Arial"/>
          <w:color w:val="000000"/>
          <w:szCs w:val="24"/>
          <w:lang w:val="es-ES"/>
        </w:rPr>
        <w:t>,</w:t>
      </w:r>
      <w:r w:rsidR="00C757D6" w:rsidRPr="00BB368C">
        <w:rPr>
          <w:rFonts w:ascii="Verdana" w:eastAsia="Calibri" w:hAnsi="Verdana" w:cs="Arial"/>
          <w:color w:val="000000"/>
          <w:szCs w:val="24"/>
          <w:lang w:val="es-ES"/>
        </w:rPr>
        <w:t>C-316 del 23 de agosto de 2024</w:t>
      </w:r>
      <w:r w:rsidR="00C757D6">
        <w:rPr>
          <w:rFonts w:ascii="Verdana" w:eastAsia="Calibri" w:hAnsi="Verdana" w:cs="Arial"/>
          <w:color w:val="000000"/>
          <w:szCs w:val="24"/>
          <w:lang w:val="es-ES"/>
        </w:rPr>
        <w:t xml:space="preserve"> y C-379 del 05 de septiembre de 2024.</w:t>
      </w:r>
      <w:r w:rsidRPr="00B910D7">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B910D7">
        <w:rPr>
          <w:rFonts w:ascii="Verdana" w:hAnsi="Verdana"/>
        </w:rPr>
        <w:t xml:space="preserve">, accede a través del siguiente enlace: </w:t>
      </w:r>
      <w:hyperlink r:id="rId20" w:history="1">
        <w:r w:rsidRPr="00B910D7">
          <w:rPr>
            <w:rStyle w:val="Hipervnculo"/>
            <w:rFonts w:ascii="Verdana" w:hAnsi="Verdana" w:cs="Arial"/>
            <w:shd w:val="clear" w:color="auto" w:fill="FFFFFF"/>
            <w:lang w:val="es-ES"/>
          </w:rPr>
          <w:t>https://relatoria.colombiacompra.gov.co/busqueda/conceptos</w:t>
        </w:r>
      </w:hyperlink>
      <w:r w:rsidRPr="00B910D7">
        <w:rPr>
          <w:rStyle w:val="normaltextrun"/>
          <w:rFonts w:ascii="Verdana" w:hAnsi="Verdana" w:cs="Arial"/>
          <w:shd w:val="clear" w:color="auto" w:fill="FFFFFF"/>
        </w:rPr>
        <w:t xml:space="preserve">. </w:t>
      </w:r>
    </w:p>
    <w:p w14:paraId="7F9A19CC" w14:textId="77777777" w:rsidR="00A776B5" w:rsidRPr="00B910D7" w:rsidRDefault="00A776B5" w:rsidP="00A776B5">
      <w:pPr>
        <w:widowControl w:val="0"/>
        <w:autoSpaceDE w:val="0"/>
        <w:autoSpaceDN w:val="0"/>
        <w:spacing w:after="0" w:line="276" w:lineRule="auto"/>
        <w:jc w:val="both"/>
        <w:rPr>
          <w:rStyle w:val="normaltextrun"/>
          <w:rFonts w:ascii="Verdana" w:hAnsi="Verdana" w:cs="Arial"/>
          <w:shd w:val="clear" w:color="auto" w:fill="FFFFFF"/>
        </w:rPr>
      </w:pPr>
    </w:p>
    <w:p w14:paraId="55DCA5AA" w14:textId="77777777" w:rsidR="00A776B5" w:rsidRPr="00B910D7" w:rsidRDefault="00A776B5" w:rsidP="00A776B5">
      <w:pPr>
        <w:widowControl w:val="0"/>
        <w:autoSpaceDE w:val="0"/>
        <w:autoSpaceDN w:val="0"/>
        <w:spacing w:after="0" w:line="276" w:lineRule="auto"/>
        <w:jc w:val="both"/>
        <w:rPr>
          <w:rStyle w:val="normaltextrun"/>
          <w:rFonts w:ascii="Verdana" w:hAnsi="Verdana"/>
          <w:shd w:val="clear" w:color="auto" w:fill="FFFFFF"/>
        </w:rPr>
      </w:pPr>
      <w:r w:rsidRPr="00B910D7">
        <w:rPr>
          <w:rStyle w:val="normaltextrun"/>
          <w:rFonts w:ascii="Verdana" w:hAnsi="Verdana" w:cs="Arial"/>
          <w:shd w:val="clear" w:color="auto" w:fill="FFFFFF"/>
        </w:rPr>
        <w:t xml:space="preserve">También te </w:t>
      </w:r>
      <w:r w:rsidRPr="00B910D7">
        <w:rPr>
          <w:rFonts w:ascii="Verdana" w:hAnsi="Verdana" w:cs="Arial"/>
          <w:shd w:val="clear" w:color="auto" w:fill="FFFFFF"/>
        </w:rPr>
        <w:t xml:space="preserve">invitamos a revisar la tercera edición del  Boletín de Relatoría de </w:t>
      </w:r>
      <w:r w:rsidRPr="00B910D7">
        <w:rPr>
          <w:rFonts w:ascii="Verdana" w:hAnsi="Verdana" w:cs="Arial"/>
          <w:shd w:val="clear" w:color="auto" w:fill="FFFFFF"/>
        </w:rPr>
        <w:lastRenderedPageBreak/>
        <w:t>2024 en el cual podrás consultar en detalle el marco normativo de documentos tipo: </w:t>
      </w:r>
      <w:hyperlink r:id="rId21" w:tgtFrame="_blank" w:tooltip="Dirección URL original: https://www.colombiacompra.gov.co/sites/cce_public/files/files_2020/boletin_de_realtoria_iii.pdf. Haga clic o pulse si confía en este vínculo." w:history="1">
        <w:r w:rsidRPr="00B910D7">
          <w:rPr>
            <w:rStyle w:val="Hipervnculo"/>
            <w:rFonts w:ascii="Verdana" w:hAnsi="Verdana" w:cs="Arial"/>
            <w:shd w:val="clear" w:color="auto" w:fill="FFFFFF"/>
          </w:rPr>
          <w:t>https://www.colombiacompra.gov.co/sites/cce_public/files/files_2020/boletin_de_realtoria_iii.pdf</w:t>
        </w:r>
      </w:hyperlink>
      <w:r w:rsidRPr="00B910D7">
        <w:rPr>
          <w:rFonts w:ascii="Verdana" w:hAnsi="Verdana" w:cs="Arial"/>
          <w:shd w:val="clear" w:color="auto" w:fill="FFFFFF"/>
        </w:rPr>
        <w:t> ".  </w:t>
      </w:r>
    </w:p>
    <w:p w14:paraId="0443E519" w14:textId="77777777" w:rsidR="00A776B5" w:rsidRPr="00B910D7" w:rsidRDefault="00A776B5" w:rsidP="00A776B5">
      <w:pPr>
        <w:widowControl w:val="0"/>
        <w:autoSpaceDE w:val="0"/>
        <w:autoSpaceDN w:val="0"/>
        <w:spacing w:after="0" w:line="276" w:lineRule="auto"/>
        <w:jc w:val="both"/>
        <w:rPr>
          <w:rFonts w:ascii="Verdana" w:hAnsi="Verdana" w:cs="Arial"/>
          <w:shd w:val="clear" w:color="auto" w:fill="FFFFFF"/>
          <w:lang w:val="es-ES"/>
        </w:rPr>
      </w:pPr>
    </w:p>
    <w:p w14:paraId="3BB8B17F" w14:textId="77777777" w:rsidR="00A776B5" w:rsidRPr="00B910D7" w:rsidRDefault="00A776B5" w:rsidP="00A776B5">
      <w:pPr>
        <w:spacing w:after="0" w:line="240" w:lineRule="auto"/>
        <w:jc w:val="both"/>
        <w:rPr>
          <w:rFonts w:ascii="Verdana" w:hAnsi="Verdana"/>
        </w:rPr>
      </w:pPr>
      <w:r w:rsidRPr="00B910D7">
        <w:rPr>
          <w:rFonts w:ascii="Verdana" w:hAnsi="Verdana"/>
        </w:rPr>
        <w:t xml:space="preserve">Por último, lo invitamos a seguirnos en las redes sociales en las cuales se difunde información institucional: </w:t>
      </w:r>
    </w:p>
    <w:p w14:paraId="377E1E91" w14:textId="77777777" w:rsidR="00A776B5" w:rsidRPr="00B910D7" w:rsidRDefault="00A776B5" w:rsidP="00A776B5">
      <w:pPr>
        <w:spacing w:after="0" w:line="240" w:lineRule="auto"/>
        <w:jc w:val="both"/>
        <w:rPr>
          <w:rFonts w:ascii="Verdana" w:hAnsi="Verdana"/>
        </w:rPr>
      </w:pPr>
    </w:p>
    <w:p w14:paraId="7C677AD0" w14:textId="77777777" w:rsidR="00A776B5" w:rsidRPr="00B910D7" w:rsidRDefault="00A776B5" w:rsidP="00A776B5">
      <w:pPr>
        <w:spacing w:after="0" w:line="240" w:lineRule="auto"/>
        <w:jc w:val="both"/>
        <w:rPr>
          <w:rFonts w:ascii="Verdana" w:hAnsi="Verdana"/>
        </w:rPr>
      </w:pPr>
      <w:r w:rsidRPr="00B910D7">
        <w:rPr>
          <w:rFonts w:ascii="Verdana" w:hAnsi="Verdana"/>
        </w:rPr>
        <w:t xml:space="preserve">Twitter: </w:t>
      </w:r>
      <w:r w:rsidRPr="00B910D7">
        <w:rPr>
          <w:rFonts w:ascii="Verdana" w:hAnsi="Verdana"/>
          <w:u w:val="single"/>
        </w:rPr>
        <w:t>@colombiacompra</w:t>
      </w:r>
      <w:r w:rsidRPr="00B910D7">
        <w:rPr>
          <w:rFonts w:ascii="Verdana" w:hAnsi="Verdana"/>
        </w:rPr>
        <w:t xml:space="preserve"> </w:t>
      </w:r>
    </w:p>
    <w:p w14:paraId="28DF6B1C" w14:textId="77777777" w:rsidR="00A776B5" w:rsidRPr="00B910D7" w:rsidRDefault="00A776B5" w:rsidP="00A776B5">
      <w:pPr>
        <w:spacing w:after="0" w:line="240" w:lineRule="auto"/>
        <w:jc w:val="both"/>
        <w:rPr>
          <w:rFonts w:ascii="Verdana" w:hAnsi="Verdana"/>
        </w:rPr>
      </w:pPr>
      <w:r w:rsidRPr="00B910D7">
        <w:rPr>
          <w:rFonts w:ascii="Verdana" w:hAnsi="Verdana"/>
        </w:rPr>
        <w:t xml:space="preserve">Facebook: </w:t>
      </w:r>
      <w:r w:rsidRPr="00B910D7">
        <w:rPr>
          <w:rFonts w:ascii="Verdana" w:hAnsi="Verdana"/>
          <w:u w:val="single"/>
        </w:rPr>
        <w:t>ColombiaCompraEficiente</w:t>
      </w:r>
    </w:p>
    <w:p w14:paraId="1E1CDA3B" w14:textId="77777777" w:rsidR="00A776B5" w:rsidRPr="00B910D7" w:rsidRDefault="00A776B5" w:rsidP="00A776B5">
      <w:pPr>
        <w:spacing w:after="0" w:line="240" w:lineRule="auto"/>
        <w:jc w:val="both"/>
        <w:rPr>
          <w:rFonts w:ascii="Verdana" w:hAnsi="Verdana"/>
        </w:rPr>
      </w:pPr>
      <w:r w:rsidRPr="00B910D7">
        <w:rPr>
          <w:rFonts w:ascii="Verdana" w:hAnsi="Verdana"/>
        </w:rPr>
        <w:t xml:space="preserve">LinkedIn: </w:t>
      </w:r>
      <w:r w:rsidRPr="00B910D7">
        <w:rPr>
          <w:rFonts w:ascii="Verdana" w:hAnsi="Verdana"/>
          <w:u w:val="single"/>
        </w:rPr>
        <w:t>Agencia Nacional de Contratación Pública - Colombia Compra Eficiente</w:t>
      </w:r>
      <w:r w:rsidRPr="00B910D7">
        <w:rPr>
          <w:rFonts w:ascii="Verdana" w:hAnsi="Verdana"/>
        </w:rPr>
        <w:t xml:space="preserve"> Instagram: </w:t>
      </w:r>
      <w:r w:rsidRPr="00B910D7">
        <w:rPr>
          <w:rFonts w:ascii="Verdana" w:hAnsi="Verdana"/>
          <w:u w:val="single"/>
        </w:rPr>
        <w:t>@colombiacompraeficiente_cce</w:t>
      </w:r>
    </w:p>
    <w:p w14:paraId="53ECC0BB" w14:textId="77777777" w:rsidR="00A776B5" w:rsidRPr="00B910D7" w:rsidRDefault="00A776B5" w:rsidP="00A776B5">
      <w:pPr>
        <w:spacing w:before="120" w:after="0" w:line="276" w:lineRule="auto"/>
        <w:jc w:val="both"/>
        <w:textAlignment w:val="baseline"/>
        <w:rPr>
          <w:rFonts w:ascii="Verdana" w:eastAsia="Times New Roman" w:hAnsi="Verdana"/>
          <w:bCs/>
          <w:lang w:val="es-ES_tradnl" w:eastAsia="es-CO"/>
        </w:rPr>
      </w:pPr>
      <w:r w:rsidRPr="00B910D7">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CAAA1B9" w14:textId="77777777" w:rsidR="00A776B5" w:rsidRPr="00B910D7" w:rsidRDefault="00A776B5" w:rsidP="00A776B5">
      <w:pPr>
        <w:spacing w:after="0" w:line="240" w:lineRule="auto"/>
        <w:rPr>
          <w:rFonts w:ascii="Verdana" w:eastAsia="Calibri" w:hAnsi="Verdana"/>
        </w:rPr>
      </w:pPr>
    </w:p>
    <w:p w14:paraId="35A1EE7E" w14:textId="7E8CD1E5" w:rsidR="00A776B5" w:rsidRPr="00B910D7" w:rsidRDefault="00A776B5" w:rsidP="009A2B7C">
      <w:pPr>
        <w:spacing w:after="0" w:line="240" w:lineRule="auto"/>
        <w:rPr>
          <w:rFonts w:ascii="Verdana" w:hAnsi="Verdana"/>
          <w:noProof/>
        </w:rPr>
      </w:pPr>
      <w:r w:rsidRPr="00B910D7">
        <w:rPr>
          <w:rFonts w:ascii="Verdana" w:eastAsia="Times New Roman" w:hAnsi="Verdana" w:cs="Arial"/>
          <w:lang w:eastAsia="es-CO"/>
        </w:rPr>
        <w:t>Atentamente,</w:t>
      </w:r>
    </w:p>
    <w:p w14:paraId="20472FD1" w14:textId="21B1A51F" w:rsidR="00A776B5" w:rsidRPr="00B910D7" w:rsidRDefault="006C242A" w:rsidP="00A776B5">
      <w:pPr>
        <w:spacing w:after="0" w:line="276" w:lineRule="auto"/>
        <w:jc w:val="center"/>
        <w:rPr>
          <w:rFonts w:ascii="Verdana" w:eastAsia="Times New Roman" w:hAnsi="Verdana" w:cs="Arial"/>
          <w:sz w:val="18"/>
          <w:szCs w:val="18"/>
          <w:lang w:val="es-ES" w:eastAsia="es-CO"/>
        </w:rPr>
      </w:pPr>
      <w:r w:rsidRPr="002C3AD6">
        <w:rPr>
          <w:rFonts w:ascii="Century Gothic" w:hAnsi="Century Gothic"/>
          <w:noProof/>
        </w:rPr>
        <w:drawing>
          <wp:inline distT="0" distB="0" distL="0" distR="0" wp14:anchorId="37186324" wp14:editId="3DA01D7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2"/>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776B5" w:rsidRPr="00B910D7" w14:paraId="3A75CA05" w14:textId="77777777" w:rsidTr="0000541D">
        <w:trPr>
          <w:trHeight w:val="409"/>
        </w:trPr>
        <w:tc>
          <w:tcPr>
            <w:tcW w:w="817" w:type="dxa"/>
            <w:tcBorders>
              <w:top w:val="nil"/>
              <w:left w:val="nil"/>
              <w:bottom w:val="nil"/>
              <w:right w:val="nil"/>
            </w:tcBorders>
            <w:vAlign w:val="center"/>
            <w:hideMark/>
          </w:tcPr>
          <w:p w14:paraId="660228CF" w14:textId="77777777" w:rsidR="00A776B5" w:rsidRPr="00B910D7" w:rsidRDefault="00A776B5" w:rsidP="0000541D">
            <w:pPr>
              <w:spacing w:after="0" w:line="240" w:lineRule="auto"/>
              <w:jc w:val="both"/>
              <w:rPr>
                <w:rFonts w:ascii="Verdana" w:hAnsi="Verdana" w:cs="Arial"/>
                <w:sz w:val="16"/>
                <w:szCs w:val="16"/>
              </w:rPr>
            </w:pPr>
            <w:r w:rsidRPr="00B910D7">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BE47CC4" w14:textId="77777777" w:rsidR="00A776B5" w:rsidRPr="00B910D7" w:rsidRDefault="00A776B5" w:rsidP="0000541D">
            <w:pPr>
              <w:spacing w:after="0" w:line="240" w:lineRule="auto"/>
              <w:jc w:val="both"/>
              <w:rPr>
                <w:rFonts w:ascii="Verdana" w:hAnsi="Verdana" w:cs="Arial"/>
                <w:sz w:val="16"/>
                <w:szCs w:val="16"/>
              </w:rPr>
            </w:pPr>
            <w:r w:rsidRPr="00B910D7">
              <w:rPr>
                <w:rFonts w:ascii="Verdana" w:hAnsi="Verdana" w:cs="Arial"/>
                <w:sz w:val="16"/>
                <w:szCs w:val="16"/>
              </w:rPr>
              <w:t>Gustavo Hinestroza Martínez</w:t>
            </w:r>
          </w:p>
          <w:p w14:paraId="079356CE" w14:textId="77777777" w:rsidR="00A776B5" w:rsidRPr="00B910D7" w:rsidRDefault="00A776B5" w:rsidP="0000541D">
            <w:pPr>
              <w:spacing w:after="0" w:line="240" w:lineRule="auto"/>
              <w:jc w:val="both"/>
              <w:rPr>
                <w:rFonts w:ascii="Verdana" w:hAnsi="Verdana" w:cs="Arial"/>
                <w:sz w:val="16"/>
                <w:szCs w:val="16"/>
              </w:rPr>
            </w:pPr>
            <w:r w:rsidRPr="00B910D7">
              <w:rPr>
                <w:rFonts w:ascii="Verdana" w:hAnsi="Verdana" w:cs="Arial"/>
                <w:sz w:val="16"/>
                <w:szCs w:val="16"/>
              </w:rPr>
              <w:t>Contratista de la Subdirección de Gestión Contractual</w:t>
            </w:r>
          </w:p>
        </w:tc>
      </w:tr>
      <w:tr w:rsidR="00A776B5" w:rsidRPr="00B910D7" w14:paraId="468CE504" w14:textId="77777777" w:rsidTr="0000541D">
        <w:trPr>
          <w:trHeight w:val="409"/>
        </w:trPr>
        <w:tc>
          <w:tcPr>
            <w:tcW w:w="817" w:type="dxa"/>
            <w:tcBorders>
              <w:top w:val="nil"/>
              <w:left w:val="nil"/>
              <w:bottom w:val="nil"/>
              <w:right w:val="nil"/>
            </w:tcBorders>
            <w:vAlign w:val="center"/>
            <w:hideMark/>
          </w:tcPr>
          <w:p w14:paraId="53D3E999" w14:textId="77777777" w:rsidR="00A776B5" w:rsidRPr="00B910D7" w:rsidRDefault="00A776B5" w:rsidP="0000541D">
            <w:pPr>
              <w:spacing w:after="0"/>
              <w:jc w:val="both"/>
              <w:rPr>
                <w:rFonts w:ascii="Verdana" w:hAnsi="Verdana" w:cs="Arial"/>
                <w:sz w:val="16"/>
                <w:szCs w:val="16"/>
              </w:rPr>
            </w:pPr>
            <w:r w:rsidRPr="00B910D7">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3B56CE0" w14:textId="77777777" w:rsidR="00A776B5" w:rsidRPr="00B910D7" w:rsidRDefault="00A776B5" w:rsidP="0000541D">
            <w:pPr>
              <w:spacing w:after="0" w:line="240" w:lineRule="auto"/>
              <w:jc w:val="both"/>
              <w:rPr>
                <w:rFonts w:ascii="Verdana" w:eastAsia="Times New Roman" w:hAnsi="Verdana" w:cstheme="minorHAnsi"/>
                <w:sz w:val="16"/>
                <w:szCs w:val="16"/>
                <w:lang w:val="es-ES" w:eastAsia="es-ES"/>
              </w:rPr>
            </w:pPr>
            <w:r w:rsidRPr="00B910D7">
              <w:rPr>
                <w:rFonts w:ascii="Verdana" w:eastAsia="Times New Roman" w:hAnsi="Verdana" w:cstheme="minorHAnsi"/>
                <w:sz w:val="16"/>
                <w:szCs w:val="16"/>
                <w:lang w:val="es-ES" w:eastAsia="es-ES"/>
              </w:rPr>
              <w:t>Adriana Katerine Lopez Rodriguez</w:t>
            </w:r>
          </w:p>
          <w:p w14:paraId="621E7C21" w14:textId="77777777" w:rsidR="00A776B5" w:rsidRPr="00B910D7" w:rsidRDefault="00A776B5" w:rsidP="0000541D">
            <w:pPr>
              <w:spacing w:after="0" w:line="240" w:lineRule="auto"/>
              <w:jc w:val="both"/>
              <w:rPr>
                <w:rFonts w:ascii="Verdana" w:hAnsi="Verdana" w:cs="Arial"/>
                <w:sz w:val="16"/>
                <w:szCs w:val="16"/>
              </w:rPr>
            </w:pPr>
            <w:r w:rsidRPr="00B910D7">
              <w:rPr>
                <w:rFonts w:ascii="Verdana" w:hAnsi="Verdana" w:cs="Arial"/>
                <w:sz w:val="16"/>
                <w:szCs w:val="16"/>
              </w:rPr>
              <w:t>Contratista de la Subdirección de Gestión Contractual</w:t>
            </w:r>
          </w:p>
        </w:tc>
      </w:tr>
      <w:tr w:rsidR="00A776B5" w:rsidRPr="00B910D7" w14:paraId="373ADFB8" w14:textId="77777777" w:rsidTr="0000541D">
        <w:trPr>
          <w:trHeight w:val="389"/>
        </w:trPr>
        <w:tc>
          <w:tcPr>
            <w:tcW w:w="817" w:type="dxa"/>
            <w:tcBorders>
              <w:top w:val="nil"/>
              <w:left w:val="nil"/>
              <w:bottom w:val="nil"/>
              <w:right w:val="nil"/>
            </w:tcBorders>
            <w:vAlign w:val="center"/>
            <w:hideMark/>
          </w:tcPr>
          <w:p w14:paraId="263A9AEE" w14:textId="77777777" w:rsidR="00A776B5" w:rsidRPr="00B910D7" w:rsidRDefault="00A776B5" w:rsidP="0000541D">
            <w:pPr>
              <w:spacing w:after="0" w:line="240" w:lineRule="auto"/>
              <w:jc w:val="both"/>
              <w:rPr>
                <w:rFonts w:ascii="Verdana" w:hAnsi="Verdana" w:cs="Arial"/>
                <w:sz w:val="16"/>
                <w:szCs w:val="16"/>
              </w:rPr>
            </w:pPr>
            <w:r w:rsidRPr="00B910D7">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1565316" w14:textId="77777777" w:rsidR="00A776B5" w:rsidRPr="00B910D7" w:rsidRDefault="00A776B5" w:rsidP="0000541D">
            <w:pPr>
              <w:spacing w:after="0"/>
              <w:rPr>
                <w:rFonts w:ascii="Verdana" w:eastAsia="Calibri" w:hAnsi="Verdana" w:cs="Arial"/>
                <w:sz w:val="16"/>
                <w:szCs w:val="16"/>
                <w:lang w:val="pt-BR" w:eastAsia="es-ES"/>
              </w:rPr>
            </w:pPr>
            <w:r w:rsidRPr="00B910D7">
              <w:rPr>
                <w:rFonts w:ascii="Verdana" w:eastAsia="Calibri" w:hAnsi="Verdana" w:cs="Arial"/>
                <w:sz w:val="16"/>
                <w:szCs w:val="16"/>
                <w:lang w:val="pt-BR" w:eastAsia="es-ES"/>
              </w:rPr>
              <w:t>Carolina Quintero Gacharná</w:t>
            </w:r>
          </w:p>
          <w:p w14:paraId="57BE366D" w14:textId="77777777" w:rsidR="00A776B5" w:rsidRPr="00B910D7" w:rsidRDefault="00A776B5" w:rsidP="0000541D">
            <w:pPr>
              <w:spacing w:after="0" w:line="240" w:lineRule="auto"/>
              <w:jc w:val="both"/>
              <w:rPr>
                <w:rFonts w:ascii="Verdana" w:hAnsi="Verdana" w:cs="Arial"/>
                <w:sz w:val="16"/>
                <w:szCs w:val="16"/>
              </w:rPr>
            </w:pPr>
            <w:r w:rsidRPr="00B910D7">
              <w:rPr>
                <w:rFonts w:ascii="Verdana" w:hAnsi="Verdana" w:cs="Arial"/>
                <w:sz w:val="16"/>
                <w:szCs w:val="16"/>
              </w:rPr>
              <w:t>Subdirectora de Gestión Contractual ANCP – CCE</w:t>
            </w:r>
          </w:p>
        </w:tc>
      </w:tr>
      <w:bookmarkEnd w:id="0"/>
    </w:tbl>
    <w:p w14:paraId="68A573CD" w14:textId="77777777" w:rsidR="00A776B5" w:rsidRPr="009A2B7C" w:rsidRDefault="00A776B5" w:rsidP="009A2B7C">
      <w:pPr>
        <w:spacing w:after="0" w:line="240" w:lineRule="auto"/>
        <w:textAlignment w:val="baseline"/>
        <w:rPr>
          <w:rFonts w:ascii="Verdana" w:eastAsia="Times New Roman" w:hAnsi="Verdana" w:cs="Segoe UI"/>
          <w:sz w:val="18"/>
          <w:szCs w:val="18"/>
          <w:lang w:eastAsia="es-CO"/>
        </w:rPr>
      </w:pPr>
    </w:p>
    <w:sectPr w:rsidR="00A776B5" w:rsidRPr="009A2B7C"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4FFD" w14:textId="77777777" w:rsidR="00DC0144" w:rsidRDefault="00DC0144" w:rsidP="004A1847">
      <w:pPr>
        <w:spacing w:after="0" w:line="240" w:lineRule="auto"/>
      </w:pPr>
      <w:r>
        <w:separator/>
      </w:r>
    </w:p>
  </w:endnote>
  <w:endnote w:type="continuationSeparator" w:id="0">
    <w:p w14:paraId="3FB3F1B7" w14:textId="77777777" w:rsidR="00DC0144" w:rsidRDefault="00DC0144" w:rsidP="004A1847">
      <w:pPr>
        <w:spacing w:after="0" w:line="240" w:lineRule="auto"/>
      </w:pPr>
      <w:r>
        <w:continuationSeparator/>
      </w:r>
    </w:p>
  </w:endnote>
  <w:endnote w:type="continuationNotice" w:id="1">
    <w:p w14:paraId="20F03FF1" w14:textId="77777777" w:rsidR="00DC0144" w:rsidRDefault="00DC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DCD0" w14:textId="77777777" w:rsidR="00DC0144" w:rsidRDefault="00DC0144" w:rsidP="004A1847">
      <w:pPr>
        <w:spacing w:after="0" w:line="240" w:lineRule="auto"/>
      </w:pPr>
      <w:r>
        <w:separator/>
      </w:r>
    </w:p>
  </w:footnote>
  <w:footnote w:type="continuationSeparator" w:id="0">
    <w:p w14:paraId="30E9E3F0" w14:textId="77777777" w:rsidR="00DC0144" w:rsidRDefault="00DC0144" w:rsidP="004A1847">
      <w:pPr>
        <w:spacing w:after="0" w:line="240" w:lineRule="auto"/>
      </w:pPr>
      <w:r>
        <w:continuationSeparator/>
      </w:r>
    </w:p>
  </w:footnote>
  <w:footnote w:type="continuationNotice" w:id="1">
    <w:p w14:paraId="2BD4D89C" w14:textId="77777777" w:rsidR="00DC0144" w:rsidRDefault="00DC0144">
      <w:pPr>
        <w:spacing w:after="0" w:line="240" w:lineRule="auto"/>
      </w:pPr>
    </w:p>
  </w:footnote>
  <w:footnote w:id="2">
    <w:p w14:paraId="2051E586" w14:textId="77777777" w:rsidR="002D0B94" w:rsidRPr="003E7CC4" w:rsidRDefault="002D0B94" w:rsidP="002D0B94">
      <w:pPr>
        <w:pStyle w:val="Textonotapie"/>
        <w:ind w:firstLine="707"/>
        <w:contextualSpacing/>
        <w:jc w:val="both"/>
        <w:rPr>
          <w:rFonts w:ascii="Verdana" w:hAnsi="Verdana" w:cs="Arial"/>
          <w:color w:val="000000"/>
          <w:sz w:val="16"/>
          <w:szCs w:val="16"/>
        </w:rPr>
      </w:pPr>
      <w:r w:rsidRPr="003E7CC4">
        <w:rPr>
          <w:rFonts w:ascii="Verdana" w:hAnsi="Verdana" w:cs="Arial"/>
          <w:color w:val="000000"/>
          <w:sz w:val="16"/>
          <w:szCs w:val="16"/>
          <w:vertAlign w:val="superscript"/>
          <w:lang w:val="es-ES" w:eastAsia="es-ES"/>
        </w:rPr>
        <w:footnoteRef/>
      </w:r>
      <w:r w:rsidRPr="003E7CC4">
        <w:rPr>
          <w:rFonts w:ascii="Verdana" w:hAnsi="Verdana" w:cs="Arial"/>
          <w:color w:val="000000"/>
          <w:sz w:val="16"/>
          <w:szCs w:val="16"/>
          <w:vertAlign w:val="superscript"/>
          <w:lang w:val="es-ES" w:eastAsia="es-ES"/>
        </w:rPr>
        <w:t xml:space="preserve"> </w:t>
      </w:r>
      <w:r w:rsidRPr="003E7CC4">
        <w:rPr>
          <w:rFonts w:ascii="Verdana" w:hAnsi="Verdana" w:cs="Arial"/>
          <w:color w:val="000000"/>
          <w:sz w:val="16"/>
          <w:szCs w:val="16"/>
          <w:lang w:val="es-ES" w:eastAsia="es-ES"/>
        </w:rPr>
        <w:t>“</w:t>
      </w:r>
      <w:r w:rsidRPr="003E7CC4">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0DF16D5" w14:textId="77777777" w:rsidR="002D0B94" w:rsidRPr="003E7CC4" w:rsidRDefault="002D0B94" w:rsidP="002D0B94">
      <w:pPr>
        <w:pStyle w:val="Textonotapie"/>
        <w:ind w:firstLine="709"/>
        <w:contextualSpacing/>
        <w:jc w:val="both"/>
        <w:rPr>
          <w:rFonts w:ascii="Verdana" w:hAnsi="Verdana" w:cs="Arial"/>
          <w:color w:val="000000"/>
          <w:sz w:val="16"/>
          <w:szCs w:val="16"/>
          <w:lang w:val="es-ES" w:eastAsia="es-ES"/>
        </w:rPr>
      </w:pPr>
      <w:r w:rsidRPr="003E7CC4">
        <w:rPr>
          <w:rFonts w:ascii="Verdana" w:hAnsi="Verdana" w:cs="Arial"/>
          <w:color w:val="000000"/>
          <w:sz w:val="16"/>
          <w:szCs w:val="16"/>
        </w:rPr>
        <w:t>(…).</w:t>
      </w:r>
    </w:p>
    <w:p w14:paraId="097B91FE" w14:textId="77777777" w:rsidR="002D0B94" w:rsidRPr="003E7CC4" w:rsidRDefault="002D0B94" w:rsidP="002D0B94">
      <w:pPr>
        <w:pStyle w:val="Textonotapie"/>
        <w:ind w:firstLine="709"/>
        <w:contextualSpacing/>
        <w:jc w:val="both"/>
        <w:rPr>
          <w:rFonts w:ascii="Verdana" w:hAnsi="Verdana" w:cs="Arial"/>
          <w:color w:val="000000"/>
          <w:sz w:val="16"/>
          <w:szCs w:val="16"/>
          <w:lang w:val="es-ES" w:eastAsia="es-ES"/>
        </w:rPr>
      </w:pPr>
      <w:r w:rsidRPr="003E7CC4">
        <w:rPr>
          <w:rFonts w:ascii="Verdana"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3">
    <w:p w14:paraId="25FDAA86" w14:textId="66D09E82" w:rsidR="00012AD9" w:rsidRDefault="00012AD9" w:rsidP="00012AD9">
      <w:pPr>
        <w:pStyle w:val="Textonotapie"/>
        <w:ind w:firstLine="708"/>
        <w:jc w:val="both"/>
      </w:pPr>
      <w:r>
        <w:rPr>
          <w:rStyle w:val="Refdenotaalpie"/>
        </w:rPr>
        <w:footnoteRef/>
      </w:r>
      <w:r>
        <w:t xml:space="preserve"> </w:t>
      </w:r>
      <w:r w:rsidRPr="00012AD9">
        <w:rPr>
          <w:rFonts w:ascii="Verdana" w:hAnsi="Verdana" w:cs="Arial"/>
          <w:sz w:val="16"/>
          <w:szCs w:val="16"/>
        </w:rPr>
        <w:t>Decreto 1082 de 2015: “Artículo 2.2.1.2.2.1.1. Aplicación. 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Ley 226 de 1995, el Decreto-Ley 254 de 2000 y la Ley 1105 de 2006”.</w:t>
      </w:r>
    </w:p>
  </w:footnote>
  <w:footnote w:id="4">
    <w:p w14:paraId="6ED51D19" w14:textId="77777777" w:rsidR="00B910D7" w:rsidRPr="009A2B7C" w:rsidRDefault="00B910D7" w:rsidP="00B910D7">
      <w:pPr>
        <w:pStyle w:val="Textonotapie"/>
        <w:ind w:firstLine="709"/>
        <w:contextualSpacing/>
        <w:jc w:val="both"/>
        <w:rPr>
          <w:rFonts w:ascii="Verdana" w:hAnsi="Verdana" w:cs="Arial"/>
          <w:sz w:val="14"/>
          <w:szCs w:val="14"/>
        </w:rPr>
      </w:pPr>
      <w:r w:rsidRPr="009A2B7C">
        <w:rPr>
          <w:rFonts w:ascii="Verdana" w:hAnsi="Verdana" w:cs="Arial"/>
          <w:color w:val="000000"/>
          <w:sz w:val="14"/>
          <w:szCs w:val="14"/>
          <w:vertAlign w:val="superscript"/>
        </w:rPr>
        <w:footnoteRef/>
      </w:r>
      <w:r w:rsidRPr="009A2B7C">
        <w:rPr>
          <w:rFonts w:ascii="Verdana" w:hAnsi="Verdana" w:cs="Arial"/>
          <w:color w:val="000000"/>
          <w:sz w:val="14"/>
          <w:szCs w:val="14"/>
        </w:rPr>
        <w:t xml:space="preserve"> </w:t>
      </w:r>
      <w:r w:rsidRPr="009A2B7C">
        <w:rPr>
          <w:rFonts w:ascii="Verdana" w:hAnsi="Verdana" w:cs="Arial"/>
          <w:sz w:val="14"/>
          <w:szCs w:val="14"/>
        </w:rPr>
        <w:t>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0CA40CC" w14:textId="77777777" w:rsidR="00B910D7" w:rsidRPr="009A2B7C" w:rsidRDefault="00B910D7" w:rsidP="00B910D7">
      <w:pPr>
        <w:pStyle w:val="Textonotapie"/>
        <w:ind w:firstLine="709"/>
        <w:contextualSpacing/>
        <w:jc w:val="both"/>
        <w:rPr>
          <w:rFonts w:ascii="Verdana" w:hAnsi="Verdana" w:cs="Arial"/>
          <w:sz w:val="14"/>
          <w:szCs w:val="14"/>
        </w:rPr>
      </w:pPr>
    </w:p>
    <w:p w14:paraId="6A247732" w14:textId="77777777" w:rsidR="00B910D7" w:rsidRPr="009A2B7C" w:rsidRDefault="00B910D7" w:rsidP="00B910D7">
      <w:pPr>
        <w:pStyle w:val="Textonotapie"/>
        <w:ind w:firstLine="709"/>
        <w:contextualSpacing/>
        <w:jc w:val="both"/>
        <w:rPr>
          <w:rFonts w:ascii="Verdana" w:hAnsi="Verdana" w:cs="Arial"/>
          <w:sz w:val="14"/>
          <w:szCs w:val="14"/>
        </w:rPr>
      </w:pPr>
      <w:r w:rsidRPr="009A2B7C">
        <w:rPr>
          <w:rFonts w:ascii="Verdana" w:hAnsi="Verdana" w:cs="Arial"/>
          <w:sz w:val="14"/>
          <w:szCs w:val="14"/>
        </w:rPr>
        <w:t>“Lo anterior, sin perjuicio de las publicaciones previstas en el numeral 3 del artículo 30 de la Ley 80 de 1993.</w:t>
      </w:r>
    </w:p>
    <w:p w14:paraId="13FDB600" w14:textId="77777777" w:rsidR="00B910D7" w:rsidRPr="009A2B7C" w:rsidRDefault="00B910D7" w:rsidP="00B910D7">
      <w:pPr>
        <w:pStyle w:val="Textonotapie"/>
        <w:ind w:firstLine="709"/>
        <w:contextualSpacing/>
        <w:jc w:val="both"/>
        <w:rPr>
          <w:rFonts w:ascii="Verdana" w:hAnsi="Verdana" w:cs="Arial"/>
          <w:sz w:val="14"/>
          <w:szCs w:val="14"/>
        </w:rPr>
      </w:pPr>
      <w:r w:rsidRPr="009A2B7C">
        <w:rPr>
          <w:rFonts w:ascii="Verdana" w:hAnsi="Verdana" w:cs="Arial"/>
          <w:sz w:val="14"/>
          <w:szCs w:val="14"/>
        </w:rPr>
        <w:t xml:space="preserve">“Con el fin de materializar los objetivos a que se refiere el inciso anterior, el Gobierno Nacional desarrollará el Sistema Electrónico para la Contratación Pública, Secop, el cual: </w:t>
      </w:r>
    </w:p>
    <w:p w14:paraId="073BCE1C" w14:textId="77777777" w:rsidR="00B910D7" w:rsidRPr="009A2B7C" w:rsidRDefault="00B910D7" w:rsidP="00B910D7">
      <w:pPr>
        <w:pStyle w:val="Textonotapie"/>
        <w:ind w:firstLine="709"/>
        <w:contextualSpacing/>
        <w:jc w:val="both"/>
        <w:rPr>
          <w:rFonts w:ascii="Verdana" w:hAnsi="Verdana" w:cs="Arial"/>
          <w:sz w:val="14"/>
          <w:szCs w:val="14"/>
        </w:rPr>
      </w:pPr>
      <w:r w:rsidRPr="009A2B7C">
        <w:rPr>
          <w:rFonts w:ascii="Verdana" w:hAnsi="Verdana" w:cs="Arial"/>
          <w:sz w:val="14"/>
          <w:szCs w:val="14"/>
        </w:rPr>
        <w:t>(…)</w:t>
      </w:r>
    </w:p>
    <w:p w14:paraId="1C5EACD0" w14:textId="77777777" w:rsidR="00B910D7" w:rsidRPr="009A2B7C" w:rsidRDefault="00B910D7" w:rsidP="00B910D7">
      <w:pPr>
        <w:pStyle w:val="Textonotapie"/>
        <w:ind w:firstLine="709"/>
        <w:contextualSpacing/>
        <w:jc w:val="both"/>
        <w:rPr>
          <w:rFonts w:ascii="Verdana" w:hAnsi="Verdana"/>
          <w:sz w:val="14"/>
          <w:szCs w:val="14"/>
        </w:rPr>
      </w:pPr>
      <w:r w:rsidRPr="009A2B7C">
        <w:rPr>
          <w:rFonts w:ascii="Verdana" w:hAnsi="Verdana" w:cs="Arial"/>
          <w:sz w:val="14"/>
          <w:szCs w:val="14"/>
        </w:rPr>
        <w:t>“c) Contará con la información oficial de la contratación realizada con dineros públicos, para lo cual establecerá los patrones a que haya lugar y se encargará de su difusión a través de canales electrónico”.</w:t>
      </w:r>
      <w:r w:rsidRPr="009A2B7C">
        <w:rPr>
          <w:rFonts w:ascii="Verdana" w:hAnsi="Verdana" w:cs="Arial"/>
          <w:color w:val="000000"/>
          <w:sz w:val="14"/>
          <w:szCs w:val="14"/>
        </w:rPr>
        <w:t xml:space="preserve"> </w:t>
      </w:r>
    </w:p>
  </w:footnote>
  <w:footnote w:id="5">
    <w:p w14:paraId="77187A94" w14:textId="77777777" w:rsidR="00B910D7" w:rsidRPr="009A2B7C" w:rsidRDefault="00B910D7" w:rsidP="00B910D7">
      <w:pPr>
        <w:pStyle w:val="Textonotapie"/>
        <w:ind w:firstLine="709"/>
        <w:contextualSpacing/>
        <w:jc w:val="both"/>
        <w:rPr>
          <w:rFonts w:ascii="Verdana" w:hAnsi="Verdana"/>
          <w:sz w:val="16"/>
          <w:szCs w:val="16"/>
        </w:rPr>
      </w:pPr>
      <w:r w:rsidRPr="003E7CC4">
        <w:rPr>
          <w:rFonts w:ascii="Verdana" w:hAnsi="Verdana" w:cs="Arial"/>
          <w:color w:val="000000"/>
          <w:sz w:val="16"/>
          <w:szCs w:val="16"/>
          <w:vertAlign w:val="superscript"/>
        </w:rPr>
        <w:footnoteRef/>
      </w:r>
      <w:r w:rsidRPr="003E7CC4">
        <w:rPr>
          <w:rFonts w:ascii="Verdana" w:hAnsi="Verdana" w:cs="Arial"/>
          <w:color w:val="000000"/>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9B36127" w14:textId="77777777" w:rsidR="00B910D7" w:rsidRPr="009A2B7C" w:rsidRDefault="00B910D7" w:rsidP="00B910D7">
      <w:pPr>
        <w:pStyle w:val="Textonotapie"/>
        <w:ind w:firstLine="709"/>
        <w:contextualSpacing/>
        <w:jc w:val="both"/>
        <w:rPr>
          <w:rFonts w:ascii="Verdana" w:hAnsi="Verdana" w:cs="Arial"/>
          <w:sz w:val="14"/>
          <w:szCs w:val="14"/>
        </w:rPr>
      </w:pPr>
    </w:p>
  </w:footnote>
  <w:footnote w:id="6">
    <w:p w14:paraId="012389DD" w14:textId="77777777" w:rsidR="00B910D7" w:rsidRPr="003E7CC4" w:rsidRDefault="00B910D7" w:rsidP="00B910D7">
      <w:pPr>
        <w:pStyle w:val="Textonotapie"/>
        <w:ind w:firstLine="707"/>
        <w:contextualSpacing/>
        <w:jc w:val="both"/>
        <w:rPr>
          <w:rFonts w:ascii="Verdana" w:hAnsi="Verdana" w:cs="Arial"/>
          <w:sz w:val="16"/>
          <w:szCs w:val="16"/>
          <w:lang w:val="es-CO"/>
        </w:rPr>
      </w:pPr>
      <w:r w:rsidRPr="003E7CC4">
        <w:rPr>
          <w:rFonts w:ascii="Verdana" w:hAnsi="Verdana" w:cs="Arial"/>
          <w:sz w:val="16"/>
          <w:szCs w:val="16"/>
          <w:vertAlign w:val="superscript"/>
        </w:rPr>
        <w:footnoteRef/>
      </w:r>
      <w:r w:rsidRPr="003E7CC4">
        <w:rPr>
          <w:rFonts w:ascii="Verdana" w:hAnsi="Verdana" w:cs="Arial"/>
          <w:sz w:val="16"/>
          <w:szCs w:val="16"/>
          <w:vertAlign w:val="superscript"/>
        </w:rPr>
        <w:t xml:space="preserve"> </w:t>
      </w:r>
      <w:r w:rsidRPr="003E7CC4">
        <w:rPr>
          <w:rFonts w:ascii="Verdana" w:hAnsi="Verdana" w:cs="Arial"/>
          <w:sz w:val="16"/>
          <w:szCs w:val="16"/>
        </w:rPr>
        <w:t xml:space="preserve">Ley 1712 de 2014: «Artículo 3. </w:t>
      </w:r>
      <w:bookmarkStart w:id="1" w:name="3"/>
      <w:bookmarkEnd w:id="1"/>
      <w:r w:rsidRPr="003E7CC4">
        <w:rPr>
          <w:rFonts w:ascii="Verdana" w:hAnsi="Verdana" w:cs="Arial"/>
          <w:sz w:val="16"/>
          <w:szCs w:val="16"/>
          <w:lang w:val="es-CO"/>
        </w:rPr>
        <w:t>Otros principios de la transparencia y acceso a la información pública. </w:t>
      </w:r>
    </w:p>
    <w:p w14:paraId="4B6C8DC5" w14:textId="77777777" w:rsidR="00B910D7" w:rsidRPr="003E7CC4" w:rsidRDefault="00B910D7" w:rsidP="00B910D7">
      <w:pPr>
        <w:pStyle w:val="Textonotapie"/>
        <w:ind w:firstLine="707"/>
        <w:contextualSpacing/>
        <w:jc w:val="both"/>
        <w:rPr>
          <w:rFonts w:ascii="Verdana" w:hAnsi="Verdana" w:cs="Arial"/>
          <w:sz w:val="16"/>
          <w:szCs w:val="16"/>
          <w:lang w:val="es-CO"/>
        </w:rPr>
      </w:pPr>
      <w:r w:rsidRPr="003E7CC4">
        <w:rPr>
          <w:rFonts w:ascii="Verdana" w:hAnsi="Verdana" w:cs="Arial"/>
          <w:sz w:val="16"/>
          <w:szCs w:val="16"/>
          <w:lang w:val="es-CO"/>
        </w:rPr>
        <w:t>(…)</w:t>
      </w:r>
    </w:p>
    <w:p w14:paraId="1E879809" w14:textId="77777777" w:rsidR="00B910D7" w:rsidRDefault="00B910D7" w:rsidP="00B910D7">
      <w:pPr>
        <w:pStyle w:val="Textonotapie"/>
        <w:ind w:firstLine="707"/>
        <w:contextualSpacing/>
        <w:jc w:val="both"/>
        <w:rPr>
          <w:rFonts w:ascii="Verdana" w:hAnsi="Verdana" w:cs="Arial"/>
          <w:sz w:val="16"/>
          <w:szCs w:val="16"/>
        </w:rPr>
      </w:pPr>
      <w:r w:rsidRPr="003E7CC4">
        <w:rPr>
          <w:rStyle w:val="baj"/>
          <w:rFonts w:ascii="Verdana" w:hAnsi="Verdana" w:cs="Arial"/>
          <w:sz w:val="16"/>
          <w:szCs w:val="16"/>
        </w:rPr>
        <w:t>Principio de transparencia</w:t>
      </w:r>
      <w:r w:rsidRPr="003E7CC4">
        <w:rPr>
          <w:rFonts w:ascii="Verdana" w:hAnsi="Verdana" w:cs="Arial"/>
          <w:sz w:val="16"/>
          <w:szCs w:val="16"/>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3D47BF39" w14:textId="77777777" w:rsidR="00B910D7" w:rsidRPr="003E7CC4" w:rsidRDefault="00B910D7" w:rsidP="00B910D7">
      <w:pPr>
        <w:pStyle w:val="Textonotapie"/>
        <w:ind w:firstLine="707"/>
        <w:contextualSpacing/>
        <w:jc w:val="both"/>
        <w:rPr>
          <w:rFonts w:ascii="Verdana" w:hAnsi="Verdana" w:cs="Arial"/>
          <w:sz w:val="16"/>
          <w:szCs w:val="16"/>
        </w:rPr>
      </w:pPr>
    </w:p>
  </w:footnote>
  <w:footnote w:id="7">
    <w:p w14:paraId="52E04B90" w14:textId="77777777" w:rsidR="00B910D7" w:rsidRPr="003E7CC4" w:rsidRDefault="00B910D7" w:rsidP="00B910D7">
      <w:pPr>
        <w:pStyle w:val="Textonotapie"/>
        <w:ind w:firstLine="707"/>
        <w:contextualSpacing/>
        <w:jc w:val="both"/>
        <w:rPr>
          <w:rFonts w:ascii="Verdana" w:hAnsi="Verdana" w:cs="Arial"/>
          <w:sz w:val="16"/>
          <w:szCs w:val="16"/>
          <w:lang w:val="es-CO"/>
        </w:rPr>
      </w:pPr>
      <w:r w:rsidRPr="003E7CC4">
        <w:rPr>
          <w:rFonts w:ascii="Verdana" w:hAnsi="Verdana" w:cs="Arial"/>
          <w:sz w:val="16"/>
          <w:szCs w:val="16"/>
          <w:vertAlign w:val="superscript"/>
        </w:rPr>
        <w:footnoteRef/>
      </w:r>
      <w:r w:rsidRPr="003E7CC4">
        <w:rPr>
          <w:rFonts w:ascii="Verdana" w:hAnsi="Verdana" w:cs="Arial"/>
          <w:sz w:val="16"/>
          <w:szCs w:val="16"/>
          <w:vertAlign w:val="superscript"/>
        </w:rPr>
        <w:t xml:space="preserve"> </w:t>
      </w:r>
      <w:r w:rsidRPr="003E7CC4">
        <w:rPr>
          <w:rFonts w:ascii="Verdana" w:hAnsi="Verdana" w:cs="Arial"/>
          <w:sz w:val="16"/>
          <w:szCs w:val="16"/>
        </w:rPr>
        <w:t xml:space="preserve">Ley 1712 de 2014: “Artículo 3. </w:t>
      </w:r>
      <w:r w:rsidRPr="003E7CC4">
        <w:rPr>
          <w:rFonts w:ascii="Verdana" w:hAnsi="Verdana" w:cs="Arial"/>
          <w:sz w:val="16"/>
          <w:szCs w:val="16"/>
          <w:lang w:val="es-CO"/>
        </w:rPr>
        <w:t>Otros principios de la transparencia y acceso a la información pública. </w:t>
      </w:r>
    </w:p>
    <w:p w14:paraId="01BFB94B" w14:textId="77777777" w:rsidR="00B910D7" w:rsidRPr="003E7CC4" w:rsidRDefault="00B910D7" w:rsidP="00B910D7">
      <w:pPr>
        <w:pStyle w:val="Textonotapie"/>
        <w:ind w:firstLine="707"/>
        <w:contextualSpacing/>
        <w:jc w:val="both"/>
        <w:rPr>
          <w:rFonts w:ascii="Verdana" w:hAnsi="Verdana" w:cs="Arial"/>
          <w:sz w:val="16"/>
          <w:szCs w:val="16"/>
          <w:lang w:val="es-ES"/>
        </w:rPr>
      </w:pPr>
      <w:r w:rsidRPr="003E7CC4">
        <w:rPr>
          <w:rFonts w:ascii="Verdana" w:hAnsi="Verdana" w:cs="Arial"/>
          <w:sz w:val="16"/>
          <w:szCs w:val="16"/>
          <w:lang w:val="es-ES"/>
        </w:rPr>
        <w:t>(…)</w:t>
      </w:r>
    </w:p>
    <w:p w14:paraId="33342DE4" w14:textId="77777777" w:rsidR="00B910D7" w:rsidRPr="009A2B7C" w:rsidRDefault="00B910D7" w:rsidP="00B910D7">
      <w:pPr>
        <w:pStyle w:val="Textonotapie"/>
        <w:ind w:firstLine="707"/>
        <w:contextualSpacing/>
        <w:jc w:val="both"/>
        <w:rPr>
          <w:rFonts w:ascii="Verdana" w:hAnsi="Verdana"/>
          <w:sz w:val="16"/>
          <w:szCs w:val="16"/>
        </w:rPr>
      </w:pPr>
      <w:r w:rsidRPr="003E7CC4">
        <w:rPr>
          <w:rStyle w:val="baj"/>
          <w:rFonts w:ascii="Verdana" w:hAnsi="Verdana" w:cs="Arial"/>
          <w:b/>
          <w:bCs/>
          <w:sz w:val="16"/>
          <w:szCs w:val="16"/>
        </w:rPr>
        <w:t>Principio de buena fe</w:t>
      </w:r>
      <w:r w:rsidRPr="003E7CC4">
        <w:rPr>
          <w:rFonts w:ascii="Verdana" w:hAnsi="Verdana" w:cs="Arial"/>
          <w:sz w:val="16"/>
          <w:szCs w:val="16"/>
        </w:rPr>
        <w:t>. En virtud del cual todo sujeto obligado, al cumplir con las obligaciones derivadas del derecho de acceso a la información pública, lo hará con motivación honesta, leal y desprovista de cualquier intención dolosa o culposa.</w:t>
      </w:r>
    </w:p>
    <w:p w14:paraId="07DBE3F2" w14:textId="77777777" w:rsidR="00B910D7" w:rsidRPr="009A2B7C" w:rsidRDefault="00B910D7" w:rsidP="00B910D7">
      <w:pPr>
        <w:pStyle w:val="Textonotapie"/>
        <w:ind w:firstLine="707"/>
        <w:contextualSpacing/>
        <w:jc w:val="both"/>
        <w:rPr>
          <w:rFonts w:ascii="Verdana" w:hAnsi="Verdana"/>
          <w:sz w:val="14"/>
          <w:szCs w:val="14"/>
        </w:rPr>
      </w:pPr>
    </w:p>
  </w:footnote>
  <w:footnote w:id="8">
    <w:p w14:paraId="6DB26EA1" w14:textId="77777777" w:rsidR="00B910D7" w:rsidRPr="003E7CC4" w:rsidRDefault="00B910D7" w:rsidP="00B910D7">
      <w:pPr>
        <w:pStyle w:val="Textonotapie"/>
        <w:ind w:firstLine="707"/>
        <w:contextualSpacing/>
        <w:jc w:val="both"/>
        <w:rPr>
          <w:rFonts w:ascii="Verdana" w:hAnsi="Verdana" w:cs="Arial"/>
          <w:color w:val="000000"/>
          <w:sz w:val="16"/>
          <w:szCs w:val="16"/>
        </w:rPr>
      </w:pPr>
      <w:r w:rsidRPr="003E7CC4">
        <w:rPr>
          <w:rFonts w:ascii="Verdana" w:hAnsi="Verdana" w:cs="Arial"/>
          <w:color w:val="000000"/>
          <w:sz w:val="16"/>
          <w:szCs w:val="16"/>
          <w:vertAlign w:val="superscript"/>
          <w:lang w:val="es-ES" w:eastAsia="es-ES"/>
        </w:rPr>
        <w:footnoteRef/>
      </w:r>
      <w:r w:rsidRPr="003E7CC4">
        <w:rPr>
          <w:rFonts w:ascii="Verdana" w:hAnsi="Verdana" w:cs="Arial"/>
          <w:color w:val="000000"/>
          <w:sz w:val="16"/>
          <w:szCs w:val="16"/>
          <w:vertAlign w:val="superscript"/>
          <w:lang w:val="es-ES" w:eastAsia="es-ES"/>
        </w:rPr>
        <w:t xml:space="preserve"> </w:t>
      </w:r>
      <w:r w:rsidRPr="003E7CC4">
        <w:rPr>
          <w:rFonts w:ascii="Verdana" w:hAnsi="Verdana" w:cs="Arial"/>
          <w:color w:val="000000"/>
          <w:sz w:val="16"/>
          <w:szCs w:val="16"/>
          <w:lang w:val="es-ES" w:eastAsia="es-ES"/>
        </w:rPr>
        <w:t>“</w:t>
      </w:r>
      <w:r w:rsidRPr="003E7CC4">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14B10D8" w14:textId="77777777" w:rsidR="00B910D7" w:rsidRPr="003E7CC4" w:rsidRDefault="00B910D7" w:rsidP="00B910D7">
      <w:pPr>
        <w:pStyle w:val="Textonotapie"/>
        <w:ind w:firstLine="709"/>
        <w:contextualSpacing/>
        <w:jc w:val="both"/>
        <w:rPr>
          <w:rFonts w:ascii="Verdana" w:hAnsi="Verdana" w:cs="Arial"/>
          <w:color w:val="000000"/>
          <w:sz w:val="16"/>
          <w:szCs w:val="16"/>
          <w:lang w:val="es-ES" w:eastAsia="es-ES"/>
        </w:rPr>
      </w:pPr>
      <w:r w:rsidRPr="003E7CC4">
        <w:rPr>
          <w:rFonts w:ascii="Verdana" w:hAnsi="Verdana" w:cs="Arial"/>
          <w:color w:val="000000"/>
          <w:sz w:val="16"/>
          <w:szCs w:val="16"/>
        </w:rPr>
        <w:t>(…).</w:t>
      </w:r>
    </w:p>
    <w:p w14:paraId="67D22022" w14:textId="77777777" w:rsidR="00B910D7" w:rsidRPr="003E7CC4" w:rsidRDefault="00B910D7" w:rsidP="00B910D7">
      <w:pPr>
        <w:pStyle w:val="Textonotapie"/>
        <w:ind w:firstLine="709"/>
        <w:contextualSpacing/>
        <w:jc w:val="both"/>
        <w:rPr>
          <w:rFonts w:ascii="Verdana" w:hAnsi="Verdana" w:cs="Arial"/>
          <w:color w:val="000000"/>
          <w:sz w:val="16"/>
          <w:szCs w:val="16"/>
          <w:lang w:val="es-ES" w:eastAsia="es-ES"/>
        </w:rPr>
      </w:pPr>
      <w:r w:rsidRPr="003E7CC4">
        <w:rPr>
          <w:rFonts w:ascii="Verdana"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FA4A0F"/>
    <w:multiLevelType w:val="hybridMultilevel"/>
    <w:tmpl w:val="6A5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542AF2"/>
    <w:multiLevelType w:val="multilevel"/>
    <w:tmpl w:val="008EA424"/>
    <w:lvl w:ilvl="0">
      <w:start w:val="1"/>
      <w:numFmt w:val="decimal"/>
      <w:lvlText w:val="%1."/>
      <w:lvlJc w:val="left"/>
      <w:pPr>
        <w:ind w:left="660" w:hanging="360"/>
      </w:pPr>
      <w:rPr>
        <w:rFonts w:ascii="Arial" w:eastAsia="Arial" w:hAnsi="Arial" w:cs="Arial" w:hint="default"/>
        <w:b/>
        <w:bCs/>
        <w:color w:val="0D62A8"/>
        <w:spacing w:val="-8"/>
        <w:w w:val="100"/>
        <w:sz w:val="22"/>
        <w:szCs w:val="22"/>
        <w:lang w:val="es-ES" w:eastAsia="es-ES" w:bidi="es-ES"/>
      </w:rPr>
    </w:lvl>
    <w:lvl w:ilvl="1">
      <w:start w:val="1"/>
      <w:numFmt w:val="decimal"/>
      <w:lvlText w:val="%1.%2."/>
      <w:lvlJc w:val="left"/>
      <w:pPr>
        <w:ind w:left="725" w:hanging="425"/>
      </w:pPr>
      <w:rPr>
        <w:rFonts w:ascii="Arial" w:eastAsia="Arial" w:hAnsi="Arial" w:cs="Arial" w:hint="default"/>
        <w:b/>
        <w:bCs/>
        <w:color w:val="4E4D4D"/>
        <w:spacing w:val="-1"/>
        <w:w w:val="100"/>
        <w:sz w:val="22"/>
        <w:szCs w:val="22"/>
        <w:lang w:val="es-ES" w:eastAsia="es-ES" w:bidi="es-ES"/>
      </w:rPr>
    </w:lvl>
    <w:lvl w:ilvl="2">
      <w:start w:val="1"/>
      <w:numFmt w:val="decimal"/>
      <w:lvlText w:val="%3."/>
      <w:lvlJc w:val="left"/>
      <w:pPr>
        <w:ind w:left="1008" w:hanging="275"/>
      </w:pPr>
      <w:rPr>
        <w:rFonts w:ascii="Verdana" w:eastAsia="Arial" w:hAnsi="Verdana" w:cs="Arial" w:hint="default"/>
        <w:color w:val="auto"/>
        <w:spacing w:val="-20"/>
        <w:w w:val="100"/>
        <w:sz w:val="15"/>
        <w:szCs w:val="15"/>
        <w:lang w:val="es-ES" w:eastAsia="es-ES" w:bidi="es-ES"/>
      </w:rPr>
    </w:lvl>
    <w:lvl w:ilvl="3">
      <w:numFmt w:val="bullet"/>
      <w:lvlText w:val="•"/>
      <w:lvlJc w:val="left"/>
      <w:pPr>
        <w:ind w:left="1000" w:hanging="275"/>
      </w:pPr>
      <w:rPr>
        <w:rFonts w:hint="default"/>
        <w:lang w:val="es-ES" w:eastAsia="es-ES" w:bidi="es-ES"/>
      </w:rPr>
    </w:lvl>
    <w:lvl w:ilvl="4">
      <w:numFmt w:val="bullet"/>
      <w:lvlText w:val="•"/>
      <w:lvlJc w:val="left"/>
      <w:pPr>
        <w:ind w:left="2220" w:hanging="275"/>
      </w:pPr>
      <w:rPr>
        <w:rFonts w:hint="default"/>
        <w:lang w:val="es-ES" w:eastAsia="es-ES" w:bidi="es-ES"/>
      </w:rPr>
    </w:lvl>
    <w:lvl w:ilvl="5">
      <w:numFmt w:val="bullet"/>
      <w:lvlText w:val="•"/>
      <w:lvlJc w:val="left"/>
      <w:pPr>
        <w:ind w:left="3440" w:hanging="275"/>
      </w:pPr>
      <w:rPr>
        <w:rFonts w:hint="default"/>
        <w:lang w:val="es-ES" w:eastAsia="es-ES" w:bidi="es-ES"/>
      </w:rPr>
    </w:lvl>
    <w:lvl w:ilvl="6">
      <w:numFmt w:val="bullet"/>
      <w:lvlText w:val="•"/>
      <w:lvlJc w:val="left"/>
      <w:pPr>
        <w:ind w:left="4660" w:hanging="275"/>
      </w:pPr>
      <w:rPr>
        <w:rFonts w:hint="default"/>
        <w:lang w:val="es-ES" w:eastAsia="es-ES" w:bidi="es-ES"/>
      </w:rPr>
    </w:lvl>
    <w:lvl w:ilvl="7">
      <w:numFmt w:val="bullet"/>
      <w:lvlText w:val="•"/>
      <w:lvlJc w:val="left"/>
      <w:pPr>
        <w:ind w:left="5880" w:hanging="275"/>
      </w:pPr>
      <w:rPr>
        <w:rFonts w:hint="default"/>
        <w:lang w:val="es-ES" w:eastAsia="es-ES" w:bidi="es-ES"/>
      </w:rPr>
    </w:lvl>
    <w:lvl w:ilvl="8">
      <w:numFmt w:val="bullet"/>
      <w:lvlText w:val="•"/>
      <w:lvlJc w:val="left"/>
      <w:pPr>
        <w:ind w:left="7100" w:hanging="275"/>
      </w:pPr>
      <w:rPr>
        <w:rFonts w:hint="default"/>
        <w:lang w:val="es-ES" w:eastAsia="es-ES" w:bidi="es-ES"/>
      </w:rPr>
    </w:lvl>
  </w:abstractNum>
  <w:abstractNum w:abstractNumId="5"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401517">
    <w:abstractNumId w:val="9"/>
  </w:num>
  <w:num w:numId="2" w16cid:durableId="1049304956">
    <w:abstractNumId w:val="2"/>
  </w:num>
  <w:num w:numId="3" w16cid:durableId="325323497">
    <w:abstractNumId w:val="7"/>
  </w:num>
  <w:num w:numId="4" w16cid:durableId="1439177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857721">
    <w:abstractNumId w:val="2"/>
  </w:num>
  <w:num w:numId="6" w16cid:durableId="187331099">
    <w:abstractNumId w:val="15"/>
  </w:num>
  <w:num w:numId="7" w16cid:durableId="914314374">
    <w:abstractNumId w:val="8"/>
  </w:num>
  <w:num w:numId="8" w16cid:durableId="330718687">
    <w:abstractNumId w:val="14"/>
  </w:num>
  <w:num w:numId="9" w16cid:durableId="1938978542">
    <w:abstractNumId w:val="10"/>
  </w:num>
  <w:num w:numId="10" w16cid:durableId="1075278196">
    <w:abstractNumId w:val="13"/>
  </w:num>
  <w:num w:numId="11" w16cid:durableId="74713370">
    <w:abstractNumId w:val="11"/>
  </w:num>
  <w:num w:numId="12" w16cid:durableId="1976258572">
    <w:abstractNumId w:val="1"/>
  </w:num>
  <w:num w:numId="13" w16cid:durableId="1651593226">
    <w:abstractNumId w:val="6"/>
  </w:num>
  <w:num w:numId="14" w16cid:durableId="1245649097">
    <w:abstractNumId w:val="16"/>
  </w:num>
  <w:num w:numId="15" w16cid:durableId="2053385218">
    <w:abstractNumId w:val="12"/>
  </w:num>
  <w:num w:numId="16" w16cid:durableId="127428327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2758475">
    <w:abstractNumId w:val="5"/>
  </w:num>
  <w:num w:numId="18" w16cid:durableId="1033311619">
    <w:abstractNumId w:val="4"/>
  </w:num>
  <w:num w:numId="19" w16cid:durableId="1436906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468"/>
    <w:rsid w:val="000076E6"/>
    <w:rsid w:val="00012AD9"/>
    <w:rsid w:val="0002059F"/>
    <w:rsid w:val="00043FAA"/>
    <w:rsid w:val="00061B2A"/>
    <w:rsid w:val="00063E20"/>
    <w:rsid w:val="00065DE2"/>
    <w:rsid w:val="00073BAC"/>
    <w:rsid w:val="00076B3A"/>
    <w:rsid w:val="00082362"/>
    <w:rsid w:val="000871E0"/>
    <w:rsid w:val="000A683E"/>
    <w:rsid w:val="000B19B9"/>
    <w:rsid w:val="000D0334"/>
    <w:rsid w:val="000D49F8"/>
    <w:rsid w:val="000F6486"/>
    <w:rsid w:val="00113301"/>
    <w:rsid w:val="00125105"/>
    <w:rsid w:val="00127233"/>
    <w:rsid w:val="001448B8"/>
    <w:rsid w:val="00155FF5"/>
    <w:rsid w:val="00160946"/>
    <w:rsid w:val="001659D7"/>
    <w:rsid w:val="00172191"/>
    <w:rsid w:val="001B460E"/>
    <w:rsid w:val="001B6559"/>
    <w:rsid w:val="001C36AF"/>
    <w:rsid w:val="001E4177"/>
    <w:rsid w:val="001F084A"/>
    <w:rsid w:val="001F5C8F"/>
    <w:rsid w:val="001F7DC6"/>
    <w:rsid w:val="00224534"/>
    <w:rsid w:val="00235126"/>
    <w:rsid w:val="002421BB"/>
    <w:rsid w:val="00252816"/>
    <w:rsid w:val="00252BBC"/>
    <w:rsid w:val="0025796E"/>
    <w:rsid w:val="002707A2"/>
    <w:rsid w:val="0028252E"/>
    <w:rsid w:val="002871AE"/>
    <w:rsid w:val="002875C2"/>
    <w:rsid w:val="002951A0"/>
    <w:rsid w:val="002962BC"/>
    <w:rsid w:val="002A093D"/>
    <w:rsid w:val="002A0DD0"/>
    <w:rsid w:val="002A49AC"/>
    <w:rsid w:val="002A64FD"/>
    <w:rsid w:val="002B4C15"/>
    <w:rsid w:val="002C7A84"/>
    <w:rsid w:val="002D0B94"/>
    <w:rsid w:val="002D2C9C"/>
    <w:rsid w:val="002E4FD9"/>
    <w:rsid w:val="002F07B9"/>
    <w:rsid w:val="00311CDD"/>
    <w:rsid w:val="00322A85"/>
    <w:rsid w:val="00324168"/>
    <w:rsid w:val="003427FC"/>
    <w:rsid w:val="00344536"/>
    <w:rsid w:val="003448F4"/>
    <w:rsid w:val="003549C2"/>
    <w:rsid w:val="00371BB8"/>
    <w:rsid w:val="00374F5E"/>
    <w:rsid w:val="00377E3E"/>
    <w:rsid w:val="003A26D1"/>
    <w:rsid w:val="003A70D7"/>
    <w:rsid w:val="003A779E"/>
    <w:rsid w:val="003B55ED"/>
    <w:rsid w:val="003C7838"/>
    <w:rsid w:val="003D0F4D"/>
    <w:rsid w:val="003D5B0D"/>
    <w:rsid w:val="003E0499"/>
    <w:rsid w:val="003E7CC4"/>
    <w:rsid w:val="003F3941"/>
    <w:rsid w:val="003F6A74"/>
    <w:rsid w:val="00406575"/>
    <w:rsid w:val="00413596"/>
    <w:rsid w:val="0042722E"/>
    <w:rsid w:val="004332C2"/>
    <w:rsid w:val="0044528D"/>
    <w:rsid w:val="004A1847"/>
    <w:rsid w:val="004A305D"/>
    <w:rsid w:val="004D7B2C"/>
    <w:rsid w:val="004F21C4"/>
    <w:rsid w:val="004F685F"/>
    <w:rsid w:val="0050128D"/>
    <w:rsid w:val="005566E8"/>
    <w:rsid w:val="0057010C"/>
    <w:rsid w:val="00573CEA"/>
    <w:rsid w:val="00574867"/>
    <w:rsid w:val="00583C4B"/>
    <w:rsid w:val="00591460"/>
    <w:rsid w:val="00592628"/>
    <w:rsid w:val="005C3777"/>
    <w:rsid w:val="005C5CDC"/>
    <w:rsid w:val="005D476C"/>
    <w:rsid w:val="006030CA"/>
    <w:rsid w:val="00610812"/>
    <w:rsid w:val="006219F8"/>
    <w:rsid w:val="00650FF7"/>
    <w:rsid w:val="00665D70"/>
    <w:rsid w:val="00666254"/>
    <w:rsid w:val="00671DAC"/>
    <w:rsid w:val="006824FA"/>
    <w:rsid w:val="00682B6C"/>
    <w:rsid w:val="006900D9"/>
    <w:rsid w:val="006A599B"/>
    <w:rsid w:val="006C242A"/>
    <w:rsid w:val="006C740D"/>
    <w:rsid w:val="006D12F8"/>
    <w:rsid w:val="006D524B"/>
    <w:rsid w:val="006E40BA"/>
    <w:rsid w:val="00706C16"/>
    <w:rsid w:val="00713AED"/>
    <w:rsid w:val="00735FEE"/>
    <w:rsid w:val="00755596"/>
    <w:rsid w:val="00756841"/>
    <w:rsid w:val="007649AB"/>
    <w:rsid w:val="00771D0C"/>
    <w:rsid w:val="0078037F"/>
    <w:rsid w:val="007833AC"/>
    <w:rsid w:val="00786BD7"/>
    <w:rsid w:val="007A26E6"/>
    <w:rsid w:val="007A3302"/>
    <w:rsid w:val="007B268C"/>
    <w:rsid w:val="007B53F3"/>
    <w:rsid w:val="007B7171"/>
    <w:rsid w:val="007C0C0F"/>
    <w:rsid w:val="007C3DC2"/>
    <w:rsid w:val="007E5497"/>
    <w:rsid w:val="0080229E"/>
    <w:rsid w:val="00803642"/>
    <w:rsid w:val="0080497E"/>
    <w:rsid w:val="00806F5F"/>
    <w:rsid w:val="00820278"/>
    <w:rsid w:val="008449FF"/>
    <w:rsid w:val="00870DFD"/>
    <w:rsid w:val="008843B6"/>
    <w:rsid w:val="00891928"/>
    <w:rsid w:val="00891B7B"/>
    <w:rsid w:val="0089328A"/>
    <w:rsid w:val="008A446D"/>
    <w:rsid w:val="008B2DED"/>
    <w:rsid w:val="008D180B"/>
    <w:rsid w:val="008F0EA7"/>
    <w:rsid w:val="008F428E"/>
    <w:rsid w:val="00910433"/>
    <w:rsid w:val="00923EEF"/>
    <w:rsid w:val="009419F9"/>
    <w:rsid w:val="0095685E"/>
    <w:rsid w:val="00961B09"/>
    <w:rsid w:val="009638AD"/>
    <w:rsid w:val="0096465D"/>
    <w:rsid w:val="00965334"/>
    <w:rsid w:val="0097093E"/>
    <w:rsid w:val="00980440"/>
    <w:rsid w:val="009907F5"/>
    <w:rsid w:val="009918B5"/>
    <w:rsid w:val="009A0DFA"/>
    <w:rsid w:val="009A2B7C"/>
    <w:rsid w:val="009A7A90"/>
    <w:rsid w:val="009B2D26"/>
    <w:rsid w:val="009C36E2"/>
    <w:rsid w:val="009C4BBA"/>
    <w:rsid w:val="009C66E7"/>
    <w:rsid w:val="009C71FA"/>
    <w:rsid w:val="009C72E7"/>
    <w:rsid w:val="009D3058"/>
    <w:rsid w:val="009D7708"/>
    <w:rsid w:val="009E08CE"/>
    <w:rsid w:val="009F3A13"/>
    <w:rsid w:val="00A122D3"/>
    <w:rsid w:val="00A15624"/>
    <w:rsid w:val="00A17009"/>
    <w:rsid w:val="00A17F13"/>
    <w:rsid w:val="00A20739"/>
    <w:rsid w:val="00A33C78"/>
    <w:rsid w:val="00A776B5"/>
    <w:rsid w:val="00A9496E"/>
    <w:rsid w:val="00AA5DBD"/>
    <w:rsid w:val="00AB0ADB"/>
    <w:rsid w:val="00AC6710"/>
    <w:rsid w:val="00AD3BDB"/>
    <w:rsid w:val="00AD3EF1"/>
    <w:rsid w:val="00AE1871"/>
    <w:rsid w:val="00AF2DD0"/>
    <w:rsid w:val="00AF55B6"/>
    <w:rsid w:val="00B01B1A"/>
    <w:rsid w:val="00B06A21"/>
    <w:rsid w:val="00B72CD3"/>
    <w:rsid w:val="00B72FFF"/>
    <w:rsid w:val="00B910D7"/>
    <w:rsid w:val="00BC3898"/>
    <w:rsid w:val="00BC3D36"/>
    <w:rsid w:val="00BD0D63"/>
    <w:rsid w:val="00BD60C5"/>
    <w:rsid w:val="00BD7F72"/>
    <w:rsid w:val="00C02CE2"/>
    <w:rsid w:val="00C04FB3"/>
    <w:rsid w:val="00C21CAC"/>
    <w:rsid w:val="00C25348"/>
    <w:rsid w:val="00C306F7"/>
    <w:rsid w:val="00C330EB"/>
    <w:rsid w:val="00C63956"/>
    <w:rsid w:val="00C754BE"/>
    <w:rsid w:val="00C757D6"/>
    <w:rsid w:val="00C76B1C"/>
    <w:rsid w:val="00C865AE"/>
    <w:rsid w:val="00C90D74"/>
    <w:rsid w:val="00CA7493"/>
    <w:rsid w:val="00CB621B"/>
    <w:rsid w:val="00CB6357"/>
    <w:rsid w:val="00CB7B84"/>
    <w:rsid w:val="00CC1B26"/>
    <w:rsid w:val="00CE464F"/>
    <w:rsid w:val="00D0016A"/>
    <w:rsid w:val="00D10D61"/>
    <w:rsid w:val="00D167F6"/>
    <w:rsid w:val="00D255BF"/>
    <w:rsid w:val="00D423A2"/>
    <w:rsid w:val="00D425BF"/>
    <w:rsid w:val="00D520D8"/>
    <w:rsid w:val="00D63AC2"/>
    <w:rsid w:val="00D64CFF"/>
    <w:rsid w:val="00D7383B"/>
    <w:rsid w:val="00D75D03"/>
    <w:rsid w:val="00D85D79"/>
    <w:rsid w:val="00DA04EE"/>
    <w:rsid w:val="00DA231B"/>
    <w:rsid w:val="00DA23A0"/>
    <w:rsid w:val="00DA32D1"/>
    <w:rsid w:val="00DA7678"/>
    <w:rsid w:val="00DC0144"/>
    <w:rsid w:val="00DC0BA1"/>
    <w:rsid w:val="00DC1584"/>
    <w:rsid w:val="00DC39FC"/>
    <w:rsid w:val="00DC5F2D"/>
    <w:rsid w:val="00DD5AE3"/>
    <w:rsid w:val="00DE2F57"/>
    <w:rsid w:val="00DE6407"/>
    <w:rsid w:val="00DF5254"/>
    <w:rsid w:val="00E16408"/>
    <w:rsid w:val="00E20894"/>
    <w:rsid w:val="00E245AB"/>
    <w:rsid w:val="00E2764C"/>
    <w:rsid w:val="00E27F2E"/>
    <w:rsid w:val="00E413EA"/>
    <w:rsid w:val="00E50AFE"/>
    <w:rsid w:val="00E74831"/>
    <w:rsid w:val="00E75C92"/>
    <w:rsid w:val="00E771DC"/>
    <w:rsid w:val="00E8772A"/>
    <w:rsid w:val="00E90F6B"/>
    <w:rsid w:val="00E92C27"/>
    <w:rsid w:val="00E9514A"/>
    <w:rsid w:val="00EA0E3D"/>
    <w:rsid w:val="00EC11C2"/>
    <w:rsid w:val="00EC38A7"/>
    <w:rsid w:val="00EE1AA8"/>
    <w:rsid w:val="00EF08EA"/>
    <w:rsid w:val="00F31EDC"/>
    <w:rsid w:val="00F40A44"/>
    <w:rsid w:val="00F462B3"/>
    <w:rsid w:val="00F5360F"/>
    <w:rsid w:val="00F5664F"/>
    <w:rsid w:val="00F666C4"/>
    <w:rsid w:val="00F76AFC"/>
    <w:rsid w:val="00F84992"/>
    <w:rsid w:val="00FA47C0"/>
    <w:rsid w:val="00FA6BFA"/>
    <w:rsid w:val="00FB5DD1"/>
    <w:rsid w:val="00FB7583"/>
    <w:rsid w:val="00FC2B5D"/>
    <w:rsid w:val="00FC4E74"/>
    <w:rsid w:val="00FE1580"/>
    <w:rsid w:val="00FF1449"/>
    <w:rsid w:val="3C7D998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Textoindependiente">
    <w:name w:val="Body Text"/>
    <w:basedOn w:val="Normal"/>
    <w:link w:val="TextoindependienteCar"/>
    <w:uiPriority w:val="1"/>
    <w:qFormat/>
    <w:rsid w:val="00A776B5"/>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76B5"/>
    <w:rPr>
      <w:rFonts w:ascii="Arial" w:eastAsia="Arial" w:hAnsi="Arial" w:cs="Arial"/>
      <w:lang w:val="es-ES"/>
    </w:rPr>
  </w:style>
  <w:style w:type="paragraph" w:customStyle="1" w:styleId="Appelnotedebasde">
    <w:name w:val="Appel note de bas de..."/>
    <w:basedOn w:val="Normal"/>
    <w:link w:val="Refdenotaalpie"/>
    <w:uiPriority w:val="99"/>
    <w:rsid w:val="00A776B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76B5"/>
    <w:rPr>
      <w:rFonts w:ascii="Geomanist Light" w:hAnsi="Geomanist Light"/>
      <w:lang w:val="es-ES"/>
    </w:rPr>
  </w:style>
  <w:style w:type="character" w:customStyle="1" w:styleId="NormalWebCar">
    <w:name w:val="Normal (Web) Car"/>
    <w:link w:val="NormalWeb"/>
    <w:uiPriority w:val="99"/>
    <w:rsid w:val="00A776B5"/>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910D7"/>
    <w:rPr>
      <w:i/>
      <w:iCs/>
    </w:rPr>
  </w:style>
  <w:style w:type="character" w:customStyle="1" w:styleId="baj">
    <w:name w:val="b_aj"/>
    <w:basedOn w:val="Fuentedeprrafopredeter"/>
    <w:rsid w:val="00B910D7"/>
    <w:rPr>
      <w:rFonts w:cs="Times New Roman"/>
    </w:rPr>
  </w:style>
  <w:style w:type="character" w:styleId="Refdecomentario">
    <w:name w:val="annotation reference"/>
    <w:basedOn w:val="Fuentedeprrafopredeter"/>
    <w:uiPriority w:val="99"/>
    <w:semiHidden/>
    <w:unhideWhenUsed/>
    <w:rsid w:val="00FE1580"/>
    <w:rPr>
      <w:sz w:val="16"/>
      <w:szCs w:val="16"/>
    </w:rPr>
  </w:style>
  <w:style w:type="paragraph" w:styleId="Textocomentario">
    <w:name w:val="annotation text"/>
    <w:basedOn w:val="Normal"/>
    <w:link w:val="TextocomentarioCar"/>
    <w:uiPriority w:val="99"/>
    <w:unhideWhenUsed/>
    <w:rsid w:val="00FE1580"/>
    <w:pPr>
      <w:spacing w:line="240" w:lineRule="auto"/>
    </w:pPr>
    <w:rPr>
      <w:sz w:val="20"/>
      <w:szCs w:val="20"/>
    </w:rPr>
  </w:style>
  <w:style w:type="character" w:customStyle="1" w:styleId="TextocomentarioCar">
    <w:name w:val="Texto comentario Car"/>
    <w:basedOn w:val="Fuentedeprrafopredeter"/>
    <w:link w:val="Textocomentario"/>
    <w:uiPriority w:val="99"/>
    <w:rsid w:val="00FE1580"/>
    <w:rPr>
      <w:sz w:val="20"/>
      <w:szCs w:val="20"/>
    </w:rPr>
  </w:style>
  <w:style w:type="paragraph" w:styleId="Asuntodelcomentario">
    <w:name w:val="annotation subject"/>
    <w:basedOn w:val="Textocomentario"/>
    <w:next w:val="Textocomentario"/>
    <w:link w:val="AsuntodelcomentarioCar"/>
    <w:uiPriority w:val="99"/>
    <w:semiHidden/>
    <w:unhideWhenUsed/>
    <w:rsid w:val="00FE1580"/>
    <w:rPr>
      <w:b/>
      <w:bCs/>
    </w:rPr>
  </w:style>
  <w:style w:type="character" w:customStyle="1" w:styleId="AsuntodelcomentarioCar">
    <w:name w:val="Asunto del comentario Car"/>
    <w:basedOn w:val="TextocomentarioCar"/>
    <w:link w:val="Asuntodelcomentario"/>
    <w:uiPriority w:val="99"/>
    <w:semiHidden/>
    <w:rsid w:val="00FE1580"/>
    <w:rPr>
      <w:b/>
      <w:bCs/>
      <w:sz w:val="20"/>
      <w:szCs w:val="20"/>
    </w:rPr>
  </w:style>
  <w:style w:type="paragraph" w:styleId="Textodeglobo">
    <w:name w:val="Balloon Text"/>
    <w:basedOn w:val="Normal"/>
    <w:link w:val="TextodegloboCar"/>
    <w:uiPriority w:val="99"/>
    <w:semiHidden/>
    <w:unhideWhenUsed/>
    <w:rsid w:val="00786B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6BD7"/>
    <w:rPr>
      <w:rFonts w:ascii="Segoe UI" w:hAnsi="Segoe UI" w:cs="Segoe UI"/>
      <w:sz w:val="18"/>
      <w:szCs w:val="18"/>
    </w:rPr>
  </w:style>
  <w:style w:type="character" w:styleId="Textoennegrita">
    <w:name w:val="Strong"/>
    <w:basedOn w:val="Fuentedeprrafopredeter"/>
    <w:uiPriority w:val="22"/>
    <w:qFormat/>
    <w:rsid w:val="00A17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401">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67703239">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70979805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1697392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relatoria.colombiacompra.gov.co/normativa/decreto-1082-de-201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Relationship Id="rId7" Type="http://schemas.openxmlformats.org/officeDocument/2006/relationships/settings" Target="settings.xml"/><Relationship Id="rId12" Type="http://schemas.openxmlformats.org/officeDocument/2006/relationships/hyperlink" Target="mailto:ndreshuertas555@gmail.com" TargetMode="External"/><Relationship Id="rId17" Type="http://schemas.openxmlformats.org/officeDocument/2006/relationships/hyperlink" Target="https://relatoria.colombiacompra.gov.co/normativa/ley-2195-de-20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normativa/ley-1150-de-2007/" TargetMode="External"/><Relationship Id="rId20" Type="http://schemas.openxmlformats.org/officeDocument/2006/relationships/hyperlink" Target="https://relatoria.colombiacompra.gov.co/busqueda/concep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latoria.colombiacompra.gov.co/normativa/ley-80-de-1993/"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relatoria.colombiacompra.gov.co/normativa/decreto-1081-de-2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codigo-civil-ley-84-de-1873/"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3D0CB682-4355-4B91-9C34-7A5644959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703B0-1361-4629-AC30-E6ECC23366B3}">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2977</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6</cp:revision>
  <cp:lastPrinted>2023-01-10T21:18:00Z</cp:lastPrinted>
  <dcterms:created xsi:type="dcterms:W3CDTF">2024-09-23T17:28:00Z</dcterms:created>
  <dcterms:modified xsi:type="dcterms:W3CDTF">2024-10-11T14:56:00Z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