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B46F" w14:textId="77777777" w:rsidR="002B77EB" w:rsidRPr="00DB6EFB" w:rsidRDefault="002B77EB" w:rsidP="002B77EB">
      <w:pPr>
        <w:spacing w:before="120" w:after="120" w:line="276" w:lineRule="auto"/>
        <w:jc w:val="both"/>
        <w:rPr>
          <w:rFonts w:ascii="Verdana" w:eastAsia="Arial" w:hAnsi="Verdana" w:cs="Arial"/>
          <w:b/>
          <w:bCs/>
          <w:lang w:val="es-MX"/>
        </w:rPr>
      </w:pPr>
      <w:r w:rsidRPr="00DB6EFB">
        <w:rPr>
          <w:rFonts w:ascii="Verdana" w:eastAsia="Arial" w:hAnsi="Verdana" w:cs="Arial"/>
          <w:b/>
          <w:bCs/>
          <w:lang w:val="es-MX"/>
        </w:rPr>
        <w:t>PRINCIPIO DE PUBLICIDAD – Democracia – Estado social de Derecho – Fundamento axiológico</w:t>
      </w:r>
    </w:p>
    <w:p w14:paraId="4B11E436" w14:textId="77777777" w:rsidR="002B77EB" w:rsidRPr="00CF7760" w:rsidRDefault="002B77EB" w:rsidP="002B77EB">
      <w:pPr>
        <w:spacing w:after="0"/>
        <w:jc w:val="both"/>
        <w:rPr>
          <w:rFonts w:ascii="Verdana" w:eastAsia="Arial" w:hAnsi="Verdana" w:cs="Arial"/>
          <w:color w:val="000000" w:themeColor="text1"/>
        </w:rPr>
      </w:pPr>
    </w:p>
    <w:p w14:paraId="086CB5F3"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4D8CE5F2" w14:textId="77777777" w:rsidR="002B77EB" w:rsidRPr="00DB6EFB" w:rsidRDefault="002B77EB" w:rsidP="002B77EB">
      <w:pPr>
        <w:spacing w:after="0" w:line="240" w:lineRule="auto"/>
        <w:jc w:val="both"/>
        <w:rPr>
          <w:rFonts w:ascii="Verdana" w:eastAsia="Arial" w:hAnsi="Verdana" w:cs="Arial"/>
          <w:sz w:val="20"/>
          <w:szCs w:val="20"/>
          <w:lang w:val="es-MX"/>
        </w:rPr>
      </w:pPr>
    </w:p>
    <w:p w14:paraId="315E575F"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0B4AA4EB" w14:textId="77777777" w:rsidR="002B77EB" w:rsidRPr="00CF7760" w:rsidRDefault="002B77EB" w:rsidP="002B77EB">
      <w:pPr>
        <w:spacing w:after="0" w:line="240" w:lineRule="auto"/>
        <w:jc w:val="both"/>
        <w:rPr>
          <w:rFonts w:ascii="Verdana" w:eastAsia="Arial" w:hAnsi="Verdana" w:cs="Arial"/>
          <w:b/>
          <w:bCs/>
          <w:color w:val="000000"/>
          <w:lang w:val="es-ES"/>
        </w:rPr>
      </w:pPr>
    </w:p>
    <w:p w14:paraId="49A570D6" w14:textId="77777777" w:rsidR="002B77EB" w:rsidRPr="00DB6EFB" w:rsidRDefault="002B77EB" w:rsidP="002B77EB">
      <w:pPr>
        <w:spacing w:before="120" w:after="120" w:line="276" w:lineRule="auto"/>
        <w:jc w:val="both"/>
        <w:rPr>
          <w:rFonts w:ascii="Verdana" w:eastAsia="Arial" w:hAnsi="Verdana" w:cs="Arial"/>
          <w:b/>
          <w:bCs/>
          <w:lang w:val="es-MX"/>
        </w:rPr>
      </w:pPr>
      <w:r w:rsidRPr="00DB6EFB">
        <w:rPr>
          <w:rFonts w:ascii="Verdana" w:eastAsia="Arial" w:hAnsi="Verdana" w:cs="Arial"/>
          <w:b/>
          <w:bCs/>
          <w:lang w:val="es-MX"/>
        </w:rPr>
        <w:t>SECOP – Publicidad – Documentos – Información oficial</w:t>
      </w:r>
    </w:p>
    <w:p w14:paraId="6AE694AF" w14:textId="77777777" w:rsidR="002B77EB" w:rsidRPr="00CF7760" w:rsidRDefault="002B77EB" w:rsidP="002B77EB">
      <w:pPr>
        <w:spacing w:after="0" w:line="240" w:lineRule="auto"/>
        <w:jc w:val="both"/>
        <w:rPr>
          <w:rFonts w:ascii="Verdana" w:eastAsia="Arial" w:hAnsi="Verdana" w:cs="Arial"/>
          <w:b/>
          <w:bCs/>
          <w:lang w:val="es-ES" w:eastAsia="es-ES"/>
        </w:rPr>
      </w:pPr>
    </w:p>
    <w:p w14:paraId="2AE300B3"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En el literal e) del artículo 9, la ley estatutaria citada establece dispone que los sujetos obligados, que son todas las entidades públicas,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para la Contratación Pública −SECOP–.</w:t>
      </w:r>
    </w:p>
    <w:p w14:paraId="619EA812" w14:textId="77777777" w:rsidR="002B77EB" w:rsidRPr="00DB6EFB" w:rsidRDefault="002B77EB" w:rsidP="002B77EB">
      <w:pPr>
        <w:spacing w:after="0" w:line="240" w:lineRule="auto"/>
        <w:jc w:val="both"/>
        <w:rPr>
          <w:rFonts w:ascii="Verdana" w:eastAsia="Arial" w:hAnsi="Verdana" w:cs="Arial"/>
          <w:sz w:val="20"/>
          <w:szCs w:val="20"/>
          <w:lang w:val="es-MX"/>
        </w:rPr>
      </w:pPr>
    </w:p>
    <w:p w14:paraId="1EA29A99"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 </w:t>
      </w:r>
    </w:p>
    <w:p w14:paraId="5F11B42D" w14:textId="77777777" w:rsidR="002B77EB" w:rsidRPr="00DB6EFB" w:rsidRDefault="002B77EB" w:rsidP="002B77EB">
      <w:pPr>
        <w:spacing w:after="0" w:line="240" w:lineRule="auto"/>
        <w:jc w:val="both"/>
        <w:rPr>
          <w:rFonts w:ascii="Verdana" w:eastAsia="Arial" w:hAnsi="Verdana" w:cs="Arial"/>
          <w:sz w:val="20"/>
          <w:szCs w:val="20"/>
          <w:lang w:val="es-MX"/>
        </w:rPr>
      </w:pPr>
    </w:p>
    <w:p w14:paraId="4539FEF6"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Nótese, entonces, que en ese momento el Consejo de Estado asumió como criterio para determinar la obligatoriedad de publicar en el SECOP que la contratación se realizara con recursos públicos, conclusión que se fundamenta en el literal c) del artículo 3 de la </w:t>
      </w:r>
      <w:r w:rsidRPr="00DB6EFB">
        <w:rPr>
          <w:rFonts w:ascii="Verdana" w:eastAsia="Arial" w:hAnsi="Verdana" w:cs="Arial"/>
          <w:sz w:val="20"/>
          <w:szCs w:val="20"/>
          <w:lang w:val="es-MX"/>
        </w:rPr>
        <w:lastRenderedPageBreak/>
        <w:t>Ley 1150 de 2007. Así, la decisión judicial citada refuerza la obligación de publicar en el SECOP, mandato que además está expresamente consagrado en las Leyes 1150 de 2007, 1712 de 2014 y la Circular Externa Única.</w:t>
      </w:r>
    </w:p>
    <w:p w14:paraId="5CF6EA53" w14:textId="77777777" w:rsidR="002B77EB" w:rsidRPr="00CF7760" w:rsidRDefault="002B77EB" w:rsidP="002B77EB">
      <w:pPr>
        <w:spacing w:after="0" w:line="240" w:lineRule="auto"/>
        <w:jc w:val="both"/>
        <w:rPr>
          <w:rFonts w:ascii="Verdana" w:eastAsia="Arial" w:hAnsi="Verdana" w:cs="Arial"/>
          <w:b/>
          <w:bCs/>
          <w:color w:val="000000"/>
          <w:lang w:val="es-ES"/>
        </w:rPr>
      </w:pPr>
    </w:p>
    <w:p w14:paraId="07884C85" w14:textId="77777777" w:rsidR="002B77EB" w:rsidRPr="00CF7760" w:rsidRDefault="002B77EB" w:rsidP="002B77EB">
      <w:pPr>
        <w:spacing w:before="120" w:after="120" w:line="276" w:lineRule="auto"/>
        <w:jc w:val="both"/>
        <w:rPr>
          <w:rFonts w:ascii="Verdana" w:eastAsia="Arial" w:hAnsi="Verdana" w:cs="Arial"/>
          <w:b/>
          <w:bCs/>
          <w:sz w:val="21"/>
          <w:szCs w:val="21"/>
          <w:lang w:val="es-MX"/>
        </w:rPr>
      </w:pPr>
      <w:r w:rsidRPr="00CF7760">
        <w:rPr>
          <w:rFonts w:ascii="Verdana" w:eastAsia="Arial" w:hAnsi="Verdana" w:cs="Arial"/>
          <w:b/>
          <w:bCs/>
          <w:lang w:val="es-MX"/>
        </w:rPr>
        <w:t>SECOP – Publicidad – Contratos sin erogación presupuestal</w:t>
      </w:r>
      <w:r w:rsidRPr="00CF7760">
        <w:rPr>
          <w:rFonts w:ascii="Verdana" w:eastAsia="Arial" w:hAnsi="Verdana" w:cs="Arial"/>
          <w:b/>
          <w:bCs/>
          <w:sz w:val="21"/>
          <w:szCs w:val="21"/>
          <w:lang w:val="es-MX"/>
        </w:rPr>
        <w:t xml:space="preserve"> </w:t>
      </w:r>
    </w:p>
    <w:p w14:paraId="12EC400B" w14:textId="77777777" w:rsidR="002B77EB" w:rsidRPr="00CF7760" w:rsidRDefault="002B77EB" w:rsidP="002B77EB">
      <w:pPr>
        <w:jc w:val="both"/>
        <w:rPr>
          <w:rFonts w:ascii="Verdana" w:eastAsia="Arial" w:hAnsi="Verdana" w:cs="Arial"/>
          <w:b/>
          <w:bCs/>
          <w:sz w:val="21"/>
          <w:szCs w:val="21"/>
          <w:lang w:val="es-MX"/>
        </w:rPr>
      </w:pPr>
    </w:p>
    <w:p w14:paraId="0C61A28B"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DB6EFB">
        <w:rPr>
          <w:rFonts w:ascii="Verdana" w:eastAsia="Arial" w:hAnsi="Verdana" w:cs="Arial"/>
          <w:sz w:val="20"/>
          <w:szCs w:val="20"/>
          <w:lang w:val="es-MX"/>
        </w:rPr>
        <w:t>autoridades públicas</w:t>
      </w:r>
      <w:proofErr w:type="gramEnd"/>
      <w:r w:rsidRPr="00DB6EFB">
        <w:rPr>
          <w:rFonts w:ascii="Verdana" w:eastAsia="Arial" w:hAnsi="Verdana" w:cs="Arial"/>
          <w:sz w:val="20"/>
          <w:szCs w:val="20"/>
          <w:lang w:val="es-MX"/>
        </w:rPr>
        <w:t xml:space="preserve"> en el ejercicio de las funciones administrativas que la ley les otorga. No obstante, 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w:t>
      </w:r>
    </w:p>
    <w:p w14:paraId="18A558FC" w14:textId="77777777" w:rsidR="002B77EB" w:rsidRPr="00DB6EFB" w:rsidRDefault="002B77EB" w:rsidP="002B77EB">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Además, es preciso analizar en detalle el artículo 3 de la Ley 1150 de 2007 citado, ya que al observar la literalidad de la norma se señala la obligación de que la actividad contractual de las entidades se publique en el SECOP, sin que esta, necesariamente,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 Así, analizando las normas sobre publicidad en el SECOP, se concluye que no existen disposiciones de las que se pueda inferir el interés de la ley en exigir la publicación de los actos que evidencien la ejecución de recursos públicos, puesto que su objetivo es general y se refiere a la actividad precontractual, contractual y poscontractual de las entidades, sin que pueda existir una interpretación diferente, debido a la finalidad de la ley respecto de la ciudadanía y su derecho a conocer las decisiones de la Administración pública. </w:t>
      </w:r>
    </w:p>
    <w:p w14:paraId="1A536EA7" w14:textId="77777777" w:rsidR="002B77EB" w:rsidRDefault="002B77EB" w:rsidP="002B77EB">
      <w:pPr>
        <w:spacing w:after="0" w:line="240" w:lineRule="auto"/>
        <w:rPr>
          <w:rFonts w:ascii="Verdana" w:eastAsia="Geomanist Light" w:hAnsi="Verdana" w:cs="Arial"/>
          <w:color w:val="000000" w:themeColor="text1"/>
          <w:lang w:val="es-MX"/>
        </w:rPr>
      </w:pPr>
    </w:p>
    <w:p w14:paraId="0DC8AB80" w14:textId="77777777" w:rsidR="002B77EB" w:rsidRPr="00CF7760" w:rsidRDefault="002B77EB" w:rsidP="002B77EB">
      <w:pPr>
        <w:spacing w:after="0" w:line="240" w:lineRule="auto"/>
        <w:rPr>
          <w:rFonts w:ascii="Verdana" w:eastAsia="Geomanist Light" w:hAnsi="Verdana" w:cs="Arial"/>
          <w:color w:val="000000" w:themeColor="text1"/>
          <w:lang w:val="es-MX"/>
        </w:rPr>
      </w:pPr>
    </w:p>
    <w:p w14:paraId="66681521" w14:textId="77777777" w:rsidR="002B77EB" w:rsidRPr="00CF7760" w:rsidRDefault="002B77EB" w:rsidP="002B77EB">
      <w:pPr>
        <w:spacing w:after="0" w:line="240" w:lineRule="auto"/>
        <w:rPr>
          <w:rFonts w:ascii="Verdana" w:eastAsia="Geomanist Light" w:hAnsi="Verdana" w:cs="Arial"/>
          <w:color w:val="000000" w:themeColor="text1"/>
          <w:lang w:val="es-MX"/>
        </w:rPr>
      </w:pPr>
    </w:p>
    <w:p w14:paraId="3B04D3A2" w14:textId="77777777" w:rsidR="002B77EB" w:rsidRDefault="002B77EB" w:rsidP="007A2513">
      <w:pPr>
        <w:spacing w:after="0" w:line="240" w:lineRule="auto"/>
        <w:rPr>
          <w:rFonts w:ascii="Verdana" w:eastAsia="Geomanist Light" w:hAnsi="Verdana" w:cs="Arial"/>
          <w:color w:val="000000" w:themeColor="text1"/>
          <w:lang w:val="es-MX"/>
        </w:rPr>
      </w:pPr>
    </w:p>
    <w:p w14:paraId="35B3485E" w14:textId="77777777" w:rsidR="002B77EB" w:rsidRDefault="002B77EB" w:rsidP="007A2513">
      <w:pPr>
        <w:spacing w:after="0" w:line="240" w:lineRule="auto"/>
        <w:rPr>
          <w:rFonts w:ascii="Verdana" w:eastAsia="Geomanist Light" w:hAnsi="Verdana" w:cs="Arial"/>
          <w:color w:val="000000" w:themeColor="text1"/>
          <w:lang w:val="es-MX"/>
        </w:rPr>
      </w:pPr>
    </w:p>
    <w:p w14:paraId="2F672D58" w14:textId="77777777" w:rsidR="002B77EB" w:rsidRDefault="002B77EB" w:rsidP="007A2513">
      <w:pPr>
        <w:spacing w:after="0" w:line="240" w:lineRule="auto"/>
        <w:rPr>
          <w:rFonts w:ascii="Verdana" w:eastAsia="Geomanist Light" w:hAnsi="Verdana" w:cs="Arial"/>
          <w:color w:val="000000" w:themeColor="text1"/>
          <w:lang w:val="es-MX"/>
        </w:rPr>
      </w:pPr>
    </w:p>
    <w:p w14:paraId="479737DB" w14:textId="77777777" w:rsidR="002B77EB" w:rsidRDefault="002B77EB" w:rsidP="007A2513">
      <w:pPr>
        <w:spacing w:after="0" w:line="240" w:lineRule="auto"/>
        <w:rPr>
          <w:rFonts w:ascii="Verdana" w:eastAsia="Geomanist Light" w:hAnsi="Verdana" w:cs="Arial"/>
          <w:color w:val="000000" w:themeColor="text1"/>
          <w:lang w:val="es-MX"/>
        </w:rPr>
      </w:pPr>
    </w:p>
    <w:p w14:paraId="2333F6B2" w14:textId="77777777" w:rsidR="002B77EB" w:rsidRDefault="002B77EB" w:rsidP="007A2513">
      <w:pPr>
        <w:spacing w:after="0" w:line="240" w:lineRule="auto"/>
        <w:rPr>
          <w:rFonts w:ascii="Verdana" w:eastAsia="Geomanist Light" w:hAnsi="Verdana" w:cs="Arial"/>
          <w:color w:val="000000" w:themeColor="text1"/>
          <w:lang w:val="es-MX"/>
        </w:rPr>
      </w:pPr>
    </w:p>
    <w:p w14:paraId="5E6E55B1" w14:textId="77777777" w:rsidR="002B77EB" w:rsidRDefault="002B77EB" w:rsidP="007A2513">
      <w:pPr>
        <w:spacing w:after="0" w:line="240" w:lineRule="auto"/>
        <w:rPr>
          <w:rFonts w:ascii="Verdana" w:eastAsia="Geomanist Light" w:hAnsi="Verdana" w:cs="Arial"/>
          <w:color w:val="000000" w:themeColor="text1"/>
          <w:lang w:val="es-MX"/>
        </w:rPr>
      </w:pPr>
    </w:p>
    <w:p w14:paraId="5826AF8A" w14:textId="77777777" w:rsidR="002B77EB" w:rsidRDefault="002B77EB" w:rsidP="007A2513">
      <w:pPr>
        <w:spacing w:after="0" w:line="240" w:lineRule="auto"/>
        <w:rPr>
          <w:rFonts w:ascii="Verdana" w:eastAsia="Geomanist Light" w:hAnsi="Verdana" w:cs="Arial"/>
          <w:color w:val="000000" w:themeColor="text1"/>
          <w:lang w:val="es-MX"/>
        </w:rPr>
      </w:pPr>
    </w:p>
    <w:p w14:paraId="46785A14" w14:textId="77777777" w:rsidR="002B77EB" w:rsidRDefault="002B77EB" w:rsidP="007A2513">
      <w:pPr>
        <w:spacing w:after="0" w:line="240" w:lineRule="auto"/>
        <w:rPr>
          <w:rFonts w:ascii="Verdana" w:eastAsia="Geomanist Light" w:hAnsi="Verdana" w:cs="Arial"/>
          <w:color w:val="000000" w:themeColor="text1"/>
          <w:lang w:val="es-MX"/>
        </w:rPr>
      </w:pPr>
    </w:p>
    <w:p w14:paraId="1E91E123" w14:textId="77777777" w:rsidR="002B77EB" w:rsidRDefault="002B77EB" w:rsidP="007A2513">
      <w:pPr>
        <w:spacing w:after="0" w:line="240" w:lineRule="auto"/>
        <w:rPr>
          <w:rFonts w:ascii="Verdana" w:eastAsia="Geomanist Light" w:hAnsi="Verdana" w:cs="Arial"/>
          <w:color w:val="000000" w:themeColor="text1"/>
          <w:lang w:val="es-MX"/>
        </w:rPr>
      </w:pPr>
    </w:p>
    <w:p w14:paraId="3216C3D4" w14:textId="77777777" w:rsidR="002B77EB" w:rsidRDefault="002B77EB" w:rsidP="007A2513">
      <w:pPr>
        <w:spacing w:after="0" w:line="240" w:lineRule="auto"/>
        <w:rPr>
          <w:rFonts w:ascii="Verdana" w:eastAsia="Geomanist Light" w:hAnsi="Verdana" w:cs="Arial"/>
          <w:color w:val="000000" w:themeColor="text1"/>
          <w:lang w:val="es-MX"/>
        </w:rPr>
      </w:pPr>
    </w:p>
    <w:p w14:paraId="7EE263D9" w14:textId="3322041E" w:rsidR="007A2513" w:rsidRPr="00CF7760" w:rsidRDefault="007A2513" w:rsidP="007A2513">
      <w:pPr>
        <w:spacing w:after="0" w:line="240" w:lineRule="auto"/>
        <w:rPr>
          <w:rFonts w:ascii="Verdana" w:eastAsia="Geomanist Light" w:hAnsi="Verdana" w:cs="Arial"/>
          <w:color w:val="201F1E"/>
          <w:lang w:val="es-MX"/>
        </w:rPr>
      </w:pPr>
      <w:r w:rsidRPr="00CF7760">
        <w:rPr>
          <w:rFonts w:ascii="Verdana" w:eastAsia="Geomanist Light" w:hAnsi="Verdana" w:cs="Arial"/>
          <w:color w:val="000000" w:themeColor="text1"/>
          <w:lang w:val="es-MX"/>
        </w:rPr>
        <w:lastRenderedPageBreak/>
        <w:t>Bogotá D.C., </w:t>
      </w:r>
      <w:r w:rsidR="00843A1C">
        <w:rPr>
          <w:rFonts w:ascii="Verdana" w:eastAsia="Geomanist Light" w:hAnsi="Verdana" w:cs="Arial"/>
          <w:color w:val="201F1E"/>
          <w:lang w:val="es-MX"/>
        </w:rPr>
        <w:t>23 de septiembre de 2024</w:t>
      </w:r>
    </w:p>
    <w:p w14:paraId="4E1D6A6D" w14:textId="72FA917C" w:rsidR="007A2513" w:rsidRPr="00CF7760" w:rsidRDefault="00843A1C" w:rsidP="007A2513">
      <w:pPr>
        <w:spacing w:after="0" w:line="240" w:lineRule="auto"/>
        <w:jc w:val="both"/>
        <w:rPr>
          <w:rFonts w:ascii="Verdana" w:eastAsia="Calibri" w:hAnsi="Verdana" w:cs="Arial"/>
          <w:color w:val="000000"/>
          <w:lang w:val="es-ES"/>
        </w:rPr>
      </w:pPr>
      <w:r w:rsidRPr="00843A1C">
        <w:rPr>
          <w:rFonts w:ascii="Verdana" w:eastAsia="Calibri" w:hAnsi="Verdana" w:cs="Arial"/>
          <w:b/>
          <w:lang w:val="es-ES_tradnl" w:eastAsia="es-ES_tradnl"/>
        </w:rPr>
        <w:drawing>
          <wp:anchor distT="0" distB="0" distL="114300" distR="114300" simplePos="0" relativeHeight="251658240" behindDoc="0" locked="0" layoutInCell="1" allowOverlap="1" wp14:anchorId="0E8F14AC" wp14:editId="6D8D3C87">
            <wp:simplePos x="0" y="0"/>
            <wp:positionH relativeFrom="margin">
              <wp:posOffset>2468168</wp:posOffset>
            </wp:positionH>
            <wp:positionV relativeFrom="paragraph">
              <wp:posOffset>13336</wp:posOffset>
            </wp:positionV>
            <wp:extent cx="3138247" cy="895350"/>
            <wp:effectExtent l="0" t="0" r="5080" b="0"/>
            <wp:wrapNone/>
            <wp:docPr id="26517563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5639"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40223" cy="895914"/>
                    </a:xfrm>
                    <a:prstGeom prst="rect">
                      <a:avLst/>
                    </a:prstGeom>
                  </pic:spPr>
                </pic:pic>
              </a:graphicData>
            </a:graphic>
            <wp14:sizeRelH relativeFrom="margin">
              <wp14:pctWidth>0</wp14:pctWidth>
            </wp14:sizeRelH>
            <wp14:sizeRelV relativeFrom="margin">
              <wp14:pctHeight>0</wp14:pctHeight>
            </wp14:sizeRelV>
          </wp:anchor>
        </w:drawing>
      </w:r>
    </w:p>
    <w:p w14:paraId="0F029F0B" w14:textId="4659E0F8" w:rsidR="003D6EC7" w:rsidRDefault="003D6EC7" w:rsidP="007A2513">
      <w:pPr>
        <w:spacing w:after="0" w:line="240" w:lineRule="auto"/>
        <w:jc w:val="both"/>
        <w:rPr>
          <w:rFonts w:ascii="Verdana" w:eastAsia="Calibri" w:hAnsi="Verdana" w:cs="Arial"/>
          <w:lang w:val="es-ES" w:eastAsia="es-ES"/>
        </w:rPr>
      </w:pPr>
    </w:p>
    <w:p w14:paraId="5988B555" w14:textId="3CD8976C" w:rsidR="007A2513" w:rsidRPr="00CF7760" w:rsidRDefault="007A2513" w:rsidP="007A2513">
      <w:pPr>
        <w:spacing w:after="0" w:line="240" w:lineRule="auto"/>
        <w:jc w:val="both"/>
        <w:rPr>
          <w:rFonts w:ascii="Verdana" w:eastAsia="Calibri" w:hAnsi="Verdana" w:cs="Arial"/>
          <w:lang w:val="es-ES" w:eastAsia="es-ES"/>
        </w:rPr>
      </w:pPr>
      <w:r w:rsidRPr="00CF7760">
        <w:rPr>
          <w:rFonts w:ascii="Verdana" w:eastAsia="Calibri" w:hAnsi="Verdana" w:cs="Arial"/>
          <w:lang w:val="es-ES" w:eastAsia="es-ES"/>
        </w:rPr>
        <w:t>Señora</w:t>
      </w:r>
    </w:p>
    <w:p w14:paraId="6CA160A2" w14:textId="16526BB4" w:rsidR="007A2513" w:rsidRPr="00CF7760" w:rsidRDefault="007A2513" w:rsidP="007A2513">
      <w:pPr>
        <w:spacing w:after="0" w:line="240" w:lineRule="auto"/>
        <w:rPr>
          <w:rFonts w:ascii="Verdana" w:eastAsia="Calibri" w:hAnsi="Verdana" w:cs="Arial"/>
          <w:b/>
          <w:lang w:val="es-ES_tradnl" w:eastAsia="es-ES_tradnl"/>
        </w:rPr>
      </w:pPr>
      <w:r w:rsidRPr="00CF7760">
        <w:rPr>
          <w:rFonts w:ascii="Verdana" w:eastAsia="Calibri" w:hAnsi="Verdana" w:cs="Arial"/>
          <w:b/>
          <w:lang w:val="es-ES_tradnl" w:eastAsia="es-ES_tradnl"/>
        </w:rPr>
        <w:t>Mónica Marcela Vega Africano</w:t>
      </w:r>
      <w:r w:rsidR="00843A1C" w:rsidRPr="00843A1C">
        <w:rPr>
          <w:noProof/>
        </w:rPr>
        <w:t xml:space="preserve"> </w:t>
      </w:r>
    </w:p>
    <w:p w14:paraId="06051021" w14:textId="77777777" w:rsidR="007A2513" w:rsidRPr="005C3FC5" w:rsidRDefault="002B77EB" w:rsidP="007A2513">
      <w:pPr>
        <w:spacing w:after="0" w:line="240" w:lineRule="auto"/>
        <w:rPr>
          <w:rFonts w:ascii="Verdana" w:eastAsia="Calibri" w:hAnsi="Verdana" w:cs="Arial"/>
          <w:color w:val="4472C4" w:themeColor="accent1"/>
          <w:u w:val="single"/>
          <w:lang w:val="es-ES" w:eastAsia="es-ES"/>
        </w:rPr>
      </w:pPr>
      <w:hyperlink r:id="rId11" w:history="1">
        <w:r w:rsidR="007A2513" w:rsidRPr="005C3FC5">
          <w:rPr>
            <w:rStyle w:val="Hipervnculo"/>
            <w:rFonts w:ascii="Verdana" w:eastAsia="Calibri" w:hAnsi="Verdana" w:cs="Arial"/>
            <w:color w:val="4472C4" w:themeColor="accent1"/>
            <w:lang w:val="es-ES" w:eastAsia="es-ES"/>
          </w:rPr>
          <w:t>monicavegaafricano@gmail.com</w:t>
        </w:r>
      </w:hyperlink>
    </w:p>
    <w:p w14:paraId="0B487D69" w14:textId="77777777" w:rsidR="007A2513" w:rsidRPr="00CF7760" w:rsidRDefault="007A2513" w:rsidP="007A2513">
      <w:pPr>
        <w:spacing w:after="0" w:line="240" w:lineRule="auto"/>
        <w:rPr>
          <w:rFonts w:ascii="Verdana" w:eastAsia="Calibri" w:hAnsi="Verdana" w:cs="Arial"/>
          <w:b/>
          <w:bCs/>
          <w:lang w:val="es-ES" w:eastAsia="es-ES"/>
        </w:rPr>
      </w:pPr>
      <w:r w:rsidRPr="00CF7760">
        <w:rPr>
          <w:rFonts w:ascii="Verdana" w:eastAsia="Calibri" w:hAnsi="Verdana" w:cs="Arial"/>
          <w:lang w:val="es-ES" w:eastAsia="es-ES"/>
        </w:rPr>
        <w:t>Mosquera, Cundinamarca</w:t>
      </w:r>
    </w:p>
    <w:p w14:paraId="76FFDA31" w14:textId="77777777" w:rsidR="007A2513" w:rsidRPr="00DB6EFB" w:rsidRDefault="007A2513" w:rsidP="007A2513">
      <w:pPr>
        <w:spacing w:after="0" w:line="240" w:lineRule="auto"/>
        <w:rPr>
          <w:rFonts w:ascii="Verdana" w:eastAsia="Calibri" w:hAnsi="Verdana" w:cs="Arial"/>
          <w:b/>
          <w:bCs/>
          <w:lang w:val="es-ES_tradnl" w:eastAsia="es-ES_tradnl"/>
        </w:rPr>
      </w:pPr>
    </w:p>
    <w:p w14:paraId="50627AB8" w14:textId="77777777" w:rsidR="007A2513" w:rsidRPr="00DB6EFB" w:rsidRDefault="007A2513" w:rsidP="007A251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A2513" w:rsidRPr="00DB6EFB" w14:paraId="7C34364B" w14:textId="77777777" w:rsidTr="007B13AC">
        <w:trPr>
          <w:trHeight w:val="884"/>
        </w:trPr>
        <w:tc>
          <w:tcPr>
            <w:tcW w:w="2689" w:type="dxa"/>
          </w:tcPr>
          <w:p w14:paraId="6D0AB47D" w14:textId="77777777" w:rsidR="007A2513" w:rsidRPr="00DB6EFB" w:rsidRDefault="007A2513" w:rsidP="007B13AC">
            <w:pPr>
              <w:jc w:val="both"/>
              <w:rPr>
                <w:rFonts w:ascii="Verdana" w:eastAsia="Calibri" w:hAnsi="Verdana" w:cs="Arial"/>
                <w:b/>
                <w:bCs/>
                <w:lang w:val="es-ES_tradnl" w:eastAsia="es-ES_tradnl"/>
              </w:rPr>
            </w:pPr>
          </w:p>
        </w:tc>
        <w:tc>
          <w:tcPr>
            <w:tcW w:w="6100" w:type="dxa"/>
          </w:tcPr>
          <w:p w14:paraId="4EBB22D5" w14:textId="77777777" w:rsidR="007A2513" w:rsidRPr="00DB6EFB" w:rsidRDefault="007A2513" w:rsidP="007B13AC">
            <w:pPr>
              <w:jc w:val="both"/>
              <w:rPr>
                <w:rFonts w:ascii="Verdana" w:eastAsia="Calibri" w:hAnsi="Verdana" w:cs="Arial"/>
                <w:b/>
                <w:bCs/>
                <w:lang w:val="es-ES" w:eastAsia="es-ES"/>
              </w:rPr>
            </w:pPr>
            <w:r w:rsidRPr="00DB6EFB">
              <w:rPr>
                <w:rFonts w:ascii="Verdana" w:eastAsia="Calibri" w:hAnsi="Verdana" w:cs="Arial"/>
                <w:b/>
                <w:bCs/>
                <w:lang w:val="es-ES" w:eastAsia="es-ES"/>
              </w:rPr>
              <w:t>Concepto C-464 de 2024</w:t>
            </w:r>
          </w:p>
        </w:tc>
      </w:tr>
      <w:tr w:rsidR="007A2513" w:rsidRPr="00DB6EFB" w14:paraId="188424B9" w14:textId="77777777" w:rsidTr="007B13AC">
        <w:trPr>
          <w:trHeight w:val="884"/>
        </w:trPr>
        <w:tc>
          <w:tcPr>
            <w:tcW w:w="2689" w:type="dxa"/>
          </w:tcPr>
          <w:p w14:paraId="7A13D12E" w14:textId="77777777" w:rsidR="007A2513" w:rsidRPr="00DB6EFB" w:rsidRDefault="007A2513" w:rsidP="007B13AC">
            <w:pPr>
              <w:jc w:val="both"/>
              <w:rPr>
                <w:rFonts w:ascii="Verdana" w:eastAsia="Calibri" w:hAnsi="Verdana" w:cs="Arial"/>
                <w:lang w:val="es-ES_tradnl" w:eastAsia="es-ES_tradnl"/>
              </w:rPr>
            </w:pPr>
            <w:r w:rsidRPr="00DB6EFB">
              <w:rPr>
                <w:rFonts w:ascii="Verdana" w:eastAsia="Calibri" w:hAnsi="Verdana" w:cs="Arial"/>
                <w:b/>
                <w:lang w:val="es-ES_tradnl" w:eastAsia="es-ES_tradnl"/>
              </w:rPr>
              <w:t>Temas:</w:t>
            </w:r>
            <w:r w:rsidRPr="00DB6EFB">
              <w:rPr>
                <w:rFonts w:ascii="Verdana" w:eastAsia="Calibri" w:hAnsi="Verdana" w:cs="Arial"/>
                <w:lang w:val="es-ES_tradnl" w:eastAsia="es-ES_tradnl"/>
              </w:rPr>
              <w:t xml:space="preserve">                   </w:t>
            </w:r>
          </w:p>
        </w:tc>
        <w:tc>
          <w:tcPr>
            <w:tcW w:w="6100" w:type="dxa"/>
          </w:tcPr>
          <w:p w14:paraId="654CCE51" w14:textId="77777777" w:rsidR="007A2513" w:rsidRPr="00DB6EFB" w:rsidRDefault="007A2513" w:rsidP="007B13AC">
            <w:pPr>
              <w:spacing w:line="276" w:lineRule="auto"/>
              <w:jc w:val="both"/>
              <w:rPr>
                <w:rFonts w:ascii="Verdana" w:eastAsia="Calibri" w:hAnsi="Verdana" w:cs="Arial"/>
                <w:lang w:val="es-ES" w:eastAsia="es-ES"/>
              </w:rPr>
            </w:pPr>
            <w:r w:rsidRPr="00DB6EFB">
              <w:rPr>
                <w:rFonts w:ascii="Verdana" w:eastAsia="Calibri" w:hAnsi="Verdana" w:cs="Arial"/>
                <w:lang w:val="es-ES" w:eastAsia="es-ES"/>
              </w:rPr>
              <w:t>PRINCIPIO DE PUBLICIDAD – Democracia – Estado social de Derecho – Fundamento axiológico / SECOP – Publicidad – Documentos – Información oficial / SECOP – Publicidad – Contratos sin erogación presupuestal</w:t>
            </w:r>
          </w:p>
          <w:p w14:paraId="4E93D5F6" w14:textId="77777777" w:rsidR="007A2513" w:rsidRPr="00DB6EFB" w:rsidRDefault="007A2513" w:rsidP="007B13AC">
            <w:pPr>
              <w:spacing w:line="276" w:lineRule="auto"/>
              <w:jc w:val="both"/>
              <w:rPr>
                <w:rFonts w:ascii="Verdana" w:eastAsia="Calibri" w:hAnsi="Verdana" w:cs="Arial"/>
                <w:lang w:val="es-ES" w:eastAsia="es-ES"/>
              </w:rPr>
            </w:pPr>
          </w:p>
        </w:tc>
      </w:tr>
      <w:tr w:rsidR="007A2513" w:rsidRPr="00DB6EFB" w14:paraId="1A226E80" w14:textId="77777777" w:rsidTr="007B13AC">
        <w:tc>
          <w:tcPr>
            <w:tcW w:w="2689" w:type="dxa"/>
          </w:tcPr>
          <w:p w14:paraId="20818555" w14:textId="77777777" w:rsidR="007A2513" w:rsidRPr="00DB6EFB" w:rsidRDefault="007A2513" w:rsidP="007B13AC">
            <w:pPr>
              <w:jc w:val="both"/>
              <w:rPr>
                <w:rFonts w:ascii="Verdana" w:eastAsia="Calibri" w:hAnsi="Verdana" w:cs="Arial"/>
                <w:b/>
                <w:lang w:val="es-ES_tradnl" w:eastAsia="es-ES_tradnl"/>
              </w:rPr>
            </w:pPr>
            <w:r w:rsidRPr="00DB6EFB">
              <w:rPr>
                <w:rFonts w:ascii="Verdana" w:eastAsia="Calibri" w:hAnsi="Verdana" w:cs="Arial"/>
                <w:b/>
                <w:lang w:val="es-ES_tradnl" w:eastAsia="es-ES_tradnl"/>
              </w:rPr>
              <w:t>Radicación:</w:t>
            </w:r>
            <w:r w:rsidRPr="00DB6EFB">
              <w:rPr>
                <w:rFonts w:ascii="Verdana" w:eastAsia="Calibri" w:hAnsi="Verdana" w:cs="Arial"/>
                <w:lang w:val="es-ES_tradnl" w:eastAsia="es-ES_tradnl"/>
              </w:rPr>
              <w:t xml:space="preserve">               </w:t>
            </w:r>
          </w:p>
        </w:tc>
        <w:tc>
          <w:tcPr>
            <w:tcW w:w="6100" w:type="dxa"/>
          </w:tcPr>
          <w:p w14:paraId="23E4C33B" w14:textId="77777777" w:rsidR="007A2513" w:rsidRPr="00DB6EFB" w:rsidRDefault="007A2513" w:rsidP="007B13AC">
            <w:pPr>
              <w:jc w:val="both"/>
              <w:rPr>
                <w:rFonts w:ascii="Verdana" w:eastAsia="Calibri" w:hAnsi="Verdana" w:cs="Arial"/>
                <w:lang w:val="es-ES_tradnl" w:eastAsia="es-ES_tradnl"/>
              </w:rPr>
            </w:pPr>
            <w:r w:rsidRPr="00DB6EFB">
              <w:rPr>
                <w:rFonts w:ascii="Verdana" w:eastAsia="Calibri" w:hAnsi="Verdana" w:cs="Arial"/>
                <w:lang w:val="es-ES_tradnl" w:eastAsia="es-ES_tradnl"/>
              </w:rPr>
              <w:t>Respuesta a consulta con radicado No. P20240809008164</w:t>
            </w:r>
          </w:p>
        </w:tc>
      </w:tr>
    </w:tbl>
    <w:p w14:paraId="35F5E397" w14:textId="77777777" w:rsidR="007A2513" w:rsidRPr="00DB6EFB" w:rsidRDefault="007A2513" w:rsidP="007A2513">
      <w:pPr>
        <w:spacing w:after="0" w:line="240" w:lineRule="auto"/>
        <w:jc w:val="both"/>
        <w:rPr>
          <w:rFonts w:ascii="Verdana" w:eastAsia="Calibri" w:hAnsi="Verdana" w:cs="Arial"/>
          <w:lang w:val="es-ES_tradnl" w:eastAsia="es-ES_tradnl"/>
        </w:rPr>
      </w:pPr>
    </w:p>
    <w:p w14:paraId="3528EF73" w14:textId="77777777" w:rsidR="007A2513" w:rsidRPr="00DB6EFB" w:rsidRDefault="007A2513" w:rsidP="007A2513">
      <w:pPr>
        <w:spacing w:after="0" w:line="240" w:lineRule="auto"/>
        <w:jc w:val="both"/>
        <w:rPr>
          <w:rFonts w:ascii="Verdana" w:eastAsia="Calibri" w:hAnsi="Verdana" w:cs="Arial"/>
          <w:lang w:val="es-ES_tradnl" w:eastAsia="es-ES_tradnl"/>
        </w:rPr>
      </w:pPr>
    </w:p>
    <w:p w14:paraId="7E76CF36" w14:textId="77777777" w:rsidR="007A2513" w:rsidRPr="00DB6EFB" w:rsidRDefault="007A2513" w:rsidP="007A2513">
      <w:pPr>
        <w:spacing w:after="0" w:line="276" w:lineRule="auto"/>
        <w:jc w:val="both"/>
        <w:rPr>
          <w:rFonts w:ascii="Verdana" w:eastAsia="Calibri" w:hAnsi="Verdana" w:cs="Arial"/>
          <w:lang w:val="es-ES" w:eastAsia="es-ES"/>
        </w:rPr>
      </w:pPr>
      <w:r w:rsidRPr="00DB6EFB">
        <w:rPr>
          <w:rFonts w:ascii="Verdana" w:eastAsia="Calibri" w:hAnsi="Verdana" w:cs="Arial"/>
          <w:lang w:val="es-ES" w:eastAsia="es-ES"/>
        </w:rPr>
        <w:t xml:space="preserve">Estimado señora Mónica: </w:t>
      </w:r>
    </w:p>
    <w:p w14:paraId="2EF852EA" w14:textId="77777777" w:rsidR="007A2513" w:rsidRPr="00DB6EFB" w:rsidRDefault="007A2513" w:rsidP="007A2513">
      <w:pPr>
        <w:tabs>
          <w:tab w:val="left" w:pos="3768"/>
        </w:tabs>
        <w:spacing w:after="0" w:line="276" w:lineRule="auto"/>
        <w:jc w:val="both"/>
        <w:rPr>
          <w:rFonts w:ascii="Verdana" w:eastAsia="Calibri" w:hAnsi="Verdana" w:cs="Arial"/>
          <w:lang w:val="es-ES" w:eastAsia="es-ES"/>
        </w:rPr>
      </w:pPr>
      <w:r w:rsidRPr="00DB6EFB">
        <w:rPr>
          <w:rFonts w:ascii="Verdana" w:eastAsia="Calibri" w:hAnsi="Verdana" w:cs="Arial"/>
          <w:lang w:val="es-ES" w:eastAsia="es-ES"/>
        </w:rPr>
        <w:tab/>
      </w:r>
    </w:p>
    <w:p w14:paraId="07919E13" w14:textId="77777777" w:rsidR="007A2513" w:rsidRPr="00DB6EFB" w:rsidRDefault="007A2513" w:rsidP="007A2513">
      <w:pPr>
        <w:spacing w:after="0" w:line="276" w:lineRule="auto"/>
        <w:jc w:val="both"/>
        <w:rPr>
          <w:rFonts w:ascii="Verdana" w:eastAsia="Calibri" w:hAnsi="Verdana" w:cs="Arial"/>
          <w:lang w:val="es-ES" w:eastAsia="es-ES"/>
        </w:rPr>
      </w:pPr>
      <w:r w:rsidRPr="00DB6EFB">
        <w:rPr>
          <w:rFonts w:ascii="Verdana" w:eastAsia="Calibri" w:hAnsi="Verdana" w:cs="Arial"/>
          <w:lang w:val="es-ES" w:eastAsia="es-ES"/>
        </w:rPr>
        <w:t>En ejercicio de la competencia otorgada por los artículos 3, numeral 5º, y 11, numeral 8º, del Decreto Ley 4170 de 2011,</w:t>
      </w:r>
      <w:r w:rsidRPr="00DB6EFB">
        <w:rPr>
          <w:rFonts w:ascii="Verdana" w:eastAsia="Arial MT" w:hAnsi="Verdana" w:cs="Arial MT"/>
          <w:lang w:val="es-ES" w:eastAsia="es-ES"/>
        </w:rPr>
        <w:t xml:space="preserve"> </w:t>
      </w:r>
      <w:r w:rsidRPr="00DB6EFB">
        <w:rPr>
          <w:rFonts w:ascii="Verdana" w:hAnsi="Verdana" w:cs="Arial"/>
        </w:rPr>
        <w:t xml:space="preserve">así como lo establecido en el artículo 4 de la Resolución 1707 de 2018 expedida por esta Entidad, </w:t>
      </w:r>
      <w:r w:rsidRPr="00DB6EFB">
        <w:rPr>
          <w:rFonts w:ascii="Verdana" w:eastAsia="Calibri" w:hAnsi="Verdana" w:cs="Arial"/>
          <w:lang w:val="es-ES" w:eastAsia="es-ES"/>
        </w:rPr>
        <w:t xml:space="preserve">la Agencia Nacional de Contratación Pública – Colombia Compra Eficiente– responde su solicitud de consulta de fecha 9 de septiembre de 2024, en la cual manifiesta lo siguiente: </w:t>
      </w:r>
    </w:p>
    <w:p w14:paraId="7869E1D1" w14:textId="77777777" w:rsidR="007A2513" w:rsidRPr="00DB6EFB" w:rsidRDefault="007A2513" w:rsidP="007A2513">
      <w:pPr>
        <w:pStyle w:val="Prrafodelista"/>
        <w:tabs>
          <w:tab w:val="left" w:pos="142"/>
          <w:tab w:val="left" w:pos="284"/>
        </w:tabs>
        <w:spacing w:line="276" w:lineRule="auto"/>
        <w:ind w:left="0"/>
        <w:jc w:val="both"/>
        <w:rPr>
          <w:rFonts w:ascii="Verdana" w:eastAsia="Century Gothic" w:hAnsi="Verdana" w:cs="Century Gothic"/>
          <w:b/>
          <w:bCs/>
        </w:rPr>
      </w:pPr>
    </w:p>
    <w:p w14:paraId="1109017F" w14:textId="77777777" w:rsidR="007A2513" w:rsidRPr="00DB6EFB" w:rsidRDefault="007A2513" w:rsidP="007A2513">
      <w:pPr>
        <w:spacing w:after="0" w:line="240" w:lineRule="auto"/>
        <w:ind w:left="709" w:right="709"/>
        <w:jc w:val="both"/>
        <w:rPr>
          <w:rFonts w:ascii="Verdana" w:eastAsia="Century Gothic" w:hAnsi="Verdana" w:cs="Century Gothic"/>
          <w:sz w:val="20"/>
          <w:szCs w:val="20"/>
          <w:lang w:val="es-ES"/>
        </w:rPr>
      </w:pPr>
      <w:bookmarkStart w:id="0" w:name="_Hlk95313578"/>
      <w:r w:rsidRPr="00DB6EFB">
        <w:rPr>
          <w:rFonts w:ascii="Verdana" w:eastAsia="Century Gothic" w:hAnsi="Verdana" w:cs="Century Gothic"/>
          <w:sz w:val="20"/>
          <w:szCs w:val="20"/>
          <w:lang w:val="es-ES"/>
        </w:rPr>
        <w:t>“</w:t>
      </w:r>
      <w:r w:rsidRPr="00DB6EFB">
        <w:rPr>
          <w:rStyle w:val="normaltextrun"/>
          <w:rFonts w:ascii="Verdana" w:hAnsi="Verdana" w:cs="Arial"/>
          <w:sz w:val="20"/>
          <w:szCs w:val="20"/>
          <w:shd w:val="clear" w:color="auto" w:fill="FFFFFF"/>
          <w:lang w:val="es-ES"/>
        </w:rPr>
        <w:t>Agradezco su colaboración con la siguiente inquietud: Los convenios de cooperación interadministrativos que no impliquen asignación de recursos, ¿requiere registro en SECOP? Por ejemplo: cuando una institución pública realiza convenio con una universidad para el desarrollo de prácticas de sus estudiantes</w:t>
      </w:r>
      <w:r w:rsidRPr="00DB6EFB">
        <w:rPr>
          <w:rFonts w:ascii="Verdana" w:eastAsia="Century Gothic" w:hAnsi="Verdana" w:cs="Century Gothic"/>
          <w:sz w:val="20"/>
          <w:szCs w:val="20"/>
          <w:lang w:val="es-ES"/>
        </w:rPr>
        <w:t>”</w:t>
      </w:r>
      <w:bookmarkEnd w:id="0"/>
      <w:r w:rsidRPr="00DB6EFB">
        <w:rPr>
          <w:rFonts w:ascii="Verdana" w:eastAsia="Century Gothic" w:hAnsi="Verdana" w:cs="Century Gothic"/>
          <w:sz w:val="20"/>
          <w:szCs w:val="20"/>
          <w:lang w:val="es-ES"/>
        </w:rPr>
        <w:t>.</w:t>
      </w:r>
    </w:p>
    <w:p w14:paraId="218B0E46" w14:textId="77777777" w:rsidR="007A2513" w:rsidRPr="00DB6EFB" w:rsidRDefault="007A2513" w:rsidP="007A2513">
      <w:pPr>
        <w:pStyle w:val="Prrafodelista"/>
        <w:tabs>
          <w:tab w:val="left" w:pos="142"/>
          <w:tab w:val="left" w:pos="284"/>
        </w:tabs>
        <w:spacing w:line="276" w:lineRule="auto"/>
        <w:ind w:left="0"/>
        <w:jc w:val="both"/>
        <w:rPr>
          <w:rFonts w:ascii="Verdana" w:eastAsia="Century Gothic" w:hAnsi="Verdana" w:cs="Century Gothic"/>
          <w:b/>
          <w:bCs/>
        </w:rPr>
      </w:pPr>
    </w:p>
    <w:p w14:paraId="6EAF628D" w14:textId="77777777" w:rsidR="007A2513" w:rsidRPr="00DB6EFB" w:rsidRDefault="007A2513" w:rsidP="007A2513">
      <w:pPr>
        <w:spacing w:after="120" w:line="276" w:lineRule="auto"/>
        <w:ind w:firstLine="709"/>
        <w:jc w:val="both"/>
        <w:rPr>
          <w:rFonts w:ascii="Verdana" w:eastAsia="Calibri" w:hAnsi="Verdana" w:cs="Arial"/>
          <w:szCs w:val="24"/>
          <w:lang w:val="es-ES_tradnl" w:eastAsia="es-ES_tradnl"/>
        </w:rPr>
      </w:pPr>
      <w:r w:rsidRPr="00DB6EF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DB6EFB">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B6EFB">
        <w:rPr>
          <w:rFonts w:ascii="Verdana" w:eastAsia="Calibri" w:hAnsi="Verdana" w:cs="Arial"/>
          <w:szCs w:val="24"/>
          <w:lang w:val="es-ES_tradnl" w:eastAsia="es-ES_tradnl"/>
        </w:rPr>
        <w:tab/>
      </w:r>
    </w:p>
    <w:p w14:paraId="5964B43B" w14:textId="77777777" w:rsidR="007A2513" w:rsidRPr="00DB6EFB" w:rsidRDefault="007A2513" w:rsidP="007A2513">
      <w:pPr>
        <w:spacing w:after="0" w:line="276" w:lineRule="auto"/>
        <w:ind w:firstLine="709"/>
        <w:jc w:val="both"/>
        <w:rPr>
          <w:rFonts w:ascii="Verdana" w:eastAsia="Calibri" w:hAnsi="Verdana" w:cs="Arial"/>
          <w:lang w:val="es-ES" w:eastAsia="es-ES"/>
        </w:rPr>
      </w:pPr>
      <w:r w:rsidRPr="00DB6EF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76322C3" w14:textId="77777777" w:rsidR="007A2513" w:rsidRPr="00DB6EFB" w:rsidRDefault="007A2513" w:rsidP="007A2513">
      <w:pPr>
        <w:spacing w:after="0" w:line="276" w:lineRule="auto"/>
        <w:ind w:firstLine="709"/>
        <w:jc w:val="both"/>
        <w:rPr>
          <w:rFonts w:ascii="Verdana" w:eastAsia="Calibri" w:hAnsi="Verdana" w:cs="Arial"/>
          <w:lang w:val="es-ES" w:eastAsia="es-ES"/>
        </w:rPr>
      </w:pPr>
    </w:p>
    <w:p w14:paraId="013958D4" w14:textId="77777777" w:rsidR="007A2513" w:rsidRPr="00DB6EFB" w:rsidRDefault="007A2513" w:rsidP="007A251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B6EFB">
        <w:rPr>
          <w:rFonts w:ascii="Verdana" w:eastAsia="Century Gothic" w:hAnsi="Verdana" w:cs="Century Gothic"/>
          <w:b/>
          <w:bCs/>
        </w:rPr>
        <w:t>Problema planteado:</w:t>
      </w:r>
    </w:p>
    <w:p w14:paraId="10116328" w14:textId="77777777" w:rsidR="007A2513" w:rsidRPr="00DB6EFB" w:rsidRDefault="007A2513" w:rsidP="007A2513">
      <w:pPr>
        <w:tabs>
          <w:tab w:val="left" w:pos="426"/>
        </w:tabs>
        <w:spacing w:after="0" w:line="276" w:lineRule="auto"/>
        <w:jc w:val="both"/>
        <w:rPr>
          <w:rFonts w:ascii="Verdana" w:eastAsia="Century Gothic" w:hAnsi="Verdana" w:cs="Century Gothic"/>
          <w:lang w:val="es-ES"/>
        </w:rPr>
      </w:pPr>
    </w:p>
    <w:p w14:paraId="0615BA78" w14:textId="77777777" w:rsidR="007A2513" w:rsidRPr="00DB6EFB" w:rsidRDefault="007A2513" w:rsidP="007A2513">
      <w:pPr>
        <w:spacing w:after="0" w:line="276" w:lineRule="auto"/>
        <w:jc w:val="both"/>
        <w:rPr>
          <w:rFonts w:ascii="Verdana" w:eastAsia="Century Gothic" w:hAnsi="Verdana" w:cs="Century Gothic"/>
        </w:rPr>
      </w:pPr>
      <w:r w:rsidRPr="00DB6EFB">
        <w:rPr>
          <w:rFonts w:ascii="Verdana" w:eastAsia="Century Gothic" w:hAnsi="Verdana" w:cs="Century Gothic"/>
        </w:rPr>
        <w:t xml:space="preserve">De acuerdo con el contenido de su solicitud, esta Agencia resolverá el siguiente problema jurídico: ¿Es obligatorio publicar en el SECOP los contratos y convenios interadministrativos que no realicen erogación de recursos? </w:t>
      </w:r>
    </w:p>
    <w:p w14:paraId="0A9F50C5" w14:textId="77777777" w:rsidR="007A2513" w:rsidRPr="00DB6EFB" w:rsidRDefault="007A2513" w:rsidP="007A2513">
      <w:pPr>
        <w:spacing w:after="0" w:line="276" w:lineRule="auto"/>
        <w:jc w:val="both"/>
        <w:rPr>
          <w:rFonts w:ascii="Verdana" w:eastAsia="Calibri" w:hAnsi="Verdana" w:cs="Arial"/>
          <w:lang w:val="es-ES"/>
        </w:rPr>
      </w:pPr>
    </w:p>
    <w:p w14:paraId="1CEA561F" w14:textId="77777777" w:rsidR="007A2513" w:rsidRPr="00DB6EFB" w:rsidRDefault="007A2513" w:rsidP="007A251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6EFB">
        <w:rPr>
          <w:rFonts w:ascii="Verdana" w:eastAsia="Century Gothic" w:hAnsi="Verdana" w:cs="Century Gothic"/>
          <w:b/>
          <w:bCs/>
        </w:rPr>
        <w:t>Respuesta:</w:t>
      </w:r>
    </w:p>
    <w:p w14:paraId="64F69619" w14:textId="77777777" w:rsidR="007A2513" w:rsidRPr="00DB6EFB" w:rsidRDefault="007A2513" w:rsidP="007A251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A2513" w:rsidRPr="00DB6EFB" w14:paraId="34C2ED2C" w14:textId="77777777" w:rsidTr="007B13AC">
        <w:tc>
          <w:tcPr>
            <w:tcW w:w="8828" w:type="dxa"/>
            <w:shd w:val="clear" w:color="auto" w:fill="auto"/>
          </w:tcPr>
          <w:p w14:paraId="62E9336E" w14:textId="77777777" w:rsidR="007A2513" w:rsidRPr="00DB6EFB" w:rsidRDefault="007A2513" w:rsidP="007B13AC">
            <w:pPr>
              <w:spacing w:line="276" w:lineRule="auto"/>
              <w:jc w:val="both"/>
              <w:rPr>
                <w:rFonts w:ascii="Verdana" w:eastAsia="Calibri" w:hAnsi="Verdana" w:cs="Arial"/>
                <w:lang w:val="es-ES"/>
              </w:rPr>
            </w:pPr>
            <w:r w:rsidRPr="00DB6EFB">
              <w:rPr>
                <w:rFonts w:ascii="Verdana" w:eastAsia="Calibri" w:hAnsi="Verdana" w:cs="Arial"/>
                <w:lang w:val="es-ES"/>
              </w:rPr>
              <w:t>La Publicidad, como principio consagrado en el artículo 209 de la constitución política establece el deber para todas las entidades estatales de publicar, en el medio establecido por la ley, todas sus actuaciones contractuales. Por lo tanto,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28EC0BD5" w14:textId="77777777" w:rsidR="00363F4E" w:rsidRPr="00DB6EFB" w:rsidRDefault="00363F4E" w:rsidP="00204A7E">
            <w:pPr>
              <w:spacing w:line="276" w:lineRule="auto"/>
              <w:jc w:val="both"/>
              <w:rPr>
                <w:rFonts w:ascii="Verdana" w:eastAsia="Calibri" w:hAnsi="Verdana" w:cs="Arial"/>
                <w:lang w:val="es-ES"/>
              </w:rPr>
            </w:pPr>
          </w:p>
          <w:p w14:paraId="2766EC29" w14:textId="77777777" w:rsidR="007A2513" w:rsidRPr="00DB6EFB" w:rsidRDefault="007A2513" w:rsidP="007B13AC">
            <w:pPr>
              <w:spacing w:line="276" w:lineRule="auto"/>
              <w:jc w:val="both"/>
              <w:rPr>
                <w:rFonts w:ascii="Verdana" w:eastAsia="Calibri" w:hAnsi="Verdana" w:cs="Arial"/>
                <w:lang w:val="es-ES"/>
              </w:rPr>
            </w:pPr>
            <w:r w:rsidRPr="00DB6EFB">
              <w:rPr>
                <w:rFonts w:ascii="Verdana" w:eastAsia="Calibri" w:hAnsi="Verdana" w:cs="Arial"/>
                <w:lang w:val="es-ES"/>
              </w:rPr>
              <w:t xml:space="preserve">Ahora bien, en relación con lo consultado, es preciso analizar en detalle el artículo 3 de la Ley 1150 de 2007, ya que prescribe la obligación de que la actividad contractual de las entidades se publique en el SECOP, sin que esta, necesaria y exclusivamente,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Esto debe </w:t>
            </w:r>
            <w:r w:rsidRPr="00DB6EFB">
              <w:rPr>
                <w:rFonts w:ascii="Verdana" w:eastAsia="Calibri" w:hAnsi="Verdana" w:cs="Arial"/>
                <w:lang w:val="es-ES"/>
              </w:rPr>
              <w:lastRenderedPageBreak/>
              <w:t xml:space="preserve">armonizarse con el artículo 2.2.1.1.1.7.1. del Decreto 1082 de 2015, que relaciona los documentos que se deben publicar en el SECOP, sin que se haga referencia a aquellos actos que ejecuten recursos públicos. </w:t>
            </w:r>
          </w:p>
          <w:p w14:paraId="35FF9893" w14:textId="77777777" w:rsidR="00363F4E" w:rsidRPr="00DB6EFB" w:rsidRDefault="00363F4E" w:rsidP="00204A7E">
            <w:pPr>
              <w:spacing w:line="276" w:lineRule="auto"/>
              <w:jc w:val="both"/>
              <w:rPr>
                <w:rFonts w:ascii="Verdana" w:eastAsia="Calibri" w:hAnsi="Verdana" w:cs="Arial"/>
                <w:lang w:val="es-ES"/>
              </w:rPr>
            </w:pPr>
          </w:p>
          <w:p w14:paraId="327EBBA2" w14:textId="77777777" w:rsidR="007A2513" w:rsidRPr="00DB6EFB" w:rsidRDefault="007A2513" w:rsidP="007B13AC">
            <w:pPr>
              <w:spacing w:line="276" w:lineRule="auto"/>
              <w:jc w:val="both"/>
              <w:rPr>
                <w:rFonts w:ascii="Verdana" w:eastAsia="Calibri" w:hAnsi="Verdana" w:cs="Arial"/>
                <w:lang w:val="es-ES"/>
              </w:rPr>
            </w:pPr>
            <w:r w:rsidRPr="00DB6EFB">
              <w:rPr>
                <w:rFonts w:ascii="Verdana" w:eastAsia="Calibri" w:hAnsi="Verdana" w:cs="Arial"/>
                <w:lang w:val="es-ES"/>
              </w:rPr>
              <w:t>Así las cosas, es preciso concluir que la normativa de la cual surge la obligación de publicar en el SECOP, lo hace de forma general, no distinguiendo entre contratos que generan erogación y los que no, sino, la establece de forma en que las entidades deben publicar su actividad precontractual, contractual y poscontractual, en virtud del principio de publicidad antes mencionado.</w:t>
            </w:r>
          </w:p>
          <w:p w14:paraId="231A1EB4" w14:textId="77777777" w:rsidR="00363F4E" w:rsidRPr="00DB6EFB" w:rsidRDefault="00363F4E" w:rsidP="00204A7E">
            <w:pPr>
              <w:spacing w:line="276" w:lineRule="auto"/>
              <w:jc w:val="both"/>
              <w:rPr>
                <w:rFonts w:ascii="Verdana" w:eastAsia="Calibri" w:hAnsi="Verdana" w:cs="Arial"/>
                <w:lang w:val="es-ES"/>
              </w:rPr>
            </w:pPr>
          </w:p>
          <w:p w14:paraId="42F10E6B" w14:textId="77777777" w:rsidR="007A2513" w:rsidRPr="00DB6EFB" w:rsidRDefault="007A2513" w:rsidP="007B13AC">
            <w:pPr>
              <w:spacing w:line="276" w:lineRule="auto"/>
              <w:jc w:val="both"/>
              <w:rPr>
                <w:rFonts w:ascii="Verdana" w:eastAsia="Calibri" w:hAnsi="Verdana" w:cs="Arial"/>
                <w:lang w:val="es-ES"/>
              </w:rPr>
            </w:pPr>
            <w:r w:rsidRPr="00DB6EFB">
              <w:rPr>
                <w:rFonts w:ascii="Verdana" w:eastAsia="Calibri" w:hAnsi="Verdana" w:cs="Arial"/>
                <w:lang w:val="es-ES"/>
              </w:rPr>
              <w:t>Sin perjuicio de lo anterior, es menester mencionar que,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w:t>
            </w:r>
          </w:p>
        </w:tc>
      </w:tr>
    </w:tbl>
    <w:p w14:paraId="351183B5" w14:textId="77777777" w:rsidR="007A2513" w:rsidRPr="00DB6EFB" w:rsidRDefault="007A2513" w:rsidP="007A2513">
      <w:pPr>
        <w:tabs>
          <w:tab w:val="left" w:pos="142"/>
          <w:tab w:val="left" w:pos="284"/>
        </w:tabs>
        <w:spacing w:after="0" w:line="276" w:lineRule="auto"/>
        <w:jc w:val="both"/>
        <w:rPr>
          <w:rFonts w:ascii="Verdana" w:eastAsia="Century Gothic" w:hAnsi="Verdana" w:cs="Century Gothic"/>
          <w:b/>
          <w:bCs/>
          <w:lang w:val="es-ES"/>
        </w:rPr>
      </w:pPr>
    </w:p>
    <w:p w14:paraId="7BF67E9B" w14:textId="77777777" w:rsidR="007A2513" w:rsidRPr="00DB6EFB" w:rsidRDefault="007A2513" w:rsidP="007A251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6EFB">
        <w:rPr>
          <w:rFonts w:ascii="Verdana" w:eastAsia="Century Gothic" w:hAnsi="Verdana" w:cs="Century Gothic"/>
          <w:b/>
          <w:bCs/>
        </w:rPr>
        <w:t>Razones de la respuesta:</w:t>
      </w:r>
    </w:p>
    <w:p w14:paraId="3A6407EE" w14:textId="77777777" w:rsidR="007A2513" w:rsidRPr="00DB6EFB" w:rsidRDefault="007A2513" w:rsidP="007A2513">
      <w:pPr>
        <w:spacing w:after="0" w:line="276" w:lineRule="auto"/>
        <w:jc w:val="both"/>
        <w:rPr>
          <w:rFonts w:ascii="Verdana" w:eastAsia="Calibri" w:hAnsi="Verdana" w:cs="Arial"/>
          <w:lang w:val="es-ES"/>
        </w:rPr>
      </w:pPr>
    </w:p>
    <w:p w14:paraId="2A91069C" w14:textId="77777777" w:rsidR="007A2513" w:rsidRPr="00DB6EFB" w:rsidRDefault="007A2513" w:rsidP="007A2513">
      <w:pPr>
        <w:spacing w:after="0" w:line="276" w:lineRule="auto"/>
        <w:jc w:val="both"/>
        <w:rPr>
          <w:rFonts w:ascii="Verdana" w:eastAsia="Calibri" w:hAnsi="Verdana" w:cs="Arial"/>
          <w:lang w:val="es-ES"/>
        </w:rPr>
      </w:pPr>
      <w:r w:rsidRPr="00DB6EFB">
        <w:rPr>
          <w:rFonts w:ascii="Verdana" w:eastAsia="Calibri" w:hAnsi="Verdana" w:cs="Arial"/>
          <w:lang w:val="es-ES"/>
        </w:rPr>
        <w:t xml:space="preserve">Lo anterior se sustenta en las siguientes consideraciones: </w:t>
      </w:r>
    </w:p>
    <w:p w14:paraId="18B75DA6" w14:textId="77777777" w:rsidR="007A2513" w:rsidRPr="00DB6EFB" w:rsidRDefault="007A2513" w:rsidP="007A2513">
      <w:pPr>
        <w:spacing w:after="0" w:line="276" w:lineRule="auto"/>
        <w:jc w:val="both"/>
        <w:rPr>
          <w:rFonts w:ascii="Verdana" w:eastAsia="Calibri" w:hAnsi="Verdana" w:cs="Arial"/>
          <w:lang w:val="es-ES"/>
        </w:rPr>
      </w:pPr>
    </w:p>
    <w:p w14:paraId="4D906E03" w14:textId="77777777" w:rsidR="007A2513" w:rsidRPr="00DB6EFB" w:rsidRDefault="007A2513" w:rsidP="007A2513">
      <w:pPr>
        <w:pStyle w:val="Prrafodelista"/>
        <w:numPr>
          <w:ilvl w:val="0"/>
          <w:numId w:val="17"/>
        </w:numPr>
        <w:spacing w:after="0" w:line="276" w:lineRule="auto"/>
        <w:jc w:val="both"/>
        <w:rPr>
          <w:rFonts w:ascii="Verdana" w:hAnsi="Verdana"/>
          <w:lang w:val="es-CO"/>
        </w:rPr>
      </w:pPr>
      <w:r w:rsidRPr="00DB6EFB">
        <w:rPr>
          <w:rFonts w:ascii="Verdana" w:eastAsia="Arial" w:hAnsi="Verdana" w:cs="Arial"/>
          <w:lang w:eastAsia="es-ES"/>
        </w:rPr>
        <w:t xml:space="preserve">Uno de los postulados más importantes de un Estado social y democrático de derecho es el principio de </w:t>
      </w:r>
      <w:r w:rsidRPr="00DB6EFB">
        <w:rPr>
          <w:rFonts w:ascii="Verdana" w:eastAsia="Arial" w:hAnsi="Verdana" w:cs="Arial"/>
          <w:i/>
          <w:iCs/>
          <w:lang w:eastAsia="es-ES"/>
        </w:rPr>
        <w:t>publicidad</w:t>
      </w:r>
      <w:r w:rsidRPr="00DB6EFB">
        <w:rPr>
          <w:rFonts w:ascii="Verdana" w:eastAsia="Arial" w:hAnsi="Verdana" w:cs="Arial"/>
          <w:lang w:eastAsia="es-ES"/>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DB6EFB">
        <w:rPr>
          <w:rFonts w:ascii="Verdana" w:hAnsi="Verdana"/>
          <w:vertAlign w:val="superscript"/>
          <w:lang w:eastAsia="es-ES"/>
        </w:rPr>
        <w:footnoteReference w:id="2"/>
      </w:r>
      <w:r w:rsidRPr="00DB6EFB">
        <w:rPr>
          <w:rFonts w:ascii="Verdana" w:eastAsia="Arial" w:hAnsi="Verdana" w:cs="Arial"/>
          <w:lang w:eastAsia="es-ES"/>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38D95895" w14:textId="77777777" w:rsidR="007A2513" w:rsidRPr="00DB6EFB" w:rsidRDefault="007A2513" w:rsidP="007A2513">
      <w:pPr>
        <w:pStyle w:val="Prrafodelista"/>
        <w:spacing w:after="0" w:line="276" w:lineRule="auto"/>
        <w:jc w:val="both"/>
        <w:rPr>
          <w:rFonts w:ascii="Verdana" w:hAnsi="Verdana"/>
          <w:lang w:val="es-CO"/>
        </w:rPr>
      </w:pPr>
    </w:p>
    <w:p w14:paraId="052830C3" w14:textId="77777777" w:rsidR="007A2513" w:rsidRPr="00DB6EFB" w:rsidRDefault="007A2513" w:rsidP="007A2513">
      <w:pPr>
        <w:pStyle w:val="Prrafodelista"/>
        <w:numPr>
          <w:ilvl w:val="0"/>
          <w:numId w:val="17"/>
        </w:numPr>
        <w:spacing w:after="0" w:line="276" w:lineRule="auto"/>
        <w:jc w:val="both"/>
        <w:rPr>
          <w:rFonts w:ascii="Verdana" w:eastAsia="Arial" w:hAnsi="Verdana" w:cs="Arial"/>
          <w:lang w:eastAsia="es-ES"/>
        </w:rPr>
      </w:pPr>
      <w:r w:rsidRPr="00DB6EFB">
        <w:rPr>
          <w:rFonts w:ascii="Verdana" w:eastAsia="Arial" w:hAnsi="Verdana" w:cs="Arial"/>
          <w:lang w:eastAsia="es-ES"/>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w:t>
      </w:r>
      <w:r w:rsidRPr="00DB6EFB">
        <w:rPr>
          <w:rFonts w:ascii="Verdana" w:eastAsia="Arial" w:hAnsi="Verdana" w:cs="Arial"/>
          <w:lang w:eastAsia="es-ES"/>
        </w:rPr>
        <w:lastRenderedPageBreak/>
        <w:t>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71E35A24" w14:textId="77777777" w:rsidR="007A2513" w:rsidRPr="00DB6EFB" w:rsidRDefault="007A2513" w:rsidP="007A2513">
      <w:pPr>
        <w:pStyle w:val="Prrafodelista"/>
        <w:spacing w:after="0" w:line="240" w:lineRule="auto"/>
        <w:jc w:val="both"/>
        <w:rPr>
          <w:rFonts w:ascii="Verdana" w:eastAsia="Arial" w:hAnsi="Verdana" w:cs="Arial"/>
          <w:lang w:eastAsia="es-ES"/>
        </w:rPr>
      </w:pPr>
    </w:p>
    <w:p w14:paraId="3A0604D9" w14:textId="77777777" w:rsidR="007A2513" w:rsidRPr="0095395A" w:rsidRDefault="007A2513" w:rsidP="007A2513">
      <w:pPr>
        <w:pStyle w:val="Prrafodelista"/>
        <w:tabs>
          <w:tab w:val="left" w:pos="3885"/>
        </w:tabs>
        <w:spacing w:after="120" w:line="240" w:lineRule="auto"/>
        <w:ind w:left="1134" w:right="357"/>
        <w:jc w:val="both"/>
        <w:rPr>
          <w:rFonts w:ascii="Verdana" w:eastAsia="Arial" w:hAnsi="Verdana" w:cs="Arial"/>
          <w:sz w:val="20"/>
          <w:szCs w:val="20"/>
          <w:lang w:eastAsia="es-ES"/>
        </w:rPr>
      </w:pPr>
      <w:r w:rsidRPr="0095395A">
        <w:rPr>
          <w:rFonts w:ascii="Verdana" w:eastAsia="Arial" w:hAnsi="Verdana" w:cs="Arial"/>
          <w:sz w:val="20"/>
          <w:szCs w:val="20"/>
          <w:lang w:eastAsia="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3F4D6B8" w14:textId="77777777" w:rsidR="007A2513" w:rsidRPr="0095395A" w:rsidRDefault="007A2513" w:rsidP="007A2513">
      <w:pPr>
        <w:pStyle w:val="Prrafodelista"/>
        <w:tabs>
          <w:tab w:val="left" w:pos="3885"/>
          <w:tab w:val="left" w:pos="8222"/>
        </w:tabs>
        <w:spacing w:after="0" w:line="240" w:lineRule="auto"/>
        <w:ind w:left="1134" w:right="357"/>
        <w:jc w:val="both"/>
        <w:rPr>
          <w:rFonts w:ascii="Verdana" w:eastAsia="Arial" w:hAnsi="Verdana" w:cs="Arial"/>
          <w:sz w:val="20"/>
          <w:szCs w:val="20"/>
          <w:lang w:eastAsia="es-ES"/>
        </w:rPr>
      </w:pPr>
      <w:r w:rsidRPr="0095395A">
        <w:rPr>
          <w:rFonts w:ascii="Verdana" w:eastAsia="Arial" w:hAnsi="Verdana" w:cs="Arial"/>
          <w:sz w:val="20"/>
          <w:szCs w:val="20"/>
          <w:lang w:eastAsia="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5395A">
        <w:rPr>
          <w:rFonts w:ascii="Verdana" w:eastAsia="Arial" w:hAnsi="Verdana" w:cs="Arial"/>
          <w:sz w:val="20"/>
          <w:szCs w:val="20"/>
          <w:lang w:eastAsia="es-ES"/>
        </w:rPr>
        <w:t>autoridades públicas</w:t>
      </w:r>
      <w:proofErr w:type="gramEnd"/>
      <w:r w:rsidRPr="0095395A">
        <w:rPr>
          <w:rFonts w:ascii="Verdana" w:eastAsia="Arial" w:hAnsi="Verdana" w:cs="Arial"/>
          <w:sz w:val="20"/>
          <w:szCs w:val="20"/>
          <w:lang w:eastAsia="es-ES"/>
        </w:rPr>
        <w:t xml:space="preserve"> y, a través de ese conocimiento, a exigir que ellas se surtan conforme a la ley</w:t>
      </w:r>
      <w:r w:rsidRPr="0095395A">
        <w:rPr>
          <w:rFonts w:ascii="Verdana" w:hAnsi="Verdana"/>
          <w:sz w:val="20"/>
          <w:szCs w:val="20"/>
          <w:vertAlign w:val="superscript"/>
          <w:lang w:eastAsia="es-ES"/>
        </w:rPr>
        <w:footnoteReference w:id="3"/>
      </w:r>
      <w:r w:rsidRPr="0095395A">
        <w:rPr>
          <w:rFonts w:ascii="Verdana" w:eastAsia="Arial" w:hAnsi="Verdana" w:cs="Arial"/>
          <w:sz w:val="20"/>
          <w:szCs w:val="20"/>
          <w:lang w:eastAsia="es-ES"/>
        </w:rPr>
        <w:t>.</w:t>
      </w:r>
    </w:p>
    <w:p w14:paraId="32DE1B2C" w14:textId="77777777" w:rsidR="007A2513" w:rsidRPr="00DB6EFB" w:rsidRDefault="007A2513" w:rsidP="007A2513">
      <w:pPr>
        <w:pStyle w:val="Prrafodelista"/>
        <w:spacing w:after="0" w:line="276" w:lineRule="auto"/>
        <w:ind w:right="709"/>
        <w:jc w:val="both"/>
        <w:rPr>
          <w:rFonts w:ascii="Verdana" w:eastAsia="Arial" w:hAnsi="Verdana" w:cs="Arial"/>
          <w:lang w:eastAsia="es-ES"/>
        </w:rPr>
      </w:pPr>
    </w:p>
    <w:p w14:paraId="0DC54805" w14:textId="77777777" w:rsidR="007A2513" w:rsidRPr="00DB6EFB" w:rsidRDefault="007A2513" w:rsidP="007A2513">
      <w:pPr>
        <w:pStyle w:val="Prrafodelista"/>
        <w:numPr>
          <w:ilvl w:val="0"/>
          <w:numId w:val="17"/>
        </w:numPr>
        <w:spacing w:after="0" w:line="276" w:lineRule="auto"/>
        <w:jc w:val="both"/>
        <w:rPr>
          <w:rFonts w:ascii="Verdana" w:eastAsia="Arial" w:hAnsi="Verdana" w:cs="Arial"/>
          <w:lang w:eastAsia="es-ES"/>
        </w:rPr>
      </w:pPr>
      <w:r w:rsidRPr="00DB6EFB">
        <w:rPr>
          <w:rFonts w:ascii="Verdana" w:eastAsia="Arial" w:hAnsi="Verdana" w:cs="Arial"/>
          <w:lang w:eastAsia="es-ES"/>
        </w:rPr>
        <w:t xml:space="preserve">El principio de publicidad impone a las autoridades administrativas el deber de dar a conocer sus actos, contratos y decisiones, para que se divulguen y eventualmente se controlen dichas actuaciones. Es por eso </w:t>
      </w:r>
      <w:proofErr w:type="gramStart"/>
      <w:r w:rsidRPr="00DB6EFB">
        <w:rPr>
          <w:rFonts w:ascii="Verdana" w:eastAsia="Arial" w:hAnsi="Verdana" w:cs="Arial"/>
          <w:lang w:eastAsia="es-ES"/>
        </w:rPr>
        <w:t>que</w:t>
      </w:r>
      <w:proofErr w:type="gramEnd"/>
      <w:r w:rsidRPr="00DB6EFB">
        <w:rPr>
          <w:rFonts w:ascii="Verdana" w:eastAsia="Arial" w:hAnsi="Verdana" w:cs="Arial"/>
          <w:lang w:eastAsia="es-ES"/>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DB6EFB">
        <w:rPr>
          <w:rFonts w:ascii="Verdana" w:hAnsi="Verdana"/>
          <w:vertAlign w:val="superscript"/>
          <w:lang w:eastAsia="es-ES"/>
        </w:rPr>
        <w:footnoteReference w:id="4"/>
      </w:r>
      <w:r w:rsidRPr="00DB6EFB">
        <w:rPr>
          <w:rFonts w:ascii="Verdana" w:eastAsia="Arial" w:hAnsi="Verdana" w:cs="Arial"/>
          <w:lang w:eastAsia="es-ES"/>
        </w:rPr>
        <w:t xml:space="preserve">. </w:t>
      </w:r>
    </w:p>
    <w:p w14:paraId="6468A3E8" w14:textId="77777777" w:rsidR="007A2513" w:rsidRPr="00DB6EFB" w:rsidRDefault="007A2513" w:rsidP="007A2513">
      <w:pPr>
        <w:pStyle w:val="Prrafodelista"/>
        <w:spacing w:after="0" w:line="276" w:lineRule="auto"/>
        <w:jc w:val="both"/>
        <w:rPr>
          <w:rFonts w:ascii="Verdana" w:eastAsia="Arial" w:hAnsi="Verdana" w:cs="Arial"/>
          <w:lang w:eastAsia="es-ES"/>
        </w:rPr>
      </w:pPr>
    </w:p>
    <w:p w14:paraId="1D64EF0C" w14:textId="77777777" w:rsidR="007A2513" w:rsidRPr="00DB6EFB" w:rsidRDefault="007A2513" w:rsidP="007A2513">
      <w:pPr>
        <w:pStyle w:val="Prrafodelista"/>
        <w:numPr>
          <w:ilvl w:val="0"/>
          <w:numId w:val="17"/>
        </w:numPr>
        <w:spacing w:before="120" w:after="0" w:line="276" w:lineRule="auto"/>
        <w:jc w:val="both"/>
        <w:rPr>
          <w:rFonts w:ascii="Verdana" w:eastAsia="Arial" w:hAnsi="Verdana" w:cs="Arial"/>
        </w:rPr>
      </w:pPr>
      <w:r w:rsidRPr="00DB6EFB">
        <w:rPr>
          <w:rFonts w:ascii="Verdana" w:eastAsia="Arial" w:hAnsi="Verdana" w:cs="Arial"/>
          <w:lang w:eastAsia="es-ES"/>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DB6EFB">
        <w:rPr>
          <w:rFonts w:ascii="Verdana" w:hAnsi="Verdana"/>
          <w:vertAlign w:val="superscript"/>
          <w:lang w:eastAsia="es-ES"/>
        </w:rPr>
        <w:footnoteReference w:id="5"/>
      </w:r>
      <w:r w:rsidRPr="00DB6EFB">
        <w:rPr>
          <w:rFonts w:ascii="Verdana" w:eastAsia="Arial" w:hAnsi="Verdana" w:cs="Arial"/>
          <w:lang w:eastAsia="es-ES"/>
        </w:rPr>
        <w:t xml:space="preserve">. El principio de transparencia en la información alude al deber de los sujetos de proporcionar y facilitar el acceso a la misma en los términos más amplios posibles, y a través de los medios y procedimientos legales. </w:t>
      </w:r>
      <w:r w:rsidRPr="00DB6EFB">
        <w:rPr>
          <w:rFonts w:ascii="Verdana" w:eastAsia="Arial" w:hAnsi="Verdana" w:cs="Arial"/>
        </w:rPr>
        <w:t>Y el principio de buena fe hace referencia al deber de todo sujeto obligado de cumplir con las obligaciones derivadas del derecho de acceso a la información pública con motivación honesta, leal y desprovista de cualquier intención dolosa o culposa</w:t>
      </w:r>
      <w:r w:rsidRPr="00DB6EFB">
        <w:rPr>
          <w:rStyle w:val="Refdenotaalpie"/>
          <w:rFonts w:ascii="Verdana" w:eastAsia="Arial" w:hAnsi="Verdana" w:cs="Arial"/>
        </w:rPr>
        <w:footnoteReference w:id="6"/>
      </w:r>
      <w:r w:rsidRPr="00DB6EFB">
        <w:rPr>
          <w:rFonts w:ascii="Verdana" w:eastAsia="Arial" w:hAnsi="Verdana" w:cs="Arial"/>
        </w:rPr>
        <w:t>.</w:t>
      </w:r>
    </w:p>
    <w:p w14:paraId="44336B30" w14:textId="77777777" w:rsidR="007A2513" w:rsidRPr="00DB6EFB" w:rsidRDefault="007A2513" w:rsidP="007A2513">
      <w:pPr>
        <w:pStyle w:val="Prrafodelista"/>
        <w:rPr>
          <w:rFonts w:ascii="Verdana" w:eastAsia="Arial" w:hAnsi="Verdana" w:cs="Arial"/>
        </w:rPr>
      </w:pPr>
    </w:p>
    <w:p w14:paraId="03A3E363" w14:textId="77777777" w:rsidR="007A2513" w:rsidRPr="00DB6EFB" w:rsidRDefault="007A2513" w:rsidP="007A2513">
      <w:pPr>
        <w:pStyle w:val="Prrafodelista"/>
        <w:numPr>
          <w:ilvl w:val="0"/>
          <w:numId w:val="17"/>
        </w:numPr>
        <w:spacing w:before="120" w:after="0" w:line="276" w:lineRule="auto"/>
        <w:jc w:val="both"/>
        <w:rPr>
          <w:rFonts w:ascii="Verdana" w:eastAsia="Arial" w:hAnsi="Verdana" w:cs="Arial"/>
        </w:rPr>
      </w:pPr>
      <w:r w:rsidRPr="00DB6EFB">
        <w:rPr>
          <w:rFonts w:ascii="Verdana" w:eastAsia="Arial" w:hAnsi="Verdana" w:cs="Arial"/>
        </w:rPr>
        <w:t xml:space="preserve">En el literal e) del artículo 9, la ley citada establece que los </w:t>
      </w:r>
      <w:r w:rsidRPr="00DB6EFB">
        <w:rPr>
          <w:rFonts w:ascii="Verdana" w:eastAsia="Arial" w:hAnsi="Verdana" w:cs="Arial"/>
          <w:i/>
          <w:iCs/>
        </w:rPr>
        <w:t>sujetos obligados</w:t>
      </w:r>
      <w:r w:rsidRPr="00DB6EFB">
        <w:rPr>
          <w:rFonts w:ascii="Verdana" w:hAnsi="Verdana"/>
          <w:vertAlign w:val="superscript"/>
        </w:rPr>
        <w:footnoteReference w:id="7"/>
      </w:r>
      <w:r w:rsidRPr="00DB6EFB">
        <w:rPr>
          <w:rFonts w:ascii="Verdana" w:eastAsia="Arial" w:hAnsi="Verdana" w:cs="Arial"/>
        </w:rPr>
        <w:t xml:space="preserve"> deben publicar la información relativa a su contratación. El artículo 5 </w:t>
      </w:r>
      <w:r w:rsidRPr="00DB6EFB">
        <w:rPr>
          <w:rFonts w:ascii="Verdana" w:eastAsia="Arial" w:hAnsi="Verdana" w:cs="Arial"/>
          <w:i/>
          <w:iCs/>
        </w:rPr>
        <w:t>ibidem</w:t>
      </w:r>
      <w:r w:rsidRPr="00DB6EFB">
        <w:rPr>
          <w:rFonts w:ascii="Verdana" w:eastAsia="Arial" w:hAnsi="Verdana" w:cs="Arial"/>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14:paraId="4157035D" w14:textId="77777777" w:rsidR="007A2513" w:rsidRPr="00DB6EFB" w:rsidRDefault="007A2513" w:rsidP="007A2513">
      <w:pPr>
        <w:pStyle w:val="Prrafodelista"/>
        <w:rPr>
          <w:rFonts w:ascii="Verdana" w:eastAsia="Arial" w:hAnsi="Verdana" w:cs="Arial"/>
        </w:rPr>
      </w:pPr>
    </w:p>
    <w:p w14:paraId="4228DBAE" w14:textId="77777777" w:rsidR="007A2513" w:rsidRPr="00DB6EFB" w:rsidRDefault="007A2513" w:rsidP="007A2513">
      <w:pPr>
        <w:pStyle w:val="Prrafodelista"/>
        <w:numPr>
          <w:ilvl w:val="0"/>
          <w:numId w:val="17"/>
        </w:numPr>
        <w:spacing w:before="120" w:after="0" w:line="276" w:lineRule="auto"/>
        <w:jc w:val="both"/>
        <w:rPr>
          <w:rFonts w:ascii="Verdana" w:eastAsia="Arial" w:hAnsi="Verdana" w:cs="Arial"/>
          <w:lang w:eastAsia="es-ES"/>
        </w:rPr>
      </w:pPr>
      <w:r w:rsidRPr="00DB6EFB">
        <w:rPr>
          <w:rFonts w:ascii="Verdana" w:eastAsia="Arial" w:hAnsi="Verdana" w:cs="Arial"/>
        </w:rPr>
        <w:lastRenderedPageBreak/>
        <w:t>La anterior obligación fue desarrollada por el Decreto Único Reglamentario 1081 de 2015</w:t>
      </w:r>
      <w:r w:rsidRPr="00DB6EFB">
        <w:rPr>
          <w:rFonts w:ascii="Verdana" w:hAnsi="Verdana"/>
          <w:vertAlign w:val="superscript"/>
        </w:rPr>
        <w:footnoteReference w:id="8"/>
      </w:r>
      <w:r w:rsidRPr="00DB6EFB">
        <w:rPr>
          <w:rFonts w:ascii="Verdana" w:eastAsia="Arial" w:hAnsi="Verdana" w:cs="Arial"/>
        </w:rPr>
        <w:t xml:space="preserve">, el cual dispuso que la publicación de la información contractual de los sujetos obligados, que contratan con cargo a recursos públicos, debe hacerse en el Sistema Electrónico para la Contratación Pública −SECOP–. </w:t>
      </w:r>
    </w:p>
    <w:p w14:paraId="34807455" w14:textId="77777777" w:rsidR="007A2513" w:rsidRPr="00DB6EFB" w:rsidRDefault="007A2513" w:rsidP="007A2513">
      <w:pPr>
        <w:pStyle w:val="Prrafodelista"/>
        <w:rPr>
          <w:rFonts w:ascii="Verdana" w:eastAsia="Arial" w:hAnsi="Verdana" w:cs="Arial"/>
          <w:lang w:eastAsia="es-ES"/>
        </w:rPr>
      </w:pPr>
    </w:p>
    <w:p w14:paraId="3EFBBDB7" w14:textId="77777777" w:rsidR="007A2513" w:rsidRPr="00DB6EFB" w:rsidRDefault="007A2513" w:rsidP="007A2513">
      <w:pPr>
        <w:pStyle w:val="Prrafodelista"/>
        <w:numPr>
          <w:ilvl w:val="0"/>
          <w:numId w:val="17"/>
        </w:numPr>
        <w:spacing w:before="120" w:after="0" w:line="276" w:lineRule="auto"/>
        <w:jc w:val="both"/>
        <w:rPr>
          <w:rFonts w:ascii="Verdana" w:eastAsia="Arial" w:hAnsi="Verdana" w:cs="Arial"/>
          <w:lang w:eastAsia="es-ES"/>
        </w:rPr>
      </w:pPr>
      <w:r w:rsidRPr="00DB6EFB">
        <w:rPr>
          <w:rFonts w:ascii="Verdana" w:eastAsia="Arial" w:hAnsi="Verdana" w:cs="Arial"/>
          <w:lang w:eastAsia="es-ES"/>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DB6EFB">
        <w:rPr>
          <w:rFonts w:ascii="Verdana" w:hAnsi="Verdana"/>
          <w:vertAlign w:val="superscript"/>
          <w:lang w:eastAsia="es-ES"/>
        </w:rPr>
        <w:footnoteReference w:id="9"/>
      </w:r>
      <w:r w:rsidRPr="00DB6EFB">
        <w:rPr>
          <w:rFonts w:ascii="Verdana" w:eastAsia="Arial" w:hAnsi="Verdana" w:cs="Arial"/>
          <w:lang w:eastAsia="es-ES"/>
        </w:rPr>
        <w:t>.</w:t>
      </w:r>
    </w:p>
    <w:p w14:paraId="5AA9F157" w14:textId="77777777" w:rsidR="007A2513" w:rsidRPr="00DB6EFB" w:rsidRDefault="007A2513" w:rsidP="007A2513">
      <w:pPr>
        <w:pStyle w:val="Prrafodelista"/>
        <w:rPr>
          <w:rFonts w:ascii="Verdana" w:eastAsia="Arial" w:hAnsi="Verdana" w:cs="Arial"/>
          <w:lang w:eastAsia="es-ES"/>
        </w:rPr>
      </w:pPr>
    </w:p>
    <w:p w14:paraId="449C8AF8" w14:textId="77777777" w:rsidR="007A2513" w:rsidRPr="00DB6EFB" w:rsidRDefault="007A2513" w:rsidP="007A2513">
      <w:pPr>
        <w:pStyle w:val="Prrafodelista"/>
        <w:numPr>
          <w:ilvl w:val="0"/>
          <w:numId w:val="17"/>
        </w:numPr>
        <w:spacing w:before="120" w:after="0" w:line="276" w:lineRule="auto"/>
        <w:jc w:val="both"/>
        <w:rPr>
          <w:rFonts w:ascii="Verdana" w:eastAsia="Arial" w:hAnsi="Verdana" w:cs="Arial"/>
          <w:lang w:eastAsia="es-ES"/>
        </w:rPr>
      </w:pPr>
      <w:r w:rsidRPr="00DB6EFB">
        <w:rPr>
          <w:rFonts w:ascii="Verdana" w:eastAsia="Arial" w:hAnsi="Verdana" w:cs="Arial"/>
          <w:lang w:eastAsia="es-ES"/>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DB6EFB">
        <w:rPr>
          <w:rFonts w:ascii="Verdana" w:hAnsi="Verdana"/>
          <w:vertAlign w:val="superscript"/>
          <w:lang w:eastAsia="es-ES"/>
        </w:rPr>
        <w:footnoteReference w:id="10"/>
      </w:r>
      <w:r w:rsidRPr="00DB6EFB">
        <w:rPr>
          <w:rFonts w:ascii="Verdana" w:eastAsia="Arial" w:hAnsi="Verdana" w:cs="Arial"/>
          <w:lang w:eastAsia="es-ES"/>
        </w:rPr>
        <w:t xml:space="preserve">. Este deber, como se verá más adelante, permanece vigente, incluso con el auto del 25 de febrero de 2021. Además, la Circular Externa Única, en el numeral 1.1., estableció, de manera enunciativa, que deben publicar en el SECOP: “2. Las entidades del Estado que tienen un régimen </w:t>
      </w:r>
      <w:r w:rsidRPr="00DB6EFB">
        <w:rPr>
          <w:rFonts w:ascii="Verdana" w:eastAsia="Arial" w:hAnsi="Verdana" w:cs="Arial"/>
          <w:lang w:eastAsia="es-ES"/>
        </w:rPr>
        <w:lastRenderedPageBreak/>
        <w:t>especial de contratación, siempre y cuando el contrato ejecute o tenga como fuente de financiación dineros públicos, sin importar su proporción, a través del módulo [Régimen Especial], de acuerdo con lo establecido en su propio manual de contratación”.</w:t>
      </w:r>
      <w:r w:rsidRPr="00DB6EFB">
        <w:rPr>
          <w:rFonts w:ascii="Verdana" w:eastAsia="Arial" w:hAnsi="Verdana" w:cs="Arial"/>
        </w:rPr>
        <w:t xml:space="preserve"> Además de lo anterior, es de precisar que el artículo 3 de la Ley 1150 de 2007 ya había establecido que el Sistema Electrónico para la Contratación Pública – SECOP “Contará con la información oficial de la contratación realizada con dineros públicos”</w:t>
      </w:r>
      <w:r w:rsidRPr="00DB6EFB">
        <w:rPr>
          <w:rStyle w:val="Refdenotaalpie"/>
          <w:rFonts w:ascii="Verdana" w:eastAsia="Arial" w:hAnsi="Verdana" w:cs="Arial"/>
        </w:rPr>
        <w:footnoteReference w:id="11"/>
      </w:r>
      <w:r w:rsidRPr="00DB6EFB">
        <w:rPr>
          <w:rFonts w:ascii="Verdana" w:eastAsia="Arial" w:hAnsi="Verdana" w:cs="Arial"/>
        </w:rPr>
        <w:t>.</w:t>
      </w:r>
    </w:p>
    <w:p w14:paraId="448C294E" w14:textId="77777777" w:rsidR="007A2513" w:rsidRPr="00DB6EFB" w:rsidRDefault="007A2513" w:rsidP="007A2513">
      <w:pPr>
        <w:pStyle w:val="Prrafodelista"/>
        <w:spacing w:after="0" w:line="276" w:lineRule="auto"/>
        <w:jc w:val="both"/>
        <w:rPr>
          <w:rFonts w:ascii="Verdana" w:eastAsia="Arial" w:hAnsi="Verdana" w:cs="Arial"/>
          <w:lang w:val="es-MX"/>
        </w:rPr>
      </w:pPr>
    </w:p>
    <w:p w14:paraId="50196DAD" w14:textId="77777777" w:rsidR="007A2513" w:rsidRPr="00DB6EFB" w:rsidRDefault="007A2513" w:rsidP="007A2513">
      <w:pPr>
        <w:pStyle w:val="Prrafodelista"/>
        <w:numPr>
          <w:ilvl w:val="0"/>
          <w:numId w:val="17"/>
        </w:numPr>
        <w:spacing w:after="120" w:line="276" w:lineRule="auto"/>
        <w:jc w:val="both"/>
        <w:rPr>
          <w:rFonts w:ascii="Verdana" w:eastAsia="Arial" w:hAnsi="Verdana" w:cs="Arial"/>
          <w:lang w:val="es-MX"/>
        </w:rPr>
      </w:pPr>
      <w:r w:rsidRPr="00DB6EFB">
        <w:rPr>
          <w:rFonts w:ascii="Verdana" w:eastAsia="Arial" w:hAnsi="Verdana" w:cs="Arial"/>
          <w:lang w:val="es-MX"/>
        </w:rPr>
        <w:t>Ahora bien, 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DB6EFB">
        <w:rPr>
          <w:rFonts w:ascii="Verdana" w:hAnsi="Verdana"/>
          <w:vertAlign w:val="superscript"/>
          <w:lang w:val="es-MX"/>
        </w:rPr>
        <w:footnoteReference w:id="12"/>
      </w:r>
      <w:r w:rsidRPr="00DB6EFB">
        <w:rPr>
          <w:rFonts w:ascii="Verdana" w:eastAsia="Arial" w:hAnsi="Verdana" w:cs="Arial"/>
          <w:lang w:val="es-MX"/>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7A91659A" w14:textId="77777777" w:rsidR="007A2513" w:rsidRPr="00DB6EFB" w:rsidRDefault="007A2513" w:rsidP="007A2513">
      <w:pPr>
        <w:pStyle w:val="Prrafodelista"/>
        <w:rPr>
          <w:rFonts w:ascii="Verdana" w:eastAsia="Arial" w:hAnsi="Verdana" w:cs="Arial"/>
          <w:lang w:val="es-MX"/>
        </w:rPr>
      </w:pPr>
    </w:p>
    <w:p w14:paraId="36F3CA65" w14:textId="77777777" w:rsidR="007A2513" w:rsidRPr="00DB6EFB" w:rsidRDefault="007A2513" w:rsidP="007A2513">
      <w:pPr>
        <w:pStyle w:val="Prrafodelista"/>
        <w:numPr>
          <w:ilvl w:val="0"/>
          <w:numId w:val="17"/>
        </w:numPr>
        <w:spacing w:before="120" w:after="120" w:line="276" w:lineRule="auto"/>
        <w:jc w:val="both"/>
        <w:rPr>
          <w:rFonts w:ascii="Verdana" w:eastAsia="Arial" w:hAnsi="Verdana" w:cs="Arial"/>
          <w:lang w:val="es-MX"/>
        </w:rPr>
      </w:pPr>
      <w:r w:rsidRPr="00DB6EFB">
        <w:rPr>
          <w:rFonts w:ascii="Verdana" w:eastAsia="Arial" w:hAnsi="Verdana" w:cs="Arial"/>
          <w:lang w:val="es-MX"/>
        </w:rPr>
        <w:lastRenderedPageBreak/>
        <w:t xml:space="preserve">La norma citada genera un cambio en la contratación pública, donde las actuaciones de las entidades se realizaban por escrito y en papel, y ahora se cuenta con un mecanismo eficiente que reduce costos para que se cumpla el principio de publicidad, como un deber de las </w:t>
      </w:r>
      <w:proofErr w:type="gramStart"/>
      <w:r w:rsidRPr="00DB6EFB">
        <w:rPr>
          <w:rFonts w:ascii="Verdana" w:eastAsia="Arial" w:hAnsi="Verdana" w:cs="Arial"/>
          <w:lang w:val="es-MX"/>
        </w:rPr>
        <w:t>autoridades públicas</w:t>
      </w:r>
      <w:proofErr w:type="gramEnd"/>
      <w:r w:rsidRPr="00DB6EFB">
        <w:rPr>
          <w:rFonts w:ascii="Verdana" w:eastAsia="Arial" w:hAnsi="Verdana" w:cs="Arial"/>
          <w:lang w:val="es-MX"/>
        </w:rPr>
        <w:t xml:space="preserve"> en el ejercicio de las funciones administrativas que la ley les otorga. No obstante, es necesario aclarar que la norma no impone como requisito que únicamente se deba publicar en el SECOP cuando se ejecuten recursos públicos, ya que el deber de publicidad es amplio. Esto teniendo en cuenta que la obligación está prevista en una norma que aplica a las entidades, sin que sea relevante en el cumplimiento de este deber la ejecución o no de recursos públicos.</w:t>
      </w:r>
    </w:p>
    <w:p w14:paraId="41A84B80" w14:textId="77777777" w:rsidR="007A2513" w:rsidRPr="00DB6EFB" w:rsidRDefault="007A2513" w:rsidP="007A2513">
      <w:pPr>
        <w:pStyle w:val="Prrafodelista"/>
        <w:rPr>
          <w:rFonts w:ascii="Verdana" w:eastAsia="Arial" w:hAnsi="Verdana" w:cs="Arial"/>
          <w:lang w:val="es-MX"/>
        </w:rPr>
      </w:pPr>
    </w:p>
    <w:p w14:paraId="706539ED" w14:textId="77777777" w:rsidR="007A2513" w:rsidRPr="00DB6EFB" w:rsidRDefault="007A2513" w:rsidP="007A2513">
      <w:pPr>
        <w:pStyle w:val="Prrafodelista"/>
        <w:numPr>
          <w:ilvl w:val="0"/>
          <w:numId w:val="17"/>
        </w:numPr>
        <w:spacing w:before="120" w:after="120" w:line="276" w:lineRule="auto"/>
        <w:jc w:val="both"/>
        <w:rPr>
          <w:rFonts w:ascii="Verdana" w:eastAsia="Arial" w:hAnsi="Verdana" w:cs="Arial"/>
          <w:lang w:val="es-MX"/>
        </w:rPr>
      </w:pPr>
      <w:r w:rsidRPr="00DB6EFB">
        <w:rPr>
          <w:rFonts w:ascii="Verdana" w:eastAsia="Arial" w:hAnsi="Verdana" w:cs="Arial"/>
          <w:lang w:val="es-MX"/>
        </w:rPr>
        <w:t xml:space="preserve">Además, es preciso analizar en detalle el artículo 3 de la Ley 1150 de 2007, ya que prescribe la obligación de que la actividad contractual de las entidades se publique en el SECOP, sin que esta, necesaria y exclusivamente,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Esto debe armonizarse con el artículo 2.2.1.1.1.7.1. del Decreto 1082 de 2015, que relaciona los documentos que se deben publicar en el SECOP, sin que se haga referencia a aquellos actos que ejecuten recursos públicos. </w:t>
      </w:r>
    </w:p>
    <w:p w14:paraId="766C1D6C" w14:textId="77777777" w:rsidR="007A2513" w:rsidRPr="00DB6EFB" w:rsidRDefault="007A2513" w:rsidP="007A2513">
      <w:pPr>
        <w:pStyle w:val="Prrafodelista"/>
        <w:rPr>
          <w:rFonts w:ascii="Verdana" w:eastAsia="Arial" w:hAnsi="Verdana" w:cs="Arial"/>
          <w:lang w:val="es-MX"/>
        </w:rPr>
      </w:pPr>
    </w:p>
    <w:p w14:paraId="2CB1C0D5" w14:textId="77777777" w:rsidR="007A2513" w:rsidRPr="00DB6EFB" w:rsidRDefault="007A2513" w:rsidP="007A2513">
      <w:pPr>
        <w:pStyle w:val="Prrafodelista"/>
        <w:numPr>
          <w:ilvl w:val="0"/>
          <w:numId w:val="17"/>
        </w:numPr>
        <w:spacing w:before="120" w:after="120" w:line="276" w:lineRule="auto"/>
        <w:jc w:val="both"/>
        <w:rPr>
          <w:rFonts w:ascii="Verdana" w:eastAsia="Arial" w:hAnsi="Verdana" w:cs="Arial"/>
          <w:lang w:val="es-MX"/>
        </w:rPr>
      </w:pPr>
      <w:r w:rsidRPr="00DB6EFB">
        <w:rPr>
          <w:rFonts w:ascii="Verdana" w:eastAsia="Arial" w:hAnsi="Verdana" w:cs="Arial"/>
          <w:lang w:val="es-MX"/>
        </w:rPr>
        <w:t>Así, analizando las normas sobre publicidad en el SECOP, se concluye que no existen disposiciones de las que se pueda inferir el interés de la ley en exigir la publicación exclusiva de los actos que comprometan la ejecución de recursos públicos, puesto que su objetivo es general y se refiere a la actividad precontractual, contractual y poscontractual de las entidades, sin que quepa interpretación diferente, debido a la finalidad de la ley respecto de la ciudadanía y su derecho a conocer las decisiones de la Administración pública.</w:t>
      </w:r>
    </w:p>
    <w:p w14:paraId="3A3F63F3" w14:textId="77777777" w:rsidR="007A2513" w:rsidRPr="00DB6EFB" w:rsidRDefault="007A2513" w:rsidP="007A2513">
      <w:pPr>
        <w:pStyle w:val="Prrafodelista"/>
        <w:rPr>
          <w:rFonts w:ascii="Verdana" w:eastAsia="Arial" w:hAnsi="Verdana" w:cs="Arial"/>
          <w:lang w:val="es-MX"/>
        </w:rPr>
      </w:pPr>
    </w:p>
    <w:p w14:paraId="2CEA4070" w14:textId="77777777" w:rsidR="007A2513" w:rsidRPr="0095395A" w:rsidRDefault="007A2513" w:rsidP="007A2513">
      <w:pPr>
        <w:pStyle w:val="Prrafodelista"/>
        <w:numPr>
          <w:ilvl w:val="0"/>
          <w:numId w:val="17"/>
        </w:numPr>
        <w:spacing w:line="276" w:lineRule="auto"/>
        <w:jc w:val="both"/>
        <w:rPr>
          <w:rFonts w:ascii="Verdana" w:eastAsia="Arial" w:hAnsi="Verdana" w:cs="Arial"/>
          <w:lang w:val="es-MX"/>
        </w:rPr>
      </w:pPr>
      <w:r w:rsidRPr="00DB6EFB">
        <w:rPr>
          <w:rFonts w:ascii="Verdana" w:eastAsia="Arial" w:hAnsi="Verdana" w:cs="Arial"/>
          <w:lang w:val="es-MX"/>
        </w:rPr>
        <w:t>La Corte Constitucional hizo énfasis en la transición de la actividad contractual impresa, que se publicaba en el Diario Único de Contratación, a una contratación pública electrónica desarrollada mediante el SECOP:</w:t>
      </w:r>
    </w:p>
    <w:p w14:paraId="31B6D664" w14:textId="77777777" w:rsidR="007A2513" w:rsidRDefault="007A2513" w:rsidP="007A2513">
      <w:pPr>
        <w:pStyle w:val="Prrafodelista"/>
        <w:spacing w:line="240" w:lineRule="auto"/>
        <w:ind w:left="1134" w:right="357"/>
        <w:jc w:val="both"/>
        <w:rPr>
          <w:rFonts w:ascii="Verdana" w:eastAsia="Arial" w:hAnsi="Verdana" w:cs="Arial"/>
          <w:sz w:val="20"/>
          <w:szCs w:val="20"/>
          <w:lang w:val="es-MX"/>
        </w:rPr>
      </w:pPr>
    </w:p>
    <w:p w14:paraId="4E4B7BAA" w14:textId="77777777" w:rsidR="007A2513" w:rsidRPr="0095395A" w:rsidRDefault="007A2513" w:rsidP="007A2513">
      <w:pPr>
        <w:pStyle w:val="Prrafodelista"/>
        <w:spacing w:line="240" w:lineRule="auto"/>
        <w:ind w:left="1134" w:right="357"/>
        <w:jc w:val="both"/>
        <w:rPr>
          <w:rFonts w:ascii="Verdana" w:eastAsia="Arial" w:hAnsi="Verdana" w:cs="Arial"/>
          <w:sz w:val="20"/>
          <w:szCs w:val="20"/>
          <w:lang w:val="es-MX"/>
        </w:rPr>
      </w:pPr>
      <w:r w:rsidRPr="0095395A">
        <w:rPr>
          <w:rFonts w:ascii="Verdana" w:eastAsia="Arial" w:hAnsi="Verdana" w:cs="Arial"/>
          <w:sz w:val="20"/>
          <w:szCs w:val="20"/>
          <w:lang w:val="es-MX"/>
        </w:rPr>
        <w:lastRenderedPageBreak/>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40D41195" w14:textId="77777777" w:rsidR="007A2513" w:rsidRPr="0095395A" w:rsidRDefault="007A2513" w:rsidP="007A2513">
      <w:pPr>
        <w:pStyle w:val="Prrafodelista"/>
        <w:spacing w:line="240" w:lineRule="auto"/>
        <w:ind w:left="1134" w:right="357"/>
        <w:jc w:val="both"/>
        <w:rPr>
          <w:rFonts w:ascii="Verdana" w:eastAsia="Arial" w:hAnsi="Verdana" w:cs="Arial"/>
          <w:sz w:val="20"/>
          <w:szCs w:val="20"/>
          <w:lang w:val="es-MX"/>
        </w:rPr>
      </w:pPr>
      <w:r w:rsidRPr="0095395A">
        <w:rPr>
          <w:rFonts w:ascii="Verdana" w:eastAsia="Arial" w:hAnsi="Verdana" w:cs="Arial"/>
          <w:sz w:val="20"/>
          <w:szCs w:val="20"/>
          <w:lang w:val="es-MX"/>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r w:rsidRPr="0095395A">
        <w:rPr>
          <w:rFonts w:ascii="Verdana" w:hAnsi="Verdana"/>
          <w:sz w:val="20"/>
          <w:szCs w:val="20"/>
          <w:vertAlign w:val="superscript"/>
          <w:lang w:val="es-MX"/>
        </w:rPr>
        <w:footnoteReference w:id="13"/>
      </w:r>
      <w:r w:rsidRPr="0095395A">
        <w:rPr>
          <w:rFonts w:ascii="Verdana" w:eastAsia="Arial" w:hAnsi="Verdana" w:cs="Arial"/>
          <w:sz w:val="20"/>
          <w:szCs w:val="20"/>
          <w:lang w:val="es-MX"/>
        </w:rPr>
        <w:t>.</w:t>
      </w:r>
    </w:p>
    <w:p w14:paraId="22B35F64" w14:textId="77777777" w:rsidR="007A2513" w:rsidRPr="00DB6EFB" w:rsidRDefault="007A2513" w:rsidP="007A2513">
      <w:pPr>
        <w:pStyle w:val="Prrafodelista"/>
        <w:ind w:right="680"/>
        <w:jc w:val="both"/>
        <w:rPr>
          <w:rFonts w:ascii="Verdana" w:eastAsia="Arial" w:hAnsi="Verdana" w:cs="Arial"/>
          <w:sz w:val="21"/>
          <w:szCs w:val="21"/>
          <w:lang w:val="es-MX"/>
        </w:rPr>
      </w:pPr>
    </w:p>
    <w:p w14:paraId="565F4622" w14:textId="77777777" w:rsidR="007A2513" w:rsidRPr="00DB6EFB" w:rsidRDefault="007A2513" w:rsidP="007A2513">
      <w:pPr>
        <w:pStyle w:val="Prrafodelista"/>
        <w:numPr>
          <w:ilvl w:val="0"/>
          <w:numId w:val="17"/>
        </w:numPr>
        <w:spacing w:line="276" w:lineRule="auto"/>
        <w:ind w:right="49"/>
        <w:jc w:val="both"/>
        <w:rPr>
          <w:rFonts w:ascii="Verdana" w:eastAsia="Arial" w:hAnsi="Verdana" w:cs="Arial"/>
          <w:lang w:val="es-MX"/>
        </w:rPr>
      </w:pPr>
      <w:r w:rsidRPr="00DB6EFB">
        <w:rPr>
          <w:rFonts w:ascii="Verdana" w:eastAsia="Arial" w:hAnsi="Verdana" w:cs="Arial"/>
          <w:lang w:val="es-MX"/>
        </w:rPr>
        <w:t>De acuerdo con lo anterior, sobre la obligatoriedad de publicar en el SECOP contratos sin erogación presupuestal ya se había pronunciado esta Agencia en el concepto C-087 del 4 marzo de 2020, en el que al responder a la pregunta “¿Se debe publicar en el SECOP II los contratos de arrendamiento o comodato donde el municipio no desembolsa recursos?” consideró que:</w:t>
      </w:r>
    </w:p>
    <w:p w14:paraId="20127925" w14:textId="77777777" w:rsidR="007A2513" w:rsidRPr="00DB6EFB" w:rsidRDefault="007A2513" w:rsidP="007A2513">
      <w:pPr>
        <w:pStyle w:val="Prrafodelista"/>
        <w:spacing w:line="276" w:lineRule="auto"/>
        <w:ind w:right="49"/>
        <w:jc w:val="both"/>
        <w:rPr>
          <w:rFonts w:ascii="Verdana" w:eastAsia="Arial" w:hAnsi="Verdana" w:cs="Arial"/>
          <w:lang w:val="es-MX"/>
        </w:rPr>
      </w:pPr>
    </w:p>
    <w:p w14:paraId="7FBE3E67" w14:textId="77777777" w:rsidR="007A2513" w:rsidRPr="00DB6EFB" w:rsidRDefault="007A2513" w:rsidP="007A2513">
      <w:pPr>
        <w:pStyle w:val="Prrafodelista"/>
        <w:spacing w:line="240" w:lineRule="auto"/>
        <w:ind w:left="1134" w:right="357"/>
        <w:jc w:val="both"/>
        <w:rPr>
          <w:rFonts w:ascii="Verdana" w:eastAsia="Arial" w:hAnsi="Verdana" w:cs="Arial"/>
          <w:sz w:val="20"/>
          <w:szCs w:val="20"/>
          <w:lang w:val="es-MX"/>
        </w:rPr>
      </w:pPr>
      <w:r w:rsidRPr="00DB6EFB">
        <w:rPr>
          <w:rFonts w:ascii="Verdana" w:eastAsia="Arial" w:hAnsi="Verdana" w:cs="Arial"/>
          <w:sz w:val="20"/>
          <w:szCs w:val="20"/>
          <w:lang w:val="es-MX"/>
        </w:rPr>
        <w:t>“[…] la obligatoriedad de publicar las actuaciones contractuales de las entidades no está sujeta a la ejecución de recursos públicos, por ende, las entidades deben publicar los documentos relacionados con sus procedimientos contractuales, que según el artículo 2.2.1.1.1.3.1. del Decreto 1082 de 2015, incluyen el contrato y cualquier otro documento expedido por la entidad en el desarrollo de esa actividad”</w:t>
      </w:r>
      <w:r w:rsidRPr="00DB6EFB">
        <w:rPr>
          <w:rFonts w:ascii="Verdana" w:hAnsi="Verdana"/>
          <w:sz w:val="20"/>
          <w:szCs w:val="20"/>
          <w:vertAlign w:val="superscript"/>
          <w:lang w:val="es-MX"/>
        </w:rPr>
        <w:footnoteReference w:id="14"/>
      </w:r>
      <w:r w:rsidRPr="00DB6EFB">
        <w:rPr>
          <w:rFonts w:ascii="Verdana" w:eastAsia="Arial" w:hAnsi="Verdana" w:cs="Arial"/>
          <w:sz w:val="20"/>
          <w:szCs w:val="20"/>
          <w:lang w:val="es-MX"/>
        </w:rPr>
        <w:t>.</w:t>
      </w:r>
    </w:p>
    <w:p w14:paraId="406CFDF0" w14:textId="77777777" w:rsidR="007A2513" w:rsidRPr="00DB6EFB" w:rsidRDefault="007A2513" w:rsidP="007A2513">
      <w:pPr>
        <w:pStyle w:val="Prrafodelista"/>
        <w:ind w:right="709"/>
        <w:jc w:val="both"/>
        <w:rPr>
          <w:rFonts w:ascii="Verdana" w:eastAsia="Arial" w:hAnsi="Verdana" w:cs="Arial"/>
          <w:sz w:val="21"/>
          <w:szCs w:val="21"/>
          <w:lang w:val="es-MX"/>
        </w:rPr>
      </w:pPr>
    </w:p>
    <w:p w14:paraId="3056B83B" w14:textId="77777777" w:rsidR="007A2513" w:rsidRPr="00DB6EFB" w:rsidRDefault="007A2513" w:rsidP="007A2513">
      <w:pPr>
        <w:pStyle w:val="Prrafodelista"/>
        <w:numPr>
          <w:ilvl w:val="0"/>
          <w:numId w:val="17"/>
        </w:numPr>
        <w:spacing w:after="120" w:line="276" w:lineRule="auto"/>
        <w:jc w:val="both"/>
        <w:rPr>
          <w:rFonts w:ascii="Verdana" w:eastAsia="Arial" w:hAnsi="Verdana" w:cs="Arial"/>
          <w:lang w:val="es-MX"/>
        </w:rPr>
      </w:pPr>
      <w:r w:rsidRPr="00DB6EFB">
        <w:rPr>
          <w:rFonts w:ascii="Verdana" w:eastAsia="Arial" w:hAnsi="Verdana" w:cs="Arial"/>
          <w:lang w:val="es-MX"/>
        </w:rPr>
        <w:lastRenderedPageBreak/>
        <w:t>Debe precisarse que la calidad de contrato estatal obedece a un criterio eminentemente orgánico</w:t>
      </w:r>
      <w:r w:rsidRPr="00DB6EFB">
        <w:rPr>
          <w:rFonts w:ascii="Verdana" w:hAnsi="Verdana"/>
          <w:vertAlign w:val="superscript"/>
          <w:lang w:val="es-MX"/>
        </w:rPr>
        <w:footnoteReference w:id="15"/>
      </w:r>
      <w:r w:rsidRPr="00DB6EFB">
        <w:rPr>
          <w:rFonts w:ascii="Verdana" w:eastAsia="Arial" w:hAnsi="Verdana" w:cs="Arial"/>
          <w:lang w:val="es-MX"/>
        </w:rPr>
        <w:t xml:space="preserve">, por lo que son todos aquellos celebrados por alguna de entidad estatal, de las cuales, las enlistadas en el artículo 2 de la Ley 80 de 1993, están obligadas a aplicar las normas contenidas en dicha ley. No obstante, la Ley 80 de 1993, la Ley 1150 de 1993 y su reglamentación, no constituyen un conjunto de normas que por sí solas gobiernen el grueso de las relaciones contractuales de las entidades estatales –de acuerdo con el artículo 2 </w:t>
      </w:r>
      <w:r w:rsidRPr="00DB6EFB">
        <w:rPr>
          <w:rFonts w:ascii="Verdana" w:eastAsia="Arial" w:hAnsi="Verdana" w:cs="Arial"/>
          <w:i/>
          <w:iCs/>
          <w:lang w:val="es-MX"/>
        </w:rPr>
        <w:t>Ibídem</w:t>
      </w:r>
      <w:r w:rsidRPr="00DB6EFB">
        <w:rPr>
          <w:rFonts w:ascii="Verdana" w:eastAsia="Arial" w:hAnsi="Verdana" w:cs="Arial"/>
          <w:lang w:val="es-MX"/>
        </w:rPr>
        <w:t>–. Por el contrario, constituyen una serie de reglas y principios que deben aplicarse de manera prevalente en los contratos que celebren dichos entes, pero que deben complementarse con el derecho privado, –tal como se desprende de los artículos 13 y 40 de la Ley 80 de 1993</w:t>
      </w:r>
      <w:r w:rsidRPr="00DB6EFB">
        <w:rPr>
          <w:rFonts w:ascii="Verdana" w:hAnsi="Verdana"/>
          <w:vertAlign w:val="superscript"/>
          <w:lang w:val="es-MX"/>
        </w:rPr>
        <w:footnoteReference w:id="16"/>
      </w:r>
      <w:r w:rsidRPr="00DB6EFB">
        <w:rPr>
          <w:rFonts w:ascii="Verdana" w:eastAsia="Arial" w:hAnsi="Verdana" w:cs="Arial"/>
          <w:lang w:val="es-MX"/>
        </w:rPr>
        <w:t>– ámbito jurídico del que surgen la gran mayoría de tipologías contractuales celebradas por las entidades públicas.</w:t>
      </w:r>
    </w:p>
    <w:p w14:paraId="09E67352" w14:textId="77777777" w:rsidR="007A2513" w:rsidRPr="00DB6EFB" w:rsidRDefault="007A2513" w:rsidP="007A2513">
      <w:pPr>
        <w:pStyle w:val="Prrafodelista"/>
        <w:spacing w:after="120" w:line="276" w:lineRule="auto"/>
        <w:jc w:val="both"/>
        <w:rPr>
          <w:rFonts w:ascii="Verdana" w:eastAsia="Arial" w:hAnsi="Verdana" w:cs="Arial"/>
          <w:lang w:val="es-MX"/>
        </w:rPr>
      </w:pPr>
    </w:p>
    <w:p w14:paraId="68E2D9FE" w14:textId="77777777" w:rsidR="007A2513" w:rsidRPr="00DB6EFB" w:rsidRDefault="007A2513" w:rsidP="007A2513">
      <w:pPr>
        <w:pStyle w:val="Prrafodelista"/>
        <w:numPr>
          <w:ilvl w:val="0"/>
          <w:numId w:val="17"/>
        </w:numPr>
        <w:spacing w:line="276" w:lineRule="auto"/>
        <w:jc w:val="both"/>
        <w:rPr>
          <w:rFonts w:ascii="Verdana" w:eastAsia="Arial" w:hAnsi="Verdana" w:cs="Arial"/>
          <w:lang w:val="es-MX"/>
        </w:rPr>
      </w:pPr>
      <w:r w:rsidRPr="00DB6EFB">
        <w:rPr>
          <w:rFonts w:ascii="Verdana" w:eastAsia="Arial" w:hAnsi="Verdana" w:cs="Arial"/>
          <w:lang w:val="es-MX"/>
        </w:rPr>
        <w:t xml:space="preserve">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mediante el artículo </w:t>
      </w:r>
      <w:r w:rsidRPr="00DB6EFB">
        <w:rPr>
          <w:rFonts w:ascii="Verdana" w:eastAsia="Arial" w:hAnsi="Verdana" w:cs="Arial"/>
          <w:lang w:val="es-MX"/>
        </w:rPr>
        <w:lastRenderedPageBreak/>
        <w:t xml:space="preserve">3 de la Ley 1150 de 2007 y la normativa de la transparencia y el acceso a la información pública, materializa los principios de publicidad y transparencia en el ámbito de la contratación estatal, estableciendo el SECOP como medio de publicidad principal de las actuaciones contractuales públicas. </w:t>
      </w:r>
    </w:p>
    <w:p w14:paraId="61D1D0DE" w14:textId="77777777" w:rsidR="007A2513" w:rsidRPr="00DB6EFB" w:rsidRDefault="007A2513" w:rsidP="007A2513">
      <w:pPr>
        <w:pStyle w:val="Prrafodelista"/>
        <w:numPr>
          <w:ilvl w:val="0"/>
          <w:numId w:val="17"/>
        </w:numPr>
        <w:spacing w:after="120" w:line="276" w:lineRule="auto"/>
        <w:jc w:val="both"/>
        <w:rPr>
          <w:rFonts w:ascii="Verdana" w:eastAsia="Arial" w:hAnsi="Verdana" w:cs="Arial"/>
        </w:rPr>
      </w:pPr>
      <w:r w:rsidRPr="00DB6EFB">
        <w:rPr>
          <w:rFonts w:ascii="Verdana" w:eastAsia="Arial" w:hAnsi="Verdana" w:cs="Arial"/>
          <w:lang w:eastAsia="es-CO"/>
        </w:rPr>
        <w:t xml:space="preserve">Por otro lado, </w:t>
      </w:r>
      <w:r w:rsidRPr="00DB6EFB">
        <w:rPr>
          <w:rFonts w:ascii="Verdana" w:eastAsia="Arial" w:hAnsi="Verdana" w:cs="Arial"/>
        </w:rPr>
        <w:t>es importante señalar que, actualmente, la plataforma introducida por el artículo 3 de la Ley 1150 de 2007 cuenta con dos versiones–SECOP I y SECOP II–. La primera de ellas funciona como repositorio y medio de publicidad de la documentación contractual que, luego de ser producida en medio físico, se digitaliza para ser publicada en la plataforma. De otra parte, la segunda versión no solo permite dar publicidad al desarrollo del proceso de contratación, sino que además funciona como plataforma transaccional que</w:t>
      </w:r>
      <w:r w:rsidRPr="00DB6EFB">
        <w:rPr>
          <w:rFonts w:ascii="Verdana" w:eastAsia="Arial" w:hAnsi="Verdana" w:cs="Arial"/>
          <w:lang w:eastAsia="es-ES"/>
        </w:rPr>
        <w:t xml:space="preserve"> permite gestionar en línea todos los procedimientos de contratación con cuentas y usuarios asociados a estas, para las entidades y los proveedores, y vista pública para cualquier interesado en hacer seguimiento a la contratación pública. Esta diferencia fundamental entre las dos versiones del SECOP, tiene incidencia en el cumplimiento del deber de publicidad de las actuaciones contractuales.</w:t>
      </w:r>
    </w:p>
    <w:p w14:paraId="4946CE8E" w14:textId="77777777" w:rsidR="007A2513" w:rsidRPr="00DB6EFB" w:rsidRDefault="007A2513" w:rsidP="007A2513">
      <w:pPr>
        <w:pStyle w:val="Prrafodelista"/>
        <w:spacing w:after="120" w:line="276" w:lineRule="auto"/>
        <w:jc w:val="both"/>
        <w:rPr>
          <w:rFonts w:ascii="Verdana" w:eastAsia="Arial" w:hAnsi="Verdana" w:cs="Arial"/>
        </w:rPr>
      </w:pPr>
    </w:p>
    <w:p w14:paraId="3C6F0BBB" w14:textId="77777777" w:rsidR="007A2513" w:rsidRPr="00DB6EFB" w:rsidRDefault="007A2513" w:rsidP="007A2513">
      <w:pPr>
        <w:pStyle w:val="Prrafodelista"/>
        <w:widowControl w:val="0"/>
        <w:numPr>
          <w:ilvl w:val="0"/>
          <w:numId w:val="17"/>
        </w:numPr>
        <w:autoSpaceDE w:val="0"/>
        <w:autoSpaceDN w:val="0"/>
        <w:spacing w:after="120" w:line="276" w:lineRule="auto"/>
        <w:jc w:val="both"/>
        <w:rPr>
          <w:rFonts w:ascii="Verdana" w:eastAsia="Arial" w:hAnsi="Verdana" w:cs="Arial"/>
          <w:lang w:eastAsia="es-ES"/>
        </w:rPr>
      </w:pPr>
      <w:r w:rsidRPr="00DB6EFB">
        <w:rPr>
          <w:rFonts w:ascii="Verdana" w:eastAsia="Arial" w:hAnsi="Verdana" w:cs="Arial"/>
          <w:lang w:eastAsia="es-ES"/>
        </w:rPr>
        <w:t>Si bien los documentos</w:t>
      </w:r>
      <w:r w:rsidRPr="00DB6EFB">
        <w:rPr>
          <w:rFonts w:ascii="Verdana" w:eastAsia="Arial" w:hAnsi="Verdana" w:cs="Arial"/>
          <w:i/>
          <w:iCs/>
          <w:lang w:eastAsia="es-ES"/>
        </w:rPr>
        <w:t xml:space="preserve"> </w:t>
      </w:r>
      <w:r w:rsidRPr="00DB6EFB">
        <w:rPr>
          <w:rFonts w:ascii="Verdana" w:eastAsia="Arial" w:hAnsi="Verdana" w:cs="Arial"/>
          <w:lang w:eastAsia="es-ES"/>
        </w:rPr>
        <w:t xml:space="preserve">que deben publicarse en el SECOP II son los mismos que deben publicarse en el SECOP I, esto es, todos los expedidos con ocasión el </w:t>
      </w:r>
      <w:r w:rsidRPr="00DB6EFB">
        <w:rPr>
          <w:rFonts w:ascii="Verdana" w:eastAsia="Arial" w:hAnsi="Verdana" w:cs="Arial"/>
          <w:i/>
          <w:iCs/>
          <w:lang w:eastAsia="es-ES"/>
        </w:rPr>
        <w:t>Proceso de Contratación –</w:t>
      </w:r>
      <w:r w:rsidRPr="00DB6EFB">
        <w:rPr>
          <w:rFonts w:ascii="Verdana" w:eastAsia="Arial" w:hAnsi="Verdana" w:cs="Arial"/>
          <w:lang w:eastAsia="es-ES"/>
        </w:rPr>
        <w:t>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el proceso contractual avanza en la medida en la que se generen y aprueben estos documentos y actuaciones electrónicas en la plataforma</w:t>
      </w:r>
      <w:r w:rsidRPr="00DB6EFB">
        <w:rPr>
          <w:rFonts w:ascii="Verdana" w:hAnsi="Verdana"/>
          <w:vertAlign w:val="superscript"/>
          <w:lang w:eastAsia="es-ES"/>
        </w:rPr>
        <w:footnoteReference w:id="17"/>
      </w:r>
      <w:r w:rsidRPr="00DB6EFB">
        <w:rPr>
          <w:rFonts w:ascii="Verdana" w:eastAsia="Arial" w:hAnsi="Verdana" w:cs="Arial"/>
          <w:lang w:eastAsia="es-ES"/>
        </w:rPr>
        <w:t>.</w:t>
      </w:r>
    </w:p>
    <w:p w14:paraId="0B21DF3A" w14:textId="77777777" w:rsidR="007A2513" w:rsidRPr="00DB6EFB" w:rsidRDefault="007A2513" w:rsidP="007A2513">
      <w:pPr>
        <w:widowControl w:val="0"/>
        <w:autoSpaceDE w:val="0"/>
        <w:autoSpaceDN w:val="0"/>
        <w:spacing w:after="0" w:line="276" w:lineRule="auto"/>
        <w:jc w:val="both"/>
        <w:rPr>
          <w:rFonts w:ascii="Verdana" w:hAnsi="Verdana" w:cs="Arial"/>
        </w:rPr>
      </w:pPr>
    </w:p>
    <w:p w14:paraId="2D7D62D4" w14:textId="77777777" w:rsidR="007A2513" w:rsidRPr="00DB6EFB" w:rsidRDefault="007A2513" w:rsidP="007A251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6EFB">
        <w:rPr>
          <w:rFonts w:ascii="Verdana" w:eastAsia="Century Gothic" w:hAnsi="Verdana" w:cs="Century Gothic"/>
          <w:b/>
          <w:bCs/>
        </w:rPr>
        <w:lastRenderedPageBreak/>
        <w:t>Referencias normativas, jurisprudenciales y otras fuentes:</w:t>
      </w:r>
    </w:p>
    <w:p w14:paraId="3E451FAE" w14:textId="77777777" w:rsidR="007A2513" w:rsidRPr="00DB6EFB" w:rsidRDefault="007A2513" w:rsidP="007A251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A2513" w:rsidRPr="00DB6EFB" w14:paraId="011B0515" w14:textId="77777777" w:rsidTr="007B13AC">
        <w:trPr>
          <w:trHeight w:val="870"/>
        </w:trPr>
        <w:tc>
          <w:tcPr>
            <w:tcW w:w="8647" w:type="dxa"/>
          </w:tcPr>
          <w:p w14:paraId="7CDD26AE" w14:textId="77777777" w:rsidR="007A2513" w:rsidRPr="00DB6EFB" w:rsidRDefault="007A2513" w:rsidP="007A2513">
            <w:pPr>
              <w:pStyle w:val="Prrafodelista"/>
              <w:widowControl w:val="0"/>
              <w:numPr>
                <w:ilvl w:val="0"/>
                <w:numId w:val="18"/>
              </w:numPr>
              <w:autoSpaceDE w:val="0"/>
              <w:autoSpaceDN w:val="0"/>
              <w:spacing w:after="120" w:line="276" w:lineRule="auto"/>
              <w:jc w:val="both"/>
              <w:rPr>
                <w:rFonts w:ascii="Verdana" w:hAnsi="Verdana" w:cs="Arial"/>
              </w:rPr>
            </w:pPr>
            <w:r w:rsidRPr="00DB6EFB">
              <w:rPr>
                <w:rFonts w:ascii="Verdana" w:hAnsi="Verdana" w:cs="Arial"/>
              </w:rPr>
              <w:t>Constitución Política de 1991: artículo 209.</w:t>
            </w:r>
          </w:p>
          <w:p w14:paraId="4B21E48F" w14:textId="77777777" w:rsidR="007A2513" w:rsidRPr="00DB6EFB" w:rsidRDefault="007A2513" w:rsidP="007A2513">
            <w:pPr>
              <w:pStyle w:val="Prrafodelista"/>
              <w:widowControl w:val="0"/>
              <w:numPr>
                <w:ilvl w:val="0"/>
                <w:numId w:val="18"/>
              </w:numPr>
              <w:autoSpaceDE w:val="0"/>
              <w:autoSpaceDN w:val="0"/>
              <w:spacing w:after="120" w:line="276" w:lineRule="auto"/>
              <w:jc w:val="both"/>
              <w:rPr>
                <w:rFonts w:ascii="Verdana" w:hAnsi="Verdana" w:cs="Arial"/>
              </w:rPr>
            </w:pPr>
            <w:r w:rsidRPr="00DB6EFB">
              <w:rPr>
                <w:rFonts w:ascii="Verdana" w:hAnsi="Verdana" w:cs="Arial"/>
              </w:rPr>
              <w:t>Ley 1150 de 2007: artículo 3 literal c).</w:t>
            </w:r>
          </w:p>
          <w:p w14:paraId="6E4A2BD2" w14:textId="77777777" w:rsidR="007A2513" w:rsidRPr="00DB6EFB" w:rsidRDefault="007A2513" w:rsidP="007A2513">
            <w:pPr>
              <w:pStyle w:val="Prrafodelista"/>
              <w:widowControl w:val="0"/>
              <w:numPr>
                <w:ilvl w:val="0"/>
                <w:numId w:val="18"/>
              </w:numPr>
              <w:autoSpaceDE w:val="0"/>
              <w:autoSpaceDN w:val="0"/>
              <w:spacing w:after="120" w:line="276" w:lineRule="auto"/>
              <w:jc w:val="both"/>
              <w:rPr>
                <w:rFonts w:ascii="Verdana" w:hAnsi="Verdana" w:cs="Arial"/>
              </w:rPr>
            </w:pPr>
            <w:r w:rsidRPr="00DB6EFB">
              <w:rPr>
                <w:rFonts w:ascii="Verdana" w:hAnsi="Verdana" w:cs="Arial"/>
              </w:rPr>
              <w:t>Ley 1712 de 2014: artículos 2, 3, 5, 9 literal e), y 11 literal g).</w:t>
            </w:r>
          </w:p>
          <w:p w14:paraId="2E800A61" w14:textId="77777777" w:rsidR="007A2513" w:rsidRPr="00DB6EFB" w:rsidRDefault="007A2513" w:rsidP="007A2513">
            <w:pPr>
              <w:pStyle w:val="Prrafodelista"/>
              <w:widowControl w:val="0"/>
              <w:numPr>
                <w:ilvl w:val="0"/>
                <w:numId w:val="18"/>
              </w:numPr>
              <w:autoSpaceDE w:val="0"/>
              <w:autoSpaceDN w:val="0"/>
              <w:spacing w:after="120" w:line="276" w:lineRule="auto"/>
              <w:jc w:val="both"/>
              <w:rPr>
                <w:rFonts w:ascii="Verdana" w:hAnsi="Verdana" w:cs="Arial"/>
              </w:rPr>
            </w:pPr>
            <w:r w:rsidRPr="00DB6EFB">
              <w:rPr>
                <w:rFonts w:ascii="Verdana" w:hAnsi="Verdana" w:cs="Arial"/>
              </w:rPr>
              <w:t>Decreto Único Reglamentario 1081 de 2015.</w:t>
            </w:r>
          </w:p>
        </w:tc>
      </w:tr>
    </w:tbl>
    <w:p w14:paraId="049EA1F1" w14:textId="77777777" w:rsidR="007A2513" w:rsidRPr="00DB6EFB" w:rsidRDefault="007A2513" w:rsidP="007A2513">
      <w:pPr>
        <w:widowControl w:val="0"/>
        <w:autoSpaceDE w:val="0"/>
        <w:autoSpaceDN w:val="0"/>
        <w:spacing w:after="0" w:line="276" w:lineRule="auto"/>
        <w:jc w:val="both"/>
        <w:rPr>
          <w:rFonts w:ascii="Verdana" w:hAnsi="Verdana" w:cs="Arial"/>
        </w:rPr>
      </w:pPr>
    </w:p>
    <w:p w14:paraId="54B74D94" w14:textId="77777777" w:rsidR="007A2513" w:rsidRPr="00DB6EFB" w:rsidRDefault="007A2513" w:rsidP="007A251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B6EFB">
        <w:rPr>
          <w:rFonts w:ascii="Verdana" w:eastAsia="Century Gothic" w:hAnsi="Verdana" w:cs="Century Gothic"/>
          <w:b/>
          <w:bCs/>
        </w:rPr>
        <w:t>Doctrina de la Agencia Nacional de Contratación Pública:</w:t>
      </w:r>
    </w:p>
    <w:p w14:paraId="1728007E" w14:textId="77777777" w:rsidR="007A2513" w:rsidRPr="00DB6EFB" w:rsidRDefault="007A2513" w:rsidP="007A2513">
      <w:pPr>
        <w:widowControl w:val="0"/>
        <w:autoSpaceDE w:val="0"/>
        <w:autoSpaceDN w:val="0"/>
        <w:spacing w:after="0" w:line="276" w:lineRule="auto"/>
        <w:jc w:val="both"/>
        <w:rPr>
          <w:rFonts w:ascii="Verdana" w:hAnsi="Verdana" w:cs="Arial"/>
        </w:rPr>
      </w:pPr>
    </w:p>
    <w:p w14:paraId="74A78E34" w14:textId="77777777" w:rsidR="007A2513" w:rsidRPr="005C3FC5" w:rsidRDefault="007A2513" w:rsidP="007A2513">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DB6EFB">
        <w:rPr>
          <w:rStyle w:val="normaltextrun"/>
          <w:rFonts w:ascii="Verdana" w:hAnsi="Verdana" w:cs="Arial"/>
          <w:shd w:val="clear" w:color="auto" w:fill="FFFFFF"/>
          <w:lang w:val="es-ES"/>
        </w:rPr>
        <w:t xml:space="preserve">Sobre </w:t>
      </w:r>
      <w:r w:rsidRPr="00DB6EFB">
        <w:rPr>
          <w:rStyle w:val="normaltextrun"/>
          <w:rFonts w:ascii="Verdana" w:hAnsi="Verdana" w:cs="Arial"/>
          <w:i/>
          <w:iCs/>
          <w:shd w:val="clear" w:color="auto" w:fill="FFFFFF"/>
          <w:lang w:val="es-ES"/>
        </w:rPr>
        <w:t>el deber de las entidades de publicar sus actuaciones contractuales en el SECOP</w:t>
      </w:r>
      <w:r w:rsidRPr="00DB6EFB">
        <w:rPr>
          <w:rStyle w:val="normaltextrun"/>
          <w:rFonts w:ascii="Verdana" w:hAnsi="Verdana" w:cs="Arial"/>
          <w:shd w:val="clear" w:color="auto" w:fill="FFFFFF"/>
          <w:lang w:val="es-ES"/>
        </w:rPr>
        <w:t>, esta Subdirección unificó su doctrina en el concepto CU-003 del 15 de enero de 2020.  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C-780 del 18 de enero de 2021, C-032 del 2 de marzo de 2021, C-137 del 7 de abril de 2021, C-172 del 13 de abril de 2021, C-185 del 29 de abril de 2021, C-222 del 19 de mayo de 2021, C-229 y C-238 del 24 de mayo de 2021, C-241 del 27 de mayo de 2021, C-253 del 2 de junio de 2021, C-026 del 18 de febrero de 2022, C-074 del 10 de marzo de 2022, C-083 del 18 de marzo de 2022, C-135 del 28 de marzo de 2022, C-495 del 2 de agosto de 2022, C-508 del 30 de agosto de 2022 y C-609 del 23 de septiembre de 2022, entre otros. En particular, en el concepto C-260 del 10 de julio de 2023 se estudió el deber de las entidades de publicar sus actuaciones contractuales en el SECOP en contratos sin erogación presupuestal. Es</w:t>
      </w:r>
      <w:r w:rsidRPr="00DB6EFB">
        <w:rPr>
          <w:rFonts w:ascii="Verdana" w:hAnsi="Verdana"/>
        </w:rPr>
        <w:t xml:space="preserve">tos y otros conceptos se encuentran disponibles para consulta en el Sistema de relatoría de la Agencia, al cual se puede acceder a través del </w:t>
      </w:r>
      <w:r w:rsidRPr="00CF7760">
        <w:rPr>
          <w:rFonts w:ascii="Verdana" w:hAnsi="Verdana"/>
        </w:rPr>
        <w:t>siguiente enlace:</w:t>
      </w:r>
      <w:r w:rsidRPr="00CF7760">
        <w:rPr>
          <w:rStyle w:val="normaltextrun"/>
          <w:rFonts w:ascii="Verdana" w:hAnsi="Verdana" w:cs="Arial"/>
          <w:shd w:val="clear" w:color="auto" w:fill="FFFFFF"/>
          <w:lang w:val="es-ES"/>
        </w:rPr>
        <w:t xml:space="preserve"> </w:t>
      </w:r>
      <w:hyperlink r:id="rId12" w:history="1">
        <w:r w:rsidRPr="005C3FC5">
          <w:rPr>
            <w:rStyle w:val="Hipervnculo"/>
            <w:rFonts w:ascii="Verdana" w:hAnsi="Verdana" w:cs="Arial"/>
            <w:color w:val="4472C4" w:themeColor="accent1"/>
            <w:shd w:val="clear" w:color="auto" w:fill="FFFFFF"/>
            <w:lang w:val="es-ES"/>
          </w:rPr>
          <w:t>https://relatoria.colombiacompra.gov.co/busqueda/conceptos</w:t>
        </w:r>
      </w:hyperlink>
      <w:r w:rsidRPr="005C3FC5">
        <w:rPr>
          <w:rStyle w:val="normaltextrun"/>
          <w:rFonts w:ascii="Verdana" w:hAnsi="Verdana" w:cs="Arial"/>
          <w:color w:val="4472C4" w:themeColor="accent1"/>
          <w:shd w:val="clear" w:color="auto" w:fill="FFFFFF"/>
          <w:lang w:val="es-ES"/>
        </w:rPr>
        <w:t xml:space="preserve">. </w:t>
      </w:r>
    </w:p>
    <w:p w14:paraId="5B075614" w14:textId="77777777" w:rsidR="007A2513" w:rsidRPr="00CF7760" w:rsidRDefault="007A2513" w:rsidP="007A2513">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37E1A67" w14:textId="77777777" w:rsidR="007A2513" w:rsidRPr="00CF7760" w:rsidRDefault="007A2513" w:rsidP="007A251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CF7760">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5C3FC5">
        <w:rPr>
          <w:rStyle w:val="normaltextrun"/>
          <w:rFonts w:ascii="Verdana" w:hAnsi="Verdana" w:cs="Arial"/>
          <w:color w:val="4472C4" w:themeColor="accent1"/>
          <w:shd w:val="clear" w:color="auto" w:fill="FFFFFF"/>
          <w:lang w:val="es-ES"/>
        </w:rPr>
        <w:t xml:space="preserve">: </w:t>
      </w:r>
      <w:hyperlink r:id="rId13" w:history="1">
        <w:r w:rsidRPr="005C3FC5">
          <w:rPr>
            <w:rStyle w:val="Hipervnculo"/>
            <w:rFonts w:ascii="Verdana" w:hAnsi="Verdana" w:cs="Arial"/>
            <w:color w:val="4472C4" w:themeColor="accent1"/>
            <w:shd w:val="clear" w:color="auto" w:fill="FFFFFF"/>
            <w:lang w:val="es-ES"/>
          </w:rPr>
          <w:t>https://www.colombiacompra.gov.co/sala-de-prensa/boletin-digital</w:t>
        </w:r>
      </w:hyperlink>
      <w:r w:rsidRPr="005C3FC5">
        <w:rPr>
          <w:rStyle w:val="normaltextrun"/>
          <w:rFonts w:ascii="Verdana" w:hAnsi="Verdana" w:cs="Arial"/>
          <w:color w:val="4472C4" w:themeColor="accent1"/>
          <w:shd w:val="clear" w:color="auto" w:fill="FFFFFF"/>
          <w:lang w:val="es-ES"/>
        </w:rPr>
        <w:t xml:space="preserve">      </w:t>
      </w:r>
    </w:p>
    <w:p w14:paraId="2DFF8948" w14:textId="091BC035" w:rsidR="007A2513" w:rsidRPr="00CF7760" w:rsidRDefault="007A2513" w:rsidP="007A2513">
      <w:pPr>
        <w:spacing w:after="0" w:line="240" w:lineRule="auto"/>
        <w:jc w:val="both"/>
        <w:rPr>
          <w:rFonts w:ascii="Verdana" w:hAnsi="Verdana"/>
        </w:rPr>
      </w:pPr>
      <w:r w:rsidRPr="00CF7760">
        <w:rPr>
          <w:rFonts w:ascii="Verdana" w:hAnsi="Verdana"/>
        </w:rPr>
        <w:t xml:space="preserve">Por último, lo invitamos a seguirnos en las redes sociales en las cuales se difunde información institucional: </w:t>
      </w:r>
    </w:p>
    <w:p w14:paraId="3F42646D" w14:textId="77777777" w:rsidR="007A2513" w:rsidRPr="00CF7760" w:rsidRDefault="007A2513" w:rsidP="007A2513">
      <w:pPr>
        <w:spacing w:after="0" w:line="240" w:lineRule="auto"/>
        <w:jc w:val="both"/>
        <w:rPr>
          <w:rFonts w:ascii="Verdana" w:hAnsi="Verdana"/>
        </w:rPr>
      </w:pPr>
    </w:p>
    <w:p w14:paraId="71137832" w14:textId="77777777" w:rsidR="007A2513" w:rsidRPr="00CF7760" w:rsidRDefault="007A2513" w:rsidP="007A2513">
      <w:pPr>
        <w:spacing w:after="0" w:line="240" w:lineRule="auto"/>
        <w:jc w:val="both"/>
        <w:rPr>
          <w:rFonts w:ascii="Verdana" w:hAnsi="Verdana"/>
        </w:rPr>
      </w:pPr>
      <w:r w:rsidRPr="00CF7760">
        <w:rPr>
          <w:rFonts w:ascii="Verdana" w:hAnsi="Verdana"/>
        </w:rPr>
        <w:t xml:space="preserve">Twitter: </w:t>
      </w:r>
      <w:r w:rsidRPr="00CF7760">
        <w:rPr>
          <w:rStyle w:val="Hipervnculo"/>
          <w:rFonts w:ascii="Verdana" w:hAnsi="Verdana"/>
          <w:color w:val="4472C4" w:themeColor="accent1"/>
        </w:rPr>
        <w:t>@colombiacompra</w:t>
      </w:r>
      <w:r w:rsidRPr="00CF7760">
        <w:rPr>
          <w:rFonts w:ascii="Verdana" w:hAnsi="Verdana"/>
          <w:color w:val="4472C4" w:themeColor="accent1"/>
        </w:rPr>
        <w:t xml:space="preserve"> </w:t>
      </w:r>
    </w:p>
    <w:p w14:paraId="12F704C3" w14:textId="77777777" w:rsidR="007A2513" w:rsidRPr="00CF7760" w:rsidRDefault="007A2513" w:rsidP="007A2513">
      <w:pPr>
        <w:spacing w:after="0" w:line="240" w:lineRule="auto"/>
        <w:jc w:val="both"/>
        <w:rPr>
          <w:rFonts w:ascii="Verdana" w:hAnsi="Verdana"/>
        </w:rPr>
      </w:pPr>
      <w:r w:rsidRPr="00CF7760">
        <w:rPr>
          <w:rFonts w:ascii="Verdana" w:hAnsi="Verdana"/>
        </w:rPr>
        <w:t xml:space="preserve">Facebook: </w:t>
      </w:r>
      <w:r w:rsidRPr="00CF7760">
        <w:rPr>
          <w:rStyle w:val="Hipervnculo"/>
          <w:rFonts w:ascii="Verdana" w:hAnsi="Verdana"/>
          <w:color w:val="4472C4" w:themeColor="accent1"/>
        </w:rPr>
        <w:t>ColombiaCompraEficiente</w:t>
      </w:r>
    </w:p>
    <w:p w14:paraId="297E6437" w14:textId="77777777" w:rsidR="007A2513" w:rsidRPr="00CF7760" w:rsidRDefault="007A2513" w:rsidP="007A2513">
      <w:pPr>
        <w:spacing w:after="0" w:line="240" w:lineRule="auto"/>
        <w:jc w:val="both"/>
        <w:rPr>
          <w:rFonts w:ascii="Verdana" w:hAnsi="Verdana"/>
        </w:rPr>
      </w:pPr>
      <w:r w:rsidRPr="00CF7760">
        <w:rPr>
          <w:rFonts w:ascii="Verdana" w:hAnsi="Verdana"/>
        </w:rPr>
        <w:t xml:space="preserve">LinkedIn: </w:t>
      </w:r>
      <w:r w:rsidRPr="00CF7760">
        <w:rPr>
          <w:rStyle w:val="Hipervnculo"/>
          <w:rFonts w:ascii="Verdana" w:hAnsi="Verdana"/>
          <w:color w:val="4472C4" w:themeColor="accent1"/>
        </w:rPr>
        <w:t>Agencia Nacional de Contratación Pública - Colombia Compra Eficiente</w:t>
      </w:r>
      <w:r w:rsidRPr="00CF7760">
        <w:rPr>
          <w:rFonts w:ascii="Verdana" w:hAnsi="Verdana"/>
          <w:color w:val="4472C4" w:themeColor="accent1"/>
        </w:rPr>
        <w:t xml:space="preserve"> </w:t>
      </w:r>
      <w:r w:rsidRPr="00CF7760">
        <w:rPr>
          <w:rFonts w:ascii="Verdana" w:hAnsi="Verdana"/>
        </w:rPr>
        <w:t xml:space="preserve">Instagram: </w:t>
      </w:r>
      <w:r w:rsidRPr="00CF7760">
        <w:rPr>
          <w:rStyle w:val="Hipervnculo"/>
          <w:rFonts w:ascii="Verdana" w:hAnsi="Verdana"/>
          <w:color w:val="4472C4" w:themeColor="accent1"/>
        </w:rPr>
        <w:t>@colombiacompraeficiente_cce</w:t>
      </w:r>
    </w:p>
    <w:p w14:paraId="70D74E5F" w14:textId="77777777" w:rsidR="007A2513" w:rsidRPr="0044528D" w:rsidRDefault="007A2513" w:rsidP="007A2513">
      <w:pPr>
        <w:widowControl w:val="0"/>
        <w:autoSpaceDE w:val="0"/>
        <w:autoSpaceDN w:val="0"/>
        <w:spacing w:after="0" w:line="276" w:lineRule="auto"/>
        <w:jc w:val="both"/>
        <w:rPr>
          <w:rFonts w:ascii="Verdana" w:hAnsi="Verdana"/>
        </w:rPr>
      </w:pPr>
    </w:p>
    <w:p w14:paraId="139B2051" w14:textId="77777777" w:rsidR="007A2513" w:rsidRPr="00CF7760" w:rsidRDefault="007A2513" w:rsidP="007A2513">
      <w:pPr>
        <w:widowControl w:val="0"/>
        <w:autoSpaceDE w:val="0"/>
        <w:autoSpaceDN w:val="0"/>
        <w:spacing w:after="0" w:line="276" w:lineRule="auto"/>
        <w:jc w:val="both"/>
        <w:rPr>
          <w:rFonts w:ascii="Verdana" w:hAnsi="Verdana" w:cs="Arial"/>
          <w:lang w:val="es-ES_tradnl"/>
        </w:rPr>
      </w:pPr>
      <w:r w:rsidRPr="00CF7760">
        <w:rPr>
          <w:rFonts w:ascii="Verdana" w:hAnsi="Verdana" w:cs="Arial"/>
        </w:rPr>
        <w:t xml:space="preserve">Este concepto tiene el alcance previsto en el artículo 28 del Código de Procedimiento Administrativo y de lo Contencioso Administrativo </w:t>
      </w:r>
      <w:r w:rsidRPr="00CF7760">
        <w:rPr>
          <w:rFonts w:ascii="Verdana" w:hAnsi="Verdana" w:cs="Arial"/>
          <w:lang w:val="es-ES_tradnl"/>
        </w:rPr>
        <w:t>y las expresiones aquí utilizadas con mayúscula inicial deben ser entendidas con el significado que les otorga el artículo 2.2.1.1.1.3.1. del Decreto 1082 de 2015.</w:t>
      </w:r>
    </w:p>
    <w:p w14:paraId="41337361" w14:textId="77777777" w:rsidR="007A2513" w:rsidRPr="00CF7760" w:rsidRDefault="007A2513" w:rsidP="007A2513">
      <w:pPr>
        <w:widowControl w:val="0"/>
        <w:autoSpaceDE w:val="0"/>
        <w:autoSpaceDN w:val="0"/>
        <w:spacing w:after="0" w:line="276" w:lineRule="auto"/>
        <w:jc w:val="both"/>
        <w:rPr>
          <w:rFonts w:ascii="Verdana" w:hAnsi="Verdana" w:cs="Arial"/>
        </w:rPr>
      </w:pPr>
    </w:p>
    <w:p w14:paraId="6DDE33AA" w14:textId="77777777" w:rsidR="007A2513" w:rsidRPr="00CF7760" w:rsidRDefault="007A2513" w:rsidP="007A2513">
      <w:pPr>
        <w:spacing w:after="0" w:line="240" w:lineRule="auto"/>
        <w:rPr>
          <w:rFonts w:ascii="Verdana" w:hAnsi="Verdana" w:cs="Arial"/>
          <w:lang w:eastAsia="es-CO"/>
        </w:rPr>
      </w:pPr>
      <w:r w:rsidRPr="00CF7760">
        <w:rPr>
          <w:rFonts w:ascii="Verdana" w:eastAsia="Times New Roman" w:hAnsi="Verdana" w:cs="Arial"/>
          <w:lang w:eastAsia="es-CO"/>
        </w:rPr>
        <w:t>Atentamente,</w:t>
      </w:r>
      <w:r w:rsidRPr="00CF7760">
        <w:rPr>
          <w:rFonts w:ascii="Verdana" w:hAnsi="Verdana" w:cs="Arial"/>
          <w:lang w:eastAsia="es-CO"/>
        </w:rPr>
        <w:t xml:space="preserve"> </w:t>
      </w:r>
    </w:p>
    <w:p w14:paraId="00710263" w14:textId="05202FF7" w:rsidR="007A2513" w:rsidRPr="00DB6EFB" w:rsidRDefault="00843A1C" w:rsidP="007A2513">
      <w:pPr>
        <w:spacing w:line="276" w:lineRule="auto"/>
        <w:jc w:val="center"/>
        <w:rPr>
          <w:rFonts w:ascii="Verdana" w:hAnsi="Verdana" w:cs="Arial"/>
          <w:lang w:val="es-ES_tradnl" w:eastAsia="es-CO"/>
        </w:rPr>
      </w:pPr>
      <w:r>
        <w:rPr>
          <w:noProof/>
        </w:rPr>
        <w:drawing>
          <wp:inline distT="0" distB="0" distL="0" distR="0" wp14:anchorId="1C7856B6" wp14:editId="035AFBE3">
            <wp:extent cx="3771429" cy="1400000"/>
            <wp:effectExtent l="0" t="0" r="635" b="0"/>
            <wp:docPr id="44087017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70172"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A2513" w:rsidRPr="00DB6EFB" w14:paraId="23FAEA23" w14:textId="77777777" w:rsidTr="007B13AC">
        <w:trPr>
          <w:trHeight w:val="315"/>
        </w:trPr>
        <w:tc>
          <w:tcPr>
            <w:tcW w:w="893" w:type="dxa"/>
            <w:vAlign w:val="center"/>
            <w:hideMark/>
          </w:tcPr>
          <w:p w14:paraId="0A754CBC" w14:textId="77777777" w:rsidR="007A2513" w:rsidRPr="00DB6EFB" w:rsidRDefault="007A2513" w:rsidP="007B13AC">
            <w:pPr>
              <w:contextualSpacing/>
              <w:rPr>
                <w:rFonts w:ascii="Verdana" w:hAnsi="Verdana" w:cs="Arial"/>
                <w:sz w:val="16"/>
                <w:szCs w:val="16"/>
                <w:lang w:val="es-ES" w:eastAsia="es-ES"/>
              </w:rPr>
            </w:pPr>
            <w:r w:rsidRPr="00DB6EFB">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10D87B0" w14:textId="77777777" w:rsidR="007A2513" w:rsidRPr="00DB6EFB" w:rsidRDefault="007A2513" w:rsidP="007B13AC">
            <w:pPr>
              <w:contextualSpacing/>
              <w:rPr>
                <w:rStyle w:val="normaltextrun"/>
                <w:rFonts w:ascii="Verdana" w:hAnsi="Verdana"/>
                <w:sz w:val="16"/>
                <w:szCs w:val="16"/>
              </w:rPr>
            </w:pPr>
            <w:r w:rsidRPr="00DB6EFB">
              <w:rPr>
                <w:rStyle w:val="normaltextrun"/>
                <w:rFonts w:ascii="Verdana" w:hAnsi="Verdana"/>
                <w:sz w:val="16"/>
                <w:szCs w:val="16"/>
              </w:rPr>
              <w:t>Santiago Alberto Herrera Morillo</w:t>
            </w:r>
          </w:p>
          <w:p w14:paraId="0F1B438B" w14:textId="77777777" w:rsidR="007A2513" w:rsidRPr="00DB6EFB" w:rsidRDefault="007A2513" w:rsidP="007B13AC">
            <w:pPr>
              <w:contextualSpacing/>
              <w:rPr>
                <w:rFonts w:ascii="Verdana" w:eastAsia="Arial" w:hAnsi="Verdana" w:cs="Arial"/>
                <w:sz w:val="16"/>
                <w:szCs w:val="16"/>
              </w:rPr>
            </w:pPr>
            <w:r w:rsidRPr="00DB6EFB">
              <w:rPr>
                <w:rStyle w:val="normaltextrun"/>
                <w:rFonts w:ascii="Verdana" w:hAnsi="Verdana"/>
                <w:sz w:val="16"/>
                <w:szCs w:val="16"/>
              </w:rPr>
              <w:t xml:space="preserve">Analista T2-02 </w:t>
            </w:r>
            <w:r w:rsidRPr="00DB6EFB">
              <w:rPr>
                <w:rStyle w:val="normaltextrun"/>
                <w:rFonts w:ascii="Verdana" w:eastAsia="Arial" w:hAnsi="Verdana" w:cs="Arial"/>
                <w:sz w:val="16"/>
                <w:szCs w:val="16"/>
              </w:rPr>
              <w:t>de la Subdirección de Gestión Contractual</w:t>
            </w:r>
          </w:p>
        </w:tc>
      </w:tr>
      <w:tr w:rsidR="007A2513" w:rsidRPr="00DB6EFB" w14:paraId="7F1DA0B3" w14:textId="77777777" w:rsidTr="007B13AC">
        <w:trPr>
          <w:trHeight w:val="330"/>
        </w:trPr>
        <w:tc>
          <w:tcPr>
            <w:tcW w:w="893" w:type="dxa"/>
            <w:vAlign w:val="center"/>
            <w:hideMark/>
          </w:tcPr>
          <w:p w14:paraId="6BF514DB" w14:textId="77777777" w:rsidR="007A2513" w:rsidRPr="00DB6EFB" w:rsidRDefault="007A2513" w:rsidP="007B13AC">
            <w:pPr>
              <w:contextualSpacing/>
              <w:rPr>
                <w:rFonts w:ascii="Verdana" w:hAnsi="Verdana" w:cs="Arial"/>
                <w:sz w:val="16"/>
                <w:szCs w:val="16"/>
                <w:lang w:val="es-ES" w:eastAsia="es-ES"/>
              </w:rPr>
            </w:pPr>
            <w:r w:rsidRPr="00DB6EFB">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42E1516" w14:textId="77777777" w:rsidR="007A2513" w:rsidRPr="00DB6EFB" w:rsidRDefault="007A2513" w:rsidP="007B13AC">
            <w:pPr>
              <w:pStyle w:val="paragraph"/>
              <w:spacing w:before="0" w:beforeAutospacing="0" w:after="0" w:afterAutospacing="0"/>
              <w:contextualSpacing/>
              <w:textAlignment w:val="baseline"/>
              <w:rPr>
                <w:rStyle w:val="normaltextrun"/>
                <w:rFonts w:ascii="Verdana" w:hAnsi="Verdana" w:cs="Arial"/>
                <w:sz w:val="16"/>
                <w:szCs w:val="16"/>
                <w:lang w:val="es-ES"/>
              </w:rPr>
            </w:pPr>
            <w:r w:rsidRPr="00DB6EFB">
              <w:rPr>
                <w:rStyle w:val="normaltextrun"/>
                <w:rFonts w:ascii="Verdana" w:hAnsi="Verdana" w:cs="Arial"/>
                <w:sz w:val="16"/>
                <w:szCs w:val="16"/>
                <w:lang w:val="es-ES"/>
              </w:rPr>
              <w:t>Juan David Cárdenas Cabeza</w:t>
            </w:r>
          </w:p>
          <w:p w14:paraId="66EBCCD3" w14:textId="77777777" w:rsidR="007A2513" w:rsidRPr="00DB6EFB" w:rsidRDefault="007A2513" w:rsidP="007B13AC">
            <w:pPr>
              <w:pStyle w:val="paragraph"/>
              <w:spacing w:before="0" w:beforeAutospacing="0" w:after="0" w:afterAutospacing="0"/>
              <w:contextualSpacing/>
              <w:textAlignment w:val="baseline"/>
              <w:rPr>
                <w:rFonts w:ascii="Verdana" w:hAnsi="Verdana" w:cs="Segoe UI"/>
                <w:sz w:val="16"/>
                <w:szCs w:val="16"/>
              </w:rPr>
            </w:pPr>
            <w:r w:rsidRPr="00DB6EFB">
              <w:rPr>
                <w:rStyle w:val="normaltextrun"/>
                <w:rFonts w:ascii="Verdana" w:hAnsi="Verdana" w:cs="Arial"/>
                <w:sz w:val="16"/>
                <w:szCs w:val="16"/>
                <w:lang w:val="es-ES"/>
              </w:rPr>
              <w:t>Contratista de la Subdirección de Gestión Contractual</w:t>
            </w:r>
            <w:r w:rsidRPr="00DB6EFB">
              <w:rPr>
                <w:rStyle w:val="eop"/>
                <w:rFonts w:ascii="Verdana" w:hAnsi="Verdana" w:cs="Arial"/>
                <w:sz w:val="16"/>
                <w:szCs w:val="16"/>
              </w:rPr>
              <w:t> </w:t>
            </w:r>
          </w:p>
        </w:tc>
      </w:tr>
      <w:tr w:rsidR="007A2513" w:rsidRPr="00DB6EFB" w14:paraId="13A8C69B" w14:textId="77777777" w:rsidTr="007B13AC">
        <w:trPr>
          <w:trHeight w:val="300"/>
        </w:trPr>
        <w:tc>
          <w:tcPr>
            <w:tcW w:w="893" w:type="dxa"/>
            <w:vAlign w:val="center"/>
          </w:tcPr>
          <w:p w14:paraId="2EAB025E" w14:textId="77777777" w:rsidR="007A2513" w:rsidRPr="00DB6EFB" w:rsidRDefault="007A2513" w:rsidP="007B13AC">
            <w:pPr>
              <w:contextualSpacing/>
              <w:rPr>
                <w:rFonts w:ascii="Verdana" w:hAnsi="Verdana" w:cs="Arial"/>
                <w:sz w:val="16"/>
                <w:szCs w:val="16"/>
                <w:lang w:val="es-ES" w:eastAsia="es-ES"/>
              </w:rPr>
            </w:pPr>
            <w:r w:rsidRPr="00DB6EFB">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186960E" w14:textId="77777777" w:rsidR="007A2513" w:rsidRPr="00DB6EFB" w:rsidRDefault="007A2513" w:rsidP="007B13AC">
            <w:pPr>
              <w:contextualSpacing/>
              <w:rPr>
                <w:rFonts w:ascii="Verdana" w:eastAsia="Calibri" w:hAnsi="Verdana" w:cs="Arial"/>
                <w:sz w:val="16"/>
                <w:szCs w:val="16"/>
                <w:lang w:val="pt-BR" w:eastAsia="es-ES"/>
              </w:rPr>
            </w:pPr>
            <w:r w:rsidRPr="00DB6EFB">
              <w:rPr>
                <w:rFonts w:ascii="Verdana" w:eastAsia="Calibri" w:hAnsi="Verdana" w:cs="Arial"/>
                <w:sz w:val="16"/>
                <w:szCs w:val="16"/>
                <w:lang w:val="pt-BR" w:eastAsia="es-ES"/>
              </w:rPr>
              <w:t>Carolina Quintero Gacharná</w:t>
            </w:r>
          </w:p>
          <w:p w14:paraId="533782FB" w14:textId="77777777" w:rsidR="007A2513" w:rsidRPr="00DB6EFB" w:rsidRDefault="007A2513" w:rsidP="007B13AC">
            <w:pPr>
              <w:contextualSpacing/>
              <w:rPr>
                <w:rFonts w:ascii="Verdana" w:eastAsia="Calibri" w:hAnsi="Verdana" w:cs="Arial"/>
                <w:sz w:val="16"/>
                <w:szCs w:val="16"/>
                <w:lang w:val="pt-BR" w:eastAsia="es-ES"/>
              </w:rPr>
            </w:pPr>
            <w:r w:rsidRPr="00DB6EFB">
              <w:rPr>
                <w:rFonts w:ascii="Verdana" w:eastAsia="Calibri" w:hAnsi="Verdana" w:cs="Arial"/>
                <w:sz w:val="16"/>
                <w:szCs w:val="16"/>
                <w:lang w:eastAsia="es-ES"/>
              </w:rPr>
              <w:t>Subdirectora</w:t>
            </w:r>
            <w:r w:rsidRPr="00DB6EFB">
              <w:rPr>
                <w:rFonts w:ascii="Verdana" w:eastAsia="Calibri" w:hAnsi="Verdana" w:cs="Arial"/>
                <w:sz w:val="16"/>
                <w:szCs w:val="16"/>
                <w:lang w:val="pt-BR" w:eastAsia="es-ES"/>
              </w:rPr>
              <w:t xml:space="preserve"> de Gestión Contractual ANCP – CCE</w:t>
            </w:r>
          </w:p>
        </w:tc>
      </w:tr>
    </w:tbl>
    <w:p w14:paraId="0F293BF4" w14:textId="22ABFBC8" w:rsidR="00127233" w:rsidRPr="007A2513" w:rsidRDefault="00127233" w:rsidP="007A2513"/>
    <w:sectPr w:rsidR="00127233" w:rsidRPr="007A2513"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5EB1F" w14:textId="77777777" w:rsidR="003A26D1" w:rsidRDefault="003A26D1" w:rsidP="004A1847">
      <w:pPr>
        <w:spacing w:after="0" w:line="240" w:lineRule="auto"/>
      </w:pPr>
      <w:r>
        <w:separator/>
      </w:r>
    </w:p>
  </w:endnote>
  <w:endnote w:type="continuationSeparator" w:id="0">
    <w:p w14:paraId="712F4535" w14:textId="77777777" w:rsidR="003A26D1" w:rsidRDefault="003A26D1" w:rsidP="004A1847">
      <w:pPr>
        <w:spacing w:after="0" w:line="240" w:lineRule="auto"/>
      </w:pPr>
      <w:r>
        <w:continuationSeparator/>
      </w:r>
    </w:p>
  </w:endnote>
  <w:endnote w:type="continuationNotice" w:id="1">
    <w:p w14:paraId="4877C353" w14:textId="77777777" w:rsidR="002E5F57" w:rsidRDefault="002E5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6F3DA" w14:textId="77777777" w:rsidR="003A26D1" w:rsidRDefault="003A26D1" w:rsidP="004A1847">
      <w:pPr>
        <w:spacing w:after="0" w:line="240" w:lineRule="auto"/>
      </w:pPr>
      <w:r>
        <w:separator/>
      </w:r>
    </w:p>
  </w:footnote>
  <w:footnote w:type="continuationSeparator" w:id="0">
    <w:p w14:paraId="66DE3FE3" w14:textId="77777777" w:rsidR="003A26D1" w:rsidRDefault="003A26D1" w:rsidP="004A1847">
      <w:pPr>
        <w:spacing w:after="0" w:line="240" w:lineRule="auto"/>
      </w:pPr>
      <w:r>
        <w:continuationSeparator/>
      </w:r>
    </w:p>
  </w:footnote>
  <w:footnote w:type="continuationNotice" w:id="1">
    <w:p w14:paraId="4A96F930" w14:textId="77777777" w:rsidR="002E5F57" w:rsidRDefault="002E5F57">
      <w:pPr>
        <w:spacing w:after="0" w:line="240" w:lineRule="auto"/>
      </w:pPr>
    </w:p>
  </w:footnote>
  <w:footnote w:id="2">
    <w:p w14:paraId="3DA7849D" w14:textId="77777777" w:rsidR="007A2513" w:rsidRPr="003D6EC7" w:rsidRDefault="007A2513" w:rsidP="00F84A68">
      <w:pPr>
        <w:pStyle w:val="Textonotapie"/>
        <w:ind w:firstLine="709"/>
        <w:jc w:val="both"/>
        <w:rPr>
          <w:rFonts w:ascii="Verdana" w:hAnsi="Verdana" w:cs="Arial"/>
          <w:sz w:val="16"/>
          <w:szCs w:val="16"/>
          <w:lang w:val="es-ES"/>
        </w:rPr>
      </w:pPr>
      <w:r w:rsidRPr="003D6EC7">
        <w:rPr>
          <w:rStyle w:val="Refdenotaalpie"/>
          <w:rFonts w:ascii="Verdana" w:hAnsi="Verdana" w:cs="Arial"/>
          <w:sz w:val="16"/>
          <w:szCs w:val="16"/>
        </w:rPr>
        <w:footnoteRef/>
      </w:r>
      <w:r w:rsidRPr="003D6EC7">
        <w:rPr>
          <w:rFonts w:ascii="Verdana" w:hAnsi="Verdana" w:cs="Arial"/>
          <w:sz w:val="16"/>
          <w:szCs w:val="16"/>
        </w:rPr>
        <w:t xml:space="preserve"> </w:t>
      </w:r>
      <w:r w:rsidRPr="003D6EC7">
        <w:rPr>
          <w:rFonts w:ascii="Verdana" w:hAnsi="Verdana" w:cs="Arial"/>
          <w:sz w:val="16"/>
          <w:szCs w:val="16"/>
          <w:lang w:val="es-ES"/>
        </w:rPr>
        <w:t>BOBBIO, Norberto. Democracia y secreto. México: Fondo de Cultura Económica, 2013. p. 27.</w:t>
      </w:r>
    </w:p>
  </w:footnote>
  <w:footnote w:id="3">
    <w:p w14:paraId="5E975E50" w14:textId="77777777" w:rsidR="007A2513" w:rsidRPr="003D6EC7" w:rsidRDefault="007A2513" w:rsidP="00F84A68">
      <w:pPr>
        <w:pStyle w:val="Textonotapie"/>
        <w:ind w:firstLine="709"/>
        <w:jc w:val="both"/>
        <w:rPr>
          <w:rFonts w:ascii="Verdana" w:hAnsi="Verdana" w:cs="Arial"/>
          <w:color w:val="000000" w:themeColor="text1"/>
          <w:sz w:val="16"/>
          <w:szCs w:val="16"/>
        </w:rPr>
      </w:pPr>
    </w:p>
    <w:p w14:paraId="700A16C0"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Corte Constitucional. Sentencia C- 341 del 4 de junio de 2014. M. P. Mauricio González Cuervo.</w:t>
      </w:r>
    </w:p>
    <w:p w14:paraId="4E17AEF9" w14:textId="77777777" w:rsidR="007A2513" w:rsidRPr="003D6EC7" w:rsidRDefault="007A2513" w:rsidP="00F84A68">
      <w:pPr>
        <w:pStyle w:val="Textonotapie"/>
        <w:ind w:firstLine="709"/>
        <w:jc w:val="both"/>
        <w:rPr>
          <w:rFonts w:ascii="Verdana" w:hAnsi="Verdana" w:cs="Arial"/>
          <w:color w:val="000000" w:themeColor="text1"/>
          <w:sz w:val="16"/>
          <w:szCs w:val="16"/>
        </w:rPr>
      </w:pPr>
    </w:p>
  </w:footnote>
  <w:footnote w:id="4">
    <w:p w14:paraId="7DA05D98"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C3399F1"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“Lo anterior, sin perjuicio de las publicaciones previstas en el numeral 3 del artículo 30 de la Ley 80 de 1993.</w:t>
      </w:r>
    </w:p>
    <w:p w14:paraId="32A560A2"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0D78F588"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w:t>
      </w:r>
    </w:p>
    <w:p w14:paraId="74700B3D"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096C2324" w14:textId="77777777" w:rsidR="007A2513" w:rsidRPr="003D6EC7" w:rsidRDefault="007A2513" w:rsidP="00F84A68">
      <w:pPr>
        <w:pStyle w:val="Textonotapie"/>
        <w:ind w:firstLine="709"/>
        <w:jc w:val="both"/>
        <w:rPr>
          <w:rFonts w:ascii="Verdana" w:hAnsi="Verdana" w:cs="Arial"/>
          <w:color w:val="000000" w:themeColor="text1"/>
          <w:sz w:val="16"/>
          <w:szCs w:val="16"/>
          <w:lang w:val="es-CO"/>
        </w:rPr>
      </w:pPr>
    </w:p>
  </w:footnote>
  <w:footnote w:id="5">
    <w:p w14:paraId="148CD8D9"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A67BC38" w14:textId="77777777" w:rsidR="007A2513" w:rsidRPr="003D6EC7" w:rsidRDefault="007A2513" w:rsidP="00F84A68">
      <w:pPr>
        <w:pStyle w:val="Textonotapie"/>
        <w:ind w:firstLine="709"/>
        <w:jc w:val="both"/>
        <w:rPr>
          <w:rFonts w:ascii="Verdana" w:hAnsi="Verdana" w:cs="Arial"/>
          <w:color w:val="000000" w:themeColor="text1"/>
          <w:sz w:val="16"/>
          <w:szCs w:val="16"/>
          <w:lang w:val="es-CO"/>
        </w:rPr>
      </w:pPr>
    </w:p>
  </w:footnote>
  <w:footnote w:id="6">
    <w:p w14:paraId="78ACA3CE" w14:textId="77777777" w:rsidR="007A2513" w:rsidRPr="003D6EC7" w:rsidRDefault="007A2513" w:rsidP="00F84A68">
      <w:pPr>
        <w:pStyle w:val="Textonotapie"/>
        <w:ind w:firstLine="707"/>
        <w:jc w:val="both"/>
        <w:rPr>
          <w:rFonts w:ascii="Verdana" w:hAnsi="Verdana" w:cs="Arial"/>
          <w:sz w:val="16"/>
          <w:szCs w:val="16"/>
          <w:lang w:val="es-CO"/>
        </w:rPr>
      </w:pPr>
      <w:r w:rsidRPr="003D6EC7">
        <w:rPr>
          <w:rStyle w:val="Refdenotaalpie"/>
          <w:rFonts w:ascii="Verdana" w:hAnsi="Verdana" w:cs="Arial"/>
          <w:sz w:val="16"/>
          <w:szCs w:val="16"/>
        </w:rPr>
        <w:footnoteRef/>
      </w:r>
      <w:r w:rsidRPr="003D6EC7">
        <w:rPr>
          <w:rFonts w:ascii="Verdana" w:hAnsi="Verdana" w:cs="Arial"/>
          <w:sz w:val="16"/>
          <w:szCs w:val="16"/>
          <w:vertAlign w:val="superscript"/>
        </w:rPr>
        <w:t xml:space="preserve"> </w:t>
      </w:r>
      <w:r w:rsidRPr="003D6EC7">
        <w:rPr>
          <w:rFonts w:ascii="Verdana" w:hAnsi="Verdana" w:cs="Arial"/>
          <w:sz w:val="16"/>
          <w:szCs w:val="16"/>
        </w:rPr>
        <w:t xml:space="preserve">Ley 1712 de 2014: “Artículo 3. </w:t>
      </w:r>
      <w:r w:rsidRPr="003D6EC7">
        <w:rPr>
          <w:rFonts w:ascii="Verdana" w:hAnsi="Verdana" w:cs="Arial"/>
          <w:sz w:val="16"/>
          <w:szCs w:val="16"/>
          <w:lang w:val="es-CO"/>
        </w:rPr>
        <w:t>Otros principios de la transparencia y acceso a la información pública. </w:t>
      </w:r>
    </w:p>
    <w:p w14:paraId="12151298" w14:textId="77777777" w:rsidR="007A2513" w:rsidRPr="003D6EC7" w:rsidRDefault="007A2513" w:rsidP="00F84A68">
      <w:pPr>
        <w:pStyle w:val="Textonotapie"/>
        <w:ind w:firstLine="707"/>
        <w:jc w:val="both"/>
        <w:rPr>
          <w:rFonts w:ascii="Verdana" w:hAnsi="Verdana" w:cs="Arial"/>
          <w:sz w:val="16"/>
          <w:szCs w:val="16"/>
          <w:lang w:val="es-ES"/>
        </w:rPr>
      </w:pPr>
      <w:r w:rsidRPr="003D6EC7">
        <w:rPr>
          <w:rFonts w:ascii="Verdana" w:hAnsi="Verdana" w:cs="Arial"/>
          <w:sz w:val="16"/>
          <w:szCs w:val="16"/>
          <w:lang w:val="es-ES"/>
        </w:rPr>
        <w:t>[…]</w:t>
      </w:r>
    </w:p>
    <w:p w14:paraId="4D771554" w14:textId="77777777" w:rsidR="007A2513" w:rsidRPr="003D6EC7" w:rsidRDefault="007A2513" w:rsidP="00F84A68">
      <w:pPr>
        <w:pStyle w:val="Textonotapie"/>
        <w:ind w:firstLine="707"/>
        <w:jc w:val="both"/>
        <w:rPr>
          <w:rFonts w:ascii="Verdana" w:hAnsi="Verdana" w:cs="Arial"/>
          <w:sz w:val="16"/>
          <w:szCs w:val="16"/>
        </w:rPr>
      </w:pPr>
      <w:r w:rsidRPr="003D6EC7">
        <w:rPr>
          <w:rStyle w:val="baj"/>
          <w:rFonts w:ascii="Verdana" w:hAnsi="Verdana" w:cs="Arial"/>
          <w:b/>
          <w:sz w:val="16"/>
          <w:szCs w:val="16"/>
        </w:rPr>
        <w:t>Principio de buena fe</w:t>
      </w:r>
      <w:r w:rsidRPr="003D6EC7">
        <w:rPr>
          <w:rFonts w:ascii="Verdana" w:hAnsi="Verdana" w:cs="Arial"/>
          <w:sz w:val="16"/>
          <w:szCs w:val="16"/>
        </w:rPr>
        <w:t>. En virtud del cual todo sujeto obligado, al cumplir con las obligaciones derivadas del derecho de acceso a la información pública, lo hará con motivación honesta, leal y desprovista de cualquier intención dolosa o culposa.</w:t>
      </w:r>
    </w:p>
    <w:p w14:paraId="6C7A15A0" w14:textId="77777777" w:rsidR="007A2513" w:rsidRPr="003D6EC7" w:rsidRDefault="007A2513" w:rsidP="00F84A68">
      <w:pPr>
        <w:pStyle w:val="Textonotapie"/>
        <w:ind w:firstLine="707"/>
        <w:jc w:val="both"/>
        <w:rPr>
          <w:rFonts w:ascii="Verdana" w:hAnsi="Verdana" w:cs="Arial"/>
          <w:sz w:val="16"/>
          <w:szCs w:val="16"/>
          <w:lang w:val="es-ES"/>
        </w:rPr>
      </w:pPr>
    </w:p>
  </w:footnote>
  <w:footnote w:id="7">
    <w:p w14:paraId="229C7A5C"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680EF02A"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02065CF" w14:textId="77777777" w:rsidR="007A2513" w:rsidRPr="003D6EC7" w:rsidRDefault="007A2513" w:rsidP="00F84A68">
      <w:pPr>
        <w:pStyle w:val="Textonotapie"/>
        <w:ind w:firstLine="709"/>
        <w:jc w:val="both"/>
        <w:rPr>
          <w:rFonts w:ascii="Verdana" w:hAnsi="Verdana" w:cs="Arial"/>
          <w:color w:val="000000" w:themeColor="text1"/>
          <w:sz w:val="16"/>
          <w:szCs w:val="16"/>
          <w:lang w:val="es-CO"/>
        </w:rPr>
      </w:pPr>
    </w:p>
  </w:footnote>
  <w:footnote w:id="8">
    <w:p w14:paraId="15EE74EB"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Fonts w:ascii="Verdana" w:eastAsia="Times New Roman" w:hAnsi="Verdana" w:cs="Arial"/>
          <w:color w:val="000000" w:themeColor="text1"/>
          <w:sz w:val="16"/>
          <w:szCs w:val="16"/>
          <w:vertAlign w:val="superscript"/>
          <w:lang w:val="es-ES" w:eastAsia="es-ES"/>
        </w:rPr>
        <w:footnoteRef/>
      </w:r>
      <w:r w:rsidRPr="003D6EC7">
        <w:rPr>
          <w:rFonts w:ascii="Verdana" w:eastAsia="Times New Roman" w:hAnsi="Verdana" w:cs="Arial"/>
          <w:color w:val="000000" w:themeColor="text1"/>
          <w:sz w:val="16"/>
          <w:szCs w:val="16"/>
          <w:vertAlign w:val="superscript"/>
          <w:lang w:val="es-ES" w:eastAsia="es-ES"/>
        </w:rPr>
        <w:t xml:space="preserve"> </w:t>
      </w:r>
      <w:r w:rsidRPr="003D6EC7">
        <w:rPr>
          <w:rFonts w:ascii="Verdana" w:eastAsia="Times New Roman" w:hAnsi="Verdana" w:cs="Arial"/>
          <w:color w:val="000000" w:themeColor="text1"/>
          <w:sz w:val="16"/>
          <w:szCs w:val="16"/>
          <w:lang w:val="es-ES" w:eastAsia="es-ES"/>
        </w:rPr>
        <w:t>“</w:t>
      </w:r>
      <w:r w:rsidRPr="003D6EC7">
        <w:rPr>
          <w:rFonts w:ascii="Verdana" w:hAnsi="Verdana" w:cs="Arial"/>
          <w:color w:val="000000" w:themeColor="text1"/>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808101E" w14:textId="77777777" w:rsidR="007A2513" w:rsidRPr="003D6EC7" w:rsidRDefault="007A2513" w:rsidP="00F84A68">
      <w:pPr>
        <w:pStyle w:val="Textonotapie"/>
        <w:ind w:firstLine="709"/>
        <w:jc w:val="both"/>
        <w:rPr>
          <w:rFonts w:ascii="Verdana" w:eastAsia="Times New Roman" w:hAnsi="Verdana" w:cs="Arial"/>
          <w:color w:val="000000" w:themeColor="text1"/>
          <w:sz w:val="16"/>
          <w:szCs w:val="16"/>
          <w:lang w:val="es-ES" w:eastAsia="es-ES"/>
        </w:rPr>
      </w:pPr>
      <w:r w:rsidRPr="003D6EC7">
        <w:rPr>
          <w:rFonts w:ascii="Verdana" w:hAnsi="Verdana" w:cs="Arial"/>
          <w:color w:val="000000" w:themeColor="text1"/>
          <w:sz w:val="16"/>
          <w:szCs w:val="16"/>
        </w:rPr>
        <w:t>[…].</w:t>
      </w:r>
    </w:p>
    <w:p w14:paraId="685F4A4E" w14:textId="77777777" w:rsidR="007A2513" w:rsidRPr="003D6EC7" w:rsidRDefault="007A2513" w:rsidP="00F84A68">
      <w:pPr>
        <w:pStyle w:val="Textonotapie"/>
        <w:ind w:firstLine="709"/>
        <w:jc w:val="both"/>
        <w:rPr>
          <w:rFonts w:ascii="Verdana" w:eastAsia="Times New Roman" w:hAnsi="Verdana" w:cs="Arial"/>
          <w:color w:val="000000" w:themeColor="text1"/>
          <w:sz w:val="16"/>
          <w:szCs w:val="16"/>
          <w:lang w:val="es-ES" w:eastAsia="es-ES"/>
        </w:rPr>
      </w:pPr>
      <w:r w:rsidRPr="003D6EC7">
        <w:rPr>
          <w:rFonts w:ascii="Verdana" w:eastAsia="Times New Roman" w:hAnsi="Verdana" w:cs="Arial"/>
          <w:color w:val="000000" w:themeColor="text1"/>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AB27278" w14:textId="77777777" w:rsidR="007A2513" w:rsidRPr="003D6EC7" w:rsidRDefault="007A2513" w:rsidP="00F84A68">
      <w:pPr>
        <w:pStyle w:val="Textonotapie"/>
        <w:ind w:firstLine="709"/>
        <w:jc w:val="both"/>
        <w:rPr>
          <w:rFonts w:ascii="Verdana" w:eastAsia="Times New Roman" w:hAnsi="Verdana" w:cs="Arial"/>
          <w:color w:val="000000" w:themeColor="text1"/>
          <w:sz w:val="16"/>
          <w:szCs w:val="16"/>
          <w:lang w:val="es-ES" w:eastAsia="es-ES"/>
        </w:rPr>
      </w:pPr>
    </w:p>
  </w:footnote>
  <w:footnote w:id="9">
    <w:p w14:paraId="1ADE4129"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C</w:t>
      </w:r>
      <w:proofErr w:type="spellStart"/>
      <w:r w:rsidRPr="003D6EC7">
        <w:rPr>
          <w:rFonts w:ascii="Verdana" w:eastAsia="Times New Roman" w:hAnsi="Verdana" w:cs="Arial"/>
          <w:color w:val="000000" w:themeColor="text1"/>
          <w:sz w:val="16"/>
          <w:szCs w:val="16"/>
          <w:lang w:val="es-ES" w:eastAsia="es-ES"/>
        </w:rPr>
        <w:t>orte</w:t>
      </w:r>
      <w:proofErr w:type="spellEnd"/>
      <w:r w:rsidRPr="003D6EC7">
        <w:rPr>
          <w:rFonts w:ascii="Verdana" w:eastAsia="Times New Roman" w:hAnsi="Verdana" w:cs="Arial"/>
          <w:color w:val="000000" w:themeColor="text1"/>
          <w:sz w:val="16"/>
          <w:szCs w:val="16"/>
          <w:lang w:val="es-ES" w:eastAsia="es-ES"/>
        </w:rPr>
        <w:t xml:space="preserve"> Constitucional. Sentencia C‒274 de 9 de mayo de 2013. M.P. Mar</w:t>
      </w:r>
      <w:r w:rsidRPr="003D6EC7">
        <w:rPr>
          <w:rFonts w:ascii="Verdana" w:eastAsia="Times New Roman" w:hAnsi="Verdana" w:cs="Century Gothic"/>
          <w:color w:val="000000" w:themeColor="text1"/>
          <w:sz w:val="16"/>
          <w:szCs w:val="16"/>
          <w:lang w:val="es-ES" w:eastAsia="es-ES"/>
        </w:rPr>
        <w:t>í</w:t>
      </w:r>
      <w:r w:rsidRPr="003D6EC7">
        <w:rPr>
          <w:rFonts w:ascii="Verdana" w:eastAsia="Times New Roman" w:hAnsi="Verdana" w:cs="Arial"/>
          <w:color w:val="000000" w:themeColor="text1"/>
          <w:sz w:val="16"/>
          <w:szCs w:val="16"/>
          <w:lang w:val="es-ES" w:eastAsia="es-ES"/>
        </w:rPr>
        <w:t xml:space="preserve">a Victoria Calle Correa. </w:t>
      </w:r>
    </w:p>
    <w:p w14:paraId="5B767405" w14:textId="77777777" w:rsidR="007A2513" w:rsidRPr="003D6EC7" w:rsidRDefault="007A2513" w:rsidP="00F84A68">
      <w:pPr>
        <w:pStyle w:val="Textonotapie"/>
        <w:ind w:firstLine="709"/>
        <w:jc w:val="both"/>
        <w:rPr>
          <w:rFonts w:ascii="Verdana" w:hAnsi="Verdana" w:cs="Arial"/>
          <w:color w:val="000000" w:themeColor="text1"/>
          <w:sz w:val="16"/>
          <w:szCs w:val="16"/>
          <w:lang w:val="es-CO"/>
        </w:rPr>
      </w:pPr>
    </w:p>
  </w:footnote>
  <w:footnote w:id="10">
    <w:p w14:paraId="6A4DD182" w14:textId="77777777" w:rsidR="007A2513" w:rsidRPr="003D6EC7" w:rsidRDefault="007A2513" w:rsidP="00F84A68">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66B656F" w14:textId="77777777" w:rsidR="007A2513" w:rsidRPr="003D6EC7" w:rsidRDefault="007A2513" w:rsidP="00F84A68">
      <w:pPr>
        <w:pStyle w:val="Textonotapie"/>
        <w:ind w:firstLine="709"/>
        <w:jc w:val="both"/>
        <w:rPr>
          <w:rFonts w:ascii="Verdana" w:hAnsi="Verdana" w:cs="Arial"/>
          <w:color w:val="000000" w:themeColor="text1"/>
          <w:sz w:val="16"/>
          <w:szCs w:val="16"/>
          <w:lang w:val="es-CO"/>
        </w:rPr>
      </w:pPr>
    </w:p>
  </w:footnote>
  <w:footnote w:id="11">
    <w:p w14:paraId="211F1ACF" w14:textId="77777777" w:rsidR="007A2513" w:rsidRPr="003D6EC7" w:rsidRDefault="007A2513" w:rsidP="00F84A68">
      <w:pPr>
        <w:spacing w:after="0" w:line="240" w:lineRule="auto"/>
        <w:ind w:firstLine="709"/>
        <w:jc w:val="both"/>
        <w:rPr>
          <w:rFonts w:ascii="Verdana" w:hAnsi="Verdana" w:cs="Arial"/>
          <w:sz w:val="16"/>
          <w:szCs w:val="16"/>
        </w:rPr>
      </w:pPr>
      <w:r w:rsidRPr="003D6EC7">
        <w:rPr>
          <w:rStyle w:val="Refdenotaalpie"/>
          <w:rFonts w:ascii="Verdana" w:hAnsi="Verdana"/>
          <w:sz w:val="16"/>
          <w:szCs w:val="16"/>
        </w:rPr>
        <w:footnoteRef/>
      </w:r>
      <w:r w:rsidRPr="003D6EC7">
        <w:rPr>
          <w:rFonts w:ascii="Verdana" w:hAnsi="Verdana"/>
          <w:sz w:val="16"/>
          <w:szCs w:val="16"/>
        </w:rPr>
        <w:t xml:space="preserve"> “[…] </w:t>
      </w:r>
      <w:r w:rsidRPr="003D6EC7">
        <w:rPr>
          <w:rFonts w:ascii="Verdana" w:hAnsi="Verdana" w:cs="Arial"/>
          <w:sz w:val="16"/>
          <w:szCs w:val="16"/>
        </w:rPr>
        <w:t>El Gobierno Nacional desarrollará el Sistema Electrónico para la Contratación Pública, Secop, el cual:</w:t>
      </w:r>
    </w:p>
    <w:p w14:paraId="4154359D" w14:textId="77777777" w:rsidR="007A2513" w:rsidRPr="003D6EC7" w:rsidRDefault="007A2513" w:rsidP="00F84A68">
      <w:pPr>
        <w:spacing w:after="0" w:line="240" w:lineRule="auto"/>
        <w:ind w:firstLine="709"/>
        <w:jc w:val="both"/>
        <w:rPr>
          <w:rFonts w:ascii="Verdana" w:hAnsi="Verdana" w:cs="Arial"/>
          <w:sz w:val="16"/>
          <w:szCs w:val="16"/>
        </w:rPr>
      </w:pPr>
      <w:r w:rsidRPr="003D6EC7">
        <w:rPr>
          <w:rFonts w:ascii="Verdana" w:hAnsi="Verdana" w:cs="Arial"/>
          <w:sz w:val="16"/>
          <w:szCs w:val="16"/>
        </w:rPr>
        <w:t>“[…]</w:t>
      </w:r>
    </w:p>
    <w:p w14:paraId="5699ADA3" w14:textId="77777777" w:rsidR="007A2513" w:rsidRPr="003D6EC7" w:rsidRDefault="007A2513" w:rsidP="00F84A68">
      <w:pPr>
        <w:spacing w:after="0" w:line="240" w:lineRule="auto"/>
        <w:ind w:firstLine="709"/>
        <w:jc w:val="both"/>
        <w:rPr>
          <w:rFonts w:ascii="Verdana" w:hAnsi="Verdana" w:cs="Arial"/>
          <w:sz w:val="16"/>
          <w:szCs w:val="16"/>
        </w:rPr>
      </w:pPr>
      <w:r w:rsidRPr="003D6EC7">
        <w:rPr>
          <w:rFonts w:ascii="Verdana" w:hAnsi="Verdana" w:cs="Arial"/>
          <w:sz w:val="16"/>
          <w:szCs w:val="16"/>
        </w:rPr>
        <w:t>“c) Contará con la información oficial de la contratación realizada con dineros públicos, para lo cual establecerá los patrones a que haya lugar y se encargará de su difusión a través de canales electrónicos […]”.</w:t>
      </w:r>
    </w:p>
    <w:p w14:paraId="60A72BBE" w14:textId="77777777" w:rsidR="007A2513" w:rsidRPr="003D6EC7" w:rsidRDefault="007A2513" w:rsidP="00F84A68">
      <w:pPr>
        <w:spacing w:after="0" w:line="240" w:lineRule="auto"/>
        <w:ind w:firstLine="709"/>
        <w:jc w:val="both"/>
        <w:rPr>
          <w:rFonts w:ascii="Verdana" w:hAnsi="Verdana" w:cs="Arial"/>
          <w:sz w:val="16"/>
          <w:szCs w:val="16"/>
        </w:rPr>
      </w:pPr>
    </w:p>
  </w:footnote>
  <w:footnote w:id="12">
    <w:p w14:paraId="0845F696" w14:textId="77777777" w:rsidR="007A2513" w:rsidRPr="003D6EC7" w:rsidRDefault="007A2513" w:rsidP="00F84A68">
      <w:pPr>
        <w:pStyle w:val="Textonotapie"/>
        <w:ind w:firstLine="708"/>
        <w:jc w:val="both"/>
        <w:rPr>
          <w:rFonts w:ascii="Verdana" w:hAnsi="Verdana" w:cs="Arial"/>
          <w:color w:val="000000"/>
          <w:sz w:val="16"/>
          <w:szCs w:val="16"/>
        </w:rPr>
      </w:pPr>
      <w:r w:rsidRPr="003D6EC7">
        <w:rPr>
          <w:rStyle w:val="Refdenotaalpie"/>
          <w:rFonts w:ascii="Verdana" w:hAnsi="Verdana" w:cs="Arial"/>
          <w:color w:val="000000"/>
          <w:sz w:val="16"/>
          <w:szCs w:val="16"/>
        </w:rPr>
        <w:footnoteRef/>
      </w:r>
      <w:r w:rsidRPr="003D6EC7">
        <w:rPr>
          <w:rFonts w:ascii="Verdana" w:hAnsi="Verdana" w:cs="Arial"/>
          <w:color w:val="000000"/>
          <w:sz w:val="16"/>
          <w:szCs w:val="16"/>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F1194CE" w14:textId="77777777" w:rsidR="007A2513" w:rsidRPr="003D6EC7" w:rsidRDefault="007A2513" w:rsidP="00F84A68">
      <w:pPr>
        <w:spacing w:after="0" w:line="240" w:lineRule="auto"/>
        <w:ind w:firstLine="708"/>
        <w:jc w:val="both"/>
        <w:rPr>
          <w:rFonts w:ascii="Verdana" w:hAnsi="Verdana" w:cs="Arial"/>
          <w:color w:val="000000"/>
          <w:sz w:val="16"/>
          <w:szCs w:val="16"/>
        </w:rPr>
      </w:pPr>
      <w:r w:rsidRPr="003D6EC7">
        <w:rPr>
          <w:rFonts w:ascii="Verdana" w:hAnsi="Verdana" w:cs="Arial"/>
          <w:color w:val="000000"/>
          <w:sz w:val="16"/>
          <w:szCs w:val="16"/>
        </w:rPr>
        <w:t>“Lo anterior, sin perjuicio de las publicaciones previstas en el numeral 3 del artículo 30 de la Ley 80 de 1993.</w:t>
      </w:r>
    </w:p>
    <w:p w14:paraId="6086AB81" w14:textId="77777777" w:rsidR="007A2513" w:rsidRPr="003D6EC7" w:rsidRDefault="007A2513" w:rsidP="00F84A68">
      <w:pPr>
        <w:pStyle w:val="Textonotapie"/>
        <w:ind w:firstLine="708"/>
        <w:jc w:val="both"/>
        <w:rPr>
          <w:rFonts w:ascii="Verdana" w:hAnsi="Verdana" w:cs="Arial"/>
          <w:color w:val="000000"/>
          <w:sz w:val="16"/>
          <w:szCs w:val="16"/>
        </w:rPr>
      </w:pPr>
      <w:r w:rsidRPr="003D6EC7">
        <w:rPr>
          <w:rFonts w:ascii="Verdana" w:hAnsi="Verdana" w:cs="Arial"/>
          <w:color w:val="000000"/>
          <w:sz w:val="16"/>
          <w:szCs w:val="16"/>
        </w:rPr>
        <w:t>“Con el fin de materializar los objetivos a que se refiere el inciso anterior, el Gobierno Nacional desarrollará el Sistema Electrónico para la Contratación Pública, Secop, el cual:</w:t>
      </w:r>
    </w:p>
    <w:p w14:paraId="296E59B1" w14:textId="77777777" w:rsidR="007A2513" w:rsidRPr="003D6EC7" w:rsidRDefault="007A2513" w:rsidP="00F84A68">
      <w:pPr>
        <w:pStyle w:val="Textonotapie"/>
        <w:ind w:firstLine="708"/>
        <w:jc w:val="both"/>
        <w:rPr>
          <w:rFonts w:ascii="Verdana" w:hAnsi="Verdana" w:cs="Arial"/>
          <w:color w:val="000000"/>
          <w:sz w:val="16"/>
          <w:szCs w:val="16"/>
        </w:rPr>
      </w:pPr>
      <w:r w:rsidRPr="003D6EC7">
        <w:rPr>
          <w:rFonts w:ascii="Verdana" w:hAnsi="Verdana" w:cs="Arial"/>
          <w:color w:val="000000"/>
          <w:sz w:val="16"/>
          <w:szCs w:val="16"/>
        </w:rPr>
        <w:t>“a) Dispondrá de las funcionalidades tecnológicas para realizar procesos de contratación electrónicos bajo los métodos de selección señalados en el artículo 2o de la presente ley según lo defina el reglamento;</w:t>
      </w:r>
    </w:p>
    <w:p w14:paraId="0973AF60" w14:textId="77777777" w:rsidR="007A2513" w:rsidRPr="003D6EC7" w:rsidRDefault="007A2513" w:rsidP="00F84A68">
      <w:pPr>
        <w:pStyle w:val="Textonotapie"/>
        <w:ind w:firstLine="708"/>
        <w:jc w:val="both"/>
        <w:rPr>
          <w:rFonts w:ascii="Verdana" w:hAnsi="Verdana" w:cs="Arial"/>
          <w:color w:val="000000"/>
          <w:sz w:val="16"/>
          <w:szCs w:val="16"/>
        </w:rPr>
      </w:pPr>
      <w:r w:rsidRPr="003D6EC7">
        <w:rPr>
          <w:rFonts w:ascii="Verdana" w:hAnsi="Verdana" w:cs="Arial"/>
          <w:color w:val="000000"/>
          <w:sz w:val="16"/>
          <w:szCs w:val="16"/>
        </w:rPr>
        <w:t>“b) Servirá de punto único de ingreso de información y de generación de reportes para las entidades estatales y la ciudadanía;</w:t>
      </w:r>
    </w:p>
    <w:p w14:paraId="361BA1B6" w14:textId="77777777" w:rsidR="007A2513" w:rsidRPr="003D6EC7" w:rsidRDefault="007A2513" w:rsidP="00F84A68">
      <w:pPr>
        <w:pStyle w:val="Textonotapie"/>
        <w:ind w:firstLine="708"/>
        <w:jc w:val="both"/>
        <w:rPr>
          <w:rFonts w:ascii="Verdana" w:hAnsi="Verdana" w:cs="Arial"/>
          <w:color w:val="000000"/>
          <w:sz w:val="16"/>
          <w:szCs w:val="16"/>
        </w:rPr>
      </w:pPr>
      <w:r w:rsidRPr="003D6EC7">
        <w:rPr>
          <w:rFonts w:ascii="Verdana" w:hAnsi="Verdana" w:cs="Arial"/>
          <w:color w:val="000000"/>
          <w:sz w:val="16"/>
          <w:szCs w:val="16"/>
        </w:rPr>
        <w:t>“c) Contará con la información oficial de la contratación realizada con dineros públicos, para lo cual establecerá los patrones a que haya lugar y se encargará de su difusión a través de canales electrónicos y;</w:t>
      </w:r>
    </w:p>
    <w:p w14:paraId="5D17808F" w14:textId="77777777" w:rsidR="007A2513" w:rsidRPr="003D6EC7" w:rsidRDefault="007A2513" w:rsidP="00F84A68">
      <w:pPr>
        <w:pStyle w:val="Textonotapie"/>
        <w:ind w:firstLine="708"/>
        <w:jc w:val="both"/>
        <w:rPr>
          <w:rFonts w:ascii="Verdana" w:hAnsi="Verdana" w:cs="Arial"/>
          <w:color w:val="000000"/>
          <w:sz w:val="16"/>
          <w:szCs w:val="16"/>
        </w:rPr>
      </w:pPr>
      <w:r w:rsidRPr="003D6EC7">
        <w:rPr>
          <w:rFonts w:ascii="Verdana" w:hAnsi="Verdana" w:cs="Arial"/>
          <w:color w:val="000000"/>
          <w:sz w:val="16"/>
          <w:szCs w:val="16"/>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9ABC5B0" w14:textId="77777777" w:rsidR="007A2513" w:rsidRPr="003D6EC7" w:rsidRDefault="007A2513" w:rsidP="00F84A68">
      <w:pPr>
        <w:pStyle w:val="Textonotapie"/>
        <w:jc w:val="both"/>
        <w:rPr>
          <w:rFonts w:ascii="Verdana" w:hAnsi="Verdana" w:cs="Arial"/>
          <w:color w:val="000000"/>
          <w:sz w:val="16"/>
          <w:szCs w:val="16"/>
        </w:rPr>
      </w:pPr>
    </w:p>
  </w:footnote>
  <w:footnote w:id="13">
    <w:p w14:paraId="7DCBE5AC" w14:textId="77777777" w:rsidR="007A2513" w:rsidRPr="003D6EC7" w:rsidRDefault="007A2513" w:rsidP="00F84A68">
      <w:pPr>
        <w:pStyle w:val="Textonotapie"/>
        <w:ind w:firstLine="708"/>
        <w:jc w:val="both"/>
        <w:rPr>
          <w:rFonts w:ascii="Verdana" w:hAnsi="Verdana" w:cs="Arial"/>
          <w:color w:val="000000"/>
          <w:sz w:val="16"/>
          <w:szCs w:val="16"/>
          <w:lang w:val="es-CO"/>
        </w:rPr>
      </w:pPr>
      <w:r w:rsidRPr="003D6EC7">
        <w:rPr>
          <w:rStyle w:val="Refdenotaalpie"/>
          <w:rFonts w:ascii="Verdana" w:hAnsi="Verdana" w:cs="Arial"/>
          <w:color w:val="000000"/>
          <w:sz w:val="16"/>
          <w:szCs w:val="16"/>
        </w:rPr>
        <w:footnoteRef/>
      </w:r>
      <w:r w:rsidRPr="003D6EC7">
        <w:rPr>
          <w:rFonts w:ascii="Verdana" w:hAnsi="Verdana" w:cs="Arial"/>
          <w:color w:val="000000"/>
          <w:sz w:val="16"/>
          <w:szCs w:val="16"/>
        </w:rPr>
        <w:t xml:space="preserve"> Corte Constitucional. </w:t>
      </w:r>
      <w:r w:rsidRPr="003D6EC7">
        <w:rPr>
          <w:rFonts w:ascii="Verdana" w:hAnsi="Verdana" w:cs="Arial"/>
          <w:color w:val="000000"/>
          <w:sz w:val="16"/>
          <w:szCs w:val="16"/>
          <w:lang w:val="es-CO"/>
        </w:rPr>
        <w:t xml:space="preserve">Sentencia C 711 del 11 de marzo de 2011. M.P. Mauricio González Cuervo. </w:t>
      </w:r>
    </w:p>
    <w:p w14:paraId="1236F78A" w14:textId="77777777" w:rsidR="007A2513" w:rsidRPr="003D6EC7" w:rsidRDefault="007A2513" w:rsidP="00F84A68">
      <w:pPr>
        <w:pStyle w:val="Textonotapie"/>
        <w:ind w:firstLine="708"/>
        <w:jc w:val="both"/>
        <w:rPr>
          <w:rFonts w:ascii="Verdana" w:hAnsi="Verdana" w:cs="Arial"/>
          <w:color w:val="000000"/>
          <w:sz w:val="16"/>
          <w:szCs w:val="16"/>
          <w:lang w:val="es-CO"/>
        </w:rPr>
      </w:pPr>
    </w:p>
  </w:footnote>
  <w:footnote w:id="14">
    <w:p w14:paraId="61C32CF1" w14:textId="77777777" w:rsidR="007A2513" w:rsidRPr="003D6EC7" w:rsidRDefault="007A2513" w:rsidP="00F84A68">
      <w:pPr>
        <w:pStyle w:val="Textonotapie"/>
        <w:ind w:firstLine="708"/>
        <w:jc w:val="both"/>
        <w:rPr>
          <w:rFonts w:ascii="Verdana" w:hAnsi="Verdana" w:cs="Arial"/>
          <w:sz w:val="16"/>
          <w:szCs w:val="16"/>
        </w:rPr>
      </w:pPr>
      <w:r w:rsidRPr="003D6EC7">
        <w:rPr>
          <w:rStyle w:val="Refdenotaalpie"/>
          <w:rFonts w:ascii="Verdana" w:hAnsi="Verdana" w:cs="Arial"/>
          <w:sz w:val="16"/>
          <w:szCs w:val="16"/>
        </w:rPr>
        <w:footnoteRef/>
      </w:r>
      <w:r w:rsidRPr="003D6EC7">
        <w:rPr>
          <w:rFonts w:ascii="Verdana" w:hAnsi="Verdana" w:cs="Arial"/>
          <w:sz w:val="16"/>
          <w:szCs w:val="16"/>
        </w:rPr>
        <w:t xml:space="preserve"> Agencia Nacional de Contratación Pública – Colombia Compra Eficiente. Concepto C-087 del del 4 de marzo de 2020. Radicado de entrada No. 4202012000000579. Radicado de salida No. 2202013000001598.</w:t>
      </w:r>
    </w:p>
  </w:footnote>
  <w:footnote w:id="15">
    <w:p w14:paraId="17A00227" w14:textId="77777777" w:rsidR="007A2513" w:rsidRPr="003D6EC7" w:rsidRDefault="007A2513" w:rsidP="00F84A68">
      <w:pPr>
        <w:pStyle w:val="Textonotapie"/>
        <w:jc w:val="both"/>
        <w:rPr>
          <w:rFonts w:ascii="Verdana" w:hAnsi="Verdana" w:cs="Arial"/>
          <w:sz w:val="16"/>
          <w:szCs w:val="16"/>
        </w:rPr>
      </w:pPr>
    </w:p>
    <w:p w14:paraId="707F5B85" w14:textId="77777777" w:rsidR="007A2513" w:rsidRPr="003D6EC7" w:rsidRDefault="007A2513" w:rsidP="00F84A68">
      <w:pPr>
        <w:pStyle w:val="Textonotapie"/>
        <w:ind w:firstLine="708"/>
        <w:jc w:val="both"/>
        <w:rPr>
          <w:rFonts w:ascii="Verdana" w:hAnsi="Verdana" w:cs="Arial"/>
          <w:sz w:val="16"/>
          <w:szCs w:val="16"/>
        </w:rPr>
      </w:pPr>
      <w:r w:rsidRPr="003D6EC7">
        <w:rPr>
          <w:rStyle w:val="Refdenotaalpie"/>
          <w:rFonts w:ascii="Verdana" w:hAnsi="Verdana" w:cs="Arial"/>
          <w:sz w:val="16"/>
          <w:szCs w:val="16"/>
        </w:rPr>
        <w:footnoteRef/>
      </w:r>
      <w:r w:rsidRPr="003D6EC7">
        <w:rPr>
          <w:rFonts w:ascii="Verdana" w:hAnsi="Verdana" w:cs="Arial"/>
          <w:sz w:val="16"/>
          <w:szCs w:val="16"/>
        </w:rPr>
        <w:t xml:space="preserve"> Ley 80 de 1993 “</w:t>
      </w:r>
      <w:r w:rsidRPr="003D6EC7">
        <w:rPr>
          <w:rStyle w:val="Textoennegrita"/>
          <w:rFonts w:ascii="Verdana" w:hAnsi="Verdana" w:cs="Arial"/>
          <w:color w:val="000000"/>
          <w:sz w:val="16"/>
          <w:szCs w:val="16"/>
        </w:rPr>
        <w:t>Articulo 32. De los contratos estatales. </w:t>
      </w:r>
      <w:r w:rsidRPr="003D6EC7">
        <w:rPr>
          <w:rFonts w:ascii="Verdana" w:hAnsi="Verdana" w:cs="Arial"/>
          <w:color w:val="000000"/>
          <w:sz w:val="16"/>
          <w:szCs w:val="16"/>
        </w:rPr>
        <w:t>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 w:id="16">
    <w:p w14:paraId="60E6F6D9" w14:textId="77777777" w:rsidR="007A2513" w:rsidRPr="003D6EC7" w:rsidRDefault="007A2513" w:rsidP="00F84A68">
      <w:pPr>
        <w:pStyle w:val="NormalWeb"/>
        <w:spacing w:before="0" w:beforeAutospacing="0" w:after="0" w:afterAutospacing="0"/>
        <w:ind w:firstLine="708"/>
        <w:jc w:val="both"/>
        <w:rPr>
          <w:rFonts w:ascii="Verdana" w:hAnsi="Verdana" w:cs="Arial"/>
          <w:color w:val="000000"/>
          <w:sz w:val="16"/>
          <w:szCs w:val="16"/>
        </w:rPr>
      </w:pPr>
      <w:r w:rsidRPr="003D6EC7">
        <w:rPr>
          <w:rStyle w:val="Refdenotaalpie"/>
          <w:rFonts w:ascii="Verdana" w:hAnsi="Verdana" w:cs="Arial"/>
          <w:sz w:val="16"/>
          <w:szCs w:val="16"/>
        </w:rPr>
        <w:footnoteRef/>
      </w:r>
      <w:r w:rsidRPr="003D6EC7">
        <w:rPr>
          <w:rFonts w:ascii="Verdana" w:hAnsi="Verdana" w:cs="Arial"/>
          <w:sz w:val="16"/>
          <w:szCs w:val="16"/>
        </w:rPr>
        <w:t xml:space="preserve"> Ley 80 de 1993 “</w:t>
      </w:r>
      <w:r w:rsidRPr="003D6EC7">
        <w:rPr>
          <w:rFonts w:ascii="Verdana" w:hAnsi="Verdana" w:cs="Arial"/>
          <w:color w:val="000000"/>
          <w:sz w:val="16"/>
          <w:szCs w:val="16"/>
        </w:rPr>
        <w:t>Artículo 13</w:t>
      </w:r>
      <w:r w:rsidRPr="003D6EC7">
        <w:rPr>
          <w:rFonts w:ascii="Verdana" w:hAnsi="Verdana" w:cs="Arial"/>
          <w:b/>
          <w:color w:val="000000"/>
          <w:sz w:val="16"/>
          <w:szCs w:val="16"/>
        </w:rPr>
        <w:t xml:space="preserve">. </w:t>
      </w:r>
      <w:r w:rsidRPr="003D6EC7">
        <w:rPr>
          <w:rFonts w:ascii="Verdana" w:hAnsi="Verdana" w:cs="Arial"/>
          <w:color w:val="000000"/>
          <w:sz w:val="16"/>
          <w:szCs w:val="16"/>
        </w:rPr>
        <w:t>De la normatividad aplicable a los contratos estatales. Los contratos que celebren las entidades a que se refiere el artículo 2o. del presente estatuto se regirán por las disposiciones comerciales y civiles pertinentes, salvo en las materias particularmente reguladas en esta ley. </w:t>
      </w:r>
    </w:p>
    <w:p w14:paraId="1798D4A7" w14:textId="77777777" w:rsidR="007A2513" w:rsidRPr="003D6EC7" w:rsidRDefault="007A2513" w:rsidP="00F84A68">
      <w:pPr>
        <w:spacing w:after="0" w:line="240" w:lineRule="auto"/>
        <w:jc w:val="both"/>
        <w:rPr>
          <w:rFonts w:ascii="Verdana" w:hAnsi="Verdana" w:cs="Arial"/>
          <w:color w:val="000000"/>
          <w:sz w:val="16"/>
          <w:szCs w:val="16"/>
          <w:lang w:eastAsia="es-CO"/>
        </w:rPr>
      </w:pPr>
      <w:r w:rsidRPr="003D6EC7">
        <w:rPr>
          <w:rFonts w:ascii="Verdana" w:hAnsi="Verdana" w:cs="Arial"/>
          <w:color w:val="000000"/>
          <w:sz w:val="16"/>
          <w:szCs w:val="16"/>
          <w:lang w:eastAsia="es-CO"/>
        </w:rPr>
        <w:t> </w:t>
      </w:r>
      <w:r w:rsidRPr="003D6EC7">
        <w:rPr>
          <w:rFonts w:ascii="Verdana" w:hAnsi="Verdana" w:cs="Arial"/>
          <w:color w:val="000000"/>
          <w:sz w:val="16"/>
          <w:szCs w:val="16"/>
          <w:lang w:eastAsia="es-CO"/>
        </w:rPr>
        <w:tab/>
        <w:t>“Los contratos celebrados en el exterior se podrán regir en su ejecución por las reglas del país en donde se hayan suscrito, a menos que deban cumplirse en Colombia. </w:t>
      </w:r>
    </w:p>
    <w:p w14:paraId="5D22BAC5" w14:textId="77777777" w:rsidR="007A2513" w:rsidRPr="003D6EC7" w:rsidRDefault="007A2513" w:rsidP="00F84A68">
      <w:pPr>
        <w:spacing w:after="0" w:line="240" w:lineRule="auto"/>
        <w:jc w:val="both"/>
        <w:rPr>
          <w:rFonts w:ascii="Verdana" w:hAnsi="Verdana" w:cs="Arial"/>
          <w:color w:val="000000"/>
          <w:sz w:val="16"/>
          <w:szCs w:val="16"/>
          <w:lang w:eastAsia="es-CO"/>
        </w:rPr>
      </w:pPr>
      <w:r w:rsidRPr="003D6EC7">
        <w:rPr>
          <w:rFonts w:ascii="Verdana" w:hAnsi="Verdana" w:cs="Arial"/>
          <w:color w:val="000000"/>
          <w:sz w:val="16"/>
          <w:szCs w:val="16"/>
          <w:lang w:eastAsia="es-CO"/>
        </w:rPr>
        <w:t>  </w:t>
      </w:r>
      <w:r w:rsidRPr="003D6EC7">
        <w:rPr>
          <w:rFonts w:ascii="Verdana" w:hAnsi="Verdana" w:cs="Arial"/>
          <w:color w:val="000000"/>
          <w:sz w:val="16"/>
          <w:szCs w:val="16"/>
          <w:lang w:eastAsia="es-CO"/>
        </w:rPr>
        <w:tab/>
        <w:t>“Los contratos que se celebren en Colombia y deban ejecutarse o cumplirse en el extranjero, podrán someterse a la ley extranjera. </w:t>
      </w:r>
    </w:p>
    <w:p w14:paraId="186408F0" w14:textId="77777777" w:rsidR="007A2513" w:rsidRPr="003D6EC7" w:rsidRDefault="007A2513" w:rsidP="00F84A68">
      <w:pPr>
        <w:pStyle w:val="NormalWeb"/>
        <w:spacing w:before="0" w:beforeAutospacing="0" w:after="0" w:afterAutospacing="0"/>
        <w:ind w:firstLine="708"/>
        <w:jc w:val="both"/>
        <w:rPr>
          <w:rFonts w:ascii="Verdana" w:hAnsi="Verdana" w:cs="Arial"/>
          <w:sz w:val="16"/>
          <w:szCs w:val="16"/>
        </w:rPr>
      </w:pPr>
      <w:r w:rsidRPr="003D6EC7">
        <w:rPr>
          <w:rFonts w:ascii="Verdana" w:hAnsi="Verdana" w:cs="Arial"/>
          <w:sz w:val="16"/>
          <w:szCs w:val="16"/>
        </w:rPr>
        <w:t>[…]</w:t>
      </w:r>
    </w:p>
    <w:p w14:paraId="50B78BD8" w14:textId="77777777" w:rsidR="007A2513" w:rsidRPr="003D6EC7" w:rsidRDefault="007A2513" w:rsidP="00F84A68">
      <w:pPr>
        <w:pStyle w:val="NormalWeb"/>
        <w:spacing w:before="0" w:beforeAutospacing="0" w:after="0" w:afterAutospacing="0"/>
        <w:ind w:firstLine="708"/>
        <w:jc w:val="both"/>
        <w:rPr>
          <w:rFonts w:ascii="Verdana" w:hAnsi="Verdana" w:cs="Arial"/>
          <w:color w:val="000000"/>
          <w:sz w:val="16"/>
          <w:szCs w:val="16"/>
        </w:rPr>
      </w:pPr>
      <w:r w:rsidRPr="003D6EC7">
        <w:rPr>
          <w:rFonts w:ascii="Verdana" w:hAnsi="Verdana" w:cs="Arial"/>
          <w:b/>
          <w:color w:val="000000"/>
          <w:sz w:val="16"/>
          <w:szCs w:val="16"/>
        </w:rPr>
        <w:t>“</w:t>
      </w:r>
      <w:r w:rsidRPr="003D6EC7">
        <w:rPr>
          <w:rFonts w:ascii="Verdana" w:hAnsi="Verdana" w:cs="Arial"/>
          <w:color w:val="000000"/>
          <w:sz w:val="16"/>
          <w:szCs w:val="16"/>
        </w:rPr>
        <w:t xml:space="preserve">Artículo 40. Del contenido del contrato estatal. Las estipulaciones de los contratos serán las </w:t>
      </w:r>
      <w:proofErr w:type="gramStart"/>
      <w:r w:rsidRPr="003D6EC7">
        <w:rPr>
          <w:rFonts w:ascii="Verdana" w:hAnsi="Verdana" w:cs="Arial"/>
          <w:color w:val="000000"/>
          <w:sz w:val="16"/>
          <w:szCs w:val="16"/>
        </w:rPr>
        <w:t>que</w:t>
      </w:r>
      <w:proofErr w:type="gramEnd"/>
      <w:r w:rsidRPr="003D6EC7">
        <w:rPr>
          <w:rFonts w:ascii="Verdana" w:hAnsi="Verdana" w:cs="Arial"/>
          <w:color w:val="000000"/>
          <w:sz w:val="16"/>
          <w:szCs w:val="16"/>
        </w:rPr>
        <w:t xml:space="preserve"> de acuerdo con las normas civiles, comerciales y las previstas en esta ley, correspondan a su esencia y naturaleza. </w:t>
      </w:r>
    </w:p>
    <w:p w14:paraId="2C7CC133" w14:textId="77777777" w:rsidR="007A2513" w:rsidRPr="003D6EC7" w:rsidRDefault="007A2513" w:rsidP="00F84A68">
      <w:pPr>
        <w:spacing w:after="0" w:line="240" w:lineRule="auto"/>
        <w:jc w:val="both"/>
        <w:rPr>
          <w:rFonts w:ascii="Verdana" w:hAnsi="Verdana" w:cs="Arial"/>
          <w:color w:val="000000"/>
          <w:sz w:val="16"/>
          <w:szCs w:val="16"/>
          <w:lang w:eastAsia="es-CO"/>
        </w:rPr>
      </w:pPr>
      <w:r w:rsidRPr="003D6EC7">
        <w:rPr>
          <w:rFonts w:ascii="Verdana" w:hAnsi="Verdana" w:cs="Arial"/>
          <w:color w:val="000000"/>
          <w:sz w:val="16"/>
          <w:szCs w:val="16"/>
          <w:lang w:eastAsia="es-CO"/>
        </w:rPr>
        <w:t>  </w:t>
      </w:r>
      <w:r w:rsidRPr="003D6EC7">
        <w:rPr>
          <w:rFonts w:ascii="Verdana" w:hAnsi="Verdana" w:cs="Arial"/>
          <w:color w:val="000000"/>
          <w:sz w:val="16"/>
          <w:szCs w:val="16"/>
          <w:lang w:eastAsia="es-CO"/>
        </w:rPr>
        <w:tab/>
        <w:t>“Las entidades podrán celebrar los contratos y acuerdos que permitan la autonomía de la voluntad y requieran el cumplimiento de los fines estatales. </w:t>
      </w:r>
    </w:p>
    <w:p w14:paraId="490C924D" w14:textId="77777777" w:rsidR="007A2513" w:rsidRPr="003D6EC7" w:rsidRDefault="007A2513" w:rsidP="00F84A68">
      <w:pPr>
        <w:spacing w:after="0" w:line="240" w:lineRule="auto"/>
        <w:jc w:val="both"/>
        <w:rPr>
          <w:rFonts w:ascii="Verdana" w:hAnsi="Verdana" w:cs="Arial"/>
          <w:color w:val="000000"/>
          <w:sz w:val="16"/>
          <w:szCs w:val="16"/>
          <w:lang w:eastAsia="es-CO"/>
        </w:rPr>
      </w:pPr>
      <w:r w:rsidRPr="003D6EC7">
        <w:rPr>
          <w:rFonts w:ascii="Verdana" w:hAnsi="Verdana" w:cs="Arial"/>
          <w:color w:val="000000"/>
          <w:sz w:val="16"/>
          <w:szCs w:val="16"/>
          <w:lang w:eastAsia="es-CO"/>
        </w:rPr>
        <w:t xml:space="preserve">   </w:t>
      </w:r>
      <w:r w:rsidRPr="003D6EC7">
        <w:rPr>
          <w:rFonts w:ascii="Verdana" w:hAnsi="Verdana" w:cs="Arial"/>
          <w:color w:val="000000"/>
          <w:sz w:val="16"/>
          <w:szCs w:val="16"/>
          <w:lang w:eastAsia="es-CO"/>
        </w:rPr>
        <w:tab/>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02556679" w14:textId="77777777" w:rsidR="007A2513" w:rsidRPr="003D6EC7" w:rsidRDefault="007A2513" w:rsidP="00F84A68">
      <w:pPr>
        <w:spacing w:after="0" w:line="240" w:lineRule="auto"/>
        <w:jc w:val="both"/>
        <w:rPr>
          <w:rFonts w:ascii="Verdana" w:hAnsi="Verdana" w:cs="Arial"/>
          <w:color w:val="000000"/>
          <w:sz w:val="16"/>
          <w:szCs w:val="16"/>
          <w:lang w:eastAsia="es-CO"/>
        </w:rPr>
      </w:pPr>
      <w:r w:rsidRPr="003D6EC7">
        <w:rPr>
          <w:rFonts w:ascii="Verdana" w:hAnsi="Verdana" w:cs="Arial"/>
          <w:color w:val="000000"/>
          <w:sz w:val="16"/>
          <w:szCs w:val="16"/>
          <w:lang w:eastAsia="es-CO"/>
        </w:rPr>
        <w:t>  </w:t>
      </w:r>
      <w:r w:rsidRPr="003D6EC7">
        <w:rPr>
          <w:rFonts w:ascii="Verdana" w:hAnsi="Verdana" w:cs="Arial"/>
          <w:color w:val="000000"/>
          <w:sz w:val="16"/>
          <w:szCs w:val="16"/>
          <w:lang w:eastAsia="es-CO"/>
        </w:rPr>
        <w:tab/>
        <w:t>“En los contratos de empréstito o cualquier otra forma de financiación de organismos multilaterales, podrán incluirse las previsiones y particularidades contempladas en los reglamentos de tales entidades, que no sean contrarias a la Constitución o a la ley […]”. </w:t>
      </w:r>
    </w:p>
    <w:p w14:paraId="2148E2E9" w14:textId="77777777" w:rsidR="007A2513" w:rsidRPr="003D6EC7" w:rsidRDefault="007A2513" w:rsidP="00F84A68">
      <w:pPr>
        <w:pStyle w:val="Textonotapie"/>
        <w:ind w:firstLine="708"/>
        <w:jc w:val="both"/>
        <w:rPr>
          <w:rFonts w:ascii="Verdana" w:hAnsi="Verdana" w:cs="Arial"/>
          <w:sz w:val="16"/>
          <w:szCs w:val="16"/>
        </w:rPr>
      </w:pPr>
    </w:p>
  </w:footnote>
  <w:footnote w:id="17">
    <w:p w14:paraId="0435CBE8" w14:textId="77777777" w:rsidR="007A2513" w:rsidRPr="003D6EC7" w:rsidRDefault="007A2513" w:rsidP="00F84A68">
      <w:pPr>
        <w:pStyle w:val="Textonotapie"/>
        <w:ind w:firstLine="708"/>
        <w:jc w:val="both"/>
        <w:rPr>
          <w:rFonts w:ascii="Verdana" w:hAnsi="Verdana" w:cs="Arial"/>
          <w:sz w:val="16"/>
          <w:szCs w:val="16"/>
        </w:rPr>
      </w:pPr>
      <w:r w:rsidRPr="003D6EC7">
        <w:rPr>
          <w:rStyle w:val="Refdenotaalpie"/>
          <w:rFonts w:ascii="Verdana" w:hAnsi="Verdana" w:cs="Arial"/>
          <w:sz w:val="16"/>
          <w:szCs w:val="16"/>
        </w:rPr>
        <w:footnoteRef/>
      </w:r>
      <w:r w:rsidRPr="003D6EC7">
        <w:rPr>
          <w:rFonts w:ascii="Verdana" w:hAnsi="Verdana" w:cs="Arial"/>
          <w:sz w:val="16"/>
          <w:szCs w:val="16"/>
        </w:rPr>
        <w:t xml:space="preserve"> </w:t>
      </w:r>
      <w:r w:rsidRPr="003D6EC7">
        <w:rPr>
          <w:rFonts w:ascii="Verdana" w:eastAsia="Calibri" w:hAnsi="Verdana" w:cs="Arial"/>
          <w:sz w:val="16"/>
          <w:szCs w:val="16"/>
          <w:lang w:val="es-ES"/>
        </w:rPr>
        <w:t xml:space="preserve">Es pertinente mencionar que, la implementación del SECOP II para el grueso de entidades estatales ha sido un proceso gradual y progresivo que se viene adelantando desde 2018, en el marco del cual, conforme se ha ido realizando el despliegue a nivel territorial de la plataforma y capacitando a los funcionarios para el uso de esta, se han ido vinculando diferentes entidades al uso obligatorio del SECOP II.  Estas entidades y las fechas a partir de las cuales les correspondió o corresponderá comenzar a utilizar la referida plataforma transaccional son definidos por las circulares externas nos. 001 de 2013, 020 de 2015, 001 de 2019, 002 de 2019, 003 de 2020, 001 de 2021 y 002 de 2022. </w:t>
      </w:r>
      <w:r w:rsidRPr="003D6EC7">
        <w:rPr>
          <w:rFonts w:ascii="Verdana" w:hAnsi="Verdana" w:cs="Arial"/>
          <w:sz w:val="16"/>
          <w:szCs w:val="16"/>
        </w:rPr>
        <w:t xml:space="preserve">Estas circulares pueden ser consultadas en: </w:t>
      </w:r>
      <w:hyperlink r:id="rId1" w:history="1">
        <w:r w:rsidRPr="003D6EC7">
          <w:rPr>
            <w:rStyle w:val="Hipervnculo"/>
            <w:rFonts w:ascii="Verdana" w:hAnsi="Verdana" w:cs="Arial"/>
            <w:color w:val="4472C4" w:themeColor="accent1"/>
            <w:sz w:val="16"/>
            <w:szCs w:val="16"/>
          </w:rPr>
          <w:t>https://www.colombiacompra.gov.co/circulares</w:t>
        </w:r>
      </w:hyperlink>
    </w:p>
    <w:p w14:paraId="1EDC43CC" w14:textId="77777777" w:rsidR="007A2513" w:rsidRPr="003D6EC7" w:rsidRDefault="007A2513" w:rsidP="00F84A68">
      <w:pPr>
        <w:pStyle w:val="Textonotapie"/>
        <w:ind w:firstLine="708"/>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4CB"/>
    <w:rsid w:val="00056223"/>
    <w:rsid w:val="00061B2A"/>
    <w:rsid w:val="00082362"/>
    <w:rsid w:val="000A683E"/>
    <w:rsid w:val="000B19B9"/>
    <w:rsid w:val="000D0334"/>
    <w:rsid w:val="000F6486"/>
    <w:rsid w:val="001237BD"/>
    <w:rsid w:val="00125105"/>
    <w:rsid w:val="00127233"/>
    <w:rsid w:val="001E4177"/>
    <w:rsid w:val="001F7DC6"/>
    <w:rsid w:val="00204A7E"/>
    <w:rsid w:val="002421BB"/>
    <w:rsid w:val="0025796E"/>
    <w:rsid w:val="002707A2"/>
    <w:rsid w:val="0029509A"/>
    <w:rsid w:val="002951A0"/>
    <w:rsid w:val="002962BC"/>
    <w:rsid w:val="002A093D"/>
    <w:rsid w:val="002A0DD0"/>
    <w:rsid w:val="002A49AC"/>
    <w:rsid w:val="002A64FD"/>
    <w:rsid w:val="002B77EB"/>
    <w:rsid w:val="002C7A84"/>
    <w:rsid w:val="002E4FD9"/>
    <w:rsid w:val="002E5F57"/>
    <w:rsid w:val="00322A85"/>
    <w:rsid w:val="00324168"/>
    <w:rsid w:val="0034019A"/>
    <w:rsid w:val="003448F4"/>
    <w:rsid w:val="00363F4E"/>
    <w:rsid w:val="00374F5E"/>
    <w:rsid w:val="00377E3E"/>
    <w:rsid w:val="003A26D1"/>
    <w:rsid w:val="003A779E"/>
    <w:rsid w:val="003D0F4D"/>
    <w:rsid w:val="003D5B0D"/>
    <w:rsid w:val="003D6EC7"/>
    <w:rsid w:val="003E0499"/>
    <w:rsid w:val="003E4D72"/>
    <w:rsid w:val="003F3941"/>
    <w:rsid w:val="003F4487"/>
    <w:rsid w:val="00406575"/>
    <w:rsid w:val="0042722E"/>
    <w:rsid w:val="0044528D"/>
    <w:rsid w:val="004A1847"/>
    <w:rsid w:val="004A305D"/>
    <w:rsid w:val="004F21C4"/>
    <w:rsid w:val="004F685F"/>
    <w:rsid w:val="00510EE3"/>
    <w:rsid w:val="005566E8"/>
    <w:rsid w:val="00574867"/>
    <w:rsid w:val="00591460"/>
    <w:rsid w:val="00592628"/>
    <w:rsid w:val="0059656F"/>
    <w:rsid w:val="005C3777"/>
    <w:rsid w:val="005C3FC5"/>
    <w:rsid w:val="005C5CDC"/>
    <w:rsid w:val="005D476C"/>
    <w:rsid w:val="00610812"/>
    <w:rsid w:val="006219F8"/>
    <w:rsid w:val="00650FF7"/>
    <w:rsid w:val="00663641"/>
    <w:rsid w:val="00665D70"/>
    <w:rsid w:val="00671DAC"/>
    <w:rsid w:val="006900D9"/>
    <w:rsid w:val="006D12F8"/>
    <w:rsid w:val="00706C16"/>
    <w:rsid w:val="00756841"/>
    <w:rsid w:val="007649AB"/>
    <w:rsid w:val="00771D0C"/>
    <w:rsid w:val="007833AC"/>
    <w:rsid w:val="007A2513"/>
    <w:rsid w:val="007A5643"/>
    <w:rsid w:val="007B268C"/>
    <w:rsid w:val="007B7171"/>
    <w:rsid w:val="007C0C0F"/>
    <w:rsid w:val="007C3DC2"/>
    <w:rsid w:val="007E5497"/>
    <w:rsid w:val="00806F5F"/>
    <w:rsid w:val="00820278"/>
    <w:rsid w:val="00843A1C"/>
    <w:rsid w:val="008843B6"/>
    <w:rsid w:val="00891928"/>
    <w:rsid w:val="008A446D"/>
    <w:rsid w:val="008D180B"/>
    <w:rsid w:val="008F0EA7"/>
    <w:rsid w:val="00923EEF"/>
    <w:rsid w:val="009419F9"/>
    <w:rsid w:val="0095412A"/>
    <w:rsid w:val="0095685E"/>
    <w:rsid w:val="009604CD"/>
    <w:rsid w:val="00961B09"/>
    <w:rsid w:val="00965334"/>
    <w:rsid w:val="0097093E"/>
    <w:rsid w:val="00971B1F"/>
    <w:rsid w:val="009816EB"/>
    <w:rsid w:val="0098731F"/>
    <w:rsid w:val="009A0DFA"/>
    <w:rsid w:val="009B2D26"/>
    <w:rsid w:val="009B41C5"/>
    <w:rsid w:val="009C71FA"/>
    <w:rsid w:val="009C72E7"/>
    <w:rsid w:val="009D3058"/>
    <w:rsid w:val="009F3A13"/>
    <w:rsid w:val="00A122D3"/>
    <w:rsid w:val="00A17F13"/>
    <w:rsid w:val="00A20739"/>
    <w:rsid w:val="00A33C78"/>
    <w:rsid w:val="00AB0ADB"/>
    <w:rsid w:val="00AD0A16"/>
    <w:rsid w:val="00B01B1A"/>
    <w:rsid w:val="00B72CD3"/>
    <w:rsid w:val="00B72FFF"/>
    <w:rsid w:val="00BC3D36"/>
    <w:rsid w:val="00BD7F72"/>
    <w:rsid w:val="00C04FB3"/>
    <w:rsid w:val="00C330EB"/>
    <w:rsid w:val="00C754BE"/>
    <w:rsid w:val="00C76B1C"/>
    <w:rsid w:val="00CB6357"/>
    <w:rsid w:val="00CC1B26"/>
    <w:rsid w:val="00CD3CE9"/>
    <w:rsid w:val="00D265DA"/>
    <w:rsid w:val="00D37914"/>
    <w:rsid w:val="00D423A2"/>
    <w:rsid w:val="00D520D8"/>
    <w:rsid w:val="00D63AC2"/>
    <w:rsid w:val="00D7383B"/>
    <w:rsid w:val="00D84410"/>
    <w:rsid w:val="00DA231B"/>
    <w:rsid w:val="00DA23A0"/>
    <w:rsid w:val="00DC39FC"/>
    <w:rsid w:val="00DC62C8"/>
    <w:rsid w:val="00DD150D"/>
    <w:rsid w:val="00DF5254"/>
    <w:rsid w:val="00E16408"/>
    <w:rsid w:val="00E20894"/>
    <w:rsid w:val="00E245AB"/>
    <w:rsid w:val="00E248F8"/>
    <w:rsid w:val="00E2764C"/>
    <w:rsid w:val="00E27F2E"/>
    <w:rsid w:val="00E413EA"/>
    <w:rsid w:val="00E50AFE"/>
    <w:rsid w:val="00E75C92"/>
    <w:rsid w:val="00E771DC"/>
    <w:rsid w:val="00E8772A"/>
    <w:rsid w:val="00E90F6B"/>
    <w:rsid w:val="00E92C27"/>
    <w:rsid w:val="00EA0E3D"/>
    <w:rsid w:val="00EA54A6"/>
    <w:rsid w:val="00EC38A7"/>
    <w:rsid w:val="00EE1AA8"/>
    <w:rsid w:val="00EF7F89"/>
    <w:rsid w:val="00F31EDC"/>
    <w:rsid w:val="00F462B3"/>
    <w:rsid w:val="00F5664F"/>
    <w:rsid w:val="00F666C4"/>
    <w:rsid w:val="00F76AFC"/>
    <w:rsid w:val="00F84A68"/>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A2513"/>
    <w:pPr>
      <w:spacing w:line="240" w:lineRule="exact"/>
    </w:pPr>
    <w:rPr>
      <w:vertAlign w:val="superscript"/>
    </w:rPr>
  </w:style>
  <w:style w:type="character" w:styleId="Textoennegrita">
    <w:name w:val="Strong"/>
    <w:basedOn w:val="Fuentedeprrafopredeter"/>
    <w:uiPriority w:val="22"/>
    <w:qFormat/>
    <w:rsid w:val="007A2513"/>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A2513"/>
    <w:rPr>
      <w:rFonts w:ascii="Geomanist Light" w:hAnsi="Geomanist Light"/>
      <w:lang w:val="es-ES"/>
    </w:rPr>
  </w:style>
  <w:style w:type="character" w:customStyle="1" w:styleId="baj">
    <w:name w:val="b_aj"/>
    <w:basedOn w:val="Fuentedeprrafopredeter"/>
    <w:rsid w:val="007A2513"/>
  </w:style>
  <w:style w:type="character" w:customStyle="1" w:styleId="NormalWebCar">
    <w:name w:val="Normal (Web) Car"/>
    <w:link w:val="NormalWeb"/>
    <w:uiPriority w:val="99"/>
    <w:rsid w:val="007A251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cavegaafricano@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553CF-3646-45B9-8183-8D93E71C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infopath/2007/PartnerControl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36c82cfe-0eda-494d-b392-a9281b89aaf0"/>
    <ds:schemaRef ds:uri="8ae15d26-076e-464e-81a7-6f76a0fb3917"/>
    <ds:schemaRef ds:uri="http://schemas.microsoft.com/office/2006/metadata/propertie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4526</Words>
  <Characters>24895</Characters>
  <Application>Microsoft Office Word</Application>
  <DocSecurity>0</DocSecurity>
  <Lines>207</Lines>
  <Paragraphs>58</Paragraphs>
  <ScaleCrop>false</ScaleCrop>
  <Company/>
  <LinksUpToDate>false</LinksUpToDate>
  <CharactersWithSpaces>29363</CharactersWithSpaces>
  <SharedDoc>false</SharedDoc>
  <HLinks>
    <vt:vector size="24"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524321</vt:i4>
      </vt:variant>
      <vt:variant>
        <vt:i4>0</vt:i4>
      </vt:variant>
      <vt:variant>
        <vt:i4>0</vt:i4>
      </vt:variant>
      <vt:variant>
        <vt:i4>5</vt:i4>
      </vt:variant>
      <vt:variant>
        <vt:lpwstr>mailto:monicavegaafricano@gmail.com</vt:lpwstr>
      </vt:variant>
      <vt:variant>
        <vt:lpwstr/>
      </vt:variant>
      <vt:variant>
        <vt:i4>983127</vt:i4>
      </vt:variant>
      <vt:variant>
        <vt:i4>0</vt:i4>
      </vt:variant>
      <vt:variant>
        <vt:i4>0</vt:i4>
      </vt:variant>
      <vt:variant>
        <vt:i4>5</vt:i4>
      </vt:variant>
      <vt:variant>
        <vt:lpwstr>https://www.colombiacompra.gov.co/circulares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2024-09-23T22:53:00Z</dcterms:created>
  <dcterms:modified xsi:type="dcterms:W3CDTF">2024-09-23T22:54:00Z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