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6CBC27" w14:textId="77777777" w:rsidR="00001900" w:rsidRPr="00C33F2D" w:rsidRDefault="00001900" w:rsidP="00001900">
      <w:pPr>
        <w:spacing w:after="0" w:line="240" w:lineRule="auto"/>
        <w:rPr>
          <w:rFonts w:ascii="Verdana" w:eastAsia="Calibri" w:hAnsi="Verdana" w:cs="Arial"/>
          <w:b/>
          <w:bCs/>
          <w:color w:val="000000" w:themeColor="text1"/>
          <w:lang w:val="es-ES" w:eastAsia="es-ES"/>
        </w:rPr>
      </w:pPr>
      <w:r w:rsidRPr="00C33F2D">
        <w:rPr>
          <w:rFonts w:ascii="Verdana" w:eastAsia="Calibri" w:hAnsi="Verdana" w:cs="Arial"/>
          <w:b/>
          <w:bCs/>
          <w:color w:val="000000" w:themeColor="text1"/>
          <w:lang w:val="es-ES" w:eastAsia="es-ES"/>
        </w:rPr>
        <w:t>DOCUMENTOS TIPO – Fundamento Normativo –Ley 2022 de 2020</w:t>
      </w:r>
    </w:p>
    <w:p w14:paraId="737B1934" w14:textId="77777777" w:rsidR="00001900" w:rsidRPr="00C33F2D" w:rsidRDefault="00001900" w:rsidP="00001900">
      <w:pPr>
        <w:spacing w:after="0" w:line="240" w:lineRule="auto"/>
        <w:rPr>
          <w:rFonts w:ascii="Verdana" w:eastAsia="Calibri" w:hAnsi="Verdana" w:cs="Arial"/>
          <w:b/>
          <w:bCs/>
          <w:color w:val="000000" w:themeColor="text1"/>
          <w:lang w:val="es-ES" w:eastAsia="es-ES"/>
        </w:rPr>
      </w:pPr>
    </w:p>
    <w:p w14:paraId="5482D59A" w14:textId="77777777" w:rsidR="00001900" w:rsidRDefault="00001900" w:rsidP="00001900">
      <w:pPr>
        <w:spacing w:after="0" w:line="276" w:lineRule="auto"/>
        <w:jc w:val="both"/>
        <w:rPr>
          <w:rFonts w:ascii="Verdana" w:eastAsia="Calibri" w:hAnsi="Verdana" w:cs="Arial"/>
          <w:color w:val="000000" w:themeColor="text1"/>
          <w:sz w:val="20"/>
          <w:szCs w:val="20"/>
          <w:lang w:val="es-ES"/>
        </w:rPr>
      </w:pPr>
      <w:r w:rsidRPr="00C33F2D">
        <w:rPr>
          <w:rFonts w:ascii="Verdana" w:eastAsia="Calibri" w:hAnsi="Verdana" w:cs="Arial"/>
          <w:color w:val="000000" w:themeColor="text1"/>
          <w:sz w:val="20"/>
          <w:szCs w:val="20"/>
          <w:lang w:val="es-ES"/>
        </w:rPr>
        <w:t>Los Documentos Tipo expedidos por esta Agencia en ejercicio de la potestad otorgada por la Ley 2022 de 2020 son de obligatoria observancia para las Entidades Estatales sometidas al Estatuto General de Contratación de la Administración Pública. Debido a esto tales entidades deben aplicar de manera forzosa los Documentos Tipo para desarrollar los Procesos de Contratación en los objetos y modalidades cobijadas por los Documentos Tipo. Para establecer si determinado objeto contractual se encuentra cobijado o no por los Documentos Tipo es necesario establecer si el mismo se enmarca en los tipos de infraestructura, modalidades de selección y tipos de obra estandarizadas en las respectivas matrices de experiencia. De esta manera solo resulta obligatoria la aplicación de un documento tipo en particular cuando se ha establecido que en el objeto contractual y la modalidad en la que debe contratarse están dentro del ámbito de aplicación de las resoluciones expedidas para los sectores de infraestructura de transporte, agua potable-saneamiento básico y social.</w:t>
      </w:r>
    </w:p>
    <w:p w14:paraId="3A495C92" w14:textId="77777777" w:rsidR="00001900" w:rsidRDefault="00001900" w:rsidP="00001900">
      <w:pPr>
        <w:spacing w:after="0" w:line="276" w:lineRule="auto"/>
        <w:jc w:val="both"/>
        <w:rPr>
          <w:rFonts w:ascii="Verdana" w:eastAsia="Calibri" w:hAnsi="Verdana" w:cs="Arial"/>
          <w:color w:val="000000" w:themeColor="text1"/>
          <w:sz w:val="20"/>
          <w:szCs w:val="20"/>
          <w:lang w:val="es-ES"/>
        </w:rPr>
      </w:pPr>
    </w:p>
    <w:p w14:paraId="2B712EE6" w14:textId="77777777" w:rsidR="00001900" w:rsidRDefault="00001900" w:rsidP="00001900">
      <w:pPr>
        <w:spacing w:after="0" w:line="276" w:lineRule="auto"/>
        <w:jc w:val="both"/>
        <w:rPr>
          <w:rFonts w:ascii="Verdana" w:eastAsia="Calibri" w:hAnsi="Verdana" w:cs="Arial"/>
          <w:b/>
          <w:bCs/>
          <w:color w:val="000000" w:themeColor="text1"/>
          <w:lang w:val="es-ES" w:eastAsia="es-ES"/>
        </w:rPr>
      </w:pPr>
      <w:r w:rsidRPr="00C33F2D">
        <w:rPr>
          <w:rFonts w:ascii="Verdana" w:eastAsia="Calibri" w:hAnsi="Verdana" w:cs="Arial"/>
          <w:b/>
          <w:bCs/>
          <w:color w:val="000000" w:themeColor="text1"/>
          <w:lang w:val="es-ES" w:eastAsia="es-ES"/>
        </w:rPr>
        <w:t xml:space="preserve">DOCUMENTOS TIPO DE INFRAESTRUCTURA SOCIAL– Resolución 219 de 2021 – Ámbito de aplicación – </w:t>
      </w:r>
      <w:r>
        <w:rPr>
          <w:rFonts w:ascii="Verdana" w:eastAsia="Calibri" w:hAnsi="Verdana" w:cs="Arial"/>
          <w:b/>
          <w:bCs/>
          <w:color w:val="000000" w:themeColor="text1"/>
          <w:lang w:val="es-ES" w:eastAsia="es-ES"/>
        </w:rPr>
        <w:t>Pistas de BMX</w:t>
      </w:r>
    </w:p>
    <w:p w14:paraId="3020E993" w14:textId="77777777" w:rsidR="00001900" w:rsidRPr="00C33F2D" w:rsidRDefault="00001900" w:rsidP="00001900">
      <w:pPr>
        <w:spacing w:after="0" w:line="240" w:lineRule="auto"/>
        <w:rPr>
          <w:rFonts w:ascii="Verdana" w:eastAsia="Geomanist Light" w:hAnsi="Verdana" w:cs="Arial"/>
          <w:b/>
          <w:bCs/>
          <w:color w:val="000000" w:themeColor="text1"/>
          <w:lang w:val="es-ES"/>
        </w:rPr>
      </w:pPr>
    </w:p>
    <w:p w14:paraId="79AD72D5" w14:textId="77777777" w:rsidR="00001900" w:rsidRPr="00986589" w:rsidRDefault="00001900" w:rsidP="00001900">
      <w:pPr>
        <w:spacing w:line="276" w:lineRule="auto"/>
        <w:jc w:val="both"/>
        <w:rPr>
          <w:rFonts w:ascii="Verdana" w:eastAsia="Calibri" w:hAnsi="Verdana" w:cs="Arial"/>
          <w:color w:val="000000" w:themeColor="text1"/>
          <w:sz w:val="20"/>
          <w:szCs w:val="20"/>
          <w:lang w:val="es-ES"/>
        </w:rPr>
      </w:pPr>
      <w:r w:rsidRPr="00A66221">
        <w:rPr>
          <w:rFonts w:ascii="Verdana" w:eastAsia="Calibri" w:hAnsi="Verdana" w:cs="Arial"/>
          <w:color w:val="000000" w:themeColor="text1"/>
          <w:sz w:val="20"/>
          <w:szCs w:val="20"/>
          <w:lang w:val="es-ES"/>
        </w:rPr>
        <w:t>Las obras públicas para la intervención y/o mantenimiento de pistas de BMX se encuentran dentro del ámbito de aplicación de los Documentos Tipo de licitación de obra pública de infraestructura social, adoptados por esta Agencia a través de la Resolución 219 de 2021, por lo que en los Procesos de Contratación de obras tendientes a la intervención y/o mantenimiento de este tipo de infraestructura, resultan aplicables de manera obligatoria los referidos documentos tipo, solo si la entidad estatal contratante determina que la modalidad de selección del contratista es la licitación pública de la que trata el numeral 1 del artículo 2 de la Ley 1150 de 2007.</w:t>
      </w:r>
    </w:p>
    <w:p w14:paraId="0E1B4BB2" w14:textId="77777777" w:rsidR="00001900" w:rsidRPr="00986589" w:rsidRDefault="00001900" w:rsidP="00001900">
      <w:pPr>
        <w:spacing w:line="276" w:lineRule="auto"/>
        <w:jc w:val="both"/>
        <w:rPr>
          <w:rFonts w:ascii="Verdana" w:eastAsia="Calibri" w:hAnsi="Verdana" w:cs="Arial"/>
          <w:color w:val="000000" w:themeColor="text1"/>
          <w:sz w:val="20"/>
          <w:szCs w:val="20"/>
          <w:lang w:val="es-ES"/>
        </w:rPr>
      </w:pPr>
    </w:p>
    <w:p w14:paraId="483397F2" w14:textId="77777777" w:rsidR="00001900" w:rsidRDefault="00001900" w:rsidP="00001900">
      <w:pPr>
        <w:spacing w:after="0" w:line="240" w:lineRule="auto"/>
        <w:rPr>
          <w:rFonts w:ascii="Verdana" w:eastAsia="Geomanist Light" w:hAnsi="Verdana" w:cs="Arial"/>
          <w:color w:val="000000" w:themeColor="text1"/>
          <w:lang w:val="es-MX"/>
        </w:rPr>
      </w:pPr>
    </w:p>
    <w:p w14:paraId="7E590629" w14:textId="77777777" w:rsidR="00001900" w:rsidRDefault="00001900" w:rsidP="00001900">
      <w:pPr>
        <w:spacing w:after="0" w:line="240" w:lineRule="auto"/>
        <w:rPr>
          <w:rFonts w:ascii="Verdana" w:eastAsia="Geomanist Light" w:hAnsi="Verdana" w:cs="Arial"/>
          <w:color w:val="000000" w:themeColor="text1"/>
          <w:lang w:val="es-MX"/>
        </w:rPr>
      </w:pPr>
    </w:p>
    <w:p w14:paraId="384E5EA3" w14:textId="77777777" w:rsidR="00001900" w:rsidRDefault="00001900" w:rsidP="00001900">
      <w:pPr>
        <w:spacing w:after="0" w:line="240" w:lineRule="auto"/>
        <w:rPr>
          <w:rFonts w:ascii="Verdana" w:eastAsia="Geomanist Light" w:hAnsi="Verdana" w:cs="Arial"/>
          <w:color w:val="000000" w:themeColor="text1"/>
          <w:lang w:val="es-MX"/>
        </w:rPr>
      </w:pPr>
    </w:p>
    <w:p w14:paraId="319163EA" w14:textId="77777777" w:rsidR="00001900" w:rsidRDefault="00001900" w:rsidP="00001900">
      <w:pPr>
        <w:spacing w:after="0" w:line="240" w:lineRule="auto"/>
        <w:rPr>
          <w:rFonts w:ascii="Verdana" w:eastAsia="Geomanist Light" w:hAnsi="Verdana" w:cs="Arial"/>
          <w:color w:val="000000" w:themeColor="text1"/>
          <w:lang w:val="es-MX"/>
        </w:rPr>
      </w:pPr>
    </w:p>
    <w:p w14:paraId="31B2D389" w14:textId="77777777" w:rsidR="00001900" w:rsidRDefault="00001900" w:rsidP="00001900">
      <w:pPr>
        <w:spacing w:after="0" w:line="240" w:lineRule="auto"/>
        <w:rPr>
          <w:rFonts w:ascii="Verdana" w:eastAsia="Geomanist Light" w:hAnsi="Verdana" w:cs="Arial"/>
          <w:color w:val="000000" w:themeColor="text1"/>
          <w:lang w:val="es-MX"/>
        </w:rPr>
      </w:pPr>
    </w:p>
    <w:p w14:paraId="346A0C35" w14:textId="77777777" w:rsidR="00001900" w:rsidRDefault="00001900" w:rsidP="00001900">
      <w:pPr>
        <w:spacing w:after="0" w:line="240" w:lineRule="auto"/>
        <w:rPr>
          <w:rFonts w:ascii="Verdana" w:eastAsia="Geomanist Light" w:hAnsi="Verdana" w:cs="Arial"/>
          <w:color w:val="000000" w:themeColor="text1"/>
          <w:lang w:val="es-MX"/>
        </w:rPr>
      </w:pPr>
    </w:p>
    <w:p w14:paraId="63631422" w14:textId="77777777" w:rsidR="00001900" w:rsidRDefault="00001900" w:rsidP="00001900">
      <w:pPr>
        <w:spacing w:after="0" w:line="240" w:lineRule="auto"/>
        <w:rPr>
          <w:rFonts w:ascii="Verdana" w:eastAsia="Geomanist Light" w:hAnsi="Verdana" w:cs="Arial"/>
          <w:color w:val="000000" w:themeColor="text1"/>
          <w:lang w:val="es-MX"/>
        </w:rPr>
      </w:pPr>
    </w:p>
    <w:p w14:paraId="6B08561C" w14:textId="77777777" w:rsidR="00001900" w:rsidRDefault="00001900" w:rsidP="00001900">
      <w:pPr>
        <w:spacing w:after="0" w:line="240" w:lineRule="auto"/>
        <w:rPr>
          <w:rFonts w:ascii="Verdana" w:eastAsia="Geomanist Light" w:hAnsi="Verdana" w:cs="Arial"/>
          <w:color w:val="000000" w:themeColor="text1"/>
          <w:lang w:val="es-MX"/>
        </w:rPr>
      </w:pPr>
    </w:p>
    <w:p w14:paraId="39DC5061" w14:textId="77777777" w:rsidR="00001900" w:rsidRDefault="00001900" w:rsidP="00001900">
      <w:pPr>
        <w:spacing w:after="0" w:line="240" w:lineRule="auto"/>
        <w:rPr>
          <w:rFonts w:ascii="Verdana" w:eastAsia="Geomanist Light" w:hAnsi="Verdana" w:cs="Arial"/>
          <w:color w:val="000000" w:themeColor="text1"/>
          <w:lang w:val="es-MX"/>
        </w:rPr>
      </w:pPr>
    </w:p>
    <w:p w14:paraId="54047BC5" w14:textId="77777777" w:rsidR="00001900" w:rsidRDefault="00001900" w:rsidP="00001900">
      <w:pPr>
        <w:spacing w:after="0" w:line="240" w:lineRule="auto"/>
        <w:rPr>
          <w:rFonts w:ascii="Verdana" w:eastAsia="Geomanist Light" w:hAnsi="Verdana" w:cs="Arial"/>
          <w:color w:val="000000" w:themeColor="text1"/>
          <w:lang w:val="es-MX"/>
        </w:rPr>
      </w:pPr>
    </w:p>
    <w:p w14:paraId="4B0D08EF" w14:textId="77777777" w:rsidR="00001900" w:rsidRDefault="00001900" w:rsidP="00001900">
      <w:pPr>
        <w:spacing w:after="0" w:line="240" w:lineRule="auto"/>
        <w:rPr>
          <w:rFonts w:ascii="Verdana" w:eastAsia="Geomanist Light" w:hAnsi="Verdana" w:cs="Arial"/>
          <w:color w:val="000000" w:themeColor="text1"/>
          <w:lang w:val="es-MX"/>
        </w:rPr>
      </w:pPr>
    </w:p>
    <w:p w14:paraId="4E1CA6E5" w14:textId="77777777" w:rsidR="00001900" w:rsidRDefault="00001900" w:rsidP="00001900">
      <w:pPr>
        <w:spacing w:after="0" w:line="240" w:lineRule="auto"/>
        <w:rPr>
          <w:rFonts w:ascii="Verdana" w:eastAsia="Geomanist Light" w:hAnsi="Verdana" w:cs="Arial"/>
          <w:color w:val="000000" w:themeColor="text1"/>
          <w:lang w:val="es-MX"/>
        </w:rPr>
      </w:pPr>
    </w:p>
    <w:p w14:paraId="3C3B7283" w14:textId="77777777" w:rsidR="00001900" w:rsidRDefault="00001900" w:rsidP="00001900">
      <w:pPr>
        <w:spacing w:after="0" w:line="240" w:lineRule="auto"/>
        <w:rPr>
          <w:rFonts w:ascii="Verdana" w:eastAsia="Geomanist Light" w:hAnsi="Verdana" w:cs="Arial"/>
          <w:color w:val="000000" w:themeColor="text1"/>
          <w:lang w:val="es-MX"/>
        </w:rPr>
      </w:pPr>
    </w:p>
    <w:p w14:paraId="4FA4E4D4" w14:textId="77777777" w:rsidR="00001900" w:rsidRDefault="00001900" w:rsidP="00001900">
      <w:pPr>
        <w:spacing w:after="0" w:line="240" w:lineRule="auto"/>
        <w:rPr>
          <w:rFonts w:ascii="Verdana" w:eastAsia="Geomanist Light" w:hAnsi="Verdana" w:cs="Arial"/>
          <w:color w:val="201F1E"/>
          <w:lang w:val="es-MX"/>
        </w:rPr>
      </w:pPr>
      <w:r w:rsidRPr="00593A5F">
        <w:rPr>
          <w:rFonts w:ascii="Verdana" w:eastAsia="Geomanist Light" w:hAnsi="Verdana" w:cs="Arial"/>
          <w:color w:val="000000" w:themeColor="text1"/>
          <w:lang w:val="es-MX"/>
        </w:rPr>
        <w:lastRenderedPageBreak/>
        <w:t>Bogotá D.C., </w:t>
      </w:r>
      <w:r w:rsidRPr="00593A5F">
        <w:rPr>
          <w:rFonts w:ascii="Verdana" w:eastAsia="Geomanist Light" w:hAnsi="Verdana" w:cs="Arial"/>
          <w:color w:val="201F1E"/>
          <w:lang w:val="es-MX"/>
        </w:rPr>
        <w:t>[Día] de [</w:t>
      </w:r>
      <w:proofErr w:type="spellStart"/>
      <w:r w:rsidRPr="00593A5F">
        <w:rPr>
          <w:rFonts w:ascii="Verdana" w:eastAsia="Geomanist Light" w:hAnsi="Verdana" w:cs="Arial"/>
          <w:color w:val="201F1E"/>
          <w:lang w:val="es-MX"/>
        </w:rPr>
        <w:t>Mes.NombreCapitalizado</w:t>
      </w:r>
      <w:proofErr w:type="spellEnd"/>
      <w:r w:rsidRPr="00593A5F">
        <w:rPr>
          <w:rFonts w:ascii="Verdana" w:eastAsia="Geomanist Light" w:hAnsi="Verdana" w:cs="Arial"/>
          <w:color w:val="201F1E"/>
          <w:lang w:val="es-MX"/>
        </w:rPr>
        <w:t>] de [Año]</w:t>
      </w:r>
    </w:p>
    <w:p w14:paraId="7836756E" w14:textId="77777777" w:rsidR="001B3930" w:rsidRPr="00593A5F" w:rsidRDefault="001B3930" w:rsidP="00001900">
      <w:pPr>
        <w:spacing w:after="0" w:line="240" w:lineRule="auto"/>
        <w:rPr>
          <w:rFonts w:ascii="Verdana" w:eastAsia="Geomanist Light" w:hAnsi="Verdana" w:cs="Arial"/>
          <w:color w:val="201F1E"/>
          <w:lang w:val="es-MX"/>
        </w:rPr>
      </w:pPr>
    </w:p>
    <w:p w14:paraId="03EB7FAC" w14:textId="4FB123AF" w:rsidR="00001900" w:rsidRPr="00593A5F" w:rsidRDefault="001B3930" w:rsidP="001B3930">
      <w:pPr>
        <w:spacing w:after="0" w:line="240" w:lineRule="auto"/>
        <w:jc w:val="right"/>
        <w:rPr>
          <w:rFonts w:ascii="Verdana" w:eastAsia="Calibri" w:hAnsi="Verdana" w:cs="Arial"/>
          <w:color w:val="000000"/>
          <w:lang w:val="es-ES"/>
        </w:rPr>
      </w:pPr>
      <w:r>
        <w:rPr>
          <w:noProof/>
          <w14:ligatures w14:val="standardContextual"/>
        </w:rPr>
        <w:drawing>
          <wp:inline distT="0" distB="0" distL="0" distR="0" wp14:anchorId="59B2C012" wp14:editId="0086471C">
            <wp:extent cx="3469086" cy="1009767"/>
            <wp:effectExtent l="0" t="0" r="0" b="0"/>
            <wp:docPr id="988018306" name="Imagen 1" descr="Interfaz de usuario gráfica, Aplicación,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018306" name="Imagen 1" descr="Interfaz de usuario gráfica, Aplicación, Mapa&#10;&#10;Descripción generada automáticamente"/>
                    <pic:cNvPicPr/>
                  </pic:nvPicPr>
                  <pic:blipFill rotWithShape="1">
                    <a:blip r:embed="rId10"/>
                    <a:srcRect l="12796" t="31781" r="52519" b="34097"/>
                    <a:stretch/>
                  </pic:blipFill>
                  <pic:spPr bwMode="auto">
                    <a:xfrm>
                      <a:off x="0" y="0"/>
                      <a:ext cx="3486774" cy="1014916"/>
                    </a:xfrm>
                    <a:prstGeom prst="rect">
                      <a:avLst/>
                    </a:prstGeom>
                    <a:ln>
                      <a:noFill/>
                    </a:ln>
                    <a:extLst>
                      <a:ext uri="{53640926-AAD7-44D8-BBD7-CCE9431645EC}">
                        <a14:shadowObscured xmlns:a14="http://schemas.microsoft.com/office/drawing/2010/main"/>
                      </a:ext>
                    </a:extLst>
                  </pic:spPr>
                </pic:pic>
              </a:graphicData>
            </a:graphic>
          </wp:inline>
        </w:drawing>
      </w:r>
    </w:p>
    <w:p w14:paraId="7C8D971D" w14:textId="77777777" w:rsidR="00001900" w:rsidRDefault="00001900" w:rsidP="00001900">
      <w:pPr>
        <w:spacing w:after="0" w:line="240" w:lineRule="auto"/>
        <w:jc w:val="both"/>
        <w:rPr>
          <w:rFonts w:ascii="Verdana" w:eastAsia="Calibri" w:hAnsi="Verdana" w:cs="Arial"/>
          <w:lang w:val="es-ES" w:eastAsia="es-ES"/>
        </w:rPr>
      </w:pPr>
    </w:p>
    <w:p w14:paraId="5EEB2520" w14:textId="77777777" w:rsidR="00001900" w:rsidRPr="00B96799" w:rsidRDefault="00001900" w:rsidP="00001900">
      <w:pPr>
        <w:spacing w:after="0" w:line="240" w:lineRule="auto"/>
        <w:jc w:val="both"/>
        <w:rPr>
          <w:rFonts w:ascii="Verdana" w:eastAsia="Calibri" w:hAnsi="Verdana" w:cs="Arial"/>
          <w:lang w:val="es-ES" w:eastAsia="es-ES"/>
        </w:rPr>
      </w:pPr>
      <w:r w:rsidRPr="00B96799">
        <w:rPr>
          <w:rFonts w:ascii="Verdana" w:eastAsia="Calibri" w:hAnsi="Verdana" w:cs="Arial"/>
          <w:lang w:val="es-ES" w:eastAsia="es-ES"/>
        </w:rPr>
        <w:t>Seño</w:t>
      </w:r>
      <w:r>
        <w:rPr>
          <w:rFonts w:ascii="Verdana" w:eastAsia="Calibri" w:hAnsi="Verdana" w:cs="Arial"/>
          <w:lang w:val="es-ES" w:eastAsia="es-ES"/>
        </w:rPr>
        <w:t xml:space="preserve">r </w:t>
      </w:r>
    </w:p>
    <w:p w14:paraId="7DFC248C" w14:textId="77777777" w:rsidR="00001900" w:rsidRDefault="00001900" w:rsidP="00001900">
      <w:pPr>
        <w:spacing w:after="0" w:line="240" w:lineRule="auto"/>
        <w:rPr>
          <w:rFonts w:ascii="Verdana" w:eastAsia="Calibri" w:hAnsi="Verdana" w:cs="Arial"/>
          <w:b/>
          <w:lang w:val="es-ES_tradnl" w:eastAsia="es-ES_tradnl"/>
        </w:rPr>
      </w:pPr>
      <w:r w:rsidRPr="000E2F61">
        <w:rPr>
          <w:rFonts w:ascii="Verdana" w:eastAsia="Calibri" w:hAnsi="Verdana" w:cs="Arial"/>
          <w:b/>
          <w:lang w:val="es-ES_tradnl" w:eastAsia="es-ES_tradnl"/>
        </w:rPr>
        <w:t>Everardo Aragón Herrera</w:t>
      </w:r>
    </w:p>
    <w:p w14:paraId="4D130C97" w14:textId="77777777" w:rsidR="00001900" w:rsidRPr="0093217D" w:rsidRDefault="00001900" w:rsidP="00001900">
      <w:pPr>
        <w:spacing w:after="0" w:line="240" w:lineRule="auto"/>
        <w:rPr>
          <w:rFonts w:ascii="Verdana" w:eastAsia="Calibri" w:hAnsi="Verdana" w:cs="Arial"/>
          <w:bCs/>
          <w:lang w:val="es-ES_tradnl" w:eastAsia="es-ES_tradnl"/>
        </w:rPr>
      </w:pPr>
      <w:r w:rsidRPr="0093217D">
        <w:rPr>
          <w:rFonts w:ascii="Verdana" w:eastAsia="Calibri" w:hAnsi="Verdana" w:cs="Arial"/>
          <w:bCs/>
          <w:lang w:val="es-ES_tradnl" w:eastAsia="es-ES_tradnl"/>
        </w:rPr>
        <w:t xml:space="preserve">Instituto Municipal </w:t>
      </w:r>
      <w:r>
        <w:rPr>
          <w:rFonts w:ascii="Verdana" w:eastAsia="Calibri" w:hAnsi="Verdana" w:cs="Arial"/>
          <w:bCs/>
          <w:lang w:val="es-ES_tradnl" w:eastAsia="es-ES_tradnl"/>
        </w:rPr>
        <w:t>d</w:t>
      </w:r>
      <w:r w:rsidRPr="0093217D">
        <w:rPr>
          <w:rFonts w:ascii="Verdana" w:eastAsia="Calibri" w:hAnsi="Verdana" w:cs="Arial"/>
          <w:bCs/>
          <w:lang w:val="es-ES_tradnl" w:eastAsia="es-ES_tradnl"/>
        </w:rPr>
        <w:t xml:space="preserve">e Deporte </w:t>
      </w:r>
      <w:r>
        <w:rPr>
          <w:rFonts w:ascii="Verdana" w:eastAsia="Calibri" w:hAnsi="Verdana" w:cs="Arial"/>
          <w:bCs/>
          <w:lang w:val="es-ES_tradnl" w:eastAsia="es-ES_tradnl"/>
        </w:rPr>
        <w:t>y</w:t>
      </w:r>
      <w:r w:rsidRPr="0093217D">
        <w:rPr>
          <w:rFonts w:ascii="Verdana" w:eastAsia="Calibri" w:hAnsi="Verdana" w:cs="Arial"/>
          <w:bCs/>
          <w:lang w:val="es-ES_tradnl" w:eastAsia="es-ES_tradnl"/>
        </w:rPr>
        <w:t xml:space="preserve"> Recreación </w:t>
      </w:r>
      <w:r>
        <w:rPr>
          <w:rFonts w:ascii="Verdana" w:eastAsia="Calibri" w:hAnsi="Verdana" w:cs="Arial"/>
          <w:bCs/>
          <w:lang w:val="es-ES_tradnl" w:eastAsia="es-ES_tradnl"/>
        </w:rPr>
        <w:t>d</w:t>
      </w:r>
      <w:r w:rsidRPr="0093217D">
        <w:rPr>
          <w:rFonts w:ascii="Verdana" w:eastAsia="Calibri" w:hAnsi="Verdana" w:cs="Arial"/>
          <w:bCs/>
          <w:lang w:val="es-ES_tradnl" w:eastAsia="es-ES_tradnl"/>
        </w:rPr>
        <w:t>e Villavicencio - IMDER</w:t>
      </w:r>
    </w:p>
    <w:p w14:paraId="6ED6CEE6" w14:textId="77777777" w:rsidR="00001900" w:rsidRDefault="00001900" w:rsidP="00001900">
      <w:pPr>
        <w:spacing w:after="0" w:line="240" w:lineRule="auto"/>
        <w:rPr>
          <w:rFonts w:ascii="Verdana" w:eastAsia="Calibri" w:hAnsi="Verdana" w:cs="Arial"/>
          <w:u w:val="single"/>
          <w:lang w:val="es-ES" w:eastAsia="es-ES"/>
        </w:rPr>
      </w:pPr>
      <w:hyperlink r:id="rId11" w:history="1">
        <w:r w:rsidRPr="006C3335">
          <w:rPr>
            <w:rStyle w:val="Hipervnculo"/>
            <w:rFonts w:ascii="Verdana" w:eastAsia="Calibri" w:hAnsi="Verdana" w:cs="Arial"/>
            <w:lang w:val="es-ES" w:eastAsia="es-ES"/>
          </w:rPr>
          <w:t>evearagon1993@gmail.com</w:t>
        </w:r>
      </w:hyperlink>
    </w:p>
    <w:p w14:paraId="41CC49C9" w14:textId="77777777" w:rsidR="00001900" w:rsidRPr="00B96799" w:rsidRDefault="00001900" w:rsidP="00001900">
      <w:pPr>
        <w:spacing w:after="0" w:line="240" w:lineRule="auto"/>
        <w:rPr>
          <w:rFonts w:ascii="Verdana" w:eastAsia="Calibri" w:hAnsi="Verdana" w:cs="Arial"/>
          <w:b/>
          <w:bCs/>
          <w:lang w:val="es-ES" w:eastAsia="es-ES"/>
        </w:rPr>
      </w:pPr>
      <w:r>
        <w:rPr>
          <w:rFonts w:ascii="Verdana" w:eastAsia="Calibri" w:hAnsi="Verdana" w:cs="Arial"/>
          <w:lang w:val="es-ES" w:eastAsia="es-ES"/>
        </w:rPr>
        <w:t>Meta, Villavicencio</w:t>
      </w:r>
    </w:p>
    <w:p w14:paraId="55378427" w14:textId="77777777" w:rsidR="00001900" w:rsidRPr="00593A5F" w:rsidRDefault="00001900" w:rsidP="00001900">
      <w:pPr>
        <w:spacing w:after="0" w:line="240" w:lineRule="auto"/>
        <w:rPr>
          <w:rFonts w:ascii="Verdana" w:eastAsia="Calibri" w:hAnsi="Verdana" w:cs="Arial"/>
          <w:b/>
          <w:bCs/>
          <w:color w:val="000000"/>
          <w:lang w:val="es-ES_tradnl" w:eastAsia="es-ES_tradnl"/>
        </w:rPr>
      </w:pPr>
    </w:p>
    <w:p w14:paraId="4DD5A7BB" w14:textId="77777777" w:rsidR="00001900" w:rsidRPr="00593A5F" w:rsidRDefault="00001900" w:rsidP="00001900">
      <w:pPr>
        <w:spacing w:after="0" w:line="240" w:lineRule="auto"/>
        <w:rPr>
          <w:rFonts w:ascii="Verdana" w:eastAsia="Calibri" w:hAnsi="Verdana" w:cs="Arial"/>
          <w:b/>
          <w:bCs/>
          <w:color w:val="000000"/>
          <w:lang w:val="es-ES_tradnl" w:eastAsia="es-ES_tradnl"/>
        </w:rPr>
      </w:pPr>
    </w:p>
    <w:tbl>
      <w:tblPr>
        <w:tblStyle w:val="Tablaconcuadrcu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89"/>
        <w:gridCol w:w="6100"/>
      </w:tblGrid>
      <w:tr w:rsidR="00001900" w:rsidRPr="00593A5F" w14:paraId="7C8C3E4D" w14:textId="77777777" w:rsidTr="009366A6">
        <w:trPr>
          <w:trHeight w:val="377"/>
        </w:trPr>
        <w:tc>
          <w:tcPr>
            <w:tcW w:w="2689" w:type="dxa"/>
          </w:tcPr>
          <w:p w14:paraId="1890896D" w14:textId="77777777" w:rsidR="00001900" w:rsidRPr="00C00976" w:rsidRDefault="00001900" w:rsidP="009366A6">
            <w:pPr>
              <w:jc w:val="both"/>
              <w:rPr>
                <w:rFonts w:ascii="Verdana" w:eastAsia="Calibri" w:hAnsi="Verdana" w:cs="Arial"/>
                <w:b/>
                <w:bCs/>
                <w:color w:val="7030A0"/>
                <w:lang w:val="es-ES_tradnl" w:eastAsia="es-ES_tradnl"/>
              </w:rPr>
            </w:pPr>
          </w:p>
        </w:tc>
        <w:tc>
          <w:tcPr>
            <w:tcW w:w="6100" w:type="dxa"/>
          </w:tcPr>
          <w:p w14:paraId="7BF4E1ED" w14:textId="77777777" w:rsidR="00001900" w:rsidRPr="00AF56B2" w:rsidRDefault="00001900" w:rsidP="009366A6">
            <w:pPr>
              <w:jc w:val="both"/>
              <w:rPr>
                <w:rFonts w:ascii="Verdana" w:eastAsia="Calibri" w:hAnsi="Verdana" w:cs="Arial"/>
                <w:b/>
                <w:bCs/>
                <w:color w:val="000000" w:themeColor="text1"/>
                <w:lang w:val="es-ES" w:eastAsia="es-ES"/>
              </w:rPr>
            </w:pPr>
            <w:r w:rsidRPr="00AF56B2">
              <w:rPr>
                <w:rFonts w:ascii="Verdana" w:eastAsia="Calibri" w:hAnsi="Verdana" w:cs="Arial"/>
                <w:b/>
                <w:bCs/>
                <w:color w:val="000000" w:themeColor="text1"/>
                <w:lang w:val="es-ES" w:eastAsia="es-ES"/>
              </w:rPr>
              <w:t>Concepto C- 468 de 2024</w:t>
            </w:r>
          </w:p>
        </w:tc>
      </w:tr>
      <w:tr w:rsidR="00001900" w:rsidRPr="00593A5F" w14:paraId="30C26BC2" w14:textId="77777777" w:rsidTr="009366A6">
        <w:trPr>
          <w:trHeight w:val="884"/>
        </w:trPr>
        <w:tc>
          <w:tcPr>
            <w:tcW w:w="2689" w:type="dxa"/>
          </w:tcPr>
          <w:p w14:paraId="2B3EFDE5" w14:textId="77777777" w:rsidR="00001900" w:rsidRPr="00593A5F" w:rsidRDefault="00001900" w:rsidP="009366A6">
            <w:pPr>
              <w:jc w:val="both"/>
              <w:rPr>
                <w:rFonts w:ascii="Verdana" w:eastAsia="Calibri" w:hAnsi="Verdana" w:cs="Arial"/>
                <w:color w:val="000000"/>
                <w:lang w:val="es-ES_tradnl" w:eastAsia="es-ES_tradnl"/>
              </w:rPr>
            </w:pPr>
            <w:r w:rsidRPr="00593A5F">
              <w:rPr>
                <w:rFonts w:ascii="Verdana" w:eastAsia="Calibri" w:hAnsi="Verdana" w:cs="Arial"/>
                <w:b/>
                <w:color w:val="000000"/>
                <w:lang w:val="es-ES_tradnl" w:eastAsia="es-ES_tradnl"/>
              </w:rPr>
              <w:t>Temas:</w:t>
            </w:r>
            <w:r w:rsidRPr="00593A5F">
              <w:rPr>
                <w:rFonts w:ascii="Verdana" w:eastAsia="Calibri" w:hAnsi="Verdana" w:cs="Arial"/>
                <w:color w:val="000000"/>
                <w:lang w:val="es-ES_tradnl" w:eastAsia="es-ES_tradnl"/>
              </w:rPr>
              <w:t xml:space="preserve">                   </w:t>
            </w:r>
          </w:p>
        </w:tc>
        <w:tc>
          <w:tcPr>
            <w:tcW w:w="6100" w:type="dxa"/>
          </w:tcPr>
          <w:p w14:paraId="2A9EFFA7" w14:textId="77777777" w:rsidR="00001900" w:rsidRPr="00AF56B2" w:rsidRDefault="00001900" w:rsidP="009366A6">
            <w:pPr>
              <w:spacing w:line="276" w:lineRule="auto"/>
              <w:jc w:val="both"/>
              <w:rPr>
                <w:rFonts w:ascii="Verdana" w:eastAsia="Calibri" w:hAnsi="Verdana" w:cs="Arial"/>
                <w:color w:val="000000" w:themeColor="text1"/>
                <w:lang w:val="es-ES" w:eastAsia="es-ES"/>
              </w:rPr>
            </w:pPr>
            <w:r w:rsidRPr="00AF56B2">
              <w:rPr>
                <w:rFonts w:ascii="Verdana" w:eastAsia="Calibri" w:hAnsi="Verdana" w:cs="Arial"/>
                <w:color w:val="000000" w:themeColor="text1"/>
                <w:lang w:val="es-ES" w:eastAsia="es-ES"/>
              </w:rPr>
              <w:t xml:space="preserve">DOCUMENTOS TIPO – Fundamento Normativo –Ley 2022 de 2020 / DOCUMENTOS TIPO DE INFRAESTRUCTURA SOCIAL– Resolución 219 de 2021 – Ámbito de aplicación – </w:t>
            </w:r>
            <w:r>
              <w:rPr>
                <w:rFonts w:ascii="Verdana" w:eastAsia="Calibri" w:hAnsi="Verdana" w:cs="Arial"/>
                <w:color w:val="000000" w:themeColor="text1"/>
                <w:lang w:val="es-ES" w:eastAsia="es-ES"/>
              </w:rPr>
              <w:t>Pistas de BMX</w:t>
            </w:r>
          </w:p>
        </w:tc>
      </w:tr>
      <w:tr w:rsidR="00001900" w:rsidRPr="00593A5F" w14:paraId="275E0CDD" w14:textId="77777777" w:rsidTr="009366A6">
        <w:tc>
          <w:tcPr>
            <w:tcW w:w="2689" w:type="dxa"/>
          </w:tcPr>
          <w:p w14:paraId="2DACACE5" w14:textId="77777777" w:rsidR="00001900" w:rsidRPr="00B96799" w:rsidRDefault="00001900" w:rsidP="009366A6">
            <w:pPr>
              <w:jc w:val="both"/>
              <w:rPr>
                <w:rFonts w:ascii="Verdana" w:eastAsia="Calibri" w:hAnsi="Verdana" w:cs="Arial"/>
                <w:b/>
                <w:color w:val="7030A0"/>
                <w:lang w:val="es-ES_tradnl" w:eastAsia="es-ES_tradnl"/>
              </w:rPr>
            </w:pPr>
            <w:r w:rsidRPr="00AF56B2">
              <w:rPr>
                <w:rFonts w:ascii="Verdana" w:eastAsia="Calibri" w:hAnsi="Verdana" w:cs="Arial"/>
                <w:b/>
                <w:color w:val="000000"/>
                <w:lang w:val="es-ES_tradnl" w:eastAsia="es-ES_tradnl"/>
              </w:rPr>
              <w:t>Radicación:</w:t>
            </w:r>
            <w:r w:rsidRPr="00B96799">
              <w:rPr>
                <w:rFonts w:ascii="Verdana" w:eastAsia="Calibri" w:hAnsi="Verdana" w:cs="Arial"/>
                <w:color w:val="7030A0"/>
                <w:lang w:val="es-ES_tradnl" w:eastAsia="es-ES_tradnl"/>
              </w:rPr>
              <w:t xml:space="preserve">               </w:t>
            </w:r>
          </w:p>
        </w:tc>
        <w:tc>
          <w:tcPr>
            <w:tcW w:w="6100" w:type="dxa"/>
          </w:tcPr>
          <w:p w14:paraId="5471A89A" w14:textId="77777777" w:rsidR="00001900" w:rsidRPr="00AF56B2" w:rsidRDefault="00001900" w:rsidP="009366A6">
            <w:pPr>
              <w:jc w:val="both"/>
              <w:rPr>
                <w:rFonts w:ascii="Verdana" w:eastAsia="Calibri" w:hAnsi="Verdana" w:cs="Arial"/>
                <w:color w:val="000000" w:themeColor="text1"/>
                <w:lang w:val="es-ES_tradnl" w:eastAsia="es-ES_tradnl"/>
              </w:rPr>
            </w:pPr>
            <w:r w:rsidRPr="00AF56B2">
              <w:rPr>
                <w:rFonts w:ascii="Verdana" w:eastAsia="Calibri" w:hAnsi="Verdana" w:cs="Arial"/>
                <w:color w:val="000000" w:themeColor="text1"/>
                <w:lang w:val="es-ES_tradnl" w:eastAsia="es-ES_tradnl"/>
              </w:rPr>
              <w:t>Respuesta a consulta con radicado No. P20240809008180</w:t>
            </w:r>
          </w:p>
        </w:tc>
      </w:tr>
    </w:tbl>
    <w:p w14:paraId="5E2049DC" w14:textId="77777777" w:rsidR="00001900" w:rsidRPr="00593A5F" w:rsidRDefault="00001900" w:rsidP="00001900">
      <w:pPr>
        <w:spacing w:after="0" w:line="240" w:lineRule="auto"/>
        <w:jc w:val="both"/>
        <w:rPr>
          <w:rFonts w:ascii="Verdana" w:eastAsia="Calibri" w:hAnsi="Verdana" w:cs="Arial"/>
          <w:color w:val="000000"/>
          <w:lang w:val="es-ES_tradnl" w:eastAsia="es-ES_tradnl"/>
        </w:rPr>
      </w:pPr>
    </w:p>
    <w:p w14:paraId="17BE5304" w14:textId="77777777" w:rsidR="00001900" w:rsidRPr="00593A5F" w:rsidRDefault="00001900" w:rsidP="00001900">
      <w:pPr>
        <w:spacing w:after="0" w:line="240" w:lineRule="auto"/>
        <w:jc w:val="both"/>
        <w:rPr>
          <w:rFonts w:ascii="Verdana" w:eastAsia="Calibri" w:hAnsi="Verdana" w:cs="Arial"/>
          <w:color w:val="000000"/>
          <w:lang w:val="es-ES_tradnl" w:eastAsia="es-ES_tradnl"/>
        </w:rPr>
      </w:pPr>
    </w:p>
    <w:p w14:paraId="7B838EFA" w14:textId="77777777" w:rsidR="00001900" w:rsidRDefault="00001900" w:rsidP="00001900">
      <w:pPr>
        <w:spacing w:after="0" w:line="276" w:lineRule="auto"/>
        <w:jc w:val="both"/>
        <w:rPr>
          <w:rFonts w:ascii="Verdana" w:eastAsia="Calibri" w:hAnsi="Verdana" w:cs="Arial"/>
          <w:color w:val="000000" w:themeColor="text1"/>
          <w:lang w:val="es-ES" w:eastAsia="es-ES"/>
        </w:rPr>
      </w:pPr>
      <w:r w:rsidRPr="00593A5F">
        <w:rPr>
          <w:rFonts w:ascii="Verdana" w:eastAsia="Calibri" w:hAnsi="Verdana" w:cs="Arial"/>
          <w:color w:val="000000" w:themeColor="text1"/>
          <w:lang w:val="es-ES" w:eastAsia="es-ES"/>
        </w:rPr>
        <w:t>Estimado señor</w:t>
      </w:r>
      <w:r w:rsidRPr="00AF56B2">
        <w:rPr>
          <w:rFonts w:ascii="Verdana" w:eastAsia="Calibri" w:hAnsi="Verdana" w:cs="Arial"/>
          <w:color w:val="000000" w:themeColor="text1"/>
          <w:lang w:val="es-ES" w:eastAsia="es-ES"/>
        </w:rPr>
        <w:t xml:space="preserve"> Aragón Herrera</w:t>
      </w:r>
      <w:r w:rsidRPr="00593A5F">
        <w:rPr>
          <w:rFonts w:ascii="Verdana" w:eastAsia="Calibri" w:hAnsi="Verdana" w:cs="Arial"/>
          <w:color w:val="000000" w:themeColor="text1"/>
          <w:lang w:val="es-ES" w:eastAsia="es-ES"/>
        </w:rPr>
        <w:t xml:space="preserve">: </w:t>
      </w:r>
    </w:p>
    <w:p w14:paraId="0110F473" w14:textId="77777777" w:rsidR="00001900" w:rsidRDefault="00001900" w:rsidP="00001900">
      <w:pPr>
        <w:tabs>
          <w:tab w:val="left" w:pos="3768"/>
        </w:tabs>
        <w:spacing w:after="0" w:line="276" w:lineRule="auto"/>
        <w:jc w:val="both"/>
        <w:rPr>
          <w:rFonts w:ascii="Verdana" w:eastAsia="Calibri" w:hAnsi="Verdana" w:cs="Arial"/>
          <w:color w:val="000000" w:themeColor="text1"/>
          <w:lang w:val="es-ES" w:eastAsia="es-ES"/>
        </w:rPr>
      </w:pPr>
      <w:r>
        <w:rPr>
          <w:rFonts w:ascii="Verdana" w:eastAsia="Calibri" w:hAnsi="Verdana" w:cs="Arial"/>
          <w:color w:val="000000" w:themeColor="text1"/>
          <w:lang w:val="es-ES" w:eastAsia="es-ES"/>
        </w:rPr>
        <w:tab/>
      </w:r>
    </w:p>
    <w:p w14:paraId="027E9B59" w14:textId="77777777" w:rsidR="00001900" w:rsidRPr="00593A5F" w:rsidRDefault="00001900" w:rsidP="00001900">
      <w:pPr>
        <w:spacing w:after="0" w:line="276" w:lineRule="auto"/>
        <w:jc w:val="both"/>
        <w:rPr>
          <w:rFonts w:ascii="Verdana" w:eastAsia="Calibri" w:hAnsi="Verdana" w:cs="Arial"/>
          <w:color w:val="7030A0"/>
          <w:lang w:val="es-ES" w:eastAsia="es-ES"/>
        </w:rPr>
      </w:pPr>
      <w:r w:rsidRPr="00593A5F">
        <w:rPr>
          <w:rFonts w:ascii="Verdana" w:eastAsia="Calibri" w:hAnsi="Verdana" w:cs="Arial"/>
          <w:color w:val="000000" w:themeColor="text1"/>
          <w:lang w:val="es-ES" w:eastAsia="es-ES"/>
        </w:rPr>
        <w:t>En ejercicio de la competencia otorgada por los artículos 3, numeral 5º, y 11, numeral 8º, del Decreto Ley 4170 de 2011,</w:t>
      </w:r>
      <w:r w:rsidRPr="00593A5F">
        <w:rPr>
          <w:rFonts w:ascii="Verdana" w:eastAsia="Arial MT" w:hAnsi="Verdana" w:cs="Arial MT"/>
          <w:lang w:val="es-ES" w:eastAsia="es-ES"/>
        </w:rPr>
        <w:t xml:space="preserve"> </w:t>
      </w:r>
      <w:r w:rsidRPr="00593A5F">
        <w:rPr>
          <w:rFonts w:ascii="Verdana" w:hAnsi="Verdana" w:cs="Arial"/>
        </w:rPr>
        <w:t xml:space="preserve">así como lo establecido en </w:t>
      </w:r>
      <w:r>
        <w:rPr>
          <w:rFonts w:ascii="Verdana" w:hAnsi="Verdana" w:cs="Arial"/>
        </w:rPr>
        <w:t xml:space="preserve">el artículo 4 de </w:t>
      </w:r>
      <w:r w:rsidRPr="00593A5F">
        <w:rPr>
          <w:rFonts w:ascii="Verdana" w:hAnsi="Verdana" w:cs="Arial"/>
        </w:rPr>
        <w:t xml:space="preserve">la Resolución 1707 de 2018 expedida por esta Entidad, </w:t>
      </w:r>
      <w:r w:rsidRPr="00593A5F">
        <w:rPr>
          <w:rFonts w:ascii="Verdana" w:eastAsia="Calibri" w:hAnsi="Verdana" w:cs="Arial"/>
          <w:color w:val="000000" w:themeColor="text1"/>
          <w:lang w:val="es-ES" w:eastAsia="es-ES"/>
        </w:rPr>
        <w:t>la Agencia Nacional de Contratación Pública – Colombia Compra Eficiente– responde su solicitud de</w:t>
      </w:r>
      <w:r>
        <w:rPr>
          <w:rFonts w:ascii="Verdana" w:eastAsia="Calibri" w:hAnsi="Verdana" w:cs="Arial"/>
          <w:color w:val="000000" w:themeColor="text1"/>
          <w:lang w:val="es-ES" w:eastAsia="es-ES"/>
        </w:rPr>
        <w:t xml:space="preserve"> consulta de fecha</w:t>
      </w:r>
      <w:r w:rsidRPr="00593A5F">
        <w:rPr>
          <w:rFonts w:ascii="Verdana" w:eastAsia="Calibri" w:hAnsi="Verdana" w:cs="Arial"/>
          <w:color w:val="000000" w:themeColor="text1"/>
          <w:lang w:val="es-ES" w:eastAsia="es-ES"/>
        </w:rPr>
        <w:t xml:space="preserve"> </w:t>
      </w:r>
      <w:r w:rsidRPr="00C33F2D">
        <w:rPr>
          <w:rFonts w:ascii="Verdana" w:eastAsia="Calibri" w:hAnsi="Verdana" w:cs="Arial"/>
          <w:color w:val="000000" w:themeColor="text1"/>
          <w:lang w:val="es-ES" w:eastAsia="es-ES"/>
        </w:rPr>
        <w:t xml:space="preserve">09 de agosto de 2024, en la cual manifiesta lo siguiente: </w:t>
      </w:r>
    </w:p>
    <w:p w14:paraId="4E1A6852" w14:textId="77777777" w:rsidR="00001900" w:rsidRPr="00272A7B" w:rsidRDefault="00001900" w:rsidP="00001900">
      <w:pPr>
        <w:pStyle w:val="Prrafodelista"/>
        <w:tabs>
          <w:tab w:val="left" w:pos="142"/>
          <w:tab w:val="left" w:pos="284"/>
        </w:tabs>
        <w:spacing w:line="276" w:lineRule="auto"/>
        <w:ind w:left="0"/>
        <w:jc w:val="both"/>
        <w:rPr>
          <w:rFonts w:ascii="Verdana" w:eastAsia="Century Gothic" w:hAnsi="Verdana" w:cs="Century Gothic"/>
          <w:b/>
          <w:bCs/>
        </w:rPr>
      </w:pPr>
    </w:p>
    <w:p w14:paraId="6620DF99" w14:textId="77777777" w:rsidR="00001900" w:rsidRPr="00C33F2D" w:rsidRDefault="00001900" w:rsidP="00001900">
      <w:pPr>
        <w:spacing w:after="0" w:line="240" w:lineRule="auto"/>
        <w:ind w:left="709" w:right="709"/>
        <w:jc w:val="both"/>
        <w:rPr>
          <w:rFonts w:ascii="Verdana" w:eastAsia="Century Gothic" w:hAnsi="Verdana" w:cs="Century Gothic"/>
          <w:color w:val="000000" w:themeColor="text1"/>
          <w:sz w:val="20"/>
          <w:szCs w:val="20"/>
        </w:rPr>
      </w:pPr>
      <w:bookmarkStart w:id="0" w:name="_Hlk95313578"/>
      <w:r w:rsidRPr="007B1C34">
        <w:rPr>
          <w:rFonts w:ascii="Verdana" w:eastAsia="Century Gothic" w:hAnsi="Verdana" w:cs="Century Gothic"/>
          <w:color w:val="000000" w:themeColor="text1"/>
          <w:sz w:val="20"/>
          <w:szCs w:val="20"/>
          <w:lang w:val="es-ES"/>
        </w:rPr>
        <w:t>“</w:t>
      </w:r>
      <w:r w:rsidRPr="007B1C34">
        <w:rPr>
          <w:rStyle w:val="normaltextrun"/>
          <w:rFonts w:ascii="Verdana" w:hAnsi="Verdana" w:cs="Arial"/>
          <w:color w:val="000000" w:themeColor="text1"/>
          <w:sz w:val="20"/>
          <w:szCs w:val="20"/>
          <w:shd w:val="clear" w:color="auto" w:fill="FFFFFF"/>
          <w:lang w:val="es-ES"/>
        </w:rPr>
        <w:t>[…]</w:t>
      </w:r>
      <w:r>
        <w:rPr>
          <w:rStyle w:val="normaltextrun"/>
          <w:rFonts w:ascii="Verdana" w:hAnsi="Verdana" w:cs="Arial"/>
          <w:color w:val="000000" w:themeColor="text1"/>
          <w:sz w:val="20"/>
          <w:szCs w:val="20"/>
          <w:shd w:val="clear" w:color="auto" w:fill="FFFFFF"/>
          <w:lang w:val="es-ES"/>
        </w:rPr>
        <w:t xml:space="preserve"> </w:t>
      </w:r>
      <w:r w:rsidRPr="007B1C34">
        <w:rPr>
          <w:rFonts w:ascii="Verdana" w:hAnsi="Verdana" w:cs="Arial"/>
          <w:color w:val="000000" w:themeColor="text1"/>
          <w:sz w:val="20"/>
          <w:szCs w:val="20"/>
          <w:shd w:val="clear" w:color="auto" w:fill="FFFFFF"/>
        </w:rPr>
        <w:t xml:space="preserve">instituto municipal de deporte y recreación de Villavicencio - IMDER; en la actualidad se encuentra en etapa de planeación para inicio de proceso de intervención y mantenimiento de una pista de BMX en el complejo deportivo del </w:t>
      </w:r>
      <w:proofErr w:type="spellStart"/>
      <w:r w:rsidRPr="007B1C34">
        <w:rPr>
          <w:rFonts w:ascii="Verdana" w:hAnsi="Verdana" w:cs="Arial"/>
          <w:color w:val="000000" w:themeColor="text1"/>
          <w:sz w:val="20"/>
          <w:szCs w:val="20"/>
          <w:shd w:val="clear" w:color="auto" w:fill="FFFFFF"/>
        </w:rPr>
        <w:t>covisán</w:t>
      </w:r>
      <w:proofErr w:type="spellEnd"/>
      <w:r w:rsidRPr="007B1C34">
        <w:rPr>
          <w:rFonts w:ascii="Verdana" w:hAnsi="Verdana" w:cs="Arial"/>
          <w:color w:val="000000" w:themeColor="text1"/>
          <w:sz w:val="20"/>
          <w:szCs w:val="20"/>
          <w:shd w:val="clear" w:color="auto" w:fill="FFFFFF"/>
        </w:rPr>
        <w:t xml:space="preserve"> de la ciudad de Villavicencio - Meta, Es de aclarar que el proceso para el instituto en razón al valor de menor cuantía, tratándose de Doscientos veinte millones de pesos M/</w:t>
      </w:r>
      <w:proofErr w:type="spellStart"/>
      <w:r w:rsidRPr="007B1C34">
        <w:rPr>
          <w:rFonts w:ascii="Verdana" w:hAnsi="Verdana" w:cs="Arial"/>
          <w:color w:val="000000" w:themeColor="text1"/>
          <w:sz w:val="20"/>
          <w:szCs w:val="20"/>
          <w:shd w:val="clear" w:color="auto" w:fill="FFFFFF"/>
        </w:rPr>
        <w:t>cte</w:t>
      </w:r>
      <w:proofErr w:type="spellEnd"/>
      <w:r w:rsidRPr="007B1C34">
        <w:rPr>
          <w:rFonts w:ascii="Verdana" w:hAnsi="Verdana" w:cs="Arial"/>
          <w:color w:val="000000" w:themeColor="text1"/>
          <w:sz w:val="20"/>
          <w:szCs w:val="20"/>
          <w:shd w:val="clear" w:color="auto" w:fill="FFFFFF"/>
        </w:rPr>
        <w:t xml:space="preserve"> ($220.000.000) La duda puntual es sí tratándose de menor cuantía es obligatorio para la entidad acogerse a los pliegos tipo</w:t>
      </w:r>
      <w:r w:rsidRPr="007B1C34">
        <w:rPr>
          <w:rStyle w:val="normaltextrun"/>
          <w:rFonts w:ascii="Verdana" w:hAnsi="Verdana" w:cs="Arial"/>
          <w:color w:val="000000" w:themeColor="text1"/>
          <w:sz w:val="20"/>
          <w:szCs w:val="20"/>
          <w:shd w:val="clear" w:color="auto" w:fill="FFFFFF"/>
          <w:lang w:val="es-ES"/>
        </w:rPr>
        <w:t xml:space="preserve"> […]</w:t>
      </w:r>
      <w:r w:rsidRPr="007B1C34">
        <w:rPr>
          <w:rFonts w:ascii="Verdana" w:eastAsia="Century Gothic" w:hAnsi="Verdana" w:cs="Century Gothic"/>
          <w:color w:val="000000" w:themeColor="text1"/>
          <w:sz w:val="20"/>
          <w:szCs w:val="20"/>
          <w:lang w:val="es-ES"/>
        </w:rPr>
        <w:t>”</w:t>
      </w:r>
      <w:bookmarkEnd w:id="0"/>
    </w:p>
    <w:p w14:paraId="162EDEF4" w14:textId="77777777" w:rsidR="00001900" w:rsidRPr="00593A5F" w:rsidRDefault="00001900" w:rsidP="00001900">
      <w:pPr>
        <w:pStyle w:val="Prrafodelista"/>
        <w:tabs>
          <w:tab w:val="left" w:pos="142"/>
          <w:tab w:val="left" w:pos="284"/>
        </w:tabs>
        <w:spacing w:line="276" w:lineRule="auto"/>
        <w:ind w:left="0"/>
        <w:jc w:val="both"/>
        <w:rPr>
          <w:rFonts w:ascii="Verdana" w:eastAsia="Century Gothic" w:hAnsi="Verdana" w:cs="Century Gothic"/>
          <w:b/>
          <w:bCs/>
        </w:rPr>
      </w:pPr>
    </w:p>
    <w:p w14:paraId="1F2BFF79" w14:textId="77777777" w:rsidR="00001900" w:rsidRDefault="00001900" w:rsidP="00001900">
      <w:pPr>
        <w:jc w:val="both"/>
        <w:rPr>
          <w:rFonts w:ascii="Verdana" w:eastAsia="Calibri" w:hAnsi="Verdana" w:cs="Arial"/>
          <w:color w:val="000000"/>
          <w:szCs w:val="24"/>
          <w:lang w:val="es-ES_tradnl" w:eastAsia="es-ES_tradnl"/>
        </w:rPr>
      </w:pPr>
      <w:r w:rsidRPr="00593A5F">
        <w:rPr>
          <w:rFonts w:ascii="Verdana" w:eastAsia="Calibri" w:hAnsi="Verdana" w:cs="Arial"/>
          <w:color w:val="000000"/>
          <w:lang w:val="es-ES" w:eastAsia="es-ES"/>
        </w:rPr>
        <w:lastRenderedPageBreak/>
        <w:t xml:space="preserve">De manera preliminar, resulta necesario acotar que esta entidad solo tiene competencia para responder consultas sobre la aplicación de normas de carácter general en materia de compras y contratación pública. En ese sentido, resolver casos particulares desborda las atribuciones asignadas por el legislador extraordinario, que no concibió a Colombia Compra Eficiente como una autoridad para solucionar problemas jurídicos particulares de todos los partícipes del sistema de compra pública. La competencia de esta entidad se fija con límites claros, con el objeto de evitar que la Agencia actúe como una instancia de validación de las actuaciones de las entidades sujetas a la Ley 80 de 1993 o de los demás participantes de la contratación pública. Esta competencia de interpretación de normas generales, por definición, no puede extenderse a la resolución de controversias, ni a brindar asesorías sobre casos puntuales. </w:t>
      </w:r>
      <w:r w:rsidRPr="00593A5F">
        <w:rPr>
          <w:rFonts w:ascii="Verdana" w:eastAsia="Calibri" w:hAnsi="Verdana" w:cs="Arial"/>
          <w:color w:val="000000"/>
          <w:szCs w:val="24"/>
          <w:lang w:val="es-ES_tradnl" w:eastAsia="es-ES_tradnl"/>
        </w:rPr>
        <w:tab/>
      </w:r>
    </w:p>
    <w:p w14:paraId="75F48DB6" w14:textId="77777777" w:rsidR="00001900" w:rsidRDefault="00001900" w:rsidP="00001900">
      <w:pPr>
        <w:spacing w:after="0" w:line="276" w:lineRule="auto"/>
        <w:ind w:firstLine="709"/>
        <w:jc w:val="both"/>
        <w:rPr>
          <w:rFonts w:ascii="Verdana" w:eastAsia="Calibri" w:hAnsi="Verdana" w:cs="Arial"/>
          <w:color w:val="000000"/>
          <w:lang w:val="es-ES" w:eastAsia="es-ES"/>
        </w:rPr>
      </w:pPr>
      <w:r w:rsidRPr="00593A5F">
        <w:rPr>
          <w:rFonts w:ascii="Verdana" w:eastAsia="Calibri" w:hAnsi="Verdana" w:cs="Arial"/>
          <w:color w:val="000000"/>
          <w:lang w:val="es-ES" w:eastAsia="es-ES"/>
        </w:rPr>
        <w:t>Conforme lo expuesto, en aras de satisfacer el derecho fundamental de petición se resolverá su consulta dentro de los límites de la referida competencia consultiva, esto es, haciendo abstracción de la</w:t>
      </w:r>
      <w:r>
        <w:rPr>
          <w:rFonts w:ascii="Verdana" w:eastAsia="Calibri" w:hAnsi="Verdana" w:cs="Arial"/>
          <w:color w:val="000000"/>
          <w:lang w:val="es-ES" w:eastAsia="es-ES"/>
        </w:rPr>
        <w:t>s circunstancias</w:t>
      </w:r>
      <w:r w:rsidRPr="00593A5F">
        <w:rPr>
          <w:rFonts w:ascii="Verdana" w:eastAsia="Calibri" w:hAnsi="Verdana" w:cs="Arial"/>
          <w:color w:val="000000"/>
          <w:lang w:val="es-ES" w:eastAsia="es-ES"/>
        </w:rPr>
        <w:t xml:space="preserve"> particular</w:t>
      </w:r>
      <w:r>
        <w:rPr>
          <w:rFonts w:ascii="Verdana" w:eastAsia="Calibri" w:hAnsi="Verdana" w:cs="Arial"/>
          <w:color w:val="000000"/>
          <w:lang w:val="es-ES" w:eastAsia="es-ES"/>
        </w:rPr>
        <w:t>es</w:t>
      </w:r>
      <w:r w:rsidRPr="00593A5F">
        <w:rPr>
          <w:rFonts w:ascii="Verdana" w:eastAsia="Calibri" w:hAnsi="Verdana" w:cs="Arial"/>
          <w:color w:val="000000"/>
          <w:lang w:val="es-ES" w:eastAsia="es-ES"/>
        </w:rPr>
        <w:t xml:space="preserve"> y concreta</w:t>
      </w:r>
      <w:r>
        <w:rPr>
          <w:rFonts w:ascii="Verdana" w:eastAsia="Calibri" w:hAnsi="Verdana" w:cs="Arial"/>
          <w:color w:val="000000"/>
          <w:lang w:val="es-ES" w:eastAsia="es-ES"/>
        </w:rPr>
        <w:t>s</w:t>
      </w:r>
      <w:r w:rsidRPr="00593A5F">
        <w:rPr>
          <w:rFonts w:ascii="Verdana" w:eastAsia="Calibri" w:hAnsi="Verdana" w:cs="Arial"/>
          <w:color w:val="000000"/>
          <w:lang w:val="es-ES" w:eastAsia="es-ES"/>
        </w:rPr>
        <w:t xml:space="preserve"> mencionada</w:t>
      </w:r>
      <w:r>
        <w:rPr>
          <w:rFonts w:ascii="Verdana" w:eastAsia="Calibri" w:hAnsi="Verdana" w:cs="Arial"/>
          <w:color w:val="000000"/>
          <w:lang w:val="es-ES" w:eastAsia="es-ES"/>
        </w:rPr>
        <w:t>s</w:t>
      </w:r>
      <w:r w:rsidRPr="00593A5F">
        <w:rPr>
          <w:rFonts w:ascii="Verdana" w:eastAsia="Calibri" w:hAnsi="Verdana" w:cs="Arial"/>
          <w:color w:val="000000"/>
          <w:lang w:val="es-ES" w:eastAsia="es-ES"/>
        </w:rPr>
        <w:t xml:space="preserve"> en su petición, pero haciendo unas consideraciones sobre las normas generales relacionadas con </w:t>
      </w:r>
      <w:r>
        <w:rPr>
          <w:rFonts w:ascii="Verdana" w:eastAsia="Calibri" w:hAnsi="Verdana" w:cs="Arial"/>
          <w:color w:val="000000"/>
          <w:lang w:val="es-ES" w:eastAsia="es-ES"/>
        </w:rPr>
        <w:t>el problema</w:t>
      </w:r>
      <w:r w:rsidRPr="00247BDE">
        <w:rPr>
          <w:rFonts w:ascii="Verdana" w:eastAsia="Calibri" w:hAnsi="Verdana" w:cs="Arial"/>
          <w:color w:val="7030A0"/>
          <w:lang w:val="es-ES" w:eastAsia="es-ES"/>
        </w:rPr>
        <w:t xml:space="preserve"> </w:t>
      </w:r>
      <w:r>
        <w:rPr>
          <w:rFonts w:ascii="Verdana" w:eastAsia="Calibri" w:hAnsi="Verdana" w:cs="Arial"/>
          <w:color w:val="000000"/>
          <w:lang w:val="es-ES" w:eastAsia="es-ES"/>
        </w:rPr>
        <w:t>jurídico</w:t>
      </w:r>
      <w:r w:rsidRPr="00247BDE">
        <w:rPr>
          <w:rFonts w:ascii="Verdana" w:eastAsia="Calibri" w:hAnsi="Verdana" w:cs="Arial"/>
          <w:color w:val="7030A0"/>
          <w:lang w:val="es-ES" w:eastAsia="es-ES"/>
        </w:rPr>
        <w:t xml:space="preserve"> </w:t>
      </w:r>
      <w:r>
        <w:rPr>
          <w:rFonts w:ascii="Verdana" w:eastAsia="Calibri" w:hAnsi="Verdana" w:cs="Arial"/>
          <w:color w:val="000000"/>
          <w:lang w:val="es-ES" w:eastAsia="es-ES"/>
        </w:rPr>
        <w:t>de su</w:t>
      </w:r>
      <w:r w:rsidRPr="00593A5F">
        <w:rPr>
          <w:rFonts w:ascii="Verdana" w:eastAsia="Calibri" w:hAnsi="Verdana" w:cs="Arial"/>
          <w:color w:val="000000"/>
          <w:lang w:val="es-ES" w:eastAsia="es-ES"/>
        </w:rPr>
        <w:t xml:space="preserve"> consulta. </w:t>
      </w:r>
    </w:p>
    <w:p w14:paraId="41ED6745" w14:textId="77777777" w:rsidR="00001900" w:rsidRPr="00593A5F" w:rsidRDefault="00001900" w:rsidP="00001900">
      <w:pPr>
        <w:spacing w:after="0" w:line="276" w:lineRule="auto"/>
        <w:ind w:firstLine="709"/>
        <w:jc w:val="both"/>
        <w:rPr>
          <w:rFonts w:ascii="Verdana" w:eastAsia="Calibri" w:hAnsi="Verdana" w:cs="Arial"/>
          <w:color w:val="000000"/>
          <w:lang w:val="es-ES" w:eastAsia="es-ES"/>
        </w:rPr>
      </w:pPr>
    </w:p>
    <w:p w14:paraId="4B9F8820" w14:textId="77777777" w:rsidR="00001900" w:rsidRPr="00593A5F" w:rsidRDefault="00001900" w:rsidP="00001900">
      <w:pPr>
        <w:pStyle w:val="Prrafodelista"/>
        <w:numPr>
          <w:ilvl w:val="0"/>
          <w:numId w:val="1"/>
        </w:numPr>
        <w:tabs>
          <w:tab w:val="left" w:pos="142"/>
          <w:tab w:val="left" w:pos="284"/>
        </w:tabs>
        <w:spacing w:after="0" w:line="276" w:lineRule="auto"/>
        <w:ind w:left="0" w:firstLine="0"/>
        <w:jc w:val="both"/>
        <w:rPr>
          <w:rFonts w:ascii="Verdana" w:eastAsia="Century Gothic" w:hAnsi="Verdana" w:cs="Century Gothic"/>
          <w:b/>
          <w:bCs/>
        </w:rPr>
      </w:pPr>
      <w:r w:rsidRPr="00593A5F">
        <w:rPr>
          <w:rFonts w:ascii="Verdana" w:eastAsia="Century Gothic" w:hAnsi="Verdana" w:cs="Century Gothic"/>
          <w:b/>
          <w:bCs/>
        </w:rPr>
        <w:t>Problema planteado:</w:t>
      </w:r>
    </w:p>
    <w:p w14:paraId="42360718" w14:textId="77777777" w:rsidR="00001900" w:rsidRPr="00593A5F" w:rsidRDefault="00001900" w:rsidP="00001900">
      <w:pPr>
        <w:tabs>
          <w:tab w:val="left" w:pos="426"/>
        </w:tabs>
        <w:spacing w:after="0" w:line="276" w:lineRule="auto"/>
        <w:jc w:val="both"/>
        <w:rPr>
          <w:rFonts w:ascii="Verdana" w:eastAsia="Century Gothic" w:hAnsi="Verdana" w:cs="Century Gothic"/>
          <w:lang w:val="es-ES"/>
        </w:rPr>
      </w:pPr>
    </w:p>
    <w:p w14:paraId="2DBB0AE5" w14:textId="77777777" w:rsidR="00001900" w:rsidRPr="00593A5F" w:rsidRDefault="00001900" w:rsidP="00001900">
      <w:pPr>
        <w:spacing w:after="0" w:line="276" w:lineRule="auto"/>
        <w:jc w:val="both"/>
        <w:rPr>
          <w:rFonts w:ascii="Verdana" w:eastAsia="Century Gothic" w:hAnsi="Verdana" w:cs="Century Gothic"/>
        </w:rPr>
      </w:pPr>
      <w:r>
        <w:rPr>
          <w:rFonts w:ascii="Verdana" w:eastAsia="Century Gothic" w:hAnsi="Verdana" w:cs="Century Gothic"/>
        </w:rPr>
        <w:t xml:space="preserve">De acuerdo con el contenido de </w:t>
      </w:r>
      <w:r w:rsidRPr="00593A5F">
        <w:rPr>
          <w:rFonts w:ascii="Verdana" w:eastAsia="Century Gothic" w:hAnsi="Verdana" w:cs="Century Gothic"/>
        </w:rPr>
        <w:t>su solicitud, esta Agencia resolverá el siguient</w:t>
      </w:r>
      <w:r>
        <w:rPr>
          <w:rFonts w:ascii="Verdana" w:eastAsia="Century Gothic" w:hAnsi="Verdana" w:cs="Century Gothic"/>
        </w:rPr>
        <w:t>e</w:t>
      </w:r>
      <w:r w:rsidRPr="00593A5F">
        <w:rPr>
          <w:rFonts w:ascii="Verdana" w:eastAsia="Century Gothic" w:hAnsi="Verdana" w:cs="Century Gothic"/>
        </w:rPr>
        <w:t xml:space="preserve"> problema jurídico: </w:t>
      </w:r>
      <w:r w:rsidRPr="004B18BF">
        <w:rPr>
          <w:rFonts w:ascii="Verdana" w:eastAsia="Century Gothic" w:hAnsi="Verdana" w:cs="Century Gothic"/>
          <w:color w:val="000000" w:themeColor="text1"/>
        </w:rPr>
        <w:t>¿</w:t>
      </w:r>
      <w:r>
        <w:rPr>
          <w:rFonts w:ascii="Verdana" w:eastAsia="Century Gothic" w:hAnsi="Verdana" w:cs="Century Gothic"/>
          <w:color w:val="000000" w:themeColor="text1"/>
        </w:rPr>
        <w:t xml:space="preserve">La Agencia Nacional de Contratación Pública – Colombia Compra Eficiente ha expedido Documentos Tipo para estructurar procesos de selección en donde se requiere contratar las </w:t>
      </w:r>
      <w:r w:rsidRPr="004B18BF">
        <w:rPr>
          <w:rFonts w:ascii="Verdana" w:eastAsia="Century Gothic" w:hAnsi="Verdana" w:cs="Century Gothic"/>
          <w:color w:val="000000" w:themeColor="text1"/>
        </w:rPr>
        <w:t xml:space="preserve">obras de </w:t>
      </w:r>
      <w:r>
        <w:rPr>
          <w:rFonts w:ascii="Verdana" w:eastAsia="Century Gothic" w:hAnsi="Verdana" w:cs="Century Gothic"/>
          <w:color w:val="000000" w:themeColor="text1"/>
        </w:rPr>
        <w:t>intervención</w:t>
      </w:r>
      <w:r w:rsidRPr="004B18BF">
        <w:rPr>
          <w:rFonts w:ascii="Verdana" w:eastAsia="Century Gothic" w:hAnsi="Verdana" w:cs="Century Gothic"/>
          <w:color w:val="000000" w:themeColor="text1"/>
        </w:rPr>
        <w:t xml:space="preserve"> y/o mantenimiento de </w:t>
      </w:r>
      <w:r>
        <w:rPr>
          <w:rFonts w:ascii="Verdana" w:eastAsia="Century Gothic" w:hAnsi="Verdana" w:cs="Century Gothic"/>
          <w:color w:val="000000" w:themeColor="text1"/>
        </w:rPr>
        <w:t>pistas de BMX</w:t>
      </w:r>
      <w:r w:rsidRPr="004B18BF">
        <w:rPr>
          <w:rFonts w:ascii="Verdana" w:eastAsia="Century Gothic" w:hAnsi="Verdana" w:cs="Century Gothic"/>
          <w:color w:val="000000" w:themeColor="text1"/>
        </w:rPr>
        <w:t xml:space="preserve">? </w:t>
      </w:r>
      <w:r>
        <w:rPr>
          <w:rFonts w:ascii="Verdana" w:eastAsia="Century Gothic" w:hAnsi="Verdana" w:cs="Century Gothic"/>
          <w:color w:val="000000" w:themeColor="text1"/>
        </w:rPr>
        <w:t xml:space="preserve">¿En </w:t>
      </w:r>
      <w:proofErr w:type="spellStart"/>
      <w:r>
        <w:rPr>
          <w:rFonts w:ascii="Verdana" w:eastAsia="Century Gothic" w:hAnsi="Verdana" w:cs="Century Gothic"/>
          <w:color w:val="000000" w:themeColor="text1"/>
        </w:rPr>
        <w:t>que</w:t>
      </w:r>
      <w:proofErr w:type="spellEnd"/>
      <w:r>
        <w:rPr>
          <w:rFonts w:ascii="Verdana" w:eastAsia="Century Gothic" w:hAnsi="Verdana" w:cs="Century Gothic"/>
          <w:color w:val="000000" w:themeColor="text1"/>
        </w:rPr>
        <w:t xml:space="preserve"> modalidades se ha expedido dichos Documentos Tipo?</w:t>
      </w:r>
    </w:p>
    <w:p w14:paraId="7B9DD199" w14:textId="77777777" w:rsidR="00001900" w:rsidRPr="00593A5F" w:rsidRDefault="00001900" w:rsidP="00001900">
      <w:pPr>
        <w:spacing w:after="0" w:line="276" w:lineRule="auto"/>
        <w:jc w:val="both"/>
        <w:rPr>
          <w:rFonts w:ascii="Verdana" w:eastAsia="Calibri" w:hAnsi="Verdana" w:cs="Arial"/>
          <w:color w:val="7030A0"/>
          <w:lang w:val="es-ES"/>
        </w:rPr>
      </w:pPr>
    </w:p>
    <w:p w14:paraId="707ED5B0" w14:textId="77777777" w:rsidR="00001900" w:rsidRPr="00593A5F" w:rsidRDefault="00001900" w:rsidP="00001900">
      <w:pPr>
        <w:pStyle w:val="Prrafodelista"/>
        <w:numPr>
          <w:ilvl w:val="0"/>
          <w:numId w:val="1"/>
        </w:numPr>
        <w:tabs>
          <w:tab w:val="left" w:pos="142"/>
          <w:tab w:val="left" w:pos="284"/>
        </w:tabs>
        <w:spacing w:after="0" w:line="276" w:lineRule="auto"/>
        <w:ind w:left="0" w:firstLine="0"/>
        <w:contextualSpacing w:val="0"/>
        <w:jc w:val="both"/>
        <w:rPr>
          <w:rFonts w:ascii="Verdana" w:eastAsia="Century Gothic" w:hAnsi="Verdana" w:cs="Century Gothic"/>
          <w:b/>
          <w:bCs/>
        </w:rPr>
      </w:pPr>
      <w:r w:rsidRPr="00593A5F">
        <w:rPr>
          <w:rFonts w:ascii="Verdana" w:eastAsia="Century Gothic" w:hAnsi="Verdana" w:cs="Century Gothic"/>
          <w:b/>
          <w:bCs/>
        </w:rPr>
        <w:t>Respuesta:</w:t>
      </w:r>
    </w:p>
    <w:p w14:paraId="4CD8AB8F" w14:textId="77777777" w:rsidR="00001900" w:rsidRPr="00593A5F" w:rsidRDefault="00001900" w:rsidP="00001900">
      <w:pPr>
        <w:tabs>
          <w:tab w:val="left" w:pos="142"/>
          <w:tab w:val="left" w:pos="284"/>
        </w:tabs>
        <w:spacing w:after="0" w:line="276" w:lineRule="auto"/>
        <w:jc w:val="both"/>
        <w:rPr>
          <w:rFonts w:ascii="Verdana" w:eastAsia="Century Gothic" w:hAnsi="Verdana" w:cs="Century Gothic"/>
          <w:b/>
          <w:bCs/>
          <w:lang w:val="es-ES"/>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28"/>
      </w:tblGrid>
      <w:tr w:rsidR="00001900" w:rsidRPr="004A1067" w14:paraId="5C18D2E7" w14:textId="77777777" w:rsidTr="009366A6">
        <w:tc>
          <w:tcPr>
            <w:tcW w:w="8828" w:type="dxa"/>
            <w:shd w:val="clear" w:color="auto" w:fill="auto"/>
          </w:tcPr>
          <w:p w14:paraId="2F3A7912" w14:textId="77777777" w:rsidR="00001900" w:rsidRDefault="00001900" w:rsidP="009366A6">
            <w:pPr>
              <w:spacing w:line="276" w:lineRule="auto"/>
              <w:jc w:val="both"/>
              <w:rPr>
                <w:rFonts w:ascii="Verdana" w:eastAsia="Calibri" w:hAnsi="Verdana" w:cs="Arial"/>
                <w:color w:val="000000" w:themeColor="text1"/>
                <w:lang w:val="es-ES"/>
              </w:rPr>
            </w:pPr>
            <w:r w:rsidRPr="00110508">
              <w:rPr>
                <w:rFonts w:ascii="Verdana" w:eastAsia="Calibri" w:hAnsi="Verdana" w:cs="Arial"/>
                <w:color w:val="000000" w:themeColor="text1"/>
                <w:lang w:val="es-ES"/>
              </w:rPr>
              <w:t xml:space="preserve">Las obras públicas para la intervención </w:t>
            </w:r>
            <w:r w:rsidRPr="00110508">
              <w:rPr>
                <w:rFonts w:ascii="Verdana" w:eastAsia="Century Gothic" w:hAnsi="Verdana" w:cs="Century Gothic"/>
                <w:color w:val="000000" w:themeColor="text1"/>
              </w:rPr>
              <w:t>y/o mantenimiento de pistas de BMX</w:t>
            </w:r>
            <w:r w:rsidRPr="00110508">
              <w:rPr>
                <w:rFonts w:ascii="Verdana" w:eastAsia="Calibri" w:hAnsi="Verdana" w:cs="Arial"/>
                <w:color w:val="000000" w:themeColor="text1"/>
                <w:lang w:val="es-ES"/>
              </w:rPr>
              <w:t xml:space="preserve"> se encuentran dentro del ámbito de aplicación de los Documentos Tipo de licitación de obra pública de infraestructura social, adoptados por esta Agencia a través de la Resolución 219 de 2021, por lo que en los Procesos de Contratación de obras tendientes a la intervención </w:t>
            </w:r>
            <w:r w:rsidRPr="00110508">
              <w:rPr>
                <w:rFonts w:ascii="Verdana" w:eastAsia="Century Gothic" w:hAnsi="Verdana" w:cs="Century Gothic"/>
                <w:color w:val="000000" w:themeColor="text1"/>
              </w:rPr>
              <w:t>y/o mantenimiento</w:t>
            </w:r>
            <w:r w:rsidRPr="00110508">
              <w:rPr>
                <w:rFonts w:ascii="Verdana" w:eastAsia="Calibri" w:hAnsi="Verdana" w:cs="Arial"/>
                <w:color w:val="000000" w:themeColor="text1"/>
                <w:lang w:val="es-ES"/>
              </w:rPr>
              <w:t xml:space="preserve"> de este tipo de infraestructura, resultan aplicables de manera obligatoria los referidos documentos tipo</w:t>
            </w:r>
            <w:r>
              <w:rPr>
                <w:rFonts w:ascii="Verdana" w:eastAsia="Calibri" w:hAnsi="Verdana" w:cs="Arial"/>
                <w:color w:val="000000" w:themeColor="text1"/>
                <w:lang w:val="es-ES"/>
              </w:rPr>
              <w:t xml:space="preserve">, solo si la Entidad Estatal contratante determina que la modalidad de selección del contratista es la licitación pública de la que trata el </w:t>
            </w:r>
            <w:bookmarkStart w:id="1" w:name="_Hlk177412999"/>
            <w:r>
              <w:rPr>
                <w:rFonts w:ascii="Verdana" w:eastAsia="Calibri" w:hAnsi="Verdana" w:cs="Arial"/>
                <w:color w:val="000000" w:themeColor="text1"/>
                <w:lang w:val="es-ES"/>
              </w:rPr>
              <w:t>numeral 1 del artículo 2 de la Ley 1150 de 2007</w:t>
            </w:r>
            <w:r w:rsidRPr="00110508">
              <w:rPr>
                <w:rFonts w:ascii="Verdana" w:eastAsia="Calibri" w:hAnsi="Verdana" w:cs="Arial"/>
                <w:color w:val="000000" w:themeColor="text1"/>
                <w:lang w:val="es-ES"/>
              </w:rPr>
              <w:t xml:space="preserve">. </w:t>
            </w:r>
          </w:p>
          <w:p w14:paraId="7143857F" w14:textId="77777777" w:rsidR="00001900" w:rsidRDefault="00001900" w:rsidP="009366A6">
            <w:pPr>
              <w:spacing w:line="276" w:lineRule="auto"/>
              <w:jc w:val="both"/>
              <w:rPr>
                <w:rFonts w:ascii="Verdana" w:eastAsia="Calibri" w:hAnsi="Verdana" w:cs="Arial"/>
                <w:color w:val="000000" w:themeColor="text1"/>
                <w:lang w:val="es-ES"/>
              </w:rPr>
            </w:pPr>
          </w:p>
          <w:bookmarkEnd w:id="1"/>
          <w:p w14:paraId="466550CC" w14:textId="77777777" w:rsidR="00001900" w:rsidRDefault="00001900" w:rsidP="009366A6">
            <w:pPr>
              <w:spacing w:line="276" w:lineRule="auto"/>
              <w:jc w:val="both"/>
              <w:rPr>
                <w:rFonts w:ascii="Verdana" w:eastAsia="Calibri" w:hAnsi="Verdana" w:cs="Arial"/>
                <w:color w:val="000000" w:themeColor="text1"/>
                <w:lang w:val="es-ES"/>
              </w:rPr>
            </w:pPr>
            <w:r>
              <w:rPr>
                <w:rFonts w:ascii="Verdana" w:eastAsia="Calibri" w:hAnsi="Verdana" w:cs="Arial"/>
                <w:color w:val="000000" w:themeColor="text1"/>
                <w:lang w:val="es-ES"/>
              </w:rPr>
              <w:t>Lo anterior en razón a que</w:t>
            </w:r>
            <w:r w:rsidRPr="00110508">
              <w:rPr>
                <w:rFonts w:ascii="Verdana" w:eastAsia="Calibri" w:hAnsi="Verdana" w:cs="Arial"/>
                <w:color w:val="000000" w:themeColor="text1"/>
                <w:lang w:val="es-ES"/>
              </w:rPr>
              <w:t xml:space="preserve"> este tipo de </w:t>
            </w:r>
            <w:r>
              <w:rPr>
                <w:rFonts w:ascii="Verdana" w:eastAsia="Calibri" w:hAnsi="Verdana" w:cs="Arial"/>
                <w:color w:val="000000" w:themeColor="text1"/>
                <w:lang w:val="es-ES"/>
              </w:rPr>
              <w:t>intervención o mantenimiento</w:t>
            </w:r>
            <w:r w:rsidRPr="00110508">
              <w:rPr>
                <w:rFonts w:ascii="Verdana" w:eastAsia="Calibri" w:hAnsi="Verdana" w:cs="Arial"/>
                <w:color w:val="000000" w:themeColor="text1"/>
                <w:lang w:val="es-ES"/>
              </w:rPr>
              <w:t xml:space="preserve"> se subsume en </w:t>
            </w:r>
            <w:r>
              <w:rPr>
                <w:rFonts w:ascii="Verdana" w:eastAsia="Calibri" w:hAnsi="Verdana" w:cs="Arial"/>
                <w:color w:val="000000" w:themeColor="text1"/>
                <w:lang w:val="es-ES"/>
              </w:rPr>
              <w:t>la Matriz 1- Experiencia, en la actividad 2.</w:t>
            </w:r>
            <w:r w:rsidRPr="00110508">
              <w:rPr>
                <w:rFonts w:ascii="Verdana" w:eastAsia="Calibri" w:hAnsi="Verdana" w:cs="Arial"/>
                <w:color w:val="000000" w:themeColor="text1"/>
                <w:lang w:val="es-ES"/>
              </w:rPr>
              <w:t xml:space="preserve"> </w:t>
            </w:r>
            <w:r>
              <w:rPr>
                <w:rFonts w:ascii="Verdana" w:eastAsia="Calibri" w:hAnsi="Verdana" w:cs="Arial"/>
                <w:color w:val="000000" w:themeColor="text1"/>
                <w:lang w:val="es-ES"/>
              </w:rPr>
              <w:t>“</w:t>
            </w:r>
            <w:r w:rsidRPr="00110508">
              <w:rPr>
                <w:rFonts w:ascii="Verdana" w:eastAsia="Calibri" w:hAnsi="Verdana" w:cs="Arial"/>
                <w:color w:val="000000" w:themeColor="text1"/>
                <w:lang w:val="es-ES"/>
              </w:rPr>
              <w:t>OBRAS EN INFRAESTRUCTURA RECREO DEPORTIVA</w:t>
            </w:r>
            <w:r>
              <w:rPr>
                <w:rFonts w:ascii="Verdana" w:eastAsia="Calibri" w:hAnsi="Verdana" w:cs="Arial"/>
                <w:color w:val="000000" w:themeColor="text1"/>
                <w:lang w:val="es-ES"/>
              </w:rPr>
              <w:t>”</w:t>
            </w:r>
            <w:r w:rsidRPr="00110508">
              <w:rPr>
                <w:rFonts w:ascii="Verdana" w:eastAsia="Calibri" w:hAnsi="Verdana" w:cs="Arial"/>
                <w:color w:val="000000" w:themeColor="text1"/>
                <w:lang w:val="es-ES"/>
              </w:rPr>
              <w:t xml:space="preserve"> </w:t>
            </w:r>
            <w:r>
              <w:rPr>
                <w:rFonts w:ascii="Verdana" w:eastAsia="Calibri" w:hAnsi="Verdana" w:cs="Arial"/>
                <w:color w:val="000000" w:themeColor="text1"/>
                <w:lang w:val="es-ES"/>
              </w:rPr>
              <w:t>y</w:t>
            </w:r>
            <w:r w:rsidRPr="00110508">
              <w:rPr>
                <w:rFonts w:ascii="Verdana" w:eastAsia="Calibri" w:hAnsi="Verdana" w:cs="Arial"/>
                <w:color w:val="000000" w:themeColor="text1"/>
                <w:lang w:val="es-ES"/>
              </w:rPr>
              <w:t xml:space="preserve"> específicamente</w:t>
            </w:r>
            <w:r>
              <w:rPr>
                <w:rFonts w:ascii="Verdana" w:eastAsia="Calibri" w:hAnsi="Verdana" w:cs="Arial"/>
                <w:color w:val="000000" w:themeColor="text1"/>
                <w:lang w:val="es-ES"/>
              </w:rPr>
              <w:t xml:space="preserve"> en la </w:t>
            </w:r>
            <w:r w:rsidRPr="00110508">
              <w:rPr>
                <w:rFonts w:ascii="Verdana" w:eastAsia="Calibri" w:hAnsi="Verdana" w:cs="Arial"/>
                <w:color w:val="000000" w:themeColor="text1"/>
                <w:lang w:val="es-ES"/>
              </w:rPr>
              <w:t xml:space="preserve">2.10. </w:t>
            </w:r>
            <w:r>
              <w:rPr>
                <w:rFonts w:ascii="Verdana" w:eastAsia="Calibri" w:hAnsi="Verdana" w:cs="Arial"/>
                <w:color w:val="000000" w:themeColor="text1"/>
                <w:lang w:val="es-ES"/>
              </w:rPr>
              <w:t>“</w:t>
            </w:r>
            <w:r w:rsidRPr="00110508">
              <w:rPr>
                <w:rFonts w:ascii="Verdana" w:eastAsia="Calibri" w:hAnsi="Verdana" w:cs="Arial"/>
                <w:color w:val="000000" w:themeColor="text1"/>
                <w:lang w:val="es-ES"/>
              </w:rPr>
              <w:t>PROYECTOS DE CONSTRUCCIÓN Y/O MEJORAMIENTO Y/O REHABILITACIÓN Y/O MANTENIMIENTO Y/O ADECUACIÓN Y/O REFORZAMIENTO Y/O INTERVENCIÓN DE PISTAS</w:t>
            </w:r>
            <w:r>
              <w:rPr>
                <w:rFonts w:ascii="Verdana" w:eastAsia="Calibri" w:hAnsi="Verdana" w:cs="Arial"/>
                <w:color w:val="000000" w:themeColor="text1"/>
                <w:lang w:val="es-ES"/>
              </w:rPr>
              <w:t>”</w:t>
            </w:r>
            <w:r w:rsidRPr="00110508">
              <w:rPr>
                <w:rFonts w:ascii="Verdana" w:eastAsia="Calibri" w:hAnsi="Verdana" w:cs="Arial"/>
                <w:color w:val="000000" w:themeColor="text1"/>
                <w:lang w:val="es-ES"/>
              </w:rPr>
              <w:t xml:space="preserve"> </w:t>
            </w:r>
            <w:r>
              <w:rPr>
                <w:rFonts w:ascii="Verdana" w:eastAsia="Calibri" w:hAnsi="Verdana" w:cs="Arial"/>
                <w:color w:val="000000" w:themeColor="text1"/>
                <w:lang w:val="es-ES"/>
              </w:rPr>
              <w:t xml:space="preserve">de los </w:t>
            </w:r>
            <w:r w:rsidRPr="00110508">
              <w:rPr>
                <w:rFonts w:ascii="Verdana" w:eastAsia="Calibri" w:hAnsi="Verdana" w:cs="Arial"/>
                <w:color w:val="000000" w:themeColor="text1"/>
                <w:lang w:val="es-ES"/>
              </w:rPr>
              <w:t>Documento</w:t>
            </w:r>
            <w:r>
              <w:rPr>
                <w:rFonts w:ascii="Verdana" w:eastAsia="Calibri" w:hAnsi="Verdana" w:cs="Arial"/>
                <w:color w:val="000000" w:themeColor="text1"/>
                <w:lang w:val="es-ES"/>
              </w:rPr>
              <w:t>s</w:t>
            </w:r>
            <w:r w:rsidRPr="00110508">
              <w:rPr>
                <w:rFonts w:ascii="Verdana" w:eastAsia="Calibri" w:hAnsi="Verdana" w:cs="Arial"/>
                <w:color w:val="000000" w:themeColor="text1"/>
                <w:lang w:val="es-ES"/>
              </w:rPr>
              <w:t xml:space="preserve"> Tipo del sector Cultura, Recreación y Deporte</w:t>
            </w:r>
            <w:r>
              <w:rPr>
                <w:rFonts w:ascii="Verdana" w:eastAsia="Calibri" w:hAnsi="Verdana" w:cs="Arial"/>
                <w:color w:val="000000" w:themeColor="text1"/>
                <w:lang w:val="es-ES"/>
              </w:rPr>
              <w:t xml:space="preserve"> adoptado mediante </w:t>
            </w:r>
            <w:r w:rsidRPr="00110508">
              <w:rPr>
                <w:rFonts w:ascii="Verdana" w:eastAsia="Calibri" w:hAnsi="Verdana" w:cs="Arial"/>
                <w:color w:val="000000" w:themeColor="text1"/>
                <w:lang w:val="es-ES"/>
              </w:rPr>
              <w:t>Resolución</w:t>
            </w:r>
            <w:r>
              <w:rPr>
                <w:rFonts w:ascii="Verdana" w:eastAsia="Calibri" w:hAnsi="Verdana" w:cs="Arial"/>
                <w:color w:val="000000" w:themeColor="text1"/>
                <w:lang w:val="es-ES"/>
              </w:rPr>
              <w:t xml:space="preserve"> </w:t>
            </w:r>
            <w:r w:rsidRPr="00110508">
              <w:rPr>
                <w:rFonts w:ascii="Verdana" w:eastAsia="Calibri" w:hAnsi="Verdana" w:cs="Arial"/>
                <w:color w:val="000000" w:themeColor="text1"/>
                <w:lang w:val="es-ES"/>
              </w:rPr>
              <w:t>454 de 2021</w:t>
            </w:r>
            <w:r>
              <w:rPr>
                <w:rFonts w:ascii="Verdana" w:eastAsia="Calibri" w:hAnsi="Verdana" w:cs="Arial"/>
                <w:color w:val="000000" w:themeColor="text1"/>
                <w:lang w:val="es-ES"/>
              </w:rPr>
              <w:t>, con las modificaciones de la Resolución 275 de 2022.</w:t>
            </w:r>
          </w:p>
          <w:p w14:paraId="37D97F19" w14:textId="77777777" w:rsidR="00001900" w:rsidRDefault="00001900" w:rsidP="009366A6">
            <w:pPr>
              <w:spacing w:line="276" w:lineRule="auto"/>
              <w:jc w:val="both"/>
              <w:rPr>
                <w:rFonts w:ascii="Verdana" w:eastAsia="Calibri" w:hAnsi="Verdana" w:cs="Arial"/>
                <w:color w:val="7030A0"/>
                <w:lang w:val="es-ES"/>
              </w:rPr>
            </w:pPr>
          </w:p>
          <w:p w14:paraId="2DEDA585" w14:textId="77777777" w:rsidR="00001900" w:rsidRDefault="00001900" w:rsidP="009366A6">
            <w:pPr>
              <w:spacing w:line="276" w:lineRule="auto"/>
              <w:jc w:val="both"/>
              <w:rPr>
                <w:rFonts w:ascii="Verdana" w:eastAsia="Calibri" w:hAnsi="Verdana" w:cs="Arial"/>
                <w:color w:val="000000" w:themeColor="text1"/>
                <w:lang w:val="es-ES"/>
              </w:rPr>
            </w:pPr>
            <w:r>
              <w:rPr>
                <w:rFonts w:ascii="Verdana" w:eastAsia="Calibri" w:hAnsi="Verdana" w:cs="Arial"/>
                <w:color w:val="000000" w:themeColor="text1"/>
                <w:lang w:val="es-ES"/>
              </w:rPr>
              <w:t xml:space="preserve">Ahora bien, es menester precisar que para el sector de infraestructura social se ha expedido documentos tipo para las siguientes modalidades: </w:t>
            </w:r>
          </w:p>
          <w:p w14:paraId="10F3A514" w14:textId="77777777" w:rsidR="00001900" w:rsidRDefault="00001900" w:rsidP="009366A6">
            <w:pPr>
              <w:spacing w:line="276" w:lineRule="auto"/>
              <w:jc w:val="both"/>
              <w:rPr>
                <w:rFonts w:ascii="Verdana" w:eastAsia="Calibri" w:hAnsi="Verdana" w:cs="Arial"/>
                <w:color w:val="000000" w:themeColor="text1"/>
                <w:lang w:val="es-ES"/>
              </w:rPr>
            </w:pPr>
          </w:p>
          <w:p w14:paraId="6E10A7DC" w14:textId="77777777" w:rsidR="00001900" w:rsidRDefault="00001900" w:rsidP="00001900">
            <w:pPr>
              <w:pStyle w:val="Prrafodelista"/>
              <w:numPr>
                <w:ilvl w:val="0"/>
                <w:numId w:val="5"/>
              </w:numPr>
              <w:spacing w:line="276" w:lineRule="auto"/>
              <w:jc w:val="both"/>
              <w:rPr>
                <w:rFonts w:ascii="Verdana" w:eastAsia="Calibri" w:hAnsi="Verdana" w:cs="Arial"/>
                <w:color w:val="000000" w:themeColor="text1"/>
              </w:rPr>
            </w:pPr>
            <w:r w:rsidRPr="00253564">
              <w:rPr>
                <w:rFonts w:ascii="Verdana" w:eastAsia="Calibri" w:hAnsi="Verdana" w:cs="Arial"/>
                <w:color w:val="000000" w:themeColor="text1"/>
              </w:rPr>
              <w:t xml:space="preserve">Documentos tipo de </w:t>
            </w:r>
            <w:r w:rsidRPr="00F46F9E">
              <w:rPr>
                <w:rFonts w:ascii="Verdana" w:eastAsia="Calibri" w:hAnsi="Verdana" w:cs="Arial"/>
                <w:b/>
                <w:bCs/>
                <w:color w:val="000000" w:themeColor="text1"/>
              </w:rPr>
              <w:t>licitación de obra pública</w:t>
            </w:r>
            <w:r w:rsidRPr="00253564">
              <w:rPr>
                <w:rFonts w:ascii="Verdana" w:eastAsia="Calibri" w:hAnsi="Verdana" w:cs="Arial"/>
                <w:color w:val="000000" w:themeColor="text1"/>
              </w:rPr>
              <w:t xml:space="preserve"> para proyectos de infraestructura social</w:t>
            </w:r>
            <w:r>
              <w:rPr>
                <w:rFonts w:ascii="Verdana" w:eastAsia="Calibri" w:hAnsi="Verdana" w:cs="Arial"/>
                <w:color w:val="000000" w:themeColor="text1"/>
              </w:rPr>
              <w:t xml:space="preserve">: </w:t>
            </w:r>
            <w:hyperlink r:id="rId12" w:history="1">
              <w:r w:rsidRPr="00C5629D">
                <w:rPr>
                  <w:rStyle w:val="Hipervnculo"/>
                  <w:rFonts w:ascii="Verdana" w:eastAsia="Calibri" w:hAnsi="Verdana" w:cs="Arial"/>
                </w:rPr>
                <w:t>https://www.colombiacompra.gov.co/content/04-documentos-tipo-de-licitacion-de-obra-publica-para-proyectos-de-infraestructura-social</w:t>
              </w:r>
            </w:hyperlink>
            <w:r>
              <w:rPr>
                <w:rFonts w:ascii="Verdana" w:eastAsia="Calibri" w:hAnsi="Verdana" w:cs="Arial"/>
                <w:color w:val="000000" w:themeColor="text1"/>
              </w:rPr>
              <w:t xml:space="preserve"> </w:t>
            </w:r>
          </w:p>
          <w:p w14:paraId="10049A96" w14:textId="77777777" w:rsidR="00001900" w:rsidRDefault="00001900" w:rsidP="009366A6">
            <w:pPr>
              <w:pStyle w:val="Prrafodelista"/>
              <w:spacing w:line="276" w:lineRule="auto"/>
              <w:jc w:val="both"/>
              <w:rPr>
                <w:rFonts w:ascii="Verdana" w:eastAsia="Calibri" w:hAnsi="Verdana" w:cs="Arial"/>
                <w:color w:val="000000" w:themeColor="text1"/>
              </w:rPr>
            </w:pPr>
          </w:p>
          <w:p w14:paraId="1BAB231E" w14:textId="77777777" w:rsidR="00001900" w:rsidRDefault="00001900" w:rsidP="009366A6">
            <w:pPr>
              <w:pStyle w:val="Prrafodelista"/>
              <w:spacing w:line="276" w:lineRule="auto"/>
              <w:jc w:val="both"/>
              <w:rPr>
                <w:rFonts w:ascii="Verdana" w:eastAsia="Calibri" w:hAnsi="Verdana" w:cs="Arial"/>
                <w:color w:val="000000" w:themeColor="text1"/>
              </w:rPr>
            </w:pPr>
            <w:r w:rsidRPr="00F8611F">
              <w:rPr>
                <w:rFonts w:ascii="Verdana" w:eastAsia="Calibri" w:hAnsi="Verdana" w:cs="Arial"/>
                <w:i/>
                <w:iCs/>
                <w:color w:val="000000" w:themeColor="text1"/>
              </w:rPr>
              <w:t>Resolución 219 de 2021</w:t>
            </w:r>
            <w:r>
              <w:rPr>
                <w:rFonts w:ascii="Verdana" w:eastAsia="Calibri" w:hAnsi="Verdana" w:cs="Arial"/>
                <w:color w:val="000000" w:themeColor="text1"/>
              </w:rPr>
              <w:t xml:space="preserve">: </w:t>
            </w:r>
            <w:r w:rsidRPr="00F8611F">
              <w:rPr>
                <w:rFonts w:ascii="Verdana" w:eastAsia="Calibri" w:hAnsi="Verdana" w:cs="Arial"/>
                <w:color w:val="000000" w:themeColor="text1"/>
              </w:rPr>
              <w:t>Por la cual se adoptan los documentos tipo para los procesos de licitación de obra pública de infraestructura</w:t>
            </w:r>
            <w:r>
              <w:rPr>
                <w:rFonts w:ascii="Verdana" w:eastAsia="Calibri" w:hAnsi="Verdana" w:cs="Arial"/>
                <w:color w:val="000000" w:themeColor="text1"/>
              </w:rPr>
              <w:t xml:space="preserve"> </w:t>
            </w:r>
            <w:r w:rsidRPr="00F8611F">
              <w:rPr>
                <w:rFonts w:ascii="Verdana" w:eastAsia="Calibri" w:hAnsi="Verdana" w:cs="Arial"/>
                <w:color w:val="000000" w:themeColor="text1"/>
              </w:rPr>
              <w:t>social</w:t>
            </w:r>
            <w:r>
              <w:rPr>
                <w:rFonts w:ascii="Verdana" w:eastAsia="Calibri" w:hAnsi="Verdana" w:cs="Arial"/>
                <w:color w:val="000000" w:themeColor="text1"/>
              </w:rPr>
              <w:t>.</w:t>
            </w:r>
            <w:r w:rsidRPr="00F8611F">
              <w:rPr>
                <w:rFonts w:ascii="Verdana" w:eastAsia="Calibri" w:hAnsi="Verdana" w:cs="Arial"/>
                <w:color w:val="000000" w:themeColor="text1"/>
              </w:rPr>
              <w:cr/>
            </w:r>
          </w:p>
          <w:p w14:paraId="0F6EF956" w14:textId="77777777" w:rsidR="00001900" w:rsidRDefault="00001900" w:rsidP="00001900">
            <w:pPr>
              <w:pStyle w:val="Prrafodelista"/>
              <w:numPr>
                <w:ilvl w:val="0"/>
                <w:numId w:val="5"/>
              </w:numPr>
              <w:spacing w:line="276" w:lineRule="auto"/>
              <w:jc w:val="both"/>
              <w:rPr>
                <w:rFonts w:ascii="Verdana" w:eastAsia="Calibri" w:hAnsi="Verdana" w:cs="Arial"/>
                <w:color w:val="000000" w:themeColor="text1"/>
              </w:rPr>
            </w:pPr>
            <w:r w:rsidRPr="00F46F9E">
              <w:rPr>
                <w:rFonts w:ascii="Verdana" w:eastAsia="Calibri" w:hAnsi="Verdana" w:cs="Arial"/>
                <w:color w:val="000000" w:themeColor="text1"/>
              </w:rPr>
              <w:t xml:space="preserve">Documento Tipo de </w:t>
            </w:r>
            <w:r w:rsidRPr="00F64D08">
              <w:rPr>
                <w:rFonts w:ascii="Verdana" w:eastAsia="Calibri" w:hAnsi="Verdana" w:cs="Arial"/>
                <w:b/>
                <w:bCs/>
                <w:color w:val="000000" w:themeColor="text1"/>
              </w:rPr>
              <w:t>concurso de méritos</w:t>
            </w:r>
            <w:r w:rsidRPr="00F46F9E">
              <w:rPr>
                <w:rFonts w:ascii="Verdana" w:eastAsia="Calibri" w:hAnsi="Verdana" w:cs="Arial"/>
                <w:color w:val="000000" w:themeColor="text1"/>
              </w:rPr>
              <w:t xml:space="preserve"> para contratar la interventoría de obras públicas de infraestructura social</w:t>
            </w:r>
            <w:r>
              <w:rPr>
                <w:rFonts w:ascii="Verdana" w:eastAsia="Calibri" w:hAnsi="Verdana" w:cs="Arial"/>
                <w:color w:val="000000" w:themeColor="text1"/>
              </w:rPr>
              <w:t xml:space="preserve">: </w:t>
            </w:r>
            <w:hyperlink r:id="rId13" w:history="1">
              <w:r w:rsidRPr="00C5629D">
                <w:rPr>
                  <w:rStyle w:val="Hipervnculo"/>
                  <w:rFonts w:ascii="Verdana" w:eastAsia="Calibri" w:hAnsi="Verdana" w:cs="Arial"/>
                </w:rPr>
                <w:t>https://www.colombiacompra.gov.co/content/07-documento-tipo-de-concurso-de-meritos-para-contratar-la-interventoria-de-obras-publicas</w:t>
              </w:r>
            </w:hyperlink>
            <w:r>
              <w:rPr>
                <w:rFonts w:ascii="Verdana" w:eastAsia="Calibri" w:hAnsi="Verdana" w:cs="Arial"/>
                <w:color w:val="000000" w:themeColor="text1"/>
              </w:rPr>
              <w:t xml:space="preserve"> </w:t>
            </w:r>
          </w:p>
          <w:p w14:paraId="2F601E00" w14:textId="77777777" w:rsidR="00001900" w:rsidRDefault="00001900" w:rsidP="009366A6">
            <w:pPr>
              <w:pStyle w:val="Prrafodelista"/>
              <w:spacing w:line="276" w:lineRule="auto"/>
              <w:jc w:val="both"/>
              <w:rPr>
                <w:rFonts w:ascii="Verdana" w:eastAsia="Calibri" w:hAnsi="Verdana" w:cs="Arial"/>
                <w:color w:val="000000" w:themeColor="text1"/>
              </w:rPr>
            </w:pPr>
          </w:p>
          <w:p w14:paraId="156BC3F7" w14:textId="77777777" w:rsidR="00001900" w:rsidRDefault="00001900" w:rsidP="009366A6">
            <w:pPr>
              <w:pStyle w:val="Prrafodelista"/>
              <w:spacing w:line="276" w:lineRule="auto"/>
              <w:jc w:val="both"/>
              <w:rPr>
                <w:rFonts w:ascii="Verdana" w:eastAsia="Calibri" w:hAnsi="Verdana" w:cs="Arial"/>
                <w:color w:val="000000" w:themeColor="text1"/>
              </w:rPr>
            </w:pPr>
            <w:r w:rsidRPr="00BB0CEF">
              <w:rPr>
                <w:rFonts w:ascii="Verdana" w:eastAsia="Calibri" w:hAnsi="Verdana" w:cs="Arial"/>
                <w:i/>
                <w:iCs/>
                <w:color w:val="000000" w:themeColor="text1"/>
              </w:rPr>
              <w:t>Resolución 798 de 2023</w:t>
            </w:r>
            <w:r>
              <w:rPr>
                <w:rFonts w:ascii="Verdana" w:eastAsia="Calibri" w:hAnsi="Verdana" w:cs="Arial"/>
                <w:color w:val="000000" w:themeColor="text1"/>
              </w:rPr>
              <w:t xml:space="preserve">: </w:t>
            </w:r>
            <w:r w:rsidRPr="00BB0CEF">
              <w:rPr>
                <w:rFonts w:ascii="Verdana" w:eastAsia="Calibri" w:hAnsi="Verdana" w:cs="Arial"/>
                <w:color w:val="000000" w:themeColor="text1"/>
              </w:rPr>
              <w:t>Por la cual se adoptan los documentos tipo para los procesos de concurso de méritos para contratar la interventoría de obras públicas de infraestructura social; que agrupa los sectores de educación, salud, cultura, recreación y deporte</w:t>
            </w:r>
            <w:r>
              <w:rPr>
                <w:rFonts w:ascii="Verdana" w:eastAsia="Calibri" w:hAnsi="Verdana" w:cs="Arial"/>
                <w:color w:val="000000" w:themeColor="text1"/>
              </w:rPr>
              <w:t>.</w:t>
            </w:r>
          </w:p>
          <w:p w14:paraId="624985AA" w14:textId="77777777" w:rsidR="00001900" w:rsidRPr="00F46F9E" w:rsidRDefault="00001900" w:rsidP="009366A6">
            <w:pPr>
              <w:pStyle w:val="Prrafodelista"/>
              <w:spacing w:line="276" w:lineRule="auto"/>
              <w:jc w:val="both"/>
              <w:rPr>
                <w:rFonts w:ascii="Verdana" w:eastAsia="Calibri" w:hAnsi="Verdana" w:cs="Arial"/>
                <w:color w:val="000000" w:themeColor="text1"/>
                <w:lang w:val="es-ES"/>
              </w:rPr>
            </w:pPr>
          </w:p>
          <w:p w14:paraId="3999A7AB" w14:textId="77777777" w:rsidR="00001900" w:rsidRDefault="00001900" w:rsidP="009366A6">
            <w:pPr>
              <w:spacing w:line="276" w:lineRule="auto"/>
              <w:jc w:val="both"/>
              <w:rPr>
                <w:rFonts w:ascii="Verdana" w:eastAsia="Calibri" w:hAnsi="Verdana" w:cs="Arial"/>
                <w:color w:val="000000" w:themeColor="text1"/>
              </w:rPr>
            </w:pPr>
            <w:r>
              <w:rPr>
                <w:rFonts w:ascii="Verdana" w:eastAsia="Calibri" w:hAnsi="Verdana" w:cs="Arial"/>
                <w:color w:val="000000" w:themeColor="text1"/>
                <w:lang w:val="es-ES"/>
              </w:rPr>
              <w:t xml:space="preserve">Así mismo, es importante señalar que en virtud del principio de inalterabilidad,  </w:t>
            </w:r>
            <w:r w:rsidRPr="00F21E88">
              <w:rPr>
                <w:rFonts w:ascii="Verdana" w:eastAsia="Calibri" w:hAnsi="Verdana" w:cs="Arial"/>
                <w:color w:val="000000" w:themeColor="text1"/>
              </w:rPr>
              <w:t>las condiciones establecidas en los documentos</w:t>
            </w:r>
            <w:r>
              <w:rPr>
                <w:rFonts w:ascii="Verdana" w:eastAsia="Calibri" w:hAnsi="Verdana" w:cs="Arial"/>
                <w:color w:val="000000" w:themeColor="text1"/>
              </w:rPr>
              <w:t xml:space="preserve"> tipo</w:t>
            </w:r>
            <w:r w:rsidRPr="00F21E88">
              <w:rPr>
                <w:rFonts w:ascii="Verdana" w:eastAsia="Calibri" w:hAnsi="Verdana" w:cs="Arial"/>
                <w:color w:val="000000" w:themeColor="text1"/>
              </w:rPr>
              <w:t xml:space="preserve"> </w:t>
            </w:r>
            <w:r>
              <w:rPr>
                <w:rFonts w:ascii="Verdana" w:eastAsia="Calibri" w:hAnsi="Verdana" w:cs="Arial"/>
                <w:color w:val="000000" w:themeColor="text1"/>
              </w:rPr>
              <w:t xml:space="preserve">relacionados acá y todos aquellos </w:t>
            </w:r>
            <w:r w:rsidRPr="00F21E88">
              <w:rPr>
                <w:rFonts w:ascii="Verdana" w:eastAsia="Calibri" w:hAnsi="Verdana" w:cs="Arial"/>
                <w:color w:val="000000" w:themeColor="text1"/>
              </w:rPr>
              <w:t xml:space="preserve">que adopte la Agencia en ejercicio del mandato establecido en el artículo 1 de la Ley 2022 de 2020, </w:t>
            </w:r>
            <w:r>
              <w:rPr>
                <w:rFonts w:ascii="Verdana" w:eastAsia="Calibri" w:hAnsi="Verdana" w:cs="Arial"/>
                <w:color w:val="000000" w:themeColor="text1"/>
              </w:rPr>
              <w:t>además de ser de</w:t>
            </w:r>
            <w:r w:rsidRPr="00F21E88">
              <w:rPr>
                <w:rFonts w:ascii="Verdana" w:eastAsia="Calibri" w:hAnsi="Verdana" w:cs="Arial"/>
                <w:color w:val="000000" w:themeColor="text1"/>
              </w:rPr>
              <w:t xml:space="preserve"> obligatorio cumplimiento para las entidades sometidas al Estatuto General de Contratación</w:t>
            </w:r>
            <w:r>
              <w:rPr>
                <w:rFonts w:ascii="Verdana" w:eastAsia="Calibri" w:hAnsi="Verdana" w:cs="Arial"/>
                <w:color w:val="000000" w:themeColor="text1"/>
              </w:rPr>
              <w:t>, aquellas no</w:t>
            </w:r>
            <w:r w:rsidRPr="00F21E88">
              <w:rPr>
                <w:rFonts w:ascii="Verdana" w:eastAsia="Calibri" w:hAnsi="Verdana" w:cs="Arial"/>
                <w:color w:val="000000" w:themeColor="text1"/>
              </w:rPr>
              <w:t xml:space="preserve"> </w:t>
            </w:r>
            <w:r>
              <w:rPr>
                <w:rFonts w:ascii="Verdana" w:eastAsia="Calibri" w:hAnsi="Verdana" w:cs="Arial"/>
                <w:color w:val="000000" w:themeColor="text1"/>
              </w:rPr>
              <w:t>podrán</w:t>
            </w:r>
            <w:r w:rsidRPr="00F21E88">
              <w:rPr>
                <w:rFonts w:ascii="Verdana" w:eastAsia="Calibri" w:hAnsi="Verdana" w:cs="Arial"/>
                <w:color w:val="000000" w:themeColor="text1"/>
              </w:rPr>
              <w:t xml:space="preserve"> variar los requisitos fijados en </w:t>
            </w:r>
            <w:r>
              <w:rPr>
                <w:rFonts w:ascii="Verdana" w:eastAsia="Calibri" w:hAnsi="Verdana" w:cs="Arial"/>
                <w:color w:val="000000" w:themeColor="text1"/>
              </w:rPr>
              <w:t xml:space="preserve">éstos, así como tampoco podrán incluir </w:t>
            </w:r>
            <w:r w:rsidRPr="00F22DF4">
              <w:rPr>
                <w:rFonts w:ascii="Verdana" w:eastAsia="Calibri" w:hAnsi="Verdana" w:cs="Arial"/>
                <w:color w:val="000000" w:themeColor="text1"/>
              </w:rPr>
              <w:t xml:space="preserve">o modificar dentro de los documentos del proceso de selección las condiciones </w:t>
            </w:r>
            <w:r w:rsidRPr="00F22DF4">
              <w:rPr>
                <w:rFonts w:ascii="Verdana" w:eastAsia="Calibri" w:hAnsi="Verdana" w:cs="Arial"/>
                <w:color w:val="000000" w:themeColor="text1"/>
              </w:rPr>
              <w:lastRenderedPageBreak/>
              <w:t>habilitantes, los factores técnicos y económicos de escogencia y los sistemas de ponderación que han sido definidos</w:t>
            </w:r>
            <w:r>
              <w:rPr>
                <w:rFonts w:ascii="Verdana" w:eastAsia="Calibri" w:hAnsi="Verdana" w:cs="Arial"/>
                <w:color w:val="000000" w:themeColor="text1"/>
              </w:rPr>
              <w:t>,</w:t>
            </w:r>
            <w:r w:rsidRPr="00F22DF4">
              <w:rPr>
                <w:rFonts w:ascii="Verdana" w:eastAsia="Calibri" w:hAnsi="Verdana" w:cs="Arial"/>
                <w:color w:val="000000" w:themeColor="text1"/>
              </w:rPr>
              <w:t xml:space="preserve"> </w:t>
            </w:r>
            <w:r>
              <w:rPr>
                <w:rFonts w:ascii="Verdana" w:eastAsia="Calibri" w:hAnsi="Verdana" w:cs="Arial"/>
                <w:color w:val="000000" w:themeColor="text1"/>
              </w:rPr>
              <w:t>de conformidad con el artículo 3 de la Resolución 219 de 2021  y la Resolución 798 de 2023.</w:t>
            </w:r>
          </w:p>
          <w:p w14:paraId="56C22DF3" w14:textId="77777777" w:rsidR="00001900" w:rsidRDefault="00001900" w:rsidP="009366A6">
            <w:pPr>
              <w:spacing w:line="276" w:lineRule="auto"/>
              <w:jc w:val="both"/>
              <w:rPr>
                <w:rFonts w:ascii="Verdana" w:eastAsia="Calibri" w:hAnsi="Verdana" w:cs="Arial"/>
                <w:color w:val="000000" w:themeColor="text1"/>
              </w:rPr>
            </w:pPr>
          </w:p>
          <w:p w14:paraId="7269B384" w14:textId="77777777" w:rsidR="00001900" w:rsidRPr="00593A5F" w:rsidRDefault="00001900" w:rsidP="009366A6">
            <w:pPr>
              <w:spacing w:line="276" w:lineRule="auto"/>
              <w:jc w:val="both"/>
              <w:rPr>
                <w:rFonts w:ascii="Verdana" w:eastAsia="Calibri" w:hAnsi="Verdana" w:cs="Arial"/>
                <w:color w:val="7030A0"/>
                <w:lang w:val="es-ES"/>
              </w:rPr>
            </w:pPr>
            <w:r>
              <w:rPr>
                <w:rFonts w:ascii="Verdana" w:eastAsia="Calibri" w:hAnsi="Verdana" w:cs="Arial"/>
                <w:color w:val="000000" w:themeColor="text1"/>
                <w:lang w:val="es-ES"/>
              </w:rPr>
              <w:t xml:space="preserve">En este sentido, </w:t>
            </w:r>
            <w:r w:rsidRPr="00B71915">
              <w:rPr>
                <w:rFonts w:ascii="Verdana" w:eastAsia="Calibri" w:hAnsi="Verdana" w:cs="Arial"/>
                <w:color w:val="000000" w:themeColor="text1"/>
                <w:lang w:val="es-ES"/>
              </w:rPr>
              <w:t xml:space="preserve">si la modalidad de selección </w:t>
            </w:r>
            <w:r>
              <w:rPr>
                <w:rFonts w:ascii="Verdana" w:eastAsia="Calibri" w:hAnsi="Verdana" w:cs="Arial"/>
                <w:color w:val="000000" w:themeColor="text1"/>
                <w:lang w:val="es-ES"/>
              </w:rPr>
              <w:t xml:space="preserve">definida por la entidad estatal contratante </w:t>
            </w:r>
            <w:r w:rsidRPr="00B71915">
              <w:rPr>
                <w:rFonts w:ascii="Verdana" w:eastAsia="Calibri" w:hAnsi="Verdana" w:cs="Arial"/>
                <w:color w:val="000000" w:themeColor="text1"/>
                <w:lang w:val="es-ES"/>
              </w:rPr>
              <w:t>es la selección abreviada de menor cuantía</w:t>
            </w:r>
            <w:r>
              <w:rPr>
                <w:rFonts w:ascii="Verdana" w:eastAsia="Calibri" w:hAnsi="Verdana" w:cs="Arial"/>
                <w:color w:val="000000" w:themeColor="text1"/>
                <w:lang w:val="es-ES"/>
              </w:rPr>
              <w:t xml:space="preserve"> o mínima cuantía, la entidad estatal podrá estructurar los documentos del proceso de manera autónoma e independiente.</w:t>
            </w:r>
          </w:p>
        </w:tc>
      </w:tr>
    </w:tbl>
    <w:p w14:paraId="3F5FBCD0" w14:textId="77777777" w:rsidR="00001900" w:rsidRPr="00593A5F" w:rsidRDefault="00001900" w:rsidP="00001900">
      <w:pPr>
        <w:tabs>
          <w:tab w:val="left" w:pos="142"/>
          <w:tab w:val="left" w:pos="284"/>
        </w:tabs>
        <w:spacing w:after="0" w:line="276" w:lineRule="auto"/>
        <w:jc w:val="both"/>
        <w:rPr>
          <w:rFonts w:ascii="Verdana" w:eastAsia="Century Gothic" w:hAnsi="Verdana" w:cs="Century Gothic"/>
          <w:b/>
          <w:bCs/>
          <w:lang w:val="es-ES"/>
        </w:rPr>
      </w:pPr>
    </w:p>
    <w:p w14:paraId="56DB49AF" w14:textId="77777777" w:rsidR="00001900" w:rsidRPr="00593A5F" w:rsidRDefault="00001900" w:rsidP="00001900">
      <w:pPr>
        <w:pStyle w:val="Prrafodelista"/>
        <w:numPr>
          <w:ilvl w:val="0"/>
          <w:numId w:val="1"/>
        </w:numPr>
        <w:tabs>
          <w:tab w:val="left" w:pos="142"/>
          <w:tab w:val="left" w:pos="284"/>
        </w:tabs>
        <w:spacing w:after="0" w:line="276" w:lineRule="auto"/>
        <w:ind w:left="0" w:firstLine="0"/>
        <w:contextualSpacing w:val="0"/>
        <w:jc w:val="both"/>
        <w:rPr>
          <w:rFonts w:ascii="Verdana" w:eastAsia="Century Gothic" w:hAnsi="Verdana" w:cs="Century Gothic"/>
          <w:b/>
          <w:bCs/>
        </w:rPr>
      </w:pPr>
      <w:r w:rsidRPr="00593A5F">
        <w:rPr>
          <w:rFonts w:ascii="Verdana" w:eastAsia="Century Gothic" w:hAnsi="Verdana" w:cs="Century Gothic"/>
          <w:b/>
          <w:bCs/>
        </w:rPr>
        <w:t>Razones de la respuesta:</w:t>
      </w:r>
    </w:p>
    <w:p w14:paraId="35A69B69" w14:textId="77777777" w:rsidR="00001900" w:rsidRPr="00593A5F" w:rsidRDefault="00001900" w:rsidP="00001900">
      <w:pPr>
        <w:spacing w:after="0" w:line="276" w:lineRule="auto"/>
        <w:jc w:val="both"/>
        <w:rPr>
          <w:rFonts w:ascii="Verdana" w:eastAsia="Calibri" w:hAnsi="Verdana" w:cs="Arial"/>
          <w:color w:val="7030A0"/>
          <w:lang w:val="es-ES"/>
        </w:rPr>
      </w:pPr>
    </w:p>
    <w:p w14:paraId="53A4E701" w14:textId="77777777" w:rsidR="00001900" w:rsidRPr="00B96799" w:rsidRDefault="00001900" w:rsidP="00001900">
      <w:pPr>
        <w:spacing w:after="0" w:line="276" w:lineRule="auto"/>
        <w:jc w:val="both"/>
        <w:rPr>
          <w:rFonts w:ascii="Verdana" w:eastAsia="Calibri" w:hAnsi="Verdana" w:cs="Arial"/>
          <w:lang w:val="es-ES"/>
        </w:rPr>
      </w:pPr>
      <w:r w:rsidRPr="00B96799">
        <w:rPr>
          <w:rFonts w:ascii="Verdana" w:eastAsia="Calibri" w:hAnsi="Verdana" w:cs="Arial"/>
          <w:lang w:val="es-ES"/>
        </w:rPr>
        <w:t xml:space="preserve">Lo anterior se sustenta en las siguientes consideraciones: </w:t>
      </w:r>
    </w:p>
    <w:p w14:paraId="783F05B9" w14:textId="77777777" w:rsidR="00001900" w:rsidRPr="00593A5F" w:rsidRDefault="00001900" w:rsidP="00001900">
      <w:pPr>
        <w:spacing w:after="0" w:line="276" w:lineRule="auto"/>
        <w:jc w:val="both"/>
        <w:rPr>
          <w:rFonts w:ascii="Verdana" w:eastAsia="Calibri" w:hAnsi="Verdana" w:cs="Arial"/>
          <w:color w:val="7030A0"/>
          <w:lang w:val="es-ES"/>
        </w:rPr>
      </w:pPr>
    </w:p>
    <w:p w14:paraId="24CB8DC8" w14:textId="77777777" w:rsidR="00001900" w:rsidRPr="000C155E" w:rsidRDefault="00001900" w:rsidP="00001900">
      <w:pPr>
        <w:pStyle w:val="Prrafodelista"/>
        <w:numPr>
          <w:ilvl w:val="0"/>
          <w:numId w:val="2"/>
        </w:numPr>
        <w:spacing w:after="0" w:line="276" w:lineRule="auto"/>
        <w:jc w:val="both"/>
        <w:rPr>
          <w:rFonts w:ascii="Verdana" w:eastAsia="Calibri" w:hAnsi="Verdana" w:cs="Arial"/>
          <w:color w:val="000000" w:themeColor="text1"/>
        </w:rPr>
      </w:pPr>
      <w:r w:rsidRPr="000C155E">
        <w:rPr>
          <w:rFonts w:ascii="Verdana" w:eastAsia="Calibri" w:hAnsi="Verdana" w:cs="Arial"/>
          <w:color w:val="000000" w:themeColor="text1"/>
        </w:rPr>
        <w:t xml:space="preserve">Los Documentos Tipo expedidos por esta Agencia en ejercicio de la potestad otorgada por la Ley 2022 de 2020 son de obligatoria observancia para las Entidades Estatales sometidas al Estatuto General de Contratación de la Administración Pública. Debido a esto tales entidades deben aplicar de manera forzosa los Documentos Tipo para desarrollar los Procesos de Contratación en los objetos y modalidades cobijadas por los Documentos Tipo. </w:t>
      </w:r>
    </w:p>
    <w:p w14:paraId="300B09FF" w14:textId="77777777" w:rsidR="00001900" w:rsidRPr="000C155E" w:rsidRDefault="00001900" w:rsidP="00001900">
      <w:pPr>
        <w:pStyle w:val="Prrafodelista"/>
        <w:spacing w:line="276" w:lineRule="auto"/>
        <w:jc w:val="both"/>
        <w:rPr>
          <w:rFonts w:ascii="Verdana" w:eastAsia="Calibri" w:hAnsi="Verdana" w:cs="Arial"/>
          <w:color w:val="000000" w:themeColor="text1"/>
        </w:rPr>
      </w:pPr>
    </w:p>
    <w:p w14:paraId="328B5B65" w14:textId="77777777" w:rsidR="00001900" w:rsidRPr="000C155E" w:rsidRDefault="00001900" w:rsidP="00001900">
      <w:pPr>
        <w:pStyle w:val="Prrafodelista"/>
        <w:numPr>
          <w:ilvl w:val="0"/>
          <w:numId w:val="2"/>
        </w:numPr>
        <w:spacing w:after="0" w:line="276" w:lineRule="auto"/>
        <w:jc w:val="both"/>
        <w:rPr>
          <w:rFonts w:ascii="Verdana" w:eastAsia="Calibri" w:hAnsi="Verdana" w:cs="Arial"/>
          <w:color w:val="000000" w:themeColor="text1"/>
        </w:rPr>
      </w:pPr>
      <w:r w:rsidRPr="000C155E">
        <w:rPr>
          <w:rFonts w:ascii="Verdana" w:eastAsia="Calibri" w:hAnsi="Verdana" w:cs="Arial"/>
          <w:color w:val="000000" w:themeColor="text1"/>
        </w:rPr>
        <w:t>Para establecer si determinado objeto contractual se encuentra cobijado o no por los Documentos Tipo es necesario establecer si el mismo se enmarca en los tipos de infraestructura, modalidades de selección y tipos de obra estandarizadas en las respectivas matrices de experiencia. De esta manera solo resulta obligatoria la aplicación de un documento tipo en particular cuando se ha establecido que en el objeto contractual y la modalidad en la que debe contratarse están dentro del ámbito de aplicación de las resoluciones expedidas para los sectores de infraestructura de transporte, agua potable-saneamiento básico y social.</w:t>
      </w:r>
    </w:p>
    <w:p w14:paraId="273E10C7" w14:textId="77777777" w:rsidR="00001900" w:rsidRPr="000C155E" w:rsidRDefault="00001900" w:rsidP="00001900">
      <w:pPr>
        <w:pStyle w:val="Prrafodelista"/>
        <w:spacing w:line="276" w:lineRule="auto"/>
        <w:rPr>
          <w:rFonts w:ascii="Verdana" w:eastAsia="Calibri" w:hAnsi="Verdana"/>
          <w:color w:val="000000" w:themeColor="text1"/>
        </w:rPr>
      </w:pPr>
    </w:p>
    <w:p w14:paraId="13166907" w14:textId="77777777" w:rsidR="00001900" w:rsidRPr="000C155E" w:rsidRDefault="00001900" w:rsidP="00001900">
      <w:pPr>
        <w:pStyle w:val="Prrafodelista"/>
        <w:numPr>
          <w:ilvl w:val="0"/>
          <w:numId w:val="2"/>
        </w:numPr>
        <w:spacing w:after="0" w:line="276" w:lineRule="auto"/>
        <w:jc w:val="both"/>
        <w:rPr>
          <w:rFonts w:ascii="Verdana" w:eastAsia="Calibri" w:hAnsi="Verdana" w:cs="Arial"/>
          <w:color w:val="000000" w:themeColor="text1"/>
        </w:rPr>
      </w:pPr>
      <w:r w:rsidRPr="000C155E">
        <w:rPr>
          <w:rFonts w:ascii="Verdana" w:eastAsia="Calibri" w:hAnsi="Verdana"/>
          <w:color w:val="000000" w:themeColor="text1"/>
        </w:rPr>
        <w:t>Los Documentos Tipo para la contratación de obra pública de infraestructura social, adoptados por esta Agencia mediante la Resolución 219 del 6 de agosto de 2021</w:t>
      </w:r>
      <w:r w:rsidRPr="000C155E">
        <w:rPr>
          <w:rStyle w:val="Refdenotaalpie"/>
          <w:rFonts w:ascii="Verdana" w:eastAsia="Calibri" w:hAnsi="Verdana"/>
          <w:color w:val="000000" w:themeColor="text1"/>
        </w:rPr>
        <w:footnoteReference w:id="1"/>
      </w:r>
      <w:r w:rsidRPr="000C155E">
        <w:rPr>
          <w:rFonts w:ascii="Verdana" w:eastAsia="Calibri" w:hAnsi="Verdana"/>
          <w:color w:val="000000" w:themeColor="text1"/>
        </w:rPr>
        <w:t xml:space="preserve">, fueron concebidos como unos </w:t>
      </w:r>
      <w:r w:rsidRPr="000C155E">
        <w:rPr>
          <w:rFonts w:ascii="Verdana" w:eastAsia="Calibri" w:hAnsi="Verdana"/>
          <w:i/>
          <w:iCs/>
          <w:color w:val="000000" w:themeColor="text1"/>
        </w:rPr>
        <w:t>Documentos Tipo marco o transversales</w:t>
      </w:r>
      <w:r w:rsidRPr="000C155E">
        <w:rPr>
          <w:rFonts w:ascii="Verdana" w:eastAsia="Calibri" w:hAnsi="Verdana"/>
          <w:color w:val="000000" w:themeColor="text1"/>
        </w:rPr>
        <w:t xml:space="preserve">, en la medida que el documento base, formatos, matrices y anexos implementados mediante la misma, son </w:t>
      </w:r>
      <w:r w:rsidRPr="000C155E">
        <w:rPr>
          <w:rFonts w:ascii="Verdana" w:eastAsia="Calibri" w:hAnsi="Verdana"/>
          <w:color w:val="000000" w:themeColor="text1"/>
        </w:rPr>
        <w:lastRenderedPageBreak/>
        <w:t xml:space="preserve">aplicables a la contratación de obras en la modalidad de licitación pública, relacionadas con tres sectores que se integran el concepto de infraestructura social, a saber: i) educación, </w:t>
      </w:r>
      <w:proofErr w:type="spellStart"/>
      <w:r w:rsidRPr="000C155E">
        <w:rPr>
          <w:rFonts w:ascii="Verdana" w:eastAsia="Calibri" w:hAnsi="Verdana"/>
          <w:color w:val="000000" w:themeColor="text1"/>
        </w:rPr>
        <w:t>ii</w:t>
      </w:r>
      <w:proofErr w:type="spellEnd"/>
      <w:r w:rsidRPr="000C155E">
        <w:rPr>
          <w:rFonts w:ascii="Verdana" w:eastAsia="Calibri" w:hAnsi="Verdana"/>
          <w:color w:val="000000" w:themeColor="text1"/>
        </w:rPr>
        <w:t xml:space="preserve">) salud y  </w:t>
      </w:r>
      <w:proofErr w:type="spellStart"/>
      <w:r w:rsidRPr="000C155E">
        <w:rPr>
          <w:rFonts w:ascii="Verdana" w:eastAsia="Calibri" w:hAnsi="Verdana"/>
          <w:color w:val="000000" w:themeColor="text1"/>
        </w:rPr>
        <w:t>iii</w:t>
      </w:r>
      <w:proofErr w:type="spellEnd"/>
      <w:r w:rsidRPr="000C155E">
        <w:rPr>
          <w:rFonts w:ascii="Verdana" w:eastAsia="Calibri" w:hAnsi="Verdana"/>
          <w:color w:val="000000" w:themeColor="text1"/>
        </w:rPr>
        <w:t xml:space="preserve">) recreación, cultura y deporte. La aplicación de estos Documentos Tipo debe ser complementada con los </w:t>
      </w:r>
      <w:r w:rsidRPr="000C155E">
        <w:rPr>
          <w:rFonts w:ascii="Verdana" w:eastAsia="Calibri" w:hAnsi="Verdana"/>
          <w:i/>
          <w:iCs/>
          <w:color w:val="000000" w:themeColor="text1"/>
        </w:rPr>
        <w:t>Documentos Tipo complementarios</w:t>
      </w:r>
      <w:r w:rsidRPr="000C155E">
        <w:rPr>
          <w:rFonts w:ascii="Verdana" w:eastAsia="Calibri" w:hAnsi="Verdana"/>
          <w:color w:val="000000" w:themeColor="text1"/>
        </w:rPr>
        <w:t xml:space="preserve"> expedidos para cada sector, consistentes en las matrices de experiencia y anexos técnicos de cada uno de ellos. </w:t>
      </w:r>
    </w:p>
    <w:p w14:paraId="5DC7F700" w14:textId="77777777" w:rsidR="00001900" w:rsidRPr="000C155E" w:rsidRDefault="00001900" w:rsidP="00001900">
      <w:pPr>
        <w:pStyle w:val="Prrafodelista"/>
        <w:spacing w:line="276" w:lineRule="auto"/>
        <w:rPr>
          <w:rFonts w:ascii="Verdana" w:eastAsia="Calibri" w:hAnsi="Verdana"/>
          <w:color w:val="000000" w:themeColor="text1"/>
        </w:rPr>
      </w:pPr>
    </w:p>
    <w:p w14:paraId="5B5BA373" w14:textId="77777777" w:rsidR="00001900" w:rsidRPr="000C155E" w:rsidRDefault="00001900" w:rsidP="00001900">
      <w:pPr>
        <w:pStyle w:val="Prrafodelista"/>
        <w:numPr>
          <w:ilvl w:val="0"/>
          <w:numId w:val="2"/>
        </w:numPr>
        <w:spacing w:after="0" w:line="276" w:lineRule="auto"/>
        <w:jc w:val="both"/>
        <w:rPr>
          <w:rFonts w:ascii="Verdana" w:eastAsia="Calibri" w:hAnsi="Verdana" w:cs="Arial"/>
          <w:color w:val="000000" w:themeColor="text1"/>
        </w:rPr>
      </w:pPr>
      <w:r w:rsidRPr="000C155E">
        <w:rPr>
          <w:rFonts w:ascii="Verdana" w:eastAsia="Calibri" w:hAnsi="Verdana"/>
          <w:color w:val="000000" w:themeColor="text1"/>
        </w:rPr>
        <w:t xml:space="preserve">En este orden de ideas, la Agencia ha expedido tres Documentos Tipo complementarios de infraestructura social. La Resolución 220 del 6 de agosto de 2021, </w:t>
      </w:r>
      <w:r>
        <w:rPr>
          <w:rFonts w:ascii="Verdana" w:eastAsia="Calibri" w:hAnsi="Verdana"/>
          <w:color w:val="000000" w:themeColor="text1"/>
        </w:rPr>
        <w:t>“</w:t>
      </w:r>
      <w:r w:rsidRPr="000C155E">
        <w:rPr>
          <w:rFonts w:ascii="Verdana" w:eastAsia="Calibri" w:hAnsi="Verdana"/>
          <w:color w:val="000000" w:themeColor="text1"/>
        </w:rPr>
        <w:t>Por la cual se adoptan los documentos tipo complementarios para los procesos de licitación de obra pública de infraestructura social relacionados con el sector educativo</w:t>
      </w:r>
      <w:r>
        <w:rPr>
          <w:rFonts w:ascii="Verdana" w:eastAsia="Calibri" w:hAnsi="Verdana"/>
          <w:color w:val="000000" w:themeColor="text1"/>
        </w:rPr>
        <w:t>”</w:t>
      </w:r>
      <w:r w:rsidRPr="000C155E">
        <w:rPr>
          <w:rFonts w:ascii="Verdana" w:eastAsia="Calibri" w:hAnsi="Verdana"/>
          <w:color w:val="000000" w:themeColor="text1"/>
        </w:rPr>
        <w:t xml:space="preserve">; la Resolución 392 de 2021 del 18 de noviembre de 2021, </w:t>
      </w:r>
      <w:r>
        <w:rPr>
          <w:rFonts w:ascii="Verdana" w:eastAsia="Calibri" w:hAnsi="Verdana"/>
          <w:color w:val="000000" w:themeColor="text1"/>
        </w:rPr>
        <w:t>“</w:t>
      </w:r>
      <w:r w:rsidRPr="000C155E">
        <w:rPr>
          <w:rFonts w:ascii="Verdana" w:eastAsia="Calibri" w:hAnsi="Verdana"/>
          <w:color w:val="000000" w:themeColor="text1"/>
        </w:rPr>
        <w:t>Por la cual se adoptan los documentos tipo complementarios para los procesos de licitación de obra pública de infraestructura social relacionados con el sector salud</w:t>
      </w:r>
      <w:r>
        <w:rPr>
          <w:rFonts w:ascii="Verdana" w:eastAsia="Calibri" w:hAnsi="Verdana"/>
          <w:color w:val="000000" w:themeColor="text1"/>
        </w:rPr>
        <w:t>”</w:t>
      </w:r>
      <w:r w:rsidRPr="000C155E">
        <w:rPr>
          <w:rFonts w:ascii="Verdana" w:eastAsia="Calibri" w:hAnsi="Verdana"/>
          <w:color w:val="000000" w:themeColor="text1"/>
        </w:rPr>
        <w:t xml:space="preserve"> y la Resolución 454 de 2021 del 16 de diciembre de 2021, </w:t>
      </w:r>
      <w:r>
        <w:rPr>
          <w:rFonts w:ascii="Verdana" w:eastAsia="Calibri" w:hAnsi="Verdana"/>
          <w:color w:val="000000" w:themeColor="text1"/>
        </w:rPr>
        <w:t>“</w:t>
      </w:r>
      <w:r w:rsidRPr="000C155E">
        <w:rPr>
          <w:rFonts w:ascii="Verdana" w:eastAsia="Calibri" w:hAnsi="Verdana"/>
          <w:color w:val="000000" w:themeColor="text1"/>
        </w:rPr>
        <w:t xml:space="preserve">Por la cual se adoptan los documentos tipo complementarios para los procesos de licitación de obra pública de infraestructura social relacionados con el Sector </w:t>
      </w:r>
      <w:bookmarkStart w:id="2" w:name="_Hlk109652495"/>
      <w:r w:rsidRPr="000C155E">
        <w:rPr>
          <w:rFonts w:ascii="Verdana" w:eastAsia="Calibri" w:hAnsi="Verdana"/>
          <w:color w:val="000000" w:themeColor="text1"/>
        </w:rPr>
        <w:t>cultura, recreación y deporte</w:t>
      </w:r>
      <w:bookmarkEnd w:id="2"/>
      <w:r>
        <w:rPr>
          <w:rFonts w:ascii="Verdana" w:eastAsia="Calibri" w:hAnsi="Verdana"/>
          <w:color w:val="000000" w:themeColor="text1"/>
        </w:rPr>
        <w:t>”</w:t>
      </w:r>
      <w:r w:rsidRPr="000C155E">
        <w:rPr>
          <w:rFonts w:ascii="Verdana" w:eastAsia="Calibri" w:hAnsi="Verdana"/>
          <w:color w:val="000000" w:themeColor="text1"/>
        </w:rPr>
        <w:t>.</w:t>
      </w:r>
      <w:r w:rsidRPr="000C155E">
        <w:rPr>
          <w:rFonts w:ascii="Verdana" w:hAnsi="Verdana"/>
          <w:bCs/>
          <w:color w:val="000000" w:themeColor="text1"/>
          <w:lang w:eastAsia="es-ES_tradnl"/>
        </w:rPr>
        <w:t xml:space="preserve"> El ámbito de aplicación de los Documentos Tipo de infraestructura social está determinado por las resoluciones mediante las cuales se implementan los documentos complementarios y que desarrollan las matrices de experiencia y los glosarios que definirán concretamente cada sector y que precisan de forma detallada su ámbito de aplicación. </w:t>
      </w:r>
    </w:p>
    <w:p w14:paraId="659A548F" w14:textId="77777777" w:rsidR="00001900" w:rsidRPr="000C155E" w:rsidRDefault="00001900" w:rsidP="00001900">
      <w:pPr>
        <w:pStyle w:val="Prrafodelista"/>
        <w:spacing w:line="276" w:lineRule="auto"/>
        <w:jc w:val="both"/>
        <w:rPr>
          <w:rFonts w:ascii="Verdana" w:eastAsia="Calibri" w:hAnsi="Verdana" w:cs="Arial"/>
          <w:color w:val="000000" w:themeColor="text1"/>
        </w:rPr>
      </w:pPr>
    </w:p>
    <w:p w14:paraId="6CAACD5C" w14:textId="77777777" w:rsidR="00001900" w:rsidRDefault="00001900" w:rsidP="00001900">
      <w:pPr>
        <w:pStyle w:val="Prrafodelista"/>
        <w:numPr>
          <w:ilvl w:val="0"/>
          <w:numId w:val="2"/>
        </w:numPr>
        <w:spacing w:after="0" w:line="276" w:lineRule="auto"/>
        <w:jc w:val="both"/>
        <w:rPr>
          <w:rFonts w:ascii="Verdana" w:eastAsia="Calibri" w:hAnsi="Verdana" w:cs="Arial"/>
          <w:color w:val="000000" w:themeColor="text1"/>
        </w:rPr>
      </w:pPr>
      <w:r w:rsidRPr="000C155E">
        <w:rPr>
          <w:rFonts w:ascii="Verdana" w:hAnsi="Verdana" w:cs="Arial"/>
          <w:color w:val="000000" w:themeColor="text1"/>
        </w:rPr>
        <w:t>Explicado lo anterior, es necesario establecer qu</w:t>
      </w:r>
      <w:r>
        <w:rPr>
          <w:rFonts w:ascii="Verdana" w:hAnsi="Verdana" w:cs="Arial"/>
          <w:color w:val="000000" w:themeColor="text1"/>
        </w:rPr>
        <w:t>é</w:t>
      </w:r>
      <w:r w:rsidRPr="000C155E">
        <w:rPr>
          <w:rFonts w:ascii="Verdana" w:hAnsi="Verdana" w:cs="Arial"/>
          <w:color w:val="000000" w:themeColor="text1"/>
        </w:rPr>
        <w:t xml:space="preserve"> se entiende por </w:t>
      </w:r>
      <w:r>
        <w:rPr>
          <w:rFonts w:ascii="Verdana" w:hAnsi="Verdana" w:cs="Arial"/>
          <w:i/>
          <w:iCs/>
          <w:color w:val="000000" w:themeColor="text1"/>
        </w:rPr>
        <w:t>Pista de BMX</w:t>
      </w:r>
      <w:r w:rsidRPr="000C155E">
        <w:rPr>
          <w:rFonts w:ascii="Verdana" w:hAnsi="Verdana" w:cs="Arial"/>
          <w:i/>
          <w:iCs/>
          <w:color w:val="000000" w:themeColor="text1"/>
        </w:rPr>
        <w:t xml:space="preserve">. </w:t>
      </w:r>
      <w:r w:rsidRPr="000C155E">
        <w:rPr>
          <w:rFonts w:ascii="Verdana" w:hAnsi="Verdana" w:cs="Arial"/>
          <w:color w:val="000000" w:themeColor="text1"/>
        </w:rPr>
        <w:t xml:space="preserve">Al respecto, </w:t>
      </w:r>
      <w:r>
        <w:rPr>
          <w:rFonts w:ascii="Verdana" w:hAnsi="Verdana" w:cs="Arial"/>
          <w:color w:val="000000" w:themeColor="text1"/>
        </w:rPr>
        <w:t xml:space="preserve">el “Anexo – Glosario” de los Documentos Tipo complementarios para los procesos de licitación </w:t>
      </w:r>
      <w:r w:rsidRPr="00520747">
        <w:rPr>
          <w:rFonts w:ascii="Verdana" w:hAnsi="Verdana" w:cs="Arial"/>
          <w:color w:val="000000" w:themeColor="text1"/>
        </w:rPr>
        <w:t>de obra pública de infraestructura social relacionados con el sector cultura, recreación y deporte</w:t>
      </w:r>
      <w:r>
        <w:rPr>
          <w:rFonts w:ascii="Verdana" w:hAnsi="Verdana" w:cs="Arial"/>
          <w:color w:val="000000" w:themeColor="text1"/>
        </w:rPr>
        <w:t xml:space="preserve"> contempla la definición de </w:t>
      </w:r>
      <w:r w:rsidRPr="00521ABA">
        <w:rPr>
          <w:rFonts w:ascii="Verdana" w:hAnsi="Verdana" w:cs="Arial"/>
          <w:i/>
          <w:iCs/>
          <w:color w:val="000000" w:themeColor="text1"/>
        </w:rPr>
        <w:t>Pistas</w:t>
      </w:r>
      <w:r>
        <w:rPr>
          <w:rFonts w:ascii="Verdana" w:eastAsia="Calibri" w:hAnsi="Verdana" w:cs="Arial"/>
          <w:color w:val="000000" w:themeColor="text1"/>
        </w:rPr>
        <w:t xml:space="preserve"> </w:t>
      </w:r>
      <w:r>
        <w:rPr>
          <w:rFonts w:ascii="Verdana" w:hAnsi="Verdana" w:cs="Arial"/>
          <w:color w:val="000000" w:themeColor="text1"/>
        </w:rPr>
        <w:t xml:space="preserve">en el numeral 2.80, </w:t>
      </w:r>
      <w:r>
        <w:rPr>
          <w:rFonts w:ascii="Verdana" w:eastAsia="Calibri" w:hAnsi="Verdana" w:cs="Arial"/>
          <w:color w:val="000000" w:themeColor="text1"/>
        </w:rPr>
        <w:t>en los siguientes términos:</w:t>
      </w:r>
    </w:p>
    <w:p w14:paraId="6F953356" w14:textId="77777777" w:rsidR="00001900" w:rsidRPr="00521ABA" w:rsidRDefault="00001900" w:rsidP="00001900">
      <w:pPr>
        <w:pStyle w:val="Prrafodelista"/>
        <w:ind w:right="680"/>
        <w:rPr>
          <w:rFonts w:ascii="Verdana" w:eastAsia="Calibri" w:hAnsi="Verdana" w:cs="Arial"/>
          <w:color w:val="000000" w:themeColor="text1"/>
        </w:rPr>
      </w:pPr>
    </w:p>
    <w:p w14:paraId="49DF6041" w14:textId="77777777" w:rsidR="00001900" w:rsidRPr="003E470D" w:rsidRDefault="00001900" w:rsidP="00001900">
      <w:pPr>
        <w:spacing w:after="0" w:line="240" w:lineRule="auto"/>
        <w:ind w:left="1247" w:right="680"/>
        <w:jc w:val="both"/>
        <w:rPr>
          <w:rFonts w:ascii="Verdana" w:eastAsia="Arial" w:hAnsi="Verdana" w:cs="Arial"/>
          <w:b/>
          <w:bCs/>
          <w:sz w:val="20"/>
        </w:rPr>
      </w:pPr>
      <w:r>
        <w:rPr>
          <w:rFonts w:ascii="Verdana" w:eastAsia="Arial" w:hAnsi="Verdana" w:cs="Arial"/>
          <w:b/>
          <w:bCs/>
          <w:sz w:val="20"/>
        </w:rPr>
        <w:t>“</w:t>
      </w:r>
      <w:r w:rsidRPr="003E470D">
        <w:rPr>
          <w:rFonts w:ascii="Verdana" w:eastAsia="Arial" w:hAnsi="Verdana" w:cs="Arial"/>
          <w:b/>
          <w:bCs/>
          <w:sz w:val="20"/>
        </w:rPr>
        <w:t>2.80. Pistas:</w:t>
      </w:r>
      <w:r w:rsidRPr="003E470D">
        <w:rPr>
          <w:rFonts w:ascii="Verdana" w:eastAsia="Arial" w:hAnsi="Verdana" w:cs="Arial"/>
          <w:sz w:val="20"/>
        </w:rPr>
        <w:t xml:space="preserve"> </w:t>
      </w:r>
      <w:bookmarkStart w:id="3" w:name="_Hlk177410802"/>
      <w:r w:rsidRPr="003E470D">
        <w:rPr>
          <w:rFonts w:ascii="Verdana" w:eastAsia="Arial" w:hAnsi="Verdana" w:cs="Arial"/>
          <w:sz w:val="20"/>
        </w:rPr>
        <w:t>Instalaciones deportivas de carácter exclusivo para deportes de velocidad, usadas para la práctica, formación y/o competencia, que exigen grandes áreas para su desarrollo</w:t>
      </w:r>
      <w:bookmarkEnd w:id="3"/>
      <w:r w:rsidRPr="003E470D">
        <w:rPr>
          <w:rFonts w:ascii="Verdana" w:eastAsia="Arial" w:hAnsi="Verdana" w:cs="Arial"/>
          <w:sz w:val="20"/>
        </w:rPr>
        <w:t xml:space="preserve">. Las pistas pueden ser al aire libre o cubiertas, conformando un circuito con características muy precisas, definidas por las federaciones que </w:t>
      </w:r>
      <w:r w:rsidRPr="003E470D">
        <w:rPr>
          <w:rFonts w:ascii="Verdana" w:eastAsia="Arial" w:hAnsi="Verdana" w:cs="Arial"/>
          <w:sz w:val="20"/>
        </w:rPr>
        <w:lastRenderedPageBreak/>
        <w:t>incluyen la superficie de competencia, medidas del circuito, iluminación y condiciones de seguridad.</w:t>
      </w:r>
      <w:r>
        <w:rPr>
          <w:rFonts w:ascii="Verdana" w:eastAsia="Arial" w:hAnsi="Verdana" w:cs="Arial"/>
          <w:sz w:val="20"/>
        </w:rPr>
        <w:t>”</w:t>
      </w:r>
    </w:p>
    <w:p w14:paraId="197C7AC0" w14:textId="77777777" w:rsidR="00001900" w:rsidRPr="00B4249E" w:rsidRDefault="00001900" w:rsidP="00001900">
      <w:pPr>
        <w:pStyle w:val="Prrafodelista"/>
        <w:spacing w:after="0" w:line="276" w:lineRule="auto"/>
        <w:ind w:leftChars="1247" w:left="2743"/>
        <w:jc w:val="both"/>
        <w:rPr>
          <w:rFonts w:ascii="Verdana" w:eastAsia="Calibri" w:hAnsi="Verdana" w:cs="Arial"/>
          <w:color w:val="000000" w:themeColor="text1"/>
        </w:rPr>
      </w:pPr>
      <w:r w:rsidRPr="00521ABA">
        <w:rPr>
          <w:rFonts w:ascii="Verdana" w:eastAsia="Calibri" w:hAnsi="Verdana" w:cs="Arial"/>
          <w:color w:val="000000" w:themeColor="text1"/>
        </w:rPr>
        <w:t xml:space="preserve"> </w:t>
      </w:r>
    </w:p>
    <w:p w14:paraId="577DE91F" w14:textId="77777777" w:rsidR="00001900" w:rsidRPr="00B4249E" w:rsidRDefault="00001900" w:rsidP="00001900">
      <w:pPr>
        <w:pStyle w:val="Prrafodelista"/>
        <w:rPr>
          <w:rFonts w:ascii="Verdana" w:hAnsi="Verdana" w:cs="Arial"/>
          <w:color w:val="000000" w:themeColor="text1"/>
        </w:rPr>
      </w:pPr>
    </w:p>
    <w:p w14:paraId="14652E25" w14:textId="77777777" w:rsidR="00001900" w:rsidRPr="007C7DE9" w:rsidRDefault="00001900" w:rsidP="00001900">
      <w:pPr>
        <w:pStyle w:val="Prrafodelista"/>
        <w:numPr>
          <w:ilvl w:val="0"/>
          <w:numId w:val="2"/>
        </w:numPr>
        <w:spacing w:after="0" w:line="276" w:lineRule="auto"/>
        <w:jc w:val="both"/>
        <w:rPr>
          <w:rFonts w:ascii="Verdana" w:eastAsia="Calibri" w:hAnsi="Verdana" w:cs="Arial"/>
          <w:color w:val="000000" w:themeColor="text1"/>
        </w:rPr>
      </w:pPr>
      <w:r w:rsidRPr="007C7DE9">
        <w:rPr>
          <w:rFonts w:ascii="Verdana" w:hAnsi="Verdana" w:cs="Arial"/>
          <w:color w:val="000000" w:themeColor="text1"/>
        </w:rPr>
        <w:t xml:space="preserve">Si bien no se trata de la definición concreta de </w:t>
      </w:r>
      <w:r w:rsidRPr="007C7DE9">
        <w:rPr>
          <w:rFonts w:ascii="Verdana" w:hAnsi="Verdana" w:cs="Arial"/>
          <w:i/>
          <w:iCs/>
          <w:color w:val="000000" w:themeColor="text1"/>
        </w:rPr>
        <w:t>Pista de BMX</w:t>
      </w:r>
      <w:r w:rsidRPr="007C7DE9">
        <w:rPr>
          <w:rFonts w:ascii="Verdana" w:hAnsi="Verdana" w:cs="Arial"/>
          <w:color w:val="000000" w:themeColor="text1"/>
        </w:rPr>
        <w:t xml:space="preserve">, es posible afirmar que la definición genérica de </w:t>
      </w:r>
      <w:r w:rsidRPr="007C7DE9">
        <w:rPr>
          <w:rFonts w:ascii="Verdana" w:hAnsi="Verdana" w:cs="Arial"/>
          <w:i/>
          <w:iCs/>
          <w:color w:val="000000" w:themeColor="text1"/>
        </w:rPr>
        <w:t>Pistas</w:t>
      </w:r>
      <w:r w:rsidRPr="007C7DE9">
        <w:rPr>
          <w:rFonts w:ascii="Verdana" w:hAnsi="Verdana" w:cs="Arial"/>
          <w:color w:val="000000" w:themeColor="text1"/>
        </w:rPr>
        <w:t xml:space="preserve"> abarca diferentes tipos, tales como pistas de atletismo, pistas de patinaje o patidrónomos e incluso, pistas de ciclismo o BMX, en razón a que la definición contemplada en el numeral 2.80. hace alusión al fin o propósito de la estructura (</w:t>
      </w:r>
      <w:r w:rsidRPr="007C7DE9">
        <w:rPr>
          <w:rFonts w:ascii="Verdana" w:hAnsi="Verdana" w:cs="Arial"/>
          <w:i/>
          <w:iCs/>
          <w:color w:val="000000" w:themeColor="text1"/>
        </w:rPr>
        <w:t>Instalaciones deportivas de carácter exclusivo para deportes de velocidad, usadas para la práctica, formación y/o competencia, que exigen grandes áreas para su desarrollo</w:t>
      </w:r>
      <w:r w:rsidRPr="007C7DE9">
        <w:rPr>
          <w:rFonts w:ascii="Verdana" w:hAnsi="Verdana" w:cs="Arial"/>
          <w:color w:val="000000" w:themeColor="text1"/>
        </w:rPr>
        <w:t>) y las características esenciales y particulares de conformidad con la especialidad del tipo de actividad deportiva (</w:t>
      </w:r>
      <w:r w:rsidRPr="007C7DE9">
        <w:rPr>
          <w:rFonts w:ascii="Verdana" w:hAnsi="Verdana" w:cs="Arial"/>
          <w:i/>
          <w:iCs/>
          <w:color w:val="000000" w:themeColor="text1"/>
        </w:rPr>
        <w:t>Las pistas pueden ser al aire libre o cubiertas, conformando un circuito con características muy precisas, definidas por las federaciones que incluyen la superficie de competencia, medidas del circuito, iluminación y condiciones de seguridad</w:t>
      </w:r>
      <w:r w:rsidRPr="007C7DE9">
        <w:rPr>
          <w:rFonts w:ascii="Verdana" w:hAnsi="Verdana" w:cs="Arial"/>
          <w:color w:val="000000" w:themeColor="text1"/>
        </w:rPr>
        <w:t xml:space="preserve">). </w:t>
      </w:r>
    </w:p>
    <w:p w14:paraId="08A7F9CB" w14:textId="77777777" w:rsidR="00001900" w:rsidRPr="00593A5F" w:rsidRDefault="00001900" w:rsidP="00001900">
      <w:pPr>
        <w:pStyle w:val="Prrafodelista"/>
        <w:spacing w:line="276" w:lineRule="auto"/>
        <w:rPr>
          <w:rFonts w:ascii="Verdana" w:hAnsi="Verdana" w:cs="Arial"/>
        </w:rPr>
      </w:pPr>
    </w:p>
    <w:p w14:paraId="2F2684A3" w14:textId="77777777" w:rsidR="00001900" w:rsidRPr="00671152" w:rsidRDefault="00001900" w:rsidP="00001900">
      <w:pPr>
        <w:pStyle w:val="Prrafodelista"/>
        <w:numPr>
          <w:ilvl w:val="0"/>
          <w:numId w:val="2"/>
        </w:numPr>
        <w:spacing w:after="0" w:line="276" w:lineRule="auto"/>
        <w:jc w:val="both"/>
        <w:rPr>
          <w:rFonts w:ascii="Verdana" w:hAnsi="Verdana" w:cs="Arial"/>
        </w:rPr>
      </w:pPr>
      <w:r>
        <w:rPr>
          <w:rFonts w:ascii="Verdana" w:hAnsi="Verdana" w:cs="Arial"/>
        </w:rPr>
        <w:t>De igual manera dentro del numeral 2 del Anexo – Glosario del sector de cultura, recreación y deporte, se define</w:t>
      </w:r>
      <w:r w:rsidRPr="00DD25DF">
        <w:rPr>
          <w:rFonts w:ascii="Verdana" w:hAnsi="Verdana" w:cs="Arial"/>
        </w:rPr>
        <w:t xml:space="preserve">: </w:t>
      </w:r>
      <w:r w:rsidRPr="00DD25DF">
        <w:rPr>
          <w:rFonts w:ascii="Verdana" w:hAnsi="Verdana" w:cs="Arial"/>
          <w:i/>
          <w:iCs/>
        </w:rPr>
        <w:t>[La Entidad deberá incluir en orden alfabético los conceptos adicionales que aplican al Proceso de Contratación, que no estén incorporados en el presente anexo y que se encuentren relacionados en la normatividad aplicable, así como los términos y conceptos definidos en el Decreto 1077 de 2015 y demás normatividad y legislación que la modifique, regule o derogue, y demás normativa vigente en la materia, así como la NSR 10, entre otras.</w:t>
      </w:r>
      <w:r w:rsidRPr="00671152">
        <w:rPr>
          <w:rFonts w:ascii="Verdana" w:hAnsi="Verdana" w:cs="Arial"/>
        </w:rPr>
        <w:t>]</w:t>
      </w:r>
      <w:r>
        <w:rPr>
          <w:rFonts w:ascii="Verdana" w:hAnsi="Verdana" w:cs="Arial"/>
        </w:rPr>
        <w:t xml:space="preserve">, así las cosas la Norma sismorresistente – NSR10, en su numeral K.2.7.2. define el subgrupo de ocupación de lugares de reunión deportivos, (L-1) donde incluye entre otros en su tabla K.2.7.1. las pistas dentro de la clasificación de edificaciones o espacios utilizados para la realización de cualquier tipo de deporte. </w:t>
      </w:r>
    </w:p>
    <w:p w14:paraId="73BB3B47" w14:textId="77777777" w:rsidR="00001900" w:rsidRPr="00671152" w:rsidRDefault="00001900" w:rsidP="00001900">
      <w:pPr>
        <w:pStyle w:val="Prrafodelista"/>
        <w:rPr>
          <w:rFonts w:ascii="Verdana" w:hAnsi="Verdana" w:cs="Arial"/>
        </w:rPr>
      </w:pPr>
    </w:p>
    <w:p w14:paraId="70DDF95E" w14:textId="77777777" w:rsidR="00001900" w:rsidRPr="00501710" w:rsidRDefault="00001900" w:rsidP="00001900">
      <w:pPr>
        <w:pStyle w:val="Prrafodelista"/>
        <w:numPr>
          <w:ilvl w:val="0"/>
          <w:numId w:val="2"/>
        </w:numPr>
        <w:spacing w:after="0" w:line="276" w:lineRule="auto"/>
        <w:jc w:val="both"/>
        <w:rPr>
          <w:rFonts w:ascii="Verdana" w:eastAsia="Calibri" w:hAnsi="Verdana" w:cs="Arial"/>
          <w:color w:val="7030A0"/>
        </w:rPr>
      </w:pPr>
      <w:r w:rsidRPr="00593A5F">
        <w:rPr>
          <w:rFonts w:ascii="Verdana" w:hAnsi="Verdana" w:cs="Arial"/>
        </w:rPr>
        <w:t xml:space="preserve">Teniendo en cuenta el concepto de </w:t>
      </w:r>
      <w:r w:rsidRPr="00593A5F">
        <w:rPr>
          <w:rFonts w:ascii="Verdana" w:hAnsi="Verdana" w:cs="Arial"/>
          <w:i/>
          <w:iCs/>
          <w:color w:val="000000" w:themeColor="text1"/>
          <w:lang w:eastAsia="es-ES_tradnl"/>
        </w:rPr>
        <w:t>P</w:t>
      </w:r>
      <w:r>
        <w:rPr>
          <w:rFonts w:ascii="Verdana" w:hAnsi="Verdana" w:cs="Arial"/>
          <w:i/>
          <w:iCs/>
          <w:color w:val="000000" w:themeColor="text1"/>
          <w:lang w:eastAsia="es-ES_tradnl"/>
        </w:rPr>
        <w:t>istas</w:t>
      </w:r>
      <w:r w:rsidRPr="00593A5F">
        <w:rPr>
          <w:rFonts w:ascii="Verdana" w:hAnsi="Verdana" w:cs="Arial"/>
        </w:rPr>
        <w:t xml:space="preserve"> antes </w:t>
      </w:r>
      <w:r>
        <w:rPr>
          <w:rFonts w:ascii="Verdana" w:hAnsi="Verdana" w:cs="Arial"/>
        </w:rPr>
        <w:t xml:space="preserve">citado y habiendo dejado claro que el tipo de infraestructura corresponde a la definición del numeral 2.80. en el “Anexo – Glosario” </w:t>
      </w:r>
      <w:r>
        <w:rPr>
          <w:rFonts w:ascii="Verdana" w:hAnsi="Verdana" w:cs="Arial"/>
          <w:color w:val="000000" w:themeColor="text1"/>
        </w:rPr>
        <w:t xml:space="preserve">del Documento Tipo complementario para los procesos de licitación </w:t>
      </w:r>
      <w:r w:rsidRPr="00520747">
        <w:rPr>
          <w:rFonts w:ascii="Verdana" w:hAnsi="Verdana" w:cs="Arial"/>
          <w:color w:val="000000" w:themeColor="text1"/>
        </w:rPr>
        <w:t>de obra pública de infraestructura social</w:t>
      </w:r>
      <w:r>
        <w:rPr>
          <w:rFonts w:ascii="Verdana" w:hAnsi="Verdana" w:cs="Arial"/>
          <w:color w:val="000000" w:themeColor="text1"/>
        </w:rPr>
        <w:t>,</w:t>
      </w:r>
      <w:r w:rsidRPr="00520747">
        <w:rPr>
          <w:rFonts w:ascii="Verdana" w:hAnsi="Verdana" w:cs="Arial"/>
          <w:color w:val="000000" w:themeColor="text1"/>
        </w:rPr>
        <w:t xml:space="preserve"> relacionados con el sector cultura, recreación y deporte</w:t>
      </w:r>
      <w:r>
        <w:rPr>
          <w:rFonts w:ascii="Verdana" w:hAnsi="Verdana" w:cs="Arial"/>
          <w:color w:val="000000" w:themeColor="text1"/>
        </w:rPr>
        <w:t>, y que está enmarcado también dentro de la NSR-10, es necesario</w:t>
      </w:r>
      <w:r>
        <w:rPr>
          <w:rFonts w:ascii="Verdana" w:hAnsi="Verdana" w:cs="Arial"/>
        </w:rPr>
        <w:t xml:space="preserve"> establecer</w:t>
      </w:r>
      <w:r w:rsidRPr="00593A5F">
        <w:rPr>
          <w:rFonts w:ascii="Verdana" w:hAnsi="Verdana" w:cs="Arial"/>
        </w:rPr>
        <w:t xml:space="preserve"> el ámbito de aplicación de los Documentos Tipo trasversales de obra pública </w:t>
      </w:r>
      <w:r w:rsidRPr="00593A5F">
        <w:rPr>
          <w:rFonts w:ascii="Verdana" w:hAnsi="Verdana" w:cs="Arial"/>
        </w:rPr>
        <w:lastRenderedPageBreak/>
        <w:t>de infraestructura social</w:t>
      </w:r>
      <w:r>
        <w:rPr>
          <w:rFonts w:ascii="Verdana" w:hAnsi="Verdana" w:cs="Arial"/>
        </w:rPr>
        <w:t>, en consideración a la modalidad de selección definida por la entidad estatal contratante, el tipo de obra y las actividades</w:t>
      </w:r>
      <w:r w:rsidRPr="00593A5F">
        <w:rPr>
          <w:rFonts w:ascii="Verdana" w:hAnsi="Verdana" w:cs="Arial"/>
        </w:rPr>
        <w:t xml:space="preserve"> </w:t>
      </w:r>
      <w:r>
        <w:rPr>
          <w:rFonts w:ascii="Verdana" w:hAnsi="Verdana" w:cs="Arial"/>
        </w:rPr>
        <w:t>contenidas en la “Matriz 1 – Experiencia”</w:t>
      </w:r>
      <w:r w:rsidRPr="00593A5F">
        <w:rPr>
          <w:rFonts w:ascii="Verdana" w:hAnsi="Verdana" w:cs="Arial"/>
        </w:rPr>
        <w:t xml:space="preserve"> </w:t>
      </w:r>
      <w:r>
        <w:rPr>
          <w:rFonts w:ascii="Verdana" w:hAnsi="Verdana" w:cs="Arial"/>
        </w:rPr>
        <w:t xml:space="preserve">del </w:t>
      </w:r>
      <w:r w:rsidRPr="00593A5F">
        <w:rPr>
          <w:rFonts w:ascii="Verdana" w:hAnsi="Verdana" w:cs="Arial"/>
        </w:rPr>
        <w:t xml:space="preserve">Documento Tipo complementario relacionado con </w:t>
      </w:r>
      <w:r>
        <w:rPr>
          <w:rFonts w:ascii="Verdana" w:hAnsi="Verdana" w:cs="Arial"/>
        </w:rPr>
        <w:t>el</w:t>
      </w:r>
      <w:r w:rsidRPr="00593A5F">
        <w:rPr>
          <w:rFonts w:ascii="Verdana" w:hAnsi="Verdana" w:cs="Arial"/>
        </w:rPr>
        <w:t xml:space="preserve"> sector de </w:t>
      </w:r>
      <w:r>
        <w:rPr>
          <w:rFonts w:ascii="Verdana" w:hAnsi="Verdana" w:cs="Arial"/>
        </w:rPr>
        <w:t xml:space="preserve">cultura, </w:t>
      </w:r>
      <w:r w:rsidRPr="00593A5F">
        <w:rPr>
          <w:rFonts w:ascii="Verdana" w:hAnsi="Verdana" w:cs="Arial"/>
        </w:rPr>
        <w:t>recreación y deport</w:t>
      </w:r>
      <w:r>
        <w:rPr>
          <w:rFonts w:ascii="Verdana" w:hAnsi="Verdana" w:cs="Arial"/>
        </w:rPr>
        <w:t xml:space="preserve">e. </w:t>
      </w:r>
    </w:p>
    <w:p w14:paraId="0EB47E9E" w14:textId="77777777" w:rsidR="00001900" w:rsidRPr="00501710" w:rsidRDefault="00001900" w:rsidP="00001900">
      <w:pPr>
        <w:pStyle w:val="Prrafodelista"/>
        <w:rPr>
          <w:rFonts w:ascii="Verdana" w:eastAsia="Calibri" w:hAnsi="Verdana" w:cs="Arial"/>
          <w:color w:val="7030A0"/>
        </w:rPr>
      </w:pPr>
    </w:p>
    <w:p w14:paraId="3D6A236E" w14:textId="77777777" w:rsidR="00001900" w:rsidRPr="00681148" w:rsidRDefault="00001900" w:rsidP="00001900">
      <w:pPr>
        <w:pStyle w:val="Prrafodelista"/>
        <w:numPr>
          <w:ilvl w:val="0"/>
          <w:numId w:val="2"/>
        </w:numPr>
        <w:spacing w:after="0" w:line="276" w:lineRule="auto"/>
        <w:jc w:val="both"/>
        <w:rPr>
          <w:rFonts w:ascii="Verdana" w:hAnsi="Verdana" w:cs="Arial"/>
        </w:rPr>
      </w:pPr>
      <w:r>
        <w:rPr>
          <w:rFonts w:ascii="Verdana" w:hAnsi="Verdana" w:cs="Arial"/>
        </w:rPr>
        <w:t>En ese orden, para que la aplicación, tanto de los Documentos Tipo transversales, como los complementarios del sector de cultura, recreación y deporte, donde se consagra la definición del tipo de infraestructura “</w:t>
      </w:r>
      <w:r w:rsidRPr="00605010">
        <w:rPr>
          <w:rFonts w:ascii="Verdana" w:hAnsi="Verdana" w:cs="Arial"/>
          <w:i/>
          <w:iCs/>
        </w:rPr>
        <w:t>pistas</w:t>
      </w:r>
      <w:r>
        <w:rPr>
          <w:rFonts w:ascii="Verdana" w:hAnsi="Verdana" w:cs="Arial"/>
        </w:rPr>
        <w:t xml:space="preserve">” sea obligatoria, el proyecto que la entidad estatal </w:t>
      </w:r>
      <w:r w:rsidRPr="000C155E">
        <w:rPr>
          <w:rFonts w:ascii="Verdana" w:eastAsia="Calibri" w:hAnsi="Verdana" w:cs="Arial"/>
          <w:color w:val="000000" w:themeColor="text1"/>
        </w:rPr>
        <w:t>sometida al Estatuto General de Contratación</w:t>
      </w:r>
      <w:r>
        <w:rPr>
          <w:rFonts w:ascii="Verdana" w:eastAsia="Calibri" w:hAnsi="Verdana" w:cs="Arial"/>
          <w:color w:val="000000" w:themeColor="text1"/>
        </w:rPr>
        <w:t xml:space="preserve"> pretende desarrollar deberá corresponder a la modalidad de selección de licitación pública, procedimiento contemplado en el </w:t>
      </w:r>
      <w:r w:rsidRPr="00AC0CE7">
        <w:rPr>
          <w:rFonts w:ascii="Verdana" w:eastAsia="Calibri" w:hAnsi="Verdana" w:cs="Arial"/>
          <w:color w:val="000000" w:themeColor="text1"/>
        </w:rPr>
        <w:t>numeral 1 del artículo 2 de la Ley 1150 de 2007</w:t>
      </w:r>
      <w:r>
        <w:rPr>
          <w:rFonts w:ascii="Verdana" w:eastAsia="Calibri" w:hAnsi="Verdana" w:cs="Arial"/>
          <w:color w:val="000000" w:themeColor="text1"/>
        </w:rPr>
        <w:t>, en la medida en que esta Agencia solo ha adoptado Documentos Tipo para ese tipo de infraestructura en las modalidades de licitación de obra pública y concurso de méritos para contratar las interventorías de dichas obras.</w:t>
      </w:r>
    </w:p>
    <w:p w14:paraId="2BDDF6FF" w14:textId="77777777" w:rsidR="00001900" w:rsidRPr="00681148" w:rsidRDefault="00001900" w:rsidP="00001900">
      <w:pPr>
        <w:pStyle w:val="Prrafodelista"/>
        <w:rPr>
          <w:rFonts w:ascii="Verdana" w:hAnsi="Verdana" w:cs="Arial"/>
        </w:rPr>
      </w:pPr>
    </w:p>
    <w:p w14:paraId="7D596BC6" w14:textId="77777777" w:rsidR="00001900" w:rsidRPr="00BE7D6D" w:rsidRDefault="00001900" w:rsidP="00001900">
      <w:pPr>
        <w:pStyle w:val="Prrafodelista"/>
        <w:numPr>
          <w:ilvl w:val="0"/>
          <w:numId w:val="2"/>
        </w:numPr>
        <w:spacing w:after="0" w:line="276" w:lineRule="auto"/>
        <w:jc w:val="both"/>
        <w:rPr>
          <w:rFonts w:ascii="Verdana" w:eastAsia="Times New Roman" w:hAnsi="Verdana" w:cs="Arial"/>
          <w:lang w:val="es-ES_tradnl" w:eastAsia="es-ES"/>
        </w:rPr>
      </w:pPr>
      <w:r>
        <w:rPr>
          <w:rFonts w:ascii="Verdana" w:eastAsia="Times New Roman" w:hAnsi="Verdana" w:cs="Arial"/>
          <w:lang w:val="es-ES_tradnl" w:eastAsia="es-ES"/>
        </w:rPr>
        <w:t>En ese sentido</w:t>
      </w:r>
      <w:r w:rsidRPr="0028700E">
        <w:rPr>
          <w:rFonts w:ascii="Verdana" w:eastAsia="Times New Roman" w:hAnsi="Verdana" w:cs="Arial"/>
          <w:lang w:val="es-ES_tradnl" w:eastAsia="es-ES"/>
        </w:rPr>
        <w:t xml:space="preserve">, es posible concluir que las </w:t>
      </w:r>
      <w:r w:rsidRPr="0028700E">
        <w:rPr>
          <w:rFonts w:ascii="Verdana" w:hAnsi="Verdana" w:cs="Arial"/>
          <w:i/>
          <w:iCs/>
          <w:color w:val="000000" w:themeColor="text1"/>
          <w:lang w:eastAsia="es-ES_tradnl"/>
        </w:rPr>
        <w:t>Pistas de BMX</w:t>
      </w:r>
      <w:r w:rsidRPr="0028700E">
        <w:rPr>
          <w:rFonts w:ascii="Verdana" w:hAnsi="Verdana" w:cs="Arial"/>
        </w:rPr>
        <w:t xml:space="preserve"> </w:t>
      </w:r>
      <w:r w:rsidRPr="0028700E">
        <w:rPr>
          <w:rFonts w:ascii="Verdana" w:eastAsia="Times New Roman" w:hAnsi="Verdana" w:cs="Arial"/>
          <w:lang w:val="es-ES_tradnl" w:eastAsia="es-ES"/>
        </w:rPr>
        <w:t xml:space="preserve">se encuentran incluidas en la infraestructura social que cobija el documento tipo transversal para </w:t>
      </w:r>
      <w:r w:rsidRPr="00D23DC3">
        <w:rPr>
          <w:rFonts w:ascii="Verdana" w:eastAsia="Times New Roman" w:hAnsi="Verdana" w:cs="Arial"/>
          <w:i/>
          <w:iCs/>
          <w:lang w:val="es-ES_tradnl" w:eastAsia="es-ES"/>
        </w:rPr>
        <w:t>licitación pública</w:t>
      </w:r>
      <w:r>
        <w:rPr>
          <w:rFonts w:ascii="Verdana" w:eastAsia="Times New Roman" w:hAnsi="Verdana" w:cs="Arial"/>
          <w:i/>
          <w:iCs/>
          <w:lang w:val="es-ES_tradnl" w:eastAsia="es-ES"/>
        </w:rPr>
        <w:t xml:space="preserve">, </w:t>
      </w:r>
      <w:r>
        <w:rPr>
          <w:rFonts w:ascii="Verdana" w:eastAsia="Times New Roman" w:hAnsi="Verdana" w:cs="Arial"/>
          <w:lang w:val="es-ES_tradnl" w:eastAsia="es-ES"/>
        </w:rPr>
        <w:t>integrándose en la</w:t>
      </w:r>
      <w:r w:rsidRPr="00C94324">
        <w:rPr>
          <w:rFonts w:ascii="Verdana" w:eastAsia="Times New Roman" w:hAnsi="Verdana" w:cs="Arial"/>
          <w:lang w:val="es-ES_tradnl" w:eastAsia="es-ES"/>
        </w:rPr>
        <w:t xml:space="preserve"> definición contenida en el </w:t>
      </w:r>
      <w:r>
        <w:rPr>
          <w:rFonts w:ascii="Verdana" w:eastAsia="Times New Roman" w:hAnsi="Verdana" w:cs="Arial"/>
          <w:lang w:val="es-ES_tradnl" w:eastAsia="es-ES"/>
        </w:rPr>
        <w:t>numeral 2.80. del “</w:t>
      </w:r>
      <w:r w:rsidRPr="00C94324">
        <w:rPr>
          <w:rFonts w:ascii="Verdana" w:eastAsia="Times New Roman" w:hAnsi="Verdana" w:cs="Arial"/>
          <w:lang w:val="es-ES_tradnl" w:eastAsia="es-ES"/>
        </w:rPr>
        <w:t>Anexo</w:t>
      </w:r>
      <w:r>
        <w:rPr>
          <w:rFonts w:ascii="Verdana" w:eastAsia="Times New Roman" w:hAnsi="Verdana" w:cs="Arial"/>
          <w:lang w:val="es-ES_tradnl" w:eastAsia="es-ES"/>
        </w:rPr>
        <w:t xml:space="preserve"> – </w:t>
      </w:r>
      <w:r w:rsidRPr="00C94324">
        <w:rPr>
          <w:rFonts w:ascii="Verdana" w:eastAsia="Times New Roman" w:hAnsi="Verdana" w:cs="Arial"/>
          <w:lang w:val="es-ES_tradnl" w:eastAsia="es-ES"/>
        </w:rPr>
        <w:t>Glosario</w:t>
      </w:r>
      <w:r>
        <w:rPr>
          <w:rFonts w:ascii="Verdana" w:eastAsia="Times New Roman" w:hAnsi="Verdana" w:cs="Arial"/>
          <w:lang w:val="es-ES_tradnl" w:eastAsia="es-ES"/>
        </w:rPr>
        <w:t xml:space="preserve">” de los Documentos Tipo complementarios para el sector de cultura, recreación y deporte y la NSR-10. Así mismo, se identifica la estandarización del </w:t>
      </w:r>
      <w:r w:rsidRPr="0028700E">
        <w:rPr>
          <w:rFonts w:ascii="Verdana" w:eastAsia="Times New Roman" w:hAnsi="Verdana" w:cs="Arial"/>
          <w:lang w:val="es-ES_tradnl" w:eastAsia="es-ES"/>
        </w:rPr>
        <w:t xml:space="preserve">tipo de obra </w:t>
      </w:r>
      <w:r w:rsidRPr="0028700E">
        <w:rPr>
          <w:rFonts w:ascii="Verdana" w:eastAsia="Calibri" w:hAnsi="Verdana" w:cs="Arial"/>
          <w:color w:val="000000" w:themeColor="text1"/>
        </w:rPr>
        <w:t xml:space="preserve">2. OBRAS EN INFRAESTRUCTURA RECREO DEPORTIVA </w:t>
      </w:r>
      <w:r>
        <w:rPr>
          <w:rFonts w:ascii="Verdana" w:eastAsia="Calibri" w:hAnsi="Verdana" w:cs="Arial"/>
          <w:color w:val="000000" w:themeColor="text1"/>
        </w:rPr>
        <w:t>y</w:t>
      </w:r>
      <w:r w:rsidRPr="0028700E">
        <w:rPr>
          <w:rFonts w:ascii="Verdana" w:eastAsia="Calibri" w:hAnsi="Verdana" w:cs="Arial"/>
          <w:color w:val="000000" w:themeColor="text1"/>
        </w:rPr>
        <w:t xml:space="preserve"> la actividad a contratar 2.10. PROYECTOS DE CONSTRUCCIÓN Y/O MEJORAMIENTO Y/O REHABILITACIÓN Y/O MANTENIMIENTO Y/O ADECUACIÓN Y/O REFORZAMIENTO Y/O INTERVENCIÓN DE PISTAS en la “Matriz 1 – Experiencia”. Po</w:t>
      </w:r>
      <w:r w:rsidRPr="0028700E">
        <w:rPr>
          <w:rFonts w:ascii="Verdana" w:eastAsia="Times New Roman" w:hAnsi="Verdana" w:cs="Arial"/>
          <w:lang w:val="es-ES_tradnl" w:eastAsia="es-ES"/>
        </w:rPr>
        <w:t xml:space="preserve">r tanto, las obras tendientes a su intervención y mantenimiento </w:t>
      </w:r>
      <w:r>
        <w:rPr>
          <w:rFonts w:ascii="Verdana" w:eastAsia="Times New Roman" w:hAnsi="Verdana" w:cs="Arial"/>
          <w:lang w:val="es-ES_tradnl" w:eastAsia="es-ES"/>
        </w:rPr>
        <w:t xml:space="preserve">que se pretendan desarrollar en el marco de un proceso de selección convocado a través de la modalidad de licitación pública </w:t>
      </w:r>
      <w:r w:rsidRPr="0028700E">
        <w:rPr>
          <w:rFonts w:ascii="Verdana" w:eastAsia="Times New Roman" w:hAnsi="Verdana" w:cs="Arial"/>
          <w:lang w:val="es-ES_tradnl" w:eastAsia="es-ES"/>
        </w:rPr>
        <w:t>se encuentran cobijadas por estos Documentos Tipo. De esta manera en los Procesos de Contratación que tengan por objeto este tipo de intervenciones resultará aplicable el documento tipo de licitación de obra pública expedido a través de la Resolución 219 de 2021, y el Documento Tipo complementario para el sector de cultura, recreación y deporte</w:t>
      </w:r>
      <w:r>
        <w:rPr>
          <w:rFonts w:ascii="Verdana" w:eastAsia="Times New Roman" w:hAnsi="Verdana" w:cs="Arial"/>
          <w:lang w:val="es-ES_tradnl" w:eastAsia="es-ES"/>
        </w:rPr>
        <w:t xml:space="preserve">, adoptado mediante la Resolución </w:t>
      </w:r>
      <w:r w:rsidRPr="000C155E">
        <w:rPr>
          <w:rFonts w:ascii="Verdana" w:eastAsia="Calibri" w:hAnsi="Verdana"/>
          <w:color w:val="000000" w:themeColor="text1"/>
        </w:rPr>
        <w:t>454 de 2021 del 16 de diciembre de 2021</w:t>
      </w:r>
      <w:r>
        <w:rPr>
          <w:rFonts w:ascii="Verdana" w:eastAsia="Calibri" w:hAnsi="Verdana"/>
          <w:color w:val="000000" w:themeColor="text1"/>
        </w:rPr>
        <w:t>.</w:t>
      </w:r>
    </w:p>
    <w:p w14:paraId="6A8894A5" w14:textId="77777777" w:rsidR="00001900" w:rsidRPr="00BE7D6D" w:rsidRDefault="00001900" w:rsidP="00001900">
      <w:pPr>
        <w:pStyle w:val="Prrafodelista"/>
        <w:spacing w:after="0" w:line="276" w:lineRule="auto"/>
        <w:jc w:val="both"/>
        <w:rPr>
          <w:rFonts w:ascii="Verdana" w:eastAsia="Times New Roman" w:hAnsi="Verdana" w:cs="Arial"/>
          <w:lang w:val="es-ES_tradnl" w:eastAsia="es-ES"/>
        </w:rPr>
      </w:pPr>
    </w:p>
    <w:p w14:paraId="14BB78C0" w14:textId="77777777" w:rsidR="00001900" w:rsidRDefault="00001900" w:rsidP="00001900">
      <w:pPr>
        <w:pStyle w:val="Prrafodelista"/>
        <w:numPr>
          <w:ilvl w:val="0"/>
          <w:numId w:val="2"/>
        </w:numPr>
        <w:spacing w:after="0" w:line="276" w:lineRule="auto"/>
        <w:jc w:val="both"/>
        <w:rPr>
          <w:rFonts w:ascii="Verdana" w:eastAsia="Times New Roman" w:hAnsi="Verdana" w:cs="Arial"/>
          <w:lang w:val="es-ES_tradnl" w:eastAsia="es-ES"/>
        </w:rPr>
      </w:pPr>
      <w:r w:rsidRPr="00140577">
        <w:rPr>
          <w:rFonts w:ascii="Verdana" w:eastAsia="Times New Roman" w:hAnsi="Verdana" w:cs="Arial"/>
          <w:lang w:val="es-ES_tradnl" w:eastAsia="es-ES"/>
        </w:rPr>
        <w:t>Además, la Ley 2022 de 2020 señala que los documentos tipo adoptados por la Agencia Nacional de Contratación Pública</w:t>
      </w:r>
      <w:r>
        <w:rPr>
          <w:rFonts w:ascii="Verdana" w:eastAsia="Times New Roman" w:hAnsi="Verdana" w:cs="Arial"/>
          <w:lang w:val="es-ES_tradnl" w:eastAsia="es-ES"/>
        </w:rPr>
        <w:t xml:space="preserve">, además de ser </w:t>
      </w:r>
      <w:r w:rsidRPr="00140577">
        <w:rPr>
          <w:rFonts w:ascii="Verdana" w:eastAsia="Times New Roman" w:hAnsi="Verdana" w:cs="Arial"/>
          <w:lang w:val="es-ES_tradnl" w:eastAsia="es-ES"/>
        </w:rPr>
        <w:t>de obligatorio cumplimiento por todas las entidades públicas, cuyo régimen de contratación sea el Estatuto General de la Contratación de la Administración Pública ‒EGCAP‒</w:t>
      </w:r>
      <w:r>
        <w:rPr>
          <w:rFonts w:ascii="Verdana" w:eastAsia="Times New Roman" w:hAnsi="Verdana" w:cs="Arial"/>
          <w:lang w:val="es-ES_tradnl" w:eastAsia="es-ES"/>
        </w:rPr>
        <w:t>, como se dijo arriba, dicha</w:t>
      </w:r>
      <w:r w:rsidRPr="00140577">
        <w:rPr>
          <w:rFonts w:ascii="Verdana" w:eastAsia="Times New Roman" w:hAnsi="Verdana" w:cs="Arial"/>
          <w:lang w:val="es-ES_tradnl" w:eastAsia="es-ES"/>
        </w:rPr>
        <w:t xml:space="preserve"> obligatoriedad implica que las entidades estatales tengan que adelantar los procesos de contratación bajo las condiciones establecidas en los documentos tipo que rijan para el objeto a contratar</w:t>
      </w:r>
      <w:r>
        <w:rPr>
          <w:rFonts w:ascii="Verdana" w:eastAsia="Times New Roman" w:hAnsi="Verdana" w:cs="Arial"/>
          <w:lang w:val="es-ES_tradnl" w:eastAsia="es-ES"/>
        </w:rPr>
        <w:t>,</w:t>
      </w:r>
      <w:r w:rsidRPr="00140577">
        <w:rPr>
          <w:rFonts w:ascii="Verdana" w:eastAsia="Times New Roman" w:hAnsi="Verdana" w:cs="Arial"/>
          <w:lang w:val="es-ES_tradnl" w:eastAsia="es-ES"/>
        </w:rPr>
        <w:t xml:space="preserve"> sin que puedan variarse los requisitos fijados en ellos, puesto que los documentos tipo también se caracterizan por ser inalterables, es decir, que las entidades públicas carecen de la facultad de modificarlos, con excepción de aquellos aspectos que pueden diligenciar, es decir, las descripciones que están incluidas entre corchetes y resaltadas en gris en cada uno de los documentos tipo.</w:t>
      </w:r>
      <w:r>
        <w:rPr>
          <w:rFonts w:ascii="Verdana" w:eastAsia="Times New Roman" w:hAnsi="Verdana" w:cs="Arial"/>
          <w:lang w:val="es-ES_tradnl" w:eastAsia="es-ES"/>
        </w:rPr>
        <w:t xml:space="preserve"> </w:t>
      </w:r>
    </w:p>
    <w:p w14:paraId="77142C6C" w14:textId="77777777" w:rsidR="00001900" w:rsidRPr="00552C81" w:rsidRDefault="00001900" w:rsidP="00001900">
      <w:pPr>
        <w:pStyle w:val="Prrafodelista"/>
        <w:rPr>
          <w:rFonts w:ascii="Verdana" w:eastAsia="Times New Roman" w:hAnsi="Verdana" w:cs="Arial"/>
          <w:lang w:val="es-ES_tradnl" w:eastAsia="es-ES"/>
        </w:rPr>
      </w:pPr>
    </w:p>
    <w:p w14:paraId="5BF920CC" w14:textId="77777777" w:rsidR="00001900" w:rsidRPr="00F85EA9" w:rsidRDefault="00001900" w:rsidP="00001900">
      <w:pPr>
        <w:pStyle w:val="Prrafodelista"/>
        <w:numPr>
          <w:ilvl w:val="0"/>
          <w:numId w:val="2"/>
        </w:numPr>
        <w:spacing w:after="0" w:line="276" w:lineRule="auto"/>
        <w:jc w:val="both"/>
        <w:rPr>
          <w:rFonts w:ascii="Arial" w:eastAsia="Calibri" w:hAnsi="Arial" w:cs="Arial"/>
          <w:color w:val="000000"/>
          <w:lang w:val="es-ES_tradnl"/>
        </w:rPr>
      </w:pPr>
      <w:r w:rsidRPr="00F85EA9">
        <w:rPr>
          <w:rFonts w:ascii="Verdana" w:eastAsia="Times New Roman" w:hAnsi="Verdana" w:cs="Arial"/>
          <w:lang w:val="es-ES_tradnl" w:eastAsia="es-ES"/>
        </w:rPr>
        <w:t xml:space="preserve">Esta es una regla que está consagrada en las resoluciones expedidas por la Agencia Nacional de Contratación Pública – Colombia Compra Eficiente, mediante las cuales se han adoptado los distintos documentos o pliegos tipo.  De tal manera, la inalterabilidad es una prohibición que consiste en que las entidades estatales no pueden incluir o modificar en los Documentos del Proceso las condiciones habilitantes, los factores técnicos y económicos de escogencia y los sistemas de ponderación distintos a los señalados en los documentos tipo.  </w:t>
      </w:r>
    </w:p>
    <w:p w14:paraId="7F6C0BCC" w14:textId="77777777" w:rsidR="00001900" w:rsidRPr="00F85EA9" w:rsidRDefault="00001900" w:rsidP="00001900">
      <w:pPr>
        <w:pStyle w:val="Prrafodelista"/>
        <w:spacing w:before="120" w:after="120" w:line="276" w:lineRule="auto"/>
        <w:jc w:val="both"/>
        <w:rPr>
          <w:rFonts w:ascii="Arial" w:eastAsia="Calibri" w:hAnsi="Arial" w:cs="Arial"/>
          <w:color w:val="000000"/>
          <w:lang w:val="es-ES_tradnl"/>
        </w:rPr>
      </w:pPr>
    </w:p>
    <w:p w14:paraId="6F0D7B35" w14:textId="77777777" w:rsidR="00001900" w:rsidRPr="00F85EA9" w:rsidRDefault="00001900" w:rsidP="00001900">
      <w:pPr>
        <w:pStyle w:val="Prrafodelista"/>
        <w:numPr>
          <w:ilvl w:val="0"/>
          <w:numId w:val="2"/>
        </w:numPr>
        <w:spacing w:after="0" w:line="276" w:lineRule="auto"/>
        <w:jc w:val="both"/>
        <w:rPr>
          <w:rFonts w:ascii="Verdana" w:eastAsia="Times New Roman" w:hAnsi="Verdana" w:cs="Arial"/>
          <w:lang w:val="es-ES_tradnl" w:eastAsia="es-ES"/>
        </w:rPr>
      </w:pPr>
      <w:r w:rsidRPr="00F85EA9">
        <w:rPr>
          <w:rFonts w:ascii="Verdana" w:eastAsia="Times New Roman" w:hAnsi="Verdana" w:cs="Arial"/>
          <w:lang w:val="es-ES_tradnl" w:eastAsia="es-ES"/>
        </w:rPr>
        <w:t>En consecuencia, las condiciones establecidas en los documentos tipo son de obligatorio cumplimiento para las entidades sometidas al Estatuto General de Contratación de la Administración Pública que adelanten procesos que deban regirse por su contenido, y su alcance y ámbito de aplicación está definido en las resoluciones que los adoptan dentro del sistema de compra pública.</w:t>
      </w:r>
    </w:p>
    <w:p w14:paraId="733C81E2" w14:textId="77777777" w:rsidR="00001900" w:rsidRDefault="00001900" w:rsidP="00001900">
      <w:pPr>
        <w:pStyle w:val="Prrafodelista"/>
        <w:spacing w:after="0" w:line="276" w:lineRule="auto"/>
        <w:jc w:val="both"/>
        <w:rPr>
          <w:rFonts w:ascii="Verdana" w:eastAsia="Times New Roman" w:hAnsi="Verdana" w:cs="Arial"/>
          <w:lang w:val="es-ES_tradnl" w:eastAsia="es-ES"/>
        </w:rPr>
      </w:pPr>
    </w:p>
    <w:p w14:paraId="734FAF03" w14:textId="77777777" w:rsidR="00001900" w:rsidRPr="00501710" w:rsidRDefault="00001900" w:rsidP="00001900">
      <w:pPr>
        <w:pStyle w:val="Prrafodelista"/>
        <w:numPr>
          <w:ilvl w:val="0"/>
          <w:numId w:val="2"/>
        </w:numPr>
        <w:spacing w:after="0" w:line="276" w:lineRule="auto"/>
        <w:jc w:val="both"/>
        <w:rPr>
          <w:rFonts w:ascii="Verdana" w:hAnsi="Verdana" w:cs="Arial"/>
        </w:rPr>
      </w:pPr>
      <w:r>
        <w:rPr>
          <w:rFonts w:ascii="Verdana" w:hAnsi="Verdana" w:cs="Arial"/>
          <w:lang w:val="es-ES_tradnl"/>
        </w:rPr>
        <w:t>No obstante</w:t>
      </w:r>
      <w:r>
        <w:rPr>
          <w:rFonts w:ascii="Verdana" w:hAnsi="Verdana" w:cs="Arial"/>
        </w:rPr>
        <w:t xml:space="preserve">, si el proceso de selección establecido por la entidad estatal contratante para desarrollar la obra resulta ser diferente a la licitación pública, sea una selección abreviada de menor cuantía o mínima cuantía, la aplicación del Documento Tipo no resultará obligatoria, dado que no existe en la actualidad documento tipo vigente para </w:t>
      </w:r>
      <w:r>
        <w:rPr>
          <w:rFonts w:ascii="Verdana" w:eastAsia="Calibri" w:hAnsi="Verdana" w:cs="Arial"/>
          <w:color w:val="000000" w:themeColor="text1"/>
        </w:rPr>
        <w:t xml:space="preserve">modalidades diferentes a la licitación de obra pública de obra, en este tipo de </w:t>
      </w:r>
      <w:r>
        <w:rPr>
          <w:rFonts w:ascii="Verdana" w:eastAsia="Calibri" w:hAnsi="Verdana" w:cs="Arial"/>
          <w:color w:val="000000" w:themeColor="text1"/>
        </w:rPr>
        <w:lastRenderedPageBreak/>
        <w:t>infraestructura, con excepción de aquel aplicable para las interventorías de dichas obras.</w:t>
      </w:r>
    </w:p>
    <w:p w14:paraId="52FA064B" w14:textId="77777777" w:rsidR="00001900" w:rsidRPr="005C2FA2" w:rsidRDefault="00001900" w:rsidP="00001900">
      <w:pPr>
        <w:pStyle w:val="Prrafodelista"/>
        <w:rPr>
          <w:rFonts w:ascii="Verdana" w:eastAsia="Times New Roman" w:hAnsi="Verdana" w:cs="Arial"/>
          <w:color w:val="7030A0"/>
          <w:lang w:eastAsia="es-ES"/>
        </w:rPr>
      </w:pPr>
    </w:p>
    <w:p w14:paraId="5CD03CFE" w14:textId="77777777" w:rsidR="00001900" w:rsidRPr="005C2FA2" w:rsidRDefault="00001900" w:rsidP="00001900">
      <w:pPr>
        <w:pStyle w:val="Prrafodelista"/>
        <w:numPr>
          <w:ilvl w:val="0"/>
          <w:numId w:val="2"/>
        </w:numPr>
        <w:spacing w:after="0" w:line="276" w:lineRule="auto"/>
        <w:jc w:val="both"/>
        <w:rPr>
          <w:rFonts w:ascii="Verdana" w:eastAsia="Calibri" w:hAnsi="Verdana" w:cs="Arial"/>
          <w:color w:val="7030A0"/>
        </w:rPr>
      </w:pPr>
      <w:r w:rsidRPr="000130FD">
        <w:rPr>
          <w:rFonts w:ascii="Verdana" w:eastAsia="Times New Roman" w:hAnsi="Verdana" w:cs="Arial"/>
          <w:color w:val="000000" w:themeColor="text1"/>
          <w:lang w:eastAsia="es-ES"/>
        </w:rPr>
        <w:t xml:space="preserve">Sin perjuicio de lo anterior debe advertirse que el análisis requerido para establecer si a determinado objeto contractual le aplica o no un documento tipo debe ser realizado por la entidad contratante en consideración a las particularidades y especificaciones del respectivo objeto contractual, de acuerdo con lo explicado </w:t>
      </w:r>
      <w:r w:rsidRPr="000130FD">
        <w:rPr>
          <w:rFonts w:ascii="Verdana" w:eastAsia="Times New Roman" w:hAnsi="Verdana" w:cs="Arial"/>
          <w:i/>
          <w:iCs/>
          <w:color w:val="000000" w:themeColor="text1"/>
          <w:lang w:eastAsia="es-ES"/>
        </w:rPr>
        <w:t>supra</w:t>
      </w:r>
      <w:r w:rsidRPr="000130FD">
        <w:rPr>
          <w:rFonts w:ascii="Verdana" w:eastAsia="Times New Roman" w:hAnsi="Verdana" w:cs="Arial"/>
          <w:color w:val="000000" w:themeColor="text1"/>
          <w:lang w:eastAsia="es-ES"/>
        </w:rPr>
        <w:t xml:space="preserve">. De esta manera, lo explicado en el presente concepto no puede ser interpretado como un pronunciamiento respecto del objeto contractual aludido en la petición, ni las afirmaciones aquí realizadas pueden ser interpretadas como juicios de valor sobre circunstancias relacionadas con los hechos que motivan la petición. </w:t>
      </w:r>
    </w:p>
    <w:p w14:paraId="3BC0BCA2" w14:textId="77777777" w:rsidR="00001900" w:rsidRPr="00593A5F" w:rsidRDefault="00001900" w:rsidP="00001900">
      <w:pPr>
        <w:widowControl w:val="0"/>
        <w:autoSpaceDE w:val="0"/>
        <w:autoSpaceDN w:val="0"/>
        <w:spacing w:after="0" w:line="276" w:lineRule="auto"/>
        <w:jc w:val="both"/>
        <w:rPr>
          <w:rFonts w:ascii="Verdana" w:hAnsi="Verdana" w:cs="Arial"/>
        </w:rPr>
      </w:pPr>
    </w:p>
    <w:p w14:paraId="6C115CF4" w14:textId="77777777" w:rsidR="00001900" w:rsidRPr="00593A5F" w:rsidRDefault="00001900" w:rsidP="00001900">
      <w:pPr>
        <w:pStyle w:val="Prrafodelista"/>
        <w:numPr>
          <w:ilvl w:val="0"/>
          <w:numId w:val="4"/>
        </w:numPr>
        <w:tabs>
          <w:tab w:val="left" w:pos="142"/>
          <w:tab w:val="left" w:pos="284"/>
        </w:tabs>
        <w:spacing w:after="0" w:line="276" w:lineRule="auto"/>
        <w:ind w:left="0" w:firstLine="0"/>
        <w:contextualSpacing w:val="0"/>
        <w:jc w:val="both"/>
        <w:rPr>
          <w:rFonts w:ascii="Verdana" w:eastAsia="Century Gothic" w:hAnsi="Verdana" w:cs="Century Gothic"/>
          <w:b/>
          <w:bCs/>
        </w:rPr>
      </w:pPr>
      <w:r w:rsidRPr="00593A5F">
        <w:rPr>
          <w:rFonts w:ascii="Verdana" w:eastAsia="Century Gothic" w:hAnsi="Verdana" w:cs="Century Gothic"/>
          <w:b/>
          <w:bCs/>
        </w:rPr>
        <w:t>Referencias normativas, jurisprudenciales y otras fuentes:</w:t>
      </w:r>
    </w:p>
    <w:p w14:paraId="7127EF21" w14:textId="77777777" w:rsidR="00001900" w:rsidRPr="00593A5F" w:rsidRDefault="00001900" w:rsidP="00001900">
      <w:pPr>
        <w:widowControl w:val="0"/>
        <w:autoSpaceDE w:val="0"/>
        <w:autoSpaceDN w:val="0"/>
        <w:spacing w:after="0" w:line="276" w:lineRule="auto"/>
        <w:jc w:val="both"/>
        <w:rPr>
          <w:rFonts w:ascii="Verdana" w:hAnsi="Verdana" w:cs="Arial"/>
        </w:rPr>
      </w:pPr>
    </w:p>
    <w:tbl>
      <w:tblPr>
        <w:tblStyle w:val="Tablaconcuadrcula"/>
        <w:tblW w:w="8647"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647"/>
      </w:tblGrid>
      <w:tr w:rsidR="00001900" w:rsidRPr="00593A5F" w14:paraId="11011869" w14:textId="77777777" w:rsidTr="009366A6">
        <w:trPr>
          <w:trHeight w:val="870"/>
        </w:trPr>
        <w:tc>
          <w:tcPr>
            <w:tcW w:w="8647" w:type="dxa"/>
          </w:tcPr>
          <w:p w14:paraId="240DB3CF" w14:textId="77777777" w:rsidR="00001900" w:rsidRPr="003E470D" w:rsidRDefault="00001900" w:rsidP="00001900">
            <w:pPr>
              <w:pStyle w:val="Prrafodelista"/>
              <w:widowControl w:val="0"/>
              <w:numPr>
                <w:ilvl w:val="0"/>
                <w:numId w:val="3"/>
              </w:numPr>
              <w:autoSpaceDE w:val="0"/>
              <w:autoSpaceDN w:val="0"/>
              <w:spacing w:after="120" w:line="276" w:lineRule="auto"/>
              <w:jc w:val="both"/>
              <w:rPr>
                <w:rFonts w:ascii="Verdana" w:hAnsi="Verdana" w:cs="Arial"/>
                <w:color w:val="000000" w:themeColor="text1"/>
              </w:rPr>
            </w:pPr>
            <w:r w:rsidRPr="003E470D">
              <w:rPr>
                <w:rFonts w:ascii="Verdana" w:hAnsi="Verdana" w:cs="Arial"/>
                <w:color w:val="000000" w:themeColor="text1"/>
              </w:rPr>
              <w:t xml:space="preserve">Ley 2022 de 2020, artículo 1. </w:t>
            </w:r>
          </w:p>
          <w:p w14:paraId="3CB7D88D" w14:textId="77777777" w:rsidR="00001900" w:rsidRPr="00340039" w:rsidRDefault="00001900" w:rsidP="00001900">
            <w:pPr>
              <w:pStyle w:val="Prrafodelista"/>
              <w:widowControl w:val="0"/>
              <w:numPr>
                <w:ilvl w:val="0"/>
                <w:numId w:val="3"/>
              </w:numPr>
              <w:autoSpaceDE w:val="0"/>
              <w:autoSpaceDN w:val="0"/>
              <w:spacing w:after="120" w:line="276" w:lineRule="auto"/>
              <w:contextualSpacing w:val="0"/>
              <w:jc w:val="both"/>
              <w:rPr>
                <w:rFonts w:ascii="Verdana" w:hAnsi="Verdana" w:cs="Arial"/>
                <w:color w:val="7030A0"/>
              </w:rPr>
            </w:pPr>
            <w:r w:rsidRPr="003E470D">
              <w:rPr>
                <w:rFonts w:ascii="Verdana" w:hAnsi="Verdana" w:cs="Arial"/>
                <w:color w:val="000000" w:themeColor="text1"/>
              </w:rPr>
              <w:t xml:space="preserve">Resolución </w:t>
            </w:r>
            <w:r w:rsidRPr="003E470D">
              <w:rPr>
                <w:rFonts w:ascii="Verdana" w:eastAsia="Times New Roman" w:hAnsi="Verdana" w:cs="Arial"/>
                <w:color w:val="000000" w:themeColor="text1"/>
                <w:lang w:val="es-ES_tradnl" w:eastAsia="es-ES"/>
              </w:rPr>
              <w:t xml:space="preserve">219 de 2021 de la Agencia Nacional de Contratación Pública–Colombia Compra Eficiente–. Disponible en: </w:t>
            </w:r>
            <w:hyperlink r:id="rId14" w:history="1">
              <w:r w:rsidRPr="003705EA">
                <w:rPr>
                  <w:rStyle w:val="Hipervnculo"/>
                  <w:rFonts w:ascii="Verdana" w:eastAsia="Times New Roman" w:hAnsi="Verdana" w:cs="Arial"/>
                  <w:lang w:val="es-ES_tradnl" w:eastAsia="es-ES"/>
                </w:rPr>
                <w:t>https://www.colombiacompra.gov.co/content/04-documentos-tipo-de-licitacion-de-obra-publica-para-proyectos-de-infraestructura-social</w:t>
              </w:r>
            </w:hyperlink>
            <w:r>
              <w:rPr>
                <w:rFonts w:ascii="Verdana" w:eastAsia="Times New Roman" w:hAnsi="Verdana" w:cs="Arial"/>
                <w:color w:val="7030A0"/>
                <w:lang w:val="es-ES_tradnl" w:eastAsia="es-ES"/>
              </w:rPr>
              <w:t xml:space="preserve"> </w:t>
            </w:r>
          </w:p>
          <w:p w14:paraId="73FB7695" w14:textId="77777777" w:rsidR="00001900" w:rsidRPr="00AC742F" w:rsidRDefault="00001900" w:rsidP="00001900">
            <w:pPr>
              <w:pStyle w:val="Prrafodelista"/>
              <w:widowControl w:val="0"/>
              <w:numPr>
                <w:ilvl w:val="0"/>
                <w:numId w:val="3"/>
              </w:numPr>
              <w:autoSpaceDE w:val="0"/>
              <w:autoSpaceDN w:val="0"/>
              <w:spacing w:after="120" w:line="276" w:lineRule="auto"/>
              <w:contextualSpacing w:val="0"/>
              <w:jc w:val="both"/>
              <w:rPr>
                <w:rFonts w:ascii="Verdana" w:hAnsi="Verdana" w:cs="Arial"/>
              </w:rPr>
            </w:pPr>
            <w:r w:rsidRPr="003E470D">
              <w:rPr>
                <w:rFonts w:ascii="Verdana" w:hAnsi="Verdana" w:cs="Arial"/>
                <w:color w:val="000000" w:themeColor="text1"/>
              </w:rPr>
              <w:t xml:space="preserve">Resolución </w:t>
            </w:r>
            <w:r>
              <w:rPr>
                <w:rFonts w:ascii="Verdana" w:eastAsia="Times New Roman" w:hAnsi="Verdana" w:cs="Arial"/>
                <w:color w:val="000000" w:themeColor="text1"/>
                <w:lang w:val="es-ES_tradnl" w:eastAsia="es-ES"/>
              </w:rPr>
              <w:t>454</w:t>
            </w:r>
            <w:r w:rsidRPr="003E470D">
              <w:rPr>
                <w:rFonts w:ascii="Verdana" w:eastAsia="Times New Roman" w:hAnsi="Verdana" w:cs="Arial"/>
                <w:color w:val="000000" w:themeColor="text1"/>
                <w:lang w:val="es-ES_tradnl" w:eastAsia="es-ES"/>
              </w:rPr>
              <w:t xml:space="preserve"> de 2021 de la Agencia Nacional de Contratación Pública–Colombia Compra Eficiente–. Disponible en: </w:t>
            </w:r>
            <w:hyperlink r:id="rId15" w:history="1">
              <w:r w:rsidRPr="00877405">
                <w:rPr>
                  <w:rStyle w:val="Hipervnculo"/>
                  <w:rFonts w:ascii="Verdana" w:hAnsi="Verdana" w:cs="Arial"/>
                </w:rPr>
                <w:t>https://www.colombiacompra.gov.co/sites/cce_public/files/files_2020/02._resolucion_454_de_2021_-_por_la_cual_se_adoptan_los_d.t_de_cultura_recreacion_y_deporte_2.pdf</w:t>
              </w:r>
            </w:hyperlink>
            <w:r>
              <w:rPr>
                <w:rFonts w:ascii="Verdana" w:hAnsi="Verdana" w:cs="Arial"/>
              </w:rPr>
              <w:t xml:space="preserve"> </w:t>
            </w:r>
          </w:p>
        </w:tc>
      </w:tr>
    </w:tbl>
    <w:p w14:paraId="7212255F" w14:textId="77777777" w:rsidR="00001900" w:rsidRPr="00593A5F" w:rsidRDefault="00001900" w:rsidP="00001900">
      <w:pPr>
        <w:widowControl w:val="0"/>
        <w:autoSpaceDE w:val="0"/>
        <w:autoSpaceDN w:val="0"/>
        <w:spacing w:after="0" w:line="276" w:lineRule="auto"/>
        <w:jc w:val="both"/>
        <w:rPr>
          <w:rFonts w:ascii="Verdana" w:hAnsi="Verdana" w:cs="Arial"/>
        </w:rPr>
      </w:pPr>
    </w:p>
    <w:p w14:paraId="3D309450" w14:textId="77777777" w:rsidR="00001900" w:rsidRPr="00593A5F" w:rsidRDefault="00001900" w:rsidP="00001900">
      <w:pPr>
        <w:pStyle w:val="Prrafodelista"/>
        <w:numPr>
          <w:ilvl w:val="0"/>
          <w:numId w:val="4"/>
        </w:numPr>
        <w:tabs>
          <w:tab w:val="left" w:pos="142"/>
          <w:tab w:val="left" w:pos="284"/>
        </w:tabs>
        <w:spacing w:after="0" w:line="276" w:lineRule="auto"/>
        <w:ind w:left="0" w:firstLine="0"/>
        <w:contextualSpacing w:val="0"/>
        <w:jc w:val="both"/>
        <w:rPr>
          <w:rFonts w:ascii="Verdana" w:eastAsia="Century Gothic" w:hAnsi="Verdana" w:cs="Century Gothic"/>
          <w:b/>
          <w:bCs/>
        </w:rPr>
      </w:pPr>
      <w:r>
        <w:rPr>
          <w:rFonts w:ascii="Verdana" w:eastAsia="Century Gothic" w:hAnsi="Verdana" w:cs="Century Gothic"/>
          <w:b/>
          <w:bCs/>
        </w:rPr>
        <w:t>Doctrina de la Agencia Nacional de Contratación Pública</w:t>
      </w:r>
      <w:r w:rsidRPr="00593A5F">
        <w:rPr>
          <w:rFonts w:ascii="Verdana" w:eastAsia="Century Gothic" w:hAnsi="Verdana" w:cs="Century Gothic"/>
          <w:b/>
          <w:bCs/>
        </w:rPr>
        <w:t>:</w:t>
      </w:r>
    </w:p>
    <w:p w14:paraId="0BB6A2FF" w14:textId="77777777" w:rsidR="00001900" w:rsidRPr="00593A5F" w:rsidRDefault="00001900" w:rsidP="00001900">
      <w:pPr>
        <w:widowControl w:val="0"/>
        <w:autoSpaceDE w:val="0"/>
        <w:autoSpaceDN w:val="0"/>
        <w:spacing w:after="0" w:line="276" w:lineRule="auto"/>
        <w:jc w:val="both"/>
        <w:rPr>
          <w:rFonts w:ascii="Verdana" w:hAnsi="Verdana" w:cs="Arial"/>
        </w:rPr>
      </w:pPr>
    </w:p>
    <w:p w14:paraId="7897D39F" w14:textId="77777777" w:rsidR="00001900" w:rsidRDefault="00001900" w:rsidP="00001900">
      <w:pPr>
        <w:widowControl w:val="0"/>
        <w:autoSpaceDE w:val="0"/>
        <w:autoSpaceDN w:val="0"/>
        <w:spacing w:after="0" w:line="276" w:lineRule="auto"/>
        <w:jc w:val="both"/>
        <w:rPr>
          <w:rFonts w:ascii="Verdana" w:eastAsia="Aptos" w:hAnsi="Verdana" w:cs="Arial"/>
          <w:shd w:val="clear" w:color="auto" w:fill="FFFFFF"/>
          <w:lang w:val="es-ES"/>
        </w:rPr>
      </w:pPr>
      <w:r w:rsidRPr="00E519F2">
        <w:rPr>
          <w:rStyle w:val="normaltextrun"/>
          <w:rFonts w:ascii="Verdana" w:hAnsi="Verdana" w:cs="Arial"/>
          <w:color w:val="000000" w:themeColor="text1"/>
          <w:shd w:val="clear" w:color="auto" w:fill="FFFFFF"/>
          <w:lang w:val="es-ES"/>
        </w:rPr>
        <w:t>Sobre el ámbito de aplicación de los documentos tipo de infraestructura social se pronunció esta Subdirección en los conceptos</w:t>
      </w:r>
      <w:r w:rsidRPr="00E519F2">
        <w:rPr>
          <w:rStyle w:val="normaltextrun"/>
          <w:rFonts w:ascii="Verdana" w:hAnsi="Verdana" w:cs="Calibri"/>
          <w:color w:val="000000" w:themeColor="text1"/>
          <w:shd w:val="clear" w:color="auto" w:fill="FFFFFF"/>
        </w:rPr>
        <w:t xml:space="preserve"> </w:t>
      </w:r>
      <w:r w:rsidRPr="00E519F2">
        <w:rPr>
          <w:rStyle w:val="normaltextrun"/>
          <w:rFonts w:ascii="Verdana" w:hAnsi="Verdana" w:cs="Arial"/>
          <w:color w:val="000000" w:themeColor="text1"/>
          <w:shd w:val="clear" w:color="auto" w:fill="FFFFFF"/>
          <w:lang w:val="es-ES"/>
        </w:rPr>
        <w:t>C-375 del 27 de septiembre de 2021, C-536 del 29 de septiembre de 2021, P20210826007696 del 6 de octubre de 2021, C-729 del 24 de enero de 2022, C-090 del 16 de marzo de 2022, C-287 del 11 de mayo de 2022, C-334 del 25 de mayo de 2022, C-344 del 9 de junio de 2022, C-436 del 6 de julio de 2022, C-951 del 18 enero de 2023</w:t>
      </w:r>
      <w:r>
        <w:rPr>
          <w:rFonts w:ascii="Verdana" w:eastAsia="Calibri" w:hAnsi="Verdana" w:cs="Arial"/>
          <w:shd w:val="clear" w:color="auto" w:fill="FFFFFF"/>
          <w:lang w:val="es-ES"/>
        </w:rPr>
        <w:t>,</w:t>
      </w:r>
      <w:r w:rsidRPr="00B422F2">
        <w:rPr>
          <w:rFonts w:ascii="Verdana" w:eastAsia="Calibri" w:hAnsi="Verdana" w:cs="Arial"/>
          <w:shd w:val="clear" w:color="auto" w:fill="FFFFFF"/>
          <w:lang w:val="es-ES"/>
        </w:rPr>
        <w:t xml:space="preserve"> C-945 </w:t>
      </w:r>
      <w:r w:rsidRPr="00B422F2">
        <w:rPr>
          <w:rFonts w:ascii="Verdana" w:eastAsia="Calibri" w:hAnsi="Verdana" w:cs="Arial"/>
          <w:shd w:val="clear" w:color="auto" w:fill="FFFFFF"/>
          <w:lang w:val="es-ES"/>
        </w:rPr>
        <w:lastRenderedPageBreak/>
        <w:t>del 17 de febrero de 2023, C-042 del 29 de marzo de 2023, C-051 del 28 de abril de 2023, C-299 del 24 de julio de 2023 y C-290 del 28 de julio de 2023,</w:t>
      </w:r>
      <w:r>
        <w:rPr>
          <w:rFonts w:ascii="Verdana" w:eastAsia="Calibri" w:hAnsi="Verdana" w:cs="Arial"/>
          <w:shd w:val="clear" w:color="auto" w:fill="FFFFFF"/>
          <w:lang w:val="es-ES"/>
        </w:rPr>
        <w:t xml:space="preserve"> C-152 del 24 de julio de 2024, C-203 del 2 de agosto de 2024 y C-276 del 5 de julio de 2024, entre otros</w:t>
      </w:r>
      <w:r w:rsidRPr="00B422F2">
        <w:rPr>
          <w:rFonts w:ascii="Verdana" w:eastAsia="Calibri" w:hAnsi="Verdana" w:cs="Arial"/>
          <w:shd w:val="clear" w:color="auto" w:fill="FFFFFF"/>
          <w:lang w:val="es-ES"/>
        </w:rPr>
        <w:t xml:space="preserve">. </w:t>
      </w:r>
      <w:r w:rsidRPr="00B242B3">
        <w:rPr>
          <w:rFonts w:ascii="Verdana" w:eastAsia="Aptos" w:hAnsi="Verdana" w:cs="Arial"/>
          <w:shd w:val="clear" w:color="auto" w:fill="FFFFFF"/>
          <w:lang w:val="es-ES"/>
        </w:rPr>
        <w:t xml:space="preserve">Estos y otros conceptos se encuentran disponibles para consulta en el Sistema de Relatoría de la Agencia, en el cual también podrás encontrar jurisprudencia del Consejo de Estado, laudos arbitrales y la normativa de la contratación concordada con la doctrina de la Subdirección de Gestión Contractual. Accede a través del siguiente enlace: </w:t>
      </w:r>
      <w:hyperlink r:id="rId16" w:history="1">
        <w:r w:rsidRPr="00B4257D">
          <w:rPr>
            <w:rStyle w:val="Hipervnculo"/>
            <w:rFonts w:ascii="Verdana" w:eastAsia="Aptos" w:hAnsi="Verdana" w:cs="Arial"/>
            <w:shd w:val="clear" w:color="auto" w:fill="FFFFFF"/>
            <w:lang w:val="es-ES"/>
          </w:rPr>
          <w:t>https://relatoria.colombiacompra.gov.co/</w:t>
        </w:r>
      </w:hyperlink>
      <w:r w:rsidRPr="00B242B3">
        <w:rPr>
          <w:rFonts w:ascii="Verdana" w:eastAsia="Aptos" w:hAnsi="Verdana" w:cs="Arial"/>
          <w:shd w:val="clear" w:color="auto" w:fill="FFFFFF"/>
          <w:lang w:val="es-ES"/>
        </w:rPr>
        <w:t xml:space="preserve">. </w:t>
      </w:r>
    </w:p>
    <w:p w14:paraId="739E636F" w14:textId="77777777" w:rsidR="00001900" w:rsidRDefault="00001900" w:rsidP="00001900">
      <w:pPr>
        <w:widowControl w:val="0"/>
        <w:autoSpaceDE w:val="0"/>
        <w:autoSpaceDN w:val="0"/>
        <w:spacing w:after="0" w:line="276" w:lineRule="auto"/>
        <w:jc w:val="both"/>
        <w:rPr>
          <w:rFonts w:ascii="Verdana" w:eastAsia="Aptos" w:hAnsi="Verdana" w:cs="Arial"/>
          <w:shd w:val="clear" w:color="auto" w:fill="FFFFFF"/>
          <w:lang w:val="es-ES"/>
        </w:rPr>
      </w:pPr>
    </w:p>
    <w:p w14:paraId="1E599017" w14:textId="77777777" w:rsidR="00001900" w:rsidRPr="00FC49A2" w:rsidRDefault="00001900" w:rsidP="00001900">
      <w:pPr>
        <w:widowControl w:val="0"/>
        <w:autoSpaceDE w:val="0"/>
        <w:autoSpaceDN w:val="0"/>
        <w:spacing w:after="0" w:line="276" w:lineRule="auto"/>
        <w:jc w:val="both"/>
        <w:rPr>
          <w:rFonts w:ascii="Verdana" w:eastAsia="Aptos" w:hAnsi="Verdana" w:cs="Arial"/>
          <w:shd w:val="clear" w:color="auto" w:fill="FFFFFF"/>
          <w:lang w:val="es-ES"/>
        </w:rPr>
      </w:pPr>
      <w:r w:rsidRPr="00B242B3">
        <w:rPr>
          <w:rFonts w:ascii="Verdana" w:eastAsia="Aptos" w:hAnsi="Verdana" w:cs="Arial"/>
          <w:shd w:val="clear" w:color="auto" w:fill="FFFFFF"/>
          <w:lang w:val="es-ES"/>
        </w:rPr>
        <w:t xml:space="preserve">Te invitamos también a revisar la tercera edición del Boletín de Relatoría de 2024 en el cual podrás consultar en detalle el marco normativo de documentos tipo: </w:t>
      </w:r>
      <w:hyperlink r:id="rId17" w:history="1">
        <w:r w:rsidRPr="00B4257D">
          <w:rPr>
            <w:rStyle w:val="Hipervnculo"/>
            <w:rFonts w:ascii="Verdana" w:eastAsia="Aptos" w:hAnsi="Verdana" w:cs="Arial"/>
            <w:shd w:val="clear" w:color="auto" w:fill="FFFFFF"/>
            <w:lang w:val="es-ES"/>
          </w:rPr>
          <w:t>https://www.colombiacompra.gov.co/sites/cce_public/files/files_2020/boletin_de_realtoria_iii.pdf</w:t>
        </w:r>
      </w:hyperlink>
      <w:r w:rsidRPr="00B242B3">
        <w:rPr>
          <w:rFonts w:ascii="Verdana" w:eastAsia="Aptos" w:hAnsi="Verdana" w:cs="Arial"/>
          <w:shd w:val="clear" w:color="auto" w:fill="FFFFFF"/>
          <w:lang w:val="es-ES"/>
        </w:rPr>
        <w:t xml:space="preserve">. </w:t>
      </w:r>
    </w:p>
    <w:p w14:paraId="6CF97215" w14:textId="77777777" w:rsidR="00001900" w:rsidRPr="00262582" w:rsidRDefault="00001900" w:rsidP="00001900">
      <w:pPr>
        <w:spacing w:after="0" w:line="240" w:lineRule="auto"/>
        <w:jc w:val="both"/>
        <w:rPr>
          <w:rFonts w:ascii="Verdana" w:hAnsi="Verdana"/>
        </w:rPr>
      </w:pPr>
    </w:p>
    <w:p w14:paraId="389A8485" w14:textId="77777777" w:rsidR="00001900" w:rsidRPr="00593A5F" w:rsidRDefault="00001900" w:rsidP="00001900">
      <w:pPr>
        <w:widowControl w:val="0"/>
        <w:autoSpaceDE w:val="0"/>
        <w:autoSpaceDN w:val="0"/>
        <w:spacing w:after="0" w:line="276" w:lineRule="auto"/>
        <w:jc w:val="both"/>
        <w:rPr>
          <w:rFonts w:ascii="Verdana" w:hAnsi="Verdana" w:cs="Arial"/>
          <w:lang w:val="es-ES_tradnl"/>
        </w:rPr>
      </w:pPr>
      <w:r w:rsidRPr="00593A5F">
        <w:rPr>
          <w:rFonts w:ascii="Verdana" w:hAnsi="Verdana" w:cs="Arial"/>
        </w:rPr>
        <w:t xml:space="preserve">Este concepto tiene el alcance previsto en el artículo 28 del Código de Procedimiento Administrativo y de lo Contencioso Administrativo </w:t>
      </w:r>
      <w:r w:rsidRPr="00593A5F">
        <w:rPr>
          <w:rFonts w:ascii="Verdana" w:hAnsi="Verdana" w:cs="Arial"/>
          <w:lang w:val="es-ES_tradnl"/>
        </w:rPr>
        <w:t>y las expresiones aquí utilizadas con mayúscula inicial deben ser entendidas con el significado que les otorga el artículo 2.2.1.1.1.3.1. del Decreto 1082 de 2015.</w:t>
      </w:r>
    </w:p>
    <w:p w14:paraId="1ADAA395" w14:textId="77777777" w:rsidR="00001900" w:rsidRPr="00593A5F" w:rsidRDefault="00001900" w:rsidP="00001900">
      <w:pPr>
        <w:widowControl w:val="0"/>
        <w:autoSpaceDE w:val="0"/>
        <w:autoSpaceDN w:val="0"/>
        <w:spacing w:after="0" w:line="276" w:lineRule="auto"/>
        <w:jc w:val="both"/>
        <w:rPr>
          <w:rFonts w:ascii="Verdana" w:hAnsi="Verdana" w:cs="Arial"/>
        </w:rPr>
      </w:pPr>
    </w:p>
    <w:p w14:paraId="50C2469F" w14:textId="77777777" w:rsidR="00001900" w:rsidRPr="00593A5F" w:rsidRDefault="00001900" w:rsidP="00001900">
      <w:pPr>
        <w:spacing w:after="0" w:line="240" w:lineRule="auto"/>
        <w:rPr>
          <w:rFonts w:ascii="Verdana" w:hAnsi="Verdana" w:cs="Arial"/>
          <w:lang w:eastAsia="es-CO"/>
        </w:rPr>
      </w:pPr>
      <w:r w:rsidRPr="00593A5F">
        <w:rPr>
          <w:rFonts w:ascii="Verdana" w:eastAsia="Times New Roman" w:hAnsi="Verdana" w:cs="Arial"/>
          <w:lang w:eastAsia="es-CO"/>
        </w:rPr>
        <w:t>Atentamente,</w:t>
      </w:r>
      <w:r w:rsidRPr="00593A5F">
        <w:rPr>
          <w:rFonts w:ascii="Verdana" w:hAnsi="Verdana" w:cs="Arial"/>
          <w:lang w:eastAsia="es-CO"/>
        </w:rPr>
        <w:t xml:space="preserve"> </w:t>
      </w:r>
    </w:p>
    <w:p w14:paraId="481C2424" w14:textId="3E3B3E9E" w:rsidR="00001900" w:rsidRPr="00593A5F" w:rsidRDefault="001B3930" w:rsidP="001B3930">
      <w:pPr>
        <w:spacing w:line="276" w:lineRule="auto"/>
        <w:ind w:left="708" w:hanging="708"/>
        <w:jc w:val="center"/>
        <w:rPr>
          <w:rFonts w:ascii="Verdana" w:hAnsi="Verdana" w:cs="Arial"/>
          <w:color w:val="000000"/>
          <w:lang w:val="es-ES_tradnl" w:eastAsia="es-CO"/>
        </w:rPr>
      </w:pPr>
      <w:r w:rsidRPr="004D5C25">
        <w:rPr>
          <w:rFonts w:ascii="Century Gothic" w:hAnsi="Century Gothic"/>
          <w:noProof/>
        </w:rPr>
        <w:drawing>
          <wp:inline distT="0" distB="0" distL="0" distR="0" wp14:anchorId="01DE19C1" wp14:editId="408EB93C">
            <wp:extent cx="3705742" cy="1590897"/>
            <wp:effectExtent l="0" t="0" r="9525" b="9525"/>
            <wp:docPr id="182274004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40040" name="Imagen 1" descr="Texto&#10;&#10;Descripción generada automáticamente"/>
                    <pic:cNvPicPr/>
                  </pic:nvPicPr>
                  <pic:blipFill>
                    <a:blip r:embed="rId18"/>
                    <a:stretch>
                      <a:fillRect/>
                    </a:stretch>
                  </pic:blipFill>
                  <pic:spPr>
                    <a:xfrm>
                      <a:off x="0" y="0"/>
                      <a:ext cx="3705742" cy="1590897"/>
                    </a:xfrm>
                    <a:prstGeom prst="rect">
                      <a:avLst/>
                    </a:prstGeom>
                  </pic:spPr>
                </pic:pic>
              </a:graphicData>
            </a:graphic>
          </wp:inline>
        </w:drawing>
      </w:r>
    </w:p>
    <w:tbl>
      <w:tblPr>
        <w:tblStyle w:val="Tablaconcuadrcula1"/>
        <w:tblpPr w:leftFromText="141" w:rightFromText="141" w:vertAnchor="text" w:horzAnchor="margin" w:tblpY="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
        <w:gridCol w:w="4919"/>
      </w:tblGrid>
      <w:tr w:rsidR="00001900" w:rsidRPr="00262582" w14:paraId="7244955C" w14:textId="77777777" w:rsidTr="009366A6">
        <w:trPr>
          <w:trHeight w:val="286"/>
        </w:trPr>
        <w:tc>
          <w:tcPr>
            <w:tcW w:w="893" w:type="dxa"/>
            <w:vAlign w:val="center"/>
            <w:hideMark/>
          </w:tcPr>
          <w:p w14:paraId="7AA365DF" w14:textId="77777777" w:rsidR="00001900" w:rsidRPr="00262582" w:rsidRDefault="00001900" w:rsidP="009366A6">
            <w:pPr>
              <w:rPr>
                <w:rFonts w:ascii="Verdana" w:eastAsia="Times New Roman" w:hAnsi="Verdana" w:cs="Arial"/>
                <w:sz w:val="14"/>
                <w:szCs w:val="14"/>
                <w:lang w:eastAsia="es-ES"/>
              </w:rPr>
            </w:pPr>
            <w:r w:rsidRPr="00262582">
              <w:rPr>
                <w:rFonts w:ascii="Verdana" w:eastAsia="Times New Roman" w:hAnsi="Verdana" w:cs="Arial"/>
                <w:sz w:val="16"/>
                <w:szCs w:val="16"/>
                <w:lang w:eastAsia="es-ES"/>
              </w:rPr>
              <w:t>Elaboró:</w:t>
            </w:r>
          </w:p>
        </w:tc>
        <w:tc>
          <w:tcPr>
            <w:tcW w:w="4919" w:type="dxa"/>
            <w:tcBorders>
              <w:top w:val="nil"/>
              <w:left w:val="nil"/>
              <w:bottom w:val="dotted" w:sz="4" w:space="0" w:color="7F7F7F"/>
              <w:right w:val="nil"/>
            </w:tcBorders>
            <w:vAlign w:val="center"/>
            <w:hideMark/>
          </w:tcPr>
          <w:p w14:paraId="69881252" w14:textId="77777777" w:rsidR="00001900" w:rsidRPr="00262582" w:rsidRDefault="00001900" w:rsidP="009366A6">
            <w:pPr>
              <w:rPr>
                <w:rFonts w:ascii="Verdana" w:eastAsia="Times New Roman" w:hAnsi="Verdana" w:cs="Arial"/>
                <w:sz w:val="16"/>
                <w:szCs w:val="16"/>
                <w:lang w:val="es-ES_tradnl" w:eastAsia="es-ES"/>
              </w:rPr>
            </w:pPr>
            <w:r w:rsidRPr="00262582">
              <w:rPr>
                <w:rFonts w:ascii="Verdana" w:eastAsia="Times New Roman" w:hAnsi="Verdana" w:cs="Arial"/>
                <w:sz w:val="16"/>
                <w:szCs w:val="16"/>
                <w:lang w:val="es-ES_tradnl" w:eastAsia="es-ES"/>
              </w:rPr>
              <w:t>Sergio</w:t>
            </w:r>
            <w:r>
              <w:rPr>
                <w:rFonts w:ascii="Verdana" w:eastAsia="Times New Roman" w:hAnsi="Verdana" w:cs="Arial"/>
                <w:sz w:val="16"/>
                <w:szCs w:val="16"/>
                <w:lang w:val="es-ES_tradnl" w:eastAsia="es-ES"/>
              </w:rPr>
              <w:t xml:space="preserve"> Enrique</w:t>
            </w:r>
            <w:r w:rsidRPr="00262582">
              <w:rPr>
                <w:rFonts w:ascii="Verdana" w:eastAsia="Times New Roman" w:hAnsi="Verdana" w:cs="Arial"/>
                <w:sz w:val="16"/>
                <w:szCs w:val="16"/>
                <w:lang w:val="es-ES_tradnl" w:eastAsia="es-ES"/>
              </w:rPr>
              <w:t xml:space="preserve"> Caballero</w:t>
            </w:r>
            <w:r>
              <w:rPr>
                <w:rFonts w:ascii="Verdana" w:eastAsia="Times New Roman" w:hAnsi="Verdana" w:cs="Arial"/>
                <w:sz w:val="16"/>
                <w:szCs w:val="16"/>
                <w:lang w:val="es-ES_tradnl" w:eastAsia="es-ES"/>
              </w:rPr>
              <w:t xml:space="preserve"> Lesmes</w:t>
            </w:r>
          </w:p>
          <w:p w14:paraId="2433CCCD" w14:textId="77777777" w:rsidR="00001900" w:rsidRPr="00262582" w:rsidRDefault="00001900" w:rsidP="009366A6">
            <w:pPr>
              <w:rPr>
                <w:rFonts w:ascii="Verdana" w:eastAsia="Times New Roman" w:hAnsi="Verdana" w:cs="Arial"/>
                <w:sz w:val="14"/>
                <w:szCs w:val="14"/>
                <w:lang w:eastAsia="es-ES"/>
              </w:rPr>
            </w:pPr>
            <w:r w:rsidRPr="00262582">
              <w:rPr>
                <w:rFonts w:ascii="Verdana" w:eastAsia="Times New Roman" w:hAnsi="Verdana" w:cs="Arial"/>
                <w:sz w:val="16"/>
                <w:szCs w:val="16"/>
                <w:lang w:eastAsia="es-ES"/>
              </w:rPr>
              <w:t>Analista T</w:t>
            </w:r>
            <w:r>
              <w:rPr>
                <w:rFonts w:ascii="Verdana" w:eastAsia="Times New Roman" w:hAnsi="Verdana" w:cs="Arial"/>
                <w:sz w:val="16"/>
                <w:szCs w:val="16"/>
                <w:lang w:eastAsia="es-ES"/>
              </w:rPr>
              <w:t>2</w:t>
            </w:r>
            <w:r w:rsidRPr="00262582">
              <w:rPr>
                <w:rFonts w:ascii="Verdana" w:eastAsia="Times New Roman" w:hAnsi="Verdana" w:cs="Arial"/>
                <w:sz w:val="16"/>
                <w:szCs w:val="16"/>
                <w:lang w:eastAsia="es-ES"/>
              </w:rPr>
              <w:t>-1 de la Subdirección de Gestión Contractual</w:t>
            </w:r>
          </w:p>
        </w:tc>
      </w:tr>
      <w:tr w:rsidR="00001900" w:rsidRPr="00262582" w14:paraId="5E5BF1FE" w14:textId="77777777" w:rsidTr="009366A6">
        <w:trPr>
          <w:trHeight w:val="299"/>
        </w:trPr>
        <w:tc>
          <w:tcPr>
            <w:tcW w:w="893" w:type="dxa"/>
            <w:vAlign w:val="center"/>
            <w:hideMark/>
          </w:tcPr>
          <w:p w14:paraId="4C22CFCD" w14:textId="77777777" w:rsidR="00001900" w:rsidRPr="00262582" w:rsidRDefault="00001900" w:rsidP="009366A6">
            <w:pPr>
              <w:rPr>
                <w:rFonts w:ascii="Verdana" w:eastAsia="Times New Roman" w:hAnsi="Verdana" w:cs="Arial"/>
                <w:sz w:val="14"/>
                <w:szCs w:val="14"/>
                <w:lang w:eastAsia="es-ES"/>
              </w:rPr>
            </w:pPr>
            <w:r w:rsidRPr="00262582">
              <w:rPr>
                <w:rFonts w:ascii="Verdana" w:eastAsia="Times New Roman" w:hAnsi="Verdana" w:cs="Arial"/>
                <w:sz w:val="16"/>
                <w:szCs w:val="16"/>
                <w:lang w:eastAsia="es-ES"/>
              </w:rPr>
              <w:t>Revisó:</w:t>
            </w:r>
          </w:p>
        </w:tc>
        <w:tc>
          <w:tcPr>
            <w:tcW w:w="4919" w:type="dxa"/>
            <w:tcBorders>
              <w:top w:val="dotted" w:sz="4" w:space="0" w:color="7F7F7F"/>
              <w:left w:val="nil"/>
              <w:bottom w:val="dotted" w:sz="4" w:space="0" w:color="7F7F7F"/>
              <w:right w:val="nil"/>
            </w:tcBorders>
            <w:vAlign w:val="center"/>
            <w:hideMark/>
          </w:tcPr>
          <w:p w14:paraId="6E8ABC2B" w14:textId="77777777" w:rsidR="00001900" w:rsidRPr="00262582" w:rsidRDefault="00001900" w:rsidP="009366A6">
            <w:pPr>
              <w:rPr>
                <w:rFonts w:ascii="Verdana" w:eastAsia="Times New Roman" w:hAnsi="Verdana" w:cs="Arial"/>
                <w:sz w:val="16"/>
                <w:szCs w:val="16"/>
                <w:lang w:val="es-ES_tradnl" w:eastAsia="es-ES"/>
              </w:rPr>
            </w:pPr>
            <w:r>
              <w:rPr>
                <w:rFonts w:ascii="Verdana" w:eastAsia="Times New Roman" w:hAnsi="Verdana" w:cs="Arial"/>
                <w:sz w:val="16"/>
                <w:szCs w:val="16"/>
                <w:lang w:val="es-ES_tradnl" w:eastAsia="es-ES"/>
              </w:rPr>
              <w:t>Martha Alicia Romero Vargas</w:t>
            </w:r>
          </w:p>
          <w:p w14:paraId="5B61AF83" w14:textId="77777777" w:rsidR="00001900" w:rsidRDefault="00001900" w:rsidP="009366A6">
            <w:pPr>
              <w:rPr>
                <w:rFonts w:ascii="Verdana" w:eastAsia="Times New Roman" w:hAnsi="Verdana" w:cs="Arial"/>
                <w:sz w:val="16"/>
                <w:szCs w:val="16"/>
                <w:lang w:eastAsia="es-ES"/>
              </w:rPr>
            </w:pPr>
            <w:r>
              <w:rPr>
                <w:rFonts w:ascii="Verdana" w:eastAsia="Times New Roman" w:hAnsi="Verdana" w:cs="Arial"/>
                <w:sz w:val="16"/>
                <w:szCs w:val="16"/>
                <w:lang w:eastAsia="es-ES"/>
              </w:rPr>
              <w:t>Gestor T1-15</w:t>
            </w:r>
            <w:r w:rsidRPr="00262582">
              <w:rPr>
                <w:rFonts w:ascii="Verdana" w:eastAsia="Times New Roman" w:hAnsi="Verdana" w:cs="Arial"/>
                <w:sz w:val="16"/>
                <w:szCs w:val="16"/>
                <w:lang w:eastAsia="es-ES"/>
              </w:rPr>
              <w:t xml:space="preserve"> de la Subdirección de Gestión Contractual</w:t>
            </w:r>
          </w:p>
          <w:p w14:paraId="4D971206" w14:textId="77777777" w:rsidR="00001900" w:rsidRDefault="00001900" w:rsidP="009366A6">
            <w:pPr>
              <w:rPr>
                <w:rFonts w:ascii="Verdana" w:eastAsia="Times New Roman" w:hAnsi="Verdana" w:cs="Arial"/>
                <w:sz w:val="16"/>
                <w:szCs w:val="16"/>
                <w:lang w:eastAsia="es-ES"/>
              </w:rPr>
            </w:pPr>
            <w:r>
              <w:rPr>
                <w:rFonts w:ascii="Verdana" w:eastAsia="Times New Roman" w:hAnsi="Verdana" w:cs="Arial"/>
                <w:sz w:val="16"/>
                <w:szCs w:val="16"/>
                <w:lang w:eastAsia="es-ES"/>
              </w:rPr>
              <w:t>Alexandra Rodríguez Motta (Ing.)</w:t>
            </w:r>
          </w:p>
          <w:p w14:paraId="379B5D6D" w14:textId="77777777" w:rsidR="00001900" w:rsidRPr="00262582" w:rsidRDefault="00001900" w:rsidP="009366A6">
            <w:pPr>
              <w:rPr>
                <w:rFonts w:ascii="Verdana" w:eastAsia="Times New Roman" w:hAnsi="Verdana" w:cs="Arial"/>
                <w:sz w:val="14"/>
                <w:szCs w:val="14"/>
                <w:lang w:eastAsia="es-ES"/>
              </w:rPr>
            </w:pPr>
            <w:r>
              <w:rPr>
                <w:rFonts w:ascii="Verdana" w:eastAsia="Times New Roman" w:hAnsi="Verdana" w:cs="Arial"/>
                <w:sz w:val="16"/>
                <w:szCs w:val="16"/>
                <w:lang w:eastAsia="es-ES"/>
              </w:rPr>
              <w:t xml:space="preserve">Contratista </w:t>
            </w:r>
            <w:r w:rsidRPr="00262582">
              <w:rPr>
                <w:rFonts w:ascii="Verdana" w:eastAsia="Times New Roman" w:hAnsi="Verdana" w:cs="Arial"/>
                <w:sz w:val="16"/>
                <w:szCs w:val="16"/>
                <w:lang w:eastAsia="es-ES"/>
              </w:rPr>
              <w:t>de la Subdirección de Gestión Contractual</w:t>
            </w:r>
          </w:p>
        </w:tc>
      </w:tr>
      <w:tr w:rsidR="00001900" w:rsidRPr="00262582" w14:paraId="3656D867" w14:textId="77777777" w:rsidTr="009366A6">
        <w:trPr>
          <w:trHeight w:val="272"/>
        </w:trPr>
        <w:tc>
          <w:tcPr>
            <w:tcW w:w="893" w:type="dxa"/>
            <w:vAlign w:val="center"/>
            <w:hideMark/>
          </w:tcPr>
          <w:p w14:paraId="085F7D7C" w14:textId="77777777" w:rsidR="00001900" w:rsidRPr="00262582" w:rsidRDefault="00001900" w:rsidP="009366A6">
            <w:pPr>
              <w:rPr>
                <w:rFonts w:ascii="Verdana" w:eastAsia="Times New Roman" w:hAnsi="Verdana" w:cs="Arial"/>
                <w:sz w:val="14"/>
                <w:szCs w:val="14"/>
                <w:lang w:eastAsia="es-ES"/>
              </w:rPr>
            </w:pPr>
            <w:r w:rsidRPr="00262582">
              <w:rPr>
                <w:rFonts w:ascii="Verdana" w:eastAsia="Times New Roman" w:hAnsi="Verdana" w:cs="Arial"/>
                <w:sz w:val="16"/>
                <w:szCs w:val="16"/>
                <w:lang w:eastAsia="es-ES"/>
              </w:rPr>
              <w:t>Aprobó:</w:t>
            </w:r>
          </w:p>
        </w:tc>
        <w:tc>
          <w:tcPr>
            <w:tcW w:w="4919" w:type="dxa"/>
            <w:tcBorders>
              <w:top w:val="dotted" w:sz="4" w:space="0" w:color="7F7F7F"/>
              <w:left w:val="nil"/>
              <w:bottom w:val="dotted" w:sz="4" w:space="0" w:color="7F7F7F"/>
              <w:right w:val="nil"/>
            </w:tcBorders>
            <w:vAlign w:val="center"/>
            <w:hideMark/>
          </w:tcPr>
          <w:p w14:paraId="525DBA37" w14:textId="77777777" w:rsidR="00001900" w:rsidRPr="00262582" w:rsidRDefault="00001900" w:rsidP="009366A6">
            <w:pPr>
              <w:rPr>
                <w:rFonts w:ascii="Verdana" w:eastAsia="Times New Roman" w:hAnsi="Verdana" w:cs="Arial"/>
                <w:sz w:val="16"/>
                <w:szCs w:val="16"/>
                <w:lang w:eastAsia="es-ES"/>
              </w:rPr>
            </w:pPr>
            <w:r w:rsidRPr="00262582">
              <w:rPr>
                <w:rFonts w:ascii="Verdana" w:eastAsia="Times New Roman" w:hAnsi="Verdana" w:cs="Arial"/>
                <w:sz w:val="16"/>
                <w:szCs w:val="16"/>
                <w:lang w:eastAsia="es-ES"/>
              </w:rPr>
              <w:t>Carolina Quintero Gacharná</w:t>
            </w:r>
          </w:p>
          <w:p w14:paraId="70BDA459" w14:textId="77777777" w:rsidR="00001900" w:rsidRPr="00262582" w:rsidRDefault="00001900" w:rsidP="009366A6">
            <w:pPr>
              <w:rPr>
                <w:rFonts w:ascii="Verdana" w:eastAsia="Times New Roman" w:hAnsi="Verdana" w:cs="Arial"/>
                <w:sz w:val="14"/>
                <w:szCs w:val="14"/>
                <w:lang w:eastAsia="es-ES"/>
              </w:rPr>
            </w:pPr>
            <w:r w:rsidRPr="00262582">
              <w:rPr>
                <w:rFonts w:ascii="Verdana" w:eastAsia="Times New Roman" w:hAnsi="Verdana" w:cs="Arial"/>
                <w:sz w:val="16"/>
                <w:szCs w:val="16"/>
                <w:lang w:eastAsia="es-ES"/>
              </w:rPr>
              <w:t>Subdirectora de Gestión Contractual ANCP – CCE</w:t>
            </w:r>
          </w:p>
        </w:tc>
      </w:tr>
    </w:tbl>
    <w:p w14:paraId="3CB8BAD0" w14:textId="77777777" w:rsidR="00001900" w:rsidRPr="00262582" w:rsidRDefault="00001900" w:rsidP="00001900">
      <w:pPr>
        <w:spacing w:after="0" w:line="276" w:lineRule="auto"/>
        <w:jc w:val="both"/>
        <w:rPr>
          <w:rFonts w:ascii="Verdana" w:eastAsia="Times New Roman" w:hAnsi="Verdana" w:cs="Arial"/>
          <w:lang w:val="es-ES_tradnl"/>
        </w:rPr>
      </w:pPr>
    </w:p>
    <w:p w14:paraId="15E39DC6" w14:textId="77777777" w:rsidR="00001900" w:rsidRPr="00262582" w:rsidRDefault="00001900" w:rsidP="00001900">
      <w:pPr>
        <w:spacing w:after="0" w:line="240" w:lineRule="auto"/>
        <w:rPr>
          <w:rFonts w:ascii="Verdana" w:eastAsia="Times New Roman" w:hAnsi="Verdana" w:cs="Arial"/>
          <w:sz w:val="24"/>
          <w:szCs w:val="24"/>
          <w:lang w:eastAsia="es-ES_tradnl"/>
        </w:rPr>
      </w:pPr>
    </w:p>
    <w:p w14:paraId="58287119" w14:textId="77777777" w:rsidR="00001900" w:rsidRPr="00262582" w:rsidRDefault="00001900" w:rsidP="00001900">
      <w:pPr>
        <w:rPr>
          <w:rFonts w:ascii="Verdana" w:hAnsi="Verdana"/>
        </w:rPr>
      </w:pPr>
    </w:p>
    <w:p w14:paraId="2287A074" w14:textId="77777777" w:rsidR="00001900" w:rsidRPr="0077713E" w:rsidRDefault="00001900" w:rsidP="00001900"/>
    <w:p w14:paraId="482349D9" w14:textId="77777777" w:rsidR="00001900" w:rsidRDefault="00001900" w:rsidP="00001900"/>
    <w:p w14:paraId="0CD4DD28" w14:textId="77777777" w:rsidR="00001900" w:rsidRPr="00D22A9A" w:rsidRDefault="00001900" w:rsidP="00001900"/>
    <w:p w14:paraId="57AC5E25" w14:textId="77777777" w:rsidR="00C24FFE" w:rsidRPr="00001900" w:rsidRDefault="00C24FFE" w:rsidP="00001900"/>
    <w:sectPr w:rsidR="00C24FFE" w:rsidRPr="00001900" w:rsidSect="006E1532">
      <w:headerReference w:type="default" r:id="rId19"/>
      <w:footerReference w:type="default" r:id="rId20"/>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9360F2" w14:textId="77777777" w:rsidR="008C14BB" w:rsidRDefault="008C14BB" w:rsidP="006E1532">
      <w:pPr>
        <w:spacing w:after="0" w:line="240" w:lineRule="auto"/>
      </w:pPr>
      <w:r>
        <w:separator/>
      </w:r>
    </w:p>
  </w:endnote>
  <w:endnote w:type="continuationSeparator" w:id="0">
    <w:p w14:paraId="1F867409" w14:textId="77777777" w:rsidR="008C14BB" w:rsidRDefault="008C14BB" w:rsidP="006E1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eomanist Light">
    <w:altName w:val="Calibri"/>
    <w:panose1 w:val="00000000000000000000"/>
    <w:charset w:val="00"/>
    <w:family w:val="modern"/>
    <w:notTrueType/>
    <w:pitch w:val="variable"/>
    <w:sig w:usb0="A000002F" w:usb1="1000004A" w:usb2="00000000" w:usb3="00000000" w:csb0="00000193" w:csb1="00000000"/>
  </w:font>
  <w:font w:name="Arial MT">
    <w:altName w:val="Arial"/>
    <w:charset w:val="01"/>
    <w:family w:val="swiss"/>
    <w:pitch w:val="variable"/>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Geomanist Bold">
    <w:altName w:val="Calibri"/>
    <w:panose1 w:val="00000000000000000000"/>
    <w:charset w:val="00"/>
    <w:family w:val="modern"/>
    <w:notTrueType/>
    <w:pitch w:val="variable"/>
    <w:sig w:usb0="A000002F" w:usb1="1000004A" w:usb2="00000000" w:usb3="00000000" w:csb0="00000193" w:csb1="00000000"/>
  </w:font>
  <w:font w:name="Geo">
    <w:altName w:val="Calibri"/>
    <w:charset w:val="00"/>
    <w:family w:val="auto"/>
    <w:pitch w:val="variable"/>
    <w:sig w:usb0="8000002F" w:usb1="40000048" w:usb2="00000000" w:usb3="00000000" w:csb0="00000001"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2EFA86" w14:textId="77777777" w:rsidR="00001900" w:rsidRDefault="00001900">
    <w:pPr>
      <w:pStyle w:val="Piedepgina"/>
    </w:pPr>
  </w:p>
  <w:p w14:paraId="7E4DBDBE" w14:textId="77777777" w:rsidR="00001900" w:rsidRPr="00174B77" w:rsidRDefault="00001900" w:rsidP="00D520D8">
    <w:pPr>
      <w:pBdr>
        <w:top w:val="single" w:sz="4" w:space="1" w:color="auto"/>
      </w:pBdr>
      <w:spacing w:after="0"/>
      <w:rPr>
        <w:rFonts w:ascii="Verdana" w:hAnsi="Verdana"/>
        <w:b/>
        <w:bCs/>
        <w:sz w:val="20"/>
        <w:szCs w:val="20"/>
      </w:rPr>
    </w:pPr>
    <w:r>
      <w:rPr>
        <w:rFonts w:ascii="Verdana" w:hAnsi="Verdana"/>
        <w:b/>
        <w:bCs/>
        <w:sz w:val="20"/>
        <w:szCs w:val="20"/>
      </w:rPr>
      <w:t>A</w:t>
    </w:r>
    <w:r w:rsidRPr="008E4D59">
      <w:rPr>
        <w:rFonts w:ascii="Verdana" w:hAnsi="Verdana"/>
        <w:b/>
        <w:bCs/>
        <w:sz w:val="20"/>
        <w:szCs w:val="20"/>
      </w:rPr>
      <w:t>gencia Nacional de Contratación</w:t>
    </w:r>
    <w:r>
      <w:rPr>
        <w:rFonts w:ascii="Verdana" w:hAnsi="Verdana"/>
        <w:b/>
        <w:bCs/>
        <w:sz w:val="20"/>
        <w:szCs w:val="20"/>
      </w:rPr>
      <w:t xml:space="preserve"> </w:t>
    </w:r>
    <w:r w:rsidRPr="008E4D59">
      <w:rPr>
        <w:rFonts w:ascii="Verdana" w:hAnsi="Verdana"/>
        <w:b/>
        <w:bCs/>
        <w:sz w:val="20"/>
        <w:szCs w:val="20"/>
      </w:rPr>
      <w:t>Pública</w:t>
    </w:r>
    <w:r>
      <w:rPr>
        <w:rFonts w:ascii="Verdana" w:hAnsi="Verdana"/>
        <w:b/>
        <w:bCs/>
        <w:sz w:val="20"/>
        <w:szCs w:val="20"/>
      </w:rPr>
      <w:t xml:space="preserve">                                              </w:t>
    </w:r>
    <w:r w:rsidRPr="002E1330">
      <w:rPr>
        <w:rFonts w:ascii="Verdana" w:eastAsiaTheme="majorEastAsia" w:hAnsi="Verdana" w:cstheme="majorBidi"/>
        <w:b/>
        <w:bCs/>
        <w:sz w:val="16"/>
        <w:szCs w:val="16"/>
        <w:lang w:val="es-ES"/>
      </w:rPr>
      <w:t xml:space="preserve">pág. </w:t>
    </w:r>
    <w:r w:rsidRPr="002E1330">
      <w:rPr>
        <w:rFonts w:ascii="Verdana" w:eastAsiaTheme="minorEastAsia" w:hAnsi="Verdana"/>
        <w:b/>
        <w:bCs/>
        <w:sz w:val="16"/>
        <w:szCs w:val="16"/>
      </w:rPr>
      <w:fldChar w:fldCharType="begin"/>
    </w:r>
    <w:r w:rsidRPr="002E1330">
      <w:rPr>
        <w:rFonts w:ascii="Verdana" w:hAnsi="Verdana"/>
        <w:b/>
        <w:bCs/>
        <w:sz w:val="16"/>
        <w:szCs w:val="16"/>
      </w:rPr>
      <w:instrText>PAGE    \* MERGEFORMAT</w:instrText>
    </w:r>
    <w:r w:rsidRPr="002E1330">
      <w:rPr>
        <w:rFonts w:ascii="Verdana" w:eastAsiaTheme="minorEastAsia" w:hAnsi="Verdana"/>
        <w:b/>
        <w:bCs/>
        <w:sz w:val="16"/>
        <w:szCs w:val="16"/>
      </w:rPr>
      <w:fldChar w:fldCharType="separate"/>
    </w:r>
    <w:r>
      <w:rPr>
        <w:rFonts w:ascii="Verdana" w:eastAsiaTheme="minorEastAsia" w:hAnsi="Verdana"/>
        <w:b/>
        <w:bCs/>
        <w:sz w:val="16"/>
        <w:szCs w:val="16"/>
      </w:rPr>
      <w:t>1</w:t>
    </w:r>
    <w:r w:rsidRPr="002E1330">
      <w:rPr>
        <w:rFonts w:ascii="Verdana" w:eastAsiaTheme="majorEastAsia" w:hAnsi="Verdana" w:cstheme="majorBidi"/>
        <w:b/>
        <w:bCs/>
        <w:sz w:val="16"/>
        <w:szCs w:val="16"/>
      </w:rPr>
      <w:fldChar w:fldCharType="end"/>
    </w:r>
    <w:r>
      <w:rPr>
        <w:rFonts w:ascii="Verdana" w:hAnsi="Verdana"/>
        <w:b/>
        <w:bCs/>
        <w:sz w:val="20"/>
        <w:szCs w:val="20"/>
      </w:rPr>
      <w:t xml:space="preserve">              </w:t>
    </w:r>
    <w:r w:rsidRPr="008E4D59">
      <w:rPr>
        <w:rFonts w:ascii="Verdana" w:hAnsi="Verdana"/>
        <w:b/>
        <w:bCs/>
        <w:sz w:val="20"/>
        <w:szCs w:val="20"/>
      </w:rPr>
      <w:t xml:space="preserve">Colombia Compra Eficiente         </w:t>
    </w:r>
    <w:r w:rsidRPr="008E4D59">
      <w:rPr>
        <w:rFonts w:ascii="Verdana" w:hAnsi="Verdana"/>
        <w:b/>
        <w:bCs/>
        <w:sz w:val="20"/>
        <w:szCs w:val="20"/>
        <w:lang w:val="es-ES"/>
      </w:rPr>
      <w:t xml:space="preserve"> </w:t>
    </w:r>
    <w:r>
      <w:rPr>
        <w:rFonts w:ascii="Verdana" w:hAnsi="Verdana"/>
        <w:b/>
        <w:bCs/>
        <w:sz w:val="20"/>
        <w:szCs w:val="20"/>
      </w:rPr>
      <w:t xml:space="preserve">                                                  </w:t>
    </w:r>
  </w:p>
  <w:p w14:paraId="077524C7" w14:textId="77777777" w:rsidR="00001900" w:rsidRDefault="00001900" w:rsidP="00D520D8">
    <w:pPr>
      <w:spacing w:after="0"/>
      <w:jc w:val="both"/>
      <w:rPr>
        <w:rFonts w:ascii="Verdana" w:hAnsi="Verdana"/>
        <w:sz w:val="18"/>
        <w:szCs w:val="18"/>
      </w:rPr>
    </w:pPr>
    <w:r w:rsidRPr="00E41027">
      <w:rPr>
        <w:rFonts w:ascii="Verdana" w:hAnsi="Verdana"/>
        <w:sz w:val="18"/>
        <w:szCs w:val="18"/>
      </w:rPr>
      <w:t>Dirección: Carrera 7 # 26 – 20 - Bogotá, Colombia</w:t>
    </w:r>
  </w:p>
  <w:p w14:paraId="3410986C" w14:textId="77777777" w:rsidR="00001900" w:rsidRPr="00E41027" w:rsidRDefault="00001900" w:rsidP="00D520D8">
    <w:pPr>
      <w:spacing w:after="0"/>
      <w:jc w:val="both"/>
      <w:rPr>
        <w:rFonts w:ascii="Verdana" w:hAnsi="Verdana"/>
        <w:sz w:val="18"/>
        <w:szCs w:val="18"/>
      </w:rPr>
    </w:pPr>
    <w:r w:rsidRPr="00E41027">
      <w:rPr>
        <w:rFonts w:ascii="Verdana" w:hAnsi="Verdana"/>
        <w:sz w:val="18"/>
        <w:szCs w:val="18"/>
      </w:rPr>
      <w:t>Mesa de servicio: (+57) 601 7456788</w:t>
    </w:r>
  </w:p>
  <w:p w14:paraId="7BB42E90" w14:textId="77777777" w:rsidR="00001900" w:rsidRDefault="00001900" w:rsidP="0025796E">
    <w:pPr>
      <w:pBdr>
        <w:top w:val="nil"/>
        <w:left w:val="nil"/>
        <w:bottom w:val="nil"/>
        <w:right w:val="nil"/>
        <w:between w:val="nil"/>
      </w:pBdr>
      <w:tabs>
        <w:tab w:val="center" w:pos="4419"/>
        <w:tab w:val="right" w:pos="8838"/>
        <w:tab w:val="center" w:pos="5400"/>
      </w:tabs>
      <w:spacing w:after="0"/>
    </w:pPr>
    <w:r w:rsidRPr="00E41027">
      <w:rPr>
        <w:rFonts w:ascii="Verdana" w:hAnsi="Verdana"/>
        <w:sz w:val="18"/>
        <w:szCs w:val="18"/>
      </w:rPr>
      <w:t>Atención al ciudadano:</w:t>
    </w:r>
    <w:r>
      <w:rPr>
        <w:rFonts w:ascii="Verdana" w:hAnsi="Verdana"/>
        <w:sz w:val="18"/>
        <w:szCs w:val="18"/>
      </w:rPr>
      <w:t xml:space="preserve"> </w:t>
    </w:r>
    <w:r w:rsidRPr="00E41027">
      <w:rPr>
        <w:rFonts w:ascii="Verdana" w:hAnsi="Verdana"/>
        <w:sz w:val="18"/>
        <w:szCs w:val="18"/>
      </w:rPr>
      <w:t>(+57) 601 7956600</w:t>
    </w:r>
    <w:r>
      <w:rPr>
        <w:rFonts w:ascii="Verdana" w:hAnsi="Verdana"/>
        <w:sz w:val="18"/>
        <w:szCs w:val="18"/>
      </w:rPr>
      <w:t xml:space="preserve">          </w:t>
    </w:r>
    <w:r w:rsidRPr="004A305D">
      <w:rPr>
        <w:rFonts w:ascii="Century Gothic" w:eastAsia="Geo" w:hAnsi="Century Gothic" w:cs="Geo"/>
        <w:b/>
        <w:color w:val="000000"/>
        <w:sz w:val="16"/>
        <w:szCs w:val="16"/>
        <w:lang w:eastAsia="es-CO"/>
      </w:rPr>
      <w:t xml:space="preserve">Código: </w:t>
    </w:r>
    <w:r w:rsidRPr="004A305D">
      <w:rPr>
        <w:rFonts w:ascii="Century Gothic" w:eastAsia="Geo" w:hAnsi="Century Gothic" w:cs="Geo"/>
        <w:bCs/>
        <w:color w:val="000000"/>
        <w:sz w:val="16"/>
        <w:szCs w:val="16"/>
        <w:lang w:eastAsia="es-CO"/>
      </w:rPr>
      <w:t>CCE-</w:t>
    </w:r>
    <w:r>
      <w:rPr>
        <w:rFonts w:ascii="Century Gothic" w:eastAsia="Geo" w:hAnsi="Century Gothic" w:cs="Geo"/>
        <w:bCs/>
        <w:color w:val="000000"/>
        <w:sz w:val="16"/>
        <w:szCs w:val="16"/>
        <w:lang w:eastAsia="es-CO"/>
      </w:rPr>
      <w:t>REC</w:t>
    </w:r>
    <w:r w:rsidRPr="004A305D">
      <w:rPr>
        <w:rFonts w:ascii="Century Gothic" w:eastAsia="Geo" w:hAnsi="Century Gothic" w:cs="Geo"/>
        <w:bCs/>
        <w:color w:val="000000"/>
        <w:sz w:val="16"/>
        <w:szCs w:val="16"/>
        <w:lang w:eastAsia="es-CO"/>
      </w:rPr>
      <w:t>-FM-</w:t>
    </w:r>
    <w:r>
      <w:rPr>
        <w:rFonts w:ascii="Century Gothic" w:eastAsia="Geo" w:hAnsi="Century Gothic" w:cs="Geo"/>
        <w:bCs/>
        <w:color w:val="000000"/>
        <w:sz w:val="16"/>
        <w:szCs w:val="16"/>
        <w:lang w:eastAsia="es-CO"/>
      </w:rPr>
      <w:t xml:space="preserve">17 </w:t>
    </w:r>
    <w:r w:rsidRPr="004A305D">
      <w:rPr>
        <w:rFonts w:ascii="Century Gothic" w:eastAsia="Geo" w:hAnsi="Century Gothic" w:cs="Geo"/>
        <w:b/>
        <w:color w:val="000000"/>
        <w:sz w:val="16"/>
        <w:szCs w:val="16"/>
        <w:lang w:eastAsia="es-CO"/>
      </w:rPr>
      <w:t>Versión</w:t>
    </w:r>
    <w:r w:rsidRPr="004A305D">
      <w:rPr>
        <w:rFonts w:ascii="Century Gothic" w:eastAsia="Arial Nova" w:hAnsi="Century Gothic" w:cs="Arial Nova"/>
        <w:b/>
        <w:color w:val="000000"/>
        <w:sz w:val="16"/>
        <w:szCs w:val="16"/>
        <w:lang w:eastAsia="es-CO"/>
      </w:rPr>
      <w:t xml:space="preserve">: </w:t>
    </w:r>
    <w:r w:rsidRPr="004A305D">
      <w:rPr>
        <w:rFonts w:ascii="Century Gothic" w:eastAsia="Geo" w:hAnsi="Century Gothic" w:cs="Geo"/>
        <w:sz w:val="16"/>
        <w:szCs w:val="16"/>
        <w:lang w:eastAsia="es-CO"/>
      </w:rPr>
      <w:t>0</w:t>
    </w:r>
    <w:r>
      <w:rPr>
        <w:rFonts w:ascii="Century Gothic" w:eastAsia="Geo" w:hAnsi="Century Gothic" w:cs="Geo"/>
        <w:sz w:val="16"/>
        <w:szCs w:val="16"/>
        <w:lang w:eastAsia="es-CO"/>
      </w:rPr>
      <w:t>2</w:t>
    </w:r>
    <w:r w:rsidRPr="004A305D">
      <w:rPr>
        <w:rFonts w:ascii="Century Gothic" w:eastAsia="Geo" w:hAnsi="Century Gothic" w:cs="Geo"/>
        <w:sz w:val="16"/>
        <w:szCs w:val="16"/>
        <w:lang w:eastAsia="es-CO"/>
      </w:rPr>
      <w:t xml:space="preserve"> </w:t>
    </w:r>
    <w:r>
      <w:rPr>
        <w:rFonts w:ascii="Century Gothic" w:eastAsia="Geo" w:hAnsi="Century Gothic" w:cs="Geo"/>
        <w:sz w:val="16"/>
        <w:szCs w:val="16"/>
        <w:lang w:eastAsia="es-CO"/>
      </w:rPr>
      <w:t>Fecha: 31-08-2023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129F74" w14:textId="77777777" w:rsidR="008C14BB" w:rsidRDefault="008C14BB" w:rsidP="006E1532">
      <w:pPr>
        <w:spacing w:after="0" w:line="240" w:lineRule="auto"/>
      </w:pPr>
      <w:r>
        <w:separator/>
      </w:r>
    </w:p>
  </w:footnote>
  <w:footnote w:type="continuationSeparator" w:id="0">
    <w:p w14:paraId="52309B10" w14:textId="77777777" w:rsidR="008C14BB" w:rsidRDefault="008C14BB" w:rsidP="006E1532">
      <w:pPr>
        <w:spacing w:after="0" w:line="240" w:lineRule="auto"/>
      </w:pPr>
      <w:r>
        <w:continuationSeparator/>
      </w:r>
    </w:p>
  </w:footnote>
  <w:footnote w:id="1">
    <w:p w14:paraId="0008CC53" w14:textId="77777777" w:rsidR="00001900" w:rsidRPr="00E519F2" w:rsidRDefault="00001900" w:rsidP="00001900">
      <w:pPr>
        <w:pStyle w:val="Textonotapie"/>
        <w:ind w:firstLine="708"/>
        <w:jc w:val="both"/>
        <w:rPr>
          <w:rStyle w:val="Hipervnculo"/>
          <w:rFonts w:ascii="Verdana" w:hAnsi="Verdana" w:cs="Arial"/>
          <w:sz w:val="12"/>
          <w:szCs w:val="12"/>
        </w:rPr>
      </w:pPr>
      <w:r w:rsidRPr="00E519F2">
        <w:rPr>
          <w:rStyle w:val="Refdenotaalpie"/>
          <w:rFonts w:ascii="Verdana" w:hAnsi="Verdana" w:cs="Arial"/>
          <w:sz w:val="12"/>
          <w:szCs w:val="12"/>
        </w:rPr>
        <w:footnoteRef/>
      </w:r>
      <w:r w:rsidRPr="00E519F2">
        <w:rPr>
          <w:rFonts w:ascii="Verdana" w:hAnsi="Verdana" w:cs="Arial"/>
          <w:sz w:val="12"/>
          <w:szCs w:val="12"/>
        </w:rPr>
        <w:t xml:space="preserve"> La Resolución 219 del 6 de agosto de 2021 puede ser consultada en el siguiente enlace: </w:t>
      </w:r>
      <w:hyperlink r:id="rId1" w:history="1">
        <w:r w:rsidRPr="00E519F2">
          <w:rPr>
            <w:rStyle w:val="Hipervnculo"/>
            <w:rFonts w:ascii="Verdana" w:hAnsi="Verdana" w:cs="Arial"/>
            <w:sz w:val="12"/>
            <w:szCs w:val="12"/>
          </w:rPr>
          <w:t>https://www.colombiacompra.gov.co/content/03-documentos-tipo-transversales-de-licitacion-de-obra-publica-de-infraestructura-social-con</w:t>
        </w:r>
      </w:hyperlink>
    </w:p>
    <w:p w14:paraId="6C933104" w14:textId="77777777" w:rsidR="00001900" w:rsidRPr="00E519F2" w:rsidRDefault="00001900" w:rsidP="00001900">
      <w:pPr>
        <w:pStyle w:val="Textonotapie"/>
        <w:ind w:firstLine="708"/>
        <w:jc w:val="both"/>
        <w:rPr>
          <w:rFonts w:ascii="Verdana" w:hAnsi="Verdana" w:cs="Arial"/>
          <w:sz w:val="12"/>
          <w:szCs w:val="12"/>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0242D" w14:textId="77777777" w:rsidR="00001900" w:rsidRDefault="00001900">
    <w:pPr>
      <w:pStyle w:val="Encabezado"/>
    </w:pPr>
    <w:r>
      <w:rPr>
        <w:rFonts w:ascii="Geomanist Bold" w:hAnsi="Geomanist Bold"/>
        <w:b/>
        <w:bCs/>
        <w:noProof/>
        <w:color w:val="002060"/>
        <w:sz w:val="24"/>
        <w:szCs w:val="24"/>
      </w:rPr>
      <w:drawing>
        <wp:anchor distT="0" distB="0" distL="114300" distR="114300" simplePos="0" relativeHeight="251660288" behindDoc="1" locked="0" layoutInCell="1" allowOverlap="1" wp14:anchorId="10A380E0" wp14:editId="6B93D6C2">
          <wp:simplePos x="0" y="0"/>
          <wp:positionH relativeFrom="margin">
            <wp:align>center</wp:align>
          </wp:positionH>
          <wp:positionV relativeFrom="paragraph">
            <wp:posOffset>-345440</wp:posOffset>
          </wp:positionV>
          <wp:extent cx="1924050" cy="856004"/>
          <wp:effectExtent l="0" t="0" r="0" b="1270"/>
          <wp:wrapNone/>
          <wp:docPr id="1309089902"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89902" name="Imagen 1"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924050" cy="856004"/>
                  </a:xfrm>
                  <a:prstGeom prst="rect">
                    <a:avLst/>
                  </a:prstGeom>
                </pic:spPr>
              </pic:pic>
            </a:graphicData>
          </a:graphic>
          <wp14:sizeRelH relativeFrom="margin">
            <wp14:pctWidth>0</wp14:pctWidth>
          </wp14:sizeRelH>
          <wp14:sizeRelV relativeFrom="margin">
            <wp14:pctHeight>0</wp14:pctHeight>
          </wp14:sizeRelV>
        </wp:anchor>
      </w:drawing>
    </w:r>
    <w:r>
      <w:rPr>
        <w:rFonts w:ascii="Geomanist Bold" w:hAnsi="Geomanist Bold"/>
        <w:b/>
        <w:bCs/>
        <w:noProof/>
        <w:color w:val="002060"/>
        <w:sz w:val="24"/>
        <w:szCs w:val="24"/>
      </w:rPr>
      <w:drawing>
        <wp:anchor distT="0" distB="0" distL="114300" distR="114300" simplePos="0" relativeHeight="251659264" behindDoc="0" locked="0" layoutInCell="1" allowOverlap="1" wp14:anchorId="21A2B1F6" wp14:editId="7991E9FA">
          <wp:simplePos x="0" y="0"/>
          <wp:positionH relativeFrom="margin">
            <wp:posOffset>8420100</wp:posOffset>
          </wp:positionH>
          <wp:positionV relativeFrom="margin">
            <wp:posOffset>-1377950</wp:posOffset>
          </wp:positionV>
          <wp:extent cx="665480" cy="3098800"/>
          <wp:effectExtent l="0" t="0" r="0" b="0"/>
          <wp:wrapThrough wrapText="bothSides">
            <wp:wrapPolygon edited="0">
              <wp:start x="6183" y="0"/>
              <wp:lineTo x="0" y="1416"/>
              <wp:lineTo x="5359" y="2833"/>
              <wp:lineTo x="2061" y="4249"/>
              <wp:lineTo x="412" y="4780"/>
              <wp:lineTo x="824" y="5134"/>
              <wp:lineTo x="3298" y="5666"/>
              <wp:lineTo x="4534" y="7082"/>
              <wp:lineTo x="412" y="7967"/>
              <wp:lineTo x="0" y="8233"/>
              <wp:lineTo x="5771" y="9915"/>
              <wp:lineTo x="0" y="11508"/>
              <wp:lineTo x="0" y="11685"/>
              <wp:lineTo x="4122" y="12748"/>
              <wp:lineTo x="2061" y="14164"/>
              <wp:lineTo x="0" y="14872"/>
              <wp:lineTo x="0" y="15049"/>
              <wp:lineTo x="2061" y="15580"/>
              <wp:lineTo x="4534" y="16997"/>
              <wp:lineTo x="0" y="18059"/>
              <wp:lineTo x="0" y="18413"/>
              <wp:lineTo x="10718" y="21246"/>
              <wp:lineTo x="12366" y="21511"/>
              <wp:lineTo x="14427" y="21511"/>
              <wp:lineTo x="14840" y="21511"/>
              <wp:lineTo x="17313" y="20980"/>
              <wp:lineTo x="20611" y="20007"/>
              <wp:lineTo x="20198" y="19830"/>
              <wp:lineTo x="13603" y="18413"/>
              <wp:lineTo x="21023" y="16643"/>
              <wp:lineTo x="16489" y="15580"/>
              <wp:lineTo x="17313" y="14164"/>
              <wp:lineTo x="21023" y="13279"/>
              <wp:lineTo x="18962" y="12748"/>
              <wp:lineTo x="15664" y="11331"/>
              <wp:lineTo x="21023" y="10003"/>
              <wp:lineTo x="21023" y="9826"/>
              <wp:lineTo x="18137" y="9207"/>
              <wp:lineTo x="15664" y="8498"/>
              <wp:lineTo x="19374" y="7082"/>
              <wp:lineTo x="21023" y="6639"/>
              <wp:lineTo x="21023" y="6374"/>
              <wp:lineTo x="18137" y="5666"/>
              <wp:lineTo x="16901" y="4249"/>
              <wp:lineTo x="21023" y="3275"/>
              <wp:lineTo x="21023" y="3098"/>
              <wp:lineTo x="20611" y="2833"/>
              <wp:lineTo x="8244" y="0"/>
              <wp:lineTo x="6183" y="0"/>
            </wp:wrapPolygon>
          </wp:wrapThrough>
          <wp:docPr id="962149914" name="Imagen 96214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74706" name="Imagen 1987974706"/>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5480" cy="3098800"/>
                  </a:xfrm>
                  <a:prstGeom prst="rect">
                    <a:avLst/>
                  </a:prstGeom>
                </pic:spPr>
              </pic:pic>
            </a:graphicData>
          </a:graphic>
          <wp14:sizeRelH relativeFrom="margin">
            <wp14:pctWidth>0</wp14:pctWidth>
          </wp14:sizeRelH>
          <wp14:sizeRelV relativeFrom="margin">
            <wp14:pctHeight>0</wp14:pctHeight>
          </wp14:sizeRelV>
        </wp:anchor>
      </w:drawing>
    </w:r>
  </w:p>
  <w:p w14:paraId="25B8AE96" w14:textId="77777777" w:rsidR="00001900" w:rsidRDefault="00001900">
    <w:pPr>
      <w:pStyle w:val="Encabezado"/>
    </w:pPr>
  </w:p>
  <w:p w14:paraId="390E7AF9" w14:textId="77777777" w:rsidR="00001900" w:rsidRDefault="00001900" w:rsidP="004A305D">
    <w:pPr>
      <w:spacing w:after="0"/>
      <w:rPr>
        <w:rFonts w:ascii="Verdana" w:hAnsi="Verdana"/>
        <w:b/>
        <w:bCs/>
      </w:rPr>
    </w:pPr>
  </w:p>
  <w:p w14:paraId="7B906B0F" w14:textId="77777777" w:rsidR="00001900" w:rsidRPr="004A305D" w:rsidRDefault="00001900" w:rsidP="00B01B1A">
    <w:pPr>
      <w:spacing w:after="0" w:line="120" w:lineRule="auto"/>
      <w:rPr>
        <w:rFonts w:ascii="Century Gothic" w:eastAsia="Geo" w:hAnsi="Century Gothic" w:cs="Geo"/>
        <w:sz w:val="16"/>
        <w:szCs w:val="16"/>
        <w:lang w:eastAsia="es-CO"/>
      </w:rPr>
    </w:pPr>
  </w:p>
  <w:p w14:paraId="6E681F06" w14:textId="77777777" w:rsidR="00001900" w:rsidRDefault="00001900" w:rsidP="00061B2A">
    <w:pPr>
      <w:pStyle w:val="Encabezado"/>
      <w:spacing w:line="12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06310"/>
    <w:multiLevelType w:val="multilevel"/>
    <w:tmpl w:val="47FE4C7E"/>
    <w:lvl w:ilvl="0">
      <w:start w:val="1"/>
      <w:numFmt w:val="upperRoman"/>
      <w:lvlText w:val="%1."/>
      <w:lvlJc w:val="right"/>
      <w:pPr>
        <w:ind w:left="1068" w:hanging="360"/>
      </w:pPr>
      <w:rPr>
        <w:b/>
        <w:color w:val="000000" w:themeColor="text1"/>
      </w:rPr>
    </w:lvl>
    <w:lvl w:ilvl="1">
      <w:start w:val="2"/>
      <w:numFmt w:val="decimal"/>
      <w:isLgl/>
      <w:lvlText w:val="%1.%2"/>
      <w:lvlJc w:val="left"/>
      <w:pPr>
        <w:ind w:left="708" w:hanging="360"/>
      </w:pPr>
    </w:lvl>
    <w:lvl w:ilvl="2">
      <w:start w:val="1"/>
      <w:numFmt w:val="decimal"/>
      <w:isLgl/>
      <w:lvlText w:val="%1.%2.%3"/>
      <w:lvlJc w:val="left"/>
      <w:pPr>
        <w:ind w:left="1428" w:hanging="720"/>
      </w:pPr>
    </w:lvl>
    <w:lvl w:ilvl="3">
      <w:start w:val="1"/>
      <w:numFmt w:val="decimal"/>
      <w:isLgl/>
      <w:lvlText w:val="%1.%2.%3.%4"/>
      <w:lvlJc w:val="left"/>
      <w:pPr>
        <w:ind w:left="1428" w:hanging="720"/>
      </w:pPr>
    </w:lvl>
    <w:lvl w:ilvl="4">
      <w:start w:val="1"/>
      <w:numFmt w:val="decimal"/>
      <w:isLgl/>
      <w:lvlText w:val="%1.%2.%3.%4.%5"/>
      <w:lvlJc w:val="left"/>
      <w:pPr>
        <w:ind w:left="1788" w:hanging="1080"/>
      </w:pPr>
    </w:lvl>
    <w:lvl w:ilvl="5">
      <w:start w:val="1"/>
      <w:numFmt w:val="decimal"/>
      <w:isLgl/>
      <w:lvlText w:val="%1.%2.%3.%4.%5.%6"/>
      <w:lvlJc w:val="left"/>
      <w:pPr>
        <w:ind w:left="1788" w:hanging="1080"/>
      </w:pPr>
    </w:lvl>
    <w:lvl w:ilvl="6">
      <w:start w:val="1"/>
      <w:numFmt w:val="decimal"/>
      <w:isLgl/>
      <w:lvlText w:val="%1.%2.%3.%4.%5.%6.%7"/>
      <w:lvlJc w:val="left"/>
      <w:pPr>
        <w:ind w:left="2148" w:hanging="1440"/>
      </w:pPr>
    </w:lvl>
    <w:lvl w:ilvl="7">
      <w:start w:val="1"/>
      <w:numFmt w:val="decimal"/>
      <w:isLgl/>
      <w:lvlText w:val="%1.%2.%3.%4.%5.%6.%7.%8"/>
      <w:lvlJc w:val="left"/>
      <w:pPr>
        <w:ind w:left="2148" w:hanging="1440"/>
      </w:pPr>
    </w:lvl>
    <w:lvl w:ilvl="8">
      <w:start w:val="1"/>
      <w:numFmt w:val="decimal"/>
      <w:isLgl/>
      <w:lvlText w:val="%1.%2.%3.%4.%5.%6.%7.%8.%9"/>
      <w:lvlJc w:val="left"/>
      <w:pPr>
        <w:ind w:left="2508" w:hanging="1800"/>
      </w:pPr>
    </w:lvl>
  </w:abstractNum>
  <w:abstractNum w:abstractNumId="1" w15:restartNumberingAfterBreak="0">
    <w:nsid w:val="0FDC0E71"/>
    <w:multiLevelType w:val="multilevel"/>
    <w:tmpl w:val="56A8DC92"/>
    <w:lvl w:ilvl="0">
      <w:start w:val="2"/>
      <w:numFmt w:val="decimal"/>
      <w:lvlText w:val="%1"/>
      <w:lvlJc w:val="left"/>
      <w:pPr>
        <w:ind w:left="375" w:hanging="375"/>
      </w:pPr>
      <w:rPr>
        <w:rFonts w:hint="default"/>
      </w:rPr>
    </w:lvl>
    <w:lvl w:ilvl="1">
      <w:start w:val="80"/>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26F3C1F"/>
    <w:multiLevelType w:val="hybridMultilevel"/>
    <w:tmpl w:val="7856E2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18E5EF0"/>
    <w:multiLevelType w:val="hybridMultilevel"/>
    <w:tmpl w:val="BAEA2E5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9D726F5"/>
    <w:multiLevelType w:val="hybridMultilevel"/>
    <w:tmpl w:val="7BDC1A1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330140246">
    <w:abstractNumId w:val="0"/>
  </w:num>
  <w:num w:numId="2" w16cid:durableId="1492209491">
    <w:abstractNumId w:val="3"/>
  </w:num>
  <w:num w:numId="3" w16cid:durableId="679089576">
    <w:abstractNumId w:val="4"/>
  </w:num>
  <w:num w:numId="4" w16cid:durableId="1001394271">
    <w:abstractNumId w:val="1"/>
  </w:num>
  <w:num w:numId="5" w16cid:durableId="20204251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532"/>
    <w:rsid w:val="00001900"/>
    <w:rsid w:val="001B3930"/>
    <w:rsid w:val="00474DF4"/>
    <w:rsid w:val="004F471F"/>
    <w:rsid w:val="006B7596"/>
    <w:rsid w:val="006E1532"/>
    <w:rsid w:val="008C14BB"/>
    <w:rsid w:val="00902283"/>
    <w:rsid w:val="00C24FFE"/>
    <w:rsid w:val="00C4282D"/>
    <w:rsid w:val="00C52FF9"/>
    <w:rsid w:val="00DF3A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8EB1A"/>
  <w15:chartTrackingRefBased/>
  <w15:docId w15:val="{C693AADF-801D-41A9-9268-E9FFEB1BF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532"/>
    <w:rPr>
      <w:kern w:val="0"/>
      <w14:ligatures w14:val="none"/>
    </w:rPr>
  </w:style>
  <w:style w:type="paragraph" w:styleId="Ttulo1">
    <w:name w:val="heading 1"/>
    <w:basedOn w:val="Normal"/>
    <w:next w:val="Normal"/>
    <w:link w:val="Ttulo1Car"/>
    <w:uiPriority w:val="9"/>
    <w:qFormat/>
    <w:rsid w:val="006E153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6E153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6E1532"/>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6E1532"/>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6E1532"/>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6E153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E153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E153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E153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E1532"/>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6E1532"/>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6E1532"/>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6E1532"/>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6E1532"/>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6E153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E153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E153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E1532"/>
    <w:rPr>
      <w:rFonts w:eastAsiaTheme="majorEastAsia" w:cstheme="majorBidi"/>
      <w:color w:val="272727" w:themeColor="text1" w:themeTint="D8"/>
    </w:rPr>
  </w:style>
  <w:style w:type="paragraph" w:styleId="Ttulo">
    <w:name w:val="Title"/>
    <w:basedOn w:val="Normal"/>
    <w:next w:val="Normal"/>
    <w:link w:val="TtuloCar"/>
    <w:uiPriority w:val="10"/>
    <w:qFormat/>
    <w:rsid w:val="006E15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E153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E153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E153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E1532"/>
    <w:pPr>
      <w:spacing w:before="160"/>
      <w:jc w:val="center"/>
    </w:pPr>
    <w:rPr>
      <w:i/>
      <w:iCs/>
      <w:color w:val="404040" w:themeColor="text1" w:themeTint="BF"/>
    </w:rPr>
  </w:style>
  <w:style w:type="character" w:customStyle="1" w:styleId="CitaCar">
    <w:name w:val="Cita Car"/>
    <w:basedOn w:val="Fuentedeprrafopredeter"/>
    <w:link w:val="Cita"/>
    <w:uiPriority w:val="29"/>
    <w:rsid w:val="006E1532"/>
    <w:rPr>
      <w:i/>
      <w:iCs/>
      <w:color w:val="404040" w:themeColor="text1" w:themeTint="BF"/>
    </w:rPr>
  </w:style>
  <w:style w:type="paragraph" w:styleId="Prrafodelista">
    <w:name w:val="List Paragraph"/>
    <w:aliases w:val="Fotografía,Párrafo de lista1,Bullet List,FooterText,numbered,Paragraphe de liste1,lp1,Scitum normal,HOJA,Bolita,Párrafo de lista4,BOLADEF,Párrafo de lista3,Párrafo de lista21,BOLA,Nivel 1 OS,Colorful List Accent 1"/>
    <w:basedOn w:val="Normal"/>
    <w:link w:val="PrrafodelistaCar"/>
    <w:uiPriority w:val="34"/>
    <w:qFormat/>
    <w:rsid w:val="006E1532"/>
    <w:pPr>
      <w:ind w:left="720"/>
      <w:contextualSpacing/>
    </w:pPr>
  </w:style>
  <w:style w:type="character" w:styleId="nfasisintenso">
    <w:name w:val="Intense Emphasis"/>
    <w:basedOn w:val="Fuentedeprrafopredeter"/>
    <w:uiPriority w:val="21"/>
    <w:qFormat/>
    <w:rsid w:val="006E1532"/>
    <w:rPr>
      <w:i/>
      <w:iCs/>
      <w:color w:val="2F5496" w:themeColor="accent1" w:themeShade="BF"/>
    </w:rPr>
  </w:style>
  <w:style w:type="paragraph" w:styleId="Citadestacada">
    <w:name w:val="Intense Quote"/>
    <w:basedOn w:val="Normal"/>
    <w:next w:val="Normal"/>
    <w:link w:val="CitadestacadaCar"/>
    <w:uiPriority w:val="30"/>
    <w:qFormat/>
    <w:rsid w:val="006E153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6E1532"/>
    <w:rPr>
      <w:i/>
      <w:iCs/>
      <w:color w:val="2F5496" w:themeColor="accent1" w:themeShade="BF"/>
    </w:rPr>
  </w:style>
  <w:style w:type="character" w:styleId="Referenciaintensa">
    <w:name w:val="Intense Reference"/>
    <w:basedOn w:val="Fuentedeprrafopredeter"/>
    <w:uiPriority w:val="32"/>
    <w:qFormat/>
    <w:rsid w:val="006E1532"/>
    <w:rPr>
      <w:b/>
      <w:bCs/>
      <w:smallCaps/>
      <w:color w:val="2F5496" w:themeColor="accent1" w:themeShade="BF"/>
      <w:spacing w:val="5"/>
    </w:rPr>
  </w:style>
  <w:style w:type="paragraph" w:styleId="Encabezado">
    <w:name w:val="header"/>
    <w:basedOn w:val="Normal"/>
    <w:link w:val="EncabezadoCar"/>
    <w:uiPriority w:val="99"/>
    <w:unhideWhenUsed/>
    <w:rsid w:val="006E15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E1532"/>
    <w:rPr>
      <w:kern w:val="0"/>
      <w14:ligatures w14:val="none"/>
    </w:rPr>
  </w:style>
  <w:style w:type="paragraph" w:styleId="Piedepgina">
    <w:name w:val="footer"/>
    <w:basedOn w:val="Normal"/>
    <w:link w:val="PiedepginaCar"/>
    <w:uiPriority w:val="99"/>
    <w:unhideWhenUsed/>
    <w:rsid w:val="006E15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E1532"/>
    <w:rPr>
      <w:kern w:val="0"/>
      <w14:ligatures w14:val="none"/>
    </w:rPr>
  </w:style>
  <w:style w:type="character" w:customStyle="1" w:styleId="TextonotapieCar">
    <w:name w:val="Texto nota pie Car"/>
    <w:aliases w:val="Ref. de nota al pie1 Car,Texto de nota al pie Car,referencia nota al pie Car,Appel note de bas de page Car,Footnotes refss Car,Footnote number Car,BVI fnr Car,Footnote Text Char Char Char Char Char Car,Footnote reference Car,FA Fu Car"/>
    <w:basedOn w:val="Fuentedeprrafopredeter"/>
    <w:link w:val="Textonotapie"/>
    <w:uiPriority w:val="99"/>
    <w:qFormat/>
    <w:locked/>
    <w:rsid w:val="006E1532"/>
    <w:rPr>
      <w:sz w:val="20"/>
      <w:szCs w:val="20"/>
      <w:lang w:val="es-MX"/>
    </w:rPr>
  </w:style>
  <w:style w:type="paragraph" w:styleId="Textonotapie">
    <w:name w:val="footnote text"/>
    <w:aliases w:val="Ref. de nota al pie1,Texto de nota al pie,referencia nota al pie,Appel note de bas de page,Footnotes refss,Footnote number,BVI fnr,Footnote Text Char Char Char Char Char,Footnote Text Char Char Char Char,Footnote reference,FA Fu,ft,fn,Car"/>
    <w:basedOn w:val="Normal"/>
    <w:link w:val="TextonotapieCar"/>
    <w:uiPriority w:val="99"/>
    <w:unhideWhenUsed/>
    <w:qFormat/>
    <w:rsid w:val="006E1532"/>
    <w:pPr>
      <w:spacing w:after="0" w:line="240" w:lineRule="auto"/>
    </w:pPr>
    <w:rPr>
      <w:kern w:val="2"/>
      <w:sz w:val="20"/>
      <w:szCs w:val="20"/>
      <w:lang w:val="es-MX"/>
      <w14:ligatures w14:val="standardContextual"/>
    </w:rPr>
  </w:style>
  <w:style w:type="character" w:customStyle="1" w:styleId="TextonotapieCar1">
    <w:name w:val="Texto nota pie Car1"/>
    <w:basedOn w:val="Fuentedeprrafopredeter"/>
    <w:uiPriority w:val="99"/>
    <w:semiHidden/>
    <w:rsid w:val="006E1532"/>
    <w:rPr>
      <w:kern w:val="0"/>
      <w:sz w:val="20"/>
      <w:szCs w:val="20"/>
      <w14:ligatures w14:val="none"/>
    </w:rPr>
  </w:style>
  <w:style w:type="character" w:styleId="Refdenotaalpie">
    <w:name w:val="footnote reference"/>
    <w:aliases w:val="Ref. de nota al pie 2,Ref,de nota al pie,FC,Appel note de bas de p,f,4_G,16 Point,Superscript 6 Point,Texto nota al pie,Pie de Página,Texto de nota al pi,Nota de pie,Texto de nota al p,Footnote Reference Char3,Texto nota pie Car2,F,R"/>
    <w:basedOn w:val="Fuentedeprrafopredeter"/>
    <w:link w:val="Appelnotedebasde"/>
    <w:uiPriority w:val="99"/>
    <w:unhideWhenUsed/>
    <w:qFormat/>
    <w:rsid w:val="006E1532"/>
    <w:rPr>
      <w:vertAlign w:val="superscript"/>
    </w:rPr>
  </w:style>
  <w:style w:type="character" w:customStyle="1" w:styleId="normaltextrun">
    <w:name w:val="normaltextrun"/>
    <w:basedOn w:val="Fuentedeprrafopredeter"/>
    <w:rsid w:val="006E1532"/>
  </w:style>
  <w:style w:type="table" w:styleId="Tablaconcuadrcula">
    <w:name w:val="Table Grid"/>
    <w:basedOn w:val="Tablanormal"/>
    <w:uiPriority w:val="39"/>
    <w:qFormat/>
    <w:rsid w:val="006E153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E1532"/>
    <w:rPr>
      <w:color w:val="0000FF"/>
      <w:u w:val="single"/>
    </w:rPr>
  </w:style>
  <w:style w:type="paragraph" w:customStyle="1" w:styleId="Appelnotedebasde">
    <w:name w:val="Appel note de bas de..."/>
    <w:basedOn w:val="Normal"/>
    <w:link w:val="Refdenotaalpie"/>
    <w:uiPriority w:val="99"/>
    <w:rsid w:val="006E1532"/>
    <w:pPr>
      <w:spacing w:line="240" w:lineRule="exact"/>
    </w:pPr>
    <w:rPr>
      <w:kern w:val="2"/>
      <w:vertAlign w:val="superscript"/>
      <w14:ligatures w14:val="standardContextual"/>
    </w:rPr>
  </w:style>
  <w:style w:type="character" w:customStyle="1" w:styleId="PrrafodelistaCar">
    <w:name w:val="Párrafo de lista Car"/>
    <w:aliases w:val="Fotografía Car,Párrafo de lista1 Car,Bullet List Car,FooterText Car,numbered Car,Paragraphe de liste1 Car,lp1 Car,Scitum normal Car,HOJA Car,Bolita Car,Párrafo de lista4 Car,BOLADEF Car,Párrafo de lista3 Car,Párrafo de lista21 Car"/>
    <w:link w:val="Prrafodelista"/>
    <w:uiPriority w:val="34"/>
    <w:qFormat/>
    <w:locked/>
    <w:rsid w:val="006E1532"/>
  </w:style>
  <w:style w:type="table" w:customStyle="1" w:styleId="Tablaconcuadrcula1">
    <w:name w:val="Tabla con cuadrícula1"/>
    <w:basedOn w:val="Tablanormal"/>
    <w:next w:val="Tablaconcuadrcula"/>
    <w:uiPriority w:val="59"/>
    <w:rsid w:val="006E1532"/>
    <w:pPr>
      <w:spacing w:after="0" w:line="240" w:lineRule="auto"/>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colombiacompra.gov.co/content/07-documento-tipo-de-concurso-de-meritos-para-contratar-la-interventoria-de-obras-publicas" TargetMode="Externa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colombiacompra.gov.co/content/04-documentos-tipo-de-licitacion-de-obra-publica-para-proyectos-de-infraestructura-social" TargetMode="External"/><Relationship Id="rId17" Type="http://schemas.openxmlformats.org/officeDocument/2006/relationships/hyperlink" Target="https://www.colombiacompra.gov.co/sites/cce_public/files/files_2020/boletin_de_realtoria_iii.pdf" TargetMode="External"/><Relationship Id="rId2" Type="http://schemas.openxmlformats.org/officeDocument/2006/relationships/customXml" Target="../customXml/item2.xml"/><Relationship Id="rId16" Type="http://schemas.openxmlformats.org/officeDocument/2006/relationships/hyperlink" Target="https://relatoria.colombiacompra.gov.c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evearagon1993@gmail.com" TargetMode="External"/><Relationship Id="rId5" Type="http://schemas.openxmlformats.org/officeDocument/2006/relationships/styles" Target="styles.xml"/><Relationship Id="rId15" Type="http://schemas.openxmlformats.org/officeDocument/2006/relationships/hyperlink" Target="https://www.colombiacompra.gov.co/sites/cce_public/files/files_2020/02._resolucion_454_de_2021_-_por_la_cual_se_adoptan_los_d.t_de_cultura_recreacion_y_deporte_2.pdf" TargetMode="Externa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olombiacompra.gov.co/content/04-documentos-tipo-de-licitacion-de-obra-publica-para-proyectos-de-infraestructura-social"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colombiacompra.gov.co/content/03-documentos-tipo-transversales-de-licitacion-de-obra-publica-de-infraestructura-social-co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2E0F32964D9B84EA054B84E5D4157A0" ma:contentTypeVersion="20" ma:contentTypeDescription="Crear nuevo documento." ma:contentTypeScope="" ma:versionID="3b428e1ff36e4b927e43637ad3eea921">
  <xsd:schema xmlns:xsd="http://www.w3.org/2001/XMLSchema" xmlns:xs="http://www.w3.org/2001/XMLSchema" xmlns:p="http://schemas.microsoft.com/office/2006/metadata/properties" xmlns:ns2="9d85dbaf-23eb-4e57-a637-93dcacc8b1a1" xmlns:ns3="a6cb9e4b-f1d1-4245-83ec-6cad768d538a" targetNamespace="http://schemas.microsoft.com/office/2006/metadata/properties" ma:root="true" ma:fieldsID="fb48c39798a5be86c32f55b38e9c5e14" ns2:_="" ns3:_="">
    <xsd:import namespace="9d85dbaf-23eb-4e57-a637-93dcacc8b1a1"/>
    <xsd:import namespace="a6cb9e4b-f1d1-4245-83ec-6cad768d538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AutoTags" minOccurs="0"/>
                <xsd:element ref="ns2:MediaServiceOCR" minOccurs="0"/>
                <xsd:element ref="ns2:MediaServiceDateTaken" minOccurs="0"/>
                <xsd:element ref="ns2:MediaServiceAutoKeyPoints" minOccurs="0"/>
                <xsd:element ref="ns2:MediaServiceKeyPoints" minOccurs="0"/>
                <xsd:element ref="ns2:No" minOccurs="0"/>
                <xsd:element ref="ns2:MediaLengthInSeconds" minOccurs="0"/>
                <xsd:element ref="ns2:lcf76f155ced4ddcb4097134ff3c332f" minOccurs="0"/>
                <xsd:element ref="ns3:TaxCatchAll" minOccurs="0"/>
                <xsd:element ref="ns2:MediaServiceObjectDetectorVersions" minOccurs="0"/>
                <xsd:element ref="ns2:_Flow_SignoffStatu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5dbaf-23eb-4e57-a637-93dcacc8b1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No" ma:index="19" nillable="true" ma:displayName="No" ma:format="Dropdown" ma:internalName="No" ma:percentage="FALSE">
      <xsd:simpleType>
        <xsd:restriction base="dms:Number"/>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d11a0eb6-ad86-4071-a759-4f0356bdcc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_Flow_SignoffStatus" ma:index="25" nillable="true" ma:displayName="Estado de aprobación" ma:internalName="Estado_x0020_de_x0020_aprobaci_x00f3_n">
      <xsd:simpleType>
        <xsd:restriction base="dms:Text"/>
      </xsd:simpleType>
    </xsd:element>
    <xsd:element name="MediaServiceLocation" ma:index="26" nillable="true" ma:displayName="Location" ma:description="" ma:indexed="true" ma:internalName="MediaServiceLocation"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cb9e4b-f1d1-4245-83ec-6cad768d538a"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1105a6f2-09f1-4f7d-bab9-e03f1dc4ac6e}" ma:internalName="TaxCatchAll" ma:showField="CatchAllData" ma:web="a6cb9e4b-f1d1-4245-83ec-6cad768d53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o xmlns="9d85dbaf-23eb-4e57-a637-93dcacc8b1a1" xsi:nil="true"/>
    <TaxCatchAll xmlns="a6cb9e4b-f1d1-4245-83ec-6cad768d538a" xsi:nil="true"/>
    <_Flow_SignoffStatus xmlns="9d85dbaf-23eb-4e57-a637-93dcacc8b1a1" xsi:nil="true"/>
    <lcf76f155ced4ddcb4097134ff3c332f xmlns="9d85dbaf-23eb-4e57-a637-93dcacc8b1a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DF82F-BED0-4FE2-BE14-CF676C8FBB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85dbaf-23eb-4e57-a637-93dcacc8b1a1"/>
    <ds:schemaRef ds:uri="a6cb9e4b-f1d1-4245-83ec-6cad768d53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BD96C1-726C-4E9B-9E02-023B9338DEB0}">
  <ds:schemaRefs>
    <ds:schemaRef ds:uri="http://schemas.microsoft.com/office/infopath/2007/PartnerControls"/>
    <ds:schemaRef ds:uri="http://schemas.openxmlformats.org/package/2006/metadata/core-properties"/>
    <ds:schemaRef ds:uri="http://www.w3.org/XML/1998/namespace"/>
    <ds:schemaRef ds:uri="http://schemas.microsoft.com/office/2006/documentManagement/types"/>
    <ds:schemaRef ds:uri="a6cb9e4b-f1d1-4245-83ec-6cad768d538a"/>
    <ds:schemaRef ds:uri="http://purl.org/dc/terms/"/>
    <ds:schemaRef ds:uri="http://purl.org/dc/elements/1.1/"/>
    <ds:schemaRef ds:uri="9d85dbaf-23eb-4e57-a637-93dcacc8b1a1"/>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C1EDE612-EA77-4670-876E-E46D4CCAA84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3586</Words>
  <Characters>19725</Characters>
  <Application>Microsoft Office Word</Application>
  <DocSecurity>0</DocSecurity>
  <Lines>164</Lines>
  <Paragraphs>46</Paragraphs>
  <ScaleCrop>false</ScaleCrop>
  <Company/>
  <LinksUpToDate>false</LinksUpToDate>
  <CharactersWithSpaces>23265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Enrique Caballero Lesmes</dc:creator>
  <cp:keywords/>
  <dc:description/>
  <cp:lastModifiedBy>Gloria Ximena Moreno Guio</cp:lastModifiedBy>
  <cp:revision>2</cp:revision>
  <dcterms:created xsi:type="dcterms:W3CDTF">2024-10-03T00:12:00Z</dcterms:created>
  <dcterms:modified xsi:type="dcterms:W3CDTF">2024-10-03T00:12:00Z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0x010100F2E0F32964D9B84EA054B84E5D4157A0</vt:lpwstr>
  </property>
</Properties>
</file>