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71D5B3" w14:textId="0C581C1E" w:rsidR="00536F5E" w:rsidRPr="002A3798" w:rsidRDefault="00536F5E" w:rsidP="00536F5E">
      <w:pPr>
        <w:spacing w:after="0" w:line="240" w:lineRule="auto"/>
        <w:jc w:val="both"/>
        <w:rPr>
          <w:rFonts w:ascii="Verdana" w:eastAsia="Calibri" w:hAnsi="Verdana" w:cs="Arial"/>
          <w:b/>
          <w:bCs/>
          <w:lang w:eastAsia="es-ES_tradnl"/>
        </w:rPr>
      </w:pPr>
      <w:bookmarkStart w:id="0" w:name="_Hlk143780582"/>
      <w:r w:rsidRPr="002A3798">
        <w:rPr>
          <w:rFonts w:ascii="Verdana" w:eastAsia="Calibri" w:hAnsi="Verdana" w:cs="Arial"/>
          <w:b/>
          <w:bCs/>
          <w:lang w:eastAsia="es-ES_tradnl"/>
        </w:rPr>
        <w:t xml:space="preserve">LEY DE EMPRENDIMIENTO – Ley 2069 de 2020 – Artículo 32 – Criterios diferenciales – Emprendimientos de mujeres – Empresas de mujeres </w:t>
      </w:r>
    </w:p>
    <w:p w14:paraId="4820056F" w14:textId="77777777" w:rsidR="00536F5E" w:rsidRPr="002A3798" w:rsidRDefault="00536F5E" w:rsidP="00536F5E">
      <w:pPr>
        <w:spacing w:after="0" w:line="240" w:lineRule="auto"/>
        <w:jc w:val="both"/>
        <w:rPr>
          <w:rFonts w:ascii="Verdana" w:eastAsia="Calibri" w:hAnsi="Verdana" w:cs="Arial"/>
          <w:sz w:val="20"/>
          <w:szCs w:val="20"/>
          <w:lang w:eastAsia="es-ES_tradnl"/>
        </w:rPr>
      </w:pPr>
    </w:p>
    <w:p w14:paraId="0F7D3FE7" w14:textId="77777777" w:rsidR="00536F5E" w:rsidRPr="002A3798" w:rsidRDefault="00536F5E" w:rsidP="00536F5E">
      <w:pPr>
        <w:spacing w:after="0" w:line="240" w:lineRule="auto"/>
        <w:jc w:val="both"/>
        <w:rPr>
          <w:rFonts w:ascii="Verdana" w:eastAsia="Calibri" w:hAnsi="Verdana" w:cs="Arial"/>
          <w:sz w:val="20"/>
          <w:szCs w:val="20"/>
          <w:lang w:eastAsia="es-ES_tradnl"/>
        </w:rPr>
      </w:pPr>
      <w:r w:rsidRPr="002A3798">
        <w:rPr>
          <w:rFonts w:ascii="Verdana" w:eastAsia="Calibri" w:hAnsi="Verdana" w:cs="Arial"/>
          <w:sz w:val="20"/>
          <w:szCs w:val="20"/>
          <w:lang w:eastAsia="es-ES_tradnl"/>
        </w:rPr>
        <w:t xml:space="preserve">[…] Particularmente, el artículo 32 </w:t>
      </w:r>
      <w:r w:rsidRPr="002A3798">
        <w:rPr>
          <w:rFonts w:ascii="Verdana" w:eastAsia="Calibri" w:hAnsi="Verdana" w:cs="Arial"/>
          <w:i/>
          <w:sz w:val="20"/>
          <w:szCs w:val="20"/>
          <w:lang w:eastAsia="es-ES_tradnl"/>
        </w:rPr>
        <w:t>ibidem</w:t>
      </w:r>
      <w:r w:rsidRPr="002A3798">
        <w:rPr>
          <w:rFonts w:ascii="Verdana" w:eastAsia="Calibri" w:hAnsi="Verdana" w:cs="Arial"/>
          <w:sz w:val="20"/>
          <w:szCs w:val="20"/>
          <w:lang w:eastAsia="es-ES_tradnl"/>
        </w:rPr>
        <w:t xml:space="preserve"> regula criterios diferenciales y puntajes adicionales para los “emprendimientos y empresas de mujeres” en el sistema de compras y contratación pública.</w:t>
      </w:r>
    </w:p>
    <w:p w14:paraId="53094CD2" w14:textId="77777777" w:rsidR="00536F5E" w:rsidRDefault="00536F5E" w:rsidP="00536F5E">
      <w:pPr>
        <w:spacing w:after="0" w:line="240" w:lineRule="auto"/>
        <w:jc w:val="both"/>
        <w:rPr>
          <w:rFonts w:ascii="Verdana" w:eastAsia="Calibri" w:hAnsi="Verdana" w:cs="Arial"/>
          <w:sz w:val="20"/>
          <w:szCs w:val="20"/>
          <w:lang w:eastAsia="es-ES_tradnl"/>
        </w:rPr>
      </w:pPr>
    </w:p>
    <w:p w14:paraId="26D4EE34" w14:textId="77777777" w:rsidR="00536F5E" w:rsidRDefault="00536F5E" w:rsidP="00536F5E">
      <w:pPr>
        <w:spacing w:after="0" w:line="240" w:lineRule="auto"/>
        <w:jc w:val="both"/>
        <w:rPr>
          <w:rFonts w:ascii="Verdana" w:eastAsia="Calibri" w:hAnsi="Verdana" w:cs="Arial"/>
          <w:sz w:val="20"/>
          <w:szCs w:val="20"/>
          <w:lang w:eastAsia="es-ES_tradnl"/>
        </w:rPr>
      </w:pPr>
      <w:r w:rsidRPr="002A3798">
        <w:rPr>
          <w:rFonts w:ascii="Verdana" w:eastAsia="Calibri" w:hAnsi="Verdana" w:cs="Arial"/>
          <w:sz w:val="20"/>
          <w:szCs w:val="20"/>
          <w:lang w:eastAsia="es-ES_tradnl"/>
        </w:rPr>
        <w:t>[…]</w:t>
      </w:r>
    </w:p>
    <w:p w14:paraId="51C31988" w14:textId="77777777" w:rsidR="00536F5E" w:rsidRPr="002A3798" w:rsidRDefault="00536F5E" w:rsidP="00536F5E">
      <w:pPr>
        <w:spacing w:after="0" w:line="240" w:lineRule="auto"/>
        <w:jc w:val="both"/>
        <w:rPr>
          <w:rFonts w:ascii="Verdana" w:eastAsia="Calibri" w:hAnsi="Verdana" w:cs="Arial"/>
          <w:sz w:val="20"/>
          <w:szCs w:val="20"/>
          <w:lang w:eastAsia="es-ES_tradnl"/>
        </w:rPr>
      </w:pPr>
    </w:p>
    <w:p w14:paraId="44B74BAD" w14:textId="77777777" w:rsidR="00536F5E" w:rsidRPr="002A3798" w:rsidRDefault="00536F5E" w:rsidP="00536F5E">
      <w:pPr>
        <w:spacing w:after="0" w:line="240" w:lineRule="auto"/>
        <w:jc w:val="both"/>
        <w:rPr>
          <w:rFonts w:ascii="Verdana" w:eastAsia="Calibri" w:hAnsi="Verdana" w:cs="Arial"/>
          <w:sz w:val="20"/>
          <w:szCs w:val="20"/>
          <w:lang w:val="es-ES_tradnl" w:eastAsia="es-ES_tradnl"/>
        </w:rPr>
      </w:pPr>
      <w:r w:rsidRPr="002A3798">
        <w:rPr>
          <w:rFonts w:ascii="Verdana" w:eastAsia="Calibri" w:hAnsi="Verdana" w:cs="Arial"/>
          <w:sz w:val="20"/>
          <w:szCs w:val="20"/>
          <w:lang w:val="es-ES_tradnl" w:eastAsia="es-ES_tradnl"/>
        </w:rPr>
        <w:t xml:space="preserve">De esta manera, los denominados “criterios diferenciales” del artículo señalado –que incluyen tanto los “requisitos diferenciales” como los “puntajes adicionales”– aplican a “[…] los procesos de licitación pública, selección abreviada de menor cuantía y concurso de méritos […]”, excluyendo las demás modalidades de selección del artículo 2 de la Ley 1150 de 2007. Así mismo, sin distinciones ulteriores, la norma en comento también se extiende a todos los procedimientos que realicen las Entidades Estatales excluidas de la Ley 80 de 1993.     </w:t>
      </w:r>
    </w:p>
    <w:p w14:paraId="46DEFA73" w14:textId="77777777" w:rsidR="00536F5E" w:rsidRPr="002A3798" w:rsidRDefault="00536F5E" w:rsidP="00536F5E">
      <w:pPr>
        <w:spacing w:after="0" w:line="240" w:lineRule="auto"/>
        <w:jc w:val="both"/>
        <w:rPr>
          <w:rFonts w:ascii="Verdana" w:eastAsia="Calibri" w:hAnsi="Verdana" w:cs="Arial"/>
          <w:sz w:val="20"/>
          <w:szCs w:val="20"/>
          <w:lang w:val="es-ES_tradnl" w:eastAsia="es-ES_tradnl"/>
        </w:rPr>
      </w:pPr>
    </w:p>
    <w:p w14:paraId="733AD601" w14:textId="77777777" w:rsidR="00536F5E" w:rsidRPr="002A3798" w:rsidRDefault="00536F5E" w:rsidP="00536F5E">
      <w:pPr>
        <w:spacing w:after="0" w:line="240" w:lineRule="auto"/>
        <w:jc w:val="both"/>
        <w:rPr>
          <w:rFonts w:ascii="Verdana" w:eastAsia="Calibri" w:hAnsi="Verdana" w:cs="Arial"/>
          <w:b/>
          <w:bCs/>
          <w:lang w:eastAsia="es-ES_tradnl"/>
        </w:rPr>
      </w:pPr>
      <w:r w:rsidRPr="002A3798">
        <w:rPr>
          <w:rFonts w:ascii="Verdana" w:eastAsia="Calibri" w:hAnsi="Verdana" w:cs="Arial"/>
          <w:b/>
          <w:bCs/>
          <w:lang w:eastAsia="es-ES_tradnl"/>
        </w:rPr>
        <w:t xml:space="preserve">DECRETO 1860 DE 2021 – Vigencia </w:t>
      </w:r>
    </w:p>
    <w:p w14:paraId="3330E877" w14:textId="77777777" w:rsidR="00536F5E" w:rsidRDefault="00536F5E" w:rsidP="00536F5E">
      <w:pPr>
        <w:spacing w:after="0" w:line="240" w:lineRule="auto"/>
        <w:jc w:val="both"/>
        <w:rPr>
          <w:rFonts w:ascii="Verdana" w:eastAsia="Calibri" w:hAnsi="Verdana" w:cs="Arial"/>
          <w:sz w:val="20"/>
          <w:szCs w:val="20"/>
          <w:lang w:val="es-ES_tradnl" w:eastAsia="es-ES_tradnl"/>
        </w:rPr>
      </w:pPr>
    </w:p>
    <w:p w14:paraId="7652D9B2" w14:textId="77777777" w:rsidR="00536F5E" w:rsidRPr="002A3798" w:rsidRDefault="00536F5E" w:rsidP="00536F5E">
      <w:pPr>
        <w:spacing w:after="0" w:line="240" w:lineRule="auto"/>
        <w:jc w:val="both"/>
        <w:rPr>
          <w:rFonts w:ascii="Verdana" w:eastAsia="Calibri" w:hAnsi="Verdana" w:cs="Arial"/>
          <w:sz w:val="20"/>
          <w:szCs w:val="20"/>
          <w:lang w:val="es-ES_tradnl" w:eastAsia="es-ES_tradnl"/>
        </w:rPr>
      </w:pPr>
      <w:r w:rsidRPr="002A3798">
        <w:rPr>
          <w:rFonts w:ascii="Verdana" w:eastAsia="Calibri" w:hAnsi="Verdana" w:cs="Arial"/>
          <w:sz w:val="20"/>
          <w:szCs w:val="20"/>
          <w:lang w:val="es-ES_tradnl" w:eastAsia="es-ES_tradnl"/>
        </w:rPr>
        <w:t xml:space="preserve">No obstante, el artículo 32 de la Ley 2069 de 2020 alude a la necesidad del desarrollo normativo posterior. Al respecto, el parágrafo dispone que “La definición de emprendimientos y empresas de mujeres se reglamentará por el gobierno nacional”. En ese sentido, la aplicación de criterios diferenciales en favor de emprendimientos y empresas de mujeres estaba condicionada por el ejercicio de la potestad reglamentaria, en orden de establecer la regulación en marco de la cual las Entidades Estatales deben aplicar los criterios diferenciales establecidos en el artículo 32 de la Ley 2069 de 2020. </w:t>
      </w:r>
    </w:p>
    <w:p w14:paraId="637671E8" w14:textId="77777777" w:rsidR="00536F5E" w:rsidRDefault="00536F5E" w:rsidP="00536F5E">
      <w:pPr>
        <w:spacing w:after="0" w:line="240" w:lineRule="auto"/>
        <w:jc w:val="both"/>
        <w:rPr>
          <w:rFonts w:ascii="Verdana" w:eastAsia="Calibri" w:hAnsi="Verdana" w:cs="Arial"/>
          <w:sz w:val="20"/>
          <w:szCs w:val="20"/>
          <w:lang w:val="es-ES_tradnl" w:eastAsia="es-ES_tradnl"/>
        </w:rPr>
      </w:pPr>
    </w:p>
    <w:p w14:paraId="51FCAF04" w14:textId="77777777" w:rsidR="00536F5E" w:rsidRPr="002A3798" w:rsidRDefault="00536F5E" w:rsidP="00536F5E">
      <w:pPr>
        <w:spacing w:after="0" w:line="240" w:lineRule="auto"/>
        <w:jc w:val="both"/>
        <w:rPr>
          <w:rFonts w:ascii="Verdana" w:eastAsia="Calibri" w:hAnsi="Verdana" w:cs="Arial"/>
          <w:sz w:val="20"/>
          <w:szCs w:val="20"/>
          <w:lang w:val="es-ES_tradnl" w:eastAsia="es-ES_tradnl"/>
        </w:rPr>
      </w:pPr>
      <w:r w:rsidRPr="002A3798">
        <w:rPr>
          <w:rFonts w:ascii="Verdana" w:eastAsia="Calibri" w:hAnsi="Verdana" w:cs="Arial"/>
          <w:sz w:val="20"/>
          <w:szCs w:val="20"/>
          <w:lang w:val="es-ES_tradnl" w:eastAsia="es-ES_tradnl"/>
        </w:rPr>
        <w:t xml:space="preserve">En este contexto, el Gobierno Nacional expidió el Decreto 1860 de 2021 “Por el cual se modifica y adiciona el Decreto 1082 de 2015, Único Reglamentario del Sector Administrativo de Planeación Nacional, con el fin reglamentar los artículos 30, 31, 32, 34 y 35 de la Ley 2069 de 2020, en lo relativo al sistema de compras públicas y se dictan otras disposiciones”. En lo relativo al artículo 32 de la Ley 2069 de 2020, el artículo 3 del Decreto 1860 de 2021 adiciona los artículos 2.2.1.2.4.2.14 y 2.2.1.2.4.2.15 a la Subsección 2 de la Sección 4 del Capítulo 2 del Título 1 de la Parte 2 del Libro 2 del Decreto 1082 de 2015. La primera de las normas adicionadas consagra la definición de emprendimientos y empresas de mujeres, mientras que la segunda establece los criterios diferenciales incluyendo los puntajes adicionales y regula su aplicación. </w:t>
      </w:r>
    </w:p>
    <w:p w14:paraId="65D30F35" w14:textId="77777777" w:rsidR="00536F5E" w:rsidRPr="002A3798" w:rsidRDefault="00536F5E" w:rsidP="00536F5E">
      <w:pPr>
        <w:spacing w:after="0" w:line="240" w:lineRule="auto"/>
        <w:jc w:val="both"/>
        <w:rPr>
          <w:rFonts w:ascii="Verdana" w:eastAsia="Calibri" w:hAnsi="Verdana" w:cs="Arial"/>
          <w:sz w:val="20"/>
          <w:szCs w:val="20"/>
          <w:lang w:val="es-ES_tradnl" w:eastAsia="es-ES_tradnl"/>
        </w:rPr>
      </w:pPr>
    </w:p>
    <w:p w14:paraId="6CFB4D87" w14:textId="77777777" w:rsidR="00536F5E" w:rsidRPr="002A3798" w:rsidRDefault="00536F5E" w:rsidP="00536F5E">
      <w:pPr>
        <w:spacing w:after="0" w:line="240" w:lineRule="auto"/>
        <w:jc w:val="both"/>
        <w:rPr>
          <w:rFonts w:ascii="Verdana" w:eastAsia="Calibri" w:hAnsi="Verdana" w:cs="Arial"/>
          <w:b/>
          <w:bCs/>
          <w:lang w:val="es-ES_tradnl" w:eastAsia="es-ES_tradnl"/>
        </w:rPr>
      </w:pPr>
      <w:r w:rsidRPr="002A3798">
        <w:rPr>
          <w:rFonts w:ascii="Verdana" w:eastAsia="Calibri" w:hAnsi="Verdana" w:cs="Arial"/>
          <w:b/>
          <w:bCs/>
          <w:lang w:eastAsia="es-ES_tradnl"/>
        </w:rPr>
        <w:t xml:space="preserve">DECRETO 1860 DE 2021 – Emprendimientos y empresas de mujeres – Definición – Artículo 2.2.1.2.4.2.14 – Numeral 1 – </w:t>
      </w:r>
      <w:r w:rsidRPr="002A3798">
        <w:rPr>
          <w:rFonts w:ascii="Verdana" w:eastAsia="Calibri" w:hAnsi="Verdana" w:cs="Arial"/>
          <w:b/>
          <w:bCs/>
          <w:lang w:val="es-ES_tradnl" w:eastAsia="es-ES_tradnl"/>
        </w:rPr>
        <w:t>Acreditación</w:t>
      </w:r>
    </w:p>
    <w:p w14:paraId="7FDA15BF" w14:textId="77777777" w:rsidR="00536F5E" w:rsidRDefault="00536F5E" w:rsidP="00536F5E">
      <w:pPr>
        <w:spacing w:after="0" w:line="240" w:lineRule="auto"/>
        <w:jc w:val="both"/>
        <w:rPr>
          <w:rFonts w:ascii="Verdana" w:eastAsia="Calibri" w:hAnsi="Verdana" w:cs="Arial"/>
          <w:sz w:val="20"/>
          <w:szCs w:val="20"/>
          <w:lang w:eastAsia="es-ES_tradnl"/>
        </w:rPr>
      </w:pPr>
    </w:p>
    <w:p w14:paraId="6C813B31" w14:textId="77777777" w:rsidR="00536F5E" w:rsidRPr="002A3798" w:rsidRDefault="00536F5E" w:rsidP="00536F5E">
      <w:pPr>
        <w:spacing w:after="0" w:line="240" w:lineRule="auto"/>
        <w:jc w:val="both"/>
        <w:rPr>
          <w:rFonts w:ascii="Verdana" w:eastAsia="Calibri" w:hAnsi="Verdana" w:cs="Arial"/>
          <w:sz w:val="20"/>
          <w:szCs w:val="20"/>
          <w:lang w:val="es-ES_tradnl" w:eastAsia="es-ES_tradnl"/>
        </w:rPr>
      </w:pPr>
      <w:r w:rsidRPr="002A3798">
        <w:rPr>
          <w:rFonts w:ascii="Verdana" w:eastAsia="Calibri" w:hAnsi="Verdana" w:cs="Arial"/>
          <w:sz w:val="20"/>
          <w:szCs w:val="20"/>
          <w:lang w:eastAsia="es-ES_tradnl"/>
        </w:rPr>
        <w:t xml:space="preserve">El </w:t>
      </w:r>
      <w:r w:rsidRPr="002A3798">
        <w:rPr>
          <w:rFonts w:ascii="Verdana" w:eastAsia="Times New Roman" w:hAnsi="Verdana" w:cs="Arial"/>
          <w:sz w:val="20"/>
          <w:szCs w:val="20"/>
          <w:lang w:val="es-ES_tradnl" w:eastAsia="es-ES"/>
        </w:rPr>
        <w:t xml:space="preserve">numeral primero establece que </w:t>
      </w:r>
      <w:r w:rsidRPr="002A3798">
        <w:rPr>
          <w:rFonts w:ascii="Verdana" w:eastAsia="Calibri" w:hAnsi="Verdana" w:cs="Arial"/>
          <w:sz w:val="20"/>
          <w:szCs w:val="20"/>
          <w:lang w:val="es-ES_tradnl"/>
        </w:rPr>
        <w:t xml:space="preserve">una sociedad podrá ser considerada como un emprendimiento o empresa de mujeres cuando más del cincuenta por ciento (50%) de sus acciones, partes de interés o cuotas de participación, pertenezcan a mujeres. Sin embargo, el supuesto de hecho de la norma transcrita, adicionalmente, exige que la titularidad de tal participación haya pertenecido a mujeres, por lo menos, durante el año anterior a la fecha de cierre del proceso de selección. </w:t>
      </w:r>
    </w:p>
    <w:p w14:paraId="34C8BBEA" w14:textId="77777777" w:rsidR="00536F5E" w:rsidRDefault="00536F5E" w:rsidP="00536F5E">
      <w:pPr>
        <w:spacing w:after="0" w:line="240" w:lineRule="auto"/>
        <w:jc w:val="both"/>
        <w:rPr>
          <w:rFonts w:ascii="Verdana" w:eastAsia="Calibri" w:hAnsi="Verdana" w:cs="Arial"/>
          <w:sz w:val="20"/>
          <w:szCs w:val="20"/>
          <w:lang w:val="es-ES"/>
        </w:rPr>
      </w:pPr>
    </w:p>
    <w:p w14:paraId="13DDD641" w14:textId="77777777" w:rsidR="00536F5E" w:rsidRPr="002A3798" w:rsidRDefault="00536F5E" w:rsidP="00536F5E">
      <w:pPr>
        <w:spacing w:after="0" w:line="240" w:lineRule="auto"/>
        <w:jc w:val="both"/>
        <w:rPr>
          <w:rFonts w:ascii="Verdana" w:eastAsia="Calibri" w:hAnsi="Verdana" w:cs="Arial"/>
          <w:sz w:val="20"/>
          <w:szCs w:val="20"/>
          <w:lang w:eastAsia="es-ES"/>
        </w:rPr>
      </w:pPr>
      <w:r w:rsidRPr="002A3798">
        <w:rPr>
          <w:rFonts w:ascii="Verdana" w:eastAsia="Calibri" w:hAnsi="Verdana" w:cs="Arial"/>
          <w:sz w:val="20"/>
          <w:szCs w:val="20"/>
          <w:lang w:val="es-ES"/>
        </w:rPr>
        <w:lastRenderedPageBreak/>
        <w:t>Esto quiere decir que, no basta con que la participación en una sociedad sea mayoritariamente de mujeres para que sea considerada como un emprendimiento o empresa a los que se refiere la norma, sino que además es necesario que dicha participación mayoritaria se haya mantenido como mínimo durante el periodo de un (1) año, contado a partir de la fecha de cierre del proceso de selección. De esta manera, el primer criterio establecido en la norma para definir los emprendimientos y empresas de mujeres deja por fuera de dicha categoría a aquellas sociedades que, a pesar de contar con la participación mayoritaria de mujeres, no cuenten con el requerimiento del tiempo mínimo de un (1) año.</w:t>
      </w:r>
    </w:p>
    <w:p w14:paraId="2A58FF06" w14:textId="2423E850" w:rsidR="00536F5E" w:rsidRDefault="00536F5E">
      <w:pPr>
        <w:rPr>
          <w:rFonts w:ascii="Verdana" w:hAnsi="Verdana"/>
        </w:rPr>
      </w:pPr>
      <w:r>
        <w:rPr>
          <w:rFonts w:ascii="Verdana" w:hAnsi="Verdana"/>
        </w:rPr>
        <w:br w:type="page"/>
      </w:r>
    </w:p>
    <w:p w14:paraId="7D9661EB" w14:textId="79BE46EF" w:rsidR="00FC59CF" w:rsidRPr="00F345AB" w:rsidRDefault="00FC59CF" w:rsidP="00FC59CF">
      <w:pPr>
        <w:spacing w:after="0" w:line="240" w:lineRule="auto"/>
        <w:rPr>
          <w:rFonts w:ascii="Verdana" w:eastAsia="Geomanist Light" w:hAnsi="Verdana" w:cs="Arial"/>
          <w:color w:val="201F1E"/>
          <w:lang w:val="es-MX"/>
        </w:rPr>
      </w:pPr>
      <w:r w:rsidRPr="00F345AB">
        <w:rPr>
          <w:rFonts w:ascii="Verdana" w:eastAsia="Geomanist Light" w:hAnsi="Verdana" w:cs="Arial"/>
          <w:color w:val="000000" w:themeColor="text1"/>
          <w:lang w:val="es-MX"/>
        </w:rPr>
        <w:lastRenderedPageBreak/>
        <w:t>Bogotá D.C., </w:t>
      </w:r>
      <w:r w:rsidR="003A048D">
        <w:rPr>
          <w:rFonts w:ascii="Verdana" w:eastAsia="Geomanist Light" w:hAnsi="Verdana" w:cs="Arial"/>
          <w:color w:val="201F1E"/>
          <w:lang w:val="es-MX"/>
        </w:rPr>
        <w:t xml:space="preserve">24 </w:t>
      </w:r>
      <w:proofErr w:type="gramStart"/>
      <w:r w:rsidR="003A048D">
        <w:rPr>
          <w:rFonts w:ascii="Verdana" w:eastAsia="Geomanist Light" w:hAnsi="Verdana" w:cs="Arial"/>
          <w:color w:val="201F1E"/>
          <w:lang w:val="es-MX"/>
        </w:rPr>
        <w:t>Septiembre</w:t>
      </w:r>
      <w:proofErr w:type="gramEnd"/>
      <w:r w:rsidR="003A048D">
        <w:rPr>
          <w:rFonts w:ascii="Verdana" w:eastAsia="Geomanist Light" w:hAnsi="Verdana" w:cs="Arial"/>
          <w:color w:val="201F1E"/>
          <w:lang w:val="es-MX"/>
        </w:rPr>
        <w:t xml:space="preserve"> 2024</w:t>
      </w:r>
    </w:p>
    <w:p w14:paraId="3A656106" w14:textId="7996E05E" w:rsidR="004C0691" w:rsidRPr="00FC59CF" w:rsidRDefault="004C0691" w:rsidP="00722C90">
      <w:pPr>
        <w:spacing w:after="0" w:line="240" w:lineRule="auto"/>
        <w:jc w:val="right"/>
        <w:rPr>
          <w:rFonts w:ascii="Verdana" w:eastAsia="Calibri" w:hAnsi="Verdana" w:cs="Arial"/>
          <w:lang w:val="es-MX"/>
        </w:rPr>
      </w:pPr>
      <w:bookmarkStart w:id="1" w:name="_Hlk177544550"/>
    </w:p>
    <w:p w14:paraId="5E4807E2" w14:textId="77777777" w:rsidR="004C0691" w:rsidRPr="00676B96" w:rsidRDefault="004C0691" w:rsidP="004C0691">
      <w:pPr>
        <w:spacing w:after="0" w:line="240" w:lineRule="auto"/>
        <w:jc w:val="both"/>
        <w:rPr>
          <w:rFonts w:ascii="Verdana" w:eastAsia="Calibri" w:hAnsi="Verdana" w:cs="Arial"/>
          <w:lang w:val="es-ES" w:eastAsia="es-ES"/>
        </w:rPr>
      </w:pPr>
      <w:r w:rsidRPr="00676B96">
        <w:rPr>
          <w:rFonts w:ascii="Verdana" w:eastAsia="Calibri" w:hAnsi="Verdana" w:cs="Arial"/>
          <w:lang w:val="es-ES" w:eastAsia="es-ES"/>
        </w:rPr>
        <w:t>Señor</w:t>
      </w:r>
    </w:p>
    <w:p w14:paraId="2B0E5553" w14:textId="01B47A6B" w:rsidR="00677BC5" w:rsidRPr="00FC59CF" w:rsidRDefault="00677BC5" w:rsidP="004C0691">
      <w:pPr>
        <w:spacing w:after="0" w:line="240" w:lineRule="auto"/>
        <w:rPr>
          <w:rFonts w:ascii="Verdana" w:eastAsia="Calibri" w:hAnsi="Verdana" w:cs="Arial"/>
          <w:b/>
          <w:bCs/>
          <w:lang w:eastAsia="es-ES"/>
        </w:rPr>
      </w:pPr>
      <w:proofErr w:type="spellStart"/>
      <w:r w:rsidRPr="00FC59CF">
        <w:rPr>
          <w:rFonts w:ascii="Verdana" w:eastAsia="Calibri" w:hAnsi="Verdana" w:cs="Arial"/>
          <w:b/>
          <w:bCs/>
          <w:lang w:eastAsia="es-ES"/>
        </w:rPr>
        <w:t>Jhon</w:t>
      </w:r>
      <w:proofErr w:type="spellEnd"/>
      <w:r w:rsidRPr="00FC59CF">
        <w:rPr>
          <w:rFonts w:ascii="Verdana" w:eastAsia="Calibri" w:hAnsi="Verdana" w:cs="Arial"/>
          <w:b/>
          <w:bCs/>
          <w:lang w:eastAsia="es-ES"/>
        </w:rPr>
        <w:t xml:space="preserve"> Silvio Campo Moncayo </w:t>
      </w:r>
    </w:p>
    <w:p w14:paraId="421945F2" w14:textId="17B0AD93" w:rsidR="00677BC5" w:rsidRDefault="00677BC5" w:rsidP="004C0691">
      <w:pPr>
        <w:spacing w:after="0" w:line="240" w:lineRule="auto"/>
        <w:rPr>
          <w:rFonts w:ascii="Verdana" w:eastAsia="Calibri" w:hAnsi="Verdana" w:cs="Arial"/>
          <w:lang w:eastAsia="es-ES"/>
        </w:rPr>
      </w:pPr>
      <w:proofErr w:type="spellStart"/>
      <w:r w:rsidRPr="00677BC5">
        <w:rPr>
          <w:rFonts w:ascii="Verdana" w:eastAsia="Calibri" w:hAnsi="Verdana" w:cs="Arial"/>
          <w:lang w:eastAsia="es-ES"/>
        </w:rPr>
        <w:t>Nexura</w:t>
      </w:r>
      <w:proofErr w:type="spellEnd"/>
      <w:r w:rsidRPr="00677BC5">
        <w:rPr>
          <w:rFonts w:ascii="Verdana" w:eastAsia="Calibri" w:hAnsi="Verdana" w:cs="Arial"/>
          <w:lang w:eastAsia="es-ES"/>
        </w:rPr>
        <w:t xml:space="preserve"> Internacional S</w:t>
      </w:r>
      <w:r>
        <w:rPr>
          <w:rFonts w:ascii="Verdana" w:eastAsia="Calibri" w:hAnsi="Verdana" w:cs="Arial"/>
          <w:lang w:eastAsia="es-ES"/>
        </w:rPr>
        <w:t>AS</w:t>
      </w:r>
      <w:r w:rsidRPr="00677BC5">
        <w:rPr>
          <w:rFonts w:ascii="Verdana" w:eastAsia="Calibri" w:hAnsi="Verdana" w:cs="Arial"/>
          <w:lang w:eastAsia="es-ES"/>
        </w:rPr>
        <w:t xml:space="preserve"> </w:t>
      </w:r>
    </w:p>
    <w:p w14:paraId="4AC03189" w14:textId="6DD9D149" w:rsidR="00FC59CF" w:rsidRPr="00FC59CF" w:rsidRDefault="00FC59CF" w:rsidP="004C0691">
      <w:pPr>
        <w:spacing w:after="0" w:line="240" w:lineRule="auto"/>
        <w:rPr>
          <w:rFonts w:ascii="Verdana" w:eastAsia="Calibri" w:hAnsi="Verdana" w:cs="Arial"/>
          <w:u w:val="single"/>
          <w:lang w:eastAsia="es-ES"/>
        </w:rPr>
      </w:pPr>
      <w:r w:rsidRPr="00FC59CF">
        <w:rPr>
          <w:rFonts w:ascii="Verdana" w:eastAsia="Calibri" w:hAnsi="Verdana" w:cs="Arial"/>
          <w:u w:val="single"/>
          <w:lang w:eastAsia="es-ES"/>
        </w:rPr>
        <w:t>proyectos@nexura.com</w:t>
      </w:r>
    </w:p>
    <w:p w14:paraId="1099821A" w14:textId="40D4E31A" w:rsidR="004C0691" w:rsidRPr="00676B96" w:rsidRDefault="004C0691" w:rsidP="004C0691">
      <w:pPr>
        <w:spacing w:after="0" w:line="240" w:lineRule="auto"/>
        <w:rPr>
          <w:rFonts w:ascii="Verdana" w:eastAsia="Calibri" w:hAnsi="Verdana" w:cs="Arial"/>
          <w:b/>
          <w:bCs/>
          <w:lang w:val="es-ES" w:eastAsia="es-ES"/>
        </w:rPr>
      </w:pPr>
      <w:r w:rsidRPr="00676B96">
        <w:rPr>
          <w:rFonts w:ascii="Verdana" w:eastAsia="Calibri" w:hAnsi="Verdana" w:cs="Arial"/>
          <w:lang w:val="es-ES" w:eastAsia="es-ES"/>
        </w:rPr>
        <w:t>Ciudad</w:t>
      </w:r>
    </w:p>
    <w:p w14:paraId="4C4FD83C" w14:textId="6FF6B9B4" w:rsidR="00470D13" w:rsidRPr="00676B96" w:rsidRDefault="00470D13" w:rsidP="00470D13">
      <w:pPr>
        <w:spacing w:after="0" w:line="240" w:lineRule="auto"/>
        <w:jc w:val="right"/>
        <w:rPr>
          <w:rFonts w:ascii="Verdana" w:eastAsia="Calibri" w:hAnsi="Verdana" w:cs="Arial"/>
          <w:b/>
          <w:bCs/>
          <w:lang w:val="es-ES_tradnl" w:eastAsia="es-ES_tradnl"/>
        </w:rPr>
      </w:pPr>
      <w:r w:rsidRPr="00470D13">
        <w:rPr>
          <w:rFonts w:ascii="Verdana" w:eastAsia="Calibri" w:hAnsi="Verdana" w:cs="Arial"/>
          <w:b/>
          <w:bCs/>
          <w:noProof/>
          <w:lang w:val="es-ES_tradnl" w:eastAsia="es-ES_tradnl"/>
        </w:rPr>
        <w:drawing>
          <wp:inline distT="0" distB="0" distL="0" distR="0" wp14:anchorId="673F174A" wp14:editId="7A6D571C">
            <wp:extent cx="3558848" cy="1082134"/>
            <wp:effectExtent l="0" t="0" r="3810" b="3810"/>
            <wp:docPr id="1672209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20983" name=""/>
                    <pic:cNvPicPr/>
                  </pic:nvPicPr>
                  <pic:blipFill>
                    <a:blip r:embed="rId10"/>
                    <a:stretch>
                      <a:fillRect/>
                    </a:stretch>
                  </pic:blipFill>
                  <pic:spPr>
                    <a:xfrm>
                      <a:off x="0" y="0"/>
                      <a:ext cx="3558848" cy="1082134"/>
                    </a:xfrm>
                    <a:prstGeom prst="rect">
                      <a:avLst/>
                    </a:prstGeom>
                  </pic:spPr>
                </pic:pic>
              </a:graphicData>
            </a:graphic>
          </wp:inline>
        </w:drawing>
      </w:r>
    </w:p>
    <w:p w14:paraId="4422C411" w14:textId="77777777" w:rsidR="004C0691" w:rsidRPr="00676B96" w:rsidRDefault="004C0691" w:rsidP="004C0691">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C0691" w:rsidRPr="00676B96" w14:paraId="0841F942" w14:textId="77777777" w:rsidTr="002D7ACD">
        <w:trPr>
          <w:trHeight w:val="369"/>
        </w:trPr>
        <w:tc>
          <w:tcPr>
            <w:tcW w:w="2689" w:type="dxa"/>
          </w:tcPr>
          <w:p w14:paraId="04C8A436" w14:textId="77777777" w:rsidR="004C0691" w:rsidRPr="00676B96" w:rsidRDefault="004C0691" w:rsidP="002D7ACD">
            <w:pPr>
              <w:jc w:val="both"/>
              <w:rPr>
                <w:rFonts w:ascii="Verdana" w:eastAsia="Calibri" w:hAnsi="Verdana" w:cs="Arial"/>
                <w:b/>
                <w:bCs/>
                <w:lang w:val="es-ES_tradnl" w:eastAsia="es-ES_tradnl"/>
              </w:rPr>
            </w:pPr>
          </w:p>
        </w:tc>
        <w:tc>
          <w:tcPr>
            <w:tcW w:w="6100" w:type="dxa"/>
          </w:tcPr>
          <w:p w14:paraId="20504B8A" w14:textId="20694E69" w:rsidR="004C0691" w:rsidRPr="00676B96" w:rsidRDefault="004C0691" w:rsidP="002D7ACD">
            <w:pPr>
              <w:jc w:val="both"/>
              <w:rPr>
                <w:rFonts w:ascii="Verdana" w:eastAsia="Calibri" w:hAnsi="Verdana" w:cs="Arial"/>
                <w:b/>
                <w:bCs/>
                <w:lang w:val="es-ES" w:eastAsia="es-ES"/>
              </w:rPr>
            </w:pPr>
            <w:r w:rsidRPr="00676B96">
              <w:rPr>
                <w:rFonts w:ascii="Verdana" w:eastAsia="Calibri" w:hAnsi="Verdana" w:cs="Arial"/>
                <w:b/>
                <w:bCs/>
                <w:lang w:val="es-ES" w:eastAsia="es-ES"/>
              </w:rPr>
              <w:t xml:space="preserve">Concepto C- </w:t>
            </w:r>
            <w:r w:rsidR="00677BC5">
              <w:rPr>
                <w:rFonts w:ascii="Verdana" w:eastAsia="Calibri" w:hAnsi="Verdana" w:cs="Arial"/>
                <w:b/>
                <w:bCs/>
                <w:lang w:val="es-ES" w:eastAsia="es-ES"/>
              </w:rPr>
              <w:t>471</w:t>
            </w:r>
            <w:r w:rsidRPr="00676B96">
              <w:rPr>
                <w:rFonts w:ascii="Verdana" w:eastAsia="Calibri" w:hAnsi="Verdana" w:cs="Arial"/>
                <w:b/>
                <w:bCs/>
                <w:lang w:val="es-ES" w:eastAsia="es-ES"/>
              </w:rPr>
              <w:t xml:space="preserve"> de 2024</w:t>
            </w:r>
          </w:p>
          <w:p w14:paraId="436EAF25" w14:textId="77777777" w:rsidR="004C0691" w:rsidRPr="00676B96" w:rsidRDefault="004C0691" w:rsidP="002D7ACD">
            <w:pPr>
              <w:jc w:val="both"/>
              <w:rPr>
                <w:rFonts w:ascii="Verdana" w:eastAsia="Calibri" w:hAnsi="Verdana" w:cs="Arial"/>
                <w:b/>
                <w:bCs/>
                <w:lang w:val="es-ES" w:eastAsia="es-ES"/>
              </w:rPr>
            </w:pPr>
          </w:p>
        </w:tc>
      </w:tr>
      <w:tr w:rsidR="004C0691" w:rsidRPr="00676B96" w14:paraId="2C3FE947" w14:textId="77777777" w:rsidTr="002D7ACD">
        <w:trPr>
          <w:trHeight w:val="884"/>
        </w:trPr>
        <w:tc>
          <w:tcPr>
            <w:tcW w:w="2689" w:type="dxa"/>
          </w:tcPr>
          <w:p w14:paraId="66041225" w14:textId="77777777" w:rsidR="004C0691" w:rsidRPr="00676B96" w:rsidRDefault="004C0691" w:rsidP="002D7ACD">
            <w:pPr>
              <w:jc w:val="both"/>
              <w:rPr>
                <w:rFonts w:ascii="Verdana" w:eastAsia="Calibri" w:hAnsi="Verdana" w:cs="Arial"/>
                <w:lang w:val="es-ES_tradnl" w:eastAsia="es-ES_tradnl"/>
              </w:rPr>
            </w:pPr>
            <w:r w:rsidRPr="00676B96">
              <w:rPr>
                <w:rFonts w:ascii="Verdana" w:eastAsia="Calibri" w:hAnsi="Verdana" w:cs="Arial"/>
                <w:b/>
                <w:lang w:val="es-ES_tradnl" w:eastAsia="es-ES_tradnl"/>
              </w:rPr>
              <w:t>Temas:</w:t>
            </w:r>
            <w:r w:rsidRPr="00676B96">
              <w:rPr>
                <w:rFonts w:ascii="Verdana" w:eastAsia="Calibri" w:hAnsi="Verdana" w:cs="Arial"/>
                <w:lang w:val="es-ES_tradnl" w:eastAsia="es-ES_tradnl"/>
              </w:rPr>
              <w:t xml:space="preserve">                   </w:t>
            </w:r>
          </w:p>
        </w:tc>
        <w:tc>
          <w:tcPr>
            <w:tcW w:w="6100" w:type="dxa"/>
          </w:tcPr>
          <w:p w14:paraId="453905FC" w14:textId="77777777" w:rsidR="004C0691" w:rsidRPr="00676B96" w:rsidRDefault="004C0691" w:rsidP="002D7ACD">
            <w:pPr>
              <w:jc w:val="both"/>
              <w:rPr>
                <w:rFonts w:ascii="Verdana" w:eastAsia="Calibri" w:hAnsi="Verdana" w:cs="Arial"/>
                <w:lang w:val="es-ES_tradnl" w:eastAsia="es-ES_tradnl"/>
              </w:rPr>
            </w:pPr>
            <w:r w:rsidRPr="00676B96">
              <w:rPr>
                <w:rFonts w:ascii="Verdana" w:eastAsia="Calibri" w:hAnsi="Verdana" w:cs="Arial"/>
                <w:lang w:eastAsia="es-ES_tradnl"/>
              </w:rPr>
              <w:t xml:space="preserve">LEY DE EMPRENDIMIENTO – Ley 2069 de 2020 – Artículo 32 – Criterios diferenciales – Emprendimientos de mujeres – Empresas de mujeres / DECRETO 1860 DE 2021 – Vigencia / DECRETO 1860 DE 2021 – Emprendimientos y empresas de mujeres – Definición – Artículo 2.2.1.2.4.2.14 – Numeral 1 – </w:t>
            </w:r>
            <w:r w:rsidRPr="00676B96">
              <w:rPr>
                <w:rFonts w:ascii="Verdana" w:eastAsia="Calibri" w:hAnsi="Verdana" w:cs="Arial"/>
                <w:lang w:val="es-ES_tradnl" w:eastAsia="es-ES_tradnl"/>
              </w:rPr>
              <w:t>Acreditación</w:t>
            </w:r>
          </w:p>
          <w:p w14:paraId="37A767A5" w14:textId="77777777" w:rsidR="004C0691" w:rsidRPr="00676B96" w:rsidRDefault="004C0691" w:rsidP="002D7ACD">
            <w:pPr>
              <w:jc w:val="both"/>
              <w:rPr>
                <w:rFonts w:ascii="Verdana" w:eastAsia="Calibri" w:hAnsi="Verdana" w:cs="Arial"/>
                <w:lang w:val="es-ES_tradnl" w:eastAsia="es-ES"/>
              </w:rPr>
            </w:pPr>
          </w:p>
        </w:tc>
      </w:tr>
      <w:tr w:rsidR="004C0691" w:rsidRPr="00676B96" w14:paraId="5EC38B50" w14:textId="77777777" w:rsidTr="002D7ACD">
        <w:tc>
          <w:tcPr>
            <w:tcW w:w="2689" w:type="dxa"/>
          </w:tcPr>
          <w:p w14:paraId="2AE51572" w14:textId="77777777" w:rsidR="004C0691" w:rsidRPr="00676B96" w:rsidRDefault="004C0691" w:rsidP="002D7ACD">
            <w:pPr>
              <w:jc w:val="both"/>
              <w:rPr>
                <w:rFonts w:ascii="Verdana" w:eastAsia="Calibri" w:hAnsi="Verdana" w:cs="Arial"/>
                <w:b/>
                <w:lang w:val="es-ES_tradnl" w:eastAsia="es-ES_tradnl"/>
              </w:rPr>
            </w:pPr>
            <w:r w:rsidRPr="00676B96">
              <w:rPr>
                <w:rFonts w:ascii="Verdana" w:eastAsia="Calibri" w:hAnsi="Verdana" w:cs="Arial"/>
                <w:b/>
                <w:lang w:val="es-ES_tradnl" w:eastAsia="es-ES_tradnl"/>
              </w:rPr>
              <w:t>Radicación:</w:t>
            </w:r>
            <w:r w:rsidRPr="00676B96">
              <w:rPr>
                <w:rFonts w:ascii="Verdana" w:eastAsia="Calibri" w:hAnsi="Verdana" w:cs="Arial"/>
                <w:lang w:val="es-ES_tradnl" w:eastAsia="es-ES_tradnl"/>
              </w:rPr>
              <w:t xml:space="preserve">               </w:t>
            </w:r>
          </w:p>
        </w:tc>
        <w:tc>
          <w:tcPr>
            <w:tcW w:w="6100" w:type="dxa"/>
          </w:tcPr>
          <w:p w14:paraId="31748949" w14:textId="6D9422BA" w:rsidR="004C0691" w:rsidRPr="00676B96" w:rsidRDefault="004C0691" w:rsidP="002D7ACD">
            <w:pPr>
              <w:jc w:val="both"/>
              <w:rPr>
                <w:rFonts w:ascii="Verdana" w:eastAsia="Calibri" w:hAnsi="Verdana" w:cs="Arial"/>
                <w:lang w:val="es-ES_tradnl" w:eastAsia="es-ES_tradnl"/>
              </w:rPr>
            </w:pPr>
            <w:r w:rsidRPr="00676B96">
              <w:rPr>
                <w:rFonts w:ascii="Verdana" w:eastAsia="Calibri" w:hAnsi="Verdana" w:cs="Arial"/>
                <w:lang w:val="es-ES_tradnl" w:eastAsia="es-ES_tradnl"/>
              </w:rPr>
              <w:t xml:space="preserve">Respuesta a consulta con radicado No. </w:t>
            </w:r>
            <w:r w:rsidR="00677BC5" w:rsidRPr="00677BC5">
              <w:rPr>
                <w:rFonts w:ascii="Verdana" w:eastAsia="Calibri" w:hAnsi="Verdana" w:cs="Arial"/>
                <w:lang w:val="es-ES_tradnl" w:eastAsia="es-ES_tradnl"/>
              </w:rPr>
              <w:t>P20240812008234</w:t>
            </w:r>
          </w:p>
        </w:tc>
      </w:tr>
    </w:tbl>
    <w:p w14:paraId="0EC45515" w14:textId="77777777" w:rsidR="004C0691" w:rsidRPr="00676B96" w:rsidRDefault="004C0691" w:rsidP="004C0691">
      <w:pPr>
        <w:spacing w:after="0" w:line="276" w:lineRule="auto"/>
        <w:jc w:val="both"/>
        <w:rPr>
          <w:rFonts w:ascii="Verdana" w:eastAsia="Calibri" w:hAnsi="Verdana" w:cs="Arial"/>
          <w:lang w:val="es-ES_tradnl" w:eastAsia="es-ES_tradnl"/>
        </w:rPr>
      </w:pPr>
    </w:p>
    <w:p w14:paraId="1D00B204" w14:textId="77777777" w:rsidR="004C0691" w:rsidRPr="00676B96" w:rsidRDefault="004C0691" w:rsidP="004C0691">
      <w:pPr>
        <w:spacing w:after="0" w:line="276" w:lineRule="auto"/>
        <w:jc w:val="both"/>
        <w:rPr>
          <w:rFonts w:ascii="Verdana" w:eastAsia="Calibri" w:hAnsi="Verdana" w:cs="Arial"/>
          <w:lang w:val="es-ES_tradnl" w:eastAsia="es-ES_tradnl"/>
        </w:rPr>
      </w:pPr>
    </w:p>
    <w:p w14:paraId="3EB9FD73" w14:textId="7B72975E" w:rsidR="004C0691" w:rsidRPr="00676B96" w:rsidRDefault="004C0691" w:rsidP="004C0691">
      <w:pPr>
        <w:spacing w:after="0" w:line="276" w:lineRule="auto"/>
        <w:jc w:val="both"/>
        <w:rPr>
          <w:rFonts w:ascii="Verdana" w:eastAsia="Calibri" w:hAnsi="Verdana" w:cs="Arial"/>
          <w:lang w:val="es-ES" w:eastAsia="es-ES"/>
        </w:rPr>
      </w:pPr>
      <w:r w:rsidRPr="00676B96">
        <w:rPr>
          <w:rFonts w:ascii="Verdana" w:eastAsia="Calibri" w:hAnsi="Verdana" w:cs="Arial"/>
          <w:lang w:val="es-ES" w:eastAsia="es-ES"/>
        </w:rPr>
        <w:t>Estimado señor</w:t>
      </w:r>
      <w:r w:rsidR="00677BC5">
        <w:rPr>
          <w:rFonts w:ascii="Verdana" w:eastAsia="Calibri" w:hAnsi="Verdana" w:cs="Arial"/>
          <w:lang w:val="es-ES" w:eastAsia="es-ES"/>
        </w:rPr>
        <w:t xml:space="preserve"> Campo</w:t>
      </w:r>
      <w:r w:rsidRPr="00676B96">
        <w:rPr>
          <w:rFonts w:ascii="Verdana" w:eastAsia="Calibri" w:hAnsi="Verdana" w:cs="Arial"/>
          <w:lang w:val="es-ES" w:eastAsia="es-ES"/>
        </w:rPr>
        <w:t xml:space="preserve">: </w:t>
      </w:r>
    </w:p>
    <w:p w14:paraId="003CEEE3" w14:textId="77777777" w:rsidR="004C0691" w:rsidRPr="00676B96" w:rsidRDefault="004C0691" w:rsidP="004C0691">
      <w:pPr>
        <w:tabs>
          <w:tab w:val="left" w:pos="3768"/>
        </w:tabs>
        <w:spacing w:after="0" w:line="276" w:lineRule="auto"/>
        <w:jc w:val="both"/>
        <w:rPr>
          <w:rFonts w:ascii="Verdana" w:eastAsia="Calibri" w:hAnsi="Verdana" w:cs="Arial"/>
          <w:lang w:val="es-ES" w:eastAsia="es-ES"/>
        </w:rPr>
      </w:pPr>
      <w:r w:rsidRPr="00676B96">
        <w:rPr>
          <w:rFonts w:ascii="Verdana" w:eastAsia="Calibri" w:hAnsi="Verdana" w:cs="Arial"/>
          <w:lang w:val="es-ES" w:eastAsia="es-ES"/>
        </w:rPr>
        <w:tab/>
      </w:r>
    </w:p>
    <w:p w14:paraId="3CA5203B" w14:textId="630DE724" w:rsidR="004C0691" w:rsidRPr="00676B96" w:rsidRDefault="004C0691" w:rsidP="004C0691">
      <w:pPr>
        <w:spacing w:after="0" w:line="276" w:lineRule="auto"/>
        <w:jc w:val="both"/>
        <w:rPr>
          <w:rFonts w:ascii="Verdana" w:eastAsia="Calibri" w:hAnsi="Verdana" w:cs="Arial"/>
          <w:lang w:val="es-ES" w:eastAsia="es-ES"/>
        </w:rPr>
      </w:pPr>
      <w:r w:rsidRPr="00676B96">
        <w:rPr>
          <w:rFonts w:ascii="Verdana" w:eastAsia="Calibri" w:hAnsi="Verdana" w:cs="Arial"/>
          <w:lang w:val="es-ES" w:eastAsia="es-ES"/>
        </w:rPr>
        <w:t>En ejercicio de la competencia otorgada por los artículos 3, numeral 5º, y 11, numeral 8º, del Decreto Ley 4170 de 2011,</w:t>
      </w:r>
      <w:r w:rsidRPr="00676B96">
        <w:rPr>
          <w:rFonts w:ascii="Verdana" w:eastAsia="Arial MT" w:hAnsi="Verdana" w:cs="Arial MT"/>
          <w:lang w:val="es-ES" w:eastAsia="es-ES"/>
        </w:rPr>
        <w:t xml:space="preserve"> </w:t>
      </w:r>
      <w:r w:rsidRPr="00676B96">
        <w:rPr>
          <w:rFonts w:ascii="Verdana" w:hAnsi="Verdana" w:cs="Arial"/>
        </w:rPr>
        <w:t xml:space="preserve">así como lo establecido en el artículo 4 de la Resolución 1707 de 2018 expedida por esta Entidad, </w:t>
      </w:r>
      <w:r w:rsidRPr="00676B96">
        <w:rPr>
          <w:rFonts w:ascii="Verdana" w:eastAsia="Calibri" w:hAnsi="Verdana" w:cs="Arial"/>
          <w:lang w:val="es-ES" w:eastAsia="es-ES"/>
        </w:rPr>
        <w:t xml:space="preserve">la Agencia Nacional de Contratación Pública – Colombia Compra Eficiente – responde su solicitud de consulta, </w:t>
      </w:r>
      <w:r w:rsidR="00677BC5">
        <w:rPr>
          <w:rFonts w:ascii="Verdana" w:eastAsia="Calibri" w:hAnsi="Verdana" w:cs="Arial"/>
          <w:lang w:val="es-ES" w:eastAsia="es-ES"/>
        </w:rPr>
        <w:t>d</w:t>
      </w:r>
      <w:r w:rsidRPr="00676B96">
        <w:rPr>
          <w:rFonts w:ascii="Verdana" w:eastAsia="Calibri" w:hAnsi="Verdana" w:cs="Arial"/>
          <w:lang w:val="es-ES" w:eastAsia="es-ES"/>
        </w:rPr>
        <w:t xml:space="preserve">el </w:t>
      </w:r>
      <w:r w:rsidR="00677BC5">
        <w:rPr>
          <w:rFonts w:ascii="Verdana" w:eastAsia="Calibri" w:hAnsi="Verdana" w:cs="Arial"/>
          <w:lang w:val="es-ES" w:eastAsia="es-ES"/>
        </w:rPr>
        <w:t xml:space="preserve">12 de agosto </w:t>
      </w:r>
      <w:r w:rsidRPr="00676B96">
        <w:rPr>
          <w:rFonts w:ascii="Verdana" w:eastAsia="Calibri" w:hAnsi="Verdana" w:cs="Arial"/>
          <w:lang w:val="es-ES" w:eastAsia="es-ES"/>
        </w:rPr>
        <w:t xml:space="preserve">de 2024, en la cual manifiesta lo siguiente: </w:t>
      </w:r>
    </w:p>
    <w:p w14:paraId="25D23FE5" w14:textId="77777777" w:rsidR="004C0691" w:rsidRPr="00676B96" w:rsidRDefault="004C0691" w:rsidP="004C0691">
      <w:pPr>
        <w:pStyle w:val="Prrafodelista"/>
        <w:tabs>
          <w:tab w:val="left" w:pos="142"/>
          <w:tab w:val="left" w:pos="284"/>
        </w:tabs>
        <w:spacing w:line="276" w:lineRule="auto"/>
        <w:ind w:left="0"/>
        <w:contextualSpacing w:val="0"/>
        <w:jc w:val="both"/>
        <w:rPr>
          <w:rFonts w:ascii="Verdana" w:eastAsia="Century Gothic" w:hAnsi="Verdana" w:cs="Century Gothic"/>
          <w:b/>
          <w:bCs/>
        </w:rPr>
      </w:pPr>
    </w:p>
    <w:p w14:paraId="02A7E270" w14:textId="553940B2" w:rsidR="004C0691" w:rsidRDefault="00677BC5" w:rsidP="00677BC5">
      <w:pPr>
        <w:pStyle w:val="Prrafodelista"/>
        <w:tabs>
          <w:tab w:val="left" w:pos="142"/>
          <w:tab w:val="left" w:pos="284"/>
        </w:tabs>
        <w:spacing w:after="0" w:line="276" w:lineRule="auto"/>
        <w:ind w:right="758"/>
        <w:jc w:val="both"/>
        <w:rPr>
          <w:rFonts w:ascii="Verdana" w:eastAsia="Century Gothic" w:hAnsi="Verdana" w:cs="Century Gothic"/>
          <w:sz w:val="20"/>
          <w:szCs w:val="20"/>
        </w:rPr>
      </w:pPr>
      <w:r>
        <w:rPr>
          <w:rFonts w:ascii="Verdana" w:eastAsia="Century Gothic" w:hAnsi="Verdana" w:cs="Century Gothic"/>
          <w:sz w:val="20"/>
          <w:szCs w:val="20"/>
        </w:rPr>
        <w:t>“</w:t>
      </w:r>
      <w:r w:rsidRPr="00677BC5">
        <w:rPr>
          <w:rFonts w:ascii="Verdana" w:eastAsia="Century Gothic" w:hAnsi="Verdana" w:cs="Century Gothic"/>
          <w:sz w:val="20"/>
          <w:szCs w:val="20"/>
        </w:rPr>
        <w:t>Con el fin de acreditar emprendimiento mujeres, solicitamos que se aclare sí en la</w:t>
      </w:r>
      <w:r>
        <w:rPr>
          <w:rFonts w:ascii="Verdana" w:eastAsia="Century Gothic" w:hAnsi="Verdana" w:cs="Century Gothic"/>
          <w:sz w:val="20"/>
          <w:szCs w:val="20"/>
        </w:rPr>
        <w:t xml:space="preserve"> </w:t>
      </w:r>
      <w:r w:rsidRPr="00677BC5">
        <w:rPr>
          <w:rFonts w:ascii="Verdana" w:eastAsia="Century Gothic" w:hAnsi="Verdana" w:cs="Century Gothic"/>
          <w:sz w:val="20"/>
          <w:szCs w:val="20"/>
        </w:rPr>
        <w:t>certificación que debe expedir el representante legal y/o revisor fiscal en la cual se</w:t>
      </w:r>
      <w:r>
        <w:rPr>
          <w:rFonts w:ascii="Verdana" w:eastAsia="Century Gothic" w:hAnsi="Verdana" w:cs="Century Gothic"/>
          <w:sz w:val="20"/>
          <w:szCs w:val="20"/>
        </w:rPr>
        <w:t xml:space="preserve"> </w:t>
      </w:r>
      <w:r w:rsidRPr="00677BC5">
        <w:rPr>
          <w:rFonts w:ascii="Verdana" w:eastAsia="Century Gothic" w:hAnsi="Verdana" w:cs="Century Gothic"/>
          <w:sz w:val="20"/>
          <w:szCs w:val="20"/>
        </w:rPr>
        <w:t>debe relacionar todas las personas que conforman los cargos de nivel directivo del</w:t>
      </w:r>
      <w:r>
        <w:rPr>
          <w:rFonts w:ascii="Verdana" w:eastAsia="Century Gothic" w:hAnsi="Verdana" w:cs="Century Gothic"/>
          <w:sz w:val="20"/>
          <w:szCs w:val="20"/>
        </w:rPr>
        <w:t xml:space="preserve"> </w:t>
      </w:r>
      <w:r w:rsidRPr="00677BC5">
        <w:rPr>
          <w:rFonts w:ascii="Verdana" w:eastAsia="Century Gothic" w:hAnsi="Verdana" w:cs="Century Gothic"/>
          <w:sz w:val="20"/>
          <w:szCs w:val="20"/>
        </w:rPr>
        <w:t>proponente debe incluirse al representante legal de la empresa, aun cuando este</w:t>
      </w:r>
      <w:r>
        <w:rPr>
          <w:rFonts w:ascii="Verdana" w:eastAsia="Century Gothic" w:hAnsi="Verdana" w:cs="Century Gothic"/>
          <w:sz w:val="20"/>
          <w:szCs w:val="20"/>
        </w:rPr>
        <w:t xml:space="preserve"> </w:t>
      </w:r>
      <w:r w:rsidRPr="00677BC5">
        <w:rPr>
          <w:rFonts w:ascii="Verdana" w:eastAsia="Century Gothic" w:hAnsi="Verdana" w:cs="Century Gothic"/>
          <w:sz w:val="20"/>
          <w:szCs w:val="20"/>
        </w:rPr>
        <w:t>está vinculado mediante un contrato de prestación de servicios y en consecuencia</w:t>
      </w:r>
      <w:r>
        <w:rPr>
          <w:rFonts w:ascii="Verdana" w:eastAsia="Century Gothic" w:hAnsi="Verdana" w:cs="Century Gothic"/>
          <w:sz w:val="20"/>
          <w:szCs w:val="20"/>
        </w:rPr>
        <w:t xml:space="preserve"> </w:t>
      </w:r>
      <w:r w:rsidRPr="00677BC5">
        <w:rPr>
          <w:rFonts w:ascii="Verdana" w:eastAsia="Century Gothic" w:hAnsi="Verdana" w:cs="Century Gothic"/>
          <w:sz w:val="20"/>
          <w:szCs w:val="20"/>
        </w:rPr>
        <w:t xml:space="preserve">no </w:t>
      </w:r>
      <w:r w:rsidRPr="00677BC5">
        <w:rPr>
          <w:rFonts w:ascii="Verdana" w:eastAsia="Century Gothic" w:hAnsi="Verdana" w:cs="Century Gothic"/>
          <w:sz w:val="20"/>
          <w:szCs w:val="20"/>
        </w:rPr>
        <w:lastRenderedPageBreak/>
        <w:t>hace parte de la planta de personal y no desempeña un cargo directivo dentro</w:t>
      </w:r>
      <w:r>
        <w:rPr>
          <w:rFonts w:ascii="Verdana" w:eastAsia="Century Gothic" w:hAnsi="Verdana" w:cs="Century Gothic"/>
          <w:sz w:val="20"/>
          <w:szCs w:val="20"/>
        </w:rPr>
        <w:t xml:space="preserve"> </w:t>
      </w:r>
      <w:r w:rsidRPr="00677BC5">
        <w:rPr>
          <w:rFonts w:ascii="Verdana" w:eastAsia="Century Gothic" w:hAnsi="Verdana" w:cs="Century Gothic"/>
          <w:sz w:val="20"/>
          <w:szCs w:val="20"/>
        </w:rPr>
        <w:t xml:space="preserve">de la estructura organizacional del oferente. </w:t>
      </w:r>
      <w:r>
        <w:rPr>
          <w:rFonts w:ascii="Verdana" w:eastAsia="Century Gothic" w:hAnsi="Verdana" w:cs="Century Gothic"/>
          <w:sz w:val="20"/>
          <w:szCs w:val="20"/>
        </w:rPr>
        <w:t>[…]” [sic]</w:t>
      </w:r>
    </w:p>
    <w:p w14:paraId="2CA3CE86" w14:textId="77777777" w:rsidR="00677BC5" w:rsidRPr="00676B96" w:rsidRDefault="00677BC5" w:rsidP="00677BC5">
      <w:pPr>
        <w:pStyle w:val="Prrafodelista"/>
        <w:tabs>
          <w:tab w:val="left" w:pos="142"/>
          <w:tab w:val="left" w:pos="284"/>
        </w:tabs>
        <w:spacing w:after="0" w:line="276" w:lineRule="auto"/>
        <w:jc w:val="both"/>
        <w:rPr>
          <w:rFonts w:ascii="Verdana" w:eastAsia="Century Gothic" w:hAnsi="Verdana" w:cs="Century Gothic"/>
          <w:b/>
          <w:bCs/>
        </w:rPr>
      </w:pPr>
    </w:p>
    <w:p w14:paraId="7DA69962" w14:textId="77777777" w:rsidR="00B2670E" w:rsidRDefault="004C0691" w:rsidP="00BC3155">
      <w:pPr>
        <w:spacing w:after="120" w:line="276" w:lineRule="auto"/>
        <w:jc w:val="both"/>
        <w:rPr>
          <w:rFonts w:ascii="Verdana" w:eastAsia="Calibri" w:hAnsi="Verdana" w:cs="Arial"/>
          <w:lang w:val="es-ES_tradnl" w:eastAsia="es-ES_tradnl"/>
        </w:rPr>
      </w:pPr>
      <w:r w:rsidRPr="00676B96">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76B96">
        <w:rPr>
          <w:rFonts w:ascii="Verdana" w:eastAsia="Calibri" w:hAnsi="Verdana" w:cs="Arial"/>
          <w:lang w:val="es-ES_tradnl" w:eastAsia="es-ES_tradnl"/>
        </w:rPr>
        <w:tab/>
      </w:r>
    </w:p>
    <w:p w14:paraId="5BA75627" w14:textId="77777777" w:rsidR="004C0691" w:rsidRPr="00B2670E" w:rsidRDefault="004C0691" w:rsidP="00B2670E">
      <w:pPr>
        <w:spacing w:after="0" w:line="276" w:lineRule="auto"/>
        <w:ind w:firstLine="708"/>
        <w:jc w:val="both"/>
        <w:rPr>
          <w:rFonts w:ascii="Verdana" w:eastAsia="Calibri" w:hAnsi="Verdana" w:cs="Arial"/>
          <w:lang w:val="es-ES_tradnl" w:eastAsia="es-ES_tradnl"/>
        </w:rPr>
      </w:pPr>
      <w:r w:rsidRPr="00676B9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3DA0EB83" w14:textId="77777777" w:rsidR="004C0691" w:rsidRPr="00C02094" w:rsidRDefault="004C0691" w:rsidP="004C0691">
      <w:pPr>
        <w:spacing w:after="0" w:line="276" w:lineRule="auto"/>
        <w:ind w:firstLine="709"/>
        <w:jc w:val="both"/>
        <w:rPr>
          <w:rFonts w:ascii="Verdana" w:eastAsia="Calibri" w:hAnsi="Verdana" w:cs="Arial"/>
          <w:lang w:val="es-ES" w:eastAsia="es-ES"/>
        </w:rPr>
      </w:pPr>
    </w:p>
    <w:p w14:paraId="6177D628" w14:textId="77777777" w:rsidR="004C0691" w:rsidRPr="00C02094" w:rsidRDefault="004C0691" w:rsidP="004C069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02094">
        <w:rPr>
          <w:rFonts w:ascii="Verdana" w:eastAsia="Century Gothic" w:hAnsi="Verdana" w:cs="Century Gothic"/>
          <w:b/>
          <w:bCs/>
        </w:rPr>
        <w:t>Problema planteado:</w:t>
      </w:r>
    </w:p>
    <w:p w14:paraId="4D5FA701" w14:textId="77777777" w:rsidR="004C0691" w:rsidRPr="00C02094" w:rsidRDefault="004C0691" w:rsidP="004C0691">
      <w:pPr>
        <w:tabs>
          <w:tab w:val="left" w:pos="426"/>
        </w:tabs>
        <w:spacing w:after="0" w:line="276" w:lineRule="auto"/>
        <w:jc w:val="both"/>
        <w:rPr>
          <w:rFonts w:ascii="Verdana" w:eastAsia="Century Gothic" w:hAnsi="Verdana" w:cs="Century Gothic"/>
          <w:lang w:val="es-ES"/>
        </w:rPr>
      </w:pPr>
    </w:p>
    <w:p w14:paraId="6996AF79" w14:textId="6AEF5BB5" w:rsidR="004C0691" w:rsidRPr="00C02094" w:rsidRDefault="004C0691" w:rsidP="004C0691">
      <w:pPr>
        <w:spacing w:after="0" w:line="276" w:lineRule="auto"/>
        <w:jc w:val="both"/>
        <w:rPr>
          <w:rFonts w:ascii="Verdana" w:hAnsi="Verdana" w:cs="Arial"/>
          <w:shd w:val="clear" w:color="auto" w:fill="FFFFFF"/>
        </w:rPr>
      </w:pPr>
      <w:r w:rsidRPr="00C02094">
        <w:rPr>
          <w:rFonts w:ascii="Verdana" w:eastAsia="Century Gothic" w:hAnsi="Verdana" w:cs="Century Gothic"/>
        </w:rPr>
        <w:t xml:space="preserve">De acuerdo con el contenido de su solicitud, esta Agencia resolverá los siguientes problemas jurídicos: </w:t>
      </w:r>
      <w:r w:rsidRPr="00C02094">
        <w:rPr>
          <w:rFonts w:ascii="Verdana" w:hAnsi="Verdana" w:cs="Arial"/>
          <w:shd w:val="clear" w:color="auto" w:fill="FFFFFF"/>
        </w:rPr>
        <w:t xml:space="preserve">i) </w:t>
      </w:r>
      <w:r w:rsidR="00FC59CF">
        <w:rPr>
          <w:rFonts w:ascii="Verdana" w:hAnsi="Verdana" w:cs="Arial"/>
          <w:shd w:val="clear" w:color="auto" w:fill="FFFFFF"/>
        </w:rPr>
        <w:t xml:space="preserve">¿Cuáles son los requisitos para acreditar </w:t>
      </w:r>
      <w:r w:rsidRPr="00C02094">
        <w:rPr>
          <w:rFonts w:ascii="Verdana" w:hAnsi="Verdana" w:cs="Arial"/>
          <w:shd w:val="clear" w:color="auto" w:fill="FFFFFF"/>
        </w:rPr>
        <w:t>los criterios diferenciales establecidos a favor de los emprendimientos y empresas de mujeres?</w:t>
      </w:r>
    </w:p>
    <w:p w14:paraId="54D69431" w14:textId="77777777" w:rsidR="004C0691" w:rsidRPr="00C02094" w:rsidRDefault="004C0691" w:rsidP="004C0691">
      <w:pPr>
        <w:spacing w:after="0" w:line="276" w:lineRule="auto"/>
        <w:jc w:val="both"/>
        <w:rPr>
          <w:rFonts w:ascii="Verdana" w:eastAsia="Calibri" w:hAnsi="Verdana" w:cs="Arial"/>
          <w:lang w:val="es-ES"/>
        </w:rPr>
      </w:pPr>
    </w:p>
    <w:p w14:paraId="46FFF078" w14:textId="77777777" w:rsidR="004C0691" w:rsidRPr="00C02094" w:rsidRDefault="004C0691" w:rsidP="004C069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02094">
        <w:rPr>
          <w:rFonts w:ascii="Verdana" w:eastAsia="Century Gothic" w:hAnsi="Verdana" w:cs="Century Gothic"/>
          <w:b/>
          <w:bCs/>
        </w:rPr>
        <w:t>Respuesta:</w:t>
      </w:r>
    </w:p>
    <w:p w14:paraId="63B90F2C" w14:textId="77777777" w:rsidR="004C0691" w:rsidRPr="00C02094" w:rsidRDefault="004C0691" w:rsidP="004C0691">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C0691" w:rsidRPr="00C02094" w14:paraId="54D39579" w14:textId="77777777" w:rsidTr="002D7ACD">
        <w:tc>
          <w:tcPr>
            <w:tcW w:w="8828" w:type="dxa"/>
          </w:tcPr>
          <w:p w14:paraId="3C270319" w14:textId="5CB57C91" w:rsidR="003A048D" w:rsidRPr="003A048D" w:rsidRDefault="003A048D" w:rsidP="003A048D">
            <w:pPr>
              <w:spacing w:after="120" w:line="276" w:lineRule="auto"/>
              <w:jc w:val="both"/>
              <w:rPr>
                <w:rFonts w:ascii="Verdana" w:eastAsia="Calibri" w:hAnsi="Verdana" w:cs="Arial"/>
              </w:rPr>
            </w:pPr>
            <w:r w:rsidRPr="003A048D">
              <w:rPr>
                <w:rFonts w:ascii="Verdana" w:eastAsia="Calibri" w:hAnsi="Verdana" w:cs="Arial"/>
              </w:rPr>
              <w:t xml:space="preserve">Resulta preciso advertir que el numeral primero y segundo del artículo 2.2.1.2.4.2.14 del Decreto 1082 de 2015, el cual reglamenta el artículo 32 de la Ley 2069 de 2020, define como emprendimientos o empresas de mujeres a las personas jurídicas cuando: i) más del cincuenta por ciento (50%) de las acciones, partes de interés o cuotas de participación de la persona jurídica pertenezcan a mujeres y los derechos de propiedad hayan permanecido a estas durante al menos el último año anterior a la fecha de cierre del proceso </w:t>
            </w:r>
            <w:r w:rsidRPr="003A048D">
              <w:rPr>
                <w:rFonts w:ascii="Verdana" w:eastAsia="Calibri" w:hAnsi="Verdana" w:cs="Arial"/>
              </w:rPr>
              <w:lastRenderedPageBreak/>
              <w:t xml:space="preserve">de selección; y </w:t>
            </w:r>
            <w:proofErr w:type="spellStart"/>
            <w:r w:rsidRPr="003A048D">
              <w:rPr>
                <w:rFonts w:ascii="Verdana" w:eastAsia="Calibri" w:hAnsi="Verdana" w:cs="Arial"/>
              </w:rPr>
              <w:t>ii</w:t>
            </w:r>
            <w:proofErr w:type="spellEnd"/>
            <w:r w:rsidRPr="003A048D">
              <w:rPr>
                <w:rFonts w:ascii="Verdana" w:eastAsia="Calibri" w:hAnsi="Verdana" w:cs="Arial"/>
              </w:rPr>
              <w:t xml:space="preserve"> ) cuando al menos el cincuenta por ciento (50%) de los</w:t>
            </w:r>
            <w:r>
              <w:rPr>
                <w:rFonts w:ascii="Verdana" w:eastAsia="Calibri" w:hAnsi="Verdana" w:cs="Arial"/>
              </w:rPr>
              <w:t xml:space="preserve"> </w:t>
            </w:r>
            <w:r w:rsidRPr="003A048D">
              <w:rPr>
                <w:rFonts w:ascii="Verdana" w:eastAsia="Calibri" w:hAnsi="Verdana" w:cs="Arial"/>
              </w:rPr>
              <w:t>empleos del nivel directivo sean ejercidos por mujeres, siempre que éstas hayan estado vinculadas laboralmente a la empresa durante al menos el último año anterior a la fecha de cierre del Proceso de Selección en el mismo cargo u otro del mismo nivel. En ese sentido, para aplicar esta definición habrá que constatar que los documentos presentados por el proponente cumplan con los supuestos establecidos en los numerales primero y segundo del artículo 2.2.1.2.4.2.14 del Decreto 1082 de 2015.</w:t>
            </w:r>
          </w:p>
          <w:p w14:paraId="454E0227" w14:textId="39789DD1" w:rsidR="003A048D" w:rsidRDefault="003A048D" w:rsidP="003A048D">
            <w:pPr>
              <w:spacing w:after="120" w:line="276" w:lineRule="auto"/>
              <w:jc w:val="both"/>
              <w:rPr>
                <w:rFonts w:ascii="Verdana" w:eastAsia="Calibri" w:hAnsi="Verdana" w:cs="Arial"/>
              </w:rPr>
            </w:pPr>
            <w:r w:rsidRPr="003A048D">
              <w:rPr>
                <w:rFonts w:ascii="Verdana" w:eastAsia="Calibri" w:hAnsi="Verdana" w:cs="Arial"/>
              </w:rPr>
              <w:t xml:space="preserve">De esta manera, los criterios diferenciales y la asignación de puntajes adicionales en procesos de selección de contratistas del Estado, creados en favor de los Emprendimientos y Empresas de Mujeres; incluidos en el artículo 32 de la Ley 2069 de 2020 y reglamentados mediante el Decreto 1860 de 2021, únicamente, se aplicarán a los proponentes que acrediten alguna de las condiciones señaladas en el artículo 2.2.1.2.4.2.14 del Decreto 1082 de 2015 que define el concepto aludido en la ley. Respecto a la definición consagrada en la disposición objeto de estudio debe señalarse que, cada uno de los supuestos de hecho de los cuatro numerales de la norma exigen que se hayan cumplido, por lo menos, durante el año anterior a la fecha de cierre del proceso de selección. </w:t>
            </w:r>
          </w:p>
          <w:p w14:paraId="280ACBAA" w14:textId="7E8A15F1" w:rsidR="003A048D" w:rsidRDefault="003A048D" w:rsidP="003A048D">
            <w:pPr>
              <w:spacing w:after="120" w:line="276" w:lineRule="auto"/>
              <w:jc w:val="both"/>
              <w:rPr>
                <w:rFonts w:ascii="Verdana" w:eastAsia="Calibri" w:hAnsi="Verdana" w:cs="Arial"/>
              </w:rPr>
            </w:pPr>
            <w:r w:rsidRPr="003A048D">
              <w:rPr>
                <w:rFonts w:ascii="Verdana" w:eastAsia="Calibri" w:hAnsi="Verdana" w:cs="Arial"/>
              </w:rPr>
              <w:t>Teniendo en cuenta</w:t>
            </w:r>
            <w:r>
              <w:rPr>
                <w:rFonts w:ascii="Verdana" w:eastAsia="Calibri" w:hAnsi="Verdana" w:cs="Arial"/>
              </w:rPr>
              <w:t xml:space="preserve"> </w:t>
            </w:r>
            <w:r w:rsidRPr="003A048D">
              <w:rPr>
                <w:rFonts w:ascii="Verdana" w:eastAsia="Calibri" w:hAnsi="Verdana" w:cs="Arial"/>
              </w:rPr>
              <w:t>el objeto de la presente consulta, resulta relevante el análisis del numeral tercero del artículo antes citado, según el cual tratándose de personas naturales debe cumplirse con las siguientes condiciones para ser consideradas como Emprendimientos y Empresas de Mujeres y, en consecuencia, ser destinatarias de los criterios diferenciales de que trata el artículo 32 de la Ley de Emprendimiento: 1) que la persona natural sea una mujer; 2) que haya ejercido actividades comerciales a través de un establecimiento de comercio, 3) que haya ejercido esas actividades durante al menos el último año anterior a la fecha del cierre del proceso de selección. Adicionalmente, la misma disposición señala que la acreditación de dichas</w:t>
            </w:r>
            <w:r>
              <w:rPr>
                <w:rFonts w:ascii="Verdana" w:eastAsia="Calibri" w:hAnsi="Verdana" w:cs="Arial"/>
              </w:rPr>
              <w:t xml:space="preserve"> </w:t>
            </w:r>
            <w:r w:rsidRPr="003A048D">
              <w:rPr>
                <w:rFonts w:ascii="Verdana" w:eastAsia="Calibri" w:hAnsi="Verdana" w:cs="Arial"/>
              </w:rPr>
              <w:t>circunstancias deberá realizarse mediante la copia de la cédula de ciudadanía, la cédula de extranjería o el pasaporte, así como la copia del registro mercantil</w:t>
            </w:r>
          </w:p>
          <w:p w14:paraId="55E1D7AA" w14:textId="413C901D" w:rsidR="003A048D" w:rsidRDefault="003A048D" w:rsidP="003A048D">
            <w:pPr>
              <w:spacing w:after="120" w:line="276" w:lineRule="auto"/>
              <w:jc w:val="both"/>
              <w:rPr>
                <w:rFonts w:ascii="Verdana" w:eastAsia="Calibri" w:hAnsi="Verdana" w:cs="Arial"/>
                <w:lang w:val="es-ES_tradnl"/>
              </w:rPr>
            </w:pPr>
            <w:r w:rsidRPr="003A048D">
              <w:rPr>
                <w:rFonts w:ascii="Verdana" w:eastAsia="Calibri" w:hAnsi="Verdana" w:cs="Arial"/>
              </w:rPr>
              <w:t>Una sociedad podrá ser considerada como un emprendimiento o empresa de mujeres cuando más del cincuenta por ciento (50%) de sus acciones, partes de interés o cuotas de participación, pertenezcan a mujeres. Así las cosas, una interpretación exegética del numeral primero del artículo 2.2.1.2.4.2.14 al Decreto 1082 de 2015 permite concluir que la aplicación de los criterios diferenciales a favor de los emprendimientos y empresas de mujeres se</w:t>
            </w:r>
            <w:r>
              <w:rPr>
                <w:rFonts w:ascii="Verdana" w:eastAsia="Calibri" w:hAnsi="Verdana" w:cs="Arial"/>
              </w:rPr>
              <w:t xml:space="preserve"> </w:t>
            </w:r>
            <w:r w:rsidRPr="003A048D">
              <w:rPr>
                <w:rFonts w:ascii="Verdana" w:eastAsia="Calibri" w:hAnsi="Verdana" w:cs="Arial"/>
              </w:rPr>
              <w:lastRenderedPageBreak/>
              <w:t>extiende frente a aquellas personas jurídicas cuando más del cincuenta por ciento (50%) de sus acciones, partes de interés o cuotas de participación pertenezcan a mujeres, independientemente que se trate de una sola, y que esta se ejerza una situación de control. Sin embargo, el supuesto de hecho de la norma citada, adicionalmente, exige que la titularidad de tal participación haya pertenecido a mujeres, por lo menos, durante el año anterior a la fecha de cierre del proceso de selección.</w:t>
            </w:r>
          </w:p>
          <w:p w14:paraId="34093A59" w14:textId="6FD83E7B" w:rsidR="004C0691" w:rsidRPr="00A97925" w:rsidRDefault="004C0691" w:rsidP="00B2670E">
            <w:pPr>
              <w:spacing w:after="120" w:line="276" w:lineRule="auto"/>
              <w:ind w:firstLine="709"/>
              <w:jc w:val="both"/>
              <w:rPr>
                <w:rFonts w:ascii="Verdana" w:eastAsia="Calibri" w:hAnsi="Verdana" w:cs="Arial"/>
                <w:color w:val="000000" w:themeColor="text1"/>
              </w:rPr>
            </w:pPr>
            <w:r w:rsidRPr="00A97925">
              <w:rPr>
                <w:rFonts w:ascii="Verdana" w:eastAsia="Calibri" w:hAnsi="Verdana" w:cs="Arial"/>
                <w:color w:val="000000" w:themeColor="text1"/>
              </w:rPr>
              <w:t>El artículo 30 de la Ley 222 de 1995, señala la obligatoriedad de inscripción en el Registro Mercantil de las situaciones de control o de los grupos empresariales. Esta se obtiene mediante un documento privado suscrito por la persona o personas controlantes, que debe contener la información relativa al nombre, domicilio, nacionalidad y actividad de los vinculados, así como el presupuesto que da lugar a la situación de control. El documento debe presentarse para su inscripción en el Registro Mercantil correspondiente a la circunscripción de cada uno de los vinculados, dentro de los treinta (30) días siguientes a la configuración de la situación de control o del grupo empresarial</w:t>
            </w:r>
          </w:p>
          <w:p w14:paraId="43D950EC" w14:textId="77777777" w:rsidR="004C0691" w:rsidRPr="00C02094" w:rsidRDefault="004C0691" w:rsidP="00B2670E">
            <w:pPr>
              <w:pStyle w:val="Prrafodelista"/>
              <w:spacing w:after="120" w:line="276" w:lineRule="auto"/>
              <w:ind w:left="0" w:firstLine="709"/>
              <w:contextualSpacing w:val="0"/>
              <w:jc w:val="both"/>
              <w:rPr>
                <w:rFonts w:ascii="Verdana" w:eastAsia="Calibri" w:hAnsi="Verdana" w:cs="Arial"/>
                <w:lang w:val="es-ES_tradnl" w:eastAsia="es-ES_tradnl"/>
              </w:rPr>
            </w:pPr>
            <w:r w:rsidRPr="00C02094">
              <w:rPr>
                <w:rFonts w:ascii="Verdana" w:eastAsia="Calibri" w:hAnsi="Verdana" w:cs="Arial"/>
                <w:color w:val="000000" w:themeColor="text1"/>
              </w:rPr>
              <w:t xml:space="preserve">La norma faculta a la Superintendencia Financiera para que de oficio o a solicitud de cualquier interesado, declare la situación de vinculación y ordene la inscripción en el Registro Mercantil, sin perjuicio de la imposición de multas a que haya lugar por dicha omisión. Así las cosas, es claro que es competencia de esta entidad la declaratoria de la situación, no a cada una de las Entidades Estatales que adelanten el proceso de contratación, quienes para efecto de aplicar los criterios diferenciales de que trata el artículo 32 de la Ley 2069 de 2021 y el Decreto 1860 de 2021 deberán verificar el cumplimiento de los requisitos de que trata el </w:t>
            </w:r>
            <w:r w:rsidRPr="00C02094">
              <w:rPr>
                <w:rFonts w:ascii="Verdana" w:eastAsia="Calibri" w:hAnsi="Verdana" w:cs="Arial"/>
                <w:lang w:val="es-ES_tradnl" w:eastAsia="es-ES_tradnl"/>
              </w:rPr>
              <w:t xml:space="preserve">Artículo 2.2.1.2.4.2.14. – adicionado por el artículo 3 del Decreto 1860 de 2021. </w:t>
            </w:r>
          </w:p>
          <w:p w14:paraId="071F3F7F" w14:textId="77777777" w:rsidR="004C0691" w:rsidRPr="00C02094" w:rsidRDefault="004C0691" w:rsidP="00B2670E">
            <w:pPr>
              <w:pStyle w:val="Prrafodelista"/>
              <w:spacing w:line="276" w:lineRule="auto"/>
              <w:ind w:left="0" w:firstLine="709"/>
              <w:contextualSpacing w:val="0"/>
              <w:jc w:val="both"/>
              <w:rPr>
                <w:rFonts w:ascii="Verdana" w:eastAsia="Calibri" w:hAnsi="Verdana" w:cs="Arial"/>
                <w:color w:val="000000" w:themeColor="text1"/>
                <w:lang w:val="es-MX"/>
              </w:rPr>
            </w:pPr>
            <w:r w:rsidRPr="00C02094">
              <w:rPr>
                <w:rFonts w:ascii="Verdana" w:hAnsi="Verdana" w:cs="Arial"/>
              </w:rPr>
              <w:t>Lo anterior, sin perjuicio de que, si no se efectúa la inscripción dentro del plazo indicado, la Superintendencia de Sociedades, o en su caso la Financiera, de oficio o a solicitud de cualquier interesado, declarará la situación de vinculación y ordenará la inscripción en el Registro Mercantil, sin perjuicio de la imposición de multas a que haya lugar.</w:t>
            </w:r>
          </w:p>
        </w:tc>
      </w:tr>
    </w:tbl>
    <w:p w14:paraId="541A257A" w14:textId="77777777" w:rsidR="004C0691" w:rsidRPr="00C02094" w:rsidRDefault="004C0691" w:rsidP="004C0691">
      <w:pPr>
        <w:tabs>
          <w:tab w:val="left" w:pos="142"/>
          <w:tab w:val="left" w:pos="284"/>
        </w:tabs>
        <w:spacing w:after="0" w:line="276" w:lineRule="auto"/>
        <w:jc w:val="both"/>
        <w:rPr>
          <w:rFonts w:ascii="Verdana" w:eastAsia="Century Gothic" w:hAnsi="Verdana" w:cs="Century Gothic"/>
          <w:b/>
          <w:bCs/>
          <w:lang w:val="es-ES"/>
        </w:rPr>
      </w:pPr>
    </w:p>
    <w:p w14:paraId="0A1CA4C5" w14:textId="77777777" w:rsidR="004C0691" w:rsidRPr="00C02094" w:rsidRDefault="004C0691" w:rsidP="004C069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02094">
        <w:rPr>
          <w:rFonts w:ascii="Verdana" w:eastAsia="Century Gothic" w:hAnsi="Verdana" w:cs="Century Gothic"/>
          <w:b/>
          <w:bCs/>
        </w:rPr>
        <w:t>Razones de la respuesta:</w:t>
      </w:r>
    </w:p>
    <w:p w14:paraId="07E9DF2E" w14:textId="77777777" w:rsidR="004C0691" w:rsidRPr="00C02094" w:rsidRDefault="004C0691" w:rsidP="004C0691">
      <w:pPr>
        <w:spacing w:after="0" w:line="276" w:lineRule="auto"/>
        <w:jc w:val="both"/>
        <w:rPr>
          <w:rFonts w:ascii="Verdana" w:eastAsia="Calibri" w:hAnsi="Verdana" w:cs="Arial"/>
          <w:color w:val="7030A0"/>
          <w:lang w:val="es-ES"/>
        </w:rPr>
      </w:pPr>
    </w:p>
    <w:p w14:paraId="3223915F" w14:textId="77777777" w:rsidR="004C0691" w:rsidRPr="00C02094" w:rsidRDefault="004C0691" w:rsidP="004C0691">
      <w:pPr>
        <w:spacing w:after="0" w:line="276" w:lineRule="auto"/>
        <w:jc w:val="both"/>
        <w:rPr>
          <w:rFonts w:ascii="Verdana" w:eastAsia="Calibri" w:hAnsi="Verdana" w:cs="Arial"/>
          <w:lang w:val="es-ES"/>
        </w:rPr>
      </w:pPr>
      <w:r w:rsidRPr="00C02094">
        <w:rPr>
          <w:rFonts w:ascii="Verdana" w:eastAsia="Calibri" w:hAnsi="Verdana" w:cs="Arial"/>
          <w:lang w:val="es-ES"/>
        </w:rPr>
        <w:t xml:space="preserve">Lo anterior se sustenta en las siguientes consideraciones: </w:t>
      </w:r>
    </w:p>
    <w:p w14:paraId="198CC30E" w14:textId="77777777" w:rsidR="004C0691" w:rsidRPr="00C02094" w:rsidRDefault="004C0691" w:rsidP="004C0691">
      <w:pPr>
        <w:spacing w:after="0" w:line="276" w:lineRule="auto"/>
        <w:jc w:val="both"/>
        <w:rPr>
          <w:rFonts w:ascii="Verdana" w:eastAsia="Calibri" w:hAnsi="Verdana" w:cs="Arial"/>
          <w:color w:val="7030A0"/>
          <w:lang w:val="es-ES"/>
        </w:rPr>
      </w:pPr>
    </w:p>
    <w:p w14:paraId="4823A5E2" w14:textId="77777777" w:rsidR="004C0691" w:rsidRPr="00FC59CF" w:rsidRDefault="004C0691" w:rsidP="00FC59CF">
      <w:pPr>
        <w:pStyle w:val="Prrafodelista"/>
        <w:numPr>
          <w:ilvl w:val="0"/>
          <w:numId w:val="20"/>
        </w:numPr>
        <w:spacing w:after="120" w:line="276" w:lineRule="auto"/>
        <w:jc w:val="both"/>
        <w:rPr>
          <w:rFonts w:ascii="Verdana" w:eastAsia="Calibri" w:hAnsi="Verdana" w:cs="Arial"/>
          <w:lang w:val="es-ES_tradnl" w:eastAsia="es-ES_tradnl"/>
        </w:rPr>
      </w:pPr>
      <w:r w:rsidRPr="00FC59CF">
        <w:rPr>
          <w:rFonts w:ascii="Verdana" w:eastAsia="Calibri" w:hAnsi="Verdana" w:cs="Arial"/>
        </w:rPr>
        <w:lastRenderedPageBreak/>
        <w:t xml:space="preserve">En primer lugar, respecto del objeto de su consulta debe advertirse que, </w:t>
      </w:r>
      <w:r w:rsidRPr="00FC59CF">
        <w:rPr>
          <w:rFonts w:ascii="Verdana" w:eastAsia="Calibri" w:hAnsi="Verdana" w:cs="Arial"/>
          <w:lang w:val="es-ES_tradnl" w:eastAsia="es-ES_tradnl"/>
        </w:rPr>
        <w:t>el 31 de diciembre de 2020 se promulgó la Ley 2069, “Por medio de la cual se impulsa el emprendimiento en Colombia”. Como dispone el artículo 1°, aquella “tiene por objeto establecer un marco regulatorio que propicie el emprendimiento y el crecimiento, consolidación y sostenibilidad de las empresas, con el fin de aumentar el bienestar social y generar equidad”</w:t>
      </w:r>
      <w:r w:rsidRPr="001A3CD7">
        <w:rPr>
          <w:vertAlign w:val="superscript"/>
          <w:lang w:eastAsia="es-ES_tradnl"/>
        </w:rPr>
        <w:footnoteReference w:id="2"/>
      </w:r>
      <w:r w:rsidRPr="00FC59CF">
        <w:rPr>
          <w:rFonts w:ascii="Verdana" w:eastAsia="Calibri" w:hAnsi="Verdana" w:cs="Arial"/>
          <w:lang w:val="es-ES_tradnl" w:eastAsia="es-ES_tradnl"/>
        </w:rPr>
        <w:t xml:space="preserve">. Esto, a partir de “[…] un enfoque regionalizado de acuerdo con las realidades socioeconómicas de cada región”. </w:t>
      </w:r>
    </w:p>
    <w:p w14:paraId="7C881B8B" w14:textId="77777777" w:rsidR="004C0691" w:rsidRPr="00FC59CF" w:rsidRDefault="004C0691" w:rsidP="00FC59CF">
      <w:pPr>
        <w:pStyle w:val="Prrafodelista"/>
        <w:numPr>
          <w:ilvl w:val="0"/>
          <w:numId w:val="20"/>
        </w:numPr>
        <w:spacing w:after="120" w:line="276" w:lineRule="auto"/>
        <w:jc w:val="both"/>
        <w:rPr>
          <w:rFonts w:ascii="Verdana" w:eastAsia="Calibri" w:hAnsi="Verdana" w:cs="Arial"/>
          <w:lang w:val="es-ES_tradnl" w:eastAsia="es-ES_tradnl"/>
        </w:rPr>
      </w:pPr>
      <w:r w:rsidRPr="00FC59CF">
        <w:rPr>
          <w:rFonts w:ascii="Verdana" w:eastAsia="Calibri" w:hAnsi="Verdana" w:cs="Arial"/>
          <w:lang w:val="es-ES_tradnl" w:eastAsia="es-ES_tradnl"/>
        </w:rPr>
        <w:t>En desarrollo de esta finalidad, se establecen medidas de apoyo para las micro, pequeñas y medianas empresas –</w:t>
      </w:r>
      <w:proofErr w:type="spellStart"/>
      <w:r w:rsidRPr="00FC59CF">
        <w:rPr>
          <w:rFonts w:ascii="Verdana" w:eastAsia="Calibri" w:hAnsi="Verdana" w:cs="Arial"/>
          <w:lang w:val="es-ES_tradnl" w:eastAsia="es-ES_tradnl"/>
        </w:rPr>
        <w:t>Mipymes</w:t>
      </w:r>
      <w:proofErr w:type="spellEnd"/>
      <w:r w:rsidRPr="00FC59CF">
        <w:rPr>
          <w:rFonts w:ascii="Verdana" w:eastAsia="Calibri" w:hAnsi="Verdana" w:cs="Arial"/>
          <w:lang w:val="es-ES_tradnl" w:eastAsia="es-ES_tradnl"/>
        </w:rPr>
        <w:t>–, mediante la racionalización y simplificación de los trámites y tarifas</w:t>
      </w:r>
      <w:r w:rsidRPr="001A3CD7">
        <w:rPr>
          <w:vertAlign w:val="superscript"/>
          <w:lang w:eastAsia="es-ES_tradnl"/>
        </w:rPr>
        <w:footnoteReference w:id="3"/>
      </w:r>
      <w:r w:rsidRPr="00FC59CF">
        <w:rPr>
          <w:rFonts w:ascii="Verdana" w:eastAsia="Calibri" w:hAnsi="Verdana" w:cs="Arial"/>
          <w:lang w:val="es-ES_tradnl" w:eastAsia="es-ES_tradnl"/>
        </w:rPr>
        <w:t>, así como incentivos a favor de aquellas dentro del sistema de compras y contratación pública</w:t>
      </w:r>
      <w:r w:rsidRPr="001A3CD7">
        <w:rPr>
          <w:vertAlign w:val="superscript"/>
          <w:lang w:eastAsia="es-ES_tradnl"/>
        </w:rPr>
        <w:footnoteReference w:id="4"/>
      </w:r>
      <w:r w:rsidRPr="00FC59CF">
        <w:rPr>
          <w:rFonts w:ascii="Verdana" w:eastAsia="Calibri" w:hAnsi="Verdana" w:cs="Arial"/>
          <w:lang w:val="es-ES_tradnl" w:eastAsia="es-ES_tradnl"/>
        </w:rPr>
        <w:t>. También se consagran mecanismos de acceso al financiamiento</w:t>
      </w:r>
      <w:r w:rsidRPr="001A3CD7">
        <w:rPr>
          <w:vertAlign w:val="superscript"/>
          <w:lang w:eastAsia="es-ES_tradnl"/>
        </w:rPr>
        <w:footnoteReference w:id="5"/>
      </w:r>
      <w:r w:rsidRPr="00FC59CF">
        <w:rPr>
          <w:rFonts w:ascii="Verdana" w:eastAsia="Calibri" w:hAnsi="Verdana" w:cs="Arial"/>
          <w:lang w:val="es-ES_tradnl" w:eastAsia="es-ES_tradnl"/>
        </w:rPr>
        <w:t>, se unifican las fuentes de emprendimiento y de desarrollo empresarial, para fortalecer y promover los distintos sectores de la economía</w:t>
      </w:r>
      <w:r w:rsidRPr="001A3CD7">
        <w:rPr>
          <w:vertAlign w:val="superscript"/>
          <w:lang w:eastAsia="es-ES_tradnl"/>
        </w:rPr>
        <w:footnoteReference w:id="6"/>
      </w:r>
      <w:r w:rsidRPr="00FC59CF">
        <w:rPr>
          <w:rFonts w:ascii="Verdana" w:eastAsia="Calibri" w:hAnsi="Verdana" w:cs="Arial"/>
          <w:lang w:val="es-ES_tradnl" w:eastAsia="es-ES_tradnl"/>
        </w:rPr>
        <w:t xml:space="preserve"> y se prevén medidas de educación para el emprendimiento y la innovación</w:t>
      </w:r>
      <w:r w:rsidRPr="001A3CD7">
        <w:rPr>
          <w:vertAlign w:val="superscript"/>
          <w:lang w:eastAsia="es-ES_tradnl"/>
        </w:rPr>
        <w:footnoteReference w:id="7"/>
      </w:r>
      <w:r w:rsidRPr="00FC59CF">
        <w:rPr>
          <w:rFonts w:ascii="Verdana" w:eastAsia="Calibri" w:hAnsi="Verdana" w:cs="Arial"/>
          <w:lang w:val="es-ES_tradnl" w:eastAsia="es-ES_tradnl"/>
        </w:rPr>
        <w:t>.</w:t>
      </w:r>
    </w:p>
    <w:p w14:paraId="63B5DBC6" w14:textId="77777777" w:rsidR="004C0691" w:rsidRPr="00FC59CF" w:rsidRDefault="004C0691" w:rsidP="00FC59CF">
      <w:pPr>
        <w:pStyle w:val="Prrafodelista"/>
        <w:numPr>
          <w:ilvl w:val="0"/>
          <w:numId w:val="20"/>
        </w:numPr>
        <w:spacing w:after="0" w:line="276" w:lineRule="auto"/>
        <w:jc w:val="both"/>
        <w:rPr>
          <w:rFonts w:ascii="Verdana" w:eastAsia="Calibri" w:hAnsi="Verdana" w:cs="Arial"/>
          <w:lang w:val="es-ES_tradnl" w:eastAsia="es-ES_tradnl"/>
        </w:rPr>
      </w:pPr>
      <w:r w:rsidRPr="00FC59CF">
        <w:rPr>
          <w:rFonts w:ascii="Verdana" w:eastAsia="Calibri" w:hAnsi="Verdana" w:cs="Arial"/>
          <w:lang w:val="es-ES_tradnl" w:eastAsia="es-ES_tradnl"/>
        </w:rPr>
        <w:t xml:space="preserve">Como se indicó, parte de la </w:t>
      </w:r>
      <w:bookmarkStart w:id="2" w:name="_Hlk175579524"/>
      <w:r w:rsidRPr="00FC59CF">
        <w:rPr>
          <w:rFonts w:ascii="Verdana" w:eastAsia="Calibri" w:hAnsi="Verdana" w:cs="Arial"/>
          <w:lang w:val="es-ES_tradnl" w:eastAsia="es-ES_tradnl"/>
        </w:rPr>
        <w:t xml:space="preserve">Ley 2069 </w:t>
      </w:r>
      <w:bookmarkEnd w:id="2"/>
      <w:r w:rsidRPr="00FC59CF">
        <w:rPr>
          <w:rFonts w:ascii="Verdana" w:eastAsia="Calibri" w:hAnsi="Verdana" w:cs="Arial"/>
          <w:lang w:val="es-ES_tradnl" w:eastAsia="es-ES_tradnl"/>
        </w:rPr>
        <w:t xml:space="preserve">contiene normas que modifican algunos aspectos de la contratación estatal para promover el emprendimiento. </w:t>
      </w:r>
      <w:r w:rsidRPr="00FC59CF">
        <w:rPr>
          <w:rFonts w:ascii="Verdana" w:eastAsia="Calibri" w:hAnsi="Verdana" w:cs="Arial"/>
          <w:lang w:eastAsia="es-ES_tradnl"/>
        </w:rPr>
        <w:t xml:space="preserve">Particularmente, el </w:t>
      </w:r>
      <w:bookmarkStart w:id="3" w:name="_Hlk175579539"/>
      <w:r w:rsidRPr="00FC59CF">
        <w:rPr>
          <w:rFonts w:ascii="Verdana" w:eastAsia="Calibri" w:hAnsi="Verdana" w:cs="Arial"/>
          <w:lang w:eastAsia="es-ES_tradnl"/>
        </w:rPr>
        <w:t xml:space="preserve">artículo 32 </w:t>
      </w:r>
      <w:bookmarkEnd w:id="3"/>
      <w:r w:rsidRPr="00FC59CF">
        <w:rPr>
          <w:rFonts w:ascii="Verdana" w:eastAsia="Calibri" w:hAnsi="Verdana" w:cs="Arial"/>
          <w:i/>
          <w:lang w:eastAsia="es-ES_tradnl"/>
        </w:rPr>
        <w:t>ibidem</w:t>
      </w:r>
      <w:r w:rsidRPr="001A3CD7">
        <w:rPr>
          <w:vertAlign w:val="superscript"/>
          <w:lang w:eastAsia="es-ES_tradnl"/>
        </w:rPr>
        <w:footnoteReference w:id="8"/>
      </w:r>
      <w:r w:rsidRPr="00FC59CF">
        <w:rPr>
          <w:rFonts w:ascii="Verdana" w:eastAsia="Calibri" w:hAnsi="Verdana" w:cs="Arial"/>
          <w:lang w:eastAsia="es-ES_tradnl"/>
        </w:rPr>
        <w:t xml:space="preserve"> regula criterios diferenciales y puntajes adicionales para los “emprendimientos y empresas de mujeres” en el sistema de compras y contratación pública. </w:t>
      </w:r>
      <w:r w:rsidRPr="00FC59CF">
        <w:rPr>
          <w:rFonts w:ascii="Verdana" w:eastAsia="Calibri" w:hAnsi="Verdana" w:cs="Arial"/>
          <w:lang w:eastAsia="es-ES_tradnl"/>
        </w:rPr>
        <w:lastRenderedPageBreak/>
        <w:t xml:space="preserve">En relación con este aspecto, el inciso primero de la norma citada prescribe: </w:t>
      </w:r>
    </w:p>
    <w:p w14:paraId="52BD1B49" w14:textId="77777777" w:rsidR="004C0691" w:rsidRPr="001A3CD7" w:rsidRDefault="004C0691" w:rsidP="004C0691">
      <w:pPr>
        <w:tabs>
          <w:tab w:val="left" w:pos="709"/>
        </w:tabs>
        <w:spacing w:after="0" w:line="276" w:lineRule="auto"/>
        <w:ind w:left="709" w:right="709"/>
        <w:jc w:val="both"/>
        <w:rPr>
          <w:rFonts w:ascii="Verdana" w:eastAsia="Calibri" w:hAnsi="Verdana" w:cs="Arial"/>
          <w:bCs/>
          <w:lang w:eastAsia="es-ES_tradnl"/>
        </w:rPr>
      </w:pPr>
    </w:p>
    <w:p w14:paraId="7A636055" w14:textId="77777777" w:rsidR="00FC59CF" w:rsidRDefault="004C0691" w:rsidP="00FC59CF">
      <w:pPr>
        <w:tabs>
          <w:tab w:val="left" w:pos="709"/>
        </w:tabs>
        <w:spacing w:after="0" w:line="240" w:lineRule="auto"/>
        <w:ind w:left="709" w:right="709"/>
        <w:contextualSpacing/>
        <w:jc w:val="both"/>
        <w:rPr>
          <w:rFonts w:ascii="Verdana" w:eastAsia="Calibri" w:hAnsi="Verdana" w:cs="Arial"/>
          <w:bCs/>
          <w:sz w:val="20"/>
          <w:szCs w:val="20"/>
          <w:lang w:eastAsia="es-ES_tradnl"/>
        </w:rPr>
      </w:pPr>
      <w:r w:rsidRPr="001A3CD7">
        <w:rPr>
          <w:rFonts w:ascii="Verdana" w:eastAsia="Calibri" w:hAnsi="Verdana" w:cs="Arial"/>
          <w:bCs/>
          <w:sz w:val="20"/>
          <w:szCs w:val="20"/>
          <w:lang w:eastAsia="es-ES_tradnl"/>
        </w:rPr>
        <w:t xml:space="preserve">De acuerdo con el resultado del análisis del sector, las entidades estatales incluirán requisitos diferenciales y puntajes adicionales en los procesos de </w:t>
      </w:r>
      <w:bookmarkStart w:id="4" w:name="_Hlk63770487"/>
      <w:r w:rsidRPr="001A3CD7">
        <w:rPr>
          <w:rFonts w:ascii="Verdana" w:eastAsia="Calibri" w:hAnsi="Verdana" w:cs="Arial"/>
          <w:bCs/>
          <w:sz w:val="20"/>
          <w:szCs w:val="20"/>
          <w:lang w:eastAsia="es-ES_tradnl"/>
        </w:rPr>
        <w:t>licitación pública, selección abreviada de menor cuantía y concurso de méritos</w:t>
      </w:r>
      <w:bookmarkEnd w:id="4"/>
      <w:r w:rsidRPr="001A3CD7">
        <w:rPr>
          <w:rFonts w:ascii="Verdana" w:eastAsia="Calibri" w:hAnsi="Verdana" w:cs="Arial"/>
          <w:bCs/>
          <w:sz w:val="20"/>
          <w:szCs w:val="20"/>
          <w:lang w:eastAsia="es-ES_tradnl"/>
        </w:rPr>
        <w:t>, así como en los procesos competitivos que adelanten las entidades estatales que no apliquen en su gestión contractual el Estatuto General de Contratación Administrativa, como medidas de acción afirmativa, para incentivar emprendimientos y empresas de mujeres en el sistema de compras públicas, sin perjuicio de los compromisos adquiridos por Colombia en los acuerdos comerciales en vigor.</w:t>
      </w:r>
    </w:p>
    <w:p w14:paraId="2566CD17" w14:textId="1E493AD9" w:rsidR="004C0691" w:rsidRPr="00FC59CF" w:rsidRDefault="004C0691" w:rsidP="00FC59CF">
      <w:pPr>
        <w:pStyle w:val="Prrafodelista"/>
        <w:numPr>
          <w:ilvl w:val="0"/>
          <w:numId w:val="23"/>
        </w:numPr>
        <w:tabs>
          <w:tab w:val="left" w:pos="709"/>
        </w:tabs>
        <w:spacing w:after="0" w:line="240" w:lineRule="auto"/>
        <w:ind w:right="709"/>
        <w:jc w:val="both"/>
        <w:rPr>
          <w:rFonts w:ascii="Verdana" w:eastAsia="Calibri" w:hAnsi="Verdana" w:cs="Arial"/>
          <w:bCs/>
          <w:sz w:val="20"/>
          <w:szCs w:val="20"/>
          <w:lang w:val="es-CO" w:eastAsia="es-ES_tradnl"/>
        </w:rPr>
      </w:pPr>
      <w:r w:rsidRPr="00FC59CF">
        <w:rPr>
          <w:rFonts w:ascii="Verdana" w:eastAsia="Calibri" w:hAnsi="Verdana" w:cs="Arial"/>
          <w:lang w:val="es-ES_tradnl" w:eastAsia="es-ES_tradnl"/>
        </w:rPr>
        <w:t xml:space="preserve">De esta manera, los denominados “criterios diferenciales” del artículo señalado –que incluyen tanto los “requisitos diferenciales” como los “puntajes adicionales”– aplican a “[…] los procesos de licitación pública, selección abreviada de menor cuantía y concurso de méritos […]”, excluyendo las demás modalidades de selección del artículo 2 de la Ley 1150 de 2007. Así mismo, sin distinciones ulteriores, la norma en comento también se extiende a todos los procedimientos que realicen las Entidades Estatales excluidas de la Ley 80 de 1993.     </w:t>
      </w:r>
    </w:p>
    <w:p w14:paraId="2DAB4202" w14:textId="77777777" w:rsidR="00FC59CF" w:rsidRDefault="004C0691" w:rsidP="00FC59CF">
      <w:pPr>
        <w:pStyle w:val="Prrafodelista"/>
        <w:numPr>
          <w:ilvl w:val="0"/>
          <w:numId w:val="23"/>
        </w:numPr>
        <w:spacing w:after="120" w:line="276" w:lineRule="auto"/>
        <w:jc w:val="both"/>
        <w:rPr>
          <w:rFonts w:ascii="Verdana" w:eastAsia="Calibri" w:hAnsi="Verdana" w:cs="Arial"/>
          <w:lang w:val="es-ES_tradnl" w:eastAsia="es-ES_tradnl"/>
        </w:rPr>
      </w:pPr>
      <w:r w:rsidRPr="00FC59CF">
        <w:rPr>
          <w:rFonts w:ascii="Verdana" w:eastAsia="Calibri" w:hAnsi="Verdana" w:cs="Arial"/>
          <w:lang w:val="es-ES_tradnl" w:eastAsia="es-ES_tradnl"/>
        </w:rPr>
        <w:t xml:space="preserve">No obstante, el artículo 32 de la Ley 2069 de 2020 alude a la necesidad del desarrollo normativo posterior. Al respecto, el parágrafo dispone que “La definición de emprendimientos y empresas de mujeres se reglamentará por el gobierno nacional”. En ese sentido, la aplicación de criterios diferenciales en favor de emprendimientos y empresas de mujeres estaba condicionada por el ejercicio de la potestad reglamentaria, en orden de establecer la regulación en marco de la cual las Entidades Estatales deben aplicar los criterios diferenciales establecidos en el artículo 32 de la Ley 2069 de 2020. </w:t>
      </w:r>
    </w:p>
    <w:p w14:paraId="46F798C2" w14:textId="77777777" w:rsidR="00FC59CF" w:rsidRDefault="004C0691" w:rsidP="00FC59CF">
      <w:pPr>
        <w:pStyle w:val="Prrafodelista"/>
        <w:numPr>
          <w:ilvl w:val="0"/>
          <w:numId w:val="23"/>
        </w:numPr>
        <w:spacing w:after="120" w:line="276" w:lineRule="auto"/>
        <w:jc w:val="both"/>
        <w:rPr>
          <w:rFonts w:ascii="Verdana" w:eastAsia="Calibri" w:hAnsi="Verdana" w:cs="Arial"/>
          <w:lang w:val="es-ES_tradnl" w:eastAsia="es-ES_tradnl"/>
        </w:rPr>
      </w:pPr>
      <w:r w:rsidRPr="00FC59CF">
        <w:rPr>
          <w:rFonts w:ascii="Verdana" w:eastAsia="Calibri" w:hAnsi="Verdana" w:cs="Arial"/>
          <w:lang w:val="es-ES_tradnl" w:eastAsia="es-ES_tradnl"/>
        </w:rPr>
        <w:t xml:space="preserve">En este contexto, el Gobierno Nacional expidió el Decreto 1860 de 2021 “Por el cual se modifica y adiciona el Decreto 1082 de 2015, Único Reglamentario del Sector Administrativo de Planeación Nacional, con el fin reglamentar los artículos 30, 31, 32, 34 y 35 de la Ley 2069 de 2020, en lo relativo al sistema de compras públicas y se dictan otras disposiciones”. En lo relativo al artículo 32 de la Ley 2069 de 2020, el </w:t>
      </w:r>
      <w:bookmarkStart w:id="5" w:name="_Hlk175579606"/>
      <w:r w:rsidRPr="00FC59CF">
        <w:rPr>
          <w:rFonts w:ascii="Verdana" w:eastAsia="Calibri" w:hAnsi="Verdana" w:cs="Arial"/>
          <w:lang w:val="es-ES_tradnl" w:eastAsia="es-ES_tradnl"/>
        </w:rPr>
        <w:t>artículo 3 del Decreto 1860 de 2021 adiciona los artículos 2.2.1.2.4.2.14 y 2.2.1.2.4.2.15 a la Subsección 2 de la Sección 4 del Capítulo 2 del Título 1 de la Parte 2 del Libro 2 del Decreto 1082 de 2015</w:t>
      </w:r>
      <w:bookmarkEnd w:id="5"/>
      <w:r w:rsidRPr="00FC59CF">
        <w:rPr>
          <w:rFonts w:ascii="Verdana" w:eastAsia="Calibri" w:hAnsi="Verdana" w:cs="Arial"/>
          <w:lang w:val="es-ES_tradnl" w:eastAsia="es-ES_tradnl"/>
        </w:rPr>
        <w:t xml:space="preserve">. La primera de las normas adicionadas consagra la definición de emprendimientos y </w:t>
      </w:r>
      <w:r w:rsidRPr="00FC59CF">
        <w:rPr>
          <w:rFonts w:ascii="Verdana" w:eastAsia="Calibri" w:hAnsi="Verdana" w:cs="Arial"/>
          <w:lang w:val="es-ES_tradnl" w:eastAsia="es-ES_tradnl"/>
        </w:rPr>
        <w:lastRenderedPageBreak/>
        <w:t xml:space="preserve">empresas de mujeres, mientras que la segunda establece los criterios diferenciales incluyendo los puntajes adicionales y regula su aplicación. </w:t>
      </w:r>
    </w:p>
    <w:p w14:paraId="60FC3E81" w14:textId="05DE949A" w:rsidR="004C0691" w:rsidRPr="00FC59CF" w:rsidRDefault="004C0691" w:rsidP="00FC59CF">
      <w:pPr>
        <w:pStyle w:val="Prrafodelista"/>
        <w:numPr>
          <w:ilvl w:val="0"/>
          <w:numId w:val="23"/>
        </w:numPr>
        <w:spacing w:after="120" w:line="276" w:lineRule="auto"/>
        <w:jc w:val="both"/>
        <w:rPr>
          <w:rFonts w:ascii="Verdana" w:eastAsia="Calibri" w:hAnsi="Verdana" w:cs="Arial"/>
          <w:lang w:val="es-ES_tradnl" w:eastAsia="es-ES_tradnl"/>
        </w:rPr>
      </w:pPr>
      <w:r w:rsidRPr="00FC59CF">
        <w:rPr>
          <w:rFonts w:ascii="Verdana" w:eastAsia="Calibri" w:hAnsi="Verdana" w:cs="Arial"/>
          <w:lang w:val="es-ES_tradnl" w:eastAsia="es-ES_tradnl"/>
        </w:rPr>
        <w:t xml:space="preserve">Así las cosas, el </w:t>
      </w:r>
      <w:bookmarkStart w:id="6" w:name="_Hlk175579627"/>
      <w:r w:rsidRPr="00FC59CF">
        <w:rPr>
          <w:rFonts w:ascii="Verdana" w:eastAsia="Calibri" w:hAnsi="Verdana" w:cs="Arial"/>
          <w:lang w:val="es-ES_tradnl" w:eastAsia="es-ES_tradnl"/>
        </w:rPr>
        <w:t xml:space="preserve">artículo 2.2.1.2.4.2.14 del Decreto 1082 de 2015 </w:t>
      </w:r>
      <w:bookmarkEnd w:id="6"/>
      <w:r w:rsidRPr="00FC59CF">
        <w:rPr>
          <w:rFonts w:ascii="Verdana" w:eastAsia="Calibri" w:hAnsi="Verdana" w:cs="Arial"/>
          <w:lang w:val="es-ES_tradnl" w:eastAsia="es-ES_tradnl"/>
        </w:rPr>
        <w:t xml:space="preserve">establece las condiciones y requisitos en atención a los cuales se definen los emprendimientos y empresas de mujeres, a las que les aplican los criterios diferenciales. Para estos efectos, cada uno de los cuatro (4) numerales de la norma establecen unas condiciones alternativas que definen los emprendimientos y empresas de mujeres, en los siguientes términos:   </w:t>
      </w:r>
    </w:p>
    <w:p w14:paraId="47F6C569" w14:textId="77777777" w:rsidR="004C0691" w:rsidRPr="001A3CD7" w:rsidRDefault="004C0691" w:rsidP="004C0691">
      <w:pPr>
        <w:pStyle w:val="Prrafodelista"/>
        <w:spacing w:after="0" w:line="276" w:lineRule="auto"/>
        <w:ind w:left="360"/>
        <w:contextualSpacing w:val="0"/>
        <w:jc w:val="both"/>
        <w:rPr>
          <w:rFonts w:ascii="Verdana" w:eastAsia="Calibri" w:hAnsi="Verdana" w:cs="Arial"/>
          <w:lang w:val="es-ES_tradnl" w:eastAsia="es-ES_tradnl"/>
        </w:rPr>
      </w:pPr>
    </w:p>
    <w:p w14:paraId="61003239" w14:textId="471F3099" w:rsidR="004C0691" w:rsidRPr="001A3CD7" w:rsidRDefault="00265FF1" w:rsidP="004C0691">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Pr>
          <w:rFonts w:ascii="Verdana" w:eastAsia="Times New Roman" w:hAnsi="Verdana" w:cs="Arial"/>
          <w:sz w:val="20"/>
          <w:szCs w:val="20"/>
          <w:lang w:eastAsia="es-CO"/>
        </w:rPr>
        <w:t>“</w:t>
      </w:r>
      <w:r w:rsidR="004C0691" w:rsidRPr="001A3CD7">
        <w:rPr>
          <w:rFonts w:ascii="Verdana" w:eastAsia="Times New Roman" w:hAnsi="Verdana" w:cs="Arial"/>
          <w:sz w:val="20"/>
          <w:szCs w:val="20"/>
          <w:lang w:eastAsia="es-CO"/>
        </w:rPr>
        <w:t>Artículo 2.2.1.2.4.2.14. Definición de emprendimientos y empresas de mujeres. Con el propósito de adoptar medidas afirmativas que incentiven la participación de las mujeres en el sistema de compras públicas, se entenderán como emprendimientos y empresas de mujeres aquellas que cumplan con alguna de las siguientes condiciones: </w:t>
      </w:r>
    </w:p>
    <w:p w14:paraId="5F938FD1"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  </w:t>
      </w:r>
    </w:p>
    <w:p w14:paraId="3B014055"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1. 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3A0DDCF0"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40E1B7C8"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2.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2E545045"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73982E05"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302A768B"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68128EBB"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2AFA8CC7"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68F776E5"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lastRenderedPageBreak/>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78992FC4"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27CA66B8"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1AD365B5"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3AF18175"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5E0041E4"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4AECA03E" w14:textId="77777777" w:rsidR="004C0691" w:rsidRPr="001A3CD7" w:rsidRDefault="004C0691" w:rsidP="004C0691">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 [Énfasis fuera de texto].</w:t>
      </w:r>
    </w:p>
    <w:p w14:paraId="1EA96136" w14:textId="77777777" w:rsidR="00FC59CF" w:rsidRDefault="00FC59CF" w:rsidP="00FC59CF">
      <w:pPr>
        <w:spacing w:after="120" w:line="276" w:lineRule="auto"/>
        <w:jc w:val="both"/>
        <w:rPr>
          <w:rFonts w:ascii="Verdana" w:eastAsia="Calibri" w:hAnsi="Verdana" w:cs="Arial"/>
          <w:lang w:val="es-ES_tradnl" w:eastAsia="es-ES_tradnl"/>
        </w:rPr>
      </w:pPr>
    </w:p>
    <w:p w14:paraId="3DBEE909" w14:textId="77777777" w:rsidR="00FC59CF" w:rsidRDefault="004C0691" w:rsidP="00FC59CF">
      <w:pPr>
        <w:pStyle w:val="Prrafodelista"/>
        <w:numPr>
          <w:ilvl w:val="0"/>
          <w:numId w:val="24"/>
        </w:numPr>
        <w:spacing w:after="120" w:line="276" w:lineRule="auto"/>
        <w:jc w:val="both"/>
        <w:rPr>
          <w:rFonts w:ascii="Verdana" w:eastAsia="Calibri" w:hAnsi="Verdana" w:cs="Arial"/>
          <w:lang w:eastAsia="es-ES"/>
        </w:rPr>
      </w:pPr>
      <w:r w:rsidRPr="00FC59CF">
        <w:rPr>
          <w:rFonts w:ascii="Verdana" w:eastAsia="Calibri" w:hAnsi="Verdana" w:cs="Arial"/>
          <w:lang w:eastAsia="es-ES"/>
        </w:rPr>
        <w:t xml:space="preserve">De acuerdo con lo establecido en este artículo, para efectos de la aplicación de los criterios diferenciales en el sistema de compras públicas, en los términos del artículo 32 de la Ley 2069 de 2020, son considerados emprendimientos y empresas de mujeres aquellas personas jurídicas o naturales que cumplan con alguno de los cuatro (4) supuestos de hecho previstos en la norma citada y acrediten estos supuestos con los documentos previstos para ello. Teniendo en cuenta el objeto de la consulta, resulta relevante el análisis del criterio definido en el numeral primero del artículo precitado, dado que consagra una de las condiciones aplicables a las personas jurídicas. </w:t>
      </w:r>
    </w:p>
    <w:p w14:paraId="02FB4715" w14:textId="77777777" w:rsidR="00FC59CF" w:rsidRPr="00FC59CF" w:rsidRDefault="004C0691" w:rsidP="00FC59CF">
      <w:pPr>
        <w:pStyle w:val="Prrafodelista"/>
        <w:numPr>
          <w:ilvl w:val="0"/>
          <w:numId w:val="24"/>
        </w:numPr>
        <w:spacing w:after="120" w:line="276" w:lineRule="auto"/>
        <w:jc w:val="both"/>
        <w:rPr>
          <w:rFonts w:ascii="Verdana" w:eastAsia="Calibri" w:hAnsi="Verdana" w:cs="Arial"/>
          <w:lang w:eastAsia="es-ES"/>
        </w:rPr>
      </w:pPr>
      <w:r w:rsidRPr="00FC59CF">
        <w:rPr>
          <w:rFonts w:ascii="Verdana" w:eastAsia="Calibri" w:hAnsi="Verdana" w:cs="Arial"/>
          <w:lang w:eastAsia="es-ES_tradnl"/>
        </w:rPr>
        <w:t xml:space="preserve">El </w:t>
      </w:r>
      <w:r w:rsidRPr="00FC59CF">
        <w:rPr>
          <w:rFonts w:ascii="Verdana" w:eastAsia="Times New Roman" w:hAnsi="Verdana" w:cs="Arial"/>
          <w:lang w:val="es-ES_tradnl" w:eastAsia="es-ES"/>
        </w:rPr>
        <w:t xml:space="preserve">numeral primero establece que </w:t>
      </w:r>
      <w:r w:rsidRPr="00FC59CF">
        <w:rPr>
          <w:rFonts w:ascii="Verdana" w:eastAsia="Calibri" w:hAnsi="Verdana" w:cs="Arial"/>
          <w:lang w:val="es-ES_tradnl"/>
        </w:rPr>
        <w:t xml:space="preserve">una sociedad podrá ser considerada como un emprendimiento o empresa de mujeres cuando más del cincuenta por ciento (50%) de sus acciones, partes de interés o cuotas de participación, pertenezcan a mujeres. </w:t>
      </w:r>
      <w:bookmarkStart w:id="7" w:name="_Hlk175580519"/>
      <w:r w:rsidRPr="00FC59CF">
        <w:rPr>
          <w:rFonts w:ascii="Verdana" w:eastAsia="Calibri" w:hAnsi="Verdana" w:cs="Arial"/>
          <w:lang w:val="es-ES_tradnl"/>
        </w:rPr>
        <w:t xml:space="preserve">Sin embargo, el supuesto de hecho de la norma transcrita, adicionalmente, exige que la titularidad de tal </w:t>
      </w:r>
      <w:r w:rsidRPr="00FC59CF">
        <w:rPr>
          <w:rFonts w:ascii="Verdana" w:eastAsia="Calibri" w:hAnsi="Verdana" w:cs="Arial"/>
          <w:lang w:val="es-ES_tradnl"/>
        </w:rPr>
        <w:lastRenderedPageBreak/>
        <w:t>participación haya pertenecido a mujeres, por lo menos, durante el año anterior a la fecha de cierre del proceso de selección.</w:t>
      </w:r>
      <w:bookmarkEnd w:id="7"/>
    </w:p>
    <w:p w14:paraId="2FAB1A67" w14:textId="77777777" w:rsidR="00FC59CF" w:rsidRDefault="004C0691" w:rsidP="00FC59CF">
      <w:pPr>
        <w:pStyle w:val="Prrafodelista"/>
        <w:numPr>
          <w:ilvl w:val="0"/>
          <w:numId w:val="24"/>
        </w:numPr>
        <w:spacing w:after="120" w:line="276" w:lineRule="auto"/>
        <w:jc w:val="both"/>
        <w:rPr>
          <w:rFonts w:ascii="Verdana" w:eastAsia="Calibri" w:hAnsi="Verdana" w:cs="Arial"/>
          <w:lang w:eastAsia="es-ES"/>
        </w:rPr>
      </w:pPr>
      <w:r w:rsidRPr="00FC59CF">
        <w:rPr>
          <w:rFonts w:ascii="Verdana" w:eastAsia="Calibri" w:hAnsi="Verdana" w:cs="Arial"/>
        </w:rPr>
        <w:t>Esto quiere decir que, no basta con que la participación en una sociedad sea mayoritariamente de mujeres para que sea considerada como un emprendimiento o empresa a los que se refiere la norma, sino que además es necesario que dicha participación mayoritaria se haya mantenido como mínimo durante el periodo de un (1) año, contado a partir de la fecha de cierre del proceso de selección. De esta manera, el primer criterio establecido en la norma para definir los emprendimientos y empresas de mujeres deja por fuera de dicha categoría a aquellas sociedades que, a pesar de contar con la participación mayoritaria de mujeres, no cuenten con el requerimiento del tiempo mínimo de un (1) año</w:t>
      </w:r>
      <w:r w:rsidR="00FC59CF">
        <w:rPr>
          <w:rFonts w:ascii="Verdana" w:eastAsia="Calibri" w:hAnsi="Verdana" w:cs="Arial"/>
        </w:rPr>
        <w:t>.</w:t>
      </w:r>
    </w:p>
    <w:p w14:paraId="5778645B" w14:textId="77777777" w:rsidR="00FC59CF" w:rsidRPr="00FC59CF" w:rsidRDefault="004C0691" w:rsidP="00FC59CF">
      <w:pPr>
        <w:pStyle w:val="Prrafodelista"/>
        <w:numPr>
          <w:ilvl w:val="0"/>
          <w:numId w:val="24"/>
        </w:numPr>
        <w:spacing w:after="120" w:line="276" w:lineRule="auto"/>
        <w:jc w:val="both"/>
        <w:rPr>
          <w:rFonts w:ascii="Verdana" w:eastAsia="Calibri" w:hAnsi="Verdana" w:cs="Arial"/>
          <w:lang w:eastAsia="es-ES"/>
        </w:rPr>
      </w:pPr>
      <w:r w:rsidRPr="00FC59CF">
        <w:rPr>
          <w:rFonts w:ascii="Verdana" w:eastAsia="Calibri" w:hAnsi="Verdana" w:cs="Arial"/>
          <w:lang w:val="es-ES_tradnl"/>
        </w:rPr>
        <w:t xml:space="preserve">Así mismo, debe precisarse que la participación mayoritaria de mujeres </w:t>
      </w:r>
      <w:r w:rsidRPr="00FC59CF">
        <w:rPr>
          <w:rFonts w:ascii="Verdana" w:hAnsi="Verdana" w:cs="Arial"/>
        </w:rPr>
        <w:t xml:space="preserve">puede ser ejercida por diferentes personas durante el último año, siempre que durante dicho periodo la participación </w:t>
      </w:r>
      <w:r w:rsidRPr="00FC59CF">
        <w:rPr>
          <w:rFonts w:ascii="Verdana" w:hAnsi="Verdana" w:cs="Arial"/>
          <w:i/>
        </w:rPr>
        <w:t>mayoritaria</w:t>
      </w:r>
      <w:r w:rsidRPr="00FC59CF">
        <w:rPr>
          <w:rFonts w:ascii="Verdana" w:hAnsi="Verdana" w:cs="Arial"/>
        </w:rPr>
        <w:t xml:space="preserve"> de mujeres se haya mantenido, aunque se trate de mujeres distintas. En tal sentido, se cumple con la norma, toda vez que la finalidad y alcance es que la titularidad mayoritaria por un (1) año sea ejercida por mujeres, a pesar de que cambien las propietarias de las partes de interés o cuotas de participación. </w:t>
      </w:r>
    </w:p>
    <w:p w14:paraId="14AF9C18" w14:textId="77777777" w:rsidR="00FC59CF" w:rsidRPr="00FC59CF" w:rsidRDefault="004C0691" w:rsidP="00FC59CF">
      <w:pPr>
        <w:pStyle w:val="Prrafodelista"/>
        <w:numPr>
          <w:ilvl w:val="0"/>
          <w:numId w:val="24"/>
        </w:numPr>
        <w:spacing w:after="120" w:line="276" w:lineRule="auto"/>
        <w:jc w:val="both"/>
        <w:rPr>
          <w:rFonts w:ascii="Verdana" w:eastAsia="Calibri" w:hAnsi="Verdana" w:cs="Arial"/>
          <w:lang w:eastAsia="es-ES"/>
        </w:rPr>
      </w:pPr>
      <w:r w:rsidRPr="00FC59CF">
        <w:rPr>
          <w:rFonts w:ascii="Verdana" w:hAnsi="Verdana" w:cs="Arial"/>
        </w:rPr>
        <w:t xml:space="preserve">Como medio para la acreditación de este criterio, señala la normativa referida que: </w:t>
      </w:r>
      <w:r w:rsidRPr="00FC59CF">
        <w:rPr>
          <w:rFonts w:ascii="Verdana" w:eastAsia="Times New Roman" w:hAnsi="Verdana" w:cs="Arial"/>
          <w:i/>
          <w:lang w:val="es-ES_tradnl" w:eastAsia="es-ES"/>
        </w:rPr>
        <w:t>“</w:t>
      </w:r>
      <w:r w:rsidRPr="00FC59CF">
        <w:rPr>
          <w:rFonts w:ascii="Verdana" w:hAnsi="Verdana" w:cs="Arial"/>
          <w:i/>
        </w:rPr>
        <w:t>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r w:rsidRPr="00FC59CF">
        <w:rPr>
          <w:rFonts w:ascii="Verdana" w:eastAsia="Times New Roman" w:hAnsi="Verdana" w:cs="Arial"/>
          <w:i/>
          <w:lang w:val="es-ES_tradnl" w:eastAsia="es-ES"/>
        </w:rPr>
        <w:t>”</w:t>
      </w:r>
      <w:r w:rsidRPr="00FC59CF">
        <w:rPr>
          <w:rFonts w:ascii="Verdana" w:hAnsi="Verdana" w:cs="Arial"/>
        </w:rPr>
        <w:t>.</w:t>
      </w:r>
    </w:p>
    <w:p w14:paraId="50329922" w14:textId="77777777" w:rsidR="00FC59CF" w:rsidRDefault="004C0691" w:rsidP="00FC59CF">
      <w:pPr>
        <w:pStyle w:val="Prrafodelista"/>
        <w:numPr>
          <w:ilvl w:val="0"/>
          <w:numId w:val="24"/>
        </w:numPr>
        <w:spacing w:after="120" w:line="276" w:lineRule="auto"/>
        <w:jc w:val="both"/>
        <w:rPr>
          <w:rFonts w:ascii="Verdana" w:eastAsia="Calibri" w:hAnsi="Verdana" w:cs="Arial"/>
          <w:lang w:eastAsia="es-ES"/>
        </w:rPr>
      </w:pPr>
      <w:r w:rsidRPr="00FC59CF">
        <w:rPr>
          <w:rFonts w:ascii="Verdana" w:eastAsia="Calibri" w:hAnsi="Verdana" w:cs="Arial"/>
          <w:lang w:eastAsia="es-ES"/>
        </w:rPr>
        <w:t xml:space="preserve">Así pues, de acuerdo con la revisión de todos los numerales del artículo 2.2.1.2.4.2.14 es posible advertir que para cada uno de estos fueron expresamente establecidos los documentos que sirven como medio para su acreditación. De este modo dichos documentos 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Esto significa que a quienes pretendan acceder a tales beneficios en consideración a la definición establecida en el numeral </w:t>
      </w:r>
      <w:r w:rsidRPr="00FC59CF">
        <w:rPr>
          <w:rFonts w:ascii="Verdana" w:eastAsia="Calibri" w:hAnsi="Verdana" w:cs="Arial"/>
          <w:i/>
          <w:lang w:eastAsia="es-ES"/>
        </w:rPr>
        <w:t>primero</w:t>
      </w:r>
      <w:r w:rsidRPr="00FC59CF">
        <w:rPr>
          <w:rFonts w:ascii="Verdana" w:eastAsia="Calibri" w:hAnsi="Verdana" w:cs="Arial"/>
          <w:lang w:eastAsia="es-ES"/>
        </w:rPr>
        <w:t xml:space="preserve"> del artículo 2.2.1.2.4.2.14, les corresponde presentar la mencionada certificación con sus respectivos soportes.</w:t>
      </w:r>
    </w:p>
    <w:p w14:paraId="0BE25980" w14:textId="06695FB7" w:rsidR="00FC59CF" w:rsidRPr="00FC59CF" w:rsidRDefault="004C0691" w:rsidP="00FC59CF">
      <w:pPr>
        <w:pStyle w:val="Prrafodelista"/>
        <w:numPr>
          <w:ilvl w:val="0"/>
          <w:numId w:val="24"/>
        </w:numPr>
        <w:spacing w:after="120" w:line="276" w:lineRule="auto"/>
        <w:jc w:val="both"/>
        <w:rPr>
          <w:rFonts w:ascii="Verdana" w:eastAsia="Calibri" w:hAnsi="Verdana" w:cs="Arial"/>
          <w:lang w:eastAsia="es-ES"/>
        </w:rPr>
      </w:pPr>
      <w:r w:rsidRPr="00FC59CF">
        <w:rPr>
          <w:rFonts w:ascii="Verdana" w:eastAsia="Calibri" w:hAnsi="Verdana" w:cs="Arial"/>
          <w:lang w:val="es-ES_tradnl" w:eastAsia="es-ES_tradnl"/>
        </w:rPr>
        <w:lastRenderedPageBreak/>
        <w:t xml:space="preserve">En atención a la pregunta planteada, debe señalarse conforme lo analizado en el presente escrito, una </w:t>
      </w:r>
      <w:r w:rsidRPr="00FC59CF">
        <w:rPr>
          <w:rFonts w:ascii="Verdana" w:eastAsia="Calibri" w:hAnsi="Verdana" w:cs="Arial"/>
          <w:lang w:val="es-ES_tradnl"/>
        </w:rPr>
        <w:t xml:space="preserve">sociedad podrá ser considerada como un emprendimiento o empresa de mujeres cuando más del cincuenta por ciento (50%) de sus acciones, partes de interés o cuotas de participación, pertenezcan a mujeres. </w:t>
      </w:r>
      <w:r w:rsidRPr="00FC59CF">
        <w:rPr>
          <w:rFonts w:ascii="Verdana" w:eastAsia="Calibri" w:hAnsi="Verdana" w:cs="Arial"/>
          <w:lang w:val="es-ES_tradnl" w:eastAsia="es-ES_tradnl"/>
        </w:rPr>
        <w:t xml:space="preserve">Así las cosas, una interpretación exegética del numeral primero del artículo </w:t>
      </w:r>
      <w:r w:rsidRPr="00FC59CF">
        <w:rPr>
          <w:rFonts w:ascii="Verdana" w:eastAsia="Calibri" w:hAnsi="Verdana" w:cs="Arial"/>
          <w:lang w:eastAsia="es-ES_tradnl"/>
        </w:rPr>
        <w:t xml:space="preserve">2.2.1.2.4.2.14 al Decreto 1082 de 2015 permite concluir </w:t>
      </w:r>
      <w:r w:rsidRPr="00FC59CF">
        <w:rPr>
          <w:rFonts w:ascii="Verdana" w:eastAsia="Calibri" w:hAnsi="Verdana" w:cs="Arial"/>
          <w:lang w:val="es-ES_tradnl" w:eastAsia="es-ES_tradnl"/>
        </w:rPr>
        <w:t xml:space="preserve">que la aplicación de los criterios diferenciales a favor de los emprendimientos y empresas de mujeres se extiende frente a aquellas personas jurídicas </w:t>
      </w:r>
      <w:r w:rsidRPr="00FC59CF">
        <w:rPr>
          <w:rFonts w:ascii="Verdana" w:eastAsia="Calibri" w:hAnsi="Verdana" w:cs="Arial"/>
          <w:lang w:val="es-ES_tradnl"/>
        </w:rPr>
        <w:t>cuando más del cincuenta por ciento (50%) de sus acciones, partes de interés o cuotas de participación pertenezcan a mujeres, independientemente que se trate de una sola y que esta se ejerza una situación de control.</w:t>
      </w:r>
    </w:p>
    <w:p w14:paraId="5F6C4599" w14:textId="77777777" w:rsidR="00FC59CF" w:rsidRPr="00FC59CF" w:rsidRDefault="004C0691" w:rsidP="00FC59CF">
      <w:pPr>
        <w:pStyle w:val="Prrafodelista"/>
        <w:numPr>
          <w:ilvl w:val="0"/>
          <w:numId w:val="24"/>
        </w:numPr>
        <w:spacing w:after="120" w:line="276" w:lineRule="auto"/>
        <w:jc w:val="both"/>
        <w:rPr>
          <w:rFonts w:ascii="Verdana" w:eastAsia="Calibri" w:hAnsi="Verdana" w:cs="Arial"/>
          <w:lang w:eastAsia="es-ES"/>
        </w:rPr>
      </w:pPr>
      <w:r w:rsidRPr="00FC59CF">
        <w:rPr>
          <w:rFonts w:ascii="Verdana" w:eastAsia="Calibri" w:hAnsi="Verdana" w:cs="Arial"/>
          <w:color w:val="000000" w:themeColor="text1"/>
        </w:rPr>
        <w:t>Ahora bien, las normas de la Ley 222 de 1995 y la Ley 1116 de 2006 definen los conceptos de situación de control y de grupo empresarial y los correspondientes efectos, tales como la inscripción en el Registro Mercantil, la consolidación de estados financieros, la posibilidad de hacer efectiva la responsabilidad subsidiaria de la matriz o controlante en casos de liquidación de las subordinadas, la prohibición de imbricación y la facultad de los organismos de inspección, vigilancia y control para comprobar la realidad de las operaciones, imponer multas y ordenar la suspensión de tales operaciones. Estas disposiciones definen la posibilidad del control de hecho sobre las sociedades, sin que se excluyan otros mecanismos de control formal o contractual. El control puede ser ejercido en Colombia o desde Colombia por personas naturales o jurídicas nacionales o extranjeras</w:t>
      </w:r>
      <w:r w:rsidRPr="00C02094">
        <w:rPr>
          <w:rStyle w:val="Refdenotaalpie"/>
          <w:rFonts w:ascii="Verdana" w:eastAsia="Calibri" w:hAnsi="Verdana" w:cs="Arial"/>
          <w:color w:val="000000" w:themeColor="text1"/>
        </w:rPr>
        <w:footnoteReference w:id="9"/>
      </w:r>
      <w:r w:rsidRPr="00FC59CF">
        <w:rPr>
          <w:rFonts w:ascii="Verdana" w:eastAsia="Calibri" w:hAnsi="Verdana" w:cs="Arial"/>
          <w:color w:val="000000" w:themeColor="text1"/>
        </w:rPr>
        <w:t>.</w:t>
      </w:r>
    </w:p>
    <w:p w14:paraId="322ECB93" w14:textId="77777777" w:rsidR="00FC59CF" w:rsidRPr="00FC59CF" w:rsidRDefault="004C0691" w:rsidP="00FC59CF">
      <w:pPr>
        <w:pStyle w:val="Prrafodelista"/>
        <w:numPr>
          <w:ilvl w:val="0"/>
          <w:numId w:val="24"/>
        </w:numPr>
        <w:spacing w:after="120" w:line="276" w:lineRule="auto"/>
        <w:jc w:val="both"/>
        <w:rPr>
          <w:rFonts w:ascii="Verdana" w:eastAsia="Calibri" w:hAnsi="Verdana" w:cs="Arial"/>
          <w:lang w:eastAsia="es-ES"/>
        </w:rPr>
      </w:pPr>
      <w:r w:rsidRPr="00FC59CF">
        <w:rPr>
          <w:rFonts w:ascii="Verdana" w:eastAsia="Calibri" w:hAnsi="Verdana" w:cs="Arial"/>
          <w:color w:val="000000" w:themeColor="text1"/>
        </w:rPr>
        <w:t xml:space="preserve">especto a las modalidades de control, el </w:t>
      </w:r>
      <w:bookmarkStart w:id="8" w:name="_Hlk175579998"/>
      <w:r w:rsidRPr="00FC59CF">
        <w:rPr>
          <w:rFonts w:ascii="Verdana" w:eastAsia="Calibri" w:hAnsi="Verdana" w:cs="Arial"/>
          <w:color w:val="000000" w:themeColor="text1"/>
        </w:rPr>
        <w:t>Código de Comercio, en el artículo 261 – al cual se refiere en su consulta –, subrogado por el artículo 27 de la Ley 222 de 1995</w:t>
      </w:r>
      <w:bookmarkEnd w:id="8"/>
      <w:r w:rsidRPr="00FC59CF">
        <w:rPr>
          <w:rFonts w:ascii="Verdana" w:eastAsia="Calibri" w:hAnsi="Verdana" w:cs="Arial"/>
          <w:color w:val="000000" w:themeColor="text1"/>
        </w:rPr>
        <w:t xml:space="preserve">, aclara y especifica los supuestos de subordinación para el control societario. Una de las modalidades se refiere al control interno por participación, el cual se verifica cuando se posea más del cincuenta por ciento (50%) del capital en la subordinada, sea directamente o por intermedio o con el concurso de las subordinadas, o las subordinadas de estas- </w:t>
      </w:r>
      <w:bookmarkStart w:id="9" w:name="_Hlk175580433"/>
    </w:p>
    <w:p w14:paraId="35BBB74A" w14:textId="77777777" w:rsidR="00FC59CF" w:rsidRPr="00FC59CF" w:rsidRDefault="004C0691" w:rsidP="00FC59CF">
      <w:pPr>
        <w:pStyle w:val="Prrafodelista"/>
        <w:numPr>
          <w:ilvl w:val="0"/>
          <w:numId w:val="24"/>
        </w:numPr>
        <w:spacing w:after="120" w:line="276" w:lineRule="auto"/>
        <w:jc w:val="both"/>
        <w:rPr>
          <w:rFonts w:ascii="Verdana" w:eastAsia="Calibri" w:hAnsi="Verdana" w:cs="Arial"/>
          <w:lang w:eastAsia="es-ES"/>
        </w:rPr>
      </w:pPr>
      <w:r w:rsidRPr="00FC59CF">
        <w:rPr>
          <w:rFonts w:ascii="Verdana" w:eastAsia="Calibri" w:hAnsi="Verdana" w:cs="Arial"/>
          <w:color w:val="000000" w:themeColor="text1"/>
        </w:rPr>
        <w:t xml:space="preserve">El artículo 30 de la Ley 222 de 1995, señala la obligatoriedad de inscripción en el Registro Mercantil de las situaciones de control o de los </w:t>
      </w:r>
      <w:r w:rsidRPr="00FC59CF">
        <w:rPr>
          <w:rFonts w:ascii="Verdana" w:eastAsia="Calibri" w:hAnsi="Verdana" w:cs="Arial"/>
          <w:color w:val="000000" w:themeColor="text1"/>
        </w:rPr>
        <w:lastRenderedPageBreak/>
        <w:t>grupos empresariales. Esta se obtiene mediante un documento privado suscrito por la persona o personas controlantes, que debe contener la información relativa al nombre, domicilio, nacionalidad y actividad de los vinculados, así como el presupuesto que da lugar a la situación de control. El documento debe presentarse para su inscripción en el Registro Mercantil correspondiente a la circunscripción de cada uno de los vinculados, dentro de los treinta (30) días siguientes a la configuración de la situación de control o del grupo empresarial</w:t>
      </w:r>
      <w:bookmarkEnd w:id="9"/>
      <w:r w:rsidRPr="00C02094">
        <w:rPr>
          <w:rStyle w:val="Refdenotaalpie"/>
          <w:rFonts w:ascii="Verdana" w:eastAsia="Calibri" w:hAnsi="Verdana" w:cs="Arial"/>
          <w:color w:val="000000" w:themeColor="text1"/>
        </w:rPr>
        <w:footnoteReference w:id="10"/>
      </w:r>
      <w:r w:rsidRPr="00FC59CF">
        <w:rPr>
          <w:rFonts w:ascii="Verdana" w:eastAsia="Calibri" w:hAnsi="Verdana" w:cs="Arial"/>
          <w:color w:val="000000" w:themeColor="text1"/>
        </w:rPr>
        <w:t>.</w:t>
      </w:r>
    </w:p>
    <w:p w14:paraId="67E5C5D8" w14:textId="77777777" w:rsidR="00FC59CF" w:rsidRPr="00FC59CF" w:rsidRDefault="004C0691" w:rsidP="00FC59CF">
      <w:pPr>
        <w:pStyle w:val="Prrafodelista"/>
        <w:numPr>
          <w:ilvl w:val="0"/>
          <w:numId w:val="24"/>
        </w:numPr>
        <w:spacing w:after="120" w:line="276" w:lineRule="auto"/>
        <w:jc w:val="both"/>
        <w:rPr>
          <w:rFonts w:ascii="Verdana" w:eastAsia="Calibri" w:hAnsi="Verdana" w:cs="Arial"/>
          <w:lang w:eastAsia="es-ES"/>
        </w:rPr>
      </w:pPr>
      <w:r w:rsidRPr="00FC59CF">
        <w:rPr>
          <w:rFonts w:ascii="Verdana" w:eastAsia="Calibri" w:hAnsi="Verdana" w:cs="Arial"/>
          <w:color w:val="000000" w:themeColor="text1"/>
        </w:rPr>
        <w:t xml:space="preserve">El parágrafo 1º del artículo 27 de dicha ley señala: “Igualmente habrá subordinación, para todos los efectos legales, cuando el control conforme a los supuestos previstos en el presente artículo, sea ejercido por una o varias personas naturales o jurídicas de naturaleza no societaria, bien sea directamente o por intermedio o con el concurso de entidades en las cuales estas poseen más del cincuenta por ciento del capital o configure la mayoría mínima para la toma de decisiones o ejerzan influencia dominante en la dirección o toma de la entidad”. Es así </w:t>
      </w:r>
      <w:proofErr w:type="gramStart"/>
      <w:r w:rsidRPr="00FC59CF">
        <w:rPr>
          <w:rFonts w:ascii="Verdana" w:eastAsia="Calibri" w:hAnsi="Verdana" w:cs="Arial"/>
          <w:color w:val="000000" w:themeColor="text1"/>
        </w:rPr>
        <w:t>que</w:t>
      </w:r>
      <w:proofErr w:type="gramEnd"/>
      <w:r w:rsidRPr="00FC59CF">
        <w:rPr>
          <w:rFonts w:ascii="Verdana" w:eastAsia="Calibri" w:hAnsi="Verdana" w:cs="Arial"/>
          <w:color w:val="000000" w:themeColor="text1"/>
        </w:rPr>
        <w:t xml:space="preserve"> la obligación establecida en el citado artículo 30 es uno de los efectos del control; luego, las personas controlantes que no sean sociedades también se encuentran cobijadas por dicha norma.</w:t>
      </w:r>
      <w:bookmarkStart w:id="10" w:name="_Hlk175580469"/>
    </w:p>
    <w:p w14:paraId="15991598" w14:textId="77777777" w:rsidR="00FC59CF" w:rsidRPr="00FC59CF" w:rsidRDefault="004C0691" w:rsidP="00FC59CF">
      <w:pPr>
        <w:pStyle w:val="Prrafodelista"/>
        <w:numPr>
          <w:ilvl w:val="0"/>
          <w:numId w:val="24"/>
        </w:numPr>
        <w:spacing w:after="120" w:line="276" w:lineRule="auto"/>
        <w:jc w:val="both"/>
        <w:rPr>
          <w:rFonts w:ascii="Verdana" w:eastAsia="Calibri" w:hAnsi="Verdana" w:cs="Arial"/>
          <w:lang w:eastAsia="es-ES"/>
        </w:rPr>
      </w:pPr>
      <w:r w:rsidRPr="00FC59CF">
        <w:rPr>
          <w:rFonts w:ascii="Verdana" w:eastAsia="Calibri" w:hAnsi="Verdana" w:cs="Arial"/>
          <w:color w:val="000000" w:themeColor="text1"/>
        </w:rPr>
        <w:t xml:space="preserve">La norma faculta a la Superintendencia Financiera para que de oficio o a solicitud de cualquier interesado, declare la situación de vinculación y ordene la inscripción en el Registro Mercantil, sin perjuicio de la imposición de multas a que haya lugar por dicha omisión. Así las cosas, es claro que es competencia de esta entidad la declaratoria de la situación, no a cada una de las Entidades Estatales que adelanten el proceso de contratación, quienes para efecto de aplicar los criterios diferenciales de que trata el artículo 32 de la Ley 2069 de 2021 y el Decreto 1860 de 2021 deberán verificar el cumplimiento de los requisitos de que trata el </w:t>
      </w:r>
      <w:r w:rsidRPr="00FC59CF">
        <w:rPr>
          <w:rFonts w:ascii="Verdana" w:eastAsia="Calibri" w:hAnsi="Verdana" w:cs="Arial"/>
          <w:lang w:val="es-ES_tradnl" w:eastAsia="es-ES_tradnl"/>
        </w:rPr>
        <w:t xml:space="preserve">Artículo 2.2.1.2.4.2.14. – adicionado por el artículo 3 del Decreto 1860 de 2021. </w:t>
      </w:r>
    </w:p>
    <w:p w14:paraId="7788F795" w14:textId="592FB0A8" w:rsidR="004C0691" w:rsidRPr="00FC59CF" w:rsidRDefault="004C0691" w:rsidP="00FC59CF">
      <w:pPr>
        <w:pStyle w:val="Prrafodelista"/>
        <w:numPr>
          <w:ilvl w:val="0"/>
          <w:numId w:val="24"/>
        </w:numPr>
        <w:spacing w:after="120" w:line="276" w:lineRule="auto"/>
        <w:jc w:val="both"/>
        <w:rPr>
          <w:rFonts w:ascii="Verdana" w:eastAsia="Calibri" w:hAnsi="Verdana" w:cs="Arial"/>
          <w:lang w:eastAsia="es-ES"/>
        </w:rPr>
      </w:pPr>
      <w:r w:rsidRPr="00FC59CF">
        <w:rPr>
          <w:rFonts w:ascii="Verdana" w:hAnsi="Verdana" w:cs="Arial"/>
        </w:rPr>
        <w:t>Lo anterior, sin perjuicio de que, si no se efectúa la inscripción dentro del plazo indicado, la Superintendencia de Sociedades, o en su caso la Financiera, de oficio o a solicitud de cualquier interesado, declarará la situación de vinculación y ordenará la inscripción en el Registro Mercantil, sin perjuicio de la imposición de multas a que haya lugar.</w:t>
      </w:r>
      <w:bookmarkEnd w:id="10"/>
    </w:p>
    <w:p w14:paraId="5C8F0C68" w14:textId="77777777" w:rsidR="004C0691" w:rsidRPr="00C02094" w:rsidRDefault="004C0691" w:rsidP="004C0691">
      <w:pPr>
        <w:widowControl w:val="0"/>
        <w:autoSpaceDE w:val="0"/>
        <w:autoSpaceDN w:val="0"/>
        <w:spacing w:after="0" w:line="276" w:lineRule="auto"/>
        <w:jc w:val="both"/>
        <w:rPr>
          <w:rFonts w:ascii="Verdana" w:hAnsi="Verdana" w:cs="Arial"/>
        </w:rPr>
      </w:pPr>
    </w:p>
    <w:p w14:paraId="76DBE697" w14:textId="77777777" w:rsidR="004C0691" w:rsidRPr="00C02094" w:rsidRDefault="004C0691" w:rsidP="004C069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02094">
        <w:rPr>
          <w:rFonts w:ascii="Verdana" w:eastAsia="Century Gothic" w:hAnsi="Verdana" w:cs="Century Gothic"/>
          <w:b/>
          <w:bCs/>
        </w:rPr>
        <w:t>Referencias normativas, jurisprudenciales y otras fuentes:</w:t>
      </w:r>
    </w:p>
    <w:p w14:paraId="6D2A35E0" w14:textId="77777777" w:rsidR="004C0691" w:rsidRPr="00C02094" w:rsidRDefault="004C0691" w:rsidP="004C0691">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C0691" w:rsidRPr="00C02094" w14:paraId="18042C4E" w14:textId="77777777" w:rsidTr="002D7ACD">
        <w:trPr>
          <w:trHeight w:val="870"/>
        </w:trPr>
        <w:tc>
          <w:tcPr>
            <w:tcW w:w="8647" w:type="dxa"/>
          </w:tcPr>
          <w:p w14:paraId="0761B882" w14:textId="77777777" w:rsidR="004C0691" w:rsidRPr="00C02094" w:rsidRDefault="004C0691" w:rsidP="004C0691">
            <w:pPr>
              <w:pStyle w:val="Prrafodelista"/>
              <w:numPr>
                <w:ilvl w:val="0"/>
                <w:numId w:val="19"/>
              </w:numPr>
              <w:jc w:val="both"/>
              <w:rPr>
                <w:rFonts w:ascii="Verdana" w:eastAsia="Calibri" w:hAnsi="Verdana" w:cs="Arial"/>
                <w:bCs/>
                <w:lang w:eastAsia="es-ES_tradnl"/>
              </w:rPr>
            </w:pPr>
            <w:r w:rsidRPr="00C02094">
              <w:rPr>
                <w:rFonts w:ascii="Verdana" w:eastAsia="Calibri" w:hAnsi="Verdana" w:cs="Arial"/>
                <w:lang w:val="es-ES_tradnl" w:eastAsia="es-ES_tradnl"/>
              </w:rPr>
              <w:t xml:space="preserve">Ley 2069 de 2020: </w:t>
            </w:r>
            <w:r w:rsidRPr="00C02094">
              <w:rPr>
                <w:rFonts w:ascii="Verdana" w:eastAsia="Calibri" w:hAnsi="Verdana" w:cs="Arial"/>
                <w:bCs/>
                <w:lang w:eastAsia="es-ES_tradnl"/>
              </w:rPr>
              <w:t xml:space="preserve">Artículo 32. </w:t>
            </w:r>
          </w:p>
          <w:p w14:paraId="4AEFF684" w14:textId="77777777" w:rsidR="004C0691" w:rsidRPr="00C02094" w:rsidRDefault="004C0691" w:rsidP="002D7ACD">
            <w:pPr>
              <w:pStyle w:val="Prrafodelista"/>
              <w:ind w:left="360"/>
              <w:jc w:val="both"/>
              <w:rPr>
                <w:rFonts w:ascii="Verdana" w:eastAsia="Calibri" w:hAnsi="Verdana" w:cs="Arial"/>
                <w:bCs/>
                <w:lang w:eastAsia="es-ES_tradnl"/>
              </w:rPr>
            </w:pPr>
          </w:p>
          <w:p w14:paraId="72D114FE" w14:textId="77777777" w:rsidR="004C0691" w:rsidRPr="00C02094" w:rsidRDefault="004C0691" w:rsidP="004C0691">
            <w:pPr>
              <w:pStyle w:val="Prrafodelista"/>
              <w:numPr>
                <w:ilvl w:val="0"/>
                <w:numId w:val="19"/>
              </w:numPr>
              <w:jc w:val="both"/>
              <w:rPr>
                <w:rFonts w:ascii="Verdana" w:eastAsia="Calibri" w:hAnsi="Verdana" w:cs="Arial"/>
                <w:lang w:val="es-ES_tradnl" w:eastAsia="es-ES_tradnl"/>
              </w:rPr>
            </w:pPr>
            <w:r w:rsidRPr="00C02094">
              <w:rPr>
                <w:rFonts w:ascii="Verdana" w:eastAsia="Calibri" w:hAnsi="Verdana" w:cs="Arial"/>
                <w:lang w:val="es-ES_tradnl" w:eastAsia="es-ES_tradnl"/>
              </w:rPr>
              <w:t xml:space="preserve">Decreto 1082 de 2015: Artículo 2.2.1.2.4.2.14. – adicionado por el artículo 3 del Decreto 1860 de 2021. </w:t>
            </w:r>
          </w:p>
          <w:p w14:paraId="5A1F5BD1" w14:textId="77777777" w:rsidR="004C0691" w:rsidRPr="00C02094" w:rsidRDefault="004C0691" w:rsidP="002D7ACD">
            <w:pPr>
              <w:pStyle w:val="Prrafodelista"/>
              <w:ind w:left="360"/>
              <w:jc w:val="both"/>
              <w:rPr>
                <w:rFonts w:asciiTheme="minorHAnsi" w:hAnsiTheme="minorHAnsi"/>
              </w:rPr>
            </w:pPr>
          </w:p>
          <w:p w14:paraId="00125166" w14:textId="77777777" w:rsidR="004C0691" w:rsidRPr="00C02094" w:rsidRDefault="004C0691" w:rsidP="004C0691">
            <w:pPr>
              <w:pStyle w:val="Prrafodelista"/>
              <w:numPr>
                <w:ilvl w:val="0"/>
                <w:numId w:val="19"/>
              </w:numPr>
              <w:jc w:val="both"/>
              <w:rPr>
                <w:rFonts w:asciiTheme="minorHAnsi" w:hAnsiTheme="minorHAnsi"/>
              </w:rPr>
            </w:pPr>
            <w:r w:rsidRPr="00C02094">
              <w:rPr>
                <w:rFonts w:ascii="Verdana" w:eastAsia="Calibri" w:hAnsi="Verdana" w:cs="Arial"/>
                <w:color w:val="000000" w:themeColor="text1"/>
              </w:rPr>
              <w:t xml:space="preserve">Ley 222 de 1995: Artículo 27 y 30. </w:t>
            </w:r>
          </w:p>
          <w:p w14:paraId="59C95BD1" w14:textId="77777777" w:rsidR="004C0691" w:rsidRPr="00C02094" w:rsidRDefault="004C0691" w:rsidP="002D7ACD">
            <w:pPr>
              <w:pStyle w:val="Prrafodelista"/>
              <w:jc w:val="both"/>
            </w:pPr>
          </w:p>
          <w:p w14:paraId="1CD44FC0" w14:textId="77777777" w:rsidR="004C0691" w:rsidRPr="00C02094" w:rsidRDefault="004C0691" w:rsidP="004C0691">
            <w:pPr>
              <w:pStyle w:val="Prrafodelista"/>
              <w:numPr>
                <w:ilvl w:val="0"/>
                <w:numId w:val="19"/>
              </w:numPr>
              <w:jc w:val="both"/>
              <w:rPr>
                <w:rFonts w:ascii="Verdana" w:hAnsi="Verdana" w:cs="Arial"/>
              </w:rPr>
            </w:pPr>
            <w:r w:rsidRPr="00C02094">
              <w:rPr>
                <w:rFonts w:ascii="Verdana" w:hAnsi="Verdana"/>
              </w:rPr>
              <w:t xml:space="preserve">Superintendencia de Sociedades. </w:t>
            </w:r>
            <w:r w:rsidRPr="00C02094">
              <w:rPr>
                <w:rFonts w:ascii="Verdana" w:hAnsi="Verdana"/>
                <w:lang w:val="es-CO"/>
              </w:rPr>
              <w:t>Guía Práctica Régimen de Matrices y Subordinadas.</w:t>
            </w:r>
          </w:p>
        </w:tc>
      </w:tr>
    </w:tbl>
    <w:p w14:paraId="73245E9C" w14:textId="77777777" w:rsidR="004C0691" w:rsidRPr="002D7ACD" w:rsidRDefault="004C0691" w:rsidP="004C0691">
      <w:pPr>
        <w:widowControl w:val="0"/>
        <w:autoSpaceDE w:val="0"/>
        <w:autoSpaceDN w:val="0"/>
        <w:spacing w:after="0" w:line="276" w:lineRule="auto"/>
        <w:jc w:val="both"/>
        <w:rPr>
          <w:rFonts w:ascii="Verdana" w:hAnsi="Verdana" w:cs="Arial"/>
        </w:rPr>
      </w:pPr>
    </w:p>
    <w:p w14:paraId="554E824D" w14:textId="77777777" w:rsidR="004C0691" w:rsidRPr="002D7ACD" w:rsidRDefault="004C0691" w:rsidP="004C069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D7ACD">
        <w:rPr>
          <w:rFonts w:ascii="Verdana" w:eastAsia="Century Gothic" w:hAnsi="Verdana" w:cs="Century Gothic"/>
          <w:b/>
          <w:bCs/>
        </w:rPr>
        <w:t>Doctrina de la Agencia Nacional de Contratación Pública:</w:t>
      </w:r>
    </w:p>
    <w:p w14:paraId="3FE9B916" w14:textId="77777777" w:rsidR="004C0691" w:rsidRPr="002D7ACD" w:rsidRDefault="004C0691" w:rsidP="004C0691">
      <w:pPr>
        <w:widowControl w:val="0"/>
        <w:autoSpaceDE w:val="0"/>
        <w:autoSpaceDN w:val="0"/>
        <w:spacing w:after="0" w:line="276" w:lineRule="auto"/>
        <w:jc w:val="both"/>
        <w:rPr>
          <w:rFonts w:ascii="Verdana" w:hAnsi="Verdana" w:cs="Arial"/>
        </w:rPr>
      </w:pPr>
    </w:p>
    <w:p w14:paraId="046E572A" w14:textId="77777777" w:rsidR="004C0691" w:rsidRDefault="004C0691" w:rsidP="004C0691">
      <w:pPr>
        <w:widowControl w:val="0"/>
        <w:autoSpaceDE w:val="0"/>
        <w:autoSpaceDN w:val="0"/>
        <w:spacing w:after="0" w:line="276" w:lineRule="auto"/>
        <w:jc w:val="both"/>
        <w:rPr>
          <w:rFonts w:ascii="Verdana" w:hAnsi="Verdana" w:cs="Arial"/>
          <w:shd w:val="clear" w:color="auto" w:fill="FFFFFF"/>
        </w:rPr>
      </w:pPr>
      <w:r w:rsidRPr="002D7ACD">
        <w:rPr>
          <w:rStyle w:val="normaltextrun"/>
          <w:rFonts w:ascii="Verdana" w:hAnsi="Verdana" w:cs="Arial"/>
          <w:shd w:val="clear" w:color="auto" w:fill="FFFFFF"/>
          <w:lang w:val="es-ES"/>
        </w:rPr>
        <w:t xml:space="preserve">Sobre </w:t>
      </w:r>
      <w:r w:rsidRPr="002D7ACD">
        <w:rPr>
          <w:rFonts w:ascii="Verdana" w:eastAsia="Calibri" w:hAnsi="Verdana" w:cs="Arial"/>
          <w:lang w:val="es-ES" w:eastAsia="es-ES"/>
        </w:rPr>
        <w:t xml:space="preserve">la </w:t>
      </w:r>
      <w:r w:rsidRPr="002D7ACD">
        <w:rPr>
          <w:rFonts w:ascii="Verdana" w:eastAsia="Calibri" w:hAnsi="Verdana" w:cs="Arial"/>
          <w:lang w:val="es-ES" w:eastAsia="es-ES_tradnl"/>
        </w:rPr>
        <w:t xml:space="preserve">definición </w:t>
      </w:r>
      <w:r w:rsidRPr="00C02094">
        <w:rPr>
          <w:rFonts w:ascii="Verdana" w:eastAsia="Calibri" w:hAnsi="Verdana" w:cs="Arial"/>
          <w:lang w:val="es-ES" w:eastAsia="es-ES_tradnl"/>
        </w:rPr>
        <w:t>de emprendimientos y empresas de mujeres en el Decreto 1860 de 2021</w:t>
      </w:r>
      <w:r w:rsidRPr="00C02094">
        <w:rPr>
          <w:rFonts w:ascii="Verdana" w:eastAsia="Calibri" w:hAnsi="Verdana" w:cs="Arial"/>
          <w:lang w:val="es-ES" w:eastAsia="es-ES"/>
        </w:rPr>
        <w:t>, esta Subdirección se ha pronunciado en los conceptos</w:t>
      </w:r>
      <w:r w:rsidRPr="00C02094">
        <w:rPr>
          <w:rFonts w:ascii="Verdana" w:hAnsi="Verdana" w:cs="Arial"/>
        </w:rPr>
        <w:t xml:space="preserve"> </w:t>
      </w:r>
      <w:r w:rsidRPr="00C02094">
        <w:rPr>
          <w:rFonts w:ascii="Verdana" w:eastAsia="Times New Roman" w:hAnsi="Verdana" w:cs="Arial"/>
          <w:shd w:val="clear" w:color="auto" w:fill="FFFFFF"/>
          <w:lang w:eastAsia="es-ES_tradnl"/>
        </w:rPr>
        <w:t>C-029 de 21 de febrero de 2021, C-037 del 26 de febrero de 2021, C-141 del 8 de abril de 2021, C-114 del 13 de abril de 2021 y C-031 del 1 de marzo de 2022, C-213 del 21 de abril de 2022, C-217 del 21 de abril de 2022, C-281 del 12 de mayo de 2022, C-322 del 20 de mayo de 2022, C-323 del 17 de junio de 2022, C-326 del 18 de mayo de 2022, C-398 del 15 de junio de 2022, C-399 del 21 de junio de 2022, C-421 del 6 de julio de 2022, C-429 del 18 de julio de 2022, C-438 del 11 de julio de 2022, C-454 del 13 de julio de 2022, C-476 del 21 de junio de 2022, C-479 del 26 de julio de 2022, C-504 del 8 de agosto de 2022, C-522 del 16 de agosto de 2022, C-642 del 11 de octubre de 2022, C-696 de 26 de octubre de 2022 y C-781 de 25 de noviembre de 2022, entre otros</w:t>
      </w:r>
      <w:r w:rsidRPr="001A3CD7">
        <w:rPr>
          <w:rStyle w:val="normaltextrun"/>
          <w:rFonts w:ascii="Verdana" w:hAnsi="Verdana" w:cs="Arial"/>
          <w:color w:val="7030A0"/>
          <w:shd w:val="clear" w:color="auto" w:fill="FFFFFF"/>
          <w:lang w:val="es-ES"/>
        </w:rPr>
        <w:t xml:space="preserve">. </w:t>
      </w:r>
      <w:r w:rsidRPr="00C02094">
        <w:rPr>
          <w:rFonts w:ascii="Verdana" w:hAnsi="Verdana" w:cs="Arial"/>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1" w:tooltip="Dirección URL original: https://relatoria.colombiacompra.gov.co/. Haga clic o pulse si confía en este vínculo." w:history="1">
        <w:r w:rsidRPr="00C02094">
          <w:rPr>
            <w:rStyle w:val="Hipervnculo"/>
            <w:rFonts w:ascii="Verdana" w:hAnsi="Verdana" w:cs="Arial"/>
            <w:shd w:val="clear" w:color="auto" w:fill="FFFFFF"/>
          </w:rPr>
          <w:t>https://relatoria.colombiacompra.gov.co/</w:t>
        </w:r>
      </w:hyperlink>
      <w:r w:rsidRPr="00C02094">
        <w:rPr>
          <w:rFonts w:ascii="Verdana" w:hAnsi="Verdana" w:cs="Arial"/>
          <w:shd w:val="clear" w:color="auto" w:fill="FFFFFF"/>
        </w:rPr>
        <w:t xml:space="preserve">  </w:t>
      </w:r>
    </w:p>
    <w:p w14:paraId="18129564" w14:textId="77777777" w:rsidR="004C0691" w:rsidRDefault="004C0691" w:rsidP="004C0691">
      <w:pPr>
        <w:widowControl w:val="0"/>
        <w:autoSpaceDE w:val="0"/>
        <w:autoSpaceDN w:val="0"/>
        <w:spacing w:after="0" w:line="276" w:lineRule="auto"/>
        <w:jc w:val="both"/>
        <w:rPr>
          <w:rFonts w:ascii="Verdana" w:hAnsi="Verdana" w:cs="Arial"/>
          <w:shd w:val="clear" w:color="auto" w:fill="FFFFFF"/>
        </w:rPr>
      </w:pPr>
    </w:p>
    <w:p w14:paraId="1BF9DA79" w14:textId="77777777" w:rsidR="004C0691" w:rsidRPr="00C02094" w:rsidRDefault="004C0691" w:rsidP="004C0691">
      <w:pPr>
        <w:widowControl w:val="0"/>
        <w:autoSpaceDE w:val="0"/>
        <w:autoSpaceDN w:val="0"/>
        <w:spacing w:after="0" w:line="276" w:lineRule="auto"/>
        <w:jc w:val="both"/>
        <w:rPr>
          <w:rFonts w:ascii="Verdana" w:hAnsi="Verdana" w:cs="Arial"/>
          <w:shd w:val="clear" w:color="auto" w:fill="FFFFFF"/>
        </w:rPr>
      </w:pPr>
      <w:r w:rsidRPr="00C02094">
        <w:rPr>
          <w:rFonts w:ascii="Verdana" w:hAnsi="Verdana" w:cs="Arial"/>
          <w:shd w:val="clear" w:color="auto" w:fill="FFFFFF"/>
        </w:rPr>
        <w:t xml:space="preserve">Te invitamos también a revisar la tercera edición del  Boletín de Relatoría de 2024 en el cual podrás consultar en detalle el marco normativo de documentos tipo: </w:t>
      </w:r>
      <w:hyperlink r:id="rId12" w:tooltip="Dirección URL original: https://www.colombiacompra.gov.co/sites/cce_public/files/files_2020/boletin_de_realtoria_iii.pdf. Haga clic o pulse si confía en este vínculo." w:history="1">
        <w:r w:rsidRPr="00C02094">
          <w:rPr>
            <w:rStyle w:val="Hipervnculo"/>
            <w:rFonts w:ascii="Verdana" w:hAnsi="Verdana" w:cs="Arial"/>
            <w:shd w:val="clear" w:color="auto" w:fill="FFFFFF"/>
          </w:rPr>
          <w:t>https://www.colombiacompra.gov.co/sites/cce_public/files/files_2020/boletin_de_realtoria_iii.pdf</w:t>
        </w:r>
      </w:hyperlink>
      <w:r w:rsidRPr="00C02094">
        <w:rPr>
          <w:rFonts w:ascii="Verdana" w:hAnsi="Verdana" w:cs="Arial"/>
          <w:shd w:val="clear" w:color="auto" w:fill="FFFFFF"/>
        </w:rPr>
        <w:t> ".  </w:t>
      </w:r>
    </w:p>
    <w:p w14:paraId="5B3F0FD3" w14:textId="77777777" w:rsidR="004C0691" w:rsidRPr="00C02094" w:rsidRDefault="004C0691" w:rsidP="004C0691">
      <w:pPr>
        <w:widowControl w:val="0"/>
        <w:autoSpaceDE w:val="0"/>
        <w:autoSpaceDN w:val="0"/>
        <w:spacing w:after="0" w:line="276" w:lineRule="auto"/>
        <w:jc w:val="both"/>
        <w:rPr>
          <w:rFonts w:ascii="Verdana" w:hAnsi="Verdana" w:cs="Arial"/>
          <w:shd w:val="clear" w:color="auto" w:fill="FFFFFF"/>
        </w:rPr>
      </w:pPr>
    </w:p>
    <w:p w14:paraId="786DA9C7" w14:textId="77777777" w:rsidR="004C0691" w:rsidRPr="001A3CD7" w:rsidRDefault="004C0691" w:rsidP="004C0691">
      <w:pPr>
        <w:widowControl w:val="0"/>
        <w:autoSpaceDE w:val="0"/>
        <w:autoSpaceDN w:val="0"/>
        <w:spacing w:after="0" w:line="276" w:lineRule="auto"/>
        <w:jc w:val="both"/>
        <w:rPr>
          <w:rFonts w:ascii="Verdana" w:hAnsi="Verdana" w:cs="Arial"/>
        </w:rPr>
      </w:pPr>
    </w:p>
    <w:p w14:paraId="22172F7B" w14:textId="77777777" w:rsidR="004C0691" w:rsidRPr="001A3CD7" w:rsidRDefault="004C0691" w:rsidP="004C0691">
      <w:pPr>
        <w:widowControl w:val="0"/>
        <w:autoSpaceDE w:val="0"/>
        <w:autoSpaceDN w:val="0"/>
        <w:spacing w:after="0" w:line="276" w:lineRule="auto"/>
        <w:jc w:val="both"/>
        <w:rPr>
          <w:rFonts w:ascii="Verdana" w:hAnsi="Verdana" w:cs="Arial"/>
          <w:lang w:val="es-ES_tradnl"/>
        </w:rPr>
      </w:pPr>
      <w:r w:rsidRPr="001A3CD7">
        <w:rPr>
          <w:rFonts w:ascii="Verdana" w:hAnsi="Verdana" w:cs="Arial"/>
        </w:rPr>
        <w:t xml:space="preserve">Este concepto tiene el alcance previsto en el artículo 28 del Código de </w:t>
      </w:r>
      <w:r w:rsidRPr="001A3CD7">
        <w:rPr>
          <w:rFonts w:ascii="Verdana" w:hAnsi="Verdana" w:cs="Arial"/>
        </w:rPr>
        <w:lastRenderedPageBreak/>
        <w:t xml:space="preserve">Procedimiento Administrativo y de lo Contencioso Administrativo </w:t>
      </w:r>
      <w:r w:rsidRPr="001A3CD7">
        <w:rPr>
          <w:rFonts w:ascii="Verdana" w:hAnsi="Verdana" w:cs="Arial"/>
          <w:lang w:val="es-ES_tradnl"/>
        </w:rPr>
        <w:t>y las expresiones aquí utilizadas con mayúscula inicial deben ser entendidas con el significado que les otorga el artículo 2.2.1.1.1.3.1. del Decreto 1082 de 2015.</w:t>
      </w:r>
    </w:p>
    <w:p w14:paraId="6E8542A5" w14:textId="77777777" w:rsidR="004C0691" w:rsidRPr="001A3CD7" w:rsidRDefault="004C0691" w:rsidP="004C0691">
      <w:pPr>
        <w:widowControl w:val="0"/>
        <w:autoSpaceDE w:val="0"/>
        <w:autoSpaceDN w:val="0"/>
        <w:spacing w:after="0" w:line="276" w:lineRule="auto"/>
        <w:jc w:val="both"/>
        <w:rPr>
          <w:rFonts w:ascii="Verdana" w:hAnsi="Verdana" w:cs="Arial"/>
        </w:rPr>
      </w:pPr>
    </w:p>
    <w:p w14:paraId="095AA04B" w14:textId="77777777" w:rsidR="004C0691" w:rsidRPr="001A3CD7" w:rsidRDefault="004C0691" w:rsidP="004C0691">
      <w:pPr>
        <w:spacing w:after="0" w:line="276" w:lineRule="auto"/>
        <w:rPr>
          <w:rFonts w:ascii="Verdana" w:hAnsi="Verdana" w:cs="Arial"/>
          <w:lang w:eastAsia="es-CO"/>
        </w:rPr>
      </w:pPr>
      <w:r w:rsidRPr="001A3CD7">
        <w:rPr>
          <w:rFonts w:ascii="Verdana" w:eastAsia="Times New Roman" w:hAnsi="Verdana" w:cs="Arial"/>
          <w:lang w:eastAsia="es-CO"/>
        </w:rPr>
        <w:t>Atentamente,</w:t>
      </w:r>
      <w:r w:rsidRPr="001A3CD7">
        <w:rPr>
          <w:rFonts w:ascii="Verdana" w:hAnsi="Verdana" w:cs="Arial"/>
          <w:lang w:eastAsia="es-CO"/>
        </w:rPr>
        <w:t xml:space="preserve"> </w:t>
      </w:r>
    </w:p>
    <w:p w14:paraId="74C40388" w14:textId="2CDE25A9" w:rsidR="004C0691" w:rsidRDefault="004C0691" w:rsidP="004C0691">
      <w:pPr>
        <w:spacing w:line="276" w:lineRule="auto"/>
        <w:jc w:val="center"/>
        <w:rPr>
          <w:rFonts w:ascii="Century Gothic" w:hAnsi="Century Gothic"/>
          <w:noProof/>
        </w:rPr>
      </w:pPr>
    </w:p>
    <w:p w14:paraId="0DCCC0E2" w14:textId="1DDBBFC7" w:rsidR="00FC59CF" w:rsidRDefault="00CF1445" w:rsidP="00FC59CF">
      <w:pPr>
        <w:widowControl w:val="0"/>
        <w:autoSpaceDE w:val="0"/>
        <w:autoSpaceDN w:val="0"/>
        <w:spacing w:after="0" w:line="276" w:lineRule="auto"/>
        <w:jc w:val="center"/>
        <w:rPr>
          <w:rFonts w:ascii="Century Gothic" w:hAnsi="Century Gothic" w:cs="Arial"/>
          <w:lang w:val="es-ES_tradnl"/>
        </w:rPr>
      </w:pPr>
      <w:r w:rsidRPr="002C3AD6">
        <w:rPr>
          <w:rFonts w:ascii="Century Gothic" w:hAnsi="Century Gothic"/>
          <w:noProof/>
        </w:rPr>
        <w:drawing>
          <wp:inline distT="0" distB="0" distL="0" distR="0" wp14:anchorId="1258F715" wp14:editId="7A0BA689">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772426" cy="1400370"/>
                    </a:xfrm>
                    <a:prstGeom prst="rect">
                      <a:avLst/>
                    </a:prstGeom>
                  </pic:spPr>
                </pic:pic>
              </a:graphicData>
            </a:graphic>
          </wp:inline>
        </w:drawing>
      </w:r>
    </w:p>
    <w:p w14:paraId="0310551A" w14:textId="77777777" w:rsidR="00FC59CF" w:rsidRDefault="00FC59CF" w:rsidP="00FC59CF">
      <w:pPr>
        <w:widowControl w:val="0"/>
        <w:autoSpaceDE w:val="0"/>
        <w:autoSpaceDN w:val="0"/>
        <w:spacing w:after="0" w:line="276" w:lineRule="auto"/>
        <w:jc w:val="both"/>
        <w:rPr>
          <w:rFonts w:ascii="Century Gothic" w:hAnsi="Century Gothic" w:cs="Arial"/>
          <w:lang w:val="es-ES_tradnl"/>
        </w:rPr>
      </w:pPr>
    </w:p>
    <w:p w14:paraId="249D865C" w14:textId="77777777" w:rsidR="00FC59CF" w:rsidRPr="00B90119" w:rsidRDefault="00FC59CF" w:rsidP="00FC59CF">
      <w:pPr>
        <w:widowControl w:val="0"/>
        <w:autoSpaceDE w:val="0"/>
        <w:autoSpaceDN w:val="0"/>
        <w:spacing w:after="0" w:line="276" w:lineRule="auto"/>
        <w:jc w:val="both"/>
        <w:rPr>
          <w:rFonts w:ascii="Century Gothic" w:hAnsi="Century Gothic" w:cs="Arial"/>
          <w:lang w:val="es-ES_tradnl"/>
        </w:rPr>
      </w:pPr>
    </w:p>
    <w:p w14:paraId="4A384EF1" w14:textId="77777777" w:rsidR="00FC59CF" w:rsidRPr="00F345AB" w:rsidRDefault="00FC59CF" w:rsidP="00FC59CF">
      <w:pPr>
        <w:spacing w:after="0" w:line="240" w:lineRule="auto"/>
        <w:rPr>
          <w:rFonts w:ascii="Verdana" w:hAnsi="Verdana" w:cs="Arial"/>
          <w:lang w:eastAsia="es-CO"/>
        </w:rPr>
      </w:pPr>
      <w:r w:rsidRPr="00F345AB">
        <w:rPr>
          <w:rFonts w:ascii="Verdana" w:hAnsi="Verdana" w:cs="Arial"/>
          <w:lang w:eastAsia="es-CO"/>
        </w:rPr>
        <w:t xml:space="preserve">Atentamente, </w:t>
      </w:r>
    </w:p>
    <w:p w14:paraId="6D394405" w14:textId="77777777" w:rsidR="00FC59CF" w:rsidRPr="00D8535D" w:rsidRDefault="00FC59CF" w:rsidP="00FC59CF">
      <w:pPr>
        <w:spacing w:line="276" w:lineRule="auto"/>
        <w:jc w:val="center"/>
        <w:rPr>
          <w:rFonts w:ascii="Verdana" w:hAnsi="Verdana" w:cs="Arial"/>
          <w:sz w:val="16"/>
          <w:szCs w:val="16"/>
          <w:lang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C59CF" w:rsidRPr="00D8535D" w14:paraId="4A7CFA1B" w14:textId="77777777" w:rsidTr="008D1647">
        <w:trPr>
          <w:trHeight w:val="315"/>
        </w:trPr>
        <w:tc>
          <w:tcPr>
            <w:tcW w:w="893" w:type="dxa"/>
            <w:vAlign w:val="center"/>
            <w:hideMark/>
          </w:tcPr>
          <w:p w14:paraId="48F3772A" w14:textId="77777777" w:rsidR="00FC59CF" w:rsidRPr="00D8535D" w:rsidRDefault="00FC59CF" w:rsidP="008D1647">
            <w:pPr>
              <w:contextualSpacing/>
              <w:rPr>
                <w:rFonts w:ascii="Verdana" w:hAnsi="Verdana" w:cs="Arial"/>
                <w:sz w:val="16"/>
                <w:szCs w:val="16"/>
                <w:lang w:eastAsia="es-CO"/>
              </w:rPr>
            </w:pPr>
            <w:r w:rsidRPr="00D8535D">
              <w:rPr>
                <w:rFonts w:ascii="Verdana" w:hAnsi="Verdana" w:cs="Arial"/>
                <w:sz w:val="16"/>
                <w:szCs w:val="16"/>
                <w:lang w:eastAsia="es-CO"/>
              </w:rPr>
              <w:t>Elaboró:</w:t>
            </w:r>
          </w:p>
        </w:tc>
        <w:tc>
          <w:tcPr>
            <w:tcW w:w="5628" w:type="dxa"/>
            <w:tcBorders>
              <w:top w:val="nil"/>
              <w:left w:val="nil"/>
              <w:bottom w:val="dotted" w:sz="4" w:space="0" w:color="7F7F7F" w:themeColor="text1" w:themeTint="80"/>
              <w:right w:val="nil"/>
            </w:tcBorders>
            <w:vAlign w:val="center"/>
            <w:hideMark/>
          </w:tcPr>
          <w:p w14:paraId="3F2F7022" w14:textId="150D2642" w:rsidR="00FC59CF" w:rsidRPr="00D8535D" w:rsidRDefault="00FC59CF" w:rsidP="008D1647">
            <w:pPr>
              <w:contextualSpacing/>
              <w:rPr>
                <w:rFonts w:ascii="Verdana" w:hAnsi="Verdana" w:cs="Arial"/>
                <w:sz w:val="16"/>
                <w:szCs w:val="16"/>
                <w:lang w:eastAsia="es-CO"/>
              </w:rPr>
            </w:pPr>
            <w:r w:rsidRPr="00D8535D">
              <w:rPr>
                <w:rFonts w:ascii="Verdana" w:hAnsi="Verdana" w:cs="Arial"/>
                <w:sz w:val="16"/>
                <w:szCs w:val="16"/>
                <w:lang w:eastAsia="es-CO"/>
              </w:rPr>
              <w:t>Diana Carolina Blanco Rodr</w:t>
            </w:r>
            <w:r w:rsidR="004A0DF7">
              <w:rPr>
                <w:rFonts w:ascii="Verdana" w:hAnsi="Verdana" w:cs="Arial"/>
                <w:sz w:val="16"/>
                <w:szCs w:val="16"/>
                <w:lang w:eastAsia="es-CO"/>
              </w:rPr>
              <w:t>í</w:t>
            </w:r>
            <w:r w:rsidRPr="00D8535D">
              <w:rPr>
                <w:rFonts w:ascii="Verdana" w:hAnsi="Verdana" w:cs="Arial"/>
                <w:sz w:val="16"/>
                <w:szCs w:val="16"/>
                <w:lang w:eastAsia="es-CO"/>
              </w:rPr>
              <w:t xml:space="preserve">guez </w:t>
            </w:r>
          </w:p>
          <w:p w14:paraId="19ED9515" w14:textId="77777777" w:rsidR="00FC59CF" w:rsidRPr="00D8535D" w:rsidRDefault="00FC59CF" w:rsidP="008D1647">
            <w:pPr>
              <w:contextualSpacing/>
              <w:rPr>
                <w:rFonts w:ascii="Verdana" w:hAnsi="Verdana" w:cs="Arial"/>
                <w:sz w:val="16"/>
                <w:szCs w:val="16"/>
                <w:lang w:eastAsia="es-CO"/>
              </w:rPr>
            </w:pPr>
            <w:r w:rsidRPr="00D8535D">
              <w:rPr>
                <w:rFonts w:ascii="Verdana" w:hAnsi="Verdana" w:cs="Arial"/>
                <w:sz w:val="16"/>
                <w:szCs w:val="16"/>
                <w:lang w:eastAsia="es-CO"/>
              </w:rPr>
              <w:t>Contratista de la Subdirección de Gestión Contractual</w:t>
            </w:r>
          </w:p>
        </w:tc>
      </w:tr>
      <w:tr w:rsidR="00FC59CF" w:rsidRPr="00D8535D" w14:paraId="11DD5BBE" w14:textId="77777777" w:rsidTr="008D1647">
        <w:trPr>
          <w:trHeight w:val="330"/>
        </w:trPr>
        <w:tc>
          <w:tcPr>
            <w:tcW w:w="893" w:type="dxa"/>
            <w:vAlign w:val="center"/>
            <w:hideMark/>
          </w:tcPr>
          <w:p w14:paraId="3793AF7B" w14:textId="77777777" w:rsidR="00FC59CF" w:rsidRPr="00D8535D" w:rsidRDefault="00FC59CF" w:rsidP="008D1647">
            <w:pPr>
              <w:contextualSpacing/>
              <w:rPr>
                <w:rFonts w:ascii="Verdana" w:hAnsi="Verdana" w:cs="Arial"/>
                <w:sz w:val="16"/>
                <w:szCs w:val="16"/>
                <w:lang w:eastAsia="es-CO"/>
              </w:rPr>
            </w:pPr>
            <w:r w:rsidRPr="00D8535D">
              <w:rPr>
                <w:rFonts w:ascii="Verdana" w:hAnsi="Verdana" w:cs="Arial"/>
                <w:sz w:val="16"/>
                <w:szCs w:val="16"/>
                <w:lang w:eastAsia="es-CO"/>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7BFDB13" w14:textId="2A01260D" w:rsidR="00FC59CF" w:rsidRPr="00D8535D" w:rsidRDefault="00FC59CF" w:rsidP="008D1647">
            <w:pPr>
              <w:contextualSpacing/>
              <w:textAlignment w:val="baseline"/>
              <w:rPr>
                <w:rFonts w:ascii="Verdana" w:hAnsi="Verdana" w:cs="Arial"/>
                <w:sz w:val="16"/>
                <w:szCs w:val="16"/>
                <w:lang w:eastAsia="es-CO"/>
              </w:rPr>
            </w:pPr>
            <w:r>
              <w:rPr>
                <w:rFonts w:ascii="Verdana" w:hAnsi="Verdana" w:cs="Arial"/>
                <w:sz w:val="16"/>
                <w:szCs w:val="16"/>
                <w:lang w:eastAsia="es-CO"/>
              </w:rPr>
              <w:t xml:space="preserve">Adriana López </w:t>
            </w:r>
          </w:p>
          <w:p w14:paraId="56443620" w14:textId="77777777" w:rsidR="00FC59CF" w:rsidRPr="00D8535D" w:rsidRDefault="00FC59CF" w:rsidP="008D1647">
            <w:pPr>
              <w:contextualSpacing/>
              <w:textAlignment w:val="baseline"/>
              <w:rPr>
                <w:rFonts w:ascii="Verdana" w:hAnsi="Verdana" w:cs="Arial"/>
                <w:sz w:val="16"/>
                <w:szCs w:val="16"/>
                <w:lang w:eastAsia="es-CO"/>
              </w:rPr>
            </w:pPr>
            <w:r w:rsidRPr="00D8535D">
              <w:rPr>
                <w:rFonts w:ascii="Verdana" w:hAnsi="Verdana" w:cs="Arial"/>
                <w:sz w:val="16"/>
                <w:szCs w:val="16"/>
                <w:lang w:eastAsia="es-CO"/>
              </w:rPr>
              <w:t>Contratista de la Subdirección de Gestión Contractual </w:t>
            </w:r>
          </w:p>
        </w:tc>
      </w:tr>
      <w:tr w:rsidR="00FC59CF" w:rsidRPr="00D8535D" w14:paraId="7210B759" w14:textId="77777777" w:rsidTr="008D1647">
        <w:trPr>
          <w:trHeight w:val="300"/>
        </w:trPr>
        <w:tc>
          <w:tcPr>
            <w:tcW w:w="893" w:type="dxa"/>
            <w:vAlign w:val="center"/>
          </w:tcPr>
          <w:p w14:paraId="741553FF" w14:textId="77777777" w:rsidR="00FC59CF" w:rsidRPr="00D8535D" w:rsidRDefault="00FC59CF" w:rsidP="008D1647">
            <w:pPr>
              <w:contextualSpacing/>
              <w:rPr>
                <w:rFonts w:ascii="Verdana" w:hAnsi="Verdana" w:cs="Arial"/>
                <w:sz w:val="16"/>
                <w:szCs w:val="16"/>
                <w:lang w:eastAsia="es-CO"/>
              </w:rPr>
            </w:pPr>
            <w:r w:rsidRPr="00D8535D">
              <w:rPr>
                <w:rFonts w:ascii="Verdana" w:hAnsi="Verdana" w:cs="Arial"/>
                <w:sz w:val="16"/>
                <w:szCs w:val="16"/>
                <w:lang w:eastAsia="es-CO"/>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14464E1" w14:textId="77777777" w:rsidR="00FC59CF" w:rsidRPr="00D8535D" w:rsidRDefault="00FC59CF" w:rsidP="008D1647">
            <w:pPr>
              <w:contextualSpacing/>
              <w:rPr>
                <w:rFonts w:ascii="Verdana" w:hAnsi="Verdana" w:cs="Arial"/>
                <w:sz w:val="16"/>
                <w:szCs w:val="16"/>
                <w:lang w:eastAsia="es-CO"/>
              </w:rPr>
            </w:pPr>
            <w:r w:rsidRPr="00D8535D">
              <w:rPr>
                <w:rFonts w:ascii="Verdana" w:hAnsi="Verdana" w:cs="Arial"/>
                <w:sz w:val="16"/>
                <w:szCs w:val="16"/>
                <w:lang w:eastAsia="es-CO"/>
              </w:rPr>
              <w:t xml:space="preserve">Carolina Quintero </w:t>
            </w:r>
            <w:proofErr w:type="spellStart"/>
            <w:r w:rsidRPr="00D8535D">
              <w:rPr>
                <w:rFonts w:ascii="Verdana" w:hAnsi="Verdana" w:cs="Arial"/>
                <w:sz w:val="16"/>
                <w:szCs w:val="16"/>
                <w:lang w:eastAsia="es-CO"/>
              </w:rPr>
              <w:t>Gacharná</w:t>
            </w:r>
            <w:proofErr w:type="spellEnd"/>
          </w:p>
          <w:p w14:paraId="67DF06B2" w14:textId="77777777" w:rsidR="00FC59CF" w:rsidRPr="00D8535D" w:rsidRDefault="00FC59CF" w:rsidP="008D1647">
            <w:pPr>
              <w:contextualSpacing/>
              <w:rPr>
                <w:rFonts w:ascii="Verdana" w:hAnsi="Verdana" w:cs="Arial"/>
                <w:sz w:val="16"/>
                <w:szCs w:val="16"/>
                <w:lang w:eastAsia="es-CO"/>
              </w:rPr>
            </w:pPr>
            <w:r w:rsidRPr="00D8535D">
              <w:rPr>
                <w:rFonts w:ascii="Verdana" w:hAnsi="Verdana" w:cs="Arial"/>
                <w:sz w:val="16"/>
                <w:szCs w:val="16"/>
                <w:lang w:eastAsia="es-CO"/>
              </w:rPr>
              <w:t>Subdirectora de Gestión Contractual ANCP – CCE</w:t>
            </w:r>
          </w:p>
        </w:tc>
      </w:tr>
    </w:tbl>
    <w:p w14:paraId="0656C5A0" w14:textId="77777777" w:rsidR="00FC59CF" w:rsidRPr="00D8535D" w:rsidRDefault="00FC59CF" w:rsidP="00FC59CF">
      <w:pPr>
        <w:rPr>
          <w:rFonts w:ascii="Verdana" w:hAnsi="Verdana"/>
          <w:lang w:val="es-ES_tradnl"/>
        </w:rPr>
      </w:pPr>
    </w:p>
    <w:bookmarkEnd w:id="0"/>
    <w:bookmarkEnd w:id="1"/>
    <w:p w14:paraId="5FCADBF9" w14:textId="5D3296D3" w:rsidR="00E245AB" w:rsidRPr="0044528D" w:rsidRDefault="00E245AB" w:rsidP="00B36561">
      <w:pPr>
        <w:spacing w:after="0"/>
        <w:ind w:left="708"/>
        <w:rPr>
          <w:rFonts w:ascii="Verdana" w:hAnsi="Verdana"/>
        </w:rPr>
      </w:pPr>
    </w:p>
    <w:sectPr w:rsidR="00E245AB" w:rsidRPr="0044528D"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9481AB" w14:textId="77777777" w:rsidR="00C01B11" w:rsidRDefault="00C01B11" w:rsidP="004A1847">
      <w:pPr>
        <w:spacing w:after="0" w:line="240" w:lineRule="auto"/>
      </w:pPr>
      <w:r>
        <w:separator/>
      </w:r>
    </w:p>
  </w:endnote>
  <w:endnote w:type="continuationSeparator" w:id="0">
    <w:p w14:paraId="0BBD6AA5" w14:textId="77777777" w:rsidR="00C01B11" w:rsidRDefault="00C01B11" w:rsidP="004A1847">
      <w:pPr>
        <w:spacing w:after="0" w:line="240" w:lineRule="auto"/>
      </w:pPr>
      <w:r>
        <w:continuationSeparator/>
      </w:r>
    </w:p>
  </w:endnote>
  <w:endnote w:type="continuationNotice" w:id="1">
    <w:p w14:paraId="2A9B9085" w14:textId="77777777" w:rsidR="00C01B11" w:rsidRDefault="00C01B1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EF3FA7" w14:textId="77777777" w:rsidR="00C01B11" w:rsidRDefault="00C01B11" w:rsidP="004A1847">
      <w:pPr>
        <w:spacing w:after="0" w:line="240" w:lineRule="auto"/>
      </w:pPr>
      <w:r>
        <w:separator/>
      </w:r>
    </w:p>
  </w:footnote>
  <w:footnote w:type="continuationSeparator" w:id="0">
    <w:p w14:paraId="393440D0" w14:textId="77777777" w:rsidR="00C01B11" w:rsidRDefault="00C01B11" w:rsidP="004A1847">
      <w:pPr>
        <w:spacing w:after="0" w:line="240" w:lineRule="auto"/>
      </w:pPr>
      <w:r>
        <w:continuationSeparator/>
      </w:r>
    </w:p>
  </w:footnote>
  <w:footnote w:type="continuationNotice" w:id="1">
    <w:p w14:paraId="412C85EF" w14:textId="77777777" w:rsidR="00C01B11" w:rsidRDefault="00C01B11">
      <w:pPr>
        <w:spacing w:after="0" w:line="240" w:lineRule="auto"/>
      </w:pPr>
    </w:p>
  </w:footnote>
  <w:footnote w:id="2">
    <w:p w14:paraId="388FA9F8" w14:textId="77777777" w:rsidR="004C0691" w:rsidRDefault="004C0691" w:rsidP="004C0691">
      <w:pPr>
        <w:pStyle w:val="Textonotapie"/>
        <w:ind w:firstLine="708"/>
        <w:contextualSpacing/>
        <w:jc w:val="both"/>
        <w:rPr>
          <w:rStyle w:val="Hipervnculo1"/>
          <w:rFonts w:ascii="Verdana" w:hAnsi="Verdana" w:cs="Arial"/>
          <w:color w:val="000000" w:themeColor="text1"/>
          <w:sz w:val="16"/>
          <w:szCs w:val="16"/>
        </w:rPr>
      </w:pPr>
      <w:r w:rsidRPr="00C02094">
        <w:rPr>
          <w:rStyle w:val="Refdenotaalpie"/>
          <w:rFonts w:ascii="Verdana" w:hAnsi="Verdana" w:cs="Arial"/>
          <w:color w:val="000000" w:themeColor="text1"/>
          <w:sz w:val="16"/>
          <w:szCs w:val="16"/>
        </w:rPr>
        <w:footnoteRef/>
      </w:r>
      <w:r w:rsidRPr="00C02094">
        <w:rPr>
          <w:rFonts w:ascii="Verdana" w:hAnsi="Verdana" w:cs="Arial"/>
          <w:color w:val="000000" w:themeColor="text1"/>
          <w:sz w:val="16"/>
          <w:szCs w:val="16"/>
        </w:rPr>
        <w:t xml:space="preserve"> Texto del Proyecto de Ley 122 de 2020 Cámara. Exposición de motivos. Consultado el 29 de diciembre de 2021 en la página web: </w:t>
      </w:r>
      <w:hyperlink r:id="rId1" w:history="1">
        <w:r w:rsidRPr="00C02094">
          <w:rPr>
            <w:rStyle w:val="Hipervnculo"/>
            <w:rFonts w:ascii="Verdana" w:hAnsi="Verdana" w:cs="Arial"/>
            <w:sz w:val="16"/>
            <w:szCs w:val="16"/>
          </w:rPr>
          <w:t>http://leyes.senado.gov.co/proyectos/index.php/textos-radicados-senado/p-ley-2020-2021/1957-proyecto-de-ley-161-de-2020</w:t>
        </w:r>
      </w:hyperlink>
      <w:r w:rsidRPr="00C02094">
        <w:rPr>
          <w:rStyle w:val="Hipervnculo1"/>
          <w:rFonts w:ascii="Verdana" w:hAnsi="Verdana" w:cs="Arial"/>
          <w:color w:val="000000" w:themeColor="text1"/>
          <w:sz w:val="16"/>
          <w:szCs w:val="16"/>
        </w:rPr>
        <w:t xml:space="preserve"> </w:t>
      </w:r>
    </w:p>
    <w:p w14:paraId="6839B583" w14:textId="77777777" w:rsidR="000C2D8B" w:rsidRPr="00C02094" w:rsidRDefault="000C2D8B" w:rsidP="004C0691">
      <w:pPr>
        <w:pStyle w:val="Textonotapie"/>
        <w:ind w:firstLine="708"/>
        <w:contextualSpacing/>
        <w:jc w:val="both"/>
        <w:rPr>
          <w:rFonts w:ascii="Verdana" w:hAnsi="Verdana" w:cs="Arial"/>
          <w:color w:val="000000" w:themeColor="text1"/>
          <w:sz w:val="16"/>
          <w:szCs w:val="16"/>
          <w:u w:val="single"/>
        </w:rPr>
      </w:pPr>
    </w:p>
  </w:footnote>
  <w:footnote w:id="3">
    <w:p w14:paraId="7A786808" w14:textId="77777777" w:rsidR="004C0691" w:rsidRDefault="004C0691" w:rsidP="004C0691">
      <w:pPr>
        <w:pStyle w:val="Textonotapie"/>
        <w:ind w:firstLine="709"/>
        <w:contextualSpacing/>
        <w:jc w:val="both"/>
        <w:rPr>
          <w:rFonts w:ascii="Verdana" w:hAnsi="Verdana" w:cs="Arial"/>
          <w:color w:val="000000" w:themeColor="text1"/>
          <w:sz w:val="16"/>
          <w:szCs w:val="16"/>
          <w:lang w:val="es-ES"/>
        </w:rPr>
      </w:pPr>
      <w:r w:rsidRPr="00C02094">
        <w:rPr>
          <w:rStyle w:val="Refdenotaalpie"/>
          <w:rFonts w:ascii="Verdana" w:hAnsi="Verdana" w:cs="Arial"/>
          <w:color w:val="000000" w:themeColor="text1"/>
          <w:sz w:val="16"/>
          <w:szCs w:val="16"/>
        </w:rPr>
        <w:footnoteRef/>
      </w:r>
      <w:r w:rsidRPr="00C02094">
        <w:rPr>
          <w:rFonts w:ascii="Verdana" w:hAnsi="Verdana" w:cs="Arial"/>
          <w:color w:val="000000" w:themeColor="text1"/>
          <w:sz w:val="16"/>
          <w:szCs w:val="16"/>
        </w:rPr>
        <w:t xml:space="preserve"> </w:t>
      </w:r>
      <w:r w:rsidRPr="00C02094">
        <w:rPr>
          <w:rFonts w:ascii="Verdana" w:hAnsi="Verdana" w:cs="Arial"/>
          <w:color w:val="000000" w:themeColor="text1"/>
          <w:sz w:val="16"/>
          <w:szCs w:val="16"/>
          <w:lang w:val="es-ES"/>
        </w:rPr>
        <w:t>Artículos 2 al 29.</w:t>
      </w:r>
    </w:p>
    <w:p w14:paraId="45E4F98F" w14:textId="77777777" w:rsidR="000C2D8B" w:rsidRPr="00C02094" w:rsidRDefault="000C2D8B" w:rsidP="004C0691">
      <w:pPr>
        <w:pStyle w:val="Textonotapie"/>
        <w:ind w:firstLine="709"/>
        <w:contextualSpacing/>
        <w:jc w:val="both"/>
        <w:rPr>
          <w:rFonts w:ascii="Verdana" w:hAnsi="Verdana" w:cs="Arial"/>
          <w:color w:val="000000" w:themeColor="text1"/>
          <w:sz w:val="16"/>
          <w:szCs w:val="16"/>
          <w:lang w:val="es-ES"/>
        </w:rPr>
      </w:pPr>
    </w:p>
  </w:footnote>
  <w:footnote w:id="4">
    <w:p w14:paraId="783BEC0B" w14:textId="77777777" w:rsidR="004C0691" w:rsidRDefault="004C0691" w:rsidP="004C0691">
      <w:pPr>
        <w:pStyle w:val="Textonotapie"/>
        <w:ind w:firstLine="709"/>
        <w:contextualSpacing/>
        <w:jc w:val="both"/>
        <w:rPr>
          <w:rFonts w:ascii="Verdana" w:hAnsi="Verdana" w:cs="Arial"/>
          <w:color w:val="000000" w:themeColor="text1"/>
          <w:sz w:val="16"/>
          <w:szCs w:val="16"/>
          <w:lang w:val="es-ES"/>
        </w:rPr>
      </w:pPr>
      <w:r w:rsidRPr="00C02094">
        <w:rPr>
          <w:rStyle w:val="Refdenotaalpie"/>
          <w:rFonts w:ascii="Verdana" w:hAnsi="Verdana" w:cs="Arial"/>
          <w:color w:val="000000" w:themeColor="text1"/>
          <w:sz w:val="16"/>
          <w:szCs w:val="16"/>
        </w:rPr>
        <w:footnoteRef/>
      </w:r>
      <w:r w:rsidRPr="00C02094">
        <w:rPr>
          <w:rFonts w:ascii="Verdana" w:hAnsi="Verdana" w:cs="Arial"/>
          <w:color w:val="000000" w:themeColor="text1"/>
          <w:sz w:val="16"/>
          <w:szCs w:val="16"/>
        </w:rPr>
        <w:t xml:space="preserve"> </w:t>
      </w:r>
      <w:r w:rsidRPr="00C02094">
        <w:rPr>
          <w:rFonts w:ascii="Verdana" w:hAnsi="Verdana" w:cs="Arial"/>
          <w:color w:val="000000" w:themeColor="text1"/>
          <w:sz w:val="16"/>
          <w:szCs w:val="16"/>
          <w:lang w:val="es-ES"/>
        </w:rPr>
        <w:t>Artículos 30 al 36.</w:t>
      </w:r>
    </w:p>
    <w:p w14:paraId="42C50C09" w14:textId="77777777" w:rsidR="000C2D8B" w:rsidRPr="00C02094" w:rsidRDefault="000C2D8B" w:rsidP="004C0691">
      <w:pPr>
        <w:pStyle w:val="Textonotapie"/>
        <w:ind w:firstLine="709"/>
        <w:contextualSpacing/>
        <w:jc w:val="both"/>
        <w:rPr>
          <w:rFonts w:ascii="Verdana" w:hAnsi="Verdana" w:cs="Arial"/>
          <w:color w:val="000000" w:themeColor="text1"/>
          <w:sz w:val="16"/>
          <w:szCs w:val="16"/>
          <w:lang w:val="es-ES"/>
        </w:rPr>
      </w:pPr>
    </w:p>
  </w:footnote>
  <w:footnote w:id="5">
    <w:p w14:paraId="2DDB6CFD" w14:textId="77777777" w:rsidR="004C0691" w:rsidRDefault="004C0691" w:rsidP="004C0691">
      <w:pPr>
        <w:pStyle w:val="Textonotapie"/>
        <w:ind w:firstLine="709"/>
        <w:contextualSpacing/>
        <w:jc w:val="both"/>
        <w:rPr>
          <w:rFonts w:ascii="Verdana" w:hAnsi="Verdana" w:cs="Arial"/>
          <w:color w:val="000000" w:themeColor="text1"/>
          <w:sz w:val="16"/>
          <w:szCs w:val="16"/>
          <w:lang w:val="es-ES"/>
        </w:rPr>
      </w:pPr>
      <w:r w:rsidRPr="00C02094">
        <w:rPr>
          <w:rStyle w:val="Refdenotaalpie"/>
          <w:rFonts w:ascii="Verdana" w:hAnsi="Verdana" w:cs="Arial"/>
          <w:color w:val="000000" w:themeColor="text1"/>
          <w:sz w:val="16"/>
          <w:szCs w:val="16"/>
        </w:rPr>
        <w:footnoteRef/>
      </w:r>
      <w:r w:rsidRPr="00C02094">
        <w:rPr>
          <w:rFonts w:ascii="Verdana" w:hAnsi="Verdana" w:cs="Arial"/>
          <w:color w:val="000000" w:themeColor="text1"/>
          <w:sz w:val="16"/>
          <w:szCs w:val="16"/>
        </w:rPr>
        <w:t xml:space="preserve"> </w:t>
      </w:r>
      <w:r w:rsidRPr="00C02094">
        <w:rPr>
          <w:rFonts w:ascii="Verdana" w:hAnsi="Verdana" w:cs="Arial"/>
          <w:color w:val="000000" w:themeColor="text1"/>
          <w:sz w:val="16"/>
          <w:szCs w:val="16"/>
          <w:lang w:val="es-ES"/>
        </w:rPr>
        <w:t>Artículos 37 al 45.</w:t>
      </w:r>
    </w:p>
    <w:p w14:paraId="649A7FA3" w14:textId="77777777" w:rsidR="000C2D8B" w:rsidRPr="00C02094" w:rsidRDefault="000C2D8B" w:rsidP="004C0691">
      <w:pPr>
        <w:pStyle w:val="Textonotapie"/>
        <w:ind w:firstLine="709"/>
        <w:contextualSpacing/>
        <w:jc w:val="both"/>
        <w:rPr>
          <w:rFonts w:ascii="Verdana" w:hAnsi="Verdana" w:cs="Arial"/>
          <w:color w:val="000000" w:themeColor="text1"/>
          <w:sz w:val="16"/>
          <w:szCs w:val="16"/>
          <w:lang w:val="es-ES"/>
        </w:rPr>
      </w:pPr>
    </w:p>
  </w:footnote>
  <w:footnote w:id="6">
    <w:p w14:paraId="55F0FDA6" w14:textId="77777777" w:rsidR="004C0691" w:rsidRDefault="004C0691" w:rsidP="004C0691">
      <w:pPr>
        <w:pStyle w:val="Textonotapie"/>
        <w:ind w:firstLine="709"/>
        <w:contextualSpacing/>
        <w:jc w:val="both"/>
        <w:rPr>
          <w:rFonts w:ascii="Verdana" w:hAnsi="Verdana" w:cs="Arial"/>
          <w:color w:val="000000" w:themeColor="text1"/>
          <w:sz w:val="16"/>
          <w:szCs w:val="16"/>
          <w:lang w:val="es-ES"/>
        </w:rPr>
      </w:pPr>
      <w:r w:rsidRPr="00C02094">
        <w:rPr>
          <w:rStyle w:val="Refdenotaalpie"/>
          <w:rFonts w:ascii="Verdana" w:hAnsi="Verdana" w:cs="Arial"/>
          <w:color w:val="000000" w:themeColor="text1"/>
          <w:sz w:val="16"/>
          <w:szCs w:val="16"/>
        </w:rPr>
        <w:footnoteRef/>
      </w:r>
      <w:r w:rsidRPr="00C02094">
        <w:rPr>
          <w:rFonts w:ascii="Verdana" w:hAnsi="Verdana" w:cs="Arial"/>
          <w:color w:val="000000" w:themeColor="text1"/>
          <w:sz w:val="16"/>
          <w:szCs w:val="16"/>
        </w:rPr>
        <w:t xml:space="preserve"> </w:t>
      </w:r>
      <w:r w:rsidRPr="00C02094">
        <w:rPr>
          <w:rFonts w:ascii="Verdana" w:hAnsi="Verdana" w:cs="Arial"/>
          <w:color w:val="000000" w:themeColor="text1"/>
          <w:sz w:val="16"/>
          <w:szCs w:val="16"/>
          <w:lang w:val="es-ES"/>
        </w:rPr>
        <w:t>Artículos 46 al 73.</w:t>
      </w:r>
    </w:p>
    <w:p w14:paraId="4FE3995C" w14:textId="77777777" w:rsidR="000C2D8B" w:rsidRPr="00C02094" w:rsidRDefault="000C2D8B" w:rsidP="004C0691">
      <w:pPr>
        <w:pStyle w:val="Textonotapie"/>
        <w:ind w:firstLine="709"/>
        <w:contextualSpacing/>
        <w:jc w:val="both"/>
        <w:rPr>
          <w:rFonts w:ascii="Verdana" w:hAnsi="Verdana" w:cs="Arial"/>
          <w:color w:val="000000" w:themeColor="text1"/>
          <w:sz w:val="16"/>
          <w:szCs w:val="16"/>
          <w:lang w:val="es-ES"/>
        </w:rPr>
      </w:pPr>
    </w:p>
  </w:footnote>
  <w:footnote w:id="7">
    <w:p w14:paraId="193FBE0C" w14:textId="77777777" w:rsidR="004C0691" w:rsidRDefault="004C0691" w:rsidP="004C0691">
      <w:pPr>
        <w:pStyle w:val="Textonotapie"/>
        <w:ind w:firstLine="709"/>
        <w:contextualSpacing/>
        <w:jc w:val="both"/>
        <w:rPr>
          <w:rFonts w:ascii="Verdana" w:hAnsi="Verdana" w:cs="Arial"/>
          <w:color w:val="000000" w:themeColor="text1"/>
          <w:sz w:val="16"/>
          <w:szCs w:val="16"/>
          <w:lang w:val="es-ES"/>
        </w:rPr>
      </w:pPr>
      <w:r w:rsidRPr="00C02094">
        <w:rPr>
          <w:rStyle w:val="Refdenotaalpie"/>
          <w:rFonts w:ascii="Verdana" w:hAnsi="Verdana" w:cs="Arial"/>
          <w:color w:val="000000" w:themeColor="text1"/>
          <w:sz w:val="16"/>
          <w:szCs w:val="16"/>
        </w:rPr>
        <w:footnoteRef/>
      </w:r>
      <w:r w:rsidRPr="00C02094">
        <w:rPr>
          <w:rFonts w:ascii="Verdana" w:hAnsi="Verdana" w:cs="Arial"/>
          <w:color w:val="000000" w:themeColor="text1"/>
          <w:sz w:val="16"/>
          <w:szCs w:val="16"/>
        </w:rPr>
        <w:t xml:space="preserve"> </w:t>
      </w:r>
      <w:r w:rsidRPr="00C02094">
        <w:rPr>
          <w:rFonts w:ascii="Verdana" w:hAnsi="Verdana" w:cs="Arial"/>
          <w:color w:val="000000" w:themeColor="text1"/>
          <w:sz w:val="16"/>
          <w:szCs w:val="16"/>
          <w:lang w:val="es-ES"/>
        </w:rPr>
        <w:t>Artículos 74 al 83.</w:t>
      </w:r>
    </w:p>
    <w:p w14:paraId="4FE63C4A" w14:textId="77777777" w:rsidR="000C2D8B" w:rsidRPr="00C02094" w:rsidRDefault="000C2D8B" w:rsidP="004C0691">
      <w:pPr>
        <w:pStyle w:val="Textonotapie"/>
        <w:ind w:firstLine="709"/>
        <w:contextualSpacing/>
        <w:jc w:val="both"/>
        <w:rPr>
          <w:rFonts w:ascii="Verdana" w:hAnsi="Verdana" w:cs="Arial"/>
          <w:color w:val="000000" w:themeColor="text1"/>
          <w:sz w:val="16"/>
          <w:szCs w:val="16"/>
          <w:lang w:val="es-ES"/>
        </w:rPr>
      </w:pPr>
    </w:p>
  </w:footnote>
  <w:footnote w:id="8">
    <w:p w14:paraId="3D6A85B0" w14:textId="77777777" w:rsidR="004C0691" w:rsidRDefault="004C0691" w:rsidP="004C0691">
      <w:pPr>
        <w:pStyle w:val="Textonotapie"/>
        <w:ind w:firstLine="709"/>
        <w:contextualSpacing/>
        <w:jc w:val="both"/>
        <w:rPr>
          <w:rFonts w:ascii="Verdana" w:hAnsi="Verdana" w:cs="Arial"/>
          <w:color w:val="000000" w:themeColor="text1"/>
          <w:sz w:val="16"/>
          <w:szCs w:val="16"/>
        </w:rPr>
      </w:pPr>
      <w:r w:rsidRPr="00C02094">
        <w:rPr>
          <w:rStyle w:val="Refdenotaalpie"/>
          <w:rFonts w:ascii="Verdana" w:hAnsi="Verdana" w:cs="Arial"/>
          <w:color w:val="000000" w:themeColor="text1"/>
          <w:sz w:val="16"/>
          <w:szCs w:val="16"/>
        </w:rPr>
        <w:footnoteRef/>
      </w:r>
      <w:r w:rsidRPr="00C02094">
        <w:rPr>
          <w:rFonts w:ascii="Verdana" w:hAnsi="Verdana" w:cs="Arial"/>
          <w:color w:val="000000" w:themeColor="text1"/>
          <w:sz w:val="16"/>
          <w:szCs w:val="16"/>
        </w:rPr>
        <w:t xml:space="preserve"> Ley 2069 de 2020 “Artículo 32. Criterios Diferenciales para Emprendimientos y Empresas de mujeres en el Sistema De Compras Públicas. De acuerdo con el resultado del análisis del sector, las entidades estatales incluirán requisitos diferenciales y puntajes adicionales en los procesos de licitación pública, selección abreviada de menor cuantía y concurso de méritos, así como en los procesos competitivos que adelanten las entidades estatales que no apliquen en su gestión contractual el Estatuto General de Contratación Administrativa, como medidas de acción afirmativa, para incentivar emprendimientos y empresas de mujeres en el sistema de compras públicas, sin perjuicio de los compromisos adquiridos por Colombia en los acuerdos comerciales en vigor.  Parágrafo primero. La definición de emprendimientos y empresas de mujeres se reglamentará por el gobierno nacional”.</w:t>
      </w:r>
    </w:p>
    <w:p w14:paraId="79C29FEE" w14:textId="77777777" w:rsidR="000C2D8B" w:rsidRPr="00C02094" w:rsidRDefault="000C2D8B" w:rsidP="004C0691">
      <w:pPr>
        <w:pStyle w:val="Textonotapie"/>
        <w:ind w:firstLine="709"/>
        <w:contextualSpacing/>
        <w:jc w:val="both"/>
        <w:rPr>
          <w:rFonts w:ascii="Verdana" w:hAnsi="Verdana" w:cs="Arial"/>
          <w:color w:val="000000" w:themeColor="text1"/>
          <w:sz w:val="16"/>
          <w:szCs w:val="16"/>
        </w:rPr>
      </w:pPr>
    </w:p>
  </w:footnote>
  <w:footnote w:id="9">
    <w:p w14:paraId="3A9774AC" w14:textId="77777777" w:rsidR="004C0691" w:rsidRDefault="004C0691" w:rsidP="004C0691">
      <w:pPr>
        <w:pStyle w:val="Textonotapie"/>
        <w:ind w:firstLine="708"/>
        <w:contextualSpacing/>
        <w:rPr>
          <w:rFonts w:ascii="Verdana" w:hAnsi="Verdana"/>
          <w:sz w:val="16"/>
          <w:szCs w:val="16"/>
          <w:lang w:val="es-CO"/>
        </w:rPr>
      </w:pPr>
      <w:r w:rsidRPr="00C02094">
        <w:rPr>
          <w:rStyle w:val="Refdenotaalpie"/>
          <w:rFonts w:ascii="Verdana" w:hAnsi="Verdana"/>
          <w:sz w:val="16"/>
          <w:szCs w:val="16"/>
        </w:rPr>
        <w:footnoteRef/>
      </w:r>
      <w:r w:rsidRPr="00C02094">
        <w:rPr>
          <w:rFonts w:ascii="Verdana" w:hAnsi="Verdana"/>
          <w:sz w:val="16"/>
          <w:szCs w:val="16"/>
        </w:rPr>
        <w:t xml:space="preserve"> Superintendencia de Sociedades. </w:t>
      </w:r>
      <w:r w:rsidRPr="00C02094">
        <w:rPr>
          <w:rFonts w:ascii="Verdana" w:hAnsi="Verdana"/>
          <w:sz w:val="16"/>
          <w:szCs w:val="16"/>
          <w:lang w:val="es-CO"/>
        </w:rPr>
        <w:t xml:space="preserve">Guía Práctica Régimen de Matrices y Subordinadas. Disponible en: </w:t>
      </w:r>
      <w:hyperlink r:id="rId2" w:history="1">
        <w:r w:rsidRPr="00C02094">
          <w:rPr>
            <w:rStyle w:val="Hipervnculo"/>
            <w:rFonts w:ascii="Verdana" w:hAnsi="Verdana"/>
            <w:sz w:val="16"/>
            <w:szCs w:val="16"/>
            <w:lang w:val="es-CO"/>
          </w:rPr>
          <w:t>https://www.supersociedades.gov.co/documents/20122/1229078/Guia-Practica-Regimen-Matrices-y-Subordinadas.pdf/6c4a9d36-224c-e72e-8bb5-eec20d380f4a?t=1654295200749</w:t>
        </w:r>
      </w:hyperlink>
      <w:r w:rsidRPr="00C02094">
        <w:rPr>
          <w:rFonts w:ascii="Verdana" w:hAnsi="Verdana"/>
          <w:sz w:val="16"/>
          <w:szCs w:val="16"/>
          <w:lang w:val="es-CO"/>
        </w:rPr>
        <w:t xml:space="preserve"> </w:t>
      </w:r>
    </w:p>
    <w:p w14:paraId="1C6D8519" w14:textId="77777777" w:rsidR="000C2D8B" w:rsidRPr="00C02094" w:rsidRDefault="000C2D8B" w:rsidP="004C0691">
      <w:pPr>
        <w:pStyle w:val="Textonotapie"/>
        <w:ind w:firstLine="708"/>
        <w:contextualSpacing/>
        <w:rPr>
          <w:rFonts w:ascii="Verdana" w:hAnsi="Verdana"/>
          <w:sz w:val="16"/>
          <w:szCs w:val="16"/>
        </w:rPr>
      </w:pPr>
    </w:p>
  </w:footnote>
  <w:footnote w:id="10">
    <w:p w14:paraId="5F63CC1D" w14:textId="77777777" w:rsidR="004C0691" w:rsidRPr="00C02094" w:rsidRDefault="004C0691" w:rsidP="004C0691">
      <w:pPr>
        <w:pStyle w:val="Textonotapie"/>
        <w:ind w:firstLine="708"/>
        <w:contextualSpacing/>
        <w:rPr>
          <w:rFonts w:ascii="Verdana" w:hAnsi="Verdana"/>
          <w:sz w:val="16"/>
          <w:szCs w:val="16"/>
        </w:rPr>
      </w:pPr>
      <w:r w:rsidRPr="00C02094">
        <w:rPr>
          <w:rStyle w:val="Refdenotaalpie"/>
          <w:rFonts w:ascii="Verdana" w:hAnsi="Verdana"/>
          <w:sz w:val="16"/>
          <w:szCs w:val="16"/>
        </w:rPr>
        <w:footnoteRef/>
      </w:r>
      <w:r w:rsidRPr="00C02094">
        <w:rPr>
          <w:rFonts w:ascii="Verdana" w:hAnsi="Verdana"/>
          <w:sz w:val="16"/>
          <w:szCs w:val="16"/>
        </w:rPr>
        <w:t xml:space="preserve">Ibidem.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1.4pt;height:11.4pt" o:bullet="t">
        <v:imagedata r:id="rId1" o:title="mso1B13"/>
      </v:shape>
    </w:pict>
  </w:numPicBullet>
  <w:abstractNum w:abstractNumId="0" w15:restartNumberingAfterBreak="0">
    <w:nsid w:val="01C06310"/>
    <w:multiLevelType w:val="multilevel"/>
    <w:tmpl w:val="F48E76D0"/>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CF64647"/>
    <w:multiLevelType w:val="hybridMultilevel"/>
    <w:tmpl w:val="A082085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 w15:restartNumberingAfterBreak="0">
    <w:nsid w:val="22362711"/>
    <w:multiLevelType w:val="hybridMultilevel"/>
    <w:tmpl w:val="ECE6E2FE"/>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88D6515"/>
    <w:multiLevelType w:val="hybridMultilevel"/>
    <w:tmpl w:val="67407C5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9C768F7"/>
    <w:multiLevelType w:val="hybridMultilevel"/>
    <w:tmpl w:val="DAC8BF0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3AC6107"/>
    <w:multiLevelType w:val="hybridMultilevel"/>
    <w:tmpl w:val="40D22840"/>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4" w15:restartNumberingAfterBreak="0">
    <w:nsid w:val="626515E4"/>
    <w:multiLevelType w:val="hybridMultilevel"/>
    <w:tmpl w:val="8B3A906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6" w15:restartNumberingAfterBreak="0">
    <w:nsid w:val="66076C83"/>
    <w:multiLevelType w:val="hybridMultilevel"/>
    <w:tmpl w:val="6C6A9D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04F451B"/>
    <w:multiLevelType w:val="hybridMultilevel"/>
    <w:tmpl w:val="A2482FFA"/>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num w:numId="1" w16cid:durableId="948779781">
    <w:abstractNumId w:val="10"/>
  </w:num>
  <w:num w:numId="2" w16cid:durableId="19822139">
    <w:abstractNumId w:val="2"/>
  </w:num>
  <w:num w:numId="3" w16cid:durableId="876742304">
    <w:abstractNumId w:val="8"/>
  </w:num>
  <w:num w:numId="4" w16cid:durableId="24518640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9"/>
  </w:num>
  <w:num w:numId="7" w16cid:durableId="1946422806">
    <w:abstractNumId w:val="9"/>
  </w:num>
  <w:num w:numId="8" w16cid:durableId="152644682">
    <w:abstractNumId w:val="18"/>
  </w:num>
  <w:num w:numId="9" w16cid:durableId="1317221377">
    <w:abstractNumId w:val="11"/>
  </w:num>
  <w:num w:numId="10" w16cid:durableId="1471245386">
    <w:abstractNumId w:val="17"/>
  </w:num>
  <w:num w:numId="11" w16cid:durableId="289172385">
    <w:abstractNumId w:val="12"/>
  </w:num>
  <w:num w:numId="12" w16cid:durableId="1470781324">
    <w:abstractNumId w:val="1"/>
  </w:num>
  <w:num w:numId="13" w16cid:durableId="1512908409">
    <w:abstractNumId w:val="5"/>
  </w:num>
  <w:num w:numId="14" w16cid:durableId="895897244">
    <w:abstractNumId w:val="20"/>
  </w:num>
  <w:num w:numId="15" w16cid:durableId="390349800">
    <w:abstractNumId w:val="15"/>
  </w:num>
  <w:num w:numId="16" w16cid:durableId="1330140246">
    <w:abstractNumId w:val="0"/>
  </w:num>
  <w:num w:numId="17" w16cid:durableId="66273114">
    <w:abstractNumId w:val="4"/>
  </w:num>
  <w:num w:numId="18" w16cid:durableId="258559934">
    <w:abstractNumId w:val="16"/>
  </w:num>
  <w:num w:numId="19" w16cid:durableId="2139764406">
    <w:abstractNumId w:val="3"/>
  </w:num>
  <w:num w:numId="20" w16cid:durableId="1619140680">
    <w:abstractNumId w:val="7"/>
  </w:num>
  <w:num w:numId="21" w16cid:durableId="1932084371">
    <w:abstractNumId w:val="21"/>
  </w:num>
  <w:num w:numId="22" w16cid:durableId="1419712614">
    <w:abstractNumId w:val="13"/>
  </w:num>
  <w:num w:numId="23" w16cid:durableId="2022704930">
    <w:abstractNumId w:val="14"/>
  </w:num>
  <w:num w:numId="24" w16cid:durableId="113692156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2F7F"/>
    <w:rsid w:val="00061B2A"/>
    <w:rsid w:val="00082362"/>
    <w:rsid w:val="000A683E"/>
    <w:rsid w:val="000B19B9"/>
    <w:rsid w:val="000C2D8B"/>
    <w:rsid w:val="000D0334"/>
    <w:rsid w:val="000F6486"/>
    <w:rsid w:val="001062C7"/>
    <w:rsid w:val="00125105"/>
    <w:rsid w:val="00127233"/>
    <w:rsid w:val="0015686B"/>
    <w:rsid w:val="00156A37"/>
    <w:rsid w:val="001B5D67"/>
    <w:rsid w:val="001E4177"/>
    <w:rsid w:val="001F7DC6"/>
    <w:rsid w:val="0020709F"/>
    <w:rsid w:val="002229FD"/>
    <w:rsid w:val="002421BB"/>
    <w:rsid w:val="002512E6"/>
    <w:rsid w:val="0025796E"/>
    <w:rsid w:val="00265FF1"/>
    <w:rsid w:val="002707A2"/>
    <w:rsid w:val="00270F25"/>
    <w:rsid w:val="002915F7"/>
    <w:rsid w:val="002951A0"/>
    <w:rsid w:val="002962BC"/>
    <w:rsid w:val="002A093D"/>
    <w:rsid w:val="002A0DD0"/>
    <w:rsid w:val="002A49AC"/>
    <w:rsid w:val="002A58FA"/>
    <w:rsid w:val="002A64FD"/>
    <w:rsid w:val="002C6EDB"/>
    <w:rsid w:val="002C7A84"/>
    <w:rsid w:val="002D7ACD"/>
    <w:rsid w:val="002E4FD9"/>
    <w:rsid w:val="00301B02"/>
    <w:rsid w:val="003202B0"/>
    <w:rsid w:val="00322A85"/>
    <w:rsid w:val="00324168"/>
    <w:rsid w:val="003448F4"/>
    <w:rsid w:val="00354270"/>
    <w:rsid w:val="003549C7"/>
    <w:rsid w:val="003604CA"/>
    <w:rsid w:val="00374F5E"/>
    <w:rsid w:val="00377E3E"/>
    <w:rsid w:val="003966C4"/>
    <w:rsid w:val="003A048D"/>
    <w:rsid w:val="003A26D1"/>
    <w:rsid w:val="003A779E"/>
    <w:rsid w:val="003D0F4D"/>
    <w:rsid w:val="003D5B0D"/>
    <w:rsid w:val="003E0499"/>
    <w:rsid w:val="003E0D5B"/>
    <w:rsid w:val="003F3941"/>
    <w:rsid w:val="00406575"/>
    <w:rsid w:val="00415231"/>
    <w:rsid w:val="00423F75"/>
    <w:rsid w:val="0042722E"/>
    <w:rsid w:val="0044528D"/>
    <w:rsid w:val="00464DB5"/>
    <w:rsid w:val="00470D13"/>
    <w:rsid w:val="00473468"/>
    <w:rsid w:val="00474475"/>
    <w:rsid w:val="004A0DF7"/>
    <w:rsid w:val="004A1847"/>
    <w:rsid w:val="004A305D"/>
    <w:rsid w:val="004C0691"/>
    <w:rsid w:val="004C1444"/>
    <w:rsid w:val="004F21C4"/>
    <w:rsid w:val="004F685F"/>
    <w:rsid w:val="005025B5"/>
    <w:rsid w:val="00536F5E"/>
    <w:rsid w:val="005564B4"/>
    <w:rsid w:val="005566E8"/>
    <w:rsid w:val="00574867"/>
    <w:rsid w:val="00591460"/>
    <w:rsid w:val="00592628"/>
    <w:rsid w:val="005A3DDB"/>
    <w:rsid w:val="005C3777"/>
    <w:rsid w:val="005C5CDC"/>
    <w:rsid w:val="005D476C"/>
    <w:rsid w:val="00610812"/>
    <w:rsid w:val="006219F8"/>
    <w:rsid w:val="00643635"/>
    <w:rsid w:val="00650FF7"/>
    <w:rsid w:val="00665D70"/>
    <w:rsid w:val="00671DAC"/>
    <w:rsid w:val="00677740"/>
    <w:rsid w:val="00677BC5"/>
    <w:rsid w:val="006900D9"/>
    <w:rsid w:val="006C452C"/>
    <w:rsid w:val="006D12F8"/>
    <w:rsid w:val="006E2954"/>
    <w:rsid w:val="006F40EE"/>
    <w:rsid w:val="00706C16"/>
    <w:rsid w:val="0071428C"/>
    <w:rsid w:val="00722C90"/>
    <w:rsid w:val="00726410"/>
    <w:rsid w:val="00756841"/>
    <w:rsid w:val="007649AB"/>
    <w:rsid w:val="00771D0C"/>
    <w:rsid w:val="00775DA5"/>
    <w:rsid w:val="007833AC"/>
    <w:rsid w:val="007923A5"/>
    <w:rsid w:val="00795C9F"/>
    <w:rsid w:val="007B268C"/>
    <w:rsid w:val="007B7171"/>
    <w:rsid w:val="007C0C0F"/>
    <w:rsid w:val="007C3DC2"/>
    <w:rsid w:val="007D038D"/>
    <w:rsid w:val="007E5497"/>
    <w:rsid w:val="00806F5F"/>
    <w:rsid w:val="00811C35"/>
    <w:rsid w:val="00820278"/>
    <w:rsid w:val="008843B6"/>
    <w:rsid w:val="00891928"/>
    <w:rsid w:val="008A446D"/>
    <w:rsid w:val="008D180B"/>
    <w:rsid w:val="008F0EA7"/>
    <w:rsid w:val="00923EEF"/>
    <w:rsid w:val="009419F9"/>
    <w:rsid w:val="0095685E"/>
    <w:rsid w:val="00961B09"/>
    <w:rsid w:val="00965334"/>
    <w:rsid w:val="0097093E"/>
    <w:rsid w:val="009A0DFA"/>
    <w:rsid w:val="009A7D9F"/>
    <w:rsid w:val="009B2D26"/>
    <w:rsid w:val="009C19C8"/>
    <w:rsid w:val="009C71FA"/>
    <w:rsid w:val="009C72E7"/>
    <w:rsid w:val="009D3058"/>
    <w:rsid w:val="009F3A13"/>
    <w:rsid w:val="00A122D3"/>
    <w:rsid w:val="00A17F13"/>
    <w:rsid w:val="00A20739"/>
    <w:rsid w:val="00A24957"/>
    <w:rsid w:val="00A33C78"/>
    <w:rsid w:val="00A4771A"/>
    <w:rsid w:val="00A6168A"/>
    <w:rsid w:val="00A97925"/>
    <w:rsid w:val="00AB0ADB"/>
    <w:rsid w:val="00AC0CA2"/>
    <w:rsid w:val="00B01B1A"/>
    <w:rsid w:val="00B2670E"/>
    <w:rsid w:val="00B36561"/>
    <w:rsid w:val="00B41186"/>
    <w:rsid w:val="00B72CD3"/>
    <w:rsid w:val="00B72FFF"/>
    <w:rsid w:val="00B9402C"/>
    <w:rsid w:val="00BC3155"/>
    <w:rsid w:val="00BC3D36"/>
    <w:rsid w:val="00BC56AD"/>
    <w:rsid w:val="00BD7F72"/>
    <w:rsid w:val="00C01B11"/>
    <w:rsid w:val="00C04FB3"/>
    <w:rsid w:val="00C330EB"/>
    <w:rsid w:val="00C37A4F"/>
    <w:rsid w:val="00C47B6C"/>
    <w:rsid w:val="00C538A4"/>
    <w:rsid w:val="00C754BE"/>
    <w:rsid w:val="00C76B1C"/>
    <w:rsid w:val="00C86DEF"/>
    <w:rsid w:val="00CB6357"/>
    <w:rsid w:val="00CC1B26"/>
    <w:rsid w:val="00CD14D0"/>
    <w:rsid w:val="00CD5441"/>
    <w:rsid w:val="00CE2E2F"/>
    <w:rsid w:val="00CF1445"/>
    <w:rsid w:val="00D423A2"/>
    <w:rsid w:val="00D46D35"/>
    <w:rsid w:val="00D520D8"/>
    <w:rsid w:val="00D63AC2"/>
    <w:rsid w:val="00D7383B"/>
    <w:rsid w:val="00D9404A"/>
    <w:rsid w:val="00DA231B"/>
    <w:rsid w:val="00DA23A0"/>
    <w:rsid w:val="00DC1E75"/>
    <w:rsid w:val="00DC39FC"/>
    <w:rsid w:val="00DF5254"/>
    <w:rsid w:val="00E10985"/>
    <w:rsid w:val="00E16408"/>
    <w:rsid w:val="00E20894"/>
    <w:rsid w:val="00E245AB"/>
    <w:rsid w:val="00E2764C"/>
    <w:rsid w:val="00E27F2E"/>
    <w:rsid w:val="00E413EA"/>
    <w:rsid w:val="00E50AFE"/>
    <w:rsid w:val="00E75C92"/>
    <w:rsid w:val="00E771DC"/>
    <w:rsid w:val="00E8772A"/>
    <w:rsid w:val="00E90F6B"/>
    <w:rsid w:val="00E92C27"/>
    <w:rsid w:val="00EA0E3D"/>
    <w:rsid w:val="00EC38A7"/>
    <w:rsid w:val="00EE1AA8"/>
    <w:rsid w:val="00F31EDC"/>
    <w:rsid w:val="00F462B3"/>
    <w:rsid w:val="00F5664F"/>
    <w:rsid w:val="00F666C4"/>
    <w:rsid w:val="00F67234"/>
    <w:rsid w:val="00F76AFC"/>
    <w:rsid w:val="00FA07B5"/>
    <w:rsid w:val="00FA47C0"/>
    <w:rsid w:val="00FB5DD1"/>
    <w:rsid w:val="00FC2B5D"/>
    <w:rsid w:val="00FC59CF"/>
    <w:rsid w:val="00FF1449"/>
    <w:rsid w:val="5CEADB7B"/>
    <w:rsid w:val="78528F4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F4E8639C-433A-4CAD-907B-C4B82BB10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4C069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C0691"/>
    <w:rPr>
      <w:rFonts w:ascii="Geomanist Light" w:hAnsi="Geomanist Light"/>
      <w:lang w:val="es-ES"/>
    </w:rPr>
  </w:style>
  <w:style w:type="character" w:customStyle="1" w:styleId="Hipervnculo1">
    <w:name w:val="Hipervínculo1"/>
    <w:basedOn w:val="Fuentedeprrafopredeter"/>
    <w:uiPriority w:val="99"/>
    <w:unhideWhenUsed/>
    <w:rsid w:val="004C0691"/>
    <w:rPr>
      <w:color w:val="F2F2F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sites%2Fcce_public%2Ffiles%2Ffiles_2020%2Fboletin_de_realtoria_iii.pdf&amp;data=05%7C02%7Cdiana.saavedra%40colombiacompra.gov.co%7C5aad36a736844ec87b2108dcc1fa4639%7C7b09041e245149d08cb179d5e3d8c1be%7C0%7C0%7C638598527919402581%7CUnknown%7CTWFpbGZsb3d8eyJWIjoiMC4wLjAwMDAiLCJQIjoiV2luMzIiLCJBTiI6Ik1haWwiLCJXVCI6Mn0%3D%7C0%7C%7C%7C&amp;sdata=BZILiaeV6pxeIU4Au6MiDpHHdo%2F8ahiTHLAWqSylEg8%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am02.safelinks.protection.outlook.com/?url=https%3A%2F%2Frelatoria.colombiacompra.gov.co%2F&amp;data=05%7C02%7Cdiana.saavedra%40colombiacompra.gov.co%7C5aad36a736844ec87b2108dcc1fa4639%7C7b09041e245149d08cb179d5e3d8c1be%7C0%7C0%7C638598527919381538%7CUnknown%7CTWFpbGZsb3d8eyJWIjoiMC4wLjAwMDAiLCJQIjoiV2luMzIiLCJBTiI6Ik1haWwiLCJXVCI6Mn0%3D%7C0%7C%7C%7C&amp;sdata=SERqhYSkJwg8ErCStGLk4AEF5F37T6rV9QxmABE7T84%3D&amp;reserved=0"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s://www.supersociedades.gov.co/documents/20122/1229078/Guia-Practica-Regimen-Matrices-y-Subordinadas.pdf/6c4a9d36-224c-e72e-8bb5-eec20d380f4a?t=1654295200749" TargetMode="External"/><Relationship Id="rId1" Type="http://schemas.openxmlformats.org/officeDocument/2006/relationships/hyperlink" Target="http://leyes.senado.gov.co/proyectos/index.php/textos-radicados-senado/p-ley-2020-2021/1957-proyecto-de-ley-161-de-202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2473E04-F91F-4AB8-9E4E-0CEF1A36E8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15</Pages>
  <Words>5011</Words>
  <Characters>27564</Characters>
  <Application>Microsoft Office Word</Application>
  <DocSecurity>0</DocSecurity>
  <Lines>229</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32510</CharactersWithSpaces>
  <SharedDoc>false</SharedDoc>
  <HLinks>
    <vt:vector size="36" baseType="variant">
      <vt:variant>
        <vt:i4>3407924</vt:i4>
      </vt:variant>
      <vt:variant>
        <vt:i4>9</vt:i4>
      </vt:variant>
      <vt:variant>
        <vt:i4>0</vt:i4>
      </vt:variant>
      <vt:variant>
        <vt:i4>5</vt:i4>
      </vt:variant>
      <vt:variant>
        <vt:lpwstr>https://nam02.safelinks.protection.outlook.com/?url=https%3A%2F%2Fwww.colombiacompra.gov.co%2Fcontent%2Fconvocatorias&amp;data=05%7C02%7Cdiana.saavedra%40colombiacompra.gov.co%7C5aad36a736844ec87b2108dcc1fa4639%7C7b09041e245149d08cb179d5e3d8c1be%7C0%7C0%7C638598527919437775%7CUnknown%7CTWFpbGZsb3d8eyJWIjoiMC4wLjAwMDAiLCJQIjoiV2luMzIiLCJBTiI6Ik1haWwiLCJXVCI6Mn0%3D%7C0%7C%7C%7C&amp;sdata=5F4DKBMEurgclHpynNYDpoZPUmSTEZqPsTnUZQrdqTc%3D&amp;reserved=0</vt:lpwstr>
      </vt:variant>
      <vt:variant>
        <vt:lpwstr/>
      </vt:variant>
      <vt:variant>
        <vt:i4>7012469</vt:i4>
      </vt:variant>
      <vt:variant>
        <vt:i4>6</vt:i4>
      </vt:variant>
      <vt:variant>
        <vt:i4>0</vt:i4>
      </vt:variant>
      <vt:variant>
        <vt:i4>5</vt:i4>
      </vt:variant>
      <vt:variant>
        <vt:lpwstr>https://nam02.safelinks.protection.outlook.com/?url=https%3A%2F%2Fwww.sucop.gov.co%2Fentidades%2Fcolombiacompra%2FNormativa%3FIDNorma%3D17363&amp;data=05%7C02%7Cdiana.saavedra%40colombiacompra.gov.co%7C5aad36a736844ec87b2108dcc1fa4639%7C7b09041e245149d08cb179d5e3d8c1be%7C0%7C0%7C638598527919420052%7CUnknown%7CTWFpbGZsb3d8eyJWIjoiMC4wLjAwMDAiLCJQIjoiV2luMzIiLCJBTiI6Ik1haWwiLCJXVCI6Mn0%3D%7C0%7C%7C%7C&amp;sdata=lT1BXAfzktrCvXgnEvwjkmKzSdEPzZQPVjh76XtinQw%3D&amp;reserved=0</vt:lpwstr>
      </vt:variant>
      <vt:variant>
        <vt:lpwstr/>
      </vt:variant>
      <vt:variant>
        <vt:i4>2752605</vt:i4>
      </vt:variant>
      <vt:variant>
        <vt:i4>3</vt:i4>
      </vt:variant>
      <vt:variant>
        <vt:i4>0</vt:i4>
      </vt:variant>
      <vt:variant>
        <vt:i4>5</vt:i4>
      </vt:variant>
      <vt:variant>
        <vt:lpwstr>https://nam02.safelinks.protection.outlook.com/?url=https%3A%2F%2Fwww.colombiacompra.gov.co%2Fsites%2Fcce_public%2Ffiles%2Ffiles_2020%2Fboletin_de_realtoria_iii.pdf&amp;data=05%7C02%7Cdiana.saavedra%40colombiacompra.gov.co%7C5aad36a736844ec87b2108dcc1fa4639%7C7b09041e245149d08cb179d5e3d8c1be%7C0%7C0%7C638598527919402581%7CUnknown%7CTWFpbGZsb3d8eyJWIjoiMC4wLjAwMDAiLCJQIjoiV2luMzIiLCJBTiI6Ik1haWwiLCJXVCI6Mn0%3D%7C0%7C%7C%7C&amp;sdata=BZILiaeV6pxeIU4Au6MiDpHHdo%2F8ahiTHLAWqSylEg8%3D&amp;reserved=0</vt:lpwstr>
      </vt:variant>
      <vt:variant>
        <vt:lpwstr/>
      </vt:variant>
      <vt:variant>
        <vt:i4>7143486</vt:i4>
      </vt:variant>
      <vt:variant>
        <vt:i4>0</vt:i4>
      </vt:variant>
      <vt:variant>
        <vt:i4>0</vt:i4>
      </vt:variant>
      <vt:variant>
        <vt:i4>5</vt:i4>
      </vt:variant>
      <vt:variant>
        <vt:lpwstr>https://nam02.safelinks.protection.outlook.com/?url=https%3A%2F%2Frelatoria.colombiacompra.gov.co%2F&amp;data=05%7C02%7Cdiana.saavedra%40colombiacompra.gov.co%7C5aad36a736844ec87b2108dcc1fa4639%7C7b09041e245149d08cb179d5e3d8c1be%7C0%7C0%7C638598527919381538%7CUnknown%7CTWFpbGZsb3d8eyJWIjoiMC4wLjAwMDAiLCJQIjoiV2luMzIiLCJBTiI6Ik1haWwiLCJXVCI6Mn0%3D%7C0%7C%7C%7C&amp;sdata=SERqhYSkJwg8ErCStGLk4AEF5F37T6rV9QxmABE7T84%3D&amp;reserved=0</vt:lpwstr>
      </vt:variant>
      <vt:variant>
        <vt:lpwstr/>
      </vt:variant>
      <vt:variant>
        <vt:i4>1769551</vt:i4>
      </vt:variant>
      <vt:variant>
        <vt:i4>3</vt:i4>
      </vt:variant>
      <vt:variant>
        <vt:i4>0</vt:i4>
      </vt:variant>
      <vt:variant>
        <vt:i4>5</vt:i4>
      </vt:variant>
      <vt:variant>
        <vt:lpwstr>https://www.supersociedades.gov.co/documents/20122/1229078/Guia-Practica-Regimen-Matrices-y-Subordinadas.pdf/6c4a9d36-224c-e72e-8bb5-eec20d380f4a?t=1654295200749</vt:lpwstr>
      </vt:variant>
      <vt:variant>
        <vt:lpwstr/>
      </vt:variant>
      <vt:variant>
        <vt:i4>2752611</vt:i4>
      </vt:variant>
      <vt:variant>
        <vt:i4>0</vt:i4>
      </vt:variant>
      <vt:variant>
        <vt:i4>0</vt:i4>
      </vt:variant>
      <vt:variant>
        <vt:i4>5</vt:i4>
      </vt:variant>
      <vt:variant>
        <vt:lpwstr>http://leyes.senado.gov.co/proyectos/index.php/textos-radicados-senado/p-ley-2020-2021/1957-proyecto-de-ley-161-de-2020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Diana Carolina Blanco Rodriguez</cp:lastModifiedBy>
  <cp:revision>7</cp:revision>
  <cp:lastPrinted>2023-01-11T00:18:00Z</cp:lastPrinted>
  <dcterms:created xsi:type="dcterms:W3CDTF">2024-09-18T14:33:00Z</dcterms:created>
  <dcterms:modified xsi:type="dcterms:W3CDTF">2025-10-10T16:23:00Z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