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23F30" w:rsidR="00BF35DB" w:rsidP="51783959" w:rsidRDefault="00BF35DB" w14:paraId="546A1A15" w14:textId="49A71B9C">
      <w:pPr>
        <w:spacing w:before="0" w:beforeAutospacing="off" w:after="0" w:afterAutospacing="off" w:line="257" w:lineRule="auto"/>
        <w:rPr>
          <w:rFonts w:ascii="Verdana" w:hAnsi="Verdana" w:eastAsia="Verdana" w:cs="Verdana"/>
          <w:noProof w:val="0"/>
          <w:sz w:val="22"/>
          <w:szCs w:val="22"/>
          <w:lang w:val="es-CO"/>
        </w:rPr>
      </w:pPr>
    </w:p>
    <w:p w:rsidRPr="00423F30" w:rsidR="00BF35DB" w:rsidP="51783959" w:rsidRDefault="00BF35DB" w14:paraId="3786B763" w14:textId="732FAB91">
      <w:pPr>
        <w:spacing w:before="0" w:beforeAutospacing="off" w:after="160" w:afterAutospacing="off" w:line="257" w:lineRule="auto"/>
        <w:jc w:val="both"/>
      </w:pPr>
      <w:r w:rsidRPr="51783959" w:rsidR="336338B1">
        <w:rPr>
          <w:rFonts w:ascii="Verdana" w:hAnsi="Verdana" w:eastAsia="Verdana" w:cs="Verdana"/>
          <w:b w:val="1"/>
          <w:bCs w:val="1"/>
          <w:noProof w:val="0"/>
          <w:color w:val="000000" w:themeColor="text1" w:themeTint="FF" w:themeShade="FF"/>
          <w:sz w:val="22"/>
          <w:szCs w:val="22"/>
          <w:lang w:val="es-CO"/>
        </w:rPr>
        <w:t>CONTRATO ESTATAL – Ejecución – Entidad pública ‒ Obligaciones documentales</w:t>
      </w:r>
    </w:p>
    <w:p w:rsidRPr="00423F30" w:rsidR="00BF35DB" w:rsidP="51783959" w:rsidRDefault="00BF35DB" w14:paraId="036B0CCE" w14:textId="001CF6B1">
      <w:pPr>
        <w:spacing w:before="0" w:beforeAutospacing="off" w:after="160" w:afterAutospacing="off" w:line="257" w:lineRule="auto"/>
        <w:jc w:val="both"/>
      </w:pPr>
      <w:r w:rsidRPr="51783959" w:rsidR="336338B1">
        <w:rPr>
          <w:rFonts w:ascii="Verdana" w:hAnsi="Verdana" w:eastAsia="Verdana" w:cs="Verdana"/>
          <w:noProof w:val="0"/>
          <w:color w:val="000000" w:themeColor="text1" w:themeTint="FF" w:themeShade="FF"/>
          <w:sz w:val="22"/>
          <w:szCs w:val="22"/>
          <w:lang w:val="es-CO"/>
        </w:rPr>
        <w:t>Durante la ejecución y después de la terminación de los contratos estatales se presentan ciertas actuaciones que la entidad estatal debe realizar por mandato legal, o que deben realizar las partes en virtud del acuerdo de voluntades. Por regla general, estas actuaciones deben estar contenidas en documentos, como por ejemplo: i) el acta de recibo final del contrato; ii) el acta de liquidación; y iii) la constancia de cierre del expediente.</w:t>
      </w:r>
    </w:p>
    <w:p w:rsidRPr="00423F30" w:rsidR="00BF35DB" w:rsidP="51783959" w:rsidRDefault="00BF35DB" w14:paraId="4DDCE6CF" w14:textId="4474B093">
      <w:pPr>
        <w:spacing w:before="0" w:beforeAutospacing="off" w:after="160" w:afterAutospacing="off" w:line="257" w:lineRule="auto"/>
        <w:jc w:val="both"/>
      </w:pPr>
      <w:r w:rsidRPr="51783959" w:rsidR="336338B1">
        <w:rPr>
          <w:rFonts w:ascii="Verdana" w:hAnsi="Verdana" w:eastAsia="Verdana" w:cs="Verdana"/>
          <w:b w:val="1"/>
          <w:bCs w:val="1"/>
          <w:noProof w:val="0"/>
          <w:color w:val="000000" w:themeColor="text1" w:themeTint="FF" w:themeShade="FF"/>
          <w:sz w:val="22"/>
          <w:szCs w:val="22"/>
          <w:lang w:val="es-CO"/>
        </w:rPr>
        <w:t>EJECUCIÓN DEL CONTRATO ‒ Contrato estatal – Cierre del expediente contractual</w:t>
      </w:r>
    </w:p>
    <w:p w:rsidRPr="00423F30" w:rsidR="00BF35DB" w:rsidP="51783959" w:rsidRDefault="00BF35DB" w14:paraId="4769474A" w14:textId="1FC3FA47">
      <w:pPr>
        <w:spacing w:before="0" w:beforeAutospacing="off" w:after="160" w:afterAutospacing="off" w:line="257" w:lineRule="auto"/>
        <w:jc w:val="both"/>
      </w:pPr>
      <w:r w:rsidRPr="51783959" w:rsidR="336338B1">
        <w:rPr>
          <w:rFonts w:ascii="Verdana" w:hAnsi="Verdana" w:eastAsia="Verdana" w:cs="Verdana"/>
          <w:noProof w:val="0"/>
          <w:color w:val="000000" w:themeColor="text1" w:themeTint="FF" w:themeShade="FF"/>
          <w:sz w:val="22"/>
          <w:szCs w:val="22"/>
          <w:lang w:val="es-CO"/>
        </w:rPr>
        <w:t>De acuerdo con el artículo 2.2.1.1.2.4.3 del Decreto 1082 de 2015, el cierre del expediente es un acto de trámite que debe realizar la entidad estatal cuando han vencido, por un lado, las garantías de calidad, estabilidad y mantenimiento, o por el otro, cuando la entidad estableció condiciones de disposición final o de recuperación ambiental de las obras o bienes.</w:t>
      </w:r>
    </w:p>
    <w:p w:rsidRPr="00423F30" w:rsidR="00BF35DB" w:rsidP="51783959" w:rsidRDefault="00BF35DB" w14:paraId="2FBF0469" w14:textId="678490AD">
      <w:pPr>
        <w:spacing w:before="0" w:beforeAutospacing="off" w:after="160" w:afterAutospacing="off" w:line="257" w:lineRule="auto"/>
        <w:jc w:val="both"/>
      </w:pPr>
      <w:r w:rsidRPr="51783959" w:rsidR="336338B1">
        <w:rPr>
          <w:rFonts w:ascii="Verdana" w:hAnsi="Verdana" w:eastAsia="Verdana" w:cs="Verdana"/>
          <w:b w:val="1"/>
          <w:bCs w:val="1"/>
          <w:noProof w:val="0"/>
          <w:color w:val="000000" w:themeColor="text1" w:themeTint="FF" w:themeShade="FF"/>
          <w:sz w:val="22"/>
          <w:szCs w:val="22"/>
          <w:lang w:val="es-CO"/>
        </w:rPr>
        <w:t xml:space="preserve">CIERRE DEL EXPEDIENTE CONTRACTUAL – Obligatoriedad  </w:t>
      </w:r>
    </w:p>
    <w:p w:rsidRPr="00423F30" w:rsidR="00BF35DB" w:rsidP="51783959" w:rsidRDefault="00BF35DB" w14:paraId="008DE57B" w14:textId="0E888169">
      <w:pPr>
        <w:spacing w:before="0" w:beforeAutospacing="off" w:after="160" w:afterAutospacing="off" w:line="257" w:lineRule="auto"/>
        <w:jc w:val="both"/>
      </w:pPr>
      <w:r w:rsidRPr="51783959" w:rsidR="336338B1">
        <w:rPr>
          <w:rFonts w:ascii="Verdana" w:hAnsi="Verdana" w:eastAsia="Verdana" w:cs="Verdana"/>
          <w:noProof w:val="0"/>
          <w:color w:val="000000" w:themeColor="text1" w:themeTint="FF" w:themeShade="FF"/>
          <w:sz w:val="22"/>
          <w:szCs w:val="22"/>
          <w:lang w:val="es-CO"/>
        </w:rPr>
        <w:t>La norma, como se dijo previamente, establece que el cierre del expediente debe llevarse a cabo únicamente en dos eventos: i) cuando la administración establece condiciones de disposición final o recuperación ambiental de las obras o bienes; o ii) una vez vencidos los términos de las garantías de calidad, estabilidad y mantenimiento. Resulta irrelevante, en consecuencia, que el contrato tenga garantías diferentes a las previstas en el artículo 2.2.1.1.2.4.3 del Decreto 1082 de 2015, así la misma se encuentre vigente, pues, se insiste, la entidad únicamente deberá hacer el cierre del expediente, cuando se vencen los términos de las garantías expresamente referidas en el mencionado artículo 2.2.1.1.2.4.3.</w:t>
      </w:r>
    </w:p>
    <w:p w:rsidRPr="00423F30" w:rsidR="00BF35DB" w:rsidP="51783959" w:rsidRDefault="00BF35DB" w14:paraId="19633787" w14:textId="26883441">
      <w:pPr>
        <w:spacing w:before="0" w:beforeAutospacing="off" w:after="160" w:afterAutospacing="off" w:line="257" w:lineRule="auto"/>
        <w:jc w:val="both"/>
      </w:pPr>
      <w:r w:rsidRPr="51783959" w:rsidR="336338B1">
        <w:rPr>
          <w:rFonts w:ascii="Verdana" w:hAnsi="Verdana" w:eastAsia="Verdana" w:cs="Verdana"/>
          <w:b w:val="1"/>
          <w:bCs w:val="1"/>
          <w:noProof w:val="0"/>
          <w:color w:val="000000" w:themeColor="text1" w:themeTint="FF" w:themeShade="FF"/>
          <w:sz w:val="22"/>
          <w:szCs w:val="22"/>
          <w:lang w:val="es-CO"/>
        </w:rPr>
        <w:t xml:space="preserve">TERMINACIÓN DEL PROCESO EN SECOP II </w:t>
      </w:r>
    </w:p>
    <w:p w:rsidRPr="00423F30" w:rsidR="00BF35DB" w:rsidP="51783959" w:rsidRDefault="00BF35DB" w14:paraId="1AA46822" w14:textId="51BE0CF8">
      <w:pPr>
        <w:spacing w:before="0" w:beforeAutospacing="off" w:after="120" w:afterAutospacing="off" w:line="276" w:lineRule="auto"/>
        <w:jc w:val="both"/>
      </w:pPr>
      <w:r w:rsidRPr="51783959" w:rsidR="336338B1">
        <w:rPr>
          <w:rFonts w:ascii="Verdana" w:hAnsi="Verdana" w:eastAsia="Verdana" w:cs="Verdana"/>
          <w:noProof w:val="0"/>
          <w:sz w:val="22"/>
          <w:szCs w:val="22"/>
          <w:lang w:val="es-CO"/>
        </w:rPr>
        <w:t xml:space="preserve">La Circular Externa Nº 002 de 2023 de la a Agencia Nacional de Contratación Pública -Colombia Compra Eficiente, frente a los cierres de los contratos en la plataforma SECOP II estableció que se debe proceder al cierre del mismo en dos escenarios 1. </w:t>
      </w:r>
      <w:r w:rsidRPr="51783959" w:rsidR="336338B1">
        <w:rPr>
          <w:rFonts w:ascii="Verdana" w:hAnsi="Verdana" w:eastAsia="Verdana" w:cs="Verdana"/>
          <w:i w:val="1"/>
          <w:iCs w:val="1"/>
          <w:noProof w:val="0"/>
          <w:sz w:val="21"/>
          <w:szCs w:val="21"/>
          <w:lang w:val="es-CO"/>
        </w:rPr>
        <w:t>Cerrar los expedientes electrónicos de los contratos que hayan  cumplido con las obligaciones post-contractuales. 2. Cerrar el expediente electrónico de los contratos de prestación de servicios y apoyos a la gestión, cuyo plazo de ejecución haya finalizado y no requiera de liquidación o no se encuentren obligaciones postcontractuales pendientes.</w:t>
      </w:r>
    </w:p>
    <w:p w:rsidRPr="00423F30" w:rsidR="00BF35DB" w:rsidP="00E245AB" w:rsidRDefault="00BF35DB" w14:paraId="7A54EEA9" w14:textId="38F3BD84">
      <w:pPr>
        <w:spacing w:after="0"/>
        <w:rPr>
          <w:rFonts w:ascii="Verdana" w:hAnsi="Verdana"/>
        </w:rPr>
      </w:pPr>
    </w:p>
    <w:p w:rsidR="3A88707B" w:rsidP="3A88707B" w:rsidRDefault="3A88707B" w14:paraId="518283DF" w14:textId="22AC37C6">
      <w:pPr>
        <w:spacing w:after="0"/>
        <w:rPr>
          <w:rFonts w:ascii="Verdana" w:hAnsi="Verdana"/>
        </w:rPr>
      </w:pPr>
    </w:p>
    <w:p w:rsidR="3A88707B" w:rsidP="3A88707B" w:rsidRDefault="3A88707B" w14:paraId="113C8274" w14:textId="64D5B32D">
      <w:pPr>
        <w:spacing w:after="0"/>
        <w:rPr>
          <w:rFonts w:ascii="Verdana" w:hAnsi="Verdana"/>
        </w:rPr>
      </w:pPr>
    </w:p>
    <w:p w:rsidR="3A88707B" w:rsidP="3A88707B" w:rsidRDefault="3A88707B" w14:paraId="0371B6B8" w14:textId="3E79EB5F">
      <w:pPr>
        <w:spacing w:after="0"/>
        <w:rPr>
          <w:rFonts w:ascii="Verdana" w:hAnsi="Verdana"/>
        </w:rPr>
      </w:pPr>
    </w:p>
    <w:p w:rsidR="3A88707B" w:rsidP="3A88707B" w:rsidRDefault="3A88707B" w14:paraId="7E30C059" w14:textId="3ACFD878">
      <w:pPr>
        <w:spacing w:after="0"/>
        <w:rPr>
          <w:rFonts w:ascii="Verdana" w:hAnsi="Verdana"/>
        </w:rPr>
      </w:pPr>
    </w:p>
    <w:p w:rsidR="3A88707B" w:rsidP="3A88707B" w:rsidRDefault="3A88707B" w14:paraId="01A59411" w14:textId="558AD5A4">
      <w:pPr>
        <w:spacing w:after="0"/>
        <w:rPr>
          <w:rFonts w:ascii="Verdana" w:hAnsi="Verdana"/>
        </w:rPr>
      </w:pPr>
      <w:bookmarkStart w:name="_Hlk143780582" w:id="0"/>
    </w:p>
    <w:p w:rsidR="00E245AB" w:rsidP="3A88707B" w:rsidRDefault="00E245AB" w14:paraId="77B52D67" w14:textId="676DF49F">
      <w:pPr>
        <w:pStyle w:val="Normal"/>
        <w:suppressLineNumbers w:val="0"/>
        <w:bidi w:val="0"/>
        <w:spacing w:before="0" w:beforeAutospacing="off" w:after="0" w:afterAutospacing="off" w:line="259" w:lineRule="auto"/>
        <w:ind w:left="0" w:right="0"/>
        <w:jc w:val="left"/>
        <w:rPr>
          <w:rFonts w:ascii="Verdana" w:hAnsi="Verdana"/>
        </w:rPr>
      </w:pPr>
      <w:r w:rsidRPr="3A88707B" w:rsidR="00E245AB">
        <w:rPr>
          <w:rFonts w:ascii="Verdana" w:hAnsi="Verdana"/>
        </w:rPr>
        <w:t xml:space="preserve">Bogotá D.C., </w:t>
      </w:r>
      <w:r w:rsidRPr="3A88707B" w:rsidR="2B5ADF44">
        <w:rPr>
          <w:rFonts w:ascii="Verdana" w:hAnsi="Verdana"/>
        </w:rPr>
        <w:t>24 de septiembre de 2024</w:t>
      </w:r>
    </w:p>
    <w:p w:rsidR="007E4284" w:rsidP="00E245AB" w:rsidRDefault="007E4284" w14:paraId="79BAB92E" w14:textId="77777777">
      <w:pPr>
        <w:spacing w:after="0"/>
        <w:rPr>
          <w:rFonts w:ascii="Verdana" w:hAnsi="Verdana"/>
        </w:rPr>
      </w:pPr>
    </w:p>
    <w:p w:rsidR="007E4284" w:rsidP="00E245AB" w:rsidRDefault="007E4284" w14:paraId="59DC7E7A" w14:textId="77777777">
      <w:pPr>
        <w:spacing w:after="0"/>
        <w:rPr>
          <w:rFonts w:ascii="Verdana" w:hAnsi="Verdana"/>
        </w:rPr>
      </w:pPr>
    </w:p>
    <w:p w:rsidRPr="00560511" w:rsidR="007E4284" w:rsidP="007E4284" w:rsidRDefault="007E4284" w14:paraId="7AED0527" w14:textId="77777777">
      <w:pPr>
        <w:spacing w:after="0" w:line="240" w:lineRule="auto"/>
        <w:jc w:val="both"/>
        <w:rPr>
          <w:rFonts w:ascii="Verdana" w:hAnsi="Verdana" w:eastAsia="Calibri" w:cs="Arial"/>
          <w:lang w:eastAsia="es-ES"/>
        </w:rPr>
      </w:pPr>
      <w:r w:rsidRPr="00560511">
        <w:rPr>
          <w:rFonts w:ascii="Verdana" w:hAnsi="Verdana" w:eastAsia="Calibri" w:cs="Arial"/>
          <w:lang w:eastAsia="es-ES"/>
        </w:rPr>
        <w:t>Señor</w:t>
      </w:r>
    </w:p>
    <w:p w:rsidRPr="00B47D12" w:rsidR="00B47D12" w:rsidP="007E4284" w:rsidRDefault="00B47D12" w14:paraId="17378E16" w14:textId="7F57C457">
      <w:pPr>
        <w:spacing w:after="0" w:line="240" w:lineRule="auto"/>
        <w:rPr>
          <w:rFonts w:ascii="Verdana" w:hAnsi="Verdana" w:eastAsia="Calibri" w:cs="Arial"/>
          <w:b/>
          <w:bCs/>
          <w:lang w:eastAsia="es-ES"/>
        </w:rPr>
      </w:pPr>
      <w:r w:rsidRPr="00B47D12">
        <w:rPr>
          <w:rFonts w:ascii="Verdana" w:hAnsi="Verdana" w:eastAsia="Calibri" w:cs="Arial"/>
          <w:b/>
          <w:bCs/>
          <w:lang w:eastAsia="es-ES"/>
        </w:rPr>
        <w:t>JORGE LUIS BARONE GONZALEZ</w:t>
      </w:r>
    </w:p>
    <w:p w:rsidR="00B47D12" w:rsidP="007E4284" w:rsidRDefault="00B47D12" w14:paraId="23D883B0" w14:textId="3A0C8A57">
      <w:pPr>
        <w:spacing w:after="0" w:line="240" w:lineRule="auto"/>
        <w:rPr>
          <w:rFonts w:ascii="Verdana" w:hAnsi="Verdana" w:eastAsia="Calibri" w:cs="Arial"/>
          <w:u w:val="single"/>
          <w:lang w:eastAsia="es-ES"/>
        </w:rPr>
      </w:pPr>
      <w:hyperlink w:history="1" r:id="rId10">
        <w:r w:rsidRPr="009961FA">
          <w:rPr>
            <w:rStyle w:val="Hipervnculo"/>
            <w:rFonts w:ascii="Verdana" w:hAnsi="Verdana" w:eastAsia="Calibri" w:cs="Arial"/>
            <w:lang w:eastAsia="es-ES"/>
          </w:rPr>
          <w:t>jbarone@hotmail.com</w:t>
        </w:r>
      </w:hyperlink>
    </w:p>
    <w:p w:rsidR="007E4284" w:rsidP="007E4284" w:rsidRDefault="007E4284" w14:paraId="1458EAD2" w14:textId="584D2D87">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00E52D84" w:rsidP="007E4284" w:rsidRDefault="00E52D84" w14:paraId="1E76F4B8" w14:textId="77777777">
      <w:pPr>
        <w:spacing w:after="0" w:line="240" w:lineRule="auto"/>
        <w:rPr>
          <w:rFonts w:ascii="Verdana" w:hAnsi="Verdana" w:eastAsia="Calibri" w:cs="Arial"/>
          <w:lang w:val="es-ES" w:eastAsia="es-ES"/>
        </w:rPr>
      </w:pPr>
    </w:p>
    <w:p w:rsidRPr="00B96799" w:rsidR="00E52D84" w:rsidP="00E52D84" w:rsidRDefault="00E52D84" w14:paraId="3E03EDD0" w14:textId="4608266E">
      <w:pPr>
        <w:spacing w:after="0" w:line="240" w:lineRule="auto"/>
        <w:jc w:val="right"/>
        <w:rPr>
          <w:rFonts w:ascii="Verdana" w:hAnsi="Verdana" w:eastAsia="Calibri" w:cs="Arial"/>
          <w:b/>
          <w:bCs/>
          <w:lang w:val="es-ES" w:eastAsia="es-ES"/>
        </w:rPr>
      </w:pPr>
      <w:r>
        <w:rPr>
          <w:rFonts w:ascii="Verdana" w:hAnsi="Verdana" w:eastAsia="Calibri" w:cs="Arial"/>
          <w:b/>
          <w:bCs/>
          <w:noProof/>
          <w:lang w:val="es-ES" w:eastAsia="es-ES"/>
        </w:rPr>
        <w:drawing>
          <wp:inline distT="0" distB="0" distL="0" distR="0" wp14:anchorId="049EDF86" wp14:editId="1B3B1E5A">
            <wp:extent cx="2733675" cy="866775"/>
            <wp:effectExtent l="0" t="0" r="9525" b="9525"/>
            <wp:docPr id="273177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66775"/>
                    </a:xfrm>
                    <a:prstGeom prst="rect">
                      <a:avLst/>
                    </a:prstGeom>
                    <a:noFill/>
                    <a:ln>
                      <a:noFill/>
                    </a:ln>
                  </pic:spPr>
                </pic:pic>
              </a:graphicData>
            </a:graphic>
          </wp:inline>
        </w:drawing>
      </w:r>
    </w:p>
    <w:p w:rsidRPr="00593A5F" w:rsidR="007E4284" w:rsidP="007E4284" w:rsidRDefault="007E4284" w14:paraId="323534CF"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804"/>
      </w:tblGrid>
      <w:tr w:rsidRPr="00593A5F" w:rsidR="007E4284" w:rsidTr="00730488" w14:paraId="7B89B37C" w14:textId="77777777">
        <w:trPr>
          <w:trHeight w:val="884"/>
        </w:trPr>
        <w:tc>
          <w:tcPr>
            <w:tcW w:w="2410" w:type="dxa"/>
          </w:tcPr>
          <w:p w:rsidRPr="00E5644F" w:rsidR="007E4284" w:rsidP="00730488" w:rsidRDefault="007E4284" w14:paraId="3E37BDB8" w14:textId="77777777">
            <w:pPr>
              <w:jc w:val="both"/>
              <w:rPr>
                <w:rFonts w:ascii="Verdana" w:hAnsi="Verdana" w:eastAsia="Calibri" w:cs="Arial"/>
                <w:b/>
                <w:bCs/>
                <w:color w:val="7030A0"/>
                <w:lang w:val="es-ES_tradnl" w:eastAsia="es-ES_tradnl"/>
              </w:rPr>
            </w:pPr>
          </w:p>
        </w:tc>
        <w:tc>
          <w:tcPr>
            <w:tcW w:w="6804" w:type="dxa"/>
          </w:tcPr>
          <w:p w:rsidRPr="00E5644F" w:rsidR="007E4284" w:rsidP="00730488" w:rsidRDefault="007E4284" w14:paraId="7B76117C" w14:textId="588C7C03">
            <w:pPr>
              <w:jc w:val="both"/>
              <w:rPr>
                <w:rFonts w:ascii="Verdana" w:hAnsi="Verdana" w:eastAsia="Calibri" w:cs="Arial"/>
                <w:b/>
                <w:bCs/>
                <w:color w:val="7030A0"/>
                <w:lang w:val="es-ES" w:eastAsia="es-ES"/>
              </w:rPr>
            </w:pPr>
            <w:r w:rsidRPr="00E5644F">
              <w:rPr>
                <w:rFonts w:ascii="Verdana" w:hAnsi="Verdana" w:eastAsia="Calibri" w:cs="Arial"/>
                <w:b/>
                <w:bCs/>
                <w:lang w:val="es-ES" w:eastAsia="es-ES"/>
              </w:rPr>
              <w:t xml:space="preserve">Concepto C- </w:t>
            </w:r>
            <w:r>
              <w:rPr>
                <w:rFonts w:ascii="Verdana" w:hAnsi="Verdana" w:eastAsia="Calibri" w:cs="Arial"/>
                <w:b/>
                <w:bCs/>
                <w:lang w:val="es-ES" w:eastAsia="es-ES"/>
              </w:rPr>
              <w:t>4</w:t>
            </w:r>
            <w:r w:rsidR="00B47D12">
              <w:rPr>
                <w:rFonts w:ascii="Verdana" w:hAnsi="Verdana" w:eastAsia="Calibri" w:cs="Arial"/>
                <w:b/>
                <w:bCs/>
                <w:lang w:val="es-ES" w:eastAsia="es-ES"/>
              </w:rPr>
              <w:t>80</w:t>
            </w:r>
            <w:r>
              <w:rPr>
                <w:rFonts w:ascii="Verdana" w:hAnsi="Verdana" w:eastAsia="Calibri" w:cs="Arial"/>
                <w:b/>
                <w:bCs/>
                <w:lang w:val="es-ES" w:eastAsia="es-ES"/>
              </w:rPr>
              <w:t xml:space="preserve"> </w:t>
            </w:r>
            <w:r w:rsidRPr="00E5644F">
              <w:rPr>
                <w:rFonts w:ascii="Verdana" w:hAnsi="Verdana" w:eastAsia="Calibri" w:cs="Arial"/>
                <w:b/>
                <w:bCs/>
                <w:lang w:val="es-ES" w:eastAsia="es-ES"/>
              </w:rPr>
              <w:t>de 2024</w:t>
            </w:r>
          </w:p>
        </w:tc>
      </w:tr>
      <w:tr w:rsidRPr="00593A5F" w:rsidR="007E4284" w:rsidTr="00730488" w14:paraId="2C0FD36D" w14:textId="77777777">
        <w:trPr>
          <w:trHeight w:val="884"/>
        </w:trPr>
        <w:tc>
          <w:tcPr>
            <w:tcW w:w="2410" w:type="dxa"/>
          </w:tcPr>
          <w:p w:rsidRPr="00593A5F" w:rsidR="007E4284" w:rsidP="00730488" w:rsidRDefault="007E4284" w14:paraId="6CB79C8C"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tcPr>
          <w:p w:rsidR="000F57DE" w:rsidP="00730488" w:rsidRDefault="00423F30" w14:paraId="0C613417" w14:textId="3266B9F9">
            <w:pPr>
              <w:spacing w:line="276" w:lineRule="auto"/>
              <w:jc w:val="both"/>
              <w:rPr>
                <w:rFonts w:ascii="Verdana" w:hAnsi="Verdana" w:eastAsia="Calibri" w:cs="Arial"/>
              </w:rPr>
            </w:pPr>
            <w:r w:rsidRPr="00423F30">
              <w:rPr>
                <w:rFonts w:ascii="Verdana" w:hAnsi="Verdana" w:eastAsia="Calibri" w:cs="Arial"/>
                <w:lang w:val="es-ES" w:eastAsia="es-ES"/>
              </w:rPr>
              <w:t>CIERRE DEL EXPEDIENTE CONTRACTUAL ― oportunidad.</w:t>
            </w:r>
            <w:r>
              <w:rPr>
                <w:rFonts w:ascii="Verdana" w:hAnsi="Verdana" w:eastAsia="Calibri" w:cs="Arial"/>
                <w:lang w:val="es-ES" w:eastAsia="es-ES"/>
              </w:rPr>
              <w:t>-Terminación del proceso en SECOP II</w:t>
            </w:r>
            <w:r w:rsidR="004F17E7">
              <w:rPr>
                <w:rFonts w:ascii="Verdana" w:hAnsi="Verdana" w:eastAsia="Calibri" w:cs="Arial"/>
                <w:lang w:val="es-ES" w:eastAsia="es-ES"/>
              </w:rPr>
              <w:t>-</w:t>
            </w:r>
            <w:r>
              <w:rPr>
                <w:rFonts w:ascii="Verdana" w:hAnsi="Verdana" w:eastAsia="Calibri" w:cs="Arial"/>
                <w:lang w:val="es-ES" w:eastAsia="es-ES"/>
              </w:rPr>
              <w:t xml:space="preserve"> </w:t>
            </w:r>
            <w:r>
              <w:rPr>
                <w:rFonts w:ascii="Verdana" w:hAnsi="Verdana" w:eastAsia="Calibri" w:cs="Arial"/>
              </w:rPr>
              <w:t>Circular Externa Nº 002 de 2023.</w:t>
            </w:r>
          </w:p>
          <w:p w:rsidRPr="00E6165F" w:rsidR="00423F30" w:rsidP="00730488" w:rsidRDefault="00423F30" w14:paraId="4D3602A2" w14:textId="4BFF7C28">
            <w:pPr>
              <w:spacing w:line="276" w:lineRule="auto"/>
              <w:jc w:val="both"/>
              <w:rPr>
                <w:rFonts w:ascii="Verdana" w:hAnsi="Verdana" w:eastAsia="Calibri" w:cs="Arial"/>
                <w:lang w:val="es-ES" w:eastAsia="es-ES"/>
              </w:rPr>
            </w:pPr>
          </w:p>
        </w:tc>
      </w:tr>
      <w:tr w:rsidRPr="00593A5F" w:rsidR="007E4284" w:rsidTr="00730488" w14:paraId="614F6563" w14:textId="77777777">
        <w:tc>
          <w:tcPr>
            <w:tcW w:w="2410" w:type="dxa"/>
          </w:tcPr>
          <w:p w:rsidRPr="006730E9" w:rsidR="007E4284" w:rsidP="00730488" w:rsidRDefault="007E4284" w14:paraId="762EB684"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tcPr>
          <w:p w:rsidRPr="006730E9" w:rsidR="007E4284" w:rsidP="00730488" w:rsidRDefault="007E4284" w14:paraId="791CCF73" w14:textId="130BC70E">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B47D12" w:rsidR="00B47D12">
              <w:rPr>
                <w:rFonts w:ascii="Verdana" w:hAnsi="Verdana" w:eastAsia="Calibri" w:cs="Arial"/>
                <w:lang w:val="es-ES_tradnl" w:eastAsia="es-ES_tradnl"/>
              </w:rPr>
              <w:t>P20240813008259</w:t>
            </w:r>
          </w:p>
        </w:tc>
      </w:tr>
    </w:tbl>
    <w:p w:rsidRPr="00593A5F" w:rsidR="007E4284" w:rsidP="007E4284" w:rsidRDefault="007E4284" w14:paraId="3DF1757C" w14:textId="77777777">
      <w:pPr>
        <w:spacing w:after="0" w:line="240" w:lineRule="auto"/>
        <w:jc w:val="both"/>
        <w:rPr>
          <w:rFonts w:ascii="Verdana" w:hAnsi="Verdana" w:eastAsia="Calibri" w:cs="Arial"/>
          <w:color w:val="000000"/>
          <w:lang w:val="es-ES_tradnl" w:eastAsia="es-ES_tradnl"/>
        </w:rPr>
      </w:pPr>
    </w:p>
    <w:p w:rsidRPr="00593A5F" w:rsidR="007E4284" w:rsidP="007E4284" w:rsidRDefault="007E4284" w14:paraId="7334ECD0" w14:textId="77777777">
      <w:pPr>
        <w:spacing w:after="0" w:line="240" w:lineRule="auto"/>
        <w:jc w:val="both"/>
        <w:rPr>
          <w:rFonts w:ascii="Verdana" w:hAnsi="Verdana" w:eastAsia="Calibri" w:cs="Arial"/>
          <w:color w:val="000000"/>
          <w:lang w:val="es-ES_tradnl" w:eastAsia="es-ES_tradnl"/>
        </w:rPr>
      </w:pPr>
    </w:p>
    <w:p w:rsidRPr="006730E9" w:rsidR="007E4284" w:rsidP="007E4284" w:rsidRDefault="007E4284" w14:paraId="506DCE70" w14:textId="4A24D2A2">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sidR="00B47D12">
        <w:rPr>
          <w:rFonts w:ascii="Verdana" w:hAnsi="Verdana" w:eastAsia="Calibri" w:cs="Arial"/>
          <w:lang w:val="es-ES" w:eastAsia="es-ES"/>
        </w:rPr>
        <w:t>Barone</w:t>
      </w:r>
      <w:r>
        <w:rPr>
          <w:rFonts w:ascii="Verdana" w:hAnsi="Verdana" w:eastAsia="Calibri" w:cs="Arial"/>
          <w:lang w:val="es-ES" w:eastAsia="es-ES"/>
        </w:rPr>
        <w:t>;</w:t>
      </w:r>
      <w:r w:rsidRPr="006730E9">
        <w:rPr>
          <w:rFonts w:ascii="Verdana" w:hAnsi="Verdana" w:eastAsia="Calibri" w:cs="Arial"/>
          <w:lang w:val="es-ES" w:eastAsia="es-ES"/>
        </w:rPr>
        <w:t xml:space="preserve"> </w:t>
      </w:r>
    </w:p>
    <w:p w:rsidR="007E4284" w:rsidP="007E4284" w:rsidRDefault="007E4284" w14:paraId="1F9587AA"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7E4284" w:rsidP="007E4284" w:rsidRDefault="007E4284" w14:paraId="46824A97" w14:textId="10E07CC0">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w:t>
      </w:r>
      <w:r>
        <w:rPr>
          <w:rFonts w:ascii="Verdana" w:hAnsi="Verdana" w:eastAsia="Calibri" w:cs="Arial"/>
          <w:lang w:val="es-ES" w:eastAsia="es-ES"/>
        </w:rPr>
        <w:t xml:space="preserve">radicada en esta entidad </w:t>
      </w:r>
      <w:r w:rsidRPr="00E5644F">
        <w:rPr>
          <w:rFonts w:ascii="Verdana" w:hAnsi="Verdana" w:eastAsia="Calibri" w:cs="Arial"/>
          <w:lang w:val="es-ES" w:eastAsia="es-ES"/>
        </w:rPr>
        <w:t xml:space="preserve">el </w:t>
      </w:r>
      <w:r w:rsidR="00B47D12">
        <w:rPr>
          <w:rFonts w:ascii="Verdana" w:hAnsi="Verdana" w:eastAsia="Calibri" w:cs="Arial"/>
          <w:lang w:val="es-ES" w:eastAsia="es-ES"/>
        </w:rPr>
        <w:t>8</w:t>
      </w:r>
      <w:r w:rsidRPr="00E5644F">
        <w:rPr>
          <w:rFonts w:ascii="Verdana" w:hAnsi="Verdana" w:eastAsia="Calibri" w:cs="Arial"/>
          <w:lang w:val="es-ES" w:eastAsia="es-ES"/>
        </w:rPr>
        <w:t xml:space="preserve"> de </w:t>
      </w:r>
      <w:r w:rsidR="009917B5">
        <w:rPr>
          <w:rFonts w:ascii="Verdana" w:hAnsi="Verdana" w:eastAsia="Calibri" w:cs="Arial"/>
          <w:lang w:val="es-ES" w:eastAsia="es-ES"/>
        </w:rPr>
        <w:t>agosto</w:t>
      </w:r>
      <w:r w:rsidRPr="00E5644F">
        <w:rPr>
          <w:rFonts w:ascii="Verdana" w:hAnsi="Verdana" w:eastAsia="Calibri" w:cs="Arial"/>
          <w:lang w:val="es-ES" w:eastAsia="es-ES"/>
        </w:rPr>
        <w:t xml:space="preserve"> de 2024, en</w:t>
      </w:r>
      <w:r w:rsidRPr="006730E9">
        <w:rPr>
          <w:rFonts w:ascii="Verdana" w:hAnsi="Verdana" w:eastAsia="Calibri" w:cs="Arial"/>
          <w:lang w:val="es-ES" w:eastAsia="es-ES"/>
        </w:rPr>
        <w:t xml:space="preserve"> la cual manifiesta lo siguiente: </w:t>
      </w:r>
    </w:p>
    <w:p w:rsidRPr="00326382" w:rsidR="007E4284" w:rsidP="007E4284" w:rsidRDefault="007E4284" w14:paraId="0F7467CA" w14:textId="77777777">
      <w:pPr>
        <w:spacing w:after="0" w:line="240" w:lineRule="auto"/>
        <w:ind w:left="709" w:right="709"/>
        <w:jc w:val="both"/>
        <w:rPr>
          <w:rFonts w:ascii="Verdana" w:hAnsi="Verdana" w:cs="Arial"/>
          <w:sz w:val="20"/>
          <w:szCs w:val="20"/>
          <w:shd w:val="clear" w:color="auto" w:fill="FFFFFF"/>
        </w:rPr>
      </w:pPr>
      <w:bookmarkStart w:name="_Hlk95313578" w:id="1"/>
    </w:p>
    <w:bookmarkEnd w:id="1"/>
    <w:p w:rsidRPr="00B47D12" w:rsidR="00B47D12" w:rsidP="00B47D12" w:rsidRDefault="007E4284" w14:paraId="153D629D" w14:textId="2F81E593">
      <w:pPr>
        <w:tabs>
          <w:tab w:val="left" w:pos="142"/>
          <w:tab w:val="left" w:pos="284"/>
        </w:tabs>
        <w:spacing w:after="0" w:line="240" w:lineRule="auto"/>
        <w:ind w:left="993" w:right="900"/>
        <w:jc w:val="both"/>
        <w:rPr>
          <w:rFonts w:ascii="Verdana" w:hAnsi="Verdana" w:eastAsia="Century Gothic" w:cs="Century Gothic"/>
          <w:i/>
          <w:iCs/>
        </w:rPr>
      </w:pPr>
      <w:r w:rsidRPr="00B47D12">
        <w:rPr>
          <w:rFonts w:ascii="Verdana" w:hAnsi="Verdana" w:eastAsia="Century Gothic" w:cs="Century Gothic"/>
          <w:i/>
          <w:iCs/>
        </w:rPr>
        <w:t xml:space="preserve">(…) </w:t>
      </w:r>
      <w:r w:rsidRPr="00B47D12" w:rsidR="00B47D12">
        <w:rPr>
          <w:rFonts w:ascii="Verdana" w:hAnsi="Verdana" w:eastAsia="Century Gothic" w:cs="Century Gothic"/>
          <w:i/>
          <w:iCs/>
        </w:rPr>
        <w:t>Se emita concepto jurídico sobre el trámite para realizar cierres contractuales en la plataforma SECOP II con pólizas de cumplimiento vigentes.(…)</w:t>
      </w:r>
    </w:p>
    <w:p w:rsidR="007E4284" w:rsidP="00B47D12" w:rsidRDefault="007E4284" w14:paraId="7A6C5D5A" w14:textId="6EFCE4B1">
      <w:pPr>
        <w:spacing w:after="0" w:line="276" w:lineRule="auto"/>
        <w:ind w:left="709" w:right="758"/>
        <w:jc w:val="both"/>
        <w:rPr>
          <w:rFonts w:ascii="Verdana" w:hAnsi="Verdana" w:eastAsia="Century Gothic" w:cs="Century Gothic"/>
          <w:i/>
          <w:iCs/>
        </w:rPr>
      </w:pPr>
    </w:p>
    <w:p w:rsidRPr="00593A5F" w:rsidR="007E4284" w:rsidP="007E4284" w:rsidRDefault="007E4284" w14:paraId="2A463E1B"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7E4284" w:rsidP="007E4284" w:rsidRDefault="007E4284" w14:paraId="63C967C0" w14:textId="77777777">
      <w:pPr>
        <w:tabs>
          <w:tab w:val="left" w:pos="426"/>
        </w:tabs>
        <w:spacing w:after="0" w:line="276" w:lineRule="auto"/>
        <w:jc w:val="both"/>
        <w:rPr>
          <w:rFonts w:ascii="Verdana" w:hAnsi="Verdana" w:eastAsia="Century Gothic" w:cs="Century Gothic"/>
          <w:lang w:val="es-ES"/>
        </w:rPr>
      </w:pPr>
    </w:p>
    <w:p w:rsidR="007E4284" w:rsidP="007E4284" w:rsidRDefault="007E4284" w14:paraId="409E17B4" w14:textId="77777777">
      <w:pPr>
        <w:spacing w:after="0" w:line="276" w:lineRule="auto"/>
        <w:jc w:val="both"/>
        <w:rPr>
          <w:rFonts w:ascii="Verdana" w:hAnsi="Verdana" w:eastAsia="Century Gothic" w:cs="Century Gothic"/>
        </w:rPr>
      </w:pPr>
      <w:r>
        <w:rPr>
          <w:rFonts w:ascii="Verdana" w:hAnsi="Verdana" w:eastAsia="Century Gothic" w:cs="Century Gothic"/>
        </w:rPr>
        <w:lastRenderedPageBreak/>
        <w:t xml:space="preserve">De acuerdo con el contenido de </w:t>
      </w:r>
      <w:r w:rsidRPr="00593A5F">
        <w:rPr>
          <w:rFonts w:ascii="Verdana" w:hAnsi="Verdana" w:eastAsia="Century Gothic" w:cs="Century Gothic"/>
        </w:rPr>
        <w:t xml:space="preserve">su solicitud, esta Agencia resolverá </w:t>
      </w:r>
      <w:r>
        <w:rPr>
          <w:rFonts w:ascii="Verdana" w:hAnsi="Verdana" w:eastAsia="Century Gothic" w:cs="Century Gothic"/>
        </w:rPr>
        <w:t>el</w:t>
      </w:r>
      <w:r w:rsidRPr="00593A5F">
        <w:rPr>
          <w:rFonts w:ascii="Verdana" w:hAnsi="Verdana" w:eastAsia="Century Gothic" w:cs="Century Gothic"/>
        </w:rPr>
        <w:t xml:space="preserve"> siguiente</w:t>
      </w:r>
      <w:r>
        <w:rPr>
          <w:rFonts w:ascii="Verdana" w:hAnsi="Verdana" w:eastAsia="Century Gothic" w:cs="Century Gothic"/>
        </w:rPr>
        <w:t xml:space="preserve"> </w:t>
      </w:r>
      <w:r w:rsidRPr="00593A5F">
        <w:rPr>
          <w:rFonts w:ascii="Verdana" w:hAnsi="Verdana" w:eastAsia="Century Gothic" w:cs="Century Gothic"/>
        </w:rPr>
        <w:t xml:space="preserve">problema jurídico: </w:t>
      </w:r>
    </w:p>
    <w:p w:rsidR="007E4284" w:rsidP="007E4284" w:rsidRDefault="007E4284" w14:paraId="0C001DE6" w14:textId="77777777">
      <w:pPr>
        <w:spacing w:after="0" w:line="276" w:lineRule="auto"/>
        <w:jc w:val="both"/>
        <w:rPr>
          <w:rFonts w:ascii="Verdana" w:hAnsi="Verdana" w:eastAsia="Century Gothic" w:cs="Century Gothic"/>
        </w:rPr>
      </w:pPr>
    </w:p>
    <w:p w:rsidR="007E4284" w:rsidP="00B47D12" w:rsidRDefault="00B47D12" w14:paraId="7B87BB4C" w14:textId="3A1B3F60">
      <w:pPr>
        <w:pStyle w:val="Prrafodelista"/>
        <w:spacing w:after="0" w:line="276" w:lineRule="auto"/>
        <w:ind w:left="993" w:right="1041"/>
        <w:jc w:val="both"/>
        <w:rPr>
          <w:rFonts w:ascii="Verdana" w:hAnsi="Verdana" w:eastAsia="Century Gothic" w:cs="Century Gothic"/>
          <w:i/>
          <w:iCs/>
          <w:lang w:val="es-CO"/>
        </w:rPr>
      </w:pPr>
      <w:r>
        <w:rPr>
          <w:rFonts w:ascii="Verdana" w:hAnsi="Verdana" w:eastAsia="Century Gothic" w:cs="Century Gothic"/>
          <w:i/>
          <w:iCs/>
          <w:lang w:val="es-CO"/>
        </w:rPr>
        <w:t>¿Es posible terminar un proceso en SECOP</w:t>
      </w:r>
      <w:r w:rsidR="009B11D2">
        <w:rPr>
          <w:rFonts w:ascii="Verdana" w:hAnsi="Verdana" w:eastAsia="Century Gothic" w:cs="Century Gothic"/>
          <w:i/>
          <w:iCs/>
          <w:lang w:val="es-CO"/>
        </w:rPr>
        <w:t xml:space="preserve"> II</w:t>
      </w:r>
      <w:r>
        <w:rPr>
          <w:rFonts w:ascii="Verdana" w:hAnsi="Verdana" w:eastAsia="Century Gothic" w:cs="Century Gothic"/>
          <w:i/>
          <w:iCs/>
          <w:lang w:val="es-CO"/>
        </w:rPr>
        <w:t xml:space="preserve"> encontrándose aún vigentes las pólizas de cumplimiento</w:t>
      </w:r>
      <w:r w:rsidRPr="00BE78A7" w:rsidR="007E4284">
        <w:rPr>
          <w:rFonts w:ascii="Verdana" w:hAnsi="Verdana" w:eastAsia="Century Gothic" w:cs="Century Gothic"/>
          <w:i/>
          <w:iCs/>
          <w:lang w:val="es-CO"/>
        </w:rPr>
        <w:t>?</w:t>
      </w:r>
    </w:p>
    <w:p w:rsidR="007E4284" w:rsidP="00B47D12" w:rsidRDefault="007E4284" w14:paraId="21293C09" w14:textId="77777777">
      <w:pPr>
        <w:pStyle w:val="Prrafodelista"/>
        <w:spacing w:after="0" w:line="276" w:lineRule="auto"/>
        <w:ind w:left="993" w:right="1041"/>
        <w:jc w:val="both"/>
        <w:rPr>
          <w:rFonts w:ascii="Verdana" w:hAnsi="Verdana" w:eastAsia="Century Gothic" w:cs="Century Gothic"/>
          <w:i/>
          <w:iCs/>
          <w:lang w:val="es-CO"/>
        </w:rPr>
      </w:pPr>
    </w:p>
    <w:p w:rsidRPr="001B53B7" w:rsidR="007E4284" w:rsidP="007E4284" w:rsidRDefault="007E4284" w14:paraId="45F0EEA0" w14:textId="77777777">
      <w:pPr>
        <w:pStyle w:val="Prrafodelista"/>
        <w:spacing w:after="0" w:line="276" w:lineRule="auto"/>
        <w:ind w:left="426" w:right="1041"/>
        <w:jc w:val="both"/>
        <w:rPr>
          <w:rFonts w:ascii="Verdana" w:hAnsi="Verdana" w:eastAsia="Calibri" w:cs="Arial"/>
          <w:color w:val="7030A0"/>
        </w:rPr>
      </w:pPr>
    </w:p>
    <w:p w:rsidRPr="00593A5F" w:rsidR="007E4284" w:rsidP="007E4284" w:rsidRDefault="007E4284" w14:paraId="46FF43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7E4284" w:rsidP="007E4284" w:rsidRDefault="007E4284" w14:paraId="49C585E9"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7E4284" w:rsidTr="00730488" w14:paraId="17A28E7E" w14:textId="77777777">
        <w:tc>
          <w:tcPr>
            <w:tcW w:w="8828" w:type="dxa"/>
            <w:shd w:val="clear" w:color="auto" w:fill="auto"/>
          </w:tcPr>
          <w:p w:rsidR="00CA4CAE" w:rsidP="00190F7D" w:rsidRDefault="00CA4CAE" w14:paraId="4C2A8478" w14:textId="7E97850F">
            <w:pPr>
              <w:spacing w:after="120" w:line="276" w:lineRule="auto"/>
              <w:jc w:val="both"/>
              <w:rPr>
                <w:rFonts w:ascii="Verdana" w:hAnsi="Verdana" w:eastAsia="Calibri" w:cs="Arial"/>
              </w:rPr>
            </w:pPr>
            <w:r>
              <w:rPr>
                <w:rFonts w:ascii="Verdana" w:hAnsi="Verdana" w:eastAsia="Calibri" w:cs="Arial"/>
              </w:rPr>
              <w:t xml:space="preserve">De manera preliminar es pertinente indicar que la </w:t>
            </w:r>
            <w:r w:rsidR="00E2573D">
              <w:rPr>
                <w:rFonts w:ascii="Verdana" w:hAnsi="Verdana" w:eastAsia="Calibri" w:cs="Arial"/>
              </w:rPr>
              <w:t>C</w:t>
            </w:r>
            <w:r>
              <w:rPr>
                <w:rFonts w:ascii="Verdana" w:hAnsi="Verdana" w:eastAsia="Calibri" w:cs="Arial"/>
              </w:rPr>
              <w:t xml:space="preserve">ircular </w:t>
            </w:r>
            <w:r w:rsidR="00E2573D">
              <w:rPr>
                <w:rFonts w:ascii="Verdana" w:hAnsi="Verdana" w:eastAsia="Calibri" w:cs="Arial"/>
              </w:rPr>
              <w:t>E</w:t>
            </w:r>
            <w:r>
              <w:rPr>
                <w:rFonts w:ascii="Verdana" w:hAnsi="Verdana" w:eastAsia="Calibri" w:cs="Arial"/>
              </w:rPr>
              <w:t xml:space="preserve">xterna Nº 002 de 2023 de la </w:t>
            </w:r>
            <w:r w:rsidRPr="00CA4CAE">
              <w:rPr>
                <w:rFonts w:ascii="Verdana" w:hAnsi="Verdana" w:eastAsia="Calibri" w:cs="Arial"/>
              </w:rPr>
              <w:t>a Agencia Nacional de Contratación Pública -Colombia Compra Eficiente</w:t>
            </w:r>
            <w:r>
              <w:rPr>
                <w:rFonts w:ascii="Verdana" w:hAnsi="Verdana" w:eastAsia="Calibri" w:cs="Arial"/>
              </w:rPr>
              <w:t>, frente a los cierres de los contratos en la plataforma SECOP II impartió las siguientes directrices:</w:t>
            </w:r>
          </w:p>
          <w:p w:rsidRPr="00CA4CAE" w:rsidR="00CA4CAE" w:rsidP="00190F7D" w:rsidRDefault="00CA4CAE" w14:paraId="14BD3145" w14:textId="7D49D43D">
            <w:pPr>
              <w:spacing w:after="120" w:line="276" w:lineRule="auto"/>
              <w:jc w:val="both"/>
              <w:rPr>
                <w:rFonts w:ascii="Verdana" w:hAnsi="Verdana" w:eastAsia="Calibri" w:cs="Arial"/>
                <w:i/>
                <w:iCs/>
                <w:sz w:val="21"/>
                <w:szCs w:val="21"/>
              </w:rPr>
            </w:pPr>
            <w:r w:rsidRPr="00CA4CAE">
              <w:rPr>
                <w:rFonts w:ascii="Verdana" w:hAnsi="Verdana" w:eastAsia="Calibri" w:cs="Arial"/>
                <w:i/>
                <w:iCs/>
                <w:sz w:val="21"/>
                <w:szCs w:val="21"/>
              </w:rPr>
              <w:t xml:space="preserve">   </w:t>
            </w:r>
            <w:r>
              <w:rPr>
                <w:rFonts w:ascii="Verdana" w:hAnsi="Verdana" w:eastAsia="Calibri" w:cs="Arial"/>
                <w:i/>
                <w:iCs/>
                <w:sz w:val="21"/>
                <w:szCs w:val="21"/>
              </w:rPr>
              <w:t xml:space="preserve">  </w:t>
            </w:r>
            <w:r w:rsidRPr="00CA4CAE">
              <w:rPr>
                <w:rFonts w:ascii="Verdana" w:hAnsi="Verdana" w:eastAsia="Calibri" w:cs="Arial"/>
                <w:i/>
                <w:iCs/>
                <w:sz w:val="21"/>
                <w:szCs w:val="21"/>
              </w:rPr>
              <w:t xml:space="preserve"> (…) </w:t>
            </w:r>
          </w:p>
          <w:p w:rsidRPr="00CA4CAE" w:rsidR="00CA4CAE" w:rsidP="00CA4CAE" w:rsidRDefault="00CA4CAE" w14:paraId="7C1C5772" w14:textId="02EA4E79">
            <w:pPr>
              <w:pStyle w:val="Prrafodelista"/>
              <w:numPr>
                <w:ilvl w:val="0"/>
                <w:numId w:val="20"/>
              </w:numPr>
              <w:spacing w:after="120" w:line="276" w:lineRule="auto"/>
              <w:ind w:right="793"/>
              <w:jc w:val="both"/>
              <w:rPr>
                <w:rFonts w:ascii="Verdana" w:hAnsi="Verdana" w:eastAsia="Calibri" w:cs="Arial"/>
                <w:i/>
                <w:iCs/>
                <w:sz w:val="21"/>
                <w:szCs w:val="21"/>
              </w:rPr>
            </w:pPr>
            <w:r w:rsidRPr="00CA4CAE">
              <w:rPr>
                <w:rFonts w:ascii="Verdana" w:hAnsi="Verdana" w:eastAsia="Calibri" w:cs="Arial"/>
                <w:i/>
                <w:iCs/>
                <w:sz w:val="21"/>
                <w:szCs w:val="21"/>
              </w:rPr>
              <w:t>Cerrar los expedientes electrónicos de los contratos que hayan  cumplido con las obligaciones post-contractuales.</w:t>
            </w:r>
          </w:p>
          <w:p w:rsidRPr="00CA4CAE" w:rsidR="00CA4CAE" w:rsidP="00CA4CAE" w:rsidRDefault="00CA4CAE" w14:paraId="2DD18978" w14:textId="77777777">
            <w:pPr>
              <w:pStyle w:val="Prrafodelista"/>
              <w:spacing w:after="120" w:line="276" w:lineRule="auto"/>
              <w:ind w:right="793"/>
              <w:jc w:val="both"/>
              <w:rPr>
                <w:rFonts w:ascii="Verdana" w:hAnsi="Verdana" w:eastAsia="Calibri" w:cs="Arial"/>
                <w:i/>
                <w:iCs/>
                <w:sz w:val="21"/>
                <w:szCs w:val="21"/>
              </w:rPr>
            </w:pPr>
          </w:p>
          <w:p w:rsidRPr="00CA4CAE" w:rsidR="00CA4CAE" w:rsidP="00CA4CAE" w:rsidRDefault="00CA4CAE" w14:paraId="26733408" w14:textId="49AFA5C6">
            <w:pPr>
              <w:pStyle w:val="Prrafodelista"/>
              <w:numPr>
                <w:ilvl w:val="0"/>
                <w:numId w:val="20"/>
              </w:numPr>
              <w:spacing w:after="120" w:line="276" w:lineRule="auto"/>
              <w:ind w:right="793"/>
              <w:jc w:val="both"/>
              <w:rPr>
                <w:rFonts w:ascii="Verdana" w:hAnsi="Verdana" w:eastAsia="Calibri" w:cs="Arial"/>
                <w:i/>
                <w:iCs/>
                <w:sz w:val="21"/>
                <w:szCs w:val="21"/>
              </w:rPr>
            </w:pPr>
            <w:r w:rsidRPr="00CA4CAE">
              <w:rPr>
                <w:rFonts w:ascii="Verdana" w:hAnsi="Verdana" w:eastAsia="Calibri" w:cs="Arial"/>
                <w:i/>
                <w:iCs/>
                <w:sz w:val="21"/>
                <w:szCs w:val="21"/>
              </w:rPr>
              <w:t>Cerrar el expediente electrónico de los contratos de prestación de servicios y apoyos a la gestión, cuyo plazo de ejecución haya finalizado y no requiera de liquidación o no se encuentren obligaciones postcontractuales pendientes</w:t>
            </w:r>
            <w:r>
              <w:rPr>
                <w:rFonts w:ascii="Verdana" w:hAnsi="Verdana" w:eastAsia="Calibri" w:cs="Arial"/>
                <w:i/>
                <w:iCs/>
                <w:sz w:val="21"/>
                <w:szCs w:val="21"/>
              </w:rPr>
              <w:t xml:space="preserve"> (…)</w:t>
            </w:r>
          </w:p>
          <w:p w:rsidR="00CA4CAE" w:rsidP="00190F7D" w:rsidRDefault="00CA4CAE" w14:paraId="3069D4A7" w14:textId="77777777">
            <w:pPr>
              <w:spacing w:after="120" w:line="276" w:lineRule="auto"/>
              <w:jc w:val="both"/>
              <w:rPr>
                <w:rFonts w:ascii="Verdana" w:hAnsi="Verdana" w:eastAsia="Calibri" w:cs="Arial"/>
              </w:rPr>
            </w:pPr>
          </w:p>
          <w:p w:rsidR="004A11AD" w:rsidP="004A11AD" w:rsidRDefault="004A11AD" w14:paraId="05A69C10" w14:textId="60C4BEC2">
            <w:pPr>
              <w:spacing w:after="120" w:line="276" w:lineRule="auto"/>
              <w:jc w:val="both"/>
              <w:rPr>
                <w:rFonts w:ascii="Verdana" w:hAnsi="Verdana" w:eastAsia="Calibri" w:cs="Arial"/>
                <w:sz w:val="21"/>
                <w:szCs w:val="21"/>
              </w:rPr>
            </w:pPr>
            <w:r>
              <w:rPr>
                <w:rFonts w:ascii="Verdana" w:hAnsi="Verdana" w:eastAsia="Calibri" w:cs="Arial"/>
              </w:rPr>
              <w:t>Asi las cosas, se podrá efectuar el cierre en la plataforma</w:t>
            </w:r>
            <w:r w:rsidRPr="00190F7D">
              <w:rPr>
                <w:rFonts w:ascii="Verdana" w:hAnsi="Verdana" w:eastAsia="Calibri" w:cs="Arial"/>
              </w:rPr>
              <w:t xml:space="preserve"> SECOP II </w:t>
            </w:r>
            <w:r w:rsidR="00E2573D">
              <w:rPr>
                <w:rFonts w:ascii="Verdana" w:hAnsi="Verdana" w:eastAsia="Calibri" w:cs="Arial"/>
              </w:rPr>
              <w:t>de los procesos que</w:t>
            </w:r>
            <w:r>
              <w:rPr>
                <w:rFonts w:ascii="Verdana" w:hAnsi="Verdana" w:eastAsia="Calibri" w:cs="Arial"/>
              </w:rPr>
              <w:t xml:space="preserve"> </w:t>
            </w:r>
            <w:r w:rsidRPr="004A11AD">
              <w:rPr>
                <w:rFonts w:ascii="Verdana" w:hAnsi="Verdana" w:eastAsia="Calibri" w:cs="Arial"/>
              </w:rPr>
              <w:t>hayan</w:t>
            </w:r>
            <w:r>
              <w:rPr>
                <w:rFonts w:ascii="Verdana" w:hAnsi="Verdana" w:eastAsia="Calibri" w:cs="Arial"/>
              </w:rPr>
              <w:t xml:space="preserve"> </w:t>
            </w:r>
            <w:r w:rsidRPr="004A11AD">
              <w:rPr>
                <w:rFonts w:ascii="Verdana" w:hAnsi="Verdana" w:eastAsia="Calibri" w:cs="Arial"/>
              </w:rPr>
              <w:t>cumplido con las obligaciones post-contractuales</w:t>
            </w:r>
            <w:r>
              <w:rPr>
                <w:rFonts w:ascii="Verdana" w:hAnsi="Verdana" w:eastAsia="Calibri" w:cs="Arial"/>
              </w:rPr>
              <w:t xml:space="preserve"> y de los contratos </w:t>
            </w:r>
            <w:r w:rsidRPr="004A11AD">
              <w:rPr>
                <w:rFonts w:ascii="Verdana" w:hAnsi="Verdana" w:eastAsia="Calibri" w:cs="Arial"/>
                <w:sz w:val="21"/>
                <w:szCs w:val="21"/>
              </w:rPr>
              <w:t>cuyo plazo de ejecución haya finalizado y no requiera de liquidación o no se encuentren obligaciones postcontractuales pendientes</w:t>
            </w:r>
            <w:r>
              <w:rPr>
                <w:rFonts w:ascii="Verdana" w:hAnsi="Verdana" w:eastAsia="Calibri" w:cs="Arial"/>
                <w:sz w:val="21"/>
                <w:szCs w:val="21"/>
              </w:rPr>
              <w:t>.</w:t>
            </w:r>
          </w:p>
          <w:p w:rsidR="004A11AD" w:rsidP="004A11AD" w:rsidRDefault="004A11AD" w14:paraId="345B8375" w14:textId="74627879">
            <w:pPr>
              <w:spacing w:after="120" w:line="276" w:lineRule="auto"/>
              <w:jc w:val="both"/>
              <w:rPr>
                <w:rFonts w:ascii="Verdana" w:hAnsi="Verdana" w:eastAsia="Calibri" w:cs="Arial"/>
              </w:rPr>
            </w:pPr>
            <w:r>
              <w:rPr>
                <w:rFonts w:ascii="Verdana" w:hAnsi="Verdana" w:eastAsia="Calibri" w:cs="Arial"/>
                <w:sz w:val="21"/>
                <w:szCs w:val="21"/>
              </w:rPr>
              <w:t>De esta manera</w:t>
            </w:r>
            <w:r w:rsidR="00E2573D">
              <w:rPr>
                <w:rFonts w:ascii="Verdana" w:hAnsi="Verdana" w:eastAsia="Calibri" w:cs="Arial"/>
                <w:sz w:val="21"/>
                <w:szCs w:val="21"/>
              </w:rPr>
              <w:t>,</w:t>
            </w:r>
            <w:r>
              <w:rPr>
                <w:rFonts w:ascii="Verdana" w:hAnsi="Verdana" w:eastAsia="Calibri" w:cs="Arial"/>
                <w:sz w:val="21"/>
                <w:szCs w:val="21"/>
              </w:rPr>
              <w:t xml:space="preserve"> el cierre del proceso en la plataforma SECOP II dependerá </w:t>
            </w:r>
            <w:r w:rsidRPr="00190F7D">
              <w:rPr>
                <w:rFonts w:ascii="Verdana" w:hAnsi="Verdana" w:eastAsia="Calibri" w:cs="Arial"/>
              </w:rPr>
              <w:t>la causal de terminación y de las disposiciones específicas del contrato</w:t>
            </w:r>
            <w:r>
              <w:rPr>
                <w:rFonts w:ascii="Verdana" w:hAnsi="Verdana" w:eastAsia="Calibri" w:cs="Arial"/>
              </w:rPr>
              <w:t>.</w:t>
            </w:r>
          </w:p>
          <w:p w:rsidR="00C614D7" w:rsidP="004A11AD" w:rsidRDefault="00C614D7" w14:paraId="136330AC" w14:textId="20101B13">
            <w:pPr>
              <w:spacing w:after="120" w:line="276" w:lineRule="auto"/>
              <w:jc w:val="both"/>
              <w:rPr>
                <w:rFonts w:ascii="Verdana" w:hAnsi="Verdana" w:eastAsia="Calibri" w:cs="Arial"/>
              </w:rPr>
            </w:pPr>
            <w:r>
              <w:rPr>
                <w:rFonts w:ascii="Verdana" w:hAnsi="Verdana" w:eastAsia="Calibri" w:cs="Arial"/>
              </w:rPr>
              <w:t xml:space="preserve">De la misma manera el </w:t>
            </w:r>
            <w:r w:rsidRPr="00C614D7">
              <w:rPr>
                <w:rFonts w:ascii="Verdana" w:hAnsi="Verdana" w:eastAsia="Calibri" w:cs="Arial"/>
              </w:rPr>
              <w:t>Artículo 2.2.1.1.2.4.3.</w:t>
            </w:r>
            <w:r>
              <w:rPr>
                <w:rFonts w:ascii="Verdana" w:hAnsi="Verdana" w:eastAsia="Calibri" w:cs="Arial"/>
              </w:rPr>
              <w:t xml:space="preserve"> del Decreto 10082 de 2015 establece que </w:t>
            </w:r>
            <w:r w:rsidRPr="001322CA">
              <w:rPr>
                <w:rFonts w:ascii="Verdana" w:hAnsi="Verdana" w:eastAsia="Calibri" w:cs="Arial"/>
              </w:rPr>
              <w:t xml:space="preserve">[…] </w:t>
            </w:r>
            <w:r w:rsidRPr="00C614D7">
              <w:rPr>
                <w:rFonts w:ascii="Verdana" w:hAnsi="Verdana" w:eastAsia="Calibri" w:cs="Arial"/>
              </w:rPr>
              <w:t>Vencidos los términos de las garantías de calidad, estabilidad y mantenimiento, o las condiciones de disposición final o recuperación ambiental de las obras o bienes, la Entidad Estatal debe dejar constancia del cierre del expediente del Proceso de Contratación.</w:t>
            </w:r>
          </w:p>
          <w:p w:rsidR="00E2573D" w:rsidP="00E2573D" w:rsidRDefault="004A11AD" w14:paraId="331EA870" w14:textId="67F75DA0">
            <w:pPr>
              <w:spacing w:after="120" w:line="276" w:lineRule="auto"/>
              <w:jc w:val="both"/>
              <w:rPr>
                <w:rFonts w:ascii="Verdana" w:hAnsi="Verdana" w:eastAsia="Calibri" w:cs="Arial"/>
              </w:rPr>
            </w:pPr>
            <w:r>
              <w:rPr>
                <w:rFonts w:ascii="Verdana" w:hAnsi="Verdana" w:eastAsia="Calibri" w:cs="Arial"/>
              </w:rPr>
              <w:t>Ahora bien</w:t>
            </w:r>
            <w:r w:rsidRPr="00190F7D">
              <w:rPr>
                <w:rFonts w:ascii="Verdana" w:hAnsi="Verdana" w:eastAsia="Calibri" w:cs="Arial"/>
              </w:rPr>
              <w:t xml:space="preserve">, las pólizas de cumplimiento son emitidas para garantizar que el contratista cumpla con sus obligaciones contractuales. Estas pólizas tienen una vigencia que usualmente excede la fecha de finalización del contrato, </w:t>
            </w:r>
            <w:r w:rsidR="00B3063B">
              <w:rPr>
                <w:rFonts w:ascii="Verdana" w:hAnsi="Verdana" w:eastAsia="Calibri" w:cs="Arial"/>
              </w:rPr>
              <w:t xml:space="preserve">esto con </w:t>
            </w:r>
            <w:r w:rsidR="00B3063B">
              <w:rPr>
                <w:rFonts w:ascii="Verdana" w:hAnsi="Verdana" w:eastAsia="Calibri" w:cs="Arial"/>
              </w:rPr>
              <w:lastRenderedPageBreak/>
              <w:t>el propósito de c</w:t>
            </w:r>
            <w:r w:rsidRPr="00190F7D">
              <w:rPr>
                <w:rFonts w:ascii="Verdana" w:hAnsi="Verdana" w:eastAsia="Calibri" w:cs="Arial"/>
              </w:rPr>
              <w:t>ubrir posibles reclamaciones o incumplimientos detectados después de la entrega final</w:t>
            </w:r>
            <w:r w:rsidR="00B3063B">
              <w:rPr>
                <w:rFonts w:ascii="Verdana" w:hAnsi="Verdana" w:eastAsia="Calibri" w:cs="Arial"/>
              </w:rPr>
              <w:t>,</w:t>
            </w:r>
            <w:r>
              <w:rPr>
                <w:rFonts w:ascii="Verdana" w:hAnsi="Verdana" w:eastAsia="Calibri" w:cs="Arial"/>
              </w:rPr>
              <w:t xml:space="preserve"> por lo que corresponderá a la entidad </w:t>
            </w:r>
            <w:r w:rsidRPr="0019683B" w:rsidR="00E2573D">
              <w:rPr>
                <w:rFonts w:ascii="Verdana" w:hAnsi="Verdana" w:eastAsia="Calibri" w:cs="Arial"/>
                <w:lang w:val="es-ES"/>
              </w:rPr>
              <w:t>en ejercicio de su competencia y previa valoración de los elementos fácticos y jurídicos asi como de las disposiciones legales anteriormente mencionadas, determinar</w:t>
            </w:r>
            <w:r w:rsidR="00E2573D">
              <w:rPr>
                <w:rFonts w:ascii="Verdana" w:hAnsi="Verdana" w:eastAsia="Calibri" w:cs="Arial"/>
                <w:lang w:val="es-ES"/>
              </w:rPr>
              <w:t xml:space="preserve"> </w:t>
            </w:r>
            <w:r w:rsidR="00B3063B">
              <w:rPr>
                <w:rFonts w:ascii="Verdana" w:hAnsi="Verdana" w:eastAsia="Calibri" w:cs="Arial"/>
                <w:lang w:val="es-ES"/>
              </w:rPr>
              <w:t>o no la viabilidad del cierre del proceso en la plataforma SECOP</w:t>
            </w:r>
            <w:r w:rsidR="00DA2589">
              <w:rPr>
                <w:rFonts w:ascii="Verdana" w:hAnsi="Verdana" w:eastAsia="Calibri" w:cs="Arial"/>
                <w:lang w:val="es-ES"/>
              </w:rPr>
              <w:t xml:space="preserve"> II</w:t>
            </w:r>
            <w:r w:rsidR="00E2573D">
              <w:rPr>
                <w:rFonts w:ascii="Verdana" w:hAnsi="Verdana" w:eastAsia="Calibri" w:cs="Arial"/>
                <w:lang w:val="es-ES"/>
              </w:rPr>
              <w:t>, lo anterior teniendo en cuenta que a</w:t>
            </w:r>
            <w:r w:rsidRPr="0019683B" w:rsidR="00E2573D">
              <w:rPr>
                <w:rFonts w:ascii="Verdana" w:hAnsi="Verdana" w:eastAsia="Calibri" w:cs="Arial"/>
                <w:lang w:val="es-ES"/>
              </w:rPr>
              <w:t>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r w:rsidR="00E2573D">
              <w:rPr>
                <w:rFonts w:ascii="Verdana" w:hAnsi="Verdana" w:eastAsia="Calibri" w:cs="Arial"/>
                <w:lang w:val="es-ES"/>
              </w:rPr>
              <w:t>.</w:t>
            </w:r>
          </w:p>
          <w:p w:rsidRPr="00593A5F" w:rsidR="00190F7D" w:rsidP="005F0E98" w:rsidRDefault="00E2573D" w14:paraId="1B25E3D8" w14:textId="5047D342">
            <w:pPr>
              <w:spacing w:after="120" w:line="276" w:lineRule="auto"/>
              <w:jc w:val="both"/>
              <w:rPr>
                <w:rFonts w:ascii="Verdana" w:hAnsi="Verdana" w:eastAsia="Calibri" w:cs="Arial"/>
                <w:color w:val="7030A0"/>
                <w:lang w:val="es-ES"/>
              </w:rPr>
            </w:pPr>
            <w:r>
              <w:rPr>
                <w:rFonts w:ascii="Verdana" w:hAnsi="Verdana" w:eastAsia="Calibri" w:cs="Arial"/>
              </w:rPr>
              <w:t>Fina</w:t>
            </w:r>
            <w:r w:rsidR="00B3063B">
              <w:rPr>
                <w:rFonts w:ascii="Verdana" w:hAnsi="Verdana" w:eastAsia="Calibri" w:cs="Arial"/>
              </w:rPr>
              <w:t>l</w:t>
            </w:r>
            <w:r>
              <w:rPr>
                <w:rFonts w:ascii="Verdana" w:hAnsi="Verdana" w:eastAsia="Calibri" w:cs="Arial"/>
              </w:rPr>
              <w:t xml:space="preserve">mente se recomienda </w:t>
            </w:r>
            <w:r w:rsidR="00B3063B">
              <w:rPr>
                <w:rFonts w:ascii="Verdana" w:hAnsi="Verdana" w:eastAsia="Calibri" w:cs="Arial"/>
              </w:rPr>
              <w:t xml:space="preserve">revisar el anexo de la Circular Externa Nº 002 de 2023 en donde se encuentran los lineamientos </w:t>
            </w:r>
            <w:r w:rsidR="005F0E98">
              <w:rPr>
                <w:rFonts w:ascii="Verdana" w:hAnsi="Verdana" w:eastAsia="Calibri" w:cs="Arial"/>
              </w:rPr>
              <w:t>técnico-funcionales</w:t>
            </w:r>
            <w:r w:rsidR="00B3063B">
              <w:rPr>
                <w:rFonts w:ascii="Verdana" w:hAnsi="Verdana" w:eastAsia="Calibri" w:cs="Arial"/>
              </w:rPr>
              <w:t xml:space="preserve"> para que las entidades estatales se procedan con el cierre de los contratos suscritos en SECOP II disponible en el siguiente enlace: </w:t>
            </w:r>
            <w:hyperlink w:history="1">
              <w:r w:rsidRPr="009961FA" w:rsidR="005F0E98">
                <w:rPr>
                  <w:rStyle w:val="Hipervnculo"/>
                  <w:rFonts w:ascii="Verdana" w:hAnsi="Verdana" w:eastAsia="Calibri" w:cs="Arial"/>
                </w:rPr>
                <w:t>https://www.colombiacompra. gov.co/content/circular-externa-no-002-de-2023-lineamientos-para-el-cierre-del-contrato-electronico-en</w:t>
              </w:r>
            </w:hyperlink>
          </w:p>
        </w:tc>
      </w:tr>
      <w:tr w:rsidRPr="00593A5F" w:rsidR="007E4284" w:rsidTr="00730488" w14:paraId="2A7558CB" w14:textId="77777777">
        <w:tc>
          <w:tcPr>
            <w:tcW w:w="8828" w:type="dxa"/>
            <w:shd w:val="clear" w:color="auto" w:fill="auto"/>
          </w:tcPr>
          <w:p w:rsidRPr="002973E9" w:rsidR="007E4284" w:rsidP="00730488" w:rsidRDefault="007E4284" w14:paraId="52413404" w14:textId="77777777">
            <w:pPr>
              <w:spacing w:line="276" w:lineRule="auto"/>
              <w:jc w:val="both"/>
              <w:rPr>
                <w:rFonts w:ascii="Verdana" w:hAnsi="Verdana" w:eastAsia="Calibri" w:cs="Arial"/>
                <w:lang w:val="es-ES"/>
              </w:rPr>
            </w:pPr>
          </w:p>
        </w:tc>
      </w:tr>
    </w:tbl>
    <w:p w:rsidR="007E4284" w:rsidP="007E4284" w:rsidRDefault="007E4284" w14:paraId="72DC2754"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E4284" w:rsidP="007E4284" w:rsidRDefault="007E4284" w14:paraId="02DDBB9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E4284" w:rsidP="007E4284" w:rsidRDefault="007E4284" w14:paraId="0F71CC33" w14:textId="77777777">
      <w:pPr>
        <w:spacing w:after="0" w:line="276" w:lineRule="auto"/>
        <w:jc w:val="both"/>
        <w:rPr>
          <w:rFonts w:ascii="Verdana" w:hAnsi="Verdana" w:eastAsia="Calibri" w:cs="Arial"/>
          <w:color w:val="7030A0"/>
          <w:lang w:val="es-ES"/>
        </w:rPr>
      </w:pPr>
    </w:p>
    <w:p w:rsidRPr="00EA0C0D" w:rsidR="00EA0C0D" w:rsidP="00EA0C0D" w:rsidRDefault="00184D7D" w14:paraId="11A01B40" w14:textId="7CEC2BD5">
      <w:pPr>
        <w:spacing w:before="120" w:line="276" w:lineRule="auto"/>
        <w:jc w:val="both"/>
        <w:rPr>
          <w:rFonts w:ascii="Verdana" w:hAnsi="Verdana" w:cs="Arial"/>
          <w:color w:val="000000" w:themeColor="text1"/>
        </w:rPr>
      </w:pPr>
      <w:r>
        <w:rPr>
          <w:rFonts w:ascii="Verdana" w:hAnsi="Verdana" w:cs="Arial"/>
          <w:color w:val="000000" w:themeColor="text1"/>
        </w:rPr>
        <w:t>D</w:t>
      </w:r>
      <w:r w:rsidRPr="00EA0C0D" w:rsidR="00EA0C0D">
        <w:rPr>
          <w:rFonts w:ascii="Verdana" w:hAnsi="Verdana" w:cs="Arial"/>
          <w:color w:val="000000" w:themeColor="text1"/>
        </w:rPr>
        <w:t>espués de la terminación del</w:t>
      </w:r>
      <w:r>
        <w:rPr>
          <w:rFonts w:ascii="Verdana" w:hAnsi="Verdana" w:cs="Arial"/>
          <w:color w:val="000000" w:themeColor="text1"/>
        </w:rPr>
        <w:t xml:space="preserve"> </w:t>
      </w:r>
      <w:r w:rsidRPr="00EA0C0D" w:rsidR="00EA0C0D">
        <w:rPr>
          <w:rFonts w:ascii="Verdana" w:hAnsi="Verdana" w:cs="Arial"/>
          <w:color w:val="000000" w:themeColor="text1"/>
        </w:rPr>
        <w:t>contrato estatal se presentan ciertas actuaciones que la entidad debe realizar por mandato legal, o que deben realizar las partes en virtud del acuerdo de voluntades.</w:t>
      </w:r>
      <w:r w:rsidRPr="00EA0C0D" w:rsidR="00EA0C0D">
        <w:rPr>
          <w:rFonts w:ascii="Verdana" w:hAnsi="Verdana"/>
          <w:color w:val="000000" w:themeColor="text1"/>
        </w:rPr>
        <w:t xml:space="preserve"> </w:t>
      </w:r>
      <w:r w:rsidRPr="00EA0C0D" w:rsidR="00EA0C0D">
        <w:rPr>
          <w:rFonts w:ascii="Verdana" w:hAnsi="Verdana" w:cs="Arial"/>
          <w:color w:val="000000" w:themeColor="text1"/>
        </w:rPr>
        <w:t xml:space="preserve">Por regla general, estas actuaciones están contenidas en documentos, </w:t>
      </w:r>
      <w:r w:rsidRPr="00EA0C0D" w:rsidR="00BB5B33">
        <w:rPr>
          <w:rFonts w:ascii="Verdana" w:hAnsi="Verdana" w:cs="Arial"/>
          <w:color w:val="000000" w:themeColor="text1"/>
        </w:rPr>
        <w:t>como,</w:t>
      </w:r>
      <w:r w:rsidRPr="00EA0C0D" w:rsidR="00EA0C0D">
        <w:rPr>
          <w:rFonts w:ascii="Verdana" w:hAnsi="Verdana" w:cs="Arial"/>
          <w:color w:val="000000" w:themeColor="text1"/>
        </w:rPr>
        <w:t xml:space="preserve"> por ejemplo: i) el acta de recibo final del contrato, ii) el acta de liquidación, y iii) la constancia de cierre del expediente. </w:t>
      </w:r>
    </w:p>
    <w:p w:rsidRPr="00EA0C0D" w:rsidR="00EA0C0D" w:rsidP="00FD5FA6" w:rsidRDefault="00EA0C0D" w14:paraId="464227D0" w14:textId="77777777">
      <w:pPr>
        <w:spacing w:before="120" w:line="276" w:lineRule="auto"/>
        <w:jc w:val="both"/>
        <w:rPr>
          <w:rFonts w:ascii="Verdana" w:hAnsi="Verdana" w:cs="Arial"/>
          <w:color w:val="000000" w:themeColor="text1"/>
        </w:rPr>
      </w:pPr>
      <w:r w:rsidRPr="00EA0C0D">
        <w:rPr>
          <w:rFonts w:ascii="Verdana" w:hAnsi="Verdana" w:cs="Arial"/>
          <w:color w:val="000000" w:themeColor="text1"/>
        </w:rPr>
        <w:t xml:space="preserve">El acta de recibo final del objeto del contrato no está regulada por las normas de contratación pública. Sin embargo, en virtud de la autonomía de la voluntad, la entidad y el contratista pueden acordar su suscripción, con el objeto de facilitar la verificación de la ejecución de las obligaciones a cargo de aquel. Este </w:t>
      </w:r>
      <w:r w:rsidRPr="00EA0C0D">
        <w:rPr>
          <w:rFonts w:ascii="Verdana" w:hAnsi="Verdana" w:cs="Arial"/>
          <w:color w:val="000000" w:themeColor="text1"/>
        </w:rPr>
        <w:lastRenderedPageBreak/>
        <w:t>documento también es útil para liquidar el contrato. La Sección Tercera del Consejo de Estado, en sentencia del 28 de febrero de 2013</w:t>
      </w:r>
      <w:r w:rsidRPr="00EA0C0D">
        <w:rPr>
          <w:rStyle w:val="Refdenotaalpie"/>
          <w:rFonts w:ascii="Verdana" w:hAnsi="Verdana" w:cs="Arial"/>
          <w:color w:val="000000" w:themeColor="text1"/>
        </w:rPr>
        <w:footnoteReference w:id="1"/>
      </w:r>
      <w:r w:rsidRPr="00EA0C0D">
        <w:rPr>
          <w:rFonts w:ascii="Verdana" w:hAnsi="Verdana" w:cs="Arial"/>
          <w:color w:val="000000" w:themeColor="text1"/>
        </w:rPr>
        <w:t>, indicó:</w:t>
      </w:r>
    </w:p>
    <w:p w:rsidRPr="00EA0C0D" w:rsidR="00EA0C0D" w:rsidP="00EA0C0D" w:rsidRDefault="00EA0C0D" w14:paraId="1C34D55C" w14:textId="17CFA775">
      <w:pPr>
        <w:tabs>
          <w:tab w:val="left" w:pos="8080"/>
        </w:tabs>
        <w:ind w:left="708" w:right="709"/>
        <w:jc w:val="both"/>
        <w:rPr>
          <w:rFonts w:ascii="Verdana" w:hAnsi="Verdana" w:cs="Arial"/>
          <w:color w:val="000000" w:themeColor="text1"/>
        </w:rPr>
      </w:pPr>
      <w:r w:rsidRPr="00EA0C0D">
        <w:rPr>
          <w:rFonts w:ascii="Verdana" w:hAnsi="Verdana" w:cs="Arial"/>
          <w:color w:val="000000" w:themeColor="text1"/>
        </w:rPr>
        <w:t>Es decir que dicha acta de recibo final es concebida como un medio de verificación de la ejecución del objeto contractual, para determinar si el mismo se efectuó cabalmente y de acuerdo con las 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p>
    <w:p w:rsidRPr="00EA0C0D" w:rsidR="00EA0C0D" w:rsidP="00EA0C0D" w:rsidRDefault="00EA0C0D" w14:paraId="77062ECA" w14:textId="77777777">
      <w:pPr>
        <w:spacing w:before="120" w:line="276" w:lineRule="auto"/>
        <w:ind w:firstLine="709"/>
        <w:jc w:val="both"/>
        <w:rPr>
          <w:rFonts w:ascii="Verdana" w:hAnsi="Verdana" w:cs="Arial"/>
          <w:color w:val="000000" w:themeColor="text1"/>
        </w:rPr>
      </w:pPr>
      <w:r w:rsidRPr="00EA0C0D">
        <w:rPr>
          <w:rFonts w:ascii="Verdana" w:hAnsi="Verdana" w:cs="Arial"/>
          <w:color w:val="000000" w:themeColor="text1"/>
        </w:rPr>
        <w:t>El acta de recibo final es un elemento accidental del contrato estatal</w:t>
      </w:r>
      <w:r w:rsidRPr="00EA0C0D">
        <w:rPr>
          <w:rStyle w:val="Refdenotaalpie"/>
          <w:rFonts w:ascii="Verdana" w:hAnsi="Verdana" w:cs="Arial"/>
          <w:color w:val="000000" w:themeColor="text1"/>
        </w:rPr>
        <w:footnoteReference w:id="2"/>
      </w:r>
      <w:r w:rsidRPr="00EA0C0D">
        <w:rPr>
          <w:rFonts w:ascii="Verdana" w:hAnsi="Verdana" w:cs="Arial"/>
          <w:color w:val="000000" w:themeColor="text1"/>
        </w:rPr>
        <w:t>, pues, de acuerdo con las cláusulas pactadas en el mismo, las partes la utilizan dentro del negocio jurídico, por un lado, para verificar la ejecución del contrato cualitativa y cuantitativamente y, por el otro, como insumo para definir las prestaciones a cargo de cada una de ellas.</w:t>
      </w:r>
    </w:p>
    <w:p w:rsidR="00EA0C0D" w:rsidP="009B11D2" w:rsidRDefault="009B11D2" w14:paraId="6314ECEE" w14:textId="20B38012">
      <w:pPr>
        <w:spacing w:before="120" w:line="276" w:lineRule="auto"/>
        <w:ind w:firstLine="708"/>
        <w:jc w:val="both"/>
        <w:rPr>
          <w:rFonts w:ascii="Verdana" w:hAnsi="Verdana" w:cs="Arial"/>
          <w:color w:val="000000" w:themeColor="text1"/>
        </w:rPr>
      </w:pPr>
      <w:r>
        <w:rPr>
          <w:rFonts w:ascii="Verdana" w:hAnsi="Verdana" w:cs="Arial"/>
          <w:color w:val="000000" w:themeColor="text1"/>
        </w:rPr>
        <w:t>Por su parte,</w:t>
      </w:r>
      <w:r w:rsidRPr="0028005C" w:rsidR="0028005C">
        <w:rPr>
          <w:rFonts w:ascii="Verdana" w:hAnsi="Verdana" w:cs="Arial"/>
          <w:color w:val="000000" w:themeColor="text1"/>
        </w:rPr>
        <w:t xml:space="preserve"> el artículo 2.2.1.1.2.4.3 del Decreto 1082 de 2015, el </w:t>
      </w:r>
      <w:r w:rsidRPr="0028005C" w:rsidR="0028005C">
        <w:rPr>
          <w:rFonts w:ascii="Verdana" w:hAnsi="Verdana" w:cs="Arial"/>
          <w:i/>
          <w:iCs/>
          <w:color w:val="000000" w:themeColor="text1"/>
        </w:rPr>
        <w:t>cierre del expediente</w:t>
      </w:r>
      <w:r w:rsidRPr="0028005C" w:rsidR="0028005C">
        <w:rPr>
          <w:rFonts w:ascii="Verdana" w:hAnsi="Verdana" w:cs="Arial"/>
          <w:color w:val="000000" w:themeColor="text1"/>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sidRPr="0028005C" w:rsidR="0028005C">
        <w:rPr>
          <w:rStyle w:val="Refdenotaalpie"/>
          <w:rFonts w:ascii="Verdana" w:hAnsi="Verdana" w:cs="Arial"/>
          <w:color w:val="000000" w:themeColor="text1"/>
        </w:rPr>
        <w:footnoteReference w:id="3"/>
      </w:r>
      <w:r w:rsidRPr="0028005C" w:rsidR="0028005C">
        <w:rPr>
          <w:rFonts w:ascii="Verdana" w:hAnsi="Verdana" w:cs="Arial"/>
          <w:color w:val="000000" w:themeColor="text1"/>
        </w:rPr>
        <w:t xml:space="preserve">. </w:t>
      </w:r>
    </w:p>
    <w:p w:rsidRPr="009B11D2" w:rsidR="009B11D2" w:rsidP="009B11D2" w:rsidRDefault="009B11D2" w14:paraId="47C64D80" w14:textId="11E1533E">
      <w:pPr>
        <w:spacing w:before="120" w:line="276" w:lineRule="auto"/>
        <w:ind w:firstLine="708"/>
        <w:jc w:val="both"/>
        <w:rPr>
          <w:rFonts w:ascii="Verdana" w:hAnsi="Verdana" w:cs="Arial"/>
          <w:color w:val="000000" w:themeColor="text1"/>
        </w:rPr>
      </w:pPr>
      <w:r>
        <w:rPr>
          <w:rFonts w:ascii="Verdana" w:hAnsi="Verdana" w:cs="Arial"/>
          <w:color w:val="000000" w:themeColor="text1"/>
        </w:rPr>
        <w:lastRenderedPageBreak/>
        <w:t xml:space="preserve">Ahora bien, teniendo en cuenta que su consulta se encuentra relacionada con la </w:t>
      </w:r>
      <w:r>
        <w:rPr>
          <w:rFonts w:ascii="Verdana" w:hAnsi="Verdana" w:eastAsia="Century Gothic" w:cs="Century Gothic"/>
        </w:rPr>
        <w:t xml:space="preserve">posibilidad de </w:t>
      </w:r>
      <w:r w:rsidRPr="009B11D2">
        <w:rPr>
          <w:rFonts w:ascii="Verdana" w:hAnsi="Verdana" w:eastAsia="Century Gothic" w:cs="Century Gothic"/>
        </w:rPr>
        <w:t>terminar un proceso en SECOP II encontrándose aún vigentes las pólizas de cumplimiento</w:t>
      </w:r>
      <w:r>
        <w:rPr>
          <w:rFonts w:ascii="Verdana" w:hAnsi="Verdana" w:cs="Arial"/>
          <w:color w:val="000000" w:themeColor="text1"/>
        </w:rPr>
        <w:t xml:space="preserve">, </w:t>
      </w:r>
      <w:r>
        <w:rPr>
          <w:rFonts w:ascii="Verdana" w:hAnsi="Verdana" w:eastAsia="Calibri" w:cs="Arial"/>
        </w:rPr>
        <w:t xml:space="preserve">es de precisar que la Circular Externa Nº 002 de 2023 de la </w:t>
      </w:r>
      <w:r w:rsidRPr="00CA4CAE">
        <w:rPr>
          <w:rFonts w:ascii="Verdana" w:hAnsi="Verdana" w:eastAsia="Calibri" w:cs="Arial"/>
        </w:rPr>
        <w:t>a Agencia Nacional de Contratación Pública -Colombia Compra Eficiente</w:t>
      </w:r>
      <w:r>
        <w:rPr>
          <w:rFonts w:ascii="Verdana" w:hAnsi="Verdana" w:eastAsia="Calibri" w:cs="Arial"/>
        </w:rPr>
        <w:t>, frente a los cierres de los contratos en la plataforma SECOP II impartió las siguientes directrices:</w:t>
      </w:r>
    </w:p>
    <w:p w:rsidRPr="00CA4CAE" w:rsidR="009B11D2" w:rsidP="009B11D2" w:rsidRDefault="009B11D2" w14:paraId="1D97FA86" w14:textId="77777777">
      <w:pPr>
        <w:spacing w:after="120" w:line="276" w:lineRule="auto"/>
        <w:jc w:val="both"/>
        <w:rPr>
          <w:rFonts w:ascii="Verdana" w:hAnsi="Verdana" w:eastAsia="Calibri" w:cs="Arial"/>
          <w:i/>
          <w:iCs/>
          <w:sz w:val="21"/>
          <w:szCs w:val="21"/>
        </w:rPr>
      </w:pPr>
      <w:r w:rsidRPr="00CA4CAE">
        <w:rPr>
          <w:rFonts w:ascii="Verdana" w:hAnsi="Verdana" w:eastAsia="Calibri" w:cs="Arial"/>
          <w:i/>
          <w:iCs/>
          <w:sz w:val="21"/>
          <w:szCs w:val="21"/>
        </w:rPr>
        <w:t xml:space="preserve">   </w:t>
      </w:r>
      <w:r>
        <w:rPr>
          <w:rFonts w:ascii="Verdana" w:hAnsi="Verdana" w:eastAsia="Calibri" w:cs="Arial"/>
          <w:i/>
          <w:iCs/>
          <w:sz w:val="21"/>
          <w:szCs w:val="21"/>
        </w:rPr>
        <w:t xml:space="preserve">  </w:t>
      </w:r>
      <w:r w:rsidRPr="00CA4CAE">
        <w:rPr>
          <w:rFonts w:ascii="Verdana" w:hAnsi="Verdana" w:eastAsia="Calibri" w:cs="Arial"/>
          <w:i/>
          <w:iCs/>
          <w:sz w:val="21"/>
          <w:szCs w:val="21"/>
        </w:rPr>
        <w:t xml:space="preserve"> (…) </w:t>
      </w:r>
    </w:p>
    <w:p w:rsidRPr="00CA4CAE" w:rsidR="009B11D2" w:rsidP="009B11D2" w:rsidRDefault="009B11D2" w14:paraId="6A72A40B" w14:textId="77777777">
      <w:pPr>
        <w:pStyle w:val="Prrafodelista"/>
        <w:numPr>
          <w:ilvl w:val="0"/>
          <w:numId w:val="21"/>
        </w:numPr>
        <w:spacing w:after="120" w:line="276" w:lineRule="auto"/>
        <w:ind w:right="793"/>
        <w:jc w:val="both"/>
        <w:rPr>
          <w:rFonts w:ascii="Verdana" w:hAnsi="Verdana" w:eastAsia="Calibri" w:cs="Arial"/>
          <w:i/>
          <w:iCs/>
          <w:sz w:val="21"/>
          <w:szCs w:val="21"/>
        </w:rPr>
      </w:pPr>
      <w:r w:rsidRPr="00CA4CAE">
        <w:rPr>
          <w:rFonts w:ascii="Verdana" w:hAnsi="Verdana" w:eastAsia="Calibri" w:cs="Arial"/>
          <w:i/>
          <w:iCs/>
          <w:sz w:val="21"/>
          <w:szCs w:val="21"/>
        </w:rPr>
        <w:t>Cerrar los expedientes electrónicos de los contratos que hayan  cumplido con las obligaciones post-contractuales.</w:t>
      </w:r>
    </w:p>
    <w:p w:rsidRPr="00CA4CAE" w:rsidR="009B11D2" w:rsidP="009B11D2" w:rsidRDefault="009B11D2" w14:paraId="4B0C3122" w14:textId="77777777">
      <w:pPr>
        <w:pStyle w:val="Prrafodelista"/>
        <w:spacing w:after="120" w:line="276" w:lineRule="auto"/>
        <w:ind w:right="793"/>
        <w:jc w:val="both"/>
        <w:rPr>
          <w:rFonts w:ascii="Verdana" w:hAnsi="Verdana" w:eastAsia="Calibri" w:cs="Arial"/>
          <w:i/>
          <w:iCs/>
          <w:sz w:val="21"/>
          <w:szCs w:val="21"/>
        </w:rPr>
      </w:pPr>
    </w:p>
    <w:p w:rsidRPr="00CA4CAE" w:rsidR="009B11D2" w:rsidP="009B11D2" w:rsidRDefault="009B11D2" w14:paraId="2DC5B7D9" w14:textId="77777777">
      <w:pPr>
        <w:pStyle w:val="Prrafodelista"/>
        <w:numPr>
          <w:ilvl w:val="0"/>
          <w:numId w:val="21"/>
        </w:numPr>
        <w:spacing w:after="120" w:line="276" w:lineRule="auto"/>
        <w:ind w:right="793"/>
        <w:jc w:val="both"/>
        <w:rPr>
          <w:rFonts w:ascii="Verdana" w:hAnsi="Verdana" w:eastAsia="Calibri" w:cs="Arial"/>
          <w:i/>
          <w:iCs/>
          <w:sz w:val="21"/>
          <w:szCs w:val="21"/>
        </w:rPr>
      </w:pPr>
      <w:r w:rsidRPr="00CA4CAE">
        <w:rPr>
          <w:rFonts w:ascii="Verdana" w:hAnsi="Verdana" w:eastAsia="Calibri" w:cs="Arial"/>
          <w:i/>
          <w:iCs/>
          <w:sz w:val="21"/>
          <w:szCs w:val="21"/>
        </w:rPr>
        <w:t>Cerrar el expediente electrónico de los contratos de prestación de servicios y apoyos a la gestión, cuyo plazo de ejecución haya finalizado y no requiera de liquidación o no se encuentren obligaciones postcontractuales pendientes</w:t>
      </w:r>
      <w:r>
        <w:rPr>
          <w:rFonts w:ascii="Verdana" w:hAnsi="Verdana" w:eastAsia="Calibri" w:cs="Arial"/>
          <w:i/>
          <w:iCs/>
          <w:sz w:val="21"/>
          <w:szCs w:val="21"/>
        </w:rPr>
        <w:t xml:space="preserve"> (…)</w:t>
      </w:r>
    </w:p>
    <w:p w:rsidRPr="00356BE2" w:rsidR="00356BE2" w:rsidP="00356BE2" w:rsidRDefault="00356BE2" w14:paraId="4B5716BA" w14:textId="01F33EB8">
      <w:pPr>
        <w:spacing w:after="120" w:line="276" w:lineRule="auto"/>
        <w:jc w:val="both"/>
        <w:rPr>
          <w:rFonts w:ascii="Verdana" w:hAnsi="Verdana" w:eastAsia="Calibri" w:cs="Arial"/>
          <w:sz w:val="21"/>
          <w:szCs w:val="21"/>
        </w:rPr>
      </w:pPr>
      <w:r>
        <w:rPr>
          <w:rFonts w:ascii="Verdana" w:hAnsi="Verdana" w:eastAsia="Calibri" w:cs="Arial"/>
        </w:rPr>
        <w:t>De esta manera, se podrá efectuar el cierre en la plataforma</w:t>
      </w:r>
      <w:r w:rsidRPr="00190F7D">
        <w:rPr>
          <w:rFonts w:ascii="Verdana" w:hAnsi="Verdana" w:eastAsia="Calibri" w:cs="Arial"/>
        </w:rPr>
        <w:t xml:space="preserve"> SECOP II </w:t>
      </w:r>
      <w:r>
        <w:rPr>
          <w:rFonts w:ascii="Verdana" w:hAnsi="Verdana" w:eastAsia="Calibri" w:cs="Arial"/>
        </w:rPr>
        <w:t xml:space="preserve">de los procesos que </w:t>
      </w:r>
      <w:r w:rsidRPr="004A11AD">
        <w:rPr>
          <w:rFonts w:ascii="Verdana" w:hAnsi="Verdana" w:eastAsia="Calibri" w:cs="Arial"/>
        </w:rPr>
        <w:t>hayan</w:t>
      </w:r>
      <w:r>
        <w:rPr>
          <w:rFonts w:ascii="Verdana" w:hAnsi="Verdana" w:eastAsia="Calibri" w:cs="Arial"/>
        </w:rPr>
        <w:t xml:space="preserve"> </w:t>
      </w:r>
      <w:r w:rsidRPr="004A11AD">
        <w:rPr>
          <w:rFonts w:ascii="Verdana" w:hAnsi="Verdana" w:eastAsia="Calibri" w:cs="Arial"/>
        </w:rPr>
        <w:t>cumplido con las obligaciones post-contractuales</w:t>
      </w:r>
      <w:r>
        <w:rPr>
          <w:rFonts w:ascii="Verdana" w:hAnsi="Verdana" w:eastAsia="Calibri" w:cs="Arial"/>
        </w:rPr>
        <w:t xml:space="preserve"> y de los contratos </w:t>
      </w:r>
      <w:r w:rsidRPr="004A11AD">
        <w:rPr>
          <w:rFonts w:ascii="Verdana" w:hAnsi="Verdana" w:eastAsia="Calibri" w:cs="Arial"/>
          <w:sz w:val="21"/>
          <w:szCs w:val="21"/>
        </w:rPr>
        <w:t>cuyo plazo de ejecución haya finalizado y no requiera de liquidación o no se encuentren obligaciones postcontractuales pendientes</w:t>
      </w:r>
      <w:r>
        <w:rPr>
          <w:rFonts w:ascii="Verdana" w:hAnsi="Verdana" w:eastAsia="Calibri" w:cs="Arial"/>
          <w:sz w:val="21"/>
          <w:szCs w:val="21"/>
        </w:rPr>
        <w:t xml:space="preserve">, por lo que el cierre del proceso dependerá </w:t>
      </w:r>
      <w:r w:rsidRPr="00190F7D">
        <w:rPr>
          <w:rFonts w:ascii="Verdana" w:hAnsi="Verdana" w:eastAsia="Calibri" w:cs="Arial"/>
        </w:rPr>
        <w:t>la causal de terminación y de las disposiciones específicas del contrato</w:t>
      </w:r>
      <w:r>
        <w:rPr>
          <w:rFonts w:ascii="Verdana" w:hAnsi="Verdana" w:eastAsia="Calibri" w:cs="Arial"/>
        </w:rPr>
        <w:t>.</w:t>
      </w:r>
    </w:p>
    <w:p w:rsidR="00356BE2" w:rsidP="00356BE2" w:rsidRDefault="00356BE2" w14:paraId="79C1BFED" w14:textId="2B5072E1">
      <w:pPr>
        <w:spacing w:after="120" w:line="276" w:lineRule="auto"/>
        <w:jc w:val="both"/>
        <w:rPr>
          <w:rFonts w:ascii="Verdana" w:hAnsi="Verdana" w:eastAsia="Calibri" w:cs="Arial"/>
          <w:lang w:val="es-ES"/>
        </w:rPr>
      </w:pPr>
      <w:r>
        <w:rPr>
          <w:rFonts w:ascii="Verdana" w:hAnsi="Verdana" w:eastAsia="Calibri" w:cs="Arial"/>
        </w:rPr>
        <w:t>Ahora bien</w:t>
      </w:r>
      <w:r w:rsidRPr="00190F7D">
        <w:rPr>
          <w:rFonts w:ascii="Verdana" w:hAnsi="Verdana" w:eastAsia="Calibri" w:cs="Arial"/>
        </w:rPr>
        <w:t xml:space="preserve">, las pólizas de cumplimiento son emitidas para garantizar que el contratista cumpla con sus obligaciones contractuales. Estas pólizas tienen una vigencia que usualmente excede la fecha de finalización del contrato, </w:t>
      </w:r>
      <w:r>
        <w:rPr>
          <w:rFonts w:ascii="Verdana" w:hAnsi="Verdana" w:eastAsia="Calibri" w:cs="Arial"/>
        </w:rPr>
        <w:t>esto con el propósito de c</w:t>
      </w:r>
      <w:r w:rsidRPr="00190F7D">
        <w:rPr>
          <w:rFonts w:ascii="Verdana" w:hAnsi="Verdana" w:eastAsia="Calibri" w:cs="Arial"/>
        </w:rPr>
        <w:t>ubrir posibles reclamaciones o incumplimientos detectados después de la entrega final</w:t>
      </w:r>
      <w:r>
        <w:rPr>
          <w:rFonts w:ascii="Verdana" w:hAnsi="Verdana" w:eastAsia="Calibri" w:cs="Arial"/>
        </w:rPr>
        <w:t xml:space="preserve"> por lo que corresponderá a la entidad </w:t>
      </w:r>
      <w:r w:rsidRPr="0019683B">
        <w:rPr>
          <w:rFonts w:ascii="Verdana" w:hAnsi="Verdana" w:eastAsia="Calibri" w:cs="Arial"/>
          <w:lang w:val="es-ES"/>
        </w:rPr>
        <w:t>en ejercicio de su competencia y previa valoración de los elementos fácticos y jurídicos asi como de las disposiciones legales anteriormente mencionadas, determinar</w:t>
      </w:r>
      <w:r>
        <w:rPr>
          <w:rFonts w:ascii="Verdana" w:hAnsi="Verdana" w:eastAsia="Calibri" w:cs="Arial"/>
          <w:lang w:val="es-ES"/>
        </w:rPr>
        <w:t xml:space="preserve"> o no la viabilidad del cierre del proceso en la plataforma SECOP II, </w:t>
      </w:r>
      <w:r w:rsidRPr="00062D51">
        <w:rPr>
          <w:rFonts w:ascii="Verdana" w:hAnsi="Verdana" w:eastAsia="Calibri" w:cs="Arial"/>
          <w:lang w:val="es-ES"/>
        </w:rPr>
        <w:t>lo anterior teniendo en cuenta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p>
    <w:p w:rsidRPr="00593A5F" w:rsidR="007E4284" w:rsidP="007E4284" w:rsidRDefault="00356BE2" w14:paraId="27355FBD" w14:textId="56B3C7C9">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lastRenderedPageBreak/>
        <w:t>R</w:t>
      </w:r>
      <w:r w:rsidRPr="00593A5F" w:rsidR="007E4284">
        <w:rPr>
          <w:rFonts w:ascii="Verdana" w:hAnsi="Verdana" w:eastAsia="Century Gothic" w:cs="Century Gothic"/>
          <w:b/>
          <w:bCs/>
        </w:rPr>
        <w:t>eferencias normativas, jurisprudenciales y otras fuentes:</w:t>
      </w:r>
    </w:p>
    <w:p w:rsidRPr="00593A5F" w:rsidR="007E4284" w:rsidP="007E4284" w:rsidRDefault="007E4284" w14:paraId="45A6AF20"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7E4284" w:rsidTr="00730488" w14:paraId="5A2D1EE2" w14:textId="77777777">
        <w:trPr>
          <w:trHeight w:val="870"/>
        </w:trPr>
        <w:tc>
          <w:tcPr>
            <w:tcW w:w="8647" w:type="dxa"/>
          </w:tcPr>
          <w:p w:rsidRPr="00062D51" w:rsidR="00062D51" w:rsidP="007E4284" w:rsidRDefault="00062D51" w14:paraId="5FDBD68D" w14:textId="385D37D7">
            <w:pPr>
              <w:pStyle w:val="Prrafodelista"/>
              <w:numPr>
                <w:ilvl w:val="0"/>
                <w:numId w:val="18"/>
              </w:numPr>
              <w:spacing w:after="120" w:line="276" w:lineRule="auto"/>
              <w:ind w:right="709"/>
              <w:jc w:val="both"/>
              <w:rPr>
                <w:rFonts w:ascii="Verdana" w:hAnsi="Verdana" w:cs="Arial"/>
                <w:noProof/>
                <w:lang w:val="es-ES_tradnl"/>
              </w:rPr>
            </w:pPr>
            <w:r>
              <w:rPr>
                <w:rFonts w:ascii="Verdana" w:hAnsi="Verdana" w:cs="Arial"/>
                <w:noProof/>
                <w:lang w:val="es-ES_tradnl"/>
              </w:rPr>
              <w:t xml:space="preserve">Ley 80 de 1993 </w:t>
            </w:r>
          </w:p>
          <w:p w:rsidRPr="00062D51" w:rsidR="007E4284" w:rsidP="007E4284" w:rsidRDefault="00062D51" w14:paraId="5E65C6EB" w14:textId="27AAD5E1">
            <w:pPr>
              <w:pStyle w:val="Prrafodelista"/>
              <w:numPr>
                <w:ilvl w:val="0"/>
                <w:numId w:val="18"/>
              </w:numPr>
              <w:spacing w:after="120" w:line="276" w:lineRule="auto"/>
              <w:ind w:right="709"/>
              <w:jc w:val="both"/>
              <w:rPr>
                <w:rFonts w:ascii="Verdana" w:hAnsi="Verdana" w:cs="Arial"/>
                <w:noProof/>
                <w:lang w:val="es-ES_tradnl"/>
              </w:rPr>
            </w:pPr>
            <w:r>
              <w:rPr>
                <w:rFonts w:ascii="Verdana" w:hAnsi="Verdana" w:cs="Arial"/>
                <w:color w:val="000000" w:themeColor="text1"/>
              </w:rPr>
              <w:t>A</w:t>
            </w:r>
            <w:r w:rsidRPr="0028005C">
              <w:rPr>
                <w:rFonts w:ascii="Verdana" w:hAnsi="Verdana" w:cs="Arial"/>
                <w:color w:val="000000" w:themeColor="text1"/>
              </w:rPr>
              <w:t>rtículo 2.2.1.1.2.4.3 del Decreto 1082 de 2015</w:t>
            </w:r>
            <w:r>
              <w:rPr>
                <w:rFonts w:ascii="Verdana" w:hAnsi="Verdana" w:cs="Arial"/>
                <w:color w:val="000000" w:themeColor="text1"/>
              </w:rPr>
              <w:t xml:space="preserve"> .</w:t>
            </w:r>
          </w:p>
          <w:p w:rsidRPr="00D16A5E" w:rsidR="00062D51" w:rsidP="007E4284" w:rsidRDefault="00062D51" w14:paraId="52267030" w14:textId="271DFBCE">
            <w:pPr>
              <w:pStyle w:val="Prrafodelista"/>
              <w:numPr>
                <w:ilvl w:val="0"/>
                <w:numId w:val="18"/>
              </w:numPr>
              <w:spacing w:after="120" w:line="276" w:lineRule="auto"/>
              <w:ind w:right="709"/>
              <w:jc w:val="both"/>
              <w:rPr>
                <w:rFonts w:ascii="Verdana" w:hAnsi="Verdana" w:cs="Arial"/>
                <w:noProof/>
                <w:lang w:val="es-ES_tradnl"/>
              </w:rPr>
            </w:pPr>
            <w:r>
              <w:rPr>
                <w:rFonts w:ascii="Verdana" w:hAnsi="Verdana" w:eastAsia="Calibri" w:cs="Arial"/>
              </w:rPr>
              <w:t>Circular Externa Nº 002 de 2023</w:t>
            </w:r>
          </w:p>
          <w:p w:rsidRPr="000D446F" w:rsidR="007E4284" w:rsidP="00DD313F" w:rsidRDefault="007E4284" w14:paraId="08DB2528" w14:textId="1E1EA5DD">
            <w:pPr>
              <w:pStyle w:val="Prrafodelista"/>
              <w:numPr>
                <w:ilvl w:val="0"/>
                <w:numId w:val="18"/>
              </w:numPr>
              <w:spacing w:after="120" w:line="276" w:lineRule="auto"/>
              <w:ind w:right="709"/>
              <w:jc w:val="both"/>
              <w:rPr>
                <w:rFonts w:ascii="Verdana" w:hAnsi="Verdana" w:cs="Arial"/>
              </w:rPr>
            </w:pPr>
          </w:p>
        </w:tc>
      </w:tr>
    </w:tbl>
    <w:p w:rsidRPr="00593A5F" w:rsidR="007E4284" w:rsidP="007E4284" w:rsidRDefault="007E4284" w14:paraId="1006BC84" w14:textId="77777777">
      <w:pPr>
        <w:widowControl w:val="0"/>
        <w:autoSpaceDE w:val="0"/>
        <w:autoSpaceDN w:val="0"/>
        <w:spacing w:after="0" w:line="276" w:lineRule="auto"/>
        <w:jc w:val="both"/>
        <w:rPr>
          <w:rFonts w:ascii="Verdana" w:hAnsi="Verdana" w:cs="Arial"/>
        </w:rPr>
      </w:pPr>
    </w:p>
    <w:p w:rsidRPr="00593A5F" w:rsidR="007E4284" w:rsidP="007E4284" w:rsidRDefault="007E4284" w14:paraId="6D7AC375"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7E4284" w:rsidP="007E4284" w:rsidRDefault="007E4284" w14:paraId="19A93F7D"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Pr="00EA0C0D" w:rsidR="00BB5B33" w:rsidP="00BB5B33" w:rsidRDefault="007E4284" w14:paraId="5693A512" w14:textId="54460291">
      <w:pPr>
        <w:spacing w:before="120" w:line="276" w:lineRule="auto"/>
        <w:jc w:val="both"/>
        <w:rPr>
          <w:rFonts w:ascii="Verdana" w:hAnsi="Verdana" w:cs="Arial"/>
          <w:color w:val="000000" w:themeColor="text1"/>
        </w:rPr>
      </w:pPr>
      <w:r w:rsidRPr="00DD781E">
        <w:rPr>
          <w:rStyle w:val="normaltextrun"/>
          <w:rFonts w:ascii="Verdana" w:hAnsi="Verdana" w:cs="Arial"/>
          <w:shd w:val="clear" w:color="auto" w:fill="FFFFFF"/>
          <w:lang w:val="es-ES"/>
        </w:rPr>
        <w:t xml:space="preserve">Esta Subdirección se ha pronunciado sobre </w:t>
      </w:r>
      <w:r w:rsidRPr="00EA0C0D" w:rsidR="00BB5B33">
        <w:rPr>
          <w:rFonts w:ascii="Verdana" w:hAnsi="Verdana" w:cs="Arial"/>
          <w:color w:val="000000" w:themeColor="text1"/>
        </w:rPr>
        <w:t>el acta de recibo final del contrato y la constancia de cierre del expediente</w:t>
      </w:r>
      <w:r w:rsidR="007777B7">
        <w:rPr>
          <w:rFonts w:ascii="Verdana" w:hAnsi="Verdana" w:cs="Arial"/>
          <w:color w:val="000000" w:themeColor="text1"/>
        </w:rPr>
        <w:t xml:space="preserve"> e</w:t>
      </w:r>
      <w:r w:rsidRPr="00EA0C0D" w:rsidR="00BB5B33">
        <w:rPr>
          <w:rFonts w:ascii="Verdana" w:hAnsi="Verdana" w:cs="Arial"/>
          <w:color w:val="000000" w:themeColor="text1"/>
        </w:rPr>
        <w:t>n los conceptos del 13 y 14 de agosto de 2019 ─radicados Nos. 2201913000005848</w:t>
      </w:r>
      <w:r w:rsidRPr="00EA0C0D" w:rsidR="00BB5B33">
        <w:rPr>
          <w:rStyle w:val="Refdenotaalpie"/>
          <w:rFonts w:ascii="Verdana" w:hAnsi="Verdana" w:cs="Arial"/>
          <w:color w:val="000000" w:themeColor="text1"/>
        </w:rPr>
        <w:footnoteReference w:id="4"/>
      </w:r>
      <w:r w:rsidRPr="00EA0C0D" w:rsidR="00BB5B33">
        <w:rPr>
          <w:rFonts w:ascii="Verdana" w:hAnsi="Verdana" w:cs="Arial"/>
          <w:color w:val="000000" w:themeColor="text1"/>
        </w:rPr>
        <w:t xml:space="preserve"> y 2201913000005887</w:t>
      </w:r>
      <w:r w:rsidRPr="00EA0C0D" w:rsidR="00BB5B33">
        <w:rPr>
          <w:rStyle w:val="Refdenotaalpie"/>
          <w:rFonts w:ascii="Verdana" w:hAnsi="Verdana" w:cs="Arial"/>
          <w:color w:val="000000" w:themeColor="text1"/>
        </w:rPr>
        <w:footnoteReference w:id="5"/>
      </w:r>
      <w:r w:rsidRPr="00EA0C0D" w:rsidR="00BB5B33">
        <w:rPr>
          <w:rFonts w:ascii="Verdana" w:hAnsi="Verdana" w:cs="Arial"/>
          <w:color w:val="000000" w:themeColor="text1"/>
        </w:rPr>
        <w:t>─, y del 7 de octubre de 2019 ─radicado No. 2201913000007481</w:t>
      </w:r>
      <w:r w:rsidR="00062D51">
        <w:rPr>
          <w:rFonts w:ascii="Verdana" w:hAnsi="Verdana" w:cs="Arial"/>
          <w:color w:val="000000" w:themeColor="text1"/>
        </w:rPr>
        <w:t xml:space="preserve"> y </w:t>
      </w:r>
      <w:r w:rsidRPr="00062D51" w:rsidR="00062D51">
        <w:rPr>
          <w:rFonts w:ascii="Verdana" w:hAnsi="Verdana" w:cs="Arial"/>
          <w:color w:val="000000" w:themeColor="text1"/>
        </w:rPr>
        <w:t>Concepto CU ─ 028 de 2020</w:t>
      </w:r>
      <w:r w:rsidRPr="00EA0C0D" w:rsidR="00BB5B33">
        <w:rPr>
          <w:rStyle w:val="Refdenotaalpie"/>
          <w:rFonts w:ascii="Verdana" w:hAnsi="Verdana" w:cs="Arial"/>
          <w:color w:val="000000" w:themeColor="text1"/>
        </w:rPr>
        <w:footnoteReference w:id="6"/>
      </w:r>
      <w:r w:rsidRPr="00EA0C0D" w:rsidR="00BB5B33">
        <w:rPr>
          <w:rFonts w:ascii="Verdana" w:hAnsi="Verdana" w:cs="Arial"/>
          <w:color w:val="000000" w:themeColor="text1"/>
        </w:rPr>
        <w:t>─, se explicó el objeto de estos. La tesis desarrollada se expone a continuación.</w:t>
      </w:r>
    </w:p>
    <w:p w:rsidR="000F57DE" w:rsidP="007E4284" w:rsidRDefault="000F57DE" w14:paraId="76F4FE9E" w14:textId="77777777">
      <w:pPr>
        <w:widowControl w:val="0"/>
        <w:autoSpaceDE w:val="0"/>
        <w:autoSpaceDN w:val="0"/>
        <w:spacing w:after="0" w:line="276" w:lineRule="auto"/>
        <w:jc w:val="both"/>
        <w:rPr>
          <w:rFonts w:ascii="Verdana" w:hAnsi="Verdana" w:eastAsia="Calibri" w:cs="Arial"/>
          <w:lang w:val="es-ES"/>
        </w:rPr>
      </w:pPr>
    </w:p>
    <w:p w:rsidR="007E4284" w:rsidP="007E4284" w:rsidRDefault="007E4284" w14:paraId="6B8834D6"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2">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xml:space="preserve"> . Te invitamos también a revisar la tercera edición del  Boletín de Relatoría de 2024 en el cual podrás consultar en detalle el marco normativo de documentos </w:t>
      </w:r>
      <w:r w:rsidRPr="00A8619D">
        <w:rPr>
          <w:rFonts w:ascii="Verdana" w:hAnsi="Verdana" w:cs="Arial"/>
          <w:color w:val="000000" w:themeColor="text1"/>
          <w:shd w:val="clear" w:color="auto" w:fill="FFFFFF"/>
        </w:rPr>
        <w:lastRenderedPageBreak/>
        <w:t>tipo: </w:t>
      </w:r>
      <w:hyperlink w:tgtFrame="_blank" w:tooltip="Dirección URL original: https://www.colombiacompra.gov.co/sites/cce_public/files/files_2020/boletin_de_realtoria_iii.pdf. Haga clic o pulse si confía en este vínculo." w:history="1" r:id="rId13">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rsidR="007E4284" w:rsidP="007E4284" w:rsidRDefault="007E4284" w14:paraId="635FD400"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7E4284" w:rsidP="007E4284" w:rsidRDefault="007E4284" w14:paraId="6E54F151"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4">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7E4284" w:rsidP="007E4284" w:rsidRDefault="007E4284" w14:paraId="4BBAB127" w14:textId="77777777">
      <w:pPr>
        <w:spacing w:after="0" w:line="240" w:lineRule="auto"/>
        <w:jc w:val="both"/>
        <w:rPr>
          <w:rFonts w:ascii="Verdana" w:hAnsi="Verdana"/>
        </w:rPr>
      </w:pPr>
    </w:p>
    <w:p w:rsidRPr="003E2460" w:rsidR="007E4284" w:rsidP="007E4284" w:rsidRDefault="007E4284" w14:paraId="542B0167"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7E4284" w:rsidP="007E4284" w:rsidRDefault="007E4284" w14:paraId="10E1BD43" w14:textId="77777777">
      <w:pPr>
        <w:spacing w:after="0" w:line="240" w:lineRule="auto"/>
        <w:jc w:val="both"/>
        <w:rPr>
          <w:rFonts w:ascii="Verdana" w:hAnsi="Verdana"/>
        </w:rPr>
      </w:pPr>
    </w:p>
    <w:p w:rsidRPr="003E2460" w:rsidR="007E4284" w:rsidP="007E4284" w:rsidRDefault="007E4284" w14:paraId="3F267BF2"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7E4284" w:rsidP="007E4284" w:rsidRDefault="007E4284" w14:paraId="426DCD21"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7E4284" w:rsidP="007E4284" w:rsidRDefault="007E4284" w14:paraId="09633924"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7E4284" w:rsidP="007E4284" w:rsidRDefault="007E4284" w14:paraId="3E93DEDD" w14:textId="77777777">
      <w:pPr>
        <w:widowControl w:val="0"/>
        <w:autoSpaceDE w:val="0"/>
        <w:autoSpaceDN w:val="0"/>
        <w:spacing w:after="0" w:line="276" w:lineRule="auto"/>
        <w:jc w:val="both"/>
        <w:rPr>
          <w:rFonts w:ascii="Verdana" w:hAnsi="Verdana" w:cs="Arial"/>
        </w:rPr>
      </w:pPr>
    </w:p>
    <w:p w:rsidRPr="00593A5F" w:rsidR="007E4284" w:rsidP="007E4284" w:rsidRDefault="007E4284" w14:paraId="49D99462"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E4284" w:rsidP="007E4284" w:rsidRDefault="007E4284" w14:paraId="3B1E541C" w14:textId="77777777">
      <w:pPr>
        <w:widowControl w:val="0"/>
        <w:autoSpaceDE w:val="0"/>
        <w:autoSpaceDN w:val="0"/>
        <w:spacing w:after="0" w:line="276" w:lineRule="auto"/>
        <w:jc w:val="both"/>
        <w:rPr>
          <w:rFonts w:ascii="Verdana" w:hAnsi="Verdana" w:cs="Arial"/>
        </w:rPr>
      </w:pPr>
    </w:p>
    <w:p w:rsidRPr="00593A5F" w:rsidR="007E4284" w:rsidP="007E4284" w:rsidRDefault="007E4284" w14:paraId="158D8E37"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7E4284" w:rsidP="007E4284" w:rsidRDefault="00E52D84" w14:paraId="729597DD" w14:textId="0673605F">
      <w:pPr>
        <w:spacing w:line="276" w:lineRule="auto"/>
        <w:jc w:val="center"/>
        <w:rPr>
          <w:rFonts w:ascii="Verdana" w:hAnsi="Verdana" w:cs="Arial"/>
          <w:color w:val="000000"/>
          <w:lang w:val="es-ES_tradnl" w:eastAsia="es-CO"/>
        </w:rPr>
      </w:pPr>
      <w:r>
        <w:rPr>
          <w:noProof/>
        </w:rPr>
        <w:drawing>
          <wp:inline distT="0" distB="0" distL="0" distR="0" wp14:anchorId="3FB78270" wp14:editId="2F604A3C">
            <wp:extent cx="5612130" cy="2409190"/>
            <wp:effectExtent l="0" t="0" r="7620" b="0"/>
            <wp:docPr id="1655580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409190"/>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7E4284" w:rsidTr="00730488" w14:paraId="10E97FCB" w14:textId="77777777">
        <w:trPr>
          <w:trHeight w:val="315"/>
        </w:trPr>
        <w:tc>
          <w:tcPr>
            <w:tcW w:w="893" w:type="dxa"/>
            <w:vAlign w:val="center"/>
            <w:hideMark/>
          </w:tcPr>
          <w:p w:rsidRPr="003751C7" w:rsidR="007E4284" w:rsidP="00730488" w:rsidRDefault="007E4284" w14:paraId="6FEFE8DA"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7E4284" w:rsidP="00730488" w:rsidRDefault="007E4284" w14:paraId="61C4DEDE"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7E4284" w:rsidP="00730488" w:rsidRDefault="007E4284" w14:paraId="58A6C53C"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0045CC" w14:textId="77777777">
        <w:trPr>
          <w:trHeight w:val="330"/>
        </w:trPr>
        <w:tc>
          <w:tcPr>
            <w:tcW w:w="893" w:type="dxa"/>
            <w:vAlign w:val="center"/>
            <w:hideMark/>
          </w:tcPr>
          <w:p w:rsidRPr="003751C7" w:rsidR="007E4284" w:rsidP="00730488" w:rsidRDefault="007E4284" w14:paraId="68D83EEC"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31103E" w:rsidR="007E4284" w:rsidP="00730488" w:rsidRDefault="007E4284" w14:paraId="4AF2DC12" w14:textId="77777777">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Ximena Rios</w:t>
            </w:r>
          </w:p>
          <w:p w:rsidRPr="00BE4B85" w:rsidR="007E4284" w:rsidP="00730488" w:rsidRDefault="007E4284" w14:paraId="61F16D70"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EB7A78" w14:textId="77777777">
        <w:trPr>
          <w:trHeight w:val="300"/>
        </w:trPr>
        <w:tc>
          <w:tcPr>
            <w:tcW w:w="893" w:type="dxa"/>
            <w:vAlign w:val="center"/>
          </w:tcPr>
          <w:p w:rsidRPr="003751C7" w:rsidR="007E4284" w:rsidP="00730488" w:rsidRDefault="007E4284" w14:paraId="538249FF"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7E4284" w:rsidP="00730488" w:rsidRDefault="007E4284" w14:paraId="485D9FE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7E4284" w:rsidP="00730488" w:rsidRDefault="007E4284" w14:paraId="4ACBC90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7E4284" w:rsidP="007E4284" w:rsidRDefault="007E4284" w14:paraId="12C6032C" w14:textId="77777777">
      <w:pPr>
        <w:spacing w:after="0" w:line="240" w:lineRule="auto"/>
        <w:rPr>
          <w:rFonts w:ascii="Verdana" w:hAnsi="Verdana" w:eastAsia="Times New Roman" w:cs="Arial"/>
          <w:sz w:val="24"/>
          <w:szCs w:val="24"/>
          <w:lang w:eastAsia="es-ES"/>
        </w:rPr>
      </w:pPr>
    </w:p>
    <w:p w:rsidRPr="00871B59" w:rsidR="007E4284" w:rsidP="007E4284" w:rsidRDefault="007E4284" w14:paraId="51745D97" w14:textId="77777777"/>
    <w:p w:rsidRPr="00A65B93" w:rsidR="007E4284" w:rsidP="007E4284" w:rsidRDefault="007E4284" w14:paraId="783742F1" w14:textId="77777777">
      <w:pPr>
        <w:spacing w:after="0"/>
        <w:rPr>
          <w:rFonts w:ascii="Verdana" w:hAnsi="Verdana"/>
          <w:lang w:val="es-ES"/>
        </w:rPr>
      </w:pPr>
    </w:p>
    <w:p w:rsidRPr="00C86D1D" w:rsidR="007E4284" w:rsidP="007E4284" w:rsidRDefault="007E4284" w14:paraId="7B1016A0" w14:textId="77777777"/>
    <w:p w:rsidRPr="0044528D" w:rsidR="00E245AB" w:rsidP="00E245AB" w:rsidRDefault="00891928" w14:paraId="3FE2184B" w14:textId="0B5F1605">
      <w:pPr>
        <w:spacing w:after="0"/>
        <w:rPr>
          <w:rFonts w:ascii="Verdana" w:hAnsi="Verdana"/>
        </w:rPr>
      </w:pPr>
      <w:r w:rsidRPr="0044528D">
        <w:rPr>
          <w:rFonts w:ascii="Verdana" w:hAnsi="Verdana"/>
        </w:rPr>
        <w:tab/>
      </w:r>
    </w:p>
    <w:p w:rsidRPr="0044528D" w:rsidR="00E245AB" w:rsidP="00E245AB" w:rsidRDefault="00E245AB" w14:paraId="5FCADBF9" w14:textId="77777777">
      <w:pPr>
        <w:spacing w:after="0"/>
        <w:rPr>
          <w:rFonts w:ascii="Verdana" w:hAnsi="Verdana"/>
        </w:rPr>
      </w:pPr>
    </w:p>
    <w:bookmarkEnd w:id="0"/>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6"/>
      <w:footerReference w:type="default" r:id="rId17"/>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2606" w:rsidP="004A1847" w:rsidRDefault="00932606" w14:paraId="6BECA920" w14:textId="77777777">
      <w:pPr>
        <w:spacing w:after="0" w:line="240" w:lineRule="auto"/>
      </w:pPr>
      <w:r>
        <w:separator/>
      </w:r>
    </w:p>
  </w:endnote>
  <w:endnote w:type="continuationSeparator" w:id="0">
    <w:p w:rsidR="00932606" w:rsidP="004A1847" w:rsidRDefault="00932606" w14:paraId="1E9506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2606" w:rsidP="004A1847" w:rsidRDefault="00932606" w14:paraId="62F0B638" w14:textId="77777777">
      <w:pPr>
        <w:spacing w:after="0" w:line="240" w:lineRule="auto"/>
      </w:pPr>
      <w:r>
        <w:separator/>
      </w:r>
    </w:p>
  </w:footnote>
  <w:footnote w:type="continuationSeparator" w:id="0">
    <w:p w:rsidR="00932606" w:rsidP="004A1847" w:rsidRDefault="00932606" w14:paraId="4D44703B" w14:textId="77777777">
      <w:pPr>
        <w:spacing w:after="0" w:line="240" w:lineRule="auto"/>
      </w:pPr>
      <w:r>
        <w:continuationSeparator/>
      </w:r>
    </w:p>
  </w:footnote>
  <w:footnote w:id="1">
    <w:p w:rsidRPr="00FD5FA6" w:rsidR="00EA0C0D" w:rsidP="00BB5B33" w:rsidRDefault="00EA0C0D" w14:paraId="51847AC5" w14:textId="77777777">
      <w:pPr>
        <w:pStyle w:val="Textonotapie"/>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Consejo de Estado. Sección Tercera. Subsección «B». Radicado No. 25000-23-26-000-2001-02118-01. Número Interno 25199. M.P. Danilo Rojas Betancourth.</w:t>
      </w:r>
    </w:p>
    <w:p w:rsidRPr="00FD5FA6" w:rsidR="00EA0C0D" w:rsidP="00EA0C0D" w:rsidRDefault="00EA0C0D" w14:paraId="6266C57C" w14:textId="77777777">
      <w:pPr>
        <w:pStyle w:val="Textonotapie"/>
        <w:ind w:firstLine="708"/>
        <w:jc w:val="both"/>
        <w:rPr>
          <w:rFonts w:ascii="Verdana" w:hAnsi="Verdana" w:cs="Arial"/>
          <w:color w:val="000000" w:themeColor="text1"/>
          <w:sz w:val="16"/>
          <w:szCs w:val="16"/>
          <w:lang w:val="es-ES"/>
        </w:rPr>
      </w:pPr>
    </w:p>
  </w:footnote>
  <w:footnote w:id="2">
    <w:p w:rsidRPr="00FD5FA6" w:rsidR="00EA0C0D" w:rsidP="0028005C" w:rsidRDefault="00EA0C0D" w14:paraId="1BB311CC" w14:textId="0EBCC5F4">
      <w:pPr>
        <w:pStyle w:val="Textonotapie"/>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Style w:val="Refdenotaalpie"/>
          <w:rFonts w:ascii="Verdana" w:hAnsi="Verdana" w:cs="Arial"/>
          <w:color w:val="000000" w:themeColor="text1"/>
          <w:sz w:val="16"/>
          <w:szCs w:val="16"/>
        </w:rPr>
        <w:t xml:space="preserve"> </w:t>
      </w:r>
      <w:r w:rsidRPr="00FD5FA6">
        <w:rPr>
          <w:rFonts w:ascii="Verdana" w:hAnsi="Verdana" w:cs="Arial"/>
          <w:color w:val="000000" w:themeColor="text1"/>
          <w:sz w:val="16"/>
          <w:szCs w:val="16"/>
        </w:rPr>
        <w:t>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r w:rsidRPr="00FD5FA6" w:rsidR="00FD5FA6">
        <w:rPr>
          <w:rFonts w:ascii="Verdana" w:hAnsi="Verdana" w:cs="Arial"/>
          <w:color w:val="000000" w:themeColor="text1"/>
          <w:sz w:val="16"/>
          <w:szCs w:val="16"/>
        </w:rPr>
        <w:t>”</w:t>
      </w:r>
      <w:r w:rsidRPr="00FD5FA6">
        <w:rPr>
          <w:rFonts w:ascii="Verdana" w:hAnsi="Verdana" w:cs="Arial"/>
          <w:color w:val="000000" w:themeColor="text1"/>
          <w:sz w:val="16"/>
          <w:szCs w:val="16"/>
        </w:rPr>
        <w:t>.</w:t>
      </w:r>
    </w:p>
    <w:p w:rsidRPr="00FD5FA6" w:rsidR="00EA0C0D" w:rsidP="00EA0C0D" w:rsidRDefault="00EA0C0D" w14:paraId="3FBE7A3A" w14:textId="77777777">
      <w:pPr>
        <w:pStyle w:val="Textonotapie"/>
        <w:jc w:val="both"/>
        <w:rPr>
          <w:rFonts w:ascii="Verdana" w:hAnsi="Verdana" w:cs="Arial"/>
          <w:color w:val="000000" w:themeColor="text1"/>
          <w:sz w:val="16"/>
          <w:szCs w:val="16"/>
        </w:rPr>
      </w:pPr>
    </w:p>
  </w:footnote>
  <w:footnote w:id="3">
    <w:p w:rsidRPr="00FD5FA6" w:rsidR="0028005C" w:rsidP="00FD5FA6" w:rsidRDefault="0028005C" w14:paraId="0084EDD5" w14:textId="3E1B92BE">
      <w:pPr>
        <w:jc w:val="both"/>
        <w:rPr>
          <w:rFonts w:ascii="Verdana" w:hAnsi="Verdana" w:cs="Arial"/>
          <w:color w:val="000000" w:themeColor="text1"/>
          <w:sz w:val="16"/>
          <w:szCs w:val="16"/>
          <w:lang w:val="es-ES"/>
        </w:rPr>
      </w:pPr>
      <w:r w:rsidRPr="00FD5FA6">
        <w:rPr>
          <w:rFonts w:ascii="Verdana" w:hAnsi="Verdana" w:cs="Arial"/>
          <w:color w:val="000000" w:themeColor="text1"/>
          <w:sz w:val="16"/>
          <w:szCs w:val="16"/>
          <w:vertAlign w:val="superscript"/>
        </w:rPr>
        <w:footnoteRef/>
      </w:r>
      <w:r w:rsidRPr="00FD5FA6">
        <w:rPr>
          <w:rFonts w:ascii="Verdana" w:hAnsi="Verdana" w:cs="Arial"/>
          <w:color w:val="000000" w:themeColor="text1"/>
          <w:sz w:val="16"/>
          <w:szCs w:val="16"/>
        </w:rPr>
        <w:t xml:space="preserve"> La Sala de Consulta y Servicio Civil del Consejo de Estado, en concepto del 8 de marzo de 2017, radicado No. 2298,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r w:rsidRPr="00FD5FA6" w:rsidR="00FD5FA6">
        <w:rPr>
          <w:rFonts w:ascii="Verdana" w:hAnsi="Verdana" w:cs="Arial"/>
          <w:color w:val="000000" w:themeColor="text1"/>
          <w:sz w:val="16"/>
          <w:szCs w:val="16"/>
        </w:rPr>
        <w:t>”</w:t>
      </w:r>
      <w:r w:rsidRPr="00FD5FA6">
        <w:rPr>
          <w:rFonts w:ascii="Verdana" w:hAnsi="Verdana" w:cs="Arial"/>
          <w:color w:val="000000" w:themeColor="text1"/>
          <w:sz w:val="16"/>
          <w:szCs w:val="16"/>
        </w:rPr>
        <w:t>.</w:t>
      </w:r>
    </w:p>
  </w:footnote>
  <w:footnote w:id="4">
    <w:p w:rsidRPr="00FD5FA6" w:rsidR="00BB5B33" w:rsidP="00062D51" w:rsidRDefault="00BB5B33" w14:paraId="576E7F92" w14:textId="43AF3EC6">
      <w:pPr>
        <w:pStyle w:val="Textonotapie"/>
        <w:contextualSpacing/>
        <w:jc w:val="both"/>
        <w:rPr>
          <w:rFonts w:ascii="Verdana" w:hAnsi="Verdana" w:cs="Arial"/>
          <w:color w:val="000000" w:themeColor="text1"/>
          <w:sz w:val="16"/>
          <w:szCs w:val="16"/>
          <w:lang w:val="es-ES"/>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Allí se preguntó: ¿[u]na vez liquidado un contrato se puede efectuar la terminación en la rendición de informes postcontractuales y la correspondiente suscripción de las actas de cierre de los contratos que tienen vigente la póliza pago de salarios, prestaciones sociales e indemnizaciones laborales; lo anterior teniendo como fundamento el numeral V de la Guía para la liquidación de los Procesos de Contratación, emitida por Colombia Compra Eficiente que indica: ‘El Decreto 1082 de 2015 dispone que vencidos los términos de las garantías de calidad, estabilidad y mantenimiento, o las condiciones de disposición final o recuperación ambiental de las obras o bienes, la Entidad Estatal debe dejar constancia del cierre del expediente del Proceso de Contratación?.</w:t>
      </w:r>
    </w:p>
  </w:footnote>
  <w:footnote w:id="5">
    <w:p w:rsidRPr="00FD5FA6" w:rsidR="00BB5B33" w:rsidP="00062D51" w:rsidRDefault="00BB5B33" w14:paraId="17CD5F58" w14:textId="383E28C7">
      <w:pPr>
        <w:pStyle w:val="Textonotapie"/>
        <w:contextualSpacing/>
        <w:jc w:val="both"/>
        <w:rPr>
          <w:rFonts w:ascii="Verdana" w:hAnsi="Verdana" w:cs="Arial"/>
          <w:color w:val="000000" w:themeColor="text1"/>
          <w:sz w:val="16"/>
          <w:szCs w:val="16"/>
          <w:lang w:val="es-ES"/>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En este caso se preguntó: ¿[u]na vez liquidado un contrato, se puede efectuar la terminación en la rendición de informes postcontractuales y las (sic) correspondiente suscripción de las actas de cierre de los contratos que tiene vigente la póliza pago salarios, prestaciones sociales e indemnizaciones laborales?.</w:t>
      </w:r>
    </w:p>
  </w:footnote>
  <w:footnote w:id="6">
    <w:p w:rsidRPr="00FD5FA6" w:rsidR="00BB5B33" w:rsidP="00062D51" w:rsidRDefault="00BB5B33" w14:paraId="3CCF8278" w14:textId="72F9FA06">
      <w:pPr>
        <w:pStyle w:val="Textonotapie"/>
        <w:contextualSpacing/>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La pregunta fue la siguiente: ¿[e]s viable jurídicamente adelantar el trámite de cierre de expediente contractual de que trata el artículo 2.2.1.1.2.4.3 del Decreto 1082 de 2015, en los casos en los cuales se ha perdido competencia para liquidar un contrato por mutuo acuerdo entre las partes (vencimiento del plazo pactado para liquidación bilateral más dos meses de la liquidación unilateral más dos años de la caducidad de la acción de control de controversias contractuales), en el cual para efectos contables, presupuestales y financieros se ordene la liberación de los recursos no ejecutados en favor de la Entidad, y adicionalmente se ordene el pago de los saldos a favor del contratista por actividades ejecutadas durante el término de vigencia del contrato, que no hubiesen sido cobradas por el contratista debido a que se encontraban sujetas a pago contra liquidación bilateral, y el contrato no fue liquidado por causas no imputables a este?.</w:t>
      </w:r>
    </w:p>
    <w:p w:rsidRPr="00FD5FA6" w:rsidR="00BB5B33" w:rsidP="00BB5B33" w:rsidRDefault="00BB5B33" w14:paraId="7FCD04B7" w14:textId="77777777">
      <w:pPr>
        <w:pStyle w:val="Textonotapie"/>
        <w:ind w:firstLine="708"/>
        <w:jc w:val="both"/>
        <w:rPr>
          <w:rFonts w:ascii="Verdana" w:hAnsi="Verdana" w:cs="Arial"/>
          <w:color w:val="000000" w:themeColor="text1"/>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0"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A27F2"/>
    <w:multiLevelType w:val="hybridMultilevel"/>
    <w:tmpl w:val="AD32F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81D68"/>
    <w:multiLevelType w:val="multilevel"/>
    <w:tmpl w:val="BE00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900F5"/>
    <w:multiLevelType w:val="hybridMultilevel"/>
    <w:tmpl w:val="AD32F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1380713882">
    <w:abstractNumId w:val="0"/>
  </w:num>
  <w:num w:numId="17" w16cid:durableId="1132214699">
    <w:abstractNumId w:val="3"/>
  </w:num>
  <w:num w:numId="18" w16cid:durableId="784039179">
    <w:abstractNumId w:val="18"/>
  </w:num>
  <w:num w:numId="19" w16cid:durableId="1000695600">
    <w:abstractNumId w:val="11"/>
  </w:num>
  <w:num w:numId="20" w16cid:durableId="985088026">
    <w:abstractNumId w:val="10"/>
  </w:num>
  <w:num w:numId="21" w16cid:durableId="1951354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9E4"/>
    <w:rsid w:val="00061B2A"/>
    <w:rsid w:val="00062D51"/>
    <w:rsid w:val="00082362"/>
    <w:rsid w:val="000A683E"/>
    <w:rsid w:val="000B19B9"/>
    <w:rsid w:val="000D0334"/>
    <w:rsid w:val="000F57DE"/>
    <w:rsid w:val="000F6486"/>
    <w:rsid w:val="00125105"/>
    <w:rsid w:val="00127233"/>
    <w:rsid w:val="0015768A"/>
    <w:rsid w:val="00176AD1"/>
    <w:rsid w:val="00184D7D"/>
    <w:rsid w:val="00190F7D"/>
    <w:rsid w:val="001A3A8A"/>
    <w:rsid w:val="001B48A8"/>
    <w:rsid w:val="001E4177"/>
    <w:rsid w:val="001F7DC6"/>
    <w:rsid w:val="002421BB"/>
    <w:rsid w:val="0025796E"/>
    <w:rsid w:val="002707A2"/>
    <w:rsid w:val="0028005C"/>
    <w:rsid w:val="002951A0"/>
    <w:rsid w:val="002962BC"/>
    <w:rsid w:val="002A093D"/>
    <w:rsid w:val="002A0DD0"/>
    <w:rsid w:val="002A49AC"/>
    <w:rsid w:val="002A64FD"/>
    <w:rsid w:val="002C7A84"/>
    <w:rsid w:val="002E4FD9"/>
    <w:rsid w:val="00322A85"/>
    <w:rsid w:val="00324168"/>
    <w:rsid w:val="003448F4"/>
    <w:rsid w:val="00356BE2"/>
    <w:rsid w:val="003729EF"/>
    <w:rsid w:val="00374F5E"/>
    <w:rsid w:val="00377E3E"/>
    <w:rsid w:val="003910C3"/>
    <w:rsid w:val="003A26D1"/>
    <w:rsid w:val="003A779E"/>
    <w:rsid w:val="003C6C4F"/>
    <w:rsid w:val="003D0F4D"/>
    <w:rsid w:val="003D5B0D"/>
    <w:rsid w:val="003E0499"/>
    <w:rsid w:val="003E76ED"/>
    <w:rsid w:val="003F3941"/>
    <w:rsid w:val="00406575"/>
    <w:rsid w:val="00423F30"/>
    <w:rsid w:val="004268E4"/>
    <w:rsid w:val="0042722E"/>
    <w:rsid w:val="00441752"/>
    <w:rsid w:val="0044528D"/>
    <w:rsid w:val="004455B8"/>
    <w:rsid w:val="004A11AD"/>
    <w:rsid w:val="004A1847"/>
    <w:rsid w:val="004A305D"/>
    <w:rsid w:val="004F17E7"/>
    <w:rsid w:val="004F21C4"/>
    <w:rsid w:val="004F685F"/>
    <w:rsid w:val="005566E8"/>
    <w:rsid w:val="00574867"/>
    <w:rsid w:val="00591460"/>
    <w:rsid w:val="00592628"/>
    <w:rsid w:val="005A4341"/>
    <w:rsid w:val="005A7ADE"/>
    <w:rsid w:val="005C3777"/>
    <w:rsid w:val="005C5CDC"/>
    <w:rsid w:val="005D476C"/>
    <w:rsid w:val="005F0E98"/>
    <w:rsid w:val="006107D7"/>
    <w:rsid w:val="00610812"/>
    <w:rsid w:val="006219F8"/>
    <w:rsid w:val="00650FF7"/>
    <w:rsid w:val="00665D70"/>
    <w:rsid w:val="00671DAC"/>
    <w:rsid w:val="006900D9"/>
    <w:rsid w:val="006D12F8"/>
    <w:rsid w:val="00706C16"/>
    <w:rsid w:val="0072601D"/>
    <w:rsid w:val="00756841"/>
    <w:rsid w:val="007649AB"/>
    <w:rsid w:val="00771D0C"/>
    <w:rsid w:val="007777B7"/>
    <w:rsid w:val="007833AC"/>
    <w:rsid w:val="007B268C"/>
    <w:rsid w:val="007B7171"/>
    <w:rsid w:val="007C0C0F"/>
    <w:rsid w:val="007C3DC2"/>
    <w:rsid w:val="007E4284"/>
    <w:rsid w:val="007E5497"/>
    <w:rsid w:val="00806F5F"/>
    <w:rsid w:val="00820278"/>
    <w:rsid w:val="00843C98"/>
    <w:rsid w:val="008843B6"/>
    <w:rsid w:val="00891928"/>
    <w:rsid w:val="008A446D"/>
    <w:rsid w:val="008C394A"/>
    <w:rsid w:val="008D180B"/>
    <w:rsid w:val="008D793C"/>
    <w:rsid w:val="008F0EA7"/>
    <w:rsid w:val="00923EEF"/>
    <w:rsid w:val="00932606"/>
    <w:rsid w:val="00934B46"/>
    <w:rsid w:val="009419F9"/>
    <w:rsid w:val="0095685E"/>
    <w:rsid w:val="00961B09"/>
    <w:rsid w:val="00961C58"/>
    <w:rsid w:val="00965334"/>
    <w:rsid w:val="0097093E"/>
    <w:rsid w:val="009917B5"/>
    <w:rsid w:val="009940B4"/>
    <w:rsid w:val="009A0DFA"/>
    <w:rsid w:val="009A6DEA"/>
    <w:rsid w:val="009B11D2"/>
    <w:rsid w:val="009B2D26"/>
    <w:rsid w:val="009C71FA"/>
    <w:rsid w:val="009C72E7"/>
    <w:rsid w:val="009D3058"/>
    <w:rsid w:val="009D3D7B"/>
    <w:rsid w:val="009F3A13"/>
    <w:rsid w:val="00A122D3"/>
    <w:rsid w:val="00A17F13"/>
    <w:rsid w:val="00A20739"/>
    <w:rsid w:val="00A33C78"/>
    <w:rsid w:val="00A70A3A"/>
    <w:rsid w:val="00AB0ADB"/>
    <w:rsid w:val="00AD059F"/>
    <w:rsid w:val="00B01B1A"/>
    <w:rsid w:val="00B03E0D"/>
    <w:rsid w:val="00B3063B"/>
    <w:rsid w:val="00B47D12"/>
    <w:rsid w:val="00B61DC6"/>
    <w:rsid w:val="00B72CD3"/>
    <w:rsid w:val="00B72FFF"/>
    <w:rsid w:val="00B804FB"/>
    <w:rsid w:val="00B839D9"/>
    <w:rsid w:val="00BA5844"/>
    <w:rsid w:val="00BB5B33"/>
    <w:rsid w:val="00BC3D36"/>
    <w:rsid w:val="00BC5684"/>
    <w:rsid w:val="00BD7F72"/>
    <w:rsid w:val="00BF35DB"/>
    <w:rsid w:val="00BF42BF"/>
    <w:rsid w:val="00C04A9C"/>
    <w:rsid w:val="00C04FB3"/>
    <w:rsid w:val="00C13B97"/>
    <w:rsid w:val="00C330EB"/>
    <w:rsid w:val="00C4091E"/>
    <w:rsid w:val="00C614D7"/>
    <w:rsid w:val="00C723FD"/>
    <w:rsid w:val="00C754BE"/>
    <w:rsid w:val="00C764DD"/>
    <w:rsid w:val="00C76B1C"/>
    <w:rsid w:val="00C91D59"/>
    <w:rsid w:val="00CA4CAE"/>
    <w:rsid w:val="00CB6357"/>
    <w:rsid w:val="00CC1B26"/>
    <w:rsid w:val="00CE54C6"/>
    <w:rsid w:val="00D3408D"/>
    <w:rsid w:val="00D423A2"/>
    <w:rsid w:val="00D520D8"/>
    <w:rsid w:val="00D63AC2"/>
    <w:rsid w:val="00D7383B"/>
    <w:rsid w:val="00D829A3"/>
    <w:rsid w:val="00DA231B"/>
    <w:rsid w:val="00DA23A0"/>
    <w:rsid w:val="00DA2589"/>
    <w:rsid w:val="00DC39FC"/>
    <w:rsid w:val="00DD313F"/>
    <w:rsid w:val="00DF5254"/>
    <w:rsid w:val="00E16408"/>
    <w:rsid w:val="00E20894"/>
    <w:rsid w:val="00E245AB"/>
    <w:rsid w:val="00E2573D"/>
    <w:rsid w:val="00E2764C"/>
    <w:rsid w:val="00E27F2E"/>
    <w:rsid w:val="00E413EA"/>
    <w:rsid w:val="00E50AFE"/>
    <w:rsid w:val="00E52D84"/>
    <w:rsid w:val="00E75C92"/>
    <w:rsid w:val="00E771DC"/>
    <w:rsid w:val="00E859C1"/>
    <w:rsid w:val="00E8772A"/>
    <w:rsid w:val="00E90F6B"/>
    <w:rsid w:val="00E92C27"/>
    <w:rsid w:val="00EA0C0D"/>
    <w:rsid w:val="00EA0E3D"/>
    <w:rsid w:val="00EC38A7"/>
    <w:rsid w:val="00EE1AA8"/>
    <w:rsid w:val="00F31EDC"/>
    <w:rsid w:val="00F462B3"/>
    <w:rsid w:val="00F5664F"/>
    <w:rsid w:val="00F666C4"/>
    <w:rsid w:val="00F76AFC"/>
    <w:rsid w:val="00FA47C0"/>
    <w:rsid w:val="00FB5DD1"/>
    <w:rsid w:val="00FC2B5D"/>
    <w:rsid w:val="00FD5FA6"/>
    <w:rsid w:val="00FE2CF7"/>
    <w:rsid w:val="00FF1449"/>
    <w:rsid w:val="11BCEF10"/>
    <w:rsid w:val="2B5ADF44"/>
    <w:rsid w:val="336338B1"/>
    <w:rsid w:val="3A88707B"/>
    <w:rsid w:val="5178395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0429E4"/>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styleId="superscript" w:customStyle="1">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styleId="TextocomentarioCar" w:customStyle="1">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styleId="AsuntodelcomentarioCar" w:customStyle="1">
    <w:name w:val="Asunto del comentario Car"/>
    <w:basedOn w:val="TextocomentarioCar"/>
    <w:link w:val="Asuntodelcomentario"/>
    <w:uiPriority w:val="99"/>
    <w:semiHidden/>
    <w:rsid w:val="00FE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0829428">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3.jpeg" Id="rId15" /><Relationship Type="http://schemas.openxmlformats.org/officeDocument/2006/relationships/hyperlink" Target="mailto:jbarone@hotmail.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olombiacompra.gov.co/sala-de-prensa/boletin-digital"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805D170-8C96-44FC-8B05-C7B76175C8D8}"/>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8</revision>
  <lastPrinted>2023-01-10T21:18:00.0000000Z</lastPrinted>
  <dcterms:created xsi:type="dcterms:W3CDTF">2024-09-13T16:42:00.0000000Z</dcterms:created>
  <dcterms:modified xsi:type="dcterms:W3CDTF">2024-10-11T21:31:30.6086717Z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