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FAE0F" w14:textId="77777777" w:rsidR="00D87339" w:rsidRPr="00D87339" w:rsidRDefault="00D87339" w:rsidP="00D87339">
      <w:pPr>
        <w:spacing w:after="120"/>
        <w:contextualSpacing/>
        <w:jc w:val="both"/>
        <w:rPr>
          <w:rFonts w:ascii="Verdana" w:eastAsia="Calibri" w:hAnsi="Verdana" w:cs="Arial"/>
          <w:b/>
          <w:lang w:eastAsia="es-ES_tradnl"/>
        </w:rPr>
      </w:pPr>
      <w:r w:rsidRPr="00D87339">
        <w:rPr>
          <w:rFonts w:ascii="Verdana" w:eastAsia="Calibri" w:hAnsi="Verdana" w:cs="Arial"/>
          <w:b/>
          <w:lang w:eastAsia="es-ES_tradnl"/>
        </w:rPr>
        <w:t>CONVOCATORIAS LIMITADAS A MIPYMES – Generalidades – Requisitos – Cuantía del proceso</w:t>
      </w:r>
    </w:p>
    <w:p w14:paraId="3D8772E6" w14:textId="77777777" w:rsidR="00D87339" w:rsidRDefault="00D87339" w:rsidP="00385BFB">
      <w:pPr>
        <w:spacing w:after="0" w:line="240" w:lineRule="auto"/>
        <w:rPr>
          <w:rFonts w:ascii="Verdana" w:eastAsia="Geomanist Light" w:hAnsi="Verdana" w:cs="Arial"/>
          <w:color w:val="000000" w:themeColor="text1"/>
        </w:rPr>
      </w:pPr>
    </w:p>
    <w:p w14:paraId="3DF2795E" w14:textId="77777777" w:rsidR="00D87339" w:rsidRPr="00064EE2" w:rsidRDefault="00D87339" w:rsidP="00D87339">
      <w:pPr>
        <w:spacing w:line="276" w:lineRule="auto"/>
        <w:contextualSpacing/>
        <w:jc w:val="both"/>
        <w:rPr>
          <w:rFonts w:ascii="Verdana" w:eastAsia="Century Gothic" w:hAnsi="Verdana" w:cs="Century Gothic"/>
        </w:rPr>
      </w:pPr>
      <w:r>
        <w:rPr>
          <w:rFonts w:ascii="Verdana" w:eastAsia="Century Gothic" w:hAnsi="Verdana" w:cs="Century Gothic"/>
        </w:rPr>
        <w:t>E</w:t>
      </w:r>
      <w:r w:rsidRPr="00064EE2">
        <w:rPr>
          <w:rFonts w:ascii="Verdana" w:eastAsia="Century Gothic" w:hAnsi="Verdana" w:cs="Century Gothic"/>
        </w:rPr>
        <w:t>l artículo 2.2.1.2.4.2.2 de</w:t>
      </w:r>
      <w:r>
        <w:rPr>
          <w:rFonts w:ascii="Verdana" w:eastAsia="Century Gothic" w:hAnsi="Verdana" w:cs="Century Gothic"/>
        </w:rPr>
        <w:t xml:space="preserve">l Decreto 1082 de 2015 </w:t>
      </w:r>
      <w:r w:rsidRPr="00064EE2">
        <w:rPr>
          <w:rFonts w:ascii="Verdana" w:eastAsia="Century Gothic" w:hAnsi="Verdana" w:cs="Century Gothic"/>
        </w:rPr>
        <w:t xml:space="preserve">señala de forma taxativa los requisitos que deben cumplir las Entidades Estatales para establecer una limitación a favor de las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dentro del Proceso de Contratación.</w:t>
      </w:r>
      <w:r>
        <w:rPr>
          <w:rFonts w:ascii="Verdana" w:eastAsia="Century Gothic" w:hAnsi="Verdana" w:cs="Century Gothic"/>
        </w:rPr>
        <w:t xml:space="preserve"> </w:t>
      </w:r>
      <w:r w:rsidRPr="00064EE2">
        <w:rPr>
          <w:rFonts w:ascii="Verdana" w:eastAsia="Century Gothic" w:hAnsi="Verdana" w:cs="Century Gothic"/>
        </w:rPr>
        <w:t xml:space="preserve">En ese orden de ideas, la norma previamente señalada indica que será procedente la limitación a favor de las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colombianas con un año de constitución cuando concurran</w:t>
      </w:r>
      <w:r>
        <w:rPr>
          <w:rFonts w:ascii="Verdana" w:eastAsia="Century Gothic" w:hAnsi="Verdana" w:cs="Century Gothic"/>
        </w:rPr>
        <w:t>, entre otros,</w:t>
      </w:r>
      <w:r w:rsidRPr="00064EE2">
        <w:rPr>
          <w:rFonts w:ascii="Verdana" w:eastAsia="Century Gothic" w:hAnsi="Verdana" w:cs="Century Gothic"/>
        </w:rPr>
        <w:t xml:space="preserve"> </w:t>
      </w:r>
      <w:r>
        <w:rPr>
          <w:rFonts w:ascii="Verdana" w:eastAsia="Century Gothic" w:hAnsi="Verdana" w:cs="Century Gothic"/>
        </w:rPr>
        <w:t>el</w:t>
      </w:r>
      <w:r w:rsidRPr="00064EE2">
        <w:rPr>
          <w:rFonts w:ascii="Verdana" w:eastAsia="Century Gothic" w:hAnsi="Verdana" w:cs="Century Gothic"/>
        </w:rPr>
        <w:t xml:space="preserve"> siguiente requisito:</w:t>
      </w:r>
    </w:p>
    <w:p w14:paraId="1A26D0FC" w14:textId="77777777" w:rsidR="00D87339" w:rsidRPr="00064EE2" w:rsidRDefault="00D87339" w:rsidP="00D87339">
      <w:pPr>
        <w:spacing w:line="276" w:lineRule="auto"/>
        <w:jc w:val="both"/>
        <w:rPr>
          <w:rFonts w:ascii="Verdana" w:eastAsia="Century Gothic" w:hAnsi="Verdana" w:cs="Century Gothic"/>
        </w:rPr>
      </w:pPr>
    </w:p>
    <w:p w14:paraId="5E2C121C" w14:textId="79838363" w:rsidR="00D87339" w:rsidRPr="00064EE2" w:rsidRDefault="00D87339" w:rsidP="00D87339">
      <w:pPr>
        <w:spacing w:line="276" w:lineRule="auto"/>
        <w:jc w:val="both"/>
        <w:rPr>
          <w:rFonts w:ascii="Verdana" w:eastAsia="Century Gothic" w:hAnsi="Verdana" w:cs="Century Gothic"/>
        </w:rPr>
      </w:pPr>
      <w:r w:rsidRPr="00064EE2">
        <w:rPr>
          <w:rFonts w:ascii="Verdana" w:eastAsia="Century Gothic" w:hAnsi="Verdana" w:cs="Century Gothic"/>
        </w:rPr>
        <w:t>“(…) 1. El valor del Proceso de Contratación sea menor a ciento veinticinco mil dólares de los Estados Unidos de América (US$125.000), liquidados con la tasa de cambio que para el efecto determina cada dos años el Ministerio de Comercio, Industria y Turismo</w:t>
      </w:r>
      <w:r>
        <w:rPr>
          <w:rFonts w:ascii="Verdana" w:eastAsia="Century Gothic" w:hAnsi="Verdana" w:cs="Century Gothic"/>
        </w:rPr>
        <w:t>.</w:t>
      </w:r>
      <w:r w:rsidRPr="00064EE2">
        <w:rPr>
          <w:rFonts w:ascii="Verdana" w:eastAsia="Century Gothic" w:hAnsi="Verdana" w:cs="Century Gothic"/>
        </w:rPr>
        <w:t xml:space="preserve"> (…)”</w:t>
      </w:r>
    </w:p>
    <w:p w14:paraId="5BBFAFB6" w14:textId="77777777" w:rsidR="00D87339" w:rsidRPr="00064EE2" w:rsidRDefault="00D87339" w:rsidP="00D87339">
      <w:pPr>
        <w:spacing w:line="276" w:lineRule="auto"/>
        <w:contextualSpacing/>
        <w:jc w:val="both"/>
        <w:rPr>
          <w:rFonts w:ascii="Verdana" w:eastAsia="Century Gothic" w:hAnsi="Verdana" w:cs="Century Gothic"/>
        </w:rPr>
      </w:pPr>
    </w:p>
    <w:p w14:paraId="63C4B667" w14:textId="77777777" w:rsidR="00D87339" w:rsidRPr="00064EE2" w:rsidRDefault="00D87339" w:rsidP="00D87339">
      <w:pPr>
        <w:spacing w:line="276" w:lineRule="auto"/>
        <w:contextualSpacing/>
        <w:jc w:val="both"/>
        <w:rPr>
          <w:rFonts w:ascii="Verdana" w:eastAsia="Century Gothic" w:hAnsi="Verdana" w:cs="Century Gothic"/>
        </w:rPr>
      </w:pPr>
      <w:r w:rsidRPr="00064EE2">
        <w:rPr>
          <w:rFonts w:ascii="Verdana" w:eastAsia="Century Gothic" w:hAnsi="Verdana" w:cs="Century Gothic"/>
        </w:rPr>
        <w:t xml:space="preserve">De tal manera que, le corresponderá a la Entidad contratante evaluar el cumplimiento de los requisitos señalados en las convocatorias a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en los Procesos de Contratación que adelante la entidad estatal, en especial si el valor del Proceso de Contratación para efectos fiscales es menor a ciento veinticinco mil dólares de los Estados Unidos de América (US$125.000</w:t>
      </w:r>
      <w:r>
        <w:rPr>
          <w:rFonts w:ascii="Verdana" w:eastAsia="Century Gothic" w:hAnsi="Verdana" w:cs="Century Gothic"/>
        </w:rPr>
        <w:t>)</w:t>
      </w:r>
      <w:r w:rsidRPr="00064EE2">
        <w:rPr>
          <w:rFonts w:ascii="Verdana" w:eastAsia="Century Gothic" w:hAnsi="Verdana" w:cs="Century Gothic"/>
        </w:rPr>
        <w:t xml:space="preserve">, relacionados con los contratos de tracto sucesivo a largos periodos de tiempo en el cual la cuantía es indeterminada. </w:t>
      </w:r>
    </w:p>
    <w:p w14:paraId="0C966CBB" w14:textId="77777777" w:rsidR="00D87339" w:rsidRPr="00064EE2" w:rsidRDefault="00D87339" w:rsidP="00D87339">
      <w:pPr>
        <w:spacing w:line="276" w:lineRule="auto"/>
        <w:contextualSpacing/>
        <w:jc w:val="both"/>
        <w:rPr>
          <w:rFonts w:ascii="Verdana" w:eastAsia="Century Gothic" w:hAnsi="Verdana" w:cs="Century Gothic"/>
        </w:rPr>
      </w:pPr>
    </w:p>
    <w:p w14:paraId="1E2D9FA4" w14:textId="01D5F736" w:rsidR="00D87339" w:rsidRDefault="00D87339" w:rsidP="00D87339">
      <w:pPr>
        <w:spacing w:after="120" w:line="276" w:lineRule="auto"/>
        <w:ind w:firstLine="709"/>
        <w:jc w:val="both"/>
        <w:rPr>
          <w:rFonts w:ascii="Verdana" w:eastAsia="Geomanist Light" w:hAnsi="Verdana" w:cs="Arial"/>
          <w:color w:val="000000" w:themeColor="text1"/>
        </w:rPr>
      </w:pPr>
      <w:r w:rsidRPr="00064EE2">
        <w:rPr>
          <w:rFonts w:ascii="Verdana" w:eastAsia="Century Gothic" w:hAnsi="Verdana" w:cs="Century Gothic"/>
        </w:rPr>
        <w:t>En los casos de los procesos cuya cuantía es indeterminada y se fije para efectos fiscales, le corresponderá a la entidad contratante determinar si se ajusta a estos presupuestos normativos previamente señalado</w:t>
      </w:r>
      <w:r>
        <w:rPr>
          <w:rFonts w:ascii="Verdana" w:eastAsia="Century Gothic" w:hAnsi="Verdana" w:cs="Century Gothic"/>
        </w:rPr>
        <w:t>s</w:t>
      </w:r>
      <w:r w:rsidRPr="00064EE2">
        <w:rPr>
          <w:rFonts w:ascii="Verdana" w:eastAsia="Century Gothic" w:hAnsi="Verdana" w:cs="Century Gothic"/>
        </w:rPr>
        <w:t xml:space="preserve"> en el artículo 2.2.1.2.4.2.2 y </w:t>
      </w:r>
      <w:r w:rsidRPr="00D87339">
        <w:rPr>
          <w:rFonts w:ascii="Verdana" w:eastAsia="Calibri" w:hAnsi="Verdana" w:cs="Arial"/>
          <w:color w:val="000000"/>
          <w:lang w:val="es-ES" w:eastAsia="es-ES"/>
        </w:rPr>
        <w:t>para</w:t>
      </w:r>
      <w:r w:rsidRPr="00064EE2">
        <w:rPr>
          <w:rFonts w:ascii="Verdana" w:eastAsia="Century Gothic" w:hAnsi="Verdana" w:cs="Century Gothic"/>
        </w:rPr>
        <w:t xml:space="preserve"> lo cual deberán motivar su decisión, atendiendo a los principios de la contratación estatal, función administrativa y dando aplicación al artículo 44 de la </w:t>
      </w:r>
      <w:r>
        <w:rPr>
          <w:rFonts w:ascii="Verdana" w:eastAsia="Century Gothic" w:hAnsi="Verdana" w:cs="Century Gothic"/>
        </w:rPr>
        <w:t>L</w:t>
      </w:r>
      <w:r w:rsidRPr="00064EE2">
        <w:rPr>
          <w:rFonts w:ascii="Verdana" w:eastAsia="Century Gothic" w:hAnsi="Verdana" w:cs="Century Gothic"/>
        </w:rPr>
        <w:t>ey 1437 de 2011.</w:t>
      </w:r>
    </w:p>
    <w:p w14:paraId="011C2F7A" w14:textId="77777777" w:rsidR="00D87339" w:rsidRDefault="00D87339" w:rsidP="00385BFB">
      <w:pPr>
        <w:spacing w:after="0" w:line="240" w:lineRule="auto"/>
        <w:rPr>
          <w:rFonts w:ascii="Verdana" w:eastAsia="Geomanist Light" w:hAnsi="Verdana" w:cs="Arial"/>
          <w:color w:val="000000" w:themeColor="text1"/>
        </w:rPr>
      </w:pPr>
    </w:p>
    <w:p w14:paraId="4EE9C99E" w14:textId="77777777" w:rsidR="00D87339" w:rsidRDefault="00D87339" w:rsidP="00385BFB">
      <w:pPr>
        <w:spacing w:after="0" w:line="240" w:lineRule="auto"/>
        <w:rPr>
          <w:rFonts w:ascii="Verdana" w:eastAsia="Geomanist Light" w:hAnsi="Verdana" w:cs="Arial"/>
          <w:color w:val="000000" w:themeColor="text1"/>
        </w:rPr>
      </w:pPr>
    </w:p>
    <w:p w14:paraId="688B4B0A" w14:textId="77777777" w:rsidR="00D87339" w:rsidRPr="00D87339" w:rsidRDefault="00D87339" w:rsidP="00385BFB">
      <w:pPr>
        <w:spacing w:after="0" w:line="240" w:lineRule="auto"/>
        <w:rPr>
          <w:rFonts w:ascii="Verdana" w:eastAsia="Geomanist Light" w:hAnsi="Verdana" w:cs="Arial"/>
          <w:color w:val="000000" w:themeColor="text1"/>
        </w:rPr>
      </w:pPr>
    </w:p>
    <w:p w14:paraId="67C025EE" w14:textId="77777777" w:rsidR="00D87339" w:rsidRDefault="00D87339" w:rsidP="00385BFB">
      <w:pPr>
        <w:spacing w:after="0" w:line="240" w:lineRule="auto"/>
        <w:rPr>
          <w:rFonts w:ascii="Verdana" w:eastAsia="Geomanist Light" w:hAnsi="Verdana" w:cs="Arial"/>
          <w:color w:val="000000" w:themeColor="text1"/>
          <w:lang w:val="es-MX"/>
        </w:rPr>
      </w:pPr>
    </w:p>
    <w:p w14:paraId="20EABE2F" w14:textId="77777777" w:rsidR="00D87339" w:rsidRDefault="00D87339" w:rsidP="00385BFB">
      <w:pPr>
        <w:spacing w:after="0" w:line="240" w:lineRule="auto"/>
        <w:rPr>
          <w:rFonts w:ascii="Verdana" w:eastAsia="Geomanist Light" w:hAnsi="Verdana" w:cs="Arial"/>
          <w:color w:val="000000" w:themeColor="text1"/>
          <w:lang w:val="es-MX"/>
        </w:rPr>
      </w:pPr>
    </w:p>
    <w:p w14:paraId="48AF800A" w14:textId="77777777" w:rsidR="00D87339" w:rsidRDefault="00D87339" w:rsidP="00385BFB">
      <w:pPr>
        <w:spacing w:after="0" w:line="240" w:lineRule="auto"/>
        <w:rPr>
          <w:rFonts w:ascii="Verdana" w:eastAsia="Geomanist Light" w:hAnsi="Verdana" w:cs="Arial"/>
          <w:color w:val="000000" w:themeColor="text1"/>
          <w:lang w:val="es-MX"/>
        </w:rPr>
      </w:pPr>
    </w:p>
    <w:p w14:paraId="3588D51A" w14:textId="77777777" w:rsidR="00D87339" w:rsidRDefault="00D87339" w:rsidP="00385BFB">
      <w:pPr>
        <w:spacing w:after="0" w:line="240" w:lineRule="auto"/>
        <w:rPr>
          <w:rFonts w:ascii="Verdana" w:eastAsia="Geomanist Light" w:hAnsi="Verdana" w:cs="Arial"/>
          <w:color w:val="000000" w:themeColor="text1"/>
          <w:lang w:val="es-MX"/>
        </w:rPr>
      </w:pPr>
    </w:p>
    <w:p w14:paraId="51772D2E" w14:textId="77777777" w:rsidR="00D87339" w:rsidRDefault="00D87339" w:rsidP="00385BFB">
      <w:pPr>
        <w:spacing w:after="0" w:line="240" w:lineRule="auto"/>
        <w:rPr>
          <w:rFonts w:ascii="Verdana" w:eastAsia="Geomanist Light" w:hAnsi="Verdana" w:cs="Arial"/>
          <w:color w:val="000000" w:themeColor="text1"/>
          <w:lang w:val="es-MX"/>
        </w:rPr>
      </w:pPr>
    </w:p>
    <w:p w14:paraId="6613A4F8" w14:textId="77777777" w:rsidR="00D87339" w:rsidRDefault="00D87339" w:rsidP="00385BFB">
      <w:pPr>
        <w:spacing w:after="0" w:line="240" w:lineRule="auto"/>
        <w:rPr>
          <w:rFonts w:ascii="Verdana" w:eastAsia="Geomanist Light" w:hAnsi="Verdana" w:cs="Arial"/>
          <w:color w:val="000000" w:themeColor="text1"/>
          <w:lang w:val="es-MX"/>
        </w:rPr>
      </w:pPr>
    </w:p>
    <w:p w14:paraId="60F15B01" w14:textId="640D1CB8" w:rsidR="00385BFB" w:rsidRPr="00AA1286" w:rsidRDefault="00385BFB" w:rsidP="00385BFB">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Pr="00593A5F">
        <w:rPr>
          <w:rFonts w:ascii="Verdana" w:eastAsia="Geomanist Light" w:hAnsi="Verdana" w:cs="Arial"/>
          <w:color w:val="000000" w:themeColor="text1"/>
          <w:lang w:val="es-MX"/>
        </w:rPr>
        <w:t>ogotá D.C., </w:t>
      </w:r>
      <w:r w:rsidR="00D87339">
        <w:rPr>
          <w:rFonts w:ascii="Verdana" w:eastAsia="Geomanist Light" w:hAnsi="Verdana" w:cs="Arial"/>
          <w:color w:val="201F1E"/>
          <w:lang w:val="es-MX"/>
        </w:rPr>
        <w:t>27</w:t>
      </w:r>
      <w:r w:rsidRPr="00593A5F">
        <w:rPr>
          <w:rFonts w:ascii="Verdana" w:eastAsia="Geomanist Light" w:hAnsi="Verdana" w:cs="Arial"/>
          <w:color w:val="201F1E"/>
          <w:lang w:val="es-MX"/>
        </w:rPr>
        <w:t xml:space="preserve"> de</w:t>
      </w:r>
      <w:r w:rsidR="00D87339">
        <w:rPr>
          <w:rFonts w:ascii="Verdana" w:eastAsia="Geomanist Light" w:hAnsi="Verdana" w:cs="Arial"/>
          <w:color w:val="201F1E"/>
          <w:lang w:val="es-MX"/>
        </w:rPr>
        <w:t xml:space="preserve"> septiembre </w:t>
      </w:r>
      <w:r w:rsidRPr="00593A5F">
        <w:rPr>
          <w:rFonts w:ascii="Verdana" w:eastAsia="Geomanist Light" w:hAnsi="Verdana" w:cs="Arial"/>
          <w:color w:val="201F1E"/>
          <w:lang w:val="es-MX"/>
        </w:rPr>
        <w:t xml:space="preserve">de </w:t>
      </w:r>
      <w:r w:rsidR="00D87339">
        <w:rPr>
          <w:rFonts w:ascii="Verdana" w:eastAsia="Geomanist Light" w:hAnsi="Verdana" w:cs="Arial"/>
          <w:color w:val="201F1E"/>
          <w:lang w:val="es-MX"/>
        </w:rPr>
        <w:t>2024</w:t>
      </w:r>
    </w:p>
    <w:p w14:paraId="263D22FC" w14:textId="77777777" w:rsidR="00385BFB" w:rsidRPr="00593A5F" w:rsidRDefault="00385BFB" w:rsidP="00385BFB">
      <w:pPr>
        <w:spacing w:after="0" w:line="240" w:lineRule="auto"/>
        <w:jc w:val="both"/>
        <w:rPr>
          <w:rFonts w:ascii="Verdana" w:eastAsia="Calibri" w:hAnsi="Verdana" w:cs="Arial"/>
          <w:color w:val="000000"/>
          <w:lang w:val="es-ES"/>
        </w:rPr>
      </w:pPr>
    </w:p>
    <w:p w14:paraId="18EBEC63" w14:textId="56D3740C" w:rsidR="00D87339" w:rsidRDefault="00D87339" w:rsidP="00D87339">
      <w:pPr>
        <w:spacing w:after="0" w:line="240" w:lineRule="auto"/>
        <w:ind w:left="4956"/>
        <w:jc w:val="both"/>
        <w:rPr>
          <w:rFonts w:ascii="Verdana" w:eastAsia="Calibri" w:hAnsi="Verdana" w:cs="Arial"/>
          <w:lang w:val="es-ES" w:eastAsia="es-ES"/>
        </w:rPr>
      </w:pPr>
      <w:r w:rsidRPr="00D87339">
        <w:rPr>
          <w:rFonts w:ascii="Verdana" w:eastAsia="Calibri" w:hAnsi="Verdana" w:cs="Arial"/>
          <w:lang w:val="es-ES" w:eastAsia="es-ES"/>
        </w:rPr>
        <w:drawing>
          <wp:inline distT="0" distB="0" distL="0" distR="0" wp14:anchorId="0917CC4D" wp14:editId="71055493">
            <wp:extent cx="3581900" cy="952633"/>
            <wp:effectExtent l="0" t="0" r="0" b="0"/>
            <wp:docPr id="14597247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24755" name=""/>
                    <pic:cNvPicPr/>
                  </pic:nvPicPr>
                  <pic:blipFill>
                    <a:blip r:embed="rId11"/>
                    <a:stretch>
                      <a:fillRect/>
                    </a:stretch>
                  </pic:blipFill>
                  <pic:spPr>
                    <a:xfrm>
                      <a:off x="0" y="0"/>
                      <a:ext cx="3581900" cy="952633"/>
                    </a:xfrm>
                    <a:prstGeom prst="rect">
                      <a:avLst/>
                    </a:prstGeom>
                  </pic:spPr>
                </pic:pic>
              </a:graphicData>
            </a:graphic>
          </wp:inline>
        </w:drawing>
      </w:r>
    </w:p>
    <w:p w14:paraId="1273ED6C" w14:textId="620C9CE5" w:rsidR="00385BFB" w:rsidRPr="00B96799" w:rsidRDefault="00385BFB" w:rsidP="00385BF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046813D7" w14:textId="77777777" w:rsidR="00385BFB" w:rsidRDefault="00385BFB" w:rsidP="00385BFB">
      <w:pPr>
        <w:spacing w:after="0" w:line="240" w:lineRule="auto"/>
        <w:rPr>
          <w:rFonts w:ascii="Verdana" w:eastAsia="Calibri" w:hAnsi="Verdana" w:cs="Arial"/>
          <w:b/>
          <w:bCs/>
          <w:lang w:eastAsia="es-ES_tradnl"/>
        </w:rPr>
      </w:pPr>
      <w:r w:rsidRPr="00F16D1A">
        <w:rPr>
          <w:rFonts w:ascii="Verdana" w:eastAsia="Calibri" w:hAnsi="Verdana" w:cs="Arial"/>
          <w:b/>
          <w:bCs/>
          <w:lang w:eastAsia="es-ES_tradnl"/>
        </w:rPr>
        <w:t>JORGE ENRIQUE RODRIGUEZ GUZMAN</w:t>
      </w:r>
    </w:p>
    <w:p w14:paraId="27CDDD26" w14:textId="77777777" w:rsidR="00385BFB" w:rsidRPr="007B10DC" w:rsidRDefault="00385BFB" w:rsidP="00385BFB">
      <w:pPr>
        <w:spacing w:after="0" w:line="240" w:lineRule="auto"/>
        <w:rPr>
          <w:rFonts w:ascii="Verdana" w:hAnsi="Verdana"/>
        </w:rPr>
      </w:pPr>
      <w:hyperlink r:id="rId12" w:history="1">
        <w:r w:rsidRPr="008E3AA4">
          <w:rPr>
            <w:rStyle w:val="Hipervnculo"/>
            <w:rFonts w:ascii="Verdana" w:hAnsi="Verdana"/>
          </w:rPr>
          <w:t>jorgerodriguez_18@hotmail.com</w:t>
        </w:r>
      </w:hyperlink>
      <w:r>
        <w:rPr>
          <w:rFonts w:ascii="Verdana" w:hAnsi="Verdana"/>
        </w:rPr>
        <w:t xml:space="preserve">; </w:t>
      </w:r>
    </w:p>
    <w:p w14:paraId="1FA9BD91" w14:textId="77777777" w:rsidR="00385BFB" w:rsidRPr="00593A5F" w:rsidRDefault="00385BFB" w:rsidP="00385BFB">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4DDA3772" w14:textId="77777777" w:rsidR="00385BFB" w:rsidRPr="00593A5F" w:rsidRDefault="00385BFB" w:rsidP="00385BF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85BFB" w:rsidRPr="00593A5F" w14:paraId="34262EC1" w14:textId="77777777" w:rsidTr="0027513F">
        <w:trPr>
          <w:trHeight w:val="884"/>
        </w:trPr>
        <w:tc>
          <w:tcPr>
            <w:tcW w:w="2689" w:type="dxa"/>
          </w:tcPr>
          <w:p w14:paraId="478DED1A" w14:textId="77777777" w:rsidR="00385BFB" w:rsidRPr="00D46ED3" w:rsidRDefault="00385BFB" w:rsidP="0027513F">
            <w:pPr>
              <w:jc w:val="both"/>
              <w:rPr>
                <w:rFonts w:ascii="Verdana" w:eastAsia="Calibri" w:hAnsi="Verdana" w:cs="Arial"/>
                <w:b/>
                <w:bCs/>
                <w:color w:val="7030A0"/>
                <w:lang w:val="es-ES_tradnl" w:eastAsia="es-ES_tradnl"/>
              </w:rPr>
            </w:pPr>
          </w:p>
        </w:tc>
        <w:tc>
          <w:tcPr>
            <w:tcW w:w="6100" w:type="dxa"/>
          </w:tcPr>
          <w:p w14:paraId="2ACDCC5F" w14:textId="77777777" w:rsidR="00385BFB" w:rsidRPr="00D46ED3" w:rsidRDefault="00385BFB" w:rsidP="0027513F">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 xml:space="preserve">Concepto </w:t>
            </w:r>
            <w:r w:rsidRPr="00027814">
              <w:rPr>
                <w:rFonts w:ascii="Verdana" w:eastAsia="Calibri" w:hAnsi="Verdana" w:cs="Arial"/>
                <w:b/>
                <w:bCs/>
                <w:lang w:val="es-ES" w:eastAsia="es-ES"/>
              </w:rPr>
              <w:t>C-</w:t>
            </w:r>
            <w:r>
              <w:rPr>
                <w:rFonts w:ascii="Verdana" w:eastAsia="Calibri" w:hAnsi="Verdana" w:cs="Arial"/>
                <w:b/>
                <w:bCs/>
                <w:lang w:val="es-ES" w:eastAsia="es-ES"/>
              </w:rPr>
              <w:t>498 de 2024</w:t>
            </w:r>
          </w:p>
        </w:tc>
      </w:tr>
      <w:tr w:rsidR="00385BFB" w:rsidRPr="001C58F6" w14:paraId="3BDD3E77" w14:textId="77777777" w:rsidTr="0027513F">
        <w:trPr>
          <w:trHeight w:val="884"/>
        </w:trPr>
        <w:tc>
          <w:tcPr>
            <w:tcW w:w="2689" w:type="dxa"/>
          </w:tcPr>
          <w:p w14:paraId="37DC7E93" w14:textId="77777777" w:rsidR="00385BFB" w:rsidRPr="007B10DC" w:rsidRDefault="00385BFB" w:rsidP="0027513F">
            <w:pPr>
              <w:jc w:val="both"/>
              <w:rPr>
                <w:rFonts w:ascii="Verdana" w:eastAsia="Calibri" w:hAnsi="Verdana" w:cs="Arial"/>
                <w:color w:val="000000"/>
                <w:highlight w:val="yellow"/>
                <w:lang w:val="es-ES_tradnl" w:eastAsia="es-ES_tradnl"/>
              </w:rPr>
            </w:pPr>
            <w:r w:rsidRPr="007B10DC">
              <w:rPr>
                <w:rFonts w:ascii="Verdana" w:eastAsia="Calibri" w:hAnsi="Verdana" w:cs="Arial"/>
                <w:b/>
                <w:color w:val="000000"/>
                <w:lang w:val="es-ES_tradnl" w:eastAsia="es-ES_tradnl"/>
              </w:rPr>
              <w:t>Temas:</w:t>
            </w:r>
            <w:r w:rsidRPr="007B10DC">
              <w:rPr>
                <w:rFonts w:ascii="Verdana" w:eastAsia="Calibri" w:hAnsi="Verdana" w:cs="Arial"/>
                <w:color w:val="000000"/>
                <w:lang w:val="es-ES_tradnl" w:eastAsia="es-ES_tradnl"/>
              </w:rPr>
              <w:t xml:space="preserve">                   </w:t>
            </w:r>
          </w:p>
        </w:tc>
        <w:tc>
          <w:tcPr>
            <w:tcW w:w="6100" w:type="dxa"/>
          </w:tcPr>
          <w:p w14:paraId="20F0ACCA" w14:textId="258F1938" w:rsidR="00385BFB" w:rsidRPr="00FB2E89" w:rsidRDefault="00385BFB" w:rsidP="0027513F">
            <w:pPr>
              <w:spacing w:after="120"/>
              <w:contextualSpacing/>
              <w:jc w:val="both"/>
              <w:rPr>
                <w:rFonts w:ascii="Verdana" w:eastAsia="Calibri" w:hAnsi="Verdana" w:cs="Arial"/>
                <w:bCs/>
                <w:lang w:eastAsia="es-ES_tradnl"/>
              </w:rPr>
            </w:pPr>
            <w:r w:rsidRPr="00FB2E89">
              <w:rPr>
                <w:rFonts w:ascii="Verdana" w:eastAsia="Calibri" w:hAnsi="Verdana" w:cs="Arial"/>
                <w:bCs/>
                <w:lang w:eastAsia="es-ES_tradnl"/>
              </w:rPr>
              <w:t xml:space="preserve">CONVOCATORIAS LIMITADAS A MIPYMES </w:t>
            </w:r>
            <w:r>
              <w:rPr>
                <w:rFonts w:ascii="Verdana" w:eastAsia="Calibri" w:hAnsi="Verdana" w:cs="Arial"/>
                <w:bCs/>
                <w:lang w:eastAsia="es-ES_tradnl"/>
              </w:rPr>
              <w:t>– Generalidades –</w:t>
            </w:r>
            <w:r w:rsidRPr="00FB2E89">
              <w:rPr>
                <w:rFonts w:ascii="Verdana" w:eastAsia="Calibri" w:hAnsi="Verdana" w:cs="Arial"/>
                <w:bCs/>
                <w:lang w:eastAsia="es-ES_tradnl"/>
              </w:rPr>
              <w:t xml:space="preserve"> Requisitos</w:t>
            </w:r>
            <w:r w:rsidR="00AA1568">
              <w:rPr>
                <w:rFonts w:ascii="Verdana" w:eastAsia="Calibri" w:hAnsi="Verdana" w:cs="Arial"/>
                <w:bCs/>
                <w:lang w:eastAsia="es-ES_tradnl"/>
              </w:rPr>
              <w:t xml:space="preserve"> –</w:t>
            </w:r>
            <w:r>
              <w:rPr>
                <w:rFonts w:ascii="Verdana" w:eastAsia="Calibri" w:hAnsi="Verdana" w:cs="Arial"/>
                <w:bCs/>
                <w:lang w:eastAsia="es-ES_tradnl"/>
              </w:rPr>
              <w:t xml:space="preserve"> Cuantía del proceso</w:t>
            </w:r>
          </w:p>
          <w:p w14:paraId="4C217DA0" w14:textId="77777777" w:rsidR="00385BFB" w:rsidRPr="00D87339" w:rsidRDefault="00385BFB" w:rsidP="0027513F">
            <w:pPr>
              <w:spacing w:line="276" w:lineRule="auto"/>
              <w:jc w:val="both"/>
              <w:rPr>
                <w:rFonts w:ascii="Verdana" w:eastAsia="Calibri" w:hAnsi="Verdana" w:cs="Arial"/>
                <w:highlight w:val="yellow"/>
                <w:lang w:eastAsia="es-ES"/>
              </w:rPr>
            </w:pPr>
          </w:p>
        </w:tc>
      </w:tr>
      <w:tr w:rsidR="00385BFB" w:rsidRPr="00593A5F" w14:paraId="6EABA87A" w14:textId="77777777" w:rsidTr="0027513F">
        <w:tc>
          <w:tcPr>
            <w:tcW w:w="2689" w:type="dxa"/>
          </w:tcPr>
          <w:p w14:paraId="31B21ED1" w14:textId="77777777" w:rsidR="00385BFB" w:rsidRPr="00FB2E89" w:rsidRDefault="00385BFB" w:rsidP="0027513F">
            <w:pPr>
              <w:jc w:val="both"/>
              <w:rPr>
                <w:rFonts w:ascii="Verdana" w:eastAsia="Calibri" w:hAnsi="Verdana" w:cs="Arial"/>
                <w:b/>
                <w:lang w:val="es-ES_tradnl" w:eastAsia="es-ES_tradnl"/>
              </w:rPr>
            </w:pPr>
            <w:r w:rsidRPr="00FB2E89">
              <w:rPr>
                <w:rFonts w:ascii="Verdana" w:eastAsia="Calibri" w:hAnsi="Verdana" w:cs="Arial"/>
                <w:b/>
                <w:lang w:val="es-ES_tradnl" w:eastAsia="es-ES_tradnl"/>
              </w:rPr>
              <w:t xml:space="preserve"> Radicación:</w:t>
            </w:r>
            <w:r w:rsidRPr="00FB2E89">
              <w:rPr>
                <w:rFonts w:ascii="Verdana" w:eastAsia="Calibri" w:hAnsi="Verdana" w:cs="Arial"/>
                <w:lang w:val="es-ES_tradnl" w:eastAsia="es-ES_tradnl"/>
              </w:rPr>
              <w:t xml:space="preserve">               </w:t>
            </w:r>
          </w:p>
        </w:tc>
        <w:tc>
          <w:tcPr>
            <w:tcW w:w="6100" w:type="dxa"/>
          </w:tcPr>
          <w:p w14:paraId="19550BA0" w14:textId="77777777" w:rsidR="00385BFB" w:rsidRPr="00825AF7" w:rsidRDefault="00385BFB" w:rsidP="0027513F">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F16D1A">
              <w:rPr>
                <w:rFonts w:ascii="Verdana" w:eastAsia="Calibri" w:hAnsi="Verdana" w:cs="Arial"/>
                <w:lang w:val="es-ES_tradnl" w:eastAsia="es-ES_tradnl"/>
              </w:rPr>
              <w:t>P20240815008385</w:t>
            </w:r>
          </w:p>
        </w:tc>
      </w:tr>
    </w:tbl>
    <w:p w14:paraId="4A6B48BB" w14:textId="77777777" w:rsidR="00385BFB" w:rsidRPr="00593A5F" w:rsidRDefault="00385BFB" w:rsidP="00385BFB">
      <w:pPr>
        <w:spacing w:after="0" w:line="240" w:lineRule="auto"/>
        <w:jc w:val="both"/>
        <w:rPr>
          <w:rFonts w:ascii="Verdana" w:eastAsia="Calibri" w:hAnsi="Verdana" w:cs="Arial"/>
          <w:color w:val="000000"/>
          <w:lang w:val="es-ES_tradnl" w:eastAsia="es-ES_tradnl"/>
        </w:rPr>
      </w:pPr>
    </w:p>
    <w:p w14:paraId="10D203E1" w14:textId="77777777" w:rsidR="00385BFB" w:rsidRDefault="00385BFB" w:rsidP="00385BFB">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o señor </w:t>
      </w:r>
      <w:r>
        <w:rPr>
          <w:rFonts w:ascii="Verdana" w:eastAsia="Calibri" w:hAnsi="Verdana" w:cs="Arial"/>
          <w:lang w:val="es-ES" w:eastAsia="es-ES"/>
        </w:rPr>
        <w:t>Rodríguez</w:t>
      </w:r>
      <w:r w:rsidRPr="009A14E8">
        <w:rPr>
          <w:rFonts w:ascii="Verdana" w:eastAsia="Calibri" w:hAnsi="Verdana" w:cs="Arial"/>
          <w:lang w:val="es-ES" w:eastAsia="es-ES"/>
        </w:rPr>
        <w:t xml:space="preserve">: </w:t>
      </w:r>
    </w:p>
    <w:p w14:paraId="63EB8F53" w14:textId="77777777" w:rsidR="00385BFB" w:rsidRDefault="00385BFB" w:rsidP="00385BFB">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EE65305" w14:textId="77777777" w:rsidR="00385BFB" w:rsidRDefault="00385BFB" w:rsidP="00385BFB">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 xml:space="preserve">En ejercicio de la competencia </w:t>
      </w:r>
      <w:commentRangeStart w:id="0"/>
      <w:commentRangeStart w:id="1"/>
      <w:r w:rsidRPr="00593A5F">
        <w:rPr>
          <w:rFonts w:ascii="Verdana" w:eastAsia="Calibri" w:hAnsi="Verdana" w:cs="Arial"/>
          <w:color w:val="000000" w:themeColor="text1"/>
          <w:lang w:val="es-ES" w:eastAsia="es-ES"/>
        </w:rPr>
        <w:t xml:space="preserve">otorgada por los artículos 3, </w:t>
      </w:r>
      <w:commentRangeEnd w:id="0"/>
      <w:r>
        <w:rPr>
          <w:rStyle w:val="Refdecomentario"/>
        </w:rPr>
        <w:commentReference w:id="0"/>
      </w:r>
      <w:commentRangeEnd w:id="1"/>
      <w:r>
        <w:rPr>
          <w:rStyle w:val="Refdecomentario"/>
        </w:rPr>
        <w:commentReference w:id="1"/>
      </w:r>
      <w:r w:rsidRPr="00593A5F">
        <w:rPr>
          <w:rFonts w:ascii="Verdana" w:eastAsia="Calibri" w:hAnsi="Verdana" w:cs="Arial"/>
          <w:color w:val="000000" w:themeColor="text1"/>
          <w:lang w:val="es-ES" w:eastAsia="es-ES"/>
        </w:rPr>
        <w:t>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 xml:space="preserve">15 </w:t>
      </w:r>
      <w:r w:rsidRPr="00D46ED3">
        <w:rPr>
          <w:rFonts w:ascii="Verdana" w:eastAsia="Calibri" w:hAnsi="Verdana" w:cs="Arial"/>
          <w:lang w:val="es-ES" w:eastAsia="es-ES"/>
        </w:rPr>
        <w:t xml:space="preserve">de </w:t>
      </w:r>
      <w:r>
        <w:rPr>
          <w:rFonts w:ascii="Verdana" w:eastAsia="Calibri" w:hAnsi="Verdana" w:cs="Arial"/>
          <w:lang w:val="es-ES" w:eastAsia="es-ES"/>
        </w:rPr>
        <w:t xml:space="preserve">agosto </w:t>
      </w:r>
      <w:r w:rsidRPr="00D46ED3">
        <w:rPr>
          <w:rFonts w:ascii="Verdana" w:eastAsia="Calibri" w:hAnsi="Verdana" w:cs="Arial"/>
          <w:lang w:val="es-ES" w:eastAsia="es-ES"/>
        </w:rPr>
        <w:t>de 2024, en</w:t>
      </w:r>
      <w:r w:rsidRPr="00AA1286">
        <w:rPr>
          <w:rFonts w:ascii="Verdana" w:eastAsia="Calibri" w:hAnsi="Verdana" w:cs="Arial"/>
          <w:lang w:val="es-ES" w:eastAsia="es-ES"/>
        </w:rPr>
        <w:t xml:space="preserve"> la cual manifiesta lo siguiente:</w:t>
      </w:r>
    </w:p>
    <w:p w14:paraId="450BC7EC" w14:textId="77777777" w:rsidR="00385BFB" w:rsidRDefault="00385BFB" w:rsidP="00385BFB">
      <w:pPr>
        <w:spacing w:after="0" w:line="276" w:lineRule="auto"/>
        <w:jc w:val="both"/>
        <w:rPr>
          <w:rFonts w:ascii="Verdana" w:eastAsia="Calibri" w:hAnsi="Verdana" w:cs="Arial"/>
          <w:lang w:val="es-ES" w:eastAsia="es-ES"/>
        </w:rPr>
      </w:pPr>
    </w:p>
    <w:p w14:paraId="70019228" w14:textId="77777777" w:rsidR="00385BFB" w:rsidRDefault="00385BFB" w:rsidP="00385BFB">
      <w:pPr>
        <w:spacing w:after="0" w:line="276" w:lineRule="auto"/>
        <w:jc w:val="both"/>
        <w:rPr>
          <w:rFonts w:ascii="Verdana" w:eastAsia="Calibri" w:hAnsi="Verdana" w:cs="Arial"/>
          <w:lang w:val="es-ES" w:eastAsia="es-ES"/>
        </w:rPr>
      </w:pPr>
    </w:p>
    <w:p w14:paraId="0750F82E" w14:textId="77777777" w:rsidR="00385BFB" w:rsidRDefault="00385BFB" w:rsidP="00385BFB">
      <w:pPr>
        <w:spacing w:after="0" w:line="276" w:lineRule="auto"/>
        <w:ind w:left="709" w:right="1041"/>
        <w:jc w:val="both"/>
        <w:rPr>
          <w:rFonts w:ascii="Verdana" w:hAnsi="Verdana" w:cs="ArialMT"/>
          <w:i/>
          <w:iCs/>
          <w:sz w:val="21"/>
          <w:szCs w:val="21"/>
        </w:rPr>
      </w:pPr>
      <w:r w:rsidRPr="00AA1286">
        <w:rPr>
          <w:rFonts w:ascii="Verdana" w:eastAsia="Calibri" w:hAnsi="Verdana" w:cs="Arial"/>
          <w:lang w:val="es-ES" w:eastAsia="es-ES"/>
        </w:rPr>
        <w:t xml:space="preserve"> </w:t>
      </w:r>
      <w:r w:rsidRPr="004A0DB3">
        <w:rPr>
          <w:rFonts w:ascii="Verdana" w:hAnsi="Verdana" w:cs="ArialMT"/>
          <w:i/>
          <w:iCs/>
          <w:sz w:val="21"/>
          <w:szCs w:val="21"/>
        </w:rPr>
        <w:t>“[…]</w:t>
      </w:r>
      <w:r w:rsidRPr="00D67F77">
        <w:rPr>
          <w:rFonts w:ascii="Verdana" w:hAnsi="Verdana" w:cs="ArialMT"/>
          <w:i/>
          <w:iCs/>
          <w:sz w:val="21"/>
          <w:szCs w:val="21"/>
        </w:rPr>
        <w:t>En un proceso de contratación que NO tenga valor, esto debido</w:t>
      </w:r>
      <w:r>
        <w:rPr>
          <w:rFonts w:ascii="Verdana" w:hAnsi="Verdana" w:cs="ArialMT"/>
          <w:i/>
          <w:iCs/>
          <w:sz w:val="21"/>
          <w:szCs w:val="21"/>
        </w:rPr>
        <w:t xml:space="preserve"> </w:t>
      </w:r>
      <w:r w:rsidRPr="00D67F77">
        <w:rPr>
          <w:rFonts w:ascii="Verdana" w:hAnsi="Verdana" w:cs="ArialMT"/>
          <w:i/>
          <w:iCs/>
          <w:sz w:val="21"/>
          <w:szCs w:val="21"/>
        </w:rPr>
        <w:t>a que no genera</w:t>
      </w:r>
      <w:r>
        <w:rPr>
          <w:rFonts w:ascii="Verdana" w:hAnsi="Verdana" w:cs="ArialMT"/>
          <w:i/>
          <w:iCs/>
          <w:sz w:val="21"/>
          <w:szCs w:val="21"/>
        </w:rPr>
        <w:t xml:space="preserve"> </w:t>
      </w:r>
      <w:r w:rsidRPr="00D67F77">
        <w:rPr>
          <w:rFonts w:ascii="Verdana" w:hAnsi="Verdana" w:cs="ArialMT"/>
          <w:i/>
          <w:iCs/>
          <w:sz w:val="21"/>
          <w:szCs w:val="21"/>
        </w:rPr>
        <w:t>erogación para la entidad contratante, no tiene ni tendrá cuantía (siempre será valor</w:t>
      </w:r>
      <w:r>
        <w:rPr>
          <w:rFonts w:ascii="Verdana" w:hAnsi="Verdana" w:cs="ArialMT"/>
          <w:i/>
          <w:iCs/>
          <w:sz w:val="21"/>
          <w:szCs w:val="21"/>
        </w:rPr>
        <w:t xml:space="preserve"> </w:t>
      </w:r>
      <w:r w:rsidRPr="00D67F77">
        <w:rPr>
          <w:rFonts w:ascii="Verdana" w:hAnsi="Verdana" w:cs="ArialMT"/>
          <w:i/>
          <w:iCs/>
          <w:sz w:val="21"/>
          <w:szCs w:val="21"/>
        </w:rPr>
        <w:t>cero o indeterminado), sería susceptible de limitarse a MIPYMES NACIONALES,</w:t>
      </w:r>
      <w:r>
        <w:rPr>
          <w:rFonts w:ascii="Verdana" w:hAnsi="Verdana" w:cs="ArialMT"/>
          <w:i/>
          <w:iCs/>
          <w:sz w:val="21"/>
          <w:szCs w:val="21"/>
        </w:rPr>
        <w:t xml:space="preserve"> </w:t>
      </w:r>
      <w:r w:rsidRPr="00D67F77">
        <w:rPr>
          <w:rFonts w:ascii="Verdana" w:hAnsi="Verdana" w:cs="ArialMT"/>
          <w:i/>
          <w:iCs/>
          <w:sz w:val="21"/>
          <w:szCs w:val="21"/>
        </w:rPr>
        <w:t>DOMICILIADAS EN EL LUGAR DE EJECUCIÓN DEL PROCESO DE</w:t>
      </w:r>
      <w:r>
        <w:rPr>
          <w:rFonts w:ascii="Verdana" w:hAnsi="Verdana" w:cs="ArialMT"/>
          <w:i/>
          <w:iCs/>
          <w:sz w:val="21"/>
          <w:szCs w:val="21"/>
        </w:rPr>
        <w:t xml:space="preserve"> </w:t>
      </w:r>
      <w:r w:rsidRPr="00D67F77">
        <w:rPr>
          <w:rFonts w:ascii="Verdana" w:hAnsi="Verdana" w:cs="ArialMT"/>
          <w:i/>
          <w:iCs/>
          <w:sz w:val="21"/>
          <w:szCs w:val="21"/>
        </w:rPr>
        <w:t>CONTRATACIÓN, lo anterior de cara al requisito fijado por el legislador en el</w:t>
      </w:r>
      <w:r>
        <w:rPr>
          <w:rFonts w:ascii="Verdana" w:hAnsi="Verdana" w:cs="ArialMT"/>
          <w:i/>
          <w:iCs/>
          <w:sz w:val="21"/>
          <w:szCs w:val="21"/>
        </w:rPr>
        <w:t xml:space="preserve"> </w:t>
      </w:r>
      <w:r w:rsidRPr="00D67F77">
        <w:rPr>
          <w:rFonts w:ascii="Verdana" w:hAnsi="Verdana" w:cs="ArialMT"/>
          <w:i/>
          <w:iCs/>
          <w:sz w:val="21"/>
          <w:szCs w:val="21"/>
        </w:rPr>
        <w:t xml:space="preserve">numeral 1 del artículo 2.2.1.2.4.2.2 del Decreto 1082 del 2015. </w:t>
      </w:r>
      <w:r w:rsidRPr="004A0DB3">
        <w:rPr>
          <w:rFonts w:ascii="Verdana" w:hAnsi="Verdana" w:cs="ArialMT"/>
          <w:i/>
          <w:iCs/>
          <w:sz w:val="21"/>
          <w:szCs w:val="21"/>
        </w:rPr>
        <w:t>[…]”</w:t>
      </w:r>
    </w:p>
    <w:p w14:paraId="484DA2B3" w14:textId="77777777" w:rsidR="00385BFB" w:rsidRPr="004A0DB3" w:rsidRDefault="00385BFB" w:rsidP="00385BFB">
      <w:pPr>
        <w:spacing w:after="0" w:line="276" w:lineRule="auto"/>
        <w:jc w:val="both"/>
        <w:rPr>
          <w:rFonts w:ascii="Verdana" w:eastAsia="Calibri" w:hAnsi="Verdana" w:cs="Arial"/>
          <w:lang w:val="es-ES" w:eastAsia="es-ES"/>
        </w:rPr>
      </w:pPr>
    </w:p>
    <w:p w14:paraId="65678A63" w14:textId="77777777" w:rsidR="00385BFB" w:rsidRDefault="00385BFB" w:rsidP="00385BFB">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93A5F">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034DE3E" w14:textId="77777777" w:rsidR="00385BFB" w:rsidRDefault="00385BFB" w:rsidP="00385BF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173EC80B" w14:textId="77777777" w:rsidR="00385BFB" w:rsidRPr="00593A5F" w:rsidRDefault="00385BFB" w:rsidP="00385BFB">
      <w:pPr>
        <w:spacing w:after="0" w:line="276" w:lineRule="auto"/>
        <w:ind w:firstLine="709"/>
        <w:jc w:val="both"/>
        <w:rPr>
          <w:rFonts w:ascii="Verdana" w:eastAsia="Calibri" w:hAnsi="Verdana" w:cs="Arial"/>
          <w:color w:val="000000"/>
          <w:lang w:val="es-ES" w:eastAsia="es-ES"/>
        </w:rPr>
      </w:pPr>
    </w:p>
    <w:p w14:paraId="5E8D0777" w14:textId="77777777" w:rsidR="00385BFB" w:rsidRPr="00593A5F" w:rsidRDefault="00385BFB" w:rsidP="00385BF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3644648" w14:textId="77777777" w:rsidR="00385BFB" w:rsidRPr="00064EE2" w:rsidRDefault="00385BFB" w:rsidP="00385BFB">
      <w:pPr>
        <w:tabs>
          <w:tab w:val="left" w:pos="426"/>
        </w:tabs>
        <w:spacing w:after="0" w:line="276" w:lineRule="auto"/>
        <w:jc w:val="both"/>
        <w:rPr>
          <w:rFonts w:ascii="Verdana" w:eastAsia="Century Gothic" w:hAnsi="Verdana" w:cs="Century Gothic"/>
        </w:rPr>
      </w:pPr>
    </w:p>
    <w:p w14:paraId="18E92122" w14:textId="08E82B21" w:rsidR="00385BFB" w:rsidRPr="00064EE2" w:rsidRDefault="00385BFB" w:rsidP="00385BFB">
      <w:pPr>
        <w:spacing w:after="0" w:line="240" w:lineRule="auto"/>
        <w:ind w:right="-93"/>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 problema jurídico</w:t>
      </w:r>
      <w:r w:rsidRPr="005651D3">
        <w:rPr>
          <w:rFonts w:ascii="Verdana" w:eastAsia="Century Gothic" w:hAnsi="Verdana" w:cs="Century Gothic"/>
        </w:rPr>
        <w:t xml:space="preserve">: </w:t>
      </w:r>
      <w:r>
        <w:rPr>
          <w:rFonts w:ascii="Verdana" w:eastAsia="Century Gothic" w:hAnsi="Verdana" w:cs="Century Gothic"/>
        </w:rPr>
        <w:t>¿</w:t>
      </w:r>
      <w:r w:rsidRPr="00064EE2">
        <w:rPr>
          <w:rFonts w:ascii="Verdana" w:eastAsia="Century Gothic" w:hAnsi="Verdana" w:cs="Century Gothic"/>
        </w:rPr>
        <w:t>Es posible limitar</w:t>
      </w:r>
      <w:r w:rsidR="00D843C5">
        <w:rPr>
          <w:rFonts w:ascii="Verdana" w:eastAsia="Century Gothic" w:hAnsi="Verdana" w:cs="Century Gothic"/>
        </w:rPr>
        <w:t xml:space="preserve"> territorialmente</w:t>
      </w:r>
      <w:r>
        <w:rPr>
          <w:rFonts w:ascii="Verdana" w:eastAsia="Century Gothic" w:hAnsi="Verdana" w:cs="Century Gothic"/>
        </w:rPr>
        <w:t xml:space="preserve"> a Mipymes</w:t>
      </w:r>
      <w:r w:rsidRPr="00064EE2">
        <w:rPr>
          <w:rFonts w:ascii="Verdana" w:eastAsia="Century Gothic" w:hAnsi="Verdana" w:cs="Century Gothic"/>
        </w:rPr>
        <w:t xml:space="preserve"> un </w:t>
      </w:r>
      <w:r>
        <w:rPr>
          <w:rFonts w:ascii="Verdana" w:eastAsia="Century Gothic" w:hAnsi="Verdana" w:cs="Century Gothic"/>
        </w:rPr>
        <w:t>p</w:t>
      </w:r>
      <w:r w:rsidRPr="00064EE2">
        <w:rPr>
          <w:rFonts w:ascii="Verdana" w:eastAsia="Century Gothic" w:hAnsi="Verdana" w:cs="Century Gothic"/>
        </w:rPr>
        <w:t xml:space="preserve">roceso de </w:t>
      </w:r>
      <w:r w:rsidR="00D843C5">
        <w:rPr>
          <w:rFonts w:ascii="Verdana" w:eastAsia="Century Gothic" w:hAnsi="Verdana" w:cs="Century Gothic"/>
        </w:rPr>
        <w:t>c</w:t>
      </w:r>
      <w:r w:rsidRPr="00064EE2">
        <w:rPr>
          <w:rFonts w:ascii="Verdana" w:eastAsia="Century Gothic" w:hAnsi="Verdana" w:cs="Century Gothic"/>
        </w:rPr>
        <w:t>ontratación cuando la cuantía de este corresponde a Cero (0) pesos?</w:t>
      </w:r>
    </w:p>
    <w:p w14:paraId="42A8DB2F" w14:textId="77777777" w:rsidR="00385BFB" w:rsidRPr="00593A5F" w:rsidRDefault="00385BFB" w:rsidP="00385BFB">
      <w:pPr>
        <w:spacing w:after="0" w:line="276" w:lineRule="auto"/>
        <w:jc w:val="both"/>
        <w:rPr>
          <w:rFonts w:ascii="Verdana" w:eastAsia="Calibri" w:hAnsi="Verdana" w:cs="Arial"/>
          <w:color w:val="7030A0"/>
          <w:lang w:val="es-ES"/>
        </w:rPr>
      </w:pPr>
    </w:p>
    <w:p w14:paraId="62ED7F00" w14:textId="77777777" w:rsidR="00385BFB" w:rsidRPr="00593A5F" w:rsidRDefault="00385BFB" w:rsidP="00385BF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C2E168A" w14:textId="77777777" w:rsidR="00385BFB" w:rsidRPr="00593A5F" w:rsidRDefault="00385BFB" w:rsidP="00385BF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85BFB" w:rsidRPr="00593A5F" w14:paraId="7A789A1F" w14:textId="77777777" w:rsidTr="0027513F">
        <w:tc>
          <w:tcPr>
            <w:tcW w:w="8828" w:type="dxa"/>
            <w:shd w:val="clear" w:color="auto" w:fill="auto"/>
          </w:tcPr>
          <w:p w14:paraId="250F995A" w14:textId="7A8ADEC6" w:rsidR="00385BFB" w:rsidRPr="00064EE2" w:rsidRDefault="00026E67" w:rsidP="0027513F">
            <w:pPr>
              <w:spacing w:line="276" w:lineRule="auto"/>
              <w:contextualSpacing/>
              <w:jc w:val="both"/>
              <w:rPr>
                <w:rFonts w:ascii="Verdana" w:eastAsia="Century Gothic" w:hAnsi="Verdana" w:cs="Century Gothic"/>
              </w:rPr>
            </w:pPr>
            <w:r>
              <w:rPr>
                <w:rFonts w:ascii="Verdana" w:eastAsia="Century Gothic" w:hAnsi="Verdana" w:cs="Century Gothic"/>
              </w:rPr>
              <w:t>E</w:t>
            </w:r>
            <w:r w:rsidR="00385BFB" w:rsidRPr="00064EE2">
              <w:rPr>
                <w:rFonts w:ascii="Verdana" w:eastAsia="Century Gothic" w:hAnsi="Verdana" w:cs="Century Gothic"/>
              </w:rPr>
              <w:t>l artículo 2.2.1.2.4.2.2 de</w:t>
            </w:r>
            <w:r>
              <w:rPr>
                <w:rFonts w:ascii="Verdana" w:eastAsia="Century Gothic" w:hAnsi="Verdana" w:cs="Century Gothic"/>
              </w:rPr>
              <w:t xml:space="preserve">l Decreto 1082 de 2015 </w:t>
            </w:r>
            <w:r w:rsidR="00385BFB" w:rsidRPr="00064EE2">
              <w:rPr>
                <w:rFonts w:ascii="Verdana" w:eastAsia="Century Gothic" w:hAnsi="Verdana" w:cs="Century Gothic"/>
              </w:rPr>
              <w:t>señala de forma taxativa los requisitos que deben cumplir las Entidades Estatales para establecer una limitación a favor de las Mipymes dentro del Proceso de Contratación.</w:t>
            </w:r>
            <w:r w:rsidR="00D457C4">
              <w:rPr>
                <w:rFonts w:ascii="Verdana" w:eastAsia="Century Gothic" w:hAnsi="Verdana" w:cs="Century Gothic"/>
              </w:rPr>
              <w:t xml:space="preserve"> </w:t>
            </w:r>
            <w:r w:rsidR="00385BFB" w:rsidRPr="00064EE2">
              <w:rPr>
                <w:rFonts w:ascii="Verdana" w:eastAsia="Century Gothic" w:hAnsi="Verdana" w:cs="Century Gothic"/>
              </w:rPr>
              <w:t>En ese orden de ideas, la norma previamente señalada indica que será procedente la limitación a favor de las Mipymes colombianas con un año de constitución cuando concurran</w:t>
            </w:r>
            <w:r w:rsidR="00D457C4">
              <w:rPr>
                <w:rFonts w:ascii="Verdana" w:eastAsia="Century Gothic" w:hAnsi="Verdana" w:cs="Century Gothic"/>
              </w:rPr>
              <w:t>, entre otros,</w:t>
            </w:r>
            <w:r w:rsidR="00385BFB" w:rsidRPr="00064EE2">
              <w:rPr>
                <w:rFonts w:ascii="Verdana" w:eastAsia="Century Gothic" w:hAnsi="Verdana" w:cs="Century Gothic"/>
              </w:rPr>
              <w:t xml:space="preserve"> </w:t>
            </w:r>
            <w:r w:rsidR="00D457C4">
              <w:rPr>
                <w:rFonts w:ascii="Verdana" w:eastAsia="Century Gothic" w:hAnsi="Verdana" w:cs="Century Gothic"/>
              </w:rPr>
              <w:t>el</w:t>
            </w:r>
            <w:r w:rsidR="00385BFB" w:rsidRPr="00064EE2">
              <w:rPr>
                <w:rFonts w:ascii="Verdana" w:eastAsia="Century Gothic" w:hAnsi="Verdana" w:cs="Century Gothic"/>
              </w:rPr>
              <w:t xml:space="preserve"> siguiente requisito:</w:t>
            </w:r>
          </w:p>
          <w:p w14:paraId="627ACACA" w14:textId="77777777" w:rsidR="00385BFB" w:rsidRPr="00064EE2" w:rsidRDefault="00385BFB" w:rsidP="0027513F">
            <w:pPr>
              <w:spacing w:line="276" w:lineRule="auto"/>
              <w:jc w:val="both"/>
              <w:rPr>
                <w:rFonts w:ascii="Verdana" w:eastAsia="Century Gothic" w:hAnsi="Verdana" w:cs="Century Gothic"/>
              </w:rPr>
            </w:pPr>
          </w:p>
          <w:p w14:paraId="17AE68BA" w14:textId="27CF4660" w:rsidR="00385BFB" w:rsidRPr="00064EE2" w:rsidRDefault="00385BFB" w:rsidP="0027513F">
            <w:pPr>
              <w:spacing w:line="276" w:lineRule="auto"/>
              <w:jc w:val="both"/>
              <w:rPr>
                <w:rFonts w:ascii="Verdana" w:eastAsia="Century Gothic" w:hAnsi="Verdana" w:cs="Century Gothic"/>
              </w:rPr>
            </w:pPr>
            <w:r w:rsidRPr="00064EE2">
              <w:rPr>
                <w:rFonts w:ascii="Verdana" w:eastAsia="Century Gothic" w:hAnsi="Verdana" w:cs="Century Gothic"/>
              </w:rPr>
              <w:t>“(…) 1. El valor del Proceso de Contratación sea menor a ciento veinticinco mil dólares de los Estados Unidos de América (US$125.000), liquidados con la tasa de cambio que para el efecto determina cada dos años el Ministerio de Comercio, Industria y Turismo</w:t>
            </w:r>
            <w:r w:rsidR="00D457C4">
              <w:rPr>
                <w:rFonts w:ascii="Verdana" w:eastAsia="Century Gothic" w:hAnsi="Verdana" w:cs="Century Gothic"/>
              </w:rPr>
              <w:t>.</w:t>
            </w:r>
            <w:r w:rsidRPr="00064EE2">
              <w:rPr>
                <w:rFonts w:ascii="Verdana" w:eastAsia="Century Gothic" w:hAnsi="Verdana" w:cs="Century Gothic"/>
              </w:rPr>
              <w:t xml:space="preserve"> (…)”</w:t>
            </w:r>
            <w:r w:rsidRPr="00840337">
              <w:rPr>
                <w:rFonts w:ascii="Verdana" w:eastAsia="Century Gothic" w:hAnsi="Verdana" w:cs="Century Gothic"/>
                <w:vertAlign w:val="superscript"/>
              </w:rPr>
              <w:footnoteReference w:id="1"/>
            </w:r>
          </w:p>
          <w:p w14:paraId="18F45521" w14:textId="77777777" w:rsidR="00385BFB" w:rsidRPr="00064EE2" w:rsidRDefault="00385BFB" w:rsidP="0027513F">
            <w:pPr>
              <w:spacing w:line="276" w:lineRule="auto"/>
              <w:contextualSpacing/>
              <w:jc w:val="both"/>
              <w:rPr>
                <w:rFonts w:ascii="Verdana" w:eastAsia="Century Gothic" w:hAnsi="Verdana" w:cs="Century Gothic"/>
              </w:rPr>
            </w:pPr>
          </w:p>
          <w:p w14:paraId="7072973F" w14:textId="41B3C3BA" w:rsidR="00385BFB" w:rsidRPr="00064EE2" w:rsidRDefault="00385BFB" w:rsidP="0027513F">
            <w:pPr>
              <w:spacing w:line="276" w:lineRule="auto"/>
              <w:contextualSpacing/>
              <w:jc w:val="both"/>
              <w:rPr>
                <w:rFonts w:ascii="Verdana" w:eastAsia="Century Gothic" w:hAnsi="Verdana" w:cs="Century Gothic"/>
              </w:rPr>
            </w:pPr>
            <w:r w:rsidRPr="00064EE2">
              <w:rPr>
                <w:rFonts w:ascii="Verdana" w:eastAsia="Century Gothic" w:hAnsi="Verdana" w:cs="Century Gothic"/>
              </w:rPr>
              <w:lastRenderedPageBreak/>
              <w:t>De tal manera que, le corresponderá a la Entidad contratante evaluar el cumplimiento de los requisitos señalados en las convocatorias a Mipymes en los Procesos de Contratación que adelante la entidad estatal, en especial si el valor del Proceso de Contratación para efectos fiscales es menor a ciento veinticinco mil dólares de los Estados Unidos de América (US$125.000</w:t>
            </w:r>
            <w:r w:rsidR="00EE0707">
              <w:rPr>
                <w:rFonts w:ascii="Verdana" w:eastAsia="Century Gothic" w:hAnsi="Verdana" w:cs="Century Gothic"/>
              </w:rPr>
              <w:t>)</w:t>
            </w:r>
            <w:r w:rsidRPr="00064EE2">
              <w:rPr>
                <w:rFonts w:ascii="Verdana" w:eastAsia="Century Gothic" w:hAnsi="Verdana" w:cs="Century Gothic"/>
              </w:rPr>
              <w:t xml:space="preserve">, relacionados con los contratos de tracto sucesivo a largos periodos de tiempo en el cual la cuantía es indeterminada. </w:t>
            </w:r>
          </w:p>
          <w:p w14:paraId="772137EE" w14:textId="77777777" w:rsidR="00385BFB" w:rsidRPr="00064EE2" w:rsidRDefault="00385BFB" w:rsidP="0027513F">
            <w:pPr>
              <w:spacing w:line="276" w:lineRule="auto"/>
              <w:contextualSpacing/>
              <w:jc w:val="both"/>
              <w:rPr>
                <w:rFonts w:ascii="Verdana" w:eastAsia="Century Gothic" w:hAnsi="Verdana" w:cs="Century Gothic"/>
              </w:rPr>
            </w:pPr>
          </w:p>
          <w:p w14:paraId="26CBFB68" w14:textId="08824E35" w:rsidR="00C12AE5" w:rsidRPr="00A879B2" w:rsidRDefault="00385BFB" w:rsidP="00A879B2">
            <w:pPr>
              <w:spacing w:line="276" w:lineRule="auto"/>
              <w:contextualSpacing/>
              <w:jc w:val="both"/>
              <w:rPr>
                <w:rFonts w:ascii="Verdana" w:eastAsia="Century Gothic" w:hAnsi="Verdana" w:cs="Century Gothic"/>
              </w:rPr>
            </w:pPr>
            <w:r w:rsidRPr="00064EE2">
              <w:rPr>
                <w:rFonts w:ascii="Verdana" w:eastAsia="Century Gothic" w:hAnsi="Verdana" w:cs="Century Gothic"/>
              </w:rPr>
              <w:t>En los casos de los procesos cuya cuantía es indeterminada y se fije para efectos fiscales, le corresponderá a la entidad contratante determinar si se ajusta a estos presupuestos normativos previamente señalado</w:t>
            </w:r>
            <w:r w:rsidR="00AB46F8">
              <w:rPr>
                <w:rFonts w:ascii="Verdana" w:eastAsia="Century Gothic" w:hAnsi="Verdana" w:cs="Century Gothic"/>
              </w:rPr>
              <w:t>s</w:t>
            </w:r>
            <w:r w:rsidRPr="00064EE2">
              <w:rPr>
                <w:rFonts w:ascii="Verdana" w:eastAsia="Century Gothic" w:hAnsi="Verdana" w:cs="Century Gothic"/>
              </w:rPr>
              <w:t xml:space="preserve"> en el artículo 2.2.1.2.4.2.2 y para lo cual deberán motivar su decisión, atendiendo a los principios de la contratación estatal, función administrativa y dando aplicación al artículo 44 de la </w:t>
            </w:r>
            <w:r w:rsidR="00EE0707">
              <w:rPr>
                <w:rFonts w:ascii="Verdana" w:eastAsia="Century Gothic" w:hAnsi="Verdana" w:cs="Century Gothic"/>
              </w:rPr>
              <w:t>L</w:t>
            </w:r>
            <w:r w:rsidRPr="00064EE2">
              <w:rPr>
                <w:rFonts w:ascii="Verdana" w:eastAsia="Century Gothic" w:hAnsi="Verdana" w:cs="Century Gothic"/>
              </w:rPr>
              <w:t>ey 1437 de 2011.</w:t>
            </w:r>
          </w:p>
        </w:tc>
      </w:tr>
    </w:tbl>
    <w:p w14:paraId="7FBD9331" w14:textId="77777777" w:rsidR="00385BFB" w:rsidRPr="00593A5F" w:rsidRDefault="00385BFB" w:rsidP="00385BFB">
      <w:pPr>
        <w:tabs>
          <w:tab w:val="left" w:pos="142"/>
          <w:tab w:val="left" w:pos="284"/>
        </w:tabs>
        <w:spacing w:after="0" w:line="276" w:lineRule="auto"/>
        <w:jc w:val="both"/>
        <w:rPr>
          <w:rFonts w:ascii="Verdana" w:eastAsia="Century Gothic" w:hAnsi="Verdana" w:cs="Century Gothic"/>
          <w:b/>
          <w:bCs/>
          <w:lang w:val="es-ES"/>
        </w:rPr>
      </w:pPr>
    </w:p>
    <w:p w14:paraId="26C4A96D" w14:textId="77777777" w:rsidR="00385BFB" w:rsidRPr="00593A5F" w:rsidRDefault="00385BFB" w:rsidP="00385BF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1A4805B" w14:textId="77777777" w:rsidR="00385BFB" w:rsidRPr="00593A5F" w:rsidRDefault="00385BFB" w:rsidP="00385BFB">
      <w:pPr>
        <w:spacing w:after="0" w:line="276" w:lineRule="auto"/>
        <w:jc w:val="both"/>
        <w:rPr>
          <w:rFonts w:ascii="Verdana" w:eastAsia="Calibri" w:hAnsi="Verdana" w:cs="Arial"/>
          <w:color w:val="7030A0"/>
          <w:lang w:val="es-ES"/>
        </w:rPr>
      </w:pPr>
    </w:p>
    <w:p w14:paraId="7EDD0104" w14:textId="77777777" w:rsidR="00385BFB" w:rsidRDefault="00385BFB" w:rsidP="00385BFB">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7F7CEE1C" w14:textId="77777777" w:rsidR="00385BFB" w:rsidRDefault="00385BFB" w:rsidP="00385BFB">
      <w:pPr>
        <w:spacing w:after="0" w:line="276" w:lineRule="auto"/>
        <w:jc w:val="both"/>
        <w:rPr>
          <w:rFonts w:ascii="Verdana" w:eastAsia="Calibri" w:hAnsi="Verdana" w:cs="Arial"/>
          <w:lang w:val="es-ES"/>
        </w:rPr>
      </w:pPr>
    </w:p>
    <w:p w14:paraId="638CF7C0" w14:textId="4D347241" w:rsidR="00385BFB" w:rsidRDefault="00951548" w:rsidP="005731D6">
      <w:pPr>
        <w:spacing w:after="120" w:line="276" w:lineRule="auto"/>
        <w:contextualSpacing/>
        <w:jc w:val="both"/>
        <w:rPr>
          <w:rFonts w:ascii="Verdana" w:hAnsi="Verdana" w:cs="Arial"/>
          <w:bCs/>
        </w:rPr>
      </w:pPr>
      <w:r>
        <w:rPr>
          <w:rFonts w:ascii="Verdana" w:hAnsi="Verdana" w:cs="Arial"/>
          <w:bCs/>
        </w:rPr>
        <w:t>E</w:t>
      </w:r>
      <w:r w:rsidR="00385BFB" w:rsidRPr="00AD446C">
        <w:rPr>
          <w:rFonts w:ascii="Verdana" w:hAnsi="Verdana" w:cs="Arial"/>
          <w:bCs/>
        </w:rPr>
        <w:t xml:space="preserve">l artículo 33 de la Ley 2069 de 2020 modificó el artículo 12 de la Ley 590 de 2000, el cual regula la promoción del acceso de las </w:t>
      </w:r>
      <w:r w:rsidR="00385BFB">
        <w:rPr>
          <w:rFonts w:ascii="Verdana" w:hAnsi="Verdana" w:cs="Arial"/>
          <w:bCs/>
        </w:rPr>
        <w:t>M</w:t>
      </w:r>
      <w:r w:rsidR="00385BFB" w:rsidRPr="00AD446C">
        <w:rPr>
          <w:rFonts w:ascii="Verdana" w:hAnsi="Verdana" w:cs="Arial"/>
          <w:bCs/>
        </w:rPr>
        <w:t>ipymes al mercado de compras públicas. Dicha disposición consagra una serie de deberes que incumben, no solo a las entidades estatales que aplican el Estatuto General de Contratación de la Administración</w:t>
      </w:r>
      <w:r w:rsidR="00385BFB">
        <w:rPr>
          <w:rFonts w:ascii="Verdana" w:hAnsi="Verdana" w:cs="Arial"/>
          <w:bCs/>
        </w:rPr>
        <w:t xml:space="preserve"> </w:t>
      </w:r>
      <w:r w:rsidR="00385BFB" w:rsidRPr="00AD446C">
        <w:rPr>
          <w:rFonts w:ascii="Verdana" w:hAnsi="Verdana" w:cs="Arial"/>
          <w:bCs/>
        </w:rPr>
        <w:t xml:space="preserve">Pública, sino también a las que tienen regímenes de contratación exceptuados, los patrimonios autónomos constituidos por entidades estatales y los particulares que ejecuten recursos públicos. </w:t>
      </w:r>
    </w:p>
    <w:p w14:paraId="53CBEB88" w14:textId="77777777" w:rsidR="00987774" w:rsidRDefault="00987774" w:rsidP="00987774">
      <w:pPr>
        <w:spacing w:after="120" w:line="276" w:lineRule="auto"/>
        <w:ind w:left="720"/>
        <w:contextualSpacing/>
        <w:jc w:val="both"/>
        <w:rPr>
          <w:rFonts w:ascii="Verdana" w:hAnsi="Verdana" w:cs="Arial"/>
          <w:bCs/>
        </w:rPr>
      </w:pPr>
    </w:p>
    <w:p w14:paraId="058E2CE6" w14:textId="31BD623B" w:rsidR="005731D6" w:rsidRDefault="00987774" w:rsidP="005731D6">
      <w:pPr>
        <w:spacing w:before="120" w:line="276" w:lineRule="auto"/>
        <w:ind w:firstLine="709"/>
        <w:jc w:val="both"/>
        <w:rPr>
          <w:rFonts w:ascii="Arial" w:eastAsia="Calibri" w:hAnsi="Arial" w:cs="Arial"/>
          <w:lang w:val="es-ES"/>
        </w:rPr>
      </w:pPr>
      <w:r w:rsidRPr="00987774">
        <w:rPr>
          <w:rFonts w:ascii="Verdana" w:hAnsi="Verdana" w:cs="Arial"/>
          <w:bCs/>
        </w:rPr>
        <w:t xml:space="preserve">En cuando a su contenido, es importante señalar que, como dispone el artículo 1, aquella </w:t>
      </w:r>
      <w:r>
        <w:rPr>
          <w:rFonts w:ascii="Verdana" w:hAnsi="Verdana" w:cs="Arial"/>
          <w:bCs/>
        </w:rPr>
        <w:t>“</w:t>
      </w:r>
      <w:r w:rsidRPr="00987774">
        <w:rPr>
          <w:rFonts w:ascii="Verdana" w:hAnsi="Verdana" w:cs="Arial"/>
          <w:bCs/>
        </w:rPr>
        <w:t>tiene por objeto establecer un marco regulatorio que propicie el emprendimiento y el crecimiento, consolidación y sostenibilidad de las empresas, con el fin de aumentar el bienestar social y generar equidad</w:t>
      </w:r>
      <w:r>
        <w:rPr>
          <w:rFonts w:ascii="Verdana" w:hAnsi="Verdana" w:cs="Arial"/>
          <w:bCs/>
        </w:rPr>
        <w:t>”</w:t>
      </w:r>
      <w:r w:rsidRPr="00987774">
        <w:rPr>
          <w:rFonts w:ascii="Verdana" w:hAnsi="Verdana" w:cs="Arial"/>
          <w:bCs/>
        </w:rPr>
        <w:t xml:space="preserve">. Esto, a partir de </w:t>
      </w:r>
      <w:r>
        <w:rPr>
          <w:rFonts w:ascii="Verdana" w:hAnsi="Verdana" w:cs="Arial"/>
          <w:bCs/>
        </w:rPr>
        <w:t>“</w:t>
      </w:r>
      <w:r w:rsidRPr="00987774">
        <w:rPr>
          <w:rFonts w:ascii="Verdana" w:hAnsi="Verdana" w:cs="Arial"/>
          <w:bCs/>
        </w:rPr>
        <w:t xml:space="preserve">[…] un enfoque regionalizado </w:t>
      </w:r>
      <w:r w:rsidR="00A73808" w:rsidRPr="00987774">
        <w:rPr>
          <w:rFonts w:ascii="Verdana" w:hAnsi="Verdana" w:cs="Arial"/>
          <w:bCs/>
        </w:rPr>
        <w:t>de acuerdo con</w:t>
      </w:r>
      <w:r w:rsidRPr="00987774">
        <w:rPr>
          <w:rFonts w:ascii="Verdana" w:hAnsi="Verdana" w:cs="Arial"/>
          <w:bCs/>
        </w:rPr>
        <w:t xml:space="preserve"> las realidades socioeconómicas de cada región</w:t>
      </w:r>
      <w:r>
        <w:rPr>
          <w:rFonts w:ascii="Verdana" w:hAnsi="Verdana" w:cs="Arial"/>
          <w:bCs/>
        </w:rPr>
        <w:t>”</w:t>
      </w:r>
      <w:r w:rsidRPr="00987774">
        <w:rPr>
          <w:rFonts w:ascii="Verdana" w:hAnsi="Verdana" w:cs="Arial"/>
          <w:bCs/>
        </w:rPr>
        <w:t xml:space="preserve">. En desarrollo de esta finalidad, se establecen </w:t>
      </w:r>
      <w:r w:rsidRPr="005B7CB6">
        <w:rPr>
          <w:rFonts w:ascii="Verdana" w:hAnsi="Verdana" w:cs="Arial"/>
          <w:bCs/>
        </w:rPr>
        <w:t>medidas de apoyo para las micro, pequeñas y medianas empresas –</w:t>
      </w:r>
      <w:proofErr w:type="spellStart"/>
      <w:r w:rsidRPr="005B7CB6">
        <w:rPr>
          <w:rFonts w:ascii="Verdana" w:hAnsi="Verdana" w:cs="Arial"/>
          <w:bCs/>
        </w:rPr>
        <w:t>mipymes</w:t>
      </w:r>
      <w:proofErr w:type="spellEnd"/>
      <w:r w:rsidRPr="005B7CB6">
        <w:rPr>
          <w:rFonts w:ascii="Verdana" w:hAnsi="Verdana" w:cs="Arial"/>
          <w:bCs/>
        </w:rPr>
        <w:t>–, mediante la racionalización y simplificación de los trámites y tarifas</w:t>
      </w:r>
      <w:r w:rsidR="004C1412" w:rsidRPr="005B7CB6">
        <w:rPr>
          <w:rStyle w:val="Refdenotaalpie"/>
          <w:rFonts w:ascii="Verdana" w:hAnsi="Verdana" w:cs="Arial"/>
          <w:bCs/>
        </w:rPr>
        <w:footnoteReference w:id="2"/>
      </w:r>
      <w:r w:rsidRPr="005B7CB6">
        <w:rPr>
          <w:rFonts w:ascii="Verdana" w:hAnsi="Verdana" w:cs="Arial"/>
          <w:bCs/>
        </w:rPr>
        <w:t xml:space="preserve"> , así como incentivos a favor de aquellas dentro del sistema de compras y contratación </w:t>
      </w:r>
      <w:r w:rsidRPr="005B7CB6">
        <w:rPr>
          <w:rFonts w:ascii="Verdana" w:hAnsi="Verdana" w:cs="Arial"/>
          <w:bCs/>
        </w:rPr>
        <w:lastRenderedPageBreak/>
        <w:t>pública</w:t>
      </w:r>
      <w:r w:rsidR="004C1412" w:rsidRPr="005B7CB6">
        <w:rPr>
          <w:rStyle w:val="Refdenotaalpie"/>
          <w:rFonts w:ascii="Verdana" w:hAnsi="Verdana" w:cs="Arial"/>
          <w:bCs/>
        </w:rPr>
        <w:footnoteReference w:id="3"/>
      </w:r>
      <w:r w:rsidRPr="005B7CB6">
        <w:rPr>
          <w:rFonts w:ascii="Verdana" w:hAnsi="Verdana" w:cs="Arial"/>
          <w:bCs/>
        </w:rPr>
        <w:t xml:space="preserve"> . También se consagran mecanismos de acceso al financiamiento</w:t>
      </w:r>
      <w:r w:rsidR="00A73808" w:rsidRPr="005B7CB6">
        <w:rPr>
          <w:rStyle w:val="Refdenotaalpie"/>
          <w:rFonts w:ascii="Verdana" w:hAnsi="Verdana" w:cs="Arial"/>
          <w:bCs/>
        </w:rPr>
        <w:footnoteReference w:id="4"/>
      </w:r>
      <w:r w:rsidR="005417DD" w:rsidRPr="005B7CB6">
        <w:rPr>
          <w:rFonts w:ascii="Verdana" w:hAnsi="Verdana" w:cs="Arial"/>
          <w:bCs/>
        </w:rPr>
        <w:t>, se unifican las fuentes de emprendimiento y de desarrollo empresarial, para fortalecer y promover los distintos sectores de la economía</w:t>
      </w:r>
      <w:r w:rsidR="005417DD" w:rsidRPr="005B7CB6">
        <w:rPr>
          <w:rStyle w:val="Refdenotaalpie"/>
          <w:rFonts w:ascii="Verdana" w:hAnsi="Verdana" w:cs="Arial"/>
          <w:bCs/>
        </w:rPr>
        <w:footnoteReference w:id="5"/>
      </w:r>
      <w:r w:rsidR="005417DD" w:rsidRPr="005B7CB6">
        <w:rPr>
          <w:rFonts w:ascii="Verdana" w:hAnsi="Verdana" w:cs="Arial"/>
          <w:bCs/>
        </w:rPr>
        <w:t xml:space="preserve"> </w:t>
      </w:r>
      <w:r w:rsidR="005731D6" w:rsidRPr="005B7CB6">
        <w:rPr>
          <w:rFonts w:ascii="Verdana" w:eastAsia="Calibri" w:hAnsi="Verdana" w:cs="Arial"/>
          <w:lang w:val="es-ES"/>
        </w:rPr>
        <w:t>y se prevén medidas de educación para el emprendimiento y la innovación</w:t>
      </w:r>
      <w:r w:rsidR="005731D6" w:rsidRPr="005B7CB6">
        <w:rPr>
          <w:rStyle w:val="Refdenotaalpie"/>
          <w:rFonts w:ascii="Verdana" w:eastAsia="Calibri" w:hAnsi="Verdana" w:cs="Arial"/>
          <w:lang w:val="es-ES"/>
        </w:rPr>
        <w:footnoteReference w:id="6"/>
      </w:r>
      <w:r w:rsidR="005731D6" w:rsidRPr="005B7CB6">
        <w:rPr>
          <w:rFonts w:ascii="Verdana" w:eastAsia="Calibri" w:hAnsi="Verdana" w:cs="Arial"/>
          <w:lang w:val="es-ES"/>
        </w:rPr>
        <w:t>.</w:t>
      </w:r>
    </w:p>
    <w:p w14:paraId="07B02DDE" w14:textId="77777777" w:rsidR="009116AC" w:rsidRPr="005B7CB6" w:rsidRDefault="009116AC" w:rsidP="009116AC">
      <w:pPr>
        <w:spacing w:before="120" w:line="276" w:lineRule="auto"/>
        <w:ind w:firstLine="709"/>
        <w:jc w:val="both"/>
        <w:rPr>
          <w:rFonts w:ascii="Verdana" w:eastAsia="Calibri" w:hAnsi="Verdana" w:cs="Arial"/>
          <w:lang w:val="es-ES"/>
        </w:rPr>
      </w:pPr>
      <w:r w:rsidRPr="005B7CB6">
        <w:rPr>
          <w:rFonts w:ascii="Verdana" w:eastAsia="Calibri" w:hAnsi="Verdana" w:cs="Arial"/>
          <w:lang w:val="es-ES"/>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B7CB6">
        <w:rPr>
          <w:rFonts w:ascii="Verdana" w:eastAsia="Calibri" w:hAnsi="Verdana" w:cs="Arial"/>
          <w:lang w:val="es-ES"/>
        </w:rPr>
        <w:t>mipymes</w:t>
      </w:r>
      <w:proofErr w:type="spellEnd"/>
      <w:r w:rsidRPr="005B7CB6">
        <w:rPr>
          <w:rFonts w:ascii="Verdana" w:eastAsia="Calibri" w:hAnsi="Verdana" w:cs="Arial"/>
          <w:lang w:val="es-ES"/>
        </w:rPr>
        <w:t xml:space="preserve"> en el procedimiento de mínima cuantía, </w:t>
      </w:r>
      <w:proofErr w:type="spellStart"/>
      <w:r w:rsidRPr="005B7CB6">
        <w:rPr>
          <w:rFonts w:ascii="Verdana" w:eastAsia="Calibri" w:hAnsi="Verdana" w:cs="Arial"/>
          <w:lang w:val="es-ES"/>
        </w:rPr>
        <w:t>ii</w:t>
      </w:r>
      <w:proofErr w:type="spellEnd"/>
      <w:r w:rsidRPr="005B7CB6">
        <w:rPr>
          <w:rFonts w:ascii="Verdana" w:eastAsia="Calibri" w:hAnsi="Verdana" w:cs="Arial"/>
          <w:lang w:val="es-ES"/>
        </w:rPr>
        <w:t xml:space="preserve">) criterios diferenciales para </w:t>
      </w:r>
      <w:proofErr w:type="spellStart"/>
      <w:r w:rsidRPr="005B7CB6">
        <w:rPr>
          <w:rFonts w:ascii="Verdana" w:eastAsia="Calibri" w:hAnsi="Verdana" w:cs="Arial"/>
          <w:lang w:val="es-ES"/>
        </w:rPr>
        <w:t>mipymes</w:t>
      </w:r>
      <w:proofErr w:type="spellEnd"/>
      <w:r w:rsidRPr="005B7CB6">
        <w:rPr>
          <w:rFonts w:ascii="Verdana" w:eastAsia="Calibri" w:hAnsi="Verdana" w:cs="Arial"/>
          <w:lang w:val="es-ES"/>
        </w:rPr>
        <w:t xml:space="preserve"> en el sistema de compras públicas, </w:t>
      </w:r>
      <w:proofErr w:type="spellStart"/>
      <w:r w:rsidRPr="005B7CB6">
        <w:rPr>
          <w:rFonts w:ascii="Verdana" w:eastAsia="Calibri" w:hAnsi="Verdana" w:cs="Arial"/>
          <w:lang w:val="es-ES"/>
        </w:rPr>
        <w:t>iii</w:t>
      </w:r>
      <w:proofErr w:type="spellEnd"/>
      <w:r w:rsidRPr="005B7CB6">
        <w:rPr>
          <w:rFonts w:ascii="Verdana" w:eastAsia="Calibri" w:hAnsi="Verdana" w:cs="Arial"/>
          <w:lang w:val="es-ES"/>
        </w:rPr>
        <w:t xml:space="preserve">) criterios diferenciales para emprendimientos y empresas de mujeres en el sistema de compras públicas, </w:t>
      </w:r>
      <w:proofErr w:type="spellStart"/>
      <w:r w:rsidRPr="005B7CB6">
        <w:rPr>
          <w:rFonts w:ascii="Verdana" w:eastAsia="Calibri" w:hAnsi="Verdana" w:cs="Arial"/>
          <w:lang w:val="es-ES"/>
        </w:rPr>
        <w:t>iv</w:t>
      </w:r>
      <w:proofErr w:type="spellEnd"/>
      <w:r w:rsidRPr="005B7CB6">
        <w:rPr>
          <w:rFonts w:ascii="Verdana" w:eastAsia="Calibri" w:hAnsi="Verdana" w:cs="Arial"/>
          <w:lang w:val="es-ES"/>
        </w:rPr>
        <w:t xml:space="preserve">) promoción del acceso de las </w:t>
      </w:r>
      <w:proofErr w:type="spellStart"/>
      <w:r w:rsidRPr="005B7CB6">
        <w:rPr>
          <w:rFonts w:ascii="Verdana" w:eastAsia="Calibri" w:hAnsi="Verdana" w:cs="Arial"/>
          <w:lang w:val="es-ES"/>
        </w:rPr>
        <w:t>mipymes</w:t>
      </w:r>
      <w:proofErr w:type="spellEnd"/>
      <w:r w:rsidRPr="005B7CB6">
        <w:rPr>
          <w:rFonts w:ascii="Verdana" w:eastAsia="Calibri" w:hAnsi="Verdana" w:cs="Arial"/>
          <w:lang w:val="es-E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de la referida ley, a continuación, se estudiará el contenido y alcance de dichas normas.  </w:t>
      </w:r>
    </w:p>
    <w:p w14:paraId="6DB069E3" w14:textId="77777777" w:rsidR="005B7CB6" w:rsidRPr="005B7CB6" w:rsidRDefault="009116AC" w:rsidP="005B7CB6">
      <w:pPr>
        <w:spacing w:line="276" w:lineRule="auto"/>
        <w:jc w:val="both"/>
        <w:rPr>
          <w:rFonts w:ascii="Verdana" w:eastAsia="Calibri" w:hAnsi="Verdana" w:cs="Arial"/>
          <w:lang w:val="es-ES_tradnl"/>
        </w:rPr>
      </w:pPr>
      <w:r w:rsidRPr="005B7CB6">
        <w:rPr>
          <w:rFonts w:ascii="Verdana" w:eastAsia="Calibri" w:hAnsi="Verdana" w:cs="Arial"/>
          <w:lang w:val="es-ES"/>
        </w:rPr>
        <w:t xml:space="preserve">Ahora bien, respecto a la limitación Territorial de los procesos a las </w:t>
      </w:r>
      <w:proofErr w:type="spellStart"/>
      <w:r w:rsidRPr="005B7CB6">
        <w:rPr>
          <w:rFonts w:ascii="Verdana" w:eastAsia="Calibri" w:hAnsi="Verdana" w:cs="Arial"/>
          <w:lang w:val="es-ES"/>
        </w:rPr>
        <w:t>mipymes</w:t>
      </w:r>
      <w:proofErr w:type="spellEnd"/>
      <w:r w:rsidRPr="005B7CB6">
        <w:rPr>
          <w:rFonts w:ascii="Verdana" w:eastAsia="Calibri" w:hAnsi="Verdana" w:cs="Arial"/>
          <w:lang w:val="es-ES"/>
        </w:rPr>
        <w:t xml:space="preserve"> a ese nivel, </w:t>
      </w:r>
      <w:r w:rsidR="005B7CB6" w:rsidRPr="005B7CB6">
        <w:rPr>
          <w:rFonts w:ascii="Verdana" w:eastAsia="Calibri" w:hAnsi="Verdana" w:cs="Arial"/>
          <w:lang w:val="es-ES_tradnl"/>
        </w:rPr>
        <w:t>El artículo 34 de la Ley 2069 de 2020 establece nuevas reglas sobre la promoción al desarrollo en la contratación estatal. Concretamente, modifica el contenido del artículo 12 de la Ley 1150 de 2007</w:t>
      </w:r>
      <w:r w:rsidR="005B7CB6" w:rsidRPr="005B7CB6">
        <w:rPr>
          <w:rStyle w:val="Refdenotaalpie"/>
          <w:rFonts w:ascii="Verdana" w:eastAsia="Calibri" w:hAnsi="Verdana" w:cs="Arial"/>
          <w:lang w:val="es-ES_tradnl"/>
        </w:rPr>
        <w:footnoteReference w:id="7"/>
      </w:r>
      <w:r w:rsidR="005B7CB6" w:rsidRPr="005B7CB6">
        <w:rPr>
          <w:rFonts w:ascii="Verdana" w:eastAsia="Calibri" w:hAnsi="Verdana" w:cs="Arial"/>
          <w:lang w:val="es-ES_tradnl"/>
        </w:rPr>
        <w:t>, prescribiendo lo que se indica a continuación:</w:t>
      </w:r>
    </w:p>
    <w:p w14:paraId="23DB2CBE" w14:textId="12BBA9FF" w:rsidR="005B7CB6" w:rsidRPr="00213A3E" w:rsidRDefault="005B7CB6" w:rsidP="005B7CB6">
      <w:pPr>
        <w:spacing w:before="120" w:line="276" w:lineRule="auto"/>
        <w:ind w:firstLine="709"/>
        <w:jc w:val="both"/>
        <w:rPr>
          <w:rFonts w:ascii="Verdana" w:eastAsia="Calibri" w:hAnsi="Verdana" w:cs="Arial"/>
          <w:lang w:val="es-ES"/>
        </w:rPr>
      </w:pPr>
      <w:r w:rsidRPr="00213A3E">
        <w:rPr>
          <w:rFonts w:ascii="Verdana" w:eastAsia="Calibri" w:hAnsi="Verdana" w:cs="Arial"/>
          <w:lang w:val="es-ES"/>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r w:rsidR="00455541" w:rsidRPr="00213A3E">
        <w:rPr>
          <w:rFonts w:ascii="Verdana" w:eastAsia="Calibri" w:hAnsi="Verdana" w:cs="Arial"/>
          <w:lang w:val="es-ES"/>
        </w:rPr>
        <w:t>públicos</w:t>
      </w:r>
      <w:r w:rsidRPr="00213A3E">
        <w:rPr>
          <w:rFonts w:ascii="Verdana" w:eastAsia="Calibri" w:hAnsi="Verdana" w:cs="Arial"/>
          <w:lang w:val="es-ES"/>
        </w:rPr>
        <w:t xml:space="preserve"> efectúen convocatorias limitadas a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xml:space="preserve"> en los procesos de contratación. Y agrega que estas convocatorias se pueden realizar también en el ámbito municipal o departamental en el que se ejecute el contrato. </w:t>
      </w:r>
    </w:p>
    <w:p w14:paraId="2A50317E" w14:textId="77777777" w:rsidR="005B7CB6" w:rsidRPr="00213A3E" w:rsidRDefault="005B7CB6" w:rsidP="005B7CB6">
      <w:pPr>
        <w:spacing w:before="120" w:line="276" w:lineRule="auto"/>
        <w:ind w:firstLine="709"/>
        <w:jc w:val="both"/>
        <w:rPr>
          <w:rFonts w:ascii="Verdana" w:eastAsia="Calibri" w:hAnsi="Verdana" w:cs="Arial"/>
          <w:lang w:val="es-ES"/>
        </w:rPr>
      </w:pPr>
      <w:proofErr w:type="spellStart"/>
      <w:r w:rsidRPr="00213A3E">
        <w:rPr>
          <w:rFonts w:ascii="Verdana" w:eastAsia="Calibri" w:hAnsi="Verdana" w:cs="Arial"/>
          <w:lang w:val="es-ES"/>
        </w:rPr>
        <w:t>ii</w:t>
      </w:r>
      <w:proofErr w:type="spellEnd"/>
      <w:r w:rsidRPr="00213A3E">
        <w:rPr>
          <w:rFonts w:ascii="Verdana" w:eastAsia="Calibri" w:hAnsi="Verdana" w:cs="Arial"/>
          <w:lang w:val="es-ES"/>
        </w:rPr>
        <w:t xml:space="preserve">) Indica que dichas convocatorias se deben efectuar siempre y cuando, antes del acto administrativo de apertura del proceso de selección, por lo menos dos (2)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xml:space="preserve"> hayan manifestado su interés.</w:t>
      </w:r>
    </w:p>
    <w:p w14:paraId="618778A7" w14:textId="77777777" w:rsidR="005B7CB6" w:rsidRPr="00213A3E" w:rsidRDefault="005B7CB6" w:rsidP="005B7CB6">
      <w:pPr>
        <w:spacing w:before="120" w:line="276" w:lineRule="auto"/>
        <w:ind w:firstLine="709"/>
        <w:jc w:val="both"/>
        <w:rPr>
          <w:rFonts w:ascii="Verdana" w:eastAsia="Calibri" w:hAnsi="Verdana" w:cs="Arial"/>
          <w:lang w:val="es-ES"/>
        </w:rPr>
      </w:pPr>
      <w:proofErr w:type="spellStart"/>
      <w:r w:rsidRPr="00213A3E">
        <w:rPr>
          <w:rFonts w:ascii="Verdana" w:eastAsia="Calibri" w:hAnsi="Verdana" w:cs="Arial"/>
          <w:lang w:val="es-ES"/>
        </w:rPr>
        <w:t>iii</w:t>
      </w:r>
      <w:proofErr w:type="spellEnd"/>
      <w:r w:rsidRPr="00213A3E">
        <w:rPr>
          <w:rFonts w:ascii="Verdana" w:eastAsia="Calibri" w:hAnsi="Verdana" w:cs="Arial"/>
          <w:lang w:val="es-ES"/>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52C7C41" w14:textId="77777777" w:rsidR="005B7CB6" w:rsidRPr="00213A3E" w:rsidRDefault="005B7CB6" w:rsidP="005B7CB6">
      <w:pPr>
        <w:spacing w:before="120" w:line="276" w:lineRule="auto"/>
        <w:ind w:firstLine="709"/>
        <w:jc w:val="both"/>
        <w:rPr>
          <w:rFonts w:ascii="Verdana" w:eastAsia="Calibri" w:hAnsi="Verdana" w:cs="Arial"/>
          <w:lang w:val="es-ES"/>
        </w:rPr>
      </w:pPr>
      <w:proofErr w:type="spellStart"/>
      <w:r w:rsidRPr="00213A3E">
        <w:rPr>
          <w:rFonts w:ascii="Verdana" w:eastAsia="Calibri" w:hAnsi="Verdana" w:cs="Arial"/>
          <w:lang w:val="es-ES"/>
        </w:rPr>
        <w:t>iv</w:t>
      </w:r>
      <w:proofErr w:type="spellEnd"/>
      <w:r w:rsidRPr="00213A3E">
        <w:rPr>
          <w:rFonts w:ascii="Verdana" w:eastAsia="Calibri" w:hAnsi="Verdana" w:cs="Arial"/>
          <w:lang w:val="es-ES"/>
        </w:rPr>
        <w:t xml:space="preserve">) Establece que, en el reglamento, el gobierno nacional podría establecer condiciones preferenciales para los bienes y servicios producidos por las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sin contrariar los compromisos internacionales vigentes.</w:t>
      </w:r>
    </w:p>
    <w:p w14:paraId="36A79E6F" w14:textId="77777777" w:rsidR="005B7CB6" w:rsidRPr="00213A3E" w:rsidRDefault="005B7CB6" w:rsidP="005B7CB6">
      <w:pPr>
        <w:spacing w:before="120" w:line="276" w:lineRule="auto"/>
        <w:ind w:firstLine="709"/>
        <w:jc w:val="both"/>
        <w:rPr>
          <w:rFonts w:ascii="Verdana" w:eastAsia="Calibri" w:hAnsi="Verdana" w:cs="Arial"/>
          <w:lang w:val="es-ES"/>
        </w:rPr>
      </w:pPr>
      <w:r w:rsidRPr="00213A3E">
        <w:rPr>
          <w:rFonts w:ascii="Verdana" w:eastAsia="Calibri" w:hAnsi="Verdana" w:cs="Arial"/>
          <w:lang w:val="es-ES"/>
        </w:rPr>
        <w:t xml:space="preserve">v)  Aclara que tanto las convocatorias limitadas a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como las condiciones preferenciales a favor de los bienes y servicios producidos por estas, no es óbice para que deban cumplir las exigencias técnicas y económicas del proceso de selección.</w:t>
      </w:r>
    </w:p>
    <w:p w14:paraId="5775D37A" w14:textId="77777777" w:rsidR="005B7CB6" w:rsidRPr="00213A3E" w:rsidRDefault="005B7CB6" w:rsidP="005B7CB6">
      <w:pPr>
        <w:spacing w:before="120" w:line="276" w:lineRule="auto"/>
        <w:ind w:firstLine="709"/>
        <w:jc w:val="both"/>
        <w:rPr>
          <w:rFonts w:ascii="Verdana" w:eastAsia="Calibri" w:hAnsi="Verdana" w:cs="Arial"/>
          <w:lang w:val="es-ES"/>
        </w:rPr>
      </w:pPr>
      <w:r w:rsidRPr="00213A3E">
        <w:rPr>
          <w:rFonts w:ascii="Verdana" w:eastAsia="Calibri" w:hAnsi="Verdana" w:cs="Arial"/>
          <w:lang w:val="es-ES"/>
        </w:rPr>
        <w:t xml:space="preserve">vi) Señala que el reglamento a cargo del gobierno nacional, además de las convocatorias limitadas a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5E3ED047" w14:textId="77777777" w:rsidR="005B7CB6" w:rsidRPr="00213A3E" w:rsidRDefault="005B7CB6" w:rsidP="005B7CB6">
      <w:pPr>
        <w:spacing w:before="120" w:line="276" w:lineRule="auto"/>
        <w:ind w:firstLine="709"/>
        <w:jc w:val="both"/>
        <w:rPr>
          <w:rFonts w:ascii="Verdana" w:eastAsia="Calibri" w:hAnsi="Verdana" w:cs="Arial"/>
          <w:lang w:val="es-ES"/>
        </w:rPr>
      </w:pPr>
      <w:proofErr w:type="spellStart"/>
      <w:r w:rsidRPr="00213A3E">
        <w:rPr>
          <w:rFonts w:ascii="Verdana" w:eastAsia="Calibri" w:hAnsi="Verdana" w:cs="Arial"/>
          <w:lang w:val="es-ES"/>
        </w:rPr>
        <w:lastRenderedPageBreak/>
        <w:t>vii</w:t>
      </w:r>
      <w:proofErr w:type="spellEnd"/>
      <w:r w:rsidRPr="00213A3E">
        <w:rPr>
          <w:rFonts w:ascii="Verdana" w:eastAsia="Calibri" w:hAnsi="Verdana" w:cs="Arial"/>
          <w:lang w:val="es-ES"/>
        </w:rPr>
        <w:t xml:space="preserve">) Precisa que la posibilidad de participar en convocatorias limitadas a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xml:space="preserve"> se encuentra condicionada a que estas acrediten como mínimo un año de existencia, con el certificado expedido por la cámara de comercio respectiva o por la autoridad que sea competente para ello.</w:t>
      </w:r>
    </w:p>
    <w:p w14:paraId="2AC90F48" w14:textId="77777777" w:rsidR="005B7CB6" w:rsidRPr="00213A3E" w:rsidRDefault="005B7CB6" w:rsidP="005B7CB6">
      <w:pPr>
        <w:spacing w:before="120" w:line="276" w:lineRule="auto"/>
        <w:ind w:firstLine="709"/>
        <w:jc w:val="both"/>
        <w:rPr>
          <w:rFonts w:ascii="Verdana" w:eastAsia="Calibri" w:hAnsi="Verdana" w:cs="Arial"/>
          <w:lang w:val="es-ES"/>
        </w:rPr>
      </w:pPr>
      <w:proofErr w:type="spellStart"/>
      <w:r w:rsidRPr="00213A3E">
        <w:rPr>
          <w:rFonts w:ascii="Verdana" w:eastAsia="Calibri" w:hAnsi="Verdana" w:cs="Arial"/>
          <w:lang w:val="es-ES"/>
        </w:rPr>
        <w:t>viii</w:t>
      </w:r>
      <w:proofErr w:type="spellEnd"/>
      <w:r w:rsidRPr="00213A3E">
        <w:rPr>
          <w:rFonts w:ascii="Verdana" w:eastAsia="Calibri" w:hAnsi="Verdana" w:cs="Arial"/>
          <w:lang w:val="es-ES"/>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525D23BB" w14:textId="77777777" w:rsidR="00213A3E" w:rsidRPr="00213A3E" w:rsidRDefault="00213A3E" w:rsidP="00213A3E">
      <w:pPr>
        <w:spacing w:before="120" w:line="276" w:lineRule="auto"/>
        <w:ind w:firstLine="709"/>
        <w:jc w:val="both"/>
        <w:rPr>
          <w:rFonts w:ascii="Verdana" w:eastAsia="Calibri" w:hAnsi="Verdana" w:cs="Arial"/>
          <w:lang w:val="es-ES"/>
        </w:rPr>
      </w:pPr>
      <w:r w:rsidRPr="00213A3E">
        <w:rPr>
          <w:rFonts w:ascii="Verdana" w:eastAsia="Calibri" w:hAnsi="Verdana" w:cs="Arial"/>
          <w:lang w:val="es-ES"/>
        </w:rPr>
        <w:t>Por otro lado, en cuanto a lo dispuesto por el antiguo artículo 2.2.1.2.4.2.3 del Decreto 1082 de 2015</w:t>
      </w:r>
      <w:r w:rsidRPr="00213A3E">
        <w:rPr>
          <w:rStyle w:val="Refdenotaalpie"/>
          <w:rFonts w:ascii="Verdana" w:eastAsia="Calibri" w:hAnsi="Verdana" w:cs="Arial"/>
          <w:lang w:val="es-ES"/>
        </w:rPr>
        <w:footnoteReference w:id="8"/>
      </w:r>
      <w:r w:rsidRPr="00213A3E">
        <w:rPr>
          <w:rFonts w:ascii="Verdana" w:eastAsia="Calibri" w:hAnsi="Verdana" w:cs="Arial"/>
          <w:lang w:val="es-ES"/>
        </w:rPr>
        <w:t xml:space="preserve">, que regulaba la posibilidad de limitar convocatorias a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xml:space="preserve"> domiciliadas en un determinado ámbito territorial, se estima que este, al igual que el artículo 2.2.1.2.4.2.2, también se afectó por el fenómeno del decaimiento y hoy quedó sustituido por lo dispuesto en el Decreto 1860 de 2021. </w:t>
      </w:r>
    </w:p>
    <w:p w14:paraId="5A30AD66" w14:textId="77777777" w:rsidR="00213A3E" w:rsidRPr="00213A3E" w:rsidRDefault="00213A3E" w:rsidP="00213A3E">
      <w:pPr>
        <w:spacing w:before="120" w:line="276" w:lineRule="auto"/>
        <w:ind w:firstLine="709"/>
        <w:jc w:val="both"/>
        <w:rPr>
          <w:rFonts w:ascii="Verdana" w:eastAsia="Calibri" w:hAnsi="Verdana" w:cs="Arial"/>
        </w:rPr>
      </w:pPr>
      <w:r w:rsidRPr="00213A3E">
        <w:rPr>
          <w:rFonts w:ascii="Verdana" w:eastAsia="Calibri" w:hAnsi="Verdana" w:cs="Arial"/>
          <w:lang w:val="es-ES_tradnl"/>
        </w:rPr>
        <w:t xml:space="preserve">De otra parte, sobre las limitaciones territoriales para convocatorias de </w:t>
      </w:r>
      <w:proofErr w:type="spellStart"/>
      <w:r w:rsidRPr="00213A3E">
        <w:rPr>
          <w:rFonts w:ascii="Verdana" w:eastAsia="Calibri" w:hAnsi="Verdana" w:cs="Arial"/>
          <w:lang w:val="es-ES_tradnl"/>
        </w:rPr>
        <w:t>mipymes</w:t>
      </w:r>
      <w:proofErr w:type="spellEnd"/>
      <w:r w:rsidRPr="00213A3E">
        <w:rPr>
          <w:rFonts w:ascii="Verdana" w:eastAsia="Calibri" w:hAnsi="Verdana" w:cs="Arial"/>
          <w:lang w:val="es-ES_tradnl"/>
        </w:rPr>
        <w:t xml:space="preserve"> a la luz del antiguo artículo 2.2.1.2.4.2.3 del Decreto 1082 de 2015, esta Agencia –</w:t>
      </w:r>
      <w:r w:rsidRPr="00213A3E">
        <w:rPr>
          <w:rFonts w:ascii="Verdana" w:hAnsi="Verdana" w:cs="Arial"/>
        </w:rPr>
        <w:t>en los conceptos del 29 de enero de 2018 −radicado No. 4201714000006924−,</w:t>
      </w:r>
      <w:r w:rsidRPr="00213A3E">
        <w:rPr>
          <w:rFonts w:ascii="Verdana" w:eastAsia="Calibri" w:hAnsi="Verdana" w:cs="Arial"/>
        </w:rPr>
        <w:t xml:space="preserve"> C – 045 del 17 de marzo de 2020, C – 162 del 16 de abril de 2020, C – 214 del 21 de abril de 2020, C – 258 del 17 de abril de 2020, C – 364 del 4 de junio de 2020, C – 413 del 30 de junio de 2020</w:t>
      </w:r>
      <w:r w:rsidRPr="00213A3E">
        <w:rPr>
          <w:rFonts w:ascii="Verdana" w:hAnsi="Verdana" w:cs="Arial"/>
        </w:rPr>
        <w:t xml:space="preserve">, </w:t>
      </w:r>
      <w:r w:rsidRPr="00213A3E">
        <w:rPr>
          <w:rFonts w:ascii="Verdana" w:eastAsia="Calibri" w:hAnsi="Verdana" w:cs="Arial"/>
        </w:rPr>
        <w:t>C – 492 del 24 de julio de 2020, C – 523 del 11 de agosto de 2020, C – 610 del 14 de septiembre de 2020 y C-700 de 1 de diciembre de 2020–</w:t>
      </w:r>
      <w:r w:rsidRPr="00213A3E">
        <w:rPr>
          <w:rFonts w:ascii="Verdana" w:eastAsia="Calibri" w:hAnsi="Verdana" w:cs="Arial"/>
          <w:lang w:val="es-ES_tradnl"/>
        </w:rPr>
        <w:t xml:space="preserve"> había sostenido que, para que se permitiera la participación de una </w:t>
      </w:r>
      <w:proofErr w:type="spellStart"/>
      <w:r w:rsidRPr="00213A3E">
        <w:rPr>
          <w:rFonts w:ascii="Verdana" w:eastAsia="Calibri" w:hAnsi="Verdana" w:cs="Arial"/>
          <w:lang w:val="es-ES_tradnl"/>
        </w:rPr>
        <w:t>Mipyme</w:t>
      </w:r>
      <w:proofErr w:type="spellEnd"/>
      <w:r w:rsidRPr="00213A3E">
        <w:rPr>
          <w:rFonts w:ascii="Verdana" w:eastAsia="Calibri" w:hAnsi="Verdana" w:cs="Arial"/>
          <w:lang w:val="es-ES_tradnl"/>
        </w:rPr>
        <w:t xml:space="preserve"> en uno de estos procesos, era necesario que esta demostrara estar domiciliada en el municipio o departamento en el que se ejecutaría el contrato, la tesis se expuso en los siguientes términos</w:t>
      </w:r>
      <w:r w:rsidRPr="00213A3E">
        <w:rPr>
          <w:rFonts w:ascii="Verdana" w:eastAsia="Calibri" w:hAnsi="Verdana" w:cs="Arial"/>
        </w:rPr>
        <w:t xml:space="preserve">: </w:t>
      </w:r>
    </w:p>
    <w:p w14:paraId="78160750" w14:textId="77777777" w:rsidR="00213A3E" w:rsidRPr="00213A3E" w:rsidRDefault="00213A3E" w:rsidP="00213A3E">
      <w:pPr>
        <w:spacing w:after="120"/>
        <w:ind w:left="709" w:right="709"/>
        <w:jc w:val="both"/>
        <w:rPr>
          <w:rFonts w:ascii="Verdana" w:hAnsi="Verdana" w:cs="Arial"/>
          <w:sz w:val="21"/>
          <w:szCs w:val="21"/>
        </w:rPr>
      </w:pPr>
      <w:r w:rsidRPr="00213A3E">
        <w:rPr>
          <w:rFonts w:ascii="Verdana" w:hAnsi="Verdana" w:cs="Arial"/>
          <w:sz w:val="21"/>
          <w:szCs w:val="21"/>
        </w:rPr>
        <w:t xml:space="preserve">Es de resaltar que </w:t>
      </w:r>
      <w:r w:rsidRPr="00213A3E">
        <w:rPr>
          <w:rFonts w:ascii="Verdana" w:hAnsi="Verdana" w:cs="Arial"/>
          <w:i/>
          <w:iCs/>
          <w:sz w:val="21"/>
          <w:szCs w:val="21"/>
        </w:rPr>
        <w:t xml:space="preserve">estas normas se refieren a las </w:t>
      </w:r>
      <w:proofErr w:type="spellStart"/>
      <w:r w:rsidRPr="00213A3E">
        <w:rPr>
          <w:rFonts w:ascii="Verdana" w:hAnsi="Verdana" w:cs="Arial"/>
          <w:i/>
          <w:iCs/>
          <w:sz w:val="21"/>
          <w:szCs w:val="21"/>
        </w:rPr>
        <w:t>Mipymes</w:t>
      </w:r>
      <w:proofErr w:type="spellEnd"/>
      <w:r w:rsidRPr="00213A3E">
        <w:rPr>
          <w:rFonts w:ascii="Verdana" w:hAnsi="Verdana" w:cs="Arial"/>
          <w:i/>
          <w:iCs/>
          <w:sz w:val="21"/>
          <w:szCs w:val="21"/>
        </w:rPr>
        <w:t xml:space="preserve"> nacionales genéricamente y, particularmente, a las </w:t>
      </w:r>
      <w:proofErr w:type="spellStart"/>
      <w:r w:rsidRPr="00213A3E">
        <w:rPr>
          <w:rFonts w:ascii="Verdana" w:hAnsi="Verdana" w:cs="Arial"/>
          <w:i/>
          <w:iCs/>
          <w:sz w:val="21"/>
          <w:szCs w:val="21"/>
        </w:rPr>
        <w:t>Mipymes</w:t>
      </w:r>
      <w:proofErr w:type="spellEnd"/>
      <w:r w:rsidRPr="00213A3E">
        <w:rPr>
          <w:rFonts w:ascii="Verdana" w:hAnsi="Verdana" w:cs="Arial"/>
          <w:i/>
          <w:iCs/>
          <w:sz w:val="21"/>
          <w:szCs w:val="21"/>
        </w:rPr>
        <w:t xml:space="preserve"> nacionales «domiciliadas en los departamentos o municipios en donde se va a ejecutar el contrato».</w:t>
      </w:r>
      <w:r w:rsidRPr="00213A3E">
        <w:rPr>
          <w:rFonts w:ascii="Verdana" w:hAnsi="Verdana" w:cs="Arial"/>
          <w:sz w:val="21"/>
          <w:szCs w:val="21"/>
        </w:rPr>
        <w:t xml:space="preserve"> En ambos casos se refiere a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nacionales, distinguiéndolas de las empresas extranjeras. Del artículo 2.2.1.2.4.2.3. del Decreto 1082 de 2015 no se deriva que existan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del orden territorial. Esta categoría no existe en el ordenamiento jurídico. En ese sentido, toda empresa constituida bajo las leyes colombianas o que tenga su domicilio principal en el territorio </w:t>
      </w:r>
      <w:r w:rsidRPr="00213A3E">
        <w:rPr>
          <w:rFonts w:ascii="Verdana" w:hAnsi="Verdana" w:cs="Arial"/>
          <w:sz w:val="21"/>
          <w:szCs w:val="21"/>
        </w:rPr>
        <w:lastRenderedPageBreak/>
        <w:t xml:space="preserve">colombiano y, además, cumpla los criterios previstos por la Ley 590 de 2000 y el Decreto 957 de 2019, será considerada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del orden nacional. Otra cosa es que las normas de contratación permitan que las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nacionales con «domicilio» en un municipio o departamento puedan beneficiarse en la ejecución de un contrato dentro de la entidad territorial en la que tienen su «domicilio». De todos modos, las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domiciliadas en un municipio o departamento son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nacionales. En consecuencia, no es procedente distinguir entre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nacionales y </w:t>
      </w:r>
      <w:proofErr w:type="spellStart"/>
      <w:r w:rsidRPr="00213A3E">
        <w:rPr>
          <w:rFonts w:ascii="Verdana" w:hAnsi="Verdana" w:cs="Arial"/>
          <w:sz w:val="21"/>
          <w:szCs w:val="21"/>
        </w:rPr>
        <w:t>Mipymes</w:t>
      </w:r>
      <w:proofErr w:type="spellEnd"/>
      <w:r w:rsidRPr="00213A3E">
        <w:rPr>
          <w:rFonts w:ascii="Verdana" w:hAnsi="Verdana" w:cs="Arial"/>
          <w:sz w:val="21"/>
          <w:szCs w:val="21"/>
        </w:rPr>
        <w:t xml:space="preserve"> municipales o departamentales, habida cuenta que estas últimas no existen como categoría dentro del ordenamiento normativo.</w:t>
      </w:r>
    </w:p>
    <w:p w14:paraId="00237AB5" w14:textId="77777777" w:rsidR="00213A3E" w:rsidRPr="00213A3E" w:rsidRDefault="00213A3E" w:rsidP="00213A3E">
      <w:pPr>
        <w:ind w:left="709" w:right="709"/>
        <w:jc w:val="both"/>
        <w:rPr>
          <w:rFonts w:ascii="Verdana" w:hAnsi="Verdana" w:cs="Arial"/>
        </w:rPr>
      </w:pPr>
      <w:r w:rsidRPr="00213A3E">
        <w:rPr>
          <w:rFonts w:ascii="Verdana" w:hAnsi="Verdana" w:cs="Arial"/>
          <w:sz w:val="21"/>
          <w:szCs w:val="21"/>
        </w:rPr>
        <w:t xml:space="preserve">Igualmente, se debe precisar que </w:t>
      </w:r>
      <w:r w:rsidRPr="00213A3E">
        <w:rPr>
          <w:rFonts w:ascii="Verdana" w:hAnsi="Verdana" w:cs="Arial"/>
          <w:i/>
          <w:iCs/>
          <w:sz w:val="21"/>
          <w:szCs w:val="21"/>
        </w:rPr>
        <w:t>el artículo 2.2.1.2.4.2.3. del Decreto 1082 de 2015 se refiere a las «</w:t>
      </w:r>
      <w:proofErr w:type="spellStart"/>
      <w:r w:rsidRPr="00213A3E">
        <w:rPr>
          <w:rFonts w:ascii="Verdana" w:hAnsi="Verdana" w:cs="Arial"/>
          <w:i/>
          <w:iCs/>
          <w:sz w:val="21"/>
          <w:szCs w:val="21"/>
        </w:rPr>
        <w:t>Mipyme</w:t>
      </w:r>
      <w:proofErr w:type="spellEnd"/>
      <w:r w:rsidRPr="00213A3E">
        <w:rPr>
          <w:rFonts w:ascii="Verdana" w:hAnsi="Verdana" w:cs="Arial"/>
          <w:i/>
          <w:iCs/>
          <w:sz w:val="21"/>
          <w:szCs w:val="21"/>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00213A3E">
        <w:rPr>
          <w:rFonts w:ascii="Verdana" w:hAnsi="Verdana" w:cs="Arial"/>
          <w:i/>
          <w:iCs/>
          <w:sz w:val="21"/>
          <w:szCs w:val="21"/>
        </w:rPr>
        <w:t>Mipyme</w:t>
      </w:r>
      <w:proofErr w:type="spellEnd"/>
      <w:r w:rsidRPr="00213A3E">
        <w:rPr>
          <w:rFonts w:ascii="Verdana" w:hAnsi="Verdana" w:cs="Arial"/>
          <w:i/>
          <w:iCs/>
          <w:sz w:val="21"/>
          <w:szCs w:val="21"/>
        </w:rPr>
        <w:t xml:space="preserve"> tiene su «domicilio», y no en donde tiene sucursales</w:t>
      </w:r>
      <w:r w:rsidRPr="00213A3E">
        <w:rPr>
          <w:rStyle w:val="Refdenotaalpie"/>
          <w:rFonts w:ascii="Verdana" w:hAnsi="Verdana" w:cs="Arial"/>
          <w:i/>
          <w:iCs/>
          <w:sz w:val="21"/>
          <w:szCs w:val="21"/>
        </w:rPr>
        <w:footnoteReference w:id="9"/>
      </w:r>
      <w:r w:rsidRPr="00213A3E">
        <w:rPr>
          <w:rFonts w:ascii="Verdana" w:hAnsi="Verdana" w:cs="Arial"/>
          <w:sz w:val="21"/>
          <w:szCs w:val="21"/>
        </w:rPr>
        <w:t xml:space="preserve">. </w:t>
      </w:r>
      <w:r w:rsidRPr="00213A3E">
        <w:rPr>
          <w:rFonts w:ascii="Verdana" w:hAnsi="Verdana" w:cs="Arial"/>
        </w:rPr>
        <w:t>(Énfasis fuera de texto)</w:t>
      </w:r>
    </w:p>
    <w:p w14:paraId="6C2721EE" w14:textId="77777777" w:rsidR="00213A3E" w:rsidRPr="00213A3E" w:rsidRDefault="00213A3E" w:rsidP="00213A3E">
      <w:pPr>
        <w:spacing w:line="276" w:lineRule="auto"/>
        <w:ind w:left="709" w:right="709"/>
        <w:jc w:val="both"/>
        <w:rPr>
          <w:rFonts w:ascii="Verdana" w:hAnsi="Verdana" w:cs="Arial"/>
        </w:rPr>
      </w:pPr>
    </w:p>
    <w:p w14:paraId="344D9FCC" w14:textId="77777777" w:rsidR="00213A3E" w:rsidRPr="00213A3E" w:rsidRDefault="00213A3E" w:rsidP="00213A3E">
      <w:pPr>
        <w:spacing w:after="120" w:line="276" w:lineRule="auto"/>
        <w:ind w:firstLine="709"/>
        <w:jc w:val="both"/>
        <w:rPr>
          <w:rFonts w:ascii="Verdana" w:eastAsia="Calibri" w:hAnsi="Verdana" w:cs="Arial"/>
          <w:lang w:val="es-ES_tradnl"/>
        </w:rPr>
      </w:pPr>
      <w:r w:rsidRPr="00213A3E">
        <w:rPr>
          <w:rFonts w:ascii="Verdana" w:hAnsi="Verdana" w:cs="Arial"/>
        </w:rPr>
        <w:t xml:space="preserve">Como se aprecia, la postura sostenida por esta Agencia en vigencia del artículo </w:t>
      </w:r>
      <w:r w:rsidRPr="00213A3E">
        <w:rPr>
          <w:rFonts w:ascii="Verdana" w:eastAsia="Calibri" w:hAnsi="Verdana" w:cs="Arial"/>
          <w:lang w:val="es-ES_tradnl"/>
        </w:rPr>
        <w:t xml:space="preserve">2.2.1.2.4.2.3 del Decreto 1082 de 2015 no contemplaba la posibilidad de que una </w:t>
      </w:r>
      <w:proofErr w:type="spellStart"/>
      <w:r w:rsidRPr="00213A3E">
        <w:rPr>
          <w:rFonts w:ascii="Verdana" w:eastAsia="Calibri" w:hAnsi="Verdana" w:cs="Arial"/>
          <w:lang w:val="es-ES_tradnl"/>
        </w:rPr>
        <w:t>Mipyme</w:t>
      </w:r>
      <w:proofErr w:type="spellEnd"/>
      <w:r w:rsidRPr="00213A3E">
        <w:rPr>
          <w:rFonts w:ascii="Verdana" w:eastAsia="Calibri" w:hAnsi="Verdana" w:cs="Arial"/>
          <w:lang w:val="es-ES_tradnl"/>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00213A3E">
        <w:rPr>
          <w:rFonts w:ascii="Verdana" w:eastAsia="Calibri" w:hAnsi="Verdana" w:cs="Arial"/>
          <w:lang w:val="es-ES_tradnl"/>
        </w:rPr>
        <w:t>mipyme</w:t>
      </w:r>
      <w:proofErr w:type="spellEnd"/>
      <w:r w:rsidRPr="00213A3E">
        <w:rPr>
          <w:rFonts w:ascii="Verdana" w:eastAsia="Calibri" w:hAnsi="Verdana" w:cs="Arial"/>
          <w:lang w:val="es-ES_tradnl"/>
        </w:rPr>
        <w:t xml:space="preserve">. </w:t>
      </w:r>
    </w:p>
    <w:p w14:paraId="20F83266" w14:textId="77777777" w:rsidR="00213A3E" w:rsidRPr="00213A3E" w:rsidRDefault="00213A3E" w:rsidP="00213A3E">
      <w:pPr>
        <w:spacing w:line="276" w:lineRule="auto"/>
        <w:ind w:firstLine="708"/>
        <w:jc w:val="both"/>
        <w:rPr>
          <w:rFonts w:ascii="Verdana" w:eastAsia="Calibri" w:hAnsi="Verdana" w:cs="Arial"/>
          <w:lang w:val="es-ES"/>
        </w:rPr>
      </w:pPr>
      <w:r w:rsidRPr="00213A3E">
        <w:rPr>
          <w:rFonts w:ascii="Verdana" w:eastAsia="Calibri" w:hAnsi="Verdana" w:cs="Arial"/>
          <w:lang w:val="es-ES"/>
        </w:rPr>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w:t>
      </w:r>
      <w:proofErr w:type="spellStart"/>
      <w:r w:rsidRPr="00213A3E">
        <w:rPr>
          <w:rFonts w:ascii="Verdana" w:eastAsia="Calibri" w:hAnsi="Verdana" w:cs="Arial"/>
          <w:lang w:val="es-ES"/>
        </w:rPr>
        <w:t>mipymes</w:t>
      </w:r>
      <w:proofErr w:type="spellEnd"/>
      <w:r w:rsidRPr="00213A3E">
        <w:rPr>
          <w:rFonts w:ascii="Verdana" w:eastAsia="Calibri" w:hAnsi="Verdana" w:cs="Arial"/>
          <w:lang w:val="es-ES"/>
        </w:rPr>
        <w:t xml:space="preserve"> en el departamento o municipio donde se ejecuta el contrato, la reglamentación no tuvo cambios. Así se desprende del texto de la nueva norma que es del siguiente tenor: </w:t>
      </w:r>
    </w:p>
    <w:p w14:paraId="6CB22BFF" w14:textId="77777777" w:rsidR="00213A3E" w:rsidRPr="00213A3E" w:rsidRDefault="00213A3E" w:rsidP="00213A3E">
      <w:pPr>
        <w:ind w:right="709"/>
        <w:jc w:val="both"/>
        <w:rPr>
          <w:rFonts w:ascii="Verdana" w:hAnsi="Verdana" w:cs="Arial"/>
          <w:sz w:val="21"/>
          <w:szCs w:val="21"/>
        </w:rPr>
      </w:pPr>
    </w:p>
    <w:p w14:paraId="0A4ED7A4" w14:textId="77777777" w:rsidR="00213A3E" w:rsidRPr="00213A3E" w:rsidRDefault="00213A3E" w:rsidP="00213A3E">
      <w:pPr>
        <w:ind w:left="709" w:right="709"/>
        <w:jc w:val="both"/>
        <w:rPr>
          <w:rFonts w:ascii="Verdana" w:hAnsi="Verdana" w:cs="Arial"/>
          <w:sz w:val="21"/>
          <w:szCs w:val="21"/>
        </w:rPr>
      </w:pPr>
      <w:r w:rsidRPr="00213A3E">
        <w:rPr>
          <w:rFonts w:ascii="Verdana" w:hAnsi="Verdana" w:cs="Arial"/>
          <w:sz w:val="21"/>
          <w:szCs w:val="21"/>
        </w:rPr>
        <w:t xml:space="preserve">ARTÍCULO  5. Modificación de la Subsección 2 de la Sección 4 del Capítulo 2 del Título 1 de la Parte 2 del Libro 2 del Decreto 1082 de 2015. Modifíquense los artículos 2.2.1.2.4.2.2., 2.2.1.2.4.2.3. </w:t>
      </w:r>
      <w:r w:rsidRPr="00213A3E">
        <w:rPr>
          <w:rFonts w:ascii="Verdana" w:hAnsi="Verdana" w:cs="Arial"/>
          <w:sz w:val="21"/>
          <w:szCs w:val="21"/>
        </w:rPr>
        <w:lastRenderedPageBreak/>
        <w:t>y 2.2.1.2.4.2.4. de la Subsección 2 de la Sección 4 del Capítulo 2 del Título 1 de la Parte 2 del Libro 2 del Decreto 1082 de 2015, los cuales quedarán así:</w:t>
      </w:r>
    </w:p>
    <w:p w14:paraId="0DB367C0" w14:textId="77777777" w:rsidR="00213A3E" w:rsidRPr="00213A3E" w:rsidRDefault="00213A3E" w:rsidP="00213A3E">
      <w:pPr>
        <w:spacing w:after="120"/>
        <w:ind w:left="709" w:right="709"/>
        <w:jc w:val="both"/>
        <w:rPr>
          <w:rFonts w:ascii="Verdana" w:hAnsi="Verdana" w:cs="Arial"/>
          <w:sz w:val="21"/>
          <w:szCs w:val="21"/>
        </w:rPr>
      </w:pPr>
      <w:r w:rsidRPr="00213A3E">
        <w:rPr>
          <w:rFonts w:ascii="Verdana" w:hAnsi="Verdana" w:cs="Arial"/>
          <w:sz w:val="21"/>
          <w:szCs w:val="21"/>
        </w:rPr>
        <w:t>[…]</w:t>
      </w:r>
    </w:p>
    <w:p w14:paraId="369FFAEE" w14:textId="77777777" w:rsidR="00213A3E" w:rsidRPr="00213A3E" w:rsidRDefault="00213A3E" w:rsidP="00213A3E">
      <w:pPr>
        <w:ind w:left="709" w:right="709"/>
        <w:jc w:val="both"/>
        <w:rPr>
          <w:rFonts w:ascii="Verdana" w:eastAsia="Calibri" w:hAnsi="Verdana" w:cs="Arial"/>
          <w:lang w:val="es-ES_tradnl"/>
        </w:rPr>
      </w:pPr>
      <w:r w:rsidRPr="00213A3E">
        <w:rPr>
          <w:rFonts w:ascii="Verdana" w:hAnsi="Verdana" w:cs="Arial"/>
          <w:sz w:val="21"/>
          <w:szCs w:val="2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213A3E">
        <w:rPr>
          <w:rFonts w:ascii="Verdana" w:hAnsi="Verdana" w:cs="Arial"/>
          <w:sz w:val="21"/>
          <w:szCs w:val="21"/>
        </w:rPr>
        <w:t>Mipyme</w:t>
      </w:r>
      <w:proofErr w:type="spellEnd"/>
      <w:r w:rsidRPr="00213A3E">
        <w:rPr>
          <w:rFonts w:ascii="Verdana" w:hAnsi="Verdana" w:cs="Arial"/>
          <w:sz w:val="21"/>
          <w:szCs w:val="21"/>
        </w:rPr>
        <w:t xml:space="preserve"> colombianas que tengan domicilio en los departamentos o municipios en donde se va a ejecutar el contrato. Cada </w:t>
      </w:r>
      <w:proofErr w:type="spellStart"/>
      <w:r w:rsidRPr="00213A3E">
        <w:rPr>
          <w:rFonts w:ascii="Verdana" w:hAnsi="Verdana" w:cs="Arial"/>
          <w:sz w:val="21"/>
          <w:szCs w:val="21"/>
        </w:rPr>
        <w:t>Mipyme</w:t>
      </w:r>
      <w:proofErr w:type="spellEnd"/>
      <w:r w:rsidRPr="00213A3E">
        <w:rPr>
          <w:rFonts w:ascii="Verdana" w:hAnsi="Verdana" w:cs="Arial"/>
          <w:sz w:val="21"/>
          <w:szCs w:val="21"/>
        </w:rPr>
        <w:t xml:space="preserve"> deberá acreditar su domicilio con los documentos a los que se refiere el siguiente artículo. </w:t>
      </w:r>
    </w:p>
    <w:p w14:paraId="326A4F8F" w14:textId="77777777" w:rsidR="00213A3E" w:rsidRPr="00213A3E" w:rsidRDefault="00213A3E" w:rsidP="00213A3E">
      <w:pPr>
        <w:spacing w:line="276" w:lineRule="auto"/>
        <w:ind w:left="709" w:right="709"/>
        <w:jc w:val="both"/>
        <w:rPr>
          <w:rFonts w:ascii="Verdana" w:eastAsia="Calibri" w:hAnsi="Verdana" w:cs="Arial"/>
          <w:lang w:val="es-ES_tradnl"/>
        </w:rPr>
      </w:pPr>
    </w:p>
    <w:p w14:paraId="337AE549" w14:textId="56E7D008" w:rsidR="00213A3E" w:rsidRPr="00213A3E" w:rsidRDefault="00213A3E" w:rsidP="00213A3E">
      <w:pPr>
        <w:spacing w:line="276" w:lineRule="auto"/>
        <w:ind w:firstLine="709"/>
        <w:jc w:val="both"/>
        <w:rPr>
          <w:rFonts w:ascii="Verdana" w:eastAsia="Calibri" w:hAnsi="Verdana" w:cs="Arial"/>
          <w:lang w:val="es-ES_tradnl"/>
        </w:rPr>
      </w:pPr>
      <w:r w:rsidRPr="00213A3E">
        <w:rPr>
          <w:rFonts w:ascii="Verdana" w:eastAsia="Calibri" w:hAnsi="Verdana" w:cs="Arial"/>
          <w:lang w:val="es-ES_tradnl"/>
        </w:rPr>
        <w:t xml:space="preserve">La norma reglamentaria coincide con la redacción del parágrafo 1 del artículo 34 de la Ley 2069 de 2020, según el cual, sí es posible limitar convocatorias a la participación de </w:t>
      </w:r>
      <w:proofErr w:type="spellStart"/>
      <w:r w:rsidRPr="00213A3E">
        <w:rPr>
          <w:rFonts w:ascii="Verdana" w:eastAsia="Calibri" w:hAnsi="Verdana" w:cs="Arial"/>
          <w:lang w:val="es-ES_tradnl"/>
        </w:rPr>
        <w:t>mipymes</w:t>
      </w:r>
      <w:proofErr w:type="spellEnd"/>
      <w:r w:rsidRPr="00213A3E">
        <w:rPr>
          <w:rFonts w:ascii="Verdana" w:eastAsia="Calibri" w:hAnsi="Verdana" w:cs="Arial"/>
          <w:lang w:val="es-ES_tradnl"/>
        </w:rPr>
        <w:t xml:space="preserve"> </w:t>
      </w:r>
      <w:r>
        <w:rPr>
          <w:rFonts w:ascii="Verdana" w:eastAsia="Calibri" w:hAnsi="Verdana" w:cs="Arial"/>
          <w:lang w:val="es-ES_tradnl"/>
        </w:rPr>
        <w:t>“</w:t>
      </w:r>
      <w:r w:rsidRPr="00213A3E">
        <w:rPr>
          <w:rFonts w:ascii="Verdana" w:eastAsia="Calibri" w:hAnsi="Verdana" w:cs="Arial"/>
          <w:lang w:val="es-ES_tradnl"/>
        </w:rPr>
        <w:t xml:space="preserve">[…] </w:t>
      </w:r>
      <w:r w:rsidRPr="00213A3E">
        <w:rPr>
          <w:rFonts w:ascii="Verdana" w:eastAsia="Calibri" w:hAnsi="Verdana" w:cs="Arial"/>
        </w:rPr>
        <w:t>del ámbito municipal o departamental correspondiente al de la ejecución del contrato</w:t>
      </w:r>
      <w:r>
        <w:rPr>
          <w:rFonts w:ascii="Verdana" w:eastAsia="Calibri" w:hAnsi="Verdana" w:cs="Arial"/>
          <w:lang w:val="es-ES_tradnl"/>
        </w:rPr>
        <w:t>”</w:t>
      </w:r>
      <w:r w:rsidRPr="00213A3E">
        <w:rPr>
          <w:rFonts w:ascii="Verdana" w:eastAsia="Calibri" w:hAnsi="Verdana" w:cs="Arial"/>
          <w:lang w:val="es-ES_tradnl"/>
        </w:rPr>
        <w:t xml:space="preserve">. En tales términos, la norma citada sólo contempla la posibilidad de limitar convocatorias a </w:t>
      </w:r>
      <w:proofErr w:type="spellStart"/>
      <w:r w:rsidRPr="00213A3E">
        <w:rPr>
          <w:rFonts w:ascii="Verdana" w:eastAsia="Calibri" w:hAnsi="Verdana" w:cs="Arial"/>
          <w:lang w:val="es-ES_tradnl"/>
        </w:rPr>
        <w:t>mipymes</w:t>
      </w:r>
      <w:proofErr w:type="spellEnd"/>
      <w:r w:rsidRPr="00213A3E">
        <w:rPr>
          <w:rFonts w:ascii="Verdana" w:eastAsia="Calibri" w:hAnsi="Verdana" w:cs="Arial"/>
          <w:lang w:val="es-ES_tradnl"/>
        </w:rPr>
        <w:t xml:space="preserve"> con domicilio en esos dos tipos de entidades territoriales. </w:t>
      </w:r>
    </w:p>
    <w:p w14:paraId="0CBAEE2D" w14:textId="66DA809B" w:rsidR="00213A3E" w:rsidRPr="00213A3E" w:rsidRDefault="00213A3E" w:rsidP="00213A3E">
      <w:pPr>
        <w:spacing w:before="120" w:line="276" w:lineRule="auto"/>
        <w:ind w:firstLine="709"/>
        <w:jc w:val="both"/>
        <w:rPr>
          <w:rFonts w:ascii="Verdana" w:eastAsia="Arial" w:hAnsi="Verdana" w:cs="Arial"/>
          <w:color w:val="000000"/>
          <w:lang w:val="es-MX"/>
        </w:rPr>
      </w:pPr>
      <w:r w:rsidRPr="00213A3E">
        <w:rPr>
          <w:rFonts w:ascii="Verdana" w:eastAsia="Arial" w:hAnsi="Verdana" w:cs="Arial"/>
          <w:color w:val="000000"/>
          <w:lang w:val="es-MX"/>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213A3E">
        <w:rPr>
          <w:rFonts w:ascii="Verdana" w:eastAsia="Arial" w:hAnsi="Verdana" w:cs="Arial"/>
          <w:color w:val="000000"/>
          <w:lang w:val="es-MX"/>
        </w:rPr>
        <w:t>Mipymes</w:t>
      </w:r>
      <w:proofErr w:type="spellEnd"/>
      <w:r w:rsidRPr="00213A3E">
        <w:rPr>
          <w:rFonts w:ascii="Verdana" w:eastAsia="Arial" w:hAnsi="Verdana" w:cs="Arial"/>
          <w:color w:val="000000"/>
          <w:lang w:val="es-MX"/>
        </w:rPr>
        <w:t xml:space="preserve"> nacional. Además, las normas de contratación permiten que las </w:t>
      </w:r>
      <w:proofErr w:type="spellStart"/>
      <w:r w:rsidRPr="00213A3E">
        <w:rPr>
          <w:rFonts w:ascii="Verdana" w:eastAsia="Arial" w:hAnsi="Verdana" w:cs="Arial"/>
          <w:color w:val="000000"/>
          <w:lang w:val="es-MX"/>
        </w:rPr>
        <w:t>Mipymes</w:t>
      </w:r>
      <w:proofErr w:type="spellEnd"/>
      <w:r w:rsidRPr="00213A3E">
        <w:rPr>
          <w:rFonts w:ascii="Verdana" w:eastAsia="Arial" w:hAnsi="Verdana" w:cs="Arial"/>
          <w:color w:val="000000"/>
          <w:lang w:val="es-MX"/>
        </w:rPr>
        <w:t xml:space="preserve"> nacionales puedan beneficiarse de la ejecución de un contrato dentro de la entidad territorial en la que tienen su </w:t>
      </w:r>
      <w:r>
        <w:rPr>
          <w:rFonts w:ascii="Verdana" w:eastAsia="Arial" w:hAnsi="Verdana" w:cs="Arial"/>
          <w:color w:val="000000"/>
          <w:lang w:val="es-MX"/>
        </w:rPr>
        <w:t>“</w:t>
      </w:r>
      <w:r w:rsidRPr="00213A3E">
        <w:rPr>
          <w:rFonts w:ascii="Verdana" w:eastAsia="Arial" w:hAnsi="Verdana" w:cs="Arial"/>
          <w:color w:val="000000"/>
          <w:lang w:val="es-MX"/>
        </w:rPr>
        <w:t>domicilio</w:t>
      </w:r>
      <w:r>
        <w:rPr>
          <w:rFonts w:ascii="Verdana" w:eastAsia="Arial" w:hAnsi="Verdana" w:cs="Arial"/>
          <w:color w:val="000000"/>
          <w:lang w:val="es-MX"/>
        </w:rPr>
        <w:t>”</w:t>
      </w:r>
      <w:r w:rsidRPr="00213A3E">
        <w:rPr>
          <w:rFonts w:ascii="Verdana" w:eastAsia="Arial" w:hAnsi="Verdana" w:cs="Arial"/>
          <w:color w:val="000000"/>
          <w:lang w:val="es-MX"/>
        </w:rPr>
        <w:t xml:space="preserve">. </w:t>
      </w:r>
    </w:p>
    <w:p w14:paraId="7A4FE0DA" w14:textId="2326E4B8" w:rsidR="00213A3E" w:rsidRPr="00213A3E" w:rsidRDefault="00213A3E" w:rsidP="00213A3E">
      <w:pPr>
        <w:spacing w:before="120" w:line="276" w:lineRule="auto"/>
        <w:ind w:firstLine="709"/>
        <w:jc w:val="both"/>
        <w:rPr>
          <w:rFonts w:ascii="Verdana" w:eastAsia="Arial" w:hAnsi="Verdana" w:cs="Arial"/>
          <w:color w:val="000000"/>
          <w:lang w:val="es-MX"/>
        </w:rPr>
      </w:pPr>
      <w:r w:rsidRPr="00213A3E">
        <w:rPr>
          <w:rFonts w:ascii="Verdana" w:eastAsia="Arial" w:hAnsi="Verdana" w:cs="Arial"/>
          <w:color w:val="000000"/>
          <w:lang w:val="es-MX"/>
        </w:rPr>
        <w:t xml:space="preserve">Ahora bien, el artículo 2.2.1.2.4.2.3. del Decreto 1082 de 2015, modificado por el artículo 5 del Decreto 1860 de 2021 se refiere a las </w:t>
      </w:r>
      <w:r>
        <w:rPr>
          <w:rFonts w:ascii="Verdana" w:eastAsia="Arial" w:hAnsi="Verdana" w:cs="Arial"/>
          <w:color w:val="000000"/>
          <w:lang w:val="es-MX"/>
        </w:rPr>
        <w:t>“</w:t>
      </w:r>
      <w:proofErr w:type="spellStart"/>
      <w:r w:rsidRPr="00213A3E">
        <w:rPr>
          <w:rFonts w:ascii="Verdana" w:eastAsia="Arial" w:hAnsi="Verdana" w:cs="Arial"/>
          <w:color w:val="000000"/>
          <w:lang w:val="es-MX"/>
        </w:rPr>
        <w:t>mipyme</w:t>
      </w:r>
      <w:proofErr w:type="spellEnd"/>
      <w:r w:rsidRPr="00213A3E">
        <w:rPr>
          <w:rFonts w:ascii="Verdana" w:eastAsia="Arial" w:hAnsi="Verdana" w:cs="Arial"/>
          <w:color w:val="000000"/>
          <w:lang w:val="es-MX"/>
        </w:rPr>
        <w:t xml:space="preserve"> colombianas que tengan domicilio en los departamentos o municipios en donde se va a ejecutar el contrato</w:t>
      </w:r>
      <w:r>
        <w:rPr>
          <w:rFonts w:ascii="Verdana" w:eastAsia="Arial" w:hAnsi="Verdana" w:cs="Arial"/>
          <w:color w:val="000000"/>
          <w:lang w:val="es-MX"/>
        </w:rPr>
        <w:t>”</w:t>
      </w:r>
      <w:r w:rsidRPr="00213A3E">
        <w:rPr>
          <w:rFonts w:ascii="Verdana" w:eastAsia="Arial" w:hAnsi="Verdana" w:cs="Arial"/>
          <w:color w:val="000000"/>
          <w:lang w:val="es-MX"/>
        </w:rPr>
        <w:t xml:space="preserve">. Esta precisión es importante, pues el incentivo previsto en la norma únicamente aplica en el lugar de ejecución del contratado en el que la </w:t>
      </w:r>
      <w:proofErr w:type="spellStart"/>
      <w:r w:rsidRPr="00213A3E">
        <w:rPr>
          <w:rFonts w:ascii="Verdana" w:eastAsia="Arial" w:hAnsi="Verdana" w:cs="Arial"/>
          <w:color w:val="000000"/>
          <w:lang w:val="es-MX"/>
        </w:rPr>
        <w:t>Mipyme</w:t>
      </w:r>
      <w:proofErr w:type="spellEnd"/>
      <w:r w:rsidRPr="00213A3E">
        <w:rPr>
          <w:rFonts w:ascii="Verdana" w:eastAsia="Arial" w:hAnsi="Verdana" w:cs="Arial"/>
          <w:color w:val="000000"/>
          <w:lang w:val="es-MX"/>
        </w:rPr>
        <w:t xml:space="preserve"> tiene su «domicilio», y no en donde tiene sucursales. </w:t>
      </w:r>
    </w:p>
    <w:p w14:paraId="65720759" w14:textId="0EDD7DDE" w:rsidR="00213A3E" w:rsidRPr="00213A3E" w:rsidRDefault="00213A3E" w:rsidP="00213A3E">
      <w:pPr>
        <w:spacing w:before="120" w:line="276" w:lineRule="auto"/>
        <w:ind w:firstLine="709"/>
        <w:jc w:val="both"/>
        <w:rPr>
          <w:rFonts w:ascii="Verdana" w:eastAsia="Arial" w:hAnsi="Verdana" w:cs="Arial"/>
          <w:color w:val="000000"/>
          <w:lang w:val="es-MX"/>
        </w:rPr>
      </w:pPr>
      <w:r w:rsidRPr="00213A3E">
        <w:rPr>
          <w:rFonts w:ascii="Verdana" w:eastAsia="Arial" w:hAnsi="Verdana" w:cs="Arial"/>
          <w:color w:val="000000"/>
          <w:lang w:val="es-MX"/>
        </w:rPr>
        <w:t xml:space="preserve">El artículo 263 del Código de Comercio define las sucursales como </w:t>
      </w:r>
      <w:r>
        <w:rPr>
          <w:rFonts w:ascii="Verdana" w:eastAsia="Arial" w:hAnsi="Verdana" w:cs="Arial"/>
          <w:color w:val="000000"/>
          <w:lang w:val="es-MX"/>
        </w:rPr>
        <w:t>“</w:t>
      </w:r>
      <w:r w:rsidRPr="00213A3E">
        <w:rPr>
          <w:rFonts w:ascii="Verdana" w:eastAsia="Arial" w:hAnsi="Verdana" w:cs="Arial"/>
          <w:color w:val="000000"/>
          <w:lang w:val="es-MX"/>
        </w:rPr>
        <w:t xml:space="preserve">los establecimientos de comercio abiertos por una sociedad, dentro o fuera de su domicilio, para el desarrollo de los negocios sociales o parte de ellos, administrados por mandatarios con facultades para representar la sociedad». </w:t>
      </w:r>
      <w:r w:rsidRPr="00213A3E">
        <w:rPr>
          <w:rFonts w:ascii="Verdana" w:eastAsia="Arial" w:hAnsi="Verdana" w:cs="Arial"/>
          <w:color w:val="000000"/>
          <w:lang w:val="es-MX"/>
        </w:rPr>
        <w:lastRenderedPageBreak/>
        <w:t xml:space="preserve">Nótese que la norma se refiere a los conceptos de </w:t>
      </w:r>
      <w:r>
        <w:rPr>
          <w:rFonts w:ascii="Verdana" w:eastAsia="Arial" w:hAnsi="Verdana" w:cs="Arial"/>
          <w:color w:val="000000"/>
          <w:lang w:val="es-MX"/>
        </w:rPr>
        <w:t>“</w:t>
      </w:r>
      <w:r w:rsidRPr="00213A3E">
        <w:rPr>
          <w:rFonts w:ascii="Verdana" w:eastAsia="Arial" w:hAnsi="Verdana" w:cs="Arial"/>
          <w:color w:val="000000"/>
          <w:lang w:val="es-MX"/>
        </w:rPr>
        <w:t>sucursal</w:t>
      </w:r>
      <w:r>
        <w:rPr>
          <w:rFonts w:ascii="Verdana" w:eastAsia="Arial" w:hAnsi="Verdana" w:cs="Arial"/>
          <w:color w:val="000000"/>
          <w:lang w:val="es-MX"/>
        </w:rPr>
        <w:t>”</w:t>
      </w:r>
      <w:r w:rsidRPr="00213A3E">
        <w:rPr>
          <w:rFonts w:ascii="Verdana" w:eastAsia="Arial" w:hAnsi="Verdana" w:cs="Arial"/>
          <w:color w:val="000000"/>
          <w:lang w:val="es-MX"/>
        </w:rPr>
        <w:t xml:space="preserve"> y </w:t>
      </w:r>
      <w:r>
        <w:rPr>
          <w:rFonts w:ascii="Verdana" w:eastAsia="Arial" w:hAnsi="Verdana" w:cs="Arial"/>
          <w:color w:val="000000"/>
          <w:lang w:val="es-MX"/>
        </w:rPr>
        <w:t>“</w:t>
      </w:r>
      <w:r w:rsidRPr="00213A3E">
        <w:rPr>
          <w:rFonts w:ascii="Verdana" w:eastAsia="Arial" w:hAnsi="Verdana" w:cs="Arial"/>
          <w:color w:val="000000"/>
          <w:lang w:val="es-MX"/>
        </w:rPr>
        <w:t>domicilio</w:t>
      </w:r>
      <w:r>
        <w:rPr>
          <w:rFonts w:ascii="Verdana" w:eastAsia="Arial" w:hAnsi="Verdana" w:cs="Arial"/>
          <w:color w:val="000000"/>
          <w:lang w:val="es-MX"/>
        </w:rPr>
        <w:t>”</w:t>
      </w:r>
      <w:r w:rsidRPr="00213A3E">
        <w:rPr>
          <w:rFonts w:ascii="Verdana" w:eastAsia="Arial" w:hAnsi="Verdana" w:cs="Arial"/>
          <w:color w:val="000000"/>
          <w:lang w:val="es-MX"/>
        </w:rPr>
        <w:t xml:space="preserve">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213A3E">
        <w:rPr>
          <w:rFonts w:ascii="Verdana" w:eastAsia="Arial" w:hAnsi="Verdana" w:cs="Arial"/>
          <w:i/>
          <w:color w:val="000000"/>
          <w:lang w:val="es-MX"/>
        </w:rPr>
        <w:t>ibídem</w:t>
      </w:r>
      <w:proofErr w:type="spellEnd"/>
      <w:r w:rsidRPr="00213A3E">
        <w:rPr>
          <w:rFonts w:ascii="Verdana" w:eastAsia="Arial" w:hAnsi="Verdana" w:cs="Arial"/>
          <w:color w:val="000000"/>
          <w:lang w:val="es-MX"/>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w:t>
      </w:r>
      <w:r>
        <w:rPr>
          <w:rFonts w:ascii="Verdana" w:eastAsia="Arial" w:hAnsi="Verdana" w:cs="Arial"/>
          <w:color w:val="000000"/>
          <w:lang w:val="es-MX"/>
        </w:rPr>
        <w:t>“</w:t>
      </w:r>
      <w:r w:rsidRPr="00213A3E">
        <w:rPr>
          <w:rFonts w:ascii="Verdana" w:eastAsia="Arial" w:hAnsi="Verdana" w:cs="Arial"/>
          <w:color w:val="000000"/>
          <w:lang w:val="es-MX"/>
        </w:rPr>
        <w:t>domicilio</w:t>
      </w:r>
      <w:r>
        <w:rPr>
          <w:rFonts w:ascii="Verdana" w:eastAsia="Arial" w:hAnsi="Verdana" w:cs="Arial"/>
          <w:color w:val="000000"/>
          <w:lang w:val="es-MX"/>
        </w:rPr>
        <w:t>”</w:t>
      </w:r>
      <w:r w:rsidRPr="00213A3E">
        <w:rPr>
          <w:rFonts w:ascii="Verdana" w:eastAsia="Arial" w:hAnsi="Verdana" w:cs="Arial"/>
          <w:color w:val="000000"/>
          <w:lang w:val="es-MX"/>
        </w:rPr>
        <w:t xml:space="preserve">, se entiende que no es procedente extender el beneficio contenido en el artículo 2.2.1.2.4.2.3. </w:t>
      </w:r>
      <w:proofErr w:type="spellStart"/>
      <w:r w:rsidRPr="00213A3E">
        <w:rPr>
          <w:rFonts w:ascii="Verdana" w:eastAsia="Arial" w:hAnsi="Verdana" w:cs="Arial"/>
          <w:i/>
          <w:color w:val="000000"/>
          <w:lang w:val="es-MX"/>
        </w:rPr>
        <w:t>ibídem</w:t>
      </w:r>
      <w:proofErr w:type="spellEnd"/>
      <w:r w:rsidRPr="00213A3E">
        <w:rPr>
          <w:rFonts w:ascii="Verdana" w:eastAsia="Arial" w:hAnsi="Verdana" w:cs="Arial"/>
          <w:i/>
          <w:color w:val="000000"/>
          <w:lang w:val="es-MX"/>
        </w:rPr>
        <w:t xml:space="preserve"> </w:t>
      </w:r>
      <w:r w:rsidRPr="00213A3E">
        <w:rPr>
          <w:rFonts w:ascii="Verdana" w:eastAsia="Arial" w:hAnsi="Verdana" w:cs="Arial"/>
          <w:color w:val="000000"/>
          <w:lang w:val="es-MX"/>
        </w:rPr>
        <w:t xml:space="preserve">a las entidades que tienen </w:t>
      </w:r>
      <w:r>
        <w:rPr>
          <w:rFonts w:ascii="Verdana" w:eastAsia="Arial" w:hAnsi="Verdana" w:cs="Arial"/>
          <w:color w:val="000000"/>
          <w:lang w:val="es-MX"/>
        </w:rPr>
        <w:t>“</w:t>
      </w:r>
      <w:r w:rsidRPr="00213A3E">
        <w:rPr>
          <w:rFonts w:ascii="Verdana" w:eastAsia="Arial" w:hAnsi="Verdana" w:cs="Arial"/>
          <w:color w:val="000000"/>
          <w:lang w:val="es-MX"/>
        </w:rPr>
        <w:t>sucursales</w:t>
      </w:r>
      <w:r>
        <w:rPr>
          <w:rFonts w:ascii="Verdana" w:eastAsia="Arial" w:hAnsi="Verdana" w:cs="Arial"/>
          <w:color w:val="000000"/>
          <w:lang w:val="es-MX"/>
        </w:rPr>
        <w:t>”</w:t>
      </w:r>
      <w:r w:rsidRPr="00213A3E">
        <w:rPr>
          <w:rFonts w:ascii="Verdana" w:eastAsia="Arial" w:hAnsi="Verdana" w:cs="Arial"/>
          <w:color w:val="000000"/>
          <w:lang w:val="es-MX"/>
        </w:rPr>
        <w:t xml:space="preserve"> en el municipio o departamento en donde se va a ejecutar el contrato estatal.</w:t>
      </w:r>
    </w:p>
    <w:p w14:paraId="6290E0C9" w14:textId="63B88E44" w:rsidR="00213A3E" w:rsidRPr="00213A3E" w:rsidRDefault="00213A3E" w:rsidP="00213A3E">
      <w:pPr>
        <w:spacing w:before="120" w:line="276" w:lineRule="auto"/>
        <w:ind w:firstLine="709"/>
        <w:jc w:val="both"/>
        <w:rPr>
          <w:rFonts w:ascii="Verdana" w:eastAsia="Arial" w:hAnsi="Verdana" w:cs="Arial"/>
          <w:color w:val="000000"/>
          <w:lang w:val="es-MX"/>
        </w:rPr>
      </w:pPr>
      <w:r w:rsidRPr="00213A3E">
        <w:rPr>
          <w:rFonts w:ascii="Verdana" w:eastAsia="Arial" w:hAnsi="Verdana" w:cs="Arial"/>
          <w:color w:val="000000"/>
          <w:lang w:val="es-MX"/>
        </w:rPr>
        <w:t xml:space="preserve">Sin perjuicio de lo anterior, no puede perderse de vista que la decisión de limitar </w:t>
      </w:r>
      <w:r>
        <w:rPr>
          <w:rFonts w:ascii="Verdana" w:eastAsia="Arial" w:hAnsi="Verdana" w:cs="Arial"/>
          <w:color w:val="000000"/>
          <w:lang w:val="es-MX"/>
        </w:rPr>
        <w:t>“</w:t>
      </w:r>
      <w:r w:rsidRPr="00213A3E">
        <w:rPr>
          <w:rFonts w:ascii="Verdana" w:eastAsia="Arial" w:hAnsi="Verdana" w:cs="Arial"/>
          <w:color w:val="000000"/>
          <w:lang w:val="es-MX"/>
        </w:rPr>
        <w:t xml:space="preserve">a </w:t>
      </w:r>
      <w:proofErr w:type="spellStart"/>
      <w:r w:rsidRPr="00213A3E">
        <w:rPr>
          <w:rFonts w:ascii="Verdana" w:eastAsia="Arial" w:hAnsi="Verdana" w:cs="Arial"/>
          <w:color w:val="000000"/>
          <w:lang w:val="es-MX"/>
        </w:rPr>
        <w:t>Mipyme</w:t>
      </w:r>
      <w:proofErr w:type="spellEnd"/>
      <w:r w:rsidRPr="00213A3E">
        <w:rPr>
          <w:rFonts w:ascii="Verdana" w:eastAsia="Arial" w:hAnsi="Verdana" w:cs="Arial"/>
          <w:color w:val="000000"/>
          <w:lang w:val="es-MX"/>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213A3E">
        <w:rPr>
          <w:rStyle w:val="Refdenotaalpie"/>
          <w:rFonts w:ascii="Verdana" w:eastAsia="Arial" w:hAnsi="Verdana" w:cs="Arial"/>
          <w:color w:val="000000"/>
          <w:lang w:val="es-MX"/>
        </w:rPr>
        <w:footnoteReference w:id="10"/>
      </w:r>
      <w:r w:rsidRPr="00213A3E">
        <w:rPr>
          <w:rFonts w:ascii="Verdana" w:eastAsia="Arial" w:hAnsi="Verdana" w:cs="Arial"/>
          <w:color w:val="000000"/>
          <w:lang w:val="es-MX"/>
        </w:rPr>
        <w:t xml:space="preserve">. En ese sentido, si la entidad no recibió las solicitudes para limitar la convocatoria a </w:t>
      </w:r>
      <w:proofErr w:type="spellStart"/>
      <w:r w:rsidRPr="00213A3E">
        <w:rPr>
          <w:rFonts w:ascii="Verdana" w:eastAsia="Arial" w:hAnsi="Verdana" w:cs="Arial"/>
          <w:color w:val="000000"/>
          <w:lang w:val="es-MX"/>
        </w:rPr>
        <w:t>Mipymes</w:t>
      </w:r>
      <w:proofErr w:type="spellEnd"/>
      <w:r w:rsidRPr="00213A3E">
        <w:rPr>
          <w:rFonts w:ascii="Verdana" w:eastAsia="Arial" w:hAnsi="Verdana" w:cs="Arial"/>
          <w:color w:val="000000"/>
          <w:lang w:val="es-MX"/>
        </w:rPr>
        <w:t xml:space="preserve">, no puede </w:t>
      </w:r>
      <w:proofErr w:type="gramStart"/>
      <w:r w:rsidRPr="00213A3E">
        <w:rPr>
          <w:rFonts w:ascii="Verdana" w:eastAsia="Arial" w:hAnsi="Verdana" w:cs="Arial"/>
          <w:i/>
          <w:color w:val="000000"/>
          <w:lang w:val="es-MX"/>
        </w:rPr>
        <w:t>motu propio</w:t>
      </w:r>
      <w:proofErr w:type="gramEnd"/>
      <w:r w:rsidRPr="00213A3E">
        <w:rPr>
          <w:rFonts w:ascii="Verdana" w:eastAsia="Arial" w:hAnsi="Verdana" w:cs="Arial"/>
          <w:i/>
          <w:color w:val="000000"/>
          <w:lang w:val="es-MX"/>
        </w:rPr>
        <w:t xml:space="preserve"> </w:t>
      </w:r>
      <w:r w:rsidRPr="00213A3E">
        <w:rPr>
          <w:rFonts w:ascii="Verdana" w:eastAsia="Arial" w:hAnsi="Verdana" w:cs="Arial"/>
          <w:color w:val="000000"/>
          <w:lang w:val="es-MX"/>
        </w:rPr>
        <w:t xml:space="preserve">proceder con la </w:t>
      </w:r>
      <w:r>
        <w:rPr>
          <w:rFonts w:ascii="Verdana" w:eastAsia="Arial" w:hAnsi="Verdana" w:cs="Arial"/>
          <w:color w:val="000000"/>
          <w:lang w:val="es-MX"/>
        </w:rPr>
        <w:t>“</w:t>
      </w:r>
      <w:r w:rsidRPr="00213A3E">
        <w:rPr>
          <w:rFonts w:ascii="Verdana" w:eastAsia="Arial" w:hAnsi="Verdana" w:cs="Arial"/>
          <w:color w:val="000000"/>
          <w:lang w:val="es-MX"/>
        </w:rPr>
        <w:t xml:space="preserve">limitación territorial» de que trata el artículo 2.2.1.2.4.2.3. del Decreto 1082 de 2015. Esto debido a que el ejercicio de esta facultad solo puede darse ante la </w:t>
      </w:r>
      <w:r w:rsidR="00DC21E2">
        <w:rPr>
          <w:rFonts w:ascii="Verdana" w:eastAsia="Arial" w:hAnsi="Verdana" w:cs="Arial"/>
          <w:color w:val="000000"/>
          <w:lang w:val="es-MX"/>
        </w:rPr>
        <w:t>“</w:t>
      </w:r>
      <w:r w:rsidRPr="00213A3E">
        <w:rPr>
          <w:rFonts w:ascii="Verdana" w:eastAsia="Arial" w:hAnsi="Verdana" w:cs="Arial"/>
          <w:color w:val="000000"/>
          <w:lang w:val="es-MX"/>
        </w:rPr>
        <w:t xml:space="preserve">limitación a </w:t>
      </w:r>
      <w:proofErr w:type="spellStart"/>
      <w:r w:rsidRPr="00213A3E">
        <w:rPr>
          <w:rFonts w:ascii="Verdana" w:eastAsia="Arial" w:hAnsi="Verdana" w:cs="Arial"/>
          <w:color w:val="000000"/>
          <w:lang w:val="es-MX"/>
        </w:rPr>
        <w:t>Mipymes</w:t>
      </w:r>
      <w:proofErr w:type="spellEnd"/>
      <w:r w:rsidRPr="00213A3E">
        <w:rPr>
          <w:rFonts w:ascii="Verdana" w:eastAsia="Arial" w:hAnsi="Verdana" w:cs="Arial"/>
          <w:color w:val="000000"/>
          <w:lang w:val="es-MX"/>
        </w:rPr>
        <w:t xml:space="preserve"> colombianas</w:t>
      </w:r>
      <w:r w:rsidR="00DC21E2">
        <w:rPr>
          <w:rFonts w:ascii="Verdana" w:eastAsia="Arial" w:hAnsi="Verdana" w:cs="Arial"/>
          <w:color w:val="000000"/>
          <w:lang w:val="es-MX"/>
        </w:rPr>
        <w:t>”</w:t>
      </w:r>
      <w:r w:rsidRPr="00213A3E">
        <w:rPr>
          <w:rFonts w:ascii="Verdana" w:eastAsia="Arial" w:hAnsi="Verdana" w:cs="Arial"/>
          <w:color w:val="000000"/>
          <w:lang w:val="es-MX"/>
        </w:rPr>
        <w:t>, lo cual supone verificar los supuestos legales establecidos en los mencionados numerales.</w:t>
      </w:r>
    </w:p>
    <w:p w14:paraId="6B0C57BB" w14:textId="77777777" w:rsidR="00213A3E" w:rsidRPr="00213A3E" w:rsidRDefault="00213A3E" w:rsidP="00213A3E">
      <w:pPr>
        <w:spacing w:before="120" w:line="276" w:lineRule="auto"/>
        <w:ind w:firstLine="709"/>
        <w:jc w:val="both"/>
        <w:rPr>
          <w:rFonts w:ascii="Verdana" w:eastAsia="Arial" w:hAnsi="Verdana" w:cs="Arial"/>
          <w:color w:val="000000"/>
          <w:lang w:val="es-MX"/>
        </w:rPr>
      </w:pPr>
      <w:r w:rsidRPr="00213A3E">
        <w:rPr>
          <w:rFonts w:ascii="Verdana" w:eastAsia="Arial" w:hAnsi="Verdana" w:cs="Arial"/>
          <w:color w:val="000000"/>
          <w:lang w:val="es-MX"/>
        </w:rPr>
        <w:t xml:space="preserve">Finalmente, resta precisar que el domicilio de la </w:t>
      </w:r>
      <w:proofErr w:type="spellStart"/>
      <w:r w:rsidRPr="00213A3E">
        <w:rPr>
          <w:rFonts w:ascii="Verdana" w:eastAsia="Arial" w:hAnsi="Verdana" w:cs="Arial"/>
          <w:color w:val="000000"/>
          <w:lang w:val="es-MX"/>
        </w:rPr>
        <w:t>mipymes</w:t>
      </w:r>
      <w:proofErr w:type="spellEnd"/>
      <w:r w:rsidRPr="00213A3E">
        <w:rPr>
          <w:rFonts w:ascii="Verdana" w:eastAsia="Arial" w:hAnsi="Verdana" w:cs="Arial"/>
          <w:color w:val="000000"/>
          <w:lang w:val="es-MX"/>
        </w:rPr>
        <w:t xml:space="preserve">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w:t>
      </w:r>
      <w:r w:rsidRPr="00213A3E">
        <w:rPr>
          <w:rFonts w:ascii="Verdana" w:eastAsia="Arial" w:hAnsi="Verdana" w:cs="Arial"/>
          <w:color w:val="000000"/>
          <w:lang w:val="es-MX"/>
        </w:rPr>
        <w:lastRenderedPageBreak/>
        <w:t xml:space="preserve">–persona jurídica– o del Registro Único de Proponentes – RUP, en donde conste el domicilio de la </w:t>
      </w:r>
      <w:proofErr w:type="spellStart"/>
      <w:r w:rsidRPr="00213A3E">
        <w:rPr>
          <w:rFonts w:ascii="Verdana" w:eastAsia="Arial" w:hAnsi="Verdana" w:cs="Arial"/>
          <w:color w:val="000000"/>
          <w:lang w:val="es-MX"/>
        </w:rPr>
        <w:t>mipyme</w:t>
      </w:r>
      <w:proofErr w:type="spellEnd"/>
      <w:r w:rsidRPr="00213A3E">
        <w:rPr>
          <w:rFonts w:ascii="Verdana" w:eastAsia="Arial" w:hAnsi="Verdana" w:cs="Arial"/>
          <w:color w:val="000000"/>
          <w:lang w:val="es-MX"/>
        </w:rPr>
        <w:t xml:space="preserve"> interesada en la limitación territorial de la convocatoria pública para celebrar el contrato, que corresponda con el lugar de ejecución </w:t>
      </w:r>
      <w:proofErr w:type="gramStart"/>
      <w:r w:rsidRPr="00213A3E">
        <w:rPr>
          <w:rFonts w:ascii="Verdana" w:eastAsia="Arial" w:hAnsi="Verdana" w:cs="Arial"/>
          <w:color w:val="000000"/>
          <w:lang w:val="es-MX"/>
        </w:rPr>
        <w:t>del mismo</w:t>
      </w:r>
      <w:proofErr w:type="gramEnd"/>
      <w:r w:rsidRPr="00213A3E">
        <w:rPr>
          <w:rFonts w:ascii="Verdana" w:eastAsia="Arial" w:hAnsi="Verdana" w:cs="Arial"/>
          <w:color w:val="000000"/>
          <w:lang w:val="es-MX"/>
        </w:rPr>
        <w:t xml:space="preserve">, ya sea departamento o municipio.  </w:t>
      </w:r>
    </w:p>
    <w:p w14:paraId="147D4283" w14:textId="421173B9" w:rsidR="00C12AE5" w:rsidRPr="00064EE2" w:rsidRDefault="00C12AE5" w:rsidP="00B025CF">
      <w:pPr>
        <w:spacing w:before="120" w:line="276" w:lineRule="auto"/>
        <w:ind w:firstLine="709"/>
        <w:jc w:val="both"/>
        <w:rPr>
          <w:rFonts w:ascii="Verdana" w:eastAsia="Century Gothic" w:hAnsi="Verdana" w:cs="Century Gothic"/>
        </w:rPr>
      </w:pPr>
      <w:commentRangeStart w:id="2"/>
      <w:r w:rsidRPr="00064EE2">
        <w:rPr>
          <w:rFonts w:ascii="Verdana" w:eastAsia="Century Gothic" w:hAnsi="Verdana" w:cs="Century Gothic"/>
        </w:rPr>
        <w:t xml:space="preserve">Ahora </w:t>
      </w:r>
      <w:r w:rsidRPr="00C12AE5">
        <w:rPr>
          <w:rFonts w:ascii="Verdana" w:hAnsi="Verdana" w:cs="Arial"/>
        </w:rPr>
        <w:t>bien</w:t>
      </w:r>
      <w:r w:rsidRPr="00064EE2">
        <w:rPr>
          <w:rFonts w:ascii="Verdana" w:eastAsia="Century Gothic" w:hAnsi="Verdana" w:cs="Century Gothic"/>
        </w:rPr>
        <w:t>, aunque hay contratos de cuantía indeterminada debido a la complejidad de la prestación a través de los años y modalidad, no quiere decir dicha prestación no tengan un valor económico; en ese caso, la entidad estatal realiza un análisis financiero prospectivo o proyectado a los años del plazo para establecer el valor proyectado, por lo que no será un proceso sin cuantía. Contrario sensu, existen otros procedimientos contractuales que son sin compromiso presupuestal por lo que no tienen disponibilidad ni registro, no es de su naturaleza disponer de dichos recursos o aportes para su trámite o perfeccionamiento, como es el caso de los memorandos de entendimientos o los convenios marcos cuyo objeto es aunar esfuerzos conjuntos misionales a temas varios, los cuales pueden ser sujetos de contratos derivados y específicos y en estos si va inmersa los aportes o disponibilidades presupuestales, y serán estos los que si tengan cuantía.</w:t>
      </w:r>
    </w:p>
    <w:p w14:paraId="246D62B3" w14:textId="77777777" w:rsidR="00C12AE5" w:rsidRPr="00064EE2" w:rsidRDefault="00C12AE5" w:rsidP="00C12AE5">
      <w:pPr>
        <w:spacing w:line="276" w:lineRule="auto"/>
        <w:contextualSpacing/>
        <w:jc w:val="both"/>
        <w:rPr>
          <w:rFonts w:ascii="Verdana" w:eastAsia="Century Gothic" w:hAnsi="Verdana" w:cs="Century Gothic"/>
        </w:rPr>
      </w:pPr>
    </w:p>
    <w:p w14:paraId="058B4E3C" w14:textId="034B6537" w:rsidR="00385BFB" w:rsidRPr="00F94D89" w:rsidRDefault="00C12AE5" w:rsidP="00F94D89">
      <w:pPr>
        <w:spacing w:before="120" w:line="276" w:lineRule="auto"/>
        <w:ind w:firstLine="709"/>
        <w:jc w:val="both"/>
        <w:rPr>
          <w:rFonts w:ascii="Verdana" w:eastAsia="Century Gothic" w:hAnsi="Verdana" w:cs="Century Gothic"/>
        </w:rPr>
      </w:pPr>
      <w:r w:rsidRPr="00064EE2">
        <w:rPr>
          <w:rFonts w:ascii="Verdana" w:eastAsia="Century Gothic" w:hAnsi="Verdana" w:cs="Century Gothic"/>
        </w:rPr>
        <w:t>Finalmente, la decisión de limitar o no una convocatoria</w:t>
      </w:r>
      <w:r>
        <w:rPr>
          <w:rFonts w:ascii="Verdana" w:eastAsia="Century Gothic" w:hAnsi="Verdana" w:cs="Century Gothic"/>
        </w:rPr>
        <w:t xml:space="preserve"> territorialmente</w:t>
      </w:r>
      <w:r w:rsidRPr="00064EE2">
        <w:rPr>
          <w:rFonts w:ascii="Verdana" w:eastAsia="Century Gothic" w:hAnsi="Verdana" w:cs="Century Gothic"/>
        </w:rPr>
        <w:t xml:space="preserve"> a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es una facultad discrecional, de manera que la entidad contratante valorará si es oportuno y conveniente adoptarla teniendo en cuenta no desbordar o exceder lo preceptuado en el artículo 2.2.1.2.4.2.2 del Decreto 1082 del 2015. No obstante,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commentRangeEnd w:id="2"/>
      <w:r>
        <w:rPr>
          <w:rStyle w:val="Refdecomentario"/>
        </w:rPr>
        <w:commentReference w:id="2"/>
      </w:r>
    </w:p>
    <w:p w14:paraId="4C44F776" w14:textId="77777777" w:rsidR="00385BFB" w:rsidRPr="00593A5F" w:rsidRDefault="00385BFB" w:rsidP="00385BF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CD65565" w14:textId="77777777" w:rsidR="00385BFB" w:rsidRPr="00593A5F" w:rsidRDefault="00385BFB" w:rsidP="00385BF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85BFB" w:rsidRPr="00593A5F" w14:paraId="105C001C" w14:textId="77777777" w:rsidTr="0027513F">
        <w:trPr>
          <w:trHeight w:val="870"/>
        </w:trPr>
        <w:tc>
          <w:tcPr>
            <w:tcW w:w="8647" w:type="dxa"/>
          </w:tcPr>
          <w:p w14:paraId="2944FE49" w14:textId="77777777" w:rsidR="004808FA" w:rsidRPr="004808FA" w:rsidRDefault="004808FA" w:rsidP="004808FA">
            <w:pPr>
              <w:pStyle w:val="Prrafodelista"/>
              <w:numPr>
                <w:ilvl w:val="0"/>
                <w:numId w:val="19"/>
              </w:numPr>
              <w:jc w:val="both"/>
              <w:rPr>
                <w:rFonts w:ascii="Verdana" w:eastAsia="Century Gothic" w:hAnsi="Verdana" w:cs="Century Gothic"/>
              </w:rPr>
            </w:pPr>
            <w:r w:rsidRPr="004808FA">
              <w:rPr>
                <w:rFonts w:ascii="Verdana" w:eastAsia="Century Gothic" w:hAnsi="Verdana" w:cs="Century Gothic"/>
              </w:rPr>
              <w:t>Ley 80 de 1993, artículo 77.</w:t>
            </w:r>
          </w:p>
          <w:p w14:paraId="56DBEE57" w14:textId="77777777" w:rsidR="004808FA" w:rsidRPr="004808FA" w:rsidRDefault="004808FA" w:rsidP="004808FA">
            <w:pPr>
              <w:pStyle w:val="Prrafodelista"/>
              <w:numPr>
                <w:ilvl w:val="0"/>
                <w:numId w:val="19"/>
              </w:numPr>
              <w:jc w:val="both"/>
              <w:rPr>
                <w:rFonts w:ascii="Verdana" w:eastAsia="Arial" w:hAnsi="Verdana" w:cs="Arial"/>
                <w:color w:val="000000"/>
                <w:lang w:val="es-MX"/>
              </w:rPr>
            </w:pPr>
            <w:r w:rsidRPr="004808FA">
              <w:rPr>
                <w:rFonts w:ascii="Verdana" w:eastAsia="Arial" w:hAnsi="Verdana" w:cs="Arial"/>
                <w:color w:val="000000"/>
                <w:lang w:val="es-MX"/>
              </w:rPr>
              <w:t xml:space="preserve">Decreto 1082 de 2015, numerales 1 y 2 del artículo 2.2.1.2.4.2.2, artículo 2.2.1.2.4.2.3. del Decreto 1082 de 2015, </w:t>
            </w:r>
            <w:r w:rsidRPr="004808FA">
              <w:rPr>
                <w:rFonts w:ascii="Verdana" w:eastAsia="Calibri" w:hAnsi="Verdana" w:cs="Arial"/>
              </w:rPr>
              <w:t>modificado por el artículo 5 del Decreto 1860 de 2021.</w:t>
            </w:r>
          </w:p>
          <w:p w14:paraId="4E5365CF" w14:textId="77777777" w:rsidR="004808FA" w:rsidRPr="004808FA" w:rsidRDefault="004808FA" w:rsidP="004808FA">
            <w:pPr>
              <w:pStyle w:val="Prrafodelista"/>
              <w:numPr>
                <w:ilvl w:val="0"/>
                <w:numId w:val="19"/>
              </w:numPr>
              <w:jc w:val="both"/>
              <w:rPr>
                <w:rFonts w:ascii="Verdana" w:eastAsia="Century Gothic" w:hAnsi="Verdana" w:cs="Century Gothic"/>
              </w:rPr>
            </w:pPr>
            <w:r w:rsidRPr="004808FA">
              <w:rPr>
                <w:rFonts w:ascii="Verdana" w:eastAsia="Century Gothic" w:hAnsi="Verdana" w:cs="Century Gothic"/>
              </w:rPr>
              <w:lastRenderedPageBreak/>
              <w:t>Ley 1437 de 2011, artículo 44.</w:t>
            </w:r>
          </w:p>
          <w:p w14:paraId="707586BF" w14:textId="77777777" w:rsidR="004808FA" w:rsidRPr="004808FA" w:rsidRDefault="004808FA" w:rsidP="004808FA">
            <w:pPr>
              <w:pStyle w:val="Prrafodelista"/>
              <w:numPr>
                <w:ilvl w:val="0"/>
                <w:numId w:val="19"/>
              </w:numPr>
              <w:jc w:val="both"/>
              <w:rPr>
                <w:rFonts w:ascii="Verdana" w:eastAsia="Calibri" w:hAnsi="Verdana" w:cs="Arial"/>
                <w:lang w:val="es-ES_tradnl"/>
              </w:rPr>
            </w:pPr>
            <w:r w:rsidRPr="004808FA">
              <w:rPr>
                <w:rFonts w:ascii="Verdana" w:eastAsia="Calibri" w:hAnsi="Verdana" w:cs="Arial"/>
                <w:lang w:val="es-ES_tradnl"/>
              </w:rPr>
              <w:t xml:space="preserve">Ley 2069 de 2020 Artículos </w:t>
            </w:r>
            <w:r w:rsidRPr="004808FA">
              <w:rPr>
                <w:rFonts w:ascii="Verdana" w:hAnsi="Verdana"/>
              </w:rPr>
              <w:t>2 al 29, 30 al 36, 37 al 45, 46 al 73, 74</w:t>
            </w:r>
            <w:r w:rsidRPr="004808FA">
              <w:rPr>
                <w:rFonts w:ascii="Verdana" w:hAnsi="Verdana" w:cs="Arial"/>
              </w:rPr>
              <w:t xml:space="preserve"> al 83. </w:t>
            </w:r>
          </w:p>
          <w:p w14:paraId="67BF3157" w14:textId="77777777" w:rsidR="004808FA" w:rsidRPr="004808FA" w:rsidRDefault="004808FA" w:rsidP="004808FA">
            <w:pPr>
              <w:pStyle w:val="Prrafodelista"/>
              <w:numPr>
                <w:ilvl w:val="0"/>
                <w:numId w:val="19"/>
              </w:numPr>
              <w:jc w:val="both"/>
              <w:rPr>
                <w:rFonts w:ascii="Verdana" w:eastAsia="Century Gothic" w:hAnsi="Verdana" w:cs="Century Gothic"/>
                <w:sz w:val="24"/>
                <w:szCs w:val="24"/>
                <w:lang w:val="es-CO"/>
              </w:rPr>
            </w:pPr>
            <w:r w:rsidRPr="004808FA">
              <w:rPr>
                <w:rFonts w:ascii="Verdana" w:eastAsia="Calibri" w:hAnsi="Verdana" w:cs="Arial"/>
              </w:rPr>
              <w:t>Ley 418 de 1997, artículos 90 a 95.</w:t>
            </w:r>
          </w:p>
          <w:p w14:paraId="2CD4BC6F" w14:textId="77777777" w:rsidR="004808FA" w:rsidRPr="004808FA" w:rsidRDefault="004808FA" w:rsidP="004808FA">
            <w:pPr>
              <w:pStyle w:val="Prrafodelista"/>
              <w:numPr>
                <w:ilvl w:val="0"/>
                <w:numId w:val="19"/>
              </w:numPr>
              <w:jc w:val="both"/>
              <w:rPr>
                <w:rFonts w:ascii="Verdana" w:eastAsia="Arial" w:hAnsi="Verdana" w:cs="Arial"/>
                <w:color w:val="000000"/>
                <w:lang w:val="es-MX"/>
              </w:rPr>
            </w:pPr>
            <w:r w:rsidRPr="004808FA">
              <w:rPr>
                <w:rFonts w:ascii="Verdana" w:eastAsia="Arial" w:hAnsi="Verdana" w:cs="Arial"/>
                <w:color w:val="000000"/>
                <w:lang w:val="es-MX"/>
              </w:rPr>
              <w:t>Código de Comercio, Artículo 263.</w:t>
            </w:r>
          </w:p>
          <w:p w14:paraId="784DC264" w14:textId="77777777" w:rsidR="004808FA" w:rsidRPr="004808FA" w:rsidRDefault="004808FA" w:rsidP="004808FA">
            <w:pPr>
              <w:pStyle w:val="Prrafodelista"/>
              <w:numPr>
                <w:ilvl w:val="0"/>
                <w:numId w:val="19"/>
              </w:numPr>
              <w:jc w:val="both"/>
              <w:rPr>
                <w:rFonts w:ascii="Verdana" w:eastAsia="Arial" w:hAnsi="Verdana" w:cs="Arial"/>
                <w:color w:val="000000"/>
                <w:lang w:val="es-MX"/>
              </w:rPr>
            </w:pPr>
            <w:r w:rsidRPr="004808FA">
              <w:rPr>
                <w:rFonts w:ascii="Verdana" w:eastAsia="Arial" w:hAnsi="Verdana" w:cs="Arial"/>
                <w:color w:val="000000"/>
                <w:lang w:val="es-MX"/>
              </w:rPr>
              <w:t>la Ley 590 de 2000.</w:t>
            </w:r>
          </w:p>
          <w:p w14:paraId="5A276EE3" w14:textId="77777777" w:rsidR="004808FA" w:rsidRDefault="004808FA" w:rsidP="004808FA">
            <w:pPr>
              <w:pStyle w:val="Prrafodelista"/>
              <w:numPr>
                <w:ilvl w:val="0"/>
                <w:numId w:val="19"/>
              </w:numPr>
              <w:jc w:val="both"/>
            </w:pPr>
            <w:r w:rsidRPr="004808FA">
              <w:rPr>
                <w:rFonts w:ascii="Verdana" w:eastAsia="Arial" w:hAnsi="Verdana" w:cs="Arial"/>
                <w:color w:val="000000"/>
                <w:lang w:val="es-MX"/>
              </w:rPr>
              <w:t>Decreto 957 de 2019</w:t>
            </w:r>
          </w:p>
          <w:p w14:paraId="35E5F38D" w14:textId="03D408AD" w:rsidR="00385BFB" w:rsidRPr="004808FA" w:rsidRDefault="00385BFB" w:rsidP="004808FA">
            <w:pPr>
              <w:widowControl w:val="0"/>
              <w:tabs>
                <w:tab w:val="left" w:pos="8419"/>
              </w:tabs>
              <w:autoSpaceDE w:val="0"/>
              <w:autoSpaceDN w:val="0"/>
              <w:jc w:val="both"/>
              <w:rPr>
                <w:rFonts w:ascii="Verdana" w:eastAsia="Calibri" w:hAnsi="Verdana" w:cs="Arial"/>
                <w:color w:val="000000"/>
              </w:rPr>
            </w:pPr>
            <w:commentRangeStart w:id="3"/>
          </w:p>
          <w:p w14:paraId="51BD3D7E" w14:textId="77777777" w:rsidR="00385BFB" w:rsidRPr="00340039" w:rsidRDefault="00385BFB" w:rsidP="0027513F">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 xml:space="preserve">Jurisprudencia del Consejo de Estado. Disponible en: </w:t>
            </w:r>
            <w:hyperlink r:id="rId17" w:history="1">
              <w:r w:rsidRPr="006C75AB">
                <w:rPr>
                  <w:rStyle w:val="Hipervnculo"/>
                  <w:rFonts w:ascii="Verdana" w:hAnsi="Verdana" w:cs="Arial"/>
                </w:rPr>
                <w:t>https://relatoria.colombiacompra.gov.co/providencias-consejo-de-estado/</w:t>
              </w:r>
            </w:hyperlink>
            <w:r>
              <w:rPr>
                <w:rFonts w:ascii="Verdana" w:hAnsi="Verdana" w:cs="Arial"/>
              </w:rPr>
              <w:t xml:space="preserve"> </w:t>
            </w:r>
          </w:p>
          <w:p w14:paraId="63ECD95F" w14:textId="77777777" w:rsidR="00385BFB" w:rsidRPr="00027814" w:rsidRDefault="00385BFB" w:rsidP="0027513F">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8" w:history="1">
              <w:r w:rsidRPr="00340039">
                <w:rPr>
                  <w:rStyle w:val="Hipervnculo"/>
                  <w:rFonts w:ascii="Verdana" w:hAnsi="Verdana" w:cs="Arial"/>
                </w:rPr>
                <w:t>https://www.colombiacompra.gov.co/manuales-guias-y-pliegos-tipo/manuales-y-guias</w:t>
              </w:r>
            </w:hyperlink>
            <w:commentRangeEnd w:id="3"/>
            <w:r w:rsidR="006E5EEC">
              <w:rPr>
                <w:rStyle w:val="Refdecomentario"/>
                <w:rFonts w:asciiTheme="minorHAnsi" w:hAnsiTheme="minorHAnsi"/>
                <w:lang w:val="es-CO"/>
              </w:rPr>
              <w:commentReference w:id="3"/>
            </w:r>
            <w:r>
              <w:rPr>
                <w:rFonts w:ascii="Verdana" w:hAnsi="Verdana" w:cs="Arial"/>
              </w:rPr>
              <w:t xml:space="preserve"> </w:t>
            </w:r>
          </w:p>
        </w:tc>
      </w:tr>
    </w:tbl>
    <w:p w14:paraId="347CE98B" w14:textId="77777777" w:rsidR="00385BFB" w:rsidRPr="00593A5F" w:rsidRDefault="00385BFB" w:rsidP="00385BFB">
      <w:pPr>
        <w:widowControl w:val="0"/>
        <w:autoSpaceDE w:val="0"/>
        <w:autoSpaceDN w:val="0"/>
        <w:spacing w:after="0" w:line="276" w:lineRule="auto"/>
        <w:jc w:val="both"/>
        <w:rPr>
          <w:rFonts w:ascii="Verdana" w:hAnsi="Verdana" w:cs="Arial"/>
        </w:rPr>
      </w:pPr>
    </w:p>
    <w:p w14:paraId="37185C41" w14:textId="77777777" w:rsidR="00385BFB" w:rsidRPr="00593A5F" w:rsidRDefault="00385BFB" w:rsidP="00385BF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C97EC86" w14:textId="77777777" w:rsidR="00385BFB" w:rsidRPr="00593A5F" w:rsidRDefault="00385BFB" w:rsidP="00385BFB">
      <w:pPr>
        <w:widowControl w:val="0"/>
        <w:autoSpaceDE w:val="0"/>
        <w:autoSpaceDN w:val="0"/>
        <w:spacing w:after="0" w:line="276" w:lineRule="auto"/>
        <w:jc w:val="both"/>
        <w:rPr>
          <w:rFonts w:ascii="Verdana" w:hAnsi="Verdana" w:cs="Arial"/>
        </w:rPr>
      </w:pPr>
    </w:p>
    <w:p w14:paraId="167887B9" w14:textId="77777777" w:rsidR="00B52B2A" w:rsidRPr="00D33E27" w:rsidRDefault="00B52B2A" w:rsidP="00B52B2A">
      <w:pPr>
        <w:widowControl w:val="0"/>
        <w:autoSpaceDE w:val="0"/>
        <w:autoSpaceDN w:val="0"/>
        <w:spacing w:after="0" w:line="276" w:lineRule="auto"/>
        <w:jc w:val="both"/>
        <w:rPr>
          <w:rStyle w:val="normaltextrun"/>
          <w:rFonts w:ascii="Verdana" w:hAnsi="Verdana" w:cs="Arial"/>
          <w:shd w:val="clear" w:color="auto" w:fill="FFFFFF"/>
          <w:lang w:val="es-ES"/>
        </w:rPr>
      </w:pPr>
      <w:r w:rsidRPr="00D33E27">
        <w:rPr>
          <w:rStyle w:val="normaltextrun"/>
          <w:rFonts w:ascii="Verdana" w:hAnsi="Verdana" w:cs="Arial"/>
          <w:shd w:val="clear" w:color="auto" w:fill="FFFFFF"/>
          <w:lang w:val="es-ES"/>
        </w:rPr>
        <w:t xml:space="preserve">Sobre las limitaciones territoriales de convocatorias a MiPymes, esta Subdirección se ha pronunciado en los conceptos Nro.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C -094 del 19 de junio de 2024 y C-253 del 15 de agosto del 2024. Igualmente se ha analizado el régimen de inhabilidades e incompatibilidades en los conceptos Nro. </w:t>
      </w:r>
      <w:r w:rsidRPr="00D33E27">
        <w:rPr>
          <w:rFonts w:ascii="Verdana" w:hAnsi="Verdana" w:cs="Arial"/>
          <w:shd w:val="clear" w:color="auto" w:fill="FFFFFF"/>
          <w:lang w:val="es-ES"/>
        </w:rPr>
        <w:t xml:space="preserve">Conceptos C-035 del 24 de abril de 2024, C-067 del 16 de mayo de 2024, C-041 del 29 de mayo de 2024, C-078 del 04 de junio de 2024, C-193 del 19 de julio de 2024, C-271 del 25 de julio de 2024, C-108 de 06 de agosto de 2024 y C-332 del 27 de agosto del 2024, entre otros. </w:t>
      </w:r>
    </w:p>
    <w:p w14:paraId="28FB8120" w14:textId="77777777" w:rsidR="00B52B2A" w:rsidRPr="00D33E27" w:rsidRDefault="00B52B2A" w:rsidP="00B52B2A">
      <w:pPr>
        <w:widowControl w:val="0"/>
        <w:autoSpaceDE w:val="0"/>
        <w:autoSpaceDN w:val="0"/>
        <w:spacing w:after="0" w:line="276" w:lineRule="auto"/>
        <w:jc w:val="both"/>
        <w:rPr>
          <w:rStyle w:val="normaltextrun"/>
          <w:rFonts w:ascii="Verdana" w:hAnsi="Verdana" w:cs="Arial"/>
          <w:shd w:val="clear" w:color="auto" w:fill="FFFFFF"/>
          <w:lang w:val="es-ES"/>
        </w:rPr>
      </w:pPr>
    </w:p>
    <w:p w14:paraId="539575F3" w14:textId="77777777" w:rsidR="00B52B2A" w:rsidRPr="00D33E27" w:rsidRDefault="00B52B2A" w:rsidP="00B52B2A">
      <w:pPr>
        <w:widowControl w:val="0"/>
        <w:autoSpaceDE w:val="0"/>
        <w:autoSpaceDN w:val="0"/>
        <w:spacing w:after="0" w:line="276" w:lineRule="auto"/>
        <w:jc w:val="both"/>
        <w:rPr>
          <w:rFonts w:ascii="Verdana" w:hAnsi="Verdana" w:cs="Arial"/>
          <w:shd w:val="clear" w:color="auto" w:fill="FFFFFF"/>
          <w:lang w:val="es-ES"/>
        </w:rPr>
      </w:pPr>
      <w:r w:rsidRPr="00D33E2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9" w:tgtFrame="_blank" w:tooltip="Dirección URL original: https://relatoria.colombiacompra.gov.co/. Haga clic o pulse si confía en este vínculo." w:history="1">
        <w:r w:rsidRPr="00D33E27">
          <w:rPr>
            <w:rStyle w:val="Hipervnculo"/>
            <w:rFonts w:ascii="Verdana" w:hAnsi="Verdana" w:cs="Arial"/>
            <w:shd w:val="clear" w:color="auto" w:fill="FFFFFF"/>
          </w:rPr>
          <w:t>https://relatoria.colombiacompra.gov.co/</w:t>
        </w:r>
      </w:hyperlink>
      <w:r w:rsidRPr="00D33E27">
        <w:rPr>
          <w:rFonts w:ascii="Verdana" w:hAnsi="Verdana" w:cs="Arial"/>
          <w:shd w:val="clear" w:color="auto" w:fill="FFFFFF"/>
        </w:rPr>
        <w:t xml:space="preserve"> . </w:t>
      </w:r>
    </w:p>
    <w:p w14:paraId="27DAD680" w14:textId="77777777" w:rsidR="00B52B2A" w:rsidRPr="00D33E27" w:rsidRDefault="00B52B2A" w:rsidP="00B52B2A">
      <w:pPr>
        <w:widowControl w:val="0"/>
        <w:autoSpaceDE w:val="0"/>
        <w:autoSpaceDN w:val="0"/>
        <w:spacing w:after="0" w:line="276" w:lineRule="auto"/>
        <w:jc w:val="both"/>
        <w:rPr>
          <w:rFonts w:ascii="Verdana" w:hAnsi="Verdana" w:cs="Arial"/>
          <w:shd w:val="clear" w:color="auto" w:fill="FFFFFF"/>
        </w:rPr>
      </w:pPr>
    </w:p>
    <w:p w14:paraId="1163C392" w14:textId="77777777" w:rsidR="00B52B2A" w:rsidRDefault="00B52B2A" w:rsidP="00B52B2A">
      <w:pPr>
        <w:widowControl w:val="0"/>
        <w:autoSpaceDE w:val="0"/>
        <w:autoSpaceDN w:val="0"/>
        <w:spacing w:after="0" w:line="276" w:lineRule="auto"/>
        <w:jc w:val="both"/>
        <w:rPr>
          <w:rFonts w:ascii="Verdana" w:hAnsi="Verdana" w:cs="Arial"/>
          <w:shd w:val="clear" w:color="auto" w:fill="FFFFFF"/>
        </w:rPr>
      </w:pPr>
      <w:r w:rsidRPr="00D33E27">
        <w:rPr>
          <w:rFonts w:ascii="Verdana" w:hAnsi="Verdana" w:cs="Arial"/>
          <w:shd w:val="clear" w:color="auto" w:fill="FFFFFF"/>
        </w:rPr>
        <w:lastRenderedPageBreak/>
        <w:t>Te invitamos también a revisar la tercera edición del  Boletín de Relatoría de 2024 en el cual podrás consultar en detalle el marco normativo de documentos tipo: </w:t>
      </w:r>
      <w:hyperlink r:id="rId20" w:tgtFrame="_blank" w:tooltip="Dirección URL original: https://www.colombiacompra.gov.co/sites/cce_public/files/files_2020/boletin_de_realtoria_iii.pdf. Haga clic o pulse si confía en este vínculo." w:history="1">
        <w:r w:rsidRPr="00D33E27">
          <w:rPr>
            <w:rStyle w:val="Hipervnculo"/>
            <w:rFonts w:ascii="Verdana" w:hAnsi="Verdana" w:cs="Arial"/>
            <w:shd w:val="clear" w:color="auto" w:fill="FFFFFF"/>
          </w:rPr>
          <w:t>https://www.colombiacompra.gov.co/sites/cce_public/files/files_2020/boletin_de_realtoria_iii.pdf</w:t>
        </w:r>
      </w:hyperlink>
      <w:r w:rsidRPr="00D33E27">
        <w:rPr>
          <w:rFonts w:ascii="Verdana" w:hAnsi="Verdana" w:cs="Arial"/>
          <w:shd w:val="clear" w:color="auto" w:fill="FFFFFF"/>
        </w:rPr>
        <w:t> "</w:t>
      </w:r>
    </w:p>
    <w:p w14:paraId="1F3C0ED2" w14:textId="77777777" w:rsidR="00385BFB" w:rsidRPr="003E2460" w:rsidRDefault="00385BFB" w:rsidP="00385BFB">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E115D7D" w14:textId="77777777" w:rsidR="00385BFB" w:rsidRPr="003E2460" w:rsidRDefault="00385BFB" w:rsidP="00385BFB">
      <w:pPr>
        <w:spacing w:after="0" w:line="240" w:lineRule="auto"/>
        <w:jc w:val="both"/>
        <w:rPr>
          <w:rFonts w:ascii="Verdana" w:hAnsi="Verdana"/>
        </w:rPr>
      </w:pPr>
    </w:p>
    <w:p w14:paraId="5B3C5E06" w14:textId="77777777" w:rsidR="00385BFB" w:rsidRPr="003E2460" w:rsidRDefault="00385BFB" w:rsidP="00385BFB">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35EFEF50" w14:textId="77777777" w:rsidR="00385BFB" w:rsidRPr="003E2460" w:rsidRDefault="00385BFB" w:rsidP="00385BFB">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0BC8F73" w14:textId="77777777" w:rsidR="00385BFB" w:rsidRPr="003E2460" w:rsidRDefault="00385BFB" w:rsidP="00385BFB">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CD8223D" w14:textId="77777777" w:rsidR="00385BFB" w:rsidRPr="00593A5F" w:rsidRDefault="00385BFB" w:rsidP="00385BFB">
      <w:pPr>
        <w:widowControl w:val="0"/>
        <w:autoSpaceDE w:val="0"/>
        <w:autoSpaceDN w:val="0"/>
        <w:spacing w:after="0" w:line="276" w:lineRule="auto"/>
        <w:jc w:val="both"/>
        <w:rPr>
          <w:rFonts w:ascii="Verdana" w:hAnsi="Verdana" w:cs="Arial"/>
        </w:rPr>
      </w:pPr>
    </w:p>
    <w:p w14:paraId="3AA67AD7" w14:textId="77777777" w:rsidR="00385BFB" w:rsidRPr="00593A5F" w:rsidRDefault="00385BFB" w:rsidP="00385BF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FC36D8A" w14:textId="77777777" w:rsidR="00385BFB" w:rsidRPr="00593A5F" w:rsidRDefault="00385BFB" w:rsidP="00385BFB">
      <w:pPr>
        <w:widowControl w:val="0"/>
        <w:autoSpaceDE w:val="0"/>
        <w:autoSpaceDN w:val="0"/>
        <w:spacing w:after="0" w:line="276" w:lineRule="auto"/>
        <w:jc w:val="both"/>
        <w:rPr>
          <w:rFonts w:ascii="Verdana" w:hAnsi="Verdana" w:cs="Arial"/>
        </w:rPr>
      </w:pPr>
    </w:p>
    <w:p w14:paraId="274DFC09" w14:textId="77777777" w:rsidR="00385BFB" w:rsidRPr="00593A5F" w:rsidRDefault="00385BFB" w:rsidP="00385BF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5CAA1E2" w14:textId="76893971" w:rsidR="00385BFB" w:rsidRPr="00593A5F" w:rsidRDefault="00D87339" w:rsidP="00385BFB">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AF9BD8E" wp14:editId="79E9BCD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85BFB" w:rsidRPr="004B2B8D" w14:paraId="56395E85" w14:textId="77777777" w:rsidTr="0027513F">
        <w:trPr>
          <w:trHeight w:val="315"/>
        </w:trPr>
        <w:tc>
          <w:tcPr>
            <w:tcW w:w="893" w:type="dxa"/>
            <w:vAlign w:val="center"/>
            <w:hideMark/>
          </w:tcPr>
          <w:p w14:paraId="79B15947" w14:textId="77777777" w:rsidR="00385BFB" w:rsidRPr="004B2B8D" w:rsidRDefault="00385BFB" w:rsidP="0027513F">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3BAF480" w14:textId="77777777" w:rsidR="00385BFB" w:rsidRPr="004B2B8D" w:rsidRDefault="00385BFB" w:rsidP="0027513F">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5642A824" w14:textId="77777777" w:rsidR="00385BFB" w:rsidRPr="004B2B8D" w:rsidRDefault="00385BFB" w:rsidP="0027513F">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385BFB" w:rsidRPr="004B2B8D" w14:paraId="1368C2CB" w14:textId="77777777" w:rsidTr="0027513F">
        <w:trPr>
          <w:trHeight w:val="330"/>
        </w:trPr>
        <w:tc>
          <w:tcPr>
            <w:tcW w:w="893" w:type="dxa"/>
            <w:vAlign w:val="center"/>
            <w:hideMark/>
          </w:tcPr>
          <w:p w14:paraId="71EBEE4D" w14:textId="77777777" w:rsidR="00385BFB" w:rsidRPr="004B2B8D" w:rsidRDefault="00385BFB" w:rsidP="0027513F">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32205F3" w14:textId="77777777" w:rsidR="00385BFB" w:rsidRPr="009731F5" w:rsidRDefault="00385BFB" w:rsidP="0027513F">
            <w:pPr>
              <w:jc w:val="both"/>
              <w:rPr>
                <w:rFonts w:ascii="Verdana" w:hAnsi="Verdana" w:cs="Arial"/>
                <w:sz w:val="16"/>
                <w:szCs w:val="16"/>
              </w:rPr>
            </w:pPr>
            <w:r w:rsidRPr="009731F5">
              <w:rPr>
                <w:rFonts w:ascii="Verdana" w:hAnsi="Verdana" w:cs="Arial"/>
                <w:sz w:val="16"/>
                <w:szCs w:val="16"/>
              </w:rPr>
              <w:t>Ximena Ríos López</w:t>
            </w:r>
          </w:p>
          <w:p w14:paraId="4B4AE610" w14:textId="77777777" w:rsidR="00385BFB" w:rsidRPr="004B2B8D" w:rsidRDefault="00385BFB" w:rsidP="0027513F">
            <w:pPr>
              <w:pStyle w:val="paragraph"/>
              <w:spacing w:before="0" w:beforeAutospacing="0" w:after="0" w:afterAutospacing="0"/>
              <w:contextualSpacing/>
              <w:textAlignment w:val="baseline"/>
              <w:rPr>
                <w:rFonts w:ascii="Verdana" w:hAnsi="Verdana" w:cs="Segoe UI"/>
                <w:sz w:val="16"/>
                <w:szCs w:val="16"/>
              </w:rPr>
            </w:pPr>
            <w:r w:rsidRPr="009731F5">
              <w:rPr>
                <w:rFonts w:ascii="Verdana" w:hAnsi="Verdana" w:cs="Arial"/>
                <w:sz w:val="16"/>
                <w:szCs w:val="16"/>
                <w:lang w:val="es-ES" w:eastAsia="es-ES"/>
              </w:rPr>
              <w:t>Gestor T1 -11 de la Subdirección de Gestión Contractual</w:t>
            </w:r>
          </w:p>
        </w:tc>
      </w:tr>
      <w:tr w:rsidR="00385BFB" w:rsidRPr="004B2B8D" w14:paraId="076C96C9" w14:textId="77777777" w:rsidTr="0027513F">
        <w:trPr>
          <w:trHeight w:val="300"/>
        </w:trPr>
        <w:tc>
          <w:tcPr>
            <w:tcW w:w="893" w:type="dxa"/>
            <w:vAlign w:val="center"/>
          </w:tcPr>
          <w:p w14:paraId="35059B19" w14:textId="77777777" w:rsidR="00385BFB" w:rsidRPr="004B2B8D" w:rsidRDefault="00385BFB" w:rsidP="0027513F">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31BCE26" w14:textId="77777777" w:rsidR="00385BFB" w:rsidRPr="004B2B8D" w:rsidRDefault="00385BFB" w:rsidP="0027513F">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4CC046E5" w14:textId="77777777" w:rsidR="00385BFB" w:rsidRPr="004B2B8D" w:rsidRDefault="00385BFB" w:rsidP="0027513F">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6BE15D75" w14:textId="77777777" w:rsidR="00385BFB" w:rsidRPr="00593A5F" w:rsidRDefault="00385BFB" w:rsidP="00385BFB">
      <w:pPr>
        <w:spacing w:after="0" w:line="240" w:lineRule="auto"/>
        <w:rPr>
          <w:rFonts w:ascii="Verdana" w:eastAsia="Times New Roman" w:hAnsi="Verdana" w:cs="Arial"/>
          <w:sz w:val="24"/>
          <w:szCs w:val="24"/>
          <w:lang w:eastAsia="es-ES"/>
        </w:rPr>
      </w:pPr>
    </w:p>
    <w:p w14:paraId="3FCB336F" w14:textId="77777777" w:rsidR="00385BFB" w:rsidRPr="00564CAF" w:rsidRDefault="00385BFB" w:rsidP="00385BFB"/>
    <w:p w14:paraId="718112BF" w14:textId="77777777" w:rsidR="00385BFB" w:rsidRPr="00A67491" w:rsidRDefault="00385BFB" w:rsidP="00385BFB"/>
    <w:p w14:paraId="0F293BF4" w14:textId="7BBFAB11" w:rsidR="00127233" w:rsidRPr="00BE2F0A" w:rsidRDefault="00127233" w:rsidP="00BE2F0A"/>
    <w:sectPr w:rsidR="00127233" w:rsidRPr="00BE2F0A"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tha Alicia Romero Vargas" w:date="2024-09-04T09:54:00Z" w:initials="MARV">
    <w:p w14:paraId="19D0056A" w14:textId="77777777" w:rsidR="00385BFB" w:rsidRDefault="00385BFB" w:rsidP="00385BFB">
      <w:pPr>
        <w:pStyle w:val="Textocomentario"/>
      </w:pPr>
      <w:r>
        <w:rPr>
          <w:rStyle w:val="Refdecomentario"/>
        </w:rPr>
        <w:annotationRef/>
      </w:r>
      <w:r>
        <w:t>Ajusté el concepto por favor arreglar letra y tamaño en todo el documento</w:t>
      </w:r>
    </w:p>
  </w:comment>
  <w:comment w:id="1" w:author="Martha Alicia Romero Vargas" w:date="2024-09-04T09:54:00Z" w:initials="MARV">
    <w:p w14:paraId="5C6C7A77" w14:textId="77777777" w:rsidR="00385BFB" w:rsidRDefault="00385BFB" w:rsidP="00385BFB">
      <w:pPr>
        <w:pStyle w:val="Textocomentario"/>
      </w:pPr>
      <w:r>
        <w:rPr>
          <w:rStyle w:val="Refdecomentario"/>
        </w:rPr>
        <w:annotationRef/>
      </w:r>
    </w:p>
  </w:comment>
  <w:comment w:id="2" w:author="Ximena Ríos López" w:date="2024-09-27T19:19:00Z" w:initials="XR">
    <w:p w14:paraId="51C68D93" w14:textId="77777777" w:rsidR="00C12AE5" w:rsidRDefault="00C12AE5" w:rsidP="00C12AE5">
      <w:pPr>
        <w:pStyle w:val="Textocomentario"/>
      </w:pPr>
      <w:r>
        <w:rPr>
          <w:rStyle w:val="Refdecomentario"/>
        </w:rPr>
        <w:annotationRef/>
      </w:r>
      <w:r>
        <w:t>Esto es de las consideraciones, las respuestas deben ser concretas</w:t>
      </w:r>
    </w:p>
  </w:comment>
  <w:comment w:id="3" w:author="Ximena Ríos López" w:date="2024-09-27T19:22:00Z" w:initials="XR">
    <w:p w14:paraId="49E9ACBA" w14:textId="77777777" w:rsidR="006E5EEC" w:rsidRDefault="006E5EEC" w:rsidP="006E5EEC">
      <w:pPr>
        <w:pStyle w:val="Textocomentario"/>
      </w:pPr>
      <w:r>
        <w:rPr>
          <w:rStyle w:val="Refdecomentario"/>
        </w:rPr>
        <w:annotationRef/>
      </w:r>
      <w:r>
        <w:t>Ajustar, aquí no es genérico, se debe citar todo lo que este arriba con artículos y no de forma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D0056A" w15:done="1"/>
  <w15:commentEx w15:paraId="5C6C7A77" w15:paraIdParent="19D0056A" w15:done="1"/>
  <w15:commentEx w15:paraId="51C68D93" w15:done="1"/>
  <w15:commentEx w15:paraId="49E9AC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2ACC0" w16cex:dateUtc="2024-09-04T14:54:00Z">
    <w16cex:extLst>
      <w16:ext w16:uri="{CE6994B0-6A32-4C9F-8C6B-6E91EDA988CE}">
        <cr:reactions xmlns:cr="http://schemas.microsoft.com/office/comments/2020/reactions">
          <cr:reaction reactionType="1">
            <cr:reactionInfo dateUtc="2024-09-04T15:19:38Z">
              <cr:user userId="S::richard.montenegro@colombiacompra.gov.co::da9fc3c1-3dbb-4f04-a7dd-1f2f42f5644e" userProvider="AD" userName="Richard Andrés Montenegro Siefken"/>
            </cr:reactionInfo>
          </cr:reaction>
        </cr:reactions>
      </w16:ext>
    </w16cex:extLst>
  </w16cex:commentExtensible>
  <w16cex:commentExtensible w16cex:durableId="2A82ACD6" w16cex:dateUtc="2024-09-04T14:54:00Z"/>
  <w16cex:commentExtensible w16cex:durableId="7CE04A29" w16cex:dateUtc="2024-09-28T00:19:00Z"/>
  <w16cex:commentExtensible w16cex:durableId="5E9A186D" w16cex:dateUtc="2024-09-28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D0056A" w16cid:durableId="2A82ACC0"/>
  <w16cid:commentId w16cid:paraId="5C6C7A77" w16cid:durableId="2A82ACD6"/>
  <w16cid:commentId w16cid:paraId="51C68D93" w16cid:durableId="7CE04A29"/>
  <w16cid:commentId w16cid:paraId="49E9ACBA" w16cid:durableId="5E9A1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D27B" w14:textId="77777777" w:rsidR="00203634" w:rsidRDefault="00203634" w:rsidP="004A1847">
      <w:pPr>
        <w:spacing w:after="0" w:line="240" w:lineRule="auto"/>
      </w:pPr>
      <w:r>
        <w:separator/>
      </w:r>
    </w:p>
  </w:endnote>
  <w:endnote w:type="continuationSeparator" w:id="0">
    <w:p w14:paraId="06E554D3" w14:textId="77777777" w:rsidR="00203634" w:rsidRDefault="0020363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MT">
    <w:altName w:val="Klee On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6067" w14:textId="77777777" w:rsidR="00203634" w:rsidRDefault="00203634" w:rsidP="004A1847">
      <w:pPr>
        <w:spacing w:after="0" w:line="240" w:lineRule="auto"/>
      </w:pPr>
      <w:r>
        <w:separator/>
      </w:r>
    </w:p>
  </w:footnote>
  <w:footnote w:type="continuationSeparator" w:id="0">
    <w:p w14:paraId="27359C9B" w14:textId="77777777" w:rsidR="00203634" w:rsidRDefault="00203634" w:rsidP="004A1847">
      <w:pPr>
        <w:spacing w:after="0" w:line="240" w:lineRule="auto"/>
      </w:pPr>
      <w:r>
        <w:continuationSeparator/>
      </w:r>
    </w:p>
  </w:footnote>
  <w:footnote w:id="1">
    <w:p w14:paraId="5FF5933D" w14:textId="77777777" w:rsidR="00385BFB" w:rsidRPr="005B158C" w:rsidRDefault="00385BFB" w:rsidP="00840337">
      <w:pPr>
        <w:pStyle w:val="Textonotapie"/>
        <w:ind w:firstLine="708"/>
      </w:pPr>
      <w:r>
        <w:rPr>
          <w:rStyle w:val="Refdenotaalpie"/>
        </w:rPr>
        <w:footnoteRef/>
      </w:r>
      <w:r>
        <w:t xml:space="preserve"> </w:t>
      </w:r>
      <w:r>
        <w:rPr>
          <w:rFonts w:ascii="Century Gothic" w:hAnsi="Century Gothic" w:cs="Arial"/>
          <w:color w:val="000000"/>
        </w:rPr>
        <w:t>Artículo 2.2.1.2.4.2.2 del Decreto 1082 de 2015</w:t>
      </w:r>
    </w:p>
  </w:footnote>
  <w:footnote w:id="2">
    <w:p w14:paraId="732374E9" w14:textId="1E6B6789" w:rsidR="004C1412" w:rsidRPr="00F94D89" w:rsidRDefault="004C1412">
      <w:pPr>
        <w:pStyle w:val="Textonotapie"/>
        <w:rPr>
          <w:rFonts w:ascii="Verdana" w:hAnsi="Verdana"/>
          <w:sz w:val="12"/>
          <w:szCs w:val="12"/>
        </w:rPr>
      </w:pPr>
      <w:r w:rsidRPr="00F94D89">
        <w:rPr>
          <w:rStyle w:val="Refdenotaalpie"/>
          <w:rFonts w:ascii="Verdana" w:hAnsi="Verdana"/>
          <w:sz w:val="12"/>
          <w:szCs w:val="12"/>
        </w:rPr>
        <w:footnoteRef/>
      </w:r>
      <w:r w:rsidRPr="00F94D89">
        <w:rPr>
          <w:rFonts w:ascii="Verdana" w:hAnsi="Verdana"/>
          <w:sz w:val="12"/>
          <w:szCs w:val="12"/>
        </w:rPr>
        <w:t xml:space="preserve"> </w:t>
      </w:r>
      <w:r w:rsidRPr="00F94D89">
        <w:rPr>
          <w:rFonts w:ascii="Verdana" w:hAnsi="Verdana"/>
          <w:sz w:val="12"/>
          <w:szCs w:val="12"/>
          <w:lang w:val="es-CO"/>
        </w:rPr>
        <w:t>Artículos 2 al 29.</w:t>
      </w:r>
    </w:p>
  </w:footnote>
  <w:footnote w:id="3">
    <w:p w14:paraId="72BCE5B5" w14:textId="5EDA396D" w:rsidR="00A73808" w:rsidRPr="00F94D89" w:rsidRDefault="004C1412">
      <w:pPr>
        <w:pStyle w:val="Textonotapie"/>
        <w:rPr>
          <w:rFonts w:ascii="Verdana" w:hAnsi="Verdana"/>
          <w:sz w:val="12"/>
          <w:szCs w:val="12"/>
          <w:lang w:val="es-CO"/>
        </w:rPr>
      </w:pPr>
      <w:r w:rsidRPr="00F94D89">
        <w:rPr>
          <w:rStyle w:val="Refdenotaalpie"/>
          <w:rFonts w:ascii="Verdana" w:hAnsi="Verdana"/>
          <w:sz w:val="12"/>
          <w:szCs w:val="12"/>
        </w:rPr>
        <w:footnoteRef/>
      </w:r>
      <w:r w:rsidRPr="00F94D89">
        <w:rPr>
          <w:rFonts w:ascii="Verdana" w:hAnsi="Verdana"/>
          <w:sz w:val="12"/>
          <w:szCs w:val="12"/>
        </w:rPr>
        <w:t xml:space="preserve"> </w:t>
      </w:r>
      <w:r w:rsidR="00A73808" w:rsidRPr="00F94D89">
        <w:rPr>
          <w:rFonts w:ascii="Verdana" w:hAnsi="Verdana"/>
          <w:sz w:val="12"/>
          <w:szCs w:val="12"/>
          <w:lang w:val="es-CO"/>
        </w:rPr>
        <w:t>Artículos 30 al 36.</w:t>
      </w:r>
    </w:p>
  </w:footnote>
  <w:footnote w:id="4">
    <w:p w14:paraId="4CE4EA71" w14:textId="277D963D" w:rsidR="00A73808" w:rsidRDefault="00A73808">
      <w:pPr>
        <w:pStyle w:val="Textonotapie"/>
      </w:pPr>
      <w:r w:rsidRPr="00F94D89">
        <w:rPr>
          <w:rStyle w:val="Refdenotaalpie"/>
          <w:rFonts w:ascii="Verdana" w:hAnsi="Verdana"/>
          <w:sz w:val="12"/>
          <w:szCs w:val="12"/>
        </w:rPr>
        <w:footnoteRef/>
      </w:r>
      <w:r w:rsidRPr="00F94D89">
        <w:rPr>
          <w:rFonts w:ascii="Verdana" w:hAnsi="Verdana"/>
          <w:sz w:val="12"/>
          <w:szCs w:val="12"/>
        </w:rPr>
        <w:t xml:space="preserve"> </w:t>
      </w:r>
      <w:r w:rsidRPr="00F94D89">
        <w:rPr>
          <w:rFonts w:ascii="Verdana" w:hAnsi="Verdana"/>
          <w:sz w:val="12"/>
          <w:szCs w:val="12"/>
          <w:lang w:val="es-CO"/>
        </w:rPr>
        <w:t>Artículos 37 al 45</w:t>
      </w:r>
    </w:p>
  </w:footnote>
  <w:footnote w:id="5">
    <w:p w14:paraId="273FEF45" w14:textId="108B229A" w:rsidR="005417DD" w:rsidRPr="00455541" w:rsidRDefault="005417DD">
      <w:pPr>
        <w:pStyle w:val="Textonotapie"/>
        <w:rPr>
          <w:rFonts w:ascii="Verdana" w:hAnsi="Verdana"/>
          <w:sz w:val="12"/>
          <w:szCs w:val="12"/>
        </w:rPr>
      </w:pPr>
      <w:r w:rsidRPr="00455541">
        <w:rPr>
          <w:rStyle w:val="Refdenotaalpie"/>
          <w:rFonts w:ascii="Verdana" w:hAnsi="Verdana"/>
          <w:sz w:val="12"/>
          <w:szCs w:val="12"/>
        </w:rPr>
        <w:footnoteRef/>
      </w:r>
      <w:r w:rsidRPr="00455541">
        <w:rPr>
          <w:rFonts w:ascii="Verdana" w:hAnsi="Verdana"/>
          <w:sz w:val="12"/>
          <w:szCs w:val="12"/>
        </w:rPr>
        <w:t xml:space="preserve"> </w:t>
      </w:r>
      <w:r w:rsidR="00055AAC" w:rsidRPr="00455541">
        <w:rPr>
          <w:rFonts w:ascii="Verdana" w:hAnsi="Verdana"/>
          <w:sz w:val="12"/>
          <w:szCs w:val="12"/>
          <w:lang w:val="es-CO"/>
        </w:rPr>
        <w:t>Artículos 46 al 73.</w:t>
      </w:r>
    </w:p>
  </w:footnote>
  <w:footnote w:id="6">
    <w:p w14:paraId="66761CB3" w14:textId="77777777" w:rsidR="005731D6" w:rsidRPr="00455541" w:rsidRDefault="005731D6" w:rsidP="00137D15">
      <w:pPr>
        <w:pStyle w:val="Textonotapie"/>
        <w:rPr>
          <w:rFonts w:ascii="Verdana" w:hAnsi="Verdana" w:cs="Arial"/>
          <w:sz w:val="12"/>
          <w:szCs w:val="12"/>
          <w:lang w:val="es-ES"/>
        </w:rPr>
      </w:pPr>
      <w:r w:rsidRPr="00455541">
        <w:rPr>
          <w:rStyle w:val="Refdenotaalpie"/>
          <w:rFonts w:ascii="Verdana" w:hAnsi="Verdana" w:cs="Arial"/>
          <w:sz w:val="12"/>
          <w:szCs w:val="12"/>
        </w:rPr>
        <w:footnoteRef/>
      </w:r>
      <w:r w:rsidRPr="00455541">
        <w:rPr>
          <w:rFonts w:ascii="Verdana" w:hAnsi="Verdana" w:cs="Arial"/>
          <w:sz w:val="12"/>
          <w:szCs w:val="12"/>
        </w:rPr>
        <w:t xml:space="preserve"> </w:t>
      </w:r>
      <w:r w:rsidRPr="00455541">
        <w:rPr>
          <w:rFonts w:ascii="Verdana" w:hAnsi="Verdana" w:cs="Arial"/>
          <w:sz w:val="12"/>
          <w:szCs w:val="12"/>
          <w:lang w:val="es-ES"/>
        </w:rPr>
        <w:t xml:space="preserve">Artículos </w:t>
      </w:r>
      <w:r w:rsidRPr="00455541">
        <w:rPr>
          <w:rFonts w:ascii="Verdana" w:hAnsi="Verdana"/>
          <w:sz w:val="12"/>
          <w:szCs w:val="12"/>
          <w:lang w:val="es-CO"/>
        </w:rPr>
        <w:t>74</w:t>
      </w:r>
      <w:r w:rsidRPr="00455541">
        <w:rPr>
          <w:rFonts w:ascii="Verdana" w:hAnsi="Verdana" w:cs="Arial"/>
          <w:sz w:val="12"/>
          <w:szCs w:val="12"/>
          <w:lang w:val="es-ES"/>
        </w:rPr>
        <w:t xml:space="preserve"> al 83.</w:t>
      </w:r>
    </w:p>
    <w:p w14:paraId="5C37F005" w14:textId="77777777" w:rsidR="005731D6" w:rsidRPr="00455541" w:rsidRDefault="005731D6" w:rsidP="005731D6">
      <w:pPr>
        <w:pStyle w:val="Textonotapie"/>
        <w:ind w:firstLine="709"/>
        <w:jc w:val="both"/>
        <w:rPr>
          <w:rFonts w:ascii="Verdana" w:hAnsi="Verdana" w:cs="Arial"/>
          <w:sz w:val="12"/>
          <w:szCs w:val="12"/>
          <w:lang w:val="es-ES"/>
        </w:rPr>
      </w:pPr>
    </w:p>
  </w:footnote>
  <w:footnote w:id="7">
    <w:p w14:paraId="2CABF4AA" w14:textId="4535FA63" w:rsidR="005B7CB6" w:rsidRPr="00455541" w:rsidRDefault="005B7CB6" w:rsidP="00137D15">
      <w:pPr>
        <w:pStyle w:val="Textonotapie"/>
        <w:rPr>
          <w:rFonts w:ascii="Verdana" w:hAnsi="Verdana" w:cs="Arial"/>
          <w:sz w:val="12"/>
          <w:szCs w:val="12"/>
        </w:rPr>
      </w:pPr>
      <w:r w:rsidRPr="00455541">
        <w:rPr>
          <w:rStyle w:val="Refdenotaalpie"/>
          <w:rFonts w:ascii="Verdana" w:hAnsi="Verdana" w:cs="Arial"/>
          <w:sz w:val="12"/>
          <w:szCs w:val="12"/>
        </w:rPr>
        <w:footnoteRef/>
      </w:r>
      <w:r w:rsidRPr="00455541">
        <w:rPr>
          <w:rFonts w:ascii="Verdana" w:hAnsi="Verdana" w:cs="Arial"/>
          <w:sz w:val="12"/>
          <w:szCs w:val="12"/>
        </w:rPr>
        <w:t xml:space="preserve"> </w:t>
      </w:r>
      <w:r w:rsidRPr="00455541">
        <w:rPr>
          <w:rFonts w:ascii="Verdana" w:hAnsi="Verdana" w:cs="Arial"/>
          <w:sz w:val="12"/>
          <w:szCs w:val="12"/>
          <w:lang w:val="es-ES"/>
        </w:rPr>
        <w:t xml:space="preserve">En </w:t>
      </w:r>
      <w:r w:rsidRPr="00455541">
        <w:rPr>
          <w:rFonts w:ascii="Verdana" w:hAnsi="Verdana"/>
          <w:sz w:val="12"/>
          <w:szCs w:val="12"/>
          <w:lang w:val="es-CO"/>
        </w:rPr>
        <w:t>efecto</w:t>
      </w:r>
      <w:r w:rsidRPr="00455541">
        <w:rPr>
          <w:rFonts w:ascii="Verdana" w:hAnsi="Verdana" w:cs="Arial"/>
          <w:sz w:val="12"/>
          <w:szCs w:val="12"/>
          <w:lang w:val="es-ES"/>
        </w:rPr>
        <w:t xml:space="preserve">, el artículo 34 de la Ley 2069 de 2020 establece: </w:t>
      </w:r>
      <w:r w:rsidRPr="00455541">
        <w:rPr>
          <w:rFonts w:ascii="Verdana" w:hAnsi="Verdana" w:cs="Arial"/>
          <w:sz w:val="12"/>
          <w:szCs w:val="12"/>
        </w:rPr>
        <w:t xml:space="preserve">Modifíquese el artículo 12 de la Ley 1150 de 2007, el cual quedará así: </w:t>
      </w:r>
    </w:p>
    <w:p w14:paraId="44888A7F" w14:textId="77777777" w:rsidR="00137D15" w:rsidRPr="00455541" w:rsidRDefault="00137D15" w:rsidP="00137D15">
      <w:pPr>
        <w:pStyle w:val="Textonotapie"/>
        <w:rPr>
          <w:rFonts w:ascii="Verdana" w:hAnsi="Verdana" w:cs="Arial"/>
          <w:sz w:val="12"/>
          <w:szCs w:val="12"/>
        </w:rPr>
      </w:pPr>
    </w:p>
    <w:p w14:paraId="5BD5F44C" w14:textId="42D3700C" w:rsidR="005B7CB6" w:rsidRPr="00455541" w:rsidRDefault="005B7CB6" w:rsidP="00137D15">
      <w:pPr>
        <w:pStyle w:val="Textonotapie"/>
        <w:jc w:val="both"/>
        <w:rPr>
          <w:rFonts w:ascii="Verdana" w:eastAsia="Calibri" w:hAnsi="Verdana" w:cs="Arial"/>
          <w:color w:val="000000" w:themeColor="text1"/>
          <w:sz w:val="12"/>
          <w:szCs w:val="12"/>
          <w:lang w:val="es-ES_tradnl"/>
        </w:rPr>
      </w:pPr>
      <w:r w:rsidRPr="00455541">
        <w:rPr>
          <w:rFonts w:ascii="Verdana" w:eastAsia="Calibri" w:hAnsi="Verdana" w:cs="Arial"/>
          <w:color w:val="000000" w:themeColor="text1"/>
          <w:sz w:val="12"/>
          <w:szCs w:val="12"/>
          <w:lang w:val="es-ES_tradnl"/>
        </w:rPr>
        <w:t xml:space="preserve">"Artículo 12. Promoción del desarrollo en la contratación pública. De conformidad con lo dispuesto en </w:t>
      </w:r>
      <w:r w:rsidRPr="00455541">
        <w:rPr>
          <w:rFonts w:ascii="Verdana" w:hAnsi="Verdana"/>
          <w:sz w:val="12"/>
          <w:szCs w:val="12"/>
          <w:lang w:val="es-CO"/>
        </w:rPr>
        <w:t>los</w:t>
      </w:r>
      <w:r w:rsidRPr="00455541">
        <w:rPr>
          <w:rFonts w:ascii="Verdana" w:eastAsia="Calibri" w:hAnsi="Verdana" w:cs="Arial"/>
          <w:color w:val="000000" w:themeColor="text1"/>
          <w:sz w:val="12"/>
          <w:szCs w:val="12"/>
          <w:lang w:val="es-ES_tradnl"/>
        </w:rPr>
        <w:t xml:space="preserve">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455541">
        <w:rPr>
          <w:rFonts w:ascii="Verdana" w:eastAsia="Calibri" w:hAnsi="Verdana" w:cs="Arial"/>
          <w:color w:val="000000" w:themeColor="text1"/>
          <w:sz w:val="12"/>
          <w:szCs w:val="12"/>
          <w:lang w:val="es-ES_tradnl"/>
        </w:rPr>
        <w:t>Mipyme</w:t>
      </w:r>
      <w:proofErr w:type="spellEnd"/>
      <w:r w:rsidRPr="00455541">
        <w:rPr>
          <w:rFonts w:ascii="Verdana" w:eastAsia="Calibri" w:hAnsi="Verdana" w:cs="Arial"/>
          <w:color w:val="000000" w:themeColor="text1"/>
          <w:sz w:val="12"/>
          <w:szCs w:val="12"/>
          <w:lang w:val="es-ES_tradnl"/>
        </w:rPr>
        <w:t xml:space="preserve">, convocatorias limitadas a estas en las que, previo a la Resolución de apertura del proceso respectivo, se haya manifestado el interés de por lo menos dos (2) </w:t>
      </w:r>
      <w:proofErr w:type="spellStart"/>
      <w:r w:rsidRPr="00455541">
        <w:rPr>
          <w:rFonts w:ascii="Verdana" w:eastAsia="Calibri" w:hAnsi="Verdana" w:cs="Arial"/>
          <w:color w:val="000000" w:themeColor="text1"/>
          <w:sz w:val="12"/>
          <w:szCs w:val="12"/>
          <w:lang w:val="es-ES_tradnl"/>
        </w:rPr>
        <w:t>Mipyme</w:t>
      </w:r>
      <w:proofErr w:type="spellEnd"/>
      <w:r w:rsidRPr="00455541">
        <w:rPr>
          <w:rFonts w:ascii="Verdana" w:eastAsia="Calibri" w:hAnsi="Verdana" w:cs="Arial"/>
          <w:color w:val="000000" w:themeColor="text1"/>
          <w:sz w:val="12"/>
          <w:szCs w:val="12"/>
          <w:lang w:val="es-ES_tradnl"/>
        </w:rPr>
        <w:t>.</w:t>
      </w:r>
    </w:p>
    <w:p w14:paraId="3A09FFF2" w14:textId="57A43DCA" w:rsidR="005B7CB6" w:rsidRPr="00455541" w:rsidRDefault="005B7CB6" w:rsidP="00137D15">
      <w:pPr>
        <w:jc w:val="both"/>
        <w:rPr>
          <w:rFonts w:ascii="Verdana" w:eastAsia="Calibri" w:hAnsi="Verdana" w:cs="Arial"/>
          <w:color w:val="000000" w:themeColor="text1"/>
          <w:sz w:val="12"/>
          <w:szCs w:val="12"/>
          <w:lang w:val="es-ES_tradnl"/>
        </w:rPr>
      </w:pPr>
      <w:r w:rsidRPr="00455541">
        <w:rPr>
          <w:rFonts w:ascii="Verdana" w:eastAsia="Calibri" w:hAnsi="Verdana" w:cs="Arial"/>
          <w:color w:val="000000" w:themeColor="text1"/>
          <w:sz w:val="12"/>
          <w:szCs w:val="12"/>
          <w:lang w:val="es-ES_tradnl"/>
        </w:rPr>
        <w:t xml:space="preserve">Asimismo, el reglamento podrá establecer condiciones preferenciales a favor de la oferta de bienes y servicios producidos por las </w:t>
      </w:r>
      <w:proofErr w:type="spellStart"/>
      <w:r w:rsidRPr="00455541">
        <w:rPr>
          <w:rFonts w:ascii="Verdana" w:eastAsia="Calibri" w:hAnsi="Verdana" w:cs="Arial"/>
          <w:color w:val="000000" w:themeColor="text1"/>
          <w:sz w:val="12"/>
          <w:szCs w:val="12"/>
          <w:lang w:val="es-ES_tradnl"/>
        </w:rPr>
        <w:t>Mipyme</w:t>
      </w:r>
      <w:proofErr w:type="spellEnd"/>
      <w:r w:rsidRPr="00455541">
        <w:rPr>
          <w:rFonts w:ascii="Verdana" w:eastAsia="Calibri" w:hAnsi="Verdana" w:cs="Arial"/>
          <w:color w:val="000000" w:themeColor="text1"/>
          <w:sz w:val="12"/>
          <w:szCs w:val="12"/>
          <w:lang w:val="es-ES_tradnl"/>
        </w:rPr>
        <w:t xml:space="preserve"> respetando los montos y las condiciones contenidas en los compromisos internacionales vigentes, cuando sean aplicables.</w:t>
      </w:r>
    </w:p>
    <w:p w14:paraId="2CACB5D1" w14:textId="3C3C8588" w:rsidR="005B7CB6" w:rsidRPr="00455541" w:rsidRDefault="005B7CB6" w:rsidP="00455541">
      <w:pPr>
        <w:jc w:val="both"/>
        <w:rPr>
          <w:rFonts w:ascii="Verdana" w:eastAsia="Calibri" w:hAnsi="Verdana" w:cs="Arial"/>
          <w:color w:val="000000" w:themeColor="text1"/>
          <w:sz w:val="12"/>
          <w:szCs w:val="12"/>
          <w:lang w:val="es-ES_tradnl"/>
        </w:rPr>
      </w:pPr>
      <w:r w:rsidRPr="00455541">
        <w:rPr>
          <w:rFonts w:ascii="Verdana" w:eastAsia="Calibri" w:hAnsi="Verdana" w:cs="Arial"/>
          <w:color w:val="000000" w:themeColor="text1"/>
          <w:sz w:val="12"/>
          <w:szCs w:val="12"/>
          <w:lang w:val="es-ES_tradnl"/>
        </w:rPr>
        <w:t>En todo caso, se deberá garantizar la satisfacción de las condiciones técnicas y económicas requeridas en el Proceso de Contratación.</w:t>
      </w:r>
    </w:p>
    <w:p w14:paraId="78C7D0AA" w14:textId="3E362086" w:rsidR="005B7CB6" w:rsidRPr="005F0B10" w:rsidRDefault="00455541" w:rsidP="005B7CB6">
      <w:pPr>
        <w:ind w:firstLine="709"/>
        <w:jc w:val="both"/>
        <w:rPr>
          <w:rFonts w:ascii="Arial" w:eastAsia="Calibri" w:hAnsi="Arial" w:cs="Arial"/>
          <w:color w:val="000000" w:themeColor="text1"/>
          <w:sz w:val="19"/>
          <w:szCs w:val="19"/>
          <w:lang w:val="es-ES_tradnl"/>
        </w:rPr>
      </w:pPr>
      <w:r w:rsidRPr="00455541">
        <w:rPr>
          <w:rFonts w:ascii="Verdana" w:eastAsia="Calibri" w:hAnsi="Verdana" w:cs="Arial"/>
          <w:color w:val="000000" w:themeColor="text1"/>
          <w:sz w:val="12"/>
          <w:szCs w:val="12"/>
          <w:lang w:val="es-ES_tradnl"/>
        </w:rPr>
        <w:t>“</w:t>
      </w:r>
      <w:r w:rsidR="005B7CB6" w:rsidRPr="00455541">
        <w:rPr>
          <w:rFonts w:ascii="Verdana" w:eastAsia="Calibri" w:hAnsi="Verdana" w:cs="Arial"/>
          <w:color w:val="000000" w:themeColor="text1"/>
          <w:sz w:val="12"/>
          <w:szCs w:val="12"/>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sidR="005B7CB6" w:rsidRPr="005F0B10">
        <w:rPr>
          <w:rFonts w:ascii="Arial" w:eastAsia="Calibri" w:hAnsi="Arial" w:cs="Arial"/>
          <w:color w:val="000000" w:themeColor="text1"/>
          <w:sz w:val="19"/>
          <w:szCs w:val="19"/>
          <w:lang w:val="es-ES_tradnl"/>
        </w:rPr>
        <w:t>.</w:t>
      </w:r>
    </w:p>
    <w:p w14:paraId="249CFD60" w14:textId="1D33D652" w:rsidR="005B7CB6" w:rsidRPr="00455541" w:rsidRDefault="00455541" w:rsidP="005B7CB6">
      <w:pPr>
        <w:ind w:firstLine="709"/>
        <w:jc w:val="both"/>
        <w:rPr>
          <w:rFonts w:ascii="Verdana" w:eastAsia="Calibri" w:hAnsi="Verdana" w:cs="Arial"/>
          <w:color w:val="000000" w:themeColor="text1"/>
          <w:sz w:val="12"/>
          <w:szCs w:val="12"/>
          <w:lang w:val="es-ES_tradnl"/>
        </w:rPr>
      </w:pPr>
      <w:r w:rsidRPr="00455541">
        <w:rPr>
          <w:rFonts w:ascii="Verdana" w:eastAsia="Calibri" w:hAnsi="Verdana" w:cs="Arial"/>
          <w:color w:val="000000" w:themeColor="text1"/>
          <w:sz w:val="12"/>
          <w:szCs w:val="12"/>
          <w:lang w:val="es-ES_tradnl"/>
        </w:rPr>
        <w:t>“</w:t>
      </w:r>
      <w:r w:rsidR="005B7CB6" w:rsidRPr="00455541">
        <w:rPr>
          <w:rFonts w:ascii="Verdana" w:eastAsia="Calibri" w:hAnsi="Verdana" w:cs="Arial"/>
          <w:color w:val="000000" w:themeColor="text1"/>
          <w:sz w:val="12"/>
          <w:szCs w:val="12"/>
          <w:lang w:val="es-ES_tradnl"/>
        </w:rPr>
        <w:t xml:space="preserve">Parágrafo Primero. En los Procesos de Contratación que se desarrollen con base en el primer inciso, las entidades podrán realizar las convocatorias limitadas que beneficien a las </w:t>
      </w:r>
      <w:proofErr w:type="spellStart"/>
      <w:r w:rsidR="005B7CB6" w:rsidRPr="00455541">
        <w:rPr>
          <w:rFonts w:ascii="Verdana" w:eastAsia="Calibri" w:hAnsi="Verdana" w:cs="Arial"/>
          <w:color w:val="000000" w:themeColor="text1"/>
          <w:sz w:val="12"/>
          <w:szCs w:val="12"/>
          <w:lang w:val="es-ES_tradnl"/>
        </w:rPr>
        <w:t>Mipyme</w:t>
      </w:r>
      <w:proofErr w:type="spellEnd"/>
      <w:r w:rsidR="005B7CB6" w:rsidRPr="00455541">
        <w:rPr>
          <w:rFonts w:ascii="Verdana" w:eastAsia="Calibri" w:hAnsi="Verdana" w:cs="Arial"/>
          <w:color w:val="000000" w:themeColor="text1"/>
          <w:sz w:val="12"/>
          <w:szCs w:val="12"/>
          <w:lang w:val="es-ES_tradnl"/>
        </w:rPr>
        <w:t xml:space="preserve"> del ámbito municipal o departamental correspondiente al de la ejecución del contrato.</w:t>
      </w:r>
    </w:p>
    <w:p w14:paraId="35B109D7" w14:textId="3702528C" w:rsidR="005B7CB6" w:rsidRPr="005F0B10" w:rsidRDefault="00455541" w:rsidP="005B7CB6">
      <w:pPr>
        <w:ind w:firstLine="709"/>
        <w:jc w:val="both"/>
        <w:rPr>
          <w:rFonts w:ascii="Arial" w:eastAsia="Calibri" w:hAnsi="Arial" w:cs="Arial"/>
          <w:color w:val="000000" w:themeColor="text1"/>
          <w:sz w:val="19"/>
          <w:szCs w:val="19"/>
          <w:lang w:val="es-ES_tradnl"/>
        </w:rPr>
      </w:pPr>
      <w:r w:rsidRPr="00455541">
        <w:rPr>
          <w:rFonts w:ascii="Verdana" w:eastAsia="Calibri" w:hAnsi="Verdana" w:cs="Arial"/>
          <w:color w:val="000000" w:themeColor="text1"/>
          <w:sz w:val="12"/>
          <w:szCs w:val="12"/>
          <w:lang w:val="es-ES_tradnl"/>
        </w:rPr>
        <w:t>“</w:t>
      </w:r>
      <w:r w:rsidR="005B7CB6" w:rsidRPr="00455541">
        <w:rPr>
          <w:rFonts w:ascii="Verdana" w:eastAsia="Calibri" w:hAnsi="Verdana" w:cs="Arial"/>
          <w:color w:val="000000" w:themeColor="text1"/>
          <w:sz w:val="12"/>
          <w:szCs w:val="12"/>
          <w:lang w:val="es-ES_tradnl"/>
        </w:rPr>
        <w:t xml:space="preserve">Parágrafo Segundo. Sin perjuicio de lo dispuesto en los artículos 5 y 6 de la Ley 1150 de 2007, para que las </w:t>
      </w:r>
      <w:proofErr w:type="spellStart"/>
      <w:r w:rsidR="005B7CB6" w:rsidRPr="00455541">
        <w:rPr>
          <w:rFonts w:ascii="Verdana" w:eastAsia="Calibri" w:hAnsi="Verdana" w:cs="Arial"/>
          <w:color w:val="000000" w:themeColor="text1"/>
          <w:sz w:val="12"/>
          <w:szCs w:val="12"/>
          <w:lang w:val="es-ES_tradnl"/>
        </w:rPr>
        <w:t>Mipymes</w:t>
      </w:r>
      <w:proofErr w:type="spellEnd"/>
      <w:r w:rsidR="005B7CB6" w:rsidRPr="00455541">
        <w:rPr>
          <w:rFonts w:ascii="Verdana" w:eastAsia="Calibri" w:hAnsi="Verdana" w:cs="Arial"/>
          <w:color w:val="000000" w:themeColor="text1"/>
          <w:sz w:val="12"/>
          <w:szCs w:val="12"/>
          <w:lang w:val="es-ES_tradnl"/>
        </w:rPr>
        <w:t xml:space="preserve"> puedan participar en las convocatorias a las que se refiere este artículo, deberán</w:t>
      </w:r>
      <w:r w:rsidR="005B7CB6" w:rsidRPr="005F0B10">
        <w:rPr>
          <w:rFonts w:ascii="Arial" w:eastAsia="Calibri" w:hAnsi="Arial" w:cs="Arial"/>
          <w:color w:val="000000" w:themeColor="text1"/>
          <w:sz w:val="19"/>
          <w:szCs w:val="19"/>
          <w:lang w:val="es-ES_tradnl"/>
        </w:rPr>
        <w:t xml:space="preserve"> </w:t>
      </w:r>
      <w:r w:rsidR="005B7CB6" w:rsidRPr="00455541">
        <w:rPr>
          <w:rFonts w:ascii="Verdana" w:eastAsia="Calibri" w:hAnsi="Verdana" w:cs="Arial"/>
          <w:color w:val="000000" w:themeColor="text1"/>
          <w:sz w:val="12"/>
          <w:szCs w:val="12"/>
          <w:lang w:val="es-ES_tradnl"/>
        </w:rPr>
        <w:t>acreditar como mínimo un año de existencia, para lo cual</w:t>
      </w:r>
      <w:r w:rsidR="005B7CB6" w:rsidRPr="005F0B10">
        <w:rPr>
          <w:rFonts w:ascii="Arial" w:eastAsia="Calibri" w:hAnsi="Arial" w:cs="Arial"/>
          <w:color w:val="000000" w:themeColor="text1"/>
          <w:sz w:val="19"/>
          <w:szCs w:val="19"/>
          <w:lang w:val="es-ES_tradnl"/>
        </w:rPr>
        <w:t xml:space="preserve"> </w:t>
      </w:r>
      <w:r w:rsidR="005B7CB6" w:rsidRPr="00455541">
        <w:rPr>
          <w:rFonts w:ascii="Verdana" w:eastAsia="Calibri" w:hAnsi="Verdana" w:cs="Arial"/>
          <w:color w:val="000000" w:themeColor="text1"/>
          <w:sz w:val="12"/>
          <w:szCs w:val="12"/>
          <w:lang w:val="es-ES_tradnl"/>
        </w:rPr>
        <w:t>deberán presentar el</w:t>
      </w:r>
      <w:r w:rsidR="005B7CB6" w:rsidRPr="005F0B10">
        <w:rPr>
          <w:rFonts w:ascii="Arial" w:eastAsia="Calibri" w:hAnsi="Arial" w:cs="Arial"/>
          <w:color w:val="000000" w:themeColor="text1"/>
          <w:sz w:val="19"/>
          <w:szCs w:val="19"/>
          <w:lang w:val="es-ES_tradnl"/>
        </w:rPr>
        <w:t xml:space="preserve"> </w:t>
      </w:r>
      <w:r w:rsidR="005B7CB6" w:rsidRPr="00455541">
        <w:rPr>
          <w:rFonts w:ascii="Verdana" w:eastAsia="Calibri" w:hAnsi="Verdana" w:cs="Arial"/>
          <w:color w:val="000000" w:themeColor="text1"/>
          <w:sz w:val="12"/>
          <w:szCs w:val="12"/>
          <w:lang w:val="es-ES_tradnl"/>
        </w:rPr>
        <w:t>certificado expedido por la cámara de comercio o por la autoridad que sea competente para dicha acreditación.</w:t>
      </w:r>
    </w:p>
    <w:p w14:paraId="3EFA653B" w14:textId="1590653F" w:rsidR="005B7CB6" w:rsidRPr="005F0B10" w:rsidRDefault="005B7CB6" w:rsidP="005B7CB6">
      <w:pPr>
        <w:pStyle w:val="Textonotapie"/>
        <w:ind w:firstLine="709"/>
        <w:jc w:val="both"/>
        <w:rPr>
          <w:rFonts w:ascii="Arial" w:hAnsi="Arial" w:cs="Arial"/>
          <w:sz w:val="19"/>
          <w:szCs w:val="19"/>
          <w:lang w:val="es-ES_tradnl"/>
        </w:rPr>
      </w:pPr>
    </w:p>
  </w:footnote>
  <w:footnote w:id="8">
    <w:p w14:paraId="538EA388" w14:textId="738230BB" w:rsidR="00213A3E" w:rsidRPr="00213A3E" w:rsidRDefault="00213A3E" w:rsidP="00213A3E">
      <w:pPr>
        <w:pStyle w:val="Textonotapie"/>
        <w:ind w:firstLine="708"/>
        <w:jc w:val="both"/>
        <w:rPr>
          <w:rFonts w:ascii="Verdana" w:hAnsi="Verdana" w:cs="Arial"/>
          <w:sz w:val="12"/>
          <w:szCs w:val="12"/>
          <w:lang w:val="es-CO"/>
        </w:rPr>
      </w:pPr>
      <w:r w:rsidRPr="00213A3E">
        <w:rPr>
          <w:rStyle w:val="Refdenotaalpie"/>
          <w:rFonts w:ascii="Verdana" w:hAnsi="Verdana" w:cs="Arial"/>
          <w:sz w:val="12"/>
          <w:szCs w:val="12"/>
        </w:rPr>
        <w:footnoteRef/>
      </w:r>
      <w:r w:rsidRPr="00213A3E">
        <w:rPr>
          <w:rFonts w:ascii="Verdana" w:hAnsi="Verdana" w:cs="Arial"/>
          <w:sz w:val="12"/>
          <w:szCs w:val="12"/>
        </w:rPr>
        <w:t xml:space="preserve"> Dicho artículo indica que </w:t>
      </w:r>
      <w:r>
        <w:rPr>
          <w:rFonts w:ascii="Verdana" w:hAnsi="Verdana" w:cs="Arial"/>
          <w:sz w:val="12"/>
          <w:szCs w:val="12"/>
        </w:rPr>
        <w:t>“</w:t>
      </w:r>
      <w:r w:rsidRPr="00213A3E">
        <w:rPr>
          <w:rFonts w:ascii="Verdana" w:hAnsi="Verdana" w:cs="Arial"/>
          <w:color w:val="000000"/>
          <w:sz w:val="12"/>
          <w:szCs w:val="12"/>
        </w:rPr>
        <w:t xml:space="preserve">Las Entidades Estatales pueden realizar convocatorias limitadas a </w:t>
      </w:r>
      <w:proofErr w:type="spellStart"/>
      <w:r w:rsidRPr="00213A3E">
        <w:rPr>
          <w:rFonts w:ascii="Verdana" w:hAnsi="Verdana" w:cs="Arial"/>
          <w:color w:val="000000"/>
          <w:sz w:val="12"/>
          <w:szCs w:val="12"/>
        </w:rPr>
        <w:t>Mipyme</w:t>
      </w:r>
      <w:proofErr w:type="spellEnd"/>
      <w:r w:rsidRPr="00213A3E">
        <w:rPr>
          <w:rFonts w:ascii="Verdana" w:hAnsi="Verdana" w:cs="Arial"/>
          <w:color w:val="000000"/>
          <w:sz w:val="12"/>
          <w:szCs w:val="12"/>
        </w:rPr>
        <w:t xml:space="preserve"> nacionales domiciliadas en los departamentos o municipios en donde se va a ejecutar el contrato. La </w:t>
      </w:r>
      <w:proofErr w:type="spellStart"/>
      <w:r w:rsidRPr="00213A3E">
        <w:rPr>
          <w:rFonts w:ascii="Verdana" w:hAnsi="Verdana" w:cs="Arial"/>
          <w:color w:val="000000"/>
          <w:sz w:val="12"/>
          <w:szCs w:val="12"/>
        </w:rPr>
        <w:t>Mipyme</w:t>
      </w:r>
      <w:proofErr w:type="spellEnd"/>
      <w:r w:rsidRPr="00213A3E">
        <w:rPr>
          <w:rFonts w:ascii="Verdana" w:hAnsi="Verdana" w:cs="Arial"/>
          <w:color w:val="000000"/>
          <w:sz w:val="12"/>
          <w:szCs w:val="12"/>
        </w:rPr>
        <w:t xml:space="preserve"> debe acreditar su domicilio con el registro mercantil o el certificado de existencia y representación legal de la empresa. </w:t>
      </w:r>
      <w:r w:rsidRPr="00213A3E">
        <w:rPr>
          <w:rFonts w:ascii="Verdana" w:hAnsi="Verdana" w:cs="Arial"/>
          <w:sz w:val="12"/>
          <w:szCs w:val="12"/>
        </w:rPr>
        <w:t xml:space="preserve"> </w:t>
      </w:r>
    </w:p>
  </w:footnote>
  <w:footnote w:id="9">
    <w:p w14:paraId="22248953" w14:textId="77777777" w:rsidR="00213A3E" w:rsidRPr="00213A3E" w:rsidRDefault="00213A3E" w:rsidP="00213A3E">
      <w:pPr>
        <w:pStyle w:val="Textonotapie"/>
        <w:ind w:firstLine="708"/>
        <w:rPr>
          <w:rFonts w:ascii="Verdana" w:hAnsi="Verdana" w:cs="Arial"/>
          <w:sz w:val="12"/>
          <w:szCs w:val="12"/>
        </w:rPr>
      </w:pPr>
      <w:r w:rsidRPr="00213A3E">
        <w:rPr>
          <w:rStyle w:val="Refdenotaalpie"/>
          <w:rFonts w:ascii="Verdana" w:hAnsi="Verdana" w:cs="Arial"/>
          <w:sz w:val="12"/>
          <w:szCs w:val="12"/>
        </w:rPr>
        <w:footnoteRef/>
      </w:r>
      <w:r w:rsidRPr="00213A3E">
        <w:rPr>
          <w:rFonts w:ascii="Verdana" w:hAnsi="Verdana" w:cs="Arial"/>
          <w:sz w:val="12"/>
          <w:szCs w:val="12"/>
        </w:rPr>
        <w:t xml:space="preserve">  Agencia Nacional de Contratación Pública – Colombia Compra Eficiente. Concepto C-045 del 17 de marzo de 2020. Radicado de salida No. 2202013000001974.</w:t>
      </w:r>
    </w:p>
  </w:footnote>
  <w:footnote w:id="10">
    <w:p w14:paraId="6EB504B9" w14:textId="77777777" w:rsidR="00213A3E" w:rsidRPr="00DC21E2" w:rsidRDefault="00213A3E" w:rsidP="00213A3E">
      <w:pPr>
        <w:pStyle w:val="Textonotapie"/>
        <w:ind w:firstLine="708"/>
        <w:jc w:val="both"/>
        <w:rPr>
          <w:rFonts w:ascii="Verdana" w:hAnsi="Verdana" w:cs="Arial"/>
          <w:sz w:val="12"/>
          <w:szCs w:val="12"/>
        </w:rPr>
      </w:pPr>
      <w:r w:rsidRPr="00DC21E2">
        <w:rPr>
          <w:rStyle w:val="Refdenotaalpie"/>
          <w:rFonts w:ascii="Verdana" w:hAnsi="Verdana"/>
          <w:sz w:val="12"/>
          <w:szCs w:val="12"/>
        </w:rPr>
        <w:footnoteRef/>
      </w:r>
      <w:r w:rsidRPr="00DC21E2">
        <w:rPr>
          <w:rFonts w:ascii="Verdana" w:hAnsi="Verdana"/>
          <w:sz w:val="12"/>
          <w:szCs w:val="12"/>
        </w:rPr>
        <w:t xml:space="preserve"> </w:t>
      </w:r>
      <w:r w:rsidRPr="00DC21E2">
        <w:rPr>
          <w:rFonts w:ascii="Verdana" w:hAnsi="Verdana" w:cs="Arial"/>
          <w:sz w:val="12"/>
          <w:szCs w:val="12"/>
        </w:rPr>
        <w:t xml:space="preserve">ARTÍCULO 2.2.1.2.4.2.2. Convocatorias limitadas a </w:t>
      </w:r>
      <w:proofErr w:type="spellStart"/>
      <w:r w:rsidRPr="00DC21E2">
        <w:rPr>
          <w:rFonts w:ascii="Verdana" w:hAnsi="Verdana" w:cs="Arial"/>
          <w:sz w:val="12"/>
          <w:szCs w:val="12"/>
        </w:rPr>
        <w:t>Mípyme</w:t>
      </w:r>
      <w:proofErr w:type="spellEnd"/>
      <w:r w:rsidRPr="00DC21E2">
        <w:rPr>
          <w:rFonts w:ascii="Verdana" w:hAnsi="Verdana" w:cs="Arial"/>
          <w:sz w:val="12"/>
          <w:szCs w:val="12"/>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DC21E2">
        <w:rPr>
          <w:rFonts w:ascii="Verdana" w:hAnsi="Verdana" w:cs="Arial"/>
          <w:sz w:val="12"/>
          <w:szCs w:val="12"/>
        </w:rPr>
        <w:t>Mipyme</w:t>
      </w:r>
      <w:proofErr w:type="spellEnd"/>
      <w:r w:rsidRPr="00DC21E2">
        <w:rPr>
          <w:rFonts w:ascii="Verdana" w:hAnsi="Verdana" w:cs="Arial"/>
          <w:sz w:val="12"/>
          <w:szCs w:val="12"/>
        </w:rPr>
        <w:t xml:space="preserve"> colombianas con mínimo un (1) año de existencia, cuando concurran los siguientes requisitos: </w:t>
      </w:r>
    </w:p>
    <w:p w14:paraId="318329AA" w14:textId="77777777" w:rsidR="00213A3E" w:rsidRPr="00DC21E2" w:rsidRDefault="00213A3E" w:rsidP="00213A3E">
      <w:pPr>
        <w:pStyle w:val="Textonotapie"/>
        <w:ind w:firstLine="708"/>
        <w:jc w:val="both"/>
        <w:rPr>
          <w:rFonts w:ascii="Verdana" w:hAnsi="Verdana" w:cs="Arial"/>
          <w:sz w:val="12"/>
          <w:szCs w:val="12"/>
        </w:rPr>
      </w:pPr>
      <w:r w:rsidRPr="00DC21E2">
        <w:rPr>
          <w:rFonts w:ascii="Verdana" w:hAnsi="Verdana" w:cs="Arial"/>
          <w:sz w:val="12"/>
          <w:szCs w:val="12"/>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0FE22D5C" w14:textId="77777777" w:rsidR="00213A3E" w:rsidRPr="00DC21E2" w:rsidRDefault="00213A3E" w:rsidP="00213A3E">
      <w:pPr>
        <w:pStyle w:val="Textonotapie"/>
        <w:ind w:firstLine="708"/>
        <w:jc w:val="both"/>
        <w:rPr>
          <w:rFonts w:ascii="Verdana" w:hAnsi="Verdana" w:cs="Arial"/>
          <w:sz w:val="12"/>
          <w:szCs w:val="12"/>
        </w:rPr>
      </w:pPr>
      <w:r w:rsidRPr="00DC21E2">
        <w:rPr>
          <w:rFonts w:ascii="Verdana" w:hAnsi="Verdana" w:cs="Arial"/>
          <w:sz w:val="12"/>
          <w:szCs w:val="12"/>
        </w:rPr>
        <w:t xml:space="preserve">2. Se hayan recibido solicitudes de por lo menos dos (2) </w:t>
      </w:r>
      <w:proofErr w:type="spellStart"/>
      <w:r w:rsidRPr="00DC21E2">
        <w:rPr>
          <w:rFonts w:ascii="Verdana" w:hAnsi="Verdana" w:cs="Arial"/>
          <w:sz w:val="12"/>
          <w:szCs w:val="12"/>
        </w:rPr>
        <w:t>Mipyme</w:t>
      </w:r>
      <w:proofErr w:type="spellEnd"/>
      <w:r w:rsidRPr="00DC21E2">
        <w:rPr>
          <w:rFonts w:ascii="Verdana" w:hAnsi="Verdana" w:cs="Arial"/>
          <w:sz w:val="12"/>
          <w:szCs w:val="12"/>
        </w:rPr>
        <w:t xml:space="preserve"> colombianas para limitar la convocatoria a </w:t>
      </w:r>
      <w:proofErr w:type="spellStart"/>
      <w:r w:rsidRPr="00DC21E2">
        <w:rPr>
          <w:rFonts w:ascii="Verdana" w:hAnsi="Verdana" w:cs="Arial"/>
          <w:sz w:val="12"/>
          <w:szCs w:val="12"/>
        </w:rPr>
        <w:t>Mipyme</w:t>
      </w:r>
      <w:proofErr w:type="spellEnd"/>
      <w:r w:rsidRPr="00DC21E2">
        <w:rPr>
          <w:rFonts w:ascii="Verdana" w:hAnsi="Verdana" w:cs="Arial"/>
          <w:sz w:val="12"/>
          <w:szCs w:val="12"/>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72F2EAA6" w14:textId="77777777" w:rsidR="00213A3E" w:rsidRPr="00DC21E2" w:rsidRDefault="00213A3E" w:rsidP="00213A3E">
      <w:pPr>
        <w:pStyle w:val="Textonotapie"/>
        <w:ind w:firstLine="708"/>
        <w:jc w:val="both"/>
        <w:rPr>
          <w:rFonts w:ascii="Verdana" w:hAnsi="Verdana" w:cs="Arial"/>
          <w:sz w:val="12"/>
          <w:szCs w:val="12"/>
        </w:rPr>
      </w:pPr>
      <w:r w:rsidRPr="00DC21E2">
        <w:rPr>
          <w:rFonts w:ascii="Verdana" w:hAnsi="Verdana" w:cs="Arial"/>
          <w:sz w:val="12"/>
          <w:szCs w:val="12"/>
        </w:rPr>
        <w:t xml:space="preserve">Tratándose de personas jurídicas, las solicitudes solo las podrán realizar </w:t>
      </w:r>
      <w:proofErr w:type="spellStart"/>
      <w:r w:rsidRPr="00DC21E2">
        <w:rPr>
          <w:rFonts w:ascii="Verdana" w:hAnsi="Verdana" w:cs="Arial"/>
          <w:sz w:val="12"/>
          <w:szCs w:val="12"/>
        </w:rPr>
        <w:t>Mipyme</w:t>
      </w:r>
      <w:proofErr w:type="spellEnd"/>
      <w:r w:rsidRPr="00DC21E2">
        <w:rPr>
          <w:rFonts w:ascii="Verdana" w:hAnsi="Verdana" w:cs="Arial"/>
          <w:sz w:val="12"/>
          <w:szCs w:val="12"/>
        </w:rPr>
        <w:t xml:space="preserve">, cuyo objeto social les permita ejecutar el contrato relacionado con el proceso contractual. </w:t>
      </w:r>
    </w:p>
    <w:p w14:paraId="6C20E667" w14:textId="77777777" w:rsidR="00213A3E" w:rsidRPr="00DC21E2" w:rsidRDefault="00213A3E" w:rsidP="00213A3E">
      <w:pPr>
        <w:pStyle w:val="Textonotapie"/>
        <w:ind w:firstLine="708"/>
        <w:jc w:val="both"/>
        <w:rPr>
          <w:rFonts w:ascii="Verdana" w:hAnsi="Verdana" w:cs="Arial"/>
          <w:sz w:val="12"/>
          <w:szCs w:val="12"/>
        </w:rPr>
      </w:pPr>
      <w:r w:rsidRPr="00DC21E2">
        <w:rPr>
          <w:rFonts w:ascii="Verdana" w:hAnsi="Verdana" w:cs="Arial"/>
          <w:sz w:val="12"/>
          <w:szCs w:val="12"/>
        </w:rPr>
        <w:t xml:space="preserve">PARÁGRAFO. Las cooperativas y demás entidades de economía solidaria, siempre que tengan la calidad de </w:t>
      </w:r>
      <w:proofErr w:type="spellStart"/>
      <w:r w:rsidRPr="00DC21E2">
        <w:rPr>
          <w:rFonts w:ascii="Verdana" w:hAnsi="Verdana" w:cs="Arial"/>
          <w:sz w:val="12"/>
          <w:szCs w:val="12"/>
        </w:rPr>
        <w:t>Mípyme</w:t>
      </w:r>
      <w:proofErr w:type="spellEnd"/>
      <w:r w:rsidRPr="00DC21E2">
        <w:rPr>
          <w:rFonts w:ascii="Verdana" w:hAnsi="Verdana" w:cs="Arial"/>
          <w:sz w:val="12"/>
          <w:szCs w:val="12"/>
        </w:rPr>
        <w:t>,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266A9"/>
    <w:multiLevelType w:val="hybridMultilevel"/>
    <w:tmpl w:val="647C4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75C5A77"/>
    <w:multiLevelType w:val="hybridMultilevel"/>
    <w:tmpl w:val="F5321E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10"/>
  </w:num>
  <w:num w:numId="18" w16cid:durableId="1300452660">
    <w:abstractNumId w:val="11"/>
  </w:num>
  <w:num w:numId="19" w16cid:durableId="9500151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ha Alicia Romero Vargas">
    <w15:presenceInfo w15:providerId="AD" w15:userId="S::martha.romero@colombiacompra.gov.co::1961e835-1baa-4841-a9ea-3923b8667f05"/>
  </w15:person>
  <w15:person w15:author="Ximena Ríos López">
    <w15:presenceInfo w15:providerId="AD" w15:userId="S::ximena.rios@colombiacompra.gov.co::5513064b-30d3-486d-bb2b-21b8d8d81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4D10"/>
    <w:rsid w:val="00026E67"/>
    <w:rsid w:val="00036D6F"/>
    <w:rsid w:val="00055AAC"/>
    <w:rsid w:val="00061B2A"/>
    <w:rsid w:val="00066115"/>
    <w:rsid w:val="00082362"/>
    <w:rsid w:val="000A683E"/>
    <w:rsid w:val="000B19B9"/>
    <w:rsid w:val="000D0334"/>
    <w:rsid w:val="000F6486"/>
    <w:rsid w:val="00125105"/>
    <w:rsid w:val="00127233"/>
    <w:rsid w:val="00137D15"/>
    <w:rsid w:val="001E4177"/>
    <w:rsid w:val="001F7DC6"/>
    <w:rsid w:val="00203634"/>
    <w:rsid w:val="00213A3E"/>
    <w:rsid w:val="002421BB"/>
    <w:rsid w:val="0025796E"/>
    <w:rsid w:val="002707A2"/>
    <w:rsid w:val="002951A0"/>
    <w:rsid w:val="002962BC"/>
    <w:rsid w:val="002A093D"/>
    <w:rsid w:val="002A0DD0"/>
    <w:rsid w:val="002A49AC"/>
    <w:rsid w:val="002A64FD"/>
    <w:rsid w:val="002C7A84"/>
    <w:rsid w:val="002D72A2"/>
    <w:rsid w:val="002E4FD9"/>
    <w:rsid w:val="00301D29"/>
    <w:rsid w:val="00322A85"/>
    <w:rsid w:val="00324168"/>
    <w:rsid w:val="003448F4"/>
    <w:rsid w:val="00346829"/>
    <w:rsid w:val="00374F5E"/>
    <w:rsid w:val="00377E3E"/>
    <w:rsid w:val="00385BFB"/>
    <w:rsid w:val="003A26D1"/>
    <w:rsid w:val="003A779E"/>
    <w:rsid w:val="003D0F4D"/>
    <w:rsid w:val="003D5B0D"/>
    <w:rsid w:val="003E0499"/>
    <w:rsid w:val="003F3941"/>
    <w:rsid w:val="00402BFD"/>
    <w:rsid w:val="00406575"/>
    <w:rsid w:val="0042722E"/>
    <w:rsid w:val="0044528D"/>
    <w:rsid w:val="00455541"/>
    <w:rsid w:val="004808FA"/>
    <w:rsid w:val="00491DD4"/>
    <w:rsid w:val="004A1847"/>
    <w:rsid w:val="004A305D"/>
    <w:rsid w:val="004C1412"/>
    <w:rsid w:val="004F21C4"/>
    <w:rsid w:val="004F685F"/>
    <w:rsid w:val="005417DD"/>
    <w:rsid w:val="005566E8"/>
    <w:rsid w:val="005731D6"/>
    <w:rsid w:val="00574867"/>
    <w:rsid w:val="00591460"/>
    <w:rsid w:val="00592628"/>
    <w:rsid w:val="005932C3"/>
    <w:rsid w:val="005B7CB6"/>
    <w:rsid w:val="005C3777"/>
    <w:rsid w:val="005C5CDC"/>
    <w:rsid w:val="005D4053"/>
    <w:rsid w:val="005D476C"/>
    <w:rsid w:val="00610812"/>
    <w:rsid w:val="006219F8"/>
    <w:rsid w:val="00650FF7"/>
    <w:rsid w:val="00665D70"/>
    <w:rsid w:val="00671DAC"/>
    <w:rsid w:val="006900D9"/>
    <w:rsid w:val="006D12F8"/>
    <w:rsid w:val="006E1118"/>
    <w:rsid w:val="006E5EEC"/>
    <w:rsid w:val="00706C16"/>
    <w:rsid w:val="00756841"/>
    <w:rsid w:val="007649AB"/>
    <w:rsid w:val="00771D0C"/>
    <w:rsid w:val="007833AC"/>
    <w:rsid w:val="007B268C"/>
    <w:rsid w:val="007B7171"/>
    <w:rsid w:val="007C0C0F"/>
    <w:rsid w:val="007C3DC2"/>
    <w:rsid w:val="007C5A98"/>
    <w:rsid w:val="007E5497"/>
    <w:rsid w:val="007F5577"/>
    <w:rsid w:val="00806F5F"/>
    <w:rsid w:val="00820278"/>
    <w:rsid w:val="00840337"/>
    <w:rsid w:val="008843B6"/>
    <w:rsid w:val="00891928"/>
    <w:rsid w:val="008A446D"/>
    <w:rsid w:val="008D180B"/>
    <w:rsid w:val="008F088B"/>
    <w:rsid w:val="008F0EA7"/>
    <w:rsid w:val="009116AC"/>
    <w:rsid w:val="00923EEF"/>
    <w:rsid w:val="009419F9"/>
    <w:rsid w:val="00951548"/>
    <w:rsid w:val="0095685E"/>
    <w:rsid w:val="00961B09"/>
    <w:rsid w:val="00965334"/>
    <w:rsid w:val="0097093E"/>
    <w:rsid w:val="00987774"/>
    <w:rsid w:val="00990132"/>
    <w:rsid w:val="009A0DFA"/>
    <w:rsid w:val="009B2D26"/>
    <w:rsid w:val="009B47F1"/>
    <w:rsid w:val="009C71FA"/>
    <w:rsid w:val="009C72E7"/>
    <w:rsid w:val="009D3058"/>
    <w:rsid w:val="009F3A13"/>
    <w:rsid w:val="00A122D3"/>
    <w:rsid w:val="00A17F13"/>
    <w:rsid w:val="00A20739"/>
    <w:rsid w:val="00A212BC"/>
    <w:rsid w:val="00A33C78"/>
    <w:rsid w:val="00A73808"/>
    <w:rsid w:val="00A879B2"/>
    <w:rsid w:val="00AA1568"/>
    <w:rsid w:val="00AB0ADB"/>
    <w:rsid w:val="00AB46F8"/>
    <w:rsid w:val="00AF4A0C"/>
    <w:rsid w:val="00B01B1A"/>
    <w:rsid w:val="00B025CF"/>
    <w:rsid w:val="00B52B2A"/>
    <w:rsid w:val="00B70FC2"/>
    <w:rsid w:val="00B72CD3"/>
    <w:rsid w:val="00B72FFF"/>
    <w:rsid w:val="00BC3D36"/>
    <w:rsid w:val="00BD7F72"/>
    <w:rsid w:val="00BE2F0A"/>
    <w:rsid w:val="00C04FB3"/>
    <w:rsid w:val="00C12AE5"/>
    <w:rsid w:val="00C2420A"/>
    <w:rsid w:val="00C330EB"/>
    <w:rsid w:val="00C4089A"/>
    <w:rsid w:val="00C754BE"/>
    <w:rsid w:val="00C76B1C"/>
    <w:rsid w:val="00CB6357"/>
    <w:rsid w:val="00CC1B26"/>
    <w:rsid w:val="00D423A2"/>
    <w:rsid w:val="00D457C4"/>
    <w:rsid w:val="00D520D8"/>
    <w:rsid w:val="00D63AC2"/>
    <w:rsid w:val="00D7383B"/>
    <w:rsid w:val="00D843C5"/>
    <w:rsid w:val="00D87339"/>
    <w:rsid w:val="00DA231B"/>
    <w:rsid w:val="00DA23A0"/>
    <w:rsid w:val="00DC21E2"/>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0707"/>
    <w:rsid w:val="00EE1AA8"/>
    <w:rsid w:val="00F31EDC"/>
    <w:rsid w:val="00F462B3"/>
    <w:rsid w:val="00F5664F"/>
    <w:rsid w:val="00F5693A"/>
    <w:rsid w:val="00F666C4"/>
    <w:rsid w:val="00F76AFC"/>
    <w:rsid w:val="00F94D89"/>
    <w:rsid w:val="00FA47C0"/>
    <w:rsid w:val="00FB5DD1"/>
    <w:rsid w:val="00FC2B5D"/>
    <w:rsid w:val="00FC3C6F"/>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85BFB"/>
    <w:rPr>
      <w:rFonts w:ascii="Geomanist Light" w:hAnsi="Geomanist Light"/>
      <w:lang w:val="es-ES"/>
    </w:rPr>
  </w:style>
  <w:style w:type="character" w:styleId="Refdecomentario">
    <w:name w:val="annotation reference"/>
    <w:basedOn w:val="Fuentedeprrafopredeter"/>
    <w:uiPriority w:val="99"/>
    <w:semiHidden/>
    <w:unhideWhenUsed/>
    <w:rsid w:val="00385BFB"/>
    <w:rPr>
      <w:sz w:val="16"/>
      <w:szCs w:val="16"/>
    </w:rPr>
  </w:style>
  <w:style w:type="paragraph" w:styleId="Textocomentario">
    <w:name w:val="annotation text"/>
    <w:basedOn w:val="Normal"/>
    <w:link w:val="TextocomentarioCar"/>
    <w:uiPriority w:val="99"/>
    <w:unhideWhenUsed/>
    <w:rsid w:val="00385BFB"/>
    <w:pPr>
      <w:spacing w:line="240" w:lineRule="auto"/>
    </w:pPr>
    <w:rPr>
      <w:sz w:val="20"/>
      <w:szCs w:val="20"/>
    </w:rPr>
  </w:style>
  <w:style w:type="character" w:customStyle="1" w:styleId="TextocomentarioCar">
    <w:name w:val="Texto comentario Car"/>
    <w:basedOn w:val="Fuentedeprrafopredeter"/>
    <w:link w:val="Textocomentario"/>
    <w:uiPriority w:val="99"/>
    <w:rsid w:val="00385BFB"/>
    <w:rPr>
      <w:sz w:val="20"/>
      <w:szCs w:val="20"/>
    </w:rPr>
  </w:style>
  <w:style w:type="paragraph" w:customStyle="1" w:styleId="Appelnotedebasde">
    <w:name w:val="Appel note de bas de..."/>
    <w:basedOn w:val="Normal"/>
    <w:link w:val="Refdenotaalpie"/>
    <w:uiPriority w:val="99"/>
    <w:rsid w:val="00385BFB"/>
    <w:pPr>
      <w:spacing w:line="240" w:lineRule="exact"/>
    </w:pPr>
    <w:rPr>
      <w:vertAlign w:val="superscript"/>
    </w:rPr>
  </w:style>
  <w:style w:type="paragraph" w:styleId="Asuntodelcomentario">
    <w:name w:val="annotation subject"/>
    <w:basedOn w:val="Textocomentario"/>
    <w:next w:val="Textocomentario"/>
    <w:link w:val="AsuntodelcomentarioCar"/>
    <w:uiPriority w:val="99"/>
    <w:semiHidden/>
    <w:unhideWhenUsed/>
    <w:rsid w:val="00951548"/>
    <w:rPr>
      <w:b/>
      <w:bCs/>
    </w:rPr>
  </w:style>
  <w:style w:type="character" w:customStyle="1" w:styleId="AsuntodelcomentarioCar">
    <w:name w:val="Asunto del comentario Car"/>
    <w:basedOn w:val="TextocomentarioCar"/>
    <w:link w:val="Asuntodelcomentario"/>
    <w:uiPriority w:val="99"/>
    <w:semiHidden/>
    <w:rsid w:val="00951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jorgerodriguez_18@hotmail.com" TargetMode="External"/><Relationship Id="rId17" Type="http://schemas.openxmlformats.org/officeDocument/2006/relationships/hyperlink" Target="https://relatoria.colombiacompra.gov.co/providencias-consejo-de-estado/"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BE6D617-F2ED-43DA-ADF9-AE8C5DE81E41}"/>
</file>

<file path=customXml/itemProps3.xml><?xml version="1.0" encoding="utf-8"?>
<ds:datastoreItem xmlns:ds="http://schemas.openxmlformats.org/officeDocument/2006/customXml" ds:itemID="{2E409406-D1B7-4473-8263-71D32948BC8F}">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4235</Words>
  <Characters>23297</Characters>
  <Application>Microsoft Office Word</Application>
  <DocSecurity>0</DocSecurity>
  <Lines>194</Lines>
  <Paragraphs>54</Paragraphs>
  <ScaleCrop>false</ScaleCrop>
  <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2024-10-04T13:58:00Z</dcterms:created>
  <dcterms:modified xsi:type="dcterms:W3CDTF">2024-10-04T13:58:00Z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