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E0EE" w14:textId="77777777" w:rsidR="00176D2E" w:rsidRDefault="00176D2E" w:rsidP="00176D2E">
      <w:pPr>
        <w:spacing w:after="0" w:line="240" w:lineRule="auto"/>
        <w:jc w:val="both"/>
        <w:rPr>
          <w:rFonts w:ascii="Verdana" w:eastAsia="Times New Roman" w:hAnsi="Verdana" w:cs="Arial"/>
          <w:b/>
          <w:color w:val="000000" w:themeColor="text1"/>
          <w:sz w:val="20"/>
          <w:szCs w:val="20"/>
          <w:lang w:eastAsia="es-ES"/>
        </w:rPr>
      </w:pPr>
      <w:bookmarkStart w:id="0" w:name="_Hlk143780582"/>
    </w:p>
    <w:p w14:paraId="3DCF57EB" w14:textId="77777777" w:rsidR="00176D2E" w:rsidRPr="00CF3F18" w:rsidRDefault="00176D2E" w:rsidP="00176D2E">
      <w:pPr>
        <w:spacing w:after="0" w:line="240" w:lineRule="auto"/>
        <w:contextualSpacing/>
        <w:jc w:val="both"/>
        <w:rPr>
          <w:rFonts w:ascii="Verdana" w:eastAsia="Times New Roman" w:hAnsi="Verdana" w:cs="Arial"/>
          <w:bCs/>
          <w:sz w:val="20"/>
          <w:szCs w:val="20"/>
          <w:lang w:eastAsia="es-ES_tradnl"/>
        </w:rPr>
      </w:pPr>
    </w:p>
    <w:p w14:paraId="70CC6D2A" w14:textId="77777777" w:rsidR="006E64D8" w:rsidRPr="00A75D14" w:rsidRDefault="006E64D8" w:rsidP="006E64D8">
      <w:pPr>
        <w:spacing w:after="0"/>
        <w:jc w:val="both"/>
        <w:rPr>
          <w:rFonts w:ascii="Verdana" w:hAnsi="Verdana"/>
        </w:rPr>
      </w:pPr>
      <w:r w:rsidRPr="00A75D14">
        <w:rPr>
          <w:rFonts w:ascii="Verdana" w:eastAsia="Calibri" w:hAnsi="Verdana" w:cs="Arial"/>
          <w:b/>
          <w:kern w:val="2"/>
          <w:lang w:val="es-ES_tradnl" w:eastAsia="es-ES_tradnl"/>
          <w14:ligatures w14:val="standardContextual"/>
        </w:rPr>
        <w:t>LEY 2195 DE 2022 – Artículo 56 – Alcance – Excepción</w:t>
      </w:r>
    </w:p>
    <w:p w14:paraId="6D84E9C7" w14:textId="77777777" w:rsidR="006E64D8" w:rsidRPr="00A75D14" w:rsidRDefault="006E64D8" w:rsidP="006E64D8">
      <w:pPr>
        <w:tabs>
          <w:tab w:val="left" w:pos="0"/>
        </w:tabs>
        <w:spacing w:after="0" w:line="276" w:lineRule="auto"/>
        <w:jc w:val="both"/>
        <w:rPr>
          <w:rFonts w:ascii="Verdana" w:eastAsia="Calibri" w:hAnsi="Verdana" w:cs="Arial"/>
          <w:b/>
          <w:kern w:val="2"/>
          <w:lang w:val="es-ES_tradnl" w:eastAsia="es-ES_tradnl"/>
          <w14:ligatures w14:val="standardContextual"/>
        </w:rPr>
      </w:pPr>
    </w:p>
    <w:p w14:paraId="1F096B82" w14:textId="77777777" w:rsidR="006E64D8" w:rsidRPr="00A22D0B" w:rsidRDefault="006E64D8" w:rsidP="006E64D8">
      <w:pPr>
        <w:snapToGrid w:val="0"/>
        <w:spacing w:after="0" w:line="240"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eastAsia="Calibri" w:hAnsi="Verdana" w:cs="Arial"/>
          <w:kern w:val="2"/>
          <w:sz w:val="20"/>
          <w:szCs w:val="20"/>
          <w:lang w:val="es-ES" w:eastAsia="es-ES"/>
          <w14:ligatures w14:val="standardContextual"/>
        </w:rPr>
        <w:t>ii</w:t>
      </w:r>
      <w:proofErr w:type="spellEnd"/>
      <w:r w:rsidRPr="00A22D0B">
        <w:rPr>
          <w:rFonts w:ascii="Verdana" w:eastAsia="Calibri" w:hAnsi="Verdana" w:cs="Arial"/>
          <w:kern w:val="2"/>
          <w:sz w:val="20"/>
          <w:szCs w:val="20"/>
          <w:lang w:val="es-ES" w:eastAsia="es-ES"/>
          <w14:ligatures w14:val="standardContextual"/>
        </w:rPr>
        <w:t xml:space="preserve">) las empresas sociales del Estado, </w:t>
      </w:r>
      <w:proofErr w:type="spellStart"/>
      <w:r w:rsidRPr="00A22D0B">
        <w:rPr>
          <w:rFonts w:ascii="Verdana" w:eastAsia="Calibri" w:hAnsi="Verdana" w:cs="Arial"/>
          <w:kern w:val="2"/>
          <w:sz w:val="20"/>
          <w:szCs w:val="20"/>
          <w:lang w:val="es-ES" w:eastAsia="es-ES"/>
          <w14:ligatures w14:val="standardContextual"/>
        </w:rPr>
        <w:t>iii</w:t>
      </w:r>
      <w:proofErr w:type="spellEnd"/>
      <w:r w:rsidRPr="00A22D0B">
        <w:rPr>
          <w:rFonts w:ascii="Verdana" w:eastAsia="Calibri" w:hAnsi="Verdana" w:cs="Arial"/>
          <w:kern w:val="2"/>
          <w:sz w:val="20"/>
          <w:szCs w:val="20"/>
          <w:lang w:val="es-ES" w:eastAsia="es-ES"/>
          <w14:ligatures w14:val="standardContextual"/>
        </w:rPr>
        <w:t xml:space="preserve">) las sociedades de economía mixta y </w:t>
      </w:r>
      <w:proofErr w:type="spellStart"/>
      <w:r w:rsidRPr="00A22D0B">
        <w:rPr>
          <w:rFonts w:ascii="Verdana" w:eastAsia="Calibri" w:hAnsi="Verdana" w:cs="Arial"/>
          <w:kern w:val="2"/>
          <w:sz w:val="20"/>
          <w:szCs w:val="20"/>
          <w:lang w:val="es-ES" w:eastAsia="es-ES"/>
          <w14:ligatures w14:val="standardContextual"/>
        </w:rPr>
        <w:t>iv</w:t>
      </w:r>
      <w:proofErr w:type="spellEnd"/>
      <w:r w:rsidRPr="00A22D0B">
        <w:rPr>
          <w:rFonts w:ascii="Verdana" w:eastAsia="Calibri" w:hAnsi="Verdana"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476E2993" w14:textId="77777777" w:rsidR="006E64D8" w:rsidRPr="00A75D14" w:rsidRDefault="006E64D8" w:rsidP="006E64D8">
      <w:pPr>
        <w:tabs>
          <w:tab w:val="left" w:pos="0"/>
        </w:tabs>
        <w:spacing w:after="0" w:line="276" w:lineRule="auto"/>
        <w:jc w:val="both"/>
        <w:rPr>
          <w:rFonts w:ascii="Verdana" w:eastAsia="Calibri" w:hAnsi="Verdana" w:cs="Arial"/>
          <w:b/>
          <w:kern w:val="2"/>
          <w:sz w:val="21"/>
          <w:szCs w:val="21"/>
          <w:lang w:val="es-ES_tradnl"/>
          <w14:ligatures w14:val="standardContextual"/>
        </w:rPr>
      </w:pPr>
    </w:p>
    <w:p w14:paraId="683DD3F3" w14:textId="77777777" w:rsidR="006E64D8" w:rsidRPr="00A75D14" w:rsidRDefault="006E64D8" w:rsidP="006E64D8">
      <w:pPr>
        <w:tabs>
          <w:tab w:val="left" w:pos="0"/>
        </w:tabs>
        <w:spacing w:after="0" w:line="276" w:lineRule="auto"/>
        <w:jc w:val="both"/>
        <w:rPr>
          <w:rFonts w:ascii="Verdana" w:eastAsia="Calibri" w:hAnsi="Verdana" w:cs="Arial"/>
          <w:b/>
          <w:kern w:val="2"/>
          <w:lang w:val="es-ES_tradnl"/>
          <w14:ligatures w14:val="standardContextual"/>
        </w:rPr>
      </w:pPr>
      <w:r w:rsidRPr="00A75D14">
        <w:rPr>
          <w:rFonts w:ascii="Verdana" w:eastAsia="Calibri" w:hAnsi="Verdana" w:cs="Arial"/>
          <w:b/>
          <w:kern w:val="2"/>
          <w:lang w:val="es-ES_tradnl"/>
          <w14:ligatures w14:val="standardContextual"/>
        </w:rPr>
        <w:t>LEY 2195 DE 2022 – Artículo 56 – Parágrafo – Excepciones – Giro ordinario – Interpretación</w:t>
      </w:r>
    </w:p>
    <w:p w14:paraId="26F91288" w14:textId="77777777" w:rsidR="006E64D8" w:rsidRPr="00A75D14" w:rsidRDefault="006E64D8" w:rsidP="006E64D8">
      <w:pPr>
        <w:tabs>
          <w:tab w:val="left" w:pos="0"/>
        </w:tabs>
        <w:spacing w:after="0" w:line="276" w:lineRule="auto"/>
        <w:jc w:val="both"/>
        <w:rPr>
          <w:rFonts w:ascii="Verdana" w:eastAsia="Calibri" w:hAnsi="Verdana" w:cs="Arial"/>
          <w:bCs/>
          <w:kern w:val="2"/>
          <w:lang w:val="es-ES_tradnl"/>
          <w14:ligatures w14:val="standardContextual"/>
        </w:rPr>
      </w:pPr>
    </w:p>
    <w:p w14:paraId="3C48AB8C" w14:textId="77777777" w:rsidR="006E64D8" w:rsidRPr="00A22D0B" w:rsidRDefault="006E64D8" w:rsidP="006E64D8">
      <w:pPr>
        <w:snapToGrid w:val="0"/>
        <w:spacing w:after="0" w:line="240" w:lineRule="auto"/>
        <w:jc w:val="both"/>
        <w:rPr>
          <w:rFonts w:ascii="Verdana" w:eastAsia="Calibri" w:hAnsi="Verdana" w:cs="Arial"/>
          <w:kern w:val="2"/>
          <w:sz w:val="20"/>
          <w:szCs w:val="20"/>
          <w:lang w:val="es-ES" w:eastAsia="es-ES"/>
          <w14:ligatures w14:val="standardContextual"/>
        </w:rPr>
      </w:pPr>
      <w:r w:rsidRPr="00A22D0B">
        <w:rPr>
          <w:rFonts w:ascii="Verdana" w:eastAsia="Calibri" w:hAnsi="Verdana" w:cs="Arial"/>
          <w:kern w:val="2"/>
          <w:sz w:val="20"/>
          <w:szCs w:val="20"/>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22D0B">
        <w:rPr>
          <w:rFonts w:ascii="Verdana" w:eastAsia="Calibri" w:hAnsi="Verdana" w:cs="Arial"/>
          <w:kern w:val="2"/>
          <w:sz w:val="20"/>
          <w:szCs w:val="20"/>
          <w:lang w:val="es-ES" w:eastAsia="es-ES"/>
          <w14:ligatures w14:val="standardContextual"/>
        </w:rPr>
        <w:t>ii</w:t>
      </w:r>
      <w:proofErr w:type="spellEnd"/>
      <w:r w:rsidRPr="00A22D0B">
        <w:rPr>
          <w:rFonts w:ascii="Verdana" w:eastAsia="Calibri" w:hAnsi="Verdana" w:cs="Arial"/>
          <w:kern w:val="2"/>
          <w:sz w:val="20"/>
          <w:szCs w:val="20"/>
          <w:lang w:val="es-ES" w:eastAsia="es-ES"/>
          <w14:ligatures w14:val="standardContextual"/>
        </w:rPr>
        <w:t xml:space="preserve">) las empresas sociales del Estado, </w:t>
      </w:r>
      <w:proofErr w:type="spellStart"/>
      <w:r w:rsidRPr="00A22D0B">
        <w:rPr>
          <w:rFonts w:ascii="Verdana" w:eastAsia="Calibri" w:hAnsi="Verdana" w:cs="Arial"/>
          <w:kern w:val="2"/>
          <w:sz w:val="20"/>
          <w:szCs w:val="20"/>
          <w:lang w:val="es-ES" w:eastAsia="es-ES"/>
          <w14:ligatures w14:val="standardContextual"/>
        </w:rPr>
        <w:t>iii</w:t>
      </w:r>
      <w:proofErr w:type="spellEnd"/>
      <w:r w:rsidRPr="00A22D0B">
        <w:rPr>
          <w:rFonts w:ascii="Verdana" w:eastAsia="Calibri" w:hAnsi="Verdana" w:cs="Arial"/>
          <w:kern w:val="2"/>
          <w:sz w:val="20"/>
          <w:szCs w:val="20"/>
          <w:lang w:val="es-ES" w:eastAsia="es-ES"/>
          <w14:ligatures w14:val="standardContextual"/>
        </w:rPr>
        <w:t xml:space="preserve">) las sociedades de economía mixta y </w:t>
      </w:r>
      <w:proofErr w:type="spellStart"/>
      <w:r w:rsidRPr="00A22D0B">
        <w:rPr>
          <w:rFonts w:ascii="Verdana" w:eastAsia="Calibri" w:hAnsi="Verdana" w:cs="Arial"/>
          <w:kern w:val="2"/>
          <w:sz w:val="20"/>
          <w:szCs w:val="20"/>
          <w:lang w:val="es-ES" w:eastAsia="es-ES"/>
          <w14:ligatures w14:val="standardContextual"/>
        </w:rPr>
        <w:t>iv</w:t>
      </w:r>
      <w:proofErr w:type="spellEnd"/>
      <w:r w:rsidRPr="00A22D0B">
        <w:rPr>
          <w:rFonts w:ascii="Verdana" w:eastAsia="Calibri" w:hAnsi="Verdana" w:cs="Arial"/>
          <w:kern w:val="2"/>
          <w:sz w:val="20"/>
          <w:szCs w:val="20"/>
          <w:lang w:val="es-ES" w:eastAsia="es-ES"/>
          <w14:ligatures w14:val="standardContextual"/>
        </w:rPr>
        <w:t xml:space="preserve">) las empresas industriales y comerciales del Estado, únicamente, en la contratación relacionada con el </w:t>
      </w:r>
      <w:r w:rsidRPr="00A22D0B">
        <w:rPr>
          <w:rFonts w:ascii="Verdana" w:eastAsia="Calibri" w:hAnsi="Verdana" w:cs="Arial"/>
          <w:i/>
          <w:kern w:val="2"/>
          <w:sz w:val="20"/>
          <w:szCs w:val="20"/>
          <w:lang w:val="es-ES" w:eastAsia="es-ES"/>
          <w14:ligatures w14:val="standardContextual"/>
        </w:rPr>
        <w:t>giro ordinario.</w:t>
      </w:r>
      <w:r w:rsidRPr="00A22D0B">
        <w:rPr>
          <w:rFonts w:ascii="Verdana" w:eastAsia="Calibri" w:hAnsi="Verdana" w:cs="Arial"/>
          <w:kern w:val="2"/>
          <w:sz w:val="20"/>
          <w:szCs w:val="20"/>
          <w:lang w:val="es-ES" w:eastAsia="es-ES"/>
          <w14:ligatures w14:val="standardContextual"/>
        </w:rPr>
        <w:t xml:space="preserve"> Esto significa que, en la contratación asociada a su </w:t>
      </w:r>
      <w:r w:rsidRPr="00A22D0B">
        <w:rPr>
          <w:rFonts w:ascii="Verdana" w:eastAsia="Calibri" w:hAnsi="Verdana" w:cs="Arial"/>
          <w:i/>
          <w:kern w:val="2"/>
          <w:sz w:val="20"/>
          <w:szCs w:val="20"/>
          <w:lang w:val="es-ES" w:eastAsia="es-ES"/>
          <w14:ligatures w14:val="standardContextual"/>
        </w:rPr>
        <w:t xml:space="preserve">giro ordinario, </w:t>
      </w:r>
      <w:r w:rsidRPr="00A22D0B">
        <w:rPr>
          <w:rFonts w:ascii="Verdana" w:eastAsia="Calibri" w:hAnsi="Verdana" w:cs="Arial"/>
          <w:kern w:val="2"/>
          <w:sz w:val="20"/>
          <w:szCs w:val="20"/>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4AE9DFEB" w14:textId="77777777" w:rsidR="006E64D8" w:rsidRPr="00A22D0B" w:rsidRDefault="006E64D8" w:rsidP="006E64D8">
      <w:pPr>
        <w:snapToGrid w:val="0"/>
        <w:spacing w:after="0" w:line="240" w:lineRule="auto"/>
        <w:ind w:left="720"/>
        <w:jc w:val="both"/>
        <w:rPr>
          <w:rFonts w:ascii="Verdana" w:eastAsia="Calibri" w:hAnsi="Verdana" w:cs="Arial"/>
          <w:kern w:val="2"/>
          <w:sz w:val="20"/>
          <w:szCs w:val="20"/>
          <w:lang w:val="es-ES" w:eastAsia="es-ES"/>
          <w14:ligatures w14:val="standardContextual"/>
        </w:rPr>
      </w:pPr>
    </w:p>
    <w:p w14:paraId="09400DD8" w14:textId="77777777" w:rsidR="006E64D8" w:rsidRPr="00A22D0B" w:rsidRDefault="006E64D8" w:rsidP="006E64D8">
      <w:pPr>
        <w:tabs>
          <w:tab w:val="left" w:pos="0"/>
        </w:tabs>
        <w:snapToGrid w:val="0"/>
        <w:spacing w:after="0" w:line="240" w:lineRule="auto"/>
        <w:jc w:val="both"/>
        <w:rPr>
          <w:rFonts w:ascii="Verdana" w:eastAsia="Arial" w:hAnsi="Verdana" w:cs="Arial"/>
          <w:kern w:val="2"/>
          <w:sz w:val="20"/>
          <w:szCs w:val="20"/>
          <w:lang w:val="es-ES_tradnl" w:eastAsia="es-ES_tradnl"/>
          <w14:ligatures w14:val="standardContextual"/>
        </w:rPr>
      </w:pPr>
      <w:r w:rsidRPr="00A22D0B">
        <w:rPr>
          <w:rFonts w:ascii="Verdana" w:eastAsia="Calibri" w:hAnsi="Verdana" w:cs="Arial"/>
          <w:bCs/>
          <w:kern w:val="2"/>
          <w:sz w:val="20"/>
          <w:szCs w:val="20"/>
          <w:lang w:val="es-ES_tradnl" w:eastAsia="es-ES_tradnl"/>
          <w14:ligatures w14:val="standardContextual"/>
        </w:rPr>
        <w:t xml:space="preserve">Ahora, es importante tener en cuenta que cuando la norma se refiere a la contratación del </w:t>
      </w:r>
      <w:r w:rsidRPr="00A22D0B">
        <w:rPr>
          <w:rFonts w:ascii="Verdana" w:eastAsia="Calibri" w:hAnsi="Verdana" w:cs="Arial"/>
          <w:bCs/>
          <w:i/>
          <w:iCs/>
          <w:kern w:val="2"/>
          <w:sz w:val="20"/>
          <w:szCs w:val="20"/>
          <w:lang w:val="es-ES_tradnl" w:eastAsia="es-ES_tradnl"/>
          <w14:ligatures w14:val="standardContextual"/>
        </w:rPr>
        <w:t>giro ordinario</w:t>
      </w:r>
      <w:r w:rsidRPr="00A22D0B">
        <w:rPr>
          <w:rFonts w:ascii="Verdana" w:eastAsia="Calibri" w:hAnsi="Verdana" w:cs="Arial"/>
          <w:bCs/>
          <w:kern w:val="2"/>
          <w:sz w:val="20"/>
          <w:szCs w:val="20"/>
          <w:lang w:val="es-ES_tradnl" w:eastAsia="es-ES_tradnl"/>
          <w14:ligatures w14:val="standardContextual"/>
        </w:rPr>
        <w:t xml:space="preserve">, emplea un concepto jurídico indeterminado. </w:t>
      </w:r>
      <w:r w:rsidRPr="00A22D0B">
        <w:rPr>
          <w:rFonts w:ascii="Verdana" w:eastAsia="Arial" w:hAnsi="Verdana" w:cs="Arial"/>
          <w:kern w:val="2"/>
          <w:sz w:val="20"/>
          <w:szCs w:val="20"/>
          <w:lang w:val="es-ES_tradnl" w:eastAsia="es-ES_tradnl"/>
          <w14:ligatures w14:val="standardContextua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46F588F4" w14:textId="77777777" w:rsidR="00FF6C03" w:rsidRPr="00BE10F3" w:rsidRDefault="00FF6C03" w:rsidP="00176D2E">
      <w:pPr>
        <w:spacing w:after="0" w:line="240" w:lineRule="auto"/>
        <w:contextualSpacing/>
        <w:jc w:val="both"/>
        <w:rPr>
          <w:rFonts w:ascii="Verdana" w:eastAsia="Times New Roman" w:hAnsi="Verdana" w:cs="Arial"/>
          <w:b/>
          <w:bCs/>
          <w:sz w:val="20"/>
          <w:szCs w:val="20"/>
          <w:lang w:val="es-ES_tradnl" w:eastAsia="es-ES_tradnl"/>
        </w:rPr>
      </w:pPr>
    </w:p>
    <w:p w14:paraId="4D2CF4B6" w14:textId="77777777" w:rsidR="00FF6C03" w:rsidRDefault="00FF6C03" w:rsidP="00176D2E">
      <w:pPr>
        <w:spacing w:after="0" w:line="240" w:lineRule="auto"/>
        <w:contextualSpacing/>
        <w:jc w:val="both"/>
        <w:rPr>
          <w:rFonts w:ascii="Verdana" w:eastAsia="Times New Roman" w:hAnsi="Verdana" w:cs="Arial"/>
          <w:b/>
          <w:bCs/>
          <w:sz w:val="20"/>
          <w:szCs w:val="20"/>
          <w:lang w:eastAsia="es-ES_tradnl"/>
        </w:rPr>
      </w:pPr>
    </w:p>
    <w:p w14:paraId="47696C79" w14:textId="77777777" w:rsidR="00176D2E" w:rsidRDefault="00176D2E" w:rsidP="00176D2E">
      <w:pPr>
        <w:spacing w:after="0" w:line="240" w:lineRule="auto"/>
        <w:jc w:val="both"/>
        <w:rPr>
          <w:rFonts w:ascii="Verdana" w:eastAsia="Times New Roman" w:hAnsi="Verdana" w:cs="Arial"/>
          <w:b/>
          <w:color w:val="000000" w:themeColor="text1"/>
          <w:sz w:val="20"/>
          <w:szCs w:val="20"/>
          <w:lang w:eastAsia="es-ES"/>
        </w:rPr>
      </w:pPr>
    </w:p>
    <w:p w14:paraId="32734728" w14:textId="77777777" w:rsidR="00176D2E" w:rsidRDefault="00176D2E" w:rsidP="00176D2E">
      <w:pPr>
        <w:spacing w:after="0" w:line="240" w:lineRule="auto"/>
        <w:jc w:val="both"/>
        <w:rPr>
          <w:rFonts w:ascii="Verdana" w:eastAsia="Times New Roman" w:hAnsi="Verdana" w:cs="Arial"/>
          <w:b/>
          <w:color w:val="000000" w:themeColor="text1"/>
          <w:sz w:val="20"/>
          <w:szCs w:val="20"/>
          <w:lang w:eastAsia="es-ES"/>
        </w:rPr>
      </w:pPr>
    </w:p>
    <w:p w14:paraId="0B7DA446" w14:textId="77777777" w:rsidR="00176D2E" w:rsidRDefault="00176D2E" w:rsidP="00176D2E">
      <w:pPr>
        <w:spacing w:after="0" w:line="240" w:lineRule="auto"/>
        <w:jc w:val="both"/>
        <w:rPr>
          <w:rFonts w:ascii="Verdana" w:eastAsia="Times New Roman" w:hAnsi="Verdana" w:cs="Arial"/>
          <w:b/>
          <w:color w:val="000000" w:themeColor="text1"/>
          <w:sz w:val="20"/>
          <w:szCs w:val="20"/>
          <w:lang w:eastAsia="es-ES"/>
        </w:rPr>
      </w:pPr>
    </w:p>
    <w:p w14:paraId="6E13C3A1" w14:textId="77777777" w:rsidR="00176D2E" w:rsidRDefault="00176D2E" w:rsidP="00176D2E">
      <w:pPr>
        <w:spacing w:after="0" w:line="240" w:lineRule="auto"/>
        <w:jc w:val="both"/>
        <w:rPr>
          <w:rFonts w:ascii="Verdana" w:eastAsia="Times New Roman" w:hAnsi="Verdana" w:cs="Arial"/>
          <w:b/>
          <w:color w:val="000000" w:themeColor="text1"/>
          <w:sz w:val="20"/>
          <w:szCs w:val="20"/>
          <w:lang w:eastAsia="es-ES"/>
        </w:rPr>
      </w:pPr>
    </w:p>
    <w:p w14:paraId="0744EC28" w14:textId="7264F8D7" w:rsidR="006E64D8" w:rsidRDefault="006E64D8">
      <w:pPr>
        <w:rPr>
          <w:rFonts w:ascii="Verdana" w:eastAsia="Times New Roman" w:hAnsi="Verdana" w:cs="Arial"/>
          <w:lang w:val="es-ES_tradnl"/>
        </w:rPr>
      </w:pPr>
    </w:p>
    <w:p w14:paraId="0F96B9F1" w14:textId="77777777" w:rsidR="00176D2E" w:rsidRPr="00C91297" w:rsidRDefault="00176D2E" w:rsidP="00176D2E">
      <w:pPr>
        <w:spacing w:after="0" w:line="240" w:lineRule="auto"/>
        <w:jc w:val="both"/>
        <w:rPr>
          <w:rFonts w:ascii="Verdana" w:eastAsia="Times New Roman" w:hAnsi="Verdana" w:cs="Arial"/>
          <w:lang w:val="es-ES_tradnl"/>
        </w:rPr>
      </w:pPr>
    </w:p>
    <w:p w14:paraId="7A2466F6" w14:textId="77777777" w:rsidR="00176D2E" w:rsidRPr="00C91297" w:rsidRDefault="00176D2E" w:rsidP="00176D2E">
      <w:pPr>
        <w:spacing w:after="0" w:line="240" w:lineRule="auto"/>
        <w:jc w:val="right"/>
        <w:rPr>
          <w:rFonts w:ascii="Verdana" w:eastAsia="Times New Roman" w:hAnsi="Verdana" w:cs="Arial"/>
          <w:lang w:val="es-ES_tradnl" w:eastAsia="es-ES"/>
        </w:rPr>
      </w:pPr>
    </w:p>
    <w:p w14:paraId="618EE08E" w14:textId="77777777" w:rsidR="00176D2E" w:rsidRPr="00C91297" w:rsidRDefault="00176D2E" w:rsidP="00176D2E">
      <w:pPr>
        <w:spacing w:after="0" w:line="240" w:lineRule="auto"/>
        <w:jc w:val="both"/>
        <w:rPr>
          <w:rFonts w:ascii="Verdana" w:eastAsia="Times New Roman" w:hAnsi="Verdana" w:cs="Arial"/>
          <w:lang w:eastAsia="es-ES"/>
        </w:rPr>
      </w:pPr>
      <w:r w:rsidRPr="00C91297">
        <w:rPr>
          <w:rFonts w:ascii="Verdana" w:eastAsia="Times New Roman" w:hAnsi="Verdana" w:cs="Arial"/>
          <w:lang w:eastAsia="es-ES"/>
        </w:rPr>
        <w:t>Bogotá D.C., [Día] [</w:t>
      </w:r>
      <w:proofErr w:type="spellStart"/>
      <w:r w:rsidRPr="00C91297">
        <w:rPr>
          <w:rFonts w:ascii="Verdana" w:eastAsia="Times New Roman" w:hAnsi="Verdana" w:cs="Arial"/>
          <w:lang w:eastAsia="es-ES"/>
        </w:rPr>
        <w:t>Mes.NombreCapitalizado</w:t>
      </w:r>
      <w:proofErr w:type="spellEnd"/>
      <w:r w:rsidRPr="00C91297">
        <w:rPr>
          <w:rFonts w:ascii="Verdana" w:eastAsia="Times New Roman" w:hAnsi="Verdana" w:cs="Arial"/>
          <w:lang w:eastAsia="es-ES"/>
        </w:rPr>
        <w:t>] [Año]</w:t>
      </w:r>
      <w:r w:rsidRPr="00C91297">
        <w:rPr>
          <w:rFonts w:ascii="Verdana" w:eastAsia="Times New Roman" w:hAnsi="Verdana" w:cs="Arial"/>
          <w:lang w:eastAsia="es-ES"/>
        </w:rPr>
        <w:tab/>
      </w:r>
    </w:p>
    <w:p w14:paraId="414984B9" w14:textId="77777777" w:rsidR="00176D2E" w:rsidRPr="00C91297" w:rsidRDefault="00176D2E" w:rsidP="00176D2E">
      <w:pPr>
        <w:spacing w:after="0" w:line="240" w:lineRule="auto"/>
        <w:jc w:val="both"/>
        <w:rPr>
          <w:rFonts w:ascii="Verdana" w:eastAsia="Times New Roman" w:hAnsi="Verdana" w:cs="Arial"/>
          <w:lang w:val="es-ES_tradnl" w:eastAsia="es-ES"/>
        </w:rPr>
      </w:pPr>
    </w:p>
    <w:p w14:paraId="3C757E94" w14:textId="77777777" w:rsidR="00176D2E" w:rsidRDefault="00176D2E" w:rsidP="00176D2E">
      <w:pPr>
        <w:spacing w:after="0" w:line="240" w:lineRule="auto"/>
        <w:jc w:val="both"/>
        <w:rPr>
          <w:rFonts w:ascii="Verdana" w:eastAsia="Times New Roman" w:hAnsi="Verdana" w:cs="Arial"/>
          <w:lang w:val="es-ES_tradnl" w:eastAsia="es-ES"/>
        </w:rPr>
      </w:pPr>
    </w:p>
    <w:p w14:paraId="0285D7A6" w14:textId="77777777" w:rsidR="00176D2E" w:rsidRDefault="00176D2E" w:rsidP="00176D2E">
      <w:pPr>
        <w:spacing w:after="0" w:line="240" w:lineRule="auto"/>
        <w:jc w:val="both"/>
        <w:rPr>
          <w:rFonts w:ascii="Verdana" w:eastAsia="Times New Roman" w:hAnsi="Verdana" w:cs="Arial"/>
          <w:lang w:val="es-ES_tradnl" w:eastAsia="es-ES"/>
        </w:rPr>
      </w:pPr>
    </w:p>
    <w:p w14:paraId="63AEB3A6" w14:textId="77777777" w:rsidR="00176D2E" w:rsidRDefault="00176D2E" w:rsidP="00176D2E">
      <w:pPr>
        <w:spacing w:after="0" w:line="240" w:lineRule="auto"/>
        <w:jc w:val="both"/>
        <w:rPr>
          <w:rFonts w:ascii="Verdana" w:eastAsia="Times New Roman" w:hAnsi="Verdana" w:cs="Arial"/>
          <w:lang w:val="es-ES_tradnl" w:eastAsia="es-ES"/>
        </w:rPr>
      </w:pPr>
    </w:p>
    <w:p w14:paraId="402ED7ED" w14:textId="77777777" w:rsidR="00176D2E" w:rsidRPr="006550D9" w:rsidRDefault="00176D2E" w:rsidP="00176D2E">
      <w:pPr>
        <w:spacing w:after="0" w:line="240" w:lineRule="auto"/>
        <w:jc w:val="both"/>
        <w:rPr>
          <w:rFonts w:ascii="Verdana" w:eastAsia="Times New Roman" w:hAnsi="Verdana" w:cs="Arial"/>
          <w:lang w:val="es-ES" w:eastAsia="es-ES"/>
        </w:rPr>
      </w:pPr>
      <w:r w:rsidRPr="006550D9">
        <w:rPr>
          <w:rFonts w:ascii="Verdana" w:eastAsia="Times New Roman" w:hAnsi="Verdana" w:cs="Arial"/>
          <w:lang w:val="es-ES" w:eastAsia="es-ES"/>
        </w:rPr>
        <w:t>Señor</w:t>
      </w:r>
    </w:p>
    <w:p w14:paraId="601E69CD" w14:textId="77777777" w:rsidR="00176D2E" w:rsidRPr="006550D9" w:rsidRDefault="00176D2E" w:rsidP="00176D2E">
      <w:pPr>
        <w:spacing w:after="0" w:line="240" w:lineRule="auto"/>
        <w:jc w:val="both"/>
        <w:rPr>
          <w:rFonts w:ascii="Verdana" w:eastAsia="Times New Roman" w:hAnsi="Verdana" w:cs="Arial"/>
          <w:b/>
          <w:bCs/>
          <w:lang w:val="es-ES" w:eastAsia="es-ES"/>
        </w:rPr>
      </w:pPr>
      <w:r w:rsidRPr="006550D9">
        <w:rPr>
          <w:rFonts w:ascii="Verdana" w:eastAsia="Times New Roman" w:hAnsi="Verdana" w:cs="Arial"/>
          <w:b/>
          <w:bCs/>
          <w:lang w:val="es-ES" w:eastAsia="es-ES"/>
        </w:rPr>
        <w:t xml:space="preserve">Gustavo Adolfo Patarroyo Cubides </w:t>
      </w:r>
    </w:p>
    <w:p w14:paraId="09CDBAFD" w14:textId="77777777" w:rsidR="00176D2E" w:rsidRPr="006550D9" w:rsidRDefault="00176D2E" w:rsidP="00176D2E">
      <w:pPr>
        <w:spacing w:after="0" w:line="240" w:lineRule="auto"/>
        <w:jc w:val="both"/>
        <w:rPr>
          <w:rFonts w:ascii="Verdana" w:eastAsia="Times New Roman" w:hAnsi="Verdana" w:cs="Arial"/>
          <w:lang w:val="es-ES" w:eastAsia="es-ES"/>
        </w:rPr>
      </w:pPr>
      <w:hyperlink r:id="rId11" w:history="1">
        <w:r w:rsidRPr="006550D9">
          <w:rPr>
            <w:rFonts w:ascii="Verdana" w:eastAsia="Times New Roman" w:hAnsi="Verdana" w:cs="Arial"/>
            <w:color w:val="0000FF"/>
            <w:u w:val="single"/>
            <w:lang w:val="es-ES" w:eastAsia="es-ES"/>
          </w:rPr>
          <w:t>gustavopatarroyo@hotmail.com</w:t>
        </w:r>
      </w:hyperlink>
      <w:r w:rsidRPr="006550D9">
        <w:rPr>
          <w:rFonts w:ascii="Verdana" w:eastAsia="Times New Roman" w:hAnsi="Verdana" w:cs="Arial"/>
          <w:lang w:val="es-ES" w:eastAsia="es-ES"/>
        </w:rPr>
        <w:t xml:space="preserve"> </w:t>
      </w:r>
    </w:p>
    <w:p w14:paraId="348B2366" w14:textId="77777777" w:rsidR="00176D2E" w:rsidRPr="006550D9" w:rsidRDefault="00176D2E" w:rsidP="00176D2E">
      <w:pPr>
        <w:spacing w:after="0" w:line="240" w:lineRule="auto"/>
        <w:jc w:val="both"/>
        <w:rPr>
          <w:rFonts w:ascii="Verdana" w:eastAsia="Times New Roman" w:hAnsi="Verdana" w:cs="Arial"/>
          <w:lang w:val="es-ES" w:eastAsia="es-ES"/>
        </w:rPr>
      </w:pPr>
      <w:r w:rsidRPr="006550D9">
        <w:rPr>
          <w:rFonts w:ascii="Verdana" w:eastAsia="Times New Roman" w:hAnsi="Verdana" w:cs="Arial"/>
          <w:lang w:val="es-ES" w:eastAsia="es-ES"/>
        </w:rPr>
        <w:t>Ibagué, Tolima</w:t>
      </w:r>
    </w:p>
    <w:p w14:paraId="58D9CF54" w14:textId="77777777" w:rsidR="00176D2E" w:rsidRDefault="00176D2E" w:rsidP="00176D2E">
      <w:pPr>
        <w:spacing w:after="0" w:line="240" w:lineRule="auto"/>
        <w:jc w:val="both"/>
        <w:rPr>
          <w:rFonts w:ascii="Verdana" w:eastAsia="Times New Roman" w:hAnsi="Verdana" w:cs="Arial"/>
          <w:lang w:val="es-ES_tradnl" w:eastAsia="es-ES"/>
        </w:rPr>
      </w:pPr>
    </w:p>
    <w:p w14:paraId="36F3AA19" w14:textId="77777777" w:rsidR="00176D2E" w:rsidRDefault="00176D2E" w:rsidP="00176D2E">
      <w:pPr>
        <w:spacing w:after="0" w:line="240" w:lineRule="auto"/>
        <w:jc w:val="both"/>
        <w:rPr>
          <w:rFonts w:ascii="Verdana" w:eastAsia="Times New Roman" w:hAnsi="Verdana" w:cs="Arial"/>
          <w:lang w:val="es-ES_tradnl" w:eastAsia="es-ES"/>
        </w:rPr>
      </w:pPr>
    </w:p>
    <w:p w14:paraId="19B9E432" w14:textId="424A6039" w:rsidR="00060032" w:rsidRDefault="00060032" w:rsidP="00060032">
      <w:pPr>
        <w:spacing w:after="0" w:line="240" w:lineRule="auto"/>
        <w:jc w:val="right"/>
        <w:rPr>
          <w:rFonts w:ascii="Verdana" w:eastAsia="Times New Roman" w:hAnsi="Verdana" w:cs="Arial"/>
          <w:lang w:val="es-ES_tradnl" w:eastAsia="es-ES"/>
        </w:rPr>
      </w:pPr>
      <w:r w:rsidRPr="00060032">
        <w:rPr>
          <w:rFonts w:ascii="Verdana" w:eastAsia="Times New Roman" w:hAnsi="Verdana" w:cs="Arial"/>
          <w:lang w:val="es-ES_tradnl" w:eastAsia="es-ES"/>
        </w:rPr>
        <w:drawing>
          <wp:inline distT="0" distB="0" distL="0" distR="0" wp14:anchorId="3A5A54BB" wp14:editId="24D050B3">
            <wp:extent cx="3276600" cy="942975"/>
            <wp:effectExtent l="0" t="0" r="0" b="9525"/>
            <wp:docPr id="17314500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009" name="Imagen 1" descr="Interfaz de usuario gráfica, Texto&#10;&#10;Descripción generada automáticamente"/>
                    <pic:cNvPicPr/>
                  </pic:nvPicPr>
                  <pic:blipFill>
                    <a:blip r:embed="rId12"/>
                    <a:stretch>
                      <a:fillRect/>
                    </a:stretch>
                  </pic:blipFill>
                  <pic:spPr>
                    <a:xfrm>
                      <a:off x="0" y="0"/>
                      <a:ext cx="3276600" cy="942975"/>
                    </a:xfrm>
                    <a:prstGeom prst="rect">
                      <a:avLst/>
                    </a:prstGeom>
                  </pic:spPr>
                </pic:pic>
              </a:graphicData>
            </a:graphic>
          </wp:inline>
        </w:drawing>
      </w:r>
    </w:p>
    <w:p w14:paraId="00E609C4" w14:textId="77777777" w:rsidR="00060032" w:rsidRDefault="00060032" w:rsidP="00176D2E">
      <w:pPr>
        <w:spacing w:after="0" w:line="240" w:lineRule="auto"/>
        <w:jc w:val="both"/>
        <w:rPr>
          <w:rFonts w:ascii="Verdana" w:eastAsia="Times New Roman" w:hAnsi="Verdana" w:cs="Arial"/>
          <w:lang w:val="es-ES_tradnl" w:eastAsia="es-ES"/>
        </w:rPr>
      </w:pPr>
    </w:p>
    <w:p w14:paraId="79620032" w14:textId="270F36FF" w:rsidR="00176D2E" w:rsidRPr="00C91297" w:rsidRDefault="00176D2E" w:rsidP="00176D2E">
      <w:pPr>
        <w:spacing w:after="0" w:line="240" w:lineRule="auto"/>
        <w:rPr>
          <w:rFonts w:ascii="Verdana" w:eastAsia="Times New Roman" w:hAnsi="Verdana" w:cs="Arial"/>
          <w:b/>
          <w:bCs/>
          <w:lang w:val="es-ES_tradnl" w:eastAsia="es-ES_tradnl"/>
        </w:rPr>
      </w:pPr>
      <w:r w:rsidRPr="00C91297">
        <w:rPr>
          <w:rFonts w:ascii="Verdana" w:eastAsia="Times New Roman" w:hAnsi="Verdana" w:cs="Arial"/>
          <w:lang w:val="es-ES_tradnl" w:eastAsia="es-ES"/>
        </w:rPr>
        <w:t xml:space="preserve"> </w:t>
      </w:r>
    </w:p>
    <w:tbl>
      <w:tblPr>
        <w:tblStyle w:val="Tablaconcuadrcula1"/>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0"/>
        <w:gridCol w:w="6444"/>
      </w:tblGrid>
      <w:tr w:rsidR="00176D2E" w:rsidRPr="00C91297" w14:paraId="2F5873F4" w14:textId="77777777" w:rsidTr="00881652">
        <w:trPr>
          <w:trHeight w:val="953"/>
        </w:trPr>
        <w:tc>
          <w:tcPr>
            <w:tcW w:w="2840" w:type="dxa"/>
          </w:tcPr>
          <w:p w14:paraId="3FAE89D5" w14:textId="77777777" w:rsidR="00176D2E" w:rsidRPr="00C91297" w:rsidRDefault="00176D2E" w:rsidP="00881652">
            <w:pPr>
              <w:spacing w:after="160" w:line="259" w:lineRule="auto"/>
              <w:jc w:val="both"/>
              <w:rPr>
                <w:rFonts w:ascii="Verdana" w:hAnsi="Verdana" w:cs="Arial"/>
                <w:b/>
                <w:bCs/>
                <w:lang w:val="es-ES_tradnl" w:eastAsia="es-ES_tradnl"/>
              </w:rPr>
            </w:pPr>
          </w:p>
        </w:tc>
        <w:tc>
          <w:tcPr>
            <w:tcW w:w="6444" w:type="dxa"/>
          </w:tcPr>
          <w:p w14:paraId="25EA7A09" w14:textId="77777777" w:rsidR="00176D2E" w:rsidRPr="00C91297" w:rsidRDefault="00176D2E" w:rsidP="00881652">
            <w:pPr>
              <w:spacing w:after="160" w:line="259" w:lineRule="auto"/>
              <w:jc w:val="both"/>
              <w:rPr>
                <w:rFonts w:ascii="Verdana" w:hAnsi="Verdana" w:cs="Arial"/>
                <w:b/>
                <w:bCs/>
                <w:lang w:val="es-ES_tradnl" w:eastAsia="es-ES"/>
              </w:rPr>
            </w:pPr>
            <w:r w:rsidRPr="00C91297">
              <w:rPr>
                <w:rFonts w:ascii="Verdana" w:hAnsi="Verdana" w:cs="Arial"/>
                <w:b/>
                <w:bCs/>
                <w:lang w:val="es-ES_tradnl" w:eastAsia="es-ES"/>
              </w:rPr>
              <w:t xml:space="preserve">Concepto C – </w:t>
            </w:r>
            <w:r>
              <w:rPr>
                <w:rFonts w:ascii="Verdana" w:hAnsi="Verdana" w:cs="Arial"/>
                <w:b/>
                <w:bCs/>
                <w:lang w:val="es-ES_tradnl" w:eastAsia="es-ES"/>
              </w:rPr>
              <w:t>501</w:t>
            </w:r>
            <w:r w:rsidRPr="00C91297">
              <w:rPr>
                <w:rFonts w:ascii="Verdana" w:hAnsi="Verdana" w:cs="Arial"/>
                <w:b/>
                <w:bCs/>
                <w:lang w:val="es-ES_tradnl" w:eastAsia="es-ES"/>
              </w:rPr>
              <w:t xml:space="preserve"> de 2024</w:t>
            </w:r>
          </w:p>
        </w:tc>
      </w:tr>
      <w:tr w:rsidR="00176D2E" w:rsidRPr="00C91297" w14:paraId="48C6970F" w14:textId="77777777" w:rsidTr="00881652">
        <w:trPr>
          <w:trHeight w:val="953"/>
        </w:trPr>
        <w:tc>
          <w:tcPr>
            <w:tcW w:w="2840" w:type="dxa"/>
          </w:tcPr>
          <w:p w14:paraId="6F651275" w14:textId="77777777" w:rsidR="00176D2E" w:rsidRPr="00C91297" w:rsidRDefault="00176D2E" w:rsidP="00881652">
            <w:pPr>
              <w:spacing w:after="160" w:line="259" w:lineRule="auto"/>
              <w:jc w:val="both"/>
              <w:rPr>
                <w:rFonts w:ascii="Verdana" w:hAnsi="Verdana" w:cs="Arial"/>
                <w:lang w:val="es-ES_tradnl" w:eastAsia="es-ES_tradnl"/>
              </w:rPr>
            </w:pPr>
            <w:r w:rsidRPr="00C91297">
              <w:rPr>
                <w:rFonts w:ascii="Verdana" w:hAnsi="Verdana" w:cs="Arial"/>
                <w:b/>
                <w:lang w:val="es-ES_tradnl" w:eastAsia="es-ES_tradnl"/>
              </w:rPr>
              <w:t>Temas:</w:t>
            </w:r>
            <w:r w:rsidRPr="00C91297">
              <w:rPr>
                <w:rFonts w:ascii="Verdana" w:hAnsi="Verdana" w:cs="Arial"/>
                <w:lang w:val="es-ES_tradnl" w:eastAsia="es-ES_tradnl"/>
              </w:rPr>
              <w:t xml:space="preserve">                   </w:t>
            </w:r>
          </w:p>
        </w:tc>
        <w:tc>
          <w:tcPr>
            <w:tcW w:w="6444" w:type="dxa"/>
          </w:tcPr>
          <w:p w14:paraId="138202E6" w14:textId="6F5F4D39" w:rsidR="00176D2E" w:rsidRPr="00A208F6" w:rsidRDefault="00176D2E" w:rsidP="00881652">
            <w:pPr>
              <w:spacing w:line="276" w:lineRule="auto"/>
              <w:jc w:val="both"/>
              <w:rPr>
                <w:rFonts w:ascii="Verdana" w:hAnsi="Verdana" w:cs="Arial"/>
                <w:bCs/>
                <w:lang w:val="es-ES_tradnl" w:eastAsia="es-ES"/>
              </w:rPr>
            </w:pPr>
            <w:r>
              <w:rPr>
                <w:rFonts w:ascii="Verdana" w:hAnsi="Verdana" w:cs="Arial"/>
                <w:bCs/>
                <w:lang w:eastAsia="es-ES"/>
              </w:rPr>
              <w:t xml:space="preserve">DOCUMENTOS TIPO – Fundamento normativo -Obligatoriedad – Ámbito de aplicación – Entidades sometidas / LEY 2195 DE 2022 – Articulo 56 – Ámbito de aplicación / LEY 2195 DE 2022 – Articulo 56 – Finalidad / LEY 2195 DE 2022 -Aplicación del Estatuto General de Contratación de la Administración Pública / LEY 2195 DE 2022 – Articulo 56 Parágrafo – Excepciones - Giro ordinario </w:t>
            </w:r>
          </w:p>
          <w:p w14:paraId="7DB5F6B6" w14:textId="77777777" w:rsidR="00176D2E" w:rsidRPr="00C91297" w:rsidRDefault="00176D2E" w:rsidP="00881652">
            <w:pPr>
              <w:spacing w:after="160" w:line="276" w:lineRule="auto"/>
              <w:jc w:val="both"/>
              <w:rPr>
                <w:rFonts w:ascii="Verdana" w:hAnsi="Verdana" w:cs="Arial"/>
                <w:highlight w:val="yellow"/>
                <w:lang w:val="es-ES_tradnl" w:eastAsia="es-ES"/>
              </w:rPr>
            </w:pPr>
          </w:p>
        </w:tc>
      </w:tr>
      <w:tr w:rsidR="00176D2E" w:rsidRPr="00C91297" w14:paraId="4ECDE118" w14:textId="77777777" w:rsidTr="00881652">
        <w:trPr>
          <w:trHeight w:val="582"/>
        </w:trPr>
        <w:tc>
          <w:tcPr>
            <w:tcW w:w="2840" w:type="dxa"/>
          </w:tcPr>
          <w:p w14:paraId="059DE681" w14:textId="77777777" w:rsidR="00176D2E" w:rsidRPr="00C91297" w:rsidRDefault="00176D2E" w:rsidP="00881652">
            <w:pPr>
              <w:spacing w:after="160" w:line="259" w:lineRule="auto"/>
              <w:jc w:val="both"/>
              <w:rPr>
                <w:rFonts w:ascii="Verdana" w:hAnsi="Verdana" w:cs="Arial"/>
                <w:b/>
                <w:lang w:val="es-ES_tradnl" w:eastAsia="es-ES_tradnl"/>
              </w:rPr>
            </w:pPr>
            <w:r w:rsidRPr="00C91297">
              <w:rPr>
                <w:rFonts w:ascii="Verdana" w:hAnsi="Verdana" w:cs="Arial"/>
                <w:b/>
                <w:lang w:val="es-ES_tradnl" w:eastAsia="es-ES_tradnl"/>
              </w:rPr>
              <w:t>Radicación:</w:t>
            </w:r>
            <w:r w:rsidRPr="00C91297">
              <w:rPr>
                <w:rFonts w:ascii="Verdana" w:hAnsi="Verdana" w:cs="Arial"/>
                <w:lang w:val="es-ES_tradnl" w:eastAsia="es-ES_tradnl"/>
              </w:rPr>
              <w:t xml:space="preserve">               </w:t>
            </w:r>
          </w:p>
        </w:tc>
        <w:tc>
          <w:tcPr>
            <w:tcW w:w="6444" w:type="dxa"/>
          </w:tcPr>
          <w:p w14:paraId="15A0A45B" w14:textId="77777777" w:rsidR="00176D2E" w:rsidRPr="00C91297" w:rsidRDefault="00176D2E" w:rsidP="00881652">
            <w:pPr>
              <w:spacing w:after="160" w:line="259" w:lineRule="auto"/>
              <w:jc w:val="both"/>
              <w:rPr>
                <w:rFonts w:ascii="Verdana" w:hAnsi="Verdana" w:cs="Arial"/>
                <w:lang w:val="es-ES_tradnl" w:eastAsia="es-ES_tradnl"/>
              </w:rPr>
            </w:pPr>
            <w:r w:rsidRPr="00C91297">
              <w:rPr>
                <w:rFonts w:ascii="Verdana" w:hAnsi="Verdana" w:cs="Arial"/>
                <w:lang w:val="es-ES_tradnl" w:eastAsia="es-ES_tradnl"/>
              </w:rPr>
              <w:t>Respuesta a consulta con radicado No. P2024</w:t>
            </w:r>
            <w:r>
              <w:rPr>
                <w:rFonts w:ascii="Verdana" w:hAnsi="Verdana" w:cs="Arial"/>
                <w:lang w:val="es-ES_tradnl" w:eastAsia="es-ES_tradnl"/>
              </w:rPr>
              <w:t>0816008414</w:t>
            </w:r>
          </w:p>
        </w:tc>
      </w:tr>
    </w:tbl>
    <w:p w14:paraId="4B412BBC" w14:textId="77777777" w:rsidR="00176D2E" w:rsidRPr="00C91297" w:rsidRDefault="00176D2E" w:rsidP="00176D2E">
      <w:pPr>
        <w:spacing w:after="0" w:line="240" w:lineRule="auto"/>
        <w:jc w:val="both"/>
        <w:rPr>
          <w:rFonts w:ascii="Verdana" w:eastAsia="Times New Roman" w:hAnsi="Verdana" w:cs="Arial"/>
          <w:lang w:val="es-ES_tradnl" w:eastAsia="es-ES_tradnl"/>
        </w:rPr>
      </w:pPr>
    </w:p>
    <w:p w14:paraId="1E37B938" w14:textId="77777777" w:rsidR="00176D2E" w:rsidRPr="00C91297" w:rsidRDefault="00176D2E" w:rsidP="00176D2E">
      <w:pPr>
        <w:spacing w:after="0" w:line="240" w:lineRule="auto"/>
        <w:jc w:val="both"/>
        <w:rPr>
          <w:rFonts w:ascii="Verdana" w:eastAsia="Times New Roman" w:hAnsi="Verdana" w:cs="Arial"/>
          <w:lang w:val="es-ES_tradnl" w:eastAsia="es-ES_tradnl"/>
        </w:rPr>
      </w:pPr>
    </w:p>
    <w:p w14:paraId="5AC95EBA" w14:textId="77777777" w:rsidR="00176D2E" w:rsidRPr="00C91297" w:rsidRDefault="00176D2E" w:rsidP="00176D2E">
      <w:pPr>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Estimad</w:t>
      </w:r>
      <w:r>
        <w:rPr>
          <w:rFonts w:ascii="Verdana" w:eastAsia="Times New Roman" w:hAnsi="Verdana" w:cs="Arial"/>
          <w:lang w:val="es-ES_tradnl" w:eastAsia="es-ES"/>
        </w:rPr>
        <w:t>o</w:t>
      </w:r>
      <w:r w:rsidRPr="00C91297">
        <w:rPr>
          <w:rFonts w:ascii="Verdana" w:eastAsia="Times New Roman" w:hAnsi="Verdana" w:cs="Arial"/>
          <w:lang w:val="es-ES_tradnl" w:eastAsia="es-ES"/>
        </w:rPr>
        <w:t xml:space="preserve"> señor</w:t>
      </w:r>
      <w:r>
        <w:rPr>
          <w:rFonts w:ascii="Verdana" w:eastAsia="Times New Roman" w:hAnsi="Verdana" w:cs="Arial"/>
          <w:lang w:val="es-ES_tradnl" w:eastAsia="es-ES"/>
        </w:rPr>
        <w:t xml:space="preserve"> Patarroyo Cubides</w:t>
      </w:r>
      <w:r w:rsidRPr="00C91297">
        <w:rPr>
          <w:rFonts w:ascii="Verdana" w:eastAsia="Times New Roman" w:hAnsi="Verdana" w:cs="Arial"/>
          <w:lang w:val="es-ES_tradnl" w:eastAsia="es-ES"/>
        </w:rPr>
        <w:t xml:space="preserve">: </w:t>
      </w:r>
    </w:p>
    <w:p w14:paraId="7A43E70C" w14:textId="77777777" w:rsidR="00176D2E" w:rsidRPr="00C91297" w:rsidRDefault="00176D2E" w:rsidP="00176D2E">
      <w:pPr>
        <w:tabs>
          <w:tab w:val="left" w:pos="3768"/>
        </w:tabs>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tab/>
      </w:r>
    </w:p>
    <w:p w14:paraId="1A03C3A1" w14:textId="77777777" w:rsidR="00176D2E" w:rsidRPr="00C91297" w:rsidRDefault="00176D2E" w:rsidP="00176D2E">
      <w:pPr>
        <w:snapToGrid w:val="0"/>
        <w:spacing w:after="0" w:line="276" w:lineRule="auto"/>
        <w:jc w:val="both"/>
        <w:rPr>
          <w:rFonts w:ascii="Verdana" w:eastAsia="Times New Roman" w:hAnsi="Verdana" w:cs="Arial"/>
          <w:lang w:val="es-ES_tradnl" w:eastAsia="es-ES"/>
        </w:rPr>
      </w:pPr>
      <w:r w:rsidRPr="00C91297">
        <w:rPr>
          <w:rFonts w:ascii="Verdana" w:eastAsia="Times New Roman" w:hAnsi="Verdana" w:cs="Arial"/>
          <w:lang w:val="es-ES_tradnl" w:eastAsia="es-ES"/>
        </w:rPr>
        <w:lastRenderedPageBreak/>
        <w:t>En ejercicio de la competencia otorgada por los artículos 3, numeral 5º, y 11, numeral 8º, del Decreto Ley 4170 de 2011,</w:t>
      </w:r>
      <w:r w:rsidRPr="00C91297">
        <w:rPr>
          <w:rFonts w:ascii="Verdana" w:eastAsia="Times New Roman" w:hAnsi="Verdana" w:cs="Arial MT"/>
          <w:lang w:val="es-ES_tradnl" w:eastAsia="es-ES"/>
        </w:rPr>
        <w:t xml:space="preserve"> </w:t>
      </w:r>
      <w:r w:rsidRPr="00C91297">
        <w:rPr>
          <w:rFonts w:ascii="Verdana" w:eastAsia="Times New Roman" w:hAnsi="Verdana" w:cs="Arial"/>
          <w:lang w:val="es-ES_tradnl"/>
        </w:rPr>
        <w:t xml:space="preserve">así como lo establecido en el artículo 4 de la Resolución 1707 de 2018 expedida por esta Entidad, </w:t>
      </w:r>
      <w:r w:rsidRPr="00C91297">
        <w:rPr>
          <w:rFonts w:ascii="Verdana" w:eastAsia="Times New Roman" w:hAnsi="Verdana" w:cs="Arial"/>
          <w:lang w:val="es-ES_tradnl" w:eastAsia="es-ES"/>
        </w:rPr>
        <w:t>la Agencia Nacional de Contratación Pública – Colombia Compra Eficiente– responde su solicitud de consulta de fecha 06 de agosto de 2024, en la cual manifiesta lo siguiente:</w:t>
      </w:r>
    </w:p>
    <w:p w14:paraId="1D74AC2A" w14:textId="77777777" w:rsidR="00176D2E" w:rsidRPr="00C91297" w:rsidRDefault="00176D2E" w:rsidP="00176D2E">
      <w:pPr>
        <w:tabs>
          <w:tab w:val="left" w:pos="142"/>
          <w:tab w:val="left" w:pos="284"/>
        </w:tabs>
        <w:snapToGrid w:val="0"/>
        <w:spacing w:after="0" w:line="240" w:lineRule="auto"/>
        <w:jc w:val="both"/>
        <w:rPr>
          <w:rFonts w:ascii="Verdana" w:eastAsia="Times New Roman" w:hAnsi="Verdana" w:cs="Century Gothic"/>
          <w:b/>
          <w:bCs/>
          <w:sz w:val="21"/>
          <w:szCs w:val="21"/>
          <w:lang w:val="es-ES_tradnl"/>
        </w:rPr>
      </w:pPr>
    </w:p>
    <w:p w14:paraId="5E56C20E" w14:textId="5F134C8B" w:rsidR="00176D2E" w:rsidRPr="006550D9" w:rsidRDefault="00176D2E" w:rsidP="00BE10F3">
      <w:pPr>
        <w:spacing w:after="120" w:line="240" w:lineRule="auto"/>
        <w:ind w:left="709" w:right="709"/>
        <w:jc w:val="both"/>
        <w:rPr>
          <w:rFonts w:ascii="Verdana" w:eastAsia="Times New Roman" w:hAnsi="Verdana" w:cs="Century Gothic"/>
          <w:sz w:val="20"/>
          <w:szCs w:val="20"/>
        </w:rPr>
      </w:pPr>
      <w:r w:rsidRPr="006550D9">
        <w:rPr>
          <w:rFonts w:ascii="Verdana" w:eastAsia="Times New Roman" w:hAnsi="Verdana" w:cs="Century Gothic"/>
          <w:sz w:val="20"/>
          <w:szCs w:val="20"/>
          <w:lang w:val="es-ES"/>
        </w:rPr>
        <w:t>“[…]</w:t>
      </w:r>
      <w:r w:rsidRPr="006550D9">
        <w:rPr>
          <w:rFonts w:ascii="Verdana" w:eastAsia="Times New Roman" w:hAnsi="Verdana" w:cs="Century Gothic"/>
          <w:sz w:val="20"/>
          <w:szCs w:val="20"/>
        </w:rPr>
        <w:t>UNA EMPRESA DE SERVICIOS PÚBLICOS DOMICILIARIOS ESP – CONFORMADA COMO EMPRESA INDUSTRIAL Y COMERCIAL DEL ESTADO SE ENCUENTRA COBIJADA BAJO LAS EXCEPCIONES DEL PARÁGRAFO DEL ARTÍCULO 56 DE LA LEY 2195 DE 2022 Y CONFORME A SU GIRO ORDINARIO NO SE LE APLICA LOS DOCUMENTOS TIPO, TAMPOCO EL EGCAP?</w:t>
      </w:r>
      <w:r w:rsidR="002C3C7F" w:rsidRPr="002C3C7F">
        <w:rPr>
          <w:rFonts w:ascii="Verdana" w:eastAsia="Times New Roman" w:hAnsi="Verdana" w:cs="Century Gothic"/>
          <w:sz w:val="20"/>
          <w:szCs w:val="20"/>
        </w:rPr>
        <w:t xml:space="preserve"> </w:t>
      </w:r>
      <w:r w:rsidR="002C3C7F" w:rsidRPr="006550D9">
        <w:rPr>
          <w:rFonts w:ascii="Verdana" w:eastAsia="Times New Roman" w:hAnsi="Verdana" w:cs="Century Gothic"/>
          <w:sz w:val="20"/>
          <w:szCs w:val="20"/>
        </w:rPr>
        <w:t>[…]”</w:t>
      </w:r>
      <w:r w:rsidRPr="006550D9">
        <w:rPr>
          <w:rFonts w:ascii="Verdana" w:eastAsia="Times New Roman" w:hAnsi="Verdana" w:cs="Century Gothic"/>
          <w:sz w:val="20"/>
          <w:szCs w:val="20"/>
        </w:rPr>
        <w:t xml:space="preserve"> </w:t>
      </w:r>
      <w:r w:rsidR="002C3C7F">
        <w:rPr>
          <w:rFonts w:ascii="Verdana" w:eastAsia="Times New Roman" w:hAnsi="Verdana" w:cs="Century Gothic"/>
          <w:sz w:val="20"/>
          <w:szCs w:val="20"/>
        </w:rPr>
        <w:t>[</w:t>
      </w:r>
      <w:r w:rsidRPr="006550D9">
        <w:rPr>
          <w:rFonts w:ascii="Verdana" w:eastAsia="Times New Roman" w:hAnsi="Verdana" w:cs="Century Gothic"/>
          <w:sz w:val="20"/>
          <w:szCs w:val="20"/>
        </w:rPr>
        <w:t>SIC</w:t>
      </w:r>
      <w:r w:rsidR="002C3C7F">
        <w:rPr>
          <w:rFonts w:ascii="Verdana" w:eastAsia="Times New Roman" w:hAnsi="Verdana" w:cs="Century Gothic"/>
          <w:sz w:val="20"/>
          <w:szCs w:val="20"/>
        </w:rPr>
        <w:t>]</w:t>
      </w:r>
    </w:p>
    <w:p w14:paraId="09CAB942" w14:textId="77777777" w:rsidR="00176D2E" w:rsidRPr="00C91297" w:rsidRDefault="00176D2E" w:rsidP="00176D2E">
      <w:pPr>
        <w:tabs>
          <w:tab w:val="left" w:pos="142"/>
          <w:tab w:val="left" w:pos="284"/>
        </w:tabs>
        <w:spacing w:line="276" w:lineRule="auto"/>
        <w:contextualSpacing/>
        <w:jc w:val="both"/>
        <w:rPr>
          <w:rFonts w:ascii="Verdana" w:eastAsia="Times New Roman" w:hAnsi="Verdana" w:cs="Century Gothic"/>
          <w:b/>
          <w:bCs/>
          <w:lang w:val="es-ES_tradnl"/>
        </w:rPr>
      </w:pPr>
    </w:p>
    <w:p w14:paraId="4131CE2D" w14:textId="77777777" w:rsidR="00176D2E" w:rsidRPr="00C91297" w:rsidRDefault="00176D2E" w:rsidP="00176D2E">
      <w:pPr>
        <w:spacing w:after="120" w:line="276" w:lineRule="auto"/>
        <w:ind w:firstLine="709"/>
        <w:jc w:val="both"/>
        <w:rPr>
          <w:rFonts w:ascii="Verdana" w:eastAsia="Times New Roman" w:hAnsi="Verdana" w:cs="Arial"/>
          <w:lang w:val="es-ES" w:eastAsia="es-ES"/>
        </w:rPr>
      </w:pPr>
      <w:r w:rsidRPr="00C91297">
        <w:rPr>
          <w:rFonts w:ascii="Verdana" w:eastAsia="Times New Roman"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91297">
        <w:rPr>
          <w:rFonts w:eastAsia="Times New Roman" w:cs="Times New Roman"/>
        </w:rPr>
        <w:tab/>
      </w:r>
    </w:p>
    <w:p w14:paraId="2EBF6CD7" w14:textId="77777777" w:rsidR="00176D2E" w:rsidRPr="00C91297" w:rsidRDefault="00176D2E" w:rsidP="00176D2E">
      <w:pPr>
        <w:snapToGrid w:val="0"/>
        <w:spacing w:after="0" w:line="276" w:lineRule="auto"/>
        <w:ind w:firstLine="709"/>
        <w:jc w:val="both"/>
        <w:rPr>
          <w:rFonts w:ascii="Verdana" w:eastAsia="Times New Roman" w:hAnsi="Verdana" w:cs="Arial"/>
          <w:lang w:val="es-ES_tradnl" w:eastAsia="es-ES"/>
        </w:rPr>
      </w:pPr>
      <w:r w:rsidRPr="00C91297">
        <w:rPr>
          <w:rFonts w:ascii="Verdana" w:eastAsia="Times New Roman"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0BF3B71" w14:textId="77777777" w:rsidR="00176D2E" w:rsidRPr="00C91297" w:rsidRDefault="00176D2E" w:rsidP="00176D2E">
      <w:pPr>
        <w:snapToGrid w:val="0"/>
        <w:spacing w:after="0" w:line="276" w:lineRule="auto"/>
        <w:ind w:firstLine="709"/>
        <w:jc w:val="both"/>
        <w:rPr>
          <w:rFonts w:ascii="Verdana" w:eastAsia="Times New Roman" w:hAnsi="Verdana" w:cs="Arial"/>
          <w:lang w:val="es-ES_tradnl" w:eastAsia="es-ES"/>
        </w:rPr>
      </w:pPr>
    </w:p>
    <w:p w14:paraId="43580E88" w14:textId="77777777" w:rsidR="00176D2E" w:rsidRPr="00C91297" w:rsidRDefault="00176D2E" w:rsidP="00176D2E">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Problema planteado:</w:t>
      </w:r>
    </w:p>
    <w:p w14:paraId="24323EE4" w14:textId="77777777" w:rsidR="00176D2E" w:rsidRPr="00C91297" w:rsidRDefault="00176D2E" w:rsidP="00176D2E">
      <w:pPr>
        <w:tabs>
          <w:tab w:val="left" w:pos="426"/>
        </w:tabs>
        <w:snapToGrid w:val="0"/>
        <w:spacing w:after="0" w:line="276" w:lineRule="auto"/>
        <w:jc w:val="both"/>
        <w:rPr>
          <w:rFonts w:ascii="Verdana" w:eastAsia="Times New Roman" w:hAnsi="Verdana" w:cs="Century Gothic"/>
          <w:lang w:val="es-ES_tradnl"/>
        </w:rPr>
      </w:pPr>
    </w:p>
    <w:p w14:paraId="36A37AB5" w14:textId="24058F17" w:rsidR="00176D2E" w:rsidRPr="00C91297" w:rsidRDefault="00176D2E" w:rsidP="00176D2E">
      <w:pPr>
        <w:snapToGrid w:val="0"/>
        <w:spacing w:after="0" w:line="276" w:lineRule="auto"/>
        <w:jc w:val="both"/>
        <w:rPr>
          <w:rFonts w:ascii="Verdana" w:eastAsia="Times New Roman" w:hAnsi="Verdana" w:cs="Century Gothic"/>
          <w:lang w:val="es-ES_tradnl"/>
        </w:rPr>
      </w:pPr>
      <w:r w:rsidRPr="00C91297">
        <w:rPr>
          <w:rFonts w:ascii="Verdana" w:eastAsia="Times New Roman" w:hAnsi="Verdana" w:cs="Century Gothic"/>
          <w:lang w:val="es-ES_tradnl"/>
        </w:rPr>
        <w:t>De acuerdo con el contenido de su solicitud, esta Agencia resolverá el siguiente problema jurídico: ¿</w:t>
      </w:r>
      <w:r>
        <w:rPr>
          <w:rFonts w:ascii="Verdana" w:eastAsia="Times New Roman" w:hAnsi="Verdana" w:cs="Century Gothic"/>
          <w:lang w:val="es-ES_tradnl"/>
        </w:rPr>
        <w:t xml:space="preserve">De acuerdo con el artículo 56 de la Ley 2195 de 2022, las </w:t>
      </w:r>
      <w:r w:rsidR="00F622B9" w:rsidRPr="00A75D14">
        <w:rPr>
          <w:rFonts w:ascii="Verdana" w:eastAsia="Calibri" w:hAnsi="Verdana" w:cs="Arial"/>
          <w:lang w:val="es-ES" w:eastAsia="es-ES"/>
        </w:rPr>
        <w:t>las empresas sociales del Estado</w:t>
      </w:r>
      <w:r w:rsidR="00F622B9" w:rsidDel="00F622B9">
        <w:rPr>
          <w:rFonts w:ascii="Verdana" w:eastAsia="Times New Roman" w:hAnsi="Verdana" w:cs="Century Gothic"/>
          <w:lang w:val="es-ES_tradnl"/>
        </w:rPr>
        <w:t xml:space="preserve"> </w:t>
      </w:r>
      <w:r>
        <w:rPr>
          <w:rFonts w:ascii="Verdana" w:eastAsia="Times New Roman" w:hAnsi="Verdana" w:cs="Century Gothic"/>
          <w:lang w:val="es-ES_tradnl"/>
        </w:rPr>
        <w:t xml:space="preserve">tienen la Obligatoriedad de </w:t>
      </w:r>
      <w:r w:rsidRPr="00644F09">
        <w:rPr>
          <w:rFonts w:ascii="Verdana" w:eastAsia="Times New Roman" w:hAnsi="Verdana" w:cs="Century Gothic"/>
          <w:lang w:val="es-ES_tradnl"/>
        </w:rPr>
        <w:t>aplicar documentos tipo</w:t>
      </w:r>
      <w:r w:rsidR="00644F09" w:rsidRPr="00644F09">
        <w:rPr>
          <w:rFonts w:ascii="Verdana" w:eastAsia="Times New Roman" w:hAnsi="Verdana" w:cs="Century Gothic"/>
          <w:lang w:val="es-ES_tradnl"/>
        </w:rPr>
        <w:t xml:space="preserve"> </w:t>
      </w:r>
      <w:r w:rsidR="00644F09" w:rsidRPr="00644F09">
        <w:rPr>
          <w:rFonts w:ascii="Verdana" w:eastAsia="Calibri" w:hAnsi="Verdana" w:cs="Arial"/>
          <w:lang w:val="es-ES" w:eastAsia="es-ES"/>
        </w:rPr>
        <w:t xml:space="preserve">para la contratación de obras o servicios asociadas a su </w:t>
      </w:r>
      <w:r w:rsidR="00644F09" w:rsidRPr="00BE10F3">
        <w:rPr>
          <w:rFonts w:ascii="Verdana" w:eastAsia="Calibri" w:hAnsi="Verdana" w:cs="Arial"/>
          <w:lang w:val="es-ES" w:eastAsia="es-ES"/>
        </w:rPr>
        <w:t>giro ordinario?</w:t>
      </w:r>
    </w:p>
    <w:p w14:paraId="38A74F57" w14:textId="77777777" w:rsidR="00176D2E" w:rsidRPr="00C91297" w:rsidRDefault="00176D2E" w:rsidP="00176D2E">
      <w:pPr>
        <w:snapToGrid w:val="0"/>
        <w:spacing w:after="0" w:line="276" w:lineRule="auto"/>
        <w:jc w:val="both"/>
        <w:rPr>
          <w:rFonts w:ascii="Verdana" w:eastAsia="Times New Roman" w:hAnsi="Verdana" w:cs="Century Gothic"/>
          <w:lang w:val="es-ES_tradnl"/>
        </w:rPr>
      </w:pPr>
    </w:p>
    <w:p w14:paraId="059B916E" w14:textId="77777777" w:rsidR="00176D2E" w:rsidRPr="00C91297" w:rsidRDefault="00176D2E" w:rsidP="00176D2E">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Respuesta:</w:t>
      </w:r>
    </w:p>
    <w:p w14:paraId="3C26CDC0" w14:textId="77777777" w:rsidR="00176D2E" w:rsidRPr="00C91297" w:rsidRDefault="00176D2E" w:rsidP="00176D2E">
      <w:pPr>
        <w:tabs>
          <w:tab w:val="left" w:pos="142"/>
          <w:tab w:val="left" w:pos="284"/>
        </w:tabs>
        <w:snapToGrid w:val="0"/>
        <w:spacing w:after="0" w:line="276" w:lineRule="auto"/>
        <w:jc w:val="both"/>
        <w:rPr>
          <w:rFonts w:ascii="Verdana" w:eastAsia="Times New Roman" w:hAnsi="Verdana" w:cs="Century Gothic"/>
          <w:b/>
          <w:bCs/>
          <w:lang w:val="es-ES_tradnl"/>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76D2E" w:rsidRPr="00C91297" w14:paraId="1DD55639" w14:textId="77777777" w:rsidTr="00881652">
        <w:tc>
          <w:tcPr>
            <w:tcW w:w="8828" w:type="dxa"/>
          </w:tcPr>
          <w:p w14:paraId="3020BD2D" w14:textId="77777777" w:rsidR="008F6336" w:rsidRPr="00A75D14" w:rsidRDefault="008F6336" w:rsidP="008F6336">
            <w:pPr>
              <w:snapToGrid w:val="0"/>
              <w:spacing w:line="276" w:lineRule="auto"/>
              <w:jc w:val="both"/>
              <w:rPr>
                <w:rFonts w:ascii="Verdana" w:eastAsia="Calibri" w:hAnsi="Verdana" w:cs="Arial"/>
                <w:lang w:val="es-ES" w:eastAsia="es-ES"/>
              </w:rPr>
            </w:pPr>
            <w:r w:rsidRPr="00A75D14">
              <w:rPr>
                <w:rFonts w:ascii="Verdana" w:eastAsia="Calibri" w:hAnsi="Verdana" w:cs="Arial"/>
                <w:lang w:val="es-ES" w:eastAsia="es-ES"/>
              </w:rPr>
              <w:t xml:space="preserve">Lo dispuesto en el parágrafo del artículo 56 de la Ley 2195 de 2022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eastAsia="Calibri" w:hAnsi="Verdana" w:cs="Arial"/>
                <w:i/>
                <w:lang w:val="es-ES" w:eastAsia="es-ES"/>
              </w:rPr>
              <w:t xml:space="preserve">giro ordinario </w:t>
            </w:r>
            <w:r w:rsidRPr="00A75D14">
              <w:rPr>
                <w:rFonts w:ascii="Verdana" w:eastAsia="Calibri" w:hAnsi="Verdana" w:cs="Arial"/>
                <w:lang w:val="es-ES" w:eastAsia="es-ES"/>
              </w:rPr>
              <w:t xml:space="preserve">de sus asuntos, salvo que los manuales internos de contratación de estas entidades dispongan la obligación de tener en cuenta los documentos tipo como una buena práctica contractual. En otras palabras, ninguna entidad cuya naturaleza jurídica coincida con las mencionadas en el parágrafo del artículo 56, tendrá que someterse de manera obligatoria a los documentos tipo o el EGCAP para la contratación de obras o servicios asociadas a su </w:t>
            </w:r>
            <w:r w:rsidRPr="00A75D14">
              <w:rPr>
                <w:rFonts w:ascii="Verdana" w:eastAsia="Calibri" w:hAnsi="Verdana" w:cs="Arial"/>
                <w:i/>
                <w:lang w:val="es-ES" w:eastAsia="es-ES"/>
              </w:rPr>
              <w:t>giro ordinario</w:t>
            </w:r>
            <w:r w:rsidRPr="00A75D14">
              <w:rPr>
                <w:rFonts w:ascii="Verdana" w:eastAsia="Calibri" w:hAnsi="Verdana" w:cs="Arial"/>
                <w:lang w:val="es-ES" w:eastAsia="es-ES"/>
              </w:rPr>
              <w:t xml:space="preserve">, a menos que su manual de contratación establezca lo contrario. </w:t>
            </w:r>
          </w:p>
          <w:p w14:paraId="7C4C9D41" w14:textId="77777777" w:rsidR="00304CA6" w:rsidRDefault="00304CA6" w:rsidP="00881652">
            <w:pPr>
              <w:autoSpaceDE w:val="0"/>
              <w:autoSpaceDN w:val="0"/>
              <w:adjustRightInd w:val="0"/>
              <w:spacing w:line="276" w:lineRule="auto"/>
              <w:contextualSpacing/>
              <w:jc w:val="both"/>
              <w:rPr>
                <w:rFonts w:ascii="Verdana" w:eastAsia="Calibri" w:hAnsi="Verdana" w:cs="Arial"/>
                <w:kern w:val="2"/>
                <w:lang w:val="es-ES"/>
              </w:rPr>
            </w:pPr>
          </w:p>
          <w:p w14:paraId="2A5B1BDA" w14:textId="381E0252" w:rsidR="00304CA6" w:rsidRDefault="00304CA6" w:rsidP="00881652">
            <w:pPr>
              <w:autoSpaceDE w:val="0"/>
              <w:autoSpaceDN w:val="0"/>
              <w:adjustRightInd w:val="0"/>
              <w:spacing w:line="276" w:lineRule="auto"/>
              <w:contextualSpacing/>
              <w:jc w:val="both"/>
              <w:rPr>
                <w:rFonts w:ascii="Verdana" w:eastAsia="Calibri" w:hAnsi="Verdana" w:cs="Arial"/>
                <w:kern w:val="2"/>
                <w:lang w:val="es-ES"/>
              </w:rPr>
            </w:pPr>
            <w:r w:rsidRPr="00A75D14">
              <w:rPr>
                <w:rFonts w:ascii="Verdana" w:eastAsia="Calibri" w:hAnsi="Verdana" w:cs="Arial"/>
                <w:lang w:val="es-ES" w:eastAsia="es-ES"/>
              </w:rPr>
              <w:t>Por otra parte, es importante señalar que la excepción del parágrafo en comento es de interpretación restrictiva y es clara en establecer cuáles son las entidades exceptuadas de la aplicación del artículo 56 de la Ley 2195 de 2022.</w:t>
            </w:r>
          </w:p>
          <w:p w14:paraId="788B94B8" w14:textId="77777777" w:rsidR="00176D2E" w:rsidRPr="00C91297" w:rsidRDefault="00176D2E" w:rsidP="00881652">
            <w:pPr>
              <w:snapToGrid w:val="0"/>
              <w:spacing w:after="160" w:line="276" w:lineRule="auto"/>
              <w:jc w:val="both"/>
              <w:rPr>
                <w:rFonts w:ascii="Verdana" w:hAnsi="Verdana" w:cs="Arial"/>
                <w:lang w:val="es-ES"/>
              </w:rPr>
            </w:pPr>
          </w:p>
        </w:tc>
      </w:tr>
    </w:tbl>
    <w:p w14:paraId="1C599A75" w14:textId="77777777" w:rsidR="00176D2E" w:rsidRPr="00C91297" w:rsidRDefault="00176D2E" w:rsidP="00176D2E">
      <w:pPr>
        <w:tabs>
          <w:tab w:val="left" w:pos="142"/>
          <w:tab w:val="left" w:pos="284"/>
        </w:tabs>
        <w:snapToGrid w:val="0"/>
        <w:spacing w:after="0" w:line="276" w:lineRule="auto"/>
        <w:jc w:val="both"/>
        <w:rPr>
          <w:rFonts w:ascii="Verdana" w:eastAsia="Times New Roman" w:hAnsi="Verdana" w:cs="Century Gothic"/>
          <w:b/>
          <w:bCs/>
          <w:lang w:val="es-ES_tradnl"/>
        </w:rPr>
      </w:pPr>
    </w:p>
    <w:p w14:paraId="34873480" w14:textId="77777777" w:rsidR="00176D2E" w:rsidRPr="00C91297" w:rsidRDefault="00176D2E" w:rsidP="00176D2E">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Razones de la respuesta:</w:t>
      </w:r>
    </w:p>
    <w:p w14:paraId="41F5DC9B" w14:textId="77777777" w:rsidR="00176D2E" w:rsidRPr="00C91297" w:rsidRDefault="00176D2E" w:rsidP="00176D2E">
      <w:pPr>
        <w:snapToGrid w:val="0"/>
        <w:spacing w:after="0" w:line="276" w:lineRule="auto"/>
        <w:jc w:val="both"/>
        <w:rPr>
          <w:rFonts w:ascii="Verdana" w:eastAsia="Times New Roman" w:hAnsi="Verdana" w:cs="Arial"/>
          <w:lang w:val="es-ES_tradnl"/>
        </w:rPr>
      </w:pPr>
    </w:p>
    <w:p w14:paraId="47C5C06D" w14:textId="77777777" w:rsidR="00176D2E" w:rsidRDefault="00176D2E" w:rsidP="00176D2E">
      <w:pPr>
        <w:pStyle w:val="Prrafodelista"/>
        <w:snapToGrid w:val="0"/>
        <w:spacing w:after="0" w:line="276" w:lineRule="auto"/>
        <w:ind w:left="709" w:right="709"/>
        <w:jc w:val="both"/>
        <w:rPr>
          <w:rFonts w:ascii="Verdana" w:eastAsia="Times New Roman" w:hAnsi="Verdana" w:cs="Arial"/>
          <w:sz w:val="20"/>
          <w:szCs w:val="20"/>
          <w:lang w:val="es-CO"/>
        </w:rPr>
      </w:pPr>
    </w:p>
    <w:p w14:paraId="08ED43C2" w14:textId="77777777" w:rsidR="00A9783E" w:rsidRPr="00A75D14" w:rsidRDefault="00A9783E" w:rsidP="00A9783E">
      <w:pPr>
        <w:snapToGrid w:val="0"/>
        <w:spacing w:after="0" w:line="276" w:lineRule="auto"/>
        <w:jc w:val="both"/>
        <w:rPr>
          <w:rFonts w:ascii="Verdana" w:eastAsia="Calibri" w:hAnsi="Verdana" w:cs="Arial"/>
          <w:lang w:val="es-ES"/>
        </w:rPr>
      </w:pPr>
      <w:r w:rsidRPr="00A75D14">
        <w:rPr>
          <w:rFonts w:ascii="Verdana" w:eastAsia="Calibri" w:hAnsi="Verdana" w:cs="Arial"/>
          <w:lang w:val="es-ES"/>
        </w:rPr>
        <w:t xml:space="preserve">Lo anterior se sustenta en las siguientes consideraciones: </w:t>
      </w:r>
    </w:p>
    <w:p w14:paraId="114D2B6B" w14:textId="77777777" w:rsidR="00A9783E" w:rsidRPr="00A75D14" w:rsidRDefault="00A9783E" w:rsidP="00A9783E">
      <w:pPr>
        <w:snapToGrid w:val="0"/>
        <w:spacing w:after="0" w:line="276" w:lineRule="auto"/>
        <w:jc w:val="both"/>
        <w:rPr>
          <w:rFonts w:ascii="Verdana" w:eastAsia="Calibri" w:hAnsi="Verdana" w:cs="Arial"/>
          <w:lang w:val="es-ES"/>
        </w:rPr>
      </w:pPr>
    </w:p>
    <w:p w14:paraId="5887555A" w14:textId="77777777" w:rsidR="00A9783E" w:rsidRPr="00A75D14" w:rsidRDefault="00A9783E" w:rsidP="00A9783E">
      <w:pPr>
        <w:numPr>
          <w:ilvl w:val="0"/>
          <w:numId w:val="20"/>
        </w:numPr>
        <w:tabs>
          <w:tab w:val="left" w:pos="0"/>
        </w:tabs>
        <w:snapToGrid w:val="0"/>
        <w:spacing w:after="0" w:line="276" w:lineRule="auto"/>
        <w:contextualSpacing/>
        <w:jc w:val="both"/>
        <w:rPr>
          <w:rFonts w:ascii="Verdana" w:eastAsia="Calibri" w:hAnsi="Verdana" w:cs="Arial"/>
          <w:bCs/>
          <w:kern w:val="2"/>
          <w:lang w:val="es-ES_tradnl" w:eastAsia="es-ES_tradnl"/>
          <w14:ligatures w14:val="standardContextual"/>
        </w:rPr>
      </w:pPr>
      <w:r w:rsidRPr="00A75D14">
        <w:rPr>
          <w:rFonts w:ascii="Verdana" w:eastAsia="Calibri" w:hAnsi="Verdana" w:cs="Arial"/>
          <w:color w:val="000000"/>
          <w:lang w:val="es-ES"/>
        </w:rPr>
        <w:t>El texto del artículo 56 de la Ley 2195 de 2022 aprobado por el Congreso de la República</w:t>
      </w:r>
      <w:r w:rsidRPr="00A75D14">
        <w:rPr>
          <w:rFonts w:ascii="Verdana" w:eastAsia="Calibri" w:hAnsi="Verdana" w:cs="Arial"/>
          <w:kern w:val="2"/>
          <w:lang w:val="es-ES_tradnl" w:eastAsia="es-ES_tradnl"/>
          <w14:ligatures w14:val="standardContextual"/>
        </w:rPr>
        <w:t xml:space="preserve"> en ambas cámaras</w:t>
      </w:r>
      <w:r w:rsidRPr="00A75D14">
        <w:rPr>
          <w:rFonts w:ascii="Aptos" w:eastAsia="Times New Roman" w:hAnsi="Aptos" w:cs="Times New Roman"/>
          <w:kern w:val="2"/>
          <w:sz w:val="24"/>
          <w:szCs w:val="24"/>
          <w:vertAlign w:val="superscript"/>
          <w:lang w:val="es-ES_tradnl" w:eastAsia="es-ES_tradnl"/>
          <w14:ligatures w14:val="standardContextual"/>
        </w:rPr>
        <w:footnoteReference w:id="2"/>
      </w:r>
      <w:r w:rsidRPr="00A75D14">
        <w:rPr>
          <w:rFonts w:ascii="Verdana" w:eastAsia="Calibri" w:hAnsi="Verdana" w:cs="Arial"/>
          <w:kern w:val="2"/>
          <w:lang w:val="es-ES_tradnl" w:eastAsia="es-ES_tradnl"/>
          <w14:ligatures w14:val="standardContextual"/>
        </w:rPr>
        <w:t>, prescribe una redacción en los siguientes términos:</w:t>
      </w:r>
      <w:r w:rsidRPr="00A75D14">
        <w:rPr>
          <w:rFonts w:ascii="Verdana" w:eastAsia="Calibri" w:hAnsi="Verdana" w:cs="Arial"/>
          <w:bCs/>
          <w:kern w:val="2"/>
          <w:lang w:val="es-ES_tradnl" w:eastAsia="es-ES_tradnl"/>
          <w14:ligatures w14:val="standardContextual"/>
        </w:rPr>
        <w:t xml:space="preserve"> </w:t>
      </w:r>
    </w:p>
    <w:p w14:paraId="5AE24159" w14:textId="77777777" w:rsidR="00A9783E" w:rsidRPr="00A75D14" w:rsidRDefault="00A9783E" w:rsidP="00A9783E">
      <w:p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p>
    <w:p w14:paraId="34F1E380" w14:textId="77777777" w:rsidR="00A9783E" w:rsidRPr="00A75D14" w:rsidRDefault="00A9783E" w:rsidP="00A9783E">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w:t>
      </w:r>
      <w:r w:rsidRPr="00A75D14">
        <w:rPr>
          <w:rFonts w:ascii="Verdana" w:eastAsia="Times New Roman" w:hAnsi="Verdana" w:cs="Arial"/>
          <w:kern w:val="2"/>
          <w:sz w:val="21"/>
          <w:szCs w:val="21"/>
          <w:lang w:val="es-ES_tradnl" w:eastAsia="es-ES_tradnl"/>
          <w14:ligatures w14:val="standardContextual"/>
        </w:rPr>
        <w:lastRenderedPageBreak/>
        <w:t xml:space="preserve">la Agencia Nacional de Contratación Pública - Colombia Compra Eficiente o quien haga sus veces, conforme al parágrafo 7 del artículo 2 de la Ley 1150 de 2007 o las normas que lo modifiquen o sustituyan. </w:t>
      </w:r>
    </w:p>
    <w:p w14:paraId="3EB17C1E" w14:textId="77777777" w:rsidR="00A9783E" w:rsidRPr="00A75D14" w:rsidRDefault="00A9783E" w:rsidP="00A9783E">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p>
    <w:p w14:paraId="39F363D7" w14:textId="77777777" w:rsidR="00A9783E" w:rsidRPr="00A75D14" w:rsidRDefault="00A9783E" w:rsidP="00A9783E">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949F9E2" w14:textId="77777777" w:rsidR="00A9783E" w:rsidRPr="00A75D14" w:rsidRDefault="00A9783E" w:rsidP="00A9783E">
      <w:pPr>
        <w:tabs>
          <w:tab w:val="left" w:pos="0"/>
        </w:tabs>
        <w:snapToGrid w:val="0"/>
        <w:spacing w:after="0" w:line="240" w:lineRule="auto"/>
        <w:ind w:left="709" w:right="709"/>
        <w:jc w:val="both"/>
        <w:rPr>
          <w:rFonts w:ascii="Verdana" w:eastAsia="Times New Roman" w:hAnsi="Verdana" w:cs="Arial"/>
          <w:kern w:val="2"/>
          <w:sz w:val="21"/>
          <w:szCs w:val="21"/>
          <w:lang w:val="es-ES_tradnl" w:eastAsia="es-ES_tradnl"/>
          <w14:ligatures w14:val="standardContextual"/>
        </w:rPr>
      </w:pPr>
    </w:p>
    <w:p w14:paraId="36043795" w14:textId="77777777" w:rsidR="00A9783E" w:rsidRPr="00A75D14" w:rsidRDefault="00A9783E" w:rsidP="00A9783E">
      <w:pPr>
        <w:snapToGrid w:val="0"/>
        <w:spacing w:after="0" w:line="240" w:lineRule="auto"/>
        <w:ind w:left="709" w:right="709"/>
        <w:jc w:val="both"/>
        <w:rPr>
          <w:rFonts w:ascii="Verdana" w:eastAsia="Times New Roman" w:hAnsi="Verdana" w:cs="Arial"/>
          <w:kern w:val="2"/>
          <w:sz w:val="21"/>
          <w:szCs w:val="21"/>
          <w:lang w:val="es-ES" w:eastAsia="es-ES"/>
          <w14:ligatures w14:val="standardContextual"/>
        </w:rPr>
      </w:pPr>
      <w:r w:rsidRPr="00A75D14">
        <w:rPr>
          <w:rFonts w:ascii="Verdana" w:eastAsia="Times New Roman" w:hAnsi="Verdana" w:cs="Arial"/>
          <w:kern w:val="2"/>
          <w:sz w:val="21"/>
          <w:szCs w:val="21"/>
          <w:lang w:val="es-ES" w:eastAsia="es-ES"/>
          <w14:ligatures w14:val="standardContextua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5AD518DB" w14:textId="77777777" w:rsidR="00A9783E" w:rsidRPr="00A75D14" w:rsidRDefault="00A9783E" w:rsidP="00A9783E">
      <w:pPr>
        <w:snapToGrid w:val="0"/>
        <w:spacing w:after="0" w:line="240" w:lineRule="auto"/>
        <w:ind w:left="709" w:right="709"/>
        <w:jc w:val="both"/>
        <w:rPr>
          <w:rFonts w:ascii="Verdana" w:eastAsia="Calibri" w:hAnsi="Verdana" w:cs="Arial"/>
          <w:kern w:val="2"/>
          <w:lang w:val="es-ES" w:eastAsia="es-ES"/>
          <w14:ligatures w14:val="standardContextual"/>
        </w:rPr>
      </w:pPr>
    </w:p>
    <w:p w14:paraId="3C277F92"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Es necesario precisar el alcance de lo dispuesto en los dos primeros incisos del artículo 56, de acuerdo con lo establecido en su parágrafo, el cual excluye de la aplicación de los primeros incisos del artículo 56, a cierto tipo de entidades, en lo relacionado con la contratación de su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Conforme se desprende del texto del referido parágrafo, se exceptúa de lo señalado en los dos primeros incisos a: i) las instituciones de educación superior públicas, </w:t>
      </w:r>
      <w:proofErr w:type="spellStart"/>
      <w:r w:rsidRPr="00A75D14">
        <w:rPr>
          <w:rFonts w:ascii="Verdana" w:eastAsia="Calibri" w:hAnsi="Verdana" w:cs="Arial"/>
          <w:kern w:val="2"/>
          <w:lang w:val="es-ES" w:eastAsia="es-ES"/>
          <w14:ligatures w14:val="standardContextual"/>
        </w:rPr>
        <w:t>ii</w:t>
      </w:r>
      <w:proofErr w:type="spellEnd"/>
      <w:r w:rsidRPr="00A75D14">
        <w:rPr>
          <w:rFonts w:ascii="Verdana" w:eastAsia="Calibri" w:hAnsi="Verdana" w:cs="Arial"/>
          <w:kern w:val="2"/>
          <w:lang w:val="es-ES" w:eastAsia="es-ES"/>
          <w14:ligatures w14:val="standardContextual"/>
        </w:rPr>
        <w:t xml:space="preserve">) las empresas sociales del Estado, </w:t>
      </w:r>
      <w:proofErr w:type="spellStart"/>
      <w:r w:rsidRPr="00A75D14">
        <w:rPr>
          <w:rFonts w:ascii="Verdana" w:eastAsia="Calibri" w:hAnsi="Verdana" w:cs="Arial"/>
          <w:kern w:val="2"/>
          <w:lang w:val="es-ES" w:eastAsia="es-ES"/>
          <w14:ligatures w14:val="standardContextual"/>
        </w:rPr>
        <w:t>iii</w:t>
      </w:r>
      <w:proofErr w:type="spellEnd"/>
      <w:r w:rsidRPr="00A75D14">
        <w:rPr>
          <w:rFonts w:ascii="Verdana" w:eastAsia="Calibri" w:hAnsi="Verdana" w:cs="Arial"/>
          <w:kern w:val="2"/>
          <w:lang w:val="es-ES" w:eastAsia="es-ES"/>
          <w14:ligatures w14:val="standardContextual"/>
        </w:rPr>
        <w:t xml:space="preserve">) las sociedades de economía mixta y </w:t>
      </w:r>
      <w:proofErr w:type="spellStart"/>
      <w:r w:rsidRPr="00A75D14">
        <w:rPr>
          <w:rFonts w:ascii="Verdana" w:eastAsia="Calibri" w:hAnsi="Verdana" w:cs="Arial"/>
          <w:kern w:val="2"/>
          <w:lang w:val="es-ES" w:eastAsia="es-ES"/>
          <w14:ligatures w14:val="standardContextual"/>
        </w:rPr>
        <w:t>iv</w:t>
      </w:r>
      <w:proofErr w:type="spellEnd"/>
      <w:r w:rsidRPr="00A75D14">
        <w:rPr>
          <w:rFonts w:ascii="Verdana" w:eastAsia="Calibri" w:hAnsi="Verdana" w:cs="Arial"/>
          <w:kern w:val="2"/>
          <w:lang w:val="es-ES" w:eastAsia="es-ES"/>
          <w14:ligatures w14:val="standardContextual"/>
        </w:rPr>
        <w:t xml:space="preserve">) las empresas industriales y comerciales del Estado, únicamente, en la contratación relacionada con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Esto significa que, en la contratación asociada a su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5255E119" w14:textId="77777777" w:rsidR="00A9783E" w:rsidRPr="00A75D14" w:rsidRDefault="00A9783E" w:rsidP="00A9783E">
      <w:pPr>
        <w:snapToGrid w:val="0"/>
        <w:spacing w:after="0" w:line="276" w:lineRule="auto"/>
        <w:ind w:left="720"/>
        <w:jc w:val="both"/>
        <w:rPr>
          <w:rFonts w:ascii="Verdana" w:eastAsia="Calibri" w:hAnsi="Verdana" w:cs="Arial"/>
          <w:kern w:val="2"/>
          <w:lang w:val="es-ES" w:eastAsia="es-ES"/>
          <w14:ligatures w14:val="standardContextual"/>
        </w:rPr>
      </w:pPr>
    </w:p>
    <w:p w14:paraId="43A96CD9" w14:textId="77777777" w:rsidR="00A9783E" w:rsidRPr="00A75D14" w:rsidRDefault="00A9783E" w:rsidP="00A9783E">
      <w:pPr>
        <w:numPr>
          <w:ilvl w:val="0"/>
          <w:numId w:val="19"/>
        </w:numPr>
        <w:tabs>
          <w:tab w:val="left" w:pos="0"/>
        </w:tabs>
        <w:snapToGrid w:val="0"/>
        <w:spacing w:after="0" w:line="276" w:lineRule="auto"/>
        <w:jc w:val="both"/>
        <w:rPr>
          <w:rFonts w:ascii="Verdana" w:eastAsia="Arial" w:hAnsi="Verdana" w:cs="Arial"/>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Ahora, es importante tener en cuenta que cuando la norma se refiere a la contratación del </w:t>
      </w:r>
      <w:r w:rsidRPr="00A75D14">
        <w:rPr>
          <w:rFonts w:ascii="Verdana" w:eastAsia="Calibri" w:hAnsi="Verdana" w:cs="Arial"/>
          <w:bCs/>
          <w:i/>
          <w:iCs/>
          <w:kern w:val="2"/>
          <w:lang w:val="es-ES_tradnl" w:eastAsia="es-ES_tradnl"/>
          <w14:ligatures w14:val="standardContextual"/>
        </w:rPr>
        <w:t>giro ordinario</w:t>
      </w:r>
      <w:r w:rsidRPr="00A75D14">
        <w:rPr>
          <w:rFonts w:ascii="Verdana" w:eastAsia="Calibri" w:hAnsi="Verdana" w:cs="Arial"/>
          <w:bCs/>
          <w:kern w:val="2"/>
          <w:lang w:val="es-ES_tradnl" w:eastAsia="es-ES_tradnl"/>
          <w14:ligatures w14:val="standardContextual"/>
        </w:rPr>
        <w:t>, emplea un concepto jurídico indeterminado</w:t>
      </w:r>
      <w:r w:rsidRPr="00A75D14">
        <w:rPr>
          <w:rFonts w:ascii="Verdana" w:eastAsia="Aptos" w:hAnsi="Verdana" w:cs="Times New Roman"/>
          <w:kern w:val="2"/>
          <w:vertAlign w:val="superscript"/>
          <w:lang w:val="es-ES_tradnl" w:eastAsia="es-ES_tradnl"/>
          <w14:ligatures w14:val="standardContextual"/>
        </w:rPr>
        <w:footnoteReference w:id="3"/>
      </w:r>
      <w:r w:rsidRPr="00A75D14">
        <w:rPr>
          <w:rFonts w:ascii="Verdana" w:eastAsia="Calibri" w:hAnsi="Verdana" w:cs="Arial"/>
          <w:bCs/>
          <w:kern w:val="2"/>
          <w:lang w:val="es-ES_tradnl" w:eastAsia="es-ES_tradnl"/>
          <w14:ligatures w14:val="standardContextual"/>
        </w:rPr>
        <w:t xml:space="preserve">. </w:t>
      </w:r>
      <w:r w:rsidRPr="00A75D14">
        <w:rPr>
          <w:rFonts w:ascii="Verdana" w:eastAsia="Arial" w:hAnsi="Verdana" w:cs="Arial"/>
          <w:kern w:val="2"/>
          <w:lang w:val="es-ES_tradnl" w:eastAsia="es-ES_tradnl"/>
          <w14:ligatures w14:val="standardContextual"/>
        </w:rPr>
        <w:t xml:space="preserve">Un concepto adquiere esta denominación en el Derecho </w:t>
      </w:r>
      <w:r w:rsidRPr="00A75D14">
        <w:rPr>
          <w:rFonts w:ascii="Verdana" w:eastAsia="Arial" w:hAnsi="Verdana" w:cs="Arial"/>
          <w:kern w:val="2"/>
          <w:lang w:val="es-ES_tradnl" w:eastAsia="es-ES_tradnl"/>
          <w14:ligatures w14:val="standardContextual"/>
        </w:rPr>
        <w:lastRenderedPageBreak/>
        <w:t xml:space="preserve">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55C1A8D5" w14:textId="77777777" w:rsidR="00A9783E" w:rsidRPr="00A75D14" w:rsidRDefault="00A9783E" w:rsidP="00A9783E">
      <w:pPr>
        <w:tabs>
          <w:tab w:val="left" w:pos="0"/>
        </w:tabs>
        <w:snapToGrid w:val="0"/>
        <w:spacing w:after="0" w:line="276" w:lineRule="auto"/>
        <w:jc w:val="both"/>
        <w:rPr>
          <w:rFonts w:ascii="Verdana" w:eastAsia="Arial" w:hAnsi="Verdana" w:cs="Arial"/>
          <w:kern w:val="2"/>
          <w:lang w:val="es-ES_tradnl" w:eastAsia="es-ES_tradnl"/>
          <w14:ligatures w14:val="standardContextual"/>
        </w:rPr>
      </w:pPr>
    </w:p>
    <w:p w14:paraId="0176D1B8" w14:textId="77777777" w:rsidR="00A9783E" w:rsidRPr="00A75D14" w:rsidRDefault="00A9783E" w:rsidP="00A9783E">
      <w:pPr>
        <w:numPr>
          <w:ilvl w:val="0"/>
          <w:numId w:val="19"/>
        </w:num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A75D14">
        <w:rPr>
          <w:rFonts w:ascii="Verdana" w:eastAsia="Calibri" w:hAnsi="Verdana" w:cs="Arial"/>
          <w:bCs/>
          <w:i/>
          <w:iCs/>
          <w:kern w:val="2"/>
          <w:lang w:val="es-ES_tradnl" w:eastAsia="es-ES_tradnl"/>
          <w14:ligatures w14:val="standardContextual"/>
        </w:rPr>
        <w:t xml:space="preserve">giro ordinario </w:t>
      </w:r>
      <w:r w:rsidRPr="00A75D14">
        <w:rPr>
          <w:rFonts w:ascii="Verdana" w:eastAsia="Calibri" w:hAnsi="Verdana" w:cs="Arial"/>
          <w:bCs/>
          <w:kern w:val="2"/>
          <w:lang w:val="es-ES_tradnl" w:eastAsia="es-ES_tradnl"/>
          <w14:ligatures w14:val="standardContextual"/>
        </w:rPr>
        <w:t>incluida en la redacción original del parágrafo 1 del artículo 32 de la Ley 80 de 1993</w:t>
      </w:r>
      <w:r w:rsidRPr="00A75D14">
        <w:rPr>
          <w:rFonts w:ascii="Verdana" w:eastAsia="Aptos" w:hAnsi="Verdana" w:cs="Times New Roman"/>
          <w:kern w:val="2"/>
          <w:vertAlign w:val="superscript"/>
          <w:lang w:val="es-ES_tradnl" w:eastAsia="es-ES_tradnl"/>
          <w14:ligatures w14:val="standardContextual"/>
        </w:rPr>
        <w:footnoteReference w:id="4"/>
      </w:r>
      <w:r w:rsidRPr="00A75D14">
        <w:rPr>
          <w:rFonts w:ascii="Verdana" w:eastAsia="Calibri" w:hAnsi="Verdana" w:cs="Arial"/>
          <w:bCs/>
          <w:kern w:val="2"/>
          <w:lang w:val="es-ES_tradnl" w:eastAsia="es-ES_tradnl"/>
          <w14:ligatures w14:val="standardContextual"/>
        </w:rPr>
        <w:t xml:space="preserve">, la Sección Tercera manifestó lo siguiente: </w:t>
      </w:r>
    </w:p>
    <w:p w14:paraId="46582742" w14:textId="77777777" w:rsidR="00A9783E" w:rsidRPr="00A75D14" w:rsidRDefault="00A9783E" w:rsidP="00A9783E">
      <w:pPr>
        <w:tabs>
          <w:tab w:val="left" w:pos="0"/>
        </w:tabs>
        <w:snapToGrid w:val="0"/>
        <w:spacing w:after="0" w:line="276" w:lineRule="auto"/>
        <w:ind w:left="720"/>
        <w:jc w:val="both"/>
        <w:rPr>
          <w:rFonts w:ascii="Verdana" w:eastAsia="Calibri" w:hAnsi="Verdana" w:cs="Arial"/>
          <w:bCs/>
          <w:kern w:val="2"/>
          <w:lang w:val="es-ES_tradnl" w:eastAsia="es-ES_tradnl"/>
          <w14:ligatures w14:val="standardContextual"/>
        </w:rPr>
      </w:pPr>
    </w:p>
    <w:p w14:paraId="3EE6D749" w14:textId="77777777" w:rsidR="00A9783E" w:rsidRPr="00A75D14" w:rsidRDefault="00A9783E" w:rsidP="00A9783E">
      <w:pPr>
        <w:snapToGrid w:val="0"/>
        <w:spacing w:after="0" w:line="240" w:lineRule="auto"/>
        <w:ind w:left="720" w:right="709"/>
        <w:jc w:val="both"/>
        <w:rPr>
          <w:rFonts w:ascii="Verdana" w:eastAsia="Times New Roman" w:hAnsi="Verdana" w:cs="Arial"/>
          <w:kern w:val="2"/>
          <w:sz w:val="21"/>
          <w:szCs w:val="21"/>
          <w:lang w:val="es-ES" w:eastAsia="es-CO"/>
          <w14:ligatures w14:val="standardContextual"/>
        </w:rPr>
      </w:pPr>
      <w:r w:rsidRPr="7790C891">
        <w:rPr>
          <w:rFonts w:ascii="Verdana" w:eastAsia="Times New Roman" w:hAnsi="Verdana" w:cs="Arial"/>
          <w:kern w:val="2"/>
          <w:sz w:val="21"/>
          <w:szCs w:val="21"/>
          <w:lang w:val="es-ES" w:eastAsia="es-ES"/>
          <w14:ligatures w14:val="standardContextua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7790C891">
        <w:rPr>
          <w:rFonts w:ascii="Verdana" w:eastAsia="Aptos" w:hAnsi="Verdana" w:cs="Times New Roman"/>
          <w:kern w:val="2"/>
          <w:sz w:val="21"/>
          <w:szCs w:val="21"/>
          <w:vertAlign w:val="superscript"/>
          <w:lang w:val="es-ES" w:eastAsia="es-ES"/>
          <w14:ligatures w14:val="standardContextual"/>
        </w:rPr>
        <w:footnoteReference w:id="5"/>
      </w:r>
      <w:r w:rsidRPr="7790C891">
        <w:rPr>
          <w:rFonts w:ascii="Verdana" w:eastAsia="Times New Roman" w:hAnsi="Verdana" w:cs="Arial"/>
          <w:kern w:val="2"/>
          <w:sz w:val="21"/>
          <w:szCs w:val="21"/>
          <w:lang w:val="es-ES" w:eastAsia="es-ES"/>
          <w14:ligatures w14:val="standardContextual"/>
        </w:rPr>
        <w:t>.</w:t>
      </w:r>
    </w:p>
    <w:p w14:paraId="38DDD553" w14:textId="77777777" w:rsidR="00A9783E" w:rsidRPr="00A75D14" w:rsidRDefault="00A9783E" w:rsidP="00A9783E">
      <w:pPr>
        <w:tabs>
          <w:tab w:val="left" w:pos="0"/>
        </w:tabs>
        <w:snapToGrid w:val="0"/>
        <w:spacing w:after="0" w:line="276" w:lineRule="auto"/>
        <w:ind w:left="720"/>
        <w:jc w:val="both"/>
        <w:rPr>
          <w:rFonts w:ascii="Verdana" w:eastAsia="Calibri" w:hAnsi="Verdana" w:cs="Arial"/>
          <w:bCs/>
          <w:i/>
          <w:iCs/>
          <w:kern w:val="2"/>
          <w:lang w:val="es-ES_tradnl" w:eastAsia="es-ES_tradnl"/>
          <w14:ligatures w14:val="standardContextual"/>
        </w:rPr>
      </w:pPr>
    </w:p>
    <w:p w14:paraId="314DA7C5" w14:textId="77777777" w:rsidR="00A9783E" w:rsidRPr="00A75D14" w:rsidRDefault="00A9783E" w:rsidP="00A9783E">
      <w:pPr>
        <w:numPr>
          <w:ilvl w:val="0"/>
          <w:numId w:val="19"/>
        </w:num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En el mismo sentido se pronunció el Alto Tribunal de lo Contencioso Administrativo, reiterando las anteriores consideraciones, al expresar que: </w:t>
      </w:r>
    </w:p>
    <w:p w14:paraId="0B2A0983" w14:textId="77777777" w:rsidR="00A9783E" w:rsidRPr="00A75D14" w:rsidRDefault="00A9783E" w:rsidP="00A9783E">
      <w:pPr>
        <w:tabs>
          <w:tab w:val="left" w:pos="0"/>
        </w:tabs>
        <w:snapToGrid w:val="0"/>
        <w:spacing w:after="0" w:line="276" w:lineRule="auto"/>
        <w:ind w:left="720" w:right="709"/>
        <w:jc w:val="both"/>
        <w:rPr>
          <w:rFonts w:ascii="Verdana" w:eastAsia="Calibri" w:hAnsi="Verdana" w:cs="Arial"/>
          <w:bCs/>
          <w:kern w:val="2"/>
          <w:lang w:val="es-ES_tradnl" w:eastAsia="es-ES_tradnl"/>
          <w14:ligatures w14:val="standardContextual"/>
        </w:rPr>
      </w:pPr>
    </w:p>
    <w:p w14:paraId="66BB8B01" w14:textId="77777777" w:rsidR="00A9783E" w:rsidRPr="00A75D14" w:rsidRDefault="00A9783E" w:rsidP="00A9783E">
      <w:pPr>
        <w:snapToGrid w:val="0"/>
        <w:spacing w:after="0" w:line="240" w:lineRule="auto"/>
        <w:ind w:left="720" w:right="709"/>
        <w:jc w:val="both"/>
        <w:rPr>
          <w:rFonts w:ascii="Verdana" w:eastAsia="Calibri" w:hAnsi="Verdana" w:cs="Arial"/>
          <w:kern w:val="2"/>
          <w:sz w:val="21"/>
          <w:szCs w:val="21"/>
          <w:lang w:val="es-ES" w:eastAsia="es-ES"/>
          <w14:ligatures w14:val="standardContextual"/>
        </w:rPr>
      </w:pPr>
      <w:r w:rsidRPr="00A75D14">
        <w:rPr>
          <w:rFonts w:ascii="Verdana" w:eastAsia="Calibri" w:hAnsi="Verdana" w:cs="Arial"/>
          <w:kern w:val="2"/>
          <w:sz w:val="21"/>
          <w:szCs w:val="21"/>
          <w:lang w:val="es-ES" w:eastAsia="es-ES"/>
          <w14:ligatures w14:val="standardContextua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43D089D8" w14:textId="77777777" w:rsidR="00A9783E" w:rsidRPr="00A75D14" w:rsidRDefault="00A9783E" w:rsidP="00A9783E">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p>
    <w:p w14:paraId="3244ED33" w14:textId="77777777" w:rsidR="00A9783E" w:rsidRPr="00A75D14" w:rsidRDefault="00A9783E" w:rsidP="00A9783E">
      <w:pPr>
        <w:snapToGrid w:val="0"/>
        <w:spacing w:after="0" w:line="240" w:lineRule="auto"/>
        <w:ind w:left="720" w:right="709"/>
        <w:jc w:val="both"/>
        <w:rPr>
          <w:rFonts w:ascii="Verdana" w:eastAsia="Calibri" w:hAnsi="Verdana" w:cs="Arial"/>
          <w:kern w:val="2"/>
          <w:sz w:val="21"/>
          <w:szCs w:val="21"/>
          <w:lang w:val="es-ES" w:eastAsia="es-ES"/>
          <w14:ligatures w14:val="standardContextual"/>
        </w:rPr>
      </w:pPr>
      <w:r w:rsidRPr="00A75D14">
        <w:rPr>
          <w:rFonts w:ascii="Verdana" w:eastAsia="Calibri" w:hAnsi="Verdana" w:cs="Arial"/>
          <w:kern w:val="2"/>
          <w:sz w:val="21"/>
          <w:szCs w:val="21"/>
          <w:lang w:val="es-ES" w:eastAsia="es-ES"/>
          <w14:ligatures w14:val="standardContextua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A75D14">
        <w:rPr>
          <w:rFonts w:ascii="Verdana" w:eastAsia="Calibri" w:hAnsi="Verdana" w:cs="Arial"/>
          <w:kern w:val="2"/>
          <w:sz w:val="21"/>
          <w:szCs w:val="21"/>
          <w:lang w:val="es-ES" w:eastAsia="es-ES"/>
          <w14:ligatures w14:val="standardContextual"/>
        </w:rPr>
        <w:t>Fonade</w:t>
      </w:r>
      <w:proofErr w:type="spellEnd"/>
      <w:r w:rsidRPr="00A75D14">
        <w:rPr>
          <w:rFonts w:ascii="Verdana" w:eastAsia="Calibri" w:hAnsi="Verdana" w:cs="Arial"/>
          <w:kern w:val="2"/>
          <w:sz w:val="21"/>
          <w:szCs w:val="21"/>
          <w:lang w:val="es-ES" w:eastAsia="es-ES"/>
          <w14:ligatures w14:val="standardContextua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194C8D2E" w14:textId="77777777" w:rsidR="00A9783E" w:rsidRPr="00A75D14" w:rsidRDefault="00A9783E" w:rsidP="00A9783E">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p>
    <w:p w14:paraId="28D0D469" w14:textId="77777777" w:rsidR="00A9783E" w:rsidRPr="00A75D14" w:rsidRDefault="00A9783E" w:rsidP="00A9783E">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r w:rsidRPr="00A75D14">
        <w:rPr>
          <w:rFonts w:ascii="Verdana" w:eastAsia="Calibri" w:hAnsi="Verdana" w:cs="Arial"/>
          <w:bCs/>
          <w:kern w:val="2"/>
          <w:sz w:val="21"/>
          <w:szCs w:val="21"/>
          <w:lang w:val="es-ES_tradnl" w:eastAsia="es-ES_tradnl"/>
          <w14:ligatures w14:val="standardContextua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A75D14">
        <w:rPr>
          <w:rFonts w:ascii="Verdana" w:eastAsia="Aptos" w:hAnsi="Verdana" w:cs="Times New Roman"/>
          <w:kern w:val="2"/>
          <w:sz w:val="21"/>
          <w:szCs w:val="21"/>
          <w:vertAlign w:val="superscript"/>
          <w:lang w:val="es-ES_tradnl" w:eastAsia="es-ES_tradnl"/>
          <w14:ligatures w14:val="standardContextual"/>
        </w:rPr>
        <w:footnoteReference w:id="6"/>
      </w:r>
      <w:r w:rsidRPr="00A75D14">
        <w:rPr>
          <w:rFonts w:ascii="Verdana" w:eastAsia="Calibri" w:hAnsi="Verdana" w:cs="Arial"/>
          <w:bCs/>
          <w:kern w:val="2"/>
          <w:sz w:val="21"/>
          <w:szCs w:val="21"/>
          <w:lang w:val="es-ES_tradnl" w:eastAsia="es-ES_tradnl"/>
          <w14:ligatures w14:val="standardContextual"/>
        </w:rPr>
        <w:t xml:space="preserve">. </w:t>
      </w:r>
    </w:p>
    <w:p w14:paraId="6E718A8C" w14:textId="77777777" w:rsidR="00A9783E" w:rsidRPr="00A75D14" w:rsidRDefault="00A9783E" w:rsidP="00A9783E">
      <w:pPr>
        <w:tabs>
          <w:tab w:val="left" w:pos="0"/>
        </w:tabs>
        <w:snapToGrid w:val="0"/>
        <w:spacing w:after="0" w:line="276" w:lineRule="auto"/>
        <w:ind w:left="720"/>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ab/>
      </w:r>
    </w:p>
    <w:p w14:paraId="14DD04DD"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7790C891">
        <w:rPr>
          <w:rFonts w:ascii="Verdana" w:eastAsia="Calibri" w:hAnsi="Verdana" w:cs="Arial"/>
          <w:kern w:val="2"/>
          <w:lang w:val="es-ES" w:eastAsia="es-ES"/>
          <w14:ligatures w14:val="standardContextual"/>
        </w:rPr>
        <w:lastRenderedPageBreak/>
        <w:t xml:space="preserve">Conforme con lo expresado en estas providencias, el </w:t>
      </w:r>
      <w:r w:rsidRPr="7790C891">
        <w:rPr>
          <w:rFonts w:ascii="Verdana" w:eastAsia="Calibri" w:hAnsi="Verdana" w:cs="Arial"/>
          <w:i/>
          <w:iCs/>
          <w:kern w:val="2"/>
          <w:lang w:val="es-ES" w:eastAsia="es-ES"/>
          <w14:ligatures w14:val="standardContextual"/>
        </w:rPr>
        <w:t xml:space="preserve">giro ordinario </w:t>
      </w:r>
      <w:r w:rsidRPr="7790C891">
        <w:rPr>
          <w:rFonts w:ascii="Verdana" w:eastAsia="Calibri" w:hAnsi="Verdana" w:cs="Arial"/>
          <w:kern w:val="2"/>
          <w:lang w:val="es-ES" w:eastAsia="es-ES"/>
          <w14:ligatures w14:val="standardContextua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7790C891">
        <w:rPr>
          <w:rFonts w:ascii="Verdana" w:eastAsia="Times New Roman" w:hAnsi="Verdana" w:cs="Arial"/>
          <w:kern w:val="2"/>
          <w:lang w:val="es-ES" w:eastAsia="es-ES"/>
          <w14:ligatures w14:val="standardContextual"/>
        </w:rPr>
        <w:t>s]e</w:t>
      </w:r>
      <w:r w:rsidRPr="7790C891">
        <w:rPr>
          <w:rFonts w:ascii="Verdana" w:eastAsia="Calibri" w:hAnsi="Verdana" w:cs="Arial"/>
          <w:kern w:val="2"/>
          <w:lang w:val="es-ES" w:eastAsia="es-ES"/>
          <w14:ligatures w14:val="standardContextua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7790C891">
        <w:rPr>
          <w:rFonts w:ascii="Verdana" w:eastAsia="Aptos" w:hAnsi="Verdana" w:cs="Times New Roman"/>
          <w:kern w:val="2"/>
          <w:vertAlign w:val="superscript"/>
          <w:lang w:val="es-ES" w:eastAsia="es-ES"/>
          <w14:ligatures w14:val="standardContextual"/>
        </w:rPr>
        <w:footnoteReference w:id="7"/>
      </w:r>
      <w:r w:rsidRPr="7790C891">
        <w:rPr>
          <w:rFonts w:ascii="Verdana" w:eastAsia="Calibri" w:hAnsi="Verdana" w:cs="Arial"/>
          <w:kern w:val="2"/>
          <w:lang w:val="es-ES" w:eastAsia="es-ES"/>
          <w14:ligatures w14:val="standardContextual"/>
        </w:rPr>
        <w:t xml:space="preserve">. </w:t>
      </w:r>
    </w:p>
    <w:p w14:paraId="7E104A41" w14:textId="77777777" w:rsidR="00A9783E" w:rsidRPr="00A75D14" w:rsidRDefault="00A9783E" w:rsidP="00A9783E">
      <w:pPr>
        <w:tabs>
          <w:tab w:val="left" w:pos="0"/>
        </w:tabs>
        <w:snapToGrid w:val="0"/>
        <w:spacing w:after="0" w:line="276" w:lineRule="auto"/>
        <w:ind w:left="720"/>
        <w:jc w:val="both"/>
        <w:rPr>
          <w:rFonts w:ascii="Verdana" w:eastAsia="Calibri" w:hAnsi="Verdana" w:cs="Arial"/>
          <w:bCs/>
          <w:kern w:val="2"/>
          <w:lang w:val="es-ES_tradnl" w:eastAsia="es-ES_tradnl"/>
          <w14:ligatures w14:val="standardContextual"/>
        </w:rPr>
      </w:pPr>
    </w:p>
    <w:p w14:paraId="51FD93C0" w14:textId="77777777" w:rsidR="00A9783E" w:rsidRPr="00A75D14" w:rsidRDefault="00A9783E" w:rsidP="00A9783E">
      <w:pPr>
        <w:numPr>
          <w:ilvl w:val="0"/>
          <w:numId w:val="19"/>
        </w:numPr>
        <w:tabs>
          <w:tab w:val="left" w:pos="0"/>
        </w:tabs>
        <w:snapToGrid w:val="0"/>
        <w:spacing w:after="0" w:line="276" w:lineRule="auto"/>
        <w:jc w:val="both"/>
        <w:rPr>
          <w:rFonts w:ascii="Verdana" w:eastAsia="Calibri" w:hAnsi="Verdana" w:cs="Arial"/>
          <w:bCs/>
          <w:kern w:val="2"/>
          <w:lang w:val="es-ES_tradnl" w:eastAsia="es-ES_tradnl"/>
          <w14:ligatures w14:val="standardContextual"/>
        </w:rPr>
      </w:pPr>
      <w:r w:rsidRPr="00A75D14">
        <w:rPr>
          <w:rFonts w:ascii="Verdana" w:eastAsia="Calibri" w:hAnsi="Verdana" w:cs="Arial"/>
          <w:bCs/>
          <w:kern w:val="2"/>
          <w:lang w:val="es-ES_tradnl" w:eastAsia="es-ES_tradnl"/>
          <w14:ligatures w14:val="standardContextual"/>
        </w:rPr>
        <w:t xml:space="preserve">De otra parte, la doctrina societaria también se ha encargado de definir el </w:t>
      </w:r>
      <w:r w:rsidRPr="00A75D14">
        <w:rPr>
          <w:rFonts w:ascii="Verdana" w:eastAsia="Calibri" w:hAnsi="Verdana" w:cs="Arial"/>
          <w:bCs/>
          <w:i/>
          <w:iCs/>
          <w:kern w:val="2"/>
          <w:lang w:val="es-ES_tradnl" w:eastAsia="es-ES_tradnl"/>
          <w14:ligatures w14:val="standardContextual"/>
        </w:rPr>
        <w:t>objeto social</w:t>
      </w:r>
      <w:r w:rsidRPr="00A75D14">
        <w:rPr>
          <w:rFonts w:ascii="Verdana" w:eastAsia="Calibri" w:hAnsi="Verdana" w:cs="Arial"/>
          <w:bCs/>
          <w:kern w:val="2"/>
          <w:lang w:val="es-ES_tradnl" w:eastAsia="es-ES_tradnl"/>
          <w14:ligatures w14:val="standardContextual"/>
        </w:rPr>
        <w:t xml:space="preserve">, así como su relación con el concepto de </w:t>
      </w:r>
      <w:r w:rsidRPr="00A75D14">
        <w:rPr>
          <w:rFonts w:ascii="Verdana" w:eastAsia="Calibri" w:hAnsi="Verdana" w:cs="Arial"/>
          <w:bCs/>
          <w:i/>
          <w:iCs/>
          <w:kern w:val="2"/>
          <w:lang w:val="es-ES_tradnl" w:eastAsia="es-ES_tradnl"/>
          <w14:ligatures w14:val="standardContextual"/>
        </w:rPr>
        <w:t>giro ordinario</w:t>
      </w:r>
      <w:r w:rsidRPr="00A75D14">
        <w:rPr>
          <w:rFonts w:ascii="Verdana" w:eastAsia="Calibri" w:hAnsi="Verdana" w:cs="Arial"/>
          <w:bCs/>
          <w:kern w:val="2"/>
          <w:lang w:val="es-ES_tradnl" w:eastAsia="es-ES_tradnl"/>
          <w14:ligatures w14:val="standardContextual"/>
        </w:rPr>
        <w:t>. Al respecto, la Superintendencia de Sociedades, citando doctrina autorizada en la materia, ha señalado:</w:t>
      </w:r>
    </w:p>
    <w:p w14:paraId="081A1B93" w14:textId="77777777" w:rsidR="00A9783E" w:rsidRPr="00A75D14" w:rsidRDefault="00A9783E" w:rsidP="00A9783E">
      <w:pPr>
        <w:tabs>
          <w:tab w:val="left" w:pos="0"/>
        </w:tabs>
        <w:snapToGrid w:val="0"/>
        <w:spacing w:after="0" w:line="240" w:lineRule="auto"/>
        <w:ind w:left="720"/>
        <w:jc w:val="both"/>
        <w:rPr>
          <w:rFonts w:ascii="Verdana" w:eastAsia="Calibri" w:hAnsi="Verdana" w:cs="Arial"/>
          <w:bCs/>
          <w:kern w:val="2"/>
          <w:sz w:val="21"/>
          <w:szCs w:val="21"/>
          <w:lang w:val="es-ES_tradnl" w:eastAsia="es-ES_tradnl"/>
          <w14:ligatures w14:val="standardContextual"/>
        </w:rPr>
      </w:pPr>
    </w:p>
    <w:p w14:paraId="6CA07C50" w14:textId="77777777" w:rsidR="00A9783E" w:rsidRPr="00A75D14" w:rsidRDefault="00A9783E" w:rsidP="00A9783E">
      <w:pPr>
        <w:snapToGrid w:val="0"/>
        <w:spacing w:after="0" w:line="240" w:lineRule="auto"/>
        <w:ind w:left="720" w:right="709"/>
        <w:jc w:val="both"/>
        <w:rPr>
          <w:rFonts w:ascii="Verdana" w:eastAsia="Times New Roman" w:hAnsi="Verdana" w:cs="Arial"/>
          <w:kern w:val="2"/>
          <w:sz w:val="21"/>
          <w:szCs w:val="21"/>
          <w:lang w:val="es-ES" w:eastAsia="es-ES"/>
          <w14:ligatures w14:val="standardContextual"/>
        </w:rPr>
      </w:pPr>
      <w:r w:rsidRPr="00A75D14">
        <w:rPr>
          <w:rFonts w:ascii="Verdana" w:eastAsia="Times New Roman" w:hAnsi="Verdana" w:cs="Arial"/>
          <w:kern w:val="2"/>
          <w:sz w:val="21"/>
          <w:szCs w:val="21"/>
          <w:lang w:val="es-ES" w:eastAsia="es-ES"/>
          <w14:ligatures w14:val="standardContextua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63CE05D1" w14:textId="77777777" w:rsidR="00A9783E" w:rsidRPr="00A75D14" w:rsidRDefault="00A9783E" w:rsidP="00A9783E">
      <w:pPr>
        <w:tabs>
          <w:tab w:val="left" w:pos="0"/>
        </w:tabs>
        <w:snapToGrid w:val="0"/>
        <w:spacing w:after="0" w:line="240" w:lineRule="auto"/>
        <w:ind w:left="720" w:right="709"/>
        <w:jc w:val="both"/>
        <w:rPr>
          <w:rFonts w:ascii="Verdana" w:eastAsia="Calibri" w:hAnsi="Verdana" w:cs="Arial"/>
          <w:bCs/>
          <w:kern w:val="2"/>
          <w:sz w:val="21"/>
          <w:szCs w:val="21"/>
          <w:lang w:val="es-ES_tradnl" w:eastAsia="es-ES_tradnl"/>
          <w14:ligatures w14:val="standardContextual"/>
        </w:rPr>
      </w:pPr>
      <w:r w:rsidRPr="00A75D14">
        <w:rPr>
          <w:rFonts w:ascii="Verdana" w:eastAsia="Times New Roman" w:hAnsi="Verdana" w:cs="Arial"/>
          <w:kern w:val="2"/>
          <w:sz w:val="21"/>
          <w:szCs w:val="21"/>
          <w:lang w:val="es-ES_tradnl" w:eastAsia="es-ES_tradnl"/>
          <w14:ligatures w14:val="standardContextual"/>
        </w:rPr>
        <w:t xml:space="preserve">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w:t>
      </w:r>
      <w:r w:rsidRPr="00A75D14">
        <w:rPr>
          <w:rFonts w:ascii="Verdana" w:eastAsia="Times New Roman" w:hAnsi="Verdana" w:cs="Arial"/>
          <w:kern w:val="2"/>
          <w:sz w:val="21"/>
          <w:szCs w:val="21"/>
          <w:lang w:val="es-ES_tradnl" w:eastAsia="es-ES_tradnl"/>
          <w14:ligatures w14:val="standardContextual"/>
        </w:rPr>
        <w:lastRenderedPageBreak/>
        <w:t>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A75D14">
        <w:rPr>
          <w:rFonts w:ascii="Verdana" w:eastAsia="Aptos" w:hAnsi="Verdana" w:cs="Times New Roman"/>
          <w:kern w:val="2"/>
          <w:sz w:val="21"/>
          <w:szCs w:val="21"/>
          <w:vertAlign w:val="superscript"/>
          <w:lang w:val="es-ES_tradnl" w:eastAsia="es-ES_tradnl"/>
          <w14:ligatures w14:val="standardContextual"/>
        </w:rPr>
        <w:footnoteReference w:id="8"/>
      </w:r>
      <w:r w:rsidRPr="00A75D14">
        <w:rPr>
          <w:rFonts w:ascii="Verdana" w:eastAsia="Times New Roman" w:hAnsi="Verdana" w:cs="Arial"/>
          <w:kern w:val="2"/>
          <w:sz w:val="21"/>
          <w:szCs w:val="21"/>
          <w:lang w:val="es-ES_tradnl" w:eastAsia="es-ES_tradnl"/>
          <w14:ligatures w14:val="standardContextual"/>
        </w:rPr>
        <w:t>.</w:t>
      </w:r>
    </w:p>
    <w:p w14:paraId="71C20D65" w14:textId="77777777" w:rsidR="00A9783E" w:rsidRPr="00A75D14" w:rsidRDefault="00A9783E" w:rsidP="00A9783E">
      <w:pPr>
        <w:tabs>
          <w:tab w:val="left" w:pos="0"/>
        </w:tabs>
        <w:snapToGrid w:val="0"/>
        <w:spacing w:after="0" w:line="276" w:lineRule="auto"/>
        <w:ind w:left="720"/>
        <w:jc w:val="both"/>
        <w:rPr>
          <w:rFonts w:ascii="Verdana" w:eastAsia="Calibri" w:hAnsi="Verdana" w:cs="Arial"/>
          <w:bCs/>
          <w:kern w:val="2"/>
          <w:lang w:val="es-ES_tradnl" w:eastAsia="es-ES_tradnl"/>
          <w14:ligatures w14:val="standardContextual"/>
        </w:rPr>
      </w:pPr>
    </w:p>
    <w:p w14:paraId="3C88E02A"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De acuerdo con estas consideraciones, no hay una plena equivalencia entre las </w:t>
      </w:r>
      <w:bookmarkStart w:id="1" w:name="_Hlk95322109"/>
      <w:r w:rsidRPr="00A75D14">
        <w:rPr>
          <w:rFonts w:ascii="Verdana" w:eastAsia="Calibri" w:hAnsi="Verdana" w:cs="Arial"/>
          <w:kern w:val="2"/>
          <w:lang w:val="es-ES" w:eastAsia="es-ES"/>
          <w14:ligatures w14:val="standardContextual"/>
        </w:rPr>
        <w:t xml:space="preserve">actividades que hacen parte del desarrollo del </w:t>
      </w:r>
      <w:r w:rsidRPr="00A75D14">
        <w:rPr>
          <w:rFonts w:ascii="Verdana" w:eastAsia="Calibri" w:hAnsi="Verdana" w:cs="Arial"/>
          <w:i/>
          <w:kern w:val="2"/>
          <w:lang w:val="es-ES" w:eastAsia="es-ES"/>
          <w14:ligatures w14:val="standardContextual"/>
        </w:rPr>
        <w:t>objeto social</w:t>
      </w:r>
      <w:r w:rsidRPr="00A75D14">
        <w:rPr>
          <w:rFonts w:ascii="Verdana" w:eastAsia="Calibri" w:hAnsi="Verdana" w:cs="Arial"/>
          <w:kern w:val="2"/>
          <w:lang w:val="es-ES" w:eastAsia="es-ES"/>
          <w14:ligatures w14:val="standardContextual"/>
        </w:rPr>
        <w:t xml:space="preserve"> y las que comprende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pues, como precisa la Superintendencia de Sociedades, entre lo que designan estas categorías existe una relación de género a especie. </w:t>
      </w:r>
    </w:p>
    <w:p w14:paraId="6A0C8A7D" w14:textId="77777777" w:rsidR="00A9783E" w:rsidRPr="00A75D14" w:rsidRDefault="00A9783E" w:rsidP="00A9783E">
      <w:pPr>
        <w:snapToGrid w:val="0"/>
        <w:spacing w:after="0" w:line="276" w:lineRule="auto"/>
        <w:ind w:left="720"/>
        <w:jc w:val="both"/>
        <w:rPr>
          <w:rFonts w:ascii="Verdana" w:eastAsia="Calibri" w:hAnsi="Verdana" w:cs="Arial"/>
          <w:kern w:val="2"/>
          <w:lang w:val="es-ES" w:eastAsia="es-ES"/>
          <w14:ligatures w14:val="standardContextual"/>
        </w:rPr>
      </w:pPr>
    </w:p>
    <w:p w14:paraId="7E29D870"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En relación con la aplicación de lo dispuesto en el parágrafo del artículo 56 de la Ley 2195 de 2022, conviene aclarar que, a juicio de esta Agencia, la expresión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en dicha norma se usa para designar a la contratación relacionada con los asuntos de la gestión habitual u ordinaria de los tipos de entidades mencionadas en el parágrafo. No obstante, la determinación de las actividades que comprenden el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es un asunto que se debe definir en cada caso concreto por parte de las entidades estatales –analizando lo establecido en sus actos de creación y verificando los negocios habituales u ordinarios que desarrollan–, pues el parágrafo del artículo 56 </w:t>
      </w:r>
      <w:proofErr w:type="spellStart"/>
      <w:r w:rsidRPr="00A75D14">
        <w:rPr>
          <w:rFonts w:ascii="Verdana" w:eastAsia="Calibri" w:hAnsi="Verdana" w:cs="Arial"/>
          <w:i/>
          <w:kern w:val="2"/>
          <w:lang w:val="es-ES" w:eastAsia="es-ES"/>
          <w14:ligatures w14:val="standardContextual"/>
        </w:rPr>
        <w:t>ejusdem</w:t>
      </w:r>
      <w:proofErr w:type="spellEnd"/>
      <w:r w:rsidRPr="00A75D14">
        <w:rPr>
          <w:rFonts w:ascii="Verdana" w:eastAsia="Calibri" w:hAnsi="Verdana" w:cs="Arial"/>
          <w:kern w:val="2"/>
          <w:lang w:val="es-ES" w:eastAsia="es-ES"/>
          <w14:ligatures w14:val="standardContextual"/>
        </w:rPr>
        <w:t xml:space="preserve"> se limita a enunciar algunos tipos de entidades estatales, las cuales no solo difieren en su naturaleza jurídica, sino también en las actividades que realizan. </w:t>
      </w:r>
    </w:p>
    <w:p w14:paraId="26614AA2" w14:textId="77777777" w:rsidR="00A9783E" w:rsidRPr="00A75D14" w:rsidRDefault="00A9783E" w:rsidP="00A9783E">
      <w:pPr>
        <w:snapToGrid w:val="0"/>
        <w:spacing w:after="0" w:line="276" w:lineRule="auto"/>
        <w:jc w:val="both"/>
        <w:rPr>
          <w:rFonts w:ascii="Verdana" w:eastAsia="Calibri" w:hAnsi="Verdana" w:cs="Arial"/>
          <w:kern w:val="2"/>
          <w:lang w:val="es-ES" w:eastAsia="es-ES"/>
          <w14:ligatures w14:val="standardContextual"/>
        </w:rPr>
      </w:pPr>
    </w:p>
    <w:p w14:paraId="7D78EBC2"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Por otra parte, es importante señalar que la excepción del parágrafo en comento es clara en establecer cuáles son las entidades exceptuadas de la aplicación del artículo 56 de la Ley 2195 de 2022. En ese sentido, la Agencia Nacional de Contratación Pública – Colombia Compra Eficiente, en sede consultiva, no puede establecer si otras entidades como los fondos mixtos se enmarcan en la aludida excepción, toda vez que este es </w:t>
      </w:r>
      <w:r w:rsidRPr="00A75D14">
        <w:rPr>
          <w:rFonts w:ascii="Verdana" w:eastAsia="Calibri" w:hAnsi="Verdana" w:cs="Arial"/>
          <w:kern w:val="2"/>
          <w:lang w:val="es-ES" w:eastAsia="es-ES"/>
          <w14:ligatures w14:val="standardContextual"/>
        </w:rPr>
        <w:lastRenderedPageBreak/>
        <w:t xml:space="preserve">un análisis que deberá realizarse en cada caso concreto, con el fin de i) determinar si la entidad puede catalogarse como una de aquellas definidas en el parágrafo y </w:t>
      </w:r>
      <w:proofErr w:type="spellStart"/>
      <w:r w:rsidRPr="00A75D14">
        <w:rPr>
          <w:rFonts w:ascii="Verdana" w:eastAsia="Calibri" w:hAnsi="Verdana" w:cs="Arial"/>
          <w:kern w:val="2"/>
          <w:lang w:val="es-ES" w:eastAsia="es-ES"/>
          <w14:ligatures w14:val="standardContextual"/>
        </w:rPr>
        <w:t>ii</w:t>
      </w:r>
      <w:proofErr w:type="spellEnd"/>
      <w:r w:rsidRPr="00A75D14">
        <w:rPr>
          <w:rFonts w:ascii="Verdana" w:eastAsia="Calibri" w:hAnsi="Verdana" w:cs="Arial"/>
          <w:kern w:val="2"/>
          <w:lang w:val="es-ES" w:eastAsia="es-ES"/>
          <w14:ligatures w14:val="standardContextual"/>
        </w:rPr>
        <w:t xml:space="preserve">) si el objeto a contratar se enmarca en el concepto de </w:t>
      </w:r>
      <w:r w:rsidRPr="00A75D14">
        <w:rPr>
          <w:rFonts w:ascii="Verdana" w:eastAsia="Calibri" w:hAnsi="Verdana" w:cs="Arial"/>
          <w:i/>
          <w:iCs/>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w:t>
      </w:r>
    </w:p>
    <w:p w14:paraId="22F9798C" w14:textId="77777777" w:rsidR="00A9783E" w:rsidRPr="00A75D14" w:rsidRDefault="00A9783E" w:rsidP="00A9783E">
      <w:pPr>
        <w:snapToGrid w:val="0"/>
        <w:spacing w:after="0" w:line="276" w:lineRule="auto"/>
        <w:jc w:val="both"/>
        <w:rPr>
          <w:rFonts w:ascii="Verdana" w:eastAsia="Calibri" w:hAnsi="Verdana" w:cs="Arial"/>
          <w:kern w:val="2"/>
          <w:lang w:val="es-ES" w:eastAsia="es-ES"/>
          <w14:ligatures w14:val="standardContextual"/>
        </w:rPr>
      </w:pPr>
    </w:p>
    <w:bookmarkEnd w:id="1"/>
    <w:p w14:paraId="57B8C44D"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00A75D14">
        <w:rPr>
          <w:rFonts w:ascii="Verdana" w:eastAsia="Calibri" w:hAnsi="Verdana" w:cs="Arial"/>
          <w:kern w:val="2"/>
          <w:lang w:val="es-ES" w:eastAsia="es-ES"/>
          <w14:ligatures w14:val="standardContextua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A75D14">
        <w:rPr>
          <w:rFonts w:ascii="Verdana" w:eastAsia="Calibri" w:hAnsi="Verdana" w:cs="Arial"/>
          <w:i/>
          <w:kern w:val="2"/>
          <w:lang w:val="es-ES" w:eastAsia="es-ES"/>
          <w14:ligatures w14:val="standardContextual"/>
        </w:rPr>
        <w:t xml:space="preserve">giro ordinario </w:t>
      </w:r>
      <w:r w:rsidRPr="00A75D14">
        <w:rPr>
          <w:rFonts w:ascii="Verdana" w:eastAsia="Calibri" w:hAnsi="Verdana" w:cs="Arial"/>
          <w:kern w:val="2"/>
          <w:lang w:val="es-ES" w:eastAsia="es-ES"/>
          <w14:ligatures w14:val="standardContextual"/>
        </w:rPr>
        <w:t xml:space="preserve">de sus asuntos, salvo que los manuales internos de contratación de estas entidades dispongan la obligación de tener en cuenta los documentos tipo como una buena práctica contractual. De acuerdo con este entendimiento, estas entidades,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A75D14">
        <w:rPr>
          <w:rFonts w:ascii="Verdana" w:eastAsia="Calibri" w:hAnsi="Verdana" w:cs="Arial"/>
          <w:i/>
          <w:kern w:val="2"/>
          <w:lang w:val="es-ES" w:eastAsia="es-ES"/>
          <w14:ligatures w14:val="standardContextual"/>
        </w:rPr>
        <w:t>su giro ordinario</w:t>
      </w:r>
      <w:r w:rsidRPr="00A75D14">
        <w:rPr>
          <w:rFonts w:ascii="Verdana" w:eastAsia="Calibri" w:hAnsi="Verdana" w:cs="Arial"/>
          <w:kern w:val="2"/>
          <w:lang w:val="es-ES" w:eastAsia="es-ES"/>
          <w14:ligatures w14:val="standardContextual"/>
        </w:rPr>
        <w:t xml:space="preserve">, entendido este conforme a los criterios jurisprudenciales y doctrinarios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A75D14">
        <w:rPr>
          <w:rFonts w:ascii="Verdana" w:eastAsia="Calibri" w:hAnsi="Verdana" w:cs="Arial"/>
          <w:i/>
          <w:kern w:val="2"/>
          <w:lang w:val="es-ES" w:eastAsia="es-ES"/>
          <w14:ligatures w14:val="standardContextual"/>
        </w:rPr>
        <w:t>giro ordinario</w:t>
      </w:r>
      <w:r w:rsidRPr="00A75D14">
        <w:rPr>
          <w:rFonts w:ascii="Verdana" w:eastAsia="Calibri" w:hAnsi="Verdana" w:cs="Arial"/>
          <w:kern w:val="2"/>
          <w:lang w:val="es-ES" w:eastAsia="es-ES"/>
          <w14:ligatures w14:val="standardContextual"/>
        </w:rPr>
        <w:t xml:space="preserve">, a menos que su manual de contratación establezca lo contrario. </w:t>
      </w:r>
    </w:p>
    <w:p w14:paraId="664FB302" w14:textId="77777777" w:rsidR="00A9783E" w:rsidRPr="00A75D14" w:rsidRDefault="00A9783E" w:rsidP="00A9783E">
      <w:pPr>
        <w:snapToGrid w:val="0"/>
        <w:spacing w:after="0" w:line="276" w:lineRule="auto"/>
        <w:ind w:left="720"/>
        <w:jc w:val="both"/>
        <w:rPr>
          <w:rFonts w:ascii="Verdana" w:eastAsia="Calibri" w:hAnsi="Verdana" w:cs="Arial"/>
          <w:kern w:val="2"/>
          <w:lang w:val="es-ES" w:eastAsia="es-ES"/>
          <w14:ligatures w14:val="standardContextual"/>
        </w:rPr>
      </w:pPr>
    </w:p>
    <w:p w14:paraId="1A93494B" w14:textId="77777777" w:rsidR="00A9783E" w:rsidRPr="00A75D14" w:rsidRDefault="00A9783E" w:rsidP="00A9783E">
      <w:pPr>
        <w:numPr>
          <w:ilvl w:val="0"/>
          <w:numId w:val="19"/>
        </w:numPr>
        <w:snapToGrid w:val="0"/>
        <w:spacing w:after="0" w:line="276" w:lineRule="auto"/>
        <w:jc w:val="both"/>
        <w:rPr>
          <w:rFonts w:ascii="Verdana" w:eastAsia="Calibri" w:hAnsi="Verdana" w:cs="Arial"/>
          <w:kern w:val="2"/>
          <w:lang w:val="es-ES" w:eastAsia="es-ES"/>
          <w14:ligatures w14:val="standardContextual"/>
        </w:rPr>
      </w:pPr>
      <w:r w:rsidRPr="7790C891">
        <w:rPr>
          <w:rFonts w:ascii="Verdana" w:eastAsia="Calibri" w:hAnsi="Verdana" w:cs="Arial"/>
          <w:kern w:val="2"/>
          <w:lang w:val="es-ES" w:eastAsia="es-ES"/>
          <w14:ligatures w14:val="standardContextual"/>
        </w:rPr>
        <w:t>Esta interpretación, a juicio de la Agencia, no solo se desprende de la literalidad del texto de la norma en comento, sino que además está en armonía con la voluntad del órgano legislativo. Al respecto se estima que, el Legislador, en materia de contratación estatal, goza de un amplio margen de configuración normativa, de conformidad con lo dispuesto en el inciso final del artículo 150 de la Constitución Política</w:t>
      </w:r>
      <w:r w:rsidRPr="7790C891">
        <w:rPr>
          <w:rFonts w:ascii="Verdana" w:eastAsia="Aptos" w:hAnsi="Verdana" w:cs="Times New Roman"/>
          <w:kern w:val="2"/>
          <w:vertAlign w:val="superscript"/>
          <w:lang w:val="es-ES" w:eastAsia="es-ES"/>
          <w14:ligatures w14:val="standardContextual"/>
        </w:rPr>
        <w:footnoteReference w:id="9"/>
      </w:r>
      <w:r w:rsidRPr="7790C891">
        <w:rPr>
          <w:rFonts w:ascii="Verdana" w:eastAsia="Calibri" w:hAnsi="Verdana" w:cs="Arial"/>
          <w:kern w:val="2"/>
          <w:lang w:val="es-ES" w:eastAsia="es-ES"/>
          <w14:ligatures w14:val="standardContextual"/>
        </w:rPr>
        <w:t xml:space="preserve">. En ese sentido, </w:t>
      </w:r>
      <w:r w:rsidRPr="7790C891">
        <w:rPr>
          <w:rFonts w:ascii="Verdana" w:eastAsia="Calibri" w:hAnsi="Verdana" w:cs="Arial"/>
          <w:kern w:val="2"/>
          <w:lang w:val="es-ES" w:eastAsia="es-ES"/>
          <w14:ligatures w14:val="standardContextual"/>
        </w:rPr>
        <w:lastRenderedPageBreak/>
        <w:t xml:space="preserve">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7790C891">
        <w:rPr>
          <w:rFonts w:ascii="Verdana" w:eastAsia="Calibri" w:hAnsi="Verdana" w:cs="Arial"/>
          <w:i/>
          <w:iCs/>
          <w:kern w:val="2"/>
          <w:lang w:val="es-ES" w:eastAsia="es-ES"/>
          <w14:ligatures w14:val="standardContextual"/>
        </w:rPr>
        <w:t>giro ordinario.</w:t>
      </w:r>
      <w:r w:rsidRPr="7790C891">
        <w:rPr>
          <w:rFonts w:ascii="Verdana" w:eastAsia="Calibri" w:hAnsi="Verdana" w:cs="Arial"/>
          <w:kern w:val="2"/>
          <w:lang w:val="es-ES" w:eastAsia="es-ES"/>
          <w14:ligatures w14:val="standardContextua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7790C891">
        <w:rPr>
          <w:rFonts w:ascii="Verdana" w:eastAsia="Aptos" w:hAnsi="Verdana" w:cs="Times New Roman"/>
          <w:kern w:val="2"/>
          <w:vertAlign w:val="superscript"/>
          <w:lang w:val="es-ES" w:eastAsia="es-ES"/>
          <w14:ligatures w14:val="standardContextual"/>
        </w:rPr>
        <w:footnoteReference w:id="10"/>
      </w:r>
      <w:r w:rsidRPr="7790C891">
        <w:rPr>
          <w:rFonts w:ascii="Verdana" w:eastAsia="Calibri" w:hAnsi="Verdana" w:cs="Arial"/>
          <w:kern w:val="2"/>
          <w:lang w:val="es-ES" w:eastAsia="es-ES"/>
          <w14:ligatures w14:val="standardContextual"/>
        </w:rPr>
        <w:t>.</w:t>
      </w:r>
    </w:p>
    <w:p w14:paraId="021404CE" w14:textId="77777777" w:rsidR="00A9783E" w:rsidRPr="00BE10F3" w:rsidRDefault="00A9783E" w:rsidP="00176D2E">
      <w:pPr>
        <w:pStyle w:val="Prrafodelista"/>
        <w:snapToGrid w:val="0"/>
        <w:spacing w:after="0" w:line="276" w:lineRule="auto"/>
        <w:ind w:left="709" w:right="709"/>
        <w:jc w:val="both"/>
        <w:rPr>
          <w:rFonts w:ascii="Verdana" w:eastAsia="Times New Roman" w:hAnsi="Verdana" w:cs="Arial"/>
          <w:sz w:val="20"/>
          <w:szCs w:val="20"/>
        </w:rPr>
      </w:pPr>
    </w:p>
    <w:p w14:paraId="0873E7CC" w14:textId="77777777" w:rsidR="00176D2E" w:rsidRDefault="00176D2E" w:rsidP="00176D2E">
      <w:pPr>
        <w:snapToGrid w:val="0"/>
        <w:spacing w:after="0" w:line="276" w:lineRule="auto"/>
        <w:jc w:val="both"/>
        <w:rPr>
          <w:rFonts w:ascii="Verdana" w:eastAsia="Times New Roman" w:hAnsi="Verdana" w:cs="Arial"/>
          <w:lang w:val="es-ES_tradnl"/>
        </w:rPr>
      </w:pPr>
    </w:p>
    <w:p w14:paraId="61903A8D" w14:textId="77777777" w:rsidR="00176D2E" w:rsidRPr="00C91297" w:rsidRDefault="00176D2E" w:rsidP="00176D2E">
      <w:pPr>
        <w:numPr>
          <w:ilvl w:val="0"/>
          <w:numId w:val="16"/>
        </w:numPr>
        <w:tabs>
          <w:tab w:val="left" w:pos="142"/>
          <w:tab w:val="left" w:pos="284"/>
        </w:tabs>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Referencias normativas, jurisprudenciales y otras fuentes:</w:t>
      </w:r>
    </w:p>
    <w:p w14:paraId="75230AF6" w14:textId="77777777" w:rsidR="00176D2E" w:rsidRPr="00C91297" w:rsidRDefault="00176D2E" w:rsidP="00176D2E">
      <w:pPr>
        <w:widowControl w:val="0"/>
        <w:autoSpaceDE w:val="0"/>
        <w:autoSpaceDN w:val="0"/>
        <w:spacing w:after="0" w:line="276" w:lineRule="auto"/>
        <w:jc w:val="both"/>
        <w:rPr>
          <w:rFonts w:ascii="Verdana" w:eastAsia="Times New Roman" w:hAnsi="Verdana" w:cs="Arial"/>
          <w:lang w:val="es-ES_tradnl"/>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176D2E" w:rsidRPr="00C91297" w14:paraId="74FF0EC3" w14:textId="77777777" w:rsidTr="00881652">
        <w:trPr>
          <w:trHeight w:val="870"/>
        </w:trPr>
        <w:tc>
          <w:tcPr>
            <w:tcW w:w="8647" w:type="dxa"/>
            <w:tcBorders>
              <w:top w:val="dotted" w:sz="4" w:space="0" w:color="auto"/>
              <w:bottom w:val="dotted" w:sz="4" w:space="0" w:color="auto"/>
            </w:tcBorders>
          </w:tcPr>
          <w:p w14:paraId="551F4A9C" w14:textId="77777777" w:rsidR="003C4325" w:rsidRPr="00A75D14" w:rsidRDefault="003C4325" w:rsidP="003C4325">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Constitución Política, artículo 150.</w:t>
            </w:r>
          </w:p>
          <w:p w14:paraId="2C7E273A" w14:textId="77777777" w:rsidR="003C4325" w:rsidRPr="00A75D14" w:rsidRDefault="003C4325" w:rsidP="003C4325">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t>Ley 2195 de 2022, artículo 56.</w:t>
            </w:r>
          </w:p>
          <w:p w14:paraId="7EB3ACC4" w14:textId="77777777" w:rsidR="003C4325" w:rsidRPr="00A75D14" w:rsidRDefault="003C4325" w:rsidP="003C4325">
            <w:pPr>
              <w:widowControl w:val="0"/>
              <w:numPr>
                <w:ilvl w:val="0"/>
                <w:numId w:val="17"/>
              </w:numPr>
              <w:autoSpaceDE w:val="0"/>
              <w:autoSpaceDN w:val="0"/>
              <w:spacing w:after="120" w:line="276" w:lineRule="auto"/>
              <w:jc w:val="both"/>
              <w:rPr>
                <w:rFonts w:ascii="Verdana" w:eastAsia="Calibri" w:hAnsi="Verdana" w:cs="Arial"/>
              </w:rPr>
            </w:pPr>
            <w:r w:rsidRPr="00A75D14">
              <w:rPr>
                <w:rFonts w:ascii="Verdana" w:eastAsia="Calibri" w:hAnsi="Verdana" w:cs="Arial"/>
              </w:rPr>
              <w:lastRenderedPageBreak/>
              <w:t xml:space="preserve">Consejo de Estado. Sección Tercera. Subsección B. Sentencia del 12 de octubre de 2011. </w:t>
            </w:r>
            <w:proofErr w:type="spellStart"/>
            <w:r w:rsidRPr="00A75D14">
              <w:rPr>
                <w:rFonts w:ascii="Verdana" w:eastAsia="Calibri" w:hAnsi="Verdana" w:cs="Arial"/>
              </w:rPr>
              <w:t>Exp</w:t>
            </w:r>
            <w:proofErr w:type="spellEnd"/>
            <w:r w:rsidRPr="00A75D14">
              <w:rPr>
                <w:rFonts w:ascii="Verdana" w:eastAsia="Calibri" w:hAnsi="Verdana" w:cs="Arial"/>
              </w:rPr>
              <w:t>. No. 20070. C.P. Danilo Rojas Betancourt.</w:t>
            </w:r>
          </w:p>
          <w:p w14:paraId="744422FC" w14:textId="3060C4DC" w:rsidR="00176D2E" w:rsidRPr="00C91297" w:rsidRDefault="003C4325" w:rsidP="00BE10F3">
            <w:pPr>
              <w:pStyle w:val="Prrafodelista"/>
              <w:numPr>
                <w:ilvl w:val="0"/>
                <w:numId w:val="17"/>
              </w:numPr>
              <w:rPr>
                <w:rFonts w:ascii="Verdana" w:hAnsi="Verdana" w:cs="Arial"/>
                <w:lang w:val="es-ES_tradnl"/>
              </w:rPr>
            </w:pPr>
            <w:r w:rsidRPr="00A75D14">
              <w:rPr>
                <w:rFonts w:ascii="Verdana" w:eastAsia="Calibri" w:hAnsi="Verdana" w:cs="Arial"/>
              </w:rPr>
              <w:t xml:space="preserve">Consejo de Estado. Sección Tercera. Subsección A. Sentencia del 3 de marzo de 2021. </w:t>
            </w:r>
            <w:proofErr w:type="spellStart"/>
            <w:r w:rsidRPr="00A75D14">
              <w:rPr>
                <w:rFonts w:ascii="Verdana" w:eastAsia="Calibri" w:hAnsi="Verdana" w:cs="Arial"/>
              </w:rPr>
              <w:t>Exp</w:t>
            </w:r>
            <w:proofErr w:type="spellEnd"/>
            <w:r w:rsidRPr="00A75D14">
              <w:rPr>
                <w:rFonts w:ascii="Verdana" w:eastAsia="Calibri" w:hAnsi="Verdana" w:cs="Arial"/>
              </w:rPr>
              <w:t>. No. 51373. C.P. José Roberto Sáchica Méndez.</w:t>
            </w:r>
          </w:p>
        </w:tc>
      </w:tr>
    </w:tbl>
    <w:p w14:paraId="77E63A5C" w14:textId="77777777" w:rsidR="00176D2E" w:rsidRPr="00C91297" w:rsidRDefault="00176D2E" w:rsidP="00176D2E">
      <w:pPr>
        <w:widowControl w:val="0"/>
        <w:autoSpaceDE w:val="0"/>
        <w:autoSpaceDN w:val="0"/>
        <w:snapToGrid w:val="0"/>
        <w:spacing w:after="0" w:line="276" w:lineRule="auto"/>
        <w:jc w:val="both"/>
        <w:rPr>
          <w:rFonts w:ascii="Verdana" w:eastAsia="Times New Roman" w:hAnsi="Verdana" w:cs="Arial"/>
          <w:lang w:val="es-ES_tradnl"/>
        </w:rPr>
      </w:pPr>
    </w:p>
    <w:p w14:paraId="5659CE70" w14:textId="77777777" w:rsidR="00176D2E" w:rsidRDefault="00176D2E" w:rsidP="00176D2E">
      <w:pPr>
        <w:numPr>
          <w:ilvl w:val="0"/>
          <w:numId w:val="16"/>
        </w:numPr>
        <w:tabs>
          <w:tab w:val="left" w:pos="142"/>
          <w:tab w:val="left" w:pos="284"/>
        </w:tabs>
        <w:snapToGrid w:val="0"/>
        <w:spacing w:after="0" w:line="276" w:lineRule="auto"/>
        <w:ind w:left="357" w:hanging="357"/>
        <w:jc w:val="both"/>
        <w:rPr>
          <w:rFonts w:ascii="Verdana" w:eastAsia="Times New Roman" w:hAnsi="Verdana" w:cs="Century Gothic"/>
          <w:b/>
          <w:bCs/>
          <w:lang w:val="es-ES_tradnl"/>
        </w:rPr>
      </w:pPr>
      <w:r w:rsidRPr="00C91297">
        <w:rPr>
          <w:rFonts w:ascii="Verdana" w:eastAsia="Times New Roman" w:hAnsi="Verdana" w:cs="Century Gothic"/>
          <w:b/>
          <w:bCs/>
          <w:lang w:val="es-ES_tradnl"/>
        </w:rPr>
        <w:t>Doctrina de la Agencia Nacional de Contratación Pública:</w:t>
      </w:r>
    </w:p>
    <w:p w14:paraId="4E5171A2" w14:textId="77777777" w:rsidR="00176D2E" w:rsidRDefault="00176D2E" w:rsidP="00176D2E">
      <w:pPr>
        <w:tabs>
          <w:tab w:val="left" w:pos="142"/>
          <w:tab w:val="left" w:pos="284"/>
        </w:tabs>
        <w:snapToGrid w:val="0"/>
        <w:spacing w:after="0" w:line="276" w:lineRule="auto"/>
        <w:jc w:val="both"/>
        <w:rPr>
          <w:rFonts w:ascii="Verdana" w:eastAsia="Times New Roman" w:hAnsi="Verdana" w:cs="Century Gothic"/>
          <w:b/>
          <w:bCs/>
          <w:lang w:val="es-ES_tradnl"/>
        </w:rPr>
      </w:pPr>
    </w:p>
    <w:p w14:paraId="096BD86E" w14:textId="77777777" w:rsidR="00794799" w:rsidRPr="00A75D14" w:rsidRDefault="00794799" w:rsidP="00794799">
      <w:pPr>
        <w:widowControl w:val="0"/>
        <w:autoSpaceDE w:val="0"/>
        <w:autoSpaceDN w:val="0"/>
        <w:spacing w:after="0" w:line="276" w:lineRule="auto"/>
        <w:jc w:val="both"/>
        <w:rPr>
          <w:rFonts w:ascii="Verdana" w:eastAsia="Calibri" w:hAnsi="Verdana" w:cs="Arial"/>
          <w:shd w:val="clear" w:color="auto" w:fill="FFFFFF"/>
          <w:lang w:val="es-ES"/>
        </w:rPr>
      </w:pPr>
      <w:r w:rsidRPr="00A75D14">
        <w:rPr>
          <w:rFonts w:ascii="Verdana" w:eastAsia="Calibri" w:hAnsi="Verdana" w:cs="Arial"/>
          <w:shd w:val="clear" w:color="auto" w:fill="FFFFFF"/>
          <w:lang w:val="es-ES"/>
        </w:rPr>
        <w:t>La Agencia Nacional de Contratación Pública – Colombia Compra Eficiente se ha pronunciado sobre el alcance del artículo 56 de la Ley 2195 de 2022, específicamente, a partir del concepto C-066 del 28 de enero de 2022, cuya tesis se desarrolló y complementó en varios conceptos, como el C-320 del 20 de mayo de 2022, C-333 del 24 de mayo de 2022, C-404 del 26 de mayo de 2023, C-341 del 27 de mayo de 2022, C-382 del 27 de mayo de 2022, C-388 del 15 de junio de 2022, C-423 del 5 de julio de 2022, C-435 del 6 de julio de 2023, C-453 del 15 de julio de 2022, C-449 del 25 de julio de 2022, C-494 del 26 de julio de 2022, C-488 del 29 de julio de 2022, C-483 del 5 de agosto de 2022, C-496 del 3 de agosto de 2022, C-501 del 29 de julio de 2022, C-556 del 3 de agosto de 2022 y C-532 del 22 de agosto de 2022, entre otros. El mismo tema ha sido estudiado por esta Subdirección en los conceptos C-486 del 2 de septiembre de 2022, C-671 del 19 de octubre de 2022, C-576 del 25 de octubre de 2022, C-042 del 29 de marzo de 2023, C-299 del 24 de julio de 2023, C-399 del 29 de septiembre de 2023, C-055 del 9 de mayo de 2024 y C-079 del 5 de junio de 2024. Es</w:t>
      </w:r>
      <w:r w:rsidRPr="00A75D14">
        <w:rPr>
          <w:rFonts w:ascii="Verdana" w:eastAsia="Calibri" w:hAnsi="Verdana" w:cs="Times New Roman"/>
        </w:rPr>
        <w:t>tos y otros conceptos se encuentran disponibles para consulta en el sistema de relatoría de la Agencia, al cual se puede acceder a través del siguiente enlace:</w:t>
      </w:r>
      <w:r w:rsidRPr="00A75D14">
        <w:rPr>
          <w:rFonts w:ascii="Verdana" w:eastAsia="Calibri" w:hAnsi="Verdana" w:cs="Arial"/>
          <w:shd w:val="clear" w:color="auto" w:fill="FFFFFF"/>
          <w:lang w:val="es-ES"/>
        </w:rPr>
        <w:t xml:space="preserve"> </w:t>
      </w:r>
      <w:hyperlink r:id="rId13" w:history="1">
        <w:r w:rsidRPr="00A75D14">
          <w:rPr>
            <w:rFonts w:ascii="Verdana" w:eastAsia="Calibri" w:hAnsi="Verdana" w:cs="Arial"/>
            <w:u w:val="single"/>
            <w:shd w:val="clear" w:color="auto" w:fill="FFFFFF"/>
            <w:lang w:val="es-ES"/>
          </w:rPr>
          <w:t>https://relatoria.colombiacompra.gov.co/busqueda/conceptos</w:t>
        </w:r>
      </w:hyperlink>
      <w:r w:rsidRPr="00A75D14">
        <w:rPr>
          <w:rFonts w:ascii="Verdana" w:eastAsia="Calibri" w:hAnsi="Verdana" w:cs="Arial"/>
          <w:shd w:val="clear" w:color="auto" w:fill="FFFFFF"/>
          <w:lang w:val="es-ES"/>
        </w:rPr>
        <w:t xml:space="preserve">. </w:t>
      </w:r>
    </w:p>
    <w:p w14:paraId="6832CBED" w14:textId="77777777" w:rsidR="00176D2E" w:rsidRPr="00BE10F3" w:rsidRDefault="00176D2E" w:rsidP="00176D2E">
      <w:pPr>
        <w:tabs>
          <w:tab w:val="left" w:pos="142"/>
          <w:tab w:val="left" w:pos="284"/>
        </w:tabs>
        <w:snapToGrid w:val="0"/>
        <w:spacing w:after="0" w:line="276" w:lineRule="auto"/>
        <w:jc w:val="both"/>
        <w:rPr>
          <w:rFonts w:ascii="Verdana" w:hAnsi="Verdana" w:cs="Arial"/>
          <w:color w:val="000000" w:themeColor="text1"/>
          <w:shd w:val="clear" w:color="auto" w:fill="FFFFFF"/>
          <w:lang w:val="es-ES"/>
        </w:rPr>
      </w:pPr>
    </w:p>
    <w:p w14:paraId="7FC63B94" w14:textId="77777777" w:rsidR="00176D2E" w:rsidRPr="00C56A6D" w:rsidRDefault="00176D2E" w:rsidP="00176D2E">
      <w:pPr>
        <w:tabs>
          <w:tab w:val="left" w:pos="142"/>
          <w:tab w:val="left" w:pos="284"/>
        </w:tabs>
        <w:snapToGrid w:val="0"/>
        <w:spacing w:after="0" w:line="276" w:lineRule="auto"/>
        <w:jc w:val="both"/>
        <w:rPr>
          <w:rFonts w:ascii="Verdana" w:hAnsi="Verdana" w:cs="Arial"/>
          <w:color w:val="FF0000"/>
          <w:shd w:val="clear" w:color="auto" w:fill="FFFFFF"/>
          <w:lang w:val="es-ES"/>
        </w:rPr>
      </w:pPr>
      <w:r w:rsidRPr="000F50D4">
        <w:rPr>
          <w:rFonts w:ascii="Verdana" w:hAnsi="Verdana" w:cs="Arial"/>
          <w:color w:val="000000" w:themeColor="text1"/>
          <w:shd w:val="clear" w:color="auto" w:fill="FFFFFF"/>
        </w:rPr>
        <w:t>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C56A6D">
          <w:rPr>
            <w:rStyle w:val="Hipervnculo"/>
            <w:rFonts w:ascii="Verdana" w:hAnsi="Verdana" w:cs="Arial"/>
            <w:shd w:val="clear" w:color="auto" w:fill="FFFFFF"/>
          </w:rPr>
          <w:t>https://www.colombiacompra.gov.co/sites/cce_public/files/files_2020/boletin_de_realtoria_iii.pdf</w:t>
        </w:r>
      </w:hyperlink>
    </w:p>
    <w:p w14:paraId="72E89FF6" w14:textId="77777777" w:rsidR="00176D2E" w:rsidRPr="006F741F" w:rsidRDefault="00176D2E" w:rsidP="00176D2E">
      <w:pPr>
        <w:tabs>
          <w:tab w:val="left" w:pos="142"/>
          <w:tab w:val="left" w:pos="284"/>
        </w:tabs>
        <w:snapToGrid w:val="0"/>
        <w:spacing w:after="0" w:line="276" w:lineRule="auto"/>
        <w:jc w:val="both"/>
        <w:rPr>
          <w:rFonts w:ascii="Verdana" w:eastAsia="Times New Roman" w:hAnsi="Verdana" w:cs="Century Gothic"/>
          <w:b/>
          <w:bCs/>
          <w:lang w:val="es-ES"/>
        </w:rPr>
      </w:pPr>
    </w:p>
    <w:p w14:paraId="614DA2AA" w14:textId="77777777" w:rsidR="00176D2E" w:rsidRPr="00C91297" w:rsidRDefault="00176D2E" w:rsidP="00176D2E">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t xml:space="preserve">Por último, los invitamos a seguirnos en las redes sociales, en las cuales se difunde información institucional: </w:t>
      </w:r>
    </w:p>
    <w:p w14:paraId="7A664F29" w14:textId="77777777" w:rsidR="00176D2E" w:rsidRPr="00C91297" w:rsidRDefault="00176D2E" w:rsidP="00176D2E">
      <w:pPr>
        <w:spacing w:after="0" w:line="240" w:lineRule="auto"/>
        <w:jc w:val="both"/>
        <w:rPr>
          <w:rFonts w:ascii="Verdana" w:eastAsia="Times New Roman" w:hAnsi="Verdana" w:cs="Times New Roman"/>
          <w:lang w:val="es-ES_tradnl"/>
        </w:rPr>
      </w:pPr>
    </w:p>
    <w:p w14:paraId="41F7DE51" w14:textId="77777777" w:rsidR="00176D2E" w:rsidRPr="00C91297" w:rsidRDefault="00176D2E" w:rsidP="00176D2E">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t xml:space="preserve">Twitter: </w:t>
      </w:r>
      <w:r w:rsidRPr="00C91297">
        <w:rPr>
          <w:rFonts w:ascii="Verdana" w:eastAsia="Times New Roman" w:hAnsi="Verdana" w:cs="Times New Roman"/>
          <w:u w:val="single"/>
          <w:lang w:val="es-ES_tradnl"/>
        </w:rPr>
        <w:t>@colombiacompra</w:t>
      </w:r>
      <w:r w:rsidRPr="00C91297">
        <w:rPr>
          <w:rFonts w:ascii="Verdana" w:eastAsia="Times New Roman" w:hAnsi="Verdana" w:cs="Times New Roman"/>
          <w:lang w:val="es-ES_tradnl"/>
        </w:rPr>
        <w:t xml:space="preserve"> </w:t>
      </w:r>
    </w:p>
    <w:p w14:paraId="5D189E2B" w14:textId="77777777" w:rsidR="00176D2E" w:rsidRPr="00C91297" w:rsidRDefault="00176D2E" w:rsidP="00176D2E">
      <w:pPr>
        <w:spacing w:after="0" w:line="240" w:lineRule="auto"/>
        <w:jc w:val="both"/>
        <w:rPr>
          <w:rFonts w:ascii="Verdana" w:eastAsia="Times New Roman" w:hAnsi="Verdana" w:cs="Times New Roman"/>
          <w:lang w:val="es-ES"/>
        </w:rPr>
      </w:pPr>
      <w:r w:rsidRPr="03EB96D0">
        <w:rPr>
          <w:rFonts w:ascii="Verdana" w:eastAsia="Times New Roman" w:hAnsi="Verdana" w:cs="Times New Roman"/>
          <w:lang w:val="es-ES"/>
        </w:rPr>
        <w:t xml:space="preserve">Facebook: </w:t>
      </w:r>
      <w:proofErr w:type="spellStart"/>
      <w:r w:rsidRPr="03EB96D0">
        <w:rPr>
          <w:rFonts w:ascii="Verdana" w:eastAsia="Times New Roman" w:hAnsi="Verdana" w:cs="Times New Roman"/>
          <w:u w:val="single"/>
          <w:lang w:val="es-ES"/>
        </w:rPr>
        <w:t>ColombiaCompraEficiente</w:t>
      </w:r>
      <w:proofErr w:type="spellEnd"/>
    </w:p>
    <w:p w14:paraId="1478C22C" w14:textId="77777777" w:rsidR="00176D2E" w:rsidRPr="00C91297" w:rsidRDefault="00176D2E" w:rsidP="00176D2E">
      <w:pPr>
        <w:spacing w:after="0" w:line="240" w:lineRule="auto"/>
        <w:jc w:val="both"/>
        <w:rPr>
          <w:rFonts w:ascii="Verdana" w:eastAsia="Times New Roman" w:hAnsi="Verdana" w:cs="Times New Roman"/>
          <w:lang w:val="es-ES_tradnl"/>
        </w:rPr>
      </w:pPr>
      <w:r w:rsidRPr="00C91297">
        <w:rPr>
          <w:rFonts w:ascii="Verdana" w:eastAsia="Times New Roman" w:hAnsi="Verdana" w:cs="Times New Roman"/>
          <w:lang w:val="es-ES_tradnl"/>
        </w:rPr>
        <w:lastRenderedPageBreak/>
        <w:t xml:space="preserve">LinkedIn: </w:t>
      </w:r>
      <w:r w:rsidRPr="00C91297">
        <w:rPr>
          <w:rFonts w:ascii="Verdana" w:eastAsia="Times New Roman" w:hAnsi="Verdana" w:cs="Times New Roman"/>
          <w:u w:val="single"/>
          <w:lang w:val="es-ES_tradnl"/>
        </w:rPr>
        <w:t>Agencia Nacional de Contratación Pública - Colombia Compra Eficiente</w:t>
      </w:r>
      <w:r w:rsidRPr="00C91297">
        <w:rPr>
          <w:rFonts w:ascii="Verdana" w:eastAsia="Times New Roman" w:hAnsi="Verdana" w:cs="Times New Roman"/>
          <w:lang w:val="es-ES_tradnl"/>
        </w:rPr>
        <w:t xml:space="preserve"> Instagram: </w:t>
      </w:r>
      <w:r w:rsidRPr="00C91297">
        <w:rPr>
          <w:rFonts w:ascii="Verdana" w:eastAsia="Times New Roman" w:hAnsi="Verdana" w:cs="Times New Roman"/>
          <w:u w:val="single"/>
          <w:lang w:val="es-ES_tradnl"/>
        </w:rPr>
        <w:t>@colombiacompraeficiente_cce</w:t>
      </w:r>
    </w:p>
    <w:p w14:paraId="77BDD0B2" w14:textId="77777777" w:rsidR="00176D2E" w:rsidRPr="00C91297" w:rsidRDefault="00176D2E" w:rsidP="00176D2E">
      <w:pPr>
        <w:widowControl w:val="0"/>
        <w:autoSpaceDE w:val="0"/>
        <w:autoSpaceDN w:val="0"/>
        <w:spacing w:after="0" w:line="276" w:lineRule="auto"/>
        <w:jc w:val="both"/>
        <w:rPr>
          <w:rFonts w:ascii="Verdana" w:eastAsia="Times New Roman" w:hAnsi="Verdana" w:cs="Arial"/>
          <w:lang w:val="es-ES_tradnl"/>
        </w:rPr>
      </w:pPr>
    </w:p>
    <w:p w14:paraId="47FC3E24" w14:textId="77777777" w:rsidR="00176D2E" w:rsidRPr="00C91297" w:rsidRDefault="00176D2E" w:rsidP="00176D2E">
      <w:pPr>
        <w:widowControl w:val="0"/>
        <w:autoSpaceDE w:val="0"/>
        <w:autoSpaceDN w:val="0"/>
        <w:spacing w:after="0" w:line="276" w:lineRule="auto"/>
        <w:jc w:val="both"/>
        <w:rPr>
          <w:rFonts w:ascii="Verdana" w:eastAsia="Times New Roman" w:hAnsi="Verdana" w:cs="Arial"/>
          <w:lang w:val="es-ES_tradnl"/>
        </w:rPr>
      </w:pPr>
      <w:r w:rsidRPr="00C91297">
        <w:rPr>
          <w:rFonts w:ascii="Verdana" w:eastAsia="Times New Roman"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2E8C01F" w14:textId="77777777" w:rsidR="00176D2E" w:rsidRPr="00C91297" w:rsidRDefault="00176D2E" w:rsidP="00176D2E">
      <w:pPr>
        <w:widowControl w:val="0"/>
        <w:autoSpaceDE w:val="0"/>
        <w:autoSpaceDN w:val="0"/>
        <w:spacing w:after="0" w:line="276" w:lineRule="auto"/>
        <w:jc w:val="both"/>
        <w:rPr>
          <w:rFonts w:ascii="Verdana" w:eastAsia="Times New Roman" w:hAnsi="Verdana" w:cs="Arial"/>
          <w:lang w:val="es-ES_tradnl"/>
        </w:rPr>
      </w:pPr>
    </w:p>
    <w:p w14:paraId="261F4552" w14:textId="77777777" w:rsidR="00176D2E" w:rsidRPr="00C91297" w:rsidRDefault="00176D2E" w:rsidP="00176D2E">
      <w:pPr>
        <w:widowControl w:val="0"/>
        <w:autoSpaceDE w:val="0"/>
        <w:autoSpaceDN w:val="0"/>
        <w:spacing w:after="0" w:line="276" w:lineRule="auto"/>
        <w:jc w:val="both"/>
        <w:rPr>
          <w:rFonts w:ascii="Verdana" w:eastAsia="Times New Roman" w:hAnsi="Verdana" w:cs="Arial"/>
          <w:lang w:val="es-ES_tradnl"/>
        </w:rPr>
      </w:pPr>
    </w:p>
    <w:p w14:paraId="18B32F63" w14:textId="77777777" w:rsidR="00176D2E" w:rsidRPr="00C91297" w:rsidRDefault="00176D2E" w:rsidP="00176D2E">
      <w:pPr>
        <w:spacing w:after="0" w:line="240" w:lineRule="auto"/>
        <w:rPr>
          <w:rFonts w:ascii="Verdana" w:eastAsia="Times New Roman" w:hAnsi="Verdana" w:cs="Arial"/>
          <w:lang w:eastAsia="es-CO"/>
        </w:rPr>
      </w:pPr>
      <w:r w:rsidRPr="00C91297">
        <w:rPr>
          <w:rFonts w:ascii="Verdana" w:eastAsia="Times New Roman" w:hAnsi="Verdana" w:cs="Arial"/>
          <w:lang w:eastAsia="es-CO"/>
        </w:rPr>
        <w:t xml:space="preserve">Atentamente, </w:t>
      </w:r>
    </w:p>
    <w:p w14:paraId="2D2D9F37" w14:textId="77777777" w:rsidR="00176D2E" w:rsidRPr="00C91297" w:rsidRDefault="00176D2E" w:rsidP="00176D2E">
      <w:pPr>
        <w:spacing w:line="276" w:lineRule="auto"/>
        <w:jc w:val="center"/>
        <w:rPr>
          <w:rFonts w:ascii="Verdana" w:eastAsia="Times New Roman" w:hAnsi="Verdana" w:cs="Arial"/>
          <w:lang w:val="es-ES_tradnl" w:eastAsia="es-CO"/>
        </w:rPr>
      </w:pPr>
    </w:p>
    <w:p w14:paraId="4A41C7F0" w14:textId="6A0CA081" w:rsidR="00176D2E" w:rsidRDefault="00176D2E" w:rsidP="00176D2E">
      <w:pPr>
        <w:jc w:val="center"/>
        <w:rPr>
          <w:lang w:val="es-ES_tradnl"/>
        </w:rPr>
      </w:pPr>
    </w:p>
    <w:p w14:paraId="58A01C8D" w14:textId="0F409DF8" w:rsidR="00176D2E" w:rsidRPr="007C6D4E" w:rsidRDefault="00AA4979" w:rsidP="00176D2E">
      <w:pPr>
        <w:jc w:val="center"/>
        <w:rPr>
          <w:lang w:val="es-ES_tradnl"/>
        </w:rPr>
      </w:pPr>
      <w:r>
        <w:rPr>
          <w:noProof/>
        </w:rPr>
        <w:drawing>
          <wp:inline distT="0" distB="0" distL="0" distR="0" wp14:anchorId="3CF8F362" wp14:editId="359DCA99">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76D2E" w:rsidRPr="007C6D4E" w14:paraId="4117E4FF" w14:textId="77777777" w:rsidTr="00881652">
        <w:trPr>
          <w:trHeight w:val="315"/>
        </w:trPr>
        <w:tc>
          <w:tcPr>
            <w:tcW w:w="893" w:type="dxa"/>
            <w:vAlign w:val="center"/>
            <w:hideMark/>
          </w:tcPr>
          <w:p w14:paraId="11742950" w14:textId="77777777" w:rsidR="00176D2E" w:rsidRPr="007C6D4E" w:rsidRDefault="00176D2E" w:rsidP="00881652">
            <w:pPr>
              <w:rPr>
                <w:rFonts w:ascii="Verdana" w:hAnsi="Verdana"/>
                <w:sz w:val="16"/>
                <w:szCs w:val="16"/>
                <w:lang w:val="es-ES"/>
              </w:rPr>
            </w:pPr>
            <w:r w:rsidRPr="007C6D4E">
              <w:rPr>
                <w:rFonts w:ascii="Verdana" w:hAnsi="Verdana"/>
                <w:sz w:val="16"/>
                <w:szCs w:val="16"/>
                <w:lang w:val="es-ES"/>
              </w:rPr>
              <w:t>Elaboró:</w:t>
            </w:r>
          </w:p>
        </w:tc>
        <w:tc>
          <w:tcPr>
            <w:tcW w:w="5628" w:type="dxa"/>
            <w:tcBorders>
              <w:top w:val="nil"/>
              <w:left w:val="nil"/>
              <w:bottom w:val="dotted" w:sz="4" w:space="0" w:color="7F7F7F"/>
              <w:right w:val="nil"/>
            </w:tcBorders>
            <w:vAlign w:val="center"/>
            <w:hideMark/>
          </w:tcPr>
          <w:p w14:paraId="30619E9B" w14:textId="77777777" w:rsidR="00176D2E" w:rsidRPr="007C6D4E" w:rsidRDefault="00176D2E" w:rsidP="00881652">
            <w:pPr>
              <w:rPr>
                <w:rFonts w:ascii="Verdana" w:hAnsi="Verdana"/>
                <w:sz w:val="16"/>
                <w:szCs w:val="16"/>
              </w:rPr>
            </w:pPr>
            <w:r w:rsidRPr="007C6D4E">
              <w:rPr>
                <w:rFonts w:ascii="Verdana" w:hAnsi="Verdana"/>
                <w:sz w:val="16"/>
                <w:szCs w:val="16"/>
              </w:rPr>
              <w:t xml:space="preserve">Héctor Luis Quiñones </w:t>
            </w:r>
            <w:proofErr w:type="spellStart"/>
            <w:r w:rsidRPr="007C6D4E">
              <w:rPr>
                <w:rFonts w:ascii="Verdana" w:hAnsi="Verdana"/>
                <w:sz w:val="16"/>
                <w:szCs w:val="16"/>
              </w:rPr>
              <w:t>Quiñones</w:t>
            </w:r>
            <w:proofErr w:type="spellEnd"/>
          </w:p>
          <w:p w14:paraId="2C0E7128" w14:textId="77777777" w:rsidR="00176D2E" w:rsidRPr="007C6D4E" w:rsidRDefault="00176D2E" w:rsidP="00881652">
            <w:pPr>
              <w:rPr>
                <w:rFonts w:ascii="Verdana" w:hAnsi="Verdana"/>
                <w:sz w:val="16"/>
                <w:szCs w:val="16"/>
              </w:rPr>
            </w:pPr>
            <w:r w:rsidRPr="007C6D4E">
              <w:rPr>
                <w:rFonts w:ascii="Verdana" w:hAnsi="Verdana"/>
                <w:sz w:val="16"/>
                <w:szCs w:val="16"/>
              </w:rPr>
              <w:t>Analista T2-02 de la Subdirección de Gestión Contractual</w:t>
            </w:r>
          </w:p>
        </w:tc>
      </w:tr>
      <w:tr w:rsidR="00176D2E" w:rsidRPr="007C6D4E" w14:paraId="045B957E" w14:textId="77777777" w:rsidTr="00881652">
        <w:trPr>
          <w:trHeight w:val="330"/>
        </w:trPr>
        <w:tc>
          <w:tcPr>
            <w:tcW w:w="893" w:type="dxa"/>
            <w:vAlign w:val="center"/>
            <w:hideMark/>
          </w:tcPr>
          <w:p w14:paraId="4CB8DFD4" w14:textId="77777777" w:rsidR="00176D2E" w:rsidRPr="007C6D4E" w:rsidRDefault="00176D2E" w:rsidP="00881652">
            <w:pPr>
              <w:rPr>
                <w:rFonts w:ascii="Verdana" w:hAnsi="Verdana"/>
                <w:sz w:val="16"/>
                <w:szCs w:val="16"/>
                <w:lang w:val="es-ES"/>
              </w:rPr>
            </w:pPr>
            <w:r w:rsidRPr="007C6D4E">
              <w:rPr>
                <w:rFonts w:ascii="Verdana" w:hAnsi="Verdana"/>
                <w:sz w:val="16"/>
                <w:szCs w:val="16"/>
                <w:lang w:val="es-ES"/>
              </w:rPr>
              <w:t>Revisó:</w:t>
            </w:r>
          </w:p>
        </w:tc>
        <w:tc>
          <w:tcPr>
            <w:tcW w:w="5628" w:type="dxa"/>
            <w:tcBorders>
              <w:top w:val="dotted" w:sz="4" w:space="0" w:color="7F7F7F"/>
              <w:left w:val="nil"/>
              <w:bottom w:val="dotted" w:sz="4" w:space="0" w:color="7F7F7F"/>
              <w:right w:val="nil"/>
            </w:tcBorders>
            <w:vAlign w:val="center"/>
            <w:hideMark/>
          </w:tcPr>
          <w:p w14:paraId="6B6FB602" w14:textId="77777777" w:rsidR="00176D2E" w:rsidRPr="007C6D4E" w:rsidRDefault="00176D2E" w:rsidP="00881652">
            <w:pPr>
              <w:rPr>
                <w:rFonts w:ascii="Verdana" w:hAnsi="Verdana"/>
                <w:sz w:val="16"/>
                <w:szCs w:val="16"/>
              </w:rPr>
            </w:pPr>
            <w:r w:rsidRPr="007C6D4E">
              <w:rPr>
                <w:rFonts w:ascii="Verdana" w:hAnsi="Verdana"/>
                <w:sz w:val="16"/>
                <w:szCs w:val="16"/>
              </w:rPr>
              <w:t xml:space="preserve">Martha Alicia Romero Vargas </w:t>
            </w:r>
          </w:p>
          <w:p w14:paraId="37A65D71" w14:textId="77777777" w:rsidR="00176D2E" w:rsidRPr="007C6D4E" w:rsidRDefault="00176D2E" w:rsidP="00881652">
            <w:pPr>
              <w:rPr>
                <w:rFonts w:ascii="Verdana" w:hAnsi="Verdana"/>
                <w:sz w:val="16"/>
                <w:szCs w:val="16"/>
              </w:rPr>
            </w:pPr>
            <w:r w:rsidRPr="007C6D4E">
              <w:rPr>
                <w:rFonts w:ascii="Verdana" w:hAnsi="Verdana"/>
                <w:sz w:val="16"/>
                <w:szCs w:val="16"/>
                <w:lang w:val="es-ES"/>
              </w:rPr>
              <w:t>Gestor T1- 15 de la Subdirección de Gestión Contractual</w:t>
            </w:r>
            <w:r w:rsidRPr="007C6D4E">
              <w:rPr>
                <w:rFonts w:ascii="Verdana" w:hAnsi="Verdana"/>
                <w:sz w:val="16"/>
                <w:szCs w:val="16"/>
              </w:rPr>
              <w:t> </w:t>
            </w:r>
          </w:p>
        </w:tc>
      </w:tr>
      <w:tr w:rsidR="00176D2E" w:rsidRPr="007C6D4E" w14:paraId="5371878D" w14:textId="77777777" w:rsidTr="00881652">
        <w:trPr>
          <w:trHeight w:val="300"/>
        </w:trPr>
        <w:tc>
          <w:tcPr>
            <w:tcW w:w="893" w:type="dxa"/>
            <w:vAlign w:val="center"/>
          </w:tcPr>
          <w:p w14:paraId="4882A34B" w14:textId="77777777" w:rsidR="00176D2E" w:rsidRPr="007C6D4E" w:rsidRDefault="00176D2E" w:rsidP="00881652">
            <w:pPr>
              <w:rPr>
                <w:rFonts w:ascii="Verdana" w:hAnsi="Verdana"/>
                <w:sz w:val="16"/>
                <w:szCs w:val="16"/>
                <w:lang w:val="es-ES"/>
              </w:rPr>
            </w:pPr>
            <w:r w:rsidRPr="007C6D4E">
              <w:rPr>
                <w:rFonts w:ascii="Verdana" w:hAnsi="Verdana"/>
                <w:sz w:val="16"/>
                <w:szCs w:val="16"/>
                <w:lang w:val="es-ES"/>
              </w:rPr>
              <w:t>Aprobó:</w:t>
            </w:r>
          </w:p>
        </w:tc>
        <w:tc>
          <w:tcPr>
            <w:tcW w:w="5628" w:type="dxa"/>
            <w:tcBorders>
              <w:top w:val="dotted" w:sz="4" w:space="0" w:color="7F7F7F"/>
              <w:left w:val="nil"/>
              <w:bottom w:val="dotted" w:sz="4" w:space="0" w:color="7F7F7F"/>
              <w:right w:val="nil"/>
            </w:tcBorders>
            <w:vAlign w:val="center"/>
          </w:tcPr>
          <w:p w14:paraId="56BF47A4" w14:textId="77777777" w:rsidR="00176D2E" w:rsidRPr="007C6D4E" w:rsidRDefault="00176D2E" w:rsidP="00881652">
            <w:pPr>
              <w:rPr>
                <w:rFonts w:ascii="Verdana" w:hAnsi="Verdana"/>
                <w:sz w:val="16"/>
                <w:szCs w:val="16"/>
                <w:lang w:val="pt-BR"/>
              </w:rPr>
            </w:pPr>
            <w:r w:rsidRPr="007C6D4E">
              <w:rPr>
                <w:rFonts w:ascii="Verdana" w:hAnsi="Verdana"/>
                <w:sz w:val="16"/>
                <w:szCs w:val="16"/>
                <w:lang w:val="pt-BR"/>
              </w:rPr>
              <w:t xml:space="preserve">Carolina Quintero </w:t>
            </w:r>
            <w:proofErr w:type="spellStart"/>
            <w:r w:rsidRPr="007C6D4E">
              <w:rPr>
                <w:rFonts w:ascii="Verdana" w:hAnsi="Verdana"/>
                <w:sz w:val="16"/>
                <w:szCs w:val="16"/>
                <w:lang w:val="pt-BR"/>
              </w:rPr>
              <w:t>Gacharná</w:t>
            </w:r>
            <w:proofErr w:type="spellEnd"/>
          </w:p>
          <w:p w14:paraId="032C3ECA" w14:textId="77777777" w:rsidR="00176D2E" w:rsidRPr="007C6D4E" w:rsidRDefault="00176D2E" w:rsidP="00881652">
            <w:pPr>
              <w:rPr>
                <w:rFonts w:ascii="Verdana" w:hAnsi="Verdana"/>
                <w:sz w:val="16"/>
                <w:szCs w:val="16"/>
                <w:lang w:val="pt-BR"/>
              </w:rPr>
            </w:pPr>
            <w:r w:rsidRPr="007C6D4E">
              <w:rPr>
                <w:rFonts w:ascii="Verdana" w:hAnsi="Verdana"/>
                <w:sz w:val="16"/>
                <w:szCs w:val="16"/>
              </w:rPr>
              <w:t>Subdirectora</w:t>
            </w:r>
            <w:r w:rsidRPr="007C6D4E">
              <w:rPr>
                <w:rFonts w:ascii="Verdana" w:hAnsi="Verdana"/>
                <w:sz w:val="16"/>
                <w:szCs w:val="16"/>
                <w:lang w:val="pt-BR"/>
              </w:rPr>
              <w:t xml:space="preserve"> de Gestión Contratual ANCP – CCE</w:t>
            </w:r>
          </w:p>
        </w:tc>
      </w:tr>
    </w:tbl>
    <w:p w14:paraId="456A0098" w14:textId="77777777" w:rsidR="00783603" w:rsidRPr="00EB0560" w:rsidRDefault="00783603" w:rsidP="00176D2E"/>
    <w:p w14:paraId="265C4F50" w14:textId="77777777" w:rsidR="00783603" w:rsidRDefault="00783603" w:rsidP="00E245AB">
      <w:pPr>
        <w:spacing w:after="0"/>
        <w:rPr>
          <w:rFonts w:ascii="Verdana" w:hAnsi="Verdana"/>
        </w:rPr>
      </w:pPr>
    </w:p>
    <w:p w14:paraId="349BB1CC" w14:textId="77777777" w:rsidR="00783603" w:rsidRDefault="00783603" w:rsidP="00E245AB">
      <w:pPr>
        <w:spacing w:after="0"/>
        <w:rPr>
          <w:rFonts w:ascii="Verdana" w:hAnsi="Verdana"/>
        </w:rPr>
      </w:pPr>
    </w:p>
    <w:p w14:paraId="58DCA016" w14:textId="77777777" w:rsidR="006550D9" w:rsidRDefault="006550D9" w:rsidP="00E245AB">
      <w:pPr>
        <w:spacing w:after="0"/>
        <w:rPr>
          <w:rFonts w:ascii="Verdana" w:hAnsi="Verdana"/>
        </w:rPr>
      </w:pPr>
    </w:p>
    <w:bookmarkEnd w:id="0"/>
    <w:sectPr w:rsidR="006550D9"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5578" w14:textId="77777777" w:rsidR="003A26D1" w:rsidRDefault="003A26D1" w:rsidP="004A1847">
      <w:pPr>
        <w:spacing w:after="0" w:line="240" w:lineRule="auto"/>
      </w:pPr>
      <w:r>
        <w:separator/>
      </w:r>
    </w:p>
  </w:endnote>
  <w:endnote w:type="continuationSeparator" w:id="0">
    <w:p w14:paraId="58A8EB32" w14:textId="77777777" w:rsidR="003A26D1" w:rsidRDefault="003A26D1" w:rsidP="004A1847">
      <w:pPr>
        <w:spacing w:after="0" w:line="240" w:lineRule="auto"/>
      </w:pPr>
      <w:r>
        <w:continuationSeparator/>
      </w:r>
    </w:p>
  </w:endnote>
  <w:endnote w:type="continuationNotice" w:id="1">
    <w:p w14:paraId="22074057" w14:textId="77777777" w:rsidR="00E70AB4" w:rsidRDefault="00E70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E5B0" w14:textId="77777777" w:rsidR="003A26D1" w:rsidRDefault="003A26D1" w:rsidP="004A1847">
      <w:pPr>
        <w:spacing w:after="0" w:line="240" w:lineRule="auto"/>
      </w:pPr>
      <w:r>
        <w:separator/>
      </w:r>
    </w:p>
  </w:footnote>
  <w:footnote w:type="continuationSeparator" w:id="0">
    <w:p w14:paraId="46EE451E" w14:textId="77777777" w:rsidR="003A26D1" w:rsidRDefault="003A26D1" w:rsidP="004A1847">
      <w:pPr>
        <w:spacing w:after="0" w:line="240" w:lineRule="auto"/>
      </w:pPr>
      <w:r>
        <w:continuationSeparator/>
      </w:r>
    </w:p>
  </w:footnote>
  <w:footnote w:type="continuationNotice" w:id="1">
    <w:p w14:paraId="16D65CFE" w14:textId="77777777" w:rsidR="00E70AB4" w:rsidRDefault="00E70AB4">
      <w:pPr>
        <w:spacing w:after="0" w:line="240" w:lineRule="auto"/>
      </w:pPr>
    </w:p>
  </w:footnote>
  <w:footnote w:id="2">
    <w:p w14:paraId="1F6F7580" w14:textId="77777777" w:rsidR="00A9783E" w:rsidRPr="00743AC5" w:rsidRDefault="00A9783E" w:rsidP="00A9783E">
      <w:pPr>
        <w:pStyle w:val="Textonotapie"/>
        <w:ind w:firstLine="708"/>
        <w:jc w:val="both"/>
        <w:rPr>
          <w:rFonts w:ascii="Verdana" w:hAnsi="Verdana" w:cs="Arial"/>
          <w:sz w:val="18"/>
          <w:szCs w:val="18"/>
        </w:rPr>
      </w:pPr>
    </w:p>
    <w:p w14:paraId="11FB6C45" w14:textId="77777777" w:rsidR="00A9783E" w:rsidRPr="00743AC5" w:rsidRDefault="00A9783E" w:rsidP="00A9783E">
      <w:pPr>
        <w:pStyle w:val="Textonotapie"/>
        <w:ind w:firstLine="708"/>
        <w:jc w:val="both"/>
        <w:rPr>
          <w:rFonts w:ascii="Verdana" w:hAnsi="Verdana" w:cs="Arial"/>
          <w:sz w:val="18"/>
          <w:szCs w:val="18"/>
          <w:lang w:val="es-CO"/>
        </w:rPr>
      </w:pPr>
      <w:r w:rsidRPr="00743AC5">
        <w:rPr>
          <w:rStyle w:val="Refdenotaalpie"/>
          <w:rFonts w:ascii="Verdana" w:hAnsi="Verdana" w:cs="Arial"/>
          <w:sz w:val="18"/>
          <w:szCs w:val="18"/>
        </w:rPr>
        <w:footnoteRef/>
      </w:r>
      <w:r w:rsidRPr="00743AC5">
        <w:rPr>
          <w:rFonts w:ascii="Verdana" w:hAnsi="Verdana" w:cs="Arial"/>
          <w:sz w:val="18"/>
          <w:szCs w:val="18"/>
        </w:rPr>
        <w:t xml:space="preserve"> CONGRESO DE LA REPÚBLICA. Gacetas</w:t>
      </w:r>
      <w:r w:rsidRPr="00743AC5">
        <w:rPr>
          <w:rFonts w:ascii="Verdana" w:hAnsi="Verdana" w:cs="Arial"/>
          <w:sz w:val="18"/>
          <w:szCs w:val="18"/>
          <w:lang w:val="es-CO"/>
        </w:rPr>
        <w:t xml:space="preserve"> legislativas No. 1860 y 1861 de 2021, de Cámara de Representantes y Senado, respectivamente.</w:t>
      </w:r>
    </w:p>
  </w:footnote>
  <w:footnote w:id="3">
    <w:p w14:paraId="75755274" w14:textId="77777777" w:rsidR="00A9783E" w:rsidRPr="00743AC5" w:rsidRDefault="00A9783E" w:rsidP="00A9783E">
      <w:pPr>
        <w:pStyle w:val="Textonotapie"/>
        <w:ind w:firstLine="709"/>
        <w:jc w:val="both"/>
        <w:rPr>
          <w:rFonts w:ascii="Verdana" w:hAnsi="Verdana" w:cs="Arial"/>
          <w:sz w:val="18"/>
          <w:szCs w:val="18"/>
        </w:rPr>
      </w:pPr>
      <w:r w:rsidRPr="00743AC5">
        <w:rPr>
          <w:rStyle w:val="Refdenotaalpie"/>
          <w:rFonts w:ascii="Verdana" w:hAnsi="Verdana" w:cs="Arial"/>
          <w:sz w:val="18"/>
          <w:szCs w:val="18"/>
        </w:rPr>
        <w:footnoteRef/>
      </w:r>
      <w:r w:rsidRPr="00743AC5">
        <w:rPr>
          <w:rFonts w:ascii="Verdana" w:hAnsi="Verdana" w:cs="Arial"/>
          <w:sz w:val="18"/>
          <w:szCs w:val="18"/>
        </w:rPr>
        <w:t xml:space="preserve"> </w:t>
      </w:r>
      <w:r w:rsidRPr="00743AC5">
        <w:rPr>
          <w:rFonts w:ascii="Verdana" w:hAnsi="Verdana" w:cs="Arial"/>
          <w:color w:val="000000"/>
          <w:sz w:val="18"/>
          <w:szCs w:val="18"/>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4">
    <w:p w14:paraId="30E91F9B"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La redacción original del parágrafo primero del artículo 32 de la Ley 80 de 1993, incluía la expresión </w:t>
      </w:r>
      <w:r w:rsidRPr="00743AC5">
        <w:rPr>
          <w:rFonts w:ascii="Verdana" w:hAnsi="Verdana" w:cs="Arial"/>
          <w:i/>
          <w:iCs/>
          <w:color w:val="000000"/>
          <w:sz w:val="18"/>
          <w:szCs w:val="18"/>
        </w:rPr>
        <w:t>giro ordinario</w:t>
      </w:r>
      <w:r w:rsidRPr="00743AC5">
        <w:rPr>
          <w:rFonts w:ascii="Verdana" w:hAnsi="Verdana" w:cs="Arial"/>
          <w:color w:val="000000"/>
          <w:sz w:val="18"/>
          <w:szCs w:val="18"/>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743AC5">
        <w:rPr>
          <w:rFonts w:ascii="Verdana" w:hAnsi="Verdana" w:cs="Arial"/>
          <w:i/>
          <w:iCs/>
          <w:color w:val="000000"/>
          <w:sz w:val="18"/>
          <w:szCs w:val="18"/>
        </w:rPr>
        <w:t>al giro ordinario de las actividades propias de su objeto social,</w:t>
      </w:r>
      <w:r w:rsidRPr="00743AC5">
        <w:rPr>
          <w:rFonts w:ascii="Verdana" w:hAnsi="Verdana" w:cs="Arial"/>
          <w:color w:val="000000"/>
          <w:sz w:val="18"/>
          <w:szCs w:val="18"/>
        </w:rPr>
        <w:t xml:space="preserve"> no estarán sujetos a las disposiciones del presente estatuto y se regirán por las disposiciones legales y reglamentarias aplicables a dichas actividades” [Énfasis fuera de texto].</w:t>
      </w:r>
    </w:p>
    <w:p w14:paraId="7A6E53B3" w14:textId="77777777" w:rsidR="00A9783E" w:rsidRPr="00743AC5" w:rsidRDefault="00A9783E" w:rsidP="00A9783E">
      <w:pPr>
        <w:pStyle w:val="Textonotapie"/>
        <w:ind w:firstLine="709"/>
        <w:jc w:val="both"/>
        <w:rPr>
          <w:rFonts w:ascii="Verdana" w:hAnsi="Verdana" w:cs="Arial"/>
          <w:color w:val="000000"/>
          <w:sz w:val="18"/>
          <w:szCs w:val="18"/>
        </w:rPr>
      </w:pPr>
    </w:p>
  </w:footnote>
  <w:footnote w:id="5">
    <w:p w14:paraId="758DE46C"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Consejo de Estado. Sección Tercera. Subsección B. Sentencia del 12 de octubre de 2011. Exp. No. 20070. C.P. Danilo Rojas Betancourt.</w:t>
      </w:r>
    </w:p>
    <w:p w14:paraId="5F8100BD" w14:textId="77777777" w:rsidR="00A9783E" w:rsidRPr="00743AC5" w:rsidRDefault="00A9783E" w:rsidP="00A9783E">
      <w:pPr>
        <w:pStyle w:val="Textonotapie"/>
        <w:ind w:firstLine="709"/>
        <w:jc w:val="both"/>
        <w:rPr>
          <w:rFonts w:ascii="Verdana" w:hAnsi="Verdana" w:cs="Arial"/>
          <w:color w:val="000000"/>
          <w:sz w:val="18"/>
          <w:szCs w:val="18"/>
          <w:lang w:val="es-ES"/>
        </w:rPr>
      </w:pPr>
    </w:p>
  </w:footnote>
  <w:footnote w:id="6">
    <w:p w14:paraId="73063616" w14:textId="77777777" w:rsidR="00A9783E" w:rsidRPr="00743AC5" w:rsidRDefault="00A9783E" w:rsidP="00A9783E">
      <w:pPr>
        <w:spacing w:line="240" w:lineRule="auto"/>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Consejo de Estado. Sección Tercera. Subsección A. Sentencia del 3 de marzo de 2021. Exp. No. 51373. C.P. José Roberto Sáchica Méndez.</w:t>
      </w:r>
    </w:p>
    <w:p w14:paraId="5055EB9E" w14:textId="77777777" w:rsidR="00A9783E" w:rsidRPr="00743AC5" w:rsidRDefault="00A9783E" w:rsidP="00A9783E">
      <w:pPr>
        <w:spacing w:line="240" w:lineRule="auto"/>
        <w:ind w:firstLine="709"/>
        <w:jc w:val="both"/>
        <w:rPr>
          <w:rFonts w:ascii="Verdana" w:hAnsi="Verdana" w:cs="Arial"/>
          <w:color w:val="000000"/>
          <w:sz w:val="18"/>
          <w:szCs w:val="18"/>
        </w:rPr>
      </w:pPr>
      <w:r w:rsidRPr="00743AC5">
        <w:rPr>
          <w:rFonts w:ascii="Verdana" w:hAnsi="Verdana" w:cs="Arial"/>
          <w:color w:val="000000"/>
          <w:sz w:val="18"/>
          <w:szCs w:val="18"/>
        </w:rPr>
        <w:t xml:space="preserve"> </w:t>
      </w:r>
    </w:p>
  </w:footnote>
  <w:footnote w:id="7">
    <w:p w14:paraId="0B3CEF88"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BBDF3CC" w14:textId="77777777" w:rsidR="00A9783E" w:rsidRPr="00743AC5" w:rsidRDefault="00A9783E" w:rsidP="00A9783E">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8">
    <w:p w14:paraId="013EA637" w14:textId="77777777" w:rsidR="00A9783E" w:rsidRPr="00743AC5" w:rsidRDefault="00A9783E" w:rsidP="00A9783E">
      <w:pPr>
        <w:pStyle w:val="Textonotapie"/>
        <w:ind w:firstLine="709"/>
        <w:jc w:val="both"/>
        <w:rPr>
          <w:rFonts w:ascii="Verdana" w:hAnsi="Verdana" w:cs="Arial"/>
          <w:color w:val="000000"/>
          <w:sz w:val="18"/>
          <w:szCs w:val="18"/>
        </w:rPr>
      </w:pPr>
    </w:p>
    <w:p w14:paraId="5B7B3BEF"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Superintendencia de Sociedades. Oficio 220-014111 del 18 de febrero de 2015. Consultado el 4 de junio de 2024 en: </w:t>
      </w:r>
      <w:hyperlink r:id="rId1" w:history="1">
        <w:r w:rsidRPr="00743AC5">
          <w:rPr>
            <w:rStyle w:val="Hipervnculo"/>
            <w:rFonts w:ascii="Verdana" w:hAnsi="Verdana" w:cs="Arial"/>
            <w:sz w:val="18"/>
            <w:szCs w:val="18"/>
          </w:rPr>
          <w: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w:t>
        </w:r>
      </w:hyperlink>
      <w:r w:rsidRPr="00743AC5">
        <w:rPr>
          <w:rFonts w:ascii="Verdana" w:hAnsi="Verdana" w:cs="Arial"/>
          <w:color w:val="000000"/>
          <w:sz w:val="18"/>
          <w:szCs w:val="18"/>
        </w:rPr>
        <w:t xml:space="preserve"> </w:t>
      </w:r>
    </w:p>
  </w:footnote>
  <w:footnote w:id="9">
    <w:p w14:paraId="21B72342"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color w:val="000000"/>
          <w:sz w:val="18"/>
          <w:szCs w:val="18"/>
        </w:rPr>
        <w:t xml:space="preserve"> Al respecto ha señalado la Corte Constitucional: “En relación con el ámbito de configuración del legislador en materia contractual la jurisprudencia constitucional ha señalado los siguientes criterios:</w:t>
      </w:r>
    </w:p>
    <w:p w14:paraId="09D05B58" w14:textId="77777777" w:rsidR="00A9783E" w:rsidRPr="00743AC5" w:rsidRDefault="00A9783E" w:rsidP="00A9783E">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w:t>
      </w:r>
    </w:p>
    <w:p w14:paraId="194CF392" w14:textId="77777777" w:rsidR="00A9783E" w:rsidRPr="00743AC5" w:rsidRDefault="00A9783E" w:rsidP="00A9783E">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w:t>
      </w:r>
    </w:p>
    <w:p w14:paraId="3828EF26" w14:textId="77777777" w:rsidR="00A9783E" w:rsidRPr="00743AC5" w:rsidRDefault="00A9783E" w:rsidP="00A9783E">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156B46BF" w14:textId="77777777" w:rsidR="00A9783E" w:rsidRPr="00743AC5" w:rsidRDefault="00A9783E" w:rsidP="00A9783E">
      <w:pPr>
        <w:pStyle w:val="Textonotapie"/>
        <w:ind w:firstLine="709"/>
        <w:jc w:val="both"/>
        <w:rPr>
          <w:rFonts w:ascii="Verdana" w:hAnsi="Verdana" w:cs="Arial"/>
          <w:color w:val="000000"/>
          <w:sz w:val="18"/>
          <w:szCs w:val="18"/>
        </w:rPr>
      </w:pPr>
      <w:r w:rsidRPr="00743AC5">
        <w:rPr>
          <w:rFonts w:ascii="Verdana" w:hAnsi="Verdana" w:cs="Arial"/>
          <w:color w:val="000000"/>
          <w:sz w:val="18"/>
          <w:szCs w:val="18"/>
        </w:rPr>
        <w:t xml:space="preserve"> </w:t>
      </w:r>
    </w:p>
  </w:footnote>
  <w:footnote w:id="10">
    <w:p w14:paraId="4F85BADE" w14:textId="77777777" w:rsidR="00A9783E" w:rsidRPr="00743AC5" w:rsidRDefault="00A9783E" w:rsidP="00A9783E">
      <w:pPr>
        <w:pStyle w:val="Textonotapie"/>
        <w:ind w:firstLine="709"/>
        <w:jc w:val="both"/>
        <w:rPr>
          <w:rFonts w:ascii="Verdana" w:hAnsi="Verdana" w:cs="Arial"/>
          <w:color w:val="000000"/>
          <w:sz w:val="18"/>
          <w:szCs w:val="18"/>
        </w:rPr>
      </w:pPr>
      <w:r w:rsidRPr="00743AC5">
        <w:rPr>
          <w:rStyle w:val="Refdenotaalpie"/>
          <w:rFonts w:ascii="Verdana" w:hAnsi="Verdana" w:cs="Arial"/>
          <w:sz w:val="18"/>
          <w:szCs w:val="18"/>
        </w:rPr>
        <w:footnoteRef/>
      </w:r>
      <w:r w:rsidRPr="00743AC5">
        <w:rPr>
          <w:rFonts w:ascii="Verdana" w:hAnsi="Verdana" w:cs="Arial"/>
          <w:sz w:val="18"/>
          <w:szCs w:val="18"/>
        </w:rPr>
        <w:t xml:space="preserve"> </w:t>
      </w:r>
      <w:r w:rsidRPr="00743AC5">
        <w:rPr>
          <w:rFonts w:ascii="Verdana" w:hAnsi="Verdana" w:cs="Arial"/>
          <w:color w:val="000000"/>
          <w:sz w:val="18"/>
          <w:szCs w:val="18"/>
        </w:rPr>
        <w:t>Consejo de Estado. Sección Tercera. Subsección A. Sentencia del 24 de junio de 2015. Exp. 40.635. Consejero Ponente: Hernán Andrade Rincón (E).</w:t>
      </w:r>
    </w:p>
    <w:p w14:paraId="585EBA4D" w14:textId="77777777" w:rsidR="00A9783E" w:rsidRPr="00743AC5" w:rsidRDefault="00A9783E" w:rsidP="00A9783E">
      <w:pPr>
        <w:pStyle w:val="Textonotapie"/>
        <w:ind w:firstLine="709"/>
        <w:jc w:val="both"/>
        <w:rPr>
          <w:rFonts w:ascii="Verdana" w:hAnsi="Verdana"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FFFFFFFF"/>
    <w:lvl w:ilvl="0">
      <w:start w:val="1"/>
      <w:numFmt w:val="upperRoman"/>
      <w:lvlText w:val="%1."/>
      <w:lvlJc w:val="right"/>
      <w:pPr>
        <w:ind w:left="1068" w:hanging="360"/>
      </w:pPr>
      <w:rPr>
        <w:rFonts w:cs="Times New Roman"/>
        <w:b/>
        <w:color w:val="000000" w:themeColor="text1"/>
      </w:rPr>
    </w:lvl>
    <w:lvl w:ilvl="1">
      <w:start w:val="2"/>
      <w:numFmt w:val="decimal"/>
      <w:isLgl/>
      <w:lvlText w:val="%1.%2"/>
      <w:lvlJc w:val="left"/>
      <w:pPr>
        <w:ind w:left="70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4617B1A"/>
    <w:multiLevelType w:val="hybridMultilevel"/>
    <w:tmpl w:val="59A695A2"/>
    <w:lvl w:ilvl="0" w:tplc="0D1E8A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E463C4"/>
    <w:multiLevelType w:val="hybridMultilevel"/>
    <w:tmpl w:val="3EA81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4E4230"/>
    <w:multiLevelType w:val="hybridMultilevel"/>
    <w:tmpl w:val="F43A1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5"/>
  </w:num>
  <w:num w:numId="8" w16cid:durableId="152644682">
    <w:abstractNumId w:val="15"/>
  </w:num>
  <w:num w:numId="9" w16cid:durableId="1317221377">
    <w:abstractNumId w:val="7"/>
  </w:num>
  <w:num w:numId="10" w16cid:durableId="1471245386">
    <w:abstractNumId w:val="14"/>
  </w:num>
  <w:num w:numId="11" w16cid:durableId="289172385">
    <w:abstractNumId w:val="8"/>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1849639419">
    <w:abstractNumId w:val="0"/>
  </w:num>
  <w:num w:numId="17" w16cid:durableId="226109057">
    <w:abstractNumId w:val="9"/>
  </w:num>
  <w:num w:numId="18" w16cid:durableId="234626072">
    <w:abstractNumId w:val="10"/>
  </w:num>
  <w:num w:numId="19" w16cid:durableId="1655985476">
    <w:abstractNumId w:val="11"/>
  </w:num>
  <w:num w:numId="20" w16cid:durableId="1887522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46DF"/>
    <w:rsid w:val="00060032"/>
    <w:rsid w:val="00060DB8"/>
    <w:rsid w:val="00061B2A"/>
    <w:rsid w:val="00082362"/>
    <w:rsid w:val="000A683E"/>
    <w:rsid w:val="000B19B9"/>
    <w:rsid w:val="000D0334"/>
    <w:rsid w:val="000F6486"/>
    <w:rsid w:val="00125105"/>
    <w:rsid w:val="00127233"/>
    <w:rsid w:val="001700CD"/>
    <w:rsid w:val="00176D2E"/>
    <w:rsid w:val="001E4177"/>
    <w:rsid w:val="001F7DC6"/>
    <w:rsid w:val="00207A26"/>
    <w:rsid w:val="00237197"/>
    <w:rsid w:val="002421BB"/>
    <w:rsid w:val="0025796E"/>
    <w:rsid w:val="002707A2"/>
    <w:rsid w:val="002951A0"/>
    <w:rsid w:val="002962BC"/>
    <w:rsid w:val="002A093D"/>
    <w:rsid w:val="002A0DD0"/>
    <w:rsid w:val="002A49AC"/>
    <w:rsid w:val="002A64FD"/>
    <w:rsid w:val="002C2C97"/>
    <w:rsid w:val="002C3C7F"/>
    <w:rsid w:val="002C7A84"/>
    <w:rsid w:val="002E4FD9"/>
    <w:rsid w:val="00304CA6"/>
    <w:rsid w:val="00321E45"/>
    <w:rsid w:val="00322A85"/>
    <w:rsid w:val="00324168"/>
    <w:rsid w:val="00333AD2"/>
    <w:rsid w:val="003363E7"/>
    <w:rsid w:val="003448F4"/>
    <w:rsid w:val="00353A43"/>
    <w:rsid w:val="00374F5E"/>
    <w:rsid w:val="00377E3E"/>
    <w:rsid w:val="003A26D1"/>
    <w:rsid w:val="003A779E"/>
    <w:rsid w:val="003B5A7A"/>
    <w:rsid w:val="003C4325"/>
    <w:rsid w:val="003D0F4D"/>
    <w:rsid w:val="003D5B0D"/>
    <w:rsid w:val="003E0499"/>
    <w:rsid w:val="003F3941"/>
    <w:rsid w:val="004025DE"/>
    <w:rsid w:val="004029C7"/>
    <w:rsid w:val="00406575"/>
    <w:rsid w:val="00424511"/>
    <w:rsid w:val="0042722E"/>
    <w:rsid w:val="0044269B"/>
    <w:rsid w:val="0044528D"/>
    <w:rsid w:val="004A1847"/>
    <w:rsid w:val="004A305D"/>
    <w:rsid w:val="004C0CB6"/>
    <w:rsid w:val="004F21C4"/>
    <w:rsid w:val="004F685F"/>
    <w:rsid w:val="005566E8"/>
    <w:rsid w:val="00574867"/>
    <w:rsid w:val="00591460"/>
    <w:rsid w:val="00592628"/>
    <w:rsid w:val="005C3777"/>
    <w:rsid w:val="005C5CDC"/>
    <w:rsid w:val="005D476C"/>
    <w:rsid w:val="00610812"/>
    <w:rsid w:val="006219F8"/>
    <w:rsid w:val="00644F09"/>
    <w:rsid w:val="00650FF7"/>
    <w:rsid w:val="006550D9"/>
    <w:rsid w:val="00665D70"/>
    <w:rsid w:val="00671DAC"/>
    <w:rsid w:val="006900D9"/>
    <w:rsid w:val="006C5CCE"/>
    <w:rsid w:val="006D12F8"/>
    <w:rsid w:val="006E64D8"/>
    <w:rsid w:val="00706C16"/>
    <w:rsid w:val="00741927"/>
    <w:rsid w:val="00756841"/>
    <w:rsid w:val="007649AB"/>
    <w:rsid w:val="00771D0C"/>
    <w:rsid w:val="00781899"/>
    <w:rsid w:val="007833AC"/>
    <w:rsid w:val="00783603"/>
    <w:rsid w:val="00794799"/>
    <w:rsid w:val="007B049C"/>
    <w:rsid w:val="007B268C"/>
    <w:rsid w:val="007B5295"/>
    <w:rsid w:val="007B7171"/>
    <w:rsid w:val="007C0C0F"/>
    <w:rsid w:val="007C3DC2"/>
    <w:rsid w:val="007C49A4"/>
    <w:rsid w:val="007E2AAE"/>
    <w:rsid w:val="007E5497"/>
    <w:rsid w:val="00806F5F"/>
    <w:rsid w:val="00820278"/>
    <w:rsid w:val="00846E31"/>
    <w:rsid w:val="008843B6"/>
    <w:rsid w:val="008853E8"/>
    <w:rsid w:val="00891928"/>
    <w:rsid w:val="008A446D"/>
    <w:rsid w:val="008D180B"/>
    <w:rsid w:val="008F0EA7"/>
    <w:rsid w:val="008F6336"/>
    <w:rsid w:val="00923EEF"/>
    <w:rsid w:val="009419F9"/>
    <w:rsid w:val="0095685E"/>
    <w:rsid w:val="00961B09"/>
    <w:rsid w:val="00965334"/>
    <w:rsid w:val="0097093E"/>
    <w:rsid w:val="009A0DFA"/>
    <w:rsid w:val="009B2D26"/>
    <w:rsid w:val="009C71FA"/>
    <w:rsid w:val="009C72E7"/>
    <w:rsid w:val="009D3058"/>
    <w:rsid w:val="009F11D6"/>
    <w:rsid w:val="009F3A13"/>
    <w:rsid w:val="00A12055"/>
    <w:rsid w:val="00A122D3"/>
    <w:rsid w:val="00A17F13"/>
    <w:rsid w:val="00A20739"/>
    <w:rsid w:val="00A33C78"/>
    <w:rsid w:val="00A50DB3"/>
    <w:rsid w:val="00A9783E"/>
    <w:rsid w:val="00AA4979"/>
    <w:rsid w:val="00AB0ADB"/>
    <w:rsid w:val="00B01B1A"/>
    <w:rsid w:val="00B72CD3"/>
    <w:rsid w:val="00B72FFF"/>
    <w:rsid w:val="00BC3D36"/>
    <w:rsid w:val="00BD7F72"/>
    <w:rsid w:val="00BE10F3"/>
    <w:rsid w:val="00C04FB3"/>
    <w:rsid w:val="00C330EB"/>
    <w:rsid w:val="00C73697"/>
    <w:rsid w:val="00C754BE"/>
    <w:rsid w:val="00C76B1C"/>
    <w:rsid w:val="00C835D6"/>
    <w:rsid w:val="00CB6357"/>
    <w:rsid w:val="00CC1B26"/>
    <w:rsid w:val="00D423A2"/>
    <w:rsid w:val="00D520D8"/>
    <w:rsid w:val="00D63AC2"/>
    <w:rsid w:val="00D7383B"/>
    <w:rsid w:val="00DA082F"/>
    <w:rsid w:val="00DA231B"/>
    <w:rsid w:val="00DA23A0"/>
    <w:rsid w:val="00DC39FC"/>
    <w:rsid w:val="00DE5BCA"/>
    <w:rsid w:val="00DF5254"/>
    <w:rsid w:val="00E00EA9"/>
    <w:rsid w:val="00E16408"/>
    <w:rsid w:val="00E20894"/>
    <w:rsid w:val="00E245AB"/>
    <w:rsid w:val="00E2764C"/>
    <w:rsid w:val="00E27F2E"/>
    <w:rsid w:val="00E413EA"/>
    <w:rsid w:val="00E46F56"/>
    <w:rsid w:val="00E50AFE"/>
    <w:rsid w:val="00E70AB4"/>
    <w:rsid w:val="00E75C92"/>
    <w:rsid w:val="00E771DC"/>
    <w:rsid w:val="00E8772A"/>
    <w:rsid w:val="00E90F6B"/>
    <w:rsid w:val="00E92C27"/>
    <w:rsid w:val="00EA0E3D"/>
    <w:rsid w:val="00EA5E07"/>
    <w:rsid w:val="00EC38A7"/>
    <w:rsid w:val="00EE1AA8"/>
    <w:rsid w:val="00F034FB"/>
    <w:rsid w:val="00F31EDC"/>
    <w:rsid w:val="00F35563"/>
    <w:rsid w:val="00F462B3"/>
    <w:rsid w:val="00F5664F"/>
    <w:rsid w:val="00F622B9"/>
    <w:rsid w:val="00F666C4"/>
    <w:rsid w:val="00F76AFC"/>
    <w:rsid w:val="00FA47C0"/>
    <w:rsid w:val="00FB5DD1"/>
    <w:rsid w:val="00FB67D1"/>
    <w:rsid w:val="00FC2B5D"/>
    <w:rsid w:val="00FF1449"/>
    <w:rsid w:val="00FF6C03"/>
    <w:rsid w:val="5CEADB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F,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6550D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E5BCA"/>
    <w:rPr>
      <w:sz w:val="16"/>
      <w:szCs w:val="16"/>
    </w:rPr>
  </w:style>
  <w:style w:type="paragraph" w:styleId="Textocomentario">
    <w:name w:val="annotation text"/>
    <w:basedOn w:val="Normal"/>
    <w:link w:val="TextocomentarioCar"/>
    <w:uiPriority w:val="99"/>
    <w:unhideWhenUsed/>
    <w:rsid w:val="00DE5BCA"/>
    <w:pPr>
      <w:spacing w:line="240" w:lineRule="auto"/>
    </w:pPr>
    <w:rPr>
      <w:sz w:val="20"/>
      <w:szCs w:val="20"/>
    </w:rPr>
  </w:style>
  <w:style w:type="character" w:customStyle="1" w:styleId="TextocomentarioCar">
    <w:name w:val="Texto comentario Car"/>
    <w:basedOn w:val="Fuentedeprrafopredeter"/>
    <w:link w:val="Textocomentario"/>
    <w:uiPriority w:val="99"/>
    <w:rsid w:val="00DE5BCA"/>
    <w:rPr>
      <w:sz w:val="20"/>
      <w:szCs w:val="20"/>
    </w:rPr>
  </w:style>
  <w:style w:type="paragraph" w:styleId="Asuntodelcomentario">
    <w:name w:val="annotation subject"/>
    <w:basedOn w:val="Textocomentario"/>
    <w:next w:val="Textocomentario"/>
    <w:link w:val="AsuntodelcomentarioCar"/>
    <w:uiPriority w:val="99"/>
    <w:semiHidden/>
    <w:unhideWhenUsed/>
    <w:rsid w:val="00DE5BCA"/>
    <w:rPr>
      <w:b/>
      <w:bCs/>
    </w:rPr>
  </w:style>
  <w:style w:type="character" w:customStyle="1" w:styleId="AsuntodelcomentarioCar">
    <w:name w:val="Asunto del comentario Car"/>
    <w:basedOn w:val="TextocomentarioCar"/>
    <w:link w:val="Asuntodelcomentario"/>
    <w:uiPriority w:val="99"/>
    <w:semiHidden/>
    <w:rsid w:val="00DE5BCA"/>
    <w:rPr>
      <w:b/>
      <w:bCs/>
      <w:sz w:val="20"/>
      <w:szCs w:val="20"/>
    </w:rPr>
  </w:style>
  <w:style w:type="paragraph" w:customStyle="1" w:styleId="Appelnotedebasde">
    <w:name w:val="Appel note de bas de..."/>
    <w:basedOn w:val="Normal"/>
    <w:link w:val="Refdenotaalpie"/>
    <w:uiPriority w:val="99"/>
    <w:rsid w:val="00A9783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stavopatarroyo@hotmail.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hector.quinones%40colombiacompra.gov.co%7C5aad36a736844ec87b2108dcc1fa4639%7C7b09041e245149d08cb179d5e3d8c1be%7C0%7C0%7C638598527916202814%7CUnknown%7CTWFpbGZsb3d8eyJWIjoiMC4wLjAwMDAiLCJQIjoiV2luMzIiLCJBTiI6Ik1haWwiLCJXVCI6Mn0%3D%7C0%7C%7C%7C&amp;sdata=g5JP8TCj1LS3w9euYpZO4O6u0sftAPb02SeFQncfcgw%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source=web&amp;rct=j&amp;opi=89978449&amp;url=https://www.supersociedades.gov.co/documents/107391/159040/OFICIO%2B220-014111%2BDE%2B2015.pdf/eb5e710f-d8b7-df76-125b-960ff46a9304%3Ft%3D1670899573061%26download%3Dtrue&amp;ved=2ahUKEwj9kJParMKGAxXuTTABHaENC7wQFnoECBIQAQ&amp;usg=AOvVaw3ndDRzYhuwXRRSLBYPpr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36c82cfe-0eda-494d-b392-a9281b89aaf0"/>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8ae15d26-076e-464e-81a7-6f76a0fb3917"/>
    <ds:schemaRef ds:uri="http://purl.org/dc/dcmityp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77ED866-ED8C-4AB8-9D2A-90038B4D5B5E}"/>
</file>

<file path=customXml/itemProps4.xml><?xml version="1.0" encoding="utf-8"?>
<ds:datastoreItem xmlns:ds="http://schemas.openxmlformats.org/officeDocument/2006/customXml" ds:itemID="{9AA44D9C-EB91-4E75-995A-92F81E15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3803</Words>
  <Characters>20922</Characters>
  <Application>Microsoft Office Word</Application>
  <DocSecurity>0</DocSecurity>
  <Lines>174</Lines>
  <Paragraphs>49</Paragraphs>
  <ScaleCrop>false</ScaleCrop>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2023-01-10T21:18:00Z</cp:lastPrinted>
  <dcterms:created xsi:type="dcterms:W3CDTF">2024-10-04T16:53:00Z</dcterms:created>
  <dcterms:modified xsi:type="dcterms:W3CDTF">2024-10-04T16:53:00Z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