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9835F" w14:textId="77777777" w:rsidR="006B67C8" w:rsidRDefault="006B67C8" w:rsidP="006B67C8">
      <w:pPr>
        <w:widowControl w:val="0"/>
        <w:tabs>
          <w:tab w:val="left" w:pos="1332"/>
        </w:tabs>
        <w:autoSpaceDE w:val="0"/>
        <w:autoSpaceDN w:val="0"/>
        <w:ind w:right="899"/>
        <w:jc w:val="both"/>
        <w:rPr>
          <w:rFonts w:ascii="Verdana" w:eastAsia="Calibri" w:hAnsi="Verdana" w:cs="Arial"/>
          <w:lang w:val="es-ES" w:eastAsia="es-ES"/>
        </w:rPr>
      </w:pPr>
      <w:bookmarkStart w:id="0" w:name="_Hlk143780582"/>
    </w:p>
    <w:p w14:paraId="4611A782" w14:textId="77777777" w:rsidR="006B67C8" w:rsidRPr="00564320" w:rsidRDefault="006B67C8" w:rsidP="006B67C8">
      <w:pPr>
        <w:spacing w:after="0" w:line="240" w:lineRule="auto"/>
        <w:jc w:val="both"/>
        <w:rPr>
          <w:rFonts w:ascii="Verdana" w:eastAsia="Calibri" w:hAnsi="Verdana" w:cs="Arial"/>
          <w:b/>
          <w:bCs/>
          <w:lang w:val="es-ES_tradnl"/>
        </w:rPr>
      </w:pPr>
      <w:r w:rsidRPr="00564320">
        <w:rPr>
          <w:rFonts w:ascii="Verdana" w:eastAsia="Calibri" w:hAnsi="Verdana" w:cs="Arial"/>
          <w:b/>
          <w:bCs/>
          <w:lang w:val="es-ES_tradnl"/>
        </w:rPr>
        <w:t xml:space="preserve">REDUCCIÓN DE PUNTAJE – Multa – Cláusula Penal – Ley 2195 de 2022 – Artículo 58 – Ámbito de aplicación / </w:t>
      </w:r>
    </w:p>
    <w:p w14:paraId="2E53F175" w14:textId="77777777" w:rsidR="006B67C8" w:rsidRPr="00564320" w:rsidRDefault="006B67C8" w:rsidP="006B67C8">
      <w:pPr>
        <w:spacing w:after="0" w:line="240" w:lineRule="auto"/>
        <w:jc w:val="both"/>
        <w:rPr>
          <w:rFonts w:ascii="Verdana" w:eastAsia="Calibri" w:hAnsi="Verdana" w:cs="Arial"/>
          <w:b/>
          <w:bCs/>
          <w:lang w:val="es-ES_tradnl"/>
        </w:rPr>
      </w:pPr>
    </w:p>
    <w:p w14:paraId="6562D710" w14:textId="77777777" w:rsidR="006B67C8" w:rsidRPr="00564320" w:rsidRDefault="006B67C8" w:rsidP="006B67C8">
      <w:pPr>
        <w:spacing w:after="0" w:line="240" w:lineRule="auto"/>
        <w:contextualSpacing/>
        <w:jc w:val="both"/>
        <w:rPr>
          <w:rFonts w:ascii="Verdana" w:eastAsia="Arial" w:hAnsi="Verdana" w:cs="Arial"/>
          <w:lang w:val="es-MX"/>
        </w:rPr>
      </w:pPr>
      <w:r w:rsidRPr="00564320">
        <w:rPr>
          <w:rFonts w:ascii="Verdana" w:eastAsia="Arial" w:hAnsi="Verdana" w:cs="Arial"/>
          <w:lang w:val="es-MX"/>
        </w:rPr>
        <w:t>Las Entidades sometidas al EGCAP, no las entidades exceptuadas de este o que tienen un régimen especial de contratación, deberán, por regla general, aplicar la reducción del puntaje establecido en el citado artículo 58, en los procedimientos de selección que adelanten.</w:t>
      </w:r>
    </w:p>
    <w:p w14:paraId="1BE17E8B" w14:textId="77777777" w:rsidR="006B67C8" w:rsidRPr="00564320" w:rsidRDefault="006B67C8" w:rsidP="006B67C8">
      <w:pPr>
        <w:spacing w:after="0" w:line="240" w:lineRule="auto"/>
        <w:jc w:val="both"/>
        <w:rPr>
          <w:rFonts w:ascii="Verdana" w:eastAsia="Calibri" w:hAnsi="Verdana" w:cs="Arial"/>
          <w:bCs/>
          <w:highlight w:val="yellow"/>
        </w:rPr>
      </w:pPr>
    </w:p>
    <w:p w14:paraId="34C06C65" w14:textId="77777777" w:rsidR="006B67C8" w:rsidRPr="00564320" w:rsidRDefault="006B67C8" w:rsidP="006B67C8">
      <w:pPr>
        <w:spacing w:after="0" w:line="240" w:lineRule="auto"/>
        <w:jc w:val="both"/>
        <w:rPr>
          <w:rFonts w:ascii="Verdana" w:eastAsia="Calibri" w:hAnsi="Verdana" w:cs="Arial"/>
          <w:b/>
          <w:bCs/>
          <w:lang w:val="es-ES_tradnl"/>
        </w:rPr>
      </w:pPr>
      <w:r w:rsidRPr="00564320">
        <w:rPr>
          <w:rFonts w:ascii="Verdana" w:eastAsia="Calibri" w:hAnsi="Verdana" w:cs="Arial"/>
          <w:b/>
          <w:bCs/>
          <w:lang w:val="es-ES_tradnl"/>
        </w:rPr>
        <w:t>REDUCCIÓN DE PUNTAJE – Multa – Cláusula Penal – Ley 2195 de 2022 – Artículo 58 – Porcentaje</w:t>
      </w:r>
    </w:p>
    <w:p w14:paraId="550B269F" w14:textId="77777777" w:rsidR="006B67C8" w:rsidRPr="00564320" w:rsidRDefault="006B67C8" w:rsidP="006B67C8">
      <w:pPr>
        <w:spacing w:after="0" w:line="240" w:lineRule="auto"/>
        <w:jc w:val="both"/>
        <w:rPr>
          <w:rFonts w:ascii="Verdana" w:eastAsia="Calibri" w:hAnsi="Verdana" w:cs="Arial"/>
          <w:bCs/>
          <w:highlight w:val="yellow"/>
        </w:rPr>
      </w:pPr>
    </w:p>
    <w:p w14:paraId="27D589FD" w14:textId="77777777" w:rsidR="006B67C8" w:rsidRPr="00564320" w:rsidRDefault="006B67C8" w:rsidP="006B67C8">
      <w:pPr>
        <w:spacing w:after="0" w:line="240" w:lineRule="auto"/>
        <w:contextualSpacing/>
        <w:jc w:val="both"/>
        <w:rPr>
          <w:rFonts w:ascii="Verdana" w:eastAsia="Arial" w:hAnsi="Verdana" w:cs="Arial"/>
          <w:lang w:val="es-MX"/>
        </w:rPr>
      </w:pPr>
      <w:r w:rsidRPr="00564320">
        <w:rPr>
          <w:rFonts w:ascii="Verdana" w:eastAsia="Arial" w:hAnsi="Verdana" w:cs="Arial"/>
          <w:lang w:val="es-MX"/>
        </w:rPr>
        <w:t>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hasta, ni dice que debe ser, como mínimo, una reducción del dos por ciento (2%) de los puntos, sino que establece que ha de ser, exactamente, por este porcentaje, por lo que las entidades no pueden fijar un porcentaje menor al señalado.</w:t>
      </w:r>
    </w:p>
    <w:p w14:paraId="461B7BC9" w14:textId="77777777" w:rsidR="006B67C8" w:rsidRPr="00564320" w:rsidRDefault="006B67C8" w:rsidP="006B67C8">
      <w:pPr>
        <w:spacing w:after="0" w:line="240" w:lineRule="auto"/>
        <w:jc w:val="both"/>
        <w:rPr>
          <w:rFonts w:ascii="Verdana" w:eastAsia="Calibri" w:hAnsi="Verdana" w:cs="Arial"/>
          <w:bCs/>
          <w:highlight w:val="yellow"/>
        </w:rPr>
      </w:pPr>
    </w:p>
    <w:p w14:paraId="2768B5CC" w14:textId="77777777" w:rsidR="006B67C8" w:rsidRPr="00564320" w:rsidRDefault="006B67C8" w:rsidP="006B67C8">
      <w:pPr>
        <w:widowControl w:val="0"/>
        <w:autoSpaceDE w:val="0"/>
        <w:autoSpaceDN w:val="0"/>
        <w:spacing w:after="0" w:line="276" w:lineRule="auto"/>
        <w:jc w:val="both"/>
        <w:rPr>
          <w:rFonts w:ascii="Verdana" w:eastAsia="Calibri" w:hAnsi="Verdana" w:cs="Arial"/>
          <w:b/>
          <w:bCs/>
          <w:lang w:val="es-ES" w:eastAsia="es-ES"/>
        </w:rPr>
      </w:pPr>
      <w:r w:rsidRPr="00564320">
        <w:rPr>
          <w:rFonts w:ascii="Verdana" w:eastAsia="Calibri" w:hAnsi="Verdana" w:cs="Arial"/>
          <w:b/>
          <w:bCs/>
          <w:lang w:val="es-ES" w:eastAsia="es-ES"/>
        </w:rPr>
        <w:t xml:space="preserve">PUBLICIDAD – Cámaras de comercio - </w:t>
      </w:r>
      <w:proofErr w:type="spellStart"/>
      <w:r w:rsidRPr="00564320">
        <w:rPr>
          <w:rFonts w:ascii="Verdana" w:eastAsia="Calibri" w:hAnsi="Verdana" w:cs="Arial"/>
          <w:b/>
          <w:bCs/>
          <w:lang w:val="es-ES" w:eastAsia="es-ES"/>
        </w:rPr>
        <w:t>Secop</w:t>
      </w:r>
      <w:proofErr w:type="spellEnd"/>
      <w:r w:rsidRPr="00564320">
        <w:rPr>
          <w:rFonts w:ascii="Verdana" w:eastAsia="Calibri" w:hAnsi="Verdana" w:cs="Arial"/>
          <w:b/>
          <w:bCs/>
          <w:lang w:val="es-ES" w:eastAsia="es-ES"/>
        </w:rPr>
        <w:t xml:space="preserve"> II- RUP</w:t>
      </w:r>
    </w:p>
    <w:p w14:paraId="77131C89" w14:textId="77777777" w:rsidR="006B67C8" w:rsidRPr="00564320" w:rsidRDefault="006B67C8" w:rsidP="006B67C8">
      <w:pPr>
        <w:widowControl w:val="0"/>
        <w:autoSpaceDE w:val="0"/>
        <w:autoSpaceDN w:val="0"/>
        <w:spacing w:after="0" w:line="276" w:lineRule="auto"/>
        <w:jc w:val="both"/>
        <w:rPr>
          <w:rFonts w:ascii="Verdana" w:eastAsia="Verdana" w:hAnsi="Verdana" w:cs="Verdana"/>
          <w:b/>
          <w:bCs/>
        </w:rPr>
      </w:pPr>
    </w:p>
    <w:p w14:paraId="333AB446" w14:textId="77777777" w:rsidR="006B67C8" w:rsidRPr="00564320" w:rsidRDefault="006B67C8" w:rsidP="006B67C8">
      <w:pPr>
        <w:widowControl w:val="0"/>
        <w:autoSpaceDE w:val="0"/>
        <w:autoSpaceDN w:val="0"/>
        <w:spacing w:after="0" w:line="276" w:lineRule="auto"/>
        <w:jc w:val="both"/>
        <w:rPr>
          <w:rFonts w:ascii="Verdana" w:eastAsia="Verdana" w:hAnsi="Verdana" w:cs="Verdana"/>
        </w:rPr>
      </w:pPr>
      <w:r w:rsidRPr="00564320">
        <w:rPr>
          <w:rFonts w:ascii="Verdana" w:eastAsia="Verdana" w:hAnsi="Verdana" w:cs="Verdana"/>
        </w:rPr>
        <w:t xml:space="preserve">El artículo 6.2 de la Ley 1150 de 2007 obliga a las entidades públicas a reportar a la Cámara de Comercio correspondiente la información sobre contratos, multas y sanciones. Esta norma pretende poner en conocimiento de todos los participantes del sistema de compras públicas la información de sanciones y multas impuestas a los inscritos en el RUP, como una forma de ejercer control a la ejecución de los contratos suscritos por las entidades estatales. Dicha obligación también es congruente con el artículo 31 de la Ley 80 de 1993, modificado por el artículo 218 del Decreto 19 de 2012, que estableció los deberes de publicar en el SECOP y de comunicar a las Cámaras de Comercio, la parte resolutiva, de los actos que impongan multas y sanciones, entre otras decisiones. </w:t>
      </w:r>
    </w:p>
    <w:p w14:paraId="6E22A8AF" w14:textId="77777777" w:rsidR="006B67C8" w:rsidRPr="00F31EF9" w:rsidRDefault="006B67C8" w:rsidP="006B67C8">
      <w:pPr>
        <w:widowControl w:val="0"/>
        <w:tabs>
          <w:tab w:val="left" w:pos="1332"/>
        </w:tabs>
        <w:autoSpaceDE w:val="0"/>
        <w:autoSpaceDN w:val="0"/>
        <w:ind w:right="899"/>
        <w:jc w:val="both"/>
        <w:rPr>
          <w:rFonts w:ascii="Verdana" w:eastAsia="Calibri" w:hAnsi="Verdana" w:cs="Arial"/>
          <w:lang w:val="es-ES" w:eastAsia="es-ES"/>
        </w:rPr>
      </w:pPr>
    </w:p>
    <w:p w14:paraId="42AE37D0" w14:textId="77777777" w:rsidR="006B67C8" w:rsidRDefault="006B67C8" w:rsidP="006B67C8"/>
    <w:p w14:paraId="1025648E" w14:textId="77777777" w:rsidR="006B67C8" w:rsidRDefault="006B67C8" w:rsidP="007354D4">
      <w:pPr>
        <w:spacing w:after="0"/>
        <w:rPr>
          <w:rFonts w:ascii="Verdana" w:hAnsi="Verdana"/>
        </w:rPr>
      </w:pPr>
    </w:p>
    <w:p w14:paraId="6973A0F8" w14:textId="77777777" w:rsidR="006B67C8" w:rsidRDefault="006B67C8" w:rsidP="007354D4">
      <w:pPr>
        <w:spacing w:after="0"/>
        <w:rPr>
          <w:rFonts w:ascii="Verdana" w:hAnsi="Verdana"/>
        </w:rPr>
      </w:pPr>
    </w:p>
    <w:p w14:paraId="749ED7FF" w14:textId="77777777" w:rsidR="006B67C8" w:rsidRDefault="006B67C8" w:rsidP="007354D4">
      <w:pPr>
        <w:spacing w:after="0"/>
        <w:rPr>
          <w:rFonts w:ascii="Verdana" w:hAnsi="Verdana"/>
        </w:rPr>
      </w:pPr>
    </w:p>
    <w:p w14:paraId="5631CBC9" w14:textId="77777777" w:rsidR="006B67C8" w:rsidRDefault="006B67C8" w:rsidP="007354D4">
      <w:pPr>
        <w:spacing w:after="0"/>
        <w:rPr>
          <w:rFonts w:ascii="Verdana" w:hAnsi="Verdana"/>
        </w:rPr>
      </w:pPr>
    </w:p>
    <w:p w14:paraId="3EBF6E09" w14:textId="77777777" w:rsidR="006B67C8" w:rsidRDefault="006B67C8" w:rsidP="007354D4">
      <w:pPr>
        <w:spacing w:after="0"/>
        <w:rPr>
          <w:rFonts w:ascii="Verdana" w:hAnsi="Verdana"/>
        </w:rPr>
      </w:pPr>
    </w:p>
    <w:p w14:paraId="3454D419" w14:textId="77777777" w:rsidR="006B67C8" w:rsidRDefault="006B67C8" w:rsidP="007354D4">
      <w:pPr>
        <w:spacing w:after="0"/>
        <w:rPr>
          <w:rFonts w:ascii="Verdana" w:hAnsi="Verdana"/>
        </w:rPr>
      </w:pPr>
    </w:p>
    <w:p w14:paraId="11828D00" w14:textId="50ED2297" w:rsidR="007354D4" w:rsidRPr="0044528D" w:rsidRDefault="007354D4" w:rsidP="007354D4">
      <w:pPr>
        <w:spacing w:after="0"/>
        <w:rPr>
          <w:rFonts w:ascii="Verdana" w:hAnsi="Verdana"/>
        </w:rPr>
      </w:pPr>
      <w:r w:rsidRPr="0044528D">
        <w:rPr>
          <w:rFonts w:ascii="Verdana" w:hAnsi="Verdana"/>
        </w:rPr>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r w:rsidRPr="0044528D">
        <w:rPr>
          <w:rFonts w:ascii="Verdana" w:hAnsi="Verdana"/>
        </w:rPr>
        <w:tab/>
      </w:r>
    </w:p>
    <w:p w14:paraId="5867F35E" w14:textId="240E0441" w:rsidR="007354D4" w:rsidRPr="00593A5F" w:rsidRDefault="001D243B" w:rsidP="007354D4">
      <w:pPr>
        <w:spacing w:after="0" w:line="240" w:lineRule="auto"/>
        <w:jc w:val="both"/>
        <w:rPr>
          <w:rFonts w:ascii="Verdana" w:eastAsia="Calibri" w:hAnsi="Verdana" w:cs="Arial"/>
          <w:color w:val="000000"/>
          <w:lang w:val="es-ES"/>
        </w:rPr>
      </w:pPr>
      <w:r w:rsidRPr="001D243B">
        <w:rPr>
          <w:rFonts w:ascii="Verdana" w:eastAsia="Calibri" w:hAnsi="Verdana" w:cs="Arial"/>
          <w:noProof/>
          <w:lang w:val="es-ES" w:eastAsia="es-ES"/>
        </w:rPr>
        <w:drawing>
          <wp:anchor distT="0" distB="0" distL="114300" distR="114300" simplePos="0" relativeHeight="251658240" behindDoc="1" locked="0" layoutInCell="1" allowOverlap="1" wp14:anchorId="46478B64" wp14:editId="7B0BE6A3">
            <wp:simplePos x="0" y="0"/>
            <wp:positionH relativeFrom="column">
              <wp:posOffset>3425190</wp:posOffset>
            </wp:positionH>
            <wp:positionV relativeFrom="paragraph">
              <wp:posOffset>33020</wp:posOffset>
            </wp:positionV>
            <wp:extent cx="2930995" cy="809625"/>
            <wp:effectExtent l="0" t="0" r="3175" b="0"/>
            <wp:wrapNone/>
            <wp:docPr id="9299227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22777" name=""/>
                    <pic:cNvPicPr/>
                  </pic:nvPicPr>
                  <pic:blipFill>
                    <a:blip r:embed="rId10">
                      <a:extLst>
                        <a:ext uri="{28A0092B-C50C-407E-A947-70E740481C1C}">
                          <a14:useLocalDpi xmlns:a14="http://schemas.microsoft.com/office/drawing/2010/main" val="0"/>
                        </a:ext>
                      </a:extLst>
                    </a:blip>
                    <a:stretch>
                      <a:fillRect/>
                    </a:stretch>
                  </pic:blipFill>
                  <pic:spPr>
                    <a:xfrm>
                      <a:off x="0" y="0"/>
                      <a:ext cx="2932438" cy="810024"/>
                    </a:xfrm>
                    <a:prstGeom prst="rect">
                      <a:avLst/>
                    </a:prstGeom>
                  </pic:spPr>
                </pic:pic>
              </a:graphicData>
            </a:graphic>
            <wp14:sizeRelH relativeFrom="page">
              <wp14:pctWidth>0</wp14:pctWidth>
            </wp14:sizeRelH>
            <wp14:sizeRelV relativeFrom="page">
              <wp14:pctHeight>0</wp14:pctHeight>
            </wp14:sizeRelV>
          </wp:anchor>
        </w:drawing>
      </w:r>
    </w:p>
    <w:p w14:paraId="26F04A19" w14:textId="6AE9FC18" w:rsidR="007354D4" w:rsidRPr="000A0D75" w:rsidRDefault="007354D4" w:rsidP="007354D4">
      <w:pPr>
        <w:spacing w:after="0" w:line="240" w:lineRule="auto"/>
        <w:jc w:val="both"/>
        <w:rPr>
          <w:rFonts w:ascii="Verdana" w:eastAsia="Calibri" w:hAnsi="Verdana" w:cs="Arial"/>
          <w:lang w:val="es-ES" w:eastAsia="es-ES"/>
        </w:rPr>
      </w:pPr>
      <w:r w:rsidRPr="000A0D75">
        <w:rPr>
          <w:rFonts w:ascii="Verdana" w:eastAsia="Calibri" w:hAnsi="Verdana" w:cs="Arial"/>
          <w:lang w:val="es-ES" w:eastAsia="es-ES"/>
        </w:rPr>
        <w:t>Señor</w:t>
      </w:r>
      <w:r w:rsidR="001D243B" w:rsidRPr="001D243B">
        <w:rPr>
          <w:noProof/>
        </w:rPr>
        <w:t xml:space="preserve"> </w:t>
      </w:r>
    </w:p>
    <w:p w14:paraId="6B57589A" w14:textId="77777777" w:rsidR="007354D4" w:rsidRPr="000A0D75" w:rsidRDefault="007354D4" w:rsidP="007354D4">
      <w:pPr>
        <w:spacing w:after="0" w:line="240" w:lineRule="auto"/>
        <w:rPr>
          <w:rFonts w:ascii="Verdana" w:eastAsia="Calibri" w:hAnsi="Verdana" w:cs="Arial"/>
          <w:b/>
          <w:lang w:val="es-ES_tradnl" w:eastAsia="es-ES_tradnl"/>
        </w:rPr>
      </w:pPr>
      <w:r w:rsidRPr="000A0D75">
        <w:rPr>
          <w:rFonts w:ascii="Verdana" w:eastAsia="Calibri" w:hAnsi="Verdana" w:cs="Arial"/>
          <w:b/>
          <w:lang w:val="es-ES_tradnl" w:eastAsia="es-ES_tradnl"/>
        </w:rPr>
        <w:t>Ciudadano Anónimo</w:t>
      </w:r>
    </w:p>
    <w:p w14:paraId="10EEFCA4" w14:textId="77777777" w:rsidR="007354D4" w:rsidRPr="004114F8" w:rsidRDefault="007354D4" w:rsidP="007354D4">
      <w:pPr>
        <w:spacing w:after="0" w:line="240" w:lineRule="auto"/>
        <w:rPr>
          <w:rFonts w:ascii="Verdana" w:eastAsia="Calibri" w:hAnsi="Verdana"/>
          <w:b/>
          <w:bCs/>
          <w:color w:val="000000"/>
          <w:lang w:val="es-ES_tradnl" w:eastAsia="es-ES_tradnl"/>
        </w:rPr>
      </w:pPr>
      <w:r w:rsidRPr="004114F8">
        <w:rPr>
          <w:rFonts w:ascii="Verdana" w:hAnsi="Verdana"/>
        </w:rPr>
        <w:t>andredazavela@gmail.com</w:t>
      </w:r>
    </w:p>
    <w:p w14:paraId="3B5EDA3F" w14:textId="77777777" w:rsidR="007354D4" w:rsidRPr="00593A5F" w:rsidRDefault="007354D4" w:rsidP="007354D4">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354D4" w:rsidRPr="00593A5F" w14:paraId="6D125E56" w14:textId="77777777" w:rsidTr="0859A5EE">
        <w:trPr>
          <w:trHeight w:val="969"/>
        </w:trPr>
        <w:tc>
          <w:tcPr>
            <w:tcW w:w="2689" w:type="dxa"/>
          </w:tcPr>
          <w:p w14:paraId="40E78558" w14:textId="77777777" w:rsidR="007354D4" w:rsidRPr="00C00976" w:rsidRDefault="007354D4" w:rsidP="00B34D84">
            <w:pPr>
              <w:jc w:val="both"/>
              <w:rPr>
                <w:rFonts w:ascii="Verdana" w:eastAsia="Calibri" w:hAnsi="Verdana" w:cs="Arial"/>
                <w:b/>
                <w:bCs/>
                <w:color w:val="7030A0"/>
                <w:lang w:val="es-ES_tradnl" w:eastAsia="es-ES_tradnl"/>
              </w:rPr>
            </w:pPr>
          </w:p>
        </w:tc>
        <w:tc>
          <w:tcPr>
            <w:tcW w:w="6100" w:type="dxa"/>
          </w:tcPr>
          <w:p w14:paraId="0CF34E60" w14:textId="77777777" w:rsidR="007354D4" w:rsidRPr="00C00976" w:rsidRDefault="007354D4" w:rsidP="00B34D84">
            <w:pPr>
              <w:jc w:val="both"/>
              <w:rPr>
                <w:rFonts w:ascii="Verdana" w:eastAsia="Calibri" w:hAnsi="Verdana" w:cs="Arial"/>
                <w:b/>
                <w:bCs/>
                <w:color w:val="7030A0"/>
                <w:lang w:val="es-ES" w:eastAsia="es-ES"/>
              </w:rPr>
            </w:pPr>
            <w:r w:rsidRPr="005A1968">
              <w:rPr>
                <w:rFonts w:ascii="Verdana" w:eastAsia="Calibri" w:hAnsi="Verdana" w:cs="Arial"/>
                <w:b/>
                <w:bCs/>
                <w:lang w:val="es-ES" w:eastAsia="es-ES"/>
              </w:rPr>
              <w:t>Concepto C-</w:t>
            </w:r>
            <w:r>
              <w:rPr>
                <w:rFonts w:ascii="Verdana" w:eastAsia="Calibri" w:hAnsi="Verdana" w:cs="Arial"/>
                <w:b/>
                <w:bCs/>
                <w:lang w:val="es-ES" w:eastAsia="es-ES"/>
              </w:rPr>
              <w:t xml:space="preserve"> 503</w:t>
            </w:r>
            <w:r w:rsidRPr="005A1968">
              <w:rPr>
                <w:rFonts w:ascii="Verdana" w:eastAsia="Calibri" w:hAnsi="Verdana" w:cs="Arial"/>
                <w:b/>
                <w:bCs/>
                <w:lang w:val="es-ES" w:eastAsia="es-ES"/>
              </w:rPr>
              <w:t xml:space="preserve"> de 2024</w:t>
            </w:r>
          </w:p>
        </w:tc>
      </w:tr>
      <w:tr w:rsidR="007354D4" w:rsidRPr="00593A5F" w14:paraId="5502F1EF" w14:textId="77777777" w:rsidTr="0859A5EE">
        <w:trPr>
          <w:trHeight w:val="884"/>
        </w:trPr>
        <w:tc>
          <w:tcPr>
            <w:tcW w:w="2689" w:type="dxa"/>
          </w:tcPr>
          <w:p w14:paraId="74BA028C" w14:textId="77777777" w:rsidR="007354D4" w:rsidRPr="00373A28" w:rsidRDefault="007354D4" w:rsidP="00B34D84">
            <w:pPr>
              <w:jc w:val="both"/>
              <w:rPr>
                <w:rFonts w:ascii="Verdana" w:eastAsia="Calibri" w:hAnsi="Verdana" w:cs="Arial"/>
                <w:lang w:val="es-ES_tradnl" w:eastAsia="es-ES_tradnl"/>
              </w:rPr>
            </w:pPr>
            <w:r w:rsidRPr="00373A28">
              <w:rPr>
                <w:rFonts w:ascii="Verdana" w:eastAsia="Calibri" w:hAnsi="Verdana" w:cs="Arial"/>
                <w:b/>
                <w:lang w:val="es-ES_tradnl" w:eastAsia="es-ES_tradnl"/>
              </w:rPr>
              <w:t>Temas:</w:t>
            </w:r>
            <w:r w:rsidRPr="00373A28">
              <w:rPr>
                <w:rFonts w:ascii="Verdana" w:eastAsia="Calibri" w:hAnsi="Verdana" w:cs="Arial"/>
                <w:lang w:val="es-ES_tradnl" w:eastAsia="es-ES_tradnl"/>
              </w:rPr>
              <w:t xml:space="preserve">                   </w:t>
            </w:r>
          </w:p>
        </w:tc>
        <w:tc>
          <w:tcPr>
            <w:tcW w:w="6100" w:type="dxa"/>
          </w:tcPr>
          <w:p w14:paraId="1F00B810" w14:textId="77777777" w:rsidR="007354D4" w:rsidRPr="00F31EF9" w:rsidRDefault="007354D4" w:rsidP="0859A5EE">
            <w:pPr>
              <w:widowControl w:val="0"/>
              <w:tabs>
                <w:tab w:val="left" w:pos="1332"/>
              </w:tabs>
              <w:autoSpaceDE w:val="0"/>
              <w:autoSpaceDN w:val="0"/>
              <w:ind w:right="899"/>
              <w:jc w:val="both"/>
              <w:rPr>
                <w:rFonts w:ascii="Verdana" w:eastAsia="Calibri" w:hAnsi="Verdana" w:cs="Arial"/>
                <w:lang w:val="es-ES" w:eastAsia="es-ES"/>
              </w:rPr>
            </w:pPr>
            <w:r w:rsidRPr="0859A5EE">
              <w:rPr>
                <w:rFonts w:ascii="Verdana" w:hAnsi="Verdana" w:cs="Arial"/>
                <w:color w:val="000000" w:themeColor="text1"/>
                <w:lang w:val="es-ES"/>
              </w:rPr>
              <w:t xml:space="preserve">LEY 2195 DE 2022 -artículo 58 </w:t>
            </w:r>
            <w:r w:rsidRPr="0859A5EE">
              <w:rPr>
                <w:rFonts w:ascii="Verdana" w:eastAsia="Calibri" w:hAnsi="Verdana" w:cs="Arial"/>
                <w:lang w:val="es-ES" w:eastAsia="es-ES"/>
              </w:rPr>
              <w:t xml:space="preserve">– Multas – Cláusula penal/REDUCCIÓN DE PUNTAJE – Multa – Cláusula Penal/ EXCEPCIÓN – Reducción de puntaje/ PUBLICIDAD - </w:t>
            </w:r>
            <w:proofErr w:type="spellStart"/>
            <w:r w:rsidRPr="0859A5EE">
              <w:rPr>
                <w:rFonts w:ascii="Verdana" w:eastAsia="Calibri" w:hAnsi="Verdana" w:cs="Arial"/>
                <w:lang w:val="es-ES" w:eastAsia="es-ES"/>
              </w:rPr>
              <w:t>Secop</w:t>
            </w:r>
            <w:proofErr w:type="spellEnd"/>
            <w:r w:rsidRPr="0859A5EE">
              <w:rPr>
                <w:rFonts w:ascii="Verdana" w:eastAsia="Calibri" w:hAnsi="Verdana" w:cs="Arial"/>
                <w:lang w:val="es-ES" w:eastAsia="es-ES"/>
              </w:rPr>
              <w:t xml:space="preserve"> II- RUP.</w:t>
            </w:r>
          </w:p>
          <w:p w14:paraId="79A1F362" w14:textId="77777777" w:rsidR="007354D4" w:rsidRPr="00373A28" w:rsidRDefault="007354D4" w:rsidP="00B34D84">
            <w:pPr>
              <w:widowControl w:val="0"/>
              <w:tabs>
                <w:tab w:val="left" w:pos="1332"/>
              </w:tabs>
              <w:autoSpaceDE w:val="0"/>
              <w:autoSpaceDN w:val="0"/>
              <w:ind w:right="899"/>
              <w:jc w:val="both"/>
              <w:rPr>
                <w:rFonts w:ascii="Verdana" w:eastAsia="Calibri" w:hAnsi="Verdana" w:cs="Arial"/>
                <w:lang w:val="es-ES" w:eastAsia="es-ES"/>
              </w:rPr>
            </w:pPr>
          </w:p>
        </w:tc>
      </w:tr>
      <w:tr w:rsidR="007354D4" w:rsidRPr="00593A5F" w14:paraId="2194601E" w14:textId="77777777" w:rsidTr="0859A5EE">
        <w:tc>
          <w:tcPr>
            <w:tcW w:w="2689" w:type="dxa"/>
          </w:tcPr>
          <w:p w14:paraId="6D083710" w14:textId="77777777" w:rsidR="007354D4" w:rsidRPr="00373A28" w:rsidRDefault="007354D4" w:rsidP="00B34D84">
            <w:pPr>
              <w:jc w:val="both"/>
              <w:rPr>
                <w:rFonts w:ascii="Verdana" w:eastAsia="Calibri" w:hAnsi="Verdana" w:cs="Arial"/>
                <w:b/>
                <w:lang w:val="es-ES_tradnl" w:eastAsia="es-ES_tradnl"/>
              </w:rPr>
            </w:pPr>
            <w:r w:rsidRPr="00373A28">
              <w:rPr>
                <w:rFonts w:ascii="Verdana" w:eastAsia="Calibri" w:hAnsi="Verdana" w:cs="Arial"/>
                <w:b/>
                <w:lang w:val="es-ES_tradnl" w:eastAsia="es-ES_tradnl"/>
              </w:rPr>
              <w:t>Radicación:</w:t>
            </w:r>
            <w:r w:rsidRPr="00373A28">
              <w:rPr>
                <w:rFonts w:ascii="Verdana" w:eastAsia="Calibri" w:hAnsi="Verdana" w:cs="Arial"/>
                <w:lang w:val="es-ES_tradnl" w:eastAsia="es-ES_tradnl"/>
              </w:rPr>
              <w:t xml:space="preserve">               </w:t>
            </w:r>
          </w:p>
        </w:tc>
        <w:tc>
          <w:tcPr>
            <w:tcW w:w="6100" w:type="dxa"/>
          </w:tcPr>
          <w:p w14:paraId="6F354776" w14:textId="77777777" w:rsidR="007354D4" w:rsidRPr="00373A28" w:rsidRDefault="007354D4" w:rsidP="00B34D84">
            <w:pPr>
              <w:jc w:val="both"/>
              <w:rPr>
                <w:rFonts w:ascii="Verdana" w:eastAsia="Calibri" w:hAnsi="Verdana"/>
                <w:b/>
                <w:bCs/>
                <w:lang w:eastAsia="es-ES_tradnl"/>
              </w:rPr>
            </w:pPr>
            <w:r w:rsidRPr="00373A28">
              <w:rPr>
                <w:rFonts w:ascii="Verdana" w:eastAsia="Calibri" w:hAnsi="Verdana" w:cs="Arial"/>
                <w:lang w:val="es-ES_tradnl" w:eastAsia="es-ES_tradnl"/>
              </w:rPr>
              <w:t xml:space="preserve">Respuesta a consulta con radicado No. </w:t>
            </w:r>
            <w:r w:rsidRPr="003D35A4">
              <w:rPr>
                <w:rFonts w:ascii="Verdana" w:eastAsia="Calibri" w:hAnsi="Verdana"/>
                <w:b/>
                <w:bCs/>
                <w:lang w:eastAsia="es-ES_tradnl"/>
              </w:rPr>
              <w:t>P20240816008420</w:t>
            </w:r>
            <w:r>
              <w:rPr>
                <w:rFonts w:ascii="Verdana" w:eastAsia="Calibri" w:hAnsi="Verdana"/>
                <w:b/>
                <w:bCs/>
                <w:lang w:eastAsia="es-ES_tradnl"/>
              </w:rPr>
              <w:t>.</w:t>
            </w:r>
          </w:p>
          <w:p w14:paraId="6A03745F" w14:textId="77777777" w:rsidR="007354D4" w:rsidRPr="00373A28" w:rsidRDefault="007354D4" w:rsidP="00B34D84">
            <w:pPr>
              <w:jc w:val="both"/>
              <w:rPr>
                <w:rFonts w:ascii="Verdana" w:eastAsia="Calibri" w:hAnsi="Verdana" w:cs="Arial"/>
                <w:lang w:val="es-ES_tradnl" w:eastAsia="es-ES_tradnl"/>
              </w:rPr>
            </w:pPr>
          </w:p>
        </w:tc>
      </w:tr>
    </w:tbl>
    <w:p w14:paraId="54381F30" w14:textId="77777777" w:rsidR="007354D4" w:rsidRDefault="007354D4" w:rsidP="007354D4">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 xml:space="preserve">Estimado </w:t>
      </w:r>
      <w:r>
        <w:rPr>
          <w:rFonts w:ascii="Verdana" w:eastAsia="Calibri" w:hAnsi="Verdana" w:cs="Arial"/>
          <w:color w:val="000000" w:themeColor="text1"/>
          <w:lang w:val="es-ES" w:eastAsia="es-ES"/>
        </w:rPr>
        <w:t>Ciudadano</w:t>
      </w:r>
      <w:r w:rsidRPr="00593A5F">
        <w:rPr>
          <w:rFonts w:ascii="Verdana" w:eastAsia="Calibri" w:hAnsi="Verdana" w:cs="Arial"/>
          <w:color w:val="000000" w:themeColor="text1"/>
          <w:lang w:val="es-ES" w:eastAsia="es-ES"/>
        </w:rPr>
        <w:t xml:space="preserve">: </w:t>
      </w:r>
    </w:p>
    <w:p w14:paraId="08114870" w14:textId="77777777" w:rsidR="007354D4" w:rsidRDefault="007354D4" w:rsidP="007354D4">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1A14958E" w14:textId="77777777" w:rsidR="007354D4" w:rsidRPr="00593A5F" w:rsidRDefault="007354D4" w:rsidP="007354D4">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w:t>
      </w:r>
      <w:r w:rsidRPr="00C13AA5">
        <w:rPr>
          <w:rFonts w:ascii="Verdana" w:eastAsia="Calibri" w:hAnsi="Verdana" w:cs="Arial"/>
          <w:color w:val="000000" w:themeColor="text1"/>
          <w:lang w:val="es-ES" w:eastAsia="es-ES"/>
        </w:rPr>
        <w:t>responde su solicitud de consulta de fecha 1</w:t>
      </w:r>
      <w:r>
        <w:rPr>
          <w:rFonts w:ascii="Verdana" w:eastAsia="Calibri" w:hAnsi="Verdana" w:cs="Arial"/>
          <w:color w:val="000000" w:themeColor="text1"/>
          <w:lang w:val="es-ES" w:eastAsia="es-ES"/>
        </w:rPr>
        <w:t>6</w:t>
      </w:r>
      <w:r w:rsidRPr="00C13AA5">
        <w:rPr>
          <w:rFonts w:ascii="Verdana" w:eastAsia="Calibri" w:hAnsi="Verdana" w:cs="Arial"/>
          <w:color w:val="000000" w:themeColor="text1"/>
          <w:lang w:val="es-ES" w:eastAsia="es-ES"/>
        </w:rPr>
        <w:t xml:space="preserve"> de agosto de 2024, en la cual manifiesta lo siguiente: </w:t>
      </w:r>
    </w:p>
    <w:p w14:paraId="22BA2A26" w14:textId="77777777" w:rsidR="007354D4" w:rsidRDefault="007354D4" w:rsidP="007354D4">
      <w:pPr>
        <w:pStyle w:val="Prrafodelista"/>
        <w:tabs>
          <w:tab w:val="left" w:pos="142"/>
          <w:tab w:val="left" w:pos="284"/>
        </w:tabs>
        <w:spacing w:line="276" w:lineRule="auto"/>
        <w:ind w:left="0"/>
        <w:jc w:val="both"/>
        <w:rPr>
          <w:rFonts w:ascii="Verdana" w:eastAsia="Century Gothic" w:hAnsi="Verdana" w:cs="Century Gothic"/>
          <w:b/>
          <w:bCs/>
        </w:rPr>
      </w:pPr>
    </w:p>
    <w:p w14:paraId="5AEFCB2B" w14:textId="77777777" w:rsidR="007354D4" w:rsidRPr="009532EC" w:rsidRDefault="007354D4" w:rsidP="007354D4">
      <w:pPr>
        <w:pStyle w:val="Prrafodelista"/>
        <w:tabs>
          <w:tab w:val="left" w:pos="142"/>
          <w:tab w:val="left" w:pos="284"/>
        </w:tabs>
        <w:spacing w:line="276" w:lineRule="auto"/>
        <w:ind w:left="142"/>
        <w:jc w:val="both"/>
        <w:rPr>
          <w:rFonts w:ascii="Verdana" w:eastAsia="Century Gothic" w:hAnsi="Verdana" w:cs="Century Gothic"/>
          <w:b/>
          <w:bCs/>
          <w:sz w:val="20"/>
          <w:szCs w:val="20"/>
        </w:rPr>
      </w:pPr>
      <w:r w:rsidRPr="009532EC">
        <w:rPr>
          <w:rFonts w:ascii="Verdana" w:hAnsi="Verdana"/>
          <w:sz w:val="20"/>
          <w:szCs w:val="20"/>
        </w:rPr>
        <w:t xml:space="preserve">¿Se puede aplicar las disposiciones del articulo 58 REDUCCIÓN DE PUNTAJE POR INCUMPLIMIENTO DE CONTRATOS de la ley 2195 de 2022 en el caso de que se encuentre una multa/sanción en la plataforma del </w:t>
      </w:r>
      <w:proofErr w:type="spellStart"/>
      <w:r w:rsidRPr="009532EC">
        <w:rPr>
          <w:rFonts w:ascii="Verdana" w:hAnsi="Verdana"/>
          <w:sz w:val="20"/>
          <w:szCs w:val="20"/>
        </w:rPr>
        <w:t>Secop</w:t>
      </w:r>
      <w:proofErr w:type="spellEnd"/>
      <w:r w:rsidRPr="009532EC">
        <w:rPr>
          <w:rFonts w:ascii="Verdana" w:hAnsi="Verdana"/>
          <w:sz w:val="20"/>
          <w:szCs w:val="20"/>
        </w:rPr>
        <w:t xml:space="preserve"> II, pero esta no se encuentra registrada en el RUP?</w:t>
      </w:r>
    </w:p>
    <w:p w14:paraId="3C5228E2" w14:textId="77777777" w:rsidR="007354D4" w:rsidRDefault="007354D4" w:rsidP="007354D4">
      <w:pPr>
        <w:spacing w:after="120" w:line="276" w:lineRule="auto"/>
        <w:ind w:firstLine="709"/>
        <w:jc w:val="both"/>
        <w:rPr>
          <w:rFonts w:ascii="Verdana" w:eastAsia="Calibri" w:hAnsi="Verdana" w:cs="Arial"/>
          <w:color w:val="000000"/>
          <w:szCs w:val="24"/>
          <w:lang w:val="es-ES_tradnl" w:eastAsia="es-ES_tradnl"/>
        </w:rPr>
      </w:pPr>
      <w:r w:rsidRPr="005A77B4">
        <w:rPr>
          <w:rFonts w:ascii="Verdana" w:hAnsi="Verdana"/>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w:t>
      </w:r>
      <w:r w:rsidRPr="005A77B4">
        <w:rPr>
          <w:rFonts w:ascii="Verdana" w:hAnsi="Verdana"/>
        </w:rPr>
        <w:lastRenderedPageBreak/>
        <w:t>validación de las actuaciones de las entidades sujetas a la Ley 80 de 1993 o</w:t>
      </w:r>
      <w:r w:rsidRPr="00593A5F">
        <w:rPr>
          <w:rFonts w:ascii="Verdana" w:eastAsia="Calibri" w:hAnsi="Verdana" w:cs="Arial"/>
          <w:color w:val="000000"/>
          <w:lang w:val="es-ES" w:eastAsia="es-ES"/>
        </w:rPr>
        <w:t xml:space="preserve">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6F72E09" w14:textId="77777777" w:rsidR="007354D4" w:rsidRDefault="007354D4" w:rsidP="007354D4">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sidRPr="00C13AA5">
        <w:rPr>
          <w:rFonts w:ascii="Verdana" w:eastAsia="Calibri" w:hAnsi="Verdana" w:cs="Arial"/>
          <w:lang w:val="es-ES" w:eastAsia="es-ES"/>
        </w:rPr>
        <w:t xml:space="preserve">los </w:t>
      </w:r>
      <w:r>
        <w:rPr>
          <w:rFonts w:ascii="Verdana" w:eastAsia="Calibri" w:hAnsi="Verdana" w:cs="Arial"/>
          <w:color w:val="000000"/>
          <w:lang w:val="es-ES" w:eastAsia="es-ES"/>
        </w:rPr>
        <w:t>problema</w:t>
      </w:r>
      <w:r>
        <w:rPr>
          <w:rFonts w:ascii="Verdana" w:eastAsia="Calibri" w:hAnsi="Verdana" w:cs="Arial"/>
          <w:color w:val="7030A0"/>
          <w:lang w:val="es-ES" w:eastAsia="es-ES"/>
        </w:rPr>
        <w:t xml:space="preserve">s </w:t>
      </w:r>
      <w:r w:rsidRPr="00C13AA5">
        <w:rPr>
          <w:rFonts w:ascii="Verdana" w:eastAsia="Calibri" w:hAnsi="Verdana" w:cs="Arial"/>
          <w:lang w:val="es-ES" w:eastAsia="es-ES"/>
        </w:rPr>
        <w:t xml:space="preserve">jurídicos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43ADD122" w14:textId="77777777" w:rsidR="007354D4" w:rsidRPr="00593A5F" w:rsidRDefault="007354D4" w:rsidP="007354D4">
      <w:pPr>
        <w:spacing w:after="0" w:line="276" w:lineRule="auto"/>
        <w:ind w:firstLine="709"/>
        <w:jc w:val="both"/>
        <w:rPr>
          <w:rFonts w:ascii="Verdana" w:eastAsia="Calibri" w:hAnsi="Verdana" w:cs="Arial"/>
          <w:color w:val="000000"/>
          <w:lang w:val="es-ES" w:eastAsia="es-ES"/>
        </w:rPr>
      </w:pPr>
    </w:p>
    <w:p w14:paraId="7E3CD239" w14:textId="77777777" w:rsidR="007354D4" w:rsidRPr="00593A5F" w:rsidRDefault="007354D4" w:rsidP="007354D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E59E2D8" w14:textId="77777777" w:rsidR="007354D4" w:rsidRPr="00593A5F" w:rsidRDefault="007354D4" w:rsidP="007354D4">
      <w:pPr>
        <w:tabs>
          <w:tab w:val="left" w:pos="426"/>
        </w:tabs>
        <w:spacing w:after="0" w:line="276" w:lineRule="auto"/>
        <w:jc w:val="both"/>
        <w:rPr>
          <w:rFonts w:ascii="Verdana" w:eastAsia="Century Gothic" w:hAnsi="Verdana" w:cs="Century Gothic"/>
          <w:lang w:val="es-ES"/>
        </w:rPr>
      </w:pPr>
    </w:p>
    <w:p w14:paraId="59606856" w14:textId="77777777" w:rsidR="007354D4" w:rsidRDefault="007354D4" w:rsidP="007354D4">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siguiente</w:t>
      </w:r>
      <w:r>
        <w:rPr>
          <w:rFonts w:ascii="Verdana" w:eastAsia="Century Gothic" w:hAnsi="Verdana" w:cs="Century Gothic"/>
        </w:rPr>
        <w:t xml:space="preserve"> </w:t>
      </w:r>
      <w:r w:rsidRPr="00593A5F">
        <w:rPr>
          <w:rFonts w:ascii="Verdana" w:eastAsia="Century Gothic" w:hAnsi="Verdana" w:cs="Century Gothic"/>
        </w:rPr>
        <w:t>problema jurídico</w:t>
      </w:r>
      <w:r>
        <w:rPr>
          <w:rFonts w:ascii="Verdana" w:eastAsia="Century Gothic" w:hAnsi="Verdana" w:cs="Century Gothic"/>
        </w:rPr>
        <w:t>:</w:t>
      </w:r>
      <w:r w:rsidRPr="00593A5F">
        <w:rPr>
          <w:rFonts w:ascii="Verdana" w:eastAsia="Century Gothic" w:hAnsi="Verdana" w:cs="Century Gothic"/>
        </w:rPr>
        <w:t xml:space="preserve"> </w:t>
      </w:r>
    </w:p>
    <w:p w14:paraId="628F8C6C" w14:textId="77777777" w:rsidR="007354D4" w:rsidRDefault="007354D4" w:rsidP="007354D4">
      <w:pPr>
        <w:spacing w:after="0" w:line="276" w:lineRule="auto"/>
        <w:jc w:val="both"/>
        <w:rPr>
          <w:rFonts w:ascii="Verdana" w:eastAsia="Verdana" w:hAnsi="Verdana" w:cs="Verdana"/>
          <w:lang w:val="es-ES"/>
        </w:rPr>
      </w:pPr>
    </w:p>
    <w:p w14:paraId="380AFBA1" w14:textId="77777777" w:rsidR="007354D4" w:rsidRDefault="007354D4" w:rsidP="007354D4">
      <w:pPr>
        <w:pStyle w:val="Prrafodelista"/>
        <w:tabs>
          <w:tab w:val="left" w:pos="142"/>
          <w:tab w:val="left" w:pos="284"/>
        </w:tabs>
        <w:spacing w:line="276" w:lineRule="auto"/>
        <w:ind w:left="142"/>
        <w:jc w:val="both"/>
        <w:rPr>
          <w:rFonts w:ascii="Verdana" w:hAnsi="Verdana" w:cs="Arial"/>
          <w:bCs/>
          <w:iCs/>
          <w:color w:val="000000" w:themeColor="text1"/>
          <w:lang w:val="es-ES_tradnl"/>
        </w:rPr>
      </w:pPr>
      <w:r w:rsidRPr="00087246">
        <w:rPr>
          <w:rFonts w:ascii="Verdana" w:hAnsi="Verdana" w:cs="Arial"/>
          <w:bCs/>
          <w:iCs/>
          <w:color w:val="000000" w:themeColor="text1"/>
          <w:lang w:val="es-ES_tradnl"/>
        </w:rPr>
        <w:t xml:space="preserve">¿Cuál es el alcance del artículo 58 de la Ley 2195 de 2022? </w:t>
      </w:r>
    </w:p>
    <w:p w14:paraId="186414A6" w14:textId="77777777" w:rsidR="007354D4" w:rsidRPr="00087246" w:rsidRDefault="007354D4" w:rsidP="007354D4">
      <w:pPr>
        <w:pStyle w:val="Prrafodelista"/>
        <w:tabs>
          <w:tab w:val="left" w:pos="142"/>
          <w:tab w:val="left" w:pos="284"/>
        </w:tabs>
        <w:spacing w:line="276" w:lineRule="auto"/>
        <w:ind w:left="142"/>
        <w:jc w:val="both"/>
        <w:rPr>
          <w:rFonts w:ascii="Verdana" w:eastAsia="Century Gothic" w:hAnsi="Verdana" w:cs="Century Gothic"/>
          <w:b/>
          <w:bCs/>
        </w:rPr>
      </w:pPr>
    </w:p>
    <w:p w14:paraId="5278F0E1" w14:textId="77777777" w:rsidR="007354D4" w:rsidRPr="00593A5F" w:rsidRDefault="007354D4" w:rsidP="007354D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04BDDA02" w14:textId="77777777" w:rsidR="007354D4" w:rsidRPr="00593A5F" w:rsidRDefault="007354D4" w:rsidP="007354D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354D4" w:rsidRPr="00087246" w14:paraId="69C48175" w14:textId="77777777" w:rsidTr="0859A5EE">
        <w:tc>
          <w:tcPr>
            <w:tcW w:w="8828" w:type="dxa"/>
            <w:shd w:val="clear" w:color="auto" w:fill="auto"/>
          </w:tcPr>
          <w:p w14:paraId="02613248" w14:textId="77777777" w:rsidR="007354D4" w:rsidRPr="00835C1C" w:rsidRDefault="007354D4" w:rsidP="0859A5EE">
            <w:pPr>
              <w:shd w:val="clear" w:color="auto" w:fill="FFFFFF" w:themeFill="background1"/>
              <w:spacing w:line="276" w:lineRule="auto"/>
              <w:jc w:val="both"/>
              <w:rPr>
                <w:rFonts w:ascii="Verdana" w:eastAsia="Times New Roman" w:hAnsi="Verdana" w:cs="Arial"/>
                <w:color w:val="000000"/>
                <w:lang w:val="es-ES" w:eastAsia="es-ES"/>
              </w:rPr>
            </w:pPr>
            <w:r w:rsidRPr="0859A5EE">
              <w:rPr>
                <w:rFonts w:ascii="Verdana" w:eastAsia="Calibri" w:hAnsi="Verdana" w:cs="Arial"/>
                <w:color w:val="000000" w:themeColor="text1"/>
                <w:lang w:val="es-ES" w:eastAsia="es-ES"/>
              </w:rPr>
              <w:t>La Ley 2195 de 2022, como lo establece su artículo 1, «</w:t>
            </w:r>
            <w:r w:rsidRPr="0859A5EE">
              <w:rPr>
                <w:rFonts w:ascii="Verdana" w:eastAsia="Times New Roman" w:hAnsi="Verdana" w:cs="Arial"/>
                <w:color w:val="000000" w:themeColor="text1"/>
                <w:lang w:val="es-ES" w:eastAsia="es-ES"/>
              </w:rPr>
              <w:t xml:space="preserve">[…] </w:t>
            </w:r>
            <w:r w:rsidRPr="0859A5EE">
              <w:rPr>
                <w:rFonts w:ascii="Verdana" w:eastAsia="Calibri" w:hAnsi="Verdana" w:cs="Arial"/>
                <w:color w:val="000000" w:themeColor="text1"/>
                <w:lang w:val="es-ES" w:eastAsia="es-ES"/>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w:t>
            </w:r>
            <w:proofErr w:type="spellStart"/>
            <w:r w:rsidRPr="0859A5EE">
              <w:rPr>
                <w:rFonts w:ascii="Verdana" w:eastAsia="Calibri" w:hAnsi="Verdana" w:cs="Arial"/>
                <w:color w:val="000000" w:themeColor="text1"/>
                <w:lang w:val="es-ES" w:eastAsia="es-ES"/>
              </w:rPr>
              <w:t>ii</w:t>
            </w:r>
            <w:proofErr w:type="spellEnd"/>
            <w:r w:rsidRPr="0859A5EE">
              <w:rPr>
                <w:rFonts w:ascii="Verdana" w:eastAsia="Calibri" w:hAnsi="Verdana" w:cs="Arial"/>
                <w:color w:val="000000" w:themeColor="text1"/>
                <w:lang w:val="es-ES" w:eastAsia="es-ES"/>
              </w:rPr>
              <w:t xml:space="preserve">) la inhabilidad por incumplimiento reiterado en los contratos de alimentación escolar –artículo 51–, </w:t>
            </w:r>
            <w:proofErr w:type="spellStart"/>
            <w:r w:rsidRPr="0859A5EE">
              <w:rPr>
                <w:rFonts w:ascii="Verdana" w:eastAsia="Calibri" w:hAnsi="Verdana" w:cs="Arial"/>
                <w:color w:val="000000" w:themeColor="text1"/>
                <w:lang w:val="es-ES" w:eastAsia="es-ES"/>
              </w:rPr>
              <w:t>iii</w:t>
            </w:r>
            <w:proofErr w:type="spellEnd"/>
            <w:r w:rsidRPr="0859A5EE">
              <w:rPr>
                <w:rFonts w:ascii="Verdana" w:eastAsia="Calibri" w:hAnsi="Verdana" w:cs="Arial"/>
                <w:color w:val="000000" w:themeColor="text1"/>
                <w:lang w:val="es-ES" w:eastAsia="es-ES"/>
              </w:rPr>
              <w:t xml:space="preserve">) las cláusulas excepcionales en los contratos celebrados con el objeto señalado anteriormente –artículo 52–, </w:t>
            </w:r>
            <w:proofErr w:type="spellStart"/>
            <w:r w:rsidRPr="0859A5EE">
              <w:rPr>
                <w:rFonts w:ascii="Verdana" w:eastAsia="Calibri" w:hAnsi="Verdana" w:cs="Arial"/>
                <w:color w:val="000000" w:themeColor="text1"/>
                <w:lang w:val="es-ES" w:eastAsia="es-ES"/>
              </w:rPr>
              <w:t>iv</w:t>
            </w:r>
            <w:proofErr w:type="spellEnd"/>
            <w:r w:rsidRPr="0859A5EE">
              <w:rPr>
                <w:rFonts w:ascii="Verdana" w:eastAsia="Calibri" w:hAnsi="Verdana" w:cs="Arial"/>
                <w:color w:val="000000" w:themeColor="text1"/>
                <w:lang w:val="es-ES" w:eastAsia="es-ES"/>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Pr="0859A5EE">
              <w:rPr>
                <w:rFonts w:ascii="Verdana" w:eastAsia="Calibri" w:hAnsi="Verdana" w:cs="Arial"/>
                <w:i/>
                <w:iCs/>
                <w:color w:val="000000" w:themeColor="text1"/>
                <w:lang w:val="es-ES" w:eastAsia="es-ES"/>
              </w:rPr>
              <w:t>no</w:t>
            </w:r>
            <w:r w:rsidRPr="0859A5EE">
              <w:rPr>
                <w:rFonts w:ascii="Verdana" w:eastAsia="Calibri" w:hAnsi="Verdana" w:cs="Arial"/>
                <w:color w:val="000000" w:themeColor="text1"/>
                <w:lang w:val="es-ES" w:eastAsia="es-ES"/>
              </w:rPr>
              <w:t xml:space="preserve"> uniformes de común utilización –artículo 54–, vi) la </w:t>
            </w:r>
            <w:r w:rsidRPr="0859A5EE">
              <w:rPr>
                <w:rFonts w:ascii="Verdana" w:eastAsia="Calibri" w:hAnsi="Verdana" w:cs="Arial"/>
                <w:color w:val="000000" w:themeColor="text1"/>
                <w:lang w:val="es-ES" w:eastAsia="es-ES"/>
              </w:rPr>
              <w:lastRenderedPageBreak/>
              <w:t xml:space="preserve">obligación de adoptar el modelo de autoevaluación periódico para los sujetos obligados a implementar políticas de transparencia y ética empresarial –artículo 55–, </w:t>
            </w:r>
            <w:proofErr w:type="spellStart"/>
            <w:r w:rsidRPr="0859A5EE">
              <w:rPr>
                <w:rFonts w:ascii="Verdana" w:eastAsia="Calibri" w:hAnsi="Verdana" w:cs="Arial"/>
                <w:color w:val="000000" w:themeColor="text1"/>
                <w:lang w:val="es-ES" w:eastAsia="es-ES"/>
              </w:rPr>
              <w:t>vii</w:t>
            </w:r>
            <w:proofErr w:type="spellEnd"/>
            <w:r w:rsidRPr="0859A5EE">
              <w:rPr>
                <w:rFonts w:ascii="Verdana" w:eastAsia="Calibri" w:hAnsi="Verdana" w:cs="Arial"/>
                <w:color w:val="000000" w:themeColor="text1"/>
                <w:lang w:val="es-ES" w:eastAsia="es-ES"/>
              </w:rPr>
              <w:t xml:space="preserve">) la aplicación de los documentos tipo a entidades con régimen especial –artículo 56–, </w:t>
            </w:r>
            <w:proofErr w:type="spellStart"/>
            <w:r w:rsidRPr="0859A5EE">
              <w:rPr>
                <w:rFonts w:ascii="Verdana" w:eastAsia="Calibri" w:hAnsi="Verdana" w:cs="Arial"/>
                <w:color w:val="000000" w:themeColor="text1"/>
                <w:lang w:val="es-ES" w:eastAsia="es-ES"/>
              </w:rPr>
              <w:t>viii</w:t>
            </w:r>
            <w:proofErr w:type="spellEnd"/>
            <w:r w:rsidRPr="0859A5EE">
              <w:rPr>
                <w:rFonts w:ascii="Verdana" w:eastAsia="Calibri" w:hAnsi="Verdana" w:cs="Arial"/>
                <w:color w:val="000000" w:themeColor="text1"/>
                <w:lang w:val="es-ES" w:eastAsia="es-ES"/>
              </w:rPr>
              <w:t xml:space="preserve">) la obligación, radicada en los revisores fiscales, de denunciar los actos de corrupción –artículo 57–, y </w:t>
            </w:r>
            <w:proofErr w:type="spellStart"/>
            <w:r w:rsidRPr="0859A5EE">
              <w:rPr>
                <w:rFonts w:ascii="Verdana" w:eastAsia="Calibri" w:hAnsi="Verdana" w:cs="Arial"/>
                <w:color w:val="000000" w:themeColor="text1"/>
                <w:lang w:val="es-ES" w:eastAsia="es-ES"/>
              </w:rPr>
              <w:t>ix</w:t>
            </w:r>
            <w:proofErr w:type="spellEnd"/>
            <w:r w:rsidRPr="0859A5EE">
              <w:rPr>
                <w:rFonts w:ascii="Verdana" w:eastAsia="Calibri" w:hAnsi="Verdana" w:cs="Arial"/>
                <w:color w:val="000000" w:themeColor="text1"/>
                <w:lang w:val="es-ES" w:eastAsia="es-ES"/>
              </w:rPr>
              <w:t>) la reducción de puntaje por incumplimiento de contratos –artículo 58–.</w:t>
            </w:r>
            <w:r w:rsidRPr="0859A5EE">
              <w:rPr>
                <w:rFonts w:ascii="Verdana" w:eastAsia="Times New Roman" w:hAnsi="Verdana" w:cs="Arial"/>
                <w:color w:val="000000" w:themeColor="text1"/>
                <w:lang w:val="es-ES" w:eastAsia="es-ES"/>
              </w:rPr>
              <w:t xml:space="preserve"> Para entender la finalidad del Capítulo VIII, se exponen los antecedentes normativos, contenida en la exposición de motivos: </w:t>
            </w:r>
          </w:p>
          <w:p w14:paraId="65D2A66E" w14:textId="77777777" w:rsidR="007354D4" w:rsidRPr="00835C1C" w:rsidRDefault="007354D4" w:rsidP="00B34D84">
            <w:pPr>
              <w:shd w:val="clear" w:color="auto" w:fill="FFFFFF"/>
              <w:spacing w:line="276" w:lineRule="auto"/>
              <w:jc w:val="both"/>
              <w:rPr>
                <w:rFonts w:ascii="Verdana" w:eastAsia="Times New Roman" w:hAnsi="Verdana" w:cs="Arial"/>
                <w:color w:val="000000"/>
                <w:lang w:val="es-ES_tradnl" w:eastAsia="es-ES"/>
              </w:rPr>
            </w:pPr>
          </w:p>
          <w:p w14:paraId="5D47C598" w14:textId="77777777" w:rsidR="007354D4" w:rsidRPr="00835C1C" w:rsidRDefault="007354D4" w:rsidP="00B34D84">
            <w:pPr>
              <w:shd w:val="clear" w:color="auto" w:fill="FFFFFF"/>
              <w:spacing w:line="276" w:lineRule="auto"/>
              <w:ind w:left="709" w:right="709"/>
              <w:jc w:val="both"/>
              <w:rPr>
                <w:rFonts w:ascii="Verdana" w:eastAsia="Times New Roman" w:hAnsi="Verdana" w:cs="Arial"/>
                <w:color w:val="000000"/>
                <w:sz w:val="21"/>
                <w:szCs w:val="21"/>
                <w:lang w:val="es-ES_tradnl" w:eastAsia="es-ES"/>
              </w:rPr>
            </w:pPr>
            <w:r w:rsidRPr="00835C1C">
              <w:rPr>
                <w:rFonts w:ascii="Verdana" w:eastAsia="Times New Roman" w:hAnsi="Verdana" w:cs="Arial"/>
                <w:color w:val="000000"/>
                <w:sz w:val="21"/>
                <w:szCs w:val="21"/>
                <w:lang w:val="es-ES_tradnl" w:eastAsia="es-ES"/>
              </w:rPr>
              <w:t>La experiencia demuestra que no bastan sanciones económicas, disciplinarias, fiscales o penales, sino que es necesario exaltar una verdadera política pública de prevención en el ejercicio de la actividad contractual y de la gestión pública. Por eso, este proyecto propone el fortalecimiento de algunas disposiciones jurídicas que promuevan la gestión contractual del Estado y faciliten los mecanismos de prevención de la corrupción en esa materia</w:t>
            </w:r>
            <w:r w:rsidRPr="00835C1C">
              <w:rPr>
                <w:rFonts w:ascii="Verdana" w:eastAsia="Times New Roman" w:hAnsi="Verdana" w:cs="Arial"/>
                <w:color w:val="000000"/>
                <w:sz w:val="21"/>
                <w:szCs w:val="21"/>
                <w:vertAlign w:val="superscript"/>
                <w:lang w:val="es-ES_tradnl" w:eastAsia="es-ES"/>
              </w:rPr>
              <w:footnoteReference w:id="1"/>
            </w:r>
            <w:r w:rsidRPr="00835C1C">
              <w:rPr>
                <w:rFonts w:ascii="Verdana" w:eastAsia="Times New Roman" w:hAnsi="Verdana" w:cs="Arial"/>
                <w:color w:val="000000"/>
                <w:sz w:val="21"/>
                <w:szCs w:val="21"/>
                <w:lang w:val="es-ES_tradnl" w:eastAsia="es-ES"/>
              </w:rPr>
              <w:t xml:space="preserve">. </w:t>
            </w:r>
          </w:p>
          <w:p w14:paraId="25743DD3" w14:textId="77777777" w:rsidR="007354D4" w:rsidRPr="00835C1C" w:rsidRDefault="007354D4" w:rsidP="00B34D84">
            <w:pPr>
              <w:shd w:val="clear" w:color="auto" w:fill="FFFFFF"/>
              <w:spacing w:after="120" w:line="276" w:lineRule="auto"/>
              <w:ind w:left="709" w:right="709"/>
              <w:jc w:val="both"/>
              <w:rPr>
                <w:rFonts w:ascii="Verdana" w:eastAsia="Times New Roman" w:hAnsi="Verdana" w:cs="Arial"/>
                <w:color w:val="000000"/>
                <w:sz w:val="21"/>
                <w:szCs w:val="21"/>
                <w:lang w:val="es-ES_tradnl" w:eastAsia="es-ES"/>
              </w:rPr>
            </w:pPr>
          </w:p>
          <w:p w14:paraId="777486D0" w14:textId="77777777" w:rsidR="007354D4" w:rsidRPr="00835C1C" w:rsidRDefault="007354D4" w:rsidP="0859A5EE">
            <w:pPr>
              <w:spacing w:line="276" w:lineRule="auto"/>
              <w:ind w:firstLine="709"/>
              <w:jc w:val="both"/>
              <w:rPr>
                <w:rFonts w:ascii="Verdana" w:eastAsia="Calibri" w:hAnsi="Verdana" w:cs="Arial"/>
                <w:color w:val="000000"/>
                <w:lang w:val="es-ES" w:eastAsia="es-ES"/>
              </w:rPr>
            </w:pPr>
            <w:r w:rsidRPr="0859A5EE">
              <w:rPr>
                <w:rFonts w:ascii="Verdana" w:eastAsia="Times New Roman" w:hAnsi="Verdana" w:cs="Arial"/>
                <w:color w:val="000000" w:themeColor="text1"/>
                <w:lang w:val="es-ES" w:eastAsia="es-ES"/>
              </w:rPr>
              <w:t xml:space="preserve">En este contexto, el Capítulo VIII busca establecer herramientas para la lucha contra la corrupción y la salvaguarda de la transparencia en la gestión contractual. En tal sentido, </w:t>
            </w:r>
            <w:r w:rsidRPr="0859A5EE">
              <w:rPr>
                <w:rFonts w:ascii="Verdana" w:eastAsia="Calibri" w:hAnsi="Verdana" w:cs="Arial"/>
                <w:color w:val="000000" w:themeColor="text1"/>
                <w:lang w:val="es-ES" w:eastAsia="es-ES"/>
              </w:rPr>
              <w:t>la consulta que se estudia en esta oportunidad tiene que ver, precisamente, con el último aspecto señalado, es decir, con la reducción del puntaje ordenada por el artículo 58 de la Ley 2195 de 2022. Esta norma dispone:</w:t>
            </w:r>
          </w:p>
          <w:p w14:paraId="4C64DE7C" w14:textId="77777777" w:rsidR="007354D4" w:rsidRPr="00835C1C" w:rsidRDefault="007354D4" w:rsidP="00B34D84">
            <w:pPr>
              <w:ind w:left="709" w:right="709"/>
              <w:jc w:val="both"/>
              <w:rPr>
                <w:rFonts w:ascii="Verdana" w:eastAsia="Calibri" w:hAnsi="Verdana" w:cs="Arial"/>
                <w:color w:val="000000"/>
                <w:sz w:val="19"/>
                <w:szCs w:val="19"/>
                <w:lang w:val="es-ES_tradnl" w:eastAsia="es-ES_tradnl"/>
              </w:rPr>
            </w:pPr>
          </w:p>
          <w:p w14:paraId="54B81DE0" w14:textId="77777777" w:rsidR="007354D4" w:rsidRPr="00835C1C" w:rsidRDefault="007354D4" w:rsidP="00B34D84">
            <w:pPr>
              <w:ind w:left="709" w:right="709"/>
              <w:jc w:val="both"/>
              <w:rPr>
                <w:rFonts w:ascii="Verdana" w:eastAsia="Calibri" w:hAnsi="Verdana" w:cs="Arial"/>
                <w:color w:val="000000"/>
                <w:sz w:val="21"/>
                <w:szCs w:val="21"/>
                <w:lang w:val="es-ES_tradnl" w:eastAsia="es-ES_tradnl"/>
              </w:rPr>
            </w:pPr>
            <w:r w:rsidRPr="00835C1C">
              <w:rPr>
                <w:rFonts w:ascii="Verdana" w:eastAsia="Calibri" w:hAnsi="Verdana" w:cs="Arial"/>
                <w:color w:val="000000"/>
                <w:sz w:val="21"/>
                <w:szCs w:val="21"/>
                <w:lang w:val="es-ES_tradnl" w:eastAsia="es-ES_tradnl"/>
              </w:rPr>
              <w:t xml:space="preserve">Las entidades estatales sometidas al Estatuto General de Contratación de la Administración Pública que adelanten cualquier Proceso de Contratación, exceptuando los supuestos establecidos en el literal a) del numeral 2 del artículo 2 de la Ley 1150 de 2007, en los de mínima cuantía y en aquellos donde únicamente se pondere el menor precio ofrecido,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 </w:t>
            </w:r>
          </w:p>
          <w:p w14:paraId="365F0A9E" w14:textId="77777777" w:rsidR="007354D4" w:rsidRPr="00835C1C" w:rsidRDefault="007354D4" w:rsidP="00B34D84">
            <w:pPr>
              <w:ind w:left="709" w:right="709"/>
              <w:jc w:val="both"/>
              <w:rPr>
                <w:rFonts w:ascii="Verdana" w:eastAsia="Calibri" w:hAnsi="Verdana" w:cs="Arial"/>
                <w:color w:val="000000"/>
                <w:sz w:val="21"/>
                <w:szCs w:val="21"/>
                <w:lang w:val="es-ES_tradnl" w:eastAsia="es-ES_tradnl"/>
              </w:rPr>
            </w:pPr>
          </w:p>
          <w:p w14:paraId="77272CFB" w14:textId="77777777" w:rsidR="007354D4" w:rsidRPr="00835C1C" w:rsidRDefault="007354D4" w:rsidP="00B34D84">
            <w:pPr>
              <w:ind w:left="709" w:right="709"/>
              <w:jc w:val="both"/>
              <w:rPr>
                <w:rFonts w:ascii="Verdana" w:eastAsia="Calibri" w:hAnsi="Verdana" w:cs="Arial"/>
                <w:color w:val="000000"/>
                <w:sz w:val="21"/>
                <w:szCs w:val="21"/>
                <w:lang w:val="es-ES_tradnl" w:eastAsia="es-ES_tradnl"/>
              </w:rPr>
            </w:pPr>
            <w:r w:rsidRPr="00835C1C">
              <w:rPr>
                <w:rFonts w:ascii="Verdana" w:eastAsia="Calibri" w:hAnsi="Verdana" w:cs="Arial"/>
                <w:color w:val="000000"/>
                <w:sz w:val="21"/>
                <w:szCs w:val="21"/>
                <w:lang w:val="es-ES_tradnl" w:eastAsia="es-ES_tradnl"/>
              </w:rPr>
              <w:lastRenderedPageBreak/>
              <w:t xml:space="preserve">Esta reducción también afecta a los consorcios y uniones temporales si alguno de sus integrantes se encuentra en la situación anterior. </w:t>
            </w:r>
          </w:p>
          <w:p w14:paraId="34F5945E" w14:textId="77777777" w:rsidR="007354D4" w:rsidRPr="00835C1C" w:rsidRDefault="007354D4" w:rsidP="00B34D84">
            <w:pPr>
              <w:ind w:left="709" w:right="709"/>
              <w:jc w:val="both"/>
              <w:rPr>
                <w:rFonts w:ascii="Verdana" w:eastAsia="Calibri" w:hAnsi="Verdana" w:cs="Arial"/>
                <w:color w:val="000000"/>
                <w:sz w:val="21"/>
                <w:szCs w:val="21"/>
                <w:lang w:val="es-ES_tradnl" w:eastAsia="es-ES_tradnl"/>
              </w:rPr>
            </w:pPr>
          </w:p>
          <w:p w14:paraId="4C49A54D" w14:textId="77777777" w:rsidR="007354D4" w:rsidRPr="00835C1C" w:rsidRDefault="007354D4" w:rsidP="00B34D84">
            <w:pPr>
              <w:ind w:left="709" w:right="709"/>
              <w:jc w:val="both"/>
              <w:rPr>
                <w:rFonts w:ascii="Verdana" w:eastAsia="Calibri" w:hAnsi="Verdana" w:cs="Arial"/>
                <w:color w:val="000000"/>
                <w:sz w:val="21"/>
                <w:szCs w:val="21"/>
                <w:lang w:val="es-ES_tradnl" w:eastAsia="es-ES_tradnl"/>
              </w:rPr>
            </w:pPr>
            <w:r w:rsidRPr="00835C1C">
              <w:rPr>
                <w:rFonts w:ascii="Verdana" w:eastAsia="Calibri" w:hAnsi="Verdana" w:cs="Arial"/>
                <w:color w:val="000000"/>
                <w:sz w:val="21"/>
                <w:szCs w:val="21"/>
                <w:lang w:val="es-ES_tradnl" w:eastAsia="es-ES_tradnl"/>
              </w:rPr>
              <w:t xml:space="preserve">Parágrafo primero. La reducción del puntaje no se aplicará en caso de que los actos administrativos que hayan impuesto las multas sean objeto de medios de control jurisdiccional a través de las acciones previstas en la Ley 1437 de 2011 o las normas que la modifiquen, adicionen o sustituyan. </w:t>
            </w:r>
          </w:p>
          <w:p w14:paraId="40575BEE" w14:textId="77777777" w:rsidR="007354D4" w:rsidRPr="00835C1C" w:rsidRDefault="007354D4" w:rsidP="00B34D84">
            <w:pPr>
              <w:ind w:left="709" w:right="709"/>
              <w:jc w:val="both"/>
              <w:rPr>
                <w:rFonts w:ascii="Verdana" w:eastAsia="Calibri" w:hAnsi="Verdana" w:cs="Arial"/>
                <w:color w:val="000000"/>
                <w:sz w:val="21"/>
                <w:szCs w:val="21"/>
                <w:lang w:val="es-ES_tradnl" w:eastAsia="es-ES_tradnl"/>
              </w:rPr>
            </w:pPr>
          </w:p>
          <w:p w14:paraId="726E94F2" w14:textId="77777777" w:rsidR="007354D4" w:rsidRPr="00835C1C" w:rsidRDefault="007354D4" w:rsidP="00B34D84">
            <w:pPr>
              <w:ind w:left="709" w:right="709"/>
              <w:jc w:val="both"/>
              <w:rPr>
                <w:rFonts w:ascii="Verdana" w:eastAsia="Calibri" w:hAnsi="Verdana" w:cs="Arial"/>
                <w:color w:val="000000"/>
                <w:sz w:val="21"/>
                <w:szCs w:val="21"/>
                <w:lang w:val="es-ES_tradnl" w:eastAsia="es-ES_tradnl"/>
              </w:rPr>
            </w:pPr>
            <w:r w:rsidRPr="00835C1C">
              <w:rPr>
                <w:rFonts w:ascii="Verdana" w:eastAsia="Calibri" w:hAnsi="Verdana" w:cs="Arial"/>
                <w:color w:val="000000"/>
                <w:sz w:val="21"/>
                <w:szCs w:val="21"/>
                <w:lang w:val="es-ES_tradnl" w:eastAsia="es-ES_tradnl"/>
              </w:rPr>
              <w:t xml:space="preserve">Parágrafo segundo. La reducción de puntaje por incumplimiento de contratos se aplicará sin perjuicio de lo contenido en el artículo 6 de la Ley 2020 de 2020. </w:t>
            </w:r>
          </w:p>
          <w:p w14:paraId="1754FFCD" w14:textId="77777777" w:rsidR="007354D4" w:rsidRPr="00835C1C" w:rsidRDefault="007354D4" w:rsidP="00B34D84">
            <w:pPr>
              <w:ind w:left="709" w:right="709"/>
              <w:jc w:val="both"/>
              <w:rPr>
                <w:rFonts w:ascii="Verdana" w:eastAsia="Calibri" w:hAnsi="Verdana" w:cs="Arial"/>
                <w:color w:val="000000"/>
                <w:lang w:val="es-ES_tradnl" w:eastAsia="es-ES_tradnl"/>
              </w:rPr>
            </w:pPr>
          </w:p>
          <w:p w14:paraId="32E626ED" w14:textId="77777777" w:rsidR="007354D4" w:rsidRPr="006C345F" w:rsidRDefault="007354D4" w:rsidP="00B34D84">
            <w:pPr>
              <w:pStyle w:val="Sinespaciado"/>
              <w:ind w:left="708"/>
              <w:rPr>
                <w:rFonts w:ascii="Verdana" w:hAnsi="Verdana"/>
                <w:lang w:val="es-ES_tradnl" w:eastAsia="es-ES_tradnl"/>
              </w:rPr>
            </w:pPr>
            <w:r w:rsidRPr="006C345F">
              <w:rPr>
                <w:rFonts w:ascii="Verdana" w:hAnsi="Verdana"/>
                <w:lang w:val="es-ES_tradnl" w:eastAsia="es-ES_tradnl"/>
              </w:rPr>
              <w:t>Como puede advertirse, esta disposición contiene las reglas que, a continuación, se explican:</w:t>
            </w:r>
          </w:p>
          <w:p w14:paraId="42702891" w14:textId="77777777" w:rsidR="007354D4" w:rsidRPr="00835C1C" w:rsidRDefault="007354D4" w:rsidP="0859A5EE">
            <w:pPr>
              <w:spacing w:before="120" w:line="276" w:lineRule="auto"/>
              <w:ind w:firstLine="709"/>
              <w:jc w:val="both"/>
              <w:rPr>
                <w:rFonts w:ascii="Verdana" w:eastAsia="Calibri" w:hAnsi="Verdana" w:cs="Arial"/>
                <w:color w:val="000000"/>
                <w:lang w:val="es-ES" w:eastAsia="es-ES"/>
              </w:rPr>
            </w:pPr>
            <w:r w:rsidRPr="0859A5EE">
              <w:rPr>
                <w:rFonts w:ascii="Verdana" w:eastAsia="Calibri" w:hAnsi="Verdana" w:cs="Arial"/>
                <w:color w:val="000000" w:themeColor="text1"/>
                <w:lang w:val="es-ES" w:eastAsia="es-ES"/>
              </w:rPr>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63D10DAD" w14:textId="77777777" w:rsidR="007354D4" w:rsidRPr="00835C1C" w:rsidRDefault="007354D4" w:rsidP="00B34D84">
            <w:pPr>
              <w:spacing w:before="120" w:line="276" w:lineRule="auto"/>
              <w:ind w:firstLine="709"/>
              <w:jc w:val="both"/>
              <w:rPr>
                <w:rFonts w:ascii="Verdana" w:eastAsia="Calibri" w:hAnsi="Verdana" w:cs="Arial"/>
                <w:color w:val="000000"/>
                <w:szCs w:val="24"/>
                <w:lang w:val="es-ES_tradnl" w:eastAsia="es-ES_tradnl"/>
              </w:rPr>
            </w:pPr>
            <w:proofErr w:type="spellStart"/>
            <w:r w:rsidRPr="00835C1C">
              <w:rPr>
                <w:rFonts w:ascii="Verdana" w:eastAsia="Calibri" w:hAnsi="Verdana" w:cs="Arial"/>
                <w:color w:val="000000"/>
                <w:szCs w:val="24"/>
                <w:lang w:val="es-ES_tradnl" w:eastAsia="es-ES_tradnl"/>
              </w:rPr>
              <w:t>ii</w:t>
            </w:r>
            <w:proofErr w:type="spellEnd"/>
            <w:r w:rsidRPr="00835C1C">
              <w:rPr>
                <w:rFonts w:ascii="Verdana" w:eastAsia="Calibri" w:hAnsi="Verdana" w:cs="Arial"/>
                <w:color w:val="000000"/>
                <w:szCs w:val="24"/>
                <w:lang w:val="es-ES_tradnl" w:eastAsia="es-ES_tradnl"/>
              </w:rPr>
              <w:t>) Sin embargo, el deber de reducción del puntaje, para las entidades sometidas al Estatuto General de Contratación de la Administración Pública, previsto en el artículo que se viene comentando, tiene algunas excepciones. Los supuestos en los que no aplica dicha disminución son los consagrados en el primer inciso del artículo 58 –en comento–, a saber: los «establecidos en el literal a) del numeral 2 del artículo 2 de la Ley 1150 de 2007</w:t>
            </w:r>
            <w:r w:rsidRPr="00835C1C">
              <w:rPr>
                <w:rFonts w:ascii="Verdana" w:eastAsia="Calibri" w:hAnsi="Verdana" w:cs="Arial"/>
                <w:color w:val="000000"/>
                <w:sz w:val="24"/>
                <w:szCs w:val="24"/>
                <w:vertAlign w:val="superscript"/>
                <w:lang w:eastAsia="es-ES_tradnl"/>
              </w:rPr>
              <w:footnoteReference w:id="2"/>
            </w:r>
            <w:r w:rsidRPr="00835C1C">
              <w:rPr>
                <w:rFonts w:ascii="Verdana" w:eastAsia="Calibri" w:hAnsi="Verdana" w:cs="Arial"/>
                <w:color w:val="000000"/>
                <w:szCs w:val="24"/>
                <w:lang w:val="es-ES_tradnl" w:eastAsia="es-ES_tradnl"/>
              </w:rPr>
              <w:t>, en los de mínima cuantía y en aquellos donde únicamente se pondere el menor precio ofrecido».</w:t>
            </w:r>
          </w:p>
          <w:p w14:paraId="66069F3B" w14:textId="77777777" w:rsidR="007354D4" w:rsidRPr="00835C1C" w:rsidRDefault="007354D4" w:rsidP="0859A5EE">
            <w:pPr>
              <w:spacing w:before="120" w:line="276" w:lineRule="auto"/>
              <w:ind w:firstLine="709"/>
              <w:jc w:val="both"/>
              <w:rPr>
                <w:rFonts w:ascii="Verdana" w:eastAsia="Calibri" w:hAnsi="Verdana" w:cs="Arial"/>
                <w:color w:val="000000"/>
                <w:lang w:val="es-ES" w:eastAsia="es-ES"/>
              </w:rPr>
            </w:pPr>
            <w:proofErr w:type="spellStart"/>
            <w:r w:rsidRPr="0859A5EE">
              <w:rPr>
                <w:rFonts w:ascii="Verdana" w:eastAsia="Calibri" w:hAnsi="Verdana" w:cs="Arial"/>
                <w:color w:val="000000" w:themeColor="text1"/>
                <w:lang w:val="es-ES" w:eastAsia="es-ES"/>
              </w:rPr>
              <w:t>iii</w:t>
            </w:r>
            <w:proofErr w:type="spellEnd"/>
            <w:r w:rsidRPr="0859A5EE">
              <w:rPr>
                <w:rFonts w:ascii="Verdana" w:eastAsia="Calibri" w:hAnsi="Verdana" w:cs="Arial"/>
                <w:color w:val="000000" w:themeColor="text1"/>
                <w:lang w:val="es-ES" w:eastAsia="es-ES"/>
              </w:rPr>
              <w:t xml:space="preserve">)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859A5EE">
              <w:rPr>
                <w:rFonts w:ascii="Verdana" w:eastAsia="Calibri" w:hAnsi="Verdana" w:cs="Arial"/>
                <w:i/>
                <w:iCs/>
                <w:color w:val="000000" w:themeColor="text1"/>
                <w:lang w:val="es-ES" w:eastAsia="es-ES"/>
              </w:rPr>
              <w:t>hasta</w:t>
            </w:r>
            <w:r w:rsidRPr="0859A5EE">
              <w:rPr>
                <w:rFonts w:ascii="Verdana" w:eastAsia="Calibri" w:hAnsi="Verdana" w:cs="Arial"/>
                <w:color w:val="000000" w:themeColor="text1"/>
                <w:lang w:val="es-ES" w:eastAsia="es-ES"/>
              </w:rPr>
              <w:t xml:space="preserve">, ni dice que debe ser, </w:t>
            </w:r>
            <w:r w:rsidRPr="0859A5EE">
              <w:rPr>
                <w:rFonts w:ascii="Verdana" w:eastAsia="Calibri" w:hAnsi="Verdana" w:cs="Arial"/>
                <w:i/>
                <w:iCs/>
                <w:color w:val="000000" w:themeColor="text1"/>
                <w:lang w:val="es-ES" w:eastAsia="es-ES"/>
              </w:rPr>
              <w:t>como mínimo</w:t>
            </w:r>
            <w:r w:rsidRPr="0859A5EE">
              <w:rPr>
                <w:rFonts w:ascii="Verdana" w:eastAsia="Calibri" w:hAnsi="Verdana" w:cs="Arial"/>
                <w:color w:val="000000" w:themeColor="text1"/>
                <w:lang w:val="es-ES" w:eastAsia="es-ES"/>
              </w:rPr>
              <w:t xml:space="preserve">, una reducción del dos por ciento (2%) de los puntos, sino que establece que ha de ser, exactamente, por este porcentaje. </w:t>
            </w:r>
          </w:p>
          <w:p w14:paraId="27177E2A" w14:textId="77777777" w:rsidR="007354D4" w:rsidRPr="00835C1C" w:rsidRDefault="007354D4" w:rsidP="00B34D84">
            <w:pPr>
              <w:spacing w:before="120" w:line="276" w:lineRule="auto"/>
              <w:ind w:firstLine="709"/>
              <w:jc w:val="both"/>
              <w:rPr>
                <w:rFonts w:ascii="Verdana" w:eastAsia="Calibri" w:hAnsi="Verdana" w:cs="Arial"/>
                <w:color w:val="000000"/>
                <w:lang w:val="es-ES_tradnl" w:eastAsia="es-ES_tradnl"/>
              </w:rPr>
            </w:pPr>
            <w:proofErr w:type="spellStart"/>
            <w:r w:rsidRPr="00835C1C">
              <w:rPr>
                <w:rFonts w:ascii="Verdana" w:eastAsia="Calibri" w:hAnsi="Verdana" w:cs="Arial"/>
                <w:color w:val="000000"/>
                <w:lang w:val="es-ES_tradnl" w:eastAsia="es-ES_tradnl"/>
              </w:rPr>
              <w:lastRenderedPageBreak/>
              <w:t>iv</w:t>
            </w:r>
            <w:proofErr w:type="spellEnd"/>
            <w:r w:rsidRPr="00835C1C">
              <w:rPr>
                <w:rFonts w:ascii="Verdana" w:eastAsia="Calibri" w:hAnsi="Verdana" w:cs="Arial"/>
                <w:color w:val="000000"/>
                <w:lang w:val="es-ES_tradnl" w:eastAsia="es-ES_tradnl"/>
              </w:rPr>
              <w:t>) Los sujetos pasivos –es decir, los afectados por lo dispuesto en el artículo– son los proponentes –incluidos los consorcios y uniones temporales, por la situación de alguno de sus integrantes– a quienes «</w:t>
            </w:r>
            <w:r w:rsidRPr="00835C1C">
              <w:rPr>
                <w:rFonts w:ascii="Verdana" w:eastAsia="Times New Roman" w:hAnsi="Verdana" w:cs="Arial"/>
                <w:color w:val="000000"/>
                <w:lang w:eastAsia="es-ES_tradnl"/>
              </w:rPr>
              <w:t xml:space="preserve">[…] </w:t>
            </w:r>
            <w:r w:rsidRPr="00835C1C">
              <w:rPr>
                <w:rFonts w:ascii="Verdana" w:eastAsia="Calibri" w:hAnsi="Verdana" w:cs="Arial"/>
                <w:color w:val="000000"/>
                <w:lang w:val="es-ES_tradnl" w:eastAsia="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imponer multas o hacer efectivas cláusulas penales pecuniarias,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 </w:t>
            </w:r>
          </w:p>
          <w:p w14:paraId="4B4FE208" w14:textId="77777777" w:rsidR="007354D4" w:rsidRPr="00835C1C" w:rsidRDefault="007354D4" w:rsidP="00B34D84">
            <w:pPr>
              <w:spacing w:before="120" w:line="276" w:lineRule="auto"/>
              <w:ind w:firstLine="709"/>
              <w:jc w:val="both"/>
              <w:rPr>
                <w:rFonts w:ascii="Verdana" w:eastAsia="Calibri" w:hAnsi="Verdana" w:cs="Arial"/>
                <w:color w:val="000000"/>
                <w:lang w:val="es-ES_tradnl" w:eastAsia="es-ES_tradnl"/>
              </w:rPr>
            </w:pPr>
            <w:r w:rsidRPr="00835C1C">
              <w:rPr>
                <w:rFonts w:ascii="Verdana" w:eastAsia="Calibri" w:hAnsi="Verdana" w:cs="Arial"/>
                <w:color w:val="000000"/>
                <w:lang w:val="es-ES_tradnl" w:eastAsia="es-ES_tradnl"/>
              </w:rPr>
              <w:t>v) En cuanto al período durante el cual debe examinarse la imposición de las multas o cláusulas penales, el artículo 58 dice que es «</w:t>
            </w:r>
            <w:r w:rsidRPr="00835C1C">
              <w:rPr>
                <w:rFonts w:ascii="Verdana" w:eastAsia="Times New Roman" w:hAnsi="Verdana" w:cs="Arial"/>
                <w:color w:val="000000"/>
                <w:lang w:eastAsia="es-ES_tradnl"/>
              </w:rPr>
              <w:t xml:space="preserve">[…] </w:t>
            </w:r>
            <w:r w:rsidRPr="00835C1C">
              <w:rPr>
                <w:rFonts w:ascii="Verdana" w:eastAsia="Calibri" w:hAnsi="Verdana" w:cs="Arial"/>
                <w:color w:val="000000"/>
                <w:lang w:val="es-ES_tradnl" w:eastAsia="es-ES_tradnl"/>
              </w:rPr>
              <w:t xml:space="preserve">durante el último año, contado a partir de la fecha prevista para la presentación de las ofertas». </w:t>
            </w:r>
            <w:r w:rsidRPr="00835C1C">
              <w:rPr>
                <w:rFonts w:ascii="Verdana" w:eastAsia="Calibri" w:hAnsi="Verdana" w:cs="Arial"/>
                <w:i/>
                <w:iCs/>
                <w:color w:val="000000"/>
                <w:lang w:val="es-ES_tradnl" w:eastAsia="es-ES_tradnl"/>
              </w:rPr>
              <w:t>O sea que la entidad estatal contratante –que está adelantando el procedimiento de selección–, debe verificar si en el último año anterior al cierre del proceso –fecha prevista para la presentación de las ofertas–, el proponente fue sancionado con multa o cláusula penal pecuniaria. Esto se debe verificar en el Registro Único de Proponentes –RUP–, de conformidad con lo establecido en el numeral 6.2 del artículo 6 de la Ley 1150 de 2007, según el cual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r w:rsidRPr="00835C1C">
              <w:rPr>
                <w:rFonts w:ascii="Verdana" w:eastAsia="Calibri" w:hAnsi="Verdana" w:cs="Arial"/>
                <w:color w:val="000000"/>
                <w:lang w:val="es-ES_tradnl" w:eastAsia="es-ES_tradnl"/>
              </w:rPr>
              <w:t xml:space="preserve"> </w:t>
            </w:r>
          </w:p>
          <w:p w14:paraId="529F1F67" w14:textId="77777777" w:rsidR="007354D4" w:rsidRPr="00835C1C" w:rsidRDefault="007354D4" w:rsidP="00B34D84">
            <w:pPr>
              <w:spacing w:before="120" w:line="276" w:lineRule="auto"/>
              <w:ind w:firstLine="709"/>
              <w:jc w:val="both"/>
              <w:rPr>
                <w:rFonts w:ascii="Verdana" w:eastAsia="Calibri" w:hAnsi="Verdana" w:cs="Arial"/>
                <w:color w:val="000000"/>
                <w:lang w:val="es-ES_tradnl" w:eastAsia="es-ES_tradnl"/>
              </w:rPr>
            </w:pPr>
            <w:bookmarkStart w:id="1" w:name="_Hlk97036317"/>
            <w:r w:rsidRPr="00835C1C">
              <w:rPr>
                <w:rFonts w:ascii="Verdana" w:eastAsia="Calibri" w:hAnsi="Verdana" w:cs="Arial"/>
                <w:color w:val="000000"/>
                <w:lang w:val="es-ES_tradnl" w:eastAsia="es-ES_tradnl"/>
              </w:rPr>
              <w:t xml:space="preserve">vi) Si el afectado por la imposición de una o más multas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w:t>
            </w:r>
            <w:r w:rsidRPr="00835C1C">
              <w:rPr>
                <w:rFonts w:ascii="Verdana" w:eastAsia="Calibri" w:hAnsi="Verdana" w:cs="Arial"/>
                <w:color w:val="000000"/>
                <w:lang w:val="es-ES_tradnl" w:eastAsia="es-ES_tradnl"/>
              </w:rPr>
              <w:lastRenderedPageBreak/>
              <w:t>cuyas pretensiones puede ser «</w:t>
            </w:r>
            <w:r w:rsidRPr="00835C1C">
              <w:rPr>
                <w:rFonts w:ascii="Verdana" w:eastAsia="Times New Roman" w:hAnsi="Verdana" w:cs="Arial"/>
                <w:color w:val="000000"/>
                <w:lang w:val="es-ES_tradnl" w:eastAsia="es-ES_tradnl"/>
              </w:rPr>
              <w:t xml:space="preserve">[…] </w:t>
            </w:r>
            <w:r w:rsidRPr="00835C1C">
              <w:rPr>
                <w:rFonts w:ascii="Verdana" w:eastAsia="Calibri" w:hAnsi="Verdana" w:cs="Arial"/>
                <w:color w:val="000000"/>
                <w:lang w:val="es-ES_tradnl" w:eastAsia="es-ES_tradnl"/>
              </w:rPr>
              <w:t>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acto se demandó, la entidad estatal no puede aplicar la reducción del puntaje prevista en el referido artículo. Es importante destacar que la excepción prevista en el parágrafo frente a la reducción de puntaje solo se estableció en relación con las multas, mas no frente a las cláusulas penales impuestas al contratista</w:t>
            </w:r>
            <w:bookmarkEnd w:id="1"/>
            <w:r w:rsidRPr="00835C1C">
              <w:rPr>
                <w:rFonts w:ascii="Verdana" w:eastAsia="Calibri" w:hAnsi="Verdana" w:cs="Arial"/>
                <w:color w:val="000000"/>
                <w:lang w:val="es-ES_tradnl" w:eastAsia="es-ES_tradnl"/>
              </w:rPr>
              <w:t>, por lo que el legislador optó por realizar una distinción en su tratamiento.</w:t>
            </w:r>
          </w:p>
          <w:p w14:paraId="3D848BBC" w14:textId="77777777" w:rsidR="007354D4" w:rsidRDefault="007354D4" w:rsidP="00B34D84">
            <w:pPr>
              <w:spacing w:before="120" w:line="276" w:lineRule="auto"/>
              <w:ind w:firstLine="709"/>
              <w:jc w:val="both"/>
              <w:rPr>
                <w:rFonts w:ascii="Verdana" w:eastAsia="Calibri" w:hAnsi="Verdana" w:cs="Arial"/>
                <w:color w:val="000000"/>
                <w:lang w:val="es-ES_tradnl" w:eastAsia="es-ES_tradnl"/>
              </w:rPr>
            </w:pPr>
            <w:proofErr w:type="spellStart"/>
            <w:r w:rsidRPr="00835C1C">
              <w:rPr>
                <w:rFonts w:ascii="Verdana" w:eastAsia="Calibri" w:hAnsi="Verdana" w:cs="Arial"/>
                <w:color w:val="000000"/>
                <w:lang w:val="es-ES_tradnl" w:eastAsia="es-ES_tradnl"/>
              </w:rPr>
              <w:t>vii</w:t>
            </w:r>
            <w:proofErr w:type="spellEnd"/>
            <w:r w:rsidRPr="00835C1C">
              <w:rPr>
                <w:rFonts w:ascii="Verdana" w:eastAsia="Calibri" w:hAnsi="Verdana" w:cs="Arial"/>
                <w:color w:val="000000"/>
                <w:lang w:val="es-ES_tradnl" w:eastAsia="es-ES_tradnl"/>
              </w:rPr>
              <w:t>) La reducción del puntaje que exige efectuar el artículo 58 de la Ley 2195 de 2022, como lo expresa su parágrafo 2, debe aplicarse «sin perjuicio de lo contenido en el artículo 6 de la Ley 2020 de 2020»</w:t>
            </w:r>
            <w:r w:rsidRPr="00835C1C">
              <w:rPr>
                <w:rFonts w:ascii="Verdana" w:eastAsia="Calibri" w:hAnsi="Verdana" w:cs="Arial"/>
                <w:color w:val="000000"/>
                <w:sz w:val="24"/>
                <w:szCs w:val="24"/>
                <w:vertAlign w:val="superscript"/>
                <w:lang w:eastAsia="es-ES_tradnl"/>
              </w:rPr>
              <w:footnoteReference w:id="3"/>
            </w:r>
            <w:r w:rsidRPr="00835C1C">
              <w:rPr>
                <w:rFonts w:ascii="Verdana" w:eastAsia="Calibri" w:hAnsi="Verdana" w:cs="Arial"/>
                <w:color w:val="000000"/>
                <w:lang w:val="es-ES_tradnl" w:eastAsia="es-ES_tradnl"/>
              </w:rPr>
              <w:t>. Esto significa que no riñe la disminución del puntaje con la verificación de las anotaciones contenidas en el Registro Nacional de Obras Civiles Inconclusas.</w:t>
            </w:r>
          </w:p>
          <w:p w14:paraId="3E596C62" w14:textId="77777777" w:rsidR="00B772E1" w:rsidRDefault="007D5C68" w:rsidP="007D5C68">
            <w:pPr>
              <w:spacing w:line="276" w:lineRule="auto"/>
              <w:ind w:firstLine="709"/>
              <w:jc w:val="both"/>
              <w:rPr>
                <w:rFonts w:ascii="Verdana" w:eastAsia="Calibri" w:hAnsi="Verdana" w:cs="Arial"/>
                <w:color w:val="000000"/>
                <w:lang w:val="es-ES_tradnl" w:eastAsia="es-ES_tradnl"/>
              </w:rPr>
            </w:pPr>
            <w:proofErr w:type="spellStart"/>
            <w:r w:rsidRPr="001E683B">
              <w:rPr>
                <w:rFonts w:ascii="Century Gothic" w:eastAsia="Arial" w:hAnsi="Century Gothic" w:cs="Arial"/>
                <w:i/>
                <w:iCs/>
              </w:rPr>
              <w:t>vii</w:t>
            </w:r>
            <w:proofErr w:type="spellEnd"/>
            <w:r w:rsidRPr="001E683B">
              <w:rPr>
                <w:rFonts w:ascii="Century Gothic" w:eastAsia="Arial" w:hAnsi="Century Gothic" w:cs="Arial"/>
                <w:i/>
                <w:iCs/>
              </w:rPr>
              <w:t xml:space="preserve">) </w:t>
            </w:r>
            <w:r w:rsidRPr="001E575D">
              <w:rPr>
                <w:rFonts w:ascii="Verdana" w:eastAsia="Calibri" w:hAnsi="Verdana" w:cs="Arial"/>
                <w:color w:val="000000"/>
                <w:lang w:val="es-ES_tradnl" w:eastAsia="es-ES_tradnl"/>
              </w:rPr>
              <w:t xml:space="preserve">Aunque el artículo 58 de la Ley 2195 de 2022 guarda silencio sobre el debido proceso que habrá de garantizársele al proponente cuando la Entidad Estatal pretenda reducirle el puntaje, dicha norma debe interpretarse en armonía con el primer inciso del artículo 29 de la Constitución Política, el cual dispone que “El debido proceso se aplicará a toda clase de actuaciones judiciales y administrativas” (énfasis fuera de texto). </w:t>
            </w:r>
          </w:p>
          <w:p w14:paraId="0BC0572F" w14:textId="77777777" w:rsidR="00B772E1" w:rsidRDefault="00B772E1" w:rsidP="007D5C68">
            <w:pPr>
              <w:spacing w:line="276" w:lineRule="auto"/>
              <w:ind w:firstLine="709"/>
              <w:jc w:val="both"/>
              <w:rPr>
                <w:rFonts w:ascii="Verdana" w:eastAsia="Calibri" w:hAnsi="Verdana" w:cs="Arial"/>
                <w:color w:val="000000"/>
                <w:lang w:val="es-ES_tradnl" w:eastAsia="es-ES_tradnl"/>
              </w:rPr>
            </w:pPr>
          </w:p>
          <w:p w14:paraId="36EB82FA" w14:textId="261EEEEA" w:rsidR="007D5C68" w:rsidRPr="001E575D" w:rsidRDefault="007D5C68" w:rsidP="007D5C68">
            <w:pPr>
              <w:spacing w:line="276" w:lineRule="auto"/>
              <w:ind w:firstLine="709"/>
              <w:jc w:val="both"/>
              <w:rPr>
                <w:rFonts w:ascii="Verdana" w:eastAsia="Calibri" w:hAnsi="Verdana" w:cs="Arial"/>
                <w:color w:val="000000"/>
                <w:lang w:val="es-ES_tradnl" w:eastAsia="es-ES_tradnl"/>
              </w:rPr>
            </w:pPr>
            <w:r w:rsidRPr="001E575D">
              <w:rPr>
                <w:rFonts w:ascii="Verdana" w:eastAsia="Calibri" w:hAnsi="Verdana" w:cs="Arial"/>
                <w:color w:val="000000"/>
                <w:lang w:val="es-ES_tradnl" w:eastAsia="es-ES_tradnl"/>
              </w:rPr>
              <w:t>Es decir, el operador jurídico debe realizar una interpretación conforme con la Constitución, atendiendo a su carácter supremo</w:t>
            </w:r>
            <w:r w:rsidRPr="001E575D">
              <w:rPr>
                <w:rFonts w:ascii="Verdana" w:eastAsia="Calibri" w:hAnsi="Verdana" w:cs="Arial"/>
                <w:color w:val="000000"/>
                <w:lang w:val="es-ES_tradnl" w:eastAsia="es-ES_tradnl"/>
              </w:rPr>
              <w:footnoteReference w:id="4"/>
            </w:r>
            <w:r w:rsidRPr="001E575D">
              <w:rPr>
                <w:rFonts w:ascii="Verdana" w:eastAsia="Calibri" w:hAnsi="Verdana" w:cs="Arial"/>
                <w:color w:val="000000"/>
                <w:lang w:val="es-ES_tradnl" w:eastAsia="es-ES_tradnl"/>
              </w:rPr>
              <w:t xml:space="preserve">. Por ello, la Agencia </w:t>
            </w:r>
            <w:r w:rsidRPr="001E575D">
              <w:rPr>
                <w:rFonts w:ascii="Verdana" w:eastAsia="Calibri" w:hAnsi="Verdana" w:cs="Arial"/>
                <w:color w:val="000000"/>
                <w:lang w:val="es-ES_tradnl" w:eastAsia="es-ES_tradnl"/>
              </w:rPr>
              <w:lastRenderedPageBreak/>
              <w:t xml:space="preserve">considera que la reducción del puntaje regulada en el artículo 58 de la Ley 2195 de 2022 no debería aplicarse de plano, sino que debe estar precedida de la verificación de los presupuestos contenidos en la norma en comento para efectos de reducir el puntaje. </w:t>
            </w:r>
          </w:p>
          <w:p w14:paraId="385777D5" w14:textId="77777777" w:rsidR="007D5C68" w:rsidRPr="001E575D" w:rsidRDefault="007D5C68" w:rsidP="00B34D84">
            <w:pPr>
              <w:spacing w:before="120" w:line="276" w:lineRule="auto"/>
              <w:ind w:firstLine="709"/>
              <w:jc w:val="both"/>
              <w:rPr>
                <w:rFonts w:ascii="Verdana" w:eastAsia="Calibri" w:hAnsi="Verdana" w:cs="Arial"/>
                <w:color w:val="000000"/>
                <w:lang w:eastAsia="es-ES_tradnl"/>
              </w:rPr>
            </w:pPr>
          </w:p>
          <w:p w14:paraId="20F1728E" w14:textId="77777777" w:rsidR="007354D4" w:rsidRPr="00087246" w:rsidRDefault="007354D4" w:rsidP="00B34D84">
            <w:pPr>
              <w:spacing w:before="120" w:line="276" w:lineRule="auto"/>
              <w:ind w:firstLine="709"/>
              <w:jc w:val="both"/>
              <w:rPr>
                <w:rFonts w:ascii="Verdana" w:eastAsia="Calibri" w:hAnsi="Verdana" w:cs="Arial"/>
                <w:color w:val="7030A0"/>
                <w:lang w:val="es-ES"/>
              </w:rPr>
            </w:pPr>
          </w:p>
        </w:tc>
      </w:tr>
    </w:tbl>
    <w:p w14:paraId="32A75779" w14:textId="77777777" w:rsidR="007354D4" w:rsidRPr="00593A5F" w:rsidRDefault="007354D4" w:rsidP="007354D4">
      <w:pPr>
        <w:tabs>
          <w:tab w:val="left" w:pos="142"/>
          <w:tab w:val="left" w:pos="284"/>
        </w:tabs>
        <w:spacing w:after="0" w:line="276" w:lineRule="auto"/>
        <w:jc w:val="both"/>
        <w:rPr>
          <w:rFonts w:ascii="Verdana" w:eastAsia="Century Gothic" w:hAnsi="Verdana" w:cs="Century Gothic"/>
          <w:b/>
          <w:bCs/>
          <w:lang w:val="es-ES"/>
        </w:rPr>
      </w:pPr>
    </w:p>
    <w:p w14:paraId="58D37AFF" w14:textId="77777777" w:rsidR="007354D4" w:rsidRPr="00593A5F" w:rsidRDefault="007354D4" w:rsidP="007354D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442271C3" w14:textId="77777777" w:rsidR="007354D4" w:rsidRDefault="007354D4" w:rsidP="007354D4">
      <w:pPr>
        <w:spacing w:after="0" w:line="276" w:lineRule="auto"/>
        <w:jc w:val="both"/>
        <w:rPr>
          <w:rFonts w:ascii="Verdana" w:eastAsia="Calibri" w:hAnsi="Verdana" w:cs="Arial"/>
          <w:lang w:val="es-ES"/>
        </w:rPr>
      </w:pPr>
    </w:p>
    <w:p w14:paraId="7873199B" w14:textId="77777777" w:rsidR="007354D4" w:rsidRPr="00A37F04" w:rsidRDefault="007354D4" w:rsidP="007354D4">
      <w:pPr>
        <w:widowControl w:val="0"/>
        <w:autoSpaceDE w:val="0"/>
        <w:autoSpaceDN w:val="0"/>
        <w:spacing w:after="0" w:line="240" w:lineRule="auto"/>
        <w:rPr>
          <w:rFonts w:ascii="Verdana" w:eastAsia="Verdana" w:hAnsi="Verdana" w:cs="Verdana"/>
          <w:lang w:val="es-ES"/>
        </w:rPr>
      </w:pPr>
      <w:r w:rsidRPr="00A37F04">
        <w:rPr>
          <w:rFonts w:ascii="Verdana" w:eastAsia="Verdana" w:hAnsi="Verdana" w:cs="Verdana"/>
          <w:lang w:val="es-ES"/>
        </w:rPr>
        <w:t>Lo</w:t>
      </w:r>
      <w:r w:rsidRPr="00A37F04">
        <w:rPr>
          <w:rFonts w:ascii="Verdana" w:eastAsia="Verdana" w:hAnsi="Verdana" w:cs="Verdana"/>
          <w:spacing w:val="-11"/>
          <w:lang w:val="es-ES"/>
        </w:rPr>
        <w:t xml:space="preserve"> </w:t>
      </w:r>
      <w:r w:rsidRPr="00A37F04">
        <w:rPr>
          <w:rFonts w:ascii="Verdana" w:eastAsia="Verdana" w:hAnsi="Verdana" w:cs="Verdana"/>
          <w:lang w:val="es-ES"/>
        </w:rPr>
        <w:t>anterior</w:t>
      </w:r>
      <w:r w:rsidRPr="00A37F04">
        <w:rPr>
          <w:rFonts w:ascii="Verdana" w:eastAsia="Verdana" w:hAnsi="Verdana" w:cs="Verdana"/>
          <w:spacing w:val="-11"/>
          <w:lang w:val="es-ES"/>
        </w:rPr>
        <w:t xml:space="preserve"> </w:t>
      </w:r>
      <w:r w:rsidRPr="00A37F04">
        <w:rPr>
          <w:rFonts w:ascii="Verdana" w:eastAsia="Verdana" w:hAnsi="Verdana" w:cs="Verdana"/>
          <w:lang w:val="es-ES"/>
        </w:rPr>
        <w:t>se</w:t>
      </w:r>
      <w:r w:rsidRPr="00A37F04">
        <w:rPr>
          <w:rFonts w:ascii="Verdana" w:eastAsia="Verdana" w:hAnsi="Verdana" w:cs="Verdana"/>
          <w:spacing w:val="-11"/>
          <w:lang w:val="es-ES"/>
        </w:rPr>
        <w:t xml:space="preserve"> </w:t>
      </w:r>
      <w:r w:rsidRPr="00A37F04">
        <w:rPr>
          <w:rFonts w:ascii="Verdana" w:eastAsia="Verdana" w:hAnsi="Verdana" w:cs="Verdana"/>
          <w:lang w:val="es-ES"/>
        </w:rPr>
        <w:t>sustenta</w:t>
      </w:r>
      <w:r w:rsidRPr="00A37F04">
        <w:rPr>
          <w:rFonts w:ascii="Verdana" w:eastAsia="Verdana" w:hAnsi="Verdana" w:cs="Verdana"/>
          <w:spacing w:val="-10"/>
          <w:lang w:val="es-ES"/>
        </w:rPr>
        <w:t xml:space="preserve"> </w:t>
      </w:r>
      <w:r w:rsidRPr="00A37F04">
        <w:rPr>
          <w:rFonts w:ascii="Verdana" w:eastAsia="Verdana" w:hAnsi="Verdana" w:cs="Verdana"/>
          <w:lang w:val="es-ES"/>
        </w:rPr>
        <w:t>en</w:t>
      </w:r>
      <w:r w:rsidRPr="00A37F04">
        <w:rPr>
          <w:rFonts w:ascii="Verdana" w:eastAsia="Verdana" w:hAnsi="Verdana" w:cs="Verdana"/>
          <w:spacing w:val="-11"/>
          <w:lang w:val="es-ES"/>
        </w:rPr>
        <w:t xml:space="preserve"> </w:t>
      </w:r>
      <w:r w:rsidRPr="00A37F04">
        <w:rPr>
          <w:rFonts w:ascii="Verdana" w:eastAsia="Verdana" w:hAnsi="Verdana" w:cs="Verdana"/>
          <w:lang w:val="es-ES"/>
        </w:rPr>
        <w:t>las</w:t>
      </w:r>
      <w:r w:rsidRPr="00A37F04">
        <w:rPr>
          <w:rFonts w:ascii="Verdana" w:eastAsia="Verdana" w:hAnsi="Verdana" w:cs="Verdana"/>
          <w:spacing w:val="-11"/>
          <w:lang w:val="es-ES"/>
        </w:rPr>
        <w:t xml:space="preserve"> </w:t>
      </w:r>
      <w:r w:rsidRPr="00A37F04">
        <w:rPr>
          <w:rFonts w:ascii="Verdana" w:eastAsia="Verdana" w:hAnsi="Verdana" w:cs="Verdana"/>
          <w:lang w:val="es-ES"/>
        </w:rPr>
        <w:t>siguientes</w:t>
      </w:r>
      <w:r w:rsidRPr="00A37F04">
        <w:rPr>
          <w:rFonts w:ascii="Verdana" w:eastAsia="Verdana" w:hAnsi="Verdana" w:cs="Verdana"/>
          <w:spacing w:val="-11"/>
          <w:lang w:val="es-ES"/>
        </w:rPr>
        <w:t xml:space="preserve"> </w:t>
      </w:r>
      <w:r w:rsidRPr="00A37F04">
        <w:rPr>
          <w:rFonts w:ascii="Verdana" w:eastAsia="Verdana" w:hAnsi="Verdana" w:cs="Verdana"/>
          <w:spacing w:val="-2"/>
          <w:lang w:val="es-ES"/>
        </w:rPr>
        <w:t>consideraciones:</w:t>
      </w:r>
    </w:p>
    <w:p w14:paraId="72AA525B" w14:textId="77777777" w:rsidR="007354D4" w:rsidRPr="00A37F04" w:rsidRDefault="007354D4" w:rsidP="007354D4">
      <w:pPr>
        <w:widowControl w:val="0"/>
        <w:autoSpaceDE w:val="0"/>
        <w:autoSpaceDN w:val="0"/>
        <w:spacing w:before="200" w:after="0" w:line="240" w:lineRule="auto"/>
        <w:rPr>
          <w:rFonts w:ascii="Verdana" w:eastAsia="Verdana" w:hAnsi="Verdana" w:cs="Verdana"/>
          <w:lang w:val="es-ES"/>
        </w:rPr>
      </w:pPr>
    </w:p>
    <w:p w14:paraId="0B26616D" w14:textId="77777777" w:rsidR="007354D4" w:rsidRDefault="007354D4" w:rsidP="007354D4">
      <w:pPr>
        <w:pStyle w:val="Prrafodelista"/>
        <w:widowControl w:val="0"/>
        <w:numPr>
          <w:ilvl w:val="0"/>
          <w:numId w:val="18"/>
        </w:numPr>
        <w:autoSpaceDE w:val="0"/>
        <w:autoSpaceDN w:val="0"/>
        <w:spacing w:after="0" w:line="276" w:lineRule="auto"/>
        <w:jc w:val="both"/>
        <w:rPr>
          <w:rFonts w:ascii="Verdana" w:eastAsia="Verdana" w:hAnsi="Verdana" w:cs="Verdana"/>
        </w:rPr>
      </w:pPr>
      <w:r w:rsidRPr="00342D56">
        <w:rPr>
          <w:rFonts w:ascii="Verdana" w:eastAsia="Verdana" w:hAnsi="Verdana" w:cs="Verdana"/>
        </w:rPr>
        <w:t xml:space="preserve">El artículo 6.2 de la Ley 1150 de 2007 obliga a las entidades públicas a reportar a la Cámara de Comercio correspondiente la información sobre contratos, multas y sanciones. Esta norma pretende poner en conocimiento de todos los participantes del sistema de compras públicas la información de sanciones y multas impuestas a los inscritos en el RUP, como una forma de ejercer control a la ejecución de los contratos suscritos por las entidades estatales. Dicha obligación también es congruente con el artículo 31 de la Ley 80 de 1993, modificado por el artículo 218 del Decreto 19 de 2012, que estableció los deberes de publicar en el SECOP y de comunicar a las Cámaras de Comercio, la parte resolutiva, de los actos que impongan multas y sanciones, entre otras decisiones. </w:t>
      </w:r>
    </w:p>
    <w:p w14:paraId="5A744985" w14:textId="77777777" w:rsidR="007354D4" w:rsidRPr="00342D56" w:rsidRDefault="007354D4" w:rsidP="007354D4">
      <w:pPr>
        <w:pStyle w:val="Prrafodelista"/>
        <w:widowControl w:val="0"/>
        <w:autoSpaceDE w:val="0"/>
        <w:autoSpaceDN w:val="0"/>
        <w:spacing w:after="0" w:line="276" w:lineRule="auto"/>
        <w:jc w:val="both"/>
        <w:rPr>
          <w:rFonts w:ascii="Verdana" w:eastAsia="Verdana" w:hAnsi="Verdana" w:cs="Verdana"/>
        </w:rPr>
      </w:pPr>
    </w:p>
    <w:p w14:paraId="3A3552A0" w14:textId="77777777" w:rsidR="007354D4" w:rsidRDefault="007354D4" w:rsidP="007354D4">
      <w:pPr>
        <w:pStyle w:val="Prrafodelista"/>
        <w:widowControl w:val="0"/>
        <w:numPr>
          <w:ilvl w:val="0"/>
          <w:numId w:val="18"/>
        </w:numPr>
        <w:autoSpaceDE w:val="0"/>
        <w:autoSpaceDN w:val="0"/>
        <w:spacing w:after="0" w:line="276" w:lineRule="auto"/>
        <w:jc w:val="both"/>
        <w:rPr>
          <w:rFonts w:ascii="Verdana" w:eastAsia="Verdana" w:hAnsi="Verdana" w:cs="Verdana"/>
        </w:rPr>
      </w:pPr>
      <w:r w:rsidRPr="00342D56">
        <w:rPr>
          <w:rFonts w:ascii="Verdana" w:eastAsia="Verdana" w:hAnsi="Verdana" w:cs="Verdana"/>
        </w:rPr>
        <w:t xml:space="preserve">En la Ley 80 de 1993 se observa la voluntad del legislador de divulgar el comportamiento contractual de los participantes en el sistema de compras públicas. En este contexto, el artículo 6.2 de la Ley 1150 de 2007 constituye un desarrollo material de los principios aplicables a las actuaciones contractuales en los términos del artículo 23 del Estatuto General de Contratación de la Administración Pública. Entre otros, la Ley 80 de 1993 concreta el principio de transparencia de la actividad contractual, objeto de regulación expresa en el artículo 24 ibidem, que guarda estrecha relación con el de publicidad, el cual rige el ejercicio de </w:t>
      </w:r>
      <w:r w:rsidRPr="00342D56">
        <w:rPr>
          <w:rFonts w:ascii="Verdana" w:eastAsia="Verdana" w:hAnsi="Verdana" w:cs="Verdana"/>
        </w:rPr>
        <w:lastRenderedPageBreak/>
        <w:t>la función administrativa, según el artículo 209 de la Constitución Política.</w:t>
      </w:r>
    </w:p>
    <w:p w14:paraId="2AAF9FC4" w14:textId="77777777" w:rsidR="007354D4" w:rsidRPr="008272F9" w:rsidRDefault="007354D4" w:rsidP="007354D4">
      <w:pPr>
        <w:widowControl w:val="0"/>
        <w:autoSpaceDE w:val="0"/>
        <w:autoSpaceDN w:val="0"/>
        <w:spacing w:after="0" w:line="276" w:lineRule="auto"/>
        <w:jc w:val="both"/>
        <w:rPr>
          <w:rFonts w:ascii="Verdana" w:eastAsia="Verdana" w:hAnsi="Verdana" w:cs="Verdana"/>
        </w:rPr>
      </w:pPr>
    </w:p>
    <w:p w14:paraId="2E90DB4D" w14:textId="77777777" w:rsidR="007354D4" w:rsidRDefault="007354D4" w:rsidP="007354D4">
      <w:pPr>
        <w:pStyle w:val="Prrafodelista"/>
        <w:widowControl w:val="0"/>
        <w:numPr>
          <w:ilvl w:val="0"/>
          <w:numId w:val="18"/>
        </w:numPr>
        <w:autoSpaceDE w:val="0"/>
        <w:autoSpaceDN w:val="0"/>
        <w:spacing w:after="0" w:line="276" w:lineRule="auto"/>
        <w:jc w:val="both"/>
        <w:rPr>
          <w:rFonts w:ascii="Verdana" w:eastAsia="Verdana" w:hAnsi="Verdana" w:cs="Verdana"/>
        </w:rPr>
      </w:pPr>
      <w:r w:rsidRPr="00342D56">
        <w:rPr>
          <w:rFonts w:ascii="Verdana" w:eastAsia="Verdana" w:hAnsi="Verdana" w:cs="Verdana"/>
        </w:rPr>
        <w:t xml:space="preserve">Ahora bien, el numeral 6.2. de la Ley 1150 de 2007 estableció la información que deberá registrarse en el Registro Único de Proponentes, precisando que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(Énfasis fuera de texto). </w:t>
      </w:r>
    </w:p>
    <w:p w14:paraId="0639DC30" w14:textId="77777777" w:rsidR="007354D4" w:rsidRPr="00342D56" w:rsidRDefault="007354D4" w:rsidP="007354D4">
      <w:pPr>
        <w:pStyle w:val="Prrafodelista"/>
        <w:widowControl w:val="0"/>
        <w:autoSpaceDE w:val="0"/>
        <w:autoSpaceDN w:val="0"/>
        <w:spacing w:after="0" w:line="276" w:lineRule="auto"/>
        <w:jc w:val="both"/>
        <w:rPr>
          <w:rFonts w:ascii="Verdana" w:eastAsia="Verdana" w:hAnsi="Verdana" w:cs="Verdana"/>
        </w:rPr>
      </w:pPr>
    </w:p>
    <w:p w14:paraId="74C0CE4A" w14:textId="77777777" w:rsidR="007354D4" w:rsidRPr="00342D56" w:rsidRDefault="007354D4" w:rsidP="007354D4">
      <w:pPr>
        <w:pStyle w:val="Prrafodelista"/>
        <w:widowControl w:val="0"/>
        <w:numPr>
          <w:ilvl w:val="0"/>
          <w:numId w:val="18"/>
        </w:numPr>
        <w:autoSpaceDE w:val="0"/>
        <w:autoSpaceDN w:val="0"/>
        <w:spacing w:after="0" w:line="276" w:lineRule="auto"/>
        <w:jc w:val="both"/>
        <w:rPr>
          <w:rFonts w:ascii="Verdana" w:eastAsia="Verdana" w:hAnsi="Verdana" w:cs="Verdana"/>
        </w:rPr>
      </w:pPr>
      <w:r w:rsidRPr="00342D56">
        <w:rPr>
          <w:rFonts w:ascii="Verdana" w:eastAsia="Verdana" w:hAnsi="Verdana" w:cs="Verdana"/>
        </w:rPr>
        <w:t xml:space="preserve">Asimismo, consagró una atribución reglamentaria sobre el tema. Para estos efectos dispuso que “Las condiciones de remisión de la información y los plazos de permanencia de </w:t>
      </w:r>
      <w:proofErr w:type="gramStart"/>
      <w:r w:rsidRPr="00342D56">
        <w:rPr>
          <w:rFonts w:ascii="Verdana" w:eastAsia="Verdana" w:hAnsi="Verdana" w:cs="Verdana"/>
        </w:rPr>
        <w:t>la misma</w:t>
      </w:r>
      <w:proofErr w:type="gramEnd"/>
      <w:r w:rsidRPr="00342D56">
        <w:rPr>
          <w:rFonts w:ascii="Verdana" w:eastAsia="Verdana" w:hAnsi="Verdana" w:cs="Verdana"/>
        </w:rPr>
        <w:t xml:space="preserve"> en el registro serán señalados por el Gobierno Nacional”. Actualmente, este mandato se desarrolla en el artículo 14 del Decreto 1510 de 17 de julio de 2013, compilado posteriormente en el artículo 2.2.1.1.1.5.7 del Decreto 1082 de 2015, que dispone lo siguiente: </w:t>
      </w:r>
    </w:p>
    <w:p w14:paraId="23B6D735" w14:textId="77777777" w:rsidR="007354D4" w:rsidRPr="00342D56" w:rsidRDefault="007354D4" w:rsidP="007354D4">
      <w:pPr>
        <w:pStyle w:val="Prrafodelista"/>
        <w:widowControl w:val="0"/>
        <w:autoSpaceDE w:val="0"/>
        <w:autoSpaceDN w:val="0"/>
        <w:spacing w:after="0" w:line="276" w:lineRule="auto"/>
        <w:jc w:val="both"/>
        <w:rPr>
          <w:rFonts w:ascii="Verdana" w:eastAsia="Verdana" w:hAnsi="Verdana" w:cs="Verdana"/>
        </w:rPr>
      </w:pPr>
    </w:p>
    <w:p w14:paraId="386ADC81" w14:textId="77777777" w:rsidR="007354D4" w:rsidRPr="00342D56" w:rsidRDefault="007354D4" w:rsidP="007354D4">
      <w:pPr>
        <w:pStyle w:val="Prrafodelista"/>
        <w:widowControl w:val="0"/>
        <w:numPr>
          <w:ilvl w:val="0"/>
          <w:numId w:val="18"/>
        </w:numPr>
        <w:autoSpaceDE w:val="0"/>
        <w:autoSpaceDN w:val="0"/>
        <w:spacing w:after="0" w:line="276" w:lineRule="auto"/>
        <w:jc w:val="both"/>
        <w:rPr>
          <w:rFonts w:ascii="Verdana" w:eastAsia="Verdana" w:hAnsi="Verdana" w:cs="Verdana"/>
        </w:rPr>
      </w:pPr>
      <w:r w:rsidRPr="00342D56">
        <w:rPr>
          <w:rFonts w:ascii="Verdana" w:eastAsia="Verdana" w:hAnsi="Verdana" w:cs="Verdana"/>
        </w:rPr>
        <w:t xml:space="preserve">“Las Entidades Estatales deben enviar mensualmente a las cámaras de comercio de su domicilio, copia de los actos administrativos en firme, por medio de los cuales impusieron multas y sanciones y de las inhabilidades resultantes de los contratos que hayan suscrito, y de la información de los Procesos de Contratación en los términos del artículo 6 de la Ley 1150 de 2007. Para el efecto las cámaras de comercio pueden establecer mecanismos electrónicos para recibir la información mencionada. El registro de las sanciones e inhabilidades debe permanecer en el certificado del RUP por el término de la sanción o de la inhabilidad. La información relativa a multas debe permanecer en el certificado del RUP por un año, contado a partir de la publicación de </w:t>
      </w:r>
      <w:proofErr w:type="gramStart"/>
      <w:r w:rsidRPr="00342D56">
        <w:rPr>
          <w:rFonts w:ascii="Verdana" w:eastAsia="Verdana" w:hAnsi="Verdana" w:cs="Verdana"/>
        </w:rPr>
        <w:t>la misma</w:t>
      </w:r>
      <w:proofErr w:type="gramEnd"/>
      <w:r w:rsidRPr="00342D56">
        <w:rPr>
          <w:rFonts w:ascii="Verdana" w:eastAsia="Verdana" w:hAnsi="Verdana" w:cs="Verdana"/>
        </w:rPr>
        <w:t>.</w:t>
      </w:r>
    </w:p>
    <w:p w14:paraId="769A08F1" w14:textId="77777777" w:rsidR="007354D4" w:rsidRPr="00342D56" w:rsidRDefault="007354D4" w:rsidP="007354D4">
      <w:pPr>
        <w:pStyle w:val="Prrafodelista"/>
        <w:widowControl w:val="0"/>
        <w:autoSpaceDE w:val="0"/>
        <w:autoSpaceDN w:val="0"/>
        <w:spacing w:after="0" w:line="276" w:lineRule="auto"/>
        <w:jc w:val="both"/>
        <w:rPr>
          <w:rFonts w:ascii="Verdana" w:eastAsia="Verdana" w:hAnsi="Verdana" w:cs="Verdana"/>
        </w:rPr>
      </w:pPr>
    </w:p>
    <w:p w14:paraId="0E55FBB7" w14:textId="77777777" w:rsidR="007354D4" w:rsidRDefault="007354D4" w:rsidP="007354D4">
      <w:pPr>
        <w:pStyle w:val="Prrafodelista"/>
        <w:widowControl w:val="0"/>
        <w:numPr>
          <w:ilvl w:val="0"/>
          <w:numId w:val="18"/>
        </w:numPr>
        <w:autoSpaceDE w:val="0"/>
        <w:autoSpaceDN w:val="0"/>
        <w:spacing w:after="0" w:line="276" w:lineRule="auto"/>
        <w:jc w:val="both"/>
        <w:rPr>
          <w:rFonts w:ascii="Verdana" w:eastAsia="Verdana" w:hAnsi="Verdana" w:cs="Verdana"/>
        </w:rPr>
      </w:pPr>
      <w:r w:rsidRPr="00342D56">
        <w:rPr>
          <w:rFonts w:ascii="Verdana" w:eastAsia="Verdana" w:hAnsi="Verdana" w:cs="Verdana"/>
        </w:rPr>
        <w:t>Las cámaras de comercio deben tener un mecanismo de interoperabilidad con el SECOP para el registro de la información de que trata el presente artículo”.</w:t>
      </w:r>
      <w:r>
        <w:rPr>
          <w:rFonts w:ascii="Verdana" w:eastAsia="Verdana" w:hAnsi="Verdana" w:cs="Verdana"/>
        </w:rPr>
        <w:t xml:space="preserve"> </w:t>
      </w:r>
      <w:r w:rsidRPr="00342D56">
        <w:rPr>
          <w:rFonts w:ascii="Verdana" w:eastAsia="Verdana" w:hAnsi="Verdana" w:cs="Verdana"/>
        </w:rPr>
        <w:t xml:space="preserve">La norma precisa los elementos para cumplir con el artículo 6.2. de la Ley 1150 de 2007, los cuales se concretan en los siguientes tres (3) puntos: i) reporte de las multas y sanciones por parte de las entidades estatales, </w:t>
      </w:r>
      <w:proofErr w:type="spellStart"/>
      <w:r w:rsidRPr="00342D56">
        <w:rPr>
          <w:rFonts w:ascii="Verdana" w:eastAsia="Verdana" w:hAnsi="Verdana" w:cs="Verdana"/>
        </w:rPr>
        <w:t>ii</w:t>
      </w:r>
      <w:proofErr w:type="spellEnd"/>
      <w:r w:rsidRPr="00342D56">
        <w:rPr>
          <w:rFonts w:ascii="Verdana" w:eastAsia="Verdana" w:hAnsi="Verdana" w:cs="Verdana"/>
        </w:rPr>
        <w:t xml:space="preserve">) registro de las multas y sanciones en el RUP por parte de las Cámaras de Comercio y </w:t>
      </w:r>
      <w:proofErr w:type="spellStart"/>
      <w:r w:rsidRPr="00342D56">
        <w:rPr>
          <w:rFonts w:ascii="Verdana" w:eastAsia="Verdana" w:hAnsi="Verdana" w:cs="Verdana"/>
        </w:rPr>
        <w:t>iii</w:t>
      </w:r>
      <w:proofErr w:type="spellEnd"/>
      <w:r w:rsidRPr="00342D56">
        <w:rPr>
          <w:rFonts w:ascii="Verdana" w:eastAsia="Verdana" w:hAnsi="Verdana" w:cs="Verdana"/>
        </w:rPr>
        <w:t xml:space="preserve">) término de permanencia de las anotaciones en el registro. En relación con el reporte, la norma impone la obligación a </w:t>
      </w:r>
      <w:r w:rsidRPr="00342D56">
        <w:rPr>
          <w:rFonts w:ascii="Verdana" w:eastAsia="Verdana" w:hAnsi="Verdana" w:cs="Verdana"/>
        </w:rPr>
        <w:lastRenderedPageBreak/>
        <w:t xml:space="preserve">las entidades estatales de enviar mensualmente a las cámaras de comercio del lugar de su domicilio, copia de los actos administrativos en firme que impusieron multas y sanciones y de las inhabilidades que deriven de los contratos suscritos, a través de los mecanismos que para el efecto disponga la cámara respectiva. </w:t>
      </w:r>
    </w:p>
    <w:p w14:paraId="13A66031" w14:textId="77777777" w:rsidR="007354D4" w:rsidRPr="00484C94" w:rsidRDefault="007354D4" w:rsidP="007354D4">
      <w:pPr>
        <w:pStyle w:val="Prrafodelista"/>
        <w:rPr>
          <w:rFonts w:ascii="Verdana" w:eastAsia="Verdana" w:hAnsi="Verdana" w:cs="Verdana"/>
        </w:rPr>
      </w:pPr>
    </w:p>
    <w:p w14:paraId="70C500EE" w14:textId="77777777" w:rsidR="007354D4" w:rsidRPr="005E55CD" w:rsidRDefault="007354D4" w:rsidP="007354D4">
      <w:pPr>
        <w:pStyle w:val="Prrafodelista"/>
        <w:widowControl w:val="0"/>
        <w:numPr>
          <w:ilvl w:val="0"/>
          <w:numId w:val="18"/>
        </w:numPr>
        <w:autoSpaceDE w:val="0"/>
        <w:autoSpaceDN w:val="0"/>
        <w:spacing w:after="0" w:line="276" w:lineRule="auto"/>
        <w:jc w:val="both"/>
        <w:rPr>
          <w:rFonts w:ascii="Verdana" w:eastAsia="Verdana" w:hAnsi="Verdana" w:cs="Verdana"/>
        </w:rPr>
      </w:pPr>
      <w:r w:rsidRPr="00342D56">
        <w:rPr>
          <w:rFonts w:ascii="Verdana" w:eastAsia="Verdana" w:hAnsi="Verdana" w:cs="Verdana"/>
        </w:rPr>
        <w:t>Respecto al registro¸ la disposición estableció la obligación a las cámaras de comercio de consignar las sanciones e inhabilidades remitidas por las entidades estatales en el RUP, con el propósito de concretar aspectos de publicidad y transparencia en la actividad contractual. Finalmente, en relación con el término, es decir, el periodo en que debe constar la anotación correspondiente, la norma estableció que las sanciones e inhabilidades permanecerán en el registro por el término de la sanción o inhabilidad, según el caso. Igualmente, estableció que, en el caso de las multas, deberán permanecer por el término de un año, contado a partir de la publicación de esta.</w:t>
      </w:r>
    </w:p>
    <w:p w14:paraId="50C18F17" w14:textId="77777777" w:rsidR="007354D4" w:rsidRPr="00342D56" w:rsidRDefault="007354D4" w:rsidP="007354D4">
      <w:pPr>
        <w:pStyle w:val="Prrafodelista"/>
        <w:widowControl w:val="0"/>
        <w:autoSpaceDE w:val="0"/>
        <w:autoSpaceDN w:val="0"/>
        <w:spacing w:after="0" w:line="276" w:lineRule="auto"/>
        <w:jc w:val="both"/>
        <w:rPr>
          <w:rFonts w:ascii="Verdana" w:eastAsia="Verdana" w:hAnsi="Verdana" w:cs="Verdana"/>
        </w:rPr>
      </w:pPr>
    </w:p>
    <w:p w14:paraId="2C9B3D19" w14:textId="77777777" w:rsidR="007354D4" w:rsidRDefault="007354D4" w:rsidP="007354D4">
      <w:pPr>
        <w:pStyle w:val="Prrafodelista"/>
        <w:widowControl w:val="0"/>
        <w:numPr>
          <w:ilvl w:val="0"/>
          <w:numId w:val="18"/>
        </w:numPr>
        <w:autoSpaceDE w:val="0"/>
        <w:autoSpaceDN w:val="0"/>
        <w:spacing w:after="0" w:line="276" w:lineRule="auto"/>
        <w:jc w:val="both"/>
        <w:rPr>
          <w:rFonts w:ascii="Verdana" w:eastAsia="Verdana" w:hAnsi="Verdana" w:cs="Verdana"/>
        </w:rPr>
      </w:pPr>
      <w:r w:rsidRPr="00342D56">
        <w:rPr>
          <w:rFonts w:ascii="Verdana" w:eastAsia="Verdana" w:hAnsi="Verdana" w:cs="Verdana"/>
        </w:rPr>
        <w:t xml:space="preserve">Es preciso advertir que en los artículos 6.2 de la Ley 1150 y 2.2.1.1.1.5.7 del Decreto 1082 de 2015 no se hace alusión expresa al reporte de la información relativa a proponentes que no están obligados a estar en el RUP para participar en Procesos de Contratación o suscribir contratos, como sucede en el caso de las personas naturales extranjeras sin domicilio en el país o de las personas jurídicas extranjeras que no tengan sucursal en Colombia, y que por tanto carecen de inscripción y calificación. No obstante, debe recordarse que el deber de reportar la información relativa a incumplimientos, sanciones e inhabilidades no solo se sustenta en dichas normas, sino también en lo establecido en el artículo 31 de la Ley 80 de 1993, modificado por el artículo 218 del Decreto ley 19 de 2012, que imponen no solo el deber de reportar la información a la cámara de comercio, sino también de publicar la información en el SECOP. De hecho, el artículo 2.2.1.1.1.5.7 hace referencia al mecanismo de interoperabilidad para el registro de información entre RUP y SECOP. </w:t>
      </w:r>
    </w:p>
    <w:p w14:paraId="5A83B675" w14:textId="77777777" w:rsidR="007354D4" w:rsidRPr="00342D56" w:rsidRDefault="007354D4" w:rsidP="007354D4">
      <w:pPr>
        <w:pStyle w:val="Prrafodelista"/>
        <w:widowControl w:val="0"/>
        <w:autoSpaceDE w:val="0"/>
        <w:autoSpaceDN w:val="0"/>
        <w:spacing w:after="0" w:line="276" w:lineRule="auto"/>
        <w:jc w:val="both"/>
        <w:rPr>
          <w:rFonts w:ascii="Verdana" w:eastAsia="Verdana" w:hAnsi="Verdana" w:cs="Verdana"/>
        </w:rPr>
      </w:pPr>
    </w:p>
    <w:p w14:paraId="09FB8032" w14:textId="77777777" w:rsidR="007354D4" w:rsidRDefault="007354D4" w:rsidP="007354D4">
      <w:pPr>
        <w:pStyle w:val="Prrafodelista"/>
        <w:widowControl w:val="0"/>
        <w:numPr>
          <w:ilvl w:val="0"/>
          <w:numId w:val="18"/>
        </w:numPr>
        <w:autoSpaceDE w:val="0"/>
        <w:autoSpaceDN w:val="0"/>
        <w:spacing w:after="0" w:line="276" w:lineRule="auto"/>
        <w:jc w:val="both"/>
        <w:rPr>
          <w:rFonts w:ascii="Verdana" w:eastAsia="Verdana" w:hAnsi="Verdana" w:cs="Verdana"/>
        </w:rPr>
      </w:pPr>
      <w:r w:rsidRPr="00342D56">
        <w:rPr>
          <w:rFonts w:ascii="Verdana" w:eastAsia="Verdana" w:hAnsi="Verdana" w:cs="Verdana"/>
        </w:rPr>
        <w:t xml:space="preserve">Conforme a lo anterior, el RUP no es el único mecanismo establecido en el Estatuto General de Contratación de la Administración Pública para dar publicidad a los incumplimientos, ni el único ante el que se debe reportar tal información por parte de las entidades estatales. Esto dado que el SECOP también es un mecanismo que permite dar publicidad a los </w:t>
      </w:r>
      <w:r w:rsidRPr="00342D56">
        <w:rPr>
          <w:rFonts w:ascii="Verdana" w:eastAsia="Verdana" w:hAnsi="Verdana" w:cs="Verdana"/>
        </w:rPr>
        <w:lastRenderedPageBreak/>
        <w:t>incumplimientos que se presenten en los Procesos de Contratación. De acuerdo con esto, el SECOP brinda a las entidades las entidades estatales la posibilidad de publicar los actos administrativos que declaren la caducidad, impongan multas, sanciones o declaren el incumplimiento, una vez ejecutoriados. Del mismo modo, en el SECOP II el expediente electrónico tiene una sección denominada “Incumplimientos” dispuesta para que la entidad estatal registre las inhabilidades o sanciones impuestas al contratista con ocasión del respectivo contrato. De otra parte, la Procuraduría General de la Nación cuenta con el Sistema de Información de Registro de Sanciones y Causas de Inhabilidad SIRI, en el cual, registra las decisiones ejecutoriadas y notificadas remitidas por las autoridades competentes sobre inhabilidades provenientes de relaciones contractuales con el Estado, entre otras.</w:t>
      </w:r>
    </w:p>
    <w:p w14:paraId="1071C1E7" w14:textId="77777777" w:rsidR="007354D4" w:rsidRPr="00342D56" w:rsidRDefault="007354D4" w:rsidP="007354D4">
      <w:pPr>
        <w:pStyle w:val="Prrafodelista"/>
        <w:widowControl w:val="0"/>
        <w:autoSpaceDE w:val="0"/>
        <w:autoSpaceDN w:val="0"/>
        <w:spacing w:after="0" w:line="276" w:lineRule="auto"/>
        <w:jc w:val="both"/>
        <w:rPr>
          <w:rFonts w:ascii="Verdana" w:eastAsia="Verdana" w:hAnsi="Verdana" w:cs="Verdana"/>
        </w:rPr>
      </w:pPr>
    </w:p>
    <w:p w14:paraId="7728762F" w14:textId="77777777" w:rsidR="007354D4" w:rsidRDefault="007354D4" w:rsidP="007354D4">
      <w:pPr>
        <w:pStyle w:val="Prrafodelista"/>
        <w:widowControl w:val="0"/>
        <w:numPr>
          <w:ilvl w:val="0"/>
          <w:numId w:val="18"/>
        </w:numPr>
        <w:autoSpaceDE w:val="0"/>
        <w:autoSpaceDN w:val="0"/>
        <w:spacing w:after="0" w:line="276" w:lineRule="auto"/>
        <w:jc w:val="both"/>
        <w:rPr>
          <w:rFonts w:ascii="Verdana" w:eastAsia="Verdana" w:hAnsi="Verdana" w:cs="Verdana"/>
        </w:rPr>
      </w:pPr>
      <w:r w:rsidRPr="00484C94">
        <w:rPr>
          <w:rFonts w:ascii="Verdana" w:eastAsia="Verdana" w:hAnsi="Verdana" w:cs="Verdana"/>
        </w:rPr>
        <w:t xml:space="preserve">De acuerdo con lo expuesto, el inciso primero del artículo 6.2 de la Ley 1150 de 2007, en congruencia con el aparte correspondiente al artículo 2.2.1.1.1.5.7 del Decreto 1082 de 2015, imponen a las entidades estatales el deber de reportar a las cámaras de comercio la información relativa a los actos administrativos ejecutoriados expedidos con ocasión de incumplimientos presentados en el marco de los contratos estatales que celebran. De este deber no se encuentra excluida la información relativa a incumplimientos de contratistas que carecen de calificación en el RUP, como, por ejemplo, las personas naturales extranjeras sin domicilio en el país o las personas jurídicas extranjeras que no tengan sucursal en Colombia, pues el solo reporte se realiza con independencia de que se encuentren o no en el registro, puesto que –sin perjuicio de del artículo 31 de la Ley 80 de 1993– las normas citadas no distinguen al respecto. No obstante, la posibilidad o no del registro en función de la inscripción previa guarda relación con la inhabilidad del artículo 90 de la Ley 1474 de 2011. </w:t>
      </w:r>
    </w:p>
    <w:p w14:paraId="664ADCE9" w14:textId="77777777" w:rsidR="007354D4" w:rsidRPr="00484C94" w:rsidRDefault="007354D4" w:rsidP="007354D4">
      <w:pPr>
        <w:pStyle w:val="Prrafodelista"/>
        <w:rPr>
          <w:rFonts w:ascii="Verdana" w:eastAsia="Verdana" w:hAnsi="Verdana" w:cs="Verdana"/>
        </w:rPr>
      </w:pPr>
    </w:p>
    <w:p w14:paraId="6109CFF4" w14:textId="77777777" w:rsidR="007354D4" w:rsidRPr="00484C94" w:rsidRDefault="007354D4" w:rsidP="007354D4">
      <w:pPr>
        <w:pStyle w:val="Prrafodelista"/>
        <w:widowControl w:val="0"/>
        <w:autoSpaceDE w:val="0"/>
        <w:autoSpaceDN w:val="0"/>
        <w:spacing w:after="0" w:line="276" w:lineRule="auto"/>
        <w:jc w:val="both"/>
        <w:rPr>
          <w:rFonts w:ascii="Verdana" w:eastAsia="Verdana" w:hAnsi="Verdana" w:cs="Verdana"/>
        </w:rPr>
      </w:pPr>
    </w:p>
    <w:p w14:paraId="507BA067" w14:textId="605D05C3" w:rsidR="007354D4" w:rsidRPr="00F07E16" w:rsidRDefault="007354D4" w:rsidP="007354D4">
      <w:pPr>
        <w:pStyle w:val="Prrafodelista"/>
        <w:numPr>
          <w:ilvl w:val="0"/>
          <w:numId w:val="18"/>
        </w:numPr>
        <w:jc w:val="both"/>
        <w:rPr>
          <w:rFonts w:ascii="Verdana" w:hAnsi="Verdana"/>
          <w:lang w:val="es-CO"/>
        </w:rPr>
      </w:pPr>
      <w:r w:rsidRPr="00F07E16">
        <w:rPr>
          <w:rFonts w:ascii="Verdana" w:hAnsi="Verdana"/>
          <w:lang w:val="es-MX"/>
        </w:rPr>
        <w:t xml:space="preserve">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F07E16">
        <w:rPr>
          <w:rFonts w:ascii="Verdana" w:hAnsi="Verdana"/>
          <w:i/>
          <w:lang w:val="es-MX"/>
        </w:rPr>
        <w:t>hasta</w:t>
      </w:r>
      <w:r w:rsidRPr="00F07E16">
        <w:rPr>
          <w:rFonts w:ascii="Verdana" w:hAnsi="Verdana"/>
          <w:lang w:val="es-MX"/>
        </w:rPr>
        <w:t xml:space="preserve">, ni dice que debe ser, </w:t>
      </w:r>
      <w:r w:rsidRPr="00F07E16">
        <w:rPr>
          <w:rFonts w:ascii="Verdana" w:hAnsi="Verdana"/>
          <w:i/>
          <w:lang w:val="es-MX"/>
        </w:rPr>
        <w:t>como mínimo</w:t>
      </w:r>
      <w:r w:rsidRPr="00F07E16">
        <w:rPr>
          <w:rFonts w:ascii="Verdana" w:hAnsi="Verdana"/>
          <w:lang w:val="es-MX"/>
        </w:rPr>
        <w:t xml:space="preserve">, una reducción del dos por ciento (2%) de los puntos, sino que establece que ha de ser, exactamente, </w:t>
      </w:r>
      <w:r w:rsidRPr="00F07E16">
        <w:rPr>
          <w:rFonts w:ascii="Verdana" w:hAnsi="Verdana"/>
          <w:lang w:val="es-MX"/>
        </w:rPr>
        <w:lastRenderedPageBreak/>
        <w:t>por este porcentaje, por lo que las entidades no pueden fijar un porcentaje menor al señalad</w:t>
      </w:r>
      <w:r w:rsidR="008D4A0F">
        <w:rPr>
          <w:rFonts w:ascii="Verdana" w:hAnsi="Verdana"/>
          <w:lang w:val="es-MX"/>
        </w:rPr>
        <w:t>o</w:t>
      </w:r>
      <w:r w:rsidRPr="00F07E16">
        <w:rPr>
          <w:rFonts w:ascii="Verdana" w:hAnsi="Verdana"/>
          <w:lang w:val="es-MX"/>
        </w:rPr>
        <w:t>.</w:t>
      </w:r>
    </w:p>
    <w:p w14:paraId="31C56450" w14:textId="77777777" w:rsidR="007354D4" w:rsidRPr="00F07E16" w:rsidRDefault="007354D4" w:rsidP="007354D4">
      <w:pPr>
        <w:pStyle w:val="Prrafodelista"/>
        <w:jc w:val="both"/>
        <w:rPr>
          <w:rFonts w:ascii="Verdana" w:hAnsi="Verdana"/>
        </w:rPr>
      </w:pPr>
    </w:p>
    <w:p w14:paraId="174A0AA6" w14:textId="77777777" w:rsidR="007354D4" w:rsidRDefault="007354D4" w:rsidP="007354D4">
      <w:pPr>
        <w:pStyle w:val="Prrafodelista"/>
        <w:numPr>
          <w:ilvl w:val="0"/>
          <w:numId w:val="18"/>
        </w:numPr>
        <w:jc w:val="both"/>
        <w:rPr>
          <w:rFonts w:ascii="Verdana" w:hAnsi="Verdana"/>
        </w:rPr>
      </w:pPr>
      <w:r w:rsidRPr="00F07E16">
        <w:rPr>
          <w:rFonts w:ascii="Verdana" w:hAnsi="Verdana"/>
        </w:rPr>
        <w:t>La Agencia Nacional de Contratación Pública – Colombia Compra Eficiente en la Circular 001 de 2022 precisó que el artículo 58 de la Ley 2195 de 2022 es una norma de orden público, lo que significa que es imperativa y obligatoria a partir de su expedición, por lo que no pueden ser obviada o desconocida en los procesos de contratación. Por lo tanto, las entidades estatales sometidas al Estatuto General de Contratación de la Administración Pública, salvo para los procesos de mínima cuantía y en aquellos donde únicamente se pondere el menor precio ofrecido, deberán atender la reducción de puntaje por incumplimiento de contratos en los procesos de contratación que realic</w:t>
      </w:r>
      <w:r>
        <w:rPr>
          <w:rFonts w:ascii="Verdana" w:hAnsi="Verdana"/>
        </w:rPr>
        <w:t>e.</w:t>
      </w:r>
    </w:p>
    <w:p w14:paraId="56173962" w14:textId="77777777" w:rsidR="004945B2" w:rsidRDefault="004945B2" w:rsidP="00A672E6">
      <w:pPr>
        <w:jc w:val="both"/>
        <w:rPr>
          <w:rFonts w:ascii="Verdana" w:hAnsi="Verdana"/>
        </w:rPr>
      </w:pPr>
    </w:p>
    <w:p w14:paraId="1F03A986" w14:textId="77777777" w:rsidR="00A672E6" w:rsidRPr="001E575D" w:rsidRDefault="00A672E6" w:rsidP="001E575D">
      <w:pPr>
        <w:pStyle w:val="Prrafodelista"/>
        <w:numPr>
          <w:ilvl w:val="0"/>
          <w:numId w:val="18"/>
        </w:numPr>
        <w:spacing w:after="120" w:line="276" w:lineRule="auto"/>
        <w:jc w:val="both"/>
        <w:rPr>
          <w:rFonts w:ascii="Verdana" w:hAnsi="Verdana"/>
        </w:rPr>
      </w:pPr>
      <w:r w:rsidRPr="001E575D">
        <w:rPr>
          <w:rFonts w:ascii="Verdana" w:hAnsi="Verdana"/>
        </w:rPr>
        <w:t>Como se estableció en las consideraciones, es necesario tener en cuenta que esta entidad solo tiene competencia para responder solicitudes sobre la interpretación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CA6232E" w14:textId="77777777" w:rsidR="006906B1" w:rsidRPr="001E575D" w:rsidRDefault="006906B1" w:rsidP="001E575D">
      <w:pPr>
        <w:jc w:val="both"/>
        <w:rPr>
          <w:rFonts w:ascii="Verdana" w:hAnsi="Verdana"/>
        </w:rPr>
        <w:sectPr w:rsidR="006906B1" w:rsidRPr="001E575D" w:rsidSect="007354D4">
          <w:headerReference w:type="default" r:id="rId11"/>
          <w:footerReference w:type="default" r:id="rId12"/>
          <w:pgSz w:w="12240" w:h="15840"/>
          <w:pgMar w:top="1417" w:right="1701" w:bottom="1417" w:left="1701" w:header="165" w:footer="0" w:gutter="0"/>
          <w:cols w:space="720"/>
          <w:docGrid w:linePitch="299"/>
        </w:sectPr>
      </w:pPr>
    </w:p>
    <w:p w14:paraId="0CA09EEA" w14:textId="77777777" w:rsidR="007354D4" w:rsidRPr="00593A5F" w:rsidRDefault="007354D4" w:rsidP="007354D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lastRenderedPageBreak/>
        <w:t>Referencias normativas, jurisprudenciales y otras fuentes:</w:t>
      </w:r>
    </w:p>
    <w:p w14:paraId="08FD2C96" w14:textId="77777777" w:rsidR="007354D4" w:rsidRPr="00593A5F" w:rsidRDefault="007354D4" w:rsidP="007354D4">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354D4" w:rsidRPr="00593A5F" w14:paraId="09085011" w14:textId="77777777" w:rsidTr="00B34D84">
        <w:trPr>
          <w:trHeight w:val="6892"/>
        </w:trPr>
        <w:tc>
          <w:tcPr>
            <w:tcW w:w="8647" w:type="dxa"/>
          </w:tcPr>
          <w:p w14:paraId="73A42518" w14:textId="77777777" w:rsidR="007354D4" w:rsidRDefault="007354D4" w:rsidP="00B34D84">
            <w:pPr>
              <w:pStyle w:val="Prrafodelista"/>
              <w:widowControl w:val="0"/>
              <w:numPr>
                <w:ilvl w:val="0"/>
                <w:numId w:val="17"/>
              </w:numPr>
              <w:autoSpaceDE w:val="0"/>
              <w:autoSpaceDN w:val="0"/>
              <w:spacing w:after="120"/>
              <w:jc w:val="both"/>
              <w:rPr>
                <w:rFonts w:ascii="Verdana" w:hAnsi="Verdana" w:cs="Arial"/>
              </w:rPr>
            </w:pPr>
            <w:r>
              <w:rPr>
                <w:rFonts w:ascii="Verdana" w:hAnsi="Verdana" w:cs="Arial"/>
                <w:bCs/>
                <w:iCs/>
                <w:color w:val="000000" w:themeColor="text1"/>
                <w:lang w:val="es-ES_tradnl"/>
              </w:rPr>
              <w:t>LEY 2195 DE 202. A</w:t>
            </w:r>
            <w:r w:rsidRPr="00087246">
              <w:rPr>
                <w:rFonts w:ascii="Verdana" w:hAnsi="Verdana" w:cs="Arial"/>
                <w:bCs/>
                <w:iCs/>
                <w:color w:val="000000" w:themeColor="text1"/>
                <w:lang w:val="es-ES_tradnl"/>
              </w:rPr>
              <w:t>rtículo 58</w:t>
            </w:r>
            <w:r>
              <w:rPr>
                <w:rFonts w:ascii="Verdana" w:hAnsi="Verdana" w:cs="Arial"/>
                <w:bCs/>
                <w:iCs/>
                <w:color w:val="000000" w:themeColor="text1"/>
                <w:lang w:val="es-ES_tradnl"/>
              </w:rPr>
              <w:t xml:space="preserve"> Disponible: </w:t>
            </w:r>
            <w:hyperlink r:id="rId13" w:history="1">
              <w:r w:rsidRPr="00C630FC">
                <w:rPr>
                  <w:rStyle w:val="Hipervnculo"/>
                  <w:rFonts w:ascii="Verdana" w:hAnsi="Verdana" w:cs="Arial"/>
                </w:rPr>
                <w:t>https://relatoria.colombiacompra.gov.co/normativa/ley-2195-de-2022/</w:t>
              </w:r>
            </w:hyperlink>
          </w:p>
          <w:p w14:paraId="7B30092B" w14:textId="77777777" w:rsidR="007354D4" w:rsidRDefault="007354D4" w:rsidP="006B67C8">
            <w:pPr>
              <w:pStyle w:val="Prrafodelista"/>
              <w:widowControl w:val="0"/>
              <w:autoSpaceDE w:val="0"/>
              <w:autoSpaceDN w:val="0"/>
              <w:spacing w:after="120"/>
              <w:jc w:val="both"/>
              <w:rPr>
                <w:rFonts w:ascii="Verdana" w:hAnsi="Verdana" w:cs="Arial"/>
              </w:rPr>
            </w:pPr>
          </w:p>
          <w:p w14:paraId="7CDCB5C5" w14:textId="77777777" w:rsidR="007354D4" w:rsidRDefault="007354D4" w:rsidP="00B34D84">
            <w:pPr>
              <w:pStyle w:val="Prrafodelista"/>
              <w:widowControl w:val="0"/>
              <w:autoSpaceDE w:val="0"/>
              <w:autoSpaceDN w:val="0"/>
              <w:spacing w:after="120"/>
              <w:jc w:val="both"/>
              <w:rPr>
                <w:rFonts w:ascii="Verdana" w:hAnsi="Verdana" w:cs="Arial"/>
              </w:rPr>
            </w:pPr>
          </w:p>
          <w:p w14:paraId="3A365036" w14:textId="77777777" w:rsidR="007354D4" w:rsidRDefault="007354D4" w:rsidP="00B34D84">
            <w:pPr>
              <w:pStyle w:val="Prrafodelista"/>
              <w:widowControl w:val="0"/>
              <w:numPr>
                <w:ilvl w:val="0"/>
                <w:numId w:val="17"/>
              </w:numPr>
              <w:autoSpaceDE w:val="0"/>
              <w:autoSpaceDN w:val="0"/>
              <w:spacing w:after="120"/>
              <w:jc w:val="both"/>
              <w:rPr>
                <w:rFonts w:ascii="Verdana" w:hAnsi="Verdana" w:cs="Arial"/>
              </w:rPr>
            </w:pPr>
            <w:r w:rsidRPr="00A37F04">
              <w:rPr>
                <w:rFonts w:ascii="Verdana" w:hAnsi="Verdana" w:cs="Arial"/>
              </w:rPr>
              <w:t xml:space="preserve">Ley 80 de 1993, artículo </w:t>
            </w:r>
            <w:r>
              <w:rPr>
                <w:rFonts w:ascii="Verdana" w:hAnsi="Verdana" w:cs="Arial"/>
              </w:rPr>
              <w:t>31</w:t>
            </w:r>
            <w:r w:rsidRPr="00A37F04">
              <w:rPr>
                <w:rFonts w:ascii="Verdana" w:hAnsi="Verdana" w:cs="Arial"/>
              </w:rPr>
              <w:t>.</w:t>
            </w:r>
            <w:r>
              <w:rPr>
                <w:rFonts w:ascii="Verdana" w:hAnsi="Verdana" w:cs="Arial"/>
              </w:rPr>
              <w:t xml:space="preserve"> Disponible en: </w:t>
            </w:r>
            <w:hyperlink r:id="rId14" w:history="1">
              <w:r w:rsidRPr="00837AEF">
                <w:rPr>
                  <w:rStyle w:val="Hipervnculo"/>
                  <w:rFonts w:ascii="Verdana" w:hAnsi="Verdana" w:cs="Arial"/>
                </w:rPr>
                <w:t>https://relatoria.colombiacompra.gov.co/normativa/ley-80-de-1993/</w:t>
              </w:r>
            </w:hyperlink>
          </w:p>
          <w:p w14:paraId="50AFF504" w14:textId="77777777" w:rsidR="007354D4" w:rsidRPr="00A37F04" w:rsidRDefault="007354D4" w:rsidP="00B34D84">
            <w:pPr>
              <w:pStyle w:val="Prrafodelista"/>
              <w:widowControl w:val="0"/>
              <w:autoSpaceDE w:val="0"/>
              <w:autoSpaceDN w:val="0"/>
              <w:spacing w:after="120"/>
              <w:jc w:val="both"/>
              <w:rPr>
                <w:rFonts w:ascii="Verdana" w:hAnsi="Verdana" w:cs="Arial"/>
              </w:rPr>
            </w:pPr>
          </w:p>
          <w:p w14:paraId="09578CA6" w14:textId="77777777" w:rsidR="007354D4" w:rsidRPr="009B0642" w:rsidRDefault="007354D4" w:rsidP="00B34D84">
            <w:pPr>
              <w:pStyle w:val="Prrafodelista"/>
              <w:widowControl w:val="0"/>
              <w:numPr>
                <w:ilvl w:val="0"/>
                <w:numId w:val="17"/>
              </w:numPr>
              <w:autoSpaceDE w:val="0"/>
              <w:autoSpaceDN w:val="0"/>
              <w:spacing w:after="120"/>
              <w:jc w:val="both"/>
              <w:rPr>
                <w:rFonts w:ascii="Verdana" w:hAnsi="Verdana" w:cs="Arial"/>
              </w:rPr>
            </w:pPr>
            <w:r w:rsidRPr="00A37F04">
              <w:rPr>
                <w:rFonts w:ascii="Verdana" w:hAnsi="Verdana" w:cs="Arial"/>
              </w:rPr>
              <w:t xml:space="preserve">Ley 1150 de 2007, artículo </w:t>
            </w:r>
            <w:r>
              <w:rPr>
                <w:rFonts w:ascii="Verdana" w:hAnsi="Verdana" w:cs="Arial"/>
              </w:rPr>
              <w:t>6</w:t>
            </w:r>
            <w:r w:rsidRPr="00A37F04">
              <w:rPr>
                <w:rFonts w:ascii="Verdana" w:hAnsi="Verdana" w:cs="Arial"/>
              </w:rPr>
              <w:t>.</w:t>
            </w:r>
            <w:r>
              <w:rPr>
                <w:rFonts w:ascii="Verdana" w:hAnsi="Verdana" w:cs="Arial"/>
              </w:rPr>
              <w:t xml:space="preserve"> Disponible en: </w:t>
            </w:r>
            <w:hyperlink r:id="rId15" w:history="1">
              <w:r w:rsidRPr="00837AEF">
                <w:rPr>
                  <w:rStyle w:val="Hipervnculo"/>
                  <w:rFonts w:ascii="Verdana" w:hAnsi="Verdana" w:cs="Arial"/>
                </w:rPr>
                <w:t>https://relatoria.colombiacompra.gov.co/normativa/ley-1150-de-2007/</w:t>
              </w:r>
            </w:hyperlink>
          </w:p>
          <w:p w14:paraId="7EBB68E2" w14:textId="77777777" w:rsidR="007354D4" w:rsidRDefault="007354D4" w:rsidP="00B34D84">
            <w:pPr>
              <w:pStyle w:val="Prrafodelista"/>
              <w:widowControl w:val="0"/>
              <w:numPr>
                <w:ilvl w:val="0"/>
                <w:numId w:val="17"/>
              </w:numPr>
              <w:autoSpaceDE w:val="0"/>
              <w:autoSpaceDN w:val="0"/>
              <w:spacing w:after="120"/>
              <w:jc w:val="both"/>
              <w:rPr>
                <w:rFonts w:ascii="Verdana" w:hAnsi="Verdana" w:cs="Arial"/>
              </w:rPr>
            </w:pPr>
            <w:r w:rsidRPr="00A37F04">
              <w:rPr>
                <w:rFonts w:ascii="Verdana" w:hAnsi="Verdana" w:cs="Arial"/>
              </w:rPr>
              <w:t>Código de Comercio, artículo 1048.</w:t>
            </w:r>
            <w:r>
              <w:rPr>
                <w:rFonts w:ascii="Verdana" w:hAnsi="Verdana" w:cs="Arial"/>
              </w:rPr>
              <w:t xml:space="preserve"> Disponible en: </w:t>
            </w:r>
            <w:hyperlink r:id="rId16" w:history="1">
              <w:r w:rsidRPr="00837AEF">
                <w:rPr>
                  <w:rStyle w:val="Hipervnculo"/>
                  <w:rFonts w:ascii="Verdana" w:hAnsi="Verdana" w:cs="Arial"/>
                </w:rPr>
                <w:t>https://relatoria.colombiacompra.gov.co/normativa/codigo-de-comercio-decreto-410-de-1971/</w:t>
              </w:r>
            </w:hyperlink>
          </w:p>
          <w:p w14:paraId="76B3A939" w14:textId="77777777" w:rsidR="007354D4" w:rsidRPr="009B0642" w:rsidRDefault="007354D4" w:rsidP="00B34D84">
            <w:pPr>
              <w:pStyle w:val="Prrafodelista"/>
              <w:widowControl w:val="0"/>
              <w:autoSpaceDE w:val="0"/>
              <w:autoSpaceDN w:val="0"/>
              <w:spacing w:after="120"/>
              <w:jc w:val="both"/>
              <w:rPr>
                <w:rFonts w:ascii="Verdana" w:hAnsi="Verdana" w:cs="Arial"/>
              </w:rPr>
            </w:pPr>
          </w:p>
          <w:p w14:paraId="656FEB1D" w14:textId="77777777" w:rsidR="007354D4" w:rsidRPr="00F07E16" w:rsidRDefault="007354D4" w:rsidP="00B34D84">
            <w:pPr>
              <w:pStyle w:val="Prrafodelista"/>
              <w:widowControl w:val="0"/>
              <w:numPr>
                <w:ilvl w:val="0"/>
                <w:numId w:val="17"/>
              </w:numPr>
              <w:autoSpaceDE w:val="0"/>
              <w:autoSpaceDN w:val="0"/>
              <w:spacing w:after="120"/>
              <w:jc w:val="both"/>
              <w:rPr>
                <w:rStyle w:val="Hipervnculo"/>
                <w:rFonts w:ascii="Verdana" w:hAnsi="Verdana" w:cs="Arial"/>
                <w:color w:val="auto"/>
                <w:u w:val="none"/>
              </w:rPr>
            </w:pPr>
            <w:r w:rsidRPr="00A37F04">
              <w:rPr>
                <w:rFonts w:ascii="Verdana" w:hAnsi="Verdana" w:cs="Arial"/>
              </w:rPr>
              <w:t>Decreto</w:t>
            </w:r>
            <w:r w:rsidRPr="00A37F04">
              <w:rPr>
                <w:rFonts w:ascii="Verdana" w:hAnsi="Verdana" w:cs="Arial"/>
              </w:rPr>
              <w:tab/>
              <w:t>1082</w:t>
            </w:r>
            <w:r w:rsidRPr="00A37F04">
              <w:rPr>
                <w:rFonts w:ascii="Verdana" w:hAnsi="Verdana" w:cs="Arial"/>
              </w:rPr>
              <w:tab/>
              <w:t>de</w:t>
            </w:r>
            <w:r w:rsidRPr="00A37F04">
              <w:rPr>
                <w:rFonts w:ascii="Verdana" w:hAnsi="Verdana" w:cs="Arial"/>
              </w:rPr>
              <w:tab/>
              <w:t>2015,</w:t>
            </w:r>
            <w:r w:rsidRPr="00A37F04">
              <w:rPr>
                <w:rFonts w:ascii="Verdana" w:hAnsi="Verdana" w:cs="Arial"/>
              </w:rPr>
              <w:tab/>
              <w:t>artículo</w:t>
            </w:r>
            <w:r>
              <w:rPr>
                <w:rFonts w:ascii="Verdana" w:hAnsi="Verdana" w:cs="Arial"/>
              </w:rPr>
              <w:t xml:space="preserve"> </w:t>
            </w:r>
            <w:proofErr w:type="spellStart"/>
            <w:r w:rsidRPr="00484C94">
              <w:rPr>
                <w:rFonts w:ascii="Verdana" w:eastAsia="Verdana" w:hAnsi="Verdana" w:cs="Verdana"/>
              </w:rPr>
              <w:t>artículo</w:t>
            </w:r>
            <w:proofErr w:type="spellEnd"/>
            <w:r w:rsidRPr="00484C94">
              <w:rPr>
                <w:rFonts w:ascii="Verdana" w:eastAsia="Verdana" w:hAnsi="Verdana" w:cs="Verdana"/>
              </w:rPr>
              <w:t xml:space="preserve"> 2.2.1.1.1.5.7 </w:t>
            </w:r>
            <w:r>
              <w:rPr>
                <w:rFonts w:ascii="Verdana" w:hAnsi="Verdana" w:cs="Arial"/>
              </w:rPr>
              <w:t xml:space="preserve">Disponible en: </w:t>
            </w:r>
            <w:hyperlink r:id="rId17" w:history="1">
              <w:r w:rsidRPr="00837AEF">
                <w:rPr>
                  <w:rStyle w:val="Hipervnculo"/>
                  <w:rFonts w:ascii="Verdana" w:hAnsi="Verdana" w:cs="Arial"/>
                </w:rPr>
                <w:t>https://relatoria.colombiacompra.gov.co/normativa/decreto-1082-de-2015/</w:t>
              </w:r>
            </w:hyperlink>
          </w:p>
          <w:p w14:paraId="119B97AC" w14:textId="77777777" w:rsidR="007354D4" w:rsidRPr="00F07E16" w:rsidRDefault="007354D4" w:rsidP="00B34D84">
            <w:pPr>
              <w:pStyle w:val="Prrafodelista"/>
              <w:rPr>
                <w:rFonts w:ascii="Verdana" w:hAnsi="Verdana" w:cs="Arial"/>
              </w:rPr>
            </w:pPr>
          </w:p>
          <w:p w14:paraId="191656B0" w14:textId="77777777" w:rsidR="007354D4" w:rsidRPr="009373B6" w:rsidRDefault="007354D4" w:rsidP="00B34D84">
            <w:pPr>
              <w:pStyle w:val="Prrafodelista"/>
              <w:widowControl w:val="0"/>
              <w:numPr>
                <w:ilvl w:val="0"/>
                <w:numId w:val="17"/>
              </w:numPr>
              <w:autoSpaceDE w:val="0"/>
              <w:autoSpaceDN w:val="0"/>
              <w:spacing w:after="120"/>
              <w:jc w:val="both"/>
              <w:rPr>
                <w:rFonts w:ascii="Verdana" w:hAnsi="Verdana" w:cs="Arial"/>
              </w:rPr>
            </w:pPr>
            <w:r w:rsidRPr="00F07E16">
              <w:rPr>
                <w:rFonts w:ascii="Verdana" w:hAnsi="Verdana"/>
              </w:rPr>
              <w:t>Circular 001 de 2022</w:t>
            </w:r>
            <w:r>
              <w:rPr>
                <w:rFonts w:ascii="Verdana" w:hAnsi="Verdana"/>
              </w:rPr>
              <w:t xml:space="preserve"> de la</w:t>
            </w:r>
            <w:r w:rsidRPr="00F07E16">
              <w:rPr>
                <w:rFonts w:ascii="Verdana" w:hAnsi="Verdana"/>
              </w:rPr>
              <w:t xml:space="preserve"> Agencia Nacional de Contratación Pública – Colombia Compra Eficiente</w:t>
            </w:r>
            <w:r>
              <w:rPr>
                <w:rFonts w:ascii="Verdana" w:hAnsi="Verdana"/>
              </w:rPr>
              <w:t xml:space="preserve">. Disponible </w:t>
            </w:r>
            <w:proofErr w:type="gramStart"/>
            <w:r>
              <w:rPr>
                <w:rFonts w:ascii="Verdana" w:hAnsi="Verdana"/>
              </w:rPr>
              <w:t>en :</w:t>
            </w:r>
            <w:proofErr w:type="gramEnd"/>
            <w:r w:rsidRPr="00F07E16">
              <w:rPr>
                <w:rFonts w:ascii="Verdana" w:hAnsi="Verdana"/>
              </w:rPr>
              <w:t xml:space="preserve"> </w:t>
            </w:r>
            <w:hyperlink r:id="rId18" w:history="1">
              <w:r w:rsidRPr="00C630FC">
                <w:rPr>
                  <w:rStyle w:val="Hipervnculo"/>
                  <w:rFonts w:ascii="Verdana" w:hAnsi="Verdana"/>
                </w:rPr>
                <w:t>https://www.colombiacompra.gov.co/sites/cce_public/files/cce_circulares/circular_001-2022_-_aplicacion_del_articulo_58_de_la_ley_2195_de_2022_en_los_documentos_tipo_1.pdf</w:t>
              </w:r>
            </w:hyperlink>
          </w:p>
        </w:tc>
      </w:tr>
    </w:tbl>
    <w:p w14:paraId="1EF46383" w14:textId="77777777" w:rsidR="007354D4" w:rsidRPr="00593A5F" w:rsidRDefault="007354D4" w:rsidP="007354D4">
      <w:pPr>
        <w:widowControl w:val="0"/>
        <w:autoSpaceDE w:val="0"/>
        <w:autoSpaceDN w:val="0"/>
        <w:spacing w:after="0" w:line="276" w:lineRule="auto"/>
        <w:jc w:val="both"/>
        <w:rPr>
          <w:rFonts w:ascii="Verdana" w:hAnsi="Verdana" w:cs="Arial"/>
        </w:rPr>
      </w:pPr>
    </w:p>
    <w:p w14:paraId="209A4912" w14:textId="77777777" w:rsidR="007354D4" w:rsidRDefault="007354D4" w:rsidP="007354D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9F1FF05" w14:textId="77777777" w:rsidR="007354D4" w:rsidRDefault="007354D4" w:rsidP="007354D4">
      <w:pPr>
        <w:pStyle w:val="Prrafodelista"/>
        <w:tabs>
          <w:tab w:val="left" w:pos="142"/>
          <w:tab w:val="left" w:pos="284"/>
        </w:tabs>
        <w:spacing w:after="0" w:line="276" w:lineRule="auto"/>
        <w:ind w:left="0"/>
        <w:contextualSpacing w:val="0"/>
        <w:jc w:val="both"/>
        <w:rPr>
          <w:rFonts w:ascii="Arial" w:eastAsia="Arial" w:hAnsi="Arial" w:cs="Arial"/>
          <w:szCs w:val="24"/>
          <w:lang w:eastAsia="es-ES_tradnl"/>
        </w:rPr>
      </w:pPr>
      <w:r w:rsidRPr="004945B2">
        <w:rPr>
          <w:rFonts w:ascii="Verdana" w:eastAsia="Calibri" w:hAnsi="Verdana" w:cs="Arial"/>
          <w:lang w:eastAsia="es-ES_tradnl"/>
        </w:rPr>
        <w:t xml:space="preserve">La Agencia Nacional de Contratación Pública – Colombia Compra Eficiente, en los conceptos </w:t>
      </w:r>
      <w:r w:rsidRPr="004945B2">
        <w:rPr>
          <w:rFonts w:ascii="Verdana" w:eastAsia="Arial" w:hAnsi="Verdana" w:cs="Arial"/>
          <w:szCs w:val="24"/>
          <w:lang w:eastAsia="es-ES_tradnl"/>
        </w:rPr>
        <w:t>C-035 y C-040 del 2 de marzo de 2022, C-061 del 8 de marzo de 2022, C-088 del 22 de marzo de 2022, C-120 del 22 de marzo de 2022, C-125 del 24 de marzo de 2022, C-143 del 31 de marzo de 2022, C-162 del 5 de abril de 2022, C-193 del 12 de abril de 2022, C-208 del 27 de abril de 2022, C-085 del 29 de abril de 2022, C-265 del 4 de mayo de 2022, C-278 del 9 de mayo de 2022, C-563 del 8 de agosto de 2022,C-226 del 13 de septiembre de 2023, analizó el alcance del artículo 58 de la Ley 2195 de 2022</w:t>
      </w:r>
      <w:r>
        <w:rPr>
          <w:rFonts w:ascii="Arial" w:eastAsia="Arial" w:hAnsi="Arial" w:cs="Arial"/>
          <w:szCs w:val="24"/>
          <w:lang w:eastAsia="es-ES_tradnl"/>
        </w:rPr>
        <w:t>.</w:t>
      </w:r>
    </w:p>
    <w:p w14:paraId="1E890221" w14:textId="77777777" w:rsidR="0002569A" w:rsidRPr="00DE1C24" w:rsidRDefault="0002569A" w:rsidP="007354D4">
      <w:pPr>
        <w:pStyle w:val="Prrafodelista"/>
        <w:tabs>
          <w:tab w:val="left" w:pos="142"/>
          <w:tab w:val="left" w:pos="284"/>
        </w:tabs>
        <w:spacing w:after="0" w:line="276" w:lineRule="auto"/>
        <w:ind w:left="0"/>
        <w:contextualSpacing w:val="0"/>
        <w:jc w:val="both"/>
        <w:rPr>
          <w:rStyle w:val="normaltextrun"/>
          <w:rFonts w:ascii="Verdana" w:eastAsia="Century Gothic" w:hAnsi="Verdana" w:cs="Century Gothic"/>
          <w:b/>
          <w:bCs/>
        </w:rPr>
      </w:pPr>
    </w:p>
    <w:p w14:paraId="33D14799" w14:textId="77777777" w:rsidR="007354D4" w:rsidRDefault="007354D4" w:rsidP="007354D4">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9"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7EB477D1" w14:textId="77777777" w:rsidR="007354D4" w:rsidRDefault="007354D4" w:rsidP="007354D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C6598D1" w14:textId="77777777" w:rsidR="007354D4" w:rsidRDefault="007354D4" w:rsidP="007354D4">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20"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0A46890" w14:textId="77777777" w:rsidR="007354D4" w:rsidRDefault="007354D4" w:rsidP="007354D4">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A1554D">
        <w:rPr>
          <w:rStyle w:val="normaltextrun"/>
          <w:rFonts w:ascii="Verdana" w:hAnsi="Verdana" w:cs="Arial"/>
          <w:color w:val="FF0000"/>
          <w:shd w:val="clear" w:color="auto" w:fill="FFFFFF"/>
          <w:lang w:val="es-ES"/>
        </w:rPr>
        <w:t xml:space="preserve">   </w:t>
      </w:r>
    </w:p>
    <w:p w14:paraId="0E4C1FAD" w14:textId="77777777" w:rsidR="007354D4" w:rsidRPr="003E2460" w:rsidRDefault="007354D4" w:rsidP="007354D4">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1967EEA4" w14:textId="77777777" w:rsidR="007354D4" w:rsidRPr="003E2460" w:rsidRDefault="007354D4" w:rsidP="007354D4">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433AC54C" w14:textId="77777777" w:rsidR="007354D4" w:rsidRPr="003E2460" w:rsidRDefault="007354D4" w:rsidP="007354D4">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40AFC588" w14:textId="77777777" w:rsidR="007354D4" w:rsidRDefault="007354D4" w:rsidP="007354D4">
      <w:pPr>
        <w:spacing w:after="0" w:line="240" w:lineRule="auto"/>
        <w:jc w:val="both"/>
        <w:rPr>
          <w:rStyle w:val="Hipervnculo"/>
          <w:rFonts w:ascii="Verdana" w:hAnsi="Verdana"/>
          <w:color w:val="4472C4" w:themeColor="accent1"/>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239D2D7" w14:textId="77777777" w:rsidR="007354D4" w:rsidRPr="005E7AD5" w:rsidRDefault="007354D4" w:rsidP="007354D4">
      <w:pPr>
        <w:spacing w:after="0" w:line="240" w:lineRule="auto"/>
        <w:jc w:val="both"/>
        <w:rPr>
          <w:rFonts w:ascii="Verdana" w:hAnsi="Verdana"/>
        </w:rPr>
      </w:pPr>
    </w:p>
    <w:p w14:paraId="6F5A532D" w14:textId="77777777" w:rsidR="007354D4" w:rsidRPr="005E7AD5" w:rsidRDefault="007354D4" w:rsidP="007354D4">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046428EC" w14:textId="61DE1752" w:rsidR="007354D4" w:rsidRPr="006B67C8" w:rsidRDefault="007354D4" w:rsidP="006B67C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bookmarkStart w:id="2" w:name="_Hlk176441425"/>
      <w:bookmarkStart w:id="3" w:name="_Hlk176339801"/>
      <w:bookmarkStart w:id="4" w:name="_Hlk108537388"/>
    </w:p>
    <w:p w14:paraId="77E6208C" w14:textId="5435CC87" w:rsidR="0035083E" w:rsidRPr="001E36A3" w:rsidRDefault="001D243B" w:rsidP="006B67C8">
      <w:pPr>
        <w:spacing w:line="276" w:lineRule="auto"/>
        <w:jc w:val="center"/>
        <w:rPr>
          <w:rFonts w:ascii="Verdana" w:hAnsi="Verdana" w:cs="Arial"/>
          <w:color w:val="000000" w:themeColor="text1"/>
          <w:lang w:val="es-ES_tradnl" w:eastAsia="es-CO"/>
        </w:rPr>
      </w:pPr>
      <w:r>
        <w:rPr>
          <w:noProof/>
        </w:rPr>
        <w:drawing>
          <wp:inline distT="0" distB="0" distL="0" distR="0" wp14:anchorId="2EF429C4" wp14:editId="67F30C0F">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21"/>
                    <a:stretch>
                      <a:fillRect/>
                    </a:stretch>
                  </pic:blipFill>
                  <pic:spPr>
                    <a:xfrm>
                      <a:off x="0" y="0"/>
                      <a:ext cx="3705225" cy="15906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5083E" w:rsidRPr="001E36A3" w14:paraId="732C24A7" w14:textId="77777777" w:rsidTr="00B34D84">
        <w:trPr>
          <w:trHeight w:val="315"/>
        </w:trPr>
        <w:tc>
          <w:tcPr>
            <w:tcW w:w="893" w:type="dxa"/>
            <w:vAlign w:val="center"/>
            <w:hideMark/>
          </w:tcPr>
          <w:p w14:paraId="527B8C3A" w14:textId="77777777" w:rsidR="0035083E" w:rsidRPr="001E36A3" w:rsidRDefault="0035083E" w:rsidP="00B34D84">
            <w:pPr>
              <w:contextualSpacing/>
              <w:rPr>
                <w:rFonts w:ascii="Verdana" w:hAnsi="Verdana" w:cs="Arial"/>
                <w:color w:val="000000" w:themeColor="text1"/>
                <w:sz w:val="16"/>
                <w:szCs w:val="16"/>
                <w:lang w:val="es-ES" w:eastAsia="es-ES"/>
              </w:rPr>
            </w:pPr>
            <w:r w:rsidRPr="001E36A3">
              <w:rPr>
                <w:rFonts w:ascii="Verdana" w:hAnsi="Verdana"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8BF602A" w14:textId="77777777" w:rsidR="0035083E" w:rsidRPr="009C4388" w:rsidRDefault="0035083E" w:rsidP="00B34D84">
            <w:pPr>
              <w:contextualSpacing/>
              <w:rPr>
                <w:rFonts w:ascii="Verdana" w:eastAsia="Arial" w:hAnsi="Verdana" w:cs="Arial"/>
                <w:color w:val="000000" w:themeColor="text1"/>
                <w:sz w:val="16"/>
                <w:szCs w:val="16"/>
              </w:rPr>
            </w:pPr>
            <w:r w:rsidRPr="009C4388">
              <w:rPr>
                <w:rFonts w:ascii="Verdana" w:eastAsia="Arial" w:hAnsi="Verdana" w:cs="Arial"/>
                <w:color w:val="000000" w:themeColor="text1"/>
                <w:sz w:val="16"/>
                <w:szCs w:val="16"/>
              </w:rPr>
              <w:t>Keila Margarita Reyes Cassiani</w:t>
            </w:r>
          </w:p>
          <w:p w14:paraId="10D915F5" w14:textId="77777777" w:rsidR="0035083E" w:rsidRPr="001E36A3" w:rsidRDefault="0035083E" w:rsidP="00B34D84">
            <w:pPr>
              <w:contextualSpacing/>
              <w:rPr>
                <w:rFonts w:ascii="Verdana" w:eastAsia="Arial" w:hAnsi="Verdana" w:cs="Arial"/>
                <w:color w:val="000000" w:themeColor="text1"/>
                <w:sz w:val="16"/>
                <w:szCs w:val="16"/>
              </w:rPr>
            </w:pPr>
            <w:r w:rsidRPr="001E36A3">
              <w:rPr>
                <w:rStyle w:val="normaltextrun"/>
                <w:rFonts w:ascii="Verdana" w:eastAsia="Arial" w:hAnsi="Verdana" w:cs="Arial"/>
                <w:color w:val="000000" w:themeColor="text1"/>
                <w:sz w:val="16"/>
                <w:szCs w:val="16"/>
              </w:rPr>
              <w:t>Contratista de la Subdirección de Gestión Contractual</w:t>
            </w:r>
          </w:p>
        </w:tc>
      </w:tr>
      <w:tr w:rsidR="0035083E" w:rsidRPr="00593A5F" w14:paraId="24728AD4" w14:textId="77777777" w:rsidTr="00B34D84">
        <w:trPr>
          <w:trHeight w:val="330"/>
        </w:trPr>
        <w:tc>
          <w:tcPr>
            <w:tcW w:w="893" w:type="dxa"/>
            <w:vAlign w:val="center"/>
            <w:hideMark/>
          </w:tcPr>
          <w:p w14:paraId="7F8713E6" w14:textId="77777777" w:rsidR="0035083E" w:rsidRPr="003751C7" w:rsidRDefault="0035083E" w:rsidP="00B34D84">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C135ADB" w14:textId="77777777" w:rsidR="0035083E" w:rsidRPr="006E6881" w:rsidRDefault="0035083E" w:rsidP="00B34D84">
            <w:pPr>
              <w:pStyle w:val="paragraph"/>
              <w:spacing w:before="0" w:beforeAutospacing="0" w:after="0" w:afterAutospacing="0"/>
              <w:contextualSpacing/>
              <w:textAlignment w:val="baseline"/>
              <w:rPr>
                <w:rStyle w:val="normaltextrun"/>
                <w:rFonts w:ascii="Verdana" w:hAnsi="Verdana" w:cs="Arial"/>
                <w:sz w:val="16"/>
                <w:szCs w:val="16"/>
                <w:lang w:val="es-ES"/>
              </w:rPr>
            </w:pPr>
            <w:r w:rsidRPr="006E6881">
              <w:rPr>
                <w:rStyle w:val="normaltextrun"/>
                <w:rFonts w:ascii="Verdana" w:hAnsi="Verdana" w:cs="Arial"/>
                <w:sz w:val="16"/>
                <w:szCs w:val="16"/>
                <w:lang w:val="es-ES"/>
              </w:rPr>
              <w:t>A</w:t>
            </w:r>
            <w:r w:rsidRPr="006E6881">
              <w:rPr>
                <w:rStyle w:val="normaltextrun"/>
                <w:rFonts w:ascii="Verdana" w:hAnsi="Verdana"/>
                <w:sz w:val="16"/>
                <w:szCs w:val="16"/>
                <w:lang w:val="es-ES"/>
              </w:rPr>
              <w:t>driana Katherine</w:t>
            </w:r>
            <w:r>
              <w:rPr>
                <w:rStyle w:val="normaltextrun"/>
                <w:rFonts w:ascii="Verdana" w:hAnsi="Verdana"/>
                <w:sz w:val="16"/>
                <w:szCs w:val="16"/>
                <w:lang w:val="es-ES"/>
              </w:rPr>
              <w:t xml:space="preserve"> </w:t>
            </w:r>
            <w:r w:rsidRPr="006E6881">
              <w:rPr>
                <w:rStyle w:val="normaltextrun"/>
                <w:rFonts w:ascii="Verdana" w:hAnsi="Verdana"/>
                <w:sz w:val="16"/>
                <w:szCs w:val="16"/>
                <w:lang w:val="es-ES"/>
              </w:rPr>
              <w:t>López Rodríguez</w:t>
            </w:r>
          </w:p>
          <w:p w14:paraId="0D9190F4" w14:textId="77777777" w:rsidR="0035083E" w:rsidRPr="003751C7" w:rsidRDefault="0035083E" w:rsidP="00B34D84">
            <w:pPr>
              <w:pStyle w:val="paragraph"/>
              <w:spacing w:before="0" w:beforeAutospacing="0" w:after="0" w:afterAutospacing="0"/>
              <w:contextualSpacing/>
              <w:textAlignment w:val="baseline"/>
              <w:rPr>
                <w:rFonts w:ascii="Verdana" w:hAnsi="Verdana" w:cs="Segoe UI"/>
                <w:sz w:val="16"/>
                <w:szCs w:val="16"/>
              </w:rPr>
            </w:pPr>
            <w:r w:rsidRPr="006E6881">
              <w:rPr>
                <w:rStyle w:val="normaltextrun"/>
                <w:rFonts w:ascii="Verdana" w:hAnsi="Verdana" w:cs="Arial"/>
                <w:sz w:val="16"/>
                <w:szCs w:val="16"/>
                <w:lang w:val="es-ES"/>
              </w:rPr>
              <w:t>Contratista de la Subdirección de Gestión Contractual</w:t>
            </w:r>
            <w:r w:rsidRPr="006E6881">
              <w:rPr>
                <w:rStyle w:val="eop"/>
                <w:rFonts w:ascii="Verdana" w:hAnsi="Verdana" w:cs="Arial"/>
                <w:sz w:val="16"/>
                <w:szCs w:val="16"/>
              </w:rPr>
              <w:t> </w:t>
            </w:r>
          </w:p>
        </w:tc>
      </w:tr>
      <w:tr w:rsidR="0035083E" w:rsidRPr="00593A5F" w14:paraId="284EFB70" w14:textId="77777777" w:rsidTr="00B34D84">
        <w:trPr>
          <w:trHeight w:val="300"/>
        </w:trPr>
        <w:tc>
          <w:tcPr>
            <w:tcW w:w="893" w:type="dxa"/>
            <w:vAlign w:val="center"/>
          </w:tcPr>
          <w:p w14:paraId="5944A49B" w14:textId="77777777" w:rsidR="0035083E" w:rsidRPr="003751C7" w:rsidRDefault="0035083E" w:rsidP="00B34D84">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96BB3FD" w14:textId="77777777" w:rsidR="0035083E" w:rsidRPr="003751C7" w:rsidRDefault="0035083E" w:rsidP="00B34D84">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73E4B70A" w14:textId="77777777" w:rsidR="0035083E" w:rsidRPr="003751C7" w:rsidRDefault="0035083E" w:rsidP="00B34D84">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bookmarkEnd w:id="0"/>
      <w:bookmarkEnd w:id="2"/>
      <w:bookmarkEnd w:id="3"/>
      <w:bookmarkEnd w:id="4"/>
    </w:tbl>
    <w:p w14:paraId="7D120825" w14:textId="6DBEE2F0" w:rsidR="009373B6" w:rsidRPr="00593A5F" w:rsidRDefault="009373B6" w:rsidP="004945B2">
      <w:pPr>
        <w:rPr>
          <w:rFonts w:ascii="Verdana" w:hAnsi="Verdana" w:cs="Arial"/>
        </w:rPr>
      </w:pPr>
    </w:p>
    <w:sectPr w:rsidR="009373B6" w:rsidRPr="00593A5F" w:rsidSect="005C721D">
      <w:headerReference w:type="default" r:id="rId22"/>
      <w:footerReference w:type="default" r:id="rId23"/>
      <w:pgSz w:w="12240" w:h="15840" w:code="1"/>
      <w:pgMar w:top="1417" w:right="1701" w:bottom="1417" w:left="1701"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DEDCD" w14:textId="77777777" w:rsidR="00321C69" w:rsidRDefault="00321C69" w:rsidP="004A1847">
      <w:pPr>
        <w:spacing w:after="0" w:line="240" w:lineRule="auto"/>
      </w:pPr>
      <w:r>
        <w:separator/>
      </w:r>
    </w:p>
  </w:endnote>
  <w:endnote w:type="continuationSeparator" w:id="0">
    <w:p w14:paraId="2E053857" w14:textId="77777777" w:rsidR="00321C69" w:rsidRDefault="00321C6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7337F" w14:textId="77777777" w:rsidR="007354D4" w:rsidRDefault="007354D4" w:rsidP="009532EC">
    <w:pPr>
      <w:spacing w:after="0"/>
      <w:rPr>
        <w:rFonts w:ascii="Verdana" w:hAnsi="Verdana"/>
        <w:b/>
        <w:bCs/>
        <w:sz w:val="20"/>
        <w:szCs w:val="20"/>
      </w:rPr>
    </w:pPr>
  </w:p>
  <w:p w14:paraId="633F7377" w14:textId="77777777" w:rsidR="007354D4" w:rsidRPr="00174B77" w:rsidRDefault="007354D4" w:rsidP="009532EC">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A37F04">
      <w:rPr>
        <w:rFonts w:ascii="Verdana" w:eastAsia="Times New Roman" w:hAnsi="Verdana" w:cs="Times New Roman"/>
        <w:b/>
        <w:bCs/>
        <w:sz w:val="16"/>
        <w:szCs w:val="16"/>
        <w:lang w:val="es-ES"/>
      </w:rPr>
      <w:t xml:space="preserve">pág. </w:t>
    </w:r>
    <w:r w:rsidRPr="00A37F04">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A37F04">
      <w:rPr>
        <w:rFonts w:ascii="Verdana" w:eastAsia="Times New Roman" w:hAnsi="Verdana"/>
        <w:b/>
        <w:bCs/>
        <w:sz w:val="16"/>
        <w:szCs w:val="16"/>
      </w:rPr>
      <w:fldChar w:fldCharType="separate"/>
    </w:r>
    <w:r>
      <w:rPr>
        <w:rFonts w:ascii="Verdana" w:eastAsia="Times New Roman" w:hAnsi="Verdana"/>
        <w:b/>
        <w:bCs/>
        <w:sz w:val="16"/>
        <w:szCs w:val="16"/>
      </w:rPr>
      <w:t>13</w:t>
    </w:r>
    <w:r w:rsidRPr="00A37F04">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43D7E64" w14:textId="77777777" w:rsidR="007354D4" w:rsidRDefault="007354D4" w:rsidP="009532EC">
    <w:pPr>
      <w:spacing w:after="0"/>
      <w:jc w:val="both"/>
      <w:rPr>
        <w:rFonts w:ascii="Verdana" w:hAnsi="Verdana"/>
        <w:sz w:val="18"/>
        <w:szCs w:val="18"/>
      </w:rPr>
    </w:pPr>
    <w:r w:rsidRPr="00E41027">
      <w:rPr>
        <w:rFonts w:ascii="Verdana" w:hAnsi="Verdana"/>
        <w:sz w:val="18"/>
        <w:szCs w:val="18"/>
      </w:rPr>
      <w:t>Dirección: Carrera 7 # 26 – 20 - Bogotá, Colombia</w:t>
    </w:r>
  </w:p>
  <w:p w14:paraId="162673DC" w14:textId="77777777" w:rsidR="007354D4" w:rsidRPr="00E41027" w:rsidRDefault="007354D4" w:rsidP="009532EC">
    <w:pPr>
      <w:spacing w:after="0"/>
      <w:jc w:val="both"/>
      <w:rPr>
        <w:rFonts w:ascii="Verdana" w:hAnsi="Verdana"/>
        <w:sz w:val="18"/>
        <w:szCs w:val="18"/>
      </w:rPr>
    </w:pPr>
    <w:r w:rsidRPr="00E41027">
      <w:rPr>
        <w:rFonts w:ascii="Verdana" w:hAnsi="Verdana"/>
        <w:sz w:val="18"/>
        <w:szCs w:val="18"/>
      </w:rPr>
      <w:t>Mesa de servicio: (+57) 601 7456788</w:t>
    </w:r>
  </w:p>
  <w:p w14:paraId="5C3774DE" w14:textId="77777777" w:rsidR="007354D4" w:rsidRDefault="007354D4" w:rsidP="009532EC">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568B6075" w14:textId="77777777" w:rsidR="007354D4" w:rsidRPr="007D04B2" w:rsidRDefault="007354D4" w:rsidP="009532EC">
    <w:pPr>
      <w:pStyle w:val="Piedepgina"/>
    </w:pPr>
  </w:p>
  <w:p w14:paraId="3C00535A" w14:textId="77777777" w:rsidR="007354D4" w:rsidRPr="000849D5" w:rsidRDefault="007354D4" w:rsidP="009532EC">
    <w:pPr>
      <w:pStyle w:val="Piedepgina"/>
    </w:pPr>
  </w:p>
  <w:p w14:paraId="738A7E48" w14:textId="77777777" w:rsidR="007354D4" w:rsidRDefault="007354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p w14:paraId="7D8B71EF" w14:textId="77777777" w:rsidR="008444C6" w:rsidRDefault="008444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21DE3" w14:textId="77777777" w:rsidR="00321C69" w:rsidRDefault="00321C69" w:rsidP="004A1847">
      <w:pPr>
        <w:spacing w:after="0" w:line="240" w:lineRule="auto"/>
      </w:pPr>
      <w:r>
        <w:separator/>
      </w:r>
    </w:p>
  </w:footnote>
  <w:footnote w:type="continuationSeparator" w:id="0">
    <w:p w14:paraId="35FB1546" w14:textId="77777777" w:rsidR="00321C69" w:rsidRDefault="00321C69" w:rsidP="004A1847">
      <w:pPr>
        <w:spacing w:after="0" w:line="240" w:lineRule="auto"/>
      </w:pPr>
      <w:r>
        <w:continuationSeparator/>
      </w:r>
    </w:p>
  </w:footnote>
  <w:footnote w:id="1">
    <w:p w14:paraId="670802BF" w14:textId="77777777" w:rsidR="007354D4" w:rsidRPr="00835C1C" w:rsidRDefault="007354D4" w:rsidP="007354D4">
      <w:pPr>
        <w:ind w:firstLine="708"/>
        <w:jc w:val="both"/>
        <w:rPr>
          <w:rFonts w:ascii="Arial" w:eastAsia="Calibri" w:hAnsi="Arial" w:cs="Arial"/>
          <w:color w:val="000000"/>
          <w:sz w:val="19"/>
          <w:szCs w:val="19"/>
          <w:lang w:val="es-ES"/>
        </w:rPr>
      </w:pPr>
      <w:r w:rsidRPr="00835C1C">
        <w:rPr>
          <w:rStyle w:val="Refdenotaalpie"/>
          <w:color w:val="000000"/>
          <w:sz w:val="19"/>
          <w:szCs w:val="19"/>
        </w:rPr>
        <w:footnoteRef/>
      </w:r>
      <w:r w:rsidRPr="00835C1C">
        <w:rPr>
          <w:color w:val="000000"/>
          <w:sz w:val="19"/>
          <w:szCs w:val="19"/>
          <w:lang w:val="es-ES"/>
        </w:rPr>
        <w:t xml:space="preserve"> SENADO DE LA REPÚBLICA. GACETA DEL CONGRESO. AÑO XXIX - </w:t>
      </w:r>
      <w:proofErr w:type="spellStart"/>
      <w:r w:rsidRPr="00835C1C">
        <w:rPr>
          <w:color w:val="000000"/>
          <w:sz w:val="19"/>
          <w:szCs w:val="19"/>
          <w:lang w:val="es-ES"/>
        </w:rPr>
        <w:t>Nº</w:t>
      </w:r>
      <w:proofErr w:type="spellEnd"/>
      <w:r w:rsidRPr="00835C1C">
        <w:rPr>
          <w:color w:val="000000"/>
          <w:sz w:val="19"/>
          <w:szCs w:val="19"/>
          <w:lang w:val="es-ES"/>
        </w:rPr>
        <w:t xml:space="preserve"> 1249. Exposición de motivos del proyecto de Ley 341 de 2020. </w:t>
      </w:r>
    </w:p>
  </w:footnote>
  <w:footnote w:id="2">
    <w:p w14:paraId="395E4F8D" w14:textId="77777777" w:rsidR="007354D4" w:rsidRPr="00835C1C" w:rsidRDefault="007354D4" w:rsidP="007354D4">
      <w:pPr>
        <w:pStyle w:val="Textonotapie"/>
        <w:ind w:firstLine="709"/>
        <w:jc w:val="both"/>
        <w:rPr>
          <w:rFonts w:ascii="Arial" w:hAnsi="Arial"/>
          <w:color w:val="000000"/>
          <w:sz w:val="19"/>
          <w:szCs w:val="19"/>
          <w:lang w:val="es-CO"/>
        </w:rPr>
      </w:pPr>
      <w:r w:rsidRPr="00835C1C">
        <w:rPr>
          <w:rStyle w:val="Refdenotaalpie"/>
          <w:rFonts w:ascii="Arial" w:hAnsi="Arial"/>
          <w:color w:val="000000"/>
          <w:sz w:val="19"/>
          <w:szCs w:val="19"/>
        </w:rPr>
        <w:footnoteRef/>
      </w:r>
      <w:r w:rsidRPr="00835C1C">
        <w:rPr>
          <w:rFonts w:ascii="Arial" w:hAnsi="Arial"/>
          <w:color w:val="000000"/>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footnote>
  <w:footnote w:id="3">
    <w:p w14:paraId="721E98DB" w14:textId="77777777" w:rsidR="007354D4" w:rsidRPr="00835C1C" w:rsidRDefault="007354D4" w:rsidP="007354D4">
      <w:pPr>
        <w:pStyle w:val="Textonotapie"/>
        <w:ind w:firstLine="709"/>
        <w:jc w:val="both"/>
        <w:rPr>
          <w:rFonts w:ascii="Arial" w:hAnsi="Arial"/>
          <w:color w:val="000000"/>
          <w:sz w:val="19"/>
          <w:szCs w:val="19"/>
        </w:rPr>
      </w:pPr>
      <w:r w:rsidRPr="00835C1C">
        <w:rPr>
          <w:rStyle w:val="Refdenotaalpie"/>
          <w:rFonts w:ascii="Arial" w:hAnsi="Arial"/>
          <w:color w:val="000000"/>
          <w:sz w:val="19"/>
          <w:szCs w:val="19"/>
        </w:rPr>
        <w:footnoteRef/>
      </w:r>
      <w:r w:rsidRPr="00835C1C">
        <w:rPr>
          <w:rFonts w:ascii="Arial" w:hAnsi="Arial"/>
          <w:color w:val="000000"/>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1ADAF216" w14:textId="77777777" w:rsidR="007354D4" w:rsidRPr="00835C1C" w:rsidRDefault="007354D4" w:rsidP="007354D4">
      <w:pPr>
        <w:pStyle w:val="Textonotapie"/>
        <w:ind w:firstLine="709"/>
        <w:jc w:val="both"/>
        <w:rPr>
          <w:rFonts w:ascii="Arial" w:hAnsi="Arial"/>
          <w:color w:val="000000"/>
          <w:sz w:val="19"/>
          <w:szCs w:val="19"/>
        </w:rPr>
      </w:pPr>
      <w:r w:rsidRPr="00835C1C">
        <w:rPr>
          <w:rFonts w:ascii="Arial" w:hAnsi="Arial"/>
          <w:color w:val="000000"/>
          <w:sz w:val="19"/>
          <w:szCs w:val="19"/>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5C85F874" w14:textId="77777777" w:rsidR="007354D4" w:rsidRPr="00835C1C" w:rsidRDefault="007354D4" w:rsidP="007354D4">
      <w:pPr>
        <w:pStyle w:val="Textonotapie"/>
        <w:ind w:firstLine="709"/>
        <w:jc w:val="both"/>
        <w:rPr>
          <w:rFonts w:ascii="Arial" w:hAnsi="Arial"/>
          <w:color w:val="000000"/>
          <w:sz w:val="19"/>
          <w:szCs w:val="19"/>
          <w:lang w:val="es-CO"/>
        </w:rPr>
      </w:pPr>
      <w:r w:rsidRPr="00835C1C">
        <w:rPr>
          <w:rFonts w:ascii="Arial" w:hAnsi="Arial"/>
          <w:color w:val="000000"/>
          <w:sz w:val="19"/>
          <w:szCs w:val="19"/>
        </w:rPr>
        <w:t>»Cualquier controversia o solicitud que surja en relación con los reportes eje información que suministre la entidad contratante, serán resueltos por esta, atendiendo los principios y disposiciones establecidos en la normatividad vigente».</w:t>
      </w:r>
    </w:p>
  </w:footnote>
  <w:footnote w:id="4">
    <w:p w14:paraId="040C90CF" w14:textId="77777777" w:rsidR="007D5C68" w:rsidRPr="001E683B" w:rsidRDefault="007D5C68" w:rsidP="007D5C68">
      <w:pPr>
        <w:ind w:firstLine="709"/>
        <w:contextualSpacing/>
        <w:jc w:val="both"/>
        <w:rPr>
          <w:rFonts w:ascii="Century Gothic" w:eastAsia="Arial" w:hAnsi="Century Gothic" w:cs="Arial"/>
          <w:sz w:val="19"/>
          <w:szCs w:val="19"/>
        </w:rPr>
      </w:pPr>
      <w:r w:rsidRPr="001E683B">
        <w:rPr>
          <w:rFonts w:ascii="Century Gothic" w:hAnsi="Century Gothic" w:cs="Arial"/>
          <w:sz w:val="19"/>
          <w:szCs w:val="19"/>
          <w:vertAlign w:val="superscript"/>
        </w:rPr>
        <w:footnoteRef/>
      </w:r>
      <w:r w:rsidRPr="001E683B">
        <w:rPr>
          <w:rFonts w:ascii="Century Gothic" w:eastAsia="Arial" w:hAnsi="Century Gothic" w:cs="Arial"/>
          <w:sz w:val="19"/>
          <w:szCs w:val="19"/>
        </w:rPr>
        <w:t xml:space="preserve"> El </w:t>
      </w:r>
      <w:r w:rsidRPr="001E683B">
        <w:rPr>
          <w:rFonts w:ascii="Century Gothic" w:eastAsia="Arial" w:hAnsi="Century Gothic" w:cs="Arial"/>
          <w:i/>
          <w:sz w:val="19"/>
          <w:szCs w:val="19"/>
        </w:rPr>
        <w:t>principio de interpretación conforme</w:t>
      </w:r>
      <w:r w:rsidRPr="001E683B">
        <w:rPr>
          <w:rFonts w:ascii="Century Gothic" w:eastAsia="Arial" w:hAnsi="Century Gothic" w:cs="Arial"/>
          <w:sz w:val="19"/>
          <w:szCs w:val="19"/>
        </w:rPr>
        <w:t xml:space="preserve"> con la Constitución –en tanto “norma de normas”, en los términos del artículo 4 de aquella– fue explicado por la Corte Constitucional, entre otras, en la Sentencia C-054 de 2016 –expedida con ponencia de Luis Ernesto Vargas Silva–. Al respecto, el alto tribunal sostuvo que “[…] el vínculo entre el origen de los métodos de interpretación y el contractualismo liberal no resta utilidad a aquellos en el marco del Estado Social y Democrático de Derecho. Esto debido a que de acuerdo con el principio de interpretación conforme, […], las normas legales, entre ellas las previstas en el Código Civil y que definen dichos métodos hermenéuticos, deben ser armonizadas con los derechos, principios y valores constitucionales”.</w:t>
      </w:r>
    </w:p>
    <w:p w14:paraId="711BFC75" w14:textId="77777777" w:rsidR="007D5C68" w:rsidRPr="0045469E" w:rsidRDefault="007D5C68" w:rsidP="007D5C68">
      <w:pPr>
        <w:pBdr>
          <w:top w:val="nil"/>
          <w:left w:val="nil"/>
          <w:bottom w:val="nil"/>
          <w:right w:val="nil"/>
          <w:between w:val="nil"/>
        </w:pBdr>
        <w:ind w:firstLine="709"/>
        <w:contextualSpacing/>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5867" w14:textId="77777777" w:rsidR="007354D4" w:rsidRDefault="007354D4" w:rsidP="00565FFE">
    <w:pPr>
      <w:pStyle w:val="Encabezado"/>
      <w:jc w:val="center"/>
    </w:pPr>
    <w:r>
      <w:rPr>
        <w:noProof/>
      </w:rPr>
      <w:drawing>
        <wp:inline distT="0" distB="0" distL="0" distR="0" wp14:anchorId="71366558" wp14:editId="4EDAD94E">
          <wp:extent cx="1920240" cy="859790"/>
          <wp:effectExtent l="0" t="0" r="3810" b="0"/>
          <wp:docPr id="84133449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8597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5117426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455097516" name="Imagen 455097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p w14:paraId="66A53F96" w14:textId="77777777" w:rsidR="008444C6" w:rsidRDefault="008444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23622B1"/>
    <w:multiLevelType w:val="hybridMultilevel"/>
    <w:tmpl w:val="E5C08E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9"/>
  </w:num>
  <w:num w:numId="18" w16cid:durableId="1196238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3C05"/>
    <w:rsid w:val="0002569A"/>
    <w:rsid w:val="00061B2A"/>
    <w:rsid w:val="00082362"/>
    <w:rsid w:val="000A683E"/>
    <w:rsid w:val="000B19B9"/>
    <w:rsid w:val="000D0334"/>
    <w:rsid w:val="000F6486"/>
    <w:rsid w:val="00125105"/>
    <w:rsid w:val="00127233"/>
    <w:rsid w:val="00134916"/>
    <w:rsid w:val="001820E3"/>
    <w:rsid w:val="00186103"/>
    <w:rsid w:val="001D243B"/>
    <w:rsid w:val="001E4177"/>
    <w:rsid w:val="001E575D"/>
    <w:rsid w:val="001F7DC6"/>
    <w:rsid w:val="002421BB"/>
    <w:rsid w:val="0024604C"/>
    <w:rsid w:val="00247D49"/>
    <w:rsid w:val="0025796E"/>
    <w:rsid w:val="00270356"/>
    <w:rsid w:val="002707A2"/>
    <w:rsid w:val="002951A0"/>
    <w:rsid w:val="002962BC"/>
    <w:rsid w:val="002A093D"/>
    <w:rsid w:val="002A0DD0"/>
    <w:rsid w:val="002A49AC"/>
    <w:rsid w:val="002A64FD"/>
    <w:rsid w:val="002C7A84"/>
    <w:rsid w:val="002E4FD9"/>
    <w:rsid w:val="00321C69"/>
    <w:rsid w:val="00322A85"/>
    <w:rsid w:val="00324168"/>
    <w:rsid w:val="00336A1F"/>
    <w:rsid w:val="003448F4"/>
    <w:rsid w:val="0035083E"/>
    <w:rsid w:val="00360040"/>
    <w:rsid w:val="00374F5E"/>
    <w:rsid w:val="00377E3E"/>
    <w:rsid w:val="00377FE1"/>
    <w:rsid w:val="003A26D1"/>
    <w:rsid w:val="003A779E"/>
    <w:rsid w:val="003A7B35"/>
    <w:rsid w:val="003D0F4D"/>
    <w:rsid w:val="003D5B0D"/>
    <w:rsid w:val="003E0499"/>
    <w:rsid w:val="003F3941"/>
    <w:rsid w:val="00406575"/>
    <w:rsid w:val="004114F8"/>
    <w:rsid w:val="0042722E"/>
    <w:rsid w:val="00431F47"/>
    <w:rsid w:val="004325CB"/>
    <w:rsid w:val="0044528D"/>
    <w:rsid w:val="004945B2"/>
    <w:rsid w:val="004A1847"/>
    <w:rsid w:val="004A305D"/>
    <w:rsid w:val="004F21C4"/>
    <w:rsid w:val="004F685F"/>
    <w:rsid w:val="005566E8"/>
    <w:rsid w:val="00574867"/>
    <w:rsid w:val="00591460"/>
    <w:rsid w:val="00592628"/>
    <w:rsid w:val="005B2F12"/>
    <w:rsid w:val="005C3777"/>
    <w:rsid w:val="005C5CDC"/>
    <w:rsid w:val="005C721D"/>
    <w:rsid w:val="005D476C"/>
    <w:rsid w:val="005E55CD"/>
    <w:rsid w:val="005E7AD5"/>
    <w:rsid w:val="005F61D1"/>
    <w:rsid w:val="00610812"/>
    <w:rsid w:val="006219F8"/>
    <w:rsid w:val="00626926"/>
    <w:rsid w:val="00650FF7"/>
    <w:rsid w:val="00657B4C"/>
    <w:rsid w:val="00665D70"/>
    <w:rsid w:val="00671DAC"/>
    <w:rsid w:val="006768A6"/>
    <w:rsid w:val="006900D9"/>
    <w:rsid w:val="006906B1"/>
    <w:rsid w:val="006B67C8"/>
    <w:rsid w:val="006D12F8"/>
    <w:rsid w:val="00706C16"/>
    <w:rsid w:val="00721258"/>
    <w:rsid w:val="007354D4"/>
    <w:rsid w:val="00756841"/>
    <w:rsid w:val="007649AB"/>
    <w:rsid w:val="00771D0C"/>
    <w:rsid w:val="007833AC"/>
    <w:rsid w:val="007A2D5B"/>
    <w:rsid w:val="007B268C"/>
    <w:rsid w:val="007B7171"/>
    <w:rsid w:val="007C0C0F"/>
    <w:rsid w:val="007C3DC2"/>
    <w:rsid w:val="007D5C68"/>
    <w:rsid w:val="007E5497"/>
    <w:rsid w:val="00806F5F"/>
    <w:rsid w:val="00820278"/>
    <w:rsid w:val="008272F9"/>
    <w:rsid w:val="008444C6"/>
    <w:rsid w:val="008843B6"/>
    <w:rsid w:val="00891928"/>
    <w:rsid w:val="008A446D"/>
    <w:rsid w:val="008C1ABC"/>
    <w:rsid w:val="008D180B"/>
    <w:rsid w:val="008D4A0F"/>
    <w:rsid w:val="008F0EA7"/>
    <w:rsid w:val="00923EEF"/>
    <w:rsid w:val="009373B6"/>
    <w:rsid w:val="009419F9"/>
    <w:rsid w:val="009532EC"/>
    <w:rsid w:val="00954D06"/>
    <w:rsid w:val="0095685E"/>
    <w:rsid w:val="00961B09"/>
    <w:rsid w:val="00965334"/>
    <w:rsid w:val="0097093E"/>
    <w:rsid w:val="009A0DFA"/>
    <w:rsid w:val="009B2D26"/>
    <w:rsid w:val="009C2D5A"/>
    <w:rsid w:val="009C71FA"/>
    <w:rsid w:val="009C72E7"/>
    <w:rsid w:val="009D3058"/>
    <w:rsid w:val="009F3A13"/>
    <w:rsid w:val="00A122D3"/>
    <w:rsid w:val="00A17F13"/>
    <w:rsid w:val="00A20739"/>
    <w:rsid w:val="00A33C78"/>
    <w:rsid w:val="00A672E6"/>
    <w:rsid w:val="00A97AC4"/>
    <w:rsid w:val="00AA25B7"/>
    <w:rsid w:val="00AB0ADB"/>
    <w:rsid w:val="00AD03A1"/>
    <w:rsid w:val="00B01B1A"/>
    <w:rsid w:val="00B72CD3"/>
    <w:rsid w:val="00B72FFF"/>
    <w:rsid w:val="00B772E1"/>
    <w:rsid w:val="00B84835"/>
    <w:rsid w:val="00BC3D36"/>
    <w:rsid w:val="00BD7F72"/>
    <w:rsid w:val="00C04FB3"/>
    <w:rsid w:val="00C330EB"/>
    <w:rsid w:val="00C754BE"/>
    <w:rsid w:val="00C76B1C"/>
    <w:rsid w:val="00CB6357"/>
    <w:rsid w:val="00CC1B26"/>
    <w:rsid w:val="00CC38EF"/>
    <w:rsid w:val="00D423A2"/>
    <w:rsid w:val="00D520D8"/>
    <w:rsid w:val="00D63AC2"/>
    <w:rsid w:val="00D7383B"/>
    <w:rsid w:val="00DA231B"/>
    <w:rsid w:val="00DA23A0"/>
    <w:rsid w:val="00DC39FC"/>
    <w:rsid w:val="00DE1C24"/>
    <w:rsid w:val="00DF5254"/>
    <w:rsid w:val="00DF610B"/>
    <w:rsid w:val="00E16408"/>
    <w:rsid w:val="00E20894"/>
    <w:rsid w:val="00E245AB"/>
    <w:rsid w:val="00E2764C"/>
    <w:rsid w:val="00E27F2E"/>
    <w:rsid w:val="00E413EA"/>
    <w:rsid w:val="00E50AFE"/>
    <w:rsid w:val="00E75C92"/>
    <w:rsid w:val="00E771DC"/>
    <w:rsid w:val="00E8772A"/>
    <w:rsid w:val="00E90F6B"/>
    <w:rsid w:val="00E92C27"/>
    <w:rsid w:val="00EA0E3D"/>
    <w:rsid w:val="00EC2FAA"/>
    <w:rsid w:val="00EC38A7"/>
    <w:rsid w:val="00EE1AA8"/>
    <w:rsid w:val="00F31EDC"/>
    <w:rsid w:val="00F462B3"/>
    <w:rsid w:val="00F5664F"/>
    <w:rsid w:val="00F666C4"/>
    <w:rsid w:val="00F76AFC"/>
    <w:rsid w:val="00FA47C0"/>
    <w:rsid w:val="00FB5DD1"/>
    <w:rsid w:val="00FC239F"/>
    <w:rsid w:val="00FC2B5D"/>
    <w:rsid w:val="00FE29D0"/>
    <w:rsid w:val="00FF1449"/>
    <w:rsid w:val="0859A5E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373B6"/>
    <w:pPr>
      <w:spacing w:line="240" w:lineRule="exact"/>
    </w:pPr>
    <w:rPr>
      <w:vertAlign w:val="superscript"/>
    </w:rPr>
  </w:style>
  <w:style w:type="character" w:styleId="Refdecomentario">
    <w:name w:val="annotation reference"/>
    <w:basedOn w:val="Fuentedeprrafopredeter"/>
    <w:uiPriority w:val="99"/>
    <w:semiHidden/>
    <w:unhideWhenUsed/>
    <w:rsid w:val="009373B6"/>
    <w:rPr>
      <w:sz w:val="16"/>
      <w:szCs w:val="16"/>
    </w:rPr>
  </w:style>
  <w:style w:type="paragraph" w:styleId="Textocomentario">
    <w:name w:val="annotation text"/>
    <w:basedOn w:val="Normal"/>
    <w:link w:val="TextocomentarioCar"/>
    <w:uiPriority w:val="99"/>
    <w:unhideWhenUsed/>
    <w:rsid w:val="009373B6"/>
    <w:pPr>
      <w:spacing w:line="240" w:lineRule="auto"/>
    </w:pPr>
    <w:rPr>
      <w:sz w:val="20"/>
      <w:szCs w:val="20"/>
    </w:rPr>
  </w:style>
  <w:style w:type="character" w:customStyle="1" w:styleId="TextocomentarioCar">
    <w:name w:val="Texto comentario Car"/>
    <w:basedOn w:val="Fuentedeprrafopredeter"/>
    <w:link w:val="Textocomentario"/>
    <w:uiPriority w:val="99"/>
    <w:rsid w:val="009373B6"/>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9373B6"/>
    <w:rPr>
      <w:rFonts w:ascii="Geomanist Light" w:hAnsi="Geomanist Light"/>
      <w:lang w:val="es-ES"/>
    </w:rPr>
  </w:style>
  <w:style w:type="paragraph" w:styleId="Sinespaciado">
    <w:name w:val="No Spacing"/>
    <w:uiPriority w:val="1"/>
    <w:qFormat/>
    <w:rsid w:val="009373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2195-de-2022/" TargetMode="External"/><Relationship Id="rId18" Type="http://schemas.openxmlformats.org/officeDocument/2006/relationships/hyperlink" Target="https://www.colombiacompra.gov.co/sites/cce_public/files/cce_circulares/circular_001-2022_-_aplicacion_del_articulo_58_de_la_ley_2195_de_2022_en_los_documentos_tipo_1.pdf"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relatoria.colombiacompra.gov.co/normativa/decreto-1082-de-201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normativa/codigo-de-comercio-decreto-410-de-1971/" TargetMode="External"/><Relationship Id="rId20" Type="http://schemas.openxmlformats.org/officeDocument/2006/relationships/hyperlink" Target="https://www.colombiacompra.gov.co/sala-de-prensa/boletin-digi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latoria.colombiacompra.gov.co/normativa/ley-1150-de-2007/"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relatoria.colombiacompra.gov.co/busqueda/concep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80-de-1993/"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D22F7434-B92F-415C-BCA1-29DD53858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4371</Words>
  <Characters>24043</Characters>
  <Application>Microsoft Office Word</Application>
  <DocSecurity>0</DocSecurity>
  <Lines>200</Lines>
  <Paragraphs>56</Paragraphs>
  <ScaleCrop>false</ScaleCrop>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4</cp:revision>
  <cp:lastPrinted>2023-01-10T21:18:00Z</cp:lastPrinted>
  <dcterms:created xsi:type="dcterms:W3CDTF">2024-09-30T15:50:00Z</dcterms:created>
  <dcterms:modified xsi:type="dcterms:W3CDTF">2024-10-01T20:56:00Z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