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13EDD" w:rsidP="75EBB7C4" w:rsidRDefault="00513EDD" w14:paraId="1FF2C181" w14:textId="0B3718F7">
      <w:pPr>
        <w:spacing w:after="0" w:line="240" w:lineRule="auto"/>
        <w:jc w:val="both"/>
        <w:rPr>
          <w:rFonts w:ascii="Verdana" w:hAnsi="Verdana" w:eastAsia="Geomanist Light" w:cs="Arial"/>
          <w:lang w:val="es-CO"/>
        </w:rPr>
      </w:pPr>
    </w:p>
    <w:p w:rsidRPr="00513EDD" w:rsidR="00513EDD" w:rsidP="00513EDD" w:rsidRDefault="00513EDD" w14:paraId="49B72C59" w14:textId="77777777">
      <w:pPr>
        <w:spacing w:after="0" w:line="240" w:lineRule="auto"/>
        <w:jc w:val="both"/>
        <w:rPr>
          <w:rFonts w:ascii="Verdana" w:hAnsi="Verdana" w:eastAsia="Geomanist Light" w:cs="Arial"/>
          <w:b/>
          <w:bCs/>
          <w:lang w:val="es-MX"/>
        </w:rPr>
      </w:pPr>
      <w:r w:rsidRPr="00513EDD">
        <w:rPr>
          <w:rFonts w:ascii="Verdana" w:hAnsi="Verdana" w:eastAsia="Geomanist Light" w:cs="Arial"/>
          <w:b/>
          <w:bCs/>
          <w:lang w:val="es-MX"/>
        </w:rPr>
        <w:t xml:space="preserve">CONSTITUCIÓN DE GARANTÍAS – Obligación </w:t>
      </w:r>
    </w:p>
    <w:p w:rsidRPr="00513EDD" w:rsidR="00513EDD" w:rsidP="00513EDD" w:rsidRDefault="00513EDD" w14:paraId="132D364A" w14:textId="77777777">
      <w:pPr>
        <w:spacing w:after="0" w:line="240" w:lineRule="auto"/>
        <w:jc w:val="both"/>
        <w:rPr>
          <w:rFonts w:ascii="Verdana" w:hAnsi="Verdana" w:eastAsia="Geomanist Light" w:cs="Arial"/>
          <w:b/>
          <w:bCs/>
          <w:lang w:val="es-MX"/>
        </w:rPr>
      </w:pPr>
    </w:p>
    <w:p w:rsidRPr="00513EDD" w:rsidR="00513EDD" w:rsidP="00513EDD" w:rsidRDefault="00513EDD" w14:paraId="48887432" w14:textId="77777777">
      <w:pPr>
        <w:spacing w:after="0" w:line="240" w:lineRule="auto"/>
        <w:jc w:val="both"/>
        <w:rPr>
          <w:rFonts w:ascii="Verdana" w:hAnsi="Verdana" w:eastAsia="Geomanist Light" w:cs="Arial"/>
          <w:lang w:val="es-MX"/>
        </w:rPr>
      </w:pPr>
      <w:r w:rsidRPr="00513EDD">
        <w:rPr>
          <w:rFonts w:ascii="Verdana" w:hAnsi="Verdana" w:eastAsia="Geomanist Light" w:cs="Arial"/>
          <w:lang w:val="es-ES_tradnl"/>
        </w:rPr>
        <w:t xml:space="preserve">Por regla general, </w:t>
      </w:r>
      <w:r w:rsidRPr="00513EDD">
        <w:rPr>
          <w:rFonts w:ascii="Verdana" w:hAnsi="Verdana" w:eastAsia="Geomanist Light" w:cs="Arial"/>
          <w:lang w:val="es-ES"/>
        </w:rPr>
        <w:t>para seleccionar los contratistas y para ejecutar los contratos se requiere la constitución de garantías</w:t>
      </w:r>
      <w:r w:rsidRPr="00513EDD">
        <w:rPr>
          <w:rFonts w:ascii="Verdana" w:hAnsi="Verdana" w:eastAsia="Geomanist Light" w:cs="Arial"/>
          <w:lang w:val="es-ES_tradnl"/>
        </w:rPr>
        <w:t>.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r w:rsidRPr="00513EDD">
        <w:rPr>
          <w:rFonts w:ascii="Verdana" w:hAnsi="Verdana" w:eastAsia="Geomanist Light" w:cs="Arial"/>
          <w:lang w:val="es-MX"/>
        </w:rPr>
        <w:t>. [….]</w:t>
      </w:r>
    </w:p>
    <w:p w:rsidRPr="00513EDD" w:rsidR="00513EDD" w:rsidP="00513EDD" w:rsidRDefault="00513EDD" w14:paraId="35DE8EA9" w14:textId="77777777">
      <w:pPr>
        <w:spacing w:after="0" w:line="240" w:lineRule="auto"/>
        <w:jc w:val="both"/>
        <w:rPr>
          <w:rFonts w:ascii="Verdana" w:hAnsi="Verdana" w:eastAsia="Geomanist Light" w:cs="Arial"/>
          <w:lang w:val="es-MX"/>
        </w:rPr>
      </w:pPr>
    </w:p>
    <w:p w:rsidRPr="00513EDD" w:rsidR="00513EDD" w:rsidP="00513EDD" w:rsidRDefault="00513EDD" w14:paraId="3613C3D5" w14:textId="77777777">
      <w:pPr>
        <w:spacing w:after="0" w:line="240" w:lineRule="auto"/>
        <w:jc w:val="both"/>
        <w:rPr>
          <w:rFonts w:ascii="Verdana" w:hAnsi="Verdana" w:eastAsia="Geomanist Light" w:cs="Arial"/>
          <w:lang w:val="es-MX"/>
        </w:rPr>
      </w:pPr>
      <w:r w:rsidRPr="00513EDD">
        <w:rPr>
          <w:rFonts w:ascii="Verdana" w:hAnsi="Verdana" w:eastAsia="Geomanist Light" w:cs="Arial"/>
          <w:lang w:val="es-MX"/>
        </w:rPr>
        <w:t xml:space="preserve">Las condiciones en las que debe cumplirse esta obligación fueron reglamentadas por el Decreto 1082 de 2015, el cual entre sus artículos 2.2.1.2.3.1.1. y 2.2.1.2.3.1.19 se refiere a asuntos como las clases de garantías permitidas, la indivisibilidad de </w:t>
      </w:r>
      <w:proofErr w:type="gramStart"/>
      <w:r w:rsidRPr="00513EDD">
        <w:rPr>
          <w:rFonts w:ascii="Verdana" w:hAnsi="Verdana" w:eastAsia="Geomanist Light" w:cs="Arial"/>
          <w:lang w:val="es-MX"/>
        </w:rPr>
        <w:t>las mismas</w:t>
      </w:r>
      <w:proofErr w:type="gramEnd"/>
      <w:r w:rsidRPr="00513EDD">
        <w:rPr>
          <w:rFonts w:ascii="Verdana" w:hAnsi="Verdana" w:eastAsia="Geomanist Light" w:cs="Arial"/>
          <w:lang w:val="es-MX"/>
        </w:rPr>
        <w:t xml:space="preserve">,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autónomos. </w:t>
      </w:r>
    </w:p>
    <w:p w:rsidRPr="00513EDD" w:rsidR="00513EDD" w:rsidP="00513EDD" w:rsidRDefault="00513EDD" w14:paraId="2F4CA56F" w14:textId="77777777">
      <w:pPr>
        <w:spacing w:after="0" w:line="240" w:lineRule="auto"/>
        <w:jc w:val="both"/>
        <w:rPr>
          <w:rFonts w:ascii="Verdana" w:hAnsi="Verdana" w:eastAsia="Geomanist Light" w:cs="Arial"/>
          <w:b/>
          <w:bCs/>
          <w:lang w:val="es-MX"/>
        </w:rPr>
      </w:pPr>
    </w:p>
    <w:p w:rsidRPr="00513EDD" w:rsidR="00513EDD" w:rsidP="00513EDD" w:rsidRDefault="00513EDD" w14:paraId="2A73721C" w14:textId="77777777">
      <w:pPr>
        <w:spacing w:after="0" w:line="240" w:lineRule="auto"/>
        <w:jc w:val="both"/>
        <w:rPr>
          <w:rFonts w:ascii="Verdana" w:hAnsi="Verdana" w:eastAsia="Geomanist Light" w:cs="Arial"/>
          <w:b/>
          <w:bCs/>
          <w:lang w:val="es-MX"/>
        </w:rPr>
      </w:pPr>
      <w:r w:rsidRPr="00513EDD">
        <w:rPr>
          <w:rFonts w:ascii="Verdana" w:hAnsi="Verdana" w:eastAsia="Geomanist Light" w:cs="Arial"/>
          <w:b/>
          <w:bCs/>
          <w:lang w:val="es-MX"/>
        </w:rPr>
        <w:t>EJECUCIÓN DEL CONTRATO ESTATAL – Requisitos – Artículo 41 de la Ley 80 de 1993</w:t>
      </w:r>
    </w:p>
    <w:p w:rsidRPr="00513EDD" w:rsidR="00513EDD" w:rsidP="00513EDD" w:rsidRDefault="00513EDD" w14:paraId="29ED6D65" w14:textId="77777777">
      <w:pPr>
        <w:spacing w:after="0" w:line="240" w:lineRule="auto"/>
        <w:jc w:val="both"/>
        <w:rPr>
          <w:rFonts w:ascii="Verdana" w:hAnsi="Verdana" w:eastAsia="Geomanist Light" w:cs="Arial"/>
          <w:b/>
          <w:bCs/>
          <w:lang w:val="es-MX"/>
        </w:rPr>
      </w:pPr>
    </w:p>
    <w:p w:rsidRPr="00513EDD" w:rsidR="00513EDD" w:rsidP="00513EDD" w:rsidRDefault="00513EDD" w14:paraId="148A91A3" w14:textId="77777777">
      <w:pPr>
        <w:spacing w:after="0" w:line="240" w:lineRule="auto"/>
        <w:jc w:val="both"/>
        <w:rPr>
          <w:rFonts w:ascii="Verdana" w:hAnsi="Verdana" w:eastAsia="Geomanist Light" w:cs="Arial"/>
        </w:rPr>
      </w:pPr>
      <w:r w:rsidRPr="00513EDD">
        <w:rPr>
          <w:rFonts w:ascii="Verdana" w:hAnsi="Verdana" w:eastAsia="Geomanist Light" w:cs="Arial"/>
        </w:rPr>
        <w:t xml:space="preserve">[…] el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 </w:t>
      </w:r>
    </w:p>
    <w:p w:rsidRPr="00513EDD" w:rsidR="00513EDD" w:rsidP="00513EDD" w:rsidRDefault="00513EDD" w14:paraId="2301DACE" w14:textId="77777777">
      <w:pPr>
        <w:spacing w:after="0" w:line="240" w:lineRule="auto"/>
        <w:jc w:val="both"/>
        <w:rPr>
          <w:rFonts w:ascii="Verdana" w:hAnsi="Verdana" w:eastAsia="Geomanist Light" w:cs="Arial"/>
        </w:rPr>
      </w:pPr>
    </w:p>
    <w:p w:rsidRPr="00513EDD" w:rsidR="00513EDD" w:rsidP="00513EDD" w:rsidRDefault="00513EDD" w14:paraId="1933DA58" w14:textId="1B6B723F">
      <w:pPr>
        <w:spacing w:after="0" w:line="240" w:lineRule="auto"/>
        <w:jc w:val="both"/>
        <w:rPr>
          <w:rFonts w:ascii="Verdana" w:hAnsi="Verdana" w:eastAsia="Geomanist Light" w:cs="Arial"/>
          <w:lang w:val="es-ES_tradnl"/>
        </w:rPr>
      </w:pPr>
      <w:r w:rsidRPr="00513EDD">
        <w:rPr>
          <w:rFonts w:ascii="Verdana" w:hAnsi="Verdana" w:eastAsia="Geomanist Light" w:cs="Arial"/>
        </w:rPr>
        <w:t xml:space="preserve">En efecto, el referido artículo establece en su inciso primero que los contratos estatales se perfeccionan </w:t>
      </w:r>
      <w:r>
        <w:rPr>
          <w:rFonts w:ascii="Verdana" w:hAnsi="Verdana" w:eastAsia="Geomanist Light" w:cs="Arial"/>
        </w:rPr>
        <w:t>“c</w:t>
      </w:r>
      <w:r w:rsidRPr="00513EDD">
        <w:rPr>
          <w:rFonts w:ascii="Verdana" w:hAnsi="Verdana" w:eastAsia="Geomanist Light" w:cs="Arial"/>
        </w:rPr>
        <w:t>uando se logre acuerdo sobre el objeto y la contraprestación y éste se eleve a escrito</w:t>
      </w:r>
      <w:r>
        <w:rPr>
          <w:rFonts w:ascii="Verdana" w:hAnsi="Verdana" w:eastAsia="Geomanist Light" w:cs="Arial"/>
        </w:rPr>
        <w:t>”</w:t>
      </w:r>
      <w:r w:rsidRPr="00513EDD">
        <w:rPr>
          <w:rFonts w:ascii="Verdana" w:hAnsi="Verdana" w:eastAsia="Geomanist Light" w:cs="Arial"/>
        </w:rPr>
        <w:t xml:space="preserve">. Por su parte el inciso segundo establece que </w:t>
      </w:r>
      <w:r>
        <w:rPr>
          <w:rFonts w:ascii="Verdana" w:hAnsi="Verdana" w:eastAsia="Geomanist Light" w:cs="Arial"/>
        </w:rPr>
        <w:t>“</w:t>
      </w:r>
      <w:r w:rsidRPr="00513EDD">
        <w:rPr>
          <w:rFonts w:ascii="Verdana" w:hAnsi="Verdana" w:eastAsia="Geomanist Light" w:cs="Arial"/>
        </w:rPr>
        <w:t>[p]ara la ejecución se requerirá de la aprobación de la garantía</w:t>
      </w:r>
      <w:r>
        <w:rPr>
          <w:rFonts w:ascii="Verdana" w:hAnsi="Verdana" w:eastAsia="Geomanist Light" w:cs="Arial"/>
        </w:rPr>
        <w:t>”</w:t>
      </w:r>
      <w:r w:rsidRPr="00513EDD">
        <w:rPr>
          <w:rFonts w:ascii="Verdana" w:hAnsi="Verdana" w:eastAsia="Geomanist Light" w:cs="Arial"/>
        </w:rPr>
        <w:t>, lo que se traduce en que, sin perjuicio del perfeccionamiento del contrato, no podrá ejecutarse sin que se hayan aprobado las garantías.</w:t>
      </w:r>
    </w:p>
    <w:p w:rsidRPr="00513EDD" w:rsidR="00513EDD" w:rsidP="00513EDD" w:rsidRDefault="00513EDD" w14:paraId="754C1CB6" w14:textId="77777777">
      <w:pPr>
        <w:spacing w:after="0" w:line="240" w:lineRule="auto"/>
        <w:jc w:val="both"/>
        <w:rPr>
          <w:rFonts w:ascii="Verdana" w:hAnsi="Verdana" w:eastAsia="Geomanist Light" w:cs="Arial"/>
          <w:lang w:val="es-MX"/>
        </w:rPr>
      </w:pPr>
    </w:p>
    <w:p w:rsidRPr="00513EDD" w:rsidR="00513EDD" w:rsidP="00513EDD" w:rsidRDefault="00513EDD" w14:paraId="03F65B8C" w14:textId="77777777">
      <w:pPr>
        <w:spacing w:after="0" w:line="240" w:lineRule="auto"/>
        <w:jc w:val="both"/>
        <w:rPr>
          <w:rFonts w:ascii="Verdana" w:hAnsi="Verdana" w:eastAsia="Geomanist Light" w:cs="Arial"/>
          <w:b/>
          <w:bCs/>
          <w:lang w:val="es-ES_tradnl"/>
        </w:rPr>
      </w:pPr>
      <w:r w:rsidRPr="00513EDD">
        <w:rPr>
          <w:rFonts w:ascii="Verdana" w:hAnsi="Verdana" w:eastAsia="Geomanist Light" w:cs="Arial"/>
          <w:b/>
          <w:bCs/>
          <w:lang w:val="es-ES_tradnl"/>
        </w:rPr>
        <w:t>APROBACIÓN DE GARANTÍAS</w:t>
      </w:r>
      <w:bookmarkStart w:name="_Hlk39666823" w:id="0"/>
      <w:r w:rsidRPr="00513EDD">
        <w:rPr>
          <w:rFonts w:ascii="Verdana" w:hAnsi="Verdana" w:eastAsia="Geomanist Light" w:cs="Arial"/>
          <w:b/>
          <w:bCs/>
          <w:lang w:val="es-ES_tradnl"/>
        </w:rPr>
        <w:t xml:space="preserve"> </w:t>
      </w:r>
      <w:r w:rsidRPr="00513EDD">
        <w:rPr>
          <w:rFonts w:ascii="Verdana" w:hAnsi="Verdana" w:eastAsia="Geomanist Light" w:cs="Arial"/>
          <w:b/>
          <w:lang w:val="x-none"/>
        </w:rPr>
        <w:t>–</w:t>
      </w:r>
      <w:bookmarkEnd w:id="0"/>
      <w:r w:rsidRPr="00513EDD">
        <w:rPr>
          <w:rFonts w:ascii="Verdana" w:hAnsi="Verdana" w:eastAsia="Geomanist Light" w:cs="Arial"/>
          <w:b/>
          <w:bCs/>
          <w:lang w:val="es-ES_tradnl"/>
        </w:rPr>
        <w:t xml:space="preserve"> Verificación de la Entidad </w:t>
      </w:r>
    </w:p>
    <w:p w:rsidRPr="00513EDD" w:rsidR="00513EDD" w:rsidP="00513EDD" w:rsidRDefault="00513EDD" w14:paraId="1D22ACDA" w14:textId="77777777">
      <w:pPr>
        <w:spacing w:after="0" w:line="240" w:lineRule="auto"/>
        <w:jc w:val="both"/>
        <w:rPr>
          <w:rFonts w:ascii="Verdana" w:hAnsi="Verdana" w:eastAsia="Geomanist Light" w:cs="Arial"/>
          <w:b/>
          <w:bCs/>
          <w:lang w:val="es-ES_tradnl"/>
        </w:rPr>
      </w:pPr>
    </w:p>
    <w:p w:rsidRPr="00513EDD" w:rsidR="00513EDD" w:rsidP="00513EDD" w:rsidRDefault="00513EDD" w14:paraId="564DFA5D" w14:textId="50E6EF25">
      <w:pPr>
        <w:spacing w:after="0" w:line="240" w:lineRule="auto"/>
        <w:jc w:val="both"/>
        <w:rPr>
          <w:rFonts w:ascii="Verdana" w:hAnsi="Verdana" w:eastAsia="Geomanist Light" w:cs="Arial"/>
          <w:lang w:val="es-ES_tradnl"/>
        </w:rPr>
      </w:pPr>
      <w:r w:rsidRPr="00513EDD">
        <w:rPr>
          <w:rFonts w:ascii="Verdana" w:hAnsi="Verdana" w:eastAsia="Geomanist Light" w:cs="Arial"/>
          <w:lang w:val="es-ES_tradnl"/>
        </w:rPr>
        <w:t>[…]</w:t>
      </w:r>
      <w:r w:rsidRPr="00513EDD">
        <w:rPr>
          <w:rFonts w:ascii="Verdana" w:hAnsi="Verdana" w:eastAsia="Geomanist Light" w:cs="Arial"/>
        </w:rPr>
        <w:t xml:space="preserve">, la obligación de constituir las garantías contractuales y su aprobación tiene como propósito cumplir con el requisito de ejecución del contrato, pues estas se erigen como un </w:t>
      </w:r>
      <w:r>
        <w:rPr>
          <w:rFonts w:ascii="Verdana" w:hAnsi="Verdana" w:eastAsia="Geomanist Light" w:cs="Arial"/>
          <w:lang w:val="es-MX"/>
        </w:rPr>
        <w:t>“</w:t>
      </w:r>
      <w:r w:rsidRPr="00513EDD">
        <w:rPr>
          <w:rFonts w:ascii="Verdana" w:hAnsi="Verdana" w:eastAsia="Geomanist Light" w:cs="Arial"/>
        </w:rPr>
        <w:t>instrumento para salvaguardar intereses de carácter general, garantizar el adecuado cumplimiento del objeto contractual y proteger el patrimonio público de los detrimentos que se puedan causar con ocasión de eventuales incumplimientos en que incurra el contratista</w:t>
      </w:r>
      <w:r>
        <w:rPr>
          <w:rFonts w:ascii="Verdana" w:hAnsi="Verdana" w:eastAsia="Geomanist Light" w:cs="Arial"/>
        </w:rPr>
        <w:t>”</w:t>
      </w:r>
      <w:r w:rsidRPr="00513EDD">
        <w:rPr>
          <w:rFonts w:ascii="Verdana" w:hAnsi="Verdana" w:eastAsia="Geomanist Light" w:cs="Arial"/>
        </w:rPr>
        <w:t>.</w:t>
      </w:r>
      <w:r w:rsidRPr="00513EDD">
        <w:rPr>
          <w:rFonts w:ascii="Verdana" w:hAnsi="Verdana" w:eastAsia="Geomanist Light" w:cs="Arial"/>
          <w:lang w:val="es-ES_tradnl"/>
        </w:rPr>
        <w:t xml:space="preserve"> </w:t>
      </w:r>
      <w:r w:rsidRPr="00513EDD">
        <w:rPr>
          <w:rFonts w:ascii="Verdana" w:hAnsi="Verdana" w:eastAsia="Geomanist Light" w:cs="Arial"/>
          <w:lang w:val="es-MX"/>
        </w:rPr>
        <w:t>En este sentido, previo a l</w:t>
      </w:r>
      <w:r w:rsidRPr="00513EDD">
        <w:rPr>
          <w:rFonts w:ascii="Verdana" w:hAnsi="Verdana" w:eastAsia="Geomanist Light" w:cs="Arial"/>
          <w:lang w:val="es-ES_tradnl"/>
        </w:rPr>
        <w:t xml:space="preserve">a aprobación de las garantías pactadas en el contrato, la entidad debe </w:t>
      </w:r>
      <w:r w:rsidRPr="00513EDD">
        <w:rPr>
          <w:rFonts w:ascii="Verdana" w:hAnsi="Verdana" w:eastAsia="Geomanist Light" w:cs="Arial"/>
          <w:lang w:val="es-ES_tradnl"/>
        </w:rPr>
        <w:lastRenderedPageBreak/>
        <w:t>realizar la respectiva verificación de los amparos y suficiencia de las garantías exigidas, con la finalidad de</w:t>
      </w:r>
      <w:r w:rsidRPr="00513EDD">
        <w:rPr>
          <w:rFonts w:ascii="Verdana" w:hAnsi="Verdana" w:eastAsia="Geomanist Light" w:cs="Arial"/>
        </w:rPr>
        <w:t xml:space="preserve"> asegurar que estas </w:t>
      </w:r>
      <w:r w:rsidRPr="00513EDD">
        <w:rPr>
          <w:rFonts w:ascii="Verdana" w:hAnsi="Verdana" w:eastAsia="Geomanist Light" w:cs="Arial"/>
          <w:lang w:val="es-ES"/>
        </w:rPr>
        <w:t xml:space="preserve">protejan el patrimonio del Estado de los perjuicios que eventualmente se derivarían de la materialización de los riesgos amparados. </w:t>
      </w:r>
      <w:r w:rsidRPr="00513EDD">
        <w:rPr>
          <w:rFonts w:ascii="Verdana" w:hAnsi="Verdana" w:eastAsia="Geomanist Light" w:cs="Arial"/>
          <w:lang w:val="es-ES_tradnl"/>
        </w:rPr>
        <w:t xml:space="preserve">Esta labor de verificación por parte de la entidad implica validar el origen de las garantías y revisar </w:t>
      </w:r>
      <w:r>
        <w:rPr>
          <w:rFonts w:ascii="Verdana" w:hAnsi="Verdana" w:eastAsia="Geomanist Light" w:cs="Arial"/>
          <w:lang w:val="es-MX"/>
        </w:rPr>
        <w:t>“</w:t>
      </w:r>
      <w:r w:rsidRPr="00513EDD">
        <w:rPr>
          <w:rFonts w:ascii="Verdana" w:hAnsi="Verdana" w:eastAsia="Geomanist Light" w:cs="Arial"/>
        </w:rPr>
        <w:t>que los valores asegurados coincidan con los que se exigieron en el contrato, así como su vigencia; verificar que estén identificados plenamente el tomador y el beneficiario, y que vengan adjuntas las condiciones generales de la póliza. Sólo con la certeza que brinda este análisis, se puede tener la seguridad que no se causarán perjuicios al ente estatal. De tal manera, una vez revisada la póliza, sus anexos (condiciones generales) y su contenido y si está de acuerdo con lo exigido, se impartirá la aprobación correspondiente</w:t>
      </w:r>
      <w:r>
        <w:rPr>
          <w:rFonts w:ascii="Verdana" w:hAnsi="Verdana" w:eastAsia="Geomanist Light" w:cs="Arial"/>
          <w:lang w:val="es-ES"/>
        </w:rPr>
        <w:t>”</w:t>
      </w:r>
      <w:r w:rsidRPr="00513EDD">
        <w:rPr>
          <w:rFonts w:ascii="Verdana" w:hAnsi="Verdana" w:eastAsia="Geomanist Light" w:cs="Arial"/>
          <w:lang w:val="es-ES"/>
        </w:rPr>
        <w:t>.</w:t>
      </w:r>
    </w:p>
    <w:p w:rsidR="00513EDD" w:rsidP="00FF1ECE" w:rsidRDefault="00513EDD" w14:paraId="05D4F755" w14:textId="77777777">
      <w:pPr>
        <w:spacing w:after="0" w:line="240" w:lineRule="auto"/>
        <w:rPr>
          <w:rFonts w:ascii="Verdana" w:hAnsi="Verdana" w:eastAsia="Geomanist Light" w:cs="Arial"/>
          <w:lang w:val="es-MX"/>
        </w:rPr>
      </w:pPr>
    </w:p>
    <w:p w:rsidR="00513EDD" w:rsidP="00FF1ECE" w:rsidRDefault="00513EDD" w14:paraId="4F27AF26" w14:textId="77777777">
      <w:pPr>
        <w:spacing w:after="0" w:line="240" w:lineRule="auto"/>
        <w:rPr>
          <w:rFonts w:ascii="Verdana" w:hAnsi="Verdana" w:eastAsia="Geomanist Light" w:cs="Arial"/>
          <w:lang w:val="es-MX"/>
        </w:rPr>
      </w:pPr>
    </w:p>
    <w:p w:rsidR="00513EDD" w:rsidP="00FF1ECE" w:rsidRDefault="00513EDD" w14:paraId="3380C164" w14:textId="77777777">
      <w:pPr>
        <w:spacing w:after="0" w:line="240" w:lineRule="auto"/>
        <w:rPr>
          <w:rFonts w:ascii="Verdana" w:hAnsi="Verdana" w:eastAsia="Geomanist Light" w:cs="Arial"/>
          <w:lang w:val="es-MX"/>
        </w:rPr>
      </w:pPr>
    </w:p>
    <w:p w:rsidR="00513EDD" w:rsidP="00FF1ECE" w:rsidRDefault="00513EDD" w14:paraId="14128417" w14:textId="77777777">
      <w:pPr>
        <w:spacing w:after="0" w:line="240" w:lineRule="auto"/>
        <w:rPr>
          <w:rFonts w:ascii="Verdana" w:hAnsi="Verdana" w:eastAsia="Geomanist Light" w:cs="Arial"/>
          <w:lang w:val="es-MX"/>
        </w:rPr>
      </w:pPr>
    </w:p>
    <w:p w:rsidR="00513EDD" w:rsidP="00FF1ECE" w:rsidRDefault="00513EDD" w14:paraId="3E945CEA" w14:textId="77777777">
      <w:pPr>
        <w:spacing w:after="0" w:line="240" w:lineRule="auto"/>
        <w:rPr>
          <w:rFonts w:ascii="Verdana" w:hAnsi="Verdana" w:eastAsia="Geomanist Light" w:cs="Arial"/>
          <w:lang w:val="es-MX"/>
        </w:rPr>
      </w:pPr>
    </w:p>
    <w:p w:rsidR="00513EDD" w:rsidP="00FF1ECE" w:rsidRDefault="00513EDD" w14:paraId="66CAD3BA" w14:textId="77777777">
      <w:pPr>
        <w:spacing w:after="0" w:line="240" w:lineRule="auto"/>
        <w:rPr>
          <w:rFonts w:ascii="Verdana" w:hAnsi="Verdana" w:eastAsia="Geomanist Light" w:cs="Arial"/>
          <w:lang w:val="es-MX"/>
        </w:rPr>
      </w:pPr>
    </w:p>
    <w:p w:rsidR="00513EDD" w:rsidP="00FF1ECE" w:rsidRDefault="00513EDD" w14:paraId="665E570E" w14:textId="77777777">
      <w:pPr>
        <w:spacing w:after="0" w:line="240" w:lineRule="auto"/>
        <w:rPr>
          <w:rFonts w:ascii="Verdana" w:hAnsi="Verdana" w:eastAsia="Geomanist Light" w:cs="Arial"/>
          <w:lang w:val="es-MX"/>
        </w:rPr>
      </w:pPr>
    </w:p>
    <w:p w:rsidR="00513EDD" w:rsidP="00FF1ECE" w:rsidRDefault="00513EDD" w14:paraId="17504957" w14:textId="77777777">
      <w:pPr>
        <w:spacing w:after="0" w:line="240" w:lineRule="auto"/>
        <w:rPr>
          <w:rFonts w:ascii="Verdana" w:hAnsi="Verdana" w:eastAsia="Geomanist Light" w:cs="Arial"/>
          <w:lang w:val="es-MX"/>
        </w:rPr>
      </w:pPr>
    </w:p>
    <w:p w:rsidR="00513EDD" w:rsidP="00FF1ECE" w:rsidRDefault="00513EDD" w14:paraId="532351BF" w14:textId="77777777">
      <w:pPr>
        <w:spacing w:after="0" w:line="240" w:lineRule="auto"/>
        <w:rPr>
          <w:rFonts w:ascii="Verdana" w:hAnsi="Verdana" w:eastAsia="Geomanist Light" w:cs="Arial"/>
          <w:lang w:val="es-MX"/>
        </w:rPr>
      </w:pPr>
    </w:p>
    <w:p w:rsidR="00513EDD" w:rsidP="00FF1ECE" w:rsidRDefault="00513EDD" w14:paraId="68621F39" w14:textId="77777777">
      <w:pPr>
        <w:spacing w:after="0" w:line="240" w:lineRule="auto"/>
        <w:rPr>
          <w:rFonts w:ascii="Verdana" w:hAnsi="Verdana" w:eastAsia="Geomanist Light" w:cs="Arial"/>
          <w:lang w:val="es-MX"/>
        </w:rPr>
      </w:pPr>
    </w:p>
    <w:p w:rsidR="00513EDD" w:rsidP="00FF1ECE" w:rsidRDefault="00513EDD" w14:paraId="2B88F406" w14:textId="77777777">
      <w:pPr>
        <w:spacing w:after="0" w:line="240" w:lineRule="auto"/>
        <w:rPr>
          <w:rFonts w:ascii="Verdana" w:hAnsi="Verdana" w:eastAsia="Geomanist Light" w:cs="Arial"/>
          <w:lang w:val="es-MX"/>
        </w:rPr>
      </w:pPr>
    </w:p>
    <w:p w:rsidR="00513EDD" w:rsidP="00FF1ECE" w:rsidRDefault="00513EDD" w14:paraId="4FB96B2E" w14:textId="77777777">
      <w:pPr>
        <w:spacing w:after="0" w:line="240" w:lineRule="auto"/>
        <w:rPr>
          <w:rFonts w:ascii="Verdana" w:hAnsi="Verdana" w:eastAsia="Geomanist Light" w:cs="Arial"/>
          <w:lang w:val="es-MX"/>
        </w:rPr>
      </w:pPr>
    </w:p>
    <w:p w:rsidR="00513EDD" w:rsidP="00FF1ECE" w:rsidRDefault="00513EDD" w14:paraId="2F724EC7" w14:textId="77777777">
      <w:pPr>
        <w:spacing w:after="0" w:line="240" w:lineRule="auto"/>
        <w:rPr>
          <w:rFonts w:ascii="Verdana" w:hAnsi="Verdana" w:eastAsia="Geomanist Light" w:cs="Arial"/>
          <w:lang w:val="es-MX"/>
        </w:rPr>
      </w:pPr>
    </w:p>
    <w:p w:rsidR="00513EDD" w:rsidP="00FF1ECE" w:rsidRDefault="00513EDD" w14:paraId="238CB9C1" w14:textId="77777777">
      <w:pPr>
        <w:spacing w:after="0" w:line="240" w:lineRule="auto"/>
        <w:rPr>
          <w:rFonts w:ascii="Verdana" w:hAnsi="Verdana" w:eastAsia="Geomanist Light" w:cs="Arial"/>
          <w:lang w:val="es-MX"/>
        </w:rPr>
      </w:pPr>
    </w:p>
    <w:p w:rsidR="00513EDD" w:rsidP="00FF1ECE" w:rsidRDefault="00513EDD" w14:paraId="7C223432" w14:textId="77777777">
      <w:pPr>
        <w:spacing w:after="0" w:line="240" w:lineRule="auto"/>
        <w:rPr>
          <w:rFonts w:ascii="Verdana" w:hAnsi="Verdana" w:eastAsia="Geomanist Light" w:cs="Arial"/>
          <w:lang w:val="es-MX"/>
        </w:rPr>
      </w:pPr>
    </w:p>
    <w:p w:rsidR="00513EDD" w:rsidP="00FF1ECE" w:rsidRDefault="00513EDD" w14:paraId="7FCFFE45" w14:textId="77777777">
      <w:pPr>
        <w:spacing w:after="0" w:line="240" w:lineRule="auto"/>
        <w:rPr>
          <w:rFonts w:ascii="Verdana" w:hAnsi="Verdana" w:eastAsia="Geomanist Light" w:cs="Arial"/>
          <w:lang w:val="es-MX"/>
        </w:rPr>
      </w:pPr>
    </w:p>
    <w:p w:rsidR="00513EDD" w:rsidP="00FF1ECE" w:rsidRDefault="00513EDD" w14:paraId="553EC727" w14:textId="77777777">
      <w:pPr>
        <w:spacing w:after="0" w:line="240" w:lineRule="auto"/>
        <w:rPr>
          <w:rFonts w:ascii="Verdana" w:hAnsi="Verdana" w:eastAsia="Geomanist Light" w:cs="Arial"/>
          <w:lang w:val="es-MX"/>
        </w:rPr>
      </w:pPr>
    </w:p>
    <w:p w:rsidR="00513EDD" w:rsidP="00FF1ECE" w:rsidRDefault="00513EDD" w14:paraId="79FA0A8E" w14:textId="77777777">
      <w:pPr>
        <w:spacing w:after="0" w:line="240" w:lineRule="auto"/>
        <w:rPr>
          <w:rFonts w:ascii="Verdana" w:hAnsi="Verdana" w:eastAsia="Geomanist Light" w:cs="Arial"/>
          <w:lang w:val="es-MX"/>
        </w:rPr>
      </w:pPr>
    </w:p>
    <w:p w:rsidR="00513EDD" w:rsidP="00FF1ECE" w:rsidRDefault="00513EDD" w14:paraId="620D99DB" w14:textId="77777777">
      <w:pPr>
        <w:spacing w:after="0" w:line="240" w:lineRule="auto"/>
        <w:rPr>
          <w:rFonts w:ascii="Verdana" w:hAnsi="Verdana" w:eastAsia="Geomanist Light" w:cs="Arial"/>
          <w:lang w:val="es-MX"/>
        </w:rPr>
      </w:pPr>
    </w:p>
    <w:p w:rsidR="00513EDD" w:rsidP="00FF1ECE" w:rsidRDefault="00513EDD" w14:paraId="70A5EFFD" w14:textId="77777777">
      <w:pPr>
        <w:spacing w:after="0" w:line="240" w:lineRule="auto"/>
        <w:rPr>
          <w:rFonts w:ascii="Verdana" w:hAnsi="Verdana" w:eastAsia="Geomanist Light" w:cs="Arial"/>
          <w:lang w:val="es-MX"/>
        </w:rPr>
      </w:pPr>
    </w:p>
    <w:p w:rsidR="00513EDD" w:rsidP="00FF1ECE" w:rsidRDefault="00513EDD" w14:paraId="50722E6C" w14:textId="77777777">
      <w:pPr>
        <w:spacing w:after="0" w:line="240" w:lineRule="auto"/>
        <w:rPr>
          <w:rFonts w:ascii="Verdana" w:hAnsi="Verdana" w:eastAsia="Geomanist Light" w:cs="Arial"/>
          <w:lang w:val="es-MX"/>
        </w:rPr>
      </w:pPr>
    </w:p>
    <w:p w:rsidR="00513EDD" w:rsidP="00FF1ECE" w:rsidRDefault="00513EDD" w14:paraId="0BA22CAC" w14:textId="77777777">
      <w:pPr>
        <w:spacing w:after="0" w:line="240" w:lineRule="auto"/>
        <w:rPr>
          <w:rFonts w:ascii="Verdana" w:hAnsi="Verdana" w:eastAsia="Geomanist Light" w:cs="Arial"/>
          <w:lang w:val="es-MX"/>
        </w:rPr>
      </w:pPr>
    </w:p>
    <w:p w:rsidR="00513EDD" w:rsidP="00FF1ECE" w:rsidRDefault="00513EDD" w14:paraId="604E0064" w14:textId="77777777">
      <w:pPr>
        <w:spacing w:after="0" w:line="240" w:lineRule="auto"/>
        <w:rPr>
          <w:rFonts w:ascii="Verdana" w:hAnsi="Verdana" w:eastAsia="Geomanist Light" w:cs="Arial"/>
          <w:lang w:val="es-MX"/>
        </w:rPr>
      </w:pPr>
    </w:p>
    <w:p w:rsidR="00513EDD" w:rsidP="00FF1ECE" w:rsidRDefault="00513EDD" w14:paraId="4923A1F0" w14:textId="77777777">
      <w:pPr>
        <w:spacing w:after="0" w:line="240" w:lineRule="auto"/>
        <w:rPr>
          <w:rFonts w:ascii="Verdana" w:hAnsi="Verdana" w:eastAsia="Geomanist Light" w:cs="Arial"/>
          <w:lang w:val="es-MX"/>
        </w:rPr>
      </w:pPr>
    </w:p>
    <w:p w:rsidR="00513EDD" w:rsidP="00FF1ECE" w:rsidRDefault="00513EDD" w14:paraId="17AB716E" w14:textId="77777777">
      <w:pPr>
        <w:spacing w:after="0" w:line="240" w:lineRule="auto"/>
        <w:rPr>
          <w:rFonts w:ascii="Verdana" w:hAnsi="Verdana" w:eastAsia="Geomanist Light" w:cs="Arial"/>
          <w:lang w:val="es-MX"/>
        </w:rPr>
      </w:pPr>
    </w:p>
    <w:p w:rsidR="00513EDD" w:rsidP="00FF1ECE" w:rsidRDefault="00513EDD" w14:paraId="41446027" w14:textId="77777777">
      <w:pPr>
        <w:spacing w:after="0" w:line="240" w:lineRule="auto"/>
        <w:rPr>
          <w:rFonts w:ascii="Verdana" w:hAnsi="Verdana" w:eastAsia="Geomanist Light" w:cs="Arial"/>
          <w:lang w:val="es-MX"/>
        </w:rPr>
      </w:pPr>
    </w:p>
    <w:p w:rsidR="00513EDD" w:rsidP="00FF1ECE" w:rsidRDefault="00513EDD" w14:paraId="0FDBF386" w14:textId="77777777">
      <w:pPr>
        <w:spacing w:after="0" w:line="240" w:lineRule="auto"/>
        <w:rPr>
          <w:rFonts w:ascii="Verdana" w:hAnsi="Verdana" w:eastAsia="Geomanist Light" w:cs="Arial"/>
          <w:lang w:val="es-MX"/>
        </w:rPr>
      </w:pPr>
    </w:p>
    <w:p w:rsidR="00513EDD" w:rsidP="00FF1ECE" w:rsidRDefault="00513EDD" w14:paraId="792147E7" w14:textId="77777777">
      <w:pPr>
        <w:spacing w:after="0" w:line="240" w:lineRule="auto"/>
        <w:rPr>
          <w:rFonts w:ascii="Verdana" w:hAnsi="Verdana" w:eastAsia="Geomanist Light" w:cs="Arial"/>
          <w:lang w:val="es-MX"/>
        </w:rPr>
      </w:pPr>
    </w:p>
    <w:p w:rsidR="00513EDD" w:rsidP="00FF1ECE" w:rsidRDefault="00513EDD" w14:paraId="7FB43D65" w14:textId="77777777">
      <w:pPr>
        <w:spacing w:after="0" w:line="240" w:lineRule="auto"/>
        <w:rPr>
          <w:rFonts w:ascii="Verdana" w:hAnsi="Verdana" w:eastAsia="Geomanist Light" w:cs="Arial"/>
          <w:lang w:val="es-MX"/>
        </w:rPr>
      </w:pPr>
    </w:p>
    <w:p w:rsidR="00513EDD" w:rsidP="00FF1ECE" w:rsidRDefault="00513EDD" w14:paraId="3396EDD7" w14:textId="77777777">
      <w:pPr>
        <w:spacing w:after="0" w:line="240" w:lineRule="auto"/>
        <w:rPr>
          <w:rFonts w:ascii="Verdana" w:hAnsi="Verdana" w:eastAsia="Geomanist Light" w:cs="Arial"/>
          <w:lang w:val="es-MX"/>
        </w:rPr>
      </w:pPr>
    </w:p>
    <w:p w:rsidR="00513EDD" w:rsidP="00FF1ECE" w:rsidRDefault="00513EDD" w14:paraId="686AA74E" w14:textId="77777777">
      <w:pPr>
        <w:spacing w:after="0" w:line="240" w:lineRule="auto"/>
        <w:rPr>
          <w:rFonts w:ascii="Verdana" w:hAnsi="Verdana" w:eastAsia="Geomanist Light" w:cs="Arial"/>
          <w:lang w:val="es-MX"/>
        </w:rPr>
      </w:pPr>
    </w:p>
    <w:p w:rsidR="00513EDD" w:rsidP="00FF1ECE" w:rsidRDefault="00513EDD" w14:paraId="1206D44A" w14:textId="77777777">
      <w:pPr>
        <w:spacing w:after="0" w:line="240" w:lineRule="auto"/>
        <w:rPr>
          <w:rFonts w:ascii="Verdana" w:hAnsi="Verdana" w:eastAsia="Geomanist Light" w:cs="Arial"/>
          <w:lang w:val="es-MX"/>
        </w:rPr>
      </w:pPr>
    </w:p>
    <w:p w:rsidRPr="009322DA" w:rsidR="00FF1ECE" w:rsidP="00FF1ECE" w:rsidRDefault="00FF1ECE" w14:paraId="49DAF5F5" w14:textId="0229A0B4">
      <w:pPr>
        <w:spacing w:after="0" w:line="240" w:lineRule="auto"/>
        <w:rPr>
          <w:rFonts w:ascii="Verdana" w:hAnsi="Verdana" w:eastAsia="Geomanist Light" w:cs="Arial"/>
          <w:lang w:val="es-MX"/>
        </w:rPr>
      </w:pPr>
      <w:r w:rsidRPr="009322DA">
        <w:rPr>
          <w:rFonts w:ascii="Verdana" w:hAnsi="Verdana" w:eastAsia="Geomanist Light" w:cs="Arial"/>
          <w:lang w:val="es-MX"/>
        </w:rPr>
        <w:lastRenderedPageBreak/>
        <w:t>Bogotá D.C., [Día] de [</w:t>
      </w:r>
      <w:proofErr w:type="spellStart"/>
      <w:r w:rsidRPr="009322DA">
        <w:rPr>
          <w:rFonts w:ascii="Verdana" w:hAnsi="Verdana" w:eastAsia="Geomanist Light" w:cs="Arial"/>
          <w:lang w:val="es-MX"/>
        </w:rPr>
        <w:t>Mes.NombreCapitalizado</w:t>
      </w:r>
      <w:proofErr w:type="spellEnd"/>
      <w:r w:rsidRPr="009322DA">
        <w:rPr>
          <w:rFonts w:ascii="Verdana" w:hAnsi="Verdana" w:eastAsia="Geomanist Light" w:cs="Arial"/>
          <w:lang w:val="es-MX"/>
        </w:rPr>
        <w:t>] de [Año]</w:t>
      </w:r>
    </w:p>
    <w:p w:rsidRPr="009322DA" w:rsidR="00FF1ECE" w:rsidP="00FF1ECE" w:rsidRDefault="00FF1ECE" w14:paraId="701A8DB8" w14:textId="20A746B6">
      <w:pPr>
        <w:spacing w:after="0" w:line="240" w:lineRule="auto"/>
        <w:jc w:val="both"/>
        <w:rPr>
          <w:rFonts w:ascii="Verdana" w:hAnsi="Verdana" w:eastAsia="Calibri" w:cs="Arial"/>
          <w:lang w:val="es-ES"/>
        </w:rPr>
      </w:pPr>
    </w:p>
    <w:p w:rsidR="00FF1ECE" w:rsidP="00FF1ECE" w:rsidRDefault="00513EDD" w14:paraId="45BBC441" w14:textId="4C508B09">
      <w:pPr>
        <w:spacing w:after="0" w:line="240" w:lineRule="auto"/>
        <w:rPr>
          <w:rFonts w:ascii="Verdana" w:hAnsi="Verdana" w:eastAsia="Calibri" w:cs="Arial"/>
          <w:lang w:val="es-MX" w:eastAsia="es-ES"/>
        </w:rPr>
      </w:pPr>
      <w:r w:rsidRPr="00513EDD">
        <w:rPr>
          <w:rFonts w:ascii="Verdana" w:hAnsi="Verdana" w:eastAsia="Calibri" w:cs="Arial"/>
          <w:lang w:val="es-ES"/>
        </w:rPr>
        <w:drawing>
          <wp:anchor distT="0" distB="0" distL="114300" distR="114300" simplePos="0" relativeHeight="251658240" behindDoc="1" locked="0" layoutInCell="1" allowOverlap="1" wp14:anchorId="2749B67A" wp14:editId="61530740">
            <wp:simplePos x="0" y="0"/>
            <wp:positionH relativeFrom="column">
              <wp:posOffset>2775585</wp:posOffset>
            </wp:positionH>
            <wp:positionV relativeFrom="paragraph">
              <wp:posOffset>8890</wp:posOffset>
            </wp:positionV>
            <wp:extent cx="3705742" cy="1000265"/>
            <wp:effectExtent l="0" t="0" r="0" b="9525"/>
            <wp:wrapTight wrapText="bothSides">
              <wp:wrapPolygon edited="0">
                <wp:start x="0" y="0"/>
                <wp:lineTo x="0" y="21394"/>
                <wp:lineTo x="21433" y="21394"/>
                <wp:lineTo x="21433" y="0"/>
                <wp:lineTo x="0" y="0"/>
              </wp:wrapPolygon>
            </wp:wrapTight>
            <wp:docPr id="5734546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54685"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705742" cy="1000265"/>
                    </a:xfrm>
                    <a:prstGeom prst="rect">
                      <a:avLst/>
                    </a:prstGeom>
                  </pic:spPr>
                </pic:pic>
              </a:graphicData>
            </a:graphic>
          </wp:anchor>
        </w:drawing>
      </w:r>
    </w:p>
    <w:p w:rsidR="00513EDD" w:rsidP="00FF1ECE" w:rsidRDefault="00513EDD" w14:paraId="45FE988D" w14:textId="77777777">
      <w:pPr>
        <w:spacing w:after="0" w:line="240" w:lineRule="auto"/>
        <w:rPr>
          <w:rFonts w:ascii="Verdana" w:hAnsi="Verdana" w:eastAsia="Calibri" w:cs="Arial"/>
          <w:lang w:val="es-MX" w:eastAsia="es-ES"/>
        </w:rPr>
      </w:pPr>
    </w:p>
    <w:p w:rsidR="00513EDD" w:rsidP="00FF1ECE" w:rsidRDefault="00513EDD" w14:paraId="2DCDA2DE" w14:textId="77777777">
      <w:pPr>
        <w:spacing w:after="0" w:line="240" w:lineRule="auto"/>
        <w:rPr>
          <w:rFonts w:ascii="Verdana" w:hAnsi="Verdana" w:eastAsia="Calibri" w:cs="Arial"/>
          <w:lang w:val="es-MX" w:eastAsia="es-ES"/>
        </w:rPr>
      </w:pPr>
    </w:p>
    <w:p w:rsidR="00513EDD" w:rsidP="00FF1ECE" w:rsidRDefault="00513EDD" w14:paraId="7551E863" w14:textId="77777777">
      <w:pPr>
        <w:spacing w:after="0" w:line="240" w:lineRule="auto"/>
        <w:rPr>
          <w:rFonts w:ascii="Verdana" w:hAnsi="Verdana" w:eastAsia="Calibri" w:cs="Arial"/>
          <w:lang w:val="es-MX" w:eastAsia="es-ES"/>
        </w:rPr>
      </w:pPr>
    </w:p>
    <w:p w:rsidR="00513EDD" w:rsidP="00FF1ECE" w:rsidRDefault="00513EDD" w14:paraId="3F9A36B0" w14:textId="77777777">
      <w:pPr>
        <w:spacing w:after="0" w:line="240" w:lineRule="auto"/>
        <w:rPr>
          <w:rFonts w:ascii="Verdana" w:hAnsi="Verdana" w:eastAsia="Calibri" w:cs="Arial"/>
          <w:lang w:val="es-MX" w:eastAsia="es-ES"/>
        </w:rPr>
      </w:pPr>
    </w:p>
    <w:p w:rsidRPr="009322DA" w:rsidR="00FF1ECE" w:rsidP="00FF1ECE" w:rsidRDefault="00FF1ECE" w14:paraId="68487989" w14:textId="77777777">
      <w:pPr>
        <w:spacing w:after="0" w:line="240" w:lineRule="auto"/>
        <w:rPr>
          <w:rFonts w:ascii="Verdana" w:hAnsi="Verdana" w:eastAsia="Calibri" w:cs="Arial"/>
          <w:lang w:val="es-MX" w:eastAsia="es-ES"/>
        </w:rPr>
      </w:pPr>
      <w:r w:rsidRPr="009322DA">
        <w:rPr>
          <w:rFonts w:ascii="Verdana" w:hAnsi="Verdana" w:eastAsia="Calibri" w:cs="Arial"/>
          <w:lang w:val="es-MX" w:eastAsia="es-ES"/>
        </w:rPr>
        <w:t>Señor</w:t>
      </w:r>
    </w:p>
    <w:p w:rsidRPr="009322DA" w:rsidR="00FF1ECE" w:rsidP="00FF1ECE" w:rsidRDefault="00FF1ECE" w14:paraId="3F6B6CA3" w14:textId="77777777">
      <w:pPr>
        <w:spacing w:after="0" w:line="240" w:lineRule="auto"/>
        <w:rPr>
          <w:rFonts w:ascii="Verdana" w:hAnsi="Verdana" w:eastAsia="Calibri" w:cs="Arial"/>
          <w:b/>
          <w:bCs/>
          <w:lang w:val="es-MX" w:eastAsia="es-ES"/>
        </w:rPr>
      </w:pPr>
      <w:r>
        <w:rPr>
          <w:rFonts w:ascii="Verdana" w:hAnsi="Verdana" w:eastAsia="Calibri" w:cs="Arial"/>
          <w:b/>
          <w:bCs/>
          <w:lang w:val="es-MX" w:eastAsia="es-ES"/>
        </w:rPr>
        <w:t>Mauricio Alberto Manzano Calvete</w:t>
      </w:r>
    </w:p>
    <w:p w:rsidRPr="009322DA" w:rsidR="00FF1ECE" w:rsidP="00FF1ECE" w:rsidRDefault="00FF1ECE" w14:paraId="17338A53" w14:textId="77777777">
      <w:pPr>
        <w:spacing w:after="0" w:line="240" w:lineRule="auto"/>
        <w:rPr>
          <w:rFonts w:ascii="Verdana" w:hAnsi="Verdana" w:eastAsia="Calibri" w:cs="Arial"/>
          <w:lang w:val="es-MX" w:eastAsia="es-ES"/>
        </w:rPr>
      </w:pPr>
      <w:hyperlink w:history="1" r:id="rId11">
        <w:r w:rsidRPr="005C0804">
          <w:rPr>
            <w:rStyle w:val="Hipervnculo"/>
            <w:rFonts w:ascii="Verdana" w:hAnsi="Verdana" w:eastAsia="Calibri" w:cs="Arial"/>
            <w:lang w:val="es-MX" w:eastAsia="es-ES"/>
          </w:rPr>
          <w:t>mauriciomanzano@gmail.com</w:t>
        </w:r>
      </w:hyperlink>
    </w:p>
    <w:p w:rsidRPr="009322DA" w:rsidR="00FF1ECE" w:rsidP="00FF1ECE" w:rsidRDefault="00FF1ECE" w14:paraId="2F4E5537" w14:textId="77777777">
      <w:pPr>
        <w:spacing w:after="0" w:line="240" w:lineRule="auto"/>
        <w:rPr>
          <w:rFonts w:ascii="Verdana" w:hAnsi="Verdana" w:eastAsia="Calibri" w:cs="Arial"/>
          <w:b/>
          <w:bCs/>
          <w:lang w:val="es-ES" w:eastAsia="es-ES"/>
        </w:rPr>
      </w:pPr>
      <w:r>
        <w:rPr>
          <w:rFonts w:ascii="Verdana" w:hAnsi="Verdana" w:eastAsia="Calibri" w:cs="Arial"/>
          <w:lang w:val="es-MX" w:eastAsia="es-ES"/>
        </w:rPr>
        <w:t>Ciudad</w:t>
      </w:r>
    </w:p>
    <w:p w:rsidRPr="009322DA" w:rsidR="00FF1ECE" w:rsidP="00FF1ECE" w:rsidRDefault="00FF1ECE" w14:paraId="6B27E842" w14:textId="77777777">
      <w:pPr>
        <w:spacing w:after="0" w:line="240" w:lineRule="auto"/>
        <w:rPr>
          <w:rFonts w:ascii="Verdana" w:hAnsi="Verdana" w:eastAsia="Calibri" w:cs="Arial"/>
          <w:b/>
          <w:bCs/>
          <w:lang w:val="es-ES_tradnl" w:eastAsia="es-ES_tradnl"/>
        </w:rPr>
      </w:pPr>
    </w:p>
    <w:p w:rsidRPr="009322DA" w:rsidR="00FF1ECE" w:rsidP="00FF1ECE" w:rsidRDefault="00FF1ECE" w14:paraId="75061E8A" w14:textId="77777777">
      <w:pPr>
        <w:spacing w:after="0" w:line="240" w:lineRule="auto"/>
        <w:rPr>
          <w:rFonts w:ascii="Verdana" w:hAnsi="Verdana" w:eastAsia="Calibri" w:cs="Arial"/>
          <w:b/>
          <w:bCs/>
          <w:lang w:val="es-ES_tradnl" w:eastAsia="es-ES_tradnl"/>
        </w:rPr>
      </w:pPr>
    </w:p>
    <w:tbl>
      <w:tblPr>
        <w:tblStyle w:val="Tablaconcuadrcula1"/>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9322DA" w:rsidR="00FF1ECE" w:rsidTr="001449F3" w14:paraId="19C24D5C" w14:textId="77777777">
        <w:trPr>
          <w:trHeight w:val="884"/>
        </w:trPr>
        <w:tc>
          <w:tcPr>
            <w:tcW w:w="2689" w:type="dxa"/>
          </w:tcPr>
          <w:p w:rsidRPr="009322DA" w:rsidR="00FF1ECE" w:rsidP="001449F3" w:rsidRDefault="00FF1ECE" w14:paraId="06CE8A00" w14:textId="77777777">
            <w:pPr>
              <w:jc w:val="both"/>
              <w:rPr>
                <w:rFonts w:ascii="Verdana" w:hAnsi="Verdana" w:cs="Arial"/>
                <w:b/>
                <w:bCs/>
                <w:lang w:val="es-ES_tradnl" w:eastAsia="es-ES_tradnl"/>
              </w:rPr>
            </w:pPr>
          </w:p>
        </w:tc>
        <w:tc>
          <w:tcPr>
            <w:tcW w:w="6100" w:type="dxa"/>
            <w:hideMark/>
          </w:tcPr>
          <w:p w:rsidRPr="009322DA" w:rsidR="00FF1ECE" w:rsidP="001449F3" w:rsidRDefault="00FF1ECE" w14:paraId="3C90CAD6" w14:textId="77777777">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505</w:t>
            </w:r>
            <w:r w:rsidRPr="009322DA">
              <w:rPr>
                <w:rFonts w:ascii="Verdana" w:hAnsi="Verdana" w:cs="Arial"/>
                <w:b/>
                <w:bCs/>
                <w:lang w:val="es-ES" w:eastAsia="es-ES"/>
              </w:rPr>
              <w:t xml:space="preserve"> de 2024</w:t>
            </w:r>
          </w:p>
        </w:tc>
      </w:tr>
      <w:tr w:rsidRPr="009322DA" w:rsidR="00FF1ECE" w:rsidTr="001449F3" w14:paraId="366A123D" w14:textId="77777777">
        <w:trPr>
          <w:trHeight w:val="884"/>
        </w:trPr>
        <w:tc>
          <w:tcPr>
            <w:tcW w:w="2689" w:type="dxa"/>
            <w:hideMark/>
          </w:tcPr>
          <w:p w:rsidRPr="009322DA" w:rsidR="00FF1ECE" w:rsidP="001449F3" w:rsidRDefault="00FF1ECE" w14:paraId="4E1E7F30" w14:textId="77777777">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rsidRPr="00A11406" w:rsidR="00FF1ECE" w:rsidP="001449F3" w:rsidRDefault="00FF1ECE" w14:paraId="03023A32" w14:textId="77777777">
            <w:pPr>
              <w:spacing w:line="276" w:lineRule="auto"/>
              <w:jc w:val="both"/>
              <w:rPr>
                <w:rFonts w:ascii="Verdana" w:hAnsi="Verdana" w:eastAsia="Calibri" w:cs="Arial"/>
                <w:lang w:val="es-ES" w:eastAsia="es-ES"/>
              </w:rPr>
            </w:pPr>
            <w:r w:rsidRPr="0006268C">
              <w:rPr>
                <w:rFonts w:ascii="Verdana" w:hAnsi="Verdana" w:eastAsia="Calibri" w:cs="Arial"/>
                <w:lang w:val="es-ES" w:eastAsia="es-ES"/>
              </w:rPr>
              <w:t xml:space="preserve">CONSTITUCIÓN DE GARANTÍAS – Obligación / EJECUCIÓN DEL CONTRATO ESTATAL – Requisitos – Artículo 41 de la Ley 80 de 1993 / APROBACIÓN DE GARANTÍAS – Verificación de la Entidad   </w:t>
            </w:r>
          </w:p>
          <w:p w:rsidRPr="00EB3000" w:rsidR="00FF1ECE" w:rsidP="001449F3" w:rsidRDefault="00FF1ECE" w14:paraId="077F36E8" w14:textId="77777777">
            <w:pPr>
              <w:jc w:val="both"/>
              <w:rPr>
                <w:rFonts w:ascii="Verdana" w:hAnsi="Verdana" w:cs="Arial"/>
                <w:lang w:val="es-ES_tradnl" w:eastAsia="es-ES"/>
              </w:rPr>
            </w:pPr>
          </w:p>
        </w:tc>
      </w:tr>
      <w:tr w:rsidRPr="009322DA" w:rsidR="00FF1ECE" w:rsidTr="001449F3" w14:paraId="63C99A1A" w14:textId="77777777">
        <w:tc>
          <w:tcPr>
            <w:tcW w:w="2689" w:type="dxa"/>
            <w:hideMark/>
          </w:tcPr>
          <w:p w:rsidRPr="009322DA" w:rsidR="00FF1ECE" w:rsidP="001449F3" w:rsidRDefault="00FF1ECE" w14:paraId="1E4A8239" w14:textId="77777777">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rsidRPr="009322DA" w:rsidR="00FF1ECE" w:rsidP="001449F3" w:rsidRDefault="00FF1ECE" w14:paraId="2B72879F" w14:textId="77777777">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BF5889">
              <w:rPr>
                <w:rFonts w:ascii="Verdana" w:hAnsi="Verdana"/>
                <w:lang w:eastAsia="es-ES_tradnl"/>
              </w:rPr>
              <w:t>P20240</w:t>
            </w:r>
            <w:r>
              <w:rPr>
                <w:rFonts w:ascii="Verdana" w:hAnsi="Verdana"/>
                <w:lang w:eastAsia="es-ES_tradnl"/>
              </w:rPr>
              <w:t>820008490</w:t>
            </w:r>
          </w:p>
        </w:tc>
      </w:tr>
    </w:tbl>
    <w:p w:rsidRPr="009322DA" w:rsidR="00FF1ECE" w:rsidP="00FF1ECE" w:rsidRDefault="00FF1ECE" w14:paraId="4829D241" w14:textId="77777777">
      <w:pPr>
        <w:spacing w:after="0" w:line="240" w:lineRule="auto"/>
        <w:jc w:val="both"/>
        <w:rPr>
          <w:rFonts w:ascii="Verdana" w:hAnsi="Verdana" w:eastAsia="Calibri" w:cs="Arial"/>
          <w:lang w:val="es-ES_tradnl" w:eastAsia="es-ES_tradnl"/>
        </w:rPr>
      </w:pPr>
    </w:p>
    <w:p w:rsidRPr="009322DA" w:rsidR="00FF1ECE" w:rsidP="00FF1ECE" w:rsidRDefault="00FF1ECE" w14:paraId="0773D64B" w14:textId="77777777">
      <w:pPr>
        <w:spacing w:after="0" w:line="240" w:lineRule="auto"/>
        <w:jc w:val="both"/>
        <w:rPr>
          <w:rFonts w:ascii="Verdana" w:hAnsi="Verdana" w:eastAsia="Calibri" w:cs="Arial"/>
          <w:lang w:val="es-ES_tradnl" w:eastAsia="es-ES_tradnl"/>
        </w:rPr>
      </w:pPr>
    </w:p>
    <w:p w:rsidRPr="009322DA" w:rsidR="00FF1ECE" w:rsidP="00FF1ECE" w:rsidRDefault="00FF1ECE" w14:paraId="01F0A416" w14:textId="77777777">
      <w:pPr>
        <w:spacing w:after="0" w:line="276" w:lineRule="auto"/>
        <w:jc w:val="both"/>
        <w:rPr>
          <w:rFonts w:ascii="Verdana" w:hAnsi="Verdana" w:eastAsia="Calibri" w:cs="Arial"/>
          <w:lang w:val="es-ES" w:eastAsia="es-ES"/>
        </w:rPr>
      </w:pPr>
      <w:r w:rsidRPr="009322DA">
        <w:rPr>
          <w:rFonts w:ascii="Verdana" w:hAnsi="Verdana" w:eastAsia="Calibri" w:cs="Arial"/>
          <w:lang w:val="es-ES" w:eastAsia="es-ES"/>
        </w:rPr>
        <w:t>Estimad</w:t>
      </w:r>
      <w:r>
        <w:rPr>
          <w:rFonts w:ascii="Verdana" w:hAnsi="Verdana" w:eastAsia="Calibri" w:cs="Arial"/>
          <w:lang w:val="es-ES" w:eastAsia="es-ES"/>
        </w:rPr>
        <w:t>o</w:t>
      </w:r>
      <w:r w:rsidRPr="009322DA">
        <w:rPr>
          <w:rFonts w:ascii="Verdana" w:hAnsi="Verdana" w:eastAsia="Calibri" w:cs="Arial"/>
          <w:lang w:val="es-ES" w:eastAsia="es-ES"/>
        </w:rPr>
        <w:t xml:space="preserve"> señor</w:t>
      </w:r>
      <w:r>
        <w:rPr>
          <w:rFonts w:ascii="Verdana" w:hAnsi="Verdana" w:eastAsia="Calibri" w:cs="Arial"/>
          <w:lang w:val="es-ES" w:eastAsia="es-ES"/>
        </w:rPr>
        <w:t xml:space="preserve"> Manzano</w:t>
      </w:r>
      <w:r w:rsidRPr="009322DA">
        <w:rPr>
          <w:rFonts w:ascii="Verdana" w:hAnsi="Verdana" w:eastAsia="Calibri" w:cs="Arial"/>
          <w:lang w:val="es-ES" w:eastAsia="es-ES"/>
        </w:rPr>
        <w:t xml:space="preserve">: </w:t>
      </w:r>
    </w:p>
    <w:p w:rsidRPr="009322DA" w:rsidR="00FF1ECE" w:rsidP="00FF1ECE" w:rsidRDefault="00FF1ECE" w14:paraId="07D3933F" w14:textId="77777777">
      <w:pPr>
        <w:tabs>
          <w:tab w:val="left" w:pos="3768"/>
        </w:tabs>
        <w:spacing w:after="0" w:line="276" w:lineRule="auto"/>
        <w:jc w:val="both"/>
        <w:rPr>
          <w:rFonts w:ascii="Verdana" w:hAnsi="Verdana" w:eastAsia="Calibri" w:cs="Arial"/>
          <w:lang w:val="es-ES" w:eastAsia="es-ES"/>
        </w:rPr>
      </w:pPr>
      <w:r w:rsidRPr="009322DA">
        <w:rPr>
          <w:rFonts w:ascii="Verdana" w:hAnsi="Verdana" w:eastAsia="Calibri" w:cs="Arial"/>
          <w:lang w:val="es-ES" w:eastAsia="es-ES"/>
        </w:rPr>
        <w:tab/>
      </w:r>
    </w:p>
    <w:p w:rsidRPr="009322DA" w:rsidR="00FF1ECE" w:rsidP="00FF1ECE" w:rsidRDefault="00FF1ECE" w14:paraId="5AC494A8" w14:textId="77777777">
      <w:pPr>
        <w:spacing w:after="0" w:line="276" w:lineRule="auto"/>
        <w:jc w:val="both"/>
        <w:rPr>
          <w:rFonts w:ascii="Verdana" w:hAnsi="Verdana" w:eastAsia="Calibri" w:cs="Arial"/>
          <w:lang w:val="es-ES" w:eastAsia="es-ES"/>
        </w:rPr>
      </w:pPr>
      <w:r w:rsidRPr="009322DA">
        <w:rPr>
          <w:rFonts w:ascii="Verdana" w:hAnsi="Verdana" w:eastAsia="Calibri" w:cs="Arial"/>
          <w:lang w:val="es-ES" w:eastAsia="es-ES"/>
        </w:rPr>
        <w:t>En ejercicio de la competencia otorgada por los artículos 3, numeral 5º, y 11, numeral 8º, del Decreto Ley 4170 de 2011,</w:t>
      </w:r>
      <w:r w:rsidRPr="009322DA">
        <w:rPr>
          <w:rFonts w:ascii="Verdana" w:hAnsi="Verdana" w:eastAsia="Arial MT" w:cs="Arial MT"/>
          <w:lang w:val="es-ES" w:eastAsia="es-ES"/>
        </w:rPr>
        <w:t xml:space="preserve"> </w:t>
      </w:r>
      <w:r w:rsidRPr="009322DA">
        <w:rPr>
          <w:rFonts w:ascii="Verdana" w:hAnsi="Verdana" w:eastAsia="Calibri" w:cs="Arial"/>
        </w:rPr>
        <w:t xml:space="preserve">así como lo establecido en el artículo 4 de la Resolución 1707 de 2018 expedida por esta Entidad, </w:t>
      </w:r>
      <w:r w:rsidRPr="009322DA">
        <w:rPr>
          <w:rFonts w:ascii="Verdana" w:hAnsi="Verdana" w:eastAsia="Calibri" w:cs="Arial"/>
          <w:lang w:val="es-ES" w:eastAsia="es-ES"/>
        </w:rPr>
        <w:t xml:space="preserve">la Agencia Nacional de Contratación Pública – Colombia Compra Eficiente– responde su solicitud de consulta de fecha </w:t>
      </w:r>
      <w:r>
        <w:rPr>
          <w:rFonts w:ascii="Verdana" w:hAnsi="Verdana" w:eastAsia="Calibri" w:cs="Arial"/>
          <w:lang w:val="es-ES" w:eastAsia="es-ES"/>
        </w:rPr>
        <w:t>20</w:t>
      </w:r>
      <w:r w:rsidRPr="009322DA">
        <w:rPr>
          <w:rFonts w:ascii="Verdana" w:hAnsi="Verdana" w:eastAsia="Calibri" w:cs="Arial"/>
          <w:lang w:val="es-ES" w:eastAsia="es-ES"/>
        </w:rPr>
        <w:t xml:space="preserve"> de </w:t>
      </w:r>
      <w:r>
        <w:rPr>
          <w:rFonts w:ascii="Verdana" w:hAnsi="Verdana" w:eastAsia="Calibri" w:cs="Arial"/>
          <w:lang w:val="es-ES" w:eastAsia="es-ES"/>
        </w:rPr>
        <w:t>agost</w:t>
      </w:r>
      <w:r w:rsidRPr="009322DA">
        <w:rPr>
          <w:rFonts w:ascii="Verdana" w:hAnsi="Verdana" w:eastAsia="Calibri" w:cs="Arial"/>
          <w:lang w:val="es-ES" w:eastAsia="es-ES"/>
        </w:rPr>
        <w:t xml:space="preserve">o de 2024, en la cual manifiesta lo siguiente: </w:t>
      </w:r>
    </w:p>
    <w:p w:rsidRPr="009322DA" w:rsidR="00FF1ECE" w:rsidP="00FF1ECE" w:rsidRDefault="00FF1ECE" w14:paraId="4287C76A" w14:textId="77777777">
      <w:pPr>
        <w:spacing w:after="0" w:line="240" w:lineRule="auto"/>
        <w:ind w:left="709" w:right="709"/>
        <w:jc w:val="both"/>
        <w:rPr>
          <w:rFonts w:ascii="Verdana" w:hAnsi="Verdana" w:eastAsia="Century Gothic" w:cs="Century Gothic"/>
          <w:sz w:val="20"/>
          <w:szCs w:val="20"/>
          <w:lang w:val="es-ES"/>
        </w:rPr>
      </w:pPr>
      <w:bookmarkStart w:name="_Hlk95313578" w:id="1"/>
    </w:p>
    <w:p w:rsidR="00FF1ECE" w:rsidP="00FF1ECE" w:rsidRDefault="00FF1ECE" w14:paraId="6DFA089E" w14:textId="77777777">
      <w:pPr>
        <w:spacing w:line="240" w:lineRule="auto"/>
        <w:ind w:left="709" w:right="709"/>
        <w:jc w:val="both"/>
        <w:rPr>
          <w:rFonts w:ascii="Verdana" w:hAnsi="Verdana" w:eastAsia="Calibri" w:cs="Arial"/>
          <w:i/>
          <w:iCs/>
          <w:sz w:val="20"/>
          <w:szCs w:val="20"/>
          <w:shd w:val="clear" w:color="auto" w:fill="FFFFFF"/>
        </w:rPr>
      </w:pPr>
      <w:r w:rsidRPr="009322DA">
        <w:rPr>
          <w:rFonts w:ascii="Verdana" w:hAnsi="Verdana" w:eastAsia="Century Gothic" w:cs="Century Gothic"/>
          <w:sz w:val="20"/>
          <w:szCs w:val="20"/>
          <w:lang w:val="es-ES"/>
        </w:rPr>
        <w:t>“</w:t>
      </w:r>
      <w:r w:rsidRPr="004650F1">
        <w:rPr>
          <w:rFonts w:ascii="Verdana" w:hAnsi="Verdana" w:eastAsia="Century Gothic" w:cs="Century Gothic"/>
          <w:sz w:val="20"/>
          <w:szCs w:val="20"/>
        </w:rPr>
        <w:t xml:space="preserve">Solicito amablemente su concepto o aclaración sobre asunto relacionado con las garantías que aplican al contrato de Prestación de Servicios Profesionales con Ministerio público. La consulta es: ¿Las garantías del Contrato de Prestación de Servicios Profesionales las cuales se encuentran en plena vigencia, se consideran aprobadas al momento de la aprobación del contrato en </w:t>
      </w:r>
      <w:proofErr w:type="spellStart"/>
      <w:r w:rsidRPr="004650F1">
        <w:rPr>
          <w:rFonts w:ascii="Verdana" w:hAnsi="Verdana" w:eastAsia="Century Gothic" w:cs="Century Gothic"/>
          <w:sz w:val="20"/>
          <w:szCs w:val="20"/>
        </w:rPr>
        <w:t>Secop</w:t>
      </w:r>
      <w:proofErr w:type="spellEnd"/>
      <w:r w:rsidRPr="004650F1">
        <w:rPr>
          <w:rFonts w:ascii="Verdana" w:hAnsi="Verdana" w:eastAsia="Century Gothic" w:cs="Century Gothic"/>
          <w:sz w:val="20"/>
          <w:szCs w:val="20"/>
        </w:rPr>
        <w:t xml:space="preserve"> por parte de la entidad Estatal</w:t>
      </w:r>
      <w:r w:rsidRPr="00D6203F">
        <w:rPr>
          <w:rFonts w:ascii="Verdana" w:hAnsi="Verdana" w:eastAsia="Calibri" w:cs="Arial"/>
          <w:i/>
          <w:iCs/>
          <w:sz w:val="20"/>
          <w:szCs w:val="20"/>
          <w:shd w:val="clear" w:color="auto" w:fill="FFFFFF"/>
        </w:rPr>
        <w:t>?</w:t>
      </w:r>
      <w:r w:rsidRPr="009322DA">
        <w:rPr>
          <w:rFonts w:ascii="Verdana" w:hAnsi="Verdana" w:eastAsia="Century Gothic" w:cs="Century Gothic"/>
          <w:sz w:val="20"/>
          <w:szCs w:val="20"/>
          <w:lang w:val="es-ES"/>
        </w:rPr>
        <w:t>”</w:t>
      </w:r>
      <w:bookmarkEnd w:id="1"/>
      <w:r w:rsidRPr="009322DA">
        <w:rPr>
          <w:rFonts w:ascii="Verdana" w:hAnsi="Verdana" w:eastAsia="Century Gothic" w:cs="Century Gothic"/>
          <w:sz w:val="20"/>
          <w:szCs w:val="20"/>
          <w:lang w:val="es-ES"/>
        </w:rPr>
        <w:t>.</w:t>
      </w:r>
    </w:p>
    <w:p w:rsidRPr="00D6203F" w:rsidR="00FF1ECE" w:rsidP="00FF1ECE" w:rsidRDefault="00FF1ECE" w14:paraId="2C2990CF" w14:textId="77777777">
      <w:pPr>
        <w:spacing w:line="240" w:lineRule="auto"/>
        <w:ind w:left="709" w:right="709"/>
        <w:jc w:val="both"/>
        <w:rPr>
          <w:rFonts w:ascii="Verdana" w:hAnsi="Verdana" w:eastAsia="Calibri" w:cs="Arial"/>
          <w:i/>
          <w:iCs/>
          <w:sz w:val="20"/>
          <w:szCs w:val="20"/>
          <w:shd w:val="clear" w:color="auto" w:fill="FFFFFF"/>
        </w:rPr>
      </w:pPr>
    </w:p>
    <w:p w:rsidRPr="009322DA" w:rsidR="00FF1ECE" w:rsidP="00FF1ECE" w:rsidRDefault="00FF1ECE" w14:paraId="51A50EF8" w14:textId="77777777">
      <w:pPr>
        <w:spacing w:after="120" w:line="276" w:lineRule="auto"/>
        <w:ind w:firstLine="709"/>
        <w:jc w:val="both"/>
        <w:rPr>
          <w:rFonts w:ascii="Verdana" w:hAnsi="Verdana" w:eastAsia="Calibri" w:cs="Arial"/>
          <w:szCs w:val="24"/>
          <w:lang w:val="es-ES_tradnl" w:eastAsia="es-ES_tradnl"/>
        </w:rPr>
      </w:pPr>
      <w:r w:rsidRPr="009322DA">
        <w:rPr>
          <w:rFonts w:ascii="Verdana" w:hAnsi="Verdana" w:eastAsia="Calibri" w:cs="Arial"/>
          <w:lang w:val="es-ES" w:eastAsia="es-ES"/>
        </w:rPr>
        <w:lastRenderedPageBreak/>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hAnsi="Verdana" w:eastAsia="Calibri" w:cs="Arial"/>
          <w:szCs w:val="24"/>
          <w:lang w:val="es-ES_tradnl" w:eastAsia="es-ES_tradnl"/>
        </w:rPr>
        <w:tab/>
      </w:r>
    </w:p>
    <w:p w:rsidRPr="009322DA" w:rsidR="00FF1ECE" w:rsidP="00FF1ECE" w:rsidRDefault="00FF1ECE" w14:paraId="443C1BA8" w14:textId="77777777">
      <w:pPr>
        <w:spacing w:after="0" w:line="276" w:lineRule="auto"/>
        <w:ind w:firstLine="708"/>
        <w:jc w:val="both"/>
        <w:rPr>
          <w:rFonts w:ascii="Verdana" w:hAnsi="Verdana" w:eastAsia="Calibri" w:cs="Arial"/>
          <w:lang w:val="es-ES" w:eastAsia="es-ES"/>
        </w:rPr>
      </w:pPr>
      <w:r w:rsidRPr="009322DA">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9322DA" w:rsidR="00FF1ECE" w:rsidP="00FF1ECE" w:rsidRDefault="00FF1ECE" w14:paraId="50FDD485" w14:textId="77777777">
      <w:pPr>
        <w:spacing w:after="0" w:line="276" w:lineRule="auto"/>
        <w:ind w:firstLine="709"/>
        <w:jc w:val="both"/>
        <w:rPr>
          <w:rFonts w:ascii="Verdana" w:hAnsi="Verdana" w:eastAsia="Calibri" w:cs="Arial"/>
          <w:lang w:val="es-ES" w:eastAsia="es-ES"/>
        </w:rPr>
      </w:pPr>
    </w:p>
    <w:p w:rsidRPr="009322DA" w:rsidR="00FF1ECE" w:rsidP="00FF1ECE" w:rsidRDefault="00FF1ECE" w14:paraId="34CEE003" w14:textId="77777777">
      <w:pPr>
        <w:numPr>
          <w:ilvl w:val="0"/>
          <w:numId w:val="16"/>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9322DA">
        <w:rPr>
          <w:rFonts w:ascii="Verdana" w:hAnsi="Verdana" w:eastAsia="Century Gothic" w:cs="Century Gothic"/>
          <w:b/>
          <w:bCs/>
          <w:lang w:val="es-ES"/>
        </w:rPr>
        <w:t>Problema planteado:</w:t>
      </w:r>
    </w:p>
    <w:p w:rsidRPr="009322DA" w:rsidR="00FF1ECE" w:rsidP="00FF1ECE" w:rsidRDefault="00FF1ECE" w14:paraId="7F74A9EE" w14:textId="77777777">
      <w:pPr>
        <w:tabs>
          <w:tab w:val="left" w:pos="426"/>
        </w:tabs>
        <w:spacing w:after="0" w:line="276" w:lineRule="auto"/>
        <w:jc w:val="both"/>
        <w:rPr>
          <w:rFonts w:ascii="Verdana" w:hAnsi="Verdana" w:eastAsia="Century Gothic" w:cs="Century Gothic"/>
          <w:lang w:val="es-ES"/>
        </w:rPr>
      </w:pPr>
    </w:p>
    <w:p w:rsidR="00FF1ECE" w:rsidP="00FF1ECE" w:rsidRDefault="00FF1ECE" w14:paraId="39A7FD4E" w14:textId="77777777">
      <w:pPr>
        <w:spacing w:after="0" w:line="276" w:lineRule="auto"/>
        <w:jc w:val="both"/>
        <w:rPr>
          <w:rFonts w:ascii="Verdana" w:hAnsi="Verdana" w:eastAsia="Century Gothic" w:cs="Century Gothic"/>
        </w:rPr>
      </w:pPr>
      <w:r w:rsidRPr="009322DA">
        <w:rPr>
          <w:rFonts w:ascii="Verdana" w:hAnsi="Verdana" w:eastAsia="Century Gothic" w:cs="Century Gothic"/>
        </w:rPr>
        <w:t>De acuerdo con el contenido de su solicitud, esta Agencia resolverá los siguientes problemas jurídicos:</w:t>
      </w:r>
      <w:r>
        <w:rPr>
          <w:rFonts w:ascii="Verdana" w:hAnsi="Verdana" w:eastAsia="Century Gothic" w:cs="Century Gothic"/>
        </w:rPr>
        <w:t xml:space="preserve"> </w:t>
      </w:r>
    </w:p>
    <w:p w:rsidR="00FF1ECE" w:rsidP="00FF1ECE" w:rsidRDefault="00FF1ECE" w14:paraId="7CAD7E43" w14:textId="77777777">
      <w:pPr>
        <w:spacing w:after="0" w:line="276" w:lineRule="auto"/>
        <w:jc w:val="both"/>
        <w:rPr>
          <w:rFonts w:ascii="Verdana" w:hAnsi="Verdana" w:eastAsia="Century Gothic" w:cs="Century Gothic"/>
        </w:rPr>
      </w:pPr>
    </w:p>
    <w:p w:rsidRPr="009322DA" w:rsidR="00FF1ECE" w:rsidP="00FF1ECE" w:rsidRDefault="00FF1ECE" w14:paraId="26D1C3E2" w14:textId="77777777">
      <w:pPr>
        <w:spacing w:after="0" w:line="276" w:lineRule="auto"/>
        <w:jc w:val="both"/>
        <w:rPr>
          <w:rFonts w:ascii="Verdana" w:hAnsi="Verdana" w:eastAsia="Century Gothic" w:cs="Century Gothic"/>
        </w:rPr>
      </w:pPr>
      <w:r>
        <w:rPr>
          <w:rFonts w:ascii="Verdana" w:hAnsi="Verdana" w:eastAsia="Century Gothic" w:cs="Century Gothic"/>
        </w:rPr>
        <w:t>i) ¿En lo que concierne a los contratos de prestación de servicio, como se debe realizar el procedimiento de aprobación de garantías en la plataforma SECOP II?</w:t>
      </w:r>
    </w:p>
    <w:p w:rsidRPr="009322DA" w:rsidR="00FF1ECE" w:rsidP="00FF1ECE" w:rsidRDefault="00FF1ECE" w14:paraId="58546C2C" w14:textId="77777777">
      <w:pPr>
        <w:spacing w:after="0" w:line="276" w:lineRule="auto"/>
        <w:jc w:val="both"/>
        <w:rPr>
          <w:rFonts w:ascii="Verdana" w:hAnsi="Verdana" w:eastAsia="Calibri" w:cs="Arial"/>
          <w:lang w:val="es-ES"/>
        </w:rPr>
      </w:pPr>
    </w:p>
    <w:p w:rsidRPr="009322DA" w:rsidR="00FF1ECE" w:rsidP="00FF1ECE" w:rsidRDefault="00FF1ECE" w14:paraId="39C6C13B" w14:textId="77777777">
      <w:pPr>
        <w:numPr>
          <w:ilvl w:val="0"/>
          <w:numId w:val="16"/>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9322DA">
        <w:rPr>
          <w:rFonts w:ascii="Verdana" w:hAnsi="Verdana" w:eastAsia="Century Gothic" w:cs="Century Gothic"/>
          <w:b/>
          <w:bCs/>
          <w:lang w:val="es-ES"/>
        </w:rPr>
        <w:t>Respuesta:</w:t>
      </w:r>
    </w:p>
    <w:tbl>
      <w:tblPr>
        <w:tblStyle w:val="Tablaconcuadrcula1"/>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9322DA" w:rsidR="00FF1ECE" w:rsidTr="001449F3" w14:paraId="2A6670F9" w14:textId="77777777">
        <w:tc>
          <w:tcPr>
            <w:tcW w:w="8828" w:type="dxa"/>
            <w:tcBorders>
              <w:top w:val="dotted" w:color="auto" w:sz="4" w:space="0"/>
              <w:left w:val="dotted" w:color="auto" w:sz="4" w:space="0"/>
              <w:bottom w:val="dotted" w:color="auto" w:sz="4" w:space="0"/>
              <w:right w:val="dotted" w:color="auto" w:sz="4" w:space="0"/>
            </w:tcBorders>
          </w:tcPr>
          <w:p w:rsidR="00FF1ECE" w:rsidP="001449F3" w:rsidRDefault="00FF1ECE" w14:paraId="18EFC7D5" w14:textId="77777777">
            <w:pPr>
              <w:spacing w:after="120" w:line="276" w:lineRule="auto"/>
              <w:jc w:val="both"/>
              <w:rPr>
                <w:rFonts w:ascii="Verdana" w:hAnsi="Verdana" w:eastAsia="Calibri" w:cs="Arial"/>
              </w:rPr>
            </w:pPr>
            <w:r>
              <w:rPr>
                <w:rFonts w:ascii="Verdana" w:hAnsi="Verdana" w:eastAsia="Calibri" w:cs="Arial"/>
              </w:rPr>
              <w:t>Una vez revisado lo que establece por el capítulo cuatro de la “</w:t>
            </w:r>
            <w:r w:rsidRPr="00047745">
              <w:rPr>
                <w:rFonts w:ascii="Verdana" w:hAnsi="Verdana" w:eastAsia="Calibri" w:cs="Arial"/>
              </w:rPr>
              <w:t>GUÍA SECOP II – GESTIÓN CONTRACTUAL PARA ENTIDADES ESTATALES</w:t>
            </w:r>
            <w:r>
              <w:rPr>
                <w:rFonts w:ascii="Verdana" w:hAnsi="Verdana" w:eastAsia="Calibri" w:cs="Arial"/>
              </w:rPr>
              <w:t>” emitida por esta entidad, podemos aducir entonces que d</w:t>
            </w:r>
            <w:r w:rsidRPr="00047745">
              <w:rPr>
                <w:rFonts w:ascii="Verdana" w:hAnsi="Verdana" w:eastAsia="Calibri" w:cs="Arial"/>
              </w:rPr>
              <w:t>espués de aprobar y publicar el contrato, el proveedor debe solicitar las garantías enviando el enlace del expediente del proceso de contratación a la entidad responsable. Luego, debe enviar las garantías a la entidad estatal a través del SECOP II. La entidad puede aprobar o rechazar las garantías. Para gestionar esto, el usuario debe ir a la sección de “Condiciones” y luego a “Configuración financiera – Garantías” en el gestor de contratos.</w:t>
            </w:r>
          </w:p>
          <w:p w:rsidR="00FF1ECE" w:rsidP="001449F3" w:rsidRDefault="00FF1ECE" w14:paraId="41D1F039" w14:textId="77777777">
            <w:pPr>
              <w:spacing w:after="120" w:line="276" w:lineRule="auto"/>
              <w:jc w:val="both"/>
              <w:rPr>
                <w:rFonts w:ascii="Verdana" w:hAnsi="Verdana" w:eastAsia="Calibri" w:cs="Arial"/>
              </w:rPr>
            </w:pPr>
            <w:r w:rsidRPr="00047745">
              <w:rPr>
                <w:rFonts w:ascii="Verdana" w:hAnsi="Verdana" w:eastAsia="Calibri" w:cs="Arial"/>
              </w:rPr>
              <w:lastRenderedPageBreak/>
              <w:t xml:space="preserve">Si el Proveedor realizo el envío de las garantías el SECOP II, le mostrará un detalle inicial de la garantía enviada así: </w:t>
            </w:r>
          </w:p>
          <w:p w:rsidR="00FF1ECE" w:rsidP="00FF1ECE" w:rsidRDefault="00FF1ECE" w14:paraId="2DF99D3D" w14:textId="77777777">
            <w:pPr>
              <w:pStyle w:val="Prrafodelista"/>
              <w:numPr>
                <w:ilvl w:val="0"/>
                <w:numId w:val="17"/>
              </w:numPr>
              <w:spacing w:after="120" w:line="276" w:lineRule="auto"/>
              <w:jc w:val="both"/>
              <w:rPr>
                <w:rFonts w:ascii="Verdana" w:hAnsi="Verdana" w:eastAsia="Calibri" w:cs="Arial"/>
              </w:rPr>
            </w:pPr>
            <w:r w:rsidRPr="009B684C">
              <w:rPr>
                <w:rFonts w:ascii="Verdana" w:hAnsi="Verdana" w:eastAsia="Calibri" w:cs="Arial"/>
              </w:rPr>
              <w:t>ID t</w:t>
            </w:r>
            <w:r w:rsidRPr="009B684C">
              <w:rPr>
                <w:rFonts w:ascii="Verdana" w:hAnsi="Verdana" w:eastAsia="Calibri" w:cs="Verdana"/>
              </w:rPr>
              <w:t>é</w:t>
            </w:r>
            <w:r w:rsidRPr="009B684C">
              <w:rPr>
                <w:rFonts w:ascii="Verdana" w:hAnsi="Verdana" w:eastAsia="Calibri" w:cs="Arial"/>
              </w:rPr>
              <w:t>cnico de la garant</w:t>
            </w:r>
            <w:r w:rsidRPr="009B684C">
              <w:rPr>
                <w:rFonts w:ascii="Verdana" w:hAnsi="Verdana" w:eastAsia="Calibri" w:cs="Verdana"/>
              </w:rPr>
              <w:t>í</w:t>
            </w:r>
            <w:r w:rsidRPr="009B684C">
              <w:rPr>
                <w:rFonts w:ascii="Verdana" w:hAnsi="Verdana" w:eastAsia="Calibri" w:cs="Arial"/>
              </w:rPr>
              <w:t xml:space="preserve">a </w:t>
            </w:r>
          </w:p>
          <w:p w:rsidR="00FF1ECE" w:rsidP="00FF1ECE" w:rsidRDefault="00FF1ECE" w14:paraId="5C120187" w14:textId="77777777">
            <w:pPr>
              <w:pStyle w:val="Prrafodelista"/>
              <w:numPr>
                <w:ilvl w:val="0"/>
                <w:numId w:val="17"/>
              </w:numPr>
              <w:spacing w:after="120" w:line="276" w:lineRule="auto"/>
              <w:jc w:val="both"/>
              <w:rPr>
                <w:rFonts w:ascii="Verdana" w:hAnsi="Verdana" w:eastAsia="Calibri" w:cs="Arial"/>
              </w:rPr>
            </w:pPr>
            <w:r w:rsidRPr="009B684C">
              <w:rPr>
                <w:rFonts w:ascii="Verdana" w:hAnsi="Verdana" w:eastAsia="Calibri" w:cs="Arial"/>
              </w:rPr>
              <w:t>Justificaci</w:t>
            </w:r>
            <w:r w:rsidRPr="009B684C">
              <w:rPr>
                <w:rFonts w:ascii="Verdana" w:hAnsi="Verdana" w:eastAsia="Calibri" w:cs="Verdana"/>
              </w:rPr>
              <w:t>ó</w:t>
            </w:r>
            <w:r w:rsidRPr="009B684C">
              <w:rPr>
                <w:rFonts w:ascii="Verdana" w:hAnsi="Verdana" w:eastAsia="Calibri" w:cs="Arial"/>
              </w:rPr>
              <w:t xml:space="preserve">n o amparo </w:t>
            </w:r>
          </w:p>
          <w:p w:rsidR="00FF1ECE" w:rsidP="00FF1ECE" w:rsidRDefault="00FF1ECE" w14:paraId="39D1861D" w14:textId="77777777">
            <w:pPr>
              <w:pStyle w:val="Prrafodelista"/>
              <w:numPr>
                <w:ilvl w:val="0"/>
                <w:numId w:val="17"/>
              </w:numPr>
              <w:spacing w:after="120" w:line="276" w:lineRule="auto"/>
              <w:jc w:val="both"/>
              <w:rPr>
                <w:rFonts w:ascii="Verdana" w:hAnsi="Verdana" w:eastAsia="Calibri" w:cs="Arial"/>
              </w:rPr>
            </w:pPr>
            <w:r w:rsidRPr="009B684C">
              <w:rPr>
                <w:rFonts w:ascii="Verdana" w:hAnsi="Verdana" w:eastAsia="Calibri" w:cs="Arial"/>
              </w:rPr>
              <w:t>Tipo de garant</w:t>
            </w:r>
            <w:r w:rsidRPr="009B684C">
              <w:rPr>
                <w:rFonts w:ascii="Verdana" w:hAnsi="Verdana" w:eastAsia="Calibri" w:cs="Verdana"/>
              </w:rPr>
              <w:t>í</w:t>
            </w:r>
            <w:r w:rsidRPr="009B684C">
              <w:rPr>
                <w:rFonts w:ascii="Verdana" w:hAnsi="Verdana" w:eastAsia="Calibri" w:cs="Arial"/>
              </w:rPr>
              <w:t>a</w:t>
            </w:r>
          </w:p>
          <w:p w:rsidR="00FF1ECE" w:rsidP="00FF1ECE" w:rsidRDefault="00FF1ECE" w14:paraId="3612D9DB" w14:textId="77777777">
            <w:pPr>
              <w:pStyle w:val="Prrafodelista"/>
              <w:numPr>
                <w:ilvl w:val="0"/>
                <w:numId w:val="17"/>
              </w:numPr>
              <w:spacing w:after="120" w:line="276" w:lineRule="auto"/>
              <w:jc w:val="both"/>
              <w:rPr>
                <w:rFonts w:ascii="Verdana" w:hAnsi="Verdana" w:eastAsia="Calibri" w:cs="Arial"/>
              </w:rPr>
            </w:pPr>
            <w:r w:rsidRPr="009B684C">
              <w:rPr>
                <w:rFonts w:ascii="Verdana" w:hAnsi="Verdana" w:eastAsia="Calibri" w:cs="Arial"/>
              </w:rPr>
              <w:t xml:space="preserve">Valor </w:t>
            </w:r>
          </w:p>
          <w:p w:rsidR="00FF1ECE" w:rsidP="00FF1ECE" w:rsidRDefault="00FF1ECE" w14:paraId="0C3C7FCD" w14:textId="77777777">
            <w:pPr>
              <w:pStyle w:val="Prrafodelista"/>
              <w:numPr>
                <w:ilvl w:val="0"/>
                <w:numId w:val="17"/>
              </w:numPr>
              <w:spacing w:after="120" w:line="276" w:lineRule="auto"/>
              <w:jc w:val="both"/>
              <w:rPr>
                <w:rFonts w:ascii="Verdana" w:hAnsi="Verdana" w:eastAsia="Calibri" w:cs="Arial"/>
              </w:rPr>
            </w:pPr>
            <w:r w:rsidRPr="009B684C">
              <w:rPr>
                <w:rFonts w:ascii="Verdana" w:hAnsi="Verdana" w:eastAsia="Calibri" w:cs="Arial"/>
              </w:rPr>
              <w:t>Entidad emisora</w:t>
            </w:r>
          </w:p>
          <w:p w:rsidR="00FF1ECE" w:rsidP="00FF1ECE" w:rsidRDefault="00FF1ECE" w14:paraId="07FF9BC4" w14:textId="77777777">
            <w:pPr>
              <w:pStyle w:val="Prrafodelista"/>
              <w:numPr>
                <w:ilvl w:val="0"/>
                <w:numId w:val="17"/>
              </w:numPr>
              <w:spacing w:after="120" w:line="276" w:lineRule="auto"/>
              <w:jc w:val="both"/>
              <w:rPr>
                <w:rFonts w:ascii="Verdana" w:hAnsi="Verdana" w:eastAsia="Calibri" w:cs="Arial"/>
              </w:rPr>
            </w:pPr>
            <w:r w:rsidRPr="009B684C">
              <w:rPr>
                <w:rFonts w:ascii="Verdana" w:hAnsi="Verdana" w:eastAsia="Calibri" w:cs="Arial"/>
              </w:rPr>
              <w:t>Fecha de vigencia</w:t>
            </w:r>
          </w:p>
          <w:p w:rsidR="00FF1ECE" w:rsidP="00FF1ECE" w:rsidRDefault="00FF1ECE" w14:paraId="74075BD5" w14:textId="77777777">
            <w:pPr>
              <w:pStyle w:val="Prrafodelista"/>
              <w:numPr>
                <w:ilvl w:val="0"/>
                <w:numId w:val="17"/>
              </w:numPr>
              <w:spacing w:after="120" w:line="276" w:lineRule="auto"/>
              <w:jc w:val="both"/>
              <w:rPr>
                <w:rFonts w:ascii="Verdana" w:hAnsi="Verdana" w:eastAsia="Calibri" w:cs="Arial"/>
              </w:rPr>
            </w:pPr>
            <w:r w:rsidRPr="009B684C">
              <w:rPr>
                <w:rFonts w:ascii="Verdana" w:hAnsi="Verdana" w:eastAsia="Calibri" w:cs="Arial"/>
              </w:rPr>
              <w:t>Estado (Pendiente, Aprobada, Rechazada o vencida).</w:t>
            </w:r>
          </w:p>
          <w:p w:rsidR="00FF1ECE" w:rsidP="001449F3" w:rsidRDefault="00FF1ECE" w14:paraId="595AEBF8" w14:textId="77777777">
            <w:pPr>
              <w:spacing w:after="120" w:line="276" w:lineRule="auto"/>
              <w:jc w:val="both"/>
              <w:rPr>
                <w:rFonts w:ascii="Verdana" w:hAnsi="Verdana" w:eastAsia="Calibri" w:cs="Arial"/>
              </w:rPr>
            </w:pPr>
            <w:r>
              <w:rPr>
                <w:rFonts w:ascii="Verdana" w:hAnsi="Verdana" w:eastAsia="Calibri" w:cs="Arial"/>
              </w:rPr>
              <w:t xml:space="preserve">Luego de esto el </w:t>
            </w:r>
            <w:r w:rsidRPr="009B684C">
              <w:rPr>
                <w:rFonts w:ascii="Verdana" w:hAnsi="Verdana" w:eastAsia="Calibri" w:cs="Arial"/>
              </w:rPr>
              <w:t>SECOP II mostrará una ventana emergente con los datos de la garantía y el documento anexo. La información proporcionada por el proveedor debe coincidir con la del documento. Para aprobar o rechazar la garantía, haz clic en “Enviar para aprobación” si se configuraron Flujos de Aprobación; de lo contrario, haz clic en “Confirmar”.</w:t>
            </w:r>
          </w:p>
          <w:p w:rsidR="00FF1ECE" w:rsidP="001449F3" w:rsidRDefault="00FF1ECE" w14:paraId="101B7106" w14:textId="77777777">
            <w:pPr>
              <w:spacing w:after="120" w:line="276" w:lineRule="auto"/>
              <w:jc w:val="both"/>
              <w:rPr>
                <w:rFonts w:ascii="Verdana" w:hAnsi="Verdana" w:eastAsia="Calibri" w:cs="Arial"/>
              </w:rPr>
            </w:pPr>
            <w:r>
              <w:rPr>
                <w:rFonts w:ascii="Verdana" w:hAnsi="Verdana" w:eastAsia="Calibri" w:cs="Arial"/>
              </w:rPr>
              <w:t xml:space="preserve">En el caso de haber </w:t>
            </w:r>
            <w:r w:rsidRPr="009B684C">
              <w:rPr>
                <w:rFonts w:ascii="Verdana" w:hAnsi="Verdana" w:eastAsia="Calibri" w:cs="Arial"/>
              </w:rPr>
              <w:t>configura</w:t>
            </w:r>
            <w:r>
              <w:rPr>
                <w:rFonts w:ascii="Verdana" w:hAnsi="Verdana" w:eastAsia="Calibri" w:cs="Arial"/>
              </w:rPr>
              <w:t>do</w:t>
            </w:r>
            <w:r w:rsidRPr="009B684C">
              <w:rPr>
                <w:rFonts w:ascii="Verdana" w:hAnsi="Verdana" w:eastAsia="Calibri" w:cs="Arial"/>
              </w:rPr>
              <w:t xml:space="preserve"> Flujos de Aprobación, el Usuario Administrador debe confirmar los usuarios que realizarán la aprobación y esperar a que lo hagan. Si se necesita rechazar la garantía, se puede incluir una justificación en la opción de “Comentarios”. De lo contrario, el SECOP II habilitará automáticamente las opciones de “Aprobar” o “Rechazar”.</w:t>
            </w:r>
          </w:p>
          <w:p w:rsidRPr="009B684C" w:rsidR="00FF1ECE" w:rsidP="001449F3" w:rsidRDefault="00FF1ECE" w14:paraId="07CBA430" w14:textId="77777777">
            <w:pPr>
              <w:spacing w:after="120" w:line="276" w:lineRule="auto"/>
              <w:jc w:val="both"/>
              <w:rPr>
                <w:rFonts w:ascii="Verdana" w:hAnsi="Verdana" w:eastAsia="Calibri" w:cs="Arial"/>
              </w:rPr>
            </w:pPr>
            <w:r>
              <w:rPr>
                <w:rFonts w:ascii="Verdana" w:hAnsi="Verdana" w:eastAsia="Calibri" w:cs="Arial"/>
              </w:rPr>
              <w:t>Por último</w:t>
            </w:r>
            <w:r w:rsidRPr="006D50BC">
              <w:rPr>
                <w:rFonts w:ascii="Verdana" w:hAnsi="Verdana" w:eastAsia="Calibri" w:cs="Arial"/>
              </w:rPr>
              <w:t xml:space="preserve">, </w:t>
            </w:r>
            <w:r>
              <w:rPr>
                <w:rFonts w:ascii="Verdana" w:hAnsi="Verdana" w:eastAsia="Calibri" w:cs="Arial"/>
              </w:rPr>
              <w:t xml:space="preserve">se debe verificar </w:t>
            </w:r>
            <w:r w:rsidRPr="006D50BC">
              <w:rPr>
                <w:rFonts w:ascii="Verdana" w:hAnsi="Verdana" w:eastAsia="Calibri" w:cs="Arial"/>
              </w:rPr>
              <w:t xml:space="preserve">el estado de la garantía. </w:t>
            </w:r>
            <w:r>
              <w:rPr>
                <w:rFonts w:ascii="Verdana" w:hAnsi="Verdana" w:eastAsia="Calibri" w:cs="Arial"/>
              </w:rPr>
              <w:t>Hay que repetir</w:t>
            </w:r>
            <w:r w:rsidRPr="006D50BC">
              <w:rPr>
                <w:rFonts w:ascii="Verdana" w:hAnsi="Verdana" w:eastAsia="Calibri" w:cs="Arial"/>
              </w:rPr>
              <w:t xml:space="preserve"> este procedimiento si el proveedor ha relacionado garantías de forma independiente, como garantías de cumplimiento y de Responsabilidad Civil Extracontractual. La garantía será pública para consulta solo después de su aprobación</w:t>
            </w:r>
          </w:p>
        </w:tc>
      </w:tr>
    </w:tbl>
    <w:p w:rsidRPr="009322DA" w:rsidR="00FF1ECE" w:rsidP="00FF1ECE" w:rsidRDefault="00FF1ECE" w14:paraId="3708C864" w14:textId="77777777">
      <w:pPr>
        <w:tabs>
          <w:tab w:val="left" w:pos="142"/>
          <w:tab w:val="left" w:pos="284"/>
        </w:tabs>
        <w:spacing w:after="0" w:line="276" w:lineRule="auto"/>
        <w:jc w:val="both"/>
        <w:rPr>
          <w:rFonts w:ascii="Verdana" w:hAnsi="Verdana" w:eastAsia="Century Gothic" w:cs="Century Gothic"/>
          <w:b/>
          <w:bCs/>
          <w:lang w:val="es-ES"/>
        </w:rPr>
      </w:pPr>
    </w:p>
    <w:p w:rsidRPr="009322DA" w:rsidR="00FF1ECE" w:rsidP="00FF1ECE" w:rsidRDefault="00FF1ECE" w14:paraId="66FC6630" w14:textId="77777777">
      <w:pPr>
        <w:tabs>
          <w:tab w:val="left" w:pos="142"/>
          <w:tab w:val="left" w:pos="284"/>
        </w:tabs>
        <w:spacing w:after="0" w:line="276" w:lineRule="auto"/>
        <w:jc w:val="both"/>
        <w:rPr>
          <w:rFonts w:ascii="Verdana" w:hAnsi="Verdana" w:eastAsia="Century Gothic" w:cs="Century Gothic"/>
          <w:b/>
          <w:bCs/>
          <w:lang w:val="es-ES"/>
        </w:rPr>
      </w:pPr>
    </w:p>
    <w:p w:rsidRPr="009322DA" w:rsidR="00FF1ECE" w:rsidP="00FF1ECE" w:rsidRDefault="00FF1ECE" w14:paraId="7BE932AD" w14:textId="77777777">
      <w:pPr>
        <w:numPr>
          <w:ilvl w:val="0"/>
          <w:numId w:val="16"/>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9322DA">
        <w:rPr>
          <w:rFonts w:ascii="Verdana" w:hAnsi="Verdana" w:eastAsia="Century Gothic" w:cs="Century Gothic"/>
          <w:b/>
          <w:bCs/>
          <w:lang w:val="es-ES"/>
        </w:rPr>
        <w:t>Razones de la respuesta:</w:t>
      </w:r>
    </w:p>
    <w:p w:rsidRPr="009322DA" w:rsidR="00FF1ECE" w:rsidP="00FF1ECE" w:rsidRDefault="00FF1ECE" w14:paraId="3C49FEA0" w14:textId="77777777">
      <w:pPr>
        <w:spacing w:after="0" w:line="276" w:lineRule="auto"/>
        <w:jc w:val="both"/>
        <w:rPr>
          <w:rFonts w:ascii="Verdana" w:hAnsi="Verdana" w:eastAsia="Calibri" w:cs="Arial"/>
          <w:lang w:val="es-ES"/>
        </w:rPr>
      </w:pPr>
    </w:p>
    <w:p w:rsidR="00FF1ECE" w:rsidP="00FF1ECE" w:rsidRDefault="00FF1ECE" w14:paraId="7DBA09A0" w14:textId="77777777">
      <w:pPr>
        <w:spacing w:after="0" w:line="276" w:lineRule="auto"/>
        <w:jc w:val="both"/>
        <w:rPr>
          <w:rFonts w:ascii="Verdana" w:hAnsi="Verdana" w:eastAsia="Calibri" w:cs="Arial"/>
          <w:lang w:val="es-ES"/>
        </w:rPr>
      </w:pPr>
      <w:r w:rsidRPr="009322DA">
        <w:rPr>
          <w:rFonts w:ascii="Verdana" w:hAnsi="Verdana" w:eastAsia="Calibri" w:cs="Arial"/>
          <w:lang w:val="es-ES"/>
        </w:rPr>
        <w:t xml:space="preserve">Lo anterior se sustenta en las siguientes consideraciones: </w:t>
      </w:r>
    </w:p>
    <w:p w:rsidR="00FF1ECE" w:rsidP="00FF1ECE" w:rsidRDefault="00FF1ECE" w14:paraId="65104698" w14:textId="77777777">
      <w:pPr>
        <w:spacing w:after="0" w:line="276" w:lineRule="auto"/>
        <w:jc w:val="both"/>
        <w:rPr>
          <w:rFonts w:ascii="Verdana" w:hAnsi="Verdana" w:eastAsia="Calibri" w:cs="Arial"/>
          <w:lang w:val="es-ES"/>
        </w:rPr>
      </w:pPr>
    </w:p>
    <w:p w:rsidRPr="00047745" w:rsidR="00FF1ECE" w:rsidP="00FF1ECE" w:rsidRDefault="00FF1ECE" w14:paraId="3C711EA5" w14:textId="77777777">
      <w:pPr>
        <w:spacing w:after="0" w:line="276" w:lineRule="auto"/>
        <w:ind w:firstLine="708"/>
        <w:jc w:val="both"/>
        <w:rPr>
          <w:rFonts w:ascii="Verdana" w:hAnsi="Verdana" w:eastAsia="Calibri" w:cs="Arial"/>
          <w:color w:val="000000" w:themeColor="text1"/>
          <w:lang w:val="es-ES_tradnl"/>
        </w:rPr>
      </w:pPr>
      <w:r w:rsidRPr="00047745">
        <w:rPr>
          <w:rFonts w:ascii="Verdana" w:hAnsi="Verdana" w:eastAsia="Calibri" w:cs="Arial"/>
          <w:color w:val="000000"/>
          <w:lang w:val="es-ES_tradnl"/>
        </w:rPr>
        <w:t>De acuerdo con el Estatuto General de Contratación de la Administración Pública, p</w:t>
      </w:r>
      <w:r w:rsidRPr="00047745">
        <w:rPr>
          <w:rFonts w:ascii="Verdana" w:hAnsi="Verdana" w:eastAsia="Calibri" w:cs="Arial"/>
          <w:color w:val="000000" w:themeColor="text1"/>
          <w:lang w:val="es-ES_tradnl"/>
        </w:rPr>
        <w:t xml:space="preserve">or regla general, </w:t>
      </w:r>
      <w:r w:rsidRPr="00047745">
        <w:rPr>
          <w:rFonts w:ascii="Verdana" w:hAnsi="Verdana" w:eastAsia="Calibri" w:cs="Arial"/>
          <w:color w:val="000000" w:themeColor="text1"/>
          <w:lang w:val="es-ES"/>
        </w:rPr>
        <w:t>para seleccionar los contratistas y para ejecutar los contratos se requiere la constitución de garantías</w:t>
      </w:r>
      <w:r w:rsidRPr="00047745">
        <w:rPr>
          <w:rFonts w:ascii="Verdana" w:hAnsi="Verdana" w:eastAsia="Calibri" w:cs="Arial"/>
          <w:color w:val="000000" w:themeColor="text1"/>
          <w:lang w:val="es-ES_tradnl"/>
        </w:rPr>
        <w:t xml:space="preserve">. Por ello, el artículo 7 de la Ley 1150 de 2007 dispone que los contratistas tienen la obligación de constituir garantías para el cumplimiento de las obligaciones surgidas del contrato, y los proponentes por el ofrecimiento realizado, pudiendo consistir en pólizas </w:t>
      </w:r>
      <w:r w:rsidRPr="00047745">
        <w:rPr>
          <w:rFonts w:ascii="Verdana" w:hAnsi="Verdana" w:eastAsia="Calibri" w:cs="Arial"/>
          <w:color w:val="000000" w:themeColor="text1"/>
          <w:lang w:val="es-ES_tradnl"/>
        </w:rPr>
        <w:lastRenderedPageBreak/>
        <w:t>expedidas por compañías aseguradoras, garantías bancarias u otros mecanismos permitidos por la ley y el reglamento. Esta norma dispone lo siguiente:</w:t>
      </w:r>
    </w:p>
    <w:p w:rsidRPr="00C31767" w:rsidR="00FF1ECE" w:rsidP="00FF1ECE" w:rsidRDefault="00FF1ECE" w14:paraId="5AB16938" w14:textId="77777777">
      <w:pPr>
        <w:spacing w:after="0" w:line="276" w:lineRule="auto"/>
        <w:ind w:firstLine="708"/>
        <w:jc w:val="both"/>
        <w:rPr>
          <w:rFonts w:ascii="Verdana" w:hAnsi="Verdana" w:cs="Arial"/>
          <w:color w:val="000000" w:themeColor="text1"/>
          <w:lang w:eastAsia="es-CO"/>
        </w:rPr>
      </w:pPr>
    </w:p>
    <w:p w:rsidRPr="00C31767" w:rsidR="00FF1ECE" w:rsidP="00FF1ECE" w:rsidRDefault="00FF1ECE" w14:paraId="631E7BE8" w14:textId="77777777">
      <w:pPr>
        <w:spacing w:after="12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“Artículo 7. Los contratistas prestarán garantía única para el cumplimiento de las obligaciones surgidas del contrato. Los proponentes prestarán garantía de seriedad de los ofrecimientos hechos. </w:t>
      </w:r>
    </w:p>
    <w:p w:rsidRPr="00C31767" w:rsidR="00FF1ECE" w:rsidP="00FF1ECE" w:rsidRDefault="00FF1ECE" w14:paraId="23846912" w14:textId="77777777">
      <w:pPr>
        <w:spacing w:after="12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rsidRPr="00C31767" w:rsidR="00FF1ECE" w:rsidP="00FF1ECE" w:rsidRDefault="00FF1ECE" w14:paraId="29BF9FB2" w14:textId="77777777">
      <w:pPr>
        <w:spacing w:after="12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 xml:space="preserve">El Gobierno Nacional señalará los criterios que seguirán las entidades para la exigencia de garantías, las clases y niveles de amparo de los riesgos de los contratos, así como los casos en </w:t>
      </w:r>
      <w:proofErr w:type="gramStart"/>
      <w:r w:rsidRPr="00C31767">
        <w:rPr>
          <w:rFonts w:ascii="Verdana" w:hAnsi="Verdana" w:cs="Arial"/>
          <w:color w:val="000000" w:themeColor="text1"/>
          <w:sz w:val="21"/>
          <w:szCs w:val="21"/>
          <w:lang w:eastAsia="es-CO"/>
        </w:rPr>
        <w:t>que</w:t>
      </w:r>
      <w:proofErr w:type="gramEnd"/>
      <w:r w:rsidRPr="00C31767">
        <w:rPr>
          <w:rFonts w:ascii="Verdana" w:hAnsi="Verdana" w:cs="Arial"/>
          <w:color w:val="000000" w:themeColor="text1"/>
          <w:sz w:val="21"/>
          <w:szCs w:val="21"/>
          <w:lang w:eastAsia="es-CO"/>
        </w:rPr>
        <w:t xml:space="preserve"> por las características y complejidad del contrato a celebrar, la garantía pueda ser dividida teniendo en cuenta las etapas o riesgos relativos a la ejecución del respectivo contrato. </w:t>
      </w:r>
    </w:p>
    <w:p w:rsidRPr="00C31767" w:rsidR="00FF1ECE" w:rsidP="00FF1ECE" w:rsidRDefault="00FF1ECE" w14:paraId="375E466F" w14:textId="77777777">
      <w:pPr>
        <w:spacing w:after="12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El acaecimiento del siniestro que amparan las garantías será comunicado por la entidad pública al respectivo asegurador mediante la notificación del acto administrativo que así lo declare. </w:t>
      </w:r>
    </w:p>
    <w:p w:rsidRPr="00C31767" w:rsidR="00FF1ECE" w:rsidP="00FF1ECE" w:rsidRDefault="00FF1ECE" w14:paraId="36C0D0D7" w14:textId="77777777">
      <w:pPr>
        <w:spacing w:after="0" w:line="240" w:lineRule="auto"/>
        <w:ind w:left="709" w:right="709"/>
        <w:jc w:val="both"/>
        <w:rPr>
          <w:rFonts w:ascii="Verdana" w:hAnsi="Verdana" w:cs="Arial"/>
          <w:color w:val="000000" w:themeColor="text1"/>
          <w:sz w:val="21"/>
          <w:szCs w:val="21"/>
          <w:lang w:eastAsia="es-CO"/>
        </w:rPr>
      </w:pPr>
      <w:r w:rsidRPr="00C31767">
        <w:rPr>
          <w:rFonts w:ascii="Verdana" w:hAnsi="Verdana" w:cs="Arial"/>
          <w:color w:val="000000" w:themeColor="text1"/>
          <w:sz w:val="21"/>
          <w:szCs w:val="21"/>
          <w:lang w:eastAsia="es-CO"/>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Pr="00C31767" w:rsidR="00FF1ECE" w:rsidP="00FF1ECE" w:rsidRDefault="00FF1ECE" w14:paraId="1E188AA5" w14:textId="77777777">
      <w:pPr>
        <w:spacing w:after="0" w:line="276" w:lineRule="auto"/>
        <w:ind w:left="709" w:right="709"/>
        <w:jc w:val="both"/>
        <w:rPr>
          <w:rFonts w:ascii="Verdana" w:hAnsi="Verdana" w:cs="Arial"/>
          <w:color w:val="000000" w:themeColor="text1"/>
          <w:lang w:eastAsia="es-CO"/>
        </w:rPr>
      </w:pPr>
    </w:p>
    <w:p w:rsidRPr="00C31767" w:rsidR="00FF1ECE" w:rsidP="00FF1ECE" w:rsidRDefault="00FF1ECE" w14:paraId="2E8B9ACF" w14:textId="77777777">
      <w:pPr>
        <w:spacing w:line="276" w:lineRule="auto"/>
        <w:ind w:firstLine="708"/>
        <w:jc w:val="both"/>
        <w:rPr>
          <w:rFonts w:ascii="Verdana" w:hAnsi="Verdana" w:cs="Arial"/>
          <w:color w:val="000000" w:themeColor="text1"/>
          <w:lang w:val="es-MX"/>
        </w:rPr>
      </w:pPr>
      <w:r w:rsidRPr="00C31767">
        <w:rPr>
          <w:rFonts w:ascii="Verdana" w:hAnsi="Verdana" w:cs="Arial"/>
          <w:color w:val="000000" w:themeColor="text1"/>
          <w:lang w:val="es-MX"/>
        </w:rPr>
        <w:t xml:space="preserve">Las condiciones en las que debe cumplirse esta obligación fueron reglamentadas por el Decreto 1082 de 2015, el cual entre sus artículos 2.2.1.2.3.1.1. y 2.2.1.2.3.1.19 se refiere a asuntos como las clases de garantías permitidas, su indivisibilidad, los diferentes riesgos que deben ser objeto de garantía, la vigencia y valores mínimos que deben cubrir los amparos, entre otros aspectos que debe cumplir las garantías constituidas por los contratistas ya sea a través de pólizas de seguro, garantías bancarías o patrimonios autónomos. </w:t>
      </w:r>
    </w:p>
    <w:p w:rsidRPr="00C31767" w:rsidR="00FF1ECE" w:rsidP="00FF1ECE" w:rsidRDefault="00FF1ECE" w14:paraId="3CBEB9E3" w14:textId="77777777">
      <w:pPr>
        <w:spacing w:before="120" w:line="276" w:lineRule="auto"/>
        <w:ind w:firstLine="708"/>
        <w:jc w:val="both"/>
        <w:rPr>
          <w:rFonts w:ascii="Verdana" w:hAnsi="Verdana" w:cs="Arial"/>
          <w:color w:val="000000" w:themeColor="text1"/>
          <w:lang w:eastAsia="es-CO"/>
        </w:rPr>
      </w:pPr>
      <w:r w:rsidRPr="00C31767">
        <w:rPr>
          <w:rFonts w:ascii="Verdana" w:hAnsi="Verdana" w:cs="Arial"/>
          <w:color w:val="000000" w:themeColor="text1"/>
          <w:lang w:val="es-MX"/>
        </w:rPr>
        <w:lastRenderedPageBreak/>
        <w:t xml:space="preserve">El artículo 2.2.1.2.3.1.3, por ejemplo, establece que la “garantía de cobertura del Riesgo es indivisible”, además de la obligación de los contratantes de establecer en los pliegos de condiciones las garantías exigidas para cada periodo contractual. Seguidamente el artículo 2.2.1.3.1.7 prescribe que la garantía de cumplimiento debe cubrir: i) el buen manejo y correcta inversión del anticipo; </w:t>
      </w:r>
      <w:proofErr w:type="spellStart"/>
      <w:r w:rsidRPr="00C31767">
        <w:rPr>
          <w:rFonts w:ascii="Verdana" w:hAnsi="Verdana" w:cs="Arial"/>
          <w:color w:val="000000" w:themeColor="text1"/>
          <w:lang w:val="es-MX"/>
        </w:rPr>
        <w:t>ii</w:t>
      </w:r>
      <w:proofErr w:type="spellEnd"/>
      <w:r w:rsidRPr="00C31767">
        <w:rPr>
          <w:rFonts w:ascii="Verdana" w:hAnsi="Verdana" w:cs="Arial"/>
          <w:color w:val="000000" w:themeColor="text1"/>
          <w:lang w:val="es-MX"/>
        </w:rPr>
        <w:t xml:space="preserve">) la devolución del pago anticipado; </w:t>
      </w:r>
      <w:proofErr w:type="spellStart"/>
      <w:r w:rsidRPr="00C31767">
        <w:rPr>
          <w:rFonts w:ascii="Verdana" w:hAnsi="Verdana" w:cs="Arial"/>
          <w:color w:val="000000" w:themeColor="text1"/>
          <w:lang w:val="es-MX"/>
        </w:rPr>
        <w:t>iii</w:t>
      </w:r>
      <w:proofErr w:type="spellEnd"/>
      <w:r w:rsidRPr="00C31767">
        <w:rPr>
          <w:rFonts w:ascii="Verdana" w:hAnsi="Verdana" w:cs="Arial"/>
          <w:color w:val="000000" w:themeColor="text1"/>
          <w:lang w:val="es-MX"/>
        </w:rPr>
        <w:t xml:space="preserve">) cumplimiento del contrato; </w:t>
      </w:r>
      <w:proofErr w:type="spellStart"/>
      <w:r w:rsidRPr="00C31767">
        <w:rPr>
          <w:rFonts w:ascii="Verdana" w:hAnsi="Verdana" w:cs="Arial"/>
          <w:color w:val="000000" w:themeColor="text1"/>
          <w:lang w:val="es-MX"/>
        </w:rPr>
        <w:t>iv</w:t>
      </w:r>
      <w:proofErr w:type="spellEnd"/>
      <w:r w:rsidRPr="00C31767">
        <w:rPr>
          <w:rFonts w:ascii="Verdana" w:hAnsi="Verdana" w:cs="Arial"/>
          <w:color w:val="000000" w:themeColor="text1"/>
          <w:lang w:val="es-MX"/>
        </w:rPr>
        <w:t xml:space="preserve">) pago de salarios, prestaciones sociales legales e indemnizaciones laborales; v) estabilidad y calidad de la obra; vi) </w:t>
      </w:r>
      <w:r w:rsidRPr="00C31767">
        <w:rPr>
          <w:rFonts w:ascii="Verdana" w:hAnsi="Verdana" w:cs="Arial"/>
          <w:color w:val="000000" w:themeColor="text1"/>
          <w:lang w:eastAsia="es-CO"/>
        </w:rPr>
        <w:t xml:space="preserve">calidad del servicio; </w:t>
      </w:r>
      <w:proofErr w:type="spellStart"/>
      <w:r w:rsidRPr="00C31767">
        <w:rPr>
          <w:rFonts w:ascii="Verdana" w:hAnsi="Verdana" w:cs="Arial"/>
          <w:color w:val="000000" w:themeColor="text1"/>
          <w:lang w:eastAsia="es-CO"/>
        </w:rPr>
        <w:t>vii</w:t>
      </w:r>
      <w:proofErr w:type="spellEnd"/>
      <w:r w:rsidRPr="00C31767">
        <w:rPr>
          <w:rFonts w:ascii="Verdana" w:hAnsi="Verdana" w:cs="Arial"/>
          <w:color w:val="000000" w:themeColor="text1"/>
          <w:lang w:eastAsia="es-CO"/>
        </w:rPr>
        <w:t xml:space="preserve">) calidad y correcto funcionamiento de los bienes; y </w:t>
      </w:r>
      <w:proofErr w:type="spellStart"/>
      <w:r w:rsidRPr="00C31767">
        <w:rPr>
          <w:rFonts w:ascii="Verdana" w:hAnsi="Verdana" w:cs="Arial"/>
          <w:color w:val="000000" w:themeColor="text1"/>
          <w:lang w:eastAsia="es-CO"/>
        </w:rPr>
        <w:t>viii</w:t>
      </w:r>
      <w:proofErr w:type="spellEnd"/>
      <w:r w:rsidRPr="00C31767">
        <w:rPr>
          <w:rFonts w:ascii="Verdana" w:hAnsi="Verdana" w:cs="Arial"/>
          <w:color w:val="000000" w:themeColor="text1"/>
          <w:lang w:eastAsia="es-CO"/>
        </w:rPr>
        <w:t>) los demás incumplimientos de las obligaciones que la entidad estatal considere deben ser amparados. Por su parte, el artículo 2.2.1.2.3.1.12 regula la suficiencia del amparo de cumplimiento, al determinar que esta debe tener una vigencia mínima hasta la liquidación del contrato y un valor de por lo menos el diez por ciento (10%) del total del contrato, siempre que este sea inferior a un millón (1.000.000) de S.M.M.L.V., estableciendo otros mínimos para el valor de las pólizas en contratos con montos superiores</w:t>
      </w:r>
      <w:r w:rsidRPr="00C31767">
        <w:rPr>
          <w:rFonts w:ascii="Verdana" w:hAnsi="Verdana" w:cs="Arial"/>
          <w:color w:val="000000" w:themeColor="text1"/>
          <w:vertAlign w:val="superscript"/>
          <w:lang w:eastAsia="es-CO"/>
        </w:rPr>
        <w:footnoteReference w:id="2"/>
      </w:r>
      <w:r w:rsidRPr="00C31767">
        <w:rPr>
          <w:rFonts w:ascii="Verdana" w:hAnsi="Verdana" w:cs="Arial"/>
          <w:color w:val="000000" w:themeColor="text1"/>
          <w:lang w:eastAsia="es-CO"/>
        </w:rPr>
        <w:t xml:space="preserve">.   </w:t>
      </w:r>
    </w:p>
    <w:p w:rsidRPr="00C31767" w:rsidR="00FF1ECE" w:rsidP="00FF1ECE" w:rsidRDefault="00FF1ECE" w14:paraId="7BEE0643" w14:textId="77777777">
      <w:pPr>
        <w:spacing w:before="120" w:line="276" w:lineRule="auto"/>
        <w:ind w:firstLine="708"/>
        <w:jc w:val="both"/>
        <w:rPr>
          <w:rFonts w:ascii="Verdana" w:hAnsi="Verdana" w:cs="Arial"/>
          <w:color w:val="000000" w:themeColor="text1"/>
        </w:rPr>
      </w:pPr>
      <w:r w:rsidRPr="00C31767">
        <w:rPr>
          <w:rFonts w:ascii="Verdana" w:hAnsi="Verdana" w:cs="Arial"/>
          <w:color w:val="000000" w:themeColor="text1"/>
          <w:lang w:val="es-MX"/>
        </w:rPr>
        <w:t>Los anteriores y otros aspectos desarrollados por el Decreto 1082 de 2015 deben ser verificados por las entidades estatales, para determinar si los amparos constituidos por sus contratistas en cumplimiento de la obligación derivada del artículo 7 de la Ley 1150 de 2007 se ajustan o no a lo exigido por el reglamento respecto del objeto y valor del contrato.</w:t>
      </w:r>
      <w:r w:rsidRPr="00C31767">
        <w:rPr>
          <w:rFonts w:ascii="Verdana" w:hAnsi="Verdana" w:cs="Arial"/>
          <w:color w:val="000000" w:themeColor="text1"/>
        </w:rPr>
        <w:t xml:space="preserve"> Lo expuesto resulta de especial relevancia, teniendo en cuenta que el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sidRPr="00C31767">
        <w:rPr>
          <w:rFonts w:ascii="Verdana" w:hAnsi="Verdana" w:eastAsia="Calibri" w:cs="Arial"/>
        </w:rPr>
        <w:t xml:space="preserve">. </w:t>
      </w:r>
    </w:p>
    <w:p w:rsidRPr="00C31767" w:rsidR="00FF1ECE" w:rsidP="00FF1ECE" w:rsidRDefault="00FF1ECE" w14:paraId="75733F82" w14:textId="77777777">
      <w:pPr>
        <w:spacing w:before="120" w:line="276" w:lineRule="auto"/>
        <w:ind w:firstLine="708"/>
        <w:jc w:val="both"/>
        <w:rPr>
          <w:rFonts w:ascii="Verdana" w:hAnsi="Verdana" w:cs="Arial"/>
          <w:color w:val="000000" w:themeColor="text1"/>
          <w:lang w:val="es-ES_tradnl"/>
        </w:rPr>
      </w:pPr>
      <w:r w:rsidRPr="00C31767">
        <w:rPr>
          <w:rFonts w:ascii="Verdana" w:hAnsi="Verdana" w:eastAsia="Calibri" w:cs="Arial"/>
        </w:rPr>
        <w:lastRenderedPageBreak/>
        <w:t xml:space="preserve">En efecto, </w:t>
      </w:r>
      <w:r w:rsidRPr="00C31767">
        <w:rPr>
          <w:rFonts w:ascii="Verdana" w:hAnsi="Verdana" w:cs="Arial"/>
          <w:color w:val="000000" w:themeColor="text1"/>
          <w:lang w:val="es-MX"/>
        </w:rPr>
        <w:t>el referido artículo establece en su inciso primero que los contratos estatales se perfeccionan “</w:t>
      </w:r>
      <w:r w:rsidRPr="00C31767">
        <w:rPr>
          <w:rFonts w:ascii="Verdana" w:hAnsi="Verdana" w:cs="Arial"/>
          <w:color w:val="000000" w:themeColor="text1"/>
          <w:lang w:eastAsia="es-CO"/>
        </w:rPr>
        <w:t>cuando se logre acuerdo sobre el objeto y la contraprestación y éste se eleve a escrito</w:t>
      </w:r>
      <w:r w:rsidRPr="00C31767">
        <w:rPr>
          <w:rFonts w:ascii="Verdana" w:hAnsi="Verdana" w:cs="Arial"/>
          <w:color w:val="000000" w:themeColor="text1"/>
          <w:lang w:val="es-MX"/>
        </w:rPr>
        <w:t>”. Por su parte el inciso segundo establece que “P</w:t>
      </w:r>
      <w:r w:rsidRPr="00C31767">
        <w:rPr>
          <w:rFonts w:ascii="Verdana" w:hAnsi="Verdana" w:cs="Arial"/>
          <w:color w:val="000000" w:themeColor="text1"/>
          <w:lang w:eastAsia="es-CO"/>
        </w:rPr>
        <w:t>ara la ejecución se requerirá de la aprobación de la garantía”, lo que se traduce en que, sin perjuicio del perfeccionamiento del contrato, no podrá ejecutarse sin que se hayan aprobado las garantías por parte de la entidad estatal contratante.</w:t>
      </w:r>
    </w:p>
    <w:p w:rsidRPr="00C31767" w:rsidR="00FF1ECE" w:rsidP="00FF1ECE" w:rsidRDefault="00FF1ECE" w14:paraId="61585224" w14:textId="77777777">
      <w:pPr>
        <w:spacing w:before="120" w:after="0" w:line="276" w:lineRule="auto"/>
        <w:ind w:firstLine="708"/>
        <w:jc w:val="both"/>
        <w:rPr>
          <w:rFonts w:ascii="Verdana" w:hAnsi="Verdana" w:cs="Arial"/>
          <w:color w:val="000000" w:themeColor="text1"/>
          <w:lang w:val="es-MX"/>
        </w:rPr>
      </w:pPr>
      <w:r w:rsidRPr="00C31767">
        <w:rPr>
          <w:rFonts w:ascii="Verdana" w:hAnsi="Verdana" w:cs="Arial"/>
          <w:color w:val="000000" w:themeColor="text1"/>
          <w:lang w:eastAsia="es-CO"/>
        </w:rPr>
        <w:t xml:space="preserve">Al interpretar la regulación del precitado artículo, el Consejo de Estado ha diferenciado los requisitos de perfeccionamiento del contrato de los concernientes a la ejecución, al entender que el acuerdo de voluntades elevado a escrito suscrito por las partes perfecciona el contrato estatal, mientras que la aprobación de las garantías es un requisito para su ejecución, el cual no está sometido al libre arbitrio del contratante, en la medida que tal aprobación consiste </w:t>
      </w:r>
      <w:r w:rsidRPr="00C31767">
        <w:rPr>
          <w:rFonts w:ascii="Verdana" w:hAnsi="Verdana" w:cs="Arial"/>
          <w:color w:val="000000" w:themeColor="text1"/>
          <w:lang w:val="es-MX"/>
        </w:rPr>
        <w:t>en un reconocimiento por parte de la Administración de que el contratista ha cumplido con la obligación de la garantía requerida por la ley y que esta se ajuste a lo pactado en el contrato.  Así lo expresó la Sección Tercera del Consejo de Estado en Sentencia del 28 de junio de 2012:</w:t>
      </w:r>
    </w:p>
    <w:p w:rsidRPr="00C31767" w:rsidR="00FF1ECE" w:rsidP="00FF1ECE" w:rsidRDefault="00FF1ECE" w14:paraId="145408EC" w14:textId="77777777">
      <w:pPr>
        <w:spacing w:after="0" w:line="276" w:lineRule="auto"/>
        <w:ind w:firstLine="709"/>
        <w:jc w:val="both"/>
        <w:rPr>
          <w:rFonts w:ascii="Verdana" w:hAnsi="Verdana" w:cs="Arial"/>
          <w:color w:val="000000" w:themeColor="text1"/>
          <w:lang w:eastAsia="es-CO"/>
        </w:rPr>
      </w:pPr>
    </w:p>
    <w:p w:rsidRPr="00C31767" w:rsidR="00FF1ECE" w:rsidP="00FF1ECE" w:rsidRDefault="00FF1ECE" w14:paraId="76E6F10A" w14:textId="77777777">
      <w:pPr>
        <w:spacing w:after="120" w:line="240" w:lineRule="auto"/>
        <w:ind w:left="709" w:right="709"/>
        <w:jc w:val="both"/>
        <w:rPr>
          <w:rFonts w:ascii="Verdana" w:hAnsi="Verdana" w:cs="Arial"/>
          <w:color w:val="000000" w:themeColor="text1"/>
          <w:sz w:val="21"/>
          <w:szCs w:val="21"/>
          <w:lang w:val="es-MX"/>
        </w:rPr>
      </w:pPr>
      <w:r w:rsidRPr="00C31767">
        <w:rPr>
          <w:rFonts w:ascii="Verdana" w:hAnsi="Verdana" w:cs="Arial"/>
          <w:color w:val="000000" w:themeColor="text1"/>
          <w:sz w:val="21"/>
          <w:szCs w:val="21"/>
          <w:lang w:val="es-MX"/>
        </w:rPr>
        <w:t xml:space="preserve">“[…] Por virtud de lo dispuesto en la Ley 80 de 1993, el contrato estatal existe cuando el acuerdo sobre el objeto y la contraprestación se eleva a escrito y, es ejecutable, cuando se cumplen las condiciones previstas en el inciso segundo del artículo 41 de la ley, en concordancia con lo dispuesto en el artículo 49 de la Ley 179 de 1994, compilado en el artículo 71 del Estatuto Orgánico de Presupuesto -Decreto ley 111 de 1996-, esto es, cuando además de la aprobación de la garantía, se cuenta con las disponibilidades presupuestales correspondientes, salvo que se trate de contratación con recursos de vigencias futuras, de conformidad con lo previsto en la ley orgánica del presupuesto.  </w:t>
      </w:r>
    </w:p>
    <w:p w:rsidRPr="00C31767" w:rsidR="00FF1ECE" w:rsidP="00FF1ECE" w:rsidRDefault="00FF1ECE" w14:paraId="14BA0C63" w14:textId="77777777">
      <w:pPr>
        <w:spacing w:after="120" w:line="240" w:lineRule="auto"/>
        <w:ind w:left="709" w:right="709"/>
        <w:jc w:val="both"/>
        <w:rPr>
          <w:rFonts w:ascii="Verdana" w:hAnsi="Verdana" w:cs="Arial"/>
          <w:color w:val="000000" w:themeColor="text1"/>
          <w:sz w:val="21"/>
          <w:szCs w:val="21"/>
          <w:lang w:val="es-MX"/>
        </w:rPr>
      </w:pPr>
      <w:r w:rsidRPr="00C31767">
        <w:rPr>
          <w:rFonts w:ascii="Verdana" w:hAnsi="Verdana" w:cs="Arial"/>
          <w:color w:val="000000" w:themeColor="text1"/>
          <w:sz w:val="21"/>
          <w:szCs w:val="21"/>
          <w:lang w:val="es-MX"/>
        </w:rPr>
        <w:t xml:space="preserve">Ello significa que, una vez elevado a escrito, lo cual supone su suscripción por ambas partes, el contrato estatal existe y requiere del registro presupuestal, al igual que de la aprobación de la garantía para su ejecución, condiciones que cumplidas le otorgan eficacia. La aprobación de la póliza </w:t>
      </w:r>
      <w:proofErr w:type="gramStart"/>
      <w:r w:rsidRPr="00C31767">
        <w:rPr>
          <w:rFonts w:ascii="Verdana" w:hAnsi="Verdana" w:cs="Arial"/>
          <w:color w:val="000000" w:themeColor="text1"/>
          <w:sz w:val="21"/>
          <w:szCs w:val="21"/>
          <w:lang w:val="es-MX"/>
        </w:rPr>
        <w:t>entonces,</w:t>
      </w:r>
      <w:proofErr w:type="gramEnd"/>
      <w:r w:rsidRPr="00C31767">
        <w:rPr>
          <w:rFonts w:ascii="Verdana" w:hAnsi="Verdana" w:cs="Arial"/>
          <w:color w:val="000000" w:themeColor="text1"/>
          <w:sz w:val="21"/>
          <w:szCs w:val="21"/>
          <w:lang w:val="es-MX"/>
        </w:rPr>
        <w:t xml:space="preserve"> no tiene alcance diferente al reconocimiento de parte de la administración sobre que el contratista cumplió con la obligación de la garantía en orden a la ejecución del contrato y el registro presupuestal comporta que la contratante hizo lo propio. </w:t>
      </w:r>
    </w:p>
    <w:p w:rsidRPr="00C31767" w:rsidR="00FF1ECE" w:rsidP="00FF1ECE" w:rsidRDefault="00FF1ECE" w14:paraId="407A0044" w14:textId="77777777">
      <w:pPr>
        <w:spacing w:after="0" w:line="240" w:lineRule="auto"/>
        <w:ind w:left="709" w:right="709"/>
        <w:jc w:val="both"/>
        <w:rPr>
          <w:rFonts w:ascii="Verdana" w:hAnsi="Verdana" w:cs="Arial"/>
          <w:color w:val="000000" w:themeColor="text1"/>
          <w:sz w:val="21"/>
          <w:szCs w:val="21"/>
          <w:lang w:val="es-MX"/>
        </w:rPr>
      </w:pPr>
      <w:r w:rsidRPr="00C31767">
        <w:rPr>
          <w:rFonts w:ascii="Verdana" w:hAnsi="Verdana" w:cs="Arial"/>
          <w:color w:val="000000" w:themeColor="text1"/>
          <w:sz w:val="21"/>
          <w:szCs w:val="21"/>
          <w:lang w:val="es-MX"/>
        </w:rPr>
        <w:t xml:space="preserve">En ese orden de ideas, </w:t>
      </w:r>
      <w:r w:rsidRPr="00C31767">
        <w:rPr>
          <w:rFonts w:ascii="Verdana" w:hAnsi="Verdana" w:cs="Arial"/>
          <w:i/>
          <w:iCs/>
          <w:color w:val="000000" w:themeColor="text1"/>
          <w:sz w:val="21"/>
          <w:szCs w:val="21"/>
          <w:lang w:val="es-MX"/>
        </w:rPr>
        <w:t xml:space="preserve">si bien la aprobación de la garantía, condicionan la iniciación del contrato, su ejecución, vigencia y plazo, se sujeta a que la póliza cumpla con los requisitos legales y que la administración los avale, sin que le esté dado a la entidad hacer gala de su mera </w:t>
      </w:r>
      <w:r w:rsidRPr="00C31767">
        <w:rPr>
          <w:rFonts w:ascii="Verdana" w:hAnsi="Verdana" w:cs="Arial"/>
          <w:i/>
          <w:iCs/>
          <w:color w:val="000000" w:themeColor="text1"/>
          <w:sz w:val="21"/>
          <w:szCs w:val="21"/>
          <w:lang w:val="es-MX"/>
        </w:rPr>
        <w:lastRenderedPageBreak/>
        <w:t>liberalidad para demorar su aprobación o negarla, porque, de no ser ello así, de nada serviría la previsión legal, pues lo sujeto a la potestad unilateral nada condiciona</w:t>
      </w:r>
      <w:r w:rsidRPr="00C31767">
        <w:rPr>
          <w:rFonts w:ascii="Verdana" w:hAnsi="Verdana" w:cs="Arial"/>
          <w:color w:val="000000" w:themeColor="text1"/>
          <w:sz w:val="21"/>
          <w:szCs w:val="21"/>
          <w:lang w:val="es-MX"/>
        </w:rPr>
        <w:t>”</w:t>
      </w:r>
      <w:r w:rsidRPr="00C31767">
        <w:rPr>
          <w:rFonts w:ascii="Verdana" w:hAnsi="Verdana" w:cs="Arial"/>
          <w:color w:val="000000" w:themeColor="text1"/>
          <w:sz w:val="21"/>
          <w:szCs w:val="21"/>
          <w:vertAlign w:val="superscript"/>
          <w:lang w:val="es-MX"/>
        </w:rPr>
        <w:footnoteReference w:id="3"/>
      </w:r>
      <w:r w:rsidRPr="00C31767">
        <w:rPr>
          <w:rFonts w:ascii="Verdana" w:hAnsi="Verdana" w:cs="Arial"/>
          <w:color w:val="000000" w:themeColor="text1"/>
          <w:sz w:val="21"/>
          <w:szCs w:val="21"/>
          <w:lang w:val="es-MX"/>
        </w:rPr>
        <w:t>. (Énfasis fuera de texto)</w:t>
      </w:r>
    </w:p>
    <w:p w:rsidRPr="00C31767" w:rsidR="00FF1ECE" w:rsidP="00FF1ECE" w:rsidRDefault="00FF1ECE" w14:paraId="2369036D" w14:textId="77777777">
      <w:pPr>
        <w:spacing w:after="0" w:line="276" w:lineRule="auto"/>
        <w:ind w:firstLine="708"/>
        <w:jc w:val="both"/>
        <w:rPr>
          <w:rFonts w:ascii="Verdana" w:hAnsi="Verdana" w:cs="Arial"/>
          <w:color w:val="000000" w:themeColor="text1"/>
          <w:lang w:eastAsia="es-CO"/>
        </w:rPr>
      </w:pPr>
    </w:p>
    <w:p w:rsidRPr="00C31767" w:rsidR="00FF1ECE" w:rsidP="00FF1ECE" w:rsidRDefault="00FF1ECE" w14:paraId="0EB53475" w14:textId="77777777">
      <w:pPr>
        <w:spacing w:line="276" w:lineRule="auto"/>
        <w:ind w:firstLine="709"/>
        <w:jc w:val="both"/>
        <w:rPr>
          <w:rFonts w:ascii="Verdana" w:hAnsi="Verdana" w:cs="Arial"/>
          <w:color w:val="000000" w:themeColor="text1"/>
          <w:lang w:eastAsia="es-CO"/>
        </w:rPr>
      </w:pPr>
      <w:r w:rsidRPr="00C31767">
        <w:rPr>
          <w:rFonts w:ascii="Verdana" w:hAnsi="Verdana" w:cs="Arial"/>
          <w:color w:val="000000" w:themeColor="text1"/>
          <w:lang w:eastAsia="es-CO"/>
        </w:rPr>
        <w:t xml:space="preserve">De esta manera, para proceder con la ejecución del contrato, el contratista debe cumplir con la obligación de constituir las garantías, para lo cual deberá presentar el respectivo instrumento para la verificación por parte de la entidad estatal, quien procederá a su aprobación siempre que se cumplan con las condiciones pactadas en el contrato. Cabe aclarar que las garantías que debe presentar el contratista para aprobación de la entidad en el marco del artículo 41 de la ley 80 de 1993, corresponden a las garantías contractuales </w:t>
      </w:r>
      <w:r w:rsidRPr="00C31767">
        <w:rPr>
          <w:rFonts w:ascii="Verdana" w:hAnsi="Verdana" w:cs="Arial"/>
          <w:color w:val="000000" w:themeColor="text1"/>
          <w:lang w:val="es-ES_tradnl" w:eastAsia="es-CO"/>
        </w:rPr>
        <w:t>que cubren los riesgos asociados al contrato celebrado y a las obligaciones posteriores a su ejecución, esto es, la garantía única de cumplimiento –con sus respectivos amparos– y la garantía de responsabilidad civil extracontractual</w:t>
      </w:r>
      <w:r w:rsidRPr="00C31767">
        <w:rPr>
          <w:rStyle w:val="Refdenotaalpie"/>
          <w:rFonts w:ascii="Verdana" w:hAnsi="Verdana" w:cs="Arial"/>
          <w:color w:val="000000" w:themeColor="text1"/>
          <w:lang w:val="es-ES_tradnl" w:eastAsia="es-CO"/>
        </w:rPr>
        <w:footnoteReference w:id="4"/>
      </w:r>
      <w:r w:rsidRPr="00C31767">
        <w:rPr>
          <w:rFonts w:ascii="Verdana" w:hAnsi="Verdana" w:cs="Arial"/>
          <w:color w:val="000000" w:themeColor="text1"/>
          <w:lang w:val="es-ES_tradnl" w:eastAsia="es-CO"/>
        </w:rPr>
        <w:t>.</w:t>
      </w:r>
    </w:p>
    <w:p w:rsidRPr="00C31767" w:rsidR="00FF1ECE" w:rsidP="00FF1ECE" w:rsidRDefault="00FF1ECE" w14:paraId="58AA2765" w14:textId="77777777">
      <w:pPr>
        <w:spacing w:before="120" w:line="276" w:lineRule="auto"/>
        <w:ind w:firstLine="709"/>
        <w:jc w:val="both"/>
        <w:rPr>
          <w:rFonts w:ascii="Verdana" w:hAnsi="Verdana" w:cs="Arial"/>
          <w:color w:val="000000" w:themeColor="text1"/>
          <w:lang w:val="es-ES"/>
        </w:rPr>
      </w:pPr>
      <w:r w:rsidRPr="00C31767">
        <w:rPr>
          <w:rFonts w:ascii="Verdana" w:hAnsi="Verdana" w:eastAsia="Calibri" w:cs="Arial"/>
          <w:color w:val="000000"/>
          <w:lang w:eastAsia="en-GB"/>
        </w:rPr>
        <w:t xml:space="preserve">En este contexto, </w:t>
      </w:r>
      <w:bookmarkStart w:name="_Hlk173079147" w:id="2"/>
      <w:r w:rsidRPr="00C31767">
        <w:rPr>
          <w:rFonts w:ascii="Verdana" w:hAnsi="Verdana" w:eastAsia="Calibri" w:cs="Arial"/>
          <w:color w:val="000000"/>
          <w:lang w:eastAsia="en-GB"/>
        </w:rPr>
        <w:t xml:space="preserve">la obligación de constituir las garantías contractuales y su aprobación tiene como propósito cumplir con el requisito de ejecución del contrato, pues estas se erigen como un </w:t>
      </w:r>
      <w:r w:rsidRPr="00C31767">
        <w:rPr>
          <w:rFonts w:ascii="Verdana" w:hAnsi="Verdana" w:cs="Arial"/>
          <w:color w:val="000000" w:themeColor="text1"/>
          <w:lang w:val="es-MX"/>
        </w:rPr>
        <w:t>“</w:t>
      </w:r>
      <w:r w:rsidRPr="00C31767">
        <w:rPr>
          <w:rFonts w:ascii="Verdana" w:hAnsi="Verdana" w:eastAsia="Calibri" w:cs="Arial"/>
          <w:color w:val="000000"/>
          <w:lang w:eastAsia="en-GB"/>
        </w:rPr>
        <w:t>instrumento para salvaguardar intereses de carácter general, garantizar el adecuado cumplimiento del objeto contractual y proteger el patrimonio público de los detrimentos que se puedan causar con ocasión de eventuales incumplimientos en que incurra el contratista”</w:t>
      </w:r>
      <w:r w:rsidRPr="00C31767">
        <w:rPr>
          <w:rStyle w:val="Refdenotaalpie"/>
          <w:rFonts w:ascii="Verdana" w:hAnsi="Verdana" w:eastAsia="Calibri" w:cs="Arial"/>
          <w:color w:val="000000"/>
          <w:lang w:eastAsia="en-GB"/>
        </w:rPr>
        <w:footnoteReference w:id="5"/>
      </w:r>
      <w:r w:rsidRPr="00C31767">
        <w:rPr>
          <w:rFonts w:ascii="Verdana" w:hAnsi="Verdana" w:cs="Arial"/>
          <w:color w:val="000000" w:themeColor="text1"/>
          <w:lang w:eastAsia="es-CO"/>
        </w:rPr>
        <w:t>.</w:t>
      </w:r>
      <w:r w:rsidRPr="00C31767">
        <w:rPr>
          <w:rFonts w:ascii="Verdana" w:hAnsi="Verdana" w:cs="Arial"/>
          <w:color w:val="000000" w:themeColor="text1"/>
          <w:lang w:val="es-MX"/>
        </w:rPr>
        <w:t xml:space="preserve"> En este sentido, previo a l</w:t>
      </w:r>
      <w:r w:rsidRPr="00C31767">
        <w:rPr>
          <w:rFonts w:ascii="Verdana" w:hAnsi="Verdana" w:cs="Arial"/>
          <w:color w:val="000000" w:themeColor="text1"/>
          <w:lang w:val="es-ES_tradnl"/>
        </w:rPr>
        <w:t>a aprobación de las garantías pactadas en el contrato, la entidad debe realizar la respectiva verificación de los amparos y suficiencia de las garantías exigidas, con la finalidad de</w:t>
      </w:r>
      <w:r w:rsidRPr="00C31767">
        <w:rPr>
          <w:rFonts w:ascii="Verdana" w:hAnsi="Verdana" w:cs="Arial"/>
          <w:color w:val="000000" w:themeColor="text1"/>
        </w:rPr>
        <w:t xml:space="preserve"> asegurar que estas </w:t>
      </w:r>
      <w:r w:rsidRPr="00C31767">
        <w:rPr>
          <w:rFonts w:ascii="Verdana" w:hAnsi="Verdana" w:cs="Arial"/>
          <w:color w:val="000000" w:themeColor="text1"/>
          <w:lang w:val="es-ES"/>
        </w:rPr>
        <w:t xml:space="preserve">protejan el patrimonio del Estado de los perjuicios que eventualmente se derivarían de la materialización de los riesgos amparados. </w:t>
      </w:r>
    </w:p>
    <w:p w:rsidRPr="00C31767" w:rsidR="00FF1ECE" w:rsidP="00FF1ECE" w:rsidRDefault="00FF1ECE" w14:paraId="12B6450E" w14:textId="77777777">
      <w:pPr>
        <w:spacing w:before="120" w:line="276" w:lineRule="auto"/>
        <w:ind w:firstLine="709"/>
        <w:jc w:val="both"/>
        <w:rPr>
          <w:rFonts w:ascii="Verdana" w:hAnsi="Verdana" w:cs="Arial"/>
          <w:color w:val="000000" w:themeColor="text1"/>
          <w:lang w:val="es-ES_tradnl"/>
        </w:rPr>
      </w:pPr>
      <w:r w:rsidRPr="00C31767">
        <w:rPr>
          <w:rFonts w:ascii="Verdana" w:hAnsi="Verdana" w:cs="Arial"/>
          <w:color w:val="000000" w:themeColor="text1"/>
          <w:lang w:val="es-ES_tradnl"/>
        </w:rPr>
        <w:t xml:space="preserve">Esta labor de verificación por parte de la entidad implica validar el origen de las garantías y revisar </w:t>
      </w:r>
      <w:r w:rsidRPr="00C31767">
        <w:rPr>
          <w:rFonts w:ascii="Verdana" w:hAnsi="Verdana" w:cs="Arial"/>
          <w:color w:val="000000" w:themeColor="text1"/>
          <w:lang w:val="es-MX"/>
        </w:rPr>
        <w:t>“</w:t>
      </w:r>
      <w:r w:rsidRPr="00C31767">
        <w:rPr>
          <w:rFonts w:ascii="Verdana" w:hAnsi="Verdana" w:eastAsia="Calibri" w:cs="Arial"/>
        </w:rPr>
        <w:t xml:space="preserve">que los valores asegurados coincidan con los que se exigieron en el contrato, así como su vigencia; verificar que estén identificados plenamente el tomador y el beneficiario, y que vengan adjuntas las condiciones generales de la póliza. Sólo con la certeza que brinda este análisis, se puede tener la seguridad que no se causarán perjuicios al ente estatal. De tal manera, una vez revisada la póliza, sus anexos (condiciones generales) y su contenido y </w:t>
      </w:r>
      <w:r w:rsidRPr="00C31767">
        <w:rPr>
          <w:rFonts w:ascii="Verdana" w:hAnsi="Verdana" w:eastAsia="Calibri" w:cs="Arial"/>
        </w:rPr>
        <w:lastRenderedPageBreak/>
        <w:t>si está de acuerdo con lo exigido, se impartirá la aprobación correspondiente”</w:t>
      </w:r>
      <w:r w:rsidRPr="00C31767">
        <w:rPr>
          <w:rStyle w:val="Refdenotaalpie"/>
          <w:rFonts w:ascii="Verdana" w:hAnsi="Verdana" w:eastAsia="Calibri" w:cs="Arial"/>
        </w:rPr>
        <w:footnoteReference w:id="6"/>
      </w:r>
      <w:r w:rsidRPr="00C31767">
        <w:rPr>
          <w:rFonts w:ascii="Verdana" w:hAnsi="Verdana" w:cs="Arial"/>
          <w:color w:val="000000" w:themeColor="text1"/>
          <w:lang w:val="es-MX"/>
        </w:rPr>
        <w:t>.</w:t>
      </w:r>
      <w:r w:rsidRPr="00C31767">
        <w:rPr>
          <w:rFonts w:ascii="Verdana" w:hAnsi="Verdana" w:cs="Arial"/>
          <w:color w:val="000000" w:themeColor="text1"/>
          <w:lang w:val="es-ES"/>
        </w:rPr>
        <w:t xml:space="preserve"> </w:t>
      </w:r>
      <w:r w:rsidRPr="00C31767">
        <w:rPr>
          <w:rFonts w:ascii="Verdana" w:hAnsi="Verdana" w:cs="Arial"/>
          <w:color w:val="000000" w:themeColor="text1"/>
          <w:lang w:val="es-MX"/>
        </w:rPr>
        <w:t xml:space="preserve">De este modo, </w:t>
      </w:r>
      <w:r w:rsidRPr="00C31767">
        <w:rPr>
          <w:rFonts w:ascii="Verdana" w:hAnsi="Verdana" w:cs="Arial"/>
          <w:color w:val="000000" w:themeColor="text1"/>
          <w:lang w:val="es-ES_tradnl"/>
        </w:rPr>
        <w:t xml:space="preserve">con la aprobación de las garantías la entidad estatal </w:t>
      </w:r>
      <w:r w:rsidRPr="00C31767">
        <w:rPr>
          <w:rFonts w:ascii="Verdana" w:hAnsi="Verdana" w:cs="Arial"/>
          <w:color w:val="000000" w:themeColor="text1"/>
          <w:lang w:eastAsia="es-CO"/>
        </w:rPr>
        <w:t xml:space="preserve">estará acreditando el cumplimiento de la obligación del artículo 7 de la Ley 1150 de 2007, </w:t>
      </w:r>
      <w:r w:rsidRPr="00C31767">
        <w:rPr>
          <w:rFonts w:ascii="Verdana" w:hAnsi="Verdana" w:cs="Arial"/>
          <w:color w:val="000000" w:themeColor="text1"/>
          <w:lang w:val="es-ES_tradnl"/>
        </w:rPr>
        <w:t xml:space="preserve">y entonces el contrato podrá ejecutarse, siempre que se cumplan los demás requisitos establece el artículo 41 de la Ley 80 de 1993, para efectos de su posterior liquidación. </w:t>
      </w:r>
    </w:p>
    <w:bookmarkEnd w:id="2"/>
    <w:p w:rsidRPr="00C31767" w:rsidR="00FF1ECE" w:rsidP="00FF1ECE" w:rsidRDefault="00FF1ECE" w14:paraId="7583EB1F" w14:textId="77777777">
      <w:pPr>
        <w:spacing w:before="120" w:line="276" w:lineRule="auto"/>
        <w:ind w:firstLine="709"/>
        <w:jc w:val="both"/>
        <w:rPr>
          <w:rFonts w:ascii="Verdana" w:hAnsi="Verdana" w:eastAsia="Calibri" w:cs="Arial"/>
          <w:lang w:val="es-ES"/>
        </w:rPr>
      </w:pPr>
      <w:r w:rsidRPr="00C31767">
        <w:rPr>
          <w:rFonts w:ascii="Verdana" w:hAnsi="Verdana" w:eastAsia="Calibri" w:cs="Arial"/>
          <w:lang w:val="es-ES_tradnl"/>
        </w:rPr>
        <w:t>Este marco normativo explica el alcance de las garantías en la etapa contractual</w:t>
      </w:r>
      <w:r w:rsidRPr="00C31767">
        <w:rPr>
          <w:rFonts w:ascii="Verdana" w:hAnsi="Verdana" w:eastAsia="Calibri" w:cs="Arial"/>
          <w:lang w:val="es-ES_tradnl" w:eastAsia="es-ES"/>
        </w:rPr>
        <w:t xml:space="preserve"> y, d</w:t>
      </w:r>
      <w:r w:rsidRPr="00C31767">
        <w:rPr>
          <w:rFonts w:ascii="Verdana" w:hAnsi="Verdana" w:eastAsia="Calibri" w:cs="Arial"/>
          <w:lang w:val="es-ES" w:eastAsia="es-ES"/>
        </w:rPr>
        <w:t>entro del mismo</w:t>
      </w:r>
      <w:r w:rsidRPr="00C31767">
        <w:rPr>
          <w:rFonts w:ascii="Verdana" w:hAnsi="Verdana" w:eastAsia="Calibri" w:cs="Arial"/>
          <w:lang w:val="es-ES"/>
        </w:rPr>
        <w:t>, los interesados adoptarán las decisiones que estimen pertinentes. Dado que no existe fundamento legal expreso para liquidar sin aprobar garantías ni permitir que las obligaciones sean ejecutadas sin el cumplimiento de los requisitos del inciso segundo del artículo 41 de la Ley 80 de 1993, corresponde a los interesados y a sus asesores defender la gestión que decidan emprender, pues Colombia Compra Eficiente no es un órgano jurisdiccional ni de control.</w:t>
      </w:r>
    </w:p>
    <w:p w:rsidR="00FF1ECE" w:rsidP="00FF1ECE" w:rsidRDefault="00FF1ECE" w14:paraId="60DFF793" w14:textId="77777777">
      <w:pPr>
        <w:jc w:val="both"/>
        <w:rPr>
          <w:rFonts w:ascii="Verdana" w:hAnsi="Verdana" w:eastAsia="Calibri" w:cs="Arial"/>
          <w:lang w:val="es-ES"/>
        </w:rPr>
      </w:pPr>
      <w:r w:rsidRPr="00C31767">
        <w:rPr>
          <w:rFonts w:ascii="Verdana" w:hAnsi="Verdana" w:eastAsia="Calibri" w:cs="Arial"/>
          <w:lang w:val="es-ES"/>
        </w:rPr>
        <w:t xml:space="preserve">En consecuencia, al tratarse de un análisis que debe realizarse en cada procedimiento contractual específico, la Agencia no puede definir un criterio universal y absoluto sobre el objeto de la consulta, sino que brinda elementos de carácter general para que los partícipes del sistema de compras y contratación pública adopten la decisión que corresponda, lo cual es acorde con el principio de juridicidad. De esta manera, cada uno de ellos definirá la forma de adelantar su gestión contractual, sin que sea atribución de Colombia Compra Eficiente validar sus actuaciones. </w:t>
      </w:r>
    </w:p>
    <w:p w:rsidRPr="009322DA" w:rsidR="00FF1ECE" w:rsidP="00FF1ECE" w:rsidRDefault="00FF1ECE" w14:paraId="0B29B13A" w14:textId="77777777">
      <w:pPr>
        <w:jc w:val="both"/>
        <w:rPr>
          <w:rFonts w:ascii="Verdana" w:hAnsi="Verdana" w:eastAsia="Calibri" w:cs="Arial"/>
          <w:b/>
          <w:bCs/>
        </w:rPr>
      </w:pPr>
      <w:r w:rsidRPr="009322DA">
        <w:rPr>
          <w:rFonts w:ascii="Verdana" w:hAnsi="Verdana" w:eastAsia="Calibri" w:cs="Arial"/>
          <w:b/>
          <w:bCs/>
        </w:rPr>
        <w:t>4. Referencias</w:t>
      </w:r>
      <w:r>
        <w:rPr>
          <w:rFonts w:ascii="Verdana" w:hAnsi="Verdana" w:eastAsia="Calibri" w:cs="Arial"/>
          <w:b/>
          <w:bCs/>
        </w:rPr>
        <w:t xml:space="preserve"> </w:t>
      </w:r>
      <w:r w:rsidRPr="009322DA">
        <w:rPr>
          <w:rFonts w:ascii="Verdana" w:hAnsi="Verdana" w:eastAsia="Calibri" w:cs="Arial"/>
          <w:b/>
          <w:bCs/>
        </w:rPr>
        <w:t>normativas, jurisprudenciales y otras fuentes:</w:t>
      </w:r>
    </w:p>
    <w:tbl>
      <w:tblPr>
        <w:tblStyle w:val="Tablaconcuadrcula1"/>
        <w:tblW w:w="8640"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0"/>
      </w:tblGrid>
      <w:tr w:rsidRPr="009322DA" w:rsidR="00FF1ECE" w:rsidTr="001449F3" w14:paraId="31D55EA3" w14:textId="77777777">
        <w:trPr>
          <w:trHeight w:val="1068"/>
        </w:trPr>
        <w:tc>
          <w:tcPr>
            <w:tcW w:w="8647" w:type="dxa"/>
            <w:tcBorders>
              <w:top w:val="dotted" w:color="auto" w:sz="4" w:space="0"/>
              <w:left w:val="dotted" w:color="auto" w:sz="4" w:space="0"/>
              <w:bottom w:val="dotted" w:color="auto" w:sz="4" w:space="0"/>
              <w:right w:val="dotted" w:color="auto" w:sz="4" w:space="0"/>
            </w:tcBorders>
          </w:tcPr>
          <w:p w:rsidRPr="006D50BC" w:rsidR="00FF1ECE" w:rsidP="00FF1ECE" w:rsidRDefault="00FF1ECE" w14:paraId="5980A3FC" w14:textId="77777777">
            <w:pPr>
              <w:widowControl w:val="0"/>
              <w:numPr>
                <w:ilvl w:val="0"/>
                <w:numId w:val="18"/>
              </w:numPr>
              <w:autoSpaceDE w:val="0"/>
              <w:autoSpaceDN w:val="0"/>
              <w:spacing w:after="120" w:line="276" w:lineRule="auto"/>
              <w:contextualSpacing/>
              <w:jc w:val="both"/>
              <w:rPr>
                <w:rFonts w:ascii="Verdana" w:hAnsi="Verdana" w:cs="Arial"/>
                <w:lang w:val="es-MX"/>
              </w:rPr>
            </w:pPr>
            <w:r w:rsidRPr="006D50BC">
              <w:rPr>
                <w:rFonts w:ascii="Verdana" w:hAnsi="Verdana" w:cs="Arial"/>
                <w:lang w:val="es-MX"/>
              </w:rPr>
              <w:t xml:space="preserve">Ley 1150 de 2007, artículo 7. </w:t>
            </w:r>
          </w:p>
          <w:p w:rsidRPr="006D50BC" w:rsidR="00FF1ECE" w:rsidP="001449F3" w:rsidRDefault="00FF1ECE" w14:paraId="371FD0F1" w14:textId="77777777">
            <w:pPr>
              <w:widowControl w:val="0"/>
              <w:autoSpaceDE w:val="0"/>
              <w:autoSpaceDN w:val="0"/>
              <w:spacing w:after="120" w:line="276" w:lineRule="auto"/>
              <w:ind w:left="720"/>
              <w:contextualSpacing/>
              <w:jc w:val="both"/>
              <w:rPr>
                <w:rFonts w:ascii="Verdana" w:hAnsi="Verdana" w:cs="Arial"/>
                <w:sz w:val="12"/>
                <w:szCs w:val="12"/>
                <w:lang w:val="es-MX"/>
              </w:rPr>
            </w:pPr>
          </w:p>
          <w:p w:rsidRPr="006D50BC" w:rsidR="00FF1ECE" w:rsidP="00FF1ECE" w:rsidRDefault="00FF1ECE" w14:paraId="5A9F7196" w14:textId="77777777">
            <w:pPr>
              <w:pStyle w:val="Prrafodelista"/>
              <w:numPr>
                <w:ilvl w:val="0"/>
                <w:numId w:val="19"/>
              </w:numPr>
              <w:rPr>
                <w:rFonts w:ascii="Verdana" w:hAnsi="Verdana" w:cs="Arial"/>
                <w:lang w:val="es-CO"/>
              </w:rPr>
            </w:pPr>
            <w:r w:rsidRPr="006D50BC">
              <w:rPr>
                <w:rFonts w:ascii="Verdana" w:hAnsi="Verdana" w:cs="Arial"/>
              </w:rPr>
              <w:t xml:space="preserve">Decreto 1082 de 2015, artículos 2.2.1.2.3.1.1 a 2.2.1.2.3.1.19.  </w:t>
            </w:r>
          </w:p>
        </w:tc>
      </w:tr>
    </w:tbl>
    <w:p w:rsidRPr="009322DA" w:rsidR="00FF1ECE" w:rsidP="00FF1ECE" w:rsidRDefault="00FF1ECE" w14:paraId="619C5034" w14:textId="77777777">
      <w:pPr>
        <w:tabs>
          <w:tab w:val="left" w:pos="142"/>
          <w:tab w:val="left" w:pos="284"/>
        </w:tabs>
        <w:spacing w:after="0" w:line="276" w:lineRule="auto"/>
        <w:jc w:val="both"/>
        <w:rPr>
          <w:rFonts w:ascii="Verdana" w:hAnsi="Verdana" w:eastAsia="Calibri" w:cs="Arial"/>
        </w:rPr>
      </w:pPr>
    </w:p>
    <w:p w:rsidR="00FF1ECE" w:rsidP="00FF1ECE" w:rsidRDefault="00FF1ECE" w14:paraId="44BDD58C" w14:textId="77777777">
      <w:pPr>
        <w:tabs>
          <w:tab w:val="left" w:pos="142"/>
          <w:tab w:val="left" w:pos="284"/>
        </w:tabs>
        <w:spacing w:after="0" w:line="276" w:lineRule="auto"/>
        <w:jc w:val="both"/>
        <w:rPr>
          <w:rFonts w:ascii="Verdana" w:hAnsi="Verdana" w:eastAsia="Century Gothic" w:cs="Century Gothic"/>
          <w:b/>
          <w:bCs/>
          <w:lang w:val="es-ES"/>
        </w:rPr>
      </w:pPr>
      <w:r w:rsidRPr="00196A7A">
        <w:rPr>
          <w:rFonts w:ascii="Verdana" w:hAnsi="Verdana" w:eastAsia="Calibri" w:cs="Arial"/>
          <w:b/>
          <w:bCs/>
        </w:rPr>
        <w:t>5.</w:t>
      </w:r>
      <w:r>
        <w:rPr>
          <w:rFonts w:ascii="Verdana" w:hAnsi="Verdana" w:eastAsia="Calibri" w:cs="Arial"/>
          <w:b/>
          <w:bCs/>
        </w:rPr>
        <w:t xml:space="preserve"> </w:t>
      </w:r>
      <w:r w:rsidRPr="00196A7A">
        <w:rPr>
          <w:rFonts w:ascii="Verdana" w:hAnsi="Verdana" w:eastAsia="Century Gothic" w:cs="Century Gothic"/>
          <w:b/>
          <w:bCs/>
          <w:lang w:val="es-ES"/>
        </w:rPr>
        <w:t>Doctrina</w:t>
      </w:r>
      <w:r w:rsidRPr="009322DA">
        <w:rPr>
          <w:rFonts w:ascii="Verdana" w:hAnsi="Verdana" w:eastAsia="Century Gothic" w:cs="Century Gothic"/>
          <w:b/>
          <w:bCs/>
          <w:lang w:val="es-ES"/>
        </w:rPr>
        <w:t xml:space="preserve"> de la Agencia Nacional de Contratación Pública:</w:t>
      </w:r>
    </w:p>
    <w:p w:rsidRPr="009322DA" w:rsidR="00FF1ECE" w:rsidP="00FF1ECE" w:rsidRDefault="00FF1ECE" w14:paraId="41B642F6" w14:textId="77777777">
      <w:pPr>
        <w:tabs>
          <w:tab w:val="left" w:pos="142"/>
          <w:tab w:val="left" w:pos="284"/>
        </w:tabs>
        <w:spacing w:after="0" w:line="276" w:lineRule="auto"/>
        <w:jc w:val="both"/>
        <w:rPr>
          <w:rFonts w:ascii="Verdana" w:hAnsi="Verdana" w:eastAsia="Century Gothic" w:cs="Century Gothic"/>
          <w:b/>
          <w:bCs/>
          <w:lang w:val="es-ES"/>
        </w:rPr>
      </w:pPr>
    </w:p>
    <w:p w:rsidRPr="008328CE" w:rsidR="00FF1ECE" w:rsidP="00FF1ECE" w:rsidRDefault="00FF1ECE" w14:paraId="0833AED0" w14:textId="77777777">
      <w:pPr>
        <w:spacing w:after="0" w:line="276" w:lineRule="auto"/>
        <w:jc w:val="both"/>
        <w:rPr>
          <w:rFonts w:ascii="Verdana" w:hAnsi="Verdana" w:eastAsia="Calibri" w:cs="Arial"/>
          <w:color w:val="000000" w:themeColor="text1"/>
          <w:shd w:val="clear" w:color="auto" w:fill="FFFFFF"/>
        </w:rPr>
      </w:pPr>
      <w:r w:rsidRPr="00DD781E">
        <w:rPr>
          <w:rStyle w:val="normaltextrun"/>
          <w:rFonts w:ascii="Verdana" w:hAnsi="Verdana" w:cs="Arial"/>
          <w:shd w:val="clear" w:color="auto" w:fill="FFFFFF"/>
          <w:lang w:val="es-ES"/>
        </w:rPr>
        <w:t>Esta Subdirección se ha pronunciado sobre el régimen de garantías en los Conceptos</w:t>
      </w:r>
      <w:r w:rsidRPr="00DD781E">
        <w:rPr>
          <w:rStyle w:val="normaltextrun"/>
          <w:rFonts w:ascii="Verdana" w:hAnsi="Verdana" w:cs="Calibri"/>
          <w:shd w:val="clear" w:color="auto" w:fill="FFFFFF"/>
        </w:rPr>
        <w:t xml:space="preserve"> </w:t>
      </w:r>
      <w:r w:rsidRPr="00EE1B01">
        <w:rPr>
          <w:rStyle w:val="normaltextrun"/>
          <w:rFonts w:ascii="Verdana" w:hAnsi="Verdana" w:cs="Arial"/>
          <w:shd w:val="clear" w:color="auto" w:fill="FFFFFF"/>
          <w:lang w:val="es-ES"/>
        </w:rPr>
        <w:t xml:space="preserve">2201913000009075 del 9 de diciembre de 2019, C-080 del 8 de abril de 2021, C-525 del 27 de septiembre de 2021, C- 567 del 08 de octubre del 2021, C-036 del 28 de febrero del 2022, C-126 de 25 de marzo de 2022, C-583 del 19 de octubre de 2022, C-584 del 26 de septiembre de 2022, C-712 del 13 </w:t>
      </w:r>
      <w:r w:rsidRPr="00EE1B01">
        <w:rPr>
          <w:rStyle w:val="normaltextrun"/>
          <w:rFonts w:ascii="Verdana" w:hAnsi="Verdana" w:cs="Arial"/>
          <w:shd w:val="clear" w:color="auto" w:fill="FFFFFF"/>
          <w:lang w:val="es-ES"/>
        </w:rPr>
        <w:lastRenderedPageBreak/>
        <w:t>de octubre de 2022 y C-845 del 7 de diciembre de 2022, C-036 del 31 de marzo de 2023</w:t>
      </w:r>
      <w:r>
        <w:rPr>
          <w:rStyle w:val="normaltextrun"/>
          <w:rFonts w:ascii="Verdana" w:hAnsi="Verdana" w:cs="Arial"/>
          <w:shd w:val="clear" w:color="auto" w:fill="FFFFFF"/>
          <w:lang w:val="es-ES"/>
        </w:rPr>
        <w:t>,</w:t>
      </w:r>
      <w:r w:rsidRPr="00DD781E">
        <w:rPr>
          <w:rStyle w:val="normaltextrun"/>
          <w:rFonts w:ascii="Verdana" w:hAnsi="Verdana" w:cs="Arial"/>
          <w:shd w:val="clear" w:color="auto" w:fill="FFFFFF"/>
          <w:lang w:val="es-ES"/>
        </w:rPr>
        <w:t xml:space="preserve"> C-</w:t>
      </w:r>
      <w:r>
        <w:rPr>
          <w:rStyle w:val="normaltextrun"/>
          <w:rFonts w:ascii="Verdana" w:hAnsi="Verdana" w:cs="Arial"/>
          <w:shd w:val="clear" w:color="auto" w:fill="FFFFFF"/>
          <w:lang w:val="es-ES"/>
        </w:rPr>
        <w:t>386</w:t>
      </w:r>
      <w:r w:rsidRPr="00DD781E">
        <w:rPr>
          <w:rStyle w:val="normaltextrun"/>
          <w:rFonts w:ascii="Verdana" w:hAnsi="Verdana" w:cs="Arial"/>
          <w:shd w:val="clear" w:color="auto" w:fill="FFFFFF"/>
          <w:lang w:val="es-ES"/>
        </w:rPr>
        <w:t xml:space="preserve"> del </w:t>
      </w:r>
      <w:r>
        <w:rPr>
          <w:rStyle w:val="normaltextrun"/>
          <w:rFonts w:ascii="Verdana" w:hAnsi="Verdana" w:cs="Arial"/>
          <w:shd w:val="clear" w:color="auto" w:fill="FFFFFF"/>
          <w:lang w:val="es-ES"/>
        </w:rPr>
        <w:t>31</w:t>
      </w:r>
      <w:r w:rsidRPr="00DD781E">
        <w:rPr>
          <w:rStyle w:val="normaltextrun"/>
          <w:rFonts w:ascii="Verdana" w:hAnsi="Verdana" w:cs="Arial"/>
          <w:shd w:val="clear" w:color="auto" w:fill="FFFFFF"/>
          <w:lang w:val="es-ES"/>
        </w:rPr>
        <w:t xml:space="preserve"> de </w:t>
      </w:r>
      <w:r>
        <w:rPr>
          <w:rStyle w:val="normaltextrun"/>
          <w:rFonts w:ascii="Verdana" w:hAnsi="Verdana" w:cs="Arial"/>
          <w:shd w:val="clear" w:color="auto" w:fill="FFFFFF"/>
          <w:lang w:val="es-ES"/>
        </w:rPr>
        <w:t>enero</w:t>
      </w:r>
      <w:r w:rsidRPr="00DD781E">
        <w:rPr>
          <w:rStyle w:val="normaltextrun"/>
          <w:rFonts w:ascii="Verdana" w:hAnsi="Verdana" w:cs="Arial"/>
          <w:shd w:val="clear" w:color="auto" w:fill="FFFFFF"/>
          <w:lang w:val="es-ES"/>
        </w:rPr>
        <w:t xml:space="preserve"> de 202</w:t>
      </w:r>
      <w:r>
        <w:rPr>
          <w:rStyle w:val="normaltextrun"/>
          <w:rFonts w:ascii="Verdana" w:hAnsi="Verdana" w:cs="Arial"/>
          <w:shd w:val="clear" w:color="auto" w:fill="FFFFFF"/>
          <w:lang w:val="es-ES"/>
        </w:rPr>
        <w:t>4 y C-171 de julio 2024</w:t>
      </w:r>
      <w:r w:rsidRPr="00EA761C">
        <w:rPr>
          <w:rStyle w:val="normaltextrun"/>
          <w:rFonts w:ascii="Verdana" w:hAnsi="Verdana" w:cs="Arial"/>
          <w:shd w:val="clear" w:color="auto" w:fill="FFFFFF"/>
          <w:lang w:val="es-ES"/>
        </w:rPr>
        <w:t xml:space="preserve">. </w:t>
      </w:r>
      <w:r w:rsidRPr="008328CE">
        <w:rPr>
          <w:rFonts w:ascii="Verdana" w:hAnsi="Verdana" w:eastAsia="Calibri"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2">
        <w:r w:rsidRPr="008328CE">
          <w:rPr>
            <w:rStyle w:val="Hipervnculo"/>
            <w:rFonts w:ascii="Verdana" w:hAnsi="Verdana" w:eastAsia="Calibri" w:cs="Arial"/>
            <w:color w:val="000000" w:themeColor="text1"/>
            <w:shd w:val="clear" w:color="auto" w:fill="FFFFFF"/>
          </w:rPr>
          <w:t>https://relatoria.colombiacompra.gov.co/</w:t>
        </w:r>
      </w:hyperlink>
      <w:r>
        <w:rPr>
          <w:rFonts w:ascii="Verdana" w:hAnsi="Verdana" w:eastAsia="Calibri" w:cs="Arial"/>
          <w:color w:val="000000" w:themeColor="text1"/>
          <w:shd w:val="clear" w:color="auto" w:fill="FFFFFF"/>
        </w:rPr>
        <w:t>.</w:t>
      </w:r>
      <w:r w:rsidRPr="008328CE">
        <w:rPr>
          <w:rFonts w:ascii="Verdana" w:hAnsi="Verdana" w:eastAsia="Calibri" w:cs="Arial"/>
          <w:color w:val="000000" w:themeColor="text1"/>
          <w:shd w:val="clear" w:color="auto" w:fill="FFFFFF"/>
        </w:rPr>
        <w:t xml:space="preserve"> Te invitamos también a revisar la tercera edición del  Boletín de Relatoría de 2024 en el cual podrás consultar en detalle el marco normativo de documentos tipo: </w:t>
      </w:r>
      <w:hyperlink w:tgtFrame="_blank" w:tooltip="Dirección URL original: https://www.colombiacompra.gov.co/sites/cce_public/files/files_2020/boletin_de_realtoria_iii.pdf. Haga clic o pulse si confía en este vínculo." w:history="1" r:id="rId13">
        <w:r w:rsidRPr="008328CE">
          <w:rPr>
            <w:rStyle w:val="Hipervnculo"/>
            <w:rFonts w:ascii="Verdana" w:hAnsi="Verdana" w:eastAsia="Calibri" w:cs="Arial"/>
            <w:color w:val="000000" w:themeColor="text1"/>
            <w:shd w:val="clear" w:color="auto" w:fill="FFFFFF"/>
          </w:rPr>
          <w:t>https://www.colombiacompra.gov.co/sites/cce_public/files/files_2020/boletin_de_realtoria_iii.pdf</w:t>
        </w:r>
      </w:hyperlink>
      <w:r w:rsidRPr="008328CE">
        <w:rPr>
          <w:rFonts w:ascii="Verdana" w:hAnsi="Verdana" w:eastAsia="Calibri" w:cs="Arial"/>
          <w:color w:val="000000" w:themeColor="text1"/>
          <w:shd w:val="clear" w:color="auto" w:fill="FFFFFF"/>
        </w:rPr>
        <w:t>.  </w:t>
      </w:r>
    </w:p>
    <w:p w:rsidRPr="009322DA" w:rsidR="00FF1ECE" w:rsidP="00FF1ECE" w:rsidRDefault="00FF1ECE" w14:paraId="41C61410" w14:textId="77777777">
      <w:pPr>
        <w:spacing w:after="0" w:line="276" w:lineRule="auto"/>
        <w:jc w:val="both"/>
        <w:rPr>
          <w:rFonts w:ascii="Verdana" w:hAnsi="Verdana" w:eastAsia="Calibri" w:cs="Arial"/>
          <w:color w:val="FF0000"/>
          <w:shd w:val="clear" w:color="auto" w:fill="FFFFFF"/>
        </w:rPr>
      </w:pPr>
    </w:p>
    <w:p w:rsidRPr="009322DA" w:rsidR="00FF1ECE" w:rsidP="00FF1ECE" w:rsidRDefault="00FF1ECE" w14:paraId="66FC93FC" w14:textId="77777777">
      <w:pPr>
        <w:spacing w:after="0" w:line="240" w:lineRule="auto"/>
        <w:jc w:val="both"/>
        <w:rPr>
          <w:rFonts w:ascii="Calibri" w:hAnsi="Calibri" w:eastAsia="Calibri" w:cs="Times New Roman"/>
        </w:rPr>
      </w:pPr>
      <w:r w:rsidRPr="0044528D">
        <w:rPr>
          <w:rFonts w:ascii="Verdana" w:hAnsi="Verdana"/>
        </w:rPr>
        <w:t xml:space="preserve">Por último, lo invitamos a seguirnos en las redes sociales en las cuales se difunde información institucional: </w:t>
      </w:r>
    </w:p>
    <w:p w:rsidRPr="0044528D" w:rsidR="00FF1ECE" w:rsidP="00FF1ECE" w:rsidRDefault="00FF1ECE" w14:paraId="02C61327" w14:textId="77777777">
      <w:pPr>
        <w:spacing w:after="0" w:line="240" w:lineRule="auto"/>
        <w:jc w:val="both"/>
        <w:rPr>
          <w:rFonts w:ascii="Verdana" w:hAnsi="Verdana"/>
        </w:rPr>
      </w:pPr>
    </w:p>
    <w:p w:rsidRPr="0044528D" w:rsidR="00FF1ECE" w:rsidP="00FF1ECE" w:rsidRDefault="00FF1ECE" w14:paraId="03D9622A" w14:textId="77777777">
      <w:pPr>
        <w:spacing w:after="0" w:line="240" w:lineRule="auto"/>
        <w:jc w:val="both"/>
        <w:rPr>
          <w:rFonts w:ascii="Verdana" w:hAnsi="Verdana"/>
        </w:rPr>
      </w:pPr>
      <w:r w:rsidRPr="0044528D">
        <w:rPr>
          <w:rFonts w:ascii="Verdana" w:hAnsi="Verdana"/>
        </w:rPr>
        <w:t xml:space="preserve">Twitter: </w:t>
      </w:r>
      <w:r w:rsidRPr="009322DA">
        <w:rPr>
          <w:rFonts w:ascii="Verdana" w:hAnsi="Verdana" w:eastAsia="Calibri" w:cs="Times New Roman"/>
          <w:color w:val="4472C4" w:themeColor="accent1"/>
          <w:u w:val="single"/>
        </w:rPr>
        <w:t>@colombiacompra</w:t>
      </w:r>
      <w:r w:rsidRPr="009322DA">
        <w:rPr>
          <w:rFonts w:ascii="Verdana" w:hAnsi="Verdana" w:eastAsia="Calibri" w:cs="Times New Roman"/>
          <w:color w:val="4472C4" w:themeColor="accent1"/>
        </w:rPr>
        <w:t xml:space="preserve"> </w:t>
      </w:r>
    </w:p>
    <w:p w:rsidRPr="0044528D" w:rsidR="00FF1ECE" w:rsidP="00FF1ECE" w:rsidRDefault="00FF1ECE" w14:paraId="45979211" w14:textId="77777777">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hAnsi="Verdana" w:eastAsia="Calibri" w:cs="Times New Roman"/>
          <w:color w:val="4472C4" w:themeColor="accent1"/>
          <w:u w:val="single"/>
        </w:rPr>
        <w:t>ColombiaCompraEficiente</w:t>
      </w:r>
      <w:proofErr w:type="spellEnd"/>
    </w:p>
    <w:p w:rsidRPr="0044528D" w:rsidR="00FF1ECE" w:rsidP="00FF1ECE" w:rsidRDefault="00FF1ECE" w14:paraId="62CB7878" w14:textId="77777777">
      <w:pPr>
        <w:spacing w:after="0" w:line="240" w:lineRule="auto"/>
        <w:jc w:val="both"/>
        <w:rPr>
          <w:rFonts w:ascii="Verdana" w:hAnsi="Verdana"/>
        </w:rPr>
      </w:pPr>
      <w:r w:rsidRPr="0044528D">
        <w:rPr>
          <w:rFonts w:ascii="Verdana" w:hAnsi="Verdana"/>
        </w:rPr>
        <w:t xml:space="preserve">LinkedIn: </w:t>
      </w:r>
      <w:r w:rsidRPr="009322DA">
        <w:rPr>
          <w:rFonts w:ascii="Verdana" w:hAnsi="Verdana" w:eastAsia="Calibri" w:cs="Times New Roman"/>
          <w:color w:val="4472C4" w:themeColor="accent1"/>
          <w:u w:val="single"/>
        </w:rPr>
        <w:t>Agencia Nacional de Contratación Pública - Colombia Compra Eficiente</w:t>
      </w:r>
      <w:r w:rsidRPr="009322DA">
        <w:rPr>
          <w:rFonts w:ascii="Verdana" w:hAnsi="Verdana" w:eastAsia="Calibri" w:cs="Times New Roman"/>
          <w:color w:val="4472C4" w:themeColor="accent1"/>
        </w:rPr>
        <w:t xml:space="preserve"> </w:t>
      </w:r>
      <w:r w:rsidRPr="0044528D">
        <w:rPr>
          <w:rFonts w:ascii="Verdana" w:hAnsi="Verdana"/>
        </w:rPr>
        <w:t xml:space="preserve">Instagram: </w:t>
      </w:r>
      <w:r w:rsidRPr="009322DA">
        <w:rPr>
          <w:rFonts w:ascii="Verdana" w:hAnsi="Verdana" w:eastAsia="Calibri" w:cs="Times New Roman"/>
          <w:color w:val="4472C4" w:themeColor="accent1"/>
          <w:u w:val="single"/>
        </w:rPr>
        <w:t>@colombiacompraeficiente_cce</w:t>
      </w:r>
    </w:p>
    <w:p w:rsidRPr="0044528D" w:rsidR="00FF1ECE" w:rsidP="00FF1ECE" w:rsidRDefault="00FF1ECE" w14:paraId="32D99080" w14:textId="77777777">
      <w:pPr>
        <w:widowControl w:val="0"/>
        <w:autoSpaceDE w:val="0"/>
        <w:autoSpaceDN w:val="0"/>
        <w:spacing w:after="0" w:line="276" w:lineRule="auto"/>
        <w:jc w:val="both"/>
        <w:rPr>
          <w:rFonts w:ascii="Verdana" w:hAnsi="Verdana"/>
        </w:rPr>
      </w:pPr>
    </w:p>
    <w:p w:rsidRPr="009322DA" w:rsidR="00FF1ECE" w:rsidP="00FF1ECE" w:rsidRDefault="00FF1ECE" w14:paraId="5F895078" w14:textId="77777777">
      <w:pPr>
        <w:widowControl w:val="0"/>
        <w:autoSpaceDE w:val="0"/>
        <w:autoSpaceDN w:val="0"/>
        <w:spacing w:after="0" w:line="276" w:lineRule="auto"/>
        <w:jc w:val="both"/>
        <w:rPr>
          <w:rFonts w:ascii="Verdana" w:hAnsi="Verdana" w:eastAsia="Calibri" w:cs="Arial"/>
          <w:lang w:val="es-ES_tradnl"/>
        </w:rPr>
      </w:pPr>
      <w:r w:rsidRPr="009322DA">
        <w:rPr>
          <w:rFonts w:ascii="Verdana" w:hAnsi="Verdana" w:eastAsia="Calibri" w:cs="Arial"/>
        </w:rPr>
        <w:t>Este concepto tiene el alcance previsto en el artículo 28 del Código de Procedimiento Administrativo y de lo Contencioso Administrativo.</w:t>
      </w:r>
    </w:p>
    <w:p w:rsidRPr="009322DA" w:rsidR="00FF1ECE" w:rsidP="00FF1ECE" w:rsidRDefault="00FF1ECE" w14:paraId="31E100DC" w14:textId="77777777">
      <w:pPr>
        <w:widowControl w:val="0"/>
        <w:autoSpaceDE w:val="0"/>
        <w:autoSpaceDN w:val="0"/>
        <w:spacing w:after="0" w:line="276" w:lineRule="auto"/>
        <w:jc w:val="both"/>
        <w:rPr>
          <w:rFonts w:ascii="Verdana" w:hAnsi="Verdana" w:eastAsia="Calibri" w:cs="Arial"/>
        </w:rPr>
      </w:pPr>
    </w:p>
    <w:p w:rsidRPr="009322DA" w:rsidR="00FF1ECE" w:rsidP="00FF1ECE" w:rsidRDefault="00FF1ECE" w14:paraId="1FEAB5AA" w14:textId="77777777">
      <w:pPr>
        <w:spacing w:after="0" w:line="240" w:lineRule="auto"/>
        <w:rPr>
          <w:rFonts w:ascii="Verdana" w:hAnsi="Verdana" w:eastAsia="Calibri" w:cs="Arial"/>
          <w:lang w:eastAsia="es-CO"/>
        </w:rPr>
      </w:pPr>
      <w:r w:rsidRPr="009322DA">
        <w:rPr>
          <w:rFonts w:ascii="Verdana" w:hAnsi="Verdana" w:eastAsia="Times New Roman" w:cs="Arial"/>
          <w:lang w:eastAsia="es-CO"/>
        </w:rPr>
        <w:t>Atentamente,</w:t>
      </w:r>
      <w:r w:rsidRPr="009322DA">
        <w:rPr>
          <w:rFonts w:ascii="Verdana" w:hAnsi="Verdana" w:eastAsia="Calibri" w:cs="Arial"/>
          <w:lang w:eastAsia="es-CO"/>
        </w:rPr>
        <w:t xml:space="preserve"> </w:t>
      </w:r>
    </w:p>
    <w:p w:rsidRPr="009322DA" w:rsidR="00FF1ECE" w:rsidP="00FF1ECE" w:rsidRDefault="00513EDD" w14:paraId="0A480803" w14:textId="3B3CFE21">
      <w:pPr>
        <w:spacing w:line="276" w:lineRule="auto"/>
        <w:jc w:val="center"/>
        <w:rPr>
          <w:rFonts w:ascii="Verdana" w:hAnsi="Verdana" w:eastAsia="Calibri" w:cs="Arial"/>
          <w:color w:val="000000"/>
          <w:lang w:val="es-ES_tradnl" w:eastAsia="es-CO"/>
        </w:rPr>
      </w:pPr>
      <w:r w:rsidRPr="002C3AD6">
        <w:rPr>
          <w:rFonts w:ascii="Century Gothic" w:hAnsi="Century Gothic"/>
          <w:noProof/>
        </w:rPr>
        <w:drawing>
          <wp:inline distT="0" distB="0" distL="0" distR="0" wp14:anchorId="387036BA" wp14:editId="43F04C7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9322DA" w:rsidR="00FF1ECE" w:rsidTr="001449F3" w14:paraId="6389589D" w14:textId="77777777">
        <w:trPr>
          <w:trHeight w:val="315"/>
        </w:trPr>
        <w:tc>
          <w:tcPr>
            <w:tcW w:w="893" w:type="dxa"/>
            <w:vAlign w:val="center"/>
            <w:hideMark/>
          </w:tcPr>
          <w:p w:rsidRPr="009322DA" w:rsidR="00FF1ECE" w:rsidP="001449F3" w:rsidRDefault="00FF1ECE" w14:paraId="086818FC" w14:textId="77777777">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9322DA" w:rsidR="00FF1ECE" w:rsidP="001449F3" w:rsidRDefault="00FF1ECE" w14:paraId="1C933060" w14:textId="77777777">
            <w:pPr>
              <w:spacing w:after="255"/>
              <w:contextualSpacing/>
              <w:rPr>
                <w:rFonts w:ascii="Verdana" w:hAnsi="Verdana" w:eastAsia="Arial" w:cs="Arial"/>
                <w:sz w:val="16"/>
                <w:szCs w:val="16"/>
              </w:rPr>
            </w:pPr>
            <w:r w:rsidRPr="009322DA">
              <w:rPr>
                <w:rFonts w:ascii="Verdana" w:hAnsi="Verdana"/>
                <w:sz w:val="16"/>
                <w:szCs w:val="16"/>
              </w:rPr>
              <w:t>Juan Manuel Avendaño Robles</w:t>
            </w:r>
          </w:p>
          <w:p w:rsidRPr="009322DA" w:rsidR="00FF1ECE" w:rsidP="001449F3" w:rsidRDefault="00FF1ECE" w14:paraId="55B38886" w14:textId="77777777">
            <w:pPr>
              <w:spacing w:after="255"/>
              <w:contextualSpacing/>
              <w:rPr>
                <w:rFonts w:ascii="Verdana" w:hAnsi="Verdana" w:eastAsia="Arial" w:cs="Arial"/>
                <w:sz w:val="16"/>
                <w:szCs w:val="16"/>
              </w:rPr>
            </w:pPr>
            <w:r w:rsidRPr="009322DA">
              <w:rPr>
                <w:rFonts w:ascii="Verdana" w:hAnsi="Verdana" w:eastAsia="Arial" w:cs="Arial"/>
                <w:sz w:val="16"/>
                <w:szCs w:val="16"/>
              </w:rPr>
              <w:t>Contratista de la Subdirección de Gestión Contractual</w:t>
            </w:r>
          </w:p>
        </w:tc>
      </w:tr>
      <w:tr w:rsidRPr="009322DA" w:rsidR="00FF1ECE" w:rsidTr="001449F3" w14:paraId="69FB029C" w14:textId="77777777">
        <w:trPr>
          <w:trHeight w:val="330"/>
        </w:trPr>
        <w:tc>
          <w:tcPr>
            <w:tcW w:w="893" w:type="dxa"/>
            <w:vAlign w:val="center"/>
            <w:hideMark/>
          </w:tcPr>
          <w:p w:rsidRPr="009322DA" w:rsidR="00FF1ECE" w:rsidP="001449F3" w:rsidRDefault="00FF1ECE" w14:paraId="27197A5E" w14:textId="77777777">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9322DA" w:rsidR="00FF1ECE" w:rsidP="001449F3" w:rsidRDefault="00FF1ECE" w14:paraId="1778413E" w14:textId="3218D3E2">
            <w:pPr>
              <w:contextualSpacing/>
              <w:textAlignment w:val="baseline"/>
              <w:rPr>
                <w:rFonts w:ascii="Verdana" w:hAnsi="Verdana" w:eastAsia="Times New Roman" w:cs="Arial"/>
                <w:sz w:val="16"/>
                <w:szCs w:val="16"/>
                <w:lang w:eastAsia="es-ES_tradnl"/>
              </w:rPr>
            </w:pPr>
            <w:r>
              <w:rPr>
                <w:rFonts w:ascii="Verdana" w:hAnsi="Verdana" w:eastAsia="Times New Roman" w:cs="Arial"/>
                <w:sz w:val="16"/>
                <w:szCs w:val="16"/>
                <w:lang w:eastAsia="es-ES_tradnl"/>
              </w:rPr>
              <w:t>Juan David Cárdenas Cabeza</w:t>
            </w:r>
          </w:p>
          <w:p w:rsidRPr="009322DA" w:rsidR="00FF1ECE" w:rsidP="001449F3" w:rsidRDefault="00FF1ECE" w14:paraId="7B6B99DF" w14:textId="77777777">
            <w:pPr>
              <w:contextualSpacing/>
              <w:textAlignment w:val="baseline"/>
              <w:rPr>
                <w:rFonts w:ascii="Verdana" w:hAnsi="Verdana" w:eastAsia="Times New Roman" w:cs="Segoe UI"/>
                <w:sz w:val="16"/>
                <w:szCs w:val="16"/>
                <w:lang w:eastAsia="es-ES_tradnl"/>
              </w:rPr>
            </w:pPr>
            <w:r>
              <w:rPr>
                <w:rFonts w:ascii="Verdana" w:hAnsi="Verdana" w:eastAsia="Times New Roman" w:cs="Arial"/>
                <w:sz w:val="16"/>
                <w:szCs w:val="16"/>
                <w:lang w:eastAsia="es-ES_tradnl"/>
              </w:rPr>
              <w:t>Contratista</w:t>
            </w:r>
            <w:r w:rsidRPr="009322DA">
              <w:rPr>
                <w:rFonts w:ascii="Verdana" w:hAnsi="Verdana" w:eastAsia="Times New Roman" w:cs="Arial"/>
                <w:sz w:val="16"/>
                <w:szCs w:val="16"/>
                <w:lang w:eastAsia="es-ES_tradnl"/>
              </w:rPr>
              <w:t xml:space="preserve"> de la Subdirección de Gestión Contractual</w:t>
            </w:r>
          </w:p>
        </w:tc>
      </w:tr>
      <w:tr w:rsidRPr="009322DA" w:rsidR="00FF1ECE" w:rsidTr="001449F3" w14:paraId="451CD89C" w14:textId="77777777">
        <w:trPr>
          <w:trHeight w:val="300"/>
        </w:trPr>
        <w:tc>
          <w:tcPr>
            <w:tcW w:w="893" w:type="dxa"/>
            <w:vAlign w:val="center"/>
            <w:hideMark/>
          </w:tcPr>
          <w:p w:rsidRPr="009322DA" w:rsidR="00FF1ECE" w:rsidP="001449F3" w:rsidRDefault="00FF1ECE" w14:paraId="5DA00B96" w14:textId="77777777">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9322DA" w:rsidR="00FF1ECE" w:rsidP="001449F3" w:rsidRDefault="00FF1ECE" w14:paraId="5FE96F6D" w14:textId="77777777">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Carolina Quintero Gacharná</w:t>
            </w:r>
          </w:p>
          <w:p w:rsidRPr="009322DA" w:rsidR="00FF1ECE" w:rsidP="001449F3" w:rsidRDefault="00FF1ECE" w14:paraId="1964A50E" w14:textId="77777777">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Contractual ANCP – CCE</w:t>
            </w:r>
          </w:p>
        </w:tc>
      </w:tr>
    </w:tbl>
    <w:p w:rsidRPr="002C290C" w:rsidR="00FF1ECE" w:rsidP="00FF1ECE" w:rsidRDefault="00FF1ECE" w14:paraId="7EAEC04B" w14:textId="77777777"/>
    <w:p w:rsidRPr="00FF1ECE" w:rsidR="00127233" w:rsidP="00FF1ECE" w:rsidRDefault="00127233" w14:paraId="0F293BF4" w14:textId="7BBFAB11"/>
    <w:sectPr w:rsidRPr="00FF1ECE" w:rsidR="00127233" w:rsidSect="007C0C0F">
      <w:headerReference w:type="default" r:id="rId15"/>
      <w:footerReference w:type="default" r:id="rId16"/>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081E" w:rsidP="004A1847" w:rsidRDefault="003B081E" w14:paraId="7E206796" w14:textId="77777777">
      <w:pPr>
        <w:spacing w:after="0" w:line="240" w:lineRule="auto"/>
      </w:pPr>
      <w:r>
        <w:separator/>
      </w:r>
    </w:p>
  </w:endnote>
  <w:endnote w:type="continuationSeparator" w:id="0">
    <w:p w:rsidR="003B081E" w:rsidP="004A1847" w:rsidRDefault="003B081E" w14:paraId="083B087C" w14:textId="77777777">
      <w:pPr>
        <w:spacing w:after="0" w:line="240" w:lineRule="auto"/>
      </w:pPr>
      <w:r>
        <w:continuationSeparator/>
      </w:r>
    </w:p>
  </w:endnote>
  <w:endnote w:type="continuationNotice" w:id="1">
    <w:p w:rsidR="003B081E" w:rsidRDefault="003B081E" w14:paraId="1F2162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081E" w:rsidP="004A1847" w:rsidRDefault="003B081E" w14:paraId="1502BF0A" w14:textId="77777777">
      <w:pPr>
        <w:spacing w:after="0" w:line="240" w:lineRule="auto"/>
      </w:pPr>
      <w:r>
        <w:separator/>
      </w:r>
    </w:p>
  </w:footnote>
  <w:footnote w:type="continuationSeparator" w:id="0">
    <w:p w:rsidR="003B081E" w:rsidP="004A1847" w:rsidRDefault="003B081E" w14:paraId="16157262" w14:textId="77777777">
      <w:pPr>
        <w:spacing w:after="0" w:line="240" w:lineRule="auto"/>
      </w:pPr>
      <w:r>
        <w:continuationSeparator/>
      </w:r>
    </w:p>
  </w:footnote>
  <w:footnote w:type="continuationNotice" w:id="1">
    <w:p w:rsidR="003B081E" w:rsidRDefault="003B081E" w14:paraId="41F40490" w14:textId="77777777">
      <w:pPr>
        <w:spacing w:after="0" w:line="240" w:lineRule="auto"/>
      </w:pPr>
    </w:p>
  </w:footnote>
  <w:footnote w:id="2">
    <w:p w:rsidRPr="00AC4B25" w:rsidR="00FF1ECE" w:rsidP="00FF1ECE" w:rsidRDefault="00FF1ECE" w14:paraId="6FE57535" w14:textId="77777777">
      <w:pPr>
        <w:pStyle w:val="Textonotapie"/>
        <w:ind w:firstLine="708"/>
        <w:jc w:val="both"/>
        <w:rPr>
          <w:rFonts w:ascii="Verdana" w:hAnsi="Verdana" w:cs="Arial"/>
          <w:sz w:val="16"/>
          <w:szCs w:val="16"/>
        </w:rPr>
      </w:pPr>
      <w:r w:rsidRPr="00AC4B25">
        <w:rPr>
          <w:rStyle w:val="Refdenotaalpie"/>
          <w:rFonts w:ascii="Verdana" w:hAnsi="Verdana" w:cs="Arial"/>
          <w:sz w:val="16"/>
          <w:szCs w:val="16"/>
        </w:rPr>
        <w:footnoteRef/>
      </w:r>
      <w:r w:rsidRPr="00AC4B25">
        <w:rPr>
          <w:rFonts w:ascii="Verdana" w:hAnsi="Verdana" w:cs="Arial"/>
          <w:sz w:val="16"/>
          <w:szCs w:val="16"/>
        </w:rPr>
        <w:t xml:space="preserve"> “Artículo 2.2.1.2.3.1.12. Suficiencia de la garantía de cumplimiento. La garantía de cumplimiento del contrato debe tener una vigencia mínima hasta la liquidación del contrato. El valor de esta garantía debe ser de por lo menos el diez por ciento (10%) del valor del contrato a menos que el valor del contrato sea superior a un millón (1.000.000) de smmlv, caso en el cual la Entidad Estatal aplicará las siguientes reglas: </w:t>
      </w:r>
    </w:p>
    <w:p w:rsidRPr="00AC4B25" w:rsidR="00FF1ECE" w:rsidP="00FF1ECE" w:rsidRDefault="00FF1ECE" w14:paraId="50CE6053" w14:textId="77777777">
      <w:pPr>
        <w:pStyle w:val="Textonotapie"/>
        <w:ind w:firstLine="708"/>
        <w:jc w:val="both"/>
        <w:rPr>
          <w:rFonts w:ascii="Verdana" w:hAnsi="Verdana" w:cs="Arial"/>
          <w:sz w:val="16"/>
          <w:szCs w:val="16"/>
        </w:rPr>
      </w:pPr>
      <w:r w:rsidRPr="00AC4B25">
        <w:rPr>
          <w:rFonts w:ascii="Verdana" w:hAnsi="Verdana" w:cs="Arial"/>
          <w:sz w:val="16"/>
          <w:szCs w:val="16"/>
        </w:rPr>
        <w:t xml:space="preserve">1. Si el valor del contrato es superior a un millón (1.000.000) de smmlv y hasta cinco millones (5.000.000) de smmlv, la Entidad Estatal puede aceptar garantías que cubran al menos el dos punto cinco por ciento (2,5%) del valor del contrato. </w:t>
      </w:r>
    </w:p>
    <w:p w:rsidRPr="00AC4B25" w:rsidR="00FF1ECE" w:rsidP="00FF1ECE" w:rsidRDefault="00FF1ECE" w14:paraId="1852238D" w14:textId="77777777">
      <w:pPr>
        <w:pStyle w:val="Textonotapie"/>
        <w:ind w:firstLine="708"/>
        <w:jc w:val="both"/>
        <w:rPr>
          <w:rFonts w:ascii="Verdana" w:hAnsi="Verdana" w:cs="Arial"/>
          <w:sz w:val="16"/>
          <w:szCs w:val="16"/>
        </w:rPr>
      </w:pPr>
      <w:r w:rsidRPr="00AC4B25">
        <w:rPr>
          <w:rFonts w:ascii="Verdana" w:hAnsi="Verdana" w:cs="Arial"/>
          <w:sz w:val="16"/>
          <w:szCs w:val="16"/>
        </w:rPr>
        <w:t xml:space="preserve">2. Si el valor del contrato es superior a cinco millones (5.000.000) de smmlv y hasta diez millones (10.000.000) de smmlv, la Entidad Estatal puede aceptar garantías que cubran al menos el uno por ciento (1%) del valor del contrato. </w:t>
      </w:r>
    </w:p>
    <w:p w:rsidRPr="00AC4B25" w:rsidR="00FF1ECE" w:rsidP="00FF1ECE" w:rsidRDefault="00FF1ECE" w14:paraId="222A9212" w14:textId="77777777">
      <w:pPr>
        <w:pStyle w:val="Textonotapie"/>
        <w:ind w:firstLine="708"/>
        <w:jc w:val="both"/>
        <w:rPr>
          <w:rFonts w:ascii="Verdana" w:hAnsi="Verdana" w:cs="Arial"/>
          <w:sz w:val="16"/>
          <w:szCs w:val="16"/>
        </w:rPr>
      </w:pPr>
      <w:r w:rsidRPr="00AC4B25">
        <w:rPr>
          <w:rFonts w:ascii="Verdana" w:hAnsi="Verdana" w:cs="Arial"/>
          <w:sz w:val="16"/>
          <w:szCs w:val="16"/>
        </w:rPr>
        <w:t>3. Si el valor del contrato es superior a diez millones (10.000.000) de smmlv, la Entidad Estatal puede aceptar garantías que cubran al menos el cero punto cinco por ciento (0,5%) del valor del contrato.</w:t>
      </w:r>
    </w:p>
    <w:p w:rsidRPr="00AC4B25" w:rsidR="00FF1ECE" w:rsidP="00FF1ECE" w:rsidRDefault="00FF1ECE" w14:paraId="563278B5" w14:textId="77777777">
      <w:pPr>
        <w:pStyle w:val="Textonotapie"/>
        <w:ind w:firstLine="708"/>
        <w:jc w:val="both"/>
        <w:rPr>
          <w:rFonts w:ascii="Verdana" w:hAnsi="Verdana" w:cs="Arial"/>
          <w:sz w:val="16"/>
          <w:szCs w:val="16"/>
          <w:lang w:val="es-CO"/>
        </w:rPr>
      </w:pPr>
      <w:r w:rsidRPr="00AC4B25">
        <w:rPr>
          <w:rFonts w:ascii="Verdana" w:hAnsi="Verdana" w:cs="Arial"/>
          <w:sz w:val="16"/>
          <w:szCs w:val="16"/>
        </w:rPr>
        <w:t>4. Colombia Compra Eficiente debe determinar el valor de la garantía única de cumplimiento del Acuerdo Marco de Precios de acuerdo con el objeto, el valor, la naturaleza y las obligaciones contenidas en este”.</w:t>
      </w:r>
    </w:p>
  </w:footnote>
  <w:footnote w:id="3">
    <w:p w:rsidRPr="00AC4B25" w:rsidR="00FF1ECE" w:rsidP="00FF1ECE" w:rsidRDefault="00FF1ECE" w14:paraId="694D8C1F" w14:textId="77777777">
      <w:pPr>
        <w:pStyle w:val="Textonotapie"/>
        <w:ind w:firstLine="708"/>
        <w:jc w:val="both"/>
        <w:rPr>
          <w:rFonts w:ascii="Verdana" w:hAnsi="Verdana" w:cs="Arial"/>
          <w:sz w:val="16"/>
          <w:szCs w:val="16"/>
        </w:rPr>
      </w:pPr>
      <w:r w:rsidRPr="00AC4B25">
        <w:rPr>
          <w:rStyle w:val="Refdenotaalpie"/>
          <w:rFonts w:ascii="Verdana" w:hAnsi="Verdana" w:cs="Arial"/>
          <w:sz w:val="16"/>
          <w:szCs w:val="16"/>
        </w:rPr>
        <w:footnoteRef/>
      </w:r>
      <w:r w:rsidRPr="00AC4B25">
        <w:rPr>
          <w:rFonts w:ascii="Verdana" w:hAnsi="Verdana" w:cs="Arial"/>
          <w:sz w:val="16"/>
          <w:szCs w:val="16"/>
        </w:rPr>
        <w:t xml:space="preserve"> Consejo de Estado, Sección Tercera, Subsección B. Sentencia de 28 de junio de 2012. Radicación número: 25000-23-26-000-1997-05346-01(23966). C.P: Stella Conto Diaz Del Castillo.</w:t>
      </w:r>
    </w:p>
  </w:footnote>
  <w:footnote w:id="4">
    <w:p w:rsidRPr="00AC4B25" w:rsidR="00FF1ECE" w:rsidP="00FF1ECE" w:rsidRDefault="00FF1ECE" w14:paraId="5F056F54" w14:textId="77777777">
      <w:pPr>
        <w:pStyle w:val="Textonotapie"/>
        <w:ind w:firstLine="708"/>
        <w:jc w:val="both"/>
        <w:rPr>
          <w:rFonts w:ascii="Verdana" w:hAnsi="Verdana" w:cs="Arial"/>
          <w:sz w:val="16"/>
          <w:szCs w:val="16"/>
          <w:shd w:val="clear" w:color="auto" w:fill="FFFFFF"/>
        </w:rPr>
      </w:pPr>
      <w:r w:rsidRPr="00AC4B25">
        <w:rPr>
          <w:rStyle w:val="Refdenotaalpie"/>
          <w:rFonts w:ascii="Verdana" w:hAnsi="Verdana" w:cs="Arial"/>
          <w:sz w:val="16"/>
          <w:szCs w:val="16"/>
        </w:rPr>
        <w:footnoteRef/>
      </w:r>
      <w:r w:rsidRPr="00AC4B25">
        <w:rPr>
          <w:rFonts w:ascii="Verdana" w:hAnsi="Verdana" w:cs="Arial"/>
          <w:sz w:val="16"/>
          <w:szCs w:val="16"/>
        </w:rPr>
        <w:t xml:space="preserve"> De conformidad con el artículo </w:t>
      </w:r>
      <w:r w:rsidRPr="00AC4B25">
        <w:rPr>
          <w:rStyle w:val="Textoennegrita"/>
          <w:rFonts w:ascii="Verdana" w:hAnsi="Verdana" w:cs="Arial"/>
          <w:sz w:val="16"/>
          <w:szCs w:val="16"/>
          <w:shd w:val="clear" w:color="auto" w:fill="FFFFFF"/>
        </w:rPr>
        <w:t>2.2.1.2.3.1.5</w:t>
      </w:r>
      <w:r w:rsidRPr="00AC4B25">
        <w:rPr>
          <w:rFonts w:ascii="Verdana" w:hAnsi="Verdana" w:cs="Arial"/>
          <w:sz w:val="16"/>
          <w:szCs w:val="16"/>
          <w:shd w:val="clear" w:color="auto" w:fill="FFFFFF"/>
        </w:rPr>
        <w:t xml:space="preserve"> del Decreto 1082 de 2015, </w:t>
      </w:r>
      <w:r w:rsidRPr="00AC4B25">
        <w:rPr>
          <w:rFonts w:ascii="Verdana" w:hAnsi="Verdana" w:cs="Arial"/>
          <w:sz w:val="16"/>
          <w:szCs w:val="16"/>
        </w:rPr>
        <w:t>“</w:t>
      </w:r>
      <w:r w:rsidRPr="00AC4B25">
        <w:rPr>
          <w:rFonts w:ascii="Verdana" w:hAnsi="Verdana" w:cs="Arial"/>
          <w:sz w:val="16"/>
          <w:szCs w:val="16"/>
          <w:shd w:val="clear" w:color="auto" w:fill="FFFFFF"/>
        </w:rPr>
        <w:t>La responsabilidad extracontractual de la administración derivada de las actuaciones, hechos u omisiones de sus contratistas o subcontratistas solamente puede ser amparada con un contrato de seguro</w:t>
      </w:r>
      <w:r w:rsidRPr="00AC4B25">
        <w:rPr>
          <w:rFonts w:ascii="Verdana" w:hAnsi="Verdana" w:cs="Arial"/>
          <w:sz w:val="16"/>
          <w:szCs w:val="16"/>
        </w:rPr>
        <w:t>”</w:t>
      </w:r>
      <w:r w:rsidRPr="00AC4B25">
        <w:rPr>
          <w:rFonts w:ascii="Verdana" w:hAnsi="Verdana" w:cs="Arial"/>
          <w:sz w:val="16"/>
          <w:szCs w:val="16"/>
          <w:shd w:val="clear" w:color="auto" w:fill="FFFFFF"/>
        </w:rPr>
        <w:t>.</w:t>
      </w:r>
    </w:p>
  </w:footnote>
  <w:footnote w:id="5">
    <w:p w:rsidRPr="00AC4B25" w:rsidR="00FF1ECE" w:rsidP="00FF1ECE" w:rsidRDefault="00FF1ECE" w14:paraId="6E8CE332" w14:textId="77777777">
      <w:pPr>
        <w:pStyle w:val="Textonotapie"/>
        <w:ind w:firstLine="709"/>
        <w:jc w:val="both"/>
        <w:rPr>
          <w:rFonts w:ascii="Verdana" w:hAnsi="Verdana" w:cs="Arial"/>
          <w:sz w:val="16"/>
          <w:szCs w:val="16"/>
        </w:rPr>
      </w:pPr>
      <w:r w:rsidRPr="00AC4B25">
        <w:rPr>
          <w:rStyle w:val="Refdenotaalpie"/>
          <w:rFonts w:ascii="Verdana" w:hAnsi="Verdana" w:cs="Arial"/>
          <w:sz w:val="16"/>
          <w:szCs w:val="16"/>
        </w:rPr>
        <w:footnoteRef/>
      </w:r>
      <w:r w:rsidRPr="00AC4B25">
        <w:rPr>
          <w:rFonts w:ascii="Verdana" w:hAnsi="Verdana" w:cs="Arial"/>
          <w:sz w:val="16"/>
          <w:szCs w:val="16"/>
        </w:rPr>
        <w:t xml:space="preserve"> Consejo de Estado, Sección Tercera, Subsección A. Sentencia del 14 de junio del 2019. Radicación número: 11001 03 26 000 2009 00047 00 (36860)</w:t>
      </w:r>
      <w:r w:rsidRPr="00AC4B25">
        <w:rPr>
          <w:rFonts w:ascii="Verdana" w:hAnsi="Verdana" w:cs="Arial"/>
          <w:bCs/>
          <w:sz w:val="16"/>
          <w:szCs w:val="16"/>
          <w:lang w:val="es-CO"/>
        </w:rPr>
        <w:t xml:space="preserve">. </w:t>
      </w:r>
      <w:r w:rsidRPr="00AC4B25">
        <w:rPr>
          <w:rFonts w:ascii="Verdana" w:hAnsi="Verdana" w:cs="Arial"/>
          <w:sz w:val="16"/>
          <w:szCs w:val="16"/>
        </w:rPr>
        <w:t>C.P: Carlos Alberto Zambrano Barrera.</w:t>
      </w:r>
    </w:p>
  </w:footnote>
  <w:footnote w:id="6">
    <w:p w:rsidRPr="00AC4B25" w:rsidR="00FF1ECE" w:rsidP="00FF1ECE" w:rsidRDefault="00FF1ECE" w14:paraId="2DF4F4C5" w14:textId="77777777">
      <w:pPr>
        <w:pStyle w:val="Textonotapie"/>
        <w:ind w:firstLine="709"/>
        <w:jc w:val="both"/>
        <w:rPr>
          <w:rFonts w:ascii="Verdana" w:hAnsi="Verdana" w:cs="Arial"/>
          <w:sz w:val="16"/>
          <w:szCs w:val="16"/>
          <w:lang w:val="es-CO"/>
        </w:rPr>
      </w:pPr>
      <w:r w:rsidRPr="00AC4B25">
        <w:rPr>
          <w:rStyle w:val="Refdenotaalpie"/>
          <w:rFonts w:ascii="Verdana" w:hAnsi="Verdana" w:cs="Arial"/>
          <w:sz w:val="16"/>
          <w:szCs w:val="16"/>
        </w:rPr>
        <w:footnoteRef/>
      </w:r>
      <w:r w:rsidRPr="00AC4B25">
        <w:rPr>
          <w:rFonts w:ascii="Verdana" w:hAnsi="Verdana" w:cs="Arial"/>
          <w:sz w:val="16"/>
          <w:szCs w:val="16"/>
        </w:rPr>
        <w:t xml:space="preserve"> Consejo de Estado, Sección Segunda, Subsección A. Sentencia del 25 de enero del 2018. Radicación número: </w:t>
      </w:r>
      <w:r w:rsidRPr="00AC4B25">
        <w:rPr>
          <w:rFonts w:ascii="Verdana" w:hAnsi="Verdana" w:cs="Arial"/>
          <w:bCs/>
          <w:sz w:val="16"/>
          <w:szCs w:val="16"/>
          <w:lang w:val="es-CO"/>
        </w:rPr>
        <w:t>11001-03-25-000-2011-00489-00(1924-11).</w:t>
      </w:r>
      <w:r w:rsidRPr="00AC4B25">
        <w:rPr>
          <w:rFonts w:ascii="Verdana" w:hAnsi="Verdana" w:cs="Arial"/>
          <w:b/>
          <w:sz w:val="16"/>
          <w:szCs w:val="16"/>
          <w:lang w:val="es-CO"/>
        </w:rPr>
        <w:t xml:space="preserve"> </w:t>
      </w:r>
      <w:r w:rsidRPr="00AC4B25">
        <w:rPr>
          <w:rFonts w:ascii="Verdana" w:hAnsi="Verdana" w:cs="Arial"/>
          <w:sz w:val="16"/>
          <w:szCs w:val="16"/>
        </w:rPr>
        <w:t>C.P: Gabriel Valbuena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7" style="width:11.4pt;height:11.4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9DC4243"/>
    <w:multiLevelType w:val="hybridMultilevel"/>
    <w:tmpl w:val="A2F0606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072B2"/>
    <w:multiLevelType w:val="hybridMultilevel"/>
    <w:tmpl w:val="D4CE5AB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2028173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171605">
    <w:abstractNumId w:val="10"/>
  </w:num>
  <w:num w:numId="18" w16cid:durableId="679089576">
    <w:abstractNumId w:val="11"/>
  </w:num>
  <w:num w:numId="19" w16cid:durableId="1062675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12F1"/>
    <w:rsid w:val="00082362"/>
    <w:rsid w:val="000A683E"/>
    <w:rsid w:val="000B19B9"/>
    <w:rsid w:val="000B6DEA"/>
    <w:rsid w:val="000C1404"/>
    <w:rsid w:val="000D0334"/>
    <w:rsid w:val="000F6486"/>
    <w:rsid w:val="00125105"/>
    <w:rsid w:val="00127233"/>
    <w:rsid w:val="001E4177"/>
    <w:rsid w:val="001F7DC6"/>
    <w:rsid w:val="002421BB"/>
    <w:rsid w:val="0025796E"/>
    <w:rsid w:val="002707A2"/>
    <w:rsid w:val="00270FA3"/>
    <w:rsid w:val="00292A30"/>
    <w:rsid w:val="002951A0"/>
    <w:rsid w:val="002962BC"/>
    <w:rsid w:val="002A093D"/>
    <w:rsid w:val="002A0DD0"/>
    <w:rsid w:val="002A49AC"/>
    <w:rsid w:val="002A64FD"/>
    <w:rsid w:val="002B507D"/>
    <w:rsid w:val="002C7A84"/>
    <w:rsid w:val="002E4FD9"/>
    <w:rsid w:val="00322A85"/>
    <w:rsid w:val="00324168"/>
    <w:rsid w:val="003448F4"/>
    <w:rsid w:val="00374F5E"/>
    <w:rsid w:val="00377E3E"/>
    <w:rsid w:val="003A26D1"/>
    <w:rsid w:val="003A779E"/>
    <w:rsid w:val="003B081E"/>
    <w:rsid w:val="003D0F4D"/>
    <w:rsid w:val="003D5B0D"/>
    <w:rsid w:val="003E0499"/>
    <w:rsid w:val="003F3941"/>
    <w:rsid w:val="00406575"/>
    <w:rsid w:val="0042722E"/>
    <w:rsid w:val="0044528D"/>
    <w:rsid w:val="00491D42"/>
    <w:rsid w:val="004A1847"/>
    <w:rsid w:val="004A305D"/>
    <w:rsid w:val="004F21C4"/>
    <w:rsid w:val="004F685F"/>
    <w:rsid w:val="00513EDD"/>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833AC"/>
    <w:rsid w:val="007B268C"/>
    <w:rsid w:val="007B7171"/>
    <w:rsid w:val="007C0C0F"/>
    <w:rsid w:val="007C3DC2"/>
    <w:rsid w:val="007E5497"/>
    <w:rsid w:val="0080515A"/>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73070"/>
    <w:rsid w:val="00AB04B9"/>
    <w:rsid w:val="00AB0ADB"/>
    <w:rsid w:val="00AE7CA3"/>
    <w:rsid w:val="00B01B1A"/>
    <w:rsid w:val="00B036CC"/>
    <w:rsid w:val="00B72CD3"/>
    <w:rsid w:val="00B72FFF"/>
    <w:rsid w:val="00BC3D36"/>
    <w:rsid w:val="00BD7F72"/>
    <w:rsid w:val="00C04FB3"/>
    <w:rsid w:val="00C330EB"/>
    <w:rsid w:val="00C754BE"/>
    <w:rsid w:val="00C76B1C"/>
    <w:rsid w:val="00CA0A24"/>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00FF1ECE"/>
    <w:rsid w:val="5CEADB7B"/>
    <w:rsid w:val="75EBB7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FF1ECE"/>
    <w:pPr>
      <w:spacing w:line="240" w:lineRule="exact"/>
    </w:pPr>
    <w:rPr>
      <w:vertAlign w:val="superscript"/>
    </w:rPr>
  </w:style>
  <w:style w:type="table" w:styleId="Tablaconcuadrcula1" w:customStyle="1">
    <w:name w:val="Tabla con cuadrícula1"/>
    <w:basedOn w:val="Tablanormal"/>
    <w:next w:val="Tablaconcuadrcula"/>
    <w:uiPriority w:val="39"/>
    <w:qFormat/>
    <w:rsid w:val="00FF1E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F1ECE"/>
    <w:rPr>
      <w:rFonts w:ascii="Geomanist Light" w:hAnsi="Geomanist Light"/>
      <w:lang w:val="es-ES"/>
    </w:rPr>
  </w:style>
  <w:style w:type="character" w:styleId="Textoennegrita">
    <w:name w:val="Strong"/>
    <w:basedOn w:val="Fuentedeprrafopredeter"/>
    <w:uiPriority w:val="22"/>
    <w:qFormat/>
    <w:rsid w:val="00FF1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m02.safelinks.protection.outlook.com/?url=https%3A%2F%2Fwww.colombiacompra.gov.co%2Fsites%2Fcce_public%2Ffiles%2Ffiles_2020%2Fboletin_de_realtoria_iii.pdf&amp;data=05%7C02%7Cjuan.avendano%40colombiacompra.gov.co%7C5aad36a736844ec87b2108dcc1fa4639%7C7b09041e245149d08cb179d5e3d8c1be%7C0%7C0%7C638598527916589830%7CUnknown%7CTWFpbGZsb3d8eyJWIjoiMC4wLjAwMDAiLCJQIjoiV2luMzIiLCJBTiI6Ik1haWwiLCJXVCI6Mn0%3D%7C0%7C%7C%7C&amp;sdata=n8NgSxrSvJO7kk%2FCAkHZCgzHEwhQu6wmWP1FNXaghcs%3D&amp;reserved=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uriciomanzano@gmail.com"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67926B7-9FC4-4B0E-81C8-CB540C6D55D5}"/>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Betty Elena Díaz Fernandez</lastModifiedBy>
  <revision>3</revision>
  <lastPrinted>2023-01-10T21:18:00.0000000Z</lastPrinted>
  <dcterms:created xsi:type="dcterms:W3CDTF">2024-10-08T17:16:00.0000000Z</dcterms:created>
  <dcterms:modified xsi:type="dcterms:W3CDTF">2024-10-11T03:51:42.1650850Z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