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43CBD" w14:textId="77777777" w:rsidR="00DB1FD3" w:rsidRPr="00F041E2" w:rsidRDefault="00DB1FD3" w:rsidP="00DB1FD3">
      <w:pPr>
        <w:spacing w:after="0" w:line="240" w:lineRule="auto"/>
        <w:jc w:val="both"/>
        <w:rPr>
          <w:rFonts w:ascii="Verdana" w:hAnsi="Verdana" w:cs="Arial"/>
          <w:b/>
          <w:bCs/>
          <w:kern w:val="2"/>
          <w:sz w:val="20"/>
          <w:szCs w:val="20"/>
        </w:rPr>
      </w:pPr>
      <w:r w:rsidRPr="00F041E2">
        <w:rPr>
          <w:rFonts w:ascii="Verdana" w:hAnsi="Verdana" w:cs="Arial"/>
          <w:b/>
          <w:bCs/>
          <w:kern w:val="2"/>
          <w:sz w:val="20"/>
          <w:szCs w:val="20"/>
        </w:rPr>
        <w:t xml:space="preserve">ENTIDADES SIN ÁNIMO DE LUCRO – Naturaleza </w:t>
      </w:r>
      <w:r>
        <w:rPr>
          <w:rFonts w:ascii="Verdana" w:hAnsi="Verdana" w:cs="Arial"/>
          <w:b/>
          <w:bCs/>
          <w:kern w:val="2"/>
          <w:sz w:val="20"/>
          <w:szCs w:val="20"/>
        </w:rPr>
        <w:t>J</w:t>
      </w:r>
      <w:r w:rsidRPr="00F041E2">
        <w:rPr>
          <w:rFonts w:ascii="Verdana" w:hAnsi="Verdana" w:cs="Arial"/>
          <w:b/>
          <w:bCs/>
          <w:kern w:val="2"/>
          <w:sz w:val="20"/>
          <w:szCs w:val="20"/>
        </w:rPr>
        <w:t xml:space="preserve">urídica – Capacidad para </w:t>
      </w:r>
      <w:r>
        <w:rPr>
          <w:rFonts w:ascii="Verdana" w:hAnsi="Verdana" w:cs="Arial"/>
          <w:b/>
          <w:bCs/>
          <w:kern w:val="2"/>
          <w:sz w:val="20"/>
          <w:szCs w:val="20"/>
        </w:rPr>
        <w:t>C</w:t>
      </w:r>
      <w:r w:rsidRPr="00F041E2">
        <w:rPr>
          <w:rFonts w:ascii="Verdana" w:hAnsi="Verdana" w:cs="Arial"/>
          <w:b/>
          <w:bCs/>
          <w:kern w:val="2"/>
          <w:sz w:val="20"/>
          <w:szCs w:val="20"/>
        </w:rPr>
        <w:t xml:space="preserve">ontratar </w:t>
      </w:r>
    </w:p>
    <w:p w14:paraId="4CB43CBE" w14:textId="77777777" w:rsidR="00DB1FD3" w:rsidRPr="00F041E2" w:rsidRDefault="00DB1FD3" w:rsidP="00DB1FD3">
      <w:pPr>
        <w:spacing w:after="0" w:line="240" w:lineRule="auto"/>
        <w:jc w:val="both"/>
        <w:rPr>
          <w:rFonts w:ascii="Verdana" w:hAnsi="Verdana" w:cs="Arial"/>
          <w:b/>
          <w:bCs/>
          <w:kern w:val="2"/>
          <w:sz w:val="20"/>
          <w:szCs w:val="20"/>
        </w:rPr>
      </w:pPr>
    </w:p>
    <w:p w14:paraId="4CB43CBF" w14:textId="77777777" w:rsidR="00DB1FD3" w:rsidRPr="00F041E2" w:rsidRDefault="00DB1FD3" w:rsidP="00DB1FD3">
      <w:pPr>
        <w:spacing w:after="0" w:line="240" w:lineRule="auto"/>
        <w:jc w:val="both"/>
        <w:rPr>
          <w:rFonts w:ascii="Verdana" w:hAnsi="Verdana" w:cs="Arial"/>
          <w:kern w:val="2"/>
          <w:sz w:val="20"/>
          <w:szCs w:val="20"/>
        </w:rPr>
      </w:pPr>
      <w:r w:rsidRPr="00F041E2">
        <w:rPr>
          <w:rFonts w:ascii="Verdana" w:hAnsi="Verdana" w:cs="Arial"/>
          <w:kern w:val="2"/>
          <w:sz w:val="20"/>
          <w:szCs w:val="20"/>
        </w:rPr>
        <w:t>[…] que 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 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 La ausencia de ánimo de lucro es, entonces, la característica determinante de estas corporaciones u organizaciones con las sociedades comerciales.</w:t>
      </w:r>
    </w:p>
    <w:p w14:paraId="4CB43CC0" w14:textId="77777777" w:rsidR="00DB1FD3" w:rsidRPr="00F041E2" w:rsidRDefault="00DB1FD3" w:rsidP="00DB1FD3">
      <w:pPr>
        <w:spacing w:after="0" w:line="240" w:lineRule="auto"/>
        <w:jc w:val="both"/>
        <w:rPr>
          <w:rFonts w:ascii="Verdana" w:hAnsi="Verdana" w:cs="Arial"/>
          <w:kern w:val="2"/>
          <w:sz w:val="20"/>
          <w:szCs w:val="20"/>
        </w:rPr>
      </w:pPr>
      <w:r w:rsidRPr="00F041E2">
        <w:rPr>
          <w:rFonts w:ascii="Verdana" w:hAnsi="Verdana" w:cs="Arial"/>
          <w:kern w:val="2"/>
          <w:sz w:val="20"/>
          <w:szCs w:val="20"/>
        </w:rPr>
        <w:t>[…]</w:t>
      </w:r>
    </w:p>
    <w:p w14:paraId="4CB43CC1" w14:textId="77777777" w:rsidR="00DB1FD3" w:rsidRPr="00F041E2" w:rsidRDefault="00DB1FD3" w:rsidP="00DB1FD3">
      <w:pPr>
        <w:spacing w:after="0"/>
        <w:jc w:val="both"/>
        <w:rPr>
          <w:rFonts w:ascii="Verdana" w:hAnsi="Verdana" w:cs="Arial"/>
          <w:kern w:val="2"/>
          <w:sz w:val="20"/>
          <w:szCs w:val="20"/>
        </w:rPr>
      </w:pPr>
      <w:r w:rsidRPr="00F041E2">
        <w:rPr>
          <w:rFonts w:ascii="Verdana" w:hAnsi="Verdana" w:cs="Arial"/>
          <w:kern w:val="2"/>
          <w:sz w:val="20"/>
          <w:szCs w:val="20"/>
        </w:rPr>
        <w:t xml:space="preserve">[…]es claro que las ESAL tienen capacidad para contratar bajo las reglas del EGCAP al ser personas jurídicas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EGCAP,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 EGCAP, caso en el cual participan con las mismas reglas aplicables a los demás oferentes. </w:t>
      </w:r>
    </w:p>
    <w:p w14:paraId="4CB43CC2" w14:textId="77777777" w:rsidR="00DB1FD3" w:rsidRPr="00F041E2" w:rsidRDefault="00DB1FD3" w:rsidP="00DB1FD3">
      <w:pPr>
        <w:spacing w:after="0"/>
        <w:jc w:val="both"/>
        <w:rPr>
          <w:rFonts w:ascii="Verdana" w:hAnsi="Verdana" w:cs="Arial"/>
          <w:kern w:val="2"/>
          <w:sz w:val="20"/>
          <w:szCs w:val="20"/>
        </w:rPr>
      </w:pPr>
    </w:p>
    <w:p w14:paraId="4CB43CC3" w14:textId="77777777" w:rsidR="00DB1FD3" w:rsidRPr="00DF5579" w:rsidRDefault="00DB1FD3" w:rsidP="00DB1FD3">
      <w:pPr>
        <w:spacing w:after="0" w:line="276" w:lineRule="auto"/>
        <w:rPr>
          <w:rFonts w:ascii="Arial" w:eastAsia="Calibri" w:hAnsi="Arial" w:cs="Arial"/>
          <w:b/>
          <w:bCs/>
        </w:rPr>
      </w:pPr>
    </w:p>
    <w:p w14:paraId="4CB43CC4" w14:textId="77777777" w:rsidR="00DB1FD3" w:rsidRPr="00DF5579" w:rsidRDefault="00DB1FD3" w:rsidP="00DB1FD3">
      <w:pPr>
        <w:spacing w:after="0"/>
        <w:rPr>
          <w:rFonts w:ascii="Verdana" w:hAnsi="Verdana"/>
          <w:b/>
          <w:bCs/>
          <w:lang w:val="es-ES_tradnl"/>
        </w:rPr>
      </w:pPr>
      <w:r w:rsidRPr="00DF5579">
        <w:rPr>
          <w:rFonts w:ascii="Verdana" w:hAnsi="Verdana"/>
          <w:b/>
          <w:bCs/>
          <w:lang w:val="es-ES_tradnl"/>
        </w:rPr>
        <w:t xml:space="preserve">CAPACIDAD – Capacidad Jurídica – </w:t>
      </w:r>
      <w:r>
        <w:rPr>
          <w:rFonts w:ascii="Verdana" w:hAnsi="Verdana"/>
          <w:b/>
          <w:bCs/>
          <w:lang w:val="es-ES_tradnl"/>
        </w:rPr>
        <w:t>Capacidad Contractual</w:t>
      </w:r>
    </w:p>
    <w:p w14:paraId="4CB43CC5" w14:textId="77777777" w:rsidR="00DB1FD3" w:rsidRDefault="00DB1FD3" w:rsidP="00DB1FD3">
      <w:pPr>
        <w:spacing w:after="120" w:line="276" w:lineRule="auto"/>
        <w:jc w:val="both"/>
        <w:rPr>
          <w:rFonts w:ascii="Verdana" w:eastAsia="Times New Roman" w:hAnsi="Verdana" w:cs="Arial"/>
          <w:color w:val="000000" w:themeColor="text1"/>
          <w:lang w:eastAsia="es-MX"/>
        </w:rPr>
      </w:pPr>
    </w:p>
    <w:p w14:paraId="4CB43CC6" w14:textId="77777777" w:rsidR="00DB1FD3" w:rsidRPr="00DF5579" w:rsidRDefault="00DB1FD3" w:rsidP="00DB1FD3">
      <w:pPr>
        <w:spacing w:after="120" w:line="276" w:lineRule="auto"/>
        <w:jc w:val="both"/>
        <w:rPr>
          <w:rFonts w:ascii="Verdana" w:eastAsia="Times New Roman" w:hAnsi="Verdana" w:cs="Arial"/>
          <w:color w:val="000000" w:themeColor="text1"/>
          <w:lang w:eastAsia="es-MX"/>
        </w:rPr>
      </w:pPr>
      <w:r w:rsidRPr="00DF5579">
        <w:rPr>
          <w:rFonts w:ascii="Verdana" w:eastAsia="Times New Roman" w:hAnsi="Verdana" w:cs="Arial"/>
          <w:color w:val="000000" w:themeColor="text1"/>
          <w:lang w:eastAsia="es-MX"/>
        </w:rPr>
        <w:t>la capacidad de participar en los procesos de contratación pública del EGCAP, se debe aclarar que la capacidad jurídica es la aptitud que recae en los sujetos activos o pasivos de las relaciones jurídicas</w:t>
      </w:r>
      <w:r w:rsidRPr="006804EE">
        <w:rPr>
          <w:vertAlign w:val="superscript"/>
          <w:lang w:eastAsia="es-MX"/>
        </w:rPr>
        <w:footnoteReference w:id="1"/>
      </w:r>
      <w:r w:rsidRPr="00DF5579">
        <w:rPr>
          <w:rFonts w:ascii="Verdana" w:eastAsia="Times New Roman" w:hAnsi="Verdana" w:cs="Arial"/>
          <w:color w:val="000000" w:themeColor="text1"/>
          <w:lang w:eastAsia="es-MX"/>
        </w:rPr>
        <w:t xml:space="preserve">. Para efectos de las relaciones contractuales en las que uno de los extremos de la relación sea una Entidad Estatal, la capacidad contractual es la facultad que se ostenta para celebrar contratos con una Entidad Estatal. En otras palabras, es: i) la capacidad de obligarse a cumplir el objeto del </w:t>
      </w:r>
      <w:r w:rsidRPr="00DF5579">
        <w:rPr>
          <w:rFonts w:ascii="Verdana" w:eastAsia="Times New Roman" w:hAnsi="Verdana" w:cs="Arial"/>
          <w:color w:val="000000" w:themeColor="text1"/>
          <w:lang w:eastAsia="es-MX"/>
        </w:rPr>
        <w:lastRenderedPageBreak/>
        <w:t>contrato y ii) de no estar incursa en inhabilidades o incompatibilidades que impiden la celebración del negocio.</w:t>
      </w:r>
    </w:p>
    <w:p w14:paraId="4CB43CC7" w14:textId="77777777" w:rsidR="00DB1FD3" w:rsidRPr="00DF5579" w:rsidRDefault="00DB1FD3" w:rsidP="00DB1FD3">
      <w:pPr>
        <w:spacing w:after="120" w:line="276" w:lineRule="auto"/>
        <w:jc w:val="both"/>
        <w:rPr>
          <w:rFonts w:ascii="Verdana" w:eastAsia="Times New Roman" w:hAnsi="Verdana" w:cs="Arial"/>
          <w:color w:val="000000" w:themeColor="text1"/>
          <w:lang w:eastAsia="es-MX"/>
        </w:rPr>
      </w:pPr>
      <w:r w:rsidRPr="00DF5579">
        <w:rPr>
          <w:rFonts w:ascii="Verdana" w:eastAsia="Times New Roman" w:hAnsi="Verdana" w:cs="Arial"/>
          <w:color w:val="000000" w:themeColor="text1"/>
          <w:lang w:eastAsia="es-MX"/>
        </w:rPr>
        <w:t>Para efectos de la aplicación del EGCAP, la capacidad para contratar la tienen las personas consideradas legalmente capaces en las disposiciones vigentes</w:t>
      </w:r>
      <w:r w:rsidRPr="006804EE">
        <w:rPr>
          <w:vertAlign w:val="superscript"/>
          <w:lang w:eastAsia="es-MX"/>
        </w:rPr>
        <w:footnoteReference w:id="2"/>
      </w:r>
      <w:r w:rsidRPr="00DF5579">
        <w:rPr>
          <w:rFonts w:ascii="Verdana" w:eastAsia="Times New Roman" w:hAnsi="Verdana" w:cs="Arial"/>
          <w:color w:val="000000" w:themeColor="text1"/>
          <w:lang w:eastAsia="es-MX"/>
        </w:rPr>
        <w:t>, así como otras formas asociativas. De modo que, cuando se señala que las personas jurídicas tienen capacidad jurídica para contratar se hace referencia a la posibilidad que tienen para adelantar actividades en el marco de su objeto social, a las facultades que le han sido otorgadas al representante legal y a la ausencia de inhabilidades, incompatibilidades o prohibiciones para contratar, derivadas de la ley.</w:t>
      </w:r>
    </w:p>
    <w:p w14:paraId="4CB43CC8" w14:textId="77777777" w:rsidR="00DB1FD3" w:rsidRPr="00DF5579" w:rsidRDefault="00DB1FD3" w:rsidP="00DB1FD3">
      <w:pPr>
        <w:spacing w:after="0"/>
        <w:rPr>
          <w:rFonts w:ascii="Verdana" w:hAnsi="Verdana"/>
          <w:b/>
          <w:bCs/>
        </w:rPr>
      </w:pPr>
    </w:p>
    <w:p w14:paraId="4CB43CC9" w14:textId="77777777" w:rsidR="00DB1FD3" w:rsidRPr="00DF5579" w:rsidRDefault="00DB1FD3" w:rsidP="00DB1FD3">
      <w:pPr>
        <w:spacing w:after="120" w:line="276" w:lineRule="auto"/>
        <w:jc w:val="both"/>
        <w:rPr>
          <w:rFonts w:ascii="Verdana" w:hAnsi="Verdana"/>
          <w:b/>
          <w:bCs/>
        </w:rPr>
      </w:pPr>
      <w:r w:rsidRPr="00DF5579">
        <w:rPr>
          <w:rFonts w:ascii="Verdana" w:hAnsi="Verdana"/>
          <w:b/>
          <w:bCs/>
        </w:rPr>
        <w:t xml:space="preserve">ESAL – </w:t>
      </w:r>
      <w:r>
        <w:rPr>
          <w:rFonts w:ascii="Verdana" w:hAnsi="Verdana"/>
          <w:b/>
          <w:bCs/>
        </w:rPr>
        <w:t xml:space="preserve">Igualdad - </w:t>
      </w:r>
      <w:r w:rsidRPr="00DF5579">
        <w:rPr>
          <w:rFonts w:ascii="Verdana" w:hAnsi="Verdana"/>
          <w:b/>
          <w:bCs/>
        </w:rPr>
        <w:t xml:space="preserve">Procesos </w:t>
      </w:r>
      <w:r>
        <w:rPr>
          <w:rFonts w:ascii="Verdana" w:hAnsi="Verdana"/>
          <w:b/>
          <w:bCs/>
        </w:rPr>
        <w:t>d</w:t>
      </w:r>
      <w:r w:rsidRPr="00DF5579">
        <w:rPr>
          <w:rFonts w:ascii="Verdana" w:hAnsi="Verdana"/>
          <w:b/>
          <w:bCs/>
        </w:rPr>
        <w:t xml:space="preserve">e Selección </w:t>
      </w:r>
      <w:r>
        <w:rPr>
          <w:rFonts w:ascii="Verdana" w:hAnsi="Verdana"/>
          <w:b/>
          <w:bCs/>
        </w:rPr>
        <w:t>d</w:t>
      </w:r>
      <w:r w:rsidRPr="00DF5579">
        <w:rPr>
          <w:rFonts w:ascii="Verdana" w:hAnsi="Verdana"/>
          <w:b/>
          <w:bCs/>
        </w:rPr>
        <w:t xml:space="preserve">e Contratación Pública </w:t>
      </w:r>
    </w:p>
    <w:p w14:paraId="4CB43CCA" w14:textId="77777777" w:rsidR="00DB1FD3" w:rsidRPr="00DF5579" w:rsidRDefault="00DB1FD3" w:rsidP="00DB1FD3">
      <w:pPr>
        <w:spacing w:after="120" w:line="276" w:lineRule="auto"/>
        <w:jc w:val="both"/>
        <w:rPr>
          <w:rFonts w:ascii="Verdana" w:hAnsi="Verdana" w:cs="Arial"/>
          <w:color w:val="000000" w:themeColor="text1"/>
          <w:sz w:val="24"/>
          <w:szCs w:val="24"/>
        </w:rPr>
      </w:pPr>
      <w:r w:rsidRPr="00DF5579">
        <w:rPr>
          <w:rFonts w:ascii="Verdana" w:eastAsia="Times New Roman" w:hAnsi="Verdana" w:cs="Arial"/>
          <w:color w:val="000000" w:themeColor="text1"/>
          <w:lang w:eastAsia="es-MX"/>
        </w:rPr>
        <w:t>ESAL tienen capacidad para contratar bajo las reglas del EGCAP al ser personas jurídicas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EGCAP,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 EGCAP, caso en el cual participan con las mismas reglas aplicables a los demás oferentes.</w:t>
      </w:r>
    </w:p>
    <w:p w14:paraId="4CB43CCB" w14:textId="77777777" w:rsidR="00DB1FD3" w:rsidRDefault="00DB1FD3" w:rsidP="00DB1FD3">
      <w:pPr>
        <w:spacing w:after="0"/>
        <w:rPr>
          <w:rFonts w:ascii="Verdana" w:hAnsi="Verdana"/>
        </w:rPr>
      </w:pPr>
    </w:p>
    <w:p w14:paraId="4CB43CCC" w14:textId="77777777" w:rsidR="00DB1FD3" w:rsidRPr="00DF5579" w:rsidRDefault="00DB1FD3" w:rsidP="00DB1FD3">
      <w:pPr>
        <w:spacing w:after="0"/>
        <w:rPr>
          <w:rFonts w:ascii="Verdana" w:hAnsi="Verdana"/>
          <w:b/>
          <w:bCs/>
        </w:rPr>
      </w:pPr>
      <w:r w:rsidRPr="00DF5579">
        <w:rPr>
          <w:rFonts w:ascii="Verdana" w:hAnsi="Verdana"/>
          <w:b/>
          <w:bCs/>
        </w:rPr>
        <w:t>PRINCIPIO DE IGUALDAD – Contratación Pública</w:t>
      </w:r>
    </w:p>
    <w:p w14:paraId="4CB43CCD" w14:textId="77777777" w:rsidR="00DB1FD3" w:rsidRDefault="00DB1FD3" w:rsidP="00DB1FD3">
      <w:pPr>
        <w:spacing w:after="0"/>
        <w:rPr>
          <w:rFonts w:ascii="Verdana" w:hAnsi="Verdana"/>
        </w:rPr>
      </w:pPr>
    </w:p>
    <w:p w14:paraId="4CB43CCE" w14:textId="77777777" w:rsidR="00DB1FD3" w:rsidRDefault="00DB1FD3" w:rsidP="00DB1FD3">
      <w:pPr>
        <w:jc w:val="both"/>
        <w:rPr>
          <w:rFonts w:ascii="Verdana" w:hAnsi="Verdana" w:cs="Arial"/>
          <w:b/>
          <w:lang w:val="es-ES_tradnl" w:eastAsia="es-ES"/>
        </w:rPr>
      </w:pPr>
      <w:r>
        <w:rPr>
          <w:rFonts w:ascii="Verdana" w:hAnsi="Verdana"/>
        </w:rPr>
        <w:t>S</w:t>
      </w:r>
      <w:r w:rsidRPr="00315F79">
        <w:rPr>
          <w:rFonts w:ascii="Verdana" w:hAnsi="Verdana"/>
        </w:rPr>
        <w:t>egún la Corte Constitucional</w:t>
      </w:r>
      <w:r>
        <w:rPr>
          <w:rFonts w:ascii="Verdana" w:hAnsi="Verdana"/>
        </w:rPr>
        <w:t xml:space="preserve"> la igualdad</w:t>
      </w:r>
      <w:r w:rsidRPr="00315F79">
        <w:rPr>
          <w:rFonts w:ascii="Verdana" w:hAnsi="Verdana"/>
        </w:rPr>
        <w:t>, tiene la connotación de principio, valor y derecho, por lo que representa un criterio de obligatoria observancia tanto para la producción como para la aplicación</w:t>
      </w:r>
      <w:r w:rsidRPr="00315F79">
        <w:rPr>
          <w:rFonts w:ascii="Verdana" w:hAnsi="Verdana"/>
          <w:spacing w:val="2"/>
        </w:rPr>
        <w:t xml:space="preserve"> </w:t>
      </w:r>
      <w:r w:rsidRPr="00315F79">
        <w:rPr>
          <w:rFonts w:ascii="Verdana" w:hAnsi="Verdana"/>
        </w:rPr>
        <w:t>e interpretación del derecho.</w:t>
      </w:r>
      <w:r>
        <w:rPr>
          <w:rFonts w:ascii="Verdana" w:hAnsi="Verdana" w:cs="Arial"/>
          <w:b/>
          <w:lang w:val="es-ES_tradnl" w:eastAsia="es-ES"/>
        </w:rPr>
        <w:t xml:space="preserve"> </w:t>
      </w:r>
      <w:r>
        <w:rPr>
          <w:rFonts w:ascii="Verdana" w:hAnsi="Verdana"/>
        </w:rPr>
        <w:t>A l</w:t>
      </w:r>
      <w:r w:rsidRPr="005821E0">
        <w:rPr>
          <w:rFonts w:ascii="Verdana" w:hAnsi="Verdana"/>
        </w:rPr>
        <w:t xml:space="preserve">a luz del artículo 209 de la Constitución Política, la igualdad es uno de los principios orientadores de la </w:t>
      </w:r>
      <w:r w:rsidRPr="005821E0">
        <w:rPr>
          <w:rFonts w:ascii="Verdana" w:hAnsi="Verdana"/>
        </w:rPr>
        <w:lastRenderedPageBreak/>
        <w:t>función administrativa, y en virtud del principio de igualdad, las autoridades darán el mismo trato y protección a las personas e instituciones que intervengan en las actuaciones bajo su conocimiento, como lo ordena el numeral 2º del artículo 3º de la Ley 1437 de 2011.</w:t>
      </w:r>
    </w:p>
    <w:p w14:paraId="4CB43CCF" w14:textId="77777777" w:rsidR="00DB1FD3" w:rsidRPr="005821E0" w:rsidRDefault="00DB1FD3" w:rsidP="00DB1FD3">
      <w:pPr>
        <w:spacing w:after="120" w:line="276" w:lineRule="auto"/>
        <w:jc w:val="both"/>
        <w:rPr>
          <w:rFonts w:ascii="Verdana" w:eastAsia="Calibri" w:hAnsi="Verdana" w:cs="Arial"/>
          <w:lang w:val="es-MX"/>
        </w:rPr>
      </w:pPr>
      <w:r w:rsidRPr="005821E0">
        <w:rPr>
          <w:rFonts w:ascii="Verdana" w:hAnsi="Verdana"/>
        </w:rPr>
        <w:t>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w:t>
      </w:r>
    </w:p>
    <w:p w14:paraId="4CB43CD0" w14:textId="77777777" w:rsidR="00DB1FD3" w:rsidRPr="00DF5579" w:rsidRDefault="00DB1FD3" w:rsidP="00DB1FD3">
      <w:pPr>
        <w:spacing w:after="0"/>
        <w:rPr>
          <w:rFonts w:ascii="Verdana" w:hAnsi="Verdana"/>
          <w:lang w:val="es-MX"/>
        </w:rPr>
      </w:pPr>
    </w:p>
    <w:p w14:paraId="4CB43CD1" w14:textId="77777777" w:rsidR="00DB1FD3" w:rsidRDefault="00DB1FD3" w:rsidP="00DB1FD3">
      <w:pPr>
        <w:spacing w:after="0"/>
        <w:rPr>
          <w:rFonts w:ascii="Verdana" w:hAnsi="Verdana"/>
        </w:rPr>
      </w:pPr>
    </w:p>
    <w:p w14:paraId="4CB43CD2" w14:textId="77777777" w:rsidR="00DB1FD3" w:rsidRDefault="00DB1FD3" w:rsidP="00DB1FD3">
      <w:pPr>
        <w:spacing w:after="0"/>
        <w:rPr>
          <w:rFonts w:ascii="Verdana" w:hAnsi="Verdana"/>
        </w:rPr>
      </w:pPr>
    </w:p>
    <w:p w14:paraId="4CB43CD3" w14:textId="77777777" w:rsidR="00DB1FD3" w:rsidRDefault="00DB1FD3" w:rsidP="00DB1FD3">
      <w:pPr>
        <w:spacing w:after="0"/>
        <w:rPr>
          <w:rFonts w:ascii="Verdana" w:hAnsi="Verdana"/>
        </w:rPr>
      </w:pPr>
    </w:p>
    <w:p w14:paraId="4CB43CD4" w14:textId="77777777" w:rsidR="00DB1FD3" w:rsidRDefault="00DB1FD3" w:rsidP="00DB1FD3">
      <w:pPr>
        <w:spacing w:after="0"/>
        <w:rPr>
          <w:rFonts w:ascii="Verdana" w:hAnsi="Verdana"/>
        </w:rPr>
      </w:pPr>
    </w:p>
    <w:p w14:paraId="4CB43CD5" w14:textId="77777777" w:rsidR="00DB1FD3" w:rsidRDefault="00DB1FD3" w:rsidP="00DB1FD3">
      <w:pPr>
        <w:spacing w:after="0"/>
        <w:rPr>
          <w:rFonts w:ascii="Verdana" w:hAnsi="Verdana"/>
        </w:rPr>
      </w:pPr>
    </w:p>
    <w:p w14:paraId="4CB43CD6" w14:textId="77777777" w:rsidR="00DB1FD3" w:rsidRDefault="00DB1FD3" w:rsidP="00DB1FD3">
      <w:pPr>
        <w:spacing w:after="0"/>
        <w:rPr>
          <w:rFonts w:ascii="Verdana" w:hAnsi="Verdana"/>
        </w:rPr>
      </w:pPr>
    </w:p>
    <w:p w14:paraId="4CB43CD7" w14:textId="77777777" w:rsidR="00DB1FD3" w:rsidRDefault="00DB1FD3" w:rsidP="00DB1FD3">
      <w:pPr>
        <w:spacing w:after="0"/>
        <w:rPr>
          <w:rFonts w:ascii="Verdana" w:hAnsi="Verdana"/>
        </w:rPr>
      </w:pPr>
    </w:p>
    <w:p w14:paraId="4CB43CD8" w14:textId="77777777" w:rsidR="00DB1FD3" w:rsidRDefault="00DB1FD3" w:rsidP="00DB1FD3">
      <w:pPr>
        <w:spacing w:after="0"/>
        <w:rPr>
          <w:rFonts w:ascii="Verdana" w:hAnsi="Verdana"/>
        </w:rPr>
      </w:pPr>
    </w:p>
    <w:p w14:paraId="4CB43CD9" w14:textId="77777777" w:rsidR="00DB1FD3" w:rsidRDefault="00DB1FD3" w:rsidP="00DB1FD3">
      <w:pPr>
        <w:spacing w:after="0"/>
        <w:rPr>
          <w:rFonts w:ascii="Verdana" w:hAnsi="Verdana"/>
        </w:rPr>
      </w:pPr>
    </w:p>
    <w:p w14:paraId="4CB43CDA" w14:textId="77777777" w:rsidR="00DB1FD3" w:rsidRDefault="00DB1FD3" w:rsidP="00DB1FD3">
      <w:pPr>
        <w:spacing w:after="0"/>
        <w:rPr>
          <w:rFonts w:ascii="Verdana" w:hAnsi="Verdana"/>
        </w:rPr>
      </w:pPr>
    </w:p>
    <w:p w14:paraId="4CB43CDB" w14:textId="77777777" w:rsidR="00DB1FD3" w:rsidRDefault="00DB1FD3" w:rsidP="00DB1FD3">
      <w:pPr>
        <w:spacing w:after="0"/>
        <w:rPr>
          <w:rFonts w:ascii="Verdana" w:hAnsi="Verdana"/>
        </w:rPr>
      </w:pPr>
    </w:p>
    <w:p w14:paraId="4CB43CDC" w14:textId="77777777" w:rsidR="00DB1FD3" w:rsidRPr="00D32C7A" w:rsidRDefault="00DB1FD3" w:rsidP="00DB1FD3">
      <w:pPr>
        <w:spacing w:after="0"/>
        <w:rPr>
          <w:rFonts w:ascii="Verdana" w:hAnsi="Verdana"/>
        </w:rPr>
      </w:pPr>
    </w:p>
    <w:p w14:paraId="4CB43CDD" w14:textId="77777777" w:rsidR="00DB1FD3" w:rsidRDefault="00DB1FD3" w:rsidP="00DB1FD3">
      <w:pPr>
        <w:spacing w:after="0"/>
        <w:rPr>
          <w:rFonts w:ascii="Verdana" w:hAnsi="Verdana"/>
        </w:rPr>
      </w:pPr>
    </w:p>
    <w:p w14:paraId="4CB43CDE" w14:textId="77777777" w:rsidR="00DB1FD3" w:rsidRDefault="00DB1FD3" w:rsidP="00DB1FD3">
      <w:pPr>
        <w:spacing w:after="0"/>
        <w:rPr>
          <w:rFonts w:ascii="Verdana" w:hAnsi="Verdana"/>
        </w:rPr>
      </w:pPr>
    </w:p>
    <w:p w14:paraId="4CB43CDF" w14:textId="77777777" w:rsidR="00DB1FD3" w:rsidRDefault="00DB1FD3" w:rsidP="00DB1FD3">
      <w:pPr>
        <w:spacing w:after="0"/>
        <w:rPr>
          <w:rFonts w:ascii="Verdana" w:hAnsi="Verdana"/>
        </w:rPr>
      </w:pPr>
    </w:p>
    <w:p w14:paraId="4CB43CE0" w14:textId="77777777" w:rsidR="00DB1FD3" w:rsidRDefault="00DB1FD3" w:rsidP="00DB1FD3">
      <w:pPr>
        <w:spacing w:after="0"/>
        <w:rPr>
          <w:rFonts w:ascii="Verdana" w:hAnsi="Verdana"/>
        </w:rPr>
      </w:pPr>
    </w:p>
    <w:p w14:paraId="4CB43CE1" w14:textId="77777777" w:rsidR="00DB1FD3" w:rsidRDefault="00DB1FD3" w:rsidP="00DB1FD3">
      <w:pPr>
        <w:spacing w:after="0"/>
        <w:rPr>
          <w:rFonts w:ascii="Verdana" w:hAnsi="Verdana"/>
        </w:rPr>
      </w:pPr>
    </w:p>
    <w:p w14:paraId="4CB43CE2" w14:textId="77777777" w:rsidR="00DB1FD3" w:rsidRDefault="00DB1FD3" w:rsidP="00DB1FD3">
      <w:pPr>
        <w:spacing w:after="0"/>
        <w:rPr>
          <w:rFonts w:ascii="Verdana" w:hAnsi="Verdana"/>
        </w:rPr>
      </w:pPr>
    </w:p>
    <w:p w14:paraId="4CB43CE3" w14:textId="77777777" w:rsidR="00DB1FD3" w:rsidRDefault="00DB1FD3" w:rsidP="00DB1FD3">
      <w:pPr>
        <w:spacing w:after="0"/>
        <w:rPr>
          <w:rFonts w:ascii="Verdana" w:hAnsi="Verdana"/>
        </w:rPr>
      </w:pPr>
    </w:p>
    <w:p w14:paraId="4CB43CE4" w14:textId="77777777" w:rsidR="00DB1FD3" w:rsidRDefault="00DB1FD3" w:rsidP="00DB1FD3">
      <w:pPr>
        <w:spacing w:after="0"/>
        <w:rPr>
          <w:rFonts w:ascii="Verdana" w:hAnsi="Verdana"/>
        </w:rPr>
      </w:pPr>
    </w:p>
    <w:p w14:paraId="4CB43CE5" w14:textId="77777777" w:rsidR="00DB1FD3" w:rsidRDefault="00DB1FD3" w:rsidP="00DB1FD3">
      <w:pPr>
        <w:spacing w:after="0"/>
        <w:rPr>
          <w:rFonts w:ascii="Verdana" w:hAnsi="Verdana"/>
        </w:rPr>
      </w:pPr>
    </w:p>
    <w:p w14:paraId="4CB43CE6" w14:textId="77777777" w:rsidR="00DB1FD3" w:rsidRDefault="00DB1FD3" w:rsidP="00DB1FD3">
      <w:pPr>
        <w:spacing w:after="0"/>
        <w:rPr>
          <w:rFonts w:ascii="Verdana" w:hAnsi="Verdana"/>
        </w:rPr>
      </w:pPr>
    </w:p>
    <w:p w14:paraId="4CB43CE7" w14:textId="77777777" w:rsidR="00DB1FD3" w:rsidRDefault="00DB1FD3" w:rsidP="00DB1FD3">
      <w:pPr>
        <w:spacing w:after="0"/>
        <w:rPr>
          <w:rFonts w:ascii="Verdana" w:hAnsi="Verdana"/>
        </w:rPr>
      </w:pPr>
    </w:p>
    <w:p w14:paraId="4CB43CE8" w14:textId="77777777" w:rsidR="00DB1FD3" w:rsidRDefault="00DB1FD3" w:rsidP="00DB1FD3">
      <w:pPr>
        <w:spacing w:after="0"/>
        <w:rPr>
          <w:rFonts w:ascii="Verdana" w:hAnsi="Verdana"/>
        </w:rPr>
      </w:pPr>
    </w:p>
    <w:p w14:paraId="4CB43CE9" w14:textId="77777777" w:rsidR="00DB1FD3" w:rsidRPr="00D32C7A" w:rsidRDefault="00DB1FD3" w:rsidP="00DB1FD3">
      <w:pPr>
        <w:spacing w:after="0"/>
        <w:rPr>
          <w:rFonts w:ascii="Verdana" w:hAnsi="Verdana"/>
        </w:rPr>
      </w:pPr>
      <w:r w:rsidRPr="00D32C7A">
        <w:rPr>
          <w:rFonts w:ascii="Verdana" w:hAnsi="Verdana"/>
        </w:rPr>
        <w:lastRenderedPageBreak/>
        <w:t>Bogotá D.C., [Día] [</w:t>
      </w:r>
      <w:proofErr w:type="spellStart"/>
      <w:r w:rsidRPr="00D32C7A">
        <w:rPr>
          <w:rFonts w:ascii="Verdana" w:hAnsi="Verdana"/>
        </w:rPr>
        <w:t>Mes.NombreCapitalizado</w:t>
      </w:r>
      <w:proofErr w:type="spellEnd"/>
      <w:r w:rsidRPr="00D32C7A">
        <w:rPr>
          <w:rFonts w:ascii="Verdana" w:hAnsi="Verdana"/>
        </w:rPr>
        <w:t>] [Año]</w:t>
      </w:r>
    </w:p>
    <w:p w14:paraId="4CB43CEA" w14:textId="77777777" w:rsidR="00DB1FD3" w:rsidRPr="00D32C7A" w:rsidRDefault="003542B0" w:rsidP="00DB1FD3">
      <w:pPr>
        <w:spacing w:after="0" w:line="276" w:lineRule="auto"/>
        <w:rPr>
          <w:rFonts w:ascii="Verdana" w:hAnsi="Verdana"/>
        </w:rPr>
      </w:pPr>
      <w:r w:rsidRPr="003542B0">
        <w:rPr>
          <w:rFonts w:ascii="Verdana" w:eastAsia="Calibri" w:hAnsi="Verdana" w:cs="Arial"/>
          <w:noProof/>
          <w:lang w:val="es-ES"/>
        </w:rPr>
        <w:drawing>
          <wp:anchor distT="0" distB="0" distL="114300" distR="114300" simplePos="0" relativeHeight="251658240" behindDoc="1" locked="0" layoutInCell="1" allowOverlap="1" wp14:anchorId="4CB43D6E" wp14:editId="4CB43D6F">
            <wp:simplePos x="0" y="0"/>
            <wp:positionH relativeFrom="column">
              <wp:posOffset>3544570</wp:posOffset>
            </wp:positionH>
            <wp:positionV relativeFrom="paragraph">
              <wp:posOffset>95018</wp:posOffset>
            </wp:positionV>
            <wp:extent cx="3064510" cy="852260"/>
            <wp:effectExtent l="0" t="0" r="0" b="0"/>
            <wp:wrapNone/>
            <wp:docPr id="16718678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67899" name=""/>
                    <pic:cNvPicPr/>
                  </pic:nvPicPr>
                  <pic:blipFill>
                    <a:blip r:embed="rId10">
                      <a:extLst>
                        <a:ext uri="{28A0092B-C50C-407E-A947-70E740481C1C}">
                          <a14:useLocalDpi xmlns:a14="http://schemas.microsoft.com/office/drawing/2010/main" val="0"/>
                        </a:ext>
                      </a:extLst>
                    </a:blip>
                    <a:stretch>
                      <a:fillRect/>
                    </a:stretch>
                  </pic:blipFill>
                  <pic:spPr>
                    <a:xfrm>
                      <a:off x="0" y="0"/>
                      <a:ext cx="3097015" cy="861300"/>
                    </a:xfrm>
                    <a:prstGeom prst="rect">
                      <a:avLst/>
                    </a:prstGeom>
                  </pic:spPr>
                </pic:pic>
              </a:graphicData>
            </a:graphic>
            <wp14:sizeRelH relativeFrom="page">
              <wp14:pctWidth>0</wp14:pctWidth>
            </wp14:sizeRelH>
            <wp14:sizeRelV relativeFrom="page">
              <wp14:pctHeight>0</wp14:pctHeight>
            </wp14:sizeRelV>
          </wp:anchor>
        </w:drawing>
      </w:r>
    </w:p>
    <w:p w14:paraId="4CB43CEB" w14:textId="77777777" w:rsidR="00DB1FD3" w:rsidRPr="00D32C7A" w:rsidRDefault="00DB1FD3" w:rsidP="00DB1FD3">
      <w:pPr>
        <w:spacing w:after="0" w:line="276" w:lineRule="auto"/>
        <w:rPr>
          <w:rFonts w:ascii="Verdana" w:eastAsia="Calibri" w:hAnsi="Verdana" w:cs="Arial"/>
          <w:lang w:val="es-ES"/>
        </w:rPr>
      </w:pPr>
    </w:p>
    <w:p w14:paraId="4CB43CEC" w14:textId="77777777" w:rsidR="00DB1FD3" w:rsidRPr="00D32C7A" w:rsidRDefault="00DB1FD3" w:rsidP="00DB1FD3">
      <w:pPr>
        <w:spacing w:after="0" w:line="240" w:lineRule="auto"/>
        <w:jc w:val="both"/>
        <w:rPr>
          <w:rFonts w:ascii="Verdana" w:eastAsia="Calibri" w:hAnsi="Verdana" w:cs="Arial"/>
          <w:lang w:val="es-ES" w:eastAsia="es-ES"/>
        </w:rPr>
      </w:pPr>
      <w:r w:rsidRPr="00D32C7A">
        <w:rPr>
          <w:rFonts w:ascii="Verdana" w:eastAsia="Calibri" w:hAnsi="Verdana" w:cs="Arial"/>
          <w:lang w:val="es-ES" w:eastAsia="es-ES"/>
        </w:rPr>
        <w:t>Señora</w:t>
      </w:r>
    </w:p>
    <w:p w14:paraId="4CB43CED" w14:textId="77777777" w:rsidR="00DB1FD3" w:rsidRPr="00DF5579" w:rsidRDefault="00DB1FD3" w:rsidP="00DB1FD3">
      <w:pPr>
        <w:spacing w:after="0" w:line="240" w:lineRule="auto"/>
        <w:jc w:val="both"/>
        <w:rPr>
          <w:rFonts w:ascii="Verdana" w:eastAsia="Calibri" w:hAnsi="Verdana" w:cs="Arial"/>
          <w:b/>
          <w:bCs/>
          <w:lang w:eastAsia="es-ES"/>
        </w:rPr>
      </w:pPr>
      <w:r w:rsidRPr="00DF5579">
        <w:rPr>
          <w:rFonts w:ascii="Verdana" w:eastAsia="Calibri" w:hAnsi="Verdana" w:cs="Arial"/>
          <w:b/>
          <w:bCs/>
          <w:lang w:eastAsia="es-ES"/>
        </w:rPr>
        <w:t>Ana María Noriega García</w:t>
      </w:r>
    </w:p>
    <w:p w14:paraId="4CB43CEE" w14:textId="77777777" w:rsidR="00DB1FD3" w:rsidRPr="00DF5579" w:rsidRDefault="00DB1FD3" w:rsidP="00DB1FD3">
      <w:pPr>
        <w:spacing w:after="0" w:line="240" w:lineRule="auto"/>
        <w:jc w:val="both"/>
        <w:rPr>
          <w:rFonts w:ascii="Verdana" w:hAnsi="Verdana"/>
        </w:rPr>
      </w:pPr>
      <w:hyperlink r:id="rId11" w:history="1">
        <w:r w:rsidRPr="00DF5579">
          <w:rPr>
            <w:rStyle w:val="Hipervnculo"/>
            <w:rFonts w:ascii="Verdana" w:hAnsi="Verdana"/>
          </w:rPr>
          <w:t>anitamariang@hotmail.com</w:t>
        </w:r>
      </w:hyperlink>
    </w:p>
    <w:p w14:paraId="4CB43CEF" w14:textId="77777777" w:rsidR="00DB1FD3" w:rsidRPr="00D32C7A" w:rsidRDefault="00DB1FD3" w:rsidP="00DB1FD3">
      <w:pPr>
        <w:spacing w:after="0" w:line="240" w:lineRule="auto"/>
        <w:jc w:val="both"/>
        <w:rPr>
          <w:rFonts w:ascii="Verdana" w:eastAsia="Calibri" w:hAnsi="Verdana" w:cs="Arial"/>
          <w:szCs w:val="24"/>
          <w:lang w:val="es-ES_tradnl" w:eastAsia="es-ES_tradnl"/>
        </w:rPr>
      </w:pPr>
      <w:r>
        <w:rPr>
          <w:rFonts w:ascii="Verdana" w:eastAsia="Calibri" w:hAnsi="Verdana" w:cs="Arial"/>
          <w:szCs w:val="24"/>
          <w:lang w:val="es-ES_tradnl" w:eastAsia="es-ES_tradnl"/>
        </w:rPr>
        <w:t>Bogotá D.C.</w:t>
      </w:r>
    </w:p>
    <w:p w14:paraId="4CB43CF0" w14:textId="77777777" w:rsidR="00DB1FD3" w:rsidRPr="00D32C7A" w:rsidRDefault="00DB1FD3" w:rsidP="00DB1FD3">
      <w:pPr>
        <w:spacing w:after="0" w:line="240" w:lineRule="auto"/>
        <w:rPr>
          <w:rFonts w:ascii="Verdana" w:eastAsia="Calibri" w:hAnsi="Verdana" w:cs="Arial"/>
          <w:szCs w:val="24"/>
          <w:lang w:val="es-ES_tradnl" w:eastAsia="es-ES_tradnl"/>
        </w:rPr>
      </w:pPr>
    </w:p>
    <w:p w14:paraId="4CB43CF1" w14:textId="77777777" w:rsidR="00DB1FD3" w:rsidRPr="00D32C7A" w:rsidRDefault="00DB1FD3" w:rsidP="00DB1FD3">
      <w:pPr>
        <w:spacing w:after="0" w:line="240" w:lineRule="auto"/>
        <w:ind w:left="2694"/>
        <w:rPr>
          <w:rFonts w:ascii="Verdana" w:eastAsia="Calibri" w:hAnsi="Verdana" w:cs="Arial"/>
          <w:b/>
          <w:bCs/>
          <w:lang w:val="es-ES" w:eastAsia="es-ES"/>
        </w:rPr>
      </w:pPr>
      <w:r w:rsidRPr="00D32C7A">
        <w:rPr>
          <w:rFonts w:ascii="Verdana" w:eastAsia="Calibri" w:hAnsi="Verdana" w:cs="Arial"/>
          <w:b/>
          <w:bCs/>
          <w:lang w:val="es-ES" w:eastAsia="es-ES"/>
        </w:rPr>
        <w:t>Concepto C-</w:t>
      </w:r>
      <w:r>
        <w:rPr>
          <w:rFonts w:ascii="Verdana" w:eastAsia="Calibri" w:hAnsi="Verdana" w:cs="Arial"/>
          <w:b/>
          <w:bCs/>
          <w:lang w:val="es-ES" w:eastAsia="es-ES"/>
        </w:rPr>
        <w:t>509</w:t>
      </w:r>
      <w:r w:rsidRPr="00D32C7A">
        <w:rPr>
          <w:rFonts w:ascii="Verdana" w:eastAsia="Calibri" w:hAnsi="Verdana" w:cs="Arial"/>
          <w:b/>
          <w:bCs/>
          <w:lang w:val="es-ES" w:eastAsia="es-ES"/>
        </w:rPr>
        <w:t xml:space="preserve"> de 2024</w:t>
      </w:r>
    </w:p>
    <w:p w14:paraId="4CB43CF2" w14:textId="77777777" w:rsidR="00DB1FD3" w:rsidRPr="00D32C7A" w:rsidRDefault="00DB1FD3" w:rsidP="00DB1FD3">
      <w:pPr>
        <w:spacing w:after="0" w:line="240" w:lineRule="auto"/>
        <w:ind w:left="2694"/>
        <w:rPr>
          <w:rFonts w:ascii="Verdana" w:eastAsia="Calibri" w:hAnsi="Verdana" w:cs="Arial"/>
          <w:szCs w:val="24"/>
          <w:lang w:val="es-ES_tradnl" w:eastAsia="es-ES_tradnl"/>
        </w:rPr>
      </w:pPr>
    </w:p>
    <w:p w14:paraId="4CB43CF3" w14:textId="77777777" w:rsidR="00DB1FD3" w:rsidRPr="00D32C7A" w:rsidRDefault="00DB1FD3" w:rsidP="00DB1FD3">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DB1FD3" w:rsidRPr="00D32C7A" w14:paraId="4CB43CF7" w14:textId="77777777" w:rsidTr="00C77973">
        <w:trPr>
          <w:trHeight w:val="884"/>
        </w:trPr>
        <w:tc>
          <w:tcPr>
            <w:tcW w:w="2689" w:type="dxa"/>
          </w:tcPr>
          <w:p w14:paraId="4CB43CF4" w14:textId="77777777" w:rsidR="00DB1FD3" w:rsidRPr="00D32C7A" w:rsidRDefault="00DB1FD3" w:rsidP="00C77973">
            <w:pPr>
              <w:jc w:val="both"/>
              <w:rPr>
                <w:rFonts w:ascii="Verdana" w:eastAsia="Calibri" w:hAnsi="Verdana" w:cs="Arial"/>
                <w:szCs w:val="24"/>
                <w:lang w:val="es-ES_tradnl" w:eastAsia="es-ES_tradnl"/>
              </w:rPr>
            </w:pPr>
            <w:r w:rsidRPr="00D32C7A">
              <w:rPr>
                <w:rFonts w:ascii="Verdana" w:eastAsia="Calibri" w:hAnsi="Verdana" w:cs="Arial"/>
                <w:szCs w:val="24"/>
                <w:lang w:val="es-ES_tradnl" w:eastAsia="es-ES_tradnl"/>
              </w:rPr>
              <w:t xml:space="preserve">Temas:                   </w:t>
            </w:r>
          </w:p>
        </w:tc>
        <w:tc>
          <w:tcPr>
            <w:tcW w:w="6237" w:type="dxa"/>
          </w:tcPr>
          <w:p w14:paraId="4CB43CF5" w14:textId="77777777" w:rsidR="00DB1FD3" w:rsidRPr="00D32C7A" w:rsidRDefault="00DB1FD3" w:rsidP="00C77973">
            <w:pPr>
              <w:jc w:val="both"/>
              <w:rPr>
                <w:rFonts w:ascii="Verdana" w:eastAsia="Calibri" w:hAnsi="Verdana" w:cs="Arial"/>
                <w:lang w:val="es-ES" w:eastAsia="es-ES"/>
              </w:rPr>
            </w:pPr>
            <w:r w:rsidRPr="00DF5579">
              <w:rPr>
                <w:rFonts w:ascii="Verdana" w:eastAsia="Calibri" w:hAnsi="Verdana" w:cs="Arial"/>
                <w:bCs/>
                <w:lang w:val="es-ES_tradnl"/>
              </w:rPr>
              <w:t>ENTIDADES SIN ÁNIMO DE LUCRO – Naturaleza Jurídica – Capacidad para Contratar / CAPACIDAD – Capacidad Jurídica – Capacidad Contractual / ESAL – Igualdad - Procesos de Selección de Contratación Pública / PRINCIPIO DE IGUALDAD – Contratación Pública</w:t>
            </w:r>
            <w:r w:rsidRPr="00D32C7A">
              <w:rPr>
                <w:rFonts w:ascii="Verdana" w:eastAsia="Calibri" w:hAnsi="Verdana" w:cs="Arial"/>
                <w:bCs/>
              </w:rPr>
              <w:t>.</w:t>
            </w:r>
          </w:p>
        </w:tc>
        <w:tc>
          <w:tcPr>
            <w:tcW w:w="6237" w:type="dxa"/>
          </w:tcPr>
          <w:p w14:paraId="4CB43CF6" w14:textId="77777777" w:rsidR="00DB1FD3" w:rsidRPr="00D32C7A" w:rsidRDefault="00DB1FD3" w:rsidP="00C77973">
            <w:pPr>
              <w:jc w:val="both"/>
              <w:rPr>
                <w:rFonts w:ascii="Verdana" w:hAnsi="Verdana" w:cs="Arial"/>
                <w:lang w:val="es-ES"/>
              </w:rPr>
            </w:pPr>
          </w:p>
        </w:tc>
      </w:tr>
      <w:tr w:rsidR="00DB1FD3" w:rsidRPr="00D32C7A" w14:paraId="4CB43CFB" w14:textId="77777777" w:rsidTr="00C77973">
        <w:tc>
          <w:tcPr>
            <w:tcW w:w="2689" w:type="dxa"/>
          </w:tcPr>
          <w:p w14:paraId="4CB43CF8" w14:textId="77777777" w:rsidR="00DB1FD3" w:rsidRPr="00D32C7A" w:rsidRDefault="00DB1FD3" w:rsidP="00C77973">
            <w:pPr>
              <w:spacing w:before="120"/>
              <w:jc w:val="both"/>
              <w:rPr>
                <w:rFonts w:ascii="Verdana" w:eastAsia="Calibri" w:hAnsi="Verdana" w:cs="Arial"/>
                <w:szCs w:val="24"/>
                <w:lang w:val="es-ES_tradnl" w:eastAsia="es-ES_tradnl"/>
              </w:rPr>
            </w:pPr>
            <w:r w:rsidRPr="00D32C7A">
              <w:rPr>
                <w:rFonts w:ascii="Verdana" w:eastAsia="Calibri" w:hAnsi="Verdana" w:cs="Arial"/>
                <w:szCs w:val="24"/>
                <w:lang w:val="es-ES_tradnl" w:eastAsia="es-ES_tradnl"/>
              </w:rPr>
              <w:t xml:space="preserve">Radicación:               </w:t>
            </w:r>
          </w:p>
        </w:tc>
        <w:tc>
          <w:tcPr>
            <w:tcW w:w="6237" w:type="dxa"/>
          </w:tcPr>
          <w:p w14:paraId="4CB43CF9" w14:textId="77777777" w:rsidR="00DB1FD3" w:rsidRPr="00D32C7A" w:rsidRDefault="00DB1FD3" w:rsidP="00C77973">
            <w:pPr>
              <w:spacing w:before="120"/>
              <w:jc w:val="both"/>
              <w:rPr>
                <w:rFonts w:ascii="Verdana" w:eastAsia="Calibri" w:hAnsi="Verdana" w:cs="Arial"/>
                <w:szCs w:val="24"/>
                <w:lang w:val="es-ES_tradnl" w:eastAsia="es-ES_tradnl"/>
              </w:rPr>
            </w:pPr>
            <w:r w:rsidRPr="00D32C7A">
              <w:rPr>
                <w:rFonts w:ascii="Verdana" w:eastAsia="Calibri" w:hAnsi="Verdana" w:cs="Arial"/>
                <w:szCs w:val="24"/>
                <w:lang w:val="es-ES_tradnl" w:eastAsia="es-ES_tradnl"/>
              </w:rPr>
              <w:t xml:space="preserve">Respuesta a consulta con radicado </w:t>
            </w:r>
            <w:r w:rsidRPr="00DF5579">
              <w:rPr>
                <w:rFonts w:ascii="Verdana" w:eastAsia="Calibri" w:hAnsi="Verdana" w:cs="Arial"/>
                <w:szCs w:val="24"/>
                <w:lang w:val="es-ES_tradnl" w:eastAsia="es-ES_tradnl"/>
              </w:rPr>
              <w:t>No. P20240823008584</w:t>
            </w:r>
            <w:r>
              <w:rPr>
                <w:rFonts w:ascii="Verdana" w:eastAsia="Calibri" w:hAnsi="Verdana" w:cs="Arial"/>
                <w:szCs w:val="24"/>
                <w:lang w:val="es-ES_tradnl" w:eastAsia="es-ES_tradnl"/>
              </w:rPr>
              <w:t xml:space="preserve"> y </w:t>
            </w:r>
            <w:r w:rsidRPr="00DF5579">
              <w:rPr>
                <w:rFonts w:ascii="Verdana" w:eastAsia="Calibri" w:hAnsi="Verdana" w:cs="Arial"/>
                <w:szCs w:val="24"/>
                <w:lang w:val="es-ES_tradnl" w:eastAsia="es-ES_tradnl"/>
              </w:rPr>
              <w:t>P2024082300858</w:t>
            </w:r>
            <w:r>
              <w:rPr>
                <w:rFonts w:ascii="Verdana" w:eastAsia="Calibri" w:hAnsi="Verdana" w:cs="Arial"/>
                <w:szCs w:val="24"/>
                <w:lang w:val="es-ES_tradnl" w:eastAsia="es-ES_tradnl"/>
              </w:rPr>
              <w:t>5</w:t>
            </w:r>
          </w:p>
        </w:tc>
        <w:tc>
          <w:tcPr>
            <w:tcW w:w="6237" w:type="dxa"/>
          </w:tcPr>
          <w:p w14:paraId="4CB43CFA" w14:textId="77777777" w:rsidR="00DB1FD3" w:rsidRPr="00D32C7A" w:rsidRDefault="00DB1FD3" w:rsidP="00C77973">
            <w:pPr>
              <w:spacing w:before="120"/>
              <w:jc w:val="both"/>
              <w:rPr>
                <w:rFonts w:ascii="Verdana" w:eastAsia="Calibri" w:hAnsi="Verdana" w:cs="Arial"/>
                <w:szCs w:val="24"/>
                <w:lang w:val="es-ES_tradnl" w:eastAsia="es-ES_tradnl"/>
              </w:rPr>
            </w:pPr>
          </w:p>
        </w:tc>
      </w:tr>
    </w:tbl>
    <w:p w14:paraId="4CB43CFC" w14:textId="77777777" w:rsidR="00DB1FD3" w:rsidRPr="00D32C7A" w:rsidRDefault="00DB1FD3" w:rsidP="00DB1FD3">
      <w:pPr>
        <w:spacing w:after="0" w:line="240" w:lineRule="auto"/>
        <w:jc w:val="both"/>
        <w:rPr>
          <w:rFonts w:ascii="Verdana" w:eastAsia="Calibri" w:hAnsi="Verdana" w:cs="Arial"/>
          <w:szCs w:val="24"/>
          <w:lang w:val="es-ES_tradnl" w:eastAsia="es-ES_tradnl"/>
        </w:rPr>
      </w:pPr>
    </w:p>
    <w:p w14:paraId="4CB43CFD" w14:textId="77777777" w:rsidR="00DB1FD3" w:rsidRPr="00D32C7A" w:rsidRDefault="00DB1FD3" w:rsidP="00DB1FD3">
      <w:pPr>
        <w:spacing w:after="0" w:line="240" w:lineRule="auto"/>
        <w:jc w:val="both"/>
        <w:rPr>
          <w:rFonts w:ascii="Verdana" w:eastAsia="Calibri" w:hAnsi="Verdana" w:cs="Arial"/>
          <w:szCs w:val="24"/>
          <w:lang w:val="es-ES_tradnl" w:eastAsia="es-ES_tradnl"/>
        </w:rPr>
      </w:pPr>
    </w:p>
    <w:p w14:paraId="4CB43CFE" w14:textId="77777777" w:rsidR="00DB1FD3" w:rsidRPr="00D32C7A" w:rsidRDefault="00DB1FD3" w:rsidP="00DB1FD3">
      <w:pPr>
        <w:spacing w:after="0" w:line="240" w:lineRule="auto"/>
        <w:jc w:val="both"/>
        <w:rPr>
          <w:rFonts w:ascii="Verdana" w:eastAsia="Calibri" w:hAnsi="Verdana" w:cs="Arial"/>
          <w:lang w:val="es-ES" w:eastAsia="es-ES"/>
        </w:rPr>
      </w:pPr>
      <w:r w:rsidRPr="00D32C7A">
        <w:rPr>
          <w:rFonts w:ascii="Verdana" w:eastAsia="Calibri" w:hAnsi="Verdana" w:cs="Arial"/>
          <w:lang w:val="es-ES" w:eastAsia="es-ES"/>
        </w:rPr>
        <w:t xml:space="preserve">Estimada señora </w:t>
      </w:r>
      <w:r>
        <w:rPr>
          <w:rFonts w:ascii="Verdana" w:eastAsia="Calibri" w:hAnsi="Verdana" w:cs="Arial"/>
          <w:lang w:val="es-ES" w:eastAsia="es-ES"/>
        </w:rPr>
        <w:t>Ana María</w:t>
      </w:r>
      <w:r w:rsidRPr="00D32C7A">
        <w:rPr>
          <w:rFonts w:ascii="Verdana" w:eastAsia="Calibri" w:hAnsi="Verdana" w:cs="Arial"/>
          <w:lang w:val="es-ES" w:eastAsia="es-ES"/>
        </w:rPr>
        <w:t xml:space="preserve">: </w:t>
      </w:r>
    </w:p>
    <w:p w14:paraId="4CB43CFF" w14:textId="77777777" w:rsidR="00DB1FD3" w:rsidRPr="00D32C7A" w:rsidRDefault="00DB1FD3" w:rsidP="00DB1FD3">
      <w:pPr>
        <w:spacing w:after="0" w:line="240" w:lineRule="auto"/>
        <w:jc w:val="both"/>
        <w:rPr>
          <w:rFonts w:ascii="Verdana" w:eastAsia="Calibri" w:hAnsi="Verdana" w:cs="Arial"/>
          <w:lang w:val="es-ES" w:eastAsia="es-ES"/>
        </w:rPr>
      </w:pPr>
    </w:p>
    <w:p w14:paraId="4CB43D00" w14:textId="77777777" w:rsidR="00DB1FD3" w:rsidRPr="00D32C7A" w:rsidRDefault="00DB1FD3" w:rsidP="00DB1FD3">
      <w:pPr>
        <w:spacing w:after="0" w:line="240" w:lineRule="auto"/>
        <w:jc w:val="both"/>
        <w:rPr>
          <w:rFonts w:ascii="Verdana" w:eastAsia="Calibri" w:hAnsi="Verdana" w:cs="Arial"/>
          <w:szCs w:val="24"/>
          <w:lang w:val="es-ES_tradnl" w:eastAsia="es-ES_tradnl"/>
        </w:rPr>
      </w:pPr>
    </w:p>
    <w:p w14:paraId="4CB43D01" w14:textId="77777777" w:rsidR="00DB1FD3" w:rsidRPr="00D32C7A" w:rsidRDefault="00DB1FD3" w:rsidP="00DB1FD3">
      <w:pPr>
        <w:spacing w:after="120" w:line="276" w:lineRule="auto"/>
        <w:jc w:val="both"/>
        <w:rPr>
          <w:rFonts w:ascii="Verdana" w:eastAsia="Calibri" w:hAnsi="Verdana" w:cs="Arial"/>
          <w:lang w:val="es-ES" w:eastAsia="es-ES"/>
        </w:rPr>
      </w:pPr>
      <w:r w:rsidRPr="00D32C7A">
        <w:rPr>
          <w:rFonts w:ascii="Verdana" w:eastAsia="Calibri" w:hAnsi="Verdana" w:cs="Arial"/>
          <w:lang w:val="es-ES" w:eastAsia="es-ES"/>
        </w:rPr>
        <w:t>En ejercicio de la competencia otorgada por los artículos 3, numeral 5º, y 11, numeral 8º, del Decreto Ley 4170 de 2011,</w:t>
      </w:r>
      <w:r w:rsidRPr="00D32C7A">
        <w:rPr>
          <w:rFonts w:ascii="Verdana" w:eastAsia="Arial MT" w:hAnsi="Verdana" w:cs="Arial MT"/>
          <w:lang w:val="es-ES" w:eastAsia="es-ES"/>
        </w:rPr>
        <w:t xml:space="preserve"> </w:t>
      </w:r>
      <w:r w:rsidRPr="00D32C7A">
        <w:rPr>
          <w:rFonts w:ascii="Verdana" w:eastAsia="Calibri" w:hAnsi="Verdana" w:cs="Arial"/>
          <w:lang w:val="es-ES" w:eastAsia="es-ES"/>
        </w:rPr>
        <w:t xml:space="preserve">la Agencia Nacional de Contratación Pública – Colombia Compra Eficiente– responde la solicitud del </w:t>
      </w:r>
      <w:r>
        <w:rPr>
          <w:rFonts w:ascii="Verdana" w:eastAsia="Calibri" w:hAnsi="Verdana" w:cs="Arial"/>
          <w:lang w:val="es-ES" w:eastAsia="es-ES"/>
        </w:rPr>
        <w:t>23</w:t>
      </w:r>
      <w:r w:rsidRPr="00D32C7A">
        <w:rPr>
          <w:rFonts w:ascii="Verdana" w:eastAsia="Calibri" w:hAnsi="Verdana" w:cs="Arial"/>
          <w:lang w:val="es-ES" w:eastAsia="es-ES"/>
        </w:rPr>
        <w:t xml:space="preserve"> de agosto de 2024</w:t>
      </w:r>
      <w:r>
        <w:rPr>
          <w:rFonts w:ascii="Verdana" w:eastAsia="Calibri" w:hAnsi="Verdana" w:cs="Arial"/>
          <w:lang w:val="es-ES" w:eastAsia="es-ES"/>
        </w:rPr>
        <w:t>, e</w:t>
      </w:r>
      <w:r w:rsidRPr="00D32C7A">
        <w:rPr>
          <w:rFonts w:ascii="Verdana" w:eastAsia="Calibri" w:hAnsi="Verdana" w:cs="Arial"/>
          <w:lang w:val="es-ES" w:eastAsia="es-ES"/>
        </w:rPr>
        <w:t>n la cual manifiesta lo siguiente:</w:t>
      </w:r>
    </w:p>
    <w:p w14:paraId="4CB43D02" w14:textId="77777777" w:rsidR="00DB1FD3" w:rsidRPr="00D32C7A" w:rsidRDefault="00DB1FD3" w:rsidP="00DB1FD3">
      <w:pPr>
        <w:spacing w:after="120" w:line="276" w:lineRule="auto"/>
        <w:jc w:val="both"/>
        <w:rPr>
          <w:rFonts w:ascii="Verdana" w:eastAsia="Calibri" w:hAnsi="Verdana" w:cs="Arial"/>
          <w:sz w:val="21"/>
          <w:szCs w:val="21"/>
          <w:lang w:val="es-ES" w:eastAsia="es-ES"/>
        </w:rPr>
      </w:pPr>
    </w:p>
    <w:p w14:paraId="4CB43D03" w14:textId="77777777" w:rsidR="00DB1FD3" w:rsidRPr="00DF5579" w:rsidRDefault="00DB1FD3" w:rsidP="00DB1FD3">
      <w:pPr>
        <w:spacing w:after="0" w:line="240" w:lineRule="auto"/>
        <w:ind w:left="709" w:right="709"/>
        <w:jc w:val="both"/>
        <w:rPr>
          <w:rFonts w:ascii="Verdana" w:eastAsia="Calibri" w:hAnsi="Verdana" w:cs="Arial"/>
          <w:sz w:val="21"/>
          <w:szCs w:val="21"/>
          <w:lang w:val="es-ES" w:eastAsia="es-ES"/>
        </w:rPr>
      </w:pPr>
      <w:r w:rsidRPr="00D32C7A">
        <w:rPr>
          <w:rFonts w:ascii="Verdana" w:eastAsia="Calibri" w:hAnsi="Verdana" w:cs="Arial"/>
          <w:sz w:val="21"/>
          <w:szCs w:val="21"/>
          <w:lang w:val="es-ES" w:eastAsia="es-ES"/>
        </w:rPr>
        <w:t>“</w:t>
      </w:r>
      <w:r w:rsidRPr="00DF5579">
        <w:rPr>
          <w:rFonts w:ascii="Verdana" w:eastAsia="Calibri" w:hAnsi="Verdana" w:cs="Arial"/>
          <w:sz w:val="21"/>
          <w:szCs w:val="21"/>
          <w:lang w:val="es-ES" w:eastAsia="es-ES"/>
        </w:rPr>
        <w:t>¿Es viable establecer indicadores financieros alternativos para las Entidades Sin Ánimo de Lucro (ESAL) en procesos competitivos del régimen público de contratación?</w:t>
      </w:r>
    </w:p>
    <w:p w14:paraId="4CB43D04" w14:textId="77777777" w:rsidR="00DB1FD3" w:rsidRPr="00DF5579" w:rsidRDefault="00DB1FD3" w:rsidP="00DB1FD3">
      <w:pPr>
        <w:spacing w:after="0" w:line="240" w:lineRule="auto"/>
        <w:ind w:left="709" w:right="709"/>
        <w:jc w:val="both"/>
        <w:rPr>
          <w:rFonts w:ascii="Verdana" w:eastAsia="Calibri" w:hAnsi="Verdana" w:cs="Arial"/>
          <w:sz w:val="21"/>
          <w:szCs w:val="21"/>
          <w:lang w:val="es-ES" w:eastAsia="es-ES"/>
        </w:rPr>
      </w:pPr>
    </w:p>
    <w:p w14:paraId="4CB43D05" w14:textId="77777777" w:rsidR="00DB1FD3" w:rsidRPr="00DF5579" w:rsidRDefault="00DB1FD3" w:rsidP="00DB1FD3">
      <w:pPr>
        <w:spacing w:after="0" w:line="240" w:lineRule="auto"/>
        <w:ind w:left="709" w:right="709"/>
        <w:jc w:val="both"/>
        <w:rPr>
          <w:rFonts w:ascii="Verdana" w:eastAsia="Calibri" w:hAnsi="Verdana" w:cs="Arial"/>
          <w:sz w:val="21"/>
          <w:szCs w:val="21"/>
          <w:lang w:val="es-ES" w:eastAsia="es-ES"/>
        </w:rPr>
      </w:pPr>
      <w:r w:rsidRPr="00DF5579">
        <w:rPr>
          <w:rFonts w:ascii="Verdana" w:eastAsia="Calibri" w:hAnsi="Verdana" w:cs="Arial"/>
          <w:sz w:val="21"/>
          <w:szCs w:val="21"/>
          <w:lang w:val="es-ES" w:eastAsia="es-ES"/>
        </w:rPr>
        <w:t>¿Es viable establecer indicadores financieros alternativos para las ESAL en procesos competitivos del régimen privado de contratación?</w:t>
      </w:r>
    </w:p>
    <w:p w14:paraId="4CB43D06" w14:textId="77777777" w:rsidR="00DB1FD3" w:rsidRPr="00DF5579" w:rsidRDefault="00DB1FD3" w:rsidP="00DB1FD3">
      <w:pPr>
        <w:spacing w:after="0" w:line="240" w:lineRule="auto"/>
        <w:ind w:left="709" w:right="709"/>
        <w:jc w:val="both"/>
        <w:rPr>
          <w:rFonts w:ascii="Verdana" w:eastAsia="Calibri" w:hAnsi="Verdana" w:cs="Arial"/>
          <w:sz w:val="21"/>
          <w:szCs w:val="21"/>
          <w:lang w:val="es-ES" w:eastAsia="es-ES"/>
        </w:rPr>
      </w:pPr>
    </w:p>
    <w:p w14:paraId="4CB43D07" w14:textId="77777777" w:rsidR="00DB1FD3" w:rsidRPr="00D32C7A" w:rsidRDefault="00DB1FD3" w:rsidP="00DB1FD3">
      <w:pPr>
        <w:spacing w:after="0" w:line="240" w:lineRule="auto"/>
        <w:ind w:left="709" w:right="709"/>
        <w:jc w:val="both"/>
        <w:rPr>
          <w:rFonts w:ascii="Verdana" w:eastAsia="Calibri" w:hAnsi="Verdana" w:cs="Arial"/>
          <w:sz w:val="21"/>
          <w:szCs w:val="21"/>
          <w:lang w:val="es-ES" w:eastAsia="es-ES"/>
        </w:rPr>
      </w:pPr>
      <w:r w:rsidRPr="00DF5579">
        <w:rPr>
          <w:rFonts w:ascii="Verdana" w:eastAsia="Calibri" w:hAnsi="Verdana" w:cs="Arial"/>
          <w:sz w:val="21"/>
          <w:szCs w:val="21"/>
          <w:lang w:val="es-ES" w:eastAsia="es-ES"/>
        </w:rPr>
        <w:lastRenderedPageBreak/>
        <w:t>En caso de que el análisis del sector determine que el servicio puede ser provisto tanto por ESAL como por entidades con ánimo de lucro, ¿es posible establecer indicadores financieros alternativos que busquen aplicar el principio de igualdad material, con reglas iguales entre iguales y reglas diferenciadas para quienes presentan condiciones diferentes?</w:t>
      </w:r>
      <w:r w:rsidRPr="00D32C7A">
        <w:rPr>
          <w:rFonts w:ascii="Verdana" w:eastAsia="Calibri" w:hAnsi="Verdana" w:cs="Arial"/>
          <w:sz w:val="21"/>
          <w:szCs w:val="21"/>
          <w:lang w:val="es-ES" w:eastAsia="es-ES"/>
        </w:rPr>
        <w:t>”</w:t>
      </w:r>
    </w:p>
    <w:p w14:paraId="4CB43D08" w14:textId="77777777" w:rsidR="00DB1FD3" w:rsidRPr="00D32C7A" w:rsidRDefault="00DB1FD3" w:rsidP="00DB1FD3">
      <w:pPr>
        <w:spacing w:after="0" w:line="240" w:lineRule="auto"/>
        <w:ind w:left="709" w:right="709"/>
        <w:jc w:val="both"/>
        <w:rPr>
          <w:rFonts w:ascii="Verdana" w:eastAsia="Calibri" w:hAnsi="Verdana" w:cs="Arial"/>
          <w:sz w:val="20"/>
          <w:szCs w:val="20"/>
          <w:lang w:val="es-ES" w:eastAsia="es-ES"/>
        </w:rPr>
      </w:pPr>
    </w:p>
    <w:p w14:paraId="4CB43D09" w14:textId="77777777" w:rsidR="00DB1FD3" w:rsidRPr="00D32C7A" w:rsidRDefault="00DB1FD3" w:rsidP="00DB1FD3">
      <w:pPr>
        <w:spacing w:after="0" w:line="240" w:lineRule="auto"/>
        <w:ind w:left="709" w:right="709"/>
        <w:jc w:val="both"/>
        <w:rPr>
          <w:rFonts w:ascii="Verdana" w:eastAsia="Calibri" w:hAnsi="Verdana" w:cs="Arial"/>
          <w:lang w:val="es-ES" w:eastAsia="es-ES_tradnl"/>
        </w:rPr>
      </w:pPr>
    </w:p>
    <w:p w14:paraId="4CB43D0A" w14:textId="77777777" w:rsidR="00DB1FD3" w:rsidRPr="00D32C7A" w:rsidRDefault="00DB1FD3" w:rsidP="00DB1FD3">
      <w:pPr>
        <w:spacing w:after="120" w:line="276" w:lineRule="auto"/>
        <w:jc w:val="both"/>
        <w:rPr>
          <w:rFonts w:ascii="Verdana" w:eastAsia="Calibri" w:hAnsi="Verdana" w:cs="Arial"/>
          <w:lang w:val="es-ES" w:eastAsia="es-ES"/>
        </w:rPr>
      </w:pPr>
      <w:r w:rsidRPr="00D32C7A">
        <w:rPr>
          <w:rFonts w:ascii="Verdana" w:eastAsia="Calibri" w:hAnsi="Verdana" w:cs="Arial"/>
          <w:lang w:val="es-ES_tradnl" w:eastAsia="es-ES_tradnl"/>
        </w:rPr>
        <w:tab/>
      </w:r>
      <w:r w:rsidRPr="00D32C7A">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32C7A">
        <w:rPr>
          <w:rFonts w:ascii="Verdana" w:eastAsia="Calibri" w:hAnsi="Verdana" w:cs="Arial"/>
          <w:lang w:val="es-ES" w:eastAsia="es-ES"/>
        </w:rPr>
        <w:tab/>
      </w:r>
    </w:p>
    <w:p w14:paraId="4CB43D0B" w14:textId="77777777" w:rsidR="00DB1FD3" w:rsidRPr="00D32C7A" w:rsidRDefault="00DB1FD3" w:rsidP="00DB1FD3">
      <w:pPr>
        <w:spacing w:after="0" w:line="276" w:lineRule="auto"/>
        <w:ind w:firstLine="708"/>
        <w:jc w:val="both"/>
        <w:rPr>
          <w:rFonts w:ascii="Verdana" w:eastAsia="Calibri" w:hAnsi="Verdana" w:cs="Arial"/>
          <w:lang w:val="es-ES" w:eastAsia="es-ES"/>
        </w:rPr>
      </w:pPr>
      <w:r w:rsidRPr="00D32C7A">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CB43D0C" w14:textId="77777777" w:rsidR="00DB1FD3" w:rsidRPr="00D32C7A" w:rsidRDefault="00DB1FD3" w:rsidP="00DB1FD3">
      <w:pPr>
        <w:spacing w:after="0" w:line="276" w:lineRule="auto"/>
        <w:ind w:firstLine="708"/>
        <w:jc w:val="both"/>
        <w:rPr>
          <w:rFonts w:ascii="Verdana" w:eastAsia="Calibri" w:hAnsi="Verdana" w:cs="Arial"/>
          <w:lang w:val="es-ES" w:eastAsia="es-ES"/>
        </w:rPr>
      </w:pPr>
    </w:p>
    <w:p w14:paraId="4CB43D0D" w14:textId="77777777" w:rsidR="00DB1FD3" w:rsidRPr="00D32C7A" w:rsidRDefault="00DB1FD3" w:rsidP="00DB1FD3">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D32C7A">
        <w:rPr>
          <w:rFonts w:ascii="Verdana" w:eastAsia="Century Gothic" w:hAnsi="Verdana" w:cs="Century Gothic"/>
          <w:b/>
          <w:bCs/>
        </w:rPr>
        <w:t>Problema planteado:</w:t>
      </w:r>
    </w:p>
    <w:p w14:paraId="4CB43D0E" w14:textId="77777777" w:rsidR="00DB1FD3" w:rsidRPr="00D32C7A" w:rsidRDefault="00DB1FD3" w:rsidP="00DB1FD3">
      <w:pPr>
        <w:spacing w:after="120" w:line="276" w:lineRule="auto"/>
        <w:jc w:val="both"/>
        <w:rPr>
          <w:rFonts w:ascii="Verdana" w:eastAsia="Century Gothic" w:hAnsi="Verdana" w:cs="Century Gothic"/>
        </w:rPr>
      </w:pPr>
    </w:p>
    <w:p w14:paraId="4CB43D0F" w14:textId="77777777" w:rsidR="00DB1FD3" w:rsidRPr="00D32C7A" w:rsidRDefault="00DB1FD3" w:rsidP="00DB1FD3">
      <w:pPr>
        <w:spacing w:after="120" w:line="276" w:lineRule="auto"/>
        <w:jc w:val="both"/>
        <w:rPr>
          <w:rFonts w:ascii="Verdana" w:hAnsi="Verdana" w:cs="Arial"/>
          <w:bCs/>
          <w:lang w:val="es-ES_tradnl"/>
        </w:rPr>
      </w:pPr>
      <w:r w:rsidRPr="00D32C7A">
        <w:rPr>
          <w:rFonts w:ascii="Verdana" w:eastAsia="Century Gothic" w:hAnsi="Verdana" w:cs="Century Gothic"/>
        </w:rPr>
        <w:t>De acuerdo con el contenido de su solicitud, esta Agencia resolverá el siguiente problema jurídico:</w:t>
      </w:r>
      <w:r w:rsidRPr="00D32C7A">
        <w:rPr>
          <w:rFonts w:ascii="Verdana" w:hAnsi="Verdana"/>
        </w:rPr>
        <w:t xml:space="preserve"> ¿</w:t>
      </w:r>
      <w:r>
        <w:rPr>
          <w:rFonts w:ascii="Verdana" w:hAnsi="Verdana"/>
        </w:rPr>
        <w:t>pueden las ESAL, participar en procesos de selección de contratación pública o hay un trato diferencial?</w:t>
      </w:r>
    </w:p>
    <w:p w14:paraId="4CB43D10" w14:textId="77777777" w:rsidR="00DB1FD3" w:rsidRPr="00D32C7A" w:rsidRDefault="00DB1FD3" w:rsidP="00DB1FD3">
      <w:pPr>
        <w:spacing w:after="120" w:line="276" w:lineRule="auto"/>
        <w:jc w:val="both"/>
        <w:rPr>
          <w:rFonts w:ascii="Verdana" w:hAnsi="Verdana" w:cs="Arial"/>
          <w:bCs/>
          <w:lang w:val="es-ES_tradnl"/>
        </w:rPr>
      </w:pPr>
    </w:p>
    <w:p w14:paraId="4CB43D11" w14:textId="77777777" w:rsidR="00DB1FD3" w:rsidRPr="00D32C7A" w:rsidRDefault="00DB1FD3" w:rsidP="00DB1FD3">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32C7A">
        <w:rPr>
          <w:rFonts w:ascii="Verdana" w:eastAsia="Century Gothic" w:hAnsi="Verdana" w:cs="Century Gothic"/>
          <w:b/>
          <w:bCs/>
        </w:rPr>
        <w:t>Respuesta:</w:t>
      </w:r>
    </w:p>
    <w:p w14:paraId="4CB43D12" w14:textId="77777777" w:rsidR="00DB1FD3" w:rsidRPr="00D32C7A" w:rsidRDefault="00DB1FD3" w:rsidP="00DB1FD3">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4CB43D13" w14:textId="77777777" w:rsidR="00DB1FD3" w:rsidRPr="00DF5579" w:rsidRDefault="00DB1FD3" w:rsidP="00DB1FD3">
      <w:pPr>
        <w:spacing w:after="0" w:line="240" w:lineRule="auto"/>
        <w:jc w:val="both"/>
        <w:rPr>
          <w:rFonts w:ascii="Verdana" w:hAnsi="Verdana" w:cs="Arial"/>
          <w:color w:val="000000"/>
          <w:kern w:val="2"/>
          <w:lang w:val="es-ES"/>
        </w:rPr>
      </w:pPr>
      <w:r w:rsidRPr="00DF5579">
        <w:rPr>
          <w:rFonts w:ascii="Verdana" w:hAnsi="Verdana" w:cs="Arial"/>
          <w:color w:val="000000"/>
          <w:kern w:val="2"/>
          <w:lang w:val="es-ES"/>
        </w:rPr>
        <w:lastRenderedPageBreak/>
        <w:t xml:space="preserve">En Colombia, las fundaciones y asociaciones sin ánimo de lucro (ESAL) pueden participar en procesos de </w:t>
      </w:r>
      <w:r>
        <w:rPr>
          <w:rFonts w:ascii="Verdana" w:hAnsi="Verdana" w:cs="Arial"/>
          <w:color w:val="000000"/>
          <w:kern w:val="2"/>
          <w:lang w:val="es-ES"/>
        </w:rPr>
        <w:t xml:space="preserve">selección de contratación pública, </w:t>
      </w:r>
      <w:r w:rsidRPr="00DF5579">
        <w:rPr>
          <w:rFonts w:ascii="Verdana" w:hAnsi="Verdana" w:cs="Arial"/>
          <w:color w:val="000000"/>
          <w:kern w:val="2"/>
          <w:lang w:val="es-ES"/>
        </w:rPr>
        <w:t>incluidas las licitaciones de obra pública</w:t>
      </w:r>
      <w:r>
        <w:rPr>
          <w:rFonts w:ascii="Verdana" w:hAnsi="Verdana" w:cs="Arial"/>
          <w:color w:val="000000"/>
          <w:kern w:val="2"/>
          <w:lang w:val="es-ES"/>
        </w:rPr>
        <w:t>, entre otros</w:t>
      </w:r>
      <w:r w:rsidRPr="00DF5579">
        <w:rPr>
          <w:rFonts w:ascii="Verdana" w:hAnsi="Verdana" w:cs="Arial"/>
          <w:color w:val="000000"/>
          <w:kern w:val="2"/>
          <w:lang w:val="es-ES"/>
        </w:rPr>
        <w:t>, ya sea de forma individual o bajo modalidades de consorcio o unión temporal, ya que no se encuentran inhabilitadas y dicha actividad no está prohibida en el ordenamiento jurídico colombiano.</w:t>
      </w:r>
    </w:p>
    <w:p w14:paraId="4CB43D14" w14:textId="77777777" w:rsidR="00DB1FD3" w:rsidRPr="00DF5579" w:rsidRDefault="00DB1FD3" w:rsidP="00DB1FD3">
      <w:pPr>
        <w:spacing w:after="0" w:line="240" w:lineRule="auto"/>
        <w:jc w:val="both"/>
        <w:rPr>
          <w:rFonts w:ascii="Verdana" w:hAnsi="Verdana" w:cs="Arial"/>
          <w:color w:val="000000"/>
          <w:kern w:val="2"/>
          <w:lang w:val="es-ES"/>
        </w:rPr>
      </w:pPr>
    </w:p>
    <w:p w14:paraId="4CB43D15" w14:textId="77777777" w:rsidR="00DB1FD3" w:rsidRPr="00DF5579" w:rsidRDefault="00DB1FD3" w:rsidP="00DB1FD3">
      <w:pPr>
        <w:spacing w:after="0" w:line="240" w:lineRule="auto"/>
        <w:jc w:val="both"/>
        <w:rPr>
          <w:rFonts w:ascii="Verdana" w:hAnsi="Verdana" w:cs="Arial"/>
          <w:color w:val="000000"/>
          <w:kern w:val="2"/>
          <w:lang w:val="es-ES"/>
        </w:rPr>
      </w:pPr>
      <w:r w:rsidRPr="00DF5579">
        <w:rPr>
          <w:rFonts w:ascii="Verdana" w:hAnsi="Verdana" w:cs="Arial"/>
          <w:color w:val="000000"/>
          <w:kern w:val="2"/>
          <w:lang w:val="es-ES"/>
        </w:rPr>
        <w:t>Ahora bien, es de tener en cuenta que, aunque las ESAL no tienen como objetivo la generación de utilidades, esto no les impide participar en contratos o</w:t>
      </w:r>
      <w:r>
        <w:rPr>
          <w:rFonts w:ascii="Verdana" w:hAnsi="Verdana" w:cs="Arial"/>
          <w:color w:val="000000"/>
          <w:kern w:val="2"/>
          <w:lang w:val="es-ES"/>
        </w:rPr>
        <w:t xml:space="preserve"> </w:t>
      </w:r>
      <w:r w:rsidRPr="00DF5579">
        <w:rPr>
          <w:rFonts w:ascii="Verdana" w:hAnsi="Verdana" w:cs="Arial"/>
          <w:color w:val="000000"/>
          <w:kern w:val="2"/>
          <w:lang w:val="es-ES"/>
        </w:rPr>
        <w:t>actividades comerciales que generen ingresos, siempre y cuando estos se reinviertan en el cumplimiento de sus fines sociales y no se distribuyan entre sus miembros; no obstante, esto no difiere de cuando se señala que las personas jurídicas tienen capacidad jurídica para contratar, la cual hace referencia a la posibilidad que tienen para adelantar actividades en el marco de su objeto social, a las facultades que le han sido otorgadas al representante legal y a la ausencia de inhabilidades, incompatibilidades o prohibiciones para contratar, derivadas de la ley.</w:t>
      </w:r>
    </w:p>
    <w:p w14:paraId="4CB43D16" w14:textId="77777777" w:rsidR="00DB1FD3" w:rsidRPr="00DF5579" w:rsidRDefault="00DB1FD3" w:rsidP="00DB1FD3">
      <w:pPr>
        <w:spacing w:after="0" w:line="240" w:lineRule="auto"/>
        <w:jc w:val="both"/>
        <w:rPr>
          <w:rFonts w:ascii="Verdana" w:hAnsi="Verdana" w:cs="Arial"/>
          <w:color w:val="000000"/>
          <w:kern w:val="2"/>
          <w:lang w:val="es-ES"/>
        </w:rPr>
      </w:pPr>
    </w:p>
    <w:p w14:paraId="4CB43D17" w14:textId="77777777" w:rsidR="00DB1FD3" w:rsidRDefault="00DB1FD3" w:rsidP="00DB1FD3">
      <w:pPr>
        <w:spacing w:after="0" w:line="240" w:lineRule="auto"/>
        <w:jc w:val="both"/>
        <w:rPr>
          <w:rFonts w:ascii="Verdana" w:hAnsi="Verdana" w:cs="Arial"/>
          <w:color w:val="000000"/>
          <w:kern w:val="2"/>
          <w:lang w:val="es-ES"/>
        </w:rPr>
      </w:pPr>
      <w:r w:rsidRPr="00DF5579">
        <w:rPr>
          <w:rFonts w:ascii="Verdana" w:hAnsi="Verdana" w:cs="Arial"/>
          <w:color w:val="000000"/>
          <w:kern w:val="2"/>
          <w:lang w:val="es-ES"/>
        </w:rPr>
        <w:t>En este orden de ideas, las ESAL no solo pueden contratar bajo las reglas establecidas en el Decreto 092 de 2017, sino que también</w:t>
      </w:r>
      <w:r>
        <w:rPr>
          <w:rFonts w:ascii="Verdana" w:hAnsi="Verdana" w:cs="Arial"/>
          <w:color w:val="000000"/>
          <w:kern w:val="2"/>
          <w:lang w:val="es-ES"/>
        </w:rPr>
        <w:t>,</w:t>
      </w:r>
      <w:r w:rsidRPr="00DF5579">
        <w:rPr>
          <w:rFonts w:ascii="Verdana" w:hAnsi="Verdana" w:cs="Arial"/>
          <w:color w:val="000000"/>
          <w:kern w:val="2"/>
          <w:lang w:val="es-ES"/>
        </w:rPr>
        <w:t xml:space="preserve"> pueden intervenir en procesos de selección regidos por las reglas del EGCAP, caso en el cual participan con las mismas reglas aplicables a los demás oferentes</w:t>
      </w:r>
      <w:r>
        <w:rPr>
          <w:rFonts w:ascii="Verdana" w:hAnsi="Verdana" w:cs="Arial"/>
          <w:color w:val="000000"/>
          <w:kern w:val="2"/>
          <w:lang w:val="es-ES"/>
        </w:rPr>
        <w:t>, es decir, no habría lugar a tratos diferenciales en los procesos de selección regidos por el EGCAP, para ninguno de los partícipes en este en razón a la naturaleza de las personas jurídicas que pretendan participar.</w:t>
      </w:r>
    </w:p>
    <w:p w14:paraId="4CB43D18" w14:textId="77777777" w:rsidR="00DB1FD3" w:rsidRDefault="00DB1FD3" w:rsidP="00DB1FD3">
      <w:pPr>
        <w:spacing w:after="0" w:line="240" w:lineRule="auto"/>
        <w:jc w:val="both"/>
        <w:rPr>
          <w:rFonts w:ascii="Verdana" w:hAnsi="Verdana" w:cs="Arial"/>
          <w:color w:val="000000"/>
          <w:kern w:val="2"/>
          <w:lang w:val="es-ES"/>
        </w:rPr>
      </w:pPr>
    </w:p>
    <w:p w14:paraId="4CB43D19" w14:textId="77777777" w:rsidR="00DB1FD3" w:rsidRDefault="00DB1FD3" w:rsidP="00DB1FD3">
      <w:pPr>
        <w:spacing w:after="0" w:line="240" w:lineRule="auto"/>
        <w:jc w:val="both"/>
        <w:rPr>
          <w:rFonts w:ascii="Verdana" w:hAnsi="Verdana" w:cs="Arial"/>
          <w:color w:val="000000"/>
          <w:kern w:val="2"/>
          <w:lang w:val="es-ES"/>
        </w:rPr>
      </w:pPr>
      <w:r w:rsidRPr="003F7E7A">
        <w:rPr>
          <w:rFonts w:ascii="Verdana" w:hAnsi="Verdana" w:cs="Arial"/>
          <w:color w:val="000000"/>
          <w:kern w:val="2"/>
          <w:lang w:val="es-ES"/>
        </w:rPr>
        <w:t>Sin embargo, para los efectos se aclara que, los negocios jurídicos que regula el Decreto 092 de 2017 son esencialmente distintos a los contratos para la adquisición y aprovisionamiento de bienes, obras o servicios regulados por el EGCAP, por lo que, como tal, no hacen parte del sistema de compra pública. De acuerdo con lo anterior, si la Entidad Estatal adquiere o se abastece de un bien, obra o servicio en un contrato conmutativo en el cual el proveedor es una ESAL, deberá aplicar el régimen contenido en las Leyes 80 de 1993 y 1150 de 2007, y no el Decreto 092 de 2017</w:t>
      </w:r>
    </w:p>
    <w:p w14:paraId="4CB43D1A" w14:textId="77777777" w:rsidR="00DB1FD3" w:rsidRDefault="00DB1FD3" w:rsidP="00DB1FD3">
      <w:pPr>
        <w:spacing w:after="0" w:line="240" w:lineRule="auto"/>
        <w:jc w:val="both"/>
        <w:rPr>
          <w:rFonts w:ascii="Verdana" w:hAnsi="Verdana" w:cs="Arial"/>
          <w:color w:val="000000"/>
          <w:kern w:val="2"/>
          <w:lang w:val="es-ES"/>
        </w:rPr>
      </w:pPr>
    </w:p>
    <w:p w14:paraId="4CB43D1B" w14:textId="77777777" w:rsidR="00DB1FD3" w:rsidRPr="003F7E7A" w:rsidRDefault="00DB1FD3" w:rsidP="00DB1FD3">
      <w:pPr>
        <w:spacing w:after="120" w:line="276" w:lineRule="auto"/>
        <w:jc w:val="both"/>
        <w:rPr>
          <w:rFonts w:ascii="Verdana" w:hAnsi="Verdana" w:cs="Arial"/>
          <w:color w:val="000000" w:themeColor="text1"/>
          <w:sz w:val="24"/>
          <w:szCs w:val="24"/>
        </w:rPr>
      </w:pPr>
      <w:bookmarkStart w:id="0" w:name="_Hlk173275435"/>
      <w:r w:rsidRPr="003F7E7A">
        <w:rPr>
          <w:rFonts w:ascii="Verdana" w:eastAsia="Times New Roman" w:hAnsi="Verdana" w:cs="Arial"/>
          <w:color w:val="000000" w:themeColor="text1"/>
          <w:lang w:eastAsia="es-MX"/>
        </w:rPr>
        <w:t xml:space="preserve">Por tanto, es claro que las ESAL tienen capacidad para contratar bajo las reglas del EGCAP al ser personas jurídicas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EGCAP, siempre que cumplan con los requisitos exigidos en cada proceso, donde competirán con los demás proponentes. En este </w:t>
      </w:r>
      <w:r w:rsidRPr="003F7E7A">
        <w:rPr>
          <w:rFonts w:ascii="Verdana" w:eastAsia="Times New Roman" w:hAnsi="Verdana" w:cs="Arial"/>
          <w:color w:val="000000" w:themeColor="text1"/>
          <w:lang w:eastAsia="es-MX"/>
        </w:rPr>
        <w:lastRenderedPageBreak/>
        <w:t>orden de ideas, las ESAL no solo pueden contratar bajo las reglas establecidas en el Decreto 092 de 2017, sino que también pueden intervenir en procesos de selección regidos por las reglas del EGCAP, caso en el cual participan con las mismas reglas aplicables a los demás oferentes.</w:t>
      </w:r>
    </w:p>
    <w:bookmarkEnd w:id="0"/>
    <w:p w14:paraId="4CB43D1C" w14:textId="77777777" w:rsidR="00DB1FD3" w:rsidRDefault="00DB1FD3" w:rsidP="00DB1FD3">
      <w:pPr>
        <w:spacing w:after="0" w:line="240" w:lineRule="auto"/>
        <w:jc w:val="both"/>
        <w:rPr>
          <w:rFonts w:ascii="Verdana" w:hAnsi="Verdana" w:cs="Arial"/>
          <w:color w:val="000000"/>
          <w:kern w:val="2"/>
          <w:lang w:val="es-ES"/>
        </w:rPr>
      </w:pPr>
    </w:p>
    <w:p w14:paraId="4CB43D1D" w14:textId="77777777" w:rsidR="00DB1FD3" w:rsidRPr="00DF5579" w:rsidRDefault="00DB1FD3" w:rsidP="00DB1FD3">
      <w:pPr>
        <w:spacing w:after="0" w:line="240" w:lineRule="auto"/>
        <w:jc w:val="both"/>
        <w:rPr>
          <w:rFonts w:ascii="Verdana" w:eastAsia="Century Gothic" w:hAnsi="Verdana" w:cs="Century Gothic"/>
          <w:b/>
          <w:bCs/>
          <w:lang w:val="es-ES"/>
        </w:rPr>
      </w:pPr>
    </w:p>
    <w:p w14:paraId="4CB43D1E" w14:textId="77777777" w:rsidR="00DB1FD3" w:rsidRPr="003F7E7A" w:rsidRDefault="00DB1FD3" w:rsidP="00DB1FD3">
      <w:pPr>
        <w:pStyle w:val="Prrafodelista"/>
        <w:numPr>
          <w:ilvl w:val="0"/>
          <w:numId w:val="1"/>
        </w:numPr>
        <w:spacing w:after="120" w:line="276" w:lineRule="auto"/>
        <w:ind w:left="426"/>
        <w:jc w:val="both"/>
        <w:rPr>
          <w:rFonts w:ascii="Verdana" w:eastAsia="Century Gothic" w:hAnsi="Verdana" w:cs="Century Gothic"/>
          <w:b/>
          <w:bCs/>
          <w:lang w:val="es-ES"/>
        </w:rPr>
      </w:pPr>
      <w:r w:rsidRPr="003F7E7A">
        <w:rPr>
          <w:rFonts w:ascii="Verdana" w:eastAsia="Century Gothic" w:hAnsi="Verdana" w:cs="Century Gothic"/>
          <w:b/>
          <w:bCs/>
          <w:lang w:val="es-ES"/>
        </w:rPr>
        <w:t>Razones de la respuesta:</w:t>
      </w:r>
    </w:p>
    <w:p w14:paraId="4CB43D1F" w14:textId="77777777" w:rsidR="00DB1FD3" w:rsidRPr="00D32C7A" w:rsidRDefault="00DB1FD3" w:rsidP="00DB1FD3">
      <w:pPr>
        <w:spacing w:after="0" w:line="276" w:lineRule="auto"/>
        <w:jc w:val="both"/>
        <w:rPr>
          <w:rFonts w:ascii="Verdana" w:eastAsia="Calibri" w:hAnsi="Verdana" w:cs="Arial"/>
          <w:color w:val="7030A0"/>
          <w:lang w:val="es-ES"/>
        </w:rPr>
      </w:pPr>
    </w:p>
    <w:p w14:paraId="4CB43D20" w14:textId="77777777" w:rsidR="00DB1FD3" w:rsidRPr="00DF5579" w:rsidRDefault="00DB1FD3" w:rsidP="00DB1FD3">
      <w:pPr>
        <w:spacing w:after="0" w:line="276" w:lineRule="auto"/>
        <w:jc w:val="both"/>
        <w:rPr>
          <w:rFonts w:ascii="Verdana" w:eastAsia="Calibri" w:hAnsi="Verdana" w:cs="Arial"/>
          <w:lang w:val="es-ES"/>
        </w:rPr>
      </w:pPr>
      <w:r w:rsidRPr="00DF5579">
        <w:rPr>
          <w:rFonts w:ascii="Verdana" w:eastAsia="Calibri" w:hAnsi="Verdana" w:cs="Arial"/>
          <w:lang w:val="es-ES"/>
        </w:rPr>
        <w:t xml:space="preserve">Lo anterior se sustenta en las siguientes consideraciones: </w:t>
      </w:r>
    </w:p>
    <w:p w14:paraId="4CB43D21" w14:textId="77777777" w:rsidR="00DB1FD3" w:rsidRPr="00DF5579" w:rsidRDefault="00DB1FD3" w:rsidP="00DB1FD3">
      <w:pPr>
        <w:spacing w:after="120" w:line="276" w:lineRule="auto"/>
        <w:jc w:val="both"/>
        <w:rPr>
          <w:rFonts w:ascii="Verdana" w:eastAsia="Calibri" w:hAnsi="Verdana" w:cs="Arial"/>
          <w:lang w:val="es-ES" w:eastAsia="es-ES"/>
        </w:rPr>
      </w:pPr>
    </w:p>
    <w:p w14:paraId="4CB43D22" w14:textId="77777777" w:rsidR="00DB1FD3" w:rsidRPr="00DF5579" w:rsidRDefault="00DB1FD3" w:rsidP="00DB1FD3">
      <w:pPr>
        <w:spacing w:after="120" w:line="276" w:lineRule="auto"/>
        <w:ind w:firstLine="491"/>
        <w:jc w:val="both"/>
        <w:rPr>
          <w:rFonts w:ascii="Verdana" w:hAnsi="Verdana" w:cs="Arial"/>
          <w:color w:val="000000" w:themeColor="text1"/>
        </w:rPr>
      </w:pPr>
      <w:r w:rsidRPr="00DF5579">
        <w:rPr>
          <w:rFonts w:ascii="Verdana" w:eastAsia="Calibri" w:hAnsi="Verdana" w:cs="Arial"/>
          <w:bCs/>
          <w:lang w:val="es-MX"/>
        </w:rPr>
        <w:t>Una de las formas tradicionales de desarrollar empresas</w:t>
      </w:r>
      <w:r w:rsidRPr="00DF5579">
        <w:rPr>
          <w:rFonts w:ascii="Verdana" w:eastAsia="Calibri" w:hAnsi="Verdana" w:cs="Arial"/>
          <w:bCs/>
          <w:i/>
          <w:iCs/>
          <w:lang w:val="es-MX"/>
        </w:rPr>
        <w:t xml:space="preserve"> </w:t>
      </w:r>
      <w:r w:rsidRPr="00DF5579">
        <w:rPr>
          <w:rFonts w:ascii="Verdana" w:eastAsia="Calibri" w:hAnsi="Verdana" w:cs="Arial"/>
          <w:bCs/>
          <w:lang w:val="es-MX"/>
        </w:rPr>
        <w:t xml:space="preserve">y ejercer el comercio en Colombia, es a través del contrato de sociedad por medio del cual dos o más personas se obligan a hacer un aporte en dinero, en trabajo o en otros bienes apreciables en dinero con el fin de repartirse entre sí las utilidades obtenidas en la empresa, según el artículo 98 </w:t>
      </w:r>
      <w:r w:rsidRPr="00DF5579">
        <w:rPr>
          <w:rFonts w:ascii="Verdana" w:eastAsia="Calibri" w:hAnsi="Verdana" w:cs="Arial"/>
          <w:bCs/>
          <w:i/>
          <w:iCs/>
          <w:lang w:val="es-MX"/>
        </w:rPr>
        <w:t xml:space="preserve">ibidem. </w:t>
      </w:r>
    </w:p>
    <w:p w14:paraId="4CB43D23" w14:textId="77777777" w:rsidR="00DB1FD3" w:rsidRPr="00DF5579" w:rsidRDefault="00DB1FD3" w:rsidP="00DB1FD3">
      <w:pPr>
        <w:spacing w:after="120" w:line="276" w:lineRule="auto"/>
        <w:ind w:firstLine="491"/>
        <w:jc w:val="both"/>
        <w:rPr>
          <w:rFonts w:ascii="Verdana" w:hAnsi="Verdana" w:cs="Arial"/>
          <w:color w:val="000000" w:themeColor="text1"/>
        </w:rPr>
      </w:pPr>
      <w:r w:rsidRPr="00DF5579">
        <w:rPr>
          <w:rFonts w:ascii="Verdana" w:eastAsia="Calibri" w:hAnsi="Verdana" w:cs="Arial"/>
          <w:bCs/>
          <w:lang w:val="es-MX"/>
        </w:rPr>
        <w:t>En ese sentido, puede decirse que serán sociedades comerciales aquellas que ejecuten actos o empresas mercantiles, en los términos señalados en el artículo 100 del Código de Comercio</w:t>
      </w:r>
      <w:r w:rsidRPr="00DF5579">
        <w:rPr>
          <w:rFonts w:ascii="Verdana" w:hAnsi="Verdana"/>
          <w:color w:val="000000" w:themeColor="text1"/>
          <w:vertAlign w:val="superscript"/>
        </w:rPr>
        <w:footnoteReference w:id="3"/>
      </w:r>
      <w:r w:rsidRPr="00DF5579">
        <w:rPr>
          <w:rFonts w:ascii="Verdana" w:hAnsi="Verdana" w:cs="Arial"/>
          <w:color w:val="000000" w:themeColor="text1"/>
        </w:rPr>
        <w:t xml:space="preserve">. Sin perjuicio de esto, el artículo 2 de la Ley 590 del 2000, modificado por el </w:t>
      </w:r>
      <w:r w:rsidRPr="00DF5579">
        <w:rPr>
          <w:rFonts w:ascii="Verdana" w:eastAsia="Calibri" w:hAnsi="Verdana" w:cs="Arial"/>
          <w:bCs/>
          <w:lang w:val="es-MX"/>
        </w:rPr>
        <w:t>artículo 43 de la Ley 1450 de 2011, define la empresa</w:t>
      </w:r>
      <w:r w:rsidRPr="00DF5579">
        <w:rPr>
          <w:rFonts w:ascii="Verdana" w:eastAsia="Calibri" w:hAnsi="Verdana" w:cs="Arial"/>
          <w:bCs/>
          <w:i/>
          <w:iCs/>
          <w:lang w:val="es-MX"/>
        </w:rPr>
        <w:t xml:space="preserve"> </w:t>
      </w:r>
      <w:r w:rsidRPr="00DF5579">
        <w:rPr>
          <w:rFonts w:ascii="Verdana" w:eastAsia="Calibri" w:hAnsi="Verdana" w:cs="Arial"/>
          <w:bCs/>
          <w:lang w:val="es-MX"/>
        </w:rPr>
        <w:t>como toda unidad de explotación económica que realiza una persona natural o jurídica en actividades agropecuarias, industriales, comerciales o de servicios</w:t>
      </w:r>
      <w:r w:rsidRPr="00DF5579">
        <w:rPr>
          <w:rFonts w:ascii="Verdana" w:hAnsi="Verdana"/>
          <w:color w:val="000000" w:themeColor="text1"/>
          <w:vertAlign w:val="superscript"/>
        </w:rPr>
        <w:footnoteReference w:id="4"/>
      </w:r>
      <w:r w:rsidRPr="00DF5579">
        <w:rPr>
          <w:rFonts w:ascii="Verdana" w:hAnsi="Verdana" w:cs="Arial"/>
          <w:color w:val="000000" w:themeColor="text1"/>
        </w:rPr>
        <w:t xml:space="preserve">. Además, </w:t>
      </w:r>
      <w:r w:rsidRPr="00DF5579">
        <w:rPr>
          <w:rFonts w:ascii="Verdana" w:hAnsi="Verdana" w:cs="Arial"/>
          <w:color w:val="000000" w:themeColor="text1"/>
        </w:rPr>
        <w:lastRenderedPageBreak/>
        <w:t>establece que estas se clasifican en micro, pequeña, mediana y gran empresa, de acuerdo con los criterios del número de trabajadores totales, el valor de ventas brutales anuales y el valor de activos totales.</w:t>
      </w:r>
    </w:p>
    <w:p w14:paraId="4CB43D24" w14:textId="77777777" w:rsidR="00DB1FD3" w:rsidRPr="00DF5579" w:rsidRDefault="00DB1FD3" w:rsidP="00DB1FD3">
      <w:pPr>
        <w:spacing w:after="120" w:line="276" w:lineRule="auto"/>
        <w:ind w:firstLine="491"/>
        <w:jc w:val="both"/>
        <w:rPr>
          <w:rFonts w:ascii="Verdana" w:hAnsi="Verdana" w:cs="Arial"/>
          <w:color w:val="000000" w:themeColor="text1"/>
        </w:rPr>
      </w:pPr>
      <w:r w:rsidRPr="00DF5579">
        <w:rPr>
          <w:rFonts w:ascii="Verdana" w:eastAsia="Calibri" w:hAnsi="Verdana" w:cs="Arial"/>
          <w:bCs/>
          <w:lang w:val="es-MX"/>
        </w:rPr>
        <w:t>En todo caso, para efectos de la presente, es preciso mencionar que el Libro Segundo del Código de Comercio no incluye a las corporaciones o asociaciones ni a las fundaciones, esto es, a las ESAL, en la enumeración de las sociedades comerciales. La razón de la exclusión se sustenta en que estas organizaciones no tienen fines comerciales, es decir carecen de ánimo de lucro, por eso no forman un tipo o clase de sociedad comercial</w:t>
      </w:r>
      <w:r w:rsidRPr="00DF5579">
        <w:rPr>
          <w:rFonts w:ascii="Verdana" w:hAnsi="Verdana"/>
          <w:color w:val="000000" w:themeColor="text1"/>
          <w:vertAlign w:val="superscript"/>
        </w:rPr>
        <w:footnoteReference w:id="5"/>
      </w:r>
      <w:r w:rsidRPr="00DF5579">
        <w:rPr>
          <w:rFonts w:ascii="Verdana" w:hAnsi="Verdana" w:cs="Arial"/>
          <w:color w:val="000000" w:themeColor="text1"/>
        </w:rPr>
        <w:t xml:space="preserve">. </w:t>
      </w:r>
    </w:p>
    <w:p w14:paraId="4CB43D25" w14:textId="77777777" w:rsidR="00DB1FD3" w:rsidRPr="00DF5579" w:rsidRDefault="00DB1FD3" w:rsidP="00DB1FD3">
      <w:pPr>
        <w:spacing w:after="120" w:line="276" w:lineRule="auto"/>
        <w:ind w:firstLine="491"/>
        <w:jc w:val="both"/>
        <w:rPr>
          <w:rFonts w:ascii="Verdana" w:hAnsi="Verdana" w:cs="Arial"/>
          <w:color w:val="000000" w:themeColor="text1"/>
        </w:rPr>
      </w:pPr>
      <w:r w:rsidRPr="00DF5579">
        <w:rPr>
          <w:rFonts w:ascii="Verdana" w:hAnsi="Verdana" w:cs="Arial"/>
          <w:color w:val="000000" w:themeColor="text1"/>
        </w:rPr>
        <w:t>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w:t>
      </w:r>
      <w:r w:rsidRPr="00DF5579">
        <w:rPr>
          <w:rFonts w:ascii="Verdana" w:hAnsi="Verdana"/>
          <w:vertAlign w:val="superscript"/>
        </w:rPr>
        <w:footnoteReference w:id="6"/>
      </w:r>
      <w:r w:rsidRPr="00DF5579">
        <w:rPr>
          <w:rFonts w:ascii="Verdana" w:hAnsi="Verdana" w:cs="Arial"/>
          <w:color w:val="000000" w:themeColor="text1"/>
        </w:rPr>
        <w:t xml:space="preserve">. La ausencia de ánimo de lucro es, entonces, la característica </w:t>
      </w:r>
      <w:r w:rsidRPr="00DF5579">
        <w:rPr>
          <w:rFonts w:ascii="Verdana" w:hAnsi="Verdana" w:cs="Arial"/>
          <w:color w:val="000000" w:themeColor="text1"/>
        </w:rPr>
        <w:lastRenderedPageBreak/>
        <w:t>determinante de estas corporaciones u organizaciones con las sociedades comerciales.</w:t>
      </w:r>
      <w:r w:rsidRPr="00DF5579">
        <w:rPr>
          <w:rStyle w:val="Refdenotaalpie"/>
          <w:rFonts w:ascii="Verdana" w:hAnsi="Verdana" w:cs="Arial"/>
          <w:color w:val="000000" w:themeColor="text1"/>
        </w:rPr>
        <w:footnoteReference w:id="7"/>
      </w:r>
    </w:p>
    <w:p w14:paraId="4CB43D26" w14:textId="77777777" w:rsidR="00DB1FD3" w:rsidRPr="00DF5579" w:rsidRDefault="00DB1FD3" w:rsidP="00DB1FD3">
      <w:pPr>
        <w:spacing w:after="120" w:line="276" w:lineRule="auto"/>
        <w:ind w:firstLine="491"/>
        <w:jc w:val="both"/>
        <w:rPr>
          <w:rFonts w:ascii="Verdana" w:hAnsi="Verdana" w:cs="Arial"/>
          <w:color w:val="000000" w:themeColor="text1"/>
        </w:rPr>
      </w:pPr>
      <w:r w:rsidRPr="00DF5579">
        <w:rPr>
          <w:rFonts w:ascii="Verdana" w:hAnsi="Verdana" w:cs="Arial"/>
          <w:color w:val="000000" w:themeColor="text1"/>
        </w:rPr>
        <w:t>Es del caso precisar que en el caso de las ESAL no se admite el reparto de utilidades, ni durante la existencia de la organización ni cuando se extinga, y en este aspecto, se insiste, radica la diferencia más apreciable entre unas y otras organizaciones, pese a que ambas se crean con la libertad y al amparo del derecho fundamental de asociación, previsto en el artículo 38 de la Constitución Política y otras normas contenidas en tratados internacionales suscritos por Colombia.</w:t>
      </w:r>
    </w:p>
    <w:p w14:paraId="4CB43D27" w14:textId="77777777" w:rsidR="00DB1FD3" w:rsidRPr="00DF5579" w:rsidRDefault="00DB1FD3" w:rsidP="00DB1FD3">
      <w:pPr>
        <w:spacing w:after="120" w:line="276" w:lineRule="auto"/>
        <w:ind w:firstLine="491"/>
        <w:jc w:val="both"/>
        <w:rPr>
          <w:rFonts w:ascii="Verdana" w:hAnsi="Verdana" w:cs="Arial"/>
          <w:color w:val="000000" w:themeColor="text1"/>
        </w:rPr>
      </w:pPr>
      <w:r w:rsidRPr="00DF5579">
        <w:rPr>
          <w:rFonts w:ascii="Verdana" w:eastAsia="Times New Roman" w:hAnsi="Verdana" w:cs="Arial"/>
          <w:color w:val="000000" w:themeColor="text1"/>
          <w:szCs w:val="24"/>
          <w:lang w:eastAsia="es-MX"/>
        </w:rPr>
        <w:t>Por su parte, la Corte Constitucional, en la Sentencia C-287 de 2012, reiteró que la diferencia existente entre las sociedades comerciales y las ESAL es que estas últimas no reparten sus utilidades entre los socios</w:t>
      </w:r>
      <w:r w:rsidRPr="00DF5579">
        <w:rPr>
          <w:rFonts w:ascii="Verdana" w:hAnsi="Verdana"/>
          <w:vertAlign w:val="superscript"/>
          <w:lang w:eastAsia="es-MX"/>
        </w:rPr>
        <w:footnoteReference w:id="8"/>
      </w:r>
      <w:r w:rsidRPr="00DF5579">
        <w:rPr>
          <w:rFonts w:ascii="Verdana" w:eastAsia="Times New Roman" w:hAnsi="Verdana" w:cs="Arial"/>
          <w:color w:val="000000" w:themeColor="text1"/>
          <w:szCs w:val="24"/>
          <w:lang w:eastAsia="es-MX"/>
        </w:rPr>
        <w:t xml:space="preserve">. Así lo explicó en los siguientes términos: </w:t>
      </w:r>
    </w:p>
    <w:p w14:paraId="4CB43D28" w14:textId="77777777" w:rsidR="00DB1FD3" w:rsidRPr="00DF5579" w:rsidRDefault="00DB1FD3" w:rsidP="00DB1FD3">
      <w:pPr>
        <w:spacing w:after="0" w:line="276" w:lineRule="auto"/>
        <w:ind w:left="709" w:right="760"/>
        <w:jc w:val="both"/>
        <w:rPr>
          <w:rFonts w:ascii="Verdana" w:eastAsia="Times New Roman" w:hAnsi="Verdana" w:cs="Arial"/>
          <w:color w:val="000000" w:themeColor="text1"/>
          <w:sz w:val="21"/>
          <w:szCs w:val="21"/>
          <w:lang w:eastAsia="es-MX"/>
        </w:rPr>
      </w:pPr>
    </w:p>
    <w:p w14:paraId="4CB43D29" w14:textId="77777777" w:rsidR="00DB1FD3" w:rsidRPr="00DF5579" w:rsidRDefault="00DB1FD3" w:rsidP="00DB1FD3">
      <w:pPr>
        <w:spacing w:after="0" w:line="240" w:lineRule="auto"/>
        <w:ind w:left="709" w:right="709"/>
        <w:jc w:val="both"/>
        <w:rPr>
          <w:rFonts w:ascii="Verdana" w:eastAsia="Times New Roman" w:hAnsi="Verdana" w:cs="Arial"/>
          <w:color w:val="000000" w:themeColor="text1"/>
          <w:sz w:val="21"/>
          <w:szCs w:val="21"/>
          <w:lang w:eastAsia="es-MX"/>
        </w:rPr>
      </w:pPr>
      <w:r w:rsidRPr="00DF5579">
        <w:rPr>
          <w:rFonts w:ascii="Verdana" w:eastAsia="Times New Roman" w:hAnsi="Verdana" w:cs="Arial"/>
          <w:color w:val="000000" w:themeColor="text1"/>
          <w:sz w:val="21"/>
          <w:szCs w:val="21"/>
          <w:lang w:eastAsia="es-MX"/>
        </w:rPr>
        <w:t>“</w:t>
      </w:r>
      <w:r w:rsidRPr="00DF5579">
        <w:rPr>
          <w:rFonts w:ascii="Verdana" w:eastAsia="Times New Roman" w:hAnsi="Verdana" w:cs="Arial"/>
          <w:color w:val="000000" w:themeColor="text1"/>
          <w:sz w:val="20"/>
          <w:szCs w:val="20"/>
          <w:lang w:eastAsia="es-MX"/>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w:t>
      </w:r>
      <w:r w:rsidRPr="00DF5579">
        <w:rPr>
          <w:rFonts w:ascii="Verdana" w:eastAsia="Times New Roman" w:hAnsi="Verdana" w:cs="Arial"/>
          <w:color w:val="000000" w:themeColor="text1"/>
          <w:sz w:val="21"/>
          <w:szCs w:val="21"/>
          <w:lang w:eastAsia="es-MX"/>
        </w:rPr>
        <w:t>”.</w:t>
      </w:r>
    </w:p>
    <w:p w14:paraId="4CB43D2A" w14:textId="77777777" w:rsidR="00DB1FD3" w:rsidRPr="00DF5579" w:rsidRDefault="00DB1FD3" w:rsidP="00DB1FD3">
      <w:pPr>
        <w:spacing w:after="120" w:line="276" w:lineRule="auto"/>
        <w:jc w:val="both"/>
        <w:rPr>
          <w:rFonts w:ascii="Verdana" w:eastAsia="Times New Roman" w:hAnsi="Verdana" w:cs="Arial"/>
          <w:color w:val="000000" w:themeColor="text1"/>
          <w:sz w:val="21"/>
          <w:szCs w:val="21"/>
          <w:lang w:eastAsia="es-MX"/>
        </w:rPr>
      </w:pPr>
    </w:p>
    <w:p w14:paraId="4CB43D2B" w14:textId="77777777" w:rsidR="00DB1FD3" w:rsidRPr="00DF5579" w:rsidRDefault="00DB1FD3" w:rsidP="00DB1FD3">
      <w:pPr>
        <w:spacing w:after="120" w:line="276" w:lineRule="auto"/>
        <w:ind w:firstLine="708"/>
        <w:jc w:val="both"/>
        <w:rPr>
          <w:rFonts w:ascii="Verdana" w:eastAsia="Times New Roman" w:hAnsi="Verdana" w:cs="Arial"/>
          <w:color w:val="000000" w:themeColor="text1"/>
          <w:szCs w:val="24"/>
          <w:lang w:eastAsia="es-MX"/>
        </w:rPr>
      </w:pPr>
      <w:r w:rsidRPr="00DF5579">
        <w:rPr>
          <w:rFonts w:ascii="Verdana" w:eastAsia="Times New Roman" w:hAnsi="Verdana" w:cs="Arial"/>
          <w:color w:val="000000" w:themeColor="text1"/>
          <w:szCs w:val="24"/>
          <w:lang w:eastAsia="es-MX"/>
        </w:rPr>
        <w:t xml:space="preserve">Igualmente, el Consejo de Estado expresó que la naturaleza jurídica de las ESAL es diferente a las sociedades mercantiles, toda vez que su objeto no está </w:t>
      </w:r>
      <w:r w:rsidRPr="00DF5579">
        <w:rPr>
          <w:rFonts w:ascii="Verdana" w:eastAsia="Times New Roman" w:hAnsi="Verdana" w:cs="Arial"/>
          <w:color w:val="000000" w:themeColor="text1"/>
          <w:szCs w:val="24"/>
          <w:lang w:eastAsia="es-MX"/>
        </w:rPr>
        <w:lastRenderedPageBreak/>
        <w:t>destinado a perseguir un lucro que pueda ser repartido entre sus asociados, sino que las ganancias se reinvierten en la ESAL para el desarrollo de su objeto social</w:t>
      </w:r>
      <w:r w:rsidRPr="00DF5579">
        <w:rPr>
          <w:rFonts w:ascii="Verdana" w:hAnsi="Verdana"/>
          <w:vertAlign w:val="superscript"/>
          <w:lang w:eastAsia="es-MX"/>
        </w:rPr>
        <w:footnoteReference w:id="9"/>
      </w:r>
      <w:r w:rsidRPr="00DF5579">
        <w:rPr>
          <w:rFonts w:ascii="Verdana" w:eastAsia="Times New Roman" w:hAnsi="Verdana" w:cs="Arial"/>
          <w:color w:val="000000" w:themeColor="text1"/>
          <w:szCs w:val="24"/>
          <w:lang w:eastAsia="es-MX"/>
        </w:rPr>
        <w:t xml:space="preserve">. </w:t>
      </w:r>
    </w:p>
    <w:p w14:paraId="4CB43D2C" w14:textId="77777777" w:rsidR="00DB1FD3" w:rsidRPr="00DF5579" w:rsidRDefault="00DB1FD3" w:rsidP="00DB1FD3">
      <w:pPr>
        <w:spacing w:after="120" w:line="276" w:lineRule="auto"/>
        <w:ind w:firstLine="491"/>
        <w:jc w:val="both"/>
        <w:rPr>
          <w:rFonts w:ascii="Verdana" w:eastAsia="Times New Roman" w:hAnsi="Verdana" w:cs="Arial"/>
          <w:color w:val="000000" w:themeColor="text1"/>
          <w:lang w:eastAsia="es-MX"/>
        </w:rPr>
      </w:pPr>
      <w:r w:rsidRPr="00DF5579">
        <w:rPr>
          <w:rFonts w:ascii="Verdana" w:eastAsia="Times New Roman" w:hAnsi="Verdana" w:cs="Arial"/>
          <w:color w:val="000000" w:themeColor="text1"/>
          <w:lang w:eastAsia="es-MX"/>
        </w:rPr>
        <w:t xml:space="preserve">Las ESAL, pues, no tienen la naturaleza jurídica de empresa sino de asociaciones que buscan la realización de un fin común y objetivos carentes de un contenido esencialmente patrimonial −fin de lucro y reparto de las utilidades−. Debido a que las ESAL no persiguen el reparto de utilidades entre sus miembros, sino que su objeto está destinado a realizar una actividad de interés general sin esperar a cambio un reparto de ganancia en proporción a sus utilidades. </w:t>
      </w:r>
    </w:p>
    <w:p w14:paraId="4CB43D2D" w14:textId="77777777" w:rsidR="00DB1FD3" w:rsidRPr="00DF5579" w:rsidRDefault="00DB1FD3" w:rsidP="00DB1FD3">
      <w:pPr>
        <w:spacing w:after="120" w:line="276" w:lineRule="auto"/>
        <w:ind w:firstLine="491"/>
        <w:jc w:val="both"/>
        <w:rPr>
          <w:rFonts w:ascii="Verdana" w:eastAsia="Times New Roman" w:hAnsi="Verdana" w:cs="Arial"/>
          <w:color w:val="000000" w:themeColor="text1"/>
          <w:lang w:eastAsia="es-MX"/>
        </w:rPr>
      </w:pPr>
      <w:r w:rsidRPr="00DF5579">
        <w:rPr>
          <w:rFonts w:ascii="Verdana" w:eastAsia="Times New Roman" w:hAnsi="Verdana" w:cs="Arial"/>
          <w:color w:val="000000" w:themeColor="text1"/>
          <w:lang w:eastAsia="es-MX"/>
        </w:rPr>
        <w:t>Ahora bien, respecto a la capacidad de participar en los procesos de contratación pública del EGCAP, se debe aclarar que la capacidad jurídica es la aptitud que recae en los sujetos activos o pasivos de las relaciones jurídicas</w:t>
      </w:r>
      <w:r w:rsidRPr="00DF5579">
        <w:rPr>
          <w:rFonts w:ascii="Verdana" w:hAnsi="Verdana"/>
          <w:vertAlign w:val="superscript"/>
          <w:lang w:eastAsia="es-MX"/>
        </w:rPr>
        <w:footnoteReference w:id="10"/>
      </w:r>
      <w:r w:rsidRPr="00DF5579">
        <w:rPr>
          <w:rFonts w:ascii="Verdana" w:eastAsia="Times New Roman" w:hAnsi="Verdana" w:cs="Arial"/>
          <w:color w:val="000000" w:themeColor="text1"/>
          <w:lang w:eastAsia="es-MX"/>
        </w:rPr>
        <w:t>. Para efectos de las relaciones contractuales en las que uno de los extremos de la relación sea una Entidad Estatal, la capacidad contractual es la facultad que se ostenta para celebrar contratos con una Entidad Estatal. En otras palabras, es: i) la capacidad de obligarse a cumplir el objeto del contrato y ii) de no estar incursa en inhabilidades o incompatibilidades que impiden la celebración del negocio.</w:t>
      </w:r>
    </w:p>
    <w:p w14:paraId="4CB43D2E" w14:textId="77777777" w:rsidR="00DB1FD3" w:rsidRPr="00DF5579" w:rsidRDefault="00DB1FD3" w:rsidP="00DB1FD3">
      <w:pPr>
        <w:spacing w:after="120" w:line="276" w:lineRule="auto"/>
        <w:ind w:firstLine="491"/>
        <w:jc w:val="both"/>
        <w:rPr>
          <w:rFonts w:ascii="Verdana" w:eastAsia="Times New Roman" w:hAnsi="Verdana" w:cs="Arial"/>
          <w:color w:val="000000" w:themeColor="text1"/>
          <w:lang w:eastAsia="es-MX"/>
        </w:rPr>
      </w:pPr>
      <w:r w:rsidRPr="00DF5579">
        <w:rPr>
          <w:rFonts w:ascii="Verdana" w:eastAsia="Times New Roman" w:hAnsi="Verdana" w:cs="Arial"/>
          <w:color w:val="000000" w:themeColor="text1"/>
          <w:lang w:eastAsia="es-MX"/>
        </w:rPr>
        <w:t>Para efectos de la aplicación del EGCAP, la capacidad para contratar la tienen las personas consideradas legalmente capaces en las disposiciones vigentes</w:t>
      </w:r>
      <w:r w:rsidRPr="00DF5579">
        <w:rPr>
          <w:rFonts w:ascii="Verdana" w:hAnsi="Verdana"/>
          <w:vertAlign w:val="superscript"/>
          <w:lang w:eastAsia="es-MX"/>
        </w:rPr>
        <w:footnoteReference w:id="11"/>
      </w:r>
      <w:r w:rsidRPr="00DF5579">
        <w:rPr>
          <w:rFonts w:ascii="Verdana" w:eastAsia="Times New Roman" w:hAnsi="Verdana" w:cs="Arial"/>
          <w:color w:val="000000" w:themeColor="text1"/>
          <w:lang w:eastAsia="es-MX"/>
        </w:rPr>
        <w:t>, así como otras formas asociativas. De modo que, cuando se señala que las personas jurídicas tienen capacidad jurídica para contratar se hace referencia a la posibilidad que tienen para adelantar actividades en el marco de su objeto social, a las facultades que le han sido otorgadas al representante legal y a la ausencia de inhabilidades, incompatibilidades o prohibiciones para contratar, derivadas de la ley.</w:t>
      </w:r>
    </w:p>
    <w:p w14:paraId="4CB43D2F" w14:textId="77777777" w:rsidR="00DB1FD3" w:rsidRPr="00DF5579" w:rsidRDefault="00DB1FD3" w:rsidP="00DB1FD3">
      <w:pPr>
        <w:spacing w:after="120" w:line="276" w:lineRule="auto"/>
        <w:ind w:firstLine="491"/>
        <w:jc w:val="both"/>
        <w:rPr>
          <w:rFonts w:ascii="Verdana" w:hAnsi="Verdana" w:cs="Arial"/>
          <w:color w:val="000000" w:themeColor="text1"/>
          <w:sz w:val="24"/>
          <w:szCs w:val="24"/>
        </w:rPr>
      </w:pPr>
      <w:r w:rsidRPr="00DF5579">
        <w:rPr>
          <w:rFonts w:ascii="Verdana" w:eastAsia="Times New Roman" w:hAnsi="Verdana" w:cs="Arial"/>
          <w:color w:val="000000" w:themeColor="text1"/>
          <w:lang w:eastAsia="es-MX"/>
        </w:rPr>
        <w:lastRenderedPageBreak/>
        <w:t>Por tanto, es claro que las ESAL tienen capacidad para contratar bajo las reglas del EGCAP al ser personas jurídicas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EGCAP,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 EGCAP, caso en el cual participan con las mismas reglas aplicables a los demás oferentes.</w:t>
      </w:r>
    </w:p>
    <w:p w14:paraId="4CB43D30" w14:textId="77777777" w:rsidR="00DB1FD3" w:rsidRPr="00DF5579" w:rsidRDefault="00DB1FD3" w:rsidP="00DB1FD3">
      <w:pPr>
        <w:ind w:firstLine="491"/>
        <w:jc w:val="both"/>
        <w:rPr>
          <w:rFonts w:ascii="Verdana" w:hAnsi="Verdana" w:cs="Arial"/>
          <w:b/>
          <w:lang w:val="es-ES_tradnl" w:eastAsia="es-ES"/>
        </w:rPr>
      </w:pPr>
      <w:r w:rsidRPr="00DF5579">
        <w:rPr>
          <w:rFonts w:ascii="Verdana" w:hAnsi="Verdana" w:cs="Arial"/>
          <w:color w:val="000000" w:themeColor="text1"/>
        </w:rPr>
        <w:t xml:space="preserve">Teniendo en cuenta que las ESAL cuenta con la capacidad para participar en los diferentes procesos de selección bajo las mismas reglas establecidas para los demás oferentes, es preciso señalar de la inexistencia de tratos diferenciales a estas en razón a su naturaleza jurídica, toda vez que en la contratación pública </w:t>
      </w:r>
      <w:proofErr w:type="spellStart"/>
      <w:r w:rsidRPr="00DF5579">
        <w:rPr>
          <w:rFonts w:ascii="Verdana" w:hAnsi="Verdana" w:cs="Arial"/>
          <w:color w:val="000000" w:themeColor="text1"/>
        </w:rPr>
        <w:t>esta</w:t>
      </w:r>
      <w:proofErr w:type="spellEnd"/>
      <w:r w:rsidRPr="00DF5579">
        <w:rPr>
          <w:rFonts w:ascii="Verdana" w:hAnsi="Verdana" w:cs="Arial"/>
          <w:color w:val="000000" w:themeColor="text1"/>
        </w:rPr>
        <w:t xml:space="preserve"> regido por el principio de igualdad, </w:t>
      </w:r>
      <w:r w:rsidRPr="00DF5579">
        <w:rPr>
          <w:rFonts w:ascii="Verdana" w:hAnsi="Verdana"/>
        </w:rPr>
        <w:t>según la Corte Constitucional la igualdad, tiene la connotación de principio, valor y derecho, por lo que representa un criterio de obligatoria observancia tanto para la producción como para la aplicación</w:t>
      </w:r>
      <w:r w:rsidRPr="00DF5579">
        <w:rPr>
          <w:rFonts w:ascii="Verdana" w:hAnsi="Verdana"/>
          <w:spacing w:val="2"/>
        </w:rPr>
        <w:t xml:space="preserve"> </w:t>
      </w:r>
      <w:r w:rsidRPr="00DF5579">
        <w:rPr>
          <w:rFonts w:ascii="Verdana" w:hAnsi="Verdana"/>
        </w:rPr>
        <w:t>e interpretación del derecho.</w:t>
      </w:r>
      <w:r w:rsidRPr="00DF5579">
        <w:rPr>
          <w:rFonts w:ascii="Verdana" w:hAnsi="Verdana" w:cs="Arial"/>
          <w:b/>
          <w:lang w:val="es-ES_tradnl" w:eastAsia="es-ES"/>
        </w:rPr>
        <w:t xml:space="preserve"> </w:t>
      </w:r>
      <w:r w:rsidRPr="00DF5579">
        <w:rPr>
          <w:rFonts w:ascii="Verdana" w:hAnsi="Verdana"/>
        </w:rPr>
        <w:t>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w:t>
      </w:r>
    </w:p>
    <w:p w14:paraId="4CB43D31" w14:textId="77777777" w:rsidR="00DB1FD3" w:rsidRPr="00DF5579" w:rsidRDefault="00DB1FD3" w:rsidP="00DB1FD3">
      <w:pPr>
        <w:spacing w:after="120" w:line="276" w:lineRule="auto"/>
        <w:ind w:firstLine="708"/>
        <w:jc w:val="both"/>
        <w:rPr>
          <w:rFonts w:ascii="Verdana" w:eastAsia="Calibri" w:hAnsi="Verdana" w:cs="Arial"/>
          <w:lang w:val="es-MX"/>
        </w:rPr>
      </w:pPr>
      <w:r w:rsidRPr="00DF5579">
        <w:rPr>
          <w:rFonts w:ascii="Verdana" w:hAnsi="Verdana"/>
        </w:rPr>
        <w:t>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w:t>
      </w:r>
    </w:p>
    <w:p w14:paraId="4CB43D32" w14:textId="77777777" w:rsidR="00DB1FD3" w:rsidRPr="00DF5579" w:rsidRDefault="00DB1FD3" w:rsidP="00DB1FD3">
      <w:pPr>
        <w:spacing w:after="120" w:line="276" w:lineRule="auto"/>
        <w:ind w:firstLine="708"/>
        <w:jc w:val="both"/>
        <w:rPr>
          <w:rFonts w:ascii="Verdana" w:eastAsia="Calibri" w:hAnsi="Verdana" w:cs="Arial"/>
          <w:lang w:val="es-MX"/>
        </w:rPr>
      </w:pPr>
      <w:r w:rsidRPr="00DF5579">
        <w:rPr>
          <w:rFonts w:ascii="Verdana" w:hAnsi="Verdana"/>
        </w:rPr>
        <w:t>Es por ello que el Consejo de Estado ha determinado que la aplicación del principio de igualdad en la contratación pública materializa otros principios de similar importancia, como la selección objetiva y la transparencia:</w:t>
      </w:r>
    </w:p>
    <w:p w14:paraId="4CB43D33" w14:textId="77777777" w:rsidR="00DB1FD3" w:rsidRDefault="00DB1FD3" w:rsidP="00DB1FD3">
      <w:pPr>
        <w:spacing w:after="120" w:line="276" w:lineRule="auto"/>
        <w:ind w:left="709" w:right="709" w:firstLine="708"/>
        <w:jc w:val="both"/>
        <w:rPr>
          <w:rFonts w:ascii="Verdana" w:hAnsi="Verdana"/>
          <w:sz w:val="21"/>
        </w:rPr>
      </w:pPr>
      <w:r w:rsidRPr="00DF5579">
        <w:rPr>
          <w:rFonts w:ascii="Verdana" w:hAnsi="Verdana"/>
          <w:sz w:val="21"/>
        </w:rPr>
        <w:lastRenderedPageBreak/>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DF5579">
        <w:rPr>
          <w:rStyle w:val="Refdenotaalpie"/>
          <w:rFonts w:ascii="Verdana" w:hAnsi="Verdana"/>
          <w:sz w:val="21"/>
        </w:rPr>
        <w:footnoteReference w:id="12"/>
      </w:r>
      <w:r w:rsidRPr="00DF5579">
        <w:rPr>
          <w:rFonts w:ascii="Verdana" w:hAnsi="Verdana"/>
          <w:sz w:val="21"/>
        </w:rPr>
        <w:t>.</w:t>
      </w:r>
    </w:p>
    <w:p w14:paraId="4CB43D34" w14:textId="77777777" w:rsidR="00DB1FD3" w:rsidRDefault="00DB1FD3" w:rsidP="00DB1FD3">
      <w:pPr>
        <w:spacing w:after="120" w:line="276" w:lineRule="auto"/>
        <w:ind w:left="709" w:right="709" w:firstLine="708"/>
        <w:jc w:val="both"/>
        <w:rPr>
          <w:rFonts w:ascii="Verdana" w:hAnsi="Verdana"/>
          <w:sz w:val="21"/>
        </w:rPr>
      </w:pPr>
    </w:p>
    <w:p w14:paraId="4CB43D35" w14:textId="77777777" w:rsidR="00DB1FD3" w:rsidRDefault="00DB1FD3" w:rsidP="00DB1FD3">
      <w:pPr>
        <w:pStyle w:val="Prrafodelista"/>
        <w:numPr>
          <w:ilvl w:val="0"/>
          <w:numId w:val="3"/>
        </w:numPr>
        <w:tabs>
          <w:tab w:val="left" w:pos="426"/>
        </w:tabs>
        <w:jc w:val="both"/>
        <w:rPr>
          <w:rFonts w:ascii="Verdana" w:eastAsia="Times New Roman" w:hAnsi="Verdana" w:cs="Arial MT"/>
        </w:rPr>
      </w:pPr>
      <w:r>
        <w:rPr>
          <w:rFonts w:ascii="Verdana" w:eastAsia="Times New Roman" w:hAnsi="Verdana" w:cs="Arial MT"/>
        </w:rPr>
        <w:t xml:space="preserve">Ahora bien, independiente de la modalidad de contratación, la entidad pública debe surtir una etapa de planeación del proceso contractual, en el cual definirá </w:t>
      </w:r>
      <w:r w:rsidRPr="00C16B71">
        <w:rPr>
          <w:rFonts w:ascii="Verdana" w:eastAsia="Times New Roman" w:hAnsi="Verdana" w:cs="Arial MT"/>
        </w:rPr>
        <w:t>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w:t>
      </w:r>
      <w:r>
        <w:rPr>
          <w:rFonts w:ascii="Verdana" w:eastAsia="Times New Roman" w:hAnsi="Verdana" w:cs="Arial MT"/>
        </w:rPr>
        <w:t xml:space="preserve"> entre otros.</w:t>
      </w:r>
    </w:p>
    <w:p w14:paraId="4CB43D36" w14:textId="77777777" w:rsidR="00DB1FD3" w:rsidRPr="00EA28C0" w:rsidRDefault="00DB1FD3" w:rsidP="00DB1FD3">
      <w:pPr>
        <w:pStyle w:val="Prrafodelista"/>
        <w:rPr>
          <w:rFonts w:ascii="Verdana" w:eastAsia="Times New Roman" w:hAnsi="Verdana" w:cs="Arial MT"/>
        </w:rPr>
      </w:pPr>
    </w:p>
    <w:p w14:paraId="4CB43D37" w14:textId="77777777" w:rsidR="00DB1FD3" w:rsidRDefault="00DB1FD3" w:rsidP="00DB1FD3">
      <w:pPr>
        <w:pStyle w:val="Prrafodelista"/>
        <w:numPr>
          <w:ilvl w:val="0"/>
          <w:numId w:val="3"/>
        </w:numPr>
        <w:tabs>
          <w:tab w:val="left" w:pos="426"/>
        </w:tabs>
        <w:jc w:val="both"/>
        <w:rPr>
          <w:rFonts w:ascii="Verdana" w:eastAsia="Times New Roman" w:hAnsi="Verdana" w:cs="Arial MT"/>
        </w:rPr>
      </w:pPr>
      <w:r w:rsidRPr="00C16B71">
        <w:rPr>
          <w:rFonts w:ascii="Verdana" w:eastAsia="Times New Roman" w:hAnsi="Verdana" w:cs="Arial MT"/>
        </w:rPr>
        <w:t>Por su parte, al ser el análisis de idoneidad y experiencia del contratista un aspecto que debe evaluarse en la fase de planeación contractual, este hace parte de la etapa precontractual de los procesos de contratación directa</w:t>
      </w:r>
      <w:r>
        <w:rPr>
          <w:rFonts w:ascii="Verdana" w:eastAsia="Times New Roman" w:hAnsi="Verdana" w:cs="Arial MT"/>
        </w:rPr>
        <w:t>.</w:t>
      </w:r>
    </w:p>
    <w:p w14:paraId="4CB43D38" w14:textId="77777777" w:rsidR="00DB1FD3" w:rsidRPr="00EA28C0" w:rsidRDefault="00DB1FD3" w:rsidP="00DB1FD3">
      <w:pPr>
        <w:pStyle w:val="Prrafodelista"/>
        <w:rPr>
          <w:rFonts w:ascii="Verdana" w:eastAsia="Times New Roman" w:hAnsi="Verdana" w:cs="Arial MT"/>
        </w:rPr>
      </w:pPr>
    </w:p>
    <w:p w14:paraId="4CB43D39" w14:textId="77777777" w:rsidR="00DB1FD3" w:rsidRDefault="00DB1FD3" w:rsidP="00DB1FD3">
      <w:pPr>
        <w:pStyle w:val="Prrafodelista"/>
        <w:numPr>
          <w:ilvl w:val="0"/>
          <w:numId w:val="3"/>
        </w:numPr>
        <w:tabs>
          <w:tab w:val="left" w:pos="426"/>
        </w:tabs>
        <w:jc w:val="both"/>
        <w:rPr>
          <w:rFonts w:ascii="Verdana" w:eastAsia="Times New Roman" w:hAnsi="Verdana" w:cs="Arial MT"/>
        </w:rPr>
      </w:pPr>
      <w:r>
        <w:rPr>
          <w:rFonts w:ascii="Verdana" w:eastAsia="Times New Roman" w:hAnsi="Verdana" w:cs="Arial MT"/>
        </w:rPr>
        <w:t xml:space="preserve">En ese sentido, </w:t>
      </w:r>
      <w:r w:rsidRPr="00C16B71">
        <w:rPr>
          <w:rFonts w:ascii="Verdana" w:eastAsia="Times New Roman" w:hAnsi="Verdana" w:cs="Arial MT"/>
        </w:rPr>
        <w:t xml:space="preserve">las entidades estatales son autónomas para estructurar los estudios previos, pudiendo establecer, entre otras cosas, formatos para la verificación de condiciones de idoneidad y experiencia de los contratistas, sin que sea competencia de Colombia Compra Eficiente la validación de estos. En todo caso, lo relevante es que se observen los aspectos que deben contener esos estudios, de conformidad con los artículos 2.2.1.1.1.6.1, 2.2.1.1.2.1.1 y 2.2.1.2.1.4.9 del Decreto 1082 de 2015. </w:t>
      </w:r>
    </w:p>
    <w:p w14:paraId="4CB43D3A" w14:textId="77777777" w:rsidR="00DB1FD3" w:rsidRPr="00EA28C0" w:rsidRDefault="00DB1FD3" w:rsidP="00DB1FD3">
      <w:pPr>
        <w:pStyle w:val="Prrafodelista"/>
        <w:rPr>
          <w:rFonts w:ascii="Verdana" w:eastAsia="Times New Roman" w:hAnsi="Verdana" w:cs="Arial MT"/>
        </w:rPr>
      </w:pPr>
    </w:p>
    <w:p w14:paraId="4CB43D3B" w14:textId="77777777" w:rsidR="00DB1FD3" w:rsidRPr="00EA28C0" w:rsidRDefault="00DB1FD3" w:rsidP="00DB1FD3">
      <w:pPr>
        <w:pStyle w:val="Prrafodelista"/>
        <w:numPr>
          <w:ilvl w:val="0"/>
          <w:numId w:val="3"/>
        </w:numPr>
        <w:tabs>
          <w:tab w:val="left" w:pos="426"/>
        </w:tabs>
        <w:jc w:val="both"/>
        <w:rPr>
          <w:rFonts w:ascii="Verdana" w:eastAsia="Times New Roman" w:hAnsi="Verdana" w:cs="Arial MT"/>
        </w:rPr>
      </w:pPr>
      <w:r>
        <w:rPr>
          <w:rFonts w:ascii="Verdana" w:eastAsia="Times New Roman" w:hAnsi="Verdana" w:cs="Arial MT"/>
        </w:rPr>
        <w:t xml:space="preserve">Ahor bien, tal y como se ha dicho previamente la Entidad Estatal en la etapa de planeación deberá </w:t>
      </w:r>
      <w:r>
        <w:rPr>
          <w:rFonts w:ascii="Verdana" w:hAnsi="Verdana" w:cs="Arial"/>
          <w:color w:val="000000" w:themeColor="text1"/>
        </w:rPr>
        <w:t xml:space="preserve">validar que las obligaciones estipuladas en este tipo de contrato sean conducente con la naturaleza del mismo, puesto que sería </w:t>
      </w:r>
      <w:r>
        <w:rPr>
          <w:rFonts w:ascii="Verdana" w:hAnsi="Verdana" w:cs="Arial"/>
          <w:color w:val="000000" w:themeColor="text1"/>
        </w:rPr>
        <w:lastRenderedPageBreak/>
        <w:t>inapropiado establecer obligaciones que no puedan ser cumplidas por una persona jurídica.</w:t>
      </w:r>
    </w:p>
    <w:p w14:paraId="4CB43D3C" w14:textId="77777777" w:rsidR="00DB1FD3" w:rsidRPr="00DF5579" w:rsidRDefault="00DB1FD3" w:rsidP="00DB1FD3">
      <w:pPr>
        <w:jc w:val="both"/>
        <w:rPr>
          <w:rFonts w:ascii="Verdana" w:hAnsi="Verdana" w:cs="Arial"/>
          <w:color w:val="000000" w:themeColor="text1"/>
          <w:sz w:val="24"/>
          <w:szCs w:val="24"/>
          <w:lang w:val="es-MX"/>
        </w:rPr>
      </w:pPr>
    </w:p>
    <w:p w14:paraId="4CB43D3D" w14:textId="77777777" w:rsidR="00DB1FD3" w:rsidRPr="00D32C7A" w:rsidRDefault="00DB1FD3" w:rsidP="00DB1FD3">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32C7A">
        <w:rPr>
          <w:rFonts w:ascii="Verdana" w:eastAsia="Century Gothic" w:hAnsi="Verdana" w:cs="Century Gothic"/>
          <w:b/>
          <w:bCs/>
        </w:rPr>
        <w:t>Referencias normativas, jurisprudenciales y otras fuentes:</w:t>
      </w:r>
    </w:p>
    <w:p w14:paraId="4CB43D3E" w14:textId="77777777" w:rsidR="00DB1FD3" w:rsidRPr="00190500" w:rsidRDefault="00DB1FD3" w:rsidP="00DB1FD3">
      <w:pPr>
        <w:spacing w:after="0" w:line="276" w:lineRule="auto"/>
        <w:ind w:right="709"/>
        <w:jc w:val="both"/>
        <w:textAlignment w:val="baseline"/>
        <w:rPr>
          <w:rFonts w:ascii="Verdana" w:eastAsia="Times New Roman" w:hAnsi="Verdana" w:cs="Arial"/>
          <w:bCs/>
          <w:lang w:val="es-ES_tradnl" w:eastAsia="es-CO"/>
        </w:rPr>
      </w:pPr>
    </w:p>
    <w:p w14:paraId="4CB43D3F" w14:textId="77777777" w:rsidR="00DB1FD3" w:rsidRPr="001B74F2" w:rsidRDefault="00DB1FD3" w:rsidP="00DB1FD3">
      <w:pPr>
        <w:pStyle w:val="Prrafodelista"/>
        <w:numPr>
          <w:ilvl w:val="0"/>
          <w:numId w:val="4"/>
        </w:numPr>
        <w:spacing w:after="0" w:line="276" w:lineRule="auto"/>
        <w:ind w:right="709"/>
        <w:jc w:val="both"/>
        <w:rPr>
          <w:rStyle w:val="Hipervnculo"/>
          <w:rFonts w:ascii="Verdana" w:hAnsi="Verdana" w:cs="Arial"/>
          <w:color w:val="000000" w:themeColor="text1"/>
          <w:lang w:val="es-ES_tradnl"/>
        </w:rPr>
      </w:pPr>
      <w:r>
        <w:rPr>
          <w:rFonts w:ascii="Verdana" w:hAnsi="Verdana" w:cs="Arial"/>
          <w:color w:val="000000" w:themeColor="text1"/>
          <w:lang w:val="es-ES_tradnl"/>
        </w:rPr>
        <w:t xml:space="preserve">Constitución Política de Colombia, Artículo 38. Disponible en: </w:t>
      </w:r>
      <w:hyperlink r:id="rId12" w:history="1">
        <w:r w:rsidRPr="0079147C">
          <w:rPr>
            <w:rStyle w:val="Hipervnculo"/>
            <w:rFonts w:ascii="Verdana" w:hAnsi="Verdana" w:cs="Arial"/>
            <w:lang w:val="es-ES_tradnl"/>
          </w:rPr>
          <w:t>https://relatoria.colombiacompra.gov.co/normativa/constitucion-politica-de-colombia/</w:t>
        </w:r>
      </w:hyperlink>
    </w:p>
    <w:p w14:paraId="4CB43D40" w14:textId="77777777" w:rsidR="00DB1FD3" w:rsidRPr="00304CB5" w:rsidRDefault="00DB1FD3" w:rsidP="00DB1FD3">
      <w:pPr>
        <w:pStyle w:val="Prrafodelista"/>
        <w:spacing w:after="0" w:line="276" w:lineRule="auto"/>
        <w:ind w:right="709"/>
        <w:jc w:val="both"/>
        <w:rPr>
          <w:rFonts w:ascii="Verdana" w:hAnsi="Verdana" w:cs="Arial"/>
          <w:color w:val="0000FF"/>
          <w:u w:val="single"/>
          <w:lang w:val="es-ES_tradnl"/>
        </w:rPr>
      </w:pPr>
    </w:p>
    <w:p w14:paraId="4CB43D41" w14:textId="77777777" w:rsidR="00DB1FD3" w:rsidRPr="001B74F2" w:rsidRDefault="00DB1FD3" w:rsidP="00DB1FD3">
      <w:pPr>
        <w:pStyle w:val="Prrafodelista"/>
        <w:numPr>
          <w:ilvl w:val="0"/>
          <w:numId w:val="4"/>
        </w:numPr>
        <w:spacing w:after="0" w:line="276" w:lineRule="auto"/>
        <w:ind w:right="709"/>
        <w:jc w:val="both"/>
        <w:rPr>
          <w:rStyle w:val="Hipervnculo"/>
          <w:rFonts w:ascii="Verdana" w:hAnsi="Verdana" w:cs="Arial"/>
          <w:lang w:val="es-ES_tradnl"/>
        </w:rPr>
      </w:pPr>
      <w:r w:rsidRPr="001B74F2">
        <w:rPr>
          <w:rFonts w:ascii="Verdana" w:hAnsi="Verdana" w:cs="Arial"/>
          <w:color w:val="000000" w:themeColor="text1"/>
          <w:lang w:val="es-ES_tradnl"/>
        </w:rPr>
        <w:t xml:space="preserve">Código de Comercio, Artículo 98, Artículo 100. Disponible en: </w:t>
      </w:r>
      <w:hyperlink r:id="rId13" w:history="1">
        <w:r w:rsidRPr="0079147C">
          <w:rPr>
            <w:rStyle w:val="Hipervnculo"/>
            <w:rFonts w:ascii="Verdana" w:hAnsi="Verdana" w:cs="Arial"/>
            <w:lang w:val="es-ES_tradnl"/>
          </w:rPr>
          <w:t>https://relatoria.colombiacompra.gov.co/normativa/codigo-de-comercio-decreto-410-de-1971/</w:t>
        </w:r>
      </w:hyperlink>
      <w:r>
        <w:rPr>
          <w:rStyle w:val="Hipervnculo"/>
          <w:rFonts w:ascii="Verdana" w:hAnsi="Verdana" w:cs="Arial"/>
          <w:lang w:val="es-ES_tradnl"/>
        </w:rPr>
        <w:t xml:space="preserve"> </w:t>
      </w:r>
    </w:p>
    <w:p w14:paraId="4CB43D42" w14:textId="77777777" w:rsidR="00DB1FD3" w:rsidRPr="00304CB5" w:rsidRDefault="00DB1FD3" w:rsidP="00DB1FD3">
      <w:pPr>
        <w:pStyle w:val="Prrafodelista"/>
        <w:spacing w:after="0" w:line="276" w:lineRule="auto"/>
        <w:ind w:right="709"/>
        <w:jc w:val="both"/>
        <w:rPr>
          <w:rFonts w:ascii="Verdana" w:hAnsi="Verdana" w:cs="Arial"/>
          <w:color w:val="000000" w:themeColor="text1"/>
          <w:lang w:val="es-ES_tradnl"/>
        </w:rPr>
      </w:pPr>
    </w:p>
    <w:p w14:paraId="4CB43D43" w14:textId="77777777" w:rsidR="00DB1FD3" w:rsidRPr="001B74F2" w:rsidRDefault="00DB1FD3" w:rsidP="00DB1FD3">
      <w:pPr>
        <w:pStyle w:val="Prrafodelista"/>
        <w:numPr>
          <w:ilvl w:val="0"/>
          <w:numId w:val="4"/>
        </w:numPr>
        <w:spacing w:after="0" w:line="276" w:lineRule="auto"/>
        <w:ind w:right="709"/>
        <w:jc w:val="both"/>
        <w:rPr>
          <w:rFonts w:ascii="Verdana" w:hAnsi="Verdana" w:cs="Arial"/>
          <w:color w:val="000000" w:themeColor="text1"/>
          <w:lang w:val="es-ES_tradnl"/>
        </w:rPr>
      </w:pPr>
      <w:r w:rsidRPr="001B74F2">
        <w:rPr>
          <w:rFonts w:ascii="Verdana" w:hAnsi="Verdana" w:cs="Arial"/>
          <w:noProof/>
          <w:lang w:val="es-ES_tradnl"/>
        </w:rPr>
        <w:t xml:space="preserve">Ley 80 de 1993 Disponible en: </w:t>
      </w:r>
      <w:hyperlink r:id="rId14" w:history="1">
        <w:r w:rsidRPr="001B74F2">
          <w:rPr>
            <w:rStyle w:val="Hipervnculo"/>
            <w:rFonts w:ascii="Verdana" w:hAnsi="Verdana" w:cs="Arial"/>
            <w:noProof/>
            <w:lang w:val="es-ES_tradnl"/>
          </w:rPr>
          <w:t>https://relatoria.colombiacompra.gov.co/normativa/ley-80-de-1993/</w:t>
        </w:r>
      </w:hyperlink>
      <w:r w:rsidRPr="001B74F2">
        <w:rPr>
          <w:rFonts w:ascii="Verdana" w:hAnsi="Verdana" w:cs="Arial"/>
          <w:noProof/>
          <w:lang w:val="es-ES_tradnl"/>
        </w:rPr>
        <w:t xml:space="preserve">  </w:t>
      </w:r>
    </w:p>
    <w:p w14:paraId="4CB43D44" w14:textId="77777777" w:rsidR="00DB1FD3" w:rsidRPr="00304CB5" w:rsidRDefault="00DB1FD3" w:rsidP="00DB1FD3">
      <w:pPr>
        <w:pStyle w:val="Prrafodelista"/>
        <w:spacing w:before="120" w:line="276" w:lineRule="auto"/>
        <w:ind w:right="113"/>
        <w:jc w:val="both"/>
        <w:rPr>
          <w:rFonts w:ascii="Verdana" w:hAnsi="Verdana" w:cs="Arial"/>
          <w:lang w:eastAsia="es-CO"/>
        </w:rPr>
      </w:pPr>
    </w:p>
    <w:p w14:paraId="4CB43D45" w14:textId="77777777" w:rsidR="00DB1FD3" w:rsidRPr="006804EE" w:rsidRDefault="00DB1FD3" w:rsidP="00DB1FD3">
      <w:pPr>
        <w:pStyle w:val="Prrafodelista"/>
        <w:numPr>
          <w:ilvl w:val="0"/>
          <w:numId w:val="2"/>
        </w:numPr>
        <w:spacing w:before="120" w:line="276" w:lineRule="auto"/>
        <w:ind w:right="113"/>
        <w:jc w:val="both"/>
        <w:rPr>
          <w:rFonts w:ascii="Verdana" w:hAnsi="Verdana" w:cs="Arial"/>
          <w:lang w:eastAsia="es-CO"/>
        </w:rPr>
      </w:pPr>
      <w:r w:rsidRPr="006804EE">
        <w:rPr>
          <w:rFonts w:ascii="Verdana" w:eastAsia="Calibri" w:hAnsi="Verdana" w:cs="Arial"/>
        </w:rPr>
        <w:t xml:space="preserve">Decreto 092 de 2017. Disponible en: </w:t>
      </w:r>
      <w:hyperlink r:id="rId15" w:history="1">
        <w:r w:rsidRPr="006804EE">
          <w:rPr>
            <w:rStyle w:val="Hipervnculo"/>
            <w:rFonts w:ascii="Verdana" w:eastAsia="Calibri" w:hAnsi="Verdana" w:cs="Arial"/>
          </w:rPr>
          <w:t>https://relatoria.colombiacompra.gov.co/normativa/decreto-092-de-2017/</w:t>
        </w:r>
      </w:hyperlink>
      <w:r w:rsidRPr="006804EE">
        <w:rPr>
          <w:rFonts w:ascii="Verdana" w:eastAsia="Calibri" w:hAnsi="Verdana" w:cs="Arial"/>
        </w:rPr>
        <w:t xml:space="preserve"> </w:t>
      </w:r>
    </w:p>
    <w:p w14:paraId="4CB43D46" w14:textId="77777777" w:rsidR="00DB1FD3" w:rsidRPr="00304CB5" w:rsidRDefault="00DB1FD3" w:rsidP="00DB1FD3">
      <w:pPr>
        <w:pStyle w:val="Prrafodelista"/>
        <w:spacing w:before="120" w:line="276" w:lineRule="auto"/>
        <w:ind w:right="113"/>
        <w:jc w:val="both"/>
        <w:rPr>
          <w:rFonts w:ascii="Verdana" w:hAnsi="Verdana" w:cs="Arial"/>
          <w:lang w:eastAsia="es-CO"/>
        </w:rPr>
      </w:pPr>
    </w:p>
    <w:p w14:paraId="4CB43D47" w14:textId="77777777" w:rsidR="00DB1FD3" w:rsidRDefault="00DB1FD3" w:rsidP="00DB1FD3">
      <w:pPr>
        <w:pStyle w:val="Prrafodelista"/>
        <w:numPr>
          <w:ilvl w:val="0"/>
          <w:numId w:val="2"/>
        </w:numPr>
        <w:spacing w:before="120" w:line="276" w:lineRule="auto"/>
        <w:ind w:right="113"/>
        <w:jc w:val="both"/>
        <w:rPr>
          <w:rFonts w:ascii="Verdana" w:hAnsi="Verdana" w:cs="Arial"/>
          <w:lang w:eastAsia="es-CO"/>
        </w:rPr>
      </w:pPr>
      <w:r w:rsidRPr="006804EE">
        <w:rPr>
          <w:rFonts w:ascii="Verdana" w:eastAsia="Calibri" w:hAnsi="Verdana" w:cs="Arial"/>
        </w:rPr>
        <w:t>Guías y manuales expedidos por la ANCP-CCE. Guía para la contratación con entidades sin ánimo de lucro y de reconocida idoneidad</w:t>
      </w:r>
      <w:r w:rsidRPr="006804EE">
        <w:rPr>
          <w:rFonts w:ascii="Verdana" w:hAnsi="Verdana" w:cs="Arial"/>
          <w:lang w:eastAsia="es-CO"/>
        </w:rPr>
        <w:t xml:space="preserve"> </w:t>
      </w:r>
      <w:hyperlink r:id="rId16" w:history="1">
        <w:r w:rsidRPr="006804EE">
          <w:rPr>
            <w:rStyle w:val="Hipervnculo"/>
            <w:rFonts w:ascii="Verdana" w:hAnsi="Verdana" w:cs="Arial"/>
            <w:lang w:eastAsia="es-CO"/>
          </w:rPr>
          <w:t>https://www.colombiacompra.gov.co/sites/cce_public/files/cce_documents/cce_guia_esal.pdf</w:t>
        </w:r>
      </w:hyperlink>
      <w:r w:rsidRPr="006804EE">
        <w:rPr>
          <w:rFonts w:ascii="Verdana" w:hAnsi="Verdana" w:cs="Arial"/>
          <w:lang w:eastAsia="es-CO"/>
        </w:rPr>
        <w:t xml:space="preserve"> </w:t>
      </w:r>
    </w:p>
    <w:p w14:paraId="4CB43D48" w14:textId="77777777" w:rsidR="00DB1FD3" w:rsidRDefault="00DB1FD3" w:rsidP="00DB1FD3">
      <w:pPr>
        <w:pStyle w:val="Prrafodelista"/>
        <w:spacing w:before="120" w:line="276" w:lineRule="auto"/>
        <w:ind w:right="113"/>
        <w:jc w:val="both"/>
        <w:rPr>
          <w:rFonts w:ascii="Verdana" w:hAnsi="Verdana" w:cs="Arial"/>
          <w:lang w:eastAsia="es-CO"/>
        </w:rPr>
      </w:pPr>
    </w:p>
    <w:p w14:paraId="4CB43D49" w14:textId="77777777" w:rsidR="00DB1FD3" w:rsidRDefault="00DB1FD3" w:rsidP="00DB1FD3">
      <w:pPr>
        <w:pStyle w:val="Prrafodelista"/>
        <w:numPr>
          <w:ilvl w:val="0"/>
          <w:numId w:val="2"/>
        </w:numPr>
        <w:spacing w:before="120" w:line="276" w:lineRule="auto"/>
        <w:ind w:right="113"/>
        <w:jc w:val="both"/>
        <w:rPr>
          <w:rFonts w:ascii="Verdana" w:hAnsi="Verdana" w:cs="Arial"/>
          <w:lang w:eastAsia="es-CO"/>
        </w:rPr>
      </w:pPr>
      <w:r w:rsidRPr="00304CB5">
        <w:rPr>
          <w:rFonts w:ascii="Verdana" w:hAnsi="Verdana" w:cs="Arial"/>
          <w:lang w:eastAsia="es-CO"/>
        </w:rPr>
        <w:t>Consejo de Estado, Sala de lo Contencioso Administrativo, Sección tercera, Subsección B, Radicación N° 05001-23-31-000-1997-00663-01(32113) del 29 de septiembre de 2015. C.P. Stella Conto Díaz del Castillo.</w:t>
      </w:r>
      <w:r>
        <w:rPr>
          <w:rFonts w:ascii="Verdana" w:hAnsi="Verdana" w:cs="Arial"/>
          <w:lang w:eastAsia="es-CO"/>
        </w:rPr>
        <w:t xml:space="preserve"> </w:t>
      </w:r>
    </w:p>
    <w:p w14:paraId="4CB43D4A" w14:textId="77777777" w:rsidR="00DB1FD3" w:rsidRDefault="00DB1FD3" w:rsidP="00DB1FD3">
      <w:pPr>
        <w:pStyle w:val="Prrafodelista"/>
        <w:spacing w:before="120" w:line="276" w:lineRule="auto"/>
        <w:ind w:right="113"/>
        <w:jc w:val="both"/>
        <w:rPr>
          <w:rFonts w:ascii="Verdana" w:hAnsi="Verdana" w:cs="Arial"/>
          <w:lang w:eastAsia="es-CO"/>
        </w:rPr>
      </w:pPr>
    </w:p>
    <w:p w14:paraId="4CB43D4B" w14:textId="77777777" w:rsidR="00DB1FD3" w:rsidRDefault="00DB1FD3" w:rsidP="00DB1FD3">
      <w:pPr>
        <w:pStyle w:val="Prrafodelista"/>
        <w:numPr>
          <w:ilvl w:val="0"/>
          <w:numId w:val="2"/>
        </w:numPr>
        <w:spacing w:before="120" w:line="276" w:lineRule="auto"/>
        <w:ind w:right="113"/>
        <w:jc w:val="both"/>
        <w:rPr>
          <w:rFonts w:ascii="Verdana" w:hAnsi="Verdana" w:cs="Arial"/>
          <w:lang w:eastAsia="es-CO"/>
        </w:rPr>
      </w:pPr>
      <w:r w:rsidRPr="00304CB5">
        <w:rPr>
          <w:rFonts w:ascii="Verdana" w:hAnsi="Verdana" w:cs="Arial"/>
          <w:lang w:eastAsia="es-CO"/>
        </w:rPr>
        <w:t>Consejo de Estado, Sección Cuarta. Providencia del 26 de octubre de 2009. Exp. No. 25000-23-27-000-2007-00160-01(17200). M.P. Martha Teresa Briceño de Valencia.</w:t>
      </w:r>
      <w:r>
        <w:rPr>
          <w:rFonts w:ascii="Verdana" w:hAnsi="Verdana" w:cs="Arial"/>
          <w:lang w:eastAsia="es-CO"/>
        </w:rPr>
        <w:t xml:space="preserve"> </w:t>
      </w:r>
    </w:p>
    <w:p w14:paraId="4CB43D4C" w14:textId="77777777" w:rsidR="00DB1FD3" w:rsidRPr="00DF5579" w:rsidRDefault="00DB1FD3" w:rsidP="00DB1FD3">
      <w:pPr>
        <w:pStyle w:val="Prrafodelista"/>
        <w:rPr>
          <w:rFonts w:ascii="Verdana" w:hAnsi="Verdana" w:cs="Arial"/>
          <w:lang w:eastAsia="es-CO"/>
        </w:rPr>
      </w:pPr>
    </w:p>
    <w:p w14:paraId="4CB43D4D" w14:textId="77777777" w:rsidR="00DB1FD3" w:rsidRDefault="00DB1FD3" w:rsidP="00DB1FD3">
      <w:pPr>
        <w:pStyle w:val="Prrafodelista"/>
        <w:numPr>
          <w:ilvl w:val="0"/>
          <w:numId w:val="2"/>
        </w:numPr>
        <w:spacing w:before="120" w:line="276" w:lineRule="auto"/>
        <w:ind w:right="113"/>
        <w:jc w:val="both"/>
        <w:rPr>
          <w:rFonts w:ascii="Verdana" w:hAnsi="Verdana" w:cs="Arial"/>
          <w:lang w:eastAsia="es-CO"/>
        </w:rPr>
      </w:pPr>
      <w:r w:rsidRPr="005821E0">
        <w:rPr>
          <w:rFonts w:ascii="Verdana" w:hAnsi="Verdana"/>
        </w:rPr>
        <w:lastRenderedPageBreak/>
        <w:t>Sección Tercera, Sentencia del 19 de julio de 2001, Exp. 12.037, C.P. Alier Eduardo Hernández Enríquez.</w:t>
      </w:r>
    </w:p>
    <w:p w14:paraId="4CB43D4E" w14:textId="77777777" w:rsidR="00DB1FD3" w:rsidRDefault="00DB1FD3" w:rsidP="00DB1FD3">
      <w:pPr>
        <w:pStyle w:val="Prrafodelista"/>
        <w:spacing w:before="120" w:line="276" w:lineRule="auto"/>
        <w:ind w:right="113"/>
        <w:jc w:val="both"/>
        <w:rPr>
          <w:rFonts w:ascii="Verdana" w:hAnsi="Verdana" w:cs="Arial"/>
          <w:lang w:eastAsia="es-CO"/>
        </w:rPr>
      </w:pPr>
    </w:p>
    <w:p w14:paraId="4CB43D4F" w14:textId="77777777" w:rsidR="00DB1FD3" w:rsidRPr="006804EE" w:rsidRDefault="00DB1FD3" w:rsidP="00DB1FD3">
      <w:pPr>
        <w:pStyle w:val="Prrafodelista"/>
        <w:numPr>
          <w:ilvl w:val="0"/>
          <w:numId w:val="2"/>
        </w:numPr>
        <w:spacing w:before="120" w:line="276" w:lineRule="auto"/>
        <w:ind w:right="113"/>
        <w:jc w:val="both"/>
        <w:rPr>
          <w:rFonts w:ascii="Verdana" w:hAnsi="Verdana" w:cs="Arial"/>
          <w:lang w:eastAsia="es-CO"/>
        </w:rPr>
      </w:pPr>
      <w:r w:rsidRPr="00304CB5">
        <w:rPr>
          <w:rFonts w:ascii="Verdana" w:hAnsi="Verdana" w:cs="Arial"/>
          <w:lang w:eastAsia="es-CO"/>
        </w:rPr>
        <w:t>Consejo de Estado, Sala de lo Contencioso Administrativo, Sección tercera, Subsección B, Radicación N° 05001-23-31-000-1997-00663-01(32113) del 29 de septiembre de 2015. C.P. Stella Conto Díaz del Castillo.</w:t>
      </w:r>
      <w:r>
        <w:rPr>
          <w:rFonts w:ascii="Verdana" w:hAnsi="Verdana" w:cs="Arial"/>
          <w:lang w:eastAsia="es-CO"/>
        </w:rPr>
        <w:t xml:space="preserve"> Disponible en: </w:t>
      </w:r>
      <w:hyperlink r:id="rId17" w:history="1">
        <w:r w:rsidRPr="0079147C">
          <w:rPr>
            <w:rStyle w:val="Hipervnculo"/>
            <w:rFonts w:ascii="Verdana" w:hAnsi="Verdana" w:cs="Arial"/>
            <w:lang w:eastAsia="es-CO"/>
          </w:rPr>
          <w:t>https://relatoria.colombiacompra.gov.co/providencias-consejo-de-estado/</w:t>
        </w:r>
      </w:hyperlink>
      <w:r>
        <w:rPr>
          <w:rFonts w:ascii="Verdana" w:hAnsi="Verdana" w:cs="Arial"/>
          <w:lang w:eastAsia="es-CO"/>
        </w:rPr>
        <w:t xml:space="preserve"> </w:t>
      </w:r>
    </w:p>
    <w:p w14:paraId="4CB43D50" w14:textId="77777777" w:rsidR="00DB1FD3" w:rsidRPr="00DF5579" w:rsidRDefault="00DB1FD3" w:rsidP="00DB1FD3">
      <w:pPr>
        <w:spacing w:after="120" w:line="276" w:lineRule="auto"/>
        <w:jc w:val="both"/>
        <w:rPr>
          <w:rFonts w:ascii="Verdana" w:eastAsia="Times New Roman" w:hAnsi="Verdana" w:cs="Arial"/>
          <w:i/>
          <w:lang w:eastAsia="es-ES"/>
        </w:rPr>
      </w:pPr>
    </w:p>
    <w:p w14:paraId="4CB43D51" w14:textId="77777777" w:rsidR="00DB1FD3" w:rsidRPr="00D32C7A" w:rsidRDefault="00DB1FD3" w:rsidP="00DB1FD3">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32C7A">
        <w:rPr>
          <w:rFonts w:ascii="Verdana" w:eastAsia="Century Gothic" w:hAnsi="Verdana" w:cs="Century Gothic"/>
          <w:b/>
          <w:bCs/>
        </w:rPr>
        <w:t>Doctrina de la Agencia Nacional de Contratación Pública:</w:t>
      </w:r>
    </w:p>
    <w:p w14:paraId="4CB43D52" w14:textId="77777777" w:rsidR="00DB1FD3" w:rsidRPr="00D32C7A" w:rsidRDefault="00DB1FD3" w:rsidP="00DB1FD3">
      <w:pPr>
        <w:spacing w:after="120" w:line="276" w:lineRule="auto"/>
        <w:jc w:val="both"/>
        <w:rPr>
          <w:rFonts w:ascii="Verdana" w:hAnsi="Verdana" w:cs="Arial"/>
          <w:color w:val="000000" w:themeColor="text1"/>
          <w:lang w:val="es-ES"/>
        </w:rPr>
      </w:pPr>
    </w:p>
    <w:p w14:paraId="4CB43D53" w14:textId="77777777" w:rsidR="00DB1FD3" w:rsidRPr="00D32C7A" w:rsidRDefault="00DB1FD3" w:rsidP="00DB1FD3">
      <w:pPr>
        <w:pStyle w:val="Textonotapie"/>
        <w:jc w:val="both"/>
        <w:rPr>
          <w:rFonts w:ascii="Verdana" w:hAnsi="Verdana" w:cs="Arial"/>
          <w:sz w:val="22"/>
          <w:szCs w:val="22"/>
          <w:shd w:val="clear" w:color="auto" w:fill="E6E6E6"/>
        </w:rPr>
      </w:pPr>
      <w:r w:rsidRPr="00D32C7A">
        <w:rPr>
          <w:rFonts w:ascii="Verdana" w:eastAsia="Calibri" w:hAnsi="Verdana" w:cs="Arial"/>
          <w:sz w:val="22"/>
          <w:szCs w:val="22"/>
          <w:lang w:val="es-ES" w:eastAsia="es-ES"/>
        </w:rPr>
        <w:t xml:space="preserve">Sobre </w:t>
      </w:r>
      <w:r w:rsidRPr="00D32C7A">
        <w:rPr>
          <w:rFonts w:ascii="Verdana" w:eastAsia="Calibri" w:hAnsi="Verdana" w:cs="Arial"/>
          <w:bCs/>
          <w:sz w:val="22"/>
          <w:lang w:val="es-ES_tradnl"/>
        </w:rPr>
        <w:t xml:space="preserve">la contratación con entidades privadas sin ánimo de lucro </w:t>
      </w:r>
      <w:r>
        <w:rPr>
          <w:rFonts w:ascii="Verdana" w:eastAsia="Calibri" w:hAnsi="Verdana" w:cs="Arial"/>
          <w:bCs/>
          <w:sz w:val="22"/>
          <w:lang w:val="es-ES_tradnl"/>
        </w:rPr>
        <w:t xml:space="preserve"> </w:t>
      </w:r>
      <w:r w:rsidRPr="00D32C7A">
        <w:rPr>
          <w:rFonts w:ascii="Verdana" w:eastAsia="Calibri" w:hAnsi="Verdana" w:cs="Arial"/>
          <w:bCs/>
          <w:sz w:val="22"/>
          <w:szCs w:val="22"/>
          <w:lang w:val="es-ES_tradnl"/>
        </w:rPr>
        <w:t xml:space="preserve">ESAL–, regulada por el Decreto 092 de 2017, </w:t>
      </w:r>
      <w:r w:rsidRPr="00D32C7A">
        <w:rPr>
          <w:rStyle w:val="normaltextrun"/>
          <w:rFonts w:ascii="Verdana" w:hAnsi="Verdana" w:cs="Arial"/>
          <w:sz w:val="22"/>
          <w:szCs w:val="22"/>
          <w:shd w:val="clear" w:color="auto" w:fill="FFFFFF"/>
          <w:lang w:val="es-ES"/>
        </w:rPr>
        <w:t xml:space="preserve">se pronunció esta Subdirección </w:t>
      </w:r>
      <w:r w:rsidRPr="00D32C7A">
        <w:rPr>
          <w:rFonts w:ascii="Verdana" w:eastAsia="Calibri" w:hAnsi="Verdana" w:cs="Arial"/>
          <w:sz w:val="22"/>
          <w:szCs w:val="22"/>
          <w:lang w:val="es-ES"/>
        </w:rPr>
        <w:t xml:space="preserve">en los conceptos </w:t>
      </w:r>
      <w:r w:rsidRPr="00D32C7A">
        <w:rPr>
          <w:rFonts w:ascii="Verdana" w:eastAsia="Calibri" w:hAnsi="Verdana" w:cs="Arial"/>
          <w:color w:val="000000" w:themeColor="text1"/>
          <w:sz w:val="22"/>
          <w:szCs w:val="22"/>
        </w:rPr>
        <w:t>Nos. 2201913000009467 del 20 de diciembre de 2019, C-081 del 3 de marzo de 2020, C-070 del 4 de marzo de 2020, C-057 del 18 de marzo de 2020, C-014 del 24 de marzo de 2020, C-140 del 31 de marzo de 2020, C-273 del 6 de mayo de 2022, C-274 del 6 de mayo de 2022, C-291 del 18 de mayo de 2022, C-331 del 24 de mayo de 2022, C-477 del 26 de julio de 2022, C-550 del 31 de agosto de 2022, C-560 del 7 de septiembre de 2022, C-624 del 28 de septiembre de 2022, C-771 del 30 de diciembre de 2022 y C-853 del 9 de diciembre de 2022, C-026 de 16 de marzo de 2023, C-037 de 05 de abril de 2023, C-</w:t>
      </w:r>
      <w:r>
        <w:rPr>
          <w:rFonts w:ascii="Verdana" w:eastAsia="Calibri" w:hAnsi="Verdana" w:cs="Arial"/>
          <w:color w:val="000000" w:themeColor="text1"/>
          <w:sz w:val="22"/>
          <w:szCs w:val="22"/>
        </w:rPr>
        <w:t>183</w:t>
      </w:r>
      <w:r w:rsidRPr="00D32C7A">
        <w:rPr>
          <w:rFonts w:ascii="Verdana" w:eastAsia="Calibri" w:hAnsi="Verdana" w:cs="Arial"/>
          <w:color w:val="000000" w:themeColor="text1"/>
          <w:sz w:val="22"/>
          <w:szCs w:val="22"/>
        </w:rPr>
        <w:t xml:space="preserve"> de </w:t>
      </w:r>
      <w:r>
        <w:rPr>
          <w:rFonts w:ascii="Verdana" w:eastAsia="Calibri" w:hAnsi="Verdana" w:cs="Arial"/>
          <w:color w:val="000000" w:themeColor="text1"/>
          <w:sz w:val="22"/>
          <w:szCs w:val="22"/>
        </w:rPr>
        <w:t>8</w:t>
      </w:r>
      <w:r w:rsidRPr="00D32C7A">
        <w:rPr>
          <w:rFonts w:ascii="Verdana" w:eastAsia="Calibri" w:hAnsi="Verdana" w:cs="Arial"/>
          <w:color w:val="000000" w:themeColor="text1"/>
          <w:sz w:val="22"/>
          <w:szCs w:val="22"/>
        </w:rPr>
        <w:t xml:space="preserve"> de junio de 2023 C-003 del 02 de febrero de 2024,</w:t>
      </w:r>
      <w:r>
        <w:rPr>
          <w:rFonts w:ascii="Verdana" w:eastAsia="Calibri" w:hAnsi="Verdana" w:cs="Arial"/>
          <w:color w:val="000000" w:themeColor="text1"/>
          <w:sz w:val="22"/>
          <w:szCs w:val="22"/>
        </w:rPr>
        <w:t xml:space="preserve"> </w:t>
      </w:r>
      <w:r w:rsidRPr="00D32C7A">
        <w:rPr>
          <w:rFonts w:ascii="Verdana" w:eastAsia="Calibri" w:hAnsi="Verdana" w:cs="Arial"/>
          <w:color w:val="000000" w:themeColor="text1"/>
          <w:sz w:val="22"/>
          <w:szCs w:val="22"/>
        </w:rPr>
        <w:t>C-045 del 24 de abril de 2024</w:t>
      </w:r>
      <w:r>
        <w:rPr>
          <w:rFonts w:ascii="Verdana" w:eastAsia="Calibri" w:hAnsi="Verdana" w:cs="Arial"/>
          <w:color w:val="000000" w:themeColor="text1"/>
          <w:sz w:val="22"/>
          <w:szCs w:val="22"/>
        </w:rPr>
        <w:t>.</w:t>
      </w:r>
      <w:r w:rsidRPr="00D32C7A">
        <w:rPr>
          <w:rFonts w:ascii="Verdana" w:eastAsia="Calibri" w:hAnsi="Verdana" w:cs="Arial"/>
          <w:color w:val="000000" w:themeColor="text1"/>
          <w:sz w:val="22"/>
          <w:szCs w:val="22"/>
        </w:rPr>
        <w:t xml:space="preserve"> </w:t>
      </w:r>
      <w:r w:rsidRPr="00D32C7A">
        <w:rPr>
          <w:rFonts w:ascii="Verdana" w:hAnsi="Verdana"/>
          <w:color w:val="000000"/>
          <w:sz w:val="22"/>
          <w:szCs w:val="22"/>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8" w:tgtFrame="_blank" w:tooltip="Dirección URL original: https://relatoria.colombiacompra.gov.co/. Haga clic o pulse si confía en este vínculo." w:history="1">
        <w:r w:rsidRPr="00D32C7A">
          <w:rPr>
            <w:rStyle w:val="Hipervnculo"/>
            <w:rFonts w:ascii="Verdana" w:hAnsi="Verdana"/>
            <w:sz w:val="22"/>
            <w:szCs w:val="22"/>
            <w:bdr w:val="none" w:sz="0" w:space="0" w:color="auto" w:frame="1"/>
            <w:shd w:val="clear" w:color="auto" w:fill="FFFFFF"/>
          </w:rPr>
          <w:t>https://relatoria.colombiacompra.gov.co/</w:t>
        </w:r>
      </w:hyperlink>
      <w:r w:rsidRPr="00D32C7A">
        <w:rPr>
          <w:rFonts w:ascii="Verdana" w:hAnsi="Verdana"/>
          <w:color w:val="000000"/>
          <w:sz w:val="22"/>
          <w:szCs w:val="22"/>
          <w:shd w:val="clear" w:color="auto" w:fill="FFFFFF"/>
        </w:rPr>
        <w:t> . Te invitamos también a revisar la tercera edición del  Boletín de Relatoría de 2024 en el cual podrás consultar en detalle el marco normativo de documentos tipo: </w:t>
      </w:r>
      <w:hyperlink r:id="rId19" w:tgtFrame="_blank" w:tooltip="Dirección URL original: https://www.colombiacompra.gov.co/sites/cce_public/files/files_2020/boletin_de_realtoria_iii.pdf. Haga clic o pulse si confía en este vínculo." w:history="1">
        <w:r w:rsidRPr="00D32C7A">
          <w:rPr>
            <w:rStyle w:val="Hipervnculo"/>
            <w:rFonts w:ascii="Verdana" w:hAnsi="Verdana"/>
            <w:sz w:val="22"/>
            <w:szCs w:val="22"/>
            <w:bdr w:val="none" w:sz="0" w:space="0" w:color="auto" w:frame="1"/>
            <w:shd w:val="clear" w:color="auto" w:fill="FFFFFF"/>
          </w:rPr>
          <w:t>https://www.colombiacompra.gov.co/sites/cce_public/files/files_2020/boletin_de_realtoria_iii.pdf</w:t>
        </w:r>
      </w:hyperlink>
      <w:r w:rsidRPr="00D32C7A">
        <w:rPr>
          <w:rFonts w:ascii="Verdana" w:hAnsi="Verdana"/>
          <w:color w:val="000000"/>
          <w:sz w:val="22"/>
          <w:szCs w:val="22"/>
          <w:shd w:val="clear" w:color="auto" w:fill="FFFFFF"/>
        </w:rPr>
        <w:t> ".</w:t>
      </w:r>
    </w:p>
    <w:p w14:paraId="4CB43D54" w14:textId="77777777" w:rsidR="00DB1FD3" w:rsidRPr="00D32C7A" w:rsidRDefault="00DB1FD3" w:rsidP="00DB1FD3">
      <w:pPr>
        <w:pStyle w:val="Textonotapie"/>
        <w:jc w:val="both"/>
        <w:rPr>
          <w:rFonts w:ascii="Verdana" w:hAnsi="Verdana" w:cs="Arial"/>
          <w:sz w:val="22"/>
          <w:szCs w:val="22"/>
          <w:lang w:val="es-ES"/>
        </w:rPr>
      </w:pPr>
    </w:p>
    <w:p w14:paraId="4CB43D55" w14:textId="77777777" w:rsidR="00DB1FD3" w:rsidRPr="00D32C7A" w:rsidRDefault="00DB1FD3" w:rsidP="00DB1FD3">
      <w:pPr>
        <w:spacing w:after="0" w:line="240" w:lineRule="auto"/>
        <w:jc w:val="both"/>
        <w:rPr>
          <w:rFonts w:ascii="Verdana" w:hAnsi="Verdana"/>
        </w:rPr>
      </w:pPr>
      <w:r w:rsidRPr="00D32C7A">
        <w:rPr>
          <w:rFonts w:ascii="Verdana" w:hAnsi="Verdana"/>
        </w:rPr>
        <w:t xml:space="preserve">Por último, lo invitamos a seguirnos en las redes sociales en las cuales se difunde información institucional: </w:t>
      </w:r>
    </w:p>
    <w:p w14:paraId="4CB43D56" w14:textId="77777777" w:rsidR="00DB1FD3" w:rsidRPr="00D32C7A" w:rsidRDefault="00DB1FD3" w:rsidP="00DB1FD3">
      <w:pPr>
        <w:spacing w:after="0" w:line="240" w:lineRule="auto"/>
        <w:jc w:val="both"/>
        <w:rPr>
          <w:rFonts w:ascii="Verdana" w:hAnsi="Verdana"/>
        </w:rPr>
      </w:pPr>
    </w:p>
    <w:p w14:paraId="4CB43D57" w14:textId="77777777" w:rsidR="00DB1FD3" w:rsidRPr="00D32C7A" w:rsidRDefault="00DB1FD3" w:rsidP="00DB1FD3">
      <w:pPr>
        <w:spacing w:after="0" w:line="240" w:lineRule="auto"/>
        <w:jc w:val="both"/>
        <w:rPr>
          <w:rFonts w:ascii="Verdana" w:hAnsi="Verdana"/>
        </w:rPr>
      </w:pPr>
      <w:r w:rsidRPr="00D32C7A">
        <w:rPr>
          <w:rFonts w:ascii="Verdana" w:hAnsi="Verdana"/>
        </w:rPr>
        <w:t xml:space="preserve">Twitter: </w:t>
      </w:r>
      <w:r w:rsidRPr="00D32C7A">
        <w:rPr>
          <w:rStyle w:val="Hipervnculo"/>
          <w:rFonts w:ascii="Verdana" w:hAnsi="Verdana"/>
          <w:color w:val="4472C4" w:themeColor="accent1"/>
        </w:rPr>
        <w:t>@colombiacompra</w:t>
      </w:r>
      <w:r w:rsidRPr="00D32C7A">
        <w:rPr>
          <w:rFonts w:ascii="Verdana" w:hAnsi="Verdana"/>
          <w:color w:val="4472C4" w:themeColor="accent1"/>
        </w:rPr>
        <w:t xml:space="preserve"> </w:t>
      </w:r>
    </w:p>
    <w:p w14:paraId="4CB43D58" w14:textId="77777777" w:rsidR="00DB1FD3" w:rsidRPr="00D32C7A" w:rsidRDefault="00DB1FD3" w:rsidP="00DB1FD3">
      <w:pPr>
        <w:spacing w:after="0" w:line="240" w:lineRule="auto"/>
        <w:jc w:val="both"/>
        <w:rPr>
          <w:rFonts w:ascii="Verdana" w:hAnsi="Verdana"/>
        </w:rPr>
      </w:pPr>
      <w:r w:rsidRPr="00D32C7A">
        <w:rPr>
          <w:rFonts w:ascii="Verdana" w:hAnsi="Verdana"/>
        </w:rPr>
        <w:t xml:space="preserve">Facebook: </w:t>
      </w:r>
      <w:r w:rsidRPr="00D32C7A">
        <w:rPr>
          <w:rStyle w:val="Hipervnculo"/>
          <w:rFonts w:ascii="Verdana" w:hAnsi="Verdana"/>
          <w:color w:val="4472C4" w:themeColor="accent1"/>
        </w:rPr>
        <w:t>ColombiaCompraEficiente</w:t>
      </w:r>
    </w:p>
    <w:p w14:paraId="4CB43D59" w14:textId="77777777" w:rsidR="00DB1FD3" w:rsidRPr="00D32C7A" w:rsidRDefault="00DB1FD3" w:rsidP="00DB1FD3">
      <w:pPr>
        <w:spacing w:after="0" w:line="240" w:lineRule="auto"/>
        <w:jc w:val="both"/>
        <w:rPr>
          <w:rFonts w:ascii="Verdana" w:hAnsi="Verdana"/>
        </w:rPr>
      </w:pPr>
      <w:r w:rsidRPr="00D32C7A">
        <w:rPr>
          <w:rFonts w:ascii="Verdana" w:hAnsi="Verdana"/>
        </w:rPr>
        <w:lastRenderedPageBreak/>
        <w:t xml:space="preserve">LinkedIn: </w:t>
      </w:r>
      <w:r w:rsidRPr="00D32C7A">
        <w:rPr>
          <w:rStyle w:val="Hipervnculo"/>
          <w:rFonts w:ascii="Verdana" w:hAnsi="Verdana"/>
          <w:color w:val="4472C4" w:themeColor="accent1"/>
        </w:rPr>
        <w:t>Agencia Nacional de Contratación Pública - Colombia Compra Eficiente</w:t>
      </w:r>
      <w:r w:rsidRPr="00D32C7A">
        <w:rPr>
          <w:rFonts w:ascii="Verdana" w:hAnsi="Verdana"/>
          <w:color w:val="4472C4" w:themeColor="accent1"/>
        </w:rPr>
        <w:t xml:space="preserve"> </w:t>
      </w:r>
      <w:r w:rsidRPr="00D32C7A">
        <w:rPr>
          <w:rFonts w:ascii="Verdana" w:hAnsi="Verdana"/>
        </w:rPr>
        <w:t xml:space="preserve">Instagram: </w:t>
      </w:r>
      <w:r w:rsidRPr="00D32C7A">
        <w:rPr>
          <w:rStyle w:val="Hipervnculo"/>
          <w:rFonts w:ascii="Verdana" w:hAnsi="Verdana"/>
          <w:color w:val="4472C4" w:themeColor="accent1"/>
        </w:rPr>
        <w:t>@colombiacompraeficiente_cce</w:t>
      </w:r>
    </w:p>
    <w:p w14:paraId="4CB43D5A" w14:textId="77777777" w:rsidR="00DB1FD3" w:rsidRPr="00D32C7A" w:rsidRDefault="00DB1FD3" w:rsidP="00DB1FD3">
      <w:pPr>
        <w:spacing w:after="120" w:line="276" w:lineRule="auto"/>
        <w:jc w:val="both"/>
        <w:rPr>
          <w:rFonts w:ascii="Verdana" w:hAnsi="Verdana" w:cs="Arial"/>
          <w:lang w:val="es-ES"/>
        </w:rPr>
      </w:pPr>
    </w:p>
    <w:p w14:paraId="4CB43D5B" w14:textId="77777777" w:rsidR="00DB1FD3" w:rsidRPr="00D32C7A" w:rsidRDefault="00DB1FD3" w:rsidP="00DB1FD3">
      <w:pPr>
        <w:spacing w:after="120" w:line="276" w:lineRule="auto"/>
        <w:jc w:val="both"/>
        <w:rPr>
          <w:rFonts w:ascii="Verdana" w:hAnsi="Verdana" w:cs="Arial"/>
          <w:color w:val="000000" w:themeColor="text1"/>
          <w:lang w:val="es-ES_tradnl"/>
        </w:rPr>
      </w:pPr>
      <w:r w:rsidRPr="00D32C7A">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4CB43D5C" w14:textId="77777777" w:rsidR="00DB1FD3" w:rsidRPr="00D32C7A" w:rsidRDefault="00DB1FD3" w:rsidP="00DB1FD3">
      <w:pPr>
        <w:spacing w:after="0" w:line="240" w:lineRule="auto"/>
        <w:rPr>
          <w:rFonts w:ascii="Verdana" w:eastAsia="Times New Roman" w:hAnsi="Verdana" w:cs="Arial"/>
          <w:lang w:eastAsia="es-CO"/>
        </w:rPr>
      </w:pPr>
    </w:p>
    <w:p w14:paraId="4CB43D5D" w14:textId="77777777" w:rsidR="00DB1FD3" w:rsidRPr="00F041E2" w:rsidRDefault="00DB1FD3" w:rsidP="00DB1FD3">
      <w:pPr>
        <w:spacing w:after="0" w:line="240" w:lineRule="auto"/>
        <w:rPr>
          <w:rFonts w:ascii="Verdana" w:eastAsia="Times New Roman" w:hAnsi="Verdana" w:cs="Arial"/>
          <w:lang w:eastAsia="es-CO"/>
        </w:rPr>
      </w:pPr>
      <w:r w:rsidRPr="00D32C7A">
        <w:rPr>
          <w:rFonts w:ascii="Verdana" w:eastAsia="Times New Roman" w:hAnsi="Verdana" w:cs="Arial"/>
          <w:lang w:eastAsia="es-CO"/>
        </w:rPr>
        <w:t>Atentamente,</w:t>
      </w:r>
    </w:p>
    <w:p w14:paraId="4CB43D5E" w14:textId="77777777" w:rsidR="00DB1FD3" w:rsidRPr="00D32C7A" w:rsidRDefault="00DB1FD3" w:rsidP="00DB1FD3">
      <w:pPr>
        <w:spacing w:after="0" w:line="276" w:lineRule="auto"/>
        <w:jc w:val="center"/>
        <w:rPr>
          <w:rFonts w:ascii="Verdana" w:eastAsia="Times New Roman" w:hAnsi="Verdana" w:cs="Arial"/>
          <w:color w:val="000000"/>
          <w:lang w:val="es-ES_tradnl" w:eastAsia="es-CO"/>
        </w:rPr>
      </w:pPr>
    </w:p>
    <w:p w14:paraId="4CB43D5F" w14:textId="77777777" w:rsidR="00DB1FD3" w:rsidRPr="00D32C7A" w:rsidRDefault="003542B0" w:rsidP="00DB1FD3">
      <w:pPr>
        <w:spacing w:after="0" w:line="276" w:lineRule="auto"/>
        <w:jc w:val="center"/>
        <w:rPr>
          <w:rFonts w:ascii="Verdana" w:eastAsia="Times New Roman" w:hAnsi="Verdana" w:cs="Arial"/>
          <w:color w:val="000000"/>
          <w:sz w:val="18"/>
          <w:szCs w:val="18"/>
          <w:lang w:val="es-ES" w:eastAsia="es-CO"/>
        </w:rPr>
      </w:pPr>
      <w:r w:rsidRPr="004D5C25">
        <w:rPr>
          <w:rFonts w:ascii="Century Gothic" w:hAnsi="Century Gothic"/>
          <w:noProof/>
        </w:rPr>
        <w:drawing>
          <wp:inline distT="0" distB="0" distL="0" distR="0" wp14:anchorId="4CB43D70" wp14:editId="4CB43D71">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0"/>
                    <a:stretch>
                      <a:fillRect/>
                    </a:stretch>
                  </pic:blipFill>
                  <pic:spPr>
                    <a:xfrm>
                      <a:off x="0" y="0"/>
                      <a:ext cx="3705742" cy="1590897"/>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DB1FD3" w:rsidRPr="00D32C7A" w14:paraId="4CB43D63" w14:textId="77777777" w:rsidTr="00C77973">
        <w:trPr>
          <w:trHeight w:val="409"/>
        </w:trPr>
        <w:tc>
          <w:tcPr>
            <w:tcW w:w="817" w:type="dxa"/>
            <w:tcBorders>
              <w:top w:val="nil"/>
              <w:left w:val="nil"/>
              <w:bottom w:val="nil"/>
              <w:right w:val="nil"/>
            </w:tcBorders>
            <w:vAlign w:val="center"/>
            <w:hideMark/>
          </w:tcPr>
          <w:p w14:paraId="4CB43D60" w14:textId="77777777" w:rsidR="00DB1FD3" w:rsidRPr="00D32C7A" w:rsidRDefault="00DB1FD3" w:rsidP="00C77973">
            <w:pPr>
              <w:spacing w:after="0"/>
              <w:jc w:val="both"/>
              <w:rPr>
                <w:rFonts w:ascii="Verdana" w:hAnsi="Verdana" w:cs="Arial"/>
                <w:sz w:val="16"/>
                <w:szCs w:val="16"/>
              </w:rPr>
            </w:pPr>
            <w:r w:rsidRPr="00D32C7A">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4CB43D61" w14:textId="77777777" w:rsidR="00DB1FD3" w:rsidRPr="00D32C7A" w:rsidRDefault="00DB1FD3" w:rsidP="00C77973">
            <w:pPr>
              <w:spacing w:after="0"/>
              <w:jc w:val="both"/>
              <w:rPr>
                <w:rFonts w:ascii="Verdana" w:hAnsi="Verdana" w:cs="Arial"/>
                <w:sz w:val="16"/>
                <w:szCs w:val="16"/>
              </w:rPr>
            </w:pPr>
            <w:proofErr w:type="spellStart"/>
            <w:r w:rsidRPr="00D32C7A">
              <w:rPr>
                <w:rFonts w:ascii="Verdana" w:hAnsi="Verdana" w:cs="Arial"/>
                <w:sz w:val="16"/>
                <w:szCs w:val="16"/>
              </w:rPr>
              <w:t>Jhonattan</w:t>
            </w:r>
            <w:proofErr w:type="spellEnd"/>
            <w:r w:rsidRPr="00D32C7A">
              <w:rPr>
                <w:rFonts w:ascii="Verdana" w:hAnsi="Verdana" w:cs="Arial"/>
                <w:sz w:val="16"/>
                <w:szCs w:val="16"/>
              </w:rPr>
              <w:t xml:space="preserve"> </w:t>
            </w:r>
            <w:proofErr w:type="spellStart"/>
            <w:r w:rsidRPr="00D32C7A">
              <w:rPr>
                <w:rFonts w:ascii="Verdana" w:hAnsi="Verdana" w:cs="Arial"/>
                <w:sz w:val="16"/>
                <w:szCs w:val="16"/>
              </w:rPr>
              <w:t>Gualdrón</w:t>
            </w:r>
            <w:proofErr w:type="spellEnd"/>
            <w:r w:rsidRPr="00D32C7A">
              <w:rPr>
                <w:rFonts w:ascii="Verdana" w:hAnsi="Verdana" w:cs="Arial"/>
                <w:sz w:val="16"/>
                <w:szCs w:val="16"/>
              </w:rPr>
              <w:t xml:space="preserve"> Salazar</w:t>
            </w:r>
          </w:p>
          <w:p w14:paraId="4CB43D62" w14:textId="77777777" w:rsidR="00DB1FD3" w:rsidRPr="00D32C7A" w:rsidRDefault="00DB1FD3" w:rsidP="00C77973">
            <w:pPr>
              <w:spacing w:after="0"/>
              <w:jc w:val="both"/>
              <w:rPr>
                <w:rFonts w:ascii="Verdana" w:hAnsi="Verdana" w:cs="Arial"/>
                <w:sz w:val="16"/>
                <w:szCs w:val="16"/>
              </w:rPr>
            </w:pPr>
            <w:r w:rsidRPr="00D32C7A">
              <w:rPr>
                <w:rFonts w:ascii="Verdana" w:hAnsi="Verdana" w:cs="Arial"/>
                <w:sz w:val="16"/>
                <w:szCs w:val="16"/>
              </w:rPr>
              <w:t>Contratista de la Subdirección de Gestión Contractual</w:t>
            </w:r>
          </w:p>
        </w:tc>
      </w:tr>
      <w:tr w:rsidR="00DB1FD3" w:rsidRPr="00D32C7A" w14:paraId="4CB43D67" w14:textId="77777777" w:rsidTr="00C77973">
        <w:trPr>
          <w:trHeight w:val="409"/>
        </w:trPr>
        <w:tc>
          <w:tcPr>
            <w:tcW w:w="817" w:type="dxa"/>
            <w:tcBorders>
              <w:top w:val="nil"/>
              <w:left w:val="nil"/>
              <w:right w:val="nil"/>
            </w:tcBorders>
            <w:vAlign w:val="center"/>
          </w:tcPr>
          <w:p w14:paraId="4CB43D64" w14:textId="77777777" w:rsidR="00DB1FD3" w:rsidRPr="00D32C7A" w:rsidRDefault="00DB1FD3" w:rsidP="00C77973">
            <w:pPr>
              <w:spacing w:after="0"/>
              <w:jc w:val="both"/>
              <w:rPr>
                <w:rFonts w:ascii="Verdana" w:hAnsi="Verdana" w:cs="Arial"/>
                <w:sz w:val="16"/>
                <w:szCs w:val="16"/>
              </w:rPr>
            </w:pPr>
            <w:r w:rsidRPr="00D32C7A">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4CB43D65" w14:textId="77777777" w:rsidR="00DB1FD3" w:rsidRDefault="00DB1FD3" w:rsidP="00C77973">
            <w:pPr>
              <w:spacing w:after="0"/>
              <w:jc w:val="both"/>
              <w:rPr>
                <w:rStyle w:val="normaltextrun"/>
                <w:rFonts w:ascii="Verdana" w:hAnsi="Verdana" w:cs="Segoe UI"/>
                <w:color w:val="000000" w:themeColor="text1"/>
                <w:sz w:val="16"/>
                <w:szCs w:val="16"/>
                <w:lang w:eastAsia="es-CO"/>
              </w:rPr>
            </w:pPr>
            <w:r w:rsidRPr="00F041E2">
              <w:rPr>
                <w:rStyle w:val="normaltextrun"/>
                <w:rFonts w:ascii="Verdana" w:hAnsi="Verdana" w:cs="Segoe UI"/>
                <w:color w:val="000000" w:themeColor="text1"/>
                <w:sz w:val="16"/>
                <w:szCs w:val="16"/>
                <w:lang w:eastAsia="es-CO"/>
              </w:rPr>
              <w:t xml:space="preserve">Adriana </w:t>
            </w:r>
            <w:proofErr w:type="spellStart"/>
            <w:r w:rsidRPr="00F041E2">
              <w:rPr>
                <w:rStyle w:val="normaltextrun"/>
                <w:rFonts w:ascii="Verdana" w:hAnsi="Verdana" w:cs="Segoe UI"/>
                <w:color w:val="000000" w:themeColor="text1"/>
                <w:sz w:val="16"/>
                <w:szCs w:val="16"/>
                <w:lang w:eastAsia="es-CO"/>
              </w:rPr>
              <w:t>Káterine</w:t>
            </w:r>
            <w:proofErr w:type="spellEnd"/>
            <w:r w:rsidRPr="00F041E2">
              <w:rPr>
                <w:rStyle w:val="normaltextrun"/>
                <w:rFonts w:ascii="Verdana" w:hAnsi="Verdana" w:cs="Segoe UI"/>
                <w:color w:val="000000" w:themeColor="text1"/>
                <w:sz w:val="16"/>
                <w:szCs w:val="16"/>
                <w:lang w:eastAsia="es-CO"/>
              </w:rPr>
              <w:t xml:space="preserve"> López Rodríguez </w:t>
            </w:r>
          </w:p>
          <w:p w14:paraId="4CB43D66" w14:textId="77777777" w:rsidR="00DB1FD3" w:rsidRPr="00D32C7A" w:rsidRDefault="00DB1FD3" w:rsidP="00C77973">
            <w:pPr>
              <w:spacing w:after="0"/>
              <w:jc w:val="both"/>
              <w:rPr>
                <w:rFonts w:ascii="Verdana" w:hAnsi="Verdana" w:cs="Arial"/>
                <w:sz w:val="16"/>
                <w:szCs w:val="16"/>
              </w:rPr>
            </w:pPr>
            <w:r w:rsidRPr="00D32C7A">
              <w:rPr>
                <w:rFonts w:ascii="Verdana" w:hAnsi="Verdana" w:cs="Arial"/>
                <w:sz w:val="16"/>
                <w:szCs w:val="16"/>
              </w:rPr>
              <w:t>Contratista de la Subdirección de Gestión Contractual</w:t>
            </w:r>
          </w:p>
        </w:tc>
      </w:tr>
      <w:tr w:rsidR="00DB1FD3" w:rsidRPr="00D32C7A" w14:paraId="4CB43D6B" w14:textId="77777777" w:rsidTr="00C77973">
        <w:trPr>
          <w:trHeight w:val="389"/>
        </w:trPr>
        <w:tc>
          <w:tcPr>
            <w:tcW w:w="817" w:type="dxa"/>
            <w:tcBorders>
              <w:top w:val="nil"/>
              <w:left w:val="nil"/>
              <w:bottom w:val="nil"/>
              <w:right w:val="nil"/>
            </w:tcBorders>
            <w:vAlign w:val="center"/>
            <w:hideMark/>
          </w:tcPr>
          <w:p w14:paraId="4CB43D68" w14:textId="77777777" w:rsidR="00DB1FD3" w:rsidRPr="00D32C7A" w:rsidRDefault="00DB1FD3" w:rsidP="00C77973">
            <w:pPr>
              <w:spacing w:after="0"/>
              <w:jc w:val="both"/>
              <w:rPr>
                <w:rFonts w:ascii="Verdana" w:hAnsi="Verdana" w:cs="Arial"/>
                <w:sz w:val="16"/>
                <w:szCs w:val="16"/>
              </w:rPr>
            </w:pPr>
            <w:r w:rsidRPr="00D32C7A">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4CB43D69" w14:textId="77777777" w:rsidR="00DB1FD3" w:rsidRPr="00D32C7A" w:rsidRDefault="00DB1FD3" w:rsidP="00C77973">
            <w:pPr>
              <w:spacing w:after="0"/>
              <w:rPr>
                <w:rFonts w:ascii="Verdana" w:eastAsia="Calibri" w:hAnsi="Verdana" w:cs="Arial"/>
                <w:sz w:val="16"/>
                <w:szCs w:val="16"/>
                <w:lang w:val="pt-BR" w:eastAsia="es-ES"/>
              </w:rPr>
            </w:pPr>
            <w:r w:rsidRPr="00D32C7A">
              <w:rPr>
                <w:rFonts w:ascii="Verdana" w:eastAsia="Calibri" w:hAnsi="Verdana" w:cs="Arial"/>
                <w:sz w:val="16"/>
                <w:szCs w:val="16"/>
                <w:lang w:val="pt-BR" w:eastAsia="es-ES"/>
              </w:rPr>
              <w:t>Carolina Quintero Gacharná</w:t>
            </w:r>
          </w:p>
          <w:p w14:paraId="4CB43D6A" w14:textId="77777777" w:rsidR="00DB1FD3" w:rsidRPr="00D32C7A" w:rsidRDefault="00DB1FD3" w:rsidP="00C77973">
            <w:pPr>
              <w:spacing w:after="0"/>
              <w:jc w:val="both"/>
              <w:rPr>
                <w:rFonts w:ascii="Verdana" w:hAnsi="Verdana" w:cs="Arial"/>
                <w:sz w:val="16"/>
                <w:szCs w:val="16"/>
              </w:rPr>
            </w:pPr>
            <w:r w:rsidRPr="00D32C7A">
              <w:rPr>
                <w:rFonts w:ascii="Verdana" w:hAnsi="Verdana" w:cs="Arial"/>
                <w:sz w:val="16"/>
                <w:szCs w:val="16"/>
              </w:rPr>
              <w:t>Subdirectora de Gestión Contractual ANCP – CCE</w:t>
            </w:r>
          </w:p>
        </w:tc>
      </w:tr>
    </w:tbl>
    <w:p w14:paraId="4CB43D6C" w14:textId="77777777" w:rsidR="00DB1FD3" w:rsidRPr="003E3627" w:rsidRDefault="00DB1FD3" w:rsidP="00DB1FD3">
      <w:pPr>
        <w:rPr>
          <w:lang w:val="es-ES"/>
        </w:rPr>
      </w:pPr>
    </w:p>
    <w:p w14:paraId="4CB43D6D" w14:textId="77777777" w:rsidR="009A6AF1" w:rsidRPr="00DB1FD3" w:rsidRDefault="009A6AF1" w:rsidP="00DB1FD3">
      <w:pPr>
        <w:rPr>
          <w:lang w:val="es-ES"/>
        </w:rPr>
      </w:pPr>
    </w:p>
    <w:sectPr w:rsidR="009A6AF1" w:rsidRPr="00DB1FD3" w:rsidSect="00A211EE">
      <w:headerReference w:type="default" r:id="rId21"/>
      <w:footerReference w:type="default" r:id="rId22"/>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43D74" w14:textId="77777777" w:rsidR="007A2808" w:rsidRDefault="007A2808" w:rsidP="00DF5579">
      <w:pPr>
        <w:spacing w:after="0" w:line="240" w:lineRule="auto"/>
      </w:pPr>
      <w:r>
        <w:separator/>
      </w:r>
    </w:p>
  </w:endnote>
  <w:endnote w:type="continuationSeparator" w:id="0">
    <w:p w14:paraId="4CB43D75" w14:textId="77777777" w:rsidR="007A2808" w:rsidRDefault="007A2808" w:rsidP="00DF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43D7D" w14:textId="77777777" w:rsidR="009A6AF1" w:rsidRDefault="009A6AF1" w:rsidP="00A211EE">
    <w:pPr>
      <w:spacing w:after="0"/>
      <w:rPr>
        <w:rFonts w:ascii="Verdana" w:hAnsi="Verdana"/>
        <w:b/>
        <w:bCs/>
        <w:sz w:val="20"/>
        <w:szCs w:val="20"/>
      </w:rPr>
    </w:pPr>
  </w:p>
  <w:p w14:paraId="4CB43D7E" w14:textId="77777777" w:rsidR="009A6AF1" w:rsidRPr="00174B77" w:rsidRDefault="00742583"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CB43D7F" w14:textId="77777777" w:rsidR="009A6AF1" w:rsidRDefault="00742583"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4CB43D80" w14:textId="77777777" w:rsidR="009A6AF1" w:rsidRPr="00E41027" w:rsidRDefault="00742583" w:rsidP="00A211EE">
    <w:pPr>
      <w:spacing w:after="0"/>
      <w:jc w:val="both"/>
      <w:rPr>
        <w:rFonts w:ascii="Verdana" w:hAnsi="Verdana"/>
        <w:sz w:val="18"/>
        <w:szCs w:val="18"/>
      </w:rPr>
    </w:pPr>
    <w:r w:rsidRPr="00E41027">
      <w:rPr>
        <w:rFonts w:ascii="Verdana" w:hAnsi="Verdana"/>
        <w:sz w:val="18"/>
        <w:szCs w:val="18"/>
      </w:rPr>
      <w:t>Mesa de servicio: (+57) 601 7456788</w:t>
    </w:r>
  </w:p>
  <w:p w14:paraId="4CB43D81" w14:textId="77777777" w:rsidR="009A6AF1" w:rsidRPr="00A211EE" w:rsidRDefault="00742583"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4CB43D82" w14:textId="77777777" w:rsidR="009A6AF1" w:rsidRDefault="009A6AF1" w:rsidP="00A211EE">
    <w:pPr>
      <w:pStyle w:val="Piedepgina"/>
    </w:pPr>
  </w:p>
  <w:p w14:paraId="4CB43D83" w14:textId="77777777" w:rsidR="009A6AF1" w:rsidRDefault="009A6A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43D72" w14:textId="77777777" w:rsidR="007A2808" w:rsidRDefault="007A2808" w:rsidP="00DF5579">
      <w:pPr>
        <w:spacing w:after="0" w:line="240" w:lineRule="auto"/>
      </w:pPr>
      <w:r>
        <w:separator/>
      </w:r>
    </w:p>
  </w:footnote>
  <w:footnote w:type="continuationSeparator" w:id="0">
    <w:p w14:paraId="4CB43D73" w14:textId="77777777" w:rsidR="007A2808" w:rsidRDefault="007A2808" w:rsidP="00DF5579">
      <w:pPr>
        <w:spacing w:after="0" w:line="240" w:lineRule="auto"/>
      </w:pPr>
      <w:r>
        <w:continuationSeparator/>
      </w:r>
    </w:p>
  </w:footnote>
  <w:footnote w:id="1">
    <w:p w14:paraId="4CB43D88" w14:textId="77777777" w:rsidR="00DB1FD3" w:rsidRPr="00DF5579" w:rsidRDefault="00DB1FD3" w:rsidP="00DB1FD3">
      <w:pPr>
        <w:pStyle w:val="Textonotapie"/>
        <w:spacing w:after="120"/>
        <w:ind w:firstLine="709"/>
        <w:jc w:val="both"/>
        <w:rPr>
          <w:rFonts w:ascii="Verdana" w:hAnsi="Verdana" w:cs="Arial"/>
          <w:color w:val="000000" w:themeColor="text1"/>
          <w:sz w:val="16"/>
          <w:szCs w:val="16"/>
          <w:lang w:val="es-CO"/>
        </w:rPr>
      </w:pPr>
      <w:r w:rsidRPr="00DF5579">
        <w:rPr>
          <w:rStyle w:val="Refdenotaalpie"/>
          <w:rFonts w:ascii="Verdana" w:hAnsi="Verdana" w:cs="Arial"/>
          <w:color w:val="000000" w:themeColor="text1"/>
          <w:sz w:val="16"/>
          <w:szCs w:val="16"/>
        </w:rPr>
        <w:footnoteRef/>
      </w:r>
      <w:r w:rsidRPr="00DF5579">
        <w:rPr>
          <w:rFonts w:ascii="Verdana" w:hAnsi="Verdana" w:cs="Arial"/>
          <w:color w:val="000000" w:themeColor="text1"/>
          <w:sz w:val="16"/>
          <w:szCs w:val="16"/>
        </w:rPr>
        <w:t xml:space="preserve"> Corte Constitucional. Sala Plena. Sentencia C 178 de 29 de abril de 1996. Magistrado Ponente: Antonio Barrera Carbonell. Expediente No. D-974. </w:t>
      </w:r>
    </w:p>
  </w:footnote>
  <w:footnote w:id="2">
    <w:p w14:paraId="4CB43D89" w14:textId="77777777" w:rsidR="00DB1FD3" w:rsidRPr="00DF5579" w:rsidRDefault="00DB1FD3" w:rsidP="00DB1FD3">
      <w:pPr>
        <w:spacing w:after="120" w:line="240" w:lineRule="auto"/>
        <w:ind w:firstLine="709"/>
        <w:jc w:val="both"/>
        <w:rPr>
          <w:rFonts w:ascii="Verdana" w:hAnsi="Verdana" w:cs="Arial"/>
          <w:color w:val="000000" w:themeColor="text1"/>
          <w:sz w:val="16"/>
          <w:szCs w:val="16"/>
        </w:rPr>
      </w:pPr>
    </w:p>
    <w:p w14:paraId="4CB43D8A" w14:textId="77777777" w:rsidR="00DB1FD3" w:rsidRPr="00DF5579" w:rsidRDefault="00DB1FD3" w:rsidP="00DB1FD3">
      <w:pPr>
        <w:spacing w:after="120" w:line="240" w:lineRule="auto"/>
        <w:ind w:firstLine="709"/>
        <w:jc w:val="both"/>
        <w:rPr>
          <w:rFonts w:ascii="Verdana" w:hAnsi="Verdana" w:cs="Arial"/>
          <w:color w:val="000000" w:themeColor="text1"/>
          <w:sz w:val="16"/>
          <w:szCs w:val="16"/>
        </w:rPr>
      </w:pPr>
      <w:r w:rsidRPr="00DF5579">
        <w:rPr>
          <w:rStyle w:val="Refdenotaalpie"/>
          <w:rFonts w:ascii="Verdana" w:hAnsi="Verdana" w:cs="Arial"/>
          <w:color w:val="000000" w:themeColor="text1"/>
          <w:sz w:val="16"/>
          <w:szCs w:val="16"/>
        </w:rPr>
        <w:footnoteRef/>
      </w:r>
      <w:r w:rsidRPr="00DF5579">
        <w:rPr>
          <w:rFonts w:ascii="Verdana" w:hAnsi="Verdana" w:cs="Arial"/>
          <w:color w:val="000000" w:themeColor="text1"/>
          <w:sz w:val="16"/>
          <w:szCs w:val="16"/>
        </w:rPr>
        <w:t xml:space="preserve"> “Artículo 6o. De la capacidad para contratar. Pueden celebrar contratos con las entidades estatales las personas consideradas legalmente capaces en las disposiciones vigentes”.</w:t>
      </w:r>
    </w:p>
    <w:p w14:paraId="4CB43D8B" w14:textId="77777777" w:rsidR="00DB1FD3" w:rsidRPr="00DF5579" w:rsidRDefault="00DB1FD3" w:rsidP="00DB1FD3">
      <w:pPr>
        <w:pStyle w:val="Textonotapie"/>
        <w:spacing w:after="120"/>
        <w:ind w:firstLine="709"/>
        <w:jc w:val="both"/>
        <w:rPr>
          <w:rFonts w:ascii="Verdana" w:hAnsi="Verdana" w:cs="Arial"/>
          <w:color w:val="000000" w:themeColor="text1"/>
          <w:sz w:val="16"/>
          <w:szCs w:val="16"/>
        </w:rPr>
      </w:pPr>
    </w:p>
  </w:footnote>
  <w:footnote w:id="3">
    <w:p w14:paraId="4CB43D8C" w14:textId="77777777" w:rsidR="00DB1FD3" w:rsidRPr="00DF5579" w:rsidRDefault="00DB1FD3" w:rsidP="00DB1FD3">
      <w:pPr>
        <w:pStyle w:val="Default"/>
        <w:spacing w:after="120"/>
        <w:ind w:firstLine="708"/>
        <w:jc w:val="both"/>
        <w:rPr>
          <w:rFonts w:ascii="Verdana" w:hAnsi="Verdana"/>
          <w:color w:val="000000" w:themeColor="text1"/>
          <w:sz w:val="16"/>
          <w:szCs w:val="16"/>
        </w:rPr>
      </w:pPr>
      <w:r w:rsidRPr="00DF5579">
        <w:rPr>
          <w:rStyle w:val="Refdenotaalpie"/>
          <w:rFonts w:ascii="Verdana" w:hAnsi="Verdana"/>
          <w:color w:val="000000" w:themeColor="text1"/>
          <w:sz w:val="16"/>
          <w:szCs w:val="16"/>
        </w:rPr>
        <w:footnoteRef/>
      </w:r>
      <w:r w:rsidRPr="00DF5579">
        <w:rPr>
          <w:rFonts w:ascii="Verdana" w:hAnsi="Verdana"/>
          <w:color w:val="000000" w:themeColor="text1"/>
          <w:sz w:val="16"/>
          <w:szCs w:val="16"/>
        </w:rPr>
        <w:t xml:space="preserve"> “Artículo 100: Asimilación a sociedades comerciales - legislación mercantil.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w:t>
      </w:r>
    </w:p>
    <w:p w14:paraId="4CB43D8D" w14:textId="77777777" w:rsidR="00DB1FD3" w:rsidRPr="00DF5579" w:rsidRDefault="00DB1FD3" w:rsidP="00DB1FD3">
      <w:pPr>
        <w:pStyle w:val="Textonotapie"/>
        <w:spacing w:before="120" w:after="120"/>
        <w:ind w:firstLine="709"/>
        <w:jc w:val="both"/>
        <w:rPr>
          <w:rFonts w:ascii="Verdana" w:hAnsi="Verdana" w:cs="Arial"/>
          <w:color w:val="000000" w:themeColor="text1"/>
          <w:sz w:val="16"/>
          <w:szCs w:val="16"/>
        </w:rPr>
      </w:pPr>
      <w:r w:rsidRPr="00DF5579">
        <w:rPr>
          <w:rFonts w:ascii="Verdana" w:hAnsi="Verdana" w:cs="Arial"/>
          <w:color w:val="000000" w:themeColor="text1"/>
          <w:sz w:val="16"/>
          <w:szCs w:val="16"/>
        </w:rPr>
        <w:t>Sin embargo, cualquiera que sea su objeto, las sociedades comerciales y civiles estarán sujetas, para todos los efectos, a la legislación mercantil”.</w:t>
      </w:r>
    </w:p>
  </w:footnote>
  <w:footnote w:id="4">
    <w:p w14:paraId="4CB43D8E" w14:textId="77777777" w:rsidR="00DB1FD3" w:rsidRPr="00DF5579" w:rsidRDefault="00DB1FD3" w:rsidP="00DB1FD3">
      <w:pPr>
        <w:pStyle w:val="Textonotapie"/>
        <w:spacing w:after="120"/>
        <w:ind w:firstLine="709"/>
        <w:jc w:val="both"/>
        <w:rPr>
          <w:rFonts w:ascii="Verdana" w:hAnsi="Verdana" w:cs="Arial"/>
          <w:sz w:val="16"/>
          <w:szCs w:val="16"/>
        </w:rPr>
      </w:pPr>
      <w:r w:rsidRPr="00DF5579">
        <w:rPr>
          <w:rStyle w:val="Refdenotaalpie"/>
          <w:rFonts w:ascii="Verdana" w:hAnsi="Verdana" w:cs="Arial"/>
          <w:sz w:val="16"/>
          <w:szCs w:val="16"/>
        </w:rPr>
        <w:footnoteRef/>
      </w:r>
      <w:r w:rsidRPr="00DF5579">
        <w:rPr>
          <w:rFonts w:ascii="Verdana" w:hAnsi="Verdana" w:cs="Arial"/>
          <w:sz w:val="16"/>
          <w:szCs w:val="16"/>
        </w:rPr>
        <w:t xml:space="preserve"> Ley 1450 de 2011. “Artículo 43. Definiciones de tamaño empresarial. El artículo 2° de la Ley 590 de 2000, quedará así: </w:t>
      </w:r>
    </w:p>
    <w:p w14:paraId="4CB43D8F" w14:textId="77777777" w:rsidR="00DB1FD3" w:rsidRPr="00DF5579" w:rsidRDefault="00DB1FD3" w:rsidP="00DB1FD3">
      <w:pPr>
        <w:pStyle w:val="Textonotapie"/>
        <w:spacing w:before="120" w:after="120"/>
        <w:ind w:firstLine="708"/>
        <w:jc w:val="both"/>
        <w:rPr>
          <w:rFonts w:ascii="Verdana" w:hAnsi="Verdana" w:cs="Arial"/>
          <w:sz w:val="16"/>
          <w:szCs w:val="16"/>
        </w:rPr>
      </w:pPr>
      <w:r w:rsidRPr="00DF5579">
        <w:rPr>
          <w:rFonts w:ascii="Verdana" w:hAnsi="Verdana" w:cs="Arial"/>
          <w:sz w:val="16"/>
          <w:szCs w:val="16"/>
        </w:rPr>
        <w:t xml:space="preserve">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w:t>
      </w:r>
    </w:p>
    <w:p w14:paraId="4CB43D90" w14:textId="77777777" w:rsidR="00DB1FD3" w:rsidRPr="00DF5579" w:rsidRDefault="00DB1FD3" w:rsidP="00DB1FD3">
      <w:pPr>
        <w:pStyle w:val="Textonotapie"/>
        <w:spacing w:before="120" w:after="120"/>
        <w:ind w:firstLine="708"/>
        <w:jc w:val="both"/>
        <w:rPr>
          <w:rFonts w:ascii="Verdana" w:hAnsi="Verdana" w:cs="Arial"/>
          <w:sz w:val="16"/>
          <w:szCs w:val="16"/>
        </w:rPr>
      </w:pPr>
      <w:r w:rsidRPr="00DF5579">
        <w:rPr>
          <w:rFonts w:ascii="Verdana" w:hAnsi="Verdana" w:cs="Arial"/>
          <w:sz w:val="16"/>
          <w:szCs w:val="16"/>
        </w:rPr>
        <w:t xml:space="preserve">1. Número de trabajadores totales. </w:t>
      </w:r>
    </w:p>
    <w:p w14:paraId="4CB43D91" w14:textId="77777777" w:rsidR="00DB1FD3" w:rsidRPr="00DF5579" w:rsidRDefault="00DB1FD3" w:rsidP="00DB1FD3">
      <w:pPr>
        <w:pStyle w:val="Textonotapie"/>
        <w:spacing w:before="120" w:after="120"/>
        <w:jc w:val="both"/>
        <w:rPr>
          <w:rFonts w:ascii="Verdana" w:hAnsi="Verdana" w:cs="Arial"/>
          <w:sz w:val="16"/>
          <w:szCs w:val="16"/>
        </w:rPr>
      </w:pPr>
      <w:r w:rsidRPr="00DF5579">
        <w:rPr>
          <w:rFonts w:ascii="Verdana" w:hAnsi="Verdana" w:cs="Arial"/>
          <w:sz w:val="16"/>
          <w:szCs w:val="16"/>
        </w:rPr>
        <w:t xml:space="preserve"> </w:t>
      </w:r>
      <w:r w:rsidRPr="00DF5579">
        <w:rPr>
          <w:rFonts w:ascii="Verdana" w:hAnsi="Verdana" w:cs="Arial"/>
          <w:sz w:val="16"/>
          <w:szCs w:val="16"/>
        </w:rPr>
        <w:tab/>
        <w:t xml:space="preserve">2. Valor de ventas brutas anuales. </w:t>
      </w:r>
    </w:p>
    <w:p w14:paraId="4CB43D92" w14:textId="77777777" w:rsidR="00DB1FD3" w:rsidRPr="00DF5579" w:rsidRDefault="00DB1FD3" w:rsidP="00DB1FD3">
      <w:pPr>
        <w:pStyle w:val="Textonotapie"/>
        <w:spacing w:before="120" w:after="120"/>
        <w:ind w:firstLine="708"/>
        <w:jc w:val="both"/>
        <w:rPr>
          <w:rFonts w:ascii="Verdana" w:hAnsi="Verdana" w:cs="Arial"/>
          <w:sz w:val="16"/>
          <w:szCs w:val="16"/>
        </w:rPr>
      </w:pPr>
      <w:r w:rsidRPr="00DF5579">
        <w:rPr>
          <w:rFonts w:ascii="Verdana" w:hAnsi="Verdana" w:cs="Arial"/>
          <w:sz w:val="16"/>
          <w:szCs w:val="16"/>
        </w:rPr>
        <w:t xml:space="preserve"> 3. Valor activos totales. </w:t>
      </w:r>
    </w:p>
    <w:p w14:paraId="4CB43D93" w14:textId="77777777" w:rsidR="00DB1FD3" w:rsidRPr="00DF5579" w:rsidRDefault="00DB1FD3" w:rsidP="00DB1FD3">
      <w:pPr>
        <w:pStyle w:val="Textonotapie"/>
        <w:spacing w:before="120" w:after="120"/>
        <w:ind w:firstLine="708"/>
        <w:jc w:val="both"/>
        <w:rPr>
          <w:rFonts w:ascii="Verdana" w:hAnsi="Verdana" w:cs="Arial"/>
          <w:sz w:val="16"/>
          <w:szCs w:val="16"/>
        </w:rPr>
      </w:pPr>
      <w:r w:rsidRPr="00DF5579">
        <w:rPr>
          <w:rFonts w:ascii="Verdana" w:hAnsi="Verdana" w:cs="Arial"/>
          <w:sz w:val="16"/>
          <w:szCs w:val="16"/>
        </w:rPr>
        <w:t xml:space="preserve">Para efectos de los beneficios otorgados por el Gobierno nacional a las micro, pequeñas y medianas empresas el criterio determinante será el valor de ventas brutas anuales. </w:t>
      </w:r>
    </w:p>
    <w:p w14:paraId="4CB43D94" w14:textId="77777777" w:rsidR="00DB1FD3" w:rsidRPr="00DF5579" w:rsidRDefault="00DB1FD3" w:rsidP="00DB1FD3">
      <w:pPr>
        <w:pStyle w:val="Textonotapie"/>
        <w:spacing w:before="120" w:after="120"/>
        <w:ind w:firstLine="708"/>
        <w:jc w:val="both"/>
        <w:rPr>
          <w:rFonts w:ascii="Verdana" w:hAnsi="Verdana" w:cs="Arial"/>
          <w:sz w:val="16"/>
          <w:szCs w:val="16"/>
        </w:rPr>
      </w:pPr>
      <w:r w:rsidRPr="00DF5579">
        <w:rPr>
          <w:rFonts w:ascii="Verdana" w:hAnsi="Verdana" w:cs="Arial"/>
          <w:sz w:val="16"/>
          <w:szCs w:val="16"/>
        </w:rPr>
        <w:t xml:space="preserve">Parágrafo 1°. El Gobierno Nacional reglamentará los rangos que aplicarán para los tres criterios e incluirá especificidades sectoriales en los casos que considere necesario. </w:t>
      </w:r>
    </w:p>
    <w:p w14:paraId="4CB43D95" w14:textId="77777777" w:rsidR="00DB1FD3" w:rsidRPr="00DF5579" w:rsidRDefault="00DB1FD3" w:rsidP="00DB1FD3">
      <w:pPr>
        <w:pStyle w:val="Textonotapie"/>
        <w:spacing w:before="120" w:after="120"/>
        <w:ind w:firstLine="708"/>
        <w:jc w:val="both"/>
        <w:rPr>
          <w:rFonts w:ascii="Verdana" w:hAnsi="Verdana" w:cs="Arial"/>
          <w:sz w:val="16"/>
          <w:szCs w:val="16"/>
        </w:rPr>
      </w:pPr>
      <w:r w:rsidRPr="00DF5579">
        <w:rPr>
          <w:rFonts w:ascii="Verdana" w:hAnsi="Verdana" w:cs="Arial"/>
          <w:sz w:val="16"/>
          <w:szCs w:val="16"/>
        </w:rPr>
        <w:t>Parágrafo 2°. Las definiciones contenidas en el artículo 2° de la Ley 590 de 2000 continuarán vigentes hasta tanto entren a regir las normas reglamentarias que profiera el Gobierno Nacional en desarrollo de lo previsto en el presente artículo”.</w:t>
      </w:r>
    </w:p>
    <w:p w14:paraId="4CB43D96" w14:textId="77777777" w:rsidR="00DB1FD3" w:rsidRPr="00DF5579" w:rsidRDefault="00DB1FD3" w:rsidP="00DB1FD3">
      <w:pPr>
        <w:pStyle w:val="Textonotapie"/>
        <w:spacing w:before="120" w:after="120"/>
        <w:ind w:firstLine="708"/>
        <w:jc w:val="both"/>
        <w:rPr>
          <w:rFonts w:ascii="Verdana" w:hAnsi="Verdana" w:cs="Arial"/>
          <w:sz w:val="16"/>
          <w:szCs w:val="16"/>
          <w:lang w:val="es-CO"/>
        </w:rPr>
      </w:pPr>
    </w:p>
  </w:footnote>
  <w:footnote w:id="5">
    <w:p w14:paraId="4CB43D97" w14:textId="77777777" w:rsidR="00DB1FD3" w:rsidRPr="00DF5579" w:rsidRDefault="00DB1FD3" w:rsidP="00DB1FD3">
      <w:pPr>
        <w:pStyle w:val="Textonotapie"/>
        <w:spacing w:after="120"/>
        <w:ind w:firstLine="708"/>
        <w:jc w:val="both"/>
        <w:rPr>
          <w:rFonts w:ascii="Verdana" w:hAnsi="Verdana" w:cs="Arial"/>
          <w:color w:val="000000" w:themeColor="text1"/>
          <w:sz w:val="16"/>
          <w:szCs w:val="16"/>
        </w:rPr>
      </w:pPr>
      <w:r w:rsidRPr="00DF5579">
        <w:rPr>
          <w:rStyle w:val="Refdenotaalpie"/>
          <w:rFonts w:ascii="Verdana" w:hAnsi="Verdana" w:cs="Arial"/>
          <w:color w:val="000000" w:themeColor="text1"/>
          <w:sz w:val="16"/>
          <w:szCs w:val="16"/>
        </w:rPr>
        <w:footnoteRef/>
      </w:r>
      <w:r w:rsidRPr="00DF5579">
        <w:rPr>
          <w:rFonts w:ascii="Verdana" w:hAnsi="Verdana" w:cs="Arial"/>
          <w:color w:val="000000" w:themeColor="text1"/>
          <w:sz w:val="16"/>
          <w:szCs w:val="16"/>
        </w:rPr>
        <w:t xml:space="preserve"> BARRERO BUITRAGO, Álvaro. Manual para el establecimiento de sociedades (4ta. ed.). Editorial Librería del Profesional. Bogotá. 2006. p. 21. Allí se lee, en relación con el requisito que deben cumplir las sociedades comerciales sobre el ánimo de lucro, lo siguiente: “esta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p>
  </w:footnote>
  <w:footnote w:id="6">
    <w:p w14:paraId="4CB43D98" w14:textId="77777777" w:rsidR="00DB1FD3" w:rsidRPr="00DF5579" w:rsidRDefault="00DB1FD3" w:rsidP="00DB1FD3">
      <w:pPr>
        <w:pStyle w:val="Textonotapie"/>
        <w:spacing w:after="120"/>
        <w:ind w:firstLine="708"/>
        <w:jc w:val="both"/>
        <w:rPr>
          <w:rFonts w:ascii="Verdana" w:hAnsi="Verdana" w:cs="Arial"/>
          <w:color w:val="000000" w:themeColor="text1"/>
          <w:sz w:val="16"/>
          <w:szCs w:val="16"/>
        </w:rPr>
      </w:pPr>
      <w:r w:rsidRPr="00DF5579">
        <w:rPr>
          <w:rStyle w:val="Refdenotaalpie"/>
          <w:rFonts w:ascii="Verdana" w:hAnsi="Verdana" w:cs="Arial"/>
          <w:color w:val="000000" w:themeColor="text1"/>
          <w:sz w:val="16"/>
          <w:szCs w:val="16"/>
        </w:rPr>
        <w:footnoteRef/>
      </w:r>
      <w:r w:rsidRPr="00DF5579">
        <w:rPr>
          <w:rFonts w:ascii="Verdana" w:hAnsi="Verdana" w:cs="Arial"/>
          <w:color w:val="000000" w:themeColor="text1"/>
          <w:sz w:val="16"/>
          <w:szCs w:val="16"/>
        </w:rPr>
        <w:t xml:space="preserve"> TORRENTE BAYONA, César y BUSTAMANTE, Luis Eduardo. Las entidades sin ánimo de lucro (3ª Ed.). Editado por la Cámara de Comercio de Bogotá.  Bogotá. 2000, p. 33. Allí se lee: “Las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p>
    <w:p w14:paraId="4CB43D99" w14:textId="77777777" w:rsidR="00DB1FD3" w:rsidRPr="00DF5579" w:rsidRDefault="00DB1FD3" w:rsidP="00DB1FD3">
      <w:pPr>
        <w:pStyle w:val="Textonotapie"/>
        <w:spacing w:before="120" w:after="120"/>
        <w:ind w:firstLine="709"/>
        <w:jc w:val="both"/>
        <w:rPr>
          <w:rFonts w:ascii="Verdana" w:hAnsi="Verdana" w:cs="Arial"/>
          <w:color w:val="000000" w:themeColor="text1"/>
          <w:sz w:val="16"/>
          <w:szCs w:val="16"/>
        </w:rPr>
      </w:pPr>
      <w:r w:rsidRPr="00DF5579">
        <w:rPr>
          <w:rFonts w:ascii="Verdana" w:hAnsi="Verdana" w:cs="Arial"/>
          <w:color w:val="000000" w:themeColor="text1"/>
          <w:sz w:val="16"/>
          <w:szCs w:val="16"/>
        </w:rPr>
        <w:t>La ausencia de lucro es una de sus características fundamentales, lo cual significa que no existe el reparto de utilidades o remanentes generados en el desarrollo de sus objetivos, ni es viable el reembolso de los bienes o dineros aportados a la entidad (…)”.</w:t>
      </w:r>
    </w:p>
  </w:footnote>
  <w:footnote w:id="7">
    <w:p w14:paraId="4CB43D9A" w14:textId="77777777" w:rsidR="00DB1FD3" w:rsidRPr="00DF5579" w:rsidRDefault="00DB1FD3" w:rsidP="00DB1FD3">
      <w:pPr>
        <w:pStyle w:val="Textonotapie"/>
        <w:spacing w:after="120"/>
        <w:ind w:firstLine="708"/>
        <w:rPr>
          <w:rFonts w:ascii="Verdana" w:hAnsi="Verdana"/>
          <w:sz w:val="16"/>
          <w:szCs w:val="16"/>
          <w:lang w:val="es-ES"/>
        </w:rPr>
      </w:pPr>
      <w:r w:rsidRPr="00DF5579">
        <w:rPr>
          <w:rStyle w:val="Refdenotaalpie"/>
          <w:rFonts w:ascii="Verdana" w:hAnsi="Verdana"/>
          <w:sz w:val="16"/>
          <w:szCs w:val="16"/>
        </w:rPr>
        <w:footnoteRef/>
      </w:r>
      <w:r w:rsidRPr="00DF5579">
        <w:rPr>
          <w:rFonts w:ascii="Verdana" w:hAnsi="Verdana"/>
          <w:sz w:val="16"/>
          <w:szCs w:val="16"/>
        </w:rPr>
        <w:t xml:space="preserve"> Artículo 98 C.Co “</w:t>
      </w:r>
      <w:r w:rsidRPr="00DF5579">
        <w:rPr>
          <w:rFonts w:ascii="Verdana" w:hAnsi="Verdana"/>
          <w:sz w:val="16"/>
          <w:szCs w:val="16"/>
          <w:lang w:val="es-CO"/>
        </w:rPr>
        <w:t>Por el contrato de sociedad dos o más personas se obligan a hacer un aporte en dinero, en trabajo o en otros bienes apreciables en dinero, con el fin de repartirse entre sí las utilidades obtenidas en la empresa o actividad social”.</w:t>
      </w:r>
    </w:p>
  </w:footnote>
  <w:footnote w:id="8">
    <w:p w14:paraId="4CB43D9B" w14:textId="77777777" w:rsidR="00DB1FD3" w:rsidRPr="00DF5579" w:rsidRDefault="00DB1FD3" w:rsidP="00DB1FD3">
      <w:pPr>
        <w:pStyle w:val="Textonotapie"/>
        <w:spacing w:after="120"/>
        <w:ind w:firstLine="708"/>
        <w:jc w:val="both"/>
        <w:rPr>
          <w:rFonts w:ascii="Verdana" w:hAnsi="Verdana" w:cs="Arial"/>
          <w:color w:val="000000" w:themeColor="text1"/>
          <w:sz w:val="16"/>
          <w:szCs w:val="16"/>
        </w:rPr>
      </w:pPr>
      <w:r w:rsidRPr="00DF5579">
        <w:rPr>
          <w:rStyle w:val="Refdenotaalpie"/>
          <w:rFonts w:ascii="Verdana" w:hAnsi="Verdana" w:cs="Arial"/>
          <w:color w:val="000000" w:themeColor="text1"/>
          <w:sz w:val="16"/>
          <w:szCs w:val="16"/>
        </w:rPr>
        <w:footnoteRef/>
      </w:r>
      <w:r w:rsidRPr="00DF5579">
        <w:rPr>
          <w:rFonts w:ascii="Verdana" w:hAnsi="Verdana" w:cs="Arial"/>
          <w:color w:val="000000" w:themeColor="text1"/>
          <w:sz w:val="16"/>
          <w:szCs w:val="16"/>
        </w:rPr>
        <w:t xml:space="preserve"> Corte Constitucional. Sentencia C-287 de 2012. </w:t>
      </w:r>
      <w:bookmarkStart w:id="1" w:name="_Hlk173274364"/>
      <w:r w:rsidRPr="00DF5579">
        <w:rPr>
          <w:rFonts w:ascii="Verdana" w:hAnsi="Verdana" w:cs="Arial"/>
          <w:color w:val="000000" w:themeColor="text1"/>
          <w:sz w:val="16"/>
          <w:szCs w:val="16"/>
        </w:rPr>
        <w:t>M.P. María Victoria Calle.</w:t>
      </w:r>
      <w:bookmarkEnd w:id="1"/>
    </w:p>
  </w:footnote>
  <w:footnote w:id="9">
    <w:p w14:paraId="4CB43D9C" w14:textId="77777777" w:rsidR="00DB1FD3" w:rsidRPr="00DF5579" w:rsidRDefault="00DB1FD3" w:rsidP="00DB1FD3">
      <w:pPr>
        <w:pStyle w:val="Textonotapie"/>
        <w:spacing w:after="120"/>
        <w:ind w:firstLine="708"/>
        <w:jc w:val="both"/>
        <w:rPr>
          <w:rFonts w:ascii="Verdana" w:hAnsi="Verdana" w:cs="Arial"/>
          <w:color w:val="000000" w:themeColor="text1"/>
          <w:sz w:val="16"/>
          <w:szCs w:val="16"/>
        </w:rPr>
      </w:pPr>
      <w:r w:rsidRPr="00DF5579">
        <w:rPr>
          <w:rStyle w:val="Refdenotaalpie"/>
          <w:rFonts w:ascii="Verdana" w:hAnsi="Verdana" w:cs="Arial"/>
          <w:color w:val="000000" w:themeColor="text1"/>
          <w:sz w:val="16"/>
          <w:szCs w:val="16"/>
        </w:rPr>
        <w:footnoteRef/>
      </w:r>
      <w:r w:rsidRPr="00DF5579">
        <w:rPr>
          <w:rFonts w:ascii="Verdana" w:hAnsi="Verdana" w:cs="Arial"/>
          <w:color w:val="000000" w:themeColor="text1"/>
          <w:sz w:val="16"/>
          <w:szCs w:val="16"/>
        </w:rPr>
        <w:t xml:space="preserve"> Consejo de Estado, Sección Cuarta. Providencia del 26 de octubre de 2009. Exp. No. 25000-23-27-000-2007-00160-01(17200). M.P. Martha Teresa Briceño de Valencia.</w:t>
      </w:r>
    </w:p>
  </w:footnote>
  <w:footnote w:id="10">
    <w:p w14:paraId="4CB43D9D" w14:textId="77777777" w:rsidR="00DB1FD3" w:rsidRPr="00DF5579" w:rsidRDefault="00DB1FD3" w:rsidP="00DB1FD3">
      <w:pPr>
        <w:pStyle w:val="Textonotapie"/>
        <w:spacing w:after="120"/>
        <w:ind w:firstLine="709"/>
        <w:jc w:val="both"/>
        <w:rPr>
          <w:rFonts w:ascii="Verdana" w:hAnsi="Verdana" w:cs="Arial"/>
          <w:color w:val="000000" w:themeColor="text1"/>
          <w:sz w:val="16"/>
          <w:szCs w:val="16"/>
          <w:lang w:val="es-CO"/>
        </w:rPr>
      </w:pPr>
      <w:r w:rsidRPr="00DF5579">
        <w:rPr>
          <w:rStyle w:val="Refdenotaalpie"/>
          <w:rFonts w:ascii="Verdana" w:hAnsi="Verdana" w:cs="Arial"/>
          <w:color w:val="000000" w:themeColor="text1"/>
          <w:sz w:val="16"/>
          <w:szCs w:val="16"/>
        </w:rPr>
        <w:footnoteRef/>
      </w:r>
      <w:r w:rsidRPr="00DF5579">
        <w:rPr>
          <w:rFonts w:ascii="Verdana" w:hAnsi="Verdana" w:cs="Arial"/>
          <w:color w:val="000000" w:themeColor="text1"/>
          <w:sz w:val="16"/>
          <w:szCs w:val="16"/>
        </w:rPr>
        <w:t xml:space="preserve"> Corte Constitucional. Sala Plena. Sentencia C 178 de 29 de abril de 1996. Magistrado Ponente: Antonio Barrera Carbonell. Expediente No. D-974. </w:t>
      </w:r>
    </w:p>
  </w:footnote>
  <w:footnote w:id="11">
    <w:p w14:paraId="4CB43D9E" w14:textId="77777777" w:rsidR="00DB1FD3" w:rsidRPr="00DF5579" w:rsidRDefault="00DB1FD3" w:rsidP="00DB1FD3">
      <w:pPr>
        <w:spacing w:after="120" w:line="240" w:lineRule="auto"/>
        <w:ind w:firstLine="709"/>
        <w:jc w:val="both"/>
        <w:rPr>
          <w:rFonts w:ascii="Verdana" w:hAnsi="Verdana" w:cs="Arial"/>
          <w:color w:val="000000" w:themeColor="text1"/>
          <w:sz w:val="16"/>
          <w:szCs w:val="16"/>
        </w:rPr>
      </w:pPr>
    </w:p>
    <w:p w14:paraId="4CB43D9F" w14:textId="77777777" w:rsidR="00DB1FD3" w:rsidRPr="00DF5579" w:rsidRDefault="00DB1FD3" w:rsidP="00DB1FD3">
      <w:pPr>
        <w:spacing w:after="120" w:line="240" w:lineRule="auto"/>
        <w:ind w:firstLine="709"/>
        <w:jc w:val="both"/>
        <w:rPr>
          <w:rFonts w:ascii="Verdana" w:hAnsi="Verdana" w:cs="Arial"/>
          <w:color w:val="000000" w:themeColor="text1"/>
          <w:sz w:val="16"/>
          <w:szCs w:val="16"/>
        </w:rPr>
      </w:pPr>
      <w:r w:rsidRPr="00DF5579">
        <w:rPr>
          <w:rStyle w:val="Refdenotaalpie"/>
          <w:rFonts w:ascii="Verdana" w:hAnsi="Verdana" w:cs="Arial"/>
          <w:color w:val="000000" w:themeColor="text1"/>
          <w:sz w:val="16"/>
          <w:szCs w:val="16"/>
        </w:rPr>
        <w:footnoteRef/>
      </w:r>
      <w:r w:rsidRPr="00DF5579">
        <w:rPr>
          <w:rFonts w:ascii="Verdana" w:hAnsi="Verdana" w:cs="Arial"/>
          <w:color w:val="000000" w:themeColor="text1"/>
          <w:sz w:val="16"/>
          <w:szCs w:val="16"/>
        </w:rPr>
        <w:t xml:space="preserve"> “Artículo 6o. De la capacidad para contratar. Pueden celebrar contratos con las entidades estatales las personas consideradas legalmente capaces en las disposiciones vigentes”.</w:t>
      </w:r>
    </w:p>
    <w:p w14:paraId="4CB43DA0" w14:textId="77777777" w:rsidR="00DB1FD3" w:rsidRPr="00DF5579" w:rsidRDefault="00DB1FD3" w:rsidP="00DB1FD3">
      <w:pPr>
        <w:pStyle w:val="Textonotapie"/>
        <w:spacing w:after="120"/>
        <w:ind w:firstLine="709"/>
        <w:jc w:val="both"/>
        <w:rPr>
          <w:rFonts w:ascii="Verdana" w:hAnsi="Verdana" w:cs="Arial"/>
          <w:color w:val="000000" w:themeColor="text1"/>
          <w:sz w:val="16"/>
          <w:szCs w:val="16"/>
        </w:rPr>
      </w:pPr>
    </w:p>
  </w:footnote>
  <w:footnote w:id="12">
    <w:p w14:paraId="4CB43DA1" w14:textId="77777777" w:rsidR="00DB1FD3" w:rsidRPr="00DF5579" w:rsidRDefault="00DB1FD3" w:rsidP="00DB1FD3">
      <w:pPr>
        <w:spacing w:before="87" w:after="120" w:line="254" w:lineRule="auto"/>
        <w:ind w:left="300" w:right="292" w:firstLine="707"/>
        <w:jc w:val="both"/>
        <w:rPr>
          <w:rFonts w:ascii="Verdana" w:hAnsi="Verdana"/>
          <w:sz w:val="16"/>
          <w:szCs w:val="16"/>
        </w:rPr>
      </w:pPr>
      <w:r w:rsidRPr="00DF5579">
        <w:rPr>
          <w:rStyle w:val="Refdenotaalpie"/>
          <w:rFonts w:ascii="Verdana" w:hAnsi="Verdana"/>
          <w:sz w:val="16"/>
          <w:szCs w:val="16"/>
        </w:rPr>
        <w:footnoteRef/>
      </w:r>
      <w:r w:rsidRPr="00DF5579">
        <w:rPr>
          <w:rFonts w:ascii="Verdana" w:hAnsi="Verdana"/>
          <w:sz w:val="16"/>
          <w:szCs w:val="16"/>
        </w:rPr>
        <w:t xml:space="preserve"> Consejo de Estado. Sección Tercera, Sentencia del 19 de julio de 2001, C.P. Alier Eduardo Hernández Enríquez. Rad. 1996-3771-01 (12.037).</w:t>
      </w:r>
    </w:p>
    <w:p w14:paraId="4CB43DA2" w14:textId="77777777" w:rsidR="00DB1FD3" w:rsidRPr="0047173C" w:rsidRDefault="00DB1FD3" w:rsidP="00DB1FD3">
      <w:pPr>
        <w:pStyle w:val="Textonotapie"/>
        <w:ind w:left="300"/>
        <w:jc w:val="both"/>
        <w:rPr>
          <w:rFonts w:ascii="Verdana" w:hAnsi="Verdana"/>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43D76" w14:textId="77777777" w:rsidR="009A6AF1" w:rsidRDefault="00742583">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4CB43D84" wp14:editId="4CB43D85">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CB43D86" wp14:editId="4CB43D8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CB43D77" w14:textId="77777777" w:rsidR="009A6AF1" w:rsidRDefault="009A6AF1" w:rsidP="00A211EE">
    <w:pPr>
      <w:pStyle w:val="Encabezado"/>
      <w:jc w:val="center"/>
    </w:pPr>
  </w:p>
  <w:p w14:paraId="4CB43D78" w14:textId="77777777" w:rsidR="009A6AF1" w:rsidRDefault="009A6AF1">
    <w:pPr>
      <w:pStyle w:val="Encabezado"/>
    </w:pPr>
  </w:p>
  <w:p w14:paraId="4CB43D79" w14:textId="77777777" w:rsidR="009A6AF1" w:rsidRDefault="009A6AF1" w:rsidP="00A211EE">
    <w:pPr>
      <w:spacing w:after="0"/>
      <w:rPr>
        <w:rFonts w:ascii="Verdana" w:hAnsi="Verdana"/>
        <w:b/>
        <w:bCs/>
        <w:sz w:val="24"/>
        <w:szCs w:val="24"/>
      </w:rPr>
    </w:pPr>
  </w:p>
  <w:p w14:paraId="4CB43D7A" w14:textId="77777777" w:rsidR="009A6AF1" w:rsidRDefault="00742583" w:rsidP="00A211EE">
    <w:pPr>
      <w:spacing w:after="0"/>
      <w:rPr>
        <w:rFonts w:ascii="Verdana" w:hAnsi="Verdana"/>
        <w:b/>
        <w:bCs/>
        <w:sz w:val="24"/>
        <w:szCs w:val="24"/>
      </w:rPr>
    </w:pPr>
    <w:r w:rsidRPr="00A211EE">
      <w:rPr>
        <w:rFonts w:ascii="Verdana" w:hAnsi="Verdana"/>
        <w:b/>
        <w:bCs/>
        <w:sz w:val="24"/>
        <w:szCs w:val="24"/>
      </w:rPr>
      <w:t>FORMATO PQRSD</w:t>
    </w:r>
  </w:p>
  <w:p w14:paraId="4CB43D7B" w14:textId="77777777" w:rsidR="009A6AF1" w:rsidRPr="00A211EE" w:rsidRDefault="009A6AF1" w:rsidP="00A211EE">
    <w:pPr>
      <w:spacing w:after="0" w:line="120" w:lineRule="auto"/>
      <w:rPr>
        <w:rFonts w:ascii="Verdana" w:hAnsi="Verdana"/>
        <w:b/>
        <w:bCs/>
        <w:sz w:val="24"/>
        <w:szCs w:val="24"/>
      </w:rPr>
    </w:pPr>
  </w:p>
  <w:p w14:paraId="4CB43D7C" w14:textId="77777777" w:rsidR="009A6AF1" w:rsidRDefault="009A6A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17A1800"/>
    <w:multiLevelType w:val="hybridMultilevel"/>
    <w:tmpl w:val="9706291C"/>
    <w:lvl w:ilvl="0" w:tplc="7546996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694460F"/>
    <w:multiLevelType w:val="hybridMultilevel"/>
    <w:tmpl w:val="A50EA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1CC6F5F"/>
    <w:multiLevelType w:val="hybridMultilevel"/>
    <w:tmpl w:val="59D22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784039179">
    <w:abstractNumId w:val="3"/>
  </w:num>
  <w:num w:numId="3" w16cid:durableId="1240015687">
    <w:abstractNumId w:val="2"/>
  </w:num>
  <w:num w:numId="4" w16cid:durableId="99113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79"/>
    <w:rsid w:val="002005BE"/>
    <w:rsid w:val="002870A5"/>
    <w:rsid w:val="003166AE"/>
    <w:rsid w:val="003542B0"/>
    <w:rsid w:val="003A06E6"/>
    <w:rsid w:val="003B0E2B"/>
    <w:rsid w:val="0043496D"/>
    <w:rsid w:val="006113E1"/>
    <w:rsid w:val="00742583"/>
    <w:rsid w:val="007A2808"/>
    <w:rsid w:val="009A6AF1"/>
    <w:rsid w:val="00B92F35"/>
    <w:rsid w:val="00DB1FD3"/>
    <w:rsid w:val="00DF5579"/>
    <w:rsid w:val="00F94D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3CBD"/>
  <w15:chartTrackingRefBased/>
  <w15:docId w15:val="{B9AA5ADD-6B98-B14B-93F1-0F7079C9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79"/>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55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5579"/>
    <w:rPr>
      <w:kern w:val="0"/>
      <w:sz w:val="22"/>
      <w:szCs w:val="22"/>
      <w14:ligatures w14:val="none"/>
    </w:rPr>
  </w:style>
  <w:style w:type="paragraph" w:styleId="Piedepgina">
    <w:name w:val="footer"/>
    <w:basedOn w:val="Normal"/>
    <w:link w:val="PiedepginaCar"/>
    <w:uiPriority w:val="99"/>
    <w:unhideWhenUsed/>
    <w:rsid w:val="00DF55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5579"/>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F557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F5579"/>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DF5579"/>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F5579"/>
    <w:rPr>
      <w:vertAlign w:val="superscript"/>
    </w:rPr>
  </w:style>
  <w:style w:type="character" w:customStyle="1" w:styleId="normaltextrun">
    <w:name w:val="normaltextrun"/>
    <w:basedOn w:val="Fuentedeprrafopredeter"/>
    <w:rsid w:val="00DF5579"/>
  </w:style>
  <w:style w:type="table" w:styleId="Tablaconcuadrcula">
    <w:name w:val="Table Grid"/>
    <w:basedOn w:val="Tablanormal"/>
    <w:uiPriority w:val="39"/>
    <w:qFormat/>
    <w:rsid w:val="00DF557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F5579"/>
    <w:rPr>
      <w:color w:val="0000FF"/>
      <w:u w:val="single"/>
    </w:rPr>
  </w:style>
  <w:style w:type="paragraph" w:customStyle="1" w:styleId="Appelnotedebasde">
    <w:name w:val="Appel note de bas de..."/>
    <w:basedOn w:val="Normal"/>
    <w:link w:val="Refdenotaalpie"/>
    <w:uiPriority w:val="99"/>
    <w:rsid w:val="00DF5579"/>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DF5579"/>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DF5579"/>
    <w:rPr>
      <w:kern w:val="0"/>
      <w:sz w:val="22"/>
      <w:szCs w:val="22"/>
      <w14:ligatures w14:val="none"/>
    </w:rPr>
  </w:style>
  <w:style w:type="paragraph" w:customStyle="1" w:styleId="Default">
    <w:name w:val="Default"/>
    <w:rsid w:val="00DF5579"/>
    <w:pPr>
      <w:autoSpaceDE w:val="0"/>
      <w:autoSpaceDN w:val="0"/>
      <w:adjustRightInd w:val="0"/>
    </w:pPr>
    <w:rPr>
      <w:rFonts w:ascii="Arial" w:hAnsi="Arial" w:cs="Arial"/>
      <w:color w:val="000000"/>
      <w:kern w:val="0"/>
      <w14:ligatures w14:val="none"/>
    </w:rPr>
  </w:style>
  <w:style w:type="paragraph" w:customStyle="1" w:styleId="paragraph">
    <w:name w:val="paragraph"/>
    <w:basedOn w:val="Normal"/>
    <w:rsid w:val="00DF557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DF5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codigo-de-comercio-decreto-410-de-1971/" TargetMode="External"/><Relationship Id="rId18"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relatoria.colombiacompra.gov.co/normativa/constitucion-politica-de-colombia/" TargetMode="External"/><Relationship Id="rId17" Type="http://schemas.openxmlformats.org/officeDocument/2006/relationships/hyperlink" Target="https://relatoria.colombiacompra.gov.co/providencias-consejo-de-estado/" TargetMode="External"/><Relationship Id="rId2" Type="http://schemas.openxmlformats.org/officeDocument/2006/relationships/customXml" Target="../customXml/item2.xml"/><Relationship Id="rId16" Type="http://schemas.openxmlformats.org/officeDocument/2006/relationships/hyperlink" Target="https://www.colombiacompra.gov.co/sites/cce_public/files/cce_documents/cce_guia_esal.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itamariang@hotmail.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elatoria.colombiacompra.gov.co/normativa/decreto-092-de-2017/"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nam02.safelinks.protection.outlook.com/?url=https%3A%2F%2Fwww.colombiacompra.gov.co%2Fsites%2Fcce_public%2Ffiles%2Ffiles_2020%2Fboletin_de_realtoria_iii.pdf&amp;data=05%7C02%7Cjhonattan.gualdron%40colombiacompra.gov.co%7C5aad36a736844ec87b2108dcc1fa4639%7C7b09041e245149d08cb179d5e3d8c1be%7C0%7C0%7C638598527917258349%7CUnknown%7CTWFpbGZsb3d8eyJWIjoiMC4wLjAwMDAiLCJQIjoiV2luMzIiLCJBTiI6Ik1haWwiLCJXVCI6Mn0%3D%7C0%7C%7C%7C&amp;sdata=L8n4%2BPLzCXOYkgvgeiE94oL%2BWH5QycxZ3E%2FJkFORVZ4%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80-de-1993/"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8C2B5B-2E72-4502-B36B-E49C4400F3BC}">
  <ds:schemaRefs>
    <ds:schemaRef ds:uri="http://schemas.microsoft.com/sharepoint/v3/contenttype/forms"/>
  </ds:schemaRefs>
</ds:datastoreItem>
</file>

<file path=customXml/itemProps2.xml><?xml version="1.0" encoding="utf-8"?>
<ds:datastoreItem xmlns:ds="http://schemas.openxmlformats.org/officeDocument/2006/customXml" ds:itemID="{523AE381-455F-4E88-94F6-43C88DDC9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4E2F3-228C-4E92-9942-66792593EDF8}">
  <ds:schemaRefs>
    <ds:schemaRef ds:uri="http://schemas.microsoft.com/office/2006/documentManagement/types"/>
    <ds:schemaRef ds:uri="http://purl.org/dc/dcmitype/"/>
    <ds:schemaRef ds:uri="http://schemas.openxmlformats.org/package/2006/metadata/core-properties"/>
    <ds:schemaRef ds:uri="http://purl.org/dc/elements/1.1/"/>
    <ds:schemaRef ds:uri="9d85dbaf-23eb-4e57-a637-93dcacc8b1a1"/>
    <ds:schemaRef ds:uri="http://schemas.microsoft.com/office/2006/metadata/properties"/>
    <ds:schemaRef ds:uri="http://purl.org/dc/terms/"/>
    <ds:schemaRef ds:uri="http://schemas.microsoft.com/office/infopath/2007/PartnerControls"/>
    <ds:schemaRef ds:uri="a6cb9e4b-f1d1-4245-83ec-6cad768d538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4219</Words>
  <Characters>23206</Characters>
  <Application>Microsoft Office Word</Application>
  <DocSecurity>0</DocSecurity>
  <Lines>193</Lines>
  <Paragraphs>54</Paragraphs>
  <ScaleCrop>false</ScaleCrop>
  <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2024-10-08T12:16:00Z</dcterms:created>
  <dcterms:modified xsi:type="dcterms:W3CDTF">2024-10-08T12:16:00Z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