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E087C" w14:textId="7BCC9B14" w:rsidR="007D460E" w:rsidRPr="007D460E" w:rsidRDefault="007D460E" w:rsidP="0009766F">
      <w:pPr>
        <w:spacing w:line="259" w:lineRule="auto"/>
        <w:rPr>
          <w:rFonts w:ascii="Verdana" w:eastAsia="Calibri" w:hAnsi="Verdana" w:cs="Arial"/>
          <w:b/>
        </w:rPr>
      </w:pPr>
      <w:r w:rsidRPr="007D460E">
        <w:rPr>
          <w:rFonts w:ascii="Verdana" w:eastAsia="Calibri" w:hAnsi="Verdana" w:cs="Arial"/>
          <w:b/>
        </w:rPr>
        <w:t>TARJETA PROFESIONAL – Exigibilidad – Suscripción – Contrato de prestación de servicios</w:t>
      </w:r>
    </w:p>
    <w:p w14:paraId="694506AF" w14:textId="10C81DA8" w:rsidR="007D460E" w:rsidRPr="00095F56" w:rsidRDefault="00095F56" w:rsidP="00095F56">
      <w:pPr>
        <w:spacing w:line="259" w:lineRule="auto"/>
        <w:jc w:val="both"/>
        <w:rPr>
          <w:rFonts w:ascii="Verdana" w:eastAsia="Calibri" w:hAnsi="Verdana" w:cs="Arial"/>
          <w:sz w:val="20"/>
        </w:rPr>
      </w:pPr>
      <w:r w:rsidRPr="00095F56">
        <w:rPr>
          <w:rFonts w:ascii="Verdana" w:eastAsia="Calibri" w:hAnsi="Verdana" w:cs="Arial"/>
          <w:color w:val="000000"/>
          <w:sz w:val="20"/>
        </w:rPr>
        <w:t>Como condición para las actividades profesionales de la profesión de Administración Publico, se encuentra el enunciado normativo, el cual impone la obligación de estar inscrito en el Registro Único Nacional de Administradores Públicos y tener vigente la Tarjeta Profesional expedida por el Consejo Superior Profesional del Administrador Público. por lo tanto, será posible suscribir un contrato de prestación de servicios profesionales con un profesional de Administración Pública, siempre y cuando se encuentre inscrito en el Registro Único Nacional de Administradores Públicos y tener vigente la Tarjeta Profesional expedida por el Consejo Profesional del Administrador Público</w:t>
      </w:r>
    </w:p>
    <w:p w14:paraId="6071DB1F" w14:textId="77777777" w:rsidR="007D460E" w:rsidRPr="007D460E" w:rsidRDefault="007D460E" w:rsidP="0009766F">
      <w:pPr>
        <w:spacing w:line="259" w:lineRule="auto"/>
        <w:rPr>
          <w:rFonts w:ascii="Verdana" w:eastAsia="Calibri" w:hAnsi="Verdana" w:cs="Arial"/>
        </w:rPr>
      </w:pPr>
    </w:p>
    <w:p w14:paraId="36D8476D" w14:textId="1780F26D" w:rsidR="007D460E" w:rsidRPr="007D460E" w:rsidRDefault="007D460E" w:rsidP="0009766F">
      <w:pPr>
        <w:spacing w:line="259" w:lineRule="auto"/>
        <w:rPr>
          <w:rFonts w:ascii="Verdana" w:hAnsi="Verdana" w:cs="Arial"/>
          <w:b/>
          <w:bCs/>
          <w:lang w:val="es-ES"/>
        </w:rPr>
      </w:pPr>
      <w:r w:rsidRPr="007D460E">
        <w:rPr>
          <w:rFonts w:ascii="Verdana" w:eastAsia="Calibri" w:hAnsi="Verdana" w:cs="Arial"/>
          <w:b/>
        </w:rPr>
        <w:t>EXPERIENCIA PROFESIONAL – Régimen jurídico /</w:t>
      </w:r>
      <w:r w:rsidR="00095F56">
        <w:rPr>
          <w:rFonts w:ascii="Verdana" w:eastAsia="Calibri" w:hAnsi="Verdana" w:cs="Arial"/>
          <w:b/>
        </w:rPr>
        <w:t>Acreditación</w:t>
      </w:r>
    </w:p>
    <w:p w14:paraId="006D9B09" w14:textId="767D0F7E" w:rsidR="007D460E" w:rsidRPr="00095F56" w:rsidRDefault="00095F56" w:rsidP="00095F56">
      <w:pPr>
        <w:spacing w:line="259" w:lineRule="auto"/>
        <w:jc w:val="both"/>
        <w:rPr>
          <w:rFonts w:ascii="Verdana" w:hAnsi="Verdana" w:cs="Arial"/>
          <w:bCs/>
          <w:sz w:val="20"/>
          <w:lang w:val="es-ES"/>
        </w:rPr>
      </w:pPr>
      <w:r>
        <w:rPr>
          <w:rFonts w:ascii="Verdana" w:eastAsia="Calibri" w:hAnsi="Verdana" w:cs="Arial"/>
          <w:color w:val="000000"/>
          <w:sz w:val="20"/>
        </w:rPr>
        <w:t>L</w:t>
      </w:r>
      <w:r w:rsidRPr="00095F56">
        <w:rPr>
          <w:rFonts w:ascii="Verdana" w:eastAsia="Calibri" w:hAnsi="Verdana" w:cs="Arial"/>
          <w:color w:val="000000"/>
          <w:sz w:val="20"/>
        </w:rPr>
        <w:t xml:space="preserve">a acreditación de la experiencia </w:t>
      </w:r>
      <w:r w:rsidRPr="00095F56">
        <w:rPr>
          <w:rFonts w:ascii="Verdana" w:hAnsi="Verdana" w:cs="Arial"/>
          <w:sz w:val="20"/>
        </w:rPr>
        <w:t xml:space="preserve">profesional, la misma, se debe verificar de acuerdo con lo regulado en el artículo </w:t>
      </w:r>
      <w:r w:rsidRPr="00095F56">
        <w:rPr>
          <w:rFonts w:ascii="Verdana" w:hAnsi="Verdana"/>
          <w:sz w:val="20"/>
        </w:rPr>
        <w:t>2.2.2.3.7 del Decreto 1083 de 2015</w:t>
      </w:r>
      <w:r w:rsidRPr="00095F56">
        <w:rPr>
          <w:rFonts w:ascii="Verdana" w:hAnsi="Verdana" w:cs="Arial"/>
          <w:sz w:val="20"/>
        </w:rPr>
        <w:t>. En virtud de esta norma, el ejercicio de las diferentes profesiones acreditadas por el Ministerio de Educación Nacional se contabiliza a partir de la terminación y aprobación del pensum académico de educación superior, salvo para las profesiones relacionadas con el sistema de seguridad social en salud, en las cuales la experiencia profesional se computa a partir de la inscripción o registro profesional</w:t>
      </w:r>
      <w:r>
        <w:rPr>
          <w:rFonts w:ascii="Verdana" w:hAnsi="Verdana" w:cs="Arial"/>
          <w:sz w:val="20"/>
        </w:rPr>
        <w:t>.</w:t>
      </w:r>
    </w:p>
    <w:p w14:paraId="61EC4039" w14:textId="77777777" w:rsidR="00136215" w:rsidRDefault="00136215" w:rsidP="0009766F">
      <w:pPr>
        <w:spacing w:line="259" w:lineRule="auto"/>
        <w:rPr>
          <w:rFonts w:ascii="Verdana" w:hAnsi="Verdana" w:cs="Arial"/>
          <w:b/>
          <w:bCs/>
          <w:lang w:val="es-ES"/>
        </w:rPr>
      </w:pPr>
    </w:p>
    <w:p w14:paraId="7C049A12" w14:textId="18752A80" w:rsidR="007D460E" w:rsidRPr="007D460E" w:rsidRDefault="007D460E" w:rsidP="0009766F">
      <w:pPr>
        <w:spacing w:line="259" w:lineRule="auto"/>
        <w:rPr>
          <w:rFonts w:ascii="Verdana" w:hAnsi="Verdana" w:cs="Arial"/>
          <w:b/>
          <w:bCs/>
          <w:lang w:val="es-ES"/>
        </w:rPr>
      </w:pPr>
      <w:r w:rsidRPr="007D460E">
        <w:rPr>
          <w:rFonts w:ascii="Verdana" w:hAnsi="Verdana" w:cs="Arial"/>
          <w:b/>
          <w:bCs/>
          <w:lang w:val="es-ES"/>
        </w:rPr>
        <w:t>EQUIVALENCIA- prestación de servicios</w:t>
      </w:r>
    </w:p>
    <w:p w14:paraId="56EF5B5B" w14:textId="6F8B44D2" w:rsidR="007D460E" w:rsidRPr="007D460E" w:rsidRDefault="00095F56" w:rsidP="00095F56">
      <w:pPr>
        <w:spacing w:line="259" w:lineRule="auto"/>
        <w:jc w:val="both"/>
        <w:rPr>
          <w:rFonts w:ascii="Verdana" w:hAnsi="Verdana"/>
        </w:rPr>
      </w:pPr>
      <w:r w:rsidRPr="00095F56">
        <w:rPr>
          <w:rFonts w:ascii="Verdana" w:eastAsia="Calibri" w:hAnsi="Verdana" w:cs="Arial"/>
          <w:sz w:val="20"/>
          <w:szCs w:val="24"/>
          <w:lang w:val="es-ES" w:eastAsia="es-ES_tradnl"/>
        </w:rPr>
        <w:t>En referencia al Contrato de Prestación de Servicios, una vez la entidad ha establecido la experiencia y los estudios que debe tener una persona natural o jurídica para celebrar un contrato de prestación de servicios, en su autonomía y como directora del proceso de contratación debe determinar cómo evaluar que esto se cumpla, sin que sea obligatorio la aplicabilidad el Decreto 1083 de 2015 respecto de la equivalencia entre experiencia y estudios, ya que el artículo 2.1.1.1. que trata del objeto del decreto señala que es para el sector de la función pública en temas como “empleo público; funciones, competencias y requisitos generales para los empleos públicos de los distintos niveles jerárquicos de los organismos y entidades del orden nacional y territorial; administración de personal (…)”.</w:t>
      </w:r>
      <w:r w:rsidR="007D460E" w:rsidRPr="007D460E">
        <w:rPr>
          <w:rFonts w:ascii="Verdana" w:hAnsi="Verdana"/>
        </w:rPr>
        <w:br w:type="page"/>
      </w:r>
    </w:p>
    <w:p w14:paraId="01A8AE64" w14:textId="6ED578E3" w:rsidR="0009766F" w:rsidRPr="007D460E" w:rsidRDefault="0009766F" w:rsidP="0009766F">
      <w:pPr>
        <w:spacing w:after="0" w:line="259" w:lineRule="auto"/>
        <w:rPr>
          <w:rFonts w:ascii="Verdana" w:hAnsi="Verdana"/>
        </w:rPr>
      </w:pPr>
      <w:r w:rsidRPr="007D460E">
        <w:rPr>
          <w:rFonts w:ascii="Verdana" w:hAnsi="Verdana"/>
        </w:rPr>
        <w:lastRenderedPageBreak/>
        <w:t xml:space="preserve">Bogotá D.C., </w:t>
      </w:r>
      <w:r w:rsidR="007B2AA0">
        <w:rPr>
          <w:rFonts w:ascii="Verdana" w:hAnsi="Verdana"/>
        </w:rPr>
        <w:t>3 de octubre de 2024</w:t>
      </w:r>
      <w:r w:rsidRPr="007D460E">
        <w:rPr>
          <w:rFonts w:ascii="Verdana" w:hAnsi="Verdana"/>
        </w:rPr>
        <w:tab/>
      </w:r>
    </w:p>
    <w:p w14:paraId="3F36D3F9" w14:textId="5EDEABA6" w:rsidR="0009766F" w:rsidRPr="007D460E" w:rsidRDefault="007B2AA0" w:rsidP="007B2AA0">
      <w:pPr>
        <w:spacing w:after="0" w:line="259" w:lineRule="auto"/>
        <w:jc w:val="right"/>
        <w:rPr>
          <w:rFonts w:ascii="Verdana" w:hAnsi="Verdana"/>
        </w:rPr>
      </w:pPr>
      <w:r w:rsidRPr="007B2AA0">
        <w:rPr>
          <w:rFonts w:ascii="Verdana" w:hAnsi="Verdana"/>
        </w:rPr>
        <w:drawing>
          <wp:inline distT="0" distB="0" distL="0" distR="0" wp14:anchorId="1F6BE98E" wp14:editId="5F81276E">
            <wp:extent cx="2629967" cy="757704"/>
            <wp:effectExtent l="0" t="0" r="0" b="4445"/>
            <wp:docPr id="2868412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41282" name="Imagen 1" descr="Texto&#10;&#10;Descripción generada automáticamente"/>
                    <pic:cNvPicPr/>
                  </pic:nvPicPr>
                  <pic:blipFill>
                    <a:blip r:embed="rId10"/>
                    <a:stretch>
                      <a:fillRect/>
                    </a:stretch>
                  </pic:blipFill>
                  <pic:spPr>
                    <a:xfrm>
                      <a:off x="0" y="0"/>
                      <a:ext cx="2644888" cy="762003"/>
                    </a:xfrm>
                    <a:prstGeom prst="rect">
                      <a:avLst/>
                    </a:prstGeom>
                  </pic:spPr>
                </pic:pic>
              </a:graphicData>
            </a:graphic>
          </wp:inline>
        </w:drawing>
      </w:r>
    </w:p>
    <w:p w14:paraId="356EC04A" w14:textId="77777777" w:rsidR="0009766F" w:rsidRPr="007D460E" w:rsidRDefault="0009766F" w:rsidP="0009766F">
      <w:pPr>
        <w:spacing w:after="0" w:line="259" w:lineRule="auto"/>
        <w:jc w:val="both"/>
        <w:rPr>
          <w:rFonts w:ascii="Verdana" w:hAnsi="Verdana"/>
          <w:lang w:val="es-MX"/>
        </w:rPr>
      </w:pPr>
      <w:r w:rsidRPr="007D460E">
        <w:rPr>
          <w:rFonts w:ascii="Verdana" w:hAnsi="Verdana"/>
          <w:lang w:val="es-MX"/>
        </w:rPr>
        <w:t>Señor</w:t>
      </w:r>
    </w:p>
    <w:p w14:paraId="74D3AB19" w14:textId="76A2EA2E" w:rsidR="0009766F" w:rsidRPr="007D460E" w:rsidRDefault="0009766F" w:rsidP="0009766F">
      <w:pPr>
        <w:spacing w:after="0" w:line="259" w:lineRule="auto"/>
        <w:jc w:val="both"/>
        <w:rPr>
          <w:rFonts w:ascii="Verdana" w:hAnsi="Verdana"/>
        </w:rPr>
      </w:pPr>
      <w:r w:rsidRPr="007D460E">
        <w:rPr>
          <w:rFonts w:ascii="Verdana" w:hAnsi="Verdana"/>
          <w:b/>
        </w:rPr>
        <w:t xml:space="preserve">Rolando Alberto </w:t>
      </w:r>
      <w:proofErr w:type="spellStart"/>
      <w:r w:rsidRPr="007D460E">
        <w:rPr>
          <w:rFonts w:ascii="Verdana" w:hAnsi="Verdana"/>
          <w:b/>
        </w:rPr>
        <w:t>Gonzalez</w:t>
      </w:r>
      <w:proofErr w:type="spellEnd"/>
      <w:r w:rsidRPr="007D460E">
        <w:rPr>
          <w:rFonts w:ascii="Verdana" w:hAnsi="Verdana"/>
          <w:b/>
        </w:rPr>
        <w:t xml:space="preserve"> Eligio</w:t>
      </w:r>
      <w:r w:rsidRPr="007D460E">
        <w:rPr>
          <w:rFonts w:ascii="Verdana" w:hAnsi="Verdana"/>
          <w:b/>
        </w:rPr>
        <w:tab/>
      </w:r>
      <w:r w:rsidRPr="007D460E">
        <w:rPr>
          <w:rFonts w:ascii="Verdana" w:hAnsi="Verdana"/>
          <w:bCs/>
        </w:rPr>
        <w:br/>
      </w:r>
      <w:hyperlink r:id="rId11" w:history="1">
        <w:proofErr w:type="spellStart"/>
        <w:r w:rsidRPr="007D460E">
          <w:rPr>
            <w:rStyle w:val="Hipervnculo"/>
            <w:rFonts w:ascii="Verdana" w:hAnsi="Verdana"/>
          </w:rPr>
          <w:t>rgonzalezeligio@gmail.com</w:t>
        </w:r>
        <w:proofErr w:type="spellEnd"/>
      </w:hyperlink>
    </w:p>
    <w:p w14:paraId="7757E493" w14:textId="77777777" w:rsidR="0009766F" w:rsidRPr="007D460E" w:rsidRDefault="0009766F" w:rsidP="0009766F">
      <w:pPr>
        <w:spacing w:after="0" w:line="259" w:lineRule="auto"/>
        <w:jc w:val="both"/>
        <w:rPr>
          <w:rFonts w:ascii="Verdana" w:hAnsi="Verdana"/>
        </w:rPr>
      </w:pPr>
      <w:r w:rsidRPr="007D460E">
        <w:rPr>
          <w:rFonts w:ascii="Verdana" w:hAnsi="Verdana"/>
        </w:rPr>
        <w:t xml:space="preserve">Bogotá </w:t>
      </w:r>
      <w:proofErr w:type="spellStart"/>
      <w:r w:rsidRPr="007D460E">
        <w:rPr>
          <w:rFonts w:ascii="Verdana" w:hAnsi="Verdana"/>
        </w:rPr>
        <w:t>D.C</w:t>
      </w:r>
      <w:proofErr w:type="spellEnd"/>
    </w:p>
    <w:p w14:paraId="01E8DD68" w14:textId="77777777" w:rsidR="0009766F" w:rsidRPr="007D460E" w:rsidRDefault="0009766F" w:rsidP="0009766F">
      <w:pPr>
        <w:spacing w:after="0" w:line="259" w:lineRule="auto"/>
        <w:jc w:val="both"/>
        <w:rPr>
          <w:rFonts w:ascii="Verdana" w:hAnsi="Verdana"/>
        </w:rPr>
      </w:pPr>
    </w:p>
    <w:p w14:paraId="5D8297F3" w14:textId="53D6478B" w:rsidR="0009766F" w:rsidRPr="007D460E" w:rsidRDefault="0009766F" w:rsidP="0009766F">
      <w:pPr>
        <w:spacing w:after="0" w:line="240" w:lineRule="auto"/>
        <w:ind w:left="2694"/>
        <w:jc w:val="both"/>
        <w:rPr>
          <w:rFonts w:ascii="Verdana" w:eastAsia="Calibri" w:hAnsi="Verdana" w:cs="Arial"/>
          <w:b/>
          <w:bCs/>
          <w:lang w:val="es-ES" w:eastAsia="es-ES"/>
        </w:rPr>
      </w:pPr>
      <w:r w:rsidRPr="007D460E">
        <w:rPr>
          <w:rFonts w:ascii="Verdana" w:eastAsia="Calibri" w:hAnsi="Verdana" w:cs="Arial"/>
          <w:b/>
          <w:bCs/>
          <w:lang w:val="es-ES" w:eastAsia="es-ES"/>
        </w:rPr>
        <w:t>Concepto C–510 de 2024</w:t>
      </w:r>
    </w:p>
    <w:p w14:paraId="5E837630" w14:textId="77777777" w:rsidR="007D460E" w:rsidRPr="007D460E" w:rsidRDefault="007D460E" w:rsidP="0009766F">
      <w:pPr>
        <w:spacing w:after="0" w:line="240" w:lineRule="auto"/>
        <w:ind w:left="2694"/>
        <w:jc w:val="both"/>
        <w:rPr>
          <w:rFonts w:ascii="Verdana" w:eastAsia="Calibri" w:hAnsi="Verdana" w:cs="Arial"/>
          <w:b/>
          <w:bCs/>
          <w:lang w:val="es-ES" w:eastAsia="es-ES"/>
        </w:rPr>
      </w:pPr>
    </w:p>
    <w:p w14:paraId="760C35D2" w14:textId="77777777" w:rsidR="0009766F" w:rsidRPr="007D460E" w:rsidRDefault="0009766F" w:rsidP="0009766F">
      <w:pPr>
        <w:spacing w:after="0" w:line="240" w:lineRule="auto"/>
        <w:jc w:val="both"/>
        <w:rPr>
          <w:rFonts w:ascii="Verdana" w:eastAsia="Calibri" w:hAnsi="Verdana" w:cs="Arial"/>
          <w:szCs w:val="24"/>
          <w:lang w:val="es-ES_tradnl" w:eastAsia="es-ES_tradnl"/>
        </w:rPr>
      </w:pPr>
    </w:p>
    <w:tbl>
      <w:tblPr>
        <w:tblStyle w:val="Tablaconcuadrcula1"/>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09766F" w:rsidRPr="007D460E" w14:paraId="75BE42B5" w14:textId="77777777" w:rsidTr="007F1D25">
        <w:trPr>
          <w:trHeight w:val="884"/>
        </w:trPr>
        <w:tc>
          <w:tcPr>
            <w:tcW w:w="2685" w:type="dxa"/>
            <w:hideMark/>
          </w:tcPr>
          <w:p w14:paraId="4D79A363" w14:textId="77777777" w:rsidR="0009766F" w:rsidRPr="007D460E" w:rsidRDefault="0009766F" w:rsidP="0009766F">
            <w:pPr>
              <w:spacing w:after="160" w:line="259" w:lineRule="auto"/>
              <w:ind w:left="720"/>
              <w:contextualSpacing/>
              <w:jc w:val="both"/>
              <w:rPr>
                <w:rFonts w:ascii="Verdana" w:eastAsia="Calibri" w:hAnsi="Verdana" w:cs="Arial"/>
                <w:szCs w:val="24"/>
                <w:lang w:val="es-ES_tradnl" w:eastAsia="es-ES_tradnl"/>
              </w:rPr>
            </w:pPr>
            <w:r w:rsidRPr="007D460E">
              <w:rPr>
                <w:rFonts w:ascii="Verdana" w:eastAsia="Calibri" w:hAnsi="Verdana" w:cs="Arial"/>
                <w:szCs w:val="24"/>
                <w:lang w:val="es-ES_tradnl" w:eastAsia="es-ES_tradnl"/>
              </w:rPr>
              <w:t xml:space="preserve">Temas:                   </w:t>
            </w:r>
          </w:p>
        </w:tc>
        <w:tc>
          <w:tcPr>
            <w:tcW w:w="6241" w:type="dxa"/>
            <w:hideMark/>
          </w:tcPr>
          <w:p w14:paraId="4E7DEE99" w14:textId="077FC3E6" w:rsidR="0009766F" w:rsidRPr="007D460E" w:rsidRDefault="009E09B7" w:rsidP="0009766F">
            <w:pPr>
              <w:tabs>
                <w:tab w:val="left" w:pos="0"/>
              </w:tabs>
              <w:spacing w:after="160" w:line="276" w:lineRule="auto"/>
              <w:ind w:left="720"/>
              <w:contextualSpacing/>
              <w:jc w:val="both"/>
              <w:rPr>
                <w:rFonts w:ascii="Verdana" w:hAnsi="Verdana" w:cs="Arial"/>
                <w:bCs/>
                <w:highlight w:val="yellow"/>
                <w:lang w:val="es-ES"/>
              </w:rPr>
            </w:pPr>
            <w:r w:rsidRPr="007D460E">
              <w:rPr>
                <w:rFonts w:ascii="Verdana" w:eastAsia="Calibri" w:hAnsi="Verdana" w:cs="Arial"/>
              </w:rPr>
              <w:t>TARJETA PROFESIONAL – Exigibilidad – Suscripción – Contrato de prestación de servicios/ EXPERIENCIA PROFESIONAL – Régimen jurídico</w:t>
            </w:r>
            <w:r w:rsidR="00095F56">
              <w:rPr>
                <w:rFonts w:ascii="Verdana" w:eastAsia="Calibri" w:hAnsi="Verdana" w:cs="Arial"/>
              </w:rPr>
              <w:t>-Acreditación</w:t>
            </w:r>
            <w:r w:rsidR="0009766F" w:rsidRPr="007D460E">
              <w:rPr>
                <w:rFonts w:ascii="Verdana" w:hAnsi="Verdana" w:cs="Arial"/>
                <w:bCs/>
                <w:lang w:val="es-ES"/>
              </w:rPr>
              <w:t>/</w:t>
            </w:r>
            <w:r w:rsidR="007D460E" w:rsidRPr="007D460E">
              <w:rPr>
                <w:rFonts w:ascii="Verdana" w:hAnsi="Verdana" w:cs="Arial"/>
                <w:bCs/>
                <w:lang w:val="es-ES"/>
              </w:rPr>
              <w:t>EQUIVALENCIA-</w:t>
            </w:r>
            <w:r w:rsidR="00095F56">
              <w:rPr>
                <w:rFonts w:ascii="Verdana" w:hAnsi="Verdana" w:cs="Arial"/>
                <w:bCs/>
                <w:lang w:val="es-ES"/>
              </w:rPr>
              <w:t>C</w:t>
            </w:r>
            <w:r w:rsidR="007D460E" w:rsidRPr="007D460E">
              <w:rPr>
                <w:rFonts w:ascii="Verdana" w:hAnsi="Verdana" w:cs="Arial"/>
                <w:bCs/>
                <w:lang w:val="es-ES"/>
              </w:rPr>
              <w:t>ontrato de prestación de servicios</w:t>
            </w:r>
            <w:r w:rsidR="0009766F" w:rsidRPr="007D460E">
              <w:rPr>
                <w:rFonts w:ascii="Verdana" w:hAnsi="Verdana" w:cs="Arial"/>
                <w:bCs/>
                <w:lang w:val="es-ES"/>
              </w:rPr>
              <w:t>.</w:t>
            </w:r>
          </w:p>
          <w:p w14:paraId="75F55C69" w14:textId="77777777" w:rsidR="007D460E" w:rsidRPr="007D460E" w:rsidRDefault="007D460E" w:rsidP="0009766F">
            <w:pPr>
              <w:tabs>
                <w:tab w:val="left" w:pos="0"/>
              </w:tabs>
              <w:spacing w:after="160" w:line="276" w:lineRule="auto"/>
              <w:ind w:left="720"/>
              <w:contextualSpacing/>
              <w:jc w:val="both"/>
              <w:rPr>
                <w:rFonts w:ascii="Verdana" w:hAnsi="Verdana" w:cs="Arial"/>
                <w:bCs/>
                <w:lang w:val="es-ES"/>
              </w:rPr>
            </w:pPr>
          </w:p>
          <w:p w14:paraId="5037310F" w14:textId="77777777" w:rsidR="0009766F" w:rsidRPr="007D460E" w:rsidRDefault="0009766F" w:rsidP="0009766F">
            <w:pPr>
              <w:tabs>
                <w:tab w:val="left" w:pos="0"/>
              </w:tabs>
              <w:spacing w:after="160" w:line="276" w:lineRule="auto"/>
              <w:ind w:left="720"/>
              <w:contextualSpacing/>
              <w:jc w:val="both"/>
              <w:rPr>
                <w:rFonts w:ascii="Verdana" w:hAnsi="Verdana"/>
                <w:lang w:val="es-ES"/>
              </w:rPr>
            </w:pPr>
          </w:p>
        </w:tc>
        <w:tc>
          <w:tcPr>
            <w:tcW w:w="6237" w:type="dxa"/>
          </w:tcPr>
          <w:p w14:paraId="7061DF3E" w14:textId="77777777" w:rsidR="0009766F" w:rsidRPr="007D460E" w:rsidRDefault="0009766F" w:rsidP="0009766F">
            <w:pPr>
              <w:spacing w:after="160" w:line="276" w:lineRule="auto"/>
              <w:ind w:left="720"/>
              <w:contextualSpacing/>
              <w:jc w:val="both"/>
              <w:rPr>
                <w:rFonts w:ascii="Verdana" w:hAnsi="Verdana" w:cs="Arial"/>
                <w:lang w:val="es-ES"/>
              </w:rPr>
            </w:pPr>
          </w:p>
        </w:tc>
      </w:tr>
      <w:tr w:rsidR="0009766F" w:rsidRPr="007D460E" w14:paraId="76225832" w14:textId="77777777" w:rsidTr="007F1D25">
        <w:tc>
          <w:tcPr>
            <w:tcW w:w="2685" w:type="dxa"/>
            <w:hideMark/>
          </w:tcPr>
          <w:p w14:paraId="1F121D41" w14:textId="77777777" w:rsidR="0009766F" w:rsidRPr="007D460E" w:rsidRDefault="0009766F" w:rsidP="0009766F">
            <w:pPr>
              <w:spacing w:before="120" w:after="160" w:line="259" w:lineRule="auto"/>
              <w:ind w:left="720"/>
              <w:contextualSpacing/>
              <w:jc w:val="both"/>
              <w:rPr>
                <w:rFonts w:ascii="Verdana" w:eastAsia="Calibri" w:hAnsi="Verdana" w:cs="Arial"/>
                <w:szCs w:val="24"/>
                <w:lang w:val="es-ES_tradnl" w:eastAsia="es-ES_tradnl"/>
              </w:rPr>
            </w:pPr>
            <w:r w:rsidRPr="007D460E">
              <w:rPr>
                <w:rFonts w:ascii="Verdana" w:eastAsia="Calibri" w:hAnsi="Verdana" w:cs="Arial"/>
                <w:szCs w:val="24"/>
                <w:lang w:val="es-ES_tradnl" w:eastAsia="es-ES_tradnl"/>
              </w:rPr>
              <w:t xml:space="preserve">Radicación:               </w:t>
            </w:r>
          </w:p>
        </w:tc>
        <w:tc>
          <w:tcPr>
            <w:tcW w:w="6241" w:type="dxa"/>
            <w:hideMark/>
          </w:tcPr>
          <w:p w14:paraId="14F91810" w14:textId="46087428" w:rsidR="0009766F" w:rsidRPr="007D460E" w:rsidRDefault="0009766F" w:rsidP="0009766F">
            <w:pPr>
              <w:spacing w:before="120" w:after="160" w:line="276" w:lineRule="auto"/>
              <w:ind w:left="720"/>
              <w:contextualSpacing/>
              <w:jc w:val="both"/>
              <w:rPr>
                <w:rFonts w:ascii="Verdana" w:eastAsia="Calibri" w:hAnsi="Verdana" w:cs="Arial"/>
                <w:szCs w:val="24"/>
                <w:lang w:val="es-ES_tradnl" w:eastAsia="es-ES_tradnl"/>
              </w:rPr>
            </w:pPr>
            <w:r w:rsidRPr="007D460E">
              <w:rPr>
                <w:rFonts w:ascii="Verdana" w:eastAsia="Calibri" w:hAnsi="Verdana" w:cs="Arial"/>
                <w:szCs w:val="24"/>
                <w:lang w:val="es-ES_tradnl" w:eastAsia="es-ES_tradnl"/>
              </w:rPr>
              <w:t xml:space="preserve">Respuesta a consulta con radicado No. </w:t>
            </w:r>
            <w:proofErr w:type="spellStart"/>
            <w:r w:rsidRPr="007D460E">
              <w:rPr>
                <w:rFonts w:ascii="Verdana" w:eastAsia="Calibri" w:hAnsi="Verdana" w:cs="Arial"/>
                <w:szCs w:val="24"/>
                <w:lang w:val="es-ES" w:eastAsia="es-ES_tradnl"/>
              </w:rPr>
              <w:t>P20240823008607</w:t>
            </w:r>
            <w:proofErr w:type="spellEnd"/>
          </w:p>
        </w:tc>
        <w:tc>
          <w:tcPr>
            <w:tcW w:w="6237" w:type="dxa"/>
          </w:tcPr>
          <w:p w14:paraId="331CE24C" w14:textId="77777777" w:rsidR="0009766F" w:rsidRPr="007D460E" w:rsidRDefault="0009766F" w:rsidP="0009766F">
            <w:pPr>
              <w:spacing w:before="120" w:after="160" w:line="276" w:lineRule="auto"/>
              <w:ind w:left="720"/>
              <w:contextualSpacing/>
              <w:jc w:val="both"/>
              <w:rPr>
                <w:rFonts w:ascii="Verdana" w:eastAsia="Calibri" w:hAnsi="Verdana" w:cs="Arial"/>
                <w:szCs w:val="24"/>
                <w:lang w:val="es-ES_tradnl" w:eastAsia="es-ES_tradnl"/>
              </w:rPr>
            </w:pPr>
          </w:p>
        </w:tc>
      </w:tr>
    </w:tbl>
    <w:p w14:paraId="1E9E6729" w14:textId="77777777" w:rsidR="0009766F" w:rsidRPr="007D460E" w:rsidRDefault="0009766F" w:rsidP="0009766F">
      <w:pPr>
        <w:spacing w:after="0" w:line="240" w:lineRule="auto"/>
        <w:jc w:val="both"/>
        <w:rPr>
          <w:rFonts w:ascii="Verdana" w:eastAsia="Calibri" w:hAnsi="Verdana" w:cs="Arial"/>
          <w:szCs w:val="24"/>
          <w:lang w:val="es-ES_tradnl" w:eastAsia="es-ES_tradnl"/>
        </w:rPr>
      </w:pPr>
    </w:p>
    <w:p w14:paraId="3DE84013" w14:textId="3584DCAB" w:rsidR="0009766F" w:rsidRPr="007D460E" w:rsidRDefault="0009766F" w:rsidP="0009766F">
      <w:pPr>
        <w:spacing w:after="0" w:line="240" w:lineRule="auto"/>
        <w:jc w:val="both"/>
        <w:rPr>
          <w:rFonts w:ascii="Verdana" w:eastAsia="Calibri" w:hAnsi="Verdana" w:cs="Arial"/>
          <w:lang w:val="es-ES" w:eastAsia="es-ES"/>
        </w:rPr>
      </w:pPr>
      <w:r w:rsidRPr="007D460E">
        <w:rPr>
          <w:rFonts w:ascii="Verdana" w:eastAsia="Calibri" w:hAnsi="Verdana" w:cs="Arial"/>
          <w:lang w:val="es-ES" w:eastAsia="es-ES"/>
        </w:rPr>
        <w:t xml:space="preserve">Estimado señor Rolando: </w:t>
      </w:r>
    </w:p>
    <w:p w14:paraId="11EEEAE1" w14:textId="77777777" w:rsidR="0009766F" w:rsidRPr="007D460E" w:rsidRDefault="0009766F" w:rsidP="0009766F">
      <w:pPr>
        <w:spacing w:after="0" w:line="240" w:lineRule="auto"/>
        <w:jc w:val="both"/>
        <w:rPr>
          <w:rFonts w:ascii="Verdana" w:eastAsia="Calibri" w:hAnsi="Verdana" w:cs="Arial"/>
          <w:lang w:val="es-ES" w:eastAsia="es-ES"/>
        </w:rPr>
      </w:pPr>
    </w:p>
    <w:p w14:paraId="15B56247" w14:textId="0D0D4411" w:rsidR="0009766F" w:rsidRPr="007D460E" w:rsidRDefault="0009766F" w:rsidP="0009766F">
      <w:pPr>
        <w:spacing w:after="120" w:line="276" w:lineRule="auto"/>
        <w:jc w:val="both"/>
        <w:rPr>
          <w:rFonts w:ascii="Verdana" w:eastAsia="Calibri" w:hAnsi="Verdana" w:cs="Arial"/>
          <w:lang w:val="es-ES" w:eastAsia="es-ES"/>
        </w:rPr>
      </w:pPr>
      <w:r w:rsidRPr="007D460E">
        <w:rPr>
          <w:rFonts w:ascii="Verdana" w:eastAsia="Calibri" w:hAnsi="Verdana" w:cs="Arial"/>
          <w:lang w:val="es-ES" w:eastAsia="es-ES"/>
        </w:rPr>
        <w:t>En ejercicio de la competencia otorgada por los artículos 3, numeral 5º, y 11, numeral 8º, del Decreto Ley 4170 de 2011,</w:t>
      </w:r>
      <w:r w:rsidRPr="007D460E">
        <w:rPr>
          <w:rFonts w:ascii="Verdana" w:eastAsia="Arial MT" w:hAnsi="Verdana" w:cs="Arial MT"/>
          <w:lang w:val="es-ES" w:eastAsia="es-ES"/>
        </w:rPr>
        <w:t xml:space="preserve"> </w:t>
      </w:r>
      <w:r w:rsidRPr="007D460E">
        <w:rPr>
          <w:rFonts w:ascii="Verdana" w:eastAsia="Calibri" w:hAnsi="Verdana" w:cs="Arial"/>
          <w:lang w:val="es-ES" w:eastAsia="es-ES"/>
        </w:rPr>
        <w:t xml:space="preserve">la Agencia Nacional de Contratación Pública – Colombia Compra Eficiente– responde las solicitudes de consulta </w:t>
      </w:r>
      <w:r w:rsidR="006C04FC" w:rsidRPr="007D460E">
        <w:rPr>
          <w:rFonts w:ascii="Verdana" w:eastAsia="Calibri" w:hAnsi="Verdana" w:cs="Arial"/>
          <w:lang w:val="es-ES" w:eastAsia="es-ES"/>
        </w:rPr>
        <w:t xml:space="preserve">traslada por parte del Departamento Administrativo de la Función Pública </w:t>
      </w:r>
      <w:r w:rsidRPr="007D460E">
        <w:rPr>
          <w:rFonts w:ascii="Verdana" w:eastAsia="Calibri" w:hAnsi="Verdana" w:cs="Arial"/>
          <w:lang w:val="es-ES" w:eastAsia="es-ES"/>
        </w:rPr>
        <w:t>del 23 de agosto de 2024. En la cual manifiesta lo siguiente:</w:t>
      </w:r>
    </w:p>
    <w:p w14:paraId="6A87FB88" w14:textId="77777777" w:rsidR="0009766F" w:rsidRPr="007D460E" w:rsidRDefault="0009766F" w:rsidP="0009766F">
      <w:pPr>
        <w:spacing w:after="120" w:line="276" w:lineRule="auto"/>
        <w:jc w:val="both"/>
        <w:rPr>
          <w:rFonts w:ascii="Verdana" w:eastAsia="Calibri" w:hAnsi="Verdana" w:cs="Arial"/>
          <w:lang w:val="es-ES" w:eastAsia="es-ES"/>
        </w:rPr>
      </w:pPr>
    </w:p>
    <w:p w14:paraId="5460E11E" w14:textId="790E0661" w:rsidR="0009766F" w:rsidRPr="007D460E" w:rsidRDefault="0009766F" w:rsidP="0009766F">
      <w:pPr>
        <w:spacing w:after="0" w:line="240" w:lineRule="auto"/>
        <w:ind w:left="709" w:right="709"/>
        <w:jc w:val="both"/>
        <w:rPr>
          <w:rFonts w:ascii="Verdana" w:eastAsia="Calibri" w:hAnsi="Verdana" w:cs="Arial"/>
          <w:sz w:val="20"/>
          <w:szCs w:val="20"/>
          <w:lang w:val="es-ES" w:eastAsia="es-ES"/>
        </w:rPr>
      </w:pPr>
      <w:r w:rsidRPr="007D460E">
        <w:rPr>
          <w:rFonts w:ascii="Verdana" w:eastAsia="Calibri" w:hAnsi="Verdana" w:cs="Arial"/>
          <w:sz w:val="20"/>
          <w:szCs w:val="20"/>
          <w:lang w:val="es-ES" w:eastAsia="es-ES"/>
        </w:rPr>
        <w:t xml:space="preserve">“(…) </w:t>
      </w:r>
    </w:p>
    <w:p w14:paraId="65896DB8" w14:textId="2DA395F5" w:rsidR="0009766F" w:rsidRPr="007D460E" w:rsidRDefault="0009766F" w:rsidP="006C04FC">
      <w:pPr>
        <w:spacing w:after="0" w:line="240" w:lineRule="auto"/>
        <w:ind w:left="709" w:right="709"/>
        <w:jc w:val="both"/>
        <w:rPr>
          <w:rFonts w:ascii="Verdana" w:hAnsi="Verdana"/>
          <w:sz w:val="20"/>
        </w:rPr>
      </w:pPr>
      <w:r w:rsidRPr="007D460E">
        <w:rPr>
          <w:rFonts w:ascii="Verdana" w:hAnsi="Verdana"/>
          <w:sz w:val="20"/>
        </w:rPr>
        <w:t>1. Con base en lo dispuesto en el artículo 2.2.2.3.3 del Decreto 1083 de 2015, ¿Es jurídicamente viable que una Entidad estatal celebre un contrato de prestación de servicios profesionales con un profesional en Administración Pública, cuyo título ha sido debidamente acreditado, pero cuya tarjeta profesional se encuentra actualmente en trámite, considerando que se dispone de un año desde la fecha de posesión para la presentación de dicha tarjeta?</w:t>
      </w:r>
    </w:p>
    <w:p w14:paraId="77BCA58D" w14:textId="1B28125A" w:rsidR="0009766F" w:rsidRPr="007D460E" w:rsidRDefault="0009766F" w:rsidP="006C04FC">
      <w:pPr>
        <w:spacing w:after="0" w:line="240" w:lineRule="auto"/>
        <w:ind w:left="709" w:right="709"/>
        <w:jc w:val="both"/>
        <w:rPr>
          <w:rFonts w:ascii="Verdana" w:eastAsia="Calibri" w:hAnsi="Verdana" w:cs="Arial"/>
          <w:sz w:val="18"/>
          <w:szCs w:val="20"/>
          <w:lang w:val="es-ES" w:eastAsia="es-ES"/>
        </w:rPr>
      </w:pPr>
    </w:p>
    <w:p w14:paraId="6B54D18C" w14:textId="20196B33" w:rsidR="0009766F" w:rsidRPr="007D460E" w:rsidRDefault="0009766F" w:rsidP="006C04FC">
      <w:pPr>
        <w:spacing w:after="0" w:line="240" w:lineRule="auto"/>
        <w:ind w:left="709" w:right="709"/>
        <w:jc w:val="both"/>
        <w:rPr>
          <w:rFonts w:ascii="Verdana" w:hAnsi="Verdana"/>
          <w:sz w:val="20"/>
        </w:rPr>
      </w:pPr>
      <w:r w:rsidRPr="007D460E">
        <w:rPr>
          <w:rFonts w:ascii="Verdana" w:hAnsi="Verdana"/>
          <w:sz w:val="20"/>
        </w:rPr>
        <w:t xml:space="preserve">2. De conformidad con el art. </w:t>
      </w:r>
      <w:proofErr w:type="spellStart"/>
      <w:r w:rsidRPr="007D460E">
        <w:rPr>
          <w:rFonts w:ascii="Verdana" w:hAnsi="Verdana"/>
          <w:sz w:val="20"/>
        </w:rPr>
        <w:t>2.2.5.6.7.del</w:t>
      </w:r>
      <w:proofErr w:type="spellEnd"/>
      <w:r w:rsidRPr="007D460E">
        <w:rPr>
          <w:rFonts w:ascii="Verdana" w:hAnsi="Verdana"/>
          <w:sz w:val="20"/>
        </w:rPr>
        <w:t xml:space="preserve"> Decreto 1083 de 2015 (Adicionado por el Art. 1 del Decreto 952 de 2021) y en consecuencia con </w:t>
      </w:r>
      <w:r w:rsidRPr="007D460E">
        <w:rPr>
          <w:rFonts w:ascii="Verdana" w:hAnsi="Verdana"/>
          <w:sz w:val="20"/>
        </w:rPr>
        <w:lastRenderedPageBreak/>
        <w:t xml:space="preserve">el art. 2 de la Ley 2039 de </w:t>
      </w:r>
      <w:proofErr w:type="spellStart"/>
      <w:r w:rsidRPr="007D460E">
        <w:rPr>
          <w:rFonts w:ascii="Verdana" w:hAnsi="Verdana"/>
          <w:sz w:val="20"/>
        </w:rPr>
        <w:t>2020,¿Para</w:t>
      </w:r>
      <w:proofErr w:type="spellEnd"/>
      <w:r w:rsidRPr="007D460E">
        <w:rPr>
          <w:rFonts w:ascii="Verdana" w:hAnsi="Verdana"/>
          <w:sz w:val="20"/>
        </w:rPr>
        <w:t xml:space="preserve"> la celebración de un contrato de servicios profesionales con jóvenes entre los 18 y 28 años, es posible acreditar como experiencia profesional válida los contratos de prestación de servicios de apoyo a la gestión ejecutados antes de la obtención del título (Experiencia Previa) en Administración Pública, siempre que dichos contratos guarden una relación directa con el programa académico cursado, es decir el de Administración pública?</w:t>
      </w:r>
    </w:p>
    <w:p w14:paraId="0A325461" w14:textId="47DBC057" w:rsidR="0009766F" w:rsidRPr="007D460E" w:rsidRDefault="0009766F" w:rsidP="006C04FC">
      <w:pPr>
        <w:spacing w:after="0" w:line="240" w:lineRule="auto"/>
        <w:ind w:left="709" w:right="709"/>
        <w:jc w:val="both"/>
        <w:rPr>
          <w:rFonts w:ascii="Verdana" w:eastAsia="Calibri" w:hAnsi="Verdana" w:cs="Arial"/>
          <w:sz w:val="18"/>
          <w:szCs w:val="20"/>
          <w:lang w:val="es-ES" w:eastAsia="es-ES"/>
        </w:rPr>
      </w:pPr>
    </w:p>
    <w:p w14:paraId="546E9ECC" w14:textId="1BAA17A8" w:rsidR="0009766F" w:rsidRPr="007D460E" w:rsidRDefault="0009766F" w:rsidP="006C04FC">
      <w:pPr>
        <w:spacing w:after="0" w:line="240" w:lineRule="auto"/>
        <w:ind w:left="709" w:right="709"/>
        <w:jc w:val="both"/>
        <w:rPr>
          <w:rFonts w:ascii="Verdana" w:hAnsi="Verdana"/>
          <w:sz w:val="20"/>
        </w:rPr>
      </w:pPr>
      <w:r w:rsidRPr="007D460E">
        <w:rPr>
          <w:rFonts w:ascii="Verdana" w:hAnsi="Verdana"/>
          <w:sz w:val="20"/>
        </w:rPr>
        <w:t>3. Para efectos de acreditar Experiencia Previa como Experiencia Profesional válida a efectos de celebrar un contrato de prestación de servicios profesionales, ¿es suficiente la certificación de un contrato de prestación de servicios de apoyo a la gestión, que incluya la relación de obligaciones directamente asociadas al programa de Administración Pública, de conformidad con lo establecido en el Artículo 2.2.5.6.5 del Decreto 1083 de 2015?</w:t>
      </w:r>
    </w:p>
    <w:p w14:paraId="675A4DDD" w14:textId="0E69FC38" w:rsidR="0009766F" w:rsidRPr="007D460E" w:rsidRDefault="0009766F" w:rsidP="006C04FC">
      <w:pPr>
        <w:spacing w:after="0" w:line="240" w:lineRule="auto"/>
        <w:ind w:left="709" w:right="709"/>
        <w:jc w:val="both"/>
        <w:rPr>
          <w:rFonts w:ascii="Verdana" w:eastAsia="Calibri" w:hAnsi="Verdana" w:cs="Arial"/>
          <w:sz w:val="18"/>
          <w:szCs w:val="20"/>
          <w:lang w:val="es-ES" w:eastAsia="es-ES"/>
        </w:rPr>
      </w:pPr>
    </w:p>
    <w:p w14:paraId="12FD9729" w14:textId="2E7647AA" w:rsidR="0009766F" w:rsidRPr="007D460E" w:rsidRDefault="0009766F" w:rsidP="006C04FC">
      <w:pPr>
        <w:spacing w:after="0" w:line="240" w:lineRule="auto"/>
        <w:ind w:left="709" w:right="709"/>
        <w:jc w:val="both"/>
        <w:rPr>
          <w:rFonts w:ascii="Verdana" w:hAnsi="Verdana"/>
          <w:sz w:val="20"/>
        </w:rPr>
      </w:pPr>
      <w:r w:rsidRPr="007D460E">
        <w:rPr>
          <w:rFonts w:ascii="Verdana" w:hAnsi="Verdana"/>
          <w:sz w:val="20"/>
        </w:rPr>
        <w:t xml:space="preserve">4. De conformidad con los artículos 1 y 6 de la Ley 2043 de 2020 ¿es posible acreditar prácticas profesionales llevadas a cabo en </w:t>
      </w:r>
      <w:proofErr w:type="spellStart"/>
      <w:r w:rsidRPr="007D460E">
        <w:rPr>
          <w:rFonts w:ascii="Verdana" w:hAnsi="Verdana"/>
          <w:sz w:val="20"/>
        </w:rPr>
        <w:t>FONDECUN</w:t>
      </w:r>
      <w:proofErr w:type="spellEnd"/>
      <w:r w:rsidRPr="007D460E">
        <w:rPr>
          <w:rFonts w:ascii="Verdana" w:hAnsi="Verdana"/>
          <w:sz w:val="20"/>
        </w:rPr>
        <w:t xml:space="preserve"> - Fondo de Desarrollo de Proyectos de Cundinamarca como experiencia profesional válida para efectos de celebrar un contrato de prestación de servicios profesionales con una Entidad Pública si las actividades de la práctica se llevaron a cabo durante un periodo de más de seis meses y si las mismas están directamente relacionadas con el objeto que se pretende contratar?</w:t>
      </w:r>
    </w:p>
    <w:p w14:paraId="0AA805E0" w14:textId="6AF60FEE" w:rsidR="0009766F" w:rsidRPr="007D460E" w:rsidRDefault="0009766F" w:rsidP="006C04FC">
      <w:pPr>
        <w:spacing w:after="0" w:line="240" w:lineRule="auto"/>
        <w:ind w:left="709" w:right="709"/>
        <w:jc w:val="both"/>
        <w:rPr>
          <w:rFonts w:ascii="Verdana" w:eastAsia="Calibri" w:hAnsi="Verdana" w:cs="Arial"/>
          <w:sz w:val="18"/>
          <w:szCs w:val="20"/>
          <w:lang w:val="es-ES" w:eastAsia="es-ES"/>
        </w:rPr>
      </w:pPr>
    </w:p>
    <w:p w14:paraId="7CCE0815" w14:textId="1BBB13D9" w:rsidR="0009766F" w:rsidRPr="007D460E" w:rsidRDefault="0009766F" w:rsidP="006C04FC">
      <w:pPr>
        <w:spacing w:after="0" w:line="240" w:lineRule="auto"/>
        <w:ind w:left="709" w:right="709"/>
        <w:jc w:val="both"/>
        <w:rPr>
          <w:rFonts w:ascii="Verdana" w:hAnsi="Verdana"/>
          <w:sz w:val="20"/>
        </w:rPr>
      </w:pPr>
      <w:r w:rsidRPr="007D460E">
        <w:rPr>
          <w:rFonts w:ascii="Verdana" w:hAnsi="Verdana"/>
          <w:sz w:val="20"/>
        </w:rPr>
        <w:t>5. Considerando lo dispuesto en el Artículo 229 del Decreto Ley 019 de 2012 y el Artículo 2.2.2.3.7 del Decreto 1083 de 2015, ¿puede acreditarse la experiencia adquirida entre la terminación de materias y la obtención del título profesional como experiencia profesional en el ejercicio de la profesión correspondiente?</w:t>
      </w:r>
    </w:p>
    <w:p w14:paraId="72F521DB" w14:textId="4120B27A" w:rsidR="0009766F" w:rsidRPr="007D460E" w:rsidRDefault="0009766F" w:rsidP="006C04FC">
      <w:pPr>
        <w:spacing w:after="0" w:line="240" w:lineRule="auto"/>
        <w:ind w:left="709" w:right="709"/>
        <w:jc w:val="both"/>
        <w:rPr>
          <w:rFonts w:ascii="Verdana" w:eastAsia="Calibri" w:hAnsi="Verdana" w:cs="Arial"/>
          <w:sz w:val="18"/>
          <w:szCs w:val="20"/>
          <w:lang w:val="es-ES" w:eastAsia="es-ES"/>
        </w:rPr>
      </w:pPr>
    </w:p>
    <w:p w14:paraId="1E6BC15F" w14:textId="4464CF86" w:rsidR="0009766F" w:rsidRPr="007D460E" w:rsidRDefault="0009766F" w:rsidP="006C04FC">
      <w:pPr>
        <w:spacing w:after="0" w:line="240" w:lineRule="auto"/>
        <w:ind w:left="709" w:right="709"/>
        <w:jc w:val="both"/>
        <w:rPr>
          <w:rFonts w:ascii="Verdana" w:hAnsi="Verdana"/>
          <w:sz w:val="20"/>
        </w:rPr>
      </w:pPr>
      <w:r w:rsidRPr="007D460E">
        <w:rPr>
          <w:rFonts w:ascii="Verdana" w:hAnsi="Verdana"/>
          <w:sz w:val="20"/>
        </w:rPr>
        <w:t xml:space="preserve">6. </w:t>
      </w:r>
      <w:proofErr w:type="gramStart"/>
      <w:r w:rsidRPr="007D460E">
        <w:rPr>
          <w:rFonts w:ascii="Verdana" w:hAnsi="Verdana"/>
          <w:sz w:val="20"/>
        </w:rPr>
        <w:t>¿Las equivalencias entre estudios y experiencia de que trata el artículo 2.</w:t>
      </w:r>
      <w:proofErr w:type="gramEnd"/>
      <w:r w:rsidRPr="007D460E">
        <w:rPr>
          <w:rFonts w:ascii="Verdana" w:hAnsi="Verdana"/>
          <w:sz w:val="20"/>
        </w:rPr>
        <w:t>2.2.5.1 del Decreto 1083 de 2015, son aplicables para contratos de prestación de servicios? De no es así, ¿debe aplicarse entonces la tabla de honorarios y el manual de contratación de cada Entidad para la contratación de servicios profesionales?</w:t>
      </w:r>
    </w:p>
    <w:p w14:paraId="6A7A2F9A" w14:textId="6C8124AC" w:rsidR="0009766F" w:rsidRPr="007D460E" w:rsidRDefault="0009766F" w:rsidP="006C04FC">
      <w:pPr>
        <w:spacing w:after="0" w:line="240" w:lineRule="auto"/>
        <w:ind w:left="709" w:right="709"/>
        <w:jc w:val="both"/>
        <w:rPr>
          <w:rFonts w:ascii="Verdana" w:eastAsia="Calibri" w:hAnsi="Verdana" w:cs="Arial"/>
          <w:sz w:val="18"/>
          <w:szCs w:val="20"/>
          <w:lang w:val="es-ES" w:eastAsia="es-ES"/>
        </w:rPr>
      </w:pPr>
    </w:p>
    <w:p w14:paraId="23A9204E" w14:textId="0BFCE322" w:rsidR="0009766F" w:rsidRPr="007D460E" w:rsidRDefault="0009766F" w:rsidP="0009766F">
      <w:pPr>
        <w:spacing w:after="0" w:line="240" w:lineRule="auto"/>
        <w:ind w:left="709" w:right="709"/>
        <w:jc w:val="both"/>
        <w:rPr>
          <w:rFonts w:ascii="Verdana" w:hAnsi="Verdana"/>
          <w:sz w:val="20"/>
        </w:rPr>
      </w:pPr>
      <w:r w:rsidRPr="007D460E">
        <w:rPr>
          <w:rFonts w:ascii="Verdana" w:hAnsi="Verdana"/>
          <w:sz w:val="20"/>
        </w:rPr>
        <w:t xml:space="preserve">7. De conformidad con el Artículo 2.2.5.6.3 y 2.2.5.6.7 del Decreto 1083 de 2015, el Artículo 2 de la Ley 2039 de 2020 que promueve el acceso de jóvenes al sector público y la Sentencia del Consejo de Estado con Radicación número 15001-23- 31-000-2004-00457-02(3645) del 24 de noviembre de 2005 Consejero ponente: Filemón Jiménez Ochoa ¿El periodo desempeñado como Concejal y como Vicepresidente de un Concejo Municipal (experiencia previa) se puede acreditar como Experiencia Profesional válida para celebrar un contrato de prestación de servicios profesionales si durante el mismo periodo se cursaba la carrera de Administración Pública y si el Concejal tenía entre 18 y 28 años? De no ser así, ¿Es posible acreditar la misma como Experiencia Relacionada si el </w:t>
      </w:r>
      <w:r w:rsidRPr="007D460E">
        <w:rPr>
          <w:rFonts w:ascii="Verdana" w:hAnsi="Verdana"/>
          <w:sz w:val="20"/>
        </w:rPr>
        <w:lastRenderedPageBreak/>
        <w:t xml:space="preserve">objeto del contrato está directamente relacionado con las funciones desempeñadas como </w:t>
      </w:r>
      <w:proofErr w:type="gramStart"/>
      <w:r w:rsidRPr="007D460E">
        <w:rPr>
          <w:rFonts w:ascii="Verdana" w:hAnsi="Verdana"/>
          <w:sz w:val="20"/>
        </w:rPr>
        <w:t>Concejal</w:t>
      </w:r>
      <w:proofErr w:type="gramEnd"/>
      <w:r w:rsidRPr="007D460E">
        <w:rPr>
          <w:rFonts w:ascii="Verdana" w:hAnsi="Verdana"/>
          <w:sz w:val="20"/>
        </w:rPr>
        <w:t>?</w:t>
      </w:r>
      <w:r w:rsidR="006C04FC" w:rsidRPr="007D460E">
        <w:rPr>
          <w:rFonts w:ascii="Verdana" w:hAnsi="Verdana"/>
          <w:sz w:val="20"/>
        </w:rPr>
        <w:t xml:space="preserve"> </w:t>
      </w:r>
      <w:r w:rsidRPr="007D460E">
        <w:rPr>
          <w:rFonts w:ascii="Verdana" w:hAnsi="Verdana"/>
          <w:sz w:val="20"/>
        </w:rPr>
        <w:t>(…)</w:t>
      </w:r>
      <w:r w:rsidR="006C04FC" w:rsidRPr="007D460E">
        <w:rPr>
          <w:rFonts w:ascii="Verdana" w:hAnsi="Verdana"/>
          <w:sz w:val="20"/>
        </w:rPr>
        <w:t>”</w:t>
      </w:r>
    </w:p>
    <w:p w14:paraId="3A9E8D7B" w14:textId="6EF74ACB" w:rsidR="0009766F" w:rsidRPr="007D460E" w:rsidRDefault="0009766F" w:rsidP="0009766F">
      <w:pPr>
        <w:spacing w:after="0" w:line="240" w:lineRule="auto"/>
        <w:ind w:left="709" w:right="709"/>
        <w:jc w:val="both"/>
        <w:rPr>
          <w:rFonts w:ascii="Verdana" w:hAnsi="Verdana"/>
          <w:sz w:val="20"/>
        </w:rPr>
      </w:pPr>
      <w:r w:rsidRPr="007D460E">
        <w:rPr>
          <w:rFonts w:ascii="Verdana" w:eastAsia="Calibri" w:hAnsi="Verdana" w:cs="Arial"/>
          <w:sz w:val="20"/>
          <w:szCs w:val="20"/>
          <w:lang w:val="es-ES" w:eastAsia="es-ES"/>
        </w:rPr>
        <w:cr/>
      </w:r>
    </w:p>
    <w:p w14:paraId="6FA68711" w14:textId="77777777" w:rsidR="0009766F" w:rsidRPr="007D460E" w:rsidRDefault="0009766F" w:rsidP="0009766F">
      <w:pPr>
        <w:spacing w:after="120" w:line="276" w:lineRule="auto"/>
        <w:jc w:val="both"/>
        <w:rPr>
          <w:rFonts w:ascii="Verdana" w:eastAsia="Calibri" w:hAnsi="Verdana" w:cs="Arial"/>
          <w:lang w:val="es-ES" w:eastAsia="es-ES"/>
        </w:rPr>
      </w:pPr>
      <w:r w:rsidRPr="007D460E">
        <w:rPr>
          <w:rFonts w:ascii="Verdana" w:eastAsia="Calibri" w:hAnsi="Verdana" w:cs="Arial"/>
          <w:lang w:val="es-ES_tradnl" w:eastAsia="es-ES_tradnl"/>
        </w:rPr>
        <w:tab/>
      </w:r>
      <w:r w:rsidRPr="007D460E">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629879C8" w14:textId="77777777" w:rsidR="0009766F" w:rsidRPr="007D460E" w:rsidRDefault="0009766F" w:rsidP="0009766F">
      <w:pPr>
        <w:spacing w:after="0" w:line="276" w:lineRule="auto"/>
        <w:jc w:val="both"/>
        <w:rPr>
          <w:rFonts w:ascii="Verdana" w:eastAsia="Calibri" w:hAnsi="Verdana" w:cs="Arial"/>
          <w:lang w:val="es-ES" w:eastAsia="es-ES"/>
        </w:rPr>
      </w:pPr>
      <w:r w:rsidRPr="007D460E">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E84C8FF" w14:textId="77777777" w:rsidR="0009766F" w:rsidRPr="007D460E" w:rsidRDefault="0009766F" w:rsidP="0009766F">
      <w:pPr>
        <w:spacing w:after="0" w:line="276" w:lineRule="auto"/>
        <w:jc w:val="both"/>
        <w:rPr>
          <w:rFonts w:ascii="Verdana" w:eastAsia="Calibri" w:hAnsi="Verdana" w:cs="Arial"/>
          <w:lang w:val="es-ES" w:eastAsia="es-ES"/>
        </w:rPr>
      </w:pPr>
    </w:p>
    <w:p w14:paraId="171FA23A" w14:textId="77777777" w:rsidR="0009766F" w:rsidRPr="007D460E" w:rsidRDefault="0009766F" w:rsidP="0009766F">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7D460E">
        <w:rPr>
          <w:rFonts w:ascii="Verdana" w:eastAsia="Century Gothic" w:hAnsi="Verdana" w:cs="Century Gothic"/>
          <w:b/>
          <w:bCs/>
          <w:lang w:val="es-ES"/>
        </w:rPr>
        <w:t>Problema planteado:</w:t>
      </w:r>
    </w:p>
    <w:p w14:paraId="339F3867" w14:textId="77777777" w:rsidR="0009766F" w:rsidRPr="007D460E" w:rsidRDefault="0009766F" w:rsidP="0009766F">
      <w:pPr>
        <w:spacing w:after="0" w:line="240" w:lineRule="auto"/>
        <w:jc w:val="both"/>
        <w:rPr>
          <w:rFonts w:ascii="Verdana" w:eastAsia="Century Gothic" w:hAnsi="Verdana" w:cs="Century Gothic"/>
        </w:rPr>
      </w:pPr>
    </w:p>
    <w:p w14:paraId="7E439D22" w14:textId="66A0D1B6" w:rsidR="0009766F" w:rsidRPr="007D460E" w:rsidRDefault="0009766F" w:rsidP="0009766F">
      <w:pPr>
        <w:spacing w:after="0" w:line="276" w:lineRule="auto"/>
        <w:jc w:val="both"/>
        <w:rPr>
          <w:rFonts w:ascii="Verdana" w:eastAsia="Century Gothic" w:hAnsi="Verdana" w:cs="Century Gothic"/>
        </w:rPr>
      </w:pPr>
      <w:r w:rsidRPr="007D460E">
        <w:rPr>
          <w:rFonts w:ascii="Verdana" w:eastAsia="Century Gothic" w:hAnsi="Verdana" w:cs="Century Gothic"/>
        </w:rPr>
        <w:t>De acuerdo con el contenido de su solicitud, esta Agencia</w:t>
      </w:r>
      <w:r w:rsidR="00F400F0" w:rsidRPr="007D460E">
        <w:rPr>
          <w:rFonts w:ascii="Verdana" w:eastAsia="Century Gothic" w:hAnsi="Verdana" w:cs="Century Gothic"/>
        </w:rPr>
        <w:t xml:space="preserve"> resolverá los siguientes problemas jurídicos</w:t>
      </w:r>
      <w:r w:rsidRPr="007D460E">
        <w:rPr>
          <w:rFonts w:ascii="Verdana" w:eastAsia="Century Gothic" w:hAnsi="Verdana" w:cs="Century Gothic"/>
        </w:rPr>
        <w:t xml:space="preserve"> i) </w:t>
      </w:r>
      <w:r w:rsidR="00F400F0" w:rsidRPr="007D460E">
        <w:rPr>
          <w:rFonts w:ascii="Verdana" w:eastAsia="Century Gothic" w:hAnsi="Verdana" w:cs="Century Gothic"/>
        </w:rPr>
        <w:t>¿Se puede celebrar un contrato de prestación de servicios profesionales con un profesional en Administración Pública que no cuente con la tarjeta profesional</w:t>
      </w:r>
      <w:r w:rsidRPr="007D460E">
        <w:rPr>
          <w:rFonts w:ascii="Verdana" w:eastAsia="Century Gothic" w:hAnsi="Verdana" w:cs="Century Gothic"/>
        </w:rPr>
        <w:t xml:space="preserve">?; </w:t>
      </w:r>
      <w:proofErr w:type="spellStart"/>
      <w:r w:rsidRPr="007D460E">
        <w:rPr>
          <w:rFonts w:ascii="Verdana" w:eastAsia="Century Gothic" w:hAnsi="Verdana" w:cs="Century Gothic"/>
        </w:rPr>
        <w:t>ii</w:t>
      </w:r>
      <w:proofErr w:type="spellEnd"/>
      <w:r w:rsidRPr="007D460E">
        <w:rPr>
          <w:rFonts w:ascii="Verdana" w:eastAsia="Century Gothic" w:hAnsi="Verdana" w:cs="Century Gothic"/>
        </w:rPr>
        <w:t xml:space="preserve">) </w:t>
      </w:r>
      <w:r w:rsidR="00F400F0" w:rsidRPr="007D460E">
        <w:rPr>
          <w:rFonts w:ascii="Verdana" w:eastAsia="Century Gothic" w:hAnsi="Verdana" w:cs="Century Gothic"/>
        </w:rPr>
        <w:t>¿Cómo se puede acreditar la experiencia profesional para la celebración de los contratos de prestación de servicios</w:t>
      </w:r>
      <w:r w:rsidRPr="007D460E">
        <w:rPr>
          <w:rFonts w:ascii="Verdana" w:eastAsia="Century Gothic" w:hAnsi="Verdana" w:cs="Century Gothic"/>
        </w:rPr>
        <w:t>?</w:t>
      </w:r>
      <w:r w:rsidR="00F400F0" w:rsidRPr="007D460E">
        <w:rPr>
          <w:rFonts w:ascii="Verdana" w:eastAsia="Century Gothic" w:hAnsi="Verdana" w:cs="Century Gothic"/>
        </w:rPr>
        <w:t xml:space="preserve">, </w:t>
      </w:r>
      <w:proofErr w:type="spellStart"/>
      <w:r w:rsidR="00935EA4" w:rsidRPr="007D460E">
        <w:rPr>
          <w:rFonts w:ascii="Verdana" w:eastAsia="Century Gothic" w:hAnsi="Verdana" w:cs="Century Gothic"/>
        </w:rPr>
        <w:t>iii</w:t>
      </w:r>
      <w:proofErr w:type="spellEnd"/>
      <w:r w:rsidR="00935EA4" w:rsidRPr="007D460E">
        <w:rPr>
          <w:rFonts w:ascii="Verdana" w:eastAsia="Century Gothic" w:hAnsi="Verdana" w:cs="Century Gothic"/>
        </w:rPr>
        <w:t xml:space="preserve">) </w:t>
      </w:r>
      <w:r w:rsidR="00A77793" w:rsidRPr="007D460E">
        <w:rPr>
          <w:rFonts w:ascii="Verdana" w:eastAsia="Century Gothic" w:hAnsi="Verdana" w:cs="Century Gothic"/>
        </w:rPr>
        <w:t xml:space="preserve">le es aplicable las equivalencias que trata el artículo 2.2.2.5.1 del Decreto 1083 de 2015 a los contratos de prestación de servicios? </w:t>
      </w:r>
      <w:r w:rsidRPr="007D460E">
        <w:rPr>
          <w:rFonts w:ascii="Verdana" w:eastAsia="Century Gothic" w:hAnsi="Verdana" w:cs="Century Gothic"/>
        </w:rPr>
        <w:t xml:space="preserve"> </w:t>
      </w:r>
    </w:p>
    <w:p w14:paraId="02F019C4" w14:textId="77777777" w:rsidR="0009766F" w:rsidRPr="007D460E" w:rsidRDefault="0009766F" w:rsidP="0009766F">
      <w:pPr>
        <w:spacing w:after="0" w:line="276" w:lineRule="auto"/>
        <w:jc w:val="both"/>
        <w:rPr>
          <w:rFonts w:ascii="Verdana" w:eastAsia="Century Gothic" w:hAnsi="Verdana" w:cs="Century Gothic"/>
        </w:rPr>
      </w:pPr>
    </w:p>
    <w:p w14:paraId="501923C8" w14:textId="77777777" w:rsidR="0009766F" w:rsidRPr="007D460E" w:rsidRDefault="0009766F" w:rsidP="0009766F">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7D460E">
        <w:rPr>
          <w:rFonts w:ascii="Verdana" w:eastAsia="Century Gothic" w:hAnsi="Verdana" w:cs="Century Gothic"/>
          <w:b/>
          <w:bCs/>
          <w:lang w:val="es-ES"/>
        </w:rPr>
        <w:t>Respuesta:</w:t>
      </w:r>
    </w:p>
    <w:p w14:paraId="6F7E969C" w14:textId="77777777" w:rsidR="0009766F" w:rsidRPr="007D460E" w:rsidRDefault="0009766F" w:rsidP="0009766F">
      <w:pPr>
        <w:tabs>
          <w:tab w:val="left" w:pos="142"/>
          <w:tab w:val="left" w:pos="284"/>
        </w:tabs>
        <w:spacing w:after="0" w:line="276" w:lineRule="auto"/>
        <w:contextualSpacing/>
        <w:jc w:val="both"/>
        <w:rPr>
          <w:rFonts w:ascii="Verdana" w:eastAsia="Century Gothic" w:hAnsi="Verdana" w:cs="Century Gothic"/>
          <w:b/>
          <w:bCs/>
          <w:lang w:val="es-ES"/>
        </w:rPr>
      </w:pPr>
    </w:p>
    <w:p w14:paraId="6664BF2D" w14:textId="3EDD3D68" w:rsidR="0009766F" w:rsidRPr="007D460E" w:rsidRDefault="0009766F" w:rsidP="0009766F">
      <w:pPr>
        <w:tabs>
          <w:tab w:val="left" w:pos="142"/>
          <w:tab w:val="left" w:pos="284"/>
        </w:tabs>
        <w:spacing w:after="120" w:line="276" w:lineRule="auto"/>
        <w:jc w:val="both"/>
        <w:rPr>
          <w:rFonts w:ascii="Verdana" w:eastAsia="Calibri" w:hAnsi="Verdana" w:cs="Arial"/>
          <w:color w:val="000000" w:themeColor="text1"/>
          <w:highlight w:val="yellow"/>
        </w:rPr>
      </w:pPr>
      <w:r w:rsidRPr="007D460E">
        <w:rPr>
          <w:rFonts w:ascii="Verdana" w:eastAsia="Century Gothic" w:hAnsi="Verdana" w:cs="Century Gothic"/>
          <w:i/>
          <w:iCs/>
          <w:lang w:val="es-ES"/>
        </w:rPr>
        <w:t>En primer lugar,</w:t>
      </w:r>
      <w:r w:rsidRPr="007D460E">
        <w:rPr>
          <w:rFonts w:ascii="Verdana" w:eastAsia="Century Gothic" w:hAnsi="Verdana" w:cs="Century Gothic"/>
          <w:lang w:val="es-ES"/>
        </w:rPr>
        <w:t xml:space="preserve"> </w:t>
      </w:r>
      <w:r w:rsidR="00A77793" w:rsidRPr="007D460E">
        <w:rPr>
          <w:rFonts w:ascii="Verdana" w:eastAsia="Century Gothic" w:hAnsi="Verdana" w:cs="Century Gothic"/>
          <w:lang w:val="es-ES"/>
        </w:rPr>
        <w:t>es pertinente señalar que para la celebración de contratos de prestación de servicios profesionales con una persona que sea</w:t>
      </w:r>
      <w:r w:rsidR="00A77793" w:rsidRPr="007D460E">
        <w:rPr>
          <w:rFonts w:ascii="Verdana" w:eastAsia="Calibri" w:hAnsi="Verdana" w:cs="Arial"/>
          <w:color w:val="000000"/>
        </w:rPr>
        <w:t xml:space="preserve"> profesional de Administración </w:t>
      </w:r>
      <w:r w:rsidR="00095F56" w:rsidRPr="007D460E">
        <w:rPr>
          <w:rFonts w:ascii="Verdana" w:eastAsia="Calibri" w:hAnsi="Verdana" w:cs="Arial"/>
          <w:color w:val="000000"/>
        </w:rPr>
        <w:t>Pública</w:t>
      </w:r>
      <w:r w:rsidR="00A77793" w:rsidRPr="007D460E">
        <w:rPr>
          <w:rFonts w:ascii="Verdana" w:eastAsia="Calibri" w:hAnsi="Verdana" w:cs="Arial"/>
          <w:color w:val="000000"/>
        </w:rPr>
        <w:t xml:space="preserve">, es obligatorio que se encuentre inscrito en el Registro </w:t>
      </w:r>
      <w:r w:rsidR="00A77793" w:rsidRPr="007D460E">
        <w:rPr>
          <w:rFonts w:ascii="Verdana" w:eastAsia="Calibri" w:hAnsi="Verdana" w:cs="Arial"/>
          <w:color w:val="000000"/>
        </w:rPr>
        <w:lastRenderedPageBreak/>
        <w:t xml:space="preserve">Único Nacional de Administradores Públicos y tener vigente la Tarjeta Profesional expedida por el Consejo Superior Profesional del Administrador Público. </w:t>
      </w:r>
    </w:p>
    <w:p w14:paraId="5AF92B32" w14:textId="6F221230" w:rsidR="00924977" w:rsidRPr="007D460E" w:rsidRDefault="0009766F" w:rsidP="00924977">
      <w:pPr>
        <w:spacing w:after="0" w:line="259" w:lineRule="auto"/>
        <w:ind w:firstLine="708"/>
        <w:jc w:val="both"/>
        <w:rPr>
          <w:rFonts w:ascii="Verdana" w:eastAsia="Century Gothic" w:hAnsi="Verdana" w:cs="Century Gothic"/>
          <w:bCs/>
          <w:highlight w:val="yellow"/>
          <w:lang w:val="es-ES"/>
        </w:rPr>
      </w:pPr>
      <w:r w:rsidRPr="007D460E">
        <w:rPr>
          <w:rFonts w:ascii="Verdana" w:eastAsia="Century Gothic" w:hAnsi="Verdana" w:cs="Century Gothic"/>
          <w:bCs/>
          <w:i/>
          <w:iCs/>
          <w:lang w:val="es-ES"/>
        </w:rPr>
        <w:t xml:space="preserve">En segundo </w:t>
      </w:r>
      <w:proofErr w:type="gramStart"/>
      <w:r w:rsidRPr="007D460E">
        <w:rPr>
          <w:rFonts w:ascii="Verdana" w:eastAsia="Century Gothic" w:hAnsi="Verdana" w:cs="Century Gothic"/>
          <w:bCs/>
          <w:i/>
          <w:iCs/>
          <w:lang w:val="es-ES"/>
        </w:rPr>
        <w:t>lugar</w:t>
      </w:r>
      <w:r w:rsidRPr="007D460E">
        <w:rPr>
          <w:rFonts w:ascii="Verdana" w:eastAsia="Century Gothic" w:hAnsi="Verdana" w:cs="Century Gothic"/>
          <w:bCs/>
          <w:lang w:val="es-ES"/>
        </w:rPr>
        <w:t xml:space="preserve">,  </w:t>
      </w:r>
      <w:r w:rsidR="00924977" w:rsidRPr="007D460E">
        <w:rPr>
          <w:rFonts w:ascii="Verdana" w:eastAsia="Century Gothic" w:hAnsi="Verdana" w:cs="Century Gothic"/>
          <w:bCs/>
          <w:lang w:val="es-ES"/>
        </w:rPr>
        <w:t>la</w:t>
      </w:r>
      <w:proofErr w:type="gramEnd"/>
      <w:r w:rsidR="00924977" w:rsidRPr="007D460E">
        <w:rPr>
          <w:rFonts w:ascii="Verdana" w:eastAsia="Century Gothic" w:hAnsi="Verdana" w:cs="Century Gothic"/>
          <w:bCs/>
          <w:lang w:val="es-ES"/>
        </w:rPr>
        <w:t xml:space="preserve"> </w:t>
      </w:r>
      <w:r w:rsidR="00924977" w:rsidRPr="007D460E">
        <w:rPr>
          <w:rFonts w:ascii="Verdana" w:eastAsia="Calibri" w:hAnsi="Verdana" w:cs="Arial"/>
          <w:color w:val="000000"/>
        </w:rPr>
        <w:t xml:space="preserve">acreditación de la experiencia </w:t>
      </w:r>
      <w:r w:rsidR="00924977" w:rsidRPr="007D460E">
        <w:rPr>
          <w:rFonts w:ascii="Verdana" w:hAnsi="Verdana" w:cs="Arial"/>
        </w:rPr>
        <w:t xml:space="preserve">profesional, la misma, se debe verificar de acuerdo con lo regulado en el artículo </w:t>
      </w:r>
      <w:r w:rsidR="00924977" w:rsidRPr="007D460E">
        <w:rPr>
          <w:rFonts w:ascii="Verdana" w:hAnsi="Verdana"/>
        </w:rPr>
        <w:t>2.2.2.3.7 del Decreto 1083 de 2015</w:t>
      </w:r>
      <w:r w:rsidR="00924977" w:rsidRPr="007D460E">
        <w:rPr>
          <w:rFonts w:ascii="Verdana" w:hAnsi="Verdana" w:cs="Arial"/>
        </w:rPr>
        <w:t>. En virtud de esta norma, el ejercicio de las diferentes profesiones acreditadas por el Ministerio de Educación Nacional se contabiliza a partir de la terminación y aprobación del pensum académico de educación superior, salvo para las profesiones relacionadas con el sistema de seguridad social en salud, en las cuales la experiencia profesional se computa a partir de la inscripción o registro profesional.</w:t>
      </w:r>
    </w:p>
    <w:p w14:paraId="23FAFA3A" w14:textId="77777777" w:rsidR="00924977" w:rsidRPr="007D460E" w:rsidRDefault="00924977" w:rsidP="00924977">
      <w:pPr>
        <w:pStyle w:val="Prrafodelista"/>
        <w:spacing w:after="0"/>
        <w:ind w:left="714"/>
        <w:jc w:val="both"/>
        <w:rPr>
          <w:rFonts w:ascii="Verdana" w:hAnsi="Verdana" w:cs="Arial"/>
        </w:rPr>
      </w:pPr>
    </w:p>
    <w:p w14:paraId="6E5E4D79" w14:textId="77777777" w:rsidR="00924977" w:rsidRDefault="00924977" w:rsidP="00924977">
      <w:pPr>
        <w:spacing w:after="0" w:line="259" w:lineRule="auto"/>
        <w:ind w:firstLine="708"/>
        <w:jc w:val="both"/>
        <w:rPr>
          <w:rFonts w:ascii="Verdana" w:hAnsi="Verdana" w:cs="Arial"/>
        </w:rPr>
      </w:pPr>
      <w:r w:rsidRPr="007D460E">
        <w:rPr>
          <w:rFonts w:ascii="Verdana" w:hAnsi="Verdana" w:cs="Arial"/>
        </w:rPr>
        <w:t>Por otro lado, valga mencionar que, a partir de la Ley 1955 de 2019 se permite contar como experiencia profesional las prácticas laborales realizadas por estudiantes para obtener el título de grado. De acuerdo con el artículo 15 de la Ley 1780 de 2016, la practica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0490E2FA" w14:textId="77777777" w:rsidR="004F44AE" w:rsidRPr="007D460E" w:rsidRDefault="004F44AE" w:rsidP="00924977">
      <w:pPr>
        <w:spacing w:after="0" w:line="259" w:lineRule="auto"/>
        <w:ind w:firstLine="708"/>
        <w:jc w:val="both"/>
        <w:rPr>
          <w:rFonts w:ascii="Verdana" w:hAnsi="Verdana" w:cs="Arial"/>
        </w:rPr>
      </w:pPr>
    </w:p>
    <w:p w14:paraId="2F18ADF7" w14:textId="2C88E9EE" w:rsidR="00924977" w:rsidRPr="007D460E" w:rsidRDefault="00924977" w:rsidP="00924977">
      <w:pPr>
        <w:spacing w:after="120" w:line="276" w:lineRule="auto"/>
        <w:ind w:firstLine="708"/>
        <w:jc w:val="both"/>
        <w:rPr>
          <w:rFonts w:ascii="Verdana" w:eastAsia="Calibri" w:hAnsi="Verdana" w:cs="Arial"/>
          <w:szCs w:val="24"/>
          <w:lang w:val="es-ES" w:eastAsia="es-ES_tradnl"/>
        </w:rPr>
      </w:pPr>
      <w:r w:rsidRPr="007D460E">
        <w:rPr>
          <w:rFonts w:ascii="Verdana" w:eastAsia="Calibri" w:hAnsi="Verdana" w:cs="Arial"/>
          <w:color w:val="000000" w:themeColor="text1"/>
          <w:lang w:val="es-ES"/>
        </w:rPr>
        <w:t xml:space="preserve">Finalmente se precisa </w:t>
      </w:r>
      <w:proofErr w:type="gramStart"/>
      <w:r w:rsidRPr="007D460E">
        <w:rPr>
          <w:rFonts w:ascii="Verdana" w:eastAsia="Calibri" w:hAnsi="Verdana" w:cs="Arial"/>
          <w:szCs w:val="24"/>
          <w:lang w:val="es-ES" w:eastAsia="es-ES_tradnl"/>
        </w:rPr>
        <w:t>que</w:t>
      </w:r>
      <w:proofErr w:type="gramEnd"/>
      <w:r w:rsidRPr="007D460E">
        <w:rPr>
          <w:rFonts w:ascii="Verdana" w:eastAsia="Calibri" w:hAnsi="Verdana" w:cs="Arial"/>
          <w:szCs w:val="24"/>
          <w:lang w:val="es-ES" w:eastAsia="es-ES_tradnl"/>
        </w:rPr>
        <w:t xml:space="preserve"> para el Contrato de Prestación de Servicios, una vez la entidad ha establecido la experiencia y los estudios que debe tener una persona natural o jurídica para celebrar un contrato de prestación de servicios, en su autonomía y como directora del proceso de contratación debe determinar cómo evaluar que esto se cumpla, sin que sea obligatorio la aplicabilidad el Decreto 1083 de 2015 respecto de la equivalencia entre experiencia y estudios, ya que el artículo 2.1.1.1. que trata del objeto del decreto señala que es para el sector de la función pública en temas como “empleo público; funciones, competencias y requisitos generales para los empleos públicos de los distintos niveles jerárquicos de los organismos y entidades del orden nacional y territorial; administración de personal (…)”, entre otros. </w:t>
      </w:r>
    </w:p>
    <w:p w14:paraId="60D6AF99" w14:textId="77777777" w:rsidR="00924977" w:rsidRPr="007D460E" w:rsidRDefault="00924977" w:rsidP="00095F56">
      <w:pPr>
        <w:spacing w:after="120" w:line="276" w:lineRule="auto"/>
        <w:jc w:val="both"/>
        <w:rPr>
          <w:rFonts w:ascii="Verdana" w:eastAsia="Calibri" w:hAnsi="Verdana" w:cs="Arial"/>
          <w:szCs w:val="24"/>
          <w:lang w:val="es-ES" w:eastAsia="es-ES_tradnl"/>
        </w:rPr>
      </w:pPr>
      <w:r w:rsidRPr="007D460E">
        <w:rPr>
          <w:rFonts w:ascii="Verdana" w:eastAsia="Calibri" w:hAnsi="Verdana" w:cs="Arial"/>
          <w:szCs w:val="24"/>
          <w:lang w:val="es-ES" w:eastAsia="es-ES_tradnl"/>
        </w:rPr>
        <w:t>De acuerdo con el concepto del Departamento Administrativo de la Función Pública</w:t>
      </w:r>
      <w:r w:rsidRPr="007D460E">
        <w:rPr>
          <w:rStyle w:val="Refdenotaalpie"/>
          <w:rFonts w:ascii="Verdana" w:eastAsia="Calibri" w:hAnsi="Verdana" w:cs="Arial"/>
          <w:szCs w:val="24"/>
          <w:lang w:val="es-ES" w:eastAsia="es-ES_tradnl"/>
        </w:rPr>
        <w:footnoteReference w:id="1"/>
      </w:r>
      <w:r w:rsidRPr="007D460E">
        <w:rPr>
          <w:rFonts w:ascii="Verdana" w:eastAsia="Calibri" w:hAnsi="Verdana" w:cs="Arial"/>
          <w:szCs w:val="24"/>
          <w:lang w:val="es-ES" w:eastAsia="es-ES_tradnl"/>
        </w:rPr>
        <w:t xml:space="preserve">, “La relación contractual tiene como características la autonomía e independencia del contratista, por consiguiente, los contratistas no son servidores públicos sino particulares que prestan una función pública (…)”, por lo que no es aplicable el Decreto 1083 de 2015. Ahora bien, la entidad en su autonomía y como rectora del proceso de contratación puede determinar la </w:t>
      </w:r>
      <w:r w:rsidRPr="007D460E">
        <w:rPr>
          <w:rFonts w:ascii="Verdana" w:eastAsia="Calibri" w:hAnsi="Verdana" w:cs="Arial"/>
          <w:szCs w:val="24"/>
          <w:lang w:val="es-ES" w:eastAsia="es-ES_tradnl"/>
        </w:rPr>
        <w:lastRenderedPageBreak/>
        <w:t>observancia de la equivalencia entre experiencia y estudios allí establecida y tendrá que justificarlo en los estudios previos y análisis del sector.</w:t>
      </w:r>
    </w:p>
    <w:p w14:paraId="63CC1034" w14:textId="77777777" w:rsidR="0009766F" w:rsidRPr="007D460E" w:rsidRDefault="0009766F" w:rsidP="0009766F">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7D460E">
        <w:rPr>
          <w:rFonts w:ascii="Verdana" w:eastAsia="Century Gothic" w:hAnsi="Verdana" w:cs="Century Gothic"/>
          <w:b/>
          <w:bCs/>
          <w:lang w:val="es-ES"/>
        </w:rPr>
        <w:t>Razones de la respuesta:</w:t>
      </w:r>
    </w:p>
    <w:p w14:paraId="60450F16" w14:textId="77777777" w:rsidR="00955772" w:rsidRPr="007D460E" w:rsidRDefault="00955772" w:rsidP="004D638C">
      <w:pPr>
        <w:spacing w:after="0" w:line="276" w:lineRule="auto"/>
        <w:jc w:val="both"/>
        <w:rPr>
          <w:rFonts w:ascii="Verdana" w:eastAsia="Calibri" w:hAnsi="Verdana" w:cs="Arial"/>
          <w:lang w:val="es-ES"/>
        </w:rPr>
      </w:pPr>
    </w:p>
    <w:p w14:paraId="1FB7B22E" w14:textId="0D67C033" w:rsidR="004D638C" w:rsidRPr="007D460E" w:rsidRDefault="004D638C" w:rsidP="004D638C">
      <w:pPr>
        <w:spacing w:after="0" w:line="276" w:lineRule="auto"/>
        <w:jc w:val="both"/>
        <w:rPr>
          <w:rFonts w:ascii="Verdana" w:eastAsia="Calibri" w:hAnsi="Verdana" w:cs="Arial"/>
          <w:lang w:val="es-ES"/>
        </w:rPr>
      </w:pPr>
      <w:r w:rsidRPr="007D460E">
        <w:rPr>
          <w:rFonts w:ascii="Verdana" w:eastAsia="Calibri" w:hAnsi="Verdana" w:cs="Arial"/>
          <w:lang w:val="es-ES"/>
        </w:rPr>
        <w:t xml:space="preserve">Lo anterior se sustenta en las siguientes consideraciones: </w:t>
      </w:r>
    </w:p>
    <w:p w14:paraId="653B5870" w14:textId="77777777" w:rsidR="004D638C" w:rsidRPr="007D460E" w:rsidRDefault="004D638C" w:rsidP="004D638C">
      <w:pPr>
        <w:spacing w:after="0" w:line="240" w:lineRule="auto"/>
        <w:jc w:val="both"/>
        <w:rPr>
          <w:rFonts w:ascii="Verdana" w:eastAsia="Calibri" w:hAnsi="Verdana" w:cs="Arial"/>
          <w:color w:val="000000"/>
        </w:rPr>
      </w:pPr>
    </w:p>
    <w:p w14:paraId="30BCB6B3" w14:textId="4FF2CCEC" w:rsidR="004D638C" w:rsidRPr="007D460E" w:rsidRDefault="004D638C" w:rsidP="004D638C">
      <w:pPr>
        <w:spacing w:after="0" w:line="276" w:lineRule="auto"/>
        <w:jc w:val="both"/>
        <w:rPr>
          <w:rFonts w:ascii="Verdana" w:eastAsia="Calibri" w:hAnsi="Verdana" w:cs="Arial"/>
          <w:color w:val="000000"/>
        </w:rPr>
      </w:pPr>
      <w:r w:rsidRPr="007D460E">
        <w:rPr>
          <w:rFonts w:ascii="Verdana" w:eastAsia="Calibri" w:hAnsi="Verdana" w:cs="Arial"/>
          <w:color w:val="000000" w:themeColor="text1"/>
        </w:rPr>
        <w:t xml:space="preserve">Para iniciar, se debe acudir a la tipología del contrato de prestación de servicios, el cual, es uno de los tipos contractuales consagrados en el Estatuto General de Contratación de la Administración Pública-EGCAP-, que pueden celebrar las entidades estatales. Se trata de un contrato típico, ya que se encuentra definido en la ley. Concretamente, el numeral 3 del artículo 32, de la </w:t>
      </w:r>
      <w:bookmarkStart w:id="0" w:name="_Hlk176438300"/>
      <w:r w:rsidRPr="007D460E">
        <w:rPr>
          <w:rFonts w:ascii="Verdana" w:eastAsia="Calibri" w:hAnsi="Verdana" w:cs="Arial"/>
          <w:color w:val="000000" w:themeColor="text1"/>
        </w:rPr>
        <w:t>Ley 80 de 1993</w:t>
      </w:r>
      <w:bookmarkEnd w:id="0"/>
      <w:r w:rsidRPr="007D460E">
        <w:rPr>
          <w:rFonts w:ascii="Verdana" w:eastAsia="Calibri" w:hAnsi="Verdana" w:cs="Arial"/>
          <w:color w:val="000000" w:themeColor="text1"/>
        </w:rPr>
        <w:t>, el cual establece:</w:t>
      </w:r>
    </w:p>
    <w:p w14:paraId="52B9CE16" w14:textId="77777777" w:rsidR="004D638C" w:rsidRPr="007D460E" w:rsidRDefault="004D638C" w:rsidP="004D638C">
      <w:pPr>
        <w:spacing w:after="0" w:line="240" w:lineRule="auto"/>
        <w:jc w:val="both"/>
        <w:rPr>
          <w:rFonts w:ascii="Verdana" w:eastAsia="Calibri" w:hAnsi="Verdana" w:cs="Arial"/>
          <w:color w:val="000000"/>
          <w:lang w:val="es-ES_tradnl"/>
        </w:rPr>
      </w:pPr>
    </w:p>
    <w:p w14:paraId="3D2412C2" w14:textId="77777777" w:rsidR="004D638C" w:rsidRPr="007D460E" w:rsidRDefault="004D638C" w:rsidP="004D638C">
      <w:pPr>
        <w:spacing w:after="0" w:line="240" w:lineRule="auto"/>
        <w:ind w:left="709" w:right="709"/>
        <w:jc w:val="both"/>
        <w:rPr>
          <w:rFonts w:ascii="Verdana" w:eastAsia="Calibri" w:hAnsi="Verdana" w:cs="Arial"/>
          <w:color w:val="000000"/>
          <w:sz w:val="20"/>
          <w:szCs w:val="21"/>
          <w:lang w:val="es-ES_tradnl"/>
        </w:rPr>
      </w:pPr>
      <w:r w:rsidRPr="007D460E">
        <w:rPr>
          <w:rFonts w:ascii="Verdana" w:eastAsia="Calibri" w:hAnsi="Verdana" w:cs="Arial"/>
          <w:color w:val="000000"/>
          <w:sz w:val="21"/>
          <w:szCs w:val="21"/>
          <w:lang w:val="es-ES_tradnl"/>
        </w:rPr>
        <w:t>“</w:t>
      </w:r>
      <w:r w:rsidRPr="007D460E">
        <w:rPr>
          <w:rFonts w:ascii="Verdana" w:eastAsia="Calibri" w:hAnsi="Verdana" w:cs="Arial"/>
          <w:color w:val="000000"/>
          <w:sz w:val="20"/>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BF0847B" w14:textId="77777777" w:rsidR="004D638C" w:rsidRPr="007D460E" w:rsidRDefault="004D638C" w:rsidP="004D638C">
      <w:pPr>
        <w:spacing w:after="0" w:line="240" w:lineRule="auto"/>
        <w:ind w:left="709" w:right="709"/>
        <w:jc w:val="both"/>
        <w:rPr>
          <w:rFonts w:ascii="Verdana" w:eastAsia="Calibri" w:hAnsi="Verdana" w:cs="Arial"/>
          <w:color w:val="000000"/>
          <w:sz w:val="20"/>
          <w:szCs w:val="21"/>
          <w:lang w:val="es-ES_tradnl"/>
        </w:rPr>
      </w:pPr>
    </w:p>
    <w:p w14:paraId="45171AA8" w14:textId="77777777" w:rsidR="004D638C" w:rsidRPr="007D460E" w:rsidRDefault="004D638C" w:rsidP="004D638C">
      <w:pPr>
        <w:spacing w:after="0" w:line="240" w:lineRule="auto"/>
        <w:ind w:left="709" w:right="709"/>
        <w:jc w:val="both"/>
        <w:rPr>
          <w:rFonts w:ascii="Verdana" w:eastAsia="Calibri" w:hAnsi="Verdana" w:cs="Arial"/>
          <w:color w:val="000000"/>
          <w:sz w:val="21"/>
          <w:szCs w:val="21"/>
          <w:lang w:val="es-ES_tradnl"/>
        </w:rPr>
      </w:pPr>
      <w:r w:rsidRPr="007D460E">
        <w:rPr>
          <w:rFonts w:ascii="Verdana" w:eastAsia="Calibri" w:hAnsi="Verdana" w:cs="Arial"/>
          <w:color w:val="000000"/>
          <w:sz w:val="20"/>
          <w:szCs w:val="21"/>
          <w:lang w:val="es-ES_tradnl"/>
        </w:rPr>
        <w:t>En ningún caso estos contratos generan relación laboral ni prestaciones sociales y se celebrarán por el término estrictamente indispensable</w:t>
      </w:r>
      <w:r w:rsidRPr="007D460E">
        <w:rPr>
          <w:rFonts w:ascii="Verdana" w:eastAsia="Calibri" w:hAnsi="Verdana" w:cs="Arial"/>
          <w:color w:val="000000"/>
          <w:sz w:val="21"/>
          <w:szCs w:val="21"/>
          <w:lang w:val="es-ES_tradnl"/>
        </w:rPr>
        <w:t>”.</w:t>
      </w:r>
    </w:p>
    <w:p w14:paraId="22666CCF" w14:textId="77777777" w:rsidR="004D638C" w:rsidRPr="007D460E" w:rsidRDefault="004D638C" w:rsidP="004D638C">
      <w:pPr>
        <w:tabs>
          <w:tab w:val="left" w:pos="284"/>
        </w:tabs>
        <w:spacing w:after="0" w:line="240" w:lineRule="auto"/>
        <w:contextualSpacing/>
        <w:jc w:val="both"/>
        <w:rPr>
          <w:rFonts w:ascii="Verdana" w:eastAsia="Calibri" w:hAnsi="Verdana" w:cs="Arial"/>
          <w:b/>
          <w:color w:val="000000"/>
          <w:lang w:val="es-ES_tradnl"/>
        </w:rPr>
      </w:pPr>
    </w:p>
    <w:p w14:paraId="4E690981" w14:textId="77777777" w:rsidR="004D638C" w:rsidRPr="007D460E" w:rsidRDefault="004D638C" w:rsidP="00136215">
      <w:pPr>
        <w:spacing w:after="0" w:line="276" w:lineRule="auto"/>
        <w:ind w:firstLine="708"/>
        <w:jc w:val="both"/>
        <w:rPr>
          <w:rFonts w:ascii="Verdana" w:eastAsia="Calibri" w:hAnsi="Verdana" w:cs="Arial"/>
          <w:color w:val="000000"/>
        </w:rPr>
      </w:pPr>
      <w:r w:rsidRPr="007D460E">
        <w:rPr>
          <w:rFonts w:ascii="Verdana" w:eastAsia="Calibri" w:hAnsi="Verdana" w:cs="Arial"/>
          <w:color w:val="000000" w:themeColor="text1"/>
        </w:rPr>
        <w:t xml:space="preserve">La celebración de dicho contrato se debe efectuar a través de la modalidad de la contratación directa. Así lo prevé el literal h numeral 4 del artículo 2, de </w:t>
      </w:r>
      <w:bookmarkStart w:id="1" w:name="_Hlk176438313"/>
      <w:r w:rsidRPr="007D460E">
        <w:rPr>
          <w:rFonts w:ascii="Verdana" w:eastAsia="Calibri" w:hAnsi="Verdana" w:cs="Arial"/>
          <w:color w:val="000000" w:themeColor="text1"/>
        </w:rPr>
        <w:t>la Ley 1150 de 2007</w:t>
      </w:r>
      <w:bookmarkEnd w:id="1"/>
      <w:r w:rsidRPr="007D460E">
        <w:rPr>
          <w:rFonts w:ascii="Verdana" w:eastAsia="Calibri" w:hAnsi="Verdana" w:cs="Arial"/>
          <w:color w:val="000000" w:themeColor="text1"/>
        </w:rPr>
        <w:t>, que dispone:</w:t>
      </w:r>
    </w:p>
    <w:p w14:paraId="2E9E7E91" w14:textId="77777777" w:rsidR="004D638C" w:rsidRPr="007D460E" w:rsidRDefault="004D638C" w:rsidP="004D638C">
      <w:pPr>
        <w:spacing w:after="0" w:line="276" w:lineRule="auto"/>
        <w:ind w:firstLine="709"/>
        <w:jc w:val="both"/>
        <w:rPr>
          <w:rFonts w:ascii="Verdana" w:eastAsia="Calibri" w:hAnsi="Verdana" w:cs="Arial"/>
          <w:color w:val="000000"/>
          <w:lang w:val="es-ES_tradnl"/>
        </w:rPr>
      </w:pPr>
    </w:p>
    <w:p w14:paraId="116A5F50" w14:textId="77777777" w:rsidR="004D638C" w:rsidRPr="007D460E" w:rsidRDefault="004D638C" w:rsidP="004D638C">
      <w:pPr>
        <w:spacing w:after="0" w:line="240" w:lineRule="auto"/>
        <w:ind w:left="709" w:right="709"/>
        <w:jc w:val="both"/>
        <w:rPr>
          <w:rFonts w:ascii="Verdana" w:eastAsia="Calibri" w:hAnsi="Verdana" w:cs="Arial"/>
          <w:i/>
          <w:iCs/>
          <w:color w:val="000000"/>
          <w:sz w:val="20"/>
          <w:szCs w:val="20"/>
          <w:lang w:val="es-ES_tradnl"/>
        </w:rPr>
      </w:pPr>
      <w:r w:rsidRPr="007D460E">
        <w:rPr>
          <w:rFonts w:ascii="Verdana" w:eastAsia="Calibri" w:hAnsi="Verdana" w:cs="Arial"/>
          <w:i/>
          <w:iCs/>
          <w:color w:val="000000"/>
          <w:sz w:val="20"/>
          <w:szCs w:val="20"/>
          <w:lang w:val="es-ES_tradnl"/>
        </w:rPr>
        <w:t xml:space="preserve">“[…] </w:t>
      </w:r>
      <w:r w:rsidRPr="007D460E">
        <w:rPr>
          <w:rFonts w:ascii="Verdana" w:eastAsia="Calibri" w:hAnsi="Verdana" w:cs="Arial"/>
          <w:i/>
          <w:iCs/>
          <w:color w:val="000000" w:themeColor="text1"/>
          <w:sz w:val="20"/>
          <w:szCs w:val="20"/>
          <w:lang w:val="es-ES"/>
        </w:rPr>
        <w:t>Contratación directa. La modalidad de selección de contratación directa solamente procederá en los siguientes casos:</w:t>
      </w:r>
    </w:p>
    <w:p w14:paraId="38D74359" w14:textId="77777777" w:rsidR="004D638C" w:rsidRPr="007D460E" w:rsidRDefault="004D638C" w:rsidP="004D638C">
      <w:pPr>
        <w:spacing w:after="0" w:line="240" w:lineRule="auto"/>
        <w:ind w:left="709" w:right="709"/>
        <w:jc w:val="both"/>
        <w:rPr>
          <w:rFonts w:ascii="Verdana" w:eastAsia="Calibri" w:hAnsi="Verdana" w:cs="Arial"/>
          <w:i/>
          <w:iCs/>
          <w:color w:val="000000"/>
          <w:sz w:val="20"/>
          <w:szCs w:val="20"/>
          <w:lang w:val="es-ES_tradnl"/>
        </w:rPr>
      </w:pPr>
    </w:p>
    <w:p w14:paraId="353F8B85" w14:textId="77777777" w:rsidR="004D638C" w:rsidRPr="007D460E" w:rsidRDefault="004D638C" w:rsidP="004D638C">
      <w:pPr>
        <w:spacing w:after="0" w:line="240" w:lineRule="auto"/>
        <w:ind w:left="709" w:right="709"/>
        <w:jc w:val="both"/>
        <w:rPr>
          <w:rFonts w:ascii="Verdana" w:eastAsia="Calibri" w:hAnsi="Verdana" w:cs="Arial"/>
          <w:i/>
          <w:iCs/>
          <w:color w:val="000000"/>
          <w:sz w:val="20"/>
          <w:szCs w:val="20"/>
          <w:lang w:val="es-ES_tradnl"/>
        </w:rPr>
      </w:pPr>
      <w:r w:rsidRPr="007D460E">
        <w:rPr>
          <w:rFonts w:ascii="Verdana" w:eastAsia="Calibri" w:hAnsi="Verdana" w:cs="Arial"/>
          <w:i/>
          <w:iCs/>
          <w:color w:val="000000"/>
          <w:sz w:val="20"/>
          <w:szCs w:val="20"/>
          <w:lang w:val="es-ES_tradnl"/>
        </w:rPr>
        <w:t>[…]</w:t>
      </w:r>
    </w:p>
    <w:p w14:paraId="61D82D27" w14:textId="77777777" w:rsidR="004D638C" w:rsidRPr="007D460E" w:rsidRDefault="004D638C" w:rsidP="004D638C">
      <w:pPr>
        <w:spacing w:after="0" w:line="240" w:lineRule="auto"/>
        <w:ind w:left="709" w:right="709"/>
        <w:jc w:val="both"/>
        <w:rPr>
          <w:rFonts w:ascii="Verdana" w:eastAsia="Calibri" w:hAnsi="Verdana" w:cs="Arial"/>
          <w:i/>
          <w:iCs/>
          <w:color w:val="000000"/>
          <w:sz w:val="20"/>
          <w:szCs w:val="20"/>
          <w:lang w:val="es-ES_tradnl"/>
        </w:rPr>
      </w:pPr>
    </w:p>
    <w:p w14:paraId="3D492814" w14:textId="77777777" w:rsidR="004D638C" w:rsidRPr="007D460E" w:rsidRDefault="004D638C" w:rsidP="004D638C">
      <w:pPr>
        <w:spacing w:after="0" w:line="240" w:lineRule="auto"/>
        <w:ind w:left="709" w:right="709"/>
        <w:jc w:val="both"/>
        <w:rPr>
          <w:rFonts w:ascii="Verdana" w:eastAsia="Calibri" w:hAnsi="Verdana" w:cs="Arial"/>
          <w:i/>
          <w:iCs/>
          <w:color w:val="000000"/>
          <w:sz w:val="20"/>
          <w:szCs w:val="20"/>
          <w:lang w:val="es-ES_tradnl"/>
        </w:rPr>
      </w:pPr>
      <w:r w:rsidRPr="007D460E">
        <w:rPr>
          <w:rFonts w:ascii="Verdana" w:eastAsia="Calibri" w:hAnsi="Verdana" w:cs="Arial"/>
          <w:i/>
          <w:iCs/>
          <w:color w:val="000000"/>
          <w:sz w:val="20"/>
          <w:szCs w:val="20"/>
          <w:lang w:val="es-ES_tradnl"/>
        </w:rPr>
        <w:t>h) Para la prestación de servicios profesionales y de apoyo a la gestión, o para la ejecución de trabajos artísticos que sólo puedan encomendarse a determinadas personas naturales”.</w:t>
      </w:r>
    </w:p>
    <w:p w14:paraId="3A936B38" w14:textId="77777777" w:rsidR="004D638C" w:rsidRPr="007D460E" w:rsidRDefault="004D638C" w:rsidP="004D638C">
      <w:pPr>
        <w:spacing w:after="0" w:line="240" w:lineRule="auto"/>
        <w:ind w:right="709"/>
        <w:jc w:val="both"/>
        <w:rPr>
          <w:rFonts w:ascii="Verdana" w:eastAsia="Calibri" w:hAnsi="Verdana" w:cs="Arial"/>
          <w:color w:val="000000"/>
          <w:lang w:val="es-ES_tradnl"/>
        </w:rPr>
      </w:pPr>
    </w:p>
    <w:p w14:paraId="44852906" w14:textId="77777777" w:rsidR="004D638C" w:rsidRPr="007D460E" w:rsidRDefault="004D638C" w:rsidP="007D460E">
      <w:pPr>
        <w:spacing w:after="0" w:line="276" w:lineRule="auto"/>
        <w:ind w:firstLine="708"/>
        <w:jc w:val="both"/>
        <w:rPr>
          <w:rFonts w:ascii="Verdana" w:eastAsia="Calibri" w:hAnsi="Verdana" w:cs="Arial"/>
          <w:color w:val="000000"/>
          <w:lang w:val="es-ES_tradnl"/>
        </w:rPr>
      </w:pPr>
      <w:r w:rsidRPr="007D460E">
        <w:rPr>
          <w:rFonts w:ascii="Verdana" w:eastAsia="Calibri" w:hAnsi="Verdana"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43839150" w14:textId="056B4561" w:rsidR="004D638C" w:rsidRPr="007D460E" w:rsidRDefault="004D638C" w:rsidP="00006342">
      <w:pPr>
        <w:spacing w:before="120" w:after="12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lastRenderedPageBreak/>
        <w:t>i) Solo puede celebrarse para realizar “actividades relacionadas con la administración o funcionamiento de la entidad”, es decir, que hagan parte de su giro ordinario o quehacer cotidiano.</w:t>
      </w:r>
    </w:p>
    <w:p w14:paraId="296A8481" w14:textId="77777777" w:rsidR="004D638C" w:rsidRPr="007D460E" w:rsidRDefault="004D638C" w:rsidP="00006342">
      <w:pPr>
        <w:spacing w:before="120" w:after="120" w:line="276" w:lineRule="auto"/>
        <w:jc w:val="both"/>
        <w:rPr>
          <w:rFonts w:ascii="Verdana" w:eastAsia="Calibri" w:hAnsi="Verdana" w:cs="Arial"/>
          <w:color w:val="000000"/>
          <w:lang w:val="es-ES"/>
        </w:rPr>
      </w:pPr>
      <w:proofErr w:type="spellStart"/>
      <w:r w:rsidRPr="007D460E">
        <w:rPr>
          <w:rFonts w:ascii="Verdana" w:eastAsia="Calibri" w:hAnsi="Verdana" w:cs="Arial"/>
          <w:color w:val="000000"/>
          <w:lang w:val="es-ES"/>
        </w:rPr>
        <w:t>ii</w:t>
      </w:r>
      <w:proofErr w:type="spellEnd"/>
      <w:r w:rsidRPr="007D460E">
        <w:rPr>
          <w:rFonts w:ascii="Verdana" w:eastAsia="Calibri" w:hAnsi="Verdana" w:cs="Arial"/>
          <w:color w:val="000000"/>
          <w:lang w:val="es-ES"/>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7D460E">
        <w:rPr>
          <w:rStyle w:val="Refdenotaalpie"/>
          <w:rFonts w:ascii="Verdana" w:eastAsia="Calibri" w:hAnsi="Verdana" w:cs="Arial"/>
          <w:color w:val="000000"/>
          <w:lang w:val="es-ES"/>
        </w:rPr>
        <w:footnoteReference w:id="2"/>
      </w:r>
      <w:r w:rsidRPr="007D460E">
        <w:rPr>
          <w:rFonts w:ascii="Verdana" w:eastAsia="Calibri" w:hAnsi="Verdana" w:cs="Arial"/>
          <w:color w:val="000000"/>
          <w:lang w:val="es-ES"/>
        </w:rPr>
        <w:t xml:space="preserve"> </w:t>
      </w:r>
    </w:p>
    <w:p w14:paraId="766A058D" w14:textId="77777777" w:rsidR="004D638C" w:rsidRPr="007D460E" w:rsidRDefault="004D638C" w:rsidP="00006342">
      <w:pPr>
        <w:spacing w:before="120" w:after="120" w:line="276" w:lineRule="auto"/>
        <w:jc w:val="both"/>
        <w:rPr>
          <w:rFonts w:ascii="Verdana" w:eastAsia="Calibri" w:hAnsi="Verdana" w:cs="Arial"/>
          <w:color w:val="000000"/>
          <w:lang w:val="es-ES"/>
        </w:rPr>
      </w:pPr>
      <w:proofErr w:type="spellStart"/>
      <w:r w:rsidRPr="007D460E">
        <w:rPr>
          <w:rFonts w:ascii="Verdana" w:eastAsia="Calibri" w:hAnsi="Verdana" w:cs="Arial"/>
          <w:color w:val="000000"/>
          <w:lang w:val="es-ES"/>
        </w:rPr>
        <w:t>iii</w:t>
      </w:r>
      <w:proofErr w:type="spellEnd"/>
      <w:r w:rsidRPr="007D460E">
        <w:rPr>
          <w:rFonts w:ascii="Verdana" w:eastAsia="Calibri" w:hAnsi="Verdana" w:cs="Arial"/>
          <w:color w:val="000000"/>
          <w:lang w:val="es-ES"/>
        </w:rPr>
        <w:t>) Si bien se celebran para obtener la prestación personal de un servicio, se diferencian del contrato de trabajo</w:t>
      </w:r>
      <w:r w:rsidRPr="007D460E">
        <w:rPr>
          <w:rStyle w:val="Refdenotaalpie"/>
          <w:rFonts w:ascii="Verdana" w:eastAsiaTheme="majorEastAsia" w:hAnsi="Verdana" w:cs="Arial"/>
        </w:rPr>
        <w:footnoteReference w:id="3"/>
      </w:r>
      <w:r w:rsidRPr="007D460E">
        <w:rPr>
          <w:rFonts w:ascii="Verdana" w:eastAsia="Calibri" w:hAnsi="Verdana" w:cs="Arial"/>
          <w:color w:val="000000"/>
          <w:lang w:val="es-ES"/>
        </w:rPr>
        <w:t xml:space="preserve"> en que quien celebra el contrato de prestación de servicios debe mantener autonomía e independencia en la ejecución de la labor, lo que significa que no puede existir la </w:t>
      </w:r>
      <w:r w:rsidRPr="007D460E">
        <w:rPr>
          <w:rFonts w:ascii="Verdana" w:eastAsia="Calibri" w:hAnsi="Verdana" w:cs="Arial"/>
          <w:i/>
          <w:color w:val="000000"/>
          <w:lang w:val="es-ES"/>
        </w:rPr>
        <w:t>subordinación y dependencia</w:t>
      </w:r>
      <w:r w:rsidRPr="007D460E">
        <w:rPr>
          <w:rFonts w:ascii="Verdana" w:eastAsia="Calibri" w:hAnsi="Verdana" w:cs="Arial"/>
          <w:color w:val="000000"/>
          <w:lang w:val="es-ES"/>
        </w:rPr>
        <w:t xml:space="preserve">, que es uno de los elementos constitutivos del vínculo laboral. </w:t>
      </w:r>
    </w:p>
    <w:p w14:paraId="5C63F75E" w14:textId="77777777" w:rsidR="004D638C" w:rsidRPr="007D460E" w:rsidRDefault="004D638C" w:rsidP="007D460E">
      <w:pPr>
        <w:spacing w:before="120" w:after="120" w:line="276" w:lineRule="auto"/>
        <w:ind w:firstLine="708"/>
        <w:jc w:val="both"/>
        <w:rPr>
          <w:rFonts w:ascii="Verdana" w:eastAsia="Calibri" w:hAnsi="Verdana" w:cs="Arial"/>
          <w:color w:val="000000"/>
          <w:lang w:val="es-ES"/>
        </w:rPr>
      </w:pPr>
      <w:r w:rsidRPr="007D460E">
        <w:rPr>
          <w:rFonts w:ascii="Verdana" w:eastAsia="Calibri" w:hAnsi="Verdana" w:cs="Arial"/>
          <w:color w:val="000000"/>
          <w:lang w:val="es-ES"/>
        </w:rPr>
        <w:t xml:space="preserve">Por ello el numeral 3º del artículo 32, de la Ley 80 de 1993 establece que “En ningún caso estos contratos generan relación laboral ni prestaciones sociales”, inciso que debe interpretarse en el sentido de que los contratos de prestación de servicios profesionales </w:t>
      </w:r>
      <w:r w:rsidRPr="007D460E">
        <w:rPr>
          <w:rFonts w:ascii="Verdana" w:eastAsia="Calibri" w:hAnsi="Verdana" w:cs="Arial"/>
          <w:i/>
          <w:color w:val="000000"/>
          <w:lang w:val="es-ES"/>
        </w:rPr>
        <w:t>no pueden</w:t>
      </w:r>
      <w:r w:rsidRPr="007D460E">
        <w:rPr>
          <w:rFonts w:ascii="Verdana" w:eastAsia="Calibri" w:hAnsi="Verdana" w:cs="Arial"/>
          <w:color w:val="000000"/>
          <w:lang w:val="es-ES"/>
        </w:rPr>
        <w:t xml:space="preserve"> generar relación laboral, ni dar lugar a que las entidades estatales paguen por su cuenta los aportes al Sistema de Seguridad Social Integral del contratista. </w:t>
      </w:r>
    </w:p>
    <w:p w14:paraId="0215C8D0" w14:textId="77777777" w:rsidR="004D638C" w:rsidRPr="007D460E" w:rsidRDefault="004D638C" w:rsidP="00006342">
      <w:pPr>
        <w:spacing w:after="120" w:line="276" w:lineRule="auto"/>
        <w:jc w:val="both"/>
        <w:rPr>
          <w:rFonts w:ascii="Verdana" w:eastAsia="Calibri" w:hAnsi="Verdana" w:cs="Arial"/>
          <w:color w:val="000000"/>
          <w:sz w:val="21"/>
          <w:szCs w:val="21"/>
          <w:lang w:val="es-ES_tradnl"/>
        </w:rPr>
      </w:pPr>
      <w:proofErr w:type="spellStart"/>
      <w:r w:rsidRPr="007D460E">
        <w:rPr>
          <w:rFonts w:ascii="Verdana" w:eastAsia="Calibri" w:hAnsi="Verdana" w:cs="Arial"/>
          <w:color w:val="000000"/>
          <w:lang w:val="es-ES_tradnl"/>
        </w:rPr>
        <w:t>iv</w:t>
      </w:r>
      <w:proofErr w:type="spellEnd"/>
      <w:r w:rsidRPr="007D460E">
        <w:rPr>
          <w:rFonts w:ascii="Verdana" w:eastAsia="Calibri" w:hAnsi="Verdana" w:cs="Arial"/>
          <w:color w:val="000000"/>
          <w:lang w:val="es-ES_tradnl"/>
        </w:rPr>
        <w:t xml:space="preserve">) Deben ser temporales. Así lo señaló la Corte Constitucional expresando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w:t>
      </w:r>
      <w:r w:rsidRPr="007D460E">
        <w:rPr>
          <w:rFonts w:ascii="Verdana" w:eastAsia="Calibri" w:hAnsi="Verdana" w:cs="Arial"/>
          <w:color w:val="000000"/>
          <w:lang w:val="es-ES_tradnl"/>
        </w:rPr>
        <w:lastRenderedPageBreak/>
        <w:t>cumplimiento a lo previsto en el artículo 122 de la Carta Política, según el cual se requiere que el empleo público quede contemplado en la respectiva planta y previstos sus emolumentos en el presupuesto correspondiente”</w:t>
      </w:r>
      <w:r w:rsidRPr="007D460E">
        <w:rPr>
          <w:rStyle w:val="Refdenotaalpie"/>
          <w:rFonts w:ascii="Verdana" w:eastAsiaTheme="majorEastAsia" w:hAnsi="Verdana" w:cs="Arial"/>
        </w:rPr>
        <w:footnoteReference w:id="4"/>
      </w:r>
      <w:r w:rsidRPr="007D460E">
        <w:rPr>
          <w:rFonts w:ascii="Verdana" w:eastAsia="Calibri" w:hAnsi="Verdana" w:cs="Arial"/>
          <w:color w:val="000000"/>
          <w:sz w:val="21"/>
          <w:szCs w:val="21"/>
          <w:lang w:val="es-ES_tradnl"/>
        </w:rPr>
        <w:t>.</w:t>
      </w:r>
    </w:p>
    <w:p w14:paraId="18C58A1D" w14:textId="77777777" w:rsidR="004D638C" w:rsidRPr="007D460E" w:rsidRDefault="004D638C" w:rsidP="00006342">
      <w:pPr>
        <w:spacing w:after="0" w:line="240" w:lineRule="auto"/>
        <w:ind w:right="49"/>
        <w:jc w:val="both"/>
        <w:rPr>
          <w:rFonts w:ascii="Verdana" w:eastAsia="Calibri" w:hAnsi="Verdana" w:cs="Arial"/>
          <w:color w:val="000000"/>
          <w:sz w:val="21"/>
          <w:szCs w:val="21"/>
          <w:lang w:val="es-ES_tradnl"/>
        </w:rPr>
      </w:pPr>
      <w:r w:rsidRPr="007D460E">
        <w:rPr>
          <w:rFonts w:ascii="Verdana" w:eastAsia="Calibri" w:hAnsi="Verdana" w:cs="Arial"/>
          <w:color w:val="000000"/>
          <w:lang w:val="es-ES"/>
        </w:rPr>
        <w:t xml:space="preserve">v) Los contratos de prestación de servicios constituyen un </w:t>
      </w:r>
      <w:r w:rsidRPr="007D460E">
        <w:rPr>
          <w:rFonts w:ascii="Verdana" w:eastAsia="Calibri" w:hAnsi="Verdana" w:cs="Arial"/>
          <w:i/>
          <w:color w:val="000000"/>
          <w:lang w:val="es-ES"/>
        </w:rPr>
        <w:t>género</w:t>
      </w:r>
      <w:r w:rsidRPr="007D460E">
        <w:rPr>
          <w:rFonts w:ascii="Verdana" w:eastAsia="Calibri" w:hAnsi="Verdana" w:cs="Arial"/>
          <w:color w:val="000000"/>
          <w:lang w:val="es-ES"/>
        </w:rPr>
        <w:t xml:space="preserve"> que incluye, como </w:t>
      </w:r>
      <w:r w:rsidRPr="007D460E">
        <w:rPr>
          <w:rFonts w:ascii="Verdana" w:eastAsia="Calibri" w:hAnsi="Verdana" w:cs="Arial"/>
          <w:i/>
          <w:color w:val="000000"/>
          <w:lang w:val="es-ES"/>
        </w:rPr>
        <w:t>especies</w:t>
      </w:r>
      <w:r w:rsidRPr="007D460E">
        <w:rPr>
          <w:rFonts w:ascii="Verdana" w:eastAsia="Calibri" w:hAnsi="Verdana" w:cs="Arial"/>
          <w:color w:val="000000"/>
          <w:lang w:val="es-ES"/>
        </w:rPr>
        <w:t>, los contratos de prestación de servicios profesionales, los contratos de prestación de servicios de apoyo a la gestión y los contratos de prestación de servicios artísticos que solo pueden encomendarse a determinadas personas naturales</w:t>
      </w:r>
      <w:r w:rsidRPr="007D460E">
        <w:rPr>
          <w:rStyle w:val="Refdenotaalpie"/>
          <w:rFonts w:ascii="Verdana" w:eastAsiaTheme="majorEastAsia" w:hAnsi="Verdana" w:cs="Arial"/>
        </w:rPr>
        <w:footnoteReference w:id="5"/>
      </w:r>
      <w:r w:rsidRPr="007D460E">
        <w:rPr>
          <w:rFonts w:ascii="Verdana" w:eastAsia="Calibri" w:hAnsi="Verdana" w:cs="Arial"/>
          <w:color w:val="000000"/>
          <w:lang w:val="es-ES"/>
        </w:rPr>
        <w:t>.</w:t>
      </w:r>
    </w:p>
    <w:p w14:paraId="6D503701" w14:textId="77777777" w:rsidR="004D638C" w:rsidRPr="007D460E" w:rsidRDefault="004D638C" w:rsidP="004D638C">
      <w:pPr>
        <w:spacing w:after="0" w:line="276" w:lineRule="auto"/>
        <w:ind w:left="709"/>
        <w:jc w:val="both"/>
        <w:rPr>
          <w:rFonts w:ascii="Verdana" w:eastAsia="Calibri" w:hAnsi="Verdana" w:cs="Arial"/>
          <w:color w:val="000000"/>
          <w:lang w:val="es-ES_tradnl"/>
        </w:rPr>
      </w:pPr>
    </w:p>
    <w:p w14:paraId="395B023F" w14:textId="77777777" w:rsidR="004D638C" w:rsidRPr="007D460E" w:rsidRDefault="004D638C" w:rsidP="00006342">
      <w:pPr>
        <w:spacing w:after="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vi) Su celebración debe realizarse a través de la modalidad de contratación directa, independientemente de la cuantía y del tipo de servicio, siempre que este no ingrese dentro del objeto del contrato de consultoría</w:t>
      </w:r>
    </w:p>
    <w:p w14:paraId="7371FF7A" w14:textId="77777777" w:rsidR="004D638C" w:rsidRPr="007D460E" w:rsidRDefault="004D638C" w:rsidP="004D638C">
      <w:pPr>
        <w:spacing w:after="0" w:line="276" w:lineRule="auto"/>
        <w:ind w:left="709"/>
        <w:jc w:val="both"/>
        <w:rPr>
          <w:rFonts w:ascii="Verdana" w:eastAsia="Calibri" w:hAnsi="Verdana" w:cs="Arial"/>
          <w:color w:val="000000"/>
          <w:lang w:val="es-ES_tradnl"/>
        </w:rPr>
      </w:pPr>
    </w:p>
    <w:p w14:paraId="7762EE4B" w14:textId="77777777" w:rsidR="004D638C" w:rsidRPr="007D460E" w:rsidRDefault="004D638C" w:rsidP="00006342">
      <w:pPr>
        <w:spacing w:after="0" w:line="276" w:lineRule="auto"/>
        <w:jc w:val="both"/>
        <w:rPr>
          <w:rFonts w:ascii="Verdana" w:eastAsia="Calibri" w:hAnsi="Verdana" w:cs="Arial"/>
          <w:color w:val="000000"/>
          <w:lang w:val="es-ES_tradnl"/>
        </w:rPr>
      </w:pPr>
      <w:proofErr w:type="spellStart"/>
      <w:r w:rsidRPr="007D460E">
        <w:rPr>
          <w:rFonts w:ascii="Verdana" w:eastAsia="Calibri" w:hAnsi="Verdana" w:cs="Arial"/>
          <w:color w:val="000000"/>
          <w:lang w:val="es-ES_tradnl"/>
        </w:rPr>
        <w:t>vii</w:t>
      </w:r>
      <w:proofErr w:type="spellEnd"/>
      <w:r w:rsidRPr="007D460E">
        <w:rPr>
          <w:rFonts w:ascii="Verdana" w:eastAsia="Calibri" w:hAnsi="Verdana" w:cs="Arial"/>
          <w:color w:val="000000"/>
          <w:lang w:val="es-ES_tradnl"/>
        </w:rPr>
        <w:t>) Para su celebración no se requiere en algunos casos la expedición del acto administrativo de justificación de la contratación directa</w:t>
      </w:r>
      <w:r w:rsidRPr="007D460E">
        <w:rPr>
          <w:rStyle w:val="Refdenotaalpie"/>
          <w:rFonts w:ascii="Verdana" w:eastAsiaTheme="majorEastAsia" w:hAnsi="Verdana" w:cs="Arial"/>
        </w:rPr>
        <w:footnoteReference w:id="6"/>
      </w:r>
      <w:r w:rsidRPr="007D460E">
        <w:rPr>
          <w:rFonts w:ascii="Verdana" w:eastAsia="Calibri" w:hAnsi="Verdana" w:cs="Arial"/>
          <w:color w:val="000000"/>
          <w:lang w:val="es-ES_tradnl"/>
        </w:rPr>
        <w:t xml:space="preserve">. </w:t>
      </w:r>
    </w:p>
    <w:p w14:paraId="295CA091" w14:textId="10B4DBE7" w:rsidR="004D638C" w:rsidRPr="007D460E" w:rsidRDefault="004D638C" w:rsidP="00006342">
      <w:pPr>
        <w:spacing w:before="120" w:after="120" w:line="276" w:lineRule="auto"/>
        <w:jc w:val="both"/>
        <w:rPr>
          <w:rFonts w:ascii="Verdana" w:eastAsia="Calibri" w:hAnsi="Verdana" w:cs="Arial"/>
          <w:color w:val="000000"/>
          <w:lang w:val="es-ES_tradnl"/>
        </w:rPr>
      </w:pPr>
      <w:proofErr w:type="spellStart"/>
      <w:r w:rsidRPr="007D460E">
        <w:rPr>
          <w:rFonts w:ascii="Verdana" w:eastAsia="Calibri" w:hAnsi="Verdana" w:cs="Arial"/>
          <w:color w:val="000000"/>
          <w:lang w:val="es-ES_tradnl"/>
        </w:rPr>
        <w:t>viii</w:t>
      </w:r>
      <w:proofErr w:type="spellEnd"/>
      <w:r w:rsidRPr="007D460E">
        <w:rPr>
          <w:rFonts w:ascii="Verdana" w:eastAsia="Calibri" w:hAnsi="Verdana"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7D460E">
        <w:rPr>
          <w:rStyle w:val="Refdenotaalpie"/>
          <w:rFonts w:ascii="Verdana" w:eastAsiaTheme="majorEastAsia" w:hAnsi="Verdana" w:cs="Arial"/>
        </w:rPr>
        <w:footnoteReference w:id="7"/>
      </w:r>
      <w:r w:rsidRPr="007D460E">
        <w:rPr>
          <w:rFonts w:ascii="Verdana" w:eastAsia="Calibri" w:hAnsi="Verdana" w:cs="Arial"/>
          <w:color w:val="000000"/>
          <w:lang w:val="es-ES_tradnl"/>
        </w:rPr>
        <w:t>.</w:t>
      </w:r>
    </w:p>
    <w:p w14:paraId="6188B51D" w14:textId="77777777" w:rsidR="004D638C" w:rsidRPr="007D460E" w:rsidRDefault="004D638C" w:rsidP="00006342">
      <w:pPr>
        <w:spacing w:before="120" w:after="120" w:line="276" w:lineRule="auto"/>
        <w:jc w:val="both"/>
        <w:rPr>
          <w:rFonts w:ascii="Verdana" w:eastAsia="Calibri" w:hAnsi="Verdana" w:cs="Arial"/>
          <w:color w:val="000000"/>
          <w:lang w:val="es-ES_tradnl"/>
        </w:rPr>
      </w:pPr>
      <w:proofErr w:type="spellStart"/>
      <w:r w:rsidRPr="007D460E">
        <w:rPr>
          <w:rFonts w:ascii="Verdana" w:eastAsia="Calibri" w:hAnsi="Verdana" w:cs="Arial"/>
          <w:color w:val="000000"/>
          <w:lang w:val="es-ES_tradnl"/>
        </w:rPr>
        <w:lastRenderedPageBreak/>
        <w:t>ix</w:t>
      </w:r>
      <w:proofErr w:type="spellEnd"/>
      <w:r w:rsidRPr="007D460E">
        <w:rPr>
          <w:rFonts w:ascii="Verdana" w:eastAsia="Calibri" w:hAnsi="Verdana" w:cs="Arial"/>
          <w:color w:val="000000"/>
          <w:lang w:val="es-ES_tradnl"/>
        </w:rPr>
        <w:t>) En algunos casos no es obligatoria la liquidación, pues así lo estableció el artículo 217 del Decreto 019 de 2012, que modificó el artículo 60 de la Ley 80 de 1993</w:t>
      </w:r>
      <w:r w:rsidRPr="007D460E">
        <w:rPr>
          <w:rStyle w:val="Refdenotaalpie"/>
          <w:rFonts w:ascii="Verdana" w:eastAsiaTheme="majorEastAsia" w:hAnsi="Verdana" w:cs="Arial"/>
        </w:rPr>
        <w:footnoteReference w:id="8"/>
      </w:r>
      <w:r w:rsidRPr="007D460E">
        <w:rPr>
          <w:rFonts w:ascii="Verdana" w:eastAsia="Calibri" w:hAnsi="Verdana" w:cs="Arial"/>
          <w:color w:val="000000"/>
          <w:lang w:val="es-ES_tradnl"/>
        </w:rPr>
        <w:t>, refiriéndose a los contratos de prestación de servicios profesionales y de apoyo a la gestión.</w:t>
      </w:r>
    </w:p>
    <w:p w14:paraId="5498FC97" w14:textId="77777777" w:rsidR="004D638C" w:rsidRPr="007D460E" w:rsidRDefault="004D638C" w:rsidP="00006342">
      <w:pPr>
        <w:spacing w:before="120" w:after="12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x) Para su celebración no se requiere inscripción en el Registro Único de Proponentes (</w:t>
      </w:r>
      <w:proofErr w:type="spellStart"/>
      <w:r w:rsidRPr="007D460E">
        <w:rPr>
          <w:rFonts w:ascii="Verdana" w:eastAsia="Calibri" w:hAnsi="Verdana" w:cs="Arial"/>
          <w:color w:val="000000"/>
          <w:lang w:val="es-ES_tradnl"/>
        </w:rPr>
        <w:t>RUP</w:t>
      </w:r>
      <w:proofErr w:type="spellEnd"/>
      <w:r w:rsidRPr="007D460E">
        <w:rPr>
          <w:rFonts w:ascii="Verdana" w:eastAsia="Calibri" w:hAnsi="Verdana" w:cs="Arial"/>
          <w:color w:val="000000"/>
          <w:lang w:val="es-ES_tradnl"/>
        </w:rPr>
        <w:t>), según lo prevé el artículo 6 de la Ley 1150 de 2007</w:t>
      </w:r>
      <w:r w:rsidRPr="007D460E">
        <w:rPr>
          <w:rStyle w:val="Refdenotaalpie"/>
          <w:rFonts w:ascii="Verdana" w:eastAsiaTheme="majorEastAsia" w:hAnsi="Verdana" w:cs="Arial"/>
        </w:rPr>
        <w:footnoteReference w:id="9"/>
      </w:r>
      <w:r w:rsidRPr="007D460E">
        <w:rPr>
          <w:rFonts w:ascii="Verdana" w:eastAsia="Calibri" w:hAnsi="Verdana" w:cs="Arial"/>
          <w:color w:val="000000"/>
          <w:lang w:val="es-ES_tradnl"/>
        </w:rPr>
        <w:t>.</w:t>
      </w:r>
    </w:p>
    <w:p w14:paraId="0C1F0BA5" w14:textId="77777777" w:rsidR="004D638C" w:rsidRPr="007D460E" w:rsidRDefault="004D638C" w:rsidP="00006342">
      <w:pPr>
        <w:spacing w:before="120" w:after="12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xi) En ellos no son necesarias las garantías</w:t>
      </w:r>
      <w:r w:rsidRPr="007D460E">
        <w:rPr>
          <w:rStyle w:val="Refdenotaalpie"/>
          <w:rFonts w:ascii="Verdana" w:eastAsiaTheme="majorEastAsia" w:hAnsi="Verdana" w:cs="Arial"/>
        </w:rPr>
        <w:footnoteReference w:id="10"/>
      </w:r>
      <w:r w:rsidRPr="007D460E">
        <w:rPr>
          <w:rFonts w:ascii="Verdana" w:eastAsia="Calibri" w:hAnsi="Verdana" w:cs="Arial"/>
          <w:color w:val="000000"/>
          <w:lang w:val="es-ES_tradnl"/>
        </w:rPr>
        <w:t>.</w:t>
      </w:r>
    </w:p>
    <w:p w14:paraId="70E9B68D" w14:textId="510D31CA" w:rsidR="009E09B7" w:rsidRPr="007D460E" w:rsidRDefault="009E09B7" w:rsidP="00006342">
      <w:pPr>
        <w:spacing w:after="0" w:line="259" w:lineRule="auto"/>
        <w:ind w:firstLine="357"/>
        <w:jc w:val="both"/>
        <w:rPr>
          <w:rFonts w:ascii="Verdana" w:eastAsia="Calibri" w:hAnsi="Verdana" w:cs="Arial"/>
          <w:color w:val="000000"/>
        </w:rPr>
      </w:pPr>
    </w:p>
    <w:p w14:paraId="023BE1E3" w14:textId="1F9FE249" w:rsidR="009E09B7" w:rsidRPr="007D460E" w:rsidRDefault="009E09B7" w:rsidP="007D460E">
      <w:pPr>
        <w:spacing w:after="0" w:line="259" w:lineRule="auto"/>
        <w:ind w:firstLine="357"/>
        <w:jc w:val="both"/>
        <w:rPr>
          <w:rFonts w:ascii="Verdana" w:eastAsia="Calibri" w:hAnsi="Verdana" w:cs="Arial"/>
          <w:color w:val="000000"/>
        </w:rPr>
      </w:pPr>
      <w:r w:rsidRPr="007D460E">
        <w:rPr>
          <w:rFonts w:ascii="Verdana" w:eastAsia="Calibri" w:hAnsi="Verdana" w:cs="Arial"/>
          <w:color w:val="000000"/>
        </w:rPr>
        <w:t xml:space="preserve">En relación con la exigencia de la tarjeta profesional para celebrar el contrato de prestación de servicios, el artículo 26 de la Constitución Política indica que: </w:t>
      </w:r>
      <w:r w:rsidR="007D460E" w:rsidRPr="007D460E">
        <w:rPr>
          <w:rFonts w:ascii="Verdana" w:eastAsia="Calibri" w:hAnsi="Verdana" w:cs="Arial"/>
          <w:color w:val="000000"/>
        </w:rPr>
        <w:t>“</w:t>
      </w:r>
      <w:r w:rsidRPr="007D460E">
        <w:rPr>
          <w:rFonts w:ascii="Verdana" w:eastAsia="Calibri" w:hAnsi="Verdana" w:cs="Arial"/>
          <w:color w:val="000000"/>
        </w:rPr>
        <w:t>La Ley podrá exigir títulos de idoneidad</w:t>
      </w:r>
      <w:r w:rsidR="007D460E" w:rsidRPr="007D460E">
        <w:rPr>
          <w:rFonts w:ascii="Verdana" w:eastAsia="Calibri" w:hAnsi="Verdana" w:cs="Arial"/>
          <w:color w:val="000000"/>
        </w:rPr>
        <w:t>”</w:t>
      </w:r>
      <w:r w:rsidRPr="007D460E">
        <w:rPr>
          <w:rFonts w:ascii="Verdana" w:eastAsia="Calibri" w:hAnsi="Verdana" w:cs="Arial"/>
          <w:color w:val="000000"/>
        </w:rPr>
        <w:t>. La Corte Constitucional establece que la Constitución Política autorizó al legislador para exigir determinados títulos de idoneidad a quienes quieren desempeñar actividades que impliquen riesgo social, con el objetivo de demostrar la adecuada aptitud del aspirante. En este sentido, la Ley, frente a determinadas profesiones, exige el requisito de tarjeta profesional que impliquen riesgo social para garantizar la aptitud del aspirante.</w:t>
      </w:r>
    </w:p>
    <w:p w14:paraId="62F9CD1C" w14:textId="0F3F21B8" w:rsidR="009E09B7" w:rsidRPr="007D460E" w:rsidRDefault="009E09B7" w:rsidP="00006342">
      <w:pPr>
        <w:spacing w:after="0" w:line="259" w:lineRule="auto"/>
        <w:ind w:firstLine="357"/>
        <w:jc w:val="both"/>
        <w:rPr>
          <w:rFonts w:ascii="Verdana" w:eastAsia="Calibri" w:hAnsi="Verdana" w:cs="Arial"/>
          <w:color w:val="000000"/>
        </w:rPr>
      </w:pPr>
    </w:p>
    <w:p w14:paraId="2062E601" w14:textId="7EA0910E" w:rsidR="00B8753B" w:rsidRPr="007D460E" w:rsidRDefault="00B8753B" w:rsidP="00006342">
      <w:pPr>
        <w:spacing w:after="0" w:line="259" w:lineRule="auto"/>
        <w:ind w:firstLine="357"/>
        <w:jc w:val="both"/>
        <w:rPr>
          <w:rFonts w:ascii="Verdana" w:eastAsia="Calibri" w:hAnsi="Verdana" w:cs="Arial"/>
          <w:color w:val="000000"/>
        </w:rPr>
      </w:pPr>
      <w:r w:rsidRPr="007D460E">
        <w:rPr>
          <w:rFonts w:ascii="Verdana" w:eastAsia="Calibri" w:hAnsi="Verdana" w:cs="Arial"/>
          <w:color w:val="000000"/>
        </w:rPr>
        <w:t xml:space="preserve">Ahora bien, es particular señalar que existen una serie de profesiones que dentro de la normatividad vigente establecen como condición para el ejercicio profesional la expedición de la Tarjeta Profesional, caso puntual, la profesión de administrador/a público, como lo indica el artículo 7 de la Ley 1006 de 2006, en los siguientes términos: </w:t>
      </w:r>
    </w:p>
    <w:p w14:paraId="25A20C35" w14:textId="54BB0167" w:rsidR="00B8753B" w:rsidRPr="007D460E" w:rsidRDefault="00B8753B" w:rsidP="00006342">
      <w:pPr>
        <w:spacing w:after="0" w:line="259" w:lineRule="auto"/>
        <w:ind w:firstLine="357"/>
        <w:jc w:val="both"/>
        <w:rPr>
          <w:rFonts w:ascii="Verdana" w:eastAsia="Calibri" w:hAnsi="Verdana" w:cs="Arial"/>
          <w:color w:val="000000"/>
        </w:rPr>
      </w:pPr>
    </w:p>
    <w:p w14:paraId="58462B3E" w14:textId="3DEA1B87" w:rsidR="00B8753B" w:rsidRPr="007D460E" w:rsidRDefault="00B8753B" w:rsidP="00B8753B">
      <w:pPr>
        <w:pStyle w:val="NormalWeb"/>
        <w:spacing w:before="0" w:beforeAutospacing="0" w:after="0" w:afterAutospacing="0"/>
        <w:ind w:left="993" w:right="900"/>
        <w:jc w:val="both"/>
        <w:rPr>
          <w:rFonts w:ascii="Verdana" w:hAnsi="Verdana" w:cs="Arial"/>
          <w:color w:val="000000"/>
          <w:sz w:val="20"/>
          <w:szCs w:val="21"/>
        </w:rPr>
      </w:pPr>
      <w:r w:rsidRPr="007D460E">
        <w:rPr>
          <w:rFonts w:ascii="Verdana" w:hAnsi="Verdana" w:cs="Arial"/>
          <w:color w:val="000000"/>
          <w:sz w:val="20"/>
          <w:szCs w:val="21"/>
        </w:rPr>
        <w:lastRenderedPageBreak/>
        <w:t xml:space="preserve">(…) Artículo 7: A partir de la sanción de la presente ley, para ejercer la profesión de Administrador Público se requerirá haber obtenido uno de los títulos de que trata el artículo 4º de la presente ley, estar inscrito en el Registro </w:t>
      </w:r>
      <w:r w:rsidR="00E079F1" w:rsidRPr="007D460E">
        <w:rPr>
          <w:rFonts w:ascii="Verdana" w:hAnsi="Verdana" w:cs="Arial"/>
          <w:color w:val="000000"/>
          <w:sz w:val="20"/>
          <w:szCs w:val="21"/>
        </w:rPr>
        <w:t>Único</w:t>
      </w:r>
      <w:r w:rsidRPr="007D460E">
        <w:rPr>
          <w:rFonts w:ascii="Verdana" w:hAnsi="Verdana" w:cs="Arial"/>
          <w:color w:val="000000"/>
          <w:sz w:val="20"/>
          <w:szCs w:val="21"/>
        </w:rPr>
        <w:t xml:space="preserve"> Nacional de Administradores Públicos y tener vigentes las respectivas matrícula y Tarjeta Profesional expedidas por el Consejo Profesional del Administrador Público. </w:t>
      </w:r>
    </w:p>
    <w:p w14:paraId="16F5D99E" w14:textId="77777777" w:rsidR="00B8753B" w:rsidRPr="007D460E" w:rsidRDefault="00B8753B" w:rsidP="00B8753B">
      <w:pPr>
        <w:pStyle w:val="NormalWeb"/>
        <w:spacing w:before="0" w:beforeAutospacing="0" w:after="0" w:afterAutospacing="0"/>
        <w:ind w:left="993" w:right="900"/>
        <w:jc w:val="both"/>
        <w:rPr>
          <w:rFonts w:ascii="Verdana" w:hAnsi="Verdana" w:cs="Arial"/>
          <w:color w:val="000000"/>
          <w:sz w:val="20"/>
          <w:szCs w:val="21"/>
        </w:rPr>
      </w:pPr>
      <w:r w:rsidRPr="007D460E">
        <w:rPr>
          <w:rFonts w:ascii="Verdana" w:hAnsi="Verdana" w:cs="Arial"/>
          <w:color w:val="000000"/>
          <w:sz w:val="20"/>
          <w:szCs w:val="21"/>
        </w:rPr>
        <w:t>  </w:t>
      </w:r>
    </w:p>
    <w:p w14:paraId="70AA520B" w14:textId="78421740" w:rsidR="00B8753B" w:rsidRPr="007D460E" w:rsidRDefault="00B8753B" w:rsidP="00B8753B">
      <w:pPr>
        <w:pStyle w:val="NormalWeb"/>
        <w:spacing w:before="0" w:beforeAutospacing="0" w:after="0" w:afterAutospacing="0"/>
        <w:ind w:left="993" w:right="900"/>
        <w:jc w:val="both"/>
        <w:rPr>
          <w:rFonts w:ascii="Verdana" w:hAnsi="Verdana" w:cs="Arial"/>
          <w:color w:val="000000"/>
          <w:sz w:val="20"/>
          <w:szCs w:val="21"/>
        </w:rPr>
      </w:pPr>
      <w:r w:rsidRPr="007D460E">
        <w:rPr>
          <w:rStyle w:val="Textoennegrita"/>
          <w:rFonts w:ascii="Verdana" w:hAnsi="Verdana" w:cs="Arial"/>
          <w:color w:val="000000"/>
          <w:sz w:val="20"/>
          <w:szCs w:val="21"/>
        </w:rPr>
        <w:t>Parágrafo 1º.</w:t>
      </w:r>
      <w:r w:rsidRPr="007D460E">
        <w:rPr>
          <w:rFonts w:ascii="Verdana" w:hAnsi="Verdana" w:cs="Arial"/>
          <w:color w:val="000000"/>
          <w:sz w:val="20"/>
          <w:szCs w:val="21"/>
        </w:rPr>
        <w:t xml:space="preserve"> No se podrá ejercer la profesión de Administrador Público ni anunciarse como tal sin estar inscrito en el Registro </w:t>
      </w:r>
      <w:r w:rsidR="00E079F1" w:rsidRPr="007D460E">
        <w:rPr>
          <w:rFonts w:ascii="Verdana" w:hAnsi="Verdana" w:cs="Arial"/>
          <w:color w:val="000000"/>
          <w:sz w:val="20"/>
          <w:szCs w:val="21"/>
        </w:rPr>
        <w:t>Único</w:t>
      </w:r>
      <w:r w:rsidRPr="007D460E">
        <w:rPr>
          <w:rFonts w:ascii="Verdana" w:hAnsi="Verdana" w:cs="Arial"/>
          <w:color w:val="000000"/>
          <w:sz w:val="20"/>
          <w:szCs w:val="21"/>
        </w:rPr>
        <w:t xml:space="preserve"> Nacional del Administrador Público y tener vigente la Tarjeta Profesional. (…)</w:t>
      </w:r>
    </w:p>
    <w:p w14:paraId="2531B672" w14:textId="77777777" w:rsidR="00B8753B" w:rsidRPr="007D460E" w:rsidRDefault="00B8753B" w:rsidP="00006342">
      <w:pPr>
        <w:spacing w:after="0" w:line="259" w:lineRule="auto"/>
        <w:ind w:firstLine="357"/>
        <w:jc w:val="both"/>
        <w:rPr>
          <w:rFonts w:ascii="Verdana" w:eastAsia="Calibri" w:hAnsi="Verdana" w:cs="Arial"/>
          <w:color w:val="000000"/>
        </w:rPr>
      </w:pPr>
    </w:p>
    <w:p w14:paraId="3D990432" w14:textId="3ED95903" w:rsidR="00F400F0" w:rsidRPr="007D460E" w:rsidRDefault="00E079F1" w:rsidP="00006342">
      <w:pPr>
        <w:spacing w:after="0" w:line="259" w:lineRule="auto"/>
        <w:ind w:firstLine="357"/>
        <w:jc w:val="both"/>
        <w:rPr>
          <w:rFonts w:ascii="Verdana" w:eastAsia="Calibri" w:hAnsi="Verdana" w:cs="Arial"/>
          <w:color w:val="000000"/>
        </w:rPr>
      </w:pPr>
      <w:r w:rsidRPr="007D460E">
        <w:rPr>
          <w:rFonts w:ascii="Verdana" w:eastAsia="Calibri" w:hAnsi="Verdana" w:cs="Arial"/>
          <w:color w:val="000000"/>
        </w:rPr>
        <w:t xml:space="preserve">Como condición para las actividades profesionales de la profesión de </w:t>
      </w:r>
      <w:r w:rsidR="00F400F0" w:rsidRPr="007D460E">
        <w:rPr>
          <w:rFonts w:ascii="Verdana" w:eastAsia="Calibri" w:hAnsi="Verdana" w:cs="Arial"/>
          <w:color w:val="000000"/>
        </w:rPr>
        <w:t>Administración</w:t>
      </w:r>
      <w:r w:rsidRPr="007D460E">
        <w:rPr>
          <w:rFonts w:ascii="Verdana" w:eastAsia="Calibri" w:hAnsi="Verdana" w:cs="Arial"/>
          <w:color w:val="000000"/>
        </w:rPr>
        <w:t xml:space="preserve"> Publico, se encuentra el enunciado normativo, el cual impone la obligación de estar inscrito en el Registro Único Nacional de Administradores Públicos y tener vigente la Tarjeta Profesional expedida por el Consejo Superior Profesional del Administrador Público</w:t>
      </w:r>
      <w:r w:rsidR="00F400F0" w:rsidRPr="007D460E">
        <w:rPr>
          <w:rFonts w:ascii="Verdana" w:eastAsia="Calibri" w:hAnsi="Verdana" w:cs="Arial"/>
          <w:color w:val="000000"/>
        </w:rPr>
        <w:t>. por lo tanto, será posible suscribir un contrato de prestación de servicios profesionales con un profesional de Administración Pública, siempre y cuando se encuentre inscrito en el Registro Único Nacional de Administradores Públicos y tener vigente la Tarjeta Profesional expedida por el Consejo Profesional del Administrador Público.</w:t>
      </w:r>
    </w:p>
    <w:p w14:paraId="7BB629D2" w14:textId="77777777" w:rsidR="00B8753B" w:rsidRPr="007D460E" w:rsidRDefault="00B8753B" w:rsidP="00006342">
      <w:pPr>
        <w:spacing w:after="0" w:line="259" w:lineRule="auto"/>
        <w:ind w:firstLine="357"/>
        <w:jc w:val="both"/>
        <w:rPr>
          <w:rFonts w:ascii="Verdana" w:eastAsia="Calibri" w:hAnsi="Verdana" w:cs="Arial"/>
          <w:color w:val="000000"/>
        </w:rPr>
      </w:pPr>
    </w:p>
    <w:p w14:paraId="2917856B" w14:textId="29DC18F5" w:rsidR="004D638C" w:rsidRPr="007D460E" w:rsidRDefault="004D638C" w:rsidP="00006342">
      <w:pPr>
        <w:spacing w:after="0" w:line="259" w:lineRule="auto"/>
        <w:ind w:firstLine="357"/>
        <w:jc w:val="both"/>
        <w:rPr>
          <w:rFonts w:ascii="Verdana" w:hAnsi="Verdana" w:cs="Arial"/>
        </w:rPr>
      </w:pPr>
      <w:r w:rsidRPr="007D460E">
        <w:rPr>
          <w:rFonts w:ascii="Verdana" w:eastAsia="Calibri" w:hAnsi="Verdana" w:cs="Arial"/>
          <w:color w:val="000000"/>
        </w:rPr>
        <w:t xml:space="preserve">Ahora bien, en torno a la acreditación de la experiencia </w:t>
      </w:r>
      <w:r w:rsidRPr="007D460E">
        <w:rPr>
          <w:rFonts w:ascii="Verdana" w:hAnsi="Verdana" w:cs="Arial"/>
        </w:rPr>
        <w:t xml:space="preserve">profesional, la misma, se debe verificar de acuerdo con lo regulado en el artículo </w:t>
      </w:r>
      <w:r w:rsidRPr="007D460E">
        <w:rPr>
          <w:rFonts w:ascii="Verdana" w:hAnsi="Verdana"/>
        </w:rPr>
        <w:t>2.2.2.3.7 del Decreto 1083 de 2015</w:t>
      </w:r>
      <w:r w:rsidRPr="007D460E">
        <w:rPr>
          <w:rFonts w:ascii="Verdana" w:hAnsi="Verdana" w:cs="Arial"/>
        </w:rPr>
        <w:t>. En virtud de esta norma, el ejercicio de las diferentes profesiones acreditadas por el Ministerio de Educación Nacional se contabiliza a partir de la terminación y aprobación del pensum académico de educación superior, salvo para las profesiones relacionadas con el sistema de seguridad social en salud, en las cuales la experiencia profesional se computa a partir de la inscripción o registro profesional.</w:t>
      </w:r>
    </w:p>
    <w:p w14:paraId="06661A77" w14:textId="77777777" w:rsidR="004D638C" w:rsidRPr="007D460E" w:rsidRDefault="004D638C" w:rsidP="004D638C">
      <w:pPr>
        <w:pStyle w:val="Prrafodelista"/>
        <w:spacing w:after="0"/>
        <w:ind w:left="714"/>
        <w:jc w:val="both"/>
        <w:rPr>
          <w:rFonts w:ascii="Verdana" w:hAnsi="Verdana" w:cs="Arial"/>
        </w:rPr>
      </w:pPr>
    </w:p>
    <w:p w14:paraId="1611EA60" w14:textId="77777777" w:rsidR="004D638C" w:rsidRPr="007D460E" w:rsidRDefault="004D638C" w:rsidP="00006342">
      <w:pPr>
        <w:spacing w:after="0" w:line="259" w:lineRule="auto"/>
        <w:ind w:firstLine="357"/>
        <w:jc w:val="both"/>
        <w:rPr>
          <w:rFonts w:ascii="Verdana" w:hAnsi="Verdana" w:cs="Arial"/>
        </w:rPr>
      </w:pPr>
      <w:r w:rsidRPr="007D460E">
        <w:rPr>
          <w:rFonts w:ascii="Verdana" w:hAnsi="Verdana" w:cs="Arial"/>
        </w:rPr>
        <w:t>Por otro lado, valga mencionar que, a partir de la Ley 1955 de 2019 se permite contar como experiencia profesional las prácticas laborales realizadas por estudiantes para obtener el título de grado. De acuerdo con el artículo 15 de la Ley 1780 de 2016, la practica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1B73850A" w14:textId="77777777" w:rsidR="007D460E" w:rsidRPr="007D460E" w:rsidRDefault="007D460E" w:rsidP="000B1ABA">
      <w:pPr>
        <w:spacing w:after="0" w:line="259" w:lineRule="auto"/>
        <w:ind w:firstLine="360"/>
        <w:jc w:val="both"/>
        <w:rPr>
          <w:rFonts w:ascii="Verdana" w:eastAsia="Calibri" w:hAnsi="Verdana" w:cs="Arial"/>
        </w:rPr>
      </w:pPr>
    </w:p>
    <w:p w14:paraId="1E1ED9D3" w14:textId="025895B2" w:rsidR="004D638C" w:rsidRPr="007D460E" w:rsidRDefault="004D638C" w:rsidP="000B1ABA">
      <w:pPr>
        <w:spacing w:after="0" w:line="259" w:lineRule="auto"/>
        <w:ind w:firstLine="360"/>
        <w:jc w:val="both"/>
        <w:rPr>
          <w:rFonts w:ascii="Verdana" w:eastAsia="Calibri" w:hAnsi="Verdana" w:cs="Arial"/>
        </w:rPr>
      </w:pPr>
      <w:r w:rsidRPr="007D460E">
        <w:rPr>
          <w:rFonts w:ascii="Verdana" w:eastAsia="Calibri" w:hAnsi="Verdana" w:cs="Arial"/>
        </w:rPr>
        <w:t xml:space="preserve">No obstante, se debe entender que el artículo 229 del Decreto 019 de 2012 es la regla general para contar el término de la experiencia profesional y, por lo </w:t>
      </w:r>
      <w:r w:rsidRPr="007D460E">
        <w:rPr>
          <w:rFonts w:ascii="Verdana" w:eastAsia="Calibri" w:hAnsi="Verdana" w:cs="Arial"/>
        </w:rPr>
        <w:lastRenderedPageBreak/>
        <w:t>tanto, el cómputo, en principio, se efectúa después de terminadas las materias; pero el caso previsto en el artículo 192 de la Ley 1955 de 2019 es la excepción a esta regla general. En efecto, si el estudiante que opta por un título realiza la práctica laboral antes de terminadas las materias, se debe contar esta experiencia como profesional a pesar de que sea una experiencia que no fue adquirida con posterioridad a la terminación de materias. En los demás casos, es decir, cuando no se realiza ninguna práctica laboral antes de finalizar el pénsum, el conteo de la experiencia inicia después de terminadas las materias.</w:t>
      </w:r>
    </w:p>
    <w:p w14:paraId="20973CEF" w14:textId="77777777" w:rsidR="004D638C" w:rsidRPr="007D460E" w:rsidRDefault="004D638C" w:rsidP="004D638C">
      <w:pPr>
        <w:spacing w:after="0"/>
        <w:jc w:val="both"/>
        <w:rPr>
          <w:rFonts w:ascii="Verdana" w:eastAsia="Calibri" w:hAnsi="Verdana" w:cs="Arial"/>
        </w:rPr>
      </w:pPr>
    </w:p>
    <w:p w14:paraId="65096906" w14:textId="77777777" w:rsidR="004D638C" w:rsidRPr="007D460E" w:rsidRDefault="004D638C" w:rsidP="00A77793">
      <w:pPr>
        <w:spacing w:before="120" w:after="120" w:line="276" w:lineRule="auto"/>
        <w:ind w:firstLine="360"/>
        <w:jc w:val="both"/>
        <w:rPr>
          <w:rFonts w:ascii="Verdana" w:eastAsia="Calibri" w:hAnsi="Verdana" w:cs="Arial"/>
          <w:color w:val="000000"/>
        </w:rPr>
      </w:pPr>
      <w:r w:rsidRPr="007D460E">
        <w:rPr>
          <w:rFonts w:ascii="Verdana" w:eastAsia="Calibri" w:hAnsi="Verdana" w:cs="Arial"/>
          <w:color w:val="000000"/>
        </w:rPr>
        <w:t>Sin perjuicio de lo anterior, de acuerdo con la Ley 2043 de 2020, independientemente de que se hayan realizado antes o después de la aprobación del respectivo pénsum, también deberán ser contadas como experiencia profesional y/o relacionada las prácticas laborales que a modo de actividad formativa realicen los estudiantes de pregrado en las modalidades de formación profesional, tecnológica o técnica profesional, siempre que encuadren en la definición del artículo 3 de dicha ley. El tiempo cursado por el estudiante como práctica laboral deberá ser certificado por la entidad beneficiaria y sumado a la experiencia profesional.</w:t>
      </w:r>
    </w:p>
    <w:p w14:paraId="1BA4F241" w14:textId="138D6E1A" w:rsidR="004D638C" w:rsidRPr="007D460E" w:rsidRDefault="004D638C" w:rsidP="00A77793">
      <w:pPr>
        <w:spacing w:before="120" w:after="120" w:line="276" w:lineRule="auto"/>
        <w:ind w:firstLine="360"/>
        <w:jc w:val="both"/>
        <w:rPr>
          <w:rFonts w:ascii="Verdana" w:eastAsia="Calibri" w:hAnsi="Verdana" w:cs="Arial"/>
          <w:color w:val="000000"/>
        </w:rPr>
      </w:pPr>
      <w:r w:rsidRPr="007D460E">
        <w:rPr>
          <w:rFonts w:ascii="Verdana" w:eastAsia="Calibri" w:hAnsi="Verdana" w:cs="Arial"/>
          <w:color w:val="000000"/>
        </w:rPr>
        <w:t>En torno a la Acreditación de la formación Académica el proponente puede acreditar la formación académica en Colombia con la presentación del diploma, acta de grado o los certificados expedidos por el centro educativo.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7D460E">
        <w:rPr>
          <w:rFonts w:ascii="Verdana" w:eastAsia="Calibri" w:hAnsi="Verdana" w:cs="Arial"/>
          <w:color w:val="000000"/>
        </w:rPr>
        <w:t>ii</w:t>
      </w:r>
      <w:proofErr w:type="spellEnd"/>
      <w:r w:rsidRPr="007D460E">
        <w:rPr>
          <w:rFonts w:ascii="Verdana" w:eastAsia="Calibri" w:hAnsi="Verdana" w:cs="Arial"/>
          <w:color w:val="000000"/>
        </w:rPr>
        <w:t xml:space="preserve">) la convalidación correspondiente. La Entidad Estatal debe establecer en los Documentos del Proceso el nivel de educación requerido y señalar los códigos equivalentes en la Clasificación Internacional Normalizada de la Educación. </w:t>
      </w:r>
    </w:p>
    <w:p w14:paraId="474C3B18" w14:textId="61977CFD" w:rsidR="004D638C" w:rsidRPr="007D460E" w:rsidRDefault="00A77793" w:rsidP="004D638C">
      <w:pPr>
        <w:ind w:left="720"/>
        <w:contextualSpacing/>
        <w:rPr>
          <w:rFonts w:ascii="Verdana" w:eastAsia="Times New Roman" w:hAnsi="Verdana" w:cs="Arial"/>
          <w:szCs w:val="24"/>
          <w:lang w:val="es-ES" w:eastAsia="es-ES_tradnl"/>
        </w:rPr>
      </w:pPr>
      <w:r w:rsidRPr="007D460E">
        <w:rPr>
          <w:rFonts w:ascii="Verdana" w:eastAsia="Times New Roman" w:hAnsi="Verdana" w:cs="Arial"/>
          <w:szCs w:val="24"/>
          <w:lang w:val="es-ES" w:eastAsia="es-ES_tradnl"/>
        </w:rPr>
        <w:tab/>
      </w:r>
    </w:p>
    <w:p w14:paraId="5283DC89" w14:textId="77777777" w:rsidR="004D638C" w:rsidRPr="007D460E" w:rsidRDefault="004D638C" w:rsidP="00A77793">
      <w:pPr>
        <w:spacing w:after="120" w:line="276" w:lineRule="auto"/>
        <w:ind w:firstLine="360"/>
        <w:contextualSpacing/>
        <w:jc w:val="both"/>
        <w:rPr>
          <w:rFonts w:ascii="Verdana" w:eastAsia="Calibri" w:hAnsi="Verdana" w:cs="Arial"/>
          <w:bCs/>
          <w:lang w:val="es-ES_tradnl" w:eastAsia="es-MX"/>
        </w:rPr>
      </w:pPr>
      <w:r w:rsidRPr="007D460E">
        <w:rPr>
          <w:rFonts w:ascii="Verdana" w:eastAsia="Times New Roman" w:hAnsi="Verdana" w:cs="Arial"/>
          <w:lang w:val="es-ES_tradnl" w:eastAsia="es-MX"/>
        </w:rPr>
        <w:t xml:space="preserve">Por otra parte,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w:t>
      </w:r>
      <w:r w:rsidRPr="007D460E">
        <w:rPr>
          <w:rFonts w:ascii="Verdana" w:eastAsia="Calibri" w:hAnsi="Verdana" w:cs="Arial"/>
          <w:bCs/>
          <w:lang w:val="es-ES_tradnl" w:eastAsia="es-MX"/>
        </w:rPr>
        <w:t xml:space="preserve">Para estos efectos resulta relevante </w:t>
      </w:r>
      <w:bookmarkStart w:id="2" w:name="_Hlk139465916"/>
      <w:r w:rsidRPr="007D460E">
        <w:rPr>
          <w:rFonts w:ascii="Verdana" w:eastAsia="Calibri" w:hAnsi="Verdana" w:cs="Arial"/>
          <w:bCs/>
          <w:lang w:val="es-ES_tradnl" w:eastAsia="es-MX"/>
        </w:rPr>
        <w:t xml:space="preserve">la información recolectada en el marco del </w:t>
      </w:r>
      <w:r w:rsidRPr="007D460E">
        <w:rPr>
          <w:rFonts w:ascii="Verdana" w:eastAsia="Calibri" w:hAnsi="Verdana" w:cs="Arial"/>
          <w:bCs/>
          <w:i/>
          <w:iCs/>
          <w:lang w:val="es-ES_tradnl" w:eastAsia="es-MX"/>
        </w:rPr>
        <w:t>estudio del mercado</w:t>
      </w:r>
      <w:r w:rsidRPr="007D460E">
        <w:rPr>
          <w:rFonts w:ascii="Verdana" w:eastAsia="Calibri" w:hAnsi="Verdana" w:cs="Arial"/>
          <w:bCs/>
          <w:lang w:val="es-ES_tradnl" w:eastAsia="es-MX"/>
        </w:rPr>
        <w:t xml:space="preserve"> y el análisis del sector económico y de los potenciales oferentes, actividades de planeación previa que sirven para identificar aspectos concretos del mercado que pueden afectar el proceso de selección o las condiciones del negocio a realizar mediante el proceso </w:t>
      </w:r>
      <w:r w:rsidRPr="007D460E">
        <w:rPr>
          <w:rFonts w:ascii="Verdana" w:eastAsia="Calibri" w:hAnsi="Verdana" w:cs="Arial"/>
          <w:bCs/>
          <w:lang w:val="es-ES_tradnl" w:eastAsia="es-MX"/>
        </w:rPr>
        <w:lastRenderedPageBreak/>
        <w:t xml:space="preserve">de contratación. En este sentido, el análisis del sector de las perspectivas legal, comercial, financiera, organizacional, técnica, y de análisis de Riesgo, al que se refiere el artículo </w:t>
      </w:r>
      <w:bookmarkStart w:id="3" w:name="_Hlk36117416"/>
      <w:r w:rsidRPr="007D460E">
        <w:rPr>
          <w:rFonts w:ascii="Verdana" w:eastAsia="Calibri" w:hAnsi="Verdana" w:cs="Arial"/>
          <w:bCs/>
          <w:lang w:val="es-ES_tradnl" w:eastAsia="es-MX"/>
        </w:rPr>
        <w:t>2.2.1.1.1.6.1 del Decreto 1082 de 2015</w:t>
      </w:r>
      <w:bookmarkEnd w:id="3"/>
      <w:r w:rsidRPr="007D460E">
        <w:rPr>
          <w:rFonts w:ascii="Verdana" w:eastAsia="Calibri" w:hAnsi="Verdana" w:cs="Arial"/>
          <w:bCs/>
          <w:lang w:val="es-ES_tradnl" w:eastAsia="es-MX"/>
        </w:rPr>
        <w:t>, constituye un insumo importante para determinar factores que pudieran determinar el valor del contrato y orientar a la entidad en torno al monto de la disponibilidad presupuestal que requiere para realizar la contratación</w:t>
      </w:r>
      <w:bookmarkEnd w:id="2"/>
      <w:r w:rsidRPr="007D460E">
        <w:rPr>
          <w:rFonts w:ascii="Verdana" w:eastAsia="Calibri" w:hAnsi="Verdana"/>
          <w:bCs/>
          <w:vertAlign w:val="superscript"/>
          <w:lang w:val="es-ES" w:eastAsia="es-MX"/>
        </w:rPr>
        <w:footnoteReference w:id="11"/>
      </w:r>
      <w:r w:rsidRPr="007D460E">
        <w:rPr>
          <w:rFonts w:ascii="Verdana" w:eastAsia="Calibri" w:hAnsi="Verdana" w:cs="Arial"/>
          <w:bCs/>
          <w:lang w:val="es-ES_tradnl" w:eastAsia="es-MX"/>
        </w:rPr>
        <w:t xml:space="preserve">. </w:t>
      </w:r>
    </w:p>
    <w:p w14:paraId="27B0654A" w14:textId="77777777" w:rsidR="004D638C" w:rsidRPr="007D460E" w:rsidRDefault="004D638C" w:rsidP="004D638C">
      <w:pPr>
        <w:spacing w:after="120" w:line="276" w:lineRule="auto"/>
        <w:ind w:left="720"/>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 xml:space="preserve"> </w:t>
      </w:r>
    </w:p>
    <w:p w14:paraId="352A827A" w14:textId="77777777" w:rsidR="004D638C" w:rsidRPr="007D460E" w:rsidRDefault="004D638C" w:rsidP="00A77793">
      <w:pPr>
        <w:spacing w:after="120" w:line="276" w:lineRule="auto"/>
        <w:ind w:firstLine="360"/>
        <w:contextualSpacing/>
        <w:jc w:val="both"/>
        <w:rPr>
          <w:rFonts w:ascii="Verdana" w:eastAsia="Calibri" w:hAnsi="Verdana" w:cs="Arial"/>
          <w:lang w:val="es-ES" w:eastAsia="es-MX"/>
        </w:rPr>
      </w:pPr>
      <w:r w:rsidRPr="007D460E">
        <w:rPr>
          <w:rFonts w:ascii="Verdana" w:eastAsia="Calibri" w:hAnsi="Verdana" w:cs="Arial"/>
          <w:lang w:val="es-ES" w:eastAsia="es-MX"/>
        </w:rPr>
        <w:t xml:space="preserve">De acuerdo con la norma citada, </w:t>
      </w:r>
      <w:bookmarkStart w:id="4" w:name="_Hlk36140682"/>
      <w:r w:rsidRPr="007D460E">
        <w:rPr>
          <w:rFonts w:ascii="Verdana" w:eastAsia="Calibri" w:hAnsi="Verdana" w:cs="Arial"/>
          <w:lang w:val="es-ES" w:eastAsia="es-MX"/>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3ADC5DCF" w14:textId="77777777" w:rsidR="004D638C" w:rsidRPr="007D460E" w:rsidRDefault="004D638C" w:rsidP="004D638C">
      <w:pPr>
        <w:ind w:left="720"/>
        <w:contextualSpacing/>
        <w:rPr>
          <w:rFonts w:ascii="Verdana" w:eastAsia="Calibri" w:hAnsi="Verdana" w:cs="Arial"/>
          <w:bCs/>
          <w:lang w:val="es-ES_tradnl" w:eastAsia="es-MX"/>
        </w:rPr>
      </w:pPr>
    </w:p>
    <w:p w14:paraId="33079FB9" w14:textId="77777777" w:rsidR="004D638C" w:rsidRPr="007D460E" w:rsidRDefault="004D638C" w:rsidP="00924977">
      <w:pPr>
        <w:spacing w:after="120" w:line="276" w:lineRule="auto"/>
        <w:ind w:firstLine="360"/>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468747A9" w14:textId="77777777" w:rsidR="004D638C" w:rsidRPr="007D460E" w:rsidRDefault="004D638C" w:rsidP="004D638C">
      <w:pPr>
        <w:ind w:left="720"/>
        <w:contextualSpacing/>
        <w:rPr>
          <w:rFonts w:ascii="Verdana" w:eastAsia="Calibri" w:hAnsi="Verdana" w:cs="Arial"/>
          <w:bCs/>
          <w:lang w:val="es-ES_tradnl" w:eastAsia="es-MX"/>
        </w:rPr>
      </w:pPr>
    </w:p>
    <w:p w14:paraId="4ED4F4DC" w14:textId="77777777" w:rsidR="004D638C" w:rsidRPr="007D460E" w:rsidRDefault="004D638C" w:rsidP="00A77793">
      <w:pPr>
        <w:spacing w:after="120" w:line="276" w:lineRule="auto"/>
        <w:ind w:firstLine="708"/>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 xml:space="preserve">Dicho análisis facilita tanto el conocimiento del sector, desde una perspectiva multidisciplinaria, como de los proveedores disponibles en el mercado para satisfacer la necesidad de la entidad contratante. Igualmente, el análisis del sector implica un estudio de la oferta, lo que permitirá identificar qué </w:t>
      </w:r>
      <w:r w:rsidRPr="007D460E">
        <w:rPr>
          <w:rFonts w:ascii="Verdana" w:eastAsia="Calibri" w:hAnsi="Verdana" w:cs="Arial"/>
          <w:bCs/>
          <w:lang w:val="es-ES_tradnl" w:eastAsia="es-MX"/>
        </w:rPr>
        <w:lastRenderedPageBreak/>
        <w:t xml:space="preserve">proveedores existen en el mercado y cómo intervienen en la cadena de producción, comercialización y distribución de los bienes, obras o servicios. De igual manera,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5AC28D49" w14:textId="77777777" w:rsidR="004D638C" w:rsidRPr="007D460E" w:rsidRDefault="004D638C" w:rsidP="004D638C">
      <w:pPr>
        <w:ind w:left="720"/>
        <w:contextualSpacing/>
        <w:rPr>
          <w:rFonts w:ascii="Verdana" w:eastAsia="Calibri" w:hAnsi="Verdana" w:cs="Arial"/>
          <w:bCs/>
          <w:lang w:val="es-ES_tradnl" w:eastAsia="es-MX"/>
        </w:rPr>
      </w:pPr>
    </w:p>
    <w:p w14:paraId="74B322E7" w14:textId="77777777" w:rsidR="004D638C" w:rsidRPr="007D460E" w:rsidRDefault="004D638C" w:rsidP="00A77793">
      <w:pPr>
        <w:spacing w:after="120" w:line="276" w:lineRule="auto"/>
        <w:ind w:firstLine="708"/>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7D460E">
        <w:rPr>
          <w:rFonts w:ascii="Verdana" w:eastAsia="Times New Roman" w:hAnsi="Verdana" w:cs="Arial"/>
          <w:lang w:val="es-ES_tradnl" w:eastAsia="es-CO"/>
        </w:rPr>
        <w:t xml:space="preserve">son autónomas para estructurarlo, para lo cual deberán cumplir lo dispuesto en el artículo </w:t>
      </w:r>
      <w:r w:rsidRPr="007D460E">
        <w:rPr>
          <w:rFonts w:ascii="Verdana" w:eastAsia="Calibri" w:hAnsi="Verdana" w:cs="Arial"/>
          <w:bCs/>
          <w:lang w:val="es-ES_tradnl" w:eastAsia="es-MX"/>
        </w:rPr>
        <w:t xml:space="preserve">2.2.1.1.1.6.1 del Decreto 1082 de 2015 y realizar un análisis integral de planeación que </w:t>
      </w:r>
      <w:r w:rsidRPr="007D460E">
        <w:rPr>
          <w:rFonts w:ascii="Verdana" w:eastAsia="Times New Roman" w:hAnsi="Verdana" w:cs="Arial"/>
          <w:lang w:val="es-ES_tradnl" w:eastAsia="es-MX"/>
        </w:rPr>
        <w:t xml:space="preserve">sirva de sustento a la decisión de </w:t>
      </w:r>
      <w:r w:rsidRPr="007D460E">
        <w:rPr>
          <w:rFonts w:ascii="Verdana" w:eastAsia="Times New Roman" w:hAnsi="Verdana" w:cs="Arial"/>
          <w:bCs/>
          <w:lang w:val="es-ES_tradnl" w:eastAsia="es-MX"/>
        </w:rPr>
        <w:t>realizar un Proceso de Contratación.</w:t>
      </w:r>
    </w:p>
    <w:p w14:paraId="174EDBA6" w14:textId="77777777" w:rsidR="004D638C" w:rsidRPr="007D460E" w:rsidRDefault="004D638C" w:rsidP="004D638C">
      <w:pPr>
        <w:ind w:left="720"/>
        <w:contextualSpacing/>
        <w:rPr>
          <w:rFonts w:ascii="Verdana" w:eastAsia="Calibri" w:hAnsi="Verdana" w:cs="Arial"/>
          <w:bCs/>
          <w:lang w:val="es-ES_tradnl" w:eastAsia="es-MX"/>
        </w:rPr>
      </w:pPr>
    </w:p>
    <w:p w14:paraId="474D4027" w14:textId="77777777" w:rsidR="004D638C" w:rsidRPr="007D460E" w:rsidRDefault="004D638C" w:rsidP="00C721FC">
      <w:pPr>
        <w:spacing w:after="120" w:line="276" w:lineRule="auto"/>
        <w:ind w:firstLine="708"/>
        <w:contextualSpacing/>
        <w:jc w:val="both"/>
        <w:rPr>
          <w:rFonts w:ascii="Verdana" w:eastAsia="Calibri" w:hAnsi="Verdana" w:cs="Arial"/>
          <w:bCs/>
          <w:szCs w:val="24"/>
          <w:lang w:val="es-ES" w:eastAsia="es-ES_tradnl"/>
        </w:rPr>
      </w:pPr>
      <w:bookmarkStart w:id="5" w:name="_Hlk139466113"/>
      <w:bookmarkEnd w:id="4"/>
      <w:r w:rsidRPr="007D460E">
        <w:rPr>
          <w:rFonts w:ascii="Verdana" w:eastAsia="Calibri" w:hAnsi="Verdana" w:cs="Arial"/>
          <w:bCs/>
          <w:lang w:val="es-ES_tradnl" w:eastAsia="es-MX"/>
        </w:rPr>
        <w:t>La Agencia Nacional de Contratación Pública – Colombia Compra Eficiente dispone de una “Guía para la Elaboración de Estudios del Sector”</w:t>
      </w:r>
      <w:r w:rsidRPr="007D460E">
        <w:rPr>
          <w:rFonts w:ascii="Verdana" w:eastAsia="Times New Roman" w:hAnsi="Verdana" w:cs="Arial"/>
          <w:vertAlign w:val="superscript"/>
          <w:lang w:val="es-ES_tradnl" w:eastAsia="es-CO"/>
        </w:rPr>
        <w:t xml:space="preserve"> </w:t>
      </w:r>
      <w:r w:rsidRPr="007D460E">
        <w:rPr>
          <w:rFonts w:ascii="Verdana" w:eastAsia="Times New Roman" w:hAnsi="Verdana"/>
          <w:vertAlign w:val="superscript"/>
          <w:lang w:val="es-ES" w:eastAsia="es-CO"/>
        </w:rPr>
        <w:footnoteReference w:id="12"/>
      </w:r>
      <w:r w:rsidRPr="007D460E">
        <w:rPr>
          <w:rFonts w:ascii="Verdana" w:eastAsia="Calibri" w:hAnsi="Verdana" w:cs="Arial"/>
          <w:bCs/>
          <w:lang w:val="es-ES_tradnl" w:eastAsia="es-MX"/>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bookmarkEnd w:id="5"/>
      <w:r w:rsidRPr="007D460E">
        <w:rPr>
          <w:rFonts w:ascii="Verdana" w:eastAsia="Calibri" w:hAnsi="Verdana" w:cs="Arial"/>
          <w:bCs/>
          <w:lang w:val="es-ES_tradnl" w:eastAsia="es-MX"/>
        </w:rPr>
        <w:t xml:space="preserve"> </w:t>
      </w:r>
      <w:r w:rsidRPr="007D460E">
        <w:rPr>
          <w:rFonts w:ascii="Verdana" w:eastAsia="Calibri" w:hAnsi="Verdana" w:cs="Arial"/>
          <w:bCs/>
          <w:szCs w:val="24"/>
          <w:lang w:val="es-ES_tradnl" w:eastAsia="es-ES_tradnl"/>
        </w:rPr>
        <w:t>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w:t>
      </w:r>
      <w:r w:rsidRPr="007D460E">
        <w:rPr>
          <w:rFonts w:ascii="Verdana" w:eastAsia="Calibri" w:hAnsi="Verdana" w:cs="Arial"/>
          <w:bCs/>
          <w:szCs w:val="24"/>
          <w:lang w:val="es-ES" w:eastAsia="es-ES_tradnl"/>
        </w:rPr>
        <w:t xml:space="preserve"> recomendaciones generales por lo que no debe aplicarse de manera mecánica, pues la profundidad del estudio del sector depende de la complejidad y particularidades de cada Proceso de Contratación. </w:t>
      </w:r>
    </w:p>
    <w:p w14:paraId="79A2F1A1" w14:textId="77777777" w:rsidR="004D638C" w:rsidRPr="007D460E" w:rsidRDefault="004D638C" w:rsidP="004D638C">
      <w:pPr>
        <w:ind w:left="720"/>
        <w:contextualSpacing/>
        <w:rPr>
          <w:rFonts w:ascii="Verdana" w:eastAsia="Calibri" w:hAnsi="Verdana" w:cs="Arial"/>
          <w:bCs/>
          <w:szCs w:val="24"/>
          <w:lang w:val="es-ES" w:eastAsia="es-ES_tradnl"/>
        </w:rPr>
      </w:pPr>
    </w:p>
    <w:p w14:paraId="7B1CA90B" w14:textId="77777777" w:rsidR="004D638C" w:rsidRPr="007D460E" w:rsidRDefault="004D638C" w:rsidP="00136215">
      <w:pPr>
        <w:spacing w:after="120" w:line="276" w:lineRule="auto"/>
        <w:ind w:firstLine="708"/>
        <w:contextualSpacing/>
        <w:jc w:val="both"/>
        <w:rPr>
          <w:rFonts w:ascii="Verdana" w:eastAsia="Calibri" w:hAnsi="Verdana" w:cs="Arial"/>
          <w:szCs w:val="24"/>
          <w:lang w:val="es-ES" w:eastAsia="es-ES_tradnl"/>
        </w:rPr>
      </w:pPr>
      <w:r w:rsidRPr="007D460E">
        <w:rPr>
          <w:rFonts w:ascii="Verdana" w:eastAsia="Calibri" w:hAnsi="Verdana" w:cs="Arial"/>
          <w:bCs/>
          <w:lang w:val="es-ES_tradnl" w:eastAsia="es-MX"/>
        </w:rPr>
        <w:lastRenderedPageBreak/>
        <w:t xml:space="preserve">En este instrumento se recomienda, particularmente para la contratación directa y los contratos de prestación de servicios que: </w:t>
      </w:r>
    </w:p>
    <w:p w14:paraId="158DF912" w14:textId="77777777" w:rsidR="004D638C" w:rsidRPr="007D460E" w:rsidRDefault="004D638C" w:rsidP="004D638C">
      <w:pPr>
        <w:ind w:left="720"/>
        <w:contextualSpacing/>
        <w:rPr>
          <w:rFonts w:ascii="Verdana" w:eastAsia="Calibri" w:hAnsi="Verdana" w:cs="Arial"/>
          <w:szCs w:val="24"/>
          <w:lang w:val="es-ES" w:eastAsia="es-ES_tradnl"/>
        </w:rPr>
      </w:pPr>
    </w:p>
    <w:p w14:paraId="0298D493" w14:textId="13232895" w:rsidR="004D638C" w:rsidRPr="007D460E" w:rsidRDefault="004D638C" w:rsidP="004D638C">
      <w:pPr>
        <w:spacing w:after="0" w:line="276" w:lineRule="auto"/>
        <w:ind w:left="709" w:right="709"/>
        <w:contextualSpacing/>
        <w:jc w:val="both"/>
        <w:rPr>
          <w:rFonts w:ascii="Verdana" w:eastAsia="Times New Roman" w:hAnsi="Verdana" w:cs="Arial"/>
          <w:sz w:val="21"/>
          <w:szCs w:val="21"/>
          <w:lang w:val="es-MX" w:eastAsia="es-ES_tradnl"/>
        </w:rPr>
      </w:pPr>
      <w:r w:rsidRPr="007D460E">
        <w:rPr>
          <w:rFonts w:ascii="Verdana" w:eastAsia="Times New Roman" w:hAnsi="Verdana" w:cs="Arial"/>
          <w:sz w:val="21"/>
          <w:szCs w:val="21"/>
          <w:lang w:val="es-ES" w:eastAsia="es-ES_tradnl"/>
        </w:rPr>
        <w:t>“</w:t>
      </w:r>
      <w:r w:rsidRPr="007D460E">
        <w:rPr>
          <w:rFonts w:ascii="Verdana" w:eastAsia="Times New Roman" w:hAnsi="Verdana" w:cs="Arial"/>
          <w:sz w:val="20"/>
          <w:szCs w:val="21"/>
          <w:lang w:val="es-MX" w:eastAsia="es-ES_tradnl"/>
        </w:rPr>
        <w:t>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w:t>
      </w:r>
      <w:r w:rsidR="007D460E" w:rsidRPr="007D460E">
        <w:rPr>
          <w:rFonts w:ascii="Verdana" w:eastAsia="Times New Roman" w:hAnsi="Verdana" w:cs="Arial"/>
          <w:sz w:val="20"/>
          <w:szCs w:val="21"/>
          <w:lang w:val="es-MX" w:eastAsia="es-ES_tradnl"/>
        </w:rPr>
        <w:t>” (…)</w:t>
      </w:r>
    </w:p>
    <w:p w14:paraId="3C1FC53F" w14:textId="77777777" w:rsidR="004D638C" w:rsidRPr="007D460E" w:rsidRDefault="004D638C" w:rsidP="004D638C">
      <w:pPr>
        <w:spacing w:after="0" w:line="276" w:lineRule="auto"/>
        <w:ind w:left="709" w:right="709"/>
        <w:contextualSpacing/>
        <w:jc w:val="both"/>
        <w:rPr>
          <w:rFonts w:ascii="Verdana" w:eastAsia="Times New Roman" w:hAnsi="Verdana" w:cs="Arial"/>
          <w:sz w:val="21"/>
          <w:szCs w:val="21"/>
          <w:lang w:val="es-MX" w:eastAsia="es-ES_tradnl"/>
        </w:rPr>
      </w:pPr>
    </w:p>
    <w:p w14:paraId="7A2203FD" w14:textId="15223594" w:rsidR="006C04FC" w:rsidRPr="007D460E" w:rsidRDefault="007D460E" w:rsidP="007D460E">
      <w:pPr>
        <w:tabs>
          <w:tab w:val="left" w:pos="426"/>
        </w:tabs>
        <w:spacing w:line="259" w:lineRule="auto"/>
        <w:jc w:val="both"/>
        <w:rPr>
          <w:rFonts w:ascii="Verdana" w:eastAsia="Calibri" w:hAnsi="Verdana" w:cs="Arial"/>
        </w:rPr>
      </w:pPr>
      <w:r w:rsidRPr="007D460E">
        <w:rPr>
          <w:rFonts w:ascii="Verdana" w:eastAsia="Times New Roman" w:hAnsi="Verdana" w:cs="Arial"/>
          <w:sz w:val="21"/>
          <w:szCs w:val="21"/>
          <w:lang w:val="es-MX" w:eastAsia="es-ES_tradnl"/>
        </w:rPr>
        <w:tab/>
      </w:r>
      <w:r w:rsidR="004D638C" w:rsidRPr="007D460E">
        <w:rPr>
          <w:rFonts w:ascii="Verdana" w:eastAsia="Times New Roman" w:hAnsi="Verdana" w:cs="Arial"/>
          <w:sz w:val="21"/>
          <w:szCs w:val="21"/>
          <w:lang w:val="es-MX" w:eastAsia="es-ES_tradnl"/>
        </w:rPr>
        <w:t xml:space="preserve">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 En un contrato de prestación de servicios profesionales, el estudio del sector depende del objeto del contrato y de las condiciones de idoneidad y/o experiencia que llevan a contratar a la persona natural o jurídica que está en condiciones de desarrollar dicho objeto. Por ejemplo, si se trata de la contratación de un abogado para llevar un proceso judicial, la Entidad debe analizar la necesidad de contratar el servicio, de forma esencialmente temporal y las condiciones de los Procesos de Contratación que ha adelantado en el pasado para contratar este tipo de servicios, teniendo en cuenta plazos valor y forma de pago. </w:t>
      </w:r>
    </w:p>
    <w:p w14:paraId="16387D3E" w14:textId="184F4A5B" w:rsidR="00A77793" w:rsidRPr="007D460E" w:rsidRDefault="00A77793" w:rsidP="007D460E">
      <w:pPr>
        <w:spacing w:after="120" w:line="276" w:lineRule="auto"/>
        <w:ind w:firstLine="426"/>
        <w:jc w:val="both"/>
        <w:rPr>
          <w:rFonts w:ascii="Verdana" w:hAnsi="Verdana"/>
          <w:sz w:val="21"/>
          <w:szCs w:val="21"/>
        </w:rPr>
      </w:pPr>
      <w:r w:rsidRPr="007D460E">
        <w:rPr>
          <w:rFonts w:ascii="Verdana" w:hAnsi="Verdana"/>
          <w:sz w:val="21"/>
          <w:szCs w:val="21"/>
        </w:rPr>
        <w:t xml:space="preserve">Pertinente indicar que  son las Entidades Públicas las encargadas de señalar las condiciones relacionadas a la experiencia y forma de acreditarla </w:t>
      </w:r>
      <w:r w:rsidRPr="007D460E">
        <w:rPr>
          <w:rFonts w:ascii="Verdana" w:eastAsia="Calibri" w:hAnsi="Verdana" w:cs="Arial"/>
          <w:szCs w:val="24"/>
          <w:lang w:val="es-ES" w:eastAsia="es-ES_tradnl"/>
        </w:rPr>
        <w:t>conforme</w:t>
      </w:r>
      <w:r w:rsidRPr="007D460E">
        <w:rPr>
          <w:rFonts w:ascii="Verdana" w:hAnsi="Verdana"/>
          <w:sz w:val="21"/>
          <w:szCs w:val="21"/>
        </w:rPr>
        <w:t xml:space="preserve"> a lo que establezcan sus pliegos de condiciones en los procesos de selección, los cuales deben estructurarse conforme a la normatividad vigente; o en su defecto, a través del acto administrativo que expide cada entidad estatal para estandarizar los honorarios y las equivalencias a los meses de experiencias con el fin de mantener la igualdad de condiciones y la austeridad del gasto público. </w:t>
      </w:r>
    </w:p>
    <w:p w14:paraId="1E64480E" w14:textId="77777777" w:rsidR="00A77793" w:rsidRPr="007D460E" w:rsidRDefault="00A77793" w:rsidP="007D460E">
      <w:pPr>
        <w:spacing w:after="120" w:line="276" w:lineRule="auto"/>
        <w:ind w:firstLine="426"/>
        <w:jc w:val="both"/>
        <w:rPr>
          <w:rFonts w:ascii="Verdana" w:eastAsia="Calibri" w:hAnsi="Verdana" w:cs="Arial"/>
          <w:szCs w:val="24"/>
          <w:lang w:val="es-ES" w:eastAsia="es-ES_tradnl"/>
        </w:rPr>
      </w:pPr>
      <w:r w:rsidRPr="007D460E">
        <w:rPr>
          <w:rFonts w:ascii="Verdana" w:eastAsia="Calibri" w:hAnsi="Verdana" w:cs="Arial"/>
          <w:szCs w:val="24"/>
          <w:lang w:val="es-ES" w:eastAsia="es-ES_tradnl"/>
        </w:rPr>
        <w:t xml:space="preserve">En referencia al Contrato de Prestación de Servicios, una vez la entidad ha establecido la experiencia y los estudios que debe tener una persona natural o jurídica para celebrar un contrato de prestación de servicios, en su autonomía y como directora del proceso de contratación debe determinar cómo evaluar que esto se cumpla, sin que sea obligatorio la aplicabilidad el Decreto 1083 de 2015 respecto de la equivalencia entre experiencia y estudios, ya que el artículo 2.1.1.1. que trata del objeto del decreto señala que es para el sector de la función pública en temas como “empleo público; funciones, competencias y requisitos generales para los empleos públicos de los distintos niveles </w:t>
      </w:r>
      <w:r w:rsidRPr="007D460E">
        <w:rPr>
          <w:rFonts w:ascii="Verdana" w:eastAsia="Calibri" w:hAnsi="Verdana" w:cs="Arial"/>
          <w:szCs w:val="24"/>
          <w:lang w:val="es-ES" w:eastAsia="es-ES_tradnl"/>
        </w:rPr>
        <w:lastRenderedPageBreak/>
        <w:t xml:space="preserve">jerárquicos de los organismos y entidades del orden nacional y territorial; administración de personal (…)”, entre otros. </w:t>
      </w:r>
    </w:p>
    <w:p w14:paraId="082D0580" w14:textId="0537CD15" w:rsidR="00A77793" w:rsidRPr="007D460E" w:rsidRDefault="00A77793" w:rsidP="007D460E">
      <w:pPr>
        <w:spacing w:after="120" w:line="276" w:lineRule="auto"/>
        <w:ind w:firstLine="426"/>
        <w:jc w:val="both"/>
        <w:rPr>
          <w:rFonts w:ascii="Verdana" w:eastAsia="Calibri" w:hAnsi="Verdana" w:cs="Arial"/>
          <w:szCs w:val="24"/>
          <w:lang w:val="es-ES" w:eastAsia="es-ES_tradnl"/>
        </w:rPr>
      </w:pPr>
      <w:r w:rsidRPr="007D460E">
        <w:rPr>
          <w:rFonts w:ascii="Verdana" w:eastAsia="Calibri" w:hAnsi="Verdana" w:cs="Arial"/>
          <w:szCs w:val="24"/>
          <w:lang w:val="es-ES" w:eastAsia="es-ES_tradnl"/>
        </w:rPr>
        <w:t>De acuerdo con el concepto del Departamento Administrativo de la Función Pública</w:t>
      </w:r>
      <w:r w:rsidRPr="007D460E">
        <w:rPr>
          <w:rStyle w:val="Refdenotaalpie"/>
          <w:rFonts w:ascii="Verdana" w:eastAsia="Calibri" w:hAnsi="Verdana" w:cs="Arial"/>
          <w:szCs w:val="24"/>
          <w:lang w:val="es-ES" w:eastAsia="es-ES_tradnl"/>
        </w:rPr>
        <w:footnoteReference w:id="13"/>
      </w:r>
      <w:r w:rsidRPr="007D460E">
        <w:rPr>
          <w:rFonts w:ascii="Verdana" w:eastAsia="Calibri" w:hAnsi="Verdana" w:cs="Arial"/>
          <w:szCs w:val="24"/>
          <w:lang w:val="es-ES" w:eastAsia="es-ES_tradnl"/>
        </w:rPr>
        <w:t>, “La relación contractual tiene como características la autonomía e independencia del contratista, por consiguiente, los contratistas no son servidores públicos sino particulares que prestan una función pública (…)”</w:t>
      </w:r>
      <w:r w:rsidR="00C721FC">
        <w:rPr>
          <w:rFonts w:ascii="Verdana" w:eastAsia="Calibri" w:hAnsi="Verdana" w:cs="Arial"/>
          <w:szCs w:val="24"/>
          <w:lang w:val="es-ES" w:eastAsia="es-ES_tradnl"/>
        </w:rPr>
        <w:t>;</w:t>
      </w:r>
      <w:r w:rsidRPr="007D460E">
        <w:rPr>
          <w:rFonts w:ascii="Verdana" w:eastAsia="Calibri" w:hAnsi="Verdana" w:cs="Arial"/>
          <w:szCs w:val="24"/>
          <w:lang w:val="es-ES" w:eastAsia="es-ES_tradnl"/>
        </w:rPr>
        <w:t xml:space="preserve"> por lo que no es aplicable el Decreto 1083 de 2015. Ahora bien, la entidad en su autonomía y como rectora del proceso de contratación puede determinar la observancia de la equivalencia entre experiencia y estudios allí establecida y tendrá que justificarlo en los estudios previos y análisis del sector.</w:t>
      </w:r>
    </w:p>
    <w:p w14:paraId="4238ACC2" w14:textId="77777777" w:rsidR="00A77793" w:rsidRPr="007D460E" w:rsidRDefault="00A77793" w:rsidP="007D460E">
      <w:pPr>
        <w:spacing w:after="120" w:line="276" w:lineRule="auto"/>
        <w:ind w:firstLine="426"/>
        <w:jc w:val="both"/>
        <w:rPr>
          <w:rFonts w:ascii="Verdana" w:eastAsia="Calibri" w:hAnsi="Verdana" w:cs="Arial"/>
          <w:szCs w:val="24"/>
          <w:lang w:val="es-ES" w:eastAsia="es-ES_tradnl"/>
        </w:rPr>
      </w:pPr>
      <w:r w:rsidRPr="007D460E">
        <w:rPr>
          <w:rFonts w:ascii="Verdana" w:eastAsia="Calibri" w:hAnsi="Verdana" w:cs="Arial"/>
          <w:szCs w:val="24"/>
          <w:lang w:val="es-ES" w:eastAsia="es-ES_tradnl"/>
        </w:rPr>
        <w:t xml:space="preserve">Así mismo se indica que las entidades estatales de orden nacional y descentralizada al iniciar su vigencia fiscal correspondiente emiten un acto administrativo en las que regulan y estandarizan los valores de los honorarios de acuerdo con los años y/o meses de experiencia y formación profesional de los proveedores del servicio profesional. Lo anterior lo realizan con el fin de garantizar la austeridad del gasto público, la sostenibilidad financiera del presupuesto, el flujo de caja y la igual de condiciones en los contratistas que aportan idoneidad en la experiencia y formación profesional. </w:t>
      </w:r>
    </w:p>
    <w:p w14:paraId="13485D3B" w14:textId="77777777" w:rsidR="00A77793" w:rsidRPr="007D460E" w:rsidRDefault="00A77793" w:rsidP="007D460E">
      <w:pPr>
        <w:spacing w:after="120" w:line="276" w:lineRule="auto"/>
        <w:ind w:firstLine="426"/>
        <w:jc w:val="both"/>
        <w:rPr>
          <w:rFonts w:ascii="Verdana" w:hAnsi="Verdana"/>
        </w:rPr>
      </w:pPr>
      <w:r w:rsidRPr="007D460E">
        <w:rPr>
          <w:rFonts w:ascii="Verdana" w:eastAsia="Calibri" w:hAnsi="Verdana" w:cs="Arial"/>
          <w:szCs w:val="24"/>
          <w:lang w:val="es-ES" w:eastAsia="es-ES_tradnl"/>
        </w:rPr>
        <w:t xml:space="preserve">En conclusión, la entidad estatal dentro de su discrecionalidad expedirá el acto administrativo por la cual adopta la tabla de honorarios de los contratos de prestación de servicios y de apoyo a la gestión, </w:t>
      </w:r>
      <w:r w:rsidRPr="007D460E">
        <w:rPr>
          <w:rFonts w:ascii="Verdana" w:hAnsi="Verdana"/>
        </w:rPr>
        <w:t xml:space="preserve">como herramienta para establecer objetivamente los costos de los servicios requeridos, teniendo en cuenta la escolaridad y experiencia, de conformidad con los principios de transparencia, economía, responsabilidad y selección objetiva, que rigen las actuaciones de quienes intervienen en la actividad contractual. </w:t>
      </w:r>
    </w:p>
    <w:p w14:paraId="7ABF4149" w14:textId="77777777" w:rsidR="00A77793" w:rsidRPr="007D460E" w:rsidRDefault="00A77793" w:rsidP="0009766F">
      <w:pPr>
        <w:widowControl w:val="0"/>
        <w:autoSpaceDE w:val="0"/>
        <w:autoSpaceDN w:val="0"/>
        <w:spacing w:after="0" w:line="276" w:lineRule="auto"/>
        <w:jc w:val="both"/>
        <w:rPr>
          <w:rFonts w:ascii="Verdana" w:hAnsi="Verdana" w:cs="Arial"/>
        </w:rPr>
      </w:pPr>
    </w:p>
    <w:p w14:paraId="5CE608B0" w14:textId="77777777" w:rsidR="0009766F" w:rsidRPr="007D460E" w:rsidRDefault="0009766F" w:rsidP="0009766F">
      <w:pPr>
        <w:numPr>
          <w:ilvl w:val="0"/>
          <w:numId w:val="20"/>
        </w:numPr>
        <w:tabs>
          <w:tab w:val="left" w:pos="142"/>
          <w:tab w:val="left" w:pos="284"/>
        </w:tabs>
        <w:spacing w:after="0" w:line="276" w:lineRule="auto"/>
        <w:ind w:left="0" w:firstLine="0"/>
        <w:jc w:val="both"/>
        <w:rPr>
          <w:rFonts w:ascii="Verdana" w:eastAsia="Century Gothic" w:hAnsi="Verdana" w:cs="Century Gothic"/>
          <w:b/>
          <w:bCs/>
          <w:lang w:val="es-ES"/>
        </w:rPr>
      </w:pPr>
      <w:r w:rsidRPr="007D460E">
        <w:rPr>
          <w:rFonts w:ascii="Verdana" w:eastAsia="Century Gothic" w:hAnsi="Verdana" w:cs="Century Gothic"/>
          <w:b/>
          <w:bCs/>
          <w:lang w:val="es-ES"/>
        </w:rPr>
        <w:t>Referencias normativas, jurisprudenciales y otras fuentes:</w:t>
      </w:r>
    </w:p>
    <w:p w14:paraId="7FE83E8C" w14:textId="77777777" w:rsidR="0009766F" w:rsidRPr="007D460E" w:rsidRDefault="0009766F" w:rsidP="0009766F">
      <w:pPr>
        <w:tabs>
          <w:tab w:val="left" w:pos="142"/>
          <w:tab w:val="left" w:pos="284"/>
        </w:tabs>
        <w:spacing w:line="259" w:lineRule="auto"/>
        <w:ind w:left="720"/>
        <w:contextualSpacing/>
        <w:jc w:val="both"/>
        <w:rPr>
          <w:rFonts w:ascii="Verdana" w:eastAsia="Century Gothic" w:hAnsi="Verdana" w:cs="Century Gothic"/>
          <w:bCs/>
          <w:lang w:val="es-ES_tradnl"/>
        </w:rPr>
      </w:pPr>
    </w:p>
    <w:p w14:paraId="0ADBCA8A" w14:textId="028F25DF" w:rsidR="00136215" w:rsidRDefault="00136215" w:rsidP="0009766F">
      <w:pPr>
        <w:widowControl w:val="0"/>
        <w:numPr>
          <w:ilvl w:val="0"/>
          <w:numId w:val="22"/>
        </w:numPr>
        <w:autoSpaceDE w:val="0"/>
        <w:autoSpaceDN w:val="0"/>
        <w:spacing w:after="120" w:line="276" w:lineRule="auto"/>
        <w:ind w:left="454"/>
        <w:contextualSpacing/>
        <w:jc w:val="both"/>
        <w:rPr>
          <w:rFonts w:ascii="Verdana" w:hAnsi="Verdana" w:cs="Arial"/>
        </w:rPr>
      </w:pPr>
      <w:r>
        <w:rPr>
          <w:rFonts w:ascii="Verdana" w:hAnsi="Verdana" w:cs="Arial"/>
        </w:rPr>
        <w:t xml:space="preserve">Constitución Política de Colombia. Artículo 26. Disponible en: </w:t>
      </w:r>
      <w:r w:rsidR="00F65EF8" w:rsidRPr="00F65EF8">
        <w:rPr>
          <w:rFonts w:ascii="Verdana" w:hAnsi="Verdana" w:cs="Arial"/>
        </w:rPr>
        <w:t>https://relatoria.colombiacompra.gov.co/normativa/constitucion-politica-de-colombia/</w:t>
      </w:r>
    </w:p>
    <w:p w14:paraId="48C2F993" w14:textId="77777777" w:rsidR="00136215" w:rsidRDefault="00136215" w:rsidP="00136215">
      <w:pPr>
        <w:widowControl w:val="0"/>
        <w:autoSpaceDE w:val="0"/>
        <w:autoSpaceDN w:val="0"/>
        <w:spacing w:after="120" w:line="276" w:lineRule="auto"/>
        <w:ind w:left="454"/>
        <w:contextualSpacing/>
        <w:jc w:val="both"/>
        <w:rPr>
          <w:rFonts w:ascii="Verdana" w:hAnsi="Verdana" w:cs="Arial"/>
        </w:rPr>
      </w:pPr>
    </w:p>
    <w:p w14:paraId="0BB46F4F" w14:textId="3C90189F" w:rsidR="0009766F" w:rsidRDefault="00136215" w:rsidP="0009766F">
      <w:pPr>
        <w:widowControl w:val="0"/>
        <w:numPr>
          <w:ilvl w:val="0"/>
          <w:numId w:val="22"/>
        </w:numPr>
        <w:autoSpaceDE w:val="0"/>
        <w:autoSpaceDN w:val="0"/>
        <w:spacing w:after="120" w:line="276" w:lineRule="auto"/>
        <w:ind w:left="454"/>
        <w:contextualSpacing/>
        <w:jc w:val="both"/>
        <w:rPr>
          <w:rFonts w:ascii="Verdana" w:hAnsi="Verdana" w:cs="Arial"/>
        </w:rPr>
      </w:pPr>
      <w:r>
        <w:rPr>
          <w:rFonts w:ascii="Verdana" w:hAnsi="Verdana" w:cs="Arial"/>
        </w:rPr>
        <w:t xml:space="preserve">Ley 80 de 1993, Artículo 32. </w:t>
      </w:r>
      <w:r w:rsidR="0009766F" w:rsidRPr="007D460E">
        <w:rPr>
          <w:rFonts w:ascii="Verdana" w:hAnsi="Verdana" w:cs="Arial"/>
        </w:rPr>
        <w:t xml:space="preserve"> Disponible en: </w:t>
      </w:r>
      <w:hyperlink r:id="rId12" w:history="1">
        <w:r w:rsidR="00F65EF8" w:rsidRPr="006D2284">
          <w:rPr>
            <w:rStyle w:val="Hipervnculo"/>
            <w:rFonts w:ascii="Verdana" w:hAnsi="Verdana" w:cs="Arial"/>
          </w:rPr>
          <w:t>https://relatoria.colombiacompra.gov.co/normativa/ley-80-de-1993/</w:t>
        </w:r>
      </w:hyperlink>
    </w:p>
    <w:p w14:paraId="256FD6ED" w14:textId="77777777" w:rsidR="00136215" w:rsidRDefault="00136215" w:rsidP="00136215">
      <w:pPr>
        <w:widowControl w:val="0"/>
        <w:autoSpaceDE w:val="0"/>
        <w:autoSpaceDN w:val="0"/>
        <w:spacing w:after="120" w:line="276" w:lineRule="auto"/>
        <w:ind w:left="454"/>
        <w:contextualSpacing/>
        <w:jc w:val="both"/>
        <w:rPr>
          <w:rFonts w:ascii="Verdana" w:hAnsi="Verdana" w:cs="Arial"/>
        </w:rPr>
      </w:pPr>
    </w:p>
    <w:p w14:paraId="0E266DC9" w14:textId="1E305C73" w:rsidR="00136215" w:rsidRDefault="00136215" w:rsidP="0009766F">
      <w:pPr>
        <w:widowControl w:val="0"/>
        <w:numPr>
          <w:ilvl w:val="0"/>
          <w:numId w:val="22"/>
        </w:numPr>
        <w:autoSpaceDE w:val="0"/>
        <w:autoSpaceDN w:val="0"/>
        <w:spacing w:after="120" w:line="276" w:lineRule="auto"/>
        <w:ind w:left="454"/>
        <w:contextualSpacing/>
        <w:jc w:val="both"/>
        <w:rPr>
          <w:rFonts w:ascii="Verdana" w:hAnsi="Verdana" w:cs="Arial"/>
        </w:rPr>
      </w:pPr>
      <w:r>
        <w:rPr>
          <w:rFonts w:ascii="Verdana" w:hAnsi="Verdana" w:cs="Arial"/>
        </w:rPr>
        <w:lastRenderedPageBreak/>
        <w:t xml:space="preserve">Ley 1150 de 2007, Artículo 2 numeral 4 literal h. Disponible en: </w:t>
      </w:r>
      <w:hyperlink r:id="rId13" w:history="1">
        <w:r w:rsidR="00F65EF8" w:rsidRPr="006D2284">
          <w:rPr>
            <w:rStyle w:val="Hipervnculo"/>
            <w:rFonts w:ascii="Verdana" w:hAnsi="Verdana" w:cs="Arial"/>
          </w:rPr>
          <w:t>https://relatoria.colombiacompra.gov.co/normativa/ley-1150-de-2007/</w:t>
        </w:r>
      </w:hyperlink>
    </w:p>
    <w:p w14:paraId="40577BC6" w14:textId="77777777" w:rsidR="00F65EF8" w:rsidRDefault="00F65EF8" w:rsidP="00F65EF8">
      <w:pPr>
        <w:pStyle w:val="Prrafodelista"/>
        <w:rPr>
          <w:rFonts w:ascii="Verdana" w:hAnsi="Verdana" w:cs="Arial"/>
        </w:rPr>
      </w:pPr>
    </w:p>
    <w:p w14:paraId="5FB10E8E" w14:textId="255215F0" w:rsidR="00136215" w:rsidRDefault="00136215" w:rsidP="0009766F">
      <w:pPr>
        <w:widowControl w:val="0"/>
        <w:numPr>
          <w:ilvl w:val="0"/>
          <w:numId w:val="22"/>
        </w:numPr>
        <w:autoSpaceDE w:val="0"/>
        <w:autoSpaceDN w:val="0"/>
        <w:spacing w:after="120" w:line="276" w:lineRule="auto"/>
        <w:ind w:left="454"/>
        <w:contextualSpacing/>
        <w:jc w:val="both"/>
        <w:rPr>
          <w:rFonts w:ascii="Verdana" w:hAnsi="Verdana" w:cs="Arial"/>
        </w:rPr>
      </w:pPr>
      <w:r>
        <w:rPr>
          <w:rFonts w:ascii="Verdana" w:hAnsi="Verdana" w:cs="Arial"/>
        </w:rPr>
        <w:t xml:space="preserve">Ley 1006 de 2006, Artículo 7. </w:t>
      </w:r>
      <w:r w:rsidR="00C721FC">
        <w:rPr>
          <w:rFonts w:ascii="Verdana" w:hAnsi="Verdana" w:cs="Arial"/>
        </w:rPr>
        <w:t>Disponible</w:t>
      </w:r>
      <w:r>
        <w:rPr>
          <w:rFonts w:ascii="Verdana" w:hAnsi="Verdana" w:cs="Arial"/>
        </w:rPr>
        <w:t xml:space="preserve"> en: </w:t>
      </w:r>
      <w:hyperlink r:id="rId14" w:anchor=":~:text=La%20presente%20ley%20define%20la,del%20ejercicio%20de%20la%20profesi%C3%B3n" w:history="1">
        <w:r w:rsidR="00F65EF8" w:rsidRPr="006D2284">
          <w:rPr>
            <w:rStyle w:val="Hipervnculo"/>
            <w:rFonts w:ascii="Verdana" w:hAnsi="Verdana" w:cs="Arial"/>
          </w:rPr>
          <w:t>https://www.suin-juriscol.gov.co/viewDocument.asp?ruta=Leyes/1672629#:~:text=La%20presente%20ley%20define%20la,del%20ejercicio%20de%20la%20profesi%C3%B3n</w:t>
        </w:r>
      </w:hyperlink>
      <w:r w:rsidR="00F65EF8" w:rsidRPr="00F65EF8">
        <w:rPr>
          <w:rFonts w:ascii="Verdana" w:hAnsi="Verdana" w:cs="Arial"/>
        </w:rPr>
        <w:t>.</w:t>
      </w:r>
    </w:p>
    <w:p w14:paraId="47227095" w14:textId="77777777" w:rsidR="00C721FC" w:rsidRDefault="00C721FC" w:rsidP="00C721FC">
      <w:pPr>
        <w:widowControl w:val="0"/>
        <w:autoSpaceDE w:val="0"/>
        <w:autoSpaceDN w:val="0"/>
        <w:spacing w:after="120" w:line="276" w:lineRule="auto"/>
        <w:ind w:left="454"/>
        <w:contextualSpacing/>
        <w:jc w:val="both"/>
        <w:rPr>
          <w:rFonts w:ascii="Verdana" w:hAnsi="Verdana" w:cs="Arial"/>
        </w:rPr>
      </w:pPr>
    </w:p>
    <w:p w14:paraId="7AE22CF6" w14:textId="654C8FAC" w:rsidR="00C721FC" w:rsidRDefault="00C721FC" w:rsidP="0009766F">
      <w:pPr>
        <w:widowControl w:val="0"/>
        <w:numPr>
          <w:ilvl w:val="0"/>
          <w:numId w:val="22"/>
        </w:numPr>
        <w:autoSpaceDE w:val="0"/>
        <w:autoSpaceDN w:val="0"/>
        <w:spacing w:after="120" w:line="276" w:lineRule="auto"/>
        <w:ind w:left="454"/>
        <w:contextualSpacing/>
        <w:jc w:val="both"/>
        <w:rPr>
          <w:rFonts w:ascii="Verdana" w:hAnsi="Verdana" w:cs="Arial"/>
        </w:rPr>
      </w:pPr>
      <w:r>
        <w:rPr>
          <w:rFonts w:ascii="Verdana" w:hAnsi="Verdana" w:cs="Arial"/>
        </w:rPr>
        <w:t xml:space="preserve">Decreto 019 de 2012. Artículo 229. </w:t>
      </w:r>
      <w:hyperlink r:id="rId15" w:history="1">
        <w:r w:rsidR="00F65EF8" w:rsidRPr="006D2284">
          <w:rPr>
            <w:rStyle w:val="Hipervnculo"/>
            <w:rFonts w:ascii="Verdana" w:hAnsi="Verdana" w:cs="Arial"/>
          </w:rPr>
          <w:t>https://relatoria.colombiacompra.gov.co/normativa/decreto-019-de-2012/</w:t>
        </w:r>
      </w:hyperlink>
    </w:p>
    <w:p w14:paraId="049ED4A4" w14:textId="77777777" w:rsidR="0009766F" w:rsidRPr="007D460E" w:rsidRDefault="0009766F" w:rsidP="0009766F">
      <w:pPr>
        <w:widowControl w:val="0"/>
        <w:autoSpaceDE w:val="0"/>
        <w:autoSpaceDN w:val="0"/>
        <w:spacing w:after="120" w:line="276" w:lineRule="auto"/>
        <w:ind w:left="454"/>
        <w:contextualSpacing/>
        <w:jc w:val="both"/>
        <w:rPr>
          <w:rFonts w:ascii="Verdana" w:hAnsi="Verdana" w:cs="Arial"/>
        </w:rPr>
      </w:pPr>
    </w:p>
    <w:p w14:paraId="5C505AB6" w14:textId="6FADA680" w:rsidR="0009766F" w:rsidRPr="00F65EF8" w:rsidRDefault="0009766F" w:rsidP="0009766F">
      <w:pPr>
        <w:widowControl w:val="0"/>
        <w:numPr>
          <w:ilvl w:val="0"/>
          <w:numId w:val="22"/>
        </w:numPr>
        <w:autoSpaceDE w:val="0"/>
        <w:autoSpaceDN w:val="0"/>
        <w:spacing w:after="120" w:line="276" w:lineRule="auto"/>
        <w:ind w:left="454"/>
        <w:contextualSpacing/>
        <w:jc w:val="both"/>
        <w:rPr>
          <w:rFonts w:ascii="Verdana" w:hAnsi="Verdana" w:cs="Arial"/>
        </w:rPr>
      </w:pPr>
      <w:r w:rsidRPr="007D460E">
        <w:rPr>
          <w:rFonts w:ascii="Verdana" w:eastAsia="Calibri" w:hAnsi="Verdana" w:cs="Arial"/>
          <w:lang w:val="es-ES"/>
        </w:rPr>
        <w:t>Decreto 1082 de 2015. Artículo 2.2.1</w:t>
      </w:r>
      <w:r w:rsidR="00C721FC">
        <w:rPr>
          <w:rFonts w:ascii="Verdana" w:eastAsia="Calibri" w:hAnsi="Verdana" w:cs="Arial"/>
          <w:lang w:val="es-ES"/>
        </w:rPr>
        <w:t>.1.2.1.1, Artículo 2.2.1.1.1.6.1</w:t>
      </w:r>
      <w:r w:rsidRPr="007D460E">
        <w:rPr>
          <w:rFonts w:ascii="Verdana" w:eastAsia="Calibri" w:hAnsi="Verdana" w:cs="Arial"/>
          <w:lang w:val="es-ES"/>
        </w:rPr>
        <w:t xml:space="preserve"> Disponible en: </w:t>
      </w:r>
      <w:hyperlink r:id="rId16" w:history="1">
        <w:r w:rsidRPr="007D460E">
          <w:rPr>
            <w:rFonts w:ascii="Verdana" w:eastAsia="Calibri" w:hAnsi="Verdana" w:cs="Arial"/>
            <w:color w:val="0000FF"/>
            <w:u w:val="single"/>
            <w:lang w:val="es-ES"/>
          </w:rPr>
          <w:t>https://relatoria.colombiacompra.gov.co/normativa/decreto-1082-de-2015/</w:t>
        </w:r>
      </w:hyperlink>
    </w:p>
    <w:p w14:paraId="4D7C5BA3" w14:textId="77777777" w:rsidR="00F65EF8" w:rsidRDefault="00F65EF8" w:rsidP="00F65EF8">
      <w:pPr>
        <w:pStyle w:val="Prrafodelista"/>
        <w:rPr>
          <w:rFonts w:ascii="Verdana" w:hAnsi="Verdana" w:cs="Arial"/>
        </w:rPr>
      </w:pPr>
    </w:p>
    <w:p w14:paraId="18ABD2A0" w14:textId="40112B4E" w:rsidR="00C721FC" w:rsidRDefault="00C721FC" w:rsidP="0009766F">
      <w:pPr>
        <w:widowControl w:val="0"/>
        <w:numPr>
          <w:ilvl w:val="0"/>
          <w:numId w:val="22"/>
        </w:numPr>
        <w:autoSpaceDE w:val="0"/>
        <w:autoSpaceDN w:val="0"/>
        <w:spacing w:after="120" w:line="276" w:lineRule="auto"/>
        <w:ind w:left="454"/>
        <w:contextualSpacing/>
        <w:jc w:val="both"/>
        <w:rPr>
          <w:rFonts w:ascii="Verdana" w:hAnsi="Verdana" w:cs="Arial"/>
        </w:rPr>
      </w:pPr>
      <w:r>
        <w:rPr>
          <w:rFonts w:ascii="Verdana" w:hAnsi="Verdana" w:cs="Arial"/>
        </w:rPr>
        <w:t xml:space="preserve">Decreto 1083 de 2015. Artículo 2.2.2.3.7. Disponible en: </w:t>
      </w:r>
      <w:hyperlink r:id="rId17" w:history="1">
        <w:r w:rsidR="00F65EF8" w:rsidRPr="006D2284">
          <w:rPr>
            <w:rStyle w:val="Hipervnculo"/>
            <w:rFonts w:ascii="Verdana" w:hAnsi="Verdana" w:cs="Arial"/>
          </w:rPr>
          <w:t>https://relatoria.colombiacompra.gov.co/normativa/decreto-1083-de-2015/</w:t>
        </w:r>
      </w:hyperlink>
    </w:p>
    <w:p w14:paraId="6DB72431" w14:textId="77777777" w:rsidR="00F65EF8" w:rsidRDefault="00F65EF8" w:rsidP="00F65EF8">
      <w:pPr>
        <w:pStyle w:val="Prrafodelista"/>
        <w:rPr>
          <w:rFonts w:ascii="Verdana" w:hAnsi="Verdana" w:cs="Arial"/>
        </w:rPr>
      </w:pPr>
    </w:p>
    <w:p w14:paraId="574207A7" w14:textId="77777777" w:rsidR="0009766F" w:rsidRPr="007D460E" w:rsidRDefault="0009766F" w:rsidP="0009766F">
      <w:pPr>
        <w:spacing w:line="259" w:lineRule="auto"/>
        <w:ind w:left="720"/>
        <w:contextualSpacing/>
        <w:rPr>
          <w:rFonts w:ascii="Verdana" w:hAnsi="Verdana" w:cs="Arial"/>
        </w:rPr>
      </w:pPr>
    </w:p>
    <w:p w14:paraId="1B2C6FDB" w14:textId="77777777" w:rsidR="0009766F" w:rsidRPr="007D460E" w:rsidRDefault="0009766F" w:rsidP="0009766F">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7D460E">
        <w:rPr>
          <w:rFonts w:ascii="Verdana" w:eastAsia="Century Gothic" w:hAnsi="Verdana" w:cs="Century Gothic"/>
          <w:b/>
          <w:bCs/>
          <w:lang w:val="es-ES"/>
        </w:rPr>
        <w:t>Doctrina de la Agencia Nacional de Contratación Pública:</w:t>
      </w:r>
    </w:p>
    <w:p w14:paraId="12CBE467" w14:textId="77777777" w:rsidR="0009766F" w:rsidRPr="007D460E" w:rsidRDefault="0009766F" w:rsidP="0009766F">
      <w:pPr>
        <w:widowControl w:val="0"/>
        <w:autoSpaceDE w:val="0"/>
        <w:autoSpaceDN w:val="0"/>
        <w:spacing w:after="0" w:line="276" w:lineRule="auto"/>
        <w:jc w:val="both"/>
        <w:rPr>
          <w:rFonts w:ascii="Verdana" w:eastAsia="Calibri" w:hAnsi="Verdana" w:cs="Arial"/>
          <w:lang w:val="es-ES" w:eastAsia="es-ES"/>
        </w:rPr>
      </w:pPr>
    </w:p>
    <w:p w14:paraId="4B79CAFC" w14:textId="5C5747E2" w:rsidR="0050525F" w:rsidRPr="007D460E" w:rsidRDefault="0009766F" w:rsidP="0009766F">
      <w:pPr>
        <w:widowControl w:val="0"/>
        <w:autoSpaceDE w:val="0"/>
        <w:autoSpaceDN w:val="0"/>
        <w:spacing w:after="0" w:line="276" w:lineRule="auto"/>
        <w:jc w:val="both"/>
        <w:rPr>
          <w:rFonts w:ascii="Verdana" w:eastAsia="Calibri" w:hAnsi="Verdana" w:cs="Arial"/>
          <w:lang w:val="es-ES" w:eastAsia="es-ES"/>
        </w:rPr>
      </w:pPr>
      <w:r w:rsidRPr="007D460E">
        <w:rPr>
          <w:rFonts w:ascii="Verdana" w:eastAsia="Calibri" w:hAnsi="Verdana" w:cs="Arial"/>
          <w:lang w:val="es-ES" w:eastAsia="es-ES"/>
        </w:rPr>
        <w:t xml:space="preserve">La Subdirección de Gestión Contractual se ha pronunciado </w:t>
      </w:r>
      <w:r w:rsidR="0050525F">
        <w:rPr>
          <w:rFonts w:ascii="Verdana" w:hAnsi="Verdana" w:cs="Arial"/>
        </w:rPr>
        <w:t>frente a la experiencia profesional y la forma de verificarse</w:t>
      </w:r>
      <w:r w:rsidR="0050525F" w:rsidRPr="00F345AB">
        <w:rPr>
          <w:rFonts w:ascii="Verdana" w:hAnsi="Verdana" w:cs="Arial"/>
        </w:rPr>
        <w:t>,</w:t>
      </w:r>
      <w:r w:rsidR="0050525F">
        <w:rPr>
          <w:rFonts w:ascii="Verdana" w:hAnsi="Verdana" w:cs="Arial"/>
        </w:rPr>
        <w:t xml:space="preserve"> C- 357 de agosto de 2024, </w:t>
      </w:r>
      <w:proofErr w:type="spellStart"/>
      <w:r w:rsidR="0050525F">
        <w:rPr>
          <w:rFonts w:ascii="Verdana" w:hAnsi="Verdana" w:cs="Arial"/>
        </w:rPr>
        <w:t>C258</w:t>
      </w:r>
      <w:proofErr w:type="spellEnd"/>
      <w:r w:rsidR="0050525F">
        <w:rPr>
          <w:rFonts w:ascii="Verdana" w:hAnsi="Verdana" w:cs="Arial"/>
        </w:rPr>
        <w:t xml:space="preserve"> de 2024, </w:t>
      </w:r>
      <w:proofErr w:type="spellStart"/>
      <w:r w:rsidR="0050525F">
        <w:rPr>
          <w:rFonts w:ascii="Verdana" w:hAnsi="Verdana" w:cs="Arial"/>
        </w:rPr>
        <w:t>C248</w:t>
      </w:r>
      <w:proofErr w:type="spellEnd"/>
      <w:r w:rsidR="0050525F">
        <w:rPr>
          <w:rFonts w:ascii="Verdana" w:hAnsi="Verdana" w:cs="Arial"/>
        </w:rPr>
        <w:t xml:space="preserve"> de 2024, C 279 de 2024, </w:t>
      </w:r>
      <w:proofErr w:type="spellStart"/>
      <w:r w:rsidR="0050525F">
        <w:rPr>
          <w:rFonts w:ascii="Verdana" w:hAnsi="Verdana" w:cs="Arial"/>
        </w:rPr>
        <w:t>C446</w:t>
      </w:r>
      <w:proofErr w:type="spellEnd"/>
      <w:r w:rsidR="0050525F">
        <w:rPr>
          <w:rFonts w:ascii="Verdana" w:hAnsi="Verdana" w:cs="Arial"/>
        </w:rPr>
        <w:t xml:space="preserve"> de </w:t>
      </w:r>
      <w:proofErr w:type="gramStart"/>
      <w:r w:rsidR="0050525F">
        <w:rPr>
          <w:rFonts w:ascii="Verdana" w:hAnsi="Verdana" w:cs="Arial"/>
        </w:rPr>
        <w:t>2023,</w:t>
      </w:r>
      <w:r w:rsidR="0050525F" w:rsidRPr="00F345AB">
        <w:rPr>
          <w:rFonts w:ascii="Verdana" w:hAnsi="Verdana" w:cs="Arial"/>
        </w:rPr>
        <w:t xml:space="preserve"> </w:t>
      </w:r>
      <w:r w:rsidR="0050525F">
        <w:rPr>
          <w:rFonts w:ascii="Verdana" w:hAnsi="Verdana" w:cs="Arial"/>
        </w:rPr>
        <w:t xml:space="preserve"> así</w:t>
      </w:r>
      <w:proofErr w:type="gramEnd"/>
      <w:r w:rsidR="0050525F">
        <w:rPr>
          <w:rFonts w:ascii="Verdana" w:hAnsi="Verdana" w:cs="Arial"/>
        </w:rPr>
        <w:t xml:space="preserve"> como en los </w:t>
      </w:r>
      <w:r w:rsidR="0050525F" w:rsidRPr="00F345AB">
        <w:rPr>
          <w:rFonts w:ascii="Verdana" w:hAnsi="Verdana" w:cs="Arial"/>
        </w:rPr>
        <w:t>C-231 del 13 de abril de 2020, C-212 del 14 de abril de 2020, C-317 de 10 de junio de 2020, C-337 del 26 de junio de 2020, C-355 del 4 de junio de 2020, C-353 del 30 de junio de 2020</w:t>
      </w:r>
      <w:r w:rsidR="0050525F">
        <w:rPr>
          <w:rFonts w:ascii="Verdana" w:hAnsi="Verdana" w:cs="Arial"/>
        </w:rPr>
        <w:t>,</w:t>
      </w:r>
      <w:r w:rsidR="0050525F" w:rsidRPr="00F345AB">
        <w:rPr>
          <w:rFonts w:ascii="Verdana" w:hAnsi="Verdana" w:cs="Arial"/>
        </w:rPr>
        <w:t xml:space="preserve"> C-457 del 7 de julio de 2020</w:t>
      </w:r>
      <w:r w:rsidR="0050525F">
        <w:rPr>
          <w:rFonts w:ascii="Verdana" w:hAnsi="Verdana" w:cs="Arial"/>
        </w:rPr>
        <w:t xml:space="preserve"> y C-409 del 6 de septiembre de 2024. </w:t>
      </w:r>
      <w:r w:rsidR="0050525F">
        <w:rPr>
          <w:rFonts w:ascii="Verdana" w:eastAsia="Calibri" w:hAnsi="Verdana" w:cs="Arial"/>
          <w:lang w:val="es-ES" w:eastAsia="es-ES"/>
        </w:rPr>
        <w:t xml:space="preserve">Por otro lado, se pronunció la Agencia, </w:t>
      </w:r>
      <w:r w:rsidR="0050525F" w:rsidRPr="0050525F">
        <w:rPr>
          <w:rFonts w:ascii="Verdana" w:eastAsia="Calibri" w:hAnsi="Verdana" w:cs="Arial"/>
          <w:lang w:val="es-ES" w:eastAsia="es-ES"/>
        </w:rPr>
        <w:t>sobre la necesidad de que los contratistas presenten la tarjeta profesional para suscribir un contrato con una entidad estatal. En el concepto del 5 de septiembre de 2019, con radicado No. 4201912000005257</w:t>
      </w:r>
      <w:r w:rsidR="0050525F">
        <w:rPr>
          <w:rFonts w:ascii="Verdana" w:eastAsia="Calibri" w:hAnsi="Verdana" w:cs="Arial"/>
          <w:lang w:val="es-ES" w:eastAsia="es-ES"/>
        </w:rPr>
        <w:t xml:space="preserve"> y C-078 del 04 de marzo de 2020.</w:t>
      </w:r>
    </w:p>
    <w:p w14:paraId="1C894403" w14:textId="77777777" w:rsidR="0050525F" w:rsidRDefault="0050525F" w:rsidP="0009766F">
      <w:pPr>
        <w:widowControl w:val="0"/>
        <w:autoSpaceDE w:val="0"/>
        <w:autoSpaceDN w:val="0"/>
        <w:spacing w:after="0" w:line="276" w:lineRule="auto"/>
        <w:jc w:val="both"/>
        <w:rPr>
          <w:rFonts w:ascii="Verdana" w:hAnsi="Verdana" w:cs="Arial"/>
          <w:shd w:val="clear" w:color="auto" w:fill="FFFFFF"/>
        </w:rPr>
      </w:pPr>
    </w:p>
    <w:p w14:paraId="53D202E3" w14:textId="77777777" w:rsidR="0050525F" w:rsidRDefault="0009766F" w:rsidP="0009766F">
      <w:pPr>
        <w:widowControl w:val="0"/>
        <w:autoSpaceDE w:val="0"/>
        <w:autoSpaceDN w:val="0"/>
        <w:spacing w:after="0" w:line="276" w:lineRule="auto"/>
        <w:jc w:val="both"/>
        <w:rPr>
          <w:rFonts w:ascii="Verdana" w:hAnsi="Verdana"/>
        </w:rPr>
      </w:pPr>
      <w:r w:rsidRPr="007D460E">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w:t>
      </w:r>
      <w:r w:rsidRPr="007D460E">
        <w:rPr>
          <w:rFonts w:ascii="Verdana" w:hAnsi="Verdana" w:cs="Arial"/>
          <w:shd w:val="clear" w:color="auto" w:fill="FFFFFF"/>
        </w:rPr>
        <w:lastRenderedPageBreak/>
        <w:t>concordada con la doctrina de la Subdirección de Gestión Contractual</w:t>
      </w:r>
      <w:r w:rsidRPr="007D460E">
        <w:rPr>
          <w:rFonts w:ascii="Verdana" w:hAnsi="Verdana"/>
        </w:rPr>
        <w:t>, accede a través del siguiente enlace:</w:t>
      </w:r>
    </w:p>
    <w:p w14:paraId="108A2D3C" w14:textId="3AC58DBD" w:rsidR="0009766F" w:rsidRPr="007D460E" w:rsidRDefault="0009766F" w:rsidP="0009766F">
      <w:pPr>
        <w:widowControl w:val="0"/>
        <w:autoSpaceDE w:val="0"/>
        <w:autoSpaceDN w:val="0"/>
        <w:spacing w:after="0" w:line="276" w:lineRule="auto"/>
        <w:jc w:val="both"/>
        <w:rPr>
          <w:rFonts w:ascii="Verdana" w:hAnsi="Verdana"/>
        </w:rPr>
      </w:pPr>
      <w:hyperlink r:id="rId18" w:history="1">
        <w:r w:rsidRPr="007D460E">
          <w:rPr>
            <w:rFonts w:ascii="Verdana" w:hAnsi="Verdana" w:cs="Arial"/>
            <w:color w:val="0000FF"/>
            <w:u w:val="single"/>
            <w:shd w:val="clear" w:color="auto" w:fill="FFFFFF"/>
          </w:rPr>
          <w:t>https://</w:t>
        </w:r>
        <w:proofErr w:type="spellStart"/>
        <w:r w:rsidRPr="007D460E">
          <w:rPr>
            <w:rFonts w:ascii="Verdana" w:hAnsi="Verdana" w:cs="Arial"/>
            <w:color w:val="0000FF"/>
            <w:u w:val="single"/>
            <w:shd w:val="clear" w:color="auto" w:fill="FFFFFF"/>
          </w:rPr>
          <w:t>relatoria.colombiacompra.gov.co</w:t>
        </w:r>
        <w:proofErr w:type="spellEnd"/>
        <w:r w:rsidRPr="007D460E">
          <w:rPr>
            <w:rFonts w:ascii="Verdana" w:hAnsi="Verdana" w:cs="Arial"/>
            <w:color w:val="0000FF"/>
            <w:u w:val="single"/>
            <w:shd w:val="clear" w:color="auto" w:fill="FFFFFF"/>
          </w:rPr>
          <w:t>/</w:t>
        </w:r>
        <w:proofErr w:type="spellStart"/>
        <w:r w:rsidRPr="007D460E">
          <w:rPr>
            <w:rFonts w:ascii="Verdana" w:hAnsi="Verdana" w:cs="Arial"/>
            <w:color w:val="0000FF"/>
            <w:u w:val="single"/>
            <w:shd w:val="clear" w:color="auto" w:fill="FFFFFF"/>
          </w:rPr>
          <w:t>busqueda</w:t>
        </w:r>
        <w:proofErr w:type="spellEnd"/>
        <w:r w:rsidRPr="007D460E">
          <w:rPr>
            <w:rFonts w:ascii="Verdana" w:hAnsi="Verdana" w:cs="Arial"/>
            <w:color w:val="0000FF"/>
            <w:u w:val="single"/>
            <w:shd w:val="clear" w:color="auto" w:fill="FFFFFF"/>
          </w:rPr>
          <w:t>/conceptos</w:t>
        </w:r>
      </w:hyperlink>
      <w:r w:rsidRPr="007D460E">
        <w:rPr>
          <w:rFonts w:ascii="Verdana" w:hAnsi="Verdana" w:cs="Arial"/>
          <w:shd w:val="clear" w:color="auto" w:fill="FFFFFF"/>
        </w:rPr>
        <w:t xml:space="preserve">. </w:t>
      </w:r>
    </w:p>
    <w:p w14:paraId="1FF61CEF" w14:textId="77777777" w:rsidR="0009766F" w:rsidRPr="007D460E" w:rsidRDefault="0009766F" w:rsidP="0009766F">
      <w:pPr>
        <w:widowControl w:val="0"/>
        <w:autoSpaceDE w:val="0"/>
        <w:autoSpaceDN w:val="0"/>
        <w:spacing w:after="0" w:line="276" w:lineRule="auto"/>
        <w:jc w:val="both"/>
        <w:rPr>
          <w:rFonts w:ascii="Verdana" w:hAnsi="Verdana" w:cs="Arial"/>
          <w:shd w:val="clear" w:color="auto" w:fill="FFFFFF"/>
        </w:rPr>
      </w:pPr>
    </w:p>
    <w:p w14:paraId="3FC0B0E6" w14:textId="77777777" w:rsidR="0009766F" w:rsidRPr="007D460E" w:rsidRDefault="0009766F" w:rsidP="0009766F">
      <w:pPr>
        <w:widowControl w:val="0"/>
        <w:autoSpaceDE w:val="0"/>
        <w:autoSpaceDN w:val="0"/>
        <w:spacing w:after="0" w:line="276" w:lineRule="auto"/>
        <w:jc w:val="both"/>
        <w:rPr>
          <w:rFonts w:ascii="Verdana" w:hAnsi="Verdana"/>
          <w:shd w:val="clear" w:color="auto" w:fill="FFFFFF"/>
        </w:rPr>
      </w:pPr>
      <w:r w:rsidRPr="007D460E">
        <w:rPr>
          <w:rFonts w:ascii="Verdana" w:hAnsi="Verdana" w:cs="Arial"/>
          <w:shd w:val="clear" w:color="auto" w:fill="FFFFFF"/>
        </w:rPr>
        <w:t>También te invitamos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7D460E">
          <w:rPr>
            <w:rFonts w:ascii="Verdana" w:hAnsi="Verdana" w:cs="Arial"/>
            <w:color w:val="0000FF"/>
            <w:u w:val="single"/>
            <w:shd w:val="clear" w:color="auto" w:fill="FFFFFF"/>
          </w:rPr>
          <w:t>https://www.colombiacompra.gov.co/sites/cce_public/files/files_2020/boletin_de_realtoria_iii.pdf</w:t>
        </w:r>
      </w:hyperlink>
      <w:r w:rsidRPr="007D460E">
        <w:rPr>
          <w:rFonts w:ascii="Verdana" w:hAnsi="Verdana" w:cs="Arial"/>
          <w:shd w:val="clear" w:color="auto" w:fill="FFFFFF"/>
        </w:rPr>
        <w:t> ".  </w:t>
      </w:r>
    </w:p>
    <w:p w14:paraId="5E4F4A9C" w14:textId="77777777" w:rsidR="0009766F" w:rsidRPr="007D460E" w:rsidRDefault="0009766F" w:rsidP="0009766F">
      <w:pPr>
        <w:widowControl w:val="0"/>
        <w:autoSpaceDE w:val="0"/>
        <w:autoSpaceDN w:val="0"/>
        <w:spacing w:after="0" w:line="276" w:lineRule="auto"/>
        <w:jc w:val="both"/>
        <w:rPr>
          <w:rFonts w:ascii="Verdana" w:hAnsi="Verdana" w:cs="Arial"/>
          <w:shd w:val="clear" w:color="auto" w:fill="FFFFFF"/>
          <w:lang w:val="es-ES"/>
        </w:rPr>
      </w:pPr>
    </w:p>
    <w:p w14:paraId="22EE2175" w14:textId="77777777" w:rsidR="0009766F" w:rsidRPr="007D460E" w:rsidRDefault="0009766F" w:rsidP="0009766F">
      <w:pPr>
        <w:spacing w:after="0" w:line="240" w:lineRule="auto"/>
        <w:jc w:val="both"/>
        <w:rPr>
          <w:rFonts w:ascii="Verdana" w:hAnsi="Verdana"/>
        </w:rPr>
      </w:pPr>
      <w:r w:rsidRPr="007D460E">
        <w:rPr>
          <w:rFonts w:ascii="Verdana" w:hAnsi="Verdana"/>
        </w:rPr>
        <w:t xml:space="preserve">Por último, lo invitamos a seguirnos en las redes sociales en las cuales se difunde información institucional: </w:t>
      </w:r>
    </w:p>
    <w:p w14:paraId="248656BA" w14:textId="77777777" w:rsidR="0009766F" w:rsidRPr="007D460E" w:rsidRDefault="0009766F" w:rsidP="0009766F">
      <w:pPr>
        <w:spacing w:after="0" w:line="240" w:lineRule="auto"/>
        <w:jc w:val="both"/>
        <w:rPr>
          <w:rFonts w:ascii="Verdana" w:hAnsi="Verdana"/>
        </w:rPr>
      </w:pPr>
    </w:p>
    <w:p w14:paraId="50B9F383" w14:textId="77777777" w:rsidR="0009766F" w:rsidRPr="007D460E" w:rsidRDefault="0009766F" w:rsidP="0009766F">
      <w:pPr>
        <w:spacing w:after="0" w:line="240" w:lineRule="auto"/>
        <w:jc w:val="both"/>
        <w:rPr>
          <w:rFonts w:ascii="Verdana" w:hAnsi="Verdana"/>
        </w:rPr>
      </w:pPr>
      <w:r w:rsidRPr="007D460E">
        <w:rPr>
          <w:rFonts w:ascii="Verdana" w:hAnsi="Verdana"/>
        </w:rPr>
        <w:t xml:space="preserve">Twitter: </w:t>
      </w:r>
      <w:r w:rsidRPr="007D460E">
        <w:rPr>
          <w:rFonts w:ascii="Verdana" w:hAnsi="Verdana"/>
          <w:u w:val="single"/>
        </w:rPr>
        <w:t>@</w:t>
      </w:r>
      <w:proofErr w:type="spellStart"/>
      <w:r w:rsidRPr="007D460E">
        <w:rPr>
          <w:rFonts w:ascii="Verdana" w:hAnsi="Verdana"/>
          <w:u w:val="single"/>
        </w:rPr>
        <w:t>colombiacompra</w:t>
      </w:r>
      <w:proofErr w:type="spellEnd"/>
      <w:r w:rsidRPr="007D460E">
        <w:rPr>
          <w:rFonts w:ascii="Verdana" w:hAnsi="Verdana"/>
        </w:rPr>
        <w:t xml:space="preserve"> </w:t>
      </w:r>
    </w:p>
    <w:p w14:paraId="08BFCF8C" w14:textId="77777777" w:rsidR="0009766F" w:rsidRPr="007D460E" w:rsidRDefault="0009766F" w:rsidP="0009766F">
      <w:pPr>
        <w:spacing w:after="0" w:line="240" w:lineRule="auto"/>
        <w:jc w:val="both"/>
        <w:rPr>
          <w:rFonts w:ascii="Verdana" w:hAnsi="Verdana"/>
        </w:rPr>
      </w:pPr>
      <w:r w:rsidRPr="007D460E">
        <w:rPr>
          <w:rFonts w:ascii="Verdana" w:hAnsi="Verdana"/>
        </w:rPr>
        <w:t xml:space="preserve">Facebook: </w:t>
      </w:r>
      <w:proofErr w:type="spellStart"/>
      <w:r w:rsidRPr="007D460E">
        <w:rPr>
          <w:rFonts w:ascii="Verdana" w:hAnsi="Verdana"/>
          <w:u w:val="single"/>
        </w:rPr>
        <w:t>ColombiaCompraEficiente</w:t>
      </w:r>
      <w:proofErr w:type="spellEnd"/>
    </w:p>
    <w:p w14:paraId="4A19E7AA" w14:textId="713BA05D" w:rsidR="0050525F" w:rsidRDefault="0009766F" w:rsidP="00BF3445">
      <w:pPr>
        <w:spacing w:after="0" w:line="240" w:lineRule="auto"/>
        <w:jc w:val="both"/>
        <w:rPr>
          <w:rFonts w:ascii="Verdana" w:hAnsi="Verdana" w:cs="Arial"/>
          <w:lang w:val="es-ES_tradnl"/>
        </w:rPr>
      </w:pPr>
      <w:r w:rsidRPr="007D460E">
        <w:rPr>
          <w:rFonts w:ascii="Verdana" w:hAnsi="Verdana"/>
        </w:rPr>
        <w:t xml:space="preserve">LinkedIn: </w:t>
      </w:r>
      <w:r w:rsidRPr="007D460E">
        <w:rPr>
          <w:rFonts w:ascii="Verdana" w:hAnsi="Verdana"/>
          <w:u w:val="single"/>
        </w:rPr>
        <w:t>Agencia Nacional de Contratación Pública - Colombia Compra Eficiente</w:t>
      </w:r>
      <w:r w:rsidRPr="007D460E">
        <w:rPr>
          <w:rFonts w:ascii="Verdana" w:hAnsi="Verdana"/>
        </w:rPr>
        <w:t xml:space="preserve"> Instagram: </w:t>
      </w:r>
      <w:r w:rsidRPr="007D460E">
        <w:rPr>
          <w:rFonts w:ascii="Verdana" w:hAnsi="Verdana"/>
          <w:color w:val="4472C4" w:themeColor="accent1"/>
          <w:u w:val="single"/>
        </w:rPr>
        <w:t>@</w:t>
      </w:r>
      <w:proofErr w:type="spellStart"/>
      <w:r w:rsidRPr="007D460E">
        <w:rPr>
          <w:rFonts w:ascii="Verdana" w:hAnsi="Verdana"/>
          <w:color w:val="4472C4" w:themeColor="accent1"/>
          <w:u w:val="single"/>
        </w:rPr>
        <w:t>colombiacompraeficiente_cce</w:t>
      </w:r>
      <w:proofErr w:type="spellEnd"/>
    </w:p>
    <w:p w14:paraId="5F23CE1B" w14:textId="21D6D79A" w:rsidR="0009766F" w:rsidRPr="007D460E" w:rsidRDefault="0009766F" w:rsidP="0009766F">
      <w:pPr>
        <w:spacing w:before="120" w:after="0" w:line="276" w:lineRule="auto"/>
        <w:jc w:val="both"/>
        <w:textAlignment w:val="baseline"/>
        <w:rPr>
          <w:rFonts w:ascii="Verdana" w:eastAsia="Times New Roman" w:hAnsi="Verdana"/>
          <w:bCs/>
          <w:lang w:val="es-ES_tradnl" w:eastAsia="es-CO"/>
        </w:rPr>
      </w:pPr>
      <w:r w:rsidRPr="007D460E">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BA6CB3B" w14:textId="77777777" w:rsidR="0009766F" w:rsidRPr="007D460E" w:rsidRDefault="0009766F" w:rsidP="0009766F">
      <w:pPr>
        <w:spacing w:after="0" w:line="240" w:lineRule="auto"/>
        <w:jc w:val="both"/>
        <w:rPr>
          <w:rFonts w:ascii="Verdana" w:eastAsia="Calibri" w:hAnsi="Verdana"/>
        </w:rPr>
      </w:pPr>
    </w:p>
    <w:p w14:paraId="48CF8614" w14:textId="77777777" w:rsidR="0009766F" w:rsidRPr="007D460E" w:rsidRDefault="0009766F" w:rsidP="0009766F">
      <w:pPr>
        <w:spacing w:after="0" w:line="240" w:lineRule="auto"/>
        <w:jc w:val="both"/>
        <w:rPr>
          <w:rFonts w:ascii="Verdana" w:hAnsi="Verdana"/>
          <w:noProof/>
        </w:rPr>
      </w:pPr>
      <w:r w:rsidRPr="007D460E">
        <w:rPr>
          <w:rFonts w:ascii="Verdana" w:eastAsia="Times New Roman" w:hAnsi="Verdana" w:cs="Arial"/>
          <w:lang w:eastAsia="es-CO"/>
        </w:rPr>
        <w:t>Atentamente,</w:t>
      </w:r>
    </w:p>
    <w:p w14:paraId="5C57799E" w14:textId="7690AC3F" w:rsidR="0009766F" w:rsidRPr="007D460E" w:rsidRDefault="007B2AA0" w:rsidP="0009766F">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272CF5DC" wp14:editId="02E0ADE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9766F" w:rsidRPr="007D460E" w14:paraId="0AEE0A53" w14:textId="77777777" w:rsidTr="007F1D25">
        <w:trPr>
          <w:trHeight w:val="409"/>
        </w:trPr>
        <w:tc>
          <w:tcPr>
            <w:tcW w:w="817" w:type="dxa"/>
            <w:tcBorders>
              <w:top w:val="nil"/>
              <w:left w:val="nil"/>
              <w:bottom w:val="nil"/>
              <w:right w:val="nil"/>
            </w:tcBorders>
            <w:vAlign w:val="center"/>
            <w:hideMark/>
          </w:tcPr>
          <w:p w14:paraId="22E17FC3" w14:textId="77777777" w:rsidR="0009766F" w:rsidRPr="007D460E" w:rsidRDefault="0009766F" w:rsidP="0009766F">
            <w:pPr>
              <w:spacing w:after="0" w:line="240" w:lineRule="auto"/>
              <w:jc w:val="both"/>
              <w:rPr>
                <w:rFonts w:ascii="Verdana" w:hAnsi="Verdana" w:cs="Arial"/>
                <w:sz w:val="16"/>
                <w:szCs w:val="16"/>
              </w:rPr>
            </w:pPr>
            <w:r w:rsidRPr="007D460E">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3FEF1BC1" w14:textId="77777777" w:rsidR="0009766F" w:rsidRPr="007D460E" w:rsidRDefault="0009766F" w:rsidP="0009766F">
            <w:pPr>
              <w:spacing w:after="0" w:line="240" w:lineRule="auto"/>
              <w:jc w:val="both"/>
              <w:rPr>
                <w:rFonts w:ascii="Verdana" w:hAnsi="Verdana" w:cs="Arial"/>
                <w:sz w:val="16"/>
                <w:szCs w:val="16"/>
              </w:rPr>
            </w:pPr>
            <w:r w:rsidRPr="007D460E">
              <w:rPr>
                <w:rFonts w:ascii="Verdana" w:hAnsi="Verdana" w:cs="Arial"/>
                <w:sz w:val="16"/>
                <w:szCs w:val="16"/>
              </w:rPr>
              <w:t>Gustavo Hinestroza Martínez</w:t>
            </w:r>
          </w:p>
          <w:p w14:paraId="530892A1" w14:textId="77777777" w:rsidR="0009766F" w:rsidRPr="007D460E" w:rsidRDefault="0009766F" w:rsidP="0009766F">
            <w:pPr>
              <w:spacing w:after="0" w:line="240" w:lineRule="auto"/>
              <w:jc w:val="both"/>
              <w:rPr>
                <w:rFonts w:ascii="Verdana" w:hAnsi="Verdana" w:cs="Arial"/>
                <w:sz w:val="16"/>
                <w:szCs w:val="16"/>
              </w:rPr>
            </w:pPr>
            <w:r w:rsidRPr="007D460E">
              <w:rPr>
                <w:rFonts w:ascii="Verdana" w:hAnsi="Verdana" w:cs="Arial"/>
                <w:sz w:val="16"/>
                <w:szCs w:val="16"/>
              </w:rPr>
              <w:t>Contratista de la Subdirección de Gestión Contractual</w:t>
            </w:r>
          </w:p>
        </w:tc>
      </w:tr>
      <w:tr w:rsidR="0009766F" w:rsidRPr="007D460E" w14:paraId="7726F0CB" w14:textId="77777777" w:rsidTr="007F1D25">
        <w:trPr>
          <w:trHeight w:val="409"/>
        </w:trPr>
        <w:tc>
          <w:tcPr>
            <w:tcW w:w="817" w:type="dxa"/>
            <w:tcBorders>
              <w:top w:val="nil"/>
              <w:left w:val="nil"/>
              <w:bottom w:val="nil"/>
              <w:right w:val="nil"/>
            </w:tcBorders>
            <w:vAlign w:val="center"/>
            <w:hideMark/>
          </w:tcPr>
          <w:p w14:paraId="690ED1D7" w14:textId="77777777" w:rsidR="0009766F" w:rsidRPr="007D460E" w:rsidRDefault="0009766F" w:rsidP="0009766F">
            <w:pPr>
              <w:spacing w:after="0" w:line="259" w:lineRule="auto"/>
              <w:jc w:val="both"/>
              <w:rPr>
                <w:rFonts w:ascii="Verdana" w:hAnsi="Verdana" w:cs="Arial"/>
                <w:sz w:val="16"/>
                <w:szCs w:val="16"/>
                <w:highlight w:val="yellow"/>
              </w:rPr>
            </w:pPr>
            <w:r w:rsidRPr="007D460E">
              <w:rPr>
                <w:rFonts w:ascii="Verdana" w:hAnsi="Verdana" w:cs="Segoe UI"/>
                <w:sz w:val="16"/>
                <w:szCs w:val="16"/>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335CBC3" w14:textId="77777777" w:rsidR="0050525F" w:rsidRDefault="0050525F" w:rsidP="0009766F">
            <w:pPr>
              <w:spacing w:after="0" w:line="240" w:lineRule="auto"/>
              <w:jc w:val="both"/>
              <w:rPr>
                <w:rFonts w:ascii="Verdana" w:eastAsia="Times New Roman" w:hAnsi="Verdana" w:cs="Segoe UI"/>
                <w:sz w:val="16"/>
                <w:szCs w:val="16"/>
                <w:lang w:eastAsia="es-CO"/>
              </w:rPr>
            </w:pPr>
            <w:r w:rsidRPr="0050525F">
              <w:rPr>
                <w:rFonts w:ascii="Verdana" w:eastAsia="Times New Roman" w:hAnsi="Verdana" w:cs="Segoe UI"/>
                <w:sz w:val="16"/>
                <w:szCs w:val="16"/>
                <w:lang w:eastAsia="es-CO"/>
              </w:rPr>
              <w:t xml:space="preserve">Juan David Cárdenas Cabeza </w:t>
            </w:r>
          </w:p>
          <w:p w14:paraId="094A0177" w14:textId="5F41325C" w:rsidR="0009766F" w:rsidRPr="007D460E" w:rsidRDefault="0050525F" w:rsidP="0009766F">
            <w:pPr>
              <w:spacing w:after="0" w:line="240" w:lineRule="auto"/>
              <w:jc w:val="both"/>
              <w:rPr>
                <w:rFonts w:ascii="Verdana" w:hAnsi="Verdana" w:cs="Arial"/>
                <w:sz w:val="16"/>
                <w:szCs w:val="16"/>
                <w:highlight w:val="yellow"/>
              </w:rPr>
            </w:pPr>
            <w:r w:rsidRPr="007D460E">
              <w:rPr>
                <w:rFonts w:ascii="Verdana" w:hAnsi="Verdana" w:cs="Arial"/>
                <w:sz w:val="16"/>
                <w:szCs w:val="16"/>
              </w:rPr>
              <w:t>Contratista de la Subdirección de Gestión Contractual</w:t>
            </w:r>
          </w:p>
        </w:tc>
      </w:tr>
      <w:tr w:rsidR="0009766F" w:rsidRPr="007D460E" w14:paraId="482B00DC" w14:textId="77777777" w:rsidTr="007F1D25">
        <w:trPr>
          <w:trHeight w:val="389"/>
        </w:trPr>
        <w:tc>
          <w:tcPr>
            <w:tcW w:w="817" w:type="dxa"/>
            <w:tcBorders>
              <w:top w:val="nil"/>
              <w:left w:val="nil"/>
              <w:bottom w:val="nil"/>
              <w:right w:val="nil"/>
            </w:tcBorders>
            <w:vAlign w:val="center"/>
            <w:hideMark/>
          </w:tcPr>
          <w:p w14:paraId="2BF08F49" w14:textId="77777777" w:rsidR="0009766F" w:rsidRPr="007D460E" w:rsidRDefault="0009766F" w:rsidP="0009766F">
            <w:pPr>
              <w:spacing w:after="0" w:line="240" w:lineRule="auto"/>
              <w:jc w:val="both"/>
              <w:rPr>
                <w:rFonts w:ascii="Verdana" w:hAnsi="Verdana" w:cs="Arial"/>
                <w:sz w:val="16"/>
                <w:szCs w:val="16"/>
              </w:rPr>
            </w:pPr>
            <w:r w:rsidRPr="007D460E">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6B5C0F4" w14:textId="77777777" w:rsidR="0009766F" w:rsidRPr="007D460E" w:rsidRDefault="0009766F" w:rsidP="0009766F">
            <w:pPr>
              <w:spacing w:after="0" w:line="259" w:lineRule="auto"/>
              <w:jc w:val="both"/>
              <w:rPr>
                <w:rFonts w:ascii="Verdana" w:eastAsia="Calibri" w:hAnsi="Verdana" w:cs="Arial"/>
                <w:sz w:val="16"/>
                <w:szCs w:val="16"/>
                <w:lang w:val="pt-BR" w:eastAsia="es-ES"/>
              </w:rPr>
            </w:pPr>
            <w:r w:rsidRPr="007D460E">
              <w:rPr>
                <w:rFonts w:ascii="Verdana" w:eastAsia="Calibri" w:hAnsi="Verdana" w:cs="Arial"/>
                <w:sz w:val="16"/>
                <w:szCs w:val="16"/>
                <w:lang w:val="pt-BR" w:eastAsia="es-ES"/>
              </w:rPr>
              <w:t xml:space="preserve">Carolina Quintero </w:t>
            </w:r>
            <w:proofErr w:type="spellStart"/>
            <w:r w:rsidRPr="007D460E">
              <w:rPr>
                <w:rFonts w:ascii="Verdana" w:eastAsia="Calibri" w:hAnsi="Verdana" w:cs="Arial"/>
                <w:sz w:val="16"/>
                <w:szCs w:val="16"/>
                <w:lang w:val="pt-BR" w:eastAsia="es-ES"/>
              </w:rPr>
              <w:t>Gacharná</w:t>
            </w:r>
            <w:proofErr w:type="spellEnd"/>
          </w:p>
          <w:p w14:paraId="45B83DE3" w14:textId="77777777" w:rsidR="0009766F" w:rsidRPr="007D460E" w:rsidRDefault="0009766F" w:rsidP="0009766F">
            <w:pPr>
              <w:spacing w:after="0" w:line="240" w:lineRule="auto"/>
              <w:jc w:val="both"/>
              <w:rPr>
                <w:rFonts w:ascii="Verdana" w:hAnsi="Verdana" w:cs="Arial"/>
                <w:sz w:val="16"/>
                <w:szCs w:val="16"/>
              </w:rPr>
            </w:pPr>
            <w:r w:rsidRPr="007D460E">
              <w:rPr>
                <w:rFonts w:ascii="Verdana" w:hAnsi="Verdana" w:cs="Arial"/>
                <w:sz w:val="16"/>
                <w:szCs w:val="16"/>
              </w:rPr>
              <w:t xml:space="preserve">Subdirectora de Gestión Contractual </w:t>
            </w:r>
            <w:proofErr w:type="spellStart"/>
            <w:r w:rsidRPr="007D460E">
              <w:rPr>
                <w:rFonts w:ascii="Verdana" w:hAnsi="Verdana" w:cs="Arial"/>
                <w:sz w:val="16"/>
                <w:szCs w:val="16"/>
              </w:rPr>
              <w:t>ANCP</w:t>
            </w:r>
            <w:proofErr w:type="spellEnd"/>
            <w:r w:rsidRPr="007D460E">
              <w:rPr>
                <w:rFonts w:ascii="Verdana" w:hAnsi="Verdana" w:cs="Arial"/>
                <w:sz w:val="16"/>
                <w:szCs w:val="16"/>
              </w:rPr>
              <w:t xml:space="preserve"> – CCE</w:t>
            </w:r>
          </w:p>
        </w:tc>
      </w:tr>
    </w:tbl>
    <w:p w14:paraId="34CCD821" w14:textId="77777777" w:rsidR="0009766F" w:rsidRPr="007D460E" w:rsidRDefault="0009766F" w:rsidP="00BF3445">
      <w:pPr>
        <w:spacing w:after="0" w:line="240" w:lineRule="auto"/>
        <w:jc w:val="both"/>
        <w:textAlignment w:val="baseline"/>
        <w:rPr>
          <w:rFonts w:ascii="Verdana" w:eastAsia="Times New Roman" w:hAnsi="Verdana" w:cs="Segoe UI"/>
          <w:sz w:val="18"/>
          <w:szCs w:val="18"/>
          <w:lang w:eastAsia="es-CO"/>
        </w:rPr>
      </w:pPr>
    </w:p>
    <w:sectPr w:rsidR="0009766F" w:rsidRPr="007D460E"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A65A" w14:textId="77777777" w:rsidR="006F1BBF" w:rsidRDefault="006F1BBF" w:rsidP="004A1847">
      <w:pPr>
        <w:spacing w:after="0" w:line="240" w:lineRule="auto"/>
      </w:pPr>
      <w:r>
        <w:separator/>
      </w:r>
    </w:p>
  </w:endnote>
  <w:endnote w:type="continuationSeparator" w:id="0">
    <w:p w14:paraId="033F213B" w14:textId="77777777" w:rsidR="006F1BBF" w:rsidRDefault="006F1BB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proofErr w:type="spellStart"/>
    <w:r w:rsidR="00FA47C0">
      <w:rPr>
        <w:rFonts w:ascii="Century Gothic" w:eastAsia="Geo" w:hAnsi="Century Gothic" w:cs="Geo"/>
        <w:bCs/>
        <w:color w:val="000000"/>
        <w:sz w:val="16"/>
        <w:szCs w:val="16"/>
        <w:lang w:eastAsia="es-CO"/>
      </w:rPr>
      <w:t>REC</w:t>
    </w:r>
    <w:proofErr w:type="spellEnd"/>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B228" w14:textId="77777777" w:rsidR="006F1BBF" w:rsidRDefault="006F1BBF" w:rsidP="004A1847">
      <w:pPr>
        <w:spacing w:after="0" w:line="240" w:lineRule="auto"/>
      </w:pPr>
      <w:r>
        <w:separator/>
      </w:r>
    </w:p>
  </w:footnote>
  <w:footnote w:type="continuationSeparator" w:id="0">
    <w:p w14:paraId="78C5ACA6" w14:textId="77777777" w:rsidR="006F1BBF" w:rsidRDefault="006F1BBF" w:rsidP="004A1847">
      <w:pPr>
        <w:spacing w:after="0" w:line="240" w:lineRule="auto"/>
      </w:pPr>
      <w:r>
        <w:continuationSeparator/>
      </w:r>
    </w:p>
  </w:footnote>
  <w:footnote w:id="1">
    <w:p w14:paraId="271B7CBD" w14:textId="11F295C9" w:rsidR="00924977" w:rsidRPr="00136215" w:rsidRDefault="00924977" w:rsidP="00924977">
      <w:pPr>
        <w:pStyle w:val="Textonotapie"/>
        <w:ind w:firstLine="707"/>
        <w:rPr>
          <w:rFonts w:ascii="Verdana" w:hAnsi="Verdana"/>
          <w:sz w:val="14"/>
          <w:szCs w:val="14"/>
          <w:lang w:val="es-ES"/>
        </w:rPr>
      </w:pPr>
      <w:r w:rsidRPr="00136215">
        <w:rPr>
          <w:rStyle w:val="Refdenotaalpie"/>
          <w:rFonts w:ascii="Verdana" w:hAnsi="Verdana"/>
          <w:sz w:val="14"/>
          <w:szCs w:val="14"/>
        </w:rPr>
        <w:footnoteRef/>
      </w:r>
      <w:r w:rsidRPr="00136215">
        <w:rPr>
          <w:rFonts w:ascii="Verdana" w:hAnsi="Verdana"/>
          <w:sz w:val="14"/>
          <w:szCs w:val="14"/>
        </w:rPr>
        <w:t xml:space="preserve"> </w:t>
      </w:r>
      <w:r w:rsidRPr="00136215">
        <w:rPr>
          <w:rFonts w:ascii="Verdana" w:eastAsia="Times New Roman" w:hAnsi="Verdana" w:cs="Arial"/>
          <w:bCs/>
          <w:sz w:val="14"/>
          <w:szCs w:val="14"/>
          <w:lang w:val="es-ES_tradnl" w:eastAsia="es-ES_tradnl"/>
        </w:rPr>
        <w:t>Concepto 193201 del 25 de mayo de 2022 del Departamento Administrativo de la Función Pública</w:t>
      </w:r>
      <w:r w:rsidR="00136215" w:rsidRPr="00136215">
        <w:rPr>
          <w:rFonts w:ascii="Verdana" w:eastAsia="Times New Roman" w:hAnsi="Verdana" w:cs="Arial"/>
          <w:bCs/>
          <w:sz w:val="14"/>
          <w:szCs w:val="14"/>
          <w:lang w:val="es-ES_tradnl" w:eastAsia="es-ES_tradnl"/>
        </w:rPr>
        <w:t>.</w:t>
      </w:r>
    </w:p>
  </w:footnote>
  <w:footnote w:id="2">
    <w:p w14:paraId="66EDC83E" w14:textId="77777777" w:rsidR="004D638C" w:rsidRPr="00136215" w:rsidRDefault="004D638C" w:rsidP="004D638C">
      <w:pPr>
        <w:pStyle w:val="Textonotapie"/>
        <w:ind w:firstLine="709"/>
        <w:jc w:val="both"/>
        <w:rPr>
          <w:rFonts w:ascii="Verdana" w:eastAsia="Times New Roman" w:hAnsi="Verdana" w:cs="Arial"/>
          <w:bCs/>
          <w:sz w:val="14"/>
          <w:szCs w:val="14"/>
          <w:lang w:val="es-ES_tradnl" w:eastAsia="es-ES_tradnl"/>
        </w:rPr>
      </w:pPr>
      <w:r w:rsidRPr="00136215">
        <w:rPr>
          <w:rStyle w:val="Refdenotaalpie"/>
          <w:rFonts w:ascii="Verdana" w:hAnsi="Verdana" w:cs="Arial"/>
          <w:sz w:val="14"/>
          <w:szCs w:val="14"/>
        </w:rPr>
        <w:footnoteRef/>
      </w:r>
      <w:r w:rsidRPr="00136215">
        <w:rPr>
          <w:rFonts w:ascii="Verdana" w:hAnsi="Verdana" w:cs="Arial"/>
          <w:sz w:val="14"/>
          <w:szCs w:val="14"/>
        </w:rPr>
        <w:t xml:space="preserve"> </w:t>
      </w:r>
      <w:r w:rsidRPr="00136215">
        <w:rPr>
          <w:rFonts w:ascii="Verdana" w:eastAsia="Times New Roman" w:hAnsi="Verdana" w:cs="Arial"/>
          <w:bCs/>
          <w:sz w:val="14"/>
          <w:szCs w:val="14"/>
          <w:lang w:val="es-ES_tradnl" w:eastAsia="es-ES_tradnl"/>
        </w:rPr>
        <w:t xml:space="preserve">Decreto 1068 de 2015: “Artículo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4B27D787" w14:textId="77777777" w:rsidR="004D638C" w:rsidRPr="00136215" w:rsidRDefault="004D638C" w:rsidP="004D638C">
      <w:pPr>
        <w:pStyle w:val="Textonotapie"/>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52842A30" w14:textId="77777777" w:rsidR="004D638C" w:rsidRPr="00136215" w:rsidRDefault="004D638C" w:rsidP="004D638C">
      <w:pPr>
        <w:pStyle w:val="Textonotapie"/>
        <w:ind w:firstLine="708"/>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33534C9A" w14:textId="77777777" w:rsidR="004D638C" w:rsidRPr="00136215" w:rsidRDefault="004D638C" w:rsidP="004D638C">
      <w:pPr>
        <w:pStyle w:val="Textonotapie"/>
        <w:ind w:firstLine="708"/>
        <w:jc w:val="both"/>
        <w:rPr>
          <w:rFonts w:ascii="Verdana" w:hAnsi="Verdana" w:cs="Arial"/>
          <w:sz w:val="14"/>
          <w:szCs w:val="14"/>
        </w:rPr>
      </w:pPr>
    </w:p>
  </w:footnote>
  <w:footnote w:id="3">
    <w:p w14:paraId="1DAE8FA2" w14:textId="77777777" w:rsidR="004D638C" w:rsidRPr="00136215" w:rsidRDefault="004D638C" w:rsidP="004D638C">
      <w:pPr>
        <w:pStyle w:val="Textonotapie"/>
        <w:snapToGrid w:val="0"/>
        <w:ind w:firstLine="709"/>
        <w:jc w:val="both"/>
        <w:rPr>
          <w:rFonts w:ascii="Verdana" w:eastAsia="Times New Roman" w:hAnsi="Verdana" w:cs="Arial"/>
          <w:bCs/>
          <w:sz w:val="14"/>
          <w:szCs w:val="14"/>
          <w:lang w:val="es-ES_tradnl" w:eastAsia="es-ES_tradnl"/>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eastAsia="Times New Roman" w:hAnsi="Verdana" w:cs="Arial"/>
          <w:bCs/>
          <w:sz w:val="14"/>
          <w:szCs w:val="14"/>
          <w:lang w:val="es-ES_tradnl" w:eastAsia="es-ES_tradnl"/>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4CC8EB9A" w14:textId="77777777" w:rsidR="004D638C" w:rsidRPr="00136215" w:rsidRDefault="004D638C" w:rsidP="004D638C">
      <w:pPr>
        <w:pStyle w:val="Textonotapie"/>
        <w:snapToGrid w:val="0"/>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2. Quien presta el servicio se denomina trabajador, quien lo recibe y remunera, empleador, y la remuneración, cualquiera que sea su forma, salario”.</w:t>
      </w:r>
    </w:p>
    <w:p w14:paraId="53036429"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p>
  </w:footnote>
  <w:footnote w:id="4">
    <w:p w14:paraId="44266457"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eastAsia="Times New Roman" w:hAnsi="Verdana" w:cs="Arial"/>
          <w:bCs/>
          <w:sz w:val="14"/>
          <w:szCs w:val="14"/>
          <w:lang w:val="es-ES_tradnl" w:eastAsia="es-ES_tradnl"/>
        </w:rPr>
        <w:t>Corte Constitucional Sentencia C-154 de 1997, Magistrado Ponente Dr. Hernando Herrera Vergara</w:t>
      </w:r>
    </w:p>
    <w:p w14:paraId="0FE44995"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p>
  </w:footnote>
  <w:footnote w:id="5">
    <w:p w14:paraId="43E782CA" w14:textId="77777777" w:rsidR="004D638C" w:rsidRPr="00136215" w:rsidRDefault="004D638C" w:rsidP="004D638C">
      <w:pPr>
        <w:pStyle w:val="Textonotapie"/>
        <w:snapToGrid w:val="0"/>
        <w:ind w:firstLine="709"/>
        <w:jc w:val="both"/>
        <w:rPr>
          <w:rFonts w:ascii="Verdana" w:eastAsia="Times New Roman" w:hAnsi="Verdana" w:cs="Arial"/>
          <w:bCs/>
          <w:sz w:val="14"/>
          <w:szCs w:val="14"/>
          <w:lang w:val="es-ES_tradnl" w:eastAsia="es-ES_tradnl"/>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eastAsia="Times New Roman" w:hAnsi="Verdana" w:cs="Arial"/>
          <w:bCs/>
          <w:sz w:val="14"/>
          <w:szCs w:val="14"/>
          <w:lang w:val="es-ES_tradnl" w:eastAsia="es-ES_tradnl"/>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39158ED" w14:textId="77777777" w:rsidR="004D638C" w:rsidRPr="00136215" w:rsidRDefault="004D638C" w:rsidP="004D638C">
      <w:pPr>
        <w:pStyle w:val="Textonotapie"/>
        <w:snapToGrid w:val="0"/>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A0D31E6" w14:textId="77777777" w:rsidR="004D638C" w:rsidRPr="00136215" w:rsidRDefault="004D638C" w:rsidP="004D638C">
      <w:pPr>
        <w:pStyle w:val="Textonotapie"/>
        <w:snapToGrid w:val="0"/>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La Entidad Estatal, para la contratación de trabajos artísticos que solamente puedan en­comendarse a determinadas personas naturales, debe justificar esta situación en los estudios y documentos previos”.</w:t>
      </w:r>
    </w:p>
  </w:footnote>
  <w:footnote w:id="6">
    <w:p w14:paraId="07400812" w14:textId="77777777" w:rsidR="004D638C" w:rsidRPr="00136215" w:rsidRDefault="004D638C" w:rsidP="004D638C">
      <w:pPr>
        <w:pStyle w:val="Textonotapie"/>
        <w:snapToGrid w:val="0"/>
        <w:ind w:firstLine="709"/>
        <w:jc w:val="both"/>
        <w:rPr>
          <w:rFonts w:ascii="Verdana" w:hAnsi="Verdana" w:cs="Arial"/>
          <w:color w:val="000000"/>
          <w:sz w:val="14"/>
          <w:szCs w:val="14"/>
        </w:rPr>
      </w:pPr>
    </w:p>
    <w:p w14:paraId="3E8240E7"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Así lo prevé el artículo 2.2.1.2.1.4.1. del Decreto 1082 de 2015: “La Entidad Estatal debe señalar en un acto administrativo la justificación para contratar bajo la modalidad de contratación directa, el cual debe contener:</w:t>
      </w:r>
    </w:p>
    <w:p w14:paraId="2600B7C2"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1. La causal que invoca para contratar directamente.</w:t>
      </w:r>
    </w:p>
    <w:p w14:paraId="04965F27"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2. El objeto del contrato.</w:t>
      </w:r>
    </w:p>
    <w:p w14:paraId="17CD0E32"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3. El presupuesto para la contratación y las condiciones que exigirá al contratista.</w:t>
      </w:r>
    </w:p>
    <w:p w14:paraId="30A66264"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4. El lugar en el cual los interesados pueden consultar los estudios y documentos previos.</w:t>
      </w:r>
    </w:p>
    <w:p w14:paraId="7A196214"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7">
    <w:p w14:paraId="3AD48B9B" w14:textId="77777777" w:rsidR="004D638C" w:rsidRPr="00136215" w:rsidRDefault="004D638C" w:rsidP="004D638C">
      <w:pPr>
        <w:pStyle w:val="Textonotapie"/>
        <w:snapToGrid w:val="0"/>
        <w:ind w:firstLine="709"/>
        <w:jc w:val="both"/>
        <w:rPr>
          <w:rFonts w:ascii="Verdana" w:hAnsi="Verdana" w:cs="Arial"/>
          <w:color w:val="000000"/>
          <w:sz w:val="14"/>
          <w:szCs w:val="14"/>
        </w:rPr>
      </w:pPr>
    </w:p>
    <w:p w14:paraId="06FC9A58"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Esta norma expresa: “Para el cumplimiento de los fines de la contratación, las entidades estatales al celebrar un contrato:</w:t>
      </w:r>
    </w:p>
    <w:p w14:paraId="23B9DE10"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w:t>
      </w:r>
    </w:p>
    <w:p w14:paraId="2C88D937"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proofErr w:type="spellStart"/>
      <w:r w:rsidRPr="00136215">
        <w:rPr>
          <w:rFonts w:ascii="Verdana" w:hAnsi="Verdana" w:cs="Arial"/>
          <w:color w:val="000000"/>
          <w:sz w:val="14"/>
          <w:szCs w:val="14"/>
          <w:lang w:val="es-ES"/>
        </w:rPr>
        <w:t>2o</w:t>
      </w:r>
      <w:proofErr w:type="spellEnd"/>
      <w:r w:rsidRPr="00136215">
        <w:rPr>
          <w:rFonts w:ascii="Verdana" w:hAnsi="Verdana" w:cs="Arial"/>
          <w:color w:val="000000"/>
          <w:sz w:val="14"/>
          <w:szCs w:val="14"/>
          <w:lang w:val="es-ES"/>
        </w:rPr>
        <w:t>.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901DED0"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Las entidades estatales podrán pactar estas cláusulas en los contratos de suministro y de prestación de servicios.</w:t>
      </w:r>
    </w:p>
    <w:p w14:paraId="77CD7E24"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w:t>
      </w:r>
    </w:p>
  </w:footnote>
  <w:footnote w:id="8">
    <w:p w14:paraId="216D2E34"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La norma dispone: “La liquidación a que se refiere el presente artículo no será obligatoria en los contratos de prestación de servicios profesionales y de apoyo a la gestión”.</w:t>
      </w:r>
    </w:p>
    <w:p w14:paraId="749255EE"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p>
  </w:footnote>
  <w:footnote w:id="9">
    <w:p w14:paraId="2CF791E2"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0A45FD9"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CFDCC05" w14:textId="77777777" w:rsidR="004D638C" w:rsidRPr="00136215" w:rsidRDefault="004D638C" w:rsidP="004D638C">
      <w:pPr>
        <w:pStyle w:val="Textonotapie"/>
        <w:snapToGrid w:val="0"/>
        <w:ind w:firstLine="709"/>
        <w:jc w:val="both"/>
        <w:rPr>
          <w:rFonts w:ascii="Verdana" w:hAnsi="Verdana" w:cs="Arial"/>
          <w:color w:val="000000"/>
          <w:sz w:val="14"/>
          <w:szCs w:val="14"/>
        </w:rPr>
      </w:pPr>
      <w:r w:rsidRPr="00136215">
        <w:rPr>
          <w:rFonts w:ascii="Verdana" w:hAnsi="Verdana" w:cs="Arial"/>
          <w:color w:val="000000"/>
          <w:sz w:val="14"/>
          <w:szCs w:val="14"/>
        </w:rPr>
        <w:t>[…]”.</w:t>
      </w:r>
    </w:p>
    <w:p w14:paraId="1F889A89"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p>
  </w:footnote>
  <w:footnote w:id="10">
    <w:p w14:paraId="569D2E85"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 xml:space="preserve">Es esto lo que establece el Decreto 1082 de 2015: “Artículo 2.2.1.2.1.4.5. No obligatoriedad de garantías. En la contratación directa la exigencia de garantías establecidas en la Sección 3, que comprende los artículos 2.2.1.2.3.1.1 al </w:t>
      </w:r>
      <w:proofErr w:type="spellStart"/>
      <w:r w:rsidRPr="00136215">
        <w:rPr>
          <w:rFonts w:ascii="Verdana" w:hAnsi="Verdana" w:cs="Arial"/>
          <w:color w:val="000000"/>
          <w:sz w:val="14"/>
          <w:szCs w:val="14"/>
          <w:lang w:val="es-ES"/>
        </w:rPr>
        <w:t>2.2.1.2.3.5.1.del</w:t>
      </w:r>
      <w:proofErr w:type="spellEnd"/>
      <w:r w:rsidRPr="00136215">
        <w:rPr>
          <w:rFonts w:ascii="Verdana" w:hAnsi="Verdana" w:cs="Arial"/>
          <w:color w:val="000000"/>
          <w:sz w:val="14"/>
          <w:szCs w:val="14"/>
          <w:lang w:val="es-ES"/>
        </w:rPr>
        <w:t xml:space="preserve"> presente decreto no es obligatoria y la justificación para exigirlas o no debe estar en los estudios y documentos previos”.</w:t>
      </w:r>
    </w:p>
    <w:p w14:paraId="670E795C" w14:textId="77777777" w:rsidR="004D638C" w:rsidRPr="00136215" w:rsidRDefault="004D638C" w:rsidP="004D638C">
      <w:pPr>
        <w:pStyle w:val="Textonotapie"/>
        <w:snapToGrid w:val="0"/>
        <w:ind w:firstLine="709"/>
        <w:jc w:val="both"/>
        <w:rPr>
          <w:rFonts w:ascii="Verdana" w:hAnsi="Verdana" w:cs="Arial"/>
          <w:color w:val="000000"/>
          <w:sz w:val="14"/>
          <w:szCs w:val="14"/>
          <w:lang w:val="es-ES"/>
        </w:rPr>
      </w:pPr>
    </w:p>
  </w:footnote>
  <w:footnote w:id="11">
    <w:p w14:paraId="31529E7B" w14:textId="77777777" w:rsidR="004D638C" w:rsidRPr="00136215" w:rsidRDefault="004D638C" w:rsidP="004D638C">
      <w:pPr>
        <w:pStyle w:val="Textonotapie"/>
        <w:ind w:firstLine="708"/>
        <w:contextualSpacing/>
        <w:jc w:val="both"/>
        <w:rPr>
          <w:rFonts w:ascii="Verdana" w:hAnsi="Verdana" w:cs="Arial"/>
          <w:sz w:val="14"/>
          <w:szCs w:val="14"/>
        </w:rPr>
      </w:pPr>
      <w:r w:rsidRPr="00136215">
        <w:rPr>
          <w:rStyle w:val="Refdenotaalpie"/>
          <w:rFonts w:ascii="Verdana" w:hAnsi="Verdana" w:cs="Arial"/>
          <w:sz w:val="14"/>
          <w:szCs w:val="14"/>
        </w:rPr>
        <w:footnoteRef/>
      </w:r>
      <w:r w:rsidRPr="00136215">
        <w:rPr>
          <w:rFonts w:ascii="Verdana" w:hAnsi="Verdana" w:cs="Arial"/>
          <w:sz w:val="14"/>
          <w:szCs w:val="14"/>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12">
    <w:p w14:paraId="4996A947" w14:textId="77777777" w:rsidR="004D638C" w:rsidRPr="00136215" w:rsidRDefault="004D638C" w:rsidP="004D638C">
      <w:pPr>
        <w:pStyle w:val="Textonotapie"/>
        <w:ind w:firstLine="708"/>
        <w:contextualSpacing/>
        <w:jc w:val="both"/>
        <w:rPr>
          <w:rFonts w:ascii="Verdana" w:hAnsi="Verdana" w:cs="Arial"/>
          <w:sz w:val="14"/>
          <w:szCs w:val="14"/>
        </w:rPr>
      </w:pPr>
      <w:r w:rsidRPr="00136215">
        <w:rPr>
          <w:rStyle w:val="Refdenotaalpie"/>
          <w:rFonts w:ascii="Verdana" w:hAnsi="Verdana" w:cs="Arial"/>
          <w:sz w:val="14"/>
          <w:szCs w:val="14"/>
        </w:rPr>
        <w:footnoteRef/>
      </w:r>
      <w:r w:rsidRPr="00136215">
        <w:rPr>
          <w:rFonts w:ascii="Verdana" w:hAnsi="Verdana" w:cs="Arial"/>
          <w:sz w:val="14"/>
          <w:szCs w:val="14"/>
        </w:rPr>
        <w:t xml:space="preserve"> Colombia Compra Eficiente. </w:t>
      </w:r>
      <w:r w:rsidRPr="00136215">
        <w:rPr>
          <w:rFonts w:ascii="Verdana" w:eastAsia="Calibri" w:hAnsi="Verdana" w:cs="Arial"/>
          <w:bCs/>
          <w:sz w:val="14"/>
          <w:szCs w:val="14"/>
          <w:lang w:val="es-ES_tradnl" w:eastAsia="es-ES_tradnl"/>
        </w:rPr>
        <w:t>Guía de Elaboración de Estudios del Sector</w:t>
      </w:r>
      <w:r w:rsidRPr="00136215">
        <w:rPr>
          <w:rFonts w:ascii="Verdana" w:hAnsi="Verdana" w:cs="Arial"/>
          <w:sz w:val="14"/>
          <w:szCs w:val="14"/>
        </w:rPr>
        <w:t xml:space="preserve">. Disponible en: </w:t>
      </w:r>
      <w:hyperlink r:id="rId1" w:history="1">
        <w:r w:rsidRPr="00136215">
          <w:rPr>
            <w:rStyle w:val="Hipervnculo"/>
            <w:rFonts w:ascii="Verdana" w:hAnsi="Verdana" w:cs="Arial"/>
            <w:sz w:val="14"/>
            <w:szCs w:val="14"/>
          </w:rPr>
          <w:t>https://www.colombiacompra.gov.co/manuales-guias-y-pliegos-tipo/manuales-y-guias</w:t>
        </w:r>
      </w:hyperlink>
      <w:r w:rsidRPr="00136215">
        <w:rPr>
          <w:rFonts w:ascii="Verdana" w:hAnsi="Verdana" w:cs="Arial"/>
          <w:sz w:val="14"/>
          <w:szCs w:val="14"/>
        </w:rPr>
        <w:t xml:space="preserve"> </w:t>
      </w:r>
    </w:p>
    <w:p w14:paraId="33E8E568" w14:textId="77777777" w:rsidR="004D638C" w:rsidRPr="00136215" w:rsidRDefault="004D638C" w:rsidP="004D638C">
      <w:pPr>
        <w:pStyle w:val="Textonotapie"/>
        <w:ind w:firstLine="708"/>
        <w:contextualSpacing/>
        <w:jc w:val="both"/>
        <w:rPr>
          <w:rFonts w:ascii="Verdana" w:hAnsi="Verdana" w:cs="Arial"/>
          <w:sz w:val="14"/>
          <w:szCs w:val="14"/>
          <w:lang w:val="es-CO"/>
        </w:rPr>
      </w:pPr>
    </w:p>
  </w:footnote>
  <w:footnote w:id="13">
    <w:p w14:paraId="5A2D503D" w14:textId="77777777" w:rsidR="00A77793" w:rsidRPr="00136215" w:rsidRDefault="00A77793" w:rsidP="00A77793">
      <w:pPr>
        <w:pStyle w:val="Textonotapie"/>
        <w:ind w:firstLine="707"/>
        <w:rPr>
          <w:rFonts w:ascii="Verdana" w:hAnsi="Verdana"/>
          <w:sz w:val="14"/>
          <w:szCs w:val="14"/>
          <w:lang w:val="es-ES"/>
        </w:rPr>
      </w:pPr>
      <w:r w:rsidRPr="00136215">
        <w:rPr>
          <w:rStyle w:val="Refdenotaalpie"/>
          <w:rFonts w:ascii="Verdana" w:hAnsi="Verdana"/>
          <w:sz w:val="14"/>
          <w:szCs w:val="14"/>
        </w:rPr>
        <w:footnoteRef/>
      </w:r>
      <w:r w:rsidRPr="00136215">
        <w:rPr>
          <w:rFonts w:ascii="Verdana" w:hAnsi="Verdana"/>
          <w:sz w:val="14"/>
          <w:szCs w:val="14"/>
        </w:rPr>
        <w:t xml:space="preserve"> </w:t>
      </w:r>
      <w:r w:rsidRPr="00136215">
        <w:rPr>
          <w:rFonts w:ascii="Verdana" w:eastAsia="Times New Roman" w:hAnsi="Verdana" w:cs="Arial"/>
          <w:bCs/>
          <w:sz w:val="14"/>
          <w:szCs w:val="14"/>
          <w:lang w:val="es-ES_tradnl" w:eastAsia="es-ES_tradnl"/>
        </w:rPr>
        <w:t>Concepto 193201 del 25 de mayo de 2022 del Departamento Administrativo de la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5467" w:hanging="360"/>
      </w:pPr>
      <w:rPr>
        <w:b/>
        <w:color w:val="000000" w:themeColor="text1"/>
      </w:rPr>
    </w:lvl>
    <w:lvl w:ilvl="1">
      <w:start w:val="2"/>
      <w:numFmt w:val="decimal"/>
      <w:isLgl/>
      <w:lvlText w:val="%1.%2"/>
      <w:lvlJc w:val="left"/>
      <w:pPr>
        <w:ind w:left="5107" w:hanging="360"/>
      </w:pPr>
    </w:lvl>
    <w:lvl w:ilvl="2">
      <w:start w:val="1"/>
      <w:numFmt w:val="decimal"/>
      <w:isLgl/>
      <w:lvlText w:val="%1.%2.%3"/>
      <w:lvlJc w:val="left"/>
      <w:pPr>
        <w:ind w:left="5827" w:hanging="720"/>
      </w:pPr>
    </w:lvl>
    <w:lvl w:ilvl="3">
      <w:start w:val="1"/>
      <w:numFmt w:val="decimal"/>
      <w:isLgl/>
      <w:lvlText w:val="%1.%2.%3.%4"/>
      <w:lvlJc w:val="left"/>
      <w:pPr>
        <w:ind w:left="5827" w:hanging="720"/>
      </w:pPr>
    </w:lvl>
    <w:lvl w:ilvl="4">
      <w:start w:val="1"/>
      <w:numFmt w:val="decimal"/>
      <w:isLgl/>
      <w:lvlText w:val="%1.%2.%3.%4.%5"/>
      <w:lvlJc w:val="left"/>
      <w:pPr>
        <w:ind w:left="6187" w:hanging="1080"/>
      </w:pPr>
    </w:lvl>
    <w:lvl w:ilvl="5">
      <w:start w:val="1"/>
      <w:numFmt w:val="decimal"/>
      <w:isLgl/>
      <w:lvlText w:val="%1.%2.%3.%4.%5.%6"/>
      <w:lvlJc w:val="left"/>
      <w:pPr>
        <w:ind w:left="6187" w:hanging="1080"/>
      </w:pPr>
    </w:lvl>
    <w:lvl w:ilvl="6">
      <w:start w:val="1"/>
      <w:numFmt w:val="decimal"/>
      <w:isLgl/>
      <w:lvlText w:val="%1.%2.%3.%4.%5.%6.%7"/>
      <w:lvlJc w:val="left"/>
      <w:pPr>
        <w:ind w:left="6547" w:hanging="1440"/>
      </w:pPr>
    </w:lvl>
    <w:lvl w:ilvl="7">
      <w:start w:val="1"/>
      <w:numFmt w:val="decimal"/>
      <w:isLgl/>
      <w:lvlText w:val="%1.%2.%3.%4.%5.%6.%7.%8"/>
      <w:lvlJc w:val="left"/>
      <w:pPr>
        <w:ind w:left="6547" w:hanging="1440"/>
      </w:pPr>
    </w:lvl>
    <w:lvl w:ilvl="8">
      <w:start w:val="1"/>
      <w:numFmt w:val="decimal"/>
      <w:isLgl/>
      <w:lvlText w:val="%1.%2.%3.%4.%5.%6.%7.%8.%9"/>
      <w:lvlJc w:val="left"/>
      <w:pPr>
        <w:ind w:left="6907"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0F4636"/>
    <w:multiLevelType w:val="hybridMultilevel"/>
    <w:tmpl w:val="806AD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14" w:hanging="360"/>
      </w:pPr>
      <w:rPr>
        <w:rFonts w:ascii="Symbol" w:hAnsi="Symbol" w:hint="default"/>
      </w:rPr>
    </w:lvl>
    <w:lvl w:ilvl="1" w:tplc="040A0003">
      <w:start w:val="1"/>
      <w:numFmt w:val="bullet"/>
      <w:lvlText w:val="o"/>
      <w:lvlJc w:val="left"/>
      <w:pPr>
        <w:ind w:left="1434" w:hanging="360"/>
      </w:pPr>
      <w:rPr>
        <w:rFonts w:ascii="Courier New" w:hAnsi="Courier New" w:cs="Courier New" w:hint="default"/>
      </w:rPr>
    </w:lvl>
    <w:lvl w:ilvl="2" w:tplc="040A0005">
      <w:start w:val="1"/>
      <w:numFmt w:val="bullet"/>
      <w:lvlText w:val=""/>
      <w:lvlJc w:val="left"/>
      <w:pPr>
        <w:ind w:left="2154" w:hanging="360"/>
      </w:pPr>
      <w:rPr>
        <w:rFonts w:ascii="Wingdings" w:hAnsi="Wingdings" w:hint="default"/>
      </w:rPr>
    </w:lvl>
    <w:lvl w:ilvl="3" w:tplc="040A0001">
      <w:start w:val="1"/>
      <w:numFmt w:val="bullet"/>
      <w:lvlText w:val=""/>
      <w:lvlJc w:val="left"/>
      <w:pPr>
        <w:ind w:left="2874" w:hanging="360"/>
      </w:pPr>
      <w:rPr>
        <w:rFonts w:ascii="Symbol" w:hAnsi="Symbol" w:hint="default"/>
      </w:rPr>
    </w:lvl>
    <w:lvl w:ilvl="4" w:tplc="040A0003">
      <w:start w:val="1"/>
      <w:numFmt w:val="bullet"/>
      <w:lvlText w:val="o"/>
      <w:lvlJc w:val="left"/>
      <w:pPr>
        <w:ind w:left="3594" w:hanging="360"/>
      </w:pPr>
      <w:rPr>
        <w:rFonts w:ascii="Courier New" w:hAnsi="Courier New" w:cs="Courier New" w:hint="default"/>
      </w:rPr>
    </w:lvl>
    <w:lvl w:ilvl="5" w:tplc="040A0005">
      <w:start w:val="1"/>
      <w:numFmt w:val="bullet"/>
      <w:lvlText w:val=""/>
      <w:lvlJc w:val="left"/>
      <w:pPr>
        <w:ind w:left="4314" w:hanging="360"/>
      </w:pPr>
      <w:rPr>
        <w:rFonts w:ascii="Wingdings" w:hAnsi="Wingdings" w:hint="default"/>
      </w:rPr>
    </w:lvl>
    <w:lvl w:ilvl="6" w:tplc="040A0001">
      <w:start w:val="1"/>
      <w:numFmt w:val="bullet"/>
      <w:lvlText w:val=""/>
      <w:lvlJc w:val="left"/>
      <w:pPr>
        <w:ind w:left="5034" w:hanging="360"/>
      </w:pPr>
      <w:rPr>
        <w:rFonts w:ascii="Symbol" w:hAnsi="Symbol" w:hint="default"/>
      </w:rPr>
    </w:lvl>
    <w:lvl w:ilvl="7" w:tplc="040A0003">
      <w:start w:val="1"/>
      <w:numFmt w:val="bullet"/>
      <w:lvlText w:val="o"/>
      <w:lvlJc w:val="left"/>
      <w:pPr>
        <w:ind w:left="5754" w:hanging="360"/>
      </w:pPr>
      <w:rPr>
        <w:rFonts w:ascii="Courier New" w:hAnsi="Courier New" w:cs="Courier New" w:hint="default"/>
      </w:rPr>
    </w:lvl>
    <w:lvl w:ilvl="8" w:tplc="040A0005">
      <w:start w:val="1"/>
      <w:numFmt w:val="bullet"/>
      <w:lvlText w:val=""/>
      <w:lvlJc w:val="left"/>
      <w:pPr>
        <w:ind w:left="6474"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2" w15:restartNumberingAfterBreak="0">
    <w:nsid w:val="5D6710E3"/>
    <w:multiLevelType w:val="hybridMultilevel"/>
    <w:tmpl w:val="8BEC71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416571">
    <w:abstractNumId w:val="8"/>
  </w:num>
  <w:num w:numId="2" w16cid:durableId="1880508756">
    <w:abstractNumId w:val="2"/>
  </w:num>
  <w:num w:numId="3" w16cid:durableId="365522500">
    <w:abstractNumId w:val="5"/>
  </w:num>
  <w:num w:numId="4" w16cid:durableId="549729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1196160">
    <w:abstractNumId w:val="2"/>
  </w:num>
  <w:num w:numId="6" w16cid:durableId="1510364517">
    <w:abstractNumId w:val="16"/>
  </w:num>
  <w:num w:numId="7" w16cid:durableId="2102986785">
    <w:abstractNumId w:val="7"/>
  </w:num>
  <w:num w:numId="8" w16cid:durableId="46103191">
    <w:abstractNumId w:val="15"/>
  </w:num>
  <w:num w:numId="9" w16cid:durableId="1528105866">
    <w:abstractNumId w:val="9"/>
  </w:num>
  <w:num w:numId="10" w16cid:durableId="892737356">
    <w:abstractNumId w:val="14"/>
  </w:num>
  <w:num w:numId="11" w16cid:durableId="495341067">
    <w:abstractNumId w:val="10"/>
  </w:num>
  <w:num w:numId="12" w16cid:durableId="47189798">
    <w:abstractNumId w:val="1"/>
  </w:num>
  <w:num w:numId="13" w16cid:durableId="1040937331">
    <w:abstractNumId w:val="4"/>
  </w:num>
  <w:num w:numId="14" w16cid:durableId="659041948">
    <w:abstractNumId w:val="17"/>
  </w:num>
  <w:num w:numId="15" w16cid:durableId="2136292632">
    <w:abstractNumId w:val="13"/>
  </w:num>
  <w:num w:numId="16" w16cid:durableId="14976522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475341">
    <w:abstractNumId w:val="6"/>
  </w:num>
  <w:num w:numId="18" w16cid:durableId="14717499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8597306">
    <w:abstractNumId w:val="11"/>
  </w:num>
  <w:num w:numId="20" w16cid:durableId="1219167130">
    <w:abstractNumId w:val="0"/>
  </w:num>
  <w:num w:numId="21" w16cid:durableId="1702824080">
    <w:abstractNumId w:val="6"/>
  </w:num>
  <w:num w:numId="22" w16cid:durableId="707605780">
    <w:abstractNumId w:val="11"/>
  </w:num>
  <w:num w:numId="23" w16cid:durableId="737171146">
    <w:abstractNumId w:val="12"/>
  </w:num>
  <w:num w:numId="24" w16cid:durableId="74495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342"/>
    <w:rsid w:val="00061B2A"/>
    <w:rsid w:val="00082362"/>
    <w:rsid w:val="000920FF"/>
    <w:rsid w:val="00095F56"/>
    <w:rsid w:val="0009766F"/>
    <w:rsid w:val="000A683E"/>
    <w:rsid w:val="000B19B9"/>
    <w:rsid w:val="000B1ABA"/>
    <w:rsid w:val="000D0334"/>
    <w:rsid w:val="000F6486"/>
    <w:rsid w:val="00125105"/>
    <w:rsid w:val="00127233"/>
    <w:rsid w:val="00136215"/>
    <w:rsid w:val="001E4177"/>
    <w:rsid w:val="001F7DC6"/>
    <w:rsid w:val="002421BB"/>
    <w:rsid w:val="0025796E"/>
    <w:rsid w:val="002707A2"/>
    <w:rsid w:val="00286E79"/>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A4214"/>
    <w:rsid w:val="004D638C"/>
    <w:rsid w:val="004F21C4"/>
    <w:rsid w:val="004F44AE"/>
    <w:rsid w:val="004F685F"/>
    <w:rsid w:val="0050525F"/>
    <w:rsid w:val="005566E8"/>
    <w:rsid w:val="00574867"/>
    <w:rsid w:val="00591460"/>
    <w:rsid w:val="00592628"/>
    <w:rsid w:val="005C3777"/>
    <w:rsid w:val="005C5CDC"/>
    <w:rsid w:val="005D476C"/>
    <w:rsid w:val="00610812"/>
    <w:rsid w:val="006219F8"/>
    <w:rsid w:val="00650FF7"/>
    <w:rsid w:val="00665D70"/>
    <w:rsid w:val="00671DAC"/>
    <w:rsid w:val="006900D9"/>
    <w:rsid w:val="006C04FC"/>
    <w:rsid w:val="006D12F8"/>
    <w:rsid w:val="006F1BBF"/>
    <w:rsid w:val="007051A8"/>
    <w:rsid w:val="00706C16"/>
    <w:rsid w:val="00714824"/>
    <w:rsid w:val="00756841"/>
    <w:rsid w:val="007649AB"/>
    <w:rsid w:val="00771D0C"/>
    <w:rsid w:val="007833AC"/>
    <w:rsid w:val="007B268C"/>
    <w:rsid w:val="007B2AA0"/>
    <w:rsid w:val="007B7171"/>
    <w:rsid w:val="007C0C0F"/>
    <w:rsid w:val="007C3DC2"/>
    <w:rsid w:val="007D460E"/>
    <w:rsid w:val="007E5497"/>
    <w:rsid w:val="00806F5F"/>
    <w:rsid w:val="00820278"/>
    <w:rsid w:val="008843B6"/>
    <w:rsid w:val="00891928"/>
    <w:rsid w:val="008A446D"/>
    <w:rsid w:val="008D180B"/>
    <w:rsid w:val="008F0EA7"/>
    <w:rsid w:val="00907892"/>
    <w:rsid w:val="00923EEF"/>
    <w:rsid w:val="00924977"/>
    <w:rsid w:val="00935EA4"/>
    <w:rsid w:val="009419F9"/>
    <w:rsid w:val="00955772"/>
    <w:rsid w:val="0095685E"/>
    <w:rsid w:val="00961B09"/>
    <w:rsid w:val="00965334"/>
    <w:rsid w:val="0097093E"/>
    <w:rsid w:val="009A0DFA"/>
    <w:rsid w:val="009B2D26"/>
    <w:rsid w:val="009C71FA"/>
    <w:rsid w:val="009C72E7"/>
    <w:rsid w:val="009D3058"/>
    <w:rsid w:val="009E09B7"/>
    <w:rsid w:val="009F3A13"/>
    <w:rsid w:val="00A122D3"/>
    <w:rsid w:val="00A17F13"/>
    <w:rsid w:val="00A20739"/>
    <w:rsid w:val="00A33C78"/>
    <w:rsid w:val="00A77793"/>
    <w:rsid w:val="00A8725E"/>
    <w:rsid w:val="00AB0ADB"/>
    <w:rsid w:val="00B01B1A"/>
    <w:rsid w:val="00B72CD3"/>
    <w:rsid w:val="00B72FFF"/>
    <w:rsid w:val="00B8753B"/>
    <w:rsid w:val="00BC16CD"/>
    <w:rsid w:val="00BC3D36"/>
    <w:rsid w:val="00BD7F72"/>
    <w:rsid w:val="00BF3445"/>
    <w:rsid w:val="00C04FB3"/>
    <w:rsid w:val="00C330EB"/>
    <w:rsid w:val="00C721FC"/>
    <w:rsid w:val="00C754BE"/>
    <w:rsid w:val="00C76B1C"/>
    <w:rsid w:val="00CB6357"/>
    <w:rsid w:val="00CC1B26"/>
    <w:rsid w:val="00CD4379"/>
    <w:rsid w:val="00D423A2"/>
    <w:rsid w:val="00D520D8"/>
    <w:rsid w:val="00D63AC2"/>
    <w:rsid w:val="00D7383B"/>
    <w:rsid w:val="00DA231B"/>
    <w:rsid w:val="00DA23A0"/>
    <w:rsid w:val="00DC39FC"/>
    <w:rsid w:val="00DF5254"/>
    <w:rsid w:val="00E079F1"/>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00F0"/>
    <w:rsid w:val="00F462B3"/>
    <w:rsid w:val="00F5664F"/>
    <w:rsid w:val="00F65EF8"/>
    <w:rsid w:val="00F666C4"/>
    <w:rsid w:val="00F76AFC"/>
    <w:rsid w:val="00FA47C0"/>
    <w:rsid w:val="00FB5DD1"/>
    <w:rsid w:val="00FC2B5D"/>
    <w:rsid w:val="00FE1FEA"/>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6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9766F"/>
    <w:rPr>
      <w:rFonts w:ascii="Geomanist Light" w:hAnsi="Geomanist Light"/>
      <w:lang w:val="es-ES"/>
    </w:rPr>
  </w:style>
  <w:style w:type="paragraph" w:customStyle="1" w:styleId="Appelnotedebasde">
    <w:name w:val="Appel note de bas de..."/>
    <w:basedOn w:val="Normal"/>
    <w:link w:val="Refdenotaalpie"/>
    <w:uiPriority w:val="99"/>
    <w:rsid w:val="0009766F"/>
    <w:pPr>
      <w:spacing w:line="240" w:lineRule="exact"/>
    </w:pPr>
    <w:rPr>
      <w:vertAlign w:val="superscript"/>
    </w:rPr>
  </w:style>
  <w:style w:type="table" w:customStyle="1" w:styleId="Tablaconcuadrcula1">
    <w:name w:val="Tabla con cuadrícula1"/>
    <w:basedOn w:val="Tablanormal"/>
    <w:next w:val="Tablaconcuadrcula"/>
    <w:uiPriority w:val="39"/>
    <w:qFormat/>
    <w:rsid w:val="0009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D638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4D638C"/>
    <w:rPr>
      <w:rFonts w:ascii="Arial" w:eastAsia="Arial" w:hAnsi="Arial" w:cs="Arial"/>
      <w:lang w:val="es-ES"/>
    </w:rPr>
  </w:style>
  <w:style w:type="character" w:styleId="Textoennegrita">
    <w:name w:val="Strong"/>
    <w:basedOn w:val="Fuentedeprrafopredeter"/>
    <w:uiPriority w:val="22"/>
    <w:qFormat/>
    <w:rsid w:val="00B87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7326126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32317280">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2106924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relatoria.colombiacompra.gov.co/normativa/decreto-1083-de-2015/"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gonzalezeligio@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normativa/decreto-019-de-2012/"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in-juriscol.gov.co/viewDocument.asp?ruta=Leyes/167262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DB5C5B5-9535-4BEF-BE40-87CB49726CED}"/>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5783</Words>
  <Characters>31812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2024-10-03T20:11:00Z</dcterms:created>
  <dcterms:modified xsi:type="dcterms:W3CDTF">2024-10-06T13:35:00Z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