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9749BD" w14:textId="77777777" w:rsidR="002B1E07" w:rsidRDefault="002B1E07" w:rsidP="002B1E07">
      <w:pPr>
        <w:spacing w:after="0" w:line="240" w:lineRule="auto"/>
        <w:jc w:val="both"/>
        <w:rPr>
          <w:rFonts w:ascii="Verdana" w:eastAsia="Geomanist Light" w:hAnsi="Verdana" w:cs="Arial"/>
          <w:lang w:val="es-MX"/>
        </w:rPr>
      </w:pPr>
    </w:p>
    <w:p w14:paraId="112C931B" w14:textId="77777777" w:rsidR="002B1E07" w:rsidRPr="002B1E07" w:rsidRDefault="002B1E07" w:rsidP="002B1E07">
      <w:pPr>
        <w:spacing w:after="0" w:line="240" w:lineRule="auto"/>
        <w:jc w:val="both"/>
        <w:rPr>
          <w:rFonts w:ascii="Verdana" w:eastAsia="Geomanist Light" w:hAnsi="Verdana" w:cs="Arial"/>
          <w:b/>
          <w:lang w:val="es-ES"/>
        </w:rPr>
      </w:pPr>
      <w:r w:rsidRPr="002B1E07">
        <w:rPr>
          <w:rFonts w:ascii="Verdana" w:eastAsia="Geomanist Light" w:hAnsi="Verdana" w:cs="Arial"/>
          <w:b/>
          <w:lang w:val="es-ES"/>
        </w:rPr>
        <w:t xml:space="preserve">DÍAS HÁBILES </w:t>
      </w:r>
      <w:r w:rsidRPr="002B1E07">
        <w:rPr>
          <w:rFonts w:ascii="Verdana" w:eastAsia="Geomanist Light" w:hAnsi="Verdana" w:cs="Arial"/>
          <w:b/>
          <w:lang w:val="es-MX"/>
        </w:rPr>
        <w:t xml:space="preserve">– </w:t>
      </w:r>
      <w:r w:rsidRPr="002B1E07">
        <w:rPr>
          <w:rFonts w:ascii="Verdana" w:eastAsia="Geomanist Light" w:hAnsi="Verdana" w:cs="Arial"/>
          <w:b/>
          <w:lang w:val="es-ES"/>
        </w:rPr>
        <w:t xml:space="preserve">Concepto </w:t>
      </w:r>
      <w:r w:rsidRPr="002B1E07">
        <w:rPr>
          <w:rFonts w:ascii="Verdana" w:eastAsia="Geomanist Light" w:hAnsi="Verdana" w:cs="Arial"/>
          <w:b/>
          <w:lang w:val="es-MX"/>
        </w:rPr>
        <w:t>–</w:t>
      </w:r>
      <w:r w:rsidRPr="002B1E07">
        <w:rPr>
          <w:rFonts w:ascii="Verdana" w:eastAsia="Geomanist Light" w:hAnsi="Verdana" w:cs="Arial"/>
          <w:b/>
          <w:lang w:val="es-ES"/>
        </w:rPr>
        <w:t xml:space="preserve"> Cómputo de términos</w:t>
      </w:r>
    </w:p>
    <w:p w14:paraId="76142DC6" w14:textId="77777777" w:rsidR="002B1E07" w:rsidRPr="002B1E07" w:rsidRDefault="002B1E07" w:rsidP="002B1E07">
      <w:pPr>
        <w:spacing w:after="0" w:line="240" w:lineRule="auto"/>
        <w:jc w:val="both"/>
        <w:rPr>
          <w:rFonts w:ascii="Verdana" w:eastAsia="Geomanist Light" w:hAnsi="Verdana" w:cs="Arial"/>
          <w:bCs/>
          <w:lang w:val="es-ES"/>
        </w:rPr>
      </w:pPr>
    </w:p>
    <w:p w14:paraId="40F7CA7A" w14:textId="1700D3A2" w:rsidR="002B1E07" w:rsidRDefault="002B1E07" w:rsidP="002B1E07">
      <w:pPr>
        <w:spacing w:after="0" w:line="240" w:lineRule="auto"/>
        <w:jc w:val="both"/>
        <w:rPr>
          <w:rFonts w:ascii="Verdana" w:eastAsia="Geomanist Light" w:hAnsi="Verdana" w:cs="Arial"/>
          <w:lang w:val="es-MX"/>
        </w:rPr>
      </w:pPr>
      <w:r w:rsidRPr="002B1E07">
        <w:rPr>
          <w:rFonts w:ascii="Verdana" w:eastAsia="Geomanist Light" w:hAnsi="Verdana" w:cs="Arial"/>
          <w:bCs/>
          <w:lang w:val="es-ES"/>
        </w:rPr>
        <w:t xml:space="preserve">Si bien las reglas establecidas en estas normas no definen el concepto de día hábil, sí evidencian que, a menos de previsión expresa en contrario, los plazos de días no incluyen los vacantes y feriados, lo cual, en línea con la definición de uso común referida con anterioridad, permite inferir que por hábiles se entienden los días laborables. […] Conforme a lo anterior, los días hábiles se determinan según la entidad, ya que </w:t>
      </w:r>
      <w:r>
        <w:rPr>
          <w:rFonts w:ascii="Verdana" w:eastAsia="Geomanist Light" w:hAnsi="Verdana" w:cs="Arial"/>
          <w:bCs/>
          <w:lang w:val="es-ES"/>
        </w:rPr>
        <w:t>“</w:t>
      </w:r>
      <w:r w:rsidRPr="002B1E07">
        <w:rPr>
          <w:rFonts w:ascii="Verdana" w:eastAsia="Geomanist Light" w:hAnsi="Verdana" w:cs="Arial"/>
          <w:bCs/>
          <w:lang w:val="es-ES"/>
        </w:rPr>
        <w:t>cada entidad pública establece la jornada laboral, a través de su reglamento interno, dando certeza sobre los días que atienden al público, e indirectamente definiendo qué día es hábil en determinada institución</w:t>
      </w:r>
      <w:r>
        <w:rPr>
          <w:rFonts w:ascii="Verdana" w:eastAsia="Geomanist Light" w:hAnsi="Verdana" w:cs="Arial"/>
          <w:bCs/>
          <w:lang w:val="es-ES"/>
        </w:rPr>
        <w:t>”</w:t>
      </w:r>
      <w:r w:rsidRPr="002B1E07">
        <w:rPr>
          <w:rFonts w:ascii="Verdana" w:eastAsia="Geomanist Light" w:hAnsi="Verdana" w:cs="Arial"/>
          <w:bCs/>
          <w:lang w:val="es-ES"/>
        </w:rPr>
        <w:t>, por lo que días hábiles son aquellos de la semana durante los cuales las entidades públicas ejercen sus funciones y prestan servicio al público, los cuales son, por regla general, todos los días de la semana, con excepción de los sábados, domingos y feriados previstos en la generalidad de entidades como días de descanso</w:t>
      </w:r>
      <w:r>
        <w:rPr>
          <w:rFonts w:ascii="Verdana" w:eastAsia="Geomanist Light" w:hAnsi="Verdana" w:cs="Arial"/>
          <w:bCs/>
          <w:lang w:val="es-ES"/>
        </w:rPr>
        <w:t>.</w:t>
      </w:r>
    </w:p>
    <w:p w14:paraId="3A4671D1" w14:textId="77777777" w:rsidR="002B1E07" w:rsidRDefault="002B1E07" w:rsidP="000A7E2C">
      <w:pPr>
        <w:spacing w:after="0" w:line="240" w:lineRule="auto"/>
        <w:rPr>
          <w:rFonts w:ascii="Verdana" w:eastAsia="Geomanist Light" w:hAnsi="Verdana" w:cs="Arial"/>
          <w:lang w:val="es-MX"/>
        </w:rPr>
      </w:pPr>
    </w:p>
    <w:p w14:paraId="197912B5" w14:textId="77777777" w:rsidR="002B1E07" w:rsidRDefault="002B1E07" w:rsidP="000A7E2C">
      <w:pPr>
        <w:spacing w:after="0" w:line="240" w:lineRule="auto"/>
        <w:rPr>
          <w:rFonts w:ascii="Verdana" w:eastAsia="Geomanist Light" w:hAnsi="Verdana" w:cs="Arial"/>
          <w:lang w:val="es-MX"/>
        </w:rPr>
      </w:pPr>
    </w:p>
    <w:p w14:paraId="3318A805" w14:textId="77777777" w:rsidR="002B1E07" w:rsidRDefault="002B1E07" w:rsidP="000A7E2C">
      <w:pPr>
        <w:spacing w:after="0" w:line="240" w:lineRule="auto"/>
        <w:rPr>
          <w:rFonts w:ascii="Verdana" w:eastAsia="Geomanist Light" w:hAnsi="Verdana" w:cs="Arial"/>
          <w:lang w:val="es-MX"/>
        </w:rPr>
      </w:pPr>
    </w:p>
    <w:p w14:paraId="1BF19592" w14:textId="77777777" w:rsidR="002B1E07" w:rsidRDefault="002B1E07" w:rsidP="000A7E2C">
      <w:pPr>
        <w:spacing w:after="0" w:line="240" w:lineRule="auto"/>
        <w:rPr>
          <w:rFonts w:ascii="Verdana" w:eastAsia="Geomanist Light" w:hAnsi="Verdana" w:cs="Arial"/>
          <w:lang w:val="es-MX"/>
        </w:rPr>
      </w:pPr>
    </w:p>
    <w:p w14:paraId="120EFB55" w14:textId="77777777" w:rsidR="002B1E07" w:rsidRDefault="002B1E07" w:rsidP="000A7E2C">
      <w:pPr>
        <w:spacing w:after="0" w:line="240" w:lineRule="auto"/>
        <w:rPr>
          <w:rFonts w:ascii="Verdana" w:eastAsia="Geomanist Light" w:hAnsi="Verdana" w:cs="Arial"/>
          <w:lang w:val="es-MX"/>
        </w:rPr>
      </w:pPr>
    </w:p>
    <w:p w14:paraId="3BFEB840" w14:textId="77777777" w:rsidR="002B1E07" w:rsidRDefault="002B1E07" w:rsidP="000A7E2C">
      <w:pPr>
        <w:spacing w:after="0" w:line="240" w:lineRule="auto"/>
        <w:rPr>
          <w:rFonts w:ascii="Verdana" w:eastAsia="Geomanist Light" w:hAnsi="Verdana" w:cs="Arial"/>
          <w:lang w:val="es-MX"/>
        </w:rPr>
      </w:pPr>
    </w:p>
    <w:p w14:paraId="347B2F91" w14:textId="77777777" w:rsidR="002B1E07" w:rsidRDefault="002B1E07" w:rsidP="000A7E2C">
      <w:pPr>
        <w:spacing w:after="0" w:line="240" w:lineRule="auto"/>
        <w:rPr>
          <w:rFonts w:ascii="Verdana" w:eastAsia="Geomanist Light" w:hAnsi="Verdana" w:cs="Arial"/>
          <w:lang w:val="es-MX"/>
        </w:rPr>
      </w:pPr>
    </w:p>
    <w:p w14:paraId="501344A0" w14:textId="77777777" w:rsidR="002B1E07" w:rsidRDefault="002B1E07" w:rsidP="000A7E2C">
      <w:pPr>
        <w:spacing w:after="0" w:line="240" w:lineRule="auto"/>
        <w:rPr>
          <w:rFonts w:ascii="Verdana" w:eastAsia="Geomanist Light" w:hAnsi="Verdana" w:cs="Arial"/>
          <w:lang w:val="es-MX"/>
        </w:rPr>
      </w:pPr>
    </w:p>
    <w:p w14:paraId="432D60EB" w14:textId="77777777" w:rsidR="002B1E07" w:rsidRDefault="002B1E07" w:rsidP="000A7E2C">
      <w:pPr>
        <w:spacing w:after="0" w:line="240" w:lineRule="auto"/>
        <w:rPr>
          <w:rFonts w:ascii="Verdana" w:eastAsia="Geomanist Light" w:hAnsi="Verdana" w:cs="Arial"/>
          <w:lang w:val="es-MX"/>
        </w:rPr>
      </w:pPr>
    </w:p>
    <w:p w14:paraId="7EF89A9C" w14:textId="77777777" w:rsidR="002B1E07" w:rsidRDefault="002B1E07" w:rsidP="000A7E2C">
      <w:pPr>
        <w:spacing w:after="0" w:line="240" w:lineRule="auto"/>
        <w:rPr>
          <w:rFonts w:ascii="Verdana" w:eastAsia="Geomanist Light" w:hAnsi="Verdana" w:cs="Arial"/>
          <w:lang w:val="es-MX"/>
        </w:rPr>
      </w:pPr>
    </w:p>
    <w:p w14:paraId="0F4CEB74" w14:textId="77777777" w:rsidR="002B1E07" w:rsidRDefault="002B1E07" w:rsidP="000A7E2C">
      <w:pPr>
        <w:spacing w:after="0" w:line="240" w:lineRule="auto"/>
        <w:rPr>
          <w:rFonts w:ascii="Verdana" w:eastAsia="Geomanist Light" w:hAnsi="Verdana" w:cs="Arial"/>
          <w:lang w:val="es-MX"/>
        </w:rPr>
      </w:pPr>
    </w:p>
    <w:p w14:paraId="11975A98" w14:textId="77777777" w:rsidR="002B1E07" w:rsidRDefault="002B1E07" w:rsidP="000A7E2C">
      <w:pPr>
        <w:spacing w:after="0" w:line="240" w:lineRule="auto"/>
        <w:rPr>
          <w:rFonts w:ascii="Verdana" w:eastAsia="Geomanist Light" w:hAnsi="Verdana" w:cs="Arial"/>
          <w:lang w:val="es-MX"/>
        </w:rPr>
      </w:pPr>
    </w:p>
    <w:p w14:paraId="70880226" w14:textId="77777777" w:rsidR="002B1E07" w:rsidRDefault="002B1E07" w:rsidP="000A7E2C">
      <w:pPr>
        <w:spacing w:after="0" w:line="240" w:lineRule="auto"/>
        <w:rPr>
          <w:rFonts w:ascii="Verdana" w:eastAsia="Geomanist Light" w:hAnsi="Verdana" w:cs="Arial"/>
          <w:lang w:val="es-MX"/>
        </w:rPr>
      </w:pPr>
    </w:p>
    <w:p w14:paraId="78F7A0F0" w14:textId="77777777" w:rsidR="002B1E07" w:rsidRDefault="002B1E07" w:rsidP="000A7E2C">
      <w:pPr>
        <w:spacing w:after="0" w:line="240" w:lineRule="auto"/>
        <w:rPr>
          <w:rFonts w:ascii="Verdana" w:eastAsia="Geomanist Light" w:hAnsi="Verdana" w:cs="Arial"/>
          <w:lang w:val="es-MX"/>
        </w:rPr>
      </w:pPr>
    </w:p>
    <w:p w14:paraId="6978A764" w14:textId="77777777" w:rsidR="002B1E07" w:rsidRDefault="002B1E07" w:rsidP="000A7E2C">
      <w:pPr>
        <w:spacing w:after="0" w:line="240" w:lineRule="auto"/>
        <w:rPr>
          <w:rFonts w:ascii="Verdana" w:eastAsia="Geomanist Light" w:hAnsi="Verdana" w:cs="Arial"/>
          <w:lang w:val="es-MX"/>
        </w:rPr>
      </w:pPr>
    </w:p>
    <w:p w14:paraId="135030E8" w14:textId="77777777" w:rsidR="002B1E07" w:rsidRDefault="002B1E07" w:rsidP="000A7E2C">
      <w:pPr>
        <w:spacing w:after="0" w:line="240" w:lineRule="auto"/>
        <w:rPr>
          <w:rFonts w:ascii="Verdana" w:eastAsia="Geomanist Light" w:hAnsi="Verdana" w:cs="Arial"/>
          <w:lang w:val="es-MX"/>
        </w:rPr>
      </w:pPr>
    </w:p>
    <w:p w14:paraId="35A5A192" w14:textId="77777777" w:rsidR="002B1E07" w:rsidRDefault="002B1E07" w:rsidP="000A7E2C">
      <w:pPr>
        <w:spacing w:after="0" w:line="240" w:lineRule="auto"/>
        <w:rPr>
          <w:rFonts w:ascii="Verdana" w:eastAsia="Geomanist Light" w:hAnsi="Verdana" w:cs="Arial"/>
          <w:lang w:val="es-MX"/>
        </w:rPr>
      </w:pPr>
    </w:p>
    <w:p w14:paraId="22A437AF" w14:textId="77777777" w:rsidR="002B1E07" w:rsidRDefault="002B1E07" w:rsidP="000A7E2C">
      <w:pPr>
        <w:spacing w:after="0" w:line="240" w:lineRule="auto"/>
        <w:rPr>
          <w:rFonts w:ascii="Verdana" w:eastAsia="Geomanist Light" w:hAnsi="Verdana" w:cs="Arial"/>
          <w:lang w:val="es-MX"/>
        </w:rPr>
      </w:pPr>
    </w:p>
    <w:p w14:paraId="37E26CC9" w14:textId="77777777" w:rsidR="002B1E07" w:rsidRDefault="002B1E07" w:rsidP="000A7E2C">
      <w:pPr>
        <w:spacing w:after="0" w:line="240" w:lineRule="auto"/>
        <w:rPr>
          <w:rFonts w:ascii="Verdana" w:eastAsia="Geomanist Light" w:hAnsi="Verdana" w:cs="Arial"/>
          <w:lang w:val="es-MX"/>
        </w:rPr>
      </w:pPr>
    </w:p>
    <w:p w14:paraId="7525FB3E" w14:textId="77777777" w:rsidR="002B1E07" w:rsidRDefault="002B1E07" w:rsidP="000A7E2C">
      <w:pPr>
        <w:spacing w:after="0" w:line="240" w:lineRule="auto"/>
        <w:rPr>
          <w:rFonts w:ascii="Verdana" w:eastAsia="Geomanist Light" w:hAnsi="Verdana" w:cs="Arial"/>
          <w:lang w:val="es-MX"/>
        </w:rPr>
      </w:pPr>
    </w:p>
    <w:p w14:paraId="7E882D1E" w14:textId="77777777" w:rsidR="002B1E07" w:rsidRDefault="002B1E07" w:rsidP="000A7E2C">
      <w:pPr>
        <w:spacing w:after="0" w:line="240" w:lineRule="auto"/>
        <w:rPr>
          <w:rFonts w:ascii="Verdana" w:eastAsia="Geomanist Light" w:hAnsi="Verdana" w:cs="Arial"/>
          <w:lang w:val="es-MX"/>
        </w:rPr>
      </w:pPr>
    </w:p>
    <w:p w14:paraId="7F644403" w14:textId="77777777" w:rsidR="002B1E07" w:rsidRDefault="002B1E07" w:rsidP="000A7E2C">
      <w:pPr>
        <w:spacing w:after="0" w:line="240" w:lineRule="auto"/>
        <w:rPr>
          <w:rFonts w:ascii="Verdana" w:eastAsia="Geomanist Light" w:hAnsi="Verdana" w:cs="Arial"/>
          <w:lang w:val="es-MX"/>
        </w:rPr>
      </w:pPr>
    </w:p>
    <w:p w14:paraId="3602D9AE" w14:textId="77777777" w:rsidR="002B1E07" w:rsidRDefault="002B1E07" w:rsidP="000A7E2C">
      <w:pPr>
        <w:spacing w:after="0" w:line="240" w:lineRule="auto"/>
        <w:rPr>
          <w:rFonts w:ascii="Verdana" w:eastAsia="Geomanist Light" w:hAnsi="Verdana" w:cs="Arial"/>
          <w:lang w:val="es-MX"/>
        </w:rPr>
      </w:pPr>
    </w:p>
    <w:p w14:paraId="28FD5C75" w14:textId="77777777" w:rsidR="002B1E07" w:rsidRDefault="002B1E07" w:rsidP="000A7E2C">
      <w:pPr>
        <w:spacing w:after="0" w:line="240" w:lineRule="auto"/>
        <w:rPr>
          <w:rFonts w:ascii="Verdana" w:eastAsia="Geomanist Light" w:hAnsi="Verdana" w:cs="Arial"/>
          <w:lang w:val="es-MX"/>
        </w:rPr>
      </w:pPr>
    </w:p>
    <w:p w14:paraId="53F3E0E5" w14:textId="77777777" w:rsidR="002B1E07" w:rsidRDefault="002B1E07" w:rsidP="000A7E2C">
      <w:pPr>
        <w:spacing w:after="0" w:line="240" w:lineRule="auto"/>
        <w:rPr>
          <w:rFonts w:ascii="Verdana" w:eastAsia="Geomanist Light" w:hAnsi="Verdana" w:cs="Arial"/>
          <w:lang w:val="es-MX"/>
        </w:rPr>
      </w:pPr>
    </w:p>
    <w:p w14:paraId="13E612A4" w14:textId="77777777" w:rsidR="002B1E07" w:rsidRDefault="002B1E07" w:rsidP="000A7E2C">
      <w:pPr>
        <w:spacing w:after="0" w:line="240" w:lineRule="auto"/>
        <w:rPr>
          <w:rFonts w:ascii="Verdana" w:eastAsia="Geomanist Light" w:hAnsi="Verdana" w:cs="Arial"/>
          <w:lang w:val="es-MX"/>
        </w:rPr>
      </w:pPr>
    </w:p>
    <w:p w14:paraId="68963D51" w14:textId="77777777" w:rsidR="002B1E07" w:rsidRDefault="002B1E07" w:rsidP="000A7E2C">
      <w:pPr>
        <w:spacing w:after="0" w:line="240" w:lineRule="auto"/>
        <w:rPr>
          <w:rFonts w:ascii="Verdana" w:eastAsia="Geomanist Light" w:hAnsi="Verdana" w:cs="Arial"/>
          <w:lang w:val="es-MX"/>
        </w:rPr>
      </w:pPr>
    </w:p>
    <w:p w14:paraId="3838A807" w14:textId="77777777" w:rsidR="002B1E07" w:rsidRDefault="002B1E07" w:rsidP="000A7E2C">
      <w:pPr>
        <w:spacing w:after="0" w:line="240" w:lineRule="auto"/>
        <w:rPr>
          <w:rFonts w:ascii="Verdana" w:eastAsia="Geomanist Light" w:hAnsi="Verdana" w:cs="Arial"/>
          <w:lang w:val="es-MX"/>
        </w:rPr>
      </w:pPr>
    </w:p>
    <w:p w14:paraId="680CE798" w14:textId="66BB3DA4" w:rsidR="000A7E2C" w:rsidRPr="009322DA" w:rsidRDefault="000A7E2C" w:rsidP="000A7E2C">
      <w:pPr>
        <w:spacing w:after="0" w:line="240" w:lineRule="auto"/>
        <w:rPr>
          <w:rFonts w:ascii="Verdana" w:eastAsia="Geomanist Light" w:hAnsi="Verdana" w:cs="Arial"/>
          <w:lang w:val="es-MX"/>
        </w:rPr>
      </w:pPr>
      <w:r w:rsidRPr="009322DA">
        <w:rPr>
          <w:rFonts w:ascii="Verdana" w:eastAsia="Geomanist Light" w:hAnsi="Verdana" w:cs="Arial"/>
          <w:lang w:val="es-MX"/>
        </w:rPr>
        <w:lastRenderedPageBreak/>
        <w:t>Bogotá D.C., [Día] de [</w:t>
      </w:r>
      <w:proofErr w:type="spellStart"/>
      <w:r w:rsidRPr="009322DA">
        <w:rPr>
          <w:rFonts w:ascii="Verdana" w:eastAsia="Geomanist Light" w:hAnsi="Verdana" w:cs="Arial"/>
          <w:lang w:val="es-MX"/>
        </w:rPr>
        <w:t>Mes.NombreCapitalizado</w:t>
      </w:r>
      <w:proofErr w:type="spellEnd"/>
      <w:r w:rsidRPr="009322DA">
        <w:rPr>
          <w:rFonts w:ascii="Verdana" w:eastAsia="Geomanist Light" w:hAnsi="Verdana" w:cs="Arial"/>
          <w:lang w:val="es-MX"/>
        </w:rPr>
        <w:t>] de [Año]</w:t>
      </w:r>
    </w:p>
    <w:p w14:paraId="521DAD2D" w14:textId="4EBE4952" w:rsidR="000A7E2C" w:rsidRDefault="000A7E2C" w:rsidP="000A7E2C">
      <w:pPr>
        <w:spacing w:after="0" w:line="240" w:lineRule="auto"/>
        <w:jc w:val="both"/>
        <w:rPr>
          <w:rFonts w:ascii="Verdana" w:eastAsia="Calibri" w:hAnsi="Verdana" w:cs="Arial"/>
          <w:lang w:val="es-ES"/>
        </w:rPr>
      </w:pPr>
    </w:p>
    <w:p w14:paraId="15C03346" w14:textId="750FB0DE" w:rsidR="002B1E07" w:rsidRDefault="002B1E07" w:rsidP="000A7E2C">
      <w:pPr>
        <w:spacing w:after="0" w:line="240" w:lineRule="auto"/>
        <w:jc w:val="both"/>
        <w:rPr>
          <w:rFonts w:ascii="Verdana" w:eastAsia="Calibri" w:hAnsi="Verdana" w:cs="Arial"/>
          <w:lang w:val="es-ES"/>
        </w:rPr>
      </w:pPr>
      <w:r w:rsidRPr="002B1E07">
        <w:rPr>
          <w:rFonts w:ascii="Verdana" w:eastAsia="Calibri" w:hAnsi="Verdana" w:cs="Arial"/>
          <w:lang w:val="es-ES"/>
        </w:rPr>
        <w:drawing>
          <wp:anchor distT="0" distB="0" distL="114300" distR="114300" simplePos="0" relativeHeight="251658240" behindDoc="1" locked="0" layoutInCell="1" allowOverlap="1" wp14:anchorId="572FF5E3" wp14:editId="6C31A00D">
            <wp:simplePos x="0" y="0"/>
            <wp:positionH relativeFrom="column">
              <wp:posOffset>2767965</wp:posOffset>
            </wp:positionH>
            <wp:positionV relativeFrom="paragraph">
              <wp:posOffset>8890</wp:posOffset>
            </wp:positionV>
            <wp:extent cx="3639058" cy="1009791"/>
            <wp:effectExtent l="0" t="0" r="0" b="0"/>
            <wp:wrapTight wrapText="bothSides">
              <wp:wrapPolygon edited="0">
                <wp:start x="0" y="0"/>
                <wp:lineTo x="0" y="21192"/>
                <wp:lineTo x="21487" y="21192"/>
                <wp:lineTo x="21487" y="0"/>
                <wp:lineTo x="0" y="0"/>
              </wp:wrapPolygon>
            </wp:wrapTight>
            <wp:docPr id="211679491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6794910" name=""/>
                    <pic:cNvPicPr/>
                  </pic:nvPicPr>
                  <pic:blipFill>
                    <a:blip r:embed="rId10">
                      <a:extLst>
                        <a:ext uri="{28A0092B-C50C-407E-A947-70E740481C1C}">
                          <a14:useLocalDpi xmlns:a14="http://schemas.microsoft.com/office/drawing/2010/main" val="0"/>
                        </a:ext>
                      </a:extLst>
                    </a:blip>
                    <a:stretch>
                      <a:fillRect/>
                    </a:stretch>
                  </pic:blipFill>
                  <pic:spPr>
                    <a:xfrm>
                      <a:off x="0" y="0"/>
                      <a:ext cx="3639058" cy="1009791"/>
                    </a:xfrm>
                    <a:prstGeom prst="rect">
                      <a:avLst/>
                    </a:prstGeom>
                  </pic:spPr>
                </pic:pic>
              </a:graphicData>
            </a:graphic>
          </wp:anchor>
        </w:drawing>
      </w:r>
    </w:p>
    <w:p w14:paraId="6C985670" w14:textId="77777777" w:rsidR="002B1E07" w:rsidRDefault="002B1E07" w:rsidP="000A7E2C">
      <w:pPr>
        <w:spacing w:after="0" w:line="240" w:lineRule="auto"/>
        <w:jc w:val="both"/>
        <w:rPr>
          <w:rFonts w:ascii="Verdana" w:eastAsia="Calibri" w:hAnsi="Verdana" w:cs="Arial"/>
          <w:lang w:val="es-ES"/>
        </w:rPr>
      </w:pPr>
    </w:p>
    <w:p w14:paraId="45994CD9" w14:textId="77777777" w:rsidR="002B1E07" w:rsidRDefault="002B1E07" w:rsidP="000A7E2C">
      <w:pPr>
        <w:spacing w:after="0" w:line="240" w:lineRule="auto"/>
        <w:jc w:val="both"/>
        <w:rPr>
          <w:rFonts w:ascii="Verdana" w:eastAsia="Calibri" w:hAnsi="Verdana" w:cs="Arial"/>
          <w:lang w:val="es-ES"/>
        </w:rPr>
      </w:pPr>
    </w:p>
    <w:p w14:paraId="3E13FE63" w14:textId="77777777" w:rsidR="002B1E07" w:rsidRDefault="002B1E07" w:rsidP="000A7E2C">
      <w:pPr>
        <w:spacing w:after="0" w:line="240" w:lineRule="auto"/>
        <w:jc w:val="both"/>
        <w:rPr>
          <w:rFonts w:ascii="Verdana" w:eastAsia="Calibri" w:hAnsi="Verdana" w:cs="Arial"/>
          <w:lang w:val="es-ES"/>
        </w:rPr>
      </w:pPr>
    </w:p>
    <w:p w14:paraId="5C4C2984" w14:textId="77777777" w:rsidR="000A7E2C" w:rsidRPr="009322DA" w:rsidRDefault="000A7E2C" w:rsidP="000A7E2C">
      <w:pPr>
        <w:spacing w:after="0" w:line="240" w:lineRule="auto"/>
        <w:rPr>
          <w:rFonts w:ascii="Verdana" w:eastAsia="Calibri" w:hAnsi="Verdana" w:cs="Arial"/>
          <w:lang w:val="es-MX" w:eastAsia="es-ES"/>
        </w:rPr>
      </w:pPr>
      <w:r w:rsidRPr="009322DA">
        <w:rPr>
          <w:rFonts w:ascii="Verdana" w:eastAsia="Calibri" w:hAnsi="Verdana" w:cs="Arial"/>
          <w:lang w:val="es-MX" w:eastAsia="es-ES"/>
        </w:rPr>
        <w:t>Señor</w:t>
      </w:r>
      <w:r>
        <w:rPr>
          <w:rFonts w:ascii="Verdana" w:eastAsia="Calibri" w:hAnsi="Verdana" w:cs="Arial"/>
          <w:lang w:val="es-MX" w:eastAsia="es-ES"/>
        </w:rPr>
        <w:t>a</w:t>
      </w:r>
    </w:p>
    <w:p w14:paraId="70E1890A" w14:textId="77777777" w:rsidR="000A7E2C" w:rsidRPr="009322DA" w:rsidRDefault="000A7E2C" w:rsidP="000A7E2C">
      <w:pPr>
        <w:spacing w:after="0" w:line="240" w:lineRule="auto"/>
        <w:rPr>
          <w:rFonts w:ascii="Verdana" w:eastAsia="Calibri" w:hAnsi="Verdana" w:cs="Arial"/>
          <w:b/>
          <w:bCs/>
          <w:lang w:val="es-MX" w:eastAsia="es-ES"/>
        </w:rPr>
      </w:pPr>
      <w:r>
        <w:rPr>
          <w:rFonts w:ascii="Verdana" w:eastAsia="Calibri" w:hAnsi="Verdana" w:cs="Arial"/>
          <w:b/>
          <w:bCs/>
          <w:lang w:val="es-MX" w:eastAsia="es-ES"/>
        </w:rPr>
        <w:t>Ana Mildred Vega Molano</w:t>
      </w:r>
    </w:p>
    <w:p w14:paraId="1753278A" w14:textId="77777777" w:rsidR="000A7E2C" w:rsidRPr="009322DA" w:rsidRDefault="000A7E2C" w:rsidP="000A7E2C">
      <w:pPr>
        <w:spacing w:after="0" w:line="240" w:lineRule="auto"/>
        <w:rPr>
          <w:rFonts w:ascii="Verdana" w:eastAsia="Calibri" w:hAnsi="Verdana" w:cs="Arial"/>
          <w:lang w:val="es-MX" w:eastAsia="es-ES"/>
        </w:rPr>
      </w:pPr>
      <w:hyperlink r:id="rId11" w:history="1">
        <w:r w:rsidRPr="00F20D97">
          <w:rPr>
            <w:rStyle w:val="Hipervnculo"/>
            <w:rFonts w:ascii="Verdana" w:eastAsia="Calibri" w:hAnsi="Verdana" w:cs="Arial"/>
            <w:lang w:val="es-MX" w:eastAsia="es-ES"/>
          </w:rPr>
          <w:t>amildredv@yahoo.es</w:t>
        </w:r>
      </w:hyperlink>
    </w:p>
    <w:p w14:paraId="6C20A9FA" w14:textId="77777777" w:rsidR="000A7E2C" w:rsidRPr="009322DA" w:rsidRDefault="000A7E2C" w:rsidP="000A7E2C">
      <w:pPr>
        <w:spacing w:after="0" w:line="240" w:lineRule="auto"/>
        <w:rPr>
          <w:rFonts w:ascii="Verdana" w:eastAsia="Calibri" w:hAnsi="Verdana" w:cs="Arial"/>
          <w:b/>
          <w:bCs/>
          <w:lang w:val="es-ES" w:eastAsia="es-ES"/>
        </w:rPr>
      </w:pPr>
      <w:r>
        <w:rPr>
          <w:rFonts w:ascii="Verdana" w:eastAsia="Calibri" w:hAnsi="Verdana" w:cs="Arial"/>
          <w:lang w:val="es-MX" w:eastAsia="es-ES"/>
        </w:rPr>
        <w:t>Villavicencio, Meta</w:t>
      </w:r>
    </w:p>
    <w:p w14:paraId="3C25DBA6" w14:textId="77777777" w:rsidR="000A7E2C" w:rsidRPr="009322DA" w:rsidRDefault="000A7E2C" w:rsidP="000A7E2C">
      <w:pPr>
        <w:spacing w:after="0" w:line="240" w:lineRule="auto"/>
        <w:rPr>
          <w:rFonts w:ascii="Verdana" w:eastAsia="Calibri" w:hAnsi="Verdana" w:cs="Arial"/>
          <w:b/>
          <w:bCs/>
          <w:lang w:val="es-ES_tradnl" w:eastAsia="es-ES_tradnl"/>
        </w:rPr>
      </w:pPr>
    </w:p>
    <w:p w14:paraId="136844A7" w14:textId="77777777" w:rsidR="000A7E2C" w:rsidRPr="009322DA" w:rsidRDefault="000A7E2C" w:rsidP="000A7E2C">
      <w:pPr>
        <w:spacing w:after="0" w:line="240" w:lineRule="auto"/>
        <w:rPr>
          <w:rFonts w:ascii="Verdana" w:eastAsia="Calibri" w:hAnsi="Verdana" w:cs="Arial"/>
          <w:b/>
          <w:bCs/>
          <w:lang w:val="es-ES_tradnl" w:eastAsia="es-ES_tradnl"/>
        </w:rPr>
      </w:pPr>
    </w:p>
    <w:tbl>
      <w:tblPr>
        <w:tblStyle w:val="Tablaconcuadrcula1"/>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0A7E2C" w:rsidRPr="009322DA" w14:paraId="6FF7C527" w14:textId="77777777" w:rsidTr="001449F3">
        <w:trPr>
          <w:trHeight w:val="884"/>
        </w:trPr>
        <w:tc>
          <w:tcPr>
            <w:tcW w:w="2689" w:type="dxa"/>
          </w:tcPr>
          <w:p w14:paraId="221E69E0" w14:textId="77777777" w:rsidR="000A7E2C" w:rsidRPr="009322DA" w:rsidRDefault="000A7E2C" w:rsidP="001449F3">
            <w:pPr>
              <w:jc w:val="both"/>
              <w:rPr>
                <w:rFonts w:ascii="Verdana" w:hAnsi="Verdana" w:cs="Arial"/>
                <w:b/>
                <w:bCs/>
                <w:lang w:val="es-ES_tradnl" w:eastAsia="es-ES_tradnl"/>
              </w:rPr>
            </w:pPr>
          </w:p>
        </w:tc>
        <w:tc>
          <w:tcPr>
            <w:tcW w:w="6100" w:type="dxa"/>
            <w:hideMark/>
          </w:tcPr>
          <w:p w14:paraId="03D07A7D" w14:textId="77777777" w:rsidR="000A7E2C" w:rsidRPr="009322DA" w:rsidRDefault="000A7E2C" w:rsidP="001449F3">
            <w:pPr>
              <w:jc w:val="both"/>
              <w:rPr>
                <w:rFonts w:ascii="Verdana" w:hAnsi="Verdana" w:cs="Arial"/>
                <w:b/>
                <w:bCs/>
                <w:lang w:val="es-ES" w:eastAsia="es-ES"/>
              </w:rPr>
            </w:pPr>
            <w:r w:rsidRPr="009322DA">
              <w:rPr>
                <w:rFonts w:ascii="Verdana" w:hAnsi="Verdana" w:cs="Arial"/>
                <w:b/>
                <w:bCs/>
                <w:lang w:val="es-ES" w:eastAsia="es-ES"/>
              </w:rPr>
              <w:t xml:space="preserve">Concepto C- </w:t>
            </w:r>
            <w:r>
              <w:rPr>
                <w:rFonts w:ascii="Verdana" w:hAnsi="Verdana" w:cs="Arial"/>
                <w:b/>
                <w:bCs/>
                <w:lang w:val="es-ES" w:eastAsia="es-ES"/>
              </w:rPr>
              <w:t>514</w:t>
            </w:r>
            <w:r w:rsidRPr="009322DA">
              <w:rPr>
                <w:rFonts w:ascii="Verdana" w:hAnsi="Verdana" w:cs="Arial"/>
                <w:b/>
                <w:bCs/>
                <w:lang w:val="es-ES" w:eastAsia="es-ES"/>
              </w:rPr>
              <w:t xml:space="preserve"> de 2024</w:t>
            </w:r>
          </w:p>
        </w:tc>
      </w:tr>
      <w:tr w:rsidR="000A7E2C" w:rsidRPr="009322DA" w14:paraId="6FCF1376" w14:textId="77777777" w:rsidTr="001449F3">
        <w:trPr>
          <w:trHeight w:val="884"/>
        </w:trPr>
        <w:tc>
          <w:tcPr>
            <w:tcW w:w="2689" w:type="dxa"/>
            <w:hideMark/>
          </w:tcPr>
          <w:p w14:paraId="0F536EC5" w14:textId="77777777" w:rsidR="000A7E2C" w:rsidRPr="009322DA" w:rsidRDefault="000A7E2C" w:rsidP="001449F3">
            <w:pPr>
              <w:jc w:val="both"/>
              <w:rPr>
                <w:rFonts w:ascii="Verdana" w:hAnsi="Verdana" w:cs="Arial"/>
                <w:lang w:val="es-ES_tradnl" w:eastAsia="es-ES_tradnl"/>
              </w:rPr>
            </w:pPr>
            <w:r w:rsidRPr="009322DA">
              <w:rPr>
                <w:rFonts w:ascii="Verdana" w:hAnsi="Verdana" w:cs="Arial"/>
                <w:b/>
                <w:lang w:val="es-ES_tradnl" w:eastAsia="es-ES_tradnl"/>
              </w:rPr>
              <w:t>Temas:</w:t>
            </w:r>
            <w:r w:rsidRPr="009322DA">
              <w:rPr>
                <w:rFonts w:ascii="Verdana" w:hAnsi="Verdana" w:cs="Arial"/>
                <w:lang w:val="es-ES_tradnl" w:eastAsia="es-ES_tradnl"/>
              </w:rPr>
              <w:t xml:space="preserve">                   </w:t>
            </w:r>
          </w:p>
        </w:tc>
        <w:tc>
          <w:tcPr>
            <w:tcW w:w="6100" w:type="dxa"/>
          </w:tcPr>
          <w:p w14:paraId="0ECD29F3" w14:textId="77777777" w:rsidR="000A7E2C" w:rsidRPr="00EB3000" w:rsidRDefault="000A7E2C" w:rsidP="001449F3">
            <w:pPr>
              <w:jc w:val="both"/>
              <w:rPr>
                <w:rFonts w:ascii="Verdana" w:hAnsi="Verdana" w:cs="Arial"/>
                <w:lang w:val="es-ES_tradnl" w:eastAsia="es-ES"/>
              </w:rPr>
            </w:pPr>
            <w:r w:rsidRPr="00772836">
              <w:rPr>
                <w:rFonts w:ascii="Verdana" w:eastAsia="Calibri" w:hAnsi="Verdana" w:cs="Arial"/>
                <w:bCs/>
                <w:lang w:eastAsia="es-ES"/>
              </w:rPr>
              <w:t>DÍAS HÁBILES – Concepto – Cómputo de términos / DÍAS HÁBILES – Cómputo – Regla interpretativa</w:t>
            </w:r>
            <w:r w:rsidRPr="00772836">
              <w:rPr>
                <w:rFonts w:ascii="Verdana" w:eastAsia="Calibri" w:hAnsi="Verdana" w:cs="Arial"/>
                <w:lang w:val="es-ES_tradnl" w:eastAsia="es-ES"/>
              </w:rPr>
              <w:t xml:space="preserve"> </w:t>
            </w:r>
          </w:p>
        </w:tc>
      </w:tr>
      <w:tr w:rsidR="000A7E2C" w:rsidRPr="009322DA" w14:paraId="6FEECE88" w14:textId="77777777" w:rsidTr="001449F3">
        <w:tc>
          <w:tcPr>
            <w:tcW w:w="2689" w:type="dxa"/>
            <w:hideMark/>
          </w:tcPr>
          <w:p w14:paraId="762A7AF1" w14:textId="77777777" w:rsidR="000A7E2C" w:rsidRPr="009322DA" w:rsidRDefault="000A7E2C" w:rsidP="001449F3">
            <w:pPr>
              <w:jc w:val="both"/>
              <w:rPr>
                <w:rFonts w:ascii="Verdana" w:hAnsi="Verdana" w:cs="Arial"/>
                <w:b/>
                <w:lang w:val="es-ES_tradnl" w:eastAsia="es-ES_tradnl"/>
              </w:rPr>
            </w:pPr>
            <w:r w:rsidRPr="009322DA">
              <w:rPr>
                <w:rFonts w:ascii="Verdana" w:hAnsi="Verdana" w:cs="Arial"/>
                <w:b/>
                <w:lang w:val="es-ES_tradnl" w:eastAsia="es-ES_tradnl"/>
              </w:rPr>
              <w:t>Radicación:</w:t>
            </w:r>
            <w:r w:rsidRPr="009322DA">
              <w:rPr>
                <w:rFonts w:ascii="Verdana" w:hAnsi="Verdana" w:cs="Arial"/>
                <w:lang w:val="es-ES_tradnl" w:eastAsia="es-ES_tradnl"/>
              </w:rPr>
              <w:t xml:space="preserve">               </w:t>
            </w:r>
          </w:p>
        </w:tc>
        <w:tc>
          <w:tcPr>
            <w:tcW w:w="6100" w:type="dxa"/>
          </w:tcPr>
          <w:p w14:paraId="56BB711A" w14:textId="77777777" w:rsidR="000A7E2C" w:rsidRPr="009322DA" w:rsidRDefault="000A7E2C" w:rsidP="001449F3">
            <w:pPr>
              <w:jc w:val="both"/>
              <w:rPr>
                <w:rFonts w:ascii="Verdana" w:hAnsi="Verdana" w:cs="Arial"/>
                <w:lang w:val="es-ES_tradnl" w:eastAsia="es-ES_tradnl"/>
              </w:rPr>
            </w:pPr>
            <w:r w:rsidRPr="009322DA">
              <w:rPr>
                <w:rFonts w:ascii="Verdana" w:hAnsi="Verdana" w:cs="Arial"/>
                <w:lang w:val="es-ES_tradnl" w:eastAsia="es-ES_tradnl"/>
              </w:rPr>
              <w:t xml:space="preserve">Respuesta a consulta con radicado No. </w:t>
            </w:r>
            <w:r w:rsidRPr="00BF5889">
              <w:rPr>
                <w:rFonts w:ascii="Verdana" w:hAnsi="Verdana"/>
                <w:lang w:eastAsia="es-ES_tradnl"/>
              </w:rPr>
              <w:t>P20240</w:t>
            </w:r>
            <w:r>
              <w:rPr>
                <w:rFonts w:ascii="Verdana" w:hAnsi="Verdana"/>
                <w:lang w:eastAsia="es-ES_tradnl"/>
              </w:rPr>
              <w:t>826008647</w:t>
            </w:r>
          </w:p>
        </w:tc>
      </w:tr>
    </w:tbl>
    <w:p w14:paraId="37761A50" w14:textId="77777777" w:rsidR="000A7E2C" w:rsidRPr="009322DA" w:rsidRDefault="000A7E2C" w:rsidP="000A7E2C">
      <w:pPr>
        <w:spacing w:after="0" w:line="240" w:lineRule="auto"/>
        <w:jc w:val="both"/>
        <w:rPr>
          <w:rFonts w:ascii="Verdana" w:eastAsia="Calibri" w:hAnsi="Verdana" w:cs="Arial"/>
          <w:lang w:val="es-ES_tradnl" w:eastAsia="es-ES_tradnl"/>
        </w:rPr>
      </w:pPr>
    </w:p>
    <w:p w14:paraId="48DC3FE9" w14:textId="77777777" w:rsidR="000A7E2C" w:rsidRPr="009322DA" w:rsidRDefault="000A7E2C" w:rsidP="000A7E2C">
      <w:pPr>
        <w:spacing w:after="0" w:line="240" w:lineRule="auto"/>
        <w:jc w:val="both"/>
        <w:rPr>
          <w:rFonts w:ascii="Verdana" w:eastAsia="Calibri" w:hAnsi="Verdana" w:cs="Arial"/>
          <w:lang w:val="es-ES_tradnl" w:eastAsia="es-ES_tradnl"/>
        </w:rPr>
      </w:pPr>
    </w:p>
    <w:p w14:paraId="448CA71C" w14:textId="77777777" w:rsidR="000A7E2C" w:rsidRPr="009322DA" w:rsidRDefault="000A7E2C" w:rsidP="000A7E2C">
      <w:pPr>
        <w:spacing w:after="0" w:line="276" w:lineRule="auto"/>
        <w:jc w:val="both"/>
        <w:rPr>
          <w:rFonts w:ascii="Verdana" w:eastAsia="Calibri" w:hAnsi="Verdana" w:cs="Arial"/>
          <w:lang w:val="es-ES" w:eastAsia="es-ES"/>
        </w:rPr>
      </w:pPr>
      <w:r w:rsidRPr="009322DA">
        <w:rPr>
          <w:rFonts w:ascii="Verdana" w:eastAsia="Calibri" w:hAnsi="Verdana" w:cs="Arial"/>
          <w:lang w:val="es-ES" w:eastAsia="es-ES"/>
        </w:rPr>
        <w:t>Estimad</w:t>
      </w:r>
      <w:r>
        <w:rPr>
          <w:rFonts w:ascii="Verdana" w:eastAsia="Calibri" w:hAnsi="Verdana" w:cs="Arial"/>
          <w:lang w:val="es-ES" w:eastAsia="es-ES"/>
        </w:rPr>
        <w:t>a</w:t>
      </w:r>
      <w:r w:rsidRPr="009322DA">
        <w:rPr>
          <w:rFonts w:ascii="Verdana" w:eastAsia="Calibri" w:hAnsi="Verdana" w:cs="Arial"/>
          <w:lang w:val="es-ES" w:eastAsia="es-ES"/>
        </w:rPr>
        <w:t xml:space="preserve"> señor</w:t>
      </w:r>
      <w:r>
        <w:rPr>
          <w:rFonts w:ascii="Verdana" w:eastAsia="Calibri" w:hAnsi="Verdana" w:cs="Arial"/>
          <w:lang w:val="es-ES" w:eastAsia="es-ES"/>
        </w:rPr>
        <w:t>a Vega</w:t>
      </w:r>
      <w:r w:rsidRPr="009322DA">
        <w:rPr>
          <w:rFonts w:ascii="Verdana" w:eastAsia="Calibri" w:hAnsi="Verdana" w:cs="Arial"/>
          <w:lang w:val="es-ES" w:eastAsia="es-ES"/>
        </w:rPr>
        <w:t xml:space="preserve">: </w:t>
      </w:r>
    </w:p>
    <w:p w14:paraId="62F3B25D" w14:textId="77777777" w:rsidR="000A7E2C" w:rsidRPr="009322DA" w:rsidRDefault="000A7E2C" w:rsidP="000A7E2C">
      <w:pPr>
        <w:tabs>
          <w:tab w:val="left" w:pos="3768"/>
        </w:tabs>
        <w:spacing w:after="0" w:line="276" w:lineRule="auto"/>
        <w:jc w:val="both"/>
        <w:rPr>
          <w:rFonts w:ascii="Verdana" w:eastAsia="Calibri" w:hAnsi="Verdana" w:cs="Arial"/>
          <w:lang w:val="es-ES" w:eastAsia="es-ES"/>
        </w:rPr>
      </w:pPr>
      <w:r w:rsidRPr="009322DA">
        <w:rPr>
          <w:rFonts w:ascii="Verdana" w:eastAsia="Calibri" w:hAnsi="Verdana" w:cs="Arial"/>
          <w:lang w:val="es-ES" w:eastAsia="es-ES"/>
        </w:rPr>
        <w:tab/>
      </w:r>
    </w:p>
    <w:p w14:paraId="3A0E87C8" w14:textId="77777777" w:rsidR="000A7E2C" w:rsidRPr="009322DA" w:rsidRDefault="000A7E2C" w:rsidP="000A7E2C">
      <w:pPr>
        <w:spacing w:after="0" w:line="276" w:lineRule="auto"/>
        <w:jc w:val="both"/>
        <w:rPr>
          <w:rFonts w:ascii="Verdana" w:eastAsia="Calibri" w:hAnsi="Verdana" w:cs="Arial"/>
          <w:lang w:val="es-ES" w:eastAsia="es-ES"/>
        </w:rPr>
      </w:pPr>
      <w:r w:rsidRPr="009322DA">
        <w:rPr>
          <w:rFonts w:ascii="Verdana" w:eastAsia="Calibri" w:hAnsi="Verdana" w:cs="Arial"/>
          <w:lang w:val="es-ES" w:eastAsia="es-ES"/>
        </w:rPr>
        <w:t>En ejercicio de la competencia otorgada por los artículos 3, numeral 5º, y 11, numeral 8º, del Decreto Ley 4170 de 2011,</w:t>
      </w:r>
      <w:r w:rsidRPr="009322DA">
        <w:rPr>
          <w:rFonts w:ascii="Verdana" w:eastAsia="Arial MT" w:hAnsi="Verdana" w:cs="Arial MT"/>
          <w:lang w:val="es-ES" w:eastAsia="es-ES"/>
        </w:rPr>
        <w:t xml:space="preserve"> </w:t>
      </w:r>
      <w:r w:rsidRPr="009322DA">
        <w:rPr>
          <w:rFonts w:ascii="Verdana" w:eastAsia="Calibri" w:hAnsi="Verdana" w:cs="Arial"/>
        </w:rPr>
        <w:t xml:space="preserve">así como lo establecido en el artículo 4 de la Resolución 1707 de 2018 expedida por esta Entidad, </w:t>
      </w:r>
      <w:r w:rsidRPr="009322DA">
        <w:rPr>
          <w:rFonts w:ascii="Verdana" w:eastAsia="Calibri" w:hAnsi="Verdana" w:cs="Arial"/>
          <w:lang w:val="es-ES" w:eastAsia="es-ES"/>
        </w:rPr>
        <w:t xml:space="preserve">la Agencia Nacional de Contratación Pública – Colombia Compra Eficiente– responde su solicitud de consulta de fecha </w:t>
      </w:r>
      <w:r>
        <w:rPr>
          <w:rFonts w:ascii="Verdana" w:eastAsia="Calibri" w:hAnsi="Verdana" w:cs="Arial"/>
          <w:lang w:val="es-ES" w:eastAsia="es-ES"/>
        </w:rPr>
        <w:t>26</w:t>
      </w:r>
      <w:r w:rsidRPr="009322DA">
        <w:rPr>
          <w:rFonts w:ascii="Verdana" w:eastAsia="Calibri" w:hAnsi="Verdana" w:cs="Arial"/>
          <w:lang w:val="es-ES" w:eastAsia="es-ES"/>
        </w:rPr>
        <w:t xml:space="preserve"> de </w:t>
      </w:r>
      <w:r>
        <w:rPr>
          <w:rFonts w:ascii="Verdana" w:eastAsia="Calibri" w:hAnsi="Verdana" w:cs="Arial"/>
          <w:lang w:val="es-ES" w:eastAsia="es-ES"/>
        </w:rPr>
        <w:t>agost</w:t>
      </w:r>
      <w:r w:rsidRPr="009322DA">
        <w:rPr>
          <w:rFonts w:ascii="Verdana" w:eastAsia="Calibri" w:hAnsi="Verdana" w:cs="Arial"/>
          <w:lang w:val="es-ES" w:eastAsia="es-ES"/>
        </w:rPr>
        <w:t xml:space="preserve">o de 2024, en la cual manifiesta lo siguiente: </w:t>
      </w:r>
    </w:p>
    <w:p w14:paraId="5A7BD002" w14:textId="77777777" w:rsidR="000A7E2C" w:rsidRPr="009322DA" w:rsidRDefault="000A7E2C" w:rsidP="000A7E2C">
      <w:pPr>
        <w:spacing w:after="0" w:line="240" w:lineRule="auto"/>
        <w:ind w:left="709" w:right="709"/>
        <w:jc w:val="both"/>
        <w:rPr>
          <w:rFonts w:ascii="Verdana" w:eastAsia="Century Gothic" w:hAnsi="Verdana" w:cs="Century Gothic"/>
          <w:sz w:val="20"/>
          <w:szCs w:val="20"/>
          <w:lang w:val="es-ES"/>
        </w:rPr>
      </w:pPr>
      <w:bookmarkStart w:id="0" w:name="_Hlk95313578"/>
    </w:p>
    <w:p w14:paraId="5AE7BA16" w14:textId="77777777" w:rsidR="000A7E2C" w:rsidRDefault="000A7E2C" w:rsidP="000A7E2C">
      <w:pPr>
        <w:spacing w:line="240" w:lineRule="auto"/>
        <w:ind w:left="709" w:right="709"/>
        <w:jc w:val="both"/>
        <w:rPr>
          <w:rFonts w:ascii="Verdana" w:eastAsia="Century Gothic" w:hAnsi="Verdana" w:cs="Century Gothic"/>
          <w:i/>
          <w:iCs/>
          <w:sz w:val="20"/>
          <w:szCs w:val="20"/>
        </w:rPr>
      </w:pPr>
      <w:r w:rsidRPr="00772836">
        <w:rPr>
          <w:rFonts w:ascii="Verdana" w:eastAsia="Century Gothic" w:hAnsi="Verdana" w:cs="Century Gothic"/>
          <w:i/>
          <w:iCs/>
          <w:sz w:val="20"/>
          <w:szCs w:val="20"/>
          <w:lang w:val="es-ES"/>
        </w:rPr>
        <w:t>“</w:t>
      </w:r>
      <w:r w:rsidRPr="00772836">
        <w:rPr>
          <w:rFonts w:ascii="Verdana" w:eastAsia="Century Gothic" w:hAnsi="Verdana" w:cs="Century Gothic"/>
          <w:i/>
          <w:iCs/>
          <w:sz w:val="20"/>
          <w:szCs w:val="20"/>
        </w:rPr>
        <w:t xml:space="preserve">Se hace consulta a fin saber si existe alguna restricción normativa sobre la gestión contractual, de los siguientes interrogantes: </w:t>
      </w:r>
    </w:p>
    <w:p w14:paraId="06DAC446" w14:textId="77777777" w:rsidR="000A7E2C" w:rsidRDefault="000A7E2C" w:rsidP="000A7E2C">
      <w:pPr>
        <w:spacing w:line="240" w:lineRule="auto"/>
        <w:ind w:left="709" w:right="709"/>
        <w:jc w:val="both"/>
        <w:rPr>
          <w:rFonts w:ascii="Verdana" w:eastAsia="Century Gothic" w:hAnsi="Verdana" w:cs="Century Gothic"/>
          <w:i/>
          <w:iCs/>
          <w:sz w:val="20"/>
          <w:szCs w:val="20"/>
        </w:rPr>
      </w:pPr>
      <w:r w:rsidRPr="00772836">
        <w:rPr>
          <w:rFonts w:ascii="Verdana" w:eastAsia="Century Gothic" w:hAnsi="Verdana" w:cs="Century Gothic"/>
          <w:i/>
          <w:iCs/>
          <w:sz w:val="20"/>
          <w:szCs w:val="20"/>
        </w:rPr>
        <w:t>1. ¿Puede una Entidad Pública adelantar tramites de tipo contractual como publicar pliegos o modificar cronogramas de procesos contractuales en días no hábiles o no laborables como sábados y domingos?</w:t>
      </w:r>
    </w:p>
    <w:p w14:paraId="11A86296" w14:textId="77777777" w:rsidR="000A7E2C" w:rsidRDefault="000A7E2C" w:rsidP="000A7E2C">
      <w:pPr>
        <w:spacing w:line="240" w:lineRule="auto"/>
        <w:ind w:left="709" w:right="709"/>
        <w:jc w:val="both"/>
        <w:rPr>
          <w:rFonts w:ascii="Verdana" w:eastAsia="Calibri" w:hAnsi="Verdana" w:cs="Arial"/>
          <w:i/>
          <w:iCs/>
          <w:sz w:val="20"/>
          <w:szCs w:val="20"/>
          <w:shd w:val="clear" w:color="auto" w:fill="FFFFFF"/>
        </w:rPr>
      </w:pPr>
      <w:r w:rsidRPr="00772836">
        <w:rPr>
          <w:rFonts w:ascii="Verdana" w:eastAsia="Century Gothic" w:hAnsi="Verdana" w:cs="Century Gothic"/>
          <w:i/>
          <w:iCs/>
          <w:sz w:val="20"/>
          <w:szCs w:val="20"/>
        </w:rPr>
        <w:t>2. ¿Puede una Entidad Pública declarar mediante acto administrativo como hábiles los sábados y domingos o festivos para efectos administrativos y contractuales y así poder publicar pliegos o modificar cronogramas de procesos contractuales en dichos días</w:t>
      </w:r>
      <w:r w:rsidRPr="00772836">
        <w:rPr>
          <w:rFonts w:ascii="Verdana" w:eastAsia="Calibri" w:hAnsi="Verdana" w:cs="Arial"/>
          <w:i/>
          <w:iCs/>
          <w:sz w:val="20"/>
          <w:szCs w:val="20"/>
          <w:shd w:val="clear" w:color="auto" w:fill="FFFFFF"/>
        </w:rPr>
        <w:t>?</w:t>
      </w:r>
      <w:r w:rsidRPr="00772836">
        <w:rPr>
          <w:rFonts w:ascii="Verdana" w:eastAsia="Century Gothic" w:hAnsi="Verdana" w:cs="Century Gothic"/>
          <w:i/>
          <w:iCs/>
          <w:sz w:val="20"/>
          <w:szCs w:val="20"/>
          <w:lang w:val="es-ES"/>
        </w:rPr>
        <w:t>”</w:t>
      </w:r>
      <w:bookmarkEnd w:id="0"/>
      <w:r w:rsidRPr="00772836">
        <w:rPr>
          <w:rFonts w:ascii="Verdana" w:eastAsia="Century Gothic" w:hAnsi="Verdana" w:cs="Century Gothic"/>
          <w:i/>
          <w:iCs/>
          <w:sz w:val="20"/>
          <w:szCs w:val="20"/>
          <w:lang w:val="es-ES"/>
        </w:rPr>
        <w:t>.</w:t>
      </w:r>
    </w:p>
    <w:p w14:paraId="03DACDF7" w14:textId="77777777" w:rsidR="000A7E2C" w:rsidRPr="00D6203F" w:rsidRDefault="000A7E2C" w:rsidP="000A7E2C">
      <w:pPr>
        <w:spacing w:line="240" w:lineRule="auto"/>
        <w:ind w:left="709" w:right="709"/>
        <w:jc w:val="both"/>
        <w:rPr>
          <w:rFonts w:ascii="Verdana" w:eastAsia="Calibri" w:hAnsi="Verdana" w:cs="Arial"/>
          <w:i/>
          <w:iCs/>
          <w:sz w:val="20"/>
          <w:szCs w:val="20"/>
          <w:shd w:val="clear" w:color="auto" w:fill="FFFFFF"/>
        </w:rPr>
      </w:pPr>
    </w:p>
    <w:p w14:paraId="7C1C3C6B" w14:textId="77777777" w:rsidR="000A7E2C" w:rsidRPr="009322DA" w:rsidRDefault="000A7E2C" w:rsidP="000A7E2C">
      <w:pPr>
        <w:spacing w:after="120" w:line="276" w:lineRule="auto"/>
        <w:ind w:firstLine="709"/>
        <w:jc w:val="both"/>
        <w:rPr>
          <w:rFonts w:ascii="Verdana" w:eastAsia="Calibri" w:hAnsi="Verdana" w:cs="Arial"/>
          <w:szCs w:val="24"/>
          <w:lang w:val="es-ES_tradnl" w:eastAsia="es-ES_tradnl"/>
        </w:rPr>
      </w:pPr>
      <w:r w:rsidRPr="009322DA">
        <w:rPr>
          <w:rFonts w:ascii="Verdana" w:eastAsia="Calibri" w:hAnsi="Verdana" w:cs="Arial"/>
          <w:lang w:val="es-ES" w:eastAsia="es-ES"/>
        </w:rPr>
        <w:lastRenderedPageBreak/>
        <w:t xml:space="preserve">De manera preliminar, resulta necesario resaltar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9322DA">
        <w:rPr>
          <w:rFonts w:ascii="Verdana" w:eastAsia="Calibri" w:hAnsi="Verdana" w:cs="Arial"/>
          <w:szCs w:val="24"/>
          <w:lang w:val="es-ES_tradnl" w:eastAsia="es-ES_tradnl"/>
        </w:rPr>
        <w:tab/>
      </w:r>
    </w:p>
    <w:p w14:paraId="6246BDD8" w14:textId="77777777" w:rsidR="000A7E2C" w:rsidRPr="009322DA" w:rsidRDefault="000A7E2C" w:rsidP="000A7E2C">
      <w:pPr>
        <w:spacing w:after="0" w:line="276" w:lineRule="auto"/>
        <w:ind w:firstLine="708"/>
        <w:jc w:val="both"/>
        <w:rPr>
          <w:rFonts w:ascii="Verdana" w:eastAsia="Calibri" w:hAnsi="Verdana" w:cs="Arial"/>
          <w:lang w:val="es-ES" w:eastAsia="es-ES"/>
        </w:rPr>
      </w:pPr>
      <w:r w:rsidRPr="009322DA">
        <w:rPr>
          <w:rFonts w:ascii="Verdana" w:eastAsia="Calibri" w:hAnsi="Verdana" w:cs="Arial"/>
          <w:lang w:val="es-ES" w:eastAsia="es-ES"/>
        </w:rPr>
        <w:t xml:space="preserve">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el problema jurídico de su consulta. </w:t>
      </w:r>
    </w:p>
    <w:p w14:paraId="4EEDF3BD" w14:textId="77777777" w:rsidR="000A7E2C" w:rsidRPr="009322DA" w:rsidRDefault="000A7E2C" w:rsidP="000A7E2C">
      <w:pPr>
        <w:spacing w:after="0" w:line="276" w:lineRule="auto"/>
        <w:ind w:firstLine="709"/>
        <w:jc w:val="both"/>
        <w:rPr>
          <w:rFonts w:ascii="Verdana" w:eastAsia="Calibri" w:hAnsi="Verdana" w:cs="Arial"/>
          <w:lang w:val="es-ES" w:eastAsia="es-ES"/>
        </w:rPr>
      </w:pPr>
    </w:p>
    <w:p w14:paraId="19AC858F" w14:textId="77777777" w:rsidR="000A7E2C" w:rsidRPr="009322DA" w:rsidRDefault="000A7E2C" w:rsidP="000A7E2C">
      <w:pPr>
        <w:numPr>
          <w:ilvl w:val="0"/>
          <w:numId w:val="16"/>
        </w:numPr>
        <w:tabs>
          <w:tab w:val="left" w:pos="142"/>
          <w:tab w:val="left" w:pos="284"/>
        </w:tabs>
        <w:spacing w:after="0" w:line="276" w:lineRule="auto"/>
        <w:ind w:left="0" w:firstLine="0"/>
        <w:contextualSpacing/>
        <w:jc w:val="both"/>
        <w:rPr>
          <w:rFonts w:ascii="Verdana" w:eastAsia="Century Gothic" w:hAnsi="Verdana" w:cs="Century Gothic"/>
          <w:b/>
          <w:bCs/>
          <w:lang w:val="es-ES"/>
        </w:rPr>
      </w:pPr>
      <w:r w:rsidRPr="009322DA">
        <w:rPr>
          <w:rFonts w:ascii="Verdana" w:eastAsia="Century Gothic" w:hAnsi="Verdana" w:cs="Century Gothic"/>
          <w:b/>
          <w:bCs/>
          <w:lang w:val="es-ES"/>
        </w:rPr>
        <w:t>Problema planteado:</w:t>
      </w:r>
    </w:p>
    <w:p w14:paraId="0A8C8802" w14:textId="77777777" w:rsidR="000A7E2C" w:rsidRPr="009322DA" w:rsidRDefault="000A7E2C" w:rsidP="000A7E2C">
      <w:pPr>
        <w:tabs>
          <w:tab w:val="left" w:pos="426"/>
        </w:tabs>
        <w:spacing w:after="0" w:line="276" w:lineRule="auto"/>
        <w:jc w:val="both"/>
        <w:rPr>
          <w:rFonts w:ascii="Verdana" w:eastAsia="Century Gothic" w:hAnsi="Verdana" w:cs="Century Gothic"/>
          <w:lang w:val="es-ES"/>
        </w:rPr>
      </w:pPr>
    </w:p>
    <w:p w14:paraId="4C4A6C06" w14:textId="2CFD79CE" w:rsidR="000A7E2C" w:rsidRDefault="000A7E2C" w:rsidP="000A7E2C">
      <w:pPr>
        <w:spacing w:after="0" w:line="276" w:lineRule="auto"/>
        <w:jc w:val="both"/>
        <w:rPr>
          <w:rFonts w:ascii="Verdana" w:eastAsia="Century Gothic" w:hAnsi="Verdana" w:cs="Century Gothic"/>
        </w:rPr>
      </w:pPr>
      <w:r w:rsidRPr="009322DA">
        <w:rPr>
          <w:rFonts w:ascii="Verdana" w:eastAsia="Century Gothic" w:hAnsi="Verdana" w:cs="Century Gothic"/>
        </w:rPr>
        <w:t xml:space="preserve">De acuerdo con el contenido de su solicitud, esta Agencia resolverá </w:t>
      </w:r>
      <w:r w:rsidR="00E1674A">
        <w:rPr>
          <w:rFonts w:ascii="Verdana" w:eastAsia="Century Gothic" w:hAnsi="Verdana" w:cs="Century Gothic"/>
        </w:rPr>
        <w:t>el</w:t>
      </w:r>
      <w:r w:rsidRPr="009322DA">
        <w:rPr>
          <w:rFonts w:ascii="Verdana" w:eastAsia="Century Gothic" w:hAnsi="Verdana" w:cs="Century Gothic"/>
        </w:rPr>
        <w:t xml:space="preserve"> siguiente problema jurídico:</w:t>
      </w:r>
      <w:r>
        <w:rPr>
          <w:rFonts w:ascii="Verdana" w:eastAsia="Century Gothic" w:hAnsi="Verdana" w:cs="Century Gothic"/>
        </w:rPr>
        <w:t xml:space="preserve"> </w:t>
      </w:r>
    </w:p>
    <w:p w14:paraId="5E1EFDF7" w14:textId="77777777" w:rsidR="000A7E2C" w:rsidRDefault="000A7E2C" w:rsidP="000A7E2C">
      <w:pPr>
        <w:spacing w:after="0" w:line="276" w:lineRule="auto"/>
        <w:jc w:val="both"/>
        <w:rPr>
          <w:rFonts w:ascii="Verdana" w:eastAsia="Century Gothic" w:hAnsi="Verdana" w:cs="Century Gothic"/>
        </w:rPr>
      </w:pPr>
    </w:p>
    <w:p w14:paraId="401BEB5F" w14:textId="23F1B563" w:rsidR="000A7E2C" w:rsidRPr="00727DBF" w:rsidRDefault="00E1674A" w:rsidP="00727DBF">
      <w:pPr>
        <w:spacing w:after="0" w:line="276" w:lineRule="auto"/>
        <w:jc w:val="both"/>
        <w:rPr>
          <w:rFonts w:ascii="Verdana" w:eastAsia="Century Gothic" w:hAnsi="Verdana" w:cs="Century Gothic"/>
        </w:rPr>
      </w:pPr>
      <w:r>
        <w:rPr>
          <w:rFonts w:ascii="Verdana" w:eastAsia="Century Gothic" w:hAnsi="Verdana" w:cs="Century Gothic"/>
        </w:rPr>
        <w:t xml:space="preserve">i) </w:t>
      </w:r>
      <w:r w:rsidR="000A7E2C" w:rsidRPr="00727DBF">
        <w:rPr>
          <w:rFonts w:ascii="Verdana" w:eastAsia="Century Gothic" w:hAnsi="Verdana" w:cs="Century Gothic"/>
        </w:rPr>
        <w:t xml:space="preserve">¿Puede una entidad estatal adelantar procesos contractuales durante días no hábiles </w:t>
      </w:r>
      <w:r w:rsidR="00507A2E">
        <w:rPr>
          <w:rFonts w:ascii="Verdana" w:eastAsia="Century Gothic" w:hAnsi="Verdana" w:cs="Century Gothic"/>
        </w:rPr>
        <w:t>y</w:t>
      </w:r>
      <w:r w:rsidR="000A7E2C" w:rsidRPr="00727DBF">
        <w:rPr>
          <w:rFonts w:ascii="Verdana" w:eastAsia="Century Gothic" w:hAnsi="Verdana" w:cs="Century Gothic"/>
        </w:rPr>
        <w:t xml:space="preserve"> decretar los sábados, domingos y festivos como días hábiles para adelantar procesos contractuales?</w:t>
      </w:r>
    </w:p>
    <w:p w14:paraId="7019DEF4" w14:textId="77777777" w:rsidR="000A7E2C" w:rsidRPr="009322DA" w:rsidRDefault="000A7E2C" w:rsidP="000A7E2C">
      <w:pPr>
        <w:spacing w:after="0" w:line="276" w:lineRule="auto"/>
        <w:jc w:val="both"/>
        <w:rPr>
          <w:rFonts w:ascii="Verdana" w:eastAsia="Calibri" w:hAnsi="Verdana" w:cs="Arial"/>
          <w:lang w:val="es-ES"/>
        </w:rPr>
      </w:pPr>
    </w:p>
    <w:p w14:paraId="2B8B34F9" w14:textId="77777777" w:rsidR="000A7E2C" w:rsidRPr="009322DA" w:rsidRDefault="000A7E2C" w:rsidP="000A7E2C">
      <w:pPr>
        <w:numPr>
          <w:ilvl w:val="0"/>
          <w:numId w:val="16"/>
        </w:numPr>
        <w:tabs>
          <w:tab w:val="left" w:pos="142"/>
          <w:tab w:val="left" w:pos="284"/>
        </w:tabs>
        <w:spacing w:after="0" w:line="276" w:lineRule="auto"/>
        <w:ind w:left="0" w:firstLine="0"/>
        <w:contextualSpacing/>
        <w:jc w:val="both"/>
        <w:rPr>
          <w:rFonts w:ascii="Verdana" w:eastAsia="Century Gothic" w:hAnsi="Verdana" w:cs="Century Gothic"/>
          <w:b/>
          <w:bCs/>
          <w:lang w:val="es-ES"/>
        </w:rPr>
      </w:pPr>
      <w:r w:rsidRPr="009322DA">
        <w:rPr>
          <w:rFonts w:ascii="Verdana" w:eastAsia="Century Gothic" w:hAnsi="Verdana" w:cs="Century Gothic"/>
          <w:b/>
          <w:bCs/>
          <w:lang w:val="es-ES"/>
        </w:rPr>
        <w:t>Respuesta:</w:t>
      </w:r>
    </w:p>
    <w:tbl>
      <w:tblPr>
        <w:tblStyle w:val="Tablaconcuadrcula1"/>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0A7E2C" w:rsidRPr="009322DA" w14:paraId="2BED7CF2" w14:textId="77777777" w:rsidTr="001449F3">
        <w:tc>
          <w:tcPr>
            <w:tcW w:w="8828" w:type="dxa"/>
            <w:tcBorders>
              <w:top w:val="dotted" w:sz="4" w:space="0" w:color="auto"/>
              <w:left w:val="dotted" w:sz="4" w:space="0" w:color="auto"/>
              <w:bottom w:val="dotted" w:sz="4" w:space="0" w:color="auto"/>
              <w:right w:val="dotted" w:sz="4" w:space="0" w:color="auto"/>
            </w:tcBorders>
          </w:tcPr>
          <w:p w14:paraId="167BF187" w14:textId="169FF627" w:rsidR="000A7E2C" w:rsidRPr="00727DBF" w:rsidRDefault="00E1674A" w:rsidP="00727DBF">
            <w:pPr>
              <w:spacing w:after="120" w:line="276" w:lineRule="auto"/>
              <w:jc w:val="both"/>
              <w:rPr>
                <w:rFonts w:ascii="Verdana" w:eastAsia="Calibri" w:hAnsi="Verdana" w:cs="Arial"/>
              </w:rPr>
            </w:pPr>
            <w:r>
              <w:rPr>
                <w:rFonts w:ascii="Verdana" w:eastAsia="Calibri" w:hAnsi="Verdana" w:cs="Arial"/>
                <w:lang w:val="es-ES"/>
              </w:rPr>
              <w:t xml:space="preserve">i) </w:t>
            </w:r>
            <w:r w:rsidR="00C67D54">
              <w:rPr>
                <w:rFonts w:ascii="Verdana" w:eastAsia="Calibri" w:hAnsi="Verdana" w:cs="Arial"/>
              </w:rPr>
              <w:t>L</w:t>
            </w:r>
            <w:r w:rsidR="000A7E2C" w:rsidRPr="00727DBF">
              <w:rPr>
                <w:rFonts w:ascii="Verdana" w:eastAsia="Calibri" w:hAnsi="Verdana" w:cs="Arial"/>
              </w:rPr>
              <w:t>a acepción de días hábiles</w:t>
            </w:r>
            <w:r w:rsidR="00860603">
              <w:rPr>
                <w:rFonts w:ascii="Verdana" w:eastAsia="Calibri" w:hAnsi="Verdana" w:cs="Arial"/>
              </w:rPr>
              <w:t xml:space="preserve"> o no hábiles</w:t>
            </w:r>
            <w:r w:rsidR="000A7E2C" w:rsidRPr="00727DBF">
              <w:rPr>
                <w:rFonts w:ascii="Verdana" w:eastAsia="Calibri" w:hAnsi="Verdana" w:cs="Arial"/>
              </w:rPr>
              <w:t xml:space="preserve"> es facultativa de cada entidad, toda vez que </w:t>
            </w:r>
            <w:r w:rsidR="00FB2057">
              <w:rPr>
                <w:rFonts w:ascii="Verdana" w:eastAsia="Calibri" w:hAnsi="Verdana" w:cs="Arial"/>
              </w:rPr>
              <w:t xml:space="preserve">a </w:t>
            </w:r>
            <w:r w:rsidR="000A7E2C" w:rsidRPr="00727DBF">
              <w:rPr>
                <w:rFonts w:ascii="Verdana" w:eastAsia="Calibri" w:hAnsi="Verdana" w:cs="Arial"/>
              </w:rPr>
              <w:t xml:space="preserve">estas </w:t>
            </w:r>
            <w:r w:rsidR="00FB2057">
              <w:rPr>
                <w:rFonts w:ascii="Verdana" w:eastAsia="Calibri" w:hAnsi="Verdana" w:cs="Arial"/>
              </w:rPr>
              <w:t xml:space="preserve">les corresponde determinar </w:t>
            </w:r>
            <w:r w:rsidR="000A7E2C" w:rsidRPr="00727DBF">
              <w:rPr>
                <w:rFonts w:ascii="Verdana" w:eastAsia="Calibri" w:hAnsi="Verdana" w:cs="Arial"/>
              </w:rPr>
              <w:t>mediante sus manuales o reglamentos internos</w:t>
            </w:r>
            <w:r w:rsidR="00FB2057">
              <w:rPr>
                <w:rFonts w:ascii="Verdana" w:eastAsia="Calibri" w:hAnsi="Verdana" w:cs="Arial"/>
              </w:rPr>
              <w:t xml:space="preserve"> </w:t>
            </w:r>
            <w:r w:rsidR="000A7E2C" w:rsidRPr="00727DBF">
              <w:rPr>
                <w:rFonts w:ascii="Verdana" w:eastAsia="Calibri" w:hAnsi="Verdana" w:cs="Arial"/>
              </w:rPr>
              <w:t>cu</w:t>
            </w:r>
            <w:r w:rsidR="00C00DDB">
              <w:rPr>
                <w:rFonts w:ascii="Verdana" w:eastAsia="Calibri" w:hAnsi="Verdana" w:cs="Arial"/>
              </w:rPr>
              <w:t>á</w:t>
            </w:r>
            <w:r w:rsidR="000A7E2C" w:rsidRPr="00727DBF">
              <w:rPr>
                <w:rFonts w:ascii="Verdana" w:eastAsia="Calibri" w:hAnsi="Verdana" w:cs="Arial"/>
              </w:rPr>
              <w:t xml:space="preserve">les son los días y los horarios que destinan para atender </w:t>
            </w:r>
            <w:r w:rsidR="00EA4A30" w:rsidRPr="00EA4A30">
              <w:rPr>
                <w:rFonts w:ascii="Verdana" w:eastAsia="Calibri" w:hAnsi="Verdana" w:cs="Arial"/>
              </w:rPr>
              <w:t>público</w:t>
            </w:r>
            <w:r w:rsidR="000A7E2C" w:rsidRPr="00727DBF">
              <w:rPr>
                <w:rFonts w:ascii="Verdana" w:eastAsia="Calibri" w:hAnsi="Verdana" w:cs="Arial"/>
              </w:rPr>
              <w:t xml:space="preserve"> y para adelantar </w:t>
            </w:r>
            <w:r w:rsidR="00B42DB7">
              <w:rPr>
                <w:rFonts w:ascii="Verdana" w:eastAsia="Calibri" w:hAnsi="Verdana" w:cs="Arial"/>
              </w:rPr>
              <w:t>su jornada laboral,</w:t>
            </w:r>
            <w:r w:rsidR="000A7E2C" w:rsidRPr="00727DBF">
              <w:rPr>
                <w:rFonts w:ascii="Verdana" w:eastAsia="Calibri" w:hAnsi="Verdana" w:cs="Arial"/>
              </w:rPr>
              <w:t xml:space="preserve"> incluyendo lo concerniente a procesos contractuales teniendo en cuenta las dinámicas sociales y económicas de la población en donde ejercen funciones</w:t>
            </w:r>
            <w:r w:rsidR="00095C97">
              <w:rPr>
                <w:rFonts w:ascii="Verdana" w:eastAsia="Calibri" w:hAnsi="Verdana" w:cs="Arial"/>
              </w:rPr>
              <w:t>.</w:t>
            </w:r>
          </w:p>
        </w:tc>
      </w:tr>
    </w:tbl>
    <w:p w14:paraId="17F0953A" w14:textId="77777777" w:rsidR="000A7E2C" w:rsidRPr="009322DA" w:rsidRDefault="000A7E2C" w:rsidP="000A7E2C">
      <w:pPr>
        <w:tabs>
          <w:tab w:val="left" w:pos="142"/>
          <w:tab w:val="left" w:pos="284"/>
        </w:tabs>
        <w:spacing w:after="0" w:line="276" w:lineRule="auto"/>
        <w:jc w:val="both"/>
        <w:rPr>
          <w:rFonts w:ascii="Verdana" w:eastAsia="Century Gothic" w:hAnsi="Verdana" w:cs="Century Gothic"/>
          <w:b/>
          <w:bCs/>
          <w:lang w:val="es-ES"/>
        </w:rPr>
      </w:pPr>
    </w:p>
    <w:p w14:paraId="0399810E" w14:textId="77777777" w:rsidR="000A7E2C" w:rsidRPr="009322DA" w:rsidRDefault="000A7E2C" w:rsidP="000A7E2C">
      <w:pPr>
        <w:numPr>
          <w:ilvl w:val="0"/>
          <w:numId w:val="16"/>
        </w:numPr>
        <w:tabs>
          <w:tab w:val="left" w:pos="142"/>
          <w:tab w:val="left" w:pos="284"/>
        </w:tabs>
        <w:spacing w:after="0" w:line="276" w:lineRule="auto"/>
        <w:ind w:left="0" w:firstLine="0"/>
        <w:contextualSpacing/>
        <w:jc w:val="both"/>
        <w:rPr>
          <w:rFonts w:ascii="Verdana" w:eastAsia="Century Gothic" w:hAnsi="Verdana" w:cs="Century Gothic"/>
          <w:b/>
          <w:bCs/>
          <w:lang w:val="es-ES"/>
        </w:rPr>
      </w:pPr>
      <w:r w:rsidRPr="009322DA">
        <w:rPr>
          <w:rFonts w:ascii="Verdana" w:eastAsia="Century Gothic" w:hAnsi="Verdana" w:cs="Century Gothic"/>
          <w:b/>
          <w:bCs/>
          <w:lang w:val="es-ES"/>
        </w:rPr>
        <w:t>Razones de la respuesta:</w:t>
      </w:r>
    </w:p>
    <w:p w14:paraId="32F8A54B" w14:textId="77777777" w:rsidR="000A7E2C" w:rsidRPr="009322DA" w:rsidRDefault="000A7E2C" w:rsidP="000A7E2C">
      <w:pPr>
        <w:spacing w:after="0" w:line="276" w:lineRule="auto"/>
        <w:jc w:val="both"/>
        <w:rPr>
          <w:rFonts w:ascii="Verdana" w:eastAsia="Calibri" w:hAnsi="Verdana" w:cs="Arial"/>
          <w:lang w:val="es-ES"/>
        </w:rPr>
      </w:pPr>
    </w:p>
    <w:p w14:paraId="07E9F25C" w14:textId="77777777" w:rsidR="000A7E2C" w:rsidRDefault="000A7E2C" w:rsidP="000A7E2C">
      <w:pPr>
        <w:spacing w:after="0" w:line="276" w:lineRule="auto"/>
        <w:jc w:val="both"/>
        <w:rPr>
          <w:rFonts w:ascii="Verdana" w:eastAsia="Calibri" w:hAnsi="Verdana" w:cs="Arial"/>
          <w:lang w:val="es-ES"/>
        </w:rPr>
      </w:pPr>
      <w:r w:rsidRPr="009322DA">
        <w:rPr>
          <w:rFonts w:ascii="Verdana" w:eastAsia="Calibri" w:hAnsi="Verdana" w:cs="Arial"/>
          <w:lang w:val="es-ES"/>
        </w:rPr>
        <w:lastRenderedPageBreak/>
        <w:t xml:space="preserve">Lo anterior se sustenta en las siguientes consideraciones: </w:t>
      </w:r>
    </w:p>
    <w:p w14:paraId="35036B2B" w14:textId="77777777" w:rsidR="000A7E2C" w:rsidRDefault="000A7E2C" w:rsidP="000A7E2C">
      <w:pPr>
        <w:spacing w:after="0" w:line="276" w:lineRule="auto"/>
        <w:jc w:val="both"/>
        <w:rPr>
          <w:rFonts w:ascii="Verdana" w:eastAsia="Calibri" w:hAnsi="Verdana" w:cs="Arial"/>
          <w:lang w:val="es-ES"/>
        </w:rPr>
      </w:pPr>
    </w:p>
    <w:p w14:paraId="5F332FDA" w14:textId="77777777" w:rsidR="000A7E2C" w:rsidRDefault="000A7E2C" w:rsidP="000A7E2C">
      <w:pPr>
        <w:pStyle w:val="Prrafodelista"/>
        <w:numPr>
          <w:ilvl w:val="0"/>
          <w:numId w:val="18"/>
        </w:numPr>
        <w:jc w:val="both"/>
        <w:rPr>
          <w:rFonts w:ascii="Verdana" w:eastAsia="Calibri" w:hAnsi="Verdana" w:cs="Arial"/>
          <w:bCs/>
          <w:color w:val="000000"/>
        </w:rPr>
      </w:pPr>
      <w:r>
        <w:rPr>
          <w:rFonts w:ascii="Verdana" w:eastAsia="Calibri" w:hAnsi="Verdana" w:cs="Arial"/>
          <w:bCs/>
          <w:color w:val="000000"/>
        </w:rPr>
        <w:t>E</w:t>
      </w:r>
      <w:r w:rsidRPr="00BC67D2">
        <w:rPr>
          <w:rFonts w:ascii="Verdana" w:eastAsia="Calibri" w:hAnsi="Verdana" w:cs="Arial"/>
          <w:bCs/>
          <w:color w:val="000000"/>
        </w:rPr>
        <w:t xml:space="preserve">l día hábil al que se refiere la ley es un tiempo mínimo, porque las entidades tienen la facultad de estructurar procesos con plazos mayores para presentar ofertas, al no establecerse en la ley un tiempo máximo, lo cual resulta recomendable para la concurrencia de oferentes, sin perjuicio de la finalidad </w:t>
      </w:r>
      <w:r>
        <w:rPr>
          <w:rFonts w:ascii="Verdana" w:eastAsia="Calibri" w:hAnsi="Verdana" w:cs="Arial"/>
          <w:bCs/>
          <w:color w:val="000000"/>
        </w:rPr>
        <w:t>en cualquier</w:t>
      </w:r>
      <w:r w:rsidRPr="00BC67D2">
        <w:rPr>
          <w:rFonts w:ascii="Verdana" w:eastAsia="Calibri" w:hAnsi="Verdana" w:cs="Arial"/>
          <w:bCs/>
          <w:color w:val="000000"/>
        </w:rPr>
        <w:t xml:space="preserve"> modalidad de selección, que propende por la provisión pronta y ágil de los bienes de las entidades estatales.</w:t>
      </w:r>
    </w:p>
    <w:p w14:paraId="49BFB93A" w14:textId="77777777" w:rsidR="000A7E2C" w:rsidRDefault="000A7E2C" w:rsidP="000A7E2C">
      <w:pPr>
        <w:pStyle w:val="Prrafodelista"/>
        <w:jc w:val="both"/>
        <w:rPr>
          <w:rFonts w:ascii="Verdana" w:eastAsia="Calibri" w:hAnsi="Verdana" w:cs="Arial"/>
          <w:bCs/>
          <w:color w:val="000000"/>
        </w:rPr>
      </w:pPr>
    </w:p>
    <w:p w14:paraId="5B31C9A6" w14:textId="77777777" w:rsidR="000A7E2C" w:rsidRDefault="000A7E2C" w:rsidP="000A7E2C">
      <w:pPr>
        <w:pStyle w:val="Prrafodelista"/>
        <w:numPr>
          <w:ilvl w:val="0"/>
          <w:numId w:val="18"/>
        </w:numPr>
        <w:jc w:val="both"/>
        <w:rPr>
          <w:rFonts w:ascii="Verdana" w:eastAsia="Calibri" w:hAnsi="Verdana" w:cs="Arial"/>
          <w:bCs/>
          <w:color w:val="000000"/>
        </w:rPr>
      </w:pPr>
      <w:r w:rsidRPr="00BC67D2">
        <w:rPr>
          <w:rFonts w:ascii="Verdana" w:eastAsia="Calibri" w:hAnsi="Verdana" w:cs="Arial"/>
          <w:bCs/>
          <w:color w:val="000000"/>
          <w:lang w:val="es-MX"/>
        </w:rPr>
        <w:t>Debe reconocerse que no existe una acepción unívoca de día hábil, pues no existe certidumbre de cuáles son los días de la semana que pueden entenderse como hábiles, y ello en principio posibilita que las entidades regulen de manera disímil los términos de la</w:t>
      </w:r>
      <w:r>
        <w:rPr>
          <w:rFonts w:ascii="Verdana" w:eastAsia="Calibri" w:hAnsi="Verdana" w:cs="Arial"/>
          <w:bCs/>
          <w:color w:val="000000"/>
          <w:lang w:val="es-MX"/>
        </w:rPr>
        <w:t>s diferentes</w:t>
      </w:r>
      <w:r w:rsidRPr="00BC67D2">
        <w:rPr>
          <w:rFonts w:ascii="Verdana" w:eastAsia="Calibri" w:hAnsi="Verdana" w:cs="Arial"/>
          <w:bCs/>
          <w:color w:val="000000"/>
          <w:lang w:val="es-MX"/>
        </w:rPr>
        <w:t xml:space="preserve"> modalidad</w:t>
      </w:r>
      <w:r>
        <w:rPr>
          <w:rFonts w:ascii="Verdana" w:eastAsia="Calibri" w:hAnsi="Verdana" w:cs="Arial"/>
          <w:bCs/>
          <w:color w:val="000000"/>
          <w:lang w:val="es-MX"/>
        </w:rPr>
        <w:t>es</w:t>
      </w:r>
      <w:r w:rsidRPr="00BC67D2">
        <w:rPr>
          <w:rFonts w:ascii="Verdana" w:eastAsia="Calibri" w:hAnsi="Verdana" w:cs="Arial"/>
          <w:bCs/>
          <w:color w:val="000000"/>
          <w:lang w:val="es-MX"/>
        </w:rPr>
        <w:t xml:space="preserve"> de selección</w:t>
      </w:r>
      <w:r>
        <w:rPr>
          <w:rFonts w:ascii="Verdana" w:eastAsia="Calibri" w:hAnsi="Verdana" w:cs="Arial"/>
          <w:bCs/>
          <w:color w:val="000000"/>
          <w:lang w:val="es-MX"/>
        </w:rPr>
        <w:t xml:space="preserve"> de nuestro ordenamiento</w:t>
      </w:r>
      <w:r w:rsidRPr="00BC67D2">
        <w:rPr>
          <w:rFonts w:ascii="Verdana" w:eastAsia="Calibri" w:hAnsi="Verdana" w:cs="Arial"/>
          <w:bCs/>
          <w:color w:val="000000"/>
        </w:rPr>
        <w:t xml:space="preserve">. </w:t>
      </w:r>
    </w:p>
    <w:p w14:paraId="2011CE82" w14:textId="77777777" w:rsidR="000A7E2C" w:rsidRPr="00BC67D2" w:rsidRDefault="000A7E2C" w:rsidP="000A7E2C">
      <w:pPr>
        <w:pStyle w:val="Prrafodelista"/>
        <w:rPr>
          <w:rFonts w:ascii="Verdana" w:eastAsia="Calibri" w:hAnsi="Verdana" w:cs="Arial"/>
          <w:bCs/>
          <w:color w:val="000000"/>
        </w:rPr>
      </w:pPr>
    </w:p>
    <w:p w14:paraId="662C0599" w14:textId="77777777" w:rsidR="000A7E2C" w:rsidRDefault="000A7E2C" w:rsidP="000A7E2C">
      <w:pPr>
        <w:pStyle w:val="Prrafodelista"/>
        <w:numPr>
          <w:ilvl w:val="0"/>
          <w:numId w:val="18"/>
        </w:numPr>
        <w:jc w:val="both"/>
        <w:rPr>
          <w:rFonts w:ascii="Verdana" w:eastAsia="Calibri" w:hAnsi="Verdana" w:cs="Arial"/>
          <w:bCs/>
          <w:color w:val="000000"/>
        </w:rPr>
      </w:pPr>
      <w:r w:rsidRPr="00BC67D2">
        <w:rPr>
          <w:rFonts w:ascii="Verdana" w:eastAsia="Calibri" w:hAnsi="Verdana" w:cs="Arial"/>
          <w:bCs/>
          <w:color w:val="000000"/>
        </w:rPr>
        <w:t xml:space="preserve">La ausencia de definición legal de día hábil autoriza acudir al sentido natural y obvio de la palabra </w:t>
      </w:r>
      <w:r w:rsidRPr="00BC67D2">
        <w:rPr>
          <w:rFonts w:ascii="Verdana" w:eastAsia="Calibri" w:hAnsi="Verdana" w:cs="Arial"/>
          <w:bCs/>
          <w:i/>
          <w:iCs/>
          <w:color w:val="000000"/>
        </w:rPr>
        <w:t>hábil</w:t>
      </w:r>
      <w:r w:rsidRPr="00BC67D2">
        <w:rPr>
          <w:rFonts w:ascii="Verdana" w:eastAsia="Calibri" w:hAnsi="Verdana" w:cs="Arial"/>
          <w:bCs/>
          <w:color w:val="000000"/>
        </w:rPr>
        <w:t>, encontrándonos las siguientes acepciones “1. adj. Capaz de realizar con éxito una tarea manual. 2. adj. Dotado del talento para actuar adecuadamente o lograr su objetivo. 3. adj. Propio de una persona hábil. 4. adj. Apto o adecuado para algo. 5. adj. Dicho de un período de tiempo: Establecido como válido o computable para realizar una actividad, especialmente administrativa o judicial”</w:t>
      </w:r>
      <w:r w:rsidRPr="00BC67D2">
        <w:rPr>
          <w:vertAlign w:val="superscript"/>
        </w:rPr>
        <w:footnoteReference w:id="2"/>
      </w:r>
      <w:r w:rsidRPr="00BC67D2">
        <w:rPr>
          <w:rFonts w:ascii="Verdana" w:eastAsia="Calibri" w:hAnsi="Verdana" w:cs="Arial"/>
          <w:bCs/>
          <w:color w:val="000000"/>
        </w:rPr>
        <w:t>. La última acepción se ajusta al entendimiento normativo. Sin embargo, no es suficiente para absolver lo que se indaga, en la medida en que corresponde al ordenamiento jurídico establecer cuáles son los días válidos para realizar las actuaciones.</w:t>
      </w:r>
      <w:r w:rsidRPr="00BC67D2">
        <w:rPr>
          <w:rFonts w:ascii="Verdana" w:eastAsia="Calibri" w:hAnsi="Verdana" w:cs="Arial"/>
          <w:bCs/>
          <w:color w:val="000000"/>
        </w:rPr>
        <w:tab/>
      </w:r>
    </w:p>
    <w:p w14:paraId="41DFBD83" w14:textId="77777777" w:rsidR="000A7E2C" w:rsidRPr="00BC67D2" w:rsidRDefault="000A7E2C" w:rsidP="000A7E2C">
      <w:pPr>
        <w:pStyle w:val="Prrafodelista"/>
        <w:rPr>
          <w:rFonts w:ascii="Verdana" w:eastAsia="Calibri" w:hAnsi="Verdana" w:cs="Arial"/>
          <w:bCs/>
          <w:color w:val="000000"/>
        </w:rPr>
      </w:pPr>
    </w:p>
    <w:p w14:paraId="3F7618E4" w14:textId="77777777" w:rsidR="000A7E2C" w:rsidRPr="00BC67D2" w:rsidRDefault="000A7E2C" w:rsidP="000A7E2C">
      <w:pPr>
        <w:pStyle w:val="Prrafodelista"/>
        <w:numPr>
          <w:ilvl w:val="0"/>
          <w:numId w:val="18"/>
        </w:numPr>
        <w:jc w:val="both"/>
        <w:rPr>
          <w:rFonts w:ascii="Verdana" w:eastAsia="Calibri" w:hAnsi="Verdana" w:cs="Arial"/>
          <w:bCs/>
          <w:color w:val="000000"/>
        </w:rPr>
      </w:pPr>
      <w:r w:rsidRPr="00BC67D2">
        <w:rPr>
          <w:rFonts w:ascii="Verdana" w:eastAsia="Calibri" w:hAnsi="Verdana" w:cs="Arial"/>
          <w:bCs/>
          <w:color w:val="000000"/>
        </w:rPr>
        <w:t>A pesar de no existir una definición legal, existen normas supletivas que tienen como función servir de pautas para el cómputo de términos previstos en la ley, cuando no ha sido regulado de forma específica por las disposiciones que consagran dichos plazos. Los artículos 59 y 62 de la Ley 4 de 1913 disponen que:</w:t>
      </w:r>
    </w:p>
    <w:p w14:paraId="30A5B58D" w14:textId="77777777" w:rsidR="000A7E2C" w:rsidRPr="00BC67D2" w:rsidRDefault="000A7E2C" w:rsidP="000A7E2C">
      <w:pPr>
        <w:jc w:val="both"/>
        <w:rPr>
          <w:rFonts w:ascii="Verdana" w:eastAsia="Calibri" w:hAnsi="Verdana" w:cs="Arial"/>
          <w:bCs/>
          <w:color w:val="000000"/>
          <w:sz w:val="18"/>
          <w:szCs w:val="18"/>
          <w:lang w:val="es-ES"/>
        </w:rPr>
      </w:pPr>
    </w:p>
    <w:p w14:paraId="6032AA14" w14:textId="77777777" w:rsidR="000A7E2C" w:rsidRPr="00BC67D2" w:rsidRDefault="000A7E2C" w:rsidP="000A7E2C">
      <w:pPr>
        <w:ind w:left="1416"/>
        <w:jc w:val="both"/>
        <w:rPr>
          <w:rFonts w:ascii="Verdana" w:eastAsia="Calibri" w:hAnsi="Verdana" w:cs="Arial"/>
          <w:bCs/>
          <w:color w:val="000000"/>
          <w:sz w:val="18"/>
          <w:szCs w:val="18"/>
          <w:lang w:val="es-MX"/>
        </w:rPr>
      </w:pPr>
      <w:r w:rsidRPr="00BC67D2">
        <w:rPr>
          <w:rFonts w:ascii="Verdana" w:eastAsia="Calibri" w:hAnsi="Verdana" w:cs="Arial"/>
          <w:bCs/>
          <w:color w:val="000000"/>
          <w:sz w:val="18"/>
          <w:szCs w:val="18"/>
          <w:lang w:val="es-MX"/>
        </w:rPr>
        <w:t>“Artículo 59.</w:t>
      </w:r>
      <w:r w:rsidRPr="00BC67D2">
        <w:rPr>
          <w:rFonts w:ascii="Verdana" w:eastAsia="Calibri" w:hAnsi="Verdana" w:cs="Arial"/>
          <w:b/>
          <w:bCs/>
          <w:color w:val="000000"/>
          <w:sz w:val="18"/>
          <w:szCs w:val="18"/>
          <w:lang w:val="es-MX"/>
        </w:rPr>
        <w:t> </w:t>
      </w:r>
      <w:r w:rsidRPr="00BC67D2">
        <w:rPr>
          <w:rFonts w:ascii="Verdana" w:eastAsia="Calibri" w:hAnsi="Verdana" w:cs="Arial"/>
          <w:bCs/>
          <w:color w:val="000000"/>
          <w:sz w:val="18"/>
          <w:szCs w:val="18"/>
          <w:lang w:val="es-MX"/>
        </w:rPr>
        <w:t>Todos los plazos de días, meses o años, del que se haga mención legal, se entenderán que terminan a la medianoche del último día del plazo. Por año y por mes se entienden los del calendario común, y por día el espacio de veinticuatro horas; pero en la ejecución de las penas se estará a lo que disponga la ley penal. </w:t>
      </w:r>
    </w:p>
    <w:p w14:paraId="12B3A287" w14:textId="77777777" w:rsidR="000A7E2C" w:rsidRPr="00BC67D2" w:rsidRDefault="000A7E2C" w:rsidP="000A7E2C">
      <w:pPr>
        <w:ind w:left="708" w:firstLine="708"/>
        <w:jc w:val="both"/>
        <w:rPr>
          <w:rFonts w:ascii="Verdana" w:eastAsia="Calibri" w:hAnsi="Verdana" w:cs="Arial"/>
          <w:bCs/>
          <w:color w:val="000000"/>
          <w:sz w:val="18"/>
          <w:szCs w:val="18"/>
          <w:lang w:val="es-MX"/>
        </w:rPr>
      </w:pPr>
      <w:r w:rsidRPr="00BC67D2">
        <w:rPr>
          <w:rFonts w:ascii="Verdana" w:eastAsia="Calibri" w:hAnsi="Verdana" w:cs="Arial"/>
          <w:bCs/>
          <w:color w:val="000000"/>
          <w:sz w:val="18"/>
          <w:szCs w:val="18"/>
          <w:lang w:val="es-MX"/>
        </w:rPr>
        <w:lastRenderedPageBreak/>
        <w:t>[…]</w:t>
      </w:r>
    </w:p>
    <w:p w14:paraId="106EBFAE" w14:textId="77777777" w:rsidR="000A7E2C" w:rsidRPr="00BC67D2" w:rsidRDefault="000A7E2C" w:rsidP="000A7E2C">
      <w:pPr>
        <w:ind w:left="1416"/>
        <w:jc w:val="both"/>
        <w:rPr>
          <w:rFonts w:ascii="Verdana" w:eastAsia="Calibri" w:hAnsi="Verdana" w:cs="Arial"/>
          <w:bCs/>
          <w:color w:val="000000"/>
          <w:sz w:val="18"/>
          <w:szCs w:val="18"/>
          <w:lang w:val="es-MX"/>
        </w:rPr>
      </w:pPr>
      <w:r w:rsidRPr="00BC67D2">
        <w:rPr>
          <w:rFonts w:ascii="Verdana" w:eastAsia="Calibri" w:hAnsi="Verdana" w:cs="Arial"/>
          <w:bCs/>
          <w:color w:val="000000"/>
          <w:sz w:val="18"/>
          <w:szCs w:val="18"/>
          <w:lang w:val="es-MX"/>
        </w:rPr>
        <w:t>Artículo 62. En los plazos de días que se señalen en las leyes y actos oficiales, se entienden suprimidos los feriados y de vacantes, a menos de expresarse lo contrario. Los de meses y años se computan según el calendario; pero si el último día fuere feriado o de vacante, se extenderá el plazo hasta el primer día hábil”. </w:t>
      </w:r>
    </w:p>
    <w:p w14:paraId="03BC3741" w14:textId="77777777" w:rsidR="000A7E2C" w:rsidRPr="00BC67D2" w:rsidRDefault="000A7E2C" w:rsidP="000A7E2C">
      <w:pPr>
        <w:jc w:val="both"/>
        <w:rPr>
          <w:rFonts w:ascii="Verdana" w:eastAsia="Calibri" w:hAnsi="Verdana" w:cs="Arial"/>
          <w:bCs/>
          <w:color w:val="000000"/>
          <w:lang w:val="es-ES"/>
        </w:rPr>
      </w:pPr>
    </w:p>
    <w:p w14:paraId="66A05F33" w14:textId="77777777" w:rsidR="000A7E2C" w:rsidRDefault="000A7E2C" w:rsidP="000A7E2C">
      <w:pPr>
        <w:pStyle w:val="Prrafodelista"/>
        <w:numPr>
          <w:ilvl w:val="0"/>
          <w:numId w:val="19"/>
        </w:numPr>
        <w:jc w:val="both"/>
        <w:rPr>
          <w:rFonts w:ascii="Verdana" w:eastAsia="Calibri" w:hAnsi="Verdana" w:cs="Arial"/>
          <w:bCs/>
          <w:color w:val="000000"/>
        </w:rPr>
      </w:pPr>
      <w:r w:rsidRPr="00BC67D2">
        <w:rPr>
          <w:rFonts w:ascii="Verdana" w:eastAsia="Calibri" w:hAnsi="Verdana" w:cs="Arial"/>
          <w:bCs/>
          <w:color w:val="000000"/>
        </w:rPr>
        <w:t xml:space="preserve">El artículo 59 establece que los plazos a los que se haga mención en la ley terminan a la medianoche, y que por </w:t>
      </w:r>
      <w:r w:rsidRPr="00BC67D2">
        <w:rPr>
          <w:rFonts w:ascii="Verdana" w:eastAsia="Calibri" w:hAnsi="Verdana" w:cs="Arial"/>
          <w:bCs/>
          <w:i/>
          <w:iCs/>
          <w:color w:val="000000"/>
        </w:rPr>
        <w:t xml:space="preserve">día </w:t>
      </w:r>
      <w:r w:rsidRPr="00BC67D2">
        <w:rPr>
          <w:rFonts w:ascii="Verdana" w:eastAsia="Calibri" w:hAnsi="Verdana" w:cs="Arial"/>
          <w:bCs/>
          <w:color w:val="000000"/>
        </w:rPr>
        <w:t>se entiende el espacio de veinticuatro horas; mientras que el artículo 62 establece que de los plazos de días señalados en la ley se entienden suprimidos los feriados, y que cuando se aluda a meses se computarán conforme al calendario, extendiéndose hasta el día hábil siguiente si el mes termina en un día feriado o vacante. Si bien las reglas establecidas en estas normas no permiten esclarecer cómo deben computarse términos de un único día hábil, ni definen los días hábiles, sí denotan cierta antonimia con los vacantes y feriados, lo cual, en línea con la definición de uso común a la que antes se hacía referencia, indica que por hábiles se entiende los días laborables</w:t>
      </w:r>
      <w:r w:rsidRPr="00BC67D2">
        <w:rPr>
          <w:vertAlign w:val="superscript"/>
        </w:rPr>
        <w:footnoteReference w:id="3"/>
      </w:r>
      <w:r w:rsidRPr="00BC67D2">
        <w:rPr>
          <w:rFonts w:ascii="Verdana" w:eastAsia="Calibri" w:hAnsi="Verdana" w:cs="Arial"/>
          <w:bCs/>
          <w:color w:val="000000"/>
        </w:rPr>
        <w:t>.</w:t>
      </w:r>
    </w:p>
    <w:p w14:paraId="31711646" w14:textId="77777777" w:rsidR="000A7E2C" w:rsidRDefault="000A7E2C" w:rsidP="000A7E2C">
      <w:pPr>
        <w:pStyle w:val="Prrafodelista"/>
        <w:jc w:val="both"/>
        <w:rPr>
          <w:rFonts w:ascii="Verdana" w:eastAsia="Calibri" w:hAnsi="Verdana" w:cs="Arial"/>
          <w:bCs/>
          <w:color w:val="000000"/>
        </w:rPr>
      </w:pPr>
    </w:p>
    <w:p w14:paraId="5A7040BD" w14:textId="77777777" w:rsidR="000A7E2C" w:rsidRPr="000F41B7" w:rsidRDefault="000A7E2C" w:rsidP="000A7E2C">
      <w:pPr>
        <w:pStyle w:val="Prrafodelista"/>
        <w:numPr>
          <w:ilvl w:val="0"/>
          <w:numId w:val="19"/>
        </w:numPr>
        <w:jc w:val="both"/>
        <w:rPr>
          <w:rFonts w:ascii="Verdana" w:eastAsia="Calibri" w:hAnsi="Verdana" w:cs="Arial"/>
          <w:bCs/>
          <w:color w:val="000000"/>
        </w:rPr>
      </w:pPr>
      <w:r w:rsidRPr="00BC67D2">
        <w:rPr>
          <w:rFonts w:ascii="Verdana" w:eastAsia="Calibri" w:hAnsi="Verdana" w:cs="Arial"/>
          <w:bCs/>
          <w:color w:val="000000"/>
        </w:rPr>
        <w:t>En esto coincide la jurisprudencia de vieja data del Consejo de Estado, que al interpretar el contenido del artículo 62 de la Ley 4 de 1913 ha relacionado los días hábiles con conceptos como el de “Despacho Público” y “días laborables forzosos”, que implican que el entendimiento normativo de los días hábiles está relacionado con el espacio de tiempo durante el cual las entidades públicas desarrollan sus funciones administrativas y están abiertas para la atención al público. Así, por ejemplo, en la sentencia del 12 de abril de 1978 explicó lo siguiente:</w:t>
      </w:r>
    </w:p>
    <w:p w14:paraId="1F706D2D" w14:textId="77777777" w:rsidR="000A7E2C" w:rsidRPr="00BC67D2" w:rsidRDefault="000A7E2C" w:rsidP="000A7E2C">
      <w:pPr>
        <w:ind w:left="1068"/>
        <w:jc w:val="both"/>
        <w:rPr>
          <w:rFonts w:ascii="Verdana" w:eastAsia="Calibri" w:hAnsi="Verdana" w:cs="Arial"/>
          <w:bCs/>
          <w:color w:val="000000"/>
          <w:sz w:val="20"/>
          <w:szCs w:val="20"/>
          <w:lang w:val="es-MX"/>
        </w:rPr>
      </w:pPr>
      <w:r w:rsidRPr="00BC67D2">
        <w:rPr>
          <w:rFonts w:ascii="Verdana" w:eastAsia="Calibri" w:hAnsi="Verdana" w:cs="Arial"/>
          <w:bCs/>
          <w:color w:val="000000"/>
          <w:sz w:val="20"/>
          <w:szCs w:val="20"/>
          <w:lang w:val="es-MX"/>
        </w:rPr>
        <w:t xml:space="preserve">Debe entenderse por otra parte, que cuando la Ley habla de la supresión en los plazos de días de los de vacancia y feriados, se está refiriendo a los actos producidos por la Administración en las dependencias en que no hay despacho público en tales días y no pueden por lo tanto expedirse actos administrativos con consecuencias legales. Es “Despacho Público” el mantenimiento de la oficina abierta al público para ejecutar los actos y despachar los asuntos que corresponden a las funciones del empleo en los términos señalados en la Ley. Por lo tanto, hay despacho cuando se tiene facultad para laborar, despachar los asuntos y ejecutar los actos propios de sus atribuciones; así no se haya empleado esa facultad. Entonces, las sesiones de la Asamblea en sábados, </w:t>
      </w:r>
      <w:r w:rsidRPr="00BC67D2">
        <w:rPr>
          <w:rFonts w:ascii="Verdana" w:eastAsia="Calibri" w:hAnsi="Verdana" w:cs="Arial"/>
          <w:bCs/>
          <w:color w:val="000000"/>
          <w:sz w:val="20"/>
          <w:szCs w:val="20"/>
          <w:lang w:val="es-MX"/>
        </w:rPr>
        <w:lastRenderedPageBreak/>
        <w:t>domingos y lunes tienen la virtud y fuerza suficientes para producir o causar todos los efectos, aunque las sesiones no se hayan realizado efectivamente</w:t>
      </w:r>
      <w:r w:rsidRPr="00BC67D2">
        <w:rPr>
          <w:rFonts w:ascii="Verdana" w:eastAsia="Calibri" w:hAnsi="Verdana" w:cs="Arial"/>
          <w:bCs/>
          <w:color w:val="000000"/>
          <w:sz w:val="20"/>
          <w:szCs w:val="20"/>
          <w:vertAlign w:val="superscript"/>
          <w:lang w:val="es-MX"/>
        </w:rPr>
        <w:footnoteReference w:id="4"/>
      </w:r>
      <w:r w:rsidRPr="00BC67D2">
        <w:rPr>
          <w:rFonts w:ascii="Verdana" w:eastAsia="Calibri" w:hAnsi="Verdana" w:cs="Arial"/>
          <w:bCs/>
          <w:color w:val="000000"/>
          <w:sz w:val="20"/>
          <w:szCs w:val="20"/>
          <w:lang w:val="es-MX"/>
        </w:rPr>
        <w:t>.</w:t>
      </w:r>
    </w:p>
    <w:p w14:paraId="37191B02" w14:textId="77777777" w:rsidR="000A7E2C" w:rsidRPr="00BC67D2" w:rsidRDefault="000A7E2C" w:rsidP="000A7E2C">
      <w:pPr>
        <w:jc w:val="both"/>
        <w:rPr>
          <w:rFonts w:ascii="Verdana" w:eastAsia="Calibri" w:hAnsi="Verdana" w:cs="Arial"/>
          <w:bCs/>
          <w:color w:val="000000"/>
          <w:lang w:val="es-ES"/>
        </w:rPr>
      </w:pPr>
    </w:p>
    <w:p w14:paraId="592DF663" w14:textId="77777777" w:rsidR="000A7E2C" w:rsidRPr="00BC67D2" w:rsidRDefault="000A7E2C" w:rsidP="000A7E2C">
      <w:pPr>
        <w:pStyle w:val="Prrafodelista"/>
        <w:numPr>
          <w:ilvl w:val="0"/>
          <w:numId w:val="20"/>
        </w:numPr>
        <w:jc w:val="both"/>
        <w:rPr>
          <w:rFonts w:ascii="Verdana" w:eastAsia="Calibri" w:hAnsi="Verdana" w:cs="Arial"/>
          <w:bCs/>
          <w:color w:val="000000"/>
        </w:rPr>
      </w:pPr>
      <w:r w:rsidRPr="00BC67D2">
        <w:rPr>
          <w:rFonts w:ascii="Verdana" w:eastAsia="Calibri" w:hAnsi="Verdana" w:cs="Arial"/>
          <w:bCs/>
          <w:color w:val="000000"/>
        </w:rPr>
        <w:t>Posteriormente, en el auto del 26 de febrero de 1983, manifestó que el cómputo de los días hábiles de los que trata la norma debe hacerse con relación a los “días laborables forzosos”, introduciendo un criterio para determinar lo que se entiende por día hábil en los siguientes términos:</w:t>
      </w:r>
    </w:p>
    <w:p w14:paraId="53522BED" w14:textId="77777777" w:rsidR="000A7E2C" w:rsidRPr="00BC67D2" w:rsidRDefault="000A7E2C" w:rsidP="000A7E2C">
      <w:pPr>
        <w:jc w:val="both"/>
        <w:rPr>
          <w:rFonts w:ascii="Verdana" w:eastAsia="Calibri" w:hAnsi="Verdana" w:cs="Arial"/>
          <w:bCs/>
          <w:color w:val="000000"/>
          <w:lang w:val="es-ES"/>
        </w:rPr>
      </w:pPr>
    </w:p>
    <w:p w14:paraId="126BF586" w14:textId="77777777" w:rsidR="000A7E2C" w:rsidRPr="00BC67D2" w:rsidRDefault="000A7E2C" w:rsidP="000A7E2C">
      <w:pPr>
        <w:ind w:left="1068"/>
        <w:jc w:val="both"/>
        <w:rPr>
          <w:rFonts w:ascii="Verdana" w:eastAsia="Calibri" w:hAnsi="Verdana" w:cs="Arial"/>
          <w:bCs/>
          <w:color w:val="000000"/>
          <w:sz w:val="20"/>
          <w:szCs w:val="20"/>
        </w:rPr>
      </w:pPr>
      <w:r w:rsidRPr="00BC67D2">
        <w:rPr>
          <w:rFonts w:ascii="Verdana" w:eastAsia="Calibri" w:hAnsi="Verdana" w:cs="Arial"/>
          <w:bCs/>
          <w:color w:val="000000"/>
          <w:sz w:val="20"/>
          <w:szCs w:val="20"/>
        </w:rPr>
        <w:t>[E]l cómputo de días hábiles de que trata el artículo 62 de la Ley 4.ª de 1913 debe realizarse con base en los días laborables forzosos, teniendo por tales todos los del año, excluidos los señalados por la ley como de descanso remunerado.</w:t>
      </w:r>
    </w:p>
    <w:p w14:paraId="52B6C1A9" w14:textId="77777777" w:rsidR="000A7E2C" w:rsidRDefault="000A7E2C" w:rsidP="000A7E2C">
      <w:pPr>
        <w:ind w:left="1068"/>
        <w:jc w:val="both"/>
        <w:rPr>
          <w:rFonts w:ascii="Verdana" w:eastAsia="Calibri" w:hAnsi="Verdana" w:cs="Arial"/>
          <w:bCs/>
          <w:color w:val="000000"/>
          <w:sz w:val="20"/>
          <w:szCs w:val="20"/>
        </w:rPr>
      </w:pPr>
      <w:r w:rsidRPr="00BC67D2">
        <w:rPr>
          <w:rFonts w:ascii="Verdana" w:eastAsia="Calibri" w:hAnsi="Verdana" w:cs="Arial"/>
          <w:bCs/>
          <w:color w:val="000000"/>
          <w:sz w:val="20"/>
          <w:szCs w:val="20"/>
        </w:rPr>
        <w:t xml:space="preserve">Así, el criterio que determina el carácter de hábil de los días, para el cómputo de los términos legales, es el de su </w:t>
      </w:r>
      <w:proofErr w:type="spellStart"/>
      <w:r w:rsidRPr="00BC67D2">
        <w:rPr>
          <w:rFonts w:ascii="Verdana" w:eastAsia="Calibri" w:hAnsi="Verdana" w:cs="Arial"/>
          <w:bCs/>
          <w:color w:val="000000"/>
          <w:sz w:val="20"/>
          <w:szCs w:val="20"/>
        </w:rPr>
        <w:t>laborabilidad</w:t>
      </w:r>
      <w:proofErr w:type="spellEnd"/>
      <w:r w:rsidRPr="00BC67D2">
        <w:rPr>
          <w:rFonts w:ascii="Verdana" w:eastAsia="Calibri" w:hAnsi="Verdana" w:cs="Arial"/>
          <w:bCs/>
          <w:color w:val="000000"/>
          <w:sz w:val="20"/>
          <w:szCs w:val="20"/>
        </w:rPr>
        <w:t xml:space="preserve"> [sic]. Ello implica que son hábiles aquellos para los que no hay disposición legal expresa que exima del deber de trabajar, vale decir, los ordinarios, días en los que deben funcionar las oficinas públicas; y no hábiles aquellos para los cuales la ley ha previsto el derecho a descanso remunerado; tales son los domingos, los previstos por el artículo </w:t>
      </w:r>
      <w:proofErr w:type="gramStart"/>
      <w:r w:rsidRPr="00BC67D2">
        <w:rPr>
          <w:rFonts w:ascii="Verdana" w:eastAsia="Calibri" w:hAnsi="Verdana" w:cs="Arial"/>
          <w:bCs/>
          <w:color w:val="000000"/>
          <w:sz w:val="20"/>
          <w:szCs w:val="20"/>
        </w:rPr>
        <w:t>1.°</w:t>
      </w:r>
      <w:proofErr w:type="gramEnd"/>
      <w:r w:rsidRPr="00BC67D2">
        <w:rPr>
          <w:rFonts w:ascii="Verdana" w:eastAsia="Calibri" w:hAnsi="Verdana" w:cs="Arial"/>
          <w:bCs/>
          <w:color w:val="000000"/>
          <w:sz w:val="20"/>
          <w:szCs w:val="20"/>
        </w:rPr>
        <w:t xml:space="preserve"> de la Ley 51 de 1983 y los señalados como vacancia para la rama jurisdiccional, el Ministerio Público y las direcciones de instrucción criminal. Cabe anotar que para algunas oficinas no son hábiles los sábados, en cuanto no funcionan en esos días por trasladarse la respectiva jornada, en extensión de la ordinaria, a los demás de la semana</w:t>
      </w:r>
      <w:r w:rsidRPr="00BC67D2">
        <w:rPr>
          <w:rFonts w:ascii="Verdana" w:eastAsia="Calibri" w:hAnsi="Verdana" w:cs="Arial"/>
          <w:bCs/>
          <w:color w:val="000000"/>
          <w:sz w:val="20"/>
          <w:szCs w:val="20"/>
          <w:vertAlign w:val="superscript"/>
        </w:rPr>
        <w:footnoteReference w:id="5"/>
      </w:r>
      <w:r w:rsidRPr="00BC67D2">
        <w:rPr>
          <w:rFonts w:ascii="Verdana" w:eastAsia="Calibri" w:hAnsi="Verdana" w:cs="Arial"/>
          <w:bCs/>
          <w:color w:val="000000"/>
          <w:sz w:val="20"/>
          <w:szCs w:val="20"/>
        </w:rPr>
        <w:t>.</w:t>
      </w:r>
    </w:p>
    <w:p w14:paraId="48306223" w14:textId="77777777" w:rsidR="000A7E2C" w:rsidRPr="00BC67D2" w:rsidRDefault="000A7E2C" w:rsidP="000A7E2C">
      <w:pPr>
        <w:ind w:left="1068"/>
        <w:jc w:val="both"/>
        <w:rPr>
          <w:rFonts w:ascii="Verdana" w:eastAsia="Calibri" w:hAnsi="Verdana" w:cs="Arial"/>
          <w:bCs/>
          <w:color w:val="000000"/>
          <w:sz w:val="20"/>
          <w:szCs w:val="20"/>
        </w:rPr>
      </w:pPr>
    </w:p>
    <w:p w14:paraId="0331A838" w14:textId="77777777" w:rsidR="000A7E2C" w:rsidRDefault="000A7E2C" w:rsidP="000A7E2C">
      <w:pPr>
        <w:pStyle w:val="Prrafodelista"/>
        <w:numPr>
          <w:ilvl w:val="0"/>
          <w:numId w:val="20"/>
        </w:numPr>
        <w:jc w:val="both"/>
        <w:rPr>
          <w:rFonts w:ascii="Verdana" w:eastAsia="Calibri" w:hAnsi="Verdana" w:cs="Arial"/>
          <w:bCs/>
          <w:color w:val="000000"/>
        </w:rPr>
      </w:pPr>
      <w:bookmarkStart w:id="1" w:name="_Hlk100070990"/>
      <w:r w:rsidRPr="00BC67D2">
        <w:rPr>
          <w:rFonts w:ascii="Verdana" w:eastAsia="Calibri" w:hAnsi="Verdana" w:cs="Arial"/>
          <w:bCs/>
          <w:color w:val="000000"/>
        </w:rPr>
        <w:t>De esta manera, los días hábiles se determinan según la entidad, ya que “cada entidad pública establece la jornada laboral, a través de su reglamento interno, dando certeza sobre los días que atienden al público, e indirectamente definiendo qué día es hábil en determinada institución”</w:t>
      </w:r>
      <w:r w:rsidRPr="00BC67D2">
        <w:rPr>
          <w:vertAlign w:val="superscript"/>
        </w:rPr>
        <w:footnoteReference w:id="6"/>
      </w:r>
      <w:r w:rsidRPr="00BC67D2">
        <w:rPr>
          <w:rFonts w:ascii="Verdana" w:eastAsia="Calibri" w:hAnsi="Verdana" w:cs="Arial"/>
          <w:bCs/>
          <w:color w:val="000000"/>
        </w:rPr>
        <w:t xml:space="preserve">, por lo que días hábiles son aquellos de la semana durante los cuales las entidades públicas ejercen sus funciones y prestan servicio al público, los cuales son, por regla general, todos los días de la semana, con excepción de los sábados, domingos y feriados previstos en la generalidad de entidades como días de descanso. Lo anterior sin perjuicio de que las </w:t>
      </w:r>
      <w:r w:rsidRPr="00BC67D2">
        <w:rPr>
          <w:rFonts w:ascii="Verdana" w:eastAsia="Calibri" w:hAnsi="Verdana" w:cs="Arial"/>
          <w:bCs/>
          <w:color w:val="000000"/>
        </w:rPr>
        <w:lastRenderedPageBreak/>
        <w:t>entidades definan en sus reglamentos internos jornadas laborales distintas, que incluyan el sábado o el domingo, como “en los numerosos municipios del país donde la Administración labora los fines de semana ―sábados y domingos― normalmente para brindarle un buen servicio a la población campesina, que acostumbra ir al casco urbano en estos dos días y descansan un día de la semana ―usualmente el miércoles―”</w:t>
      </w:r>
      <w:r w:rsidRPr="00BC67D2">
        <w:rPr>
          <w:vertAlign w:val="superscript"/>
        </w:rPr>
        <w:footnoteReference w:id="7"/>
      </w:r>
      <w:r w:rsidRPr="00BC67D2">
        <w:rPr>
          <w:rFonts w:ascii="Verdana" w:eastAsia="Calibri" w:hAnsi="Verdana" w:cs="Arial"/>
          <w:bCs/>
          <w:color w:val="000000"/>
        </w:rPr>
        <w:t xml:space="preserve">, ejemplo donde los días laborables o hábiles son todos los de la semana, con excepción del miércoles. </w:t>
      </w:r>
    </w:p>
    <w:p w14:paraId="230F151B" w14:textId="77777777" w:rsidR="000A7E2C" w:rsidRDefault="000A7E2C" w:rsidP="000A7E2C">
      <w:pPr>
        <w:pStyle w:val="Prrafodelista"/>
        <w:jc w:val="both"/>
        <w:rPr>
          <w:rFonts w:ascii="Verdana" w:eastAsia="Calibri" w:hAnsi="Verdana" w:cs="Arial"/>
          <w:bCs/>
          <w:color w:val="000000"/>
        </w:rPr>
      </w:pPr>
    </w:p>
    <w:p w14:paraId="14A97F76" w14:textId="77777777" w:rsidR="000A7E2C" w:rsidRDefault="000A7E2C" w:rsidP="000A7E2C">
      <w:pPr>
        <w:pStyle w:val="Prrafodelista"/>
        <w:numPr>
          <w:ilvl w:val="0"/>
          <w:numId w:val="20"/>
        </w:numPr>
        <w:jc w:val="both"/>
        <w:rPr>
          <w:rFonts w:ascii="Verdana" w:eastAsia="Calibri" w:hAnsi="Verdana" w:cs="Arial"/>
          <w:bCs/>
          <w:color w:val="000000"/>
        </w:rPr>
      </w:pPr>
      <w:r w:rsidRPr="00D07606">
        <w:rPr>
          <w:rFonts w:ascii="Verdana" w:eastAsia="Calibri" w:hAnsi="Verdana" w:cs="Arial"/>
          <w:bCs/>
          <w:color w:val="000000"/>
        </w:rPr>
        <w:t xml:space="preserve">Esto implica, respecto del término para publicar la invitación y para la presentación de ofertas en procedimientos </w:t>
      </w:r>
      <w:r>
        <w:rPr>
          <w:rFonts w:ascii="Verdana" w:eastAsia="Calibri" w:hAnsi="Verdana" w:cs="Arial"/>
          <w:bCs/>
          <w:color w:val="000000"/>
        </w:rPr>
        <w:t>contractuales</w:t>
      </w:r>
      <w:r w:rsidRPr="00D07606">
        <w:rPr>
          <w:rFonts w:ascii="Verdana" w:eastAsia="Calibri" w:hAnsi="Verdana" w:cs="Arial"/>
          <w:bCs/>
          <w:color w:val="000000"/>
        </w:rPr>
        <w:t xml:space="preserve">, así como para el cómputo de los demás términos en días hábiles propios de </w:t>
      </w:r>
      <w:r>
        <w:rPr>
          <w:rFonts w:ascii="Verdana" w:eastAsia="Calibri" w:hAnsi="Verdana" w:cs="Arial"/>
          <w:bCs/>
          <w:color w:val="000000"/>
        </w:rPr>
        <w:t>lo</w:t>
      </w:r>
      <w:r w:rsidRPr="00D07606">
        <w:rPr>
          <w:rFonts w:ascii="Verdana" w:eastAsia="Calibri" w:hAnsi="Verdana" w:cs="Arial"/>
          <w:bCs/>
          <w:color w:val="000000"/>
        </w:rPr>
        <w:t xml:space="preserve">s procesos de selección, que deberá transcurrir dentro de los días definidos por cada entidad estatal como laborables en su correspondiente reglamento o manual de funciones. </w:t>
      </w:r>
      <w:bookmarkEnd w:id="1"/>
    </w:p>
    <w:p w14:paraId="458B8365" w14:textId="77777777" w:rsidR="000A7E2C" w:rsidRPr="00D07606" w:rsidRDefault="000A7E2C" w:rsidP="000A7E2C">
      <w:pPr>
        <w:pStyle w:val="Prrafodelista"/>
        <w:rPr>
          <w:rFonts w:ascii="Verdana" w:eastAsia="Calibri" w:hAnsi="Verdana" w:cs="Arial"/>
          <w:bCs/>
          <w:color w:val="000000"/>
        </w:rPr>
      </w:pPr>
    </w:p>
    <w:p w14:paraId="143C9602" w14:textId="77777777" w:rsidR="000A7E2C" w:rsidRDefault="000A7E2C" w:rsidP="000A7E2C">
      <w:pPr>
        <w:pStyle w:val="Prrafodelista"/>
        <w:numPr>
          <w:ilvl w:val="0"/>
          <w:numId w:val="20"/>
        </w:numPr>
        <w:jc w:val="both"/>
        <w:rPr>
          <w:rFonts w:ascii="Verdana" w:eastAsia="Calibri" w:hAnsi="Verdana" w:cs="Arial"/>
          <w:bCs/>
          <w:color w:val="000000"/>
        </w:rPr>
      </w:pPr>
      <w:r w:rsidRPr="00D07606">
        <w:rPr>
          <w:rFonts w:ascii="Verdana" w:eastAsia="Calibri" w:hAnsi="Verdana" w:cs="Arial"/>
          <w:bCs/>
          <w:color w:val="000000"/>
        </w:rPr>
        <w:t xml:space="preserve">Lo anterior supone varias posibilidades para fijar y realizar el cómputo de dichos términos, con especial importancia cuando se fijan por el mínimo legal de un día hábil, por lo que resultan posibles las siguientes interpretaciones: i) que el plazo está comprendido por un espacio de veinticuatro (24) horas consecutivas, cuyos extremos están ubicados dentro de las horas laborables de la entidad, de tal manera que una entidad con un horario de atención entre las 8:00 y 17:00 horas, podrá fijar un término para recibir ofertas entre las 15:00 horas de un día y las 15:00 horas del siguiente; </w:t>
      </w:r>
      <w:proofErr w:type="spellStart"/>
      <w:r w:rsidRPr="00D07606">
        <w:rPr>
          <w:rFonts w:ascii="Verdana" w:eastAsia="Calibri" w:hAnsi="Verdana" w:cs="Arial"/>
          <w:bCs/>
          <w:color w:val="000000"/>
        </w:rPr>
        <w:t>ii</w:t>
      </w:r>
      <w:proofErr w:type="spellEnd"/>
      <w:r w:rsidRPr="00D07606">
        <w:rPr>
          <w:rFonts w:ascii="Verdana" w:eastAsia="Calibri" w:hAnsi="Verdana" w:cs="Arial"/>
          <w:bCs/>
          <w:color w:val="000000"/>
        </w:rPr>
        <w:t xml:space="preserve">) que el día hábil al que hace referencia la ley está comprendido por las horas durante las cuales la entidad atiende al público durante un día fijado como laborable, por lo que si se establece un horario de atención entre las 8:00 y las 17:00 horas, para cumplir el plazo mínimo la entidad debe publicar la invitación y recibir ofertas únicamente durante dicho lapso; o </w:t>
      </w:r>
      <w:proofErr w:type="spellStart"/>
      <w:r w:rsidRPr="00D07606">
        <w:rPr>
          <w:rFonts w:ascii="Verdana" w:eastAsia="Calibri" w:hAnsi="Verdana" w:cs="Arial"/>
          <w:bCs/>
          <w:color w:val="000000"/>
        </w:rPr>
        <w:t>iii</w:t>
      </w:r>
      <w:proofErr w:type="spellEnd"/>
      <w:r w:rsidRPr="00D07606">
        <w:rPr>
          <w:rFonts w:ascii="Verdana" w:eastAsia="Calibri" w:hAnsi="Verdana" w:cs="Arial"/>
          <w:bCs/>
          <w:color w:val="000000"/>
        </w:rPr>
        <w:t xml:space="preserve">) que el término de un día hábil está constituido por las veinticuatro horas que conforman uno de los días laborables definidos por la entidad, empezando a las 00:00 horas y terminando a las 23:59 de dicho día. </w:t>
      </w:r>
    </w:p>
    <w:p w14:paraId="735375CF" w14:textId="77777777" w:rsidR="000A7E2C" w:rsidRDefault="000A7E2C" w:rsidP="000A7E2C">
      <w:pPr>
        <w:pStyle w:val="Prrafodelista"/>
        <w:jc w:val="both"/>
        <w:rPr>
          <w:rFonts w:ascii="Verdana" w:eastAsia="Calibri" w:hAnsi="Verdana" w:cs="Arial"/>
          <w:bCs/>
          <w:color w:val="000000"/>
        </w:rPr>
      </w:pPr>
    </w:p>
    <w:p w14:paraId="63DB710C" w14:textId="77777777" w:rsidR="000A7E2C" w:rsidRPr="00D07606" w:rsidRDefault="000A7E2C" w:rsidP="000A7E2C">
      <w:pPr>
        <w:pStyle w:val="Prrafodelista"/>
        <w:numPr>
          <w:ilvl w:val="0"/>
          <w:numId w:val="20"/>
        </w:numPr>
        <w:jc w:val="both"/>
        <w:rPr>
          <w:rFonts w:ascii="Verdana" w:eastAsia="Calibri" w:hAnsi="Verdana" w:cs="Arial"/>
          <w:bCs/>
          <w:color w:val="000000"/>
        </w:rPr>
      </w:pPr>
      <w:r w:rsidRPr="00D07606">
        <w:rPr>
          <w:rFonts w:ascii="Verdana" w:eastAsia="Calibri" w:hAnsi="Verdana" w:cs="Arial"/>
          <w:bCs/>
          <w:color w:val="000000"/>
        </w:rPr>
        <w:t xml:space="preserve">La primera interpretación supone que se tomen horas de la jornada laboral de un día y se complementen con otras del día siguiente, para completar un total de veinticuatro. No obstante, esta forma de entender el plazo para presentar ofertas no es coherente con lo establecido en la ley, que </w:t>
      </w:r>
      <w:r w:rsidRPr="00D07606">
        <w:rPr>
          <w:rFonts w:ascii="Verdana" w:eastAsia="Calibri" w:hAnsi="Verdana" w:cs="Arial"/>
          <w:bCs/>
          <w:color w:val="000000"/>
        </w:rPr>
        <w:lastRenderedPageBreak/>
        <w:t xml:space="preserve">al establecer que el término deberá ser de mínimo un día hábil da a entender que la presentación de ofertas debe tener lugar durante un único día hábil determinado, y no durante veinticuatro horas fraccionadas en dos días. Por ello, </w:t>
      </w:r>
      <w:r w:rsidRPr="00D07606">
        <w:rPr>
          <w:rFonts w:ascii="Verdana" w:eastAsia="Calibri" w:hAnsi="Verdana" w:cs="Arial"/>
          <w:bCs/>
          <w:color w:val="000000"/>
          <w:lang w:val="es-MX"/>
        </w:rPr>
        <w:t xml:space="preserve">esta Agencia estima que las entidades, para cumplir el plazo mínimo de un día hábil, necesariamente deben fijar los extremos de este dentro un mismo día solar laborable.   </w:t>
      </w:r>
    </w:p>
    <w:p w14:paraId="748CB418" w14:textId="77777777" w:rsidR="000A7E2C" w:rsidRPr="00D07606" w:rsidRDefault="000A7E2C" w:rsidP="000A7E2C">
      <w:pPr>
        <w:pStyle w:val="Prrafodelista"/>
        <w:rPr>
          <w:rFonts w:ascii="Verdana" w:eastAsia="Calibri" w:hAnsi="Verdana" w:cs="Arial"/>
          <w:bCs/>
          <w:color w:val="000000"/>
          <w:lang w:val="es-MX"/>
        </w:rPr>
      </w:pPr>
    </w:p>
    <w:p w14:paraId="54E5FBA5" w14:textId="77777777" w:rsidR="000A7E2C" w:rsidRDefault="000A7E2C" w:rsidP="000A7E2C">
      <w:pPr>
        <w:pStyle w:val="Prrafodelista"/>
        <w:numPr>
          <w:ilvl w:val="0"/>
          <w:numId w:val="20"/>
        </w:numPr>
        <w:jc w:val="both"/>
        <w:rPr>
          <w:rFonts w:ascii="Verdana" w:eastAsia="Calibri" w:hAnsi="Verdana" w:cs="Arial"/>
          <w:bCs/>
          <w:color w:val="000000"/>
        </w:rPr>
      </w:pPr>
      <w:r w:rsidRPr="00D07606">
        <w:rPr>
          <w:rFonts w:ascii="Verdana" w:eastAsia="Calibri" w:hAnsi="Verdana" w:cs="Arial"/>
          <w:bCs/>
          <w:color w:val="000000"/>
          <w:lang w:val="es-MX"/>
        </w:rPr>
        <w:t xml:space="preserve">Conforme a lo anterior, la segunda interpretación resulta la más razonable, porque es la adecuada a las circunstancias prácticas propias de la presentación de ofertas, particularmente en el caso de las entidades que publican sus procesos de selección en la plataforma SECOP I, y recibiendo ofertas en medio físico, lo cual implica que durante la vigencia del término para la presentación de ofertas haya una persona disponible en las instalaciones de la entidad  para recibir las ofertas y haga la correspondiente radicación, lo cual solo resulta posible en las horas laborables.  </w:t>
      </w:r>
      <w:r w:rsidRPr="00D07606">
        <w:rPr>
          <w:rFonts w:ascii="Verdana" w:eastAsia="Calibri" w:hAnsi="Verdana" w:cs="Arial"/>
          <w:bCs/>
          <w:color w:val="000000"/>
        </w:rPr>
        <w:t>A esto se suma el hecho de que las entidades no suelen tener horarios de atención al público de veinticuatro horas diarias, comoquiera que solo están obligadas a garantizar la atención durante cuarenta horas semanales</w:t>
      </w:r>
      <w:r w:rsidRPr="00BC67D2">
        <w:rPr>
          <w:vertAlign w:val="superscript"/>
        </w:rPr>
        <w:footnoteReference w:id="8"/>
      </w:r>
      <w:r w:rsidRPr="00D07606">
        <w:rPr>
          <w:rFonts w:ascii="Verdana" w:eastAsia="Calibri" w:hAnsi="Verdana" w:cs="Arial"/>
          <w:bCs/>
          <w:color w:val="000000"/>
        </w:rPr>
        <w:t>.</w:t>
      </w:r>
    </w:p>
    <w:p w14:paraId="15F3DDC2" w14:textId="77777777" w:rsidR="000A7E2C" w:rsidRPr="00D07606" w:rsidRDefault="000A7E2C" w:rsidP="000A7E2C">
      <w:pPr>
        <w:pStyle w:val="Prrafodelista"/>
        <w:rPr>
          <w:rFonts w:ascii="Verdana" w:eastAsia="Calibri" w:hAnsi="Verdana" w:cs="Arial"/>
          <w:bCs/>
          <w:color w:val="000000"/>
        </w:rPr>
      </w:pPr>
    </w:p>
    <w:p w14:paraId="4E6F3249" w14:textId="3AA4D1CD" w:rsidR="000A7E2C" w:rsidRDefault="000A7E2C" w:rsidP="00727DBF">
      <w:pPr>
        <w:pStyle w:val="Prrafodelista"/>
        <w:numPr>
          <w:ilvl w:val="0"/>
          <w:numId w:val="20"/>
        </w:numPr>
        <w:jc w:val="both"/>
        <w:rPr>
          <w:rFonts w:ascii="Verdana" w:eastAsia="Calibri" w:hAnsi="Verdana" w:cs="Arial"/>
          <w:bCs/>
          <w:color w:val="000000"/>
        </w:rPr>
      </w:pPr>
      <w:r w:rsidRPr="00D07606">
        <w:rPr>
          <w:rFonts w:ascii="Verdana" w:eastAsia="Calibri" w:hAnsi="Verdana" w:cs="Arial"/>
          <w:bCs/>
          <w:color w:val="000000"/>
        </w:rPr>
        <w:t xml:space="preserve">Sin embargo, en los procesos de </w:t>
      </w:r>
      <w:r>
        <w:rPr>
          <w:rFonts w:ascii="Verdana" w:eastAsia="Calibri" w:hAnsi="Verdana" w:cs="Arial"/>
          <w:bCs/>
          <w:color w:val="000000"/>
        </w:rPr>
        <w:t>contratación</w:t>
      </w:r>
      <w:r w:rsidRPr="00D07606">
        <w:rPr>
          <w:rFonts w:ascii="Verdana" w:eastAsia="Calibri" w:hAnsi="Verdana" w:cs="Arial"/>
          <w:bCs/>
          <w:color w:val="000000"/>
        </w:rPr>
        <w:t xml:space="preserve"> adelantados a través de SECOP II, la Agencia Nacional de Contratación Pública – Colombia Compra Eficiente considera que, conforme a la tercera interpretación señalada, es necesario que las entidades extiendan el plazo para presentar ofertas hasta las 23:59 horas del día previsto para ello, por existir una herramienta tecnológica para presentar y recibirlas, que permite que se prescinda de la presencia física del personal para la recibirlas y radicarlas por fuera de la jornada laboral.</w:t>
      </w:r>
    </w:p>
    <w:p w14:paraId="54C2F885" w14:textId="77777777" w:rsidR="00727DBF" w:rsidRPr="00727DBF" w:rsidRDefault="00727DBF" w:rsidP="00727DBF">
      <w:pPr>
        <w:pStyle w:val="Prrafodelista"/>
        <w:rPr>
          <w:rFonts w:ascii="Verdana" w:eastAsia="Calibri" w:hAnsi="Verdana" w:cs="Arial"/>
          <w:bCs/>
          <w:color w:val="000000"/>
        </w:rPr>
      </w:pPr>
    </w:p>
    <w:p w14:paraId="19510895" w14:textId="77777777" w:rsidR="00727DBF" w:rsidRPr="00727DBF" w:rsidRDefault="00727DBF" w:rsidP="00727DBF">
      <w:pPr>
        <w:pStyle w:val="Prrafodelista"/>
        <w:jc w:val="both"/>
        <w:rPr>
          <w:rFonts w:ascii="Verdana" w:eastAsia="Calibri" w:hAnsi="Verdana" w:cs="Arial"/>
          <w:bCs/>
          <w:color w:val="000000"/>
        </w:rPr>
      </w:pPr>
    </w:p>
    <w:p w14:paraId="1AE900CD" w14:textId="77777777" w:rsidR="000A7E2C" w:rsidRPr="009322DA" w:rsidRDefault="000A7E2C" w:rsidP="000A7E2C">
      <w:pPr>
        <w:jc w:val="both"/>
        <w:rPr>
          <w:rFonts w:ascii="Verdana" w:eastAsia="Calibri" w:hAnsi="Verdana" w:cs="Arial"/>
          <w:b/>
          <w:bCs/>
        </w:rPr>
      </w:pPr>
      <w:r w:rsidRPr="009322DA">
        <w:rPr>
          <w:rFonts w:ascii="Verdana" w:eastAsia="Calibri" w:hAnsi="Verdana" w:cs="Arial"/>
          <w:b/>
          <w:bCs/>
        </w:rPr>
        <w:t>4. Referencias</w:t>
      </w:r>
      <w:r>
        <w:rPr>
          <w:rFonts w:ascii="Verdana" w:eastAsia="Calibri" w:hAnsi="Verdana" w:cs="Arial"/>
          <w:b/>
          <w:bCs/>
        </w:rPr>
        <w:t xml:space="preserve"> </w:t>
      </w:r>
      <w:r w:rsidRPr="009322DA">
        <w:rPr>
          <w:rFonts w:ascii="Verdana" w:eastAsia="Calibri" w:hAnsi="Verdana" w:cs="Arial"/>
          <w:b/>
          <w:bCs/>
        </w:rPr>
        <w:t>normativas, jurisprudenciales y otras fuentes:</w:t>
      </w:r>
    </w:p>
    <w:tbl>
      <w:tblPr>
        <w:tblStyle w:val="Tablaconcuadrcula1"/>
        <w:tblW w:w="8640"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0"/>
      </w:tblGrid>
      <w:tr w:rsidR="000A7E2C" w:rsidRPr="009322DA" w14:paraId="22CFECE0" w14:textId="77777777" w:rsidTr="001449F3">
        <w:trPr>
          <w:trHeight w:val="1068"/>
        </w:trPr>
        <w:tc>
          <w:tcPr>
            <w:tcW w:w="8647" w:type="dxa"/>
            <w:tcBorders>
              <w:top w:val="dotted" w:sz="4" w:space="0" w:color="auto"/>
              <w:left w:val="dotted" w:sz="4" w:space="0" w:color="auto"/>
              <w:bottom w:val="dotted" w:sz="4" w:space="0" w:color="auto"/>
              <w:right w:val="dotted" w:sz="4" w:space="0" w:color="auto"/>
            </w:tcBorders>
          </w:tcPr>
          <w:p w14:paraId="77D0699F" w14:textId="77777777" w:rsidR="000A7E2C" w:rsidRDefault="000A7E2C" w:rsidP="000A7E2C">
            <w:pPr>
              <w:widowControl w:val="0"/>
              <w:numPr>
                <w:ilvl w:val="0"/>
                <w:numId w:val="17"/>
              </w:numPr>
              <w:autoSpaceDE w:val="0"/>
              <w:autoSpaceDN w:val="0"/>
              <w:spacing w:after="120" w:line="276" w:lineRule="auto"/>
              <w:contextualSpacing/>
              <w:jc w:val="both"/>
              <w:rPr>
                <w:rFonts w:ascii="Verdana" w:hAnsi="Verdana" w:cs="Arial"/>
                <w:lang w:val="es-MX"/>
              </w:rPr>
            </w:pPr>
            <w:r w:rsidRPr="006D50BC">
              <w:rPr>
                <w:rFonts w:ascii="Verdana" w:hAnsi="Verdana" w:cs="Arial"/>
                <w:lang w:val="es-MX"/>
              </w:rPr>
              <w:t xml:space="preserve">Ley </w:t>
            </w:r>
            <w:r>
              <w:rPr>
                <w:rFonts w:ascii="Verdana" w:hAnsi="Verdana" w:cs="Arial"/>
                <w:lang w:val="es-MX"/>
              </w:rPr>
              <w:t>80 de 1993; articulo 24.</w:t>
            </w:r>
          </w:p>
          <w:p w14:paraId="1170FEF6" w14:textId="77777777" w:rsidR="000A7E2C" w:rsidRDefault="000A7E2C" w:rsidP="000A7E2C">
            <w:pPr>
              <w:widowControl w:val="0"/>
              <w:numPr>
                <w:ilvl w:val="0"/>
                <w:numId w:val="17"/>
              </w:numPr>
              <w:autoSpaceDE w:val="0"/>
              <w:autoSpaceDN w:val="0"/>
              <w:spacing w:after="120" w:line="276" w:lineRule="auto"/>
              <w:contextualSpacing/>
              <w:jc w:val="both"/>
              <w:rPr>
                <w:rFonts w:ascii="Verdana" w:hAnsi="Verdana" w:cs="Arial"/>
                <w:lang w:val="es-MX"/>
              </w:rPr>
            </w:pPr>
            <w:r>
              <w:rPr>
                <w:rFonts w:ascii="Verdana" w:hAnsi="Verdana" w:cs="Arial"/>
                <w:lang w:val="es-MX"/>
              </w:rPr>
              <w:t>Ley 4 de 1913; artículos 59 y 62.</w:t>
            </w:r>
          </w:p>
          <w:p w14:paraId="36F1E322" w14:textId="77777777" w:rsidR="000A7E2C" w:rsidRDefault="000A7E2C" w:rsidP="000A7E2C">
            <w:pPr>
              <w:widowControl w:val="0"/>
              <w:numPr>
                <w:ilvl w:val="0"/>
                <w:numId w:val="17"/>
              </w:numPr>
              <w:autoSpaceDE w:val="0"/>
              <w:autoSpaceDN w:val="0"/>
              <w:spacing w:after="120" w:line="276" w:lineRule="auto"/>
              <w:contextualSpacing/>
              <w:jc w:val="both"/>
              <w:rPr>
                <w:rFonts w:ascii="Verdana" w:hAnsi="Verdana" w:cs="Arial"/>
                <w:lang w:val="es-MX"/>
              </w:rPr>
            </w:pPr>
            <w:r>
              <w:rPr>
                <w:rFonts w:ascii="Verdana" w:hAnsi="Verdana" w:cs="Arial"/>
                <w:lang w:val="es-MX"/>
              </w:rPr>
              <w:t>Ley 51 de 1983; articulo 1.</w:t>
            </w:r>
          </w:p>
          <w:p w14:paraId="78A358EE" w14:textId="77777777" w:rsidR="000A7E2C" w:rsidRDefault="000A7E2C" w:rsidP="000A7E2C">
            <w:pPr>
              <w:widowControl w:val="0"/>
              <w:numPr>
                <w:ilvl w:val="0"/>
                <w:numId w:val="17"/>
              </w:numPr>
              <w:autoSpaceDE w:val="0"/>
              <w:autoSpaceDN w:val="0"/>
              <w:spacing w:after="120" w:line="276" w:lineRule="auto"/>
              <w:contextualSpacing/>
              <w:jc w:val="both"/>
              <w:rPr>
                <w:rFonts w:ascii="Verdana" w:hAnsi="Verdana" w:cs="Arial"/>
                <w:lang w:val="es-MX"/>
              </w:rPr>
            </w:pPr>
            <w:r>
              <w:rPr>
                <w:rFonts w:ascii="Verdana" w:hAnsi="Verdana" w:cs="Arial"/>
                <w:lang w:val="es-MX"/>
              </w:rPr>
              <w:t>Ley 1437 de 2011; articulo 7.</w:t>
            </w:r>
          </w:p>
          <w:p w14:paraId="2D978A8A" w14:textId="77777777" w:rsidR="000A7E2C" w:rsidRPr="007D4BAC" w:rsidRDefault="000A7E2C" w:rsidP="000A7E2C">
            <w:pPr>
              <w:widowControl w:val="0"/>
              <w:numPr>
                <w:ilvl w:val="0"/>
                <w:numId w:val="17"/>
              </w:numPr>
              <w:autoSpaceDE w:val="0"/>
              <w:autoSpaceDN w:val="0"/>
              <w:spacing w:after="120" w:line="276" w:lineRule="auto"/>
              <w:contextualSpacing/>
              <w:jc w:val="both"/>
              <w:rPr>
                <w:rFonts w:ascii="Verdana" w:hAnsi="Verdana" w:cs="Arial"/>
                <w:lang w:val="es-MX"/>
              </w:rPr>
            </w:pPr>
            <w:r w:rsidRPr="00955C78">
              <w:rPr>
                <w:rFonts w:ascii="Verdana" w:hAnsi="Verdana" w:cs="Arial"/>
              </w:rPr>
              <w:lastRenderedPageBreak/>
              <w:t>Decreto 1082 de 2015, artículo 2</w:t>
            </w:r>
            <w:r>
              <w:rPr>
                <w:rFonts w:ascii="Verdana" w:hAnsi="Verdana" w:cs="Arial"/>
              </w:rPr>
              <w:t>.2.1.1.2.1.3.</w:t>
            </w:r>
            <w:r w:rsidRPr="00955C78">
              <w:rPr>
                <w:rFonts w:ascii="Verdana" w:hAnsi="Verdana" w:cs="Arial"/>
              </w:rPr>
              <w:t xml:space="preserve"> </w:t>
            </w:r>
          </w:p>
          <w:p w14:paraId="29AA8F26" w14:textId="77777777" w:rsidR="000A7E2C" w:rsidRPr="007D4BAC" w:rsidRDefault="000A7E2C" w:rsidP="000A7E2C">
            <w:pPr>
              <w:widowControl w:val="0"/>
              <w:numPr>
                <w:ilvl w:val="0"/>
                <w:numId w:val="17"/>
              </w:numPr>
              <w:autoSpaceDE w:val="0"/>
              <w:autoSpaceDN w:val="0"/>
              <w:spacing w:after="120" w:line="276" w:lineRule="auto"/>
              <w:contextualSpacing/>
              <w:jc w:val="both"/>
              <w:rPr>
                <w:rFonts w:ascii="Verdana" w:hAnsi="Verdana" w:cs="Arial"/>
                <w:lang w:val="es-MX"/>
              </w:rPr>
            </w:pPr>
            <w:r>
              <w:rPr>
                <w:rFonts w:ascii="Verdana" w:hAnsi="Verdana" w:cs="Arial"/>
              </w:rPr>
              <w:t xml:space="preserve">Sentencia </w:t>
            </w:r>
            <w:r w:rsidRPr="007D4BAC">
              <w:rPr>
                <w:rFonts w:ascii="Verdana" w:hAnsi="Verdana" w:cs="Arial"/>
              </w:rPr>
              <w:t>del 12 de abril de 1978.</w:t>
            </w:r>
            <w:r>
              <w:rPr>
                <w:rFonts w:ascii="Verdana" w:hAnsi="Verdana" w:cs="Arial"/>
              </w:rPr>
              <w:t xml:space="preserve"> </w:t>
            </w:r>
            <w:r w:rsidRPr="007D4BAC">
              <w:rPr>
                <w:rFonts w:ascii="Verdana" w:hAnsi="Verdana" w:cs="Arial"/>
              </w:rPr>
              <w:t>Consejo de Estado. Sala Plena de lo Contencioso Administrativo</w:t>
            </w:r>
            <w:r>
              <w:rPr>
                <w:rFonts w:ascii="Verdana" w:hAnsi="Verdana" w:cs="Arial"/>
              </w:rPr>
              <w:t xml:space="preserve"> </w:t>
            </w:r>
            <w:r w:rsidRPr="007D4BAC">
              <w:rPr>
                <w:rFonts w:ascii="Verdana" w:hAnsi="Verdana" w:cs="Arial"/>
              </w:rPr>
              <w:t xml:space="preserve">C.P. Carlos Portocarrero Mutis. </w:t>
            </w:r>
            <w:proofErr w:type="spellStart"/>
            <w:r w:rsidRPr="007D4BAC">
              <w:rPr>
                <w:rFonts w:ascii="Verdana" w:hAnsi="Verdana" w:cs="Arial"/>
              </w:rPr>
              <w:t>Exp</w:t>
            </w:r>
            <w:proofErr w:type="spellEnd"/>
            <w:r w:rsidRPr="007D4BAC">
              <w:rPr>
                <w:rFonts w:ascii="Verdana" w:hAnsi="Verdana" w:cs="Arial"/>
              </w:rPr>
              <w:t>. 355.</w:t>
            </w:r>
          </w:p>
          <w:p w14:paraId="0F42756E" w14:textId="77777777" w:rsidR="000A7E2C" w:rsidRPr="007D4BAC" w:rsidRDefault="000A7E2C" w:rsidP="000A7E2C">
            <w:pPr>
              <w:widowControl w:val="0"/>
              <w:numPr>
                <w:ilvl w:val="0"/>
                <w:numId w:val="17"/>
              </w:numPr>
              <w:autoSpaceDE w:val="0"/>
              <w:autoSpaceDN w:val="0"/>
              <w:spacing w:after="120" w:line="276" w:lineRule="auto"/>
              <w:contextualSpacing/>
              <w:jc w:val="both"/>
              <w:rPr>
                <w:rFonts w:ascii="Verdana" w:hAnsi="Verdana" w:cs="Arial"/>
                <w:lang w:val="es-MX"/>
              </w:rPr>
            </w:pPr>
            <w:r w:rsidRPr="007D4BAC">
              <w:rPr>
                <w:rFonts w:ascii="Verdana" w:hAnsi="Verdana" w:cs="Arial"/>
              </w:rPr>
              <w:t>Auto del 26 de febrero de 1983</w:t>
            </w:r>
            <w:r>
              <w:rPr>
                <w:rFonts w:ascii="Verdana" w:hAnsi="Verdana" w:cs="Arial"/>
              </w:rPr>
              <w:t xml:space="preserve">, </w:t>
            </w:r>
            <w:r w:rsidRPr="007D4BAC">
              <w:rPr>
                <w:rFonts w:ascii="Verdana" w:hAnsi="Verdana" w:cs="Arial"/>
              </w:rPr>
              <w:t>Consejo de Estado. Sección Cuarta.</w:t>
            </w:r>
          </w:p>
          <w:p w14:paraId="039FC186" w14:textId="77777777" w:rsidR="000A7E2C" w:rsidRPr="00955C78" w:rsidRDefault="000A7E2C" w:rsidP="000A7E2C">
            <w:pPr>
              <w:widowControl w:val="0"/>
              <w:numPr>
                <w:ilvl w:val="0"/>
                <w:numId w:val="17"/>
              </w:numPr>
              <w:autoSpaceDE w:val="0"/>
              <w:autoSpaceDN w:val="0"/>
              <w:spacing w:after="120" w:line="276" w:lineRule="auto"/>
              <w:contextualSpacing/>
              <w:jc w:val="both"/>
              <w:rPr>
                <w:rFonts w:ascii="Verdana" w:hAnsi="Verdana" w:cs="Arial"/>
                <w:lang w:val="es-MX"/>
              </w:rPr>
            </w:pPr>
            <w:r w:rsidRPr="007D4BAC">
              <w:rPr>
                <w:rFonts w:ascii="Verdana" w:hAnsi="Verdana" w:cs="Arial"/>
              </w:rPr>
              <w:t>MARÍN CORTÉS, Fabián G. Derecho de petición y procedimiento administrativo. 1</w:t>
            </w:r>
            <w:r w:rsidRPr="007D4BAC">
              <w:rPr>
                <w:rFonts w:ascii="Verdana" w:hAnsi="Verdana" w:cs="Arial"/>
                <w:u w:val="single"/>
                <w:vertAlign w:val="superscript"/>
              </w:rPr>
              <w:t>a</w:t>
            </w:r>
            <w:r w:rsidRPr="007D4BAC">
              <w:rPr>
                <w:rFonts w:ascii="Verdana" w:hAnsi="Verdana" w:cs="Arial"/>
              </w:rPr>
              <w:t xml:space="preserve"> ed. Medellín: Librería Jurídica Sánchez R </w:t>
            </w:r>
            <w:proofErr w:type="spellStart"/>
            <w:r w:rsidRPr="007D4BAC">
              <w:rPr>
                <w:rFonts w:ascii="Verdana" w:hAnsi="Verdana" w:cs="Arial"/>
              </w:rPr>
              <w:t>Ltda</w:t>
            </w:r>
            <w:proofErr w:type="spellEnd"/>
            <w:r w:rsidRPr="007D4BAC">
              <w:rPr>
                <w:rFonts w:ascii="Verdana" w:hAnsi="Verdana" w:cs="Arial"/>
              </w:rPr>
              <w:t xml:space="preserve"> y Centro de Estudios de Derecho Administrativo, 2017. p. 417.  </w:t>
            </w:r>
          </w:p>
        </w:tc>
      </w:tr>
    </w:tbl>
    <w:p w14:paraId="1DBF13E3" w14:textId="77777777" w:rsidR="000A7E2C" w:rsidRPr="009322DA" w:rsidRDefault="000A7E2C" w:rsidP="000A7E2C">
      <w:pPr>
        <w:tabs>
          <w:tab w:val="left" w:pos="142"/>
          <w:tab w:val="left" w:pos="284"/>
        </w:tabs>
        <w:spacing w:after="0" w:line="276" w:lineRule="auto"/>
        <w:jc w:val="both"/>
        <w:rPr>
          <w:rFonts w:ascii="Verdana" w:eastAsia="Calibri" w:hAnsi="Verdana" w:cs="Arial"/>
        </w:rPr>
      </w:pPr>
    </w:p>
    <w:p w14:paraId="466A9C05" w14:textId="77777777" w:rsidR="000A7E2C" w:rsidRDefault="000A7E2C" w:rsidP="000A7E2C">
      <w:pPr>
        <w:tabs>
          <w:tab w:val="left" w:pos="142"/>
          <w:tab w:val="left" w:pos="284"/>
        </w:tabs>
        <w:spacing w:after="0" w:line="276" w:lineRule="auto"/>
        <w:jc w:val="both"/>
        <w:rPr>
          <w:rFonts w:ascii="Verdana" w:eastAsia="Century Gothic" w:hAnsi="Verdana" w:cs="Century Gothic"/>
          <w:b/>
          <w:bCs/>
          <w:lang w:val="es-ES"/>
        </w:rPr>
      </w:pPr>
      <w:r w:rsidRPr="00196A7A">
        <w:rPr>
          <w:rFonts w:ascii="Verdana" w:eastAsia="Calibri" w:hAnsi="Verdana" w:cs="Arial"/>
          <w:b/>
          <w:bCs/>
        </w:rPr>
        <w:t>5.</w:t>
      </w:r>
      <w:r>
        <w:rPr>
          <w:rFonts w:ascii="Verdana" w:eastAsia="Calibri" w:hAnsi="Verdana" w:cs="Arial"/>
          <w:b/>
          <w:bCs/>
        </w:rPr>
        <w:t xml:space="preserve"> </w:t>
      </w:r>
      <w:r w:rsidRPr="00196A7A">
        <w:rPr>
          <w:rFonts w:ascii="Verdana" w:eastAsia="Century Gothic" w:hAnsi="Verdana" w:cs="Century Gothic"/>
          <w:b/>
          <w:bCs/>
          <w:lang w:val="es-ES"/>
        </w:rPr>
        <w:t>Doctrina</w:t>
      </w:r>
      <w:r w:rsidRPr="009322DA">
        <w:rPr>
          <w:rFonts w:ascii="Verdana" w:eastAsia="Century Gothic" w:hAnsi="Verdana" w:cs="Century Gothic"/>
          <w:b/>
          <w:bCs/>
          <w:lang w:val="es-ES"/>
        </w:rPr>
        <w:t xml:space="preserve"> de la Agencia Nacional de Contratación Pública:</w:t>
      </w:r>
    </w:p>
    <w:p w14:paraId="02F03A45" w14:textId="77777777" w:rsidR="000A7E2C" w:rsidRPr="009322DA" w:rsidRDefault="000A7E2C" w:rsidP="000A7E2C">
      <w:pPr>
        <w:tabs>
          <w:tab w:val="left" w:pos="142"/>
          <w:tab w:val="left" w:pos="284"/>
        </w:tabs>
        <w:spacing w:after="0" w:line="276" w:lineRule="auto"/>
        <w:jc w:val="both"/>
        <w:rPr>
          <w:rFonts w:ascii="Verdana" w:eastAsia="Century Gothic" w:hAnsi="Verdana" w:cs="Century Gothic"/>
          <w:b/>
          <w:bCs/>
          <w:lang w:val="es-ES"/>
        </w:rPr>
      </w:pPr>
    </w:p>
    <w:p w14:paraId="6B3F5158" w14:textId="26028E25" w:rsidR="00507A2E" w:rsidRDefault="00234CAF" w:rsidP="000A7E2C">
      <w:pPr>
        <w:spacing w:after="0" w:line="276" w:lineRule="auto"/>
        <w:jc w:val="both"/>
        <w:rPr>
          <w:rFonts w:ascii="Verdana" w:eastAsia="Calibri" w:hAnsi="Verdana" w:cs="Arial"/>
          <w:color w:val="000000" w:themeColor="text1"/>
          <w:shd w:val="clear" w:color="auto" w:fill="FFFFFF"/>
        </w:rPr>
      </w:pPr>
      <w:r w:rsidRPr="00DD781E">
        <w:rPr>
          <w:rStyle w:val="normaltextrun"/>
          <w:rFonts w:ascii="Verdana" w:hAnsi="Verdana" w:cs="Arial"/>
          <w:shd w:val="clear" w:color="auto" w:fill="FFFFFF"/>
          <w:lang w:val="es-ES"/>
        </w:rPr>
        <w:t xml:space="preserve">Esta Subdirección se ha pronunciado sobre el </w:t>
      </w:r>
      <w:r w:rsidRPr="00A83E5E">
        <w:rPr>
          <w:rFonts w:ascii="Verdana" w:hAnsi="Verdana" w:cs="Arial"/>
          <w:shd w:val="clear" w:color="auto" w:fill="FFFFFF"/>
          <w:lang w:val="es-ES"/>
        </w:rPr>
        <w:t>cómputo de los términos en días hábiles, tema que ha sido estudiado por esta Subdirección en los conceptos</w:t>
      </w:r>
      <w:r w:rsidRPr="00A83E5E">
        <w:rPr>
          <w:rFonts w:ascii="Verdana" w:hAnsi="Verdana" w:cs="Arial"/>
          <w:shd w:val="clear" w:color="auto" w:fill="FFFFFF"/>
        </w:rPr>
        <w:t xml:space="preserve"> </w:t>
      </w:r>
      <w:r w:rsidRPr="00A83E5E">
        <w:rPr>
          <w:rFonts w:ascii="Verdana" w:hAnsi="Verdana" w:cs="Arial"/>
          <w:shd w:val="clear" w:color="auto" w:fill="FFFFFF"/>
          <w:lang w:val="es-ES"/>
        </w:rPr>
        <w:t>C-734 de 2020</w:t>
      </w:r>
      <w:r>
        <w:rPr>
          <w:rFonts w:ascii="Verdana" w:hAnsi="Verdana" w:cs="Arial"/>
          <w:shd w:val="clear" w:color="auto" w:fill="FFFFFF"/>
          <w:lang w:val="es-ES"/>
        </w:rPr>
        <w:t>,</w:t>
      </w:r>
      <w:r w:rsidRPr="00A83E5E">
        <w:rPr>
          <w:rFonts w:ascii="Verdana" w:hAnsi="Verdana" w:cs="Arial"/>
          <w:shd w:val="clear" w:color="auto" w:fill="FFFFFF"/>
          <w:lang w:val="es-ES"/>
        </w:rPr>
        <w:t xml:space="preserve"> C-118 de 2021</w:t>
      </w:r>
      <w:r>
        <w:rPr>
          <w:rFonts w:ascii="Verdana" w:hAnsi="Verdana" w:cs="Arial"/>
          <w:shd w:val="clear" w:color="auto" w:fill="FFFFFF"/>
          <w:lang w:val="es-ES"/>
        </w:rPr>
        <w:t xml:space="preserve"> y C-065 de 2024</w:t>
      </w:r>
      <w:r w:rsidRPr="00EA761C">
        <w:rPr>
          <w:rStyle w:val="normaltextrun"/>
          <w:rFonts w:ascii="Verdana" w:hAnsi="Verdana" w:cs="Arial"/>
          <w:shd w:val="clear" w:color="auto" w:fill="FFFFFF"/>
          <w:lang w:val="es-ES"/>
        </w:rPr>
        <w:t xml:space="preserve">. </w:t>
      </w:r>
      <w:r w:rsidRPr="008328CE">
        <w:rPr>
          <w:rFonts w:ascii="Verdana" w:eastAsia="Calibri" w:hAnsi="Verdana" w:cs="Arial"/>
          <w:color w:val="000000" w:themeColor="text1"/>
          <w:shd w:val="clear" w:color="auto" w:fill="FFFFFF"/>
        </w:rPr>
        <w:t>Estos y otros conceptos se encuentran disponibles para consulta en el Sistema de Relatoría de la Agencia, en el cual también podrás encontrar jurisprudencia del Consejo de Estado, laudos arbitrales y la normativa de la contratación concordada con la doctrina de la Subdirección de Gestión Contractual</w:t>
      </w:r>
      <w:r w:rsidR="000A7E2C" w:rsidRPr="00EA761C">
        <w:rPr>
          <w:rStyle w:val="normaltextrun"/>
          <w:rFonts w:ascii="Verdana" w:hAnsi="Verdana" w:cs="Arial"/>
          <w:shd w:val="clear" w:color="auto" w:fill="FFFFFF"/>
          <w:lang w:val="es-ES"/>
        </w:rPr>
        <w:t xml:space="preserve">. </w:t>
      </w:r>
      <w:r w:rsidR="000A7E2C" w:rsidRPr="008328CE">
        <w:rPr>
          <w:rFonts w:ascii="Verdana" w:eastAsia="Calibri" w:hAnsi="Verdana" w:cs="Arial"/>
          <w:color w:val="000000" w:themeColor="text1"/>
          <w:shd w:val="clear" w:color="auto" w:fill="FFFFFF"/>
        </w:rPr>
        <w:t>Estos y otros conceptos se encuentran disponibles para consulta en el Sistema de Relatoría de la Agencia, en el cual también podrás encontrar jurisprudencia del Consejo de Estado, laudos arbitrales y la normativa de la contratación concordada con la doctrina de la Subdirección de Gestión Contractual. Accede a través del siguiente enlace: </w:t>
      </w:r>
      <w:hyperlink r:id="rId12" w:tgtFrame="_blank" w:tooltip="Dirección URL original: https://relatoria.colombiacompra.gov.co/. Haga clic o pulse si confía en este vínculo." w:history="1">
        <w:r w:rsidR="000A7E2C" w:rsidRPr="008328CE">
          <w:rPr>
            <w:rStyle w:val="Hipervnculo"/>
            <w:rFonts w:ascii="Verdana" w:eastAsia="Calibri" w:hAnsi="Verdana" w:cs="Arial"/>
            <w:color w:val="000000" w:themeColor="text1"/>
            <w:shd w:val="clear" w:color="auto" w:fill="FFFFFF"/>
          </w:rPr>
          <w:t>https://relatoria.colombiacompra.gov.co/</w:t>
        </w:r>
      </w:hyperlink>
      <w:r w:rsidR="000A7E2C">
        <w:rPr>
          <w:rFonts w:ascii="Verdana" w:eastAsia="Calibri" w:hAnsi="Verdana" w:cs="Arial"/>
          <w:color w:val="000000" w:themeColor="text1"/>
          <w:shd w:val="clear" w:color="auto" w:fill="FFFFFF"/>
        </w:rPr>
        <w:t>.</w:t>
      </w:r>
      <w:r w:rsidR="000A7E2C" w:rsidRPr="008328CE">
        <w:rPr>
          <w:rFonts w:ascii="Verdana" w:eastAsia="Calibri" w:hAnsi="Verdana" w:cs="Arial"/>
          <w:color w:val="000000" w:themeColor="text1"/>
          <w:shd w:val="clear" w:color="auto" w:fill="FFFFFF"/>
        </w:rPr>
        <w:t xml:space="preserve"> </w:t>
      </w:r>
    </w:p>
    <w:p w14:paraId="1047FD8A" w14:textId="77777777" w:rsidR="00507A2E" w:rsidRDefault="00507A2E" w:rsidP="000A7E2C">
      <w:pPr>
        <w:spacing w:after="0" w:line="276" w:lineRule="auto"/>
        <w:jc w:val="both"/>
        <w:rPr>
          <w:rFonts w:ascii="Verdana" w:eastAsia="Calibri" w:hAnsi="Verdana" w:cs="Arial"/>
          <w:color w:val="000000" w:themeColor="text1"/>
          <w:shd w:val="clear" w:color="auto" w:fill="FFFFFF"/>
        </w:rPr>
      </w:pPr>
    </w:p>
    <w:p w14:paraId="100011B1" w14:textId="77777777" w:rsidR="00727DBF" w:rsidRPr="00727DBF" w:rsidRDefault="00727DBF" w:rsidP="00727DBF">
      <w:pPr>
        <w:shd w:val="clear" w:color="auto" w:fill="FFFFFF"/>
        <w:spacing w:line="240" w:lineRule="auto"/>
        <w:jc w:val="both"/>
        <w:textAlignment w:val="baseline"/>
        <w:rPr>
          <w:rFonts w:ascii="Aptos" w:eastAsia="Times New Roman" w:hAnsi="Aptos" w:cs="Times New Roman"/>
          <w:color w:val="242424"/>
          <w:sz w:val="24"/>
          <w:szCs w:val="24"/>
          <w:lang w:eastAsia="es-CO"/>
        </w:rPr>
      </w:pPr>
      <w:r w:rsidRPr="00727DBF">
        <w:rPr>
          <w:rFonts w:ascii="Aptos" w:eastAsia="Times New Roman" w:hAnsi="Aptos" w:cs="Times New Roman"/>
          <w:color w:val="000000"/>
          <w:sz w:val="24"/>
          <w:szCs w:val="24"/>
          <w:bdr w:val="none" w:sz="0" w:space="0" w:color="auto" w:frame="1"/>
          <w:lang w:eastAsia="es-CO"/>
        </w:rPr>
        <w:t xml:space="preserve">Te </w:t>
      </w:r>
      <w:proofErr w:type="gramStart"/>
      <w:r w:rsidRPr="00727DBF">
        <w:rPr>
          <w:rFonts w:ascii="Aptos" w:eastAsia="Times New Roman" w:hAnsi="Aptos" w:cs="Times New Roman"/>
          <w:color w:val="000000"/>
          <w:sz w:val="24"/>
          <w:szCs w:val="24"/>
          <w:bdr w:val="none" w:sz="0" w:space="0" w:color="auto" w:frame="1"/>
          <w:lang w:eastAsia="es-CO"/>
        </w:rPr>
        <w:t>invitamos  a</w:t>
      </w:r>
      <w:proofErr w:type="gramEnd"/>
      <w:r w:rsidRPr="00727DBF">
        <w:rPr>
          <w:rFonts w:ascii="Aptos" w:eastAsia="Times New Roman" w:hAnsi="Aptos" w:cs="Times New Roman"/>
          <w:color w:val="000000"/>
          <w:sz w:val="24"/>
          <w:szCs w:val="24"/>
          <w:bdr w:val="none" w:sz="0" w:space="0" w:color="auto" w:frame="1"/>
          <w:lang w:eastAsia="es-CO"/>
        </w:rPr>
        <w:t xml:space="preserve"> revisar la cuarta edición del Boletín de Relatoría de 2024,  en el cual se explicaron los cambios más relevantes que fueron incorporados en los Documentos Tipo para el sector de Infraestructura de Transporte, en las modalidades de selección de Licitación de Obra Pública, Selección Abreviada de Menor Cuantía y Mínima Cuantía. Puede consultarlo en el siguiente enlace : </w:t>
      </w:r>
      <w:hyperlink r:id="rId13" w:tgtFrame="_blank" w:tooltip="Dirección URL original: https://www.colombiacompra.gov.co/sala-de-prensa/boletin-digital/boletin-de-relatoria-2024-iv. Haga clic o pulse si confía en este vínculo." w:history="1">
        <w:r w:rsidRPr="00727DBF">
          <w:rPr>
            <w:rFonts w:ascii="Aptos" w:eastAsia="Times New Roman" w:hAnsi="Aptos" w:cs="Times New Roman"/>
            <w:color w:val="467886"/>
            <w:sz w:val="24"/>
            <w:szCs w:val="24"/>
            <w:u w:val="single"/>
            <w:bdr w:val="none" w:sz="0" w:space="0" w:color="auto" w:frame="1"/>
            <w:lang w:eastAsia="es-CO"/>
          </w:rPr>
          <w:t>BOLETÍN DE RELATORÍA 2024 – IV | Colombia Compra Eficiente | Agencia Nacional de Contratación Pública</w:t>
        </w:r>
      </w:hyperlink>
    </w:p>
    <w:p w14:paraId="4E716667" w14:textId="77777777" w:rsidR="000A7E2C" w:rsidRPr="009322DA" w:rsidRDefault="000A7E2C" w:rsidP="000A7E2C">
      <w:pPr>
        <w:spacing w:after="0" w:line="276" w:lineRule="auto"/>
        <w:jc w:val="both"/>
        <w:rPr>
          <w:rFonts w:ascii="Verdana" w:eastAsia="Calibri" w:hAnsi="Verdana" w:cs="Arial"/>
          <w:color w:val="FF0000"/>
          <w:shd w:val="clear" w:color="auto" w:fill="FFFFFF"/>
        </w:rPr>
      </w:pPr>
    </w:p>
    <w:p w14:paraId="6F725010" w14:textId="77777777" w:rsidR="000A7E2C" w:rsidRPr="009322DA" w:rsidRDefault="000A7E2C" w:rsidP="000A7E2C">
      <w:pPr>
        <w:spacing w:after="0" w:line="240" w:lineRule="auto"/>
        <w:jc w:val="both"/>
        <w:rPr>
          <w:rFonts w:ascii="Calibri" w:eastAsia="Calibri" w:hAnsi="Calibri" w:cs="Times New Roman"/>
        </w:rPr>
      </w:pPr>
      <w:r w:rsidRPr="0044528D">
        <w:rPr>
          <w:rFonts w:ascii="Verdana" w:hAnsi="Verdana"/>
        </w:rPr>
        <w:t xml:space="preserve">Por último, lo invitamos a seguirnos en las redes sociales en las cuales se difunde información institucional: </w:t>
      </w:r>
    </w:p>
    <w:p w14:paraId="0F765D11" w14:textId="77777777" w:rsidR="000A7E2C" w:rsidRPr="0044528D" w:rsidRDefault="000A7E2C" w:rsidP="000A7E2C">
      <w:pPr>
        <w:spacing w:after="0" w:line="240" w:lineRule="auto"/>
        <w:jc w:val="both"/>
        <w:rPr>
          <w:rFonts w:ascii="Verdana" w:hAnsi="Verdana"/>
        </w:rPr>
      </w:pPr>
    </w:p>
    <w:p w14:paraId="4ADD1457" w14:textId="77777777" w:rsidR="000A7E2C" w:rsidRPr="0044528D" w:rsidRDefault="000A7E2C" w:rsidP="000A7E2C">
      <w:pPr>
        <w:spacing w:after="0" w:line="240" w:lineRule="auto"/>
        <w:jc w:val="both"/>
        <w:rPr>
          <w:rFonts w:ascii="Verdana" w:hAnsi="Verdana"/>
        </w:rPr>
      </w:pPr>
      <w:r w:rsidRPr="0044528D">
        <w:rPr>
          <w:rFonts w:ascii="Verdana" w:hAnsi="Verdana"/>
        </w:rPr>
        <w:t xml:space="preserve">Twitter: </w:t>
      </w:r>
      <w:r w:rsidRPr="009322DA">
        <w:rPr>
          <w:rFonts w:ascii="Verdana" w:eastAsia="Calibri" w:hAnsi="Verdana" w:cs="Times New Roman"/>
          <w:color w:val="4472C4" w:themeColor="accent1"/>
          <w:u w:val="single"/>
        </w:rPr>
        <w:t>@colombiacompra</w:t>
      </w:r>
      <w:r w:rsidRPr="009322DA">
        <w:rPr>
          <w:rFonts w:ascii="Verdana" w:eastAsia="Calibri" w:hAnsi="Verdana" w:cs="Times New Roman"/>
          <w:color w:val="4472C4" w:themeColor="accent1"/>
        </w:rPr>
        <w:t xml:space="preserve"> </w:t>
      </w:r>
    </w:p>
    <w:p w14:paraId="1E622C2B" w14:textId="77777777" w:rsidR="000A7E2C" w:rsidRPr="0044528D" w:rsidRDefault="000A7E2C" w:rsidP="000A7E2C">
      <w:pPr>
        <w:spacing w:after="0" w:line="240" w:lineRule="auto"/>
        <w:jc w:val="both"/>
        <w:rPr>
          <w:rFonts w:ascii="Verdana" w:hAnsi="Verdana"/>
        </w:rPr>
      </w:pPr>
      <w:r w:rsidRPr="0044528D">
        <w:rPr>
          <w:rFonts w:ascii="Verdana" w:hAnsi="Verdana"/>
        </w:rPr>
        <w:t xml:space="preserve">Facebook: </w:t>
      </w:r>
      <w:proofErr w:type="spellStart"/>
      <w:r w:rsidRPr="009322DA">
        <w:rPr>
          <w:rFonts w:ascii="Verdana" w:eastAsia="Calibri" w:hAnsi="Verdana" w:cs="Times New Roman"/>
          <w:color w:val="4472C4" w:themeColor="accent1"/>
          <w:u w:val="single"/>
        </w:rPr>
        <w:t>ColombiaCompraEficiente</w:t>
      </w:r>
      <w:proofErr w:type="spellEnd"/>
    </w:p>
    <w:p w14:paraId="374529F0" w14:textId="77777777" w:rsidR="000A7E2C" w:rsidRPr="0044528D" w:rsidRDefault="000A7E2C" w:rsidP="000A7E2C">
      <w:pPr>
        <w:spacing w:after="0" w:line="240" w:lineRule="auto"/>
        <w:jc w:val="both"/>
        <w:rPr>
          <w:rFonts w:ascii="Verdana" w:hAnsi="Verdana"/>
        </w:rPr>
      </w:pPr>
      <w:r w:rsidRPr="0044528D">
        <w:rPr>
          <w:rFonts w:ascii="Verdana" w:hAnsi="Verdana"/>
        </w:rPr>
        <w:t xml:space="preserve">LinkedIn: </w:t>
      </w:r>
      <w:r w:rsidRPr="009322DA">
        <w:rPr>
          <w:rFonts w:ascii="Verdana" w:eastAsia="Calibri" w:hAnsi="Verdana" w:cs="Times New Roman"/>
          <w:color w:val="4472C4" w:themeColor="accent1"/>
          <w:u w:val="single"/>
        </w:rPr>
        <w:t>Agencia Nacional de Contratación Pública - Colombia Compra Eficiente</w:t>
      </w:r>
      <w:r w:rsidRPr="009322DA">
        <w:rPr>
          <w:rFonts w:ascii="Verdana" w:eastAsia="Calibri" w:hAnsi="Verdana" w:cs="Times New Roman"/>
          <w:color w:val="4472C4" w:themeColor="accent1"/>
        </w:rPr>
        <w:t xml:space="preserve"> </w:t>
      </w:r>
      <w:r w:rsidRPr="0044528D">
        <w:rPr>
          <w:rFonts w:ascii="Verdana" w:hAnsi="Verdana"/>
        </w:rPr>
        <w:t xml:space="preserve">Instagram: </w:t>
      </w:r>
      <w:r w:rsidRPr="009322DA">
        <w:rPr>
          <w:rFonts w:ascii="Verdana" w:eastAsia="Calibri" w:hAnsi="Verdana" w:cs="Times New Roman"/>
          <w:color w:val="4472C4" w:themeColor="accent1"/>
          <w:u w:val="single"/>
        </w:rPr>
        <w:t>@colombiacompraeficiente_cce</w:t>
      </w:r>
    </w:p>
    <w:p w14:paraId="7366BE7E" w14:textId="77777777" w:rsidR="000A7E2C" w:rsidRPr="0044528D" w:rsidRDefault="000A7E2C" w:rsidP="000A7E2C">
      <w:pPr>
        <w:widowControl w:val="0"/>
        <w:autoSpaceDE w:val="0"/>
        <w:autoSpaceDN w:val="0"/>
        <w:spacing w:after="0" w:line="276" w:lineRule="auto"/>
        <w:jc w:val="both"/>
        <w:rPr>
          <w:rFonts w:ascii="Verdana" w:hAnsi="Verdana"/>
        </w:rPr>
      </w:pPr>
    </w:p>
    <w:p w14:paraId="47A6CD9A" w14:textId="77777777" w:rsidR="000A7E2C" w:rsidRPr="009322DA" w:rsidRDefault="000A7E2C" w:rsidP="000A7E2C">
      <w:pPr>
        <w:widowControl w:val="0"/>
        <w:autoSpaceDE w:val="0"/>
        <w:autoSpaceDN w:val="0"/>
        <w:spacing w:after="0" w:line="276" w:lineRule="auto"/>
        <w:jc w:val="both"/>
        <w:rPr>
          <w:rFonts w:ascii="Verdana" w:eastAsia="Calibri" w:hAnsi="Verdana" w:cs="Arial"/>
          <w:lang w:val="es-ES_tradnl"/>
        </w:rPr>
      </w:pPr>
      <w:r w:rsidRPr="009322DA">
        <w:rPr>
          <w:rFonts w:ascii="Verdana" w:eastAsia="Calibri" w:hAnsi="Verdana" w:cs="Arial"/>
        </w:rPr>
        <w:lastRenderedPageBreak/>
        <w:t>Este concepto tiene el alcance previsto en el artículo 28 del Código de Procedimiento Administrativo y de lo Contencioso Administrativo.</w:t>
      </w:r>
    </w:p>
    <w:p w14:paraId="652A6116" w14:textId="77777777" w:rsidR="000A7E2C" w:rsidRPr="009322DA" w:rsidRDefault="000A7E2C" w:rsidP="000A7E2C">
      <w:pPr>
        <w:widowControl w:val="0"/>
        <w:autoSpaceDE w:val="0"/>
        <w:autoSpaceDN w:val="0"/>
        <w:spacing w:after="0" w:line="276" w:lineRule="auto"/>
        <w:jc w:val="both"/>
        <w:rPr>
          <w:rFonts w:ascii="Verdana" w:eastAsia="Calibri" w:hAnsi="Verdana" w:cs="Arial"/>
        </w:rPr>
      </w:pPr>
    </w:p>
    <w:p w14:paraId="25DB8886" w14:textId="77777777" w:rsidR="000A7E2C" w:rsidRPr="009322DA" w:rsidRDefault="000A7E2C" w:rsidP="000A7E2C">
      <w:pPr>
        <w:spacing w:after="0" w:line="240" w:lineRule="auto"/>
        <w:rPr>
          <w:rFonts w:ascii="Verdana" w:eastAsia="Calibri" w:hAnsi="Verdana" w:cs="Arial"/>
          <w:lang w:eastAsia="es-CO"/>
        </w:rPr>
      </w:pPr>
      <w:r w:rsidRPr="009322DA">
        <w:rPr>
          <w:rFonts w:ascii="Verdana" w:eastAsia="Times New Roman" w:hAnsi="Verdana" w:cs="Arial"/>
          <w:lang w:eastAsia="es-CO"/>
        </w:rPr>
        <w:t>Atentamente,</w:t>
      </w:r>
      <w:r w:rsidRPr="009322DA">
        <w:rPr>
          <w:rFonts w:ascii="Verdana" w:eastAsia="Calibri" w:hAnsi="Verdana" w:cs="Arial"/>
          <w:lang w:eastAsia="es-CO"/>
        </w:rPr>
        <w:t xml:space="preserve"> </w:t>
      </w:r>
    </w:p>
    <w:p w14:paraId="721135FF" w14:textId="2A17EC25" w:rsidR="000A7E2C" w:rsidRPr="009322DA" w:rsidRDefault="002B1E07" w:rsidP="000A7E2C">
      <w:pPr>
        <w:spacing w:line="276" w:lineRule="auto"/>
        <w:jc w:val="center"/>
        <w:rPr>
          <w:rFonts w:ascii="Verdana" w:eastAsia="Calibri" w:hAnsi="Verdana" w:cs="Arial"/>
          <w:color w:val="000000"/>
          <w:lang w:val="es-ES_tradnl" w:eastAsia="es-CO"/>
        </w:rPr>
      </w:pPr>
      <w:r>
        <w:rPr>
          <w:noProof/>
        </w:rPr>
        <w:drawing>
          <wp:inline distT="0" distB="0" distL="0" distR="0" wp14:anchorId="3DAC818C" wp14:editId="1DF2A9D5">
            <wp:extent cx="3771900" cy="1400175"/>
            <wp:effectExtent l="0" t="0" r="0" b="9525"/>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a:picLocks noChangeAspect="1"/>
                    </pic:cNvPicPr>
                  </pic:nvPicPr>
                  <pic:blipFill>
                    <a:blip r:embed="rId14"/>
                    <a:stretch>
                      <a:fillRect/>
                    </a:stretch>
                  </pic:blipFill>
                  <pic:spPr>
                    <a:xfrm>
                      <a:off x="0" y="0"/>
                      <a:ext cx="3771900" cy="1400175"/>
                    </a:xfrm>
                    <a:prstGeom prst="rect">
                      <a:avLst/>
                    </a:prstGeom>
                  </pic:spPr>
                </pic:pic>
              </a:graphicData>
            </a:graphic>
          </wp:inline>
        </w:drawing>
      </w:r>
    </w:p>
    <w:tbl>
      <w:tblPr>
        <w:tblStyle w:val="Tablaconcuadrcula1"/>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0A7E2C" w:rsidRPr="009322DA" w14:paraId="08BE5624" w14:textId="77777777" w:rsidTr="001449F3">
        <w:trPr>
          <w:trHeight w:val="315"/>
        </w:trPr>
        <w:tc>
          <w:tcPr>
            <w:tcW w:w="893" w:type="dxa"/>
            <w:vAlign w:val="center"/>
            <w:hideMark/>
          </w:tcPr>
          <w:p w14:paraId="1951761E" w14:textId="77777777" w:rsidR="000A7E2C" w:rsidRPr="009322DA" w:rsidRDefault="000A7E2C" w:rsidP="001449F3">
            <w:pPr>
              <w:spacing w:after="255"/>
              <w:contextualSpacing/>
              <w:rPr>
                <w:rFonts w:ascii="Verdana" w:hAnsi="Verdana" w:cs="Arial"/>
                <w:sz w:val="16"/>
                <w:szCs w:val="16"/>
                <w:lang w:val="es-ES" w:eastAsia="es-ES"/>
              </w:rPr>
            </w:pPr>
            <w:r w:rsidRPr="009322DA">
              <w:rPr>
                <w:rFonts w:ascii="Verdana" w:hAnsi="Verdana" w:cs="Arial"/>
                <w:sz w:val="16"/>
                <w:szCs w:val="16"/>
                <w:lang w:val="es-ES" w:eastAsia="es-ES"/>
              </w:rPr>
              <w:t>Elaboró:</w:t>
            </w:r>
          </w:p>
        </w:tc>
        <w:tc>
          <w:tcPr>
            <w:tcW w:w="5628" w:type="dxa"/>
            <w:tcBorders>
              <w:top w:val="nil"/>
              <w:left w:val="nil"/>
              <w:bottom w:val="dotted" w:sz="4" w:space="0" w:color="7F7F7F" w:themeColor="text1" w:themeTint="80"/>
              <w:right w:val="nil"/>
            </w:tcBorders>
            <w:vAlign w:val="center"/>
            <w:hideMark/>
          </w:tcPr>
          <w:p w14:paraId="652D27C0" w14:textId="77777777" w:rsidR="000A7E2C" w:rsidRPr="009322DA" w:rsidRDefault="000A7E2C" w:rsidP="001449F3">
            <w:pPr>
              <w:spacing w:after="255"/>
              <w:contextualSpacing/>
              <w:rPr>
                <w:rFonts w:ascii="Verdana" w:eastAsia="Arial" w:hAnsi="Verdana" w:cs="Arial"/>
                <w:sz w:val="16"/>
                <w:szCs w:val="16"/>
              </w:rPr>
            </w:pPr>
            <w:r w:rsidRPr="009322DA">
              <w:rPr>
                <w:rFonts w:ascii="Verdana" w:hAnsi="Verdana"/>
                <w:sz w:val="16"/>
                <w:szCs w:val="16"/>
              </w:rPr>
              <w:t>Juan Manuel Avendaño Robles</w:t>
            </w:r>
          </w:p>
          <w:p w14:paraId="105ADC33" w14:textId="77777777" w:rsidR="000A7E2C" w:rsidRPr="009322DA" w:rsidRDefault="000A7E2C" w:rsidP="001449F3">
            <w:pPr>
              <w:spacing w:after="255"/>
              <w:contextualSpacing/>
              <w:rPr>
                <w:rFonts w:ascii="Verdana" w:eastAsia="Arial" w:hAnsi="Verdana" w:cs="Arial"/>
                <w:sz w:val="16"/>
                <w:szCs w:val="16"/>
              </w:rPr>
            </w:pPr>
            <w:r w:rsidRPr="009322DA">
              <w:rPr>
                <w:rFonts w:ascii="Verdana" w:eastAsia="Arial" w:hAnsi="Verdana" w:cs="Arial"/>
                <w:sz w:val="16"/>
                <w:szCs w:val="16"/>
              </w:rPr>
              <w:t>Contratista de la Subdirección de Gestión Contractual</w:t>
            </w:r>
          </w:p>
        </w:tc>
      </w:tr>
      <w:tr w:rsidR="000A7E2C" w:rsidRPr="009322DA" w14:paraId="2DB1D1D0" w14:textId="77777777" w:rsidTr="001449F3">
        <w:trPr>
          <w:trHeight w:val="330"/>
        </w:trPr>
        <w:tc>
          <w:tcPr>
            <w:tcW w:w="893" w:type="dxa"/>
            <w:vAlign w:val="center"/>
            <w:hideMark/>
          </w:tcPr>
          <w:p w14:paraId="08FB4CBE" w14:textId="77777777" w:rsidR="000A7E2C" w:rsidRPr="009322DA" w:rsidRDefault="000A7E2C" w:rsidP="001449F3">
            <w:pPr>
              <w:spacing w:after="255"/>
              <w:contextualSpacing/>
              <w:rPr>
                <w:rFonts w:ascii="Verdana" w:hAnsi="Verdana" w:cs="Arial"/>
                <w:sz w:val="16"/>
                <w:szCs w:val="16"/>
                <w:lang w:val="es-ES" w:eastAsia="es-ES"/>
              </w:rPr>
            </w:pPr>
            <w:r w:rsidRPr="009322DA">
              <w:rPr>
                <w:rFonts w:ascii="Verdana" w:hAnsi="Verdana" w:cs="Arial"/>
                <w:sz w:val="16"/>
                <w:szCs w:val="16"/>
                <w:lang w:val="es-ES" w:eastAsia="es-ES"/>
              </w:rPr>
              <w:t>Revisó: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2BBBC833" w14:textId="77777777" w:rsidR="000A7E2C" w:rsidRPr="009322DA" w:rsidRDefault="000A7E2C" w:rsidP="001449F3">
            <w:pPr>
              <w:contextualSpacing/>
              <w:textAlignment w:val="baseline"/>
              <w:rPr>
                <w:rFonts w:ascii="Verdana" w:eastAsia="Times New Roman" w:hAnsi="Verdana" w:cs="Arial"/>
                <w:sz w:val="16"/>
                <w:szCs w:val="16"/>
                <w:lang w:eastAsia="es-ES_tradnl"/>
              </w:rPr>
            </w:pPr>
            <w:r>
              <w:rPr>
                <w:rFonts w:ascii="Verdana" w:eastAsia="Times New Roman" w:hAnsi="Verdana" w:cs="Arial"/>
                <w:sz w:val="16"/>
                <w:szCs w:val="16"/>
                <w:lang w:eastAsia="es-ES_tradnl"/>
              </w:rPr>
              <w:t>Ximena Ríos López</w:t>
            </w:r>
          </w:p>
          <w:p w14:paraId="5DFC28B0" w14:textId="77777777" w:rsidR="000A7E2C" w:rsidRPr="009322DA" w:rsidRDefault="000A7E2C" w:rsidP="001449F3">
            <w:pPr>
              <w:contextualSpacing/>
              <w:textAlignment w:val="baseline"/>
              <w:rPr>
                <w:rFonts w:ascii="Verdana" w:eastAsia="Times New Roman" w:hAnsi="Verdana" w:cs="Segoe UI"/>
                <w:sz w:val="16"/>
                <w:szCs w:val="16"/>
                <w:lang w:eastAsia="es-ES_tradnl"/>
              </w:rPr>
            </w:pPr>
            <w:r>
              <w:rPr>
                <w:rFonts w:ascii="Verdana" w:eastAsia="Times New Roman" w:hAnsi="Verdana" w:cs="Arial"/>
                <w:sz w:val="16"/>
                <w:szCs w:val="16"/>
                <w:lang w:eastAsia="es-ES_tradnl"/>
              </w:rPr>
              <w:t>Gestor Código T1 Grado 11</w:t>
            </w:r>
            <w:r w:rsidRPr="009322DA">
              <w:rPr>
                <w:rFonts w:ascii="Verdana" w:eastAsia="Times New Roman" w:hAnsi="Verdana" w:cs="Arial"/>
                <w:sz w:val="16"/>
                <w:szCs w:val="16"/>
                <w:lang w:eastAsia="es-ES_tradnl"/>
              </w:rPr>
              <w:t xml:space="preserve"> de la Subdirección de Gestión Contractual</w:t>
            </w:r>
          </w:p>
        </w:tc>
      </w:tr>
      <w:tr w:rsidR="000A7E2C" w:rsidRPr="009322DA" w14:paraId="423E9C21" w14:textId="77777777" w:rsidTr="001449F3">
        <w:trPr>
          <w:trHeight w:val="300"/>
        </w:trPr>
        <w:tc>
          <w:tcPr>
            <w:tcW w:w="893" w:type="dxa"/>
            <w:vAlign w:val="center"/>
            <w:hideMark/>
          </w:tcPr>
          <w:p w14:paraId="19CAE54B" w14:textId="77777777" w:rsidR="000A7E2C" w:rsidRPr="009322DA" w:rsidRDefault="000A7E2C" w:rsidP="001449F3">
            <w:pPr>
              <w:spacing w:after="255"/>
              <w:contextualSpacing/>
              <w:rPr>
                <w:rFonts w:ascii="Verdana" w:hAnsi="Verdana" w:cs="Arial"/>
                <w:sz w:val="16"/>
                <w:szCs w:val="16"/>
                <w:lang w:val="es-ES" w:eastAsia="es-ES"/>
              </w:rPr>
            </w:pPr>
            <w:r w:rsidRPr="009322DA">
              <w:rPr>
                <w:rFonts w:ascii="Verdana" w:hAnsi="Verdana" w:cs="Arial"/>
                <w:sz w:val="16"/>
                <w:szCs w:val="16"/>
                <w:lang w:val="es-ES" w:eastAsia="es-ES"/>
              </w:rPr>
              <w:t>Aprobó: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17CB21BA" w14:textId="77777777" w:rsidR="000A7E2C" w:rsidRPr="009322DA" w:rsidRDefault="000A7E2C" w:rsidP="001449F3">
            <w:pPr>
              <w:spacing w:after="255"/>
              <w:contextualSpacing/>
              <w:rPr>
                <w:rFonts w:ascii="Verdana" w:hAnsi="Verdana" w:cs="Arial"/>
                <w:sz w:val="16"/>
                <w:szCs w:val="16"/>
                <w:lang w:val="pt-BR" w:eastAsia="es-ES"/>
              </w:rPr>
            </w:pPr>
            <w:r w:rsidRPr="009322DA">
              <w:rPr>
                <w:rFonts w:ascii="Verdana" w:hAnsi="Verdana" w:cs="Arial"/>
                <w:sz w:val="16"/>
                <w:szCs w:val="16"/>
                <w:lang w:val="pt-BR" w:eastAsia="es-ES"/>
              </w:rPr>
              <w:t>Carolina Quintero Gacharná</w:t>
            </w:r>
          </w:p>
          <w:p w14:paraId="66D987E0" w14:textId="77777777" w:rsidR="000A7E2C" w:rsidRPr="009322DA" w:rsidRDefault="000A7E2C" w:rsidP="001449F3">
            <w:pPr>
              <w:spacing w:after="255"/>
              <w:contextualSpacing/>
              <w:rPr>
                <w:rFonts w:ascii="Verdana" w:hAnsi="Verdana" w:cs="Arial"/>
                <w:sz w:val="16"/>
                <w:szCs w:val="16"/>
                <w:lang w:val="pt-BR" w:eastAsia="es-ES"/>
              </w:rPr>
            </w:pPr>
            <w:r w:rsidRPr="009322DA">
              <w:rPr>
                <w:rFonts w:ascii="Verdana" w:hAnsi="Verdana" w:cs="Arial"/>
                <w:sz w:val="16"/>
                <w:szCs w:val="16"/>
                <w:lang w:eastAsia="es-ES"/>
              </w:rPr>
              <w:t>Subdirectora</w:t>
            </w:r>
            <w:r w:rsidRPr="009322DA">
              <w:rPr>
                <w:rFonts w:ascii="Verdana" w:hAnsi="Verdana" w:cs="Arial"/>
                <w:sz w:val="16"/>
                <w:szCs w:val="16"/>
                <w:lang w:val="pt-BR" w:eastAsia="es-ES"/>
              </w:rPr>
              <w:t xml:space="preserve"> de Gestión Contractual ANCP – CCE</w:t>
            </w:r>
          </w:p>
        </w:tc>
      </w:tr>
    </w:tbl>
    <w:p w14:paraId="0F293BF4" w14:textId="7BBFAB11" w:rsidR="00127233" w:rsidRPr="000A7E2C" w:rsidRDefault="00127233" w:rsidP="000A7E2C"/>
    <w:sectPr w:rsidR="00127233" w:rsidRPr="000A7E2C" w:rsidSect="007C0C0F">
      <w:headerReference w:type="default" r:id="rId15"/>
      <w:footerReference w:type="default" r:id="rId16"/>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75A0EB" w14:textId="77777777" w:rsidR="008B456E" w:rsidRDefault="008B456E" w:rsidP="004A1847">
      <w:pPr>
        <w:spacing w:after="0" w:line="240" w:lineRule="auto"/>
      </w:pPr>
      <w:r>
        <w:separator/>
      </w:r>
    </w:p>
  </w:endnote>
  <w:endnote w:type="continuationSeparator" w:id="0">
    <w:p w14:paraId="3E6F4E9A" w14:textId="77777777" w:rsidR="008B456E" w:rsidRDefault="008B456E" w:rsidP="004A1847">
      <w:pPr>
        <w:spacing w:after="0" w:line="240" w:lineRule="auto"/>
      </w:pPr>
      <w:r>
        <w:continuationSeparator/>
      </w:r>
    </w:p>
  </w:endnote>
  <w:endnote w:type="continuationNotice" w:id="1">
    <w:p w14:paraId="316E7B89" w14:textId="77777777" w:rsidR="008B456E" w:rsidRDefault="008B45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3C573E" w14:textId="77777777" w:rsidR="008B456E" w:rsidRDefault="008B456E" w:rsidP="004A1847">
      <w:pPr>
        <w:spacing w:after="0" w:line="240" w:lineRule="auto"/>
      </w:pPr>
      <w:r>
        <w:separator/>
      </w:r>
    </w:p>
  </w:footnote>
  <w:footnote w:type="continuationSeparator" w:id="0">
    <w:p w14:paraId="550A6E15" w14:textId="77777777" w:rsidR="008B456E" w:rsidRDefault="008B456E" w:rsidP="004A1847">
      <w:pPr>
        <w:spacing w:after="0" w:line="240" w:lineRule="auto"/>
      </w:pPr>
      <w:r>
        <w:continuationSeparator/>
      </w:r>
    </w:p>
  </w:footnote>
  <w:footnote w:type="continuationNotice" w:id="1">
    <w:p w14:paraId="5C81D37E" w14:textId="77777777" w:rsidR="008B456E" w:rsidRDefault="008B456E">
      <w:pPr>
        <w:spacing w:after="0" w:line="240" w:lineRule="auto"/>
      </w:pPr>
    </w:p>
  </w:footnote>
  <w:footnote w:id="2">
    <w:p w14:paraId="75EC0959" w14:textId="77777777" w:rsidR="000A7E2C" w:rsidRPr="00A61D2A" w:rsidRDefault="000A7E2C" w:rsidP="000A7E2C">
      <w:pPr>
        <w:pStyle w:val="Textonotapie"/>
        <w:ind w:firstLine="708"/>
        <w:jc w:val="both"/>
        <w:rPr>
          <w:rFonts w:ascii="Century Gothic" w:hAnsi="Century Gothic" w:cs="Arial"/>
          <w:color w:val="000000"/>
          <w:sz w:val="14"/>
          <w:szCs w:val="14"/>
          <w:lang w:val="es-CO"/>
        </w:rPr>
      </w:pPr>
      <w:r w:rsidRPr="00A61D2A">
        <w:rPr>
          <w:rStyle w:val="Refdenotaalpie"/>
          <w:rFonts w:ascii="Century Gothic" w:hAnsi="Century Gothic" w:cs="Arial"/>
          <w:color w:val="000000"/>
          <w:sz w:val="14"/>
          <w:szCs w:val="14"/>
        </w:rPr>
        <w:footnoteRef/>
      </w:r>
      <w:r w:rsidRPr="00A61D2A">
        <w:rPr>
          <w:rFonts w:ascii="Century Gothic" w:hAnsi="Century Gothic" w:cs="Arial"/>
          <w:color w:val="000000"/>
          <w:sz w:val="14"/>
          <w:szCs w:val="14"/>
        </w:rPr>
        <w:t xml:space="preserve"> </w:t>
      </w:r>
      <w:r w:rsidRPr="00A61D2A">
        <w:rPr>
          <w:rFonts w:ascii="Century Gothic" w:hAnsi="Century Gothic" w:cs="Arial"/>
          <w:color w:val="000000"/>
          <w:sz w:val="14"/>
          <w:szCs w:val="14"/>
          <w:lang w:val="es-CO"/>
        </w:rPr>
        <w:t xml:space="preserve">Real Academia Española de la Lengua. Diccionario de la Lengua Española. Edición Tricentenario. Disponible en: </w:t>
      </w:r>
      <w:hyperlink r:id="rId1" w:history="1">
        <w:r w:rsidRPr="00A61D2A">
          <w:rPr>
            <w:rFonts w:ascii="Century Gothic" w:hAnsi="Century Gothic" w:cs="Arial"/>
            <w:color w:val="000000"/>
            <w:sz w:val="14"/>
            <w:szCs w:val="14"/>
          </w:rPr>
          <w:t>https://dle.rae.es/h%C3%A1bil</w:t>
        </w:r>
      </w:hyperlink>
      <w:r w:rsidRPr="00A61D2A">
        <w:rPr>
          <w:rFonts w:ascii="Century Gothic" w:hAnsi="Century Gothic" w:cs="Arial"/>
          <w:color w:val="000000"/>
          <w:sz w:val="14"/>
          <w:szCs w:val="14"/>
          <w:lang w:val="es-CO"/>
        </w:rPr>
        <w:t xml:space="preserve"> </w:t>
      </w:r>
    </w:p>
  </w:footnote>
  <w:footnote w:id="3">
    <w:p w14:paraId="7B2F832E" w14:textId="77777777" w:rsidR="000A7E2C" w:rsidRPr="005E02A6" w:rsidRDefault="000A7E2C" w:rsidP="00727DBF">
      <w:pPr>
        <w:pStyle w:val="Textonotapie"/>
        <w:ind w:firstLine="708"/>
        <w:jc w:val="both"/>
        <w:rPr>
          <w:rFonts w:ascii="Century Gothic" w:hAnsi="Century Gothic" w:cs="Arial"/>
          <w:color w:val="000000"/>
          <w:sz w:val="14"/>
          <w:szCs w:val="14"/>
        </w:rPr>
      </w:pPr>
      <w:r w:rsidRPr="00A61D2A">
        <w:rPr>
          <w:rStyle w:val="Refdenotaalpie"/>
          <w:rFonts w:ascii="Century Gothic" w:hAnsi="Century Gothic" w:cs="Arial"/>
          <w:color w:val="000000"/>
          <w:sz w:val="14"/>
          <w:szCs w:val="14"/>
        </w:rPr>
        <w:footnoteRef/>
      </w:r>
      <w:r w:rsidRPr="00A61D2A">
        <w:rPr>
          <w:rFonts w:ascii="Century Gothic" w:hAnsi="Century Gothic" w:cs="Arial"/>
          <w:color w:val="000000"/>
          <w:sz w:val="14"/>
          <w:szCs w:val="14"/>
        </w:rPr>
        <w:t xml:space="preserve"> MARÍN CORTÉS, Fabián G. Derecho de petición y procedimiento administrativo. 1</w:t>
      </w:r>
      <w:r w:rsidRPr="00A61D2A">
        <w:rPr>
          <w:rFonts w:ascii="Century Gothic" w:hAnsi="Century Gothic" w:cs="Arial"/>
          <w:color w:val="000000"/>
          <w:sz w:val="14"/>
          <w:szCs w:val="14"/>
          <w:u w:val="single"/>
          <w:vertAlign w:val="superscript"/>
        </w:rPr>
        <w:t>a</w:t>
      </w:r>
      <w:r w:rsidRPr="00A61D2A">
        <w:rPr>
          <w:rFonts w:ascii="Century Gothic" w:hAnsi="Century Gothic" w:cs="Arial"/>
          <w:color w:val="000000"/>
          <w:sz w:val="14"/>
          <w:szCs w:val="14"/>
        </w:rPr>
        <w:t xml:space="preserve"> ed. Medellín: Librería Jurídica Sánchez R </w:t>
      </w:r>
      <w:proofErr w:type="spellStart"/>
      <w:r w:rsidRPr="00A61D2A">
        <w:rPr>
          <w:rFonts w:ascii="Century Gothic" w:hAnsi="Century Gothic" w:cs="Arial"/>
          <w:color w:val="000000"/>
          <w:sz w:val="14"/>
          <w:szCs w:val="14"/>
        </w:rPr>
        <w:t>Ltda</w:t>
      </w:r>
      <w:proofErr w:type="spellEnd"/>
      <w:r w:rsidRPr="00A61D2A">
        <w:rPr>
          <w:rFonts w:ascii="Century Gothic" w:hAnsi="Century Gothic" w:cs="Arial"/>
          <w:color w:val="000000"/>
          <w:sz w:val="14"/>
          <w:szCs w:val="14"/>
        </w:rPr>
        <w:t xml:space="preserve"> y Centro de Estudios de Derecho Administrativo, 2017. p. 417. </w:t>
      </w:r>
    </w:p>
  </w:footnote>
  <w:footnote w:id="4">
    <w:p w14:paraId="68C8729F" w14:textId="77777777" w:rsidR="000A7E2C" w:rsidRDefault="000A7E2C" w:rsidP="00A54E55">
      <w:pPr>
        <w:pStyle w:val="Textonotapie"/>
        <w:ind w:firstLine="708"/>
        <w:jc w:val="both"/>
        <w:rPr>
          <w:rFonts w:ascii="Century Gothic" w:hAnsi="Century Gothic" w:cs="Arial"/>
          <w:color w:val="000000"/>
          <w:sz w:val="14"/>
          <w:szCs w:val="14"/>
        </w:rPr>
      </w:pPr>
      <w:r w:rsidRPr="00A61D2A">
        <w:rPr>
          <w:rStyle w:val="Refdenotaalpie"/>
          <w:rFonts w:ascii="Century Gothic" w:hAnsi="Century Gothic" w:cs="Arial"/>
          <w:color w:val="000000"/>
          <w:sz w:val="14"/>
          <w:szCs w:val="14"/>
        </w:rPr>
        <w:footnoteRef/>
      </w:r>
      <w:r w:rsidRPr="00A61D2A">
        <w:rPr>
          <w:rFonts w:ascii="Century Gothic" w:hAnsi="Century Gothic" w:cs="Arial"/>
          <w:color w:val="000000"/>
          <w:sz w:val="14"/>
          <w:szCs w:val="14"/>
        </w:rPr>
        <w:t xml:space="preserve"> </w:t>
      </w:r>
      <w:r w:rsidRPr="00A61D2A">
        <w:rPr>
          <w:rFonts w:ascii="Century Gothic" w:hAnsi="Century Gothic" w:cs="Arial"/>
          <w:color w:val="000000"/>
          <w:sz w:val="14"/>
          <w:szCs w:val="14"/>
          <w:lang w:val="es-CO"/>
        </w:rPr>
        <w:t xml:space="preserve">Consejo de Estado. </w:t>
      </w:r>
      <w:r w:rsidRPr="00A61D2A">
        <w:rPr>
          <w:rFonts w:ascii="Century Gothic" w:hAnsi="Century Gothic" w:cs="Arial"/>
          <w:color w:val="000000"/>
          <w:sz w:val="14"/>
          <w:szCs w:val="14"/>
        </w:rPr>
        <w:t xml:space="preserve">Sala Plena de lo Contencioso Administrativo. Sentencia del 12 de abril de 1978. C.P. Carlos Portocarrero Mutis. </w:t>
      </w:r>
      <w:proofErr w:type="spellStart"/>
      <w:r w:rsidRPr="00A61D2A">
        <w:rPr>
          <w:rFonts w:ascii="Century Gothic" w:hAnsi="Century Gothic" w:cs="Arial"/>
          <w:color w:val="000000"/>
          <w:sz w:val="14"/>
          <w:szCs w:val="14"/>
        </w:rPr>
        <w:t>Exp</w:t>
      </w:r>
      <w:proofErr w:type="spellEnd"/>
      <w:r w:rsidRPr="00A61D2A">
        <w:rPr>
          <w:rFonts w:ascii="Century Gothic" w:hAnsi="Century Gothic" w:cs="Arial"/>
          <w:color w:val="000000"/>
          <w:sz w:val="14"/>
          <w:szCs w:val="14"/>
        </w:rPr>
        <w:t>. 355.</w:t>
      </w:r>
    </w:p>
    <w:p w14:paraId="23376E17" w14:textId="77777777" w:rsidR="00A54E55" w:rsidRPr="0071028F" w:rsidRDefault="00A54E55" w:rsidP="00727DBF">
      <w:pPr>
        <w:pStyle w:val="Textonotapie"/>
        <w:ind w:firstLine="708"/>
        <w:jc w:val="both"/>
        <w:rPr>
          <w:rFonts w:ascii="Century Gothic" w:hAnsi="Century Gothic" w:cs="Arial"/>
          <w:color w:val="000000"/>
          <w:sz w:val="14"/>
          <w:szCs w:val="14"/>
        </w:rPr>
      </w:pPr>
    </w:p>
  </w:footnote>
  <w:footnote w:id="5">
    <w:p w14:paraId="6CE221CA" w14:textId="77777777" w:rsidR="000A7E2C" w:rsidRDefault="000A7E2C" w:rsidP="00A54E55">
      <w:pPr>
        <w:pStyle w:val="Textonotapie"/>
        <w:ind w:firstLine="708"/>
        <w:jc w:val="both"/>
        <w:rPr>
          <w:rFonts w:ascii="Century Gothic" w:hAnsi="Century Gothic" w:cs="Arial"/>
          <w:color w:val="000000"/>
          <w:sz w:val="14"/>
          <w:szCs w:val="14"/>
        </w:rPr>
      </w:pPr>
      <w:r w:rsidRPr="00A61D2A">
        <w:rPr>
          <w:rStyle w:val="Refdenotaalpie"/>
          <w:rFonts w:ascii="Century Gothic" w:hAnsi="Century Gothic" w:cs="Arial"/>
          <w:color w:val="000000"/>
          <w:sz w:val="14"/>
          <w:szCs w:val="14"/>
        </w:rPr>
        <w:footnoteRef/>
      </w:r>
      <w:r w:rsidRPr="00A61D2A">
        <w:rPr>
          <w:rFonts w:ascii="Century Gothic" w:hAnsi="Century Gothic" w:cs="Arial"/>
          <w:color w:val="000000"/>
          <w:sz w:val="14"/>
          <w:szCs w:val="14"/>
        </w:rPr>
        <w:t xml:space="preserve"> Consejo de Estado. Sección Cuarta. Auto del 26 de febrero de 1983.</w:t>
      </w:r>
    </w:p>
    <w:p w14:paraId="291621C7" w14:textId="77777777" w:rsidR="00A54E55" w:rsidRPr="00A61D2A" w:rsidRDefault="00A54E55" w:rsidP="00727DBF">
      <w:pPr>
        <w:pStyle w:val="Textonotapie"/>
        <w:ind w:firstLine="708"/>
        <w:jc w:val="both"/>
        <w:rPr>
          <w:rFonts w:ascii="Century Gothic" w:hAnsi="Century Gothic" w:cs="Arial"/>
          <w:color w:val="000000"/>
          <w:sz w:val="14"/>
          <w:szCs w:val="14"/>
          <w:lang w:val="es-CO"/>
        </w:rPr>
      </w:pPr>
    </w:p>
  </w:footnote>
  <w:footnote w:id="6">
    <w:p w14:paraId="3A372F08" w14:textId="77777777" w:rsidR="000A7E2C" w:rsidRPr="00A61D2A" w:rsidRDefault="000A7E2C" w:rsidP="00727DBF">
      <w:pPr>
        <w:pStyle w:val="Textonotapie"/>
        <w:ind w:firstLine="708"/>
        <w:jc w:val="both"/>
        <w:rPr>
          <w:rFonts w:ascii="Century Gothic" w:hAnsi="Century Gothic" w:cs="Arial"/>
          <w:color w:val="000000"/>
          <w:sz w:val="14"/>
          <w:szCs w:val="14"/>
          <w:lang w:val="es-CO"/>
        </w:rPr>
      </w:pPr>
      <w:r w:rsidRPr="00A61D2A">
        <w:rPr>
          <w:rStyle w:val="Refdenotaalpie"/>
          <w:rFonts w:ascii="Century Gothic" w:hAnsi="Century Gothic" w:cs="Arial"/>
          <w:color w:val="000000"/>
          <w:sz w:val="14"/>
          <w:szCs w:val="14"/>
        </w:rPr>
        <w:footnoteRef/>
      </w:r>
      <w:r w:rsidRPr="00A61D2A">
        <w:rPr>
          <w:rFonts w:ascii="Century Gothic" w:hAnsi="Century Gothic" w:cs="Arial"/>
          <w:color w:val="000000"/>
          <w:sz w:val="14"/>
          <w:szCs w:val="14"/>
        </w:rPr>
        <w:t xml:space="preserve"> MARÍN CORTÉS, Fabián G. Derecho de petición y procedimiento administrativo. 1</w:t>
      </w:r>
      <w:r w:rsidRPr="00A61D2A">
        <w:rPr>
          <w:rFonts w:ascii="Century Gothic" w:hAnsi="Century Gothic" w:cs="Arial"/>
          <w:color w:val="000000"/>
          <w:sz w:val="14"/>
          <w:szCs w:val="14"/>
          <w:u w:val="single"/>
          <w:vertAlign w:val="superscript"/>
        </w:rPr>
        <w:t>a</w:t>
      </w:r>
      <w:r w:rsidRPr="00A61D2A">
        <w:rPr>
          <w:rFonts w:ascii="Century Gothic" w:hAnsi="Century Gothic" w:cs="Arial"/>
          <w:color w:val="000000"/>
          <w:sz w:val="14"/>
          <w:szCs w:val="14"/>
        </w:rPr>
        <w:t xml:space="preserve"> ed. Medellín: Librería Jurídica Sánchez R </w:t>
      </w:r>
      <w:proofErr w:type="spellStart"/>
      <w:r w:rsidRPr="00A61D2A">
        <w:rPr>
          <w:rFonts w:ascii="Century Gothic" w:hAnsi="Century Gothic" w:cs="Arial"/>
          <w:color w:val="000000"/>
          <w:sz w:val="14"/>
          <w:szCs w:val="14"/>
        </w:rPr>
        <w:t>Ltda</w:t>
      </w:r>
      <w:proofErr w:type="spellEnd"/>
      <w:r w:rsidRPr="00A61D2A">
        <w:rPr>
          <w:rFonts w:ascii="Century Gothic" w:hAnsi="Century Gothic" w:cs="Arial"/>
          <w:color w:val="000000"/>
          <w:sz w:val="14"/>
          <w:szCs w:val="14"/>
        </w:rPr>
        <w:t xml:space="preserve"> y Centro de Estudios de Derecho Administrativo, 2017. p. 417.  </w:t>
      </w:r>
    </w:p>
  </w:footnote>
  <w:footnote w:id="7">
    <w:p w14:paraId="72140811" w14:textId="77777777" w:rsidR="000A7E2C" w:rsidRPr="00A61D2A" w:rsidRDefault="000A7E2C" w:rsidP="000A7E2C">
      <w:pPr>
        <w:pStyle w:val="Textonotapie"/>
        <w:ind w:firstLine="708"/>
        <w:jc w:val="both"/>
        <w:rPr>
          <w:rFonts w:ascii="Century Gothic" w:hAnsi="Century Gothic" w:cs="Arial"/>
          <w:color w:val="000000"/>
          <w:sz w:val="14"/>
          <w:szCs w:val="14"/>
        </w:rPr>
      </w:pPr>
    </w:p>
    <w:p w14:paraId="05865CEE" w14:textId="77777777" w:rsidR="000A7E2C" w:rsidRPr="00A61D2A" w:rsidRDefault="000A7E2C" w:rsidP="000A7E2C">
      <w:pPr>
        <w:pStyle w:val="Textonotapie"/>
        <w:ind w:firstLine="708"/>
        <w:jc w:val="both"/>
        <w:rPr>
          <w:rFonts w:ascii="Century Gothic" w:hAnsi="Century Gothic" w:cs="Arial"/>
          <w:color w:val="000000"/>
          <w:sz w:val="14"/>
          <w:szCs w:val="14"/>
          <w:lang w:val="es-CO"/>
        </w:rPr>
      </w:pPr>
      <w:r w:rsidRPr="00A61D2A">
        <w:rPr>
          <w:rStyle w:val="Refdenotaalpie"/>
          <w:rFonts w:ascii="Century Gothic" w:hAnsi="Century Gothic" w:cs="Arial"/>
          <w:color w:val="000000"/>
          <w:sz w:val="14"/>
          <w:szCs w:val="14"/>
        </w:rPr>
        <w:footnoteRef/>
      </w:r>
      <w:r w:rsidRPr="00A61D2A">
        <w:rPr>
          <w:rFonts w:ascii="Century Gothic" w:hAnsi="Century Gothic" w:cs="Arial"/>
          <w:color w:val="000000"/>
          <w:sz w:val="14"/>
          <w:szCs w:val="14"/>
        </w:rPr>
        <w:t xml:space="preserve"> </w:t>
      </w:r>
      <w:proofErr w:type="spellStart"/>
      <w:r w:rsidRPr="00A61D2A">
        <w:rPr>
          <w:rFonts w:ascii="Century Gothic" w:hAnsi="Century Gothic" w:cs="Arial"/>
          <w:i/>
          <w:color w:val="000000"/>
          <w:sz w:val="14"/>
          <w:szCs w:val="14"/>
        </w:rPr>
        <w:t>Ibídem</w:t>
      </w:r>
      <w:proofErr w:type="spellEnd"/>
      <w:r w:rsidRPr="00A61D2A">
        <w:rPr>
          <w:rFonts w:ascii="Century Gothic" w:hAnsi="Century Gothic" w:cs="Arial"/>
          <w:i/>
          <w:color w:val="000000"/>
          <w:sz w:val="14"/>
          <w:szCs w:val="14"/>
        </w:rPr>
        <w:t>.</w:t>
      </w:r>
      <w:r w:rsidRPr="00A61D2A">
        <w:rPr>
          <w:rFonts w:ascii="Century Gothic" w:hAnsi="Century Gothic" w:cs="Arial"/>
          <w:color w:val="000000"/>
          <w:sz w:val="14"/>
          <w:szCs w:val="14"/>
        </w:rPr>
        <w:t xml:space="preserve"> </w:t>
      </w:r>
    </w:p>
  </w:footnote>
  <w:footnote w:id="8">
    <w:p w14:paraId="0EA7C78B" w14:textId="77777777" w:rsidR="000A7E2C" w:rsidRPr="00A61D2A" w:rsidRDefault="000A7E2C" w:rsidP="000A7E2C">
      <w:pPr>
        <w:pStyle w:val="Textonotapie"/>
        <w:ind w:firstLine="708"/>
        <w:jc w:val="both"/>
        <w:rPr>
          <w:rFonts w:ascii="Century Gothic" w:hAnsi="Century Gothic" w:cs="Arial"/>
          <w:color w:val="000000"/>
          <w:sz w:val="14"/>
          <w:szCs w:val="14"/>
        </w:rPr>
      </w:pPr>
      <w:r w:rsidRPr="00A61D2A">
        <w:rPr>
          <w:rStyle w:val="Refdenotaalpie"/>
          <w:rFonts w:ascii="Century Gothic" w:hAnsi="Century Gothic" w:cs="Arial"/>
          <w:color w:val="000000"/>
          <w:sz w:val="14"/>
          <w:szCs w:val="14"/>
        </w:rPr>
        <w:footnoteRef/>
      </w:r>
      <w:r w:rsidRPr="00A61D2A">
        <w:rPr>
          <w:rFonts w:ascii="Century Gothic" w:hAnsi="Century Gothic" w:cs="Arial"/>
          <w:color w:val="000000"/>
          <w:sz w:val="14"/>
          <w:szCs w:val="14"/>
        </w:rPr>
        <w:t xml:space="preserve"> Ley 1437 de 2011: “Artículo 7°. Deberes de las autoridades en la atención al público. Las autoridades tendrán, frente a las personas que ante ellas acudan y en relación con los asuntos que tramiten, los siguientes deberes: </w:t>
      </w:r>
    </w:p>
    <w:p w14:paraId="559ED1FF" w14:textId="77777777" w:rsidR="000A7E2C" w:rsidRPr="00A61D2A" w:rsidRDefault="000A7E2C" w:rsidP="000A7E2C">
      <w:pPr>
        <w:pStyle w:val="Textonotapie"/>
        <w:jc w:val="both"/>
        <w:rPr>
          <w:rFonts w:ascii="Century Gothic" w:hAnsi="Century Gothic" w:cs="Arial"/>
          <w:color w:val="000000"/>
          <w:sz w:val="14"/>
          <w:szCs w:val="14"/>
        </w:rPr>
      </w:pPr>
      <w:r w:rsidRPr="00A61D2A">
        <w:rPr>
          <w:rFonts w:ascii="Century Gothic" w:hAnsi="Century Gothic" w:cs="Arial"/>
          <w:color w:val="000000"/>
          <w:sz w:val="14"/>
          <w:szCs w:val="14"/>
        </w:rPr>
        <w:t xml:space="preserve">  </w:t>
      </w:r>
      <w:r w:rsidRPr="00A61D2A">
        <w:rPr>
          <w:rFonts w:ascii="Century Gothic" w:hAnsi="Century Gothic" w:cs="Arial"/>
          <w:color w:val="000000"/>
          <w:sz w:val="14"/>
          <w:szCs w:val="14"/>
        </w:rPr>
        <w:tab/>
        <w:t>[…]</w:t>
      </w:r>
    </w:p>
    <w:p w14:paraId="48EB0DCF" w14:textId="77777777" w:rsidR="000A7E2C" w:rsidRPr="00A61D2A" w:rsidRDefault="000A7E2C" w:rsidP="000A7E2C">
      <w:pPr>
        <w:pStyle w:val="Textonotapie"/>
        <w:ind w:firstLine="708"/>
        <w:jc w:val="both"/>
        <w:rPr>
          <w:rFonts w:ascii="Century Gothic" w:hAnsi="Century Gothic" w:cs="Arial"/>
          <w:color w:val="000000"/>
          <w:sz w:val="14"/>
          <w:szCs w:val="14"/>
          <w:lang w:val="es-CO"/>
        </w:rPr>
      </w:pPr>
      <w:r w:rsidRPr="00A61D2A">
        <w:rPr>
          <w:rFonts w:ascii="Century Gothic" w:hAnsi="Century Gothic" w:cs="Arial"/>
          <w:color w:val="000000"/>
          <w:sz w:val="14"/>
          <w:szCs w:val="14"/>
        </w:rPr>
        <w:t>2. Garantizar atención personal al público, como mínimo durante cuarenta (40) horas a la semana, las cuales se distribuirán en horarios que satisfagan las necesidades del servicio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58241"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1.4pt;height:11.4pt" o:bullet="t">
        <v:imagedata r:id="rId1" o:title="mso1B13"/>
      </v:shape>
    </w:pict>
  </w:numPicBullet>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A45E0B"/>
    <w:multiLevelType w:val="hybridMultilevel"/>
    <w:tmpl w:val="B14680F8"/>
    <w:lvl w:ilvl="0" w:tplc="0ED2FF7A">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15:restartNumberingAfterBreak="0">
    <w:nsid w:val="17F95D71"/>
    <w:multiLevelType w:val="hybridMultilevel"/>
    <w:tmpl w:val="2436918C"/>
    <w:lvl w:ilvl="0" w:tplc="E38E6FF2">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4E32B05"/>
    <w:multiLevelType w:val="hybridMultilevel"/>
    <w:tmpl w:val="0A32821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3"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4" w15:restartNumberingAfterBreak="0">
    <w:nsid w:val="694A0D7A"/>
    <w:multiLevelType w:val="hybridMultilevel"/>
    <w:tmpl w:val="6EDEAF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F8F0A80"/>
    <w:multiLevelType w:val="hybridMultilevel"/>
    <w:tmpl w:val="10C6B7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48779781">
    <w:abstractNumId w:val="8"/>
  </w:num>
  <w:num w:numId="2" w16cid:durableId="19822139">
    <w:abstractNumId w:val="3"/>
  </w:num>
  <w:num w:numId="3" w16cid:durableId="876742304">
    <w:abstractNumId w:val="6"/>
  </w:num>
  <w:num w:numId="4" w16cid:durableId="24518640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3"/>
  </w:num>
  <w:num w:numId="6" w16cid:durableId="316692925">
    <w:abstractNumId w:val="17"/>
  </w:num>
  <w:num w:numId="7" w16cid:durableId="1946422806">
    <w:abstractNumId w:val="7"/>
  </w:num>
  <w:num w:numId="8" w16cid:durableId="152644682">
    <w:abstractNumId w:val="16"/>
  </w:num>
  <w:num w:numId="9" w16cid:durableId="1317221377">
    <w:abstractNumId w:val="10"/>
  </w:num>
  <w:num w:numId="10" w16cid:durableId="1471245386">
    <w:abstractNumId w:val="15"/>
  </w:num>
  <w:num w:numId="11" w16cid:durableId="289172385">
    <w:abstractNumId w:val="11"/>
  </w:num>
  <w:num w:numId="12" w16cid:durableId="1470781324">
    <w:abstractNumId w:val="1"/>
  </w:num>
  <w:num w:numId="13" w16cid:durableId="1512908409">
    <w:abstractNumId w:val="5"/>
  </w:num>
  <w:num w:numId="14" w16cid:durableId="895897244">
    <w:abstractNumId w:val="19"/>
  </w:num>
  <w:num w:numId="15" w16cid:durableId="390349800">
    <w:abstractNumId w:val="13"/>
  </w:num>
  <w:num w:numId="16" w16cid:durableId="202817398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79089576">
    <w:abstractNumId w:val="12"/>
  </w:num>
  <w:num w:numId="18" w16cid:durableId="1750694142">
    <w:abstractNumId w:val="14"/>
  </w:num>
  <w:num w:numId="19" w16cid:durableId="180515216">
    <w:abstractNumId w:val="18"/>
  </w:num>
  <w:num w:numId="20" w16cid:durableId="183791534">
    <w:abstractNumId w:val="9"/>
  </w:num>
  <w:num w:numId="21" w16cid:durableId="446463731">
    <w:abstractNumId w:val="2"/>
  </w:num>
  <w:num w:numId="22" w16cid:durableId="10628712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61B2A"/>
    <w:rsid w:val="00082362"/>
    <w:rsid w:val="00095C97"/>
    <w:rsid w:val="000A683E"/>
    <w:rsid w:val="000A7E2C"/>
    <w:rsid w:val="000B19B9"/>
    <w:rsid w:val="000D0334"/>
    <w:rsid w:val="000F6486"/>
    <w:rsid w:val="00125105"/>
    <w:rsid w:val="00127233"/>
    <w:rsid w:val="001E4177"/>
    <w:rsid w:val="001F7DC6"/>
    <w:rsid w:val="00234CAF"/>
    <w:rsid w:val="002421BB"/>
    <w:rsid w:val="0025796E"/>
    <w:rsid w:val="002707A2"/>
    <w:rsid w:val="00283538"/>
    <w:rsid w:val="002951A0"/>
    <w:rsid w:val="002962BC"/>
    <w:rsid w:val="002A093D"/>
    <w:rsid w:val="002A0DD0"/>
    <w:rsid w:val="002A49AC"/>
    <w:rsid w:val="002A64FD"/>
    <w:rsid w:val="002B1E07"/>
    <w:rsid w:val="002B507D"/>
    <w:rsid w:val="002C7A84"/>
    <w:rsid w:val="002E4FD9"/>
    <w:rsid w:val="00322A85"/>
    <w:rsid w:val="00324168"/>
    <w:rsid w:val="003448F4"/>
    <w:rsid w:val="00352ED4"/>
    <w:rsid w:val="00374F5E"/>
    <w:rsid w:val="00377E3E"/>
    <w:rsid w:val="00396696"/>
    <w:rsid w:val="003A26D1"/>
    <w:rsid w:val="003A779E"/>
    <w:rsid w:val="003B1693"/>
    <w:rsid w:val="003D0F4D"/>
    <w:rsid w:val="003D5B0D"/>
    <w:rsid w:val="003E0499"/>
    <w:rsid w:val="003F3941"/>
    <w:rsid w:val="00406575"/>
    <w:rsid w:val="00423B5D"/>
    <w:rsid w:val="0042722E"/>
    <w:rsid w:val="0044528D"/>
    <w:rsid w:val="004A1847"/>
    <w:rsid w:val="004A1990"/>
    <w:rsid w:val="004A305D"/>
    <w:rsid w:val="004F21C4"/>
    <w:rsid w:val="004F685F"/>
    <w:rsid w:val="00507A2E"/>
    <w:rsid w:val="005566E8"/>
    <w:rsid w:val="00574867"/>
    <w:rsid w:val="00591460"/>
    <w:rsid w:val="00592628"/>
    <w:rsid w:val="005C3777"/>
    <w:rsid w:val="005C5CDC"/>
    <w:rsid w:val="005D2A40"/>
    <w:rsid w:val="005D476C"/>
    <w:rsid w:val="005E00E0"/>
    <w:rsid w:val="00604548"/>
    <w:rsid w:val="00610812"/>
    <w:rsid w:val="006219F8"/>
    <w:rsid w:val="00623840"/>
    <w:rsid w:val="00650FF7"/>
    <w:rsid w:val="00665D70"/>
    <w:rsid w:val="00671DAC"/>
    <w:rsid w:val="006900D9"/>
    <w:rsid w:val="006A3A40"/>
    <w:rsid w:val="006D12F8"/>
    <w:rsid w:val="006F14FF"/>
    <w:rsid w:val="00706C16"/>
    <w:rsid w:val="00727DBF"/>
    <w:rsid w:val="00753924"/>
    <w:rsid w:val="00756841"/>
    <w:rsid w:val="007649AB"/>
    <w:rsid w:val="00771D0C"/>
    <w:rsid w:val="007833AC"/>
    <w:rsid w:val="007906F6"/>
    <w:rsid w:val="007B268C"/>
    <w:rsid w:val="007B7171"/>
    <w:rsid w:val="007B72BD"/>
    <w:rsid w:val="007C0C0F"/>
    <w:rsid w:val="007C3DC2"/>
    <w:rsid w:val="007E5497"/>
    <w:rsid w:val="00806F5F"/>
    <w:rsid w:val="00820278"/>
    <w:rsid w:val="00860603"/>
    <w:rsid w:val="008843B6"/>
    <w:rsid w:val="00891928"/>
    <w:rsid w:val="008A446D"/>
    <w:rsid w:val="008B456E"/>
    <w:rsid w:val="008D180B"/>
    <w:rsid w:val="008F0EA7"/>
    <w:rsid w:val="00923EEF"/>
    <w:rsid w:val="009419F9"/>
    <w:rsid w:val="0095685E"/>
    <w:rsid w:val="00961B09"/>
    <w:rsid w:val="00965334"/>
    <w:rsid w:val="0097093E"/>
    <w:rsid w:val="0098402F"/>
    <w:rsid w:val="009A0DFA"/>
    <w:rsid w:val="009A6572"/>
    <w:rsid w:val="009B2D26"/>
    <w:rsid w:val="009C71FA"/>
    <w:rsid w:val="009C72E7"/>
    <w:rsid w:val="009D105E"/>
    <w:rsid w:val="009D3058"/>
    <w:rsid w:val="009D3238"/>
    <w:rsid w:val="009F2BB9"/>
    <w:rsid w:val="009F3A13"/>
    <w:rsid w:val="00A03AD8"/>
    <w:rsid w:val="00A122D3"/>
    <w:rsid w:val="00A17F13"/>
    <w:rsid w:val="00A20739"/>
    <w:rsid w:val="00A211AE"/>
    <w:rsid w:val="00A33C78"/>
    <w:rsid w:val="00A50AC3"/>
    <w:rsid w:val="00A54E55"/>
    <w:rsid w:val="00A710E8"/>
    <w:rsid w:val="00A90CD8"/>
    <w:rsid w:val="00AB0ADB"/>
    <w:rsid w:val="00AC19BC"/>
    <w:rsid w:val="00B01B1A"/>
    <w:rsid w:val="00B42DB7"/>
    <w:rsid w:val="00B72CD3"/>
    <w:rsid w:val="00B72FFF"/>
    <w:rsid w:val="00BC3D36"/>
    <w:rsid w:val="00BD7F72"/>
    <w:rsid w:val="00C00DDB"/>
    <w:rsid w:val="00C04FB3"/>
    <w:rsid w:val="00C330EB"/>
    <w:rsid w:val="00C33B59"/>
    <w:rsid w:val="00C508C5"/>
    <w:rsid w:val="00C67D54"/>
    <w:rsid w:val="00C754BE"/>
    <w:rsid w:val="00C76B1C"/>
    <w:rsid w:val="00CB6357"/>
    <w:rsid w:val="00CC1B26"/>
    <w:rsid w:val="00D423A2"/>
    <w:rsid w:val="00D520D8"/>
    <w:rsid w:val="00D56800"/>
    <w:rsid w:val="00D63AC2"/>
    <w:rsid w:val="00D7383B"/>
    <w:rsid w:val="00D84A9D"/>
    <w:rsid w:val="00DA231B"/>
    <w:rsid w:val="00DA23A0"/>
    <w:rsid w:val="00DC39FC"/>
    <w:rsid w:val="00DF5254"/>
    <w:rsid w:val="00E16408"/>
    <w:rsid w:val="00E1674A"/>
    <w:rsid w:val="00E20894"/>
    <w:rsid w:val="00E245AB"/>
    <w:rsid w:val="00E2764C"/>
    <w:rsid w:val="00E27F2E"/>
    <w:rsid w:val="00E413EA"/>
    <w:rsid w:val="00E50AFE"/>
    <w:rsid w:val="00E75C92"/>
    <w:rsid w:val="00E771DC"/>
    <w:rsid w:val="00E8772A"/>
    <w:rsid w:val="00E90F6B"/>
    <w:rsid w:val="00E92C27"/>
    <w:rsid w:val="00EA0E3D"/>
    <w:rsid w:val="00EA4A30"/>
    <w:rsid w:val="00EC38A7"/>
    <w:rsid w:val="00ED6333"/>
    <w:rsid w:val="00EE1AA8"/>
    <w:rsid w:val="00F31EDC"/>
    <w:rsid w:val="00F462B3"/>
    <w:rsid w:val="00F5664F"/>
    <w:rsid w:val="00F666C4"/>
    <w:rsid w:val="00F76AFC"/>
    <w:rsid w:val="00FA0EF1"/>
    <w:rsid w:val="00FA47C0"/>
    <w:rsid w:val="00FB2057"/>
    <w:rsid w:val="00FB5DD1"/>
    <w:rsid w:val="00FC2B5D"/>
    <w:rsid w:val="00FF1449"/>
    <w:rsid w:val="00FF78B1"/>
    <w:rsid w:val="5CEADB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paragraph" w:customStyle="1" w:styleId="Appelnotedebasde">
    <w:name w:val="Appel note de bas de..."/>
    <w:basedOn w:val="Normal"/>
    <w:link w:val="Refdenotaalpie"/>
    <w:uiPriority w:val="99"/>
    <w:rsid w:val="000A7E2C"/>
    <w:pPr>
      <w:spacing w:line="240" w:lineRule="exact"/>
    </w:pPr>
    <w:rPr>
      <w:vertAlign w:val="superscript"/>
    </w:rPr>
  </w:style>
  <w:style w:type="table" w:customStyle="1" w:styleId="Tablaconcuadrcula1">
    <w:name w:val="Tabla con cuadrícula1"/>
    <w:basedOn w:val="Tablanormal"/>
    <w:next w:val="Tablaconcuadrcula"/>
    <w:uiPriority w:val="39"/>
    <w:qFormat/>
    <w:rsid w:val="000A7E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0A7E2C"/>
    <w:rPr>
      <w:rFonts w:ascii="Geomanist Light" w:hAnsi="Geomanist Light"/>
      <w:lang w:val="es-ES"/>
    </w:rPr>
  </w:style>
  <w:style w:type="character" w:styleId="Refdecomentario">
    <w:name w:val="annotation reference"/>
    <w:basedOn w:val="Fuentedeprrafopredeter"/>
    <w:uiPriority w:val="99"/>
    <w:semiHidden/>
    <w:unhideWhenUsed/>
    <w:rsid w:val="00507A2E"/>
    <w:rPr>
      <w:sz w:val="16"/>
      <w:szCs w:val="16"/>
    </w:rPr>
  </w:style>
  <w:style w:type="paragraph" w:styleId="Textocomentario">
    <w:name w:val="annotation text"/>
    <w:basedOn w:val="Normal"/>
    <w:link w:val="TextocomentarioCar"/>
    <w:uiPriority w:val="99"/>
    <w:unhideWhenUsed/>
    <w:rsid w:val="00507A2E"/>
    <w:pPr>
      <w:spacing w:line="240" w:lineRule="auto"/>
    </w:pPr>
    <w:rPr>
      <w:sz w:val="20"/>
      <w:szCs w:val="20"/>
    </w:rPr>
  </w:style>
  <w:style w:type="character" w:customStyle="1" w:styleId="TextocomentarioCar">
    <w:name w:val="Texto comentario Car"/>
    <w:basedOn w:val="Fuentedeprrafopredeter"/>
    <w:link w:val="Textocomentario"/>
    <w:uiPriority w:val="99"/>
    <w:rsid w:val="00507A2E"/>
    <w:rPr>
      <w:sz w:val="20"/>
      <w:szCs w:val="20"/>
    </w:rPr>
  </w:style>
  <w:style w:type="paragraph" w:styleId="Asuntodelcomentario">
    <w:name w:val="annotation subject"/>
    <w:basedOn w:val="Textocomentario"/>
    <w:next w:val="Textocomentario"/>
    <w:link w:val="AsuntodelcomentarioCar"/>
    <w:uiPriority w:val="99"/>
    <w:semiHidden/>
    <w:unhideWhenUsed/>
    <w:rsid w:val="00507A2E"/>
    <w:rPr>
      <w:b/>
      <w:bCs/>
    </w:rPr>
  </w:style>
  <w:style w:type="character" w:customStyle="1" w:styleId="AsuntodelcomentarioCar">
    <w:name w:val="Asunto del comentario Car"/>
    <w:basedOn w:val="TextocomentarioCar"/>
    <w:link w:val="Asuntodelcomentario"/>
    <w:uiPriority w:val="99"/>
    <w:semiHidden/>
    <w:rsid w:val="00507A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835437">
      <w:bodyDiv w:val="1"/>
      <w:marLeft w:val="0"/>
      <w:marRight w:val="0"/>
      <w:marTop w:val="0"/>
      <w:marBottom w:val="0"/>
      <w:divBdr>
        <w:top w:val="none" w:sz="0" w:space="0" w:color="auto"/>
        <w:left w:val="none" w:sz="0" w:space="0" w:color="auto"/>
        <w:bottom w:val="none" w:sz="0" w:space="0" w:color="auto"/>
        <w:right w:val="none" w:sz="0" w:space="0" w:color="auto"/>
      </w:divBdr>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82824882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1343514720">
      <w:bodyDiv w:val="1"/>
      <w:marLeft w:val="0"/>
      <w:marRight w:val="0"/>
      <w:marTop w:val="0"/>
      <w:marBottom w:val="0"/>
      <w:divBdr>
        <w:top w:val="none" w:sz="0" w:space="0" w:color="auto"/>
        <w:left w:val="none" w:sz="0" w:space="0" w:color="auto"/>
        <w:bottom w:val="none" w:sz="0" w:space="0" w:color="auto"/>
        <w:right w:val="none" w:sz="0" w:space="0" w:color="auto"/>
      </w:divBdr>
    </w:div>
    <w:div w:id="1947426629">
      <w:bodyDiv w:val="1"/>
      <w:marLeft w:val="0"/>
      <w:marRight w:val="0"/>
      <w:marTop w:val="0"/>
      <w:marBottom w:val="0"/>
      <w:divBdr>
        <w:top w:val="none" w:sz="0" w:space="0" w:color="auto"/>
        <w:left w:val="none" w:sz="0" w:space="0" w:color="auto"/>
        <w:bottom w:val="none" w:sz="0" w:space="0" w:color="auto"/>
        <w:right w:val="none" w:sz="0" w:space="0" w:color="auto"/>
      </w:divBdr>
      <w:divsChild>
        <w:div w:id="187302892">
          <w:marLeft w:val="0"/>
          <w:marRight w:val="0"/>
          <w:marTop w:val="0"/>
          <w:marBottom w:val="160"/>
          <w:divBdr>
            <w:top w:val="none" w:sz="0" w:space="0" w:color="auto"/>
            <w:left w:val="none" w:sz="0" w:space="0" w:color="auto"/>
            <w:bottom w:val="none" w:sz="0" w:space="0" w:color="auto"/>
            <w:right w:val="none" w:sz="0" w:space="0" w:color="auto"/>
          </w:divBdr>
        </w:div>
      </w:divsChild>
    </w:div>
    <w:div w:id="2003848616">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nam02.safelinks.protection.outlook.com/?url=https%3A%2F%2Fwww.colombiacompra.gov.co%2Fsala-de-prensa%2Fboletin-digital%2Fboletin-de-relatoria-2024-iv&amp;data=05%7C02%7Cjuan.avendano%40colombiacompra.gov.co%7C616b83c3423e4d31151908dce489c00d%7C7b09041e245149d08cb179d5e3d8c1be%7C0%7C0%7C638636527541272440%7CUnknown%7CTWFpbGZsb3d8eyJWIjoiMC4wLjAwMDAiLCJQIjoiV2luMzIiLCJBTiI6Ik1haWwiLCJXVCI6Mn0%3D%7C0%7C%7C%7C&amp;sdata=VOv0vUywNxNx7YXgqlxhlII5V3j%2Ffeq3dcExMx1BZ1g%3D&amp;reserved=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nam02.safelinks.protection.outlook.com/?url=https%3A%2F%2Frelatoria.colombiacompra.gov.co%2F&amp;data=05%7C02%7Cjuan.avendano%40colombiacompra.gov.co%7C5aad36a736844ec87b2108dcc1fa4639%7C7b09041e245149d08cb179d5e3d8c1be%7C0%7C0%7C638598527916578281%7CUnknown%7CTWFpbGZsb3d8eyJWIjoiMC4wLjAwMDAiLCJQIjoiV2luMzIiLCJBTiI6Ik1haWwiLCJXVCI6Mn0%3D%7C0%7C%7C%7C&amp;sdata=ULogXxqZhlbRGnXip3V5oi2tcjWOQqeurmNDisBXQv0%3D&amp;reserved=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mildredv@yahoo.es"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dle.rae.es/h%C3%A1bi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6cb9e4b-f1d1-4245-83ec-6cad768d538a">
      <UserInfo>
        <DisplayName>Poxta IOIP</DisplayName>
        <AccountId>719</AccountId>
        <AccountType/>
      </UserInfo>
    </SharedWithUsers>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8ae15d26-076e-464e-81a7-6f76a0fb3917"/>
    <ds:schemaRef ds:uri="36c82cfe-0eda-494d-b392-a9281b89aaf0"/>
  </ds:schemaRefs>
</ds:datastoreItem>
</file>

<file path=customXml/itemProps2.xml><?xml version="1.0" encoding="utf-8"?>
<ds:datastoreItem xmlns:ds="http://schemas.openxmlformats.org/officeDocument/2006/customXml" ds:itemID="{861FA78A-20D4-4E67-BB06-730BD154F1B8}"/>
</file>

<file path=customXml/itemProps3.xml><?xml version="1.0" encoding="utf-8"?>
<ds:datastoreItem xmlns:ds="http://schemas.openxmlformats.org/officeDocument/2006/customXml" ds:itemID="{19B0637E-D058-473B-8FE7-AA861F69C7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3001</Words>
  <Characters>16508</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19471</CharactersWithSpaces>
  <SharedDoc>false</SharedDoc>
  <HLinks>
    <vt:vector size="24" baseType="variant">
      <vt:variant>
        <vt:i4>3866631</vt:i4>
      </vt:variant>
      <vt:variant>
        <vt:i4>6</vt:i4>
      </vt:variant>
      <vt:variant>
        <vt:i4>0</vt:i4>
      </vt:variant>
      <vt:variant>
        <vt:i4>5</vt:i4>
      </vt:variant>
      <vt:variant>
        <vt:lpwstr>https://nam02.safelinks.protection.outlook.com/?url=https%3A%2F%2Fwww.colombiacompra.gov.co%2Fsites%2Fcce_public%2Ffiles%2Ffiles_2020%2Fboletin_de_realtoria_iii.pdf&amp;data=05%7C02%7Cjuan.avendano%40colombiacompra.gov.co%7C5aad36a736844ec87b2108dcc1fa4639%7C7b09041e245149d08cb179d5e3d8c1be%7C0%7C0%7C638598527916589830%7CUnknown%7CTWFpbGZsb3d8eyJWIjoiMC4wLjAwMDAiLCJQIjoiV2luMzIiLCJBTiI6Ik1haWwiLCJXVCI6Mn0%3D%7C0%7C%7C%7C&amp;sdata=n8NgSxrSvJO7kk%2FCAkHZCgzHEwhQu6wmWP1FNXaghcs%3D&amp;reserved=0</vt:lpwstr>
      </vt:variant>
      <vt:variant>
        <vt:lpwstr/>
      </vt:variant>
      <vt:variant>
        <vt:i4>2162739</vt:i4>
      </vt:variant>
      <vt:variant>
        <vt:i4>3</vt:i4>
      </vt:variant>
      <vt:variant>
        <vt:i4>0</vt:i4>
      </vt:variant>
      <vt:variant>
        <vt:i4>5</vt:i4>
      </vt:variant>
      <vt:variant>
        <vt:lpwstr>https://nam02.safelinks.protection.outlook.com/?url=https%3A%2F%2Frelatoria.colombiacompra.gov.co%2F&amp;data=05%7C02%7Cjuan.avendano%40colombiacompra.gov.co%7C5aad36a736844ec87b2108dcc1fa4639%7C7b09041e245149d08cb179d5e3d8c1be%7C0%7C0%7C638598527916578281%7CUnknown%7CTWFpbGZsb3d8eyJWIjoiMC4wLjAwMDAiLCJQIjoiV2luMzIiLCJBTiI6Ik1haWwiLCJXVCI6Mn0%3D%7C0%7C%7C%7C&amp;sdata=ULogXxqZhlbRGnXip3V5oi2tcjWOQqeurmNDisBXQv0%3D&amp;reserved=0</vt:lpwstr>
      </vt:variant>
      <vt:variant>
        <vt:lpwstr/>
      </vt:variant>
      <vt:variant>
        <vt:i4>393277</vt:i4>
      </vt:variant>
      <vt:variant>
        <vt:i4>0</vt:i4>
      </vt:variant>
      <vt:variant>
        <vt:i4>0</vt:i4>
      </vt:variant>
      <vt:variant>
        <vt:i4>5</vt:i4>
      </vt:variant>
      <vt:variant>
        <vt:lpwstr>mailto:amildredv@yahoo.es</vt:lpwstr>
      </vt:variant>
      <vt:variant>
        <vt:lpwstr/>
      </vt:variant>
      <vt:variant>
        <vt:i4>1638409</vt:i4>
      </vt:variant>
      <vt:variant>
        <vt:i4>0</vt:i4>
      </vt:variant>
      <vt:variant>
        <vt:i4>0</vt:i4>
      </vt:variant>
      <vt:variant>
        <vt:i4>5</vt:i4>
      </vt:variant>
      <vt:variant>
        <vt:lpwstr>https://dle.rae.es/h%C3%A1bil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Juan Manuel Avendaño Robles</cp:lastModifiedBy>
  <cp:revision>2</cp:revision>
  <cp:lastPrinted>2023-01-10T21:18:00Z</cp:lastPrinted>
  <dcterms:created xsi:type="dcterms:W3CDTF">2024-10-08T19:24:00Z</dcterms:created>
  <dcterms:modified xsi:type="dcterms:W3CDTF">2024-10-08T19:24:00Z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