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A850" w14:textId="77777777" w:rsidR="004521FB" w:rsidRPr="00033A9F" w:rsidRDefault="004521FB" w:rsidP="00033A9F">
      <w:pPr>
        <w:tabs>
          <w:tab w:val="left" w:pos="8080"/>
        </w:tabs>
        <w:spacing w:line="276" w:lineRule="auto"/>
        <w:ind w:right="758"/>
        <w:jc w:val="both"/>
        <w:rPr>
          <w:rFonts w:ascii="Verdana" w:eastAsia="Calibri" w:hAnsi="Verdana" w:cs="Arial"/>
          <w:b/>
          <w:bCs/>
          <w:color w:val="000000" w:themeColor="text1"/>
          <w:lang w:val="es-MX"/>
        </w:rPr>
      </w:pPr>
      <w:bookmarkStart w:id="0" w:name="_Hlk178670199"/>
      <w:r w:rsidRPr="00033A9F">
        <w:rPr>
          <w:rFonts w:ascii="Verdana" w:eastAsia="Calibri" w:hAnsi="Verdana" w:cs="Arial"/>
          <w:b/>
          <w:bCs/>
          <w:color w:val="000000" w:themeColor="text1"/>
          <w:lang w:val="es-MX"/>
        </w:rPr>
        <w:t>CONTRATO DE PRESTACIÓN DE SERVICIOS – Concepto – Requisitos y límites para su celebración:</w:t>
      </w:r>
    </w:p>
    <w:p w14:paraId="437BB837" w14:textId="6654BE39" w:rsidR="004521FB" w:rsidRPr="00033A9F" w:rsidRDefault="004521FB" w:rsidP="00033A9F">
      <w:pPr>
        <w:tabs>
          <w:tab w:val="left" w:pos="8080"/>
        </w:tabs>
        <w:spacing w:line="240" w:lineRule="auto"/>
        <w:ind w:right="758"/>
        <w:jc w:val="both"/>
        <w:rPr>
          <w:rFonts w:ascii="Verdana" w:eastAsia="Calibri" w:hAnsi="Verdana" w:cs="Arial"/>
          <w:b/>
          <w:bCs/>
          <w:color w:val="000000" w:themeColor="text1"/>
          <w:lang w:val="es-MX"/>
        </w:rPr>
      </w:pPr>
      <w:r w:rsidRPr="00033A9F">
        <w:rPr>
          <w:rFonts w:ascii="Verdana" w:eastAsia="Calibri" w:hAnsi="Verdana" w:cs="Arial"/>
          <w:color w:val="000000" w:themeColor="text1"/>
          <w:lang w:val="es-MX"/>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033A9F">
        <w:rPr>
          <w:rFonts w:ascii="Verdana" w:eastAsia="Calibri" w:hAnsi="Verdana" w:cs="Arial"/>
          <w:color w:val="000000" w:themeColor="text1"/>
          <w:lang w:val="es-MX"/>
        </w:rPr>
        <w:t>ii</w:t>
      </w:r>
      <w:proofErr w:type="spellEnd"/>
      <w:r w:rsidRPr="00033A9F">
        <w:rPr>
          <w:rFonts w:ascii="Verdana" w:eastAsia="Calibri" w:hAnsi="Verdana" w:cs="Arial"/>
          <w:color w:val="000000" w:themeColor="text1"/>
          <w:lang w:val="es-MX"/>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033A9F">
        <w:rPr>
          <w:rFonts w:ascii="Verdana" w:eastAsia="Calibri" w:hAnsi="Verdana" w:cs="Arial"/>
          <w:color w:val="000000" w:themeColor="text1"/>
          <w:lang w:val="es-MX"/>
        </w:rPr>
        <w:t>iii</w:t>
      </w:r>
      <w:proofErr w:type="spellEnd"/>
      <w:r w:rsidRPr="00033A9F">
        <w:rPr>
          <w:rFonts w:ascii="Verdana" w:eastAsia="Calibri" w:hAnsi="Verdana" w:cs="Arial"/>
          <w:color w:val="000000" w:themeColor="text1"/>
          <w:lang w:val="es-MX"/>
        </w:rPr>
        <w:t>)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033A9F">
        <w:rPr>
          <w:rFonts w:ascii="Verdana" w:eastAsia="Calibri" w:hAnsi="Verdana" w:cs="Arial"/>
          <w:i/>
          <w:iCs/>
          <w:color w:val="000000" w:themeColor="text1"/>
          <w:lang w:val="es-MX"/>
        </w:rPr>
        <w:t>subordinación y dependencia</w:t>
      </w:r>
      <w:r w:rsidRPr="00033A9F">
        <w:rPr>
          <w:rFonts w:ascii="Verdana" w:eastAsia="Calibri" w:hAnsi="Verdana" w:cs="Arial"/>
          <w:color w:val="000000" w:themeColor="text1"/>
          <w:lang w:val="es-MX"/>
        </w:rPr>
        <w:t xml:space="preserve"> que es uno de los elementos constitutivos del vínculo laboral; </w:t>
      </w:r>
      <w:proofErr w:type="spellStart"/>
      <w:r w:rsidRPr="00033A9F">
        <w:rPr>
          <w:rFonts w:ascii="Verdana" w:eastAsia="Calibri" w:hAnsi="Verdana" w:cs="Arial"/>
          <w:color w:val="000000" w:themeColor="text1"/>
          <w:lang w:val="es-MX"/>
        </w:rPr>
        <w:t>iv</w:t>
      </w:r>
      <w:proofErr w:type="spellEnd"/>
      <w:r w:rsidRPr="00033A9F">
        <w:rPr>
          <w:rFonts w:ascii="Verdana" w:eastAsia="Calibri" w:hAnsi="Verdana" w:cs="Arial"/>
          <w:color w:val="000000" w:themeColor="text1"/>
          <w:lang w:val="es-MX"/>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033A9F">
        <w:rPr>
          <w:rFonts w:ascii="Verdana" w:eastAsia="Calibri" w:hAnsi="Verdana" w:cs="Arial"/>
          <w:color w:val="000000" w:themeColor="text1"/>
          <w:lang w:val="es-MX"/>
        </w:rPr>
        <w:t>vii</w:t>
      </w:r>
      <w:proofErr w:type="spellEnd"/>
      <w:r w:rsidRPr="00033A9F">
        <w:rPr>
          <w:rFonts w:ascii="Verdana" w:eastAsia="Calibri" w:hAnsi="Verdana" w:cs="Arial"/>
          <w:color w:val="000000" w:themeColor="text1"/>
          <w:lang w:val="es-MX"/>
        </w:rPr>
        <w:t xml:space="preserve">) para su celebración no se requiere la expedición del acto administrativo de justificación de la contratación directa; </w:t>
      </w:r>
      <w:proofErr w:type="spellStart"/>
      <w:r w:rsidRPr="00033A9F">
        <w:rPr>
          <w:rFonts w:ascii="Verdana" w:eastAsia="Calibri" w:hAnsi="Verdana" w:cs="Arial"/>
          <w:color w:val="000000" w:themeColor="text1"/>
          <w:lang w:val="es-MX"/>
        </w:rPr>
        <w:t>viii</w:t>
      </w:r>
      <w:proofErr w:type="spellEnd"/>
      <w:r w:rsidRPr="00033A9F">
        <w:rPr>
          <w:rFonts w:ascii="Verdana" w:eastAsia="Calibri" w:hAnsi="Verdana" w:cs="Arial"/>
          <w:color w:val="000000" w:themeColor="text1"/>
          <w:lang w:val="es-MX"/>
        </w:rPr>
        <w:t xml:space="preserve">) admite el pacto de cláusulas excepcionales; </w:t>
      </w:r>
      <w:proofErr w:type="spellStart"/>
      <w:r w:rsidRPr="00033A9F">
        <w:rPr>
          <w:rFonts w:ascii="Verdana" w:eastAsia="Calibri" w:hAnsi="Verdana" w:cs="Arial"/>
          <w:color w:val="000000" w:themeColor="text1"/>
          <w:lang w:val="es-MX"/>
        </w:rPr>
        <w:t>ix</w:t>
      </w:r>
      <w:proofErr w:type="spellEnd"/>
      <w:r w:rsidRPr="00033A9F">
        <w:rPr>
          <w:rFonts w:ascii="Verdana" w:eastAsia="Calibri" w:hAnsi="Verdana" w:cs="Arial"/>
          <w:color w:val="000000" w:themeColor="text1"/>
          <w:lang w:val="es-MX"/>
        </w:rPr>
        <w:t xml:space="preserve">) en algunos casos no es obligatoria la liquidación; x) para su celebración no se requiere inscripción en el Registro Único de Proponentes (RUP); xi) en él no son necesarias las </w:t>
      </w:r>
    </w:p>
    <w:p w14:paraId="6F6EFEC9" w14:textId="417D22DF" w:rsidR="004521FB" w:rsidRPr="00033A9F" w:rsidRDefault="004521FB" w:rsidP="00033A9F">
      <w:pPr>
        <w:tabs>
          <w:tab w:val="left" w:pos="8080"/>
        </w:tabs>
        <w:spacing w:after="0" w:line="276" w:lineRule="auto"/>
        <w:jc w:val="both"/>
        <w:rPr>
          <w:rFonts w:ascii="Verdana" w:eastAsia="Calibri" w:hAnsi="Verdana" w:cs="Arial"/>
          <w:b/>
          <w:bCs/>
          <w:lang w:val="es-ES_tradnl" w:eastAsia="es-ES_tradnl"/>
        </w:rPr>
      </w:pPr>
      <w:r w:rsidRPr="00033A9F">
        <w:rPr>
          <w:rFonts w:ascii="Verdana" w:eastAsia="Calibri" w:hAnsi="Verdana" w:cs="Arial"/>
          <w:b/>
          <w:bCs/>
          <w:lang w:val="es-ES_tradnl" w:eastAsia="es-ES_tradnl"/>
        </w:rPr>
        <w:t>Artículo 32, el numeral 3</w:t>
      </w:r>
      <w:r w:rsidR="0011601A" w:rsidRPr="00033A9F">
        <w:rPr>
          <w:rFonts w:ascii="Verdana" w:eastAsia="Calibri" w:hAnsi="Verdana" w:cs="Arial"/>
          <w:b/>
          <w:bCs/>
          <w:lang w:val="es-ES_tradnl" w:eastAsia="es-ES_tradnl"/>
        </w:rPr>
        <w:t>° de</w:t>
      </w:r>
      <w:r w:rsidRPr="00033A9F">
        <w:rPr>
          <w:rFonts w:ascii="Verdana" w:eastAsia="Calibri" w:hAnsi="Verdana" w:cs="Arial"/>
          <w:b/>
          <w:bCs/>
          <w:lang w:val="es-ES_tradnl" w:eastAsia="es-ES_tradnl"/>
        </w:rPr>
        <w:t xml:space="preserve"> la Ley 80 de 1993:</w:t>
      </w:r>
    </w:p>
    <w:p w14:paraId="19403438" w14:textId="77777777" w:rsidR="004521FB" w:rsidRPr="00033A9F" w:rsidRDefault="004521FB" w:rsidP="00033A9F">
      <w:pPr>
        <w:tabs>
          <w:tab w:val="left" w:pos="8080"/>
        </w:tabs>
        <w:spacing w:after="0" w:line="240" w:lineRule="auto"/>
        <w:ind w:right="709"/>
        <w:jc w:val="both"/>
        <w:rPr>
          <w:rFonts w:ascii="Verdana" w:eastAsia="Calibri" w:hAnsi="Verdana" w:cs="Arial"/>
          <w:color w:val="000000"/>
          <w:lang w:val="es-ES_tradnl" w:eastAsia="es-ES_tradnl"/>
        </w:rPr>
      </w:pPr>
    </w:p>
    <w:p w14:paraId="513336F8" w14:textId="7632E320" w:rsidR="004521FB" w:rsidRPr="00033A9F" w:rsidRDefault="004521FB" w:rsidP="00033A9F">
      <w:pPr>
        <w:tabs>
          <w:tab w:val="left" w:pos="8080"/>
        </w:tabs>
        <w:spacing w:after="0" w:line="240" w:lineRule="auto"/>
        <w:ind w:right="709"/>
        <w:jc w:val="both"/>
        <w:rPr>
          <w:rFonts w:ascii="Verdana" w:eastAsia="Calibri" w:hAnsi="Verdana" w:cs="Arial"/>
          <w:color w:val="000000"/>
          <w:lang w:val="es-ES_tradnl" w:eastAsia="es-ES_tradnl"/>
        </w:rPr>
      </w:pPr>
      <w:r w:rsidRPr="00033A9F">
        <w:rPr>
          <w:rFonts w:ascii="Verdana" w:eastAsia="Calibri" w:hAnsi="Verdana" w:cs="Arial"/>
          <w:color w:val="000000"/>
          <w:lang w:val="es-ES_tradnl" w:eastAsia="es-ES_tradnl"/>
        </w:rPr>
        <w:t xml:space="preserve">“Son contratos de prestación de servicios los que celebren las entidades estatales para desarrollar actividades relacionadas con la </w:t>
      </w:r>
      <w:r w:rsidRPr="00033A9F">
        <w:rPr>
          <w:rFonts w:ascii="Verdana" w:eastAsia="Calibri" w:hAnsi="Verdana" w:cs="Arial"/>
          <w:i/>
          <w:iCs/>
          <w:color w:val="000000"/>
          <w:lang w:val="es-ES_tradnl" w:eastAsia="es-ES_tradnl"/>
        </w:rPr>
        <w:t>administración o funcionamiento de la entidad.</w:t>
      </w:r>
      <w:r w:rsidRPr="00033A9F">
        <w:rPr>
          <w:rFonts w:ascii="Verdana" w:eastAsia="Calibri" w:hAnsi="Verdana" w:cs="Arial"/>
          <w:color w:val="000000"/>
          <w:lang w:val="es-ES_tradnl" w:eastAsia="es-ES_tradnl"/>
        </w:rPr>
        <w:t xml:space="preserve"> Estos contratos sólo podrán celebrarse con personas naturales cuando dichas actividades no puedan realizarse con personal de planta o requieran conocimientos especializados.</w:t>
      </w:r>
    </w:p>
    <w:p w14:paraId="15312398" w14:textId="77777777" w:rsidR="004521FB" w:rsidRPr="00033A9F" w:rsidRDefault="004521FB" w:rsidP="00033A9F">
      <w:pPr>
        <w:tabs>
          <w:tab w:val="left" w:pos="8080"/>
        </w:tabs>
        <w:spacing w:after="0" w:line="240" w:lineRule="auto"/>
        <w:ind w:right="709"/>
        <w:jc w:val="both"/>
        <w:rPr>
          <w:rFonts w:ascii="Verdana" w:eastAsia="Calibri" w:hAnsi="Verdana" w:cs="Arial"/>
          <w:color w:val="000000"/>
          <w:lang w:val="es-ES_tradnl" w:eastAsia="es-ES_tradnl"/>
        </w:rPr>
      </w:pPr>
    </w:p>
    <w:p w14:paraId="43FDB2B1" w14:textId="0BDC157D" w:rsidR="004521FB" w:rsidRDefault="004521FB" w:rsidP="00033A9F">
      <w:pPr>
        <w:tabs>
          <w:tab w:val="left" w:pos="8080"/>
        </w:tabs>
        <w:spacing w:after="0" w:line="240" w:lineRule="auto"/>
        <w:ind w:right="709"/>
        <w:jc w:val="both"/>
        <w:rPr>
          <w:rFonts w:ascii="Verdana" w:eastAsia="Calibri" w:hAnsi="Verdana" w:cs="Arial"/>
          <w:color w:val="000000"/>
          <w:lang w:val="es-ES_tradnl" w:eastAsia="es-ES_tradnl"/>
        </w:rPr>
      </w:pPr>
      <w:r w:rsidRPr="00033A9F">
        <w:rPr>
          <w:rFonts w:ascii="Verdana" w:eastAsia="Calibri" w:hAnsi="Verdana" w:cs="Arial"/>
          <w:color w:val="000000"/>
          <w:lang w:val="es-ES_tradnl" w:eastAsia="es-ES_tradnl"/>
        </w:rPr>
        <w:t>En ningún caso estos contratos generan relación laboral ni prestaciones sociales y se celebrarán por el término estrictamente indispensable”.</w:t>
      </w:r>
    </w:p>
    <w:p w14:paraId="01B3624C" w14:textId="77777777" w:rsidR="008F276D" w:rsidRDefault="008F276D" w:rsidP="00033A9F">
      <w:pPr>
        <w:tabs>
          <w:tab w:val="left" w:pos="8080"/>
        </w:tabs>
        <w:spacing w:after="0" w:line="240" w:lineRule="auto"/>
        <w:ind w:right="709"/>
        <w:jc w:val="both"/>
        <w:rPr>
          <w:rFonts w:ascii="Verdana" w:eastAsia="Calibri" w:hAnsi="Verdana" w:cs="Arial"/>
          <w:color w:val="000000"/>
          <w:lang w:val="es-ES_tradnl" w:eastAsia="es-ES_tradnl"/>
        </w:rPr>
      </w:pPr>
    </w:p>
    <w:p w14:paraId="69F66475" w14:textId="77777777" w:rsidR="008F276D" w:rsidRPr="00033A9F" w:rsidRDefault="008F276D" w:rsidP="00033A9F">
      <w:pPr>
        <w:tabs>
          <w:tab w:val="left" w:pos="8080"/>
        </w:tabs>
        <w:spacing w:after="0" w:line="240" w:lineRule="auto"/>
        <w:ind w:right="709"/>
        <w:jc w:val="both"/>
        <w:rPr>
          <w:rFonts w:ascii="Verdana" w:eastAsia="Calibri" w:hAnsi="Verdana" w:cs="Arial"/>
          <w:color w:val="000000"/>
          <w:lang w:val="es-ES_tradnl" w:eastAsia="es-ES_tradnl"/>
        </w:rPr>
      </w:pPr>
    </w:p>
    <w:p w14:paraId="40F57950"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val="es-ES_tradnl" w:eastAsia="es-ES_tradnl"/>
        </w:rPr>
      </w:pPr>
    </w:p>
    <w:p w14:paraId="2EF6F62C" w14:textId="30736310" w:rsidR="00F85D90" w:rsidRDefault="00033A9F" w:rsidP="00033A9F">
      <w:pPr>
        <w:tabs>
          <w:tab w:val="left" w:pos="8080"/>
        </w:tabs>
        <w:spacing w:after="0" w:line="240" w:lineRule="auto"/>
        <w:ind w:right="709"/>
        <w:jc w:val="both"/>
        <w:rPr>
          <w:rFonts w:ascii="Verdana" w:eastAsia="Calibri" w:hAnsi="Verdana" w:cs="Arial"/>
          <w:b/>
          <w:bCs/>
          <w:color w:val="000000"/>
          <w:lang w:eastAsia="es-ES_tradnl"/>
        </w:rPr>
      </w:pPr>
      <w:r w:rsidRPr="00033A9F">
        <w:rPr>
          <w:rFonts w:ascii="Verdana" w:eastAsia="Calibri" w:hAnsi="Verdana" w:cs="Arial"/>
          <w:b/>
          <w:bCs/>
          <w:color w:val="000000"/>
          <w:lang w:eastAsia="es-ES_tradnl"/>
        </w:rPr>
        <w:lastRenderedPageBreak/>
        <w:t>ARTÍCULO </w:t>
      </w:r>
      <w:bookmarkStart w:id="1" w:name="BM40_2"/>
      <w:bookmarkStart w:id="2" w:name="40"/>
      <w:bookmarkEnd w:id="1"/>
      <w:bookmarkEnd w:id="2"/>
      <w:r w:rsidRPr="00033A9F">
        <w:rPr>
          <w:rFonts w:ascii="Verdana" w:eastAsia="Calibri" w:hAnsi="Verdana" w:cs="Arial"/>
          <w:b/>
          <w:bCs/>
          <w:color w:val="000000"/>
          <w:lang w:eastAsia="es-ES_tradnl"/>
        </w:rPr>
        <w:t>40</w:t>
      </w:r>
      <w:r w:rsidR="00F85D90">
        <w:rPr>
          <w:rFonts w:ascii="Verdana" w:eastAsia="Calibri" w:hAnsi="Verdana" w:cs="Arial"/>
          <w:b/>
          <w:bCs/>
          <w:color w:val="000000"/>
          <w:lang w:eastAsia="es-ES_tradnl"/>
        </w:rPr>
        <w:t xml:space="preserve">, </w:t>
      </w:r>
      <w:r w:rsidR="00F85D90" w:rsidRPr="00033A9F">
        <w:rPr>
          <w:rFonts w:ascii="Verdana" w:eastAsia="Calibri" w:hAnsi="Verdana" w:cs="Arial"/>
          <w:b/>
          <w:bCs/>
          <w:lang w:val="es-ES_tradnl" w:eastAsia="es-ES_tradnl"/>
        </w:rPr>
        <w:t>de la Ley 80 de 1993</w:t>
      </w:r>
      <w:r w:rsidR="008F276D">
        <w:rPr>
          <w:rFonts w:ascii="Verdana" w:eastAsia="Calibri" w:hAnsi="Verdana" w:cs="Arial"/>
          <w:b/>
          <w:bCs/>
          <w:color w:val="000000"/>
          <w:lang w:eastAsia="es-ES_tradnl"/>
        </w:rPr>
        <w:t>:</w:t>
      </w:r>
    </w:p>
    <w:p w14:paraId="4666C821" w14:textId="77777777" w:rsidR="008F276D" w:rsidRDefault="008F276D" w:rsidP="00033A9F">
      <w:pPr>
        <w:tabs>
          <w:tab w:val="left" w:pos="8080"/>
        </w:tabs>
        <w:spacing w:after="0" w:line="240" w:lineRule="auto"/>
        <w:ind w:right="709"/>
        <w:jc w:val="both"/>
        <w:rPr>
          <w:rFonts w:ascii="Verdana" w:eastAsia="Calibri" w:hAnsi="Verdana" w:cs="Arial"/>
          <w:b/>
          <w:bCs/>
          <w:color w:val="000000"/>
          <w:lang w:eastAsia="es-ES_tradnl"/>
        </w:rPr>
      </w:pPr>
    </w:p>
    <w:p w14:paraId="792748AF" w14:textId="3466390D" w:rsid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 xml:space="preserve">Las estipulaciones de los contratos serán las </w:t>
      </w:r>
      <w:r w:rsidR="008F276D" w:rsidRPr="00033A9F">
        <w:rPr>
          <w:rFonts w:ascii="Verdana" w:eastAsia="Calibri" w:hAnsi="Verdana" w:cs="Arial"/>
          <w:color w:val="000000"/>
          <w:lang w:eastAsia="es-ES_tradnl"/>
        </w:rPr>
        <w:t>que,</w:t>
      </w:r>
      <w:r w:rsidRPr="00033A9F">
        <w:rPr>
          <w:rFonts w:ascii="Verdana" w:eastAsia="Calibri" w:hAnsi="Verdana" w:cs="Arial"/>
          <w:color w:val="000000"/>
          <w:lang w:eastAsia="es-ES_tradnl"/>
        </w:rPr>
        <w:t xml:space="preserve"> de acuerdo con las normas civiles, comerciales y las previstas en esta Ley, correspondan a su esencia y naturaleza.</w:t>
      </w:r>
    </w:p>
    <w:p w14:paraId="350029FF"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p>
    <w:p w14:paraId="731C6BBD" w14:textId="77777777" w:rsid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Las entidades podrán celebrar los contratos y acuerdos que permitan la autonomía de la voluntad y requieran el cumplimiento de los fines estatales.</w:t>
      </w:r>
    </w:p>
    <w:p w14:paraId="509BF306"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p>
    <w:p w14:paraId="245E2FC4"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4C5B40A7" w14:textId="77777777" w:rsid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En los contratos de empréstito o cualquier otra forma de financiación de organismos multilaterales, podrán incluirse las previsiones y particularidades contempladas en los reglamentos de tales entidades, que no sean contrarias a la Constitución o a la ley.</w:t>
      </w:r>
    </w:p>
    <w:p w14:paraId="24279258"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p>
    <w:p w14:paraId="63CC2753" w14:textId="4D5D5C71" w:rsidR="00033A9F" w:rsidRDefault="00033A9F" w:rsidP="00033A9F">
      <w:pPr>
        <w:tabs>
          <w:tab w:val="left" w:pos="8080"/>
        </w:tabs>
        <w:spacing w:after="0" w:line="240" w:lineRule="auto"/>
        <w:ind w:right="709"/>
        <w:jc w:val="both"/>
        <w:rPr>
          <w:rFonts w:ascii="Verdana" w:eastAsia="Calibri" w:hAnsi="Verdana" w:cs="Arial"/>
          <w:color w:val="000000"/>
          <w:lang w:eastAsia="es-ES_tradnl"/>
        </w:rPr>
      </w:pPr>
      <w:bookmarkStart w:id="3" w:name="40.p."/>
      <w:bookmarkEnd w:id="3"/>
      <w:r w:rsidRPr="00033A9F">
        <w:rPr>
          <w:rFonts w:ascii="Verdana" w:eastAsia="Calibri" w:hAnsi="Verdana" w:cs="Arial"/>
          <w:b/>
          <w:bCs/>
          <w:color w:val="000000"/>
          <w:lang w:eastAsia="es-ES_tradnl"/>
        </w:rPr>
        <w:t>PARÁGRAFO.</w:t>
      </w:r>
      <w:r w:rsidRPr="00033A9F">
        <w:rPr>
          <w:rFonts w:ascii="Verdana" w:eastAsia="Calibri" w:hAnsi="Verdana" w:cs="Arial"/>
          <w:color w:val="000000"/>
          <w:lang w:eastAsia="es-ES_tradnl"/>
        </w:rPr>
        <w:t> En los contratos que celebren las entidades estatales se podrá pactar el pago anticipado y la entrega de anticipos, pero su monto no podrá exceder del cincuenta por ciento (50%) del valor del respectivo contrato.</w:t>
      </w:r>
    </w:p>
    <w:p w14:paraId="2D53D6E7"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p>
    <w:p w14:paraId="2A0D8122" w14:textId="77777777" w:rsid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Los contratos no podrán adicionarse en más del cincuenta por ciento (50%) de su valor inicial, expresado éste en salarios mínimos legales mensuales.</w:t>
      </w:r>
    </w:p>
    <w:p w14:paraId="2828FB99"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p>
    <w:p w14:paraId="631FB0FE"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51D5F097" w14:textId="77777777" w:rsidR="00033A9F" w:rsidRPr="00033A9F" w:rsidRDefault="00033A9F" w:rsidP="00033A9F">
      <w:pPr>
        <w:tabs>
          <w:tab w:val="left" w:pos="8080"/>
        </w:tabs>
        <w:spacing w:after="0" w:line="240" w:lineRule="auto"/>
        <w:ind w:right="709"/>
        <w:jc w:val="both"/>
        <w:rPr>
          <w:rFonts w:ascii="Verdana" w:eastAsia="Calibri" w:hAnsi="Verdana" w:cs="Arial"/>
          <w:color w:val="000000"/>
          <w:lang w:eastAsia="es-ES_tradnl"/>
        </w:rPr>
      </w:pPr>
      <w:r w:rsidRPr="00033A9F">
        <w:rPr>
          <w:rFonts w:ascii="Verdana" w:eastAsia="Calibri" w:hAnsi="Verdana" w:cs="Arial"/>
          <w:color w:val="000000"/>
          <w:lang w:eastAsia="es-ES_tradnl"/>
        </w:rPr>
        <w:t>Igualmente, esta disposición se aplicará a los contratos que se celebren durante la vigencia de la Emergencia Sanitaria declarada por el Ministerio de Salud y Protección Social, con ocasión de la pandemia derivada del Coronavirus COVID-19, y durante el término que dicho estado esté vigente.</w:t>
      </w:r>
    </w:p>
    <w:p w14:paraId="2360C1BB" w14:textId="77777777" w:rsidR="00033A9F" w:rsidRDefault="00033A9F" w:rsidP="004521FB">
      <w:pPr>
        <w:spacing w:after="0" w:line="240" w:lineRule="auto"/>
        <w:ind w:right="709"/>
        <w:jc w:val="both"/>
        <w:rPr>
          <w:rFonts w:ascii="Verdana" w:eastAsia="Calibri" w:hAnsi="Verdana" w:cs="Arial"/>
          <w:color w:val="000000"/>
          <w:sz w:val="20"/>
          <w:szCs w:val="20"/>
          <w:lang w:eastAsia="es-ES_tradnl"/>
        </w:rPr>
      </w:pPr>
    </w:p>
    <w:p w14:paraId="4A74442F" w14:textId="77777777" w:rsidR="00F85D90" w:rsidRDefault="00F85D90" w:rsidP="004521FB">
      <w:pPr>
        <w:spacing w:after="0" w:line="240" w:lineRule="auto"/>
        <w:ind w:right="709"/>
        <w:jc w:val="both"/>
        <w:rPr>
          <w:rFonts w:ascii="Verdana" w:eastAsia="Calibri" w:hAnsi="Verdana" w:cs="Arial"/>
          <w:color w:val="000000"/>
          <w:sz w:val="20"/>
          <w:szCs w:val="20"/>
          <w:lang w:eastAsia="es-ES_tradnl"/>
        </w:rPr>
      </w:pPr>
    </w:p>
    <w:p w14:paraId="4762EA4F" w14:textId="57592839" w:rsidR="000B0103" w:rsidRPr="000B0103" w:rsidRDefault="000B0103" w:rsidP="000B0103">
      <w:pPr>
        <w:tabs>
          <w:tab w:val="left" w:pos="8080"/>
        </w:tabs>
        <w:spacing w:after="0" w:line="240" w:lineRule="auto"/>
        <w:ind w:right="709"/>
        <w:jc w:val="both"/>
        <w:rPr>
          <w:rFonts w:ascii="Verdana" w:eastAsia="Calibri" w:hAnsi="Verdana" w:cs="Arial"/>
          <w:b/>
          <w:bCs/>
          <w:color w:val="000000"/>
          <w:lang w:eastAsia="es-ES_tradnl"/>
        </w:rPr>
      </w:pPr>
      <w:r w:rsidRPr="000B0103">
        <w:rPr>
          <w:rFonts w:ascii="Verdana" w:eastAsia="Calibri" w:hAnsi="Verdana" w:cs="Arial"/>
          <w:b/>
          <w:bCs/>
          <w:color w:val="000000"/>
          <w:lang w:eastAsia="es-ES_tradnl"/>
        </w:rPr>
        <w:t>Artículo 209, Constitución Política de Colombia</w:t>
      </w:r>
      <w:r w:rsidR="008F276D">
        <w:rPr>
          <w:rFonts w:ascii="Verdana" w:eastAsia="Calibri" w:hAnsi="Verdana" w:cs="Arial"/>
          <w:b/>
          <w:bCs/>
          <w:color w:val="000000"/>
          <w:lang w:eastAsia="es-ES_tradnl"/>
        </w:rPr>
        <w:t xml:space="preserve"> de 1991:</w:t>
      </w:r>
      <w:r w:rsidRPr="000B0103">
        <w:rPr>
          <w:rFonts w:ascii="Verdana" w:eastAsia="Calibri" w:hAnsi="Verdana" w:cs="Arial"/>
          <w:b/>
          <w:bCs/>
          <w:color w:val="000000"/>
          <w:lang w:eastAsia="es-ES_tradnl"/>
        </w:rPr>
        <w:t xml:space="preserve"> </w:t>
      </w:r>
    </w:p>
    <w:p w14:paraId="205307EC" w14:textId="77777777" w:rsidR="000B0103" w:rsidRPr="000B0103" w:rsidRDefault="000B0103" w:rsidP="000B0103">
      <w:pPr>
        <w:tabs>
          <w:tab w:val="left" w:pos="8080"/>
        </w:tabs>
        <w:spacing w:after="0" w:line="240" w:lineRule="auto"/>
        <w:ind w:right="709"/>
        <w:jc w:val="both"/>
        <w:rPr>
          <w:rFonts w:ascii="Verdana" w:eastAsia="Calibri" w:hAnsi="Verdana" w:cs="Arial"/>
          <w:color w:val="000000"/>
          <w:lang w:eastAsia="es-ES_tradnl"/>
        </w:rPr>
      </w:pPr>
    </w:p>
    <w:p w14:paraId="38C3C39F" w14:textId="43CB2A85" w:rsidR="000B0103" w:rsidRPr="000B0103" w:rsidRDefault="000B0103" w:rsidP="000B0103">
      <w:pPr>
        <w:tabs>
          <w:tab w:val="left" w:pos="8080"/>
        </w:tabs>
        <w:spacing w:after="0" w:line="240" w:lineRule="auto"/>
        <w:ind w:right="709"/>
        <w:jc w:val="both"/>
        <w:rPr>
          <w:rFonts w:ascii="Verdana" w:eastAsia="Calibri" w:hAnsi="Verdana" w:cs="Arial"/>
          <w:color w:val="000000"/>
          <w:lang w:eastAsia="es-ES_tradnl"/>
        </w:rPr>
      </w:pPr>
      <w:r w:rsidRPr="000B0103">
        <w:rPr>
          <w:rFonts w:ascii="Verdana" w:eastAsia="Calibri" w:hAnsi="Verdana" w:cs="Arial"/>
          <w:color w:val="000000"/>
          <w:lang w:eastAsia="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4B3C0FAA" w14:textId="77777777" w:rsidR="000B0103" w:rsidRPr="000B0103" w:rsidRDefault="000B0103" w:rsidP="000B0103">
      <w:pPr>
        <w:tabs>
          <w:tab w:val="left" w:pos="8080"/>
        </w:tabs>
        <w:spacing w:after="0" w:line="240" w:lineRule="auto"/>
        <w:ind w:right="709"/>
        <w:jc w:val="both"/>
        <w:rPr>
          <w:rFonts w:ascii="Verdana" w:eastAsia="Calibri" w:hAnsi="Verdana" w:cs="Arial"/>
          <w:color w:val="000000"/>
          <w:lang w:eastAsia="es-ES_tradnl"/>
        </w:rPr>
      </w:pPr>
    </w:p>
    <w:p w14:paraId="304C052B" w14:textId="77777777" w:rsidR="004521FB" w:rsidRDefault="004521FB" w:rsidP="004521FB">
      <w:pPr>
        <w:spacing w:line="240" w:lineRule="auto"/>
        <w:ind w:right="758"/>
        <w:jc w:val="both"/>
        <w:rPr>
          <w:rFonts w:ascii="Verdana" w:eastAsia="Calibri" w:hAnsi="Verdana" w:cs="Arial"/>
          <w:b/>
          <w:bCs/>
          <w:color w:val="000000" w:themeColor="text1"/>
          <w:lang w:val="es-ES_tradnl"/>
        </w:rPr>
      </w:pPr>
    </w:p>
    <w:p w14:paraId="3DE5E76C"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70FC9A36"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2B4CA5CC"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1C47C2E8"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783B1C40"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3B1FA779"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6EABF61F"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6DE7D49B"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7324BF4D"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2059B47A"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7E95DD86"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48636B44"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710CD404"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5A01779C"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620F06F0"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4F59240B"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0FE4BE85"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2ED20597" w14:textId="77777777" w:rsidR="000B0103" w:rsidRDefault="000B0103" w:rsidP="004521FB">
      <w:pPr>
        <w:spacing w:line="240" w:lineRule="auto"/>
        <w:ind w:right="758"/>
        <w:jc w:val="both"/>
        <w:rPr>
          <w:rFonts w:ascii="Verdana" w:eastAsia="Calibri" w:hAnsi="Verdana" w:cs="Arial"/>
          <w:b/>
          <w:bCs/>
          <w:color w:val="000000" w:themeColor="text1"/>
          <w:lang w:val="es-ES_tradnl"/>
        </w:rPr>
      </w:pPr>
    </w:p>
    <w:p w14:paraId="0596E3AD" w14:textId="77777777" w:rsidR="00C05207" w:rsidRPr="004521FB" w:rsidRDefault="00C05207" w:rsidP="004521FB">
      <w:pPr>
        <w:spacing w:line="240" w:lineRule="auto"/>
        <w:ind w:right="758"/>
        <w:jc w:val="both"/>
        <w:rPr>
          <w:rFonts w:ascii="Verdana" w:eastAsia="Calibri" w:hAnsi="Verdana" w:cs="Arial"/>
          <w:b/>
          <w:bCs/>
          <w:color w:val="000000" w:themeColor="text1"/>
          <w:lang w:val="es-ES_tradnl"/>
        </w:rPr>
      </w:pPr>
    </w:p>
    <w:p w14:paraId="02152400" w14:textId="77777777" w:rsidR="003417D6" w:rsidRPr="004521FB" w:rsidRDefault="003417D6" w:rsidP="003417D6">
      <w:pPr>
        <w:spacing w:after="0" w:line="240" w:lineRule="auto"/>
        <w:rPr>
          <w:rFonts w:ascii="Verdana" w:eastAsia="Geomanist Light" w:hAnsi="Verdana" w:cs="Arial"/>
        </w:rPr>
      </w:pPr>
    </w:p>
    <w:p w14:paraId="6BF156B0" w14:textId="7EF0B6F4" w:rsidR="003417D6" w:rsidRDefault="00734C4F" w:rsidP="003417D6">
      <w:pPr>
        <w:spacing w:after="0" w:line="240" w:lineRule="auto"/>
        <w:jc w:val="both"/>
        <w:rPr>
          <w:rFonts w:ascii="Verdana" w:eastAsia="Geomanist Light" w:hAnsi="Verdana" w:cs="Arial"/>
        </w:rPr>
      </w:pPr>
      <w:r w:rsidRPr="00734C4F">
        <w:rPr>
          <w:rFonts w:ascii="Verdana" w:eastAsia="Geomanist Light" w:hAnsi="Verdana" w:cs="Arial"/>
        </w:rPr>
        <w:t>Bogotá D.C., 0</w:t>
      </w:r>
      <w:r w:rsidR="00746658">
        <w:rPr>
          <w:rFonts w:ascii="Verdana" w:eastAsia="Geomanist Light" w:hAnsi="Verdana" w:cs="Arial"/>
        </w:rPr>
        <w:t>2</w:t>
      </w:r>
      <w:r w:rsidRPr="00734C4F">
        <w:rPr>
          <w:rFonts w:ascii="Verdana" w:eastAsia="Geomanist Light" w:hAnsi="Verdana" w:cs="Arial"/>
        </w:rPr>
        <w:t xml:space="preserve"> de </w:t>
      </w:r>
      <w:proofErr w:type="gramStart"/>
      <w:r w:rsidRPr="00734C4F">
        <w:rPr>
          <w:rFonts w:ascii="Verdana" w:eastAsia="Geomanist Light" w:hAnsi="Verdana" w:cs="Arial"/>
        </w:rPr>
        <w:t>Octubre</w:t>
      </w:r>
      <w:proofErr w:type="gramEnd"/>
      <w:r w:rsidRPr="00734C4F">
        <w:rPr>
          <w:rFonts w:ascii="Verdana" w:eastAsia="Geomanist Light" w:hAnsi="Verdana" w:cs="Arial"/>
        </w:rPr>
        <w:t xml:space="preserve"> de 2024</w:t>
      </w:r>
    </w:p>
    <w:p w14:paraId="0510E790" w14:textId="77777777" w:rsidR="00734C4F" w:rsidRPr="00F20D27" w:rsidRDefault="00734C4F" w:rsidP="003417D6">
      <w:pPr>
        <w:spacing w:after="0" w:line="240" w:lineRule="auto"/>
        <w:jc w:val="both"/>
        <w:rPr>
          <w:rFonts w:ascii="Verdana" w:eastAsia="Calibri" w:hAnsi="Verdana" w:cs="Arial"/>
          <w:lang w:val="es-ES"/>
        </w:rPr>
      </w:pPr>
    </w:p>
    <w:p w14:paraId="24977D7D" w14:textId="37C263B8" w:rsidR="003417D6" w:rsidRPr="00F20D27" w:rsidRDefault="003417D6" w:rsidP="003417D6">
      <w:pPr>
        <w:spacing w:after="0" w:line="240" w:lineRule="auto"/>
        <w:contextualSpacing/>
        <w:textAlignment w:val="baseline"/>
        <w:rPr>
          <w:rFonts w:ascii="Verdana" w:eastAsia="Calibri" w:hAnsi="Verdana" w:cs="Arial"/>
        </w:rPr>
      </w:pPr>
      <w:r w:rsidRPr="00F20D27">
        <w:rPr>
          <w:rFonts w:ascii="Verdana" w:eastAsia="Calibri" w:hAnsi="Verdana" w:cs="Arial"/>
        </w:rPr>
        <w:t>Señora</w:t>
      </w:r>
    </w:p>
    <w:p w14:paraId="62B5ECDD" w14:textId="37784E54" w:rsidR="003417D6" w:rsidRPr="00F20D27" w:rsidRDefault="00910F55" w:rsidP="003417D6">
      <w:pPr>
        <w:spacing w:after="0" w:line="240" w:lineRule="auto"/>
        <w:contextualSpacing/>
        <w:textAlignment w:val="baseline"/>
        <w:rPr>
          <w:rStyle w:val="cf01"/>
          <w:rFonts w:ascii="Verdana" w:hAnsi="Verdana" w:cs="Arial"/>
          <w:i w:val="0"/>
          <w:iCs w:val="0"/>
          <w:sz w:val="22"/>
          <w:szCs w:val="22"/>
        </w:rPr>
      </w:pPr>
      <w:r w:rsidRPr="00910F55">
        <w:rPr>
          <w:rFonts w:ascii="Verdana" w:eastAsia="Calibri" w:hAnsi="Verdana" w:cs="Arial"/>
          <w:b/>
          <w:bCs/>
          <w:noProof/>
          <w:lang w:val="es-ES_tradnl" w:eastAsia="es-ES_tradnl"/>
        </w:rPr>
        <w:drawing>
          <wp:anchor distT="0" distB="0" distL="114300" distR="114300" simplePos="0" relativeHeight="251658240" behindDoc="1" locked="0" layoutInCell="1" allowOverlap="1" wp14:anchorId="5BD1055C" wp14:editId="04FBAC49">
            <wp:simplePos x="0" y="0"/>
            <wp:positionH relativeFrom="margin">
              <wp:posOffset>3219975</wp:posOffset>
            </wp:positionH>
            <wp:positionV relativeFrom="paragraph">
              <wp:posOffset>10464</wp:posOffset>
            </wp:positionV>
            <wp:extent cx="2608028" cy="815430"/>
            <wp:effectExtent l="0" t="0" r="1905" b="3810"/>
            <wp:wrapNone/>
            <wp:docPr id="966630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303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08028" cy="815430"/>
                    </a:xfrm>
                    <a:prstGeom prst="rect">
                      <a:avLst/>
                    </a:prstGeom>
                  </pic:spPr>
                </pic:pic>
              </a:graphicData>
            </a:graphic>
            <wp14:sizeRelH relativeFrom="margin">
              <wp14:pctWidth>0</wp14:pctWidth>
            </wp14:sizeRelH>
            <wp14:sizeRelV relativeFrom="margin">
              <wp14:pctHeight>0</wp14:pctHeight>
            </wp14:sizeRelV>
          </wp:anchor>
        </w:drawing>
      </w:r>
      <w:r w:rsidR="003417D6" w:rsidRPr="00F20D27">
        <w:rPr>
          <w:rStyle w:val="cf01"/>
          <w:rFonts w:ascii="Verdana" w:hAnsi="Verdana" w:cs="Arial"/>
          <w:b/>
          <w:bCs/>
          <w:i w:val="0"/>
          <w:iCs w:val="0"/>
          <w:sz w:val="22"/>
          <w:szCs w:val="22"/>
        </w:rPr>
        <w:t>YUDITH MARCELA AYALA MALDONADO</w:t>
      </w:r>
    </w:p>
    <w:p w14:paraId="784CCCEC" w14:textId="20A2986C" w:rsidR="003417D6" w:rsidRPr="00F20D27" w:rsidRDefault="003417D6" w:rsidP="003417D6">
      <w:pPr>
        <w:spacing w:after="0" w:line="240" w:lineRule="auto"/>
        <w:contextualSpacing/>
        <w:textAlignment w:val="baseline"/>
        <w:rPr>
          <w:rStyle w:val="cf01"/>
          <w:rFonts w:ascii="Verdana" w:hAnsi="Verdana" w:cs="Arial"/>
          <w:i w:val="0"/>
          <w:iCs w:val="0"/>
          <w:sz w:val="22"/>
          <w:szCs w:val="22"/>
        </w:rPr>
      </w:pPr>
      <w:r w:rsidRPr="00F20D27">
        <w:rPr>
          <w:rStyle w:val="cf01"/>
          <w:rFonts w:ascii="Verdana" w:hAnsi="Verdana" w:cs="Arial"/>
          <w:i w:val="0"/>
          <w:iCs w:val="0"/>
          <w:sz w:val="22"/>
          <w:szCs w:val="22"/>
        </w:rPr>
        <w:t>marcelaayalama747@gmail.com</w:t>
      </w:r>
    </w:p>
    <w:p w14:paraId="355E767E" w14:textId="30E05D06" w:rsidR="003417D6" w:rsidRPr="00F20D27" w:rsidRDefault="003417D6" w:rsidP="003417D6">
      <w:pPr>
        <w:spacing w:after="0" w:line="240" w:lineRule="auto"/>
        <w:rPr>
          <w:rFonts w:ascii="Verdana" w:eastAsia="Calibri" w:hAnsi="Verdana" w:cs="Arial"/>
          <w:b/>
          <w:bCs/>
          <w:lang w:val="es-ES_tradnl" w:eastAsia="es-ES_tradnl"/>
        </w:rPr>
      </w:pPr>
      <w:r w:rsidRPr="00F20D27">
        <w:rPr>
          <w:rStyle w:val="cf01"/>
          <w:rFonts w:ascii="Verdana" w:hAnsi="Verdana" w:cs="Arial"/>
          <w:i w:val="0"/>
          <w:iCs w:val="0"/>
          <w:sz w:val="22"/>
          <w:szCs w:val="22"/>
        </w:rPr>
        <w:t>San José de Cúcuta – Norte de Santander</w:t>
      </w:r>
    </w:p>
    <w:p w14:paraId="03F483E3" w14:textId="5714AD87" w:rsidR="003417D6" w:rsidRPr="00F20D27" w:rsidRDefault="003417D6" w:rsidP="003417D6">
      <w:pPr>
        <w:spacing w:after="0" w:line="240" w:lineRule="auto"/>
        <w:rPr>
          <w:rFonts w:ascii="Verdana" w:eastAsia="Calibri" w:hAnsi="Verdana" w:cs="Arial"/>
          <w:b/>
          <w:bCs/>
          <w:highlight w:val="yellow"/>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954"/>
      </w:tblGrid>
      <w:tr w:rsidR="003417D6" w:rsidRPr="00F20D27" w14:paraId="3DEB08DD" w14:textId="77777777" w:rsidTr="00B0466F">
        <w:trPr>
          <w:trHeight w:val="884"/>
        </w:trPr>
        <w:tc>
          <w:tcPr>
            <w:tcW w:w="2835" w:type="dxa"/>
          </w:tcPr>
          <w:p w14:paraId="4B202170" w14:textId="77777777" w:rsidR="003417D6" w:rsidRDefault="003417D6" w:rsidP="004A195B">
            <w:pPr>
              <w:jc w:val="both"/>
              <w:rPr>
                <w:rFonts w:ascii="Verdana" w:eastAsia="Calibri" w:hAnsi="Verdana" w:cs="Arial"/>
                <w:b/>
                <w:bCs/>
                <w:highlight w:val="yellow"/>
                <w:lang w:val="es-ES_tradnl" w:eastAsia="es-ES_tradnl"/>
              </w:rPr>
            </w:pPr>
          </w:p>
          <w:p w14:paraId="2E095568" w14:textId="77777777" w:rsidR="00910F55" w:rsidRDefault="00910F55" w:rsidP="004A195B">
            <w:pPr>
              <w:jc w:val="both"/>
              <w:rPr>
                <w:rFonts w:ascii="Verdana" w:eastAsia="Calibri" w:hAnsi="Verdana" w:cs="Arial"/>
                <w:b/>
                <w:bCs/>
                <w:highlight w:val="yellow"/>
                <w:lang w:val="es-ES_tradnl" w:eastAsia="es-ES_tradnl"/>
              </w:rPr>
            </w:pPr>
          </w:p>
          <w:p w14:paraId="56745336" w14:textId="77777777" w:rsidR="00910F55" w:rsidRPr="00F20D27" w:rsidRDefault="00910F55" w:rsidP="004A195B">
            <w:pPr>
              <w:jc w:val="both"/>
              <w:rPr>
                <w:rFonts w:ascii="Verdana" w:eastAsia="Calibri" w:hAnsi="Verdana" w:cs="Arial"/>
                <w:b/>
                <w:bCs/>
                <w:highlight w:val="yellow"/>
                <w:lang w:val="es-ES_tradnl" w:eastAsia="es-ES_tradnl"/>
              </w:rPr>
            </w:pPr>
          </w:p>
        </w:tc>
        <w:tc>
          <w:tcPr>
            <w:tcW w:w="5954" w:type="dxa"/>
          </w:tcPr>
          <w:p w14:paraId="1F640851" w14:textId="77777777" w:rsidR="00910F55" w:rsidRDefault="00910F55" w:rsidP="004A195B">
            <w:pPr>
              <w:jc w:val="both"/>
              <w:rPr>
                <w:rFonts w:ascii="Verdana" w:eastAsia="Calibri" w:hAnsi="Verdana" w:cs="Arial"/>
                <w:b/>
                <w:bCs/>
                <w:lang w:val="es-ES" w:eastAsia="es-ES"/>
              </w:rPr>
            </w:pPr>
          </w:p>
          <w:p w14:paraId="47A91DDA" w14:textId="5B9FD8AD" w:rsidR="003417D6" w:rsidRPr="00F20D27" w:rsidRDefault="003417D6" w:rsidP="004A195B">
            <w:pPr>
              <w:jc w:val="both"/>
              <w:rPr>
                <w:rFonts w:ascii="Verdana" w:eastAsia="Calibri" w:hAnsi="Verdana" w:cs="Arial"/>
                <w:b/>
                <w:bCs/>
                <w:highlight w:val="yellow"/>
                <w:lang w:val="es-ES" w:eastAsia="es-ES"/>
              </w:rPr>
            </w:pPr>
            <w:r w:rsidRPr="00F20D27">
              <w:rPr>
                <w:rFonts w:ascii="Verdana" w:eastAsia="Calibri" w:hAnsi="Verdana" w:cs="Arial"/>
                <w:b/>
                <w:bCs/>
                <w:lang w:val="es-ES" w:eastAsia="es-ES"/>
              </w:rPr>
              <w:t>Concepto C- 517 de 2024</w:t>
            </w:r>
          </w:p>
        </w:tc>
      </w:tr>
      <w:tr w:rsidR="003417D6" w:rsidRPr="00F20D27" w14:paraId="14265696" w14:textId="77777777" w:rsidTr="00B0466F">
        <w:trPr>
          <w:trHeight w:val="884"/>
        </w:trPr>
        <w:tc>
          <w:tcPr>
            <w:tcW w:w="2835" w:type="dxa"/>
          </w:tcPr>
          <w:p w14:paraId="7CBFE9DD" w14:textId="77777777" w:rsidR="003417D6" w:rsidRPr="00B745E3" w:rsidRDefault="003417D6" w:rsidP="004A195B">
            <w:pPr>
              <w:jc w:val="both"/>
              <w:rPr>
                <w:rFonts w:ascii="Verdana" w:eastAsia="Calibri" w:hAnsi="Verdana" w:cs="Arial"/>
                <w:lang w:val="es-ES_tradnl" w:eastAsia="es-ES_tradnl"/>
              </w:rPr>
            </w:pPr>
            <w:r w:rsidRPr="00B745E3">
              <w:rPr>
                <w:rFonts w:ascii="Verdana" w:eastAsia="Calibri" w:hAnsi="Verdana" w:cs="Arial"/>
                <w:b/>
                <w:lang w:val="es-ES_tradnl" w:eastAsia="es-ES_tradnl"/>
              </w:rPr>
              <w:t>Temas:</w:t>
            </w:r>
            <w:r w:rsidRPr="00B745E3">
              <w:rPr>
                <w:rFonts w:ascii="Verdana" w:eastAsia="Calibri" w:hAnsi="Verdana" w:cs="Arial"/>
                <w:lang w:val="es-ES_tradnl" w:eastAsia="es-ES_tradnl"/>
              </w:rPr>
              <w:t xml:space="preserve">                   </w:t>
            </w:r>
          </w:p>
        </w:tc>
        <w:tc>
          <w:tcPr>
            <w:tcW w:w="5954" w:type="dxa"/>
          </w:tcPr>
          <w:p w14:paraId="697BAC7B" w14:textId="77777777" w:rsidR="003417D6" w:rsidRPr="0073660F" w:rsidRDefault="003417D6" w:rsidP="004A195B">
            <w:pPr>
              <w:spacing w:line="276" w:lineRule="auto"/>
              <w:jc w:val="both"/>
              <w:rPr>
                <w:rFonts w:ascii="Verdana" w:eastAsia="Calibri" w:hAnsi="Verdana" w:cs="Arial"/>
                <w:lang w:eastAsia="es-ES"/>
              </w:rPr>
            </w:pPr>
            <w:r w:rsidRPr="0073660F">
              <w:rPr>
                <w:rFonts w:ascii="Verdana" w:hAnsi="Verdana" w:cs="Arial"/>
                <w:lang w:val="es-ES_tradnl"/>
              </w:rPr>
              <w:t xml:space="preserve">CONTRATO DE PRESTACIÓN DE SERVICIOS ― Concepto ― Requisitos ― Características – límites </w:t>
            </w:r>
            <w:r w:rsidRPr="0073660F">
              <w:rPr>
                <w:rFonts w:ascii="Verdana" w:eastAsia="Calibri" w:hAnsi="Verdana" w:cs="Arial"/>
                <w:lang w:val="es-ES" w:eastAsia="es-ES"/>
              </w:rPr>
              <w:t>/AUTONOMÍA – Ley 80 de 1993 – Artículos 32 y 40 – Fines Estatales – Constitución Política – Artículo 209</w:t>
            </w:r>
          </w:p>
          <w:p w14:paraId="4894EBC9" w14:textId="77777777" w:rsidR="003417D6" w:rsidRPr="00B50653" w:rsidRDefault="003417D6" w:rsidP="004A195B">
            <w:pPr>
              <w:spacing w:line="276" w:lineRule="auto"/>
              <w:jc w:val="both"/>
              <w:rPr>
                <w:rFonts w:ascii="Verdana" w:eastAsia="Calibri" w:hAnsi="Verdana" w:cs="Arial"/>
                <w:lang w:eastAsia="es-ES"/>
              </w:rPr>
            </w:pPr>
          </w:p>
        </w:tc>
      </w:tr>
      <w:tr w:rsidR="003417D6" w:rsidRPr="00F20D27" w14:paraId="31D37F74" w14:textId="77777777" w:rsidTr="00B0466F">
        <w:trPr>
          <w:trHeight w:val="70"/>
        </w:trPr>
        <w:tc>
          <w:tcPr>
            <w:tcW w:w="2835" w:type="dxa"/>
          </w:tcPr>
          <w:p w14:paraId="1DD486CB" w14:textId="77777777" w:rsidR="003417D6" w:rsidRPr="00F20D27" w:rsidRDefault="003417D6" w:rsidP="004A195B">
            <w:pPr>
              <w:jc w:val="both"/>
              <w:rPr>
                <w:rFonts w:ascii="Verdana" w:eastAsia="Calibri" w:hAnsi="Verdana" w:cs="Arial"/>
                <w:b/>
                <w:lang w:val="es-ES_tradnl" w:eastAsia="es-ES_tradnl"/>
              </w:rPr>
            </w:pPr>
            <w:r w:rsidRPr="00F20D27">
              <w:rPr>
                <w:rFonts w:ascii="Verdana" w:eastAsia="Calibri" w:hAnsi="Verdana" w:cs="Arial"/>
                <w:b/>
                <w:lang w:val="es-ES_tradnl" w:eastAsia="es-ES_tradnl"/>
              </w:rPr>
              <w:t>Radicación:</w:t>
            </w:r>
            <w:r w:rsidRPr="00F20D27">
              <w:rPr>
                <w:rFonts w:ascii="Verdana" w:eastAsia="Calibri" w:hAnsi="Verdana" w:cs="Arial"/>
                <w:lang w:val="es-ES_tradnl" w:eastAsia="es-ES_tradnl"/>
              </w:rPr>
              <w:t xml:space="preserve">               </w:t>
            </w:r>
          </w:p>
        </w:tc>
        <w:tc>
          <w:tcPr>
            <w:tcW w:w="5954" w:type="dxa"/>
          </w:tcPr>
          <w:p w14:paraId="7D43EC77" w14:textId="77777777" w:rsidR="003417D6" w:rsidRPr="00F20D27" w:rsidRDefault="003417D6" w:rsidP="004A195B">
            <w:pPr>
              <w:jc w:val="both"/>
              <w:rPr>
                <w:rFonts w:ascii="Verdana" w:eastAsia="Calibri" w:hAnsi="Verdana" w:cs="Arial"/>
                <w:lang w:val="es-ES_tradnl" w:eastAsia="es-ES_tradnl"/>
              </w:rPr>
            </w:pPr>
            <w:r w:rsidRPr="00F20D27">
              <w:rPr>
                <w:rFonts w:ascii="Verdana" w:eastAsia="Calibri" w:hAnsi="Verdana" w:cs="Arial"/>
                <w:lang w:val="es-ES_tradnl" w:eastAsia="es-ES_tradnl"/>
              </w:rPr>
              <w:t>Respuesta a consulta con radicado No. P20240826008665</w:t>
            </w:r>
          </w:p>
        </w:tc>
      </w:tr>
    </w:tbl>
    <w:p w14:paraId="19CD401D" w14:textId="77777777" w:rsidR="003417D6" w:rsidRPr="00F20D27" w:rsidRDefault="003417D6" w:rsidP="003417D6">
      <w:pPr>
        <w:spacing w:after="0" w:line="240" w:lineRule="auto"/>
        <w:jc w:val="both"/>
        <w:rPr>
          <w:rFonts w:ascii="Verdana" w:eastAsia="Calibri" w:hAnsi="Verdana" w:cs="Arial"/>
          <w:lang w:val="es-ES_tradnl" w:eastAsia="es-ES_tradnl"/>
        </w:rPr>
      </w:pPr>
    </w:p>
    <w:p w14:paraId="72214A23" w14:textId="77777777" w:rsidR="003417D6" w:rsidRPr="00F20D27" w:rsidRDefault="003417D6" w:rsidP="003417D6">
      <w:pPr>
        <w:spacing w:after="0" w:line="240" w:lineRule="auto"/>
        <w:jc w:val="both"/>
        <w:rPr>
          <w:rFonts w:ascii="Verdana" w:eastAsia="Calibri" w:hAnsi="Verdana" w:cs="Arial"/>
          <w:lang w:val="es-ES_tradnl" w:eastAsia="es-ES_tradnl"/>
        </w:rPr>
      </w:pPr>
    </w:p>
    <w:p w14:paraId="02260400" w14:textId="77777777" w:rsidR="003417D6" w:rsidRPr="00F20D27" w:rsidRDefault="003417D6" w:rsidP="003417D6">
      <w:pPr>
        <w:spacing w:after="0" w:line="276" w:lineRule="auto"/>
        <w:jc w:val="both"/>
        <w:rPr>
          <w:rFonts w:ascii="Verdana" w:eastAsia="Calibri" w:hAnsi="Verdana" w:cs="Arial"/>
          <w:lang w:val="es-ES" w:eastAsia="es-ES"/>
        </w:rPr>
      </w:pPr>
      <w:r w:rsidRPr="00F20D27">
        <w:rPr>
          <w:rFonts w:ascii="Verdana" w:eastAsia="Calibri" w:hAnsi="Verdana" w:cs="Arial"/>
          <w:lang w:val="es-ES" w:eastAsia="es-ES"/>
        </w:rPr>
        <w:t xml:space="preserve">Estimado señora </w:t>
      </w:r>
      <w:r>
        <w:rPr>
          <w:rFonts w:ascii="Verdana" w:eastAsia="Calibri" w:hAnsi="Verdana" w:cs="Arial"/>
          <w:lang w:val="es-ES" w:eastAsia="es-ES"/>
        </w:rPr>
        <w:t>Ayala</w:t>
      </w:r>
      <w:r w:rsidRPr="00F20D27">
        <w:rPr>
          <w:rFonts w:ascii="Verdana" w:eastAsia="Calibri" w:hAnsi="Verdana" w:cs="Arial"/>
          <w:lang w:val="es-ES" w:eastAsia="es-ES"/>
        </w:rPr>
        <w:t xml:space="preserve">: </w:t>
      </w:r>
    </w:p>
    <w:p w14:paraId="07741B0B" w14:textId="77777777" w:rsidR="003417D6" w:rsidRPr="00F20D27" w:rsidRDefault="003417D6" w:rsidP="003417D6">
      <w:pPr>
        <w:tabs>
          <w:tab w:val="left" w:pos="3768"/>
        </w:tabs>
        <w:spacing w:after="0" w:line="276" w:lineRule="auto"/>
        <w:jc w:val="both"/>
        <w:rPr>
          <w:rFonts w:ascii="Verdana" w:eastAsia="Calibri" w:hAnsi="Verdana" w:cs="Arial"/>
          <w:lang w:val="es-ES" w:eastAsia="es-ES"/>
        </w:rPr>
      </w:pPr>
      <w:r w:rsidRPr="00F20D27">
        <w:rPr>
          <w:rFonts w:ascii="Verdana" w:eastAsia="Calibri" w:hAnsi="Verdana" w:cs="Arial"/>
          <w:lang w:val="es-ES" w:eastAsia="es-ES"/>
        </w:rPr>
        <w:tab/>
      </w:r>
    </w:p>
    <w:p w14:paraId="0C3E1A77" w14:textId="77777777" w:rsidR="003417D6" w:rsidRPr="00F20D27" w:rsidRDefault="003417D6" w:rsidP="003417D6">
      <w:pPr>
        <w:spacing w:after="0" w:line="276" w:lineRule="auto"/>
        <w:jc w:val="both"/>
        <w:rPr>
          <w:rFonts w:ascii="Verdana" w:eastAsia="Calibri" w:hAnsi="Verdana" w:cs="Arial"/>
          <w:lang w:val="es-ES" w:eastAsia="es-ES"/>
        </w:rPr>
      </w:pPr>
      <w:r w:rsidRPr="00F20D27">
        <w:rPr>
          <w:rFonts w:ascii="Verdana" w:eastAsia="Calibri" w:hAnsi="Verdana" w:cs="Arial"/>
          <w:lang w:val="es-ES" w:eastAsia="es-ES"/>
        </w:rPr>
        <w:t>En ejercicio de la competencia otorgada por los artículos 3, numeral 5º, y 11, numeral 8º, del Decreto Ley 4170 de 2011,</w:t>
      </w:r>
      <w:r w:rsidRPr="00F20D27">
        <w:rPr>
          <w:rFonts w:ascii="Verdana" w:eastAsia="Arial MT" w:hAnsi="Verdana" w:cs="Arial MT"/>
          <w:lang w:val="es-ES" w:eastAsia="es-ES"/>
        </w:rPr>
        <w:t xml:space="preserve"> </w:t>
      </w:r>
      <w:r w:rsidRPr="00F20D27">
        <w:rPr>
          <w:rFonts w:ascii="Verdana" w:hAnsi="Verdana" w:cs="Arial"/>
        </w:rPr>
        <w:t xml:space="preserve">así como lo establecido en el artículo 4 de la Resolución 1707 de 2018 expedida por esta Entidad, </w:t>
      </w:r>
      <w:r w:rsidRPr="00F20D27">
        <w:rPr>
          <w:rFonts w:ascii="Verdana" w:eastAsia="Calibri" w:hAnsi="Verdana" w:cs="Arial"/>
          <w:lang w:val="es-ES" w:eastAsia="es-ES"/>
        </w:rPr>
        <w:t xml:space="preserve">la Agencia Nacional de Contratación Pública – Colombia Compra Eficiente– responde su solicitud de consulta de fecha 26 de agosto de 2024, en la cual manifiesta lo siguiente: </w:t>
      </w:r>
    </w:p>
    <w:p w14:paraId="458A0ACE" w14:textId="77777777" w:rsidR="003417D6" w:rsidRPr="00F20D27" w:rsidRDefault="003417D6" w:rsidP="003417D6">
      <w:pPr>
        <w:spacing w:after="0" w:line="276" w:lineRule="auto"/>
        <w:jc w:val="both"/>
        <w:rPr>
          <w:rFonts w:ascii="Verdana" w:eastAsia="Calibri" w:hAnsi="Verdana" w:cs="Arial"/>
          <w:lang w:val="es-ES" w:eastAsia="es-ES"/>
        </w:rPr>
      </w:pPr>
    </w:p>
    <w:p w14:paraId="5BCD6BA3"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815EC1">
        <w:rPr>
          <w:rFonts w:ascii="Verdana" w:eastAsia="Calibri" w:hAnsi="Verdana" w:cs="Arial"/>
          <w:i/>
          <w:iCs/>
          <w:sz w:val="20"/>
          <w:szCs w:val="20"/>
        </w:rPr>
        <w:t xml:space="preserve">“[…] </w:t>
      </w:r>
      <w:r w:rsidRPr="00815EC1">
        <w:rPr>
          <w:rFonts w:ascii="Verdana" w:eastAsia="Calibri" w:hAnsi="Verdana" w:cs="Arial"/>
          <w:i/>
          <w:iCs/>
          <w:sz w:val="20"/>
          <w:szCs w:val="20"/>
          <w:lang w:val="es-MX"/>
        </w:rPr>
        <w:t xml:space="preserve">Con el fin de solicitar un concepto técnico </w:t>
      </w:r>
      <w:r w:rsidRPr="006F7349">
        <w:rPr>
          <w:rFonts w:ascii="Verdana" w:eastAsia="Calibri" w:hAnsi="Verdana" w:cs="Arial"/>
          <w:i/>
          <w:iCs/>
          <w:sz w:val="20"/>
          <w:szCs w:val="20"/>
          <w:lang w:val="es-MX"/>
        </w:rPr>
        <w:t>y legal sobre la posibilidad de otorgar ciertos beneficios a un contratista de nuestra entidad.</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Específicamente, deseamos conocer si es viable desde el punto de vista normativo y jurídico</w:t>
      </w:r>
    </w:p>
    <w:p w14:paraId="72A72740"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proporcionar a un contratista los siguientes elementos y beneficios:</w:t>
      </w:r>
    </w:p>
    <w:p w14:paraId="1199B6B1"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 xml:space="preserve">1. </w:t>
      </w:r>
      <w:proofErr w:type="gramStart"/>
      <w:r w:rsidRPr="006F7349">
        <w:rPr>
          <w:rFonts w:ascii="Verdana" w:eastAsia="Calibri" w:hAnsi="Verdana" w:cs="Arial"/>
          <w:b/>
          <w:bCs/>
          <w:i/>
          <w:iCs/>
          <w:sz w:val="20"/>
          <w:szCs w:val="20"/>
          <w:lang w:val="es-MX"/>
        </w:rPr>
        <w:t>Carnet</w:t>
      </w:r>
      <w:proofErr w:type="gramEnd"/>
      <w:r w:rsidRPr="006F7349">
        <w:rPr>
          <w:rFonts w:ascii="Verdana" w:eastAsia="Calibri" w:hAnsi="Verdana" w:cs="Arial"/>
          <w:b/>
          <w:bCs/>
          <w:i/>
          <w:iCs/>
          <w:sz w:val="20"/>
          <w:szCs w:val="20"/>
          <w:lang w:val="es-MX"/>
        </w:rPr>
        <w:t xml:space="preserve"> institucional: </w:t>
      </w:r>
      <w:r w:rsidRPr="006F7349">
        <w:rPr>
          <w:rFonts w:ascii="Verdana" w:eastAsia="Calibri" w:hAnsi="Verdana" w:cs="Arial"/>
          <w:i/>
          <w:iCs/>
          <w:sz w:val="20"/>
          <w:szCs w:val="20"/>
          <w:lang w:val="es-MX"/>
        </w:rPr>
        <w:t>¿Puede un contratista recibir y portar el carnet de la entidad</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que usualmente se otorga al personal de planta?</w:t>
      </w:r>
    </w:p>
    <w:p w14:paraId="51026244"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 xml:space="preserve">2. </w:t>
      </w:r>
      <w:r w:rsidRPr="006F7349">
        <w:rPr>
          <w:rFonts w:ascii="Verdana" w:eastAsia="Calibri" w:hAnsi="Verdana" w:cs="Arial"/>
          <w:b/>
          <w:bCs/>
          <w:i/>
          <w:iCs/>
          <w:sz w:val="20"/>
          <w:szCs w:val="20"/>
          <w:lang w:val="es-MX"/>
        </w:rPr>
        <w:t xml:space="preserve">Préstamo de equipos: </w:t>
      </w:r>
      <w:r w:rsidRPr="006F7349">
        <w:rPr>
          <w:rFonts w:ascii="Verdana" w:eastAsia="Calibri" w:hAnsi="Verdana" w:cs="Arial"/>
          <w:i/>
          <w:iCs/>
          <w:sz w:val="20"/>
          <w:szCs w:val="20"/>
          <w:lang w:val="es-MX"/>
        </w:rPr>
        <w:t>¿Es posible prestar equipos institucionales a un contratista</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para la realización de sus funciones?</w:t>
      </w:r>
    </w:p>
    <w:p w14:paraId="6380ACDB"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 xml:space="preserve">3. </w:t>
      </w:r>
      <w:r w:rsidRPr="006F7349">
        <w:rPr>
          <w:rFonts w:ascii="Verdana" w:eastAsia="Calibri" w:hAnsi="Verdana" w:cs="Arial"/>
          <w:b/>
          <w:bCs/>
          <w:i/>
          <w:iCs/>
          <w:sz w:val="20"/>
          <w:szCs w:val="20"/>
          <w:lang w:val="es-MX"/>
        </w:rPr>
        <w:t xml:space="preserve">Uso de camisa institucional: </w:t>
      </w:r>
      <w:r w:rsidRPr="006F7349">
        <w:rPr>
          <w:rFonts w:ascii="Verdana" w:eastAsia="Calibri" w:hAnsi="Verdana" w:cs="Arial"/>
          <w:i/>
          <w:iCs/>
          <w:sz w:val="20"/>
          <w:szCs w:val="20"/>
          <w:lang w:val="es-MX"/>
        </w:rPr>
        <w:t>¿Puede el contratista utilizar la camisa o uniforme</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institucional de la entidad?</w:t>
      </w:r>
    </w:p>
    <w:p w14:paraId="5A744BD0" w14:textId="77777777" w:rsidR="003417D6" w:rsidRPr="006F7349"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 xml:space="preserve">4. </w:t>
      </w:r>
      <w:r w:rsidRPr="006F7349">
        <w:rPr>
          <w:rFonts w:ascii="Verdana" w:eastAsia="Calibri" w:hAnsi="Verdana" w:cs="Arial"/>
          <w:b/>
          <w:bCs/>
          <w:i/>
          <w:iCs/>
          <w:sz w:val="20"/>
          <w:szCs w:val="20"/>
          <w:lang w:val="es-MX"/>
        </w:rPr>
        <w:t xml:space="preserve">Correo institucional: </w:t>
      </w:r>
      <w:r w:rsidRPr="006F7349">
        <w:rPr>
          <w:rFonts w:ascii="Verdana" w:eastAsia="Calibri" w:hAnsi="Verdana" w:cs="Arial"/>
          <w:i/>
          <w:iCs/>
          <w:sz w:val="20"/>
          <w:szCs w:val="20"/>
          <w:lang w:val="es-MX"/>
        </w:rPr>
        <w:t>¿Es adecuado asignar una dirección de correo electrónico</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institucional a un contratista?</w:t>
      </w:r>
    </w:p>
    <w:p w14:paraId="3A8D46E0" w14:textId="77777777" w:rsidR="003417D6" w:rsidRPr="00EC137C" w:rsidRDefault="003417D6" w:rsidP="003417D6">
      <w:pPr>
        <w:autoSpaceDE w:val="0"/>
        <w:autoSpaceDN w:val="0"/>
        <w:adjustRightInd w:val="0"/>
        <w:spacing w:after="0" w:line="240" w:lineRule="auto"/>
        <w:ind w:left="709" w:right="709"/>
        <w:jc w:val="both"/>
        <w:rPr>
          <w:rFonts w:ascii="Verdana" w:eastAsia="Calibri" w:hAnsi="Verdana" w:cs="Arial"/>
          <w:i/>
          <w:iCs/>
          <w:sz w:val="20"/>
          <w:szCs w:val="20"/>
          <w:lang w:val="es-MX"/>
        </w:rPr>
      </w:pPr>
      <w:r w:rsidRPr="006F7349">
        <w:rPr>
          <w:rFonts w:ascii="Verdana" w:eastAsia="Calibri" w:hAnsi="Verdana" w:cs="Arial"/>
          <w:i/>
          <w:iCs/>
          <w:sz w:val="20"/>
          <w:szCs w:val="20"/>
          <w:lang w:val="es-MX"/>
        </w:rPr>
        <w:t>Adicionalmente, nos preocupa entender las implicaciones legales que podrían derivarse de</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 xml:space="preserve">otorgar estos beneficios, específicamente si la </w:t>
      </w:r>
      <w:r w:rsidRPr="006F7349">
        <w:rPr>
          <w:rFonts w:ascii="Verdana" w:eastAsia="Calibri" w:hAnsi="Verdana" w:cs="Arial"/>
          <w:i/>
          <w:iCs/>
          <w:sz w:val="20"/>
          <w:szCs w:val="20"/>
          <w:lang w:val="es-MX"/>
        </w:rPr>
        <w:lastRenderedPageBreak/>
        <w:t xml:space="preserve">provisión de </w:t>
      </w:r>
      <w:proofErr w:type="gramStart"/>
      <w:r w:rsidRPr="006F7349">
        <w:rPr>
          <w:rFonts w:ascii="Verdana" w:eastAsia="Calibri" w:hAnsi="Verdana" w:cs="Arial"/>
          <w:i/>
          <w:iCs/>
          <w:sz w:val="20"/>
          <w:szCs w:val="20"/>
          <w:lang w:val="es-MX"/>
        </w:rPr>
        <w:t>los mismos</w:t>
      </w:r>
      <w:proofErr w:type="gramEnd"/>
      <w:r w:rsidRPr="006F7349">
        <w:rPr>
          <w:rFonts w:ascii="Verdana" w:eastAsia="Calibri" w:hAnsi="Verdana" w:cs="Arial"/>
          <w:i/>
          <w:iCs/>
          <w:sz w:val="20"/>
          <w:szCs w:val="20"/>
          <w:lang w:val="es-MX"/>
        </w:rPr>
        <w:t xml:space="preserve"> podría configurar una</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relación laboral o un "contrato realidad" entre la entidad y el contratista. Es fundamental para</w:t>
      </w:r>
      <w:r w:rsidRPr="00815EC1">
        <w:rPr>
          <w:rFonts w:ascii="Verdana" w:eastAsia="Calibri" w:hAnsi="Verdana" w:cs="Arial"/>
          <w:i/>
          <w:iCs/>
          <w:sz w:val="20"/>
          <w:szCs w:val="20"/>
          <w:lang w:val="es-MX"/>
        </w:rPr>
        <w:t xml:space="preserve"> </w:t>
      </w:r>
      <w:r w:rsidRPr="006F7349">
        <w:rPr>
          <w:rFonts w:ascii="Verdana" w:eastAsia="Calibri" w:hAnsi="Verdana" w:cs="Arial"/>
          <w:i/>
          <w:iCs/>
          <w:sz w:val="20"/>
          <w:szCs w:val="20"/>
          <w:lang w:val="es-MX"/>
        </w:rPr>
        <w:t xml:space="preserve">nosotros mantener la claridad en la distinción entre contratistas y empleados de planta, </w:t>
      </w:r>
      <w:proofErr w:type="spellStart"/>
      <w:r w:rsidRPr="006F7349">
        <w:rPr>
          <w:rFonts w:ascii="Verdana" w:eastAsia="Calibri" w:hAnsi="Verdana" w:cs="Arial"/>
          <w:i/>
          <w:iCs/>
          <w:sz w:val="20"/>
          <w:szCs w:val="20"/>
          <w:lang w:val="es-MX"/>
        </w:rPr>
        <w:t>en</w:t>
      </w:r>
      <w:r w:rsidRPr="00815EC1">
        <w:rPr>
          <w:rFonts w:ascii="Verdana" w:eastAsia="Calibri" w:hAnsi="Verdana" w:cs="Arial"/>
          <w:i/>
          <w:iCs/>
          <w:sz w:val="20"/>
          <w:szCs w:val="20"/>
          <w:lang w:val="es-MX"/>
        </w:rPr>
        <w:t>concordancia</w:t>
      </w:r>
      <w:proofErr w:type="spellEnd"/>
      <w:r w:rsidRPr="00815EC1">
        <w:rPr>
          <w:rFonts w:ascii="Verdana" w:eastAsia="Calibri" w:hAnsi="Verdana" w:cs="Arial"/>
          <w:i/>
          <w:iCs/>
          <w:sz w:val="20"/>
          <w:szCs w:val="20"/>
          <w:lang w:val="es-MX"/>
        </w:rPr>
        <w:t xml:space="preserve"> con la normativa laboral vigente.</w:t>
      </w:r>
      <w:r w:rsidRPr="00815EC1">
        <w:rPr>
          <w:rFonts w:ascii="Verdana" w:eastAsia="Calibri" w:hAnsi="Verdana" w:cs="Arial"/>
          <w:i/>
          <w:iCs/>
          <w:sz w:val="20"/>
          <w:szCs w:val="20"/>
        </w:rPr>
        <w:t>”</w:t>
      </w:r>
      <w:r w:rsidRPr="00815EC1">
        <w:rPr>
          <w:rFonts w:ascii="Verdana" w:eastAsia="Calibri" w:hAnsi="Verdana" w:cs="Arial"/>
          <w:sz w:val="20"/>
          <w:szCs w:val="20"/>
        </w:rPr>
        <w:t xml:space="preserve"> (SIC).</w:t>
      </w:r>
    </w:p>
    <w:p w14:paraId="58E4D0D2" w14:textId="77777777" w:rsidR="003417D6" w:rsidRPr="00F20D27" w:rsidRDefault="003417D6" w:rsidP="003417D6">
      <w:pPr>
        <w:autoSpaceDE w:val="0"/>
        <w:autoSpaceDN w:val="0"/>
        <w:adjustRightInd w:val="0"/>
        <w:spacing w:after="0" w:line="276" w:lineRule="auto"/>
        <w:jc w:val="both"/>
        <w:rPr>
          <w:rFonts w:ascii="Verdana" w:eastAsia="Calibri" w:hAnsi="Verdana" w:cs="Arial"/>
        </w:rPr>
      </w:pPr>
    </w:p>
    <w:p w14:paraId="5D2BF323" w14:textId="77777777" w:rsidR="003417D6" w:rsidRPr="00F20D27" w:rsidRDefault="003417D6" w:rsidP="003417D6">
      <w:pPr>
        <w:spacing w:after="120" w:line="276" w:lineRule="auto"/>
        <w:ind w:firstLine="709"/>
        <w:jc w:val="both"/>
        <w:rPr>
          <w:rFonts w:ascii="Verdana" w:eastAsia="Calibri" w:hAnsi="Verdana" w:cs="Arial"/>
          <w:szCs w:val="24"/>
          <w:lang w:val="es-ES_tradnl" w:eastAsia="es-ES_tradnl"/>
        </w:rPr>
      </w:pPr>
      <w:r w:rsidRPr="00F20D27">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20D27">
        <w:rPr>
          <w:rFonts w:ascii="Verdana" w:eastAsia="Calibri" w:hAnsi="Verdana" w:cs="Arial"/>
          <w:szCs w:val="24"/>
          <w:lang w:val="es-ES_tradnl" w:eastAsia="es-ES_tradnl"/>
        </w:rPr>
        <w:tab/>
      </w:r>
    </w:p>
    <w:p w14:paraId="7A1B604D" w14:textId="77777777" w:rsidR="003417D6" w:rsidRPr="00F20D27" w:rsidRDefault="003417D6" w:rsidP="003417D6">
      <w:pPr>
        <w:spacing w:after="0" w:line="276" w:lineRule="auto"/>
        <w:ind w:firstLine="709"/>
        <w:jc w:val="both"/>
        <w:rPr>
          <w:rFonts w:ascii="Verdana" w:eastAsia="Calibri" w:hAnsi="Verdana" w:cs="Arial"/>
          <w:lang w:val="es-ES" w:eastAsia="es-ES"/>
        </w:rPr>
      </w:pPr>
      <w:r w:rsidRPr="00F20D2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74A5AF8" w14:textId="77777777" w:rsidR="003417D6" w:rsidRPr="00F20D27" w:rsidRDefault="003417D6" w:rsidP="003417D6">
      <w:pPr>
        <w:spacing w:after="0" w:line="276" w:lineRule="auto"/>
        <w:ind w:firstLine="709"/>
        <w:jc w:val="both"/>
        <w:rPr>
          <w:rFonts w:ascii="Verdana" w:eastAsia="Calibri" w:hAnsi="Verdana" w:cs="Arial"/>
          <w:lang w:val="es-ES" w:eastAsia="es-ES"/>
        </w:rPr>
      </w:pPr>
    </w:p>
    <w:p w14:paraId="4A908C46" w14:textId="77777777" w:rsidR="003417D6" w:rsidRPr="00F20D27" w:rsidRDefault="003417D6" w:rsidP="003417D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F20D27">
        <w:rPr>
          <w:rFonts w:ascii="Verdana" w:eastAsia="Century Gothic" w:hAnsi="Verdana" w:cs="Century Gothic"/>
          <w:b/>
          <w:bCs/>
        </w:rPr>
        <w:t>Problema planteado:</w:t>
      </w:r>
    </w:p>
    <w:p w14:paraId="26622B67" w14:textId="77777777" w:rsidR="003417D6" w:rsidRPr="00F20D27" w:rsidRDefault="003417D6" w:rsidP="003417D6">
      <w:pPr>
        <w:tabs>
          <w:tab w:val="left" w:pos="426"/>
        </w:tabs>
        <w:spacing w:after="0" w:line="276" w:lineRule="auto"/>
        <w:jc w:val="both"/>
        <w:rPr>
          <w:rFonts w:ascii="Verdana" w:eastAsia="Century Gothic" w:hAnsi="Verdana" w:cs="Century Gothic"/>
          <w:lang w:val="es-ES"/>
        </w:rPr>
      </w:pPr>
    </w:p>
    <w:p w14:paraId="1F27DD52" w14:textId="77777777" w:rsidR="003417D6" w:rsidRPr="00F20D27" w:rsidRDefault="003417D6" w:rsidP="003417D6">
      <w:pPr>
        <w:jc w:val="both"/>
        <w:rPr>
          <w:rFonts w:ascii="Verdana" w:hAnsi="Verdana"/>
        </w:rPr>
      </w:pPr>
      <w:r w:rsidRPr="00F20D27">
        <w:rPr>
          <w:rFonts w:ascii="Verdana" w:eastAsia="Century Gothic" w:hAnsi="Verdana" w:cs="Century Gothic"/>
        </w:rPr>
        <w:t xml:space="preserve">De acuerdo con el contenido de su solicitud, esta Agencia resolverá el siguiente problema jurídico: </w:t>
      </w:r>
      <w:r w:rsidRPr="007B471F">
        <w:rPr>
          <w:rFonts w:ascii="Verdana" w:hAnsi="Verdana"/>
        </w:rPr>
        <w:t xml:space="preserve">¿Es </w:t>
      </w:r>
      <w:r>
        <w:rPr>
          <w:rFonts w:ascii="Verdana" w:hAnsi="Verdana"/>
        </w:rPr>
        <w:t>viable</w:t>
      </w:r>
      <w:r w:rsidRPr="007B471F">
        <w:rPr>
          <w:rFonts w:ascii="Verdana" w:hAnsi="Verdana"/>
        </w:rPr>
        <w:t xml:space="preserve"> </w:t>
      </w:r>
      <w:r>
        <w:rPr>
          <w:rFonts w:ascii="Verdana" w:hAnsi="Verdana"/>
        </w:rPr>
        <w:t xml:space="preserve">por parte del contratante la entrega de insumos, bienes y servicios al contratista que le permitan la prestación del servicio en virtud de un contrato de prestación de servicio? </w:t>
      </w:r>
    </w:p>
    <w:p w14:paraId="57625087" w14:textId="77777777" w:rsidR="003417D6" w:rsidRPr="00F20D27" w:rsidRDefault="003417D6" w:rsidP="003417D6">
      <w:pPr>
        <w:jc w:val="both"/>
        <w:rPr>
          <w:rFonts w:ascii="Verdana" w:eastAsia="Century Gothic" w:hAnsi="Verdana" w:cs="Century Gothic"/>
          <w:b/>
          <w:bCs/>
        </w:rPr>
      </w:pPr>
      <w:r w:rsidRPr="00F20D27">
        <w:rPr>
          <w:rFonts w:ascii="Verdana" w:eastAsia="Century Gothic" w:hAnsi="Verdana" w:cs="Century Gothic"/>
          <w:b/>
          <w:bCs/>
        </w:rPr>
        <w:t>Respuesta:</w:t>
      </w:r>
    </w:p>
    <w:p w14:paraId="71B83EA8" w14:textId="77777777" w:rsidR="003417D6" w:rsidRPr="00F20D27" w:rsidRDefault="003417D6" w:rsidP="003417D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417D6" w:rsidRPr="00F20D27" w14:paraId="22FE1F05" w14:textId="77777777" w:rsidTr="004A195B">
        <w:tc>
          <w:tcPr>
            <w:tcW w:w="8828" w:type="dxa"/>
            <w:shd w:val="clear" w:color="auto" w:fill="auto"/>
          </w:tcPr>
          <w:p w14:paraId="44489749" w14:textId="77777777" w:rsidR="003417D6" w:rsidRDefault="003417D6" w:rsidP="004A195B">
            <w:pPr>
              <w:spacing w:after="160" w:line="278" w:lineRule="auto"/>
              <w:jc w:val="both"/>
              <w:rPr>
                <w:rFonts w:ascii="Verdana" w:hAnsi="Verdana"/>
              </w:rPr>
            </w:pPr>
            <w:r w:rsidRPr="00946372">
              <w:rPr>
                <w:rFonts w:ascii="Verdana" w:hAnsi="Verdana"/>
              </w:rPr>
              <w:t>En el marco de la contratación pública, es fundamental que la Entidad Estatal realice una planeación contractual rigurosa, que contemple no solo la necesidad a satisfacer</w:t>
            </w:r>
            <w:r>
              <w:rPr>
                <w:rFonts w:ascii="Verdana" w:hAnsi="Verdana"/>
              </w:rPr>
              <w:t xml:space="preserve"> a la población en general</w:t>
            </w:r>
            <w:r w:rsidRPr="00946372">
              <w:rPr>
                <w:rFonts w:ascii="Verdana" w:hAnsi="Verdana"/>
              </w:rPr>
              <w:t>, sino también</w:t>
            </w:r>
            <w:r>
              <w:rPr>
                <w:rFonts w:ascii="Verdana" w:hAnsi="Verdana"/>
              </w:rPr>
              <w:t xml:space="preserve"> la preocupación por</w:t>
            </w:r>
            <w:r w:rsidRPr="00946372">
              <w:rPr>
                <w:rFonts w:ascii="Verdana" w:hAnsi="Verdana"/>
              </w:rPr>
              <w:t xml:space="preserve"> la gestión adecuada de los recursos y herramientas que facilitarán el </w:t>
            </w:r>
            <w:r w:rsidRPr="00946372">
              <w:rPr>
                <w:rFonts w:ascii="Verdana" w:hAnsi="Verdana"/>
              </w:rPr>
              <w:lastRenderedPageBreak/>
              <w:t>cumplimiento de las obligaciones del contratista</w:t>
            </w:r>
            <w:r>
              <w:rPr>
                <w:rFonts w:ascii="Verdana" w:hAnsi="Verdana"/>
              </w:rPr>
              <w:t xml:space="preserve"> en virtud de los principios de responsabilidad, economía y eficiencia del gasto público</w:t>
            </w:r>
            <w:r w:rsidRPr="00946372">
              <w:rPr>
                <w:rFonts w:ascii="Verdana" w:hAnsi="Verdana"/>
              </w:rPr>
              <w:t xml:space="preserve">. </w:t>
            </w:r>
          </w:p>
          <w:p w14:paraId="2FE0A6DC" w14:textId="77777777" w:rsidR="003417D6" w:rsidRDefault="003417D6" w:rsidP="004A195B">
            <w:pPr>
              <w:spacing w:after="160" w:line="278" w:lineRule="auto"/>
              <w:jc w:val="both"/>
              <w:rPr>
                <w:rFonts w:ascii="Verdana" w:hAnsi="Verdana"/>
              </w:rPr>
            </w:pPr>
            <w:r>
              <w:rPr>
                <w:rFonts w:ascii="Verdana" w:hAnsi="Verdana"/>
              </w:rPr>
              <w:t>L</w:t>
            </w:r>
            <w:r w:rsidRPr="00946372">
              <w:rPr>
                <w:rFonts w:ascii="Verdana" w:hAnsi="Verdana"/>
              </w:rPr>
              <w:t xml:space="preserve">a Entidad Estatal </w:t>
            </w:r>
            <w:r>
              <w:rPr>
                <w:rFonts w:ascii="Verdana" w:hAnsi="Verdana"/>
              </w:rPr>
              <w:t xml:space="preserve">en el ejercicio de su planeación </w:t>
            </w:r>
            <w:r w:rsidRPr="00946372">
              <w:rPr>
                <w:rFonts w:ascii="Verdana" w:hAnsi="Verdana"/>
              </w:rPr>
              <w:t xml:space="preserve">deberá indicar claramente </w:t>
            </w:r>
            <w:r>
              <w:rPr>
                <w:rFonts w:ascii="Verdana" w:hAnsi="Verdana"/>
              </w:rPr>
              <w:t xml:space="preserve">por un lado </w:t>
            </w:r>
            <w:r w:rsidRPr="00946372">
              <w:rPr>
                <w:rFonts w:ascii="Verdana" w:hAnsi="Verdana"/>
              </w:rPr>
              <w:t xml:space="preserve">las obligaciones </w:t>
            </w:r>
            <w:r>
              <w:rPr>
                <w:rFonts w:ascii="Verdana" w:hAnsi="Verdana"/>
              </w:rPr>
              <w:t xml:space="preserve">generales y específicas </w:t>
            </w:r>
            <w:r w:rsidRPr="00946372">
              <w:rPr>
                <w:rFonts w:ascii="Verdana" w:hAnsi="Verdana"/>
              </w:rPr>
              <w:t>del contratista</w:t>
            </w:r>
            <w:r>
              <w:rPr>
                <w:rFonts w:ascii="Verdana" w:hAnsi="Verdana"/>
              </w:rPr>
              <w:t xml:space="preserve"> y por el otro las del contratante, los cuales deberán reflejarse en todos los documentos que hacen parte de la etapa </w:t>
            </w:r>
            <w:proofErr w:type="spellStart"/>
            <w:r>
              <w:rPr>
                <w:rFonts w:ascii="Verdana" w:hAnsi="Verdana"/>
              </w:rPr>
              <w:t>precontracutal</w:t>
            </w:r>
            <w:proofErr w:type="spellEnd"/>
            <w:r w:rsidRPr="00946372">
              <w:rPr>
                <w:rFonts w:ascii="Verdana" w:hAnsi="Verdana"/>
              </w:rPr>
              <w:t>,</w:t>
            </w:r>
            <w:r>
              <w:rPr>
                <w:rFonts w:ascii="Verdana" w:hAnsi="Verdana"/>
              </w:rPr>
              <w:t xml:space="preserve"> en especial, en los estudios previos.</w:t>
            </w:r>
            <w:r w:rsidRPr="00946372">
              <w:rPr>
                <w:rFonts w:ascii="Verdana" w:hAnsi="Verdana"/>
              </w:rPr>
              <w:t xml:space="preserve"> </w:t>
            </w:r>
          </w:p>
          <w:p w14:paraId="586E0982" w14:textId="0A60D7BD" w:rsidR="003417D6" w:rsidRDefault="003417D6" w:rsidP="004A195B">
            <w:pPr>
              <w:spacing w:after="160" w:line="278" w:lineRule="auto"/>
              <w:jc w:val="both"/>
              <w:rPr>
                <w:rFonts w:ascii="Verdana" w:hAnsi="Verdana"/>
              </w:rPr>
            </w:pPr>
            <w:r>
              <w:rPr>
                <w:rFonts w:ascii="Verdana" w:hAnsi="Verdana"/>
              </w:rPr>
              <w:t xml:space="preserve">En la cláusula de las obligaciones del contratante, se deberá indicar de manera individualizada los productos, elementos, formatos propios de la entidad, datos e insumos que estarán a su cargo con el fin que el contratista pueda cumplir con las obligaciones pactadas dentro del plazo y condiciones narradas. Por tal motivo, será </w:t>
            </w:r>
            <w:r w:rsidRPr="00946372">
              <w:rPr>
                <w:rFonts w:ascii="Verdana" w:hAnsi="Verdana"/>
              </w:rPr>
              <w:t>neces</w:t>
            </w:r>
            <w:r>
              <w:rPr>
                <w:rFonts w:ascii="Verdana" w:hAnsi="Verdana"/>
              </w:rPr>
              <w:t>ario que</w:t>
            </w:r>
            <w:r w:rsidRPr="00946372">
              <w:rPr>
                <w:rFonts w:ascii="Verdana" w:hAnsi="Verdana"/>
              </w:rPr>
              <w:t xml:space="preserve"> </w:t>
            </w:r>
            <w:r>
              <w:rPr>
                <w:rFonts w:ascii="Verdana" w:hAnsi="Verdana"/>
              </w:rPr>
              <w:t xml:space="preserve">de manera expresa se indique lo que la entidad estatal entregará, lo contratista deberá diligenciar o gestionar por cuenta de su contratante, o por su cuenta y riesgo. Todo con el fin </w:t>
            </w:r>
            <w:proofErr w:type="gramStart"/>
            <w:r>
              <w:rPr>
                <w:rFonts w:ascii="Verdana" w:hAnsi="Verdana"/>
              </w:rPr>
              <w:t>de  cumplir</w:t>
            </w:r>
            <w:proofErr w:type="gramEnd"/>
            <w:r>
              <w:rPr>
                <w:rFonts w:ascii="Verdana" w:hAnsi="Verdana"/>
              </w:rPr>
              <w:t xml:space="preserve"> una obligación física posible. En </w:t>
            </w:r>
            <w:r w:rsidR="00962C0D">
              <w:rPr>
                <w:rFonts w:ascii="Verdana" w:hAnsi="Verdana"/>
              </w:rPr>
              <w:t>ningún</w:t>
            </w:r>
            <w:r>
              <w:rPr>
                <w:rFonts w:ascii="Verdana" w:hAnsi="Verdana"/>
              </w:rPr>
              <w:t xml:space="preserve"> caso el contratista de prestación de servicio profesionales se le podrán pactar obligaciones físicamente imposibles u originadas en una causa </w:t>
            </w:r>
            <w:proofErr w:type="spellStart"/>
            <w:r>
              <w:rPr>
                <w:rFonts w:ascii="Verdana" w:hAnsi="Verdana"/>
              </w:rPr>
              <w:t>ílicita</w:t>
            </w:r>
            <w:proofErr w:type="spellEnd"/>
            <w:r>
              <w:rPr>
                <w:rFonts w:ascii="Verdana" w:hAnsi="Verdana"/>
              </w:rPr>
              <w:t xml:space="preserve">. </w:t>
            </w:r>
          </w:p>
          <w:p w14:paraId="106F93ED" w14:textId="77777777" w:rsidR="003417D6" w:rsidRDefault="003417D6" w:rsidP="004A195B">
            <w:pPr>
              <w:spacing w:after="160" w:line="278" w:lineRule="auto"/>
              <w:jc w:val="both"/>
              <w:rPr>
                <w:rFonts w:ascii="Verdana" w:hAnsi="Verdana"/>
              </w:rPr>
            </w:pPr>
            <w:r>
              <w:rPr>
                <w:rFonts w:ascii="Verdana" w:hAnsi="Verdana"/>
              </w:rPr>
              <w:t xml:space="preserve">De igual manera es facultad de la entidad contratante establecer en el estudio previo el tipo de obligaciones para el contratista, las cuales pueden ser de hacer, no hacer, entregar, de gestión, de metas, y en escenario muy puntuales con la justificación motivada, obligaciones de </w:t>
            </w:r>
            <w:proofErr w:type="gramStart"/>
            <w:r>
              <w:rPr>
                <w:rFonts w:ascii="Verdana" w:hAnsi="Verdana"/>
              </w:rPr>
              <w:t>resultado .</w:t>
            </w:r>
            <w:proofErr w:type="gramEnd"/>
            <w:r>
              <w:rPr>
                <w:rFonts w:ascii="Verdana" w:hAnsi="Verdana"/>
              </w:rPr>
              <w:t xml:space="preserve"> </w:t>
            </w:r>
          </w:p>
          <w:p w14:paraId="238A9A74" w14:textId="77777777" w:rsidR="003417D6" w:rsidRDefault="003417D6" w:rsidP="004A195B">
            <w:pPr>
              <w:spacing w:after="160" w:line="278" w:lineRule="auto"/>
              <w:jc w:val="both"/>
              <w:rPr>
                <w:rFonts w:ascii="Verdana" w:hAnsi="Verdana"/>
              </w:rPr>
            </w:pPr>
            <w:r>
              <w:rPr>
                <w:rFonts w:ascii="Verdana" w:hAnsi="Verdana"/>
              </w:rPr>
              <w:t xml:space="preserve">Por tal razón el </w:t>
            </w:r>
            <w:r w:rsidRPr="00946372">
              <w:rPr>
                <w:rFonts w:ascii="Verdana" w:hAnsi="Verdana"/>
              </w:rPr>
              <w:t>acceso a los insumos necesarios para el cumplimiento</w:t>
            </w:r>
            <w:r>
              <w:rPr>
                <w:rFonts w:ascii="Verdana" w:hAnsi="Verdana"/>
              </w:rPr>
              <w:t xml:space="preserve"> de sus obligaciones </w:t>
            </w:r>
            <w:r w:rsidRPr="00946372">
              <w:rPr>
                <w:rFonts w:ascii="Verdana" w:hAnsi="Verdana"/>
              </w:rPr>
              <w:t>contractual</w:t>
            </w:r>
            <w:r>
              <w:rPr>
                <w:rFonts w:ascii="Verdana" w:hAnsi="Verdana"/>
              </w:rPr>
              <w:t xml:space="preserve">es recae en la entidad estatal, puesta es esta la que abre los espacios y escenarios puntuales para que el contratista gestione la </w:t>
            </w:r>
            <w:proofErr w:type="gramStart"/>
            <w:r>
              <w:rPr>
                <w:rFonts w:ascii="Verdana" w:hAnsi="Verdana"/>
              </w:rPr>
              <w:t>autorizaciones respectiva</w:t>
            </w:r>
            <w:proofErr w:type="gramEnd"/>
            <w:r>
              <w:rPr>
                <w:rFonts w:ascii="Verdana" w:hAnsi="Verdana"/>
              </w:rPr>
              <w:t xml:space="preserve"> que permitan garantizar el cumplimiento de sus obligaciones</w:t>
            </w:r>
            <w:r w:rsidRPr="00946372">
              <w:rPr>
                <w:rFonts w:ascii="Verdana" w:hAnsi="Verdana"/>
              </w:rPr>
              <w:t>. Esta claridad y anticipación en la gestión contractual contribuirán a una ejecución más eficiente y alineada con los objetivos institucionales.</w:t>
            </w:r>
          </w:p>
          <w:p w14:paraId="17542631" w14:textId="77777777" w:rsidR="003417D6" w:rsidRPr="00946372" w:rsidRDefault="003417D6" w:rsidP="004A195B">
            <w:pPr>
              <w:spacing w:after="160" w:line="278" w:lineRule="auto"/>
              <w:jc w:val="both"/>
              <w:rPr>
                <w:rFonts w:ascii="Verdana" w:hAnsi="Verdana"/>
              </w:rPr>
            </w:pPr>
            <w:r>
              <w:rPr>
                <w:rFonts w:ascii="Verdana" w:hAnsi="Verdana"/>
              </w:rPr>
              <w:t>Ahora bien, la entrega de</w:t>
            </w:r>
            <w:r w:rsidRPr="00946372">
              <w:rPr>
                <w:rFonts w:ascii="Verdana" w:hAnsi="Verdana"/>
              </w:rPr>
              <w:t xml:space="preserve"> carnet institucional</w:t>
            </w:r>
            <w:r>
              <w:rPr>
                <w:rFonts w:ascii="Verdana" w:hAnsi="Verdana"/>
              </w:rPr>
              <w:t xml:space="preserve"> para individualizar al sujeto-contratista</w:t>
            </w:r>
            <w:r w:rsidRPr="00946372">
              <w:rPr>
                <w:rFonts w:ascii="Verdana" w:hAnsi="Verdana"/>
              </w:rPr>
              <w:t xml:space="preserve">, </w:t>
            </w:r>
            <w:r>
              <w:rPr>
                <w:rFonts w:ascii="Verdana" w:hAnsi="Verdana"/>
              </w:rPr>
              <w:t xml:space="preserve">la autorización de </w:t>
            </w:r>
            <w:r w:rsidRPr="00946372">
              <w:rPr>
                <w:rFonts w:ascii="Verdana" w:hAnsi="Verdana"/>
              </w:rPr>
              <w:t>acceso biométrico</w:t>
            </w:r>
            <w:r>
              <w:rPr>
                <w:rFonts w:ascii="Verdana" w:hAnsi="Verdana"/>
              </w:rPr>
              <w:t xml:space="preserve"> a las instalaciones y edificaciones</w:t>
            </w:r>
            <w:r w:rsidRPr="00946372">
              <w:rPr>
                <w:rFonts w:ascii="Verdana" w:hAnsi="Verdana"/>
              </w:rPr>
              <w:t xml:space="preserve">, uso de logos </w:t>
            </w:r>
            <w:r>
              <w:rPr>
                <w:rFonts w:ascii="Verdana" w:hAnsi="Verdana"/>
              </w:rPr>
              <w:t xml:space="preserve">institucionales en los </w:t>
            </w:r>
            <w:proofErr w:type="spellStart"/>
            <w:r>
              <w:rPr>
                <w:rFonts w:ascii="Verdana" w:hAnsi="Verdana"/>
              </w:rPr>
              <w:t>docuementos</w:t>
            </w:r>
            <w:proofErr w:type="spellEnd"/>
            <w:r>
              <w:rPr>
                <w:rFonts w:ascii="Verdana" w:hAnsi="Verdana"/>
              </w:rPr>
              <w:t xml:space="preserve"> y productos encomendados, </w:t>
            </w:r>
            <w:r w:rsidRPr="00946372">
              <w:rPr>
                <w:rFonts w:ascii="Verdana" w:hAnsi="Verdana"/>
              </w:rPr>
              <w:t xml:space="preserve">la gestión de correos institucionales es esencial para </w:t>
            </w:r>
            <w:r>
              <w:rPr>
                <w:rFonts w:ascii="Verdana" w:hAnsi="Verdana"/>
              </w:rPr>
              <w:t>la transparente, responsable, pública y</w:t>
            </w:r>
            <w:r w:rsidRPr="00946372">
              <w:rPr>
                <w:rFonts w:ascii="Verdana" w:hAnsi="Verdana"/>
              </w:rPr>
              <w:t xml:space="preserve"> eficien</w:t>
            </w:r>
            <w:r>
              <w:rPr>
                <w:rFonts w:ascii="Verdana" w:hAnsi="Verdana"/>
              </w:rPr>
              <w:t>te</w:t>
            </w:r>
            <w:r w:rsidRPr="00946372">
              <w:rPr>
                <w:rFonts w:ascii="Verdana" w:hAnsi="Verdana"/>
              </w:rPr>
              <w:t xml:space="preserve"> ejecución del contrato</w:t>
            </w:r>
            <w:r>
              <w:rPr>
                <w:rFonts w:ascii="Verdana" w:hAnsi="Verdana"/>
              </w:rPr>
              <w:t>, los cuales, debe ser encontrarse señalado en las políticas de la entidad contratante, en los documentos precontractuales o documentos misionales.</w:t>
            </w:r>
          </w:p>
          <w:p w14:paraId="1249D54F" w14:textId="77777777" w:rsidR="003417D6" w:rsidRDefault="003417D6" w:rsidP="004A195B">
            <w:pPr>
              <w:jc w:val="both"/>
              <w:rPr>
                <w:rFonts w:ascii="Verdana" w:hAnsi="Verdana"/>
                <w:i/>
                <w:iCs/>
                <w:sz w:val="20"/>
                <w:szCs w:val="20"/>
              </w:rPr>
            </w:pPr>
            <w:r>
              <w:rPr>
                <w:rFonts w:ascii="Verdana" w:hAnsi="Verdana"/>
              </w:rPr>
              <w:lastRenderedPageBreak/>
              <w:t>Téngase presente que, e</w:t>
            </w:r>
            <w:r w:rsidRPr="00946372">
              <w:rPr>
                <w:rFonts w:ascii="Verdana" w:hAnsi="Verdana"/>
              </w:rPr>
              <w:t xml:space="preserve">l </w:t>
            </w:r>
            <w:proofErr w:type="gramStart"/>
            <w:r w:rsidRPr="00946372">
              <w:rPr>
                <w:rFonts w:ascii="Verdana" w:hAnsi="Verdana"/>
              </w:rPr>
              <w:t>carnet</w:t>
            </w:r>
            <w:proofErr w:type="gramEnd"/>
            <w:r w:rsidRPr="00946372">
              <w:rPr>
                <w:rFonts w:ascii="Verdana" w:hAnsi="Verdana"/>
              </w:rPr>
              <w:t xml:space="preserve"> institucional </w:t>
            </w:r>
            <w:r>
              <w:rPr>
                <w:rFonts w:ascii="Verdana" w:hAnsi="Verdana"/>
              </w:rPr>
              <w:t>y l</w:t>
            </w:r>
            <w:r w:rsidRPr="00946372">
              <w:rPr>
                <w:rFonts w:ascii="Verdana" w:hAnsi="Verdana"/>
              </w:rPr>
              <w:t>a implementación de tecnologías biométricas puede</w:t>
            </w:r>
            <w:r>
              <w:rPr>
                <w:rFonts w:ascii="Verdana" w:hAnsi="Verdana"/>
              </w:rPr>
              <w:t>n</w:t>
            </w:r>
            <w:r w:rsidRPr="00946372">
              <w:rPr>
                <w:rFonts w:ascii="Verdana" w:hAnsi="Verdana"/>
              </w:rPr>
              <w:t xml:space="preserve"> optimizar el acceso y la seguridad, por lo que se debe detallar su uso en la fase precontractual</w:t>
            </w:r>
            <w:r>
              <w:rPr>
                <w:rFonts w:ascii="Verdana" w:hAnsi="Verdana"/>
              </w:rPr>
              <w:t xml:space="preserve"> y/o dentro de los protocolos internos de la entidad. En ese </w:t>
            </w:r>
            <w:proofErr w:type="gramStart"/>
            <w:r>
              <w:rPr>
                <w:rFonts w:ascii="Verdana" w:hAnsi="Verdana"/>
              </w:rPr>
              <w:t>sentido,  en</w:t>
            </w:r>
            <w:proofErr w:type="gramEnd"/>
            <w:r>
              <w:rPr>
                <w:rFonts w:ascii="Verdana" w:hAnsi="Verdana"/>
              </w:rPr>
              <w:t xml:space="preserve"> </w:t>
            </w:r>
            <w:r w:rsidRPr="00EA0DBB">
              <w:rPr>
                <w:rFonts w:ascii="Verdana" w:hAnsi="Verdana"/>
              </w:rPr>
              <w:t xml:space="preserve"> concepto 271721 de 2022 </w:t>
            </w:r>
            <w:r>
              <w:rPr>
                <w:rFonts w:ascii="Verdana" w:hAnsi="Verdana"/>
              </w:rPr>
              <w:t xml:space="preserve">del </w:t>
            </w:r>
            <w:r w:rsidRPr="00EA0DBB">
              <w:rPr>
                <w:rFonts w:ascii="Verdana" w:hAnsi="Verdana"/>
              </w:rPr>
              <w:t xml:space="preserve">Departamento Administrativo de la Función Pública </w:t>
            </w:r>
            <w:r>
              <w:rPr>
                <w:rFonts w:ascii="Verdana" w:hAnsi="Verdana"/>
              </w:rPr>
              <w:t xml:space="preserve">se señaló que </w:t>
            </w:r>
            <w:r w:rsidRPr="00EA0DBB">
              <w:rPr>
                <w:rFonts w:ascii="Verdana" w:hAnsi="Verdana"/>
                <w:i/>
                <w:iCs/>
                <w:sz w:val="20"/>
                <w:szCs w:val="20"/>
              </w:rPr>
              <w:t>”de la normativa vigente y aplicable, no existe disposición alguna que ordene a las entidades públicas a realizar entrega de carné institucional a sus funcionarios, o que establezca la información específica que debe contener este, en caso de que la entidad hiciera entrega del mismo. Por lo cual se sugiere revisar el reglamento, manual específico de funciones, acto administrativo o instrumento que cada entidad, en ejercicio de su autonomía administrativa, haya dispuesto para regular el tema de identificación de sus servidores públicos”.</w:t>
            </w:r>
          </w:p>
          <w:p w14:paraId="3588F152" w14:textId="77777777" w:rsidR="003417D6" w:rsidRDefault="003417D6" w:rsidP="004A195B">
            <w:pPr>
              <w:jc w:val="both"/>
              <w:rPr>
                <w:rFonts w:ascii="Verdana" w:hAnsi="Verdana"/>
                <w:i/>
                <w:iCs/>
                <w:sz w:val="20"/>
                <w:szCs w:val="20"/>
              </w:rPr>
            </w:pPr>
          </w:p>
          <w:p w14:paraId="619EA46A" w14:textId="77777777" w:rsidR="003417D6" w:rsidRDefault="003417D6" w:rsidP="004A195B">
            <w:pPr>
              <w:spacing w:after="160" w:line="278" w:lineRule="auto"/>
              <w:jc w:val="both"/>
              <w:rPr>
                <w:rFonts w:ascii="Verdana" w:hAnsi="Verdana"/>
              </w:rPr>
            </w:pPr>
            <w:r>
              <w:rPr>
                <w:rFonts w:ascii="Verdana" w:hAnsi="Verdana"/>
              </w:rPr>
              <w:t>Por otro lado, frente a l</w:t>
            </w:r>
            <w:r w:rsidRPr="00946372">
              <w:rPr>
                <w:rFonts w:ascii="Verdana" w:hAnsi="Verdana"/>
              </w:rPr>
              <w:t xml:space="preserve">os correos institucionales, </w:t>
            </w:r>
            <w:r>
              <w:rPr>
                <w:rFonts w:ascii="Verdana" w:hAnsi="Verdana"/>
              </w:rPr>
              <w:t xml:space="preserve">son considerados herramientas para la correcta ejecución de </w:t>
            </w:r>
            <w:proofErr w:type="gramStart"/>
            <w:r>
              <w:rPr>
                <w:rFonts w:ascii="Verdana" w:hAnsi="Verdana"/>
              </w:rPr>
              <w:t>la obligaciones contractuales</w:t>
            </w:r>
            <w:proofErr w:type="gramEnd"/>
            <w:r>
              <w:rPr>
                <w:rFonts w:ascii="Verdana" w:hAnsi="Verdana"/>
              </w:rPr>
              <w:t xml:space="preserve">, </w:t>
            </w:r>
            <w:r w:rsidRPr="00946372">
              <w:rPr>
                <w:rFonts w:ascii="Verdana" w:hAnsi="Verdana"/>
              </w:rPr>
              <w:t xml:space="preserve">su asignación y uso deben ser </w:t>
            </w:r>
            <w:r>
              <w:rPr>
                <w:rFonts w:ascii="Verdana" w:hAnsi="Verdana"/>
              </w:rPr>
              <w:t>autorizados</w:t>
            </w:r>
            <w:r w:rsidRPr="00946372">
              <w:rPr>
                <w:rFonts w:ascii="Verdana" w:hAnsi="Verdana"/>
              </w:rPr>
              <w:t xml:space="preserve"> por la entidad</w:t>
            </w:r>
            <w:r>
              <w:rPr>
                <w:rFonts w:ascii="Verdana" w:hAnsi="Verdana"/>
              </w:rPr>
              <w:t xml:space="preserve"> contratante de acuerdo a la disponibilidad, capacidad y almacenamiento que se tenga sobre el hosting e infraestructura </w:t>
            </w:r>
            <w:proofErr w:type="spellStart"/>
            <w:r>
              <w:rPr>
                <w:rFonts w:ascii="Verdana" w:hAnsi="Verdana"/>
              </w:rPr>
              <w:t>tecnologica</w:t>
            </w:r>
            <w:proofErr w:type="spellEnd"/>
            <w:r>
              <w:rPr>
                <w:rFonts w:ascii="Verdana" w:hAnsi="Verdana"/>
              </w:rPr>
              <w:t xml:space="preserve"> propia de la entidad. En todo caso, es la entidad estatal la que decide si otorga usuario al contratista con el fin de garantizar el </w:t>
            </w:r>
            <w:r w:rsidRPr="00946372">
              <w:rPr>
                <w:rFonts w:ascii="Verdana" w:hAnsi="Verdana"/>
              </w:rPr>
              <w:t>la confidencialidad y el adecuado manejo de la información</w:t>
            </w:r>
            <w:r>
              <w:rPr>
                <w:rFonts w:ascii="Verdana" w:hAnsi="Verdana"/>
              </w:rPr>
              <w:t xml:space="preserve">. De lo contrario, el contratista gestionará sus obligaciones a través de sus correos personales sin que se le exija lo contrario.  </w:t>
            </w:r>
          </w:p>
          <w:p w14:paraId="1E16573E" w14:textId="77777777" w:rsidR="003417D6" w:rsidRDefault="003417D6" w:rsidP="004A195B">
            <w:pPr>
              <w:spacing w:after="160" w:line="278" w:lineRule="auto"/>
              <w:jc w:val="both"/>
              <w:rPr>
                <w:rFonts w:ascii="Verdana" w:hAnsi="Verdana"/>
              </w:rPr>
            </w:pPr>
            <w:r>
              <w:rPr>
                <w:rFonts w:ascii="Verdana" w:hAnsi="Verdana"/>
              </w:rPr>
              <w:t>R</w:t>
            </w:r>
            <w:r w:rsidRPr="00946372">
              <w:rPr>
                <w:rFonts w:ascii="Verdana" w:hAnsi="Verdana"/>
              </w:rPr>
              <w:t>especto al uso de logos</w:t>
            </w:r>
            <w:r>
              <w:rPr>
                <w:rFonts w:ascii="Verdana" w:hAnsi="Verdana"/>
              </w:rPr>
              <w:t xml:space="preserve"> o plantillas es la entidad la que deberá indicarle al contratista su política institucional, por lo que los insumos, documentos o información tramitada por este podrá ser entregada en documentos sin logos o con los que la entidad indique a través de los supervisores o responsables de la ejecución contractual. El contratista deberá entregarlos en la forma como se lo han indicado. </w:t>
            </w:r>
          </w:p>
          <w:p w14:paraId="5A1DAC1B" w14:textId="77777777" w:rsidR="003417D6" w:rsidRDefault="003417D6" w:rsidP="004A195B">
            <w:pPr>
              <w:spacing w:after="160" w:line="278" w:lineRule="auto"/>
              <w:jc w:val="both"/>
              <w:rPr>
                <w:rFonts w:ascii="Verdana" w:hAnsi="Verdana"/>
              </w:rPr>
            </w:pPr>
            <w:r>
              <w:rPr>
                <w:rFonts w:ascii="Verdana" w:hAnsi="Verdana"/>
              </w:rPr>
              <w:t xml:space="preserve">Respecto al uso de los logos institucionales en las prendas de vestir por parte del contratista, la norma contractual no prohíbe al </w:t>
            </w:r>
            <w:proofErr w:type="gramStart"/>
            <w:r>
              <w:rPr>
                <w:rFonts w:ascii="Verdana" w:hAnsi="Verdana"/>
              </w:rPr>
              <w:t>contratante  o</w:t>
            </w:r>
            <w:proofErr w:type="gramEnd"/>
            <w:r>
              <w:rPr>
                <w:rFonts w:ascii="Verdana" w:hAnsi="Verdana"/>
              </w:rPr>
              <w:t xml:space="preserve"> al contratista la facultad de hacer uso de estos, por lo que queda al arbitrio en primer lugar del contratante permitir el uso de sus logos a los contratistas sino no lo pactó como obligación. Frente al contratista, si no fue pactado como obligación, podrá este decidir si usa o porta los logos institucionales en sus prendas de vestir. </w:t>
            </w:r>
          </w:p>
          <w:p w14:paraId="3F6065B2" w14:textId="77777777" w:rsidR="003417D6" w:rsidRDefault="003417D6" w:rsidP="004A195B">
            <w:pPr>
              <w:spacing w:after="160" w:line="278" w:lineRule="auto"/>
              <w:jc w:val="both"/>
              <w:rPr>
                <w:rFonts w:ascii="Verdana" w:hAnsi="Verdana"/>
              </w:rPr>
            </w:pPr>
            <w:r>
              <w:rPr>
                <w:rFonts w:ascii="Verdana" w:hAnsi="Verdana"/>
              </w:rPr>
              <w:t xml:space="preserve">Ahora bien, téngase presente que el concepto de dotación en materia laboral deviene de un contrato de trabajo. Así las cosas, la administración no suministra dotación a aquellos que no están vinculados por la carrera </w:t>
            </w:r>
            <w:r>
              <w:rPr>
                <w:rFonts w:ascii="Verdana" w:hAnsi="Verdana"/>
              </w:rPr>
              <w:lastRenderedPageBreak/>
              <w:t xml:space="preserve">administrativa o en provisionalidad, puesto que no existe relación laboral que permita el cumplimiento de la entrega de dotación en los términos que señala la </w:t>
            </w:r>
            <w:r w:rsidRPr="00927862">
              <w:rPr>
                <w:rFonts w:ascii="Verdana" w:hAnsi="Verdana"/>
              </w:rPr>
              <w:t>Ley </w:t>
            </w:r>
            <w:hyperlink r:id="rId12" w:anchor="70" w:history="1">
              <w:r w:rsidRPr="00927862">
                <w:rPr>
                  <w:rStyle w:val="Hipervnculo"/>
                  <w:rFonts w:ascii="Verdana" w:hAnsi="Verdana"/>
                </w:rPr>
                <w:t>70</w:t>
              </w:r>
            </w:hyperlink>
            <w:r w:rsidRPr="00927862">
              <w:rPr>
                <w:rFonts w:ascii="Verdana" w:hAnsi="Verdana"/>
              </w:rPr>
              <w:t xml:space="preserve"> de 1988, reglamentada por el </w:t>
            </w:r>
            <w:r>
              <w:rPr>
                <w:rFonts w:ascii="Verdana" w:hAnsi="Verdana"/>
              </w:rPr>
              <w:t xml:space="preserve">Decreto </w:t>
            </w:r>
            <w:r w:rsidRPr="00927862">
              <w:rPr>
                <w:rFonts w:ascii="Verdana" w:hAnsi="Verdana"/>
              </w:rPr>
              <w:t xml:space="preserve">1978 </w:t>
            </w:r>
            <w:r>
              <w:rPr>
                <w:rFonts w:ascii="Verdana" w:hAnsi="Verdana"/>
              </w:rPr>
              <w:t>de</w:t>
            </w:r>
            <w:r w:rsidRPr="00927862">
              <w:rPr>
                <w:rFonts w:ascii="Verdana" w:hAnsi="Verdana"/>
              </w:rPr>
              <w:t xml:space="preserve"> 1989</w:t>
            </w:r>
            <w:r>
              <w:rPr>
                <w:rFonts w:ascii="Verdana" w:hAnsi="Verdana"/>
              </w:rPr>
              <w:t>.</w:t>
            </w:r>
          </w:p>
          <w:p w14:paraId="702A27FE" w14:textId="77777777" w:rsidR="003417D6" w:rsidRDefault="003417D6" w:rsidP="004A195B">
            <w:pPr>
              <w:spacing w:after="160" w:line="278" w:lineRule="auto"/>
              <w:jc w:val="both"/>
              <w:rPr>
                <w:rFonts w:ascii="Verdana" w:hAnsi="Verdana"/>
              </w:rPr>
            </w:pPr>
            <w:r>
              <w:rPr>
                <w:rFonts w:ascii="Verdana" w:hAnsi="Verdana"/>
              </w:rPr>
              <w:t xml:space="preserve">En ese sentido, debe tenerse en cuenta que la entrega al contratista de insumos, bienes y servicios que permitan garantizar la obligación pactada en el objeto del contrato, no crea vínculo laboral, debido a que estos se entregan con el fin de hacer que las obligaciones pactadas sean físicamente posibles de cumplir en la circunstancia de tiempo, modo y lugar planeado en la etapa precontractual. </w:t>
            </w:r>
          </w:p>
          <w:p w14:paraId="1C4D1C4F" w14:textId="77777777" w:rsidR="003417D6" w:rsidRDefault="003417D6" w:rsidP="004A195B">
            <w:pPr>
              <w:spacing w:after="160" w:line="278" w:lineRule="auto"/>
              <w:jc w:val="both"/>
              <w:rPr>
                <w:rFonts w:ascii="Verdana" w:hAnsi="Verdana"/>
              </w:rPr>
            </w:pPr>
            <w:r>
              <w:rPr>
                <w:rFonts w:ascii="Verdana" w:hAnsi="Verdana"/>
              </w:rPr>
              <w:t>En conclusión, se debe tener en cuenta que la relación entre la entidad contratante y el contratista (en los contratos de prestación de servicio) es de origen contractual y no laboral, por no cumplirse los supuestos  del artículo 23 del C.S.T, es decir, la continua subordinación, la retribución de un salario y la actividad personal del trabajador), sino que por el contrario, en los contratos de prestación de servicio existe continua independencia del contratista, el cual está sujeto únicamente a las obligaciones contractuales.</w:t>
            </w:r>
          </w:p>
          <w:p w14:paraId="5543BEDE" w14:textId="77777777" w:rsidR="003417D6" w:rsidRPr="00F20D27" w:rsidRDefault="003417D6" w:rsidP="004A195B">
            <w:pPr>
              <w:spacing w:after="160" w:line="278" w:lineRule="auto"/>
              <w:jc w:val="both"/>
              <w:rPr>
                <w:rFonts w:ascii="Verdana" w:hAnsi="Verdana"/>
              </w:rPr>
            </w:pPr>
          </w:p>
        </w:tc>
      </w:tr>
      <w:tr w:rsidR="003417D6" w:rsidRPr="00F20D27" w14:paraId="287E4A00" w14:textId="77777777" w:rsidTr="004A195B">
        <w:trPr>
          <w:trHeight w:val="128"/>
        </w:trPr>
        <w:tc>
          <w:tcPr>
            <w:tcW w:w="8828" w:type="dxa"/>
            <w:shd w:val="clear" w:color="auto" w:fill="auto"/>
          </w:tcPr>
          <w:p w14:paraId="09F8CA87" w14:textId="77777777" w:rsidR="003417D6" w:rsidRPr="00F20D27" w:rsidRDefault="003417D6" w:rsidP="004A195B">
            <w:pPr>
              <w:spacing w:line="278" w:lineRule="auto"/>
              <w:jc w:val="both"/>
              <w:rPr>
                <w:rFonts w:ascii="Verdana" w:hAnsi="Verdana"/>
              </w:rPr>
            </w:pPr>
          </w:p>
        </w:tc>
      </w:tr>
    </w:tbl>
    <w:p w14:paraId="0FE9BB3E" w14:textId="77777777" w:rsidR="003417D6" w:rsidRPr="00F20D27" w:rsidRDefault="003417D6" w:rsidP="003417D6">
      <w:pPr>
        <w:tabs>
          <w:tab w:val="left" w:pos="142"/>
          <w:tab w:val="left" w:pos="284"/>
        </w:tabs>
        <w:spacing w:after="0" w:line="276" w:lineRule="auto"/>
        <w:jc w:val="both"/>
        <w:rPr>
          <w:rFonts w:ascii="Verdana" w:eastAsia="Century Gothic" w:hAnsi="Verdana" w:cs="Century Gothic"/>
          <w:b/>
          <w:bCs/>
          <w:lang w:val="es-ES"/>
        </w:rPr>
      </w:pPr>
    </w:p>
    <w:p w14:paraId="14C0F9D1" w14:textId="77777777" w:rsidR="003417D6" w:rsidRPr="00F20D27" w:rsidRDefault="003417D6" w:rsidP="003417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20D27">
        <w:rPr>
          <w:rFonts w:ascii="Verdana" w:eastAsia="Century Gothic" w:hAnsi="Verdana" w:cs="Century Gothic"/>
          <w:b/>
          <w:bCs/>
        </w:rPr>
        <w:t>Razones de la respuesta:</w:t>
      </w:r>
    </w:p>
    <w:p w14:paraId="4A3C748F" w14:textId="77777777" w:rsidR="003417D6" w:rsidRPr="00F20D27" w:rsidRDefault="003417D6" w:rsidP="003417D6">
      <w:pPr>
        <w:spacing w:after="0" w:line="276" w:lineRule="auto"/>
        <w:jc w:val="both"/>
        <w:rPr>
          <w:rFonts w:ascii="Verdana" w:eastAsia="Calibri" w:hAnsi="Verdana" w:cs="Arial"/>
          <w:lang w:val="es-ES"/>
        </w:rPr>
      </w:pPr>
    </w:p>
    <w:p w14:paraId="0C505D2E" w14:textId="77777777" w:rsidR="003417D6" w:rsidRPr="00F20D27" w:rsidRDefault="003417D6" w:rsidP="003417D6">
      <w:pPr>
        <w:spacing w:after="0" w:line="276" w:lineRule="auto"/>
        <w:jc w:val="both"/>
        <w:rPr>
          <w:rFonts w:ascii="Verdana" w:eastAsia="Calibri" w:hAnsi="Verdana" w:cs="Arial"/>
          <w:lang w:val="es-ES"/>
        </w:rPr>
      </w:pPr>
      <w:r w:rsidRPr="00F20D27">
        <w:rPr>
          <w:rFonts w:ascii="Verdana" w:eastAsia="Calibri" w:hAnsi="Verdana" w:cs="Arial"/>
          <w:lang w:val="es-ES"/>
        </w:rPr>
        <w:t xml:space="preserve">Lo anterior se sustenta en las siguientes consideraciones: </w:t>
      </w:r>
    </w:p>
    <w:p w14:paraId="02136F47" w14:textId="77777777" w:rsidR="003417D6" w:rsidRPr="00F20D27" w:rsidRDefault="003417D6" w:rsidP="003417D6">
      <w:pPr>
        <w:spacing w:after="0" w:line="276" w:lineRule="auto"/>
        <w:contextualSpacing/>
        <w:jc w:val="both"/>
        <w:rPr>
          <w:rFonts w:ascii="Verdana" w:eastAsia="Calibri" w:hAnsi="Verdana" w:cs="Arial"/>
          <w:b/>
          <w:bCs/>
          <w:lang w:val="es-ES_tradnl" w:eastAsia="es-ES_tradnl"/>
          <w14:ligatures w14:val="standardContextual"/>
        </w:rPr>
      </w:pPr>
    </w:p>
    <w:p w14:paraId="3EA0A7CC" w14:textId="77777777" w:rsidR="003417D6" w:rsidRPr="00FA2765" w:rsidRDefault="003417D6" w:rsidP="003417D6">
      <w:pPr>
        <w:pStyle w:val="Prrafodelista"/>
        <w:numPr>
          <w:ilvl w:val="0"/>
          <w:numId w:val="29"/>
        </w:numPr>
        <w:spacing w:after="0" w:line="276" w:lineRule="auto"/>
        <w:jc w:val="both"/>
        <w:rPr>
          <w:rFonts w:ascii="Verdana" w:eastAsia="Calibri" w:hAnsi="Verdana" w:cs="Arial"/>
          <w:lang w:val="es-ES_tradnl" w:eastAsia="es-ES_tradnl"/>
        </w:rPr>
      </w:pPr>
      <w:r w:rsidRPr="00FA2765">
        <w:rPr>
          <w:rFonts w:ascii="Verdana" w:eastAsia="Calibri" w:hAnsi="Verdana"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34520F02" w14:textId="77777777" w:rsidR="003417D6" w:rsidRPr="00F71F4D" w:rsidRDefault="003417D6" w:rsidP="003417D6">
      <w:pPr>
        <w:pStyle w:val="Prrafodelista"/>
        <w:spacing w:after="0" w:line="240" w:lineRule="auto"/>
        <w:ind w:right="709"/>
        <w:jc w:val="both"/>
        <w:rPr>
          <w:rFonts w:ascii="Verdana" w:eastAsia="Calibri" w:hAnsi="Verdana" w:cs="Arial"/>
          <w:color w:val="000000"/>
          <w:lang w:val="es-ES_tradnl" w:eastAsia="es-ES_tradnl"/>
        </w:rPr>
      </w:pPr>
    </w:p>
    <w:p w14:paraId="4B169EA9" w14:textId="77777777" w:rsidR="003417D6" w:rsidRPr="00F71F4D" w:rsidRDefault="003417D6" w:rsidP="003417D6">
      <w:pPr>
        <w:pStyle w:val="Prrafodelista"/>
        <w:spacing w:after="0" w:line="240" w:lineRule="auto"/>
        <w:ind w:right="709"/>
        <w:jc w:val="both"/>
        <w:rPr>
          <w:rFonts w:ascii="Verdana" w:eastAsia="Calibri" w:hAnsi="Verdana" w:cs="Arial"/>
          <w:color w:val="000000"/>
          <w:sz w:val="20"/>
          <w:szCs w:val="20"/>
          <w:lang w:val="es-ES_tradnl" w:eastAsia="es-ES_tradnl"/>
        </w:rPr>
      </w:pPr>
      <w:r w:rsidRPr="00F71F4D">
        <w:rPr>
          <w:rFonts w:ascii="Verdana" w:eastAsia="Calibri" w:hAnsi="Verdana" w:cs="Arial"/>
          <w:color w:val="000000"/>
          <w:sz w:val="20"/>
          <w:szCs w:val="20"/>
          <w:lang w:val="es-ES_tradnl" w:eastAsia="es-ES_tradnl"/>
        </w:rPr>
        <w:t xml:space="preserve">“Son contratos de prestación de servicios los que celebren las entidades estatales para desarrollar actividades relacionadas con la </w:t>
      </w:r>
      <w:r w:rsidRPr="00F71F4D">
        <w:rPr>
          <w:rFonts w:ascii="Verdana" w:eastAsia="Calibri" w:hAnsi="Verdana" w:cs="Arial"/>
          <w:i/>
          <w:iCs/>
          <w:color w:val="000000"/>
          <w:sz w:val="20"/>
          <w:szCs w:val="20"/>
          <w:lang w:val="es-ES_tradnl" w:eastAsia="es-ES_tradnl"/>
        </w:rPr>
        <w:t>administración o funcionamiento de la entidad.</w:t>
      </w:r>
      <w:r w:rsidRPr="00F71F4D">
        <w:rPr>
          <w:rFonts w:ascii="Verdana" w:eastAsia="Calibri" w:hAnsi="Verdana" w:cs="Arial"/>
          <w:color w:val="000000"/>
          <w:sz w:val="20"/>
          <w:szCs w:val="20"/>
          <w:lang w:val="es-ES_tradnl" w:eastAsia="es-ES_tradnl"/>
        </w:rPr>
        <w:t xml:space="preserve"> Estos contratos sólo podrán celebrarse con personas naturales cuando dichas actividades no puedan realizarse con personal de planta o requieran conocimientos especializados.</w:t>
      </w:r>
    </w:p>
    <w:p w14:paraId="3DD1988E" w14:textId="77777777" w:rsidR="003417D6" w:rsidRPr="00F71F4D" w:rsidRDefault="003417D6" w:rsidP="003417D6">
      <w:pPr>
        <w:pStyle w:val="Prrafodelista"/>
        <w:spacing w:after="0" w:line="240" w:lineRule="auto"/>
        <w:ind w:right="709"/>
        <w:jc w:val="both"/>
        <w:rPr>
          <w:rFonts w:ascii="Verdana" w:eastAsia="Calibri" w:hAnsi="Verdana" w:cs="Arial"/>
          <w:color w:val="000000"/>
          <w:sz w:val="20"/>
          <w:szCs w:val="20"/>
          <w:lang w:val="es-ES_tradnl" w:eastAsia="es-ES_tradnl"/>
        </w:rPr>
      </w:pPr>
    </w:p>
    <w:p w14:paraId="2CD64D4A" w14:textId="77777777" w:rsidR="003417D6" w:rsidRPr="00F71F4D" w:rsidRDefault="003417D6" w:rsidP="003417D6">
      <w:pPr>
        <w:pStyle w:val="Prrafodelista"/>
        <w:spacing w:after="0" w:line="240" w:lineRule="auto"/>
        <w:ind w:right="709"/>
        <w:jc w:val="both"/>
        <w:rPr>
          <w:rFonts w:ascii="Verdana" w:eastAsia="Calibri" w:hAnsi="Verdana" w:cs="Arial"/>
          <w:color w:val="000000"/>
          <w:sz w:val="20"/>
          <w:szCs w:val="20"/>
          <w:lang w:val="es-ES_tradnl" w:eastAsia="es-ES_tradnl"/>
        </w:rPr>
      </w:pPr>
      <w:r w:rsidRPr="00F71F4D">
        <w:rPr>
          <w:rFonts w:ascii="Verdana" w:eastAsia="Calibri" w:hAnsi="Verdana" w:cs="Arial"/>
          <w:color w:val="000000"/>
          <w:sz w:val="20"/>
          <w:szCs w:val="20"/>
          <w:lang w:val="es-ES_tradnl" w:eastAsia="es-ES_tradnl"/>
        </w:rPr>
        <w:lastRenderedPageBreak/>
        <w:t>En ningún caso estos contratos generan relación laboral ni prestaciones sociales y se celebrarán por el término estrictamente indispensable”.</w:t>
      </w:r>
    </w:p>
    <w:p w14:paraId="345FD139" w14:textId="77777777" w:rsidR="003417D6" w:rsidRPr="00F71F4D" w:rsidRDefault="003417D6" w:rsidP="003417D6">
      <w:pPr>
        <w:pStyle w:val="Prrafodelista"/>
        <w:spacing w:after="0" w:line="276" w:lineRule="auto"/>
        <w:jc w:val="both"/>
        <w:rPr>
          <w:rFonts w:ascii="Verdana" w:eastAsia="Calibri" w:hAnsi="Verdana" w:cs="Arial"/>
        </w:rPr>
      </w:pPr>
    </w:p>
    <w:p w14:paraId="5AEA3A2B" w14:textId="77777777" w:rsidR="003417D6" w:rsidRPr="00FA2765" w:rsidRDefault="003417D6" w:rsidP="003417D6">
      <w:pPr>
        <w:pStyle w:val="Prrafodelista"/>
        <w:numPr>
          <w:ilvl w:val="0"/>
          <w:numId w:val="28"/>
        </w:numPr>
        <w:tabs>
          <w:tab w:val="left" w:pos="0"/>
        </w:tabs>
        <w:spacing w:after="0" w:line="276" w:lineRule="auto"/>
        <w:jc w:val="both"/>
        <w:rPr>
          <w:rFonts w:ascii="Verdana" w:hAnsi="Verdana" w:cs="Arial"/>
          <w:noProof/>
          <w:lang w:val="es-ES_tradnl"/>
        </w:rPr>
      </w:pPr>
      <w:r w:rsidRPr="00FA2765">
        <w:rPr>
          <w:rFonts w:ascii="Verdana" w:hAnsi="Verdana" w:cs="Arial"/>
          <w:noProof/>
          <w:lang w:val="es-ES_tradnl"/>
        </w:rPr>
        <w:t>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66C661E1" w14:textId="77777777" w:rsidR="003417D6" w:rsidRPr="00F71F4D" w:rsidRDefault="003417D6" w:rsidP="003417D6">
      <w:pPr>
        <w:pStyle w:val="Prrafodelista"/>
        <w:tabs>
          <w:tab w:val="left" w:pos="0"/>
        </w:tabs>
        <w:spacing w:line="276" w:lineRule="auto"/>
        <w:jc w:val="both"/>
        <w:rPr>
          <w:rFonts w:ascii="Verdana" w:hAnsi="Verdana" w:cs="Arial"/>
          <w:noProof/>
          <w:lang w:val="es-ES_tradnl"/>
        </w:rPr>
      </w:pPr>
    </w:p>
    <w:p w14:paraId="63A5E1E8" w14:textId="77777777" w:rsidR="003417D6" w:rsidRPr="00FA2765" w:rsidRDefault="003417D6" w:rsidP="003417D6">
      <w:pPr>
        <w:pStyle w:val="Prrafodelista"/>
        <w:spacing w:line="240" w:lineRule="auto"/>
        <w:ind w:right="709"/>
        <w:jc w:val="both"/>
        <w:rPr>
          <w:rFonts w:ascii="Verdana" w:hAnsi="Verdana" w:cs="Arial"/>
          <w:sz w:val="20"/>
          <w:szCs w:val="20"/>
          <w:lang w:val="es-MX"/>
        </w:rPr>
      </w:pPr>
      <w:r w:rsidRPr="00FA2765">
        <w:rPr>
          <w:rFonts w:ascii="Verdana" w:eastAsia="Yu Gothic UI Semibold" w:hAnsi="Verdana" w:cs="Arial"/>
          <w:iCs/>
          <w:sz w:val="20"/>
          <w:szCs w:val="20"/>
          <w:lang w:eastAsia="es-MX"/>
        </w:rPr>
        <w:t>“</w:t>
      </w:r>
      <w:r w:rsidRPr="00FA2765">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DD87412" w14:textId="77777777" w:rsidR="003417D6" w:rsidRPr="00FA2765" w:rsidRDefault="003417D6" w:rsidP="003417D6">
      <w:pPr>
        <w:pStyle w:val="Prrafodelista"/>
        <w:spacing w:line="240" w:lineRule="auto"/>
        <w:ind w:right="709"/>
        <w:jc w:val="both"/>
        <w:rPr>
          <w:rFonts w:ascii="Verdana" w:hAnsi="Verdana" w:cs="Arial"/>
          <w:sz w:val="20"/>
          <w:szCs w:val="20"/>
        </w:rPr>
      </w:pPr>
    </w:p>
    <w:p w14:paraId="23E9BADF" w14:textId="77777777" w:rsidR="003417D6" w:rsidRPr="00FA2765" w:rsidRDefault="003417D6" w:rsidP="003417D6">
      <w:pPr>
        <w:pStyle w:val="Prrafodelista"/>
        <w:spacing w:line="240" w:lineRule="auto"/>
        <w:ind w:right="709"/>
        <w:jc w:val="both"/>
        <w:rPr>
          <w:rFonts w:ascii="Verdana" w:hAnsi="Verdana" w:cs="Arial"/>
          <w:sz w:val="20"/>
          <w:szCs w:val="20"/>
          <w:lang w:val="es-MX"/>
        </w:rPr>
      </w:pPr>
      <w:r w:rsidRPr="00FA2765">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8B2B8E1" w14:textId="77777777" w:rsidR="003417D6" w:rsidRPr="00FA2765" w:rsidRDefault="003417D6" w:rsidP="003417D6">
      <w:pPr>
        <w:pStyle w:val="Prrafodelista"/>
        <w:spacing w:line="240" w:lineRule="auto"/>
        <w:ind w:right="709"/>
        <w:jc w:val="both"/>
        <w:rPr>
          <w:rFonts w:ascii="Verdana" w:hAnsi="Verdana" w:cs="Arial"/>
          <w:sz w:val="20"/>
          <w:szCs w:val="20"/>
          <w:lang w:val="es-MX"/>
        </w:rPr>
      </w:pPr>
    </w:p>
    <w:p w14:paraId="5B6B6E99" w14:textId="77777777" w:rsidR="003417D6" w:rsidRPr="00FA2765" w:rsidRDefault="003417D6" w:rsidP="003417D6">
      <w:pPr>
        <w:pStyle w:val="Prrafodelista"/>
        <w:spacing w:line="240" w:lineRule="auto"/>
        <w:ind w:right="709"/>
        <w:jc w:val="both"/>
        <w:rPr>
          <w:rFonts w:ascii="Verdana" w:hAnsi="Verdana" w:cs="Arial"/>
          <w:sz w:val="20"/>
          <w:szCs w:val="20"/>
          <w:lang w:val="es-MX"/>
        </w:rPr>
      </w:pPr>
      <w:r w:rsidRPr="00FA2765">
        <w:rPr>
          <w:rFonts w:ascii="Verdana" w:hAnsi="Verdana" w:cs="Arial"/>
          <w:sz w:val="20"/>
          <w:szCs w:val="20"/>
          <w:lang w:val="es-MX"/>
        </w:rPr>
        <w:t>La Entidad Estatal, para la contratación de trabajos artísticos que solamente puedan en</w:t>
      </w:r>
      <w:r w:rsidRPr="00FA2765">
        <w:rPr>
          <w:rFonts w:ascii="Verdana" w:hAnsi="Verdana" w:cs="Arial"/>
          <w:sz w:val="20"/>
          <w:szCs w:val="20"/>
          <w:lang w:val="es-MX"/>
        </w:rPr>
        <w:softHyphen/>
        <w:t>comendarse a determinadas personas naturales, debe justificar esta situación en los estudios y documentos previos</w:t>
      </w:r>
      <w:r w:rsidRPr="00FA2765">
        <w:rPr>
          <w:rFonts w:ascii="Verdana" w:eastAsia="Yu Gothic UI Semibold" w:hAnsi="Verdana" w:cs="Arial"/>
          <w:iCs/>
          <w:sz w:val="20"/>
          <w:szCs w:val="20"/>
          <w:lang w:eastAsia="es-MX"/>
        </w:rPr>
        <w:t>”</w:t>
      </w:r>
      <w:r w:rsidRPr="00FA2765">
        <w:rPr>
          <w:rFonts w:ascii="Verdana" w:hAnsi="Verdana" w:cs="Arial"/>
          <w:sz w:val="20"/>
          <w:szCs w:val="20"/>
          <w:lang w:val="es-MX"/>
        </w:rPr>
        <w:t>.</w:t>
      </w:r>
    </w:p>
    <w:p w14:paraId="437EBBC6" w14:textId="77777777" w:rsidR="003417D6" w:rsidRPr="00E00F9B" w:rsidRDefault="003417D6" w:rsidP="003417D6">
      <w:pPr>
        <w:pStyle w:val="Prrafodelista"/>
        <w:spacing w:line="240" w:lineRule="auto"/>
        <w:ind w:right="709"/>
        <w:jc w:val="both"/>
        <w:rPr>
          <w:rFonts w:ascii="Verdana" w:hAnsi="Verdana" w:cs="Arial"/>
          <w:sz w:val="20"/>
          <w:szCs w:val="20"/>
          <w:lang w:val="es-MX"/>
        </w:rPr>
      </w:pPr>
    </w:p>
    <w:p w14:paraId="6FF66CC0" w14:textId="77777777" w:rsidR="003417D6" w:rsidRPr="001E5CCE" w:rsidRDefault="003417D6" w:rsidP="003417D6">
      <w:pPr>
        <w:pStyle w:val="Prrafodelista"/>
        <w:numPr>
          <w:ilvl w:val="0"/>
          <w:numId w:val="27"/>
        </w:numPr>
        <w:tabs>
          <w:tab w:val="left" w:pos="0"/>
        </w:tabs>
        <w:spacing w:after="120" w:line="276" w:lineRule="auto"/>
        <w:jc w:val="both"/>
        <w:rPr>
          <w:rFonts w:ascii="Verdana" w:hAnsi="Verdana" w:cs="Arial"/>
          <w:color w:val="000000" w:themeColor="text1"/>
          <w:lang w:val="es-ES_tradnl"/>
        </w:rPr>
      </w:pPr>
      <w:r w:rsidRPr="001E5CCE">
        <w:rPr>
          <w:rFonts w:ascii="Verdana" w:hAnsi="Verdana" w:cs="Arial"/>
          <w:color w:val="000000" w:themeColor="text1"/>
          <w:lang w:val="es-ES_tradnl"/>
        </w:rPr>
        <w:t>A partir de las disposiciones citadas, así como la Sentencia de Unificación Jurisprudencial del 9 de septiembre de 2021, proferida por el Consejo de Estado</w:t>
      </w:r>
      <w:r w:rsidRPr="00E00F9B">
        <w:rPr>
          <w:bCs/>
          <w:vertAlign w:val="superscript"/>
        </w:rPr>
        <w:footnoteReference w:id="2"/>
      </w:r>
      <w:r w:rsidRPr="001E5CCE">
        <w:rPr>
          <w:rFonts w:ascii="Verdana" w:hAnsi="Verdana" w:cs="Arial"/>
          <w:color w:val="000000" w:themeColor="text1"/>
          <w:lang w:val="es-ES_tradnl"/>
        </w:rPr>
        <w:t>, es posible señalar las siguientes características del contrato de prestación de servicios</w:t>
      </w:r>
      <w:r w:rsidRPr="001E5CCE">
        <w:rPr>
          <w:rFonts w:ascii="Verdana" w:hAnsi="Verdana" w:cs="Arial"/>
          <w:noProof/>
          <w:lang w:val="es-ES_tradnl"/>
        </w:rPr>
        <w:t>:</w:t>
      </w:r>
    </w:p>
    <w:p w14:paraId="5BB6E913" w14:textId="77777777" w:rsidR="003417D6" w:rsidRPr="00674731" w:rsidRDefault="003417D6" w:rsidP="003417D6">
      <w:pPr>
        <w:tabs>
          <w:tab w:val="left" w:pos="0"/>
        </w:tabs>
        <w:spacing w:after="120" w:line="276" w:lineRule="auto"/>
        <w:jc w:val="both"/>
        <w:rPr>
          <w:rFonts w:ascii="Verdana" w:hAnsi="Verdana" w:cs="Arial"/>
          <w:noProof/>
          <w:lang w:val="es-ES_tradnl"/>
        </w:rPr>
      </w:pPr>
      <w:bookmarkStart w:id="4" w:name="_Hlk174438751"/>
      <w:r>
        <w:rPr>
          <w:rFonts w:ascii="Verdana" w:hAnsi="Verdana" w:cs="Arial"/>
          <w:noProof/>
          <w:lang w:val="es-ES_tradnl"/>
        </w:rPr>
        <w:tab/>
      </w:r>
      <w:r w:rsidRPr="00674731">
        <w:rPr>
          <w:rFonts w:ascii="Verdana" w:hAnsi="Verdana" w:cs="Arial"/>
          <w:noProof/>
          <w:lang w:val="es-ES_tradnl"/>
        </w:rPr>
        <w:t>i)Solo puede celebrarse para realizar “actividades relacionadas con la administración o funcionamiento de la entidad”, es decir, que hagan parte de su giro ordinario o quehacer cotidiano</w:t>
      </w:r>
      <w:r w:rsidRPr="00E00F9B">
        <w:rPr>
          <w:noProof/>
          <w:vertAlign w:val="superscript"/>
          <w:lang w:val="es-ES_tradnl"/>
        </w:rPr>
        <w:footnoteReference w:id="3"/>
      </w:r>
      <w:r w:rsidRPr="00674731">
        <w:rPr>
          <w:rFonts w:ascii="Verdana" w:hAnsi="Verdana" w:cs="Arial"/>
          <w:noProof/>
          <w:lang w:val="es-ES_tradnl"/>
        </w:rPr>
        <w:t>.</w:t>
      </w:r>
    </w:p>
    <w:p w14:paraId="13186A54" w14:textId="77777777" w:rsidR="003417D6" w:rsidRPr="00674731"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674731">
        <w:rPr>
          <w:rFonts w:ascii="Verdana" w:hAnsi="Verdana"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w:t>
      </w:r>
      <w:r w:rsidRPr="00674731">
        <w:rPr>
          <w:rFonts w:ascii="Verdana" w:hAnsi="Verdana" w:cs="Arial"/>
          <w:noProof/>
          <w:lang w:val="es-ES_tradnl"/>
        </w:rPr>
        <w:lastRenderedPageBreak/>
        <w:t xml:space="preserve">que las actividades “no puedan realizarse con personal de planta o requieran conocimientos especializados”. </w:t>
      </w:r>
    </w:p>
    <w:p w14:paraId="2AB3C5A0" w14:textId="77777777" w:rsidR="003417D6" w:rsidRPr="00674731"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674731">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674731">
        <w:rPr>
          <w:rFonts w:ascii="Verdana" w:hAnsi="Verdana" w:cs="Arial"/>
          <w:i/>
          <w:noProof/>
          <w:lang w:val="es-ES_tradnl"/>
        </w:rPr>
        <w:t xml:space="preserve">subordinación </w:t>
      </w:r>
      <w:r w:rsidRPr="00674731">
        <w:rPr>
          <w:rFonts w:ascii="Verdana" w:hAnsi="Verdana" w:cs="Arial"/>
          <w:iCs/>
          <w:noProof/>
          <w:lang w:val="es-ES_tradnl"/>
        </w:rPr>
        <w:t>ni</w:t>
      </w:r>
      <w:r w:rsidRPr="00674731">
        <w:rPr>
          <w:rFonts w:ascii="Verdana" w:hAnsi="Verdana" w:cs="Arial"/>
          <w:i/>
          <w:noProof/>
          <w:lang w:val="es-ES_tradnl"/>
        </w:rPr>
        <w:t xml:space="preserve"> dependencia</w:t>
      </w:r>
      <w:r w:rsidRPr="00674731">
        <w:rPr>
          <w:rFonts w:ascii="Verdana" w:hAnsi="Verdana" w:cs="Arial"/>
          <w:iCs/>
          <w:noProof/>
          <w:lang w:val="es-ES_tradnl"/>
        </w:rPr>
        <w:t>,</w:t>
      </w:r>
      <w:r w:rsidRPr="00674731">
        <w:rPr>
          <w:rFonts w:ascii="Verdana" w:hAnsi="Verdana" w:cs="Arial"/>
          <w:noProof/>
          <w:lang w:val="es-ES_tradnl"/>
        </w:rPr>
        <w:t xml:space="preserve"> que es uno de los elementos constitutivos del vínculo laboral</w:t>
      </w:r>
      <w:r w:rsidRPr="00E00F9B">
        <w:rPr>
          <w:noProof/>
          <w:vertAlign w:val="superscript"/>
          <w:lang w:val="es-ES_tradnl"/>
        </w:rPr>
        <w:footnoteReference w:id="4"/>
      </w:r>
      <w:r w:rsidRPr="00674731">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674731">
        <w:rPr>
          <w:rFonts w:ascii="Verdana" w:hAnsi="Verdana" w:cs="Arial"/>
          <w:i/>
          <w:noProof/>
          <w:lang w:val="es-ES_tradnl"/>
        </w:rPr>
        <w:t>no pueden</w:t>
      </w:r>
      <w:r w:rsidRPr="00674731">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E00F9B">
        <w:rPr>
          <w:noProof/>
          <w:vertAlign w:val="superscript"/>
          <w:lang w:val="es-ES_tradnl"/>
        </w:rPr>
        <w:footnoteReference w:id="5"/>
      </w:r>
      <w:r w:rsidRPr="00674731">
        <w:rPr>
          <w:rFonts w:ascii="Verdana" w:hAnsi="Verdana" w:cs="Arial"/>
          <w:noProof/>
          <w:lang w:val="es-ES_tradnl"/>
        </w:rPr>
        <w:t xml:space="preserve">. </w:t>
      </w:r>
    </w:p>
    <w:p w14:paraId="4DB14BF0" w14:textId="77777777" w:rsidR="003417D6" w:rsidRPr="00674731"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674731">
        <w:rPr>
          <w:rFonts w:ascii="Verdana" w:hAnsi="Verdana" w:cs="Arial"/>
          <w:noProof/>
          <w:lang w:val="es-ES_tradnl"/>
        </w:rPr>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25BB1499" w14:textId="77777777" w:rsidR="003417D6" w:rsidRPr="001E5CCE" w:rsidRDefault="003417D6" w:rsidP="003417D6">
      <w:pPr>
        <w:pStyle w:val="Prrafodelista"/>
        <w:numPr>
          <w:ilvl w:val="0"/>
          <w:numId w:val="26"/>
        </w:numPr>
        <w:tabs>
          <w:tab w:val="left" w:pos="0"/>
        </w:tabs>
        <w:spacing w:after="120" w:line="276" w:lineRule="auto"/>
        <w:jc w:val="both"/>
        <w:rPr>
          <w:rFonts w:ascii="Verdana" w:hAnsi="Verdana" w:cs="Arial"/>
          <w:noProof/>
          <w:lang w:val="es-ES_tradnl"/>
        </w:rPr>
      </w:pPr>
      <w:r w:rsidRPr="001E5CCE">
        <w:rPr>
          <w:rFonts w:ascii="Verdana" w:hAnsi="Verdana" w:cs="Arial"/>
          <w:lang w:val="es-MX"/>
        </w:rPr>
        <w:t xml:space="preserve">De igual manera, señaló que “no cabe su empleo para la cobertura indefinida de necesidades permanentes o recurrentes”. </w:t>
      </w:r>
      <w:r w:rsidRPr="001E5CCE">
        <w:rPr>
          <w:rFonts w:ascii="Verdana" w:hAnsi="Verdana" w:cs="Arial"/>
          <w:noProof/>
          <w:lang w:val="es-ES_tradnl"/>
        </w:rPr>
        <w:t xml:space="preserve">En sentido similar </w:t>
      </w:r>
      <w:r w:rsidRPr="001E5CCE">
        <w:rPr>
          <w:rFonts w:ascii="Verdana" w:hAnsi="Verdana" w:cs="Arial"/>
          <w:noProof/>
          <w:lang w:val="es-ES_tradnl"/>
        </w:rPr>
        <w:lastRenderedPageBreak/>
        <w:t>se manifestó la Corte Constitucional en la sentencia C-154 de 1997, expresando que:</w:t>
      </w:r>
    </w:p>
    <w:p w14:paraId="15120654" w14:textId="77777777" w:rsidR="003417D6" w:rsidRPr="00F71F4D" w:rsidRDefault="003417D6" w:rsidP="003417D6">
      <w:pPr>
        <w:pStyle w:val="Prrafodelista"/>
        <w:tabs>
          <w:tab w:val="left" w:pos="0"/>
        </w:tabs>
        <w:spacing w:after="0" w:line="276" w:lineRule="auto"/>
        <w:ind w:right="709"/>
        <w:jc w:val="both"/>
        <w:rPr>
          <w:rFonts w:ascii="Verdana" w:hAnsi="Verdana" w:cs="Arial"/>
          <w:noProof/>
          <w:sz w:val="20"/>
          <w:szCs w:val="20"/>
          <w:lang w:val="es-ES_tradnl"/>
        </w:rPr>
      </w:pPr>
      <w:r w:rsidRPr="00F71F4D">
        <w:rPr>
          <w:rFonts w:ascii="Verdana" w:eastAsia="Yu Gothic UI Semibold" w:hAnsi="Verdana" w:cs="Arial"/>
          <w:iCs/>
          <w:sz w:val="20"/>
          <w:szCs w:val="20"/>
          <w:lang w:eastAsia="es-MX"/>
        </w:rPr>
        <w:t>“</w:t>
      </w:r>
      <w:r w:rsidRPr="00F71F4D">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E00F9B">
        <w:rPr>
          <w:noProof/>
          <w:vertAlign w:val="superscript"/>
          <w:lang w:val="es-ES_tradnl"/>
        </w:rPr>
        <w:footnoteReference w:id="6"/>
      </w:r>
      <w:r w:rsidRPr="00F71F4D">
        <w:rPr>
          <w:rFonts w:ascii="Verdana" w:hAnsi="Verdana" w:cs="Arial"/>
          <w:noProof/>
          <w:sz w:val="20"/>
          <w:szCs w:val="20"/>
          <w:lang w:val="es-ES_tradnl"/>
        </w:rPr>
        <w:t>.</w:t>
      </w:r>
    </w:p>
    <w:p w14:paraId="6F8988B3" w14:textId="77777777" w:rsidR="003417D6" w:rsidRPr="00E00F9B" w:rsidRDefault="003417D6" w:rsidP="003417D6">
      <w:pPr>
        <w:pStyle w:val="Prrafodelista"/>
        <w:tabs>
          <w:tab w:val="left" w:pos="0"/>
        </w:tabs>
        <w:spacing w:after="0" w:line="276" w:lineRule="auto"/>
        <w:jc w:val="both"/>
        <w:rPr>
          <w:rFonts w:ascii="Verdana" w:hAnsi="Verdana" w:cs="Arial"/>
          <w:noProof/>
          <w:lang w:val="es-ES_tradnl"/>
        </w:rPr>
      </w:pPr>
    </w:p>
    <w:p w14:paraId="0A4E201C" w14:textId="77777777" w:rsidR="003417D6" w:rsidRPr="00382A18" w:rsidRDefault="003417D6" w:rsidP="003417D6">
      <w:pPr>
        <w:tabs>
          <w:tab w:val="left" w:pos="0"/>
        </w:tabs>
        <w:spacing w:after="120" w:line="276" w:lineRule="auto"/>
        <w:jc w:val="both"/>
        <w:rPr>
          <w:rFonts w:ascii="Verdana" w:eastAsia="Calibri" w:hAnsi="Verdana" w:cs="Arial"/>
          <w:color w:val="000000" w:themeColor="text1"/>
          <w:lang w:val="es-ES_tradnl"/>
        </w:rPr>
      </w:pPr>
      <w:r>
        <w:rPr>
          <w:rFonts w:ascii="Verdana" w:hAnsi="Verdana" w:cs="Arial"/>
          <w:noProof/>
          <w:lang w:val="es-ES_tradnl"/>
        </w:rPr>
        <w:tab/>
      </w:r>
      <w:r w:rsidRPr="00382A18">
        <w:rPr>
          <w:rFonts w:ascii="Verdana" w:hAnsi="Verdana"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E00F9B">
        <w:rPr>
          <w:noProof/>
          <w:vertAlign w:val="superscript"/>
          <w:lang w:val="es-ES_tradnl"/>
        </w:rPr>
        <w:footnoteReference w:id="7"/>
      </w:r>
      <w:r w:rsidRPr="00382A18">
        <w:rPr>
          <w:rFonts w:ascii="Verdana" w:hAnsi="Verdana" w:cs="Arial"/>
          <w:noProof/>
          <w:lang w:val="es-ES_tradnl"/>
        </w:rPr>
        <w:t>. Esto también se deriva d</w:t>
      </w:r>
      <w:r w:rsidRPr="00382A18">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723286FE" w14:textId="77777777" w:rsidR="003417D6" w:rsidRPr="00976412"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976412">
        <w:rPr>
          <w:rFonts w:ascii="Verdana" w:hAnsi="Verdana" w:cs="Arial"/>
          <w:noProof/>
          <w:lang w:val="es-ES_tradnl"/>
        </w:rPr>
        <w:t>vi) Para su celebración no se requiere expedir un acto administrativo de justificación de la contratación directa</w:t>
      </w:r>
      <w:r w:rsidRPr="00E00F9B">
        <w:rPr>
          <w:noProof/>
          <w:vertAlign w:val="superscript"/>
          <w:lang w:val="es-ES_tradnl"/>
        </w:rPr>
        <w:footnoteReference w:id="8"/>
      </w:r>
      <w:r w:rsidRPr="00976412">
        <w:rPr>
          <w:rFonts w:ascii="Verdana" w:hAnsi="Verdana" w:cs="Arial"/>
          <w:noProof/>
          <w:lang w:val="es-ES_tradnl"/>
        </w:rPr>
        <w:t>.</w:t>
      </w:r>
    </w:p>
    <w:p w14:paraId="1771C0A7" w14:textId="77777777" w:rsidR="003417D6" w:rsidRPr="00976412"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976412">
        <w:rPr>
          <w:rFonts w:ascii="Verdana" w:hAnsi="Verdana" w:cs="Arial"/>
          <w:noProof/>
          <w:lang w:val="es-ES_tradnl"/>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w:t>
      </w:r>
      <w:r w:rsidRPr="00976412">
        <w:rPr>
          <w:rFonts w:ascii="Verdana" w:hAnsi="Verdana" w:cs="Arial"/>
          <w:noProof/>
          <w:lang w:val="es-ES_tradnl"/>
        </w:rPr>
        <w:lastRenderedPageBreak/>
        <w:t>expresamente, porque no se entienden pactadas como cláusula de la naturaleza. Así se infiere del artículo 14, numeral 2º, de la Ley 80 de 1993</w:t>
      </w:r>
      <w:r w:rsidRPr="0073660F">
        <w:rPr>
          <w:noProof/>
          <w:vertAlign w:val="superscript"/>
          <w:lang w:val="es-ES_tradnl"/>
        </w:rPr>
        <w:footnoteReference w:id="9"/>
      </w:r>
      <w:r w:rsidRPr="00976412">
        <w:rPr>
          <w:rFonts w:ascii="Verdana" w:hAnsi="Verdana" w:cs="Arial"/>
          <w:noProof/>
          <w:lang w:val="es-ES_tradnl"/>
        </w:rPr>
        <w:t>.</w:t>
      </w:r>
    </w:p>
    <w:p w14:paraId="01F87C3F" w14:textId="77777777" w:rsidR="003417D6" w:rsidRPr="00A001CF" w:rsidRDefault="003417D6" w:rsidP="003417D6">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A001CF">
        <w:rPr>
          <w:rFonts w:ascii="Verdana" w:hAnsi="Verdana" w:cs="Arial"/>
          <w:noProof/>
          <w:lang w:val="es-ES_tradnl"/>
        </w:rPr>
        <w:t>viii) No es obligatoria la liquidación de estos contratos, como lo establece el artículo 217 del Decreto 019 de 2012, que modificó el artículo 60 de la Ley 80 de 1993</w:t>
      </w:r>
      <w:r w:rsidRPr="00E00F9B">
        <w:rPr>
          <w:noProof/>
          <w:vertAlign w:val="superscript"/>
          <w:lang w:val="es-ES_tradnl"/>
        </w:rPr>
        <w:footnoteReference w:id="10"/>
      </w:r>
      <w:r w:rsidRPr="00A001CF">
        <w:rPr>
          <w:rFonts w:ascii="Verdana" w:hAnsi="Verdana" w:cs="Arial"/>
          <w:noProof/>
          <w:lang w:val="es-ES_tradnl"/>
        </w:rPr>
        <w:t>.</w:t>
      </w:r>
    </w:p>
    <w:p w14:paraId="34C32B7E" w14:textId="77777777" w:rsidR="003417D6" w:rsidRPr="00A001CF" w:rsidRDefault="003417D6" w:rsidP="003417D6">
      <w:pPr>
        <w:tabs>
          <w:tab w:val="left" w:pos="0"/>
        </w:tabs>
        <w:spacing w:after="120" w:line="276" w:lineRule="auto"/>
        <w:jc w:val="both"/>
        <w:rPr>
          <w:rFonts w:ascii="Verdana" w:hAnsi="Verdana" w:cs="Arial"/>
          <w:noProof/>
          <w:lang w:val="es-ES_tradnl"/>
        </w:rPr>
      </w:pPr>
      <w:r>
        <w:rPr>
          <w:rFonts w:ascii="Verdana" w:hAnsi="Verdana" w:cs="Arial"/>
          <w:noProof/>
          <w:lang w:val="es-ES_tradnl"/>
        </w:rPr>
        <w:tab/>
      </w:r>
      <w:r w:rsidRPr="00A001CF">
        <w:rPr>
          <w:rFonts w:ascii="Verdana" w:hAnsi="Verdana" w:cs="Arial"/>
          <w:noProof/>
          <w:lang w:val="es-ES_tradnl"/>
        </w:rPr>
        <w:t>ix) Para su celebración el contratista no requiere estar inscrito en el Registro Único de Proponentes –en adelante RUP–, como lo señala el artículo 6 de la Ley 1150 de 2007</w:t>
      </w:r>
      <w:r w:rsidRPr="00E00F9B">
        <w:rPr>
          <w:noProof/>
          <w:vertAlign w:val="superscript"/>
          <w:lang w:val="es-ES_tradnl"/>
        </w:rPr>
        <w:footnoteReference w:id="11"/>
      </w:r>
      <w:r w:rsidRPr="00A001CF">
        <w:rPr>
          <w:rFonts w:ascii="Verdana" w:hAnsi="Verdana" w:cs="Arial"/>
          <w:noProof/>
          <w:lang w:val="es-ES_tradnl"/>
        </w:rPr>
        <w:t>.</w:t>
      </w:r>
      <w:bookmarkEnd w:id="4"/>
    </w:p>
    <w:p w14:paraId="3E6859DE" w14:textId="77777777" w:rsidR="003417D6" w:rsidRPr="001E5CCE" w:rsidRDefault="003417D6" w:rsidP="003417D6">
      <w:pPr>
        <w:pStyle w:val="Prrafodelista"/>
        <w:numPr>
          <w:ilvl w:val="0"/>
          <w:numId w:val="25"/>
        </w:numPr>
        <w:spacing w:after="120" w:line="276" w:lineRule="auto"/>
        <w:jc w:val="both"/>
        <w:rPr>
          <w:rFonts w:ascii="Verdana" w:hAnsi="Verdana" w:cs="Arial"/>
          <w:lang w:eastAsia="es-ES_tradnl"/>
        </w:rPr>
      </w:pPr>
      <w:r w:rsidRPr="001E5CCE">
        <w:rPr>
          <w:rFonts w:ascii="Verdana" w:eastAsia="Calibri" w:hAnsi="Verdana" w:cs="Arial"/>
        </w:rPr>
        <w:t>Ahora bien, l</w:t>
      </w:r>
      <w:r w:rsidRPr="001E5CCE">
        <w:rPr>
          <w:rFonts w:ascii="Verdana" w:hAnsi="Verdana" w:cs="Arial"/>
          <w:lang w:eastAsia="es-ES_tradnl"/>
        </w:rPr>
        <w:t>a Ley 80 de 1993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73660F">
        <w:rPr>
          <w:rStyle w:val="Refdenotaalpie"/>
          <w:rFonts w:ascii="Verdana" w:hAnsi="Verdana" w:cs="Arial"/>
          <w:lang w:eastAsia="es-ES_tradnl"/>
        </w:rPr>
        <w:footnoteReference w:id="12"/>
      </w:r>
      <w:r w:rsidRPr="001E5CCE">
        <w:rPr>
          <w:rFonts w:ascii="Verdana" w:hAnsi="Verdana" w:cs="Arial"/>
          <w:lang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73660F">
        <w:rPr>
          <w:rStyle w:val="Refdenotaalpie"/>
          <w:rFonts w:ascii="Verdana" w:hAnsi="Verdana" w:cs="Arial"/>
          <w:lang w:eastAsia="es-ES_tradnl"/>
        </w:rPr>
        <w:footnoteReference w:id="13"/>
      </w:r>
      <w:r w:rsidRPr="001E5CCE">
        <w:rPr>
          <w:rFonts w:ascii="Verdana" w:hAnsi="Verdana" w:cs="Arial"/>
          <w:lang w:eastAsia="es-ES_tradnl"/>
        </w:rPr>
        <w:t>.</w:t>
      </w:r>
    </w:p>
    <w:p w14:paraId="444C6301" w14:textId="77777777" w:rsidR="003417D6" w:rsidRPr="00FA2765" w:rsidRDefault="003417D6" w:rsidP="003417D6">
      <w:pPr>
        <w:pStyle w:val="Prrafodelista"/>
        <w:numPr>
          <w:ilvl w:val="0"/>
          <w:numId w:val="25"/>
        </w:numPr>
        <w:spacing w:after="120" w:line="276" w:lineRule="auto"/>
        <w:jc w:val="both"/>
        <w:rPr>
          <w:rFonts w:ascii="Verdana" w:eastAsia="Calibri" w:hAnsi="Verdana" w:cs="Arial"/>
        </w:rPr>
      </w:pPr>
      <w:r w:rsidRPr="001E5CCE">
        <w:rPr>
          <w:rFonts w:ascii="Verdana" w:eastAsia="Calibri" w:hAnsi="Verdana" w:cs="Arial"/>
        </w:rPr>
        <w:t xml:space="preserve">En ese sentido, si bien los contratos de prestación de servicios se caracterizan por la independencia técnica y la autonomía del contratista para el desarrollo de las actividades a su cargo, nada obsta para que, en este tipo de negocios jurídicos, en ejercicio en ejercicio de la autonomía de la voluntad a la que se refieren los artículos 32 y 40 de la Ley 80 de 1993, las partes contemplen el suministro de bienes con carácter </w:t>
      </w:r>
      <w:r w:rsidRPr="001E5CCE">
        <w:rPr>
          <w:rFonts w:ascii="Verdana" w:eastAsia="Calibri" w:hAnsi="Verdana" w:cs="Arial"/>
        </w:rPr>
        <w:lastRenderedPageBreak/>
        <w:t xml:space="preserve">devolutivo que se requieran para la ejecución del contrato. En todo caso, las condiciones y el procedimiento para la devolución de estos bienes será el que establezcan las partes en el clausulado del contrato, o la entidad estatal contratante los actos administrativos que expida en el marco de sus competencias. </w:t>
      </w:r>
    </w:p>
    <w:p w14:paraId="417EF089" w14:textId="77777777" w:rsidR="003417D6" w:rsidRPr="00FA2765" w:rsidRDefault="003417D6" w:rsidP="003417D6">
      <w:pPr>
        <w:pStyle w:val="Prrafodelista"/>
        <w:numPr>
          <w:ilvl w:val="0"/>
          <w:numId w:val="25"/>
        </w:numPr>
        <w:spacing w:after="120" w:line="276" w:lineRule="auto"/>
        <w:jc w:val="both"/>
        <w:rPr>
          <w:rFonts w:ascii="Verdana" w:eastAsia="Calibri" w:hAnsi="Verdana" w:cs="Arial"/>
        </w:rPr>
      </w:pPr>
      <w:r w:rsidRPr="00FA2765">
        <w:rPr>
          <w:rFonts w:ascii="Verdana" w:eastAsia="Calibri" w:hAnsi="Verdana" w:cs="Arial"/>
        </w:rPr>
        <w:t>De acuerdo con lo expuesto anteriormente sobre el contrato estatal, se concluye que será la entidad estatal la encargada de definir, en el estudio previo, las obligaciones del contratante. En este contexto, se determinará si es necesario identificar o individualizar al contratista para facilitar su acceso a los insumos requeridos para el cumplimiento de dichas obligaciones, como se detalla a continuación.</w:t>
      </w:r>
    </w:p>
    <w:p w14:paraId="3DDE8313" w14:textId="77777777" w:rsidR="003417D6" w:rsidRDefault="003417D6" w:rsidP="003417D6">
      <w:pPr>
        <w:numPr>
          <w:ilvl w:val="0"/>
          <w:numId w:val="23"/>
        </w:numPr>
        <w:spacing w:after="120" w:line="276" w:lineRule="auto"/>
        <w:jc w:val="both"/>
        <w:rPr>
          <w:rFonts w:ascii="Verdana" w:hAnsi="Verdana"/>
          <w:lang w:val="es-MX"/>
        </w:rPr>
      </w:pPr>
      <w:r w:rsidRPr="00515510">
        <w:rPr>
          <w:rFonts w:ascii="Verdana" w:hAnsi="Verdana"/>
          <w:lang w:val="es-MX"/>
        </w:rPr>
        <w:t xml:space="preserve">El </w:t>
      </w:r>
      <w:proofErr w:type="gramStart"/>
      <w:r w:rsidRPr="00515510">
        <w:rPr>
          <w:rFonts w:ascii="Verdana" w:hAnsi="Verdana"/>
          <w:lang w:val="es-MX"/>
        </w:rPr>
        <w:t>carnet</w:t>
      </w:r>
      <w:proofErr w:type="gramEnd"/>
      <w:r w:rsidRPr="00515510">
        <w:rPr>
          <w:rFonts w:ascii="Verdana" w:hAnsi="Verdana"/>
          <w:lang w:val="es-MX"/>
        </w:rPr>
        <w:t xml:space="preserve"> institucional constituye el instrumento de identificación del contratista frente a la entidad y en representación de la misma, y la entidad deberá indicar </w:t>
      </w:r>
      <w:r>
        <w:rPr>
          <w:rFonts w:ascii="Verdana" w:hAnsi="Verdana"/>
          <w:lang w:val="es-MX"/>
        </w:rPr>
        <w:t>su aplicación conforme a los protocolos de la misma</w:t>
      </w:r>
      <w:r w:rsidRPr="00515510">
        <w:rPr>
          <w:rFonts w:ascii="Verdana" w:hAnsi="Verdana"/>
          <w:lang w:val="es-MX"/>
        </w:rPr>
        <w:t xml:space="preserve">. De igual manera en los documentos de planeación de la </w:t>
      </w:r>
      <w:proofErr w:type="gramStart"/>
      <w:r w:rsidRPr="00515510">
        <w:rPr>
          <w:rFonts w:ascii="Verdana" w:hAnsi="Verdana"/>
          <w:lang w:val="es-MX"/>
        </w:rPr>
        <w:t>entidad  deberá</w:t>
      </w:r>
      <w:proofErr w:type="gramEnd"/>
      <w:r w:rsidRPr="00515510">
        <w:rPr>
          <w:rFonts w:ascii="Verdana" w:hAnsi="Verdana"/>
          <w:lang w:val="es-MX"/>
        </w:rPr>
        <w:t xml:space="preserve"> indicarse como es el uso del carnet para los contratistas.</w:t>
      </w:r>
      <w:r>
        <w:rPr>
          <w:rFonts w:ascii="Verdana" w:hAnsi="Verdana"/>
          <w:lang w:val="es-MX"/>
        </w:rPr>
        <w:t xml:space="preserve"> </w:t>
      </w:r>
    </w:p>
    <w:p w14:paraId="1C57386F" w14:textId="77777777" w:rsidR="003417D6" w:rsidRDefault="003417D6" w:rsidP="003417D6">
      <w:pPr>
        <w:spacing w:after="120" w:line="276" w:lineRule="auto"/>
        <w:ind w:left="720"/>
        <w:jc w:val="both"/>
        <w:rPr>
          <w:rFonts w:ascii="Verdana" w:hAnsi="Verdana"/>
          <w:lang w:val="es-MX"/>
        </w:rPr>
      </w:pPr>
      <w:r w:rsidRPr="00515510">
        <w:rPr>
          <w:rFonts w:ascii="Verdana" w:hAnsi="Verdana"/>
          <w:lang w:val="es-MX"/>
        </w:rPr>
        <w:t xml:space="preserve">Cabe advertir que hoy día el </w:t>
      </w:r>
      <w:proofErr w:type="gramStart"/>
      <w:r w:rsidRPr="00515510">
        <w:rPr>
          <w:rFonts w:ascii="Verdana" w:hAnsi="Verdana"/>
          <w:lang w:val="es-MX"/>
        </w:rPr>
        <w:t>carnet</w:t>
      </w:r>
      <w:proofErr w:type="gramEnd"/>
      <w:r w:rsidRPr="00515510">
        <w:rPr>
          <w:rFonts w:ascii="Verdana" w:hAnsi="Verdana"/>
          <w:lang w:val="es-MX"/>
        </w:rPr>
        <w:t xml:space="preserve"> puede ser </w:t>
      </w:r>
      <w:r w:rsidRPr="001E5CCE">
        <w:rPr>
          <w:rFonts w:ascii="Verdana" w:hAnsi="Verdana"/>
          <w:lang w:val="es-MX"/>
        </w:rPr>
        <w:t>biométrico</w:t>
      </w:r>
      <w:r w:rsidRPr="00515510">
        <w:rPr>
          <w:rFonts w:ascii="Verdana" w:hAnsi="Verdana"/>
          <w:lang w:val="es-MX"/>
        </w:rPr>
        <w:t xml:space="preserve"> (Huellas, ojos, rostro), puesto que el acceso a las instalaciones, información y uso de los elementos basta con el dar el consentimiento del mis</w:t>
      </w:r>
      <w:r>
        <w:rPr>
          <w:rFonts w:ascii="Verdana" w:hAnsi="Verdana"/>
          <w:lang w:val="es-MX"/>
        </w:rPr>
        <w:t>m</w:t>
      </w:r>
      <w:r w:rsidRPr="00515510">
        <w:rPr>
          <w:rFonts w:ascii="Verdana" w:hAnsi="Verdana"/>
          <w:lang w:val="es-MX"/>
        </w:rPr>
        <w:t>o</w:t>
      </w:r>
      <w:r>
        <w:rPr>
          <w:rFonts w:ascii="Verdana" w:hAnsi="Verdana"/>
          <w:lang w:val="es-MX"/>
        </w:rPr>
        <w:t>.</w:t>
      </w:r>
      <w:r w:rsidRPr="00515510">
        <w:rPr>
          <w:rFonts w:ascii="Verdana" w:hAnsi="Verdana"/>
          <w:lang w:val="es-MX"/>
        </w:rPr>
        <w:t xml:space="preserve"> </w:t>
      </w:r>
      <w:r>
        <w:rPr>
          <w:rFonts w:ascii="Verdana" w:hAnsi="Verdana"/>
          <w:lang w:val="es-MX"/>
        </w:rPr>
        <w:t>E</w:t>
      </w:r>
      <w:r w:rsidRPr="00515510">
        <w:rPr>
          <w:rFonts w:ascii="Verdana" w:hAnsi="Verdana"/>
          <w:lang w:val="es-MX"/>
        </w:rPr>
        <w:t>n ese caso</w:t>
      </w:r>
      <w:r>
        <w:rPr>
          <w:rFonts w:ascii="Verdana" w:hAnsi="Verdana"/>
          <w:lang w:val="es-MX"/>
        </w:rPr>
        <w:t>,</w:t>
      </w:r>
      <w:r w:rsidRPr="00515510">
        <w:rPr>
          <w:rFonts w:ascii="Verdana" w:hAnsi="Verdana"/>
          <w:lang w:val="es-MX"/>
        </w:rPr>
        <w:t xml:space="preserve"> cada entidad estatal deberá indicarlo en los documentos misionales y </w:t>
      </w:r>
      <w:r w:rsidRPr="001E5CCE">
        <w:rPr>
          <w:rFonts w:ascii="Verdana" w:hAnsi="Verdana"/>
          <w:lang w:val="es-MX"/>
        </w:rPr>
        <w:t>precontractual</w:t>
      </w:r>
      <w:r>
        <w:rPr>
          <w:rFonts w:ascii="Verdana" w:hAnsi="Verdana"/>
          <w:lang w:val="es-MX"/>
        </w:rPr>
        <w:t>es</w:t>
      </w:r>
      <w:r w:rsidRPr="00515510">
        <w:rPr>
          <w:rFonts w:ascii="Verdana" w:hAnsi="Verdana"/>
          <w:lang w:val="es-MX"/>
        </w:rPr>
        <w:t xml:space="preserve">. </w:t>
      </w:r>
    </w:p>
    <w:p w14:paraId="591CCD91" w14:textId="77777777" w:rsidR="003417D6" w:rsidRDefault="003417D6" w:rsidP="003417D6">
      <w:pPr>
        <w:spacing w:after="120" w:line="276" w:lineRule="auto"/>
        <w:ind w:left="720"/>
        <w:jc w:val="both"/>
        <w:rPr>
          <w:rFonts w:ascii="Verdana" w:hAnsi="Verdana"/>
          <w:i/>
          <w:iCs/>
          <w:sz w:val="20"/>
          <w:szCs w:val="20"/>
        </w:rPr>
      </w:pPr>
      <w:proofErr w:type="spellStart"/>
      <w:r>
        <w:rPr>
          <w:rFonts w:ascii="Verdana" w:hAnsi="Verdana"/>
          <w:lang w:val="es-MX"/>
        </w:rPr>
        <w:t>Asi</w:t>
      </w:r>
      <w:proofErr w:type="spellEnd"/>
      <w:r>
        <w:rPr>
          <w:rFonts w:ascii="Verdana" w:hAnsi="Verdana"/>
          <w:lang w:val="es-MX"/>
        </w:rPr>
        <w:t xml:space="preserve"> mismo, vale la pena señalar que, en</w:t>
      </w:r>
      <w:r>
        <w:rPr>
          <w:rFonts w:ascii="Verdana" w:hAnsi="Verdana"/>
        </w:rPr>
        <w:t xml:space="preserve"> </w:t>
      </w:r>
      <w:r w:rsidRPr="00EA0DBB">
        <w:rPr>
          <w:rFonts w:ascii="Verdana" w:hAnsi="Verdana"/>
        </w:rPr>
        <w:t xml:space="preserve">concepto 271721 de 2022 </w:t>
      </w:r>
      <w:r>
        <w:rPr>
          <w:rFonts w:ascii="Verdana" w:hAnsi="Verdana"/>
        </w:rPr>
        <w:t xml:space="preserve">del </w:t>
      </w:r>
      <w:r w:rsidRPr="00EA0DBB">
        <w:rPr>
          <w:rFonts w:ascii="Verdana" w:hAnsi="Verdana"/>
        </w:rPr>
        <w:t xml:space="preserve">Departamento Administrativo de la Función Pública </w:t>
      </w:r>
      <w:r>
        <w:rPr>
          <w:rFonts w:ascii="Verdana" w:hAnsi="Verdana"/>
        </w:rPr>
        <w:t xml:space="preserve">se señaló </w:t>
      </w:r>
      <w:proofErr w:type="gramStart"/>
      <w:r>
        <w:rPr>
          <w:rFonts w:ascii="Verdana" w:hAnsi="Verdana"/>
        </w:rPr>
        <w:t xml:space="preserve">que </w:t>
      </w:r>
      <w:r w:rsidRPr="00EA0DBB">
        <w:rPr>
          <w:rFonts w:ascii="Verdana" w:hAnsi="Verdana"/>
          <w:i/>
          <w:iCs/>
          <w:sz w:val="20"/>
          <w:szCs w:val="20"/>
        </w:rPr>
        <w:t>”de</w:t>
      </w:r>
      <w:proofErr w:type="gramEnd"/>
      <w:r w:rsidRPr="00EA0DBB">
        <w:rPr>
          <w:rFonts w:ascii="Verdana" w:hAnsi="Verdana"/>
          <w:i/>
          <w:iCs/>
          <w:sz w:val="20"/>
          <w:szCs w:val="20"/>
        </w:rPr>
        <w:t xml:space="preserve"> la normativa vigente y aplicable, no existe disposición alguna que ordene a las entidades públicas a realizar entrega de carné institucional a sus funcionarios, o que establezca la información específica que debe contener este, en caso de que la entidad hiciera entrega del mismo. Por lo cual se sugiere revisar el reglamento, manual específico de funciones, acto administrativo o instrumento que cada entidad, en ejercicio de su autonomía administrativa, haya dispuesto para regular el tema de identificación de sus servidores públicos”.</w:t>
      </w:r>
    </w:p>
    <w:p w14:paraId="41072C50" w14:textId="77777777" w:rsidR="003417D6" w:rsidRPr="00515510" w:rsidRDefault="003417D6" w:rsidP="003417D6">
      <w:pPr>
        <w:spacing w:after="120" w:line="276" w:lineRule="auto"/>
        <w:ind w:left="720"/>
        <w:jc w:val="both"/>
        <w:rPr>
          <w:rFonts w:ascii="Verdana" w:hAnsi="Verdana"/>
          <w:lang w:val="es-MX"/>
        </w:rPr>
      </w:pPr>
    </w:p>
    <w:p w14:paraId="4B3BBD79" w14:textId="77777777" w:rsidR="003417D6" w:rsidRDefault="003417D6" w:rsidP="003417D6">
      <w:pPr>
        <w:numPr>
          <w:ilvl w:val="0"/>
          <w:numId w:val="23"/>
        </w:numPr>
        <w:spacing w:after="120" w:line="276" w:lineRule="auto"/>
        <w:jc w:val="both"/>
        <w:rPr>
          <w:rFonts w:ascii="Verdana" w:hAnsi="Verdana"/>
          <w:lang w:val="es-MX"/>
        </w:rPr>
      </w:pPr>
      <w:r w:rsidRPr="00515510">
        <w:rPr>
          <w:rFonts w:ascii="Verdana" w:hAnsi="Verdana"/>
          <w:lang w:val="es-MX"/>
        </w:rPr>
        <w:t xml:space="preserve">La exigencia de logos institucionales, distintivos por parte del contratista se debe clasificar: </w:t>
      </w:r>
    </w:p>
    <w:p w14:paraId="4DE09E94" w14:textId="77777777" w:rsidR="003417D6" w:rsidRDefault="003417D6" w:rsidP="003417D6">
      <w:pPr>
        <w:pStyle w:val="Prrafodelista"/>
        <w:numPr>
          <w:ilvl w:val="0"/>
          <w:numId w:val="24"/>
        </w:numPr>
        <w:spacing w:after="120" w:line="276" w:lineRule="auto"/>
        <w:jc w:val="both"/>
        <w:rPr>
          <w:rFonts w:ascii="Verdana" w:hAnsi="Verdana"/>
          <w:lang w:val="es-MX"/>
        </w:rPr>
      </w:pPr>
      <w:r w:rsidRPr="001E5CCE">
        <w:rPr>
          <w:rFonts w:ascii="Verdana" w:hAnsi="Verdana"/>
          <w:lang w:val="es-MX"/>
        </w:rPr>
        <w:t xml:space="preserve">En relación con los logos, símbolos, y demás unificación de plantillas </w:t>
      </w:r>
      <w:proofErr w:type="gramStart"/>
      <w:r w:rsidRPr="001E5CCE">
        <w:rPr>
          <w:rFonts w:ascii="Verdana" w:hAnsi="Verdana"/>
          <w:lang w:val="es-MX"/>
        </w:rPr>
        <w:t>de acuerdo al</w:t>
      </w:r>
      <w:proofErr w:type="gramEnd"/>
      <w:r w:rsidRPr="001E5CCE">
        <w:rPr>
          <w:rFonts w:ascii="Verdana" w:hAnsi="Verdana"/>
          <w:lang w:val="es-MX"/>
        </w:rPr>
        <w:t xml:space="preserve"> gestor documental</w:t>
      </w:r>
      <w:r>
        <w:rPr>
          <w:rFonts w:ascii="Verdana" w:hAnsi="Verdana"/>
          <w:lang w:val="es-MX"/>
        </w:rPr>
        <w:t>,</w:t>
      </w:r>
      <w:r w:rsidRPr="001E5CCE">
        <w:rPr>
          <w:rFonts w:ascii="Verdana" w:hAnsi="Verdana"/>
          <w:lang w:val="es-MX"/>
        </w:rPr>
        <w:t xml:space="preserve"> el contratista está obligado a seguir </w:t>
      </w:r>
      <w:r w:rsidRPr="001E5CCE">
        <w:rPr>
          <w:rFonts w:ascii="Verdana" w:hAnsi="Verdana"/>
          <w:lang w:val="es-MX"/>
        </w:rPr>
        <w:lastRenderedPageBreak/>
        <w:t xml:space="preserve">los dispuestos por la entidad contratante o entregados para adelantar sus obligaciones. </w:t>
      </w:r>
    </w:p>
    <w:p w14:paraId="3D306284" w14:textId="77777777" w:rsidR="003417D6" w:rsidRDefault="003417D6" w:rsidP="003417D6">
      <w:pPr>
        <w:pStyle w:val="Prrafodelista"/>
        <w:numPr>
          <w:ilvl w:val="0"/>
          <w:numId w:val="24"/>
        </w:numPr>
        <w:spacing w:after="120" w:line="276" w:lineRule="auto"/>
        <w:jc w:val="both"/>
        <w:rPr>
          <w:rFonts w:ascii="Verdana" w:hAnsi="Verdana"/>
          <w:lang w:val="es-MX"/>
        </w:rPr>
      </w:pPr>
      <w:r w:rsidRPr="00974F97">
        <w:rPr>
          <w:rFonts w:ascii="Verdana" w:hAnsi="Verdana"/>
          <w:lang w:val="es-MX"/>
        </w:rPr>
        <w:t xml:space="preserve">Frente a </w:t>
      </w:r>
      <w:r>
        <w:rPr>
          <w:rFonts w:ascii="Verdana" w:hAnsi="Verdana"/>
          <w:lang w:val="es-MX"/>
        </w:rPr>
        <w:t>la entrega</w:t>
      </w:r>
      <w:r w:rsidRPr="00974F97">
        <w:rPr>
          <w:rFonts w:ascii="Verdana" w:hAnsi="Verdana"/>
          <w:lang w:val="es-MX"/>
        </w:rPr>
        <w:t xml:space="preserve"> de </w:t>
      </w:r>
      <w:r>
        <w:rPr>
          <w:rFonts w:ascii="Verdana" w:hAnsi="Verdana"/>
          <w:lang w:val="es-MX"/>
        </w:rPr>
        <w:t xml:space="preserve">prendas de vestir con logos </w:t>
      </w:r>
      <w:r w:rsidRPr="00974F97">
        <w:rPr>
          <w:rFonts w:ascii="Verdana" w:hAnsi="Verdana"/>
          <w:lang w:val="es-MX"/>
        </w:rPr>
        <w:t>institucionales</w:t>
      </w:r>
      <w:r>
        <w:rPr>
          <w:rFonts w:ascii="Verdana" w:hAnsi="Verdana"/>
          <w:lang w:val="es-MX"/>
        </w:rPr>
        <w:t xml:space="preserve"> por parte del contratante al contratista</w:t>
      </w:r>
      <w:r w:rsidRPr="00974F97">
        <w:rPr>
          <w:rFonts w:ascii="Verdana" w:hAnsi="Verdana"/>
          <w:lang w:val="es-MX"/>
        </w:rPr>
        <w:t>, la norma de contratación no provee</w:t>
      </w:r>
      <w:r>
        <w:rPr>
          <w:rFonts w:ascii="Verdana" w:hAnsi="Verdana"/>
          <w:lang w:val="es-MX"/>
        </w:rPr>
        <w:t xml:space="preserve"> la situación de manera expresa. Sin embargo, </w:t>
      </w:r>
      <w:proofErr w:type="spellStart"/>
      <w:r>
        <w:rPr>
          <w:rFonts w:ascii="Verdana" w:hAnsi="Verdana"/>
          <w:lang w:val="es-MX"/>
        </w:rPr>
        <w:t>debrá</w:t>
      </w:r>
      <w:proofErr w:type="spellEnd"/>
      <w:r>
        <w:rPr>
          <w:rFonts w:ascii="Verdana" w:hAnsi="Verdana"/>
          <w:lang w:val="es-MX"/>
        </w:rPr>
        <w:t xml:space="preserve"> indicarse en los documentos precontractuales si se establecerá como obligación por parte de la entidad.</w:t>
      </w:r>
    </w:p>
    <w:p w14:paraId="04403820" w14:textId="77777777" w:rsidR="003417D6" w:rsidRDefault="003417D6" w:rsidP="003417D6">
      <w:pPr>
        <w:pStyle w:val="Prrafodelista"/>
        <w:spacing w:after="120" w:line="276" w:lineRule="auto"/>
        <w:ind w:left="1080"/>
        <w:jc w:val="both"/>
        <w:rPr>
          <w:rFonts w:ascii="Verdana" w:hAnsi="Verdana"/>
          <w:lang w:val="es-MX"/>
        </w:rPr>
      </w:pPr>
    </w:p>
    <w:p w14:paraId="2EB5D2C2" w14:textId="77777777" w:rsidR="003417D6" w:rsidRDefault="003417D6" w:rsidP="003417D6">
      <w:pPr>
        <w:pStyle w:val="Prrafodelista"/>
        <w:spacing w:after="120" w:line="276" w:lineRule="auto"/>
        <w:ind w:left="1080"/>
        <w:jc w:val="both"/>
        <w:rPr>
          <w:rFonts w:ascii="Verdana" w:hAnsi="Verdana"/>
        </w:rPr>
      </w:pPr>
      <w:r w:rsidRPr="00974F97">
        <w:rPr>
          <w:rFonts w:ascii="Verdana" w:hAnsi="Verdana"/>
        </w:rPr>
        <w:t>Ahora bien, téngase presente que el concepto de dotación en materia laboral deviene de un contrato de trabajo. Así las cosas, la administración no suministra dotación a aquellos que no están vinculados por la carrera administrativa o en provisionalidad, puesto que no existe relación laboral que permita el cumplimiento de la entrega de dotación en los términos que señala la Ley </w:t>
      </w:r>
      <w:hyperlink r:id="rId13" w:anchor="70" w:history="1">
        <w:r w:rsidRPr="00D47AD1">
          <w:rPr>
            <w:rStyle w:val="Hipervnculo"/>
            <w:rFonts w:ascii="Verdana" w:hAnsi="Verdana"/>
          </w:rPr>
          <w:t>70</w:t>
        </w:r>
      </w:hyperlink>
      <w:r w:rsidRPr="00974F97">
        <w:rPr>
          <w:rFonts w:ascii="Verdana" w:hAnsi="Verdana"/>
        </w:rPr>
        <w:t> de 1988, reglamentada por el Decreto 1978 de 1989.</w:t>
      </w:r>
    </w:p>
    <w:p w14:paraId="1063199F" w14:textId="77777777" w:rsidR="003417D6" w:rsidRDefault="003417D6" w:rsidP="003417D6">
      <w:pPr>
        <w:pStyle w:val="Prrafodelista"/>
        <w:spacing w:after="120" w:line="276" w:lineRule="auto"/>
        <w:ind w:left="1080"/>
        <w:jc w:val="both"/>
        <w:rPr>
          <w:rFonts w:ascii="Verdana" w:hAnsi="Verdana"/>
        </w:rPr>
      </w:pPr>
    </w:p>
    <w:p w14:paraId="44DAA4A1" w14:textId="77777777" w:rsidR="003417D6" w:rsidRDefault="003417D6" w:rsidP="003417D6">
      <w:pPr>
        <w:pStyle w:val="Prrafodelista"/>
        <w:spacing w:after="120" w:line="276" w:lineRule="auto"/>
        <w:ind w:left="1080"/>
        <w:jc w:val="both"/>
        <w:rPr>
          <w:rFonts w:ascii="Verdana" w:hAnsi="Verdana"/>
        </w:rPr>
      </w:pPr>
      <w:r>
        <w:rPr>
          <w:rFonts w:ascii="Verdana" w:hAnsi="Verdana"/>
        </w:rPr>
        <w:t xml:space="preserve">En ese sentido, debe tenerse en cuenta que la entrega al contratista de insumos, bienes y servicios que permitan garantizar la obligación pactada en el objeto del contrato, no crea vínculo laboral, debido a que estos se entregan con el fin de hacer que las obligaciones pactadas sean físicamente posibles de </w:t>
      </w:r>
      <w:proofErr w:type="spellStart"/>
      <w:r>
        <w:rPr>
          <w:rFonts w:ascii="Verdana" w:hAnsi="Verdana"/>
        </w:rPr>
        <w:t>cumplimir</w:t>
      </w:r>
      <w:proofErr w:type="spellEnd"/>
      <w:r>
        <w:rPr>
          <w:rFonts w:ascii="Verdana" w:hAnsi="Verdana"/>
        </w:rPr>
        <w:t xml:space="preserve"> en </w:t>
      </w:r>
      <w:proofErr w:type="gramStart"/>
      <w:r>
        <w:rPr>
          <w:rFonts w:ascii="Verdana" w:hAnsi="Verdana"/>
        </w:rPr>
        <w:t>los circunstancia</w:t>
      </w:r>
      <w:proofErr w:type="gramEnd"/>
      <w:r>
        <w:rPr>
          <w:rFonts w:ascii="Verdana" w:hAnsi="Verdana"/>
        </w:rPr>
        <w:t xml:space="preserve"> de tiempo, modo y lugar planeado en la etapa precontractual. </w:t>
      </w:r>
    </w:p>
    <w:p w14:paraId="12EA935A" w14:textId="77777777" w:rsidR="003417D6" w:rsidRPr="00974F97" w:rsidRDefault="003417D6" w:rsidP="003417D6">
      <w:pPr>
        <w:pStyle w:val="Prrafodelista"/>
        <w:spacing w:after="120" w:line="276" w:lineRule="auto"/>
        <w:ind w:left="1080"/>
        <w:jc w:val="both"/>
        <w:rPr>
          <w:rFonts w:ascii="Verdana" w:hAnsi="Verdana"/>
          <w:lang w:val="es-MX"/>
        </w:rPr>
      </w:pPr>
    </w:p>
    <w:p w14:paraId="4C239586" w14:textId="77777777" w:rsidR="003417D6" w:rsidRPr="001E5CCE" w:rsidRDefault="003417D6" w:rsidP="003417D6">
      <w:pPr>
        <w:pStyle w:val="Prrafodelista"/>
        <w:spacing w:after="120" w:line="276" w:lineRule="auto"/>
        <w:ind w:left="1080"/>
        <w:jc w:val="both"/>
        <w:rPr>
          <w:rFonts w:ascii="Verdana" w:hAnsi="Verdana"/>
          <w:lang w:val="es-MX"/>
        </w:rPr>
      </w:pPr>
      <w:r>
        <w:rPr>
          <w:rFonts w:ascii="Verdana" w:hAnsi="Verdana"/>
          <w:lang w:val="es-MX"/>
        </w:rPr>
        <w:t xml:space="preserve">El contratista es una persona que ejercer las obligaciones contratadas con </w:t>
      </w:r>
      <w:proofErr w:type="spellStart"/>
      <w:r>
        <w:rPr>
          <w:rFonts w:ascii="Verdana" w:hAnsi="Verdana"/>
          <w:lang w:val="es-MX"/>
        </w:rPr>
        <w:t>autonomìa</w:t>
      </w:r>
      <w:proofErr w:type="spellEnd"/>
      <w:r>
        <w:rPr>
          <w:rFonts w:ascii="Verdana" w:hAnsi="Verdana"/>
          <w:lang w:val="es-MX"/>
        </w:rPr>
        <w:t xml:space="preserve"> e independencia y que la norma no </w:t>
      </w:r>
      <w:proofErr w:type="spellStart"/>
      <w:r>
        <w:rPr>
          <w:rFonts w:ascii="Verdana" w:hAnsi="Verdana"/>
          <w:lang w:val="es-MX"/>
        </w:rPr>
        <w:t>prohibe</w:t>
      </w:r>
      <w:proofErr w:type="spellEnd"/>
      <w:r>
        <w:rPr>
          <w:rFonts w:ascii="Verdana" w:hAnsi="Verdana"/>
          <w:lang w:val="es-MX"/>
        </w:rPr>
        <w:t xml:space="preserve"> el uso de los logos de la entidad en prendas de vestir, </w:t>
      </w:r>
      <w:r w:rsidRPr="001E5CCE">
        <w:rPr>
          <w:rFonts w:ascii="Verdana" w:hAnsi="Verdana"/>
          <w:lang w:val="es-MX"/>
        </w:rPr>
        <w:t>queda a discreción del contratista usarlas o mandarlas hacer desde su autonomía siempre y cuando no contrarie normas internas de la entidad contratante, puesto que algunas, tienen prohibido que los contratistas se identifiquen con camisas institucionales propias de los funcionarios o portar los logos instituciones en la</w:t>
      </w:r>
      <w:r>
        <w:rPr>
          <w:rFonts w:ascii="Verdana" w:hAnsi="Verdana"/>
          <w:lang w:val="es-MX"/>
        </w:rPr>
        <w:t>s prendas de vestir.</w:t>
      </w:r>
    </w:p>
    <w:p w14:paraId="0C2C0781" w14:textId="77777777" w:rsidR="003417D6" w:rsidRDefault="003417D6" w:rsidP="003417D6">
      <w:pPr>
        <w:numPr>
          <w:ilvl w:val="0"/>
          <w:numId w:val="23"/>
        </w:numPr>
        <w:spacing w:after="120" w:line="276" w:lineRule="auto"/>
        <w:jc w:val="both"/>
        <w:rPr>
          <w:rFonts w:ascii="Verdana" w:hAnsi="Verdana"/>
          <w:lang w:val="es-MX"/>
        </w:rPr>
      </w:pPr>
      <w:r w:rsidRPr="00515510">
        <w:rPr>
          <w:rFonts w:ascii="Verdana" w:hAnsi="Verdana"/>
          <w:lang w:val="es-MX"/>
        </w:rPr>
        <w:t xml:space="preserve">Los correos institucionales son herramientas que permiten dar cumplimiento a las obligaciones del contratista, </w:t>
      </w:r>
      <w:r>
        <w:rPr>
          <w:rFonts w:ascii="Verdana" w:hAnsi="Verdana"/>
          <w:lang w:val="es-MX"/>
        </w:rPr>
        <w:t xml:space="preserve">además, son un medio de comunicación al interior de la entidad, </w:t>
      </w:r>
      <w:r w:rsidRPr="00515510">
        <w:rPr>
          <w:rFonts w:ascii="Verdana" w:hAnsi="Verdana"/>
          <w:lang w:val="es-MX"/>
        </w:rPr>
        <w:t xml:space="preserve">en tal sentido, la entidad estatal establecerá en los estudios previos, y documentos de planeación dicha obligación a cargo del contratante, fundamentado en las políticas internas de planeación estratégica dirigidas a contratistas. </w:t>
      </w:r>
    </w:p>
    <w:p w14:paraId="1028A0D4" w14:textId="77777777" w:rsidR="003417D6" w:rsidRDefault="003417D6" w:rsidP="003417D6">
      <w:pPr>
        <w:spacing w:after="120" w:line="276" w:lineRule="auto"/>
        <w:ind w:left="720"/>
        <w:jc w:val="both"/>
        <w:rPr>
          <w:rFonts w:ascii="Verdana" w:hAnsi="Verdana"/>
          <w:lang w:val="es-MX"/>
        </w:rPr>
      </w:pPr>
      <w:r w:rsidRPr="00515510">
        <w:rPr>
          <w:rFonts w:ascii="Verdana" w:hAnsi="Verdana"/>
          <w:lang w:val="es-MX"/>
        </w:rPr>
        <w:lastRenderedPageBreak/>
        <w:t>De igual forma, con el fin de guardar la confidencialidad y la posesión de la información que se tramita a través de las obligaciones del contratista, se le asignará usuario y contraseña para tener el control de la información que maneja el contratista dentro del plazo contractual, y se someterá a análisis de guardar o reservar la información, o ampliación de la licencia de la información del usuario posterior a la vigencia del contrato dependiendo de la necesidad que tenga la entidad contratante, sino esta fenecerá o dejará existir de acuerdo al tiempo que cada entidad estatal lo estime.</w:t>
      </w:r>
    </w:p>
    <w:p w14:paraId="01AEAB01" w14:textId="77777777" w:rsidR="003417D6" w:rsidRPr="00974F97" w:rsidRDefault="003417D6" w:rsidP="003417D6">
      <w:pPr>
        <w:spacing w:line="278" w:lineRule="auto"/>
        <w:ind w:left="360"/>
        <w:jc w:val="both"/>
        <w:rPr>
          <w:rFonts w:ascii="Verdana" w:hAnsi="Verdana"/>
        </w:rPr>
      </w:pPr>
      <w:r w:rsidRPr="00974F97">
        <w:rPr>
          <w:rFonts w:ascii="Verdana" w:hAnsi="Verdana"/>
        </w:rPr>
        <w:t>En conclusión, se debe tener en cuenta que la relación entre la entidad contratante y el contratista (en los contratos de prestación de servicio) es de origen contractual y no laboral, por no cumplirse los supuestos  del artículo 23 del C.S.T, es decir, la continua subordinación, la retribución de un salario y la actividad personal del trabajador), sino que por el contrario, en los contratos de prestación de servicio existe continua independencia del contratista, el cual está sujeto únicamente a las obligaciones contractuales.</w:t>
      </w:r>
    </w:p>
    <w:p w14:paraId="24E2EB81" w14:textId="77777777" w:rsidR="003417D6" w:rsidRPr="00515510" w:rsidRDefault="003417D6" w:rsidP="003417D6">
      <w:pPr>
        <w:spacing w:after="120" w:line="276" w:lineRule="auto"/>
        <w:ind w:firstLine="709"/>
        <w:jc w:val="both"/>
        <w:rPr>
          <w:rFonts w:ascii="Verdana" w:hAnsi="Verdana"/>
          <w:lang w:val="es-MX"/>
        </w:rPr>
      </w:pPr>
    </w:p>
    <w:p w14:paraId="307178CD" w14:textId="77777777" w:rsidR="003417D6" w:rsidRPr="00F20D27" w:rsidRDefault="003417D6" w:rsidP="003417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20D27">
        <w:rPr>
          <w:rFonts w:ascii="Verdana" w:eastAsia="Century Gothic" w:hAnsi="Verdana" w:cs="Century Gothic"/>
          <w:b/>
          <w:bCs/>
        </w:rPr>
        <w:t>Referencias normativas, jurisprudenciales y otras fuentes:</w:t>
      </w:r>
    </w:p>
    <w:p w14:paraId="0C341F27" w14:textId="77777777" w:rsidR="003417D6" w:rsidRPr="00F20D27" w:rsidRDefault="003417D6" w:rsidP="003417D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417D6" w:rsidRPr="00F20D27" w14:paraId="3B26B06D" w14:textId="77777777" w:rsidTr="004A195B">
        <w:trPr>
          <w:trHeight w:val="870"/>
        </w:trPr>
        <w:tc>
          <w:tcPr>
            <w:tcW w:w="8647" w:type="dxa"/>
          </w:tcPr>
          <w:p w14:paraId="469BC401" w14:textId="77777777" w:rsidR="003417D6" w:rsidRPr="00F20D27" w:rsidRDefault="003417D6" w:rsidP="003417D6">
            <w:pPr>
              <w:pStyle w:val="Prrafodelista"/>
              <w:widowControl w:val="0"/>
              <w:numPr>
                <w:ilvl w:val="0"/>
                <w:numId w:val="17"/>
              </w:numPr>
              <w:autoSpaceDE w:val="0"/>
              <w:autoSpaceDN w:val="0"/>
              <w:spacing w:after="120" w:line="276" w:lineRule="auto"/>
              <w:jc w:val="both"/>
              <w:rPr>
                <w:rFonts w:ascii="Verdana" w:hAnsi="Verdana" w:cs="Arial"/>
              </w:rPr>
            </w:pPr>
            <w:r w:rsidRPr="00F20D27">
              <w:rPr>
                <w:rFonts w:ascii="Verdana" w:hAnsi="Verdana" w:cs="Arial"/>
                <w:lang w:eastAsia="es-ES_tradnl"/>
              </w:rPr>
              <w:t xml:space="preserve">Ley 80 de 1993: artículos 3, 32 y 40. </w:t>
            </w:r>
            <w:hyperlink r:id="rId14" w:history="1">
              <w:r w:rsidRPr="00F20D27">
                <w:rPr>
                  <w:rFonts w:ascii="Verdana" w:hAnsi="Verdana"/>
                  <w:u w:val="single"/>
                </w:rPr>
                <w:t>https://relatoria.colombiacompra.gov.co/normativa/ley-80-de-1993/</w:t>
              </w:r>
            </w:hyperlink>
          </w:p>
          <w:p w14:paraId="60BB33FA" w14:textId="77777777" w:rsidR="003417D6" w:rsidRPr="00F20D27" w:rsidRDefault="003417D6" w:rsidP="003417D6">
            <w:pPr>
              <w:pStyle w:val="Prrafodelista"/>
              <w:widowControl w:val="0"/>
              <w:numPr>
                <w:ilvl w:val="0"/>
                <w:numId w:val="17"/>
              </w:numPr>
              <w:autoSpaceDE w:val="0"/>
              <w:autoSpaceDN w:val="0"/>
              <w:spacing w:after="120" w:line="276" w:lineRule="auto"/>
              <w:jc w:val="both"/>
              <w:rPr>
                <w:rFonts w:ascii="Verdana" w:hAnsi="Verdana" w:cs="Arial"/>
              </w:rPr>
            </w:pPr>
            <w:r w:rsidRPr="00F20D27">
              <w:rPr>
                <w:rFonts w:ascii="Verdana" w:hAnsi="Verdana" w:cs="Arial"/>
                <w:lang w:eastAsia="es-ES_tradnl"/>
              </w:rPr>
              <w:t>Constitución Política de 1991: artículo 209</w:t>
            </w:r>
          </w:p>
          <w:p w14:paraId="08C5E0F4" w14:textId="77777777" w:rsidR="003417D6" w:rsidRPr="00F20D27" w:rsidRDefault="003417D6" w:rsidP="003417D6">
            <w:pPr>
              <w:pStyle w:val="Prrafodelista"/>
              <w:widowControl w:val="0"/>
              <w:numPr>
                <w:ilvl w:val="0"/>
                <w:numId w:val="17"/>
              </w:numPr>
              <w:autoSpaceDE w:val="0"/>
              <w:autoSpaceDN w:val="0"/>
              <w:spacing w:after="120" w:line="276" w:lineRule="auto"/>
              <w:jc w:val="both"/>
              <w:rPr>
                <w:rFonts w:ascii="Verdana" w:hAnsi="Verdana" w:cs="Arial"/>
              </w:rPr>
            </w:pPr>
            <w:r w:rsidRPr="00F20D27">
              <w:rPr>
                <w:rFonts w:ascii="Verdana" w:hAnsi="Verdana" w:cs="Arial"/>
                <w:lang w:val="es-ES_tradnl"/>
              </w:rPr>
              <w:t>Decreto 1082 de 2015: artículo 2.2.1.2.1.4.9.</w:t>
            </w:r>
          </w:p>
          <w:p w14:paraId="2A53B008" w14:textId="77777777" w:rsidR="003417D6" w:rsidRPr="00974F97" w:rsidRDefault="003417D6" w:rsidP="003417D6">
            <w:pPr>
              <w:pStyle w:val="Prrafodelista"/>
              <w:numPr>
                <w:ilvl w:val="0"/>
                <w:numId w:val="17"/>
              </w:numPr>
              <w:spacing w:line="278" w:lineRule="auto"/>
              <w:jc w:val="both"/>
              <w:rPr>
                <w:rFonts w:ascii="Verdana" w:hAnsi="Verdana" w:cs="Arial"/>
                <w:color w:val="000000" w:themeColor="text1"/>
                <w:lang w:val="es-MX"/>
              </w:rPr>
            </w:pPr>
            <w:r w:rsidRPr="00F20D27">
              <w:rPr>
                <w:rFonts w:ascii="Verdana" w:hAnsi="Verdana" w:cs="Arial"/>
                <w:lang w:val="es-ES_tradnl"/>
              </w:rPr>
              <w:t>Ley 1150 de 2007: artículo 2 numeral 4º literal h.</w:t>
            </w:r>
          </w:p>
          <w:p w14:paraId="6794F001" w14:textId="77777777" w:rsidR="003417D6" w:rsidRPr="00010276" w:rsidRDefault="003417D6" w:rsidP="003417D6">
            <w:pPr>
              <w:pStyle w:val="Prrafodelista"/>
              <w:numPr>
                <w:ilvl w:val="0"/>
                <w:numId w:val="17"/>
              </w:numPr>
              <w:spacing w:line="278" w:lineRule="auto"/>
              <w:jc w:val="both"/>
              <w:rPr>
                <w:rFonts w:ascii="Verdana" w:hAnsi="Verdana" w:cs="Arial"/>
                <w:color w:val="000000" w:themeColor="text1"/>
                <w:lang w:val="es-MX"/>
              </w:rPr>
            </w:pPr>
            <w:r w:rsidRPr="003417D6">
              <w:rPr>
                <w:rFonts w:ascii="Verdana" w:hAnsi="Verdana"/>
              </w:rPr>
              <w:t>Ley </w:t>
            </w:r>
            <w:hyperlink r:id="rId15" w:anchor="70" w:history="1">
              <w:r w:rsidRPr="003417D6">
                <w:rPr>
                  <w:rStyle w:val="Hipervnculo"/>
                  <w:rFonts w:ascii="Verdana" w:hAnsi="Verdana"/>
                  <w:color w:val="auto"/>
                  <w:u w:val="none"/>
                </w:rPr>
                <w:t>70</w:t>
              </w:r>
            </w:hyperlink>
            <w:r w:rsidRPr="003417D6">
              <w:rPr>
                <w:rFonts w:ascii="Verdana" w:hAnsi="Verdana"/>
              </w:rPr>
              <w:t xml:space="preserve"> de </w:t>
            </w:r>
            <w:r w:rsidRPr="00C03C51">
              <w:rPr>
                <w:rFonts w:ascii="Verdana" w:hAnsi="Verdana"/>
              </w:rPr>
              <w:t>1988, reglamentada por el Decreto 1978 de 1989</w:t>
            </w:r>
            <w:r>
              <w:rPr>
                <w:rFonts w:ascii="Verdana" w:hAnsi="Verdana"/>
              </w:rPr>
              <w:t>.</w:t>
            </w:r>
          </w:p>
          <w:p w14:paraId="57C8530B" w14:textId="77777777" w:rsidR="003417D6" w:rsidRPr="00F20D27" w:rsidRDefault="003417D6" w:rsidP="003417D6">
            <w:pPr>
              <w:pStyle w:val="Prrafodelista"/>
              <w:numPr>
                <w:ilvl w:val="0"/>
                <w:numId w:val="17"/>
              </w:numPr>
              <w:spacing w:line="278" w:lineRule="auto"/>
              <w:jc w:val="both"/>
              <w:rPr>
                <w:rFonts w:ascii="Verdana" w:hAnsi="Verdana" w:cs="Arial"/>
                <w:color w:val="000000" w:themeColor="text1"/>
                <w:lang w:val="es-MX"/>
              </w:rPr>
            </w:pPr>
            <w:r w:rsidRPr="00BD42B8">
              <w:rPr>
                <w:rFonts w:ascii="Verdana" w:hAnsi="Verdana" w:cs="Arial"/>
                <w:color w:val="000000" w:themeColor="text1"/>
                <w:lang w:val="es-MX"/>
              </w:rPr>
              <w:t>Concepto 271721 de 2022 Departamento Administrativo de la Función Pública</w:t>
            </w:r>
            <w:r>
              <w:rPr>
                <w:rFonts w:ascii="Verdana" w:hAnsi="Verdana" w:cs="Arial"/>
                <w:color w:val="000000" w:themeColor="text1"/>
                <w:lang w:val="es-MX"/>
              </w:rPr>
              <w:t>.</w:t>
            </w:r>
          </w:p>
        </w:tc>
      </w:tr>
    </w:tbl>
    <w:p w14:paraId="564B20DC" w14:textId="77777777" w:rsidR="003417D6" w:rsidRPr="00F20D27" w:rsidRDefault="003417D6" w:rsidP="003417D6">
      <w:pPr>
        <w:widowControl w:val="0"/>
        <w:autoSpaceDE w:val="0"/>
        <w:autoSpaceDN w:val="0"/>
        <w:spacing w:after="0" w:line="276" w:lineRule="auto"/>
        <w:jc w:val="both"/>
        <w:rPr>
          <w:rFonts w:ascii="Verdana" w:hAnsi="Verdana" w:cs="Arial"/>
        </w:rPr>
      </w:pPr>
    </w:p>
    <w:p w14:paraId="1B387AE8" w14:textId="77777777" w:rsidR="003417D6" w:rsidRPr="00F20D27" w:rsidRDefault="003417D6" w:rsidP="003417D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20D27">
        <w:rPr>
          <w:rFonts w:ascii="Verdana" w:eastAsia="Century Gothic" w:hAnsi="Verdana" w:cs="Century Gothic"/>
          <w:b/>
          <w:bCs/>
        </w:rPr>
        <w:t>Doctrina de la Agencia Nacional de Contratación Pública:</w:t>
      </w:r>
    </w:p>
    <w:p w14:paraId="60CFC7BB" w14:textId="77777777" w:rsidR="003417D6" w:rsidRPr="00F20D27" w:rsidRDefault="003417D6" w:rsidP="003417D6">
      <w:pPr>
        <w:widowControl w:val="0"/>
        <w:autoSpaceDE w:val="0"/>
        <w:autoSpaceDN w:val="0"/>
        <w:spacing w:after="0" w:line="276" w:lineRule="auto"/>
        <w:jc w:val="both"/>
        <w:rPr>
          <w:rFonts w:ascii="Verdana" w:hAnsi="Verdana" w:cs="Arial"/>
        </w:rPr>
      </w:pPr>
    </w:p>
    <w:p w14:paraId="1E2E4CA5" w14:textId="77777777" w:rsidR="003417D6" w:rsidRDefault="003417D6" w:rsidP="003417D6">
      <w:pPr>
        <w:widowControl w:val="0"/>
        <w:autoSpaceDE w:val="0"/>
        <w:autoSpaceDN w:val="0"/>
        <w:spacing w:after="0" w:line="276" w:lineRule="auto"/>
        <w:jc w:val="both"/>
        <w:rPr>
          <w:rStyle w:val="Hipervnculo"/>
          <w:rFonts w:ascii="Verdana" w:eastAsia="Calibri" w:hAnsi="Verdana" w:cs="Arial"/>
          <w:lang w:val="es-ES" w:eastAsia="es-ES_tradnl"/>
        </w:rPr>
      </w:pPr>
      <w:r w:rsidRPr="00F20D27">
        <w:rPr>
          <w:rFonts w:ascii="Verdana" w:eastAsia="Calibri" w:hAnsi="Verdana" w:cs="Arial"/>
          <w:color w:val="000000" w:themeColor="text1"/>
          <w:lang w:val="es-ES_tradnl"/>
        </w:rPr>
        <w:t xml:space="preserve">La Agencia Nacional de Contratación Pública – Colombia Compra Eficiente se pronunció sobre el concepto y límites del contrato de prestación de servicios profesionales, en los conceptos C-090 del </w:t>
      </w:r>
      <w:r w:rsidRPr="00F20D27">
        <w:rPr>
          <w:rFonts w:ascii="Verdana" w:hAnsi="Verdana" w:cs="Arial"/>
          <w:color w:val="000000" w:themeColor="text1"/>
        </w:rPr>
        <w:t xml:space="preserve">24 de febrero de 2020, </w:t>
      </w:r>
      <w:r w:rsidRPr="00F20D27">
        <w:rPr>
          <w:rFonts w:ascii="Verdana" w:hAnsi="Verdana" w:cs="Arial"/>
        </w:rPr>
        <w:t xml:space="preserve">C-105 del </w:t>
      </w:r>
      <w:r w:rsidRPr="00F20D27">
        <w:rPr>
          <w:rFonts w:ascii="Verdana" w:eastAsia="Arial" w:hAnsi="Verdana" w:cs="Arial"/>
          <w:lang w:val="es-ES"/>
        </w:rPr>
        <w:t xml:space="preserve">12 de marzo 03 de 2020, C-156 del 3 de abril de 2020, </w:t>
      </w:r>
      <w:r w:rsidRPr="00F20D27">
        <w:rPr>
          <w:rFonts w:ascii="Verdana" w:hAnsi="Verdana" w:cs="Arial"/>
        </w:rPr>
        <w:t xml:space="preserve">C-188 del </w:t>
      </w:r>
      <w:r w:rsidRPr="00F20D27">
        <w:rPr>
          <w:rFonts w:ascii="Verdana" w:hAnsi="Verdana" w:cs="Arial"/>
          <w:color w:val="000000" w:themeColor="text1"/>
        </w:rPr>
        <w:t xml:space="preserve">13 de abril de 2020, </w:t>
      </w:r>
      <w:r w:rsidRPr="00F20D27">
        <w:rPr>
          <w:rFonts w:ascii="Verdana" w:hAnsi="Verdana" w:cs="Arial"/>
        </w:rPr>
        <w:t xml:space="preserve">C-208 del </w:t>
      </w:r>
      <w:r w:rsidRPr="00F20D27">
        <w:rPr>
          <w:rFonts w:ascii="Verdana" w:hAnsi="Verdana" w:cs="Arial"/>
          <w:color w:val="000000" w:themeColor="text1"/>
        </w:rPr>
        <w:t xml:space="preserve">24 de abril de 2020, </w:t>
      </w:r>
      <w:r w:rsidRPr="00F20D27">
        <w:rPr>
          <w:rFonts w:ascii="Verdana" w:hAnsi="Verdana" w:cs="Arial"/>
          <w:noProof/>
          <w:lang w:val="es-ES_tradnl"/>
        </w:rPr>
        <w:t>No. C-138, C-005, C-006 y C-018 del 11 de mayo de 2020; C-175, C-320, C-053, C-255, C-282 y C-293 del 12 de mayo de 2020, C-288 del 27 de mayo de 2020, C-345 del 13 de mayo de 2020</w:t>
      </w:r>
      <w:r w:rsidRPr="00F20D27">
        <w:rPr>
          <w:rFonts w:ascii="Verdana" w:hAnsi="Verdana" w:cs="Arial"/>
          <w:color w:val="000000" w:themeColor="text1"/>
        </w:rPr>
        <w:t xml:space="preserve">, </w:t>
      </w:r>
      <w:r w:rsidRPr="00F20D27">
        <w:rPr>
          <w:rFonts w:ascii="Verdana" w:hAnsi="Verdana" w:cs="Arial"/>
          <w:color w:val="212529"/>
        </w:rPr>
        <w:t xml:space="preserve">C-414 </w:t>
      </w:r>
      <w:r w:rsidRPr="00F20D27">
        <w:rPr>
          <w:rFonts w:ascii="Verdana" w:hAnsi="Verdana" w:cs="Arial"/>
        </w:rPr>
        <w:lastRenderedPageBreak/>
        <w:t xml:space="preserve">del 30 de junio de 2020, </w:t>
      </w:r>
      <w:r w:rsidRPr="00F20D27">
        <w:rPr>
          <w:rFonts w:ascii="Verdana" w:hAnsi="Verdana" w:cs="Arial"/>
          <w:noProof/>
          <w:lang w:val="es-ES_tradnl"/>
        </w:rPr>
        <w:t>C-608 del 1 de octubre de 2020</w:t>
      </w:r>
      <w:r w:rsidRPr="00F20D27">
        <w:rPr>
          <w:rFonts w:ascii="Verdana" w:hAnsi="Verdana" w:cs="Arial"/>
        </w:rPr>
        <w:t>, C-739 del 16 de diciembre de 2020, C-106 del 21 de abril de 2021, C-311 del 21 de agosto de 2024, entre otros</w:t>
      </w:r>
      <w:r w:rsidRPr="00F20D27">
        <w:rPr>
          <w:rStyle w:val="normaltextrun"/>
          <w:rFonts w:ascii="Verdana" w:hAnsi="Verdana" w:cs="Arial"/>
          <w:shd w:val="clear" w:color="auto" w:fill="FFFFFF"/>
          <w:lang w:val="es-ES"/>
        </w:rPr>
        <w:t xml:space="preserve">. </w:t>
      </w:r>
      <w:r w:rsidRPr="00E406E8">
        <w:rPr>
          <w:rFonts w:ascii="Verdana" w:eastAsia="Calibri" w:hAnsi="Verdana" w:cs="Arial"/>
          <w:lang w:val="es-ES" w:eastAsia="es-ES_tradnl"/>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r>
        <w:rPr>
          <w:rFonts w:ascii="Verdana" w:eastAsia="Calibri" w:hAnsi="Verdana" w:cs="Arial"/>
          <w:lang w:val="es-ES" w:eastAsia="es-ES_tradnl"/>
        </w:rPr>
        <w:t xml:space="preserve"> </w:t>
      </w:r>
      <w:hyperlink r:id="rId16" w:history="1">
        <w:r w:rsidRPr="00413FE0">
          <w:rPr>
            <w:rStyle w:val="Hipervnculo"/>
            <w:rFonts w:ascii="Verdana" w:eastAsia="Calibri" w:hAnsi="Verdana" w:cs="Arial"/>
            <w:lang w:val="es-ES" w:eastAsia="es-ES_tradnl"/>
          </w:rPr>
          <w:t>https://relatoria.colombiacompra.gov.co/</w:t>
        </w:r>
      </w:hyperlink>
      <w:r w:rsidRPr="00E406E8">
        <w:rPr>
          <w:rFonts w:ascii="Verdana" w:eastAsia="Calibri" w:hAnsi="Verdana" w:cs="Arial"/>
          <w:lang w:val="es-ES" w:eastAsia="es-ES_tradnl"/>
        </w:rPr>
        <w:t>.</w:t>
      </w:r>
      <w:r>
        <w:rPr>
          <w:rFonts w:ascii="Verdana" w:eastAsia="Calibri" w:hAnsi="Verdana" w:cs="Arial"/>
          <w:lang w:val="es-ES" w:eastAsia="es-ES_tradnl"/>
        </w:rPr>
        <w:t xml:space="preserve"> </w:t>
      </w:r>
      <w:r w:rsidRPr="00E406E8">
        <w:rPr>
          <w:rFonts w:ascii="Verdana" w:eastAsia="Calibri" w:hAnsi="Verdana" w:cs="Arial"/>
          <w:lang w:val="es-ES" w:eastAsia="es-ES_tradnl"/>
        </w:rPr>
        <w:t xml:space="preserve">Te invitamos también a revisar la tercera edición </w:t>
      </w:r>
      <w:proofErr w:type="gramStart"/>
      <w:r w:rsidRPr="00E406E8">
        <w:rPr>
          <w:rFonts w:ascii="Verdana" w:eastAsia="Calibri" w:hAnsi="Verdana" w:cs="Arial"/>
          <w:lang w:val="es-ES" w:eastAsia="es-ES_tradnl"/>
        </w:rPr>
        <w:t>del  Boletín</w:t>
      </w:r>
      <w:proofErr w:type="gramEnd"/>
      <w:r w:rsidRPr="00E406E8">
        <w:rPr>
          <w:rFonts w:ascii="Verdana" w:eastAsia="Calibri" w:hAnsi="Verdana" w:cs="Arial"/>
          <w:lang w:val="es-ES" w:eastAsia="es-ES_tradnl"/>
        </w:rPr>
        <w:t xml:space="preserve"> de Relatoría de 2024 en el cual podrás consultar en detalle el marco normativo de documentos tipo: </w:t>
      </w:r>
      <w:hyperlink r:id="rId17" w:history="1">
        <w:r w:rsidRPr="003A4DDF">
          <w:rPr>
            <w:rStyle w:val="Hipervnculo"/>
            <w:rFonts w:ascii="Verdana" w:eastAsia="Calibri" w:hAnsi="Verdana" w:cs="Arial"/>
            <w:lang w:val="es-ES" w:eastAsia="es-ES_tradnl"/>
          </w:rPr>
          <w:t>https://www.colombiacompra.gov.co/sites/cce_public/files/files_2020/boletin_de_realtoria_iii.pdf</w:t>
        </w:r>
      </w:hyperlink>
    </w:p>
    <w:p w14:paraId="713F0525" w14:textId="77777777" w:rsidR="003417D6" w:rsidRPr="00F20D27" w:rsidRDefault="003417D6" w:rsidP="003417D6">
      <w:pPr>
        <w:widowControl w:val="0"/>
        <w:autoSpaceDE w:val="0"/>
        <w:autoSpaceDN w:val="0"/>
        <w:spacing w:after="0" w:line="276" w:lineRule="auto"/>
        <w:jc w:val="both"/>
        <w:rPr>
          <w:rStyle w:val="normaltextrun"/>
          <w:rFonts w:ascii="Verdana" w:hAnsi="Verdana" w:cs="Arial"/>
          <w:shd w:val="clear" w:color="auto" w:fill="FFFFFF"/>
          <w:lang w:val="es-ES"/>
        </w:rPr>
      </w:pPr>
      <w:r w:rsidRPr="00F20D27">
        <w:rPr>
          <w:rStyle w:val="normaltextrun"/>
          <w:rFonts w:ascii="Verdana" w:hAnsi="Verdana" w:cs="Arial"/>
          <w:shd w:val="clear" w:color="auto" w:fill="FFFFFF"/>
          <w:lang w:val="es-ES"/>
        </w:rPr>
        <w:t xml:space="preserve">      </w:t>
      </w:r>
    </w:p>
    <w:p w14:paraId="19B546EB" w14:textId="77777777" w:rsidR="003417D6" w:rsidRPr="00F20D27" w:rsidRDefault="003417D6" w:rsidP="003417D6">
      <w:pPr>
        <w:spacing w:after="0" w:line="240" w:lineRule="auto"/>
        <w:jc w:val="both"/>
        <w:rPr>
          <w:rFonts w:ascii="Verdana" w:hAnsi="Verdana"/>
        </w:rPr>
      </w:pPr>
      <w:r w:rsidRPr="00F20D27">
        <w:rPr>
          <w:rFonts w:ascii="Verdana" w:hAnsi="Verdana"/>
        </w:rPr>
        <w:t xml:space="preserve">Por último, lo invitamos a seguirnos en las redes sociales en las cuales se difunde información institucional: </w:t>
      </w:r>
    </w:p>
    <w:p w14:paraId="5A6E5D31" w14:textId="77777777" w:rsidR="003417D6" w:rsidRPr="00F20D27" w:rsidRDefault="003417D6" w:rsidP="003417D6">
      <w:pPr>
        <w:spacing w:after="0" w:line="240" w:lineRule="auto"/>
        <w:jc w:val="both"/>
        <w:rPr>
          <w:rFonts w:ascii="Verdana" w:hAnsi="Verdana"/>
        </w:rPr>
      </w:pPr>
    </w:p>
    <w:p w14:paraId="56FA0700" w14:textId="77777777" w:rsidR="003417D6" w:rsidRPr="00F20D27" w:rsidRDefault="003417D6" w:rsidP="003417D6">
      <w:pPr>
        <w:spacing w:after="0" w:line="240" w:lineRule="auto"/>
        <w:jc w:val="both"/>
        <w:rPr>
          <w:rFonts w:ascii="Verdana" w:hAnsi="Verdana"/>
        </w:rPr>
      </w:pPr>
      <w:r w:rsidRPr="00F20D27">
        <w:rPr>
          <w:rFonts w:ascii="Verdana" w:hAnsi="Verdana"/>
        </w:rPr>
        <w:t xml:space="preserve">Twitter: </w:t>
      </w:r>
      <w:r w:rsidRPr="00F20D27">
        <w:rPr>
          <w:rStyle w:val="Hipervnculo"/>
          <w:rFonts w:ascii="Verdana" w:hAnsi="Verdana"/>
        </w:rPr>
        <w:t>@colombiacompra</w:t>
      </w:r>
      <w:r w:rsidRPr="00F20D27">
        <w:rPr>
          <w:rFonts w:ascii="Verdana" w:hAnsi="Verdana"/>
        </w:rPr>
        <w:t xml:space="preserve"> </w:t>
      </w:r>
    </w:p>
    <w:p w14:paraId="50EB81E9" w14:textId="77777777" w:rsidR="003417D6" w:rsidRPr="00F20D27" w:rsidRDefault="003417D6" w:rsidP="003417D6">
      <w:pPr>
        <w:spacing w:after="0" w:line="240" w:lineRule="auto"/>
        <w:jc w:val="both"/>
        <w:rPr>
          <w:rFonts w:ascii="Verdana" w:hAnsi="Verdana"/>
        </w:rPr>
      </w:pPr>
      <w:r w:rsidRPr="00F20D27">
        <w:rPr>
          <w:rFonts w:ascii="Verdana" w:hAnsi="Verdana"/>
        </w:rPr>
        <w:t xml:space="preserve">Facebook: </w:t>
      </w:r>
      <w:proofErr w:type="spellStart"/>
      <w:r w:rsidRPr="00F20D27">
        <w:rPr>
          <w:rStyle w:val="Hipervnculo"/>
          <w:rFonts w:ascii="Verdana" w:hAnsi="Verdana"/>
        </w:rPr>
        <w:t>ColombiaCompraEficiente</w:t>
      </w:r>
      <w:proofErr w:type="spellEnd"/>
    </w:p>
    <w:p w14:paraId="75E3AB99" w14:textId="77777777" w:rsidR="003417D6" w:rsidRPr="00F20D27" w:rsidRDefault="003417D6" w:rsidP="003417D6">
      <w:pPr>
        <w:spacing w:after="0" w:line="240" w:lineRule="auto"/>
        <w:jc w:val="both"/>
        <w:rPr>
          <w:rFonts w:ascii="Verdana" w:hAnsi="Verdana"/>
        </w:rPr>
      </w:pPr>
      <w:r w:rsidRPr="00F20D27">
        <w:rPr>
          <w:rFonts w:ascii="Verdana" w:hAnsi="Verdana"/>
        </w:rPr>
        <w:t xml:space="preserve">LinkedIn: </w:t>
      </w:r>
      <w:r w:rsidRPr="00F20D27">
        <w:rPr>
          <w:rStyle w:val="Hipervnculo"/>
          <w:rFonts w:ascii="Verdana" w:hAnsi="Verdana"/>
        </w:rPr>
        <w:t>Agencia Nacional de Contratación Pública - Colombia Compra Eficiente</w:t>
      </w:r>
      <w:r w:rsidRPr="00F20D27">
        <w:rPr>
          <w:rFonts w:ascii="Verdana" w:hAnsi="Verdana"/>
        </w:rPr>
        <w:t xml:space="preserve"> Instagram: </w:t>
      </w:r>
      <w:r w:rsidRPr="00F20D27">
        <w:rPr>
          <w:rStyle w:val="Hipervnculo"/>
          <w:rFonts w:ascii="Verdana" w:hAnsi="Verdana"/>
        </w:rPr>
        <w:t>@colombiacompraeficiente_cce</w:t>
      </w:r>
    </w:p>
    <w:p w14:paraId="3A3AF243" w14:textId="77777777" w:rsidR="003417D6" w:rsidRPr="00F20D27" w:rsidRDefault="003417D6" w:rsidP="003417D6">
      <w:pPr>
        <w:widowControl w:val="0"/>
        <w:autoSpaceDE w:val="0"/>
        <w:autoSpaceDN w:val="0"/>
        <w:spacing w:after="0" w:line="276" w:lineRule="auto"/>
        <w:jc w:val="both"/>
        <w:rPr>
          <w:rFonts w:ascii="Verdana" w:hAnsi="Verdana" w:cs="Arial"/>
        </w:rPr>
      </w:pPr>
    </w:p>
    <w:p w14:paraId="026CBA8D" w14:textId="77777777" w:rsidR="003417D6" w:rsidRPr="00F20D27" w:rsidRDefault="003417D6" w:rsidP="003417D6">
      <w:pPr>
        <w:widowControl w:val="0"/>
        <w:autoSpaceDE w:val="0"/>
        <w:autoSpaceDN w:val="0"/>
        <w:spacing w:after="0" w:line="276" w:lineRule="auto"/>
        <w:jc w:val="both"/>
        <w:rPr>
          <w:rFonts w:ascii="Verdana" w:hAnsi="Verdana" w:cs="Arial"/>
          <w:lang w:val="es-ES_tradnl"/>
        </w:rPr>
      </w:pPr>
      <w:r w:rsidRPr="00F20D27">
        <w:rPr>
          <w:rFonts w:ascii="Verdana" w:hAnsi="Verdana" w:cs="Arial"/>
        </w:rPr>
        <w:t xml:space="preserve">Este concepto tiene el alcance previsto en el artículo 28 del Código de Procedimiento Administrativo y de lo Contencioso Administrativo </w:t>
      </w:r>
      <w:r w:rsidRPr="00F20D27">
        <w:rPr>
          <w:rFonts w:ascii="Verdana" w:hAnsi="Verdana" w:cs="Arial"/>
          <w:lang w:val="es-ES_tradnl"/>
        </w:rPr>
        <w:t>y las expresiones aquí utilizadas con mayúscula inicial deben ser entendidas con el significado que les otorga el artículo 2.2.1.1.1.3.1. del Decreto 1082 de 2015.</w:t>
      </w:r>
    </w:p>
    <w:p w14:paraId="203D6E45" w14:textId="77777777" w:rsidR="003417D6" w:rsidRPr="00F20D27" w:rsidRDefault="003417D6" w:rsidP="003417D6">
      <w:pPr>
        <w:widowControl w:val="0"/>
        <w:autoSpaceDE w:val="0"/>
        <w:autoSpaceDN w:val="0"/>
        <w:spacing w:after="0" w:line="276" w:lineRule="auto"/>
        <w:jc w:val="both"/>
        <w:rPr>
          <w:rFonts w:ascii="Verdana" w:hAnsi="Verdana" w:cs="Arial"/>
        </w:rPr>
      </w:pPr>
    </w:p>
    <w:p w14:paraId="6FBC05A3" w14:textId="77777777" w:rsidR="003417D6" w:rsidRPr="00F20D27" w:rsidRDefault="003417D6" w:rsidP="003417D6">
      <w:pPr>
        <w:spacing w:after="0" w:line="240" w:lineRule="auto"/>
        <w:rPr>
          <w:rFonts w:ascii="Verdana" w:hAnsi="Verdana" w:cs="Arial"/>
          <w:lang w:eastAsia="es-CO"/>
        </w:rPr>
      </w:pPr>
      <w:r w:rsidRPr="00F20D27">
        <w:rPr>
          <w:rFonts w:ascii="Verdana" w:eastAsia="Times New Roman" w:hAnsi="Verdana" w:cs="Arial"/>
          <w:lang w:eastAsia="es-CO"/>
        </w:rPr>
        <w:t>Atentamente,</w:t>
      </w:r>
      <w:r w:rsidRPr="00F20D27">
        <w:rPr>
          <w:rFonts w:ascii="Verdana" w:hAnsi="Verdana" w:cs="Arial"/>
          <w:lang w:eastAsia="es-CO"/>
        </w:rPr>
        <w:t xml:space="preserve"> </w:t>
      </w:r>
    </w:p>
    <w:p w14:paraId="1B313461" w14:textId="0C4C1A1B" w:rsidR="003417D6" w:rsidRPr="00F20D27" w:rsidRDefault="006730A3" w:rsidP="003417D6">
      <w:pPr>
        <w:spacing w:line="276" w:lineRule="auto"/>
        <w:jc w:val="center"/>
        <w:rPr>
          <w:rFonts w:ascii="Verdana" w:hAnsi="Verdana" w:cs="Arial"/>
          <w:lang w:val="es-ES_tradnl" w:eastAsia="es-CO"/>
        </w:rPr>
      </w:pPr>
      <w:r w:rsidRPr="006730A3">
        <w:rPr>
          <w:rFonts w:ascii="Verdana" w:hAnsi="Verdana" w:cs="Arial"/>
          <w:noProof/>
          <w:lang w:eastAsia="es-CO"/>
        </w:rPr>
        <w:drawing>
          <wp:inline distT="0" distB="0" distL="0" distR="0" wp14:anchorId="5DBDBBDE" wp14:editId="5CD25678">
            <wp:extent cx="3771900" cy="1400175"/>
            <wp:effectExtent l="0" t="0" r="0" b="9525"/>
            <wp:docPr id="51722291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6730A3">
        <w:rPr>
          <w:rFonts w:ascii="Verdana" w:hAnsi="Verdana" w:cs="Arial"/>
          <w:lang w:val="es-ES" w:eastAsia="es-CO"/>
        </w:rPr>
        <w:br/>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417D6" w:rsidRPr="00F20D27" w14:paraId="39A0E5E3" w14:textId="77777777" w:rsidTr="004A195B">
        <w:trPr>
          <w:trHeight w:val="315"/>
        </w:trPr>
        <w:tc>
          <w:tcPr>
            <w:tcW w:w="893" w:type="dxa"/>
            <w:vAlign w:val="center"/>
            <w:hideMark/>
          </w:tcPr>
          <w:p w14:paraId="49B331F2" w14:textId="77777777" w:rsidR="003417D6" w:rsidRPr="00F20D27" w:rsidRDefault="003417D6" w:rsidP="004A195B">
            <w:pPr>
              <w:spacing w:after="255"/>
              <w:contextualSpacing/>
              <w:rPr>
                <w:rFonts w:ascii="Verdana" w:hAnsi="Verdana" w:cs="Arial"/>
                <w:sz w:val="16"/>
                <w:szCs w:val="16"/>
                <w:lang w:val="es-ES" w:eastAsia="es-ES"/>
              </w:rPr>
            </w:pPr>
            <w:r w:rsidRPr="00F20D2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A900067" w14:textId="77777777" w:rsidR="003417D6" w:rsidRPr="00F20D27" w:rsidRDefault="003417D6" w:rsidP="004A195B">
            <w:pPr>
              <w:spacing w:after="255"/>
              <w:contextualSpacing/>
              <w:rPr>
                <w:rFonts w:ascii="Verdana" w:eastAsia="Arial" w:hAnsi="Verdana" w:cs="Arial"/>
                <w:sz w:val="16"/>
                <w:szCs w:val="16"/>
              </w:rPr>
            </w:pPr>
            <w:r w:rsidRPr="00F20D27">
              <w:rPr>
                <w:rStyle w:val="normaltextrun"/>
                <w:rFonts w:ascii="Verdana" w:hAnsi="Verdana"/>
                <w:sz w:val="16"/>
                <w:szCs w:val="16"/>
              </w:rPr>
              <w:t>Gloria Ximena Moreno Guio</w:t>
            </w:r>
          </w:p>
          <w:p w14:paraId="016C7A6A" w14:textId="77777777" w:rsidR="003417D6" w:rsidRPr="00F20D27" w:rsidRDefault="003417D6" w:rsidP="004A195B">
            <w:pPr>
              <w:spacing w:after="255"/>
              <w:contextualSpacing/>
              <w:rPr>
                <w:rFonts w:ascii="Verdana" w:eastAsia="Arial" w:hAnsi="Verdana" w:cs="Arial"/>
                <w:sz w:val="16"/>
                <w:szCs w:val="16"/>
              </w:rPr>
            </w:pPr>
            <w:r w:rsidRPr="00F20D27">
              <w:rPr>
                <w:rStyle w:val="normaltextrun"/>
                <w:rFonts w:ascii="Verdana" w:eastAsia="Arial" w:hAnsi="Verdana" w:cs="Arial"/>
                <w:sz w:val="16"/>
                <w:szCs w:val="16"/>
              </w:rPr>
              <w:t>Contratista de la Subdirección de Gestión Contractual</w:t>
            </w:r>
          </w:p>
        </w:tc>
      </w:tr>
      <w:tr w:rsidR="003417D6" w:rsidRPr="00F20D27" w14:paraId="360B921D" w14:textId="77777777" w:rsidTr="004A195B">
        <w:trPr>
          <w:trHeight w:val="330"/>
        </w:trPr>
        <w:tc>
          <w:tcPr>
            <w:tcW w:w="893" w:type="dxa"/>
            <w:vAlign w:val="center"/>
            <w:hideMark/>
          </w:tcPr>
          <w:p w14:paraId="6CA003D7" w14:textId="77777777" w:rsidR="003417D6" w:rsidRPr="00F20D27" w:rsidRDefault="003417D6" w:rsidP="004A195B">
            <w:pPr>
              <w:spacing w:after="255"/>
              <w:contextualSpacing/>
              <w:rPr>
                <w:rFonts w:ascii="Verdana" w:hAnsi="Verdana" w:cs="Arial"/>
                <w:sz w:val="16"/>
                <w:szCs w:val="16"/>
                <w:lang w:val="es-ES" w:eastAsia="es-ES"/>
              </w:rPr>
            </w:pPr>
            <w:r w:rsidRPr="00F20D2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1C03442" w14:textId="77777777" w:rsidR="003417D6" w:rsidRPr="00F20D27" w:rsidRDefault="003417D6" w:rsidP="004A195B">
            <w:pPr>
              <w:pStyle w:val="paragraph"/>
              <w:contextualSpacing/>
              <w:textAlignment w:val="baseline"/>
              <w:rPr>
                <w:rFonts w:ascii="Verdana" w:hAnsi="Verdana" w:cs="Arial"/>
                <w:sz w:val="16"/>
                <w:szCs w:val="16"/>
                <w:lang w:val="es-MX"/>
              </w:rPr>
            </w:pPr>
            <w:r w:rsidRPr="00F20D27">
              <w:rPr>
                <w:rFonts w:ascii="Verdana" w:hAnsi="Verdana" w:cs="Arial"/>
                <w:sz w:val="16"/>
                <w:szCs w:val="16"/>
                <w:lang w:val="es-MX"/>
              </w:rPr>
              <w:t>Cielo Victoria González Meza</w:t>
            </w:r>
          </w:p>
          <w:p w14:paraId="55A1AA35" w14:textId="77777777" w:rsidR="003417D6" w:rsidRPr="00F20D27" w:rsidRDefault="003417D6" w:rsidP="004A195B">
            <w:pPr>
              <w:pStyle w:val="paragraph"/>
              <w:spacing w:before="0" w:beforeAutospacing="0" w:after="0" w:afterAutospacing="0"/>
              <w:contextualSpacing/>
              <w:textAlignment w:val="baseline"/>
              <w:rPr>
                <w:rFonts w:ascii="Verdana" w:hAnsi="Verdana" w:cs="Segoe UI"/>
                <w:sz w:val="16"/>
                <w:szCs w:val="16"/>
              </w:rPr>
            </w:pPr>
            <w:r w:rsidRPr="00F20D27">
              <w:rPr>
                <w:rStyle w:val="normaltextrun"/>
                <w:rFonts w:ascii="Verdana" w:hAnsi="Verdana" w:cs="Arial"/>
                <w:sz w:val="16"/>
                <w:szCs w:val="16"/>
                <w:lang w:val="es-ES"/>
              </w:rPr>
              <w:t>Contratista de la Subdirección de Gestión Contractual</w:t>
            </w:r>
          </w:p>
        </w:tc>
      </w:tr>
      <w:tr w:rsidR="003417D6" w:rsidRPr="00F20D27" w14:paraId="109F8504" w14:textId="77777777" w:rsidTr="004A195B">
        <w:trPr>
          <w:trHeight w:val="300"/>
        </w:trPr>
        <w:tc>
          <w:tcPr>
            <w:tcW w:w="893" w:type="dxa"/>
            <w:vAlign w:val="center"/>
            <w:hideMark/>
          </w:tcPr>
          <w:p w14:paraId="74F13AB9" w14:textId="77777777" w:rsidR="003417D6" w:rsidRPr="00F20D27" w:rsidRDefault="003417D6" w:rsidP="004A195B">
            <w:pPr>
              <w:spacing w:after="255"/>
              <w:contextualSpacing/>
              <w:rPr>
                <w:rFonts w:ascii="Verdana" w:hAnsi="Verdana" w:cs="Arial"/>
                <w:sz w:val="16"/>
                <w:szCs w:val="16"/>
                <w:lang w:val="es-ES" w:eastAsia="es-ES"/>
              </w:rPr>
            </w:pPr>
            <w:r w:rsidRPr="00F20D27">
              <w:rPr>
                <w:rFonts w:ascii="Verdana" w:hAnsi="Verdana" w:cs="Arial"/>
                <w:sz w:val="16"/>
                <w:szCs w:val="16"/>
                <w:lang w:val="es-ES" w:eastAsia="es-ES"/>
              </w:rPr>
              <w:lastRenderedPageBreak/>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566C364" w14:textId="77777777" w:rsidR="003417D6" w:rsidRPr="00F20D27" w:rsidRDefault="003417D6" w:rsidP="004A195B">
            <w:pPr>
              <w:spacing w:after="255"/>
              <w:contextualSpacing/>
              <w:rPr>
                <w:rFonts w:ascii="Verdana" w:eastAsia="Calibri" w:hAnsi="Verdana" w:cs="Arial"/>
                <w:sz w:val="16"/>
                <w:szCs w:val="16"/>
                <w:lang w:val="pt-BR" w:eastAsia="es-ES"/>
              </w:rPr>
            </w:pPr>
            <w:r w:rsidRPr="00F20D27">
              <w:rPr>
                <w:rFonts w:ascii="Verdana" w:eastAsia="Calibri" w:hAnsi="Verdana" w:cs="Arial"/>
                <w:sz w:val="16"/>
                <w:szCs w:val="16"/>
                <w:lang w:val="pt-BR" w:eastAsia="es-ES"/>
              </w:rPr>
              <w:t xml:space="preserve">Carolina Quintero </w:t>
            </w:r>
            <w:proofErr w:type="spellStart"/>
            <w:r w:rsidRPr="00F20D27">
              <w:rPr>
                <w:rFonts w:ascii="Verdana" w:eastAsia="Calibri" w:hAnsi="Verdana" w:cs="Arial"/>
                <w:sz w:val="16"/>
                <w:szCs w:val="16"/>
                <w:lang w:val="pt-BR" w:eastAsia="es-ES"/>
              </w:rPr>
              <w:t>Gacharná</w:t>
            </w:r>
            <w:proofErr w:type="spellEnd"/>
          </w:p>
          <w:p w14:paraId="3262BAA8" w14:textId="77777777" w:rsidR="003417D6" w:rsidRPr="00F20D27" w:rsidRDefault="003417D6" w:rsidP="004A195B">
            <w:pPr>
              <w:spacing w:after="255"/>
              <w:contextualSpacing/>
              <w:rPr>
                <w:rFonts w:ascii="Verdana" w:eastAsia="Calibri" w:hAnsi="Verdana" w:cs="Arial"/>
                <w:sz w:val="16"/>
                <w:szCs w:val="16"/>
                <w:lang w:val="pt-BR" w:eastAsia="es-ES"/>
              </w:rPr>
            </w:pPr>
            <w:r w:rsidRPr="00F20D27">
              <w:rPr>
                <w:rFonts w:ascii="Verdana" w:eastAsia="Calibri" w:hAnsi="Verdana" w:cs="Arial"/>
                <w:sz w:val="16"/>
                <w:szCs w:val="16"/>
                <w:lang w:eastAsia="es-ES"/>
              </w:rPr>
              <w:t>Subdirectora</w:t>
            </w:r>
            <w:r w:rsidRPr="00F20D27">
              <w:rPr>
                <w:rFonts w:ascii="Verdana" w:eastAsia="Calibri" w:hAnsi="Verdana" w:cs="Arial"/>
                <w:sz w:val="16"/>
                <w:szCs w:val="16"/>
                <w:lang w:val="pt-BR" w:eastAsia="es-ES"/>
              </w:rPr>
              <w:t xml:space="preserve"> de Gestión Contratual ANCP – CCE</w:t>
            </w:r>
          </w:p>
        </w:tc>
      </w:tr>
    </w:tbl>
    <w:p w14:paraId="52BEB6F4" w14:textId="77777777" w:rsidR="003417D6" w:rsidRPr="00F20D27" w:rsidRDefault="003417D6" w:rsidP="003417D6">
      <w:pPr>
        <w:spacing w:after="0" w:line="240" w:lineRule="auto"/>
        <w:rPr>
          <w:rFonts w:ascii="Verdana" w:eastAsia="Times New Roman" w:hAnsi="Verdana" w:cs="Arial"/>
          <w:sz w:val="24"/>
          <w:szCs w:val="24"/>
          <w:lang w:val="pt-BR" w:eastAsia="es-ES"/>
        </w:rPr>
      </w:pPr>
    </w:p>
    <w:p w14:paraId="797D99EF" w14:textId="77777777" w:rsidR="003417D6" w:rsidRPr="00F20D27" w:rsidRDefault="003417D6" w:rsidP="003417D6">
      <w:pPr>
        <w:rPr>
          <w:rFonts w:ascii="Verdana" w:hAnsi="Verdana"/>
        </w:rPr>
      </w:pPr>
    </w:p>
    <w:p w14:paraId="62876A39" w14:textId="77777777" w:rsidR="003417D6" w:rsidRPr="00F20D27" w:rsidRDefault="003417D6" w:rsidP="003417D6">
      <w:pPr>
        <w:rPr>
          <w:rFonts w:ascii="Verdana" w:hAnsi="Verdana"/>
        </w:rPr>
      </w:pPr>
    </w:p>
    <w:bookmarkEnd w:id="0"/>
    <w:p w14:paraId="0002E50D" w14:textId="77777777" w:rsidR="003417D6" w:rsidRPr="00AD0B10" w:rsidRDefault="003417D6" w:rsidP="003417D6"/>
    <w:p w14:paraId="0A19DD1F" w14:textId="77777777" w:rsidR="003417D6" w:rsidRPr="00AD0B10" w:rsidRDefault="003417D6" w:rsidP="003417D6"/>
    <w:p w14:paraId="0F293BF4" w14:textId="7BBFAB11" w:rsidR="00127233" w:rsidRPr="0022750D" w:rsidRDefault="00127233" w:rsidP="0022750D"/>
    <w:sectPr w:rsidR="00127233" w:rsidRPr="0022750D"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6D36" w14:textId="77777777" w:rsidR="00A259C9" w:rsidRDefault="00A259C9" w:rsidP="004A1847">
      <w:pPr>
        <w:spacing w:after="0" w:line="240" w:lineRule="auto"/>
      </w:pPr>
      <w:r>
        <w:separator/>
      </w:r>
    </w:p>
  </w:endnote>
  <w:endnote w:type="continuationSeparator" w:id="0">
    <w:p w14:paraId="51911586" w14:textId="77777777" w:rsidR="00A259C9" w:rsidRDefault="00A259C9" w:rsidP="004A1847">
      <w:pPr>
        <w:spacing w:after="0" w:line="240" w:lineRule="auto"/>
      </w:pPr>
      <w:r>
        <w:continuationSeparator/>
      </w:r>
    </w:p>
  </w:endnote>
  <w:endnote w:type="continuationNotice" w:id="1">
    <w:p w14:paraId="2C14F025" w14:textId="77777777" w:rsidR="00A259C9" w:rsidRDefault="00A25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3357" w14:textId="77777777" w:rsidR="00A259C9" w:rsidRDefault="00A259C9" w:rsidP="004A1847">
      <w:pPr>
        <w:spacing w:after="0" w:line="240" w:lineRule="auto"/>
      </w:pPr>
      <w:r>
        <w:separator/>
      </w:r>
    </w:p>
  </w:footnote>
  <w:footnote w:type="continuationSeparator" w:id="0">
    <w:p w14:paraId="0782B7D5" w14:textId="77777777" w:rsidR="00A259C9" w:rsidRDefault="00A259C9" w:rsidP="004A1847">
      <w:pPr>
        <w:spacing w:after="0" w:line="240" w:lineRule="auto"/>
      </w:pPr>
      <w:r>
        <w:continuationSeparator/>
      </w:r>
    </w:p>
  </w:footnote>
  <w:footnote w:type="continuationNotice" w:id="1">
    <w:p w14:paraId="0AECA8B7" w14:textId="77777777" w:rsidR="00A259C9" w:rsidRDefault="00A259C9">
      <w:pPr>
        <w:spacing w:after="0" w:line="240" w:lineRule="auto"/>
      </w:pPr>
    </w:p>
  </w:footnote>
  <w:footnote w:id="2">
    <w:p w14:paraId="200CBCA4" w14:textId="77777777" w:rsidR="003417D6" w:rsidRPr="004800EA" w:rsidRDefault="003417D6" w:rsidP="003417D6">
      <w:pPr>
        <w:pStyle w:val="Textonotapie"/>
        <w:ind w:firstLine="708"/>
        <w:contextualSpacing/>
        <w:jc w:val="both"/>
        <w:rPr>
          <w:rFonts w:ascii="Verdana" w:hAnsi="Verdana" w:cs="Arial"/>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Consejo de Estado. Sección Segunda. Sentencia del 9 de septiembre de 2021. Expediente No. 05001-23-33-000-2013-01143-01(1317-16). M.P. Dra. Sandra Lisset Ibarra Vélez.</w:t>
      </w:r>
    </w:p>
    <w:p w14:paraId="23ADB2E7" w14:textId="77777777" w:rsidR="003417D6" w:rsidRPr="004800EA" w:rsidRDefault="003417D6" w:rsidP="003417D6">
      <w:pPr>
        <w:pStyle w:val="Textonotapie"/>
        <w:ind w:firstLine="708"/>
        <w:contextualSpacing/>
        <w:jc w:val="both"/>
        <w:rPr>
          <w:rFonts w:ascii="Verdana" w:hAnsi="Verdana" w:cs="Arial"/>
          <w:sz w:val="10"/>
          <w:szCs w:val="10"/>
        </w:rPr>
      </w:pPr>
    </w:p>
  </w:footnote>
  <w:footnote w:id="3">
    <w:p w14:paraId="59B511CC" w14:textId="77777777" w:rsidR="003417D6" w:rsidRPr="004800EA" w:rsidRDefault="003417D6" w:rsidP="003417D6">
      <w:pPr>
        <w:pStyle w:val="Textonotapie"/>
        <w:ind w:firstLine="708"/>
        <w:contextualSpacing/>
        <w:jc w:val="both"/>
        <w:rPr>
          <w:rFonts w:ascii="Verdana" w:hAnsi="Verdana" w:cs="Arial"/>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12789CB3" w14:textId="77777777" w:rsidR="003417D6" w:rsidRPr="004800EA" w:rsidRDefault="003417D6" w:rsidP="003417D6">
      <w:pPr>
        <w:pStyle w:val="Textonotapie"/>
        <w:ind w:firstLine="708"/>
        <w:contextualSpacing/>
        <w:jc w:val="both"/>
        <w:rPr>
          <w:rFonts w:ascii="Verdana" w:hAnsi="Verdana" w:cs="Arial"/>
          <w:sz w:val="10"/>
          <w:szCs w:val="10"/>
          <w:lang w:val="es-ES_tradnl"/>
        </w:rPr>
      </w:pPr>
    </w:p>
  </w:footnote>
  <w:footnote w:id="4">
    <w:p w14:paraId="38202D7C" w14:textId="77777777" w:rsidR="003417D6" w:rsidRPr="004800EA" w:rsidRDefault="003417D6" w:rsidP="003417D6">
      <w:pPr>
        <w:pStyle w:val="Textonotapie"/>
        <w:ind w:firstLine="708"/>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57DB933"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5">
    <w:p w14:paraId="0336BA7D"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59D0288"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377134B" w14:textId="77777777" w:rsidR="003417D6" w:rsidRPr="008A2CEF" w:rsidRDefault="003417D6" w:rsidP="003417D6">
      <w:pPr>
        <w:pStyle w:val="Textonotapie"/>
        <w:ind w:firstLine="709"/>
        <w:contextualSpacing/>
        <w:jc w:val="both"/>
        <w:rPr>
          <w:rFonts w:ascii="Verdana" w:hAnsi="Verdana" w:cs="Arial"/>
          <w:sz w:val="12"/>
          <w:szCs w:val="12"/>
          <w:lang w:val="pt-BR"/>
        </w:rPr>
      </w:pPr>
      <w:r w:rsidRPr="004800EA">
        <w:rPr>
          <w:rFonts w:ascii="Verdana" w:hAnsi="Verdana" w:cs="Arial"/>
          <w:sz w:val="10"/>
          <w:szCs w:val="10"/>
          <w:lang w:val="es-ES"/>
        </w:rPr>
        <w:t>El Gobierno nacional reglamentará el mecanismo para realizar la mensualización de que trata el presente artículo.</w:t>
      </w:r>
      <w:r w:rsidRPr="004800EA">
        <w:rPr>
          <w:rFonts w:ascii="Verdana" w:hAnsi="Verdana" w:cs="Arial"/>
          <w:sz w:val="10"/>
          <w:szCs w:val="10"/>
          <w:lang w:val="pt-BR"/>
        </w:rPr>
        <w:t>[…]”.</w:t>
      </w:r>
    </w:p>
  </w:footnote>
  <w:footnote w:id="6">
    <w:p w14:paraId="1A2C06B4"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Ibíd.</w:t>
      </w:r>
    </w:p>
    <w:p w14:paraId="2609F4CB"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7">
    <w:p w14:paraId="6700DB92" w14:textId="77777777" w:rsidR="003417D6" w:rsidRPr="004800EA" w:rsidRDefault="003417D6" w:rsidP="003417D6">
      <w:pPr>
        <w:pStyle w:val="Textonotapie"/>
        <w:ind w:firstLine="709"/>
        <w:contextualSpacing/>
        <w:jc w:val="both"/>
        <w:rPr>
          <w:rFonts w:ascii="Verdana" w:hAnsi="Verdana" w:cs="Arial"/>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CONSEJO DE ESTADO. Sección Tercera. Subsección C. Sentencia de Unificación del 2 de diciembre de 2013. Exp. 41.719. C.P. Jaime Orlando Santofimio Gamboa.</w:t>
      </w:r>
      <w:r w:rsidRPr="004800EA">
        <w:rPr>
          <w:rFonts w:ascii="Verdana" w:hAnsi="Verdana" w:cs="Arial"/>
          <w:sz w:val="10"/>
          <w:szCs w:val="10"/>
        </w:rPr>
        <w:t xml:space="preserve"> </w:t>
      </w:r>
    </w:p>
    <w:p w14:paraId="26F4695A"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97A5819"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Son también contratos de consultoría los que tienen por objeto la interventoría, asesoría, gerencia de obra o de proyectos, dirección, programación y la ejecución de diseños, planos, anteproyectos y proyectos.</w:t>
      </w:r>
    </w:p>
    <w:p w14:paraId="3592659D"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Ninguna orden del interventor de una obra podrá darse verbalmente. Es obligatorio para el interventor entregar por escrito sus órdenes o sugerencias y ellas deben enmarcarse dentro de los términos del respectivo contrato”.</w:t>
      </w:r>
    </w:p>
    <w:p w14:paraId="4C510A28"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8">
    <w:p w14:paraId="5BFF7D5E"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Así lo dispone el artículo 2.2.1.2.1.4.1. del Decreto 1082 de 2015: “La Entidad Estatal debe señalar en un acto administrativo la justificación para contratar bajo la modalidad de contratación directa, el cual debe contener:</w:t>
      </w:r>
    </w:p>
    <w:p w14:paraId="73795B02"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1. La causal que invoca para contratar directamente.</w:t>
      </w:r>
    </w:p>
    <w:p w14:paraId="11A55018"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2. El objeto del contrato.</w:t>
      </w:r>
    </w:p>
    <w:p w14:paraId="0DFE5FA5"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3. El presupuesto para la contratación y las condiciones que exigirá al contratista.</w:t>
      </w:r>
    </w:p>
    <w:p w14:paraId="72A7F5E2"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4. El lugar en el cual los interesados pueden consultar los estudios y documentos previos.</w:t>
      </w:r>
    </w:p>
    <w:p w14:paraId="3090E11A"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9">
    <w:p w14:paraId="411881FB"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 xml:space="preserve">La norma expresa: “Art. 14. </w:t>
      </w:r>
      <w:r w:rsidRPr="004800EA">
        <w:rPr>
          <w:rFonts w:ascii="Verdana" w:hAnsi="Verdana" w:cs="Arial"/>
          <w:sz w:val="10"/>
          <w:szCs w:val="10"/>
        </w:rPr>
        <w:t>P</w:t>
      </w:r>
      <w:r w:rsidRPr="004800EA">
        <w:rPr>
          <w:rFonts w:ascii="Verdana" w:hAnsi="Verdana" w:cs="Arial"/>
          <w:sz w:val="10"/>
          <w:szCs w:val="10"/>
          <w:lang w:val="es-ES"/>
        </w:rPr>
        <w:t>ara el cumplimiento de los fines de la contratación, las entidades estatales al celebrar un contrato:</w:t>
      </w:r>
    </w:p>
    <w:p w14:paraId="643F445C"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w:t>
      </w:r>
    </w:p>
    <w:p w14:paraId="6A2E76E1" w14:textId="77777777" w:rsidR="003417D6" w:rsidRPr="004800EA" w:rsidRDefault="003417D6" w:rsidP="003417D6">
      <w:pPr>
        <w:pStyle w:val="Textonotapie"/>
        <w:ind w:firstLine="709"/>
        <w:contextualSpacing/>
        <w:jc w:val="both"/>
        <w:rPr>
          <w:rFonts w:ascii="Verdana" w:hAnsi="Verdana" w:cs="Arial"/>
          <w:sz w:val="10"/>
          <w:szCs w:val="10"/>
          <w:lang w:val="es-ES"/>
        </w:rPr>
      </w:pPr>
    </w:p>
    <w:p w14:paraId="13938070"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Fonts w:ascii="Verdana" w:hAnsi="Verdana"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CB31557" w14:textId="77777777" w:rsidR="003417D6" w:rsidRPr="004800EA" w:rsidRDefault="003417D6" w:rsidP="003417D6">
      <w:pPr>
        <w:pStyle w:val="Textonotapie"/>
        <w:ind w:firstLine="708"/>
        <w:contextualSpacing/>
        <w:jc w:val="both"/>
        <w:rPr>
          <w:rFonts w:ascii="Verdana" w:hAnsi="Verdana" w:cs="Arial"/>
          <w:sz w:val="10"/>
          <w:szCs w:val="10"/>
          <w:lang w:val="es-ES"/>
        </w:rPr>
      </w:pPr>
      <w:r w:rsidRPr="004800EA">
        <w:rPr>
          <w:rFonts w:ascii="Verdana" w:hAnsi="Verdana" w:cs="Arial"/>
          <w:sz w:val="10"/>
          <w:szCs w:val="10"/>
          <w:lang w:val="es-ES"/>
        </w:rPr>
        <w:t>Las entidades estatales podrán pactar estas cláusulas en los contratos de suministro y de prestación de servicios.”.</w:t>
      </w:r>
    </w:p>
    <w:p w14:paraId="1D467D7B"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10">
    <w:p w14:paraId="3448871D" w14:textId="77777777" w:rsidR="003417D6" w:rsidRPr="004800EA" w:rsidRDefault="003417D6" w:rsidP="003417D6">
      <w:pPr>
        <w:pStyle w:val="Textonotapie"/>
        <w:ind w:firstLine="709"/>
        <w:contextualSpacing/>
        <w:jc w:val="both"/>
        <w:rPr>
          <w:rFonts w:ascii="Verdana" w:hAnsi="Verdana" w:cs="Arial"/>
          <w:sz w:val="10"/>
          <w:szCs w:val="10"/>
          <w:lang w:val="es-ES"/>
        </w:rPr>
      </w:pPr>
      <w:r w:rsidRPr="004800EA">
        <w:rPr>
          <w:rStyle w:val="Refdenotaalpie"/>
          <w:rFonts w:ascii="Verdana" w:hAnsi="Verdana" w:cs="Arial"/>
          <w:sz w:val="10"/>
          <w:szCs w:val="10"/>
        </w:rPr>
        <w:footnoteRef/>
      </w:r>
      <w:r w:rsidRPr="004800EA">
        <w:rPr>
          <w:rFonts w:ascii="Verdana" w:hAnsi="Verdana" w:cs="Arial"/>
          <w:sz w:val="10"/>
          <w:szCs w:val="10"/>
        </w:rPr>
        <w:t xml:space="preserve"> </w:t>
      </w:r>
      <w:r w:rsidRPr="004800EA">
        <w:rPr>
          <w:rFonts w:ascii="Verdana" w:hAnsi="Verdana" w:cs="Arial"/>
          <w:sz w:val="10"/>
          <w:szCs w:val="10"/>
          <w:lang w:val="es-ES"/>
        </w:rPr>
        <w:t>La norma dispone: “La liquidación a que se refiere el presente artículo no será obligatoria en los contratos de prestación de servicios profesionales y de apoyo a la gestión”.</w:t>
      </w:r>
    </w:p>
    <w:p w14:paraId="5D743C8C"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11">
    <w:p w14:paraId="4F43BEF8" w14:textId="77777777" w:rsidR="003417D6" w:rsidRPr="004800EA" w:rsidRDefault="003417D6" w:rsidP="003417D6">
      <w:pPr>
        <w:pStyle w:val="Textonotapie"/>
        <w:ind w:firstLine="709"/>
        <w:contextualSpacing/>
        <w:jc w:val="both"/>
        <w:rPr>
          <w:rFonts w:ascii="Verdana" w:hAnsi="Verdana" w:cs="Arial"/>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5021073" w14:textId="77777777" w:rsidR="003417D6" w:rsidRPr="004800EA" w:rsidRDefault="003417D6" w:rsidP="003417D6">
      <w:pPr>
        <w:pStyle w:val="Textonotapie"/>
        <w:ind w:firstLine="709"/>
        <w:contextualSpacing/>
        <w:jc w:val="both"/>
        <w:rPr>
          <w:rFonts w:ascii="Verdana" w:hAnsi="Verdana" w:cs="Arial"/>
          <w:sz w:val="10"/>
          <w:szCs w:val="10"/>
        </w:rPr>
      </w:pPr>
      <w:r w:rsidRPr="004800EA">
        <w:rPr>
          <w:rFonts w:ascii="Verdana" w:hAnsi="Verdana" w:cs="Arial"/>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B3DFC3E" w14:textId="77777777" w:rsidR="003417D6" w:rsidRPr="004800EA" w:rsidRDefault="003417D6" w:rsidP="003417D6">
      <w:pPr>
        <w:pStyle w:val="Textonotapie"/>
        <w:ind w:firstLine="709"/>
        <w:contextualSpacing/>
        <w:jc w:val="both"/>
        <w:rPr>
          <w:rFonts w:ascii="Verdana" w:hAnsi="Verdana" w:cs="Arial"/>
          <w:sz w:val="10"/>
          <w:szCs w:val="10"/>
          <w:lang w:val="es-ES"/>
        </w:rPr>
      </w:pPr>
    </w:p>
  </w:footnote>
  <w:footnote w:id="12">
    <w:p w14:paraId="4402C917" w14:textId="77777777" w:rsidR="003417D6" w:rsidRPr="004800EA" w:rsidRDefault="003417D6" w:rsidP="003417D6">
      <w:pPr>
        <w:pStyle w:val="Textonotapie"/>
        <w:ind w:firstLine="708"/>
        <w:rPr>
          <w:rFonts w:ascii="Verdana" w:hAnsi="Verdana" w:cs="Arial"/>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Artículos 3 y 40 de la Ley 80 de 1993.</w:t>
      </w:r>
    </w:p>
  </w:footnote>
  <w:footnote w:id="13">
    <w:p w14:paraId="39E946DB" w14:textId="77777777" w:rsidR="003417D6" w:rsidRPr="004800EA" w:rsidRDefault="003417D6" w:rsidP="003417D6">
      <w:pPr>
        <w:pStyle w:val="Textonotapie"/>
        <w:ind w:firstLine="708"/>
        <w:rPr>
          <w:rFonts w:ascii="Verdana" w:hAnsi="Verdana"/>
          <w:sz w:val="10"/>
          <w:szCs w:val="10"/>
        </w:rPr>
      </w:pPr>
      <w:r w:rsidRPr="004800EA">
        <w:rPr>
          <w:rStyle w:val="Refdenotaalpie"/>
          <w:rFonts w:ascii="Verdana" w:hAnsi="Verdana" w:cs="Arial"/>
          <w:sz w:val="10"/>
          <w:szCs w:val="10"/>
        </w:rPr>
        <w:footnoteRef/>
      </w:r>
      <w:r w:rsidRPr="004800EA">
        <w:rPr>
          <w:rFonts w:ascii="Verdana" w:hAnsi="Verdana" w:cs="Arial"/>
          <w:sz w:val="10"/>
          <w:szCs w:val="10"/>
        </w:rPr>
        <w:t xml:space="preserve"> Artículo 209 de la Constitución Política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55C4F"/>
    <w:multiLevelType w:val="hybridMultilevel"/>
    <w:tmpl w:val="27207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2137D1"/>
    <w:multiLevelType w:val="hybridMultilevel"/>
    <w:tmpl w:val="FF46D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502DD"/>
    <w:multiLevelType w:val="hybridMultilevel"/>
    <w:tmpl w:val="2C2A8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E5AE1"/>
    <w:multiLevelType w:val="hybridMultilevel"/>
    <w:tmpl w:val="1B62FA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1FA4C4F"/>
    <w:multiLevelType w:val="hybridMultilevel"/>
    <w:tmpl w:val="E03AC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AF7AF3"/>
    <w:multiLevelType w:val="hybridMultilevel"/>
    <w:tmpl w:val="0B5C3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F50332"/>
    <w:multiLevelType w:val="hybridMultilevel"/>
    <w:tmpl w:val="48347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732EB9"/>
    <w:multiLevelType w:val="hybridMultilevel"/>
    <w:tmpl w:val="5D3079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1BB4503"/>
    <w:multiLevelType w:val="hybridMultilevel"/>
    <w:tmpl w:val="95C2A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3F787D"/>
    <w:multiLevelType w:val="hybridMultilevel"/>
    <w:tmpl w:val="6CF2F4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67FD3277"/>
    <w:multiLevelType w:val="hybridMultilevel"/>
    <w:tmpl w:val="586A5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2E65AA"/>
    <w:multiLevelType w:val="multilevel"/>
    <w:tmpl w:val="EADC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5"/>
  </w:num>
  <w:num w:numId="7" w16cid:durableId="1946422806">
    <w:abstractNumId w:val="7"/>
  </w:num>
  <w:num w:numId="8" w16cid:durableId="152644682">
    <w:abstractNumId w:val="24"/>
  </w:num>
  <w:num w:numId="9" w16cid:durableId="1317221377">
    <w:abstractNumId w:val="10"/>
  </w:num>
  <w:num w:numId="10" w16cid:durableId="1471245386">
    <w:abstractNumId w:val="22"/>
  </w:num>
  <w:num w:numId="11" w16cid:durableId="289172385">
    <w:abstractNumId w:val="11"/>
  </w:num>
  <w:num w:numId="12" w16cid:durableId="1470781324">
    <w:abstractNumId w:val="1"/>
  </w:num>
  <w:num w:numId="13" w16cid:durableId="1512908409">
    <w:abstractNumId w:val="3"/>
  </w:num>
  <w:num w:numId="14" w16cid:durableId="895897244">
    <w:abstractNumId w:val="26"/>
  </w:num>
  <w:num w:numId="15" w16cid:durableId="390349800">
    <w:abstractNumId w:val="20"/>
  </w:num>
  <w:num w:numId="16" w16cid:durableId="341274352">
    <w:abstractNumId w:val="0"/>
  </w:num>
  <w:num w:numId="17" w16cid:durableId="679089576">
    <w:abstractNumId w:val="13"/>
  </w:num>
  <w:num w:numId="18" w16cid:durableId="1645235419">
    <w:abstractNumId w:val="5"/>
  </w:num>
  <w:num w:numId="19" w16cid:durableId="1608613297">
    <w:abstractNumId w:val="17"/>
  </w:num>
  <w:num w:numId="20" w16cid:durableId="879052372">
    <w:abstractNumId w:val="14"/>
  </w:num>
  <w:num w:numId="21" w16cid:durableId="1918898045">
    <w:abstractNumId w:val="21"/>
  </w:num>
  <w:num w:numId="22" w16cid:durableId="1448425335">
    <w:abstractNumId w:val="12"/>
  </w:num>
  <w:num w:numId="23" w16cid:durableId="2146581353">
    <w:abstractNumId w:val="23"/>
  </w:num>
  <w:num w:numId="24" w16cid:durableId="1604914808">
    <w:abstractNumId w:val="19"/>
  </w:num>
  <w:num w:numId="25" w16cid:durableId="585113253">
    <w:abstractNumId w:val="16"/>
  </w:num>
  <w:num w:numId="26" w16cid:durableId="1820416890">
    <w:abstractNumId w:val="8"/>
  </w:num>
  <w:num w:numId="27" w16cid:durableId="361441766">
    <w:abstractNumId w:val="4"/>
  </w:num>
  <w:num w:numId="28" w16cid:durableId="132453091">
    <w:abstractNumId w:val="18"/>
  </w:num>
  <w:num w:numId="29" w16cid:durableId="765274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7AF"/>
    <w:rsid w:val="00010276"/>
    <w:rsid w:val="00010388"/>
    <w:rsid w:val="00017D9B"/>
    <w:rsid w:val="00033A9F"/>
    <w:rsid w:val="00056880"/>
    <w:rsid w:val="00061248"/>
    <w:rsid w:val="00061B2A"/>
    <w:rsid w:val="00082362"/>
    <w:rsid w:val="00096CB1"/>
    <w:rsid w:val="000A5100"/>
    <w:rsid w:val="000A683E"/>
    <w:rsid w:val="000B0103"/>
    <w:rsid w:val="000B19B9"/>
    <w:rsid w:val="000B5C8A"/>
    <w:rsid w:val="000D0334"/>
    <w:rsid w:val="000E28B2"/>
    <w:rsid w:val="000E7B85"/>
    <w:rsid w:val="000E7EB8"/>
    <w:rsid w:val="000F6486"/>
    <w:rsid w:val="001027E0"/>
    <w:rsid w:val="00112741"/>
    <w:rsid w:val="0011601A"/>
    <w:rsid w:val="00125105"/>
    <w:rsid w:val="00127233"/>
    <w:rsid w:val="001719F0"/>
    <w:rsid w:val="001931C8"/>
    <w:rsid w:val="001B725F"/>
    <w:rsid w:val="001D235E"/>
    <w:rsid w:val="001E4177"/>
    <w:rsid w:val="001F2531"/>
    <w:rsid w:val="001F7DC6"/>
    <w:rsid w:val="00210D5F"/>
    <w:rsid w:val="00215F8B"/>
    <w:rsid w:val="0022750D"/>
    <w:rsid w:val="0024064F"/>
    <w:rsid w:val="002421BB"/>
    <w:rsid w:val="00251578"/>
    <w:rsid w:val="0025796E"/>
    <w:rsid w:val="002707A2"/>
    <w:rsid w:val="00285874"/>
    <w:rsid w:val="002951A0"/>
    <w:rsid w:val="002961BA"/>
    <w:rsid w:val="002962BC"/>
    <w:rsid w:val="002A093D"/>
    <w:rsid w:val="002A0DD0"/>
    <w:rsid w:val="002A49AC"/>
    <w:rsid w:val="002A64FD"/>
    <w:rsid w:val="002A7E62"/>
    <w:rsid w:val="002C181E"/>
    <w:rsid w:val="002C7A84"/>
    <w:rsid w:val="002E4FD9"/>
    <w:rsid w:val="00310A72"/>
    <w:rsid w:val="00316E19"/>
    <w:rsid w:val="00322A85"/>
    <w:rsid w:val="00323E72"/>
    <w:rsid w:val="00324168"/>
    <w:rsid w:val="003417D6"/>
    <w:rsid w:val="003448F4"/>
    <w:rsid w:val="00374F5E"/>
    <w:rsid w:val="00375445"/>
    <w:rsid w:val="00377479"/>
    <w:rsid w:val="00377E3E"/>
    <w:rsid w:val="00393396"/>
    <w:rsid w:val="003949B8"/>
    <w:rsid w:val="003A083A"/>
    <w:rsid w:val="003A26D1"/>
    <w:rsid w:val="003A2B6C"/>
    <w:rsid w:val="003A779E"/>
    <w:rsid w:val="003D0F4D"/>
    <w:rsid w:val="003D5B0D"/>
    <w:rsid w:val="003E0499"/>
    <w:rsid w:val="003F3941"/>
    <w:rsid w:val="0040584D"/>
    <w:rsid w:val="00406575"/>
    <w:rsid w:val="00411D09"/>
    <w:rsid w:val="004132E1"/>
    <w:rsid w:val="0042722E"/>
    <w:rsid w:val="00444F57"/>
    <w:rsid w:val="0044528D"/>
    <w:rsid w:val="004521FB"/>
    <w:rsid w:val="004525EF"/>
    <w:rsid w:val="0045426E"/>
    <w:rsid w:val="004618A3"/>
    <w:rsid w:val="00467D00"/>
    <w:rsid w:val="00470CD2"/>
    <w:rsid w:val="00474D9B"/>
    <w:rsid w:val="004A1847"/>
    <w:rsid w:val="004A305D"/>
    <w:rsid w:val="004B7704"/>
    <w:rsid w:val="004C1FF0"/>
    <w:rsid w:val="004C3C55"/>
    <w:rsid w:val="004E2BFC"/>
    <w:rsid w:val="004F1A09"/>
    <w:rsid w:val="004F21C4"/>
    <w:rsid w:val="004F2CDC"/>
    <w:rsid w:val="004F685F"/>
    <w:rsid w:val="0050091E"/>
    <w:rsid w:val="0052671D"/>
    <w:rsid w:val="005566E8"/>
    <w:rsid w:val="00574867"/>
    <w:rsid w:val="0058411D"/>
    <w:rsid w:val="00586CEB"/>
    <w:rsid w:val="00591460"/>
    <w:rsid w:val="00592212"/>
    <w:rsid w:val="00592628"/>
    <w:rsid w:val="00597A76"/>
    <w:rsid w:val="005B61E4"/>
    <w:rsid w:val="005C3777"/>
    <w:rsid w:val="005C5CDC"/>
    <w:rsid w:val="005C5DE8"/>
    <w:rsid w:val="005D476C"/>
    <w:rsid w:val="005F4C3D"/>
    <w:rsid w:val="006069DA"/>
    <w:rsid w:val="0060718F"/>
    <w:rsid w:val="00607EAB"/>
    <w:rsid w:val="00610812"/>
    <w:rsid w:val="00614DAB"/>
    <w:rsid w:val="006219F8"/>
    <w:rsid w:val="006245B2"/>
    <w:rsid w:val="00631B2E"/>
    <w:rsid w:val="00635759"/>
    <w:rsid w:val="00636576"/>
    <w:rsid w:val="00641233"/>
    <w:rsid w:val="00650FF7"/>
    <w:rsid w:val="00665D70"/>
    <w:rsid w:val="00671DAC"/>
    <w:rsid w:val="006730A3"/>
    <w:rsid w:val="006900D9"/>
    <w:rsid w:val="006B6746"/>
    <w:rsid w:val="006C5991"/>
    <w:rsid w:val="006D12F8"/>
    <w:rsid w:val="006F7349"/>
    <w:rsid w:val="00706C16"/>
    <w:rsid w:val="00712A22"/>
    <w:rsid w:val="007269A3"/>
    <w:rsid w:val="00734C4F"/>
    <w:rsid w:val="00746658"/>
    <w:rsid w:val="00746BA0"/>
    <w:rsid w:val="00756841"/>
    <w:rsid w:val="007628DC"/>
    <w:rsid w:val="007649AB"/>
    <w:rsid w:val="007677EA"/>
    <w:rsid w:val="00771D0C"/>
    <w:rsid w:val="007833AC"/>
    <w:rsid w:val="007A2533"/>
    <w:rsid w:val="007B268C"/>
    <w:rsid w:val="007B7171"/>
    <w:rsid w:val="007C0C0F"/>
    <w:rsid w:val="007C3DC2"/>
    <w:rsid w:val="007D29AF"/>
    <w:rsid w:val="007E5497"/>
    <w:rsid w:val="007E713D"/>
    <w:rsid w:val="00806F5F"/>
    <w:rsid w:val="00815EC1"/>
    <w:rsid w:val="00820278"/>
    <w:rsid w:val="008547E3"/>
    <w:rsid w:val="008645EF"/>
    <w:rsid w:val="0087577E"/>
    <w:rsid w:val="008843B6"/>
    <w:rsid w:val="00890E0F"/>
    <w:rsid w:val="00891928"/>
    <w:rsid w:val="008931B2"/>
    <w:rsid w:val="00895AF1"/>
    <w:rsid w:val="008A446D"/>
    <w:rsid w:val="008D180B"/>
    <w:rsid w:val="008D679E"/>
    <w:rsid w:val="008D757E"/>
    <w:rsid w:val="008E085D"/>
    <w:rsid w:val="008E0A96"/>
    <w:rsid w:val="008F0EA7"/>
    <w:rsid w:val="008F276D"/>
    <w:rsid w:val="00902FD4"/>
    <w:rsid w:val="009031CC"/>
    <w:rsid w:val="00910F55"/>
    <w:rsid w:val="00915663"/>
    <w:rsid w:val="00923EEF"/>
    <w:rsid w:val="009419F9"/>
    <w:rsid w:val="00947E00"/>
    <w:rsid w:val="0095685E"/>
    <w:rsid w:val="00961B09"/>
    <w:rsid w:val="00962C0D"/>
    <w:rsid w:val="00965334"/>
    <w:rsid w:val="0097093E"/>
    <w:rsid w:val="00991C98"/>
    <w:rsid w:val="009A0DFA"/>
    <w:rsid w:val="009A2198"/>
    <w:rsid w:val="009A5D5F"/>
    <w:rsid w:val="009B15D1"/>
    <w:rsid w:val="009B2D26"/>
    <w:rsid w:val="009C71FA"/>
    <w:rsid w:val="009C72E7"/>
    <w:rsid w:val="009D3058"/>
    <w:rsid w:val="009E53C6"/>
    <w:rsid w:val="009F3A13"/>
    <w:rsid w:val="00A04949"/>
    <w:rsid w:val="00A122D3"/>
    <w:rsid w:val="00A17F13"/>
    <w:rsid w:val="00A20739"/>
    <w:rsid w:val="00A24EEE"/>
    <w:rsid w:val="00A259C9"/>
    <w:rsid w:val="00A33C78"/>
    <w:rsid w:val="00A619FA"/>
    <w:rsid w:val="00A9499D"/>
    <w:rsid w:val="00AB0ADB"/>
    <w:rsid w:val="00AE04A2"/>
    <w:rsid w:val="00AE3073"/>
    <w:rsid w:val="00AE5673"/>
    <w:rsid w:val="00AE729D"/>
    <w:rsid w:val="00AF441D"/>
    <w:rsid w:val="00AF5017"/>
    <w:rsid w:val="00B01B1A"/>
    <w:rsid w:val="00B0466F"/>
    <w:rsid w:val="00B1422C"/>
    <w:rsid w:val="00B23176"/>
    <w:rsid w:val="00B373A1"/>
    <w:rsid w:val="00B434B8"/>
    <w:rsid w:val="00B45F95"/>
    <w:rsid w:val="00B50653"/>
    <w:rsid w:val="00B72CD3"/>
    <w:rsid w:val="00B72FFF"/>
    <w:rsid w:val="00B745E3"/>
    <w:rsid w:val="00B93CD3"/>
    <w:rsid w:val="00B954BF"/>
    <w:rsid w:val="00B96EE1"/>
    <w:rsid w:val="00BC3D36"/>
    <w:rsid w:val="00BD42B8"/>
    <w:rsid w:val="00BD7F72"/>
    <w:rsid w:val="00BE09E4"/>
    <w:rsid w:val="00BF3B25"/>
    <w:rsid w:val="00BF7C05"/>
    <w:rsid w:val="00C01EEE"/>
    <w:rsid w:val="00C04FB3"/>
    <w:rsid w:val="00C05207"/>
    <w:rsid w:val="00C27E1F"/>
    <w:rsid w:val="00C330EB"/>
    <w:rsid w:val="00C339F7"/>
    <w:rsid w:val="00C34F37"/>
    <w:rsid w:val="00C3622D"/>
    <w:rsid w:val="00C37586"/>
    <w:rsid w:val="00C44B1E"/>
    <w:rsid w:val="00C4649D"/>
    <w:rsid w:val="00C7061F"/>
    <w:rsid w:val="00C7480A"/>
    <w:rsid w:val="00C754BE"/>
    <w:rsid w:val="00C76B1C"/>
    <w:rsid w:val="00C82C73"/>
    <w:rsid w:val="00CB60CB"/>
    <w:rsid w:val="00CB6357"/>
    <w:rsid w:val="00CB68AA"/>
    <w:rsid w:val="00CC1B26"/>
    <w:rsid w:val="00D00C17"/>
    <w:rsid w:val="00D017D2"/>
    <w:rsid w:val="00D26682"/>
    <w:rsid w:val="00D423A2"/>
    <w:rsid w:val="00D44BA4"/>
    <w:rsid w:val="00D520D8"/>
    <w:rsid w:val="00D63AC2"/>
    <w:rsid w:val="00D7383B"/>
    <w:rsid w:val="00DA231B"/>
    <w:rsid w:val="00DA23A0"/>
    <w:rsid w:val="00DB7B73"/>
    <w:rsid w:val="00DC39FC"/>
    <w:rsid w:val="00DD66CC"/>
    <w:rsid w:val="00DF4476"/>
    <w:rsid w:val="00DF5254"/>
    <w:rsid w:val="00E16408"/>
    <w:rsid w:val="00E20894"/>
    <w:rsid w:val="00E245AB"/>
    <w:rsid w:val="00E2764C"/>
    <w:rsid w:val="00E27F2E"/>
    <w:rsid w:val="00E413EA"/>
    <w:rsid w:val="00E50AFE"/>
    <w:rsid w:val="00E51D29"/>
    <w:rsid w:val="00E709AE"/>
    <w:rsid w:val="00E758FD"/>
    <w:rsid w:val="00E75C92"/>
    <w:rsid w:val="00E771DC"/>
    <w:rsid w:val="00E8772A"/>
    <w:rsid w:val="00E90F6B"/>
    <w:rsid w:val="00E911E0"/>
    <w:rsid w:val="00E92C27"/>
    <w:rsid w:val="00EA0DBB"/>
    <w:rsid w:val="00EA0E3D"/>
    <w:rsid w:val="00EC137C"/>
    <w:rsid w:val="00EC38A7"/>
    <w:rsid w:val="00EC4BFE"/>
    <w:rsid w:val="00EE1AA8"/>
    <w:rsid w:val="00EE2BCC"/>
    <w:rsid w:val="00F20D27"/>
    <w:rsid w:val="00F31EDC"/>
    <w:rsid w:val="00F4595F"/>
    <w:rsid w:val="00F462B3"/>
    <w:rsid w:val="00F524BC"/>
    <w:rsid w:val="00F537B3"/>
    <w:rsid w:val="00F5664F"/>
    <w:rsid w:val="00F63E2E"/>
    <w:rsid w:val="00F6586A"/>
    <w:rsid w:val="00F666C4"/>
    <w:rsid w:val="00F70DED"/>
    <w:rsid w:val="00F76AFC"/>
    <w:rsid w:val="00F85D90"/>
    <w:rsid w:val="00F905A5"/>
    <w:rsid w:val="00F94DE9"/>
    <w:rsid w:val="00F970D0"/>
    <w:rsid w:val="00FA1578"/>
    <w:rsid w:val="00FA47C0"/>
    <w:rsid w:val="00FB5DD1"/>
    <w:rsid w:val="00FC2B5D"/>
    <w:rsid w:val="00FD3636"/>
    <w:rsid w:val="00FE329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343826C-BF5E-4BFF-B04C-E9ED1D2F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37586"/>
    <w:pPr>
      <w:spacing w:line="240" w:lineRule="exact"/>
    </w:pPr>
    <w:rPr>
      <w:vertAlign w:val="superscript"/>
    </w:rPr>
  </w:style>
  <w:style w:type="character" w:customStyle="1" w:styleId="cf01">
    <w:name w:val="cf01"/>
    <w:basedOn w:val="Fuentedeprrafopredeter"/>
    <w:rsid w:val="00C37586"/>
    <w:rPr>
      <w:rFonts w:ascii="Segoe UI" w:hAnsi="Segoe UI" w:cs="Segoe UI" w:hint="default"/>
      <w:i/>
      <w:iCs/>
      <w:sz w:val="18"/>
      <w:szCs w:val="18"/>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37586"/>
    <w:rPr>
      <w:rFonts w:ascii="Geomanist Light" w:hAnsi="Geomanist Light"/>
      <w:lang w:val="es-ES"/>
    </w:rPr>
  </w:style>
  <w:style w:type="character" w:customStyle="1" w:styleId="NormalWebCar">
    <w:name w:val="Normal (Web) Car"/>
    <w:link w:val="NormalWeb"/>
    <w:uiPriority w:val="99"/>
    <w:rsid w:val="00C37586"/>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DF4476"/>
    <w:rPr>
      <w:sz w:val="16"/>
      <w:szCs w:val="16"/>
    </w:rPr>
  </w:style>
  <w:style w:type="paragraph" w:styleId="Textocomentario">
    <w:name w:val="annotation text"/>
    <w:basedOn w:val="Normal"/>
    <w:link w:val="TextocomentarioCar"/>
    <w:uiPriority w:val="99"/>
    <w:unhideWhenUsed/>
    <w:rsid w:val="00DF4476"/>
    <w:pPr>
      <w:spacing w:line="240" w:lineRule="auto"/>
    </w:pPr>
    <w:rPr>
      <w:sz w:val="20"/>
      <w:szCs w:val="20"/>
    </w:rPr>
  </w:style>
  <w:style w:type="character" w:customStyle="1" w:styleId="TextocomentarioCar">
    <w:name w:val="Texto comentario Car"/>
    <w:basedOn w:val="Fuentedeprrafopredeter"/>
    <w:link w:val="Textocomentario"/>
    <w:uiPriority w:val="99"/>
    <w:rsid w:val="00DF4476"/>
    <w:rPr>
      <w:sz w:val="20"/>
      <w:szCs w:val="20"/>
    </w:rPr>
  </w:style>
  <w:style w:type="paragraph" w:styleId="Asuntodelcomentario">
    <w:name w:val="annotation subject"/>
    <w:basedOn w:val="Textocomentario"/>
    <w:next w:val="Textocomentario"/>
    <w:link w:val="AsuntodelcomentarioCar"/>
    <w:uiPriority w:val="99"/>
    <w:semiHidden/>
    <w:unhideWhenUsed/>
    <w:rsid w:val="00DF4476"/>
    <w:rPr>
      <w:b/>
      <w:bCs/>
    </w:rPr>
  </w:style>
  <w:style w:type="character" w:customStyle="1" w:styleId="AsuntodelcomentarioCar">
    <w:name w:val="Asunto del comentario Car"/>
    <w:basedOn w:val="TextocomentarioCar"/>
    <w:link w:val="Asuntodelcomentario"/>
    <w:uiPriority w:val="99"/>
    <w:semiHidden/>
    <w:rsid w:val="00DF4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7961">
      <w:bodyDiv w:val="1"/>
      <w:marLeft w:val="0"/>
      <w:marRight w:val="0"/>
      <w:marTop w:val="0"/>
      <w:marBottom w:val="0"/>
      <w:divBdr>
        <w:top w:val="none" w:sz="0" w:space="0" w:color="auto"/>
        <w:left w:val="none" w:sz="0" w:space="0" w:color="auto"/>
        <w:bottom w:val="none" w:sz="0" w:space="0" w:color="auto"/>
        <w:right w:val="none" w:sz="0" w:space="0" w:color="auto"/>
      </w:divBdr>
    </w:div>
    <w:div w:id="134226288">
      <w:bodyDiv w:val="1"/>
      <w:marLeft w:val="0"/>
      <w:marRight w:val="0"/>
      <w:marTop w:val="0"/>
      <w:marBottom w:val="0"/>
      <w:divBdr>
        <w:top w:val="none" w:sz="0" w:space="0" w:color="auto"/>
        <w:left w:val="none" w:sz="0" w:space="0" w:color="auto"/>
        <w:bottom w:val="none" w:sz="0" w:space="0" w:color="auto"/>
        <w:right w:val="none" w:sz="0" w:space="0" w:color="auto"/>
      </w:divBdr>
    </w:div>
    <w:div w:id="13549503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2173585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814784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8477172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08"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uncionpublica.gov.co/eva/gestornormativo/norma.php?i=308" TargetMode="External"/><Relationship Id="rId17" Type="http://schemas.openxmlformats.org/officeDocument/2006/relationships/hyperlink" Target="https://www.colombiacompra.gov.co/sites/cce_public/files/files_2020/boletin_de_realtoria_iii.pdf" TargetMode="External"/><Relationship Id="rId2" Type="http://schemas.openxmlformats.org/officeDocument/2006/relationships/customXml" Target="../customXml/item2.xml"/><Relationship Id="rId16" Type="http://schemas.openxmlformats.org/officeDocument/2006/relationships/hyperlink" Target="https://relatoria.colombiacompra.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funcionpublica.gov.co/eva/gestornormativo/norma.php?i=30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C7521-E246-4A60-B748-EA7DCEC1E482}">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4CEE04A9-DC84-4FFC-982C-A65093D64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5166</Words>
  <Characters>28419</Characters>
  <Application>Microsoft Office Word</Application>
  <DocSecurity>0</DocSecurity>
  <Lines>236</Lines>
  <Paragraphs>67</Paragraphs>
  <ScaleCrop>false</ScaleCrop>
  <Company/>
  <LinksUpToDate>false</LinksUpToDate>
  <CharactersWithSpaces>33518</CharactersWithSpaces>
  <SharedDoc>false</SharedDoc>
  <HLinks>
    <vt:vector size="12" baseType="variant">
      <vt:variant>
        <vt:i4>5439494</vt:i4>
      </vt:variant>
      <vt:variant>
        <vt:i4>3</vt:i4>
      </vt:variant>
      <vt:variant>
        <vt:i4>0</vt:i4>
      </vt:variant>
      <vt:variant>
        <vt:i4>5</vt:i4>
      </vt:variant>
      <vt:variant>
        <vt:lpwstr>https://www.colombiacompra.gov.co/sala-de-prensa/boletin-digital</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Gloria Ximena Moreno Guio</cp:lastModifiedBy>
  <cp:revision>69</cp:revision>
  <cp:lastPrinted>2023-01-10T21:18:00Z</cp:lastPrinted>
  <dcterms:created xsi:type="dcterms:W3CDTF">2024-09-17T14:48:00Z</dcterms:created>
  <dcterms:modified xsi:type="dcterms:W3CDTF">2024-10-23T20:46:00Z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