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6AA" w14:textId="77777777" w:rsidR="005602AF" w:rsidRPr="00242856" w:rsidRDefault="005602AF" w:rsidP="005602AF">
      <w:pPr>
        <w:tabs>
          <w:tab w:val="left" w:pos="709"/>
        </w:tabs>
        <w:spacing w:line="276" w:lineRule="auto"/>
        <w:jc w:val="both"/>
        <w:rPr>
          <w:rFonts w:ascii="Verdana" w:eastAsia="Calibri" w:hAnsi="Verdana" w:cs="Arial"/>
          <w:b/>
          <w:bCs/>
          <w:color w:val="000000"/>
          <w:lang w:val="es-ES_tradnl" w:eastAsia="es-MX"/>
        </w:rPr>
      </w:pPr>
      <w:bookmarkStart w:id="0" w:name="_Hlk143780582"/>
      <w:r w:rsidRPr="00242856">
        <w:rPr>
          <w:rFonts w:ascii="Verdana" w:eastAsia="Calibri" w:hAnsi="Verdana" w:cs="Arial"/>
          <w:b/>
          <w:bCs/>
          <w:color w:val="000000"/>
          <w:lang w:val="es-ES_tradnl" w:eastAsia="es-MX"/>
        </w:rPr>
        <w:t xml:space="preserve">LEY 2069 DE 2020 − Impacto − Contratación estatal − Promoción − Acceso de las Mipymes – Compras públicas </w:t>
      </w:r>
    </w:p>
    <w:p w14:paraId="3FDF4808" w14:textId="0A70F2D7" w:rsidR="00F525F8" w:rsidRPr="00242856"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 xml:space="preserve">El 31 de diciembre de 2020 se promulgó la Ley 2069, </w:t>
      </w:r>
      <w:r w:rsidR="00691ED8"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Por medio de la cual se impulsa el emprendimiento en Colombia</w:t>
      </w:r>
      <w:r w:rsidR="00691ED8"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En cuanto a su contenido, es importante señalar que –como dispone el artículo 1– aquella </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tiene por objeto establecer un marco regulatorio que propicie el emprendimiento y el crecimiento, consolidación y sostenibilidad de las empresas, con el fin de aumentar el bienestar social y generar equidad</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Esto, a partir de </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un enfoque regionalizado </w:t>
      </w:r>
      <w:r w:rsidR="00647A17" w:rsidRPr="00F525F8">
        <w:rPr>
          <w:rFonts w:ascii="Verdana" w:eastAsia="Calibri" w:hAnsi="Verdana" w:cs="Arial"/>
          <w:color w:val="000000"/>
          <w:sz w:val="20"/>
          <w:szCs w:val="20"/>
          <w:lang w:val="es-ES_tradnl" w:eastAsia="es-MX"/>
        </w:rPr>
        <w:t>de acuerdo con</w:t>
      </w:r>
      <w:r w:rsidRPr="00F525F8">
        <w:rPr>
          <w:rFonts w:ascii="Verdana" w:eastAsia="Calibri" w:hAnsi="Verdana" w:cs="Arial"/>
          <w:color w:val="000000"/>
          <w:sz w:val="20"/>
          <w:szCs w:val="20"/>
          <w:lang w:val="es-ES_tradnl" w:eastAsia="es-MX"/>
        </w:rPr>
        <w:t xml:space="preserve"> las realidades socioeconómicas de cada región</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En desarrollo de esta finalidad, se establecen medidas de apoyo para las micro, pequeñas y medianas empresas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12536B9" w14:textId="77777777" w:rsidR="00D20DD7" w:rsidRPr="00F525F8" w:rsidRDefault="00D20DD7" w:rsidP="00D20DD7">
      <w:pPr>
        <w:spacing w:after="0" w:line="240" w:lineRule="auto"/>
        <w:jc w:val="both"/>
        <w:rPr>
          <w:rFonts w:ascii="Verdana" w:eastAsia="Calibri" w:hAnsi="Verdana" w:cs="Arial"/>
          <w:color w:val="000000"/>
          <w:sz w:val="20"/>
          <w:szCs w:val="20"/>
          <w:lang w:val="es-ES_tradnl" w:eastAsia="es-MX"/>
        </w:rPr>
      </w:pPr>
    </w:p>
    <w:p w14:paraId="73DB3425" w14:textId="77777777" w:rsidR="00F525F8" w:rsidRPr="00F525F8"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w:t>
      </w:r>
    </w:p>
    <w:p w14:paraId="64F60A96" w14:textId="77777777" w:rsidR="00D20DD7" w:rsidRPr="00242856" w:rsidRDefault="00D20DD7" w:rsidP="00D20DD7">
      <w:pPr>
        <w:spacing w:after="0" w:line="240" w:lineRule="auto"/>
        <w:jc w:val="both"/>
        <w:rPr>
          <w:rFonts w:ascii="Verdana" w:eastAsia="Calibri" w:hAnsi="Verdana" w:cs="Arial"/>
          <w:color w:val="000000"/>
          <w:sz w:val="20"/>
          <w:szCs w:val="20"/>
          <w:lang w:val="es-ES_tradnl" w:eastAsia="es-MX"/>
        </w:rPr>
      </w:pPr>
    </w:p>
    <w:p w14:paraId="39A48483" w14:textId="4BB11EC3" w:rsidR="00F525F8" w:rsidRPr="00242856"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xml:space="preserve"> en el procedimiento de mínima cuantía, ii) criterios diferenciales para </w:t>
      </w:r>
      <w:r w:rsidR="00792265" w:rsidRPr="00242856">
        <w:rPr>
          <w:rFonts w:ascii="Verdana" w:eastAsia="Calibri" w:hAnsi="Verdana" w:cs="Arial"/>
          <w:color w:val="000000"/>
          <w:sz w:val="20"/>
          <w:szCs w:val="20"/>
          <w:lang w:val="es-ES_tradnl" w:eastAsia="es-MX"/>
        </w:rPr>
        <w:t>MiPymes</w:t>
      </w:r>
      <w:r w:rsidR="00792265" w:rsidRPr="00F525F8">
        <w:rPr>
          <w:rFonts w:ascii="Verdana" w:eastAsia="Calibri" w:hAnsi="Verdana" w:cs="Arial"/>
          <w:color w:val="000000"/>
          <w:sz w:val="20"/>
          <w:szCs w:val="20"/>
          <w:lang w:val="es-ES_tradnl" w:eastAsia="es-MX"/>
        </w:rPr>
        <w:t xml:space="preserve"> </w:t>
      </w:r>
      <w:r w:rsidRPr="00F525F8">
        <w:rPr>
          <w:rFonts w:ascii="Verdana" w:eastAsia="Calibri" w:hAnsi="Verdana" w:cs="Arial"/>
          <w:color w:val="000000"/>
          <w:sz w:val="20"/>
          <w:szCs w:val="20"/>
          <w:lang w:val="es-ES_tradnl" w:eastAsia="es-MX"/>
        </w:rPr>
        <w:t xml:space="preserve">en el sistema de compras públicas, iii) criterios diferenciales para emprendimientos y empresas de mujeres en el sistema de compras públicas, iv) promoción del acceso de las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793F1DFD" w14:textId="77777777" w:rsidR="00F525F8" w:rsidRPr="00242856" w:rsidRDefault="00F525F8" w:rsidP="00F525F8">
      <w:pPr>
        <w:spacing w:after="0" w:line="240" w:lineRule="auto"/>
        <w:jc w:val="both"/>
        <w:rPr>
          <w:rFonts w:ascii="Verdana" w:eastAsia="Calibri" w:hAnsi="Verdana" w:cs="Arial"/>
          <w:color w:val="000000"/>
          <w:sz w:val="20"/>
          <w:szCs w:val="20"/>
          <w:lang w:val="es-ES_tradnl" w:eastAsia="es-MX"/>
        </w:rPr>
      </w:pPr>
    </w:p>
    <w:p w14:paraId="258C77B8" w14:textId="777C5E6B" w:rsidR="005602AF" w:rsidRPr="00242856" w:rsidRDefault="005602AF" w:rsidP="00F525F8">
      <w:pPr>
        <w:spacing w:after="0" w:line="240" w:lineRule="auto"/>
        <w:jc w:val="both"/>
        <w:rPr>
          <w:rFonts w:ascii="Verdana" w:eastAsia="Calibri" w:hAnsi="Verdana" w:cs="Arial"/>
          <w:b/>
          <w:bCs/>
          <w:color w:val="000000"/>
          <w:lang w:val="es-ES_tradnl" w:eastAsia="es-MX"/>
        </w:rPr>
      </w:pPr>
      <w:r w:rsidRPr="00242856">
        <w:rPr>
          <w:rFonts w:ascii="Verdana" w:eastAsia="Calibri" w:hAnsi="Verdana" w:cs="Arial"/>
          <w:b/>
          <w:bCs/>
          <w:color w:val="000000"/>
          <w:lang w:val="es-ES_tradnl" w:eastAsia="es-MX"/>
        </w:rPr>
        <w:t xml:space="preserve">ACCESO DE LAS MIPYMES – Compras públicas − Artículo 33 − Ley 2069 de 2020 </w:t>
      </w:r>
    </w:p>
    <w:p w14:paraId="55603E16" w14:textId="77777777" w:rsidR="00EE4434" w:rsidRPr="00242856" w:rsidRDefault="00EE4434" w:rsidP="00F525F8">
      <w:pPr>
        <w:spacing w:after="0" w:line="240" w:lineRule="auto"/>
        <w:jc w:val="both"/>
        <w:rPr>
          <w:rFonts w:ascii="Verdana" w:eastAsia="Calibri" w:hAnsi="Verdana" w:cs="Arial"/>
          <w:b/>
          <w:bCs/>
          <w:color w:val="000000"/>
          <w:lang w:val="es-ES_tradnl" w:eastAsia="es-MX"/>
        </w:rPr>
      </w:pPr>
    </w:p>
    <w:p w14:paraId="62B220E4" w14:textId="77777777" w:rsidR="00EE4434" w:rsidRPr="00242856" w:rsidRDefault="00EE4434" w:rsidP="00EE4434">
      <w:pPr>
        <w:spacing w:after="0" w:line="240" w:lineRule="auto"/>
        <w:jc w:val="both"/>
        <w:rPr>
          <w:rFonts w:ascii="Verdana" w:eastAsia="Calibri" w:hAnsi="Verdana" w:cs="Arial"/>
          <w:bCs/>
          <w:color w:val="000000" w:themeColor="text1"/>
          <w:sz w:val="20"/>
          <w:szCs w:val="20"/>
          <w:lang w:eastAsia="es-MX"/>
        </w:rPr>
      </w:pPr>
      <w:r w:rsidRPr="00EE4434">
        <w:rPr>
          <w:rFonts w:ascii="Verdana" w:eastAsia="Calibri" w:hAnsi="Verdana" w:cs="Arial"/>
          <w:bCs/>
          <w:color w:val="000000" w:themeColor="text1"/>
          <w:sz w:val="20"/>
          <w:szCs w:val="20"/>
          <w:lang w:eastAsia="es-MX"/>
        </w:rPr>
        <w:t xml:space="preserve">El artículo 33 de la Ley 2069 de 2020 modificó el artículo 12 de la Ley 590 de 2000, el cual regula la promoción del acceso de las mipymes al mercado de compras públicas. Dicha disposición consagra una serie de deberes que incumben, no solo a las entidades estatales que aplican el Estatuto General de Contratación de la Administración Pública, sino también a las que tienen regímenes de contratación exceptuados, los patrimonios autónomos constituidos por entidades estatales y los particulares que ejecuten recursos públicos.  </w:t>
      </w:r>
    </w:p>
    <w:p w14:paraId="711B67F1" w14:textId="77777777" w:rsidR="00D20DD7" w:rsidRPr="00EE4434" w:rsidRDefault="00D20DD7" w:rsidP="00EE4434">
      <w:pPr>
        <w:spacing w:after="0" w:line="240" w:lineRule="auto"/>
        <w:jc w:val="both"/>
        <w:rPr>
          <w:rFonts w:ascii="Verdana" w:eastAsia="Times New Roman" w:hAnsi="Verdana" w:cs="Arial"/>
          <w:sz w:val="20"/>
          <w:szCs w:val="20"/>
          <w:lang w:val="es-ES_tradnl" w:eastAsia="es-MX"/>
        </w:rPr>
      </w:pPr>
    </w:p>
    <w:p w14:paraId="66A4B79F" w14:textId="77777777" w:rsidR="00EE4434" w:rsidRPr="00EE4434" w:rsidRDefault="00EE4434" w:rsidP="00EE4434">
      <w:pPr>
        <w:spacing w:after="120" w:line="240" w:lineRule="auto"/>
        <w:jc w:val="both"/>
        <w:rPr>
          <w:rFonts w:ascii="Verdana" w:eastAsia="Times New Roman" w:hAnsi="Verdana" w:cs="Arial"/>
          <w:sz w:val="20"/>
          <w:szCs w:val="20"/>
          <w:lang w:val="es-ES_tradnl" w:eastAsia="es-MX"/>
        </w:rPr>
      </w:pPr>
      <w:r w:rsidRPr="00EE4434">
        <w:rPr>
          <w:rFonts w:ascii="Verdana" w:eastAsia="Times New Roman" w:hAnsi="Verdana" w:cs="Arial"/>
          <w:sz w:val="20"/>
          <w:szCs w:val="20"/>
          <w:lang w:val="es-ES_tradnl" w:eastAsia="es-MX"/>
        </w:rPr>
        <w:t>[…]</w:t>
      </w:r>
    </w:p>
    <w:p w14:paraId="58254513" w14:textId="77777777" w:rsidR="00EE4434" w:rsidRPr="00EE4434" w:rsidRDefault="00EE4434" w:rsidP="00EE4434">
      <w:pPr>
        <w:spacing w:after="120" w:line="240" w:lineRule="auto"/>
        <w:jc w:val="both"/>
        <w:rPr>
          <w:rFonts w:ascii="Verdana" w:eastAsia="Times New Roman" w:hAnsi="Verdana" w:cs="Arial"/>
          <w:sz w:val="20"/>
          <w:szCs w:val="20"/>
          <w:lang w:val="es-ES_tradnl" w:eastAsia="es-MX"/>
        </w:rPr>
      </w:pPr>
      <w:r w:rsidRPr="00EE4434">
        <w:rPr>
          <w:rFonts w:ascii="Verdana" w:eastAsia="Calibri" w:hAnsi="Verdana" w:cs="Arial"/>
          <w:bCs/>
          <w:sz w:val="20"/>
          <w:szCs w:val="20"/>
          <w:lang w:val="es-ES_tradnl" w:eastAsia="es-MX"/>
        </w:rPr>
        <w:t xml:space="preserve">El artículo 33 de la Ley 2069 de 2021 consagra una serie de deberes que deben cumplir los destinatarios en su gestión contractual. Aunque el alcance de estas obligaciones puede delimitarse por otras leyes o reglamentos, lo importante es que el artículo 33 de la Ley 2069 de 2020 consagra elementos mínimos que las entidades deben acatar desde la expedición de la ley. Por tanto, conforme al marco normativo que regule el acceso de </w:t>
      </w:r>
      <w:r w:rsidRPr="00EE4434">
        <w:rPr>
          <w:rFonts w:ascii="Verdana" w:eastAsia="Calibri" w:hAnsi="Verdana" w:cs="Arial"/>
          <w:bCs/>
          <w:sz w:val="20"/>
          <w:szCs w:val="20"/>
          <w:lang w:val="es-ES_tradnl" w:eastAsia="es-MX"/>
        </w:rPr>
        <w:lastRenderedPageBreak/>
        <w:t xml:space="preserve">las mipymes al mercado de compras públicas, las entidades deberán adoptar las medidas necesarias para el acatamiento de esta disposición, teniendo en cuenta que el artículo 33 de la Ley 2069 de 2020 es de aplicación directa, por lo que les corresponde darle cumplimiento inmediato. </w:t>
      </w:r>
    </w:p>
    <w:p w14:paraId="28D7BC7A" w14:textId="77777777" w:rsidR="00EE4434" w:rsidRPr="00EE4434" w:rsidRDefault="00EE4434" w:rsidP="00EE4434">
      <w:pPr>
        <w:spacing w:after="0" w:line="240" w:lineRule="auto"/>
        <w:jc w:val="both"/>
        <w:rPr>
          <w:rFonts w:ascii="Verdana" w:eastAsia="Calibri" w:hAnsi="Verdana" w:cs="Arial"/>
          <w:bCs/>
          <w:sz w:val="20"/>
          <w:szCs w:val="20"/>
          <w:lang w:val="es-ES_tradnl" w:eastAsia="es-MX"/>
        </w:rPr>
      </w:pPr>
      <w:r w:rsidRPr="00EE4434">
        <w:rPr>
          <w:rFonts w:ascii="Verdana" w:eastAsia="Times New Roman" w:hAnsi="Verdana" w:cs="Arial"/>
          <w:sz w:val="20"/>
          <w:szCs w:val="20"/>
          <w:lang w:eastAsia="es-MX"/>
        </w:rPr>
        <w:t>Uno de los deberes introducidos es el establecido en su numeral 6</w:t>
      </w:r>
      <w:r w:rsidRPr="00EE4434">
        <w:rPr>
          <w:rFonts w:ascii="Verdana" w:eastAsia="Calibri" w:hAnsi="Verdana" w:cs="Arial"/>
          <w:bCs/>
          <w:sz w:val="20"/>
          <w:szCs w:val="20"/>
          <w:lang w:val="es-ES_tradnl" w:eastAsia="es-MX"/>
        </w:rPr>
        <w:t xml:space="preserve">, en atención al cual, las entidades estatales indistintamente de su régimen de contratación, los patrimonios autónomos constituidos por entidades estatales y los particulares que ejecuten recursos públicos tienen la obligación de “[p]romover la división del Proceso de Contratación en lotes o segmentos que faciliten la participación de las MIPYMES en el Proceso de Contratación”. Dado que la norma impone este deber sin necesidad de reglamentación previa, los sujetos indicados, deben facilitar la participación de las Mipymes en el proceso de contratación mediante su división en lotes o segmentos. </w:t>
      </w:r>
    </w:p>
    <w:p w14:paraId="310C5774" w14:textId="77777777" w:rsidR="00EE4434" w:rsidRPr="00242856" w:rsidRDefault="00EE4434" w:rsidP="00F525F8">
      <w:pPr>
        <w:spacing w:after="0" w:line="240" w:lineRule="auto"/>
        <w:jc w:val="both"/>
        <w:rPr>
          <w:rFonts w:ascii="Verdana" w:eastAsia="Calibri" w:hAnsi="Verdana" w:cs="Arial"/>
          <w:color w:val="000000"/>
          <w:sz w:val="20"/>
          <w:szCs w:val="20"/>
          <w:lang w:val="es-ES_tradnl" w:eastAsia="es-MX"/>
        </w:rPr>
      </w:pPr>
    </w:p>
    <w:p w14:paraId="7D7615D1" w14:textId="77777777" w:rsidR="009B7698" w:rsidRPr="00242856" w:rsidRDefault="005602AF" w:rsidP="009B7698">
      <w:pPr>
        <w:tabs>
          <w:tab w:val="left" w:pos="709"/>
        </w:tabs>
        <w:spacing w:line="276" w:lineRule="auto"/>
        <w:jc w:val="both"/>
        <w:rPr>
          <w:rFonts w:ascii="Verdana" w:hAnsi="Verdana" w:cs="Arial"/>
          <w:b/>
          <w:bCs/>
          <w:color w:val="000000" w:themeColor="text1"/>
          <w:lang w:eastAsia="es-MX"/>
        </w:rPr>
      </w:pPr>
      <w:r w:rsidRPr="00242856">
        <w:rPr>
          <w:rFonts w:ascii="Verdana" w:eastAsia="Calibri" w:hAnsi="Verdana" w:cs="Arial"/>
          <w:b/>
          <w:bCs/>
          <w:color w:val="000000"/>
          <w:lang w:val="es-ES_tradnl" w:eastAsia="es-MX"/>
        </w:rPr>
        <w:t xml:space="preserve">ACCESO DE LAS MIPYMES – Compras públicas − </w:t>
      </w:r>
      <w:r w:rsidRPr="00242856">
        <w:rPr>
          <w:rFonts w:ascii="Verdana" w:hAnsi="Verdana" w:cs="Arial"/>
          <w:b/>
          <w:bCs/>
          <w:color w:val="000000" w:themeColor="text1"/>
          <w:lang w:val="es-MX" w:eastAsia="es-MX"/>
        </w:rPr>
        <w:t xml:space="preserve">Decreto 0142 de 2023 − </w:t>
      </w:r>
      <w:r w:rsidRPr="00242856">
        <w:rPr>
          <w:rFonts w:ascii="Verdana" w:hAnsi="Verdana" w:cs="Arial"/>
          <w:b/>
          <w:bCs/>
        </w:rPr>
        <w:t xml:space="preserve">División del Proceso − Lotes o segmentos </w:t>
      </w:r>
    </w:p>
    <w:p w14:paraId="328AE2F1" w14:textId="7F9631F6" w:rsidR="009B7698" w:rsidRPr="00242856" w:rsidRDefault="009B7698" w:rsidP="00D20DD7">
      <w:pPr>
        <w:tabs>
          <w:tab w:val="left" w:pos="709"/>
        </w:tabs>
        <w:spacing w:after="120" w:line="240" w:lineRule="auto"/>
        <w:jc w:val="both"/>
        <w:rPr>
          <w:rFonts w:ascii="Verdana" w:eastAsia="Calibri" w:hAnsi="Verdana" w:cs="Arial"/>
          <w:bCs/>
          <w:sz w:val="20"/>
          <w:szCs w:val="20"/>
        </w:rPr>
      </w:pPr>
      <w:r w:rsidRPr="00242856">
        <w:rPr>
          <w:rFonts w:ascii="Verdana" w:eastAsia="Calibri" w:hAnsi="Verdana" w:cs="Arial"/>
          <w:bCs/>
          <w:sz w:val="20"/>
          <w:szCs w:val="20"/>
          <w:lang w:val="es-ES_tradnl" w:eastAsia="es-MX"/>
        </w:rPr>
        <w:t>Con</w:t>
      </w:r>
      <w:r w:rsidRPr="009B7698">
        <w:rPr>
          <w:rFonts w:ascii="Verdana" w:eastAsia="Calibri" w:hAnsi="Verdana" w:cs="Arial"/>
          <w:bCs/>
          <w:color w:val="000000" w:themeColor="text1"/>
          <w:sz w:val="20"/>
          <w:szCs w:val="20"/>
          <w:lang w:val="es-MX" w:eastAsia="es-MX"/>
        </w:rPr>
        <w:t xml:space="preserve"> la reciente expedición del Decreto 0142 del 01 de febrero de 2023 se reglamentó la disposición contenida en el numeral 6 del artículo 33 de la Ley 2069 de 2021. De esta forma, el decreto en comento, con el fin de cumplir el mandato legal indicado, en el artículo 2 modifica el artículo </w:t>
      </w:r>
      <w:r w:rsidRPr="009B7698">
        <w:rPr>
          <w:rFonts w:ascii="Verdana" w:eastAsia="Calibri" w:hAnsi="Verdana" w:cs="Arial"/>
          <w:bCs/>
          <w:color w:val="000000"/>
          <w:sz w:val="20"/>
          <w:szCs w:val="20"/>
        </w:rPr>
        <w:t>2.2.1.1.1.4.1</w:t>
      </w:r>
      <w:r w:rsidRPr="009B7698">
        <w:rPr>
          <w:rFonts w:ascii="Verdana" w:eastAsia="Calibri" w:hAnsi="Verdana" w:cs="Arial"/>
          <w:bCs/>
          <w:color w:val="000000" w:themeColor="text1"/>
          <w:sz w:val="20"/>
          <w:szCs w:val="20"/>
          <w:lang w:val="es-MX" w:eastAsia="es-MX"/>
        </w:rPr>
        <w:t xml:space="preserve"> </w:t>
      </w:r>
      <w:r w:rsidRPr="009B7698">
        <w:rPr>
          <w:rFonts w:ascii="Verdana" w:eastAsia="Calibri" w:hAnsi="Verdana" w:cs="Arial"/>
          <w:color w:val="000000"/>
          <w:sz w:val="20"/>
          <w:szCs w:val="20"/>
        </w:rPr>
        <w:t>del Decreto 1082 de 2015</w:t>
      </w:r>
      <w:r w:rsidRPr="009B7698">
        <w:rPr>
          <w:rFonts w:ascii="Verdana" w:eastAsia="Calibri" w:hAnsi="Verdana" w:cs="Arial"/>
          <w:i/>
          <w:iCs/>
          <w:color w:val="000000"/>
          <w:sz w:val="20"/>
          <w:szCs w:val="20"/>
        </w:rPr>
        <w:t xml:space="preserve">, </w:t>
      </w:r>
      <w:r w:rsidRPr="009B7698">
        <w:rPr>
          <w:rFonts w:ascii="Verdana" w:eastAsia="Calibri" w:hAnsi="Verdana" w:cs="Arial"/>
          <w:color w:val="000000"/>
          <w:sz w:val="20"/>
          <w:szCs w:val="20"/>
        </w:rPr>
        <w:t xml:space="preserve">para </w:t>
      </w:r>
      <w:r w:rsidRPr="009B7698">
        <w:rPr>
          <w:rFonts w:ascii="Verdana" w:eastAsia="Calibri" w:hAnsi="Verdana" w:cs="Arial"/>
          <w:bCs/>
          <w:sz w:val="20"/>
          <w:szCs w:val="20"/>
        </w:rPr>
        <w:t xml:space="preserve">instar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 </w:t>
      </w:r>
    </w:p>
    <w:p w14:paraId="2A0DED6D" w14:textId="20824CB6" w:rsidR="00D20DD7" w:rsidRPr="009B7698" w:rsidRDefault="003C3BAB" w:rsidP="00D20DD7">
      <w:pPr>
        <w:spacing w:after="120" w:line="240" w:lineRule="auto"/>
        <w:jc w:val="both"/>
        <w:rPr>
          <w:rFonts w:ascii="Verdana" w:eastAsia="Calibri" w:hAnsi="Verdana" w:cs="Arial"/>
          <w:b/>
          <w:bCs/>
          <w:i/>
          <w:iCs/>
          <w:color w:val="000000"/>
          <w:sz w:val="20"/>
          <w:szCs w:val="20"/>
        </w:rPr>
      </w:pPr>
      <w:r>
        <w:rPr>
          <w:rFonts w:ascii="Verdana" w:eastAsia="Calibri" w:hAnsi="Verdana" w:cs="Arial"/>
          <w:sz w:val="20"/>
          <w:szCs w:val="20"/>
        </w:rPr>
        <w:t>Igualmente</w:t>
      </w:r>
      <w:r w:rsidR="009B7698" w:rsidRPr="009B7698">
        <w:rPr>
          <w:rFonts w:ascii="Verdana" w:eastAsia="Calibri" w:hAnsi="Verdana" w:cs="Arial"/>
          <w:sz w:val="20"/>
          <w:szCs w:val="20"/>
        </w:rPr>
        <w:t>,</w:t>
      </w:r>
      <w:r w:rsidR="009B7698" w:rsidRPr="009B7698">
        <w:rPr>
          <w:rFonts w:ascii="Verdana" w:eastAsia="Calibri" w:hAnsi="Verdana" w:cs="Arial"/>
          <w:i/>
          <w:iCs/>
          <w:sz w:val="20"/>
          <w:szCs w:val="20"/>
        </w:rPr>
        <w:t xml:space="preserve"> </w:t>
      </w:r>
      <w:r w:rsidR="009B7698" w:rsidRPr="009B7698">
        <w:rPr>
          <w:rFonts w:ascii="Verdana" w:eastAsia="Calibri" w:hAnsi="Verdana" w:cs="Arial"/>
          <w:sz w:val="20"/>
          <w:szCs w:val="20"/>
        </w:rPr>
        <w:t>el artículo 6 del Decreto 142 de 2023, adiciona el</w:t>
      </w:r>
      <w:r w:rsidR="009B7698" w:rsidRPr="009B7698">
        <w:rPr>
          <w:rFonts w:ascii="Verdana" w:eastAsia="Calibri" w:hAnsi="Verdana" w:cs="Arial"/>
          <w:b/>
          <w:bCs/>
          <w:sz w:val="20"/>
          <w:szCs w:val="20"/>
        </w:rPr>
        <w:t xml:space="preserve"> </w:t>
      </w:r>
      <w:r w:rsidR="009B7698" w:rsidRPr="009B7698">
        <w:rPr>
          <w:rFonts w:ascii="Verdana" w:eastAsia="Calibri" w:hAnsi="Verdana" w:cs="Arial"/>
          <w:color w:val="000000"/>
          <w:sz w:val="20"/>
          <w:szCs w:val="20"/>
        </w:rPr>
        <w:t>2.2.1.2.4.2.19. </w:t>
      </w:r>
      <w:r w:rsidR="009B7698" w:rsidRPr="009B7698">
        <w:rPr>
          <w:rFonts w:ascii="Verdana" w:eastAsia="Calibri" w:hAnsi="Verdana" w:cs="Arial"/>
          <w:iCs/>
          <w:color w:val="000000"/>
          <w:sz w:val="20"/>
          <w:szCs w:val="20"/>
        </w:rPr>
        <w:t>a la Subsección 2 de la Sección 4 del Capítulo 2 del Título 1 de la Parte 2 del Libro 2 del Decreto número 1082 de 2015</w:t>
      </w:r>
      <w:r w:rsidR="00D20DD7" w:rsidRPr="00242856">
        <w:rPr>
          <w:rFonts w:ascii="Verdana" w:eastAsia="Calibri" w:hAnsi="Verdana" w:cs="Arial"/>
          <w:b/>
          <w:bCs/>
          <w:i/>
          <w:iCs/>
          <w:color w:val="000000"/>
          <w:sz w:val="20"/>
          <w:szCs w:val="20"/>
        </w:rPr>
        <w:t>.</w:t>
      </w:r>
    </w:p>
    <w:p w14:paraId="6974640A" w14:textId="7E49FC3A" w:rsidR="00D20DD7" w:rsidRPr="009B7698" w:rsidRDefault="009B7698" w:rsidP="00D20DD7">
      <w:pPr>
        <w:spacing w:after="120" w:line="240" w:lineRule="auto"/>
        <w:jc w:val="both"/>
        <w:rPr>
          <w:rFonts w:ascii="Verdana" w:eastAsia="Calibri" w:hAnsi="Verdana" w:cs="Arial"/>
          <w:color w:val="000000"/>
          <w:sz w:val="20"/>
          <w:szCs w:val="20"/>
        </w:rPr>
      </w:pPr>
      <w:r w:rsidRPr="009B7698">
        <w:rPr>
          <w:rFonts w:ascii="Verdana" w:eastAsia="Calibri" w:hAnsi="Verdana" w:cs="Arial"/>
          <w:color w:val="000000"/>
          <w:sz w:val="20"/>
          <w:szCs w:val="20"/>
        </w:rPr>
        <w:t>[…]</w:t>
      </w:r>
    </w:p>
    <w:p w14:paraId="69D97F1A" w14:textId="26452975" w:rsidR="009B7698" w:rsidRPr="009B7698" w:rsidRDefault="009B7698" w:rsidP="00D20DD7">
      <w:pPr>
        <w:spacing w:after="120" w:line="240" w:lineRule="auto"/>
        <w:jc w:val="both"/>
        <w:rPr>
          <w:rFonts w:ascii="Verdana" w:eastAsia="Times New Roman" w:hAnsi="Verdana" w:cs="Arial"/>
          <w:color w:val="000000"/>
          <w:sz w:val="20"/>
          <w:szCs w:val="20"/>
          <w:lang w:eastAsia="es-CO"/>
        </w:rPr>
      </w:pPr>
      <w:r w:rsidRPr="009B7698">
        <w:rPr>
          <w:rFonts w:ascii="Verdana" w:eastAsia="Calibri" w:hAnsi="Verdana" w:cs="Arial"/>
          <w:sz w:val="20"/>
          <w:szCs w:val="20"/>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teniendo en cuenta la primera pregunta de su solicitud, la Agencia Nacional de Contratación Pública – Colombia Compra Eficiente considera que, como la norma no determina que los </w:t>
      </w:r>
      <w:r w:rsidRPr="009B7698">
        <w:rPr>
          <w:rFonts w:ascii="Verdana" w:eastAsia="Calibri" w:hAnsi="Verdana" w:cs="Arial"/>
          <w:i/>
          <w:iCs/>
          <w:sz w:val="20"/>
          <w:szCs w:val="20"/>
        </w:rPr>
        <w:t>mecanismos y reglas</w:t>
      </w:r>
      <w:r w:rsidRPr="009B7698">
        <w:rPr>
          <w:rFonts w:ascii="Verdana" w:eastAsia="Calibri" w:hAnsi="Verdana" w:cs="Arial"/>
          <w:sz w:val="20"/>
          <w:szCs w:val="20"/>
        </w:rPr>
        <w:t xml:space="preserve"> que pueden establecer las entidades para limitar el número de lotes a adjudicarse a un mismo oferente, solo proceda respecto de los lotes o segmentos de un mismo proceso de contratación, a juicio de esta Agencia, la </w:t>
      </w:r>
      <w:r w:rsidRPr="009B7698">
        <w:rPr>
          <w:rFonts w:ascii="Verdana" w:eastAsia="Times New Roman" w:hAnsi="Verdana" w:cs="Arial"/>
          <w:color w:val="000000"/>
          <w:sz w:val="20"/>
          <w:szCs w:val="20"/>
          <w:lang w:eastAsia="es-CO"/>
        </w:rPr>
        <w:t xml:space="preserve">restricción puede incluirse en relación con todos los lotes o segmentos de los diferentes procesos de selección que adelante la </w:t>
      </w:r>
      <w:r w:rsidR="00C54DF2">
        <w:rPr>
          <w:rFonts w:ascii="Verdana" w:eastAsia="Times New Roman" w:hAnsi="Verdana" w:cs="Arial"/>
          <w:color w:val="000000"/>
          <w:sz w:val="20"/>
          <w:szCs w:val="20"/>
          <w:lang w:eastAsia="es-CO"/>
        </w:rPr>
        <w:t>E</w:t>
      </w:r>
      <w:r w:rsidRPr="009B7698">
        <w:rPr>
          <w:rFonts w:ascii="Verdana" w:eastAsia="Times New Roman" w:hAnsi="Verdana" w:cs="Arial"/>
          <w:color w:val="000000"/>
          <w:sz w:val="20"/>
          <w:szCs w:val="20"/>
          <w:lang w:eastAsia="es-CO"/>
        </w:rPr>
        <w:t xml:space="preserve">ntidad </w:t>
      </w:r>
      <w:r w:rsidR="00C54DF2">
        <w:rPr>
          <w:rFonts w:ascii="Verdana" w:eastAsia="Times New Roman" w:hAnsi="Verdana" w:cs="Arial"/>
          <w:color w:val="000000"/>
          <w:sz w:val="20"/>
          <w:szCs w:val="20"/>
          <w:lang w:eastAsia="es-CO"/>
        </w:rPr>
        <w:t>E</w:t>
      </w:r>
      <w:r w:rsidRPr="009B7698">
        <w:rPr>
          <w:rFonts w:ascii="Verdana" w:eastAsia="Times New Roman" w:hAnsi="Verdana" w:cs="Arial"/>
          <w:color w:val="000000"/>
          <w:sz w:val="20"/>
          <w:szCs w:val="20"/>
          <w:lang w:eastAsia="es-CO"/>
        </w:rPr>
        <w:t xml:space="preserve">statal. </w:t>
      </w:r>
    </w:p>
    <w:p w14:paraId="57EDFEAE" w14:textId="77777777" w:rsidR="009B7698" w:rsidRPr="009B7698" w:rsidRDefault="009B7698" w:rsidP="00D20DD7">
      <w:pPr>
        <w:shd w:val="clear" w:color="auto" w:fill="FFFFFF"/>
        <w:spacing w:after="120" w:line="240" w:lineRule="auto"/>
        <w:jc w:val="both"/>
        <w:rPr>
          <w:rFonts w:ascii="Verdana" w:eastAsia="Calibri" w:hAnsi="Verdana" w:cs="Arial"/>
          <w:sz w:val="20"/>
          <w:szCs w:val="20"/>
        </w:rPr>
      </w:pPr>
      <w:r w:rsidRPr="009B7698">
        <w:rPr>
          <w:rFonts w:ascii="Verdana" w:eastAsia="Calibri" w:hAnsi="Verdana" w:cs="Arial"/>
          <w:sz w:val="20"/>
          <w:szCs w:val="20"/>
        </w:rPr>
        <w:t>[…]</w:t>
      </w:r>
    </w:p>
    <w:p w14:paraId="60504B2D" w14:textId="4FF2989F" w:rsidR="009B7698" w:rsidRPr="00242856" w:rsidRDefault="003C3BAB" w:rsidP="00D20DD7">
      <w:pPr>
        <w:shd w:val="clear" w:color="auto" w:fill="FFFFFF"/>
        <w:spacing w:after="120" w:line="240" w:lineRule="auto"/>
        <w:jc w:val="both"/>
        <w:rPr>
          <w:rFonts w:ascii="Verdana" w:eastAsia="Calibri" w:hAnsi="Verdana" w:cs="Arial"/>
          <w:sz w:val="20"/>
          <w:szCs w:val="20"/>
        </w:rPr>
      </w:pPr>
      <w:r>
        <w:rPr>
          <w:rFonts w:ascii="Verdana" w:eastAsia="Calibri" w:hAnsi="Verdana" w:cs="Arial"/>
          <w:sz w:val="20"/>
          <w:szCs w:val="20"/>
        </w:rPr>
        <w:t>De otro lado</w:t>
      </w:r>
      <w:r w:rsidR="009B7698" w:rsidRPr="009B7698">
        <w:rPr>
          <w:rFonts w:ascii="Verdana" w:eastAsia="Calibri" w:hAnsi="Verdana" w:cs="Arial"/>
          <w:sz w:val="20"/>
          <w:szCs w:val="20"/>
        </w:rPr>
        <w:t>, el parágrafo de la norma menciona que, en los procesos de contratación adelantados por lotes o grupos deberá aplicarse lo regulado en el artículo 2.2.1.2.4.2.2 “convocatorias limitadas a Mipymes” del Decreto 1082 de 2015, tomando en consideración el valor del Proceso de Contratación imputable al respectivo lote en el que se solicite su aplicación.</w:t>
      </w:r>
    </w:p>
    <w:p w14:paraId="0360E1C1" w14:textId="77777777" w:rsidR="009B7698" w:rsidRPr="009B7698" w:rsidRDefault="009B7698" w:rsidP="00D20DD7">
      <w:pPr>
        <w:shd w:val="clear" w:color="auto" w:fill="FFFFFF"/>
        <w:spacing w:after="120" w:line="240" w:lineRule="auto"/>
        <w:jc w:val="both"/>
        <w:rPr>
          <w:rFonts w:ascii="Verdana" w:eastAsia="Calibri" w:hAnsi="Verdana" w:cs="Arial"/>
          <w:color w:val="000000"/>
          <w:sz w:val="20"/>
          <w:szCs w:val="20"/>
        </w:rPr>
      </w:pPr>
      <w:r w:rsidRPr="009B7698">
        <w:rPr>
          <w:rFonts w:ascii="Verdana" w:eastAsia="Calibri" w:hAnsi="Verdana" w:cs="Arial"/>
          <w:color w:val="000000"/>
          <w:sz w:val="20"/>
          <w:szCs w:val="20"/>
        </w:rPr>
        <w:lastRenderedPageBreak/>
        <w:t xml:space="preserve">En relación con el aspecto señalado, es pertinente mencionar que, el numeral uno del artículo 2.2.1.2.4.2.2, establece como requisitos para limitar convocatorias a Mipymes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9B7698">
        <w:rPr>
          <w:rFonts w:ascii="Verdana" w:eastAsia="Times New Roman" w:hAnsi="Verdana" w:cs="Arial"/>
          <w:color w:val="000000"/>
          <w:sz w:val="20"/>
          <w:szCs w:val="20"/>
          <w:lang w:eastAsia="es-CO"/>
        </w:rPr>
        <w:t xml:space="preserve">artículo 2.2.1.2.4.2.19 −en comento− cuando el proceso se adelante por lotes o grupos, el valor de los </w:t>
      </w:r>
      <w:r w:rsidRPr="009B7698">
        <w:rPr>
          <w:rFonts w:ascii="Verdana" w:eastAsia="Calibri" w:hAnsi="Verdana" w:cs="Arial"/>
          <w:color w:val="000000"/>
          <w:sz w:val="20"/>
          <w:szCs w:val="20"/>
        </w:rPr>
        <w:t xml:space="preserve">(US$125.000) debe establecerse en relación con el lote o segmento, y no respecto del valor total del proceso de contratación −que se establecería con la sumatoria de todos los lotes o segmentos−. </w:t>
      </w:r>
    </w:p>
    <w:p w14:paraId="1E7EBAD1" w14:textId="77777777" w:rsidR="00AF441A" w:rsidRPr="00242856" w:rsidRDefault="00AF441A" w:rsidP="00D20DD7">
      <w:pPr>
        <w:spacing w:after="0" w:line="240" w:lineRule="auto"/>
        <w:rPr>
          <w:rFonts w:ascii="Verdana" w:hAnsi="Verdana" w:cs="Arial"/>
        </w:rPr>
      </w:pPr>
    </w:p>
    <w:p w14:paraId="7B469BB0" w14:textId="77777777" w:rsidR="005602AF" w:rsidRPr="00242856" w:rsidRDefault="005602AF" w:rsidP="00E245AB">
      <w:pPr>
        <w:spacing w:after="0"/>
        <w:rPr>
          <w:rFonts w:ascii="Verdana" w:hAnsi="Verdana" w:cs="Arial"/>
        </w:rPr>
      </w:pPr>
    </w:p>
    <w:p w14:paraId="60706A8B" w14:textId="77777777" w:rsidR="005602AF" w:rsidRPr="00242856" w:rsidRDefault="005602AF" w:rsidP="00E245AB">
      <w:pPr>
        <w:spacing w:after="0"/>
        <w:rPr>
          <w:rFonts w:ascii="Verdana" w:hAnsi="Verdana" w:cs="Arial"/>
        </w:rPr>
      </w:pPr>
    </w:p>
    <w:p w14:paraId="6CFF2F9E" w14:textId="77777777" w:rsidR="00D20DD7" w:rsidRPr="00242856" w:rsidRDefault="00D20DD7" w:rsidP="00E245AB">
      <w:pPr>
        <w:spacing w:after="0"/>
        <w:rPr>
          <w:rFonts w:ascii="Verdana" w:hAnsi="Verdana" w:cs="Arial"/>
        </w:rPr>
      </w:pPr>
    </w:p>
    <w:p w14:paraId="6FA49A32" w14:textId="77777777" w:rsidR="00D20DD7" w:rsidRPr="00242856" w:rsidRDefault="00D20DD7" w:rsidP="00E245AB">
      <w:pPr>
        <w:spacing w:after="0"/>
        <w:rPr>
          <w:rFonts w:ascii="Verdana" w:hAnsi="Verdana" w:cs="Arial"/>
        </w:rPr>
      </w:pPr>
    </w:p>
    <w:p w14:paraId="0EF0862E" w14:textId="77777777" w:rsidR="00D20DD7" w:rsidRPr="00242856" w:rsidRDefault="00D20DD7" w:rsidP="00E245AB">
      <w:pPr>
        <w:spacing w:after="0"/>
        <w:rPr>
          <w:rFonts w:ascii="Verdana" w:hAnsi="Verdana" w:cs="Arial"/>
        </w:rPr>
      </w:pPr>
    </w:p>
    <w:p w14:paraId="210816EE" w14:textId="77777777" w:rsidR="00D20DD7" w:rsidRPr="00242856" w:rsidRDefault="00D20DD7" w:rsidP="00E245AB">
      <w:pPr>
        <w:spacing w:after="0"/>
        <w:rPr>
          <w:rFonts w:ascii="Verdana" w:hAnsi="Verdana" w:cs="Arial"/>
        </w:rPr>
      </w:pPr>
    </w:p>
    <w:p w14:paraId="7FE20169" w14:textId="77777777" w:rsidR="00D20DD7" w:rsidRPr="00242856" w:rsidRDefault="00D20DD7" w:rsidP="00E245AB">
      <w:pPr>
        <w:spacing w:after="0"/>
        <w:rPr>
          <w:rFonts w:ascii="Verdana" w:hAnsi="Verdana" w:cs="Arial"/>
        </w:rPr>
      </w:pPr>
    </w:p>
    <w:p w14:paraId="39466CCE" w14:textId="77777777" w:rsidR="00D20DD7" w:rsidRPr="00242856" w:rsidRDefault="00D20DD7" w:rsidP="00E245AB">
      <w:pPr>
        <w:spacing w:after="0"/>
        <w:rPr>
          <w:rFonts w:ascii="Verdana" w:hAnsi="Verdana" w:cs="Arial"/>
        </w:rPr>
      </w:pPr>
    </w:p>
    <w:p w14:paraId="7DA22D95" w14:textId="77777777" w:rsidR="00D20DD7" w:rsidRPr="00242856" w:rsidRDefault="00D20DD7" w:rsidP="00E245AB">
      <w:pPr>
        <w:spacing w:after="0"/>
        <w:rPr>
          <w:rFonts w:ascii="Verdana" w:hAnsi="Verdana" w:cs="Arial"/>
        </w:rPr>
      </w:pPr>
    </w:p>
    <w:p w14:paraId="2693D776" w14:textId="77777777" w:rsidR="00D20DD7" w:rsidRPr="00242856" w:rsidRDefault="00D20DD7" w:rsidP="00E245AB">
      <w:pPr>
        <w:spacing w:after="0"/>
        <w:rPr>
          <w:rFonts w:ascii="Verdana" w:hAnsi="Verdana" w:cs="Arial"/>
        </w:rPr>
      </w:pPr>
    </w:p>
    <w:p w14:paraId="51A67D52" w14:textId="77777777" w:rsidR="00D20DD7" w:rsidRPr="00242856" w:rsidRDefault="00D20DD7" w:rsidP="00E245AB">
      <w:pPr>
        <w:spacing w:after="0"/>
        <w:rPr>
          <w:rFonts w:ascii="Verdana" w:hAnsi="Verdana" w:cs="Arial"/>
        </w:rPr>
      </w:pPr>
    </w:p>
    <w:p w14:paraId="7709B333" w14:textId="77777777" w:rsidR="00D20DD7" w:rsidRPr="00242856" w:rsidRDefault="00D20DD7" w:rsidP="00E245AB">
      <w:pPr>
        <w:spacing w:after="0"/>
        <w:rPr>
          <w:rFonts w:ascii="Verdana" w:hAnsi="Verdana" w:cs="Arial"/>
        </w:rPr>
      </w:pPr>
    </w:p>
    <w:p w14:paraId="2FCD6AC9" w14:textId="77777777" w:rsidR="00D20DD7" w:rsidRPr="00242856" w:rsidRDefault="00D20DD7" w:rsidP="00E245AB">
      <w:pPr>
        <w:spacing w:after="0"/>
        <w:rPr>
          <w:rFonts w:ascii="Verdana" w:hAnsi="Verdana" w:cs="Arial"/>
        </w:rPr>
      </w:pPr>
    </w:p>
    <w:p w14:paraId="1C0AEACD" w14:textId="77777777" w:rsidR="00D20DD7" w:rsidRPr="00242856" w:rsidRDefault="00D20DD7" w:rsidP="00E245AB">
      <w:pPr>
        <w:spacing w:after="0"/>
        <w:rPr>
          <w:rFonts w:ascii="Verdana" w:hAnsi="Verdana" w:cs="Arial"/>
        </w:rPr>
      </w:pPr>
    </w:p>
    <w:p w14:paraId="165207C3" w14:textId="77777777" w:rsidR="00D20DD7" w:rsidRPr="00242856" w:rsidRDefault="00D20DD7" w:rsidP="00E245AB">
      <w:pPr>
        <w:spacing w:after="0"/>
        <w:rPr>
          <w:rFonts w:ascii="Verdana" w:hAnsi="Verdana" w:cs="Arial"/>
        </w:rPr>
      </w:pPr>
    </w:p>
    <w:p w14:paraId="011C2E08" w14:textId="77777777" w:rsidR="00D20DD7" w:rsidRPr="00242856" w:rsidRDefault="00D20DD7" w:rsidP="00E245AB">
      <w:pPr>
        <w:spacing w:after="0"/>
        <w:rPr>
          <w:rFonts w:ascii="Verdana" w:hAnsi="Verdana" w:cs="Arial"/>
        </w:rPr>
      </w:pPr>
    </w:p>
    <w:p w14:paraId="7FEEDB6D" w14:textId="77777777" w:rsidR="00D20DD7" w:rsidRPr="00242856" w:rsidRDefault="00D20DD7" w:rsidP="00E245AB">
      <w:pPr>
        <w:spacing w:after="0"/>
        <w:rPr>
          <w:rFonts w:ascii="Verdana" w:hAnsi="Verdana" w:cs="Arial"/>
        </w:rPr>
      </w:pPr>
    </w:p>
    <w:p w14:paraId="7B9551C1" w14:textId="77777777" w:rsidR="00D20DD7" w:rsidRPr="00242856" w:rsidRDefault="00D20DD7" w:rsidP="00E245AB">
      <w:pPr>
        <w:spacing w:after="0"/>
        <w:rPr>
          <w:rFonts w:ascii="Verdana" w:hAnsi="Verdana" w:cs="Arial"/>
        </w:rPr>
      </w:pPr>
    </w:p>
    <w:p w14:paraId="64F27AEE" w14:textId="77777777" w:rsidR="00D20DD7" w:rsidRPr="00242856" w:rsidRDefault="00D20DD7" w:rsidP="00E245AB">
      <w:pPr>
        <w:spacing w:after="0"/>
        <w:rPr>
          <w:rFonts w:ascii="Verdana" w:hAnsi="Verdana" w:cs="Arial"/>
        </w:rPr>
      </w:pPr>
    </w:p>
    <w:p w14:paraId="7CF7ABCE" w14:textId="77777777" w:rsidR="00D20DD7" w:rsidRPr="00242856" w:rsidRDefault="00D20DD7" w:rsidP="00E245AB">
      <w:pPr>
        <w:spacing w:after="0"/>
        <w:rPr>
          <w:rFonts w:ascii="Verdana" w:hAnsi="Verdana" w:cs="Arial"/>
        </w:rPr>
      </w:pPr>
    </w:p>
    <w:p w14:paraId="06E418CE" w14:textId="77777777" w:rsidR="00D20DD7" w:rsidRPr="00242856" w:rsidRDefault="00D20DD7" w:rsidP="00E245AB">
      <w:pPr>
        <w:spacing w:after="0"/>
        <w:rPr>
          <w:rFonts w:ascii="Verdana" w:hAnsi="Verdana" w:cs="Arial"/>
        </w:rPr>
      </w:pPr>
    </w:p>
    <w:p w14:paraId="2750DD48" w14:textId="77777777" w:rsidR="00D20DD7" w:rsidRPr="00242856" w:rsidRDefault="00D20DD7" w:rsidP="00E245AB">
      <w:pPr>
        <w:spacing w:after="0"/>
        <w:rPr>
          <w:rFonts w:ascii="Verdana" w:hAnsi="Verdana" w:cs="Arial"/>
        </w:rPr>
      </w:pPr>
    </w:p>
    <w:p w14:paraId="663DAB5D" w14:textId="77777777" w:rsidR="00D20DD7" w:rsidRPr="00242856" w:rsidRDefault="00D20DD7" w:rsidP="00E245AB">
      <w:pPr>
        <w:spacing w:after="0"/>
        <w:rPr>
          <w:rFonts w:ascii="Verdana" w:hAnsi="Verdana" w:cs="Arial"/>
        </w:rPr>
      </w:pPr>
    </w:p>
    <w:p w14:paraId="52D87758" w14:textId="77777777" w:rsidR="00D20DD7" w:rsidRPr="00242856" w:rsidRDefault="00D20DD7" w:rsidP="00E245AB">
      <w:pPr>
        <w:spacing w:after="0"/>
        <w:rPr>
          <w:rFonts w:ascii="Verdana" w:hAnsi="Verdana" w:cs="Arial"/>
        </w:rPr>
      </w:pPr>
    </w:p>
    <w:p w14:paraId="77D2B355" w14:textId="77777777" w:rsidR="00D20DD7" w:rsidRPr="00242856" w:rsidRDefault="00D20DD7" w:rsidP="00E245AB">
      <w:pPr>
        <w:spacing w:after="0"/>
        <w:rPr>
          <w:rFonts w:ascii="Verdana" w:hAnsi="Verdana" w:cs="Arial"/>
        </w:rPr>
      </w:pPr>
    </w:p>
    <w:p w14:paraId="71D1509E" w14:textId="77777777" w:rsidR="00D20DD7" w:rsidRPr="00242856" w:rsidRDefault="00D20DD7" w:rsidP="00E245AB">
      <w:pPr>
        <w:spacing w:after="0"/>
        <w:rPr>
          <w:rFonts w:ascii="Verdana" w:hAnsi="Verdana" w:cs="Arial"/>
        </w:rPr>
      </w:pPr>
    </w:p>
    <w:p w14:paraId="7F2AA7A7" w14:textId="77777777" w:rsidR="00D20DD7" w:rsidRPr="00242856" w:rsidRDefault="00D20DD7" w:rsidP="00E245AB">
      <w:pPr>
        <w:spacing w:after="0"/>
        <w:rPr>
          <w:rFonts w:ascii="Verdana" w:hAnsi="Verdana" w:cs="Arial"/>
        </w:rPr>
      </w:pPr>
    </w:p>
    <w:p w14:paraId="08774EB2" w14:textId="77777777" w:rsidR="00D20DD7" w:rsidRPr="00242856" w:rsidRDefault="00D20DD7" w:rsidP="00E245AB">
      <w:pPr>
        <w:spacing w:after="0"/>
        <w:rPr>
          <w:rFonts w:ascii="Verdana" w:hAnsi="Verdana" w:cs="Arial"/>
        </w:rPr>
      </w:pPr>
    </w:p>
    <w:p w14:paraId="3CB176F3" w14:textId="77777777" w:rsidR="00D20DD7" w:rsidRPr="00242856" w:rsidRDefault="00D20DD7" w:rsidP="00E245AB">
      <w:pPr>
        <w:spacing w:after="0"/>
        <w:rPr>
          <w:rFonts w:ascii="Verdana" w:hAnsi="Verdana" w:cs="Arial"/>
        </w:rPr>
      </w:pPr>
    </w:p>
    <w:p w14:paraId="007196DC" w14:textId="77777777" w:rsidR="00D20DD7" w:rsidRPr="00242856" w:rsidRDefault="00D20DD7" w:rsidP="00E245AB">
      <w:pPr>
        <w:spacing w:after="0"/>
        <w:rPr>
          <w:rFonts w:ascii="Verdana" w:hAnsi="Verdana" w:cs="Arial"/>
        </w:rPr>
      </w:pPr>
    </w:p>
    <w:p w14:paraId="622172CB" w14:textId="77777777" w:rsidR="00D20DD7" w:rsidRPr="00242856" w:rsidRDefault="00D20DD7" w:rsidP="00E245AB">
      <w:pPr>
        <w:spacing w:after="0"/>
        <w:rPr>
          <w:rFonts w:ascii="Verdana" w:hAnsi="Verdana" w:cs="Arial"/>
        </w:rPr>
      </w:pPr>
    </w:p>
    <w:p w14:paraId="47CB0A12" w14:textId="77777777" w:rsidR="005602AF" w:rsidRPr="00242856" w:rsidRDefault="005602AF" w:rsidP="00E245AB">
      <w:pPr>
        <w:spacing w:after="0"/>
        <w:rPr>
          <w:rFonts w:ascii="Verdana" w:hAnsi="Verdana" w:cs="Arial"/>
        </w:rPr>
      </w:pPr>
    </w:p>
    <w:p w14:paraId="2BDD202D" w14:textId="77777777" w:rsidR="00BA3848" w:rsidRPr="00242856" w:rsidRDefault="00E245AB" w:rsidP="00E245AB">
      <w:pPr>
        <w:spacing w:after="0"/>
        <w:rPr>
          <w:rFonts w:ascii="Verdana" w:hAnsi="Verdana" w:cs="Arial"/>
        </w:rPr>
      </w:pPr>
      <w:r w:rsidRPr="00242856">
        <w:rPr>
          <w:rFonts w:ascii="Verdana" w:hAnsi="Verdana" w:cs="Arial"/>
        </w:rPr>
        <w:lastRenderedPageBreak/>
        <w:t xml:space="preserve">Bogotá D.C., </w:t>
      </w:r>
      <w:r w:rsidR="00BA3848" w:rsidRPr="00242856">
        <w:rPr>
          <w:rFonts w:ascii="Verdana" w:hAnsi="Verdana" w:cs="Arial"/>
        </w:rPr>
        <w:t>30 de septiembre del 2024</w:t>
      </w:r>
    </w:p>
    <w:p w14:paraId="3FE2184B" w14:textId="47B95420" w:rsidR="00E245AB" w:rsidRPr="00242856" w:rsidRDefault="00891928" w:rsidP="00E245AB">
      <w:pPr>
        <w:spacing w:after="0"/>
        <w:rPr>
          <w:rFonts w:ascii="Verdana" w:hAnsi="Verdana" w:cs="Arial"/>
        </w:rPr>
      </w:pPr>
      <w:r w:rsidRPr="00242856">
        <w:rPr>
          <w:rFonts w:ascii="Verdana" w:hAnsi="Verdana" w:cs="Arial"/>
        </w:rPr>
        <w:tab/>
      </w:r>
    </w:p>
    <w:p w14:paraId="5FCADBF9" w14:textId="52E9DDCC" w:rsidR="00E245AB" w:rsidRPr="00242856" w:rsidRDefault="00141DCC" w:rsidP="00BA3848">
      <w:pPr>
        <w:spacing w:after="0"/>
        <w:jc w:val="right"/>
        <w:rPr>
          <w:rFonts w:ascii="Verdana" w:hAnsi="Verdana" w:cs="Arial"/>
        </w:rPr>
      </w:pPr>
      <w:r w:rsidRPr="00242856">
        <w:rPr>
          <w:rFonts w:ascii="Verdana" w:hAnsi="Verdana" w:cs="Arial"/>
          <w:noProof/>
        </w:rPr>
        <w:drawing>
          <wp:inline distT="0" distB="0" distL="0" distR="0" wp14:anchorId="70EECAC0" wp14:editId="13FB6D8F">
            <wp:extent cx="2581275" cy="809625"/>
            <wp:effectExtent l="0" t="0" r="9525" b="9525"/>
            <wp:docPr id="698489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9565" name=""/>
                    <pic:cNvPicPr/>
                  </pic:nvPicPr>
                  <pic:blipFill>
                    <a:blip r:embed="rId11"/>
                    <a:stretch>
                      <a:fillRect/>
                    </a:stretch>
                  </pic:blipFill>
                  <pic:spPr>
                    <a:xfrm>
                      <a:off x="0" y="0"/>
                      <a:ext cx="2581636" cy="809738"/>
                    </a:xfrm>
                    <a:prstGeom prst="rect">
                      <a:avLst/>
                    </a:prstGeom>
                  </pic:spPr>
                </pic:pic>
              </a:graphicData>
            </a:graphic>
          </wp:inline>
        </w:drawing>
      </w:r>
    </w:p>
    <w:bookmarkEnd w:id="0"/>
    <w:p w14:paraId="1EB6E23D" w14:textId="77777777" w:rsidR="00383C03" w:rsidRPr="00242856" w:rsidRDefault="00383C03" w:rsidP="00383C03">
      <w:pPr>
        <w:spacing w:after="0" w:line="240" w:lineRule="auto"/>
        <w:jc w:val="both"/>
        <w:rPr>
          <w:rFonts w:ascii="Verdana" w:hAnsi="Verdana" w:cs="Arial"/>
        </w:rPr>
      </w:pPr>
    </w:p>
    <w:p w14:paraId="2C1AE580" w14:textId="15B6A1C1" w:rsidR="00383C03" w:rsidRPr="00242856" w:rsidRDefault="00383C03" w:rsidP="00383C03">
      <w:pPr>
        <w:spacing w:after="0" w:line="240" w:lineRule="auto"/>
        <w:jc w:val="both"/>
        <w:rPr>
          <w:rFonts w:ascii="Verdana" w:eastAsia="Calibri" w:hAnsi="Verdana" w:cs="Arial"/>
          <w:lang w:val="es-ES" w:eastAsia="es-ES"/>
        </w:rPr>
      </w:pPr>
      <w:r w:rsidRPr="00242856">
        <w:rPr>
          <w:rFonts w:ascii="Verdana" w:eastAsia="Calibri" w:hAnsi="Verdana" w:cs="Arial"/>
          <w:lang w:val="es-ES" w:eastAsia="es-ES"/>
        </w:rPr>
        <w:t>Señor:</w:t>
      </w:r>
    </w:p>
    <w:p w14:paraId="1EE31FA4" w14:textId="70F7AB2B" w:rsidR="00383C03" w:rsidRPr="00242856" w:rsidRDefault="007A2B83" w:rsidP="00383C03">
      <w:pPr>
        <w:spacing w:after="0" w:line="240" w:lineRule="auto"/>
        <w:rPr>
          <w:rFonts w:ascii="Verdana" w:eastAsia="Calibri" w:hAnsi="Verdana" w:cs="Arial"/>
          <w:b/>
          <w:lang w:val="es-ES" w:eastAsia="es-ES"/>
        </w:rPr>
      </w:pPr>
      <w:r w:rsidRPr="00242856">
        <w:rPr>
          <w:rFonts w:ascii="Verdana" w:eastAsia="Calibri" w:hAnsi="Verdana" w:cs="Arial"/>
          <w:b/>
          <w:lang w:val="es-ES" w:eastAsia="es-ES"/>
        </w:rPr>
        <w:t>Julián David Grajales</w:t>
      </w:r>
    </w:p>
    <w:p w14:paraId="68E5CED6" w14:textId="16353446" w:rsidR="00D915FB" w:rsidRPr="00242856" w:rsidRDefault="00C54DF2" w:rsidP="00383C03">
      <w:pPr>
        <w:spacing w:after="0" w:line="240" w:lineRule="auto"/>
        <w:rPr>
          <w:rFonts w:ascii="Verdana" w:hAnsi="Verdana" w:cs="Arial"/>
        </w:rPr>
      </w:pPr>
      <w:hyperlink r:id="rId12" w:history="1">
        <w:r w:rsidR="00D915FB" w:rsidRPr="00242856">
          <w:rPr>
            <w:rStyle w:val="Hipervnculo"/>
            <w:rFonts w:ascii="Verdana" w:hAnsi="Verdana" w:cs="Arial"/>
          </w:rPr>
          <w:t>notificacionjudicial@guacari-valle.gov.co</w:t>
        </w:r>
      </w:hyperlink>
    </w:p>
    <w:p w14:paraId="1222ECB0" w14:textId="67EF228E" w:rsidR="00383C03" w:rsidRPr="00242856" w:rsidRDefault="00D915FB" w:rsidP="00383C03">
      <w:pPr>
        <w:spacing w:after="0" w:line="240" w:lineRule="auto"/>
        <w:rPr>
          <w:rFonts w:ascii="Verdana" w:hAnsi="Verdana" w:cs="Arial"/>
        </w:rPr>
      </w:pPr>
      <w:r w:rsidRPr="00242856">
        <w:rPr>
          <w:rFonts w:ascii="Verdana" w:eastAsia="Calibri" w:hAnsi="Verdana" w:cs="Arial"/>
          <w:lang w:val="es-ES" w:eastAsia="es-ES"/>
        </w:rPr>
        <w:t>Guacarí</w:t>
      </w:r>
      <w:r w:rsidR="00383C03" w:rsidRPr="00242856">
        <w:rPr>
          <w:rFonts w:ascii="Verdana" w:eastAsia="Calibri" w:hAnsi="Verdana" w:cs="Arial"/>
          <w:lang w:val="es-ES" w:eastAsia="es-ES"/>
        </w:rPr>
        <w:t xml:space="preserve">, </w:t>
      </w:r>
      <w:r w:rsidRPr="00242856">
        <w:rPr>
          <w:rFonts w:ascii="Verdana" w:eastAsia="Calibri" w:hAnsi="Verdana" w:cs="Arial"/>
          <w:lang w:val="es-ES" w:eastAsia="es-ES"/>
        </w:rPr>
        <w:t>Valle del Cauca</w:t>
      </w:r>
      <w:r w:rsidR="00383C03" w:rsidRPr="00242856">
        <w:rPr>
          <w:rFonts w:ascii="Verdana" w:eastAsia="Calibri" w:hAnsi="Verdana" w:cs="Arial"/>
          <w:lang w:val="es-ES" w:eastAsia="es-ES"/>
        </w:rPr>
        <w:t xml:space="preserve">. </w:t>
      </w:r>
    </w:p>
    <w:p w14:paraId="60DEDCC0" w14:textId="77777777" w:rsidR="00383C03" w:rsidRPr="00242856" w:rsidRDefault="00383C03" w:rsidP="00383C03">
      <w:pPr>
        <w:spacing w:after="0" w:line="240" w:lineRule="auto"/>
        <w:rPr>
          <w:rFonts w:ascii="Verdana" w:eastAsia="Calibri" w:hAnsi="Verdana" w:cs="Arial"/>
          <w:b/>
          <w:bCs/>
          <w:highlight w:val="cyan"/>
          <w:lang w:val="es-ES_tradnl" w:eastAsia="es-ES_tradnl"/>
        </w:rPr>
      </w:pPr>
    </w:p>
    <w:p w14:paraId="60C79028" w14:textId="77777777" w:rsidR="00383C03" w:rsidRPr="00242856" w:rsidRDefault="00383C03" w:rsidP="00383C03">
      <w:pPr>
        <w:spacing w:after="0" w:line="240" w:lineRule="auto"/>
        <w:rPr>
          <w:rFonts w:ascii="Verdana" w:eastAsia="Calibri" w:hAnsi="Verdana" w:cs="Arial"/>
          <w:b/>
          <w:bCs/>
          <w:highlight w:val="cyan"/>
          <w:lang w:val="es-ES_tradnl" w:eastAsia="es-ES_tradnl"/>
        </w:rPr>
      </w:pPr>
    </w:p>
    <w:p w14:paraId="62F249A3" w14:textId="77777777" w:rsidR="00383C03" w:rsidRPr="00242856" w:rsidRDefault="00383C03" w:rsidP="00383C03">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83C03" w:rsidRPr="00242856" w14:paraId="671A577B" w14:textId="77777777" w:rsidTr="00330EF8">
        <w:trPr>
          <w:trHeight w:val="884"/>
        </w:trPr>
        <w:tc>
          <w:tcPr>
            <w:tcW w:w="2689" w:type="dxa"/>
          </w:tcPr>
          <w:p w14:paraId="03FFDCC4" w14:textId="77777777" w:rsidR="00383C03" w:rsidRPr="00242856" w:rsidRDefault="00383C03" w:rsidP="00157AA4">
            <w:pPr>
              <w:jc w:val="both"/>
              <w:rPr>
                <w:rFonts w:ascii="Verdana" w:eastAsia="Calibri" w:hAnsi="Verdana" w:cs="Arial"/>
                <w:b/>
                <w:bCs/>
                <w:highlight w:val="cyan"/>
                <w:lang w:val="es-ES_tradnl" w:eastAsia="es-ES_tradnl"/>
              </w:rPr>
            </w:pPr>
          </w:p>
        </w:tc>
        <w:tc>
          <w:tcPr>
            <w:tcW w:w="6100" w:type="dxa"/>
            <w:shd w:val="clear" w:color="auto" w:fill="auto"/>
          </w:tcPr>
          <w:p w14:paraId="09C509EC" w14:textId="5E7115D5" w:rsidR="00383C03" w:rsidRPr="00242856" w:rsidRDefault="00383C03" w:rsidP="00157AA4">
            <w:pPr>
              <w:jc w:val="both"/>
              <w:rPr>
                <w:rFonts w:ascii="Verdana" w:eastAsia="Calibri" w:hAnsi="Verdana" w:cs="Arial"/>
                <w:b/>
                <w:bCs/>
                <w:lang w:val="es-ES" w:eastAsia="es-ES"/>
              </w:rPr>
            </w:pPr>
            <w:r w:rsidRPr="00242856">
              <w:rPr>
                <w:rFonts w:ascii="Verdana" w:eastAsia="Calibri" w:hAnsi="Verdana" w:cs="Arial"/>
                <w:b/>
                <w:bCs/>
                <w:lang w:val="es-ES" w:eastAsia="es-ES"/>
              </w:rPr>
              <w:t xml:space="preserve">Concepto </w:t>
            </w:r>
            <w:r w:rsidRPr="00242856">
              <w:rPr>
                <w:rFonts w:ascii="Verdana" w:eastAsia="Calibri" w:hAnsi="Verdana" w:cs="Arial"/>
                <w:b/>
                <w:bCs/>
                <w:lang w:eastAsia="es-ES"/>
              </w:rPr>
              <w:t>C-</w:t>
            </w:r>
            <w:r w:rsidR="00330EF8" w:rsidRPr="00242856">
              <w:rPr>
                <w:rFonts w:ascii="Verdana" w:eastAsia="Calibri" w:hAnsi="Verdana" w:cs="Arial"/>
                <w:b/>
                <w:bCs/>
                <w:lang w:eastAsia="es-ES"/>
              </w:rPr>
              <w:t>518</w:t>
            </w:r>
            <w:r w:rsidRPr="00242856">
              <w:rPr>
                <w:rFonts w:ascii="Verdana" w:eastAsia="Calibri" w:hAnsi="Verdana" w:cs="Arial"/>
                <w:b/>
                <w:bCs/>
                <w:lang w:eastAsia="es-ES"/>
              </w:rPr>
              <w:t xml:space="preserve"> </w:t>
            </w:r>
            <w:r w:rsidRPr="00242856">
              <w:rPr>
                <w:rFonts w:ascii="Verdana" w:eastAsia="Calibri" w:hAnsi="Verdana" w:cs="Arial"/>
                <w:b/>
                <w:bCs/>
                <w:lang w:val="es-ES" w:eastAsia="es-ES"/>
              </w:rPr>
              <w:t>de 2024</w:t>
            </w:r>
          </w:p>
        </w:tc>
      </w:tr>
      <w:tr w:rsidR="00F65367" w:rsidRPr="00242856" w14:paraId="47F877DF" w14:textId="77777777" w:rsidTr="00157AA4">
        <w:trPr>
          <w:trHeight w:val="884"/>
        </w:trPr>
        <w:tc>
          <w:tcPr>
            <w:tcW w:w="2689" w:type="dxa"/>
            <w:shd w:val="clear" w:color="auto" w:fill="auto"/>
          </w:tcPr>
          <w:p w14:paraId="789B0516" w14:textId="77777777" w:rsidR="00F65367" w:rsidRPr="00242856" w:rsidRDefault="00F65367" w:rsidP="00F65367">
            <w:pPr>
              <w:jc w:val="both"/>
              <w:rPr>
                <w:rFonts w:ascii="Verdana" w:eastAsia="Calibri" w:hAnsi="Verdana" w:cs="Arial"/>
                <w:b/>
                <w:lang w:val="es-ES_tradnl" w:eastAsia="es-ES_tradnl"/>
              </w:rPr>
            </w:pPr>
            <w:r w:rsidRPr="00242856">
              <w:rPr>
                <w:rFonts w:ascii="Verdana" w:eastAsia="Calibri" w:hAnsi="Verdana" w:cs="Arial"/>
                <w:b/>
                <w:lang w:val="es-ES_tradnl" w:eastAsia="es-ES_tradnl"/>
              </w:rPr>
              <w:t xml:space="preserve">Temas:                   </w:t>
            </w:r>
          </w:p>
        </w:tc>
        <w:tc>
          <w:tcPr>
            <w:tcW w:w="6100" w:type="dxa"/>
          </w:tcPr>
          <w:p w14:paraId="6987EFC6" w14:textId="77777777" w:rsidR="006E3775" w:rsidRPr="00242856" w:rsidRDefault="006E3775" w:rsidP="006E3775">
            <w:pPr>
              <w:tabs>
                <w:tab w:val="left" w:pos="709"/>
              </w:tabs>
              <w:spacing w:line="276" w:lineRule="auto"/>
              <w:jc w:val="both"/>
              <w:rPr>
                <w:rFonts w:ascii="Verdana" w:hAnsi="Verdana" w:cs="Arial"/>
                <w:color w:val="000000" w:themeColor="text1"/>
                <w:lang w:val="es-MX" w:eastAsia="es-MX"/>
              </w:rPr>
            </w:pPr>
            <w:r w:rsidRPr="00242856">
              <w:rPr>
                <w:rFonts w:ascii="Verdana" w:eastAsia="Calibri" w:hAnsi="Verdana" w:cs="Arial"/>
                <w:color w:val="000000"/>
                <w:lang w:val="es-ES_tradnl" w:eastAsia="es-MX"/>
              </w:rPr>
              <w:t xml:space="preserve">LEY 2069 DE 2020 − Impacto − Contratación estatal − Promoción − Acceso de las Mipymes – Compras públicas / ACCESO DE LAS MIPYMES – Compras públicas − Artículo 33 − Ley 2069 de 2020 / ACCESO DE LAS MIPYMES – Compras públicas − </w:t>
            </w:r>
            <w:r w:rsidRPr="00242856">
              <w:rPr>
                <w:rFonts w:ascii="Verdana" w:hAnsi="Verdana" w:cs="Arial"/>
                <w:color w:val="000000" w:themeColor="text1"/>
                <w:lang w:val="es-MX" w:eastAsia="es-MX"/>
              </w:rPr>
              <w:t xml:space="preserve">Decreto 0142 de 2023 − </w:t>
            </w:r>
            <w:r w:rsidRPr="00242856">
              <w:rPr>
                <w:rFonts w:ascii="Verdana" w:hAnsi="Verdana" w:cs="Arial"/>
              </w:rPr>
              <w:t xml:space="preserve">División del Proceso − Lotes o segmentos </w:t>
            </w:r>
          </w:p>
          <w:p w14:paraId="3B9E6E41" w14:textId="09DFF6FD" w:rsidR="00FC7887" w:rsidRPr="00242856" w:rsidRDefault="00FC7887" w:rsidP="00F65367">
            <w:pPr>
              <w:spacing w:line="276" w:lineRule="auto"/>
              <w:jc w:val="both"/>
              <w:rPr>
                <w:rFonts w:ascii="Verdana" w:eastAsia="Calibri" w:hAnsi="Verdana" w:cs="Arial"/>
                <w:highlight w:val="cyan"/>
                <w:lang w:val="es-MX" w:eastAsia="es-ES"/>
              </w:rPr>
            </w:pPr>
          </w:p>
        </w:tc>
      </w:tr>
      <w:tr w:rsidR="00F65367" w:rsidRPr="00242856" w14:paraId="3D4C6478" w14:textId="77777777" w:rsidTr="00157AA4">
        <w:trPr>
          <w:trHeight w:val="388"/>
        </w:trPr>
        <w:tc>
          <w:tcPr>
            <w:tcW w:w="2689" w:type="dxa"/>
          </w:tcPr>
          <w:p w14:paraId="221B920F" w14:textId="77777777" w:rsidR="00F65367" w:rsidRPr="00242856" w:rsidRDefault="00F65367" w:rsidP="00F65367">
            <w:pPr>
              <w:jc w:val="both"/>
              <w:rPr>
                <w:rFonts w:ascii="Verdana" w:eastAsia="Calibri" w:hAnsi="Verdana" w:cs="Arial"/>
                <w:b/>
                <w:lang w:val="es-ES_tradnl" w:eastAsia="es-ES_tradnl"/>
              </w:rPr>
            </w:pPr>
            <w:r w:rsidRPr="00242856">
              <w:rPr>
                <w:rFonts w:ascii="Verdana" w:eastAsia="Calibri" w:hAnsi="Verdana" w:cs="Arial"/>
                <w:b/>
                <w:lang w:val="es-ES_tradnl" w:eastAsia="es-ES_tradnl"/>
              </w:rPr>
              <w:t>Radicación:</w:t>
            </w:r>
            <w:r w:rsidRPr="00242856">
              <w:rPr>
                <w:rFonts w:ascii="Verdana" w:eastAsia="Calibri" w:hAnsi="Verdana" w:cs="Arial"/>
                <w:lang w:val="es-ES_tradnl" w:eastAsia="es-ES_tradnl"/>
              </w:rPr>
              <w:t xml:space="preserve">               </w:t>
            </w:r>
          </w:p>
        </w:tc>
        <w:tc>
          <w:tcPr>
            <w:tcW w:w="6100" w:type="dxa"/>
          </w:tcPr>
          <w:p w14:paraId="16BF2072" w14:textId="37FE5330" w:rsidR="00F65367" w:rsidRPr="00242856" w:rsidRDefault="00F65367" w:rsidP="00F65367">
            <w:pPr>
              <w:jc w:val="both"/>
              <w:rPr>
                <w:rFonts w:ascii="Verdana" w:eastAsia="Calibri" w:hAnsi="Verdana" w:cs="Arial"/>
                <w:lang w:eastAsia="es-ES_tradnl"/>
              </w:rPr>
            </w:pPr>
            <w:r w:rsidRPr="00242856">
              <w:rPr>
                <w:rFonts w:ascii="Verdana" w:eastAsia="Calibri" w:hAnsi="Verdana" w:cs="Arial"/>
                <w:lang w:val="es-ES_tradnl" w:eastAsia="es-ES_tradnl"/>
              </w:rPr>
              <w:t xml:space="preserve">Respuesta a consulta con radicado No. </w:t>
            </w:r>
            <w:r w:rsidRPr="00242856">
              <w:rPr>
                <w:rFonts w:ascii="Verdana" w:eastAsia="Calibri" w:hAnsi="Verdana" w:cs="Arial"/>
                <w:lang w:eastAsia="es-ES_tradnl"/>
              </w:rPr>
              <w:t>P20240826008666.</w:t>
            </w:r>
          </w:p>
        </w:tc>
      </w:tr>
    </w:tbl>
    <w:p w14:paraId="36B72C22" w14:textId="77777777" w:rsidR="00383C03" w:rsidRPr="00242856" w:rsidRDefault="00383C03" w:rsidP="00383C03">
      <w:pPr>
        <w:spacing w:after="0" w:line="240" w:lineRule="auto"/>
        <w:jc w:val="both"/>
        <w:rPr>
          <w:rFonts w:ascii="Verdana" w:eastAsia="Calibri" w:hAnsi="Verdana" w:cs="Arial"/>
          <w:highlight w:val="cyan"/>
          <w:lang w:val="es-ES_tradnl" w:eastAsia="es-ES_tradnl"/>
        </w:rPr>
      </w:pPr>
    </w:p>
    <w:p w14:paraId="2C24D458" w14:textId="77777777" w:rsidR="00383C03" w:rsidRPr="00242856" w:rsidRDefault="00383C03" w:rsidP="00383C03">
      <w:pPr>
        <w:spacing w:after="0" w:line="240" w:lineRule="auto"/>
        <w:jc w:val="both"/>
        <w:rPr>
          <w:rFonts w:ascii="Verdana" w:eastAsia="Calibri" w:hAnsi="Verdana" w:cs="Arial"/>
          <w:highlight w:val="cyan"/>
          <w:lang w:val="es-ES_tradnl" w:eastAsia="es-ES_tradnl"/>
        </w:rPr>
      </w:pPr>
    </w:p>
    <w:p w14:paraId="1BF2EC18" w14:textId="6CF80CDE" w:rsidR="00383C03" w:rsidRPr="00242856" w:rsidRDefault="00383C03" w:rsidP="00383C03">
      <w:pPr>
        <w:spacing w:after="0" w:line="276" w:lineRule="auto"/>
        <w:jc w:val="both"/>
        <w:rPr>
          <w:rFonts w:ascii="Verdana" w:eastAsia="Calibri" w:hAnsi="Verdana" w:cs="Arial"/>
          <w:lang w:val="es-ES" w:eastAsia="es-ES"/>
        </w:rPr>
      </w:pPr>
      <w:r w:rsidRPr="00242856">
        <w:rPr>
          <w:rFonts w:ascii="Verdana" w:eastAsia="Calibri" w:hAnsi="Verdana" w:cs="Arial"/>
          <w:lang w:val="es-ES" w:eastAsia="es-ES"/>
        </w:rPr>
        <w:t>Estimad</w:t>
      </w:r>
      <w:r w:rsidR="00DE0F55" w:rsidRPr="00242856">
        <w:rPr>
          <w:rFonts w:ascii="Verdana" w:eastAsia="Calibri" w:hAnsi="Verdana" w:cs="Arial"/>
          <w:lang w:val="es-ES" w:eastAsia="es-ES"/>
        </w:rPr>
        <w:t>o</w:t>
      </w:r>
      <w:r w:rsidRPr="00242856">
        <w:rPr>
          <w:rFonts w:ascii="Verdana" w:eastAsia="Calibri" w:hAnsi="Verdana" w:cs="Arial"/>
          <w:lang w:val="es-ES" w:eastAsia="es-ES"/>
        </w:rPr>
        <w:t xml:space="preserve"> señor </w:t>
      </w:r>
      <w:r w:rsidR="00DE0F55" w:rsidRPr="00242856">
        <w:rPr>
          <w:rFonts w:ascii="Verdana" w:eastAsia="Calibri" w:hAnsi="Verdana" w:cs="Arial"/>
          <w:lang w:val="es-ES" w:eastAsia="es-ES"/>
        </w:rPr>
        <w:t>Grajales</w:t>
      </w:r>
      <w:r w:rsidRPr="00242856">
        <w:rPr>
          <w:rFonts w:ascii="Verdana" w:eastAsia="Calibri" w:hAnsi="Verdana" w:cs="Arial"/>
          <w:lang w:val="es-ES" w:eastAsia="es-ES"/>
        </w:rPr>
        <w:t>;</w:t>
      </w:r>
    </w:p>
    <w:p w14:paraId="51580A11" w14:textId="77777777" w:rsidR="00383C03" w:rsidRPr="00242856" w:rsidRDefault="00383C03" w:rsidP="00383C03">
      <w:pPr>
        <w:tabs>
          <w:tab w:val="left" w:pos="3768"/>
        </w:tabs>
        <w:spacing w:after="0" w:line="276" w:lineRule="auto"/>
        <w:jc w:val="both"/>
        <w:rPr>
          <w:rFonts w:ascii="Verdana" w:eastAsia="Calibri" w:hAnsi="Verdana" w:cs="Arial"/>
          <w:highlight w:val="cyan"/>
          <w:lang w:val="es-ES" w:eastAsia="es-ES"/>
        </w:rPr>
      </w:pPr>
    </w:p>
    <w:p w14:paraId="3987149A" w14:textId="2A07585C" w:rsidR="00383C03" w:rsidRPr="00242856" w:rsidRDefault="00383C03" w:rsidP="00383C03">
      <w:pPr>
        <w:spacing w:after="0" w:line="276" w:lineRule="auto"/>
        <w:jc w:val="both"/>
        <w:rPr>
          <w:rFonts w:ascii="Verdana" w:eastAsia="Calibri" w:hAnsi="Verdana" w:cs="Arial"/>
          <w:lang w:val="es-ES" w:eastAsia="es-ES"/>
        </w:rPr>
      </w:pPr>
      <w:r w:rsidRPr="00242856">
        <w:rPr>
          <w:rFonts w:ascii="Verdana" w:eastAsia="Calibri" w:hAnsi="Verdana" w:cs="Arial"/>
          <w:lang w:val="es-ES" w:eastAsia="es-ES"/>
        </w:rPr>
        <w:t>En ejercicio de la competencia otorgada por los artículos 3, numeral 5º, y 11, numeral 8º, del Decreto Ley 4170 de 2011,</w:t>
      </w:r>
      <w:r w:rsidRPr="00242856">
        <w:rPr>
          <w:rFonts w:ascii="Verdana" w:eastAsia="Arial MT" w:hAnsi="Verdana" w:cs="Arial"/>
          <w:lang w:val="es-ES" w:eastAsia="es-ES"/>
        </w:rPr>
        <w:t xml:space="preserve"> </w:t>
      </w:r>
      <w:r w:rsidRPr="00242856">
        <w:rPr>
          <w:rFonts w:ascii="Verdana" w:hAnsi="Verdana" w:cs="Arial"/>
        </w:rPr>
        <w:t xml:space="preserve">así como lo establecido en el artículo 4 de la Resolución 1707 de 2018 expedida por esta Entidad, </w:t>
      </w:r>
      <w:r w:rsidRPr="00242856">
        <w:rPr>
          <w:rFonts w:ascii="Verdana" w:eastAsia="Calibri" w:hAnsi="Verdana" w:cs="Arial"/>
          <w:lang w:val="es-ES" w:eastAsia="es-ES"/>
        </w:rPr>
        <w:t xml:space="preserve">la Agencia Nacional de Contratación Pública – Colombia Compra Eficiente– responde su solicitud de consulta de fecha </w:t>
      </w:r>
      <w:r w:rsidR="009D5BC0" w:rsidRPr="00242856">
        <w:rPr>
          <w:rFonts w:ascii="Verdana" w:eastAsia="Calibri" w:hAnsi="Verdana" w:cs="Arial"/>
          <w:lang w:val="es-ES" w:eastAsia="es-ES"/>
        </w:rPr>
        <w:t>26 de agosto del 2024</w:t>
      </w:r>
      <w:r w:rsidRPr="00242856">
        <w:rPr>
          <w:rFonts w:ascii="Verdana" w:eastAsia="Calibri" w:hAnsi="Verdana" w:cs="Arial"/>
          <w:lang w:val="es-ES" w:eastAsia="es-ES"/>
        </w:rPr>
        <w:t xml:space="preserve">, en la cual manifiesta lo siguiente: </w:t>
      </w:r>
    </w:p>
    <w:p w14:paraId="0F293BF4" w14:textId="7BBFAB11" w:rsidR="00127233" w:rsidRPr="00242856" w:rsidRDefault="00127233" w:rsidP="00665D70">
      <w:pPr>
        <w:spacing w:after="0"/>
        <w:jc w:val="both"/>
        <w:rPr>
          <w:rFonts w:ascii="Verdana" w:hAnsi="Verdana" w:cs="Arial"/>
          <w:lang w:val="es-ES"/>
        </w:rPr>
      </w:pPr>
    </w:p>
    <w:p w14:paraId="1BF79462" w14:textId="02D5C587" w:rsidR="008623DD" w:rsidRPr="00242856" w:rsidRDefault="00721C11" w:rsidP="00FE38B6">
      <w:pPr>
        <w:spacing w:after="0" w:line="240" w:lineRule="auto"/>
        <w:ind w:left="709" w:right="709"/>
        <w:jc w:val="both"/>
        <w:rPr>
          <w:rFonts w:ascii="Verdana" w:eastAsia="Century Gothic" w:hAnsi="Verdana" w:cs="Arial"/>
          <w:sz w:val="20"/>
          <w:szCs w:val="20"/>
          <w:lang w:val="es-ES"/>
        </w:rPr>
      </w:pPr>
      <w:r w:rsidRPr="00242856">
        <w:rPr>
          <w:rFonts w:ascii="Verdana" w:eastAsia="Century Gothic" w:hAnsi="Verdana" w:cs="Arial"/>
          <w:sz w:val="20"/>
          <w:szCs w:val="20"/>
          <w:lang w:val="es-ES"/>
        </w:rPr>
        <w:t xml:space="preserve">“[…] </w:t>
      </w:r>
      <w:r w:rsidR="00505D20" w:rsidRPr="00242856">
        <w:rPr>
          <w:rFonts w:ascii="Verdana" w:eastAsia="Century Gothic" w:hAnsi="Verdana" w:cs="Arial"/>
          <w:sz w:val="20"/>
          <w:szCs w:val="20"/>
          <w:lang w:val="es-ES"/>
        </w:rPr>
        <w:t xml:space="preserve">En atención a lo dispuesto en el artículo 2.2.1.2.4.2.19 del Decreto 1082 de 2015, que señala lo siguiente: “División en lotes o segmentos. Las Entidades Estatales promoverán </w:t>
      </w:r>
      <w:r w:rsidR="00C833C1" w:rsidRPr="00242856">
        <w:rPr>
          <w:rFonts w:ascii="Verdana" w:eastAsia="Century Gothic" w:hAnsi="Verdana" w:cs="Arial"/>
          <w:sz w:val="20"/>
          <w:szCs w:val="20"/>
          <w:lang w:val="es-ES"/>
        </w:rPr>
        <w:t>la división de procesos de contratación en lotes o segmentos que faciliten la participación de las MiPymes atendiendo a criterios</w:t>
      </w:r>
      <w:r w:rsidR="003122F8" w:rsidRPr="00242856">
        <w:rPr>
          <w:rFonts w:ascii="Verdana" w:eastAsia="Century Gothic" w:hAnsi="Verdana" w:cs="Arial"/>
          <w:sz w:val="20"/>
          <w:szCs w:val="20"/>
          <w:lang w:val="es-ES"/>
        </w:rPr>
        <w:t xml:space="preserve"> tales como: i) el tipo de entregable, ii) el </w:t>
      </w:r>
      <w:r w:rsidR="003122F8" w:rsidRPr="00242856">
        <w:rPr>
          <w:rFonts w:ascii="Verdana" w:eastAsia="Century Gothic" w:hAnsi="Verdana" w:cs="Arial"/>
          <w:sz w:val="20"/>
          <w:szCs w:val="20"/>
          <w:lang w:val="es-ES"/>
        </w:rPr>
        <w:lastRenderedPageBreak/>
        <w:t xml:space="preserve">valor del contrato y iii) el ámbito geográfico de la entrega. </w:t>
      </w:r>
      <w:r w:rsidR="002D417E" w:rsidRPr="00242856">
        <w:rPr>
          <w:rFonts w:ascii="Verdana" w:eastAsia="Century Gothic" w:hAnsi="Verdana" w:cs="Arial"/>
          <w:sz w:val="20"/>
          <w:szCs w:val="20"/>
          <w:lang w:val="es-ES"/>
        </w:rPr>
        <w:t>Para el efecto, las entidades estatales deberán tener en cuenta el análisis del sector económico y de los oferentes en los términos establecidos en el artículo 2.2.1.1.1.6.1 del presente decreto”.</w:t>
      </w:r>
    </w:p>
    <w:p w14:paraId="631267B3" w14:textId="77777777" w:rsidR="002D417E" w:rsidRPr="00242856" w:rsidRDefault="002D417E" w:rsidP="00FE38B6">
      <w:pPr>
        <w:spacing w:after="0" w:line="240" w:lineRule="auto"/>
        <w:ind w:left="709" w:right="709"/>
        <w:jc w:val="both"/>
        <w:rPr>
          <w:rFonts w:ascii="Verdana" w:eastAsia="Century Gothic" w:hAnsi="Verdana" w:cs="Arial"/>
          <w:sz w:val="20"/>
          <w:szCs w:val="20"/>
          <w:lang w:val="es-ES"/>
        </w:rPr>
      </w:pPr>
    </w:p>
    <w:p w14:paraId="19EA3448" w14:textId="4CE0761B" w:rsidR="002D417E" w:rsidRPr="00242856" w:rsidRDefault="002D417E" w:rsidP="00FE38B6">
      <w:pPr>
        <w:spacing w:after="0" w:line="240" w:lineRule="auto"/>
        <w:ind w:left="709" w:right="709"/>
        <w:jc w:val="both"/>
        <w:rPr>
          <w:rFonts w:ascii="Verdana" w:eastAsia="Century Gothic" w:hAnsi="Verdana" w:cs="Arial"/>
          <w:sz w:val="20"/>
          <w:szCs w:val="20"/>
          <w:lang w:val="es-ES"/>
        </w:rPr>
      </w:pPr>
      <w:r w:rsidRPr="00242856">
        <w:rPr>
          <w:rFonts w:ascii="Verdana" w:eastAsia="Century Gothic" w:hAnsi="Verdana" w:cs="Arial"/>
          <w:sz w:val="20"/>
          <w:szCs w:val="20"/>
          <w:lang w:val="es-ES"/>
        </w:rPr>
        <w:t>De conformidad con lo anterior, esta oficina se permite elevar consulta respecto de la aplicación práctica de la norma en el siguiente sentido:</w:t>
      </w:r>
    </w:p>
    <w:p w14:paraId="0DA79FBE" w14:textId="77777777" w:rsidR="002D417E" w:rsidRPr="00242856" w:rsidRDefault="002D417E" w:rsidP="00FE38B6">
      <w:pPr>
        <w:spacing w:after="0" w:line="240" w:lineRule="auto"/>
        <w:ind w:left="709" w:right="709"/>
        <w:jc w:val="both"/>
        <w:rPr>
          <w:rFonts w:ascii="Verdana" w:eastAsia="Century Gothic" w:hAnsi="Verdana" w:cs="Arial"/>
          <w:sz w:val="20"/>
          <w:szCs w:val="20"/>
          <w:lang w:val="es-ES"/>
        </w:rPr>
      </w:pPr>
    </w:p>
    <w:p w14:paraId="2F009A28" w14:textId="18F9515D" w:rsidR="002D417E" w:rsidRPr="00242856" w:rsidRDefault="00EC766B" w:rsidP="00FE38B6">
      <w:pPr>
        <w:pStyle w:val="Prrafodelista"/>
        <w:numPr>
          <w:ilvl w:val="0"/>
          <w:numId w:val="18"/>
        </w:numPr>
        <w:spacing w:after="0" w:line="240" w:lineRule="auto"/>
        <w:ind w:right="709"/>
        <w:jc w:val="both"/>
        <w:rPr>
          <w:rFonts w:ascii="Verdana" w:eastAsia="Century Gothic" w:hAnsi="Verdana" w:cs="Arial"/>
          <w:sz w:val="20"/>
          <w:szCs w:val="20"/>
        </w:rPr>
      </w:pPr>
      <w:r w:rsidRPr="00242856">
        <w:rPr>
          <w:rFonts w:ascii="Verdana" w:eastAsia="Century Gothic" w:hAnsi="Verdana" w:cs="Arial"/>
          <w:sz w:val="20"/>
          <w:szCs w:val="20"/>
        </w:rPr>
        <w:t>¿Dicha norma es aplicable para procesos de obra pública?</w:t>
      </w:r>
    </w:p>
    <w:p w14:paraId="29C74D75" w14:textId="77777777" w:rsidR="00AC0A04" w:rsidRPr="00242856" w:rsidRDefault="00AC0A04" w:rsidP="00FE38B6">
      <w:pPr>
        <w:pStyle w:val="Prrafodelista"/>
        <w:spacing w:after="0" w:line="240" w:lineRule="auto"/>
        <w:ind w:left="1069" w:right="709"/>
        <w:jc w:val="both"/>
        <w:rPr>
          <w:rFonts w:ascii="Verdana" w:eastAsia="Century Gothic" w:hAnsi="Verdana" w:cs="Arial"/>
          <w:sz w:val="20"/>
          <w:szCs w:val="20"/>
        </w:rPr>
      </w:pPr>
    </w:p>
    <w:p w14:paraId="3727BE22" w14:textId="66BFD9A0" w:rsidR="00EC766B" w:rsidRPr="00242856" w:rsidRDefault="00EC766B" w:rsidP="00FE38B6">
      <w:pPr>
        <w:pStyle w:val="Prrafodelista"/>
        <w:numPr>
          <w:ilvl w:val="0"/>
          <w:numId w:val="18"/>
        </w:numPr>
        <w:spacing w:after="0" w:line="240" w:lineRule="auto"/>
        <w:ind w:right="709"/>
        <w:jc w:val="both"/>
        <w:rPr>
          <w:rFonts w:ascii="Verdana" w:eastAsia="Century Gothic" w:hAnsi="Verdana" w:cs="Arial"/>
          <w:sz w:val="20"/>
          <w:szCs w:val="20"/>
        </w:rPr>
      </w:pPr>
      <w:r w:rsidRPr="00242856">
        <w:rPr>
          <w:rFonts w:ascii="Verdana" w:eastAsia="Century Gothic" w:hAnsi="Verdana" w:cs="Arial"/>
          <w:sz w:val="20"/>
          <w:szCs w:val="20"/>
        </w:rPr>
        <w:t xml:space="preserve">¿En la aplicación práctica del proceso de selección </w:t>
      </w:r>
      <w:r w:rsidR="001E65BD" w:rsidRPr="00242856">
        <w:rPr>
          <w:rFonts w:ascii="Verdana" w:eastAsia="Century Gothic" w:hAnsi="Verdana" w:cs="Arial"/>
          <w:sz w:val="20"/>
          <w:szCs w:val="20"/>
        </w:rPr>
        <w:t>a utilizar es viable realizar una sola licitación, y adjudicar por lotes a dos (2) o más contratistas diferentes, y como se aplicaría la limitación a MiPymes en el cas</w:t>
      </w:r>
      <w:r w:rsidR="00A050E7" w:rsidRPr="00242856">
        <w:rPr>
          <w:rFonts w:ascii="Verdana" w:eastAsia="Century Gothic" w:hAnsi="Verdana" w:cs="Arial"/>
          <w:sz w:val="20"/>
          <w:szCs w:val="20"/>
        </w:rPr>
        <w:t>o de que el valor total de la licitación sea mayor a ciento veinti</w:t>
      </w:r>
      <w:r w:rsidR="00512D35" w:rsidRPr="00242856">
        <w:rPr>
          <w:rFonts w:ascii="Verdana" w:eastAsia="Century Gothic" w:hAnsi="Verdana" w:cs="Arial"/>
          <w:sz w:val="20"/>
          <w:szCs w:val="20"/>
        </w:rPr>
        <w:t>cinco mil dólares de los Estados Unidos de América (US$125.000)?</w:t>
      </w:r>
    </w:p>
    <w:p w14:paraId="5CD8073E" w14:textId="77777777" w:rsidR="00512D35" w:rsidRPr="00242856" w:rsidRDefault="00512D35" w:rsidP="00FE38B6">
      <w:pPr>
        <w:pStyle w:val="Prrafodelista"/>
        <w:spacing w:line="240" w:lineRule="auto"/>
        <w:rPr>
          <w:rFonts w:ascii="Verdana" w:eastAsia="Century Gothic" w:hAnsi="Verdana" w:cs="Arial"/>
          <w:sz w:val="20"/>
          <w:szCs w:val="20"/>
        </w:rPr>
      </w:pPr>
    </w:p>
    <w:p w14:paraId="57E3F71B" w14:textId="1F7EA868" w:rsidR="00721C11" w:rsidRPr="00242856" w:rsidRDefault="00583D1B" w:rsidP="00FE38B6">
      <w:pPr>
        <w:pStyle w:val="Prrafodelista"/>
        <w:numPr>
          <w:ilvl w:val="0"/>
          <w:numId w:val="18"/>
        </w:numPr>
        <w:spacing w:after="0" w:line="240" w:lineRule="auto"/>
        <w:ind w:right="709"/>
        <w:jc w:val="both"/>
        <w:rPr>
          <w:rFonts w:ascii="Verdana" w:eastAsia="Century Gothic" w:hAnsi="Verdana" w:cs="Arial"/>
          <w:sz w:val="20"/>
          <w:szCs w:val="20"/>
        </w:rPr>
      </w:pPr>
      <w:r w:rsidRPr="00242856">
        <w:rPr>
          <w:rFonts w:ascii="Verdana" w:eastAsia="Century Gothic" w:hAnsi="Verdana" w:cs="Arial"/>
          <w:sz w:val="20"/>
          <w:szCs w:val="20"/>
        </w:rPr>
        <w:t xml:space="preserve">¿Es viable segmentar el proceso en dos licitaciones de acuerdo a los lotes o tramos de una obra que se encuentran ubicados geográficamente en sitios diferentes, y donde cada una de las licitaciones sea menor a ciento veinticinco mil dólares de los Estados Unidos de América (US$125.000)? </w:t>
      </w:r>
      <w:r w:rsidR="00721C11" w:rsidRPr="00242856">
        <w:rPr>
          <w:rFonts w:ascii="Verdana" w:eastAsia="Century Gothic" w:hAnsi="Verdana" w:cs="Arial"/>
          <w:sz w:val="20"/>
          <w:szCs w:val="20"/>
        </w:rPr>
        <w:t>[…]”</w:t>
      </w:r>
    </w:p>
    <w:p w14:paraId="2E784B0D" w14:textId="77777777" w:rsidR="00721C11" w:rsidRPr="00242856" w:rsidRDefault="00721C11" w:rsidP="00665D70">
      <w:pPr>
        <w:spacing w:after="0"/>
        <w:jc w:val="both"/>
        <w:rPr>
          <w:rFonts w:ascii="Verdana" w:hAnsi="Verdana" w:cs="Arial"/>
          <w:lang w:val="es-ES"/>
        </w:rPr>
      </w:pPr>
    </w:p>
    <w:p w14:paraId="6EEF730B" w14:textId="77777777" w:rsidR="00A176CF" w:rsidRPr="00242856" w:rsidRDefault="00A176CF" w:rsidP="00A176CF">
      <w:pPr>
        <w:spacing w:after="120" w:line="276" w:lineRule="auto"/>
        <w:ind w:firstLine="709"/>
        <w:jc w:val="both"/>
        <w:rPr>
          <w:rFonts w:ascii="Verdana" w:eastAsia="Calibri" w:hAnsi="Verdana" w:cs="Arial"/>
          <w:color w:val="000000"/>
          <w:lang w:val="es-ES_tradnl" w:eastAsia="es-ES_tradnl"/>
        </w:rPr>
      </w:pPr>
      <w:r w:rsidRPr="00242856">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31D5E36" w14:textId="6845C823" w:rsidR="00A176CF" w:rsidRPr="00242856" w:rsidRDefault="00A176CF" w:rsidP="00A176CF">
      <w:pPr>
        <w:spacing w:after="0" w:line="276" w:lineRule="auto"/>
        <w:ind w:firstLine="709"/>
        <w:jc w:val="both"/>
        <w:rPr>
          <w:rFonts w:ascii="Verdana" w:eastAsia="Calibri" w:hAnsi="Verdana" w:cs="Arial"/>
          <w:color w:val="000000"/>
          <w:lang w:val="es-ES" w:eastAsia="es-ES"/>
        </w:rPr>
      </w:pPr>
      <w:r w:rsidRPr="00242856">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122FDD" w:rsidRPr="00242856">
        <w:rPr>
          <w:rFonts w:ascii="Verdana" w:eastAsia="Calibri" w:hAnsi="Verdana" w:cs="Arial"/>
          <w:color w:val="000000"/>
          <w:lang w:val="es-ES" w:eastAsia="es-ES"/>
        </w:rPr>
        <w:t>los</w:t>
      </w:r>
      <w:r w:rsidRPr="00242856">
        <w:rPr>
          <w:rFonts w:ascii="Verdana" w:eastAsia="Calibri" w:hAnsi="Verdana" w:cs="Arial"/>
          <w:color w:val="000000"/>
          <w:lang w:val="es-ES" w:eastAsia="es-ES"/>
        </w:rPr>
        <w:t xml:space="preserve"> problema</w:t>
      </w:r>
      <w:r w:rsidR="00122FDD" w:rsidRPr="00242856">
        <w:rPr>
          <w:rFonts w:ascii="Verdana" w:eastAsia="Calibri" w:hAnsi="Verdana" w:cs="Arial"/>
          <w:color w:val="000000"/>
          <w:lang w:val="es-ES" w:eastAsia="es-ES"/>
        </w:rPr>
        <w:t>s</w:t>
      </w:r>
      <w:r w:rsidRPr="00242856">
        <w:rPr>
          <w:rFonts w:ascii="Verdana" w:eastAsia="Calibri" w:hAnsi="Verdana" w:cs="Arial"/>
          <w:color w:val="000000"/>
          <w:lang w:val="es-ES" w:eastAsia="es-ES"/>
        </w:rPr>
        <w:t xml:space="preserve"> jurídico</w:t>
      </w:r>
      <w:r w:rsidR="00122FDD" w:rsidRPr="00242856">
        <w:rPr>
          <w:rFonts w:ascii="Verdana" w:eastAsia="Calibri" w:hAnsi="Verdana" w:cs="Arial"/>
          <w:color w:val="000000"/>
          <w:lang w:val="es-ES" w:eastAsia="es-ES"/>
        </w:rPr>
        <w:t>s</w:t>
      </w:r>
      <w:r w:rsidRPr="00242856">
        <w:rPr>
          <w:rFonts w:ascii="Verdana" w:eastAsia="Calibri" w:hAnsi="Verdana" w:cs="Arial"/>
          <w:color w:val="000000"/>
          <w:lang w:val="es-ES" w:eastAsia="es-ES"/>
        </w:rPr>
        <w:t xml:space="preserve"> de su consulta.  </w:t>
      </w:r>
    </w:p>
    <w:p w14:paraId="48B42924" w14:textId="77777777" w:rsidR="00A176CF" w:rsidRPr="00242856" w:rsidRDefault="00A176CF" w:rsidP="00A176CF">
      <w:pPr>
        <w:spacing w:after="0"/>
        <w:jc w:val="both"/>
        <w:rPr>
          <w:rFonts w:ascii="Verdana" w:hAnsi="Verdana" w:cs="Arial"/>
          <w:lang w:val="es-ES"/>
        </w:rPr>
      </w:pPr>
    </w:p>
    <w:p w14:paraId="429B16BB" w14:textId="77777777" w:rsidR="00A176CF" w:rsidRPr="00242856" w:rsidRDefault="00A176CF" w:rsidP="00A176CF">
      <w:pPr>
        <w:pStyle w:val="Prrafodelista"/>
        <w:numPr>
          <w:ilvl w:val="0"/>
          <w:numId w:val="16"/>
        </w:numPr>
        <w:tabs>
          <w:tab w:val="left" w:pos="142"/>
          <w:tab w:val="left" w:pos="284"/>
        </w:tabs>
        <w:spacing w:after="0" w:line="276" w:lineRule="auto"/>
        <w:ind w:left="0" w:firstLine="0"/>
        <w:jc w:val="both"/>
        <w:rPr>
          <w:rFonts w:ascii="Verdana" w:eastAsia="Century Gothic" w:hAnsi="Verdana" w:cs="Arial"/>
          <w:b/>
          <w:bCs/>
        </w:rPr>
      </w:pPr>
      <w:r w:rsidRPr="00242856">
        <w:rPr>
          <w:rFonts w:ascii="Verdana" w:eastAsia="Century Gothic" w:hAnsi="Verdana" w:cs="Arial"/>
          <w:b/>
          <w:bCs/>
        </w:rPr>
        <w:lastRenderedPageBreak/>
        <w:t>Problema planteado:</w:t>
      </w:r>
    </w:p>
    <w:p w14:paraId="52C3D6CE" w14:textId="77777777" w:rsidR="00A176CF" w:rsidRPr="00242856" w:rsidRDefault="00A176CF" w:rsidP="00A176CF">
      <w:pPr>
        <w:tabs>
          <w:tab w:val="left" w:pos="426"/>
        </w:tabs>
        <w:spacing w:after="0" w:line="276" w:lineRule="auto"/>
        <w:jc w:val="both"/>
        <w:rPr>
          <w:rFonts w:ascii="Verdana" w:eastAsia="Century Gothic" w:hAnsi="Verdana" w:cs="Arial"/>
          <w:lang w:val="es-ES"/>
        </w:rPr>
      </w:pPr>
    </w:p>
    <w:p w14:paraId="317E6381" w14:textId="1CD0BE81" w:rsidR="00A176CF" w:rsidRPr="00242856" w:rsidRDefault="00A176CF" w:rsidP="00D0424C">
      <w:pPr>
        <w:spacing w:after="0" w:line="276" w:lineRule="auto"/>
        <w:jc w:val="both"/>
        <w:rPr>
          <w:rFonts w:ascii="Verdana" w:eastAsia="Century Gothic" w:hAnsi="Verdana" w:cs="Arial"/>
        </w:rPr>
      </w:pPr>
      <w:r w:rsidRPr="00242856">
        <w:rPr>
          <w:rFonts w:ascii="Verdana" w:eastAsia="Century Gothic" w:hAnsi="Verdana" w:cs="Arial"/>
        </w:rPr>
        <w:t xml:space="preserve">De acuerdo con el contenido de su solicitud, esta Agencia resolverá </w:t>
      </w:r>
      <w:r w:rsidR="00270E0B" w:rsidRPr="00242856">
        <w:rPr>
          <w:rFonts w:ascii="Verdana" w:eastAsia="Century Gothic" w:hAnsi="Verdana" w:cs="Arial"/>
        </w:rPr>
        <w:t xml:space="preserve">los </w:t>
      </w:r>
      <w:r w:rsidRPr="00242856">
        <w:rPr>
          <w:rFonts w:ascii="Verdana" w:eastAsia="Century Gothic" w:hAnsi="Verdana" w:cs="Arial"/>
        </w:rPr>
        <w:t>siguiente</w:t>
      </w:r>
      <w:r w:rsidR="00270E0B" w:rsidRPr="00242856">
        <w:rPr>
          <w:rFonts w:ascii="Verdana" w:eastAsia="Century Gothic" w:hAnsi="Verdana" w:cs="Arial"/>
        </w:rPr>
        <w:t>s</w:t>
      </w:r>
      <w:r w:rsidRPr="00242856">
        <w:rPr>
          <w:rFonts w:ascii="Verdana" w:eastAsia="Century Gothic" w:hAnsi="Verdana" w:cs="Arial"/>
        </w:rPr>
        <w:t xml:space="preserve"> problema</w:t>
      </w:r>
      <w:r w:rsidR="00270E0B" w:rsidRPr="00242856">
        <w:rPr>
          <w:rFonts w:ascii="Verdana" w:eastAsia="Century Gothic" w:hAnsi="Verdana" w:cs="Arial"/>
        </w:rPr>
        <w:t>s</w:t>
      </w:r>
      <w:r w:rsidRPr="00242856">
        <w:rPr>
          <w:rFonts w:ascii="Verdana" w:eastAsia="Century Gothic" w:hAnsi="Verdana" w:cs="Arial"/>
        </w:rPr>
        <w:t xml:space="preserve"> jurídico</w:t>
      </w:r>
      <w:r w:rsidR="00270E0B" w:rsidRPr="00242856">
        <w:rPr>
          <w:rFonts w:ascii="Verdana" w:eastAsia="Century Gothic" w:hAnsi="Verdana" w:cs="Arial"/>
        </w:rPr>
        <w:t>s</w:t>
      </w:r>
      <w:r w:rsidRPr="00242856">
        <w:rPr>
          <w:rFonts w:ascii="Verdana" w:eastAsia="Century Gothic" w:hAnsi="Verdana" w:cs="Arial"/>
        </w:rPr>
        <w:t xml:space="preserve">: </w:t>
      </w:r>
      <w:r w:rsidR="008B064C" w:rsidRPr="00242856">
        <w:rPr>
          <w:rFonts w:ascii="Verdana" w:eastAsia="Century Gothic" w:hAnsi="Verdana" w:cs="Arial"/>
        </w:rPr>
        <w:t>i)</w:t>
      </w:r>
      <w:r w:rsidR="00602FFD" w:rsidRPr="00242856">
        <w:rPr>
          <w:rFonts w:ascii="Verdana" w:eastAsia="Century Gothic" w:hAnsi="Verdana" w:cs="Arial"/>
        </w:rPr>
        <w:t xml:space="preserve"> </w:t>
      </w:r>
      <w:r w:rsidR="00C933D7" w:rsidRPr="00242856">
        <w:rPr>
          <w:rFonts w:ascii="Verdana" w:eastAsia="Century Gothic" w:hAnsi="Verdana" w:cs="Arial"/>
        </w:rPr>
        <w:t xml:space="preserve">¿Es viable estructurar un proceso de obra pública en lotes o segmentos?; ii) ¿Las Entidades Estatales </w:t>
      </w:r>
      <w:r w:rsidR="00D5459B" w:rsidRPr="00242856">
        <w:rPr>
          <w:rFonts w:ascii="Verdana" w:eastAsia="Century Gothic" w:hAnsi="Verdana" w:cs="Arial"/>
        </w:rPr>
        <w:t>pueden</w:t>
      </w:r>
      <w:r w:rsidR="00107A56" w:rsidRPr="00242856">
        <w:rPr>
          <w:rFonts w:ascii="Verdana" w:eastAsia="Century Gothic" w:hAnsi="Verdana" w:cs="Arial"/>
        </w:rPr>
        <w:t xml:space="preserve"> adjudicar </w:t>
      </w:r>
      <w:r w:rsidR="00D5459B" w:rsidRPr="00242856">
        <w:rPr>
          <w:rFonts w:ascii="Verdana" w:eastAsia="Century Gothic" w:hAnsi="Verdana" w:cs="Arial"/>
        </w:rPr>
        <w:t xml:space="preserve">los lotes o segmentos a diferentes oferentes); iii) </w:t>
      </w:r>
      <w:r w:rsidR="00D24E5D" w:rsidRPr="00242856">
        <w:rPr>
          <w:rFonts w:ascii="Verdana" w:eastAsia="Century Gothic" w:hAnsi="Verdana" w:cs="Arial"/>
        </w:rPr>
        <w:t xml:space="preserve">¿Cómo se </w:t>
      </w:r>
      <w:r w:rsidR="00E9328E" w:rsidRPr="00242856">
        <w:rPr>
          <w:rFonts w:ascii="Verdana" w:eastAsia="Century Gothic" w:hAnsi="Verdana" w:cs="Arial"/>
        </w:rPr>
        <w:t xml:space="preserve">establece el valor </w:t>
      </w:r>
      <w:r w:rsidR="006E4C69" w:rsidRPr="00242856">
        <w:rPr>
          <w:rFonts w:ascii="Verdana" w:eastAsia="Century Gothic" w:hAnsi="Verdana" w:cs="Arial"/>
        </w:rPr>
        <w:t xml:space="preserve">del Proceso de Contratación imputable al respectivo lote </w:t>
      </w:r>
      <w:r w:rsidR="00D0424C" w:rsidRPr="00242856">
        <w:rPr>
          <w:rFonts w:ascii="Verdana" w:eastAsia="Century Gothic" w:hAnsi="Verdana" w:cs="Arial"/>
        </w:rPr>
        <w:t>o segmento en una convocatoria limitada a MiPymes?</w:t>
      </w:r>
    </w:p>
    <w:p w14:paraId="58C06ADC" w14:textId="77777777" w:rsidR="00D0424C" w:rsidRPr="00242856" w:rsidRDefault="00D0424C" w:rsidP="00D0424C">
      <w:pPr>
        <w:spacing w:after="0" w:line="276" w:lineRule="auto"/>
        <w:jc w:val="both"/>
        <w:rPr>
          <w:rFonts w:ascii="Verdana" w:eastAsia="Century Gothic" w:hAnsi="Verdana" w:cs="Arial"/>
        </w:rPr>
      </w:pPr>
    </w:p>
    <w:p w14:paraId="10A98D7B" w14:textId="77777777" w:rsidR="0047671D" w:rsidRPr="00242856" w:rsidRDefault="0047671D" w:rsidP="004767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Respuesta:</w:t>
      </w:r>
    </w:p>
    <w:p w14:paraId="53A57442" w14:textId="77777777" w:rsidR="0047671D" w:rsidRPr="00242856" w:rsidRDefault="0047671D" w:rsidP="0047671D">
      <w:pPr>
        <w:spacing w:after="0"/>
        <w:jc w:val="both"/>
        <w:rPr>
          <w:rFonts w:ascii="Verdana" w:hAnsi="Verdana" w:cs="Arial"/>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7671D" w:rsidRPr="00242856" w14:paraId="701B0EC8" w14:textId="77777777" w:rsidTr="00157AA4">
        <w:trPr>
          <w:trHeight w:val="799"/>
        </w:trPr>
        <w:tc>
          <w:tcPr>
            <w:tcW w:w="8828" w:type="dxa"/>
            <w:shd w:val="clear" w:color="auto" w:fill="auto"/>
          </w:tcPr>
          <w:p w14:paraId="0D69FA3F" w14:textId="77777777" w:rsidR="0047671D" w:rsidRPr="00242856" w:rsidRDefault="0047671D" w:rsidP="00A77C62">
            <w:pPr>
              <w:spacing w:after="120" w:line="276" w:lineRule="auto"/>
              <w:jc w:val="both"/>
              <w:rPr>
                <w:rFonts w:ascii="Verdana" w:eastAsia="Calibri" w:hAnsi="Verdana" w:cs="Arial"/>
                <w:lang w:val="es-ES"/>
              </w:rPr>
            </w:pPr>
            <w:r w:rsidRPr="00242856">
              <w:rPr>
                <w:rFonts w:ascii="Verdana" w:eastAsia="Calibri" w:hAnsi="Verdana" w:cs="Arial"/>
                <w:lang w:val="es-ES"/>
              </w:rPr>
              <w:t>En respuesta a los problemas planteados esta Subdirección manifiesta:</w:t>
            </w:r>
          </w:p>
          <w:p w14:paraId="2DF345FE" w14:textId="12D1B813" w:rsidR="00037774" w:rsidRPr="00242856" w:rsidRDefault="00037774" w:rsidP="00A77C62">
            <w:pPr>
              <w:spacing w:line="276" w:lineRule="auto"/>
              <w:jc w:val="both"/>
              <w:rPr>
                <w:rFonts w:ascii="Verdana" w:hAnsi="Verdana"/>
              </w:rPr>
            </w:pPr>
            <w:r w:rsidRPr="00242856">
              <w:rPr>
                <w:rFonts w:ascii="Verdana" w:hAnsi="Verdana"/>
                <w:lang w:val="es-ES"/>
              </w:rPr>
              <w:t>i)</w:t>
            </w:r>
            <w:r w:rsidRPr="00242856">
              <w:rPr>
                <w:rFonts w:ascii="Verdana" w:hAnsi="Verdana"/>
              </w:rPr>
              <w:t xml:space="preserve"> </w:t>
            </w:r>
            <w:r w:rsidR="00FE4172" w:rsidRPr="00242856">
              <w:rPr>
                <w:rFonts w:ascii="Verdana" w:hAnsi="Verdana"/>
              </w:rPr>
              <w:t>Frente al primer interrogante resulta precisó indicar que las Entidades Estatales en virtud del principio de la autonomía, se encuentran facultadas para estructurar sus procesos de obra pública en lotes o segmentos, para ello es imperativo realizar un análisis detallado sobre la conveniencia técnica y jurídica de la contratación, esto, para maximizar los beneficios de las contrataciones, minimizar los riesgos asociados y evitar fraccionamiento del contrato u alguna otra figura prohibida en la ley.</w:t>
            </w:r>
          </w:p>
          <w:p w14:paraId="1923B30E" w14:textId="77777777" w:rsidR="00A77C62" w:rsidRPr="00242856" w:rsidRDefault="00A77C62" w:rsidP="00A77C62">
            <w:pPr>
              <w:spacing w:line="276" w:lineRule="auto"/>
              <w:jc w:val="both"/>
              <w:rPr>
                <w:rFonts w:ascii="Verdana" w:hAnsi="Verdana"/>
              </w:rPr>
            </w:pPr>
          </w:p>
          <w:p w14:paraId="1AFF3685" w14:textId="28FFA389" w:rsidR="00A77C62" w:rsidRPr="00242856" w:rsidRDefault="00A77C62" w:rsidP="00A77C62">
            <w:pPr>
              <w:spacing w:line="276" w:lineRule="auto"/>
              <w:jc w:val="both"/>
              <w:rPr>
                <w:rFonts w:ascii="Verdana" w:hAnsi="Verdana"/>
                <w:lang w:val="es-ES"/>
              </w:rPr>
            </w:pPr>
            <w:r w:rsidRPr="00242856">
              <w:rPr>
                <w:rFonts w:ascii="Verdana" w:hAnsi="Verdana"/>
                <w:lang w:val="es-ES"/>
              </w:rPr>
              <w:t xml:space="preserve">ii) </w:t>
            </w:r>
            <w:r w:rsidRPr="00242856">
              <w:rPr>
                <w:rFonts w:ascii="Verdana" w:eastAsia="Calibri" w:hAnsi="Verdana" w:cs="Arial"/>
              </w:rPr>
              <w:t xml:space="preserve">Conforme a lo dispuesto en </w:t>
            </w:r>
            <w:r w:rsidRPr="00242856">
              <w:rPr>
                <w:rFonts w:ascii="Verdana" w:hAnsi="Verdana" w:cs="Arial"/>
              </w:rPr>
              <w:t>el cuarto inciso d</w:t>
            </w:r>
            <w:r w:rsidRPr="00242856">
              <w:rPr>
                <w:rFonts w:ascii="Verdana" w:eastAsia="Times New Roman" w:hAnsi="Verdana" w:cs="Arial"/>
                <w:color w:val="000000"/>
                <w:lang w:eastAsia="es-CO"/>
              </w:rPr>
              <w:t>el artículo 2.2.1.2.4.2.19 del Decreto 1082 de 2015 −adicionado por el artículo 6 del Decreto 142 de 2023−,</w:t>
            </w:r>
            <w:r w:rsidRPr="00242856">
              <w:rPr>
                <w:rFonts w:ascii="Verdana" w:hAnsi="Verdana" w:cs="Arial"/>
              </w:rPr>
              <w:t xml:space="preserve"> se habilita a las entidades para que incluyan en los pliegos de condiciones mecanismos y reglas que limiten el número de lotes que pueden ser adjudicados a un mismo oferente o a varios. Sobre el particular vale la pena indicar que la norma no determina que mecanismos y reglas pueden establecer las Entidades para limitar el número de lotes a adjudicarse. Así las cosas, le corresponde a la Entidad Estatal en ejercicio de su autonomía y discrecionalidad determinar en los pliegos de condiciones para los procesos estructurados por lotes o segmentos si estos podrán ser adjudicados a un solo proponente o a varios.  </w:t>
            </w:r>
          </w:p>
          <w:p w14:paraId="7B6DE995" w14:textId="77777777" w:rsidR="00037774" w:rsidRPr="00242856" w:rsidRDefault="00037774" w:rsidP="00A77C62">
            <w:pPr>
              <w:spacing w:line="276" w:lineRule="auto"/>
              <w:rPr>
                <w:rFonts w:ascii="Verdana" w:hAnsi="Verdana" w:cs="Arial"/>
              </w:rPr>
            </w:pPr>
          </w:p>
          <w:p w14:paraId="15E83DB6" w14:textId="77777777" w:rsidR="00F47207" w:rsidRPr="00242856" w:rsidRDefault="00037774" w:rsidP="00A77C62">
            <w:pPr>
              <w:spacing w:line="276" w:lineRule="auto"/>
              <w:jc w:val="both"/>
              <w:rPr>
                <w:rFonts w:ascii="Verdana" w:hAnsi="Verdana"/>
              </w:rPr>
            </w:pPr>
            <w:r w:rsidRPr="00242856">
              <w:rPr>
                <w:rFonts w:ascii="Verdana" w:hAnsi="Verdana" w:cs="Arial"/>
              </w:rPr>
              <w:t xml:space="preserve">iii) En lo relacionado a las convocatorias limitadas a MiPymes, tomando en consideración el valor del Proceso de Contratación imputable al respectivo lote en el que se solicite su aplicación, el numeral uno del artículo 2.2.1.2.4.2.2 </w:t>
            </w:r>
            <w:r w:rsidRPr="00242856">
              <w:rPr>
                <w:rFonts w:ascii="Verdana" w:eastAsia="Times New Roman" w:hAnsi="Verdana" w:cs="Arial"/>
                <w:color w:val="000000"/>
                <w:lang w:eastAsia="es-CO"/>
              </w:rPr>
              <w:t>del Decreto 1082 de 2015</w:t>
            </w:r>
            <w:r w:rsidRPr="00242856">
              <w:rPr>
                <w:rFonts w:ascii="Verdana" w:hAnsi="Verdana" w:cs="Arial"/>
              </w:rPr>
              <w:t xml:space="preserve">, establece como requisito para limitar convocatorias a MiPymes que el valor del Proceso de Contratación sea menor a ciento veinticinco mil dólares de los Estados Unidos de América (US$125.000), </w:t>
            </w:r>
            <w:r w:rsidRPr="00242856">
              <w:rPr>
                <w:rFonts w:ascii="Verdana" w:hAnsi="Verdana" w:cs="Arial"/>
              </w:rPr>
              <w:lastRenderedPageBreak/>
              <w:t xml:space="preserve">liquidados con la tasa de cambio que para el efecto se determina cada dos años el Ministerio de Comercio, Industria y Turismo. No obstante, de acuerdo con el parágrafo del artículo 2.2.1.2.4.2.19 </w:t>
            </w:r>
            <w:r w:rsidRPr="00242856">
              <w:rPr>
                <w:rFonts w:ascii="Verdana" w:eastAsia="Times New Roman" w:hAnsi="Verdana" w:cs="Arial"/>
                <w:color w:val="000000"/>
                <w:lang w:eastAsia="es-CO"/>
              </w:rPr>
              <w:t xml:space="preserve">del Decreto 1082 de 2015, </w:t>
            </w:r>
            <w:r w:rsidRPr="00242856">
              <w:rPr>
                <w:rFonts w:ascii="Verdana" w:hAnsi="Verdana" w:cs="Arial"/>
              </w:rPr>
              <w:t>cuando el proceso se adelante por lotes o grupos, el valor de los (US$125.000) debe establecerse en relación con el lote o segmento, y no respecto del valor total del proceso de contratación −que se establecería con la sumatoria de todos los lotes o segmentos−.</w:t>
            </w:r>
            <w:r w:rsidR="00F47207" w:rsidRPr="00242856">
              <w:rPr>
                <w:rFonts w:ascii="Verdana" w:hAnsi="Verdana"/>
              </w:rPr>
              <w:t xml:space="preserve"> </w:t>
            </w:r>
          </w:p>
          <w:p w14:paraId="11A4228B" w14:textId="77777777" w:rsidR="00F47207" w:rsidRPr="00242856" w:rsidRDefault="00F47207" w:rsidP="00A77C62">
            <w:pPr>
              <w:spacing w:line="276" w:lineRule="auto"/>
              <w:jc w:val="both"/>
              <w:rPr>
                <w:rFonts w:ascii="Verdana" w:hAnsi="Verdana" w:cs="Arial"/>
              </w:rPr>
            </w:pPr>
          </w:p>
          <w:p w14:paraId="0747FF55" w14:textId="638F1666" w:rsidR="0047671D" w:rsidRPr="00242856" w:rsidRDefault="00F47207" w:rsidP="00A77C62">
            <w:pPr>
              <w:spacing w:line="276" w:lineRule="auto"/>
              <w:jc w:val="both"/>
              <w:rPr>
                <w:rFonts w:ascii="Verdana" w:hAnsi="Verdana"/>
              </w:rPr>
            </w:pPr>
            <w:r w:rsidRPr="00242856">
              <w:rPr>
                <w:rFonts w:ascii="Verdana" w:hAnsi="Verdana" w:cs="Arial"/>
              </w:rPr>
              <w:t>Finalmente, es pertinente mencionar que, el parágrafo en comento dispone que, en los procesos adelantados por lotes o grupos, también, se aplicará lo previsto en el artículo 2.2.1.2.4.2.3. del Decreto 1082 de 2015, a partir del lugar de ejecución del contrato asociado al respectivo lote o segmento.</w:t>
            </w:r>
            <w:r w:rsidR="00FD48E8" w:rsidRPr="00242856">
              <w:rPr>
                <w:rFonts w:ascii="Verdana" w:hAnsi="Verdana"/>
                <w:lang w:val="es-ES"/>
              </w:rPr>
              <w:t xml:space="preserve"> </w:t>
            </w:r>
          </w:p>
        </w:tc>
      </w:tr>
    </w:tbl>
    <w:p w14:paraId="5913039E" w14:textId="77777777" w:rsidR="0047671D" w:rsidRPr="00242856" w:rsidRDefault="0047671D" w:rsidP="0047671D">
      <w:pPr>
        <w:spacing w:after="0"/>
        <w:jc w:val="both"/>
        <w:rPr>
          <w:rFonts w:ascii="Verdana" w:hAnsi="Verdana" w:cs="Arial"/>
        </w:rPr>
      </w:pPr>
    </w:p>
    <w:p w14:paraId="497EB311" w14:textId="77777777" w:rsidR="0047671D" w:rsidRPr="00242856" w:rsidRDefault="0047671D" w:rsidP="0047671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Razones de la respuesta:</w:t>
      </w:r>
    </w:p>
    <w:p w14:paraId="1CA877E2" w14:textId="77777777" w:rsidR="0047671D" w:rsidRPr="00242856" w:rsidRDefault="0047671D" w:rsidP="0047671D">
      <w:pPr>
        <w:spacing w:after="0" w:line="276" w:lineRule="auto"/>
        <w:jc w:val="both"/>
        <w:rPr>
          <w:rFonts w:ascii="Verdana" w:eastAsia="Calibri" w:hAnsi="Verdana" w:cs="Arial"/>
          <w:color w:val="7030A0"/>
          <w:lang w:val="es-ES"/>
        </w:rPr>
      </w:pPr>
    </w:p>
    <w:p w14:paraId="060BD160" w14:textId="77777777" w:rsidR="0047671D" w:rsidRPr="00242856" w:rsidRDefault="0047671D" w:rsidP="0024261B">
      <w:pPr>
        <w:spacing w:after="0" w:line="276" w:lineRule="auto"/>
        <w:jc w:val="both"/>
        <w:rPr>
          <w:rFonts w:ascii="Verdana" w:eastAsia="Calibri" w:hAnsi="Verdana" w:cs="Arial"/>
          <w:lang w:val="es-ES"/>
        </w:rPr>
      </w:pPr>
      <w:r w:rsidRPr="00242856">
        <w:rPr>
          <w:rFonts w:ascii="Verdana" w:eastAsia="Calibri" w:hAnsi="Verdana" w:cs="Arial"/>
          <w:lang w:val="es-ES"/>
        </w:rPr>
        <w:t>Lo anterior se sustenta en las siguientes consideraciones:</w:t>
      </w:r>
    </w:p>
    <w:p w14:paraId="727B36DB" w14:textId="77777777" w:rsidR="006B682A" w:rsidRPr="00242856" w:rsidRDefault="006B682A" w:rsidP="0024261B">
      <w:pPr>
        <w:spacing w:after="0" w:line="276" w:lineRule="auto"/>
        <w:jc w:val="both"/>
        <w:rPr>
          <w:rFonts w:ascii="Verdana" w:hAnsi="Verdana" w:cs="Arial"/>
          <w:lang w:val="es-ES"/>
        </w:rPr>
      </w:pPr>
    </w:p>
    <w:p w14:paraId="08BF7B06" w14:textId="40BF71E4" w:rsidR="00972CF7" w:rsidRPr="00242856" w:rsidRDefault="006B32F6" w:rsidP="0024261B">
      <w:pPr>
        <w:pStyle w:val="Prrafodelista"/>
        <w:numPr>
          <w:ilvl w:val="0"/>
          <w:numId w:val="19"/>
        </w:numPr>
        <w:spacing w:after="0" w:line="276" w:lineRule="auto"/>
        <w:jc w:val="both"/>
        <w:rPr>
          <w:rFonts w:ascii="Verdana" w:hAnsi="Verdana" w:cs="Arial"/>
        </w:rPr>
      </w:pPr>
      <w:r w:rsidRPr="00242856">
        <w:rPr>
          <w:rFonts w:ascii="Verdana" w:hAnsi="Verdana" w:cs="Arial"/>
        </w:rPr>
        <w:t xml:space="preserve">Para proceder a dar respuesta a los problemas jurídicos de la presente consulta se hace necesario tener en consideración que </w:t>
      </w:r>
      <w:r w:rsidR="001C2A75" w:rsidRPr="00242856">
        <w:rPr>
          <w:rFonts w:ascii="Verdana" w:hAnsi="Verdana" w:cs="Arial"/>
        </w:rPr>
        <w:t>el 31 de diciembre de 2020 se promulgó la Ley 2069, “Por medio de la cual se impulsa el emprendimiento en Colombia”.</w:t>
      </w:r>
      <w:r w:rsidR="00E41466" w:rsidRPr="00242856">
        <w:rPr>
          <w:rFonts w:ascii="Verdana" w:hAnsi="Verdana" w:cs="Arial"/>
        </w:rPr>
        <w:t xml:space="preserve"> </w:t>
      </w:r>
      <w:r w:rsidR="00BF0370" w:rsidRPr="00242856">
        <w:rPr>
          <w:rFonts w:ascii="Verdana" w:hAnsi="Verdana" w:cs="Arial"/>
        </w:rPr>
        <w:t>En lo que respecta a</w:t>
      </w:r>
      <w:r w:rsidR="00E64185" w:rsidRPr="00242856">
        <w:rPr>
          <w:rFonts w:ascii="Verdana" w:hAnsi="Verdana" w:cs="Arial"/>
        </w:rPr>
        <w:t xml:space="preserve"> las convocatorias limitadas a MiPymes</w:t>
      </w:r>
      <w:r w:rsidR="007B0D02" w:rsidRPr="00242856">
        <w:rPr>
          <w:rFonts w:ascii="Verdana" w:hAnsi="Verdana" w:cs="Arial"/>
        </w:rPr>
        <w:t>, e</w:t>
      </w:r>
      <w:r w:rsidR="00C26AE1" w:rsidRPr="00242856">
        <w:rPr>
          <w:rFonts w:ascii="Verdana" w:hAnsi="Verdana" w:cs="Arial"/>
        </w:rPr>
        <w:t xml:space="preserve">l artículo 34 </w:t>
      </w:r>
      <w:r w:rsidR="0050783A" w:rsidRPr="00242856">
        <w:rPr>
          <w:rFonts w:ascii="Verdana" w:hAnsi="Verdana" w:cs="Arial"/>
        </w:rPr>
        <w:t>de la Ley 2069 de 2020 dispuso nuevas reglas sobre la promoción al desarrollo en la contratación estatal. En particular, la citada disposición modificó el contenido del artículo 12 de la Ley 1150 de 2007</w:t>
      </w:r>
      <w:r w:rsidR="0063604B" w:rsidRPr="00242856">
        <w:rPr>
          <w:rFonts w:ascii="Verdana" w:hAnsi="Verdana" w:cs="Arial"/>
        </w:rPr>
        <w:t>.</w:t>
      </w:r>
    </w:p>
    <w:p w14:paraId="7A3A1D7B" w14:textId="77777777" w:rsidR="006F4C9D" w:rsidRPr="00242856" w:rsidRDefault="006F4C9D" w:rsidP="0024261B">
      <w:pPr>
        <w:pStyle w:val="Prrafodelista"/>
        <w:spacing w:after="0" w:line="276" w:lineRule="auto"/>
        <w:jc w:val="both"/>
        <w:rPr>
          <w:rFonts w:ascii="Verdana" w:hAnsi="Verdana" w:cs="Arial"/>
        </w:rPr>
      </w:pPr>
    </w:p>
    <w:p w14:paraId="198C49B5" w14:textId="66D1A65D" w:rsidR="006F4C9D" w:rsidRPr="00242856" w:rsidRDefault="00481E9C" w:rsidP="0024261B">
      <w:pPr>
        <w:pStyle w:val="Prrafodelista"/>
        <w:numPr>
          <w:ilvl w:val="0"/>
          <w:numId w:val="19"/>
        </w:numPr>
        <w:spacing w:after="0" w:line="276" w:lineRule="auto"/>
        <w:jc w:val="both"/>
        <w:rPr>
          <w:rFonts w:ascii="Verdana" w:hAnsi="Verdana" w:cs="Arial"/>
        </w:rPr>
      </w:pPr>
      <w:r w:rsidRPr="00242856">
        <w:rPr>
          <w:rFonts w:ascii="Verdana" w:hAnsi="Verdana" w:cs="Arial"/>
        </w:rPr>
        <w:t>A partir de lo anterior</w:t>
      </w:r>
      <w:r w:rsidR="006F4C9D" w:rsidRPr="00242856">
        <w:rPr>
          <w:rFonts w:ascii="Verdana" w:hAnsi="Verdana" w:cs="Arial"/>
        </w:rPr>
        <w:t xml:space="preserve"> se expidió el </w:t>
      </w:r>
      <w:r w:rsidR="00F764E0" w:rsidRPr="00242856">
        <w:rPr>
          <w:rFonts w:ascii="Verdana" w:hAnsi="Verdana" w:cs="Arial"/>
        </w:rPr>
        <w:t>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E50086" w:rsidRPr="00242856">
        <w:rPr>
          <w:rFonts w:ascii="Verdana" w:hAnsi="Verdana" w:cs="Arial"/>
        </w:rPr>
        <w:t xml:space="preserve">. Este decreto </w:t>
      </w:r>
      <w:r w:rsidR="002E4565" w:rsidRPr="00242856">
        <w:rPr>
          <w:rFonts w:ascii="Verdana" w:hAnsi="Verdana" w:cs="Arial"/>
        </w:rPr>
        <w:t>modificó, entre otros aspectos, la Subsección 5 de la Sección 1 del Capítulo 2 del Título 1 de la Parte 2 del Libro 2 y los artículos 2.2.1.2.4.2.2. y 2.2.1.2.4.2.3. y siguientes del Decreto 1082 de 2015.</w:t>
      </w:r>
    </w:p>
    <w:p w14:paraId="67A62418" w14:textId="77777777" w:rsidR="0050783A" w:rsidRPr="00242856" w:rsidRDefault="0050783A" w:rsidP="0024261B">
      <w:pPr>
        <w:spacing w:after="0" w:line="276" w:lineRule="auto"/>
        <w:jc w:val="both"/>
        <w:rPr>
          <w:rFonts w:ascii="Verdana" w:hAnsi="Verdana" w:cs="Arial"/>
          <w:lang w:val="es-ES"/>
        </w:rPr>
      </w:pPr>
    </w:p>
    <w:p w14:paraId="69B29F28" w14:textId="77777777" w:rsidR="00674BF8" w:rsidRPr="00242856" w:rsidRDefault="00004A0F" w:rsidP="0024261B">
      <w:pPr>
        <w:pStyle w:val="Prrafodelista"/>
        <w:numPr>
          <w:ilvl w:val="0"/>
          <w:numId w:val="19"/>
        </w:numPr>
        <w:spacing w:after="0" w:line="276" w:lineRule="auto"/>
        <w:jc w:val="both"/>
        <w:rPr>
          <w:rFonts w:ascii="Verdana" w:hAnsi="Verdana" w:cs="Arial"/>
        </w:rPr>
      </w:pPr>
      <w:r w:rsidRPr="00242856">
        <w:rPr>
          <w:rFonts w:ascii="Verdana" w:hAnsi="Verdana" w:cs="Arial"/>
        </w:rPr>
        <w:t>Así las cosas</w:t>
      </w:r>
      <w:r w:rsidR="00B764CC" w:rsidRPr="00242856">
        <w:rPr>
          <w:rFonts w:ascii="Verdana" w:hAnsi="Verdana" w:cs="Arial"/>
        </w:rPr>
        <w:t>,</w:t>
      </w:r>
      <w:r w:rsidRPr="00242856">
        <w:rPr>
          <w:rFonts w:ascii="Verdana" w:hAnsi="Verdana" w:cs="Arial"/>
        </w:rPr>
        <w:t xml:space="preserve"> </w:t>
      </w:r>
      <w:r w:rsidR="00C861BA" w:rsidRPr="00242856">
        <w:rPr>
          <w:rFonts w:ascii="Verdana" w:hAnsi="Verdana" w:cs="Arial"/>
        </w:rPr>
        <w:t>el</w:t>
      </w:r>
      <w:r w:rsidR="009F5F44" w:rsidRPr="00242856">
        <w:rPr>
          <w:rFonts w:ascii="Verdana" w:hAnsi="Verdana" w:cs="Arial"/>
        </w:rPr>
        <w:t xml:space="preserve"> artículo </w:t>
      </w:r>
      <w:r w:rsidR="00451035" w:rsidRPr="00242856">
        <w:rPr>
          <w:rFonts w:ascii="Verdana" w:hAnsi="Verdana" w:cs="Arial"/>
        </w:rPr>
        <w:t xml:space="preserve">(i) 2.2.1.2.4.2.2. </w:t>
      </w:r>
      <w:r w:rsidR="00170054" w:rsidRPr="00242856">
        <w:rPr>
          <w:rFonts w:ascii="Verdana" w:hAnsi="Verdana" w:cs="Arial"/>
          <w:lang w:val="es-CO"/>
        </w:rPr>
        <w:t xml:space="preserve">del Decreto 1082 de 2015 </w:t>
      </w:r>
      <w:r w:rsidR="00451035" w:rsidRPr="00242856">
        <w:rPr>
          <w:rFonts w:ascii="Verdana" w:hAnsi="Verdana" w:cs="Arial"/>
        </w:rPr>
        <w:t xml:space="preserve">consagra los requisitos para limitar la convocatoria de los procesos de contratación con pluralidad de oferentes a las MiPymes colombianas con </w:t>
      </w:r>
      <w:r w:rsidR="00451035" w:rsidRPr="00242856">
        <w:rPr>
          <w:rFonts w:ascii="Verdana" w:hAnsi="Verdana" w:cs="Arial"/>
        </w:rPr>
        <w:lastRenderedPageBreak/>
        <w:t xml:space="preserve">mínimo un (1) año de existencia; (ii) </w:t>
      </w:r>
      <w:r w:rsidR="00C861BA" w:rsidRPr="00242856">
        <w:rPr>
          <w:rFonts w:ascii="Verdana" w:hAnsi="Verdana" w:cs="Arial"/>
        </w:rPr>
        <w:t xml:space="preserve">el artículo </w:t>
      </w:r>
      <w:r w:rsidR="00451035" w:rsidRPr="00242856">
        <w:rPr>
          <w:rFonts w:ascii="Verdana" w:hAnsi="Verdana" w:cs="Arial"/>
        </w:rPr>
        <w:t>2.2.1.2.4.2.3.</w:t>
      </w:r>
      <w:r w:rsidR="00C861BA" w:rsidRPr="00242856">
        <w:rPr>
          <w:rFonts w:ascii="Verdana" w:hAnsi="Verdana" w:cs="Arial"/>
        </w:rPr>
        <w:t xml:space="preserve"> </w:t>
      </w:r>
      <w:r w:rsidR="00C861BA" w:rsidRPr="00242856">
        <w:rPr>
          <w:rFonts w:ascii="Verdana" w:hAnsi="Verdana" w:cs="Arial"/>
          <w:lang w:val="es-CO"/>
        </w:rPr>
        <w:t>del Decreto 1082 de 2015</w:t>
      </w:r>
      <w:r w:rsidR="00451035" w:rsidRPr="00242856">
        <w:rPr>
          <w:rFonts w:ascii="Verdana" w:hAnsi="Verdana" w:cs="Arial"/>
        </w:rPr>
        <w:t xml:space="preserve"> desarrolla las convocatorias limitadas a MiPymes colombianas que tengan domicilio en los departamentos o municipios en donde se va a ejecutar el contrato; y (iii)</w:t>
      </w:r>
      <w:r w:rsidR="00EE230F" w:rsidRPr="00242856">
        <w:rPr>
          <w:rFonts w:ascii="Verdana" w:hAnsi="Verdana" w:cs="Arial"/>
        </w:rPr>
        <w:t xml:space="preserve"> el artículo</w:t>
      </w:r>
      <w:r w:rsidR="00451035" w:rsidRPr="00242856">
        <w:rPr>
          <w:rFonts w:ascii="Verdana" w:hAnsi="Verdana" w:cs="Arial"/>
        </w:rPr>
        <w:t xml:space="preserve"> 2.2.1.2.4.2.4. </w:t>
      </w:r>
      <w:r w:rsidR="00EE230F" w:rsidRPr="00242856">
        <w:rPr>
          <w:rFonts w:ascii="Verdana" w:hAnsi="Verdana" w:cs="Arial"/>
          <w:lang w:val="es-CO"/>
        </w:rPr>
        <w:t xml:space="preserve">del Decreto 1082 de 2015 </w:t>
      </w:r>
      <w:r w:rsidR="00451035" w:rsidRPr="00242856">
        <w:rPr>
          <w:rFonts w:ascii="Verdana" w:hAnsi="Verdana" w:cs="Arial"/>
        </w:rPr>
        <w:t>regula la acreditación de requisitos para participar en convocatorias limitadas. De este modo, interesa precisar que el artículo 5 del Decreto 1860 de 2021, que modifica los artículos del Decreto 1082 de 2015, constituye la reglamentación del artículo 34 de la Ley 2069 de 2020, al desarrollar las reglas aplicables a las convocatorias limitadas a MiPymes como se verá a continuación.</w:t>
      </w:r>
    </w:p>
    <w:p w14:paraId="0490AD35" w14:textId="77777777" w:rsidR="00674BF8" w:rsidRPr="00242856" w:rsidRDefault="00674BF8" w:rsidP="0024261B">
      <w:pPr>
        <w:pStyle w:val="Prrafodelista"/>
        <w:spacing w:line="276" w:lineRule="auto"/>
        <w:rPr>
          <w:rFonts w:ascii="Verdana" w:hAnsi="Verdana" w:cs="Arial"/>
          <w:lang w:eastAsia="es-ES"/>
        </w:rPr>
      </w:pPr>
    </w:p>
    <w:p w14:paraId="73E9E397" w14:textId="77777777" w:rsidR="004F71AE" w:rsidRPr="00242856" w:rsidRDefault="00674BF8" w:rsidP="0024261B">
      <w:pPr>
        <w:pStyle w:val="Prrafodelista"/>
        <w:numPr>
          <w:ilvl w:val="0"/>
          <w:numId w:val="19"/>
        </w:numPr>
        <w:spacing w:after="0" w:line="276" w:lineRule="auto"/>
        <w:jc w:val="both"/>
        <w:rPr>
          <w:rFonts w:ascii="Verdana" w:hAnsi="Verdana" w:cs="Arial"/>
        </w:rPr>
      </w:pPr>
      <w:r w:rsidRPr="00242856">
        <w:rPr>
          <w:rFonts w:ascii="Verdana" w:hAnsi="Verdana" w:cs="Arial"/>
          <w:lang w:eastAsia="es-ES"/>
        </w:rPr>
        <w:t>Respecto a lo señalado en el inciso primero del artículo 2.2.1.2.4.2.2. del Decreto 1082 de 2015, modificado por el artículo 5 del Decreto 1860 de 2021, se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w:t>
      </w:r>
      <w:r w:rsidR="008C66EC" w:rsidRPr="00242856">
        <w:rPr>
          <w:rStyle w:val="Refdenotaalpie"/>
          <w:rFonts w:ascii="Verdana" w:hAnsi="Verdana" w:cs="Arial"/>
          <w:lang w:eastAsia="es-ES"/>
        </w:rPr>
        <w:footnoteReference w:id="1"/>
      </w:r>
      <w:r w:rsidRPr="00242856">
        <w:rPr>
          <w:rFonts w:ascii="Verdana" w:hAnsi="Verdana" w:cs="Arial"/>
          <w:lang w:eastAsia="es-ES"/>
        </w:rPr>
        <w:t>.</w:t>
      </w:r>
    </w:p>
    <w:p w14:paraId="6ECD20AC" w14:textId="77777777" w:rsidR="004F71AE" w:rsidRPr="00242856" w:rsidRDefault="004F71AE" w:rsidP="0024261B">
      <w:pPr>
        <w:pStyle w:val="Prrafodelista"/>
        <w:spacing w:line="276" w:lineRule="auto"/>
        <w:rPr>
          <w:rFonts w:ascii="Verdana" w:hAnsi="Verdana" w:cs="Arial"/>
          <w:bCs/>
          <w:lang w:val="es-ES_tradnl" w:eastAsia="es-ES"/>
        </w:rPr>
      </w:pPr>
    </w:p>
    <w:p w14:paraId="24CA2158" w14:textId="77777777" w:rsidR="0024261B" w:rsidRPr="00242856" w:rsidRDefault="004F71AE" w:rsidP="0024261B">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bCs/>
          <w:lang w:val="es-ES_tradnl" w:eastAsia="es-ES"/>
        </w:rPr>
        <w:t xml:space="preserve">Según se evidencia, el numeral primero limita cuantitativamente los procesos contractuales en los que se puede hacer esa convocatoria limitada a Mipymes, en la medida en que el valor del proceso de contratación tendrá que ser “menor a veinticinco mil dólares de los </w:t>
      </w:r>
      <w:r w:rsidRPr="00242856">
        <w:rPr>
          <w:rFonts w:ascii="Verdana" w:hAnsi="Verdana" w:cs="Arial"/>
          <w:bCs/>
          <w:lang w:val="es-ES_tradnl" w:eastAsia="es-ES"/>
        </w:rPr>
        <w:lastRenderedPageBreak/>
        <w:t xml:space="preserve">Estados Unidos </w:t>
      </w:r>
      <w:r w:rsidRPr="00242856">
        <w:rPr>
          <w:rFonts w:ascii="Verdana" w:eastAsia="Arial" w:hAnsi="Verdana" w:cs="Arial"/>
          <w:color w:val="000000"/>
          <w:lang w:eastAsia="es-ES_tradnl"/>
        </w:rPr>
        <w:t>de América”. Esta limitante, valga la pena aclarar, es establecida de acuerdo con la tasa que, para el efecto, determine cada dos (2) años el Ministerio de Comercio, Industria y Turismo</w:t>
      </w:r>
      <w:r w:rsidRPr="00242856">
        <w:rPr>
          <w:rFonts w:ascii="Verdana" w:eastAsia="Arial" w:hAnsi="Verdana"/>
          <w:color w:val="000000"/>
          <w:vertAlign w:val="superscript"/>
          <w:lang w:eastAsia="es-ES_tradnl"/>
        </w:rPr>
        <w:footnoteReference w:id="2"/>
      </w:r>
      <w:r w:rsidRPr="00242856">
        <w:rPr>
          <w:rFonts w:ascii="Verdana" w:eastAsia="Arial" w:hAnsi="Verdana" w:cs="Arial"/>
          <w:color w:val="000000"/>
          <w:lang w:eastAsia="es-ES_tradnl"/>
        </w:rPr>
        <w:t xml:space="preserve">. </w:t>
      </w:r>
    </w:p>
    <w:p w14:paraId="796E00BC" w14:textId="77777777" w:rsidR="0024261B" w:rsidRPr="00242856" w:rsidRDefault="0024261B" w:rsidP="0024261B">
      <w:pPr>
        <w:pStyle w:val="Prrafodelista"/>
        <w:spacing w:line="276" w:lineRule="auto"/>
        <w:rPr>
          <w:rFonts w:ascii="Verdana" w:eastAsia="Arial" w:hAnsi="Verdana" w:cs="Arial"/>
          <w:color w:val="000000"/>
          <w:lang w:eastAsia="es-ES_tradnl"/>
        </w:rPr>
      </w:pPr>
    </w:p>
    <w:p w14:paraId="34D7E1C8" w14:textId="77777777" w:rsidR="00813898" w:rsidRPr="00242856" w:rsidRDefault="0024261B" w:rsidP="00813898">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Arial" w:hAnsi="Verdana" w:cs="Arial"/>
          <w:color w:val="000000"/>
          <w:lang w:eastAsia="es-ES_tradnl"/>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242856">
        <w:rPr>
          <w:rFonts w:ascii="Verdana" w:eastAsia="Arial" w:hAnsi="Verdana" w:cs="Arial"/>
          <w:color w:val="000000"/>
          <w:lang w:val="es-ES_tradnl" w:eastAsia="es-ES_tradnl"/>
        </w:rPr>
        <w:t>o el que haga sus veces de acuerdo con la normativa aplicable a cada proceso de contratación</w:t>
      </w:r>
      <w:r w:rsidRPr="00242856">
        <w:rPr>
          <w:rFonts w:ascii="Verdana" w:eastAsia="Arial" w:hAnsi="Verdana" w:cs="Arial"/>
          <w:color w:val="000000"/>
          <w:lang w:eastAsia="es-ES_tradnl"/>
        </w:rPr>
        <w:t xml:space="preserve">. Además, la norma señala que, </w:t>
      </w:r>
      <w:r w:rsidRPr="00242856">
        <w:rPr>
          <w:rFonts w:ascii="Verdana" w:eastAsia="Arial" w:hAnsi="Verdana" w:cs="Arial"/>
          <w:color w:val="000000"/>
          <w:lang w:val="es-ES_tradnl" w:eastAsia="es-ES_tradnl"/>
        </w:rPr>
        <w:t xml:space="preserve">tratándose de personas jurídicas, las solicitudes sólo 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14:paraId="58FD8B26" w14:textId="77777777" w:rsidR="00813898" w:rsidRPr="00242856" w:rsidRDefault="00813898" w:rsidP="00813898">
      <w:pPr>
        <w:pStyle w:val="Prrafodelista"/>
        <w:rPr>
          <w:rFonts w:ascii="Verdana" w:eastAsia="Arial" w:hAnsi="Verdana" w:cs="Arial"/>
          <w:color w:val="000000"/>
          <w:highlight w:val="cyan"/>
          <w:lang w:val="es-ES_tradnl" w:eastAsia="es-ES_tradnl"/>
        </w:rPr>
      </w:pPr>
    </w:p>
    <w:p w14:paraId="526F71D9" w14:textId="77777777" w:rsidR="00157268" w:rsidRPr="00242856" w:rsidRDefault="00813898" w:rsidP="00157268">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Arial" w:hAnsi="Verdana" w:cs="Arial"/>
          <w:color w:val="000000"/>
          <w:lang w:val="es-ES_tradnl" w:eastAsia="es-ES_tradnl"/>
        </w:rPr>
        <w:t xml:space="preserve">En ese orden, cumplidos los dos requisitos del artículo 2.2.1.2.4.2.2. </w:t>
      </w:r>
      <w:r w:rsidRPr="00242856">
        <w:rPr>
          <w:rFonts w:ascii="Verdana" w:eastAsia="Arial" w:hAnsi="Verdana" w:cs="Arial"/>
          <w:i/>
          <w:iCs/>
          <w:color w:val="000000"/>
          <w:lang w:val="es-ES_tradnl" w:eastAsia="es-ES_tradnl"/>
        </w:rPr>
        <w:t xml:space="preserve">ibidem, </w:t>
      </w:r>
      <w:r w:rsidRPr="00242856">
        <w:rPr>
          <w:rFonts w:ascii="Verdana" w:eastAsia="Arial" w:hAnsi="Verdana" w:cs="Arial"/>
          <w:color w:val="000000"/>
          <w:lang w:val="es-ES_tradnl" w:eastAsia="es-ES_tradnl"/>
        </w:rPr>
        <w:t>la entidad puede –no tiene que– decidir si limita la convocatoria a las Mipymes nacionales domiciliadas en el municipio o departamento en el que se ejecutará el contrato</w:t>
      </w:r>
      <w:r w:rsidRPr="00242856">
        <w:rPr>
          <w:rFonts w:ascii="Verdana" w:hAnsi="Verdana"/>
          <w:color w:val="000000" w:themeColor="text1"/>
          <w:vertAlign w:val="superscript"/>
        </w:rPr>
        <w:footnoteReference w:id="3"/>
      </w:r>
      <w:r w:rsidRPr="00242856">
        <w:rPr>
          <w:rFonts w:ascii="Verdana" w:hAnsi="Verdana" w:cs="Arial"/>
          <w:color w:val="000000" w:themeColor="text1"/>
        </w:rPr>
        <w:t xml:space="preserve">. Esto, de acuerdo con lo establecido en el artículo 2.2.1.2.4.2.3. del Decreto 1082 de 2015, modificado por el artículo 5 del Decreto 1860 de 2021, norma que se refiere a la facultad de la Administración con el verbo infinitivo “poder”, no “deber”. En cualquier caso, Colombia Compra Eficiente ha sostenido que es discrecional la decisión de limitar territorialmente una convocatoria a Mipymes, y ha sostenido que, de todos modos, la decisión debe estar justificada en los correspondientes “estudios del sector”. Así lo consideró </w:t>
      </w:r>
      <w:r w:rsidRPr="00242856">
        <w:rPr>
          <w:rFonts w:ascii="Verdana" w:hAnsi="Verdana" w:cs="Arial"/>
          <w:color w:val="000000" w:themeColor="text1"/>
        </w:rPr>
        <w:lastRenderedPageBreak/>
        <w:t xml:space="preserve">en la consulta No. </w:t>
      </w:r>
      <w:r w:rsidRPr="00242856">
        <w:rPr>
          <w:rFonts w:ascii="Verdana" w:eastAsia="Calibri" w:hAnsi="Verdana" w:cs="Arial"/>
          <w:color w:val="000000" w:themeColor="text1"/>
        </w:rPr>
        <w:t xml:space="preserve">216130003241, resuelta el 30 de junio de 2016. Igualmente, en la consulta resuelta en el radicado No. 2201813000008184, del 7 de septiembre de 2018, se dijo que, de acuerdo con el </w:t>
      </w:r>
      <w:r w:rsidRPr="00242856">
        <w:rPr>
          <w:rFonts w:ascii="Verdana" w:hAnsi="Verdana" w:cs="Arial"/>
          <w:color w:val="000000" w:themeColor="text1"/>
        </w:rPr>
        <w:t>artículo 2.2.1.2.4.2.3. del Decreto 1082 de 2015,</w:t>
      </w:r>
      <w:r w:rsidRPr="00242856">
        <w:rPr>
          <w:rFonts w:ascii="Verdana" w:eastAsia="Calibri" w:hAnsi="Verdana" w:cs="Arial"/>
          <w:color w:val="000000" w:themeColor="text1"/>
        </w:rPr>
        <w:t xml:space="preserve"> las Mipymes beneficiadas deben tener su domicilio principal en el municipio o departamento donde se ejecutará el contrato para poder participar en una convocatoria limitada territorialmente</w:t>
      </w:r>
      <w:r w:rsidRPr="00242856">
        <w:rPr>
          <w:rFonts w:ascii="Verdana" w:hAnsi="Verdana"/>
          <w:color w:val="000000" w:themeColor="text1"/>
          <w:vertAlign w:val="superscript"/>
        </w:rPr>
        <w:footnoteReference w:id="4"/>
      </w:r>
      <w:r w:rsidRPr="00242856">
        <w:rPr>
          <w:rFonts w:ascii="Verdana" w:hAnsi="Verdana" w:cs="Arial"/>
          <w:color w:val="000000" w:themeColor="text1"/>
        </w:rPr>
        <w:t>.</w:t>
      </w:r>
    </w:p>
    <w:p w14:paraId="083CF7BC" w14:textId="77777777" w:rsidR="00157268" w:rsidRPr="00242856" w:rsidRDefault="00157268" w:rsidP="00157268">
      <w:pPr>
        <w:pStyle w:val="Prrafodelista"/>
        <w:spacing w:after="0" w:line="276" w:lineRule="auto"/>
        <w:jc w:val="both"/>
        <w:rPr>
          <w:rFonts w:ascii="Verdana" w:eastAsia="Century Gothic" w:hAnsi="Verdana" w:cs="Arial"/>
          <w:color w:val="000000" w:themeColor="text1"/>
        </w:rPr>
      </w:pPr>
    </w:p>
    <w:p w14:paraId="599F76DF" w14:textId="67847B95" w:rsidR="00BE4F68" w:rsidRPr="00242856" w:rsidRDefault="00157268" w:rsidP="00BC6CD4">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Arial" w:hAnsi="Verdana" w:cs="Arial"/>
          <w:color w:val="000000"/>
          <w:lang w:eastAsia="es-ES"/>
        </w:rPr>
        <w:t xml:space="preserve">Ahora bien, en caso de que una Mipyme se encuentre interesada en solicitar la limitación de la convocatoria, deberá junto con su respectiva solicitud, las cual podrá presentar a la entidad por lo menos un (1) día hábil antes de la expedición del acto administrativo de apertura del proceso de contratación, acreditar: </w:t>
      </w:r>
      <w:r w:rsidRPr="00242856">
        <w:rPr>
          <w:rFonts w:ascii="Verdana" w:eastAsia="Arial" w:hAnsi="Verdana" w:cs="Arial"/>
          <w:i/>
          <w:iCs/>
          <w:color w:val="000000"/>
          <w:lang w:eastAsia="es-ES"/>
        </w:rPr>
        <w:t xml:space="preserve">i) </w:t>
      </w:r>
      <w:r w:rsidRPr="00242856">
        <w:rPr>
          <w:rFonts w:ascii="Verdana" w:eastAsia="Arial" w:hAnsi="Verdana" w:cs="Arial"/>
          <w:color w:val="000000"/>
          <w:lang w:eastAsia="es-ES"/>
        </w:rPr>
        <w:t>que tiene el tamaño empresarial establecido por la ley para ser considerada Mipyme</w:t>
      </w:r>
      <w:r w:rsidRPr="00242856">
        <w:rPr>
          <w:rFonts w:ascii="Verdana" w:eastAsia="Arial" w:hAnsi="Verdana" w:cs="Arial"/>
          <w:i/>
          <w:iCs/>
          <w:color w:val="000000"/>
          <w:lang w:eastAsia="es-ES"/>
        </w:rPr>
        <w:t xml:space="preserve">, ii) </w:t>
      </w:r>
      <w:r w:rsidRPr="00242856">
        <w:rPr>
          <w:rFonts w:ascii="Verdana" w:eastAsia="Arial" w:hAnsi="Verdana" w:cs="Arial"/>
          <w:color w:val="000000"/>
          <w:lang w:eastAsia="es-ES"/>
        </w:rPr>
        <w:t>que cuenta mínimo, con un (1) año de existencia y, en caso de que se trate una persona jurídica</w:t>
      </w:r>
      <w:r w:rsidRPr="00242856">
        <w:rPr>
          <w:rFonts w:ascii="Verdana" w:eastAsia="Arial" w:hAnsi="Verdana" w:cs="Arial"/>
          <w:i/>
          <w:iCs/>
          <w:color w:val="000000"/>
          <w:lang w:eastAsia="es-ES"/>
        </w:rPr>
        <w:t xml:space="preserve">, iii) </w:t>
      </w:r>
      <w:r w:rsidRPr="00242856">
        <w:rPr>
          <w:rFonts w:ascii="Verdana" w:eastAsia="Arial" w:hAnsi="Verdana" w:cs="Arial"/>
          <w:color w:val="000000"/>
          <w:lang w:eastAsia="es-ES"/>
        </w:rPr>
        <w:t>que su objeto social le permite ejecutar el contrato relacionado con el proceso contractual. Información esta, que verificará la Entidad Estatal que adelanta el respectivo proceso de contratación, para así determinar si procede o no a efectuar la limitación de la convocaría. Sin embargo, debe aclararse, que las entidades en el marco del principio de autonomía están facultadas para establecer en el pliego de condiciones, las reglas a través de las cuales se acreditarán dichas situaciones, esto, bajo la observación de lo señalado en el artículo 2.2.1.2.4.2.4 del Decreto 1082 de 2015, modificado por el artículo 5 del Decreto 1860 de 2021.</w:t>
      </w:r>
    </w:p>
    <w:p w14:paraId="6646AD66" w14:textId="77777777" w:rsidR="00841997" w:rsidRPr="00242856" w:rsidRDefault="00841997" w:rsidP="00BC6CD4">
      <w:pPr>
        <w:pStyle w:val="Prrafodelista"/>
        <w:spacing w:after="0" w:line="276" w:lineRule="auto"/>
        <w:jc w:val="both"/>
        <w:rPr>
          <w:rFonts w:ascii="Verdana" w:eastAsia="Century Gothic" w:hAnsi="Verdana" w:cs="Arial"/>
          <w:color w:val="000000" w:themeColor="text1"/>
        </w:rPr>
      </w:pPr>
    </w:p>
    <w:p w14:paraId="6F1385FD" w14:textId="162F5231" w:rsidR="00802364" w:rsidRPr="00242856" w:rsidRDefault="00802364" w:rsidP="00802364">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lang w:eastAsia="es-ES"/>
        </w:rPr>
        <w:t>En tal sentido, la norma precitada señala las formas en las que las Mipyme colombianas deben acreditar el tamaño empresarial establecido en por la ley; de este modo, las entidades deben dar cumplimiento expreso a las distintas posibilidades que otorga el Decreto 1082 de 2015, para que las Mipyme acrediten que tienen el tamaño empresarial dispuesto en la norma. Esto, sin perjuicio de que las entidades determinen en cada caso concreto, si los particulares partícipes de sus procesos de contratación cumplen o no las condiciones antes explicadas, para así dilucidar si limitan o no la convocatoria a Mipymes.</w:t>
      </w:r>
      <w:r w:rsidRPr="00242856">
        <w:rPr>
          <w:rFonts w:ascii="Verdana" w:hAnsi="Verdana" w:cs="Arial"/>
          <w:bCs/>
          <w:lang w:val="es-ES_tradnl" w:eastAsia="es-ES"/>
        </w:rPr>
        <w:t xml:space="preserve"> </w:t>
      </w:r>
      <w:r w:rsidRPr="00242856">
        <w:rPr>
          <w:rFonts w:ascii="Verdana" w:hAnsi="Verdana" w:cs="Arial"/>
          <w:lang w:eastAsia="es-ES"/>
        </w:rPr>
        <w:t xml:space="preserve">Finalmente, es preciso indicar que la solicitud de limitación de convocatoria a Mipyme no obliga a los </w:t>
      </w:r>
      <w:r w:rsidRPr="00242856">
        <w:rPr>
          <w:rFonts w:ascii="Verdana" w:hAnsi="Verdana" w:cs="Arial"/>
          <w:lang w:eastAsia="es-ES"/>
        </w:rPr>
        <w:lastRenderedPageBreak/>
        <w:t xml:space="preserve">solicitantes a la presentación </w:t>
      </w:r>
      <w:r w:rsidRPr="00242856">
        <w:rPr>
          <w:rFonts w:ascii="Verdana" w:hAnsi="Verdana"/>
        </w:rPr>
        <w:t xml:space="preserve">de propuesta en el respectivo proceso de selección. </w:t>
      </w:r>
    </w:p>
    <w:p w14:paraId="4C699022" w14:textId="77777777" w:rsidR="00B629F4" w:rsidRPr="00242856" w:rsidRDefault="00B629F4" w:rsidP="00B629F4">
      <w:pPr>
        <w:pStyle w:val="Prrafodelista"/>
        <w:spacing w:after="0" w:line="276" w:lineRule="auto"/>
        <w:jc w:val="both"/>
        <w:rPr>
          <w:rFonts w:ascii="Verdana" w:eastAsia="Century Gothic" w:hAnsi="Verdana" w:cs="Arial"/>
          <w:color w:val="000000" w:themeColor="text1"/>
        </w:rPr>
      </w:pPr>
    </w:p>
    <w:p w14:paraId="0D8D9646" w14:textId="77777777" w:rsidR="00E970D9" w:rsidRPr="00242856" w:rsidRDefault="008E32B0" w:rsidP="00E970D9">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Century Gothic" w:hAnsi="Verdana" w:cs="Arial"/>
          <w:color w:val="000000" w:themeColor="text1"/>
        </w:rPr>
        <w:t xml:space="preserve">Adicional a lo expuesto, y </w:t>
      </w:r>
      <w:r w:rsidR="00C62C47" w:rsidRPr="00242856">
        <w:rPr>
          <w:rFonts w:ascii="Verdana" w:eastAsia="Century Gothic" w:hAnsi="Verdana" w:cs="Arial"/>
          <w:color w:val="000000" w:themeColor="text1"/>
        </w:rPr>
        <w:t>en relación con</w:t>
      </w:r>
      <w:r w:rsidRPr="00242856">
        <w:rPr>
          <w:rFonts w:ascii="Verdana" w:eastAsia="Century Gothic" w:hAnsi="Verdana" w:cs="Arial"/>
          <w:color w:val="000000" w:themeColor="text1"/>
        </w:rPr>
        <w:t xml:space="preserve"> la</w:t>
      </w:r>
      <w:r w:rsidR="00547AEF" w:rsidRPr="00242856">
        <w:rPr>
          <w:rFonts w:ascii="Verdana" w:eastAsia="Century Gothic" w:hAnsi="Verdana" w:cs="Arial"/>
          <w:color w:val="000000" w:themeColor="text1"/>
        </w:rPr>
        <w:t xml:space="preserve"> promoción y</w:t>
      </w:r>
      <w:r w:rsidRPr="00242856">
        <w:rPr>
          <w:rFonts w:ascii="Verdana" w:eastAsia="Century Gothic" w:hAnsi="Verdana" w:cs="Arial"/>
          <w:color w:val="000000" w:themeColor="text1"/>
        </w:rPr>
        <w:t xml:space="preserve"> participación de las </w:t>
      </w:r>
      <w:r w:rsidR="00674AA0" w:rsidRPr="00242856">
        <w:rPr>
          <w:rFonts w:ascii="Verdana" w:eastAsia="Century Gothic" w:hAnsi="Verdana" w:cs="Arial"/>
          <w:color w:val="000000" w:themeColor="text1"/>
        </w:rPr>
        <w:t>MiPymes</w:t>
      </w:r>
      <w:r w:rsidR="00BC6CD4" w:rsidRPr="00242856">
        <w:rPr>
          <w:rFonts w:ascii="Verdana" w:eastAsia="Century Gothic" w:hAnsi="Verdana" w:cs="Arial"/>
          <w:color w:val="000000" w:themeColor="text1"/>
        </w:rPr>
        <w:t xml:space="preserve">, resulta necesario remitirse a lo establecido en </w:t>
      </w:r>
      <w:r w:rsidR="00841997" w:rsidRPr="00242856">
        <w:rPr>
          <w:rFonts w:ascii="Verdana" w:eastAsia="Century Gothic" w:hAnsi="Verdana" w:cs="Arial"/>
          <w:color w:val="000000" w:themeColor="text1"/>
        </w:rPr>
        <w:t xml:space="preserve">el Decreto 142 de 2023, </w:t>
      </w:r>
      <w:r w:rsidR="009E0EAF" w:rsidRPr="00242856">
        <w:rPr>
          <w:rFonts w:ascii="Verdana" w:eastAsia="Century Gothic" w:hAnsi="Verdana" w:cs="Arial"/>
          <w:color w:val="000000" w:themeColor="text1"/>
        </w:rPr>
        <w:t>por medio del cual se</w:t>
      </w:r>
      <w:r w:rsidR="00213B66" w:rsidRPr="00242856">
        <w:rPr>
          <w:rFonts w:ascii="Verdana" w:eastAsia="Century Gothic" w:hAnsi="Verdana" w:cs="Arial"/>
          <w:color w:val="000000" w:themeColor="text1"/>
        </w:rPr>
        <w:t xml:space="preserve"> reglamentó la disposición contenida en el numeral 6 del artículo 33 de la Ley 2069 de 2021. De esta forma, el decreto en comento, con el fin de cumplir el mandato legal </w:t>
      </w:r>
      <w:r w:rsidR="00EA5EA7" w:rsidRPr="00242856">
        <w:rPr>
          <w:rFonts w:ascii="Verdana" w:eastAsia="Century Gothic" w:hAnsi="Verdana" w:cs="Arial"/>
          <w:color w:val="000000" w:themeColor="text1"/>
        </w:rPr>
        <w:t>contenido</w:t>
      </w:r>
      <w:r w:rsidR="00213B66" w:rsidRPr="00242856">
        <w:rPr>
          <w:rFonts w:ascii="Verdana" w:eastAsia="Century Gothic" w:hAnsi="Verdana" w:cs="Arial"/>
          <w:color w:val="000000" w:themeColor="text1"/>
        </w:rPr>
        <w:t xml:space="preserve"> en el artículo 2 modifica el artículo </w:t>
      </w:r>
      <w:r w:rsidR="009E0EAF" w:rsidRPr="00242856">
        <w:rPr>
          <w:rFonts w:ascii="Verdana" w:eastAsia="Century Gothic" w:hAnsi="Verdana" w:cs="Arial"/>
          <w:color w:val="000000" w:themeColor="text1"/>
        </w:rPr>
        <w:t>2.2.1.1.1.4.1 del</w:t>
      </w:r>
      <w:r w:rsidR="00213B66" w:rsidRPr="00242856">
        <w:rPr>
          <w:rFonts w:ascii="Verdana" w:eastAsia="Century Gothic" w:hAnsi="Verdana" w:cs="Arial"/>
          <w:color w:val="000000" w:themeColor="text1"/>
        </w:rPr>
        <w:t xml:space="preserve"> Decreto 1082 de 2015,</w:t>
      </w:r>
      <w:r w:rsidR="00536E93" w:rsidRPr="00242856">
        <w:rPr>
          <w:rFonts w:ascii="Verdana" w:eastAsia="Century Gothic" w:hAnsi="Verdana" w:cs="Arial"/>
          <w:color w:val="000000" w:themeColor="text1"/>
        </w:rPr>
        <w:t xml:space="preserve"> </w:t>
      </w:r>
      <w:r w:rsidR="00213B66" w:rsidRPr="00242856">
        <w:rPr>
          <w:rFonts w:ascii="Verdana" w:eastAsia="Century Gothic" w:hAnsi="Verdana" w:cs="Arial"/>
          <w:color w:val="000000" w:themeColor="text1"/>
        </w:rPr>
        <w:t>insta</w:t>
      </w:r>
      <w:r w:rsidR="00BB65F9" w:rsidRPr="00242856">
        <w:rPr>
          <w:rFonts w:ascii="Verdana" w:eastAsia="Century Gothic" w:hAnsi="Verdana" w:cs="Arial"/>
          <w:color w:val="000000" w:themeColor="text1"/>
        </w:rPr>
        <w:t xml:space="preserve"> </w:t>
      </w:r>
      <w:r w:rsidR="00213B66" w:rsidRPr="00242856">
        <w:rPr>
          <w:rFonts w:ascii="Verdana" w:eastAsia="Century Gothic" w:hAnsi="Verdana" w:cs="Arial"/>
          <w:color w:val="000000" w:themeColor="text1"/>
        </w:rPr>
        <w:t>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w:t>
      </w:r>
    </w:p>
    <w:p w14:paraId="0BCAA5D8" w14:textId="77777777" w:rsidR="00E970D9" w:rsidRPr="00242856" w:rsidRDefault="00E970D9" w:rsidP="00E970D9">
      <w:pPr>
        <w:pStyle w:val="Prrafodelista"/>
        <w:rPr>
          <w:rFonts w:ascii="Verdana" w:hAnsi="Verdana" w:cs="Arial"/>
          <w:lang w:eastAsia="es-ES"/>
        </w:rPr>
      </w:pPr>
    </w:p>
    <w:p w14:paraId="230689E5" w14:textId="77777777" w:rsidR="008E49CC" w:rsidRPr="00242856" w:rsidRDefault="00372658" w:rsidP="008E49CC">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Century Gothic" w:hAnsi="Verdana" w:cs="Arial"/>
          <w:color w:val="000000" w:themeColor="text1"/>
        </w:rPr>
        <w:t xml:space="preserve">Por otra parte, el artículo 6 del Decreto 142 de 2023, adiciona el 2.2.1.2.4.2.19. a la Subsección 2 de la Sección 4 del Capítulo 2 del Título 1 de la Parte 2 del Libro 2 del Decreto número 1082 de 2015, </w:t>
      </w:r>
      <w:r w:rsidR="00361EA4" w:rsidRPr="00242856">
        <w:rPr>
          <w:rFonts w:ascii="Verdana" w:eastAsia="Century Gothic" w:hAnsi="Verdana" w:cs="Arial"/>
          <w:color w:val="000000" w:themeColor="text1"/>
        </w:rPr>
        <w:t xml:space="preserve">y establece </w:t>
      </w:r>
      <w:r w:rsidR="0049693D" w:rsidRPr="00242856">
        <w:rPr>
          <w:rFonts w:ascii="Verdana" w:hAnsi="Verdana" w:cs="Arial"/>
          <w:lang w:eastAsia="es-ES"/>
        </w:rPr>
        <w:t>los criterios que pueden tener las entidades públicas para dividir los procesos por lotes o segmentos como lo son:  i) el tipo de entregable; ii) el valor del contrato; (iii) el ámbito geográfico de la entrega</w:t>
      </w:r>
      <w:r w:rsidR="00B1223C" w:rsidRPr="00242856">
        <w:rPr>
          <w:rFonts w:ascii="Verdana" w:hAnsi="Verdana" w:cs="Arial"/>
          <w:lang w:eastAsia="es-ES"/>
        </w:rPr>
        <w:t xml:space="preserve">. Estos criterios se disponen, con el fin de facilitar la participación de las MiPymes en los procesos de contratación. Asimismo, la norma señala que, para dar cumplimiento a lo indicado, las </w:t>
      </w:r>
      <w:r w:rsidR="0071615B" w:rsidRPr="00242856">
        <w:rPr>
          <w:rFonts w:ascii="Verdana" w:hAnsi="Verdana" w:cs="Arial"/>
          <w:lang w:eastAsia="es-ES"/>
        </w:rPr>
        <w:t>E</w:t>
      </w:r>
      <w:r w:rsidR="00B1223C" w:rsidRPr="00242856">
        <w:rPr>
          <w:rFonts w:ascii="Verdana" w:hAnsi="Verdana" w:cs="Arial"/>
          <w:lang w:eastAsia="es-ES"/>
        </w:rPr>
        <w:t xml:space="preserve">ntidades </w:t>
      </w:r>
      <w:r w:rsidR="0071615B" w:rsidRPr="00242856">
        <w:rPr>
          <w:rFonts w:ascii="Verdana" w:hAnsi="Verdana" w:cs="Arial"/>
          <w:lang w:eastAsia="es-ES"/>
        </w:rPr>
        <w:t>E</w:t>
      </w:r>
      <w:r w:rsidR="00B1223C" w:rsidRPr="00242856">
        <w:rPr>
          <w:rFonts w:ascii="Verdana" w:hAnsi="Verdana" w:cs="Arial"/>
          <w:lang w:eastAsia="es-ES"/>
        </w:rPr>
        <w:t>statales deberán tener en cuenta el análisis del sector económico y de los oferentes en los términos establecidos en el artículo 2.2.1.1.1.6.1. del Decreto 1082 de 2015.</w:t>
      </w:r>
    </w:p>
    <w:p w14:paraId="4CE4D50E" w14:textId="77777777" w:rsidR="008E49CC" w:rsidRPr="00242856" w:rsidRDefault="008E49CC" w:rsidP="008E49CC">
      <w:pPr>
        <w:pStyle w:val="Prrafodelista"/>
        <w:rPr>
          <w:rFonts w:ascii="Verdana" w:hAnsi="Verdana" w:cs="Arial"/>
        </w:rPr>
      </w:pPr>
    </w:p>
    <w:p w14:paraId="56888EB6" w14:textId="77777777" w:rsidR="0046064F" w:rsidRPr="00242856" w:rsidRDefault="008E49CC" w:rsidP="0046064F">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rPr>
        <w:t>Por su parte, el cuarto inciso de la disposición, habilita a las entidades públicas para que incluyan en los pliegos de condiciones mecanismos y reglas que limiten el número de lotes que pueden ser adjudicados a un mismo oferente. En relación con este aspecto,</w:t>
      </w:r>
      <w:r w:rsidR="009641BE" w:rsidRPr="00242856">
        <w:rPr>
          <w:rFonts w:ascii="Verdana" w:hAnsi="Verdana" w:cs="Arial"/>
        </w:rPr>
        <w:t xml:space="preserve"> </w:t>
      </w:r>
      <w:r w:rsidRPr="00242856">
        <w:rPr>
          <w:rFonts w:ascii="Verdana" w:hAnsi="Verdana" w:cs="Arial"/>
        </w:rPr>
        <w:t xml:space="preserve">la Agencia Nacional de Contratación Pública – Colombia Compra Eficiente considera que, la norma no determina los </w:t>
      </w:r>
      <w:r w:rsidRPr="00242856">
        <w:rPr>
          <w:rFonts w:ascii="Verdana" w:hAnsi="Verdana" w:cs="Arial"/>
          <w:i/>
          <w:iCs/>
        </w:rPr>
        <w:t>mecanismos y reglas</w:t>
      </w:r>
      <w:r w:rsidRPr="00242856">
        <w:rPr>
          <w:rFonts w:ascii="Verdana" w:hAnsi="Verdana" w:cs="Arial"/>
        </w:rPr>
        <w:t xml:space="preserve"> que pueden establecer las entidades para limitar el número de lotes a adjudicarse a un mismo oferente</w:t>
      </w:r>
      <w:r w:rsidR="000538B0" w:rsidRPr="00242856">
        <w:rPr>
          <w:rFonts w:ascii="Verdana" w:hAnsi="Verdana" w:cs="Arial"/>
        </w:rPr>
        <w:t>, así las cosas</w:t>
      </w:r>
      <w:r w:rsidR="00E03095" w:rsidRPr="00242856">
        <w:rPr>
          <w:rFonts w:ascii="Verdana" w:hAnsi="Verdana" w:cs="Arial"/>
        </w:rPr>
        <w:t xml:space="preserve">, la </w:t>
      </w:r>
      <w:r w:rsidR="00BF4EEF" w:rsidRPr="00242856">
        <w:rPr>
          <w:rFonts w:ascii="Verdana" w:hAnsi="Verdana" w:cs="Arial"/>
        </w:rPr>
        <w:t xml:space="preserve">Entidad Estatal, podrá limitar el número de lotes de los que puede resultar adjudicatario un mismo proponente, considerando los lotes o segmentos de los distintos procesos de selección que se encuentre adelantando. Esto, “con la finalidad de evitar que se </w:t>
      </w:r>
      <w:r w:rsidR="00BF4EEF" w:rsidRPr="00242856">
        <w:rPr>
          <w:rFonts w:ascii="Verdana" w:hAnsi="Verdana" w:cs="Arial"/>
        </w:rPr>
        <w:lastRenderedPageBreak/>
        <w:t>concentre la contratación” en un solo oferente, y siempre y cuando esta restricción se realice sobre la base de criterios objetivos y no discriminatorios.</w:t>
      </w:r>
    </w:p>
    <w:p w14:paraId="4FD7AE63" w14:textId="77777777" w:rsidR="0046064F" w:rsidRPr="00242856" w:rsidRDefault="0046064F" w:rsidP="0046064F">
      <w:pPr>
        <w:pStyle w:val="Prrafodelista"/>
        <w:rPr>
          <w:rFonts w:ascii="Verdana" w:eastAsia="Times New Roman" w:hAnsi="Verdana" w:cs="Arial"/>
          <w:color w:val="000000"/>
          <w:lang w:eastAsia="es-CO"/>
        </w:rPr>
      </w:pPr>
    </w:p>
    <w:p w14:paraId="6118D70A" w14:textId="77777777" w:rsidR="00DB673C" w:rsidRPr="00242856" w:rsidRDefault="0046064F" w:rsidP="00DB673C">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Times New Roman" w:hAnsi="Verdana" w:cs="Arial"/>
          <w:color w:val="000000"/>
          <w:lang w:eastAsia="es-CO"/>
        </w:rPr>
        <w:t xml:space="preserve">Bajo este contexto, le corresponde a la Entidad Estatal en ejercicio de su autonomía y discrecionalidad que le confiere el artículo 2.2.1.2.4.2.19 del Decreto 1082 de 2015 −adicionado por el artículo 6 del Decreto 142 de 2023−, determinar en los pliegos de condiciones para los procesos estructurados por lotes o segmentos, si un proponente puede resultar adjudicatario en uno o varios de los lotes o segmentos en los que se dividen los distinto procesos de contratación que se encuentra adelantando. Como quiera que la </w:t>
      </w:r>
      <w:r w:rsidR="000115CA" w:rsidRPr="00242856">
        <w:rPr>
          <w:rFonts w:ascii="Verdana" w:eastAsia="Times New Roman" w:hAnsi="Verdana" w:cs="Arial"/>
          <w:color w:val="000000"/>
          <w:lang w:eastAsia="es-CO"/>
        </w:rPr>
        <w:t>E</w:t>
      </w:r>
      <w:r w:rsidRPr="00242856">
        <w:rPr>
          <w:rFonts w:ascii="Verdana" w:eastAsia="Times New Roman" w:hAnsi="Verdana" w:cs="Arial"/>
          <w:color w:val="000000"/>
          <w:lang w:eastAsia="es-CO"/>
        </w:rPr>
        <w:t xml:space="preserve">ntidad </w:t>
      </w:r>
      <w:r w:rsidR="000115CA" w:rsidRPr="00242856">
        <w:rPr>
          <w:rFonts w:ascii="Verdana" w:eastAsia="Times New Roman" w:hAnsi="Verdana" w:cs="Arial"/>
          <w:color w:val="000000"/>
          <w:lang w:eastAsia="es-CO"/>
        </w:rPr>
        <w:t>E</w:t>
      </w:r>
      <w:r w:rsidRPr="00242856">
        <w:rPr>
          <w:rFonts w:ascii="Verdana" w:eastAsia="Times New Roman" w:hAnsi="Verdana" w:cs="Arial"/>
          <w:color w:val="000000"/>
          <w:lang w:eastAsia="es-CO"/>
        </w:rPr>
        <w:t xml:space="preserve">statal puede limitar los lotes a un número determinado, podrá establecer causales de rechazo para evitar que se concentre la contratación en un único proponente. </w:t>
      </w:r>
    </w:p>
    <w:p w14:paraId="10FE7A3F" w14:textId="77777777" w:rsidR="00DB673C" w:rsidRPr="00242856" w:rsidRDefault="00DB673C" w:rsidP="00DB673C">
      <w:pPr>
        <w:pStyle w:val="Prrafodelista"/>
        <w:rPr>
          <w:rFonts w:ascii="Verdana" w:hAnsi="Verdana" w:cs="Arial"/>
        </w:rPr>
      </w:pPr>
    </w:p>
    <w:p w14:paraId="080F09B2" w14:textId="77777777" w:rsidR="002E614E" w:rsidRPr="00242856" w:rsidRDefault="00DB673C" w:rsidP="002E614E">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rPr>
        <w:t xml:space="preserve">Además, el inciso en comento establece que, la decisión de la entidad </w:t>
      </w:r>
      <w:r w:rsidRPr="00242856">
        <w:rPr>
          <w:rFonts w:ascii="Verdana" w:eastAsia="Times New Roman" w:hAnsi="Verdana" w:cs="Arial"/>
          <w:color w:val="000000"/>
          <w:lang w:eastAsia="es-CO"/>
        </w:rPr>
        <w:t xml:space="preserve">de no adjudicar un contrato puede obedecer −entre otras razones− a que: i) mediante este mecanismo se pueda restringir la competencia o ii) que la segmentación del mercado pueda conducir a que la ejecución del contrato sea imposible desde el punto de vista técnico o económico. </w:t>
      </w:r>
    </w:p>
    <w:p w14:paraId="43F3A36B" w14:textId="77777777" w:rsidR="002E614E" w:rsidRPr="00242856" w:rsidRDefault="002E614E" w:rsidP="002E614E">
      <w:pPr>
        <w:pStyle w:val="Prrafodelista"/>
        <w:rPr>
          <w:rFonts w:ascii="Verdana" w:eastAsia="Century Gothic" w:hAnsi="Verdana" w:cs="Arial"/>
          <w:color w:val="000000" w:themeColor="text1"/>
          <w:lang w:val="es-ES_tradnl"/>
        </w:rPr>
      </w:pPr>
    </w:p>
    <w:p w14:paraId="2D63BE4D" w14:textId="4317EDEA" w:rsidR="006B695C" w:rsidRPr="00242856" w:rsidRDefault="001201F1" w:rsidP="002E614E">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Century Gothic" w:hAnsi="Verdana" w:cs="Arial"/>
          <w:color w:val="000000" w:themeColor="text1"/>
          <w:lang w:val="es-ES_tradnl"/>
        </w:rPr>
        <w:t>Ahora bien, al llevar a cabo un proceso de contratación en lotes o segmentos, es importante realizar estudios previos y el respectivo análisis del sector para identificar las oportunidades y determinar qué aspectos pueden adelantarse en el proceso de contratación. Así las cosas, es esencial realizar estudios del mercado. Estos estudios incluyen la evaluación de la oferta y la demanda en el sector específico en el que se llevará a cabo la contratación. El objetivo principal es comprender la situación actual del mercado, identificar a los posibles proveedores y determinar si hay suficiente competencia para garantizar una selección justa.</w:t>
      </w:r>
    </w:p>
    <w:p w14:paraId="649C5D89" w14:textId="77777777" w:rsidR="002E614E" w:rsidRPr="00242856" w:rsidRDefault="002E614E" w:rsidP="002E614E">
      <w:pPr>
        <w:pStyle w:val="Prrafodelista"/>
        <w:spacing w:line="276" w:lineRule="auto"/>
        <w:jc w:val="both"/>
        <w:rPr>
          <w:rFonts w:ascii="Verdana" w:hAnsi="Verdana" w:cs="Arial"/>
          <w:lang w:eastAsia="es-ES"/>
        </w:rPr>
      </w:pPr>
    </w:p>
    <w:p w14:paraId="791E4722" w14:textId="77777777" w:rsidR="00434253" w:rsidRPr="00242856" w:rsidRDefault="006B695C" w:rsidP="00434253">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t>De igual manera, se deben verificar los requisitos que deben cumplir los proveedores en cada lote o segmento de la contratación. Esto implica identificar los servicios o productos necesarios, establecer los plazos y las cantidades requeridas, y definir cualquier requisito adicional que pueda ser relevante.</w:t>
      </w:r>
    </w:p>
    <w:p w14:paraId="199BE4AE" w14:textId="77777777" w:rsidR="00434253" w:rsidRPr="00242856" w:rsidRDefault="00434253" w:rsidP="00434253">
      <w:pPr>
        <w:pStyle w:val="Prrafodelista"/>
        <w:rPr>
          <w:rFonts w:ascii="Verdana" w:hAnsi="Verdana" w:cs="Arial"/>
          <w:bCs/>
          <w:lang w:val="es-ES_tradnl" w:eastAsia="es-ES"/>
        </w:rPr>
      </w:pPr>
    </w:p>
    <w:p w14:paraId="7483FA0F" w14:textId="77777777" w:rsidR="00434253" w:rsidRPr="00242856" w:rsidRDefault="00434253" w:rsidP="00434253">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lastRenderedPageBreak/>
        <w:t>Por su parte, antes de dividir el proceso de contratación en lotes o segmentos, es importante evaluar los posibles riesgos asociados. Esto implica identificar los riesgos potenciales que podrían afectar la ejecución de los contratos y desarrollar estrategias para mitigarlos. También se deben considerar los riesgos financieros, legales y operativos relacionados con cada lote o segmento. A su vez, al efectuar un análisis de viabilidad al momento de adelantar un proceso de contratación en lotes, es importante realizar un análisis de viabilidad para determinar si esta estrategia es factible y beneficiosa. Se deben considerar factores como el tamaño y la complejidad de los lotes, los recursos disponibles, la capacidad de gestión y supervisión, y la posibilidad de lograr economías de escala o sinergias entre los lotes.</w:t>
      </w:r>
    </w:p>
    <w:p w14:paraId="061D0990" w14:textId="77777777" w:rsidR="00434253" w:rsidRPr="00242856" w:rsidRDefault="00434253" w:rsidP="00434253">
      <w:pPr>
        <w:pStyle w:val="Prrafodelista"/>
        <w:rPr>
          <w:rFonts w:ascii="Verdana" w:hAnsi="Verdana" w:cs="Arial"/>
          <w:lang w:eastAsia="es-ES"/>
        </w:rPr>
      </w:pPr>
    </w:p>
    <w:p w14:paraId="75D8F028" w14:textId="77777777" w:rsidR="00434253" w:rsidRPr="00242856" w:rsidRDefault="00434253" w:rsidP="00434253">
      <w:pPr>
        <w:pStyle w:val="Prrafodelista"/>
        <w:numPr>
          <w:ilvl w:val="0"/>
          <w:numId w:val="19"/>
        </w:numPr>
        <w:spacing w:line="276" w:lineRule="auto"/>
        <w:jc w:val="both"/>
        <w:rPr>
          <w:rFonts w:ascii="Verdana" w:hAnsi="Verdana" w:cs="Arial"/>
          <w:lang w:eastAsia="es-ES"/>
        </w:rPr>
      </w:pPr>
      <w:r w:rsidRPr="00242856">
        <w:rPr>
          <w:rFonts w:ascii="Verdana" w:hAnsi="Verdana" w:cs="Arial"/>
          <w:lang w:eastAsia="es-ES"/>
        </w:rPr>
        <w:t>A su vez, resulta importante efectuar el correspondiente análisis de oferta y demanda para determinar el valor del precio en un proceso de contratación en lotes y segmentos. Este enfoque permite evaluar cómo la relación entre la oferta y la demanda afecta el precio de un bien o servicio en particular, de esta manera el análisis de oferta implica examinar la cantidad de bienes o servicios disponibles en el mercado para satisfacer la demanda, esto incluye evaluar la capacidad de producción de los proveedores existentes, así como cualquier capacidad adicional que se pueda generar. Además, se consideran factores como la disponibilidad de insumos, la tecnología utilizada y las barreras de entrada para nuevos proveedores, lo que conlleva a realizar una adecuada planificación del proceso de contratación, esto implica que las entidades estatales deben identificar de manera previa y precisa las necesidades y objetivos de la contratación, así como los recursos necesarios para llevarla a cabo. La planificación debe contemplar la definición clara de los requerimientos, la estimación de costos, los plazos de ejecución, entre otros aspectos relevantes. La planeación adecuada permite maximizar los beneficios de las contrataciones y minimizar los riesgos asociados.</w:t>
      </w:r>
    </w:p>
    <w:p w14:paraId="60402F91" w14:textId="77777777" w:rsidR="00602FFD" w:rsidRPr="00242856" w:rsidRDefault="00602FFD" w:rsidP="00434253">
      <w:pPr>
        <w:pStyle w:val="Prrafodelista"/>
        <w:spacing w:line="276" w:lineRule="auto"/>
        <w:jc w:val="both"/>
        <w:rPr>
          <w:rFonts w:ascii="Verdana" w:hAnsi="Verdana" w:cs="Arial"/>
          <w:lang w:eastAsia="es-ES"/>
        </w:rPr>
      </w:pPr>
    </w:p>
    <w:p w14:paraId="60C95DC2" w14:textId="77777777" w:rsidR="00A755F4" w:rsidRPr="00242856" w:rsidRDefault="00362D71" w:rsidP="00A755F4">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t xml:space="preserve">En armonía con lo expuesto, </w:t>
      </w:r>
      <w:r w:rsidR="00602FFD" w:rsidRPr="00242856">
        <w:rPr>
          <w:rFonts w:ascii="Verdana" w:hAnsi="Verdana" w:cs="Arial"/>
          <w:bCs/>
          <w:lang w:val="es-ES_tradnl" w:eastAsia="es-ES"/>
        </w:rPr>
        <w:t xml:space="preserve">y </w:t>
      </w:r>
      <w:r w:rsidR="00434253" w:rsidRPr="00242856">
        <w:rPr>
          <w:rFonts w:ascii="Verdana" w:hAnsi="Verdana" w:cs="Arial"/>
          <w:bCs/>
          <w:lang w:val="es-ES_tradnl" w:eastAsia="es-ES"/>
        </w:rPr>
        <w:t xml:space="preserve">en atención al principio de selección objetiva todas las contrataciones públicas deben realizarse de manera imparcial y transparente, asegurando la igualdad de oportunidades para los participantes, por lo cual las entidades deben establecer criterios claros y transparentes para la selección del contratista, basados en méritos y capacidades técnicas. La selección debe realizarse mediante </w:t>
      </w:r>
      <w:r w:rsidR="00434253" w:rsidRPr="00242856">
        <w:rPr>
          <w:rFonts w:ascii="Verdana" w:hAnsi="Verdana" w:cs="Arial"/>
          <w:bCs/>
          <w:lang w:val="es-ES_tradnl" w:eastAsia="es-ES"/>
        </w:rPr>
        <w:lastRenderedPageBreak/>
        <w:t xml:space="preserve">procedimientos competitivos que permitan evaluar las ofertas de manera objetiva y </w:t>
      </w:r>
      <w:r w:rsidR="00434253" w:rsidRPr="00242856">
        <w:rPr>
          <w:rFonts w:ascii="Verdana" w:hAnsi="Verdana" w:cs="Arial"/>
          <w:lang w:eastAsia="es-ES"/>
        </w:rPr>
        <w:t>justa, evitando cualquier tipo de favoritismo o discriminación.</w:t>
      </w:r>
    </w:p>
    <w:p w14:paraId="281EBBB0" w14:textId="77777777" w:rsidR="00A755F4" w:rsidRPr="00242856" w:rsidRDefault="00A755F4" w:rsidP="00A755F4">
      <w:pPr>
        <w:pStyle w:val="Prrafodelista"/>
        <w:rPr>
          <w:rFonts w:ascii="Verdana" w:hAnsi="Verdana" w:cs="Arial"/>
        </w:rPr>
      </w:pPr>
    </w:p>
    <w:p w14:paraId="6D621EF9" w14:textId="439FB401" w:rsidR="007A6C0E" w:rsidRPr="00242856" w:rsidRDefault="007A6C0E" w:rsidP="00A755F4">
      <w:pPr>
        <w:pStyle w:val="Prrafodelista"/>
        <w:numPr>
          <w:ilvl w:val="0"/>
          <w:numId w:val="19"/>
        </w:numPr>
        <w:spacing w:line="276" w:lineRule="auto"/>
        <w:jc w:val="both"/>
        <w:rPr>
          <w:rFonts w:ascii="Verdana" w:hAnsi="Verdana" w:cs="Arial"/>
          <w:lang w:eastAsia="es-ES"/>
        </w:rPr>
      </w:pPr>
      <w:r w:rsidRPr="00242856">
        <w:rPr>
          <w:rFonts w:ascii="Verdana" w:hAnsi="Verdana" w:cs="Arial"/>
        </w:rPr>
        <w:t xml:space="preserve">Por su parte, el parágrafo de la norma menciona que, en los procesos de contratación adelantados por lotes o grupos deberá aplicarse lo regulado en el artículo </w:t>
      </w:r>
      <w:r w:rsidRPr="00242856">
        <w:rPr>
          <w:rFonts w:ascii="Verdana" w:hAnsi="Verdana" w:cs="Arial"/>
          <w:color w:val="000000"/>
        </w:rPr>
        <w:t>2.2.1.2.4.2.2</w:t>
      </w:r>
      <w:r w:rsidR="00A755F4" w:rsidRPr="00242856">
        <w:rPr>
          <w:rFonts w:ascii="Verdana" w:hAnsi="Verdana" w:cs="Arial"/>
          <w:color w:val="000000"/>
        </w:rPr>
        <w:t xml:space="preserve"> </w:t>
      </w:r>
      <w:r w:rsidRPr="00242856">
        <w:rPr>
          <w:rFonts w:ascii="Verdana" w:hAnsi="Verdana" w:cs="Arial"/>
          <w:color w:val="000000"/>
        </w:rPr>
        <w:t xml:space="preserve">“convocatorias limitadas a </w:t>
      </w:r>
      <w:r w:rsidR="002E614E" w:rsidRPr="00242856">
        <w:rPr>
          <w:rFonts w:ascii="Verdana" w:hAnsi="Verdana" w:cs="Arial"/>
          <w:color w:val="000000"/>
        </w:rPr>
        <w:t>MiPymes</w:t>
      </w:r>
      <w:r w:rsidRPr="00242856">
        <w:rPr>
          <w:rFonts w:ascii="Verdana" w:hAnsi="Verdana" w:cs="Arial"/>
          <w:color w:val="000000"/>
        </w:rPr>
        <w:t>” del Decreto 1082 de 2015, tomando en consideración el valor del Proceso de Contratación imputable al respectivo lote en el que se solicite su aplicación.</w:t>
      </w:r>
    </w:p>
    <w:p w14:paraId="684B1DEE" w14:textId="77777777" w:rsidR="007A6C0E" w:rsidRPr="00242856" w:rsidRDefault="007A6C0E" w:rsidP="007A6C0E">
      <w:pPr>
        <w:pStyle w:val="Prrafodelista"/>
        <w:rPr>
          <w:rFonts w:ascii="Verdana" w:hAnsi="Verdana" w:cs="Arial"/>
          <w:color w:val="000000"/>
        </w:rPr>
      </w:pPr>
    </w:p>
    <w:p w14:paraId="3D31D0F3" w14:textId="77777777" w:rsidR="002E614E" w:rsidRPr="00242856" w:rsidRDefault="007A6C0E" w:rsidP="002E614E">
      <w:pPr>
        <w:pStyle w:val="Prrafodelista"/>
        <w:numPr>
          <w:ilvl w:val="0"/>
          <w:numId w:val="19"/>
        </w:numPr>
        <w:spacing w:line="276" w:lineRule="auto"/>
        <w:jc w:val="both"/>
        <w:rPr>
          <w:rFonts w:ascii="Verdana" w:hAnsi="Verdana" w:cs="Arial"/>
          <w:lang w:eastAsia="es-ES"/>
        </w:rPr>
      </w:pPr>
      <w:r w:rsidRPr="00242856">
        <w:rPr>
          <w:rFonts w:ascii="Verdana" w:hAnsi="Verdana" w:cs="Arial"/>
          <w:color w:val="000000"/>
        </w:rPr>
        <w:t xml:space="preserve">En relación con el aspecto señalado, es pertinente mencionar que, el numeral uno del artículo 2.2.1.2.4.2.2, establece como requisitos para limitar convocatorias a Mipymes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242856">
        <w:rPr>
          <w:rFonts w:ascii="Verdana" w:eastAsia="Times New Roman" w:hAnsi="Verdana" w:cs="Arial"/>
          <w:color w:val="000000"/>
          <w:lang w:eastAsia="es-CO"/>
        </w:rPr>
        <w:t xml:space="preserve">artículo 2.2.1.2.4.2.19 −en comento− cuando el proceso se adelante por lotes o grupos, el valor de los </w:t>
      </w:r>
      <w:r w:rsidRPr="00242856">
        <w:rPr>
          <w:rFonts w:ascii="Verdana" w:hAnsi="Verdana" w:cs="Arial"/>
          <w:color w:val="000000"/>
        </w:rPr>
        <w:t xml:space="preserve">(US$125.000) debe establecerse en relación con el lote o segmento, y no respecto del valor total del proceso de contratación −que se establecería con la sumatoria de todos los lotes o segmentos−. </w:t>
      </w:r>
    </w:p>
    <w:p w14:paraId="3B29D491" w14:textId="77777777" w:rsidR="002E614E" w:rsidRPr="00242856" w:rsidRDefault="002E614E" w:rsidP="002E614E">
      <w:pPr>
        <w:pStyle w:val="Prrafodelista"/>
        <w:rPr>
          <w:rFonts w:ascii="Verdana" w:hAnsi="Verdana" w:cs="Arial"/>
        </w:rPr>
      </w:pPr>
    </w:p>
    <w:p w14:paraId="4684C14C" w14:textId="70C6AE07" w:rsidR="00157268" w:rsidRPr="00242856" w:rsidRDefault="007A6C0E" w:rsidP="002E614E">
      <w:pPr>
        <w:pStyle w:val="Prrafodelista"/>
        <w:numPr>
          <w:ilvl w:val="0"/>
          <w:numId w:val="19"/>
        </w:numPr>
        <w:spacing w:line="276" w:lineRule="auto"/>
        <w:jc w:val="both"/>
        <w:rPr>
          <w:rFonts w:ascii="Verdana" w:hAnsi="Verdana" w:cs="Arial"/>
          <w:lang w:eastAsia="es-ES"/>
        </w:rPr>
      </w:pPr>
      <w:r w:rsidRPr="00242856">
        <w:rPr>
          <w:rFonts w:ascii="Verdana" w:hAnsi="Verdana" w:cs="Arial"/>
        </w:rPr>
        <w:t>Finalmente, es pertinente mencionar que, el parágrafo en comento dispone que, en los procesos adelantados por lotes o grupos, también, se aplicará lo previsto en el artículo 2.2.1.2.4.2.3.</w:t>
      </w:r>
      <w:r w:rsidRPr="00242856">
        <w:rPr>
          <w:rFonts w:ascii="Verdana" w:hAnsi="Verdana"/>
          <w:vertAlign w:val="superscript"/>
        </w:rPr>
        <w:footnoteReference w:id="5"/>
      </w:r>
      <w:r w:rsidRPr="00242856">
        <w:rPr>
          <w:rFonts w:ascii="Verdana" w:hAnsi="Verdana" w:cs="Arial"/>
        </w:rPr>
        <w:t xml:space="preserve"> del Decreto 1082 de 2015, a partir del lugar de ejecución del contrato asociado al respectivo lote o segmento. </w:t>
      </w:r>
    </w:p>
    <w:p w14:paraId="6B25E5C9" w14:textId="77777777" w:rsidR="00157268" w:rsidRPr="00242856" w:rsidRDefault="00157268" w:rsidP="00157268">
      <w:pPr>
        <w:pStyle w:val="Prrafodelista"/>
        <w:spacing w:after="0" w:line="276" w:lineRule="auto"/>
        <w:jc w:val="both"/>
        <w:rPr>
          <w:rFonts w:ascii="Verdana" w:eastAsia="Century Gothic" w:hAnsi="Verdana" w:cs="Arial"/>
          <w:color w:val="000000" w:themeColor="text1"/>
        </w:rPr>
      </w:pPr>
    </w:p>
    <w:p w14:paraId="1EEEF28A" w14:textId="77777777" w:rsidR="0014163C" w:rsidRPr="00242856" w:rsidRDefault="0014163C" w:rsidP="0014163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Referencias normativas, jurisprudenciales y otras fuentes:</w:t>
      </w:r>
    </w:p>
    <w:p w14:paraId="4FDB4D68" w14:textId="77777777" w:rsidR="0014163C" w:rsidRPr="00242856" w:rsidRDefault="0014163C" w:rsidP="0014163C">
      <w:pPr>
        <w:pStyle w:val="Prrafodelista"/>
        <w:tabs>
          <w:tab w:val="left" w:pos="142"/>
          <w:tab w:val="left" w:pos="284"/>
        </w:tabs>
        <w:spacing w:after="0" w:line="276" w:lineRule="auto"/>
        <w:ind w:left="0"/>
        <w:contextualSpacing w:val="0"/>
        <w:jc w:val="both"/>
        <w:rPr>
          <w:rFonts w:ascii="Verdana" w:eastAsia="Century Gothic" w:hAnsi="Verdana" w:cs="Arial"/>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4163C" w:rsidRPr="00242856" w14:paraId="61DBB5DE" w14:textId="77777777" w:rsidTr="00157AA4">
        <w:trPr>
          <w:trHeight w:val="870"/>
        </w:trPr>
        <w:tc>
          <w:tcPr>
            <w:tcW w:w="8647" w:type="dxa"/>
          </w:tcPr>
          <w:p w14:paraId="4EF31B30" w14:textId="17927F91" w:rsidR="00C90CBC" w:rsidRPr="00242856" w:rsidRDefault="00F13454" w:rsidP="0016658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lastRenderedPageBreak/>
              <w:t>Ley 2069 de 2020, Artículo 34.</w:t>
            </w:r>
          </w:p>
          <w:p w14:paraId="2EA7CD33" w14:textId="77777777" w:rsidR="000E61DD" w:rsidRPr="00242856" w:rsidRDefault="00C90CBC" w:rsidP="000E61D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eastAsia="Arial" w:hAnsi="Verdana" w:cs="Arial"/>
                <w:color w:val="000000"/>
                <w:lang w:eastAsia="es-ES"/>
              </w:rPr>
              <w:t>Decreto 1860 de 2021, Artículo 5</w:t>
            </w:r>
            <w:r w:rsidR="000E61DD" w:rsidRPr="00242856">
              <w:rPr>
                <w:rFonts w:ascii="Verdana" w:eastAsia="Arial" w:hAnsi="Verdana" w:cs="Arial"/>
                <w:color w:val="000000"/>
                <w:lang w:eastAsia="es-ES"/>
              </w:rPr>
              <w:t>.</w:t>
            </w:r>
          </w:p>
          <w:p w14:paraId="646D0F8B" w14:textId="01979124" w:rsidR="000E61DD" w:rsidRPr="00242856" w:rsidRDefault="000E61DD" w:rsidP="000E61D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t xml:space="preserve">Decreto 1082 de 2015, Artículos 2.2.1.2.4.2.2, 2.2.1.2.4.2.3, 2.2.1.2.4.2.4, </w:t>
            </w:r>
            <w:r w:rsidRPr="00242856">
              <w:rPr>
                <w:rFonts w:ascii="Verdana" w:eastAsia="Century Gothic" w:hAnsi="Verdana" w:cs="Arial"/>
                <w:color w:val="000000" w:themeColor="text1"/>
              </w:rPr>
              <w:t>2.2.1.1.1.4.1, 2.2.1.2.4.2.19</w:t>
            </w:r>
          </w:p>
          <w:p w14:paraId="4107C280" w14:textId="77777777" w:rsidR="0014163C" w:rsidRPr="00242856" w:rsidRDefault="00166587" w:rsidP="0016658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eastAsia="Century Gothic" w:hAnsi="Verdana" w:cs="Arial"/>
              </w:rPr>
              <w:t>Decreto 142 de 2023, Artículo 6.</w:t>
            </w:r>
            <w:r w:rsidR="0014163C" w:rsidRPr="00242856">
              <w:rPr>
                <w:rFonts w:ascii="Verdana" w:hAnsi="Verdana" w:cs="Arial"/>
                <w:highlight w:val="cyan"/>
              </w:rPr>
              <w:t xml:space="preserve"> </w:t>
            </w:r>
          </w:p>
          <w:p w14:paraId="2BE74200" w14:textId="5E762FA3" w:rsidR="00906554" w:rsidRPr="00242856" w:rsidRDefault="00906554" w:rsidP="0016658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t xml:space="preserve">Guía para promover la participación de las MiPymes en los procesos de compra y contratación pública. Disponible en: </w:t>
            </w:r>
            <w:hyperlink r:id="rId13" w:history="1">
              <w:r w:rsidRPr="00242856">
                <w:rPr>
                  <w:rStyle w:val="Hipervnculo"/>
                  <w:rFonts w:ascii="Verdana" w:hAnsi="Verdana" w:cs="Arial"/>
                </w:rPr>
                <w:t>https://colombiacompra.gov.co/sites/cce_public/files/cce_documents/guia_para_promover_la_participacion_de_las_mipymes_en_los_procesos_de_compra_publica_cce-gad-gi-26_1.pdf</w:t>
              </w:r>
            </w:hyperlink>
            <w:r w:rsidRPr="00242856">
              <w:rPr>
                <w:rFonts w:ascii="Verdana" w:hAnsi="Verdana" w:cs="Arial"/>
              </w:rPr>
              <w:t xml:space="preserve"> </w:t>
            </w:r>
          </w:p>
        </w:tc>
      </w:tr>
    </w:tbl>
    <w:p w14:paraId="44DCE482" w14:textId="77777777" w:rsidR="0014163C" w:rsidRPr="00242856" w:rsidRDefault="0014163C" w:rsidP="0014163C">
      <w:pPr>
        <w:widowControl w:val="0"/>
        <w:autoSpaceDE w:val="0"/>
        <w:autoSpaceDN w:val="0"/>
        <w:spacing w:after="0" w:line="276" w:lineRule="auto"/>
        <w:jc w:val="both"/>
        <w:rPr>
          <w:rFonts w:ascii="Verdana" w:hAnsi="Verdana" w:cs="Arial"/>
        </w:rPr>
      </w:pPr>
    </w:p>
    <w:p w14:paraId="6937276A" w14:textId="77777777" w:rsidR="0014163C" w:rsidRPr="00242856" w:rsidRDefault="0014163C" w:rsidP="0014163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Doctrina de la Agencia Nacional de Contratación Pública:</w:t>
      </w:r>
    </w:p>
    <w:p w14:paraId="03F005B2" w14:textId="77777777" w:rsidR="0014163C" w:rsidRPr="00242856" w:rsidRDefault="0014163C" w:rsidP="0014163C">
      <w:pPr>
        <w:widowControl w:val="0"/>
        <w:autoSpaceDE w:val="0"/>
        <w:autoSpaceDN w:val="0"/>
        <w:spacing w:after="0" w:line="276" w:lineRule="auto"/>
        <w:jc w:val="both"/>
        <w:rPr>
          <w:rFonts w:ascii="Verdana" w:hAnsi="Verdana" w:cs="Arial"/>
        </w:rPr>
      </w:pPr>
    </w:p>
    <w:p w14:paraId="2A173EA1" w14:textId="7AB05BA8" w:rsidR="0014163C" w:rsidRPr="00242856" w:rsidRDefault="0014163C" w:rsidP="0014163C">
      <w:pPr>
        <w:widowControl w:val="0"/>
        <w:autoSpaceDE w:val="0"/>
        <w:autoSpaceDN w:val="0"/>
        <w:spacing w:after="0" w:line="276" w:lineRule="auto"/>
        <w:jc w:val="both"/>
        <w:rPr>
          <w:rFonts w:ascii="Verdana" w:hAnsi="Verdana" w:cs="Arial"/>
          <w:lang w:val="es-ES"/>
        </w:rPr>
      </w:pPr>
      <w:r w:rsidRPr="00242856">
        <w:rPr>
          <w:rFonts w:ascii="Verdana" w:hAnsi="Verdana" w:cs="Arial"/>
          <w:lang w:val="es-ES"/>
        </w:rPr>
        <w:t xml:space="preserve">Sobre </w:t>
      </w:r>
      <w:r w:rsidR="006337BD" w:rsidRPr="00242856">
        <w:rPr>
          <w:rFonts w:ascii="Verdana" w:hAnsi="Verdana" w:cs="Arial"/>
          <w:lang w:val="es-ES"/>
        </w:rPr>
        <w:t xml:space="preserve">la promoción de la división del proceso de contratación en lotes o segmentos esta subdirección se ha pronunciado en los conceptos Nro. </w:t>
      </w:r>
      <w:r w:rsidR="006337BD" w:rsidRPr="00242856">
        <w:rPr>
          <w:rFonts w:ascii="Verdana" w:eastAsia="Calibri" w:hAnsi="Verdana" w:cs="Arial"/>
          <w:color w:val="000000"/>
        </w:rPr>
        <w:t>C</w:t>
      </w:r>
      <w:r w:rsidR="006337BD" w:rsidRPr="00242856">
        <w:rPr>
          <w:rFonts w:ascii="Verdana" w:eastAsia="Calibri" w:hAnsi="Verdana" w:cs="Arial"/>
          <w:bCs/>
          <w:color w:val="000000" w:themeColor="text1"/>
          <w:lang w:val="es-ES_tradnl"/>
        </w:rPr>
        <w:t xml:space="preserve">-670 del 19 de octubre de 2022, C-951 del 18 de enero de 2022, C-598 del 22 de septiembre de 2022, C-670 del 19 de octubre de 2022, C-113 del 12 de mayo de 2023, C-194 del 18 de mayo de 2023, C-064 del 5 de junio de 2023, </w:t>
      </w:r>
      <w:r w:rsidR="007E180B" w:rsidRPr="00242856">
        <w:rPr>
          <w:rFonts w:ascii="Verdana" w:eastAsia="Calibri" w:hAnsi="Verdana" w:cs="Arial"/>
          <w:bCs/>
          <w:color w:val="000000" w:themeColor="text1"/>
          <w:lang w:val="es-ES_tradnl"/>
        </w:rPr>
        <w:t xml:space="preserve">C-084 del 30 de mayo del 2024 y </w:t>
      </w:r>
      <w:r w:rsidR="006337BD" w:rsidRPr="00242856">
        <w:rPr>
          <w:rFonts w:ascii="Verdana" w:eastAsia="Calibri" w:hAnsi="Verdana" w:cs="Arial"/>
          <w:bCs/>
          <w:color w:val="000000" w:themeColor="text1"/>
          <w:lang w:val="es-ES_tradnl"/>
        </w:rPr>
        <w:t>C-</w:t>
      </w:r>
      <w:r w:rsidR="00A952EB" w:rsidRPr="00242856">
        <w:rPr>
          <w:rFonts w:ascii="Verdana" w:eastAsia="Calibri" w:hAnsi="Verdana" w:cs="Arial"/>
          <w:bCs/>
          <w:color w:val="000000" w:themeColor="text1"/>
          <w:lang w:val="es-ES_tradnl"/>
        </w:rPr>
        <w:t>221 del 08 de agosto del 2024</w:t>
      </w:r>
      <w:r w:rsidRPr="00242856">
        <w:rPr>
          <w:rFonts w:ascii="Verdana" w:hAnsi="Verdana" w:cs="Arial"/>
        </w:rPr>
        <w:t xml:space="preserve">. </w:t>
      </w:r>
      <w:r w:rsidRPr="00242856">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242856">
          <w:rPr>
            <w:rStyle w:val="Hipervnculo"/>
            <w:rFonts w:ascii="Verdana" w:hAnsi="Verdana" w:cs="Arial"/>
            <w:shd w:val="clear" w:color="auto" w:fill="FFFFFF"/>
          </w:rPr>
          <w:t>https://relatoria.colombiacompra.gov.co/</w:t>
        </w:r>
      </w:hyperlink>
      <w:r w:rsidRPr="00242856">
        <w:rPr>
          <w:rFonts w:ascii="Verdana" w:hAnsi="Verdana" w:cs="Arial"/>
          <w:shd w:val="clear" w:color="auto" w:fill="FFFFFF"/>
        </w:rPr>
        <w:t xml:space="preserve">. </w:t>
      </w:r>
    </w:p>
    <w:p w14:paraId="58CA6C78" w14:textId="77777777" w:rsidR="0014163C" w:rsidRPr="00242856" w:rsidRDefault="0014163C" w:rsidP="0014163C">
      <w:pPr>
        <w:widowControl w:val="0"/>
        <w:autoSpaceDE w:val="0"/>
        <w:autoSpaceDN w:val="0"/>
        <w:spacing w:after="0" w:line="276" w:lineRule="auto"/>
        <w:jc w:val="both"/>
        <w:rPr>
          <w:rFonts w:ascii="Verdana" w:hAnsi="Verdana" w:cs="Arial"/>
          <w:shd w:val="clear" w:color="auto" w:fill="FFFFFF"/>
        </w:rPr>
      </w:pPr>
    </w:p>
    <w:p w14:paraId="68B02A75" w14:textId="77777777" w:rsidR="0014163C" w:rsidRPr="00242856" w:rsidRDefault="0014163C" w:rsidP="0014163C">
      <w:pPr>
        <w:widowControl w:val="0"/>
        <w:autoSpaceDE w:val="0"/>
        <w:autoSpaceDN w:val="0"/>
        <w:spacing w:after="0" w:line="276" w:lineRule="auto"/>
        <w:jc w:val="both"/>
        <w:rPr>
          <w:rFonts w:ascii="Verdana" w:hAnsi="Verdana" w:cs="Arial"/>
          <w:shd w:val="clear" w:color="auto" w:fill="FFFFFF"/>
        </w:rPr>
      </w:pPr>
      <w:r w:rsidRPr="00242856">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242856">
          <w:rPr>
            <w:rStyle w:val="Hipervnculo"/>
            <w:rFonts w:ascii="Verdana" w:hAnsi="Verdana" w:cs="Arial"/>
            <w:shd w:val="clear" w:color="auto" w:fill="FFFFFF"/>
          </w:rPr>
          <w:t>https://www.colombiacompra.gov.co/sites/cce_public/files/files_2020/boletin_de_realtoria_iii.pdf</w:t>
        </w:r>
      </w:hyperlink>
      <w:r w:rsidRPr="00242856">
        <w:rPr>
          <w:rFonts w:ascii="Verdana" w:hAnsi="Verdana" w:cs="Arial"/>
          <w:shd w:val="clear" w:color="auto" w:fill="FFFFFF"/>
        </w:rPr>
        <w:t> "</w:t>
      </w:r>
    </w:p>
    <w:p w14:paraId="4959B5CD" w14:textId="77777777" w:rsidR="0014163C" w:rsidRPr="00242856" w:rsidRDefault="0014163C" w:rsidP="0014163C">
      <w:pPr>
        <w:spacing w:after="0" w:line="240" w:lineRule="auto"/>
        <w:jc w:val="both"/>
        <w:rPr>
          <w:rStyle w:val="normaltextrun"/>
          <w:rFonts w:ascii="Verdana" w:hAnsi="Verdana" w:cs="Arial"/>
          <w:color w:val="000000" w:themeColor="text1"/>
          <w:shd w:val="clear" w:color="auto" w:fill="FFFFFF"/>
          <w:lang w:val="es-ES"/>
        </w:rPr>
      </w:pPr>
    </w:p>
    <w:p w14:paraId="11A05783" w14:textId="77777777" w:rsidR="0014163C" w:rsidRPr="00242856" w:rsidRDefault="0014163C" w:rsidP="0014163C">
      <w:pPr>
        <w:spacing w:after="0" w:line="240" w:lineRule="auto"/>
        <w:jc w:val="both"/>
        <w:rPr>
          <w:rFonts w:ascii="Verdana" w:hAnsi="Verdana" w:cs="Arial"/>
        </w:rPr>
      </w:pPr>
      <w:r w:rsidRPr="00242856">
        <w:rPr>
          <w:rFonts w:ascii="Verdana" w:hAnsi="Verdana" w:cs="Arial"/>
        </w:rPr>
        <w:t xml:space="preserve">Por último, lo invitamos a seguirnos en las redes sociales en las cuales se difunde información institucional: </w:t>
      </w:r>
    </w:p>
    <w:p w14:paraId="4F49EE7E" w14:textId="77777777" w:rsidR="0014163C" w:rsidRPr="00242856" w:rsidRDefault="0014163C" w:rsidP="0014163C">
      <w:pPr>
        <w:spacing w:after="0" w:line="240" w:lineRule="auto"/>
        <w:jc w:val="both"/>
        <w:rPr>
          <w:rFonts w:ascii="Verdana" w:hAnsi="Verdana" w:cs="Arial"/>
        </w:rPr>
      </w:pPr>
    </w:p>
    <w:p w14:paraId="624F3090" w14:textId="77777777" w:rsidR="0014163C" w:rsidRPr="00242856" w:rsidRDefault="0014163C" w:rsidP="0014163C">
      <w:pPr>
        <w:spacing w:after="0" w:line="240" w:lineRule="auto"/>
        <w:jc w:val="both"/>
        <w:rPr>
          <w:rFonts w:ascii="Verdana" w:hAnsi="Verdana" w:cs="Arial"/>
        </w:rPr>
      </w:pPr>
      <w:r w:rsidRPr="00242856">
        <w:rPr>
          <w:rFonts w:ascii="Verdana" w:hAnsi="Verdana" w:cs="Arial"/>
        </w:rPr>
        <w:t xml:space="preserve">Twitter: </w:t>
      </w:r>
      <w:r w:rsidRPr="00242856">
        <w:rPr>
          <w:rStyle w:val="Hipervnculo"/>
          <w:rFonts w:ascii="Verdana" w:hAnsi="Verdana" w:cs="Arial"/>
          <w:color w:val="4472C4" w:themeColor="accent1"/>
        </w:rPr>
        <w:t>@colombiacompra</w:t>
      </w:r>
      <w:r w:rsidRPr="00242856">
        <w:rPr>
          <w:rFonts w:ascii="Verdana" w:hAnsi="Verdana" w:cs="Arial"/>
          <w:color w:val="4472C4" w:themeColor="accent1"/>
        </w:rPr>
        <w:t xml:space="preserve"> </w:t>
      </w:r>
    </w:p>
    <w:p w14:paraId="1306E785" w14:textId="77777777" w:rsidR="0014163C" w:rsidRPr="00242856" w:rsidRDefault="0014163C" w:rsidP="0014163C">
      <w:pPr>
        <w:spacing w:after="0" w:line="240" w:lineRule="auto"/>
        <w:jc w:val="both"/>
        <w:rPr>
          <w:rFonts w:ascii="Verdana" w:hAnsi="Verdana" w:cs="Arial"/>
        </w:rPr>
      </w:pPr>
      <w:r w:rsidRPr="00242856">
        <w:rPr>
          <w:rFonts w:ascii="Verdana" w:hAnsi="Verdana" w:cs="Arial"/>
        </w:rPr>
        <w:t xml:space="preserve">Facebook: </w:t>
      </w:r>
      <w:r w:rsidRPr="00242856">
        <w:rPr>
          <w:rStyle w:val="Hipervnculo"/>
          <w:rFonts w:ascii="Verdana" w:hAnsi="Verdana" w:cs="Arial"/>
          <w:color w:val="4472C4" w:themeColor="accent1"/>
        </w:rPr>
        <w:t>ColombiaCompraEficiente</w:t>
      </w:r>
    </w:p>
    <w:p w14:paraId="0AEC9FAD" w14:textId="77777777" w:rsidR="0014163C" w:rsidRPr="00242856" w:rsidRDefault="0014163C" w:rsidP="0014163C">
      <w:pPr>
        <w:spacing w:after="0" w:line="240" w:lineRule="auto"/>
        <w:jc w:val="both"/>
        <w:rPr>
          <w:rFonts w:ascii="Verdana" w:hAnsi="Verdana" w:cs="Arial"/>
        </w:rPr>
      </w:pPr>
      <w:r w:rsidRPr="00242856">
        <w:rPr>
          <w:rFonts w:ascii="Verdana" w:hAnsi="Verdana" w:cs="Arial"/>
        </w:rPr>
        <w:lastRenderedPageBreak/>
        <w:t xml:space="preserve">LinkedIn: </w:t>
      </w:r>
      <w:r w:rsidRPr="00242856">
        <w:rPr>
          <w:rStyle w:val="Hipervnculo"/>
          <w:rFonts w:ascii="Verdana" w:hAnsi="Verdana" w:cs="Arial"/>
          <w:color w:val="4472C4" w:themeColor="accent1"/>
        </w:rPr>
        <w:t>Agencia Nacional de Contratación Pública - Colombia Compra Eficiente</w:t>
      </w:r>
      <w:r w:rsidRPr="00242856">
        <w:rPr>
          <w:rFonts w:ascii="Verdana" w:hAnsi="Verdana" w:cs="Arial"/>
          <w:color w:val="4472C4" w:themeColor="accent1"/>
        </w:rPr>
        <w:t xml:space="preserve"> </w:t>
      </w:r>
      <w:r w:rsidRPr="00242856">
        <w:rPr>
          <w:rFonts w:ascii="Verdana" w:hAnsi="Verdana" w:cs="Arial"/>
        </w:rPr>
        <w:t xml:space="preserve">Instagram: </w:t>
      </w:r>
      <w:r w:rsidRPr="00242856">
        <w:rPr>
          <w:rStyle w:val="Hipervnculo"/>
          <w:rFonts w:ascii="Verdana" w:hAnsi="Verdana" w:cs="Arial"/>
          <w:color w:val="4472C4" w:themeColor="accent1"/>
        </w:rPr>
        <w:t>@colombiacompraeficiente_cce</w:t>
      </w:r>
    </w:p>
    <w:p w14:paraId="32B678D4" w14:textId="77777777" w:rsidR="0014163C" w:rsidRPr="00242856" w:rsidRDefault="0014163C" w:rsidP="0014163C">
      <w:pPr>
        <w:widowControl w:val="0"/>
        <w:autoSpaceDE w:val="0"/>
        <w:autoSpaceDN w:val="0"/>
        <w:spacing w:after="0" w:line="276" w:lineRule="auto"/>
        <w:jc w:val="both"/>
        <w:rPr>
          <w:rFonts w:ascii="Verdana" w:hAnsi="Verdana" w:cs="Arial"/>
        </w:rPr>
      </w:pPr>
    </w:p>
    <w:p w14:paraId="1D4633B6" w14:textId="77777777" w:rsidR="0014163C" w:rsidRPr="00242856" w:rsidRDefault="0014163C" w:rsidP="0014163C">
      <w:pPr>
        <w:widowControl w:val="0"/>
        <w:autoSpaceDE w:val="0"/>
        <w:autoSpaceDN w:val="0"/>
        <w:spacing w:after="0" w:line="276" w:lineRule="auto"/>
        <w:jc w:val="both"/>
        <w:rPr>
          <w:rFonts w:ascii="Verdana" w:hAnsi="Verdana" w:cs="Arial"/>
          <w:lang w:val="es-ES_tradnl"/>
        </w:rPr>
      </w:pPr>
      <w:r w:rsidRPr="00242856">
        <w:rPr>
          <w:rFonts w:ascii="Verdana" w:hAnsi="Verdana" w:cs="Arial"/>
        </w:rPr>
        <w:t xml:space="preserve">Este concepto tiene el alcance previsto en el artículo 28 del Código de Procedimiento Administrativo y de lo Contencioso Administrativo </w:t>
      </w:r>
      <w:r w:rsidRPr="00242856">
        <w:rPr>
          <w:rFonts w:ascii="Verdana" w:hAnsi="Verdana" w:cs="Arial"/>
          <w:lang w:val="es-ES_tradnl"/>
        </w:rPr>
        <w:t>y las expresiones aquí utilizadas con mayúscula inicial deben ser entendidas con el significado que les otorga el artículo 2.2.1.1.1.3.1. del Decreto 1082 de 2015.</w:t>
      </w:r>
    </w:p>
    <w:p w14:paraId="293A86AA" w14:textId="77777777" w:rsidR="0014163C" w:rsidRPr="00242856" w:rsidRDefault="0014163C" w:rsidP="0014163C">
      <w:pPr>
        <w:widowControl w:val="0"/>
        <w:autoSpaceDE w:val="0"/>
        <w:autoSpaceDN w:val="0"/>
        <w:spacing w:after="0" w:line="276" w:lineRule="auto"/>
        <w:jc w:val="both"/>
        <w:rPr>
          <w:rFonts w:ascii="Verdana" w:hAnsi="Verdana" w:cs="Arial"/>
        </w:rPr>
      </w:pPr>
    </w:p>
    <w:p w14:paraId="454CEE6A" w14:textId="77777777" w:rsidR="0014163C" w:rsidRPr="00242856" w:rsidRDefault="0014163C" w:rsidP="0014163C">
      <w:pPr>
        <w:spacing w:after="0" w:line="240" w:lineRule="auto"/>
        <w:rPr>
          <w:rFonts w:ascii="Verdana" w:hAnsi="Verdana" w:cs="Arial"/>
          <w:lang w:eastAsia="es-CO"/>
        </w:rPr>
      </w:pPr>
      <w:r w:rsidRPr="00242856">
        <w:rPr>
          <w:rFonts w:ascii="Verdana" w:eastAsia="Times New Roman" w:hAnsi="Verdana" w:cs="Arial"/>
          <w:lang w:eastAsia="es-CO"/>
        </w:rPr>
        <w:t>Atentamente,</w:t>
      </w:r>
      <w:r w:rsidRPr="00242856">
        <w:rPr>
          <w:rFonts w:ascii="Verdana" w:hAnsi="Verdana" w:cs="Arial"/>
          <w:lang w:eastAsia="es-CO"/>
        </w:rPr>
        <w:t xml:space="preserve"> </w:t>
      </w:r>
    </w:p>
    <w:p w14:paraId="508D723C" w14:textId="77777777" w:rsidR="00EB1017" w:rsidRPr="00242856" w:rsidRDefault="00EB1017" w:rsidP="0014163C">
      <w:pPr>
        <w:spacing w:after="0" w:line="240" w:lineRule="auto"/>
        <w:rPr>
          <w:rFonts w:ascii="Verdana" w:hAnsi="Verdana" w:cs="Arial"/>
          <w:lang w:eastAsia="es-CO"/>
        </w:rPr>
      </w:pPr>
    </w:p>
    <w:p w14:paraId="6831FED8" w14:textId="642B4E59" w:rsidR="00EB1017" w:rsidRPr="00242856" w:rsidRDefault="006C202B" w:rsidP="006C202B">
      <w:pPr>
        <w:spacing w:line="276" w:lineRule="auto"/>
        <w:jc w:val="center"/>
        <w:rPr>
          <w:rFonts w:ascii="Verdana" w:hAnsi="Verdana" w:cs="Arial"/>
          <w:color w:val="000000"/>
          <w:lang w:val="es-ES_tradnl" w:eastAsia="es-CO"/>
        </w:rPr>
      </w:pPr>
      <w:r w:rsidRPr="00242856">
        <w:rPr>
          <w:rFonts w:ascii="Verdana" w:hAnsi="Verdana"/>
          <w:noProof/>
        </w:rPr>
        <w:drawing>
          <wp:inline distT="0" distB="0" distL="0" distR="0" wp14:anchorId="64D899F3" wp14:editId="6496DBD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4163C" w:rsidRPr="00242856" w14:paraId="383BF395" w14:textId="77777777" w:rsidTr="00157AA4">
        <w:trPr>
          <w:trHeight w:val="315"/>
        </w:trPr>
        <w:tc>
          <w:tcPr>
            <w:tcW w:w="893" w:type="dxa"/>
            <w:vAlign w:val="center"/>
            <w:hideMark/>
          </w:tcPr>
          <w:p w14:paraId="1B8DEF1B" w14:textId="77777777" w:rsidR="0014163C" w:rsidRPr="00242856" w:rsidRDefault="0014163C" w:rsidP="00157AA4">
            <w:pPr>
              <w:contextualSpacing/>
              <w:rPr>
                <w:rFonts w:ascii="Verdana" w:hAnsi="Verdana" w:cs="Arial"/>
                <w:sz w:val="16"/>
                <w:szCs w:val="16"/>
                <w:lang w:val="es-ES" w:eastAsia="es-ES"/>
              </w:rPr>
            </w:pPr>
            <w:r w:rsidRPr="0024285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F1A94C2" w14:textId="77777777" w:rsidR="0014163C" w:rsidRPr="00242856" w:rsidRDefault="0014163C" w:rsidP="00157AA4">
            <w:pPr>
              <w:contextualSpacing/>
              <w:rPr>
                <w:rFonts w:ascii="Verdana" w:eastAsia="Arial" w:hAnsi="Verdana" w:cs="Arial"/>
                <w:sz w:val="16"/>
                <w:szCs w:val="16"/>
              </w:rPr>
            </w:pPr>
            <w:r w:rsidRPr="00242856">
              <w:rPr>
                <w:rFonts w:ascii="Verdana" w:eastAsia="Arial" w:hAnsi="Verdana" w:cs="Arial"/>
                <w:sz w:val="16"/>
                <w:szCs w:val="16"/>
              </w:rPr>
              <w:t>Ana María Ortiz Ballesteros</w:t>
            </w:r>
          </w:p>
          <w:p w14:paraId="29C9A7ED" w14:textId="77777777" w:rsidR="0014163C" w:rsidRPr="00242856" w:rsidRDefault="0014163C" w:rsidP="00157AA4">
            <w:pPr>
              <w:contextualSpacing/>
              <w:rPr>
                <w:rFonts w:ascii="Verdana" w:eastAsia="Arial" w:hAnsi="Verdana" w:cs="Arial"/>
                <w:sz w:val="16"/>
                <w:szCs w:val="16"/>
              </w:rPr>
            </w:pPr>
            <w:r w:rsidRPr="00242856">
              <w:rPr>
                <w:rStyle w:val="normaltextrun"/>
                <w:rFonts w:ascii="Verdana" w:eastAsia="Arial" w:hAnsi="Verdana" w:cs="Arial"/>
                <w:sz w:val="16"/>
                <w:szCs w:val="16"/>
              </w:rPr>
              <w:t>C</w:t>
            </w:r>
            <w:r w:rsidRPr="00242856">
              <w:rPr>
                <w:rStyle w:val="normaltextrun"/>
                <w:rFonts w:ascii="Verdana" w:hAnsi="Verdana" w:cs="Arial"/>
                <w:sz w:val="16"/>
                <w:szCs w:val="16"/>
              </w:rPr>
              <w:t>ontratista</w:t>
            </w:r>
            <w:r w:rsidRPr="00242856">
              <w:rPr>
                <w:rStyle w:val="normaltextrun"/>
                <w:rFonts w:ascii="Verdana" w:eastAsia="Arial" w:hAnsi="Verdana" w:cs="Arial"/>
                <w:sz w:val="16"/>
                <w:szCs w:val="16"/>
              </w:rPr>
              <w:t xml:space="preserve"> de la Subdirección de Gestión Contractual</w:t>
            </w:r>
          </w:p>
        </w:tc>
      </w:tr>
      <w:tr w:rsidR="0014163C" w:rsidRPr="00242856" w14:paraId="65E06678" w14:textId="77777777" w:rsidTr="00157AA4">
        <w:trPr>
          <w:trHeight w:val="330"/>
        </w:trPr>
        <w:tc>
          <w:tcPr>
            <w:tcW w:w="893" w:type="dxa"/>
            <w:vAlign w:val="center"/>
            <w:hideMark/>
          </w:tcPr>
          <w:p w14:paraId="6EFC75B7" w14:textId="77777777" w:rsidR="0014163C" w:rsidRPr="00242856" w:rsidRDefault="0014163C" w:rsidP="00157AA4">
            <w:pPr>
              <w:contextualSpacing/>
              <w:rPr>
                <w:rFonts w:ascii="Verdana" w:hAnsi="Verdana" w:cs="Arial"/>
                <w:sz w:val="16"/>
                <w:szCs w:val="16"/>
                <w:lang w:val="es-ES" w:eastAsia="es-ES"/>
              </w:rPr>
            </w:pPr>
            <w:r w:rsidRPr="00242856">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63CDE78" w14:textId="1700491B" w:rsidR="0014163C" w:rsidRPr="00242856" w:rsidRDefault="0014163C" w:rsidP="00157AA4">
            <w:pPr>
              <w:pStyle w:val="paragraph"/>
              <w:spacing w:after="0"/>
              <w:contextualSpacing/>
              <w:textAlignment w:val="baseline"/>
              <w:rPr>
                <w:rStyle w:val="normaltextrun"/>
                <w:rFonts w:ascii="Verdana" w:hAnsi="Verdana" w:cs="Arial"/>
                <w:sz w:val="16"/>
                <w:szCs w:val="16"/>
                <w:lang w:val="es-ES"/>
              </w:rPr>
            </w:pPr>
            <w:r w:rsidRPr="00242856">
              <w:rPr>
                <w:rStyle w:val="normaltextrun"/>
                <w:rFonts w:ascii="Verdana" w:hAnsi="Verdana" w:cs="Arial"/>
                <w:sz w:val="16"/>
                <w:szCs w:val="16"/>
                <w:lang w:val="es-ES"/>
              </w:rPr>
              <w:t xml:space="preserve">Juan David Cárdenas Cabeza </w:t>
            </w:r>
          </w:p>
          <w:p w14:paraId="482F9E80" w14:textId="7CCB45D9" w:rsidR="0014163C" w:rsidRPr="00242856" w:rsidRDefault="0014163C" w:rsidP="00157AA4">
            <w:pPr>
              <w:pStyle w:val="paragraph"/>
              <w:spacing w:before="0" w:beforeAutospacing="0" w:after="0" w:afterAutospacing="0"/>
              <w:contextualSpacing/>
              <w:textAlignment w:val="baseline"/>
              <w:rPr>
                <w:rFonts w:ascii="Verdana" w:hAnsi="Verdana" w:cs="Arial"/>
                <w:sz w:val="16"/>
                <w:szCs w:val="16"/>
              </w:rPr>
            </w:pPr>
            <w:r w:rsidRPr="00242856">
              <w:rPr>
                <w:rStyle w:val="normaltextrun"/>
                <w:rFonts w:ascii="Verdana" w:eastAsia="Arial" w:hAnsi="Verdana" w:cs="Arial"/>
                <w:sz w:val="16"/>
                <w:szCs w:val="16"/>
              </w:rPr>
              <w:t>C</w:t>
            </w:r>
            <w:r w:rsidRPr="00242856">
              <w:rPr>
                <w:rStyle w:val="normaltextrun"/>
                <w:rFonts w:ascii="Verdana" w:hAnsi="Verdana" w:cs="Arial"/>
                <w:sz w:val="16"/>
                <w:szCs w:val="16"/>
              </w:rPr>
              <w:t>ontratista</w:t>
            </w:r>
            <w:r w:rsidRPr="00242856">
              <w:rPr>
                <w:rStyle w:val="normaltextrun"/>
                <w:rFonts w:ascii="Verdana" w:eastAsia="Arial" w:hAnsi="Verdana" w:cs="Arial"/>
                <w:sz w:val="16"/>
                <w:szCs w:val="16"/>
              </w:rPr>
              <w:t xml:space="preserve"> de la Subdirección de Gestión Contractual</w:t>
            </w:r>
          </w:p>
        </w:tc>
      </w:tr>
      <w:tr w:rsidR="0014163C" w:rsidRPr="00242856" w14:paraId="7F5B0EFA" w14:textId="77777777" w:rsidTr="00157AA4">
        <w:trPr>
          <w:trHeight w:val="300"/>
        </w:trPr>
        <w:tc>
          <w:tcPr>
            <w:tcW w:w="893" w:type="dxa"/>
            <w:vAlign w:val="center"/>
          </w:tcPr>
          <w:p w14:paraId="6CC7FEDB" w14:textId="77777777" w:rsidR="0014163C" w:rsidRPr="00242856" w:rsidRDefault="0014163C" w:rsidP="00157AA4">
            <w:pPr>
              <w:contextualSpacing/>
              <w:rPr>
                <w:rFonts w:ascii="Verdana" w:hAnsi="Verdana" w:cs="Arial"/>
                <w:sz w:val="16"/>
                <w:szCs w:val="16"/>
                <w:lang w:val="es-ES" w:eastAsia="es-ES"/>
              </w:rPr>
            </w:pPr>
            <w:r w:rsidRPr="0024285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F88FBAA" w14:textId="77777777" w:rsidR="0014163C" w:rsidRPr="00242856" w:rsidRDefault="0014163C" w:rsidP="00157AA4">
            <w:pPr>
              <w:contextualSpacing/>
              <w:rPr>
                <w:rFonts w:ascii="Verdana" w:eastAsia="Calibri" w:hAnsi="Verdana" w:cs="Arial"/>
                <w:sz w:val="16"/>
                <w:szCs w:val="16"/>
                <w:lang w:val="pt-BR" w:eastAsia="es-ES"/>
              </w:rPr>
            </w:pPr>
            <w:r w:rsidRPr="00242856">
              <w:rPr>
                <w:rFonts w:ascii="Verdana" w:eastAsia="Calibri" w:hAnsi="Verdana" w:cs="Arial"/>
                <w:sz w:val="16"/>
                <w:szCs w:val="16"/>
                <w:lang w:val="pt-BR" w:eastAsia="es-ES"/>
              </w:rPr>
              <w:t>Carolina Quintero Gacharná</w:t>
            </w:r>
          </w:p>
          <w:p w14:paraId="552B7602" w14:textId="77777777" w:rsidR="0014163C" w:rsidRPr="00242856" w:rsidRDefault="0014163C" w:rsidP="00157AA4">
            <w:pPr>
              <w:contextualSpacing/>
              <w:rPr>
                <w:rFonts w:ascii="Verdana" w:eastAsia="Calibri" w:hAnsi="Verdana" w:cs="Arial"/>
                <w:sz w:val="16"/>
                <w:szCs w:val="16"/>
                <w:lang w:val="pt-BR" w:eastAsia="es-ES"/>
              </w:rPr>
            </w:pPr>
            <w:r w:rsidRPr="00242856">
              <w:rPr>
                <w:rFonts w:ascii="Verdana" w:eastAsia="Calibri" w:hAnsi="Verdana" w:cs="Arial"/>
                <w:sz w:val="16"/>
                <w:szCs w:val="16"/>
                <w:lang w:eastAsia="es-ES"/>
              </w:rPr>
              <w:t>Subdirectora</w:t>
            </w:r>
            <w:r w:rsidRPr="00242856">
              <w:rPr>
                <w:rFonts w:ascii="Verdana" w:eastAsia="Calibri" w:hAnsi="Verdana" w:cs="Arial"/>
                <w:sz w:val="16"/>
                <w:szCs w:val="16"/>
                <w:lang w:val="pt-BR" w:eastAsia="es-ES"/>
              </w:rPr>
              <w:t xml:space="preserve"> de Gestión Contractual ANCP – CCE</w:t>
            </w:r>
          </w:p>
        </w:tc>
      </w:tr>
    </w:tbl>
    <w:p w14:paraId="635A8E5F" w14:textId="77777777" w:rsidR="0014163C" w:rsidRPr="00242856" w:rsidRDefault="0014163C" w:rsidP="0014163C">
      <w:pPr>
        <w:spacing w:after="0"/>
        <w:jc w:val="both"/>
        <w:rPr>
          <w:rFonts w:ascii="Verdana" w:hAnsi="Verdana" w:cs="Arial"/>
        </w:rPr>
      </w:pPr>
    </w:p>
    <w:p w14:paraId="0A943518" w14:textId="77777777" w:rsidR="0014163C" w:rsidRPr="0014163C" w:rsidRDefault="0014163C" w:rsidP="00665D70">
      <w:pPr>
        <w:spacing w:after="0"/>
        <w:jc w:val="both"/>
        <w:rPr>
          <w:rFonts w:ascii="Verdana" w:hAnsi="Verdana"/>
        </w:rPr>
      </w:pPr>
    </w:p>
    <w:sectPr w:rsidR="0014163C" w:rsidRPr="0014163C"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 w:id="1">
    <w:p w14:paraId="206AB447" w14:textId="6995385D" w:rsidR="003127D3" w:rsidRPr="00D9401A" w:rsidRDefault="008C66EC" w:rsidP="004F71AE">
      <w:pPr>
        <w:spacing w:after="0" w:line="240" w:lineRule="auto"/>
        <w:ind w:firstLine="708"/>
        <w:jc w:val="both"/>
        <w:rPr>
          <w:rFonts w:ascii="Verdana" w:hAnsi="Verdana" w:cs="Arial"/>
          <w:sz w:val="18"/>
          <w:szCs w:val="18"/>
          <w:lang w:val="es-ES" w:eastAsia="es-ES"/>
        </w:rPr>
      </w:pPr>
      <w:r w:rsidRPr="00D9401A">
        <w:rPr>
          <w:rStyle w:val="Refdenotaalpie"/>
          <w:rFonts w:ascii="Verdana" w:hAnsi="Verdana"/>
          <w:sz w:val="18"/>
          <w:szCs w:val="18"/>
        </w:rPr>
        <w:footnoteRef/>
      </w:r>
      <w:r w:rsidR="003127D3" w:rsidRPr="00D9401A">
        <w:rPr>
          <w:rFonts w:ascii="Verdana" w:hAnsi="Verdana" w:cs="Arial"/>
          <w:sz w:val="18"/>
          <w:szCs w:val="18"/>
          <w:lang w:val="es-ES"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14:paraId="22B39051" w14:textId="77777777" w:rsidR="003127D3" w:rsidRPr="00D9401A" w:rsidRDefault="003127D3" w:rsidP="004F71AE">
      <w:pPr>
        <w:spacing w:after="0" w:line="240" w:lineRule="auto"/>
        <w:ind w:firstLine="708"/>
        <w:jc w:val="both"/>
        <w:rPr>
          <w:rFonts w:ascii="Verdana" w:hAnsi="Verdana" w:cs="Arial"/>
          <w:sz w:val="18"/>
          <w:szCs w:val="18"/>
          <w:lang w:val="es-ES" w:eastAsia="es-ES"/>
        </w:rPr>
      </w:pPr>
      <w:r w:rsidRPr="00D9401A">
        <w:rPr>
          <w:rFonts w:ascii="Verdana" w:hAnsi="Verdana" w:cs="Arial"/>
          <w:bCs/>
          <w:sz w:val="18"/>
          <w:szCs w:val="18"/>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14:paraId="0622DB63" w14:textId="77777777" w:rsidR="003127D3" w:rsidRPr="00D9401A" w:rsidRDefault="003127D3" w:rsidP="004F71AE">
      <w:pPr>
        <w:spacing w:after="0" w:line="240" w:lineRule="auto"/>
        <w:ind w:firstLine="708"/>
        <w:jc w:val="both"/>
        <w:rPr>
          <w:rFonts w:ascii="Verdana" w:hAnsi="Verdana" w:cs="Arial"/>
          <w:sz w:val="18"/>
          <w:szCs w:val="18"/>
          <w:lang w:val="es-ES" w:eastAsia="es-ES"/>
        </w:rPr>
      </w:pPr>
      <w:r w:rsidRPr="00D9401A">
        <w:rPr>
          <w:rFonts w:ascii="Verdana" w:hAnsi="Verdana" w:cs="Arial"/>
          <w:sz w:val="18"/>
          <w:szCs w:val="18"/>
          <w:lang w:val="es-ES" w:eastAsia="es-ES"/>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5A79E2C2" w14:textId="7DFA956F" w:rsidR="004F71AE" w:rsidRPr="00D9401A" w:rsidRDefault="003127D3" w:rsidP="00334F12">
      <w:pPr>
        <w:spacing w:after="0" w:line="240" w:lineRule="auto"/>
        <w:ind w:firstLine="708"/>
        <w:jc w:val="both"/>
        <w:rPr>
          <w:rFonts w:ascii="Verdana" w:hAnsi="Verdana" w:cs="Arial"/>
          <w:sz w:val="18"/>
          <w:szCs w:val="18"/>
          <w:lang w:val="es-ES" w:eastAsia="es-ES"/>
        </w:rPr>
      </w:pPr>
      <w:r w:rsidRPr="00D9401A">
        <w:rPr>
          <w:rFonts w:ascii="Verdana" w:hAnsi="Verdana" w:cs="Arial"/>
          <w:sz w:val="18"/>
          <w:szCs w:val="18"/>
          <w:lang w:val="es-ES" w:eastAsia="es-ES"/>
        </w:rPr>
        <w:t>Parágrafo. Las cooperativas y demás entidades de economía solidaria, siempre que tengan la calidad de Mipyme, podrán solicitar y participar en las convocatorias limitadas en las mismas condiciones dispuestas en el presente artículo</w:t>
      </w:r>
    </w:p>
  </w:footnote>
  <w:footnote w:id="2">
    <w:p w14:paraId="4589C307" w14:textId="77777777" w:rsidR="004F71AE" w:rsidRPr="00D9401A" w:rsidRDefault="004F71AE" w:rsidP="004F71AE">
      <w:pPr>
        <w:pStyle w:val="Textonotapie"/>
        <w:ind w:firstLine="708"/>
        <w:jc w:val="both"/>
        <w:rPr>
          <w:rFonts w:ascii="Verdana" w:hAnsi="Verdana" w:cs="Arial"/>
          <w:sz w:val="18"/>
          <w:szCs w:val="18"/>
        </w:rPr>
      </w:pPr>
      <w:r w:rsidRPr="00D9401A">
        <w:rPr>
          <w:rStyle w:val="Refdenotaalpie"/>
          <w:rFonts w:ascii="Verdana" w:hAnsi="Verdana" w:cs="Arial"/>
          <w:sz w:val="18"/>
          <w:szCs w:val="18"/>
        </w:rPr>
        <w:footnoteRef/>
      </w:r>
      <w:r w:rsidRPr="00D9401A">
        <w:rPr>
          <w:rFonts w:ascii="Verdana" w:hAnsi="Verdana"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D9401A">
          <w:rPr>
            <w:rFonts w:ascii="Verdana" w:hAnsi="Verdana"/>
            <w:sz w:val="18"/>
            <w:szCs w:val="18"/>
          </w:rPr>
          <w:t>https://www.colombiacompra.gov.co/sites/cce_public/files/files_2020/vf_umbrales_actualizaciones_2022_-_2023_1.pdf</w:t>
        </w:r>
      </w:hyperlink>
      <w:r w:rsidRPr="00D9401A">
        <w:rPr>
          <w:rFonts w:ascii="Verdana" w:hAnsi="Verdana" w:cs="Arial"/>
          <w:sz w:val="18"/>
          <w:szCs w:val="18"/>
        </w:rPr>
        <w:t>. Allí se señala que el monto corresponde a $ 457.297.264.</w:t>
      </w:r>
    </w:p>
  </w:footnote>
  <w:footnote w:id="3">
    <w:p w14:paraId="0486AB8E" w14:textId="77777777" w:rsidR="0034307A" w:rsidRPr="00D9401A" w:rsidRDefault="0034307A" w:rsidP="00813898">
      <w:pPr>
        <w:pStyle w:val="Textonotapie"/>
        <w:ind w:firstLine="708"/>
        <w:jc w:val="both"/>
        <w:rPr>
          <w:rFonts w:ascii="Verdana" w:hAnsi="Verdana" w:cs="Arial"/>
          <w:sz w:val="18"/>
          <w:szCs w:val="18"/>
        </w:rPr>
      </w:pPr>
    </w:p>
    <w:p w14:paraId="755EAB20" w14:textId="77777777" w:rsidR="00813898" w:rsidRPr="00D9401A" w:rsidRDefault="00813898" w:rsidP="00813898">
      <w:pPr>
        <w:pStyle w:val="Textonotapie"/>
        <w:ind w:firstLine="708"/>
        <w:jc w:val="both"/>
        <w:rPr>
          <w:rFonts w:ascii="Verdana" w:hAnsi="Verdana" w:cs="Arial"/>
          <w:sz w:val="18"/>
          <w:szCs w:val="18"/>
        </w:rPr>
      </w:pPr>
      <w:r w:rsidRPr="00D9401A">
        <w:rPr>
          <w:rStyle w:val="Refdenotaalpie"/>
          <w:rFonts w:ascii="Verdana" w:hAnsi="Verdana" w:cs="Arial"/>
          <w:sz w:val="18"/>
          <w:szCs w:val="18"/>
        </w:rPr>
        <w:footnoteRef/>
      </w:r>
      <w:r w:rsidRPr="00D9401A">
        <w:rPr>
          <w:rFonts w:ascii="Verdana" w:hAnsi="Verdana" w:cs="Arial"/>
          <w:sz w:val="18"/>
          <w:szCs w:val="18"/>
        </w:rPr>
        <w:t xml:space="preserve"> 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BD7D792" w14:textId="77777777" w:rsidR="00813898" w:rsidRPr="00D9401A" w:rsidRDefault="00813898" w:rsidP="0034307A">
      <w:pPr>
        <w:pStyle w:val="Textonotapie"/>
        <w:ind w:firstLine="708"/>
        <w:jc w:val="both"/>
        <w:rPr>
          <w:rFonts w:ascii="Verdana" w:hAnsi="Verdana" w:cs="Arial"/>
          <w:sz w:val="18"/>
          <w:szCs w:val="18"/>
        </w:rPr>
      </w:pPr>
    </w:p>
  </w:footnote>
  <w:footnote w:id="4">
    <w:p w14:paraId="6E3BE32A" w14:textId="6906CA37" w:rsidR="00813898" w:rsidRPr="00D9401A" w:rsidRDefault="00813898" w:rsidP="0034307A">
      <w:pPr>
        <w:pStyle w:val="Textonotapie"/>
        <w:ind w:firstLine="708"/>
        <w:jc w:val="both"/>
        <w:rPr>
          <w:rFonts w:ascii="Verdana" w:hAnsi="Verdana" w:cs="Arial"/>
          <w:sz w:val="18"/>
          <w:szCs w:val="18"/>
        </w:rPr>
      </w:pPr>
      <w:r w:rsidRPr="00D9401A">
        <w:rPr>
          <w:rStyle w:val="Refdenotaalpie"/>
          <w:rFonts w:ascii="Verdana" w:hAnsi="Verdana" w:cs="Arial"/>
          <w:sz w:val="18"/>
          <w:szCs w:val="18"/>
        </w:rPr>
        <w:footnoteRef/>
      </w:r>
      <w:r w:rsidRPr="00D9401A">
        <w:rPr>
          <w:rFonts w:ascii="Verdana" w:hAnsi="Verdana" w:cs="Arial"/>
          <w:sz w:val="18"/>
          <w:szCs w:val="18"/>
        </w:rPr>
        <w:t xml:space="preserve"> Cfr. Concepto emitido en el radicado 4201913000005674, dictado el 27 de septiembre de 2019.</w:t>
      </w:r>
    </w:p>
  </w:footnote>
  <w:footnote w:id="5">
    <w:p w14:paraId="2DDB5802" w14:textId="1CA036D5" w:rsidR="007A6C0E" w:rsidRPr="00D9401A" w:rsidRDefault="007A6C0E" w:rsidP="007A6C0E">
      <w:pPr>
        <w:pStyle w:val="Textonotapie"/>
        <w:ind w:firstLine="708"/>
        <w:jc w:val="both"/>
        <w:rPr>
          <w:rFonts w:ascii="Verdana" w:hAnsi="Verdana" w:cs="Arial"/>
          <w:sz w:val="18"/>
          <w:szCs w:val="18"/>
          <w:lang w:val="es-CO"/>
        </w:rPr>
      </w:pPr>
      <w:r w:rsidRPr="00D9401A">
        <w:rPr>
          <w:rStyle w:val="Refdenotaalpie"/>
          <w:rFonts w:ascii="Verdana" w:hAnsi="Verdana" w:cs="Arial"/>
          <w:sz w:val="18"/>
          <w:szCs w:val="18"/>
        </w:rPr>
        <w:footnoteRef/>
      </w:r>
      <w:r w:rsidRPr="00D9401A">
        <w:rPr>
          <w:rFonts w:ascii="Verdana" w:hAnsi="Verdana" w:cs="Arial"/>
          <w:sz w:val="18"/>
          <w:szCs w:val="18"/>
        </w:rPr>
        <w:t>“</w:t>
      </w:r>
      <w:r w:rsidRPr="00D9401A">
        <w:rPr>
          <w:rFonts w:ascii="Verdana" w:hAnsi="Verdana" w:cs="Arial"/>
          <w:sz w:val="18"/>
          <w:szCs w:val="18"/>
          <w:lang w:val="es-CO"/>
        </w:rPr>
        <w:t>ARTÍCULO</w:t>
      </w:r>
      <w:bookmarkStart w:id="1" w:name="2.2.1.2.4.2.3"/>
      <w:bookmarkEnd w:id="1"/>
      <w:r w:rsidRPr="00D9401A">
        <w:rPr>
          <w:rFonts w:ascii="Verdana" w:hAnsi="Verdana" w:cs="Arial"/>
          <w:sz w:val="18"/>
          <w:szCs w:val="18"/>
          <w:lang w:val="es-CO"/>
        </w:rPr>
        <w:t> 2.2.1.2.4.2.3. Limitaciones territoriales. De conformidad con el parágrafo </w:t>
      </w:r>
      <w:hyperlink r:id="rId2" w:anchor="12.p1" w:history="1">
        <w:r w:rsidRPr="00D9401A">
          <w:rPr>
            <w:rFonts w:ascii="Verdana" w:hAnsi="Verdana" w:cs="Arial"/>
            <w:sz w:val="18"/>
            <w:szCs w:val="18"/>
            <w:lang w:val="es-CO"/>
          </w:rPr>
          <w:t>1 </w:t>
        </w:r>
      </w:hyperlink>
      <w:r w:rsidRPr="00D9401A">
        <w:rPr>
          <w:rFonts w:ascii="Verdana" w:hAnsi="Verdana" w:cs="Arial"/>
          <w:sz w:val="18"/>
          <w:szCs w:val="18"/>
          <w:lang w:val="es-CO"/>
        </w:rPr>
        <w:t>del artículo </w:t>
      </w:r>
      <w:hyperlink r:id="rId3" w:anchor="12" w:history="1">
        <w:r w:rsidRPr="00D9401A">
          <w:rPr>
            <w:rFonts w:ascii="Verdana" w:hAnsi="Verdana" w:cs="Arial"/>
            <w:sz w:val="18"/>
            <w:szCs w:val="18"/>
            <w:lang w:val="es-CO"/>
          </w:rPr>
          <w:t>12 </w:t>
        </w:r>
      </w:hyperlink>
      <w:r w:rsidRPr="00D9401A">
        <w:rPr>
          <w:rFonts w:ascii="Verdana" w:hAnsi="Verdana" w:cs="Arial"/>
          <w:sz w:val="18"/>
          <w:szCs w:val="18"/>
          <w:lang w:val="es-CO"/>
        </w:rPr>
        <w:t>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B47E3"/>
    <w:multiLevelType w:val="hybridMultilevel"/>
    <w:tmpl w:val="C960FAF4"/>
    <w:lvl w:ilvl="0" w:tplc="479227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32E765E"/>
    <w:multiLevelType w:val="hybridMultilevel"/>
    <w:tmpl w:val="4448F540"/>
    <w:lvl w:ilvl="0" w:tplc="1616CD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48441B"/>
    <w:multiLevelType w:val="hybridMultilevel"/>
    <w:tmpl w:val="72A80D12"/>
    <w:lvl w:ilvl="0" w:tplc="0B725C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FC639C"/>
    <w:multiLevelType w:val="hybridMultilevel"/>
    <w:tmpl w:val="6A9EC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5"/>
  </w:num>
  <w:num w:numId="8" w16cid:durableId="152644682">
    <w:abstractNumId w:val="16"/>
  </w:num>
  <w:num w:numId="9" w16cid:durableId="1317221377">
    <w:abstractNumId w:val="7"/>
  </w:num>
  <w:num w:numId="10" w16cid:durableId="1471245386">
    <w:abstractNumId w:val="15"/>
  </w:num>
  <w:num w:numId="11" w16cid:durableId="289172385">
    <w:abstractNumId w:val="8"/>
  </w:num>
  <w:num w:numId="12" w16cid:durableId="1470781324">
    <w:abstractNumId w:val="1"/>
  </w:num>
  <w:num w:numId="13" w16cid:durableId="1512908409">
    <w:abstractNumId w:val="3"/>
  </w:num>
  <w:num w:numId="14" w16cid:durableId="895897244">
    <w:abstractNumId w:val="18"/>
  </w:num>
  <w:num w:numId="15" w16cid:durableId="390349800">
    <w:abstractNumId w:val="14"/>
  </w:num>
  <w:num w:numId="16" w16cid:durableId="341274352">
    <w:abstractNumId w:val="0"/>
  </w:num>
  <w:num w:numId="17" w16cid:durableId="679089576">
    <w:abstractNumId w:val="10"/>
  </w:num>
  <w:num w:numId="18" w16cid:durableId="89277598">
    <w:abstractNumId w:val="9"/>
  </w:num>
  <w:num w:numId="19" w16cid:durableId="1550191658">
    <w:abstractNumId w:val="13"/>
  </w:num>
  <w:num w:numId="20" w16cid:durableId="265161217">
    <w:abstractNumId w:val="11"/>
  </w:num>
  <w:num w:numId="21" w16cid:durableId="1933583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9FF"/>
    <w:rsid w:val="00003B08"/>
    <w:rsid w:val="00004A0F"/>
    <w:rsid w:val="000115CA"/>
    <w:rsid w:val="00037774"/>
    <w:rsid w:val="00047292"/>
    <w:rsid w:val="000538B0"/>
    <w:rsid w:val="00061B2A"/>
    <w:rsid w:val="00063FCF"/>
    <w:rsid w:val="00082362"/>
    <w:rsid w:val="00084F66"/>
    <w:rsid w:val="000A683E"/>
    <w:rsid w:val="000B19B9"/>
    <w:rsid w:val="000C61A9"/>
    <w:rsid w:val="000D0334"/>
    <w:rsid w:val="000D363A"/>
    <w:rsid w:val="000E61DD"/>
    <w:rsid w:val="000F4FCD"/>
    <w:rsid w:val="000F6486"/>
    <w:rsid w:val="00104A9E"/>
    <w:rsid w:val="00107A56"/>
    <w:rsid w:val="001201F1"/>
    <w:rsid w:val="00122FDD"/>
    <w:rsid w:val="00125105"/>
    <w:rsid w:val="00127233"/>
    <w:rsid w:val="0014163C"/>
    <w:rsid w:val="00141DCC"/>
    <w:rsid w:val="00146B4A"/>
    <w:rsid w:val="00146BF7"/>
    <w:rsid w:val="00157268"/>
    <w:rsid w:val="00166587"/>
    <w:rsid w:val="00170054"/>
    <w:rsid w:val="0017228E"/>
    <w:rsid w:val="00173832"/>
    <w:rsid w:val="001924B5"/>
    <w:rsid w:val="001C2A75"/>
    <w:rsid w:val="001E4177"/>
    <w:rsid w:val="001E65BD"/>
    <w:rsid w:val="001E6B71"/>
    <w:rsid w:val="001F7DC6"/>
    <w:rsid w:val="00213B66"/>
    <w:rsid w:val="00222372"/>
    <w:rsid w:val="0023533B"/>
    <w:rsid w:val="002421BB"/>
    <w:rsid w:val="0024261B"/>
    <w:rsid w:val="00242856"/>
    <w:rsid w:val="00254C05"/>
    <w:rsid w:val="0025796E"/>
    <w:rsid w:val="00260BA9"/>
    <w:rsid w:val="00263AEF"/>
    <w:rsid w:val="002707A2"/>
    <w:rsid w:val="00270E0B"/>
    <w:rsid w:val="0027703F"/>
    <w:rsid w:val="002951A0"/>
    <w:rsid w:val="002962BC"/>
    <w:rsid w:val="002A093D"/>
    <w:rsid w:val="002A0DD0"/>
    <w:rsid w:val="002A49AC"/>
    <w:rsid w:val="002A64FD"/>
    <w:rsid w:val="002B417E"/>
    <w:rsid w:val="002C7A84"/>
    <w:rsid w:val="002D417E"/>
    <w:rsid w:val="002D5881"/>
    <w:rsid w:val="002E4565"/>
    <w:rsid w:val="002E4FD9"/>
    <w:rsid w:val="002E614E"/>
    <w:rsid w:val="003122F8"/>
    <w:rsid w:val="003127D3"/>
    <w:rsid w:val="00312BA0"/>
    <w:rsid w:val="003134DB"/>
    <w:rsid w:val="003162A8"/>
    <w:rsid w:val="00322A85"/>
    <w:rsid w:val="00324168"/>
    <w:rsid w:val="00325294"/>
    <w:rsid w:val="00330EF8"/>
    <w:rsid w:val="00334F12"/>
    <w:rsid w:val="0034307A"/>
    <w:rsid w:val="003448F4"/>
    <w:rsid w:val="00351AE0"/>
    <w:rsid w:val="00361EA4"/>
    <w:rsid w:val="00362D71"/>
    <w:rsid w:val="00365741"/>
    <w:rsid w:val="00370BBB"/>
    <w:rsid w:val="00372658"/>
    <w:rsid w:val="00374F5E"/>
    <w:rsid w:val="00377E3E"/>
    <w:rsid w:val="00383C03"/>
    <w:rsid w:val="00396E70"/>
    <w:rsid w:val="003A26D1"/>
    <w:rsid w:val="003A779E"/>
    <w:rsid w:val="003C3BAB"/>
    <w:rsid w:val="003C7B3D"/>
    <w:rsid w:val="003D0F4D"/>
    <w:rsid w:val="003D5B0D"/>
    <w:rsid w:val="003E0499"/>
    <w:rsid w:val="003F3941"/>
    <w:rsid w:val="00406575"/>
    <w:rsid w:val="00421076"/>
    <w:rsid w:val="0042722E"/>
    <w:rsid w:val="00434253"/>
    <w:rsid w:val="0043792B"/>
    <w:rsid w:val="0044528D"/>
    <w:rsid w:val="00451035"/>
    <w:rsid w:val="0046064F"/>
    <w:rsid w:val="0047671D"/>
    <w:rsid w:val="00481E9C"/>
    <w:rsid w:val="0049693D"/>
    <w:rsid w:val="004A1847"/>
    <w:rsid w:val="004A305D"/>
    <w:rsid w:val="004E30C8"/>
    <w:rsid w:val="004F21C4"/>
    <w:rsid w:val="004F685F"/>
    <w:rsid w:val="004F71AE"/>
    <w:rsid w:val="00505D20"/>
    <w:rsid w:val="0050783A"/>
    <w:rsid w:val="00512D35"/>
    <w:rsid w:val="00527DA6"/>
    <w:rsid w:val="00530473"/>
    <w:rsid w:val="00536E93"/>
    <w:rsid w:val="00547AEF"/>
    <w:rsid w:val="00551E83"/>
    <w:rsid w:val="005538BC"/>
    <w:rsid w:val="005566E8"/>
    <w:rsid w:val="005602AF"/>
    <w:rsid w:val="00570749"/>
    <w:rsid w:val="00574867"/>
    <w:rsid w:val="00580F9C"/>
    <w:rsid w:val="00583D1B"/>
    <w:rsid w:val="00591460"/>
    <w:rsid w:val="00592628"/>
    <w:rsid w:val="005C2211"/>
    <w:rsid w:val="005C2970"/>
    <w:rsid w:val="005C3777"/>
    <w:rsid w:val="005C5CDC"/>
    <w:rsid w:val="005D476C"/>
    <w:rsid w:val="00602FFD"/>
    <w:rsid w:val="00610812"/>
    <w:rsid w:val="00612DCA"/>
    <w:rsid w:val="00621239"/>
    <w:rsid w:val="006219F8"/>
    <w:rsid w:val="00625BAE"/>
    <w:rsid w:val="00626C8C"/>
    <w:rsid w:val="006337BD"/>
    <w:rsid w:val="00635F9C"/>
    <w:rsid w:val="0063604B"/>
    <w:rsid w:val="0064006E"/>
    <w:rsid w:val="00645DBD"/>
    <w:rsid w:val="00647A17"/>
    <w:rsid w:val="00650FF7"/>
    <w:rsid w:val="006617A4"/>
    <w:rsid w:val="00665D70"/>
    <w:rsid w:val="0066614C"/>
    <w:rsid w:val="00671DAC"/>
    <w:rsid w:val="006749DD"/>
    <w:rsid w:val="00674AA0"/>
    <w:rsid w:val="00674BF8"/>
    <w:rsid w:val="006842F8"/>
    <w:rsid w:val="006900D9"/>
    <w:rsid w:val="00691ED8"/>
    <w:rsid w:val="00696617"/>
    <w:rsid w:val="006A5C9B"/>
    <w:rsid w:val="006B32F6"/>
    <w:rsid w:val="006B682A"/>
    <w:rsid w:val="006B695C"/>
    <w:rsid w:val="006C202B"/>
    <w:rsid w:val="006D12F8"/>
    <w:rsid w:val="006E3775"/>
    <w:rsid w:val="006E4C69"/>
    <w:rsid w:val="006F4C9D"/>
    <w:rsid w:val="006F5964"/>
    <w:rsid w:val="007051D0"/>
    <w:rsid w:val="00706C16"/>
    <w:rsid w:val="0071615B"/>
    <w:rsid w:val="00721C11"/>
    <w:rsid w:val="0075672A"/>
    <w:rsid w:val="00756841"/>
    <w:rsid w:val="007649AB"/>
    <w:rsid w:val="00771D0C"/>
    <w:rsid w:val="007737A0"/>
    <w:rsid w:val="007833AC"/>
    <w:rsid w:val="00792265"/>
    <w:rsid w:val="0079576F"/>
    <w:rsid w:val="007A2B83"/>
    <w:rsid w:val="007A6C0E"/>
    <w:rsid w:val="007B0D02"/>
    <w:rsid w:val="007B124A"/>
    <w:rsid w:val="007B268C"/>
    <w:rsid w:val="007B7171"/>
    <w:rsid w:val="007C0C0F"/>
    <w:rsid w:val="007C3322"/>
    <w:rsid w:val="007C3DC2"/>
    <w:rsid w:val="007E180B"/>
    <w:rsid w:val="007E5497"/>
    <w:rsid w:val="007F16CB"/>
    <w:rsid w:val="007F5905"/>
    <w:rsid w:val="00802364"/>
    <w:rsid w:val="00806F5F"/>
    <w:rsid w:val="00813898"/>
    <w:rsid w:val="00820278"/>
    <w:rsid w:val="00827ABF"/>
    <w:rsid w:val="00837234"/>
    <w:rsid w:val="00841997"/>
    <w:rsid w:val="008419B3"/>
    <w:rsid w:val="008564D4"/>
    <w:rsid w:val="008623DD"/>
    <w:rsid w:val="00874F3D"/>
    <w:rsid w:val="008843B6"/>
    <w:rsid w:val="00891928"/>
    <w:rsid w:val="008A446D"/>
    <w:rsid w:val="008B064C"/>
    <w:rsid w:val="008C66EC"/>
    <w:rsid w:val="008D180B"/>
    <w:rsid w:val="008E32B0"/>
    <w:rsid w:val="008E49CC"/>
    <w:rsid w:val="008F0EA7"/>
    <w:rsid w:val="00902C01"/>
    <w:rsid w:val="0090565C"/>
    <w:rsid w:val="00906554"/>
    <w:rsid w:val="00906764"/>
    <w:rsid w:val="00907A83"/>
    <w:rsid w:val="00922B67"/>
    <w:rsid w:val="00923EEF"/>
    <w:rsid w:val="00934586"/>
    <w:rsid w:val="009419F9"/>
    <w:rsid w:val="00945053"/>
    <w:rsid w:val="0095685E"/>
    <w:rsid w:val="00961B09"/>
    <w:rsid w:val="009641BE"/>
    <w:rsid w:val="00965334"/>
    <w:rsid w:val="0097093E"/>
    <w:rsid w:val="00972CF7"/>
    <w:rsid w:val="009A0DFA"/>
    <w:rsid w:val="009B2D26"/>
    <w:rsid w:val="009B7698"/>
    <w:rsid w:val="009C71FA"/>
    <w:rsid w:val="009C72E7"/>
    <w:rsid w:val="009D0EB3"/>
    <w:rsid w:val="009D3058"/>
    <w:rsid w:val="009D5BC0"/>
    <w:rsid w:val="009E0EAF"/>
    <w:rsid w:val="009F3A13"/>
    <w:rsid w:val="009F5F44"/>
    <w:rsid w:val="009F7B89"/>
    <w:rsid w:val="00A015A9"/>
    <w:rsid w:val="00A050E7"/>
    <w:rsid w:val="00A122D3"/>
    <w:rsid w:val="00A176CF"/>
    <w:rsid w:val="00A17F13"/>
    <w:rsid w:val="00A20739"/>
    <w:rsid w:val="00A33C78"/>
    <w:rsid w:val="00A65646"/>
    <w:rsid w:val="00A72947"/>
    <w:rsid w:val="00A755F4"/>
    <w:rsid w:val="00A77C62"/>
    <w:rsid w:val="00A83511"/>
    <w:rsid w:val="00A93563"/>
    <w:rsid w:val="00A952EB"/>
    <w:rsid w:val="00A9589E"/>
    <w:rsid w:val="00AA14AD"/>
    <w:rsid w:val="00AB0ADB"/>
    <w:rsid w:val="00AB12AA"/>
    <w:rsid w:val="00AC0A04"/>
    <w:rsid w:val="00AC7A81"/>
    <w:rsid w:val="00AE2E1F"/>
    <w:rsid w:val="00AF441A"/>
    <w:rsid w:val="00AF6E39"/>
    <w:rsid w:val="00B01B1A"/>
    <w:rsid w:val="00B1223C"/>
    <w:rsid w:val="00B166B3"/>
    <w:rsid w:val="00B2415F"/>
    <w:rsid w:val="00B44FF6"/>
    <w:rsid w:val="00B629F4"/>
    <w:rsid w:val="00B72CD3"/>
    <w:rsid w:val="00B72FFF"/>
    <w:rsid w:val="00B764CC"/>
    <w:rsid w:val="00B871C8"/>
    <w:rsid w:val="00BA3848"/>
    <w:rsid w:val="00BB65F9"/>
    <w:rsid w:val="00BB7127"/>
    <w:rsid w:val="00BC3D36"/>
    <w:rsid w:val="00BC6CD4"/>
    <w:rsid w:val="00BD7F72"/>
    <w:rsid w:val="00BE4F68"/>
    <w:rsid w:val="00BF0370"/>
    <w:rsid w:val="00BF4EEF"/>
    <w:rsid w:val="00C04FB3"/>
    <w:rsid w:val="00C20CC4"/>
    <w:rsid w:val="00C26AE1"/>
    <w:rsid w:val="00C330EB"/>
    <w:rsid w:val="00C4014D"/>
    <w:rsid w:val="00C54DF2"/>
    <w:rsid w:val="00C62C47"/>
    <w:rsid w:val="00C742C2"/>
    <w:rsid w:val="00C754BE"/>
    <w:rsid w:val="00C76B1C"/>
    <w:rsid w:val="00C8242A"/>
    <w:rsid w:val="00C833C1"/>
    <w:rsid w:val="00C85937"/>
    <w:rsid w:val="00C861BA"/>
    <w:rsid w:val="00C90CBC"/>
    <w:rsid w:val="00C933D7"/>
    <w:rsid w:val="00CB6357"/>
    <w:rsid w:val="00CC1B26"/>
    <w:rsid w:val="00CC2D85"/>
    <w:rsid w:val="00CD738F"/>
    <w:rsid w:val="00CF6C8D"/>
    <w:rsid w:val="00D0424C"/>
    <w:rsid w:val="00D20DD7"/>
    <w:rsid w:val="00D24E5D"/>
    <w:rsid w:val="00D32E24"/>
    <w:rsid w:val="00D33867"/>
    <w:rsid w:val="00D37EFC"/>
    <w:rsid w:val="00D40A92"/>
    <w:rsid w:val="00D423A2"/>
    <w:rsid w:val="00D520D8"/>
    <w:rsid w:val="00D5459B"/>
    <w:rsid w:val="00D61A7A"/>
    <w:rsid w:val="00D63AC2"/>
    <w:rsid w:val="00D7383B"/>
    <w:rsid w:val="00D843DB"/>
    <w:rsid w:val="00D915FB"/>
    <w:rsid w:val="00D93751"/>
    <w:rsid w:val="00D9401A"/>
    <w:rsid w:val="00DA231B"/>
    <w:rsid w:val="00DA23A0"/>
    <w:rsid w:val="00DB673C"/>
    <w:rsid w:val="00DC39FC"/>
    <w:rsid w:val="00DD3ED5"/>
    <w:rsid w:val="00DE0F55"/>
    <w:rsid w:val="00DE70C4"/>
    <w:rsid w:val="00DF5254"/>
    <w:rsid w:val="00E03095"/>
    <w:rsid w:val="00E13500"/>
    <w:rsid w:val="00E16408"/>
    <w:rsid w:val="00E20894"/>
    <w:rsid w:val="00E245AB"/>
    <w:rsid w:val="00E2764C"/>
    <w:rsid w:val="00E27F2E"/>
    <w:rsid w:val="00E413EA"/>
    <w:rsid w:val="00E41466"/>
    <w:rsid w:val="00E50086"/>
    <w:rsid w:val="00E50AFE"/>
    <w:rsid w:val="00E64185"/>
    <w:rsid w:val="00E64CB1"/>
    <w:rsid w:val="00E75C92"/>
    <w:rsid w:val="00E771DC"/>
    <w:rsid w:val="00E82798"/>
    <w:rsid w:val="00E842F0"/>
    <w:rsid w:val="00E8772A"/>
    <w:rsid w:val="00E90F6B"/>
    <w:rsid w:val="00E92C27"/>
    <w:rsid w:val="00E9328E"/>
    <w:rsid w:val="00E970D9"/>
    <w:rsid w:val="00E97180"/>
    <w:rsid w:val="00E97961"/>
    <w:rsid w:val="00EA0E3D"/>
    <w:rsid w:val="00EA5EA7"/>
    <w:rsid w:val="00EB1017"/>
    <w:rsid w:val="00EB5E66"/>
    <w:rsid w:val="00EC38A7"/>
    <w:rsid w:val="00EC766B"/>
    <w:rsid w:val="00EE1AA8"/>
    <w:rsid w:val="00EE230F"/>
    <w:rsid w:val="00EE4434"/>
    <w:rsid w:val="00F04479"/>
    <w:rsid w:val="00F0776E"/>
    <w:rsid w:val="00F13454"/>
    <w:rsid w:val="00F31EDC"/>
    <w:rsid w:val="00F36D42"/>
    <w:rsid w:val="00F462B3"/>
    <w:rsid w:val="00F47207"/>
    <w:rsid w:val="00F525F8"/>
    <w:rsid w:val="00F5664F"/>
    <w:rsid w:val="00F61C12"/>
    <w:rsid w:val="00F64AC9"/>
    <w:rsid w:val="00F65367"/>
    <w:rsid w:val="00F666C4"/>
    <w:rsid w:val="00F764E0"/>
    <w:rsid w:val="00F76AFC"/>
    <w:rsid w:val="00F813F9"/>
    <w:rsid w:val="00F87315"/>
    <w:rsid w:val="00FA47C0"/>
    <w:rsid w:val="00FB5DD1"/>
    <w:rsid w:val="00FC2B5D"/>
    <w:rsid w:val="00FC4575"/>
    <w:rsid w:val="00FC7887"/>
    <w:rsid w:val="00FD16F4"/>
    <w:rsid w:val="00FD48E8"/>
    <w:rsid w:val="00FE35F2"/>
    <w:rsid w:val="00FE38B6"/>
    <w:rsid w:val="00FE4172"/>
    <w:rsid w:val="00FF1449"/>
    <w:rsid w:val="00FF625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176CF"/>
    <w:rPr>
      <w:rFonts w:ascii="Geomanist Light" w:hAnsi="Geomanist Light"/>
      <w:lang w:val="es-ES"/>
    </w:rPr>
  </w:style>
  <w:style w:type="paragraph" w:customStyle="1" w:styleId="Appelnotedebasde">
    <w:name w:val="Appel note de bas de..."/>
    <w:basedOn w:val="Normal"/>
    <w:link w:val="Refdenotaalpie"/>
    <w:uiPriority w:val="99"/>
    <w:rsid w:val="00972CF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3439">
      <w:bodyDiv w:val="1"/>
      <w:marLeft w:val="0"/>
      <w:marRight w:val="0"/>
      <w:marTop w:val="0"/>
      <w:marBottom w:val="0"/>
      <w:divBdr>
        <w:top w:val="none" w:sz="0" w:space="0" w:color="auto"/>
        <w:left w:val="none" w:sz="0" w:space="0" w:color="auto"/>
        <w:bottom w:val="none" w:sz="0" w:space="0" w:color="auto"/>
        <w:right w:val="none" w:sz="0" w:space="0" w:color="auto"/>
      </w:divBdr>
    </w:div>
    <w:div w:id="45570160">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8229610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1460525">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07125186">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10363717">
      <w:bodyDiv w:val="1"/>
      <w:marLeft w:val="0"/>
      <w:marRight w:val="0"/>
      <w:marTop w:val="0"/>
      <w:marBottom w:val="0"/>
      <w:divBdr>
        <w:top w:val="none" w:sz="0" w:space="0" w:color="auto"/>
        <w:left w:val="none" w:sz="0" w:space="0" w:color="auto"/>
        <w:bottom w:val="none" w:sz="0" w:space="0" w:color="auto"/>
        <w:right w:val="none" w:sz="0" w:space="0" w:color="auto"/>
      </w:divBdr>
    </w:div>
    <w:div w:id="1617759739">
      <w:bodyDiv w:val="1"/>
      <w:marLeft w:val="0"/>
      <w:marRight w:val="0"/>
      <w:marTop w:val="0"/>
      <w:marBottom w:val="0"/>
      <w:divBdr>
        <w:top w:val="none" w:sz="0" w:space="0" w:color="auto"/>
        <w:left w:val="none" w:sz="0" w:space="0" w:color="auto"/>
        <w:bottom w:val="none" w:sz="0" w:space="0" w:color="auto"/>
        <w:right w:val="none" w:sz="0" w:space="0" w:color="auto"/>
      </w:divBdr>
    </w:div>
    <w:div w:id="1619946002">
      <w:bodyDiv w:val="1"/>
      <w:marLeft w:val="0"/>
      <w:marRight w:val="0"/>
      <w:marTop w:val="0"/>
      <w:marBottom w:val="0"/>
      <w:divBdr>
        <w:top w:val="none" w:sz="0" w:space="0" w:color="auto"/>
        <w:left w:val="none" w:sz="0" w:space="0" w:color="auto"/>
        <w:bottom w:val="none" w:sz="0" w:space="0" w:color="auto"/>
        <w:right w:val="none" w:sz="0" w:space="0" w:color="auto"/>
      </w:divBdr>
    </w:div>
    <w:div w:id="197540463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1497991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documents/guia_para_promover_la_participacion_de_las_mipymes_en_los_procesos_de_compra_publica_cce-gad-gi-26_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ficacionjudicial@guacari-valle.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sisjur/home/Norma1.jsp?i=25678" TargetMode="External"/><Relationship Id="rId2" Type="http://schemas.openxmlformats.org/officeDocument/2006/relationships/hyperlink" Target="https://www.funcionpublica.gov.co/sisjur/home/Norma1.jsp?i=25678" TargetMode="External"/><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8ae15d26-076e-464e-81a7-6f76a0fb3917"/>
    <ds:schemaRef ds:uri="36c82cfe-0eda-494d-b392-a9281b89aaf0"/>
    <ds:schemaRef ds:uri="http://www.w3.org/XML/1998/namespace"/>
  </ds:schemaRefs>
</ds:datastoreItem>
</file>

<file path=customXml/itemProps2.xml><?xml version="1.0" encoding="utf-8"?>
<ds:datastoreItem xmlns:ds="http://schemas.openxmlformats.org/officeDocument/2006/customXml" ds:itemID="{0FC03766-07FD-4BF4-9845-1DF2905BF0C6}"/>
</file>

<file path=customXml/itemProps3.xml><?xml version="1.0" encoding="utf-8"?>
<ds:datastoreItem xmlns:ds="http://schemas.openxmlformats.org/officeDocument/2006/customXml" ds:itemID="{6AEEEF3F-E361-4966-BB0A-5C84A04AF7F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5162</Words>
  <Characters>28397</Characters>
  <Application>Microsoft Office Word</Application>
  <DocSecurity>0</DocSecurity>
  <Lines>236</Lines>
  <Paragraphs>66</Paragraphs>
  <ScaleCrop>false</ScaleCrop>
  <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73</cp:revision>
  <cp:lastPrinted>2023-01-10T21:18:00Z</cp:lastPrinted>
  <dcterms:created xsi:type="dcterms:W3CDTF">2024-09-26T23:25:00Z</dcterms:created>
  <dcterms:modified xsi:type="dcterms:W3CDTF">2024-09-30T23:10:00Z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