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402E" w14:textId="77777777" w:rsidR="00BC3F2A" w:rsidRPr="00BC3F2A" w:rsidRDefault="00BC3F2A" w:rsidP="00BC3F2A">
      <w:pPr>
        <w:spacing w:after="0" w:line="240" w:lineRule="auto"/>
        <w:rPr>
          <w:rFonts w:ascii="Verdana" w:eastAsia="Geomanist Light" w:hAnsi="Verdana" w:cs="Arial"/>
          <w:b/>
        </w:rPr>
      </w:pPr>
      <w:r w:rsidRPr="00BC3F2A">
        <w:rPr>
          <w:rFonts w:ascii="Verdana" w:eastAsia="Geomanist Light" w:hAnsi="Verdana" w:cs="Arial"/>
          <w:b/>
        </w:rPr>
        <w:t xml:space="preserve">SUPERVISIÓN – Noción ‒ </w:t>
      </w:r>
      <w:r w:rsidRPr="00BC3F2A">
        <w:rPr>
          <w:rFonts w:ascii="Verdana" w:eastAsia="Geomanist Light" w:hAnsi="Verdana" w:cs="Arial"/>
          <w:b/>
          <w:bCs/>
        </w:rPr>
        <w:t xml:space="preserve">Ley 1474 de 2011 </w:t>
      </w:r>
    </w:p>
    <w:p w14:paraId="745BD988" w14:textId="77777777" w:rsidR="00BC3F2A" w:rsidRPr="00BC3F2A" w:rsidRDefault="00BC3F2A" w:rsidP="00BC3F2A">
      <w:pPr>
        <w:spacing w:after="0" w:line="240" w:lineRule="auto"/>
        <w:rPr>
          <w:rFonts w:ascii="Verdana" w:eastAsia="Geomanist Light" w:hAnsi="Verdana" w:cs="Arial"/>
          <w:b/>
        </w:rPr>
      </w:pPr>
    </w:p>
    <w:p w14:paraId="02B538C9" w14:textId="33952250" w:rsidR="00BC3F2A" w:rsidRDefault="00BC3F2A" w:rsidP="00BC3F2A">
      <w:pPr>
        <w:spacing w:after="0" w:line="240" w:lineRule="auto"/>
        <w:jc w:val="both"/>
        <w:rPr>
          <w:rFonts w:ascii="Verdana" w:eastAsia="Geomanist Light" w:hAnsi="Verdana" w:cs="Arial"/>
          <w:bCs/>
        </w:rPr>
      </w:pPr>
      <w:r w:rsidRPr="00BC3F2A">
        <w:rPr>
          <w:rFonts w:ascii="Verdana" w:eastAsia="Geomanist Light" w:hAnsi="Verdana" w:cs="Arial"/>
          <w:bCs/>
        </w:rPr>
        <w:t xml:space="preserve">La Ley 1474 de 2011 enmarcó el seguimiento, control y vigilancia de la ejecución del contrato estatal dentro del principio de moralidad administrativa. El artículo 83 ibidem establece que </w:t>
      </w:r>
      <w:r>
        <w:rPr>
          <w:rFonts w:ascii="Verdana" w:eastAsia="Geomanist Light" w:hAnsi="Verdana" w:cs="Arial"/>
          <w:bCs/>
        </w:rPr>
        <w:t>“</w:t>
      </w:r>
      <w:r w:rsidRPr="00BC3F2A">
        <w:rPr>
          <w:rFonts w:ascii="Verdana" w:eastAsia="Geomanist Light" w:hAnsi="Verdana" w:cs="Arial"/>
          <w:bCs/>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Verdana" w:eastAsia="Geomanist Light" w:hAnsi="Verdana" w:cs="Arial"/>
          <w:bCs/>
        </w:rPr>
        <w:t>”</w:t>
      </w:r>
      <w:r w:rsidRPr="00BC3F2A">
        <w:rPr>
          <w:rFonts w:ascii="Verdana" w:eastAsia="Geomanist Light" w:hAnsi="Verdana" w:cs="Arial"/>
          <w:bCs/>
        </w:rPr>
        <w:t>.</w:t>
      </w:r>
    </w:p>
    <w:p w14:paraId="18A41CB1" w14:textId="77777777" w:rsidR="00BC3F2A" w:rsidRDefault="00BC3F2A" w:rsidP="00BC3F2A">
      <w:pPr>
        <w:spacing w:after="0" w:line="240" w:lineRule="auto"/>
        <w:jc w:val="both"/>
        <w:rPr>
          <w:rFonts w:ascii="Verdana" w:eastAsia="Geomanist Light" w:hAnsi="Verdana" w:cs="Arial"/>
          <w:bCs/>
        </w:rPr>
      </w:pPr>
    </w:p>
    <w:p w14:paraId="31520A5C" w14:textId="77777777" w:rsidR="00BC3F2A" w:rsidRDefault="00BC3F2A" w:rsidP="00BC3F2A">
      <w:pPr>
        <w:spacing w:after="0" w:line="240" w:lineRule="auto"/>
        <w:jc w:val="both"/>
        <w:rPr>
          <w:rFonts w:ascii="Verdana" w:eastAsia="Geomanist Light" w:hAnsi="Verdana" w:cs="Arial"/>
          <w:bCs/>
        </w:rPr>
      </w:pPr>
    </w:p>
    <w:p w14:paraId="5726941F" w14:textId="414930C6" w:rsidR="00BC3F2A" w:rsidRPr="00BC3F2A" w:rsidRDefault="00BC3F2A" w:rsidP="00BC3F2A">
      <w:pPr>
        <w:spacing w:after="0" w:line="240" w:lineRule="auto"/>
        <w:jc w:val="both"/>
        <w:rPr>
          <w:rFonts w:ascii="Verdana" w:eastAsia="Geomanist Light" w:hAnsi="Verdana" w:cs="Arial"/>
          <w:b/>
          <w:bCs/>
          <w:lang w:val="es-MX"/>
        </w:rPr>
      </w:pPr>
      <w:r w:rsidRPr="00BC3F2A">
        <w:rPr>
          <w:rFonts w:ascii="Verdana" w:eastAsia="Geomanist Light" w:hAnsi="Verdana" w:cs="Arial"/>
          <w:b/>
          <w:bCs/>
          <w:lang w:val="es-MX"/>
        </w:rPr>
        <w:t xml:space="preserve">SUPERVISIÓN – Designación </w:t>
      </w:r>
    </w:p>
    <w:p w14:paraId="7E0D408D" w14:textId="77777777" w:rsidR="00BC3F2A" w:rsidRPr="00BC3F2A" w:rsidRDefault="00BC3F2A" w:rsidP="00BC3F2A">
      <w:pPr>
        <w:spacing w:after="0" w:line="240" w:lineRule="auto"/>
        <w:jc w:val="both"/>
        <w:rPr>
          <w:rFonts w:ascii="Verdana" w:eastAsia="Geomanist Light" w:hAnsi="Verdana" w:cs="Arial"/>
          <w:b/>
          <w:bCs/>
          <w:lang w:val="es-MX"/>
        </w:rPr>
      </w:pPr>
    </w:p>
    <w:p w14:paraId="5D725283" w14:textId="2FE0E942" w:rsidR="00BC3F2A" w:rsidRPr="00BC3F2A" w:rsidRDefault="00BC3F2A" w:rsidP="00BC3F2A">
      <w:pPr>
        <w:spacing w:after="0" w:line="240" w:lineRule="auto"/>
        <w:jc w:val="both"/>
        <w:rPr>
          <w:rFonts w:ascii="Verdana" w:eastAsia="Geomanist Light" w:hAnsi="Verdana" w:cs="Arial"/>
          <w:bCs/>
          <w:lang w:val="es-MX"/>
        </w:rPr>
      </w:pPr>
      <w:r w:rsidRPr="00BC3F2A">
        <w:rPr>
          <w:rFonts w:ascii="Verdana" w:eastAsia="Geomanist Light" w:hAnsi="Verdana" w:cs="Arial"/>
          <w:bCs/>
          <w:lang w:val="es-MX"/>
        </w:rPr>
        <w:t>En consecuencia, la designación podrá hacerse por el representante legal de la entidad o por el ordenador del gasto, en caso de que esta función se encuentre delegada, después de iniciada la planeación del contrato, pero a más tardar en  al momento de la adjudicación, sin perjuicio de las funciones  que se definan en el pliego de condiciones, en cláusulas del contrato, en el manual de contratación o en el acto por medio del cual se asigne la función al servidor público escogido para ejercer la supervisión</w:t>
      </w:r>
      <w:r>
        <w:rPr>
          <w:rFonts w:ascii="Verdana" w:eastAsia="Geomanist Light" w:hAnsi="Verdana" w:cs="Arial"/>
          <w:bCs/>
          <w:lang w:val="es-MX"/>
        </w:rPr>
        <w:t>.</w:t>
      </w:r>
    </w:p>
    <w:p w14:paraId="2A7A7FDF" w14:textId="77777777" w:rsidR="00BC3F2A" w:rsidRPr="00BC3F2A" w:rsidRDefault="00BC3F2A" w:rsidP="00BC3F2A">
      <w:pPr>
        <w:spacing w:after="0" w:line="240" w:lineRule="auto"/>
        <w:jc w:val="both"/>
        <w:rPr>
          <w:rFonts w:ascii="Verdana" w:eastAsia="Geomanist Light" w:hAnsi="Verdana" w:cs="Arial"/>
          <w:bCs/>
        </w:rPr>
      </w:pPr>
    </w:p>
    <w:p w14:paraId="280D1AFA" w14:textId="77777777" w:rsidR="00BC3F2A" w:rsidRDefault="00BC3F2A" w:rsidP="003823D3">
      <w:pPr>
        <w:spacing w:after="0" w:line="240" w:lineRule="auto"/>
        <w:rPr>
          <w:rFonts w:ascii="Verdana" w:eastAsia="Geomanist Light" w:hAnsi="Verdana" w:cs="Arial"/>
          <w:lang w:val="es-MX"/>
        </w:rPr>
      </w:pPr>
    </w:p>
    <w:p w14:paraId="7883A22B" w14:textId="77777777" w:rsidR="00BC3F2A" w:rsidRDefault="00BC3F2A" w:rsidP="003823D3">
      <w:pPr>
        <w:spacing w:after="0" w:line="240" w:lineRule="auto"/>
        <w:rPr>
          <w:rFonts w:ascii="Verdana" w:eastAsia="Geomanist Light" w:hAnsi="Verdana" w:cs="Arial"/>
          <w:lang w:val="es-MX"/>
        </w:rPr>
      </w:pPr>
    </w:p>
    <w:p w14:paraId="7D788C1B" w14:textId="77777777" w:rsidR="00BC3F2A" w:rsidRDefault="00BC3F2A" w:rsidP="003823D3">
      <w:pPr>
        <w:spacing w:after="0" w:line="240" w:lineRule="auto"/>
        <w:rPr>
          <w:rFonts w:ascii="Verdana" w:eastAsia="Geomanist Light" w:hAnsi="Verdana" w:cs="Arial"/>
          <w:lang w:val="es-MX"/>
        </w:rPr>
      </w:pPr>
    </w:p>
    <w:p w14:paraId="6F254B8A" w14:textId="77777777" w:rsidR="00BC3F2A" w:rsidRDefault="00BC3F2A" w:rsidP="003823D3">
      <w:pPr>
        <w:spacing w:after="0" w:line="240" w:lineRule="auto"/>
        <w:rPr>
          <w:rFonts w:ascii="Verdana" w:eastAsia="Geomanist Light" w:hAnsi="Verdana" w:cs="Arial"/>
          <w:lang w:val="es-MX"/>
        </w:rPr>
      </w:pPr>
    </w:p>
    <w:p w14:paraId="385DA794" w14:textId="77777777" w:rsidR="00BC3F2A" w:rsidRDefault="00BC3F2A" w:rsidP="003823D3">
      <w:pPr>
        <w:spacing w:after="0" w:line="240" w:lineRule="auto"/>
        <w:rPr>
          <w:rFonts w:ascii="Verdana" w:eastAsia="Geomanist Light" w:hAnsi="Verdana" w:cs="Arial"/>
          <w:lang w:val="es-MX"/>
        </w:rPr>
      </w:pPr>
    </w:p>
    <w:p w14:paraId="27256838" w14:textId="77777777" w:rsidR="00BC3F2A" w:rsidRDefault="00BC3F2A" w:rsidP="003823D3">
      <w:pPr>
        <w:spacing w:after="0" w:line="240" w:lineRule="auto"/>
        <w:rPr>
          <w:rFonts w:ascii="Verdana" w:eastAsia="Geomanist Light" w:hAnsi="Verdana" w:cs="Arial"/>
          <w:lang w:val="es-MX"/>
        </w:rPr>
      </w:pPr>
    </w:p>
    <w:p w14:paraId="062F83E9" w14:textId="77777777" w:rsidR="00BC3F2A" w:rsidRDefault="00BC3F2A" w:rsidP="003823D3">
      <w:pPr>
        <w:spacing w:after="0" w:line="240" w:lineRule="auto"/>
        <w:rPr>
          <w:rFonts w:ascii="Verdana" w:eastAsia="Geomanist Light" w:hAnsi="Verdana" w:cs="Arial"/>
          <w:lang w:val="es-MX"/>
        </w:rPr>
      </w:pPr>
    </w:p>
    <w:p w14:paraId="3B8898E5" w14:textId="77777777" w:rsidR="00BC3F2A" w:rsidRDefault="00BC3F2A" w:rsidP="003823D3">
      <w:pPr>
        <w:spacing w:after="0" w:line="240" w:lineRule="auto"/>
        <w:rPr>
          <w:rFonts w:ascii="Verdana" w:eastAsia="Geomanist Light" w:hAnsi="Verdana" w:cs="Arial"/>
          <w:lang w:val="es-MX"/>
        </w:rPr>
      </w:pPr>
    </w:p>
    <w:p w14:paraId="7B3AADDE" w14:textId="77777777" w:rsidR="00BC3F2A" w:rsidRDefault="00BC3F2A" w:rsidP="003823D3">
      <w:pPr>
        <w:spacing w:after="0" w:line="240" w:lineRule="auto"/>
        <w:rPr>
          <w:rFonts w:ascii="Verdana" w:eastAsia="Geomanist Light" w:hAnsi="Verdana" w:cs="Arial"/>
          <w:lang w:val="es-MX"/>
        </w:rPr>
      </w:pPr>
    </w:p>
    <w:p w14:paraId="7C94B740" w14:textId="77777777" w:rsidR="00BC3F2A" w:rsidRDefault="00BC3F2A" w:rsidP="003823D3">
      <w:pPr>
        <w:spacing w:after="0" w:line="240" w:lineRule="auto"/>
        <w:rPr>
          <w:rFonts w:ascii="Verdana" w:eastAsia="Geomanist Light" w:hAnsi="Verdana" w:cs="Arial"/>
          <w:lang w:val="es-MX"/>
        </w:rPr>
      </w:pPr>
    </w:p>
    <w:p w14:paraId="6FB033ED" w14:textId="77777777" w:rsidR="00BC3F2A" w:rsidRDefault="00BC3F2A" w:rsidP="003823D3">
      <w:pPr>
        <w:spacing w:after="0" w:line="240" w:lineRule="auto"/>
        <w:rPr>
          <w:rFonts w:ascii="Verdana" w:eastAsia="Geomanist Light" w:hAnsi="Verdana" w:cs="Arial"/>
          <w:lang w:val="es-MX"/>
        </w:rPr>
      </w:pPr>
    </w:p>
    <w:p w14:paraId="7FA08522" w14:textId="77777777" w:rsidR="00BC3F2A" w:rsidRDefault="00BC3F2A" w:rsidP="003823D3">
      <w:pPr>
        <w:spacing w:after="0" w:line="240" w:lineRule="auto"/>
        <w:rPr>
          <w:rFonts w:ascii="Verdana" w:eastAsia="Geomanist Light" w:hAnsi="Verdana" w:cs="Arial"/>
          <w:lang w:val="es-MX"/>
        </w:rPr>
      </w:pPr>
    </w:p>
    <w:p w14:paraId="14D143A4" w14:textId="77777777" w:rsidR="00BC3F2A" w:rsidRDefault="00BC3F2A" w:rsidP="003823D3">
      <w:pPr>
        <w:spacing w:after="0" w:line="240" w:lineRule="auto"/>
        <w:rPr>
          <w:rFonts w:ascii="Verdana" w:eastAsia="Geomanist Light" w:hAnsi="Verdana" w:cs="Arial"/>
          <w:lang w:val="es-MX"/>
        </w:rPr>
      </w:pPr>
    </w:p>
    <w:p w14:paraId="5491E920" w14:textId="77777777" w:rsidR="00BC3F2A" w:rsidRDefault="00BC3F2A" w:rsidP="003823D3">
      <w:pPr>
        <w:spacing w:after="0" w:line="240" w:lineRule="auto"/>
        <w:rPr>
          <w:rFonts w:ascii="Verdana" w:eastAsia="Geomanist Light" w:hAnsi="Verdana" w:cs="Arial"/>
          <w:lang w:val="es-MX"/>
        </w:rPr>
      </w:pPr>
    </w:p>
    <w:p w14:paraId="0957BDD7" w14:textId="77777777" w:rsidR="00BC3F2A" w:rsidRDefault="00BC3F2A" w:rsidP="003823D3">
      <w:pPr>
        <w:spacing w:after="0" w:line="240" w:lineRule="auto"/>
        <w:rPr>
          <w:rFonts w:ascii="Verdana" w:eastAsia="Geomanist Light" w:hAnsi="Verdana" w:cs="Arial"/>
          <w:lang w:val="es-MX"/>
        </w:rPr>
      </w:pPr>
    </w:p>
    <w:p w14:paraId="4604DB51" w14:textId="77777777" w:rsidR="00BC3F2A" w:rsidRDefault="00BC3F2A" w:rsidP="003823D3">
      <w:pPr>
        <w:spacing w:after="0" w:line="240" w:lineRule="auto"/>
        <w:rPr>
          <w:rFonts w:ascii="Verdana" w:eastAsia="Geomanist Light" w:hAnsi="Verdana" w:cs="Arial"/>
          <w:lang w:val="es-MX"/>
        </w:rPr>
      </w:pPr>
    </w:p>
    <w:p w14:paraId="1CF8A139" w14:textId="77777777" w:rsidR="00BC3F2A" w:rsidRDefault="00BC3F2A" w:rsidP="003823D3">
      <w:pPr>
        <w:spacing w:after="0" w:line="240" w:lineRule="auto"/>
        <w:rPr>
          <w:rFonts w:ascii="Verdana" w:eastAsia="Geomanist Light" w:hAnsi="Verdana" w:cs="Arial"/>
          <w:lang w:val="es-MX"/>
        </w:rPr>
      </w:pPr>
    </w:p>
    <w:p w14:paraId="0F751E9B" w14:textId="77777777" w:rsidR="00BC3F2A" w:rsidRDefault="00BC3F2A" w:rsidP="003823D3">
      <w:pPr>
        <w:spacing w:after="0" w:line="240" w:lineRule="auto"/>
        <w:rPr>
          <w:rFonts w:ascii="Verdana" w:eastAsia="Geomanist Light" w:hAnsi="Verdana" w:cs="Arial"/>
          <w:lang w:val="es-MX"/>
        </w:rPr>
      </w:pPr>
    </w:p>
    <w:p w14:paraId="6392ECFD" w14:textId="77777777" w:rsidR="00BC3F2A" w:rsidRDefault="00BC3F2A" w:rsidP="003823D3">
      <w:pPr>
        <w:spacing w:after="0" w:line="240" w:lineRule="auto"/>
        <w:rPr>
          <w:rFonts w:ascii="Verdana" w:eastAsia="Geomanist Light" w:hAnsi="Verdana" w:cs="Arial"/>
          <w:lang w:val="es-MX"/>
        </w:rPr>
      </w:pPr>
    </w:p>
    <w:p w14:paraId="415A2C74" w14:textId="77777777" w:rsidR="00BC3F2A" w:rsidRDefault="00BC3F2A" w:rsidP="003823D3">
      <w:pPr>
        <w:spacing w:after="0" w:line="240" w:lineRule="auto"/>
        <w:rPr>
          <w:rFonts w:ascii="Verdana" w:eastAsia="Geomanist Light" w:hAnsi="Verdana" w:cs="Arial"/>
          <w:lang w:val="es-MX"/>
        </w:rPr>
      </w:pPr>
    </w:p>
    <w:p w14:paraId="2A719040" w14:textId="77777777" w:rsidR="00BC3F2A" w:rsidRDefault="00BC3F2A" w:rsidP="003823D3">
      <w:pPr>
        <w:spacing w:after="0" w:line="240" w:lineRule="auto"/>
        <w:rPr>
          <w:rFonts w:ascii="Verdana" w:eastAsia="Geomanist Light" w:hAnsi="Verdana" w:cs="Arial"/>
          <w:lang w:val="es-MX"/>
        </w:rPr>
      </w:pPr>
    </w:p>
    <w:p w14:paraId="5FD973A6" w14:textId="77777777" w:rsidR="00BC3F2A" w:rsidRDefault="00BC3F2A" w:rsidP="003823D3">
      <w:pPr>
        <w:spacing w:after="0" w:line="240" w:lineRule="auto"/>
        <w:rPr>
          <w:rFonts w:ascii="Verdana" w:eastAsia="Geomanist Light" w:hAnsi="Verdana" w:cs="Arial"/>
          <w:lang w:val="es-MX"/>
        </w:rPr>
      </w:pPr>
    </w:p>
    <w:p w14:paraId="2CA5DBDA" w14:textId="77777777" w:rsidR="00BC3F2A" w:rsidRDefault="00BC3F2A" w:rsidP="003823D3">
      <w:pPr>
        <w:spacing w:after="0" w:line="240" w:lineRule="auto"/>
        <w:rPr>
          <w:rFonts w:ascii="Verdana" w:eastAsia="Geomanist Light" w:hAnsi="Verdana" w:cs="Arial"/>
          <w:lang w:val="es-MX"/>
        </w:rPr>
      </w:pPr>
    </w:p>
    <w:p w14:paraId="79952705" w14:textId="343692AE" w:rsidR="003823D3" w:rsidRPr="009322DA" w:rsidRDefault="003823D3" w:rsidP="003823D3">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6A06D177" w14:textId="465A525F" w:rsidR="003823D3" w:rsidRPr="009322DA" w:rsidRDefault="00BC3F2A" w:rsidP="003823D3">
      <w:pPr>
        <w:spacing w:after="0" w:line="240" w:lineRule="auto"/>
        <w:jc w:val="both"/>
        <w:rPr>
          <w:rFonts w:ascii="Verdana" w:eastAsia="Calibri" w:hAnsi="Verdana" w:cs="Arial"/>
          <w:lang w:val="es-ES"/>
        </w:rPr>
      </w:pPr>
      <w:r w:rsidRPr="00BC3F2A">
        <w:rPr>
          <w:rFonts w:ascii="Verdana" w:eastAsia="Calibri" w:hAnsi="Verdana" w:cs="Arial"/>
          <w:lang w:val="es-ES"/>
        </w:rPr>
        <w:drawing>
          <wp:anchor distT="0" distB="0" distL="114300" distR="114300" simplePos="0" relativeHeight="251658240" behindDoc="1" locked="0" layoutInCell="1" allowOverlap="1" wp14:anchorId="1216E05B" wp14:editId="5BA81B9E">
            <wp:simplePos x="0" y="0"/>
            <wp:positionH relativeFrom="column">
              <wp:posOffset>2760345</wp:posOffset>
            </wp:positionH>
            <wp:positionV relativeFrom="paragraph">
              <wp:posOffset>57150</wp:posOffset>
            </wp:positionV>
            <wp:extent cx="3677163" cy="1066949"/>
            <wp:effectExtent l="0" t="0" r="0" b="0"/>
            <wp:wrapTight wrapText="bothSides">
              <wp:wrapPolygon edited="0">
                <wp:start x="0" y="0"/>
                <wp:lineTo x="0" y="21214"/>
                <wp:lineTo x="21488" y="21214"/>
                <wp:lineTo x="21488" y="0"/>
                <wp:lineTo x="0" y="0"/>
              </wp:wrapPolygon>
            </wp:wrapTight>
            <wp:docPr id="179500683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06839" name="Imagen 1"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77163" cy="1066949"/>
                    </a:xfrm>
                    <a:prstGeom prst="rect">
                      <a:avLst/>
                    </a:prstGeom>
                  </pic:spPr>
                </pic:pic>
              </a:graphicData>
            </a:graphic>
          </wp:anchor>
        </w:drawing>
      </w:r>
    </w:p>
    <w:p w14:paraId="229EBCBE" w14:textId="77777777" w:rsidR="003823D3" w:rsidRDefault="003823D3" w:rsidP="003823D3">
      <w:pPr>
        <w:spacing w:after="0" w:line="240" w:lineRule="auto"/>
        <w:rPr>
          <w:rFonts w:ascii="Verdana" w:eastAsia="Calibri" w:hAnsi="Verdana" w:cs="Arial"/>
          <w:lang w:val="es-MX" w:eastAsia="es-ES"/>
        </w:rPr>
      </w:pPr>
    </w:p>
    <w:p w14:paraId="30717C0E" w14:textId="77777777" w:rsidR="00BC3F2A" w:rsidRDefault="00BC3F2A" w:rsidP="003823D3">
      <w:pPr>
        <w:spacing w:after="0" w:line="240" w:lineRule="auto"/>
        <w:rPr>
          <w:rFonts w:ascii="Verdana" w:eastAsia="Calibri" w:hAnsi="Verdana" w:cs="Arial"/>
          <w:lang w:val="es-MX" w:eastAsia="es-ES"/>
        </w:rPr>
      </w:pPr>
    </w:p>
    <w:p w14:paraId="5967B5A3" w14:textId="77777777" w:rsidR="00BC3F2A" w:rsidRPr="009322DA" w:rsidRDefault="00BC3F2A" w:rsidP="003823D3">
      <w:pPr>
        <w:spacing w:after="0" w:line="240" w:lineRule="auto"/>
        <w:rPr>
          <w:rFonts w:ascii="Verdana" w:eastAsia="Calibri" w:hAnsi="Verdana" w:cs="Arial"/>
          <w:lang w:val="es-MX" w:eastAsia="es-ES"/>
        </w:rPr>
      </w:pPr>
    </w:p>
    <w:p w14:paraId="3EBB77D3" w14:textId="77777777" w:rsidR="003823D3" w:rsidRPr="009322DA" w:rsidRDefault="003823D3" w:rsidP="003823D3">
      <w:pPr>
        <w:spacing w:after="0" w:line="240" w:lineRule="auto"/>
        <w:rPr>
          <w:rFonts w:ascii="Verdana" w:eastAsia="Calibri" w:hAnsi="Verdana" w:cs="Arial"/>
          <w:lang w:val="es-MX" w:eastAsia="es-ES"/>
        </w:rPr>
      </w:pPr>
    </w:p>
    <w:p w14:paraId="38F0B956" w14:textId="77777777" w:rsidR="003823D3" w:rsidRPr="009322DA" w:rsidRDefault="003823D3" w:rsidP="003823D3">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r>
        <w:rPr>
          <w:rFonts w:ascii="Verdana" w:eastAsia="Calibri" w:hAnsi="Verdana" w:cs="Arial"/>
          <w:lang w:val="es-MX" w:eastAsia="es-ES"/>
        </w:rPr>
        <w:t>a</w:t>
      </w:r>
    </w:p>
    <w:p w14:paraId="0602F05D" w14:textId="77777777" w:rsidR="003823D3" w:rsidRPr="009322DA" w:rsidRDefault="003823D3" w:rsidP="003823D3">
      <w:pPr>
        <w:spacing w:after="0" w:line="240" w:lineRule="auto"/>
        <w:rPr>
          <w:rFonts w:ascii="Verdana" w:eastAsia="Calibri" w:hAnsi="Verdana" w:cs="Arial"/>
          <w:b/>
          <w:bCs/>
          <w:lang w:val="es-MX" w:eastAsia="es-ES"/>
        </w:rPr>
      </w:pPr>
      <w:proofErr w:type="spellStart"/>
      <w:r>
        <w:rPr>
          <w:rFonts w:ascii="Verdana" w:eastAsia="Calibri" w:hAnsi="Verdana" w:cs="Arial"/>
          <w:b/>
          <w:bCs/>
          <w:lang w:val="es-MX" w:eastAsia="es-ES"/>
        </w:rPr>
        <w:t>Araly</w:t>
      </w:r>
      <w:proofErr w:type="spellEnd"/>
      <w:r>
        <w:rPr>
          <w:rFonts w:ascii="Verdana" w:eastAsia="Calibri" w:hAnsi="Verdana" w:cs="Arial"/>
          <w:b/>
          <w:bCs/>
          <w:lang w:val="es-MX" w:eastAsia="es-ES"/>
        </w:rPr>
        <w:t xml:space="preserve"> Lucero Zuluaga Yoli</w:t>
      </w:r>
    </w:p>
    <w:p w14:paraId="39CBC447" w14:textId="77777777" w:rsidR="003823D3" w:rsidRPr="009322DA" w:rsidRDefault="003823D3" w:rsidP="003823D3">
      <w:pPr>
        <w:spacing w:after="0" w:line="240" w:lineRule="auto"/>
        <w:rPr>
          <w:rFonts w:ascii="Verdana" w:eastAsia="Calibri" w:hAnsi="Verdana" w:cs="Arial"/>
          <w:lang w:val="es-MX" w:eastAsia="es-ES"/>
        </w:rPr>
      </w:pPr>
      <w:hyperlink r:id="rId12" w:history="1">
        <w:r w:rsidRPr="00F20D97">
          <w:rPr>
            <w:rStyle w:val="Hipervnculo"/>
            <w:rFonts w:ascii="Verdana" w:eastAsia="Calibri" w:hAnsi="Verdana" w:cs="Arial"/>
            <w:lang w:val="es-MX" w:eastAsia="es-ES"/>
          </w:rPr>
          <w:t>alzuluaga@valledelcauca.gov.co</w:t>
        </w:r>
      </w:hyperlink>
    </w:p>
    <w:p w14:paraId="59359CE0" w14:textId="77777777" w:rsidR="003823D3" w:rsidRPr="009322DA" w:rsidRDefault="003823D3" w:rsidP="003823D3">
      <w:pPr>
        <w:spacing w:after="0" w:line="240" w:lineRule="auto"/>
        <w:rPr>
          <w:rFonts w:ascii="Verdana" w:eastAsia="Calibri" w:hAnsi="Verdana" w:cs="Arial"/>
          <w:b/>
          <w:bCs/>
          <w:lang w:val="es-ES" w:eastAsia="es-ES"/>
        </w:rPr>
      </w:pPr>
      <w:r>
        <w:rPr>
          <w:rFonts w:ascii="Verdana" w:eastAsia="Calibri" w:hAnsi="Verdana" w:cs="Arial"/>
          <w:lang w:val="es-MX" w:eastAsia="es-ES"/>
        </w:rPr>
        <w:t>Cali, Valle del Cauca</w:t>
      </w:r>
    </w:p>
    <w:p w14:paraId="78D02958" w14:textId="77777777" w:rsidR="003823D3" w:rsidRPr="009322DA" w:rsidRDefault="003823D3" w:rsidP="003823D3">
      <w:pPr>
        <w:spacing w:after="0" w:line="240" w:lineRule="auto"/>
        <w:rPr>
          <w:rFonts w:ascii="Verdana" w:eastAsia="Calibri" w:hAnsi="Verdana" w:cs="Arial"/>
          <w:b/>
          <w:bCs/>
          <w:lang w:val="es-ES_tradnl" w:eastAsia="es-ES_tradnl"/>
        </w:rPr>
      </w:pPr>
    </w:p>
    <w:p w14:paraId="64CF0B5B" w14:textId="77777777" w:rsidR="003823D3" w:rsidRPr="009322DA" w:rsidRDefault="003823D3" w:rsidP="003823D3">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823D3" w:rsidRPr="009322DA" w14:paraId="69F9FB0B" w14:textId="77777777" w:rsidTr="002811D0">
        <w:trPr>
          <w:trHeight w:val="884"/>
        </w:trPr>
        <w:tc>
          <w:tcPr>
            <w:tcW w:w="2689" w:type="dxa"/>
          </w:tcPr>
          <w:p w14:paraId="75F37B98" w14:textId="77777777" w:rsidR="003823D3" w:rsidRPr="009322DA" w:rsidRDefault="003823D3" w:rsidP="002811D0">
            <w:pPr>
              <w:jc w:val="both"/>
              <w:rPr>
                <w:rFonts w:ascii="Verdana" w:hAnsi="Verdana" w:cs="Arial"/>
                <w:b/>
                <w:bCs/>
                <w:lang w:val="es-ES_tradnl" w:eastAsia="es-ES_tradnl"/>
              </w:rPr>
            </w:pPr>
          </w:p>
        </w:tc>
        <w:tc>
          <w:tcPr>
            <w:tcW w:w="6100" w:type="dxa"/>
            <w:hideMark/>
          </w:tcPr>
          <w:p w14:paraId="18D978BF" w14:textId="77777777" w:rsidR="003823D3" w:rsidRPr="009322DA" w:rsidRDefault="003823D3" w:rsidP="002811D0">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521</w:t>
            </w:r>
            <w:r w:rsidRPr="009322DA">
              <w:rPr>
                <w:rFonts w:ascii="Verdana" w:hAnsi="Verdana" w:cs="Arial"/>
                <w:b/>
                <w:bCs/>
                <w:lang w:val="es-ES" w:eastAsia="es-ES"/>
              </w:rPr>
              <w:t xml:space="preserve"> de 2024</w:t>
            </w:r>
          </w:p>
        </w:tc>
      </w:tr>
      <w:tr w:rsidR="003823D3" w:rsidRPr="009322DA" w14:paraId="601625B6" w14:textId="77777777" w:rsidTr="002811D0">
        <w:trPr>
          <w:trHeight w:val="884"/>
        </w:trPr>
        <w:tc>
          <w:tcPr>
            <w:tcW w:w="2689" w:type="dxa"/>
            <w:hideMark/>
          </w:tcPr>
          <w:p w14:paraId="3620D606" w14:textId="77777777" w:rsidR="003823D3" w:rsidRPr="009322DA" w:rsidRDefault="003823D3" w:rsidP="002811D0">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24BF75C7" w14:textId="77777777" w:rsidR="003823D3" w:rsidRPr="00EB3000" w:rsidRDefault="003823D3" w:rsidP="002811D0">
            <w:pPr>
              <w:jc w:val="both"/>
              <w:rPr>
                <w:rFonts w:ascii="Verdana" w:hAnsi="Verdana" w:cs="Arial"/>
                <w:lang w:val="es-ES_tradnl" w:eastAsia="es-ES"/>
              </w:rPr>
            </w:pPr>
            <w:r w:rsidRPr="00347A72">
              <w:rPr>
                <w:rFonts w:ascii="Verdana" w:eastAsia="Calibri" w:hAnsi="Verdana" w:cs="Arial"/>
                <w:bCs/>
                <w:lang w:eastAsia="es-ES"/>
              </w:rPr>
              <w:t>SUPERVISIÓN – Noción ‒ Ley 1474 de 2011 / SUPERVISIÓN – Designación</w:t>
            </w:r>
          </w:p>
        </w:tc>
      </w:tr>
      <w:tr w:rsidR="003823D3" w:rsidRPr="009322DA" w14:paraId="53A48BED" w14:textId="77777777" w:rsidTr="002811D0">
        <w:tc>
          <w:tcPr>
            <w:tcW w:w="2689" w:type="dxa"/>
            <w:hideMark/>
          </w:tcPr>
          <w:p w14:paraId="4CB1AFD4" w14:textId="77777777" w:rsidR="003823D3" w:rsidRPr="009322DA" w:rsidRDefault="003823D3" w:rsidP="002811D0">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57B32364" w14:textId="77777777" w:rsidR="003823D3" w:rsidRPr="00347A72" w:rsidRDefault="003823D3" w:rsidP="002811D0">
            <w:pPr>
              <w:jc w:val="both"/>
              <w:rPr>
                <w:rFonts w:ascii="Verdana" w:hAnsi="Verdana"/>
                <w:b/>
                <w:bCs/>
                <w:lang w:eastAsia="es-ES_tradnl"/>
              </w:rPr>
            </w:pPr>
            <w:r w:rsidRPr="009322DA">
              <w:rPr>
                <w:rFonts w:ascii="Verdana" w:hAnsi="Verdana" w:cs="Arial"/>
                <w:lang w:val="es-ES_tradnl" w:eastAsia="es-ES_tradnl"/>
              </w:rPr>
              <w:t xml:space="preserve">Respuesta a consulta con radicado No. </w:t>
            </w:r>
            <w:r w:rsidRPr="00347A72">
              <w:rPr>
                <w:rFonts w:ascii="Verdana" w:hAnsi="Verdana"/>
                <w:lang w:eastAsia="es-ES_tradnl"/>
              </w:rPr>
              <w:t>P20240826008653</w:t>
            </w:r>
          </w:p>
          <w:p w14:paraId="0E61A932" w14:textId="77777777" w:rsidR="003823D3" w:rsidRPr="009322DA" w:rsidRDefault="003823D3" w:rsidP="002811D0">
            <w:pPr>
              <w:jc w:val="both"/>
              <w:rPr>
                <w:rFonts w:ascii="Verdana" w:hAnsi="Verdana" w:cs="Arial"/>
                <w:lang w:val="es-ES_tradnl" w:eastAsia="es-ES_tradnl"/>
              </w:rPr>
            </w:pPr>
          </w:p>
        </w:tc>
      </w:tr>
    </w:tbl>
    <w:p w14:paraId="6A98D5BE" w14:textId="77777777" w:rsidR="003823D3" w:rsidRPr="009322DA" w:rsidRDefault="003823D3" w:rsidP="003823D3">
      <w:pPr>
        <w:spacing w:after="0" w:line="240" w:lineRule="auto"/>
        <w:jc w:val="both"/>
        <w:rPr>
          <w:rFonts w:ascii="Verdana" w:eastAsia="Calibri" w:hAnsi="Verdana" w:cs="Arial"/>
          <w:lang w:val="es-ES_tradnl" w:eastAsia="es-ES_tradnl"/>
        </w:rPr>
      </w:pPr>
    </w:p>
    <w:p w14:paraId="044CC147" w14:textId="77777777" w:rsidR="003823D3" w:rsidRPr="009322DA" w:rsidRDefault="003823D3" w:rsidP="003823D3">
      <w:pPr>
        <w:spacing w:after="0" w:line="240" w:lineRule="auto"/>
        <w:jc w:val="both"/>
        <w:rPr>
          <w:rFonts w:ascii="Verdana" w:eastAsia="Calibri" w:hAnsi="Verdana" w:cs="Arial"/>
          <w:lang w:val="es-ES_tradnl" w:eastAsia="es-ES_tradnl"/>
        </w:rPr>
      </w:pPr>
    </w:p>
    <w:p w14:paraId="0F9F7FD0" w14:textId="77777777" w:rsidR="003823D3" w:rsidRPr="009322DA" w:rsidRDefault="003823D3" w:rsidP="003823D3">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a</w:t>
      </w:r>
      <w:r w:rsidRPr="009322DA">
        <w:rPr>
          <w:rFonts w:ascii="Verdana" w:eastAsia="Calibri" w:hAnsi="Verdana" w:cs="Arial"/>
          <w:lang w:val="es-ES" w:eastAsia="es-ES"/>
        </w:rPr>
        <w:t xml:space="preserve"> señor</w:t>
      </w:r>
      <w:r>
        <w:rPr>
          <w:rFonts w:ascii="Verdana" w:eastAsia="Calibri" w:hAnsi="Verdana" w:cs="Arial"/>
          <w:lang w:val="es-ES" w:eastAsia="es-ES"/>
        </w:rPr>
        <w:t>a Zuluaga</w:t>
      </w:r>
      <w:r w:rsidRPr="009322DA">
        <w:rPr>
          <w:rFonts w:ascii="Verdana" w:eastAsia="Calibri" w:hAnsi="Verdana" w:cs="Arial"/>
          <w:lang w:val="es-ES" w:eastAsia="es-ES"/>
        </w:rPr>
        <w:t xml:space="preserve">: </w:t>
      </w:r>
    </w:p>
    <w:p w14:paraId="74F6F8D2" w14:textId="77777777" w:rsidR="003823D3" w:rsidRPr="009322DA" w:rsidRDefault="003823D3" w:rsidP="003823D3">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41B47B36" w14:textId="77777777" w:rsidR="003823D3" w:rsidRPr="009322DA" w:rsidRDefault="003823D3" w:rsidP="003823D3">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26</w:t>
      </w:r>
      <w:r w:rsidRPr="009322DA">
        <w:rPr>
          <w:rFonts w:ascii="Verdana" w:eastAsia="Calibri" w:hAnsi="Verdana" w:cs="Arial"/>
          <w:lang w:val="es-ES" w:eastAsia="es-ES"/>
        </w:rPr>
        <w:t xml:space="preserve"> de </w:t>
      </w:r>
      <w:r>
        <w:rPr>
          <w:rFonts w:ascii="Verdana" w:eastAsia="Calibri" w:hAnsi="Verdana" w:cs="Arial"/>
          <w:lang w:val="es-ES" w:eastAsia="es-ES"/>
        </w:rPr>
        <w:t>agost</w:t>
      </w:r>
      <w:r w:rsidRPr="009322DA">
        <w:rPr>
          <w:rFonts w:ascii="Verdana" w:eastAsia="Calibri" w:hAnsi="Verdana" w:cs="Arial"/>
          <w:lang w:val="es-ES" w:eastAsia="es-ES"/>
        </w:rPr>
        <w:t xml:space="preserve">o de 2024, en la cual manifiesta lo siguiente: </w:t>
      </w:r>
    </w:p>
    <w:p w14:paraId="43E7A840" w14:textId="77777777" w:rsidR="003823D3" w:rsidRPr="009322DA" w:rsidRDefault="003823D3" w:rsidP="003823D3">
      <w:pPr>
        <w:spacing w:after="0" w:line="240" w:lineRule="auto"/>
        <w:ind w:left="709" w:right="709"/>
        <w:jc w:val="both"/>
        <w:rPr>
          <w:rFonts w:ascii="Verdana" w:eastAsia="Century Gothic" w:hAnsi="Verdana" w:cs="Century Gothic"/>
          <w:sz w:val="20"/>
          <w:szCs w:val="20"/>
          <w:lang w:val="es-ES"/>
        </w:rPr>
      </w:pPr>
      <w:bookmarkStart w:id="0" w:name="_Hlk95313578"/>
    </w:p>
    <w:p w14:paraId="292E6CBA" w14:textId="77777777" w:rsidR="003823D3" w:rsidRDefault="003823D3" w:rsidP="003823D3">
      <w:pPr>
        <w:spacing w:line="240" w:lineRule="auto"/>
        <w:ind w:left="709" w:right="709"/>
        <w:jc w:val="both"/>
        <w:rPr>
          <w:rFonts w:ascii="Verdana" w:eastAsia="Century Gothic" w:hAnsi="Verdana" w:cs="Century Gothic"/>
          <w:i/>
          <w:iCs/>
          <w:sz w:val="20"/>
          <w:szCs w:val="20"/>
        </w:rPr>
      </w:pPr>
      <w:r w:rsidRPr="00772836">
        <w:rPr>
          <w:rFonts w:ascii="Verdana" w:eastAsia="Century Gothic" w:hAnsi="Verdana" w:cs="Century Gothic"/>
          <w:i/>
          <w:iCs/>
          <w:sz w:val="20"/>
          <w:szCs w:val="20"/>
          <w:lang w:val="es-ES"/>
        </w:rPr>
        <w:t>“</w:t>
      </w:r>
      <w:r w:rsidRPr="009D4BCF">
        <w:rPr>
          <w:rFonts w:ascii="Verdana" w:eastAsia="Century Gothic" w:hAnsi="Verdana" w:cs="Century Gothic"/>
          <w:i/>
          <w:iCs/>
          <w:sz w:val="20"/>
          <w:szCs w:val="20"/>
        </w:rPr>
        <w:t xml:space="preserve">Tengo problemas con mi usuario de SECOPII, razón por la cual no llegan las designaciones del sistema, este inconveniente ya fue reportado y está en trámite de solución, no obstante, se requiere formalizar mi designación como supervisor de algunos contratos de la entidad territorial (Gobernación) Agradezco me confirmen lo siguiente: </w:t>
      </w:r>
    </w:p>
    <w:p w14:paraId="750DEE5D" w14:textId="77777777" w:rsidR="003823D3" w:rsidRDefault="003823D3" w:rsidP="003823D3">
      <w:pPr>
        <w:pStyle w:val="Prrafodelista"/>
        <w:numPr>
          <w:ilvl w:val="0"/>
          <w:numId w:val="19"/>
        </w:numPr>
        <w:spacing w:line="240" w:lineRule="auto"/>
        <w:ind w:right="709"/>
        <w:jc w:val="both"/>
        <w:rPr>
          <w:rFonts w:ascii="Verdana" w:eastAsia="Century Gothic" w:hAnsi="Verdana" w:cs="Century Gothic"/>
          <w:i/>
          <w:iCs/>
          <w:sz w:val="20"/>
          <w:szCs w:val="20"/>
        </w:rPr>
      </w:pPr>
      <w:r w:rsidRPr="009D4BCF">
        <w:rPr>
          <w:rFonts w:ascii="Verdana" w:eastAsia="Century Gothic" w:hAnsi="Verdana" w:cs="Century Gothic"/>
          <w:i/>
          <w:iCs/>
          <w:sz w:val="20"/>
          <w:szCs w:val="20"/>
        </w:rPr>
        <w:t xml:space="preserve">Si esta designación debe ser siempre por escrito (correo, oficio o acto administrativo) </w:t>
      </w:r>
    </w:p>
    <w:p w14:paraId="327E5AF9" w14:textId="77777777" w:rsidR="003823D3" w:rsidRDefault="003823D3" w:rsidP="003823D3">
      <w:pPr>
        <w:pStyle w:val="Prrafodelista"/>
        <w:spacing w:line="240" w:lineRule="auto"/>
        <w:ind w:left="1069" w:right="709"/>
        <w:jc w:val="both"/>
        <w:rPr>
          <w:rFonts w:ascii="Verdana" w:eastAsia="Century Gothic" w:hAnsi="Verdana" w:cs="Century Gothic"/>
          <w:i/>
          <w:iCs/>
          <w:sz w:val="20"/>
          <w:szCs w:val="20"/>
        </w:rPr>
      </w:pPr>
    </w:p>
    <w:p w14:paraId="3474DF98" w14:textId="77777777" w:rsidR="003823D3" w:rsidRDefault="003823D3" w:rsidP="003823D3">
      <w:pPr>
        <w:pStyle w:val="Prrafodelista"/>
        <w:numPr>
          <w:ilvl w:val="0"/>
          <w:numId w:val="19"/>
        </w:numPr>
        <w:spacing w:line="240" w:lineRule="auto"/>
        <w:ind w:right="709"/>
        <w:jc w:val="both"/>
        <w:rPr>
          <w:rFonts w:ascii="Verdana" w:eastAsia="Century Gothic" w:hAnsi="Verdana" w:cs="Century Gothic"/>
          <w:i/>
          <w:iCs/>
          <w:sz w:val="20"/>
          <w:szCs w:val="20"/>
        </w:rPr>
      </w:pPr>
      <w:r w:rsidRPr="009D4BCF">
        <w:rPr>
          <w:rFonts w:ascii="Verdana" w:eastAsia="Century Gothic" w:hAnsi="Verdana" w:cs="Century Gothic"/>
          <w:i/>
          <w:iCs/>
          <w:sz w:val="20"/>
          <w:szCs w:val="20"/>
        </w:rPr>
        <w:t>Es indispensable que la realice el ordenador de gasto o la puede realizar otro tipo de jefe, mando medio, contratista o funcionario.</w:t>
      </w:r>
    </w:p>
    <w:p w14:paraId="02B29B98" w14:textId="77777777" w:rsidR="003823D3" w:rsidRPr="009D4BCF" w:rsidRDefault="003823D3" w:rsidP="003823D3">
      <w:pPr>
        <w:pStyle w:val="Prrafodelista"/>
        <w:rPr>
          <w:rFonts w:ascii="Verdana" w:eastAsia="Century Gothic" w:hAnsi="Verdana" w:cs="Century Gothic"/>
          <w:i/>
          <w:iCs/>
          <w:sz w:val="20"/>
          <w:szCs w:val="20"/>
        </w:rPr>
      </w:pPr>
    </w:p>
    <w:p w14:paraId="1907D3BD" w14:textId="77777777" w:rsidR="003823D3" w:rsidRDefault="003823D3" w:rsidP="003823D3">
      <w:pPr>
        <w:pStyle w:val="Prrafodelista"/>
        <w:spacing w:line="240" w:lineRule="auto"/>
        <w:ind w:left="1069" w:right="709"/>
        <w:jc w:val="both"/>
        <w:rPr>
          <w:rFonts w:ascii="Verdana" w:eastAsia="Century Gothic" w:hAnsi="Verdana" w:cs="Century Gothic"/>
          <w:i/>
          <w:iCs/>
          <w:sz w:val="20"/>
          <w:szCs w:val="20"/>
        </w:rPr>
      </w:pPr>
    </w:p>
    <w:p w14:paraId="5C52B202" w14:textId="77777777" w:rsidR="003823D3" w:rsidRPr="009D4BCF" w:rsidRDefault="003823D3" w:rsidP="003823D3">
      <w:pPr>
        <w:pStyle w:val="Prrafodelista"/>
        <w:numPr>
          <w:ilvl w:val="0"/>
          <w:numId w:val="19"/>
        </w:numPr>
        <w:spacing w:line="240" w:lineRule="auto"/>
        <w:ind w:right="709"/>
        <w:jc w:val="both"/>
        <w:rPr>
          <w:rFonts w:ascii="Verdana" w:eastAsia="Century Gothic" w:hAnsi="Verdana" w:cs="Century Gothic"/>
          <w:i/>
          <w:iCs/>
          <w:sz w:val="20"/>
          <w:szCs w:val="20"/>
        </w:rPr>
      </w:pPr>
      <w:r w:rsidRPr="009D4BCF">
        <w:rPr>
          <w:rFonts w:ascii="Verdana" w:eastAsia="Century Gothic" w:hAnsi="Verdana" w:cs="Century Gothic"/>
          <w:i/>
          <w:iCs/>
          <w:sz w:val="20"/>
          <w:szCs w:val="20"/>
        </w:rPr>
        <w:lastRenderedPageBreak/>
        <w:t>Mientras se normaliza el aplicativo, puedo asumir la supervisión, sin contar con la notificación por escrito ya sea por correo del aplicativo o del ordenador de gasto.”</w:t>
      </w:r>
      <w:bookmarkEnd w:id="0"/>
      <w:r w:rsidRPr="009D4BCF">
        <w:rPr>
          <w:rFonts w:ascii="Verdana" w:eastAsia="Century Gothic" w:hAnsi="Verdana" w:cs="Century Gothic"/>
          <w:i/>
          <w:iCs/>
          <w:sz w:val="20"/>
          <w:szCs w:val="20"/>
        </w:rPr>
        <w:t>.</w:t>
      </w:r>
    </w:p>
    <w:p w14:paraId="6B83D7FB" w14:textId="77777777" w:rsidR="003823D3" w:rsidRPr="00D6203F" w:rsidRDefault="003823D3" w:rsidP="003823D3">
      <w:pPr>
        <w:spacing w:line="240" w:lineRule="auto"/>
        <w:ind w:left="709" w:right="709"/>
        <w:jc w:val="both"/>
        <w:rPr>
          <w:rFonts w:ascii="Verdana" w:eastAsia="Calibri" w:hAnsi="Verdana" w:cs="Arial"/>
          <w:i/>
          <w:iCs/>
          <w:sz w:val="20"/>
          <w:szCs w:val="20"/>
          <w:shd w:val="clear" w:color="auto" w:fill="FFFFFF"/>
        </w:rPr>
      </w:pPr>
    </w:p>
    <w:p w14:paraId="3C01AF8C" w14:textId="77777777" w:rsidR="003823D3" w:rsidRPr="009322DA" w:rsidRDefault="003823D3" w:rsidP="003823D3">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27B84EF9" w14:textId="77777777" w:rsidR="003823D3" w:rsidRPr="009322DA" w:rsidRDefault="003823D3" w:rsidP="003823D3">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4BA7A60" w14:textId="77777777" w:rsidR="003823D3" w:rsidRPr="009322DA" w:rsidRDefault="003823D3" w:rsidP="003823D3">
      <w:pPr>
        <w:spacing w:after="0" w:line="276" w:lineRule="auto"/>
        <w:ind w:firstLine="709"/>
        <w:jc w:val="both"/>
        <w:rPr>
          <w:rFonts w:ascii="Verdana" w:eastAsia="Calibri" w:hAnsi="Verdana" w:cs="Arial"/>
          <w:lang w:val="es-ES" w:eastAsia="es-ES"/>
        </w:rPr>
      </w:pPr>
    </w:p>
    <w:p w14:paraId="60F59F7F" w14:textId="77777777" w:rsidR="003823D3" w:rsidRPr="009322DA" w:rsidRDefault="003823D3" w:rsidP="003823D3">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49F4B72F" w14:textId="77777777" w:rsidR="003823D3" w:rsidRPr="009322DA" w:rsidRDefault="003823D3" w:rsidP="003823D3">
      <w:pPr>
        <w:tabs>
          <w:tab w:val="left" w:pos="426"/>
        </w:tabs>
        <w:spacing w:after="0" w:line="276" w:lineRule="auto"/>
        <w:jc w:val="both"/>
        <w:rPr>
          <w:rFonts w:ascii="Verdana" w:eastAsia="Century Gothic" w:hAnsi="Verdana" w:cs="Century Gothic"/>
          <w:lang w:val="es-ES"/>
        </w:rPr>
      </w:pPr>
    </w:p>
    <w:p w14:paraId="4C245D11" w14:textId="022F6E0D" w:rsidR="003823D3" w:rsidRDefault="003823D3" w:rsidP="003823D3">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sidR="00702DDE">
        <w:rPr>
          <w:rFonts w:ascii="Verdana" w:eastAsia="Century Gothic" w:hAnsi="Verdana" w:cs="Century Gothic"/>
        </w:rPr>
        <w:t>el</w:t>
      </w:r>
      <w:r w:rsidRPr="009322DA">
        <w:rPr>
          <w:rFonts w:ascii="Verdana" w:eastAsia="Century Gothic" w:hAnsi="Verdana" w:cs="Century Gothic"/>
        </w:rPr>
        <w:t xml:space="preserve"> siguiente problema jurídico:</w:t>
      </w:r>
      <w:r>
        <w:rPr>
          <w:rFonts w:ascii="Verdana" w:eastAsia="Century Gothic" w:hAnsi="Verdana" w:cs="Century Gothic"/>
        </w:rPr>
        <w:t xml:space="preserve"> </w:t>
      </w:r>
    </w:p>
    <w:p w14:paraId="2A132A98" w14:textId="77777777" w:rsidR="003823D3" w:rsidRDefault="003823D3" w:rsidP="003823D3">
      <w:pPr>
        <w:spacing w:after="0" w:line="276" w:lineRule="auto"/>
        <w:jc w:val="both"/>
        <w:rPr>
          <w:rFonts w:ascii="Verdana" w:eastAsia="Century Gothic" w:hAnsi="Verdana" w:cs="Century Gothic"/>
        </w:rPr>
      </w:pPr>
    </w:p>
    <w:p w14:paraId="30CC003B" w14:textId="151A3BC8" w:rsidR="003823D3" w:rsidRDefault="000D3627" w:rsidP="003823D3">
      <w:pPr>
        <w:spacing w:after="0" w:line="276" w:lineRule="auto"/>
        <w:jc w:val="both"/>
        <w:rPr>
          <w:rFonts w:ascii="Verdana" w:eastAsia="Calibri" w:hAnsi="Verdana" w:cs="Arial"/>
          <w:lang w:val="es-ES"/>
        </w:rPr>
      </w:pPr>
      <w:r w:rsidRPr="000D3627">
        <w:rPr>
          <w:rFonts w:ascii="Verdana" w:eastAsia="Calibri" w:hAnsi="Verdana" w:cs="Arial"/>
          <w:lang w:val="es-ES"/>
        </w:rPr>
        <w:t>¿</w:t>
      </w:r>
      <w:r w:rsidR="00203DFC">
        <w:rPr>
          <w:rFonts w:ascii="Verdana" w:eastAsia="Calibri" w:hAnsi="Verdana" w:cs="Arial"/>
          <w:lang w:val="es-ES"/>
        </w:rPr>
        <w:t>Cómo se realiza la designación del supervisor de un contrato estatal</w:t>
      </w:r>
      <w:r w:rsidRPr="000D3627">
        <w:rPr>
          <w:rFonts w:ascii="Verdana" w:eastAsia="Calibri" w:hAnsi="Verdana" w:cs="Arial"/>
          <w:lang w:val="es-ES"/>
        </w:rPr>
        <w:t>?</w:t>
      </w:r>
    </w:p>
    <w:p w14:paraId="1D31969A" w14:textId="77777777" w:rsidR="003823D3" w:rsidRDefault="003823D3" w:rsidP="003823D3">
      <w:pPr>
        <w:spacing w:after="0" w:line="276" w:lineRule="auto"/>
        <w:jc w:val="both"/>
        <w:rPr>
          <w:rFonts w:ascii="Verdana" w:eastAsia="Calibri" w:hAnsi="Verdana" w:cs="Arial"/>
          <w:lang w:val="es-ES"/>
        </w:rPr>
      </w:pPr>
    </w:p>
    <w:p w14:paraId="390829C2" w14:textId="77777777" w:rsidR="003823D3" w:rsidRDefault="003823D3" w:rsidP="003823D3">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p w14:paraId="0936D9C9" w14:textId="77777777" w:rsidR="003823D3" w:rsidRPr="009322DA" w:rsidRDefault="003823D3" w:rsidP="003823D3">
      <w:pPr>
        <w:tabs>
          <w:tab w:val="left" w:pos="142"/>
          <w:tab w:val="left" w:pos="284"/>
        </w:tabs>
        <w:spacing w:after="0" w:line="276" w:lineRule="auto"/>
        <w:contextualSpacing/>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823D3" w:rsidRPr="009322DA" w14:paraId="29C38480" w14:textId="77777777" w:rsidTr="002811D0">
        <w:tc>
          <w:tcPr>
            <w:tcW w:w="8828" w:type="dxa"/>
            <w:tcBorders>
              <w:top w:val="dotted" w:sz="4" w:space="0" w:color="auto"/>
              <w:left w:val="dotted" w:sz="4" w:space="0" w:color="auto"/>
              <w:bottom w:val="dotted" w:sz="4" w:space="0" w:color="auto"/>
              <w:right w:val="dotted" w:sz="4" w:space="0" w:color="auto"/>
            </w:tcBorders>
          </w:tcPr>
          <w:p w14:paraId="727CB409" w14:textId="1E89AD8D" w:rsidR="003823D3" w:rsidRPr="00263999" w:rsidRDefault="007B30E1" w:rsidP="001F178E">
            <w:pPr>
              <w:spacing w:after="120" w:line="276" w:lineRule="auto"/>
              <w:jc w:val="both"/>
              <w:rPr>
                <w:rFonts w:ascii="Verdana" w:eastAsia="Calibri" w:hAnsi="Verdana" w:cs="Arial"/>
                <w:bCs/>
              </w:rPr>
            </w:pPr>
            <w:r>
              <w:rPr>
                <w:rFonts w:ascii="Verdana" w:eastAsia="Calibri" w:hAnsi="Verdana" w:cs="Arial"/>
              </w:rPr>
              <w:t>Según la</w:t>
            </w:r>
            <w:r w:rsidR="003823D3">
              <w:rPr>
                <w:rFonts w:ascii="Verdana" w:eastAsia="Calibri" w:hAnsi="Verdana" w:cs="Arial"/>
              </w:rPr>
              <w:t xml:space="preserve"> </w:t>
            </w:r>
            <w:r w:rsidR="003823D3" w:rsidRPr="006204A7">
              <w:rPr>
                <w:rFonts w:ascii="Verdana" w:eastAsia="Calibri" w:hAnsi="Verdana" w:cs="Arial"/>
              </w:rPr>
              <w:t xml:space="preserve">“Guía para el ejercicio de las funciones de supervisión e interventoría de los contratos del Estado” emitida por esta </w:t>
            </w:r>
            <w:r w:rsidR="004712A6">
              <w:rPr>
                <w:rFonts w:ascii="Verdana" w:eastAsia="Calibri" w:hAnsi="Verdana" w:cs="Arial"/>
              </w:rPr>
              <w:t>A</w:t>
            </w:r>
            <w:r w:rsidR="003823D3" w:rsidRPr="006204A7">
              <w:rPr>
                <w:rFonts w:ascii="Verdana" w:eastAsia="Calibri" w:hAnsi="Verdana" w:cs="Arial"/>
                <w:bCs/>
              </w:rPr>
              <w:t>gencia</w:t>
            </w:r>
            <w:r w:rsidR="00225A10">
              <w:rPr>
                <w:rFonts w:ascii="Verdana" w:eastAsia="Calibri" w:hAnsi="Verdana" w:cs="Arial"/>
                <w:bCs/>
              </w:rPr>
              <w:t xml:space="preserve">, la </w:t>
            </w:r>
            <w:r w:rsidR="00827827">
              <w:rPr>
                <w:rFonts w:ascii="Verdana" w:eastAsia="Calibri" w:hAnsi="Verdana" w:cs="Arial"/>
                <w:bCs/>
              </w:rPr>
              <w:t>designación debe realizarse</w:t>
            </w:r>
            <w:r w:rsidR="00B667A2">
              <w:rPr>
                <w:rFonts w:ascii="Verdana" w:eastAsia="Calibri" w:hAnsi="Verdana" w:cs="Arial"/>
                <w:bCs/>
              </w:rPr>
              <w:t xml:space="preserve"> por el ordenador del gasto de la entidad que </w:t>
            </w:r>
            <w:r w:rsidR="001934EE">
              <w:rPr>
                <w:rFonts w:ascii="Verdana" w:eastAsia="Calibri" w:hAnsi="Verdana" w:cs="Arial"/>
                <w:bCs/>
              </w:rPr>
              <w:t>está</w:t>
            </w:r>
            <w:r w:rsidR="00B667A2">
              <w:rPr>
                <w:rFonts w:ascii="Verdana" w:eastAsia="Calibri" w:hAnsi="Verdana" w:cs="Arial"/>
                <w:bCs/>
              </w:rPr>
              <w:t xml:space="preserve"> rea</w:t>
            </w:r>
            <w:r w:rsidR="001934EE">
              <w:rPr>
                <w:rFonts w:ascii="Verdana" w:eastAsia="Calibri" w:hAnsi="Verdana" w:cs="Arial"/>
                <w:bCs/>
              </w:rPr>
              <w:t xml:space="preserve">lizando la contratación ya que este </w:t>
            </w:r>
            <w:r w:rsidR="001934EE" w:rsidRPr="00B261F4">
              <w:rPr>
                <w:rFonts w:ascii="Verdana" w:eastAsia="Calibri" w:hAnsi="Verdana" w:cs="Arial"/>
                <w:bCs/>
              </w:rPr>
              <w:t xml:space="preserve">es </w:t>
            </w:r>
            <w:r w:rsidR="00741FE5">
              <w:rPr>
                <w:rFonts w:ascii="Verdana" w:eastAsia="Calibri" w:hAnsi="Verdana" w:cs="Arial"/>
                <w:bCs/>
              </w:rPr>
              <w:t xml:space="preserve">el </w:t>
            </w:r>
            <w:r w:rsidR="001934EE" w:rsidRPr="00B261F4">
              <w:rPr>
                <w:rFonts w:ascii="Verdana" w:eastAsia="Calibri" w:hAnsi="Verdana" w:cs="Arial"/>
                <w:bCs/>
              </w:rPr>
              <w:t>responsable de la vigilancia y control de la ejecución del gasto y del contrato</w:t>
            </w:r>
            <w:r w:rsidR="001934EE">
              <w:rPr>
                <w:rFonts w:ascii="Verdana" w:eastAsia="Calibri" w:hAnsi="Verdana" w:cs="Arial"/>
                <w:bCs/>
              </w:rPr>
              <w:t xml:space="preserve">, </w:t>
            </w:r>
            <w:r w:rsidR="009C741E">
              <w:rPr>
                <w:rFonts w:ascii="Verdana" w:eastAsia="Calibri" w:hAnsi="Verdana" w:cs="Arial"/>
                <w:bCs/>
              </w:rPr>
              <w:t>esta designación se puede realizar de las siguientes maneras</w:t>
            </w:r>
            <w:r w:rsidR="00185E0A">
              <w:rPr>
                <w:rFonts w:ascii="Verdana" w:eastAsia="Calibri" w:hAnsi="Verdana" w:cs="Arial"/>
                <w:bCs/>
              </w:rPr>
              <w:t xml:space="preserve">: i) </w:t>
            </w:r>
            <w:r w:rsidR="006271B9">
              <w:rPr>
                <w:rFonts w:ascii="Verdana" w:eastAsia="Calibri" w:hAnsi="Verdana" w:cs="Arial"/>
                <w:bCs/>
              </w:rPr>
              <w:t xml:space="preserve">“en cualquier momento </w:t>
            </w:r>
            <w:r w:rsidR="006271B9" w:rsidRPr="006271B9">
              <w:rPr>
                <w:rFonts w:ascii="Verdana" w:eastAsia="Calibri" w:hAnsi="Verdana" w:cs="Arial"/>
                <w:bCs/>
              </w:rPr>
              <w:t xml:space="preserve">del Proceso de Contratación </w:t>
            </w:r>
            <w:r w:rsidR="006271B9" w:rsidRPr="006271B9">
              <w:rPr>
                <w:rFonts w:ascii="Verdana" w:eastAsia="Calibri" w:hAnsi="Verdana" w:cs="Arial"/>
                <w:bCs/>
              </w:rPr>
              <w:lastRenderedPageBreak/>
              <w:t>una vez iniciada la etapa de planeación</w:t>
            </w:r>
            <w:r w:rsidR="006271B9">
              <w:rPr>
                <w:rFonts w:ascii="Verdana" w:eastAsia="Calibri" w:hAnsi="Verdana" w:cs="Arial"/>
                <w:bCs/>
              </w:rPr>
              <w:t xml:space="preserve">”, y </w:t>
            </w:r>
            <w:proofErr w:type="spellStart"/>
            <w:r w:rsidR="006271B9">
              <w:rPr>
                <w:rFonts w:ascii="Verdana" w:eastAsia="Calibri" w:hAnsi="Verdana" w:cs="Arial"/>
                <w:bCs/>
              </w:rPr>
              <w:t>ii</w:t>
            </w:r>
            <w:proofErr w:type="spellEnd"/>
            <w:r w:rsidR="006271B9">
              <w:rPr>
                <w:rFonts w:ascii="Verdana" w:eastAsia="Calibri" w:hAnsi="Verdana" w:cs="Arial"/>
                <w:bCs/>
              </w:rPr>
              <w:t xml:space="preserve">) </w:t>
            </w:r>
            <w:r w:rsidR="00A12DA3">
              <w:rPr>
                <w:rFonts w:ascii="Verdana" w:eastAsia="Calibri" w:hAnsi="Verdana" w:cs="Arial"/>
                <w:bCs/>
              </w:rPr>
              <w:t>“</w:t>
            </w:r>
            <w:r w:rsidR="00A12DA3" w:rsidRPr="00A12DA3">
              <w:rPr>
                <w:rFonts w:ascii="Verdana" w:eastAsia="Calibri" w:hAnsi="Verdana" w:cs="Arial"/>
                <w:bCs/>
              </w:rPr>
              <w:t>Cuando la Entidad Estatal designa al supervisor en el texto del contrato debe tener en cuenta que en caso de cambio del supervisor es necesario modificar el contrato</w:t>
            </w:r>
            <w:r w:rsidR="00A12DA3">
              <w:rPr>
                <w:rFonts w:ascii="Verdana" w:eastAsia="Calibri" w:hAnsi="Verdana" w:cs="Arial"/>
                <w:bCs/>
              </w:rPr>
              <w:t>”.</w:t>
            </w:r>
            <w:r w:rsidR="00A12DA3" w:rsidRPr="00A12DA3">
              <w:rPr>
                <w:rFonts w:ascii="Verdana" w:eastAsia="Calibri" w:hAnsi="Verdana" w:cs="Arial"/>
                <w:bCs/>
              </w:rPr>
              <w:t xml:space="preserve"> </w:t>
            </w:r>
          </w:p>
          <w:p w14:paraId="2A9B119E" w14:textId="0F8C89C0" w:rsidR="00223766" w:rsidRDefault="00741FE5" w:rsidP="001934EE">
            <w:pPr>
              <w:spacing w:after="120" w:line="276" w:lineRule="auto"/>
              <w:jc w:val="both"/>
              <w:rPr>
                <w:rFonts w:ascii="Verdana" w:eastAsia="Calibri" w:hAnsi="Verdana" w:cs="Arial"/>
              </w:rPr>
            </w:pPr>
            <w:r w:rsidRPr="00741FE5">
              <w:rPr>
                <w:rFonts w:ascii="Verdana" w:eastAsia="Calibri" w:hAnsi="Verdana" w:cs="Arial"/>
              </w:rPr>
              <w:t xml:space="preserve">La Entidad Estatal debe comunicar por escrito la designación al supervisor, </w:t>
            </w:r>
            <w:r w:rsidR="003823D3" w:rsidRPr="006204A7">
              <w:rPr>
                <w:rFonts w:ascii="Verdana" w:eastAsia="Calibri" w:hAnsi="Verdana" w:cs="Arial"/>
              </w:rPr>
              <w:t>pero no existe ninguna norma que establezca formalidades especiales para esa comunicación, de manera que la misma puede producirse, por ejemplo, mediante correo electrónico</w:t>
            </w:r>
            <w:r w:rsidRPr="00741FE5">
              <w:rPr>
                <w:rFonts w:ascii="Verdana" w:eastAsia="Calibri" w:hAnsi="Verdana" w:cs="Arial"/>
              </w:rPr>
              <w:t>. La</w:t>
            </w:r>
            <w:r w:rsidR="003823D3" w:rsidRPr="006204A7">
              <w:rPr>
                <w:rFonts w:ascii="Verdana" w:eastAsia="Calibri" w:hAnsi="Verdana" w:cs="Arial"/>
              </w:rPr>
              <w:t xml:space="preserve"> comunicación debe reposar en el expediente del contrato</w:t>
            </w:r>
            <w:r w:rsidR="00180F92">
              <w:rPr>
                <w:rStyle w:val="Refdenotaalpie"/>
                <w:rFonts w:ascii="Verdana" w:eastAsia="Calibri" w:hAnsi="Verdana" w:cs="Arial"/>
              </w:rPr>
              <w:footnoteReference w:id="2"/>
            </w:r>
            <w:r w:rsidR="003823D3" w:rsidRPr="006204A7">
              <w:rPr>
                <w:rFonts w:ascii="Verdana" w:eastAsia="Calibri" w:hAnsi="Verdana" w:cs="Arial"/>
              </w:rPr>
              <w:t>.</w:t>
            </w:r>
          </w:p>
          <w:p w14:paraId="672944CA" w14:textId="5E744FE8" w:rsidR="0075244D" w:rsidRDefault="00FC07C7" w:rsidP="004A0CC2">
            <w:pPr>
              <w:spacing w:after="120" w:line="276" w:lineRule="auto"/>
              <w:jc w:val="both"/>
              <w:rPr>
                <w:rFonts w:ascii="Verdana" w:eastAsia="Calibri" w:hAnsi="Verdana" w:cs="Arial"/>
              </w:rPr>
            </w:pPr>
            <w:r>
              <w:rPr>
                <w:rFonts w:ascii="Verdana" w:eastAsia="Calibri" w:hAnsi="Verdana" w:cs="Arial"/>
              </w:rPr>
              <w:t xml:space="preserve">Las designaciones </w:t>
            </w:r>
            <w:r w:rsidR="00D06134">
              <w:rPr>
                <w:rFonts w:ascii="Verdana" w:eastAsia="Calibri" w:hAnsi="Verdana" w:cs="Arial"/>
              </w:rPr>
              <w:t xml:space="preserve">de supervisión </w:t>
            </w:r>
            <w:r>
              <w:rPr>
                <w:rFonts w:ascii="Verdana" w:eastAsia="Calibri" w:hAnsi="Verdana" w:cs="Arial"/>
              </w:rPr>
              <w:t xml:space="preserve">también pueden realizarse por medio de la plataforma SECOP II según lo que </w:t>
            </w:r>
            <w:r w:rsidR="00DC7E74">
              <w:rPr>
                <w:rFonts w:ascii="Verdana" w:eastAsia="Calibri" w:hAnsi="Verdana" w:cs="Arial"/>
              </w:rPr>
              <w:t xml:space="preserve">especifica el </w:t>
            </w:r>
            <w:r w:rsidR="00460DE9">
              <w:rPr>
                <w:rFonts w:ascii="Verdana" w:eastAsia="Calibri" w:hAnsi="Verdana" w:cs="Arial"/>
              </w:rPr>
              <w:t>manual “</w:t>
            </w:r>
            <w:r w:rsidR="00460DE9" w:rsidRPr="00460DE9">
              <w:rPr>
                <w:rFonts w:ascii="Verdana" w:eastAsia="Calibri" w:hAnsi="Verdana" w:cs="Arial"/>
              </w:rPr>
              <w:t>SECOP II - Gestión contractual para Entidades Estatales</w:t>
            </w:r>
            <w:r w:rsidR="00460DE9">
              <w:rPr>
                <w:rFonts w:ascii="Verdana" w:eastAsia="Calibri" w:hAnsi="Verdana" w:cs="Arial"/>
              </w:rPr>
              <w:t>”</w:t>
            </w:r>
            <w:r w:rsidR="00D43582">
              <w:rPr>
                <w:rFonts w:ascii="Verdana" w:eastAsia="Calibri" w:hAnsi="Verdana" w:cs="Arial"/>
              </w:rPr>
              <w:t>.</w:t>
            </w:r>
            <w:r w:rsidR="0025252D" w:rsidRPr="00C91ECA" w:rsidDel="004A0CC2">
              <w:t xml:space="preserve"> </w:t>
            </w:r>
            <w:r w:rsidR="004A0CC2">
              <w:rPr>
                <w:rFonts w:ascii="Verdana" w:eastAsia="Calibri" w:hAnsi="Verdana" w:cs="Arial"/>
              </w:rPr>
              <w:t xml:space="preserve">Se aclara </w:t>
            </w:r>
            <w:r w:rsidR="0025252D">
              <w:rPr>
                <w:rFonts w:ascii="Verdana" w:eastAsia="Calibri" w:hAnsi="Verdana" w:cs="Arial"/>
              </w:rPr>
              <w:t>que</w:t>
            </w:r>
            <w:r w:rsidR="002837FF">
              <w:rPr>
                <w:rFonts w:ascii="Verdana" w:eastAsia="Calibri" w:hAnsi="Verdana" w:cs="Arial"/>
              </w:rPr>
              <w:t>,</w:t>
            </w:r>
            <w:r w:rsidR="0025252D">
              <w:rPr>
                <w:rFonts w:ascii="Verdana" w:eastAsia="Calibri" w:hAnsi="Verdana" w:cs="Arial"/>
              </w:rPr>
              <w:t xml:space="preserve"> t</w:t>
            </w:r>
            <w:r w:rsidR="00FB1E64">
              <w:rPr>
                <w:rFonts w:ascii="Verdana" w:eastAsia="Calibri" w:hAnsi="Verdana" w:cs="Arial"/>
              </w:rPr>
              <w:t xml:space="preserve">écnicamente en SECOP II no hay ningún inconveniente para realizar las funciones de supervisión si esta no se ha podido designar </w:t>
            </w:r>
            <w:r w:rsidR="0075244D">
              <w:rPr>
                <w:rFonts w:ascii="Verdana" w:eastAsia="Calibri" w:hAnsi="Verdana" w:cs="Arial"/>
              </w:rPr>
              <w:t xml:space="preserve">en la plataforma, </w:t>
            </w:r>
            <w:r w:rsidR="00A91361">
              <w:rPr>
                <w:rFonts w:ascii="Verdana" w:eastAsia="Calibri" w:hAnsi="Verdana" w:cs="Arial"/>
              </w:rPr>
              <w:t>siempre que</w:t>
            </w:r>
            <w:r w:rsidR="0075244D">
              <w:rPr>
                <w:rFonts w:ascii="Verdana" w:eastAsia="Calibri" w:hAnsi="Verdana" w:cs="Arial"/>
              </w:rPr>
              <w:t>:</w:t>
            </w:r>
          </w:p>
          <w:p w14:paraId="11F70715" w14:textId="2F2A564B" w:rsidR="00E4734D" w:rsidRDefault="000B0312" w:rsidP="0075244D">
            <w:pPr>
              <w:pStyle w:val="Prrafodelista"/>
              <w:numPr>
                <w:ilvl w:val="0"/>
                <w:numId w:val="22"/>
              </w:numPr>
              <w:spacing w:after="120" w:line="276" w:lineRule="auto"/>
              <w:jc w:val="both"/>
              <w:rPr>
                <w:rFonts w:ascii="Verdana" w:eastAsia="Calibri" w:hAnsi="Verdana" w:cs="Arial"/>
              </w:rPr>
            </w:pPr>
            <w:r>
              <w:rPr>
                <w:rFonts w:ascii="Verdana" w:eastAsia="Calibri" w:hAnsi="Verdana" w:cs="Arial"/>
              </w:rPr>
              <w:t>E</w:t>
            </w:r>
            <w:r w:rsidR="0075244D">
              <w:rPr>
                <w:rFonts w:ascii="Verdana" w:eastAsia="Calibri" w:hAnsi="Verdana" w:cs="Arial"/>
              </w:rPr>
              <w:t xml:space="preserve">xista un documento </w:t>
            </w:r>
            <w:r w:rsidR="00E4734D">
              <w:rPr>
                <w:rFonts w:ascii="Verdana" w:eastAsia="Calibri" w:hAnsi="Verdana" w:cs="Arial"/>
              </w:rPr>
              <w:t>interno de designación de estas funciones a un funcionario de la entidad que realiza el contrato.</w:t>
            </w:r>
          </w:p>
          <w:p w14:paraId="7207A14A" w14:textId="063D3B04" w:rsidR="003823D3" w:rsidRPr="000E0B40" w:rsidRDefault="000B0312" w:rsidP="000B0312">
            <w:pPr>
              <w:pStyle w:val="Prrafodelista"/>
              <w:numPr>
                <w:ilvl w:val="0"/>
                <w:numId w:val="22"/>
              </w:numPr>
              <w:spacing w:after="120" w:line="276" w:lineRule="auto"/>
              <w:jc w:val="both"/>
              <w:rPr>
                <w:rFonts w:ascii="Verdana" w:eastAsia="Calibri" w:hAnsi="Verdana" w:cs="Arial"/>
              </w:rPr>
            </w:pPr>
            <w:r>
              <w:rPr>
                <w:rFonts w:ascii="Verdana" w:eastAsia="Calibri" w:hAnsi="Verdana" w:cs="Arial"/>
              </w:rPr>
              <w:t>El</w:t>
            </w:r>
            <w:r w:rsidR="00472BEB" w:rsidRPr="000E0B40">
              <w:rPr>
                <w:rFonts w:ascii="Verdana" w:eastAsia="Calibri" w:hAnsi="Verdana" w:cs="Arial"/>
              </w:rPr>
              <w:t xml:space="preserve"> supervisor tenga acceso al contrato por medio de la plataforma una vez el usuario administrador le haya otorgado el acceso.</w:t>
            </w:r>
            <w:r w:rsidR="00C66B38" w:rsidRPr="000E0B40">
              <w:rPr>
                <w:rFonts w:ascii="Verdana" w:eastAsia="Calibri" w:hAnsi="Verdana" w:cs="Arial"/>
              </w:rPr>
              <w:t xml:space="preserve"> </w:t>
            </w:r>
          </w:p>
        </w:tc>
      </w:tr>
    </w:tbl>
    <w:p w14:paraId="55EEE6C2" w14:textId="77777777" w:rsidR="003823D3" w:rsidRPr="009322DA" w:rsidRDefault="003823D3" w:rsidP="003823D3">
      <w:pPr>
        <w:tabs>
          <w:tab w:val="left" w:pos="142"/>
          <w:tab w:val="left" w:pos="284"/>
        </w:tabs>
        <w:spacing w:after="0" w:line="276" w:lineRule="auto"/>
        <w:jc w:val="both"/>
        <w:rPr>
          <w:rFonts w:ascii="Verdana" w:eastAsia="Century Gothic" w:hAnsi="Verdana" w:cs="Century Gothic"/>
          <w:b/>
          <w:bCs/>
          <w:lang w:val="es-ES"/>
        </w:rPr>
      </w:pPr>
    </w:p>
    <w:p w14:paraId="49178FBF" w14:textId="77777777" w:rsidR="003823D3" w:rsidRPr="009322DA" w:rsidRDefault="003823D3" w:rsidP="003823D3">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27F2621D" w14:textId="77777777" w:rsidR="003823D3" w:rsidRPr="009322DA" w:rsidRDefault="003823D3" w:rsidP="003823D3">
      <w:pPr>
        <w:spacing w:after="0" w:line="276" w:lineRule="auto"/>
        <w:jc w:val="both"/>
        <w:rPr>
          <w:rFonts w:ascii="Verdana" w:eastAsia="Calibri" w:hAnsi="Verdana" w:cs="Arial"/>
          <w:lang w:val="es-ES"/>
        </w:rPr>
      </w:pPr>
    </w:p>
    <w:p w14:paraId="18AAB034" w14:textId="77777777" w:rsidR="003823D3" w:rsidRDefault="003823D3" w:rsidP="003823D3">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6736812C" w14:textId="77777777" w:rsidR="003823D3" w:rsidRDefault="003823D3" w:rsidP="003823D3">
      <w:pPr>
        <w:spacing w:after="0" w:line="276" w:lineRule="auto"/>
        <w:jc w:val="both"/>
        <w:rPr>
          <w:rFonts w:ascii="Verdana" w:eastAsia="Calibri" w:hAnsi="Verdana" w:cs="Arial"/>
          <w:lang w:val="es-ES"/>
        </w:rPr>
      </w:pPr>
    </w:p>
    <w:p w14:paraId="31065D5C"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F4294D">
        <w:rPr>
          <w:rFonts w:ascii="Verdana" w:eastAsia="Calibri" w:hAnsi="Verdana" w:cs="Arial"/>
          <w:bCs/>
          <w:color w:val="000000"/>
        </w:rPr>
        <w:t xml:space="preserve">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w:t>
      </w:r>
      <w:proofErr w:type="gramStart"/>
      <w:r w:rsidRPr="00F4294D">
        <w:rPr>
          <w:rFonts w:ascii="Verdana" w:eastAsia="Calibri" w:hAnsi="Verdana" w:cs="Arial"/>
          <w:bCs/>
          <w:color w:val="000000"/>
        </w:rPr>
        <w:t>del mismo</w:t>
      </w:r>
      <w:proofErr w:type="gramEnd"/>
      <w:r w:rsidRPr="00F4294D">
        <w:rPr>
          <w:rFonts w:ascii="Verdana" w:eastAsia="Calibri" w:hAnsi="Verdana" w:cs="Arial"/>
          <w:bCs/>
          <w:color w:val="000000"/>
        </w:rPr>
        <w:t>,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5C386D3C" w14:textId="77777777" w:rsidR="003823D3" w:rsidRDefault="003823D3" w:rsidP="000E0B40">
      <w:pPr>
        <w:pStyle w:val="Prrafodelista"/>
        <w:spacing w:line="276" w:lineRule="auto"/>
        <w:jc w:val="both"/>
        <w:rPr>
          <w:rFonts w:ascii="Verdana" w:eastAsia="Calibri" w:hAnsi="Verdana" w:cs="Arial"/>
          <w:bCs/>
          <w:color w:val="000000"/>
        </w:rPr>
      </w:pPr>
    </w:p>
    <w:p w14:paraId="7BC37654"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F4294D">
        <w:rPr>
          <w:rFonts w:ascii="Verdana" w:eastAsia="Calibri" w:hAnsi="Verdana" w:cs="Arial"/>
          <w:bCs/>
          <w:color w:val="000000"/>
        </w:rPr>
        <w:lastRenderedPageBreak/>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F4294D">
        <w:rPr>
          <w:vertAlign w:val="superscript"/>
        </w:rPr>
        <w:footnoteReference w:id="3"/>
      </w:r>
      <w:r w:rsidRPr="00F4294D">
        <w:rPr>
          <w:rFonts w:ascii="Verdana" w:eastAsia="Calibri" w:hAnsi="Verdana" w:cs="Arial"/>
          <w:bCs/>
          <w:color w:val="000000"/>
        </w:rPr>
        <w:t>. También se establecen los límites de la responsabilidad del representante legal ante la delegación de sus funciones en materia contractual</w:t>
      </w:r>
      <w:r w:rsidRPr="00F4294D">
        <w:rPr>
          <w:vertAlign w:val="superscript"/>
        </w:rPr>
        <w:footnoteReference w:id="4"/>
      </w:r>
      <w:r w:rsidRPr="00F4294D">
        <w:rPr>
          <w:rFonts w:ascii="Verdana" w:eastAsia="Calibri" w:hAnsi="Verdana" w:cs="Arial"/>
          <w:bCs/>
          <w:color w:val="000000"/>
        </w:rPr>
        <w:t xml:space="preserve"> y se regula la supervisión y la interventoría de los contratos estatales</w:t>
      </w:r>
      <w:r w:rsidRPr="00F4294D">
        <w:rPr>
          <w:vertAlign w:val="superscript"/>
        </w:rPr>
        <w:footnoteReference w:id="5"/>
      </w:r>
      <w:r w:rsidRPr="00F4294D">
        <w:rPr>
          <w:rFonts w:ascii="Verdana" w:eastAsia="Calibri" w:hAnsi="Verdana" w:cs="Arial"/>
          <w:bCs/>
          <w:color w:val="000000"/>
        </w:rPr>
        <w:t xml:space="preserve">. </w:t>
      </w:r>
      <w:bookmarkStart w:id="1" w:name="_Hlk93306307"/>
    </w:p>
    <w:p w14:paraId="149F6510" w14:textId="77777777" w:rsidR="003823D3" w:rsidRPr="00F4294D" w:rsidRDefault="003823D3" w:rsidP="000E0B40">
      <w:pPr>
        <w:pStyle w:val="Prrafodelista"/>
        <w:spacing w:line="276" w:lineRule="auto"/>
        <w:rPr>
          <w:rFonts w:ascii="Verdana" w:eastAsia="Calibri" w:hAnsi="Verdana" w:cs="Arial"/>
          <w:bCs/>
          <w:color w:val="000000"/>
          <w:lang w:val="es-MX"/>
        </w:rPr>
      </w:pPr>
    </w:p>
    <w:p w14:paraId="41F4C3B2" w14:textId="77777777" w:rsidR="003823D3" w:rsidRPr="00F4294D" w:rsidRDefault="003823D3" w:rsidP="000E0B40">
      <w:pPr>
        <w:pStyle w:val="Prrafodelista"/>
        <w:numPr>
          <w:ilvl w:val="0"/>
          <w:numId w:val="20"/>
        </w:numPr>
        <w:spacing w:line="276" w:lineRule="auto"/>
        <w:jc w:val="both"/>
        <w:rPr>
          <w:rFonts w:ascii="Verdana" w:eastAsia="Calibri" w:hAnsi="Verdana" w:cs="Arial"/>
          <w:bCs/>
          <w:color w:val="000000"/>
        </w:rPr>
      </w:pPr>
      <w:r w:rsidRPr="00F4294D">
        <w:rPr>
          <w:rFonts w:ascii="Verdana" w:eastAsia="Calibri" w:hAnsi="Verdana" w:cs="Arial"/>
          <w:bCs/>
          <w:color w:val="000000"/>
          <w:lang w:val="es-MX"/>
        </w:rPr>
        <w:t xml:space="preserve">Frente a la supervisión de los contratos estatales se tiene que la Ley 1474 de 2011 enmarcó el seguimiento, control y vigilancia de la ejecución del contrato estatal dentro del principio de moralidad administrativa. El artículo 83 </w:t>
      </w:r>
      <w:r w:rsidRPr="00F4294D">
        <w:rPr>
          <w:rFonts w:ascii="Verdana" w:eastAsia="Calibri" w:hAnsi="Verdana" w:cs="Arial"/>
          <w:bCs/>
          <w:i/>
          <w:iCs/>
          <w:color w:val="000000"/>
          <w:lang w:val="es-MX"/>
        </w:rPr>
        <w:t xml:space="preserve">ibidem </w:t>
      </w:r>
      <w:r w:rsidRPr="00F4294D">
        <w:rPr>
          <w:rFonts w:ascii="Verdana" w:eastAsia="Calibri" w:hAnsi="Verdana" w:cs="Arial"/>
          <w:bCs/>
          <w:color w:val="000000"/>
          <w:lang w:val="es-MX"/>
        </w:rPr>
        <w:t xml:space="preserve">establece que </w:t>
      </w:r>
      <w:r>
        <w:rPr>
          <w:rFonts w:ascii="Verdana" w:eastAsia="Calibri" w:hAnsi="Verdana" w:cs="Arial"/>
          <w:bCs/>
          <w:color w:val="000000"/>
          <w:lang w:val="es-MX"/>
        </w:rPr>
        <w:t>“</w:t>
      </w:r>
      <w:r w:rsidRPr="00F4294D">
        <w:rPr>
          <w:rFonts w:ascii="Verdana" w:eastAsia="Calibri" w:hAnsi="Verdana" w:cs="Arial"/>
          <w:bCs/>
          <w:color w:val="000000"/>
          <w:lang w:val="es-MX"/>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Pr>
          <w:rFonts w:ascii="Verdana" w:eastAsia="Calibri" w:hAnsi="Verdana" w:cs="Arial"/>
          <w:bCs/>
          <w:color w:val="000000"/>
          <w:lang w:val="es-MX"/>
        </w:rPr>
        <w:t>”</w:t>
      </w:r>
      <w:r w:rsidRPr="00F4294D">
        <w:rPr>
          <w:rFonts w:ascii="Verdana" w:eastAsia="Calibri" w:hAnsi="Verdana" w:cs="Arial"/>
          <w:bCs/>
          <w:color w:val="000000"/>
          <w:lang w:val="es-MX"/>
        </w:rPr>
        <w:t xml:space="preserve">. </w:t>
      </w:r>
      <w:bookmarkEnd w:id="1"/>
      <w:r w:rsidRPr="00F4294D">
        <w:rPr>
          <w:rFonts w:ascii="Verdana" w:eastAsia="Calibri" w:hAnsi="Verdana" w:cs="Arial"/>
          <w:bCs/>
          <w:color w:val="000000"/>
          <w:lang w:val="es-MX"/>
        </w:rPr>
        <w:t xml:space="preserve">Además, el legislador definió las nociones de </w:t>
      </w:r>
      <w:r w:rsidRPr="00F4294D">
        <w:rPr>
          <w:rFonts w:ascii="Verdana" w:eastAsia="Calibri" w:hAnsi="Verdana" w:cs="Arial"/>
          <w:bCs/>
          <w:i/>
          <w:iCs/>
          <w:color w:val="000000"/>
          <w:lang w:val="es-MX"/>
        </w:rPr>
        <w:t>supervisión</w:t>
      </w:r>
      <w:r w:rsidRPr="00F4294D">
        <w:rPr>
          <w:rFonts w:ascii="Verdana" w:eastAsia="Calibri" w:hAnsi="Verdana" w:cs="Arial"/>
          <w:bCs/>
          <w:color w:val="000000"/>
          <w:lang w:val="es-MX"/>
        </w:rPr>
        <w:t xml:space="preserve">, como mecanismos que pueden usar las entidades estatales para vigilar el contrato, en estos términos: </w:t>
      </w:r>
    </w:p>
    <w:p w14:paraId="660455EF" w14:textId="77777777" w:rsidR="003823D3" w:rsidRPr="00F4294D" w:rsidRDefault="003823D3" w:rsidP="003823D3">
      <w:pPr>
        <w:pStyle w:val="Prrafodelista"/>
        <w:rPr>
          <w:rFonts w:ascii="Verdana" w:eastAsia="Calibri" w:hAnsi="Verdana" w:cs="Arial"/>
          <w:bCs/>
          <w:color w:val="000000"/>
          <w:lang w:val="es-CO"/>
        </w:rPr>
      </w:pPr>
    </w:p>
    <w:p w14:paraId="4F619C99" w14:textId="77777777" w:rsidR="003823D3" w:rsidRPr="00F4294D" w:rsidRDefault="003823D3" w:rsidP="003823D3">
      <w:pPr>
        <w:pStyle w:val="Prrafodelista"/>
        <w:ind w:left="1416"/>
        <w:rPr>
          <w:rFonts w:ascii="Verdana" w:eastAsia="Calibri" w:hAnsi="Verdana" w:cs="Arial"/>
          <w:bCs/>
          <w:color w:val="000000"/>
          <w:sz w:val="20"/>
          <w:szCs w:val="20"/>
          <w:lang w:val="es-CO"/>
        </w:rPr>
      </w:pPr>
      <w:r w:rsidRPr="00F4294D">
        <w:rPr>
          <w:rFonts w:ascii="Verdana" w:eastAsia="Calibri" w:hAnsi="Verdana" w:cs="Arial"/>
          <w:bCs/>
          <w:color w:val="000000"/>
          <w:sz w:val="20"/>
          <w:szCs w:val="20"/>
          <w:lang w:val="es-CO"/>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6EC16D33" w14:textId="77777777" w:rsidR="003823D3" w:rsidRDefault="003823D3" w:rsidP="003823D3">
      <w:pPr>
        <w:rPr>
          <w:rFonts w:ascii="Verdana" w:eastAsia="Calibri" w:hAnsi="Verdana" w:cs="Arial"/>
          <w:bCs/>
          <w:color w:val="000000"/>
        </w:rPr>
      </w:pPr>
    </w:p>
    <w:p w14:paraId="0D8732A5"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F4294D">
        <w:rPr>
          <w:rFonts w:ascii="Verdana" w:eastAsia="Calibri" w:hAnsi="Verdana" w:cs="Arial"/>
          <w:bCs/>
          <w:color w:val="000000"/>
        </w:rPr>
        <w:t xml:space="preserve">De </w:t>
      </w:r>
      <w:r>
        <w:rPr>
          <w:rFonts w:ascii="Verdana" w:eastAsia="Calibri" w:hAnsi="Verdana" w:cs="Arial"/>
          <w:bCs/>
          <w:color w:val="000000"/>
        </w:rPr>
        <w:t xml:space="preserve">este </w:t>
      </w:r>
      <w:r w:rsidRPr="00F4294D">
        <w:rPr>
          <w:rFonts w:ascii="Verdana" w:eastAsia="Calibri" w:hAnsi="Verdana" w:cs="Arial"/>
          <w:bCs/>
          <w:color w:val="000000"/>
        </w:rPr>
        <w:t xml:space="preserve">concepto, según lo expresado por esta entidad, se extraen las siguientes </w:t>
      </w:r>
      <w:r w:rsidRPr="000E0B40">
        <w:rPr>
          <w:rFonts w:ascii="Verdana" w:eastAsia="Calibri" w:hAnsi="Verdana" w:cs="Arial"/>
          <w:color w:val="000000"/>
          <w:lang w:val="es-MX"/>
        </w:rPr>
        <w:t>características</w:t>
      </w:r>
      <w:r w:rsidRPr="00F4294D">
        <w:rPr>
          <w:rFonts w:ascii="Verdana" w:eastAsia="Calibri" w:hAnsi="Verdana" w:cs="Arial"/>
          <w:bCs/>
          <w:color w:val="000000"/>
        </w:rPr>
        <w:t>:</w:t>
      </w:r>
    </w:p>
    <w:p w14:paraId="16AE93D3" w14:textId="77777777" w:rsidR="003823D3" w:rsidRDefault="003823D3" w:rsidP="003823D3">
      <w:pPr>
        <w:pStyle w:val="Prrafodelista"/>
        <w:rPr>
          <w:rFonts w:ascii="Verdana" w:eastAsia="Calibri" w:hAnsi="Verdana" w:cs="Arial"/>
          <w:bCs/>
          <w:color w:val="000000"/>
        </w:rPr>
      </w:pPr>
    </w:p>
    <w:p w14:paraId="4269BBC0" w14:textId="77777777" w:rsidR="003823D3" w:rsidRPr="00F4294D" w:rsidRDefault="003823D3" w:rsidP="003823D3">
      <w:pPr>
        <w:pStyle w:val="Prrafodelista"/>
        <w:ind w:left="1416"/>
        <w:rPr>
          <w:rFonts w:ascii="Verdana" w:eastAsia="Calibri" w:hAnsi="Verdana" w:cs="Arial"/>
          <w:bCs/>
          <w:color w:val="000000"/>
          <w:sz w:val="20"/>
          <w:szCs w:val="20"/>
          <w:lang w:val="es-CO"/>
        </w:rPr>
      </w:pPr>
      <w:r w:rsidRPr="00F4294D">
        <w:rPr>
          <w:rFonts w:ascii="Verdana" w:eastAsia="Calibri" w:hAnsi="Verdana" w:cs="Arial"/>
          <w:bCs/>
          <w:color w:val="000000"/>
          <w:sz w:val="20"/>
          <w:szCs w:val="20"/>
          <w:lang w:val="es-CO"/>
        </w:rPr>
        <w:lastRenderedPageBreak/>
        <w:t>- La labor de supervisión siempre existirá en relación con cualquier contrato estatal (a diferencia de la interventoría que depende del análisis de su necesidad y extensión</w:t>
      </w:r>
      <w:r w:rsidRPr="00F4294D">
        <w:rPr>
          <w:rFonts w:ascii="Verdana" w:eastAsia="Calibri" w:hAnsi="Verdana" w:cs="Arial"/>
          <w:bCs/>
          <w:color w:val="000000"/>
          <w:sz w:val="20"/>
          <w:szCs w:val="20"/>
          <w:vertAlign w:val="superscript"/>
          <w:lang w:val="es-CO"/>
        </w:rPr>
        <w:footnoteReference w:id="6"/>
      </w:r>
      <w:r w:rsidRPr="00F4294D">
        <w:rPr>
          <w:rFonts w:ascii="Verdana" w:eastAsia="Calibri" w:hAnsi="Verdana" w:cs="Arial"/>
          <w:bCs/>
          <w:color w:val="000000"/>
          <w:sz w:val="20"/>
          <w:szCs w:val="20"/>
          <w:lang w:val="es-CO"/>
        </w:rPr>
        <w:t>).</w:t>
      </w:r>
    </w:p>
    <w:p w14:paraId="6D549422" w14:textId="77777777" w:rsidR="003823D3" w:rsidRPr="00F4294D" w:rsidRDefault="003823D3" w:rsidP="003823D3">
      <w:pPr>
        <w:pStyle w:val="Prrafodelista"/>
        <w:ind w:firstLine="696"/>
        <w:rPr>
          <w:rFonts w:ascii="Verdana" w:eastAsia="Calibri" w:hAnsi="Verdana" w:cs="Arial"/>
          <w:bCs/>
          <w:color w:val="000000"/>
          <w:sz w:val="20"/>
          <w:szCs w:val="20"/>
          <w:lang w:val="es-CO"/>
        </w:rPr>
      </w:pPr>
      <w:r w:rsidRPr="00F4294D">
        <w:rPr>
          <w:rFonts w:ascii="Verdana" w:eastAsia="Calibri" w:hAnsi="Verdana" w:cs="Arial"/>
          <w:bCs/>
          <w:color w:val="000000"/>
          <w:sz w:val="20"/>
          <w:szCs w:val="20"/>
          <w:lang w:val="es-CO"/>
        </w:rPr>
        <w:t>- No requiere conocimientos especializados.</w:t>
      </w:r>
    </w:p>
    <w:p w14:paraId="60C3BEF5" w14:textId="77777777" w:rsidR="003823D3" w:rsidRPr="00F4294D" w:rsidRDefault="003823D3" w:rsidP="003823D3">
      <w:pPr>
        <w:pStyle w:val="Prrafodelista"/>
        <w:ind w:left="1416"/>
        <w:rPr>
          <w:rFonts w:ascii="Verdana" w:eastAsia="Calibri" w:hAnsi="Verdana" w:cs="Arial"/>
          <w:bCs/>
          <w:color w:val="000000"/>
          <w:sz w:val="20"/>
          <w:szCs w:val="20"/>
          <w:lang w:val="es-CO"/>
        </w:rPr>
      </w:pPr>
      <w:r w:rsidRPr="00F4294D">
        <w:rPr>
          <w:rFonts w:ascii="Verdana" w:eastAsia="Calibri" w:hAnsi="Verdana" w:cs="Arial"/>
          <w:bCs/>
          <w:color w:val="000000"/>
          <w:sz w:val="20"/>
          <w:szCs w:val="20"/>
          <w:lang w:val="es-CO"/>
        </w:rPr>
        <w:t>- Se ejerce por la entidad estatal por conducto de la designación de servidores públicos idóneos para cumplir la función.</w:t>
      </w:r>
    </w:p>
    <w:p w14:paraId="50819857" w14:textId="77777777" w:rsidR="003823D3" w:rsidRDefault="003823D3" w:rsidP="003823D3">
      <w:pPr>
        <w:pStyle w:val="Prrafodelista"/>
        <w:ind w:left="1416"/>
        <w:rPr>
          <w:rFonts w:ascii="Verdana" w:eastAsia="Calibri" w:hAnsi="Verdana" w:cs="Arial"/>
          <w:bCs/>
          <w:color w:val="000000"/>
          <w:sz w:val="20"/>
          <w:szCs w:val="20"/>
          <w:lang w:val="es-CO"/>
        </w:rPr>
      </w:pPr>
      <w:r w:rsidRPr="00F4294D">
        <w:rPr>
          <w:rFonts w:ascii="Verdana" w:eastAsia="Calibri" w:hAnsi="Verdana" w:cs="Arial"/>
          <w:bCs/>
          <w:color w:val="000000"/>
          <w:sz w:val="20"/>
          <w:szCs w:val="20"/>
          <w:lang w:val="es-CO"/>
        </w:rPr>
        <w:t>- Puede recibir apoyo de personal contratado para tal fin mediante contrato de prestación de servicios.</w:t>
      </w:r>
    </w:p>
    <w:p w14:paraId="16BE2B8F" w14:textId="77777777" w:rsidR="003823D3" w:rsidRPr="00F4294D" w:rsidRDefault="003823D3" w:rsidP="003823D3">
      <w:pPr>
        <w:pStyle w:val="Prrafodelista"/>
        <w:ind w:left="1416"/>
        <w:rPr>
          <w:rFonts w:ascii="Verdana" w:eastAsia="Calibri" w:hAnsi="Verdana" w:cs="Arial"/>
          <w:bCs/>
          <w:color w:val="000000"/>
          <w:sz w:val="20"/>
          <w:szCs w:val="20"/>
          <w:lang w:val="es-CO"/>
        </w:rPr>
      </w:pPr>
    </w:p>
    <w:p w14:paraId="1899BA49" w14:textId="77777777" w:rsidR="003823D3" w:rsidRPr="000E0B40" w:rsidRDefault="003823D3" w:rsidP="000E0B40">
      <w:pPr>
        <w:pStyle w:val="Prrafodelista"/>
        <w:numPr>
          <w:ilvl w:val="0"/>
          <w:numId w:val="20"/>
        </w:numPr>
        <w:spacing w:line="276" w:lineRule="auto"/>
        <w:jc w:val="both"/>
        <w:rPr>
          <w:rFonts w:ascii="Verdana" w:eastAsia="Calibri" w:hAnsi="Verdana" w:cs="Arial"/>
          <w:color w:val="000000"/>
          <w:lang w:val="es-MX"/>
        </w:rPr>
      </w:pPr>
      <w:r w:rsidRPr="000E0B40">
        <w:rPr>
          <w:rFonts w:ascii="Verdana" w:eastAsia="Calibri" w:hAnsi="Verdana" w:cs="Arial"/>
          <w:color w:val="000000"/>
          <w:lang w:val="es-MX"/>
        </w:rPr>
        <w:t>Por otro lado, quien ejerza la vigilancia de la ejecución del contrato, mediante la supervisión, puede hacer uso de las facultades previstas en el artículo 84 de la Ley 1474 de 2011 para efectuar el seguimiento al cumplimiento obligacional del contrato y estará sometido a los deberes y responsabilidades que implica el ejercicio de dicha actividad.</w:t>
      </w:r>
    </w:p>
    <w:p w14:paraId="5C8C31DF" w14:textId="77777777" w:rsidR="003823D3" w:rsidRDefault="003823D3" w:rsidP="003823D3">
      <w:pPr>
        <w:pStyle w:val="Prrafodelista"/>
        <w:jc w:val="both"/>
        <w:rPr>
          <w:rFonts w:ascii="Verdana" w:eastAsia="Calibri" w:hAnsi="Verdana" w:cs="Arial"/>
          <w:bCs/>
          <w:color w:val="000000"/>
        </w:rPr>
      </w:pPr>
    </w:p>
    <w:p w14:paraId="0962306D"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084D33">
        <w:rPr>
          <w:rFonts w:ascii="Verdana" w:eastAsia="Calibri" w:hAnsi="Verdana" w:cs="Arial"/>
          <w:bCs/>
          <w:color w:val="000000"/>
        </w:rPr>
        <w:t xml:space="preserve">Ahora bien, en cuanto a la designación del supervisor, Colombia Compra Eficiente, en la </w:t>
      </w:r>
      <w:r>
        <w:rPr>
          <w:rFonts w:ascii="Verdana" w:eastAsia="Calibri" w:hAnsi="Verdana" w:cs="Arial"/>
          <w:bCs/>
          <w:color w:val="000000"/>
        </w:rPr>
        <w:t>“</w:t>
      </w:r>
      <w:r w:rsidRPr="00084D33">
        <w:rPr>
          <w:rFonts w:ascii="Verdana" w:eastAsia="Calibri" w:hAnsi="Verdana" w:cs="Arial"/>
          <w:bCs/>
          <w:color w:val="000000"/>
        </w:rPr>
        <w:t>Guía para el ejercicio de las funciones de supervisión e interventoría de los contratos del Estado</w:t>
      </w:r>
      <w:r>
        <w:rPr>
          <w:rFonts w:ascii="Verdana" w:eastAsia="Calibri" w:hAnsi="Verdana" w:cs="Arial"/>
          <w:bCs/>
          <w:color w:val="000000"/>
        </w:rPr>
        <w:t>”</w:t>
      </w:r>
      <w:r w:rsidRPr="00084D33">
        <w:rPr>
          <w:rFonts w:ascii="Verdana" w:eastAsia="Calibri" w:hAnsi="Verdana" w:cs="Arial"/>
          <w:bCs/>
          <w:color w:val="000000"/>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16E8751B" w14:textId="77777777" w:rsidR="003823D3" w:rsidRPr="00084D33" w:rsidRDefault="003823D3" w:rsidP="000E0B40">
      <w:pPr>
        <w:pStyle w:val="Prrafodelista"/>
        <w:spacing w:line="276" w:lineRule="auto"/>
        <w:rPr>
          <w:rFonts w:ascii="Verdana" w:eastAsia="Calibri" w:hAnsi="Verdana" w:cs="Arial"/>
          <w:bCs/>
          <w:color w:val="000000"/>
        </w:rPr>
      </w:pPr>
    </w:p>
    <w:p w14:paraId="6EE1466D"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084D33">
        <w:rPr>
          <w:rFonts w:ascii="Verdana" w:eastAsia="Calibri" w:hAnsi="Verdana" w:cs="Arial"/>
          <w:bCs/>
          <w:color w:val="000000"/>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p>
    <w:p w14:paraId="5357B796" w14:textId="77777777" w:rsidR="003823D3" w:rsidRPr="00084D33" w:rsidRDefault="003823D3" w:rsidP="003823D3">
      <w:pPr>
        <w:pStyle w:val="Prrafodelista"/>
        <w:rPr>
          <w:rFonts w:ascii="Verdana" w:eastAsia="Calibri" w:hAnsi="Verdana" w:cs="Arial"/>
          <w:bCs/>
          <w:color w:val="000000"/>
        </w:rPr>
      </w:pPr>
    </w:p>
    <w:p w14:paraId="672AD639" w14:textId="77777777" w:rsidR="003823D3" w:rsidRDefault="003823D3" w:rsidP="000E0B40">
      <w:pPr>
        <w:pStyle w:val="Prrafodelista"/>
        <w:numPr>
          <w:ilvl w:val="0"/>
          <w:numId w:val="20"/>
        </w:numPr>
        <w:spacing w:line="276" w:lineRule="auto"/>
        <w:jc w:val="both"/>
        <w:rPr>
          <w:rFonts w:ascii="Verdana" w:eastAsia="Calibri" w:hAnsi="Verdana" w:cs="Arial"/>
          <w:bCs/>
          <w:color w:val="000000"/>
        </w:rPr>
      </w:pPr>
      <w:r w:rsidRPr="00084D33">
        <w:rPr>
          <w:rFonts w:ascii="Verdana" w:eastAsia="Calibri" w:hAnsi="Verdana" w:cs="Arial"/>
          <w:bCs/>
          <w:color w:val="000000"/>
        </w:rPr>
        <w:lastRenderedPageBreak/>
        <w:t>Si bien es cierto que para desarrollar la supervisión del contrato podrían no requerirse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los aspectos a supervisar. Lo anterior con la finalidad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w:t>
      </w:r>
    </w:p>
    <w:p w14:paraId="716935A6" w14:textId="77777777" w:rsidR="003823D3" w:rsidRDefault="003823D3" w:rsidP="000E0B40">
      <w:pPr>
        <w:pStyle w:val="Prrafodelista"/>
        <w:spacing w:line="276" w:lineRule="auto"/>
        <w:jc w:val="both"/>
        <w:rPr>
          <w:rFonts w:ascii="Verdana" w:eastAsia="Calibri" w:hAnsi="Verdana" w:cs="Arial"/>
          <w:bCs/>
          <w:color w:val="000000"/>
        </w:rPr>
      </w:pPr>
    </w:p>
    <w:p w14:paraId="6C3C258D" w14:textId="77777777" w:rsidR="003823D3" w:rsidRPr="00F90CE6" w:rsidRDefault="003823D3" w:rsidP="000E0B40">
      <w:pPr>
        <w:pStyle w:val="Prrafodelista"/>
        <w:numPr>
          <w:ilvl w:val="0"/>
          <w:numId w:val="20"/>
        </w:numPr>
        <w:spacing w:line="276" w:lineRule="auto"/>
        <w:jc w:val="both"/>
        <w:rPr>
          <w:rFonts w:ascii="Verdana" w:eastAsia="Calibri" w:hAnsi="Verdana" w:cs="Arial"/>
          <w:bCs/>
          <w:color w:val="000000"/>
        </w:rPr>
      </w:pPr>
      <w:r w:rsidRPr="00084D33">
        <w:rPr>
          <w:rFonts w:ascii="Verdana" w:eastAsia="Calibri" w:hAnsi="Verdana" w:cs="Arial"/>
          <w:bCs/>
          <w:color w:val="000000"/>
        </w:rPr>
        <w:t>En este contexto, al tener el supervisor la obligación de vigilar permanentemente la totalidad de los aspectos identificados en el inciso segundo del artículo 83 de la Ley 1474 de 2011, está obligado al seguimiento financiero del contrato</w:t>
      </w:r>
      <w:r w:rsidRPr="00084D33">
        <w:rPr>
          <w:vertAlign w:val="superscript"/>
        </w:rPr>
        <w:footnoteReference w:id="7"/>
      </w:r>
      <w:r w:rsidRPr="00084D33">
        <w:rPr>
          <w:rFonts w:ascii="Verdana" w:eastAsia="Calibri" w:hAnsi="Verdana" w:cs="Arial"/>
          <w:bCs/>
          <w:color w:val="000000"/>
        </w:rPr>
        <w:t xml:space="preserve">. A esto se refiere la norma citada cuando dispone que </w:t>
      </w:r>
      <w:r>
        <w:rPr>
          <w:rFonts w:ascii="Verdana" w:eastAsia="Calibri" w:hAnsi="Verdana" w:cs="Arial"/>
          <w:bCs/>
          <w:color w:val="000000"/>
        </w:rPr>
        <w:t>“</w:t>
      </w:r>
      <w:r w:rsidRPr="00084D33">
        <w:rPr>
          <w:rFonts w:ascii="Verdana" w:eastAsia="Calibri" w:hAnsi="Verdana" w:cs="Arial"/>
          <w:bCs/>
          <w:color w:val="000000"/>
        </w:rPr>
        <w:t xml:space="preserve">La supervisión consistirá en el seguimiento técnico, administrativo, </w:t>
      </w:r>
      <w:r w:rsidRPr="00084D33">
        <w:rPr>
          <w:rFonts w:ascii="Verdana" w:eastAsia="Calibri" w:hAnsi="Verdana" w:cs="Arial"/>
          <w:bCs/>
          <w:i/>
          <w:iCs/>
          <w:color w:val="000000"/>
        </w:rPr>
        <w:t>financiero</w:t>
      </w:r>
      <w:r w:rsidRPr="00084D33">
        <w:rPr>
          <w:rFonts w:ascii="Verdana" w:eastAsia="Calibri" w:hAnsi="Verdana" w:cs="Arial"/>
          <w:bCs/>
          <w:color w:val="000000"/>
        </w:rPr>
        <w:t>, contable, y jurídico que, sobre el cumplimiento del objeto del contrato, es ejercida por la misma entidad estatal cuando no requieren conocimientos especializados […]</w:t>
      </w:r>
      <w:r>
        <w:rPr>
          <w:rFonts w:ascii="Verdana" w:eastAsia="Calibri" w:hAnsi="Verdana" w:cs="Arial"/>
          <w:bCs/>
          <w:color w:val="000000"/>
        </w:rPr>
        <w:t>”</w:t>
      </w:r>
      <w:r w:rsidRPr="00084D33">
        <w:rPr>
          <w:rFonts w:ascii="Verdana" w:eastAsia="Calibri" w:hAnsi="Verdana" w:cs="Arial"/>
          <w:bCs/>
          <w:color w:val="000000"/>
        </w:rPr>
        <w:t xml:space="preserve"> (Énfasis fuera de texto). No obstante, es importante precisar que las actividades de supervisión deben limitarse principalmente a lo pactado por las partes en el contrato vigilado. Al respecto, la </w:t>
      </w:r>
      <w:r>
        <w:rPr>
          <w:rFonts w:ascii="Verdana" w:eastAsia="Calibri" w:hAnsi="Verdana" w:cs="Arial"/>
          <w:bCs/>
          <w:color w:val="000000"/>
        </w:rPr>
        <w:t>“</w:t>
      </w:r>
      <w:r w:rsidRPr="00084D33">
        <w:rPr>
          <w:rFonts w:ascii="Verdana" w:eastAsia="Calibri" w:hAnsi="Verdana" w:cs="Arial"/>
          <w:bCs/>
          <w:color w:val="000000"/>
        </w:rPr>
        <w:t>Guía para el ejercicio de las funciones de supervisión e interventoría de los contratos del Estado</w:t>
      </w:r>
      <w:r>
        <w:rPr>
          <w:rFonts w:ascii="Verdana" w:eastAsia="Calibri" w:hAnsi="Verdana" w:cs="Arial"/>
          <w:bCs/>
          <w:color w:val="000000"/>
        </w:rPr>
        <w:t>”</w:t>
      </w:r>
      <w:r w:rsidRPr="00084D33">
        <w:rPr>
          <w:rFonts w:ascii="Verdana" w:eastAsia="Calibri" w:hAnsi="Verdana" w:cs="Arial"/>
          <w:bCs/>
          <w:color w:val="000000"/>
        </w:rPr>
        <w:t xml:space="preserve"> explica que: </w:t>
      </w:r>
      <w:r>
        <w:rPr>
          <w:rFonts w:ascii="Verdana" w:eastAsia="Calibri" w:hAnsi="Verdana" w:cs="Arial"/>
          <w:bCs/>
          <w:color w:val="000000"/>
        </w:rPr>
        <w:t>“</w:t>
      </w:r>
      <w:r w:rsidRPr="00084D33">
        <w:rPr>
          <w:rFonts w:ascii="Verdana" w:eastAsia="Calibri" w:hAnsi="Verdana" w:cs="Arial"/>
          <w:bCs/>
          <w:color w:val="000000"/>
        </w:rPr>
        <w:t xml:space="preserve">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w:t>
      </w:r>
      <w:r w:rsidRPr="00084D33">
        <w:rPr>
          <w:rFonts w:ascii="Verdana" w:eastAsia="Calibri" w:hAnsi="Verdana" w:cs="Arial"/>
          <w:bCs/>
          <w:color w:val="000000"/>
        </w:rPr>
        <w:lastRenderedPageBreak/>
        <w:t>encaminadas a lograr la correcta ejecución del objeto contratado</w:t>
      </w:r>
      <w:r>
        <w:rPr>
          <w:rFonts w:ascii="Verdana" w:eastAsia="Calibri" w:hAnsi="Verdana" w:cs="Arial"/>
          <w:bCs/>
          <w:color w:val="000000"/>
        </w:rPr>
        <w:t>”</w:t>
      </w:r>
      <w:r w:rsidRPr="00084D33">
        <w:rPr>
          <w:rFonts w:ascii="Verdana" w:eastAsia="Calibri" w:hAnsi="Verdana" w:cs="Arial"/>
          <w:bCs/>
          <w:color w:val="000000"/>
        </w:rPr>
        <w:t xml:space="preserve">. Por lo demás, agrega lo siguiente: </w:t>
      </w:r>
      <w:r>
        <w:rPr>
          <w:rFonts w:ascii="Verdana" w:eastAsia="Calibri" w:hAnsi="Verdana" w:cs="Arial"/>
          <w:bCs/>
          <w:color w:val="000000"/>
        </w:rPr>
        <w:t>“</w:t>
      </w:r>
      <w:r w:rsidRPr="00084D33">
        <w:rPr>
          <w:rFonts w:ascii="Verdana" w:eastAsia="Calibri" w:hAnsi="Verdana" w:cs="Arial"/>
          <w:bCs/>
          <w:color w:val="000000"/>
        </w:rPr>
        <w:t>En ningún caso los interventores o supervisores en ejercicio de sus funciones pueden sustituir a la Entidad Estatal en la toma de decisiones sobre el contrato vigilado por lo que las mismas siempre deben ser tomadas por el representante legal de la Entidad Estatal con base en lo que los primeros hubieran informado sobre la ejecución de las obligaciones contractuales</w:t>
      </w:r>
      <w:r>
        <w:rPr>
          <w:rFonts w:ascii="Verdana" w:eastAsia="Calibri" w:hAnsi="Verdana" w:cs="Arial"/>
          <w:bCs/>
          <w:color w:val="000000"/>
        </w:rPr>
        <w:t>”</w:t>
      </w:r>
      <w:r w:rsidRPr="00084D33">
        <w:rPr>
          <w:rFonts w:ascii="Verdana" w:eastAsia="Calibri" w:hAnsi="Verdana" w:cs="Arial"/>
          <w:bCs/>
          <w:color w:val="000000"/>
        </w:rPr>
        <w:t>.</w:t>
      </w:r>
    </w:p>
    <w:p w14:paraId="4C79DCCA" w14:textId="77777777" w:rsidR="00253A07" w:rsidRDefault="00253A07" w:rsidP="00253A07">
      <w:pPr>
        <w:pStyle w:val="Prrafodelista"/>
        <w:spacing w:line="276" w:lineRule="auto"/>
        <w:jc w:val="both"/>
        <w:rPr>
          <w:rFonts w:ascii="Verdana" w:eastAsia="Calibri" w:hAnsi="Verdana" w:cs="Arial"/>
          <w:bCs/>
          <w:color w:val="000000"/>
        </w:rPr>
      </w:pPr>
    </w:p>
    <w:p w14:paraId="2FEA9A44" w14:textId="2DB721AE" w:rsidR="00DB2D06" w:rsidRPr="004941E9" w:rsidRDefault="001D7598" w:rsidP="00253A07">
      <w:pPr>
        <w:pStyle w:val="Prrafodelista"/>
        <w:numPr>
          <w:ilvl w:val="0"/>
          <w:numId w:val="20"/>
        </w:numPr>
        <w:spacing w:line="276" w:lineRule="auto"/>
        <w:jc w:val="both"/>
        <w:rPr>
          <w:rFonts w:ascii="Verdana" w:eastAsia="Calibri" w:hAnsi="Verdana" w:cs="Arial"/>
          <w:bCs/>
          <w:color w:val="000000"/>
        </w:rPr>
      </w:pPr>
      <w:r>
        <w:rPr>
          <w:rFonts w:ascii="Verdana" w:eastAsia="Calibri" w:hAnsi="Verdana" w:cs="Arial"/>
          <w:bCs/>
          <w:color w:val="000000"/>
          <w:lang w:val="es-CO"/>
        </w:rPr>
        <w:t xml:space="preserve">Es necesario hacer claridad en que </w:t>
      </w:r>
      <w:r w:rsidR="00217E07">
        <w:rPr>
          <w:rFonts w:ascii="Verdana" w:eastAsia="Calibri" w:hAnsi="Verdana" w:cs="Arial"/>
          <w:bCs/>
          <w:color w:val="000000"/>
          <w:lang w:val="es-CO"/>
        </w:rPr>
        <w:t>l</w:t>
      </w:r>
      <w:r w:rsidR="00253A07" w:rsidRPr="00253A07">
        <w:rPr>
          <w:rFonts w:ascii="Verdana" w:eastAsia="Calibri" w:hAnsi="Verdana" w:cs="Arial"/>
          <w:bCs/>
          <w:color w:val="000000"/>
          <w:lang w:val="es-CO"/>
        </w:rPr>
        <w:t>as designaciones de supervisión también pueden realizarse por medio de la plataforma SECOP II según lo que especifica el manual “SECOP II - Gestión contractual para Entidades Estatales</w:t>
      </w:r>
      <w:r w:rsidR="00C268BE">
        <w:rPr>
          <w:rStyle w:val="Refdenotaalpie"/>
          <w:rFonts w:ascii="Verdana" w:eastAsia="Calibri" w:hAnsi="Verdana" w:cs="Arial"/>
          <w:bCs/>
          <w:color w:val="000000"/>
          <w:lang w:val="es-CO"/>
        </w:rPr>
        <w:footnoteReference w:id="8"/>
      </w:r>
      <w:r w:rsidR="00253A07" w:rsidRPr="00253A07">
        <w:rPr>
          <w:rFonts w:ascii="Verdana" w:eastAsia="Calibri" w:hAnsi="Verdana" w:cs="Arial"/>
          <w:bCs/>
          <w:color w:val="000000"/>
          <w:lang w:val="es-CO"/>
        </w:rPr>
        <w:t>”</w:t>
      </w:r>
      <w:r w:rsidR="00F84AC8">
        <w:rPr>
          <w:rFonts w:ascii="Verdana" w:eastAsia="Calibri" w:hAnsi="Verdana" w:cs="Arial"/>
          <w:bCs/>
          <w:color w:val="000000"/>
          <w:lang w:val="es-CO"/>
        </w:rPr>
        <w:t xml:space="preserve"> </w:t>
      </w:r>
      <w:r w:rsidR="00217E07">
        <w:rPr>
          <w:rFonts w:ascii="Verdana" w:eastAsia="Calibri" w:hAnsi="Verdana" w:cs="Arial"/>
          <w:bCs/>
          <w:color w:val="000000"/>
          <w:lang w:val="es-CO"/>
        </w:rPr>
        <w:t>el</w:t>
      </w:r>
      <w:r w:rsidR="004941E9">
        <w:rPr>
          <w:rFonts w:ascii="Verdana" w:eastAsia="Calibri" w:hAnsi="Verdana" w:cs="Arial"/>
          <w:bCs/>
          <w:color w:val="000000"/>
          <w:lang w:val="es-CO"/>
        </w:rPr>
        <w:t xml:space="preserve"> cual estipula:</w:t>
      </w:r>
    </w:p>
    <w:p w14:paraId="0E916119" w14:textId="77777777" w:rsidR="004941E9" w:rsidRPr="004941E9" w:rsidRDefault="004941E9" w:rsidP="004941E9">
      <w:pPr>
        <w:pStyle w:val="Prrafodelista"/>
        <w:rPr>
          <w:rFonts w:ascii="Verdana" w:eastAsia="Calibri" w:hAnsi="Verdana" w:cs="Arial"/>
          <w:bCs/>
          <w:color w:val="000000"/>
        </w:rPr>
      </w:pPr>
    </w:p>
    <w:p w14:paraId="2747F511" w14:textId="7CAF4594" w:rsidR="004941E9" w:rsidRPr="001D7598" w:rsidRDefault="001D7598" w:rsidP="001D7598">
      <w:pPr>
        <w:pStyle w:val="Prrafodelista"/>
        <w:spacing w:line="276" w:lineRule="auto"/>
        <w:ind w:left="1416"/>
        <w:jc w:val="both"/>
        <w:rPr>
          <w:rFonts w:ascii="Verdana" w:eastAsia="Calibri" w:hAnsi="Verdana" w:cs="Arial"/>
          <w:bCs/>
          <w:color w:val="000000"/>
          <w:sz w:val="20"/>
          <w:szCs w:val="20"/>
          <w:lang w:val="es-CO"/>
        </w:rPr>
      </w:pPr>
      <w:r w:rsidRPr="001D7598">
        <w:rPr>
          <w:rFonts w:ascii="Verdana" w:eastAsia="Calibri" w:hAnsi="Verdana" w:cs="Arial"/>
          <w:bCs/>
          <w:color w:val="000000"/>
          <w:sz w:val="20"/>
          <w:szCs w:val="20"/>
          <w:lang w:val="es-CO"/>
        </w:rPr>
        <w:t>“</w:t>
      </w:r>
      <w:r w:rsidR="004941E9" w:rsidRPr="001D7598">
        <w:rPr>
          <w:rFonts w:ascii="Verdana" w:eastAsia="Calibri" w:hAnsi="Verdana" w:cs="Arial"/>
          <w:bCs/>
          <w:color w:val="000000"/>
          <w:sz w:val="20"/>
          <w:szCs w:val="20"/>
          <w:lang w:val="es-CO"/>
        </w:rPr>
        <w:t>El SECOP II le permite definir de manera informativa, el Ordenador del Gasto y el Supervisor del contrato. Esta información la podrá establecer al momento de editar el contrato o cuando el contrato esté suscrito por las partes e inicie su ejecución. Al momento de asignar los usuarios, éstos deben tener acceso a la cuenta de la Entidad Estatal y tener actualizada su información de contacto (número de documento y tipo de documento).</w:t>
      </w:r>
    </w:p>
    <w:p w14:paraId="0BBC93BA" w14:textId="77777777" w:rsidR="001D7598" w:rsidRPr="001D7598" w:rsidRDefault="001D7598" w:rsidP="001D7598">
      <w:pPr>
        <w:pStyle w:val="Prrafodelista"/>
        <w:spacing w:line="276" w:lineRule="auto"/>
        <w:ind w:left="1416"/>
        <w:jc w:val="both"/>
        <w:rPr>
          <w:rFonts w:ascii="Verdana" w:eastAsia="Calibri" w:hAnsi="Verdana" w:cs="Arial"/>
          <w:bCs/>
          <w:color w:val="000000"/>
          <w:sz w:val="20"/>
          <w:szCs w:val="20"/>
          <w:lang w:val="es-CO"/>
        </w:rPr>
      </w:pPr>
    </w:p>
    <w:p w14:paraId="6FBD5577" w14:textId="41863A38" w:rsidR="008E6F04" w:rsidRDefault="001D7598" w:rsidP="008E6F04">
      <w:pPr>
        <w:pStyle w:val="Prrafodelista"/>
        <w:spacing w:line="276" w:lineRule="auto"/>
        <w:ind w:left="1416"/>
        <w:jc w:val="both"/>
        <w:rPr>
          <w:rFonts w:ascii="Verdana" w:eastAsia="Calibri" w:hAnsi="Verdana" w:cs="Arial"/>
          <w:bCs/>
          <w:color w:val="000000"/>
          <w:sz w:val="20"/>
          <w:szCs w:val="20"/>
          <w:lang w:val="es-CO"/>
        </w:rPr>
      </w:pPr>
      <w:r w:rsidRPr="001D7598">
        <w:rPr>
          <w:rFonts w:ascii="Verdana" w:eastAsia="Calibri" w:hAnsi="Verdana" w:cs="Arial"/>
          <w:bCs/>
          <w:color w:val="000000"/>
          <w:sz w:val="20"/>
          <w:szCs w:val="20"/>
          <w:lang w:val="es-CO"/>
        </w:rPr>
        <w:t>De igual forma, el SECOP II generará una reseña histórica de las asignaciones del Ordenador del Gasto y el Supervisor del contrato. Cada vez que cambie los usuarios en la ejecución del contrato. Este campo se diligenciará automáticamente a medida que se asigna el o los nuevos usuarios y selecciona la opción "Guardar y notificar”.”</w:t>
      </w:r>
    </w:p>
    <w:p w14:paraId="12089934" w14:textId="77777777" w:rsidR="008E6F04" w:rsidRDefault="008E6F04" w:rsidP="008E6F04">
      <w:pPr>
        <w:pStyle w:val="Prrafodelista"/>
        <w:spacing w:line="276" w:lineRule="auto"/>
        <w:ind w:left="1416"/>
        <w:jc w:val="both"/>
        <w:rPr>
          <w:rFonts w:ascii="Verdana" w:eastAsia="Calibri" w:hAnsi="Verdana" w:cs="Arial"/>
          <w:bCs/>
          <w:color w:val="000000"/>
          <w:sz w:val="20"/>
          <w:szCs w:val="20"/>
          <w:lang w:val="es-CO"/>
        </w:rPr>
      </w:pPr>
    </w:p>
    <w:p w14:paraId="36EA5770" w14:textId="672303A8" w:rsidR="008E6F04" w:rsidRPr="008E6F04" w:rsidRDefault="008E6F04" w:rsidP="008E6F04">
      <w:pPr>
        <w:pStyle w:val="Prrafodelista"/>
        <w:numPr>
          <w:ilvl w:val="0"/>
          <w:numId w:val="26"/>
        </w:numPr>
        <w:spacing w:line="276" w:lineRule="auto"/>
        <w:jc w:val="both"/>
        <w:rPr>
          <w:rFonts w:ascii="Verdana" w:eastAsia="Calibri" w:hAnsi="Verdana" w:cs="Arial"/>
          <w:bCs/>
          <w:color w:val="000000"/>
        </w:rPr>
      </w:pPr>
      <w:r w:rsidRPr="008E6F04">
        <w:rPr>
          <w:rFonts w:ascii="Verdana" w:eastAsia="Calibri" w:hAnsi="Verdana" w:cs="Arial"/>
          <w:bCs/>
          <w:color w:val="000000"/>
          <w:lang w:val="es-CO"/>
        </w:rPr>
        <w:t xml:space="preserve">En ese sentido, como bien lo establece la </w:t>
      </w:r>
      <w:r>
        <w:rPr>
          <w:rFonts w:ascii="Verdana" w:eastAsia="Calibri" w:hAnsi="Verdana" w:cs="Arial"/>
          <w:bCs/>
          <w:color w:val="000000"/>
          <w:lang w:val="es-CO"/>
        </w:rPr>
        <w:t>“</w:t>
      </w:r>
      <w:r w:rsidRPr="008E6F04">
        <w:rPr>
          <w:rFonts w:ascii="Verdana" w:eastAsia="Calibri" w:hAnsi="Verdana" w:cs="Arial"/>
          <w:bCs/>
          <w:color w:val="000000"/>
          <w:lang w:val="es-CO"/>
        </w:rPr>
        <w:t>Guía para el ejercicio de las funciones de supervisión e interventoría de los contratos del Estado</w:t>
      </w:r>
      <w:r>
        <w:rPr>
          <w:rFonts w:ascii="Verdana" w:eastAsia="Calibri" w:hAnsi="Verdana" w:cs="Arial"/>
          <w:bCs/>
          <w:color w:val="000000"/>
          <w:lang w:val="es-CO"/>
        </w:rPr>
        <w:t>”</w:t>
      </w:r>
      <w:r w:rsidRPr="008E6F04">
        <w:rPr>
          <w:rFonts w:ascii="Verdana" w:eastAsia="Calibri" w:hAnsi="Verdana" w:cs="Arial"/>
          <w:bCs/>
          <w:color w:val="000000"/>
          <w:lang w:val="es-CO"/>
        </w:rPr>
        <w:t xml:space="preserve">, y teniendo en cuenta que no hay norma que establezca una prohibición en tal sentido, la designación del Supervisor se puede realizar </w:t>
      </w:r>
      <w:r>
        <w:rPr>
          <w:rFonts w:ascii="Verdana" w:eastAsia="Calibri" w:hAnsi="Verdana" w:cs="Arial"/>
          <w:bCs/>
          <w:color w:val="000000"/>
          <w:lang w:val="es-CO"/>
        </w:rPr>
        <w:t>“</w:t>
      </w:r>
      <w:r w:rsidRPr="008E6F04">
        <w:rPr>
          <w:rFonts w:ascii="Verdana" w:eastAsia="Calibri" w:hAnsi="Verdana" w:cs="Arial"/>
          <w:bCs/>
          <w:color w:val="000000"/>
          <w:lang w:val="es-CO"/>
        </w:rPr>
        <w:t>en cualquier momento del Proceso de Contratación una vez iniciada la etapa de planeación</w:t>
      </w:r>
      <w:r>
        <w:rPr>
          <w:rFonts w:ascii="Verdana" w:eastAsia="Calibri" w:hAnsi="Verdana" w:cs="Arial"/>
          <w:bCs/>
          <w:color w:val="000000"/>
          <w:lang w:val="es-CO"/>
        </w:rPr>
        <w:t>”</w:t>
      </w:r>
      <w:r w:rsidRPr="008E6F04">
        <w:rPr>
          <w:rFonts w:ascii="Verdana" w:eastAsia="Calibri" w:hAnsi="Verdana" w:cs="Arial"/>
          <w:bCs/>
          <w:color w:val="000000"/>
          <w:lang w:val="es-CO"/>
        </w:rPr>
        <w:t xml:space="preserve"> y </w:t>
      </w:r>
      <w:r>
        <w:rPr>
          <w:rFonts w:ascii="Verdana" w:eastAsia="Calibri" w:hAnsi="Verdana" w:cs="Arial"/>
          <w:bCs/>
          <w:color w:val="000000"/>
          <w:lang w:val="es-CO"/>
        </w:rPr>
        <w:t>“</w:t>
      </w:r>
      <w:r w:rsidRPr="008E6F04">
        <w:rPr>
          <w:rFonts w:ascii="Verdana" w:eastAsia="Calibri" w:hAnsi="Verdana" w:cs="Arial"/>
          <w:bCs/>
          <w:color w:val="000000"/>
          <w:lang w:val="es-CO"/>
        </w:rPr>
        <w:t>a más tardar al final de la audiencia de adjudicación, cuando el Proceso de Contratación es competitivo o en la fecha de la firma del contrato en los Procesos de Contratación sin competencia</w:t>
      </w:r>
      <w:r>
        <w:rPr>
          <w:rFonts w:ascii="Verdana" w:eastAsia="Calibri" w:hAnsi="Verdana" w:cs="Arial"/>
          <w:bCs/>
          <w:color w:val="000000"/>
          <w:lang w:val="es-CO"/>
        </w:rPr>
        <w:t>”</w:t>
      </w:r>
      <w:r w:rsidRPr="008E6F04">
        <w:rPr>
          <w:rFonts w:ascii="Verdana" w:eastAsia="Calibri" w:hAnsi="Verdana" w:cs="Arial"/>
          <w:bCs/>
          <w:color w:val="000000"/>
          <w:lang w:val="es-CO"/>
        </w:rPr>
        <w:t xml:space="preserve">. Al respecto, cabe recordar el artículo 2.2.1.1.1.3.1 del Decreto 1082 de 2015 define el Proceso de Contratación como el </w:t>
      </w:r>
      <w:r>
        <w:rPr>
          <w:rFonts w:ascii="Verdana" w:eastAsia="Calibri" w:hAnsi="Verdana" w:cs="Arial"/>
          <w:bCs/>
          <w:color w:val="000000"/>
          <w:lang w:val="es-CO"/>
        </w:rPr>
        <w:t>“</w:t>
      </w:r>
      <w:r w:rsidRPr="008E6F04">
        <w:rPr>
          <w:rFonts w:ascii="Verdana" w:eastAsia="Calibri" w:hAnsi="Verdana" w:cs="Arial"/>
          <w:bCs/>
          <w:color w:val="000000"/>
          <w:lang w:val="es-CO"/>
        </w:rPr>
        <w:t xml:space="preserve">Conjunto de actos y actividades, y su secuencia, adelantadas por la Entidad Estatal desde la planeación hasta el vencimiento de las garantías de calidad, estabilidad y </w:t>
      </w:r>
      <w:r w:rsidRPr="008E6F04">
        <w:rPr>
          <w:rFonts w:ascii="Verdana" w:eastAsia="Calibri" w:hAnsi="Verdana" w:cs="Arial"/>
          <w:bCs/>
          <w:color w:val="000000"/>
          <w:lang w:val="es-CO"/>
        </w:rPr>
        <w:lastRenderedPageBreak/>
        <w:t>mantenimiento, o las condiciones de disposición final o recuperación ambiental de las obras o bienes o el vencimiento del plazo, lo que ocurra más tarde</w:t>
      </w:r>
      <w:r>
        <w:rPr>
          <w:rFonts w:ascii="Verdana" w:eastAsia="Calibri" w:hAnsi="Verdana" w:cs="Arial"/>
          <w:bCs/>
          <w:color w:val="000000"/>
          <w:lang w:val="es-CO"/>
        </w:rPr>
        <w:t>”</w:t>
      </w:r>
      <w:r w:rsidRPr="008E6F04">
        <w:rPr>
          <w:rFonts w:ascii="Verdana" w:eastAsia="Calibri" w:hAnsi="Verdana" w:cs="Arial"/>
          <w:bCs/>
          <w:color w:val="000000"/>
          <w:lang w:val="es-CO"/>
        </w:rPr>
        <w:t xml:space="preserve">. </w:t>
      </w:r>
    </w:p>
    <w:p w14:paraId="5A7982FD" w14:textId="77777777" w:rsidR="003823D3" w:rsidRPr="009322DA" w:rsidRDefault="003823D3" w:rsidP="003823D3">
      <w:pPr>
        <w:jc w:val="both"/>
        <w:rPr>
          <w:rFonts w:ascii="Verdana" w:eastAsia="Calibri" w:hAnsi="Verdana" w:cs="Arial"/>
          <w:b/>
          <w:bCs/>
        </w:rPr>
      </w:pPr>
      <w:r w:rsidRPr="009322DA">
        <w:rPr>
          <w:rFonts w:ascii="Verdana" w:eastAsia="Calibri" w:hAnsi="Verdana" w:cs="Arial"/>
          <w:b/>
          <w:bCs/>
        </w:rPr>
        <w:t>4. Referencias</w:t>
      </w:r>
      <w:r>
        <w:rPr>
          <w:rFonts w:ascii="Verdana" w:eastAsia="Calibri" w:hAnsi="Verdana" w:cs="Arial"/>
          <w:b/>
          <w:bCs/>
        </w:rPr>
        <w:t xml:space="preserve"> </w:t>
      </w:r>
      <w:r w:rsidRPr="009322DA">
        <w:rPr>
          <w:rFonts w:ascii="Verdana" w:eastAsia="Calibri" w:hAnsi="Verdana" w:cs="Arial"/>
          <w:b/>
          <w:bCs/>
        </w:rPr>
        <w:t>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3823D3" w:rsidRPr="009322DA" w14:paraId="3370846A" w14:textId="77777777" w:rsidTr="002811D0">
        <w:trPr>
          <w:trHeight w:val="1068"/>
        </w:trPr>
        <w:tc>
          <w:tcPr>
            <w:tcW w:w="8647" w:type="dxa"/>
            <w:tcBorders>
              <w:top w:val="dotted" w:sz="4" w:space="0" w:color="auto"/>
              <w:left w:val="dotted" w:sz="4" w:space="0" w:color="auto"/>
              <w:bottom w:val="dotted" w:sz="4" w:space="0" w:color="auto"/>
              <w:right w:val="dotted" w:sz="4" w:space="0" w:color="auto"/>
            </w:tcBorders>
          </w:tcPr>
          <w:p w14:paraId="02A30BFD" w14:textId="77777777" w:rsidR="003823D3" w:rsidRPr="00CC4240" w:rsidRDefault="003823D3" w:rsidP="003823D3">
            <w:pPr>
              <w:widowControl w:val="0"/>
              <w:numPr>
                <w:ilvl w:val="0"/>
                <w:numId w:val="17"/>
              </w:numPr>
              <w:autoSpaceDE w:val="0"/>
              <w:autoSpaceDN w:val="0"/>
              <w:spacing w:after="120" w:line="276" w:lineRule="auto"/>
              <w:contextualSpacing/>
              <w:jc w:val="both"/>
              <w:rPr>
                <w:rFonts w:ascii="Verdana" w:hAnsi="Verdana" w:cs="Arial"/>
                <w:lang w:val="es-MX"/>
              </w:rPr>
            </w:pPr>
            <w:r w:rsidRPr="00CC4240">
              <w:rPr>
                <w:rFonts w:ascii="Verdana" w:hAnsi="Verdana" w:cs="Arial"/>
                <w:lang w:val="es-MX"/>
              </w:rPr>
              <w:t xml:space="preserve">Ley 80 de 1993; artículos </w:t>
            </w:r>
            <w:r w:rsidRPr="00CC4240">
              <w:rPr>
                <w:rFonts w:ascii="Verdana" w:eastAsia="Calibri" w:hAnsi="Verdana" w:cs="Arial"/>
                <w:bCs/>
                <w:color w:val="000000"/>
              </w:rPr>
              <w:t>4, 5, 12, 14</w:t>
            </w:r>
            <w:r>
              <w:rPr>
                <w:rFonts w:ascii="Verdana" w:eastAsia="Calibri" w:hAnsi="Verdana" w:cs="Arial"/>
                <w:bCs/>
                <w:color w:val="000000"/>
              </w:rPr>
              <w:t>, 23,</w:t>
            </w:r>
            <w:r w:rsidRPr="00CC4240">
              <w:rPr>
                <w:rFonts w:ascii="Verdana" w:eastAsia="Calibri" w:hAnsi="Verdana" w:cs="Arial"/>
                <w:bCs/>
                <w:color w:val="000000"/>
              </w:rPr>
              <w:t xml:space="preserve"> 26</w:t>
            </w:r>
            <w:r>
              <w:rPr>
                <w:rFonts w:ascii="Verdana" w:eastAsia="Calibri" w:hAnsi="Verdana" w:cs="Arial"/>
                <w:bCs/>
                <w:color w:val="000000"/>
              </w:rPr>
              <w:t xml:space="preserve"> y 32 numeral 1</w:t>
            </w:r>
            <w:r w:rsidRPr="00CC4240">
              <w:rPr>
                <w:rFonts w:ascii="Verdana" w:hAnsi="Verdana" w:cs="Arial"/>
                <w:lang w:val="es-MX"/>
              </w:rPr>
              <w:t>.</w:t>
            </w:r>
          </w:p>
          <w:p w14:paraId="440FA7DA" w14:textId="77777777" w:rsidR="003823D3" w:rsidRPr="00CC4240" w:rsidRDefault="003823D3" w:rsidP="003823D3">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rPr>
              <w:t>Ley 1474 de 2011; artículos 83, 84, 85 y 86.</w:t>
            </w:r>
          </w:p>
          <w:p w14:paraId="27A71FDB" w14:textId="77777777" w:rsidR="003823D3" w:rsidRPr="00CC4240" w:rsidRDefault="003823D3" w:rsidP="003823D3">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rPr>
              <w:t>Ley 1150 de 2007; artículos 17 y 21.</w:t>
            </w:r>
          </w:p>
          <w:p w14:paraId="517DCDE1" w14:textId="77777777" w:rsidR="003823D3" w:rsidRPr="00CC4240" w:rsidRDefault="003823D3" w:rsidP="003823D3">
            <w:pPr>
              <w:widowControl w:val="0"/>
              <w:numPr>
                <w:ilvl w:val="0"/>
                <w:numId w:val="17"/>
              </w:numPr>
              <w:autoSpaceDE w:val="0"/>
              <w:autoSpaceDN w:val="0"/>
              <w:spacing w:after="120" w:line="276" w:lineRule="auto"/>
              <w:contextualSpacing/>
              <w:jc w:val="both"/>
              <w:rPr>
                <w:rFonts w:ascii="Verdana" w:hAnsi="Verdana" w:cs="Arial"/>
                <w:lang w:val="es-MX"/>
              </w:rPr>
            </w:pPr>
            <w:r w:rsidRPr="00CC4240">
              <w:rPr>
                <w:rFonts w:ascii="Verdana" w:hAnsi="Verdana" w:cs="Arial"/>
              </w:rPr>
              <w:t>Circular No. 021 del 2016 de la Procuraduría General de la Nación</w:t>
            </w:r>
            <w:r>
              <w:rPr>
                <w:rFonts w:ascii="Verdana" w:hAnsi="Verdana" w:cs="Arial"/>
              </w:rPr>
              <w:t>.</w:t>
            </w:r>
          </w:p>
          <w:p w14:paraId="625008DA" w14:textId="53BBEA94" w:rsidR="003823D3" w:rsidRPr="00955C78" w:rsidRDefault="00AE5499" w:rsidP="003823D3">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bCs/>
              </w:rPr>
              <w:t xml:space="preserve">Colombia Compra Eficiente, </w:t>
            </w:r>
            <w:r w:rsidR="003823D3" w:rsidRPr="00CC4240">
              <w:rPr>
                <w:rFonts w:ascii="Verdana" w:hAnsi="Verdana" w:cs="Arial"/>
                <w:bCs/>
              </w:rPr>
              <w:t>“</w:t>
            </w:r>
            <w:r w:rsidR="003823D3" w:rsidRPr="004F44AA">
              <w:rPr>
                <w:rFonts w:ascii="Verdana" w:hAnsi="Verdana" w:cs="Arial"/>
                <w:bCs/>
              </w:rPr>
              <w:t>Guía para el ejercicio de las funciones de supervisión e interventoría de los contratos del Estado</w:t>
            </w:r>
            <w:r w:rsidR="003823D3" w:rsidRPr="00CC4240">
              <w:rPr>
                <w:rFonts w:ascii="Verdana" w:hAnsi="Verdana" w:cs="Arial"/>
                <w:bCs/>
              </w:rPr>
              <w:t>”</w:t>
            </w:r>
            <w:r w:rsidR="003823D3">
              <w:rPr>
                <w:rFonts w:ascii="Verdana" w:hAnsi="Verdana" w:cs="Arial"/>
                <w:bCs/>
              </w:rPr>
              <w:t xml:space="preserve"> </w:t>
            </w:r>
            <w:hyperlink r:id="rId13" w:history="1">
              <w:r w:rsidR="003823D3" w:rsidRPr="00F20D97">
                <w:rPr>
                  <w:rStyle w:val="Hipervnculo"/>
                  <w:rFonts w:ascii="Verdana" w:hAnsi="Verdana" w:cs="Arial"/>
                  <w:bCs/>
                </w:rPr>
                <w:t>https://www.colombiacompra.gov.co/sites/cce_public/files/cce_documents/cce_guia_supervision_interventoria.pdf</w:t>
              </w:r>
            </w:hyperlink>
            <w:r w:rsidR="003823D3">
              <w:rPr>
                <w:rFonts w:ascii="Verdana" w:hAnsi="Verdana" w:cs="Arial"/>
                <w:bCs/>
              </w:rPr>
              <w:t xml:space="preserve"> </w:t>
            </w:r>
          </w:p>
        </w:tc>
      </w:tr>
    </w:tbl>
    <w:p w14:paraId="7E949B97" w14:textId="77777777" w:rsidR="003823D3" w:rsidRPr="009322DA" w:rsidRDefault="003823D3" w:rsidP="003823D3">
      <w:pPr>
        <w:tabs>
          <w:tab w:val="left" w:pos="142"/>
          <w:tab w:val="left" w:pos="284"/>
        </w:tabs>
        <w:spacing w:after="0" w:line="276" w:lineRule="auto"/>
        <w:jc w:val="both"/>
        <w:rPr>
          <w:rFonts w:ascii="Verdana" w:eastAsia="Calibri" w:hAnsi="Verdana" w:cs="Arial"/>
        </w:rPr>
      </w:pPr>
    </w:p>
    <w:p w14:paraId="2621DBD4" w14:textId="77777777" w:rsidR="003823D3" w:rsidRDefault="003823D3" w:rsidP="003823D3">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7BFB241C" w14:textId="77777777" w:rsidR="003823D3" w:rsidRPr="009322DA" w:rsidRDefault="003823D3" w:rsidP="003823D3">
      <w:pPr>
        <w:tabs>
          <w:tab w:val="left" w:pos="142"/>
          <w:tab w:val="left" w:pos="284"/>
        </w:tabs>
        <w:spacing w:after="0" w:line="276" w:lineRule="auto"/>
        <w:jc w:val="both"/>
        <w:rPr>
          <w:rFonts w:ascii="Verdana" w:eastAsia="Century Gothic" w:hAnsi="Verdana" w:cs="Century Gothic"/>
          <w:b/>
          <w:bCs/>
          <w:lang w:val="es-ES"/>
        </w:rPr>
      </w:pPr>
    </w:p>
    <w:p w14:paraId="031CDC0A" w14:textId="017FC7C0" w:rsidR="00B71E57" w:rsidRDefault="003823D3" w:rsidP="003823D3">
      <w:pPr>
        <w:spacing w:after="0" w:line="276" w:lineRule="auto"/>
        <w:jc w:val="both"/>
        <w:rPr>
          <w:rFonts w:ascii="Verdana" w:eastAsia="Calibri" w:hAnsi="Verdana" w:cs="Arial"/>
          <w:color w:val="000000" w:themeColor="text1"/>
          <w:shd w:val="clear" w:color="auto" w:fill="FFFFFF"/>
        </w:rPr>
      </w:pPr>
      <w:r w:rsidRPr="00BB03FC">
        <w:rPr>
          <w:rFonts w:ascii="Verdana" w:hAnsi="Verdana" w:cs="Arial"/>
          <w:shd w:val="clear" w:color="auto" w:fill="FFFFFF"/>
        </w:rPr>
        <w:t>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w:t>
      </w:r>
      <w:r w:rsidR="004B126D">
        <w:rPr>
          <w:rFonts w:ascii="Verdana" w:hAnsi="Verdana" w:cs="Arial"/>
          <w:shd w:val="clear" w:color="auto" w:fill="FFFFFF"/>
        </w:rPr>
        <w:t>,</w:t>
      </w:r>
      <w:r>
        <w:rPr>
          <w:rFonts w:ascii="Verdana" w:hAnsi="Verdana" w:cs="Arial"/>
          <w:shd w:val="clear" w:color="auto" w:fill="FFFFFF"/>
        </w:rPr>
        <w:t xml:space="preserve"> C-745 de 2021</w:t>
      </w:r>
      <w:r w:rsidR="004B126D">
        <w:rPr>
          <w:rFonts w:ascii="Verdana" w:hAnsi="Verdana" w:cs="Arial"/>
          <w:shd w:val="clear" w:color="auto" w:fill="FFFFFF"/>
        </w:rPr>
        <w:t>, C-879 de 2022</w:t>
      </w:r>
      <w:r w:rsidR="000E0B40">
        <w:rPr>
          <w:rFonts w:ascii="Verdana" w:hAnsi="Verdana" w:cs="Arial"/>
          <w:shd w:val="clear" w:color="auto" w:fill="FFFFFF"/>
        </w:rPr>
        <w:t xml:space="preserve"> y</w:t>
      </w:r>
      <w:r w:rsidR="004B126D">
        <w:rPr>
          <w:rFonts w:ascii="Verdana" w:hAnsi="Verdana" w:cs="Arial"/>
          <w:shd w:val="clear" w:color="auto" w:fill="FFFFFF"/>
        </w:rPr>
        <w:t xml:space="preserve"> </w:t>
      </w:r>
      <w:r w:rsidR="00883E43">
        <w:rPr>
          <w:rFonts w:ascii="Verdana" w:hAnsi="Verdana" w:cs="Arial"/>
          <w:shd w:val="clear" w:color="auto" w:fill="FFFFFF"/>
        </w:rPr>
        <w:t>C-818 de 2022</w:t>
      </w:r>
      <w:r w:rsidRPr="00EA761C">
        <w:rPr>
          <w:rStyle w:val="normaltextrun"/>
          <w:rFonts w:ascii="Verdana" w:hAnsi="Verdana" w:cs="Arial"/>
          <w:shd w:val="clear" w:color="auto" w:fill="FFFFFF"/>
          <w:lang w:val="es-ES"/>
        </w:rPr>
        <w:t xml:space="preserve">. </w:t>
      </w: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Pr>
          <w:rFonts w:ascii="Verdana" w:eastAsia="Calibri" w:hAnsi="Verdana" w:cs="Arial"/>
          <w:color w:val="000000" w:themeColor="text1"/>
          <w:shd w:val="clear" w:color="auto" w:fill="FFFFFF"/>
        </w:rPr>
        <w:t>.</w:t>
      </w:r>
      <w:r w:rsidRPr="008328CE">
        <w:rPr>
          <w:rFonts w:ascii="Verdana" w:eastAsia="Calibri" w:hAnsi="Verdana" w:cs="Arial"/>
          <w:color w:val="000000" w:themeColor="text1"/>
          <w:shd w:val="clear" w:color="auto" w:fill="FFFFFF"/>
        </w:rPr>
        <w:t xml:space="preserve"> </w:t>
      </w:r>
    </w:p>
    <w:p w14:paraId="6F590169" w14:textId="77777777" w:rsidR="00B71E57" w:rsidRDefault="00B71E57" w:rsidP="003823D3">
      <w:pPr>
        <w:spacing w:after="0" w:line="276" w:lineRule="auto"/>
        <w:jc w:val="both"/>
        <w:rPr>
          <w:rFonts w:ascii="Verdana" w:eastAsia="Calibri" w:hAnsi="Verdana" w:cs="Arial"/>
          <w:color w:val="000000" w:themeColor="text1"/>
          <w:shd w:val="clear" w:color="auto" w:fill="FFFFFF"/>
        </w:rPr>
      </w:pPr>
    </w:p>
    <w:p w14:paraId="6CA54D0A" w14:textId="174E343D" w:rsidR="003823D3" w:rsidRPr="008328CE" w:rsidRDefault="00B71E57" w:rsidP="003823D3">
      <w:pPr>
        <w:spacing w:after="0" w:line="276" w:lineRule="auto"/>
        <w:jc w:val="both"/>
        <w:rPr>
          <w:rFonts w:ascii="Verdana" w:eastAsia="Calibri" w:hAnsi="Verdana" w:cs="Arial"/>
          <w:color w:val="000000" w:themeColor="text1"/>
          <w:shd w:val="clear" w:color="auto" w:fill="FFFFFF"/>
        </w:rPr>
      </w:pPr>
      <w:r w:rsidRPr="00B71E57">
        <w:rPr>
          <w:rFonts w:ascii="Verdana" w:eastAsia="Calibri" w:hAnsi="Verdana" w:cs="Arial"/>
          <w:color w:val="000000" w:themeColor="text1"/>
          <w:shd w:val="clear" w:color="auto" w:fill="FFFFFF"/>
        </w:rPr>
        <w:t xml:space="preserve">Te invitamos a revisar la cuarta edición del Boletín de Relatoría de </w:t>
      </w:r>
      <w:r w:rsidR="00792EC4" w:rsidRPr="00B71E57">
        <w:rPr>
          <w:rFonts w:ascii="Verdana" w:eastAsia="Calibri" w:hAnsi="Verdana" w:cs="Arial"/>
          <w:color w:val="000000" w:themeColor="text1"/>
          <w:shd w:val="clear" w:color="auto" w:fill="FFFFFF"/>
        </w:rPr>
        <w:t>2024, en</w:t>
      </w:r>
      <w:r w:rsidRPr="00B71E57">
        <w:rPr>
          <w:rFonts w:ascii="Verdana" w:eastAsia="Calibri" w:hAnsi="Verdana" w:cs="Arial"/>
          <w:color w:val="000000" w:themeColor="text1"/>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B71E57">
          <w:rPr>
            <w:rStyle w:val="Hipervnculo"/>
            <w:rFonts w:ascii="Verdana" w:eastAsia="Calibri" w:hAnsi="Verdana" w:cs="Arial"/>
            <w:shd w:val="clear" w:color="auto" w:fill="FFFFFF"/>
          </w:rPr>
          <w:t>BOLETÍN DE RELATORÍA 2024 – IV | Colombia Compra Eficiente | Agencia Nacional de Contratación Pública</w:t>
        </w:r>
      </w:hyperlink>
      <w:r w:rsidR="003823D3" w:rsidRPr="008328CE">
        <w:rPr>
          <w:rFonts w:ascii="Verdana" w:eastAsia="Calibri" w:hAnsi="Verdana" w:cs="Arial"/>
          <w:color w:val="000000" w:themeColor="text1"/>
          <w:shd w:val="clear" w:color="auto" w:fill="FFFFFF"/>
        </w:rPr>
        <w:t>  </w:t>
      </w:r>
    </w:p>
    <w:p w14:paraId="1C89770A" w14:textId="77777777" w:rsidR="003823D3" w:rsidRPr="009322DA" w:rsidRDefault="003823D3" w:rsidP="003823D3">
      <w:pPr>
        <w:spacing w:after="0" w:line="276" w:lineRule="auto"/>
        <w:jc w:val="both"/>
        <w:rPr>
          <w:rFonts w:ascii="Verdana" w:eastAsia="Calibri" w:hAnsi="Verdana" w:cs="Arial"/>
          <w:color w:val="FF0000"/>
          <w:shd w:val="clear" w:color="auto" w:fill="FFFFFF"/>
        </w:rPr>
      </w:pPr>
    </w:p>
    <w:p w14:paraId="60A87E97" w14:textId="77777777" w:rsidR="003823D3" w:rsidRPr="009322DA" w:rsidRDefault="003823D3" w:rsidP="003823D3">
      <w:pPr>
        <w:spacing w:after="0" w:line="240" w:lineRule="auto"/>
        <w:jc w:val="both"/>
        <w:rPr>
          <w:rFonts w:ascii="Calibri" w:eastAsia="Calibri" w:hAnsi="Calibri" w:cs="Times New Roman"/>
        </w:rPr>
      </w:pPr>
      <w:r w:rsidRPr="0044528D">
        <w:rPr>
          <w:rFonts w:ascii="Verdana" w:hAnsi="Verdana"/>
        </w:rPr>
        <w:lastRenderedPageBreak/>
        <w:t xml:space="preserve">Por último, lo invitamos a seguirnos en las redes sociales en las cuales se difunde información institucional: </w:t>
      </w:r>
    </w:p>
    <w:p w14:paraId="3B0D5D65" w14:textId="77777777" w:rsidR="003823D3" w:rsidRPr="0044528D" w:rsidRDefault="003823D3" w:rsidP="003823D3">
      <w:pPr>
        <w:spacing w:after="0" w:line="240" w:lineRule="auto"/>
        <w:jc w:val="both"/>
        <w:rPr>
          <w:rFonts w:ascii="Verdana" w:hAnsi="Verdana"/>
        </w:rPr>
      </w:pPr>
    </w:p>
    <w:p w14:paraId="0AC4ACCF" w14:textId="77777777" w:rsidR="003823D3" w:rsidRPr="0044528D" w:rsidRDefault="003823D3" w:rsidP="003823D3">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36262EC2" w14:textId="77777777" w:rsidR="003823D3" w:rsidRPr="0044528D" w:rsidRDefault="003823D3" w:rsidP="003823D3">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71DC8CBC" w14:textId="77777777" w:rsidR="003823D3" w:rsidRPr="0044528D" w:rsidRDefault="003823D3" w:rsidP="003823D3">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350FF458" w14:textId="77777777" w:rsidR="003823D3" w:rsidRPr="0044528D" w:rsidRDefault="003823D3" w:rsidP="003823D3">
      <w:pPr>
        <w:widowControl w:val="0"/>
        <w:autoSpaceDE w:val="0"/>
        <w:autoSpaceDN w:val="0"/>
        <w:spacing w:after="0" w:line="276" w:lineRule="auto"/>
        <w:jc w:val="both"/>
        <w:rPr>
          <w:rFonts w:ascii="Verdana" w:hAnsi="Verdana"/>
        </w:rPr>
      </w:pPr>
    </w:p>
    <w:p w14:paraId="401DAB1C" w14:textId="77777777" w:rsidR="003823D3" w:rsidRPr="009322DA" w:rsidRDefault="003823D3" w:rsidP="003823D3">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4D3A3487" w14:textId="77777777" w:rsidR="003823D3" w:rsidRPr="009322DA" w:rsidRDefault="003823D3" w:rsidP="003823D3">
      <w:pPr>
        <w:widowControl w:val="0"/>
        <w:autoSpaceDE w:val="0"/>
        <w:autoSpaceDN w:val="0"/>
        <w:spacing w:after="0" w:line="276" w:lineRule="auto"/>
        <w:jc w:val="both"/>
        <w:rPr>
          <w:rFonts w:ascii="Verdana" w:eastAsia="Calibri" w:hAnsi="Verdana" w:cs="Arial"/>
        </w:rPr>
      </w:pPr>
    </w:p>
    <w:p w14:paraId="4CFDF356" w14:textId="77777777" w:rsidR="003823D3" w:rsidRPr="009322DA" w:rsidRDefault="003823D3" w:rsidP="003823D3">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456D1158" w14:textId="436AF0B7" w:rsidR="003823D3" w:rsidRPr="009322DA" w:rsidRDefault="00BC3F2A" w:rsidP="003823D3">
      <w:pPr>
        <w:spacing w:line="276" w:lineRule="auto"/>
        <w:jc w:val="center"/>
        <w:rPr>
          <w:rFonts w:ascii="Verdana" w:eastAsia="Calibri" w:hAnsi="Verdana" w:cs="Arial"/>
          <w:color w:val="000000"/>
          <w:lang w:val="es-ES_tradnl" w:eastAsia="es-CO"/>
        </w:rPr>
      </w:pPr>
      <w:r>
        <w:rPr>
          <w:noProof/>
        </w:rPr>
        <w:drawing>
          <wp:inline distT="0" distB="0" distL="0" distR="0" wp14:anchorId="42FE6FAE" wp14:editId="360F3E41">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823D3" w:rsidRPr="009322DA" w14:paraId="454DFF28" w14:textId="77777777" w:rsidTr="002811D0">
        <w:trPr>
          <w:trHeight w:val="315"/>
        </w:trPr>
        <w:tc>
          <w:tcPr>
            <w:tcW w:w="893" w:type="dxa"/>
            <w:vAlign w:val="center"/>
            <w:hideMark/>
          </w:tcPr>
          <w:p w14:paraId="043F346A" w14:textId="77777777" w:rsidR="003823D3" w:rsidRPr="009322DA" w:rsidRDefault="003823D3" w:rsidP="002811D0">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7CA7903" w14:textId="77777777" w:rsidR="003823D3" w:rsidRPr="009322DA" w:rsidRDefault="003823D3" w:rsidP="002811D0">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7D912BE6" w14:textId="77777777" w:rsidR="003823D3" w:rsidRPr="009322DA" w:rsidRDefault="003823D3" w:rsidP="002811D0">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3823D3" w:rsidRPr="009322DA" w14:paraId="6193EFEC" w14:textId="77777777" w:rsidTr="002811D0">
        <w:trPr>
          <w:trHeight w:val="330"/>
        </w:trPr>
        <w:tc>
          <w:tcPr>
            <w:tcW w:w="893" w:type="dxa"/>
            <w:vAlign w:val="center"/>
            <w:hideMark/>
          </w:tcPr>
          <w:p w14:paraId="5C426AE2" w14:textId="77777777" w:rsidR="003823D3" w:rsidRPr="009322DA" w:rsidRDefault="003823D3" w:rsidP="002811D0">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B0B59A2" w14:textId="77777777" w:rsidR="003823D3" w:rsidRPr="009322DA" w:rsidRDefault="003823D3" w:rsidP="002811D0">
            <w:pPr>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Ximena Ríos López</w:t>
            </w:r>
          </w:p>
          <w:p w14:paraId="7D7A8D84" w14:textId="77777777" w:rsidR="003823D3" w:rsidRPr="009322DA" w:rsidRDefault="003823D3" w:rsidP="002811D0">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eastAsia="es-ES_tradnl"/>
              </w:rPr>
              <w:t>Gestor Código T1 Grado 11</w:t>
            </w:r>
            <w:r w:rsidRPr="009322DA">
              <w:rPr>
                <w:rFonts w:ascii="Verdana" w:eastAsia="Times New Roman" w:hAnsi="Verdana" w:cs="Arial"/>
                <w:sz w:val="16"/>
                <w:szCs w:val="16"/>
                <w:lang w:eastAsia="es-ES_tradnl"/>
              </w:rPr>
              <w:t xml:space="preserve"> de la Subdirección de Gestión Contractual</w:t>
            </w:r>
          </w:p>
        </w:tc>
      </w:tr>
      <w:tr w:rsidR="003823D3" w:rsidRPr="009322DA" w14:paraId="5E6B29B0" w14:textId="77777777" w:rsidTr="002811D0">
        <w:trPr>
          <w:trHeight w:val="300"/>
        </w:trPr>
        <w:tc>
          <w:tcPr>
            <w:tcW w:w="893" w:type="dxa"/>
            <w:vAlign w:val="center"/>
            <w:hideMark/>
          </w:tcPr>
          <w:p w14:paraId="03680B07" w14:textId="77777777" w:rsidR="003823D3" w:rsidRPr="009322DA" w:rsidRDefault="003823D3" w:rsidP="002811D0">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97BBA4C" w14:textId="77777777" w:rsidR="003823D3" w:rsidRPr="009322DA" w:rsidRDefault="003823D3" w:rsidP="002811D0">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14:paraId="2AA6DCA3" w14:textId="77777777" w:rsidR="003823D3" w:rsidRPr="009322DA" w:rsidRDefault="003823D3" w:rsidP="002811D0">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14:paraId="502B21EC" w14:textId="77777777" w:rsidR="003823D3" w:rsidRPr="002C290C" w:rsidRDefault="003823D3" w:rsidP="003823D3"/>
    <w:p w14:paraId="21C14489" w14:textId="77777777" w:rsidR="003823D3" w:rsidRPr="00FF1ECE" w:rsidRDefault="003823D3" w:rsidP="003823D3"/>
    <w:p w14:paraId="0F293BF4" w14:textId="7BBFAB11" w:rsidR="00127233" w:rsidRPr="003823D3" w:rsidRDefault="00127233" w:rsidP="003823D3"/>
    <w:sectPr w:rsidR="00127233" w:rsidRPr="003823D3"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DD09" w14:textId="77777777" w:rsidR="00431580" w:rsidRDefault="00431580" w:rsidP="004A1847">
      <w:pPr>
        <w:spacing w:after="0" w:line="240" w:lineRule="auto"/>
      </w:pPr>
      <w:r>
        <w:separator/>
      </w:r>
    </w:p>
  </w:endnote>
  <w:endnote w:type="continuationSeparator" w:id="0">
    <w:p w14:paraId="4E66CB72" w14:textId="77777777" w:rsidR="00431580" w:rsidRDefault="00431580" w:rsidP="004A1847">
      <w:pPr>
        <w:spacing w:after="0" w:line="240" w:lineRule="auto"/>
      </w:pPr>
      <w:r>
        <w:continuationSeparator/>
      </w:r>
    </w:p>
  </w:endnote>
  <w:endnote w:type="continuationNotice" w:id="1">
    <w:p w14:paraId="4FF32F0A" w14:textId="77777777" w:rsidR="00431580" w:rsidRDefault="00431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D7F1" w14:textId="77777777" w:rsidR="00431580" w:rsidRDefault="00431580" w:rsidP="004A1847">
      <w:pPr>
        <w:spacing w:after="0" w:line="240" w:lineRule="auto"/>
      </w:pPr>
      <w:r>
        <w:separator/>
      </w:r>
    </w:p>
  </w:footnote>
  <w:footnote w:type="continuationSeparator" w:id="0">
    <w:p w14:paraId="7C31ED18" w14:textId="77777777" w:rsidR="00431580" w:rsidRDefault="00431580" w:rsidP="004A1847">
      <w:pPr>
        <w:spacing w:after="0" w:line="240" w:lineRule="auto"/>
      </w:pPr>
      <w:r>
        <w:continuationSeparator/>
      </w:r>
    </w:p>
  </w:footnote>
  <w:footnote w:type="continuationNotice" w:id="1">
    <w:p w14:paraId="17109236" w14:textId="77777777" w:rsidR="00431580" w:rsidRDefault="00431580">
      <w:pPr>
        <w:spacing w:after="0" w:line="240" w:lineRule="auto"/>
      </w:pPr>
    </w:p>
  </w:footnote>
  <w:footnote w:id="2">
    <w:p w14:paraId="1D8D5468" w14:textId="52A58E30" w:rsidR="00180F92" w:rsidRPr="000E0B40" w:rsidRDefault="00180F92">
      <w:pPr>
        <w:pStyle w:val="Textonotapie"/>
        <w:rPr>
          <w:lang w:val="es-CO"/>
        </w:rPr>
      </w:pPr>
      <w:r>
        <w:rPr>
          <w:rStyle w:val="Refdenotaalpie"/>
        </w:rPr>
        <w:footnoteRef/>
      </w:r>
      <w:r>
        <w:t xml:space="preserve"> </w:t>
      </w:r>
      <w:hyperlink r:id="rId1" w:history="1">
        <w:r w:rsidRPr="000E0B40">
          <w:rPr>
            <w:rStyle w:val="Hipervnculo"/>
            <w:bCs/>
            <w:sz w:val="16"/>
            <w:szCs w:val="16"/>
            <w:lang w:val="es-CO"/>
          </w:rPr>
          <w:t>https://www.colombiacompra.gov.co/sites/cce_public/files/cce_documents/cce_guia_supervision_interventoria.pdf</w:t>
        </w:r>
      </w:hyperlink>
    </w:p>
  </w:footnote>
  <w:footnote w:id="3">
    <w:p w14:paraId="67ADD5A9" w14:textId="77777777" w:rsidR="003823D3" w:rsidRPr="00F90CE6" w:rsidRDefault="003823D3" w:rsidP="003823D3">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 17 de la Ley 1150 de 2007.</w:t>
      </w:r>
    </w:p>
  </w:footnote>
  <w:footnote w:id="4">
    <w:p w14:paraId="12EA914F" w14:textId="77777777" w:rsidR="003823D3" w:rsidRPr="00F90CE6" w:rsidRDefault="003823D3" w:rsidP="003823D3">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 21 de la Ley 1150 de 2007.</w:t>
      </w:r>
    </w:p>
  </w:footnote>
  <w:footnote w:id="5">
    <w:p w14:paraId="4BD5402A" w14:textId="77777777" w:rsidR="003823D3" w:rsidRPr="00F90CE6" w:rsidRDefault="003823D3" w:rsidP="003823D3">
      <w:pPr>
        <w:pStyle w:val="Textonotapie"/>
        <w:ind w:firstLine="708"/>
        <w:jc w:val="both"/>
        <w:rPr>
          <w:rFonts w:cstheme="minorHAnsi"/>
          <w:iCs/>
          <w:color w:val="1A1A1A"/>
          <w:sz w:val="16"/>
          <w:szCs w:val="16"/>
        </w:rPr>
      </w:pPr>
      <w:r w:rsidRPr="00F90CE6">
        <w:rPr>
          <w:rStyle w:val="Refdenotaalpie"/>
          <w:rFonts w:cstheme="minorHAnsi"/>
          <w:color w:val="1A1A1A"/>
          <w:sz w:val="16"/>
          <w:szCs w:val="16"/>
        </w:rPr>
        <w:footnoteRef/>
      </w:r>
      <w:r w:rsidRPr="00F90CE6">
        <w:rPr>
          <w:rFonts w:cstheme="minorHAnsi"/>
          <w:color w:val="1A1A1A"/>
          <w:sz w:val="16"/>
          <w:szCs w:val="16"/>
        </w:rPr>
        <w:t xml:space="preserve"> </w:t>
      </w:r>
      <w:r w:rsidRPr="00F90CE6">
        <w:rPr>
          <w:rFonts w:cstheme="minorHAnsi"/>
          <w:iCs/>
          <w:color w:val="1A1A1A"/>
          <w:sz w:val="16"/>
          <w:szCs w:val="16"/>
        </w:rPr>
        <w:t>Artículos 83 a 86 de la Ley 1474 de 2011.</w:t>
      </w:r>
    </w:p>
  </w:footnote>
  <w:footnote w:id="6">
    <w:p w14:paraId="4F0B7B80" w14:textId="77777777" w:rsidR="003823D3" w:rsidRPr="00F90CE6" w:rsidRDefault="003823D3" w:rsidP="003823D3">
      <w:pPr>
        <w:pStyle w:val="Textonotapie"/>
        <w:ind w:firstLine="708"/>
        <w:jc w:val="both"/>
        <w:rPr>
          <w:rFonts w:cstheme="minorHAnsi"/>
          <w:iCs/>
          <w:color w:val="000000"/>
          <w:sz w:val="16"/>
          <w:szCs w:val="16"/>
        </w:rPr>
      </w:pPr>
      <w:r w:rsidRPr="00F90CE6">
        <w:rPr>
          <w:rStyle w:val="Refdenotaalpie"/>
          <w:rFonts w:cstheme="minorHAnsi"/>
          <w:color w:val="000000"/>
          <w:sz w:val="16"/>
          <w:szCs w:val="16"/>
        </w:rPr>
        <w:footnoteRef/>
      </w:r>
      <w:r w:rsidRPr="00F90CE6">
        <w:rPr>
          <w:rFonts w:cstheme="minorHAnsi"/>
          <w:color w:val="000000"/>
          <w:sz w:val="16"/>
          <w:szCs w:val="16"/>
        </w:rPr>
        <w:t xml:space="preserve"> </w:t>
      </w:r>
      <w:r w:rsidRPr="00F90CE6">
        <w:rPr>
          <w:rFonts w:cstheme="minorHAnsi"/>
          <w:iCs/>
          <w:color w:val="000000"/>
          <w:sz w:val="16"/>
          <w:szCs w:val="16"/>
        </w:rPr>
        <w:t>A excepción de la interventoría del contrato de obra adjudicado por licitación pública que es obligatoria según el numeral 1° del artículo 32 de la Ley 80 de 1993.</w:t>
      </w:r>
    </w:p>
    <w:p w14:paraId="068DBB17" w14:textId="77777777" w:rsidR="003823D3" w:rsidRPr="00F90CE6" w:rsidRDefault="003823D3" w:rsidP="003823D3">
      <w:pPr>
        <w:pStyle w:val="Textonotapie"/>
        <w:jc w:val="both"/>
        <w:rPr>
          <w:rFonts w:cstheme="minorHAnsi"/>
          <w:iCs/>
          <w:color w:val="000000"/>
          <w:sz w:val="16"/>
          <w:szCs w:val="16"/>
        </w:rPr>
      </w:pPr>
    </w:p>
  </w:footnote>
  <w:footnote w:id="7">
    <w:p w14:paraId="064F0FD1" w14:textId="77777777" w:rsidR="003823D3" w:rsidRPr="00F90CE6" w:rsidRDefault="003823D3" w:rsidP="003823D3">
      <w:pPr>
        <w:pStyle w:val="Textonotapie"/>
        <w:ind w:firstLine="708"/>
        <w:jc w:val="both"/>
        <w:rPr>
          <w:rFonts w:cstheme="minorHAnsi"/>
          <w:sz w:val="16"/>
          <w:szCs w:val="16"/>
          <w:lang w:val="es-CO"/>
        </w:rPr>
      </w:pPr>
      <w:r w:rsidRPr="00F90CE6">
        <w:rPr>
          <w:rStyle w:val="Refdenotaalpie"/>
          <w:rFonts w:cstheme="minorHAnsi"/>
          <w:sz w:val="16"/>
          <w:szCs w:val="16"/>
        </w:rPr>
        <w:footnoteRef/>
      </w:r>
      <w:r w:rsidRPr="00F90CE6">
        <w:rPr>
          <w:rFonts w:cstheme="minorHAnsi"/>
          <w:sz w:val="16"/>
          <w:szCs w:val="16"/>
        </w:rPr>
        <w:t xml:space="preserve">  De acuerdo con la Circular No. 021 del 2016 de la Procuraduría General de la Nación, el seguimiento financiero se refiere a </w:t>
      </w:r>
      <w:r>
        <w:rPr>
          <w:rFonts w:cstheme="minorHAnsi"/>
          <w:sz w:val="16"/>
          <w:szCs w:val="16"/>
        </w:rPr>
        <w:t>“</w:t>
      </w:r>
      <w:r w:rsidRPr="00F90CE6">
        <w:rPr>
          <w:rFonts w:cstheme="minorHAnsi"/>
          <w:sz w:val="16"/>
          <w:szCs w:val="16"/>
        </w:rPr>
        <w:t>[…] un seguimiento a las actuaciones del contratista de orden presupuestal y financiero, manejo de anticipo, recursos invertidos que deban realizarse en el contrato suscrito</w:t>
      </w:r>
      <w:r>
        <w:rPr>
          <w:rFonts w:cstheme="minorHAnsi"/>
          <w:sz w:val="16"/>
          <w:szCs w:val="16"/>
        </w:rPr>
        <w:t>”</w:t>
      </w:r>
      <w:r w:rsidRPr="00F90CE6">
        <w:rPr>
          <w:rFonts w:cstheme="minorHAnsi"/>
          <w:sz w:val="16"/>
          <w:szCs w:val="16"/>
        </w:rPr>
        <w:t>.</w:t>
      </w:r>
    </w:p>
  </w:footnote>
  <w:footnote w:id="8">
    <w:p w14:paraId="47BF6140" w14:textId="2B68BB05" w:rsidR="00C268BE" w:rsidRPr="00C268BE" w:rsidRDefault="00C268BE">
      <w:pPr>
        <w:pStyle w:val="Textonotapie"/>
        <w:rPr>
          <w:lang w:val="es-CO"/>
        </w:rPr>
      </w:pPr>
      <w:r>
        <w:rPr>
          <w:rStyle w:val="Refdenotaalpie"/>
        </w:rPr>
        <w:footnoteRef/>
      </w:r>
      <w:r>
        <w:t xml:space="preserve"> </w:t>
      </w:r>
      <w:hyperlink r:id="rId2" w:history="1">
        <w:r w:rsidRPr="00C268BE">
          <w:rPr>
            <w:rStyle w:val="Hipervnculo"/>
            <w:sz w:val="16"/>
            <w:szCs w:val="16"/>
          </w:rPr>
          <w:t>https://www.colombiacompra.gov.co/sites/cce_public/files/cce_step/cce-sec-gi-13eegestioncontractual08-09-2021.pdf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45E0B"/>
    <w:multiLevelType w:val="hybridMultilevel"/>
    <w:tmpl w:val="B14680F8"/>
    <w:lvl w:ilvl="0" w:tplc="0ED2FF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4505E6"/>
    <w:multiLevelType w:val="hybridMultilevel"/>
    <w:tmpl w:val="F9587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BC7074"/>
    <w:multiLevelType w:val="hybridMultilevel"/>
    <w:tmpl w:val="548E4D16"/>
    <w:lvl w:ilvl="0" w:tplc="295054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9F247F3"/>
    <w:multiLevelType w:val="hybridMultilevel"/>
    <w:tmpl w:val="C680A9D4"/>
    <w:lvl w:ilvl="0" w:tplc="2F6CCB0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7AF75B8"/>
    <w:multiLevelType w:val="hybridMultilevel"/>
    <w:tmpl w:val="D7D6A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D5249"/>
    <w:multiLevelType w:val="hybridMultilevel"/>
    <w:tmpl w:val="24B2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992DD5"/>
    <w:multiLevelType w:val="hybridMultilevel"/>
    <w:tmpl w:val="FFE6B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EDD6209"/>
    <w:multiLevelType w:val="hybridMultilevel"/>
    <w:tmpl w:val="885253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F329DD"/>
    <w:multiLevelType w:val="hybridMultilevel"/>
    <w:tmpl w:val="8EEC5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21"/>
  </w:num>
  <w:num w:numId="7" w16cid:durableId="1946422806">
    <w:abstractNumId w:val="8"/>
  </w:num>
  <w:num w:numId="8" w16cid:durableId="152644682">
    <w:abstractNumId w:val="17"/>
  </w:num>
  <w:num w:numId="9" w16cid:durableId="1317221377">
    <w:abstractNumId w:val="10"/>
  </w:num>
  <w:num w:numId="10" w16cid:durableId="1471245386">
    <w:abstractNumId w:val="16"/>
  </w:num>
  <w:num w:numId="11" w16cid:durableId="289172385">
    <w:abstractNumId w:val="11"/>
  </w:num>
  <w:num w:numId="12" w16cid:durableId="1470781324">
    <w:abstractNumId w:val="1"/>
  </w:num>
  <w:num w:numId="13" w16cid:durableId="1512908409">
    <w:abstractNumId w:val="6"/>
  </w:num>
  <w:num w:numId="14" w16cid:durableId="895897244">
    <w:abstractNumId w:val="22"/>
  </w:num>
  <w:num w:numId="15" w16cid:durableId="390349800">
    <w:abstractNumId w:val="14"/>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089576">
    <w:abstractNumId w:val="12"/>
  </w:num>
  <w:num w:numId="18" w16cid:durableId="446463731">
    <w:abstractNumId w:val="2"/>
  </w:num>
  <w:num w:numId="19" w16cid:durableId="1377240794">
    <w:abstractNumId w:val="13"/>
  </w:num>
  <w:num w:numId="20" w16cid:durableId="1687438009">
    <w:abstractNumId w:val="15"/>
  </w:num>
  <w:num w:numId="21" w16cid:durableId="510485053">
    <w:abstractNumId w:val="5"/>
  </w:num>
  <w:num w:numId="22" w16cid:durableId="468058733">
    <w:abstractNumId w:val="20"/>
  </w:num>
  <w:num w:numId="23" w16cid:durableId="1608611393">
    <w:abstractNumId w:val="18"/>
  </w:num>
  <w:num w:numId="24" w16cid:durableId="558250914">
    <w:abstractNumId w:val="19"/>
  </w:num>
  <w:num w:numId="25" w16cid:durableId="716667365">
    <w:abstractNumId w:val="4"/>
  </w:num>
  <w:num w:numId="26" w16cid:durableId="342248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35A8"/>
    <w:rsid w:val="00061B2A"/>
    <w:rsid w:val="00082362"/>
    <w:rsid w:val="0009272E"/>
    <w:rsid w:val="000A683E"/>
    <w:rsid w:val="000B0312"/>
    <w:rsid w:val="000B19B9"/>
    <w:rsid w:val="000D0334"/>
    <w:rsid w:val="000D3627"/>
    <w:rsid w:val="000E0B40"/>
    <w:rsid w:val="000F6486"/>
    <w:rsid w:val="00102CB6"/>
    <w:rsid w:val="0011108A"/>
    <w:rsid w:val="00125105"/>
    <w:rsid w:val="00127233"/>
    <w:rsid w:val="001464EB"/>
    <w:rsid w:val="00180F92"/>
    <w:rsid w:val="00185E0A"/>
    <w:rsid w:val="001934EE"/>
    <w:rsid w:val="001B21D3"/>
    <w:rsid w:val="001B37C1"/>
    <w:rsid w:val="001C58C3"/>
    <w:rsid w:val="001D7598"/>
    <w:rsid w:val="001E4177"/>
    <w:rsid w:val="001F178E"/>
    <w:rsid w:val="001F7DC6"/>
    <w:rsid w:val="00203DFC"/>
    <w:rsid w:val="00217E07"/>
    <w:rsid w:val="00222D52"/>
    <w:rsid w:val="00223766"/>
    <w:rsid w:val="00225A10"/>
    <w:rsid w:val="00225B33"/>
    <w:rsid w:val="002421BB"/>
    <w:rsid w:val="0025252D"/>
    <w:rsid w:val="00253A07"/>
    <w:rsid w:val="0025694D"/>
    <w:rsid w:val="0025796E"/>
    <w:rsid w:val="00263999"/>
    <w:rsid w:val="00267613"/>
    <w:rsid w:val="002707A2"/>
    <w:rsid w:val="002837FF"/>
    <w:rsid w:val="002951A0"/>
    <w:rsid w:val="002962BC"/>
    <w:rsid w:val="002A093D"/>
    <w:rsid w:val="002A0DD0"/>
    <w:rsid w:val="002A49AC"/>
    <w:rsid w:val="002A64FD"/>
    <w:rsid w:val="002B641A"/>
    <w:rsid w:val="002C7A84"/>
    <w:rsid w:val="002D1BB5"/>
    <w:rsid w:val="002E4FD9"/>
    <w:rsid w:val="00322A85"/>
    <w:rsid w:val="00324168"/>
    <w:rsid w:val="003448F4"/>
    <w:rsid w:val="00346207"/>
    <w:rsid w:val="00360CD5"/>
    <w:rsid w:val="00364573"/>
    <w:rsid w:val="00374F5E"/>
    <w:rsid w:val="00377E3E"/>
    <w:rsid w:val="003823D3"/>
    <w:rsid w:val="003A26D1"/>
    <w:rsid w:val="003A779E"/>
    <w:rsid w:val="003D0F4D"/>
    <w:rsid w:val="003D5B0D"/>
    <w:rsid w:val="003E0499"/>
    <w:rsid w:val="003F3941"/>
    <w:rsid w:val="003F6DC4"/>
    <w:rsid w:val="00406575"/>
    <w:rsid w:val="0042722E"/>
    <w:rsid w:val="00431580"/>
    <w:rsid w:val="0044528D"/>
    <w:rsid w:val="00452797"/>
    <w:rsid w:val="00460DE9"/>
    <w:rsid w:val="004712A6"/>
    <w:rsid w:val="00472BEB"/>
    <w:rsid w:val="00485197"/>
    <w:rsid w:val="00491218"/>
    <w:rsid w:val="004941E9"/>
    <w:rsid w:val="004A0CC2"/>
    <w:rsid w:val="004A1847"/>
    <w:rsid w:val="004A305D"/>
    <w:rsid w:val="004B07F1"/>
    <w:rsid w:val="004B126D"/>
    <w:rsid w:val="004C64B6"/>
    <w:rsid w:val="004F21C4"/>
    <w:rsid w:val="004F685F"/>
    <w:rsid w:val="005406BA"/>
    <w:rsid w:val="005470BC"/>
    <w:rsid w:val="005525AE"/>
    <w:rsid w:val="005566E8"/>
    <w:rsid w:val="005661B2"/>
    <w:rsid w:val="00574867"/>
    <w:rsid w:val="00591460"/>
    <w:rsid w:val="00592628"/>
    <w:rsid w:val="005A3F83"/>
    <w:rsid w:val="005C3777"/>
    <w:rsid w:val="005C5CDC"/>
    <w:rsid w:val="005D476C"/>
    <w:rsid w:val="006007FB"/>
    <w:rsid w:val="00610812"/>
    <w:rsid w:val="006135EF"/>
    <w:rsid w:val="006204A7"/>
    <w:rsid w:val="006219F8"/>
    <w:rsid w:val="006271B9"/>
    <w:rsid w:val="00650FF7"/>
    <w:rsid w:val="00665B4A"/>
    <w:rsid w:val="00665D70"/>
    <w:rsid w:val="00671DAC"/>
    <w:rsid w:val="006900D9"/>
    <w:rsid w:val="006D0D94"/>
    <w:rsid w:val="006D12F8"/>
    <w:rsid w:val="00702DDE"/>
    <w:rsid w:val="00706C16"/>
    <w:rsid w:val="0073660A"/>
    <w:rsid w:val="00741FE5"/>
    <w:rsid w:val="0075244D"/>
    <w:rsid w:val="00756841"/>
    <w:rsid w:val="0076050C"/>
    <w:rsid w:val="007649AB"/>
    <w:rsid w:val="00771D0C"/>
    <w:rsid w:val="007833AC"/>
    <w:rsid w:val="00792EC4"/>
    <w:rsid w:val="007A41D1"/>
    <w:rsid w:val="007B268C"/>
    <w:rsid w:val="007B30E1"/>
    <w:rsid w:val="007B5B52"/>
    <w:rsid w:val="007B7171"/>
    <w:rsid w:val="007C0C0F"/>
    <w:rsid w:val="007C3DC2"/>
    <w:rsid w:val="007E5497"/>
    <w:rsid w:val="00806F5F"/>
    <w:rsid w:val="00817035"/>
    <w:rsid w:val="00820278"/>
    <w:rsid w:val="0082462F"/>
    <w:rsid w:val="00827827"/>
    <w:rsid w:val="00853A9F"/>
    <w:rsid w:val="00873570"/>
    <w:rsid w:val="00883E43"/>
    <w:rsid w:val="008843B6"/>
    <w:rsid w:val="0089088F"/>
    <w:rsid w:val="00891928"/>
    <w:rsid w:val="008A3AE2"/>
    <w:rsid w:val="008A446D"/>
    <w:rsid w:val="008B0A1D"/>
    <w:rsid w:val="008B3B52"/>
    <w:rsid w:val="008D180B"/>
    <w:rsid w:val="008E6F04"/>
    <w:rsid w:val="008F0EA7"/>
    <w:rsid w:val="00923EEF"/>
    <w:rsid w:val="00935515"/>
    <w:rsid w:val="009419F9"/>
    <w:rsid w:val="00945194"/>
    <w:rsid w:val="00954364"/>
    <w:rsid w:val="0095685E"/>
    <w:rsid w:val="00961B09"/>
    <w:rsid w:val="009628BC"/>
    <w:rsid w:val="00965334"/>
    <w:rsid w:val="0097093E"/>
    <w:rsid w:val="009A0DFA"/>
    <w:rsid w:val="009A1C95"/>
    <w:rsid w:val="009B2D26"/>
    <w:rsid w:val="009C71FA"/>
    <w:rsid w:val="009C72E7"/>
    <w:rsid w:val="009C741E"/>
    <w:rsid w:val="009D3058"/>
    <w:rsid w:val="009F3A13"/>
    <w:rsid w:val="00A07489"/>
    <w:rsid w:val="00A122D3"/>
    <w:rsid w:val="00A12DA3"/>
    <w:rsid w:val="00A17A58"/>
    <w:rsid w:val="00A17F13"/>
    <w:rsid w:val="00A20739"/>
    <w:rsid w:val="00A33C78"/>
    <w:rsid w:val="00A35B38"/>
    <w:rsid w:val="00A91361"/>
    <w:rsid w:val="00AB0ADB"/>
    <w:rsid w:val="00AE072C"/>
    <w:rsid w:val="00AE5499"/>
    <w:rsid w:val="00B01B1A"/>
    <w:rsid w:val="00B0671C"/>
    <w:rsid w:val="00B47A15"/>
    <w:rsid w:val="00B667A2"/>
    <w:rsid w:val="00B71E57"/>
    <w:rsid w:val="00B72CD3"/>
    <w:rsid w:val="00B72FFF"/>
    <w:rsid w:val="00BC3D36"/>
    <w:rsid w:val="00BC3F2A"/>
    <w:rsid w:val="00BD7F72"/>
    <w:rsid w:val="00C04FB3"/>
    <w:rsid w:val="00C14FFC"/>
    <w:rsid w:val="00C23865"/>
    <w:rsid w:val="00C268BE"/>
    <w:rsid w:val="00C330EB"/>
    <w:rsid w:val="00C55851"/>
    <w:rsid w:val="00C64BE1"/>
    <w:rsid w:val="00C66B38"/>
    <w:rsid w:val="00C754BE"/>
    <w:rsid w:val="00C76B1C"/>
    <w:rsid w:val="00C857A1"/>
    <w:rsid w:val="00C91ECA"/>
    <w:rsid w:val="00C92347"/>
    <w:rsid w:val="00CB6357"/>
    <w:rsid w:val="00CC1B26"/>
    <w:rsid w:val="00CE52D3"/>
    <w:rsid w:val="00CE5F85"/>
    <w:rsid w:val="00D0069E"/>
    <w:rsid w:val="00D06134"/>
    <w:rsid w:val="00D26766"/>
    <w:rsid w:val="00D423A2"/>
    <w:rsid w:val="00D43582"/>
    <w:rsid w:val="00D520D8"/>
    <w:rsid w:val="00D63AC2"/>
    <w:rsid w:val="00D7383B"/>
    <w:rsid w:val="00D90359"/>
    <w:rsid w:val="00DA231B"/>
    <w:rsid w:val="00DA23A0"/>
    <w:rsid w:val="00DA6E1D"/>
    <w:rsid w:val="00DB2D06"/>
    <w:rsid w:val="00DC39FC"/>
    <w:rsid w:val="00DC7E74"/>
    <w:rsid w:val="00DD5DA8"/>
    <w:rsid w:val="00DF5254"/>
    <w:rsid w:val="00E16408"/>
    <w:rsid w:val="00E20894"/>
    <w:rsid w:val="00E245AB"/>
    <w:rsid w:val="00E2764C"/>
    <w:rsid w:val="00E27F2E"/>
    <w:rsid w:val="00E37501"/>
    <w:rsid w:val="00E413EA"/>
    <w:rsid w:val="00E4734D"/>
    <w:rsid w:val="00E50AFE"/>
    <w:rsid w:val="00E75C92"/>
    <w:rsid w:val="00E771DC"/>
    <w:rsid w:val="00E84DFA"/>
    <w:rsid w:val="00E8772A"/>
    <w:rsid w:val="00E90F6B"/>
    <w:rsid w:val="00E92C27"/>
    <w:rsid w:val="00EA0E3D"/>
    <w:rsid w:val="00EB596B"/>
    <w:rsid w:val="00EC38A7"/>
    <w:rsid w:val="00ED3750"/>
    <w:rsid w:val="00EE1AA8"/>
    <w:rsid w:val="00F165C1"/>
    <w:rsid w:val="00F31EDC"/>
    <w:rsid w:val="00F462B3"/>
    <w:rsid w:val="00F5664F"/>
    <w:rsid w:val="00F666C4"/>
    <w:rsid w:val="00F76AFC"/>
    <w:rsid w:val="00F84AC8"/>
    <w:rsid w:val="00FA0EF1"/>
    <w:rsid w:val="00FA25B2"/>
    <w:rsid w:val="00FA47C0"/>
    <w:rsid w:val="00FB1E64"/>
    <w:rsid w:val="00FB5DD1"/>
    <w:rsid w:val="00FC07C7"/>
    <w:rsid w:val="00FC2B5D"/>
    <w:rsid w:val="00FF1449"/>
    <w:rsid w:val="00FF45B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3823D3"/>
    <w:pPr>
      <w:spacing w:line="240" w:lineRule="exact"/>
    </w:pPr>
    <w:rPr>
      <w:vertAlign w:val="superscript"/>
    </w:rPr>
  </w:style>
  <w:style w:type="table" w:customStyle="1" w:styleId="Tablaconcuadrcula1">
    <w:name w:val="Tabla con cuadrícula1"/>
    <w:basedOn w:val="Tablanormal"/>
    <w:next w:val="Tablaconcuadrcula"/>
    <w:uiPriority w:val="39"/>
    <w:qFormat/>
    <w:rsid w:val="0038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823D3"/>
    <w:rPr>
      <w:rFonts w:ascii="Geomanist Light" w:hAnsi="Geomanist Light"/>
      <w:lang w:val="es-ES"/>
    </w:rPr>
  </w:style>
  <w:style w:type="character" w:styleId="Refdecomentario">
    <w:name w:val="annotation reference"/>
    <w:basedOn w:val="Fuentedeprrafopredeter"/>
    <w:uiPriority w:val="99"/>
    <w:semiHidden/>
    <w:unhideWhenUsed/>
    <w:rsid w:val="00665B4A"/>
    <w:rPr>
      <w:sz w:val="16"/>
      <w:szCs w:val="16"/>
    </w:rPr>
  </w:style>
  <w:style w:type="paragraph" w:styleId="Textocomentario">
    <w:name w:val="annotation text"/>
    <w:basedOn w:val="Normal"/>
    <w:link w:val="TextocomentarioCar"/>
    <w:uiPriority w:val="99"/>
    <w:unhideWhenUsed/>
    <w:rsid w:val="00665B4A"/>
    <w:pPr>
      <w:spacing w:line="240" w:lineRule="auto"/>
    </w:pPr>
    <w:rPr>
      <w:sz w:val="20"/>
      <w:szCs w:val="20"/>
    </w:rPr>
  </w:style>
  <w:style w:type="character" w:customStyle="1" w:styleId="TextocomentarioCar">
    <w:name w:val="Texto comentario Car"/>
    <w:basedOn w:val="Fuentedeprrafopredeter"/>
    <w:link w:val="Textocomentario"/>
    <w:uiPriority w:val="99"/>
    <w:rsid w:val="00665B4A"/>
    <w:rPr>
      <w:sz w:val="20"/>
      <w:szCs w:val="20"/>
    </w:rPr>
  </w:style>
  <w:style w:type="paragraph" w:styleId="Asuntodelcomentario">
    <w:name w:val="annotation subject"/>
    <w:basedOn w:val="Textocomentario"/>
    <w:next w:val="Textocomentario"/>
    <w:link w:val="AsuntodelcomentarioCar"/>
    <w:uiPriority w:val="99"/>
    <w:semiHidden/>
    <w:unhideWhenUsed/>
    <w:rsid w:val="00665B4A"/>
    <w:rPr>
      <w:b/>
      <w:bCs/>
    </w:rPr>
  </w:style>
  <w:style w:type="character" w:customStyle="1" w:styleId="AsuntodelcomentarioCar">
    <w:name w:val="Asunto del comentario Car"/>
    <w:basedOn w:val="TextocomentarioCar"/>
    <w:link w:val="Asuntodelcomentario"/>
    <w:uiPriority w:val="99"/>
    <w:semiHidden/>
    <w:rsid w:val="00665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_guia_supervision_interventori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zuluaga@valledelcauc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step/cce-sec-gi-13eegestioncontractual08-09-2021.pdf" TargetMode="External"/><Relationship Id="rId1" Type="http://schemas.openxmlformats.org/officeDocument/2006/relationships/hyperlink" Target="https://www.colombiacompra.gov.co/sites/cce_public/files/cce_documents/cce_guia_supervision_interventor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8ABDE-81C6-4CD6-958A-3877BAE84B22}"/>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4882B7CC-9C63-429B-9828-CA5355C554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3045</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2024-10-09T17:46:00Z</dcterms:created>
  <dcterms:modified xsi:type="dcterms:W3CDTF">2024-10-09T17:46:00Z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