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4D386" w14:textId="77777777" w:rsidR="00AB4A37" w:rsidRPr="00DC1867" w:rsidRDefault="00AB4A37" w:rsidP="00AB4A37">
      <w:pPr>
        <w:spacing w:after="0" w:line="240" w:lineRule="auto"/>
        <w:jc w:val="both"/>
        <w:rPr>
          <w:rFonts w:ascii="Verdana" w:eastAsia="Calibri" w:hAnsi="Verdana" w:cs="Arial"/>
          <w:b/>
          <w:bCs/>
          <w:color w:val="000000" w:themeColor="text1"/>
          <w:lang w:val="es-ES"/>
        </w:rPr>
      </w:pPr>
      <w:r w:rsidRPr="00DC1867">
        <w:rPr>
          <w:rFonts w:ascii="Verdana" w:eastAsia="Calibri" w:hAnsi="Verdana" w:cs="Arial"/>
          <w:b/>
          <w:bCs/>
          <w:lang w:val="es-ES"/>
        </w:rPr>
        <w:t xml:space="preserve">CONTRATACIÓN ESTATAL – </w:t>
      </w:r>
      <w:r w:rsidRPr="00DC1867">
        <w:rPr>
          <w:rFonts w:ascii="Verdana" w:eastAsia="Calibri" w:hAnsi="Verdana" w:cs="Arial"/>
          <w:b/>
          <w:bCs/>
          <w:color w:val="000000" w:themeColor="text1"/>
          <w:lang w:val="es-ES"/>
        </w:rPr>
        <w:t xml:space="preserve">Capacidad – Validez contratos – Régimen de contratación – Limitación de la capacidad </w:t>
      </w:r>
    </w:p>
    <w:p w14:paraId="00A3960C" w14:textId="77777777" w:rsidR="00AB4A37" w:rsidRPr="00DC1867" w:rsidRDefault="00AB4A37" w:rsidP="00AB4A37">
      <w:pPr>
        <w:spacing w:after="0" w:line="240" w:lineRule="auto"/>
        <w:jc w:val="both"/>
        <w:rPr>
          <w:rFonts w:ascii="Verdana" w:eastAsia="Calibri" w:hAnsi="Verdana" w:cs="Arial"/>
          <w:b/>
          <w:bCs/>
          <w:color w:val="000000" w:themeColor="text1"/>
          <w:lang w:val="es-ES"/>
        </w:rPr>
      </w:pPr>
    </w:p>
    <w:p w14:paraId="1EC00016"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 xml:space="preserve">En la contratación estatal, la </w:t>
      </w:r>
      <w:r w:rsidRPr="001306C5">
        <w:rPr>
          <w:rFonts w:ascii="Verdana" w:eastAsia="Calibri" w:hAnsi="Verdana" w:cs="Arial"/>
          <w:i/>
          <w:color w:val="000000" w:themeColor="text1"/>
          <w:sz w:val="20"/>
          <w:szCs w:val="20"/>
          <w:lang w:val="es-ES"/>
        </w:rPr>
        <w:t>capacidad</w:t>
      </w:r>
      <w:r w:rsidRPr="001306C5">
        <w:rPr>
          <w:rFonts w:ascii="Verdana" w:eastAsia="Calibri" w:hAnsi="Verdana" w:cs="Arial"/>
          <w:color w:val="000000" w:themeColor="text1"/>
          <w:sz w:val="20"/>
          <w:szCs w:val="20"/>
          <w:lang w:val="es-ES"/>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 se destaca el régimen de inhabilidades e incompatibilidades como un conjunto de normas que imponen restricciones para los sujetos que, eventualmente, pretendan participar en los procedimientos de selección o celebrar contratos con las entidades estatales.</w:t>
      </w:r>
    </w:p>
    <w:p w14:paraId="46D00889"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_tradnl"/>
        </w:rPr>
      </w:pPr>
    </w:p>
    <w:p w14:paraId="35E44C1F"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1249030D" w14:textId="77777777" w:rsidR="00AB4A37" w:rsidRPr="001306C5" w:rsidRDefault="00AB4A37" w:rsidP="00AB4A37">
      <w:pPr>
        <w:spacing w:after="0"/>
        <w:jc w:val="both"/>
        <w:rPr>
          <w:rFonts w:ascii="Verdana" w:eastAsia="Arial" w:hAnsi="Verdana"/>
          <w:b/>
          <w:sz w:val="20"/>
          <w:szCs w:val="20"/>
          <w:lang w:val="es-ES" w:eastAsia="es-ES_tradnl"/>
        </w:rPr>
      </w:pPr>
    </w:p>
    <w:p w14:paraId="1606CFA2" w14:textId="77777777" w:rsidR="00AB4A37" w:rsidRPr="00DC1867" w:rsidRDefault="00AB4A37" w:rsidP="00AB4A37">
      <w:pPr>
        <w:spacing w:after="0"/>
        <w:jc w:val="both"/>
        <w:rPr>
          <w:rFonts w:ascii="Verdana" w:eastAsia="Arial" w:hAnsi="Verdana"/>
          <w:b/>
          <w:bCs/>
          <w:lang w:val="es-ES" w:eastAsia="es-ES_tradnl"/>
        </w:rPr>
      </w:pPr>
      <w:r w:rsidRPr="00DC1867">
        <w:rPr>
          <w:rFonts w:ascii="Verdana" w:eastAsia="Arial" w:hAnsi="Verdana"/>
          <w:b/>
          <w:bCs/>
          <w:lang w:val="es-ES" w:eastAsia="es-ES_tradnl"/>
        </w:rPr>
        <w:t xml:space="preserve">RÉGIMEN DE INHABILIDAD E INCOMPATIBILIDAD – Concepto  </w:t>
      </w:r>
    </w:p>
    <w:p w14:paraId="1E583F63" w14:textId="77777777" w:rsidR="00AB4A37" w:rsidRPr="00DC1867" w:rsidRDefault="00AB4A37" w:rsidP="00AB4A37">
      <w:pPr>
        <w:spacing w:after="0"/>
        <w:jc w:val="both"/>
        <w:rPr>
          <w:rFonts w:ascii="Verdana" w:eastAsia="Arial" w:hAnsi="Verdana"/>
          <w:b/>
          <w:bCs/>
          <w:lang w:val="es-ES" w:eastAsia="es-ES_tradnl"/>
        </w:rPr>
      </w:pPr>
    </w:p>
    <w:p w14:paraId="3A848205"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Pr>
          <w:rFonts w:ascii="Verdana" w:eastAsia="Calibri" w:hAnsi="Verdana" w:cs="Arial"/>
          <w:color w:val="000000" w:themeColor="text1"/>
          <w:sz w:val="20"/>
          <w:szCs w:val="20"/>
          <w:lang w:val="es-ES"/>
        </w:rPr>
        <w:t>.</w:t>
      </w:r>
    </w:p>
    <w:p w14:paraId="087CD77B" w14:textId="77777777" w:rsidR="00AB4A37" w:rsidRPr="00DC1867" w:rsidRDefault="00AB4A37" w:rsidP="00AB4A37">
      <w:pPr>
        <w:spacing w:after="0"/>
        <w:jc w:val="both"/>
        <w:rPr>
          <w:rFonts w:ascii="Verdana" w:eastAsia="Arial" w:hAnsi="Verdana"/>
          <w:b/>
          <w:bCs/>
          <w:lang w:val="es-ES" w:eastAsia="es-ES_tradnl"/>
        </w:rPr>
      </w:pPr>
    </w:p>
    <w:p w14:paraId="38633F1C" w14:textId="77777777" w:rsidR="00AB4A37" w:rsidRPr="00DC1867" w:rsidRDefault="00AB4A37" w:rsidP="00AB4A37">
      <w:pPr>
        <w:spacing w:after="0" w:line="240" w:lineRule="auto"/>
        <w:jc w:val="both"/>
        <w:rPr>
          <w:rFonts w:ascii="Verdana" w:eastAsia="Calibri" w:hAnsi="Verdana" w:cs="Arial"/>
          <w:b/>
          <w:bCs/>
          <w:color w:val="000000" w:themeColor="text1"/>
          <w:lang w:val="es-ES_tradnl"/>
        </w:rPr>
      </w:pPr>
      <w:r w:rsidRPr="00DC1867">
        <w:rPr>
          <w:rFonts w:ascii="Verdana" w:eastAsia="Calibri" w:hAnsi="Verdana" w:cs="Arial"/>
          <w:b/>
          <w:bCs/>
          <w:color w:val="000000" w:themeColor="text1"/>
          <w:lang w:val="es-ES_tradnl"/>
        </w:rPr>
        <w:t>INHABILIDADES E INCOMPATIBILIDADES ― Interpretación restrictiva</w:t>
      </w:r>
    </w:p>
    <w:p w14:paraId="5278DC34" w14:textId="77777777" w:rsidR="00AB4A37" w:rsidRPr="00DC1867" w:rsidRDefault="00AB4A37" w:rsidP="00AB4A37">
      <w:pPr>
        <w:spacing w:after="0" w:line="240" w:lineRule="auto"/>
        <w:jc w:val="both"/>
        <w:rPr>
          <w:rFonts w:ascii="Verdana" w:eastAsia="Calibri" w:hAnsi="Verdana" w:cs="Arial"/>
          <w:color w:val="000000" w:themeColor="text1"/>
          <w:lang w:val="es-ES_tradnl"/>
        </w:rPr>
      </w:pPr>
    </w:p>
    <w:p w14:paraId="01A4983A"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22709AAD"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w:t>
      </w:r>
    </w:p>
    <w:p w14:paraId="54EA9BC4"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 xml:space="preserve">Como se aprecia, el principio pro libertate es el que debe dirigir la interpretación de las disposiciones normativas que consagran restricciones de derechos, como sucede con las causales de inhabilidad e incompatibilidad en la contratación estatal. </w:t>
      </w:r>
    </w:p>
    <w:p w14:paraId="47668708" w14:textId="77777777" w:rsidR="00AB4A37" w:rsidRPr="00DC1867" w:rsidRDefault="00AB4A37" w:rsidP="00AB4A37">
      <w:pPr>
        <w:spacing w:after="0"/>
        <w:jc w:val="both"/>
        <w:rPr>
          <w:rFonts w:ascii="Verdana" w:eastAsia="Arial" w:hAnsi="Verdana"/>
          <w:b/>
          <w:bCs/>
          <w:lang w:val="es-ES" w:eastAsia="es-ES_tradnl"/>
        </w:rPr>
      </w:pPr>
    </w:p>
    <w:p w14:paraId="43571174" w14:textId="77777777" w:rsidR="00AB4A37" w:rsidRPr="00DC1867" w:rsidRDefault="00AB4A37" w:rsidP="00AB4A37">
      <w:pPr>
        <w:spacing w:after="0" w:line="240" w:lineRule="auto"/>
        <w:jc w:val="both"/>
        <w:rPr>
          <w:rFonts w:ascii="Verdana" w:eastAsia="Calibri" w:hAnsi="Verdana" w:cs="Arial"/>
          <w:b/>
          <w:bCs/>
          <w:lang w:val="es-ES_tradnl"/>
        </w:rPr>
      </w:pPr>
      <w:r w:rsidRPr="00DC1867">
        <w:rPr>
          <w:rFonts w:ascii="Verdana" w:eastAsia="Calibri" w:hAnsi="Verdana" w:cs="Arial"/>
          <w:b/>
          <w:bCs/>
          <w:lang w:val="es-ES_tradnl"/>
        </w:rPr>
        <w:t>PROHIBICIÓN PARA CONTRATAR – Incompatibilidad</w:t>
      </w:r>
      <w:r>
        <w:rPr>
          <w:rFonts w:ascii="Verdana" w:eastAsia="Calibri" w:hAnsi="Verdana" w:cs="Arial"/>
          <w:b/>
          <w:bCs/>
          <w:lang w:val="es-ES_tradnl"/>
        </w:rPr>
        <w:t xml:space="preserve"> </w:t>
      </w:r>
      <w:r w:rsidRPr="00DC1867">
        <w:rPr>
          <w:rFonts w:ascii="Verdana" w:eastAsia="Calibri" w:hAnsi="Verdana" w:cs="Arial"/>
          <w:b/>
          <w:bCs/>
          <w:lang w:val="es-ES_tradnl"/>
        </w:rPr>
        <w:t xml:space="preserve">- Exservidores Públicos - Exconcejales </w:t>
      </w:r>
    </w:p>
    <w:p w14:paraId="7E4556EB" w14:textId="77777777" w:rsidR="00AB4A37" w:rsidRPr="00DC1867" w:rsidRDefault="00AB4A37" w:rsidP="00AB4A37">
      <w:pPr>
        <w:spacing w:after="0" w:line="240" w:lineRule="auto"/>
        <w:jc w:val="both"/>
        <w:rPr>
          <w:rFonts w:ascii="Verdana" w:eastAsia="Calibri" w:hAnsi="Verdana" w:cs="Arial"/>
          <w:b/>
          <w:bCs/>
          <w:lang w:val="es-ES_tradnl"/>
        </w:rPr>
      </w:pPr>
    </w:p>
    <w:p w14:paraId="45247606"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 noción de incompatibilidad, conforme se expresó, se refiere a una prohibición de efectuar una determinada actuación o contratación, por parte de un servidor público. En otras palabras, consiste en una prohibición de realizar una actividad o una gestión de manera simultánea con el ejercicio de un cargo público, o como señala el doctor Atehortúa Ríos, “la incompatibilidad es una no concurrencia, que impide dos cosas a un mismo tiempo”.</w:t>
      </w:r>
    </w:p>
    <w:p w14:paraId="22D09960" w14:textId="77777777" w:rsidR="00AB4A37" w:rsidRDefault="00AB4A37" w:rsidP="00AB4A37">
      <w:pPr>
        <w:spacing w:after="0" w:line="240" w:lineRule="auto"/>
        <w:jc w:val="both"/>
        <w:rPr>
          <w:rFonts w:ascii="Verdana" w:eastAsia="Calibri" w:hAnsi="Verdana" w:cs="Arial"/>
          <w:color w:val="000000" w:themeColor="text1"/>
          <w:sz w:val="20"/>
          <w:szCs w:val="20"/>
          <w:lang w:val="es-ES"/>
        </w:rPr>
      </w:pPr>
    </w:p>
    <w:p w14:paraId="3798BF82"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En ese sentido es preciso indicar que al momento de perder la calidad de concejal, por la terminación del periodo constitucional, no hay limitación o impedimento alguno, para que el ciudadano pudiere ser contratado por la entidad territorial donde ejerció el cargo, salvo otras circunstancias propias que deberá constatar la entidad respecto de cumplimiento de requisitos, inhabilidades, incompatibilidades, conflictos de interés entre otros que permitan verificar la idoneidad y experiencia requerida para suscripción del contrato</w:t>
      </w:r>
      <w:r>
        <w:rPr>
          <w:rFonts w:ascii="Verdana" w:eastAsia="Calibri" w:hAnsi="Verdana" w:cs="Arial"/>
          <w:color w:val="000000" w:themeColor="text1"/>
          <w:sz w:val="20"/>
          <w:szCs w:val="20"/>
          <w:lang w:val="es-ES"/>
        </w:rPr>
        <w:t>.</w:t>
      </w:r>
    </w:p>
    <w:p w14:paraId="79F7AA93" w14:textId="77777777" w:rsidR="00AB4A37" w:rsidRDefault="00AB4A37" w:rsidP="00AB4A37">
      <w:pPr>
        <w:spacing w:after="0" w:line="240" w:lineRule="auto"/>
        <w:jc w:val="both"/>
        <w:rPr>
          <w:rFonts w:ascii="Verdana" w:eastAsia="Calibri" w:hAnsi="Verdana" w:cs="Arial"/>
          <w:color w:val="000000" w:themeColor="text1"/>
          <w:sz w:val="20"/>
          <w:szCs w:val="20"/>
          <w:lang w:val="es-ES"/>
        </w:rPr>
      </w:pPr>
    </w:p>
    <w:p w14:paraId="2D57CD21" w14:textId="77777777" w:rsidR="00AB4A37" w:rsidRPr="001306C5" w:rsidRDefault="00AB4A37" w:rsidP="00AB4A37">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 xml:space="preserve">A diferencia de las inhabilidades que son situaciones anteriores a la elección, nombramiento o contratación, las incompatibilidades son posteriores en el tiempo y suponen que el elegido, nombrado o contratado tiene unas calidades previas pero incurre en unas causales específicas de prohibición que pueden generar la imposición de una sanción. </w:t>
      </w:r>
    </w:p>
    <w:p w14:paraId="1C652AE8" w14:textId="77777777" w:rsidR="00AB4A37" w:rsidRPr="00DC1867" w:rsidRDefault="00AB4A37" w:rsidP="00AB4A37">
      <w:pPr>
        <w:spacing w:after="0"/>
        <w:jc w:val="both"/>
        <w:rPr>
          <w:rFonts w:ascii="Verdana" w:eastAsia="Arial" w:hAnsi="Verdana"/>
          <w:b/>
          <w:bCs/>
          <w:lang w:eastAsia="es-ES_tradnl"/>
        </w:rPr>
      </w:pPr>
    </w:p>
    <w:p w14:paraId="702BB76E" w14:textId="77777777" w:rsidR="00AB4A37" w:rsidRDefault="00AB4A37" w:rsidP="00AB4A37">
      <w:pPr>
        <w:spacing w:after="0"/>
        <w:jc w:val="both"/>
        <w:rPr>
          <w:rFonts w:ascii="Verdana" w:eastAsia="Arial" w:hAnsi="Verdana"/>
          <w:b/>
          <w:bCs/>
          <w:lang w:val="es-ES" w:eastAsia="es-ES_tradnl"/>
        </w:rPr>
      </w:pPr>
    </w:p>
    <w:p w14:paraId="5828FD28" w14:textId="77777777" w:rsidR="00AB4A37" w:rsidRDefault="00AB4A37" w:rsidP="00AB4A37">
      <w:pPr>
        <w:spacing w:after="0"/>
        <w:jc w:val="both"/>
        <w:rPr>
          <w:rFonts w:ascii="Verdana" w:eastAsia="Arial" w:hAnsi="Verdana"/>
          <w:b/>
          <w:bCs/>
          <w:lang w:val="es-ES" w:eastAsia="es-ES_tradnl"/>
        </w:rPr>
      </w:pPr>
    </w:p>
    <w:p w14:paraId="1EA00481" w14:textId="77777777" w:rsidR="00AB4A37" w:rsidRDefault="00AB4A37" w:rsidP="00AB4A37">
      <w:pPr>
        <w:spacing w:after="0"/>
        <w:rPr>
          <w:rFonts w:ascii="Verdana" w:eastAsia="Arial" w:hAnsi="Verdana"/>
          <w:b/>
          <w:bCs/>
          <w:lang w:val="es-ES" w:eastAsia="es-ES_tradnl"/>
        </w:rPr>
      </w:pPr>
    </w:p>
    <w:p w14:paraId="37F3DB49" w14:textId="77777777" w:rsidR="00A1188C" w:rsidRDefault="00A1188C" w:rsidP="00AB4A37">
      <w:pPr>
        <w:spacing w:after="0"/>
        <w:rPr>
          <w:rFonts w:ascii="Verdana" w:hAnsi="Verdana"/>
        </w:rPr>
      </w:pPr>
    </w:p>
    <w:p w14:paraId="7BD9840E" w14:textId="77777777" w:rsidR="00AB4A37" w:rsidRPr="0011467B" w:rsidRDefault="00AB4A37" w:rsidP="00AB4A37">
      <w:pPr>
        <w:spacing w:after="0"/>
        <w:rPr>
          <w:rFonts w:ascii="Verdana" w:hAnsi="Verdana"/>
        </w:rPr>
      </w:pPr>
      <w:r w:rsidRPr="0011467B">
        <w:rPr>
          <w:rFonts w:ascii="Verdana" w:hAnsi="Verdana"/>
        </w:rPr>
        <w:lastRenderedPageBreak/>
        <w:t>Bogotá D.C., [Día] [</w:t>
      </w:r>
      <w:proofErr w:type="spellStart"/>
      <w:r w:rsidRPr="0011467B">
        <w:rPr>
          <w:rFonts w:ascii="Verdana" w:hAnsi="Verdana"/>
        </w:rPr>
        <w:t>Mes.NombreCapitalizado</w:t>
      </w:r>
      <w:proofErr w:type="spellEnd"/>
      <w:r w:rsidRPr="0011467B">
        <w:rPr>
          <w:rFonts w:ascii="Verdana" w:hAnsi="Verdana"/>
        </w:rPr>
        <w:t>] [Año]</w:t>
      </w:r>
    </w:p>
    <w:p w14:paraId="62ABF9F4" w14:textId="08038ACE" w:rsidR="00AB4A37" w:rsidRPr="0011467B" w:rsidRDefault="00A1188C" w:rsidP="00AB4A37">
      <w:pPr>
        <w:spacing w:after="0" w:line="276" w:lineRule="auto"/>
        <w:rPr>
          <w:rFonts w:ascii="Verdana" w:hAnsi="Verdana"/>
        </w:rPr>
      </w:pPr>
      <w:r w:rsidRPr="00A1188C">
        <w:rPr>
          <w:rFonts w:ascii="Verdana" w:eastAsia="Calibri" w:hAnsi="Verdana" w:cs="Arial"/>
          <w:noProof/>
          <w:lang w:val="es-ES"/>
        </w:rPr>
        <w:drawing>
          <wp:anchor distT="0" distB="0" distL="114300" distR="114300" simplePos="0" relativeHeight="251658240" behindDoc="1" locked="0" layoutInCell="1" allowOverlap="1" wp14:anchorId="18F8F135" wp14:editId="68D3CD49">
            <wp:simplePos x="0" y="0"/>
            <wp:positionH relativeFrom="column">
              <wp:posOffset>3372031</wp:posOffset>
            </wp:positionH>
            <wp:positionV relativeFrom="paragraph">
              <wp:posOffset>75746</wp:posOffset>
            </wp:positionV>
            <wp:extent cx="3259244" cy="906417"/>
            <wp:effectExtent l="0" t="0" r="5080" b="0"/>
            <wp:wrapNone/>
            <wp:docPr id="1570024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24286" name=""/>
                    <pic:cNvPicPr/>
                  </pic:nvPicPr>
                  <pic:blipFill>
                    <a:blip r:embed="rId10">
                      <a:extLst>
                        <a:ext uri="{28A0092B-C50C-407E-A947-70E740481C1C}">
                          <a14:useLocalDpi xmlns:a14="http://schemas.microsoft.com/office/drawing/2010/main" val="0"/>
                        </a:ext>
                      </a:extLst>
                    </a:blip>
                    <a:stretch>
                      <a:fillRect/>
                    </a:stretch>
                  </pic:blipFill>
                  <pic:spPr>
                    <a:xfrm>
                      <a:off x="0" y="0"/>
                      <a:ext cx="3259244" cy="906417"/>
                    </a:xfrm>
                    <a:prstGeom prst="rect">
                      <a:avLst/>
                    </a:prstGeom>
                  </pic:spPr>
                </pic:pic>
              </a:graphicData>
            </a:graphic>
            <wp14:sizeRelH relativeFrom="page">
              <wp14:pctWidth>0</wp14:pctWidth>
            </wp14:sizeRelH>
            <wp14:sizeRelV relativeFrom="page">
              <wp14:pctHeight>0</wp14:pctHeight>
            </wp14:sizeRelV>
          </wp:anchor>
        </w:drawing>
      </w:r>
    </w:p>
    <w:p w14:paraId="7AA102FE" w14:textId="57B011AE" w:rsidR="00AB4A37" w:rsidRPr="0011467B" w:rsidRDefault="00AB4A37" w:rsidP="00AB4A37">
      <w:pPr>
        <w:spacing w:after="0" w:line="276" w:lineRule="auto"/>
        <w:rPr>
          <w:rFonts w:ascii="Verdana" w:eastAsia="Calibri" w:hAnsi="Verdana" w:cs="Arial"/>
          <w:lang w:val="es-ES"/>
        </w:rPr>
      </w:pPr>
    </w:p>
    <w:p w14:paraId="0DFCC60F" w14:textId="5BAFF2D4" w:rsidR="00AB4A37" w:rsidRPr="0011467B" w:rsidRDefault="00AB4A37" w:rsidP="00AB4A37">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Señor</w:t>
      </w:r>
      <w:r>
        <w:rPr>
          <w:rFonts w:ascii="Verdana" w:eastAsia="Calibri" w:hAnsi="Verdana" w:cs="Arial"/>
          <w:lang w:val="es-ES" w:eastAsia="es-ES"/>
        </w:rPr>
        <w:t xml:space="preserve"> (a)</w:t>
      </w:r>
    </w:p>
    <w:p w14:paraId="3546E3A0" w14:textId="77777777" w:rsidR="00AB4A37" w:rsidRPr="00D81B8E" w:rsidRDefault="00AB4A37" w:rsidP="00AB4A37">
      <w:pPr>
        <w:spacing w:after="0" w:line="240" w:lineRule="auto"/>
        <w:jc w:val="both"/>
        <w:rPr>
          <w:rFonts w:ascii="Verdana" w:hAnsi="Verdana"/>
        </w:rPr>
      </w:pPr>
      <w:hyperlink r:id="rId11" w:history="1">
        <w:r w:rsidRPr="00D81B8E">
          <w:rPr>
            <w:rStyle w:val="Hipervnculo"/>
            <w:rFonts w:ascii="Verdana" w:hAnsi="Verdana"/>
          </w:rPr>
          <w:t>velascobur@gmail.com</w:t>
        </w:r>
      </w:hyperlink>
    </w:p>
    <w:p w14:paraId="7B97311C" w14:textId="77777777" w:rsidR="00AB4A37" w:rsidRPr="0011467B" w:rsidRDefault="00AB4A37" w:rsidP="00AB4A37">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Bogotá D.C.</w:t>
      </w:r>
    </w:p>
    <w:p w14:paraId="72440404" w14:textId="77777777" w:rsidR="00AB4A37" w:rsidRPr="0011467B" w:rsidRDefault="00AB4A37" w:rsidP="00AB4A37">
      <w:pPr>
        <w:spacing w:after="0" w:line="240" w:lineRule="auto"/>
        <w:rPr>
          <w:rFonts w:ascii="Verdana" w:eastAsia="Calibri" w:hAnsi="Verdana" w:cs="Arial"/>
          <w:szCs w:val="24"/>
          <w:lang w:val="es-ES_tradnl" w:eastAsia="es-ES_tradnl"/>
        </w:rPr>
      </w:pPr>
    </w:p>
    <w:p w14:paraId="365B0F9B" w14:textId="77777777" w:rsidR="00AB4A37" w:rsidRPr="0011467B" w:rsidRDefault="00AB4A37" w:rsidP="00AB4A37">
      <w:pPr>
        <w:spacing w:after="0" w:line="240" w:lineRule="auto"/>
        <w:ind w:left="2694"/>
        <w:rPr>
          <w:rFonts w:ascii="Verdana" w:eastAsia="Calibri" w:hAnsi="Verdana" w:cs="Arial"/>
          <w:b/>
          <w:bCs/>
          <w:lang w:val="es-ES" w:eastAsia="es-ES"/>
        </w:rPr>
      </w:pPr>
      <w:r w:rsidRPr="0011467B">
        <w:rPr>
          <w:rFonts w:ascii="Verdana" w:eastAsia="Calibri" w:hAnsi="Verdana" w:cs="Arial"/>
          <w:b/>
          <w:bCs/>
          <w:lang w:val="es-ES" w:eastAsia="es-ES"/>
        </w:rPr>
        <w:t>Concepto C-</w:t>
      </w:r>
      <w:r>
        <w:rPr>
          <w:rFonts w:ascii="Verdana" w:eastAsia="Calibri" w:hAnsi="Verdana" w:cs="Arial"/>
          <w:b/>
          <w:bCs/>
          <w:lang w:val="es-ES" w:eastAsia="es-ES"/>
        </w:rPr>
        <w:t>529</w:t>
      </w:r>
      <w:r w:rsidRPr="0011467B">
        <w:rPr>
          <w:rFonts w:ascii="Verdana" w:eastAsia="Calibri" w:hAnsi="Verdana" w:cs="Arial"/>
          <w:b/>
          <w:bCs/>
          <w:lang w:val="es-ES" w:eastAsia="es-ES"/>
        </w:rPr>
        <w:t xml:space="preserve"> de 2024</w:t>
      </w:r>
    </w:p>
    <w:p w14:paraId="5E72746A" w14:textId="77777777" w:rsidR="00AB4A37" w:rsidRPr="0011467B" w:rsidRDefault="00AB4A37" w:rsidP="00AB4A37">
      <w:pPr>
        <w:spacing w:after="0" w:line="240" w:lineRule="auto"/>
        <w:ind w:left="2694"/>
        <w:rPr>
          <w:rFonts w:ascii="Verdana" w:eastAsia="Calibri" w:hAnsi="Verdana" w:cs="Arial"/>
          <w:szCs w:val="24"/>
          <w:lang w:val="es-ES_tradnl" w:eastAsia="es-ES_tradnl"/>
        </w:rPr>
      </w:pPr>
    </w:p>
    <w:p w14:paraId="67E8EECE" w14:textId="77777777" w:rsidR="00AB4A37" w:rsidRPr="0011467B" w:rsidRDefault="00AB4A37" w:rsidP="00AB4A37">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AB4A37" w:rsidRPr="0011467B" w14:paraId="3699A493" w14:textId="77777777" w:rsidTr="00C77973">
        <w:trPr>
          <w:trHeight w:val="884"/>
        </w:trPr>
        <w:tc>
          <w:tcPr>
            <w:tcW w:w="2689" w:type="dxa"/>
          </w:tcPr>
          <w:p w14:paraId="6E1E4F0B" w14:textId="77777777" w:rsidR="00AB4A37" w:rsidRPr="001306C5" w:rsidRDefault="00AB4A37" w:rsidP="00C77973">
            <w:pPr>
              <w:jc w:val="both"/>
              <w:rPr>
                <w:rFonts w:ascii="Verdana" w:eastAsia="Calibri" w:hAnsi="Verdana" w:cs="Arial"/>
                <w:b/>
                <w:szCs w:val="24"/>
                <w:lang w:val="es-ES_tradnl" w:eastAsia="es-ES_tradnl"/>
              </w:rPr>
            </w:pPr>
            <w:r w:rsidRPr="001306C5">
              <w:rPr>
                <w:rFonts w:ascii="Verdana" w:eastAsia="Calibri" w:hAnsi="Verdana" w:cs="Arial"/>
                <w:b/>
                <w:szCs w:val="24"/>
                <w:lang w:val="es-ES_tradnl" w:eastAsia="es-ES_tradnl"/>
              </w:rPr>
              <w:t xml:space="preserve">Temas:                   </w:t>
            </w:r>
          </w:p>
        </w:tc>
        <w:tc>
          <w:tcPr>
            <w:tcW w:w="6237" w:type="dxa"/>
          </w:tcPr>
          <w:p w14:paraId="1BCB3CA7" w14:textId="77777777" w:rsidR="00AB4A37" w:rsidRPr="0011467B" w:rsidRDefault="00AB4A37" w:rsidP="00C77973">
            <w:pPr>
              <w:jc w:val="both"/>
              <w:rPr>
                <w:rFonts w:ascii="Verdana" w:eastAsia="Calibri" w:hAnsi="Verdana" w:cs="Arial"/>
                <w:lang w:val="es-ES" w:eastAsia="es-ES"/>
              </w:rPr>
            </w:pPr>
            <w:r w:rsidRPr="00DC1867">
              <w:rPr>
                <w:rFonts w:ascii="Verdana" w:eastAsia="Times New Roman" w:hAnsi="Verdana" w:cs="Arial"/>
                <w:lang w:val="es-ES_tradnl" w:eastAsia="es-ES_tradnl"/>
              </w:rPr>
              <w:t>CONTRATACIÓN ESTATAL – Capacidad – Validez contratos – Régimen de contratación – Limitación de la capacidad / RÉGIMEN DE INHABILIDAD E INCOMPATIBILIDAD – Concepto / INHABILIDADES E INCOMPATIBILIDADES ― Interpretación restrictiva / PROHIBICIÓN PARA CONTRATAR – Incompatibilidad</w:t>
            </w:r>
            <w:r>
              <w:rPr>
                <w:rFonts w:ascii="Verdana" w:eastAsia="Times New Roman" w:hAnsi="Verdana" w:cs="Arial"/>
                <w:lang w:val="es-ES_tradnl" w:eastAsia="es-ES_tradnl"/>
              </w:rPr>
              <w:t xml:space="preserve"> </w:t>
            </w:r>
            <w:r w:rsidRPr="00DC1867">
              <w:rPr>
                <w:rFonts w:ascii="Verdana" w:eastAsia="Times New Roman" w:hAnsi="Verdana" w:cs="Arial"/>
                <w:lang w:val="es-ES_tradnl" w:eastAsia="es-ES_tradnl"/>
              </w:rPr>
              <w:t xml:space="preserve">- Exservidores públicos </w:t>
            </w:r>
            <w:r>
              <w:rPr>
                <w:rFonts w:ascii="Verdana" w:eastAsia="Times New Roman" w:hAnsi="Verdana" w:cs="Arial"/>
                <w:lang w:val="es-ES_tradnl" w:eastAsia="es-ES_tradnl"/>
              </w:rPr>
              <w:t>–</w:t>
            </w:r>
            <w:r w:rsidRPr="00DC1867">
              <w:rPr>
                <w:rFonts w:ascii="Verdana" w:eastAsia="Times New Roman" w:hAnsi="Verdana" w:cs="Arial"/>
                <w:lang w:val="es-ES_tradnl" w:eastAsia="es-ES_tradnl"/>
              </w:rPr>
              <w:t xml:space="preserve"> Exconcejales</w:t>
            </w:r>
          </w:p>
        </w:tc>
        <w:tc>
          <w:tcPr>
            <w:tcW w:w="6237" w:type="dxa"/>
          </w:tcPr>
          <w:p w14:paraId="5EE29C79" w14:textId="77777777" w:rsidR="00AB4A37" w:rsidRPr="0011467B" w:rsidRDefault="00AB4A37" w:rsidP="00C77973">
            <w:pPr>
              <w:jc w:val="both"/>
              <w:rPr>
                <w:rFonts w:ascii="Verdana" w:hAnsi="Verdana" w:cs="Arial"/>
                <w:lang w:val="es-ES"/>
              </w:rPr>
            </w:pPr>
          </w:p>
        </w:tc>
      </w:tr>
      <w:tr w:rsidR="00AB4A37" w:rsidRPr="0011467B" w14:paraId="68C53360" w14:textId="77777777" w:rsidTr="00C77973">
        <w:tc>
          <w:tcPr>
            <w:tcW w:w="2689" w:type="dxa"/>
          </w:tcPr>
          <w:p w14:paraId="3F4B7458" w14:textId="77777777" w:rsidR="00AB4A37" w:rsidRPr="001306C5" w:rsidRDefault="00AB4A37" w:rsidP="00C77973">
            <w:pPr>
              <w:spacing w:before="120"/>
              <w:jc w:val="both"/>
              <w:rPr>
                <w:rFonts w:ascii="Verdana" w:eastAsia="Calibri" w:hAnsi="Verdana" w:cs="Arial"/>
                <w:b/>
                <w:szCs w:val="24"/>
                <w:lang w:val="es-ES_tradnl" w:eastAsia="es-ES_tradnl"/>
              </w:rPr>
            </w:pPr>
            <w:r w:rsidRPr="001306C5">
              <w:rPr>
                <w:rFonts w:ascii="Verdana" w:eastAsia="Calibri" w:hAnsi="Verdana" w:cs="Arial"/>
                <w:b/>
                <w:szCs w:val="24"/>
                <w:lang w:val="es-ES_tradnl" w:eastAsia="es-ES_tradnl"/>
              </w:rPr>
              <w:t xml:space="preserve">Radicación:               </w:t>
            </w:r>
          </w:p>
        </w:tc>
        <w:tc>
          <w:tcPr>
            <w:tcW w:w="6237" w:type="dxa"/>
          </w:tcPr>
          <w:p w14:paraId="4CBB1EBF" w14:textId="77777777" w:rsidR="00AB4A37" w:rsidRPr="0011467B" w:rsidRDefault="00AB4A37" w:rsidP="00C77973">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Respuesta a consulta con radicado No. </w:t>
            </w:r>
            <w:r w:rsidRPr="00D81B8E">
              <w:rPr>
                <w:rFonts w:ascii="Verdana" w:eastAsia="Calibri" w:hAnsi="Verdana" w:cs="Arial"/>
                <w:szCs w:val="24"/>
                <w:lang w:val="es-ES_tradnl" w:eastAsia="es-ES_tradnl"/>
              </w:rPr>
              <w:t>P20240829008772</w:t>
            </w:r>
          </w:p>
        </w:tc>
        <w:tc>
          <w:tcPr>
            <w:tcW w:w="6237" w:type="dxa"/>
          </w:tcPr>
          <w:p w14:paraId="419769DE" w14:textId="77777777" w:rsidR="00AB4A37" w:rsidRPr="0011467B" w:rsidRDefault="00AB4A37" w:rsidP="00C77973">
            <w:pPr>
              <w:spacing w:before="120"/>
              <w:jc w:val="both"/>
              <w:rPr>
                <w:rFonts w:ascii="Verdana" w:eastAsia="Calibri" w:hAnsi="Verdana" w:cs="Arial"/>
                <w:szCs w:val="24"/>
                <w:lang w:val="es-ES_tradnl" w:eastAsia="es-ES_tradnl"/>
              </w:rPr>
            </w:pPr>
          </w:p>
        </w:tc>
      </w:tr>
    </w:tbl>
    <w:p w14:paraId="7050DFE2" w14:textId="77777777" w:rsidR="00AB4A37" w:rsidRPr="0011467B" w:rsidRDefault="00AB4A37" w:rsidP="00AB4A37">
      <w:pPr>
        <w:spacing w:after="0" w:line="240" w:lineRule="auto"/>
        <w:jc w:val="both"/>
        <w:rPr>
          <w:rFonts w:ascii="Verdana" w:eastAsia="Calibri" w:hAnsi="Verdana" w:cs="Arial"/>
          <w:szCs w:val="24"/>
          <w:lang w:val="es-ES_tradnl" w:eastAsia="es-ES_tradnl"/>
        </w:rPr>
      </w:pPr>
    </w:p>
    <w:p w14:paraId="69A9E486" w14:textId="77777777" w:rsidR="00AB4A37" w:rsidRPr="0011467B" w:rsidRDefault="00AB4A37" w:rsidP="00AB4A37">
      <w:pPr>
        <w:spacing w:after="0" w:line="240" w:lineRule="auto"/>
        <w:jc w:val="both"/>
        <w:rPr>
          <w:rFonts w:ascii="Verdana" w:eastAsia="Calibri" w:hAnsi="Verdana" w:cs="Arial"/>
          <w:szCs w:val="24"/>
          <w:lang w:val="es-ES_tradnl" w:eastAsia="es-ES_tradnl"/>
        </w:rPr>
      </w:pPr>
    </w:p>
    <w:p w14:paraId="35B0D973" w14:textId="77777777" w:rsidR="00AB4A37" w:rsidRPr="0011467B" w:rsidRDefault="00AB4A37" w:rsidP="00AB4A37">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Estimad</w:t>
      </w:r>
      <w:r>
        <w:rPr>
          <w:rFonts w:ascii="Verdana" w:eastAsia="Calibri" w:hAnsi="Verdana" w:cs="Arial"/>
          <w:lang w:val="es-ES" w:eastAsia="es-ES"/>
        </w:rPr>
        <w:t>o</w:t>
      </w:r>
      <w:r w:rsidRPr="0011467B">
        <w:rPr>
          <w:rFonts w:ascii="Verdana" w:eastAsia="Calibri" w:hAnsi="Verdana" w:cs="Arial"/>
          <w:lang w:val="es-ES" w:eastAsia="es-ES"/>
        </w:rPr>
        <w:t xml:space="preserve"> </w:t>
      </w:r>
      <w:r>
        <w:rPr>
          <w:rFonts w:ascii="Verdana" w:eastAsia="Calibri" w:hAnsi="Verdana" w:cs="Arial"/>
          <w:lang w:val="es-ES" w:eastAsia="es-ES"/>
        </w:rPr>
        <w:t xml:space="preserve">(a) </w:t>
      </w:r>
      <w:r w:rsidRPr="0011467B">
        <w:rPr>
          <w:rFonts w:ascii="Verdana" w:eastAsia="Calibri" w:hAnsi="Verdana" w:cs="Arial"/>
          <w:lang w:val="es-ES" w:eastAsia="es-ES"/>
        </w:rPr>
        <w:t>señor</w:t>
      </w:r>
      <w:r>
        <w:rPr>
          <w:rFonts w:ascii="Verdana" w:eastAsia="Calibri" w:hAnsi="Verdana" w:cs="Arial"/>
          <w:lang w:val="es-ES" w:eastAsia="es-ES"/>
        </w:rPr>
        <w:t xml:space="preserve"> (a)</w:t>
      </w:r>
      <w:r w:rsidRPr="0011467B">
        <w:rPr>
          <w:rFonts w:ascii="Verdana" w:eastAsia="Calibri" w:hAnsi="Verdana" w:cs="Arial"/>
          <w:lang w:val="es-ES" w:eastAsia="es-ES"/>
        </w:rPr>
        <w:t xml:space="preserve">: </w:t>
      </w:r>
    </w:p>
    <w:p w14:paraId="5C92D26A" w14:textId="77777777" w:rsidR="00AB4A37" w:rsidRPr="0011467B" w:rsidRDefault="00AB4A37" w:rsidP="00AB4A37">
      <w:pPr>
        <w:spacing w:after="0" w:line="240" w:lineRule="auto"/>
        <w:jc w:val="both"/>
        <w:rPr>
          <w:rFonts w:ascii="Verdana" w:eastAsia="Calibri" w:hAnsi="Verdana" w:cs="Arial"/>
          <w:lang w:val="es-ES" w:eastAsia="es-ES"/>
        </w:rPr>
      </w:pPr>
    </w:p>
    <w:p w14:paraId="079F0AD9" w14:textId="77777777" w:rsidR="00AB4A37" w:rsidRPr="0011467B" w:rsidRDefault="00AB4A37" w:rsidP="00AB4A37">
      <w:pPr>
        <w:spacing w:after="0" w:line="240" w:lineRule="auto"/>
        <w:jc w:val="both"/>
        <w:rPr>
          <w:rFonts w:ascii="Verdana" w:eastAsia="Calibri" w:hAnsi="Verdana" w:cs="Arial"/>
          <w:szCs w:val="24"/>
          <w:lang w:val="es-ES_tradnl" w:eastAsia="es-ES_tradnl"/>
        </w:rPr>
      </w:pPr>
    </w:p>
    <w:p w14:paraId="7B6FCE3E" w14:textId="77777777" w:rsidR="00AB4A37" w:rsidRPr="0011467B" w:rsidRDefault="00AB4A37" w:rsidP="00AB4A37">
      <w:pPr>
        <w:spacing w:after="120" w:line="276" w:lineRule="auto"/>
        <w:jc w:val="both"/>
        <w:rPr>
          <w:rFonts w:ascii="Verdana" w:eastAsia="Calibri" w:hAnsi="Verdana" w:cs="Arial"/>
          <w:lang w:val="es-ES" w:eastAsia="es-ES"/>
        </w:rPr>
      </w:pPr>
      <w:r w:rsidRPr="0011467B">
        <w:rPr>
          <w:rFonts w:ascii="Verdana" w:eastAsia="Calibri" w:hAnsi="Verdana" w:cs="Arial"/>
          <w:lang w:val="es-ES" w:eastAsia="es-ES"/>
        </w:rPr>
        <w:t>En ejercicio de la competencia otorgada por los artículos 3, numeral 5º, y 11, numeral 8º, del Decreto Ley 4170 de 2011,</w:t>
      </w:r>
      <w:r w:rsidRPr="0011467B">
        <w:rPr>
          <w:rFonts w:ascii="Verdana" w:eastAsia="Arial MT" w:hAnsi="Verdana" w:cs="Arial MT"/>
          <w:lang w:val="es-ES" w:eastAsia="es-ES"/>
        </w:rPr>
        <w:t xml:space="preserve"> </w:t>
      </w:r>
      <w:r w:rsidRPr="0011467B">
        <w:rPr>
          <w:rFonts w:ascii="Verdana" w:eastAsia="Calibri" w:hAnsi="Verdana" w:cs="Arial"/>
          <w:lang w:val="es-ES" w:eastAsia="es-ES"/>
        </w:rPr>
        <w:t xml:space="preserve">la Agencia Nacional de Contratación Pública – Colombia Compra Eficiente– responde la solicitud </w:t>
      </w:r>
      <w:r>
        <w:rPr>
          <w:rFonts w:ascii="Verdana" w:eastAsia="Calibri" w:hAnsi="Verdana" w:cs="Arial"/>
          <w:lang w:val="es-ES" w:eastAsia="es-ES"/>
        </w:rPr>
        <w:t xml:space="preserve">trasladada por la Procuraduría General de la Nación, con radicado S-2024-038486 </w:t>
      </w:r>
      <w:r w:rsidRPr="0011467B">
        <w:rPr>
          <w:rFonts w:ascii="Verdana" w:eastAsia="Calibri" w:hAnsi="Verdana" w:cs="Arial"/>
          <w:lang w:val="es-ES" w:eastAsia="es-ES"/>
        </w:rPr>
        <w:t xml:space="preserve">del </w:t>
      </w:r>
      <w:r>
        <w:rPr>
          <w:rFonts w:ascii="Verdana" w:eastAsia="Calibri" w:hAnsi="Verdana" w:cs="Arial"/>
          <w:lang w:val="es-ES" w:eastAsia="es-ES"/>
        </w:rPr>
        <w:t>29</w:t>
      </w:r>
      <w:r w:rsidRPr="0011467B">
        <w:rPr>
          <w:rFonts w:ascii="Verdana" w:eastAsia="Calibri" w:hAnsi="Verdana" w:cs="Arial"/>
          <w:lang w:val="es-ES" w:eastAsia="es-ES"/>
        </w:rPr>
        <w:t xml:space="preserve"> de agosto de 2024, en la cual manifiesta lo siguiente:</w:t>
      </w:r>
    </w:p>
    <w:p w14:paraId="0B480F32" w14:textId="77777777" w:rsidR="00AB4A37" w:rsidRPr="002D1123" w:rsidRDefault="00AB4A37" w:rsidP="00AB4A37">
      <w:pPr>
        <w:spacing w:after="0" w:line="240" w:lineRule="auto"/>
        <w:ind w:left="709" w:right="709"/>
        <w:jc w:val="both"/>
        <w:rPr>
          <w:rFonts w:ascii="Verdana" w:eastAsia="Calibri" w:hAnsi="Verdana" w:cs="Arial"/>
          <w:sz w:val="21"/>
          <w:szCs w:val="21"/>
          <w:lang w:val="es-ES" w:eastAsia="es-ES"/>
        </w:rPr>
      </w:pPr>
      <w:r w:rsidRPr="0011467B">
        <w:rPr>
          <w:rFonts w:ascii="Verdana" w:eastAsia="Calibri" w:hAnsi="Verdana" w:cs="Arial"/>
          <w:sz w:val="21"/>
          <w:szCs w:val="21"/>
          <w:lang w:val="es-ES" w:eastAsia="es-ES"/>
        </w:rPr>
        <w:t>“¿</w:t>
      </w:r>
      <w:r w:rsidRPr="002D1123">
        <w:rPr>
          <w:rFonts w:ascii="Verdana" w:hAnsi="Verdana" w:cs="Arial"/>
          <w:color w:val="222222"/>
          <w:sz w:val="21"/>
          <w:szCs w:val="21"/>
          <w:shd w:val="clear" w:color="auto" w:fill="FFFFFF"/>
        </w:rPr>
        <w:t xml:space="preserve">Un exconcejal que estuvo vinculado en el periodo constitucional inmediatamente anterior como Concejal municipal, para el periodo (2020 a diciembre de 2023) y suscribe un contrato de servicios profesionales con el mismo municipio, en el mes de enero de 2024, transcurriendo un mes de su salida como Concejal Municipal. Para tal efecto el Exconcejal estaba dentro del régimen de incompatibilidades para suscribir contratos de servicios </w:t>
      </w:r>
      <w:r w:rsidRPr="002D1123">
        <w:rPr>
          <w:rFonts w:ascii="Verdana" w:hAnsi="Verdana" w:cs="Arial"/>
          <w:color w:val="222222"/>
          <w:sz w:val="21"/>
          <w:szCs w:val="21"/>
          <w:shd w:val="clear" w:color="auto" w:fill="FFFFFF"/>
        </w:rPr>
        <w:lastRenderedPageBreak/>
        <w:t>profesionales por tratarse del mismo municipio, conforme lo señala el ARTICULO 43 DE LA LEY 1952 DE 2019, que reza “1. Para los gobernadores, diputados, alcaldes, concejales y miembros de las juntas administradoras locales, en el nivel territorial donde hayan ejercido jurisdicción, desde el momento de su elección y hasta doce meses después del vencimiento de su periodo o retiro del servicio…” Para tal efecto; me despejen la inquietud de establecer, si hay incompatibilidad para  Suscribir contrato del exconcejal con el municipio?. Y si existe tal impedimento cuales son las consecuencias jurídicas para el nominador como para el contratista que acepta un contrato de servicios estando en régimen de incompatibilidad”.</w:t>
      </w:r>
    </w:p>
    <w:p w14:paraId="667BAF94" w14:textId="77777777" w:rsidR="00AB4A37" w:rsidRPr="0011467B" w:rsidRDefault="00AB4A37" w:rsidP="00AB4A37">
      <w:pPr>
        <w:spacing w:after="0" w:line="240" w:lineRule="auto"/>
        <w:ind w:left="709" w:right="709"/>
        <w:jc w:val="both"/>
        <w:rPr>
          <w:rFonts w:ascii="Verdana" w:eastAsia="Calibri" w:hAnsi="Verdana" w:cs="Arial"/>
          <w:lang w:val="es-ES" w:eastAsia="es-ES_tradnl"/>
        </w:rPr>
      </w:pPr>
    </w:p>
    <w:p w14:paraId="320BA65F" w14:textId="77777777" w:rsidR="00AB4A37" w:rsidRPr="0011467B" w:rsidRDefault="00AB4A37" w:rsidP="00AB4A37">
      <w:pPr>
        <w:spacing w:after="120" w:line="276" w:lineRule="auto"/>
        <w:jc w:val="both"/>
        <w:rPr>
          <w:rFonts w:ascii="Verdana" w:eastAsia="Calibri" w:hAnsi="Verdana" w:cs="Arial"/>
          <w:lang w:val="es-ES" w:eastAsia="es-ES"/>
        </w:rPr>
      </w:pPr>
      <w:r w:rsidRPr="0011467B">
        <w:rPr>
          <w:rFonts w:ascii="Verdana" w:eastAsia="Calibri" w:hAnsi="Verdana" w:cs="Arial"/>
          <w:lang w:val="es-ES_tradnl" w:eastAsia="es-ES_tradnl"/>
        </w:rPr>
        <w:tab/>
      </w:r>
      <w:r w:rsidRPr="0011467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467B">
        <w:rPr>
          <w:rFonts w:ascii="Verdana" w:eastAsia="Calibri" w:hAnsi="Verdana" w:cs="Arial"/>
          <w:lang w:val="es-ES" w:eastAsia="es-ES"/>
        </w:rPr>
        <w:tab/>
      </w:r>
    </w:p>
    <w:p w14:paraId="03FA49AE" w14:textId="77777777" w:rsidR="00AB4A37" w:rsidRPr="0011467B" w:rsidRDefault="00AB4A37" w:rsidP="00AB4A37">
      <w:pPr>
        <w:spacing w:after="0" w:line="276" w:lineRule="auto"/>
        <w:ind w:firstLine="708"/>
        <w:jc w:val="both"/>
        <w:rPr>
          <w:rFonts w:ascii="Verdana" w:eastAsia="Calibri" w:hAnsi="Verdana" w:cs="Arial"/>
          <w:lang w:val="es-ES" w:eastAsia="es-ES"/>
        </w:rPr>
      </w:pPr>
      <w:r w:rsidRPr="0011467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3E95069" w14:textId="77777777" w:rsidR="00AB4A37" w:rsidRPr="0011467B" w:rsidRDefault="00AB4A37" w:rsidP="00AB4A37">
      <w:pPr>
        <w:spacing w:after="0" w:line="276" w:lineRule="auto"/>
        <w:ind w:firstLine="708"/>
        <w:jc w:val="both"/>
        <w:rPr>
          <w:rFonts w:ascii="Verdana" w:eastAsia="Calibri" w:hAnsi="Verdana" w:cs="Arial"/>
          <w:lang w:val="es-ES" w:eastAsia="es-ES"/>
        </w:rPr>
      </w:pPr>
    </w:p>
    <w:p w14:paraId="18BE8877" w14:textId="77777777" w:rsidR="00AB4A37" w:rsidRPr="0011467B" w:rsidRDefault="00AB4A37" w:rsidP="00AB4A37">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11467B">
        <w:rPr>
          <w:rFonts w:ascii="Verdana" w:eastAsia="Century Gothic" w:hAnsi="Verdana" w:cs="Century Gothic"/>
          <w:b/>
          <w:bCs/>
        </w:rPr>
        <w:t>Problema planteado:</w:t>
      </w:r>
    </w:p>
    <w:p w14:paraId="6085F92C" w14:textId="77777777" w:rsidR="00AB4A37" w:rsidRPr="0011467B" w:rsidRDefault="00AB4A37" w:rsidP="00AB4A37">
      <w:pPr>
        <w:spacing w:after="120" w:line="276" w:lineRule="auto"/>
        <w:jc w:val="both"/>
        <w:rPr>
          <w:rFonts w:ascii="Verdana" w:eastAsia="Century Gothic" w:hAnsi="Verdana" w:cs="Century Gothic"/>
        </w:rPr>
      </w:pPr>
    </w:p>
    <w:p w14:paraId="0EB4F2D1" w14:textId="77777777" w:rsidR="00AB4A37" w:rsidRDefault="00AB4A37" w:rsidP="00AB4A37">
      <w:pPr>
        <w:spacing w:line="276" w:lineRule="auto"/>
        <w:jc w:val="both"/>
        <w:rPr>
          <w:rFonts w:ascii="Century Gothic" w:hAnsi="Century Gothic" w:cs="Arial"/>
        </w:rPr>
      </w:pPr>
      <w:r w:rsidRPr="0011467B">
        <w:rPr>
          <w:rFonts w:ascii="Verdana" w:eastAsia="Century Gothic" w:hAnsi="Verdana" w:cs="Century Gothic"/>
        </w:rPr>
        <w:t>De acuerdo con el contenido de su solicitud, esta Agencia resolverá el siguiente problema jurídico:</w:t>
      </w:r>
      <w:r w:rsidRPr="0011467B">
        <w:rPr>
          <w:rFonts w:ascii="Verdana" w:hAnsi="Verdana"/>
        </w:rPr>
        <w:t xml:space="preserve"> </w:t>
      </w:r>
      <w:r w:rsidRPr="00D81B8E">
        <w:rPr>
          <w:rFonts w:ascii="Verdana" w:hAnsi="Verdana"/>
          <w:lang w:val="es-ES"/>
        </w:rPr>
        <w:t>¿</w:t>
      </w:r>
      <w:r>
        <w:rPr>
          <w:rFonts w:ascii="Verdana" w:hAnsi="Verdana"/>
          <w:lang w:val="es-ES"/>
        </w:rPr>
        <w:t xml:space="preserve">Existe inhabilidad o incompatibilidad para </w:t>
      </w:r>
      <w:r w:rsidRPr="00D81B8E">
        <w:rPr>
          <w:rFonts w:ascii="Verdana" w:hAnsi="Verdana"/>
          <w:lang w:val="es-ES"/>
        </w:rPr>
        <w:t>un exservidor público (exconcejal)</w:t>
      </w:r>
      <w:r>
        <w:rPr>
          <w:rFonts w:ascii="Verdana" w:hAnsi="Verdana"/>
          <w:lang w:val="es-ES"/>
        </w:rPr>
        <w:t>,</w:t>
      </w:r>
      <w:r w:rsidRPr="00D81B8E">
        <w:rPr>
          <w:rFonts w:ascii="Verdana" w:hAnsi="Verdana"/>
          <w:lang w:val="es-ES"/>
        </w:rPr>
        <w:t xml:space="preserve"> una vez finalizó su periodo constitucional,</w:t>
      </w:r>
      <w:r>
        <w:rPr>
          <w:rFonts w:ascii="Verdana" w:hAnsi="Verdana"/>
          <w:lang w:val="es-ES"/>
        </w:rPr>
        <w:t xml:space="preserve"> de</w:t>
      </w:r>
      <w:r w:rsidRPr="00D81B8E">
        <w:rPr>
          <w:rFonts w:ascii="Verdana" w:hAnsi="Verdana"/>
          <w:lang w:val="es-ES"/>
        </w:rPr>
        <w:t xml:space="preserve"> celebrar </w:t>
      </w:r>
      <w:r>
        <w:rPr>
          <w:rFonts w:ascii="Verdana" w:hAnsi="Verdana"/>
          <w:lang w:val="es-ES"/>
        </w:rPr>
        <w:t xml:space="preserve">un </w:t>
      </w:r>
      <w:r w:rsidRPr="00D81B8E">
        <w:rPr>
          <w:rFonts w:ascii="Verdana" w:hAnsi="Verdana"/>
          <w:lang w:val="es-ES"/>
        </w:rPr>
        <w:t xml:space="preserve">contrato de prestación de servicios en la entidad territorial en la </w:t>
      </w:r>
      <w:r>
        <w:rPr>
          <w:rFonts w:ascii="Verdana" w:hAnsi="Verdana"/>
          <w:lang w:val="es-ES"/>
        </w:rPr>
        <w:t xml:space="preserve">que </w:t>
      </w:r>
      <w:r w:rsidRPr="00D81B8E">
        <w:rPr>
          <w:rFonts w:ascii="Verdana" w:hAnsi="Verdana"/>
          <w:lang w:val="es-ES"/>
        </w:rPr>
        <w:t>ejerció tales calidades?</w:t>
      </w:r>
    </w:p>
    <w:p w14:paraId="4ED3E9A2" w14:textId="77777777" w:rsidR="00AB4A37" w:rsidRPr="002A22E2" w:rsidRDefault="00AB4A37" w:rsidP="00AB4A37">
      <w:pPr>
        <w:spacing w:line="276" w:lineRule="auto"/>
        <w:jc w:val="both"/>
        <w:rPr>
          <w:rFonts w:ascii="Century Gothic" w:hAnsi="Century Gothic" w:cs="Arial"/>
        </w:rPr>
      </w:pPr>
    </w:p>
    <w:p w14:paraId="32B6BE0D" w14:textId="77777777" w:rsidR="00AB4A37" w:rsidRPr="0011467B" w:rsidRDefault="00AB4A37" w:rsidP="00AB4A3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Respuesta:</w:t>
      </w:r>
    </w:p>
    <w:p w14:paraId="27A5B62A" w14:textId="77777777" w:rsidR="00AB4A37" w:rsidRPr="0011467B" w:rsidRDefault="00AB4A37" w:rsidP="00AB4A37">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B4A4100" w14:textId="77777777" w:rsidR="00AB4A37" w:rsidRDefault="00AB4A37" w:rsidP="00AB4A37">
      <w:pPr>
        <w:shd w:val="clear" w:color="auto" w:fill="FFFFFF"/>
        <w:spacing w:after="120"/>
        <w:jc w:val="both"/>
        <w:textAlignment w:val="baseline"/>
        <w:rPr>
          <w:rFonts w:ascii="Verdana" w:eastAsia="Times New Roman" w:hAnsi="Verdana" w:cs="Arial"/>
          <w:lang w:eastAsia="es-MX"/>
        </w:rPr>
      </w:pPr>
      <w:r w:rsidRPr="004017DD">
        <w:rPr>
          <w:rFonts w:ascii="Verdana" w:hAnsi="Verdana"/>
          <w:lang w:val="es-ES"/>
        </w:rPr>
        <w:t>Un ex – servidor público (exconcejal) una vez finalizado su periodo constitucional para el cual fue elegido no se encuentra inmerso en causales de inhabilida</w:t>
      </w:r>
      <w:r>
        <w:rPr>
          <w:rFonts w:ascii="Verdana" w:hAnsi="Verdana"/>
          <w:lang w:val="es-ES"/>
        </w:rPr>
        <w:t>d</w:t>
      </w:r>
      <w:r w:rsidRPr="004017DD">
        <w:rPr>
          <w:rFonts w:ascii="Verdana" w:hAnsi="Verdana"/>
          <w:lang w:val="es-ES"/>
        </w:rPr>
        <w:t xml:space="preserve"> para la celebración de contratos de prestación de servicios</w:t>
      </w:r>
      <w:r>
        <w:rPr>
          <w:rFonts w:ascii="Verdana" w:hAnsi="Verdana"/>
          <w:lang w:val="es-ES"/>
        </w:rPr>
        <w:t xml:space="preserve"> con el municipio para el que fue concejal</w:t>
      </w:r>
      <w:r w:rsidRPr="004017DD">
        <w:rPr>
          <w:rFonts w:ascii="Verdana" w:hAnsi="Verdana"/>
          <w:lang w:val="es-ES"/>
        </w:rPr>
        <w:t xml:space="preserve">, en el entendido que las inhabilidades establecidas en </w:t>
      </w:r>
      <w:r>
        <w:rPr>
          <w:rFonts w:ascii="Verdana" w:hAnsi="Verdana"/>
          <w:lang w:val="es-ES"/>
        </w:rPr>
        <w:t xml:space="preserve">el </w:t>
      </w:r>
      <w:r w:rsidRPr="004017DD">
        <w:rPr>
          <w:rFonts w:ascii="Verdana" w:hAnsi="Verdana"/>
          <w:lang w:val="es-ES"/>
        </w:rPr>
        <w:t xml:space="preserve">artículo 8 de la </w:t>
      </w:r>
      <w:r>
        <w:rPr>
          <w:rFonts w:ascii="Verdana" w:hAnsi="Verdana"/>
          <w:lang w:val="es-ES"/>
        </w:rPr>
        <w:t>L</w:t>
      </w:r>
      <w:r w:rsidRPr="004017DD">
        <w:rPr>
          <w:rFonts w:ascii="Verdana" w:hAnsi="Verdana"/>
          <w:lang w:val="es-ES"/>
        </w:rPr>
        <w:t>ey 80 de 1993</w:t>
      </w:r>
      <w:r>
        <w:rPr>
          <w:rFonts w:ascii="Verdana" w:hAnsi="Verdana"/>
          <w:lang w:val="es-ES"/>
        </w:rPr>
        <w:t>, que son de aplicación restrictiva,</w:t>
      </w:r>
      <w:r w:rsidRPr="004017DD">
        <w:rPr>
          <w:rFonts w:ascii="Verdana" w:hAnsi="Verdana"/>
          <w:lang w:val="es-ES"/>
        </w:rPr>
        <w:t xml:space="preserve"> señala</w:t>
      </w:r>
      <w:r>
        <w:rPr>
          <w:rFonts w:ascii="Verdana" w:hAnsi="Verdana"/>
          <w:lang w:val="es-ES"/>
        </w:rPr>
        <w:t>n</w:t>
      </w:r>
      <w:r w:rsidRPr="004017DD">
        <w:rPr>
          <w:rFonts w:ascii="Verdana" w:hAnsi="Verdana"/>
          <w:lang w:val="es-ES"/>
        </w:rPr>
        <w:t xml:space="preserve"> a determinados servidores públicos del orden territorial a quienes se les aplica</w:t>
      </w:r>
      <w:r>
        <w:rPr>
          <w:rFonts w:ascii="Verdana" w:hAnsi="Verdana"/>
          <w:lang w:val="es-ES"/>
        </w:rPr>
        <w:t xml:space="preserve"> la inhabilidad,</w:t>
      </w:r>
      <w:r w:rsidRPr="004017DD">
        <w:rPr>
          <w:rFonts w:ascii="Verdana" w:hAnsi="Verdana"/>
          <w:lang w:val="es-ES"/>
        </w:rPr>
        <w:t xml:space="preserve"> es decir</w:t>
      </w:r>
      <w:r>
        <w:rPr>
          <w:rFonts w:ascii="Verdana" w:hAnsi="Verdana"/>
          <w:lang w:val="es-ES"/>
        </w:rPr>
        <w:t>,</w:t>
      </w:r>
      <w:r w:rsidRPr="004017DD">
        <w:rPr>
          <w:rFonts w:ascii="Verdana" w:hAnsi="Verdana"/>
          <w:lang w:val="es-ES"/>
        </w:rPr>
        <w:t xml:space="preserve"> solo comprende a quienes</w:t>
      </w:r>
      <w:r>
        <w:rPr>
          <w:rFonts w:ascii="Verdana" w:hAnsi="Verdana"/>
          <w:lang w:val="es-ES"/>
        </w:rPr>
        <w:t xml:space="preserve"> fueron miembros de la junta o consejo directivo o servidores públicos</w:t>
      </w:r>
      <w:r w:rsidRPr="004017DD">
        <w:rPr>
          <w:rFonts w:ascii="Verdana" w:hAnsi="Verdana"/>
          <w:lang w:val="es-ES"/>
        </w:rPr>
        <w:t xml:space="preserve"> </w:t>
      </w:r>
      <w:r>
        <w:rPr>
          <w:rFonts w:ascii="Verdana" w:hAnsi="Verdana"/>
          <w:lang w:val="es-ES"/>
        </w:rPr>
        <w:t xml:space="preserve">de la entidad contratante, en la cual </w:t>
      </w:r>
      <w:r w:rsidRPr="004017DD">
        <w:rPr>
          <w:rFonts w:ascii="Verdana" w:hAnsi="Verdana"/>
          <w:lang w:val="es-ES"/>
        </w:rPr>
        <w:t>desempeñaron funciones en los niveles directivo, asesor o ejecutivo</w:t>
      </w:r>
      <w:r>
        <w:rPr>
          <w:rFonts w:ascii="Verdana" w:hAnsi="Verdana"/>
          <w:lang w:val="es-ES"/>
        </w:rPr>
        <w:t>;</w:t>
      </w:r>
      <w:r w:rsidRPr="004017DD">
        <w:rPr>
          <w:rFonts w:ascii="Verdana" w:hAnsi="Verdana"/>
          <w:lang w:val="es-ES"/>
        </w:rPr>
        <w:t xml:space="preserve"> en ese sentido</w:t>
      </w:r>
      <w:r>
        <w:rPr>
          <w:rFonts w:ascii="Verdana" w:hAnsi="Verdana"/>
          <w:lang w:val="es-ES"/>
        </w:rPr>
        <w:t xml:space="preserve">, </w:t>
      </w:r>
      <w:r>
        <w:rPr>
          <w:rFonts w:ascii="Verdana" w:hAnsi="Verdana" w:cs="Arial"/>
        </w:rPr>
        <w:t>l</w:t>
      </w:r>
      <w:r w:rsidRPr="000F6C79">
        <w:rPr>
          <w:rFonts w:ascii="Verdana" w:hAnsi="Verdana" w:cs="Arial"/>
        </w:rPr>
        <w:t xml:space="preserve">os concejales son considerados como servidores públicos, de acuerdo con en el artículo 123 de la Constitución Política, </w:t>
      </w:r>
      <w:r>
        <w:rPr>
          <w:rFonts w:ascii="Verdana" w:hAnsi="Verdana" w:cs="Arial"/>
        </w:rPr>
        <w:t xml:space="preserve">pero </w:t>
      </w:r>
      <w:r w:rsidRPr="000F6C79">
        <w:rPr>
          <w:rFonts w:ascii="Verdana" w:hAnsi="Verdana" w:cs="Arial"/>
        </w:rPr>
        <w:t>dicha calidad no les confiere la condición de empleados o funcionarios públicos, pues hacen parte de una categoría denominada miembros de una corporación político administrativa, elegidos popularmente, con funciones</w:t>
      </w:r>
      <w:r>
        <w:rPr>
          <w:rFonts w:ascii="Verdana" w:hAnsi="Verdana" w:cs="Arial"/>
        </w:rPr>
        <w:t xml:space="preserve"> y</w:t>
      </w:r>
      <w:r w:rsidRPr="000F6C79">
        <w:rPr>
          <w:rFonts w:ascii="Verdana" w:hAnsi="Verdana" w:cs="Arial"/>
        </w:rPr>
        <w:t xml:space="preserve"> competencias específicas</w:t>
      </w:r>
      <w:r>
        <w:rPr>
          <w:rFonts w:ascii="Verdana" w:hAnsi="Verdana" w:cs="Arial"/>
        </w:rPr>
        <w:t>.</w:t>
      </w:r>
      <w:r w:rsidRPr="000F6C79">
        <w:rPr>
          <w:rFonts w:ascii="Verdana" w:hAnsi="Verdana" w:cs="Arial"/>
        </w:rPr>
        <w:t xml:space="preserve"> </w:t>
      </w:r>
    </w:p>
    <w:p w14:paraId="0AAC6B61" w14:textId="77777777" w:rsidR="00AB4A37" w:rsidRDefault="00AB4A37" w:rsidP="00AB4A37">
      <w:pPr>
        <w:shd w:val="clear" w:color="auto" w:fill="FFFFFF"/>
        <w:spacing w:after="120"/>
        <w:ind w:firstLine="708"/>
        <w:jc w:val="both"/>
        <w:textAlignment w:val="baseline"/>
        <w:rPr>
          <w:rFonts w:ascii="Verdana" w:hAnsi="Verdana"/>
        </w:rPr>
      </w:pPr>
      <w:r w:rsidRPr="004310A2">
        <w:rPr>
          <w:rFonts w:ascii="Verdana" w:hAnsi="Verdana"/>
        </w:rPr>
        <w:t xml:space="preserve">Si bien el artículo 8 de la </w:t>
      </w:r>
      <w:r>
        <w:rPr>
          <w:rFonts w:ascii="Verdana" w:hAnsi="Verdana"/>
        </w:rPr>
        <w:t>L</w:t>
      </w:r>
      <w:r w:rsidRPr="004310A2">
        <w:rPr>
          <w:rFonts w:ascii="Verdana" w:hAnsi="Verdana"/>
        </w:rPr>
        <w:t xml:space="preserve">ey 80 de 1993 regula una serie de inhabilidades e incompatibilidades para contratar con el </w:t>
      </w:r>
      <w:r>
        <w:rPr>
          <w:rFonts w:ascii="Verdana" w:hAnsi="Verdana"/>
        </w:rPr>
        <w:t>Es</w:t>
      </w:r>
      <w:r w:rsidRPr="004310A2">
        <w:rPr>
          <w:rFonts w:ascii="Verdana" w:hAnsi="Verdana"/>
        </w:rPr>
        <w:t xml:space="preserve">tado, es preciso realizar diferenciación de lo dispuesto en el </w:t>
      </w:r>
      <w:r w:rsidRPr="004310A2">
        <w:rPr>
          <w:rFonts w:ascii="Verdana" w:hAnsi="Verdana" w:cs="Arial"/>
        </w:rPr>
        <w:t xml:space="preserve">artículo 43 de la </w:t>
      </w:r>
      <w:r>
        <w:rPr>
          <w:rFonts w:ascii="Verdana" w:hAnsi="Verdana" w:cs="Arial"/>
        </w:rPr>
        <w:t>L</w:t>
      </w:r>
      <w:r w:rsidRPr="004310A2">
        <w:rPr>
          <w:rFonts w:ascii="Verdana" w:hAnsi="Verdana" w:cs="Arial"/>
        </w:rPr>
        <w:t xml:space="preserve">ey 1952 de 2019 </w:t>
      </w:r>
      <w:r>
        <w:rPr>
          <w:rFonts w:ascii="Verdana" w:hAnsi="Verdana" w:cs="Arial"/>
        </w:rPr>
        <w:t xml:space="preserve">- </w:t>
      </w:r>
      <w:r>
        <w:rPr>
          <w:rFonts w:ascii="Verdana" w:hAnsi="Verdana"/>
        </w:rPr>
        <w:t>C</w:t>
      </w:r>
      <w:r w:rsidRPr="004310A2">
        <w:rPr>
          <w:rFonts w:ascii="Verdana" w:hAnsi="Verdana"/>
        </w:rPr>
        <w:t xml:space="preserve">ódigo </w:t>
      </w:r>
      <w:r>
        <w:rPr>
          <w:rFonts w:ascii="Verdana" w:hAnsi="Verdana"/>
        </w:rPr>
        <w:t>D</w:t>
      </w:r>
      <w:r w:rsidRPr="004310A2">
        <w:rPr>
          <w:rFonts w:ascii="Verdana" w:hAnsi="Verdana"/>
        </w:rPr>
        <w:t xml:space="preserve">isciplinario, en el entendido que </w:t>
      </w:r>
      <w:r>
        <w:rPr>
          <w:rFonts w:ascii="Verdana" w:hAnsi="Verdana"/>
        </w:rPr>
        <w:t xml:space="preserve">esta disposición normativa regula las incompatibilidades para desempeñar cargos públicos de determinados servidores del orden territorial a quienes les aplica; en ese orden, las disposiciones establecidas en la Ley 80 del 1993 regulan un ámbito general que debe ser considerado por las entidades del Estado para la suscripción de contratos públicos, mientras que la Ley 1952 de 2019 regula las incompatibilidades para desempegar cargos públicos de determinados servidores públicos, los cuales en razón a su cargo están inmersos en las incompatibilidades dispuestas en el Código Disciplinario. </w:t>
      </w:r>
    </w:p>
    <w:p w14:paraId="13A01B91" w14:textId="77777777" w:rsidR="00AB4A37" w:rsidRPr="00AB33A3" w:rsidRDefault="00AB4A37" w:rsidP="00AB4A37">
      <w:pPr>
        <w:spacing w:before="120" w:after="0" w:line="276" w:lineRule="auto"/>
        <w:jc w:val="both"/>
        <w:rPr>
          <w:rFonts w:ascii="Verdana" w:eastAsia="Calibri" w:hAnsi="Verdana" w:cs="Arial"/>
        </w:rPr>
      </w:pPr>
    </w:p>
    <w:p w14:paraId="004E4D6A" w14:textId="77777777" w:rsidR="00AB4A37" w:rsidRPr="001A43C5" w:rsidRDefault="00AB4A37" w:rsidP="00AB4A37">
      <w:pPr>
        <w:pStyle w:val="Prrafodelista"/>
        <w:numPr>
          <w:ilvl w:val="0"/>
          <w:numId w:val="1"/>
        </w:numPr>
        <w:spacing w:after="120" w:line="276" w:lineRule="auto"/>
        <w:ind w:left="0" w:firstLine="0"/>
        <w:jc w:val="both"/>
        <w:rPr>
          <w:rFonts w:ascii="Verdana" w:eastAsia="Century Gothic" w:hAnsi="Verdana" w:cs="Century Gothic"/>
          <w:b/>
          <w:bCs/>
        </w:rPr>
      </w:pPr>
      <w:r w:rsidRPr="002D7150">
        <w:rPr>
          <w:rFonts w:ascii="Verdana" w:eastAsia="Century Gothic" w:hAnsi="Verdana" w:cs="Century Gothic"/>
          <w:b/>
        </w:rPr>
        <w:t>Razones de la respuesta:</w:t>
      </w:r>
    </w:p>
    <w:p w14:paraId="56FC96C6" w14:textId="77777777" w:rsidR="00AB4A37" w:rsidRPr="003D455F" w:rsidRDefault="00AB4A37" w:rsidP="00AB4A37">
      <w:pPr>
        <w:spacing w:after="120" w:line="276" w:lineRule="auto"/>
        <w:jc w:val="both"/>
        <w:rPr>
          <w:rFonts w:ascii="Verdana" w:eastAsia="Calibri" w:hAnsi="Verdana" w:cs="Arial"/>
          <w:lang w:val="es-ES"/>
        </w:rPr>
      </w:pPr>
      <w:r w:rsidRPr="003D455F">
        <w:rPr>
          <w:rFonts w:ascii="Verdana" w:eastAsia="Calibri" w:hAnsi="Verdana" w:cs="Arial"/>
          <w:lang w:val="es-ES"/>
        </w:rPr>
        <w:t xml:space="preserve">Lo anterior se sustenta en las siguientes consideraciones: </w:t>
      </w:r>
    </w:p>
    <w:p w14:paraId="33311DC5" w14:textId="77777777" w:rsidR="00AB4A37" w:rsidRPr="00C6404E" w:rsidRDefault="00AB4A37" w:rsidP="00AB4A37">
      <w:pPr>
        <w:spacing w:after="120"/>
        <w:jc w:val="both"/>
        <w:rPr>
          <w:rFonts w:ascii="Verdana" w:eastAsia="Calibri" w:hAnsi="Verdana" w:cs="Arial"/>
          <w:lang w:val="es-ES_tradnl"/>
        </w:rPr>
      </w:pPr>
      <w:r w:rsidRPr="00C6404E">
        <w:rPr>
          <w:rFonts w:ascii="Verdana" w:eastAsia="Calibri" w:hAnsi="Verdana" w:cs="Arial"/>
          <w:lang w:val="es-ES_tradnl"/>
        </w:rPr>
        <w:t xml:space="preserve">En la contratación estatal, la </w:t>
      </w:r>
      <w:r w:rsidRPr="00C6404E">
        <w:rPr>
          <w:rFonts w:ascii="Verdana" w:eastAsia="Calibri" w:hAnsi="Verdana" w:cs="Arial"/>
          <w:i/>
          <w:iCs/>
          <w:lang w:val="es-ES_tradnl"/>
        </w:rPr>
        <w:t>capacidad</w:t>
      </w:r>
      <w:r w:rsidRPr="00C6404E">
        <w:rPr>
          <w:rFonts w:ascii="Verdana" w:eastAsia="Calibri" w:hAnsi="Verdana" w:cs="Arial"/>
          <w:lang w:val="es-ES_tradnl"/>
        </w:rPr>
        <w:t xml:space="preserve"> es un requisito de validez de los contratos, tanto en el régimen de las entidades sujetas al Estatuto General de Contratación de</w:t>
      </w:r>
      <w:r>
        <w:rPr>
          <w:rFonts w:ascii="Verdana" w:eastAsia="Calibri" w:hAnsi="Verdana" w:cs="Arial"/>
          <w:lang w:val="es-ES_tradnl"/>
        </w:rPr>
        <w:t xml:space="preserve"> </w:t>
      </w:r>
      <w:r w:rsidRPr="00C6404E">
        <w:rPr>
          <w:rFonts w:ascii="Verdana" w:eastAsia="Calibri" w:hAnsi="Verdana" w:cs="Arial"/>
          <w:lang w:val="es-ES_tradnl"/>
        </w:rPr>
        <w:lastRenderedPageBreak/>
        <w:t>la Administración Pública</w:t>
      </w:r>
      <w:r w:rsidRPr="00C6404E">
        <w:rPr>
          <w:rFonts w:ascii="Verdana" w:eastAsia="Calibri" w:hAnsi="Verdana" w:cs="Arial"/>
          <w:vertAlign w:val="superscript"/>
          <w:lang w:val="es-ES_tradnl"/>
        </w:rPr>
        <w:footnoteReference w:id="1"/>
      </w:r>
      <w:r w:rsidRPr="00C6404E">
        <w:rPr>
          <w:rFonts w:ascii="Verdana" w:eastAsia="Calibri" w:hAnsi="Verdana" w:cs="Arial"/>
          <w:lang w:val="es-ES_tradnl"/>
        </w:rPr>
        <w:t xml:space="preserve"> como en el de las entidades exceptuadas de aquel</w:t>
      </w:r>
      <w:r w:rsidRPr="00C6404E">
        <w:rPr>
          <w:rFonts w:ascii="Verdana" w:eastAsia="Calibri" w:hAnsi="Verdana" w:cs="Arial"/>
          <w:vertAlign w:val="superscript"/>
          <w:lang w:val="es-ES_tradnl"/>
        </w:rPr>
        <w:footnoteReference w:id="2"/>
      </w:r>
      <w:r w:rsidRPr="00C6404E">
        <w:rPr>
          <w:rFonts w:ascii="Verdana" w:eastAsia="Calibri" w:hAnsi="Verdana" w:cs="Arial"/>
          <w:lang w:val="es-ES_tradnl"/>
        </w:rPr>
        <w:t>. Si bien la regulación de la capacidad se integra por varias disposiciones y exigencias especiales, se destaca el régimen de inhabilidades e incompatibilidades como un conjunto de normas que imponen restricciones para los sujetos que, eventualmente, pretendan participar en los procedimientos de selección o celebrar contratos con las entidades estatales</w:t>
      </w:r>
      <w:r w:rsidRPr="00C6404E">
        <w:rPr>
          <w:rFonts w:ascii="Verdana" w:eastAsia="Calibri" w:hAnsi="Verdana" w:cs="Arial"/>
          <w:vertAlign w:val="superscript"/>
          <w:lang w:val="es-ES_tradnl"/>
        </w:rPr>
        <w:footnoteReference w:id="3"/>
      </w:r>
      <w:r w:rsidRPr="00C6404E">
        <w:rPr>
          <w:rFonts w:ascii="Verdana" w:eastAsia="Calibri" w:hAnsi="Verdana" w:cs="Arial"/>
          <w:lang w:val="es-ES_tradnl"/>
        </w:rPr>
        <w:t>.</w:t>
      </w:r>
    </w:p>
    <w:p w14:paraId="7E4FEFBF" w14:textId="77777777" w:rsidR="00AB4A37" w:rsidRDefault="00AB4A37" w:rsidP="00AB4A37">
      <w:pPr>
        <w:spacing w:after="120"/>
        <w:ind w:firstLine="709"/>
        <w:jc w:val="both"/>
        <w:rPr>
          <w:rFonts w:ascii="Verdana" w:eastAsia="Calibri" w:hAnsi="Verdana" w:cs="Arial"/>
          <w:lang w:val="es-ES"/>
        </w:rPr>
      </w:pPr>
      <w:r w:rsidRPr="00C6404E">
        <w:rPr>
          <w:rFonts w:ascii="Verdana" w:eastAsia="Calibri" w:hAnsi="Verdana" w:cs="Arial"/>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C6404E">
        <w:rPr>
          <w:rFonts w:ascii="Verdana" w:eastAsia="Calibri" w:hAnsi="Verdana" w:cs="Arial"/>
          <w:vertAlign w:val="superscript"/>
          <w:lang w:val="es-ES"/>
        </w:rPr>
        <w:footnoteReference w:id="4"/>
      </w:r>
      <w:r w:rsidRPr="00C6404E">
        <w:rPr>
          <w:rFonts w:ascii="Verdana" w:eastAsia="Calibri" w:hAnsi="Verdana" w:cs="Arial"/>
          <w:lang w:val="es-ES"/>
        </w:rPr>
        <w:t xml:space="preserve">.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w:t>
      </w:r>
      <w:r w:rsidRPr="00C6404E">
        <w:rPr>
          <w:rFonts w:ascii="Verdana" w:eastAsia="Calibri" w:hAnsi="Verdana" w:cs="Arial"/>
          <w:lang w:val="es-ES"/>
        </w:rPr>
        <w:lastRenderedPageBreak/>
        <w:t>en procedimientos de selección de las entidades estatales, por lo que de cualquiera de ellas se derivan los mismos efectos jurídicos</w:t>
      </w:r>
      <w:r w:rsidRPr="00C6404E">
        <w:rPr>
          <w:rFonts w:ascii="Verdana" w:eastAsia="Calibri" w:hAnsi="Verdana" w:cs="Arial"/>
          <w:vertAlign w:val="superscript"/>
          <w:lang w:val="es-ES"/>
        </w:rPr>
        <w:footnoteReference w:id="5"/>
      </w:r>
      <w:r w:rsidRPr="00C6404E">
        <w:rPr>
          <w:rFonts w:ascii="Verdana" w:eastAsia="Calibri" w:hAnsi="Verdana" w:cs="Arial"/>
          <w:lang w:val="es-ES"/>
        </w:rPr>
        <w:t>.</w:t>
      </w:r>
    </w:p>
    <w:p w14:paraId="5BAD62C7" w14:textId="77777777" w:rsidR="00AB4A37" w:rsidRDefault="00AB4A37" w:rsidP="00AB4A37">
      <w:pPr>
        <w:spacing w:after="120"/>
        <w:ind w:firstLine="709"/>
        <w:jc w:val="both"/>
        <w:rPr>
          <w:rFonts w:ascii="Verdana" w:eastAsia="Calibri" w:hAnsi="Verdana" w:cs="Arial"/>
          <w:lang w:val="es-ES"/>
        </w:rPr>
      </w:pPr>
      <w:r w:rsidRPr="00C6404E">
        <w:rPr>
          <w:rFonts w:ascii="Verdana" w:eastAsia="Calibri" w:hAnsi="Verdana" w:cs="Arial"/>
          <w:lang w:val="es-ES"/>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00C6404E">
        <w:rPr>
          <w:rFonts w:ascii="Verdana" w:eastAsia="Calibri" w:hAnsi="Verdana" w:cs="Arial"/>
          <w:vertAlign w:val="superscript"/>
          <w:lang w:val="es-ES"/>
        </w:rPr>
        <w:footnoteReference w:id="6"/>
      </w:r>
      <w:r w:rsidRPr="00C6404E">
        <w:rPr>
          <w:rFonts w:ascii="Verdana" w:eastAsia="Calibri" w:hAnsi="Verdana" w:cs="Arial"/>
          <w:lang w:val="es-E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25B357D1" w14:textId="77777777" w:rsidR="00AB4A37" w:rsidRDefault="00AB4A37" w:rsidP="00AB4A37">
      <w:pPr>
        <w:spacing w:after="120"/>
        <w:ind w:firstLine="709"/>
        <w:jc w:val="both"/>
        <w:rPr>
          <w:rFonts w:ascii="Verdana" w:eastAsia="Calibri" w:hAnsi="Verdana" w:cs="Arial"/>
          <w:lang w:val="es-ES"/>
        </w:rPr>
      </w:pPr>
      <w:r w:rsidRPr="00C6404E">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C6404E">
        <w:rPr>
          <w:rFonts w:ascii="Verdana" w:eastAsia="Calibri" w:hAnsi="Verdana" w:cs="Arial"/>
          <w:i/>
          <w:iCs/>
          <w:lang w:val="es-ES_tradnl"/>
        </w:rPr>
        <w:t>restrictiva</w:t>
      </w:r>
      <w:r w:rsidRPr="00C6404E">
        <w:rPr>
          <w:rFonts w:ascii="Verdana" w:eastAsia="Calibri" w:hAnsi="Verdana" w:cs="Arial"/>
          <w:i/>
          <w:iCs/>
          <w:vertAlign w:val="superscript"/>
          <w:lang w:val="es-ES_tradnl"/>
        </w:rPr>
        <w:footnoteReference w:id="7"/>
      </w:r>
      <w:r w:rsidRPr="00C6404E">
        <w:rPr>
          <w:rFonts w:ascii="Verdana" w:eastAsia="Calibri" w:hAnsi="Verdana" w:cs="Arial"/>
          <w:i/>
          <w:iCs/>
          <w:lang w:val="es-ES_tradnl"/>
        </w:rPr>
        <w:t xml:space="preserve">, </w:t>
      </w:r>
      <w:r w:rsidRPr="00C6404E">
        <w:rPr>
          <w:rFonts w:ascii="Verdana" w:eastAsia="Calibri" w:hAnsi="Verdana"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6C3CB980" w14:textId="77777777" w:rsidR="00AB4A37" w:rsidRDefault="00AB4A37" w:rsidP="00AB4A37">
      <w:pPr>
        <w:spacing w:after="120"/>
        <w:ind w:firstLine="709"/>
        <w:jc w:val="both"/>
        <w:rPr>
          <w:rFonts w:ascii="Verdana" w:eastAsia="Calibri" w:hAnsi="Verdana" w:cs="Arial"/>
          <w:lang w:val="es-ES_tradnl"/>
        </w:rPr>
      </w:pPr>
      <w:r w:rsidRPr="00C6404E">
        <w:rPr>
          <w:rFonts w:ascii="Verdana" w:eastAsia="Calibri" w:hAnsi="Verdana" w:cs="Arial"/>
          <w:lang w:val="es-ES_tradnl"/>
        </w:rPr>
        <w:lastRenderedPageBreak/>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C6404E">
        <w:rPr>
          <w:rFonts w:ascii="Verdana" w:eastAsia="Calibri" w:hAnsi="Verdana" w:cs="Arial"/>
          <w:vertAlign w:val="superscript"/>
          <w:lang w:val="es-ES_tradnl"/>
        </w:rPr>
        <w:footnoteReference w:id="8"/>
      </w:r>
      <w:r w:rsidRPr="00C6404E">
        <w:rPr>
          <w:rFonts w:ascii="Verdana" w:eastAsia="Calibri" w:hAnsi="Verdana"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C6404E">
        <w:rPr>
          <w:rFonts w:ascii="Verdana" w:eastAsia="Calibri" w:hAnsi="Verdana" w:cs="Arial"/>
          <w:vertAlign w:val="superscript"/>
          <w:lang w:val="es-ES_tradnl"/>
        </w:rPr>
        <w:footnoteReference w:id="9"/>
      </w:r>
      <w:r w:rsidRPr="00C6404E">
        <w:rPr>
          <w:rFonts w:ascii="Verdana" w:eastAsia="Calibri" w:hAnsi="Verdana" w:cs="Arial"/>
          <w:lang w:val="es-ES_tradnl"/>
        </w:rPr>
        <w:t>. En tal sentido, la Sección Tercera ha señalado que:</w:t>
      </w:r>
    </w:p>
    <w:p w14:paraId="70A555C3" w14:textId="77777777" w:rsidR="00AB4A37" w:rsidRDefault="00AB4A37" w:rsidP="00AB4A37">
      <w:pPr>
        <w:spacing w:after="120"/>
        <w:ind w:firstLine="709"/>
        <w:jc w:val="both"/>
        <w:rPr>
          <w:rFonts w:ascii="Verdana" w:eastAsia="Calibri" w:hAnsi="Verdana" w:cs="Arial"/>
          <w:lang w:val="es-ES_tradnl"/>
        </w:rPr>
      </w:pPr>
    </w:p>
    <w:p w14:paraId="11D81A32" w14:textId="77777777" w:rsidR="00AB4A37" w:rsidRDefault="00AB4A37" w:rsidP="00AB4A37">
      <w:pPr>
        <w:spacing w:after="120"/>
        <w:ind w:left="709" w:right="709" w:firstLine="709"/>
        <w:jc w:val="both"/>
        <w:rPr>
          <w:rFonts w:ascii="Verdana" w:hAnsi="Verdana" w:cs="Arial"/>
          <w:sz w:val="21"/>
          <w:szCs w:val="21"/>
          <w:lang w:val="es-ES_tradnl"/>
        </w:rPr>
      </w:pPr>
      <w:r w:rsidRPr="00C6404E">
        <w:rPr>
          <w:rFonts w:ascii="Verdana" w:hAnsi="Verdana"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C6404E">
        <w:rPr>
          <w:rFonts w:ascii="Verdana" w:hAnsi="Verdana" w:cs="Arial"/>
          <w:sz w:val="21"/>
          <w:szCs w:val="21"/>
          <w:vertAlign w:val="superscript"/>
          <w:lang w:val="es-ES_tradnl"/>
        </w:rPr>
        <w:footnoteReference w:id="10"/>
      </w:r>
      <w:r w:rsidRPr="00C6404E">
        <w:rPr>
          <w:rFonts w:ascii="Verdana" w:hAnsi="Verdana" w:cs="Arial"/>
          <w:sz w:val="21"/>
          <w:szCs w:val="21"/>
          <w:lang w:val="es-ES_tradnl"/>
        </w:rPr>
        <w:t>.</w:t>
      </w:r>
    </w:p>
    <w:p w14:paraId="2A71A97C" w14:textId="77777777" w:rsidR="00AB4A37" w:rsidRDefault="00AB4A37" w:rsidP="00AB4A37">
      <w:pPr>
        <w:spacing w:after="120"/>
        <w:ind w:left="709" w:right="709" w:firstLine="709"/>
        <w:jc w:val="both"/>
        <w:rPr>
          <w:rFonts w:ascii="Verdana" w:eastAsia="Calibri" w:hAnsi="Verdana" w:cs="Arial"/>
          <w:lang w:val="es-ES"/>
        </w:rPr>
      </w:pPr>
    </w:p>
    <w:p w14:paraId="657FD229" w14:textId="77777777" w:rsidR="00AB4A37" w:rsidRDefault="00AB4A37" w:rsidP="00AB4A37">
      <w:pPr>
        <w:spacing w:after="120"/>
        <w:ind w:right="709"/>
        <w:jc w:val="both"/>
        <w:rPr>
          <w:rFonts w:ascii="Verdana" w:eastAsia="Calibri" w:hAnsi="Verdana" w:cs="Arial"/>
          <w:lang w:val="es-ES"/>
        </w:rPr>
      </w:pPr>
      <w:r w:rsidRPr="00C6404E">
        <w:rPr>
          <w:rFonts w:ascii="Verdana" w:eastAsia="Calibri" w:hAnsi="Verdana" w:cs="Arial"/>
          <w:lang w:val="es-ES_tradnl"/>
        </w:rPr>
        <w:t>También ha dicho que:</w:t>
      </w:r>
    </w:p>
    <w:p w14:paraId="73AE601C" w14:textId="77777777" w:rsidR="00AB4A37" w:rsidRDefault="00AB4A37" w:rsidP="00AB4A37">
      <w:pPr>
        <w:spacing w:after="120"/>
        <w:ind w:left="709" w:right="709"/>
        <w:jc w:val="both"/>
        <w:rPr>
          <w:rFonts w:ascii="Verdana" w:hAnsi="Verdana" w:cs="Arial"/>
          <w:sz w:val="21"/>
          <w:szCs w:val="21"/>
          <w:lang w:val="es-ES"/>
        </w:rPr>
      </w:pPr>
      <w:r w:rsidRPr="00C6404E">
        <w:rPr>
          <w:rFonts w:ascii="Verdana" w:hAnsi="Verdana" w:cs="Arial"/>
          <w:sz w:val="21"/>
          <w:szCs w:val="21"/>
          <w:lang w:val="es-ES"/>
        </w:rPr>
        <w:t xml:space="preserve">[…] la aplicación de estos preceptos exige una interpretación restrictiva, dado que según el principio hermenéutico </w:t>
      </w:r>
      <w:r w:rsidRPr="00C6404E">
        <w:rPr>
          <w:rFonts w:ascii="Verdana" w:hAnsi="Verdana" w:cs="Arial"/>
          <w:i/>
          <w:iCs/>
          <w:sz w:val="21"/>
          <w:szCs w:val="21"/>
          <w:lang w:val="es-ES"/>
        </w:rPr>
        <w:t>pro libertate</w:t>
      </w:r>
      <w:r w:rsidRPr="00C6404E">
        <w:rPr>
          <w:rFonts w:ascii="Verdana" w:hAnsi="Verdana" w:cs="Arial"/>
          <w:sz w:val="21"/>
          <w:szCs w:val="21"/>
          <w:lang w:val="es-ES"/>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w:t>
      </w:r>
      <w:r w:rsidRPr="00C6404E">
        <w:rPr>
          <w:rFonts w:ascii="Verdana" w:hAnsi="Verdana" w:cs="Arial"/>
          <w:sz w:val="21"/>
          <w:szCs w:val="21"/>
          <w:lang w:val="es-ES"/>
        </w:rPr>
        <w:lastRenderedPageBreak/>
        <w:t>las mismas, pues de hacerlo se vulnerarían los derechos fundamentales al debido proceso (art. 29 CN) y a la igualdad (art. 13 Ibid.); […]”</w:t>
      </w:r>
      <w:r w:rsidRPr="00C6404E">
        <w:rPr>
          <w:rFonts w:ascii="Verdana" w:hAnsi="Verdana" w:cs="Arial"/>
          <w:sz w:val="21"/>
          <w:szCs w:val="21"/>
          <w:vertAlign w:val="superscript"/>
          <w:lang w:val="es-ES"/>
        </w:rPr>
        <w:footnoteReference w:id="11"/>
      </w:r>
      <w:r w:rsidRPr="00C6404E">
        <w:rPr>
          <w:rFonts w:ascii="Verdana" w:hAnsi="Verdana" w:cs="Arial"/>
          <w:sz w:val="21"/>
          <w:szCs w:val="21"/>
          <w:lang w:val="es-ES"/>
        </w:rPr>
        <w:t>.</w:t>
      </w:r>
    </w:p>
    <w:p w14:paraId="03A9FDA0" w14:textId="77777777" w:rsidR="00AB4A37" w:rsidRPr="00711174" w:rsidRDefault="00AB4A37" w:rsidP="00AB4A37">
      <w:pPr>
        <w:spacing w:after="120"/>
        <w:ind w:left="709" w:right="709"/>
        <w:jc w:val="both"/>
        <w:rPr>
          <w:rFonts w:ascii="Verdana" w:eastAsia="Calibri" w:hAnsi="Verdana" w:cs="Arial"/>
          <w:lang w:val="es-ES"/>
        </w:rPr>
      </w:pPr>
    </w:p>
    <w:p w14:paraId="2B73825F" w14:textId="77777777" w:rsidR="00AB4A37" w:rsidRDefault="00AB4A37" w:rsidP="00AB4A37">
      <w:pPr>
        <w:spacing w:after="120"/>
        <w:ind w:firstLine="708"/>
        <w:jc w:val="both"/>
        <w:rPr>
          <w:rFonts w:ascii="Verdana" w:hAnsi="Verdana" w:cs="Arial"/>
          <w:color w:val="000000" w:themeColor="text1"/>
        </w:rPr>
      </w:pPr>
      <w:r w:rsidRPr="00C6404E">
        <w:rPr>
          <w:rFonts w:ascii="Verdana" w:eastAsia="Arial" w:hAnsi="Verdana" w:cs="Arial"/>
          <w:color w:val="000000"/>
          <w:lang w:val="es-ES_tradnl"/>
        </w:rPr>
        <w:t xml:space="preserve">Como se aprecia, el principio </w:t>
      </w:r>
      <w:r w:rsidRPr="00C6404E">
        <w:rPr>
          <w:rFonts w:ascii="Verdana" w:eastAsia="Arial" w:hAnsi="Verdana" w:cs="Arial"/>
          <w:i/>
          <w:iCs/>
          <w:color w:val="000000"/>
          <w:lang w:val="es-ES_tradnl"/>
        </w:rPr>
        <w:t>pro libertate</w:t>
      </w:r>
      <w:r w:rsidRPr="00C6404E">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C6404E">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C6404E">
        <w:rPr>
          <w:rFonts w:ascii="Verdana" w:hAnsi="Verdana" w:cs="Arial"/>
          <w:color w:val="000000" w:themeColor="text1"/>
          <w:vertAlign w:val="superscript"/>
        </w:rPr>
        <w:footnoteReference w:id="12"/>
      </w:r>
      <w:r>
        <w:rPr>
          <w:rFonts w:ascii="Verdana" w:hAnsi="Verdana" w:cs="Arial"/>
          <w:color w:val="000000" w:themeColor="text1"/>
        </w:rPr>
        <w:t>.</w:t>
      </w:r>
    </w:p>
    <w:p w14:paraId="095D468A" w14:textId="77777777" w:rsidR="00AB4A37" w:rsidRDefault="00AB4A37" w:rsidP="00AB4A37">
      <w:pPr>
        <w:spacing w:after="120"/>
        <w:ind w:firstLine="708"/>
        <w:jc w:val="both"/>
        <w:rPr>
          <w:rFonts w:ascii="Verdana" w:hAnsi="Verdana" w:cs="Arial"/>
          <w:color w:val="000000" w:themeColor="text1"/>
        </w:rPr>
      </w:pPr>
      <w:r w:rsidRPr="00C6404E">
        <w:rPr>
          <w:rFonts w:ascii="Verdana" w:hAnsi="Verdana" w:cs="Arial"/>
          <w:shd w:val="clear" w:color="auto" w:fill="FFFFFF"/>
        </w:rPr>
        <w:t>En este sentido, retomando una idea esbozada con anterioridad,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w:t>
      </w:r>
      <w:r w:rsidRPr="00C6404E">
        <w:rPr>
          <w:rFonts w:ascii="Verdana" w:hAnsi="Verdana" w:cs="Arial"/>
          <w:shd w:val="clear" w:color="auto" w:fill="FFFFFF"/>
          <w:vertAlign w:val="superscript"/>
        </w:rPr>
        <w:footnoteReference w:id="13"/>
      </w:r>
      <w:r w:rsidRPr="00C6404E">
        <w:rPr>
          <w:rFonts w:ascii="Verdana" w:hAnsi="Verdana" w:cs="Arial"/>
          <w:shd w:val="clear" w:color="auto" w:fill="FFFFFF"/>
        </w:rPr>
        <w:t xml:space="preserve"> En similar sentido, la Sala de Consulta y Servicio Civil del Consejo de Estado expresó </w:t>
      </w:r>
      <w:r w:rsidRPr="00C6404E">
        <w:rPr>
          <w:rFonts w:ascii="Verdana" w:hAnsi="Verdana" w:cs="Arial"/>
          <w:color w:val="000000"/>
          <w:shd w:val="clear" w:color="auto" w:fill="FFFFFF"/>
        </w:rPr>
        <w:t>que “[…] las causales de inhabilidad e incompatibilidad deben estar expresa y taxativamente establecidas en la Constitución o en la ley y son de aplicación e interpretación restrictivas […]”</w:t>
      </w:r>
      <w:r w:rsidRPr="00C6404E">
        <w:rPr>
          <w:rFonts w:ascii="Verdana" w:hAnsi="Verdana" w:cs="Arial"/>
          <w:color w:val="000000"/>
          <w:shd w:val="clear" w:color="auto" w:fill="FFFFFF"/>
          <w:vertAlign w:val="superscript"/>
        </w:rPr>
        <w:footnoteReference w:id="14"/>
      </w:r>
      <w:r w:rsidRPr="00C6404E">
        <w:rPr>
          <w:rFonts w:ascii="Verdana" w:hAnsi="Verdana" w:cs="Arial"/>
          <w:color w:val="000000"/>
          <w:shd w:val="clear" w:color="auto" w:fill="FFFFFF"/>
        </w:rPr>
        <w:t xml:space="preserve">. En este sentido, como se observa, existe consenso, incluso como lo ha expresado esta Agencia en ocasiones anteriores, que la creación de inhabilidades o incompatibilidades está reservada al constituyente o al legislador. </w:t>
      </w:r>
    </w:p>
    <w:p w14:paraId="5A67CF4F" w14:textId="77777777" w:rsidR="00AB4A37" w:rsidRDefault="00AB4A37" w:rsidP="00AB4A37">
      <w:pPr>
        <w:spacing w:after="120"/>
        <w:ind w:firstLine="708"/>
        <w:jc w:val="both"/>
        <w:rPr>
          <w:rFonts w:ascii="Verdana" w:hAnsi="Verdana" w:cs="Arial"/>
          <w:color w:val="000000" w:themeColor="text1"/>
          <w:lang w:val="es-ES"/>
        </w:rPr>
      </w:pPr>
      <w:r w:rsidRPr="00C6404E">
        <w:rPr>
          <w:rFonts w:ascii="Verdana" w:eastAsia="Calibri" w:hAnsi="Verdana" w:cs="Arial"/>
          <w:color w:val="000000" w:themeColor="text1"/>
          <w:lang w:val="es-ES"/>
        </w:rPr>
        <w:t>Resulta importante aclarar que el régimen jurídico de inhabilidades e incompatibilidades aplicable a la contratación estatal se encuentra en los artículos 8 y siguientes de la Ley 80 de 1993</w:t>
      </w:r>
      <w:r>
        <w:rPr>
          <w:rFonts w:ascii="Verdana" w:eastAsia="Calibri" w:hAnsi="Verdana" w:cs="Arial"/>
          <w:color w:val="000000" w:themeColor="text1"/>
          <w:lang w:val="es-ES"/>
        </w:rPr>
        <w:t xml:space="preserve">, en la Ley 1474 de 2011, en la Constitución Política, </w:t>
      </w:r>
      <w:r>
        <w:rPr>
          <w:rFonts w:ascii="Verdana" w:eastAsia="Calibri" w:hAnsi="Verdana" w:cs="Arial"/>
          <w:color w:val="000000" w:themeColor="text1"/>
          <w:lang w:val="es-ES"/>
        </w:rPr>
        <w:lastRenderedPageBreak/>
        <w:t>entre otros</w:t>
      </w:r>
      <w:r w:rsidRPr="00C6404E">
        <w:rPr>
          <w:rFonts w:ascii="Verdana" w:eastAsia="Calibri" w:hAnsi="Verdana" w:cs="Arial"/>
          <w:color w:val="000000" w:themeColor="text1"/>
          <w:lang w:val="es-ES"/>
        </w:rPr>
        <w:t xml:space="preserve">. De manera que, como se pasa a explicar, por regla general no resulta extrapolable a la contratación estatal la normativa en materia de control disciplinario establecida en la Ley 734 de 2002 y en la </w:t>
      </w:r>
      <w:r w:rsidRPr="00C6404E">
        <w:rPr>
          <w:rFonts w:ascii="Verdana" w:eastAsia="Calibri" w:hAnsi="Verdana" w:cs="Arial"/>
          <w:color w:val="000000" w:themeColor="text1"/>
          <w:lang w:val="es-MX"/>
        </w:rPr>
        <w:t>Ley 1952 de 2019</w:t>
      </w:r>
      <w:r w:rsidRPr="00C6404E">
        <w:rPr>
          <w:rFonts w:ascii="Verdana" w:eastAsia="Calibri" w:hAnsi="Verdana" w:cs="Arial"/>
          <w:color w:val="000000" w:themeColor="text1"/>
          <w:lang w:val="es-ES"/>
        </w:rPr>
        <w:t>, a excepción de las específicas establecidas en dicha normativa y en la jurisprudencia.</w:t>
      </w:r>
    </w:p>
    <w:p w14:paraId="5B88E5DC" w14:textId="77777777" w:rsidR="00AB4A37" w:rsidRDefault="00AB4A37" w:rsidP="00AB4A37">
      <w:pPr>
        <w:spacing w:after="120" w:line="276" w:lineRule="auto"/>
        <w:ind w:firstLine="708"/>
        <w:jc w:val="both"/>
        <w:rPr>
          <w:rFonts w:ascii="Verdana" w:hAnsi="Verdana"/>
        </w:rPr>
      </w:pPr>
      <w:r w:rsidRPr="00C6404E">
        <w:rPr>
          <w:rFonts w:ascii="Verdana" w:hAnsi="Verdana" w:cs="Arial"/>
          <w:color w:val="000000"/>
          <w:bdr w:val="none" w:sz="0" w:space="0" w:color="auto" w:frame="1"/>
          <w:lang w:val="es-ES"/>
        </w:rPr>
        <w:t>Por otra parte,</w:t>
      </w:r>
      <w:r>
        <w:rPr>
          <w:rFonts w:ascii="Verdana" w:hAnsi="Verdana" w:cs="Arial"/>
          <w:color w:val="000000"/>
          <w:bdr w:val="none" w:sz="0" w:space="0" w:color="auto" w:frame="1"/>
          <w:lang w:val="es-ES"/>
        </w:rPr>
        <w:t xml:space="preserve"> l</w:t>
      </w:r>
      <w:r w:rsidRPr="00C6404E">
        <w:rPr>
          <w:rFonts w:ascii="Verdana" w:hAnsi="Verdana"/>
        </w:rPr>
        <w:t xml:space="preserve">a presente consulta se refiere a las incompatibilidades contempladas en los literales a) y b) del numeral 1 del artículo 43 de la Ley 1952 de 2019, el nuevo Código General Disciplinario, frente a la existencia o no de incompatibilidad de un exservidor público (exconcejal) </w:t>
      </w:r>
      <w:r>
        <w:rPr>
          <w:rFonts w:ascii="Verdana" w:hAnsi="Verdana"/>
        </w:rPr>
        <w:t xml:space="preserve">para </w:t>
      </w:r>
      <w:r w:rsidRPr="00C6404E">
        <w:rPr>
          <w:rFonts w:ascii="Verdana" w:hAnsi="Verdana"/>
        </w:rPr>
        <w:t xml:space="preserve">suscribir contrato de prestación de servicios con </w:t>
      </w:r>
      <w:r>
        <w:rPr>
          <w:rFonts w:ascii="Verdana" w:hAnsi="Verdana"/>
        </w:rPr>
        <w:t xml:space="preserve">el municipio donde ostentó esa calidad, </w:t>
      </w:r>
      <w:r w:rsidRPr="00C6404E">
        <w:rPr>
          <w:rFonts w:ascii="Verdana" w:hAnsi="Verdana"/>
        </w:rPr>
        <w:t>posterior al vencimiento de su periodo constitucional, en ese sentido establece la norma</w:t>
      </w:r>
      <w:r>
        <w:rPr>
          <w:rFonts w:ascii="Verdana" w:hAnsi="Verdana"/>
        </w:rPr>
        <w:t>:</w:t>
      </w:r>
    </w:p>
    <w:p w14:paraId="2DE712CC" w14:textId="77777777" w:rsidR="00AB4A37" w:rsidRPr="00C6404E" w:rsidRDefault="00AB4A37" w:rsidP="00AB4A37">
      <w:pPr>
        <w:spacing w:after="120" w:line="240" w:lineRule="auto"/>
        <w:ind w:firstLine="708"/>
        <w:jc w:val="both"/>
        <w:rPr>
          <w:rFonts w:ascii="Verdana" w:hAnsi="Verdana" w:cs="Arial"/>
          <w:color w:val="000000" w:themeColor="text1"/>
        </w:rPr>
      </w:pPr>
      <w:r w:rsidRPr="00C6404E">
        <w:rPr>
          <w:rFonts w:ascii="Verdana" w:hAnsi="Verdana"/>
        </w:rPr>
        <w:t xml:space="preserve"> </w:t>
      </w:r>
    </w:p>
    <w:p w14:paraId="14C8E8D7" w14:textId="77777777" w:rsidR="00AB4A37" w:rsidRPr="00C6404E"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eastAsia="Times New Roman" w:hAnsi="Verdana" w:cs="Times New Roman"/>
          <w:color w:val="333333"/>
          <w:sz w:val="21"/>
          <w:szCs w:val="21"/>
          <w:lang w:eastAsia="es-MX"/>
        </w:rPr>
        <w:t>ARTÍCULO 43. Otras incompatibilidades. Además,</w:t>
      </w:r>
      <w:r>
        <w:rPr>
          <w:rFonts w:ascii="Verdana" w:eastAsia="Times New Roman" w:hAnsi="Verdana" w:cs="Times New Roman"/>
          <w:color w:val="333333"/>
          <w:sz w:val="21"/>
          <w:szCs w:val="21"/>
          <w:lang w:eastAsia="es-MX"/>
        </w:rPr>
        <w:t xml:space="preserve"> </w:t>
      </w:r>
      <w:r w:rsidRPr="00C6404E">
        <w:rPr>
          <w:rFonts w:ascii="Verdana" w:eastAsia="Times New Roman" w:hAnsi="Verdana" w:cs="Times New Roman"/>
          <w:color w:val="333333"/>
          <w:sz w:val="21"/>
          <w:szCs w:val="21"/>
          <w:lang w:eastAsia="es-MX"/>
        </w:rPr>
        <w:t>constituyen incompatibilidades para desempeñar cargos públicos, las siguientes:</w:t>
      </w:r>
    </w:p>
    <w:p w14:paraId="7A993394" w14:textId="77777777" w:rsidR="00AB4A37" w:rsidRPr="00C6404E"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eastAsia="Times New Roman" w:hAnsi="Verdana" w:cs="Times New Roman"/>
          <w:color w:val="333333"/>
          <w:sz w:val="21"/>
          <w:szCs w:val="21"/>
          <w:lang w:eastAsia="es-MX"/>
        </w:rPr>
        <w:t>1. Para los gobernadores, diputados, alcaldes, concejales y miembros de las juntas administradoras locales, en el nivel territorial donde hayan ejercido jurisdicción, desde el momento de su elección y hasta doce meses después del vencimiento de su periodo o retiro del servicio:</w:t>
      </w:r>
    </w:p>
    <w:p w14:paraId="625CACCD" w14:textId="77777777" w:rsidR="00AB4A37" w:rsidRPr="00C6404E"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eastAsia="Times New Roman" w:hAnsi="Verdana" w:cs="Times New Roman"/>
          <w:color w:val="333333"/>
          <w:sz w:val="21"/>
          <w:szCs w:val="21"/>
          <w:lang w:eastAsia="es-MX"/>
        </w:rPr>
        <w:t>a. Intervenir en nombre propio o ajeno en asuntos, actuaciones administrativas o actuación contractual en los cuales tenga interés el departamento, distrito o municipio correspondiente, o sus organismos;</w:t>
      </w:r>
    </w:p>
    <w:p w14:paraId="185E0DDD" w14:textId="77777777" w:rsidR="00AB4A37" w:rsidRPr="00C6404E"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eastAsia="Times New Roman" w:hAnsi="Verdana" w:cs="Times New Roman"/>
          <w:color w:val="333333"/>
          <w:sz w:val="21"/>
          <w:szCs w:val="21"/>
          <w:lang w:eastAsia="es-MX"/>
        </w:rPr>
        <w:t>b. Actuar como apoderados o gestores ante entidades o autoridades disciplinarias, fiscales, administrativas o jurisdiccionales.</w:t>
      </w:r>
    </w:p>
    <w:p w14:paraId="6B46A582" w14:textId="77777777" w:rsidR="00AB4A37"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Pr>
          <w:rFonts w:ascii="Verdana" w:eastAsia="Times New Roman" w:hAnsi="Verdana" w:cs="Times New Roman"/>
          <w:color w:val="333333"/>
          <w:sz w:val="21"/>
          <w:szCs w:val="21"/>
          <w:lang w:eastAsia="es-MX"/>
        </w:rPr>
        <w:t>(…)</w:t>
      </w:r>
    </w:p>
    <w:p w14:paraId="10485E58" w14:textId="77777777" w:rsidR="00AB4A37" w:rsidRDefault="00AB4A37" w:rsidP="00AB4A37">
      <w:pPr>
        <w:shd w:val="clear" w:color="auto" w:fill="FFFFFF"/>
        <w:spacing w:after="120"/>
        <w:ind w:right="709" w:firstLine="708"/>
        <w:jc w:val="both"/>
        <w:rPr>
          <w:rFonts w:ascii="Verdana" w:eastAsia="Times New Roman" w:hAnsi="Verdana" w:cs="Times New Roman"/>
          <w:color w:val="333333"/>
          <w:sz w:val="21"/>
          <w:szCs w:val="21"/>
          <w:lang w:eastAsia="es-MX"/>
        </w:rPr>
      </w:pPr>
      <w:r w:rsidRPr="00C6404E">
        <w:rPr>
          <w:rFonts w:ascii="Verdana" w:hAnsi="Verdana"/>
        </w:rPr>
        <w:t>El numeral 1 y sus literales son esencialmente iguales a los previstos en el artículo 39 de la Ley 734 de 2002. Sin embargo, en la Ley 734 se extiende la incompatibilidad “desde el momento de su elección hasta cuando esté legalmente terminado el período”, mientras que el artículo 43 de la Ley 1952 lo hace “desde el momento de su elección y hasta doce meses después del vencimiento de su período o retiro del servicio”</w:t>
      </w:r>
      <w:r>
        <w:rPr>
          <w:rFonts w:ascii="Verdana" w:hAnsi="Verdana"/>
        </w:rPr>
        <w:t>.</w:t>
      </w:r>
    </w:p>
    <w:p w14:paraId="43582205" w14:textId="77777777" w:rsidR="00AB4A37" w:rsidRDefault="00AB4A37" w:rsidP="00AB4A37">
      <w:pPr>
        <w:shd w:val="clear" w:color="auto" w:fill="FFFFFF"/>
        <w:spacing w:after="120"/>
        <w:ind w:right="709" w:firstLine="708"/>
        <w:jc w:val="both"/>
        <w:rPr>
          <w:rFonts w:ascii="Verdana" w:hAnsi="Verdana"/>
        </w:rPr>
      </w:pPr>
      <w:r w:rsidRPr="00C6404E">
        <w:rPr>
          <w:rFonts w:ascii="Verdana" w:hAnsi="Verdana"/>
        </w:rPr>
        <w:t>El Consejo de Estado, Sección Segunda, Subsección A, sentencia del 20 de septiembre de 2018, radicado 2013-00587</w:t>
      </w:r>
      <w:r>
        <w:rPr>
          <w:rFonts w:ascii="Verdana" w:hAnsi="Verdana"/>
        </w:rPr>
        <w:t xml:space="preserve"> c</w:t>
      </w:r>
      <w:r w:rsidRPr="00C6404E">
        <w:rPr>
          <w:rFonts w:ascii="Verdana" w:hAnsi="Verdana"/>
        </w:rPr>
        <w:t xml:space="preserve">oncluyó respecto del artículo 39 de la </w:t>
      </w:r>
      <w:r>
        <w:rPr>
          <w:rFonts w:ascii="Verdana" w:hAnsi="Verdana"/>
        </w:rPr>
        <w:t>L</w:t>
      </w:r>
      <w:r w:rsidRPr="00C6404E">
        <w:rPr>
          <w:rFonts w:ascii="Verdana" w:hAnsi="Verdana"/>
        </w:rPr>
        <w:t xml:space="preserve">ey 734 de 2002 que: </w:t>
      </w:r>
    </w:p>
    <w:p w14:paraId="271E01AB" w14:textId="77777777" w:rsidR="00AB4A37" w:rsidRDefault="00AB4A37" w:rsidP="00AB4A37">
      <w:pPr>
        <w:shd w:val="clear" w:color="auto" w:fill="FFFFFF"/>
        <w:spacing w:after="120"/>
        <w:ind w:right="709" w:firstLine="708"/>
        <w:jc w:val="both"/>
        <w:rPr>
          <w:rFonts w:ascii="Verdana" w:eastAsia="Times New Roman" w:hAnsi="Verdana" w:cs="Times New Roman"/>
          <w:color w:val="333333"/>
          <w:sz w:val="21"/>
          <w:szCs w:val="21"/>
          <w:lang w:eastAsia="es-MX"/>
        </w:rPr>
      </w:pPr>
    </w:p>
    <w:p w14:paraId="4532CD85" w14:textId="77777777" w:rsidR="00AB4A37"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hAnsi="Verdana"/>
          <w:sz w:val="21"/>
          <w:szCs w:val="21"/>
        </w:rPr>
        <w:lastRenderedPageBreak/>
        <w:t xml:space="preserve">i) Las incompatibilidades señaladas en el artículo 39 numeral 1, literales a y b para los gobernadores, diputados, alcaldes, concejales y miembros de las juntas administradoras locales no se predican por el desempeño de otro cargo público. </w:t>
      </w:r>
    </w:p>
    <w:p w14:paraId="49033D55" w14:textId="77777777" w:rsidR="00AB4A37"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hAnsi="Verdana"/>
          <w:sz w:val="21"/>
          <w:szCs w:val="21"/>
        </w:rPr>
        <w:t xml:space="preserve">ii) La norma tiene como finalidades: </w:t>
      </w:r>
    </w:p>
    <w:p w14:paraId="1C54D3CD" w14:textId="77777777" w:rsidR="00AB4A37"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hAnsi="Verdana"/>
          <w:sz w:val="21"/>
          <w:szCs w:val="21"/>
        </w:rPr>
        <w:t>a. Prevenir que el servidor público de elección popular ejerza simultáneamente con la función pública encomendada alguna práctica profesional que ponga en conflicto el interés general con el particular.</w:t>
      </w:r>
    </w:p>
    <w:p w14:paraId="7D4E24DA" w14:textId="77777777" w:rsidR="00AB4A37"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hAnsi="Verdana"/>
          <w:sz w:val="21"/>
          <w:szCs w:val="21"/>
        </w:rPr>
        <w:t xml:space="preserve">b. Evitar que el servidor público elegido popularmente obtenga beneficios (que pueden ser pecuniarios o no pecuniarios), dádivas, ventajas, para sí mismo o para otra persona al ejercer simultáneamente la actividad de apoderado judicial particular o gestor ante las entidades señaladas, con las funciones de servidor público elegido popularmente. </w:t>
      </w:r>
    </w:p>
    <w:p w14:paraId="39E8C70A" w14:textId="77777777" w:rsidR="00AB4A37" w:rsidRDefault="00AB4A37" w:rsidP="00AB4A37">
      <w:pPr>
        <w:shd w:val="clear" w:color="auto" w:fill="FFFFFF"/>
        <w:spacing w:after="120" w:line="240" w:lineRule="auto"/>
        <w:ind w:left="709" w:right="709"/>
        <w:jc w:val="both"/>
        <w:rPr>
          <w:rFonts w:ascii="Verdana" w:eastAsia="Times New Roman" w:hAnsi="Verdana" w:cs="Times New Roman"/>
          <w:color w:val="333333"/>
          <w:sz w:val="21"/>
          <w:szCs w:val="21"/>
          <w:lang w:eastAsia="es-MX"/>
        </w:rPr>
      </w:pPr>
      <w:r w:rsidRPr="00C6404E">
        <w:rPr>
          <w:rFonts w:ascii="Verdana" w:hAnsi="Verdana"/>
          <w:sz w:val="21"/>
          <w:szCs w:val="21"/>
        </w:rPr>
        <w:t>c. Propiciar que el servidor público elegido popularmente le dedique todo su tiempo y esfuerzo al cargo al que ha sido elegido, cumpliendo cabalmente los principios de moralidad, imparcialidad, transparencia y eficacia, y no defraude a la sociedad, ni la confianza ni el voto depositado por sus electores.</w:t>
      </w:r>
    </w:p>
    <w:p w14:paraId="3228B09D" w14:textId="77777777" w:rsidR="00AB4A37" w:rsidRDefault="00AB4A37" w:rsidP="00AB4A37">
      <w:pPr>
        <w:shd w:val="clear" w:color="auto" w:fill="FFFFFF"/>
        <w:spacing w:after="120"/>
        <w:ind w:firstLine="708"/>
        <w:jc w:val="both"/>
        <w:rPr>
          <w:rFonts w:ascii="Verdana" w:hAnsi="Verdana"/>
        </w:rPr>
      </w:pPr>
    </w:p>
    <w:p w14:paraId="5E0C32AD"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eastAsia="es-MX"/>
        </w:rPr>
      </w:pPr>
      <w:r w:rsidRPr="00C6404E">
        <w:rPr>
          <w:rFonts w:ascii="Verdana" w:hAnsi="Verdana"/>
        </w:rPr>
        <w:t xml:space="preserve">La noción de incompatibilidad, conforme se expresó, se refiere a una prohibición de efectuar una determinada actuación o contratación, por parte de un servidor público. En otras palabras, consiste en una prohibición de realizar una actividad o una gestión de manera simultánea con el ejercicio de un cargo público, o como </w:t>
      </w:r>
      <w:r>
        <w:rPr>
          <w:rFonts w:ascii="Verdana" w:hAnsi="Verdana"/>
        </w:rPr>
        <w:t>señala</w:t>
      </w:r>
      <w:r w:rsidRPr="00C6404E">
        <w:rPr>
          <w:rFonts w:ascii="Verdana" w:hAnsi="Verdana"/>
        </w:rPr>
        <w:t xml:space="preserve"> el doctor Atehortúa Ríos, “la incompatibilidad es una no concurrencia, que impide dos cosas a un mismo tiempo”</w:t>
      </w:r>
      <w:r>
        <w:rPr>
          <w:rStyle w:val="Refdenotaalpie"/>
          <w:rFonts w:ascii="Verdana" w:hAnsi="Verdana"/>
        </w:rPr>
        <w:footnoteReference w:id="15"/>
      </w:r>
      <w:r w:rsidRPr="00C6404E">
        <w:rPr>
          <w:rFonts w:ascii="Verdana" w:hAnsi="Verdana"/>
        </w:rPr>
        <w:t>.</w:t>
      </w:r>
    </w:p>
    <w:p w14:paraId="1501072B"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val="es-ES" w:eastAsia="es-MX"/>
        </w:rPr>
      </w:pPr>
      <w:r w:rsidRPr="00C6404E">
        <w:rPr>
          <w:rFonts w:ascii="Verdana" w:hAnsi="Verdana" w:cs="Arial"/>
          <w:color w:val="000000"/>
          <w:bdr w:val="none" w:sz="0" w:space="0" w:color="auto" w:frame="1"/>
          <w:lang w:val="es-ES"/>
        </w:rPr>
        <w:t xml:space="preserve">En ese sentido es preciso indicar que al momento de perder la calidad de concejal, por la terminación del periodo constitucional, no hay limitación o impedimento alguno, para que el ciudadano pudiere ser contratado por la entidad </w:t>
      </w:r>
      <w:r>
        <w:rPr>
          <w:rFonts w:ascii="Verdana" w:hAnsi="Verdana" w:cs="Arial"/>
          <w:color w:val="000000"/>
          <w:bdr w:val="none" w:sz="0" w:space="0" w:color="auto" w:frame="1"/>
          <w:lang w:val="es-ES"/>
        </w:rPr>
        <w:t xml:space="preserve">territorial </w:t>
      </w:r>
      <w:r w:rsidRPr="00C6404E">
        <w:rPr>
          <w:rFonts w:ascii="Verdana" w:hAnsi="Verdana" w:cs="Arial"/>
          <w:color w:val="000000"/>
          <w:bdr w:val="none" w:sz="0" w:space="0" w:color="auto" w:frame="1"/>
          <w:lang w:val="es-ES"/>
        </w:rPr>
        <w:t>donde ejerció el cargo, salvo otras circunstancias propias que deberá constatar la entidad respecto de cumplimiento de requisitos, inhabilidades, incompatibilidades, conflictos de interés entre otros que permitan verificar la idoneidad y experiencia requerida para suscripción del contrato</w:t>
      </w:r>
      <w:r>
        <w:rPr>
          <w:rFonts w:ascii="Verdana" w:hAnsi="Verdana" w:cs="Arial"/>
          <w:color w:val="000000"/>
          <w:bdr w:val="none" w:sz="0" w:space="0" w:color="auto" w:frame="1"/>
          <w:lang w:val="es-ES"/>
        </w:rPr>
        <w:t>.</w:t>
      </w:r>
    </w:p>
    <w:p w14:paraId="637CBACF"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eastAsia="es-MX"/>
        </w:rPr>
      </w:pPr>
      <w:r w:rsidRPr="00C6404E">
        <w:rPr>
          <w:rFonts w:ascii="Verdana" w:hAnsi="Verdana"/>
        </w:rPr>
        <w:lastRenderedPageBreak/>
        <w:t xml:space="preserve">A diferencia de las inhabilidades que son situaciones anteriores a la elección, nombramiento o contratación, las incompatibilidades son posteriores en el tiempo y suponen que el elegido, nombrado o contratado tiene unas calidades previas, pero incurre en unas causales específicas de prohibición que pueden generar la imposición de una sanción. </w:t>
      </w:r>
    </w:p>
    <w:p w14:paraId="43178E43"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eastAsia="es-MX"/>
        </w:rPr>
      </w:pPr>
      <w:r w:rsidRPr="00C6404E">
        <w:rPr>
          <w:rFonts w:ascii="Verdana" w:hAnsi="Verdana"/>
        </w:rPr>
        <w:t>Asimismo las incompatibilidades aseguran varios de los principios sustantivos que gobiernan el cumplimiento de la función pública, como la moralidad y la transparencia, entre otros</w:t>
      </w:r>
      <w:r>
        <w:rPr>
          <w:rFonts w:ascii="Verdana" w:hAnsi="Verdana"/>
        </w:rPr>
        <w:t>,</w:t>
      </w:r>
      <w:r w:rsidRPr="00C6404E">
        <w:rPr>
          <w:rFonts w:ascii="Verdana" w:hAnsi="Verdana"/>
        </w:rPr>
        <w:t xml:space="preserve"> artículo 209 de la Constitución Política.</w:t>
      </w:r>
      <w:r w:rsidRPr="00C6404E">
        <w:rPr>
          <w:rStyle w:val="Refdenotaalpie"/>
          <w:rFonts w:ascii="Verdana" w:hAnsi="Verdana"/>
        </w:rPr>
        <w:footnoteReference w:id="16"/>
      </w:r>
    </w:p>
    <w:p w14:paraId="79B96BDD"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eastAsia="es-MX"/>
        </w:rPr>
      </w:pPr>
      <w:r w:rsidRPr="00C6404E">
        <w:rPr>
          <w:rFonts w:ascii="Verdana" w:hAnsi="Verdana"/>
        </w:rPr>
        <w:t>Dicho esto, no podría el intérprete entender -sin violentar la máxima de que las incompatibilidades son de naturaleza y efectos rígidos y taxativos, y su aplicación restrictiva- que el artículo 43, numeral 1, literales a y b de la Ley 1952 de 2019</w:t>
      </w:r>
      <w:r>
        <w:rPr>
          <w:rFonts w:ascii="Verdana" w:hAnsi="Verdana"/>
        </w:rPr>
        <w:t>,</w:t>
      </w:r>
      <w:r w:rsidRPr="00C6404E">
        <w:rPr>
          <w:rFonts w:ascii="Verdana" w:hAnsi="Verdana"/>
        </w:rPr>
        <w:t xml:space="preserve"> prohíbe a l</w:t>
      </w:r>
      <w:r>
        <w:rPr>
          <w:rFonts w:ascii="Verdana" w:hAnsi="Verdana"/>
        </w:rPr>
        <w:t>o</w:t>
      </w:r>
      <w:r w:rsidRPr="00C6404E">
        <w:rPr>
          <w:rFonts w:ascii="Verdana" w:hAnsi="Verdana"/>
        </w:rPr>
        <w:t>s exconcejales suscribir contratos de prestación de servicios con entidades públicas</w:t>
      </w:r>
      <w:r>
        <w:rPr>
          <w:rFonts w:ascii="Verdana" w:hAnsi="Verdana" w:cs="Arial"/>
          <w:color w:val="000000"/>
          <w:bdr w:val="none" w:sz="0" w:space="0" w:color="auto" w:frame="1"/>
        </w:rPr>
        <w:t xml:space="preserve">; </w:t>
      </w:r>
      <w:r>
        <w:rPr>
          <w:rFonts w:ascii="Verdana" w:hAnsi="Verdana" w:cs="Arial"/>
          <w:color w:val="000000"/>
          <w:bdr w:val="none" w:sz="0" w:space="0" w:color="auto" w:frame="1"/>
          <w:lang w:val="es-ES"/>
        </w:rPr>
        <w:t xml:space="preserve">teniendo en cuenta que </w:t>
      </w:r>
      <w:r>
        <w:rPr>
          <w:rFonts w:ascii="Verdana" w:hAnsi="Verdana" w:cs="Arial"/>
        </w:rPr>
        <w:t>las</w:t>
      </w:r>
      <w:r w:rsidRPr="000F6C79">
        <w:rPr>
          <w:rFonts w:ascii="Verdana" w:hAnsi="Verdana" w:cs="Arial"/>
        </w:rPr>
        <w:t xml:space="preserve"> funciones</w:t>
      </w:r>
      <w:r>
        <w:rPr>
          <w:rFonts w:ascii="Verdana" w:hAnsi="Verdana" w:cs="Arial"/>
        </w:rPr>
        <w:t xml:space="preserve"> y</w:t>
      </w:r>
      <w:r w:rsidRPr="000F6C79">
        <w:rPr>
          <w:rFonts w:ascii="Verdana" w:hAnsi="Verdana" w:cs="Arial"/>
        </w:rPr>
        <w:t xml:space="preserve"> competencias específicas</w:t>
      </w:r>
      <w:r>
        <w:rPr>
          <w:rFonts w:ascii="Verdana" w:hAnsi="Verdana" w:cs="Arial"/>
        </w:rPr>
        <w:t xml:space="preserve"> ejercidas por estos servidores comprenden </w:t>
      </w:r>
      <w:r w:rsidRPr="000F6C79">
        <w:rPr>
          <w:rFonts w:ascii="Verdana" w:eastAsia="Times New Roman" w:hAnsi="Verdana" w:cs="Arial"/>
          <w:lang w:eastAsia="es-MX"/>
        </w:rPr>
        <w:t xml:space="preserve"> las siguientes características: </w:t>
      </w:r>
      <w:r>
        <w:rPr>
          <w:rFonts w:ascii="Verdana" w:eastAsia="Times New Roman" w:hAnsi="Verdana" w:cs="Arial"/>
          <w:lang w:eastAsia="es-MX"/>
        </w:rPr>
        <w:t>“</w:t>
      </w:r>
      <w:r w:rsidRPr="000F6C79">
        <w:rPr>
          <w:rFonts w:ascii="Verdana" w:eastAsia="Times New Roman" w:hAnsi="Verdana" w:cs="Arial"/>
          <w:lang w:eastAsia="es-MX"/>
        </w:rPr>
        <w:t xml:space="preserve">i. Son miembros del Concejo. ii. Son servidores públicos, no empleados públicos. iii. Desempeñan una función pública de ámbito local. </w:t>
      </w:r>
      <w:proofErr w:type="spellStart"/>
      <w:r w:rsidRPr="000F6C79">
        <w:rPr>
          <w:rFonts w:ascii="Verdana" w:eastAsia="Times New Roman" w:hAnsi="Verdana" w:cs="Arial"/>
          <w:lang w:eastAsia="es-MX"/>
        </w:rPr>
        <w:t>iv</w:t>
      </w:r>
      <w:proofErr w:type="spellEnd"/>
      <w:r w:rsidRPr="000F6C79">
        <w:rPr>
          <w:rFonts w:ascii="Verdana" w:eastAsia="Times New Roman" w:hAnsi="Verdana" w:cs="Arial"/>
          <w:lang w:eastAsia="es-MX"/>
        </w:rPr>
        <w:t>. Desempeñan su misión de forma colegiada. v. Accede a su función por elección directa y democrática. vi. Ejercen Control Político directo a la Administración Municipal</w:t>
      </w:r>
      <w:r>
        <w:rPr>
          <w:rFonts w:ascii="Verdana" w:eastAsia="Times New Roman" w:hAnsi="Verdana" w:cs="Arial"/>
          <w:lang w:eastAsia="es-MX"/>
        </w:rPr>
        <w:t>”</w:t>
      </w:r>
      <w:r>
        <w:rPr>
          <w:rStyle w:val="Refdenotaalpie"/>
          <w:rFonts w:ascii="Verdana" w:eastAsia="Times New Roman" w:hAnsi="Verdana" w:cs="Arial"/>
          <w:lang w:eastAsia="es-MX"/>
        </w:rPr>
        <w:footnoteReference w:id="17"/>
      </w:r>
      <w:r w:rsidRPr="000F6C79">
        <w:rPr>
          <w:rFonts w:ascii="Verdana" w:eastAsia="Times New Roman" w:hAnsi="Verdana" w:cs="Arial"/>
          <w:lang w:eastAsia="es-MX"/>
        </w:rPr>
        <w:t>.</w:t>
      </w:r>
      <w:r>
        <w:rPr>
          <w:rFonts w:ascii="Verdana" w:eastAsia="Times New Roman" w:hAnsi="Verdana" w:cs="Arial"/>
          <w:lang w:eastAsia="es-MX"/>
        </w:rPr>
        <w:t xml:space="preserve"> </w:t>
      </w:r>
    </w:p>
    <w:p w14:paraId="596C0115"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eastAsia="es-MX"/>
        </w:rPr>
      </w:pPr>
      <w:r w:rsidRPr="00C6404E">
        <w:rPr>
          <w:rFonts w:ascii="Verdana" w:hAnsi="Verdana"/>
        </w:rPr>
        <w:t>No debe dársele a la norma un sentido</w:t>
      </w:r>
      <w:r>
        <w:rPr>
          <w:rFonts w:ascii="Verdana" w:hAnsi="Verdana"/>
        </w:rPr>
        <w:t xml:space="preserve"> del</w:t>
      </w:r>
      <w:r w:rsidRPr="00C6404E">
        <w:rPr>
          <w:rFonts w:ascii="Verdana" w:hAnsi="Verdana"/>
        </w:rPr>
        <w:t xml:space="preserve"> que carece, pues es claro que lo que proscribe es que los servidores departamentales, municipales y locales puedan durante el período comprendido entre su elección hasta doce meses después del vencimiento de su período o retiro del servicio, de manera privada y alejada de la función pública: i) Intervenir en nombre propio o ajeno en asuntos, actuaciones administrativas o contractuales en los cuales tenga interés el departamento, distrito o municipio correspondiente, o sus organismos, y ii) actuar como apoderados o gestores ante entidades o autoridades disciplinarias, fiscales, administrativas o jurisdiccionales. </w:t>
      </w:r>
    </w:p>
    <w:p w14:paraId="1F726FF4" w14:textId="77777777" w:rsidR="00AB4A37" w:rsidRDefault="00AB4A37" w:rsidP="00AB4A37">
      <w:pPr>
        <w:shd w:val="clear" w:color="auto" w:fill="FFFFFF"/>
        <w:spacing w:after="120"/>
        <w:ind w:firstLine="708"/>
        <w:jc w:val="both"/>
        <w:rPr>
          <w:rFonts w:ascii="Verdana" w:eastAsia="Times New Roman" w:hAnsi="Verdana" w:cs="Times New Roman"/>
          <w:color w:val="333333"/>
          <w:sz w:val="21"/>
          <w:szCs w:val="21"/>
          <w:lang w:eastAsia="es-MX"/>
        </w:rPr>
      </w:pPr>
      <w:r w:rsidRPr="00C6404E">
        <w:rPr>
          <w:rFonts w:ascii="Verdana" w:hAnsi="Verdana"/>
        </w:rPr>
        <w:t xml:space="preserve">Así se desprende no solo de la lectura atenta de la norma, sino de la jurisprudencia del Consejo de Estado sobre el artículo 39 de la Ley 734 de 2002, se repite, disposición similar al artículo 43 de la Ley 1952 de 2019. </w:t>
      </w:r>
    </w:p>
    <w:p w14:paraId="043D97A5" w14:textId="77777777" w:rsidR="00AB4A37" w:rsidRPr="00D86581" w:rsidRDefault="00AB4A37" w:rsidP="00AB4A37">
      <w:pPr>
        <w:spacing w:after="0" w:line="276" w:lineRule="auto"/>
        <w:jc w:val="both"/>
        <w:rPr>
          <w:rFonts w:ascii="Verdana" w:hAnsi="Verdana" w:cs="Arial"/>
          <w:color w:val="000000" w:themeColor="text1"/>
        </w:rPr>
      </w:pPr>
    </w:p>
    <w:p w14:paraId="49EF4AAA" w14:textId="77777777" w:rsidR="00AB4A37" w:rsidRPr="002D1123" w:rsidRDefault="00AB4A37" w:rsidP="00AB4A3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rPr>
      </w:pPr>
      <w:r w:rsidRPr="0011467B">
        <w:rPr>
          <w:rFonts w:ascii="Verdana" w:eastAsia="Century Gothic" w:hAnsi="Verdana" w:cs="Century Gothic"/>
          <w:b/>
          <w:bCs/>
        </w:rPr>
        <w:lastRenderedPageBreak/>
        <w:t>Referencias normativas, jurisprudenciales y otras fuentes:</w:t>
      </w:r>
    </w:p>
    <w:p w14:paraId="7C103EA9" w14:textId="77777777" w:rsidR="00AB4A37" w:rsidRPr="0011467B" w:rsidRDefault="00AB4A37" w:rsidP="00AB4A37">
      <w:pPr>
        <w:spacing w:after="0" w:line="276" w:lineRule="auto"/>
        <w:ind w:right="709"/>
        <w:jc w:val="both"/>
        <w:rPr>
          <w:rFonts w:ascii="Verdana" w:hAnsi="Verdana" w:cs="Arial"/>
          <w:color w:val="000000" w:themeColor="text1"/>
          <w:lang w:val="es-ES_tradnl"/>
        </w:rPr>
      </w:pPr>
    </w:p>
    <w:p w14:paraId="1640D09C"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cs="Arial"/>
          <w:color w:val="000000" w:themeColor="text1"/>
          <w:lang w:val="es-ES_tradnl"/>
        </w:rPr>
        <w:t xml:space="preserve">Artículo 150, 209 Constitución Política. Disponible en: </w:t>
      </w:r>
      <w:hyperlink r:id="rId12" w:history="1">
        <w:r w:rsidRPr="00DC1867">
          <w:rPr>
            <w:rStyle w:val="Hipervnculo"/>
            <w:rFonts w:ascii="Verdana" w:hAnsi="Verdana" w:cs="Arial"/>
            <w:lang w:val="es-ES_tradnl"/>
          </w:rPr>
          <w:t>https://relatoria.colombiacompra.gov.co/normativa/constitucion-politica-de-colombia/</w:t>
        </w:r>
      </w:hyperlink>
      <w:r w:rsidRPr="00DC1867">
        <w:rPr>
          <w:rFonts w:ascii="Verdana" w:hAnsi="Verdana" w:cs="Arial"/>
          <w:color w:val="000000" w:themeColor="text1"/>
          <w:lang w:val="es-ES_tradnl"/>
        </w:rPr>
        <w:t xml:space="preserve"> </w:t>
      </w:r>
    </w:p>
    <w:p w14:paraId="4F8FA3D9" w14:textId="77777777" w:rsidR="00AB4A37" w:rsidRPr="00DC1867" w:rsidRDefault="00AB4A37" w:rsidP="00AB4A37">
      <w:pPr>
        <w:pStyle w:val="Prrafodelista"/>
        <w:spacing w:after="0" w:line="276" w:lineRule="auto"/>
        <w:ind w:right="709"/>
        <w:jc w:val="both"/>
        <w:rPr>
          <w:rFonts w:ascii="Verdana" w:hAnsi="Verdana" w:cs="Arial"/>
          <w:color w:val="000000" w:themeColor="text1"/>
          <w:lang w:val="es-ES_tradnl"/>
        </w:rPr>
      </w:pPr>
    </w:p>
    <w:p w14:paraId="548D97FE"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eastAsia="Times New Roman" w:hAnsi="Verdana" w:cs="Arial"/>
          <w:color w:val="000000"/>
          <w:lang w:val="es-ES_tradnl" w:eastAsia="es-ES_tradnl"/>
        </w:rPr>
        <w:t xml:space="preserve">Artículos 6, 8 de la </w:t>
      </w:r>
      <w:r>
        <w:rPr>
          <w:rFonts w:ascii="Verdana" w:eastAsia="Times New Roman" w:hAnsi="Verdana" w:cs="Arial"/>
          <w:color w:val="000000"/>
          <w:lang w:val="es-ES_tradnl" w:eastAsia="es-ES_tradnl"/>
        </w:rPr>
        <w:t>L</w:t>
      </w:r>
      <w:r w:rsidRPr="00DC1867">
        <w:rPr>
          <w:rFonts w:ascii="Verdana" w:eastAsia="Times New Roman" w:hAnsi="Verdana" w:cs="Arial"/>
          <w:color w:val="000000"/>
          <w:lang w:val="es-ES_tradnl" w:eastAsia="es-ES_tradnl"/>
        </w:rPr>
        <w:t>ey 80 de 1993</w:t>
      </w:r>
      <w:r w:rsidRPr="00DC1867">
        <w:rPr>
          <w:rFonts w:ascii="Verdana" w:hAnsi="Verdana" w:cs="Arial"/>
          <w:noProof/>
          <w:lang w:val="es-ES_tradnl"/>
        </w:rPr>
        <w:t xml:space="preserve">. Disponible en: </w:t>
      </w:r>
      <w:hyperlink r:id="rId13" w:history="1">
        <w:r w:rsidRPr="00DC1867">
          <w:rPr>
            <w:rStyle w:val="Hipervnculo"/>
            <w:rFonts w:ascii="Verdana" w:hAnsi="Verdana" w:cs="Arial"/>
            <w:noProof/>
            <w:lang w:val="es-ES_tradnl"/>
          </w:rPr>
          <w:t>https://relatoria.colombiacompra.gov.co/normativa/ley-80-de-1993/</w:t>
        </w:r>
      </w:hyperlink>
      <w:r w:rsidRPr="00DC1867">
        <w:rPr>
          <w:rFonts w:ascii="Verdana" w:hAnsi="Verdana" w:cs="Arial"/>
          <w:noProof/>
          <w:lang w:val="es-ES_tradnl"/>
        </w:rPr>
        <w:t xml:space="preserve">  </w:t>
      </w:r>
    </w:p>
    <w:p w14:paraId="570CD525" w14:textId="77777777" w:rsidR="00AB4A37" w:rsidRPr="00DC1867" w:rsidRDefault="00AB4A37" w:rsidP="00AB4A37">
      <w:pPr>
        <w:pStyle w:val="Prrafodelista"/>
        <w:rPr>
          <w:rFonts w:ascii="Verdana" w:hAnsi="Verdana" w:cs="Arial"/>
          <w:color w:val="000000" w:themeColor="text1"/>
          <w:lang w:val="es-ES_tradnl"/>
        </w:rPr>
      </w:pPr>
    </w:p>
    <w:p w14:paraId="2259DF89"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rPr>
        <w:t xml:space="preserve">artículo 43 </w:t>
      </w:r>
      <w:r w:rsidRPr="00DC1867">
        <w:rPr>
          <w:rFonts w:ascii="Verdana" w:eastAsia="Calibri" w:hAnsi="Verdana" w:cs="Arial"/>
          <w:color w:val="000000" w:themeColor="text1"/>
          <w:lang w:val="es-MX"/>
        </w:rPr>
        <w:t>Ley 1952 de 2019</w:t>
      </w:r>
    </w:p>
    <w:p w14:paraId="6CE13E3E" w14:textId="77777777" w:rsidR="00AB4A37" w:rsidRPr="00DC1867" w:rsidRDefault="00AB4A37" w:rsidP="00AB4A37">
      <w:pPr>
        <w:pStyle w:val="Prrafodelista"/>
        <w:rPr>
          <w:rFonts w:ascii="Verdana" w:hAnsi="Verdana" w:cs="Arial"/>
          <w:color w:val="000000" w:themeColor="text1"/>
          <w:lang w:val="es-ES_tradnl"/>
        </w:rPr>
      </w:pPr>
    </w:p>
    <w:p w14:paraId="181DC890"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rPr>
        <w:t xml:space="preserve">artículo 39 de la Ley 734 de 2002. Disponible en: </w:t>
      </w:r>
      <w:hyperlink r:id="rId14" w:history="1">
        <w:r w:rsidRPr="00DC1867">
          <w:rPr>
            <w:rStyle w:val="Hipervnculo"/>
            <w:rFonts w:ascii="Verdana" w:hAnsi="Verdana"/>
          </w:rPr>
          <w:t>https://relatoria.colombiacompra.gov.co/normativa/codigo-general-disciplinario/</w:t>
        </w:r>
      </w:hyperlink>
      <w:r w:rsidRPr="00DC1867">
        <w:rPr>
          <w:rFonts w:ascii="Verdana" w:hAnsi="Verdana"/>
        </w:rPr>
        <w:t xml:space="preserve"> </w:t>
      </w:r>
    </w:p>
    <w:p w14:paraId="49A3EF57" w14:textId="77777777" w:rsidR="00AB4A37" w:rsidRPr="00DC1867" w:rsidRDefault="00AB4A37" w:rsidP="00AB4A37">
      <w:pPr>
        <w:pStyle w:val="Prrafodelista"/>
        <w:rPr>
          <w:rFonts w:ascii="Verdana" w:hAnsi="Verdana" w:cs="Arial"/>
        </w:rPr>
      </w:pPr>
    </w:p>
    <w:p w14:paraId="3121AAD5"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Sala de Consulta y Servicio Civil. Concepto del 30 de abril de 2015. Exp. 2251. C.P. Álvaro </w:t>
      </w:r>
      <w:proofErr w:type="spellStart"/>
      <w:r w:rsidRPr="00DC1867">
        <w:rPr>
          <w:rFonts w:ascii="Verdana" w:hAnsi="Verdana" w:cs="Arial"/>
        </w:rPr>
        <w:t>Namén</w:t>
      </w:r>
      <w:proofErr w:type="spellEnd"/>
      <w:r w:rsidRPr="00DC1867">
        <w:rPr>
          <w:rFonts w:ascii="Verdana" w:hAnsi="Verdana" w:cs="Arial"/>
        </w:rPr>
        <w:t xml:space="preserve"> Vargas.</w:t>
      </w:r>
    </w:p>
    <w:p w14:paraId="73A37921" w14:textId="77777777" w:rsidR="00AB4A37" w:rsidRPr="00DC1867" w:rsidRDefault="00AB4A37" w:rsidP="00AB4A37">
      <w:pPr>
        <w:pStyle w:val="Prrafodelista"/>
        <w:rPr>
          <w:rFonts w:ascii="Verdana" w:hAnsi="Verdana" w:cs="Arial"/>
        </w:rPr>
      </w:pPr>
    </w:p>
    <w:p w14:paraId="616AD954"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cs="Arial"/>
        </w:rPr>
        <w:t>CONSEJO DE ESTADO. Sección Tercera. Subsección A. Sentencia del 24 de junio de 2015. Exp. 40.635. C.P. Hernán Andrade Rincón (E).</w:t>
      </w:r>
    </w:p>
    <w:p w14:paraId="5B204C66" w14:textId="77777777" w:rsidR="00AB4A37" w:rsidRPr="00DC1867" w:rsidRDefault="00AB4A37" w:rsidP="00AB4A37">
      <w:pPr>
        <w:pStyle w:val="Prrafodelista"/>
        <w:rPr>
          <w:rFonts w:ascii="Verdana" w:hAnsi="Verdana" w:cs="Arial"/>
        </w:rPr>
      </w:pPr>
    </w:p>
    <w:p w14:paraId="011FB994"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Sección Tercera. Subsección C. Sentencia del 22 de mayo de 2013. Rad. 24.057. C.P. Olga Mélida Valle De </w:t>
      </w:r>
      <w:proofErr w:type="spellStart"/>
      <w:r w:rsidRPr="00DC1867">
        <w:rPr>
          <w:rFonts w:ascii="Verdana" w:hAnsi="Verdana" w:cs="Arial"/>
        </w:rPr>
        <w:t>De</w:t>
      </w:r>
      <w:proofErr w:type="spellEnd"/>
      <w:r w:rsidRPr="00DC1867">
        <w:rPr>
          <w:rFonts w:ascii="Verdana" w:hAnsi="Verdana" w:cs="Arial"/>
        </w:rPr>
        <w:t xml:space="preserve"> La Hoz.</w:t>
      </w:r>
    </w:p>
    <w:p w14:paraId="391F120C" w14:textId="77777777" w:rsidR="00AB4A37" w:rsidRPr="00DC1867" w:rsidRDefault="00AB4A37" w:rsidP="00AB4A37">
      <w:pPr>
        <w:pStyle w:val="Prrafodelista"/>
        <w:rPr>
          <w:rFonts w:ascii="Verdana" w:hAnsi="Verdana" w:cs="Arial"/>
          <w:color w:val="000000" w:themeColor="text1"/>
          <w:lang w:val="es-ES_tradnl"/>
        </w:rPr>
      </w:pPr>
    </w:p>
    <w:p w14:paraId="78042170"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cs="Arial"/>
          <w:color w:val="000000" w:themeColor="text1"/>
          <w:lang w:val="pt-BR"/>
        </w:rPr>
        <w:t xml:space="preserve">CONSEJO DE ESTADO. Sala de </w:t>
      </w:r>
      <w:proofErr w:type="spellStart"/>
      <w:r w:rsidRPr="00DC1867">
        <w:rPr>
          <w:rFonts w:ascii="Verdana" w:hAnsi="Verdana" w:cs="Arial"/>
          <w:color w:val="000000" w:themeColor="text1"/>
          <w:lang w:val="pt-BR"/>
        </w:rPr>
        <w:t>lo</w:t>
      </w:r>
      <w:proofErr w:type="spellEnd"/>
      <w:r w:rsidRPr="00DC1867">
        <w:rPr>
          <w:rFonts w:ascii="Verdana" w:hAnsi="Verdana" w:cs="Arial"/>
          <w:color w:val="000000" w:themeColor="text1"/>
          <w:lang w:val="pt-BR"/>
        </w:rPr>
        <w:t xml:space="preserve"> contencioso administrativo. Sentencia </w:t>
      </w:r>
      <w:proofErr w:type="spellStart"/>
      <w:r w:rsidRPr="00DC1867">
        <w:rPr>
          <w:rFonts w:ascii="Verdana" w:hAnsi="Verdana" w:cs="Arial"/>
          <w:color w:val="000000" w:themeColor="text1"/>
          <w:lang w:val="pt-BR"/>
        </w:rPr>
        <w:t>del</w:t>
      </w:r>
      <w:proofErr w:type="spellEnd"/>
      <w:r w:rsidRPr="00DC1867">
        <w:rPr>
          <w:rFonts w:ascii="Verdana" w:hAnsi="Verdana" w:cs="Arial"/>
          <w:color w:val="000000" w:themeColor="text1"/>
          <w:lang w:val="pt-BR"/>
        </w:rPr>
        <w:t xml:space="preserve"> 12 de </w:t>
      </w:r>
      <w:proofErr w:type="spellStart"/>
      <w:r w:rsidRPr="00DC1867">
        <w:rPr>
          <w:rFonts w:ascii="Verdana" w:hAnsi="Verdana" w:cs="Arial"/>
          <w:color w:val="000000" w:themeColor="text1"/>
          <w:lang w:val="pt-BR"/>
        </w:rPr>
        <w:t>diciembre</w:t>
      </w:r>
      <w:proofErr w:type="spellEnd"/>
      <w:r w:rsidRPr="00DC1867">
        <w:rPr>
          <w:rFonts w:ascii="Verdana" w:hAnsi="Verdana" w:cs="Arial"/>
          <w:color w:val="000000" w:themeColor="text1"/>
          <w:lang w:val="pt-BR"/>
        </w:rPr>
        <w:t xml:space="preserve"> de 2014. Exp. 26496. C.P. Ramiro Pazos Guerrero.</w:t>
      </w:r>
    </w:p>
    <w:p w14:paraId="5183AB24" w14:textId="77777777" w:rsidR="00AB4A37" w:rsidRPr="00DC1867" w:rsidRDefault="00AB4A37" w:rsidP="00AB4A37">
      <w:pPr>
        <w:pStyle w:val="Prrafodelista"/>
        <w:rPr>
          <w:rFonts w:ascii="Verdana" w:hAnsi="Verdana" w:cs="Arial"/>
          <w:color w:val="000000" w:themeColor="text1"/>
          <w:lang w:val="es-ES_tradnl"/>
        </w:rPr>
      </w:pPr>
    </w:p>
    <w:p w14:paraId="43495BAB" w14:textId="77777777" w:rsidR="00AB4A37" w:rsidRPr="00DC1867"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cs="Arial"/>
          <w:color w:val="000000" w:themeColor="text1"/>
        </w:rPr>
        <w:t>CONSEJO DE ESTADO. Sala de Consulta y Servicio Civil. Concepto del 29 de abril de 1998. Rad. 1097. C.P. Augusto Trejos Jaramillo.</w:t>
      </w:r>
    </w:p>
    <w:p w14:paraId="704E95EC" w14:textId="77777777" w:rsidR="00AB4A37" w:rsidRPr="00DC1867" w:rsidRDefault="00AB4A37" w:rsidP="00AB4A37">
      <w:pPr>
        <w:pStyle w:val="Prrafodelista"/>
        <w:rPr>
          <w:rFonts w:ascii="Verdana" w:hAnsi="Verdana" w:cs="Arial"/>
          <w:color w:val="000000" w:themeColor="text1"/>
          <w:lang w:val="es-ES_tradnl"/>
        </w:rPr>
      </w:pPr>
    </w:p>
    <w:p w14:paraId="11DA60AB" w14:textId="77777777" w:rsidR="00AB4A37" w:rsidRPr="0065401D" w:rsidRDefault="00AB4A37" w:rsidP="00AB4A37">
      <w:pPr>
        <w:pStyle w:val="Prrafodelista"/>
        <w:numPr>
          <w:ilvl w:val="0"/>
          <w:numId w:val="3"/>
        </w:numPr>
        <w:spacing w:after="0" w:line="276" w:lineRule="auto"/>
        <w:ind w:right="709"/>
        <w:jc w:val="both"/>
        <w:rPr>
          <w:rFonts w:ascii="Verdana" w:hAnsi="Verdana" w:cs="Arial"/>
          <w:color w:val="000000" w:themeColor="text1"/>
          <w:lang w:val="es-ES_tradnl"/>
        </w:rPr>
      </w:pPr>
      <w:r w:rsidRPr="00DC1867">
        <w:rPr>
          <w:rFonts w:ascii="Verdana" w:hAnsi="Verdana"/>
        </w:rPr>
        <w:t xml:space="preserve">Consejo de Estado. Sala de Consulta y Servicio Civil. Conflicto de competencias administrativas. Decisión del 18 de julio de 2016. Rad: 2016-00065. </w:t>
      </w:r>
      <w:r w:rsidRPr="00DC1867">
        <w:rPr>
          <w:rFonts w:ascii="Verdana" w:hAnsi="Verdana" w:cs="Arial"/>
          <w:lang w:eastAsia="es-CO"/>
        </w:rPr>
        <w:t xml:space="preserve">Disponibles en: </w:t>
      </w:r>
      <w:hyperlink r:id="rId15" w:history="1">
        <w:r w:rsidRPr="00DC1867">
          <w:rPr>
            <w:rStyle w:val="Hipervnculo"/>
            <w:rFonts w:ascii="Verdana" w:hAnsi="Verdana" w:cs="Arial"/>
            <w:lang w:eastAsia="es-CO"/>
          </w:rPr>
          <w:t>https://relatoria.colombiacompra.gov.co/providencias-consejo-de-estado/</w:t>
        </w:r>
      </w:hyperlink>
      <w:r w:rsidRPr="00DC1867">
        <w:rPr>
          <w:rFonts w:ascii="Verdana" w:hAnsi="Verdana" w:cs="Arial"/>
          <w:lang w:eastAsia="es-CO"/>
        </w:rPr>
        <w:t xml:space="preserve"> </w:t>
      </w:r>
    </w:p>
    <w:p w14:paraId="01BB4330" w14:textId="77777777" w:rsidR="00AB4A37" w:rsidRPr="00DC1867" w:rsidRDefault="00AB4A37" w:rsidP="00AB4A37">
      <w:pPr>
        <w:pStyle w:val="Prrafodelista"/>
        <w:spacing w:after="0" w:line="276" w:lineRule="auto"/>
        <w:ind w:right="709"/>
        <w:jc w:val="both"/>
        <w:rPr>
          <w:rFonts w:ascii="Verdana" w:hAnsi="Verdana" w:cs="Arial"/>
          <w:color w:val="000000" w:themeColor="text1"/>
          <w:lang w:val="es-ES_tradnl"/>
        </w:rPr>
      </w:pPr>
    </w:p>
    <w:p w14:paraId="080D2B5C" w14:textId="77777777" w:rsidR="00AB4A37" w:rsidRPr="0011467B" w:rsidRDefault="00AB4A37" w:rsidP="00AB4A3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Doctrina de la Agencia Nacional de Contratación Pública:</w:t>
      </w:r>
    </w:p>
    <w:p w14:paraId="7C450E42" w14:textId="77777777" w:rsidR="00AB4A37" w:rsidRPr="002D1123" w:rsidRDefault="00AB4A37" w:rsidP="00AB4A37">
      <w:pPr>
        <w:pStyle w:val="Prrafodelista"/>
        <w:tabs>
          <w:tab w:val="left" w:pos="142"/>
          <w:tab w:val="left" w:pos="284"/>
        </w:tabs>
        <w:spacing w:after="0" w:line="276" w:lineRule="auto"/>
        <w:ind w:left="0"/>
        <w:contextualSpacing w:val="0"/>
        <w:jc w:val="both"/>
        <w:rPr>
          <w:rFonts w:ascii="Verdana" w:eastAsia="Century Gothic" w:hAnsi="Verdana" w:cs="Century Gothic"/>
          <w:b/>
        </w:rPr>
      </w:pPr>
    </w:p>
    <w:p w14:paraId="004106C3" w14:textId="77777777" w:rsidR="00AB4A37" w:rsidRPr="006E4966" w:rsidRDefault="00AB4A37" w:rsidP="00AB4A37">
      <w:pPr>
        <w:pStyle w:val="Textonotapie"/>
        <w:jc w:val="both"/>
        <w:rPr>
          <w:rFonts w:ascii="Verdana" w:hAnsi="Verdana"/>
          <w:color w:val="000000"/>
          <w:shd w:val="clear" w:color="auto" w:fill="FFFFFF"/>
        </w:rPr>
      </w:pPr>
      <w:r w:rsidRPr="006E4966">
        <w:rPr>
          <w:rFonts w:ascii="Verdana" w:eastAsia="Calibri" w:hAnsi="Verdana" w:cs="Arial"/>
          <w:lang w:val="es-ES_tradnl" w:eastAsia="es-ES_tradnl"/>
        </w:rPr>
        <w:t xml:space="preserve">Sobre el régimen de inhabilidades e incompatibilidades se pronunció esta Subdirección en los conceptos </w:t>
      </w:r>
      <w:r w:rsidRPr="006E4966">
        <w:rPr>
          <w:rFonts w:ascii="Verdana" w:eastAsia="Calibri" w:hAnsi="Verdana" w:cs="Arial"/>
        </w:rPr>
        <w:t xml:space="preserve">No. </w:t>
      </w:r>
      <w:r w:rsidRPr="006E4966">
        <w:rPr>
          <w:rFonts w:ascii="Verdana" w:eastAsia="Calibri" w:hAnsi="Verdana" w:cs="Arial"/>
          <w:color w:val="000000" w:themeColor="text1"/>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6E4966">
        <w:rPr>
          <w:rFonts w:ascii="Verdana" w:eastAsia="Calibri" w:hAnsi="Verdana"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6E4966">
        <w:rPr>
          <w:rFonts w:ascii="Verdana" w:eastAsia="Calibri" w:hAnsi="Verdana" w:cs="Arial"/>
          <w:color w:val="000000" w:themeColor="text1"/>
          <w:lang w:val="es-ES"/>
        </w:rPr>
        <w:t>C-028 del 28 de febrero de 2022, C-318 del 18 de mayo de 2022, C-252 del 30 de mayo de 2022, C-175 del 4 de mayo de 2023,C-300 de 2023</w:t>
      </w:r>
      <w:r w:rsidRPr="006E4966">
        <w:rPr>
          <w:rFonts w:ascii="Verdana" w:eastAsia="Calibri" w:hAnsi="Verdana" w:cs="Arial"/>
        </w:rPr>
        <w:t>, C−010 del 31 de enero de 2024, C-039 del 23 de abril de 2024 y C-381 del 5 de septiembre de 2024</w:t>
      </w:r>
      <w:r w:rsidRPr="006E4966">
        <w:rPr>
          <w:rFonts w:ascii="Verdana" w:hAnsi="Verdana"/>
          <w:color w:val="000000"/>
          <w:shd w:val="clear" w:color="auto" w:fill="FFFFFF"/>
        </w:rPr>
        <w:t>.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6E4966">
          <w:rPr>
            <w:rStyle w:val="Hipervnculo"/>
            <w:rFonts w:ascii="Verdana" w:hAnsi="Verdana"/>
            <w:bdr w:val="none" w:sz="0" w:space="0" w:color="auto" w:frame="1"/>
            <w:shd w:val="clear" w:color="auto" w:fill="FFFFFF"/>
          </w:rPr>
          <w:t>https://relatoria.colombiacompra.gov.co/</w:t>
        </w:r>
      </w:hyperlink>
      <w:r w:rsidRPr="006E4966">
        <w:rPr>
          <w:rFonts w:ascii="Verdana" w:hAnsi="Verdana"/>
          <w:color w:val="000000"/>
          <w:shd w:val="clear" w:color="auto" w:fill="FFFFFF"/>
        </w:rPr>
        <w:t> .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6E4966">
          <w:rPr>
            <w:rStyle w:val="Hipervnculo"/>
            <w:rFonts w:ascii="Verdana" w:hAnsi="Verdana"/>
            <w:bdr w:val="none" w:sz="0" w:space="0" w:color="auto" w:frame="1"/>
            <w:shd w:val="clear" w:color="auto" w:fill="FFFFFF"/>
          </w:rPr>
          <w:t>https://relatoria.colombiacompra.gov.co/</w:t>
        </w:r>
      </w:hyperlink>
      <w:r w:rsidRPr="006E4966">
        <w:rPr>
          <w:rFonts w:ascii="Verdana" w:hAnsi="Verdana"/>
          <w:color w:val="000000"/>
          <w:shd w:val="clear" w:color="auto" w:fill="FFFFFF"/>
        </w:rPr>
        <w:t> . 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r w:rsidRPr="006E4966">
        <w:rPr>
          <w:rFonts w:ascii="Verdana" w:hAnsi="Verdana"/>
        </w:rPr>
        <w:t xml:space="preserve"> </w:t>
      </w:r>
      <w:hyperlink r:id="rId18" w:history="1">
        <w:r w:rsidRPr="006E4966">
          <w:rPr>
            <w:rStyle w:val="Hipervnculo"/>
            <w:rFonts w:ascii="Verdana" w:hAnsi="Verdana"/>
            <w:shd w:val="clear" w:color="auto" w:fill="FFFFFF"/>
          </w:rPr>
          <w:t>https://www.colombiacompra.gov.co/sala-de-prensa/boletin-digital/boletin-de-relatoria-2024-iv</w:t>
        </w:r>
      </w:hyperlink>
      <w:r w:rsidRPr="006E4966">
        <w:rPr>
          <w:rFonts w:ascii="Verdana" w:hAnsi="Verdana"/>
          <w:color w:val="000000"/>
          <w:shd w:val="clear" w:color="auto" w:fill="FFFFFF"/>
        </w:rPr>
        <w:t>.</w:t>
      </w:r>
    </w:p>
    <w:p w14:paraId="59AD16B8" w14:textId="77777777" w:rsidR="00AB4A37" w:rsidRPr="0011467B" w:rsidRDefault="00AB4A37" w:rsidP="00AB4A37">
      <w:pPr>
        <w:pStyle w:val="Textonotapie"/>
        <w:rPr>
          <w:rFonts w:cs="Arial"/>
          <w:sz w:val="22"/>
          <w:szCs w:val="22"/>
          <w:lang w:val="es-ES"/>
        </w:rPr>
      </w:pPr>
    </w:p>
    <w:p w14:paraId="604D6D4E" w14:textId="77777777" w:rsidR="00AB4A37" w:rsidRPr="0011467B" w:rsidRDefault="00AB4A37" w:rsidP="00AB4A37">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1567371C" w14:textId="77777777" w:rsidR="00AB4A37" w:rsidRPr="0011467B" w:rsidRDefault="00AB4A37" w:rsidP="00AB4A37">
      <w:pPr>
        <w:spacing w:after="0" w:line="240" w:lineRule="auto"/>
        <w:jc w:val="both"/>
        <w:rPr>
          <w:rFonts w:ascii="Verdana" w:hAnsi="Verdana"/>
        </w:rPr>
      </w:pPr>
    </w:p>
    <w:p w14:paraId="33B9E49F" w14:textId="77777777" w:rsidR="00AB4A37" w:rsidRPr="0011467B" w:rsidRDefault="00AB4A37" w:rsidP="00AB4A37">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7D846B1E" w14:textId="77777777" w:rsidR="00AB4A37" w:rsidRPr="0011467B" w:rsidRDefault="00AB4A37" w:rsidP="00AB4A37">
      <w:pPr>
        <w:spacing w:after="0" w:line="240" w:lineRule="auto"/>
        <w:jc w:val="both"/>
        <w:rPr>
          <w:rFonts w:ascii="Verdana" w:hAnsi="Verdana"/>
        </w:rPr>
      </w:pPr>
      <w:r w:rsidRPr="0011467B">
        <w:rPr>
          <w:rFonts w:ascii="Verdana" w:hAnsi="Verdana"/>
        </w:rPr>
        <w:lastRenderedPageBreak/>
        <w:t xml:space="preserve">Facebook: </w:t>
      </w:r>
      <w:r w:rsidRPr="0011467B">
        <w:rPr>
          <w:rStyle w:val="Hipervnculo"/>
          <w:rFonts w:ascii="Verdana" w:hAnsi="Verdana"/>
          <w:color w:val="4472C4" w:themeColor="accent1"/>
        </w:rPr>
        <w:t>ColombiaCompraEficiente</w:t>
      </w:r>
    </w:p>
    <w:p w14:paraId="5C0E696A" w14:textId="77777777" w:rsidR="00AB4A37" w:rsidRPr="0011467B" w:rsidRDefault="00AB4A37" w:rsidP="00AB4A37">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2FEEE997" w14:textId="77777777" w:rsidR="00AB4A37" w:rsidRPr="0011467B" w:rsidRDefault="00AB4A37" w:rsidP="00AB4A37">
      <w:pPr>
        <w:spacing w:after="120" w:line="276" w:lineRule="auto"/>
        <w:jc w:val="both"/>
        <w:rPr>
          <w:rFonts w:ascii="Verdana" w:hAnsi="Verdana" w:cs="Arial"/>
          <w:lang w:val="es-ES"/>
        </w:rPr>
      </w:pPr>
    </w:p>
    <w:p w14:paraId="7B8416C6" w14:textId="77777777" w:rsidR="00AB4A37" w:rsidRPr="0011467B" w:rsidRDefault="00AB4A37" w:rsidP="00AB4A37">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56AB0BB" w14:textId="77777777" w:rsidR="00AB4A37" w:rsidRPr="0011467B" w:rsidRDefault="00AB4A37" w:rsidP="00AB4A37">
      <w:pPr>
        <w:spacing w:after="120" w:line="276" w:lineRule="auto"/>
        <w:jc w:val="both"/>
        <w:rPr>
          <w:rFonts w:ascii="Verdana" w:eastAsia="Times New Roman" w:hAnsi="Verdana" w:cs="Arial"/>
          <w:i/>
          <w:lang w:val="es-ES" w:eastAsia="es-ES"/>
        </w:rPr>
      </w:pPr>
    </w:p>
    <w:p w14:paraId="390AA0B8" w14:textId="77777777" w:rsidR="00AB4A37" w:rsidRPr="00DC1867" w:rsidRDefault="00AB4A37" w:rsidP="00AB4A37">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67C481D1" w14:textId="0ECF9163" w:rsidR="00AB4A37" w:rsidRPr="0011467B" w:rsidRDefault="00A1188C" w:rsidP="00AB4A37">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4C09408E" wp14:editId="19FE6D44">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p w14:paraId="78B519FF" w14:textId="77777777" w:rsidR="00AB4A37" w:rsidRPr="0011467B" w:rsidRDefault="00AB4A37" w:rsidP="00AB4A37">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AB4A37" w:rsidRPr="0011467B" w14:paraId="51A8D195" w14:textId="77777777" w:rsidTr="00C77973">
        <w:trPr>
          <w:trHeight w:val="409"/>
        </w:trPr>
        <w:tc>
          <w:tcPr>
            <w:tcW w:w="913" w:type="dxa"/>
            <w:tcBorders>
              <w:top w:val="nil"/>
              <w:left w:val="nil"/>
              <w:bottom w:val="nil"/>
              <w:right w:val="nil"/>
            </w:tcBorders>
            <w:vAlign w:val="center"/>
            <w:hideMark/>
          </w:tcPr>
          <w:p w14:paraId="56B33B21" w14:textId="77777777" w:rsidR="00AB4A37" w:rsidRPr="0011467B" w:rsidRDefault="00AB4A37" w:rsidP="00C77973">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34F0459E" w14:textId="77777777" w:rsidR="00AB4A37" w:rsidRPr="0011467B" w:rsidRDefault="00AB4A37" w:rsidP="00C77973">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00AB9612" w14:textId="77777777" w:rsidR="00AB4A37" w:rsidRPr="0011467B" w:rsidRDefault="00AB4A37" w:rsidP="00C77973">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AB4A37" w:rsidRPr="0011467B" w14:paraId="2AFA6677" w14:textId="77777777" w:rsidTr="00C77973">
        <w:trPr>
          <w:trHeight w:val="409"/>
        </w:trPr>
        <w:tc>
          <w:tcPr>
            <w:tcW w:w="913" w:type="dxa"/>
            <w:tcBorders>
              <w:top w:val="nil"/>
              <w:left w:val="nil"/>
              <w:right w:val="nil"/>
            </w:tcBorders>
            <w:vAlign w:val="center"/>
          </w:tcPr>
          <w:p w14:paraId="547D1EF0" w14:textId="77777777" w:rsidR="00AB4A37" w:rsidRPr="0011467B" w:rsidRDefault="00AB4A37" w:rsidP="00C77973">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5F18D260" w14:textId="77777777" w:rsidR="00AB4A37" w:rsidRPr="00AB11C1" w:rsidRDefault="00AB4A37" w:rsidP="00C77973">
            <w:pPr>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Pr>
                <w:rStyle w:val="normaltextrun"/>
                <w:rFonts w:eastAsia="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564B8A03" w14:textId="77777777" w:rsidR="00AB4A37" w:rsidRPr="0011467B" w:rsidRDefault="00AB4A37" w:rsidP="00C77973">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AB4A37" w:rsidRPr="0011467B" w14:paraId="312B904F" w14:textId="77777777" w:rsidTr="00C77973">
        <w:trPr>
          <w:trHeight w:val="389"/>
        </w:trPr>
        <w:tc>
          <w:tcPr>
            <w:tcW w:w="913" w:type="dxa"/>
            <w:tcBorders>
              <w:top w:val="nil"/>
              <w:left w:val="nil"/>
              <w:bottom w:val="nil"/>
              <w:right w:val="nil"/>
            </w:tcBorders>
            <w:vAlign w:val="center"/>
            <w:hideMark/>
          </w:tcPr>
          <w:p w14:paraId="6339A0BF" w14:textId="77777777" w:rsidR="00AB4A37" w:rsidRPr="0011467B" w:rsidRDefault="00AB4A37" w:rsidP="00C77973">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34D89E19" w14:textId="77777777" w:rsidR="00AB4A37" w:rsidRPr="0011467B" w:rsidRDefault="00AB4A37" w:rsidP="00C77973">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7535EF55" w14:textId="77777777" w:rsidR="00AB4A37" w:rsidRPr="0011467B" w:rsidRDefault="00AB4A37" w:rsidP="00C77973">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6F4BE6E9" w14:textId="77777777" w:rsidR="00AB4A37" w:rsidRPr="008407C5" w:rsidRDefault="00AB4A37" w:rsidP="00AB4A37">
      <w:pPr>
        <w:rPr>
          <w:lang w:val="es-ES"/>
        </w:rPr>
      </w:pPr>
    </w:p>
    <w:p w14:paraId="194E1755" w14:textId="77777777" w:rsidR="004D51FB" w:rsidRPr="00AB4A37" w:rsidRDefault="004D51FB" w:rsidP="00AB4A37">
      <w:pPr>
        <w:rPr>
          <w:lang w:val="es-ES"/>
        </w:rPr>
      </w:pPr>
    </w:p>
    <w:sectPr w:rsidR="004D51FB" w:rsidRPr="00AB4A37" w:rsidSect="00A211EE">
      <w:headerReference w:type="default" r:id="rId20"/>
      <w:footerReference w:type="default" r:id="rId21"/>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D852" w14:textId="77777777" w:rsidR="00143E6F" w:rsidRDefault="00143E6F" w:rsidP="00D81B8E">
      <w:pPr>
        <w:spacing w:after="0" w:line="240" w:lineRule="auto"/>
      </w:pPr>
      <w:r>
        <w:separator/>
      </w:r>
    </w:p>
  </w:endnote>
  <w:endnote w:type="continuationSeparator" w:id="0">
    <w:p w14:paraId="3B4BEF42" w14:textId="77777777" w:rsidR="00143E6F" w:rsidRDefault="00143E6F" w:rsidP="00D8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8C894" w14:textId="77777777" w:rsidR="004D51FB" w:rsidRDefault="004D51FB" w:rsidP="00A211EE">
    <w:pPr>
      <w:spacing w:after="0"/>
      <w:rPr>
        <w:rFonts w:ascii="Verdana" w:hAnsi="Verdana"/>
        <w:b/>
        <w:bCs/>
        <w:sz w:val="20"/>
        <w:szCs w:val="20"/>
      </w:rPr>
    </w:pPr>
  </w:p>
  <w:p w14:paraId="15C393F6" w14:textId="77777777" w:rsidR="004D51FB" w:rsidRPr="00174B77" w:rsidRDefault="00E76B9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B0FEEB5" w14:textId="77777777" w:rsidR="004D51FB" w:rsidRDefault="00E76B9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7D453AEA" w14:textId="77777777" w:rsidR="004D51FB" w:rsidRPr="00E41027" w:rsidRDefault="00E76B9E" w:rsidP="00A211EE">
    <w:pPr>
      <w:spacing w:after="0"/>
      <w:jc w:val="both"/>
      <w:rPr>
        <w:rFonts w:ascii="Verdana" w:hAnsi="Verdana"/>
        <w:sz w:val="18"/>
        <w:szCs w:val="18"/>
      </w:rPr>
    </w:pPr>
    <w:r w:rsidRPr="00E41027">
      <w:rPr>
        <w:rFonts w:ascii="Verdana" w:hAnsi="Verdana"/>
        <w:sz w:val="18"/>
        <w:szCs w:val="18"/>
      </w:rPr>
      <w:t>Mesa de servicio: (+57) 601 7456788</w:t>
    </w:r>
  </w:p>
  <w:p w14:paraId="63F226CE" w14:textId="77777777" w:rsidR="004D51FB" w:rsidRPr="00A211EE" w:rsidRDefault="00E76B9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5BC79A28" w14:textId="77777777" w:rsidR="004D51FB" w:rsidRDefault="004D51FB" w:rsidP="00A211EE">
    <w:pPr>
      <w:pStyle w:val="Piedepgina"/>
    </w:pPr>
  </w:p>
  <w:p w14:paraId="1371CAE6" w14:textId="77777777" w:rsidR="004D51FB" w:rsidRDefault="004D51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E338C" w14:textId="77777777" w:rsidR="00143E6F" w:rsidRDefault="00143E6F" w:rsidP="00D81B8E">
      <w:pPr>
        <w:spacing w:after="0" w:line="240" w:lineRule="auto"/>
      </w:pPr>
      <w:r>
        <w:separator/>
      </w:r>
    </w:p>
  </w:footnote>
  <w:footnote w:type="continuationSeparator" w:id="0">
    <w:p w14:paraId="2AEF2C21" w14:textId="77777777" w:rsidR="00143E6F" w:rsidRDefault="00143E6F" w:rsidP="00D81B8E">
      <w:pPr>
        <w:spacing w:after="0" w:line="240" w:lineRule="auto"/>
      </w:pPr>
      <w:r>
        <w:continuationSeparator/>
      </w:r>
    </w:p>
  </w:footnote>
  <w:footnote w:id="1">
    <w:p w14:paraId="64DFE8F3"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Style w:val="Refdenotaalpie"/>
          <w:rFonts w:ascii="Verdana" w:hAnsi="Verdana" w:cs="Arial"/>
          <w:sz w:val="12"/>
          <w:szCs w:val="12"/>
        </w:rPr>
        <w:footnoteRef/>
      </w:r>
      <w:r w:rsidRPr="00846AAB">
        <w:rPr>
          <w:rFonts w:ascii="Verdana" w:hAnsi="Verdana" w:cs="Arial"/>
          <w:sz w:val="12"/>
          <w:szCs w:val="12"/>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CF88D29"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Fonts w:ascii="Verdana" w:hAnsi="Verdana" w:cs="Arial"/>
          <w:sz w:val="12"/>
          <w:szCs w:val="12"/>
        </w:rPr>
        <w:t>Las personas jurídicas nacionales y extranjeras deberán acreditar que su duración no será inferior a la del plazo del contrato y un año más”.</w:t>
      </w:r>
    </w:p>
  </w:footnote>
  <w:footnote w:id="2">
    <w:p w14:paraId="664C6AC2"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Style w:val="Refdenotaalpie"/>
          <w:rFonts w:ascii="Verdana" w:hAnsi="Verdana" w:cs="Arial"/>
          <w:sz w:val="12"/>
          <w:szCs w:val="12"/>
        </w:rPr>
        <w:footnoteRef/>
      </w:r>
      <w:r w:rsidRPr="00846AAB">
        <w:rPr>
          <w:rFonts w:ascii="Verdana" w:hAnsi="Verdana" w:cs="Arial"/>
          <w:sz w:val="12"/>
          <w:szCs w:val="12"/>
        </w:rPr>
        <w:t xml:space="preserve"> Código Civil: “Artículo 1502. Requisitos para obligarse. Para que una persona se obligue a otra por un acto o declaración de voluntad, es necesario:</w:t>
      </w:r>
    </w:p>
    <w:p w14:paraId="1CA880E6"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Fonts w:ascii="Verdana" w:hAnsi="Verdana" w:cs="Arial"/>
          <w:sz w:val="12"/>
          <w:szCs w:val="12"/>
        </w:rPr>
        <w:t>1o.) que sea legalmente capaz.</w:t>
      </w:r>
    </w:p>
    <w:p w14:paraId="0765CB07"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Fonts w:ascii="Verdana" w:hAnsi="Verdana" w:cs="Arial"/>
          <w:sz w:val="12"/>
          <w:szCs w:val="12"/>
        </w:rPr>
        <w:t>[…]</w:t>
      </w:r>
    </w:p>
    <w:p w14:paraId="672A8C5B"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Fonts w:ascii="Verdana" w:hAnsi="Verdana" w:cs="Arial"/>
          <w:sz w:val="12"/>
          <w:szCs w:val="12"/>
        </w:rPr>
        <w:t>La capacidad legal de una persona consiste en poderse obligar por sí misma, sin el ministerio o la autorización de otra”.</w:t>
      </w:r>
    </w:p>
  </w:footnote>
  <w:footnote w:id="3">
    <w:p w14:paraId="66575D77" w14:textId="77777777" w:rsidR="00AB4A37" w:rsidRPr="00846AAB" w:rsidRDefault="00AB4A37" w:rsidP="00AB4A37">
      <w:pPr>
        <w:pStyle w:val="Textonotapie"/>
        <w:spacing w:after="120"/>
        <w:ind w:firstLine="709"/>
        <w:jc w:val="both"/>
        <w:rPr>
          <w:rFonts w:ascii="Verdana" w:hAnsi="Verdana" w:cs="Arial"/>
          <w:sz w:val="12"/>
          <w:szCs w:val="12"/>
          <w:lang w:val="es-ES"/>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846AAB">
        <w:rPr>
          <w:rFonts w:ascii="Verdana" w:hAnsi="Verdana" w:cs="Arial"/>
          <w:i/>
          <w:sz w:val="12"/>
          <w:szCs w:val="12"/>
          <w:lang w:val="es-ES"/>
        </w:rPr>
        <w:t>el régimen de inhabilidades e incompatibilidades</w:t>
      </w:r>
      <w:r w:rsidRPr="00846AAB">
        <w:rPr>
          <w:rFonts w:ascii="Verdana" w:hAnsi="Verdana" w:cs="Arial"/>
          <w:sz w:val="12"/>
          <w:szCs w:val="12"/>
          <w:lang w:val="es-ES"/>
        </w:rPr>
        <w:t xml:space="preserve"> (1) y la obligación de ciertos proponentes de inscribirse en el </w:t>
      </w:r>
      <w:r w:rsidRPr="00846AAB">
        <w:rPr>
          <w:rFonts w:ascii="Verdana" w:hAnsi="Verdana" w:cs="Arial"/>
          <w:i/>
          <w:sz w:val="12"/>
          <w:szCs w:val="12"/>
          <w:lang w:val="es-ES"/>
        </w:rPr>
        <w:t>registro único</w:t>
      </w:r>
      <w:r w:rsidRPr="00846AAB">
        <w:rPr>
          <w:rFonts w:ascii="Verdana" w:hAnsi="Verdana" w:cs="Arial"/>
          <w:sz w:val="12"/>
          <w:szCs w:val="12"/>
          <w:lang w:val="es-ES"/>
        </w:rPr>
        <w:t xml:space="preserve"> (2)” (BENAVIDES, José Luis. El contrato estatal. Entre el Derecho público y el Derecho privado. 2ª ed. Bogotá: Universidad Externado de Colombia, 2004. p. 278). </w:t>
      </w:r>
    </w:p>
  </w:footnote>
  <w:footnote w:id="4">
    <w:p w14:paraId="40A99957" w14:textId="77777777" w:rsidR="00AB4A37" w:rsidRPr="00846AAB" w:rsidRDefault="00AB4A37" w:rsidP="00AB4A37">
      <w:pPr>
        <w:spacing w:after="120" w:line="240" w:lineRule="auto"/>
        <w:ind w:firstLine="709"/>
        <w:jc w:val="both"/>
        <w:rPr>
          <w:rFonts w:ascii="Verdana" w:hAnsi="Verdana" w:cs="Arial"/>
          <w:sz w:val="12"/>
          <w:szCs w:val="12"/>
          <w:lang w:val="es-ES"/>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es-ES"/>
        </w:rPr>
        <w:t xml:space="preserve">Como las señaladas a continuación: “Los servidores públicos” (art. 8, </w:t>
      </w:r>
      <w:r w:rsidRPr="00846AAB">
        <w:rPr>
          <w:rFonts w:ascii="Verdana" w:hAnsi="Verdana" w:cs="Arial"/>
          <w:sz w:val="12"/>
          <w:szCs w:val="12"/>
          <w:lang w:val="es-ES"/>
        </w:rPr>
        <w:t xml:space="preserve">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5">
    <w:p w14:paraId="456C62CA"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Style w:val="Refdenotaalpie"/>
          <w:rFonts w:ascii="Verdana" w:hAnsi="Verdana" w:cs="Arial"/>
          <w:sz w:val="12"/>
          <w:szCs w:val="12"/>
        </w:rPr>
        <w:footnoteRef/>
      </w:r>
      <w:r w:rsidRPr="00846AAB">
        <w:rPr>
          <w:rFonts w:ascii="Verdana" w:hAnsi="Verdana" w:cs="Arial"/>
          <w:sz w:val="12"/>
          <w:szCs w:val="12"/>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6">
    <w:p w14:paraId="6A16C475" w14:textId="77777777" w:rsidR="00AB4A37" w:rsidRPr="00846AAB" w:rsidRDefault="00AB4A37" w:rsidP="00AB4A37">
      <w:pPr>
        <w:pStyle w:val="Textonotapie"/>
        <w:spacing w:after="120"/>
        <w:ind w:firstLine="709"/>
        <w:jc w:val="both"/>
        <w:rPr>
          <w:rFonts w:ascii="Verdana" w:hAnsi="Verdana" w:cs="Arial"/>
          <w:sz w:val="12"/>
          <w:szCs w:val="12"/>
          <w:lang w:val="es-ES"/>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es-ES"/>
        </w:rPr>
        <w:t xml:space="preserve">BARRETO ROZO, Antonio Alejandro. Inhabilidades de la contratación estatal, efectos y </w:t>
      </w:r>
      <w:r w:rsidRPr="00846AAB">
        <w:rPr>
          <w:rFonts w:ascii="Verdana" w:hAnsi="Verdana" w:cs="Arial"/>
          <w:sz w:val="12"/>
          <w:szCs w:val="12"/>
          <w:lang w:val="es-ES"/>
        </w:rPr>
        <w:t>neopunitivismo en el Estatuto Anticorrupción. En: ALVIAR GARCÍA, Helena (Coordinadora). Nuevas tendencias del Derecho administrativo. Bogotá: Universidad de los Andes; Temis, 2016. pp. 63-99.</w:t>
      </w:r>
    </w:p>
  </w:footnote>
  <w:footnote w:id="7">
    <w:p w14:paraId="067BBDFC" w14:textId="77777777" w:rsidR="00AB4A37" w:rsidRPr="00846AAB" w:rsidRDefault="00AB4A37" w:rsidP="00AB4A37">
      <w:pPr>
        <w:pStyle w:val="Textonotapie"/>
        <w:spacing w:after="120"/>
        <w:ind w:firstLine="709"/>
        <w:jc w:val="both"/>
        <w:rPr>
          <w:rFonts w:ascii="Verdana" w:hAnsi="Verdana" w:cs="Arial"/>
          <w:sz w:val="12"/>
          <w:szCs w:val="12"/>
          <w:lang w:val="es-ES_tradnl"/>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es-ES"/>
        </w:rPr>
        <w:t>Ibídem. p. 69.</w:t>
      </w:r>
    </w:p>
  </w:footnote>
  <w:footnote w:id="8">
    <w:p w14:paraId="54341B3A" w14:textId="77777777" w:rsidR="00AB4A37" w:rsidRPr="00846AAB" w:rsidRDefault="00AB4A37" w:rsidP="00AB4A37">
      <w:pPr>
        <w:pStyle w:val="Textonotapie"/>
        <w:spacing w:after="120"/>
        <w:ind w:firstLine="709"/>
        <w:jc w:val="both"/>
        <w:rPr>
          <w:rFonts w:ascii="Verdana" w:hAnsi="Verdana" w:cs="Arial"/>
          <w:sz w:val="12"/>
          <w:szCs w:val="12"/>
          <w:lang w:val="es-ES"/>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9">
    <w:p w14:paraId="6E056020" w14:textId="77777777" w:rsidR="00AB4A37" w:rsidRPr="00846AAB" w:rsidRDefault="00AB4A37" w:rsidP="00AB4A37">
      <w:pPr>
        <w:pStyle w:val="Textonotapie"/>
        <w:spacing w:after="120"/>
        <w:ind w:firstLine="709"/>
        <w:jc w:val="both"/>
        <w:rPr>
          <w:rFonts w:ascii="Verdana" w:hAnsi="Verdana" w:cs="Arial"/>
          <w:sz w:val="12"/>
          <w:szCs w:val="12"/>
          <w:lang w:val="es-ES"/>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es-ES"/>
        </w:rPr>
        <w:t xml:space="preserve">CONSEJO DE ESTADO. Sala de Consulta y Servicio Civil. Concepto del 30 de abril de 2015. </w:t>
      </w:r>
      <w:r w:rsidRPr="00846AAB">
        <w:rPr>
          <w:rFonts w:ascii="Verdana" w:hAnsi="Verdana" w:cs="Arial"/>
          <w:sz w:val="12"/>
          <w:szCs w:val="12"/>
          <w:lang w:val="es-ES"/>
        </w:rPr>
        <w:t>Exp. 2251. C.P. Álvaro Namén Vargas.</w:t>
      </w:r>
    </w:p>
  </w:footnote>
  <w:footnote w:id="10">
    <w:p w14:paraId="5F45A695" w14:textId="77777777" w:rsidR="00AB4A37" w:rsidRPr="00846AAB" w:rsidRDefault="00AB4A37" w:rsidP="00AB4A37">
      <w:pPr>
        <w:pStyle w:val="Textonotapie"/>
        <w:spacing w:after="120"/>
        <w:ind w:firstLine="709"/>
        <w:jc w:val="both"/>
        <w:rPr>
          <w:rFonts w:ascii="Verdana" w:hAnsi="Verdana" w:cs="Arial"/>
          <w:sz w:val="12"/>
          <w:szCs w:val="12"/>
        </w:rPr>
      </w:pPr>
      <w:r w:rsidRPr="00846AAB">
        <w:rPr>
          <w:rStyle w:val="Refdenotaalpie"/>
          <w:rFonts w:ascii="Verdana" w:hAnsi="Verdana" w:cs="Arial"/>
          <w:sz w:val="12"/>
          <w:szCs w:val="12"/>
        </w:rPr>
        <w:footnoteRef/>
      </w:r>
      <w:r w:rsidRPr="00846AAB">
        <w:rPr>
          <w:rFonts w:ascii="Verdana" w:hAnsi="Verdana" w:cs="Arial"/>
          <w:sz w:val="12"/>
          <w:szCs w:val="12"/>
        </w:rPr>
        <w:t xml:space="preserve"> CONSEJO DE ESTADO. Sección Tercera. Subsección A. Sentencia del 24 de junio de 2015. Exp. 40.635. C.P. Hernán Andrade Rincón (E).</w:t>
      </w:r>
    </w:p>
  </w:footnote>
  <w:footnote w:id="11">
    <w:p w14:paraId="0E147ED2" w14:textId="77777777" w:rsidR="00AB4A37" w:rsidRPr="00846AAB" w:rsidRDefault="00AB4A37" w:rsidP="00AB4A37">
      <w:pPr>
        <w:pStyle w:val="Textonotapie"/>
        <w:spacing w:after="120"/>
        <w:ind w:firstLine="709"/>
        <w:jc w:val="both"/>
        <w:rPr>
          <w:rFonts w:ascii="Verdana" w:hAnsi="Verdana" w:cs="Arial"/>
          <w:sz w:val="12"/>
          <w:szCs w:val="12"/>
          <w:lang w:val="es-ES_tradnl"/>
        </w:rPr>
      </w:pPr>
      <w:r w:rsidRPr="00846AAB">
        <w:rPr>
          <w:rStyle w:val="Refdenotaalpie"/>
          <w:rFonts w:ascii="Verdana" w:hAnsi="Verdana" w:cs="Arial"/>
          <w:sz w:val="12"/>
          <w:szCs w:val="12"/>
        </w:rPr>
        <w:footnoteRef/>
      </w:r>
      <w:r w:rsidRPr="00846AAB">
        <w:rPr>
          <w:rFonts w:ascii="Verdana" w:hAnsi="Verdana" w:cs="Arial"/>
          <w:sz w:val="12"/>
          <w:szCs w:val="12"/>
        </w:rPr>
        <w:t xml:space="preserve"> CONSEJO DE ESTADO. Sección Tercera. Subsección C. Sentencia del 22 de mayo de 2013. Rad. 24.057. C.P. Olga Mélida Valle De De La Hoz. </w:t>
      </w:r>
    </w:p>
  </w:footnote>
  <w:footnote w:id="12">
    <w:p w14:paraId="4351E5DA" w14:textId="77777777" w:rsidR="00AB4A37" w:rsidRPr="00846AAB" w:rsidRDefault="00AB4A37" w:rsidP="00AB4A37">
      <w:pPr>
        <w:pStyle w:val="Textonotapie"/>
        <w:spacing w:after="120"/>
        <w:ind w:firstLine="709"/>
        <w:jc w:val="both"/>
        <w:rPr>
          <w:rFonts w:ascii="Verdana" w:hAnsi="Verdana" w:cs="Arial"/>
          <w:sz w:val="12"/>
          <w:szCs w:val="12"/>
          <w:lang w:val="pt-BR"/>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sz w:val="12"/>
          <w:szCs w:val="12"/>
          <w:lang w:val="pt-BR"/>
        </w:rPr>
        <w:t xml:space="preserve">Corte Constitucional. Sentencia C-415 de 1994. M.P. Eduardo </w:t>
      </w:r>
      <w:r w:rsidRPr="00846AAB">
        <w:rPr>
          <w:rFonts w:ascii="Verdana" w:hAnsi="Verdana" w:cs="Arial"/>
          <w:sz w:val="12"/>
          <w:szCs w:val="12"/>
          <w:lang w:val="pt-BR"/>
        </w:rPr>
        <w:t>Cifuentes Muñoz.</w:t>
      </w:r>
    </w:p>
  </w:footnote>
  <w:footnote w:id="13">
    <w:p w14:paraId="37EBB270" w14:textId="77777777" w:rsidR="00AB4A37" w:rsidRPr="00846AAB" w:rsidRDefault="00AB4A37" w:rsidP="00AB4A37">
      <w:pPr>
        <w:pStyle w:val="Textonotapie"/>
        <w:spacing w:after="120"/>
        <w:ind w:firstLine="709"/>
        <w:jc w:val="both"/>
        <w:rPr>
          <w:rFonts w:ascii="Verdana" w:hAnsi="Verdana" w:cs="Arial"/>
          <w:color w:val="000000" w:themeColor="text1"/>
          <w:sz w:val="12"/>
          <w:szCs w:val="12"/>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color w:val="000000" w:themeColor="text1"/>
          <w:sz w:val="12"/>
          <w:szCs w:val="12"/>
          <w:lang w:val="pt-BR"/>
        </w:rPr>
        <w:t xml:space="preserve">CONSEJO DE ESTADO. Sala de </w:t>
      </w:r>
      <w:r w:rsidRPr="00846AAB">
        <w:rPr>
          <w:rFonts w:ascii="Verdana" w:hAnsi="Verdana" w:cs="Arial"/>
          <w:color w:val="000000" w:themeColor="text1"/>
          <w:sz w:val="12"/>
          <w:szCs w:val="12"/>
          <w:lang w:val="pt-BR"/>
        </w:rPr>
        <w:t xml:space="preserve">lo contencioso administrativo. Sentencia del 12 de diciembre de 2014. Exp. 26496. C.P. Ramiro Pazos Guerrero. </w:t>
      </w:r>
      <w:r w:rsidRPr="00846AAB">
        <w:rPr>
          <w:rFonts w:ascii="Verdana" w:hAnsi="Verdana" w:cs="Arial"/>
          <w:color w:val="000000" w:themeColor="text1"/>
          <w:sz w:val="12"/>
          <w:szCs w:val="12"/>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14">
    <w:p w14:paraId="68294F26" w14:textId="77777777" w:rsidR="00AB4A37" w:rsidRPr="00846AAB" w:rsidRDefault="00AB4A37" w:rsidP="00AB4A37">
      <w:pPr>
        <w:pStyle w:val="Textonotapie"/>
        <w:spacing w:after="120"/>
        <w:ind w:firstLine="709"/>
        <w:jc w:val="both"/>
        <w:rPr>
          <w:rFonts w:ascii="Verdana" w:hAnsi="Verdana" w:cs="Arial"/>
          <w:sz w:val="12"/>
          <w:szCs w:val="12"/>
          <w:lang w:val="es-ES_tradnl"/>
        </w:rPr>
      </w:pPr>
      <w:r w:rsidRPr="00846AAB">
        <w:rPr>
          <w:rStyle w:val="Refdenotaalpie"/>
          <w:rFonts w:ascii="Verdana" w:hAnsi="Verdana" w:cs="Arial"/>
          <w:sz w:val="12"/>
          <w:szCs w:val="12"/>
        </w:rPr>
        <w:footnoteRef/>
      </w:r>
      <w:r w:rsidRPr="00846AAB">
        <w:rPr>
          <w:rFonts w:ascii="Verdana" w:hAnsi="Verdana" w:cs="Arial"/>
          <w:sz w:val="12"/>
          <w:szCs w:val="12"/>
        </w:rPr>
        <w:t xml:space="preserve"> </w:t>
      </w:r>
      <w:r w:rsidRPr="00846AAB">
        <w:rPr>
          <w:rFonts w:ascii="Verdana" w:hAnsi="Verdana" w:cs="Arial"/>
          <w:color w:val="000000" w:themeColor="text1"/>
          <w:sz w:val="12"/>
          <w:szCs w:val="12"/>
        </w:rPr>
        <w:t>CONSEJO DE ESTADO. Sala de Consulta y Servicio Civil. Concepto del 29 de abril de 1998. Rad. 1097. C.P. Augusto Trejos Jaramillo.</w:t>
      </w:r>
    </w:p>
  </w:footnote>
  <w:footnote w:id="15">
    <w:p w14:paraId="13CE4431" w14:textId="77777777" w:rsidR="00AB4A37" w:rsidRPr="00C009E6" w:rsidRDefault="00AB4A37" w:rsidP="00AB4A37">
      <w:pPr>
        <w:pStyle w:val="Textonotapie"/>
        <w:ind w:firstLine="708"/>
        <w:rPr>
          <w:lang w:val="es-ES"/>
        </w:rPr>
      </w:pPr>
      <w:r>
        <w:rPr>
          <w:rStyle w:val="Refdenotaalpie"/>
        </w:rPr>
        <w:footnoteRef/>
      </w:r>
      <w:r>
        <w:t xml:space="preserve"> </w:t>
      </w:r>
      <w:r w:rsidRPr="00846AAB">
        <w:rPr>
          <w:rFonts w:ascii="Verdana" w:hAnsi="Verdana"/>
          <w:sz w:val="12"/>
          <w:szCs w:val="12"/>
        </w:rPr>
        <w:t>Consejo de Estado. Sala de Consulta y Servicio Civil.</w:t>
      </w:r>
      <w:r w:rsidRPr="0065401D">
        <w:t xml:space="preserve"> </w:t>
      </w:r>
      <w:r w:rsidRPr="0065401D">
        <w:rPr>
          <w:rFonts w:ascii="Verdana" w:hAnsi="Verdana"/>
          <w:sz w:val="12"/>
          <w:szCs w:val="12"/>
        </w:rPr>
        <w:t>Consejero ponente: ÉDGAR GONZÁLEZ LÓPEZ</w:t>
      </w:r>
      <w:r>
        <w:rPr>
          <w:rFonts w:ascii="Verdana" w:hAnsi="Verdana"/>
          <w:sz w:val="12"/>
          <w:szCs w:val="12"/>
        </w:rPr>
        <w:t>, exp. 2414 del 23 de abril de 2019</w:t>
      </w:r>
    </w:p>
  </w:footnote>
  <w:footnote w:id="16">
    <w:p w14:paraId="6B1AC80A" w14:textId="77777777" w:rsidR="00AB4A37" w:rsidRPr="00846AAB" w:rsidRDefault="00AB4A37" w:rsidP="00AB4A37">
      <w:pPr>
        <w:pStyle w:val="Textonotapie"/>
        <w:spacing w:after="120"/>
        <w:ind w:firstLine="708"/>
        <w:rPr>
          <w:rFonts w:ascii="Verdana" w:hAnsi="Verdana"/>
          <w:sz w:val="12"/>
          <w:szCs w:val="12"/>
          <w:lang w:val="es-ES"/>
        </w:rPr>
      </w:pPr>
      <w:r w:rsidRPr="00846AAB">
        <w:rPr>
          <w:rStyle w:val="Refdenotaalpie"/>
          <w:rFonts w:ascii="Verdana" w:hAnsi="Verdana"/>
          <w:sz w:val="12"/>
          <w:szCs w:val="12"/>
        </w:rPr>
        <w:footnoteRef/>
      </w:r>
      <w:r w:rsidRPr="00846AAB">
        <w:rPr>
          <w:rFonts w:ascii="Verdana" w:hAnsi="Verdana"/>
          <w:sz w:val="12"/>
          <w:szCs w:val="12"/>
        </w:rPr>
        <w:t xml:space="preserve"> Consejo de Estado. Sala de Consulta y Servicio Civil. Conflicto de competencias administrativas. Decisión del 18 de julio de 2016. Rad: 2016-00065.</w:t>
      </w:r>
    </w:p>
  </w:footnote>
  <w:footnote w:id="17">
    <w:p w14:paraId="7D792955" w14:textId="77777777" w:rsidR="00AB4A37" w:rsidRPr="00846AAB" w:rsidRDefault="00AB4A37" w:rsidP="00AB4A37">
      <w:pPr>
        <w:pStyle w:val="Textonotapie"/>
        <w:spacing w:after="120"/>
        <w:ind w:firstLine="708"/>
        <w:rPr>
          <w:rFonts w:ascii="Verdana" w:hAnsi="Verdana"/>
          <w:sz w:val="12"/>
          <w:szCs w:val="12"/>
          <w:lang w:val="es-ES"/>
        </w:rPr>
      </w:pPr>
      <w:r w:rsidRPr="00846AAB">
        <w:rPr>
          <w:rStyle w:val="Refdenotaalpie"/>
          <w:rFonts w:ascii="Verdana" w:hAnsi="Verdana"/>
          <w:sz w:val="12"/>
          <w:szCs w:val="12"/>
        </w:rPr>
        <w:footnoteRef/>
      </w:r>
      <w:r w:rsidRPr="00846AAB">
        <w:rPr>
          <w:rFonts w:ascii="Verdana" w:hAnsi="Verdana"/>
          <w:sz w:val="12"/>
          <w:szCs w:val="12"/>
        </w:rPr>
        <w:t xml:space="preserve"> </w:t>
      </w:r>
      <w:r w:rsidRPr="00846AAB">
        <w:rPr>
          <w:rFonts w:ascii="Verdana" w:hAnsi="Verdana"/>
          <w:sz w:val="12"/>
          <w:szCs w:val="12"/>
          <w:lang w:val="es-ES"/>
        </w:rPr>
        <w:t xml:space="preserve">Federación Nacional de Concejos (FENACON) </w:t>
      </w:r>
      <w:hyperlink r:id="rId1" w:history="1">
        <w:r w:rsidRPr="00846AAB">
          <w:rPr>
            <w:rStyle w:val="Hipervnculo"/>
            <w:rFonts w:ascii="Verdana" w:hAnsi="Verdana"/>
            <w:sz w:val="12"/>
            <w:szCs w:val="12"/>
            <w:lang w:val="es-ES"/>
          </w:rPr>
          <w:t>https://fenacon.com.co/concejos/</w:t>
        </w:r>
      </w:hyperlink>
      <w:r w:rsidRPr="00846AAB">
        <w:rPr>
          <w:rFonts w:ascii="Verdana" w:hAnsi="Verdana"/>
          <w:sz w:val="12"/>
          <w:szCs w:val="12"/>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56B0" w14:textId="77777777" w:rsidR="004D51FB" w:rsidRDefault="00E76B9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4E398DF" wp14:editId="5A6CA2EA">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4B2C73F" wp14:editId="29928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92E7AEC" w14:textId="77777777" w:rsidR="004D51FB" w:rsidRDefault="004D51FB" w:rsidP="00A211EE">
    <w:pPr>
      <w:pStyle w:val="Encabezado"/>
      <w:jc w:val="center"/>
    </w:pPr>
  </w:p>
  <w:p w14:paraId="072E9989" w14:textId="77777777" w:rsidR="004D51FB" w:rsidRDefault="004D51FB">
    <w:pPr>
      <w:pStyle w:val="Encabezado"/>
    </w:pPr>
  </w:p>
  <w:p w14:paraId="21C4E288" w14:textId="77777777" w:rsidR="004D51FB" w:rsidRDefault="004D51FB" w:rsidP="00A211EE">
    <w:pPr>
      <w:spacing w:after="0"/>
      <w:rPr>
        <w:rFonts w:ascii="Verdana" w:hAnsi="Verdana"/>
        <w:b/>
        <w:bCs/>
        <w:sz w:val="24"/>
        <w:szCs w:val="24"/>
      </w:rPr>
    </w:pPr>
  </w:p>
  <w:p w14:paraId="19333301" w14:textId="77777777" w:rsidR="004D51FB" w:rsidRDefault="00E76B9E" w:rsidP="00A211EE">
    <w:pPr>
      <w:spacing w:after="0"/>
      <w:rPr>
        <w:rFonts w:ascii="Verdana" w:hAnsi="Verdana"/>
        <w:b/>
        <w:bCs/>
        <w:sz w:val="24"/>
        <w:szCs w:val="24"/>
      </w:rPr>
    </w:pPr>
    <w:r w:rsidRPr="00A211EE">
      <w:rPr>
        <w:rFonts w:ascii="Verdana" w:hAnsi="Verdana"/>
        <w:b/>
        <w:bCs/>
        <w:sz w:val="24"/>
        <w:szCs w:val="24"/>
      </w:rPr>
      <w:t>FORMATO PQRSD</w:t>
    </w:r>
  </w:p>
  <w:p w14:paraId="5C387EA9" w14:textId="77777777" w:rsidR="004D51FB" w:rsidRPr="00A211EE" w:rsidRDefault="004D51FB" w:rsidP="00A211EE">
    <w:pPr>
      <w:spacing w:after="0" w:line="120" w:lineRule="auto"/>
      <w:rPr>
        <w:rFonts w:ascii="Verdana" w:hAnsi="Verdana"/>
        <w:b/>
        <w:bCs/>
        <w:sz w:val="24"/>
        <w:szCs w:val="24"/>
      </w:rPr>
    </w:pPr>
  </w:p>
  <w:p w14:paraId="7E5FF64D" w14:textId="77777777" w:rsidR="004D51FB" w:rsidRDefault="004D51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2"/>
  </w:num>
  <w:num w:numId="3" w16cid:durableId="9911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8E"/>
    <w:rsid w:val="00141412"/>
    <w:rsid w:val="00143E6F"/>
    <w:rsid w:val="00191C3E"/>
    <w:rsid w:val="002005BE"/>
    <w:rsid w:val="002870A5"/>
    <w:rsid w:val="002A22E2"/>
    <w:rsid w:val="002D1123"/>
    <w:rsid w:val="0035194B"/>
    <w:rsid w:val="003A06E6"/>
    <w:rsid w:val="0043496D"/>
    <w:rsid w:val="004367B2"/>
    <w:rsid w:val="004D51FB"/>
    <w:rsid w:val="005A3685"/>
    <w:rsid w:val="006113E1"/>
    <w:rsid w:val="00711174"/>
    <w:rsid w:val="0073751F"/>
    <w:rsid w:val="007513AC"/>
    <w:rsid w:val="008B3572"/>
    <w:rsid w:val="008E7B0C"/>
    <w:rsid w:val="00A1188C"/>
    <w:rsid w:val="00A7643D"/>
    <w:rsid w:val="00AB4A37"/>
    <w:rsid w:val="00AF3924"/>
    <w:rsid w:val="00B92F35"/>
    <w:rsid w:val="00D81B8E"/>
    <w:rsid w:val="00DC1867"/>
    <w:rsid w:val="00E7049D"/>
    <w:rsid w:val="00E76B9E"/>
    <w:rsid w:val="00F712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090A"/>
  <w15:chartTrackingRefBased/>
  <w15:docId w15:val="{B086CA32-551D-7345-B4C4-CBC2267A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8E"/>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8E"/>
    <w:rPr>
      <w:kern w:val="0"/>
      <w:sz w:val="22"/>
      <w:szCs w:val="22"/>
      <w14:ligatures w14:val="none"/>
    </w:rPr>
  </w:style>
  <w:style w:type="paragraph" w:styleId="Piedepgina">
    <w:name w:val="footer"/>
    <w:basedOn w:val="Normal"/>
    <w:link w:val="PiedepginaCar"/>
    <w:uiPriority w:val="99"/>
    <w:unhideWhenUsed/>
    <w:rsid w:val="00D81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B8E"/>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81B8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81B8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81B8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81B8E"/>
    <w:rPr>
      <w:vertAlign w:val="superscript"/>
    </w:rPr>
  </w:style>
  <w:style w:type="character" w:customStyle="1" w:styleId="normaltextrun">
    <w:name w:val="normaltextrun"/>
    <w:basedOn w:val="Fuentedeprrafopredeter"/>
    <w:rsid w:val="00D81B8E"/>
  </w:style>
  <w:style w:type="table" w:styleId="Tablaconcuadrcula">
    <w:name w:val="Table Grid"/>
    <w:basedOn w:val="Tablanormal"/>
    <w:uiPriority w:val="39"/>
    <w:qFormat/>
    <w:rsid w:val="00D81B8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1B8E"/>
    <w:rPr>
      <w:color w:val="0000FF"/>
      <w:u w:val="single"/>
    </w:rPr>
  </w:style>
  <w:style w:type="paragraph" w:customStyle="1" w:styleId="Appelnotedebasde">
    <w:name w:val="Appel note de bas de..."/>
    <w:basedOn w:val="Normal"/>
    <w:link w:val="Refdenotaalpie"/>
    <w:uiPriority w:val="99"/>
    <w:rsid w:val="00D81B8E"/>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D81B8E"/>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81B8E"/>
    <w:rPr>
      <w:kern w:val="0"/>
      <w:sz w:val="22"/>
      <w:szCs w:val="22"/>
      <w14:ligatures w14:val="none"/>
    </w:rPr>
  </w:style>
  <w:style w:type="paragraph" w:styleId="Textoindependiente">
    <w:name w:val="Body Text"/>
    <w:basedOn w:val="Normal"/>
    <w:link w:val="TextoindependienteCar"/>
    <w:uiPriority w:val="99"/>
    <w:semiHidden/>
    <w:unhideWhenUsed/>
    <w:rsid w:val="00D81B8E"/>
    <w:pPr>
      <w:spacing w:after="120"/>
    </w:pPr>
  </w:style>
  <w:style w:type="character" w:customStyle="1" w:styleId="TextoindependienteCar">
    <w:name w:val="Texto independiente Car"/>
    <w:basedOn w:val="Fuentedeprrafopredeter"/>
    <w:link w:val="Textoindependiente"/>
    <w:uiPriority w:val="99"/>
    <w:semiHidden/>
    <w:rsid w:val="00D81B8E"/>
    <w:rPr>
      <w:kern w:val="0"/>
      <w:sz w:val="22"/>
      <w:szCs w:val="22"/>
      <w14:ligatures w14:val="none"/>
    </w:rPr>
  </w:style>
  <w:style w:type="character" w:customStyle="1" w:styleId="ui-provider">
    <w:name w:val="ui-provider"/>
    <w:basedOn w:val="Fuentedeprrafopredeter"/>
    <w:rsid w:val="00D81B8E"/>
  </w:style>
  <w:style w:type="character" w:styleId="Mencinsinresolver">
    <w:name w:val="Unresolved Mention"/>
    <w:basedOn w:val="Fuentedeprrafopredeter"/>
    <w:uiPriority w:val="99"/>
    <w:semiHidden/>
    <w:unhideWhenUsed/>
    <w:rsid w:val="00D81B8E"/>
    <w:rPr>
      <w:color w:val="605E5C"/>
      <w:shd w:val="clear" w:color="auto" w:fill="E1DFDD"/>
    </w:rPr>
  </w:style>
  <w:style w:type="character" w:styleId="Refdecomentario">
    <w:name w:val="annotation reference"/>
    <w:basedOn w:val="Fuentedeprrafopredeter"/>
    <w:uiPriority w:val="99"/>
    <w:semiHidden/>
    <w:unhideWhenUsed/>
    <w:rsid w:val="00E7049D"/>
    <w:rPr>
      <w:sz w:val="16"/>
      <w:szCs w:val="16"/>
    </w:rPr>
  </w:style>
  <w:style w:type="paragraph" w:styleId="Textocomentario">
    <w:name w:val="annotation text"/>
    <w:basedOn w:val="Normal"/>
    <w:link w:val="TextocomentarioCar"/>
    <w:uiPriority w:val="99"/>
    <w:unhideWhenUsed/>
    <w:rsid w:val="00E7049D"/>
    <w:pPr>
      <w:spacing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E704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www.colombiacompra.gov.co/sala-de-prensa/boletin-digital/boletin-de-relatoria-2024-i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lascobur@gmail.com" TargetMode="External"/><Relationship Id="rId5" Type="http://schemas.openxmlformats.org/officeDocument/2006/relationships/styles" Target="styles.xml"/><Relationship Id="rId15" Type="http://schemas.openxmlformats.org/officeDocument/2006/relationships/hyperlink" Target="https://relatoria.colombiacompra.gov.co/providencias-consejo-de-estado/"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codigo-general-disciplinari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enacon.com.co/concej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C25D1-B1B7-40F6-8278-88FA5823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7B9BA-39B3-4089-86B3-8FD7BE5E6AEA}">
  <ds:schemaRefs>
    <ds:schemaRef ds:uri="http://schemas.microsoft.com/office/2006/documentManagement/types"/>
    <ds:schemaRef ds:uri="9d85dbaf-23eb-4e57-a637-93dcacc8b1a1"/>
    <ds:schemaRef ds:uri="http://schemas.microsoft.com/office/infopath/2007/PartnerControls"/>
    <ds:schemaRef ds:uri="http://schemas.openxmlformats.org/package/2006/metadata/core-properties"/>
    <ds:schemaRef ds:uri="http://purl.org/dc/elements/1.1/"/>
    <ds:schemaRef ds:uri="http://purl.org/dc/terms/"/>
    <ds:schemaRef ds:uri="a6cb9e4b-f1d1-4245-83ec-6cad768d538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23422E-39D7-4C7A-8E03-DF87A46A9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4988</Words>
  <Characters>27435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2024-10-10T19:20:00Z</dcterms:created>
  <dcterms:modified xsi:type="dcterms:W3CDTF">2024-10-10T19:20:00Z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