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9ED8" w14:textId="77777777" w:rsidR="000923EA" w:rsidRDefault="000923EA" w:rsidP="00E245AB">
      <w:pPr>
        <w:spacing w:after="0"/>
        <w:rPr>
          <w:rFonts w:ascii="Verdana" w:hAnsi="Verdana"/>
        </w:rPr>
      </w:pPr>
      <w:bookmarkStart w:id="0" w:name="_Hlk143780582"/>
    </w:p>
    <w:p w14:paraId="1A6B6257" w14:textId="77777777" w:rsidR="000923EA" w:rsidRPr="000B7632" w:rsidRDefault="000923EA" w:rsidP="000923EA">
      <w:pPr>
        <w:spacing w:line="276" w:lineRule="auto"/>
        <w:jc w:val="both"/>
        <w:rPr>
          <w:rFonts w:ascii="Arial" w:eastAsia="Calibri" w:hAnsi="Arial" w:cs="Arial"/>
          <w:b/>
          <w:color w:val="000000" w:themeColor="text1"/>
          <w:lang w:val="es-ES_tradnl"/>
        </w:rPr>
      </w:pPr>
      <w:r w:rsidRPr="000B7632">
        <w:rPr>
          <w:rFonts w:ascii="Arial" w:eastAsia="Calibri" w:hAnsi="Arial" w:cs="Arial"/>
          <w:b/>
          <w:color w:val="000000" w:themeColor="text1"/>
          <w:lang w:val="es-ES_tradnl"/>
        </w:rPr>
        <w:t xml:space="preserve">LEY DE EMPRENDIMIENTO – Ley 2069 de 2020– Finalidad </w:t>
      </w:r>
    </w:p>
    <w:p w14:paraId="55F852B5" w14:textId="77777777" w:rsidR="000923EA" w:rsidRDefault="000923EA" w:rsidP="000923EA">
      <w:pPr>
        <w:spacing w:line="276" w:lineRule="auto"/>
        <w:jc w:val="both"/>
        <w:rPr>
          <w:rFonts w:ascii="Verdana" w:hAnsi="Verdana"/>
          <w:lang w:val="es-ES_tradnl"/>
        </w:rPr>
      </w:pPr>
    </w:p>
    <w:p w14:paraId="2C418545" w14:textId="77777777" w:rsidR="000923EA" w:rsidRDefault="000923EA" w:rsidP="000923EA">
      <w:pPr>
        <w:spacing w:line="276" w:lineRule="auto"/>
        <w:jc w:val="both"/>
        <w:rPr>
          <w:rFonts w:ascii="Arial" w:eastAsia="Calibri" w:hAnsi="Arial" w:cs="Arial"/>
          <w:sz w:val="20"/>
          <w:szCs w:val="20"/>
          <w:lang w:val="es-ES"/>
        </w:rPr>
      </w:pPr>
      <w:r w:rsidRPr="2A19B2CA">
        <w:rPr>
          <w:rFonts w:ascii="Arial" w:eastAsia="Calibri" w:hAnsi="Arial" w:cs="Arial"/>
          <w:sz w:val="20"/>
          <w:szCs w:val="20"/>
          <w:lang w:val="es-ES"/>
        </w:rPr>
        <w:t xml:space="preserve">El 31 de diciembre de 2020 se promulgó la Ley 2069, </w:t>
      </w:r>
      <w:r>
        <w:rPr>
          <w:rFonts w:ascii="Arial" w:eastAsia="Calibri" w:hAnsi="Arial" w:cs="Arial"/>
          <w:sz w:val="20"/>
          <w:szCs w:val="20"/>
          <w:lang w:val="es-ES"/>
        </w:rPr>
        <w:t>“</w:t>
      </w:r>
      <w:r w:rsidRPr="2A19B2CA">
        <w:rPr>
          <w:rFonts w:ascii="Arial" w:eastAsia="Calibri" w:hAnsi="Arial" w:cs="Arial"/>
          <w:sz w:val="20"/>
          <w:szCs w:val="20"/>
          <w:lang w:val="es-ES"/>
        </w:rPr>
        <w:t>Por medio de la cual se impulsa el emprendimiento en Colombia</w:t>
      </w:r>
      <w:r>
        <w:rPr>
          <w:rFonts w:ascii="Arial" w:eastAsia="Calibri" w:hAnsi="Arial" w:cs="Arial"/>
          <w:sz w:val="20"/>
          <w:szCs w:val="20"/>
          <w:lang w:val="es-ES"/>
        </w:rPr>
        <w:t>”</w:t>
      </w:r>
      <w:r w:rsidRPr="2A19B2CA">
        <w:rPr>
          <w:rFonts w:ascii="Arial" w:eastAsia="Calibri" w:hAnsi="Arial" w:cs="Arial"/>
          <w:sz w:val="20"/>
          <w:szCs w:val="20"/>
          <w:lang w:val="es-ES"/>
        </w:rPr>
        <w:t xml:space="preserve">. De acuerdo con el artículo 84, </w:t>
      </w:r>
      <w:r>
        <w:rPr>
          <w:rFonts w:ascii="Arial" w:eastAsia="Calibri" w:hAnsi="Arial" w:cs="Arial"/>
          <w:sz w:val="20"/>
          <w:szCs w:val="20"/>
          <w:lang w:val="es-ES"/>
        </w:rPr>
        <w:t>“</w:t>
      </w:r>
      <w:r w:rsidRPr="2A19B2CA">
        <w:rPr>
          <w:rFonts w:ascii="Arial" w:eastAsia="Calibri" w:hAnsi="Arial" w:cs="Arial"/>
          <w:sz w:val="20"/>
          <w:szCs w:val="20"/>
          <w:lang w:val="es-ES"/>
        </w:rPr>
        <w:t>La presente Ley rige a partir del momento de su promulgación […]</w:t>
      </w:r>
      <w:r>
        <w:rPr>
          <w:rFonts w:ascii="Arial" w:eastAsia="Calibri" w:hAnsi="Arial" w:cs="Arial"/>
          <w:sz w:val="20"/>
          <w:szCs w:val="20"/>
          <w:lang w:val="es-ES"/>
        </w:rPr>
        <w:t>”</w:t>
      </w:r>
      <w:r w:rsidRPr="2A19B2CA">
        <w:rPr>
          <w:rFonts w:ascii="Arial" w:eastAsia="Calibri" w:hAnsi="Arial" w:cs="Arial"/>
          <w:sz w:val="20"/>
          <w:szCs w:val="20"/>
          <w:lang w:val="es-ES"/>
        </w:rPr>
        <w:t xml:space="preserve">,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En cuanto a su contenido, es importante señalar que, como dispone el artículo 1, aquella </w:t>
      </w:r>
      <w:r>
        <w:rPr>
          <w:rFonts w:ascii="Arial" w:eastAsia="Calibri" w:hAnsi="Arial" w:cs="Arial"/>
          <w:sz w:val="20"/>
          <w:szCs w:val="20"/>
          <w:lang w:val="es-ES"/>
        </w:rPr>
        <w:t>“</w:t>
      </w:r>
      <w:r w:rsidRPr="2A19B2CA">
        <w:rPr>
          <w:rFonts w:ascii="Arial" w:eastAsia="Calibri" w:hAnsi="Arial" w:cs="Arial"/>
          <w:sz w:val="20"/>
          <w:szCs w:val="20"/>
          <w:lang w:val="es-ES"/>
        </w:rPr>
        <w:t>tiene por objeto establecer un marco regulatorio que propicie el emprendimiento y el crecimiento, consolidación y sostenibilidad de las empresas, con el fin de aumentar el bienestar social y generar equidad</w:t>
      </w:r>
      <w:r>
        <w:rPr>
          <w:rFonts w:ascii="Arial" w:eastAsia="Calibri" w:hAnsi="Arial" w:cs="Arial"/>
          <w:sz w:val="20"/>
          <w:szCs w:val="20"/>
          <w:lang w:val="es-ES"/>
        </w:rPr>
        <w:t>”</w:t>
      </w:r>
      <w:r w:rsidRPr="2A19B2CA">
        <w:rPr>
          <w:rFonts w:ascii="Arial" w:eastAsia="Calibri" w:hAnsi="Arial" w:cs="Arial"/>
          <w:sz w:val="20"/>
          <w:szCs w:val="20"/>
          <w:lang w:val="es-ES"/>
        </w:rPr>
        <w:t xml:space="preserve">. Esto, a partir de </w:t>
      </w:r>
      <w:r>
        <w:rPr>
          <w:rFonts w:ascii="Arial" w:eastAsia="Calibri" w:hAnsi="Arial" w:cs="Arial"/>
          <w:sz w:val="20"/>
          <w:szCs w:val="20"/>
          <w:lang w:val="es-ES"/>
        </w:rPr>
        <w:t>“</w:t>
      </w:r>
      <w:r w:rsidRPr="2A19B2CA">
        <w:rPr>
          <w:rFonts w:ascii="Arial" w:eastAsia="Calibri" w:hAnsi="Arial" w:cs="Arial"/>
          <w:sz w:val="20"/>
          <w:szCs w:val="20"/>
          <w:lang w:val="es-ES"/>
        </w:rPr>
        <w:t>[…] un enfoque regionalizado de acuerdo con las realidades socioeconómicas de cada región</w:t>
      </w:r>
      <w:r>
        <w:rPr>
          <w:rFonts w:ascii="Arial" w:eastAsia="Calibri" w:hAnsi="Arial" w:cs="Arial"/>
          <w:sz w:val="20"/>
          <w:szCs w:val="20"/>
          <w:lang w:val="es-ES"/>
        </w:rPr>
        <w:t>”</w:t>
      </w:r>
      <w:r w:rsidRPr="2A19B2CA">
        <w:rPr>
          <w:rFonts w:ascii="Arial" w:eastAsia="Calibri" w:hAnsi="Arial" w:cs="Arial"/>
          <w:sz w:val="20"/>
          <w:szCs w:val="20"/>
          <w:lang w:val="es-ES"/>
        </w:rPr>
        <w:t>.</w:t>
      </w:r>
    </w:p>
    <w:p w14:paraId="3D95107F" w14:textId="77777777" w:rsidR="000923EA" w:rsidRDefault="000923EA" w:rsidP="000923EA">
      <w:pPr>
        <w:spacing w:line="276" w:lineRule="auto"/>
        <w:jc w:val="both"/>
        <w:rPr>
          <w:rFonts w:ascii="Arial" w:eastAsia="Calibri" w:hAnsi="Arial" w:cs="Arial"/>
          <w:sz w:val="20"/>
          <w:szCs w:val="20"/>
          <w:lang w:val="es-ES"/>
        </w:rPr>
      </w:pPr>
    </w:p>
    <w:p w14:paraId="596FD000" w14:textId="77777777" w:rsidR="000923EA" w:rsidRPr="000B7632" w:rsidRDefault="000923EA" w:rsidP="000923EA">
      <w:pPr>
        <w:spacing w:line="276" w:lineRule="auto"/>
        <w:jc w:val="both"/>
        <w:rPr>
          <w:rFonts w:ascii="Arial" w:eastAsia="Calibri" w:hAnsi="Arial" w:cs="Arial"/>
          <w:b/>
          <w:color w:val="000000" w:themeColor="text1"/>
          <w:lang w:val="es-ES_tradnl"/>
        </w:rPr>
      </w:pPr>
      <w:r w:rsidRPr="000B7632">
        <w:rPr>
          <w:rFonts w:ascii="Arial" w:eastAsia="Calibri" w:hAnsi="Arial" w:cs="Arial"/>
          <w:b/>
          <w:color w:val="000000" w:themeColor="text1"/>
          <w:lang w:val="es-ES_tradnl"/>
        </w:rPr>
        <w:t>LEY DE EMPRENDIMIENTO – Ley 2069 de 2020 – Artículo 32 – Criterios diferenciales – Emprendimientos de mujeres – Empresas de mujeres – Necesidad de reglamentación – Decreto 1860 de 2021</w:t>
      </w:r>
    </w:p>
    <w:p w14:paraId="318B6B1D" w14:textId="77777777" w:rsidR="000923EA" w:rsidRPr="00ED7E96" w:rsidRDefault="000923EA" w:rsidP="000923EA">
      <w:pPr>
        <w:spacing w:line="276" w:lineRule="auto"/>
        <w:jc w:val="both"/>
        <w:rPr>
          <w:rFonts w:ascii="Arial" w:eastAsia="Calibri" w:hAnsi="Arial" w:cs="Arial"/>
          <w:bCs/>
          <w:color w:val="000000"/>
          <w:sz w:val="20"/>
          <w:szCs w:val="20"/>
          <w:lang w:val="es-ES_tradnl"/>
        </w:rPr>
      </w:pPr>
    </w:p>
    <w:p w14:paraId="4C990C94" w14:textId="77777777" w:rsidR="000923EA" w:rsidRPr="00ED7E96" w:rsidRDefault="000923EA" w:rsidP="000923EA">
      <w:pPr>
        <w:spacing w:line="276" w:lineRule="auto"/>
        <w:jc w:val="both"/>
        <w:rPr>
          <w:rFonts w:ascii="Arial" w:eastAsia="Calibri" w:hAnsi="Arial" w:cs="Arial"/>
          <w:bCs/>
          <w:color w:val="000000"/>
          <w:sz w:val="20"/>
          <w:szCs w:val="20"/>
          <w:lang w:val="es-ES_tradnl"/>
        </w:rPr>
      </w:pPr>
      <w:r w:rsidRPr="00ED7E96">
        <w:rPr>
          <w:rFonts w:ascii="Arial" w:eastAsia="Calibri" w:hAnsi="Arial" w:cs="Arial"/>
          <w:bCs/>
          <w:color w:val="000000"/>
          <w:sz w:val="20"/>
          <w:szCs w:val="20"/>
          <w:lang w:val="es-ES_tradnl"/>
        </w:rPr>
        <w:t xml:space="preserve">Conforme se viene explicando, el artículo 32 de la Ley 2069 de 2021 introduce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 </w:t>
      </w:r>
    </w:p>
    <w:p w14:paraId="268469D3" w14:textId="77777777" w:rsidR="000923EA" w:rsidRDefault="000923EA" w:rsidP="000923EA">
      <w:pPr>
        <w:spacing w:line="276" w:lineRule="auto"/>
        <w:jc w:val="both"/>
        <w:rPr>
          <w:rFonts w:ascii="Arial" w:eastAsia="Calibri" w:hAnsi="Arial" w:cs="Arial"/>
          <w:bCs/>
          <w:color w:val="000000"/>
          <w:sz w:val="20"/>
          <w:szCs w:val="20"/>
          <w:lang w:val="es-ES_tradnl"/>
        </w:rPr>
      </w:pPr>
      <w:r w:rsidRPr="00ED7E96">
        <w:rPr>
          <w:rFonts w:ascii="Arial" w:eastAsia="Calibri" w:hAnsi="Arial" w:cs="Arial"/>
          <w:bCs/>
          <w:color w:val="000000"/>
          <w:sz w:val="20"/>
          <w:szCs w:val="20"/>
          <w:lang w:val="es-ES_tradnl"/>
        </w:rPr>
        <w:t>En desarrollo de lo dispuesto en el parágrafo del artículo 32 de la Ley 2069 de 2020, el Decreto 1860 de 2021 adicionó el artículo 2.2.1.2.4.2.14 al Decreto 1082 de 2015. Esta norma establece las condiciones y requisitos en atención a los cuales se definen los requisitos de las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 siendo relevante para la consulta el segundo de dichos numerales</w:t>
      </w:r>
      <w:r>
        <w:rPr>
          <w:rFonts w:ascii="Arial" w:eastAsia="Calibri" w:hAnsi="Arial" w:cs="Arial"/>
          <w:bCs/>
          <w:color w:val="000000"/>
          <w:sz w:val="20"/>
          <w:szCs w:val="20"/>
          <w:lang w:val="es-ES_tradnl"/>
        </w:rPr>
        <w:t>.</w:t>
      </w:r>
    </w:p>
    <w:p w14:paraId="40DC983F" w14:textId="77777777" w:rsidR="000923EA" w:rsidRDefault="000923EA" w:rsidP="000923EA">
      <w:pPr>
        <w:spacing w:line="276" w:lineRule="auto"/>
        <w:jc w:val="both"/>
        <w:rPr>
          <w:rFonts w:ascii="Arial" w:eastAsia="Calibri" w:hAnsi="Arial" w:cs="Arial"/>
          <w:bCs/>
          <w:color w:val="000000"/>
          <w:sz w:val="20"/>
          <w:szCs w:val="20"/>
          <w:lang w:val="es-ES_tradnl"/>
        </w:rPr>
      </w:pPr>
    </w:p>
    <w:p w14:paraId="69C9857F" w14:textId="77777777" w:rsidR="000923EA" w:rsidRDefault="000923EA" w:rsidP="000923EA">
      <w:pPr>
        <w:spacing w:line="276" w:lineRule="auto"/>
        <w:jc w:val="both"/>
        <w:rPr>
          <w:rFonts w:ascii="Arial" w:eastAsia="Calibri" w:hAnsi="Arial" w:cs="Arial"/>
          <w:b/>
          <w:color w:val="000000" w:themeColor="text1"/>
          <w:lang w:val="es-ES_tradnl"/>
        </w:rPr>
      </w:pPr>
      <w:r w:rsidRPr="000B7632">
        <w:rPr>
          <w:rFonts w:ascii="Arial" w:eastAsia="Calibri" w:hAnsi="Arial" w:cs="Arial"/>
          <w:b/>
          <w:color w:val="000000" w:themeColor="text1"/>
          <w:lang w:val="es-ES_tradnl"/>
        </w:rPr>
        <w:t>DECRETO 1860 DE 2021 – Vigencia</w:t>
      </w:r>
    </w:p>
    <w:p w14:paraId="73134674" w14:textId="77777777" w:rsidR="000923EA" w:rsidRDefault="000923EA" w:rsidP="000923EA">
      <w:pPr>
        <w:spacing w:line="276" w:lineRule="auto"/>
        <w:jc w:val="both"/>
        <w:rPr>
          <w:rFonts w:ascii="Arial" w:eastAsia="Calibri" w:hAnsi="Arial" w:cs="Arial"/>
          <w:b/>
          <w:color w:val="000000" w:themeColor="text1"/>
          <w:lang w:val="es-ES_tradnl"/>
        </w:rPr>
      </w:pPr>
    </w:p>
    <w:p w14:paraId="696B50E1" w14:textId="20773278" w:rsidR="000923EA" w:rsidRDefault="000923EA" w:rsidP="000923EA">
      <w:pPr>
        <w:spacing w:line="276" w:lineRule="auto"/>
        <w:jc w:val="both"/>
        <w:rPr>
          <w:rFonts w:ascii="Arial" w:eastAsia="Calibri" w:hAnsi="Arial" w:cs="Arial"/>
          <w:sz w:val="20"/>
          <w:szCs w:val="20"/>
          <w:lang w:val="es-ES"/>
        </w:rPr>
      </w:pPr>
      <w:r w:rsidRPr="00564F5A">
        <w:rPr>
          <w:rFonts w:ascii="Arial" w:eastAsia="Calibri" w:hAnsi="Arial" w:cs="Arial"/>
          <w:bCs/>
          <w:color w:val="000000" w:themeColor="text1"/>
          <w:lang w:val="es-ES_tradnl"/>
        </w:rPr>
        <w:t xml:space="preserve">[…] </w:t>
      </w:r>
      <w:r w:rsidRPr="00564F5A">
        <w:rPr>
          <w:rFonts w:ascii="Arial" w:eastAsia="Calibri" w:hAnsi="Arial" w:cs="Arial"/>
          <w:bCs/>
          <w:color w:val="000000" w:themeColor="text1"/>
          <w:sz w:val="21"/>
          <w:szCs w:val="21"/>
          <w:lang w:val="es-ES_tradnl"/>
        </w:rPr>
        <w:t xml:space="preserve">la vigencia del Decreto 1860 de 2021 está regida por lo establecido en su artículo 8, el cual señala que </w:t>
      </w:r>
      <w:r>
        <w:rPr>
          <w:rFonts w:ascii="Arial" w:eastAsia="Calibri" w:hAnsi="Arial" w:cs="Arial"/>
          <w:bCs/>
          <w:color w:val="000000" w:themeColor="text1"/>
          <w:sz w:val="21"/>
          <w:szCs w:val="21"/>
          <w:lang w:val="es-ES_tradnl"/>
        </w:rPr>
        <w:t>“</w:t>
      </w:r>
      <w:r w:rsidRPr="00564F5A">
        <w:rPr>
          <w:rFonts w:ascii="Arial" w:eastAsia="Calibri" w:hAnsi="Arial" w:cs="Arial"/>
          <w:bCs/>
          <w:color w:val="000000" w:themeColor="text1"/>
          <w:sz w:val="21"/>
          <w:szCs w:val="21"/>
          <w:lang w:val="es-ES_tradnl"/>
        </w:rPr>
        <w:t xml:space="preserve">Las disposiciones contenidas en el presente Decreto se aplicarán a los </w:t>
      </w:r>
      <w:r w:rsidRPr="00564F5A">
        <w:rPr>
          <w:rFonts w:ascii="Arial" w:eastAsia="Calibri" w:hAnsi="Arial" w:cs="Arial"/>
          <w:bCs/>
          <w:color w:val="000000" w:themeColor="text1"/>
          <w:sz w:val="21"/>
          <w:szCs w:val="21"/>
          <w:lang w:val="es-ES_tradnl"/>
        </w:rPr>
        <w:lastRenderedPageBreak/>
        <w:t>procedimientos de selección cuya invitación, aviso de convocatoria o documento equivalente se publique a los tres (3) meses contados a partir de su expedición</w:t>
      </w:r>
      <w:r>
        <w:rPr>
          <w:rFonts w:ascii="Arial" w:eastAsia="Calibri" w:hAnsi="Arial" w:cs="Arial"/>
          <w:bCs/>
          <w:color w:val="000000" w:themeColor="text1"/>
          <w:sz w:val="21"/>
          <w:szCs w:val="21"/>
          <w:lang w:val="es-ES_tradnl"/>
        </w:rPr>
        <w:t>”</w:t>
      </w:r>
      <w:r w:rsidRPr="00564F5A">
        <w:rPr>
          <w:rFonts w:ascii="Arial" w:eastAsia="Calibri" w:hAnsi="Arial" w:cs="Arial"/>
          <w:bCs/>
          <w:color w:val="000000" w:themeColor="text1"/>
          <w:sz w:val="21"/>
          <w:szCs w:val="21"/>
          <w:lang w:val="es-ES_tradnl"/>
        </w:rPr>
        <w:t>.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w:t>
      </w:r>
      <w:r w:rsidRPr="2A19B2CA">
        <w:rPr>
          <w:rFonts w:ascii="Arial" w:eastAsia="Calibri" w:hAnsi="Arial" w:cs="Arial"/>
          <w:sz w:val="20"/>
          <w:szCs w:val="20"/>
          <w:lang w:val="es-ES"/>
        </w:rPr>
        <w:t xml:space="preserve"> </w:t>
      </w:r>
    </w:p>
    <w:p w14:paraId="550AC697" w14:textId="77777777" w:rsidR="000923EA" w:rsidRDefault="000923EA" w:rsidP="000923EA">
      <w:pPr>
        <w:spacing w:line="276" w:lineRule="auto"/>
        <w:jc w:val="both"/>
        <w:rPr>
          <w:rFonts w:ascii="Arial" w:eastAsia="Calibri" w:hAnsi="Arial" w:cs="Arial"/>
          <w:sz w:val="20"/>
          <w:szCs w:val="20"/>
          <w:lang w:val="es-ES_tradnl"/>
        </w:rPr>
      </w:pPr>
    </w:p>
    <w:p w14:paraId="07AA6CD3" w14:textId="03173A31" w:rsidR="000923EA" w:rsidRDefault="000923EA">
      <w:pPr>
        <w:rPr>
          <w:rFonts w:ascii="Verdana" w:hAnsi="Verdana"/>
        </w:rPr>
      </w:pPr>
      <w:r>
        <w:rPr>
          <w:rFonts w:ascii="Verdana" w:hAnsi="Verdana"/>
        </w:rPr>
        <w:br w:type="page"/>
      </w:r>
    </w:p>
    <w:p w14:paraId="3FE2184B" w14:textId="684DB1C9" w:rsidR="00E245AB" w:rsidRPr="001D0D1B" w:rsidRDefault="00F21E84" w:rsidP="00E245AB">
      <w:pPr>
        <w:spacing w:after="0"/>
        <w:rPr>
          <w:rFonts w:ascii="Verdana" w:hAnsi="Verdana"/>
        </w:rPr>
      </w:pPr>
      <w:r w:rsidRPr="001D0D1B">
        <w:rPr>
          <w:rFonts w:ascii="Verdana" w:hAnsi="Verdana"/>
        </w:rPr>
        <w:lastRenderedPageBreak/>
        <w:t>B</w:t>
      </w:r>
      <w:r w:rsidR="00E245AB" w:rsidRPr="001D0D1B">
        <w:rPr>
          <w:rFonts w:ascii="Verdana" w:hAnsi="Verdana"/>
        </w:rPr>
        <w:t xml:space="preserve">ogotá D.C., </w:t>
      </w:r>
      <w:r w:rsidR="00891928" w:rsidRPr="001D0D1B">
        <w:rPr>
          <w:rFonts w:ascii="Verdana" w:hAnsi="Verdana"/>
        </w:rPr>
        <w:t>[Día] [Mes</w:t>
      </w:r>
      <w:r w:rsidR="00E413EA" w:rsidRPr="001D0D1B">
        <w:rPr>
          <w:rFonts w:ascii="Verdana" w:hAnsi="Verdana"/>
        </w:rPr>
        <w:t>.</w:t>
      </w:r>
      <w:r w:rsidR="00891928" w:rsidRPr="001D0D1B">
        <w:rPr>
          <w:rFonts w:ascii="Verdana" w:hAnsi="Verdana"/>
        </w:rPr>
        <w:t>NombreCapitalizado] [Año]</w:t>
      </w:r>
      <w:r w:rsidR="00891928" w:rsidRPr="001D0D1B">
        <w:rPr>
          <w:rFonts w:ascii="Verdana" w:hAnsi="Verdana"/>
        </w:rPr>
        <w:tab/>
      </w:r>
    </w:p>
    <w:p w14:paraId="5FCADBF9" w14:textId="22AC061C" w:rsidR="00E245AB" w:rsidRDefault="000923EA" w:rsidP="00E245AB">
      <w:pPr>
        <w:spacing w:after="0"/>
        <w:rPr>
          <w:rFonts w:ascii="Verdana" w:hAnsi="Verdana"/>
        </w:rPr>
      </w:pPr>
      <w:r w:rsidRPr="000923EA">
        <w:rPr>
          <w:rFonts w:ascii="Verdana" w:hAnsi="Verdana"/>
          <w:noProof/>
        </w:rPr>
        <w:drawing>
          <wp:anchor distT="0" distB="0" distL="114300" distR="114300" simplePos="0" relativeHeight="251658240" behindDoc="1" locked="0" layoutInCell="1" allowOverlap="1" wp14:anchorId="4B7EDC57" wp14:editId="743F83AD">
            <wp:simplePos x="0" y="0"/>
            <wp:positionH relativeFrom="page">
              <wp:posOffset>4015105</wp:posOffset>
            </wp:positionH>
            <wp:positionV relativeFrom="paragraph">
              <wp:posOffset>178435</wp:posOffset>
            </wp:positionV>
            <wp:extent cx="3577590" cy="1083310"/>
            <wp:effectExtent l="0" t="0" r="3810" b="2540"/>
            <wp:wrapTight wrapText="bothSides">
              <wp:wrapPolygon edited="0">
                <wp:start x="0" y="0"/>
                <wp:lineTo x="0" y="21271"/>
                <wp:lineTo x="21508" y="21271"/>
                <wp:lineTo x="21508" y="0"/>
                <wp:lineTo x="0" y="0"/>
              </wp:wrapPolygon>
            </wp:wrapTight>
            <wp:docPr id="7413083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7590"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BBB4F" w14:textId="517C282D" w:rsidR="000923EA" w:rsidRDefault="000923EA" w:rsidP="00E245AB">
      <w:pPr>
        <w:spacing w:after="0"/>
        <w:rPr>
          <w:rFonts w:ascii="Verdana" w:hAnsi="Verdana"/>
        </w:rPr>
      </w:pPr>
      <w:r>
        <w:rPr>
          <w:rFonts w:ascii="Verdana" w:hAnsi="Verdana"/>
        </w:rPr>
        <w:t xml:space="preserve">                                                                          </w:t>
      </w:r>
    </w:p>
    <w:p w14:paraId="19077B5D" w14:textId="3EA3882D" w:rsidR="000923EA" w:rsidRPr="0044528D" w:rsidRDefault="000923EA" w:rsidP="00E245AB">
      <w:pPr>
        <w:spacing w:after="0"/>
        <w:rPr>
          <w:rFonts w:ascii="Verdana" w:hAnsi="Verdana"/>
        </w:rPr>
      </w:pPr>
      <w:r>
        <w:rPr>
          <w:rFonts w:ascii="Verdana" w:hAnsi="Verdana"/>
        </w:rPr>
        <w:t xml:space="preserve">                                               </w:t>
      </w:r>
    </w:p>
    <w:bookmarkEnd w:id="0"/>
    <w:p w14:paraId="507BD82D" w14:textId="77777777" w:rsidR="00233B87" w:rsidRDefault="00233B87" w:rsidP="00665D70">
      <w:pPr>
        <w:spacing w:after="0"/>
        <w:jc w:val="both"/>
        <w:rPr>
          <w:rFonts w:ascii="Verdana" w:hAnsi="Verdana"/>
        </w:rPr>
      </w:pPr>
    </w:p>
    <w:p w14:paraId="22BBA47F" w14:textId="77777777" w:rsidR="00233B87" w:rsidRDefault="00233B87" w:rsidP="00665D70">
      <w:pPr>
        <w:spacing w:after="0"/>
        <w:jc w:val="both"/>
        <w:rPr>
          <w:rFonts w:ascii="Verdana" w:hAnsi="Verdana"/>
        </w:rPr>
      </w:pPr>
    </w:p>
    <w:p w14:paraId="59B77373" w14:textId="77777777" w:rsidR="00233B87" w:rsidRDefault="00233B87" w:rsidP="00665D70">
      <w:pPr>
        <w:spacing w:after="0"/>
        <w:jc w:val="both"/>
        <w:rPr>
          <w:rFonts w:ascii="Verdana" w:hAnsi="Verdana"/>
        </w:rPr>
      </w:pPr>
    </w:p>
    <w:p w14:paraId="1B9EB9DF" w14:textId="77777777" w:rsidR="00233B87" w:rsidRDefault="00233B87" w:rsidP="00665D70">
      <w:pPr>
        <w:spacing w:after="0"/>
        <w:jc w:val="both"/>
        <w:rPr>
          <w:rFonts w:ascii="Verdana" w:hAnsi="Verdana"/>
        </w:rPr>
      </w:pPr>
    </w:p>
    <w:p w14:paraId="3C938586" w14:textId="77777777" w:rsidR="00233B87" w:rsidRDefault="00233B87" w:rsidP="00665D70">
      <w:pPr>
        <w:spacing w:after="0"/>
        <w:jc w:val="both"/>
        <w:rPr>
          <w:rFonts w:ascii="Verdana" w:hAnsi="Verdana"/>
        </w:rPr>
      </w:pPr>
    </w:p>
    <w:p w14:paraId="7F2C00B4" w14:textId="334D6E76" w:rsidR="000923EA" w:rsidRPr="005D6331" w:rsidRDefault="00F768EB" w:rsidP="00665D70">
      <w:pPr>
        <w:spacing w:after="0"/>
        <w:jc w:val="both"/>
        <w:rPr>
          <w:rFonts w:ascii="Verdana" w:hAnsi="Verdana"/>
        </w:rPr>
      </w:pPr>
      <w:r w:rsidRPr="005D6331">
        <w:rPr>
          <w:rFonts w:ascii="Verdana" w:hAnsi="Verdana"/>
        </w:rPr>
        <w:t xml:space="preserve">Señor </w:t>
      </w:r>
      <w:r w:rsidR="000923EA">
        <w:rPr>
          <w:rFonts w:ascii="Verdana" w:hAnsi="Verdana"/>
        </w:rPr>
        <w:t xml:space="preserve">                                   </w:t>
      </w:r>
    </w:p>
    <w:p w14:paraId="769DD985" w14:textId="036A71AF" w:rsidR="00F768EB" w:rsidRPr="00B37E9A" w:rsidRDefault="00E63034" w:rsidP="00665D70">
      <w:pPr>
        <w:spacing w:after="0"/>
        <w:jc w:val="both"/>
        <w:rPr>
          <w:rFonts w:ascii="Verdana" w:hAnsi="Verdana"/>
          <w:b/>
        </w:rPr>
      </w:pPr>
      <w:r w:rsidRPr="00B37E9A">
        <w:rPr>
          <w:rFonts w:ascii="Verdana" w:hAnsi="Verdana"/>
          <w:b/>
        </w:rPr>
        <w:t>Jader Yordano Vidal López</w:t>
      </w:r>
    </w:p>
    <w:p w14:paraId="509D4AB3" w14:textId="17900B63" w:rsidR="00E63034" w:rsidRPr="005D6331" w:rsidRDefault="00233B87" w:rsidP="00665D70">
      <w:pPr>
        <w:spacing w:after="0"/>
        <w:jc w:val="both"/>
        <w:rPr>
          <w:rFonts w:ascii="Verdana" w:hAnsi="Verdana"/>
        </w:rPr>
      </w:pPr>
      <w:hyperlink r:id="rId12" w:history="1">
        <w:r w:rsidR="00F978FE" w:rsidRPr="005D6331">
          <w:rPr>
            <w:rStyle w:val="Hipervnculo"/>
            <w:rFonts w:ascii="Verdana" w:hAnsi="Verdana"/>
          </w:rPr>
          <w:t>veedornacional759@gmail.com</w:t>
        </w:r>
      </w:hyperlink>
      <w:r w:rsidR="00F978FE" w:rsidRPr="005D6331">
        <w:rPr>
          <w:rFonts w:ascii="Verdana" w:hAnsi="Verdana"/>
        </w:rPr>
        <w:t xml:space="preserve"> </w:t>
      </w:r>
    </w:p>
    <w:p w14:paraId="16F6A7B4" w14:textId="71B86D98" w:rsidR="00F978FE" w:rsidRPr="005D6331" w:rsidRDefault="006338AE" w:rsidP="00665D70">
      <w:pPr>
        <w:spacing w:after="0"/>
        <w:jc w:val="both"/>
        <w:rPr>
          <w:rFonts w:ascii="Verdana" w:hAnsi="Verdana"/>
        </w:rPr>
      </w:pPr>
      <w:r w:rsidRPr="005D6331">
        <w:rPr>
          <w:rFonts w:ascii="Verdana" w:hAnsi="Verdana"/>
        </w:rPr>
        <w:t>Barrancabermeja, Santander</w:t>
      </w:r>
    </w:p>
    <w:p w14:paraId="0AA80FAC" w14:textId="77777777" w:rsidR="006338AE" w:rsidRDefault="006338AE" w:rsidP="00665D70">
      <w:pPr>
        <w:spacing w:after="0"/>
        <w:jc w:val="both"/>
        <w:rPr>
          <w:rFonts w:ascii="Century Gothic" w:hAnsi="Century Gothic"/>
        </w:rPr>
      </w:pPr>
    </w:p>
    <w:tbl>
      <w:tblPr>
        <w:tblStyle w:val="Tablaconcuadrcula"/>
        <w:tblW w:w="9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99"/>
        <w:gridCol w:w="520"/>
      </w:tblGrid>
      <w:tr w:rsidR="005B5F14" w:rsidRPr="00413568" w14:paraId="48FCEBFA" w14:textId="77777777" w:rsidTr="004F695E">
        <w:trPr>
          <w:trHeight w:val="3572"/>
        </w:trPr>
        <w:tc>
          <w:tcPr>
            <w:tcW w:w="8799" w:type="dxa"/>
          </w:tcPr>
          <w:p w14:paraId="64472BE1" w14:textId="77777777" w:rsidR="005B5F14" w:rsidRPr="00413568" w:rsidRDefault="005B5F14" w:rsidP="008D09E6">
            <w:pPr>
              <w:jc w:val="both"/>
              <w:rPr>
                <w:rFonts w:ascii="Verdana" w:eastAsia="Calibri" w:hAnsi="Verdana" w:cs="Arial"/>
                <w:lang w:val="es-ES_tradnl" w:eastAsia="es-ES_tradnl"/>
              </w:rPr>
            </w:pPr>
            <w:r w:rsidRPr="00413568">
              <w:rPr>
                <w:rFonts w:ascii="Verdana" w:eastAsia="Calibri" w:hAnsi="Verdana" w:cs="Arial"/>
                <w:b/>
                <w:lang w:val="es-ES_tradnl" w:eastAsia="es-ES_tradnl"/>
              </w:rPr>
              <w:t xml:space="preserve">                         </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95"/>
              <w:gridCol w:w="6394"/>
            </w:tblGrid>
            <w:tr w:rsidR="005B5F14" w:rsidRPr="00413568" w14:paraId="01FDCFC7" w14:textId="77777777" w:rsidTr="004F695E">
              <w:trPr>
                <w:trHeight w:val="458"/>
              </w:trPr>
              <w:tc>
                <w:tcPr>
                  <w:tcW w:w="2395" w:type="dxa"/>
                </w:tcPr>
                <w:p w14:paraId="196B44A9" w14:textId="77777777" w:rsidR="005B5F14" w:rsidRPr="00413568" w:rsidRDefault="005B5F14" w:rsidP="008D09E6">
                  <w:pPr>
                    <w:jc w:val="both"/>
                    <w:rPr>
                      <w:rFonts w:ascii="Verdana" w:eastAsia="Calibri" w:hAnsi="Verdana" w:cs="Arial"/>
                      <w:b/>
                      <w:bCs/>
                      <w:lang w:val="es-ES_tradnl" w:eastAsia="es-ES_tradnl"/>
                    </w:rPr>
                  </w:pPr>
                </w:p>
              </w:tc>
              <w:tc>
                <w:tcPr>
                  <w:tcW w:w="6394" w:type="dxa"/>
                </w:tcPr>
                <w:p w14:paraId="4335CCC7" w14:textId="7634ED79" w:rsidR="005B5F14" w:rsidRPr="00413568" w:rsidRDefault="005B5F14" w:rsidP="008D09E6">
                  <w:pPr>
                    <w:jc w:val="both"/>
                    <w:rPr>
                      <w:rFonts w:ascii="Verdana" w:eastAsia="Calibri" w:hAnsi="Verdana" w:cs="Arial"/>
                      <w:b/>
                      <w:bCs/>
                      <w:lang w:val="es-ES" w:eastAsia="es-ES"/>
                    </w:rPr>
                  </w:pPr>
                  <w:r w:rsidRPr="00413568">
                    <w:rPr>
                      <w:rFonts w:ascii="Verdana" w:eastAsia="Calibri" w:hAnsi="Verdana" w:cs="Arial"/>
                      <w:b/>
                      <w:bCs/>
                      <w:lang w:val="es-ES" w:eastAsia="es-ES"/>
                    </w:rPr>
                    <w:t xml:space="preserve">Concepto C- </w:t>
                  </w:r>
                  <w:r w:rsidR="00272C8F">
                    <w:rPr>
                      <w:rFonts w:ascii="Verdana" w:eastAsia="Calibri" w:hAnsi="Verdana" w:cs="Arial"/>
                      <w:b/>
                      <w:bCs/>
                      <w:lang w:val="es-ES" w:eastAsia="es-ES"/>
                    </w:rPr>
                    <w:t>533 de 2024</w:t>
                  </w:r>
                </w:p>
              </w:tc>
            </w:tr>
            <w:tr w:rsidR="005B5F14" w:rsidRPr="00413568" w14:paraId="00EABFF3" w14:textId="77777777" w:rsidTr="004F695E">
              <w:trPr>
                <w:trHeight w:val="884"/>
              </w:trPr>
              <w:tc>
                <w:tcPr>
                  <w:tcW w:w="2395" w:type="dxa"/>
                </w:tcPr>
                <w:p w14:paraId="728034A5" w14:textId="77777777" w:rsidR="00CC7A52" w:rsidRDefault="005B5F14" w:rsidP="00CC7A52">
                  <w:pPr>
                    <w:tabs>
                      <w:tab w:val="left" w:pos="3768"/>
                    </w:tabs>
                    <w:spacing w:line="276" w:lineRule="auto"/>
                    <w:jc w:val="both"/>
                    <w:rPr>
                      <w:rFonts w:ascii="Verdana" w:eastAsia="Calibri" w:hAnsi="Verdana" w:cs="Arial"/>
                      <w:lang w:val="es-ES_tradnl" w:eastAsia="es-ES_tradnl"/>
                    </w:rPr>
                  </w:pPr>
                  <w:r w:rsidRPr="00413568">
                    <w:rPr>
                      <w:rFonts w:ascii="Verdana" w:eastAsia="Calibri" w:hAnsi="Verdana" w:cs="Arial"/>
                      <w:b/>
                      <w:lang w:val="es-ES_tradnl" w:eastAsia="es-ES_tradnl"/>
                    </w:rPr>
                    <w:t>Temas:</w:t>
                  </w:r>
                  <w:r w:rsidRPr="00413568">
                    <w:rPr>
                      <w:rFonts w:ascii="Verdana" w:eastAsia="Calibri" w:hAnsi="Verdana" w:cs="Arial"/>
                      <w:lang w:val="es-ES_tradnl" w:eastAsia="es-ES_tradnl"/>
                    </w:rPr>
                    <w:t xml:space="preserve">                </w:t>
                  </w:r>
                </w:p>
                <w:p w14:paraId="0A388F27" w14:textId="77777777" w:rsidR="00CC7A52" w:rsidRDefault="00CC7A52" w:rsidP="00CC7A52">
                  <w:pPr>
                    <w:tabs>
                      <w:tab w:val="left" w:pos="3768"/>
                    </w:tabs>
                    <w:spacing w:line="276" w:lineRule="auto"/>
                    <w:jc w:val="both"/>
                    <w:rPr>
                      <w:rFonts w:ascii="Verdana" w:eastAsia="Calibri" w:hAnsi="Verdana" w:cs="Arial"/>
                      <w:b/>
                      <w:lang w:val="es-ES_tradnl" w:eastAsia="es-ES_tradnl"/>
                    </w:rPr>
                  </w:pPr>
                </w:p>
                <w:p w14:paraId="77C03602" w14:textId="77777777" w:rsidR="00CC7A52" w:rsidRDefault="00CC7A52" w:rsidP="00CC7A52">
                  <w:pPr>
                    <w:tabs>
                      <w:tab w:val="left" w:pos="3768"/>
                    </w:tabs>
                    <w:spacing w:line="276" w:lineRule="auto"/>
                    <w:jc w:val="both"/>
                    <w:rPr>
                      <w:rFonts w:ascii="Verdana" w:eastAsia="Calibri" w:hAnsi="Verdana" w:cs="Arial"/>
                      <w:b/>
                      <w:lang w:val="es-ES_tradnl" w:eastAsia="es-ES_tradnl"/>
                    </w:rPr>
                  </w:pPr>
                </w:p>
                <w:p w14:paraId="74490618" w14:textId="77777777" w:rsidR="00CC7A52" w:rsidRDefault="00CC7A52" w:rsidP="00CC7A52">
                  <w:pPr>
                    <w:tabs>
                      <w:tab w:val="left" w:pos="3768"/>
                    </w:tabs>
                    <w:spacing w:line="276" w:lineRule="auto"/>
                    <w:jc w:val="both"/>
                    <w:rPr>
                      <w:rFonts w:ascii="Verdana" w:eastAsia="Calibri" w:hAnsi="Verdana" w:cs="Arial"/>
                      <w:b/>
                      <w:lang w:val="es-ES_tradnl" w:eastAsia="es-ES_tradnl"/>
                    </w:rPr>
                  </w:pPr>
                </w:p>
                <w:p w14:paraId="60B0138B" w14:textId="77777777" w:rsidR="00CC7A52" w:rsidRDefault="00CC7A52" w:rsidP="00CC7A52">
                  <w:pPr>
                    <w:tabs>
                      <w:tab w:val="left" w:pos="3768"/>
                    </w:tabs>
                    <w:spacing w:line="276" w:lineRule="auto"/>
                    <w:jc w:val="both"/>
                    <w:rPr>
                      <w:rFonts w:ascii="Verdana" w:eastAsia="Calibri" w:hAnsi="Verdana" w:cs="Arial"/>
                      <w:b/>
                      <w:lang w:val="es-ES_tradnl" w:eastAsia="es-ES_tradnl"/>
                    </w:rPr>
                  </w:pPr>
                </w:p>
                <w:p w14:paraId="5F1818D9" w14:textId="77777777" w:rsidR="00CC7A52" w:rsidRDefault="00CC7A52" w:rsidP="00CC7A52">
                  <w:pPr>
                    <w:tabs>
                      <w:tab w:val="left" w:pos="3768"/>
                    </w:tabs>
                    <w:spacing w:line="276" w:lineRule="auto"/>
                    <w:jc w:val="both"/>
                    <w:rPr>
                      <w:rFonts w:ascii="Verdana" w:eastAsia="Calibri" w:hAnsi="Verdana" w:cs="Arial"/>
                      <w:b/>
                      <w:lang w:val="es-ES_tradnl" w:eastAsia="es-ES_tradnl"/>
                    </w:rPr>
                  </w:pPr>
                </w:p>
                <w:p w14:paraId="0EA7A38B" w14:textId="77777777" w:rsidR="00CC7A52" w:rsidRDefault="00CC7A52" w:rsidP="00CC7A52">
                  <w:pPr>
                    <w:tabs>
                      <w:tab w:val="left" w:pos="3768"/>
                    </w:tabs>
                    <w:spacing w:line="276" w:lineRule="auto"/>
                    <w:jc w:val="both"/>
                    <w:rPr>
                      <w:rFonts w:ascii="Verdana" w:eastAsia="Calibri" w:hAnsi="Verdana" w:cs="Arial"/>
                      <w:b/>
                      <w:lang w:val="es-ES_tradnl" w:eastAsia="es-ES_tradnl"/>
                    </w:rPr>
                  </w:pPr>
                </w:p>
                <w:p w14:paraId="69EB7CC5" w14:textId="77777777" w:rsidR="00CC7A52" w:rsidRDefault="00CC7A52" w:rsidP="00CC7A52">
                  <w:pPr>
                    <w:tabs>
                      <w:tab w:val="left" w:pos="3768"/>
                    </w:tabs>
                    <w:spacing w:line="276" w:lineRule="auto"/>
                    <w:jc w:val="both"/>
                    <w:rPr>
                      <w:rFonts w:ascii="Verdana" w:eastAsia="Calibri" w:hAnsi="Verdana" w:cs="Arial"/>
                      <w:b/>
                      <w:lang w:val="es-ES_tradnl" w:eastAsia="es-ES_tradnl"/>
                    </w:rPr>
                  </w:pPr>
                </w:p>
                <w:p w14:paraId="19346414" w14:textId="77777777" w:rsidR="00CC7A52" w:rsidRDefault="00CC7A52" w:rsidP="00CC7A52">
                  <w:pPr>
                    <w:tabs>
                      <w:tab w:val="left" w:pos="3768"/>
                    </w:tabs>
                    <w:spacing w:line="276" w:lineRule="auto"/>
                    <w:jc w:val="both"/>
                    <w:rPr>
                      <w:rFonts w:ascii="Verdana" w:eastAsia="Calibri" w:hAnsi="Verdana" w:cs="Arial"/>
                      <w:b/>
                      <w:lang w:val="es-ES_tradnl" w:eastAsia="es-ES_tradnl"/>
                    </w:rPr>
                  </w:pPr>
                </w:p>
                <w:p w14:paraId="472EFF05" w14:textId="77777777" w:rsidR="00CC7A52" w:rsidRDefault="00CC7A52" w:rsidP="00CC7A52">
                  <w:pPr>
                    <w:tabs>
                      <w:tab w:val="left" w:pos="3768"/>
                    </w:tabs>
                    <w:spacing w:line="276" w:lineRule="auto"/>
                    <w:jc w:val="both"/>
                    <w:rPr>
                      <w:rFonts w:ascii="Verdana" w:eastAsia="Calibri" w:hAnsi="Verdana" w:cs="Arial"/>
                      <w:b/>
                      <w:lang w:val="es-ES_tradnl" w:eastAsia="es-ES_tradnl"/>
                    </w:rPr>
                  </w:pPr>
                </w:p>
                <w:p w14:paraId="0118C4D6" w14:textId="67551C63" w:rsidR="005B5F14" w:rsidRPr="00413568" w:rsidRDefault="00CC7A52" w:rsidP="001D0D1B">
                  <w:pPr>
                    <w:tabs>
                      <w:tab w:val="left" w:pos="3768"/>
                    </w:tabs>
                    <w:spacing w:line="276" w:lineRule="auto"/>
                    <w:jc w:val="both"/>
                    <w:rPr>
                      <w:rFonts w:ascii="Verdana" w:eastAsia="Calibri" w:hAnsi="Verdana" w:cs="Arial"/>
                      <w:lang w:val="es-ES_tradnl" w:eastAsia="es-ES_tradnl"/>
                    </w:rPr>
                  </w:pPr>
                  <w:r w:rsidRPr="00413568">
                    <w:rPr>
                      <w:rFonts w:ascii="Verdana" w:eastAsia="Calibri" w:hAnsi="Verdana" w:cs="Arial"/>
                      <w:b/>
                      <w:lang w:val="es-ES_tradnl" w:eastAsia="es-ES_tradnl"/>
                    </w:rPr>
                    <w:t>Radicación:</w:t>
                  </w:r>
                  <w:r w:rsidRPr="00413568">
                    <w:rPr>
                      <w:rFonts w:ascii="Verdana" w:eastAsia="Calibri" w:hAnsi="Verdana" w:cs="Arial"/>
                      <w:lang w:val="es-ES_tradnl" w:eastAsia="es-ES_tradnl"/>
                    </w:rPr>
                    <w:t xml:space="preserve">               </w:t>
                  </w:r>
                  <w:r w:rsidR="005B5F14" w:rsidRPr="00413568">
                    <w:rPr>
                      <w:rFonts w:ascii="Verdana" w:eastAsia="Calibri" w:hAnsi="Verdana" w:cs="Arial"/>
                      <w:lang w:val="es-ES_tradnl" w:eastAsia="es-ES_tradnl"/>
                    </w:rPr>
                    <w:t xml:space="preserve">   </w:t>
                  </w:r>
                </w:p>
              </w:tc>
              <w:tc>
                <w:tcPr>
                  <w:tcW w:w="6394" w:type="dxa"/>
                </w:tcPr>
                <w:p w14:paraId="5CAE6D66" w14:textId="03CEC142" w:rsidR="005B5F14" w:rsidRDefault="00016AC3" w:rsidP="008D09E6">
                  <w:pPr>
                    <w:spacing w:line="276" w:lineRule="auto"/>
                    <w:jc w:val="both"/>
                    <w:rPr>
                      <w:rFonts w:ascii="Verdana" w:hAnsi="Verdana" w:cs="Arial"/>
                      <w:bCs/>
                    </w:rPr>
                  </w:pPr>
                  <w:r>
                    <w:rPr>
                      <w:rFonts w:ascii="Verdana" w:hAnsi="Verdana" w:cs="Arial"/>
                      <w:bCs/>
                    </w:rPr>
                    <w:t>LEY DE EMPRENDIMIENTO</w:t>
                  </w:r>
                  <w:r w:rsidR="005B5F14" w:rsidRPr="00413568">
                    <w:rPr>
                      <w:rFonts w:ascii="Verdana" w:hAnsi="Verdana" w:cs="Arial"/>
                      <w:bCs/>
                    </w:rPr>
                    <w:t xml:space="preserve"> – </w:t>
                  </w:r>
                  <w:r w:rsidR="00F87DA1">
                    <w:rPr>
                      <w:rFonts w:ascii="Verdana" w:hAnsi="Verdana" w:cs="Arial"/>
                      <w:bCs/>
                    </w:rPr>
                    <w:t>Ley 2069 de 2020 - Finalidad</w:t>
                  </w:r>
                  <w:r w:rsidR="005B5F14" w:rsidRPr="00413568">
                    <w:rPr>
                      <w:rFonts w:ascii="Verdana" w:hAnsi="Verdana" w:cs="Arial"/>
                      <w:bCs/>
                    </w:rPr>
                    <w:t xml:space="preserve"> / </w:t>
                  </w:r>
                  <w:r w:rsidR="00A73010">
                    <w:rPr>
                      <w:rFonts w:ascii="Verdana" w:hAnsi="Verdana" w:cs="Arial"/>
                      <w:bCs/>
                    </w:rPr>
                    <w:t>LEY DE EMPRENDIMIENTO</w:t>
                  </w:r>
                  <w:r w:rsidR="005B5F14" w:rsidRPr="00413568">
                    <w:rPr>
                      <w:rFonts w:ascii="Verdana" w:hAnsi="Verdana" w:cs="Arial"/>
                      <w:bCs/>
                    </w:rPr>
                    <w:t xml:space="preserve"> –</w:t>
                  </w:r>
                  <w:r w:rsidR="00A73010">
                    <w:rPr>
                      <w:rFonts w:ascii="Verdana" w:hAnsi="Verdana" w:cs="Arial"/>
                      <w:bCs/>
                    </w:rPr>
                    <w:t xml:space="preserve"> Ley 2069 de 2020</w:t>
                  </w:r>
                  <w:r w:rsidR="00076C3E">
                    <w:rPr>
                      <w:rFonts w:ascii="Verdana" w:hAnsi="Verdana" w:cs="Arial"/>
                      <w:bCs/>
                    </w:rPr>
                    <w:t xml:space="preserve"> – Artículo 32 – Criterios diferenciales</w:t>
                  </w:r>
                  <w:r w:rsidR="00941EE0">
                    <w:rPr>
                      <w:rFonts w:ascii="Verdana" w:hAnsi="Verdana" w:cs="Arial"/>
                      <w:bCs/>
                    </w:rPr>
                    <w:t xml:space="preserve"> – Emprendimientos y empresas de mujeres – Decreto 1860 de 2021</w:t>
                  </w:r>
                  <w:r w:rsidR="005B5F14" w:rsidRPr="00413568">
                    <w:rPr>
                      <w:rFonts w:ascii="Verdana" w:hAnsi="Verdana" w:cs="Arial"/>
                      <w:bCs/>
                    </w:rPr>
                    <w:t xml:space="preserve"> / </w:t>
                  </w:r>
                  <w:r w:rsidR="003A66F1" w:rsidRPr="00413568">
                    <w:rPr>
                      <w:rFonts w:ascii="Verdana" w:hAnsi="Verdana" w:cs="Arial"/>
                      <w:bCs/>
                    </w:rPr>
                    <w:t>E</w:t>
                  </w:r>
                  <w:r w:rsidR="003A66F1">
                    <w:rPr>
                      <w:rFonts w:ascii="Verdana" w:hAnsi="Verdana" w:cs="Arial"/>
                      <w:bCs/>
                    </w:rPr>
                    <w:t>MPRENDIMIENTOS Y EMPRESAS DE MUJERES</w:t>
                  </w:r>
                  <w:r w:rsidR="005B5F14" w:rsidRPr="00413568">
                    <w:rPr>
                      <w:rFonts w:ascii="Verdana" w:hAnsi="Verdana" w:cs="Arial"/>
                      <w:bCs/>
                    </w:rPr>
                    <w:t xml:space="preserve"> – </w:t>
                  </w:r>
                  <w:r w:rsidR="003C7FA9">
                    <w:rPr>
                      <w:rFonts w:ascii="Verdana" w:hAnsi="Verdana" w:cs="Arial"/>
                      <w:bCs/>
                    </w:rPr>
                    <w:t>Definición</w:t>
                  </w:r>
                  <w:r w:rsidR="00443015">
                    <w:rPr>
                      <w:rFonts w:ascii="Verdana" w:hAnsi="Verdana" w:cs="Arial"/>
                      <w:bCs/>
                    </w:rPr>
                    <w:t xml:space="preserve"> </w:t>
                  </w:r>
                  <w:r w:rsidR="006D5379">
                    <w:rPr>
                      <w:rFonts w:ascii="Verdana" w:hAnsi="Verdana" w:cs="Arial"/>
                      <w:bCs/>
                    </w:rPr>
                    <w:t>- Artículo</w:t>
                  </w:r>
                  <w:r w:rsidR="00443015">
                    <w:rPr>
                      <w:rFonts w:ascii="Verdana" w:hAnsi="Verdana" w:cs="Arial"/>
                      <w:bCs/>
                    </w:rPr>
                    <w:t xml:space="preserve"> 2.2.1</w:t>
                  </w:r>
                  <w:r w:rsidR="00F203E6">
                    <w:rPr>
                      <w:rFonts w:ascii="Verdana" w:hAnsi="Verdana" w:cs="Arial"/>
                      <w:bCs/>
                    </w:rPr>
                    <w:t>.2.4.2.14</w:t>
                  </w:r>
                  <w:r w:rsidR="007B04B7">
                    <w:rPr>
                      <w:rFonts w:ascii="Verdana" w:hAnsi="Verdana" w:cs="Arial"/>
                      <w:bCs/>
                    </w:rPr>
                    <w:t xml:space="preserve"> del</w:t>
                  </w:r>
                  <w:r w:rsidR="00F203E6">
                    <w:rPr>
                      <w:rFonts w:ascii="Verdana" w:hAnsi="Verdana" w:cs="Arial"/>
                      <w:bCs/>
                    </w:rPr>
                    <w:t xml:space="preserve"> </w:t>
                  </w:r>
                  <w:r w:rsidR="00752535">
                    <w:rPr>
                      <w:rFonts w:ascii="Verdana" w:hAnsi="Verdana" w:cs="Arial"/>
                      <w:bCs/>
                    </w:rPr>
                    <w:t xml:space="preserve">Decreto </w:t>
                  </w:r>
                  <w:r w:rsidR="007B04B7">
                    <w:rPr>
                      <w:rFonts w:ascii="Verdana" w:hAnsi="Verdana" w:cs="Arial"/>
                      <w:bCs/>
                    </w:rPr>
                    <w:t>1082 de 2015</w:t>
                  </w:r>
                  <w:r w:rsidR="00471C01">
                    <w:rPr>
                      <w:rFonts w:ascii="Verdana" w:hAnsi="Verdana" w:cs="Arial"/>
                      <w:bCs/>
                    </w:rPr>
                    <w:t xml:space="preserve"> </w:t>
                  </w:r>
                  <w:r w:rsidR="003A66F1">
                    <w:rPr>
                      <w:rFonts w:ascii="Verdana" w:hAnsi="Verdana" w:cs="Arial"/>
                      <w:bCs/>
                    </w:rPr>
                    <w:t>– Numeral 2</w:t>
                  </w:r>
                  <w:r w:rsidR="00471C01">
                    <w:rPr>
                      <w:rFonts w:ascii="Verdana" w:hAnsi="Verdana" w:cs="Arial"/>
                      <w:bCs/>
                    </w:rPr>
                    <w:t xml:space="preserve"> </w:t>
                  </w:r>
                  <w:r w:rsidR="003A66F1">
                    <w:rPr>
                      <w:rFonts w:ascii="Verdana" w:hAnsi="Verdana" w:cs="Arial"/>
                      <w:bCs/>
                    </w:rPr>
                    <w:t>–</w:t>
                  </w:r>
                  <w:r w:rsidR="00471C01">
                    <w:rPr>
                      <w:rFonts w:ascii="Verdana" w:hAnsi="Verdana" w:cs="Arial"/>
                      <w:bCs/>
                    </w:rPr>
                    <w:t xml:space="preserve"> Acred</w:t>
                  </w:r>
                  <w:r w:rsidR="00B368A5">
                    <w:rPr>
                      <w:rFonts w:ascii="Verdana" w:hAnsi="Verdana" w:cs="Arial"/>
                      <w:bCs/>
                    </w:rPr>
                    <w:t>itación</w:t>
                  </w:r>
                  <w:r w:rsidR="003A66F1">
                    <w:rPr>
                      <w:rFonts w:ascii="Verdana" w:hAnsi="Verdana" w:cs="Arial"/>
                      <w:bCs/>
                    </w:rPr>
                    <w:t xml:space="preserve"> – / </w:t>
                  </w:r>
                  <w:r w:rsidR="003A66F1" w:rsidRPr="00413568">
                    <w:rPr>
                      <w:rFonts w:ascii="Verdana" w:hAnsi="Verdana" w:cs="Arial"/>
                      <w:bCs/>
                    </w:rPr>
                    <w:t>E</w:t>
                  </w:r>
                  <w:r w:rsidR="003A66F1">
                    <w:rPr>
                      <w:rFonts w:ascii="Verdana" w:hAnsi="Verdana" w:cs="Arial"/>
                      <w:bCs/>
                    </w:rPr>
                    <w:t>MPRENDIMIENTOS Y EMPRESAS DE MUJERES</w:t>
                  </w:r>
                  <w:r w:rsidR="003A66F1" w:rsidRPr="00413568">
                    <w:rPr>
                      <w:rFonts w:ascii="Verdana" w:hAnsi="Verdana" w:cs="Arial"/>
                      <w:bCs/>
                    </w:rPr>
                    <w:t xml:space="preserve"> – </w:t>
                  </w:r>
                  <w:r w:rsidR="003A66F1">
                    <w:rPr>
                      <w:rFonts w:ascii="Verdana" w:hAnsi="Verdana" w:cs="Arial"/>
                      <w:bCs/>
                    </w:rPr>
                    <w:t xml:space="preserve">Definición </w:t>
                  </w:r>
                  <w:r w:rsidR="00CC7A52">
                    <w:rPr>
                      <w:rFonts w:ascii="Verdana" w:hAnsi="Verdana" w:cs="Arial"/>
                      <w:bCs/>
                    </w:rPr>
                    <w:t>–</w:t>
                  </w:r>
                  <w:r w:rsidR="003A66F1">
                    <w:rPr>
                      <w:rFonts w:ascii="Verdana" w:hAnsi="Verdana" w:cs="Arial"/>
                      <w:bCs/>
                    </w:rPr>
                    <w:t xml:space="preserve"> </w:t>
                  </w:r>
                  <w:r w:rsidR="00CC7A52">
                    <w:rPr>
                      <w:rFonts w:ascii="Verdana" w:hAnsi="Verdana" w:cs="Arial"/>
                      <w:bCs/>
                    </w:rPr>
                    <w:t>Empleos del nivel directivo – Pago de aportes al Sistema de Seguridad Social</w:t>
                  </w:r>
                </w:p>
                <w:p w14:paraId="49831CF5" w14:textId="77777777" w:rsidR="00CC7A52" w:rsidRDefault="00CC7A52" w:rsidP="008D09E6">
                  <w:pPr>
                    <w:spacing w:line="276" w:lineRule="auto"/>
                    <w:jc w:val="both"/>
                    <w:rPr>
                      <w:rFonts w:ascii="Verdana" w:hAnsi="Verdana" w:cs="Arial"/>
                      <w:bCs/>
                    </w:rPr>
                  </w:pPr>
                </w:p>
                <w:p w14:paraId="065EF13C" w14:textId="77777777" w:rsidR="00CC7A52" w:rsidRPr="00FC61A7" w:rsidRDefault="00CC7A52" w:rsidP="00CC7A52">
                  <w:pPr>
                    <w:tabs>
                      <w:tab w:val="left" w:pos="3768"/>
                    </w:tabs>
                    <w:spacing w:line="276" w:lineRule="auto"/>
                    <w:jc w:val="both"/>
                    <w:rPr>
                      <w:rFonts w:ascii="Verdana" w:eastAsia="Calibri" w:hAnsi="Verdana" w:cs="Arial"/>
                      <w:lang w:val="es-ES" w:eastAsia="es-ES"/>
                    </w:rPr>
                  </w:pPr>
                  <w:r w:rsidRPr="00413568">
                    <w:rPr>
                      <w:rFonts w:ascii="Verdana" w:eastAsia="Calibri" w:hAnsi="Verdana" w:cs="Arial"/>
                      <w:lang w:val="es-ES_tradnl" w:eastAsia="es-ES_tradnl"/>
                    </w:rPr>
                    <w:t>Respuesta a consulta con radicado No. P20</w:t>
                  </w:r>
                  <w:r>
                    <w:rPr>
                      <w:rFonts w:ascii="Verdana" w:eastAsia="Calibri" w:hAnsi="Verdana" w:cs="Arial"/>
                      <w:lang w:val="es-ES_tradnl" w:eastAsia="es-ES_tradnl"/>
                    </w:rPr>
                    <w:t>240827008684</w:t>
                  </w:r>
                </w:p>
                <w:p w14:paraId="2E43FA6C" w14:textId="5375AB55" w:rsidR="005B5F14" w:rsidRPr="00413568" w:rsidRDefault="005B5F14" w:rsidP="008D09E6">
                  <w:pPr>
                    <w:spacing w:line="276" w:lineRule="auto"/>
                    <w:jc w:val="both"/>
                    <w:rPr>
                      <w:rFonts w:ascii="Verdana" w:hAnsi="Verdana" w:cs="Arial"/>
                      <w:bCs/>
                    </w:rPr>
                  </w:pPr>
                </w:p>
              </w:tc>
            </w:tr>
          </w:tbl>
          <w:p w14:paraId="4BF4ACA1" w14:textId="77777777" w:rsidR="005B5F14" w:rsidRPr="00413568" w:rsidRDefault="005B5F14" w:rsidP="008D09E6">
            <w:pPr>
              <w:jc w:val="both"/>
              <w:rPr>
                <w:rFonts w:ascii="Verdana" w:eastAsia="Calibri" w:hAnsi="Verdana" w:cs="Arial"/>
                <w:lang w:val="es-ES_tradnl" w:eastAsia="es-ES_tradnl"/>
              </w:rPr>
            </w:pPr>
            <w:r w:rsidRPr="00413568">
              <w:rPr>
                <w:rFonts w:ascii="Verdana" w:eastAsia="Calibri" w:hAnsi="Verdana" w:cs="Arial"/>
                <w:lang w:val="es-ES_tradnl" w:eastAsia="es-ES_tradnl"/>
              </w:rPr>
              <w:t xml:space="preserve">                                             </w:t>
            </w:r>
          </w:p>
        </w:tc>
        <w:tc>
          <w:tcPr>
            <w:tcW w:w="520" w:type="dxa"/>
          </w:tcPr>
          <w:p w14:paraId="048F85FE" w14:textId="77777777" w:rsidR="005B5F14" w:rsidRPr="00413568" w:rsidRDefault="005B5F14" w:rsidP="008D09E6">
            <w:pPr>
              <w:spacing w:line="276" w:lineRule="auto"/>
              <w:jc w:val="both"/>
              <w:rPr>
                <w:rFonts w:ascii="Verdana" w:eastAsia="Calibri" w:hAnsi="Verdana" w:cs="Arial"/>
                <w:lang w:eastAsia="es-ES"/>
              </w:rPr>
            </w:pPr>
            <w:r w:rsidRPr="00413568">
              <w:rPr>
                <w:rFonts w:ascii="Verdana" w:eastAsia="Calibri" w:hAnsi="Verdana" w:cs="Arial"/>
                <w:lang w:eastAsia="es-ES"/>
              </w:rPr>
              <w:t xml:space="preserve">  </w:t>
            </w:r>
          </w:p>
          <w:p w14:paraId="11140B29" w14:textId="77777777" w:rsidR="005B5F14" w:rsidRPr="00413568" w:rsidRDefault="005B5F14" w:rsidP="008D09E6">
            <w:pPr>
              <w:spacing w:line="276" w:lineRule="auto"/>
              <w:jc w:val="both"/>
              <w:rPr>
                <w:rFonts w:ascii="Verdana" w:eastAsia="Calibri" w:hAnsi="Verdana" w:cs="Arial"/>
                <w:highlight w:val="cyan"/>
                <w:lang w:eastAsia="es-ES"/>
              </w:rPr>
            </w:pPr>
          </w:p>
        </w:tc>
      </w:tr>
    </w:tbl>
    <w:p w14:paraId="0B26AB01" w14:textId="1D1BAE86" w:rsidR="005B5F14" w:rsidRPr="00413568" w:rsidRDefault="005B5F14" w:rsidP="005B5F14">
      <w:pPr>
        <w:spacing w:after="0" w:line="276" w:lineRule="auto"/>
        <w:jc w:val="both"/>
        <w:rPr>
          <w:rFonts w:ascii="Verdana" w:eastAsia="Calibri" w:hAnsi="Verdana" w:cs="Arial"/>
          <w:lang w:val="es-ES" w:eastAsia="es-ES"/>
        </w:rPr>
      </w:pPr>
      <w:r w:rsidRPr="00413568">
        <w:rPr>
          <w:rFonts w:ascii="Verdana" w:eastAsia="Calibri" w:hAnsi="Verdana" w:cs="Arial"/>
          <w:lang w:val="es-ES" w:eastAsia="es-ES"/>
        </w:rPr>
        <w:t xml:space="preserve">Estimado señor </w:t>
      </w:r>
      <w:r w:rsidR="00272C8F">
        <w:rPr>
          <w:rFonts w:ascii="Verdana" w:eastAsia="Calibri" w:hAnsi="Verdana" w:cs="Arial"/>
          <w:lang w:val="es-ES" w:eastAsia="es-ES"/>
        </w:rPr>
        <w:t>Vidal;</w:t>
      </w:r>
    </w:p>
    <w:p w14:paraId="657AEB0D" w14:textId="77777777" w:rsidR="005B5F14" w:rsidRPr="00413568" w:rsidRDefault="005B5F14" w:rsidP="005B5F14">
      <w:pPr>
        <w:tabs>
          <w:tab w:val="left" w:pos="3768"/>
        </w:tabs>
        <w:spacing w:after="0" w:line="276" w:lineRule="auto"/>
        <w:jc w:val="both"/>
        <w:rPr>
          <w:rFonts w:ascii="Verdana" w:eastAsia="Calibri" w:hAnsi="Verdana" w:cs="Arial"/>
          <w:lang w:val="es-ES" w:eastAsia="es-ES"/>
        </w:rPr>
      </w:pPr>
      <w:r w:rsidRPr="00413568">
        <w:rPr>
          <w:rFonts w:ascii="Verdana" w:eastAsia="Calibri" w:hAnsi="Verdana" w:cs="Arial"/>
          <w:lang w:val="es-ES" w:eastAsia="es-ES"/>
        </w:rPr>
        <w:tab/>
      </w:r>
    </w:p>
    <w:p w14:paraId="37983993" w14:textId="77777777" w:rsidR="005B5F14" w:rsidRPr="00413568" w:rsidRDefault="005B5F14" w:rsidP="005B5F14">
      <w:pPr>
        <w:spacing w:after="0" w:line="276" w:lineRule="auto"/>
        <w:jc w:val="both"/>
        <w:rPr>
          <w:rFonts w:ascii="Verdana" w:eastAsia="Calibri" w:hAnsi="Verdana" w:cs="Arial"/>
          <w:lang w:val="es-ES" w:eastAsia="es-ES"/>
        </w:rPr>
      </w:pPr>
      <w:r w:rsidRPr="00413568">
        <w:rPr>
          <w:rFonts w:ascii="Verdana" w:eastAsia="Calibri" w:hAnsi="Verdana" w:cs="Arial"/>
          <w:lang w:val="es-ES" w:eastAsia="es-ES"/>
        </w:rPr>
        <w:t>En ejercicio de la competencia otorgada por los artículos 3, numeral 5º, y 11, numeral 8º, del Decreto Ley 4170 de 2011,</w:t>
      </w:r>
      <w:r w:rsidRPr="00413568">
        <w:rPr>
          <w:rFonts w:ascii="Verdana" w:eastAsia="Arial MT" w:hAnsi="Verdana" w:cs="Arial MT"/>
          <w:lang w:val="es-ES" w:eastAsia="es-ES"/>
        </w:rPr>
        <w:t xml:space="preserve"> </w:t>
      </w:r>
      <w:r w:rsidRPr="00413568">
        <w:rPr>
          <w:rFonts w:ascii="Verdana" w:hAnsi="Verdana" w:cs="Arial"/>
        </w:rPr>
        <w:t xml:space="preserve">así como lo establecido en el artículo 4 de la Resolución 1707 de 2018 expedida por esta Entidad, </w:t>
      </w:r>
      <w:r w:rsidRPr="00413568">
        <w:rPr>
          <w:rFonts w:ascii="Verdana" w:eastAsia="Calibri" w:hAnsi="Verdana" w:cs="Arial"/>
          <w:lang w:val="es-ES" w:eastAsia="es-ES"/>
        </w:rPr>
        <w:t>la Agencia Nacional de Contratación Pública – Colombia Compra Eficiente– responde su solicitud de consulta de fecha 20 de agosto de 2024.</w:t>
      </w:r>
    </w:p>
    <w:p w14:paraId="6ED637EB" w14:textId="77777777" w:rsidR="00A16222" w:rsidRDefault="00A16222" w:rsidP="00665D70">
      <w:pPr>
        <w:spacing w:after="0"/>
        <w:jc w:val="both"/>
        <w:rPr>
          <w:rFonts w:ascii="Century Gothic" w:hAnsi="Century Gothic"/>
          <w:lang w:val="es-ES"/>
        </w:rPr>
      </w:pPr>
    </w:p>
    <w:p w14:paraId="362C546D" w14:textId="554B3CDF" w:rsidR="00BA2F5E" w:rsidRPr="001D0D1B" w:rsidRDefault="009C4D39" w:rsidP="001D0D1B">
      <w:pPr>
        <w:spacing w:after="0" w:line="240" w:lineRule="auto"/>
        <w:ind w:left="720" w:right="709"/>
        <w:jc w:val="both"/>
        <w:rPr>
          <w:rFonts w:ascii="Verdana" w:hAnsi="Verdana"/>
          <w:sz w:val="20"/>
          <w:szCs w:val="20"/>
          <w:lang w:val="es-ES"/>
        </w:rPr>
      </w:pPr>
      <w:r w:rsidRPr="001D0D1B">
        <w:rPr>
          <w:rFonts w:ascii="Verdana" w:hAnsi="Verdana"/>
          <w:i/>
          <w:sz w:val="20"/>
          <w:szCs w:val="20"/>
          <w:lang w:val="es-ES"/>
        </w:rPr>
        <w:t>“</w:t>
      </w:r>
      <w:r w:rsidRPr="001D0D1B">
        <w:rPr>
          <w:rFonts w:ascii="Verdana" w:hAnsi="Verdana"/>
          <w:sz w:val="20"/>
          <w:szCs w:val="20"/>
          <w:lang w:val="es-ES"/>
        </w:rPr>
        <w:t>1. Para la acreditación en procesos de licitación pública</w:t>
      </w:r>
      <w:r w:rsidR="008D5768" w:rsidRPr="001D0D1B">
        <w:rPr>
          <w:rFonts w:ascii="Verdana" w:hAnsi="Verdana"/>
          <w:sz w:val="20"/>
          <w:szCs w:val="20"/>
          <w:lang w:val="es-ES"/>
        </w:rPr>
        <w:t xml:space="preserve"> para el puntaje de mujer cargo directivo </w:t>
      </w:r>
      <w:r w:rsidR="00587ECC" w:rsidRPr="001D0D1B">
        <w:rPr>
          <w:rFonts w:ascii="Verdana" w:hAnsi="Verdana"/>
          <w:sz w:val="20"/>
          <w:szCs w:val="20"/>
          <w:lang w:val="es-ES"/>
        </w:rPr>
        <w:t xml:space="preserve">en procesos de obra e interventoría uno de los requisitos                                                                                                   es tener la mujer </w:t>
      </w:r>
      <w:r w:rsidR="004178A2" w:rsidRPr="001D0D1B">
        <w:rPr>
          <w:rFonts w:ascii="Verdana" w:hAnsi="Verdana"/>
          <w:sz w:val="20"/>
          <w:szCs w:val="20"/>
          <w:lang w:val="es-ES"/>
        </w:rPr>
        <w:t xml:space="preserve">con un año laborando en la empresa y esta debe acreditar </w:t>
      </w:r>
      <w:r w:rsidR="004178A2" w:rsidRPr="001D0D1B">
        <w:rPr>
          <w:rFonts w:ascii="Verdana" w:hAnsi="Verdana"/>
          <w:sz w:val="20"/>
          <w:szCs w:val="20"/>
          <w:lang w:val="es-ES"/>
        </w:rPr>
        <w:lastRenderedPageBreak/>
        <w:t>esta información con las plantillas de seguridad social</w:t>
      </w:r>
      <w:r w:rsidR="00F432AE" w:rsidRPr="001D0D1B">
        <w:rPr>
          <w:rFonts w:ascii="Verdana" w:hAnsi="Verdana"/>
          <w:sz w:val="20"/>
          <w:szCs w:val="20"/>
          <w:lang w:val="es-ES"/>
        </w:rPr>
        <w:t xml:space="preserve"> SI la empresa acredita el año con la mujer, como cargo directivo en el contrato laboral y la seguridad social, pero esta empresa realiza pago de los últimos 12 meses en un solo día.</w:t>
      </w:r>
    </w:p>
    <w:p w14:paraId="37A09611" w14:textId="5185D350" w:rsidR="002D3D07" w:rsidRPr="001D0D1B" w:rsidRDefault="00F432AE" w:rsidP="001D0D1B">
      <w:pPr>
        <w:spacing w:after="0" w:line="240" w:lineRule="auto"/>
        <w:ind w:left="720" w:right="709"/>
        <w:jc w:val="both"/>
        <w:rPr>
          <w:rFonts w:ascii="Verdana" w:hAnsi="Verdana"/>
          <w:sz w:val="20"/>
          <w:szCs w:val="20"/>
          <w:lang w:val="es-ES"/>
        </w:rPr>
      </w:pPr>
      <w:r w:rsidRPr="001D0D1B">
        <w:rPr>
          <w:rFonts w:ascii="Verdana" w:hAnsi="Verdana"/>
          <w:sz w:val="20"/>
          <w:szCs w:val="20"/>
          <w:lang w:val="es-ES"/>
        </w:rPr>
        <w:t>¿ESTO le negaría el puntaje o cumpliría con lo solicitado para la acreditación del puntaje?</w:t>
      </w:r>
      <w:r w:rsidR="00D2430F" w:rsidRPr="001D0D1B">
        <w:rPr>
          <w:rFonts w:ascii="Verdana" w:hAnsi="Verdana"/>
          <w:i/>
          <w:sz w:val="20"/>
          <w:szCs w:val="20"/>
          <w:lang w:val="es-ES"/>
        </w:rPr>
        <w:t xml:space="preserve"> […]”.</w:t>
      </w:r>
      <w:r w:rsidR="001D6B04" w:rsidRPr="001D0D1B">
        <w:rPr>
          <w:rFonts w:ascii="Verdana" w:hAnsi="Verdana"/>
          <w:sz w:val="20"/>
          <w:szCs w:val="20"/>
          <w:lang w:val="es-ES"/>
        </w:rPr>
        <w:t xml:space="preserve"> </w:t>
      </w:r>
    </w:p>
    <w:p w14:paraId="0392E42E" w14:textId="77777777" w:rsidR="00190699" w:rsidRDefault="00190699" w:rsidP="002D3D07">
      <w:pPr>
        <w:spacing w:after="0"/>
        <w:ind w:left="720" w:right="709"/>
        <w:jc w:val="both"/>
        <w:rPr>
          <w:rFonts w:ascii="Verdana" w:hAnsi="Verdana"/>
          <w:i/>
          <w:iCs/>
          <w:lang w:val="es-ES"/>
        </w:rPr>
      </w:pPr>
    </w:p>
    <w:p w14:paraId="6AB10CDC" w14:textId="3769C775" w:rsidR="00D2430F" w:rsidRDefault="00D2430F" w:rsidP="001D0D1B">
      <w:pPr>
        <w:spacing w:after="120"/>
        <w:ind w:firstLine="708"/>
        <w:jc w:val="both"/>
        <w:rPr>
          <w:rFonts w:ascii="Verdana" w:hAnsi="Verdana"/>
          <w:lang w:val="es-ES"/>
        </w:rPr>
      </w:pPr>
      <w:r>
        <w:rPr>
          <w:rFonts w:ascii="Verdana" w:hAnsi="Verdana"/>
          <w:lang w:val="es-ES"/>
        </w:rPr>
        <w:t xml:space="preserve">De manera preliminar, resulta necesario acotar que esta entidad solo tiene competencia para responder </w:t>
      </w:r>
      <w:r w:rsidR="00175FC8">
        <w:rPr>
          <w:rFonts w:ascii="Verdana" w:hAnsi="Verdana"/>
          <w:lang w:val="es-ES"/>
        </w:rPr>
        <w:t xml:space="preserve">consultas sobre la aplicación de normas de carácter general en materias de compras y contratación pública. En ese sentido, resolver casos particulares desborda </w:t>
      </w:r>
      <w:r w:rsidR="002832A2">
        <w:rPr>
          <w:rFonts w:ascii="Verdana" w:hAnsi="Verdana"/>
          <w:lang w:val="es-ES"/>
        </w:rPr>
        <w:t>las atribuciones asignadas por el legislador extraordinario, que no concibió</w:t>
      </w:r>
      <w:r w:rsidR="00532E98">
        <w:rPr>
          <w:rFonts w:ascii="Verdana" w:hAnsi="Verdana"/>
          <w:lang w:val="es-ES"/>
        </w:rPr>
        <w:t xml:space="preserve"> a Colombia Compra </w:t>
      </w:r>
      <w:r w:rsidR="004526EF">
        <w:rPr>
          <w:rFonts w:ascii="Verdana" w:hAnsi="Verdana"/>
          <w:lang w:val="es-ES"/>
        </w:rPr>
        <w:t xml:space="preserve">Eficiente como una autoridad para solucionar problemas </w:t>
      </w:r>
      <w:r w:rsidR="00A65E5C">
        <w:rPr>
          <w:rFonts w:ascii="Verdana" w:hAnsi="Verdana"/>
          <w:lang w:val="es-ES"/>
        </w:rPr>
        <w:t xml:space="preserve">jurídicos particulares de todos los </w:t>
      </w:r>
      <w:r w:rsidR="00F27C78">
        <w:rPr>
          <w:rFonts w:ascii="Verdana" w:hAnsi="Verdana"/>
          <w:lang w:val="es-ES"/>
        </w:rPr>
        <w:t>partícipes</w:t>
      </w:r>
      <w:r w:rsidR="00A65E5C">
        <w:rPr>
          <w:rFonts w:ascii="Verdana" w:hAnsi="Verdana"/>
          <w:lang w:val="es-ES"/>
        </w:rPr>
        <w:t xml:space="preserve"> del sistema de compra pública</w:t>
      </w:r>
      <w:r w:rsidR="001D7658">
        <w:rPr>
          <w:rFonts w:ascii="Verdana" w:hAnsi="Verdana"/>
          <w:lang w:val="es-ES"/>
        </w:rPr>
        <w:t xml:space="preserve">. La competencia de esta entidad se fija con </w:t>
      </w:r>
      <w:r w:rsidR="00F27C78">
        <w:rPr>
          <w:rFonts w:ascii="Verdana" w:hAnsi="Verdana"/>
          <w:lang w:val="es-ES"/>
        </w:rPr>
        <w:t>límites</w:t>
      </w:r>
      <w:r w:rsidR="001D7658">
        <w:rPr>
          <w:rFonts w:ascii="Verdana" w:hAnsi="Verdana"/>
          <w:lang w:val="es-ES"/>
        </w:rPr>
        <w:t xml:space="preserve"> claros, con el objeto de evitar que la </w:t>
      </w:r>
      <w:r w:rsidR="00A14C3A">
        <w:rPr>
          <w:rFonts w:ascii="Verdana" w:hAnsi="Verdana"/>
          <w:lang w:val="es-ES"/>
        </w:rPr>
        <w:t xml:space="preserve">Agencia actúe como una instancia de validación de las actuaciones de las entidades </w:t>
      </w:r>
      <w:r w:rsidR="00EE2B3E">
        <w:rPr>
          <w:rFonts w:ascii="Verdana" w:hAnsi="Verdana"/>
          <w:lang w:val="es-ES"/>
        </w:rPr>
        <w:t>sujetas a la Ley 80 de 1993</w:t>
      </w:r>
      <w:r w:rsidR="006545EB">
        <w:rPr>
          <w:rFonts w:ascii="Verdana" w:hAnsi="Verdana"/>
          <w:lang w:val="es-ES"/>
        </w:rPr>
        <w:t xml:space="preserve"> o de los demás participantes de la contratación pública. Esta competencia de interpretació</w:t>
      </w:r>
      <w:r w:rsidR="0087121D">
        <w:rPr>
          <w:rFonts w:ascii="Verdana" w:hAnsi="Verdana"/>
          <w:lang w:val="es-ES"/>
        </w:rPr>
        <w:t>n de normas generales, por definición, no puede extenderse a la resolución de contr</w:t>
      </w:r>
      <w:r w:rsidR="000D19E4">
        <w:rPr>
          <w:rFonts w:ascii="Verdana" w:hAnsi="Verdana"/>
          <w:lang w:val="es-ES"/>
        </w:rPr>
        <w:t xml:space="preserve">oversias, ni brindar </w:t>
      </w:r>
      <w:r w:rsidR="00042CD6">
        <w:rPr>
          <w:rFonts w:ascii="Verdana" w:hAnsi="Verdana"/>
          <w:lang w:val="es-ES"/>
        </w:rPr>
        <w:t xml:space="preserve">asesorías </w:t>
      </w:r>
      <w:r w:rsidR="00F03C01">
        <w:rPr>
          <w:rFonts w:ascii="Verdana" w:hAnsi="Verdana"/>
          <w:lang w:val="es-ES"/>
        </w:rPr>
        <w:t>sobre casos puntuales.</w:t>
      </w:r>
    </w:p>
    <w:p w14:paraId="1D5FD8B7" w14:textId="71FC0682" w:rsidR="00F03C01" w:rsidRDefault="00F03C01" w:rsidP="001D0D1B">
      <w:pPr>
        <w:spacing w:after="0"/>
        <w:ind w:firstLine="709"/>
        <w:jc w:val="both"/>
        <w:rPr>
          <w:rFonts w:ascii="Verdana" w:hAnsi="Verdana"/>
          <w:lang w:val="es-ES"/>
        </w:rPr>
      </w:pPr>
      <w:r>
        <w:rPr>
          <w:rFonts w:ascii="Verdana" w:hAnsi="Verdana"/>
          <w:lang w:val="es-ES"/>
        </w:rPr>
        <w:t>Conforme lo expuesto, en aras de satisfacer el derecho fundamental de petición se resolverá su consulta</w:t>
      </w:r>
      <w:r w:rsidR="00B369EB">
        <w:rPr>
          <w:rFonts w:ascii="Verdana" w:hAnsi="Verdana"/>
          <w:lang w:val="es-ES"/>
        </w:rPr>
        <w:t xml:space="preserve"> dentro de los límites de la referida competencia consultiva</w:t>
      </w:r>
      <w:r w:rsidR="008D7D66">
        <w:rPr>
          <w:rFonts w:ascii="Verdana" w:hAnsi="Verdana"/>
          <w:lang w:val="es-ES"/>
        </w:rPr>
        <w:t xml:space="preserve">, esto es, haciendo abstracción de las circunstancias particulares y concretas </w:t>
      </w:r>
      <w:r w:rsidR="00B54418">
        <w:rPr>
          <w:rFonts w:ascii="Verdana" w:hAnsi="Verdana"/>
          <w:lang w:val="es-ES"/>
        </w:rPr>
        <w:t>mencionadas en su petición, pero haciendo consideraciones sobre las normas generales relacionadas con los problemas jurídicos de su consulta.</w:t>
      </w:r>
    </w:p>
    <w:p w14:paraId="6FA8027B" w14:textId="77777777" w:rsidR="00F83660" w:rsidRDefault="00F83660" w:rsidP="001D0D1B">
      <w:pPr>
        <w:spacing w:after="0"/>
        <w:ind w:firstLine="709"/>
        <w:jc w:val="both"/>
        <w:rPr>
          <w:rFonts w:ascii="Verdana" w:hAnsi="Verdana"/>
          <w:lang w:val="es-ES"/>
        </w:rPr>
      </w:pPr>
    </w:p>
    <w:p w14:paraId="5034F686" w14:textId="7C9E454D" w:rsidR="00F83660" w:rsidRDefault="00F83660" w:rsidP="001D0D1B">
      <w:pPr>
        <w:spacing w:after="0"/>
        <w:jc w:val="both"/>
        <w:rPr>
          <w:rFonts w:ascii="Verdana" w:hAnsi="Verdana"/>
          <w:b/>
          <w:bCs/>
          <w:lang w:val="es-ES"/>
        </w:rPr>
      </w:pPr>
      <w:r>
        <w:rPr>
          <w:rFonts w:ascii="Verdana" w:hAnsi="Verdana"/>
          <w:b/>
          <w:bCs/>
          <w:lang w:val="es-ES"/>
        </w:rPr>
        <w:t xml:space="preserve">1. Problema planteado: </w:t>
      </w:r>
    </w:p>
    <w:p w14:paraId="4005C941" w14:textId="77777777" w:rsidR="00F83660" w:rsidRDefault="00F83660" w:rsidP="001D0D1B">
      <w:pPr>
        <w:spacing w:after="0"/>
        <w:jc w:val="both"/>
        <w:rPr>
          <w:rFonts w:ascii="Verdana" w:hAnsi="Verdana"/>
          <w:lang w:val="es-ES"/>
        </w:rPr>
      </w:pPr>
    </w:p>
    <w:p w14:paraId="108805E0" w14:textId="104C8CA1" w:rsidR="00046007" w:rsidRPr="00046007" w:rsidRDefault="00F83660" w:rsidP="001D0D1B">
      <w:pPr>
        <w:spacing w:after="0" w:line="276" w:lineRule="auto"/>
        <w:jc w:val="both"/>
        <w:rPr>
          <w:rFonts w:ascii="Verdana" w:hAnsi="Verdana"/>
          <w:lang w:val="es-ES"/>
        </w:rPr>
      </w:pPr>
      <w:r>
        <w:rPr>
          <w:rFonts w:ascii="Verdana" w:hAnsi="Verdana"/>
          <w:lang w:val="es-ES"/>
        </w:rPr>
        <w:t xml:space="preserve">De acuerdo con el contenido de su solicitud, esta Agencia resolverá </w:t>
      </w:r>
      <w:r w:rsidR="0075722B">
        <w:rPr>
          <w:rFonts w:ascii="Verdana" w:hAnsi="Verdana"/>
          <w:lang w:val="es-ES"/>
        </w:rPr>
        <w:t xml:space="preserve">el siguiente problema jurídico: </w:t>
      </w:r>
      <w:r w:rsidR="00056951">
        <w:rPr>
          <w:rFonts w:ascii="Verdana" w:hAnsi="Verdana"/>
          <w:lang w:val="es-ES"/>
        </w:rPr>
        <w:t xml:space="preserve">¿se puede </w:t>
      </w:r>
      <w:r w:rsidR="001D6B04">
        <w:rPr>
          <w:rFonts w:ascii="Verdana" w:hAnsi="Verdana"/>
          <w:lang w:val="es-ES"/>
        </w:rPr>
        <w:t xml:space="preserve">negar </w:t>
      </w:r>
      <w:r w:rsidR="00056951">
        <w:rPr>
          <w:rFonts w:ascii="Verdana" w:hAnsi="Verdana"/>
          <w:lang w:val="es-ES"/>
        </w:rPr>
        <w:t xml:space="preserve">el </w:t>
      </w:r>
      <w:r w:rsidR="001D6B04">
        <w:rPr>
          <w:rFonts w:ascii="Verdana" w:hAnsi="Verdana"/>
          <w:lang w:val="es-ES"/>
        </w:rPr>
        <w:t>acceso a los criterios diferenciales para emprendimientos y empresas de mujeres</w:t>
      </w:r>
      <w:r w:rsidR="00056951">
        <w:rPr>
          <w:rFonts w:ascii="Verdana" w:hAnsi="Verdana"/>
          <w:lang w:val="es-ES"/>
        </w:rPr>
        <w:t xml:space="preserve"> </w:t>
      </w:r>
      <w:r w:rsidR="00324B37">
        <w:rPr>
          <w:rFonts w:ascii="Verdana" w:hAnsi="Verdana"/>
          <w:lang w:val="es-ES"/>
        </w:rPr>
        <w:t xml:space="preserve">establecidos en el </w:t>
      </w:r>
      <w:r w:rsidR="00E921C3">
        <w:rPr>
          <w:rFonts w:ascii="Verdana" w:hAnsi="Verdana"/>
          <w:lang w:val="es-ES"/>
        </w:rPr>
        <w:t xml:space="preserve">artículo </w:t>
      </w:r>
      <w:r w:rsidR="00E921C3">
        <w:rPr>
          <w:rFonts w:ascii="Verdana" w:hAnsi="Verdana" w:cs="Arial"/>
          <w:color w:val="000000" w:themeColor="text1"/>
        </w:rPr>
        <w:t xml:space="preserve">2.2.1.2.4.2.15 del Decreto 1082 de 2015, si </w:t>
      </w:r>
      <w:r w:rsidR="001D0D1B">
        <w:rPr>
          <w:rFonts w:ascii="Verdana" w:hAnsi="Verdana" w:cs="Arial"/>
          <w:color w:val="000000" w:themeColor="text1"/>
        </w:rPr>
        <w:t>la proponente persona jurídica</w:t>
      </w:r>
      <w:r w:rsidR="00E921C3">
        <w:rPr>
          <w:rFonts w:ascii="Verdana" w:hAnsi="Verdana" w:cs="Arial"/>
          <w:color w:val="000000" w:themeColor="text1"/>
        </w:rPr>
        <w:t xml:space="preserve"> </w:t>
      </w:r>
      <w:r w:rsidR="00056951">
        <w:rPr>
          <w:rFonts w:ascii="Verdana" w:hAnsi="Verdana"/>
          <w:lang w:val="es-ES"/>
        </w:rPr>
        <w:t xml:space="preserve">realiza el pago </w:t>
      </w:r>
      <w:r w:rsidR="00243637">
        <w:rPr>
          <w:rFonts w:ascii="Verdana" w:hAnsi="Verdana"/>
          <w:lang w:val="es-ES"/>
        </w:rPr>
        <w:t xml:space="preserve">de los aportes al sistema de seguridad social </w:t>
      </w:r>
      <w:r w:rsidR="003A11B3">
        <w:rPr>
          <w:rFonts w:ascii="Verdana" w:hAnsi="Verdana"/>
          <w:lang w:val="es-ES"/>
        </w:rPr>
        <w:t>de manera tardía</w:t>
      </w:r>
      <w:r w:rsidR="00433D5F">
        <w:rPr>
          <w:rFonts w:ascii="Verdana" w:hAnsi="Verdana"/>
          <w:lang w:val="es-ES"/>
        </w:rPr>
        <w:t>?</w:t>
      </w:r>
    </w:p>
    <w:p w14:paraId="69971330" w14:textId="77777777" w:rsidR="00046007" w:rsidRPr="00413568" w:rsidRDefault="00046007" w:rsidP="00046007">
      <w:pPr>
        <w:spacing w:after="0" w:line="276" w:lineRule="auto"/>
        <w:jc w:val="both"/>
        <w:rPr>
          <w:rFonts w:ascii="Verdana" w:eastAsia="Century Gothic" w:hAnsi="Verdana" w:cs="Century Gothic"/>
        </w:rPr>
      </w:pPr>
    </w:p>
    <w:p w14:paraId="63C7FB31" w14:textId="77777777" w:rsidR="00046007" w:rsidRPr="00413568" w:rsidRDefault="00046007" w:rsidP="00046007">
      <w:pPr>
        <w:spacing w:after="0" w:line="276" w:lineRule="auto"/>
        <w:rPr>
          <w:rFonts w:ascii="Verdana" w:eastAsia="Century Gothic" w:hAnsi="Verdana" w:cs="Century Gothic"/>
          <w:b/>
          <w:bCs/>
        </w:rPr>
      </w:pPr>
      <w:r w:rsidRPr="00413568">
        <w:rPr>
          <w:rFonts w:ascii="Verdana" w:eastAsia="Century Gothic" w:hAnsi="Verdana" w:cs="Century Gothic"/>
          <w:b/>
          <w:bCs/>
        </w:rPr>
        <w:t>2. Respuesta:</w:t>
      </w:r>
    </w:p>
    <w:p w14:paraId="09FC7014" w14:textId="77777777" w:rsidR="00046007" w:rsidRPr="00413568" w:rsidRDefault="00046007" w:rsidP="00046007">
      <w:pPr>
        <w:tabs>
          <w:tab w:val="left" w:pos="142"/>
          <w:tab w:val="left" w:pos="284"/>
        </w:tabs>
        <w:spacing w:after="0" w:line="276" w:lineRule="auto"/>
        <w:jc w:val="both"/>
        <w:rPr>
          <w:rFonts w:ascii="Verdana" w:eastAsia="Century Gothic" w:hAnsi="Verdana" w:cs="Century Gothic"/>
          <w:b/>
          <w:bCs/>
        </w:rPr>
      </w:pPr>
    </w:p>
    <w:p w14:paraId="34646A9C" w14:textId="77777777" w:rsidR="00046007" w:rsidRPr="00413568" w:rsidRDefault="00046007" w:rsidP="00046007">
      <w:pPr>
        <w:tabs>
          <w:tab w:val="left" w:pos="142"/>
          <w:tab w:val="left" w:pos="284"/>
        </w:tabs>
        <w:spacing w:after="0" w:line="276" w:lineRule="auto"/>
        <w:jc w:val="both"/>
        <w:rPr>
          <w:rFonts w:ascii="Verdana" w:eastAsia="Century Gothic" w:hAnsi="Verdana" w:cs="Century Gothic"/>
          <w:b/>
          <w:bCs/>
          <w:lang w:val="es-ES"/>
        </w:rPr>
      </w:pPr>
    </w:p>
    <w:p w14:paraId="171DF4C1" w14:textId="77777777" w:rsidR="00E921C3" w:rsidRDefault="00E921C3">
      <w:r>
        <w:br w:type="page"/>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81"/>
      </w:tblGrid>
      <w:tr w:rsidR="00046007" w:rsidRPr="00413568" w14:paraId="68A56EB0" w14:textId="77777777" w:rsidTr="0088410E">
        <w:trPr>
          <w:trHeight w:val="4328"/>
        </w:trPr>
        <w:tc>
          <w:tcPr>
            <w:tcW w:w="8681" w:type="dxa"/>
            <w:shd w:val="clear" w:color="auto" w:fill="auto"/>
          </w:tcPr>
          <w:p w14:paraId="07B795C6" w14:textId="3B1D9FE6" w:rsidR="005B6231" w:rsidRDefault="003A11B3" w:rsidP="001D0D1B">
            <w:pPr>
              <w:spacing w:after="120" w:line="276" w:lineRule="auto"/>
              <w:jc w:val="both"/>
              <w:rPr>
                <w:rFonts w:ascii="Verdana" w:hAnsi="Verdana"/>
              </w:rPr>
            </w:pPr>
            <w:r w:rsidRPr="00210AEB">
              <w:rPr>
                <w:rFonts w:ascii="Verdana" w:hAnsi="Verdana"/>
              </w:rPr>
              <w:lastRenderedPageBreak/>
              <w:t xml:space="preserve">De acuerdo con el numeral </w:t>
            </w:r>
            <w:r>
              <w:rPr>
                <w:rFonts w:ascii="Verdana" w:hAnsi="Verdana"/>
              </w:rPr>
              <w:t xml:space="preserve">2 del artículo </w:t>
            </w:r>
            <w:r w:rsidR="00D73457">
              <w:rPr>
                <w:rFonts w:ascii="Verdana" w:hAnsi="Verdana" w:cs="Arial"/>
                <w:color w:val="000000" w:themeColor="text1"/>
              </w:rPr>
              <w:t>2.2.1.2.4.2.14</w:t>
            </w:r>
            <w:r>
              <w:rPr>
                <w:rFonts w:ascii="Verdana" w:hAnsi="Verdana" w:cs="Arial"/>
                <w:color w:val="000000" w:themeColor="text1"/>
              </w:rPr>
              <w:t xml:space="preserve"> del Decreto 1</w:t>
            </w:r>
            <w:r w:rsidR="005B6231">
              <w:rPr>
                <w:rFonts w:ascii="Verdana" w:hAnsi="Verdana" w:cs="Arial"/>
                <w:color w:val="000000" w:themeColor="text1"/>
              </w:rPr>
              <w:t>082 de 2015</w:t>
            </w:r>
            <w:r w:rsidRPr="00210AEB">
              <w:rPr>
                <w:rFonts w:ascii="Verdana" w:hAnsi="Verdana"/>
              </w:rPr>
              <w:t xml:space="preserve">, una persona jurídica podrá ser considerada como un emprendimiento o empresa de mujeres cuando más del 50 % de los empleos del </w:t>
            </w:r>
            <w:r w:rsidRPr="00210AEB">
              <w:rPr>
                <w:rFonts w:ascii="Verdana" w:hAnsi="Verdana"/>
                <w:i/>
                <w:iCs/>
              </w:rPr>
              <w:t>nivel directivo</w:t>
            </w:r>
            <w:r w:rsidRPr="00210AEB">
              <w:rPr>
                <w:rFonts w:ascii="Verdana" w:hAnsi="Verdana"/>
              </w:rPr>
              <w:t xml:space="preserve"> </w:t>
            </w:r>
            <w:r w:rsidR="000B7761">
              <w:rPr>
                <w:rFonts w:ascii="Verdana" w:hAnsi="Verdana"/>
              </w:rPr>
              <w:t xml:space="preserve">hayan </w:t>
            </w:r>
            <w:r w:rsidR="00E76FCA">
              <w:rPr>
                <w:rFonts w:ascii="Verdana" w:hAnsi="Verdana"/>
              </w:rPr>
              <w:t xml:space="preserve">sido </w:t>
            </w:r>
            <w:r w:rsidRPr="00210AEB">
              <w:rPr>
                <w:rFonts w:ascii="Verdana" w:hAnsi="Verdana"/>
              </w:rPr>
              <w:t>ejercido</w:t>
            </w:r>
            <w:r w:rsidR="000B7761">
              <w:rPr>
                <w:rFonts w:ascii="Verdana" w:hAnsi="Verdana"/>
              </w:rPr>
              <w:t>s</w:t>
            </w:r>
            <w:r w:rsidRPr="00210AEB">
              <w:rPr>
                <w:rFonts w:ascii="Verdana" w:hAnsi="Verdana"/>
              </w:rPr>
              <w:t xml:space="preserve"> por mujeres</w:t>
            </w:r>
            <w:r w:rsidR="00E76FCA">
              <w:rPr>
                <w:rFonts w:ascii="Verdana" w:hAnsi="Verdana"/>
              </w:rPr>
              <w:t xml:space="preserve"> al menos durante el</w:t>
            </w:r>
            <w:r w:rsidR="00160CE0">
              <w:rPr>
                <w:rFonts w:ascii="Verdana" w:hAnsi="Verdana"/>
              </w:rPr>
              <w:t xml:space="preserve"> último año previo a la </w:t>
            </w:r>
            <w:r w:rsidR="005B6231">
              <w:rPr>
                <w:rFonts w:ascii="Verdana" w:hAnsi="Verdana"/>
              </w:rPr>
              <w:t>a la fecha de cierre del correspondiente proceso</w:t>
            </w:r>
            <w:r w:rsidRPr="00210AEB">
              <w:rPr>
                <w:rFonts w:ascii="Verdana" w:hAnsi="Verdana"/>
              </w:rPr>
              <w:t>.</w:t>
            </w:r>
            <w:r w:rsidR="005B6231">
              <w:rPr>
                <w:rFonts w:ascii="Verdana" w:hAnsi="Verdana"/>
              </w:rPr>
              <w:t xml:space="preserve"> Las personas</w:t>
            </w:r>
            <w:r w:rsidR="00296B41">
              <w:rPr>
                <w:rFonts w:ascii="Verdana" w:hAnsi="Verdana"/>
              </w:rPr>
              <w:t xml:space="preserve"> jurídicas que acrediten esta</w:t>
            </w:r>
            <w:r w:rsidR="006833B9">
              <w:rPr>
                <w:rFonts w:ascii="Verdana" w:hAnsi="Verdana"/>
              </w:rPr>
              <w:t xml:space="preserve">s condiciones podrán acceder a los requisitos habilitantes diferenciales y el puntaje adicional regulado por el artículo </w:t>
            </w:r>
            <w:r w:rsidR="006833B9">
              <w:rPr>
                <w:rFonts w:ascii="Verdana" w:hAnsi="Verdana" w:cs="Arial"/>
                <w:color w:val="000000" w:themeColor="text1"/>
              </w:rPr>
              <w:t xml:space="preserve">2.2.1.2.4.2.15 del Decreto 1082 de 2015. </w:t>
            </w:r>
          </w:p>
          <w:p w14:paraId="234F6866" w14:textId="25B9C2CD" w:rsidR="00D73457" w:rsidRDefault="006833B9" w:rsidP="001D0D1B">
            <w:pPr>
              <w:spacing w:before="120" w:after="120" w:line="276" w:lineRule="auto"/>
              <w:ind w:firstLine="709"/>
              <w:jc w:val="both"/>
              <w:rPr>
                <w:rFonts w:ascii="Verdana" w:hAnsi="Verdana" w:cs="Arial"/>
                <w:color w:val="000000" w:themeColor="text1"/>
              </w:rPr>
            </w:pPr>
            <w:r>
              <w:rPr>
                <w:rFonts w:ascii="Verdana" w:hAnsi="Verdana" w:cs="Arial"/>
                <w:color w:val="000000" w:themeColor="text1"/>
              </w:rPr>
              <w:t xml:space="preserve">Para estos efectos, el proponente debe presentar </w:t>
            </w:r>
            <w:r w:rsidR="00D73457">
              <w:rPr>
                <w:rFonts w:ascii="Verdana" w:hAnsi="Verdana" w:cs="Arial"/>
                <w:color w:val="000000" w:themeColor="text1"/>
              </w:rPr>
              <w:t xml:space="preserve">una certificación expedida por el representante legal </w:t>
            </w:r>
            <w:r>
              <w:rPr>
                <w:rFonts w:ascii="Verdana" w:hAnsi="Verdana" w:cs="Arial"/>
                <w:color w:val="000000" w:themeColor="text1"/>
              </w:rPr>
              <w:t>y</w:t>
            </w:r>
            <w:r w:rsidR="00D73457">
              <w:rPr>
                <w:rFonts w:ascii="Verdana" w:hAnsi="Verdana" w:cs="Arial"/>
                <w:color w:val="000000" w:themeColor="text1"/>
              </w:rPr>
              <w:t xml:space="preserve"> el revisor fiscal de la empresa </w:t>
            </w:r>
            <w:r>
              <w:rPr>
                <w:rFonts w:ascii="Verdana" w:hAnsi="Verdana" w:cs="Arial"/>
                <w:color w:val="000000" w:themeColor="text1"/>
              </w:rPr>
              <w:t>en la que se</w:t>
            </w:r>
            <w:r w:rsidR="00E73602">
              <w:rPr>
                <w:rFonts w:ascii="Verdana" w:hAnsi="Verdana" w:cs="Arial"/>
                <w:color w:val="000000" w:themeColor="text1"/>
              </w:rPr>
              <w:t xml:space="preserve"> </w:t>
            </w:r>
            <w:r w:rsidR="00D73457">
              <w:rPr>
                <w:rFonts w:ascii="Verdana" w:hAnsi="Verdana" w:cs="Arial"/>
                <w:color w:val="000000" w:themeColor="text1"/>
              </w:rPr>
              <w:t>señal</w:t>
            </w:r>
            <w:r>
              <w:rPr>
                <w:rFonts w:ascii="Verdana" w:hAnsi="Verdana" w:cs="Arial"/>
                <w:color w:val="000000" w:themeColor="text1"/>
              </w:rPr>
              <w:t>e</w:t>
            </w:r>
            <w:r w:rsidR="00E73602">
              <w:rPr>
                <w:rFonts w:ascii="Verdana" w:hAnsi="Verdana" w:cs="Arial"/>
                <w:color w:val="000000" w:themeColor="text1"/>
              </w:rPr>
              <w:t>n</w:t>
            </w:r>
            <w:r w:rsidR="00D73457">
              <w:rPr>
                <w:rFonts w:ascii="Verdana" w:hAnsi="Verdana" w:cs="Arial"/>
                <w:color w:val="000000" w:themeColor="text1"/>
              </w:rPr>
              <w:t xml:space="preserve"> de manera detallada todas</w:t>
            </w:r>
            <w:r w:rsidR="00E73602">
              <w:rPr>
                <w:rFonts w:ascii="Verdana" w:hAnsi="Verdana" w:cs="Arial"/>
                <w:color w:val="000000" w:themeColor="text1"/>
              </w:rPr>
              <w:t xml:space="preserve"> las personas</w:t>
            </w:r>
            <w:r w:rsidR="00D73457">
              <w:rPr>
                <w:rFonts w:ascii="Verdana" w:hAnsi="Verdana" w:cs="Arial"/>
                <w:color w:val="000000" w:themeColor="text1"/>
              </w:rPr>
              <w:t xml:space="preserve"> que conforman los cargos en el nivel directivo, número de mujeres y el tiempo de vinculación, y en dicho documento, deberán ir los nombres de las personas, con el sus respectivos números de identificación , así como los soportes, como copias de los documentos de identidad, copia de los contratos de trabajo o certificación laboral con funciones y certificados de los aportes a la seguridad social del último año donde se reflejen los pagos por el empleador. </w:t>
            </w:r>
            <w:r w:rsidR="00AB5109">
              <w:rPr>
                <w:rFonts w:ascii="Verdana" w:hAnsi="Verdana" w:cs="Arial"/>
                <w:color w:val="000000" w:themeColor="text1"/>
              </w:rPr>
              <w:t>C</w:t>
            </w:r>
            <w:r w:rsidR="00D73457">
              <w:rPr>
                <w:rFonts w:ascii="Verdana" w:hAnsi="Verdana" w:cs="Arial"/>
                <w:color w:val="000000" w:themeColor="text1"/>
              </w:rPr>
              <w:t>orresponde</w:t>
            </w:r>
            <w:r w:rsidR="00AB5109">
              <w:rPr>
                <w:rFonts w:ascii="Verdana" w:hAnsi="Verdana" w:cs="Arial"/>
                <w:color w:val="000000" w:themeColor="text1"/>
              </w:rPr>
              <w:t>rá</w:t>
            </w:r>
            <w:r w:rsidR="00D73457">
              <w:rPr>
                <w:rFonts w:ascii="Verdana" w:hAnsi="Verdana" w:cs="Arial"/>
                <w:color w:val="000000" w:themeColor="text1"/>
              </w:rPr>
              <w:t xml:space="preserve"> a la entidad</w:t>
            </w:r>
            <w:r w:rsidR="0076293B">
              <w:rPr>
                <w:rFonts w:ascii="Verdana" w:hAnsi="Verdana" w:cs="Arial"/>
                <w:color w:val="000000" w:themeColor="text1"/>
              </w:rPr>
              <w:t xml:space="preserve"> estatal contratante </w:t>
            </w:r>
            <w:r w:rsidR="00D73457">
              <w:rPr>
                <w:rFonts w:ascii="Verdana" w:hAnsi="Verdana" w:cs="Arial"/>
                <w:color w:val="000000" w:themeColor="text1"/>
              </w:rPr>
              <w:t xml:space="preserve">verificar </w:t>
            </w:r>
            <w:r w:rsidR="0076293B">
              <w:rPr>
                <w:rFonts w:ascii="Verdana" w:hAnsi="Verdana" w:cs="Arial"/>
                <w:color w:val="000000" w:themeColor="text1"/>
              </w:rPr>
              <w:t xml:space="preserve">la información consignada en los </w:t>
            </w:r>
            <w:r w:rsidR="001D0D1B">
              <w:rPr>
                <w:rFonts w:ascii="Verdana" w:hAnsi="Verdana" w:cs="Arial"/>
                <w:color w:val="000000" w:themeColor="text1"/>
              </w:rPr>
              <w:t>documentos mencionados</w:t>
            </w:r>
            <w:r w:rsidR="0076293B">
              <w:rPr>
                <w:rFonts w:ascii="Verdana" w:hAnsi="Verdana" w:cs="Arial"/>
                <w:color w:val="000000" w:themeColor="text1"/>
              </w:rPr>
              <w:t xml:space="preserve"> a efectos de verificar que se cumpla todos los elementos del supuesto de hecho establecido en el inciso primero del numeral 2 del artículo </w:t>
            </w:r>
            <w:r w:rsidR="0076293B" w:rsidRPr="00210AEB">
              <w:rPr>
                <w:rFonts w:ascii="Verdana" w:hAnsi="Verdana"/>
              </w:rPr>
              <w:t>2.2.1.2.4.2.14</w:t>
            </w:r>
            <w:r w:rsidR="0076293B">
              <w:rPr>
                <w:rFonts w:ascii="Verdana" w:hAnsi="Verdana"/>
              </w:rPr>
              <w:t xml:space="preserve">, </w:t>
            </w:r>
            <w:r w:rsidR="00442574">
              <w:rPr>
                <w:rFonts w:ascii="Verdana" w:hAnsi="Verdana"/>
              </w:rPr>
              <w:t>a efectos de verificar que, en efecto, el proponente se encuentre en las condiciones para ser considerado un emprendimiento o empresa de mujeres.</w:t>
            </w:r>
            <w:r w:rsidR="0076293B">
              <w:rPr>
                <w:rFonts w:ascii="Verdana" w:hAnsi="Verdana"/>
              </w:rPr>
              <w:t xml:space="preserve"> </w:t>
            </w:r>
            <w:r w:rsidR="0076293B">
              <w:rPr>
                <w:rFonts w:ascii="Verdana" w:hAnsi="Verdana" w:cs="Arial"/>
                <w:color w:val="000000" w:themeColor="text1"/>
              </w:rPr>
              <w:t xml:space="preserve"> </w:t>
            </w:r>
            <w:r w:rsidR="00D73457">
              <w:rPr>
                <w:rFonts w:ascii="Verdana" w:hAnsi="Verdana" w:cs="Arial"/>
                <w:color w:val="000000" w:themeColor="text1"/>
              </w:rPr>
              <w:t xml:space="preserve"> </w:t>
            </w:r>
          </w:p>
          <w:p w14:paraId="3712D5EB" w14:textId="234843B6" w:rsidR="00046007" w:rsidRPr="00413568" w:rsidRDefault="00442574" w:rsidP="001D0D1B">
            <w:pPr>
              <w:spacing w:before="120" w:after="120" w:line="276" w:lineRule="auto"/>
              <w:ind w:firstLine="709"/>
              <w:jc w:val="both"/>
              <w:rPr>
                <w:rFonts w:ascii="Verdana" w:hAnsi="Verdana" w:cs="Arial"/>
                <w:color w:val="000000" w:themeColor="text1"/>
              </w:rPr>
            </w:pPr>
            <w:r>
              <w:rPr>
                <w:rFonts w:ascii="Verdana" w:hAnsi="Verdana"/>
              </w:rPr>
              <w:t>En todo caso, es</w:t>
            </w:r>
            <w:r w:rsidR="00E97060">
              <w:rPr>
                <w:rFonts w:ascii="Verdana" w:hAnsi="Verdana"/>
              </w:rPr>
              <w:t xml:space="preserve"> pertinente</w:t>
            </w:r>
            <w:r>
              <w:rPr>
                <w:rFonts w:ascii="Verdana" w:hAnsi="Verdana"/>
              </w:rPr>
              <w:t xml:space="preserve"> </w:t>
            </w:r>
            <w:r w:rsidR="00E97060">
              <w:rPr>
                <w:rFonts w:ascii="Verdana" w:hAnsi="Verdana"/>
              </w:rPr>
              <w:t>acotar que,</w:t>
            </w:r>
            <w:r w:rsidR="00E921C3">
              <w:rPr>
                <w:rFonts w:ascii="Verdana" w:hAnsi="Verdana"/>
              </w:rPr>
              <w:t xml:space="preserve"> el cumplimiento tardío de la obligación del empleador de realizar los aportes al sistema de seguridad social respecto de sus trabajadores, en principio, no resulta</w:t>
            </w:r>
            <w:r w:rsidR="00E97060">
              <w:rPr>
                <w:rFonts w:ascii="Verdana" w:hAnsi="Verdana"/>
              </w:rPr>
              <w:t xml:space="preserve"> un hecho</w:t>
            </w:r>
            <w:r w:rsidR="00E921C3">
              <w:rPr>
                <w:rFonts w:ascii="Verdana" w:hAnsi="Verdana"/>
              </w:rPr>
              <w:t xml:space="preserve"> suficiente para negar el acceso a los </w:t>
            </w:r>
            <w:r w:rsidR="001D0D1B">
              <w:rPr>
                <w:rFonts w:ascii="Verdana" w:hAnsi="Verdana"/>
              </w:rPr>
              <w:t>referidos criterios diferenciales</w:t>
            </w:r>
            <w:r w:rsidR="00E921C3">
              <w:rPr>
                <w:rFonts w:ascii="Verdana" w:hAnsi="Verdana"/>
              </w:rPr>
              <w:t>, en la medida en que ninguna de estas normas</w:t>
            </w:r>
            <w:r w:rsidR="007617FE">
              <w:rPr>
                <w:rFonts w:ascii="Verdana" w:hAnsi="Verdana"/>
              </w:rPr>
              <w:t xml:space="preserve"> antes mencionadas</w:t>
            </w:r>
            <w:r w:rsidR="00E921C3">
              <w:rPr>
                <w:rFonts w:ascii="Verdana" w:hAnsi="Verdana"/>
              </w:rPr>
              <w:t xml:space="preserve"> autoriza a negar el acceso a los referidos</w:t>
            </w:r>
            <w:r w:rsidR="007617FE">
              <w:rPr>
                <w:rFonts w:ascii="Verdana" w:hAnsi="Verdana"/>
              </w:rPr>
              <w:t xml:space="preserve"> criterios diferenciales por dicha ra</w:t>
            </w:r>
            <w:r w:rsidR="009729AE">
              <w:rPr>
                <w:rFonts w:ascii="Verdana" w:hAnsi="Verdana"/>
              </w:rPr>
              <w:t>zón</w:t>
            </w:r>
            <w:r w:rsidR="00E921C3">
              <w:rPr>
                <w:rFonts w:ascii="Verdana" w:hAnsi="Verdana"/>
              </w:rPr>
              <w:t xml:space="preserve">. </w:t>
            </w:r>
            <w:r w:rsidR="009729AE">
              <w:rPr>
                <w:rFonts w:ascii="Verdana" w:hAnsi="Verdana"/>
              </w:rPr>
              <w:t xml:space="preserve">Sin embargo, si </w:t>
            </w:r>
            <w:r w:rsidR="00E921C3">
              <w:rPr>
                <w:rFonts w:ascii="Verdana" w:hAnsi="Verdana"/>
              </w:rPr>
              <w:t xml:space="preserve">no solo </w:t>
            </w:r>
            <w:r w:rsidR="009729AE">
              <w:rPr>
                <w:rFonts w:ascii="Verdana" w:hAnsi="Verdana"/>
              </w:rPr>
              <w:t>constata</w:t>
            </w:r>
            <w:r w:rsidR="00E921C3">
              <w:rPr>
                <w:rFonts w:ascii="Verdana" w:hAnsi="Verdana"/>
              </w:rPr>
              <w:t xml:space="preserve"> el pago tardío de los aportes al sistema de seguridad social sino que</w:t>
            </w:r>
            <w:r w:rsidR="009729AE">
              <w:rPr>
                <w:rFonts w:ascii="Verdana" w:hAnsi="Verdana"/>
              </w:rPr>
              <w:t xml:space="preserve"> además</w:t>
            </w:r>
            <w:r w:rsidR="00E921C3">
              <w:rPr>
                <w:rFonts w:ascii="Verdana" w:hAnsi="Verdana"/>
              </w:rPr>
              <w:t xml:space="preserve">, a partir de la contrastación de las certificaciones y los </w:t>
            </w:r>
            <w:r w:rsidR="009729AE">
              <w:rPr>
                <w:rFonts w:ascii="Verdana" w:hAnsi="Verdana"/>
              </w:rPr>
              <w:t xml:space="preserve">demás </w:t>
            </w:r>
            <w:r w:rsidR="00E921C3">
              <w:rPr>
                <w:rFonts w:ascii="Verdana" w:hAnsi="Verdana"/>
              </w:rPr>
              <w:t>soportes, la entidad estatal lleg</w:t>
            </w:r>
            <w:r w:rsidR="009729AE">
              <w:rPr>
                <w:rFonts w:ascii="Verdana" w:hAnsi="Verdana"/>
              </w:rPr>
              <w:t>a</w:t>
            </w:r>
            <w:r w:rsidR="00E921C3">
              <w:rPr>
                <w:rFonts w:ascii="Verdana" w:hAnsi="Verdana"/>
              </w:rPr>
              <w:t xml:space="preserve"> a la certeza de que las relaciones laborales de mujeres en cargos del nivel directivo  no se extendieron durante al menos el último año previo a la fecha de cierre,</w:t>
            </w:r>
            <w:r w:rsidR="00056A33">
              <w:rPr>
                <w:rFonts w:ascii="Verdana" w:hAnsi="Verdana"/>
              </w:rPr>
              <w:t xml:space="preserve"> si resul</w:t>
            </w:r>
            <w:r w:rsidR="003A66F1">
              <w:rPr>
                <w:rFonts w:ascii="Verdana" w:hAnsi="Verdana"/>
              </w:rPr>
              <w:t>taría inviable</w:t>
            </w:r>
            <w:r w:rsidR="00E921C3">
              <w:rPr>
                <w:rFonts w:ascii="Verdana" w:hAnsi="Verdana"/>
              </w:rPr>
              <w:t xml:space="preserve"> </w:t>
            </w:r>
            <w:r w:rsidR="003A66F1">
              <w:rPr>
                <w:rFonts w:ascii="Verdana" w:hAnsi="Verdana"/>
              </w:rPr>
              <w:t>que la entidad conceda el acceso a las referidas acciones afirmativas, ya que</w:t>
            </w:r>
            <w:r w:rsidR="00E921C3">
              <w:rPr>
                <w:rFonts w:ascii="Verdana" w:hAnsi="Verdana"/>
              </w:rPr>
              <w:t xml:space="preserve"> </w:t>
            </w:r>
            <w:r w:rsidR="003A66F1">
              <w:rPr>
                <w:rFonts w:ascii="Verdana" w:hAnsi="Verdana"/>
              </w:rPr>
              <w:t>no se cumpliría el</w:t>
            </w:r>
            <w:r w:rsidR="00E921C3">
              <w:rPr>
                <w:rFonts w:ascii="Verdana" w:hAnsi="Verdana"/>
              </w:rPr>
              <w:t xml:space="preserve"> criterio establecido en el numeral 2 del artículo </w:t>
            </w:r>
            <w:r w:rsidR="00E921C3" w:rsidRPr="00210AEB">
              <w:rPr>
                <w:rFonts w:ascii="Verdana" w:hAnsi="Verdana"/>
              </w:rPr>
              <w:t>2.2.1.2.4.2.14</w:t>
            </w:r>
            <w:r w:rsidR="003A66F1">
              <w:rPr>
                <w:rFonts w:ascii="Verdana" w:hAnsi="Verdana"/>
              </w:rPr>
              <w:t>.</w:t>
            </w:r>
          </w:p>
        </w:tc>
      </w:tr>
    </w:tbl>
    <w:p w14:paraId="2D94395E" w14:textId="77777777" w:rsidR="00046007" w:rsidRPr="00413568" w:rsidRDefault="00046007" w:rsidP="00046007">
      <w:pPr>
        <w:spacing w:after="0" w:line="276" w:lineRule="auto"/>
        <w:rPr>
          <w:rFonts w:ascii="Verdana" w:eastAsia="Century Gothic" w:hAnsi="Verdana" w:cs="Century Gothic"/>
        </w:rPr>
      </w:pPr>
    </w:p>
    <w:p w14:paraId="2A69A66A" w14:textId="77777777" w:rsidR="00046007" w:rsidRDefault="00046007" w:rsidP="00046007">
      <w:pPr>
        <w:spacing w:after="0"/>
        <w:rPr>
          <w:rFonts w:ascii="Verdana" w:hAnsi="Verdana"/>
          <w:b/>
          <w:bCs/>
        </w:rPr>
      </w:pPr>
      <w:r w:rsidRPr="00413568">
        <w:rPr>
          <w:rFonts w:ascii="Verdana" w:hAnsi="Verdana"/>
          <w:b/>
          <w:bCs/>
        </w:rPr>
        <w:t>3. Razones de la respuesta.</w:t>
      </w:r>
    </w:p>
    <w:p w14:paraId="1E1B56D7" w14:textId="77777777" w:rsidR="00332B74" w:rsidRDefault="00332B74" w:rsidP="00046007">
      <w:pPr>
        <w:spacing w:after="0"/>
        <w:rPr>
          <w:rFonts w:ascii="Verdana" w:hAnsi="Verdana"/>
          <w:b/>
          <w:bCs/>
        </w:rPr>
      </w:pPr>
    </w:p>
    <w:p w14:paraId="238FB0AE" w14:textId="261FB854" w:rsidR="00332B74" w:rsidRDefault="00EF0AA2" w:rsidP="00046007">
      <w:pPr>
        <w:spacing w:after="0"/>
        <w:rPr>
          <w:rFonts w:ascii="Verdana" w:hAnsi="Verdana"/>
        </w:rPr>
      </w:pPr>
      <w:r>
        <w:rPr>
          <w:rFonts w:ascii="Verdana" w:hAnsi="Verdana"/>
        </w:rPr>
        <w:t xml:space="preserve">La anterior respuesta </w:t>
      </w:r>
      <w:r w:rsidR="00352666">
        <w:rPr>
          <w:rFonts w:ascii="Verdana" w:hAnsi="Verdana"/>
        </w:rPr>
        <w:t>se fundamenta en las siguientes consideraciones:</w:t>
      </w:r>
    </w:p>
    <w:p w14:paraId="59D4B275" w14:textId="77777777" w:rsidR="00352666" w:rsidRDefault="00352666" w:rsidP="00046007">
      <w:pPr>
        <w:spacing w:after="0"/>
        <w:rPr>
          <w:rFonts w:ascii="Verdana" w:hAnsi="Verdana"/>
        </w:rPr>
      </w:pPr>
    </w:p>
    <w:p w14:paraId="554D1B50" w14:textId="5FBF005F" w:rsidR="00352666" w:rsidRPr="007C3182" w:rsidRDefault="005A6F0B" w:rsidP="001D0D1B">
      <w:pPr>
        <w:spacing w:after="0"/>
        <w:jc w:val="both"/>
        <w:rPr>
          <w:rFonts w:ascii="Verdana" w:hAnsi="Verdana"/>
        </w:rPr>
      </w:pPr>
      <w:r w:rsidRPr="007C3182">
        <w:rPr>
          <w:rFonts w:ascii="Verdana" w:hAnsi="Verdana"/>
        </w:rPr>
        <w:t>Con la entrada en vigencia de la Ley 2069 de 2020</w:t>
      </w:r>
      <w:r w:rsidR="00CE4ED4">
        <w:rPr>
          <w:rStyle w:val="Refdenotaalpie"/>
          <w:rFonts w:ascii="Verdana" w:hAnsi="Verdana"/>
        </w:rPr>
        <w:footnoteReference w:id="2"/>
      </w:r>
      <w:r w:rsidR="00ED6B47" w:rsidRPr="007C3182">
        <w:rPr>
          <w:rFonts w:ascii="Verdana" w:hAnsi="Verdana"/>
        </w:rPr>
        <w:t xml:space="preserve">, </w:t>
      </w:r>
      <w:r w:rsidR="00CE7442" w:rsidRPr="007C3182">
        <w:rPr>
          <w:rFonts w:ascii="Verdana" w:hAnsi="Verdana"/>
        </w:rPr>
        <w:t>la cual impulsa el emprendimiento en Colombia,</w:t>
      </w:r>
      <w:r w:rsidR="002B2E49" w:rsidRPr="007C3182">
        <w:rPr>
          <w:rFonts w:ascii="Verdana" w:hAnsi="Verdana"/>
        </w:rPr>
        <w:t xml:space="preserve"> </w:t>
      </w:r>
      <w:r w:rsidR="00A85A9F" w:rsidRPr="007C3182">
        <w:rPr>
          <w:rFonts w:ascii="Verdana" w:hAnsi="Verdana"/>
        </w:rPr>
        <w:t xml:space="preserve">dentro de cuerpo normativo trae consigo el artículo 32, </w:t>
      </w:r>
      <w:r w:rsidR="00E07919" w:rsidRPr="007C3182">
        <w:rPr>
          <w:rFonts w:ascii="Verdana" w:hAnsi="Verdana"/>
        </w:rPr>
        <w:t>el cual regula los criterios diferenciales para los emprendimientos y empresas de mujeres, en el sistema de compras y contratación pú</w:t>
      </w:r>
      <w:r w:rsidR="00CE4ED4" w:rsidRPr="007C3182">
        <w:rPr>
          <w:rFonts w:ascii="Verdana" w:hAnsi="Verdana"/>
        </w:rPr>
        <w:t>blica</w:t>
      </w:r>
      <w:r w:rsidR="00525D94" w:rsidRPr="007C3182">
        <w:rPr>
          <w:rFonts w:ascii="Verdana" w:hAnsi="Verdana"/>
        </w:rPr>
        <w:t>. En relación con este aspecto, el inciso primero de la norma citada prescribe lo siguiente:</w:t>
      </w:r>
    </w:p>
    <w:p w14:paraId="2CFDA066" w14:textId="77777777" w:rsidR="00525D94" w:rsidRDefault="00525D94" w:rsidP="00CF7CDE">
      <w:pPr>
        <w:pStyle w:val="Prrafodelista"/>
        <w:spacing w:after="0"/>
        <w:jc w:val="both"/>
        <w:rPr>
          <w:rFonts w:ascii="Verdana" w:hAnsi="Verdana"/>
        </w:rPr>
      </w:pPr>
    </w:p>
    <w:p w14:paraId="5DD680E4" w14:textId="299C4885" w:rsidR="00350E71" w:rsidRDefault="00350E71" w:rsidP="001D0D1B">
      <w:pPr>
        <w:pStyle w:val="Prrafodelista"/>
        <w:spacing w:after="0" w:line="240" w:lineRule="auto"/>
        <w:ind w:right="720"/>
        <w:jc w:val="both"/>
        <w:rPr>
          <w:rFonts w:ascii="Verdana" w:hAnsi="Verdana"/>
          <w:i/>
          <w:iCs/>
          <w:sz w:val="21"/>
          <w:szCs w:val="21"/>
        </w:rPr>
      </w:pPr>
      <w:r>
        <w:rPr>
          <w:rFonts w:ascii="Verdana" w:hAnsi="Verdana"/>
          <w:i/>
          <w:iCs/>
        </w:rPr>
        <w:t>“</w:t>
      </w:r>
      <w:r w:rsidRPr="007D31FD">
        <w:rPr>
          <w:rFonts w:ascii="Verdana" w:hAnsi="Verdana"/>
          <w:i/>
          <w:iCs/>
          <w:sz w:val="21"/>
          <w:szCs w:val="21"/>
        </w:rPr>
        <w:t>De acuerdo con el resultado del análisis del sector</w:t>
      </w:r>
      <w:r w:rsidR="00862B28" w:rsidRPr="007D31FD">
        <w:rPr>
          <w:rFonts w:ascii="Verdana" w:hAnsi="Verdana"/>
          <w:i/>
          <w:iCs/>
          <w:sz w:val="21"/>
          <w:szCs w:val="21"/>
        </w:rPr>
        <w:t xml:space="preserve">, las entidades estatales incluirán requisitos diferenciales y puntajes adicionales en los procesos </w:t>
      </w:r>
      <w:r w:rsidR="007D31FD">
        <w:rPr>
          <w:rFonts w:ascii="Verdana" w:hAnsi="Verdana"/>
          <w:i/>
          <w:iCs/>
          <w:sz w:val="21"/>
          <w:szCs w:val="21"/>
        </w:rPr>
        <w:t xml:space="preserve">de licitación pública, selección abreviada de menor cuantía y concurso de </w:t>
      </w:r>
      <w:r w:rsidR="00BC781F">
        <w:rPr>
          <w:rFonts w:ascii="Verdana" w:hAnsi="Verdana"/>
          <w:i/>
          <w:iCs/>
          <w:sz w:val="21"/>
          <w:szCs w:val="21"/>
        </w:rPr>
        <w:t>méritos, así como en los procesos competitivos que adelanten las entidades estatales que no apliquen en us gestión contractual el Estatuto General de Contratación de la Administración Pública</w:t>
      </w:r>
      <w:r w:rsidR="004D26A6">
        <w:rPr>
          <w:rFonts w:ascii="Verdana" w:hAnsi="Verdana"/>
          <w:i/>
          <w:iCs/>
          <w:sz w:val="21"/>
          <w:szCs w:val="21"/>
        </w:rPr>
        <w:t xml:space="preserve">, como medidas de acción afirmativa, para incentivar emprendimientos y empresas de mujeres en el sistema de compras </w:t>
      </w:r>
      <w:r w:rsidR="00CF7CDE">
        <w:rPr>
          <w:rFonts w:ascii="Verdana" w:hAnsi="Verdana"/>
          <w:i/>
          <w:iCs/>
          <w:sz w:val="21"/>
          <w:szCs w:val="21"/>
        </w:rPr>
        <w:t>públicas</w:t>
      </w:r>
      <w:r w:rsidR="004D26A6">
        <w:rPr>
          <w:rFonts w:ascii="Verdana" w:hAnsi="Verdana"/>
          <w:i/>
          <w:iCs/>
          <w:sz w:val="21"/>
          <w:szCs w:val="21"/>
        </w:rPr>
        <w:t>, sin perjuicio de los compromisos adquiridos por Colombia en los acuerdos comerciales en vigor</w:t>
      </w:r>
      <w:r w:rsidR="00CF7CDE">
        <w:rPr>
          <w:rFonts w:ascii="Verdana" w:hAnsi="Verdana"/>
          <w:i/>
          <w:iCs/>
          <w:sz w:val="21"/>
          <w:szCs w:val="21"/>
        </w:rPr>
        <w:t>”.</w:t>
      </w:r>
    </w:p>
    <w:p w14:paraId="28A77C5D" w14:textId="77777777" w:rsidR="00BB74D8" w:rsidRDefault="00BB74D8" w:rsidP="00CF7CDE">
      <w:pPr>
        <w:pStyle w:val="Prrafodelista"/>
        <w:spacing w:after="0"/>
        <w:ind w:right="720"/>
        <w:jc w:val="both"/>
        <w:rPr>
          <w:rFonts w:ascii="Verdana" w:hAnsi="Verdana"/>
          <w:i/>
          <w:iCs/>
          <w:sz w:val="21"/>
          <w:szCs w:val="21"/>
        </w:rPr>
      </w:pPr>
    </w:p>
    <w:p w14:paraId="7FCB7A72" w14:textId="26209653" w:rsidR="00BB74D8" w:rsidRPr="004017B3" w:rsidRDefault="00E326FB" w:rsidP="001D0D1B">
      <w:pPr>
        <w:pStyle w:val="Prrafodelista"/>
        <w:spacing w:after="120" w:line="276" w:lineRule="auto"/>
        <w:ind w:left="0" w:firstLine="709"/>
        <w:contextualSpacing w:val="0"/>
        <w:jc w:val="both"/>
        <w:rPr>
          <w:rFonts w:ascii="Verdana" w:hAnsi="Verdana"/>
        </w:rPr>
      </w:pPr>
      <w:r w:rsidRPr="004017B3">
        <w:rPr>
          <w:rFonts w:ascii="Verdana" w:hAnsi="Verdana"/>
        </w:rPr>
        <w:t>La norma analizada contiene los denominados “criterios diferenciales” y adicionalmente los “puntajes adicion</w:t>
      </w:r>
      <w:r w:rsidR="00047445" w:rsidRPr="004017B3">
        <w:rPr>
          <w:rFonts w:ascii="Verdana" w:hAnsi="Verdana"/>
        </w:rPr>
        <w:t>ales”, los cuales aplicaran a […]</w:t>
      </w:r>
      <w:r w:rsidR="009B6ECC" w:rsidRPr="004017B3">
        <w:rPr>
          <w:rFonts w:ascii="Verdana" w:hAnsi="Verdana"/>
        </w:rPr>
        <w:t xml:space="preserve"> los procesos de </w:t>
      </w:r>
      <w:r w:rsidR="00A9158E" w:rsidRPr="001D0D1B">
        <w:rPr>
          <w:rStyle w:val="normaltextrun"/>
          <w:rFonts w:ascii="Verdana" w:hAnsi="Verdana" w:cs="Arial"/>
          <w:shd w:val="clear" w:color="auto" w:fill="FFFFFF"/>
        </w:rPr>
        <w:t xml:space="preserve">procesos de </w:t>
      </w:r>
      <w:r w:rsidR="009B6ECC" w:rsidRPr="001D0D1B">
        <w:rPr>
          <w:rStyle w:val="normaltextrun"/>
          <w:rFonts w:ascii="Verdana" w:hAnsi="Verdana" w:cs="Arial"/>
          <w:shd w:val="clear" w:color="auto" w:fill="FFFFFF"/>
        </w:rPr>
        <w:t>licitación pública, selección abreviada de menor cuantía y concurso de méritos</w:t>
      </w:r>
      <w:r w:rsidR="00A9158E" w:rsidRPr="001D0D1B">
        <w:rPr>
          <w:rStyle w:val="normaltextrun"/>
          <w:rFonts w:ascii="Verdana" w:hAnsi="Verdana" w:cs="Arial"/>
          <w:shd w:val="clear" w:color="auto" w:fill="FFFFFF"/>
        </w:rPr>
        <w:t>,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r w:rsidR="00A9158E" w:rsidRPr="001D0D1B">
        <w:rPr>
          <w:rStyle w:val="eop"/>
          <w:rFonts w:ascii="Verdana" w:hAnsi="Verdana" w:cs="Arial"/>
          <w:shd w:val="clear" w:color="auto" w:fill="FFFFFF"/>
        </w:rPr>
        <w:t> </w:t>
      </w:r>
    </w:p>
    <w:p w14:paraId="10E601AD" w14:textId="287E0D82" w:rsidR="00BC5BBE" w:rsidRPr="001D0D1B" w:rsidRDefault="00BC5BBE" w:rsidP="00BC5BBE">
      <w:pPr>
        <w:spacing w:after="120" w:line="276" w:lineRule="auto"/>
        <w:jc w:val="both"/>
        <w:rPr>
          <w:rFonts w:ascii="Verdana" w:hAnsi="Verdana" w:cs="Arial"/>
          <w:lang w:eastAsia="es-CO"/>
        </w:rPr>
      </w:pPr>
      <w:r w:rsidRPr="00BC5BBE">
        <w:rPr>
          <w:rFonts w:ascii="Verdana" w:hAnsi="Verdana"/>
        </w:rPr>
        <w:tab/>
      </w:r>
      <w:r w:rsidR="00A61741" w:rsidRPr="00BC5BBE">
        <w:rPr>
          <w:rFonts w:ascii="Verdana" w:hAnsi="Verdana"/>
        </w:rPr>
        <w:t xml:space="preserve">Al igual que otras disposiciones contractuales </w:t>
      </w:r>
      <w:r w:rsidR="006F19A5" w:rsidRPr="00BC5BBE">
        <w:rPr>
          <w:rFonts w:ascii="Verdana" w:hAnsi="Verdana"/>
        </w:rPr>
        <w:t>incluidas en la Ley 2069 de 2020, la vigencia</w:t>
      </w:r>
      <w:r w:rsidR="00A9158E" w:rsidRPr="00BC5BBE">
        <w:rPr>
          <w:rFonts w:ascii="Verdana" w:hAnsi="Verdana"/>
        </w:rPr>
        <w:t xml:space="preserve"> de</w:t>
      </w:r>
      <w:r w:rsidR="006F19A5" w:rsidRPr="00BC5BBE">
        <w:rPr>
          <w:rFonts w:ascii="Verdana" w:hAnsi="Verdana"/>
        </w:rPr>
        <w:t>l artículo 32 fue condicionada a la expedición de su reglamentación</w:t>
      </w:r>
      <w:r w:rsidR="003748E7" w:rsidRPr="00BC5BBE">
        <w:rPr>
          <w:rFonts w:ascii="Verdana" w:hAnsi="Verdana"/>
        </w:rPr>
        <w:t>,</w:t>
      </w:r>
      <w:r w:rsidR="006F19A5" w:rsidRPr="00BC5BBE">
        <w:rPr>
          <w:rFonts w:ascii="Verdana" w:hAnsi="Verdana"/>
        </w:rPr>
        <w:t xml:space="preserve"> razón por la que </w:t>
      </w:r>
      <w:r w:rsidR="003748E7" w:rsidRPr="004017B3">
        <w:rPr>
          <w:rFonts w:ascii="Verdana" w:hAnsi="Verdana"/>
        </w:rPr>
        <w:t xml:space="preserve">el Gobierno Nacional, expidió el Decreto 1860 </w:t>
      </w:r>
      <w:r w:rsidR="003748E7" w:rsidRPr="004017B3">
        <w:rPr>
          <w:rFonts w:ascii="Verdana" w:hAnsi="Verdana"/>
        </w:rPr>
        <w:lastRenderedPageBreak/>
        <w:t>de 2021,</w:t>
      </w:r>
      <w:r w:rsidR="00DC44CD" w:rsidRPr="004017B3">
        <w:rPr>
          <w:rFonts w:ascii="Verdana" w:hAnsi="Verdana"/>
        </w:rPr>
        <w:t xml:space="preserve"> “por el cual se modifica y se adiciona el Dec</w:t>
      </w:r>
      <w:r w:rsidR="00931743" w:rsidRPr="004017B3">
        <w:rPr>
          <w:rFonts w:ascii="Verdana" w:hAnsi="Verdana"/>
        </w:rPr>
        <w:t>reto 1082 de 2015, Único Reglamentario del Sector Administrativo de Planeación Nacional</w:t>
      </w:r>
      <w:r w:rsidR="003111F8" w:rsidRPr="004017B3">
        <w:rPr>
          <w:rFonts w:ascii="Verdana" w:hAnsi="Verdana"/>
        </w:rPr>
        <w:t>, con el fin de reglamentar los artículos 30, 31, 32, 34 y 35 de la Ley 2069 de 2020, en lo relativo</w:t>
      </w:r>
      <w:r w:rsidR="00CF0CC4" w:rsidRPr="004017B3">
        <w:rPr>
          <w:rFonts w:ascii="Verdana" w:hAnsi="Verdana"/>
        </w:rPr>
        <w:t xml:space="preserve"> al sistema de compras públicas y se dictan otras disposiciones”. </w:t>
      </w:r>
      <w:r w:rsidRPr="001D0D1B">
        <w:rPr>
          <w:rFonts w:ascii="Verdana" w:eastAsia="Calibri" w:hAnsi="Verdana" w:cs="Arial"/>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555377C7" w14:textId="7E730C08" w:rsidR="00171EAB" w:rsidRPr="004017B3" w:rsidRDefault="00171EAB" w:rsidP="00A15700">
      <w:pPr>
        <w:pStyle w:val="Prrafodelista"/>
        <w:spacing w:after="120" w:line="276" w:lineRule="auto"/>
        <w:ind w:left="0" w:firstLine="709"/>
        <w:contextualSpacing w:val="0"/>
        <w:jc w:val="both"/>
        <w:rPr>
          <w:rFonts w:ascii="Verdana" w:hAnsi="Verdana"/>
        </w:rPr>
      </w:pPr>
    </w:p>
    <w:p w14:paraId="14F6A1BB" w14:textId="77777777" w:rsidR="006F19A5" w:rsidRDefault="006F19A5" w:rsidP="00A15700">
      <w:pPr>
        <w:pStyle w:val="Prrafodelista"/>
        <w:spacing w:after="120" w:line="276" w:lineRule="auto"/>
        <w:ind w:left="0" w:firstLine="709"/>
        <w:contextualSpacing w:val="0"/>
        <w:jc w:val="both"/>
        <w:rPr>
          <w:rFonts w:ascii="Verdana" w:hAnsi="Verdana"/>
        </w:rPr>
      </w:pPr>
    </w:p>
    <w:p w14:paraId="78C674B5" w14:textId="77777777" w:rsidR="006F19A5" w:rsidRDefault="006F19A5" w:rsidP="00A15700">
      <w:pPr>
        <w:pStyle w:val="Prrafodelista"/>
        <w:spacing w:after="120" w:line="276" w:lineRule="auto"/>
        <w:ind w:left="0" w:firstLine="709"/>
        <w:contextualSpacing w:val="0"/>
        <w:jc w:val="both"/>
        <w:rPr>
          <w:rFonts w:ascii="Verdana" w:hAnsi="Verdana"/>
        </w:rPr>
      </w:pPr>
    </w:p>
    <w:p w14:paraId="08169B07" w14:textId="6BA69621" w:rsidR="001A55E6" w:rsidRDefault="00854E98" w:rsidP="001A55E6">
      <w:pPr>
        <w:pStyle w:val="Prrafodelista"/>
        <w:spacing w:after="0"/>
        <w:ind w:left="0" w:firstLine="709"/>
        <w:contextualSpacing w:val="0"/>
        <w:jc w:val="both"/>
        <w:rPr>
          <w:rFonts w:ascii="Verdana" w:hAnsi="Verdana"/>
        </w:rPr>
      </w:pPr>
      <w:r>
        <w:rPr>
          <w:rFonts w:ascii="Verdana" w:hAnsi="Verdana"/>
        </w:rPr>
        <w:t>Al establecer</w:t>
      </w:r>
      <w:r w:rsidR="00CB38EC">
        <w:rPr>
          <w:rFonts w:ascii="Verdana" w:hAnsi="Verdana"/>
        </w:rPr>
        <w:t xml:space="preserve"> la definición</w:t>
      </w:r>
      <w:r w:rsidR="001370EC">
        <w:rPr>
          <w:rFonts w:ascii="Verdana" w:hAnsi="Verdana"/>
        </w:rPr>
        <w:t xml:space="preserve"> de emprendimientos de empresas y mujeres,</w:t>
      </w:r>
      <w:r w:rsidR="00170F5E">
        <w:rPr>
          <w:rFonts w:ascii="Verdana" w:hAnsi="Verdana"/>
        </w:rPr>
        <w:t xml:space="preserve"> e</w:t>
      </w:r>
      <w:r w:rsidR="00E624D0">
        <w:rPr>
          <w:rFonts w:ascii="Verdana" w:hAnsi="Verdana"/>
        </w:rPr>
        <w:t>l</w:t>
      </w:r>
      <w:r w:rsidR="006077E3" w:rsidRPr="004017B3">
        <w:rPr>
          <w:rFonts w:ascii="Verdana" w:hAnsi="Verdana"/>
        </w:rPr>
        <w:t xml:space="preserve"> artículo 2.2.1.2.4.2.14</w:t>
      </w:r>
      <w:r w:rsidR="00DF3B45">
        <w:rPr>
          <w:rFonts w:ascii="Verdana" w:hAnsi="Verdana"/>
        </w:rPr>
        <w:t xml:space="preserve"> </w:t>
      </w:r>
      <w:r>
        <w:rPr>
          <w:rFonts w:ascii="Verdana" w:hAnsi="Verdana"/>
        </w:rPr>
        <w:t>consagra</w:t>
      </w:r>
      <w:r w:rsidR="00DF3B45">
        <w:rPr>
          <w:rFonts w:ascii="Verdana" w:hAnsi="Verdana"/>
        </w:rPr>
        <w:t xml:space="preserve"> </w:t>
      </w:r>
      <w:r w:rsidR="00E624D0">
        <w:rPr>
          <w:rFonts w:ascii="Verdana" w:hAnsi="Verdana"/>
        </w:rPr>
        <w:t xml:space="preserve">cuatro criterios alternativos </w:t>
      </w:r>
      <w:r>
        <w:rPr>
          <w:rFonts w:ascii="Verdana" w:hAnsi="Verdana"/>
        </w:rPr>
        <w:t xml:space="preserve">en atención a los cuales una persona natural o jurídica puede acceder a los criterios diferenciales establecidos en el artículo </w:t>
      </w:r>
      <w:r w:rsidRPr="00210AEB">
        <w:rPr>
          <w:rFonts w:ascii="Verdana" w:eastAsia="Calibri" w:hAnsi="Verdana" w:cs="Arial"/>
          <w:lang w:val="es-ES_tradnl"/>
        </w:rPr>
        <w:t>2.2.1.2.4.2.15</w:t>
      </w:r>
      <w:r>
        <w:rPr>
          <w:rFonts w:ascii="Verdana" w:eastAsia="Calibri" w:hAnsi="Verdana" w:cs="Arial"/>
          <w:lang w:val="es-ES_tradnl"/>
        </w:rPr>
        <w:t>, bastan</w:t>
      </w:r>
      <w:r w:rsidR="009E52C8">
        <w:rPr>
          <w:rFonts w:ascii="Verdana" w:eastAsia="Calibri" w:hAnsi="Verdana" w:cs="Arial"/>
          <w:lang w:val="es-ES_tradnl"/>
        </w:rPr>
        <w:t>do</w:t>
      </w:r>
      <w:r>
        <w:rPr>
          <w:rFonts w:ascii="Verdana" w:eastAsia="Calibri" w:hAnsi="Verdana" w:cs="Arial"/>
          <w:lang w:val="es-ES_tradnl"/>
        </w:rPr>
        <w:t xml:space="preserve"> la configuración de un</w:t>
      </w:r>
      <w:r w:rsidR="008A32DA">
        <w:rPr>
          <w:rFonts w:ascii="Verdana" w:eastAsia="Calibri" w:hAnsi="Verdana" w:cs="Arial"/>
          <w:lang w:val="es-ES_tradnl"/>
        </w:rPr>
        <w:t xml:space="preserve">o de estos criterios para que </w:t>
      </w:r>
      <w:r w:rsidR="00FE69E0">
        <w:rPr>
          <w:rFonts w:ascii="Verdana" w:eastAsia="Calibri" w:hAnsi="Verdana" w:cs="Arial"/>
          <w:lang w:val="es-ES_tradnl"/>
        </w:rPr>
        <w:t xml:space="preserve">se materialice la respectiva </w:t>
      </w:r>
      <w:r w:rsidR="009E52C8">
        <w:rPr>
          <w:rFonts w:ascii="Verdana" w:eastAsia="Calibri" w:hAnsi="Verdana" w:cs="Arial"/>
          <w:lang w:val="es-ES_tradnl"/>
        </w:rPr>
        <w:t>definición respecto de</w:t>
      </w:r>
      <w:r w:rsidR="0067638F">
        <w:rPr>
          <w:rFonts w:ascii="Verdana" w:eastAsia="Calibri" w:hAnsi="Verdana" w:cs="Arial"/>
          <w:lang w:val="es-ES_tradnl"/>
        </w:rPr>
        <w:t xml:space="preserve"> sujeto en particular. </w:t>
      </w:r>
      <w:r w:rsidR="001A55E6">
        <w:rPr>
          <w:rFonts w:ascii="Verdana" w:hAnsi="Verdana"/>
        </w:rPr>
        <w:t>Uno de estos criterios es el definido en el definido en el numeral 2</w:t>
      </w:r>
      <w:r w:rsidR="009060BD">
        <w:rPr>
          <w:rFonts w:ascii="Verdana" w:hAnsi="Verdana"/>
        </w:rPr>
        <w:t xml:space="preserve"> relacionado con la vinculación de mujeres en cargos del nivel directivo, </w:t>
      </w:r>
      <w:r w:rsidR="00CD4CA2">
        <w:rPr>
          <w:rFonts w:ascii="Verdana" w:hAnsi="Verdana"/>
        </w:rPr>
        <w:t xml:space="preserve">con el cual se relaciona la consulta de la referencia. Dicho norma indica lo siguiente: </w:t>
      </w:r>
      <w:r w:rsidR="009060BD">
        <w:rPr>
          <w:rFonts w:ascii="Verdana" w:hAnsi="Verdana"/>
        </w:rPr>
        <w:t xml:space="preserve"> </w:t>
      </w:r>
    </w:p>
    <w:p w14:paraId="21A969E7" w14:textId="77777777" w:rsidR="00CD4CA2" w:rsidRDefault="00CD4CA2" w:rsidP="004017B3">
      <w:pPr>
        <w:spacing w:after="0"/>
        <w:ind w:left="709" w:right="709"/>
        <w:jc w:val="both"/>
        <w:rPr>
          <w:rFonts w:ascii="Verdana" w:hAnsi="Verdana"/>
          <w:i/>
          <w:iCs/>
          <w:sz w:val="21"/>
          <w:szCs w:val="21"/>
        </w:rPr>
      </w:pPr>
    </w:p>
    <w:p w14:paraId="608CD2B6" w14:textId="27D98E09" w:rsidR="004017B3" w:rsidRPr="001D0D1B" w:rsidRDefault="002F7745" w:rsidP="001D0D1B">
      <w:pPr>
        <w:spacing w:after="0" w:line="240" w:lineRule="auto"/>
        <w:ind w:left="709" w:right="709"/>
        <w:jc w:val="both"/>
        <w:rPr>
          <w:rFonts w:ascii="Verdana" w:hAnsi="Verdana"/>
          <w:i/>
          <w:sz w:val="20"/>
          <w:szCs w:val="20"/>
        </w:rPr>
      </w:pPr>
      <w:r w:rsidRPr="001D0D1B">
        <w:rPr>
          <w:rFonts w:ascii="Verdana" w:hAnsi="Verdana"/>
          <w:i/>
          <w:sz w:val="20"/>
          <w:szCs w:val="20"/>
        </w:rPr>
        <w:t>“</w:t>
      </w:r>
      <w:r w:rsidRPr="001D0D1B">
        <w:rPr>
          <w:rFonts w:ascii="Verdana" w:hAnsi="Verdana"/>
          <w:sz w:val="20"/>
          <w:szCs w:val="20"/>
        </w:rPr>
        <w:t xml:space="preserve">Artículo 2.2.1.2.4.2.14. Definición de emprendimientos y empresas de mujeres. Con el propósito de </w:t>
      </w:r>
      <w:r w:rsidR="00633D95" w:rsidRPr="001D0D1B">
        <w:rPr>
          <w:rFonts w:ascii="Verdana" w:hAnsi="Verdana"/>
          <w:sz w:val="20"/>
          <w:szCs w:val="20"/>
        </w:rPr>
        <w:t>adoptar medidas afirmativas que incentiven la participación de las mujeres en el sistema de compras públicas</w:t>
      </w:r>
      <w:r w:rsidR="00237C6D" w:rsidRPr="001D0D1B">
        <w:rPr>
          <w:rFonts w:ascii="Verdana" w:hAnsi="Verdana"/>
          <w:sz w:val="20"/>
          <w:szCs w:val="20"/>
        </w:rPr>
        <w:t>, se entenderán como emprendimientos y empresas</w:t>
      </w:r>
      <w:r w:rsidR="003F56AC" w:rsidRPr="001D0D1B">
        <w:rPr>
          <w:rFonts w:ascii="Verdana" w:hAnsi="Verdana"/>
          <w:sz w:val="20"/>
          <w:szCs w:val="20"/>
        </w:rPr>
        <w:t xml:space="preserve"> de mujeres aquellas que cumplan con alguna de las siguientes condiciones:</w:t>
      </w:r>
    </w:p>
    <w:p w14:paraId="10EBB23D" w14:textId="77777777" w:rsidR="003F56AC" w:rsidRPr="001D0D1B" w:rsidRDefault="003F56AC" w:rsidP="001D0D1B">
      <w:pPr>
        <w:spacing w:after="0" w:line="240" w:lineRule="auto"/>
        <w:ind w:left="709" w:right="709"/>
        <w:jc w:val="both"/>
        <w:rPr>
          <w:rFonts w:ascii="Verdana" w:hAnsi="Verdana"/>
          <w:i/>
          <w:sz w:val="20"/>
          <w:szCs w:val="20"/>
        </w:rPr>
      </w:pPr>
    </w:p>
    <w:p w14:paraId="649170B3" w14:textId="68850E01" w:rsidR="001D502C" w:rsidRPr="001D0D1B" w:rsidRDefault="001D502C" w:rsidP="001D0D1B">
      <w:pPr>
        <w:spacing w:after="0" w:line="240" w:lineRule="auto"/>
        <w:ind w:left="709" w:right="709"/>
        <w:jc w:val="both"/>
        <w:rPr>
          <w:rFonts w:ascii="Verdana" w:hAnsi="Verdana"/>
          <w:i/>
          <w:sz w:val="20"/>
          <w:szCs w:val="20"/>
        </w:rPr>
      </w:pPr>
      <w:r w:rsidRPr="001D0D1B">
        <w:rPr>
          <w:rFonts w:ascii="Verdana" w:hAnsi="Verdana"/>
          <w:i/>
          <w:sz w:val="20"/>
          <w:szCs w:val="20"/>
        </w:rPr>
        <w:t>[…]</w:t>
      </w:r>
    </w:p>
    <w:p w14:paraId="1BBB0DA2" w14:textId="77777777" w:rsidR="001D502C" w:rsidRPr="001D0D1B" w:rsidRDefault="001D502C" w:rsidP="001D0D1B">
      <w:pPr>
        <w:spacing w:after="0" w:line="240" w:lineRule="auto"/>
        <w:ind w:left="709" w:right="709"/>
        <w:jc w:val="both"/>
        <w:rPr>
          <w:rFonts w:ascii="Verdana" w:hAnsi="Verdana"/>
          <w:i/>
          <w:sz w:val="20"/>
          <w:szCs w:val="20"/>
        </w:rPr>
      </w:pPr>
    </w:p>
    <w:p w14:paraId="07849EE5" w14:textId="6E694DDD" w:rsidR="001D502C" w:rsidRPr="001D0D1B" w:rsidRDefault="001D502C" w:rsidP="001D0D1B">
      <w:pPr>
        <w:spacing w:after="0" w:line="240" w:lineRule="auto"/>
        <w:ind w:left="709" w:right="709"/>
        <w:jc w:val="both"/>
        <w:rPr>
          <w:rFonts w:ascii="Verdana" w:hAnsi="Verdana"/>
          <w:i/>
          <w:sz w:val="20"/>
          <w:szCs w:val="20"/>
          <w:u w:val="single"/>
        </w:rPr>
      </w:pPr>
      <w:r w:rsidRPr="001D0D1B">
        <w:rPr>
          <w:rFonts w:ascii="Verdana" w:hAnsi="Verdana"/>
          <w:i/>
          <w:sz w:val="20"/>
          <w:szCs w:val="20"/>
        </w:rPr>
        <w:t xml:space="preserve">2. </w:t>
      </w:r>
      <w:r w:rsidRPr="001D0D1B">
        <w:rPr>
          <w:rFonts w:ascii="Verdana" w:hAnsi="Verdana"/>
          <w:i/>
          <w:sz w:val="20"/>
          <w:szCs w:val="20"/>
          <w:u w:val="single"/>
        </w:rPr>
        <w:t>Cuando por lo menos el cin</w:t>
      </w:r>
      <w:r w:rsidR="00406844" w:rsidRPr="001D0D1B">
        <w:rPr>
          <w:rFonts w:ascii="Verdana" w:hAnsi="Verdana"/>
          <w:i/>
          <w:sz w:val="20"/>
          <w:szCs w:val="20"/>
          <w:u w:val="single"/>
        </w:rPr>
        <w:t xml:space="preserve">cuenta </w:t>
      </w:r>
      <w:r w:rsidR="004C6BBD" w:rsidRPr="001D0D1B">
        <w:rPr>
          <w:rFonts w:ascii="Verdana" w:hAnsi="Verdana"/>
          <w:i/>
          <w:sz w:val="20"/>
          <w:szCs w:val="20"/>
          <w:u w:val="single"/>
        </w:rPr>
        <w:t xml:space="preserve">por </w:t>
      </w:r>
      <w:r w:rsidR="00DA1E11" w:rsidRPr="001D0D1B">
        <w:rPr>
          <w:rFonts w:ascii="Verdana" w:hAnsi="Verdana"/>
          <w:i/>
          <w:sz w:val="20"/>
          <w:szCs w:val="20"/>
          <w:u w:val="single"/>
        </w:rPr>
        <w:t>ciento (50%) de los empleos del nivel directivo de la persona jurídica sean ejercidos por mujeres y estás hayan estado vinculadas laboralmente a la empresa durante al menos el ultimo año anterior a la fecha de cierre del proceso de selección en el mismo cargo u otro del mismo nivel.</w:t>
      </w:r>
    </w:p>
    <w:p w14:paraId="3248A5D9" w14:textId="5A4CA987" w:rsidR="00DA1E11" w:rsidRPr="001D0D1B" w:rsidRDefault="00DA1E11" w:rsidP="001D0D1B">
      <w:pPr>
        <w:spacing w:after="0" w:line="240" w:lineRule="auto"/>
        <w:ind w:left="709" w:right="709"/>
        <w:jc w:val="both"/>
        <w:rPr>
          <w:rFonts w:ascii="Verdana" w:hAnsi="Verdana"/>
          <w:i/>
          <w:sz w:val="20"/>
          <w:szCs w:val="20"/>
        </w:rPr>
      </w:pPr>
    </w:p>
    <w:p w14:paraId="42DED6BD" w14:textId="77777777" w:rsidR="00F56AB4" w:rsidRPr="001D0D1B" w:rsidRDefault="00DA1E11" w:rsidP="001D0D1B">
      <w:pPr>
        <w:spacing w:after="0" w:line="240" w:lineRule="auto"/>
        <w:ind w:left="709" w:right="709"/>
        <w:jc w:val="both"/>
        <w:rPr>
          <w:rFonts w:ascii="Verdana" w:hAnsi="Verdana"/>
          <w:i/>
          <w:iCs/>
          <w:sz w:val="20"/>
          <w:szCs w:val="20"/>
        </w:rPr>
      </w:pPr>
      <w:r w:rsidRPr="001D0D1B">
        <w:rPr>
          <w:rFonts w:ascii="Verdana" w:hAnsi="Verdana"/>
          <w:i/>
          <w:sz w:val="20"/>
          <w:szCs w:val="20"/>
        </w:rPr>
        <w:t xml:space="preserve">Se entenderán como empleos del nivel directivo aquellos cuyas funciones están relacionadas con la dirección de áreas misionales de la empresa y la toma de decisiones </w:t>
      </w:r>
      <w:r w:rsidR="00CD6708" w:rsidRPr="001D0D1B">
        <w:rPr>
          <w:rFonts w:ascii="Verdana" w:hAnsi="Verdana"/>
          <w:i/>
          <w:sz w:val="20"/>
          <w:szCs w:val="20"/>
        </w:rPr>
        <w:t>a nivel</w:t>
      </w:r>
      <w:r w:rsidRPr="001D0D1B">
        <w:rPr>
          <w:rFonts w:ascii="Verdana" w:hAnsi="Verdana"/>
          <w:i/>
          <w:sz w:val="20"/>
          <w:szCs w:val="20"/>
        </w:rPr>
        <w:t xml:space="preserve"> </w:t>
      </w:r>
      <w:r w:rsidR="00CD6708" w:rsidRPr="001D0D1B">
        <w:rPr>
          <w:rFonts w:ascii="Verdana" w:hAnsi="Verdana"/>
          <w:i/>
          <w:sz w:val="20"/>
          <w:szCs w:val="20"/>
        </w:rPr>
        <w:t>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711B656A" w14:textId="77777777" w:rsidR="00444725" w:rsidRPr="001D0D1B" w:rsidRDefault="00444725" w:rsidP="001D0D1B">
      <w:pPr>
        <w:spacing w:after="0" w:line="240" w:lineRule="auto"/>
        <w:ind w:left="709" w:right="709"/>
        <w:jc w:val="both"/>
        <w:rPr>
          <w:rFonts w:ascii="Verdana" w:hAnsi="Verdana"/>
          <w:i/>
          <w:iCs/>
          <w:sz w:val="20"/>
          <w:szCs w:val="20"/>
        </w:rPr>
      </w:pPr>
      <w:r w:rsidRPr="001D0D1B">
        <w:rPr>
          <w:rFonts w:ascii="Verdana" w:hAnsi="Verdana"/>
          <w:i/>
          <w:iCs/>
          <w:sz w:val="20"/>
          <w:szCs w:val="20"/>
        </w:rPr>
        <w:lastRenderedPageBreak/>
        <w:t>  </w:t>
      </w:r>
    </w:p>
    <w:p w14:paraId="430E938F" w14:textId="77777777" w:rsidR="00444725" w:rsidRPr="001D0D1B" w:rsidRDefault="00444725" w:rsidP="001D0D1B">
      <w:pPr>
        <w:spacing w:after="0" w:line="240" w:lineRule="auto"/>
        <w:ind w:left="709" w:right="709"/>
        <w:jc w:val="both"/>
        <w:rPr>
          <w:rFonts w:ascii="Verdana" w:hAnsi="Verdana"/>
          <w:i/>
          <w:iCs/>
          <w:sz w:val="20"/>
          <w:szCs w:val="20"/>
        </w:rPr>
      </w:pPr>
      <w:r w:rsidRPr="001D0D1B">
        <w:rPr>
          <w:rFonts w:ascii="Verdana" w:hAnsi="Verdana"/>
          <w:i/>
          <w:iCs/>
          <w:sz w:val="20"/>
          <w:szCs w:val="20"/>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w:t>
      </w:r>
    </w:p>
    <w:p w14:paraId="213FBF20" w14:textId="77777777" w:rsidR="00444725" w:rsidRPr="001D0D1B" w:rsidRDefault="00444725" w:rsidP="001D0D1B">
      <w:pPr>
        <w:spacing w:after="0" w:line="240" w:lineRule="auto"/>
        <w:ind w:left="709" w:right="709"/>
        <w:jc w:val="both"/>
        <w:rPr>
          <w:rFonts w:ascii="Verdana" w:hAnsi="Verdana"/>
          <w:i/>
          <w:iCs/>
          <w:sz w:val="20"/>
          <w:szCs w:val="20"/>
        </w:rPr>
      </w:pPr>
      <w:r w:rsidRPr="001D0D1B">
        <w:rPr>
          <w:rFonts w:ascii="Verdana" w:hAnsi="Verdana"/>
          <w:i/>
          <w:iCs/>
          <w:sz w:val="20"/>
          <w:szCs w:val="20"/>
        </w:rPr>
        <w:t>  </w:t>
      </w:r>
    </w:p>
    <w:p w14:paraId="12E8A10F" w14:textId="75FE3228" w:rsidR="00914912" w:rsidRDefault="00444725" w:rsidP="00444725">
      <w:pPr>
        <w:spacing w:after="0" w:line="240" w:lineRule="auto"/>
        <w:ind w:left="709" w:right="709"/>
        <w:jc w:val="both"/>
        <w:rPr>
          <w:rFonts w:ascii="Verdana" w:hAnsi="Verdana"/>
          <w:i/>
          <w:iCs/>
          <w:sz w:val="20"/>
          <w:szCs w:val="20"/>
        </w:rPr>
      </w:pPr>
      <w:r w:rsidRPr="001D0D1B">
        <w:rPr>
          <w:rFonts w:ascii="Verdana" w:hAnsi="Verdana"/>
          <w:i/>
          <w:iCs/>
          <w:sz w:val="20"/>
          <w:szCs w:val="20"/>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 </w:t>
      </w:r>
    </w:p>
    <w:p w14:paraId="271478FE" w14:textId="77777777" w:rsidR="00444725" w:rsidRPr="001D0D1B" w:rsidRDefault="00444725" w:rsidP="001D0D1B">
      <w:pPr>
        <w:spacing w:after="0" w:line="240" w:lineRule="auto"/>
        <w:ind w:left="709" w:right="709"/>
        <w:jc w:val="both"/>
        <w:rPr>
          <w:rFonts w:ascii="Verdana" w:hAnsi="Verdana"/>
          <w:sz w:val="20"/>
          <w:szCs w:val="20"/>
        </w:rPr>
      </w:pPr>
    </w:p>
    <w:p w14:paraId="3307EF2D" w14:textId="5DA4B60B" w:rsidR="00F56AB4" w:rsidRPr="001D0D1B" w:rsidRDefault="00914912" w:rsidP="001D0D1B">
      <w:pPr>
        <w:spacing w:after="0" w:line="240" w:lineRule="auto"/>
        <w:ind w:left="709" w:right="709"/>
        <w:jc w:val="both"/>
        <w:rPr>
          <w:rFonts w:ascii="Verdana" w:hAnsi="Verdana"/>
          <w:sz w:val="20"/>
          <w:szCs w:val="20"/>
        </w:rPr>
      </w:pPr>
      <w:r w:rsidRPr="001D0D1B">
        <w:rPr>
          <w:rFonts w:ascii="Verdana" w:hAnsi="Verdana"/>
          <w:sz w:val="20"/>
          <w:szCs w:val="20"/>
        </w:rPr>
        <w:t>[….]</w:t>
      </w:r>
    </w:p>
    <w:p w14:paraId="47A2A6C5" w14:textId="77777777" w:rsidR="00914912" w:rsidRPr="001D0D1B" w:rsidRDefault="00914912" w:rsidP="001D0D1B">
      <w:pPr>
        <w:spacing w:after="0" w:line="240" w:lineRule="auto"/>
        <w:ind w:left="709" w:right="709"/>
        <w:jc w:val="both"/>
        <w:rPr>
          <w:rFonts w:ascii="Verdana" w:hAnsi="Verdana"/>
          <w:b/>
          <w:bCs/>
          <w:sz w:val="20"/>
          <w:szCs w:val="20"/>
        </w:rPr>
      </w:pPr>
    </w:p>
    <w:p w14:paraId="68CF0684" w14:textId="27BB28B9" w:rsidR="00CD6708" w:rsidRPr="001D0D1B" w:rsidRDefault="00F56AB4" w:rsidP="001D0D1B">
      <w:pPr>
        <w:spacing w:after="0" w:line="240" w:lineRule="auto"/>
        <w:ind w:left="709" w:right="709"/>
        <w:jc w:val="both"/>
        <w:rPr>
          <w:rFonts w:ascii="Verdana" w:hAnsi="Verdana"/>
          <w:i/>
          <w:sz w:val="20"/>
          <w:szCs w:val="20"/>
        </w:rPr>
      </w:pPr>
      <w:r w:rsidRPr="001D0D1B">
        <w:rPr>
          <w:rFonts w:ascii="Verdana" w:hAnsi="Verdana"/>
          <w:sz w:val="20"/>
          <w:szCs w:val="20"/>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w:t>
      </w:r>
      <w:r w:rsidR="008F239F" w:rsidRPr="001D0D1B">
        <w:rPr>
          <w:rFonts w:ascii="Verdana" w:hAnsi="Verdana"/>
          <w:sz w:val="20"/>
          <w:szCs w:val="20"/>
        </w:rPr>
        <w:t>[…]”</w:t>
      </w:r>
      <w:r w:rsidR="008F239F" w:rsidRPr="001D0D1B">
        <w:rPr>
          <w:rFonts w:ascii="Verdana" w:hAnsi="Verdana"/>
          <w:i/>
          <w:sz w:val="20"/>
          <w:szCs w:val="20"/>
        </w:rPr>
        <w:t>.</w:t>
      </w:r>
    </w:p>
    <w:p w14:paraId="2DFC7B44" w14:textId="77777777" w:rsidR="008F239F" w:rsidRDefault="008F239F" w:rsidP="004017B3">
      <w:pPr>
        <w:spacing w:after="0"/>
        <w:ind w:left="709" w:right="709"/>
        <w:jc w:val="both"/>
        <w:rPr>
          <w:rFonts w:ascii="Verdana" w:hAnsi="Verdana"/>
          <w:i/>
          <w:iCs/>
          <w:sz w:val="21"/>
          <w:szCs w:val="21"/>
        </w:rPr>
      </w:pPr>
    </w:p>
    <w:p w14:paraId="23AEEAB0" w14:textId="5215F9DA" w:rsidR="008F239F" w:rsidRPr="007C3182" w:rsidRDefault="00F437FA" w:rsidP="001D0D1B">
      <w:pPr>
        <w:spacing w:after="120"/>
        <w:ind w:firstLine="709"/>
        <w:jc w:val="both"/>
        <w:rPr>
          <w:rFonts w:ascii="Verdana" w:hAnsi="Verdana"/>
        </w:rPr>
      </w:pPr>
      <w:r w:rsidRPr="007C3182">
        <w:rPr>
          <w:rFonts w:ascii="Verdana" w:hAnsi="Verdana"/>
        </w:rPr>
        <w:t xml:space="preserve">De acuerdo con el numeral citado, una persona jurídica podrá ser considerada como un emprendimiento o empresa de mujeres cuando </w:t>
      </w:r>
      <w:r w:rsidR="00AC1278" w:rsidRPr="007C3182">
        <w:rPr>
          <w:rFonts w:ascii="Verdana" w:hAnsi="Verdana"/>
        </w:rPr>
        <w:t>más</w:t>
      </w:r>
      <w:r w:rsidRPr="007C3182">
        <w:rPr>
          <w:rFonts w:ascii="Verdana" w:hAnsi="Verdana"/>
        </w:rPr>
        <w:t xml:space="preserve"> del 50 </w:t>
      </w:r>
      <w:r w:rsidR="00AC1278" w:rsidRPr="007C3182">
        <w:rPr>
          <w:rFonts w:ascii="Verdana" w:hAnsi="Verdana"/>
        </w:rPr>
        <w:t>% de</w:t>
      </w:r>
      <w:r w:rsidR="00B5078C" w:rsidRPr="007C3182">
        <w:rPr>
          <w:rFonts w:ascii="Verdana" w:hAnsi="Verdana"/>
        </w:rPr>
        <w:t xml:space="preserve"> los empleos del </w:t>
      </w:r>
      <w:r w:rsidR="00B5078C" w:rsidRPr="001D0D1B">
        <w:rPr>
          <w:rFonts w:ascii="Verdana" w:hAnsi="Verdana"/>
          <w:i/>
        </w:rPr>
        <w:t>nivel directivo</w:t>
      </w:r>
      <w:r w:rsidR="00B5078C" w:rsidRPr="007C3182">
        <w:rPr>
          <w:rFonts w:ascii="Verdana" w:hAnsi="Verdana"/>
        </w:rPr>
        <w:t xml:space="preserve"> sean ejercidos por mujeres</w:t>
      </w:r>
      <w:r w:rsidR="00AC1278" w:rsidRPr="007C3182">
        <w:rPr>
          <w:rFonts w:ascii="Verdana" w:hAnsi="Verdana"/>
        </w:rPr>
        <w:t xml:space="preserve">. </w:t>
      </w:r>
      <w:r w:rsidR="003B6AD1" w:rsidRPr="007C3182">
        <w:rPr>
          <w:rFonts w:ascii="Verdana" w:hAnsi="Verdana"/>
        </w:rPr>
        <w:t>De esta manera</w:t>
      </w:r>
      <w:r w:rsidR="0077288F" w:rsidRPr="007C3182">
        <w:rPr>
          <w:rFonts w:ascii="Verdana" w:hAnsi="Verdana"/>
        </w:rPr>
        <w:t xml:space="preserve"> los cargos directivos deben identificarse de acuerd</w:t>
      </w:r>
      <w:r w:rsidR="007733FE" w:rsidRPr="007C3182">
        <w:rPr>
          <w:rFonts w:ascii="Verdana" w:hAnsi="Verdana"/>
        </w:rPr>
        <w:t>o con la definición que para el efecto estableció el Decreto 1082 de 2015, adicionado por el Decreto 1860 de 2021</w:t>
      </w:r>
      <w:r w:rsidR="00731DE2" w:rsidRPr="007C3182">
        <w:rPr>
          <w:rFonts w:ascii="Verdana" w:hAnsi="Verdana"/>
        </w:rPr>
        <w:t xml:space="preserve">. En ese sentido, independientemente de la denominación del cargo, su naturaleza será directiva </w:t>
      </w:r>
      <w:r w:rsidR="00F3271A" w:rsidRPr="007C3182">
        <w:rPr>
          <w:rFonts w:ascii="Verdana" w:hAnsi="Verdana"/>
        </w:rPr>
        <w:t>bien porque se encuentra en un nivel especial de mando o, porque de acuerdo con su jerarquía, representa al empleador en los términos del artículo</w:t>
      </w:r>
      <w:r w:rsidR="00113E64" w:rsidRPr="007C3182">
        <w:rPr>
          <w:rFonts w:ascii="Verdana" w:hAnsi="Verdana"/>
        </w:rPr>
        <w:t xml:space="preserve"> 32 del Código Sustantivo del Trabajo</w:t>
      </w:r>
      <w:r w:rsidR="00113E64">
        <w:rPr>
          <w:rStyle w:val="Refdenotaalpie"/>
          <w:rFonts w:ascii="Verdana" w:hAnsi="Verdana"/>
        </w:rPr>
        <w:footnoteReference w:id="3"/>
      </w:r>
      <w:r w:rsidR="00381674" w:rsidRPr="007C3182">
        <w:rPr>
          <w:rFonts w:ascii="Verdana" w:hAnsi="Verdana"/>
        </w:rPr>
        <w:t>.</w:t>
      </w:r>
    </w:p>
    <w:p w14:paraId="08B16EA4" w14:textId="7854CC99" w:rsidR="00361154" w:rsidRDefault="006156A5" w:rsidP="001D0D1B">
      <w:pPr>
        <w:pStyle w:val="Prrafodelista"/>
        <w:spacing w:after="120"/>
        <w:ind w:left="0" w:firstLine="709"/>
        <w:contextualSpacing w:val="0"/>
        <w:jc w:val="both"/>
        <w:rPr>
          <w:rFonts w:ascii="Verdana" w:hAnsi="Verdana"/>
        </w:rPr>
      </w:pPr>
      <w:r>
        <w:rPr>
          <w:rFonts w:ascii="Verdana" w:hAnsi="Verdana"/>
        </w:rPr>
        <w:t>Para la aplica</w:t>
      </w:r>
      <w:r w:rsidR="00FE4B5A">
        <w:rPr>
          <w:rFonts w:ascii="Verdana" w:hAnsi="Verdana"/>
        </w:rPr>
        <w:t xml:space="preserve">ción de la definición que se comenta, debe tenerse en cuenta únicamente a los </w:t>
      </w:r>
      <w:r w:rsidR="004F6348">
        <w:rPr>
          <w:rFonts w:ascii="Verdana" w:hAnsi="Verdana"/>
        </w:rPr>
        <w:t>empleos del nivel directivo, lo que excluye a los demás empleos de planta de personal, como por ejemplo los operativos</w:t>
      </w:r>
      <w:r w:rsidR="008F5732">
        <w:rPr>
          <w:rFonts w:ascii="Verdana" w:hAnsi="Verdana"/>
        </w:rPr>
        <w:t>. En segundo lugar, no basta con que los cargos directivos en una sociedad sean mayoritariamente de mujeres para que sea considerada como empresa o emprendimiento a los que se refiere la norma, sino que además es necesario que dicha</w:t>
      </w:r>
      <w:r w:rsidR="00DE61AA">
        <w:rPr>
          <w:rFonts w:ascii="Verdana" w:hAnsi="Verdana"/>
        </w:rPr>
        <w:t xml:space="preserve"> vinculación mayoritaria de mujeres en los empleos del nivel directivo de la empresa se haya </w:t>
      </w:r>
      <w:r w:rsidR="00DE61AA">
        <w:rPr>
          <w:rFonts w:ascii="Verdana" w:hAnsi="Verdana"/>
        </w:rPr>
        <w:lastRenderedPageBreak/>
        <w:t>mantenido como mínimo durante</w:t>
      </w:r>
      <w:r w:rsidR="00FB7FB6">
        <w:rPr>
          <w:rFonts w:ascii="Verdana" w:hAnsi="Verdana"/>
        </w:rPr>
        <w:t xml:space="preserve"> el periodo de un año, contado a partir de la fecha de cierre del proceso de selección</w:t>
      </w:r>
      <w:r w:rsidR="008C5251">
        <w:rPr>
          <w:rFonts w:ascii="Verdana" w:hAnsi="Verdana"/>
        </w:rPr>
        <w:t>, de esta manera, el criterio establecido en la norma para definir los emp</w:t>
      </w:r>
      <w:r w:rsidR="00D83DDD">
        <w:rPr>
          <w:rFonts w:ascii="Verdana" w:hAnsi="Verdana"/>
        </w:rPr>
        <w:t xml:space="preserve">rendimientos y empresas de mujeres deja </w:t>
      </w:r>
      <w:r w:rsidR="00F24CDF">
        <w:rPr>
          <w:rFonts w:ascii="Verdana" w:hAnsi="Verdana"/>
        </w:rPr>
        <w:t xml:space="preserve">por fuera de dicha </w:t>
      </w:r>
      <w:r w:rsidR="00E77A1F">
        <w:rPr>
          <w:rFonts w:ascii="Verdana" w:hAnsi="Verdana"/>
        </w:rPr>
        <w:t>categoría a aquellas sociedades que, a pesar de contar con la participación mayoritaria de mujeres en el nivel directivo, no cuenten con el requerimiento del tiempo mínimo de un año.</w:t>
      </w:r>
    </w:p>
    <w:p w14:paraId="1F8D8D86" w14:textId="4648E7FE" w:rsidR="00603339" w:rsidRDefault="00F92D81" w:rsidP="001D0D1B">
      <w:pPr>
        <w:pStyle w:val="Prrafodelista"/>
        <w:spacing w:after="120"/>
        <w:ind w:left="0" w:firstLine="709"/>
        <w:contextualSpacing w:val="0"/>
        <w:jc w:val="both"/>
        <w:rPr>
          <w:rFonts w:ascii="Verdana" w:hAnsi="Verdana"/>
        </w:rPr>
      </w:pPr>
      <w:r>
        <w:rPr>
          <w:rFonts w:ascii="Verdana" w:hAnsi="Verdana"/>
        </w:rPr>
        <w:t>Como medio para la acreditación de la condición en comento, la disposición en cita establece una certificación expedida por el representante legal y el revisor fiscal en la que consten todas las personas que conforman los cargos de nivel directivo</w:t>
      </w:r>
      <w:r w:rsidR="00E36C63">
        <w:rPr>
          <w:rFonts w:ascii="Verdana" w:hAnsi="Verdana"/>
        </w:rPr>
        <w:t xml:space="preserve"> del proponente, el </w:t>
      </w:r>
      <w:r w:rsidR="00AD048E">
        <w:rPr>
          <w:rFonts w:ascii="Verdana" w:hAnsi="Verdana"/>
        </w:rPr>
        <w:t>número</w:t>
      </w:r>
      <w:r w:rsidR="00E36C63">
        <w:rPr>
          <w:rFonts w:ascii="Verdana" w:hAnsi="Verdana"/>
        </w:rPr>
        <w:t xml:space="preserve"> de mujeres y el tiempo de vinculación. Dicho documento además debe relacionar los nombres completos de las personas que integran</w:t>
      </w:r>
      <w:r w:rsidR="00603339">
        <w:rPr>
          <w:rFonts w:ascii="Verdana" w:hAnsi="Verdana"/>
        </w:rPr>
        <w:t xml:space="preserve"> el nivel directivo y los números de documentos de identidad de cada uno de ellos. Adicionalmente, la norma dispone la mencionada certificación de presentarse acompañada de copia de los respectivos documentos de identidad, copia de los contratos de trabajo o certificación laboral con funciones, así como el certificado de aportes a seguridad social del </w:t>
      </w:r>
      <w:r w:rsidR="00996C21">
        <w:rPr>
          <w:rFonts w:ascii="Verdana" w:hAnsi="Verdana"/>
        </w:rPr>
        <w:t>último</w:t>
      </w:r>
      <w:r w:rsidR="00603339">
        <w:rPr>
          <w:rFonts w:ascii="Verdana" w:hAnsi="Verdana"/>
        </w:rPr>
        <w:t xml:space="preserve"> año en el que se demuestren los pagos realizados por el empleador</w:t>
      </w:r>
      <w:r w:rsidR="00B5511A">
        <w:rPr>
          <w:rFonts w:ascii="Verdana" w:hAnsi="Verdana"/>
        </w:rPr>
        <w:t xml:space="preserve">, sin embargo, </w:t>
      </w:r>
      <w:r w:rsidR="006F0F4D">
        <w:rPr>
          <w:rFonts w:ascii="Verdana" w:hAnsi="Verdana"/>
        </w:rPr>
        <w:t xml:space="preserve">la sola presentación de la certificación con las copias de los </w:t>
      </w:r>
      <w:r w:rsidR="00731BAD">
        <w:rPr>
          <w:rFonts w:ascii="Verdana" w:hAnsi="Verdana"/>
        </w:rPr>
        <w:t>documentos de identidad, de los contratos laborales y los certificados de aportes a la se</w:t>
      </w:r>
      <w:r w:rsidR="00C7481B">
        <w:rPr>
          <w:rFonts w:ascii="Verdana" w:hAnsi="Verdana"/>
        </w:rPr>
        <w:t>guridad social no confiere</w:t>
      </w:r>
      <w:r w:rsidR="002C08FE">
        <w:rPr>
          <w:rFonts w:ascii="Verdana" w:hAnsi="Verdana"/>
        </w:rPr>
        <w:t xml:space="preserve"> no confiere automáticamente </w:t>
      </w:r>
      <w:r w:rsidR="001A7FD7">
        <w:rPr>
          <w:rFonts w:ascii="Verdana" w:hAnsi="Verdana"/>
        </w:rPr>
        <w:t>el acceso a criterios diferenciales</w:t>
      </w:r>
      <w:r w:rsidR="002E6B9F">
        <w:rPr>
          <w:rFonts w:ascii="Verdana" w:hAnsi="Verdana"/>
        </w:rPr>
        <w:t>.</w:t>
      </w:r>
    </w:p>
    <w:p w14:paraId="0CA68ABE" w14:textId="7421D2ED" w:rsidR="00B43063" w:rsidRDefault="004D24B1" w:rsidP="001D0D1B">
      <w:pPr>
        <w:pStyle w:val="Prrafodelista"/>
        <w:spacing w:after="120"/>
        <w:ind w:left="0" w:firstLine="709"/>
        <w:contextualSpacing w:val="0"/>
        <w:jc w:val="both"/>
        <w:rPr>
          <w:rFonts w:ascii="Verdana" w:hAnsi="Verdana"/>
        </w:rPr>
      </w:pPr>
      <w:r>
        <w:rPr>
          <w:rFonts w:ascii="Verdana" w:hAnsi="Verdana"/>
        </w:rPr>
        <w:t xml:space="preserve">Conforme a lo anterior, </w:t>
      </w:r>
      <w:r w:rsidR="00A361EF">
        <w:rPr>
          <w:rFonts w:ascii="Verdana" w:hAnsi="Verdana"/>
        </w:rPr>
        <w:t xml:space="preserve">para </w:t>
      </w:r>
      <w:r w:rsidR="00BD14EE">
        <w:rPr>
          <w:rFonts w:ascii="Verdana" w:hAnsi="Verdana"/>
        </w:rPr>
        <w:t>acceder a estos criterios diferenciales</w:t>
      </w:r>
      <w:r w:rsidR="002908A6">
        <w:rPr>
          <w:rFonts w:ascii="Verdana" w:hAnsi="Verdana"/>
        </w:rPr>
        <w:t>, la entidad debe comprobar que el número de mujeres vinculadas equivale a un porcentaje igual o superior al cincuenta por ciento (50%) de los empleos del nivel directivo</w:t>
      </w:r>
      <w:r w:rsidR="007E0355">
        <w:rPr>
          <w:rFonts w:ascii="Verdana" w:hAnsi="Verdana"/>
        </w:rPr>
        <w:t xml:space="preserve">, lo que se verificar con la información incluida en la certificación. </w:t>
      </w:r>
      <w:r w:rsidR="00996C21">
        <w:rPr>
          <w:rFonts w:ascii="Verdana" w:hAnsi="Verdana"/>
        </w:rPr>
        <w:t>Asimismo,</w:t>
      </w:r>
      <w:r w:rsidR="007E0355">
        <w:rPr>
          <w:rFonts w:ascii="Verdana" w:hAnsi="Verdana"/>
        </w:rPr>
        <w:t xml:space="preserve"> deberá establecerse si en efecto tal porcentaje de empleos en cabeza de mujeres se ha mantenido durante al menos u</w:t>
      </w:r>
      <w:r w:rsidR="00B17544">
        <w:rPr>
          <w:rFonts w:ascii="Verdana" w:hAnsi="Verdana"/>
        </w:rPr>
        <w:t xml:space="preserve">n año, contando a hasta la fecha de cierre, para lo que son útiles la certificación laboral, el contrato de trabajo </w:t>
      </w:r>
      <w:r w:rsidR="00285A09">
        <w:rPr>
          <w:rFonts w:ascii="Verdana" w:hAnsi="Verdana"/>
        </w:rPr>
        <w:t>y los certificados de aportes a seguridad social</w:t>
      </w:r>
      <w:r w:rsidR="009E0697">
        <w:rPr>
          <w:rFonts w:ascii="Verdana" w:hAnsi="Verdana"/>
        </w:rPr>
        <w:t>. También deberá establecerse si los empleos que ocupan las personas relacionadas en la certificación efectivamente</w:t>
      </w:r>
      <w:r w:rsidR="009E0176">
        <w:rPr>
          <w:rFonts w:ascii="Verdana" w:hAnsi="Verdana"/>
        </w:rPr>
        <w:t xml:space="preserve"> son del nivel directivo, para lo que deberá analizarse si las funciones descritas en el contrato o certificación aportada se subsumen en la noción establecida en el segundo inciso del numeral 2 del artículo 2.2.1.2.4.2.14</w:t>
      </w:r>
      <w:r w:rsidR="00C208FE">
        <w:rPr>
          <w:rFonts w:ascii="Verdana" w:hAnsi="Verdana"/>
        </w:rPr>
        <w:t xml:space="preserve"> del Decreto</w:t>
      </w:r>
      <w:r w:rsidR="0011027B">
        <w:rPr>
          <w:rFonts w:ascii="Verdana" w:hAnsi="Verdana"/>
        </w:rPr>
        <w:t xml:space="preserve"> 1</w:t>
      </w:r>
      <w:r w:rsidR="00EF311C">
        <w:rPr>
          <w:rFonts w:ascii="Verdana" w:hAnsi="Verdana"/>
        </w:rPr>
        <w:t>082 de 2015.</w:t>
      </w:r>
    </w:p>
    <w:p w14:paraId="442A77C4" w14:textId="28DBB54D" w:rsidR="003D75A3" w:rsidRDefault="003D75A3" w:rsidP="001D0D1B">
      <w:pPr>
        <w:pStyle w:val="Prrafodelista"/>
        <w:spacing w:after="120"/>
        <w:ind w:left="0" w:firstLine="709"/>
        <w:contextualSpacing w:val="0"/>
        <w:jc w:val="both"/>
        <w:rPr>
          <w:rFonts w:ascii="Verdana" w:hAnsi="Verdana"/>
        </w:rPr>
      </w:pPr>
      <w:r>
        <w:rPr>
          <w:rFonts w:ascii="Verdana" w:hAnsi="Verdana"/>
        </w:rPr>
        <w:t xml:space="preserve">Conforme a lo anterior, en el evento en que un proponente presenta la referida certificación con los </w:t>
      </w:r>
      <w:r w:rsidR="00D92815">
        <w:rPr>
          <w:rFonts w:ascii="Verdana" w:hAnsi="Verdana"/>
        </w:rPr>
        <w:t>respectivos soportes, pero se encuentre que los mismos no acreditan las condiciones descritas en el numeral 2 del artículo 2.2.1.</w:t>
      </w:r>
      <w:r w:rsidR="00E2328D">
        <w:rPr>
          <w:rFonts w:ascii="Verdana" w:hAnsi="Verdana"/>
        </w:rPr>
        <w:t>2.4.2.14. del Decreto 1</w:t>
      </w:r>
      <w:r w:rsidR="00EF311C">
        <w:rPr>
          <w:rFonts w:ascii="Verdana" w:hAnsi="Verdana"/>
        </w:rPr>
        <w:t>082 de 2015</w:t>
      </w:r>
      <w:r w:rsidR="00E2328D">
        <w:rPr>
          <w:rFonts w:ascii="Verdana" w:hAnsi="Verdana"/>
        </w:rPr>
        <w:t>, la entidad deberá tener por no acreditada la condición de emprendimiento o empresa de mujeres</w:t>
      </w:r>
      <w:r w:rsidR="00C41C8D">
        <w:rPr>
          <w:rFonts w:ascii="Verdana" w:hAnsi="Verdana"/>
        </w:rPr>
        <w:t>, y, en consecuencia, abstenerse de aplicar</w:t>
      </w:r>
      <w:r w:rsidR="00A701E9">
        <w:rPr>
          <w:rFonts w:ascii="Verdana" w:hAnsi="Verdana"/>
        </w:rPr>
        <w:t xml:space="preserve"> criterios diferenciales en favor de este oferente</w:t>
      </w:r>
      <w:r w:rsidR="00FB3E6D">
        <w:rPr>
          <w:rFonts w:ascii="Verdana" w:hAnsi="Verdana"/>
        </w:rPr>
        <w:t xml:space="preserve">. De esta manera, si, por ejemplo, analizados los documentos </w:t>
      </w:r>
      <w:r w:rsidR="00FB3E6D">
        <w:rPr>
          <w:rFonts w:ascii="Verdana" w:hAnsi="Verdana"/>
        </w:rPr>
        <w:lastRenderedPageBreak/>
        <w:t xml:space="preserve">presentados la entidad advierte que el porcentaje </w:t>
      </w:r>
      <w:r w:rsidR="000231B5">
        <w:rPr>
          <w:rFonts w:ascii="Verdana" w:hAnsi="Verdana"/>
        </w:rPr>
        <w:t>igual o superior al cincuenta por ciento (50%)</w:t>
      </w:r>
      <w:r w:rsidR="000E7568">
        <w:rPr>
          <w:rFonts w:ascii="Verdana" w:hAnsi="Verdana"/>
        </w:rPr>
        <w:t xml:space="preserve"> de mujeres en empleos del nivel directivo</w:t>
      </w:r>
      <w:r w:rsidR="00371153">
        <w:rPr>
          <w:rFonts w:ascii="Verdana" w:hAnsi="Verdana"/>
        </w:rPr>
        <w:t xml:space="preserve"> no se ha mantenido durante al menor el año anterior a la fecha del cierre del proceso de selección, no sería viable aplicar la mencionada definición. La misma con</w:t>
      </w:r>
      <w:r w:rsidR="006A4C35">
        <w:rPr>
          <w:rFonts w:ascii="Verdana" w:hAnsi="Verdana"/>
        </w:rPr>
        <w:t xml:space="preserve">secuencia </w:t>
      </w:r>
      <w:r w:rsidR="00DF2C0A">
        <w:rPr>
          <w:rFonts w:ascii="Verdana" w:hAnsi="Verdana"/>
        </w:rPr>
        <w:t>aplica al supuesto en el que se determine que las funciones de las trabajadoras presuntamente vinculadas a empleos del nivel directivo no co</w:t>
      </w:r>
      <w:r w:rsidR="003202CC">
        <w:rPr>
          <w:rFonts w:ascii="Verdana" w:hAnsi="Verdana"/>
        </w:rPr>
        <w:t>rresponden con las atribuida a ese tipo de cargos de conformidad con lo señalado en la norma.</w:t>
      </w:r>
    </w:p>
    <w:p w14:paraId="740D074B" w14:textId="2627DEAE" w:rsidR="00EF311C" w:rsidRDefault="00C213A2" w:rsidP="001D0D1B">
      <w:pPr>
        <w:pStyle w:val="Prrafodelista"/>
        <w:spacing w:after="120"/>
        <w:ind w:left="0" w:firstLine="709"/>
        <w:contextualSpacing w:val="0"/>
        <w:jc w:val="both"/>
        <w:rPr>
          <w:rFonts w:ascii="Verdana" w:hAnsi="Verdana"/>
        </w:rPr>
      </w:pPr>
      <w:r>
        <w:rPr>
          <w:rFonts w:ascii="Verdana" w:hAnsi="Verdana"/>
        </w:rPr>
        <w:t>Debe destacarse que, la noción de empleo del nivel directivo e</w:t>
      </w:r>
      <w:r w:rsidR="001C4276">
        <w:rPr>
          <w:rFonts w:ascii="Verdana" w:hAnsi="Verdana"/>
        </w:rPr>
        <w:t xml:space="preserve">stablecida en el inciso segundo del numeral 2 del artículo 2.2.1.2.4.2.14 se refiere a aquellos empleos </w:t>
      </w:r>
      <w:r w:rsidR="003D58DB">
        <w:rPr>
          <w:rFonts w:ascii="Verdana" w:hAnsi="Verdana"/>
        </w:rPr>
        <w:t>“[…] cuyas funciones están relacionadas</w:t>
      </w:r>
      <w:r w:rsidR="004B0AE9">
        <w:rPr>
          <w:rFonts w:ascii="Verdana" w:hAnsi="Verdana"/>
        </w:rPr>
        <w:t xml:space="preserve"> con la dirección de áreas misionales de la empresa y la toma de decisiones a nivel estratégico”. En ese orden, resulta claro que la norma no establece el monto de la remuneración </w:t>
      </w:r>
      <w:r w:rsidR="009112B7">
        <w:rPr>
          <w:rFonts w:ascii="Verdana" w:hAnsi="Verdana"/>
        </w:rPr>
        <w:t xml:space="preserve">como un criterio para determinar si un empleo es o no del nivel directivo, </w:t>
      </w:r>
      <w:r w:rsidR="00777773">
        <w:rPr>
          <w:rFonts w:ascii="Verdana" w:hAnsi="Verdana"/>
        </w:rPr>
        <w:t>por cuanto solo se refiere a la de manera cualitativa a un tipo de funciones asociadas a estos empleos</w:t>
      </w:r>
      <w:r w:rsidR="00C46A3F">
        <w:rPr>
          <w:rFonts w:ascii="Verdana" w:hAnsi="Verdana"/>
        </w:rPr>
        <w:t>.</w:t>
      </w:r>
    </w:p>
    <w:p w14:paraId="423E71CE" w14:textId="0518D14B" w:rsidR="00C46A3F" w:rsidRDefault="00C46A3F" w:rsidP="001D0D1B">
      <w:pPr>
        <w:pStyle w:val="Prrafodelista"/>
        <w:spacing w:after="120" w:line="276" w:lineRule="auto"/>
        <w:ind w:left="0" w:firstLine="709"/>
        <w:contextualSpacing w:val="0"/>
        <w:jc w:val="both"/>
        <w:rPr>
          <w:rFonts w:ascii="Verdana" w:hAnsi="Verdana"/>
        </w:rPr>
      </w:pPr>
      <w:r>
        <w:rPr>
          <w:rFonts w:ascii="Verdana" w:hAnsi="Verdana"/>
        </w:rPr>
        <w:t>Esto implica que el hecho de que los empleos tengan una remuneración que pueda considerarse baja, per se</w:t>
      </w:r>
      <w:r w:rsidR="0035076B">
        <w:rPr>
          <w:rFonts w:ascii="Verdana" w:hAnsi="Verdana"/>
        </w:rPr>
        <w:t>, no es una razón suficiente para no aplicar la definición del numeral 2 del artículo 2.2.1.2.4.2.14</w:t>
      </w:r>
      <w:r w:rsidR="00910248">
        <w:rPr>
          <w:rFonts w:ascii="Verdana" w:hAnsi="Verdana"/>
        </w:rPr>
        <w:t>, siempre que se encuentren acreditadas las demás condiciones</w:t>
      </w:r>
      <w:r w:rsidR="00D25A4F">
        <w:rPr>
          <w:rFonts w:ascii="Verdana" w:hAnsi="Verdana"/>
        </w:rPr>
        <w:t xml:space="preserve"> a las que se refiere la norma</w:t>
      </w:r>
      <w:r w:rsidR="00781114">
        <w:rPr>
          <w:rFonts w:ascii="Verdana" w:hAnsi="Verdana"/>
        </w:rPr>
        <w:t>. No obstante, si además de la baja remuneración</w:t>
      </w:r>
      <w:r w:rsidR="00AF3C74">
        <w:rPr>
          <w:rFonts w:ascii="Verdana" w:hAnsi="Verdana"/>
        </w:rPr>
        <w:t xml:space="preserve"> si se advierte que las funciones asignadas a las trabajadoras certificadas no tienen que ver con la dirección </w:t>
      </w:r>
      <w:r w:rsidR="005F6464">
        <w:rPr>
          <w:rFonts w:ascii="Verdana" w:hAnsi="Verdana"/>
        </w:rPr>
        <w:t>de áreas misionales</w:t>
      </w:r>
      <w:r w:rsidR="00CA3E21">
        <w:rPr>
          <w:rFonts w:ascii="Verdana" w:hAnsi="Verdana"/>
        </w:rPr>
        <w:t>, ni con la toma de decisiones no serán susce</w:t>
      </w:r>
      <w:r w:rsidR="00B07C8D">
        <w:rPr>
          <w:rFonts w:ascii="Verdana" w:hAnsi="Verdana"/>
        </w:rPr>
        <w:t>ptibles de ser tenidas en cuenta para la aplicación de la definición bajo estudio.</w:t>
      </w:r>
    </w:p>
    <w:p w14:paraId="5EB20718" w14:textId="68FF8952" w:rsidR="008700F7" w:rsidRDefault="00293A0C" w:rsidP="001D0D1B">
      <w:pPr>
        <w:spacing w:after="120" w:line="276" w:lineRule="auto"/>
        <w:ind w:firstLine="708"/>
        <w:jc w:val="both"/>
        <w:rPr>
          <w:rFonts w:ascii="Verdana" w:hAnsi="Verdana"/>
        </w:rPr>
      </w:pPr>
      <w:r w:rsidRPr="001D0D1B">
        <w:rPr>
          <w:rFonts w:ascii="Verdana" w:hAnsi="Verdana"/>
        </w:rPr>
        <w:t>Otr</w:t>
      </w:r>
      <w:r w:rsidR="001F1E8E" w:rsidRPr="001D0D1B">
        <w:rPr>
          <w:rFonts w:ascii="Verdana" w:hAnsi="Verdana"/>
        </w:rPr>
        <w:t>o</w:t>
      </w:r>
      <w:r w:rsidRPr="001D0D1B">
        <w:rPr>
          <w:rFonts w:ascii="Verdana" w:hAnsi="Verdana"/>
        </w:rPr>
        <w:t xml:space="preserve"> de </w:t>
      </w:r>
      <w:r w:rsidR="007A1BFE" w:rsidRPr="001D0D1B">
        <w:rPr>
          <w:rFonts w:ascii="Verdana" w:hAnsi="Verdana"/>
        </w:rPr>
        <w:t xml:space="preserve">los </w:t>
      </w:r>
      <w:r w:rsidR="00E27B5B" w:rsidRPr="001D0D1B">
        <w:rPr>
          <w:rFonts w:ascii="Verdana" w:hAnsi="Verdana"/>
        </w:rPr>
        <w:t>componentes del supuesto de hecho del numeral 2 del artículo</w:t>
      </w:r>
      <w:r w:rsidR="009D543A" w:rsidRPr="001D0D1B">
        <w:rPr>
          <w:rFonts w:ascii="Verdana" w:hAnsi="Verdana"/>
        </w:rPr>
        <w:t xml:space="preserve"> 2.2.1.2.4.2.14 que debe ser materia de verificación, de cara al </w:t>
      </w:r>
      <w:r w:rsidR="008A11FB" w:rsidRPr="001D0D1B">
        <w:rPr>
          <w:rFonts w:ascii="Verdana" w:hAnsi="Verdana"/>
        </w:rPr>
        <w:t>acceso a los requisitos habili</w:t>
      </w:r>
      <w:r w:rsidR="009A2006" w:rsidRPr="001D0D1B">
        <w:rPr>
          <w:rFonts w:ascii="Verdana" w:hAnsi="Verdana"/>
        </w:rPr>
        <w:t xml:space="preserve">tantes diferenciales </w:t>
      </w:r>
      <w:r w:rsidR="003C6A8C" w:rsidRPr="001D0D1B">
        <w:rPr>
          <w:rFonts w:ascii="Verdana" w:hAnsi="Verdana"/>
        </w:rPr>
        <w:t>y el puntaje adicional regulados en el</w:t>
      </w:r>
      <w:r w:rsidR="0094250E" w:rsidRPr="001D0D1B">
        <w:rPr>
          <w:rFonts w:ascii="Verdana" w:hAnsi="Verdana"/>
        </w:rPr>
        <w:t xml:space="preserve"> 2.2.1.2.4.2.15, </w:t>
      </w:r>
      <w:r w:rsidR="00102B3D" w:rsidRPr="001D0D1B">
        <w:rPr>
          <w:rFonts w:ascii="Verdana" w:hAnsi="Verdana"/>
        </w:rPr>
        <w:t xml:space="preserve">es la temporalidad de las vinculaciones. Esto comoquiera que, el </w:t>
      </w:r>
      <w:r w:rsidR="009554E7" w:rsidRPr="001D0D1B">
        <w:rPr>
          <w:rFonts w:ascii="Verdana" w:hAnsi="Verdana"/>
        </w:rPr>
        <w:t xml:space="preserve">numeral 2 del 2.2.1.2.4.2.14 exige que la mayoría de </w:t>
      </w:r>
      <w:r w:rsidR="00CB197C" w:rsidRPr="001D0D1B">
        <w:rPr>
          <w:rFonts w:ascii="Verdana" w:hAnsi="Verdana"/>
        </w:rPr>
        <w:t>mujeres vinculadas</w:t>
      </w:r>
      <w:r w:rsidR="009554E7" w:rsidRPr="001D0D1B">
        <w:rPr>
          <w:rFonts w:ascii="Verdana" w:hAnsi="Verdana"/>
        </w:rPr>
        <w:t xml:space="preserve"> </w:t>
      </w:r>
      <w:r w:rsidR="00CB197C" w:rsidRPr="001D0D1B">
        <w:rPr>
          <w:rFonts w:ascii="Verdana" w:hAnsi="Verdana"/>
        </w:rPr>
        <w:t xml:space="preserve">laboralmente en los </w:t>
      </w:r>
      <w:r w:rsidR="00DF0682" w:rsidRPr="001D0D1B">
        <w:rPr>
          <w:rFonts w:ascii="Verdana" w:hAnsi="Verdana"/>
        </w:rPr>
        <w:t>cargos del nivel directivo</w:t>
      </w:r>
      <w:r w:rsidR="00124DEA" w:rsidRPr="001D0D1B">
        <w:rPr>
          <w:rFonts w:ascii="Verdana" w:hAnsi="Verdana"/>
        </w:rPr>
        <w:t xml:space="preserve"> se haya mantenido como mínimo durante el año anterior a la fecha de cierre del </w:t>
      </w:r>
      <w:r w:rsidR="00C44185" w:rsidRPr="001D0D1B">
        <w:rPr>
          <w:rFonts w:ascii="Verdana" w:hAnsi="Verdana"/>
        </w:rPr>
        <w:t>periodo para recibir ofertas en el correspondiente proceso</w:t>
      </w:r>
      <w:r w:rsidR="00B30235" w:rsidRPr="001D0D1B">
        <w:rPr>
          <w:rFonts w:ascii="Verdana" w:hAnsi="Verdana"/>
        </w:rPr>
        <w:t xml:space="preserve">. </w:t>
      </w:r>
      <w:r w:rsidR="00C44185" w:rsidRPr="001D0D1B">
        <w:rPr>
          <w:rFonts w:ascii="Verdana" w:hAnsi="Verdana"/>
        </w:rPr>
        <w:t xml:space="preserve"> </w:t>
      </w:r>
      <w:r w:rsidR="00F5687A" w:rsidRPr="001D0D1B">
        <w:rPr>
          <w:rFonts w:ascii="Verdana" w:hAnsi="Verdana"/>
        </w:rPr>
        <w:t xml:space="preserve">Al respecto, resultan </w:t>
      </w:r>
      <w:r w:rsidR="00FC431B" w:rsidRPr="001D0D1B">
        <w:rPr>
          <w:rFonts w:ascii="Verdana" w:hAnsi="Verdana"/>
        </w:rPr>
        <w:t>relevantes la</w:t>
      </w:r>
      <w:r w:rsidR="00D021C7" w:rsidRPr="001D0D1B">
        <w:rPr>
          <w:rFonts w:ascii="Verdana" w:hAnsi="Verdana"/>
        </w:rPr>
        <w:t xml:space="preserve">s fechas </w:t>
      </w:r>
      <w:r w:rsidR="008619E1" w:rsidRPr="001D0D1B">
        <w:rPr>
          <w:rFonts w:ascii="Verdana" w:hAnsi="Verdana"/>
        </w:rPr>
        <w:t>entre las que se extiende</w:t>
      </w:r>
      <w:r w:rsidR="001632F1" w:rsidRPr="001D0D1B">
        <w:rPr>
          <w:rFonts w:ascii="Verdana" w:hAnsi="Verdana"/>
        </w:rPr>
        <w:t xml:space="preserve">n las relaciones laborales indicadas en los certificados </w:t>
      </w:r>
      <w:r w:rsidR="000D12C2" w:rsidRPr="001D0D1B">
        <w:rPr>
          <w:rFonts w:ascii="Verdana" w:hAnsi="Verdana"/>
        </w:rPr>
        <w:t>o</w:t>
      </w:r>
      <w:r w:rsidR="001632F1" w:rsidRPr="001D0D1B">
        <w:rPr>
          <w:rFonts w:ascii="Verdana" w:hAnsi="Verdana"/>
        </w:rPr>
        <w:t xml:space="preserve"> contratos de trabajo </w:t>
      </w:r>
      <w:r w:rsidR="000D12C2" w:rsidRPr="001D0D1B">
        <w:rPr>
          <w:rFonts w:ascii="Verdana" w:hAnsi="Verdana"/>
        </w:rPr>
        <w:t xml:space="preserve">que se aporten como soporte, </w:t>
      </w:r>
      <w:r w:rsidR="004B53CE" w:rsidRPr="001D0D1B">
        <w:rPr>
          <w:rFonts w:ascii="Verdana" w:hAnsi="Verdana"/>
        </w:rPr>
        <w:t>así como l</w:t>
      </w:r>
      <w:r w:rsidR="003709D7">
        <w:rPr>
          <w:rFonts w:ascii="Verdana" w:hAnsi="Verdana"/>
        </w:rPr>
        <w:t>as constancias de pago de las cotizaciones obligatoria</w:t>
      </w:r>
      <w:r w:rsidR="00AC2777">
        <w:rPr>
          <w:rFonts w:ascii="Verdana" w:hAnsi="Verdana"/>
        </w:rPr>
        <w:t xml:space="preserve">s al </w:t>
      </w:r>
      <w:r w:rsidR="008700F7">
        <w:rPr>
          <w:rFonts w:ascii="Verdana" w:hAnsi="Verdana"/>
        </w:rPr>
        <w:t xml:space="preserve">sistema general de seguridad social integral, de conformidad con </w:t>
      </w:r>
      <w:r w:rsidR="00A62761">
        <w:rPr>
          <w:rFonts w:ascii="Verdana" w:hAnsi="Verdana"/>
        </w:rPr>
        <w:t xml:space="preserve">la Ley 100 de 1993. </w:t>
      </w:r>
      <w:r w:rsidR="008700F7">
        <w:rPr>
          <w:rFonts w:ascii="Verdana" w:hAnsi="Verdana"/>
        </w:rPr>
        <w:t xml:space="preserve"> </w:t>
      </w:r>
    </w:p>
    <w:p w14:paraId="493E454F" w14:textId="5171A951" w:rsidR="00D95A24" w:rsidRDefault="003709D7" w:rsidP="001D0D1B">
      <w:pPr>
        <w:spacing w:after="120" w:line="276" w:lineRule="auto"/>
        <w:ind w:firstLine="708"/>
        <w:jc w:val="both"/>
        <w:rPr>
          <w:rFonts w:ascii="Verdana" w:hAnsi="Verdana"/>
        </w:rPr>
      </w:pPr>
      <w:r>
        <w:rPr>
          <w:rFonts w:ascii="Verdana" w:hAnsi="Verdana"/>
        </w:rPr>
        <w:t xml:space="preserve"> </w:t>
      </w:r>
      <w:r w:rsidR="00B905CD">
        <w:rPr>
          <w:rFonts w:ascii="Verdana" w:hAnsi="Verdana"/>
        </w:rPr>
        <w:t>Lo anterior</w:t>
      </w:r>
      <w:r w:rsidR="008F231B">
        <w:rPr>
          <w:rFonts w:ascii="Verdana" w:hAnsi="Verdana"/>
        </w:rPr>
        <w:t xml:space="preserve"> teniendo en cuenta que, de conformidad con el artículo</w:t>
      </w:r>
      <w:r w:rsidR="00194AC8">
        <w:rPr>
          <w:rFonts w:ascii="Verdana" w:hAnsi="Verdana"/>
        </w:rPr>
        <w:t>s</w:t>
      </w:r>
      <w:r w:rsidR="008F231B">
        <w:rPr>
          <w:rFonts w:ascii="Verdana" w:hAnsi="Verdana"/>
        </w:rPr>
        <w:t xml:space="preserve"> </w:t>
      </w:r>
      <w:r w:rsidR="00F11BE0">
        <w:rPr>
          <w:rFonts w:ascii="Verdana" w:hAnsi="Verdana"/>
        </w:rPr>
        <w:t xml:space="preserve">17, 18, </w:t>
      </w:r>
      <w:r w:rsidR="008F231B">
        <w:rPr>
          <w:rFonts w:ascii="Verdana" w:hAnsi="Verdana"/>
        </w:rPr>
        <w:t>22</w:t>
      </w:r>
      <w:r w:rsidR="008925BF">
        <w:rPr>
          <w:rFonts w:ascii="Verdana" w:hAnsi="Verdana"/>
        </w:rPr>
        <w:t xml:space="preserve">, </w:t>
      </w:r>
      <w:r w:rsidR="00194AC8">
        <w:rPr>
          <w:rFonts w:ascii="Verdana" w:hAnsi="Verdana"/>
        </w:rPr>
        <w:t>161,</w:t>
      </w:r>
      <w:r w:rsidR="00D72D7A">
        <w:rPr>
          <w:rFonts w:ascii="Verdana" w:hAnsi="Verdana"/>
        </w:rPr>
        <w:t xml:space="preserve"> 204</w:t>
      </w:r>
      <w:r w:rsidR="008F231B">
        <w:rPr>
          <w:rFonts w:ascii="Verdana" w:hAnsi="Verdana"/>
        </w:rPr>
        <w:t xml:space="preserve"> de la Ley 100 de 1993, el pago de l</w:t>
      </w:r>
      <w:r w:rsidR="00BE0663">
        <w:rPr>
          <w:rFonts w:ascii="Verdana" w:hAnsi="Verdana"/>
        </w:rPr>
        <w:t xml:space="preserve">as cotizaciones obligatorias al </w:t>
      </w:r>
      <w:r w:rsidR="00993199">
        <w:rPr>
          <w:rFonts w:ascii="Verdana" w:hAnsi="Verdana"/>
        </w:rPr>
        <w:t xml:space="preserve">sistema de seguridad social </w:t>
      </w:r>
      <w:r w:rsidR="009C636F">
        <w:rPr>
          <w:rFonts w:ascii="Verdana" w:hAnsi="Verdana"/>
        </w:rPr>
        <w:t>es una obligación de los empleadores</w:t>
      </w:r>
      <w:r w:rsidR="00E43415">
        <w:rPr>
          <w:rFonts w:ascii="Verdana" w:hAnsi="Verdana"/>
        </w:rPr>
        <w:t xml:space="preserve"> que debe cumplirse a lo largo de toda la relación laboral. En ese sentido, la información </w:t>
      </w:r>
      <w:r w:rsidR="00E43415">
        <w:rPr>
          <w:rFonts w:ascii="Verdana" w:hAnsi="Verdana"/>
        </w:rPr>
        <w:lastRenderedPageBreak/>
        <w:t>que se reporta</w:t>
      </w:r>
      <w:r w:rsidR="00D912A9">
        <w:rPr>
          <w:rFonts w:ascii="Verdana" w:hAnsi="Verdana"/>
        </w:rPr>
        <w:t xml:space="preserve"> </w:t>
      </w:r>
      <w:r w:rsidR="00EF3EE9">
        <w:rPr>
          <w:rFonts w:ascii="Verdana" w:hAnsi="Verdana"/>
        </w:rPr>
        <w:t>en</w:t>
      </w:r>
      <w:r w:rsidR="00D912A9">
        <w:rPr>
          <w:rFonts w:ascii="Verdana" w:hAnsi="Verdana"/>
        </w:rPr>
        <w:t xml:space="preserve"> </w:t>
      </w:r>
      <w:r w:rsidR="00D912A9" w:rsidRPr="00D912A9">
        <w:rPr>
          <w:rFonts w:ascii="Verdana" w:hAnsi="Verdana"/>
        </w:rPr>
        <w:t xml:space="preserve">el certificado de aportes a seguridad social </w:t>
      </w:r>
      <w:r w:rsidR="00D912A9">
        <w:rPr>
          <w:rFonts w:ascii="Verdana" w:hAnsi="Verdana"/>
        </w:rPr>
        <w:t xml:space="preserve">al que se refiere el cuarto inciso del numeral 2 del artículo </w:t>
      </w:r>
      <w:r w:rsidR="006D2B7F" w:rsidRPr="00210AEB">
        <w:rPr>
          <w:rFonts w:ascii="Verdana" w:hAnsi="Verdana"/>
        </w:rPr>
        <w:t>2.2.1.2.4.2.14</w:t>
      </w:r>
      <w:r w:rsidR="00EF3EE9">
        <w:rPr>
          <w:rFonts w:ascii="Verdana" w:hAnsi="Verdana"/>
        </w:rPr>
        <w:t xml:space="preserve">, resulta </w:t>
      </w:r>
      <w:r w:rsidR="002F22D8">
        <w:rPr>
          <w:rFonts w:ascii="Verdana" w:hAnsi="Verdana"/>
        </w:rPr>
        <w:t>útil a efectos de que la entidad verifique la veracidad de la información incluida en el certifi</w:t>
      </w:r>
      <w:r w:rsidR="009009F7">
        <w:rPr>
          <w:rFonts w:ascii="Verdana" w:hAnsi="Verdana"/>
        </w:rPr>
        <w:t xml:space="preserve">cación </w:t>
      </w:r>
      <w:r w:rsidR="00D91FB1">
        <w:rPr>
          <w:rFonts w:ascii="Verdana" w:hAnsi="Verdana"/>
        </w:rPr>
        <w:t xml:space="preserve">expedida </w:t>
      </w:r>
      <w:r w:rsidR="00D91FB1" w:rsidRPr="00D91FB1">
        <w:rPr>
          <w:rFonts w:ascii="Verdana" w:hAnsi="Verdana"/>
        </w:rPr>
        <w:t>por el representante legal y el revisor fiscal</w:t>
      </w:r>
      <w:r w:rsidR="00D91FB1">
        <w:rPr>
          <w:rFonts w:ascii="Verdana" w:hAnsi="Verdana"/>
        </w:rPr>
        <w:t xml:space="preserve"> de conformidad con el tercer inciso del numeral 2 del referido </w:t>
      </w:r>
      <w:r w:rsidR="00D95A24">
        <w:rPr>
          <w:rFonts w:ascii="Verdana" w:hAnsi="Verdana"/>
        </w:rPr>
        <w:t xml:space="preserve">artículo reglamentario. </w:t>
      </w:r>
    </w:p>
    <w:p w14:paraId="35268B1B" w14:textId="3729C7BB" w:rsidR="009B2769" w:rsidRDefault="00426F7E" w:rsidP="00954C3D">
      <w:pPr>
        <w:spacing w:after="120" w:line="276" w:lineRule="auto"/>
        <w:ind w:firstLine="708"/>
        <w:jc w:val="both"/>
        <w:rPr>
          <w:rFonts w:ascii="Verdana" w:hAnsi="Verdana"/>
        </w:rPr>
      </w:pPr>
      <w:r>
        <w:rPr>
          <w:rFonts w:ascii="Verdana" w:hAnsi="Verdana"/>
        </w:rPr>
        <w:t>E</w:t>
      </w:r>
      <w:r w:rsidR="00D95A24">
        <w:rPr>
          <w:rFonts w:ascii="Verdana" w:hAnsi="Verdana"/>
        </w:rPr>
        <w:t xml:space="preserve">n aras de responder la consulta </w:t>
      </w:r>
      <w:r w:rsidR="00A2403C">
        <w:rPr>
          <w:rFonts w:ascii="Verdana" w:hAnsi="Verdana"/>
        </w:rPr>
        <w:t xml:space="preserve">es necesario acotar que, </w:t>
      </w:r>
      <w:r w:rsidR="001618BF">
        <w:rPr>
          <w:rFonts w:ascii="Verdana" w:hAnsi="Verdana"/>
        </w:rPr>
        <w:t>si bien el pago de l</w:t>
      </w:r>
      <w:r w:rsidR="00DF4849">
        <w:rPr>
          <w:rFonts w:ascii="Verdana" w:hAnsi="Verdana"/>
        </w:rPr>
        <w:t>as cotizaciones al sistema de seguridad social integral es un</w:t>
      </w:r>
      <w:r w:rsidR="00611AED">
        <w:rPr>
          <w:rFonts w:ascii="Verdana" w:hAnsi="Verdana"/>
        </w:rPr>
        <w:t>a</w:t>
      </w:r>
      <w:r w:rsidR="00DF4849">
        <w:rPr>
          <w:rFonts w:ascii="Verdana" w:hAnsi="Verdana"/>
        </w:rPr>
        <w:t xml:space="preserve"> </w:t>
      </w:r>
      <w:r w:rsidR="00566933">
        <w:rPr>
          <w:rFonts w:ascii="Verdana" w:hAnsi="Verdana"/>
        </w:rPr>
        <w:t xml:space="preserve">obligación periódica que </w:t>
      </w:r>
      <w:r w:rsidR="000A0D5E">
        <w:rPr>
          <w:rFonts w:ascii="Verdana" w:hAnsi="Verdana"/>
        </w:rPr>
        <w:t xml:space="preserve">el empleador </w:t>
      </w:r>
      <w:r w:rsidR="00566933">
        <w:rPr>
          <w:rFonts w:ascii="Verdana" w:hAnsi="Verdana"/>
        </w:rPr>
        <w:t>debe satisfacer</w:t>
      </w:r>
      <w:r w:rsidR="00A0479B">
        <w:rPr>
          <w:rFonts w:ascii="Verdana" w:hAnsi="Verdana"/>
        </w:rPr>
        <w:t xml:space="preserve">, por lo general, de manera </w:t>
      </w:r>
      <w:r w:rsidR="0055713E">
        <w:rPr>
          <w:rFonts w:ascii="Verdana" w:hAnsi="Verdana"/>
        </w:rPr>
        <w:t>mensual,</w:t>
      </w:r>
      <w:r w:rsidR="007A3E1D">
        <w:rPr>
          <w:rFonts w:ascii="Verdana" w:hAnsi="Verdana"/>
        </w:rPr>
        <w:t xml:space="preserve"> a lo largo de toda la relación laboral</w:t>
      </w:r>
      <w:r w:rsidR="00E27916">
        <w:rPr>
          <w:rFonts w:ascii="Verdana" w:hAnsi="Verdana"/>
        </w:rPr>
        <w:t>,</w:t>
      </w:r>
      <w:r w:rsidR="00716A60">
        <w:rPr>
          <w:rFonts w:ascii="Verdana" w:hAnsi="Verdana"/>
        </w:rPr>
        <w:t xml:space="preserve"> su cumplimiento </w:t>
      </w:r>
      <w:r w:rsidR="00E31427">
        <w:rPr>
          <w:rFonts w:ascii="Verdana" w:hAnsi="Verdana"/>
        </w:rPr>
        <w:t xml:space="preserve">tardío no </w:t>
      </w:r>
      <w:r w:rsidR="00BA3CBC">
        <w:rPr>
          <w:rFonts w:ascii="Verdana" w:hAnsi="Verdana"/>
        </w:rPr>
        <w:t>desvirtúa la relación laboral</w:t>
      </w:r>
      <w:r w:rsidR="00693C49">
        <w:rPr>
          <w:rFonts w:ascii="Verdana" w:hAnsi="Verdana"/>
        </w:rPr>
        <w:t xml:space="preserve"> en si misma, sin perjuicio de</w:t>
      </w:r>
      <w:r w:rsidR="003B1D8C">
        <w:rPr>
          <w:rFonts w:ascii="Verdana" w:hAnsi="Verdana"/>
        </w:rPr>
        <w:t xml:space="preserve"> las consecuencias que se generen </w:t>
      </w:r>
      <w:r w:rsidR="00BA5F2B">
        <w:rPr>
          <w:rFonts w:ascii="Verdana" w:hAnsi="Verdana"/>
        </w:rPr>
        <w:t>en materia de</w:t>
      </w:r>
      <w:r w:rsidR="007E68BE">
        <w:rPr>
          <w:rFonts w:ascii="Verdana" w:hAnsi="Verdana"/>
        </w:rPr>
        <w:t xml:space="preserve"> sancio</w:t>
      </w:r>
      <w:r w:rsidR="00406AC7">
        <w:rPr>
          <w:rFonts w:ascii="Verdana" w:hAnsi="Verdana"/>
        </w:rPr>
        <w:t>nes moratorias, acciones de cobro y</w:t>
      </w:r>
      <w:r w:rsidR="00BA5F2B">
        <w:rPr>
          <w:rFonts w:ascii="Verdana" w:hAnsi="Verdana"/>
        </w:rPr>
        <w:t xml:space="preserve"> </w:t>
      </w:r>
      <w:r w:rsidR="0099209D">
        <w:rPr>
          <w:rFonts w:ascii="Verdana" w:hAnsi="Verdana"/>
        </w:rPr>
        <w:t>afiliación al sistema de seguridad social</w:t>
      </w:r>
      <w:r w:rsidR="00406AC7">
        <w:rPr>
          <w:rFonts w:ascii="Verdana" w:hAnsi="Verdana"/>
        </w:rPr>
        <w:t>,</w:t>
      </w:r>
      <w:r w:rsidR="0099209D">
        <w:rPr>
          <w:rFonts w:ascii="Verdana" w:hAnsi="Verdana"/>
        </w:rPr>
        <w:t xml:space="preserve"> de conformidad con el artículo</w:t>
      </w:r>
      <w:r w:rsidR="001A50CF">
        <w:rPr>
          <w:rFonts w:ascii="Verdana" w:hAnsi="Verdana"/>
        </w:rPr>
        <w:t>s 23,</w:t>
      </w:r>
      <w:r w:rsidR="00C733E5">
        <w:rPr>
          <w:rFonts w:ascii="Verdana" w:hAnsi="Verdana"/>
        </w:rPr>
        <w:t xml:space="preserve"> 24</w:t>
      </w:r>
      <w:r w:rsidR="00BE0F40">
        <w:rPr>
          <w:rFonts w:ascii="Verdana" w:hAnsi="Verdana"/>
        </w:rPr>
        <w:t>,</w:t>
      </w:r>
      <w:r w:rsidR="0099209D">
        <w:rPr>
          <w:rFonts w:ascii="Verdana" w:hAnsi="Verdana"/>
        </w:rPr>
        <w:t xml:space="preserve"> 209 y 210</w:t>
      </w:r>
      <w:r w:rsidR="003B1D8C">
        <w:rPr>
          <w:rFonts w:ascii="Verdana" w:hAnsi="Verdana"/>
        </w:rPr>
        <w:t xml:space="preserve"> </w:t>
      </w:r>
      <w:r w:rsidR="00BE0F40">
        <w:rPr>
          <w:rFonts w:ascii="Verdana" w:hAnsi="Verdana"/>
        </w:rPr>
        <w:t xml:space="preserve">de la Ley 100 de 1993. </w:t>
      </w:r>
      <w:r w:rsidR="000A0D5E">
        <w:rPr>
          <w:rFonts w:ascii="Verdana" w:hAnsi="Verdana"/>
        </w:rPr>
        <w:t>Est</w:t>
      </w:r>
      <w:r w:rsidR="002329E0">
        <w:rPr>
          <w:rFonts w:ascii="Verdana" w:hAnsi="Verdana"/>
        </w:rPr>
        <w:t>a distinción</w:t>
      </w:r>
      <w:r w:rsidR="000A0D5E">
        <w:rPr>
          <w:rFonts w:ascii="Verdana" w:hAnsi="Verdana"/>
        </w:rPr>
        <w:t xml:space="preserve"> </w:t>
      </w:r>
      <w:r w:rsidR="00DD0997">
        <w:rPr>
          <w:rFonts w:ascii="Verdana" w:hAnsi="Verdana"/>
        </w:rPr>
        <w:t xml:space="preserve">se torna </w:t>
      </w:r>
      <w:r w:rsidR="000A0D5E">
        <w:rPr>
          <w:rFonts w:ascii="Verdana" w:hAnsi="Verdana"/>
        </w:rPr>
        <w:t xml:space="preserve">relevante </w:t>
      </w:r>
      <w:r w:rsidR="002329E0">
        <w:rPr>
          <w:rFonts w:ascii="Verdana" w:hAnsi="Verdana"/>
        </w:rPr>
        <w:t>para efectos de la cuesti</w:t>
      </w:r>
      <w:r w:rsidR="00107FF2">
        <w:rPr>
          <w:rFonts w:ascii="Verdana" w:hAnsi="Verdana"/>
        </w:rPr>
        <w:t>ó</w:t>
      </w:r>
      <w:r w:rsidR="00E151A2">
        <w:rPr>
          <w:rFonts w:ascii="Verdana" w:hAnsi="Verdana"/>
        </w:rPr>
        <w:t>n materia de consulta</w:t>
      </w:r>
      <w:r w:rsidR="00C56841">
        <w:rPr>
          <w:rFonts w:ascii="Verdana" w:hAnsi="Verdana"/>
        </w:rPr>
        <w:t>, ya que el</w:t>
      </w:r>
      <w:r w:rsidR="001D0A82">
        <w:rPr>
          <w:rFonts w:ascii="Verdana" w:hAnsi="Verdana"/>
        </w:rPr>
        <w:t xml:space="preserve"> numeral</w:t>
      </w:r>
      <w:r w:rsidR="00C56841">
        <w:rPr>
          <w:rFonts w:ascii="Verdana" w:hAnsi="Verdana"/>
        </w:rPr>
        <w:t xml:space="preserve"> </w:t>
      </w:r>
      <w:r w:rsidR="000803A4">
        <w:rPr>
          <w:rFonts w:ascii="Verdana" w:hAnsi="Verdana"/>
        </w:rPr>
        <w:t xml:space="preserve">2 del </w:t>
      </w:r>
      <w:r w:rsidR="00C56841">
        <w:rPr>
          <w:rFonts w:ascii="Verdana" w:hAnsi="Verdana"/>
        </w:rPr>
        <w:t xml:space="preserve">artículo </w:t>
      </w:r>
      <w:r w:rsidR="00C56841" w:rsidRPr="00210AEB">
        <w:rPr>
          <w:rFonts w:ascii="Verdana" w:hAnsi="Verdana"/>
        </w:rPr>
        <w:t>2.2.1.2.4.2.14</w:t>
      </w:r>
      <w:r w:rsidR="0074586A">
        <w:rPr>
          <w:rFonts w:ascii="Verdana" w:hAnsi="Verdana"/>
        </w:rPr>
        <w:t xml:space="preserve"> establece </w:t>
      </w:r>
      <w:r w:rsidR="00492021">
        <w:rPr>
          <w:rFonts w:ascii="Verdana" w:hAnsi="Verdana"/>
        </w:rPr>
        <w:t>como cri</w:t>
      </w:r>
      <w:r w:rsidR="000216A2">
        <w:rPr>
          <w:rFonts w:ascii="Verdana" w:hAnsi="Verdana"/>
        </w:rPr>
        <w:t xml:space="preserve">terio definitorio la mayoría de mujeres vinculadas </w:t>
      </w:r>
      <w:r w:rsidR="006A4C7F">
        <w:rPr>
          <w:rFonts w:ascii="Verdana" w:hAnsi="Verdana"/>
        </w:rPr>
        <w:t xml:space="preserve">laboralmente </w:t>
      </w:r>
      <w:r w:rsidR="0083303E">
        <w:rPr>
          <w:rFonts w:ascii="Verdana" w:hAnsi="Verdana"/>
        </w:rPr>
        <w:t>a cargos del nivel directivo</w:t>
      </w:r>
      <w:r w:rsidR="00ED1F40">
        <w:rPr>
          <w:rFonts w:ascii="Verdana" w:hAnsi="Verdana"/>
        </w:rPr>
        <w:t xml:space="preserve"> durante el </w:t>
      </w:r>
      <w:r w:rsidR="00075BD4">
        <w:rPr>
          <w:rFonts w:ascii="Verdana" w:hAnsi="Verdana"/>
        </w:rPr>
        <w:t xml:space="preserve">año precede a la fecha de cierre, estableciendo como </w:t>
      </w:r>
      <w:r w:rsidR="004A1F44">
        <w:rPr>
          <w:rFonts w:ascii="Verdana" w:hAnsi="Verdana"/>
        </w:rPr>
        <w:t xml:space="preserve">soporte de las certificación exigida </w:t>
      </w:r>
      <w:r w:rsidR="00F45FE2">
        <w:rPr>
          <w:rFonts w:ascii="Verdana" w:hAnsi="Verdana"/>
        </w:rPr>
        <w:t>la constancia de</w:t>
      </w:r>
      <w:r w:rsidR="00500DC9">
        <w:rPr>
          <w:rFonts w:ascii="Verdana" w:hAnsi="Verdana"/>
        </w:rPr>
        <w:t xml:space="preserve"> los</w:t>
      </w:r>
      <w:r w:rsidR="00F45FE2">
        <w:rPr>
          <w:rFonts w:ascii="Verdana" w:hAnsi="Verdana"/>
        </w:rPr>
        <w:t xml:space="preserve"> pago</w:t>
      </w:r>
      <w:r w:rsidR="00500DC9">
        <w:rPr>
          <w:rFonts w:ascii="Verdana" w:hAnsi="Verdana"/>
        </w:rPr>
        <w:t>s</w:t>
      </w:r>
      <w:r w:rsidR="004A1F44">
        <w:rPr>
          <w:rFonts w:ascii="Verdana" w:hAnsi="Verdana"/>
        </w:rPr>
        <w:t xml:space="preserve"> de </w:t>
      </w:r>
      <w:r w:rsidR="00F45FE2">
        <w:rPr>
          <w:rFonts w:ascii="Verdana" w:hAnsi="Verdana"/>
        </w:rPr>
        <w:t xml:space="preserve">los </w:t>
      </w:r>
      <w:r w:rsidR="004A1F44">
        <w:rPr>
          <w:rFonts w:ascii="Verdana" w:hAnsi="Verdana"/>
        </w:rPr>
        <w:t>aportes</w:t>
      </w:r>
      <w:r w:rsidR="00F45FE2">
        <w:rPr>
          <w:rFonts w:ascii="Verdana" w:hAnsi="Verdana"/>
        </w:rPr>
        <w:t xml:space="preserve"> realizados durante el último</w:t>
      </w:r>
      <w:r w:rsidR="00895039">
        <w:rPr>
          <w:rFonts w:ascii="Verdana" w:hAnsi="Verdana"/>
        </w:rPr>
        <w:t xml:space="preserve"> año</w:t>
      </w:r>
      <w:r w:rsidR="004A1F44">
        <w:rPr>
          <w:rFonts w:ascii="Verdana" w:hAnsi="Verdana"/>
        </w:rPr>
        <w:t xml:space="preserve">, </w:t>
      </w:r>
      <w:r>
        <w:rPr>
          <w:rFonts w:ascii="Verdana" w:hAnsi="Verdana"/>
        </w:rPr>
        <w:t xml:space="preserve">con el fin de que </w:t>
      </w:r>
      <w:r w:rsidR="00500DC9">
        <w:rPr>
          <w:rFonts w:ascii="Verdana" w:hAnsi="Verdana"/>
        </w:rPr>
        <w:t>esta</w:t>
      </w:r>
      <w:r>
        <w:rPr>
          <w:rFonts w:ascii="Verdana" w:hAnsi="Verdana"/>
        </w:rPr>
        <w:t xml:space="preserve"> información </w:t>
      </w:r>
      <w:r w:rsidR="009B2769">
        <w:rPr>
          <w:rFonts w:ascii="Verdana" w:hAnsi="Verdana"/>
        </w:rPr>
        <w:t xml:space="preserve">sirva para verificar </w:t>
      </w:r>
      <w:r w:rsidR="007E755C">
        <w:rPr>
          <w:rFonts w:ascii="Verdana" w:hAnsi="Verdana"/>
        </w:rPr>
        <w:t xml:space="preserve">la </w:t>
      </w:r>
      <w:r w:rsidR="009B2769">
        <w:rPr>
          <w:rFonts w:ascii="Verdana" w:hAnsi="Verdana"/>
        </w:rPr>
        <w:t xml:space="preserve">información relevante a las relaciones laborales de las mujeres vinculadas a los cargos del nivel directivo. </w:t>
      </w:r>
    </w:p>
    <w:p w14:paraId="118FA9E2" w14:textId="3920A518" w:rsidR="00293A0C" w:rsidRDefault="00181DCD" w:rsidP="001D0D1B">
      <w:pPr>
        <w:spacing w:after="120" w:line="276" w:lineRule="auto"/>
        <w:ind w:firstLine="708"/>
        <w:jc w:val="both"/>
        <w:rPr>
          <w:rFonts w:ascii="Verdana" w:hAnsi="Verdana"/>
        </w:rPr>
      </w:pPr>
      <w:r>
        <w:rPr>
          <w:rFonts w:ascii="Verdana" w:hAnsi="Verdana"/>
        </w:rPr>
        <w:t>En ese orden,</w:t>
      </w:r>
      <w:r w:rsidR="009B2769">
        <w:rPr>
          <w:rFonts w:ascii="Verdana" w:hAnsi="Verdana"/>
        </w:rPr>
        <w:t xml:space="preserve"> </w:t>
      </w:r>
      <w:r w:rsidR="002D4E93">
        <w:rPr>
          <w:rFonts w:ascii="Verdana" w:hAnsi="Verdana"/>
        </w:rPr>
        <w:t>el cumplimiento tardío de la o</w:t>
      </w:r>
      <w:r w:rsidR="00127325">
        <w:rPr>
          <w:rFonts w:ascii="Verdana" w:hAnsi="Verdana"/>
        </w:rPr>
        <w:t>bligación del empleador de realizar los aportes correspondientes al sistema de seguridad social respecto de sus trabajadores,</w:t>
      </w:r>
      <w:r w:rsidR="00F51C0A">
        <w:rPr>
          <w:rFonts w:ascii="Verdana" w:hAnsi="Verdana"/>
        </w:rPr>
        <w:t xml:space="preserve"> en principio, </w:t>
      </w:r>
      <w:r w:rsidR="008443EE">
        <w:rPr>
          <w:rFonts w:ascii="Verdana" w:hAnsi="Verdana"/>
        </w:rPr>
        <w:t>no resulta suficiente para negar el acceso a l</w:t>
      </w:r>
      <w:r w:rsidR="001809D6">
        <w:rPr>
          <w:rFonts w:ascii="Verdana" w:hAnsi="Verdana"/>
        </w:rPr>
        <w:t xml:space="preserve">os criterios diferenciales establecidos en el artículo 32 de la Ley 2069 de 2020, reglamentados </w:t>
      </w:r>
      <w:r w:rsidR="00203788">
        <w:rPr>
          <w:rFonts w:ascii="Verdana" w:hAnsi="Verdana"/>
        </w:rPr>
        <w:t>por</w:t>
      </w:r>
      <w:r w:rsidR="001809D6">
        <w:rPr>
          <w:rFonts w:ascii="Verdana" w:hAnsi="Verdana"/>
        </w:rPr>
        <w:t xml:space="preserve"> los artículos </w:t>
      </w:r>
      <w:r w:rsidR="001809D6" w:rsidRPr="00210AEB">
        <w:rPr>
          <w:rFonts w:ascii="Verdana" w:hAnsi="Verdana"/>
        </w:rPr>
        <w:t>2.2.1.2.4.2.14</w:t>
      </w:r>
      <w:r w:rsidR="001809D6">
        <w:rPr>
          <w:rFonts w:ascii="Verdana" w:hAnsi="Verdana"/>
        </w:rPr>
        <w:t xml:space="preserve"> y </w:t>
      </w:r>
      <w:r w:rsidR="001809D6" w:rsidRPr="00210AEB">
        <w:rPr>
          <w:rFonts w:ascii="Verdana" w:hAnsi="Verdana"/>
        </w:rPr>
        <w:t>2.2.1.2.4.2.1</w:t>
      </w:r>
      <w:r w:rsidR="001809D6">
        <w:rPr>
          <w:rFonts w:ascii="Verdana" w:hAnsi="Verdana"/>
        </w:rPr>
        <w:t>5 del Decreto 1082 de 2015</w:t>
      </w:r>
      <w:r w:rsidR="008D21AA">
        <w:rPr>
          <w:rFonts w:ascii="Verdana" w:hAnsi="Verdana"/>
        </w:rPr>
        <w:t>,</w:t>
      </w:r>
      <w:r w:rsidR="00F3526B">
        <w:rPr>
          <w:rFonts w:ascii="Verdana" w:hAnsi="Verdana"/>
        </w:rPr>
        <w:t xml:space="preserve"> en la medida en que ninguna de estas normas </w:t>
      </w:r>
      <w:r w:rsidR="00443E16">
        <w:rPr>
          <w:rFonts w:ascii="Verdana" w:hAnsi="Verdana"/>
        </w:rPr>
        <w:t>a</w:t>
      </w:r>
      <w:r w:rsidR="00D70240">
        <w:rPr>
          <w:rFonts w:ascii="Verdana" w:hAnsi="Verdana"/>
        </w:rPr>
        <w:t>utoriza a negar el acceso a los</w:t>
      </w:r>
      <w:r w:rsidR="007D123A">
        <w:rPr>
          <w:rFonts w:ascii="Verdana" w:hAnsi="Verdana"/>
        </w:rPr>
        <w:t xml:space="preserve"> referidos criterios habilitantes diferenciales y puntajes adicionales creados</w:t>
      </w:r>
      <w:r w:rsidR="007433EF">
        <w:rPr>
          <w:rFonts w:ascii="Verdana" w:hAnsi="Verdana"/>
        </w:rPr>
        <w:t xml:space="preserve"> en beneficio de los emprendimientos y empresas de mujeres. </w:t>
      </w:r>
      <w:r w:rsidR="00CD2496">
        <w:rPr>
          <w:rFonts w:ascii="Verdana" w:hAnsi="Verdana"/>
        </w:rPr>
        <w:t xml:space="preserve">Sin embargo, </w:t>
      </w:r>
      <w:r w:rsidR="00584B80">
        <w:rPr>
          <w:rFonts w:ascii="Verdana" w:hAnsi="Verdana"/>
        </w:rPr>
        <w:t xml:space="preserve">asunto distinto es que </w:t>
      </w:r>
      <w:r w:rsidR="002F5059">
        <w:rPr>
          <w:rFonts w:ascii="Verdana" w:hAnsi="Verdana"/>
        </w:rPr>
        <w:t xml:space="preserve">no solo se constante el pago tardío de los aportes al sistema de seguridad social </w:t>
      </w:r>
      <w:r w:rsidR="009A65DE">
        <w:rPr>
          <w:rFonts w:ascii="Verdana" w:hAnsi="Verdana"/>
        </w:rPr>
        <w:t>sino que</w:t>
      </w:r>
      <w:r w:rsidR="00190E01">
        <w:rPr>
          <w:rFonts w:ascii="Verdana" w:hAnsi="Verdana"/>
        </w:rPr>
        <w:t>, a partir de la contrastación de</w:t>
      </w:r>
      <w:r w:rsidR="005F0938">
        <w:rPr>
          <w:rFonts w:ascii="Verdana" w:hAnsi="Verdana"/>
        </w:rPr>
        <w:t xml:space="preserve"> </w:t>
      </w:r>
      <w:r w:rsidR="00190E01">
        <w:rPr>
          <w:rFonts w:ascii="Verdana" w:hAnsi="Verdana"/>
        </w:rPr>
        <w:t xml:space="preserve">las certificaciones y los </w:t>
      </w:r>
      <w:r w:rsidR="00F80C41">
        <w:rPr>
          <w:rFonts w:ascii="Verdana" w:hAnsi="Verdana"/>
        </w:rPr>
        <w:t>soportes correspondientes,</w:t>
      </w:r>
      <w:r w:rsidR="00F06A72">
        <w:rPr>
          <w:rFonts w:ascii="Verdana" w:hAnsi="Verdana"/>
        </w:rPr>
        <w:t xml:space="preserve"> la entidad estatal </w:t>
      </w:r>
      <w:r w:rsidR="00373455">
        <w:rPr>
          <w:rFonts w:ascii="Verdana" w:hAnsi="Verdana"/>
        </w:rPr>
        <w:t xml:space="preserve">llegue a </w:t>
      </w:r>
      <w:r w:rsidR="00CC36F6">
        <w:rPr>
          <w:rFonts w:ascii="Verdana" w:hAnsi="Verdana"/>
        </w:rPr>
        <w:t xml:space="preserve">la certeza de que </w:t>
      </w:r>
      <w:r w:rsidR="00B912BF">
        <w:rPr>
          <w:rFonts w:ascii="Verdana" w:hAnsi="Verdana"/>
        </w:rPr>
        <w:t>la</w:t>
      </w:r>
      <w:r w:rsidR="00D16A83">
        <w:rPr>
          <w:rFonts w:ascii="Verdana" w:hAnsi="Verdana"/>
        </w:rPr>
        <w:t>s relaciones laborales</w:t>
      </w:r>
      <w:r w:rsidR="00B912BF">
        <w:rPr>
          <w:rFonts w:ascii="Verdana" w:hAnsi="Verdana"/>
        </w:rPr>
        <w:t xml:space="preserve"> de </w:t>
      </w:r>
      <w:r w:rsidR="008426F9">
        <w:rPr>
          <w:rFonts w:ascii="Verdana" w:hAnsi="Verdana"/>
        </w:rPr>
        <w:t xml:space="preserve">mujeres </w:t>
      </w:r>
      <w:r w:rsidR="00190E01">
        <w:rPr>
          <w:rFonts w:ascii="Verdana" w:hAnsi="Verdana"/>
        </w:rPr>
        <w:t>en</w:t>
      </w:r>
      <w:r w:rsidR="00D16A83">
        <w:rPr>
          <w:rFonts w:ascii="Verdana" w:hAnsi="Verdana"/>
        </w:rPr>
        <w:t xml:space="preserve"> cargos del nivel directivo</w:t>
      </w:r>
      <w:r w:rsidR="00E57416">
        <w:rPr>
          <w:rFonts w:ascii="Verdana" w:hAnsi="Verdana"/>
        </w:rPr>
        <w:t xml:space="preserve">, </w:t>
      </w:r>
      <w:r w:rsidR="00D16A83">
        <w:rPr>
          <w:rFonts w:ascii="Verdana" w:hAnsi="Verdana"/>
        </w:rPr>
        <w:t xml:space="preserve"> no se </w:t>
      </w:r>
      <w:r w:rsidR="00E57416">
        <w:rPr>
          <w:rFonts w:ascii="Verdana" w:hAnsi="Verdana"/>
        </w:rPr>
        <w:t>extendieron</w:t>
      </w:r>
      <w:r w:rsidR="00D16A83">
        <w:rPr>
          <w:rFonts w:ascii="Verdana" w:hAnsi="Verdana"/>
        </w:rPr>
        <w:t xml:space="preserve"> </w:t>
      </w:r>
      <w:r w:rsidR="00A31BE4">
        <w:rPr>
          <w:rFonts w:ascii="Verdana" w:hAnsi="Verdana"/>
        </w:rPr>
        <w:t xml:space="preserve">durante </w:t>
      </w:r>
      <w:r w:rsidR="00E57416">
        <w:rPr>
          <w:rFonts w:ascii="Verdana" w:hAnsi="Verdana"/>
        </w:rPr>
        <w:t xml:space="preserve">al menos el </w:t>
      </w:r>
      <w:r w:rsidR="00A31BE4">
        <w:rPr>
          <w:rFonts w:ascii="Verdana" w:hAnsi="Verdana"/>
        </w:rPr>
        <w:t>último año</w:t>
      </w:r>
      <w:r w:rsidR="00E57416">
        <w:rPr>
          <w:rFonts w:ascii="Verdana" w:hAnsi="Verdana"/>
        </w:rPr>
        <w:t xml:space="preserve"> previo a la fecha de cierre</w:t>
      </w:r>
      <w:r w:rsidR="00F60FD9">
        <w:rPr>
          <w:rFonts w:ascii="Verdana" w:hAnsi="Verdana"/>
        </w:rPr>
        <w:t>,</w:t>
      </w:r>
      <w:r w:rsidR="006E4D98">
        <w:rPr>
          <w:rFonts w:ascii="Verdana" w:hAnsi="Verdana"/>
        </w:rPr>
        <w:t xml:space="preserve"> o que las</w:t>
      </w:r>
      <w:r w:rsidR="004C3478">
        <w:rPr>
          <w:rFonts w:ascii="Verdana" w:hAnsi="Verdana"/>
        </w:rPr>
        <w:t xml:space="preserve"> mujeres</w:t>
      </w:r>
      <w:r w:rsidR="00BE094B">
        <w:rPr>
          <w:rFonts w:ascii="Verdana" w:hAnsi="Verdana"/>
        </w:rPr>
        <w:t xml:space="preserve"> vinculadas no ejercieron empleos </w:t>
      </w:r>
      <w:r w:rsidR="00474844">
        <w:rPr>
          <w:rFonts w:ascii="Verdana" w:hAnsi="Verdana"/>
        </w:rPr>
        <w:t>que obedecieran a la noci</w:t>
      </w:r>
      <w:r w:rsidR="00FC4DAF">
        <w:rPr>
          <w:rFonts w:ascii="Verdana" w:hAnsi="Verdana"/>
        </w:rPr>
        <w:t>ón de cargos del nivel directivos,</w:t>
      </w:r>
      <w:r w:rsidR="00F60FD9">
        <w:rPr>
          <w:rFonts w:ascii="Verdana" w:hAnsi="Verdana"/>
        </w:rPr>
        <w:t xml:space="preserve"> cuesti</w:t>
      </w:r>
      <w:r w:rsidR="00FC4DAF">
        <w:rPr>
          <w:rFonts w:ascii="Verdana" w:hAnsi="Verdana"/>
        </w:rPr>
        <w:t>ones</w:t>
      </w:r>
      <w:r w:rsidR="00F60FD9">
        <w:rPr>
          <w:rFonts w:ascii="Verdana" w:hAnsi="Verdana"/>
        </w:rPr>
        <w:t xml:space="preserve"> </w:t>
      </w:r>
      <w:r w:rsidR="003B3624">
        <w:rPr>
          <w:rFonts w:ascii="Verdana" w:hAnsi="Verdana"/>
        </w:rPr>
        <w:t xml:space="preserve">que </w:t>
      </w:r>
      <w:r w:rsidR="00FC4DAF">
        <w:rPr>
          <w:rFonts w:ascii="Verdana" w:hAnsi="Verdana"/>
        </w:rPr>
        <w:t xml:space="preserve">si </w:t>
      </w:r>
      <w:r w:rsidR="00CA4C5F">
        <w:rPr>
          <w:rFonts w:ascii="Verdana" w:hAnsi="Verdana"/>
        </w:rPr>
        <w:t>daría</w:t>
      </w:r>
      <w:r w:rsidR="00FC4DAF">
        <w:rPr>
          <w:rFonts w:ascii="Verdana" w:hAnsi="Verdana"/>
        </w:rPr>
        <w:t>n</w:t>
      </w:r>
      <w:r w:rsidR="00CA4C5F">
        <w:rPr>
          <w:rFonts w:ascii="Verdana" w:hAnsi="Verdana"/>
        </w:rPr>
        <w:t xml:space="preserve"> cuenta del incumplimiento del criterio establecido en el numeral 2 del artículo </w:t>
      </w:r>
      <w:r w:rsidR="00CA4C5F" w:rsidRPr="00210AEB">
        <w:rPr>
          <w:rFonts w:ascii="Verdana" w:hAnsi="Verdana"/>
        </w:rPr>
        <w:t>2.2.1.2.4.2.14</w:t>
      </w:r>
      <w:r w:rsidR="003A79AF">
        <w:rPr>
          <w:rFonts w:ascii="Verdana" w:hAnsi="Verdana"/>
        </w:rPr>
        <w:t>,</w:t>
      </w:r>
      <w:r w:rsidR="005374F5">
        <w:rPr>
          <w:rFonts w:ascii="Verdana" w:hAnsi="Verdana"/>
        </w:rPr>
        <w:t xml:space="preserve"> y en consecuencia, harían inviable aplicar los </w:t>
      </w:r>
      <w:r w:rsidR="00DA1D9F">
        <w:rPr>
          <w:rFonts w:ascii="Verdana" w:hAnsi="Verdana"/>
        </w:rPr>
        <w:t xml:space="preserve">requisitos habilitantes diferenciales y </w:t>
      </w:r>
      <w:r w:rsidR="00DA1D9F">
        <w:rPr>
          <w:rFonts w:ascii="Verdana" w:hAnsi="Verdana"/>
        </w:rPr>
        <w:lastRenderedPageBreak/>
        <w:t xml:space="preserve">puntaje adicional establecido por el artículo </w:t>
      </w:r>
      <w:r w:rsidR="00DA1D9F" w:rsidRPr="00210AEB">
        <w:rPr>
          <w:rFonts w:ascii="Verdana" w:hAnsi="Verdana"/>
        </w:rPr>
        <w:t>2.2.1.2.4.2.1</w:t>
      </w:r>
      <w:r w:rsidR="00DA1D9F">
        <w:rPr>
          <w:rFonts w:ascii="Verdana" w:hAnsi="Verdana"/>
        </w:rPr>
        <w:t xml:space="preserve">5 del Decreto 1082 de 2015. </w:t>
      </w:r>
      <w:r w:rsidR="005E42AD">
        <w:rPr>
          <w:rFonts w:ascii="Verdana" w:hAnsi="Verdana"/>
        </w:rPr>
        <w:t xml:space="preserve">  </w:t>
      </w:r>
      <w:r w:rsidR="008A11FB">
        <w:rPr>
          <w:rFonts w:ascii="Verdana" w:hAnsi="Verdana"/>
        </w:rPr>
        <w:t xml:space="preserve"> </w:t>
      </w:r>
      <w:r w:rsidR="00E27B5B">
        <w:rPr>
          <w:rFonts w:ascii="Verdana" w:hAnsi="Verdana"/>
        </w:rPr>
        <w:t xml:space="preserve"> </w:t>
      </w:r>
    </w:p>
    <w:p w14:paraId="5E26A59D" w14:textId="555BA0BD" w:rsidR="008A1FE0" w:rsidRDefault="00265138" w:rsidP="001D0D1B">
      <w:pPr>
        <w:pStyle w:val="Prrafodelista"/>
        <w:spacing w:after="120"/>
        <w:ind w:left="0" w:firstLine="708"/>
        <w:jc w:val="both"/>
        <w:rPr>
          <w:rFonts w:ascii="Verdana" w:hAnsi="Verdana"/>
        </w:rPr>
      </w:pPr>
      <w:r>
        <w:rPr>
          <w:rFonts w:ascii="Verdana" w:hAnsi="Verdana"/>
        </w:rPr>
        <w:t>Con todo esto, debe advertirse que corresponde a las entidades estatales contratantes determinar en cada caso concreto si en efecto se cumplen las condiciones antes explicadas, verificando además que dicha acreditación se haga con sujeción al marco aplicable. Para estos efectos deberá realizarse el análisis de cada uno de los empleos certificados para poder si cada uno de ellos puede ser considerado del nivel directivo de las funciones que tenga asignadas</w:t>
      </w:r>
      <w:r w:rsidR="000B6BF4">
        <w:rPr>
          <w:rFonts w:ascii="Verdana" w:hAnsi="Verdana"/>
        </w:rPr>
        <w:t>.</w:t>
      </w:r>
      <w:r w:rsidR="00DA1D9F">
        <w:rPr>
          <w:rFonts w:ascii="Verdana" w:hAnsi="Verdana"/>
        </w:rPr>
        <w:t>, así como la temporalidad de tales vinculaciones.</w:t>
      </w:r>
    </w:p>
    <w:p w14:paraId="233FEE43" w14:textId="77777777" w:rsidR="005D3FF0" w:rsidRPr="004D0265" w:rsidRDefault="005D3FF0" w:rsidP="005D3FF0">
      <w:pPr>
        <w:pStyle w:val="Prrafodelista"/>
        <w:rPr>
          <w:rFonts w:ascii="Verdana" w:hAnsi="Verdana"/>
        </w:rPr>
      </w:pPr>
    </w:p>
    <w:p w14:paraId="66A43BD5" w14:textId="37325A70" w:rsidR="005D3FF0" w:rsidRPr="00045B35" w:rsidRDefault="005D3FF0" w:rsidP="005D3FF0">
      <w:pPr>
        <w:tabs>
          <w:tab w:val="left" w:pos="142"/>
          <w:tab w:val="left" w:pos="284"/>
        </w:tabs>
        <w:spacing w:after="0" w:line="276" w:lineRule="auto"/>
        <w:jc w:val="both"/>
        <w:rPr>
          <w:rFonts w:ascii="Verdana" w:eastAsia="Century Gothic" w:hAnsi="Verdana" w:cs="Century Gothic"/>
          <w:b/>
          <w:bCs/>
          <w:lang w:val="es-ES"/>
        </w:rPr>
      </w:pPr>
      <w:r>
        <w:rPr>
          <w:rFonts w:ascii="Verdana" w:eastAsia="Century Gothic" w:hAnsi="Verdana" w:cs="Century Gothic"/>
          <w:b/>
          <w:bCs/>
          <w:lang w:val="es-ES"/>
        </w:rPr>
        <w:t xml:space="preserve">4. </w:t>
      </w:r>
      <w:r w:rsidRPr="00045B35">
        <w:rPr>
          <w:rFonts w:ascii="Verdana" w:eastAsia="Century Gothic" w:hAnsi="Verdana" w:cs="Century Gothic"/>
          <w:b/>
          <w:bCs/>
          <w:lang w:val="es-ES"/>
        </w:rPr>
        <w:t>Referencias normativas:</w:t>
      </w:r>
    </w:p>
    <w:p w14:paraId="45983CC2" w14:textId="77777777" w:rsidR="005D3FF0" w:rsidRPr="00045B35" w:rsidRDefault="005D3FF0" w:rsidP="005D3FF0">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5D3FF0" w:rsidRPr="00045B35" w14:paraId="249681A0" w14:textId="77777777" w:rsidTr="0088410E">
        <w:trPr>
          <w:trHeight w:val="870"/>
        </w:trPr>
        <w:tc>
          <w:tcPr>
            <w:tcW w:w="8647" w:type="dxa"/>
          </w:tcPr>
          <w:p w14:paraId="3D15B7E2" w14:textId="097F596A" w:rsidR="005D3FF0" w:rsidRDefault="005D3FF0" w:rsidP="005D3FF0">
            <w:pPr>
              <w:pStyle w:val="Prrafodelista"/>
              <w:widowControl w:val="0"/>
              <w:numPr>
                <w:ilvl w:val="0"/>
                <w:numId w:val="21"/>
              </w:numPr>
              <w:autoSpaceDE w:val="0"/>
              <w:autoSpaceDN w:val="0"/>
              <w:spacing w:after="120" w:line="276" w:lineRule="auto"/>
              <w:jc w:val="both"/>
              <w:rPr>
                <w:rFonts w:ascii="Verdana" w:hAnsi="Verdana" w:cs="Arial"/>
              </w:rPr>
            </w:pPr>
            <w:r w:rsidRPr="004D0265">
              <w:rPr>
                <w:rFonts w:ascii="Verdana" w:hAnsi="Verdana" w:cs="Arial"/>
              </w:rPr>
              <w:t xml:space="preserve">Ley </w:t>
            </w:r>
            <w:r w:rsidR="00560A45">
              <w:rPr>
                <w:rFonts w:ascii="Verdana" w:hAnsi="Verdana" w:cs="Arial"/>
              </w:rPr>
              <w:t>2069 d</w:t>
            </w:r>
            <w:r w:rsidR="00DD0B54">
              <w:rPr>
                <w:rFonts w:ascii="Verdana" w:hAnsi="Verdana" w:cs="Arial"/>
              </w:rPr>
              <w:t>e 2020</w:t>
            </w:r>
            <w:r w:rsidR="00020EE9">
              <w:rPr>
                <w:rFonts w:ascii="Verdana" w:hAnsi="Verdana" w:cs="Arial"/>
              </w:rPr>
              <w:t>: artículo 32</w:t>
            </w:r>
            <w:r w:rsidR="007630F9">
              <w:rPr>
                <w:rFonts w:ascii="Verdana" w:hAnsi="Verdana" w:cs="Arial"/>
              </w:rPr>
              <w:t>.</w:t>
            </w:r>
          </w:p>
          <w:p w14:paraId="053C405C" w14:textId="6C40BEA5" w:rsidR="005D3FF0" w:rsidRPr="00042537" w:rsidRDefault="00020EE9" w:rsidP="005D3FF0">
            <w:pPr>
              <w:pStyle w:val="Prrafodelista"/>
              <w:widowControl w:val="0"/>
              <w:numPr>
                <w:ilvl w:val="0"/>
                <w:numId w:val="21"/>
              </w:numPr>
              <w:autoSpaceDE w:val="0"/>
              <w:autoSpaceDN w:val="0"/>
              <w:spacing w:after="120" w:line="276" w:lineRule="auto"/>
              <w:jc w:val="both"/>
              <w:rPr>
                <w:rFonts w:ascii="Verdana" w:hAnsi="Verdana" w:cs="Arial"/>
              </w:rPr>
            </w:pPr>
            <w:r>
              <w:rPr>
                <w:rFonts w:ascii="Verdana" w:hAnsi="Verdana" w:cs="Arial"/>
              </w:rPr>
              <w:t xml:space="preserve">Decreto 1082 de 2015: artículo </w:t>
            </w:r>
            <w:r w:rsidR="006D6926">
              <w:rPr>
                <w:rFonts w:ascii="Verdana" w:hAnsi="Verdana" w:cs="Arial"/>
              </w:rPr>
              <w:t>2.2.1.2.4.2.14</w:t>
            </w:r>
            <w:r w:rsidR="00DA1D9F">
              <w:rPr>
                <w:rFonts w:ascii="Verdana" w:hAnsi="Verdana" w:cs="Arial"/>
              </w:rPr>
              <w:t xml:space="preserve"> y </w:t>
            </w:r>
            <w:r w:rsidR="00DA1D9F" w:rsidRPr="00210AEB">
              <w:rPr>
                <w:rFonts w:ascii="Verdana" w:hAnsi="Verdana"/>
              </w:rPr>
              <w:t>2.2.1.2.4.2.1</w:t>
            </w:r>
            <w:r w:rsidR="00DA1D9F">
              <w:rPr>
                <w:rFonts w:ascii="Verdana" w:hAnsi="Verdana"/>
              </w:rPr>
              <w:t>5</w:t>
            </w:r>
          </w:p>
          <w:p w14:paraId="737DB913" w14:textId="1890F679" w:rsidR="005D3FF0" w:rsidRDefault="006D6926" w:rsidP="005D3FF0">
            <w:pPr>
              <w:widowControl w:val="0"/>
              <w:numPr>
                <w:ilvl w:val="0"/>
                <w:numId w:val="20"/>
              </w:numPr>
              <w:autoSpaceDE w:val="0"/>
              <w:autoSpaceDN w:val="0"/>
              <w:spacing w:after="120" w:line="276" w:lineRule="auto"/>
              <w:contextualSpacing/>
              <w:jc w:val="both"/>
              <w:rPr>
                <w:rFonts w:ascii="Verdana" w:hAnsi="Verdana" w:cs="Arial"/>
              </w:rPr>
            </w:pPr>
            <w:r>
              <w:rPr>
                <w:rFonts w:ascii="Verdana" w:hAnsi="Verdana" w:cs="Arial"/>
              </w:rPr>
              <w:t>Decreto 1860 de 2021</w:t>
            </w:r>
            <w:r w:rsidR="007630F9">
              <w:rPr>
                <w:rFonts w:ascii="Verdana" w:hAnsi="Verdana" w:cs="Arial"/>
              </w:rPr>
              <w:t>.</w:t>
            </w:r>
            <w:r w:rsidR="00DA1D9F">
              <w:rPr>
                <w:rFonts w:ascii="Verdana" w:hAnsi="Verdana" w:cs="Arial"/>
              </w:rPr>
              <w:t xml:space="preserve"> Artículo 3</w:t>
            </w:r>
            <w:r w:rsidR="001D6B04">
              <w:rPr>
                <w:rFonts w:ascii="Verdana" w:hAnsi="Verdana" w:cs="Arial"/>
              </w:rPr>
              <w:t>,</w:t>
            </w:r>
          </w:p>
          <w:p w14:paraId="4D96931C" w14:textId="77777777" w:rsidR="005D3FF0" w:rsidRPr="00045B35" w:rsidRDefault="005D3FF0" w:rsidP="001D0D1B">
            <w:pPr>
              <w:widowControl w:val="0"/>
              <w:autoSpaceDE w:val="0"/>
              <w:autoSpaceDN w:val="0"/>
              <w:spacing w:after="120" w:line="276" w:lineRule="auto"/>
              <w:ind w:left="720"/>
              <w:contextualSpacing/>
              <w:jc w:val="both"/>
              <w:rPr>
                <w:rFonts w:ascii="Verdana" w:hAnsi="Verdana" w:cs="Arial"/>
              </w:rPr>
            </w:pPr>
          </w:p>
        </w:tc>
      </w:tr>
    </w:tbl>
    <w:p w14:paraId="3CF7928B" w14:textId="77777777" w:rsidR="005D3FF0" w:rsidRPr="00045B35" w:rsidRDefault="005D3FF0" w:rsidP="005D3FF0">
      <w:pPr>
        <w:widowControl w:val="0"/>
        <w:autoSpaceDE w:val="0"/>
        <w:autoSpaceDN w:val="0"/>
        <w:spacing w:after="0" w:line="276" w:lineRule="auto"/>
        <w:jc w:val="both"/>
        <w:rPr>
          <w:rFonts w:ascii="Verdana" w:hAnsi="Verdana" w:cs="Arial"/>
        </w:rPr>
      </w:pPr>
    </w:p>
    <w:p w14:paraId="00BDB9EA" w14:textId="77777777" w:rsidR="005D3FF0" w:rsidRDefault="005D3FF0" w:rsidP="005D3FF0">
      <w:pPr>
        <w:tabs>
          <w:tab w:val="left" w:pos="142"/>
          <w:tab w:val="left" w:pos="284"/>
        </w:tabs>
        <w:spacing w:after="0" w:line="276" w:lineRule="auto"/>
        <w:jc w:val="both"/>
        <w:rPr>
          <w:rFonts w:ascii="Verdana" w:eastAsia="Century Gothic" w:hAnsi="Verdana" w:cs="Century Gothic"/>
          <w:b/>
          <w:bCs/>
          <w:lang w:val="es-ES"/>
        </w:rPr>
      </w:pPr>
      <w:r>
        <w:rPr>
          <w:rFonts w:ascii="Verdana" w:eastAsia="Century Gothic" w:hAnsi="Verdana" w:cs="Century Gothic"/>
          <w:b/>
          <w:bCs/>
          <w:lang w:val="es-ES"/>
        </w:rPr>
        <w:t xml:space="preserve">5. </w:t>
      </w:r>
      <w:r w:rsidRPr="00045B35">
        <w:rPr>
          <w:rFonts w:ascii="Verdana" w:eastAsia="Century Gothic" w:hAnsi="Verdana" w:cs="Century Gothic"/>
          <w:b/>
          <w:bCs/>
          <w:lang w:val="es-ES"/>
        </w:rPr>
        <w:t>Doctrina de la Agencia Nacional de Contratación Pública:</w:t>
      </w:r>
    </w:p>
    <w:p w14:paraId="0991EA34" w14:textId="77777777" w:rsidR="005D3FF0" w:rsidRDefault="005D3FF0" w:rsidP="005D3FF0">
      <w:pPr>
        <w:tabs>
          <w:tab w:val="left" w:pos="142"/>
          <w:tab w:val="left" w:pos="284"/>
        </w:tabs>
        <w:spacing w:after="0" w:line="276" w:lineRule="auto"/>
        <w:jc w:val="both"/>
        <w:rPr>
          <w:rFonts w:ascii="Verdana" w:eastAsia="Century Gothic" w:hAnsi="Verdana" w:cs="Century Gothic"/>
          <w:b/>
          <w:bCs/>
          <w:lang w:val="es-ES"/>
        </w:rPr>
      </w:pPr>
    </w:p>
    <w:p w14:paraId="122634C0" w14:textId="129E76EF" w:rsidR="007E7ABA" w:rsidRDefault="00274E89" w:rsidP="001D0D1B">
      <w:pPr>
        <w:spacing w:after="120"/>
        <w:ind w:left="-6"/>
        <w:jc w:val="both"/>
        <w:rPr>
          <w:rFonts w:ascii="Verdana" w:hAnsi="Verdana"/>
        </w:rPr>
      </w:pPr>
      <w:r w:rsidRPr="00274E89">
        <w:rPr>
          <w:rFonts w:ascii="Verdana" w:hAnsi="Verdana"/>
        </w:rPr>
        <w:t>La Agencia Nacional de Contratación Pública  – Colombia Compra Eficiente se ha pronunciado, en términos generales, sobre el contenido de la Ley de Emprendimiento en diferentes conceptos, refiriéndose, especialmente, a lo dispuesto en el artículo 32 de dicha ley, alusivo a los criterios diferenciales para emprendimientos y empresas de mujeres, en los conceptos, C-029 de 21 de febrero de 2021, C-037 del 26 de febrero de 2021, C-141 del 8 de abril de 2021, C-114 del 13 de abril de 2015, C-031 del 1 de marzo de 2022, C-476 del 21 de junio de 2022, C-429 del 18 de julio de 2022, C-438 del 11 de julio de 2022, C- 454 del 13 de julio de 2022, C-476 del 21 de junio de 2022, C-479 del 26 de julio de 2022, C-504 del 8 de agosto de 2022, C-522 del 16 de agosto de 2022, C-533 de 25 de agosto de 2022, C-587 del 21 de septiembre de 2022, C-715 del 4 de noviembre de 2022, C-781 del 25 de noviembre de 2022,</w:t>
      </w:r>
      <w:r w:rsidR="00BD4621">
        <w:rPr>
          <w:rFonts w:ascii="Verdana" w:hAnsi="Verdana"/>
        </w:rPr>
        <w:t xml:space="preserve"> C-804 del 25 de noviembre de 2022, y C-891 del 23 de diciembre de 2022</w:t>
      </w:r>
      <w:r w:rsidR="005D72D3">
        <w:rPr>
          <w:rFonts w:ascii="Verdana" w:hAnsi="Verdana"/>
        </w:rPr>
        <w:t>, C-</w:t>
      </w:r>
      <w:r w:rsidR="00523266">
        <w:rPr>
          <w:rFonts w:ascii="Verdana" w:hAnsi="Verdana"/>
        </w:rPr>
        <w:t>675</w:t>
      </w:r>
      <w:r w:rsidR="00772083">
        <w:rPr>
          <w:rFonts w:ascii="Verdana" w:hAnsi="Verdana"/>
        </w:rPr>
        <w:t xml:space="preserve"> del 13 de octubre de 2022,</w:t>
      </w:r>
      <w:r w:rsidRPr="00274E89">
        <w:rPr>
          <w:rFonts w:ascii="Verdana" w:hAnsi="Verdana"/>
        </w:rPr>
        <w:t xml:space="preserve"> C-152 del 28 de septiembre de 2023 ,  C -156 del 23 de agosto de 2024 , C- 391 del 2 de septiembre de 2024, C-401 del 9 de noviembre de 2024.</w:t>
      </w:r>
      <w:r w:rsidR="00F06D0A">
        <w:rPr>
          <w:rFonts w:ascii="Verdana" w:hAnsi="Verdana"/>
        </w:rPr>
        <w:t xml:space="preserve"> Estos y otros conceptos se encuentran disponibles</w:t>
      </w:r>
      <w:r w:rsidR="005A6C12">
        <w:rPr>
          <w:rFonts w:ascii="Verdana" w:hAnsi="Verdana"/>
        </w:rPr>
        <w:t xml:space="preserve"> para consulta en el Sistema de Relatoría de la Agencia, en el cual podrá encontrar </w:t>
      </w:r>
      <w:r w:rsidR="00DA7CAE">
        <w:rPr>
          <w:rFonts w:ascii="Verdana" w:hAnsi="Verdana"/>
        </w:rPr>
        <w:t>jurisprudencia del Consejo de Estado, laudos arbitrales y la normativa de la contratación concordada con la doctrina de la Subdirección de Gestión Contractual</w:t>
      </w:r>
      <w:r w:rsidR="007E7ABA">
        <w:rPr>
          <w:rFonts w:ascii="Verdana" w:hAnsi="Verdana"/>
        </w:rPr>
        <w:t xml:space="preserve"> a través del siguiente enlace: </w:t>
      </w:r>
      <w:hyperlink r:id="rId13" w:history="1">
        <w:r w:rsidR="00585691" w:rsidRPr="00C16633">
          <w:rPr>
            <w:rStyle w:val="Hipervnculo"/>
            <w:rFonts w:ascii="Verdana" w:hAnsi="Verdana"/>
          </w:rPr>
          <w:t>https://relatoria.colombiacompra.gov.co/</w:t>
        </w:r>
      </w:hyperlink>
      <w:r w:rsidR="001E6B73">
        <w:rPr>
          <w:rFonts w:ascii="Verdana" w:hAnsi="Verdana"/>
        </w:rPr>
        <w:t xml:space="preserve"> </w:t>
      </w:r>
    </w:p>
    <w:p w14:paraId="18024511" w14:textId="7A3939CB" w:rsidR="0087780F" w:rsidRPr="00045B35" w:rsidRDefault="0087780F" w:rsidP="001D0D1B">
      <w:pPr>
        <w:widowControl w:val="0"/>
        <w:autoSpaceDE w:val="0"/>
        <w:autoSpaceDN w:val="0"/>
        <w:spacing w:after="0" w:line="276" w:lineRule="auto"/>
        <w:ind w:firstLine="708"/>
        <w:jc w:val="both"/>
        <w:rPr>
          <w:rFonts w:ascii="Verdana" w:hAnsi="Verdana" w:cs="Arial"/>
          <w:color w:val="FF0000"/>
          <w:shd w:val="clear" w:color="auto" w:fill="FFFFFF"/>
          <w:lang w:val="es-ES"/>
        </w:rPr>
      </w:pPr>
      <w:r w:rsidRPr="00045B35">
        <w:rPr>
          <w:rFonts w:ascii="Verdana" w:hAnsi="Verdana" w:cs="Arial"/>
          <w:shd w:val="clear" w:color="auto" w:fill="FFFFFF"/>
          <w:lang w:val="es-ES"/>
        </w:rPr>
        <w:lastRenderedPageBreak/>
        <w:t xml:space="preserve">También le invitamos a </w:t>
      </w:r>
      <w:r w:rsidR="00821A69">
        <w:rPr>
          <w:rFonts w:ascii="Verdana" w:hAnsi="Verdana" w:cs="Arial"/>
          <w:shd w:val="clear" w:color="auto" w:fill="FFFFFF"/>
          <w:lang w:val="es-ES"/>
        </w:rPr>
        <w:t>revisar la cuarta edición del Boletín de Relatoría de 2024, en el cual se explicaron</w:t>
      </w:r>
      <w:r w:rsidR="00A35372">
        <w:rPr>
          <w:rFonts w:ascii="Verdana" w:hAnsi="Verdana" w:cs="Arial"/>
          <w:shd w:val="clear" w:color="auto" w:fill="FFFFFF"/>
          <w:lang w:val="es-ES"/>
        </w:rPr>
        <w:t xml:space="preserve"> los cambios más relevantes que fueron incorporados en los Documentos Tipo para el sector de Infraestructura de Transporte</w:t>
      </w:r>
      <w:r w:rsidR="004D147C">
        <w:rPr>
          <w:rFonts w:ascii="Verdana" w:hAnsi="Verdana" w:cs="Arial"/>
          <w:shd w:val="clear" w:color="auto" w:fill="FFFFFF"/>
          <w:lang w:val="es-ES"/>
        </w:rPr>
        <w:t>, en las modalidades de selección de Licitación de Obra Pública, Selección Abreviada de Menor Cuantía y Mínima C</w:t>
      </w:r>
      <w:r w:rsidR="00DE6A50">
        <w:rPr>
          <w:rFonts w:ascii="Verdana" w:hAnsi="Verdana" w:cs="Arial"/>
          <w:shd w:val="clear" w:color="auto" w:fill="FFFFFF"/>
          <w:lang w:val="es-ES"/>
        </w:rPr>
        <w:t xml:space="preserve">uantía. Puede consultarlo en el siguiente enlace: </w:t>
      </w:r>
      <w:r w:rsidR="007D3E44" w:rsidRPr="007D3E44">
        <w:rPr>
          <w:rFonts w:ascii="Verdana" w:hAnsi="Verdana" w:cs="Arial"/>
          <w:shd w:val="clear" w:color="auto" w:fill="FFFFFF"/>
        </w:rPr>
        <w:t> </w:t>
      </w:r>
      <w:hyperlink r:id="rId14" w:tgtFrame="_blank" w:tooltip="Dirección URL original: https://www.colombiacompra.gov.co/sala-de-prensa/boletin-digital/boletin-de-relatoria-2024-iv. Haga clic o pulse si confía en este vínculo." w:history="1">
        <w:r w:rsidR="007D3E44" w:rsidRPr="007D3E44">
          <w:rPr>
            <w:rStyle w:val="Hipervnculo"/>
            <w:rFonts w:ascii="Verdana" w:hAnsi="Verdana" w:cs="Arial"/>
            <w:shd w:val="clear" w:color="auto" w:fill="FFFFFF"/>
          </w:rPr>
          <w:t>BOLETÍN DE RELATORÍA 2024 – IV | Colombia Compra Eficiente | Agencia Nacional de Contratación Pública</w:t>
        </w:r>
      </w:hyperlink>
    </w:p>
    <w:p w14:paraId="2A205287" w14:textId="77777777" w:rsidR="0087780F" w:rsidRPr="00045B35" w:rsidRDefault="0087780F" w:rsidP="0087780F">
      <w:pPr>
        <w:spacing w:after="0" w:line="276" w:lineRule="auto"/>
        <w:jc w:val="both"/>
        <w:rPr>
          <w:rFonts w:ascii="Verdana" w:hAnsi="Verdana"/>
        </w:rPr>
      </w:pPr>
    </w:p>
    <w:p w14:paraId="350AC51C" w14:textId="77777777" w:rsidR="0087780F" w:rsidRPr="00045B35" w:rsidRDefault="0087780F" w:rsidP="0087780F">
      <w:pPr>
        <w:spacing w:after="0" w:line="276" w:lineRule="auto"/>
        <w:jc w:val="both"/>
        <w:rPr>
          <w:rFonts w:ascii="Verdana" w:hAnsi="Verdana"/>
        </w:rPr>
      </w:pPr>
      <w:r w:rsidRPr="00045B35">
        <w:rPr>
          <w:rFonts w:ascii="Verdana" w:hAnsi="Verdana"/>
        </w:rPr>
        <w:t xml:space="preserve">Por último, lo invitamos a seguirnos en las redes sociales en las cuales se difunde información institucional: </w:t>
      </w:r>
    </w:p>
    <w:p w14:paraId="79388242" w14:textId="77777777" w:rsidR="0087780F" w:rsidRPr="00045B35" w:rsidRDefault="0087780F" w:rsidP="0087780F">
      <w:pPr>
        <w:spacing w:after="0" w:line="276" w:lineRule="auto"/>
        <w:jc w:val="both"/>
        <w:rPr>
          <w:rFonts w:ascii="Verdana" w:hAnsi="Verdana"/>
        </w:rPr>
      </w:pPr>
    </w:p>
    <w:p w14:paraId="07EA1BEF" w14:textId="77777777" w:rsidR="0087780F" w:rsidRPr="00045B35" w:rsidRDefault="0087780F" w:rsidP="0087780F">
      <w:pPr>
        <w:spacing w:after="0" w:line="276" w:lineRule="auto"/>
        <w:jc w:val="both"/>
        <w:rPr>
          <w:rFonts w:ascii="Verdana" w:hAnsi="Verdana"/>
        </w:rPr>
      </w:pPr>
      <w:r w:rsidRPr="00045B35">
        <w:rPr>
          <w:rFonts w:ascii="Verdana" w:hAnsi="Verdana"/>
        </w:rPr>
        <w:t xml:space="preserve">Twitter: </w:t>
      </w:r>
      <w:r w:rsidRPr="00045B35">
        <w:rPr>
          <w:rFonts w:ascii="Verdana" w:hAnsi="Verdana"/>
          <w:color w:val="4472C4" w:themeColor="accent1"/>
          <w:u w:val="single"/>
        </w:rPr>
        <w:t>@colombiacompra</w:t>
      </w:r>
      <w:r w:rsidRPr="00045B35">
        <w:rPr>
          <w:rFonts w:ascii="Verdana" w:hAnsi="Verdana"/>
          <w:color w:val="4472C4" w:themeColor="accent1"/>
        </w:rPr>
        <w:t xml:space="preserve"> </w:t>
      </w:r>
    </w:p>
    <w:p w14:paraId="3B3E6057" w14:textId="77777777" w:rsidR="0087780F" w:rsidRPr="00045B35" w:rsidRDefault="0087780F" w:rsidP="0087780F">
      <w:pPr>
        <w:spacing w:after="0" w:line="276" w:lineRule="auto"/>
        <w:jc w:val="both"/>
        <w:rPr>
          <w:rFonts w:ascii="Verdana" w:hAnsi="Verdana"/>
        </w:rPr>
      </w:pPr>
      <w:r w:rsidRPr="00045B35">
        <w:rPr>
          <w:rFonts w:ascii="Verdana" w:hAnsi="Verdana"/>
        </w:rPr>
        <w:t xml:space="preserve">Facebook: </w:t>
      </w:r>
      <w:r w:rsidRPr="00045B35">
        <w:rPr>
          <w:rFonts w:ascii="Verdana" w:hAnsi="Verdana"/>
          <w:color w:val="4472C4" w:themeColor="accent1"/>
          <w:u w:val="single"/>
        </w:rPr>
        <w:t>ColombiaCompraEficiente</w:t>
      </w:r>
    </w:p>
    <w:p w14:paraId="6302AC24" w14:textId="77777777" w:rsidR="0087780F" w:rsidRPr="00045B35" w:rsidRDefault="0087780F" w:rsidP="0087780F">
      <w:pPr>
        <w:spacing w:after="0" w:line="276" w:lineRule="auto"/>
        <w:jc w:val="both"/>
        <w:rPr>
          <w:rFonts w:ascii="Verdana" w:hAnsi="Verdana"/>
        </w:rPr>
      </w:pPr>
      <w:r w:rsidRPr="00045B35">
        <w:rPr>
          <w:rFonts w:ascii="Verdana" w:hAnsi="Verdana"/>
        </w:rPr>
        <w:t xml:space="preserve">LinkedIn: </w:t>
      </w:r>
      <w:r w:rsidRPr="00045B35">
        <w:rPr>
          <w:rFonts w:ascii="Verdana" w:hAnsi="Verdana"/>
          <w:color w:val="4472C4" w:themeColor="accent1"/>
          <w:u w:val="single"/>
        </w:rPr>
        <w:t>Agencia Nacional de Contratación Pública - Colombia Compra Eficiente</w:t>
      </w:r>
      <w:r w:rsidRPr="00045B35">
        <w:rPr>
          <w:rFonts w:ascii="Verdana" w:hAnsi="Verdana"/>
          <w:color w:val="4472C4" w:themeColor="accent1"/>
        </w:rPr>
        <w:t xml:space="preserve"> </w:t>
      </w:r>
      <w:r w:rsidRPr="00045B35">
        <w:rPr>
          <w:rFonts w:ascii="Verdana" w:hAnsi="Verdana"/>
        </w:rPr>
        <w:t xml:space="preserve">Instagram: </w:t>
      </w:r>
      <w:r w:rsidRPr="00045B35">
        <w:rPr>
          <w:rFonts w:ascii="Verdana" w:hAnsi="Verdana"/>
          <w:color w:val="4472C4" w:themeColor="accent1"/>
          <w:u w:val="single"/>
        </w:rPr>
        <w:t>@colombiacompraeficiente_cce</w:t>
      </w:r>
    </w:p>
    <w:p w14:paraId="7892C64E" w14:textId="77777777" w:rsidR="0087780F" w:rsidRPr="00045B35" w:rsidRDefault="0087780F" w:rsidP="0087780F">
      <w:pPr>
        <w:widowControl w:val="0"/>
        <w:autoSpaceDE w:val="0"/>
        <w:autoSpaceDN w:val="0"/>
        <w:spacing w:after="0" w:line="276" w:lineRule="auto"/>
        <w:jc w:val="both"/>
        <w:rPr>
          <w:rFonts w:ascii="Verdana" w:hAnsi="Verdana" w:cs="Arial"/>
        </w:rPr>
      </w:pPr>
    </w:p>
    <w:p w14:paraId="31CE8763" w14:textId="77777777" w:rsidR="0087780F" w:rsidRPr="00045B35" w:rsidRDefault="0087780F" w:rsidP="0087780F">
      <w:pPr>
        <w:widowControl w:val="0"/>
        <w:autoSpaceDE w:val="0"/>
        <w:autoSpaceDN w:val="0"/>
        <w:spacing w:after="0" w:line="276" w:lineRule="auto"/>
        <w:jc w:val="both"/>
        <w:rPr>
          <w:rFonts w:ascii="Verdana" w:hAnsi="Verdana" w:cs="Arial"/>
          <w:lang w:val="es-ES_tradnl"/>
        </w:rPr>
      </w:pPr>
      <w:r w:rsidRPr="00045B35">
        <w:rPr>
          <w:rFonts w:ascii="Verdana" w:hAnsi="Verdana" w:cs="Arial"/>
        </w:rPr>
        <w:t>Este concepto tiene el alcance previsto en el artículo 28 del Código de Procedimiento Administrativo y de lo Contencioso Administrativo</w:t>
      </w:r>
      <w:r>
        <w:rPr>
          <w:rFonts w:ascii="Verdana" w:hAnsi="Verdana" w:cs="Arial"/>
        </w:rPr>
        <w:t>,</w:t>
      </w:r>
    </w:p>
    <w:p w14:paraId="09A99A5D" w14:textId="77777777" w:rsidR="001D6B04" w:rsidRDefault="001D6B04" w:rsidP="005D3FF0">
      <w:pPr>
        <w:spacing w:after="0" w:line="240" w:lineRule="auto"/>
        <w:rPr>
          <w:rFonts w:ascii="Verdana" w:eastAsia="Times New Roman" w:hAnsi="Verdana" w:cs="Arial"/>
          <w:lang w:eastAsia="es-CO"/>
        </w:rPr>
      </w:pPr>
    </w:p>
    <w:p w14:paraId="35A656BE" w14:textId="46CEE164" w:rsidR="005D3FF0" w:rsidRDefault="005D3FF0" w:rsidP="005D3FF0">
      <w:pPr>
        <w:spacing w:after="0" w:line="240" w:lineRule="auto"/>
        <w:rPr>
          <w:rFonts w:ascii="Verdana" w:hAnsi="Verdana" w:cs="Arial"/>
          <w:lang w:eastAsia="es-CO"/>
        </w:rPr>
      </w:pPr>
      <w:r w:rsidRPr="00045B35">
        <w:rPr>
          <w:rFonts w:ascii="Verdana" w:eastAsia="Times New Roman" w:hAnsi="Verdana" w:cs="Arial"/>
          <w:lang w:eastAsia="es-CO"/>
        </w:rPr>
        <w:t>Atentamente,</w:t>
      </w:r>
      <w:r w:rsidRPr="00045B35">
        <w:rPr>
          <w:rFonts w:ascii="Verdana" w:hAnsi="Verdana" w:cs="Arial"/>
          <w:lang w:eastAsia="es-CO"/>
        </w:rPr>
        <w:t xml:space="preserve"> </w:t>
      </w:r>
    </w:p>
    <w:p w14:paraId="495A8D1E" w14:textId="77777777" w:rsidR="005D3FF0" w:rsidRDefault="005D3FF0" w:rsidP="005D3FF0">
      <w:pPr>
        <w:spacing w:after="0" w:line="240" w:lineRule="auto"/>
        <w:rPr>
          <w:rFonts w:ascii="Verdana" w:hAnsi="Verdana" w:cs="Arial"/>
          <w:lang w:eastAsia="es-CO"/>
        </w:rPr>
      </w:pPr>
    </w:p>
    <w:p w14:paraId="31E4866D" w14:textId="77777777" w:rsidR="005D3FF0" w:rsidRPr="00292355" w:rsidRDefault="005D3FF0" w:rsidP="005D3FF0">
      <w:pPr>
        <w:spacing w:after="0" w:line="240" w:lineRule="auto"/>
        <w:rPr>
          <w:rFonts w:ascii="Verdana" w:eastAsia="Aptos" w:hAnsi="Verdana" w:cs="Arial"/>
          <w:lang w:eastAsia="es-CO"/>
        </w:rPr>
      </w:pPr>
    </w:p>
    <w:p w14:paraId="2705C4DD" w14:textId="0139D907" w:rsidR="005D3FF0" w:rsidRDefault="005D3FF0" w:rsidP="005D3FF0">
      <w:pPr>
        <w:spacing w:line="276" w:lineRule="auto"/>
        <w:jc w:val="center"/>
        <w:rPr>
          <w:rFonts w:ascii="Verdana" w:eastAsia="Aptos" w:hAnsi="Verdana" w:cs="Arial"/>
          <w:lang w:val="es-ES_tradnl" w:eastAsia="es-CO"/>
        </w:rPr>
      </w:pPr>
      <w:r w:rsidRPr="00677A06">
        <w:rPr>
          <w:rFonts w:ascii="Verdana" w:eastAsia="Aptos" w:hAnsi="Verdana" w:cs="Arial"/>
          <w:lang w:eastAsia="es-CO"/>
        </w:rPr>
        <w:br/>
      </w:r>
      <w:r w:rsidR="000923EA" w:rsidRPr="00677A06">
        <w:rPr>
          <w:rFonts w:ascii="Verdana" w:eastAsia="Aptos" w:hAnsi="Verdana" w:cs="Arial"/>
          <w:noProof/>
          <w:lang w:eastAsia="es-CO"/>
        </w:rPr>
        <w:drawing>
          <wp:inline distT="0" distB="0" distL="0" distR="0" wp14:anchorId="23478343" wp14:editId="09837125">
            <wp:extent cx="3771900" cy="1400175"/>
            <wp:effectExtent l="0" t="0" r="0" b="9525"/>
            <wp:docPr id="3619809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p w14:paraId="235E0DC8" w14:textId="77777777" w:rsidR="005D3FF0" w:rsidRPr="00292355" w:rsidRDefault="005D3FF0" w:rsidP="005D3FF0">
      <w:pPr>
        <w:spacing w:line="276" w:lineRule="auto"/>
        <w:jc w:val="center"/>
        <w:rPr>
          <w:rFonts w:ascii="Verdana" w:eastAsia="Aptos" w:hAnsi="Verdana" w:cs="Arial"/>
          <w:lang w:val="es-ES_tradnl"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5D3FF0" w:rsidRPr="00292355" w14:paraId="7B827C60" w14:textId="77777777" w:rsidTr="0088410E">
        <w:trPr>
          <w:trHeight w:val="286"/>
        </w:trPr>
        <w:tc>
          <w:tcPr>
            <w:tcW w:w="901" w:type="dxa"/>
            <w:vAlign w:val="center"/>
            <w:hideMark/>
          </w:tcPr>
          <w:p w14:paraId="6A436DAC" w14:textId="77777777" w:rsidR="005D3FF0" w:rsidRPr="00292355" w:rsidRDefault="005D3FF0" w:rsidP="0088410E">
            <w:pPr>
              <w:rPr>
                <w:rFonts w:ascii="Verdana" w:eastAsia="Aptos" w:hAnsi="Verdana" w:cs="Arial"/>
                <w:sz w:val="14"/>
                <w:szCs w:val="14"/>
                <w:lang w:eastAsia="es-ES"/>
              </w:rPr>
            </w:pPr>
            <w:r w:rsidRPr="00292355">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37D34C48" w14:textId="77777777" w:rsidR="005D3FF0" w:rsidRPr="00292355" w:rsidRDefault="005D3FF0" w:rsidP="0088410E">
            <w:pPr>
              <w:rPr>
                <w:rFonts w:ascii="Verdana" w:eastAsia="Aptos" w:hAnsi="Verdana" w:cs="Arial"/>
                <w:sz w:val="14"/>
                <w:szCs w:val="14"/>
                <w:lang w:eastAsia="es-ES"/>
              </w:rPr>
            </w:pPr>
            <w:r>
              <w:rPr>
                <w:rFonts w:ascii="Verdana" w:eastAsia="Aptos" w:hAnsi="Verdana" w:cs="Arial"/>
                <w:sz w:val="14"/>
                <w:szCs w:val="14"/>
                <w:lang w:eastAsia="es-ES"/>
              </w:rPr>
              <w:t>Kelmis Yirama Brugés Alvarado</w:t>
            </w:r>
          </w:p>
          <w:p w14:paraId="4022361B" w14:textId="77777777" w:rsidR="005D3FF0" w:rsidRPr="00292355" w:rsidRDefault="005D3FF0" w:rsidP="0088410E">
            <w:pPr>
              <w:rPr>
                <w:rFonts w:ascii="Verdana" w:eastAsia="Aptos" w:hAnsi="Verdana" w:cs="Arial"/>
                <w:sz w:val="14"/>
                <w:szCs w:val="14"/>
                <w:lang w:eastAsia="es-ES"/>
              </w:rPr>
            </w:pPr>
            <w:r w:rsidRPr="00292355">
              <w:rPr>
                <w:rFonts w:ascii="Verdana" w:eastAsia="Aptos" w:hAnsi="Verdana" w:cs="Arial"/>
                <w:sz w:val="14"/>
                <w:szCs w:val="14"/>
                <w:lang w:eastAsia="es-ES"/>
              </w:rPr>
              <w:t>Analista T2–0</w:t>
            </w:r>
            <w:r>
              <w:rPr>
                <w:rFonts w:ascii="Verdana" w:eastAsia="Aptos" w:hAnsi="Verdana" w:cs="Arial"/>
                <w:sz w:val="14"/>
                <w:szCs w:val="14"/>
                <w:lang w:eastAsia="es-ES"/>
              </w:rPr>
              <w:t xml:space="preserve">4 </w:t>
            </w:r>
            <w:r w:rsidRPr="00292355">
              <w:rPr>
                <w:rFonts w:ascii="Verdana" w:eastAsia="Aptos" w:hAnsi="Verdana" w:cs="Arial"/>
                <w:sz w:val="14"/>
                <w:szCs w:val="14"/>
                <w:lang w:eastAsia="es-ES"/>
              </w:rPr>
              <w:t>de la Subdirección de Gestión Contractual</w:t>
            </w:r>
          </w:p>
        </w:tc>
      </w:tr>
      <w:tr w:rsidR="005D3FF0" w:rsidRPr="00292355" w14:paraId="3BEE6252" w14:textId="77777777" w:rsidTr="0088410E">
        <w:trPr>
          <w:trHeight w:val="299"/>
        </w:trPr>
        <w:tc>
          <w:tcPr>
            <w:tcW w:w="901" w:type="dxa"/>
            <w:vAlign w:val="center"/>
          </w:tcPr>
          <w:p w14:paraId="57EA7585" w14:textId="77777777" w:rsidR="005D3FF0" w:rsidRPr="00292355" w:rsidRDefault="005D3FF0" w:rsidP="0088410E">
            <w:pPr>
              <w:rPr>
                <w:rFonts w:ascii="Verdana" w:eastAsia="Aptos" w:hAnsi="Verdana" w:cs="Arial"/>
                <w:sz w:val="14"/>
                <w:szCs w:val="14"/>
                <w:lang w:eastAsia="es-ES"/>
              </w:rPr>
            </w:pPr>
            <w:r w:rsidRPr="00292355">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58AB58E4" w14:textId="5C945BDD" w:rsidR="005D3FF0" w:rsidRPr="00292355" w:rsidRDefault="005D3FF0" w:rsidP="0088410E">
            <w:pPr>
              <w:rPr>
                <w:rFonts w:ascii="Verdana" w:eastAsia="Aptos" w:hAnsi="Verdana" w:cs="Arial"/>
                <w:sz w:val="14"/>
                <w:szCs w:val="14"/>
                <w:lang w:eastAsia="es-ES"/>
              </w:rPr>
            </w:pPr>
            <w:r>
              <w:rPr>
                <w:rFonts w:ascii="Verdana" w:eastAsia="Aptos" w:hAnsi="Verdana" w:cs="Arial"/>
                <w:sz w:val="14"/>
                <w:szCs w:val="14"/>
                <w:lang w:eastAsia="es-ES"/>
              </w:rPr>
              <w:t xml:space="preserve">Alejandro Sarmiento </w:t>
            </w:r>
            <w:r w:rsidR="001D6B04">
              <w:rPr>
                <w:rFonts w:ascii="Verdana" w:eastAsia="Aptos" w:hAnsi="Verdana" w:cs="Arial"/>
                <w:sz w:val="14"/>
                <w:szCs w:val="14"/>
                <w:lang w:eastAsia="es-ES"/>
              </w:rPr>
              <w:t>Cantillo</w:t>
            </w:r>
          </w:p>
          <w:p w14:paraId="407DFA0C" w14:textId="4B0AD856" w:rsidR="005D3FF0" w:rsidRPr="00292355" w:rsidRDefault="00880B22" w:rsidP="0088410E">
            <w:pPr>
              <w:rPr>
                <w:rFonts w:ascii="Verdana" w:eastAsia="Aptos" w:hAnsi="Verdana" w:cs="Arial"/>
                <w:sz w:val="14"/>
                <w:szCs w:val="14"/>
                <w:lang w:eastAsia="es-ES"/>
              </w:rPr>
            </w:pPr>
            <w:r>
              <w:rPr>
                <w:rFonts w:ascii="Verdana" w:eastAsia="Aptos" w:hAnsi="Verdana" w:cs="Arial"/>
                <w:sz w:val="14"/>
                <w:szCs w:val="14"/>
                <w:lang w:eastAsia="es-ES"/>
              </w:rPr>
              <w:t>Gestor T1- 15</w:t>
            </w:r>
            <w:r w:rsidR="005D3FF0" w:rsidRPr="00292355">
              <w:rPr>
                <w:rFonts w:ascii="Verdana" w:eastAsia="Aptos" w:hAnsi="Verdana" w:cs="Arial"/>
                <w:sz w:val="14"/>
                <w:szCs w:val="14"/>
                <w:lang w:eastAsia="es-ES"/>
              </w:rPr>
              <w:t xml:space="preserve"> de la Subdirección de Gestión Contractual</w:t>
            </w:r>
          </w:p>
        </w:tc>
      </w:tr>
      <w:tr w:rsidR="005D3FF0" w:rsidRPr="00292355" w14:paraId="58CB4D96" w14:textId="77777777" w:rsidTr="0088410E">
        <w:trPr>
          <w:trHeight w:val="272"/>
        </w:trPr>
        <w:tc>
          <w:tcPr>
            <w:tcW w:w="901" w:type="dxa"/>
            <w:vAlign w:val="center"/>
            <w:hideMark/>
          </w:tcPr>
          <w:p w14:paraId="433EB3F6" w14:textId="77777777" w:rsidR="005D3FF0" w:rsidRPr="00292355" w:rsidRDefault="005D3FF0" w:rsidP="0088410E">
            <w:pPr>
              <w:rPr>
                <w:rFonts w:ascii="Verdana" w:eastAsia="Aptos" w:hAnsi="Verdana" w:cs="Arial"/>
                <w:sz w:val="14"/>
                <w:szCs w:val="14"/>
                <w:lang w:eastAsia="es-ES"/>
              </w:rPr>
            </w:pPr>
            <w:r w:rsidRPr="00292355">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578ACBD8" w14:textId="77777777" w:rsidR="005D3FF0" w:rsidRPr="00292355" w:rsidRDefault="005D3FF0" w:rsidP="0088410E">
            <w:pPr>
              <w:rPr>
                <w:rFonts w:ascii="Verdana" w:eastAsia="Aptos" w:hAnsi="Verdana" w:cs="Arial"/>
                <w:sz w:val="14"/>
                <w:szCs w:val="14"/>
                <w:lang w:eastAsia="es-ES"/>
              </w:rPr>
            </w:pPr>
            <w:r w:rsidRPr="00292355">
              <w:rPr>
                <w:rFonts w:ascii="Verdana" w:eastAsia="Aptos" w:hAnsi="Verdana" w:cs="Arial"/>
                <w:sz w:val="14"/>
                <w:szCs w:val="14"/>
                <w:lang w:eastAsia="es-ES"/>
              </w:rPr>
              <w:t>Carolina Quintero Gacharná</w:t>
            </w:r>
          </w:p>
          <w:p w14:paraId="02BAF164" w14:textId="77777777" w:rsidR="005D3FF0" w:rsidRPr="00292355" w:rsidRDefault="005D3FF0" w:rsidP="0088410E">
            <w:pPr>
              <w:rPr>
                <w:rFonts w:ascii="Verdana" w:eastAsia="Aptos" w:hAnsi="Verdana" w:cs="Arial"/>
                <w:sz w:val="14"/>
                <w:szCs w:val="14"/>
                <w:lang w:eastAsia="es-ES"/>
              </w:rPr>
            </w:pPr>
            <w:r w:rsidRPr="00292355">
              <w:rPr>
                <w:rFonts w:ascii="Verdana" w:eastAsia="Aptos" w:hAnsi="Verdana" w:cs="Arial"/>
                <w:sz w:val="14"/>
                <w:szCs w:val="14"/>
                <w:lang w:eastAsia="es-ES"/>
              </w:rPr>
              <w:t>Subdirectora de Gestión Contractual ANCP – CCE</w:t>
            </w:r>
          </w:p>
        </w:tc>
      </w:tr>
    </w:tbl>
    <w:p w14:paraId="0A6C5F8B" w14:textId="77777777" w:rsidR="005D3FF0" w:rsidRPr="00292355" w:rsidRDefault="005D3FF0" w:rsidP="005D3FF0">
      <w:pPr>
        <w:spacing w:after="0" w:line="240" w:lineRule="auto"/>
        <w:rPr>
          <w:rFonts w:ascii="Verdana" w:eastAsia="Times New Roman" w:hAnsi="Verdana" w:cs="Arial"/>
          <w:sz w:val="24"/>
          <w:szCs w:val="24"/>
          <w:lang w:eastAsia="es-ES"/>
        </w:rPr>
      </w:pPr>
    </w:p>
    <w:p w14:paraId="7A9A1F20" w14:textId="77777777" w:rsidR="005D3FF0" w:rsidRPr="00292355" w:rsidRDefault="005D3FF0" w:rsidP="005D3FF0">
      <w:pPr>
        <w:rPr>
          <w:rFonts w:ascii="Aptos" w:eastAsia="Aptos" w:hAnsi="Aptos" w:cs="Arial"/>
        </w:rPr>
      </w:pPr>
    </w:p>
    <w:p w14:paraId="05A90158" w14:textId="77777777" w:rsidR="005D3FF0" w:rsidRPr="00292355" w:rsidRDefault="005D3FF0" w:rsidP="005D3FF0">
      <w:pPr>
        <w:rPr>
          <w:rFonts w:ascii="Aptos" w:eastAsia="Aptos" w:hAnsi="Aptos" w:cs="Arial"/>
        </w:rPr>
      </w:pPr>
    </w:p>
    <w:p w14:paraId="3FA5440B" w14:textId="77777777" w:rsidR="005D3FF0" w:rsidRPr="00292355" w:rsidRDefault="005D3FF0" w:rsidP="005D3FF0">
      <w:pPr>
        <w:rPr>
          <w:rFonts w:ascii="Aptos" w:eastAsia="Aptos" w:hAnsi="Aptos" w:cs="Arial"/>
        </w:rPr>
      </w:pPr>
    </w:p>
    <w:p w14:paraId="49495D59" w14:textId="77777777" w:rsidR="00920F8F" w:rsidRPr="005D3FF0" w:rsidRDefault="00920F8F" w:rsidP="00920F8F">
      <w:pPr>
        <w:pStyle w:val="Prrafodelista"/>
        <w:spacing w:after="120"/>
        <w:ind w:left="0"/>
        <w:jc w:val="both"/>
        <w:rPr>
          <w:rFonts w:ascii="Verdana" w:hAnsi="Verdana"/>
          <w:lang w:val="es-CO"/>
        </w:rPr>
      </w:pPr>
    </w:p>
    <w:p w14:paraId="31876D4D" w14:textId="422A7F14" w:rsidR="00F91C83" w:rsidRPr="00361154" w:rsidRDefault="00F91C83" w:rsidP="00361154">
      <w:pPr>
        <w:spacing w:after="120"/>
        <w:jc w:val="both"/>
        <w:rPr>
          <w:rFonts w:ascii="Verdana" w:hAnsi="Verdana"/>
        </w:rPr>
      </w:pPr>
    </w:p>
    <w:sectPr w:rsidR="00F91C83" w:rsidRPr="00361154"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622B" w14:textId="77777777" w:rsidR="007F4056" w:rsidRDefault="007F4056" w:rsidP="004A1847">
      <w:pPr>
        <w:spacing w:after="0" w:line="240" w:lineRule="auto"/>
      </w:pPr>
      <w:r>
        <w:separator/>
      </w:r>
    </w:p>
  </w:endnote>
  <w:endnote w:type="continuationSeparator" w:id="0">
    <w:p w14:paraId="39C69DE2" w14:textId="77777777" w:rsidR="007F4056" w:rsidRDefault="007F4056" w:rsidP="004A1847">
      <w:pPr>
        <w:spacing w:after="0" w:line="240" w:lineRule="auto"/>
      </w:pPr>
      <w:r>
        <w:continuationSeparator/>
      </w:r>
    </w:p>
  </w:endnote>
  <w:endnote w:type="continuationNotice" w:id="1">
    <w:p w14:paraId="0A3985BB" w14:textId="77777777" w:rsidR="007F4056" w:rsidRDefault="007F4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ptos">
    <w:altName w:val="Calibri"/>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default"/>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950E520" w:rsidR="004A1847" w:rsidRDefault="004A1847">
    <w:pPr>
      <w:pStyle w:val="Piedepgina"/>
    </w:pPr>
  </w:p>
  <w:p w14:paraId="594D6D9F" w14:textId="585670CB"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5EBC69CB"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0F03D115"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A1A5D01"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4F3F" w14:textId="77777777" w:rsidR="007F4056" w:rsidRDefault="007F4056" w:rsidP="004A1847">
      <w:pPr>
        <w:spacing w:after="0" w:line="240" w:lineRule="auto"/>
      </w:pPr>
      <w:r>
        <w:separator/>
      </w:r>
    </w:p>
  </w:footnote>
  <w:footnote w:type="continuationSeparator" w:id="0">
    <w:p w14:paraId="12AFD373" w14:textId="77777777" w:rsidR="007F4056" w:rsidRDefault="007F4056" w:rsidP="004A1847">
      <w:pPr>
        <w:spacing w:after="0" w:line="240" w:lineRule="auto"/>
      </w:pPr>
      <w:r>
        <w:continuationSeparator/>
      </w:r>
    </w:p>
  </w:footnote>
  <w:footnote w:type="continuationNotice" w:id="1">
    <w:p w14:paraId="5001993D" w14:textId="77777777" w:rsidR="007F4056" w:rsidRDefault="007F4056">
      <w:pPr>
        <w:spacing w:after="0" w:line="240" w:lineRule="auto"/>
      </w:pPr>
    </w:p>
  </w:footnote>
  <w:footnote w:id="2">
    <w:p w14:paraId="16AB3B46" w14:textId="6F2FC115" w:rsidR="00C90C0C" w:rsidRPr="0061029A" w:rsidRDefault="00CE4ED4" w:rsidP="00C90C0C">
      <w:pPr>
        <w:pStyle w:val="Textonotapie"/>
        <w:ind w:firstLine="708"/>
        <w:jc w:val="both"/>
        <w:rPr>
          <w:rFonts w:ascii="Verdana" w:hAnsi="Verdana" w:cs="Arial"/>
          <w:sz w:val="16"/>
          <w:szCs w:val="16"/>
        </w:rPr>
      </w:pPr>
      <w:r w:rsidRPr="0061029A">
        <w:rPr>
          <w:rStyle w:val="Refdenotaalpie"/>
          <w:rFonts w:ascii="Verdana" w:hAnsi="Verdana"/>
          <w:sz w:val="16"/>
          <w:szCs w:val="16"/>
        </w:rPr>
        <w:footnoteRef/>
      </w:r>
      <w:r w:rsidRPr="0061029A">
        <w:rPr>
          <w:rFonts w:ascii="Verdana" w:hAnsi="Verdana"/>
        </w:rPr>
        <w:t xml:space="preserve"> </w:t>
      </w:r>
      <w:r w:rsidR="00C90C0C" w:rsidRPr="0061029A">
        <w:rPr>
          <w:rFonts w:ascii="Verdana" w:hAnsi="Verdana" w:cs="Arial"/>
          <w:sz w:val="16"/>
          <w:szCs w:val="16"/>
        </w:rPr>
        <w:t xml:space="preserve">Ley 2069 de 2020 </w:t>
      </w:r>
      <w:r w:rsidR="0061029A">
        <w:rPr>
          <w:rFonts w:ascii="Verdana" w:hAnsi="Verdana" w:cs="Arial"/>
          <w:sz w:val="16"/>
          <w:szCs w:val="16"/>
        </w:rPr>
        <w:t>“</w:t>
      </w:r>
      <w:r w:rsidR="00C90C0C" w:rsidRPr="0061029A">
        <w:rPr>
          <w:rFonts w:ascii="Verdana" w:hAnsi="Verdana" w:cs="Arial"/>
          <w:sz w:val="16"/>
          <w:szCs w:val="16"/>
        </w:rPr>
        <w:t>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166D6EFC" w14:textId="1A65D378" w:rsidR="00CE4ED4" w:rsidRPr="0061029A" w:rsidRDefault="0061029A" w:rsidP="00C90C0C">
      <w:pPr>
        <w:pStyle w:val="Textonotapie"/>
        <w:rPr>
          <w:rFonts w:ascii="Verdana" w:hAnsi="Verdana"/>
        </w:rPr>
      </w:pPr>
      <w:r>
        <w:rPr>
          <w:rFonts w:ascii="Verdana" w:hAnsi="Verdana" w:cs="Arial"/>
          <w:sz w:val="16"/>
          <w:szCs w:val="16"/>
        </w:rPr>
        <w:t>“</w:t>
      </w:r>
      <w:r w:rsidR="00C90C0C" w:rsidRPr="0061029A">
        <w:rPr>
          <w:rFonts w:ascii="Verdana" w:hAnsi="Verdana" w:cs="Arial"/>
          <w:sz w:val="16"/>
          <w:szCs w:val="16"/>
        </w:rPr>
        <w:t xml:space="preserve"> Parágrafo primero. La definición de emprendimientos y empresas de mujeres se reglamentará por el gobierno nacional</w:t>
      </w:r>
    </w:p>
  </w:footnote>
  <w:footnote w:id="3">
    <w:p w14:paraId="541F48CC" w14:textId="0BA9EF11" w:rsidR="00113E64" w:rsidRDefault="00113E64">
      <w:pPr>
        <w:pStyle w:val="Textonotapie"/>
        <w:rPr>
          <w:rFonts w:ascii="Verdana" w:hAnsi="Verdana"/>
          <w:sz w:val="16"/>
          <w:szCs w:val="16"/>
        </w:rPr>
      </w:pPr>
      <w:r w:rsidRPr="008C26F1">
        <w:rPr>
          <w:rStyle w:val="Refdenotaalpie"/>
          <w:rFonts w:ascii="Verdana" w:hAnsi="Verdana"/>
          <w:sz w:val="16"/>
          <w:szCs w:val="16"/>
        </w:rPr>
        <w:footnoteRef/>
      </w:r>
      <w:r w:rsidRPr="008C26F1">
        <w:rPr>
          <w:rFonts w:ascii="Verdana" w:hAnsi="Verdana"/>
          <w:sz w:val="16"/>
          <w:szCs w:val="16"/>
        </w:rPr>
        <w:t xml:space="preserve"> </w:t>
      </w:r>
      <w:r w:rsidR="008C26F1">
        <w:rPr>
          <w:rFonts w:ascii="Verdana" w:hAnsi="Verdana"/>
          <w:sz w:val="16"/>
          <w:szCs w:val="16"/>
        </w:rPr>
        <w:t xml:space="preserve">Código Sustantivo del Trabajo: </w:t>
      </w:r>
      <w:r w:rsidR="00310E43">
        <w:rPr>
          <w:rFonts w:ascii="Verdana" w:hAnsi="Verdana"/>
          <w:sz w:val="16"/>
          <w:szCs w:val="16"/>
        </w:rPr>
        <w:t>“Son representantes del [empleador] y como tales lo obligan frente a sus trabajadores además de quienes tiene ese carácter según la ley, la convención o el reglament</w:t>
      </w:r>
      <w:r w:rsidR="003D6899">
        <w:rPr>
          <w:rFonts w:ascii="Verdana" w:hAnsi="Verdana"/>
          <w:sz w:val="16"/>
          <w:szCs w:val="16"/>
        </w:rPr>
        <w:t xml:space="preserve">o de trabajo, las siguientes personas: </w:t>
      </w:r>
    </w:p>
    <w:p w14:paraId="204E54D6" w14:textId="7427302D" w:rsidR="003D6899" w:rsidRDefault="003D6899" w:rsidP="003D6899">
      <w:pPr>
        <w:pStyle w:val="Textonotapie"/>
        <w:numPr>
          <w:ilvl w:val="0"/>
          <w:numId w:val="19"/>
        </w:numPr>
        <w:rPr>
          <w:rFonts w:ascii="Verdana" w:hAnsi="Verdana"/>
          <w:sz w:val="16"/>
          <w:szCs w:val="16"/>
        </w:rPr>
      </w:pPr>
      <w:r>
        <w:rPr>
          <w:rFonts w:ascii="Verdana" w:hAnsi="Verdana"/>
          <w:sz w:val="16"/>
          <w:szCs w:val="16"/>
        </w:rPr>
        <w:t xml:space="preserve">Las que ejerzan funciones de </w:t>
      </w:r>
      <w:r w:rsidR="00BD68E8">
        <w:rPr>
          <w:rFonts w:ascii="Verdana" w:hAnsi="Verdana"/>
          <w:sz w:val="16"/>
          <w:szCs w:val="16"/>
        </w:rPr>
        <w:t>dirección o</w:t>
      </w:r>
      <w:r w:rsidR="008F7529">
        <w:rPr>
          <w:rFonts w:ascii="Verdana" w:hAnsi="Verdana"/>
          <w:sz w:val="16"/>
          <w:szCs w:val="16"/>
        </w:rPr>
        <w:t xml:space="preserve"> administración, tales como directores, gerentes, administradores, síndicos o liquidadores, mayord</w:t>
      </w:r>
      <w:r w:rsidR="00562395">
        <w:rPr>
          <w:rFonts w:ascii="Verdana" w:hAnsi="Verdana"/>
          <w:sz w:val="16"/>
          <w:szCs w:val="16"/>
        </w:rPr>
        <w:t>omos y capitanes de barco</w:t>
      </w:r>
      <w:r w:rsidR="00204A57">
        <w:rPr>
          <w:rFonts w:ascii="Verdana" w:hAnsi="Verdana"/>
          <w:sz w:val="16"/>
          <w:szCs w:val="16"/>
        </w:rPr>
        <w:t>, y quienes</w:t>
      </w:r>
      <w:r w:rsidR="00BE760D">
        <w:rPr>
          <w:rFonts w:ascii="Verdana" w:hAnsi="Verdana"/>
          <w:sz w:val="16"/>
          <w:szCs w:val="16"/>
        </w:rPr>
        <w:t xml:space="preserve"> ejercitan actos de representación con la aquiescencia expresa o tácita del [empleador]</w:t>
      </w:r>
      <w:r w:rsidR="00BD68E8">
        <w:rPr>
          <w:rFonts w:ascii="Verdana" w:hAnsi="Verdana"/>
          <w:sz w:val="16"/>
          <w:szCs w:val="16"/>
        </w:rPr>
        <w:t>;</w:t>
      </w:r>
    </w:p>
    <w:p w14:paraId="75350544" w14:textId="494B6635" w:rsidR="00BD68E8" w:rsidRPr="008C26F1" w:rsidRDefault="00BD68E8" w:rsidP="003D6899">
      <w:pPr>
        <w:pStyle w:val="Textonotapie"/>
        <w:numPr>
          <w:ilvl w:val="0"/>
          <w:numId w:val="19"/>
        </w:numPr>
        <w:rPr>
          <w:rFonts w:ascii="Verdana" w:hAnsi="Verdana"/>
          <w:sz w:val="16"/>
          <w:szCs w:val="16"/>
        </w:rPr>
      </w:pPr>
      <w:r>
        <w:rPr>
          <w:rFonts w:ascii="Verdana" w:hAnsi="Verdana"/>
          <w:sz w:val="16"/>
          <w:szCs w:val="16"/>
        </w:rPr>
        <w:t>Los intermediarios”.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6510" w14:textId="775C8BAF" w:rsidR="00055415" w:rsidRDefault="00055415" w:rsidP="00055415">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1E7D8EF">
          <wp:simplePos x="0" y="0"/>
          <wp:positionH relativeFrom="margin">
            <wp:posOffset>1599728</wp:posOffset>
          </wp:positionH>
          <wp:positionV relativeFrom="paragraph">
            <wp:posOffset>-412399</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7554101"/>
    <w:multiLevelType w:val="hybridMultilevel"/>
    <w:tmpl w:val="19C4C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8556FB"/>
    <w:multiLevelType w:val="hybridMultilevel"/>
    <w:tmpl w:val="C8561E0E"/>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A6B6324"/>
    <w:multiLevelType w:val="hybridMultilevel"/>
    <w:tmpl w:val="2A48736A"/>
    <w:lvl w:ilvl="0" w:tplc="240A0001">
      <w:start w:val="1"/>
      <w:numFmt w:val="bullet"/>
      <w:lvlText w:val=""/>
      <w:lvlJc w:val="left"/>
      <w:pPr>
        <w:ind w:left="4974" w:hanging="360"/>
      </w:pPr>
      <w:rPr>
        <w:rFonts w:ascii="Symbol" w:hAnsi="Symbol" w:hint="default"/>
      </w:rPr>
    </w:lvl>
    <w:lvl w:ilvl="1" w:tplc="240A0003" w:tentative="1">
      <w:start w:val="1"/>
      <w:numFmt w:val="bullet"/>
      <w:lvlText w:val="o"/>
      <w:lvlJc w:val="left"/>
      <w:pPr>
        <w:ind w:left="5694" w:hanging="360"/>
      </w:pPr>
      <w:rPr>
        <w:rFonts w:ascii="Courier New" w:hAnsi="Courier New" w:cs="Courier New" w:hint="default"/>
      </w:rPr>
    </w:lvl>
    <w:lvl w:ilvl="2" w:tplc="240A0005" w:tentative="1">
      <w:start w:val="1"/>
      <w:numFmt w:val="bullet"/>
      <w:lvlText w:val=""/>
      <w:lvlJc w:val="left"/>
      <w:pPr>
        <w:ind w:left="6414" w:hanging="360"/>
      </w:pPr>
      <w:rPr>
        <w:rFonts w:ascii="Wingdings" w:hAnsi="Wingdings" w:hint="default"/>
      </w:rPr>
    </w:lvl>
    <w:lvl w:ilvl="3" w:tplc="240A0001" w:tentative="1">
      <w:start w:val="1"/>
      <w:numFmt w:val="bullet"/>
      <w:lvlText w:val=""/>
      <w:lvlJc w:val="left"/>
      <w:pPr>
        <w:ind w:left="7134" w:hanging="360"/>
      </w:pPr>
      <w:rPr>
        <w:rFonts w:ascii="Symbol" w:hAnsi="Symbol" w:hint="default"/>
      </w:rPr>
    </w:lvl>
    <w:lvl w:ilvl="4" w:tplc="240A0003" w:tentative="1">
      <w:start w:val="1"/>
      <w:numFmt w:val="bullet"/>
      <w:lvlText w:val="o"/>
      <w:lvlJc w:val="left"/>
      <w:pPr>
        <w:ind w:left="7854" w:hanging="360"/>
      </w:pPr>
      <w:rPr>
        <w:rFonts w:ascii="Courier New" w:hAnsi="Courier New" w:cs="Courier New" w:hint="default"/>
      </w:rPr>
    </w:lvl>
    <w:lvl w:ilvl="5" w:tplc="240A0005" w:tentative="1">
      <w:start w:val="1"/>
      <w:numFmt w:val="bullet"/>
      <w:lvlText w:val=""/>
      <w:lvlJc w:val="left"/>
      <w:pPr>
        <w:ind w:left="8574" w:hanging="360"/>
      </w:pPr>
      <w:rPr>
        <w:rFonts w:ascii="Wingdings" w:hAnsi="Wingdings" w:hint="default"/>
      </w:rPr>
    </w:lvl>
    <w:lvl w:ilvl="6" w:tplc="240A0001" w:tentative="1">
      <w:start w:val="1"/>
      <w:numFmt w:val="bullet"/>
      <w:lvlText w:val=""/>
      <w:lvlJc w:val="left"/>
      <w:pPr>
        <w:ind w:left="9294" w:hanging="360"/>
      </w:pPr>
      <w:rPr>
        <w:rFonts w:ascii="Symbol" w:hAnsi="Symbol" w:hint="default"/>
      </w:rPr>
    </w:lvl>
    <w:lvl w:ilvl="7" w:tplc="240A0003" w:tentative="1">
      <w:start w:val="1"/>
      <w:numFmt w:val="bullet"/>
      <w:lvlText w:val="o"/>
      <w:lvlJc w:val="left"/>
      <w:pPr>
        <w:ind w:left="10014" w:hanging="360"/>
      </w:pPr>
      <w:rPr>
        <w:rFonts w:ascii="Courier New" w:hAnsi="Courier New" w:cs="Courier New" w:hint="default"/>
      </w:rPr>
    </w:lvl>
    <w:lvl w:ilvl="8" w:tplc="240A0005" w:tentative="1">
      <w:start w:val="1"/>
      <w:numFmt w:val="bullet"/>
      <w:lvlText w:val=""/>
      <w:lvlJc w:val="left"/>
      <w:pPr>
        <w:ind w:left="10734"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AC42B45"/>
    <w:multiLevelType w:val="hybridMultilevel"/>
    <w:tmpl w:val="7760FC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7"/>
  </w:num>
  <w:num w:numId="8" w16cid:durableId="152644682">
    <w:abstractNumId w:val="16"/>
  </w:num>
  <w:num w:numId="9" w16cid:durableId="1317221377">
    <w:abstractNumId w:val="9"/>
  </w:num>
  <w:num w:numId="10" w16cid:durableId="1471245386">
    <w:abstractNumId w:val="15"/>
  </w:num>
  <w:num w:numId="11" w16cid:durableId="289172385">
    <w:abstractNumId w:val="10"/>
  </w:num>
  <w:num w:numId="12" w16cid:durableId="1470781324">
    <w:abstractNumId w:val="1"/>
  </w:num>
  <w:num w:numId="13" w16cid:durableId="1512908409">
    <w:abstractNumId w:val="4"/>
  </w:num>
  <w:num w:numId="14" w16cid:durableId="895897244">
    <w:abstractNumId w:val="18"/>
  </w:num>
  <w:num w:numId="15" w16cid:durableId="390349800">
    <w:abstractNumId w:val="13"/>
  </w:num>
  <w:num w:numId="16" w16cid:durableId="341274352">
    <w:abstractNumId w:val="0"/>
  </w:num>
  <w:num w:numId="17" w16cid:durableId="1491946047">
    <w:abstractNumId w:val="5"/>
  </w:num>
  <w:num w:numId="18" w16cid:durableId="915167092">
    <w:abstractNumId w:val="12"/>
  </w:num>
  <w:num w:numId="19" w16cid:durableId="1348676311">
    <w:abstractNumId w:val="14"/>
  </w:num>
  <w:num w:numId="20" w16cid:durableId="524172276">
    <w:abstractNumId w:val="11"/>
  </w:num>
  <w:num w:numId="21" w16cid:durableId="1969313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184"/>
    <w:rsid w:val="0001604F"/>
    <w:rsid w:val="00016AC3"/>
    <w:rsid w:val="00020EE9"/>
    <w:rsid w:val="000216A2"/>
    <w:rsid w:val="000231B5"/>
    <w:rsid w:val="00025429"/>
    <w:rsid w:val="00031C57"/>
    <w:rsid w:val="000358BB"/>
    <w:rsid w:val="000363B0"/>
    <w:rsid w:val="00036D5E"/>
    <w:rsid w:val="00042CD6"/>
    <w:rsid w:val="000434E8"/>
    <w:rsid w:val="00046007"/>
    <w:rsid w:val="00047445"/>
    <w:rsid w:val="00055415"/>
    <w:rsid w:val="00056951"/>
    <w:rsid w:val="00056A33"/>
    <w:rsid w:val="00061B2A"/>
    <w:rsid w:val="00075BD4"/>
    <w:rsid w:val="00076766"/>
    <w:rsid w:val="00076C3E"/>
    <w:rsid w:val="000803A4"/>
    <w:rsid w:val="00080D70"/>
    <w:rsid w:val="00082362"/>
    <w:rsid w:val="00083813"/>
    <w:rsid w:val="000923EA"/>
    <w:rsid w:val="00094A19"/>
    <w:rsid w:val="000A0D5E"/>
    <w:rsid w:val="000A683E"/>
    <w:rsid w:val="000B0D09"/>
    <w:rsid w:val="000B19B9"/>
    <w:rsid w:val="000B6BF4"/>
    <w:rsid w:val="000B7761"/>
    <w:rsid w:val="000D0334"/>
    <w:rsid w:val="000D12C2"/>
    <w:rsid w:val="000D19E4"/>
    <w:rsid w:val="000D5FEF"/>
    <w:rsid w:val="000E7568"/>
    <w:rsid w:val="000E7D01"/>
    <w:rsid w:val="000F6486"/>
    <w:rsid w:val="00102B3D"/>
    <w:rsid w:val="001050B7"/>
    <w:rsid w:val="001057CF"/>
    <w:rsid w:val="00107FF2"/>
    <w:rsid w:val="0011027B"/>
    <w:rsid w:val="00113E64"/>
    <w:rsid w:val="001202C5"/>
    <w:rsid w:val="00121368"/>
    <w:rsid w:val="00124DEA"/>
    <w:rsid w:val="00125105"/>
    <w:rsid w:val="00127233"/>
    <w:rsid w:val="00127325"/>
    <w:rsid w:val="001370EC"/>
    <w:rsid w:val="00140089"/>
    <w:rsid w:val="00144FAA"/>
    <w:rsid w:val="00147A21"/>
    <w:rsid w:val="00160CE0"/>
    <w:rsid w:val="001618BF"/>
    <w:rsid w:val="00163254"/>
    <w:rsid w:val="001632F1"/>
    <w:rsid w:val="00166FB7"/>
    <w:rsid w:val="00170F5E"/>
    <w:rsid w:val="00171EAB"/>
    <w:rsid w:val="00175FC8"/>
    <w:rsid w:val="001809D6"/>
    <w:rsid w:val="00180BC4"/>
    <w:rsid w:val="00181DCD"/>
    <w:rsid w:val="00184486"/>
    <w:rsid w:val="00190699"/>
    <w:rsid w:val="001906CD"/>
    <w:rsid w:val="00190E01"/>
    <w:rsid w:val="00194AC8"/>
    <w:rsid w:val="00195AA1"/>
    <w:rsid w:val="001A50CF"/>
    <w:rsid w:val="001A55E6"/>
    <w:rsid w:val="001A7FD7"/>
    <w:rsid w:val="001C4276"/>
    <w:rsid w:val="001D05B5"/>
    <w:rsid w:val="001D0A82"/>
    <w:rsid w:val="001D0D1B"/>
    <w:rsid w:val="001D4FB1"/>
    <w:rsid w:val="001D502C"/>
    <w:rsid w:val="001D6B04"/>
    <w:rsid w:val="001D7658"/>
    <w:rsid w:val="001D7E37"/>
    <w:rsid w:val="001E3FC8"/>
    <w:rsid w:val="001E4177"/>
    <w:rsid w:val="001E6B73"/>
    <w:rsid w:val="001F1E8E"/>
    <w:rsid w:val="001F3152"/>
    <w:rsid w:val="001F409F"/>
    <w:rsid w:val="001F7DC6"/>
    <w:rsid w:val="00203788"/>
    <w:rsid w:val="00204A57"/>
    <w:rsid w:val="00220704"/>
    <w:rsid w:val="00223512"/>
    <w:rsid w:val="00226671"/>
    <w:rsid w:val="00231401"/>
    <w:rsid w:val="002329E0"/>
    <w:rsid w:val="00233B87"/>
    <w:rsid w:val="00237C6D"/>
    <w:rsid w:val="002421BB"/>
    <w:rsid w:val="00243069"/>
    <w:rsid w:val="00243637"/>
    <w:rsid w:val="00250163"/>
    <w:rsid w:val="0025796E"/>
    <w:rsid w:val="00265138"/>
    <w:rsid w:val="002677A5"/>
    <w:rsid w:val="002707A2"/>
    <w:rsid w:val="00271815"/>
    <w:rsid w:val="00272C8F"/>
    <w:rsid w:val="00273724"/>
    <w:rsid w:val="00274E89"/>
    <w:rsid w:val="002762D6"/>
    <w:rsid w:val="00277C48"/>
    <w:rsid w:val="002811C5"/>
    <w:rsid w:val="002832A2"/>
    <w:rsid w:val="00285A09"/>
    <w:rsid w:val="002908A6"/>
    <w:rsid w:val="00293672"/>
    <w:rsid w:val="00293A0C"/>
    <w:rsid w:val="002951A0"/>
    <w:rsid w:val="002962BC"/>
    <w:rsid w:val="00296B41"/>
    <w:rsid w:val="002A093D"/>
    <w:rsid w:val="002A0DD0"/>
    <w:rsid w:val="002A49AC"/>
    <w:rsid w:val="002A64FD"/>
    <w:rsid w:val="002B2E49"/>
    <w:rsid w:val="002B3B4E"/>
    <w:rsid w:val="002B63C2"/>
    <w:rsid w:val="002B67E7"/>
    <w:rsid w:val="002C08FE"/>
    <w:rsid w:val="002C0AB1"/>
    <w:rsid w:val="002C6CE2"/>
    <w:rsid w:val="002C7979"/>
    <w:rsid w:val="002C7A84"/>
    <w:rsid w:val="002D3D07"/>
    <w:rsid w:val="002D4E93"/>
    <w:rsid w:val="002D790F"/>
    <w:rsid w:val="002E372B"/>
    <w:rsid w:val="002E4FD9"/>
    <w:rsid w:val="002E59BB"/>
    <w:rsid w:val="002E626D"/>
    <w:rsid w:val="002E6402"/>
    <w:rsid w:val="002E6B9F"/>
    <w:rsid w:val="002F22D8"/>
    <w:rsid w:val="002F5059"/>
    <w:rsid w:val="002F7745"/>
    <w:rsid w:val="00307474"/>
    <w:rsid w:val="00310814"/>
    <w:rsid w:val="00310E43"/>
    <w:rsid w:val="003111F8"/>
    <w:rsid w:val="00312746"/>
    <w:rsid w:val="00314C73"/>
    <w:rsid w:val="0031564A"/>
    <w:rsid w:val="003160B8"/>
    <w:rsid w:val="003202CC"/>
    <w:rsid w:val="00322A85"/>
    <w:rsid w:val="00323142"/>
    <w:rsid w:val="00324168"/>
    <w:rsid w:val="00324B37"/>
    <w:rsid w:val="00326349"/>
    <w:rsid w:val="00332B74"/>
    <w:rsid w:val="003440F8"/>
    <w:rsid w:val="003448F4"/>
    <w:rsid w:val="00345BD4"/>
    <w:rsid w:val="0035076B"/>
    <w:rsid w:val="003508CF"/>
    <w:rsid w:val="00350E71"/>
    <w:rsid w:val="00352666"/>
    <w:rsid w:val="00361154"/>
    <w:rsid w:val="003659AA"/>
    <w:rsid w:val="003709D7"/>
    <w:rsid w:val="00371153"/>
    <w:rsid w:val="00373455"/>
    <w:rsid w:val="003748E7"/>
    <w:rsid w:val="00374F5E"/>
    <w:rsid w:val="00377E3E"/>
    <w:rsid w:val="00381674"/>
    <w:rsid w:val="00381899"/>
    <w:rsid w:val="00387C51"/>
    <w:rsid w:val="00394813"/>
    <w:rsid w:val="003A06E6"/>
    <w:rsid w:val="003A11B3"/>
    <w:rsid w:val="003A26D1"/>
    <w:rsid w:val="003A3CFC"/>
    <w:rsid w:val="003A4137"/>
    <w:rsid w:val="003A54CD"/>
    <w:rsid w:val="003A66F1"/>
    <w:rsid w:val="003A6C73"/>
    <w:rsid w:val="003A779E"/>
    <w:rsid w:val="003A79AF"/>
    <w:rsid w:val="003B0BC3"/>
    <w:rsid w:val="003B1408"/>
    <w:rsid w:val="003B1D8C"/>
    <w:rsid w:val="003B3624"/>
    <w:rsid w:val="003B6AD1"/>
    <w:rsid w:val="003C6A8C"/>
    <w:rsid w:val="003C7FA9"/>
    <w:rsid w:val="003D0F4D"/>
    <w:rsid w:val="003D11C8"/>
    <w:rsid w:val="003D2BC5"/>
    <w:rsid w:val="003D58DB"/>
    <w:rsid w:val="003D5B0D"/>
    <w:rsid w:val="003D6899"/>
    <w:rsid w:val="003D75A3"/>
    <w:rsid w:val="003E0499"/>
    <w:rsid w:val="003F2D22"/>
    <w:rsid w:val="003F3941"/>
    <w:rsid w:val="003F56AC"/>
    <w:rsid w:val="003F64F8"/>
    <w:rsid w:val="004017B3"/>
    <w:rsid w:val="004024AD"/>
    <w:rsid w:val="00403696"/>
    <w:rsid w:val="00406575"/>
    <w:rsid w:val="00406844"/>
    <w:rsid w:val="00406AC7"/>
    <w:rsid w:val="004154BC"/>
    <w:rsid w:val="004178A2"/>
    <w:rsid w:val="004257A9"/>
    <w:rsid w:val="0042668A"/>
    <w:rsid w:val="00426F7E"/>
    <w:rsid w:val="0042722E"/>
    <w:rsid w:val="004274AE"/>
    <w:rsid w:val="00433D5F"/>
    <w:rsid w:val="004344F3"/>
    <w:rsid w:val="00435B0A"/>
    <w:rsid w:val="0043741C"/>
    <w:rsid w:val="00441714"/>
    <w:rsid w:val="00442574"/>
    <w:rsid w:val="00443015"/>
    <w:rsid w:val="00443E16"/>
    <w:rsid w:val="00444725"/>
    <w:rsid w:val="0044528D"/>
    <w:rsid w:val="004526EF"/>
    <w:rsid w:val="00455109"/>
    <w:rsid w:val="00457E66"/>
    <w:rsid w:val="00465FAF"/>
    <w:rsid w:val="00471C01"/>
    <w:rsid w:val="004742B9"/>
    <w:rsid w:val="00474844"/>
    <w:rsid w:val="004750E4"/>
    <w:rsid w:val="00485AE7"/>
    <w:rsid w:val="00492021"/>
    <w:rsid w:val="00494BEF"/>
    <w:rsid w:val="00496A80"/>
    <w:rsid w:val="004A1847"/>
    <w:rsid w:val="004A1F44"/>
    <w:rsid w:val="004A305D"/>
    <w:rsid w:val="004A557E"/>
    <w:rsid w:val="004B0AE9"/>
    <w:rsid w:val="004B2BB7"/>
    <w:rsid w:val="004B48DE"/>
    <w:rsid w:val="004B53CE"/>
    <w:rsid w:val="004C0271"/>
    <w:rsid w:val="004C3478"/>
    <w:rsid w:val="004C3AE8"/>
    <w:rsid w:val="004C675D"/>
    <w:rsid w:val="004C6BBD"/>
    <w:rsid w:val="004D147C"/>
    <w:rsid w:val="004D24B1"/>
    <w:rsid w:val="004D26A6"/>
    <w:rsid w:val="004D2A5C"/>
    <w:rsid w:val="004E2ED5"/>
    <w:rsid w:val="004E790B"/>
    <w:rsid w:val="004F21C4"/>
    <w:rsid w:val="004F6348"/>
    <w:rsid w:val="004F685F"/>
    <w:rsid w:val="004F695E"/>
    <w:rsid w:val="004F7CF8"/>
    <w:rsid w:val="00500DC9"/>
    <w:rsid w:val="0050125E"/>
    <w:rsid w:val="0050128D"/>
    <w:rsid w:val="00516E92"/>
    <w:rsid w:val="0052119A"/>
    <w:rsid w:val="00523266"/>
    <w:rsid w:val="00525D94"/>
    <w:rsid w:val="00532E98"/>
    <w:rsid w:val="005374F5"/>
    <w:rsid w:val="005419E6"/>
    <w:rsid w:val="005435A8"/>
    <w:rsid w:val="005445AF"/>
    <w:rsid w:val="0055312C"/>
    <w:rsid w:val="0055312E"/>
    <w:rsid w:val="00556024"/>
    <w:rsid w:val="005566E8"/>
    <w:rsid w:val="0055713E"/>
    <w:rsid w:val="00560A45"/>
    <w:rsid w:val="00562395"/>
    <w:rsid w:val="005644D5"/>
    <w:rsid w:val="00566933"/>
    <w:rsid w:val="00572E12"/>
    <w:rsid w:val="005736C6"/>
    <w:rsid w:val="00574867"/>
    <w:rsid w:val="00577F54"/>
    <w:rsid w:val="0058038C"/>
    <w:rsid w:val="00584B80"/>
    <w:rsid w:val="00585691"/>
    <w:rsid w:val="00586241"/>
    <w:rsid w:val="00587ECC"/>
    <w:rsid w:val="00591460"/>
    <w:rsid w:val="00592628"/>
    <w:rsid w:val="005968F7"/>
    <w:rsid w:val="005A3BB9"/>
    <w:rsid w:val="005A6C12"/>
    <w:rsid w:val="005A6F0B"/>
    <w:rsid w:val="005A7BA4"/>
    <w:rsid w:val="005B10C2"/>
    <w:rsid w:val="005B5F14"/>
    <w:rsid w:val="005B6231"/>
    <w:rsid w:val="005B6E68"/>
    <w:rsid w:val="005C3777"/>
    <w:rsid w:val="005C5CDC"/>
    <w:rsid w:val="005D3FF0"/>
    <w:rsid w:val="005D476C"/>
    <w:rsid w:val="005D6331"/>
    <w:rsid w:val="005D6CE8"/>
    <w:rsid w:val="005D72D3"/>
    <w:rsid w:val="005E0453"/>
    <w:rsid w:val="005E1E1E"/>
    <w:rsid w:val="005E42AD"/>
    <w:rsid w:val="005E42C7"/>
    <w:rsid w:val="005F0938"/>
    <w:rsid w:val="005F306C"/>
    <w:rsid w:val="005F6464"/>
    <w:rsid w:val="00603339"/>
    <w:rsid w:val="006077E3"/>
    <w:rsid w:val="0061029A"/>
    <w:rsid w:val="00610812"/>
    <w:rsid w:val="00611AED"/>
    <w:rsid w:val="006156A5"/>
    <w:rsid w:val="006219F8"/>
    <w:rsid w:val="006338AE"/>
    <w:rsid w:val="00633D95"/>
    <w:rsid w:val="00641E9F"/>
    <w:rsid w:val="0065047F"/>
    <w:rsid w:val="00650FF7"/>
    <w:rsid w:val="006545EB"/>
    <w:rsid w:val="00657B6B"/>
    <w:rsid w:val="006656D4"/>
    <w:rsid w:val="00665D70"/>
    <w:rsid w:val="00671DAC"/>
    <w:rsid w:val="0067638F"/>
    <w:rsid w:val="006833B9"/>
    <w:rsid w:val="006848BE"/>
    <w:rsid w:val="006900D9"/>
    <w:rsid w:val="00693C49"/>
    <w:rsid w:val="00696C0E"/>
    <w:rsid w:val="006A4AE5"/>
    <w:rsid w:val="006A4C35"/>
    <w:rsid w:val="006A4C7F"/>
    <w:rsid w:val="006A5848"/>
    <w:rsid w:val="006B1D25"/>
    <w:rsid w:val="006B70EF"/>
    <w:rsid w:val="006C1442"/>
    <w:rsid w:val="006C2EC9"/>
    <w:rsid w:val="006C72DA"/>
    <w:rsid w:val="006D12F8"/>
    <w:rsid w:val="006D2B7F"/>
    <w:rsid w:val="006D4196"/>
    <w:rsid w:val="006D49B0"/>
    <w:rsid w:val="006D5379"/>
    <w:rsid w:val="006D6926"/>
    <w:rsid w:val="006D75E5"/>
    <w:rsid w:val="006E4D98"/>
    <w:rsid w:val="006F0F4D"/>
    <w:rsid w:val="006F19A5"/>
    <w:rsid w:val="006F71FB"/>
    <w:rsid w:val="007014FD"/>
    <w:rsid w:val="00706C16"/>
    <w:rsid w:val="00713DFB"/>
    <w:rsid w:val="00716A60"/>
    <w:rsid w:val="00731BAD"/>
    <w:rsid w:val="00731DE2"/>
    <w:rsid w:val="00741BD2"/>
    <w:rsid w:val="007433EF"/>
    <w:rsid w:val="0074586A"/>
    <w:rsid w:val="00752535"/>
    <w:rsid w:val="00752A05"/>
    <w:rsid w:val="00756841"/>
    <w:rsid w:val="0075722B"/>
    <w:rsid w:val="007617FE"/>
    <w:rsid w:val="0076293B"/>
    <w:rsid w:val="007630F9"/>
    <w:rsid w:val="007649AB"/>
    <w:rsid w:val="00770B4E"/>
    <w:rsid w:val="00771D0C"/>
    <w:rsid w:val="00772083"/>
    <w:rsid w:val="0077288F"/>
    <w:rsid w:val="0077317B"/>
    <w:rsid w:val="007733FE"/>
    <w:rsid w:val="00777773"/>
    <w:rsid w:val="00781114"/>
    <w:rsid w:val="007833AC"/>
    <w:rsid w:val="00786485"/>
    <w:rsid w:val="0079612F"/>
    <w:rsid w:val="007970A3"/>
    <w:rsid w:val="007A1BFE"/>
    <w:rsid w:val="007A3E1D"/>
    <w:rsid w:val="007B04B7"/>
    <w:rsid w:val="007B268C"/>
    <w:rsid w:val="007B3542"/>
    <w:rsid w:val="007B7171"/>
    <w:rsid w:val="007C026D"/>
    <w:rsid w:val="007C0C0F"/>
    <w:rsid w:val="007C3182"/>
    <w:rsid w:val="007C3DC2"/>
    <w:rsid w:val="007D123A"/>
    <w:rsid w:val="007D31FD"/>
    <w:rsid w:val="007D3E44"/>
    <w:rsid w:val="007E0355"/>
    <w:rsid w:val="007E5497"/>
    <w:rsid w:val="007E68BE"/>
    <w:rsid w:val="007E755C"/>
    <w:rsid w:val="007E7ABA"/>
    <w:rsid w:val="007F4056"/>
    <w:rsid w:val="008055E4"/>
    <w:rsid w:val="00806F5F"/>
    <w:rsid w:val="00812F56"/>
    <w:rsid w:val="00820278"/>
    <w:rsid w:val="00821A69"/>
    <w:rsid w:val="008315DE"/>
    <w:rsid w:val="0083303E"/>
    <w:rsid w:val="00833776"/>
    <w:rsid w:val="00834931"/>
    <w:rsid w:val="00836865"/>
    <w:rsid w:val="008426F9"/>
    <w:rsid w:val="008443EE"/>
    <w:rsid w:val="00851345"/>
    <w:rsid w:val="00854E98"/>
    <w:rsid w:val="008551FC"/>
    <w:rsid w:val="008619E1"/>
    <w:rsid w:val="00862B28"/>
    <w:rsid w:val="008634EB"/>
    <w:rsid w:val="008700F7"/>
    <w:rsid w:val="0087121D"/>
    <w:rsid w:val="00874EF9"/>
    <w:rsid w:val="0087780F"/>
    <w:rsid w:val="00880B22"/>
    <w:rsid w:val="008843B6"/>
    <w:rsid w:val="00891928"/>
    <w:rsid w:val="00891A2B"/>
    <w:rsid w:val="008925BF"/>
    <w:rsid w:val="00895039"/>
    <w:rsid w:val="008A0F15"/>
    <w:rsid w:val="008A11FB"/>
    <w:rsid w:val="008A1FE0"/>
    <w:rsid w:val="008A32DA"/>
    <w:rsid w:val="008A446D"/>
    <w:rsid w:val="008B1375"/>
    <w:rsid w:val="008C26F1"/>
    <w:rsid w:val="008C447F"/>
    <w:rsid w:val="008C5251"/>
    <w:rsid w:val="008D180B"/>
    <w:rsid w:val="008D21AA"/>
    <w:rsid w:val="008D5768"/>
    <w:rsid w:val="008D7D66"/>
    <w:rsid w:val="008E377A"/>
    <w:rsid w:val="008F0EA7"/>
    <w:rsid w:val="008F231B"/>
    <w:rsid w:val="008F239F"/>
    <w:rsid w:val="008F412B"/>
    <w:rsid w:val="008F5732"/>
    <w:rsid w:val="008F5CC6"/>
    <w:rsid w:val="008F72AB"/>
    <w:rsid w:val="008F7529"/>
    <w:rsid w:val="009009F7"/>
    <w:rsid w:val="009060BD"/>
    <w:rsid w:val="00907B81"/>
    <w:rsid w:val="00910248"/>
    <w:rsid w:val="009112B7"/>
    <w:rsid w:val="00911DB5"/>
    <w:rsid w:val="00912226"/>
    <w:rsid w:val="00912BB9"/>
    <w:rsid w:val="00914912"/>
    <w:rsid w:val="00920F8F"/>
    <w:rsid w:val="00922471"/>
    <w:rsid w:val="00923EEF"/>
    <w:rsid w:val="00931743"/>
    <w:rsid w:val="00933B3F"/>
    <w:rsid w:val="009419F9"/>
    <w:rsid w:val="00941EE0"/>
    <w:rsid w:val="0094250E"/>
    <w:rsid w:val="0094358E"/>
    <w:rsid w:val="0094388F"/>
    <w:rsid w:val="009465E5"/>
    <w:rsid w:val="009470BA"/>
    <w:rsid w:val="00950844"/>
    <w:rsid w:val="00954C3D"/>
    <w:rsid w:val="009554E7"/>
    <w:rsid w:val="0095685E"/>
    <w:rsid w:val="00961B09"/>
    <w:rsid w:val="00965334"/>
    <w:rsid w:val="00967D57"/>
    <w:rsid w:val="0097093E"/>
    <w:rsid w:val="009729AE"/>
    <w:rsid w:val="00973F5D"/>
    <w:rsid w:val="00975FB7"/>
    <w:rsid w:val="0099209D"/>
    <w:rsid w:val="009921E9"/>
    <w:rsid w:val="00993199"/>
    <w:rsid w:val="00996C21"/>
    <w:rsid w:val="009A0DFA"/>
    <w:rsid w:val="009A2006"/>
    <w:rsid w:val="009A28FE"/>
    <w:rsid w:val="009A5FDC"/>
    <w:rsid w:val="009A65DE"/>
    <w:rsid w:val="009A7FA8"/>
    <w:rsid w:val="009B2769"/>
    <w:rsid w:val="009B2D26"/>
    <w:rsid w:val="009B46AF"/>
    <w:rsid w:val="009B4A7B"/>
    <w:rsid w:val="009B6ECC"/>
    <w:rsid w:val="009C4D39"/>
    <w:rsid w:val="009C636F"/>
    <w:rsid w:val="009C71FA"/>
    <w:rsid w:val="009C72E7"/>
    <w:rsid w:val="009D3058"/>
    <w:rsid w:val="009D543A"/>
    <w:rsid w:val="009D5E1C"/>
    <w:rsid w:val="009E0176"/>
    <w:rsid w:val="009E0697"/>
    <w:rsid w:val="009E0FF2"/>
    <w:rsid w:val="009E52C8"/>
    <w:rsid w:val="009F3A13"/>
    <w:rsid w:val="00A02D4F"/>
    <w:rsid w:val="00A0479B"/>
    <w:rsid w:val="00A1044D"/>
    <w:rsid w:val="00A1125E"/>
    <w:rsid w:val="00A122D3"/>
    <w:rsid w:val="00A14C3A"/>
    <w:rsid w:val="00A15700"/>
    <w:rsid w:val="00A16222"/>
    <w:rsid w:val="00A17F13"/>
    <w:rsid w:val="00A20739"/>
    <w:rsid w:val="00A2403C"/>
    <w:rsid w:val="00A31BE4"/>
    <w:rsid w:val="00A33C78"/>
    <w:rsid w:val="00A35372"/>
    <w:rsid w:val="00A35F1B"/>
    <w:rsid w:val="00A361EF"/>
    <w:rsid w:val="00A40888"/>
    <w:rsid w:val="00A57DED"/>
    <w:rsid w:val="00A61741"/>
    <w:rsid w:val="00A62761"/>
    <w:rsid w:val="00A65E5C"/>
    <w:rsid w:val="00A701E9"/>
    <w:rsid w:val="00A704C2"/>
    <w:rsid w:val="00A73010"/>
    <w:rsid w:val="00A77593"/>
    <w:rsid w:val="00A85A9F"/>
    <w:rsid w:val="00A912D2"/>
    <w:rsid w:val="00A9158E"/>
    <w:rsid w:val="00AA64D2"/>
    <w:rsid w:val="00AB0620"/>
    <w:rsid w:val="00AB0ADB"/>
    <w:rsid w:val="00AB5109"/>
    <w:rsid w:val="00AB7570"/>
    <w:rsid w:val="00AC1278"/>
    <w:rsid w:val="00AC2777"/>
    <w:rsid w:val="00AC5976"/>
    <w:rsid w:val="00AD048E"/>
    <w:rsid w:val="00AD382E"/>
    <w:rsid w:val="00AE5963"/>
    <w:rsid w:val="00AF3C74"/>
    <w:rsid w:val="00AF657C"/>
    <w:rsid w:val="00AF7F52"/>
    <w:rsid w:val="00B01861"/>
    <w:rsid w:val="00B01B1A"/>
    <w:rsid w:val="00B022B5"/>
    <w:rsid w:val="00B06A70"/>
    <w:rsid w:val="00B07C8D"/>
    <w:rsid w:val="00B17544"/>
    <w:rsid w:val="00B21E65"/>
    <w:rsid w:val="00B30235"/>
    <w:rsid w:val="00B366CC"/>
    <w:rsid w:val="00B368A5"/>
    <w:rsid w:val="00B369EB"/>
    <w:rsid w:val="00B37E9A"/>
    <w:rsid w:val="00B37FBF"/>
    <w:rsid w:val="00B43063"/>
    <w:rsid w:val="00B447E4"/>
    <w:rsid w:val="00B4753D"/>
    <w:rsid w:val="00B5078C"/>
    <w:rsid w:val="00B54418"/>
    <w:rsid w:val="00B5511A"/>
    <w:rsid w:val="00B614D0"/>
    <w:rsid w:val="00B64290"/>
    <w:rsid w:val="00B654FD"/>
    <w:rsid w:val="00B70725"/>
    <w:rsid w:val="00B72CD3"/>
    <w:rsid w:val="00B72FFF"/>
    <w:rsid w:val="00B865C0"/>
    <w:rsid w:val="00B905CD"/>
    <w:rsid w:val="00B912BF"/>
    <w:rsid w:val="00B939F9"/>
    <w:rsid w:val="00BA2F5E"/>
    <w:rsid w:val="00BA3CBC"/>
    <w:rsid w:val="00BA5F2B"/>
    <w:rsid w:val="00BB4D77"/>
    <w:rsid w:val="00BB5B64"/>
    <w:rsid w:val="00BB74D8"/>
    <w:rsid w:val="00BC382F"/>
    <w:rsid w:val="00BC3D36"/>
    <w:rsid w:val="00BC5BBE"/>
    <w:rsid w:val="00BC781F"/>
    <w:rsid w:val="00BD00A2"/>
    <w:rsid w:val="00BD14EE"/>
    <w:rsid w:val="00BD4621"/>
    <w:rsid w:val="00BD68E8"/>
    <w:rsid w:val="00BD7F72"/>
    <w:rsid w:val="00BE0663"/>
    <w:rsid w:val="00BE094B"/>
    <w:rsid w:val="00BE0F40"/>
    <w:rsid w:val="00BE39D6"/>
    <w:rsid w:val="00BE760D"/>
    <w:rsid w:val="00C04FB3"/>
    <w:rsid w:val="00C10F7F"/>
    <w:rsid w:val="00C14E5C"/>
    <w:rsid w:val="00C15271"/>
    <w:rsid w:val="00C208FE"/>
    <w:rsid w:val="00C213A2"/>
    <w:rsid w:val="00C2270E"/>
    <w:rsid w:val="00C2416B"/>
    <w:rsid w:val="00C253DF"/>
    <w:rsid w:val="00C2561A"/>
    <w:rsid w:val="00C330EB"/>
    <w:rsid w:val="00C4032D"/>
    <w:rsid w:val="00C41C8D"/>
    <w:rsid w:val="00C44185"/>
    <w:rsid w:val="00C46A3F"/>
    <w:rsid w:val="00C56841"/>
    <w:rsid w:val="00C70E24"/>
    <w:rsid w:val="00C733E5"/>
    <w:rsid w:val="00C7481B"/>
    <w:rsid w:val="00C754BE"/>
    <w:rsid w:val="00C76B1C"/>
    <w:rsid w:val="00C77AA3"/>
    <w:rsid w:val="00C831E9"/>
    <w:rsid w:val="00C86560"/>
    <w:rsid w:val="00C86DA5"/>
    <w:rsid w:val="00C8721C"/>
    <w:rsid w:val="00C90C0C"/>
    <w:rsid w:val="00CA104B"/>
    <w:rsid w:val="00CA2AB2"/>
    <w:rsid w:val="00CA3E21"/>
    <w:rsid w:val="00CA4C5F"/>
    <w:rsid w:val="00CB197C"/>
    <w:rsid w:val="00CB38EC"/>
    <w:rsid w:val="00CB6357"/>
    <w:rsid w:val="00CC0DD4"/>
    <w:rsid w:val="00CC1B26"/>
    <w:rsid w:val="00CC36F6"/>
    <w:rsid w:val="00CC7A52"/>
    <w:rsid w:val="00CD2496"/>
    <w:rsid w:val="00CD4AB2"/>
    <w:rsid w:val="00CD4CA2"/>
    <w:rsid w:val="00CD6708"/>
    <w:rsid w:val="00CE1A1E"/>
    <w:rsid w:val="00CE4ED4"/>
    <w:rsid w:val="00CE5D52"/>
    <w:rsid w:val="00CE7442"/>
    <w:rsid w:val="00CF0CC4"/>
    <w:rsid w:val="00CF129A"/>
    <w:rsid w:val="00CF7AAB"/>
    <w:rsid w:val="00CF7CDE"/>
    <w:rsid w:val="00CF7D0A"/>
    <w:rsid w:val="00D021C7"/>
    <w:rsid w:val="00D16A83"/>
    <w:rsid w:val="00D2246C"/>
    <w:rsid w:val="00D22F88"/>
    <w:rsid w:val="00D2430F"/>
    <w:rsid w:val="00D25A4F"/>
    <w:rsid w:val="00D330A8"/>
    <w:rsid w:val="00D344BC"/>
    <w:rsid w:val="00D37B37"/>
    <w:rsid w:val="00D37B62"/>
    <w:rsid w:val="00D423A2"/>
    <w:rsid w:val="00D427FF"/>
    <w:rsid w:val="00D43065"/>
    <w:rsid w:val="00D47266"/>
    <w:rsid w:val="00D47AEA"/>
    <w:rsid w:val="00D520D8"/>
    <w:rsid w:val="00D633EB"/>
    <w:rsid w:val="00D63AC2"/>
    <w:rsid w:val="00D64DA1"/>
    <w:rsid w:val="00D70240"/>
    <w:rsid w:val="00D72D7A"/>
    <w:rsid w:val="00D73457"/>
    <w:rsid w:val="00D736DB"/>
    <w:rsid w:val="00D7383B"/>
    <w:rsid w:val="00D83DDD"/>
    <w:rsid w:val="00D912A9"/>
    <w:rsid w:val="00D91FB1"/>
    <w:rsid w:val="00D92815"/>
    <w:rsid w:val="00D95A24"/>
    <w:rsid w:val="00DA1D9F"/>
    <w:rsid w:val="00DA1E11"/>
    <w:rsid w:val="00DA231B"/>
    <w:rsid w:val="00DA23A0"/>
    <w:rsid w:val="00DA7CAE"/>
    <w:rsid w:val="00DC39FC"/>
    <w:rsid w:val="00DC44CD"/>
    <w:rsid w:val="00DD0997"/>
    <w:rsid w:val="00DD0B54"/>
    <w:rsid w:val="00DD60A1"/>
    <w:rsid w:val="00DE61AA"/>
    <w:rsid w:val="00DE6A50"/>
    <w:rsid w:val="00DF0682"/>
    <w:rsid w:val="00DF2C0A"/>
    <w:rsid w:val="00DF3B45"/>
    <w:rsid w:val="00DF4819"/>
    <w:rsid w:val="00DF4849"/>
    <w:rsid w:val="00DF5254"/>
    <w:rsid w:val="00DF5C33"/>
    <w:rsid w:val="00E06CD6"/>
    <w:rsid w:val="00E07919"/>
    <w:rsid w:val="00E151A2"/>
    <w:rsid w:val="00E16408"/>
    <w:rsid w:val="00E177D6"/>
    <w:rsid w:val="00E17A86"/>
    <w:rsid w:val="00E20894"/>
    <w:rsid w:val="00E2328D"/>
    <w:rsid w:val="00E245AB"/>
    <w:rsid w:val="00E2663A"/>
    <w:rsid w:val="00E2764C"/>
    <w:rsid w:val="00E27916"/>
    <w:rsid w:val="00E27B5B"/>
    <w:rsid w:val="00E27F2E"/>
    <w:rsid w:val="00E31427"/>
    <w:rsid w:val="00E326FB"/>
    <w:rsid w:val="00E36C63"/>
    <w:rsid w:val="00E40C7E"/>
    <w:rsid w:val="00E413EA"/>
    <w:rsid w:val="00E43415"/>
    <w:rsid w:val="00E4704E"/>
    <w:rsid w:val="00E50AFE"/>
    <w:rsid w:val="00E5662F"/>
    <w:rsid w:val="00E56CBC"/>
    <w:rsid w:val="00E57416"/>
    <w:rsid w:val="00E624D0"/>
    <w:rsid w:val="00E63034"/>
    <w:rsid w:val="00E735F3"/>
    <w:rsid w:val="00E73602"/>
    <w:rsid w:val="00E750A0"/>
    <w:rsid w:val="00E75C92"/>
    <w:rsid w:val="00E75D1F"/>
    <w:rsid w:val="00E76FCA"/>
    <w:rsid w:val="00E771DC"/>
    <w:rsid w:val="00E77A1F"/>
    <w:rsid w:val="00E83093"/>
    <w:rsid w:val="00E8772A"/>
    <w:rsid w:val="00E90F6B"/>
    <w:rsid w:val="00E921C3"/>
    <w:rsid w:val="00E92C27"/>
    <w:rsid w:val="00E97060"/>
    <w:rsid w:val="00E9776B"/>
    <w:rsid w:val="00EA0E3D"/>
    <w:rsid w:val="00EA5213"/>
    <w:rsid w:val="00EA7A06"/>
    <w:rsid w:val="00EB4E5C"/>
    <w:rsid w:val="00EC014F"/>
    <w:rsid w:val="00EC0A40"/>
    <w:rsid w:val="00EC299D"/>
    <w:rsid w:val="00EC38A7"/>
    <w:rsid w:val="00EC6384"/>
    <w:rsid w:val="00ED1F40"/>
    <w:rsid w:val="00ED6B47"/>
    <w:rsid w:val="00EE1AA8"/>
    <w:rsid w:val="00EE2B3E"/>
    <w:rsid w:val="00EF0AA2"/>
    <w:rsid w:val="00EF121C"/>
    <w:rsid w:val="00EF311C"/>
    <w:rsid w:val="00EF3EE9"/>
    <w:rsid w:val="00EF781E"/>
    <w:rsid w:val="00F01A55"/>
    <w:rsid w:val="00F03C01"/>
    <w:rsid w:val="00F06A72"/>
    <w:rsid w:val="00F06D0A"/>
    <w:rsid w:val="00F11BE0"/>
    <w:rsid w:val="00F16FEE"/>
    <w:rsid w:val="00F203E6"/>
    <w:rsid w:val="00F20B30"/>
    <w:rsid w:val="00F20D19"/>
    <w:rsid w:val="00F21E84"/>
    <w:rsid w:val="00F24CDF"/>
    <w:rsid w:val="00F27C78"/>
    <w:rsid w:val="00F31EDC"/>
    <w:rsid w:val="00F3271A"/>
    <w:rsid w:val="00F3526B"/>
    <w:rsid w:val="00F37059"/>
    <w:rsid w:val="00F421DE"/>
    <w:rsid w:val="00F432AE"/>
    <w:rsid w:val="00F437FA"/>
    <w:rsid w:val="00F43BBD"/>
    <w:rsid w:val="00F45FE2"/>
    <w:rsid w:val="00F462B3"/>
    <w:rsid w:val="00F51C0A"/>
    <w:rsid w:val="00F5612B"/>
    <w:rsid w:val="00F5664F"/>
    <w:rsid w:val="00F5687A"/>
    <w:rsid w:val="00F56AB4"/>
    <w:rsid w:val="00F6091A"/>
    <w:rsid w:val="00F60FD9"/>
    <w:rsid w:val="00F61419"/>
    <w:rsid w:val="00F666C4"/>
    <w:rsid w:val="00F70D14"/>
    <w:rsid w:val="00F72355"/>
    <w:rsid w:val="00F75ADD"/>
    <w:rsid w:val="00F768EB"/>
    <w:rsid w:val="00F76AFC"/>
    <w:rsid w:val="00F80310"/>
    <w:rsid w:val="00F80C41"/>
    <w:rsid w:val="00F83660"/>
    <w:rsid w:val="00F87DA1"/>
    <w:rsid w:val="00F91C83"/>
    <w:rsid w:val="00F92D81"/>
    <w:rsid w:val="00F94545"/>
    <w:rsid w:val="00F978FE"/>
    <w:rsid w:val="00FA47C0"/>
    <w:rsid w:val="00FA5520"/>
    <w:rsid w:val="00FB3E6D"/>
    <w:rsid w:val="00FB5DD1"/>
    <w:rsid w:val="00FB7FB6"/>
    <w:rsid w:val="00FC2B5D"/>
    <w:rsid w:val="00FC431B"/>
    <w:rsid w:val="00FC4DAF"/>
    <w:rsid w:val="00FC5EF3"/>
    <w:rsid w:val="00FC5FE5"/>
    <w:rsid w:val="00FC61A7"/>
    <w:rsid w:val="00FD4BCB"/>
    <w:rsid w:val="00FE4B5A"/>
    <w:rsid w:val="00FE69E0"/>
    <w:rsid w:val="00FF1449"/>
    <w:rsid w:val="00FF3A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46007"/>
    <w:rPr>
      <w:rFonts w:ascii="Geomanist Light" w:hAnsi="Geomanist Light"/>
      <w:lang w:val="es-ES"/>
    </w:rPr>
  </w:style>
  <w:style w:type="table" w:customStyle="1" w:styleId="Tablaconcuadrcula11">
    <w:name w:val="Tabla con cuadrícula11"/>
    <w:basedOn w:val="Tablanormal"/>
    <w:next w:val="Tablaconcuadrcula"/>
    <w:uiPriority w:val="59"/>
    <w:qFormat/>
    <w:rsid w:val="005D3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05744308">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71036375">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edornacional759@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2Fboletin-de-relatoria-2024-iv&amp;data=05%7C02%7Ckelmis.bruges%40colombiacompra.gov.co%7C616b83c3423e4d31151908dce489c00d%7C7b09041e245149d08cb179d5e3d8c1be%7C0%7C0%7C638636527542573168%7CUnknown%7CTWFpbGZsb3d8eyJWIjoiMC4wLjAwMDAiLCJQIjoiV2luMzIiLCJBTiI6Ik1haWwiLCJXVCI6Mn0%3D%7C0%7C%7C%7C&amp;sdata=oDWqaoqDpATZ5qZ9tEnUq0MTS1hcPxX67G1Ina%2FYTm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76F8ABB-8D06-4D0B-A63F-CD9B8674EEFB}">
  <ds:schemaRefs>
    <ds:schemaRef ds:uri="http://schemas.openxmlformats.org/officeDocument/2006/bibliography"/>
  </ds:schemaRefs>
</ds:datastoreItem>
</file>

<file path=customXml/itemProps4.xml><?xml version="1.0" encoding="utf-8"?>
<ds:datastoreItem xmlns:ds="http://schemas.openxmlformats.org/officeDocument/2006/customXml" ds:itemID="{A4D4ACA4-FF1C-4D3D-AC5A-BF337CA28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4589</Words>
  <Characters>25243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29773</CharactersWithSpaces>
  <SharedDoc>false</SharedDoc>
  <HLinks>
    <vt:vector size="18" baseType="variant">
      <vt:variant>
        <vt:i4>6946935</vt:i4>
      </vt:variant>
      <vt:variant>
        <vt:i4>6</vt:i4>
      </vt:variant>
      <vt:variant>
        <vt:i4>0</vt:i4>
      </vt:variant>
      <vt:variant>
        <vt:i4>5</vt:i4>
      </vt:variant>
      <vt:variant>
        <vt:lpwstr>https://nam02.safelinks.protection.outlook.com/?url=https%3A%2F%2Fwww.colombiacompra.gov.co%2Fsala-de-prensa%2Fboletin-digital%2Fboletin-de-relatoria-2024-iv&amp;data=05%7C02%7Ckelmis.bruges%40colombiacompra.gov.co%7C616b83c3423e4d31151908dce489c00d%7C7b09041e245149d08cb179d5e3d8c1be%7C0%7C0%7C638636527542573168%7CUnknown%7CTWFpbGZsb3d8eyJWIjoiMC4wLjAwMDAiLCJQIjoiV2luMzIiLCJBTiI6Ik1haWwiLCJXVCI6Mn0%3D%7C0%7C%7C%7C&amp;sdata=oDWqaoqDpATZ5qZ9tEnUq0MTS1hcPxX67G1Ina%2FYTmU%3D&amp;reserved=0</vt:lpwstr>
      </vt:variant>
      <vt:variant>
        <vt:lpwstr/>
      </vt:variant>
      <vt:variant>
        <vt:i4>1900622</vt:i4>
      </vt:variant>
      <vt:variant>
        <vt:i4>3</vt:i4>
      </vt:variant>
      <vt:variant>
        <vt:i4>0</vt:i4>
      </vt:variant>
      <vt:variant>
        <vt:i4>5</vt:i4>
      </vt:variant>
      <vt:variant>
        <vt:lpwstr>https://relatoria.colombiacompra.gov.co/</vt:lpwstr>
      </vt:variant>
      <vt:variant>
        <vt:lpwstr/>
      </vt:variant>
      <vt:variant>
        <vt:i4>7798787</vt:i4>
      </vt:variant>
      <vt:variant>
        <vt:i4>0</vt:i4>
      </vt:variant>
      <vt:variant>
        <vt:i4>0</vt:i4>
      </vt:variant>
      <vt:variant>
        <vt:i4>5</vt:i4>
      </vt:variant>
      <vt:variant>
        <vt:lpwstr>mailto:veedornacional759@gmail.com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5</cp:revision>
  <cp:lastPrinted>2023-01-10T21:18:00Z</cp:lastPrinted>
  <dcterms:created xsi:type="dcterms:W3CDTF">2024-10-08T17:13:00Z</dcterms:created>
  <dcterms:modified xsi:type="dcterms:W3CDTF">2024-10-10T22:23:00Z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