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62875" w14:textId="77777777" w:rsidR="00C177B1" w:rsidRPr="00044392" w:rsidRDefault="00C177B1" w:rsidP="00C177B1">
      <w:pPr>
        <w:spacing w:line="276" w:lineRule="auto"/>
        <w:ind w:right="758"/>
        <w:jc w:val="both"/>
        <w:rPr>
          <w:rFonts w:ascii="Verdana" w:eastAsia="Calibri" w:hAnsi="Verdana" w:cs="Arial"/>
          <w:b/>
          <w:bCs/>
          <w:color w:val="000000" w:themeColor="text1"/>
          <w:lang w:val="es-MX"/>
        </w:rPr>
      </w:pPr>
      <w:r w:rsidRPr="00044392">
        <w:rPr>
          <w:rFonts w:ascii="Verdana" w:eastAsia="Calibri" w:hAnsi="Verdana" w:cs="Arial"/>
          <w:b/>
          <w:bCs/>
          <w:color w:val="000000" w:themeColor="text1"/>
          <w:lang w:val="es-MX"/>
        </w:rPr>
        <w:t>CONTRATO</w:t>
      </w:r>
      <w:r>
        <w:rPr>
          <w:rFonts w:ascii="Verdana" w:eastAsia="Calibri" w:hAnsi="Verdana" w:cs="Arial"/>
          <w:b/>
          <w:bCs/>
          <w:color w:val="000000" w:themeColor="text1"/>
          <w:lang w:val="es-MX"/>
        </w:rPr>
        <w:t xml:space="preserve"> DE PRESTACIÓN DE SERVICIOS </w:t>
      </w:r>
      <w:r w:rsidRPr="00044392">
        <w:rPr>
          <w:rFonts w:ascii="Verdana" w:eastAsia="Calibri" w:hAnsi="Verdana" w:cs="Arial"/>
          <w:b/>
          <w:bCs/>
          <w:color w:val="000000" w:themeColor="text1"/>
          <w:lang w:val="es-MX"/>
        </w:rPr>
        <w:t>– Concepto – Requisitos y límites para su celebración</w:t>
      </w:r>
      <w:r>
        <w:rPr>
          <w:rFonts w:ascii="Verdana" w:eastAsia="Calibri" w:hAnsi="Verdana" w:cs="Arial"/>
          <w:b/>
          <w:bCs/>
          <w:color w:val="000000" w:themeColor="text1"/>
          <w:lang w:val="es-MX"/>
        </w:rPr>
        <w:t>:</w:t>
      </w:r>
    </w:p>
    <w:p w14:paraId="45BB1487" w14:textId="77777777" w:rsidR="00C177B1" w:rsidRPr="00044392" w:rsidRDefault="00C177B1" w:rsidP="00C177B1">
      <w:pPr>
        <w:spacing w:line="240" w:lineRule="auto"/>
        <w:ind w:right="758"/>
        <w:jc w:val="both"/>
        <w:rPr>
          <w:rFonts w:ascii="Verdana" w:eastAsia="Calibri" w:hAnsi="Verdana" w:cs="Arial"/>
          <w:color w:val="000000" w:themeColor="text1"/>
          <w:lang w:val="es-MX"/>
        </w:rPr>
      </w:pPr>
      <w:r w:rsidRPr="00044392">
        <w:rPr>
          <w:rFonts w:ascii="Verdana" w:eastAsia="Calibri" w:hAnsi="Verdana" w:cs="Arial"/>
          <w:color w:val="000000" w:themeColor="text1"/>
          <w:lang w:val="es-MX"/>
        </w:rPr>
        <w:t xml:space="preserve">El contrato de prestación de servicios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w:t>
      </w:r>
      <w:proofErr w:type="spellStart"/>
      <w:r w:rsidRPr="00044392">
        <w:rPr>
          <w:rFonts w:ascii="Verdana" w:eastAsia="Calibri" w:hAnsi="Verdana" w:cs="Arial"/>
          <w:color w:val="000000" w:themeColor="text1"/>
          <w:lang w:val="es-MX"/>
        </w:rPr>
        <w:t>ii</w:t>
      </w:r>
      <w:proofErr w:type="spellEnd"/>
      <w:r w:rsidRPr="00044392">
        <w:rPr>
          <w:rFonts w:ascii="Verdana" w:eastAsia="Calibri" w:hAnsi="Verdana" w:cs="Arial"/>
          <w:color w:val="000000" w:themeColor="text1"/>
          <w:lang w:val="es-MX"/>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proofErr w:type="spellStart"/>
      <w:r w:rsidRPr="00044392">
        <w:rPr>
          <w:rFonts w:ascii="Verdana" w:eastAsia="Calibri" w:hAnsi="Verdana" w:cs="Arial"/>
          <w:color w:val="000000" w:themeColor="text1"/>
          <w:lang w:val="es-MX"/>
        </w:rPr>
        <w:t>iii</w:t>
      </w:r>
      <w:proofErr w:type="spellEnd"/>
      <w:r w:rsidRPr="00044392">
        <w:rPr>
          <w:rFonts w:ascii="Verdana" w:eastAsia="Calibri" w:hAnsi="Verdana" w:cs="Arial"/>
          <w:color w:val="000000" w:themeColor="text1"/>
          <w:lang w:val="es-MX"/>
        </w:rPr>
        <w:t>)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044392">
        <w:rPr>
          <w:rFonts w:ascii="Verdana" w:eastAsia="Calibri" w:hAnsi="Verdana" w:cs="Arial"/>
          <w:i/>
          <w:iCs/>
          <w:color w:val="000000" w:themeColor="text1"/>
          <w:lang w:val="es-MX"/>
        </w:rPr>
        <w:t>subordinación y dependencia</w:t>
      </w:r>
      <w:r w:rsidRPr="00044392">
        <w:rPr>
          <w:rFonts w:ascii="Verdana" w:eastAsia="Calibri" w:hAnsi="Verdana" w:cs="Arial"/>
          <w:color w:val="000000" w:themeColor="text1"/>
          <w:lang w:val="es-MX"/>
        </w:rPr>
        <w:t xml:space="preserve"> que es uno de los elementos constitutivos del vínculo laboral; iv) debe ser temporal; v) es un género que incluye, como especies, los contratos de prestación de servicios profesionales, los contratos de prestación de servicios de apoyo a la gestión y los contratos de prestación de servicios artísticos; vi) su celebración debe realizarse a través de la modalidad de contratación directa; </w:t>
      </w:r>
      <w:proofErr w:type="spellStart"/>
      <w:r w:rsidRPr="00044392">
        <w:rPr>
          <w:rFonts w:ascii="Verdana" w:eastAsia="Calibri" w:hAnsi="Verdana" w:cs="Arial"/>
          <w:color w:val="000000" w:themeColor="text1"/>
          <w:lang w:val="es-MX"/>
        </w:rPr>
        <w:t>vii</w:t>
      </w:r>
      <w:proofErr w:type="spellEnd"/>
      <w:r w:rsidRPr="00044392">
        <w:rPr>
          <w:rFonts w:ascii="Verdana" w:eastAsia="Calibri" w:hAnsi="Verdana" w:cs="Arial"/>
          <w:color w:val="000000" w:themeColor="text1"/>
          <w:lang w:val="es-MX"/>
        </w:rPr>
        <w:t xml:space="preserve">) para su celebración no se requiere la expedición del acto administrativo de justificación de la contratación directa; </w:t>
      </w:r>
      <w:proofErr w:type="spellStart"/>
      <w:r w:rsidRPr="00044392">
        <w:rPr>
          <w:rFonts w:ascii="Verdana" w:eastAsia="Calibri" w:hAnsi="Verdana" w:cs="Arial"/>
          <w:color w:val="000000" w:themeColor="text1"/>
          <w:lang w:val="es-MX"/>
        </w:rPr>
        <w:t>viii</w:t>
      </w:r>
      <w:proofErr w:type="spellEnd"/>
      <w:r w:rsidRPr="00044392">
        <w:rPr>
          <w:rFonts w:ascii="Verdana" w:eastAsia="Calibri" w:hAnsi="Verdana" w:cs="Arial"/>
          <w:color w:val="000000" w:themeColor="text1"/>
          <w:lang w:val="es-MX"/>
        </w:rPr>
        <w:t xml:space="preserve">) admite el pacto de cláusulas excepcionales; </w:t>
      </w:r>
      <w:proofErr w:type="spellStart"/>
      <w:r w:rsidRPr="00044392">
        <w:rPr>
          <w:rFonts w:ascii="Verdana" w:eastAsia="Calibri" w:hAnsi="Verdana" w:cs="Arial"/>
          <w:color w:val="000000" w:themeColor="text1"/>
          <w:lang w:val="es-MX"/>
        </w:rPr>
        <w:t>ix</w:t>
      </w:r>
      <w:proofErr w:type="spellEnd"/>
      <w:r w:rsidRPr="00044392">
        <w:rPr>
          <w:rFonts w:ascii="Verdana" w:eastAsia="Calibri" w:hAnsi="Verdana" w:cs="Arial"/>
          <w:color w:val="000000" w:themeColor="text1"/>
          <w:lang w:val="es-MX"/>
        </w:rPr>
        <w:t>) en algunos casos no es obligatoria la liquidación; x) para su celebración no se requiere inscripción en el Registro Único de Proponentes (RUP); xi) en él no son necesarias las garantías.</w:t>
      </w:r>
    </w:p>
    <w:p w14:paraId="350F5AFB" w14:textId="77777777" w:rsidR="00C177B1" w:rsidRDefault="00C177B1" w:rsidP="00C177B1">
      <w:pPr>
        <w:spacing w:line="240" w:lineRule="auto"/>
        <w:ind w:right="758"/>
        <w:jc w:val="both"/>
        <w:rPr>
          <w:rFonts w:ascii="Verdana" w:eastAsia="Calibri" w:hAnsi="Verdana" w:cs="Arial"/>
          <w:b/>
          <w:bCs/>
          <w:color w:val="000000" w:themeColor="text1"/>
        </w:rPr>
      </w:pPr>
      <w:r w:rsidRPr="0006295E">
        <w:rPr>
          <w:rFonts w:ascii="Verdana" w:eastAsia="Calibri" w:hAnsi="Verdana" w:cs="Arial"/>
          <w:b/>
          <w:bCs/>
          <w:color w:val="000000" w:themeColor="text1"/>
        </w:rPr>
        <w:t>CONTRATO DE PRESTACIÓN DE SERVICIOS – Insuficiencia de personal – Condiciones – Decreto 1068 de 2015 – Artículo 2.8.4.4.5:</w:t>
      </w:r>
    </w:p>
    <w:p w14:paraId="29222427" w14:textId="77777777" w:rsidR="00C177B1" w:rsidRPr="0006295E" w:rsidRDefault="00C177B1" w:rsidP="00C177B1">
      <w:pPr>
        <w:spacing w:line="240" w:lineRule="auto"/>
        <w:ind w:right="758"/>
        <w:jc w:val="both"/>
        <w:rPr>
          <w:rFonts w:ascii="Verdana" w:eastAsia="Calibri" w:hAnsi="Verdana" w:cs="Arial"/>
          <w:b/>
          <w:bCs/>
          <w:color w:val="000000" w:themeColor="text1"/>
          <w:lang w:val="es-MX"/>
        </w:rPr>
      </w:pPr>
      <w:r w:rsidRPr="0006295E">
        <w:rPr>
          <w:rFonts w:ascii="Verdana" w:eastAsia="Calibri" w:hAnsi="Verdana" w:cs="Arial"/>
          <w:color w:val="000000" w:themeColor="text1"/>
          <w:lang w:val="es-MX"/>
        </w:rPr>
        <w:t xml:space="preserve">Establece una restricción en virtud de la cual, en principio, no resulta posible celebrar nuevos contratos de prestación de servicios, cuando la Entidad Estatal tiene vigentes relaciones contractuales vigentes de cualquier índole con un objeto igual al del contrato que se pretende </w:t>
      </w:r>
      <w:r w:rsidRPr="0006295E">
        <w:rPr>
          <w:rFonts w:ascii="Verdana" w:eastAsia="Calibri" w:hAnsi="Verdana" w:cs="Arial"/>
          <w:color w:val="000000" w:themeColor="text1"/>
          <w:lang w:val="es-MX"/>
        </w:rPr>
        <w:lastRenderedPageBreak/>
        <w:t>suscribir. Esto supone una especial carga argumentativa en la justificación de la necesidad, en procura de velar por una planeación adecuada de la contratación de prestación de servicios, de manera que no exista una pluralidad de contratistas vinculados a la Entidad Estatal para la prestación de los mismos servicios</w:t>
      </w:r>
    </w:p>
    <w:p w14:paraId="1DD1C543" w14:textId="77777777" w:rsidR="00C177B1" w:rsidRPr="00E4307F" w:rsidRDefault="00C177B1" w:rsidP="00C177B1">
      <w:pPr>
        <w:spacing w:line="240" w:lineRule="auto"/>
        <w:ind w:left="709" w:right="758"/>
        <w:jc w:val="both"/>
        <w:rPr>
          <w:rFonts w:ascii="Verdana" w:eastAsia="Calibri" w:hAnsi="Verdana" w:cs="Arial"/>
          <w:color w:val="000000" w:themeColor="text1"/>
        </w:rPr>
      </w:pPr>
    </w:p>
    <w:p w14:paraId="13894DB2" w14:textId="77777777" w:rsidR="00C177B1" w:rsidRPr="00D711DC" w:rsidRDefault="00C177B1" w:rsidP="00C177B1">
      <w:pPr>
        <w:spacing w:before="100" w:beforeAutospacing="1" w:after="0" w:afterAutospacing="1" w:line="240" w:lineRule="auto"/>
        <w:jc w:val="both"/>
        <w:textAlignment w:val="baseline"/>
        <w:rPr>
          <w:rFonts w:ascii="Verdana" w:eastAsia="Times New Roman" w:hAnsi="Verdana" w:cs="Arial"/>
          <w:b/>
          <w:bCs/>
          <w:sz w:val="20"/>
          <w:szCs w:val="20"/>
          <w:lang w:eastAsia="es-MX"/>
        </w:rPr>
      </w:pPr>
    </w:p>
    <w:p w14:paraId="15765B8A" w14:textId="77777777" w:rsidR="00C177B1" w:rsidRPr="00E4307F" w:rsidRDefault="00C177B1" w:rsidP="00C177B1">
      <w:pPr>
        <w:spacing w:before="100" w:beforeAutospacing="1" w:after="100" w:afterAutospacing="1" w:line="240" w:lineRule="auto"/>
        <w:jc w:val="both"/>
        <w:textAlignment w:val="baseline"/>
        <w:rPr>
          <w:rFonts w:ascii="Verdana" w:eastAsia="Times New Roman" w:hAnsi="Verdana" w:cs="Arial"/>
          <w:lang w:eastAsia="es-MX"/>
        </w:rPr>
      </w:pPr>
    </w:p>
    <w:p w14:paraId="78A2879C" w14:textId="77777777" w:rsidR="00C177B1" w:rsidRPr="00E4307F" w:rsidRDefault="00C177B1" w:rsidP="00C177B1">
      <w:pPr>
        <w:spacing w:before="100" w:beforeAutospacing="1" w:after="0" w:afterAutospacing="1" w:line="240" w:lineRule="auto"/>
        <w:jc w:val="both"/>
        <w:textAlignment w:val="baseline"/>
        <w:rPr>
          <w:rFonts w:ascii="Verdana" w:eastAsia="Times New Roman" w:hAnsi="Verdana" w:cs="Arial"/>
          <w:lang w:eastAsia="es-MX"/>
        </w:rPr>
      </w:pPr>
    </w:p>
    <w:p w14:paraId="0E395AA5" w14:textId="77777777" w:rsidR="00C177B1" w:rsidRPr="00E4307F" w:rsidRDefault="00C177B1" w:rsidP="00C177B1">
      <w:pPr>
        <w:spacing w:before="100" w:beforeAutospacing="1" w:after="0" w:afterAutospacing="1" w:line="240" w:lineRule="auto"/>
        <w:jc w:val="both"/>
        <w:textAlignment w:val="baseline"/>
        <w:rPr>
          <w:rFonts w:ascii="Verdana" w:eastAsia="Times New Roman" w:hAnsi="Verdana" w:cs="Arial"/>
          <w:lang w:eastAsia="es-MX"/>
        </w:rPr>
      </w:pPr>
    </w:p>
    <w:p w14:paraId="49571FDE" w14:textId="77777777" w:rsidR="00C177B1" w:rsidRPr="00E4307F" w:rsidRDefault="00C177B1" w:rsidP="00C177B1">
      <w:pPr>
        <w:spacing w:before="100" w:beforeAutospacing="1" w:after="0" w:afterAutospacing="1" w:line="240" w:lineRule="auto"/>
        <w:jc w:val="both"/>
        <w:textAlignment w:val="baseline"/>
        <w:rPr>
          <w:rFonts w:ascii="Verdana" w:eastAsia="Times New Roman" w:hAnsi="Verdana" w:cs="Arial"/>
          <w:lang w:eastAsia="es-MX"/>
        </w:rPr>
      </w:pPr>
    </w:p>
    <w:p w14:paraId="2E6E5CC5" w14:textId="77777777" w:rsidR="00C177B1" w:rsidRPr="00E4307F" w:rsidRDefault="00C177B1" w:rsidP="00C177B1">
      <w:pPr>
        <w:spacing w:before="100" w:beforeAutospacing="1" w:after="0" w:afterAutospacing="1" w:line="240" w:lineRule="auto"/>
        <w:jc w:val="both"/>
        <w:textAlignment w:val="baseline"/>
        <w:rPr>
          <w:rFonts w:ascii="Verdana" w:eastAsia="Times New Roman" w:hAnsi="Verdana" w:cs="Arial"/>
          <w:lang w:eastAsia="es-MX"/>
        </w:rPr>
      </w:pPr>
    </w:p>
    <w:p w14:paraId="5AE9B23A" w14:textId="77777777" w:rsidR="00C177B1" w:rsidRPr="00E4307F" w:rsidRDefault="00C177B1" w:rsidP="00C177B1">
      <w:pPr>
        <w:spacing w:before="100" w:beforeAutospacing="1" w:after="0" w:afterAutospacing="1" w:line="240" w:lineRule="auto"/>
        <w:jc w:val="both"/>
        <w:textAlignment w:val="baseline"/>
        <w:rPr>
          <w:rFonts w:ascii="Verdana" w:eastAsia="Times New Roman" w:hAnsi="Verdana" w:cs="Arial"/>
          <w:lang w:eastAsia="es-MX"/>
        </w:rPr>
      </w:pPr>
    </w:p>
    <w:p w14:paraId="526751E8" w14:textId="77777777" w:rsidR="00C177B1" w:rsidRPr="00E4307F" w:rsidRDefault="00C177B1" w:rsidP="00C177B1">
      <w:pPr>
        <w:spacing w:before="100" w:beforeAutospacing="1" w:after="0" w:afterAutospacing="1" w:line="240" w:lineRule="auto"/>
        <w:jc w:val="both"/>
        <w:textAlignment w:val="baseline"/>
        <w:rPr>
          <w:rFonts w:ascii="Verdana" w:eastAsia="Times New Roman" w:hAnsi="Verdana" w:cs="Arial"/>
          <w:lang w:eastAsia="es-MX"/>
        </w:rPr>
      </w:pPr>
    </w:p>
    <w:p w14:paraId="60BE0E44" w14:textId="77777777" w:rsidR="00C177B1" w:rsidRPr="00E4307F" w:rsidRDefault="00C177B1" w:rsidP="00C177B1">
      <w:pPr>
        <w:spacing w:before="100" w:beforeAutospacing="1" w:after="0" w:afterAutospacing="1" w:line="240" w:lineRule="auto"/>
        <w:jc w:val="both"/>
        <w:textAlignment w:val="baseline"/>
        <w:rPr>
          <w:rFonts w:ascii="Verdana" w:eastAsia="Times New Roman" w:hAnsi="Verdana" w:cs="Arial"/>
          <w:lang w:eastAsia="es-MX"/>
        </w:rPr>
      </w:pPr>
    </w:p>
    <w:p w14:paraId="76363080" w14:textId="77777777" w:rsidR="00C177B1" w:rsidRPr="00E4307F" w:rsidRDefault="00C177B1" w:rsidP="00C177B1">
      <w:pPr>
        <w:spacing w:before="100" w:beforeAutospacing="1" w:after="0" w:afterAutospacing="1" w:line="240" w:lineRule="auto"/>
        <w:jc w:val="both"/>
        <w:textAlignment w:val="baseline"/>
        <w:rPr>
          <w:rFonts w:ascii="Verdana" w:eastAsia="Times New Roman" w:hAnsi="Verdana" w:cs="Arial"/>
          <w:lang w:eastAsia="es-MX"/>
        </w:rPr>
      </w:pPr>
    </w:p>
    <w:p w14:paraId="17EF8AA0" w14:textId="77777777" w:rsidR="00C177B1" w:rsidRPr="00E4307F" w:rsidRDefault="00C177B1" w:rsidP="00C177B1">
      <w:pPr>
        <w:spacing w:before="100" w:beforeAutospacing="1" w:after="0" w:afterAutospacing="1" w:line="240" w:lineRule="auto"/>
        <w:jc w:val="both"/>
        <w:textAlignment w:val="baseline"/>
        <w:rPr>
          <w:rFonts w:ascii="Verdana" w:eastAsia="Times New Roman" w:hAnsi="Verdana" w:cs="Arial"/>
          <w:lang w:eastAsia="es-MX"/>
        </w:rPr>
      </w:pPr>
    </w:p>
    <w:p w14:paraId="5BA5D3CC" w14:textId="77777777" w:rsidR="00C177B1" w:rsidRPr="00E4307F" w:rsidRDefault="00C177B1" w:rsidP="00C177B1">
      <w:pPr>
        <w:spacing w:before="100" w:beforeAutospacing="1" w:after="0" w:afterAutospacing="1" w:line="240" w:lineRule="auto"/>
        <w:jc w:val="both"/>
        <w:textAlignment w:val="baseline"/>
        <w:rPr>
          <w:rFonts w:ascii="Verdana" w:eastAsia="Times New Roman" w:hAnsi="Verdana" w:cs="Arial"/>
          <w:lang w:eastAsia="es-MX"/>
        </w:rPr>
      </w:pPr>
    </w:p>
    <w:p w14:paraId="03BB1161" w14:textId="77777777" w:rsidR="00C177B1" w:rsidRPr="00E4307F" w:rsidRDefault="00C177B1" w:rsidP="00C177B1">
      <w:pPr>
        <w:spacing w:before="100" w:beforeAutospacing="1" w:after="0" w:afterAutospacing="1" w:line="240" w:lineRule="auto"/>
        <w:jc w:val="both"/>
        <w:textAlignment w:val="baseline"/>
        <w:rPr>
          <w:rFonts w:ascii="Verdana" w:eastAsia="Times New Roman" w:hAnsi="Verdana" w:cs="Arial"/>
          <w:lang w:eastAsia="es-MX"/>
        </w:rPr>
      </w:pPr>
    </w:p>
    <w:p w14:paraId="3A9668AA" w14:textId="77777777" w:rsidR="00C177B1" w:rsidRPr="00E4307F" w:rsidRDefault="00C177B1" w:rsidP="00C177B1">
      <w:pPr>
        <w:spacing w:before="100" w:beforeAutospacing="1" w:after="0" w:afterAutospacing="1" w:line="240" w:lineRule="auto"/>
        <w:jc w:val="both"/>
        <w:textAlignment w:val="baseline"/>
        <w:rPr>
          <w:rFonts w:ascii="Verdana" w:eastAsia="Times New Roman" w:hAnsi="Verdana" w:cs="Arial"/>
          <w:lang w:eastAsia="es-MX"/>
        </w:rPr>
      </w:pPr>
    </w:p>
    <w:p w14:paraId="373A24F7" w14:textId="77777777" w:rsidR="00C177B1" w:rsidRPr="00E4307F" w:rsidRDefault="00C177B1" w:rsidP="00C177B1">
      <w:pPr>
        <w:spacing w:before="100" w:beforeAutospacing="1" w:after="0" w:afterAutospacing="1" w:line="240" w:lineRule="auto"/>
        <w:jc w:val="both"/>
        <w:textAlignment w:val="baseline"/>
        <w:rPr>
          <w:rFonts w:ascii="Verdana" w:eastAsia="Times New Roman" w:hAnsi="Verdana" w:cs="Arial"/>
          <w:lang w:eastAsia="es-MX"/>
        </w:rPr>
      </w:pPr>
    </w:p>
    <w:p w14:paraId="4CA8DE16" w14:textId="77777777" w:rsidR="00C177B1" w:rsidRDefault="00C177B1" w:rsidP="00C177B1">
      <w:pPr>
        <w:spacing w:before="100" w:beforeAutospacing="1" w:after="0" w:afterAutospacing="1" w:line="240" w:lineRule="auto"/>
        <w:jc w:val="both"/>
        <w:textAlignment w:val="baseline"/>
        <w:rPr>
          <w:rFonts w:ascii="Verdana" w:eastAsia="Times New Roman" w:hAnsi="Verdana" w:cs="Arial"/>
          <w:lang w:eastAsia="es-MX"/>
        </w:rPr>
      </w:pPr>
    </w:p>
    <w:p w14:paraId="02B60876" w14:textId="01E6D183" w:rsidR="00491AD3" w:rsidRDefault="00F91F32" w:rsidP="00491AD3">
      <w:pPr>
        <w:spacing w:after="0" w:line="240" w:lineRule="auto"/>
        <w:jc w:val="both"/>
        <w:rPr>
          <w:rFonts w:ascii="Verdana" w:eastAsia="Geomanist Light" w:hAnsi="Verdana" w:cs="Arial"/>
          <w:color w:val="000000" w:themeColor="text1"/>
        </w:rPr>
      </w:pPr>
      <w:r w:rsidRPr="00F91F32">
        <w:rPr>
          <w:rFonts w:ascii="Verdana" w:eastAsia="Geomanist Light" w:hAnsi="Verdana" w:cs="Arial"/>
          <w:color w:val="000000" w:themeColor="text1"/>
        </w:rPr>
        <w:lastRenderedPageBreak/>
        <w:t xml:space="preserve">Bogotá D.C., 09 de </w:t>
      </w:r>
      <w:proofErr w:type="gramStart"/>
      <w:r w:rsidRPr="00F91F32">
        <w:rPr>
          <w:rFonts w:ascii="Verdana" w:eastAsia="Geomanist Light" w:hAnsi="Verdana" w:cs="Arial"/>
          <w:color w:val="000000" w:themeColor="text1"/>
        </w:rPr>
        <w:t>Octubre</w:t>
      </w:r>
      <w:proofErr w:type="gramEnd"/>
      <w:r w:rsidRPr="00F91F32">
        <w:rPr>
          <w:rFonts w:ascii="Verdana" w:eastAsia="Geomanist Light" w:hAnsi="Verdana" w:cs="Arial"/>
          <w:color w:val="000000" w:themeColor="text1"/>
        </w:rPr>
        <w:t xml:space="preserve"> de 2024</w:t>
      </w:r>
    </w:p>
    <w:p w14:paraId="129C28EE" w14:textId="77777777" w:rsidR="00F91F32" w:rsidRPr="00E4307F" w:rsidRDefault="00F91F32" w:rsidP="00491AD3">
      <w:pPr>
        <w:spacing w:after="0" w:line="240" w:lineRule="auto"/>
        <w:jc w:val="both"/>
        <w:rPr>
          <w:rFonts w:ascii="Verdana" w:eastAsia="Calibri" w:hAnsi="Verdana" w:cs="Arial"/>
          <w:color w:val="000000"/>
          <w:lang w:val="es-ES"/>
        </w:rPr>
      </w:pPr>
    </w:p>
    <w:p w14:paraId="1C6F42ED" w14:textId="77777777" w:rsidR="00491AD3" w:rsidRPr="00E4307F" w:rsidRDefault="00491AD3" w:rsidP="00491AD3">
      <w:pPr>
        <w:spacing w:after="0" w:line="240" w:lineRule="auto"/>
        <w:jc w:val="both"/>
        <w:rPr>
          <w:rFonts w:ascii="Verdana" w:eastAsia="Calibri" w:hAnsi="Verdana" w:cs="Arial"/>
          <w:lang w:val="es-ES" w:eastAsia="es-ES"/>
        </w:rPr>
      </w:pPr>
      <w:r w:rsidRPr="00E4307F">
        <w:rPr>
          <w:rFonts w:ascii="Verdana" w:eastAsia="Calibri" w:hAnsi="Verdana" w:cs="Arial"/>
          <w:lang w:val="es-ES" w:eastAsia="es-ES"/>
        </w:rPr>
        <w:t>Señora</w:t>
      </w:r>
    </w:p>
    <w:p w14:paraId="73675072" w14:textId="34085FA9" w:rsidR="00491AD3" w:rsidRPr="00E4307F" w:rsidRDefault="00A639C7" w:rsidP="00491AD3">
      <w:pPr>
        <w:spacing w:after="0" w:line="240" w:lineRule="auto"/>
        <w:rPr>
          <w:rFonts w:ascii="Verdana" w:eastAsia="Calibri" w:hAnsi="Verdana" w:cs="Arial"/>
          <w:b/>
          <w:bCs/>
          <w:lang w:val="es-ES" w:eastAsia="es-ES"/>
        </w:rPr>
      </w:pPr>
      <w:r w:rsidRPr="00A639C7">
        <w:rPr>
          <w:rFonts w:ascii="Verdana" w:eastAsia="Calibri" w:hAnsi="Verdana" w:cs="Arial"/>
          <w:b/>
          <w:bCs/>
          <w:color w:val="000000"/>
          <w:lang w:val="es-ES_tradnl" w:eastAsia="es-ES_tradnl"/>
        </w:rPr>
        <w:drawing>
          <wp:anchor distT="0" distB="0" distL="114300" distR="114300" simplePos="0" relativeHeight="251658240" behindDoc="1" locked="0" layoutInCell="1" allowOverlap="1" wp14:anchorId="0ADB2E32" wp14:editId="0686579E">
            <wp:simplePos x="0" y="0"/>
            <wp:positionH relativeFrom="column">
              <wp:posOffset>3139440</wp:posOffset>
            </wp:positionH>
            <wp:positionV relativeFrom="paragraph">
              <wp:posOffset>8255</wp:posOffset>
            </wp:positionV>
            <wp:extent cx="2457450" cy="586740"/>
            <wp:effectExtent l="0" t="0" r="0" b="3810"/>
            <wp:wrapNone/>
            <wp:docPr id="18946886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688633" name=""/>
                    <pic:cNvPicPr/>
                  </pic:nvPicPr>
                  <pic:blipFill>
                    <a:blip r:embed="rId11">
                      <a:extLst>
                        <a:ext uri="{28A0092B-C50C-407E-A947-70E740481C1C}">
                          <a14:useLocalDpi xmlns:a14="http://schemas.microsoft.com/office/drawing/2010/main" val="0"/>
                        </a:ext>
                      </a:extLst>
                    </a:blip>
                    <a:stretch>
                      <a:fillRect/>
                    </a:stretch>
                  </pic:blipFill>
                  <pic:spPr>
                    <a:xfrm>
                      <a:off x="0" y="0"/>
                      <a:ext cx="2459523" cy="587235"/>
                    </a:xfrm>
                    <a:prstGeom prst="rect">
                      <a:avLst/>
                    </a:prstGeom>
                  </pic:spPr>
                </pic:pic>
              </a:graphicData>
            </a:graphic>
            <wp14:sizeRelH relativeFrom="margin">
              <wp14:pctWidth>0</wp14:pctWidth>
            </wp14:sizeRelH>
            <wp14:sizeRelV relativeFrom="margin">
              <wp14:pctHeight>0</wp14:pctHeight>
            </wp14:sizeRelV>
          </wp:anchor>
        </w:drawing>
      </w:r>
      <w:r w:rsidR="00491AD3" w:rsidRPr="00E4307F">
        <w:rPr>
          <w:rFonts w:ascii="Verdana" w:eastAsia="Calibri" w:hAnsi="Verdana" w:cs="Arial"/>
          <w:b/>
          <w:bCs/>
          <w:lang w:val="es-ES" w:eastAsia="es-ES"/>
        </w:rPr>
        <w:t xml:space="preserve">Yury </w:t>
      </w:r>
      <w:proofErr w:type="spellStart"/>
      <w:r w:rsidR="00491AD3" w:rsidRPr="00E4307F">
        <w:rPr>
          <w:rFonts w:ascii="Verdana" w:eastAsia="Calibri" w:hAnsi="Verdana" w:cs="Arial"/>
          <w:b/>
          <w:bCs/>
          <w:lang w:val="es-ES" w:eastAsia="es-ES"/>
        </w:rPr>
        <w:t>Marseli</w:t>
      </w:r>
      <w:proofErr w:type="spellEnd"/>
      <w:r w:rsidR="00491AD3" w:rsidRPr="00E4307F">
        <w:rPr>
          <w:rFonts w:ascii="Verdana" w:eastAsia="Calibri" w:hAnsi="Verdana" w:cs="Arial"/>
          <w:b/>
          <w:bCs/>
          <w:lang w:val="es-ES" w:eastAsia="es-ES"/>
        </w:rPr>
        <w:t xml:space="preserve"> Hernández Monsalve</w:t>
      </w:r>
    </w:p>
    <w:p w14:paraId="5D8607CB" w14:textId="1B8C19F7" w:rsidR="00491AD3" w:rsidRPr="00E4307F" w:rsidRDefault="00491AD3" w:rsidP="00491AD3">
      <w:pPr>
        <w:spacing w:after="0" w:line="240" w:lineRule="auto"/>
        <w:rPr>
          <w:rFonts w:ascii="Verdana" w:eastAsia="Calibri" w:hAnsi="Verdana" w:cs="Arial"/>
          <w:lang w:val="es-ES" w:eastAsia="es-ES"/>
        </w:rPr>
      </w:pPr>
      <w:r w:rsidRPr="00E4307F">
        <w:rPr>
          <w:rFonts w:ascii="Verdana" w:eastAsia="Calibri" w:hAnsi="Verdana" w:cs="Arial"/>
          <w:lang w:val="es-ES" w:eastAsia="es-ES"/>
        </w:rPr>
        <w:t>yuryhernandez@copnia.gov.co</w:t>
      </w:r>
    </w:p>
    <w:p w14:paraId="79E5E39D" w14:textId="6D175AEE" w:rsidR="00491AD3" w:rsidRPr="00E4307F" w:rsidRDefault="00491AD3" w:rsidP="00491AD3">
      <w:pPr>
        <w:spacing w:after="0" w:line="240" w:lineRule="auto"/>
        <w:rPr>
          <w:rFonts w:ascii="Verdana" w:eastAsia="Calibri" w:hAnsi="Verdana" w:cs="Arial"/>
          <w:b/>
          <w:bCs/>
          <w:lang w:val="es-ES" w:eastAsia="es-ES"/>
        </w:rPr>
      </w:pPr>
      <w:proofErr w:type="spellStart"/>
      <w:r w:rsidRPr="00E4307F">
        <w:rPr>
          <w:rFonts w:ascii="Verdana" w:eastAsia="Calibri" w:hAnsi="Verdana" w:cs="Arial"/>
          <w:lang w:val="es-ES" w:eastAsia="es-ES"/>
        </w:rPr>
        <w:t>Bogotà</w:t>
      </w:r>
      <w:proofErr w:type="spellEnd"/>
      <w:r w:rsidRPr="00E4307F">
        <w:rPr>
          <w:rFonts w:ascii="Verdana" w:eastAsia="Calibri" w:hAnsi="Verdana" w:cs="Arial"/>
          <w:lang w:val="es-ES" w:eastAsia="es-ES"/>
        </w:rPr>
        <w:t xml:space="preserve"> D.C</w:t>
      </w:r>
      <w:r w:rsidRPr="008A61E5">
        <w:rPr>
          <w:noProof/>
        </w:rPr>
        <w:t xml:space="preserve"> </w:t>
      </w:r>
    </w:p>
    <w:p w14:paraId="0359FB52" w14:textId="624FB124" w:rsidR="00491AD3" w:rsidRPr="00E4307F" w:rsidRDefault="00491AD3" w:rsidP="00491AD3">
      <w:pPr>
        <w:spacing w:after="0" w:line="240" w:lineRule="auto"/>
        <w:rPr>
          <w:rFonts w:ascii="Verdana" w:eastAsia="Calibri" w:hAnsi="Verdana" w:cs="Arial"/>
          <w:b/>
          <w:bCs/>
          <w:color w:val="000000"/>
          <w:lang w:val="es-ES_tradnl" w:eastAsia="es-ES_tradnl"/>
        </w:rPr>
      </w:pPr>
    </w:p>
    <w:tbl>
      <w:tblPr>
        <w:tblStyle w:val="Tablaconcuadrcula"/>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91AD3" w:rsidRPr="00E4307F" w14:paraId="1D35A2E3" w14:textId="77777777" w:rsidTr="001C4276">
        <w:trPr>
          <w:trHeight w:val="608"/>
        </w:trPr>
        <w:tc>
          <w:tcPr>
            <w:tcW w:w="2689" w:type="dxa"/>
          </w:tcPr>
          <w:p w14:paraId="2E0B20E1" w14:textId="77777777" w:rsidR="00491AD3" w:rsidRPr="00E4307F" w:rsidRDefault="00491AD3" w:rsidP="001C4276">
            <w:pPr>
              <w:jc w:val="both"/>
              <w:rPr>
                <w:rFonts w:ascii="Verdana" w:eastAsia="Calibri" w:hAnsi="Verdana" w:cs="Arial"/>
                <w:b/>
                <w:bCs/>
                <w:color w:val="7030A0"/>
                <w:lang w:val="es-ES_tradnl" w:eastAsia="es-ES_tradnl"/>
              </w:rPr>
            </w:pPr>
          </w:p>
        </w:tc>
        <w:tc>
          <w:tcPr>
            <w:tcW w:w="6100" w:type="dxa"/>
            <w:hideMark/>
          </w:tcPr>
          <w:p w14:paraId="7BF91207" w14:textId="77777777" w:rsidR="00491AD3" w:rsidRPr="00E4307F" w:rsidRDefault="00491AD3" w:rsidP="001C4276">
            <w:pPr>
              <w:jc w:val="center"/>
              <w:rPr>
                <w:rFonts w:ascii="Verdana" w:eastAsia="Calibri" w:hAnsi="Verdana" w:cs="Arial"/>
                <w:b/>
                <w:bCs/>
                <w:color w:val="7030A0"/>
                <w:lang w:val="es-ES" w:eastAsia="es-ES"/>
              </w:rPr>
            </w:pPr>
            <w:r w:rsidRPr="00E4307F">
              <w:rPr>
                <w:rFonts w:ascii="Verdana" w:eastAsia="Calibri" w:hAnsi="Verdana" w:cs="Arial"/>
                <w:b/>
                <w:bCs/>
                <w:lang w:val="es-ES" w:eastAsia="es-ES"/>
              </w:rPr>
              <w:t xml:space="preserve">Concepto C- </w:t>
            </w:r>
            <w:r>
              <w:rPr>
                <w:rFonts w:ascii="Verdana" w:eastAsia="Calibri" w:hAnsi="Verdana" w:cs="Arial"/>
                <w:b/>
                <w:bCs/>
                <w:lang w:val="es-ES" w:eastAsia="es-ES"/>
              </w:rPr>
              <w:t>536</w:t>
            </w:r>
            <w:r w:rsidRPr="00E4307F">
              <w:rPr>
                <w:rFonts w:ascii="Verdana" w:eastAsia="Calibri" w:hAnsi="Verdana" w:cs="Arial"/>
                <w:b/>
                <w:bCs/>
                <w:lang w:val="es-ES" w:eastAsia="es-ES"/>
              </w:rPr>
              <w:t xml:space="preserve"> de 2024</w:t>
            </w:r>
          </w:p>
        </w:tc>
      </w:tr>
      <w:tr w:rsidR="00491AD3" w:rsidRPr="00E4307F" w14:paraId="5D2FD39C" w14:textId="77777777" w:rsidTr="001C4276">
        <w:trPr>
          <w:trHeight w:val="884"/>
        </w:trPr>
        <w:tc>
          <w:tcPr>
            <w:tcW w:w="2689" w:type="dxa"/>
            <w:hideMark/>
          </w:tcPr>
          <w:p w14:paraId="2DB69A2F" w14:textId="77777777" w:rsidR="00491AD3" w:rsidRPr="005F26B0" w:rsidRDefault="00491AD3" w:rsidP="001C4276">
            <w:pPr>
              <w:jc w:val="both"/>
              <w:rPr>
                <w:rFonts w:ascii="Verdana" w:eastAsia="Calibri" w:hAnsi="Verdana" w:cs="Arial"/>
                <w:lang w:val="es-ES_tradnl" w:eastAsia="es-ES_tradnl"/>
              </w:rPr>
            </w:pPr>
            <w:r w:rsidRPr="005F26B0">
              <w:rPr>
                <w:rFonts w:ascii="Verdana" w:eastAsia="Calibri" w:hAnsi="Verdana" w:cs="Arial"/>
                <w:b/>
                <w:lang w:val="es-ES_tradnl" w:eastAsia="es-ES_tradnl"/>
              </w:rPr>
              <w:t>Temas:</w:t>
            </w:r>
            <w:r w:rsidRPr="005F26B0">
              <w:rPr>
                <w:rFonts w:ascii="Verdana" w:eastAsia="Calibri" w:hAnsi="Verdana" w:cs="Arial"/>
                <w:lang w:val="es-ES_tradnl" w:eastAsia="es-ES_tradnl"/>
              </w:rPr>
              <w:t xml:space="preserve">                   </w:t>
            </w:r>
          </w:p>
        </w:tc>
        <w:tc>
          <w:tcPr>
            <w:tcW w:w="6100" w:type="dxa"/>
          </w:tcPr>
          <w:p w14:paraId="5145CDFF" w14:textId="77777777" w:rsidR="00491AD3" w:rsidRPr="005F26B0" w:rsidRDefault="00491AD3" w:rsidP="001C4276">
            <w:pPr>
              <w:spacing w:line="276" w:lineRule="auto"/>
              <w:jc w:val="both"/>
              <w:rPr>
                <w:rFonts w:ascii="Verdana" w:eastAsia="Calibri" w:hAnsi="Verdana" w:cs="Arial"/>
                <w:color w:val="000000" w:themeColor="text1"/>
              </w:rPr>
            </w:pPr>
            <w:r w:rsidRPr="005F26B0">
              <w:rPr>
                <w:rFonts w:ascii="Verdana" w:eastAsia="Calibri" w:hAnsi="Verdana" w:cs="Arial"/>
                <w:lang w:val="es-ES" w:eastAsia="es-ES"/>
              </w:rPr>
              <w:t xml:space="preserve"> </w:t>
            </w:r>
            <w:r w:rsidRPr="005F26B0">
              <w:rPr>
                <w:rFonts w:ascii="Verdana" w:hAnsi="Verdana" w:cs="Arial"/>
                <w:color w:val="000000" w:themeColor="text1"/>
                <w:lang w:val="es-ES_tradnl"/>
              </w:rPr>
              <w:t xml:space="preserve">CONTRATO DE PRESTACIÓN DE SERVICIOS ― Concepto ― Requisitos ― Características – límites / </w:t>
            </w:r>
            <w:r w:rsidRPr="005F26B0">
              <w:rPr>
                <w:rFonts w:ascii="Verdana" w:eastAsia="Calibri" w:hAnsi="Verdana" w:cs="Arial"/>
                <w:color w:val="000000" w:themeColor="text1"/>
              </w:rPr>
              <w:t>CONTRATO DE PRESTACIÓN DE SERVICIOS – Insuficiencia de personal – Condiciones – Decreto 1068 de 2015 – Artículo 2.8.4.4.5 / CONTRATO ESTATAL J</w:t>
            </w:r>
            <w:r w:rsidRPr="005F26B0">
              <w:rPr>
                <w:rFonts w:ascii="Verdana" w:eastAsia="Calibri" w:hAnsi="Verdana"/>
                <w:color w:val="000000" w:themeColor="text1"/>
              </w:rPr>
              <w:t xml:space="preserve">ustificación de la necesidad. </w:t>
            </w:r>
          </w:p>
          <w:p w14:paraId="7DFC9011" w14:textId="77777777" w:rsidR="00491AD3" w:rsidRPr="005F26B0" w:rsidRDefault="00491AD3" w:rsidP="00491AD3">
            <w:pPr>
              <w:pStyle w:val="Prrafodelista"/>
              <w:numPr>
                <w:ilvl w:val="0"/>
                <w:numId w:val="11"/>
              </w:numPr>
              <w:spacing w:line="276" w:lineRule="auto"/>
              <w:ind w:left="0"/>
              <w:jc w:val="both"/>
              <w:rPr>
                <w:rFonts w:ascii="Verdana" w:eastAsia="Calibri" w:hAnsi="Verdana" w:cs="Arial"/>
                <w:lang w:eastAsia="es-ES"/>
              </w:rPr>
            </w:pPr>
          </w:p>
        </w:tc>
      </w:tr>
      <w:tr w:rsidR="00491AD3" w:rsidRPr="00E4307F" w14:paraId="16E77D8E" w14:textId="77777777" w:rsidTr="001C4276">
        <w:tc>
          <w:tcPr>
            <w:tcW w:w="2689" w:type="dxa"/>
            <w:hideMark/>
          </w:tcPr>
          <w:p w14:paraId="0ED5F632" w14:textId="77777777" w:rsidR="00491AD3" w:rsidRPr="00E4307F" w:rsidRDefault="00491AD3" w:rsidP="001C4276">
            <w:pPr>
              <w:jc w:val="both"/>
              <w:rPr>
                <w:rFonts w:ascii="Verdana" w:eastAsia="Calibri" w:hAnsi="Verdana" w:cs="Arial"/>
                <w:b/>
                <w:color w:val="7030A0"/>
                <w:lang w:val="es-ES_tradnl" w:eastAsia="es-ES_tradnl"/>
              </w:rPr>
            </w:pPr>
            <w:r w:rsidRPr="00E4307F">
              <w:rPr>
                <w:rFonts w:ascii="Verdana" w:eastAsia="Calibri" w:hAnsi="Verdana" w:cs="Arial"/>
                <w:b/>
                <w:lang w:val="es-ES_tradnl" w:eastAsia="es-ES_tradnl"/>
              </w:rPr>
              <w:t>Radicación:</w:t>
            </w:r>
            <w:r w:rsidRPr="00E4307F">
              <w:rPr>
                <w:rFonts w:ascii="Verdana" w:eastAsia="Calibri" w:hAnsi="Verdana" w:cs="Arial"/>
                <w:lang w:val="es-ES_tradnl" w:eastAsia="es-ES_tradnl"/>
              </w:rPr>
              <w:t xml:space="preserve">               </w:t>
            </w:r>
          </w:p>
        </w:tc>
        <w:tc>
          <w:tcPr>
            <w:tcW w:w="6100" w:type="dxa"/>
            <w:hideMark/>
          </w:tcPr>
          <w:p w14:paraId="41528C91" w14:textId="77777777" w:rsidR="00491AD3" w:rsidRPr="00E4307F" w:rsidRDefault="00491AD3" w:rsidP="001C4276">
            <w:pPr>
              <w:jc w:val="both"/>
              <w:rPr>
                <w:rFonts w:ascii="Verdana" w:eastAsia="Calibri" w:hAnsi="Verdana" w:cs="Arial"/>
                <w:color w:val="7030A0"/>
                <w:lang w:val="es-ES_tradnl" w:eastAsia="es-ES_tradnl"/>
              </w:rPr>
            </w:pPr>
            <w:r w:rsidRPr="00E4307F">
              <w:rPr>
                <w:rFonts w:ascii="Verdana" w:eastAsia="Calibri" w:hAnsi="Verdana" w:cs="Arial"/>
                <w:lang w:val="es-ES_tradnl" w:eastAsia="es-ES_tradnl"/>
              </w:rPr>
              <w:t xml:space="preserve">Respuesta a consulta con radicado No. </w:t>
            </w:r>
            <w:r w:rsidRPr="00515849">
              <w:rPr>
                <w:rFonts w:ascii="Verdana" w:eastAsia="Calibri" w:hAnsi="Verdana" w:cs="Arial"/>
                <w:lang w:val="es-ES_tradnl" w:eastAsia="es-ES_tradnl"/>
              </w:rPr>
              <w:t>P20240829008824</w:t>
            </w:r>
          </w:p>
        </w:tc>
      </w:tr>
    </w:tbl>
    <w:p w14:paraId="49C8731F" w14:textId="77777777" w:rsidR="00491AD3" w:rsidRPr="00E4307F" w:rsidRDefault="00491AD3" w:rsidP="00491AD3">
      <w:pPr>
        <w:spacing w:after="0" w:line="240" w:lineRule="auto"/>
        <w:jc w:val="both"/>
        <w:rPr>
          <w:rFonts w:ascii="Verdana" w:eastAsia="Calibri" w:hAnsi="Verdana" w:cs="Arial"/>
          <w:color w:val="000000"/>
          <w:lang w:val="es-ES_tradnl" w:eastAsia="es-ES_tradnl"/>
        </w:rPr>
      </w:pPr>
    </w:p>
    <w:p w14:paraId="29F5517E" w14:textId="77777777" w:rsidR="00491AD3" w:rsidRPr="00E4307F" w:rsidRDefault="00491AD3" w:rsidP="00491AD3">
      <w:pPr>
        <w:spacing w:after="0" w:line="240" w:lineRule="auto"/>
        <w:jc w:val="both"/>
        <w:rPr>
          <w:rFonts w:ascii="Verdana" w:eastAsia="Calibri" w:hAnsi="Verdana" w:cs="Arial"/>
          <w:color w:val="000000"/>
          <w:lang w:val="es-ES_tradnl" w:eastAsia="es-ES_tradnl"/>
        </w:rPr>
      </w:pPr>
    </w:p>
    <w:p w14:paraId="43441176" w14:textId="77777777" w:rsidR="00491AD3" w:rsidRPr="00E4307F" w:rsidRDefault="00491AD3" w:rsidP="00491AD3">
      <w:pPr>
        <w:spacing w:after="0" w:line="276" w:lineRule="auto"/>
        <w:jc w:val="both"/>
        <w:rPr>
          <w:rFonts w:ascii="Verdana" w:eastAsia="Calibri" w:hAnsi="Verdana" w:cs="Arial"/>
          <w:color w:val="000000" w:themeColor="text1"/>
          <w:lang w:val="es-ES" w:eastAsia="es-ES"/>
        </w:rPr>
      </w:pPr>
      <w:r w:rsidRPr="00E4307F">
        <w:rPr>
          <w:rFonts w:ascii="Verdana" w:eastAsia="Calibri" w:hAnsi="Verdana" w:cs="Arial"/>
          <w:color w:val="000000" w:themeColor="text1"/>
          <w:lang w:val="es-ES" w:eastAsia="es-ES"/>
        </w:rPr>
        <w:t xml:space="preserve">Estimada señora </w:t>
      </w:r>
      <w:r>
        <w:rPr>
          <w:rFonts w:ascii="Verdana" w:eastAsia="Calibri" w:hAnsi="Verdana" w:cs="Arial"/>
          <w:color w:val="000000" w:themeColor="text1"/>
          <w:lang w:val="es-ES" w:eastAsia="es-ES"/>
        </w:rPr>
        <w:t>Hernández</w:t>
      </w:r>
      <w:r w:rsidRPr="00E4307F">
        <w:rPr>
          <w:rFonts w:ascii="Verdana" w:eastAsia="Calibri" w:hAnsi="Verdana" w:cs="Arial"/>
          <w:color w:val="000000" w:themeColor="text1"/>
          <w:lang w:val="es-ES" w:eastAsia="es-ES"/>
        </w:rPr>
        <w:t xml:space="preserve">:  </w:t>
      </w:r>
    </w:p>
    <w:p w14:paraId="255EA8AC" w14:textId="77777777" w:rsidR="00491AD3" w:rsidRPr="00E4307F" w:rsidRDefault="00491AD3" w:rsidP="00491AD3">
      <w:pPr>
        <w:tabs>
          <w:tab w:val="left" w:pos="3768"/>
        </w:tabs>
        <w:spacing w:after="0" w:line="276" w:lineRule="auto"/>
        <w:jc w:val="both"/>
        <w:rPr>
          <w:rFonts w:ascii="Verdana" w:eastAsia="Calibri" w:hAnsi="Verdana" w:cs="Arial"/>
          <w:color w:val="000000" w:themeColor="text1"/>
          <w:lang w:val="es-ES" w:eastAsia="es-ES"/>
        </w:rPr>
      </w:pPr>
      <w:r w:rsidRPr="00E4307F">
        <w:rPr>
          <w:rFonts w:ascii="Verdana" w:eastAsia="Calibri" w:hAnsi="Verdana" w:cs="Arial"/>
          <w:color w:val="000000" w:themeColor="text1"/>
          <w:lang w:val="es-ES" w:eastAsia="es-ES"/>
        </w:rPr>
        <w:tab/>
      </w:r>
    </w:p>
    <w:p w14:paraId="3B7988EE" w14:textId="77777777" w:rsidR="00491AD3" w:rsidRDefault="00491AD3" w:rsidP="00491AD3">
      <w:pPr>
        <w:spacing w:after="120" w:line="276" w:lineRule="auto"/>
        <w:jc w:val="both"/>
        <w:rPr>
          <w:rFonts w:ascii="Verdana" w:eastAsia="Calibri" w:hAnsi="Verdana" w:cs="Arial"/>
          <w:lang w:val="es-ES" w:eastAsia="es-ES"/>
        </w:rPr>
      </w:pPr>
      <w:r w:rsidRPr="00E4307F">
        <w:rPr>
          <w:rFonts w:ascii="Verdana" w:eastAsia="Calibri" w:hAnsi="Verdana" w:cs="Arial"/>
          <w:color w:val="000000" w:themeColor="text1"/>
          <w:lang w:val="es-ES" w:eastAsia="es-ES"/>
        </w:rPr>
        <w:t>En ejercicio de la competencia otorgada por los artículos 3, numeral 5º, y 11, numeral 8º, del Decreto Ley 4170 de 2011,</w:t>
      </w:r>
      <w:r w:rsidRPr="00E4307F">
        <w:rPr>
          <w:rFonts w:ascii="Verdana" w:eastAsia="Arial MT" w:hAnsi="Verdana" w:cs="Arial MT"/>
          <w:lang w:val="es-ES" w:eastAsia="es-ES"/>
        </w:rPr>
        <w:t xml:space="preserve"> </w:t>
      </w:r>
      <w:r w:rsidRPr="00E4307F">
        <w:rPr>
          <w:rFonts w:ascii="Verdana" w:hAnsi="Verdana" w:cs="Arial"/>
        </w:rPr>
        <w:t xml:space="preserve">así como lo establecido en el artículo 4 de la Resolución 1707 de 2018 expedida por esta Entidad, </w:t>
      </w:r>
      <w:r w:rsidRPr="00E4307F">
        <w:rPr>
          <w:rFonts w:ascii="Verdana" w:eastAsia="Calibri" w:hAnsi="Verdana" w:cs="Arial"/>
          <w:color w:val="000000" w:themeColor="text1"/>
          <w:lang w:val="es-ES" w:eastAsia="es-ES"/>
        </w:rPr>
        <w:t xml:space="preserve">la Agencia Nacional </w:t>
      </w:r>
      <w:r w:rsidRPr="00E4307F">
        <w:rPr>
          <w:rFonts w:ascii="Verdana" w:eastAsia="Calibri" w:hAnsi="Verdana" w:cs="Arial"/>
          <w:lang w:val="es-ES" w:eastAsia="es-ES"/>
        </w:rPr>
        <w:t xml:space="preserve">de Contratación Pública – Colombia Compra Eficiente– responde su solicitud de consulta de fecha </w:t>
      </w:r>
      <w:r>
        <w:rPr>
          <w:rFonts w:ascii="Verdana" w:eastAsia="Calibri" w:hAnsi="Verdana" w:cs="Arial"/>
          <w:lang w:val="es-ES" w:eastAsia="es-ES"/>
        </w:rPr>
        <w:t>29 de agosto</w:t>
      </w:r>
      <w:r w:rsidRPr="00E4307F">
        <w:rPr>
          <w:rFonts w:ascii="Verdana" w:eastAsia="Calibri" w:hAnsi="Verdana" w:cs="Arial"/>
          <w:lang w:val="es-ES" w:eastAsia="es-ES"/>
        </w:rPr>
        <w:t xml:space="preserve"> de 2024, en la cual manifiesta lo siguiente: </w:t>
      </w:r>
      <w:bookmarkStart w:id="0" w:name="_Hlk95313578"/>
    </w:p>
    <w:p w14:paraId="4086E003" w14:textId="77777777" w:rsidR="00491AD3" w:rsidRPr="008B39C7" w:rsidRDefault="00491AD3" w:rsidP="00491AD3">
      <w:pPr>
        <w:spacing w:after="120" w:line="240" w:lineRule="auto"/>
        <w:jc w:val="both"/>
        <w:rPr>
          <w:rFonts w:ascii="Verdana" w:eastAsia="Century Gothic" w:hAnsi="Verdana" w:cs="Century Gothic"/>
          <w:i/>
          <w:sz w:val="20"/>
          <w:szCs w:val="20"/>
          <w:lang w:val="es-ES"/>
        </w:rPr>
      </w:pPr>
      <w:r w:rsidRPr="00F312E3">
        <w:rPr>
          <w:rFonts w:ascii="Verdana" w:eastAsia="Century Gothic" w:hAnsi="Verdana" w:cs="Century Gothic"/>
          <w:i/>
          <w:iCs/>
        </w:rPr>
        <w:t xml:space="preserve"> </w:t>
      </w:r>
      <w:r w:rsidRPr="008B39C7">
        <w:rPr>
          <w:rFonts w:ascii="Verdana" w:eastAsia="Century Gothic" w:hAnsi="Verdana" w:cs="Century Gothic"/>
          <w:i/>
          <w:iCs/>
          <w:sz w:val="20"/>
          <w:szCs w:val="20"/>
        </w:rPr>
        <w:t>“</w:t>
      </w:r>
      <w:r w:rsidRPr="008B39C7">
        <w:rPr>
          <w:rStyle w:val="normaltextrun"/>
          <w:rFonts w:ascii="Verdana" w:hAnsi="Verdana" w:cs="Arial"/>
          <w:i/>
          <w:iCs/>
          <w:sz w:val="20"/>
          <w:szCs w:val="20"/>
          <w:shd w:val="clear" w:color="auto" w:fill="FFFFFF"/>
          <w:lang w:val="es-ES"/>
        </w:rPr>
        <w:t xml:space="preserve">[…] </w:t>
      </w:r>
      <w:r w:rsidRPr="008B39C7">
        <w:rPr>
          <w:rFonts w:ascii="Verdana" w:hAnsi="Verdana" w:cs="Arial"/>
          <w:i/>
          <w:iCs/>
          <w:sz w:val="20"/>
          <w:szCs w:val="20"/>
          <w:shd w:val="clear" w:color="auto" w:fill="FFFFFF"/>
        </w:rPr>
        <w:t>Al tenor de Ley 1755 de 2015, solicito emitir respuesta de fondo a consulta No. P20240716007252 del 16/06/2024, pues la formulación de los interrogantes a resolver en Concepto C- 348 2024 no corresponden a lo preguntado, en la medida en que la solicitud consistió en las siguientes preguntas: (i) ¿En el marco de un proceso de contratación directa para contratar servicios de apoyo a la gestión con personas jurídicas respecto de actividades logísticas relacionadas con las funciones de divulgación de una entidad pública sometida al EGCP debe expedirse el certificado de inexistencia o insuficiencia de personal de planta para satisfacer la necesidad? o, (</w:t>
      </w:r>
      <w:proofErr w:type="spellStart"/>
      <w:r w:rsidRPr="008B39C7">
        <w:rPr>
          <w:rFonts w:ascii="Verdana" w:hAnsi="Verdana" w:cs="Arial"/>
          <w:i/>
          <w:iCs/>
          <w:sz w:val="20"/>
          <w:szCs w:val="20"/>
          <w:shd w:val="clear" w:color="auto" w:fill="FFFFFF"/>
        </w:rPr>
        <w:t>ii</w:t>
      </w:r>
      <w:proofErr w:type="spellEnd"/>
      <w:r w:rsidRPr="008B39C7">
        <w:rPr>
          <w:rFonts w:ascii="Verdana" w:hAnsi="Verdana" w:cs="Arial"/>
          <w:i/>
          <w:iCs/>
          <w:sz w:val="20"/>
          <w:szCs w:val="20"/>
          <w:shd w:val="clear" w:color="auto" w:fill="FFFFFF"/>
        </w:rPr>
        <w:t xml:space="preserve">) por el contrario, ¿solo se expide dicha certificación para contratos de prestación de servicios de apoyo a la gestión con personas naturales?, mientras que, lo conceptuado por CCE es si ¿Debe </w:t>
      </w:r>
      <w:r w:rsidRPr="008B39C7">
        <w:rPr>
          <w:rFonts w:ascii="Verdana" w:hAnsi="Verdana" w:cs="Arial"/>
          <w:i/>
          <w:iCs/>
          <w:sz w:val="20"/>
          <w:szCs w:val="20"/>
          <w:shd w:val="clear" w:color="auto" w:fill="FFFFFF"/>
        </w:rPr>
        <w:lastRenderedPageBreak/>
        <w:t>certificarse la insuficiencia de personal de planta para celebrar cualquier tipo de contrato estatal? ¿o solo aplica para prestación de servicios?</w:t>
      </w:r>
      <w:r w:rsidRPr="008B39C7">
        <w:rPr>
          <w:rFonts w:ascii="Verdana" w:eastAsia="Century Gothic" w:hAnsi="Verdana" w:cs="Century Gothic"/>
          <w:i/>
          <w:sz w:val="20"/>
          <w:szCs w:val="20"/>
          <w:lang w:val="es-ES"/>
        </w:rPr>
        <w:t>”</w:t>
      </w:r>
      <w:bookmarkEnd w:id="0"/>
      <w:r w:rsidRPr="008B39C7">
        <w:rPr>
          <w:rFonts w:ascii="Verdana" w:eastAsia="Century Gothic" w:hAnsi="Verdana" w:cs="Century Gothic"/>
          <w:i/>
          <w:sz w:val="20"/>
          <w:szCs w:val="20"/>
          <w:lang w:val="es-ES"/>
        </w:rPr>
        <w:t>.</w:t>
      </w:r>
    </w:p>
    <w:p w14:paraId="114CACDB" w14:textId="77777777" w:rsidR="00491AD3" w:rsidRPr="008B39C7" w:rsidRDefault="00491AD3" w:rsidP="00491AD3">
      <w:pPr>
        <w:spacing w:after="120" w:line="240" w:lineRule="auto"/>
        <w:jc w:val="both"/>
        <w:rPr>
          <w:rFonts w:ascii="Verdana" w:hAnsi="Verdana" w:cs="Arial"/>
          <w:i/>
          <w:sz w:val="20"/>
          <w:szCs w:val="20"/>
          <w:shd w:val="clear" w:color="auto" w:fill="FFFFFF"/>
          <w:lang w:val="es-ES"/>
        </w:rPr>
      </w:pPr>
    </w:p>
    <w:p w14:paraId="45901843" w14:textId="77777777" w:rsidR="00491AD3" w:rsidRPr="00E4307F" w:rsidRDefault="00491AD3" w:rsidP="00491AD3">
      <w:pPr>
        <w:spacing w:after="120" w:line="276" w:lineRule="auto"/>
        <w:ind w:firstLine="426"/>
        <w:jc w:val="both"/>
        <w:rPr>
          <w:rFonts w:ascii="Verdana" w:eastAsia="Calibri" w:hAnsi="Verdana" w:cs="Arial"/>
          <w:lang w:val="es-ES_tradnl" w:eastAsia="es-ES_tradnl"/>
        </w:rPr>
      </w:pPr>
      <w:r w:rsidRPr="00E4307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E4307F">
        <w:rPr>
          <w:rFonts w:ascii="Verdana" w:eastAsia="Calibri" w:hAnsi="Verdana" w:cs="Arial"/>
          <w:lang w:val="es-ES" w:eastAsia="es-ES"/>
        </w:rPr>
        <w:t xml:space="preserve">interpretación de normas generales, por definición, no puede extenderse a la resolución de controversias, ni a brindar asesorías sobre casos puntuales. </w:t>
      </w:r>
      <w:r w:rsidRPr="00E4307F">
        <w:rPr>
          <w:rFonts w:ascii="Verdana" w:eastAsia="Calibri" w:hAnsi="Verdana" w:cs="Arial"/>
          <w:lang w:val="es-ES_tradnl" w:eastAsia="es-ES_tradnl"/>
        </w:rPr>
        <w:tab/>
      </w:r>
    </w:p>
    <w:p w14:paraId="43FF9FDA" w14:textId="77777777" w:rsidR="00491AD3" w:rsidRDefault="00491AD3" w:rsidP="00491AD3">
      <w:pPr>
        <w:spacing w:after="0" w:line="276" w:lineRule="auto"/>
        <w:ind w:firstLine="426"/>
        <w:jc w:val="both"/>
        <w:rPr>
          <w:rFonts w:ascii="Verdana" w:eastAsia="Calibri" w:hAnsi="Verdana" w:cs="Arial"/>
          <w:lang w:val="es-ES" w:eastAsia="es-ES"/>
        </w:rPr>
      </w:pPr>
      <w:r w:rsidRPr="00E4307F">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40A43C0C" w14:textId="77777777" w:rsidR="00491AD3" w:rsidRPr="00E4307F" w:rsidRDefault="00491AD3" w:rsidP="00491AD3">
      <w:pPr>
        <w:spacing w:after="0" w:line="276" w:lineRule="auto"/>
        <w:ind w:firstLine="426"/>
        <w:jc w:val="both"/>
        <w:rPr>
          <w:rFonts w:ascii="Verdana" w:eastAsia="Calibri" w:hAnsi="Verdana" w:cs="Arial"/>
          <w:lang w:val="es-ES" w:eastAsia="es-ES"/>
        </w:rPr>
      </w:pPr>
    </w:p>
    <w:p w14:paraId="77A067A1" w14:textId="77777777" w:rsidR="00491AD3" w:rsidRPr="00E4307F" w:rsidRDefault="00491AD3" w:rsidP="00491AD3">
      <w:pPr>
        <w:pStyle w:val="Prrafodelista"/>
        <w:numPr>
          <w:ilvl w:val="0"/>
          <w:numId w:val="9"/>
        </w:numPr>
        <w:tabs>
          <w:tab w:val="left" w:pos="142"/>
          <w:tab w:val="left" w:pos="284"/>
        </w:tabs>
        <w:spacing w:after="0" w:line="276" w:lineRule="auto"/>
        <w:ind w:left="0" w:firstLine="0"/>
        <w:jc w:val="both"/>
        <w:rPr>
          <w:rFonts w:ascii="Verdana" w:eastAsia="Century Gothic" w:hAnsi="Verdana" w:cs="Century Gothic"/>
          <w:b/>
          <w:bCs/>
        </w:rPr>
      </w:pPr>
      <w:r w:rsidRPr="00E4307F">
        <w:rPr>
          <w:rFonts w:ascii="Verdana" w:eastAsia="Century Gothic" w:hAnsi="Verdana" w:cs="Century Gothic"/>
          <w:b/>
          <w:bCs/>
        </w:rPr>
        <w:t>Problema planteado:</w:t>
      </w:r>
    </w:p>
    <w:p w14:paraId="5FB4926F" w14:textId="77777777" w:rsidR="00491AD3" w:rsidRDefault="00491AD3" w:rsidP="00491AD3">
      <w:pPr>
        <w:spacing w:after="0" w:line="276" w:lineRule="auto"/>
        <w:jc w:val="both"/>
        <w:rPr>
          <w:rFonts w:ascii="Verdana" w:eastAsia="Century Gothic" w:hAnsi="Verdana" w:cs="Century Gothic"/>
        </w:rPr>
      </w:pPr>
    </w:p>
    <w:p w14:paraId="2D628B69" w14:textId="77777777" w:rsidR="00491AD3" w:rsidRPr="00E4307F" w:rsidRDefault="00491AD3" w:rsidP="00491AD3">
      <w:pPr>
        <w:spacing w:after="0" w:line="276" w:lineRule="auto"/>
        <w:jc w:val="both"/>
        <w:rPr>
          <w:rFonts w:ascii="Verdana" w:eastAsia="Century Gothic" w:hAnsi="Verdana" w:cs="Century Gothic"/>
        </w:rPr>
      </w:pPr>
      <w:r w:rsidRPr="00D42555">
        <w:rPr>
          <w:rFonts w:ascii="Verdana" w:eastAsia="Century Gothic" w:hAnsi="Verdana" w:cs="Century Gothic"/>
        </w:rPr>
        <w:t>De acuerdo con el contenido de su solicitud, esta Agencia resolverá los siguientes interrogantes: En el marco de la celebración de un CPS ¿La certificación de insuficiencia de personal de planta se debe expedir solo cuando se va a celebrar el contrato con persona natural o también aplica cuando se va a celebrar con persona jurídica?</w:t>
      </w:r>
    </w:p>
    <w:p w14:paraId="388B01E1" w14:textId="77777777" w:rsidR="00491AD3" w:rsidRPr="00E4307F" w:rsidRDefault="00491AD3" w:rsidP="00491AD3">
      <w:pPr>
        <w:spacing w:after="0" w:line="276" w:lineRule="auto"/>
        <w:jc w:val="both"/>
        <w:rPr>
          <w:rFonts w:ascii="Verdana" w:hAnsi="Verdana"/>
        </w:rPr>
      </w:pPr>
    </w:p>
    <w:p w14:paraId="47D3DA32" w14:textId="77777777" w:rsidR="00491AD3" w:rsidRPr="00E4307F" w:rsidRDefault="00491AD3" w:rsidP="00491AD3">
      <w:pPr>
        <w:pStyle w:val="Prrafodelista"/>
        <w:numPr>
          <w:ilvl w:val="0"/>
          <w:numId w:val="9"/>
        </w:numPr>
        <w:tabs>
          <w:tab w:val="left" w:pos="142"/>
          <w:tab w:val="left" w:pos="284"/>
        </w:tabs>
        <w:spacing w:after="0" w:line="276" w:lineRule="auto"/>
        <w:ind w:left="0" w:firstLine="0"/>
        <w:jc w:val="both"/>
        <w:rPr>
          <w:rFonts w:ascii="Verdana" w:eastAsia="Century Gothic" w:hAnsi="Verdana" w:cs="Century Gothic"/>
          <w:b/>
          <w:bCs/>
        </w:rPr>
      </w:pPr>
      <w:r w:rsidRPr="00E4307F">
        <w:rPr>
          <w:rFonts w:ascii="Verdana" w:eastAsia="Century Gothic" w:hAnsi="Verdana" w:cs="Century Gothic"/>
          <w:b/>
          <w:bCs/>
        </w:rPr>
        <w:t>Respuesta:</w:t>
      </w:r>
    </w:p>
    <w:p w14:paraId="2566989E" w14:textId="77777777" w:rsidR="00491AD3" w:rsidRPr="00E4307F" w:rsidRDefault="00491AD3" w:rsidP="00491AD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91AD3" w:rsidRPr="00E4307F" w14:paraId="35CDA869" w14:textId="77777777" w:rsidTr="001C4276">
        <w:tc>
          <w:tcPr>
            <w:tcW w:w="8828" w:type="dxa"/>
            <w:tcBorders>
              <w:top w:val="dotted" w:sz="4" w:space="0" w:color="auto"/>
              <w:left w:val="dotted" w:sz="4" w:space="0" w:color="auto"/>
              <w:bottom w:val="dotted" w:sz="4" w:space="0" w:color="auto"/>
              <w:right w:val="dotted" w:sz="4" w:space="0" w:color="auto"/>
            </w:tcBorders>
            <w:hideMark/>
          </w:tcPr>
          <w:p w14:paraId="6BF9A0D0" w14:textId="77777777" w:rsidR="00491AD3" w:rsidRDefault="00491AD3" w:rsidP="001C4276">
            <w:pPr>
              <w:spacing w:after="120" w:line="276" w:lineRule="auto"/>
              <w:jc w:val="both"/>
              <w:rPr>
                <w:rFonts w:ascii="Verdana" w:eastAsia="Calibri" w:hAnsi="Verdana" w:cs="Arial"/>
                <w:color w:val="000000" w:themeColor="text1"/>
                <w:lang w:val="es-MX"/>
              </w:rPr>
            </w:pPr>
            <w:r w:rsidRPr="007456B1">
              <w:rPr>
                <w:rFonts w:ascii="Verdana" w:eastAsia="Calibri" w:hAnsi="Verdana" w:cs="Arial"/>
                <w:color w:val="000000" w:themeColor="text1"/>
                <w:lang w:val="es-MX"/>
              </w:rPr>
              <w:lastRenderedPageBreak/>
              <w:t>De acuerdo con numeral 3° del artículo 32 de la Ley 80 de 1993 y el artículo 2.8.4.4.5 del Decreto 1068 de 2015, la insuficiencia de personal es presupuesto para la celebración de contratos de prestación de servicios, tanto con personas naturales como jurídicas.</w:t>
            </w:r>
            <w:r>
              <w:rPr>
                <w:rFonts w:ascii="Verdana" w:eastAsia="Calibri" w:hAnsi="Verdana" w:cs="Arial"/>
                <w:color w:val="000000" w:themeColor="text1"/>
                <w:lang w:val="es-MX"/>
              </w:rPr>
              <w:t xml:space="preserve"> </w:t>
            </w:r>
          </w:p>
          <w:p w14:paraId="629B4D56" w14:textId="77777777" w:rsidR="00491AD3" w:rsidRDefault="00491AD3" w:rsidP="001C4276">
            <w:pPr>
              <w:jc w:val="both"/>
              <w:rPr>
                <w:rFonts w:ascii="Verdana" w:hAnsi="Verdana"/>
              </w:rPr>
            </w:pPr>
            <w:r w:rsidRPr="00EE6269">
              <w:rPr>
                <w:rFonts w:ascii="Verdana" w:hAnsi="Verdana"/>
              </w:rPr>
              <w:t>En virtud de lo anterior, esta Agencia se permite manifestar que, de conformidad con las facultades otorgadas por el Decreto Ley 4170 de 2011, solo tiene competencia para responder consultas en relación con la aplicación de normas de carácter general en materia de compras y contratación pública. En este sentido, la resolución de casos particulares excede las atribuciones que le han sido asignadas por el legislador extraordinario, quien no concibió a Colombia Compra Eficiente como una autoridad competente para solucionar problemas jurídicos específicos de todos los participantes del sistema de compra pública.</w:t>
            </w:r>
          </w:p>
          <w:p w14:paraId="7AF2CD28" w14:textId="77777777" w:rsidR="00491AD3" w:rsidRPr="00EE6269" w:rsidRDefault="00491AD3" w:rsidP="001C4276">
            <w:pPr>
              <w:jc w:val="both"/>
              <w:rPr>
                <w:rFonts w:ascii="Verdana" w:hAnsi="Verdana"/>
              </w:rPr>
            </w:pPr>
          </w:p>
          <w:p w14:paraId="4FB56D78" w14:textId="77777777" w:rsidR="00491AD3" w:rsidRDefault="00491AD3" w:rsidP="001C4276">
            <w:pPr>
              <w:jc w:val="both"/>
              <w:rPr>
                <w:rFonts w:ascii="Verdana" w:hAnsi="Verdana"/>
              </w:rPr>
            </w:pPr>
            <w:r w:rsidRPr="00EE6269">
              <w:rPr>
                <w:rFonts w:ascii="Verdana" w:hAnsi="Verdana"/>
              </w:rPr>
              <w:t>Respecto a la solicitud presentada y teniendo en cuenta lo anteriormente expuesto, la Agencia ha revisado el concepto emitido y se mantiene en su postura inicial. Se recuerda al peticionario que las facultades de esta entidad se limitan a abordar situaciones generales y abstractas.</w:t>
            </w:r>
          </w:p>
          <w:p w14:paraId="7E356AD5" w14:textId="77777777" w:rsidR="00491AD3" w:rsidRPr="00EE6269" w:rsidRDefault="00491AD3" w:rsidP="001C4276">
            <w:pPr>
              <w:jc w:val="both"/>
              <w:rPr>
                <w:rFonts w:ascii="Verdana" w:hAnsi="Verdana"/>
              </w:rPr>
            </w:pPr>
          </w:p>
          <w:p w14:paraId="62507034" w14:textId="77777777" w:rsidR="00491AD3" w:rsidRDefault="00491AD3" w:rsidP="001C4276">
            <w:pPr>
              <w:jc w:val="both"/>
              <w:rPr>
                <w:rFonts w:ascii="Verdana" w:hAnsi="Verdana"/>
              </w:rPr>
            </w:pPr>
            <w:r w:rsidRPr="00EE6269">
              <w:rPr>
                <w:rFonts w:ascii="Verdana" w:hAnsi="Verdana"/>
              </w:rPr>
              <w:t>Es importante destacar que la entidad es autónoma para realizar los trámites internos que considere pertinentes para la contratación de sus objetos, independientemente de si se trata de bienes, obras o servicios, así como del tipo de persona a contratar. Asimismo, será el Manual de Contratación y los manuales presupuestales de la entidad los que establecerán los procedimientos a seguir por sus funcionarios. No corresponde a esta Agencia intervenir en el ámbito de las facultades discrecionales de los contratantes.</w:t>
            </w:r>
          </w:p>
          <w:p w14:paraId="42ED5A6D" w14:textId="77777777" w:rsidR="00491AD3" w:rsidRPr="00EE6269" w:rsidRDefault="00491AD3" w:rsidP="001C4276">
            <w:pPr>
              <w:jc w:val="both"/>
              <w:rPr>
                <w:rFonts w:ascii="Verdana" w:hAnsi="Verdana"/>
              </w:rPr>
            </w:pPr>
          </w:p>
          <w:p w14:paraId="26B2D1C7" w14:textId="77777777" w:rsidR="00491AD3" w:rsidRPr="00EE6269" w:rsidRDefault="00491AD3" w:rsidP="001C4276">
            <w:pPr>
              <w:jc w:val="both"/>
              <w:rPr>
                <w:rFonts w:ascii="Verdana" w:hAnsi="Verdana"/>
              </w:rPr>
            </w:pPr>
            <w:r w:rsidRPr="00EE6269">
              <w:rPr>
                <w:rFonts w:ascii="Verdana" w:hAnsi="Verdana"/>
              </w:rPr>
              <w:t>En conclusión, es fundamental entender que la función de la Agencia se limita a brindar orientaciones generales en el ámbito de la contratación pública. Cualquier cuestión específica o particular debe ser atendida por la entidad contratante, que cuenta con la autonomía y la responsabilidad necesaria para gestionar sus propios procedimientos y decisiones</w:t>
            </w:r>
            <w:r>
              <w:rPr>
                <w:rFonts w:ascii="Verdana" w:hAnsi="Verdana"/>
              </w:rPr>
              <w:t xml:space="preserve"> con base a la norma</w:t>
            </w:r>
            <w:r w:rsidRPr="00EE6269">
              <w:rPr>
                <w:rFonts w:ascii="Verdana" w:hAnsi="Verdana"/>
              </w:rPr>
              <w:t>. Reiteramos nuestro compromiso de ofrecer apoyo en la interpretación de las normas generales, pero no podemos asumir la resolución de problemas particulares que se enmarquen en el ámbito de las facultades discrecionales de los contratantes.</w:t>
            </w:r>
          </w:p>
          <w:p w14:paraId="35269264" w14:textId="77777777" w:rsidR="00491AD3" w:rsidRPr="00371365" w:rsidRDefault="00491AD3" w:rsidP="001C4276">
            <w:pPr>
              <w:spacing w:after="120" w:line="276" w:lineRule="auto"/>
              <w:jc w:val="both"/>
              <w:rPr>
                <w:rFonts w:ascii="Verdana" w:eastAsia="Calibri" w:hAnsi="Verdana" w:cs="Arial"/>
                <w:color w:val="000000" w:themeColor="text1"/>
              </w:rPr>
            </w:pPr>
          </w:p>
          <w:p w14:paraId="23CACAAA" w14:textId="77777777" w:rsidR="00491AD3" w:rsidRPr="00E4307F" w:rsidRDefault="00491AD3" w:rsidP="001C4276">
            <w:pPr>
              <w:spacing w:after="120" w:line="276" w:lineRule="auto"/>
              <w:ind w:firstLine="709"/>
              <w:jc w:val="both"/>
              <w:rPr>
                <w:rFonts w:ascii="Verdana" w:eastAsia="Calibri" w:hAnsi="Verdana" w:cs="Arial"/>
                <w:color w:val="7030A0"/>
                <w:lang w:val="es-ES_tradnl"/>
              </w:rPr>
            </w:pPr>
          </w:p>
        </w:tc>
      </w:tr>
    </w:tbl>
    <w:p w14:paraId="2DC29704" w14:textId="77777777" w:rsidR="00491AD3" w:rsidRPr="00E4307F" w:rsidRDefault="00491AD3" w:rsidP="00491AD3">
      <w:pPr>
        <w:tabs>
          <w:tab w:val="left" w:pos="142"/>
          <w:tab w:val="left" w:pos="284"/>
        </w:tabs>
        <w:spacing w:after="0" w:line="276" w:lineRule="auto"/>
        <w:jc w:val="both"/>
        <w:rPr>
          <w:rFonts w:ascii="Verdana" w:eastAsia="Century Gothic" w:hAnsi="Verdana" w:cs="Century Gothic"/>
          <w:b/>
          <w:bCs/>
          <w:lang w:val="es-ES"/>
        </w:rPr>
      </w:pPr>
    </w:p>
    <w:p w14:paraId="1D284A40" w14:textId="77777777" w:rsidR="00491AD3" w:rsidRPr="004129EC" w:rsidRDefault="00491AD3" w:rsidP="00491AD3">
      <w:pPr>
        <w:pStyle w:val="Prrafodelista"/>
        <w:numPr>
          <w:ilvl w:val="0"/>
          <w:numId w:val="9"/>
        </w:numPr>
        <w:tabs>
          <w:tab w:val="left" w:pos="142"/>
          <w:tab w:val="left" w:pos="284"/>
        </w:tabs>
        <w:spacing w:after="0" w:line="360" w:lineRule="auto"/>
        <w:ind w:left="0" w:firstLine="0"/>
        <w:jc w:val="both"/>
        <w:rPr>
          <w:rFonts w:ascii="Verdana" w:eastAsia="Century Gothic" w:hAnsi="Verdana" w:cs="Century Gothic"/>
          <w:b/>
          <w:bCs/>
        </w:rPr>
      </w:pPr>
      <w:r w:rsidRPr="00E4307F">
        <w:rPr>
          <w:rFonts w:ascii="Verdana" w:eastAsia="Century Gothic" w:hAnsi="Verdana" w:cs="Century Gothic"/>
          <w:b/>
          <w:bCs/>
        </w:rPr>
        <w:t>Razones de la respuesta:</w:t>
      </w:r>
    </w:p>
    <w:p w14:paraId="2DB52BE7" w14:textId="77777777" w:rsidR="00491AD3" w:rsidRPr="00471C69" w:rsidRDefault="00491AD3" w:rsidP="00491AD3">
      <w:pPr>
        <w:spacing w:after="0" w:line="360" w:lineRule="auto"/>
        <w:jc w:val="both"/>
        <w:rPr>
          <w:rFonts w:ascii="Verdana" w:eastAsia="Calibri" w:hAnsi="Verdana" w:cs="Arial"/>
          <w:lang w:val="es-ES"/>
        </w:rPr>
      </w:pPr>
      <w:r w:rsidRPr="00E4307F">
        <w:rPr>
          <w:rFonts w:ascii="Verdana" w:eastAsia="Calibri" w:hAnsi="Verdana" w:cs="Arial"/>
          <w:lang w:val="es-ES"/>
        </w:rPr>
        <w:t xml:space="preserve">Lo anterior se sustenta en las siguientes consideraciones: </w:t>
      </w:r>
    </w:p>
    <w:p w14:paraId="1A620EAB" w14:textId="77777777" w:rsidR="00491AD3" w:rsidRPr="008B39C7" w:rsidRDefault="00491AD3" w:rsidP="00491AD3">
      <w:pPr>
        <w:pStyle w:val="Prrafodelista"/>
        <w:numPr>
          <w:ilvl w:val="0"/>
          <w:numId w:val="14"/>
        </w:numPr>
        <w:jc w:val="both"/>
        <w:rPr>
          <w:rFonts w:ascii="Verdana" w:eastAsia="Calibri" w:hAnsi="Verdana" w:cs="Arial"/>
        </w:rPr>
      </w:pPr>
      <w:r w:rsidRPr="008B39C7">
        <w:rPr>
          <w:rFonts w:ascii="Verdana" w:hAnsi="Verdana" w:cs="Arial"/>
          <w:color w:val="000000" w:themeColor="text1"/>
        </w:rPr>
        <w:t xml:space="preserve">El contrato de prestación de servicios es un contrato estatal típico, regulado en el </w:t>
      </w:r>
      <w:r w:rsidRPr="00E4307F">
        <w:rPr>
          <w:rStyle w:val="Refdenotaalpie"/>
          <w:rFonts w:ascii="Verdana" w:hAnsi="Verdana" w:cs="Arial"/>
          <w:color w:val="000000" w:themeColor="text1"/>
        </w:rPr>
        <w:footnoteReference w:id="2"/>
      </w:r>
      <w:r w:rsidRPr="008B39C7">
        <w:rPr>
          <w:rFonts w:ascii="Verdana" w:hAnsi="Verdana" w:cs="Arial"/>
          <w:color w:val="000000" w:themeColor="text1"/>
        </w:rPr>
        <w:t xml:space="preserve">numeral 3 del artículo 32 de la Ley 80 de 1993, definido como </w:t>
      </w:r>
      <w:r w:rsidRPr="008B39C7">
        <w:rPr>
          <w:rFonts w:ascii="Verdana" w:hAnsi="Verdana" w:cs="Arial"/>
        </w:rPr>
        <w:t>el suscrito por las entidades del Estado con el objeto de apoyar y desarrollar actividades propias del funcionamiento y la administración de las entidades estatales. La norma</w:t>
      </w:r>
      <w:r w:rsidRPr="008B39C7">
        <w:rPr>
          <w:rFonts w:ascii="Verdana" w:hAnsi="Verdana" w:cs="Arial"/>
          <w:spacing w:val="-6"/>
        </w:rPr>
        <w:t xml:space="preserve"> </w:t>
      </w:r>
      <w:r w:rsidRPr="008B39C7">
        <w:rPr>
          <w:rFonts w:ascii="Verdana" w:hAnsi="Verdana" w:cs="Arial"/>
        </w:rPr>
        <w:t>señala:</w:t>
      </w:r>
    </w:p>
    <w:p w14:paraId="3ED9701E" w14:textId="77777777" w:rsidR="00491AD3" w:rsidRPr="00E4307F" w:rsidRDefault="00491AD3" w:rsidP="00491AD3">
      <w:pPr>
        <w:pStyle w:val="Textoindependiente"/>
        <w:ind w:right="709"/>
        <w:jc w:val="both"/>
        <w:rPr>
          <w:rFonts w:ascii="Verdana" w:hAnsi="Verdana"/>
        </w:rPr>
      </w:pPr>
      <w:r>
        <w:rPr>
          <w:rFonts w:ascii="Verdana" w:hAnsi="Verdana"/>
        </w:rPr>
        <w:t xml:space="preserve">          </w:t>
      </w:r>
      <w:r w:rsidRPr="00CE71BD">
        <w:rPr>
          <w:rFonts w:ascii="Verdana" w:hAnsi="Verdana"/>
        </w:rPr>
        <w:t>“</w:t>
      </w:r>
      <w:r w:rsidRPr="00E4307F">
        <w:rPr>
          <w:rFonts w:ascii="Verdana" w:hAnsi="Verdana"/>
        </w:rPr>
        <w:t xml:space="preserve">Artículo 32. De los Contratos Estatales. </w:t>
      </w:r>
    </w:p>
    <w:p w14:paraId="36AEF901" w14:textId="77777777" w:rsidR="00491AD3" w:rsidRPr="00E4307F" w:rsidRDefault="00491AD3" w:rsidP="00491AD3">
      <w:pPr>
        <w:pStyle w:val="Textoindependiente"/>
        <w:ind w:left="709" w:right="709" w:firstLine="708"/>
        <w:jc w:val="both"/>
        <w:rPr>
          <w:rFonts w:ascii="Verdana" w:hAnsi="Verdana"/>
        </w:rPr>
      </w:pPr>
      <w:r w:rsidRPr="00E4307F">
        <w:rPr>
          <w:rFonts w:ascii="Verdana" w:hAnsi="Verdana"/>
        </w:rPr>
        <w:t>[…]</w:t>
      </w:r>
    </w:p>
    <w:p w14:paraId="7193677D" w14:textId="77777777" w:rsidR="00491AD3" w:rsidRPr="00E4307F" w:rsidRDefault="00491AD3" w:rsidP="00491AD3">
      <w:pPr>
        <w:pStyle w:val="Textoindependiente"/>
        <w:ind w:right="709"/>
        <w:jc w:val="both"/>
        <w:rPr>
          <w:rFonts w:ascii="Verdana" w:hAnsi="Verdana"/>
          <w:i/>
          <w:iCs/>
        </w:rPr>
      </w:pPr>
      <w:r w:rsidRPr="00E4307F">
        <w:rPr>
          <w:rFonts w:ascii="Verdana" w:hAnsi="Verdana"/>
          <w:i/>
          <w:iCs/>
        </w:rPr>
        <w:t xml:space="preserve">          3. Contrato de Prestación de</w:t>
      </w:r>
      <w:r w:rsidRPr="00E4307F">
        <w:rPr>
          <w:rFonts w:ascii="Verdana" w:hAnsi="Verdana"/>
          <w:i/>
          <w:iCs/>
          <w:spacing w:val="-5"/>
        </w:rPr>
        <w:t xml:space="preserve"> </w:t>
      </w:r>
      <w:r w:rsidRPr="00E4307F">
        <w:rPr>
          <w:rFonts w:ascii="Verdana" w:hAnsi="Verdana"/>
          <w:i/>
          <w:iCs/>
        </w:rPr>
        <w:t>Servicios.</w:t>
      </w:r>
    </w:p>
    <w:p w14:paraId="3EF6153B" w14:textId="77777777" w:rsidR="00491AD3" w:rsidRPr="00E4307F" w:rsidRDefault="00491AD3" w:rsidP="00491AD3">
      <w:pPr>
        <w:pStyle w:val="Textoindependiente"/>
        <w:ind w:left="709" w:right="709"/>
        <w:jc w:val="both"/>
        <w:rPr>
          <w:rFonts w:ascii="Verdana" w:hAnsi="Verdana"/>
          <w:i/>
          <w:iCs/>
        </w:rPr>
      </w:pPr>
      <w:r w:rsidRPr="00E4307F">
        <w:rPr>
          <w:rFonts w:ascii="Verdana" w:hAnsi="Verdana"/>
          <w:i/>
          <w:iCs/>
        </w:rPr>
        <w:t xml:space="preserve">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E4307F">
        <w:rPr>
          <w:rFonts w:ascii="Verdana" w:hAnsi="Verdana"/>
          <w:i/>
          <w:iCs/>
          <w:u w:val="single"/>
        </w:rPr>
        <w:t>no puedan realizarse con personal de planta o requieran conocimientos especializados</w:t>
      </w:r>
      <w:r w:rsidRPr="00E4307F">
        <w:rPr>
          <w:rFonts w:ascii="Verdana" w:hAnsi="Verdana"/>
          <w:i/>
          <w:iCs/>
        </w:rPr>
        <w:t>.</w:t>
      </w:r>
    </w:p>
    <w:p w14:paraId="019944CA" w14:textId="77777777" w:rsidR="00491AD3" w:rsidRPr="00E4307F" w:rsidRDefault="00491AD3" w:rsidP="00491AD3">
      <w:pPr>
        <w:pStyle w:val="Textoindependiente"/>
        <w:ind w:left="709" w:right="709"/>
        <w:jc w:val="both"/>
        <w:rPr>
          <w:rFonts w:ascii="Verdana" w:hAnsi="Verdana"/>
          <w:i/>
          <w:iCs/>
        </w:rPr>
      </w:pPr>
    </w:p>
    <w:p w14:paraId="6FF0B061" w14:textId="77777777" w:rsidR="00491AD3" w:rsidRPr="00E4307F" w:rsidRDefault="00491AD3" w:rsidP="00491AD3">
      <w:pPr>
        <w:pStyle w:val="Textoindependiente"/>
        <w:ind w:left="709" w:right="709"/>
        <w:jc w:val="both"/>
        <w:rPr>
          <w:rFonts w:ascii="Verdana" w:hAnsi="Verdana"/>
        </w:rPr>
      </w:pPr>
      <w:r w:rsidRPr="00E4307F">
        <w:rPr>
          <w:rFonts w:ascii="Verdana" w:hAnsi="Verdana"/>
          <w:i/>
          <w:iCs/>
        </w:rPr>
        <w:t>En ningún caso estos contratos generan relación laboral ni prestaciones sociales y se celebrarán por el término estrictamente</w:t>
      </w:r>
      <w:r w:rsidRPr="00E4307F">
        <w:rPr>
          <w:rFonts w:ascii="Verdana" w:hAnsi="Verdana"/>
          <w:i/>
          <w:iCs/>
          <w:spacing w:val="-15"/>
        </w:rPr>
        <w:t xml:space="preserve"> </w:t>
      </w:r>
      <w:r w:rsidRPr="00E4307F">
        <w:rPr>
          <w:rFonts w:ascii="Verdana" w:hAnsi="Verdana"/>
          <w:i/>
          <w:iCs/>
        </w:rPr>
        <w:t>indispensable</w:t>
      </w:r>
      <w:r w:rsidRPr="00CE71BD">
        <w:rPr>
          <w:rFonts w:ascii="Verdana" w:hAnsi="Verdana"/>
          <w:i/>
          <w:iCs/>
        </w:rPr>
        <w:t>”.</w:t>
      </w:r>
      <w:r w:rsidRPr="00E4307F">
        <w:rPr>
          <w:rFonts w:ascii="Verdana" w:hAnsi="Verdana"/>
          <w:i/>
          <w:iCs/>
        </w:rPr>
        <w:t xml:space="preserve"> </w:t>
      </w:r>
      <w:r w:rsidRPr="00E4307F">
        <w:rPr>
          <w:rFonts w:ascii="Verdana" w:hAnsi="Verdana"/>
        </w:rPr>
        <w:t>(Énfasis fuera de texto)</w:t>
      </w:r>
    </w:p>
    <w:p w14:paraId="7FAB5F83" w14:textId="77777777" w:rsidR="00491AD3" w:rsidRPr="00E4307F" w:rsidRDefault="00491AD3" w:rsidP="00491AD3">
      <w:pPr>
        <w:pStyle w:val="Textoindependiente"/>
        <w:ind w:left="709" w:right="709"/>
        <w:jc w:val="both"/>
        <w:rPr>
          <w:rFonts w:ascii="Verdana" w:hAnsi="Verdana"/>
        </w:rPr>
      </w:pPr>
    </w:p>
    <w:p w14:paraId="6C7C2E15" w14:textId="77777777" w:rsidR="00491AD3" w:rsidRPr="008B39C7" w:rsidRDefault="00491AD3" w:rsidP="00491AD3">
      <w:pPr>
        <w:pStyle w:val="Prrafodelista"/>
        <w:numPr>
          <w:ilvl w:val="0"/>
          <w:numId w:val="14"/>
        </w:numPr>
        <w:jc w:val="both"/>
        <w:rPr>
          <w:rFonts w:ascii="Verdana" w:eastAsia="Calibri" w:hAnsi="Verdana" w:cs="Arial"/>
          <w:color w:val="000000" w:themeColor="text1"/>
        </w:rPr>
      </w:pPr>
      <w:r w:rsidRPr="008B39C7">
        <w:rPr>
          <w:rFonts w:ascii="Verdana" w:eastAsia="Calibri" w:hAnsi="Verdana" w:cs="Arial"/>
          <w:color w:val="000000" w:themeColor="text1"/>
        </w:rPr>
        <w:t xml:space="preserve">La celebración de dicho contrato puede efectuarse a través de la modalidad de contratación directa. Así lo dispone el </w:t>
      </w:r>
      <w:r w:rsidRPr="49F4DBA2">
        <w:rPr>
          <w:rStyle w:val="Refdenotaalpie"/>
          <w:rFonts w:ascii="Verdana" w:eastAsia="Calibri" w:hAnsi="Verdana" w:cs="Arial"/>
          <w:color w:val="000000" w:themeColor="text1"/>
        </w:rPr>
        <w:footnoteReference w:id="3"/>
      </w:r>
      <w:r w:rsidRPr="008B39C7">
        <w:rPr>
          <w:rFonts w:ascii="Verdana" w:eastAsia="Calibri" w:hAnsi="Verdana" w:cs="Arial"/>
          <w:color w:val="000000" w:themeColor="text1"/>
        </w:rPr>
        <w:t>artículo 2, numeral 4º, literal h), de la Ley 1150 de 2007:</w:t>
      </w:r>
    </w:p>
    <w:p w14:paraId="7300C174" w14:textId="77777777" w:rsidR="00491AD3" w:rsidRPr="00E4307F" w:rsidRDefault="00491AD3" w:rsidP="00491AD3">
      <w:pPr>
        <w:spacing w:line="240" w:lineRule="auto"/>
        <w:ind w:left="709" w:right="758"/>
        <w:jc w:val="both"/>
        <w:rPr>
          <w:rFonts w:ascii="Verdana" w:eastAsia="Calibri" w:hAnsi="Verdana" w:cs="Arial"/>
          <w:color w:val="000000" w:themeColor="text1"/>
        </w:rPr>
      </w:pPr>
      <w:r w:rsidRPr="00CE71BD">
        <w:rPr>
          <w:rFonts w:ascii="Verdana" w:eastAsia="Calibri" w:hAnsi="Verdana" w:cs="Arial"/>
          <w:color w:val="000000" w:themeColor="text1"/>
        </w:rPr>
        <w:t>“</w:t>
      </w:r>
      <w:r w:rsidRPr="00E4307F">
        <w:rPr>
          <w:rFonts w:ascii="Verdana" w:eastAsia="Calibri" w:hAnsi="Verdana" w:cs="Arial"/>
          <w:color w:val="000000" w:themeColor="text1"/>
        </w:rPr>
        <w:t xml:space="preserve">La escogencia del contratista se efectuará con arreglo a las modalidades de selección de licitación pública, selección abreviada, concurso de méritos y contratación directa, con base en las </w:t>
      </w:r>
      <w:r w:rsidRPr="00E4307F">
        <w:rPr>
          <w:rFonts w:ascii="Verdana" w:eastAsia="Calibri" w:hAnsi="Verdana" w:cs="Arial"/>
          <w:color w:val="000000" w:themeColor="text1"/>
        </w:rPr>
        <w:lastRenderedPageBreak/>
        <w:t>siguientes reglas:</w:t>
      </w:r>
      <w:r w:rsidRPr="00E4307F">
        <w:rPr>
          <w:rFonts w:ascii="Verdana" w:eastAsia="Calibri" w:hAnsi="Verdana" w:cs="Arial"/>
          <w:color w:val="000000" w:themeColor="text1"/>
        </w:rPr>
        <w:tab/>
      </w:r>
      <w:r w:rsidRPr="00E4307F">
        <w:rPr>
          <w:rFonts w:ascii="Verdana" w:eastAsia="Calibri" w:hAnsi="Verdana" w:cs="Arial"/>
          <w:color w:val="000000" w:themeColor="text1"/>
        </w:rPr>
        <w:br/>
        <w:t>[…]</w:t>
      </w:r>
    </w:p>
    <w:p w14:paraId="7F0A79A5" w14:textId="77777777" w:rsidR="00491AD3" w:rsidRPr="00E4307F" w:rsidRDefault="00491AD3" w:rsidP="00491AD3">
      <w:pPr>
        <w:spacing w:line="240" w:lineRule="auto"/>
        <w:ind w:left="709" w:right="758"/>
        <w:jc w:val="both"/>
        <w:rPr>
          <w:rFonts w:ascii="Verdana" w:eastAsia="Calibri" w:hAnsi="Verdana" w:cs="Arial"/>
          <w:color w:val="000000" w:themeColor="text1"/>
        </w:rPr>
      </w:pPr>
      <w:r w:rsidRPr="00E4307F">
        <w:rPr>
          <w:rFonts w:ascii="Verdana" w:eastAsia="Calibri" w:hAnsi="Verdana" w:cs="Arial"/>
          <w:color w:val="000000" w:themeColor="text1"/>
        </w:rPr>
        <w:t xml:space="preserve">4. Contratación directa. La modalidad de selección de contratación </w:t>
      </w:r>
      <w:proofErr w:type="gramStart"/>
      <w:r w:rsidRPr="00E4307F">
        <w:rPr>
          <w:rFonts w:ascii="Verdana" w:eastAsia="Calibri" w:hAnsi="Verdana" w:cs="Arial"/>
          <w:color w:val="000000" w:themeColor="text1"/>
        </w:rPr>
        <w:t>directa,</w:t>
      </w:r>
      <w:proofErr w:type="gramEnd"/>
      <w:r w:rsidRPr="00E4307F">
        <w:rPr>
          <w:rFonts w:ascii="Verdana" w:eastAsia="Calibri" w:hAnsi="Verdana" w:cs="Arial"/>
          <w:color w:val="000000" w:themeColor="text1"/>
        </w:rPr>
        <w:t xml:space="preserve"> solamente procederá en los siguientes casos:</w:t>
      </w:r>
      <w:r w:rsidRPr="00E4307F">
        <w:rPr>
          <w:rFonts w:ascii="Verdana" w:eastAsia="Calibri" w:hAnsi="Verdana" w:cs="Arial"/>
          <w:color w:val="000000" w:themeColor="text1"/>
        </w:rPr>
        <w:tab/>
      </w:r>
      <w:r w:rsidRPr="00E4307F">
        <w:rPr>
          <w:rFonts w:ascii="Verdana" w:eastAsia="Calibri" w:hAnsi="Verdana" w:cs="Arial"/>
          <w:color w:val="000000" w:themeColor="text1"/>
        </w:rPr>
        <w:br/>
        <w:t>[…]</w:t>
      </w:r>
    </w:p>
    <w:p w14:paraId="4FE9AE8B" w14:textId="77777777" w:rsidR="00491AD3" w:rsidRPr="00E4307F" w:rsidRDefault="00491AD3" w:rsidP="00491AD3">
      <w:pPr>
        <w:spacing w:line="240" w:lineRule="auto"/>
        <w:ind w:left="709" w:right="758"/>
        <w:jc w:val="both"/>
        <w:rPr>
          <w:rFonts w:ascii="Verdana" w:eastAsia="Calibri" w:hAnsi="Verdana" w:cs="Arial"/>
          <w:color w:val="000000" w:themeColor="text1"/>
        </w:rPr>
      </w:pPr>
      <w:r w:rsidRPr="00E4307F">
        <w:rPr>
          <w:rFonts w:ascii="Verdana" w:eastAsia="Calibri" w:hAnsi="Verdana" w:cs="Arial"/>
          <w:color w:val="000000" w:themeColor="text1"/>
        </w:rPr>
        <w:t>h) Para la prestación de servicios profesionales y de apoyo a la gestión, o para la ejecución de trabajos artísticos que sólo puedan encomendarse a determinadas personas naturales</w:t>
      </w:r>
      <w:r w:rsidRPr="00CE71BD">
        <w:rPr>
          <w:rFonts w:ascii="Verdana" w:eastAsia="Calibri" w:hAnsi="Verdana" w:cs="Arial"/>
          <w:color w:val="000000" w:themeColor="text1"/>
        </w:rPr>
        <w:t>”.</w:t>
      </w:r>
    </w:p>
    <w:p w14:paraId="52D9F139" w14:textId="77777777" w:rsidR="00491AD3" w:rsidRPr="008B39C7" w:rsidRDefault="00491AD3" w:rsidP="00491AD3">
      <w:pPr>
        <w:pStyle w:val="Prrafodelista"/>
        <w:numPr>
          <w:ilvl w:val="0"/>
          <w:numId w:val="14"/>
        </w:numPr>
        <w:tabs>
          <w:tab w:val="left" w:pos="0"/>
        </w:tabs>
        <w:jc w:val="both"/>
        <w:rPr>
          <w:rFonts w:ascii="Verdana" w:hAnsi="Verdana" w:cs="Arial"/>
          <w:noProof/>
          <w:lang w:val="es-ES_tradnl"/>
        </w:rPr>
      </w:pPr>
      <w:r w:rsidRPr="008B39C7">
        <w:rPr>
          <w:rFonts w:ascii="Verdana" w:hAnsi="Verdana" w:cs="Arial"/>
          <w:noProof/>
          <w:lang w:val="es-ES_tradnl"/>
        </w:rPr>
        <w:t xml:space="preserve">En tal sentido, el </w:t>
      </w:r>
      <w:r w:rsidRPr="00E4307F">
        <w:rPr>
          <w:rStyle w:val="Refdenotaalpie"/>
          <w:rFonts w:ascii="Verdana" w:hAnsi="Verdana" w:cs="Arial"/>
          <w:noProof/>
          <w:lang w:val="es-ES_tradnl"/>
        </w:rPr>
        <w:footnoteReference w:id="4"/>
      </w:r>
      <w:r w:rsidRPr="008B39C7">
        <w:rPr>
          <w:rFonts w:ascii="Verdana" w:hAnsi="Verdana" w:cs="Arial"/>
          <w:noProof/>
          <w:lang w:val="es-ES_tradnl"/>
        </w:rPr>
        <w:t>Decreto 1082 de 2015 en su artículo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0E07F2AC" w14:textId="77777777" w:rsidR="00491AD3" w:rsidRDefault="00491AD3" w:rsidP="00491AD3">
      <w:pPr>
        <w:spacing w:after="0" w:line="240" w:lineRule="auto"/>
        <w:ind w:left="708" w:right="709"/>
        <w:jc w:val="both"/>
        <w:rPr>
          <w:rFonts w:ascii="Verdana" w:hAnsi="Verdana" w:cs="Arial"/>
        </w:rPr>
      </w:pPr>
      <w:r w:rsidRPr="00CE71BD">
        <w:rPr>
          <w:rFonts w:ascii="Verdana" w:hAnsi="Verdana" w:cs="Arial"/>
        </w:rPr>
        <w:t>“</w:t>
      </w:r>
      <w:r w:rsidRPr="00E4307F">
        <w:rPr>
          <w:rFonts w:ascii="Verdana" w:hAnsi="Verdana" w:cs="Arial"/>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1F57797" w14:textId="77777777" w:rsidR="00491AD3" w:rsidRPr="00E4307F" w:rsidRDefault="00491AD3" w:rsidP="00491AD3">
      <w:pPr>
        <w:spacing w:after="0" w:line="240" w:lineRule="auto"/>
        <w:ind w:left="708" w:right="709"/>
        <w:jc w:val="both"/>
        <w:rPr>
          <w:rFonts w:ascii="Verdana" w:hAnsi="Verdana" w:cs="Arial"/>
        </w:rPr>
      </w:pPr>
    </w:p>
    <w:p w14:paraId="20F9C428" w14:textId="77777777" w:rsidR="00491AD3" w:rsidRPr="00E4307F" w:rsidRDefault="00491AD3" w:rsidP="00491AD3">
      <w:pPr>
        <w:spacing w:after="0" w:line="240" w:lineRule="auto"/>
        <w:ind w:left="708" w:right="709"/>
        <w:jc w:val="both"/>
        <w:rPr>
          <w:rFonts w:ascii="Verdana" w:hAnsi="Verdana" w:cs="Arial"/>
        </w:rPr>
      </w:pPr>
      <w:r w:rsidRPr="00E4307F">
        <w:rPr>
          <w:rFonts w:ascii="Verdana" w:hAnsi="Verdana" w:cs="Arial"/>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8E70661" w14:textId="77777777" w:rsidR="00491AD3" w:rsidRPr="00E4307F" w:rsidRDefault="00491AD3" w:rsidP="00491AD3">
      <w:pPr>
        <w:spacing w:after="0" w:line="240" w:lineRule="auto"/>
        <w:ind w:left="708" w:right="709"/>
        <w:jc w:val="both"/>
        <w:rPr>
          <w:rFonts w:ascii="Verdana" w:hAnsi="Verdana" w:cs="Arial"/>
        </w:rPr>
      </w:pPr>
    </w:p>
    <w:p w14:paraId="41EC7488" w14:textId="77777777" w:rsidR="00491AD3" w:rsidRPr="00E4307F" w:rsidRDefault="00491AD3" w:rsidP="00491AD3">
      <w:pPr>
        <w:spacing w:after="0" w:line="240" w:lineRule="auto"/>
        <w:ind w:left="708" w:right="709"/>
        <w:jc w:val="both"/>
        <w:rPr>
          <w:rFonts w:ascii="Verdana" w:hAnsi="Verdana" w:cs="Arial"/>
        </w:rPr>
      </w:pPr>
      <w:r w:rsidRPr="00E4307F">
        <w:rPr>
          <w:rFonts w:ascii="Verdana" w:hAnsi="Verdana" w:cs="Arial"/>
        </w:rPr>
        <w:t>La Entidad Estatal, para la contratación de trabajos artísticos que solamente puedan encomendarse a determinadas personas naturales, debe justificar esta situación en los estudios y documentos previos</w:t>
      </w:r>
      <w:r w:rsidRPr="00CE71BD">
        <w:rPr>
          <w:rFonts w:ascii="Verdana" w:hAnsi="Verdana" w:cs="Arial"/>
        </w:rPr>
        <w:t>”.</w:t>
      </w:r>
    </w:p>
    <w:p w14:paraId="273F4F36" w14:textId="77777777" w:rsidR="00491AD3" w:rsidRPr="00E4307F" w:rsidRDefault="00491AD3" w:rsidP="00491AD3">
      <w:pPr>
        <w:tabs>
          <w:tab w:val="left" w:pos="0"/>
        </w:tabs>
        <w:spacing w:after="0"/>
        <w:jc w:val="both"/>
        <w:rPr>
          <w:rFonts w:ascii="Verdana" w:hAnsi="Verdana" w:cs="Arial"/>
          <w:color w:val="000000" w:themeColor="text1"/>
          <w:lang w:val="es-ES_tradnl"/>
        </w:rPr>
      </w:pPr>
    </w:p>
    <w:p w14:paraId="42CEA13C" w14:textId="77777777" w:rsidR="00491AD3" w:rsidRPr="008B39C7" w:rsidRDefault="00491AD3" w:rsidP="00491AD3">
      <w:pPr>
        <w:pStyle w:val="Prrafodelista"/>
        <w:numPr>
          <w:ilvl w:val="0"/>
          <w:numId w:val="14"/>
        </w:numPr>
        <w:tabs>
          <w:tab w:val="left" w:pos="0"/>
        </w:tabs>
        <w:spacing w:after="120"/>
        <w:jc w:val="both"/>
        <w:rPr>
          <w:rFonts w:ascii="Verdana" w:hAnsi="Verdana" w:cs="Arial"/>
          <w:color w:val="000000" w:themeColor="text1"/>
          <w:lang w:val="es-ES_tradnl"/>
        </w:rPr>
      </w:pPr>
      <w:r w:rsidRPr="008B39C7">
        <w:rPr>
          <w:rFonts w:ascii="Verdana" w:hAnsi="Verdana" w:cs="Arial"/>
          <w:color w:val="000000" w:themeColor="text1"/>
          <w:lang w:val="es-ES_tradnl"/>
        </w:rPr>
        <w:lastRenderedPageBreak/>
        <w:t>A partir de las disposiciones citadas, así como de la reciente Sentencia de Unificación de Jurisprudencial del 9 de septiembre de 2021, proferida por el Consejo de Estado</w:t>
      </w:r>
      <w:r w:rsidRPr="00E4307F">
        <w:rPr>
          <w:rStyle w:val="Refdenotaalpie"/>
          <w:rFonts w:ascii="Verdana" w:hAnsi="Verdana" w:cs="Arial"/>
          <w:bCs/>
        </w:rPr>
        <w:footnoteReference w:id="5"/>
      </w:r>
      <w:r w:rsidRPr="008B39C7">
        <w:rPr>
          <w:rFonts w:ascii="Verdana" w:hAnsi="Verdana" w:cs="Arial"/>
          <w:color w:val="000000" w:themeColor="text1"/>
          <w:lang w:val="es-ES_tradnl"/>
        </w:rPr>
        <w:t>, es posible señalar las siguientes características del contrato de prestación de servicios</w:t>
      </w:r>
      <w:r w:rsidRPr="008B39C7">
        <w:rPr>
          <w:rFonts w:ascii="Verdana" w:hAnsi="Verdana" w:cs="Arial"/>
          <w:noProof/>
          <w:lang w:val="es-ES_tradnl"/>
        </w:rPr>
        <w:t>:</w:t>
      </w:r>
    </w:p>
    <w:p w14:paraId="0C0C53BE" w14:textId="77777777" w:rsidR="00491AD3" w:rsidRPr="00E4307F" w:rsidRDefault="00491AD3" w:rsidP="00491AD3">
      <w:pPr>
        <w:spacing w:after="120"/>
        <w:ind w:firstLine="709"/>
        <w:jc w:val="both"/>
        <w:rPr>
          <w:rFonts w:ascii="Verdana" w:hAnsi="Verdana" w:cs="Arial"/>
          <w:noProof/>
          <w:lang w:val="es-ES_tradnl"/>
        </w:rPr>
      </w:pPr>
      <w:r w:rsidRPr="00E4307F">
        <w:rPr>
          <w:rFonts w:ascii="Verdana" w:hAnsi="Verdana" w:cs="Arial"/>
          <w:noProof/>
          <w:lang w:val="es-ES_tradnl"/>
        </w:rPr>
        <w:t>i) Solo puede celebrarse para realizar “actividades relacionadas con la administración o funcionamiento de la entidad”, es decir, que hagan parte de su giro ordinario o quehacer cotidiano.</w:t>
      </w:r>
    </w:p>
    <w:p w14:paraId="4FF54470" w14:textId="77777777" w:rsidR="00491AD3" w:rsidRPr="00E4307F" w:rsidRDefault="00491AD3" w:rsidP="00491AD3">
      <w:pPr>
        <w:spacing w:after="120"/>
        <w:ind w:firstLine="709"/>
        <w:jc w:val="both"/>
        <w:rPr>
          <w:rFonts w:ascii="Verdana" w:hAnsi="Verdana" w:cs="Arial"/>
          <w:noProof/>
          <w:lang w:val="es-ES_tradnl"/>
        </w:rPr>
      </w:pPr>
      <w:r w:rsidRPr="00E4307F">
        <w:rPr>
          <w:rFonts w:ascii="Verdana" w:hAnsi="Verdana" w:cs="Arial"/>
          <w:noProof/>
          <w:lang w:val="es-ES_tradnl"/>
        </w:rPr>
        <w:t>ii) Respecto del tipo de personas que pueden ser contratadas, admite que se suscriba con personas naturales o jurídicas. Sin embargo, en cualquier caso, la entidad estatal debe justificar, en los estudios previos, que las actividades “no puedan realizarse con personal de planta o requieran conocimientos especializados”.</w:t>
      </w:r>
      <w:r w:rsidRPr="00E4307F">
        <w:rPr>
          <w:rStyle w:val="Refdenotaalpie"/>
          <w:rFonts w:ascii="Verdana" w:hAnsi="Verdana" w:cs="Arial"/>
          <w:noProof/>
          <w:lang w:val="es-ES_tradnl"/>
        </w:rPr>
        <w:footnoteReference w:id="6"/>
      </w:r>
      <w:r w:rsidRPr="00E4307F">
        <w:rPr>
          <w:rFonts w:ascii="Verdana" w:hAnsi="Verdana" w:cs="Arial"/>
          <w:noProof/>
          <w:lang w:val="es-ES_tradnl"/>
        </w:rPr>
        <w:t xml:space="preserve"> </w:t>
      </w:r>
    </w:p>
    <w:p w14:paraId="0F4F612B" w14:textId="77777777" w:rsidR="00491AD3" w:rsidRPr="00CE71BD" w:rsidRDefault="00491AD3" w:rsidP="00491AD3">
      <w:pPr>
        <w:tabs>
          <w:tab w:val="left" w:pos="0"/>
        </w:tabs>
        <w:spacing w:after="120" w:line="276" w:lineRule="auto"/>
        <w:jc w:val="both"/>
        <w:rPr>
          <w:rFonts w:ascii="Verdana" w:hAnsi="Verdana" w:cs="Arial"/>
          <w:color w:val="000000" w:themeColor="text1"/>
          <w:lang w:val="es-ES_tradnl"/>
        </w:rPr>
      </w:pPr>
      <w:r>
        <w:rPr>
          <w:rFonts w:ascii="Verdana" w:hAnsi="Verdana" w:cs="Arial"/>
          <w:noProof/>
          <w:lang w:val="es-ES_tradnl"/>
        </w:rPr>
        <w:tab/>
      </w:r>
      <w:r w:rsidRPr="00CE71BD">
        <w:rPr>
          <w:rFonts w:ascii="Verdana" w:hAnsi="Verdana"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CE71BD">
        <w:rPr>
          <w:rFonts w:ascii="Verdana" w:hAnsi="Verdana" w:cs="Arial"/>
          <w:i/>
          <w:noProof/>
          <w:lang w:val="es-ES_tradnl"/>
        </w:rPr>
        <w:t xml:space="preserve">subordinación </w:t>
      </w:r>
      <w:r w:rsidRPr="00CE71BD">
        <w:rPr>
          <w:rFonts w:ascii="Verdana" w:hAnsi="Verdana" w:cs="Arial"/>
          <w:iCs/>
          <w:noProof/>
          <w:lang w:val="es-ES_tradnl"/>
        </w:rPr>
        <w:t>ni</w:t>
      </w:r>
      <w:r w:rsidRPr="00CE71BD">
        <w:rPr>
          <w:rFonts w:ascii="Verdana" w:hAnsi="Verdana" w:cs="Arial"/>
          <w:i/>
          <w:noProof/>
          <w:lang w:val="es-ES_tradnl"/>
        </w:rPr>
        <w:t xml:space="preserve"> dependencia</w:t>
      </w:r>
      <w:r w:rsidRPr="00CE71BD">
        <w:rPr>
          <w:rFonts w:ascii="Verdana" w:hAnsi="Verdana" w:cs="Arial"/>
          <w:iCs/>
          <w:noProof/>
          <w:lang w:val="es-ES_tradnl"/>
        </w:rPr>
        <w:t>,</w:t>
      </w:r>
      <w:r w:rsidRPr="00CE71BD">
        <w:rPr>
          <w:rFonts w:ascii="Verdana" w:hAnsi="Verdana" w:cs="Arial"/>
          <w:noProof/>
          <w:lang w:val="es-ES_tradnl"/>
        </w:rPr>
        <w:t xml:space="preserve"> que es uno de los elementos constitutivos del vínculo laboral</w:t>
      </w:r>
      <w:r w:rsidRPr="00CE71BD">
        <w:rPr>
          <w:rFonts w:ascii="Verdana" w:hAnsi="Verdana"/>
          <w:noProof/>
          <w:vertAlign w:val="superscript"/>
          <w:lang w:val="es-ES_tradnl"/>
        </w:rPr>
        <w:footnoteReference w:id="7"/>
      </w:r>
      <w:r w:rsidRPr="00CE71BD">
        <w:rPr>
          <w:rFonts w:ascii="Verdana" w:hAnsi="Verdana"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CE71BD">
        <w:rPr>
          <w:rFonts w:ascii="Verdana" w:hAnsi="Verdana" w:cs="Arial"/>
          <w:i/>
          <w:noProof/>
          <w:lang w:val="es-ES_tradnl"/>
        </w:rPr>
        <w:t>no pueden</w:t>
      </w:r>
      <w:r w:rsidRPr="00CE71BD">
        <w:rPr>
          <w:rFonts w:ascii="Verdana" w:hAnsi="Verdana"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w:t>
      </w:r>
      <w:r w:rsidRPr="00CE71BD">
        <w:rPr>
          <w:rFonts w:ascii="Verdana" w:hAnsi="Verdana" w:cs="Arial"/>
          <w:noProof/>
          <w:lang w:val="es-ES_tradnl"/>
        </w:rPr>
        <w:lastRenderedPageBreak/>
        <w:t>seguridad social– debe cotizar por su cuenta y riesgo al Sistema de Seguridad Social Integral</w:t>
      </w:r>
      <w:r w:rsidRPr="00CE71BD">
        <w:rPr>
          <w:rFonts w:ascii="Verdana" w:hAnsi="Verdana"/>
          <w:noProof/>
          <w:vertAlign w:val="superscript"/>
          <w:lang w:val="es-ES_tradnl"/>
        </w:rPr>
        <w:footnoteReference w:id="8"/>
      </w:r>
      <w:r w:rsidRPr="00CE71BD">
        <w:rPr>
          <w:rFonts w:ascii="Verdana" w:hAnsi="Verdana" w:cs="Arial"/>
          <w:noProof/>
          <w:lang w:val="es-ES_tradnl"/>
        </w:rPr>
        <w:t xml:space="preserve">. </w:t>
      </w:r>
    </w:p>
    <w:p w14:paraId="734F7859" w14:textId="77777777" w:rsidR="00491AD3" w:rsidRPr="00CE71BD" w:rsidRDefault="00491AD3" w:rsidP="00491AD3">
      <w:pPr>
        <w:tabs>
          <w:tab w:val="left" w:pos="0"/>
        </w:tabs>
        <w:spacing w:after="120" w:line="276" w:lineRule="auto"/>
        <w:jc w:val="both"/>
        <w:rPr>
          <w:rFonts w:ascii="Verdana" w:hAnsi="Verdana" w:cs="Arial"/>
          <w:color w:val="000000" w:themeColor="text1"/>
          <w:lang w:val="es-ES_tradnl"/>
        </w:rPr>
      </w:pPr>
      <w:r w:rsidRPr="00CE71BD">
        <w:rPr>
          <w:rFonts w:ascii="Verdana" w:hAnsi="Verdana" w:cs="Arial"/>
          <w:noProof/>
          <w:lang w:val="es-ES_tradnl"/>
        </w:rPr>
        <w:tab/>
        <w:t>iv) Deben ser temporales. La mencionada Sentencia de Unificacion Jurisprudencial del Consejo de Estado, frente a la duración del contrato de prestación de servicios señaló que solo puede 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14:paraId="4AC8E458" w14:textId="77777777" w:rsidR="00491AD3" w:rsidRPr="008B39C7" w:rsidRDefault="00491AD3" w:rsidP="00491AD3">
      <w:pPr>
        <w:pStyle w:val="Prrafodelista"/>
        <w:numPr>
          <w:ilvl w:val="0"/>
          <w:numId w:val="14"/>
        </w:numPr>
        <w:tabs>
          <w:tab w:val="left" w:pos="0"/>
        </w:tabs>
        <w:spacing w:after="120" w:line="276" w:lineRule="auto"/>
        <w:jc w:val="both"/>
        <w:rPr>
          <w:rFonts w:ascii="Verdana" w:hAnsi="Verdana" w:cs="Arial"/>
          <w:noProof/>
          <w:lang w:val="es-ES_tradnl"/>
        </w:rPr>
      </w:pPr>
      <w:r w:rsidRPr="008B39C7">
        <w:rPr>
          <w:rFonts w:ascii="Verdana" w:hAnsi="Verdana" w:cs="Arial"/>
          <w:lang w:val="es-MX"/>
        </w:rPr>
        <w:t xml:space="preserve">De igual manera, señaló que “no cabe su empleo para la cobertura indefinida de necesidades permanentes o recurrentes”. </w:t>
      </w:r>
      <w:r w:rsidRPr="008B39C7">
        <w:rPr>
          <w:rFonts w:ascii="Verdana" w:hAnsi="Verdana" w:cs="Arial"/>
          <w:noProof/>
          <w:lang w:val="es-ES_tradnl"/>
        </w:rPr>
        <w:t>En sentido similar se manifestó la Corte Constitucional en la sentencia C-154 de 1997, expresando que:</w:t>
      </w:r>
    </w:p>
    <w:p w14:paraId="17ECE11B" w14:textId="77777777" w:rsidR="00491AD3" w:rsidRPr="00CE71BD" w:rsidRDefault="00491AD3" w:rsidP="00491AD3">
      <w:pPr>
        <w:tabs>
          <w:tab w:val="left" w:pos="0"/>
        </w:tabs>
        <w:spacing w:after="0" w:line="276" w:lineRule="auto"/>
        <w:ind w:left="709" w:right="709"/>
        <w:jc w:val="both"/>
        <w:rPr>
          <w:rFonts w:ascii="Verdana" w:hAnsi="Verdana" w:cs="Arial"/>
          <w:noProof/>
          <w:sz w:val="20"/>
          <w:szCs w:val="20"/>
          <w:lang w:val="es-ES_tradnl"/>
        </w:rPr>
      </w:pPr>
      <w:r w:rsidRPr="00CE71BD">
        <w:rPr>
          <w:rFonts w:ascii="Verdana" w:eastAsia="Yu Gothic UI Semibold" w:hAnsi="Verdana" w:cs="Arial"/>
          <w:iCs/>
          <w:sz w:val="20"/>
          <w:szCs w:val="20"/>
          <w:lang w:eastAsia="es-MX"/>
        </w:rPr>
        <w:t>“</w:t>
      </w:r>
      <w:r w:rsidRPr="00CE71BD">
        <w:rPr>
          <w:rFonts w:ascii="Verdana" w:hAnsi="Verdana" w:cs="Arial"/>
          <w:noProof/>
          <w:sz w:val="20"/>
          <w:szCs w:val="20"/>
          <w:lang w:val="es-ES_tradnl"/>
        </w:rPr>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w:t>
      </w:r>
      <w:r w:rsidRPr="00CE71BD">
        <w:rPr>
          <w:rFonts w:ascii="Verdana" w:hAnsi="Verdana" w:cs="Arial"/>
          <w:noProof/>
          <w:sz w:val="20"/>
          <w:szCs w:val="20"/>
          <w:lang w:val="es-ES_tradnl"/>
        </w:rPr>
        <w:lastRenderedPageBreak/>
        <w:t>contemplado en la respectiva planta y previstos sus emolumentos en el presupuesto correspondiente”</w:t>
      </w:r>
      <w:r w:rsidRPr="00CE71BD">
        <w:rPr>
          <w:rFonts w:ascii="Verdana" w:hAnsi="Verdana"/>
          <w:noProof/>
          <w:sz w:val="20"/>
          <w:szCs w:val="20"/>
          <w:vertAlign w:val="superscript"/>
          <w:lang w:val="es-ES_tradnl"/>
        </w:rPr>
        <w:footnoteReference w:id="9"/>
      </w:r>
      <w:r w:rsidRPr="00CE71BD">
        <w:rPr>
          <w:rFonts w:ascii="Verdana" w:hAnsi="Verdana" w:cs="Arial"/>
          <w:noProof/>
          <w:sz w:val="20"/>
          <w:szCs w:val="20"/>
          <w:lang w:val="es-ES_tradnl"/>
        </w:rPr>
        <w:t>.</w:t>
      </w:r>
    </w:p>
    <w:p w14:paraId="75849A2E" w14:textId="77777777" w:rsidR="00491AD3" w:rsidRPr="00CE71BD" w:rsidRDefault="00491AD3" w:rsidP="00491AD3">
      <w:pPr>
        <w:pStyle w:val="Prrafodelista"/>
        <w:tabs>
          <w:tab w:val="left" w:pos="0"/>
        </w:tabs>
        <w:spacing w:after="0" w:line="276" w:lineRule="auto"/>
        <w:ind w:left="1440"/>
        <w:jc w:val="both"/>
        <w:rPr>
          <w:rFonts w:ascii="Verdana" w:hAnsi="Verdana" w:cs="Arial"/>
          <w:noProof/>
          <w:lang w:val="es-ES_tradnl"/>
        </w:rPr>
      </w:pPr>
    </w:p>
    <w:p w14:paraId="7B1BBA96" w14:textId="77777777" w:rsidR="00491AD3" w:rsidRPr="00CE71BD" w:rsidRDefault="00491AD3" w:rsidP="00491AD3">
      <w:pPr>
        <w:tabs>
          <w:tab w:val="left" w:pos="0"/>
        </w:tabs>
        <w:spacing w:after="120" w:line="276" w:lineRule="auto"/>
        <w:jc w:val="both"/>
        <w:rPr>
          <w:rFonts w:ascii="Verdana" w:eastAsia="Calibri" w:hAnsi="Verdana" w:cs="Arial"/>
          <w:color w:val="000000" w:themeColor="text1"/>
          <w:lang w:val="es-ES_tradnl"/>
        </w:rPr>
      </w:pPr>
      <w:r w:rsidRPr="00CE71BD">
        <w:rPr>
          <w:rFonts w:ascii="Verdana" w:hAnsi="Verdana" w:cs="Arial"/>
          <w:noProof/>
          <w:lang w:val="es-ES_tradnl"/>
        </w:rPr>
        <w:tab/>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CE71BD">
        <w:rPr>
          <w:rFonts w:ascii="Verdana" w:hAnsi="Verdana"/>
          <w:noProof/>
          <w:vertAlign w:val="superscript"/>
          <w:lang w:val="es-ES_tradnl"/>
        </w:rPr>
        <w:footnoteReference w:id="10"/>
      </w:r>
      <w:r w:rsidRPr="00CE71BD">
        <w:rPr>
          <w:rFonts w:ascii="Verdana" w:hAnsi="Verdana" w:cs="Arial"/>
          <w:noProof/>
          <w:lang w:val="es-ES_tradnl"/>
        </w:rPr>
        <w:t>. Esto también se deriva d</w:t>
      </w:r>
      <w:r w:rsidRPr="00CE71BD">
        <w:rPr>
          <w:rFonts w:ascii="Verdana" w:eastAsia="Calibri" w:hAnsi="Verdana" w:cs="Arial"/>
          <w:color w:val="000000" w:themeColor="text1"/>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14:paraId="71D211A3" w14:textId="77777777" w:rsidR="00491AD3" w:rsidRPr="00CE71BD" w:rsidRDefault="00491AD3" w:rsidP="00491AD3">
      <w:pPr>
        <w:tabs>
          <w:tab w:val="left" w:pos="0"/>
        </w:tabs>
        <w:spacing w:after="120" w:line="276" w:lineRule="auto"/>
        <w:jc w:val="both"/>
        <w:rPr>
          <w:rFonts w:ascii="Verdana" w:hAnsi="Verdana" w:cs="Arial"/>
          <w:color w:val="000000" w:themeColor="text1"/>
          <w:lang w:val="es-ES_tradnl"/>
        </w:rPr>
      </w:pPr>
      <w:r w:rsidRPr="00CE71BD">
        <w:rPr>
          <w:rFonts w:ascii="Verdana" w:hAnsi="Verdana" w:cs="Arial"/>
          <w:noProof/>
          <w:lang w:val="es-ES_tradnl"/>
        </w:rPr>
        <w:tab/>
        <w:t>vi) Para su celebración no se requiere expedir un acto administrativo de justificación de la contratación directa</w:t>
      </w:r>
      <w:r w:rsidRPr="00CE71BD">
        <w:rPr>
          <w:rFonts w:ascii="Verdana" w:hAnsi="Verdana"/>
          <w:noProof/>
          <w:vertAlign w:val="superscript"/>
          <w:lang w:val="es-ES_tradnl"/>
        </w:rPr>
        <w:footnoteReference w:id="11"/>
      </w:r>
      <w:r w:rsidRPr="00CE71BD">
        <w:rPr>
          <w:rFonts w:ascii="Verdana" w:hAnsi="Verdana" w:cs="Arial"/>
          <w:noProof/>
          <w:lang w:val="es-ES_tradnl"/>
        </w:rPr>
        <w:t>.</w:t>
      </w:r>
    </w:p>
    <w:p w14:paraId="22FB91E1" w14:textId="77777777" w:rsidR="00491AD3" w:rsidRPr="00CE71BD" w:rsidRDefault="00491AD3" w:rsidP="00491AD3">
      <w:pPr>
        <w:tabs>
          <w:tab w:val="left" w:pos="0"/>
        </w:tabs>
        <w:spacing w:after="120" w:line="276" w:lineRule="auto"/>
        <w:jc w:val="both"/>
        <w:rPr>
          <w:rFonts w:ascii="Verdana" w:hAnsi="Verdana" w:cs="Arial"/>
          <w:color w:val="000000" w:themeColor="text1"/>
          <w:lang w:val="es-ES_tradnl"/>
        </w:rPr>
      </w:pPr>
      <w:r w:rsidRPr="00CE71BD">
        <w:rPr>
          <w:rFonts w:ascii="Verdana" w:hAnsi="Verdana" w:cs="Arial"/>
          <w:noProof/>
          <w:lang w:val="es-ES_tradnl"/>
        </w:rPr>
        <w:tab/>
        <w:t xml:space="preserve">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w:t>
      </w:r>
      <w:r w:rsidRPr="00CE71BD">
        <w:rPr>
          <w:rFonts w:ascii="Verdana" w:hAnsi="Verdana" w:cs="Arial"/>
          <w:noProof/>
          <w:lang w:val="es-ES_tradnl"/>
        </w:rPr>
        <w:lastRenderedPageBreak/>
        <w:t>expresamente, porque no se entienden pactadas como cláusula de la naturaleza. Así se infiere del artículo 14, numeral 2º, de la Ley 80 de 1993</w:t>
      </w:r>
      <w:r w:rsidRPr="00CE71BD">
        <w:rPr>
          <w:rFonts w:ascii="Verdana" w:hAnsi="Verdana"/>
          <w:noProof/>
          <w:vertAlign w:val="superscript"/>
          <w:lang w:val="es-ES_tradnl"/>
        </w:rPr>
        <w:footnoteReference w:id="12"/>
      </w:r>
      <w:r w:rsidRPr="00CE71BD">
        <w:rPr>
          <w:rFonts w:ascii="Verdana" w:hAnsi="Verdana" w:cs="Arial"/>
          <w:noProof/>
          <w:lang w:val="es-ES_tradnl"/>
        </w:rPr>
        <w:t>.</w:t>
      </w:r>
    </w:p>
    <w:p w14:paraId="28181B5D" w14:textId="77777777" w:rsidR="00491AD3" w:rsidRPr="00CE71BD" w:rsidRDefault="00491AD3" w:rsidP="00491AD3">
      <w:pPr>
        <w:tabs>
          <w:tab w:val="left" w:pos="0"/>
        </w:tabs>
        <w:spacing w:after="120" w:line="276" w:lineRule="auto"/>
        <w:jc w:val="both"/>
        <w:rPr>
          <w:rFonts w:ascii="Verdana" w:hAnsi="Verdana" w:cs="Arial"/>
          <w:color w:val="000000" w:themeColor="text1"/>
          <w:lang w:val="es-ES_tradnl"/>
        </w:rPr>
      </w:pPr>
      <w:r w:rsidRPr="00CE71BD">
        <w:rPr>
          <w:rFonts w:ascii="Verdana" w:hAnsi="Verdana" w:cs="Arial"/>
          <w:noProof/>
          <w:lang w:val="es-ES_tradnl"/>
        </w:rPr>
        <w:tab/>
        <w:t>viii) No es obligatoria la liquidación de estos contratos, como lo establece el artículo 217 del Decreto 019 de 2012, que modificó el artículo 60 de la Ley 80 de 1993</w:t>
      </w:r>
      <w:r w:rsidRPr="00CE71BD">
        <w:rPr>
          <w:rFonts w:ascii="Verdana" w:hAnsi="Verdana"/>
          <w:noProof/>
          <w:vertAlign w:val="superscript"/>
          <w:lang w:val="es-ES_tradnl"/>
        </w:rPr>
        <w:footnoteReference w:id="13"/>
      </w:r>
      <w:r w:rsidRPr="00CE71BD">
        <w:rPr>
          <w:rFonts w:ascii="Verdana" w:hAnsi="Verdana" w:cs="Arial"/>
          <w:noProof/>
          <w:lang w:val="es-ES_tradnl"/>
        </w:rPr>
        <w:t>.</w:t>
      </w:r>
    </w:p>
    <w:p w14:paraId="3FDE8239" w14:textId="77777777" w:rsidR="00491AD3" w:rsidRPr="00CE71BD" w:rsidRDefault="00491AD3" w:rsidP="00491AD3">
      <w:pPr>
        <w:tabs>
          <w:tab w:val="left" w:pos="0"/>
        </w:tabs>
        <w:spacing w:after="120" w:line="276" w:lineRule="auto"/>
        <w:jc w:val="both"/>
        <w:rPr>
          <w:rFonts w:ascii="Verdana" w:hAnsi="Verdana" w:cs="Arial"/>
          <w:noProof/>
          <w:lang w:val="es-ES_tradnl"/>
        </w:rPr>
      </w:pPr>
      <w:r w:rsidRPr="00CE71BD">
        <w:rPr>
          <w:rFonts w:ascii="Verdana" w:hAnsi="Verdana" w:cs="Arial"/>
          <w:noProof/>
          <w:lang w:val="es-ES_tradnl"/>
        </w:rPr>
        <w:t xml:space="preserve"> </w:t>
      </w:r>
      <w:r w:rsidRPr="00CE71BD">
        <w:rPr>
          <w:rFonts w:ascii="Verdana" w:hAnsi="Verdana" w:cs="Arial"/>
          <w:noProof/>
          <w:lang w:val="es-ES_tradnl"/>
        </w:rPr>
        <w:tab/>
        <w:t>ix) Para su celebración el contratista no requiere estar inscrito en el Registro Único de Proponentes –en adelante RUP–, como lo señala el artículo 6 de la Ley 1150 de 2007</w:t>
      </w:r>
      <w:r w:rsidRPr="00CE71BD">
        <w:rPr>
          <w:rFonts w:ascii="Verdana" w:hAnsi="Verdana"/>
          <w:noProof/>
          <w:vertAlign w:val="superscript"/>
          <w:lang w:val="es-ES_tradnl"/>
        </w:rPr>
        <w:footnoteReference w:id="14"/>
      </w:r>
      <w:r w:rsidRPr="00CE71BD">
        <w:rPr>
          <w:rFonts w:ascii="Verdana" w:hAnsi="Verdana" w:cs="Arial"/>
          <w:noProof/>
          <w:lang w:val="es-ES_tradnl"/>
        </w:rPr>
        <w:t>.</w:t>
      </w:r>
    </w:p>
    <w:p w14:paraId="56368A77" w14:textId="77777777" w:rsidR="00491AD3" w:rsidRPr="00CE71BD" w:rsidRDefault="00491AD3" w:rsidP="00491AD3">
      <w:pPr>
        <w:tabs>
          <w:tab w:val="left" w:pos="0"/>
        </w:tabs>
        <w:spacing w:after="120" w:line="276" w:lineRule="auto"/>
        <w:jc w:val="both"/>
        <w:rPr>
          <w:rFonts w:ascii="Verdana" w:hAnsi="Verdana" w:cs="Arial"/>
          <w:color w:val="000000" w:themeColor="text1"/>
          <w:lang w:val="es-ES_tradnl"/>
        </w:rPr>
      </w:pPr>
      <w:r w:rsidRPr="00CE71BD">
        <w:rPr>
          <w:rFonts w:ascii="Verdana" w:hAnsi="Verdana" w:cs="Arial"/>
          <w:noProof/>
          <w:lang w:val="es-ES_tradnl"/>
        </w:rPr>
        <w:tab/>
        <w:t xml:space="preserve">Además de las disposiciones hasta aquí mencionadas, para celebrar contratos de prestación de servicios las Entidades Estatales deben aplicar lo dispuesto en los artículos 2.8.4.4.5 y 2.8.4.4.6 del Decreto 1068 de 2015. La última de estas disposiciones establece una restricción para la celebración de contratos de prestación de servicios de manera continua en los que se pacte contraprestación mensual superior a la del jefe de la entidad. De otra parte, el artículo 2.8.4.4.5 establece ciertas condiciones y restricciones que deben observarse, al siguiente tenor: </w:t>
      </w:r>
    </w:p>
    <w:p w14:paraId="056AD532" w14:textId="77777777" w:rsidR="00491AD3" w:rsidRPr="00CE71BD" w:rsidRDefault="00491AD3" w:rsidP="00491AD3">
      <w:pPr>
        <w:spacing w:after="120" w:line="240" w:lineRule="auto"/>
        <w:ind w:left="720" w:right="616"/>
        <w:contextualSpacing/>
        <w:jc w:val="both"/>
        <w:textAlignment w:val="baseline"/>
        <w:rPr>
          <w:rFonts w:ascii="Verdana" w:eastAsia="Calibri" w:hAnsi="Verdana" w:cs="Arial"/>
          <w:color w:val="000000" w:themeColor="text1"/>
          <w:sz w:val="20"/>
          <w:szCs w:val="20"/>
          <w:lang w:val="es-MX"/>
        </w:rPr>
      </w:pPr>
      <w:bookmarkStart w:id="1" w:name="_Hlk171942664"/>
      <w:r w:rsidRPr="00CE71BD">
        <w:rPr>
          <w:rFonts w:ascii="Verdana" w:eastAsia="Calibri" w:hAnsi="Verdana" w:cs="Arial"/>
          <w:color w:val="000000" w:themeColor="text1"/>
          <w:sz w:val="20"/>
          <w:szCs w:val="20"/>
          <w:lang w:val="es-MX"/>
        </w:rPr>
        <w:lastRenderedPageBreak/>
        <w:t xml:space="preserve">“Artículo 2.8.4.4.5. </w:t>
      </w:r>
      <w:r w:rsidRPr="00CE71BD">
        <w:rPr>
          <w:rFonts w:ascii="Verdana" w:eastAsia="Calibri" w:hAnsi="Verdana" w:cs="Arial"/>
          <w:i/>
          <w:iCs/>
          <w:color w:val="000000" w:themeColor="text1"/>
          <w:sz w:val="20"/>
          <w:szCs w:val="20"/>
          <w:lang w:val="es-MX"/>
        </w:rPr>
        <w:t>Condiciones para contratar la prestación de servicios</w:t>
      </w:r>
      <w:r w:rsidRPr="00CE71BD">
        <w:rPr>
          <w:rFonts w:ascii="Verdana" w:eastAsia="Calibri" w:hAnsi="Verdana" w:cs="Arial"/>
          <w:color w:val="000000" w:themeColor="text1"/>
          <w:sz w:val="20"/>
          <w:szCs w:val="20"/>
          <w:lang w:val="es-MX"/>
        </w:rPr>
        <w:t>. </w:t>
      </w:r>
      <w:r w:rsidRPr="00F312E3">
        <w:rPr>
          <w:rFonts w:ascii="Verdana" w:eastAsia="Calibri" w:hAnsi="Verdana" w:cs="Arial"/>
          <w:i/>
          <w:iCs/>
          <w:color w:val="000000" w:themeColor="text1"/>
          <w:sz w:val="20"/>
          <w:szCs w:val="20"/>
          <w:u w:val="single"/>
          <w:lang w:val="es-MX"/>
        </w:rPr>
        <w:t>Los contratos de prestación de servicios con personas naturales o jurídicas, sólo se podrán celebrar</w:t>
      </w:r>
      <w:r w:rsidRPr="00CE71BD">
        <w:rPr>
          <w:rFonts w:ascii="Verdana" w:eastAsia="Calibri" w:hAnsi="Verdana" w:cs="Arial"/>
          <w:color w:val="000000" w:themeColor="text1"/>
          <w:sz w:val="20"/>
          <w:szCs w:val="20"/>
          <w:lang w:val="es-MX"/>
        </w:rPr>
        <w:t xml:space="preserve"> </w:t>
      </w:r>
      <w:r w:rsidRPr="00CE71BD">
        <w:rPr>
          <w:rFonts w:ascii="Verdana" w:eastAsia="Calibri" w:hAnsi="Verdana" w:cs="Arial"/>
          <w:i/>
          <w:iCs/>
          <w:color w:val="000000" w:themeColor="text1"/>
          <w:sz w:val="20"/>
          <w:szCs w:val="20"/>
          <w:u w:val="single"/>
          <w:lang w:val="es-MX"/>
        </w:rPr>
        <w:t>cuando no exista personal de planta con capacidad para realizar las actividades que se contratarán</w:t>
      </w:r>
      <w:r w:rsidRPr="00CE71BD">
        <w:rPr>
          <w:rFonts w:ascii="Verdana" w:eastAsia="Calibri" w:hAnsi="Verdana" w:cs="Arial"/>
          <w:color w:val="000000" w:themeColor="text1"/>
          <w:sz w:val="20"/>
          <w:szCs w:val="20"/>
          <w:lang w:val="es-MX"/>
        </w:rPr>
        <w:t>. </w:t>
      </w:r>
    </w:p>
    <w:p w14:paraId="6E818A18" w14:textId="77777777" w:rsidR="00491AD3" w:rsidRPr="00CE71BD" w:rsidRDefault="00491AD3" w:rsidP="00491AD3">
      <w:pPr>
        <w:spacing w:after="120" w:line="240" w:lineRule="auto"/>
        <w:ind w:left="720" w:right="616"/>
        <w:contextualSpacing/>
        <w:jc w:val="both"/>
        <w:textAlignment w:val="baseline"/>
        <w:rPr>
          <w:rFonts w:ascii="Verdana" w:eastAsia="Calibri" w:hAnsi="Verdana" w:cs="Arial"/>
          <w:color w:val="000000" w:themeColor="text1"/>
          <w:sz w:val="20"/>
          <w:szCs w:val="20"/>
          <w:lang w:val="es-MX"/>
        </w:rPr>
      </w:pPr>
    </w:p>
    <w:p w14:paraId="7A9BBDFD" w14:textId="77777777" w:rsidR="00491AD3" w:rsidRPr="00F312E3" w:rsidRDefault="00491AD3" w:rsidP="00491AD3">
      <w:pPr>
        <w:spacing w:after="120" w:line="240" w:lineRule="auto"/>
        <w:ind w:left="720" w:right="758"/>
        <w:contextualSpacing/>
        <w:jc w:val="both"/>
        <w:textAlignment w:val="baseline"/>
        <w:rPr>
          <w:rFonts w:ascii="Verdana" w:eastAsia="Calibri" w:hAnsi="Verdana" w:cs="Arial"/>
          <w:i/>
          <w:iCs/>
          <w:color w:val="000000" w:themeColor="text1"/>
          <w:sz w:val="20"/>
          <w:szCs w:val="20"/>
          <w:u w:val="single"/>
          <w:lang w:val="es-MX"/>
        </w:rPr>
      </w:pPr>
      <w:r w:rsidRPr="00F312E3">
        <w:rPr>
          <w:rFonts w:ascii="Verdana" w:eastAsia="Calibri" w:hAnsi="Verdana" w:cs="Arial"/>
          <w:i/>
          <w:iCs/>
          <w:color w:val="000000" w:themeColor="text1"/>
          <w:sz w:val="20"/>
          <w:szCs w:val="20"/>
          <w:u w:val="single"/>
          <w:lang w:val="es-MX"/>
        </w:rPr>
        <w:t>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43D49C1B" w14:textId="77777777" w:rsidR="00491AD3" w:rsidRPr="00CE71BD" w:rsidRDefault="00491AD3" w:rsidP="00491AD3">
      <w:pPr>
        <w:spacing w:after="120" w:line="240" w:lineRule="auto"/>
        <w:ind w:left="720" w:right="758"/>
        <w:contextualSpacing/>
        <w:jc w:val="both"/>
        <w:textAlignment w:val="baseline"/>
        <w:rPr>
          <w:rFonts w:ascii="Verdana" w:eastAsia="Calibri" w:hAnsi="Verdana" w:cs="Arial"/>
          <w:color w:val="000000" w:themeColor="text1"/>
          <w:sz w:val="20"/>
          <w:szCs w:val="20"/>
          <w:lang w:val="es-MX"/>
        </w:rPr>
      </w:pPr>
    </w:p>
    <w:p w14:paraId="4E7581C3" w14:textId="77777777" w:rsidR="00491AD3" w:rsidRPr="00CE71BD" w:rsidRDefault="00491AD3" w:rsidP="00491AD3">
      <w:pPr>
        <w:spacing w:after="0" w:line="240" w:lineRule="auto"/>
        <w:ind w:left="720" w:right="758"/>
        <w:contextualSpacing/>
        <w:jc w:val="both"/>
        <w:textAlignment w:val="baseline"/>
        <w:rPr>
          <w:rFonts w:ascii="Verdana" w:eastAsia="Calibri" w:hAnsi="Verdana" w:cs="Arial"/>
          <w:color w:val="000000" w:themeColor="text1"/>
          <w:sz w:val="20"/>
          <w:szCs w:val="20"/>
          <w:lang w:val="es-MX"/>
        </w:rPr>
      </w:pPr>
      <w:r w:rsidRPr="00F312E3">
        <w:rPr>
          <w:rFonts w:ascii="Verdana" w:eastAsia="Calibri" w:hAnsi="Verdana" w:cs="Arial"/>
          <w:color w:val="000000" w:themeColor="text1"/>
          <w:sz w:val="20"/>
          <w:szCs w:val="20"/>
          <w:lang w:val="es-MX"/>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r w:rsidRPr="00CE71BD">
        <w:rPr>
          <w:rFonts w:ascii="Verdana" w:eastAsia="Calibri" w:hAnsi="Verdana" w:cs="Arial"/>
          <w:color w:val="000000" w:themeColor="text1"/>
          <w:sz w:val="20"/>
          <w:szCs w:val="20"/>
          <w:lang w:val="es-MX"/>
        </w:rPr>
        <w:t>”. [Énfasis fuera de texto].</w:t>
      </w:r>
    </w:p>
    <w:p w14:paraId="0CFFFA66" w14:textId="77777777" w:rsidR="00491AD3" w:rsidRPr="00CE71BD" w:rsidRDefault="00491AD3" w:rsidP="00491AD3">
      <w:pPr>
        <w:spacing w:after="120" w:line="276" w:lineRule="auto"/>
        <w:ind w:left="720"/>
        <w:contextualSpacing/>
        <w:jc w:val="both"/>
        <w:rPr>
          <w:rFonts w:ascii="Verdana" w:eastAsia="Calibri" w:hAnsi="Verdana" w:cs="Arial"/>
          <w:color w:val="000000" w:themeColor="text1"/>
          <w:lang w:val="es-MX"/>
        </w:rPr>
      </w:pPr>
    </w:p>
    <w:p w14:paraId="5335C563" w14:textId="77777777" w:rsidR="00491AD3" w:rsidRDefault="00491AD3" w:rsidP="00491AD3">
      <w:pPr>
        <w:pStyle w:val="Prrafodelista"/>
        <w:numPr>
          <w:ilvl w:val="0"/>
          <w:numId w:val="14"/>
        </w:numPr>
        <w:spacing w:after="120" w:line="276" w:lineRule="auto"/>
        <w:ind w:right="51"/>
        <w:jc w:val="both"/>
        <w:textAlignment w:val="baseline"/>
        <w:rPr>
          <w:rFonts w:ascii="Verdana" w:eastAsia="Calibri" w:hAnsi="Verdana" w:cs="Arial"/>
          <w:color w:val="000000" w:themeColor="text1"/>
          <w:lang w:val="es-MX"/>
        </w:rPr>
      </w:pPr>
      <w:bookmarkStart w:id="2" w:name="_Hlk69119210"/>
      <w:r w:rsidRPr="008B39C7">
        <w:rPr>
          <w:rFonts w:ascii="Verdana" w:eastAsia="Calibri" w:hAnsi="Verdana" w:cs="Arial"/>
          <w:color w:val="000000" w:themeColor="text1"/>
          <w:lang w:val="es-MX"/>
        </w:rPr>
        <w:t xml:space="preserve">Conforme se desprende del primer inciso de la norma transcrita, solo resulta posible la celebrar contratos de prestación con personas naturales o jurídicas cuando la Entidad Estatal contratante no tiene personal de planta que pueda ejecutar las actividades que son materia de contratación. En concordancia con esto, el segundo inciso del artículo en cita establece los criterios en atención a las cuales se considera que una Entidad Estatal no tiene personal de planta para asumir determinadas actividades que deben ser proveídas a través de la tipología contractual contemplada en el numeral 3° del artículo 32 de la Ley 80 de 1993. </w:t>
      </w:r>
    </w:p>
    <w:p w14:paraId="50E258DB" w14:textId="77777777" w:rsidR="00491AD3" w:rsidRDefault="00491AD3" w:rsidP="00491AD3">
      <w:pPr>
        <w:pStyle w:val="Prrafodelista"/>
        <w:numPr>
          <w:ilvl w:val="0"/>
          <w:numId w:val="14"/>
        </w:numPr>
        <w:spacing w:after="120" w:line="276" w:lineRule="auto"/>
        <w:ind w:right="51"/>
        <w:jc w:val="both"/>
        <w:textAlignment w:val="baseline"/>
        <w:rPr>
          <w:rFonts w:ascii="Verdana" w:eastAsia="Calibri" w:hAnsi="Verdana" w:cs="Arial"/>
          <w:color w:val="000000" w:themeColor="text1"/>
          <w:lang w:val="es-MX"/>
        </w:rPr>
      </w:pPr>
      <w:r w:rsidRPr="008B39C7">
        <w:rPr>
          <w:rFonts w:ascii="Verdana" w:eastAsia="Calibri" w:hAnsi="Verdana" w:cs="Arial"/>
          <w:color w:val="000000" w:themeColor="text1"/>
          <w:lang w:val="es-MX"/>
        </w:rPr>
        <w:t xml:space="preserve">Al respecto establece tres supuestos alternativos: </w:t>
      </w:r>
    </w:p>
    <w:p w14:paraId="1677A6FF" w14:textId="77777777" w:rsidR="00491AD3" w:rsidRDefault="00491AD3" w:rsidP="00491AD3">
      <w:pPr>
        <w:pStyle w:val="Prrafodelista"/>
        <w:numPr>
          <w:ilvl w:val="0"/>
          <w:numId w:val="15"/>
        </w:numPr>
        <w:spacing w:after="120" w:line="276" w:lineRule="auto"/>
        <w:ind w:right="51"/>
        <w:jc w:val="both"/>
        <w:textAlignment w:val="baseline"/>
        <w:rPr>
          <w:rFonts w:ascii="Verdana" w:eastAsia="Calibri" w:hAnsi="Verdana" w:cs="Arial"/>
          <w:color w:val="000000" w:themeColor="text1"/>
          <w:lang w:val="es-MX"/>
        </w:rPr>
      </w:pPr>
      <w:r w:rsidRPr="008B39C7">
        <w:rPr>
          <w:rFonts w:ascii="Verdana" w:eastAsia="Calibri" w:hAnsi="Verdana" w:cs="Arial"/>
          <w:color w:val="000000" w:themeColor="text1"/>
          <w:lang w:val="es-MX"/>
        </w:rPr>
        <w:t xml:space="preserve">Cuando de acuerdo con los manuales específicos, no existe personal que pueda desarrollar la actividad para la cual se requiere contrata; </w:t>
      </w:r>
    </w:p>
    <w:p w14:paraId="074E4B86" w14:textId="77777777" w:rsidR="00491AD3" w:rsidRDefault="00491AD3" w:rsidP="00491AD3">
      <w:pPr>
        <w:pStyle w:val="Prrafodelista"/>
        <w:numPr>
          <w:ilvl w:val="0"/>
          <w:numId w:val="15"/>
        </w:numPr>
        <w:spacing w:after="120" w:line="276" w:lineRule="auto"/>
        <w:ind w:right="51"/>
        <w:jc w:val="both"/>
        <w:textAlignment w:val="baseline"/>
        <w:rPr>
          <w:rFonts w:ascii="Verdana" w:eastAsia="Calibri" w:hAnsi="Verdana" w:cs="Arial"/>
          <w:color w:val="000000" w:themeColor="text1"/>
          <w:lang w:val="es-MX"/>
        </w:rPr>
      </w:pPr>
      <w:r w:rsidRPr="008B39C7">
        <w:rPr>
          <w:rFonts w:ascii="Verdana" w:eastAsia="Calibri" w:hAnsi="Verdana" w:cs="Arial"/>
          <w:color w:val="000000" w:themeColor="text1"/>
          <w:lang w:val="es-MX"/>
        </w:rPr>
        <w:t xml:space="preserve">cuando el desarrollo de la actividad requiere un grado de especialización que implica la contratación del servicio; y </w:t>
      </w:r>
    </w:p>
    <w:p w14:paraId="61B400B6" w14:textId="77777777" w:rsidR="00491AD3" w:rsidRPr="008B39C7" w:rsidRDefault="00491AD3" w:rsidP="00491AD3">
      <w:pPr>
        <w:pStyle w:val="Prrafodelista"/>
        <w:numPr>
          <w:ilvl w:val="0"/>
          <w:numId w:val="15"/>
        </w:numPr>
        <w:spacing w:after="120" w:line="276" w:lineRule="auto"/>
        <w:ind w:right="51"/>
        <w:jc w:val="both"/>
        <w:textAlignment w:val="baseline"/>
        <w:rPr>
          <w:rFonts w:ascii="Verdana" w:eastAsia="Calibri" w:hAnsi="Verdana" w:cs="Arial"/>
          <w:color w:val="000000" w:themeColor="text1"/>
          <w:lang w:val="es-MX"/>
        </w:rPr>
      </w:pPr>
      <w:r w:rsidRPr="008B39C7">
        <w:rPr>
          <w:rFonts w:ascii="Verdana" w:eastAsia="Calibri" w:hAnsi="Verdana" w:cs="Arial"/>
          <w:color w:val="000000" w:themeColor="text1"/>
          <w:lang w:val="es-MX"/>
        </w:rPr>
        <w:lastRenderedPageBreak/>
        <w:t xml:space="preserve"> cuando el desarrollo de la actividad requiere un grado de especialización que implica la contratación del servicio. En caso de que se configure alguno de estos supuestos, la Entidad Estatal podrá certificar la inexistencia o insuficiencia de personal y proceder a la celebración del contrato de prestación de servicios. </w:t>
      </w:r>
    </w:p>
    <w:p w14:paraId="518C2653" w14:textId="77777777" w:rsidR="00491AD3" w:rsidRPr="008B39C7" w:rsidRDefault="00491AD3" w:rsidP="00491AD3">
      <w:pPr>
        <w:pStyle w:val="Prrafodelista"/>
        <w:numPr>
          <w:ilvl w:val="0"/>
          <w:numId w:val="14"/>
        </w:numPr>
        <w:spacing w:after="120" w:line="276" w:lineRule="auto"/>
        <w:ind w:right="51"/>
        <w:jc w:val="both"/>
        <w:textAlignment w:val="baseline"/>
        <w:rPr>
          <w:rFonts w:ascii="Verdana" w:eastAsia="Calibri" w:hAnsi="Verdana" w:cs="Arial"/>
          <w:color w:val="000000" w:themeColor="text1"/>
          <w:lang w:val="es-MX"/>
        </w:rPr>
      </w:pPr>
      <w:r w:rsidRPr="008B39C7">
        <w:rPr>
          <w:rFonts w:ascii="Verdana" w:eastAsia="Calibri" w:hAnsi="Verdana" w:cs="Arial"/>
          <w:color w:val="000000" w:themeColor="text1"/>
          <w:lang w:val="es-MX"/>
        </w:rPr>
        <w:t xml:space="preserve">De otra parte, el tercer inciso del artículo 2.8.4.4.5 del Decreto 1068 de 2015 establece una restricción en virtud de la cual, en principio, no resulta posible celebrar nuevos contratos de prestación de servicios, cuando la Entidad Estatal tiene vigentes relaciones contractuales vigentes de cualquier índole con un objeto igual al del contrato que se pretende suscribir. Esto supone una especial carga argumentativa en la justificación de la necesidad, en procura de velar por una planeación adecuada de la contratación de prestación de servicios, de manera que no exista una pluralidad de contratistas vinculados a la Entidad Estatal para la prestación de los mismos servicios. </w:t>
      </w:r>
    </w:p>
    <w:p w14:paraId="08A720B0" w14:textId="77777777" w:rsidR="00491AD3" w:rsidRPr="008B39C7" w:rsidRDefault="00491AD3" w:rsidP="00491AD3">
      <w:pPr>
        <w:pStyle w:val="Prrafodelista"/>
        <w:numPr>
          <w:ilvl w:val="0"/>
          <w:numId w:val="14"/>
        </w:numPr>
        <w:spacing w:after="120" w:line="276" w:lineRule="auto"/>
        <w:ind w:right="51"/>
        <w:jc w:val="both"/>
        <w:textAlignment w:val="baseline"/>
        <w:rPr>
          <w:rFonts w:ascii="Verdana" w:eastAsia="Calibri" w:hAnsi="Verdana" w:cs="Arial"/>
          <w:color w:val="000000" w:themeColor="text1"/>
          <w:lang w:val="es-MX"/>
        </w:rPr>
      </w:pPr>
      <w:r w:rsidRPr="008B39C7">
        <w:rPr>
          <w:rFonts w:ascii="Verdana" w:eastAsia="Calibri" w:hAnsi="Verdana" w:cs="Arial"/>
          <w:color w:val="000000" w:themeColor="text1"/>
          <w:lang w:val="es-MX"/>
        </w:rPr>
        <w:t xml:space="preserve">Sin perjuicio de lo anterior, el tercer inciso del artículo 2.8.4.4.5 establece como regla excepcional la posibilidad que se celebren nuevos contratos de prestación de servicios, a pesar de la vigencia de relaciones contractual con objetos similares, condicionando ello a la autorización expresa del jefe del respectivo órgano, ente o entidad contratante. Además del carácter expreso que debe tener dicha autorización, esta debe realizar con sustento en </w:t>
      </w:r>
      <w:r w:rsidRPr="008B39C7">
        <w:rPr>
          <w:rFonts w:ascii="Verdana" w:eastAsia="Calibri" w:hAnsi="Verdana" w:cs="Arial"/>
          <w:color w:val="000000" w:themeColor="text1"/>
        </w:rPr>
        <w:t xml:space="preserve">sustentación sobre las especiales características y necesidades técnicas de las contrataciones a realizar, en virtud las cuales se hace necesario que los servicios sean prestados a través de más de una relación contractual. </w:t>
      </w:r>
      <w:r w:rsidRPr="008B39C7">
        <w:rPr>
          <w:rFonts w:ascii="Verdana" w:eastAsia="Calibri" w:hAnsi="Verdana" w:cs="Arial"/>
          <w:color w:val="000000" w:themeColor="text1"/>
          <w:lang w:val="es-MX"/>
        </w:rPr>
        <w:t xml:space="preserve"> </w:t>
      </w:r>
    </w:p>
    <w:p w14:paraId="0E9DADF2" w14:textId="77777777" w:rsidR="00491AD3" w:rsidRPr="008B39C7" w:rsidRDefault="00491AD3" w:rsidP="00491AD3">
      <w:pPr>
        <w:pStyle w:val="Prrafodelista"/>
        <w:numPr>
          <w:ilvl w:val="0"/>
          <w:numId w:val="14"/>
        </w:numPr>
        <w:spacing w:after="120" w:line="276" w:lineRule="auto"/>
        <w:jc w:val="both"/>
        <w:rPr>
          <w:rFonts w:ascii="Verdana" w:eastAsia="Calibri" w:hAnsi="Verdana" w:cs="Arial"/>
          <w:color w:val="000000" w:themeColor="text1"/>
          <w:lang w:val="es-MX"/>
        </w:rPr>
      </w:pPr>
      <w:r w:rsidRPr="008B39C7">
        <w:rPr>
          <w:rFonts w:ascii="Verdana" w:eastAsia="Calibri" w:hAnsi="Verdana" w:cs="Arial"/>
          <w:color w:val="000000" w:themeColor="text1"/>
        </w:rPr>
        <w:t xml:space="preserve">De acuerdo con lo explicado, </w:t>
      </w:r>
      <w:r w:rsidRPr="008B39C7">
        <w:rPr>
          <w:rStyle w:val="normaltextrun"/>
          <w:rFonts w:ascii="Verdana" w:hAnsi="Verdana" w:cs="Arial"/>
          <w:color w:val="000000"/>
        </w:rPr>
        <w:t xml:space="preserve">el </w:t>
      </w:r>
      <w:r w:rsidRPr="008B39C7">
        <w:rPr>
          <w:rFonts w:ascii="Verdana" w:eastAsia="Calibri" w:hAnsi="Verdana" w:cs="Arial"/>
          <w:color w:val="000000" w:themeColor="text1"/>
          <w:lang w:val="es-MX"/>
        </w:rPr>
        <w:t xml:space="preserve">artículo 2.8.4.4.5 del Decreto 1068 de 2015, reglamenta la tipología contractual establecida en el numeral 3° del artículo 32 de la Ley 80 de 1993, disposición legal que condiciona la celebración de contratos de prestación de servicios a los eventos en que las </w:t>
      </w:r>
      <w:r w:rsidRPr="008B39C7">
        <w:rPr>
          <w:rFonts w:ascii="Verdana" w:eastAsia="Calibri" w:hAnsi="Verdana" w:cs="Arial"/>
          <w:color w:val="000000" w:themeColor="text1"/>
        </w:rPr>
        <w:t xml:space="preserve">actividades que requiere la entidad para satisfacer necesidades relacionadas con la administración o funcionamiento,   no puedan  ser desarrolladas por el personal de planta o requieran conocimientos especializados. De acuerdo con esto, lo que hace el artículo </w:t>
      </w:r>
      <w:r w:rsidRPr="008B39C7">
        <w:rPr>
          <w:rFonts w:ascii="Verdana" w:eastAsia="Calibri" w:hAnsi="Verdana" w:cs="Arial"/>
          <w:color w:val="000000" w:themeColor="text1"/>
          <w:lang w:val="es-MX"/>
        </w:rPr>
        <w:t xml:space="preserve">2.8.4.4.5 del Decreto 1068 de 2015 es establecer las condiciones a partir de las cuales </w:t>
      </w:r>
      <w:r w:rsidRPr="008B39C7">
        <w:rPr>
          <w:rFonts w:ascii="Verdana" w:eastAsia="Calibri" w:hAnsi="Verdana" w:cs="Arial"/>
          <w:color w:val="000000" w:themeColor="text1"/>
          <w:lang w:val="es-MX"/>
        </w:rPr>
        <w:lastRenderedPageBreak/>
        <w:t xml:space="preserve">debe determinarse la insuficiencia del personal de planta, a efectos de cumplir con el referido presupuesto para la celebración de contratos de prestación de servicios. </w:t>
      </w:r>
    </w:p>
    <w:p w14:paraId="5226E49F" w14:textId="77777777" w:rsidR="00491AD3" w:rsidRPr="008B39C7" w:rsidRDefault="00491AD3" w:rsidP="00491AD3">
      <w:pPr>
        <w:pStyle w:val="Prrafodelista"/>
        <w:numPr>
          <w:ilvl w:val="0"/>
          <w:numId w:val="14"/>
        </w:numPr>
        <w:spacing w:after="120" w:line="276" w:lineRule="auto"/>
        <w:jc w:val="both"/>
        <w:rPr>
          <w:rFonts w:ascii="Verdana" w:eastAsia="Calibri" w:hAnsi="Verdana" w:cs="Arial"/>
          <w:color w:val="000000" w:themeColor="text1"/>
          <w:lang w:val="es-MX"/>
        </w:rPr>
      </w:pPr>
      <w:r w:rsidRPr="008B39C7">
        <w:rPr>
          <w:rFonts w:ascii="Verdana" w:eastAsia="Calibri" w:hAnsi="Verdana" w:cs="Arial"/>
          <w:color w:val="000000" w:themeColor="text1"/>
          <w:lang w:val="es-MX"/>
        </w:rPr>
        <w:t>Con todo, en aras de responder el problema planteado se debe advertir que, lo establecido en el artículo 2.8.4.4.5 del Decreto 1068 de 2015, está exclusivamente dirigido a los contratos de prestación de servicios, independientemente de si celebren con personas naturales o jurídicas, tal como se desprende del primer inciso de dicha norma. En ese sentido, para la celebración de contratos enmarcados en otras tipologías contractuales distintas de la establecida en el numeral 3° del artículo 32 de la Ley 80 de 1993–</w:t>
      </w:r>
      <w:r w:rsidRPr="008B39C7">
        <w:rPr>
          <w:rFonts w:ascii="Verdana" w:eastAsia="Calibri" w:hAnsi="Verdana" w:cs="Arial"/>
          <w:i/>
          <w:iCs/>
          <w:color w:val="000000" w:themeColor="text1"/>
          <w:lang w:val="es-MX"/>
        </w:rPr>
        <w:t>v.g</w:t>
      </w:r>
      <w:r w:rsidRPr="008B39C7">
        <w:rPr>
          <w:rFonts w:ascii="Verdana" w:eastAsia="Calibri" w:hAnsi="Verdana" w:cs="Arial"/>
          <w:color w:val="000000" w:themeColor="text1"/>
          <w:lang w:val="es-MX"/>
        </w:rPr>
        <w:t xml:space="preserve">. Obra pública, suministro, compraventa, etc.–, no resulta obligatorio certificar la insuficiencia de personal con sujeción a la establecido en el artículo 2.8.4.4.5 del Decreto 1068 de 2015. </w:t>
      </w:r>
    </w:p>
    <w:p w14:paraId="391D7B15" w14:textId="77777777" w:rsidR="00491AD3" w:rsidRPr="000E5509" w:rsidRDefault="00491AD3" w:rsidP="00491AD3">
      <w:pPr>
        <w:pStyle w:val="Prrafodelista"/>
        <w:numPr>
          <w:ilvl w:val="0"/>
          <w:numId w:val="14"/>
        </w:numPr>
        <w:spacing w:after="120" w:line="276" w:lineRule="auto"/>
        <w:jc w:val="both"/>
        <w:rPr>
          <w:rFonts w:ascii="Verdana" w:hAnsi="Verdana" w:cs="Arial"/>
          <w:color w:val="000000"/>
        </w:rPr>
      </w:pPr>
      <w:r w:rsidRPr="008B39C7">
        <w:rPr>
          <w:rFonts w:ascii="Verdana" w:eastAsia="Calibri" w:hAnsi="Verdana" w:cs="Arial"/>
          <w:color w:val="000000" w:themeColor="text1"/>
          <w:lang w:val="es-MX"/>
        </w:rPr>
        <w:t>Sin embargo, debe advertirse que la descripción y justificación de la necesidad a satisfacer mediante el contrato estatal, es un presupuesto general y común a todos los tipos contractuales, lo cual debe reflejarse en los estudios y documentos previos, de acuerdo con lo establecido en el numeral 1 del artículo 2.2.1.1.2.1.1. del Decreto 1082 de 2015. En ese sentido, si bien la certificación de la insuficiencia de personal regulada por el artículo 2.8.4.4.5 del Decreto 1068 de 2015 solo es aplicable a contratos de prestación de servicios, ello no quiere decir que las Entidades Estatales puedan celebrar contratos estatales de manera arbitraria, sin una justificación en la que establezca la razón por la que requiere celebrar el negocio jurídico y la forma en la que este satisface los fines de la contratación estatal a los que se refiere el artículo 3 de la Ley 80 de 1993</w:t>
      </w:r>
      <w:r w:rsidRPr="002F1B1C">
        <w:rPr>
          <w:rStyle w:val="Refdenotaalpie"/>
          <w:rFonts w:ascii="Verdana" w:eastAsia="Calibri" w:hAnsi="Verdana" w:cs="Arial"/>
          <w:color w:val="000000" w:themeColor="text1"/>
          <w:lang w:val="es-MX"/>
        </w:rPr>
        <w:footnoteReference w:id="15"/>
      </w:r>
      <w:r w:rsidRPr="008B39C7">
        <w:rPr>
          <w:rFonts w:ascii="Verdana" w:eastAsia="Calibri" w:hAnsi="Verdana" w:cs="Arial"/>
          <w:color w:val="000000" w:themeColor="text1"/>
          <w:lang w:val="es-MX"/>
        </w:rPr>
        <w:t>.</w:t>
      </w:r>
    </w:p>
    <w:bookmarkEnd w:id="1"/>
    <w:bookmarkEnd w:id="2"/>
    <w:p w14:paraId="3B07ADDE" w14:textId="77777777" w:rsidR="00491AD3" w:rsidRPr="000E5509" w:rsidRDefault="00491AD3" w:rsidP="00491AD3">
      <w:pPr>
        <w:jc w:val="both"/>
        <w:rPr>
          <w:rFonts w:ascii="Verdana" w:hAnsi="Verdana"/>
        </w:rPr>
      </w:pPr>
      <w:r>
        <w:rPr>
          <w:rFonts w:ascii="Verdana" w:eastAsia="Calibri" w:hAnsi="Verdana" w:cs="Arial"/>
          <w:color w:val="000000" w:themeColor="text1"/>
          <w:lang w:val="es-MX"/>
        </w:rPr>
        <w:t xml:space="preserve">Por último, es menester señalar que </w:t>
      </w:r>
      <w:r w:rsidRPr="00EE6269">
        <w:rPr>
          <w:rFonts w:ascii="Verdana" w:hAnsi="Verdana"/>
        </w:rPr>
        <w:t>la Agencia ha revisado el concepto emitido y se mantiene en su postura inicial</w:t>
      </w:r>
      <w:r>
        <w:rPr>
          <w:rFonts w:ascii="Verdana" w:hAnsi="Verdana"/>
        </w:rPr>
        <w:t>mente dada.</w:t>
      </w:r>
      <w:r w:rsidRPr="00EE6269">
        <w:rPr>
          <w:rFonts w:ascii="Verdana" w:hAnsi="Verdana"/>
        </w:rPr>
        <w:t xml:space="preserve"> Se recuerda al peticionario que </w:t>
      </w:r>
      <w:r w:rsidRPr="00EE6269">
        <w:rPr>
          <w:rFonts w:ascii="Verdana" w:hAnsi="Verdana"/>
        </w:rPr>
        <w:lastRenderedPageBreak/>
        <w:t>las facultades de esta entidad se limitan a abordar situaciones generales y abstractas.</w:t>
      </w:r>
      <w:r w:rsidRPr="000E5509">
        <w:rPr>
          <w:rFonts w:ascii="Verdana" w:eastAsia="Calibri" w:hAnsi="Verdana" w:cs="Arial"/>
          <w:color w:val="000000" w:themeColor="text1"/>
          <w:lang w:val="es-MX"/>
        </w:rPr>
        <w:t xml:space="preserve"> </w:t>
      </w:r>
      <w:r>
        <w:rPr>
          <w:rFonts w:ascii="Verdana" w:hAnsi="Verdana"/>
        </w:rPr>
        <w:t>En ese orden de ideas</w:t>
      </w:r>
      <w:r w:rsidRPr="000E5509">
        <w:rPr>
          <w:rFonts w:ascii="Verdana" w:hAnsi="Verdana"/>
        </w:rPr>
        <w:t>, es fundamental entender que la función de la Agencia se limita a brindar orientaciones generales en el ámbito de la contratación pública</w:t>
      </w:r>
      <w:r>
        <w:rPr>
          <w:rFonts w:ascii="Verdana" w:hAnsi="Verdana"/>
        </w:rPr>
        <w:t>, y que c</w:t>
      </w:r>
      <w:r w:rsidRPr="000E5509">
        <w:rPr>
          <w:rFonts w:ascii="Verdana" w:hAnsi="Verdana"/>
        </w:rPr>
        <w:t xml:space="preserve">ualquier cuestión específica o particular debe ser atendida por la </w:t>
      </w:r>
      <w:r>
        <w:rPr>
          <w:rFonts w:ascii="Verdana" w:hAnsi="Verdana"/>
        </w:rPr>
        <w:t>E</w:t>
      </w:r>
      <w:r w:rsidRPr="000E5509">
        <w:rPr>
          <w:rFonts w:ascii="Verdana" w:hAnsi="Verdana"/>
        </w:rPr>
        <w:t xml:space="preserve">ntidad </w:t>
      </w:r>
      <w:r>
        <w:rPr>
          <w:rFonts w:ascii="Verdana" w:hAnsi="Verdana"/>
        </w:rPr>
        <w:t>C</w:t>
      </w:r>
      <w:r w:rsidRPr="000E5509">
        <w:rPr>
          <w:rFonts w:ascii="Verdana" w:hAnsi="Verdana"/>
        </w:rPr>
        <w:t>ontratante, que cuenta con la autonomía y la responsabilidad para gestionar sus propios procedimientos y decisiones</w:t>
      </w:r>
      <w:r>
        <w:rPr>
          <w:rFonts w:ascii="Verdana" w:hAnsi="Verdana"/>
        </w:rPr>
        <w:t>, con base a la norma.</w:t>
      </w:r>
    </w:p>
    <w:p w14:paraId="30A6044D" w14:textId="77777777" w:rsidR="00491AD3" w:rsidRPr="00E4307F" w:rsidRDefault="00491AD3" w:rsidP="00491AD3">
      <w:pPr>
        <w:pStyle w:val="Prrafodelista"/>
        <w:numPr>
          <w:ilvl w:val="0"/>
          <w:numId w:val="9"/>
        </w:numPr>
        <w:tabs>
          <w:tab w:val="left" w:pos="142"/>
          <w:tab w:val="left" w:pos="284"/>
        </w:tabs>
        <w:spacing w:after="0" w:line="276" w:lineRule="auto"/>
        <w:ind w:left="0" w:firstLine="0"/>
        <w:jc w:val="both"/>
        <w:rPr>
          <w:rFonts w:ascii="Verdana" w:eastAsia="Century Gothic" w:hAnsi="Verdana" w:cs="Century Gothic"/>
          <w:b/>
          <w:bCs/>
        </w:rPr>
      </w:pPr>
      <w:r w:rsidRPr="00E4307F">
        <w:rPr>
          <w:rFonts w:ascii="Verdana" w:eastAsia="Century Gothic" w:hAnsi="Verdana" w:cs="Century Gothic"/>
          <w:b/>
          <w:bCs/>
        </w:rPr>
        <w:t>Referencias normativas, jurisprudenciales y otras fuentes:</w:t>
      </w:r>
    </w:p>
    <w:p w14:paraId="6BFFD1F7" w14:textId="77777777" w:rsidR="00491AD3" w:rsidRPr="00E4307F" w:rsidRDefault="00491AD3" w:rsidP="00491AD3">
      <w:pPr>
        <w:widowControl w:val="0"/>
        <w:autoSpaceDE w:val="0"/>
        <w:autoSpaceDN w:val="0"/>
        <w:spacing w:after="0" w:line="276" w:lineRule="auto"/>
        <w:jc w:val="both"/>
        <w:rPr>
          <w:rFonts w:ascii="Verdana" w:hAnsi="Verdana" w:cs="Arial"/>
        </w:rPr>
      </w:pPr>
    </w:p>
    <w:tbl>
      <w:tblPr>
        <w:tblStyle w:val="Tablaconcuadrcula"/>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491AD3" w:rsidRPr="00E4307F" w14:paraId="6E934556" w14:textId="77777777" w:rsidTr="001C4276">
        <w:trPr>
          <w:trHeight w:val="870"/>
        </w:trPr>
        <w:tc>
          <w:tcPr>
            <w:tcW w:w="8647" w:type="dxa"/>
            <w:tcBorders>
              <w:top w:val="dotted" w:sz="4" w:space="0" w:color="auto"/>
              <w:left w:val="dotted" w:sz="4" w:space="0" w:color="auto"/>
              <w:bottom w:val="dotted" w:sz="4" w:space="0" w:color="auto"/>
              <w:right w:val="dotted" w:sz="4" w:space="0" w:color="auto"/>
            </w:tcBorders>
          </w:tcPr>
          <w:p w14:paraId="5026E252" w14:textId="77777777" w:rsidR="00491AD3" w:rsidRPr="000E5509" w:rsidRDefault="00491AD3" w:rsidP="00491AD3">
            <w:pPr>
              <w:numPr>
                <w:ilvl w:val="0"/>
                <w:numId w:val="12"/>
              </w:numPr>
              <w:spacing w:line="276" w:lineRule="auto"/>
              <w:contextualSpacing/>
              <w:jc w:val="both"/>
              <w:rPr>
                <w:rFonts w:ascii="Verdana" w:hAnsi="Verdana"/>
              </w:rPr>
            </w:pPr>
            <w:r w:rsidRPr="000E5509">
              <w:rPr>
                <w:rFonts w:ascii="Verdana" w:hAnsi="Verdana"/>
                <w:lang w:val="es-ES" w:eastAsia="es-ES"/>
              </w:rPr>
              <w:t>Decreto</w:t>
            </w:r>
            <w:r w:rsidRPr="000E5509">
              <w:rPr>
                <w:rFonts w:ascii="Verdana" w:hAnsi="Verdana"/>
              </w:rPr>
              <w:t xml:space="preserve"> 1068 de 2015 Artículo 2.8.4.4.5. Disponible en: </w:t>
            </w:r>
            <w:hyperlink r:id="rId12" w:history="1">
              <w:r w:rsidRPr="000E5509">
                <w:rPr>
                  <w:rFonts w:ascii="Verdana" w:hAnsi="Verdana"/>
                  <w:u w:val="single"/>
                </w:rPr>
                <w:t>https://relatoria.colombiacompra.gov.co/normativa/decreto-1068-de-2015/</w:t>
              </w:r>
            </w:hyperlink>
          </w:p>
          <w:p w14:paraId="7EC54BB6" w14:textId="77777777" w:rsidR="00491AD3" w:rsidRPr="000E5509" w:rsidRDefault="00491AD3" w:rsidP="001C4276">
            <w:pPr>
              <w:spacing w:line="276" w:lineRule="auto"/>
              <w:rPr>
                <w:rFonts w:ascii="Verdana" w:hAnsi="Verdana"/>
              </w:rPr>
            </w:pPr>
          </w:p>
          <w:p w14:paraId="71F682D8" w14:textId="77777777" w:rsidR="00491AD3" w:rsidRPr="000E5509" w:rsidRDefault="00491AD3" w:rsidP="00491AD3">
            <w:pPr>
              <w:numPr>
                <w:ilvl w:val="0"/>
                <w:numId w:val="12"/>
              </w:numPr>
              <w:spacing w:line="276" w:lineRule="auto"/>
              <w:contextualSpacing/>
              <w:jc w:val="both"/>
              <w:rPr>
                <w:rFonts w:ascii="Verdana" w:hAnsi="Verdana"/>
              </w:rPr>
            </w:pPr>
            <w:r w:rsidRPr="000E5509">
              <w:rPr>
                <w:rFonts w:ascii="Verdana" w:hAnsi="Verdana"/>
              </w:rPr>
              <w:t xml:space="preserve">Ley 80 de 1993, artículo 32, numeral 3° Disponible en: </w:t>
            </w:r>
            <w:hyperlink r:id="rId13" w:history="1">
              <w:r w:rsidRPr="000E5509">
                <w:rPr>
                  <w:rFonts w:ascii="Verdana" w:hAnsi="Verdana"/>
                  <w:u w:val="single"/>
                </w:rPr>
                <w:t>https://relatoria.colombiacompra.gov.co/normativa/ley-80-de-1993/</w:t>
              </w:r>
            </w:hyperlink>
          </w:p>
          <w:p w14:paraId="190690E2" w14:textId="77777777" w:rsidR="00491AD3" w:rsidRPr="000E5509" w:rsidRDefault="00491AD3" w:rsidP="001C4276">
            <w:pPr>
              <w:spacing w:line="276" w:lineRule="auto"/>
              <w:contextualSpacing/>
              <w:jc w:val="both"/>
              <w:rPr>
                <w:rFonts w:ascii="Verdana" w:hAnsi="Verdana"/>
              </w:rPr>
            </w:pPr>
          </w:p>
          <w:p w14:paraId="2BF0DDAF" w14:textId="77777777" w:rsidR="00491AD3" w:rsidRPr="000E5509" w:rsidRDefault="00491AD3" w:rsidP="00491AD3">
            <w:pPr>
              <w:pStyle w:val="Sinespaciado"/>
              <w:numPr>
                <w:ilvl w:val="0"/>
                <w:numId w:val="13"/>
              </w:numPr>
              <w:spacing w:line="276" w:lineRule="auto"/>
              <w:jc w:val="both"/>
              <w:rPr>
                <w:rStyle w:val="Hipervnculo"/>
                <w:rFonts w:ascii="Verdana" w:hAnsi="Verdana"/>
                <w:color w:val="auto"/>
              </w:rPr>
            </w:pPr>
            <w:r w:rsidRPr="000E5509">
              <w:rPr>
                <w:rFonts w:ascii="Verdana" w:hAnsi="Verdana"/>
              </w:rPr>
              <w:t>Guía para la incorporación de lineamientos de integridad en la contratación de prestación de servicios expedidos por la ANCP-CCE.</w:t>
            </w:r>
            <w:r w:rsidRPr="000E5509">
              <w:rPr>
                <w:rFonts w:ascii="Verdana" w:hAnsi="Verdana" w:cs="Arial"/>
              </w:rPr>
              <w:t xml:space="preserve"> Disponible en: </w:t>
            </w:r>
            <w:r w:rsidRPr="000E5509">
              <w:rPr>
                <w:rFonts w:ascii="Verdana" w:hAnsi="Verdana"/>
              </w:rPr>
              <w:t xml:space="preserve"> </w:t>
            </w:r>
            <w:hyperlink r:id="rId14" w:history="1">
              <w:r w:rsidRPr="000E5509">
                <w:rPr>
                  <w:rStyle w:val="Hipervnculo"/>
                  <w:rFonts w:ascii="Verdana" w:hAnsi="Verdana"/>
                  <w:color w:val="auto"/>
                </w:rPr>
                <w:t>https://www.colombiacompra.gov.co/sites/cce_public/files/cce_documents/cceeicpgi23_guia_contratacion_prestacion_de_servicios_v1_11-07-2023_def_1_1.pdf</w:t>
              </w:r>
            </w:hyperlink>
          </w:p>
          <w:p w14:paraId="52754329" w14:textId="77777777" w:rsidR="00491AD3" w:rsidRPr="000E5509" w:rsidRDefault="00491AD3" w:rsidP="001C4276">
            <w:pPr>
              <w:pStyle w:val="Sinespaciado"/>
              <w:ind w:left="720"/>
              <w:jc w:val="both"/>
              <w:rPr>
                <w:rFonts w:ascii="Verdana" w:hAnsi="Verdana"/>
              </w:rPr>
            </w:pPr>
          </w:p>
          <w:p w14:paraId="779E6BC2" w14:textId="77777777" w:rsidR="00491AD3" w:rsidRPr="000E5509" w:rsidRDefault="00491AD3" w:rsidP="00491AD3">
            <w:pPr>
              <w:pStyle w:val="Sinespaciado"/>
              <w:numPr>
                <w:ilvl w:val="0"/>
                <w:numId w:val="13"/>
              </w:numPr>
              <w:jc w:val="both"/>
              <w:rPr>
                <w:rFonts w:ascii="Verdana" w:hAnsi="Verdana"/>
              </w:rPr>
            </w:pPr>
            <w:r w:rsidRPr="000E5509">
              <w:rPr>
                <w:rFonts w:ascii="Verdana" w:hAnsi="Verdana"/>
              </w:rPr>
              <w:t xml:space="preserve">Guía para la incorporación de lineamientos de integridad en la contratación de prestación de servicios. Disponible en: </w:t>
            </w:r>
            <w:hyperlink r:id="rId15" w:history="1">
              <w:r w:rsidRPr="000E5509">
                <w:rPr>
                  <w:rStyle w:val="Hipervnculo"/>
                  <w:rFonts w:ascii="Verdana" w:hAnsi="Verdana"/>
                  <w:color w:val="auto"/>
                </w:rPr>
                <w:t>https://www.colombiacompra.gov.co/sites/cce_public/files/cce_documents/cce-eicp-gi-23_guia_contratacion_prestacion_de_servicios_v1_11-07-2023_def_1_1.pdf</w:t>
              </w:r>
            </w:hyperlink>
            <w:r w:rsidRPr="000E5509">
              <w:rPr>
                <w:rFonts w:ascii="Verdana" w:hAnsi="Verdana"/>
              </w:rPr>
              <w:t xml:space="preserve"> </w:t>
            </w:r>
          </w:p>
          <w:p w14:paraId="1398F8F3" w14:textId="77777777" w:rsidR="00491AD3" w:rsidRPr="00E4307F" w:rsidRDefault="00491AD3" w:rsidP="00491AD3">
            <w:pPr>
              <w:pStyle w:val="Prrafodelista"/>
              <w:widowControl w:val="0"/>
              <w:numPr>
                <w:ilvl w:val="0"/>
                <w:numId w:val="10"/>
              </w:numPr>
              <w:autoSpaceDE w:val="0"/>
              <w:autoSpaceDN w:val="0"/>
              <w:spacing w:after="120" w:line="276" w:lineRule="auto"/>
              <w:ind w:left="0"/>
              <w:jc w:val="both"/>
              <w:rPr>
                <w:rFonts w:ascii="Verdana" w:hAnsi="Verdana"/>
                <w:color w:val="000000" w:themeColor="text1"/>
              </w:rPr>
            </w:pPr>
          </w:p>
        </w:tc>
      </w:tr>
    </w:tbl>
    <w:p w14:paraId="22D7E3E3" w14:textId="77777777" w:rsidR="00491AD3" w:rsidRPr="00E4307F" w:rsidRDefault="00491AD3" w:rsidP="00491AD3">
      <w:pPr>
        <w:widowControl w:val="0"/>
        <w:autoSpaceDE w:val="0"/>
        <w:autoSpaceDN w:val="0"/>
        <w:spacing w:after="0" w:line="276" w:lineRule="auto"/>
        <w:jc w:val="both"/>
        <w:rPr>
          <w:rFonts w:ascii="Verdana" w:hAnsi="Verdana" w:cs="Arial"/>
        </w:rPr>
      </w:pPr>
    </w:p>
    <w:p w14:paraId="4F4E47D1" w14:textId="77777777" w:rsidR="00491AD3" w:rsidRPr="00E4307F" w:rsidRDefault="00491AD3" w:rsidP="00491AD3">
      <w:pPr>
        <w:pStyle w:val="Prrafodelista"/>
        <w:numPr>
          <w:ilvl w:val="0"/>
          <w:numId w:val="9"/>
        </w:numPr>
        <w:tabs>
          <w:tab w:val="left" w:pos="142"/>
          <w:tab w:val="left" w:pos="284"/>
        </w:tabs>
        <w:spacing w:after="0" w:line="276" w:lineRule="auto"/>
        <w:ind w:left="0" w:firstLine="0"/>
        <w:jc w:val="both"/>
        <w:rPr>
          <w:rFonts w:ascii="Verdana" w:eastAsia="Century Gothic" w:hAnsi="Verdana" w:cs="Century Gothic"/>
          <w:b/>
          <w:bCs/>
        </w:rPr>
      </w:pPr>
      <w:r w:rsidRPr="00E4307F">
        <w:rPr>
          <w:rFonts w:ascii="Verdana" w:eastAsia="Century Gothic" w:hAnsi="Verdana" w:cs="Century Gothic"/>
          <w:b/>
          <w:bCs/>
        </w:rPr>
        <w:t>Doctrina de la Agencia Nacional de Contratación Pública:</w:t>
      </w:r>
    </w:p>
    <w:p w14:paraId="0925FA4A" w14:textId="77777777" w:rsidR="00491AD3" w:rsidRPr="00E4307F" w:rsidRDefault="00491AD3" w:rsidP="00491AD3">
      <w:pPr>
        <w:spacing w:after="0" w:line="276" w:lineRule="auto"/>
        <w:jc w:val="both"/>
        <w:rPr>
          <w:rFonts w:ascii="Verdana" w:hAnsi="Verdana" w:cs="Arial"/>
        </w:rPr>
      </w:pPr>
    </w:p>
    <w:p w14:paraId="10FFA8CD" w14:textId="77777777" w:rsidR="00491AD3" w:rsidRPr="00CE71BD" w:rsidRDefault="00491AD3" w:rsidP="00491AD3">
      <w:pPr>
        <w:widowControl w:val="0"/>
        <w:autoSpaceDE w:val="0"/>
        <w:autoSpaceDN w:val="0"/>
        <w:spacing w:after="120" w:line="276" w:lineRule="auto"/>
        <w:jc w:val="both"/>
        <w:rPr>
          <w:rFonts w:ascii="Verdana" w:hAnsi="Verdana" w:cs="Arial"/>
          <w:color w:val="FF0000"/>
          <w:shd w:val="clear" w:color="auto" w:fill="FFFFFF"/>
          <w:lang w:val="es-ES"/>
        </w:rPr>
      </w:pPr>
      <w:r w:rsidRPr="00CE71BD">
        <w:rPr>
          <w:rFonts w:ascii="Verdana" w:eastAsia="Calibri" w:hAnsi="Verdana" w:cs="Arial"/>
          <w:color w:val="000000" w:themeColor="text1"/>
          <w:lang w:val="es-ES_tradnl"/>
        </w:rPr>
        <w:t xml:space="preserve">La Agencia Nacional de Contratación Pública – Colombia Compra Eficiente se </w:t>
      </w:r>
      <w:r w:rsidRPr="00CE71BD">
        <w:rPr>
          <w:rFonts w:ascii="Verdana" w:eastAsia="Calibri" w:hAnsi="Verdana" w:cs="Arial"/>
          <w:color w:val="000000" w:themeColor="text1"/>
          <w:lang w:val="es-ES_tradnl"/>
        </w:rPr>
        <w:lastRenderedPageBreak/>
        <w:t xml:space="preserve">pronunció sobre el concepto y límites del contrato de prestación de servicios profesionales, en los conceptos C-090 del </w:t>
      </w:r>
      <w:r w:rsidRPr="00CE71BD">
        <w:rPr>
          <w:rFonts w:ascii="Verdana" w:hAnsi="Verdana" w:cs="Arial"/>
          <w:color w:val="000000" w:themeColor="text1"/>
        </w:rPr>
        <w:t xml:space="preserve">24 de febrero de 2020, </w:t>
      </w:r>
      <w:r w:rsidRPr="00CE71BD">
        <w:rPr>
          <w:rFonts w:ascii="Verdana" w:hAnsi="Verdana" w:cs="Arial"/>
        </w:rPr>
        <w:t xml:space="preserve">C-105 del </w:t>
      </w:r>
      <w:r w:rsidRPr="00CE71BD">
        <w:rPr>
          <w:rFonts w:ascii="Verdana" w:eastAsia="Arial" w:hAnsi="Verdana" w:cs="Arial"/>
          <w:lang w:val="es-ES"/>
        </w:rPr>
        <w:t xml:space="preserve">12 de marzo 03 de 2020, C-156 del 3 de abril de 2020, </w:t>
      </w:r>
      <w:r w:rsidRPr="00CE71BD">
        <w:rPr>
          <w:rFonts w:ascii="Verdana" w:hAnsi="Verdana" w:cs="Arial"/>
        </w:rPr>
        <w:t xml:space="preserve">C-188 del </w:t>
      </w:r>
      <w:r w:rsidRPr="00CE71BD">
        <w:rPr>
          <w:rFonts w:ascii="Verdana" w:hAnsi="Verdana" w:cs="Arial"/>
          <w:color w:val="000000" w:themeColor="text1"/>
        </w:rPr>
        <w:t xml:space="preserve">13 de abril de 2020, </w:t>
      </w:r>
      <w:r w:rsidRPr="00CE71BD">
        <w:rPr>
          <w:rFonts w:ascii="Verdana" w:hAnsi="Verdana" w:cs="Arial"/>
        </w:rPr>
        <w:t xml:space="preserve">C-208 del </w:t>
      </w:r>
      <w:r w:rsidRPr="00CE71BD">
        <w:rPr>
          <w:rFonts w:ascii="Verdana" w:hAnsi="Verdana" w:cs="Arial"/>
          <w:color w:val="000000" w:themeColor="text1"/>
        </w:rPr>
        <w:t xml:space="preserve">24 de abril de 2020, </w:t>
      </w:r>
      <w:r w:rsidRPr="00CE71BD">
        <w:rPr>
          <w:rFonts w:ascii="Verdana" w:hAnsi="Verdana" w:cs="Arial"/>
          <w:noProof/>
          <w:lang w:val="es-ES_tradnl"/>
        </w:rPr>
        <w:t>No. C-138, C-005, C-006 y C-018 del 11 de mayo de 2020; C-175, C-320, C-053, C-255, C-282 y C-293 del 12 de mayo de 2020, C-288 del 27 de mayo de 2020, C-345 del 13 de mayo de 2020</w:t>
      </w:r>
      <w:r w:rsidRPr="00CE71BD">
        <w:rPr>
          <w:rFonts w:ascii="Verdana" w:hAnsi="Verdana" w:cs="Arial"/>
          <w:color w:val="000000" w:themeColor="text1"/>
        </w:rPr>
        <w:t xml:space="preserve">, </w:t>
      </w:r>
      <w:r w:rsidRPr="00CE71BD">
        <w:rPr>
          <w:rFonts w:ascii="Verdana" w:hAnsi="Verdana" w:cs="Arial"/>
          <w:color w:val="212529"/>
        </w:rPr>
        <w:t xml:space="preserve">C-414 </w:t>
      </w:r>
      <w:r w:rsidRPr="00CE71BD">
        <w:rPr>
          <w:rFonts w:ascii="Verdana" w:hAnsi="Verdana" w:cs="Arial"/>
        </w:rPr>
        <w:t xml:space="preserve">del 30 de junio de 2020, </w:t>
      </w:r>
      <w:r w:rsidRPr="00CE71BD">
        <w:rPr>
          <w:rFonts w:ascii="Verdana" w:hAnsi="Verdana" w:cs="Arial"/>
          <w:noProof/>
          <w:lang w:val="es-ES_tradnl"/>
        </w:rPr>
        <w:t>C-608 del 1 de octubre de 2020</w:t>
      </w:r>
      <w:r w:rsidRPr="00CE71BD">
        <w:rPr>
          <w:rFonts w:ascii="Verdana" w:hAnsi="Verdana" w:cs="Arial"/>
        </w:rPr>
        <w:t xml:space="preserve">, C-739 del 16 de diciembre de 2020, C-106 del 21 de abril de 2021, C-015 del 13 de febrero del 2024, C-089 del 3 de julio de 2024 C-250 del 12 de agosto de 2024, C-311 del 21 de agosto de 2024, entre otros. </w:t>
      </w:r>
      <w:r w:rsidRPr="00E406E8">
        <w:rPr>
          <w:rFonts w:ascii="Verdana" w:eastAsia="Calibri" w:hAnsi="Verdana" w:cs="Arial"/>
          <w:lang w:val="es-ES" w:eastAsia="es-ES_tradnl"/>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w:t>
      </w:r>
      <w:proofErr w:type="gramStart"/>
      <w:r w:rsidRPr="00E406E8">
        <w:rPr>
          <w:rFonts w:ascii="Verdana" w:eastAsia="Calibri" w:hAnsi="Verdana" w:cs="Arial"/>
          <w:lang w:val="es-ES" w:eastAsia="es-ES_tradnl"/>
        </w:rPr>
        <w:t>enlace:.</w:t>
      </w:r>
      <w:proofErr w:type="gramEnd"/>
      <w:r>
        <w:rPr>
          <w:rFonts w:ascii="Verdana" w:eastAsia="Calibri" w:hAnsi="Verdana" w:cs="Arial"/>
          <w:lang w:val="es-ES" w:eastAsia="es-ES_tradnl"/>
        </w:rPr>
        <w:t xml:space="preserve"> </w:t>
      </w:r>
      <w:r w:rsidRPr="00E406E8">
        <w:rPr>
          <w:rFonts w:ascii="Verdana" w:eastAsia="Calibri" w:hAnsi="Verdana" w:cs="Arial"/>
          <w:lang w:val="es-ES" w:eastAsia="es-ES_tradnl"/>
        </w:rPr>
        <w:t xml:space="preserve">Te invitamos también a revisar la tercera edición </w:t>
      </w:r>
      <w:proofErr w:type="gramStart"/>
      <w:r w:rsidRPr="00E406E8">
        <w:rPr>
          <w:rFonts w:ascii="Verdana" w:eastAsia="Calibri" w:hAnsi="Verdana" w:cs="Arial"/>
          <w:lang w:val="es-ES" w:eastAsia="es-ES_tradnl"/>
        </w:rPr>
        <w:t>del  Boletín</w:t>
      </w:r>
      <w:proofErr w:type="gramEnd"/>
      <w:r w:rsidRPr="00E406E8">
        <w:rPr>
          <w:rFonts w:ascii="Verdana" w:eastAsia="Calibri" w:hAnsi="Verdana" w:cs="Arial"/>
          <w:lang w:val="es-ES" w:eastAsia="es-ES_tradnl"/>
        </w:rPr>
        <w:t xml:space="preserve"> de Relatoría de 2024 en el cual podrás consultar en detalle el marco normativo de documentos tipo: </w:t>
      </w:r>
      <w:hyperlink r:id="rId16" w:history="1">
        <w:r w:rsidRPr="003A4DDF">
          <w:rPr>
            <w:rStyle w:val="Hipervnculo"/>
            <w:rFonts w:ascii="Verdana" w:eastAsia="Calibri" w:hAnsi="Verdana" w:cs="Arial"/>
            <w:lang w:val="es-ES" w:eastAsia="es-ES_tradnl"/>
          </w:rPr>
          <w:t>https://www.colombiacompra.gov.co/sites/cce_public/files/files_2020/boletin_de_realtoria_iii.pdf</w:t>
        </w:r>
      </w:hyperlink>
    </w:p>
    <w:p w14:paraId="3AFB71A0" w14:textId="77777777" w:rsidR="00491AD3" w:rsidRPr="00CE71BD" w:rsidRDefault="00491AD3" w:rsidP="00491AD3">
      <w:pPr>
        <w:spacing w:after="0" w:line="240" w:lineRule="auto"/>
        <w:jc w:val="both"/>
        <w:rPr>
          <w:rFonts w:ascii="Verdana" w:hAnsi="Verdana"/>
        </w:rPr>
      </w:pPr>
    </w:p>
    <w:p w14:paraId="5B42E6F5" w14:textId="77777777" w:rsidR="00491AD3" w:rsidRPr="00CE71BD" w:rsidRDefault="00491AD3" w:rsidP="00491AD3">
      <w:pPr>
        <w:spacing w:after="0" w:line="240" w:lineRule="auto"/>
        <w:jc w:val="both"/>
        <w:rPr>
          <w:rFonts w:ascii="Verdana" w:hAnsi="Verdana"/>
        </w:rPr>
      </w:pPr>
      <w:r w:rsidRPr="00CE71BD">
        <w:rPr>
          <w:rFonts w:ascii="Verdana" w:hAnsi="Verdana"/>
        </w:rPr>
        <w:t xml:space="preserve">Por último, lo invitamos a seguirnos en las redes sociales en las cuales se difunde información institucional: </w:t>
      </w:r>
    </w:p>
    <w:p w14:paraId="30A32B0F" w14:textId="77777777" w:rsidR="00491AD3" w:rsidRPr="00CE71BD" w:rsidRDefault="00491AD3" w:rsidP="00491AD3">
      <w:pPr>
        <w:spacing w:after="0" w:line="240" w:lineRule="auto"/>
        <w:jc w:val="both"/>
        <w:rPr>
          <w:rFonts w:ascii="Verdana" w:hAnsi="Verdana"/>
        </w:rPr>
      </w:pPr>
    </w:p>
    <w:p w14:paraId="7EB7A10F" w14:textId="77777777" w:rsidR="00491AD3" w:rsidRPr="00CE71BD" w:rsidRDefault="00491AD3" w:rsidP="00491AD3">
      <w:pPr>
        <w:spacing w:after="0" w:line="240" w:lineRule="auto"/>
        <w:jc w:val="both"/>
        <w:rPr>
          <w:rFonts w:ascii="Verdana" w:hAnsi="Verdana"/>
        </w:rPr>
      </w:pPr>
      <w:r w:rsidRPr="00CE71BD">
        <w:rPr>
          <w:rFonts w:ascii="Verdana" w:hAnsi="Verdana"/>
        </w:rPr>
        <w:t xml:space="preserve">Twitter: </w:t>
      </w:r>
      <w:r w:rsidRPr="00CE71BD">
        <w:rPr>
          <w:rFonts w:ascii="Verdana" w:hAnsi="Verdana"/>
          <w:color w:val="4472C4" w:themeColor="accent1"/>
          <w:u w:val="single"/>
        </w:rPr>
        <w:t>@colombiacompra</w:t>
      </w:r>
      <w:r w:rsidRPr="00CE71BD">
        <w:rPr>
          <w:rFonts w:ascii="Verdana" w:hAnsi="Verdana"/>
          <w:color w:val="4472C4" w:themeColor="accent1"/>
        </w:rPr>
        <w:t xml:space="preserve"> </w:t>
      </w:r>
    </w:p>
    <w:p w14:paraId="65AAA8A5" w14:textId="77777777" w:rsidR="00491AD3" w:rsidRPr="00CE71BD" w:rsidRDefault="00491AD3" w:rsidP="00491AD3">
      <w:pPr>
        <w:spacing w:after="0" w:line="240" w:lineRule="auto"/>
        <w:jc w:val="both"/>
        <w:rPr>
          <w:rFonts w:ascii="Verdana" w:hAnsi="Verdana"/>
        </w:rPr>
      </w:pPr>
      <w:r w:rsidRPr="00CE71BD">
        <w:rPr>
          <w:rFonts w:ascii="Verdana" w:hAnsi="Verdana"/>
        </w:rPr>
        <w:t xml:space="preserve">Facebook: </w:t>
      </w:r>
      <w:r w:rsidRPr="00CE71BD">
        <w:rPr>
          <w:rFonts w:ascii="Verdana" w:hAnsi="Verdana"/>
          <w:color w:val="4472C4" w:themeColor="accent1"/>
          <w:u w:val="single"/>
        </w:rPr>
        <w:t>ColombiaCompraEficiente</w:t>
      </w:r>
    </w:p>
    <w:p w14:paraId="5F14A6DE" w14:textId="77777777" w:rsidR="00491AD3" w:rsidRPr="00CE71BD" w:rsidRDefault="00491AD3" w:rsidP="00491AD3">
      <w:pPr>
        <w:spacing w:after="0" w:line="240" w:lineRule="auto"/>
        <w:jc w:val="both"/>
        <w:rPr>
          <w:rFonts w:ascii="Verdana" w:hAnsi="Verdana"/>
        </w:rPr>
      </w:pPr>
      <w:r w:rsidRPr="00CE71BD">
        <w:rPr>
          <w:rFonts w:ascii="Verdana" w:hAnsi="Verdana"/>
        </w:rPr>
        <w:t xml:space="preserve">LinkedIn: </w:t>
      </w:r>
      <w:r w:rsidRPr="00CE71BD">
        <w:rPr>
          <w:rFonts w:ascii="Verdana" w:hAnsi="Verdana"/>
          <w:color w:val="4472C4" w:themeColor="accent1"/>
          <w:u w:val="single"/>
        </w:rPr>
        <w:t>Agencia Nacional de Contratación Pública - Colombia Compra Eficiente</w:t>
      </w:r>
      <w:r w:rsidRPr="00CE71BD">
        <w:rPr>
          <w:rFonts w:ascii="Verdana" w:hAnsi="Verdana"/>
          <w:color w:val="4472C4" w:themeColor="accent1"/>
        </w:rPr>
        <w:t xml:space="preserve"> </w:t>
      </w:r>
      <w:r w:rsidRPr="00CE71BD">
        <w:rPr>
          <w:rFonts w:ascii="Verdana" w:hAnsi="Verdana"/>
        </w:rPr>
        <w:t xml:space="preserve">Instagram: </w:t>
      </w:r>
      <w:r w:rsidRPr="00CE71BD">
        <w:rPr>
          <w:rFonts w:ascii="Verdana" w:hAnsi="Verdana"/>
          <w:color w:val="4472C4" w:themeColor="accent1"/>
          <w:u w:val="single"/>
        </w:rPr>
        <w:t>@colombiacompraeficiente_cce</w:t>
      </w:r>
    </w:p>
    <w:p w14:paraId="36528630" w14:textId="77777777" w:rsidR="00491AD3" w:rsidRPr="0044528D" w:rsidRDefault="00491AD3" w:rsidP="00491AD3">
      <w:pPr>
        <w:widowControl w:val="0"/>
        <w:autoSpaceDE w:val="0"/>
        <w:autoSpaceDN w:val="0"/>
        <w:spacing w:after="0" w:line="276" w:lineRule="auto"/>
        <w:jc w:val="both"/>
        <w:rPr>
          <w:rFonts w:ascii="Verdana" w:hAnsi="Verdana"/>
        </w:rPr>
      </w:pPr>
    </w:p>
    <w:p w14:paraId="16F2BCBA" w14:textId="77777777" w:rsidR="00491AD3" w:rsidRPr="00E4307F" w:rsidRDefault="00491AD3" w:rsidP="00491AD3">
      <w:pPr>
        <w:widowControl w:val="0"/>
        <w:autoSpaceDE w:val="0"/>
        <w:autoSpaceDN w:val="0"/>
        <w:spacing w:after="0" w:line="276" w:lineRule="auto"/>
        <w:jc w:val="both"/>
        <w:rPr>
          <w:rFonts w:ascii="Verdana" w:hAnsi="Verdana" w:cs="Arial"/>
          <w:lang w:val="es-ES_tradnl"/>
        </w:rPr>
      </w:pPr>
      <w:r w:rsidRPr="00E4307F">
        <w:rPr>
          <w:rFonts w:ascii="Verdana" w:hAnsi="Verdana" w:cs="Arial"/>
        </w:rPr>
        <w:t xml:space="preserve">Este concepto tiene el alcance previsto en el artículo 28 del Código de Procedimiento Administrativo y de lo Contencioso Administrativo </w:t>
      </w:r>
      <w:r w:rsidRPr="00E4307F">
        <w:rPr>
          <w:rFonts w:ascii="Verdana" w:hAnsi="Verdana" w:cs="Arial"/>
          <w:lang w:val="es-ES_tradnl"/>
        </w:rPr>
        <w:t>y las expresiones aquí utilizadas con mayúscula inicial deben ser entendidas con el significado que les otorga el artículo 2.2.1.1.1.3.1. del Decreto 1082 de 2015.</w:t>
      </w:r>
    </w:p>
    <w:p w14:paraId="793EE483" w14:textId="77777777" w:rsidR="00491AD3" w:rsidRPr="00E4307F" w:rsidRDefault="00491AD3" w:rsidP="00491AD3">
      <w:pPr>
        <w:widowControl w:val="0"/>
        <w:autoSpaceDE w:val="0"/>
        <w:autoSpaceDN w:val="0"/>
        <w:spacing w:after="0" w:line="276" w:lineRule="auto"/>
        <w:jc w:val="both"/>
        <w:rPr>
          <w:rFonts w:ascii="Verdana" w:hAnsi="Verdana" w:cs="Arial"/>
        </w:rPr>
      </w:pPr>
    </w:p>
    <w:p w14:paraId="7CD17796" w14:textId="77777777" w:rsidR="00491AD3" w:rsidRPr="00E4307F" w:rsidRDefault="00491AD3" w:rsidP="00491AD3">
      <w:pPr>
        <w:spacing w:after="0" w:line="240" w:lineRule="auto"/>
        <w:rPr>
          <w:rFonts w:ascii="Verdana" w:hAnsi="Verdana" w:cs="Arial"/>
          <w:lang w:eastAsia="es-CO"/>
        </w:rPr>
      </w:pPr>
      <w:r w:rsidRPr="00E4307F">
        <w:rPr>
          <w:rFonts w:ascii="Verdana" w:eastAsia="Times New Roman" w:hAnsi="Verdana" w:cs="Arial"/>
          <w:lang w:eastAsia="es-CO"/>
        </w:rPr>
        <w:t>Atentamente,</w:t>
      </w:r>
      <w:r w:rsidRPr="00E4307F">
        <w:rPr>
          <w:rFonts w:ascii="Verdana" w:hAnsi="Verdana" w:cs="Arial"/>
          <w:lang w:eastAsia="es-CO"/>
        </w:rPr>
        <w:t xml:space="preserve"> </w:t>
      </w:r>
    </w:p>
    <w:p w14:paraId="0AE5BB65" w14:textId="1450E657" w:rsidR="00491AD3" w:rsidRPr="002E45F4" w:rsidRDefault="005A54B5" w:rsidP="00491AD3">
      <w:pPr>
        <w:spacing w:line="276" w:lineRule="auto"/>
        <w:jc w:val="center"/>
        <w:rPr>
          <w:rFonts w:ascii="Verdana" w:hAnsi="Verdana" w:cs="Arial"/>
          <w:lang w:val="es-MX" w:eastAsia="es-CO"/>
        </w:rPr>
      </w:pPr>
      <w:r w:rsidRPr="005A54B5">
        <w:rPr>
          <w:rFonts w:ascii="Verdana" w:hAnsi="Verdana" w:cs="Arial"/>
          <w:lang w:eastAsia="es-CO"/>
        </w:rPr>
        <w:lastRenderedPageBreak/>
        <w:drawing>
          <wp:inline distT="0" distB="0" distL="0" distR="0" wp14:anchorId="6B9B8A91" wp14:editId="2F34B6AD">
            <wp:extent cx="3771900" cy="1400175"/>
            <wp:effectExtent l="0" t="0" r="0" b="9525"/>
            <wp:docPr id="156631227"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5A54B5">
        <w:rPr>
          <w:rFonts w:ascii="Verdana" w:hAnsi="Verdana" w:cs="Arial"/>
          <w:lang w:val="es-ES" w:eastAsia="es-CO"/>
        </w:rPr>
        <w:br/>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91AD3" w:rsidRPr="00E4307F" w14:paraId="2C448344" w14:textId="77777777" w:rsidTr="001C4276">
        <w:trPr>
          <w:trHeight w:val="315"/>
        </w:trPr>
        <w:tc>
          <w:tcPr>
            <w:tcW w:w="893" w:type="dxa"/>
            <w:vAlign w:val="center"/>
            <w:hideMark/>
          </w:tcPr>
          <w:p w14:paraId="2A52B595" w14:textId="77777777" w:rsidR="00491AD3" w:rsidRPr="00E4307F" w:rsidRDefault="00491AD3" w:rsidP="001C4276">
            <w:pPr>
              <w:spacing w:after="255"/>
              <w:contextualSpacing/>
              <w:rPr>
                <w:rFonts w:ascii="Verdana" w:hAnsi="Verdana" w:cs="Arial"/>
                <w:sz w:val="16"/>
                <w:szCs w:val="16"/>
                <w:lang w:val="es-ES" w:eastAsia="es-ES"/>
              </w:rPr>
            </w:pPr>
            <w:r w:rsidRPr="00E4307F">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20CEF31" w14:textId="77777777" w:rsidR="00491AD3" w:rsidRPr="00E4307F" w:rsidRDefault="00491AD3" w:rsidP="001C4276">
            <w:pPr>
              <w:spacing w:after="255"/>
              <w:contextualSpacing/>
              <w:rPr>
                <w:rFonts w:ascii="Verdana" w:eastAsia="Arial" w:hAnsi="Verdana" w:cs="Arial"/>
                <w:sz w:val="16"/>
                <w:szCs w:val="16"/>
              </w:rPr>
            </w:pPr>
            <w:r w:rsidRPr="00E4307F">
              <w:rPr>
                <w:rStyle w:val="normaltextrun"/>
                <w:rFonts w:ascii="Verdana" w:hAnsi="Verdana"/>
                <w:sz w:val="16"/>
                <w:szCs w:val="16"/>
              </w:rPr>
              <w:t>Gloria Ximena Moreno Guio</w:t>
            </w:r>
          </w:p>
          <w:p w14:paraId="05411162" w14:textId="77777777" w:rsidR="00491AD3" w:rsidRPr="00E4307F" w:rsidRDefault="00491AD3" w:rsidP="001C4276">
            <w:pPr>
              <w:spacing w:after="255"/>
              <w:contextualSpacing/>
              <w:rPr>
                <w:rFonts w:ascii="Verdana" w:eastAsia="Arial" w:hAnsi="Verdana" w:cs="Arial"/>
                <w:sz w:val="16"/>
                <w:szCs w:val="16"/>
              </w:rPr>
            </w:pPr>
            <w:r w:rsidRPr="00E4307F">
              <w:rPr>
                <w:rStyle w:val="normaltextrun"/>
                <w:rFonts w:ascii="Verdana" w:eastAsia="Arial" w:hAnsi="Verdana" w:cs="Arial"/>
                <w:sz w:val="16"/>
                <w:szCs w:val="16"/>
              </w:rPr>
              <w:t>Contratista de la Subdirección de Gestión Contractual</w:t>
            </w:r>
          </w:p>
        </w:tc>
      </w:tr>
      <w:tr w:rsidR="00491AD3" w:rsidRPr="00E4307F" w14:paraId="59561F00" w14:textId="77777777" w:rsidTr="001C4276">
        <w:trPr>
          <w:trHeight w:val="330"/>
        </w:trPr>
        <w:tc>
          <w:tcPr>
            <w:tcW w:w="893" w:type="dxa"/>
            <w:vAlign w:val="center"/>
            <w:hideMark/>
          </w:tcPr>
          <w:p w14:paraId="5B6C970D" w14:textId="77777777" w:rsidR="00491AD3" w:rsidRPr="00E4307F" w:rsidRDefault="00491AD3" w:rsidP="001C4276">
            <w:pPr>
              <w:spacing w:after="255"/>
              <w:contextualSpacing/>
              <w:rPr>
                <w:rFonts w:ascii="Verdana" w:hAnsi="Verdana" w:cs="Arial"/>
                <w:sz w:val="16"/>
                <w:szCs w:val="16"/>
                <w:lang w:val="es-ES" w:eastAsia="es-ES"/>
              </w:rPr>
            </w:pPr>
            <w:r w:rsidRPr="00E4307F">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FEBB545" w14:textId="77777777" w:rsidR="00491AD3" w:rsidRPr="008B39C7" w:rsidRDefault="00491AD3" w:rsidP="001C4276">
            <w:pPr>
              <w:pStyle w:val="paragraph"/>
              <w:contextualSpacing/>
              <w:textAlignment w:val="baseline"/>
              <w:rPr>
                <w:rFonts w:ascii="Verdana" w:hAnsi="Verdana" w:cs="Arial"/>
                <w:sz w:val="16"/>
                <w:szCs w:val="16"/>
                <w:lang w:val="es-MX"/>
              </w:rPr>
            </w:pPr>
            <w:r w:rsidRPr="008B39C7">
              <w:rPr>
                <w:rFonts w:ascii="Verdana" w:hAnsi="Verdana" w:cs="Arial"/>
                <w:sz w:val="16"/>
                <w:szCs w:val="16"/>
                <w:lang w:val="es-MX"/>
              </w:rPr>
              <w:t>Cielo Victoria González Meza</w:t>
            </w:r>
          </w:p>
          <w:p w14:paraId="40961951" w14:textId="77777777" w:rsidR="00491AD3" w:rsidRPr="008B39C7" w:rsidRDefault="00491AD3" w:rsidP="001C4276">
            <w:pPr>
              <w:pStyle w:val="paragraph"/>
              <w:contextualSpacing/>
              <w:textAlignment w:val="baseline"/>
              <w:rPr>
                <w:rFonts w:ascii="Verdana" w:hAnsi="Verdana" w:cs="Arial"/>
                <w:sz w:val="16"/>
                <w:szCs w:val="16"/>
                <w:lang w:val="es-MX"/>
              </w:rPr>
            </w:pPr>
            <w:r w:rsidRPr="008B39C7">
              <w:rPr>
                <w:rFonts w:ascii="Verdana" w:hAnsi="Verdana" w:cs="Arial"/>
                <w:sz w:val="16"/>
                <w:szCs w:val="16"/>
                <w:lang w:val="es-MX"/>
              </w:rPr>
              <w:t>Contratista de la Subdirección de Gestión Contractual</w:t>
            </w:r>
          </w:p>
        </w:tc>
      </w:tr>
      <w:tr w:rsidR="00491AD3" w:rsidRPr="00E4307F" w14:paraId="624198F1" w14:textId="77777777" w:rsidTr="001C4276">
        <w:trPr>
          <w:trHeight w:val="300"/>
        </w:trPr>
        <w:tc>
          <w:tcPr>
            <w:tcW w:w="893" w:type="dxa"/>
            <w:vAlign w:val="center"/>
            <w:hideMark/>
          </w:tcPr>
          <w:p w14:paraId="57F03663" w14:textId="77777777" w:rsidR="00491AD3" w:rsidRPr="00E4307F" w:rsidRDefault="00491AD3" w:rsidP="001C4276">
            <w:pPr>
              <w:spacing w:after="255"/>
              <w:contextualSpacing/>
              <w:rPr>
                <w:rFonts w:ascii="Verdana" w:hAnsi="Verdana" w:cs="Arial"/>
                <w:sz w:val="16"/>
                <w:szCs w:val="16"/>
                <w:lang w:val="es-ES" w:eastAsia="es-ES"/>
              </w:rPr>
            </w:pPr>
            <w:r w:rsidRPr="00E4307F">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56369AE" w14:textId="77777777" w:rsidR="00491AD3" w:rsidRPr="00E4307F" w:rsidRDefault="00491AD3" w:rsidP="001C4276">
            <w:pPr>
              <w:spacing w:after="255"/>
              <w:contextualSpacing/>
              <w:rPr>
                <w:rFonts w:ascii="Verdana" w:eastAsia="Calibri" w:hAnsi="Verdana" w:cs="Arial"/>
                <w:sz w:val="16"/>
                <w:szCs w:val="16"/>
                <w:lang w:val="pt-BR" w:eastAsia="es-ES"/>
              </w:rPr>
            </w:pPr>
            <w:r w:rsidRPr="00E4307F">
              <w:rPr>
                <w:rFonts w:ascii="Verdana" w:eastAsia="Calibri" w:hAnsi="Verdana" w:cs="Arial"/>
                <w:sz w:val="16"/>
                <w:szCs w:val="16"/>
                <w:lang w:val="pt-BR" w:eastAsia="es-ES"/>
              </w:rPr>
              <w:t>Carolina Quintero Gacharná</w:t>
            </w:r>
          </w:p>
          <w:p w14:paraId="41D9F966" w14:textId="77777777" w:rsidR="00491AD3" w:rsidRPr="00E4307F" w:rsidRDefault="00491AD3" w:rsidP="001C4276">
            <w:pPr>
              <w:spacing w:after="255"/>
              <w:contextualSpacing/>
              <w:rPr>
                <w:rFonts w:ascii="Verdana" w:eastAsia="Calibri" w:hAnsi="Verdana" w:cs="Arial"/>
                <w:sz w:val="16"/>
                <w:szCs w:val="16"/>
                <w:lang w:val="pt-BR" w:eastAsia="es-ES"/>
              </w:rPr>
            </w:pPr>
            <w:r w:rsidRPr="00E4307F">
              <w:rPr>
                <w:rFonts w:ascii="Verdana" w:eastAsia="Calibri" w:hAnsi="Verdana" w:cs="Arial"/>
                <w:sz w:val="16"/>
                <w:szCs w:val="16"/>
                <w:lang w:eastAsia="es-ES"/>
              </w:rPr>
              <w:t>Subdirectora</w:t>
            </w:r>
            <w:r w:rsidRPr="00E4307F">
              <w:rPr>
                <w:rFonts w:ascii="Verdana" w:eastAsia="Calibri" w:hAnsi="Verdana" w:cs="Arial"/>
                <w:sz w:val="16"/>
                <w:szCs w:val="16"/>
                <w:lang w:val="pt-BR" w:eastAsia="es-ES"/>
              </w:rPr>
              <w:t xml:space="preserve"> de Gestión </w:t>
            </w:r>
            <w:proofErr w:type="spellStart"/>
            <w:r w:rsidRPr="00E4307F">
              <w:rPr>
                <w:rFonts w:ascii="Verdana" w:eastAsia="Calibri" w:hAnsi="Verdana" w:cs="Arial"/>
                <w:sz w:val="16"/>
                <w:szCs w:val="16"/>
                <w:lang w:val="pt-BR" w:eastAsia="es-ES"/>
              </w:rPr>
              <w:t>Contractual</w:t>
            </w:r>
            <w:proofErr w:type="spellEnd"/>
            <w:r w:rsidRPr="00E4307F">
              <w:rPr>
                <w:rFonts w:ascii="Verdana" w:eastAsia="Calibri" w:hAnsi="Verdana" w:cs="Arial"/>
                <w:sz w:val="16"/>
                <w:szCs w:val="16"/>
                <w:lang w:val="pt-BR" w:eastAsia="es-ES"/>
              </w:rPr>
              <w:t xml:space="preserve"> ANCP – CCE</w:t>
            </w:r>
          </w:p>
        </w:tc>
      </w:tr>
    </w:tbl>
    <w:p w14:paraId="09953C0E" w14:textId="77777777" w:rsidR="00491AD3" w:rsidRPr="00E4307F" w:rsidRDefault="00491AD3" w:rsidP="00491AD3">
      <w:pPr>
        <w:spacing w:after="0" w:line="240" w:lineRule="auto"/>
        <w:rPr>
          <w:rFonts w:ascii="Verdana" w:eastAsia="Times New Roman" w:hAnsi="Verdana" w:cs="Arial"/>
          <w:lang w:eastAsia="es-ES"/>
        </w:rPr>
      </w:pPr>
    </w:p>
    <w:p w14:paraId="3D2DAB25" w14:textId="77777777" w:rsidR="00491AD3" w:rsidRPr="00A63B02" w:rsidRDefault="00491AD3" w:rsidP="00491AD3"/>
    <w:p w14:paraId="4A69B74A" w14:textId="77777777" w:rsidR="00491AD3" w:rsidRPr="00E4307F" w:rsidRDefault="00491AD3" w:rsidP="00C177B1">
      <w:pPr>
        <w:spacing w:before="100" w:beforeAutospacing="1" w:after="0" w:afterAutospacing="1" w:line="240" w:lineRule="auto"/>
        <w:jc w:val="both"/>
        <w:textAlignment w:val="baseline"/>
        <w:rPr>
          <w:rFonts w:ascii="Verdana" w:eastAsia="Times New Roman" w:hAnsi="Verdana" w:cs="Arial"/>
          <w:lang w:eastAsia="es-MX"/>
        </w:rPr>
      </w:pPr>
    </w:p>
    <w:sectPr w:rsidR="00491AD3" w:rsidRPr="00E4307F" w:rsidSect="00E45F4B">
      <w:headerReference w:type="default" r:id="rId18"/>
      <w:footerReference w:type="default" r:id="rId1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C9D91" w14:textId="77777777" w:rsidR="00731E41" w:rsidRDefault="00731E41" w:rsidP="00B30448">
      <w:pPr>
        <w:spacing w:after="0" w:line="240" w:lineRule="auto"/>
      </w:pPr>
      <w:r>
        <w:separator/>
      </w:r>
    </w:p>
  </w:endnote>
  <w:endnote w:type="continuationSeparator" w:id="0">
    <w:p w14:paraId="16322631" w14:textId="77777777" w:rsidR="00731E41" w:rsidRDefault="00731E41" w:rsidP="00B30448">
      <w:pPr>
        <w:spacing w:after="0" w:line="240" w:lineRule="auto"/>
      </w:pPr>
      <w:r>
        <w:continuationSeparator/>
      </w:r>
    </w:p>
  </w:endnote>
  <w:endnote w:type="continuationNotice" w:id="1">
    <w:p w14:paraId="3B7A476B" w14:textId="77777777" w:rsidR="00731E41" w:rsidRDefault="00731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7B249" w14:textId="77777777" w:rsidR="00731E41" w:rsidRDefault="00731E41" w:rsidP="00B30448">
      <w:pPr>
        <w:spacing w:after="0" w:line="240" w:lineRule="auto"/>
      </w:pPr>
      <w:r>
        <w:separator/>
      </w:r>
    </w:p>
  </w:footnote>
  <w:footnote w:type="continuationSeparator" w:id="0">
    <w:p w14:paraId="24F7C139" w14:textId="77777777" w:rsidR="00731E41" w:rsidRDefault="00731E41" w:rsidP="00B30448">
      <w:pPr>
        <w:spacing w:after="0" w:line="240" w:lineRule="auto"/>
      </w:pPr>
      <w:r>
        <w:continuationSeparator/>
      </w:r>
    </w:p>
  </w:footnote>
  <w:footnote w:type="continuationNotice" w:id="1">
    <w:p w14:paraId="0902C03D" w14:textId="77777777" w:rsidR="00731E41" w:rsidRDefault="00731E41">
      <w:pPr>
        <w:spacing w:after="0" w:line="240" w:lineRule="auto"/>
      </w:pPr>
    </w:p>
  </w:footnote>
  <w:footnote w:id="2">
    <w:p w14:paraId="57DF68B3" w14:textId="77777777" w:rsidR="00491AD3" w:rsidRPr="00F312E3" w:rsidRDefault="00491AD3" w:rsidP="00491AD3">
      <w:pPr>
        <w:pStyle w:val="Textonotapie"/>
        <w:rPr>
          <w:sz w:val="16"/>
          <w:szCs w:val="16"/>
        </w:rPr>
      </w:pPr>
      <w:r w:rsidRPr="00F312E3">
        <w:rPr>
          <w:rStyle w:val="Refdenotaalpie"/>
          <w:sz w:val="16"/>
          <w:szCs w:val="16"/>
        </w:rPr>
        <w:footnoteRef/>
      </w:r>
      <w:r w:rsidRPr="00F312E3">
        <w:rPr>
          <w:sz w:val="16"/>
          <w:szCs w:val="16"/>
        </w:rPr>
        <w:t xml:space="preserve">   </w:t>
      </w:r>
      <w:r>
        <w:rPr>
          <w:rFonts w:ascii="Verdana" w:hAnsi="Verdana"/>
          <w:sz w:val="16"/>
          <w:szCs w:val="16"/>
        </w:rPr>
        <w:t>A</w:t>
      </w:r>
      <w:r w:rsidRPr="00C70533">
        <w:rPr>
          <w:rFonts w:ascii="Verdana" w:hAnsi="Verdana"/>
          <w:sz w:val="16"/>
          <w:szCs w:val="16"/>
        </w:rPr>
        <w:t>rtículo 32 de la Ley 80 de 1993 Numeral 3</w:t>
      </w:r>
    </w:p>
  </w:footnote>
  <w:footnote w:id="3">
    <w:p w14:paraId="30C06FC6" w14:textId="77777777" w:rsidR="00491AD3" w:rsidRPr="00BD2224" w:rsidRDefault="00491AD3" w:rsidP="00491AD3">
      <w:pPr>
        <w:pStyle w:val="Textonotapie"/>
        <w:rPr>
          <w:sz w:val="16"/>
          <w:szCs w:val="16"/>
        </w:rPr>
      </w:pPr>
      <w:r w:rsidRPr="00BD2224">
        <w:rPr>
          <w:rStyle w:val="Refdenotaalpie"/>
          <w:sz w:val="16"/>
          <w:szCs w:val="16"/>
        </w:rPr>
        <w:footnoteRef/>
      </w:r>
      <w:r w:rsidRPr="00BD2224">
        <w:rPr>
          <w:sz w:val="16"/>
          <w:szCs w:val="16"/>
        </w:rPr>
        <w:t xml:space="preserve"> </w:t>
      </w:r>
      <w:r w:rsidRPr="00BD2224">
        <w:rPr>
          <w:rFonts w:ascii="Verdana" w:eastAsia="Calibri" w:hAnsi="Verdana" w:cs="Arial"/>
          <w:color w:val="000000" w:themeColor="text1"/>
          <w:sz w:val="16"/>
          <w:szCs w:val="16"/>
          <w:lang w:val="es-ES_tradnl"/>
        </w:rPr>
        <w:t>Artículo 2, numeral 4º, literal h), de la Ley 1150 de 2007</w:t>
      </w:r>
    </w:p>
  </w:footnote>
  <w:footnote w:id="4">
    <w:p w14:paraId="618CC31D" w14:textId="77777777" w:rsidR="00491AD3" w:rsidRPr="00F312E3" w:rsidRDefault="00491AD3" w:rsidP="00491AD3">
      <w:pPr>
        <w:pStyle w:val="Textonotapie"/>
        <w:rPr>
          <w:sz w:val="16"/>
          <w:szCs w:val="16"/>
        </w:rPr>
      </w:pPr>
      <w:r w:rsidRPr="00BD2224">
        <w:rPr>
          <w:rStyle w:val="Refdenotaalpie"/>
          <w:sz w:val="16"/>
          <w:szCs w:val="16"/>
        </w:rPr>
        <w:footnoteRef/>
      </w:r>
      <w:r w:rsidRPr="00BD2224">
        <w:rPr>
          <w:sz w:val="16"/>
          <w:szCs w:val="16"/>
        </w:rPr>
        <w:t xml:space="preserve"> </w:t>
      </w:r>
      <w:r w:rsidRPr="00BD2224">
        <w:rPr>
          <w:rFonts w:ascii="Verdana" w:hAnsi="Verdana" w:cs="Arial"/>
          <w:noProof/>
          <w:sz w:val="16"/>
          <w:szCs w:val="16"/>
          <w:lang w:val="es-ES_tradnl"/>
        </w:rPr>
        <w:t>Decreto 1082 de 2015 en su artículo 2.2.1.2.1.4.9</w:t>
      </w:r>
    </w:p>
  </w:footnote>
  <w:footnote w:id="5">
    <w:p w14:paraId="7026149C" w14:textId="77777777" w:rsidR="00491AD3" w:rsidRPr="00F312E3" w:rsidRDefault="00491AD3" w:rsidP="00491AD3">
      <w:pPr>
        <w:pStyle w:val="Textonotapie"/>
        <w:rPr>
          <w:rFonts w:ascii="Verdana" w:hAnsi="Verdana"/>
          <w:sz w:val="16"/>
          <w:szCs w:val="16"/>
        </w:rPr>
      </w:pPr>
      <w:r w:rsidRPr="00F312E3">
        <w:rPr>
          <w:rStyle w:val="Refdenotaalpie"/>
          <w:rFonts w:ascii="Verdana" w:hAnsi="Verdana"/>
          <w:sz w:val="16"/>
          <w:szCs w:val="16"/>
        </w:rPr>
        <w:footnoteRef/>
      </w:r>
      <w:r w:rsidRPr="00F312E3">
        <w:rPr>
          <w:rFonts w:ascii="Verdana" w:hAnsi="Verdana"/>
          <w:sz w:val="16"/>
          <w:szCs w:val="16"/>
        </w:rPr>
        <w:t xml:space="preserve"> Consejo de Estado. Sección Segunda. Sentencia del 9 de septiembre de 2021. Expediente No. 05001-23-33-000-2013-01143-01(1317-16). M.P. Dra. Sandra Lisset Ibarra Vélez.</w:t>
      </w:r>
    </w:p>
  </w:footnote>
  <w:footnote w:id="6">
    <w:p w14:paraId="7FF1A625" w14:textId="77777777" w:rsidR="00491AD3" w:rsidRPr="00F312E3" w:rsidRDefault="00491AD3" w:rsidP="00491AD3">
      <w:pPr>
        <w:pStyle w:val="Textonotapie"/>
        <w:jc w:val="both"/>
        <w:rPr>
          <w:rFonts w:ascii="Verdana" w:hAnsi="Verdana"/>
          <w:sz w:val="16"/>
          <w:szCs w:val="16"/>
        </w:rPr>
      </w:pPr>
      <w:r w:rsidRPr="00F312E3">
        <w:rPr>
          <w:rStyle w:val="Refdenotaalpie"/>
          <w:rFonts w:ascii="Verdana" w:hAnsi="Verdana"/>
          <w:sz w:val="16"/>
          <w:szCs w:val="16"/>
        </w:rPr>
        <w:footnoteRef/>
      </w:r>
      <w:r w:rsidRPr="00F312E3">
        <w:rPr>
          <w:rFonts w:ascii="Verdana" w:hAnsi="Verdana"/>
          <w:sz w:val="16"/>
          <w:szCs w:val="16"/>
        </w:rPr>
        <w:t xml:space="preserve"> Consejo de Estado. Sentencia del diciembre 3 de 2007, expediente No. 11001-03-26-000-2003-00014-01(24715),.</w:t>
      </w:r>
    </w:p>
  </w:footnote>
  <w:footnote w:id="7">
    <w:p w14:paraId="747FD4D8" w14:textId="77777777" w:rsidR="00491AD3" w:rsidRPr="00F312E3" w:rsidRDefault="00491AD3" w:rsidP="00491AD3">
      <w:pPr>
        <w:pStyle w:val="Textonotapie"/>
        <w:ind w:firstLine="708"/>
        <w:contextualSpacing/>
        <w:jc w:val="both"/>
        <w:rPr>
          <w:rFonts w:ascii="Arial" w:hAnsi="Arial" w:cs="Arial"/>
          <w:sz w:val="16"/>
          <w:szCs w:val="16"/>
          <w:lang w:val="es-ES"/>
        </w:rPr>
      </w:pPr>
      <w:r w:rsidRPr="00F312E3">
        <w:rPr>
          <w:rStyle w:val="Refdenotaalpie"/>
          <w:rFonts w:ascii="Arial" w:hAnsi="Arial" w:cs="Arial"/>
          <w:sz w:val="16"/>
          <w:szCs w:val="16"/>
        </w:rPr>
        <w:footnoteRef/>
      </w:r>
      <w:r w:rsidRPr="00F312E3">
        <w:rPr>
          <w:rFonts w:ascii="Arial" w:hAnsi="Arial" w:cs="Arial"/>
          <w:sz w:val="16"/>
          <w:szCs w:val="16"/>
        </w:rPr>
        <w:t xml:space="preserve"> </w:t>
      </w:r>
      <w:r w:rsidRPr="00F312E3">
        <w:rPr>
          <w:rFonts w:ascii="Arial" w:hAnsi="Arial" w:cs="Arial"/>
          <w:sz w:val="16"/>
          <w:szCs w:val="16"/>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671568F7" w14:textId="77777777" w:rsidR="00491AD3" w:rsidRPr="00F312E3" w:rsidRDefault="00491AD3" w:rsidP="00491AD3">
      <w:pPr>
        <w:pStyle w:val="Textonotapie"/>
        <w:ind w:firstLine="709"/>
        <w:contextualSpacing/>
        <w:jc w:val="both"/>
        <w:rPr>
          <w:rFonts w:ascii="Arial" w:hAnsi="Arial" w:cs="Arial"/>
          <w:sz w:val="16"/>
          <w:szCs w:val="16"/>
          <w:lang w:val="es-ES"/>
        </w:rPr>
      </w:pPr>
    </w:p>
  </w:footnote>
  <w:footnote w:id="8">
    <w:p w14:paraId="3B68A75E" w14:textId="77777777" w:rsidR="00491AD3" w:rsidRPr="00F312E3" w:rsidRDefault="00491AD3" w:rsidP="00491AD3">
      <w:pPr>
        <w:pStyle w:val="Textonotapie"/>
        <w:ind w:firstLine="709"/>
        <w:contextualSpacing/>
        <w:jc w:val="both"/>
        <w:rPr>
          <w:rFonts w:ascii="Arial" w:hAnsi="Arial" w:cs="Arial"/>
          <w:sz w:val="16"/>
          <w:szCs w:val="16"/>
          <w:lang w:val="es-ES"/>
        </w:rPr>
      </w:pPr>
      <w:r w:rsidRPr="00F312E3">
        <w:rPr>
          <w:rStyle w:val="Refdenotaalpie"/>
          <w:rFonts w:ascii="Arial" w:hAnsi="Arial" w:cs="Arial"/>
          <w:sz w:val="16"/>
          <w:szCs w:val="16"/>
        </w:rPr>
        <w:footnoteRef/>
      </w:r>
      <w:r w:rsidRPr="00F312E3">
        <w:rPr>
          <w:rFonts w:ascii="Arial" w:hAnsi="Arial" w:cs="Arial"/>
          <w:sz w:val="16"/>
          <w:szCs w:val="16"/>
        </w:rPr>
        <w:t xml:space="preserve"> </w:t>
      </w:r>
      <w:r w:rsidRPr="00F312E3">
        <w:rPr>
          <w:rFonts w:ascii="Arial" w:hAnsi="Arial" w:cs="Arial"/>
          <w:sz w:val="16"/>
          <w:szCs w:val="16"/>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38E9A09C" w14:textId="77777777" w:rsidR="00491AD3" w:rsidRPr="00F312E3" w:rsidRDefault="00491AD3" w:rsidP="00491AD3">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75C343E1" w14:textId="77777777" w:rsidR="00491AD3" w:rsidRPr="00F312E3" w:rsidRDefault="00491AD3" w:rsidP="00491AD3">
      <w:pPr>
        <w:pStyle w:val="Textonotapie"/>
        <w:ind w:firstLine="709"/>
        <w:contextualSpacing/>
        <w:jc w:val="both"/>
        <w:rPr>
          <w:rFonts w:ascii="Arial" w:hAnsi="Arial" w:cs="Arial"/>
          <w:sz w:val="16"/>
          <w:szCs w:val="16"/>
          <w:lang w:val="pt-BR"/>
        </w:rPr>
      </w:pPr>
      <w:r w:rsidRPr="00F312E3">
        <w:rPr>
          <w:rFonts w:ascii="Arial" w:hAnsi="Arial" w:cs="Arial"/>
          <w:sz w:val="16"/>
          <w:szCs w:val="16"/>
          <w:lang w:val="es-ES"/>
        </w:rPr>
        <w:t>El Gobierno nacional reglamentará el mecanismo para realizar la mensualización de que trata el presente artículo.</w:t>
      </w:r>
      <w:r w:rsidRPr="00F312E3">
        <w:rPr>
          <w:rFonts w:ascii="Arial" w:hAnsi="Arial" w:cs="Arial"/>
          <w:sz w:val="16"/>
          <w:szCs w:val="16"/>
          <w:lang w:val="pt-BR"/>
        </w:rPr>
        <w:t>[…]”.</w:t>
      </w:r>
    </w:p>
    <w:p w14:paraId="5F100C51" w14:textId="77777777" w:rsidR="00491AD3" w:rsidRPr="00F312E3" w:rsidRDefault="00491AD3" w:rsidP="00491AD3">
      <w:pPr>
        <w:pStyle w:val="Textonotapie"/>
        <w:ind w:firstLine="709"/>
        <w:contextualSpacing/>
        <w:jc w:val="both"/>
        <w:rPr>
          <w:rFonts w:ascii="Arial" w:hAnsi="Arial" w:cs="Arial"/>
          <w:sz w:val="16"/>
          <w:szCs w:val="16"/>
          <w:lang w:val="pt-BR"/>
        </w:rPr>
      </w:pPr>
    </w:p>
  </w:footnote>
  <w:footnote w:id="9">
    <w:p w14:paraId="05B569C1" w14:textId="77777777" w:rsidR="00491AD3" w:rsidRPr="00F312E3" w:rsidRDefault="00491AD3" w:rsidP="00491AD3">
      <w:pPr>
        <w:pStyle w:val="Textonotapie"/>
        <w:ind w:firstLine="709"/>
        <w:contextualSpacing/>
        <w:jc w:val="both"/>
        <w:rPr>
          <w:rFonts w:ascii="Arial" w:hAnsi="Arial" w:cs="Arial"/>
          <w:sz w:val="16"/>
          <w:szCs w:val="16"/>
          <w:lang w:val="es-ES"/>
        </w:rPr>
      </w:pPr>
      <w:r w:rsidRPr="00F312E3">
        <w:rPr>
          <w:rStyle w:val="Refdenotaalpie"/>
          <w:rFonts w:ascii="Arial" w:hAnsi="Arial" w:cs="Arial"/>
          <w:sz w:val="16"/>
          <w:szCs w:val="16"/>
        </w:rPr>
        <w:footnoteRef/>
      </w:r>
      <w:r w:rsidRPr="00F312E3">
        <w:rPr>
          <w:rFonts w:ascii="Arial" w:hAnsi="Arial" w:cs="Arial"/>
          <w:sz w:val="16"/>
          <w:szCs w:val="16"/>
        </w:rPr>
        <w:t xml:space="preserve"> </w:t>
      </w:r>
      <w:r w:rsidRPr="00F312E3">
        <w:rPr>
          <w:rFonts w:ascii="Arial" w:hAnsi="Arial" w:cs="Arial"/>
          <w:sz w:val="16"/>
          <w:szCs w:val="16"/>
          <w:lang w:val="es-ES"/>
        </w:rPr>
        <w:t>Ibíd.</w:t>
      </w:r>
    </w:p>
    <w:p w14:paraId="1BA6BAED" w14:textId="77777777" w:rsidR="00491AD3" w:rsidRPr="00F312E3" w:rsidRDefault="00491AD3" w:rsidP="00491AD3">
      <w:pPr>
        <w:pStyle w:val="Textonotapie"/>
        <w:ind w:firstLine="709"/>
        <w:contextualSpacing/>
        <w:jc w:val="both"/>
        <w:rPr>
          <w:rFonts w:ascii="Arial" w:hAnsi="Arial" w:cs="Arial"/>
          <w:sz w:val="16"/>
          <w:szCs w:val="16"/>
          <w:lang w:val="es-ES"/>
        </w:rPr>
      </w:pPr>
    </w:p>
  </w:footnote>
  <w:footnote w:id="10">
    <w:p w14:paraId="665DD735" w14:textId="77777777" w:rsidR="00491AD3" w:rsidRPr="00F312E3" w:rsidRDefault="00491AD3" w:rsidP="00491AD3">
      <w:pPr>
        <w:pStyle w:val="Textonotapie"/>
        <w:ind w:firstLine="709"/>
        <w:contextualSpacing/>
        <w:jc w:val="both"/>
        <w:rPr>
          <w:rFonts w:ascii="Arial" w:hAnsi="Arial" w:cs="Arial"/>
          <w:sz w:val="16"/>
          <w:szCs w:val="16"/>
        </w:rPr>
      </w:pPr>
      <w:r w:rsidRPr="00F312E3">
        <w:rPr>
          <w:rStyle w:val="Refdenotaalpie"/>
          <w:rFonts w:ascii="Arial" w:hAnsi="Arial" w:cs="Arial"/>
          <w:sz w:val="16"/>
          <w:szCs w:val="16"/>
        </w:rPr>
        <w:footnoteRef/>
      </w:r>
      <w:r w:rsidRPr="00F312E3">
        <w:rPr>
          <w:rFonts w:ascii="Arial" w:hAnsi="Arial" w:cs="Arial"/>
          <w:sz w:val="16"/>
          <w:szCs w:val="16"/>
        </w:rPr>
        <w:t xml:space="preserve"> </w:t>
      </w:r>
      <w:r w:rsidRPr="00F312E3">
        <w:rPr>
          <w:rFonts w:ascii="Arial" w:hAnsi="Arial" w:cs="Arial"/>
          <w:sz w:val="16"/>
          <w:szCs w:val="16"/>
          <w:lang w:val="es-ES"/>
        </w:rPr>
        <w:t>CONSEJO DE ESTADO. Sección Tercera. Subsección C. Sentencia de Unificación del 2 de diciembre de 2013. Exp. 41.719. C.P. Jaime Orlando Santofimio Gamboa.</w:t>
      </w:r>
      <w:r w:rsidRPr="00F312E3">
        <w:rPr>
          <w:rFonts w:ascii="Arial" w:hAnsi="Arial" w:cs="Arial"/>
          <w:sz w:val="16"/>
          <w:szCs w:val="16"/>
        </w:rPr>
        <w:t xml:space="preserve"> </w:t>
      </w:r>
    </w:p>
    <w:p w14:paraId="3916068A" w14:textId="77777777" w:rsidR="00491AD3" w:rsidRPr="00F312E3" w:rsidRDefault="00491AD3" w:rsidP="00491AD3">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1D05A065" w14:textId="77777777" w:rsidR="00491AD3" w:rsidRPr="00F312E3" w:rsidRDefault="00491AD3" w:rsidP="00491AD3">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Son también contratos de consultoría los que tienen por objeto la interventoría, asesoría, gerencia de obra o de proyectos, dirección, programación y la ejecución de diseños, planos, anteproyectos y proyectos.</w:t>
      </w:r>
    </w:p>
    <w:p w14:paraId="7BE7085F" w14:textId="77777777" w:rsidR="00491AD3" w:rsidRPr="00F312E3" w:rsidRDefault="00491AD3" w:rsidP="00491AD3">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Ninguna orden del interventor de una obra podrá darse verbalmente. Es obligatorio para el interventor entregar por escrito sus órdenes o sugerencias y ellas deben enmarcarse dentro de los términos del respectivo contrato”.</w:t>
      </w:r>
    </w:p>
    <w:p w14:paraId="693921DD" w14:textId="77777777" w:rsidR="00491AD3" w:rsidRPr="00F312E3" w:rsidRDefault="00491AD3" w:rsidP="00491AD3">
      <w:pPr>
        <w:pStyle w:val="Textonotapie"/>
        <w:ind w:firstLine="709"/>
        <w:contextualSpacing/>
        <w:jc w:val="both"/>
        <w:rPr>
          <w:rFonts w:ascii="Arial" w:hAnsi="Arial" w:cs="Arial"/>
          <w:sz w:val="16"/>
          <w:szCs w:val="16"/>
          <w:lang w:val="es-ES"/>
        </w:rPr>
      </w:pPr>
    </w:p>
  </w:footnote>
  <w:footnote w:id="11">
    <w:p w14:paraId="4FD51724" w14:textId="77777777" w:rsidR="00491AD3" w:rsidRPr="00F312E3" w:rsidRDefault="00491AD3" w:rsidP="00491AD3">
      <w:pPr>
        <w:pStyle w:val="Textonotapie"/>
        <w:ind w:firstLine="709"/>
        <w:contextualSpacing/>
        <w:jc w:val="both"/>
        <w:rPr>
          <w:rFonts w:ascii="Arial" w:hAnsi="Arial" w:cs="Arial"/>
          <w:sz w:val="16"/>
          <w:szCs w:val="16"/>
          <w:lang w:val="es-ES"/>
        </w:rPr>
      </w:pPr>
      <w:r w:rsidRPr="00F312E3">
        <w:rPr>
          <w:rStyle w:val="Refdenotaalpie"/>
          <w:rFonts w:ascii="Arial" w:hAnsi="Arial" w:cs="Arial"/>
          <w:sz w:val="16"/>
          <w:szCs w:val="16"/>
        </w:rPr>
        <w:footnoteRef/>
      </w:r>
      <w:r w:rsidRPr="00F312E3">
        <w:rPr>
          <w:rFonts w:ascii="Arial" w:hAnsi="Arial" w:cs="Arial"/>
          <w:sz w:val="16"/>
          <w:szCs w:val="16"/>
        </w:rPr>
        <w:t xml:space="preserve"> </w:t>
      </w:r>
      <w:r w:rsidRPr="00F312E3">
        <w:rPr>
          <w:rFonts w:ascii="Arial" w:hAnsi="Arial" w:cs="Arial"/>
          <w:sz w:val="16"/>
          <w:szCs w:val="16"/>
          <w:lang w:val="es-ES"/>
        </w:rPr>
        <w:t>Así lo dispone el artículo 2.2.1.2.1.4.1. del Decreto 1082 de 2015: “La Entidad Estatal debe señalar en un acto administrativo la justificación para contratar bajo la modalidad de contratación directa, el cual debe contener:</w:t>
      </w:r>
    </w:p>
    <w:p w14:paraId="3CE5A395" w14:textId="77777777" w:rsidR="00491AD3" w:rsidRPr="00F312E3" w:rsidRDefault="00491AD3" w:rsidP="00491AD3">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1. La causal que invoca para contratar directamente.</w:t>
      </w:r>
    </w:p>
    <w:p w14:paraId="50C16D5C" w14:textId="77777777" w:rsidR="00491AD3" w:rsidRPr="00F312E3" w:rsidRDefault="00491AD3" w:rsidP="00491AD3">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2. El objeto del contrato.</w:t>
      </w:r>
    </w:p>
    <w:p w14:paraId="278D4148" w14:textId="77777777" w:rsidR="00491AD3" w:rsidRPr="00F312E3" w:rsidRDefault="00491AD3" w:rsidP="00491AD3">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3. El presupuesto para la contratación y las condiciones que exigirá al contratista.</w:t>
      </w:r>
    </w:p>
    <w:p w14:paraId="710E3F58" w14:textId="77777777" w:rsidR="00491AD3" w:rsidRPr="00F312E3" w:rsidRDefault="00491AD3" w:rsidP="00491AD3">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4. El lugar en el cual los interesados pueden consultar los estudios y documentos previos.</w:t>
      </w:r>
    </w:p>
    <w:p w14:paraId="4AA10B27" w14:textId="77777777" w:rsidR="00491AD3" w:rsidRPr="00F312E3" w:rsidRDefault="00491AD3" w:rsidP="00491AD3">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1F35BE7F" w14:textId="77777777" w:rsidR="00491AD3" w:rsidRPr="00F312E3" w:rsidRDefault="00491AD3" w:rsidP="00491AD3">
      <w:pPr>
        <w:pStyle w:val="Textonotapie"/>
        <w:ind w:firstLine="709"/>
        <w:contextualSpacing/>
        <w:jc w:val="both"/>
        <w:rPr>
          <w:rFonts w:ascii="Arial" w:hAnsi="Arial" w:cs="Arial"/>
          <w:sz w:val="16"/>
          <w:szCs w:val="16"/>
          <w:lang w:val="es-ES"/>
        </w:rPr>
      </w:pPr>
      <w:r w:rsidRPr="00F312E3">
        <w:rPr>
          <w:rStyle w:val="Refdenotaalpie"/>
          <w:rFonts w:ascii="Arial" w:hAnsi="Arial" w:cs="Arial"/>
          <w:sz w:val="16"/>
          <w:szCs w:val="16"/>
        </w:rPr>
        <w:footnoteRef/>
      </w:r>
      <w:r w:rsidRPr="00F312E3">
        <w:rPr>
          <w:rFonts w:ascii="Arial" w:hAnsi="Arial" w:cs="Arial"/>
          <w:sz w:val="16"/>
          <w:szCs w:val="16"/>
        </w:rPr>
        <w:t xml:space="preserve"> </w:t>
      </w:r>
      <w:r w:rsidRPr="00F312E3">
        <w:rPr>
          <w:rFonts w:ascii="Arial" w:hAnsi="Arial" w:cs="Arial"/>
          <w:sz w:val="16"/>
          <w:szCs w:val="16"/>
          <w:lang w:val="es-ES"/>
        </w:rPr>
        <w:t xml:space="preserve">La norma expresa: “Art. 14. </w:t>
      </w:r>
      <w:r w:rsidRPr="00F312E3">
        <w:rPr>
          <w:rFonts w:ascii="Arial" w:hAnsi="Arial" w:cs="Arial"/>
          <w:sz w:val="16"/>
          <w:szCs w:val="16"/>
        </w:rPr>
        <w:t>P</w:t>
      </w:r>
      <w:r w:rsidRPr="00F312E3">
        <w:rPr>
          <w:rFonts w:ascii="Arial" w:hAnsi="Arial" w:cs="Arial"/>
          <w:sz w:val="16"/>
          <w:szCs w:val="16"/>
          <w:lang w:val="es-ES"/>
        </w:rPr>
        <w:t>ara el cumplimiento de los fines de la contratación, las entidades estatales al celebrar un contrato:</w:t>
      </w:r>
    </w:p>
    <w:p w14:paraId="6BD9D41E" w14:textId="77777777" w:rsidR="00491AD3" w:rsidRPr="00F312E3" w:rsidRDefault="00491AD3" w:rsidP="00491AD3">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w:t>
      </w:r>
    </w:p>
    <w:p w14:paraId="1EAB75C4" w14:textId="77777777" w:rsidR="00491AD3" w:rsidRPr="00F312E3" w:rsidRDefault="00491AD3" w:rsidP="00491AD3">
      <w:pPr>
        <w:pStyle w:val="Textonotapie"/>
        <w:ind w:firstLine="709"/>
        <w:contextualSpacing/>
        <w:jc w:val="both"/>
        <w:rPr>
          <w:rFonts w:ascii="Arial" w:hAnsi="Arial" w:cs="Arial"/>
          <w:sz w:val="16"/>
          <w:szCs w:val="16"/>
          <w:lang w:val="es-ES"/>
        </w:rPr>
      </w:pPr>
    </w:p>
    <w:p w14:paraId="32D1A537" w14:textId="77777777" w:rsidR="00491AD3" w:rsidRPr="00F312E3" w:rsidRDefault="00491AD3" w:rsidP="00491AD3">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2FBBED9F" w14:textId="77777777" w:rsidR="00491AD3" w:rsidRPr="00F312E3" w:rsidRDefault="00491AD3" w:rsidP="00491AD3">
      <w:pPr>
        <w:pStyle w:val="Textonotapie"/>
        <w:ind w:firstLine="708"/>
        <w:contextualSpacing/>
        <w:jc w:val="both"/>
        <w:rPr>
          <w:rFonts w:ascii="Arial" w:hAnsi="Arial" w:cs="Arial"/>
          <w:sz w:val="16"/>
          <w:szCs w:val="16"/>
          <w:lang w:val="es-ES"/>
        </w:rPr>
      </w:pPr>
      <w:r w:rsidRPr="00F312E3">
        <w:rPr>
          <w:rFonts w:ascii="Arial" w:hAnsi="Arial" w:cs="Arial"/>
          <w:sz w:val="16"/>
          <w:szCs w:val="16"/>
          <w:lang w:val="es-ES"/>
        </w:rPr>
        <w:t>Las entidades estatales podrán pactar estas cláusulas en los contratos de suministro y de prestación de servicios.”.</w:t>
      </w:r>
    </w:p>
    <w:p w14:paraId="5797C0E8" w14:textId="77777777" w:rsidR="00491AD3" w:rsidRPr="00F312E3" w:rsidRDefault="00491AD3" w:rsidP="00491AD3">
      <w:pPr>
        <w:pStyle w:val="Textonotapie"/>
        <w:ind w:firstLine="709"/>
        <w:contextualSpacing/>
        <w:jc w:val="both"/>
        <w:rPr>
          <w:rFonts w:ascii="Arial" w:hAnsi="Arial" w:cs="Arial"/>
          <w:sz w:val="16"/>
          <w:szCs w:val="16"/>
          <w:lang w:val="es-ES"/>
        </w:rPr>
      </w:pPr>
    </w:p>
  </w:footnote>
  <w:footnote w:id="13">
    <w:p w14:paraId="73D05D71" w14:textId="77777777" w:rsidR="00491AD3" w:rsidRPr="00F312E3" w:rsidRDefault="00491AD3" w:rsidP="00491AD3">
      <w:pPr>
        <w:pStyle w:val="Textonotapie"/>
        <w:ind w:firstLine="709"/>
        <w:contextualSpacing/>
        <w:jc w:val="both"/>
        <w:rPr>
          <w:rFonts w:ascii="Arial" w:hAnsi="Arial" w:cs="Arial"/>
          <w:sz w:val="16"/>
          <w:szCs w:val="16"/>
          <w:lang w:val="es-ES"/>
        </w:rPr>
      </w:pPr>
      <w:r w:rsidRPr="00F312E3">
        <w:rPr>
          <w:rStyle w:val="Refdenotaalpie"/>
          <w:rFonts w:ascii="Arial" w:hAnsi="Arial" w:cs="Arial"/>
          <w:sz w:val="16"/>
          <w:szCs w:val="16"/>
        </w:rPr>
        <w:footnoteRef/>
      </w:r>
      <w:r w:rsidRPr="00F312E3">
        <w:rPr>
          <w:rFonts w:ascii="Arial" w:hAnsi="Arial" w:cs="Arial"/>
          <w:sz w:val="16"/>
          <w:szCs w:val="16"/>
        </w:rPr>
        <w:t xml:space="preserve"> </w:t>
      </w:r>
      <w:r w:rsidRPr="00F312E3">
        <w:rPr>
          <w:rFonts w:ascii="Arial" w:hAnsi="Arial" w:cs="Arial"/>
          <w:sz w:val="16"/>
          <w:szCs w:val="16"/>
          <w:lang w:val="es-ES"/>
        </w:rPr>
        <w:t>La norma dispone: “La liquidación a que se refiere el presente artículo no será obligatoria en los contratos de prestación de servicios profesionales y de apoyo a la gestión”.</w:t>
      </w:r>
    </w:p>
    <w:p w14:paraId="1B9DBE1A" w14:textId="77777777" w:rsidR="00491AD3" w:rsidRPr="00F312E3" w:rsidRDefault="00491AD3" w:rsidP="00491AD3">
      <w:pPr>
        <w:pStyle w:val="Textonotapie"/>
        <w:ind w:firstLine="709"/>
        <w:contextualSpacing/>
        <w:jc w:val="both"/>
        <w:rPr>
          <w:rFonts w:ascii="Arial" w:hAnsi="Arial" w:cs="Arial"/>
          <w:sz w:val="16"/>
          <w:szCs w:val="16"/>
          <w:lang w:val="es-ES"/>
        </w:rPr>
      </w:pPr>
    </w:p>
  </w:footnote>
  <w:footnote w:id="14">
    <w:p w14:paraId="0D929D47" w14:textId="77777777" w:rsidR="00491AD3" w:rsidRPr="00F312E3" w:rsidRDefault="00491AD3" w:rsidP="00491AD3">
      <w:pPr>
        <w:pStyle w:val="Textonotapie"/>
        <w:ind w:firstLine="709"/>
        <w:contextualSpacing/>
        <w:jc w:val="both"/>
        <w:rPr>
          <w:rFonts w:ascii="Arial" w:hAnsi="Arial" w:cs="Arial"/>
          <w:sz w:val="16"/>
          <w:szCs w:val="16"/>
        </w:rPr>
      </w:pPr>
      <w:r w:rsidRPr="00F312E3">
        <w:rPr>
          <w:rStyle w:val="Refdenotaalpie"/>
          <w:rFonts w:ascii="Arial" w:hAnsi="Arial" w:cs="Arial"/>
          <w:sz w:val="16"/>
          <w:szCs w:val="16"/>
        </w:rPr>
        <w:footnoteRef/>
      </w:r>
      <w:r w:rsidRPr="00F312E3">
        <w:rPr>
          <w:rFonts w:ascii="Arial" w:hAnsi="Arial" w:cs="Arial"/>
          <w:sz w:val="16"/>
          <w:szCs w:val="16"/>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CA85840" w14:textId="77777777" w:rsidR="00491AD3" w:rsidRPr="00F312E3" w:rsidRDefault="00491AD3" w:rsidP="00491AD3">
      <w:pPr>
        <w:pStyle w:val="Textonotapie"/>
        <w:ind w:firstLine="709"/>
        <w:contextualSpacing/>
        <w:jc w:val="both"/>
        <w:rPr>
          <w:rFonts w:ascii="Arial" w:hAnsi="Arial" w:cs="Arial"/>
          <w:sz w:val="16"/>
          <w:szCs w:val="16"/>
        </w:rPr>
      </w:pPr>
      <w:r w:rsidRPr="00F312E3">
        <w:rPr>
          <w:rFonts w:ascii="Arial" w:hAnsi="Arial" w:cs="Arial"/>
          <w:sz w:val="16"/>
          <w:szCs w:val="16"/>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714E7693" w14:textId="77777777" w:rsidR="00491AD3" w:rsidRPr="00F312E3" w:rsidRDefault="00491AD3" w:rsidP="00491AD3">
      <w:pPr>
        <w:pStyle w:val="Textonotapie"/>
        <w:ind w:firstLine="709"/>
        <w:contextualSpacing/>
        <w:jc w:val="both"/>
        <w:rPr>
          <w:rFonts w:ascii="Arial" w:hAnsi="Arial" w:cs="Arial"/>
          <w:sz w:val="16"/>
          <w:szCs w:val="16"/>
          <w:lang w:val="es-ES"/>
        </w:rPr>
      </w:pPr>
    </w:p>
  </w:footnote>
  <w:footnote w:id="15">
    <w:p w14:paraId="6A27D1BF" w14:textId="77777777" w:rsidR="00491AD3" w:rsidRPr="00F312E3" w:rsidRDefault="00491AD3" w:rsidP="00491AD3">
      <w:pPr>
        <w:pStyle w:val="Textonotapie"/>
        <w:spacing w:after="120"/>
        <w:ind w:firstLine="709"/>
        <w:jc w:val="both"/>
        <w:rPr>
          <w:rFonts w:ascii="Verdana" w:hAnsi="Verdana"/>
          <w:sz w:val="16"/>
          <w:szCs w:val="16"/>
          <w:lang w:val="es-CO"/>
        </w:rPr>
      </w:pPr>
      <w:r w:rsidRPr="00F312E3">
        <w:rPr>
          <w:rStyle w:val="Refdenotaalpie"/>
          <w:rFonts w:ascii="Verdana" w:hAnsi="Verdana"/>
          <w:sz w:val="16"/>
          <w:szCs w:val="16"/>
        </w:rPr>
        <w:footnoteRef/>
      </w:r>
      <w:r w:rsidRPr="00F312E3">
        <w:rPr>
          <w:rFonts w:ascii="Verdana" w:hAnsi="Verdana"/>
          <w:sz w:val="16"/>
          <w:szCs w:val="16"/>
        </w:rPr>
        <w:t xml:space="preserve"> Ley 80 de 1993: “</w:t>
      </w:r>
      <w:r w:rsidRPr="00DA2DBA">
        <w:rPr>
          <w:rFonts w:ascii="Verdana" w:hAnsi="Verdana"/>
          <w:sz w:val="16"/>
          <w:szCs w:val="16"/>
          <w:lang w:val="es-CO"/>
        </w:rPr>
        <w:t>Artículo</w:t>
      </w:r>
      <w:r w:rsidRPr="00F312E3">
        <w:rPr>
          <w:rFonts w:ascii="Verdana" w:hAnsi="Verdana"/>
          <w:sz w:val="16"/>
          <w:szCs w:val="16"/>
          <w:lang w:val="es-CO"/>
        </w:rPr>
        <w:t xml:space="preserve"> 3o. De los fines de la contratación estatal.</w:t>
      </w:r>
      <w:r w:rsidRPr="00F312E3">
        <w:rPr>
          <w:rFonts w:ascii="Verdana" w:hAnsi="Verdana"/>
          <w:b/>
          <w:bCs/>
          <w:sz w:val="16"/>
          <w:szCs w:val="16"/>
          <w:lang w:val="es-CO"/>
        </w:rPr>
        <w:t> </w:t>
      </w:r>
      <w:r w:rsidRPr="00F312E3">
        <w:rPr>
          <w:rFonts w:ascii="Verdana" w:hAnsi="Verdana"/>
          <w:sz w:val="16"/>
          <w:szCs w:val="16"/>
          <w:lang w:val="es-CO"/>
        </w:rPr>
        <w:t>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w:t>
      </w:r>
    </w:p>
    <w:p w14:paraId="14A67F68" w14:textId="77777777" w:rsidR="00491AD3" w:rsidRPr="00F312E3" w:rsidRDefault="00491AD3" w:rsidP="00491AD3">
      <w:pPr>
        <w:pStyle w:val="Textonotapie"/>
        <w:ind w:firstLine="708"/>
        <w:jc w:val="both"/>
        <w:rPr>
          <w:sz w:val="16"/>
          <w:szCs w:val="16"/>
        </w:rPr>
      </w:pPr>
      <w:r w:rsidRPr="00F312E3">
        <w:rPr>
          <w:rFonts w:ascii="Verdana" w:hAnsi="Verdana"/>
          <w:sz w:val="16"/>
          <w:szCs w:val="16"/>
          <w:lang w:val="es-CO"/>
        </w:rPr>
        <w:t>  Los particulares, por su parte, tendrán en cuenta al celebrar y ejecutar contratos con las entidades estatales que, además de la obtención de utilidades cuya protección garantiza el Estado, colaboran con ellas en el logro de sus fines y cumplen una función social que, como tal, implica obligaciones”.</w:t>
      </w:r>
      <w:r w:rsidRPr="00F312E3">
        <w:rPr>
          <w:sz w:val="16"/>
          <w:szCs w:val="16"/>
          <w:lang w:val="es-CO"/>
        </w:rPr>
        <w:t> </w:t>
      </w:r>
      <w:r w:rsidRPr="00F312E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BD17754"/>
    <w:multiLevelType w:val="hybridMultilevel"/>
    <w:tmpl w:val="5ED6B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063B03"/>
    <w:multiLevelType w:val="hybridMultilevel"/>
    <w:tmpl w:val="85744C38"/>
    <w:lvl w:ilvl="0" w:tplc="F39A223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D2527E0"/>
    <w:multiLevelType w:val="hybridMultilevel"/>
    <w:tmpl w:val="DD7EB5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9F87EE3"/>
    <w:multiLevelType w:val="hybridMultilevel"/>
    <w:tmpl w:val="051C8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2" w15:restartNumberingAfterBreak="0">
    <w:nsid w:val="4ECE7AB2"/>
    <w:multiLevelType w:val="hybridMultilevel"/>
    <w:tmpl w:val="AB1AA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62D0928"/>
    <w:multiLevelType w:val="hybridMultilevel"/>
    <w:tmpl w:val="1460E82C"/>
    <w:lvl w:ilvl="0" w:tplc="B5643C1A">
      <w:numFmt w:val="bullet"/>
      <w:lvlText w:val="-"/>
      <w:lvlJc w:val="left"/>
      <w:pPr>
        <w:ind w:left="435" w:hanging="360"/>
      </w:pPr>
      <w:rPr>
        <w:rFonts w:ascii="Verdana" w:eastAsia="Calibri" w:hAnsi="Verdana" w:cs="Arial" w:hint="default"/>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num w:numId="1" w16cid:durableId="1290670214">
    <w:abstractNumId w:val="8"/>
  </w:num>
  <w:num w:numId="2" w16cid:durableId="4285022">
    <w:abstractNumId w:val="2"/>
  </w:num>
  <w:num w:numId="3" w16cid:durableId="881983949">
    <w:abstractNumId w:val="5"/>
  </w:num>
  <w:num w:numId="4" w16cid:durableId="341274352">
    <w:abstractNumId w:val="0"/>
  </w:num>
  <w:num w:numId="5" w16cid:durableId="1887524674">
    <w:abstractNumId w:val="11"/>
  </w:num>
  <w:num w:numId="6" w16cid:durableId="1082990391">
    <w:abstractNumId w:val="1"/>
  </w:num>
  <w:num w:numId="7" w16cid:durableId="1492209491">
    <w:abstractNumId w:val="7"/>
  </w:num>
  <w:num w:numId="8" w16cid:durableId="679089576">
    <w:abstractNumId w:val="9"/>
  </w:num>
  <w:num w:numId="9" w16cid:durableId="18451212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2355891">
    <w:abstractNumId w:val="6"/>
  </w:num>
  <w:num w:numId="11" w16cid:durableId="1474638032">
    <w:abstractNumId w:val="13"/>
  </w:num>
  <w:num w:numId="12" w16cid:durableId="71515266">
    <w:abstractNumId w:val="3"/>
  </w:num>
  <w:num w:numId="13" w16cid:durableId="1068118100">
    <w:abstractNumId w:val="12"/>
  </w:num>
  <w:num w:numId="14" w16cid:durableId="679741388">
    <w:abstractNumId w:val="10"/>
  </w:num>
  <w:num w:numId="15" w16cid:durableId="1622565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0DAB"/>
    <w:rsid w:val="00031584"/>
    <w:rsid w:val="00032A0E"/>
    <w:rsid w:val="00037347"/>
    <w:rsid w:val="000442CC"/>
    <w:rsid w:val="000556D4"/>
    <w:rsid w:val="000716AB"/>
    <w:rsid w:val="00082E4C"/>
    <w:rsid w:val="000849D5"/>
    <w:rsid w:val="0008528F"/>
    <w:rsid w:val="000A3BB8"/>
    <w:rsid w:val="000A6E0C"/>
    <w:rsid w:val="000A7A56"/>
    <w:rsid w:val="000B1FF7"/>
    <w:rsid w:val="000B2513"/>
    <w:rsid w:val="000B4024"/>
    <w:rsid w:val="000C3C51"/>
    <w:rsid w:val="000C7262"/>
    <w:rsid w:val="000D2A7F"/>
    <w:rsid w:val="000D4FCE"/>
    <w:rsid w:val="0011037E"/>
    <w:rsid w:val="001363C7"/>
    <w:rsid w:val="00141AC5"/>
    <w:rsid w:val="00146B11"/>
    <w:rsid w:val="00147A04"/>
    <w:rsid w:val="0015476D"/>
    <w:rsid w:val="00161E13"/>
    <w:rsid w:val="00164AE0"/>
    <w:rsid w:val="00165E83"/>
    <w:rsid w:val="00166CD7"/>
    <w:rsid w:val="0017120C"/>
    <w:rsid w:val="00172F3A"/>
    <w:rsid w:val="0019532A"/>
    <w:rsid w:val="0019670E"/>
    <w:rsid w:val="00197205"/>
    <w:rsid w:val="001A5DD4"/>
    <w:rsid w:val="001A67E9"/>
    <w:rsid w:val="001B143B"/>
    <w:rsid w:val="001B21CA"/>
    <w:rsid w:val="001C04FC"/>
    <w:rsid w:val="001C25A3"/>
    <w:rsid w:val="001C5D03"/>
    <w:rsid w:val="001C7771"/>
    <w:rsid w:val="001D62FF"/>
    <w:rsid w:val="001F3ADC"/>
    <w:rsid w:val="001F3F48"/>
    <w:rsid w:val="002000AA"/>
    <w:rsid w:val="00204109"/>
    <w:rsid w:val="00211E6E"/>
    <w:rsid w:val="00212A46"/>
    <w:rsid w:val="0021401D"/>
    <w:rsid w:val="002146B8"/>
    <w:rsid w:val="00215516"/>
    <w:rsid w:val="002527C2"/>
    <w:rsid w:val="00270443"/>
    <w:rsid w:val="00270EE2"/>
    <w:rsid w:val="00272972"/>
    <w:rsid w:val="00286491"/>
    <w:rsid w:val="002A0F8D"/>
    <w:rsid w:val="002B6E44"/>
    <w:rsid w:val="002E1DB5"/>
    <w:rsid w:val="002F6CCB"/>
    <w:rsid w:val="003015FD"/>
    <w:rsid w:val="0030461E"/>
    <w:rsid w:val="0032756A"/>
    <w:rsid w:val="00334EF8"/>
    <w:rsid w:val="00336408"/>
    <w:rsid w:val="00340DFB"/>
    <w:rsid w:val="0034404F"/>
    <w:rsid w:val="00356980"/>
    <w:rsid w:val="00367462"/>
    <w:rsid w:val="00371365"/>
    <w:rsid w:val="00371ECA"/>
    <w:rsid w:val="00372748"/>
    <w:rsid w:val="0037332A"/>
    <w:rsid w:val="0038087A"/>
    <w:rsid w:val="0038151A"/>
    <w:rsid w:val="0039082A"/>
    <w:rsid w:val="00390C21"/>
    <w:rsid w:val="003A37BD"/>
    <w:rsid w:val="003B6D94"/>
    <w:rsid w:val="003C4C96"/>
    <w:rsid w:val="003C55E0"/>
    <w:rsid w:val="003F268C"/>
    <w:rsid w:val="003F519B"/>
    <w:rsid w:val="0040544F"/>
    <w:rsid w:val="00406A19"/>
    <w:rsid w:val="0041222D"/>
    <w:rsid w:val="0041483E"/>
    <w:rsid w:val="00415369"/>
    <w:rsid w:val="00430492"/>
    <w:rsid w:val="00450BE7"/>
    <w:rsid w:val="0046741E"/>
    <w:rsid w:val="00472CC6"/>
    <w:rsid w:val="0048026E"/>
    <w:rsid w:val="004807A9"/>
    <w:rsid w:val="00480AA6"/>
    <w:rsid w:val="004813EE"/>
    <w:rsid w:val="00491AD3"/>
    <w:rsid w:val="00493278"/>
    <w:rsid w:val="004943D9"/>
    <w:rsid w:val="004A0E7B"/>
    <w:rsid w:val="004A3498"/>
    <w:rsid w:val="004B0C45"/>
    <w:rsid w:val="004C0AB2"/>
    <w:rsid w:val="004C1619"/>
    <w:rsid w:val="004C1A26"/>
    <w:rsid w:val="004C1CC9"/>
    <w:rsid w:val="004C3755"/>
    <w:rsid w:val="004C4485"/>
    <w:rsid w:val="004D11AF"/>
    <w:rsid w:val="00500DFA"/>
    <w:rsid w:val="005019AA"/>
    <w:rsid w:val="005021BB"/>
    <w:rsid w:val="005139E7"/>
    <w:rsid w:val="005147DA"/>
    <w:rsid w:val="00515849"/>
    <w:rsid w:val="00515FB5"/>
    <w:rsid w:val="0052296D"/>
    <w:rsid w:val="0052365C"/>
    <w:rsid w:val="005271EB"/>
    <w:rsid w:val="005426DB"/>
    <w:rsid w:val="0055082B"/>
    <w:rsid w:val="00552503"/>
    <w:rsid w:val="00552B57"/>
    <w:rsid w:val="00553597"/>
    <w:rsid w:val="00557DA1"/>
    <w:rsid w:val="0056322C"/>
    <w:rsid w:val="00581E2C"/>
    <w:rsid w:val="0058743A"/>
    <w:rsid w:val="005A4DB0"/>
    <w:rsid w:val="005A54B5"/>
    <w:rsid w:val="005A7B8E"/>
    <w:rsid w:val="005B012B"/>
    <w:rsid w:val="005B0C87"/>
    <w:rsid w:val="005D23F6"/>
    <w:rsid w:val="005D2FA8"/>
    <w:rsid w:val="005E2281"/>
    <w:rsid w:val="005E667C"/>
    <w:rsid w:val="005F077C"/>
    <w:rsid w:val="005F63D0"/>
    <w:rsid w:val="005F7973"/>
    <w:rsid w:val="0061690E"/>
    <w:rsid w:val="00627361"/>
    <w:rsid w:val="0063017E"/>
    <w:rsid w:val="00631B28"/>
    <w:rsid w:val="00637C07"/>
    <w:rsid w:val="006449AD"/>
    <w:rsid w:val="00645B90"/>
    <w:rsid w:val="00650991"/>
    <w:rsid w:val="006511D7"/>
    <w:rsid w:val="00663D75"/>
    <w:rsid w:val="00664678"/>
    <w:rsid w:val="00670AEF"/>
    <w:rsid w:val="00675678"/>
    <w:rsid w:val="00677012"/>
    <w:rsid w:val="006825B4"/>
    <w:rsid w:val="00682AF2"/>
    <w:rsid w:val="006864DF"/>
    <w:rsid w:val="006A3C8A"/>
    <w:rsid w:val="006A7552"/>
    <w:rsid w:val="006B5953"/>
    <w:rsid w:val="006B7A81"/>
    <w:rsid w:val="006C4BAC"/>
    <w:rsid w:val="006C52F3"/>
    <w:rsid w:val="006E7F37"/>
    <w:rsid w:val="006F3B81"/>
    <w:rsid w:val="006F4F79"/>
    <w:rsid w:val="00705B37"/>
    <w:rsid w:val="00711FD9"/>
    <w:rsid w:val="00731E41"/>
    <w:rsid w:val="00735062"/>
    <w:rsid w:val="007456B1"/>
    <w:rsid w:val="00746BA5"/>
    <w:rsid w:val="00751D23"/>
    <w:rsid w:val="00770577"/>
    <w:rsid w:val="00777666"/>
    <w:rsid w:val="0078159B"/>
    <w:rsid w:val="00782E10"/>
    <w:rsid w:val="0078706B"/>
    <w:rsid w:val="00790836"/>
    <w:rsid w:val="00797131"/>
    <w:rsid w:val="007A3C1D"/>
    <w:rsid w:val="007B285D"/>
    <w:rsid w:val="007C6BC6"/>
    <w:rsid w:val="00801145"/>
    <w:rsid w:val="00807D79"/>
    <w:rsid w:val="00813634"/>
    <w:rsid w:val="00822821"/>
    <w:rsid w:val="00831C29"/>
    <w:rsid w:val="008431EF"/>
    <w:rsid w:val="008468E0"/>
    <w:rsid w:val="00871B59"/>
    <w:rsid w:val="00877D03"/>
    <w:rsid w:val="00877E96"/>
    <w:rsid w:val="008806CA"/>
    <w:rsid w:val="008815E5"/>
    <w:rsid w:val="00887B37"/>
    <w:rsid w:val="008909B9"/>
    <w:rsid w:val="00891DFC"/>
    <w:rsid w:val="008B12B4"/>
    <w:rsid w:val="008B39C7"/>
    <w:rsid w:val="008B7914"/>
    <w:rsid w:val="008C5D2A"/>
    <w:rsid w:val="008C7AF4"/>
    <w:rsid w:val="008D529F"/>
    <w:rsid w:val="008D7D59"/>
    <w:rsid w:val="008F5CC8"/>
    <w:rsid w:val="009061B8"/>
    <w:rsid w:val="0091008B"/>
    <w:rsid w:val="00911EA2"/>
    <w:rsid w:val="00916C7D"/>
    <w:rsid w:val="0092575D"/>
    <w:rsid w:val="009341DA"/>
    <w:rsid w:val="009430F9"/>
    <w:rsid w:val="009442E8"/>
    <w:rsid w:val="00946BD0"/>
    <w:rsid w:val="0095426C"/>
    <w:rsid w:val="00970087"/>
    <w:rsid w:val="00971074"/>
    <w:rsid w:val="00995D86"/>
    <w:rsid w:val="009A5453"/>
    <w:rsid w:val="009B4D94"/>
    <w:rsid w:val="009C2871"/>
    <w:rsid w:val="009D3C33"/>
    <w:rsid w:val="009D7F3A"/>
    <w:rsid w:val="009E4885"/>
    <w:rsid w:val="00A07DB6"/>
    <w:rsid w:val="00A10A73"/>
    <w:rsid w:val="00A170B3"/>
    <w:rsid w:val="00A223D5"/>
    <w:rsid w:val="00A37D1C"/>
    <w:rsid w:val="00A5453E"/>
    <w:rsid w:val="00A56F6C"/>
    <w:rsid w:val="00A639C7"/>
    <w:rsid w:val="00A76C8C"/>
    <w:rsid w:val="00A85F30"/>
    <w:rsid w:val="00A9099E"/>
    <w:rsid w:val="00A91FB7"/>
    <w:rsid w:val="00A9298F"/>
    <w:rsid w:val="00AA0351"/>
    <w:rsid w:val="00AA5F4A"/>
    <w:rsid w:val="00AB1984"/>
    <w:rsid w:val="00AB52B1"/>
    <w:rsid w:val="00AC4CB3"/>
    <w:rsid w:val="00AC780D"/>
    <w:rsid w:val="00AD036B"/>
    <w:rsid w:val="00AD1996"/>
    <w:rsid w:val="00AD4099"/>
    <w:rsid w:val="00AD4901"/>
    <w:rsid w:val="00B02FE0"/>
    <w:rsid w:val="00B057B6"/>
    <w:rsid w:val="00B30448"/>
    <w:rsid w:val="00B34786"/>
    <w:rsid w:val="00B400EC"/>
    <w:rsid w:val="00B40162"/>
    <w:rsid w:val="00B41ACE"/>
    <w:rsid w:val="00B50156"/>
    <w:rsid w:val="00B518AD"/>
    <w:rsid w:val="00B60A96"/>
    <w:rsid w:val="00B678EC"/>
    <w:rsid w:val="00B76C94"/>
    <w:rsid w:val="00B772D0"/>
    <w:rsid w:val="00B836EA"/>
    <w:rsid w:val="00B84C05"/>
    <w:rsid w:val="00B91B81"/>
    <w:rsid w:val="00B97135"/>
    <w:rsid w:val="00BB3072"/>
    <w:rsid w:val="00BC7632"/>
    <w:rsid w:val="00BD48A9"/>
    <w:rsid w:val="00BD630F"/>
    <w:rsid w:val="00BD7EC6"/>
    <w:rsid w:val="00BE73FA"/>
    <w:rsid w:val="00BF6B4B"/>
    <w:rsid w:val="00C0511C"/>
    <w:rsid w:val="00C13516"/>
    <w:rsid w:val="00C177B1"/>
    <w:rsid w:val="00C20ACF"/>
    <w:rsid w:val="00C22307"/>
    <w:rsid w:val="00C23469"/>
    <w:rsid w:val="00C30C62"/>
    <w:rsid w:val="00C371DF"/>
    <w:rsid w:val="00C42055"/>
    <w:rsid w:val="00C44B4C"/>
    <w:rsid w:val="00C46734"/>
    <w:rsid w:val="00C47A86"/>
    <w:rsid w:val="00C53220"/>
    <w:rsid w:val="00C91777"/>
    <w:rsid w:val="00CA3347"/>
    <w:rsid w:val="00CA6880"/>
    <w:rsid w:val="00CC299A"/>
    <w:rsid w:val="00CD03E3"/>
    <w:rsid w:val="00CE6BDA"/>
    <w:rsid w:val="00D03DBE"/>
    <w:rsid w:val="00D072C0"/>
    <w:rsid w:val="00D34C82"/>
    <w:rsid w:val="00D3757A"/>
    <w:rsid w:val="00D504A9"/>
    <w:rsid w:val="00D5206D"/>
    <w:rsid w:val="00D7177D"/>
    <w:rsid w:val="00D81311"/>
    <w:rsid w:val="00DB201E"/>
    <w:rsid w:val="00DC0E68"/>
    <w:rsid w:val="00DD25ED"/>
    <w:rsid w:val="00DE0D6E"/>
    <w:rsid w:val="00DF208A"/>
    <w:rsid w:val="00E1610C"/>
    <w:rsid w:val="00E16D73"/>
    <w:rsid w:val="00E23E9E"/>
    <w:rsid w:val="00E25722"/>
    <w:rsid w:val="00E27F0A"/>
    <w:rsid w:val="00E4231E"/>
    <w:rsid w:val="00E4302C"/>
    <w:rsid w:val="00E44AC7"/>
    <w:rsid w:val="00E45F4B"/>
    <w:rsid w:val="00E60A16"/>
    <w:rsid w:val="00E61334"/>
    <w:rsid w:val="00E82B6E"/>
    <w:rsid w:val="00E94258"/>
    <w:rsid w:val="00E96C18"/>
    <w:rsid w:val="00EA2E61"/>
    <w:rsid w:val="00EA7D7F"/>
    <w:rsid w:val="00EB02F4"/>
    <w:rsid w:val="00EB2FA2"/>
    <w:rsid w:val="00EB769A"/>
    <w:rsid w:val="00EC3A35"/>
    <w:rsid w:val="00EE17F2"/>
    <w:rsid w:val="00EE3138"/>
    <w:rsid w:val="00EF2AC7"/>
    <w:rsid w:val="00EF400A"/>
    <w:rsid w:val="00EF4BA9"/>
    <w:rsid w:val="00EF6BE4"/>
    <w:rsid w:val="00EF6E5D"/>
    <w:rsid w:val="00F07764"/>
    <w:rsid w:val="00F12517"/>
    <w:rsid w:val="00F131DD"/>
    <w:rsid w:val="00F16BA1"/>
    <w:rsid w:val="00F2227A"/>
    <w:rsid w:val="00F24435"/>
    <w:rsid w:val="00F30C0F"/>
    <w:rsid w:val="00F314E8"/>
    <w:rsid w:val="00F323A2"/>
    <w:rsid w:val="00F33B57"/>
    <w:rsid w:val="00F33D5C"/>
    <w:rsid w:val="00F34E90"/>
    <w:rsid w:val="00F356D6"/>
    <w:rsid w:val="00F53BE2"/>
    <w:rsid w:val="00F55684"/>
    <w:rsid w:val="00F64D5A"/>
    <w:rsid w:val="00F709CD"/>
    <w:rsid w:val="00F906F4"/>
    <w:rsid w:val="00F91F32"/>
    <w:rsid w:val="00FA0716"/>
    <w:rsid w:val="00FB4629"/>
    <w:rsid w:val="00FB6FB1"/>
    <w:rsid w:val="00FB7063"/>
    <w:rsid w:val="00FC7056"/>
    <w:rsid w:val="00FE14BC"/>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1"/>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5021BB"/>
  </w:style>
  <w:style w:type="paragraph" w:styleId="Sinespaciado">
    <w:name w:val="No Spacing"/>
    <w:uiPriority w:val="1"/>
    <w:qFormat/>
    <w:rsid w:val="00581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24232674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874688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80-de-199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latoria.colombiacompra.gov.co/normativa/decreto-1068-de-2015/"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olombiacompra.gov.co/sites/cce_public/files/files_2020/boletin_de_realtoria_iii.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lombiacompra.gov.co/sites/cce_public/files/cce_documents/cce-eicp-gi-23_guia_contratacion_prestacion_de_servicios_v1_11-07-2023_def_1_1.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ites/cce_public/files/cce_documents/cceeicpgi23_guia_contratacion_prestacion_de_servicios_v1_11-07-2023_def_1_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4383</Words>
  <Characters>24108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Gloria Ximena Moreno Guio</cp:lastModifiedBy>
  <cp:revision>26</cp:revision>
  <dcterms:created xsi:type="dcterms:W3CDTF">2024-07-04T20:24:00Z</dcterms:created>
  <dcterms:modified xsi:type="dcterms:W3CDTF">2024-10-11T00:11:00Z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