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8D853" w14:textId="77777777" w:rsidR="005F5AF7" w:rsidRPr="00690983" w:rsidRDefault="005947DA" w:rsidP="005F5AF7">
      <w:pPr>
        <w:spacing w:line="276" w:lineRule="auto"/>
        <w:jc w:val="both"/>
        <w:rPr>
          <w:rFonts w:ascii="Verdana" w:eastAsia="Calibri" w:hAnsi="Verdana" w:cs="Arial"/>
          <w:b/>
          <w:bCs/>
          <w:lang w:val="es-ES" w:eastAsia="es-ES"/>
        </w:rPr>
      </w:pPr>
      <w:bookmarkStart w:id="0" w:name="_Hlk143780582"/>
      <w:r w:rsidRPr="00690983">
        <w:rPr>
          <w:rFonts w:ascii="Verdana" w:eastAsia="Calibri" w:hAnsi="Verdana" w:cs="Arial"/>
          <w:b/>
          <w:bCs/>
          <w:lang w:val="es-ES" w:eastAsia="es-ES"/>
        </w:rPr>
        <w:t xml:space="preserve">CONTRATO DE OBRA – Obra pública – Definición – Artículo 32 de la Ley 80 de 1993 </w:t>
      </w:r>
    </w:p>
    <w:p w14:paraId="693E3BC6" w14:textId="1A730083" w:rsidR="005F5AF7" w:rsidRPr="00690983" w:rsidRDefault="005F5AF7" w:rsidP="005F5AF7">
      <w:pPr>
        <w:spacing w:line="240" w:lineRule="auto"/>
        <w:jc w:val="both"/>
        <w:rPr>
          <w:rFonts w:ascii="Verdana" w:eastAsia="Calibri" w:hAnsi="Verdana" w:cs="Arial"/>
          <w:sz w:val="20"/>
          <w:szCs w:val="20"/>
          <w:lang w:val="es-ES_tradnl" w:eastAsia="es-ES"/>
        </w:rPr>
      </w:pPr>
      <w:r w:rsidRPr="00690983">
        <w:rPr>
          <w:rFonts w:ascii="Verdana" w:eastAsia="Century Gothic" w:hAnsi="Verdana" w:cs="Century Gothic"/>
          <w:sz w:val="20"/>
          <w:szCs w:val="20"/>
          <w:lang w:val="es-ES"/>
        </w:rPr>
        <w:t xml:space="preserve">“[…] </w:t>
      </w:r>
      <w:r w:rsidRPr="005F5AF7">
        <w:rPr>
          <w:rFonts w:ascii="Verdana" w:eastAsia="Calibri" w:hAnsi="Verdana" w:cs="Arial"/>
          <w:sz w:val="20"/>
          <w:szCs w:val="20"/>
          <w:lang w:val="es-ES_tradnl" w:eastAsia="es-ES"/>
        </w:rPr>
        <w:t xml:space="preserve">En </w:t>
      </w:r>
      <w:r w:rsidRPr="005F5AF7">
        <w:rPr>
          <w:rFonts w:ascii="Verdana" w:eastAsia="Calibri" w:hAnsi="Verdana" w:cs="Arial"/>
          <w:i/>
          <w:iCs/>
          <w:sz w:val="20"/>
          <w:szCs w:val="20"/>
          <w:lang w:val="es-ES_tradnl" w:eastAsia="es-ES"/>
        </w:rPr>
        <w:t>sentido amplio</w:t>
      </w:r>
      <w:r w:rsidRPr="005F5AF7">
        <w:rPr>
          <w:rFonts w:ascii="Verdana" w:eastAsia="Calibri" w:hAnsi="Verdana" w:cs="Arial"/>
          <w:sz w:val="20"/>
          <w:szCs w:val="20"/>
          <w:lang w:val="es-ES_tradnl" w:eastAsia="es-ES"/>
        </w:rPr>
        <w:t xml:space="preserve">, dado que la “obra” es un bien que crea la actividad humana, el hecho de que sea “pública” significa que es todo trabajo material en cuya creación o realización interviene el Estado. No obstante, el numeral 1 del artículo 32 de la Ley 80 de 1993 opta por un </w:t>
      </w:r>
      <w:r w:rsidRPr="005F5AF7">
        <w:rPr>
          <w:rFonts w:ascii="Verdana" w:eastAsia="Calibri" w:hAnsi="Verdana" w:cs="Arial"/>
          <w:i/>
          <w:iCs/>
          <w:sz w:val="20"/>
          <w:szCs w:val="20"/>
          <w:lang w:val="es-ES_tradnl" w:eastAsia="es-ES"/>
        </w:rPr>
        <w:t>sentido restringido</w:t>
      </w:r>
      <w:r w:rsidRPr="005F5AF7">
        <w:rPr>
          <w:rFonts w:ascii="Verdana" w:eastAsia="Calibri" w:hAnsi="Verdana" w:cs="Arial"/>
          <w:sz w:val="20"/>
          <w:szCs w:val="20"/>
          <w:lang w:val="es-ES_tradnl" w:eastAsia="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r w:rsidRPr="00690983">
        <w:rPr>
          <w:rFonts w:ascii="Verdana" w:eastAsia="Calibri" w:hAnsi="Verdana" w:cs="Arial"/>
          <w:sz w:val="20"/>
          <w:szCs w:val="20"/>
          <w:lang w:val="es-ES_tradnl" w:eastAsia="es-ES"/>
        </w:rPr>
        <w:t xml:space="preserve"> </w:t>
      </w:r>
      <w:r w:rsidRPr="00690983">
        <w:rPr>
          <w:rFonts w:ascii="Verdana" w:eastAsia="Century Gothic" w:hAnsi="Verdana" w:cs="Century Gothic"/>
          <w:sz w:val="20"/>
          <w:szCs w:val="20"/>
          <w:lang w:val="es-ES"/>
        </w:rPr>
        <w:t>[…]”</w:t>
      </w:r>
    </w:p>
    <w:p w14:paraId="69E9BA82" w14:textId="53B1DB7D" w:rsidR="005947DA" w:rsidRPr="00690983" w:rsidRDefault="005947DA" w:rsidP="005947DA">
      <w:pPr>
        <w:spacing w:line="276" w:lineRule="auto"/>
        <w:jc w:val="both"/>
        <w:rPr>
          <w:rFonts w:ascii="Verdana" w:hAnsi="Verdana"/>
          <w:b/>
          <w:bCs/>
        </w:rPr>
      </w:pPr>
      <w:r w:rsidRPr="00690983">
        <w:rPr>
          <w:rFonts w:ascii="Verdana" w:eastAsia="Calibri" w:hAnsi="Verdana" w:cs="Arial"/>
          <w:b/>
          <w:bCs/>
          <w:lang w:val="es-ES" w:eastAsia="es-ES"/>
        </w:rPr>
        <w:t>CONTRATOS</w:t>
      </w:r>
      <w:r w:rsidRPr="00690983">
        <w:rPr>
          <w:rFonts w:ascii="Verdana" w:eastAsia="Calibri" w:hAnsi="Verdana"/>
          <w:b/>
          <w:bCs/>
          <w:color w:val="000000" w:themeColor="text1"/>
        </w:rPr>
        <w:t xml:space="preserve"> Y </w:t>
      </w:r>
      <w:r w:rsidRPr="00690983">
        <w:rPr>
          <w:rFonts w:ascii="Verdana" w:hAnsi="Verdana"/>
          <w:b/>
          <w:bCs/>
          <w:color w:val="000000" w:themeColor="text1"/>
        </w:rPr>
        <w:t>CONVENIOS INTERADMINISTRATIVOS –</w:t>
      </w:r>
      <w:r w:rsidRPr="00690983">
        <w:rPr>
          <w:rFonts w:ascii="Verdana" w:hAnsi="Verdana"/>
          <w:b/>
          <w:bCs/>
        </w:rPr>
        <w:t xml:space="preserve"> Noción – Criterio orgánico </w:t>
      </w:r>
    </w:p>
    <w:p w14:paraId="763C014A" w14:textId="77777777" w:rsidR="00202498" w:rsidRPr="00690983" w:rsidRDefault="00202498" w:rsidP="00202498">
      <w:pPr>
        <w:spacing w:line="240" w:lineRule="auto"/>
        <w:jc w:val="both"/>
        <w:rPr>
          <w:rFonts w:ascii="Verdana" w:eastAsia="Calibri" w:hAnsi="Verdana" w:cs="Arial"/>
          <w:sz w:val="20"/>
          <w:szCs w:val="20"/>
          <w:lang w:eastAsia="es-ES"/>
        </w:rPr>
      </w:pPr>
      <w:r w:rsidRPr="00690983">
        <w:rPr>
          <w:rFonts w:ascii="Verdana" w:eastAsia="Century Gothic" w:hAnsi="Verdana" w:cs="Century Gothic"/>
          <w:sz w:val="20"/>
          <w:szCs w:val="20"/>
          <w:lang w:val="es-ES"/>
        </w:rPr>
        <w:t xml:space="preserve">“[…] </w:t>
      </w:r>
      <w:r w:rsidR="005B0559" w:rsidRPr="00690983">
        <w:rPr>
          <w:rFonts w:ascii="Verdana" w:eastAsia="Calibri" w:hAnsi="Verdana" w:cs="Arial"/>
          <w:sz w:val="20"/>
          <w:szCs w:val="20"/>
          <w:lang w:eastAsia="es-ES"/>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FDAA9B2" w14:textId="77777777" w:rsidR="00202498" w:rsidRPr="00690983" w:rsidRDefault="005B0559" w:rsidP="00202498">
      <w:pPr>
        <w:spacing w:line="240" w:lineRule="auto"/>
        <w:jc w:val="both"/>
        <w:rPr>
          <w:rFonts w:ascii="Verdana" w:eastAsia="Calibri" w:hAnsi="Verdana" w:cs="Arial"/>
          <w:sz w:val="20"/>
          <w:szCs w:val="20"/>
          <w:lang w:eastAsia="es-ES"/>
        </w:rPr>
      </w:pPr>
      <w:r w:rsidRPr="00690983">
        <w:rPr>
          <w:rFonts w:ascii="Verdana" w:eastAsia="Calibri" w:hAnsi="Verdana" w:cs="Arial"/>
          <w:sz w:val="20"/>
          <w:szCs w:val="20"/>
          <w:lang w:eastAsia="es-ES"/>
        </w:rPr>
        <w:t>[…]</w:t>
      </w:r>
    </w:p>
    <w:p w14:paraId="110170E2" w14:textId="78E79FF9" w:rsidR="005B0559" w:rsidRPr="00690983" w:rsidRDefault="005B0559" w:rsidP="00202498">
      <w:pPr>
        <w:spacing w:line="240" w:lineRule="auto"/>
        <w:jc w:val="both"/>
        <w:rPr>
          <w:rFonts w:ascii="Verdana" w:eastAsia="Calibri" w:hAnsi="Verdana" w:cs="Arial"/>
          <w:sz w:val="20"/>
          <w:szCs w:val="20"/>
          <w:lang w:eastAsia="es-ES"/>
        </w:rPr>
      </w:pPr>
      <w:r w:rsidRPr="00690983">
        <w:rPr>
          <w:rFonts w:ascii="Verdana" w:eastAsia="Calibri" w:hAnsi="Verdana" w:cs="Arial"/>
          <w:sz w:val="20"/>
          <w:szCs w:val="20"/>
          <w:lang w:eastAsia="es-ES"/>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r w:rsidR="00202498" w:rsidRPr="00690983">
        <w:rPr>
          <w:rFonts w:ascii="Verdana" w:eastAsia="Century Gothic" w:hAnsi="Verdana" w:cs="Century Gothic"/>
          <w:sz w:val="20"/>
          <w:szCs w:val="20"/>
          <w:lang w:val="es-ES"/>
        </w:rPr>
        <w:t xml:space="preserve"> […]”</w:t>
      </w:r>
    </w:p>
    <w:p w14:paraId="6FF2622A" w14:textId="2BD372D9" w:rsidR="005947DA" w:rsidRPr="00690983" w:rsidRDefault="005947DA" w:rsidP="005947DA">
      <w:pPr>
        <w:spacing w:line="276" w:lineRule="auto"/>
        <w:jc w:val="both"/>
        <w:rPr>
          <w:rFonts w:ascii="Verdana" w:eastAsia="Calibri" w:hAnsi="Verdana"/>
          <w:b/>
          <w:bCs/>
          <w:lang w:val="es-ES_tradnl" w:eastAsia="es-ES_tradnl"/>
        </w:rPr>
      </w:pPr>
      <w:r w:rsidRPr="00690983">
        <w:rPr>
          <w:rFonts w:ascii="Verdana" w:hAnsi="Verdana"/>
          <w:b/>
          <w:bCs/>
          <w:color w:val="000000" w:themeColor="text1"/>
        </w:rPr>
        <w:t xml:space="preserve">CONTRATOS Y CONVENIOS INTERADMINISTRATIVOS </w:t>
      </w:r>
      <w:r w:rsidRPr="00690983">
        <w:rPr>
          <w:rFonts w:ascii="Verdana" w:hAnsi="Verdana"/>
          <w:b/>
          <w:bCs/>
        </w:rPr>
        <w:t>–</w:t>
      </w:r>
      <w:r w:rsidRPr="00690983">
        <w:rPr>
          <w:rFonts w:ascii="Verdana" w:eastAsia="Calibri" w:hAnsi="Verdana"/>
          <w:b/>
          <w:bCs/>
          <w:lang w:val="es-ES_tradnl" w:eastAsia="es-ES_tradnl"/>
        </w:rPr>
        <w:t>Diferencias – Similitudes</w:t>
      </w:r>
    </w:p>
    <w:p w14:paraId="6E074C19" w14:textId="385F7AF5" w:rsidR="00EA5B2B" w:rsidRPr="00EA5B2B" w:rsidRDefault="00FB1CA5" w:rsidP="00FB1CA5">
      <w:pPr>
        <w:spacing w:line="240" w:lineRule="auto"/>
        <w:jc w:val="both"/>
        <w:rPr>
          <w:rFonts w:ascii="Verdana" w:eastAsia="Calibri" w:hAnsi="Verdana"/>
          <w:sz w:val="20"/>
          <w:szCs w:val="20"/>
          <w:lang w:eastAsia="es-ES_tradnl"/>
        </w:rPr>
      </w:pPr>
      <w:r w:rsidRPr="00690983">
        <w:rPr>
          <w:rFonts w:ascii="Verdana" w:eastAsia="Century Gothic" w:hAnsi="Verdana" w:cs="Century Gothic"/>
          <w:sz w:val="20"/>
          <w:szCs w:val="20"/>
          <w:lang w:val="es-ES"/>
        </w:rPr>
        <w:t>“[…]</w:t>
      </w:r>
      <w:r w:rsidR="00EA5B2B" w:rsidRPr="00EA5B2B">
        <w:rPr>
          <w:rFonts w:ascii="Verdana" w:eastAsia="Calibri" w:hAnsi="Verdana"/>
          <w:sz w:val="20"/>
          <w:szCs w:val="20"/>
          <w:lang w:eastAsia="es-ES_tradnl"/>
        </w:rPr>
        <w:t xml:space="preserve"> mientras que el contrato interadministrativo se caracteriza por su naturaleza onerosa, patrimonial y se conforma por intereses básicamente contrapuestos, los convenios interadministrativos,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 […] la distinción también se plantea en el ámbito del derecho privado con la referencia </w:t>
      </w:r>
      <w:r w:rsidR="00EA5B2B" w:rsidRPr="00EA5B2B">
        <w:rPr>
          <w:rFonts w:ascii="Verdana" w:eastAsia="Calibri" w:hAnsi="Verdana"/>
          <w:sz w:val="20"/>
          <w:szCs w:val="20"/>
          <w:lang w:eastAsia="es-ES_tradnl"/>
        </w:rPr>
        <w:lastRenderedPageBreak/>
        <w:t xml:space="preserve">a los contratos de contraprestación y de colaboración; sin embargo, también se rigen por unos principios comunes, pues se forman por el consentimiento y de ambos se derivan el nacimiento de obligaciones para las partes. Por ello, “[…] Es evidente que el hecho de que las partes tengan intereses concordantes no implica en modo alguno que estas relaciones no quepan en el campo de la contratación […]”. Teniendo en cuenta lo anterior, no existe una definición legal que diferencie los conceptos de contrato y convenio. En tal sentido, teniendo en cuenta sus características comunes, las referencias realizadas por el legislador a estos términos deben asimilarse, salvo que de su contenido logre inferirse que se quiere otorgar un contenido en particular. </w:t>
      </w:r>
      <w:r w:rsidRPr="00690983">
        <w:rPr>
          <w:rFonts w:ascii="Verdana" w:eastAsia="Century Gothic" w:hAnsi="Verdana" w:cs="Century Gothic"/>
          <w:sz w:val="20"/>
          <w:szCs w:val="20"/>
          <w:lang w:val="es-ES"/>
        </w:rPr>
        <w:t>[…]”</w:t>
      </w:r>
    </w:p>
    <w:p w14:paraId="17E932AA" w14:textId="77777777" w:rsidR="00EA5B2B" w:rsidRPr="00690983" w:rsidRDefault="00EA5B2B" w:rsidP="005947DA">
      <w:pPr>
        <w:spacing w:line="276" w:lineRule="auto"/>
        <w:jc w:val="both"/>
        <w:rPr>
          <w:rFonts w:ascii="Verdana" w:eastAsia="Calibri" w:hAnsi="Verdana"/>
          <w:b/>
          <w:bCs/>
          <w:lang w:eastAsia="es-ES_tradnl"/>
        </w:rPr>
      </w:pPr>
    </w:p>
    <w:p w14:paraId="7E2C5807" w14:textId="77777777" w:rsidR="005947DA" w:rsidRPr="00690983" w:rsidRDefault="005947DA" w:rsidP="00E245AB">
      <w:pPr>
        <w:spacing w:after="0"/>
        <w:rPr>
          <w:rFonts w:ascii="Verdana" w:hAnsi="Verdana"/>
          <w:lang w:val="es-ES_tradnl"/>
        </w:rPr>
      </w:pPr>
    </w:p>
    <w:p w14:paraId="6D145C57" w14:textId="77777777" w:rsidR="00B316C6" w:rsidRPr="00690983" w:rsidRDefault="00B316C6" w:rsidP="00E245AB">
      <w:pPr>
        <w:spacing w:after="0"/>
        <w:rPr>
          <w:rFonts w:ascii="Verdana" w:hAnsi="Verdana"/>
          <w:lang w:val="es-ES_tradnl"/>
        </w:rPr>
      </w:pPr>
    </w:p>
    <w:p w14:paraId="1DF14536" w14:textId="77777777" w:rsidR="00B316C6" w:rsidRPr="00690983" w:rsidRDefault="00B316C6" w:rsidP="00E245AB">
      <w:pPr>
        <w:spacing w:after="0"/>
        <w:rPr>
          <w:rFonts w:ascii="Verdana" w:hAnsi="Verdana"/>
          <w:lang w:val="es-ES_tradnl"/>
        </w:rPr>
      </w:pPr>
    </w:p>
    <w:p w14:paraId="298A0391" w14:textId="77777777" w:rsidR="00B316C6" w:rsidRPr="00690983" w:rsidRDefault="00B316C6" w:rsidP="00E245AB">
      <w:pPr>
        <w:spacing w:after="0"/>
        <w:rPr>
          <w:rFonts w:ascii="Verdana" w:hAnsi="Verdana"/>
          <w:lang w:val="es-ES_tradnl"/>
        </w:rPr>
      </w:pPr>
    </w:p>
    <w:p w14:paraId="55EB67C1" w14:textId="77777777" w:rsidR="00B316C6" w:rsidRPr="00690983" w:rsidRDefault="00B316C6" w:rsidP="00E245AB">
      <w:pPr>
        <w:spacing w:after="0"/>
        <w:rPr>
          <w:rFonts w:ascii="Verdana" w:hAnsi="Verdana"/>
          <w:lang w:val="es-ES_tradnl"/>
        </w:rPr>
      </w:pPr>
    </w:p>
    <w:p w14:paraId="49AE0D74" w14:textId="77777777" w:rsidR="00B316C6" w:rsidRPr="00690983" w:rsidRDefault="00B316C6" w:rsidP="00E245AB">
      <w:pPr>
        <w:spacing w:after="0"/>
        <w:rPr>
          <w:rFonts w:ascii="Verdana" w:hAnsi="Verdana"/>
          <w:lang w:val="es-ES_tradnl"/>
        </w:rPr>
      </w:pPr>
    </w:p>
    <w:p w14:paraId="00561A29" w14:textId="77777777" w:rsidR="00B316C6" w:rsidRPr="00690983" w:rsidRDefault="00B316C6" w:rsidP="00E245AB">
      <w:pPr>
        <w:spacing w:after="0"/>
        <w:rPr>
          <w:rFonts w:ascii="Verdana" w:hAnsi="Verdana"/>
          <w:lang w:val="es-ES_tradnl"/>
        </w:rPr>
      </w:pPr>
    </w:p>
    <w:p w14:paraId="74C4F33B" w14:textId="77777777" w:rsidR="00B316C6" w:rsidRPr="00690983" w:rsidRDefault="00B316C6" w:rsidP="00E245AB">
      <w:pPr>
        <w:spacing w:after="0"/>
        <w:rPr>
          <w:rFonts w:ascii="Verdana" w:hAnsi="Verdana"/>
          <w:lang w:val="es-ES_tradnl"/>
        </w:rPr>
      </w:pPr>
    </w:p>
    <w:p w14:paraId="100274BD" w14:textId="77777777" w:rsidR="00B316C6" w:rsidRPr="00690983" w:rsidRDefault="00B316C6" w:rsidP="00E245AB">
      <w:pPr>
        <w:spacing w:after="0"/>
        <w:rPr>
          <w:rFonts w:ascii="Verdana" w:hAnsi="Verdana"/>
          <w:lang w:val="es-ES_tradnl"/>
        </w:rPr>
      </w:pPr>
    </w:p>
    <w:p w14:paraId="7EDB61F5" w14:textId="77777777" w:rsidR="00B316C6" w:rsidRPr="00690983" w:rsidRDefault="00B316C6" w:rsidP="00E245AB">
      <w:pPr>
        <w:spacing w:after="0"/>
        <w:rPr>
          <w:rFonts w:ascii="Verdana" w:hAnsi="Verdana"/>
          <w:lang w:val="es-ES_tradnl"/>
        </w:rPr>
      </w:pPr>
    </w:p>
    <w:p w14:paraId="4F273009" w14:textId="77777777" w:rsidR="00B316C6" w:rsidRPr="00690983" w:rsidRDefault="00B316C6" w:rsidP="00E245AB">
      <w:pPr>
        <w:spacing w:after="0"/>
        <w:rPr>
          <w:rFonts w:ascii="Verdana" w:hAnsi="Verdana"/>
          <w:lang w:val="es-ES_tradnl"/>
        </w:rPr>
      </w:pPr>
    </w:p>
    <w:p w14:paraId="6EDADC86" w14:textId="77777777" w:rsidR="00B316C6" w:rsidRPr="00690983" w:rsidRDefault="00B316C6" w:rsidP="00E245AB">
      <w:pPr>
        <w:spacing w:after="0"/>
        <w:rPr>
          <w:rFonts w:ascii="Verdana" w:hAnsi="Verdana"/>
          <w:lang w:val="es-ES_tradnl"/>
        </w:rPr>
      </w:pPr>
    </w:p>
    <w:p w14:paraId="1DE43883" w14:textId="77777777" w:rsidR="00B316C6" w:rsidRPr="00690983" w:rsidRDefault="00B316C6" w:rsidP="00E245AB">
      <w:pPr>
        <w:spacing w:after="0"/>
        <w:rPr>
          <w:rFonts w:ascii="Verdana" w:hAnsi="Verdana"/>
          <w:lang w:val="es-ES_tradnl"/>
        </w:rPr>
      </w:pPr>
    </w:p>
    <w:p w14:paraId="04B42026" w14:textId="77777777" w:rsidR="00B316C6" w:rsidRPr="00690983" w:rsidRDefault="00B316C6" w:rsidP="00E245AB">
      <w:pPr>
        <w:spacing w:after="0"/>
        <w:rPr>
          <w:rFonts w:ascii="Verdana" w:hAnsi="Verdana"/>
          <w:lang w:val="es-ES_tradnl"/>
        </w:rPr>
      </w:pPr>
    </w:p>
    <w:p w14:paraId="36396AB4" w14:textId="77777777" w:rsidR="00B316C6" w:rsidRPr="00690983" w:rsidRDefault="00B316C6" w:rsidP="00E245AB">
      <w:pPr>
        <w:spacing w:after="0"/>
        <w:rPr>
          <w:rFonts w:ascii="Verdana" w:hAnsi="Verdana"/>
          <w:lang w:val="es-ES_tradnl"/>
        </w:rPr>
      </w:pPr>
    </w:p>
    <w:p w14:paraId="6D13372A" w14:textId="77777777" w:rsidR="00B316C6" w:rsidRPr="00690983" w:rsidRDefault="00B316C6" w:rsidP="00E245AB">
      <w:pPr>
        <w:spacing w:after="0"/>
        <w:rPr>
          <w:rFonts w:ascii="Verdana" w:hAnsi="Verdana"/>
          <w:lang w:val="es-ES_tradnl"/>
        </w:rPr>
      </w:pPr>
    </w:p>
    <w:p w14:paraId="2A055946" w14:textId="77777777" w:rsidR="00B316C6" w:rsidRPr="00690983" w:rsidRDefault="00B316C6" w:rsidP="00E245AB">
      <w:pPr>
        <w:spacing w:after="0"/>
        <w:rPr>
          <w:rFonts w:ascii="Verdana" w:hAnsi="Verdana"/>
          <w:lang w:val="es-ES_tradnl"/>
        </w:rPr>
      </w:pPr>
    </w:p>
    <w:p w14:paraId="40D6CB13" w14:textId="77777777" w:rsidR="00B316C6" w:rsidRPr="00690983" w:rsidRDefault="00B316C6" w:rsidP="00E245AB">
      <w:pPr>
        <w:spacing w:after="0"/>
        <w:rPr>
          <w:rFonts w:ascii="Verdana" w:hAnsi="Verdana"/>
          <w:lang w:val="es-ES_tradnl"/>
        </w:rPr>
      </w:pPr>
    </w:p>
    <w:p w14:paraId="37402703" w14:textId="77777777" w:rsidR="00B316C6" w:rsidRPr="00690983" w:rsidRDefault="00B316C6" w:rsidP="00E245AB">
      <w:pPr>
        <w:spacing w:after="0"/>
        <w:rPr>
          <w:rFonts w:ascii="Verdana" w:hAnsi="Verdana"/>
          <w:lang w:val="es-ES_tradnl"/>
        </w:rPr>
      </w:pPr>
    </w:p>
    <w:p w14:paraId="40374E78" w14:textId="77777777" w:rsidR="00B316C6" w:rsidRPr="00690983" w:rsidRDefault="00B316C6" w:rsidP="00E245AB">
      <w:pPr>
        <w:spacing w:after="0"/>
        <w:rPr>
          <w:rFonts w:ascii="Verdana" w:hAnsi="Verdana"/>
          <w:lang w:val="es-ES_tradnl"/>
        </w:rPr>
      </w:pPr>
    </w:p>
    <w:p w14:paraId="79BD80D5" w14:textId="77777777" w:rsidR="00B316C6" w:rsidRPr="00690983" w:rsidRDefault="00B316C6" w:rsidP="00E245AB">
      <w:pPr>
        <w:spacing w:after="0"/>
        <w:rPr>
          <w:rFonts w:ascii="Verdana" w:hAnsi="Verdana"/>
          <w:lang w:val="es-ES_tradnl"/>
        </w:rPr>
      </w:pPr>
    </w:p>
    <w:p w14:paraId="1FA64739" w14:textId="77777777" w:rsidR="00B316C6" w:rsidRPr="00690983" w:rsidRDefault="00B316C6" w:rsidP="00E245AB">
      <w:pPr>
        <w:spacing w:after="0"/>
        <w:rPr>
          <w:rFonts w:ascii="Verdana" w:hAnsi="Verdana"/>
          <w:lang w:val="es-ES_tradnl"/>
        </w:rPr>
      </w:pPr>
    </w:p>
    <w:p w14:paraId="32AF6B6E" w14:textId="77777777" w:rsidR="00B316C6" w:rsidRPr="00690983" w:rsidRDefault="00B316C6" w:rsidP="00E245AB">
      <w:pPr>
        <w:spacing w:after="0"/>
        <w:rPr>
          <w:rFonts w:ascii="Verdana" w:hAnsi="Verdana"/>
          <w:lang w:val="es-ES_tradnl"/>
        </w:rPr>
      </w:pPr>
    </w:p>
    <w:p w14:paraId="716DB6AD" w14:textId="77777777" w:rsidR="00B316C6" w:rsidRPr="00690983" w:rsidRDefault="00B316C6" w:rsidP="00E245AB">
      <w:pPr>
        <w:spacing w:after="0"/>
        <w:rPr>
          <w:rFonts w:ascii="Verdana" w:hAnsi="Verdana"/>
          <w:lang w:val="es-ES_tradnl"/>
        </w:rPr>
      </w:pPr>
    </w:p>
    <w:p w14:paraId="1855BE4D" w14:textId="77777777" w:rsidR="00B316C6" w:rsidRPr="00690983" w:rsidRDefault="00B316C6" w:rsidP="00E245AB">
      <w:pPr>
        <w:spacing w:after="0"/>
        <w:rPr>
          <w:rFonts w:ascii="Verdana" w:hAnsi="Verdana"/>
          <w:lang w:val="es-ES_tradnl"/>
        </w:rPr>
      </w:pPr>
    </w:p>
    <w:p w14:paraId="35D78CDB" w14:textId="77777777" w:rsidR="00B316C6" w:rsidRPr="00690983" w:rsidRDefault="00B316C6" w:rsidP="00E245AB">
      <w:pPr>
        <w:spacing w:after="0"/>
        <w:rPr>
          <w:rFonts w:ascii="Verdana" w:hAnsi="Verdana"/>
          <w:lang w:val="es-ES_tradnl"/>
        </w:rPr>
      </w:pPr>
    </w:p>
    <w:p w14:paraId="1E8307AB" w14:textId="77777777" w:rsidR="00B316C6" w:rsidRPr="00690983" w:rsidRDefault="00B316C6" w:rsidP="00E245AB">
      <w:pPr>
        <w:spacing w:after="0"/>
        <w:rPr>
          <w:rFonts w:ascii="Verdana" w:hAnsi="Verdana"/>
          <w:lang w:val="es-ES_tradnl"/>
        </w:rPr>
      </w:pPr>
    </w:p>
    <w:p w14:paraId="15DFDD8E" w14:textId="77777777" w:rsidR="00B316C6" w:rsidRPr="00690983" w:rsidRDefault="00B316C6" w:rsidP="00E245AB">
      <w:pPr>
        <w:spacing w:after="0"/>
        <w:rPr>
          <w:rFonts w:ascii="Verdana" w:hAnsi="Verdana"/>
          <w:lang w:val="es-ES_tradnl"/>
        </w:rPr>
      </w:pPr>
    </w:p>
    <w:p w14:paraId="57A54AD6" w14:textId="77777777" w:rsidR="00B316C6" w:rsidRPr="00690983" w:rsidRDefault="00B316C6" w:rsidP="00E245AB">
      <w:pPr>
        <w:spacing w:after="0"/>
        <w:rPr>
          <w:rFonts w:ascii="Verdana" w:hAnsi="Verdana"/>
          <w:lang w:val="es-ES_tradnl"/>
        </w:rPr>
      </w:pPr>
    </w:p>
    <w:p w14:paraId="7BEBB883" w14:textId="77777777" w:rsidR="005947DA" w:rsidRDefault="005947DA" w:rsidP="00E245AB">
      <w:pPr>
        <w:spacing w:after="0"/>
        <w:rPr>
          <w:rFonts w:ascii="Verdana" w:hAnsi="Verdana"/>
        </w:rPr>
      </w:pPr>
    </w:p>
    <w:p w14:paraId="665BEF26" w14:textId="77777777" w:rsidR="005947DA" w:rsidRDefault="005947DA" w:rsidP="00E245AB">
      <w:pPr>
        <w:spacing w:after="0"/>
        <w:rPr>
          <w:rFonts w:ascii="Verdana" w:hAnsi="Verdana"/>
        </w:rPr>
      </w:pPr>
    </w:p>
    <w:p w14:paraId="3FE2184B" w14:textId="1D12693C" w:rsidR="00E245AB" w:rsidRPr="00FA72EC" w:rsidRDefault="00E245AB" w:rsidP="00E245AB">
      <w:pPr>
        <w:spacing w:after="0"/>
        <w:rPr>
          <w:rFonts w:ascii="Verdana" w:hAnsi="Verdana"/>
        </w:rPr>
      </w:pPr>
      <w:r w:rsidRPr="00FA72EC">
        <w:rPr>
          <w:rFonts w:ascii="Verdana" w:hAnsi="Verdana"/>
        </w:rPr>
        <w:lastRenderedPageBreak/>
        <w:t xml:space="preserve">Bogotá D.C., </w:t>
      </w:r>
      <w:r w:rsidR="002F0DE1">
        <w:rPr>
          <w:rFonts w:ascii="Verdana" w:hAnsi="Verdana"/>
        </w:rPr>
        <w:t>09 de octubre del 2024</w:t>
      </w:r>
      <w:r w:rsidR="00891928" w:rsidRPr="00FA72EC">
        <w:rPr>
          <w:rFonts w:ascii="Verdana" w:hAnsi="Verdana"/>
        </w:rPr>
        <w:tab/>
      </w:r>
    </w:p>
    <w:p w14:paraId="5FCADBF9" w14:textId="77777777" w:rsidR="00E245AB" w:rsidRPr="00FA72EC" w:rsidRDefault="00E245AB" w:rsidP="00E245AB">
      <w:pPr>
        <w:spacing w:after="0"/>
        <w:rPr>
          <w:rFonts w:ascii="Verdana" w:hAnsi="Verdana"/>
        </w:rPr>
      </w:pPr>
    </w:p>
    <w:p w14:paraId="0465BA6D" w14:textId="7A689978" w:rsidR="00E245AB" w:rsidRDefault="00D730F8" w:rsidP="00D730F8">
      <w:pPr>
        <w:spacing w:after="0"/>
        <w:jc w:val="right"/>
        <w:rPr>
          <w:rFonts w:ascii="Verdana" w:hAnsi="Verdana"/>
        </w:rPr>
      </w:pPr>
      <w:r w:rsidRPr="00D730F8">
        <w:rPr>
          <w:rFonts w:ascii="Verdana" w:hAnsi="Verdana"/>
          <w:noProof/>
        </w:rPr>
        <w:drawing>
          <wp:inline distT="0" distB="0" distL="0" distR="0" wp14:anchorId="19D4785F" wp14:editId="49C6C2D2">
            <wp:extent cx="3267075" cy="866775"/>
            <wp:effectExtent l="0" t="0" r="9525" b="9525"/>
            <wp:docPr id="18961252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25213" name="Imagen 1" descr="Texto&#10;&#10;Descripción generada automáticamente"/>
                    <pic:cNvPicPr/>
                  </pic:nvPicPr>
                  <pic:blipFill>
                    <a:blip r:embed="rId11"/>
                    <a:stretch>
                      <a:fillRect/>
                    </a:stretch>
                  </pic:blipFill>
                  <pic:spPr>
                    <a:xfrm>
                      <a:off x="0" y="0"/>
                      <a:ext cx="3267075" cy="866775"/>
                    </a:xfrm>
                    <a:prstGeom prst="rect">
                      <a:avLst/>
                    </a:prstGeom>
                  </pic:spPr>
                </pic:pic>
              </a:graphicData>
            </a:graphic>
          </wp:inline>
        </w:drawing>
      </w:r>
    </w:p>
    <w:bookmarkEnd w:id="0"/>
    <w:p w14:paraId="149863C2" w14:textId="77777777" w:rsidR="00247CB8" w:rsidRPr="00FA72EC" w:rsidRDefault="00247CB8" w:rsidP="00247CB8">
      <w:pPr>
        <w:spacing w:after="0" w:line="240" w:lineRule="auto"/>
        <w:jc w:val="both"/>
        <w:rPr>
          <w:rFonts w:ascii="Verdana" w:eastAsia="Calibri" w:hAnsi="Verdana" w:cs="Arial"/>
          <w:lang w:val="es-ES" w:eastAsia="es-ES"/>
        </w:rPr>
      </w:pPr>
      <w:r w:rsidRPr="00FA72EC">
        <w:rPr>
          <w:rFonts w:ascii="Verdana" w:eastAsia="Calibri" w:hAnsi="Verdana" w:cs="Arial"/>
          <w:lang w:val="es-ES" w:eastAsia="es-ES"/>
        </w:rPr>
        <w:t>Señora:</w:t>
      </w:r>
    </w:p>
    <w:p w14:paraId="3537B490" w14:textId="678F22F9" w:rsidR="00247CB8" w:rsidRPr="00FA72EC" w:rsidRDefault="00DF08FE" w:rsidP="00247CB8">
      <w:pPr>
        <w:spacing w:after="0" w:line="240" w:lineRule="auto"/>
        <w:rPr>
          <w:rFonts w:ascii="Verdana" w:eastAsia="Calibri" w:hAnsi="Verdana" w:cs="Arial"/>
          <w:b/>
          <w:lang w:val="es-ES" w:eastAsia="es-ES"/>
        </w:rPr>
      </w:pPr>
      <w:r w:rsidRPr="00FA72EC">
        <w:rPr>
          <w:rFonts w:ascii="Verdana" w:eastAsia="Calibri" w:hAnsi="Verdana" w:cs="Arial"/>
          <w:b/>
          <w:lang w:val="es-ES" w:eastAsia="es-ES"/>
        </w:rPr>
        <w:t>Andrea López Arévalo</w:t>
      </w:r>
    </w:p>
    <w:p w14:paraId="6B5E57D8" w14:textId="4505F280" w:rsidR="008D78C1" w:rsidRPr="00FA72EC" w:rsidRDefault="008D78C1" w:rsidP="00247CB8">
      <w:pPr>
        <w:spacing w:after="0" w:line="240" w:lineRule="auto"/>
        <w:rPr>
          <w:rFonts w:ascii="Verdana" w:hAnsi="Verdana"/>
        </w:rPr>
      </w:pPr>
      <w:hyperlink r:id="rId12" w:history="1">
        <w:r w:rsidRPr="00FA72EC">
          <w:rPr>
            <w:rStyle w:val="Hipervnculo"/>
            <w:rFonts w:ascii="Verdana" w:hAnsi="Verdana"/>
          </w:rPr>
          <w:t>andr3a.cla@gmail.com</w:t>
        </w:r>
      </w:hyperlink>
    </w:p>
    <w:p w14:paraId="4455B8B3" w14:textId="4BCF50DF" w:rsidR="00247CB8" w:rsidRPr="00FA72EC" w:rsidRDefault="00247CB8" w:rsidP="00247CB8">
      <w:pPr>
        <w:spacing w:after="0" w:line="240" w:lineRule="auto"/>
        <w:rPr>
          <w:rFonts w:ascii="Verdana" w:hAnsi="Verdana"/>
        </w:rPr>
      </w:pPr>
      <w:r w:rsidRPr="00FA72EC">
        <w:rPr>
          <w:rFonts w:ascii="Verdana" w:eastAsia="Calibri" w:hAnsi="Verdana" w:cs="Arial"/>
          <w:lang w:val="es-ES" w:eastAsia="es-ES"/>
        </w:rPr>
        <w:t>Bogotá D.C.</w:t>
      </w:r>
    </w:p>
    <w:p w14:paraId="279B75A8" w14:textId="77777777" w:rsidR="00247CB8" w:rsidRPr="00FA72EC" w:rsidRDefault="00247CB8" w:rsidP="00247CB8">
      <w:pPr>
        <w:spacing w:after="0" w:line="240" w:lineRule="auto"/>
        <w:rPr>
          <w:rFonts w:ascii="Verdana" w:eastAsia="Calibri" w:hAnsi="Verdana" w:cs="Arial"/>
          <w:b/>
          <w:bCs/>
          <w:highlight w:val="cyan"/>
          <w:lang w:val="es-ES_tradnl" w:eastAsia="es-ES_tradnl"/>
        </w:rPr>
      </w:pPr>
    </w:p>
    <w:p w14:paraId="45D3CD60" w14:textId="77777777" w:rsidR="00247CB8" w:rsidRPr="00FA72EC" w:rsidRDefault="00247CB8" w:rsidP="00247CB8">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47CB8" w:rsidRPr="00FA72EC" w14:paraId="01B5F086" w14:textId="77777777" w:rsidTr="00894E15">
        <w:trPr>
          <w:trHeight w:val="884"/>
        </w:trPr>
        <w:tc>
          <w:tcPr>
            <w:tcW w:w="2689" w:type="dxa"/>
          </w:tcPr>
          <w:p w14:paraId="697AAAC6" w14:textId="77777777" w:rsidR="00247CB8" w:rsidRPr="00FA72EC" w:rsidRDefault="00247CB8" w:rsidP="00894E15">
            <w:pPr>
              <w:jc w:val="both"/>
              <w:rPr>
                <w:rFonts w:ascii="Verdana" w:eastAsia="Calibri" w:hAnsi="Verdana" w:cs="Arial"/>
                <w:b/>
                <w:bCs/>
                <w:highlight w:val="cyan"/>
                <w:lang w:val="es-ES_tradnl" w:eastAsia="es-ES_tradnl"/>
              </w:rPr>
            </w:pPr>
          </w:p>
        </w:tc>
        <w:tc>
          <w:tcPr>
            <w:tcW w:w="6100" w:type="dxa"/>
          </w:tcPr>
          <w:p w14:paraId="21F65209" w14:textId="77DA84D1" w:rsidR="00247CB8" w:rsidRPr="00FA72EC" w:rsidRDefault="00247CB8" w:rsidP="00894E15">
            <w:pPr>
              <w:jc w:val="both"/>
              <w:rPr>
                <w:rFonts w:ascii="Verdana" w:eastAsia="Calibri" w:hAnsi="Verdana" w:cs="Arial"/>
                <w:b/>
                <w:bCs/>
                <w:lang w:val="es-ES" w:eastAsia="es-ES"/>
              </w:rPr>
            </w:pPr>
            <w:r w:rsidRPr="00FA72EC">
              <w:rPr>
                <w:rFonts w:ascii="Verdana" w:eastAsia="Calibri" w:hAnsi="Verdana" w:cs="Arial"/>
                <w:b/>
                <w:bCs/>
                <w:lang w:val="es-ES" w:eastAsia="es-ES"/>
              </w:rPr>
              <w:t xml:space="preserve">Concepto </w:t>
            </w:r>
            <w:r w:rsidR="003929ED" w:rsidRPr="00FA72EC">
              <w:rPr>
                <w:rFonts w:ascii="Verdana" w:eastAsia="Calibri" w:hAnsi="Verdana" w:cs="Arial"/>
                <w:b/>
                <w:bCs/>
                <w:lang w:eastAsia="es-ES"/>
              </w:rPr>
              <w:t>C-538</w:t>
            </w:r>
            <w:r w:rsidRPr="00FA72EC">
              <w:rPr>
                <w:rFonts w:ascii="Verdana" w:eastAsia="Calibri" w:hAnsi="Verdana" w:cs="Arial"/>
                <w:b/>
                <w:bCs/>
                <w:lang w:eastAsia="es-ES"/>
              </w:rPr>
              <w:t xml:space="preserve"> </w:t>
            </w:r>
            <w:r w:rsidRPr="00FA72EC">
              <w:rPr>
                <w:rFonts w:ascii="Verdana" w:eastAsia="Calibri" w:hAnsi="Verdana" w:cs="Arial"/>
                <w:b/>
                <w:bCs/>
                <w:lang w:val="es-ES" w:eastAsia="es-ES"/>
              </w:rPr>
              <w:t>de 2024</w:t>
            </w:r>
          </w:p>
        </w:tc>
      </w:tr>
      <w:tr w:rsidR="00247CB8" w:rsidRPr="00FA72EC" w14:paraId="3A2358DD" w14:textId="77777777" w:rsidTr="00894E15">
        <w:trPr>
          <w:trHeight w:val="884"/>
        </w:trPr>
        <w:tc>
          <w:tcPr>
            <w:tcW w:w="2689" w:type="dxa"/>
            <w:shd w:val="clear" w:color="auto" w:fill="auto"/>
          </w:tcPr>
          <w:p w14:paraId="3BD90292" w14:textId="77777777" w:rsidR="00247CB8" w:rsidRPr="00FA72EC" w:rsidRDefault="00247CB8" w:rsidP="00894E15">
            <w:pPr>
              <w:jc w:val="both"/>
              <w:rPr>
                <w:rFonts w:ascii="Verdana" w:eastAsia="Calibri" w:hAnsi="Verdana" w:cs="Arial"/>
                <w:b/>
                <w:lang w:val="es-ES_tradnl" w:eastAsia="es-ES_tradnl"/>
              </w:rPr>
            </w:pPr>
            <w:r w:rsidRPr="00FA72EC">
              <w:rPr>
                <w:rFonts w:ascii="Verdana" w:eastAsia="Calibri" w:hAnsi="Verdana" w:cs="Arial"/>
                <w:b/>
                <w:lang w:val="es-ES_tradnl" w:eastAsia="es-ES_tradnl"/>
              </w:rPr>
              <w:t xml:space="preserve">Temas:                   </w:t>
            </w:r>
          </w:p>
        </w:tc>
        <w:tc>
          <w:tcPr>
            <w:tcW w:w="6100" w:type="dxa"/>
          </w:tcPr>
          <w:p w14:paraId="7ED2FC7D" w14:textId="45E9474D" w:rsidR="00247CB8" w:rsidRPr="00FA72EC" w:rsidRDefault="009B7EC1" w:rsidP="00894E15">
            <w:pPr>
              <w:spacing w:line="276" w:lineRule="auto"/>
              <w:jc w:val="both"/>
              <w:rPr>
                <w:rFonts w:ascii="Verdana" w:eastAsia="Calibri" w:hAnsi="Verdana"/>
                <w:bCs/>
                <w:lang w:val="es-ES_tradnl" w:eastAsia="es-ES_tradnl"/>
              </w:rPr>
            </w:pPr>
            <w:r w:rsidRPr="00FA72EC">
              <w:rPr>
                <w:rFonts w:ascii="Verdana" w:eastAsia="Calibri" w:hAnsi="Verdana" w:cs="Arial"/>
                <w:lang w:val="es-ES" w:eastAsia="es-ES"/>
              </w:rPr>
              <w:t xml:space="preserve">CONTRATO DE OBRA – Obra pública – Definición – Artículo 32 de la Ley 80 de 1993 </w:t>
            </w:r>
            <w:r w:rsidR="00FE23C7" w:rsidRPr="00FA72EC">
              <w:rPr>
                <w:rFonts w:ascii="Verdana" w:eastAsia="Calibri" w:hAnsi="Verdana" w:cs="Arial"/>
                <w:lang w:val="es-ES" w:eastAsia="es-ES"/>
              </w:rPr>
              <w:t>/ CONTRATOS</w:t>
            </w:r>
            <w:r w:rsidR="00FE23C7" w:rsidRPr="00FA72EC">
              <w:rPr>
                <w:rFonts w:ascii="Verdana" w:eastAsia="Calibri" w:hAnsi="Verdana"/>
                <w:color w:val="000000" w:themeColor="text1"/>
              </w:rPr>
              <w:t xml:space="preserve"> Y </w:t>
            </w:r>
            <w:r w:rsidR="00FE23C7" w:rsidRPr="00FA72EC">
              <w:rPr>
                <w:rFonts w:ascii="Verdana" w:hAnsi="Verdana"/>
                <w:color w:val="000000" w:themeColor="text1"/>
              </w:rPr>
              <w:t>CONVENIOS INTERADMINISTRATIVOS –</w:t>
            </w:r>
            <w:r w:rsidR="00FE23C7" w:rsidRPr="00FA72EC">
              <w:rPr>
                <w:rFonts w:ascii="Verdana" w:hAnsi="Verdana"/>
                <w:bCs/>
              </w:rPr>
              <w:t xml:space="preserve"> Noción – Criterio orgánico </w:t>
            </w:r>
            <w:r w:rsidR="00FE23C7" w:rsidRPr="00FA72EC">
              <w:rPr>
                <w:rFonts w:ascii="Verdana" w:hAnsi="Verdana"/>
                <w:color w:val="000000" w:themeColor="text1"/>
              </w:rPr>
              <w:t>/</w:t>
            </w:r>
            <w:r w:rsidR="00FE23C7" w:rsidRPr="00FA72EC">
              <w:rPr>
                <w:rFonts w:ascii="Verdana" w:hAnsi="Verdana"/>
              </w:rPr>
              <w:t xml:space="preserve"> </w:t>
            </w:r>
            <w:r w:rsidR="00FE23C7" w:rsidRPr="00FA72EC">
              <w:rPr>
                <w:rFonts w:ascii="Verdana" w:hAnsi="Verdana"/>
                <w:color w:val="000000" w:themeColor="text1"/>
              </w:rPr>
              <w:t xml:space="preserve">CONTRATOS Y CONVENIOS INTERADMINISTRATIVOS </w:t>
            </w:r>
            <w:r w:rsidR="00FE23C7" w:rsidRPr="00FA72EC">
              <w:rPr>
                <w:rFonts w:ascii="Verdana" w:hAnsi="Verdana"/>
                <w:bCs/>
              </w:rPr>
              <w:t>–</w:t>
            </w:r>
            <w:r w:rsidR="00FE23C7" w:rsidRPr="00FA72EC">
              <w:rPr>
                <w:rFonts w:ascii="Verdana" w:eastAsia="Calibri" w:hAnsi="Verdana"/>
                <w:bCs/>
                <w:lang w:val="es-ES_tradnl" w:eastAsia="es-ES_tradnl"/>
              </w:rPr>
              <w:t>Diferencias – Similitudes</w:t>
            </w:r>
          </w:p>
          <w:p w14:paraId="50788216" w14:textId="4B605F0C" w:rsidR="00FE23C7" w:rsidRPr="00FA72EC" w:rsidRDefault="00FE23C7" w:rsidP="00894E15">
            <w:pPr>
              <w:spacing w:line="276" w:lineRule="auto"/>
              <w:jc w:val="both"/>
              <w:rPr>
                <w:rFonts w:ascii="Verdana" w:eastAsia="Calibri" w:hAnsi="Verdana" w:cs="Arial"/>
                <w:highlight w:val="cyan"/>
                <w:lang w:val="es-ES" w:eastAsia="es-ES"/>
              </w:rPr>
            </w:pPr>
          </w:p>
        </w:tc>
      </w:tr>
      <w:tr w:rsidR="00247CB8" w:rsidRPr="00FA72EC" w14:paraId="61925FE7" w14:textId="77777777" w:rsidTr="00894E15">
        <w:tc>
          <w:tcPr>
            <w:tcW w:w="2689" w:type="dxa"/>
          </w:tcPr>
          <w:p w14:paraId="7914EC13" w14:textId="77777777" w:rsidR="00247CB8" w:rsidRPr="00FA72EC" w:rsidRDefault="00247CB8" w:rsidP="00894E15">
            <w:pPr>
              <w:jc w:val="both"/>
              <w:rPr>
                <w:rFonts w:ascii="Verdana" w:eastAsia="Calibri" w:hAnsi="Verdana" w:cs="Arial"/>
                <w:b/>
                <w:lang w:val="es-ES_tradnl" w:eastAsia="es-ES_tradnl"/>
              </w:rPr>
            </w:pPr>
            <w:r w:rsidRPr="00FA72EC">
              <w:rPr>
                <w:rFonts w:ascii="Verdana" w:eastAsia="Calibri" w:hAnsi="Verdana" w:cs="Arial"/>
                <w:b/>
                <w:lang w:val="es-ES_tradnl" w:eastAsia="es-ES_tradnl"/>
              </w:rPr>
              <w:t>Radicación:</w:t>
            </w:r>
            <w:r w:rsidRPr="00FA72EC">
              <w:rPr>
                <w:rFonts w:ascii="Verdana" w:eastAsia="Calibri" w:hAnsi="Verdana" w:cs="Arial"/>
                <w:lang w:val="es-ES_tradnl" w:eastAsia="es-ES_tradnl"/>
              </w:rPr>
              <w:t xml:space="preserve">               </w:t>
            </w:r>
          </w:p>
        </w:tc>
        <w:tc>
          <w:tcPr>
            <w:tcW w:w="6100" w:type="dxa"/>
          </w:tcPr>
          <w:p w14:paraId="32B19448" w14:textId="1BC7AC4D" w:rsidR="00247CB8" w:rsidRPr="00FA72EC" w:rsidRDefault="00247CB8" w:rsidP="00894E15">
            <w:pPr>
              <w:jc w:val="both"/>
              <w:rPr>
                <w:rFonts w:ascii="Verdana" w:eastAsia="Calibri" w:hAnsi="Verdana" w:cs="Arial"/>
                <w:lang w:val="es-ES_tradnl" w:eastAsia="es-ES_tradnl"/>
              </w:rPr>
            </w:pPr>
            <w:r w:rsidRPr="00FA72EC">
              <w:rPr>
                <w:rFonts w:ascii="Verdana" w:eastAsia="Calibri" w:hAnsi="Verdana" w:cs="Arial"/>
                <w:lang w:val="es-ES_tradnl" w:eastAsia="es-ES_tradnl"/>
              </w:rPr>
              <w:t xml:space="preserve">Respuesta a consulta con radicado No. </w:t>
            </w:r>
            <w:r w:rsidR="001B3E73" w:rsidRPr="00FA72EC">
              <w:rPr>
                <w:rFonts w:ascii="Verdana" w:eastAsia="Calibri" w:hAnsi="Verdana" w:cs="Arial"/>
                <w:lang w:eastAsia="es-ES_tradnl"/>
              </w:rPr>
              <w:t> P20240830008829</w:t>
            </w:r>
            <w:r w:rsidRPr="00FA72EC">
              <w:rPr>
                <w:rFonts w:ascii="Verdana" w:eastAsia="Calibri" w:hAnsi="Verdana" w:cs="Arial"/>
                <w:lang w:eastAsia="es-ES_tradnl"/>
              </w:rPr>
              <w:t>.</w:t>
            </w:r>
          </w:p>
        </w:tc>
      </w:tr>
    </w:tbl>
    <w:p w14:paraId="47760147" w14:textId="77777777" w:rsidR="00247CB8" w:rsidRPr="00FA72EC" w:rsidRDefault="00247CB8" w:rsidP="00247CB8">
      <w:pPr>
        <w:spacing w:after="0" w:line="240" w:lineRule="auto"/>
        <w:jc w:val="both"/>
        <w:rPr>
          <w:rFonts w:ascii="Verdana" w:eastAsia="Calibri" w:hAnsi="Verdana" w:cs="Arial"/>
          <w:highlight w:val="cyan"/>
          <w:lang w:val="es-ES_tradnl" w:eastAsia="es-ES_tradnl"/>
        </w:rPr>
      </w:pPr>
    </w:p>
    <w:p w14:paraId="151BCAE6" w14:textId="77777777" w:rsidR="00247CB8" w:rsidRPr="00FA72EC" w:rsidRDefault="00247CB8" w:rsidP="00247CB8">
      <w:pPr>
        <w:spacing w:after="0" w:line="240" w:lineRule="auto"/>
        <w:jc w:val="both"/>
        <w:rPr>
          <w:rFonts w:ascii="Verdana" w:eastAsia="Calibri" w:hAnsi="Verdana" w:cs="Arial"/>
          <w:lang w:val="es-ES_tradnl" w:eastAsia="es-ES_tradnl"/>
        </w:rPr>
      </w:pPr>
    </w:p>
    <w:p w14:paraId="6643A5AE" w14:textId="39016569" w:rsidR="00247CB8" w:rsidRPr="00FA72EC" w:rsidRDefault="00247CB8" w:rsidP="00247CB8">
      <w:pPr>
        <w:spacing w:after="0" w:line="276" w:lineRule="auto"/>
        <w:jc w:val="both"/>
        <w:rPr>
          <w:rFonts w:ascii="Verdana" w:eastAsia="Calibri" w:hAnsi="Verdana" w:cs="Arial"/>
          <w:lang w:val="es-ES" w:eastAsia="es-ES"/>
        </w:rPr>
      </w:pPr>
      <w:r w:rsidRPr="00FA72EC">
        <w:rPr>
          <w:rFonts w:ascii="Verdana" w:eastAsia="Calibri" w:hAnsi="Verdana" w:cs="Arial"/>
          <w:lang w:val="es-ES" w:eastAsia="es-ES"/>
        </w:rPr>
        <w:t xml:space="preserve">Estimada señora </w:t>
      </w:r>
      <w:r w:rsidR="002B6C79" w:rsidRPr="00FA72EC">
        <w:rPr>
          <w:rFonts w:ascii="Verdana" w:eastAsia="Calibri" w:hAnsi="Verdana" w:cs="Arial"/>
          <w:lang w:val="es-ES" w:eastAsia="es-ES"/>
        </w:rPr>
        <w:t>López</w:t>
      </w:r>
      <w:r w:rsidRPr="00FA72EC">
        <w:rPr>
          <w:rFonts w:ascii="Verdana" w:eastAsia="Calibri" w:hAnsi="Verdana" w:cs="Arial"/>
          <w:lang w:val="es-ES" w:eastAsia="es-ES"/>
        </w:rPr>
        <w:t>;</w:t>
      </w:r>
    </w:p>
    <w:p w14:paraId="4C37F308" w14:textId="77777777" w:rsidR="00247CB8" w:rsidRPr="00FA72EC" w:rsidRDefault="00247CB8" w:rsidP="00247CB8">
      <w:pPr>
        <w:tabs>
          <w:tab w:val="left" w:pos="3768"/>
        </w:tabs>
        <w:spacing w:after="0" w:line="276" w:lineRule="auto"/>
        <w:jc w:val="both"/>
        <w:rPr>
          <w:rFonts w:ascii="Verdana" w:eastAsia="Calibri" w:hAnsi="Verdana" w:cs="Arial"/>
          <w:lang w:val="es-ES" w:eastAsia="es-ES"/>
        </w:rPr>
      </w:pPr>
      <w:r w:rsidRPr="00FA72EC">
        <w:rPr>
          <w:rFonts w:ascii="Verdana" w:eastAsia="Calibri" w:hAnsi="Verdana" w:cs="Arial"/>
          <w:lang w:val="es-ES" w:eastAsia="es-ES"/>
        </w:rPr>
        <w:tab/>
      </w:r>
    </w:p>
    <w:p w14:paraId="19734630" w14:textId="46A0AE79" w:rsidR="00247CB8" w:rsidRPr="00FA72EC" w:rsidRDefault="00247CB8" w:rsidP="00247CB8">
      <w:pPr>
        <w:spacing w:after="0" w:line="276" w:lineRule="auto"/>
        <w:jc w:val="both"/>
        <w:rPr>
          <w:rFonts w:ascii="Verdana" w:eastAsia="Calibri" w:hAnsi="Verdana" w:cs="Arial"/>
          <w:lang w:val="es-ES" w:eastAsia="es-ES"/>
        </w:rPr>
      </w:pPr>
      <w:r w:rsidRPr="00FA72EC">
        <w:rPr>
          <w:rFonts w:ascii="Verdana" w:eastAsia="Calibri" w:hAnsi="Verdana" w:cs="Arial"/>
          <w:lang w:val="es-ES" w:eastAsia="es-ES"/>
        </w:rPr>
        <w:t>En ejercicio de la competencia otorgada por los artículos 3, numeral 5º, y 11, numeral 8º, del Decreto Ley 4170 de 2011,</w:t>
      </w:r>
      <w:r w:rsidRPr="00FA72EC">
        <w:rPr>
          <w:rFonts w:ascii="Verdana" w:eastAsia="Arial MT" w:hAnsi="Verdana" w:cs="Arial MT"/>
          <w:lang w:val="es-ES" w:eastAsia="es-ES"/>
        </w:rPr>
        <w:t xml:space="preserve"> </w:t>
      </w:r>
      <w:r w:rsidRPr="00FA72EC">
        <w:rPr>
          <w:rFonts w:ascii="Verdana" w:hAnsi="Verdana" w:cs="Arial"/>
        </w:rPr>
        <w:t xml:space="preserve">así como lo establecido en el artículo 4 de la Resolución 1707 de 2018 expedida por esta Entidad, </w:t>
      </w:r>
      <w:r w:rsidRPr="00FA72EC">
        <w:rPr>
          <w:rFonts w:ascii="Verdana" w:eastAsia="Calibri" w:hAnsi="Verdana" w:cs="Arial"/>
          <w:lang w:val="es-ES" w:eastAsia="es-ES"/>
        </w:rPr>
        <w:t xml:space="preserve">la Agencia Nacional de Contratación Pública – Colombia Compra Eficiente– responde su solicitud de consulta de fecha </w:t>
      </w:r>
      <w:r w:rsidR="00CE3306" w:rsidRPr="00FA72EC">
        <w:rPr>
          <w:rFonts w:ascii="Verdana" w:eastAsia="Calibri" w:hAnsi="Verdana" w:cs="Arial"/>
          <w:lang w:val="es-ES" w:eastAsia="es-ES"/>
        </w:rPr>
        <w:t>30 de agosto del 2024</w:t>
      </w:r>
      <w:r w:rsidRPr="00FA72EC">
        <w:rPr>
          <w:rFonts w:ascii="Verdana" w:eastAsia="Calibri" w:hAnsi="Verdana" w:cs="Arial"/>
          <w:lang w:val="es-ES" w:eastAsia="es-ES"/>
        </w:rPr>
        <w:t xml:space="preserve">, en la cual manifiesta lo siguiente: </w:t>
      </w:r>
    </w:p>
    <w:p w14:paraId="76584F77" w14:textId="77777777" w:rsidR="00247CB8" w:rsidRPr="00FA72EC" w:rsidRDefault="00247CB8" w:rsidP="00247CB8">
      <w:pPr>
        <w:spacing w:after="0"/>
        <w:jc w:val="both"/>
        <w:rPr>
          <w:rFonts w:ascii="Verdana" w:hAnsi="Verdana"/>
          <w:highlight w:val="cyan"/>
          <w:lang w:val="es-ES"/>
        </w:rPr>
      </w:pPr>
    </w:p>
    <w:p w14:paraId="4B2FF9F4" w14:textId="0F1914C8" w:rsidR="00FF51BE" w:rsidRPr="00FA72EC" w:rsidRDefault="00247CB8" w:rsidP="00FF51BE">
      <w:pPr>
        <w:spacing w:after="0" w:line="240" w:lineRule="auto"/>
        <w:ind w:left="709" w:right="709"/>
        <w:jc w:val="both"/>
        <w:rPr>
          <w:rFonts w:ascii="Verdana" w:eastAsia="Century Gothic" w:hAnsi="Verdana" w:cs="Century Gothic"/>
          <w:sz w:val="20"/>
          <w:szCs w:val="20"/>
          <w:lang w:val="es-ES"/>
        </w:rPr>
      </w:pPr>
      <w:r w:rsidRPr="00FA72EC">
        <w:rPr>
          <w:rFonts w:ascii="Verdana" w:eastAsia="Century Gothic" w:hAnsi="Verdana" w:cs="Century Gothic"/>
          <w:sz w:val="20"/>
          <w:szCs w:val="20"/>
          <w:lang w:val="es-ES"/>
        </w:rPr>
        <w:t>“[…]</w:t>
      </w:r>
      <w:r w:rsidR="003924A4" w:rsidRPr="00FA72EC">
        <w:rPr>
          <w:rFonts w:ascii="Verdana" w:eastAsia="Century Gothic" w:hAnsi="Verdana" w:cs="Century Gothic"/>
          <w:sz w:val="20"/>
          <w:szCs w:val="20"/>
          <w:lang w:val="es-ES"/>
        </w:rPr>
        <w:t xml:space="preserve"> </w:t>
      </w:r>
      <w:r w:rsidR="00FF51BE" w:rsidRPr="00FA72EC">
        <w:rPr>
          <w:rFonts w:ascii="Verdana" w:eastAsia="Century Gothic" w:hAnsi="Verdana" w:cs="Century Gothic"/>
          <w:sz w:val="20"/>
          <w:szCs w:val="20"/>
          <w:lang w:val="es-ES"/>
        </w:rPr>
        <w:t xml:space="preserve">Dado el contexto actual y la necesidad de que las entidades estatales, específicamente las alcaldías, realicen la contratación para la construcción de granjas solares y/o parques solares, surgen las siguientes inquietudes que agradecería fueran atendidas: </w:t>
      </w:r>
    </w:p>
    <w:p w14:paraId="0D7EF5A6" w14:textId="77777777" w:rsidR="00FF51BE" w:rsidRPr="00FA72EC" w:rsidRDefault="00FF51BE" w:rsidP="00FF51BE">
      <w:pPr>
        <w:spacing w:after="0" w:line="240" w:lineRule="auto"/>
        <w:ind w:left="709" w:right="709"/>
        <w:jc w:val="both"/>
        <w:rPr>
          <w:rFonts w:ascii="Verdana" w:eastAsia="Century Gothic" w:hAnsi="Verdana" w:cs="Century Gothic"/>
          <w:sz w:val="20"/>
          <w:szCs w:val="20"/>
          <w:lang w:val="es-ES"/>
        </w:rPr>
      </w:pPr>
    </w:p>
    <w:p w14:paraId="53281F14" w14:textId="77777777" w:rsidR="00FF51BE" w:rsidRPr="00FA72EC" w:rsidRDefault="00FF51BE" w:rsidP="00FF51BE">
      <w:pPr>
        <w:spacing w:after="0" w:line="240" w:lineRule="auto"/>
        <w:ind w:left="709" w:right="709"/>
        <w:jc w:val="both"/>
        <w:rPr>
          <w:rFonts w:ascii="Verdana" w:eastAsia="Century Gothic" w:hAnsi="Verdana" w:cs="Century Gothic"/>
          <w:sz w:val="20"/>
          <w:szCs w:val="20"/>
        </w:rPr>
      </w:pPr>
      <w:r w:rsidRPr="00FA72EC">
        <w:rPr>
          <w:rFonts w:ascii="Verdana" w:eastAsia="Century Gothic" w:hAnsi="Verdana" w:cs="Century Gothic"/>
          <w:sz w:val="20"/>
          <w:szCs w:val="20"/>
          <w:lang w:val="es-ES"/>
        </w:rPr>
        <w:t>1.</w:t>
      </w:r>
      <w:r w:rsidRPr="00FA72EC">
        <w:rPr>
          <w:rFonts w:ascii="Verdana" w:eastAsia="Century Gothic" w:hAnsi="Verdana" w:cs="Century Gothic"/>
          <w:sz w:val="20"/>
          <w:szCs w:val="20"/>
        </w:rPr>
        <w:t xml:space="preserve"> ¿Cuál es la tipología contractual que deben utilizar las Entidades Estatales (alcaldías) para la ejecución de este tipo de proyectos? Es decir, </w:t>
      </w:r>
      <w:r w:rsidRPr="00FA72EC">
        <w:rPr>
          <w:rFonts w:ascii="Verdana" w:eastAsia="Century Gothic" w:hAnsi="Verdana" w:cs="Century Gothic"/>
          <w:sz w:val="20"/>
          <w:szCs w:val="20"/>
        </w:rPr>
        <w:lastRenderedPageBreak/>
        <w:t xml:space="preserve">¿deben realizarse a través de licitación pública o mediante convenios interadministrativos? </w:t>
      </w:r>
    </w:p>
    <w:p w14:paraId="58151F52" w14:textId="77777777" w:rsidR="00FF51BE" w:rsidRPr="00FA72EC" w:rsidRDefault="00FF51BE" w:rsidP="00FF51BE">
      <w:pPr>
        <w:spacing w:after="0" w:line="240" w:lineRule="auto"/>
        <w:ind w:left="709" w:right="709"/>
        <w:jc w:val="both"/>
        <w:rPr>
          <w:rFonts w:ascii="Verdana" w:eastAsia="Century Gothic" w:hAnsi="Verdana" w:cs="Century Gothic"/>
          <w:sz w:val="20"/>
          <w:szCs w:val="20"/>
        </w:rPr>
      </w:pPr>
    </w:p>
    <w:p w14:paraId="2D0B325A" w14:textId="77777777" w:rsidR="00FF51BE" w:rsidRPr="00FA72EC" w:rsidRDefault="00FF51BE" w:rsidP="00FF51BE">
      <w:pPr>
        <w:spacing w:after="0" w:line="240" w:lineRule="auto"/>
        <w:ind w:left="709" w:right="709"/>
        <w:jc w:val="both"/>
        <w:rPr>
          <w:rFonts w:ascii="Verdana" w:eastAsia="Century Gothic" w:hAnsi="Verdana" w:cs="Century Gothic"/>
          <w:sz w:val="20"/>
          <w:szCs w:val="20"/>
        </w:rPr>
      </w:pPr>
      <w:r w:rsidRPr="00FA72EC">
        <w:rPr>
          <w:rFonts w:ascii="Verdana" w:eastAsia="Century Gothic" w:hAnsi="Verdana" w:cs="Century Gothic"/>
          <w:sz w:val="20"/>
          <w:szCs w:val="20"/>
        </w:rPr>
        <w:t xml:space="preserve">2. </w:t>
      </w:r>
      <w:r w:rsidRPr="00FA72EC">
        <w:rPr>
          <w:rFonts w:ascii="Verdana" w:eastAsia="Century Gothic" w:hAnsi="Verdana" w:cs="Century Gothic"/>
          <w:sz w:val="20"/>
          <w:szCs w:val="20"/>
          <w:lang w:val="es-ES"/>
        </w:rPr>
        <w:t xml:space="preserve">¿Las Entidades Estatales (alcaldías) pueden celebrar convenios interadministrativos con empresas privadas de naturaleza jurídica S.A.S? En caso afirmativo, agradecería que se me informara sobre la norma que regula dicha posibilidad. </w:t>
      </w:r>
    </w:p>
    <w:p w14:paraId="4A8A0C31" w14:textId="77777777" w:rsidR="00FF51BE" w:rsidRPr="00FA72EC" w:rsidRDefault="00FF51BE" w:rsidP="00FF51BE">
      <w:pPr>
        <w:spacing w:after="0" w:line="240" w:lineRule="auto"/>
        <w:ind w:left="709" w:right="709"/>
        <w:jc w:val="both"/>
        <w:rPr>
          <w:rFonts w:ascii="Verdana" w:eastAsia="Century Gothic" w:hAnsi="Verdana" w:cs="Century Gothic"/>
          <w:sz w:val="20"/>
          <w:szCs w:val="20"/>
        </w:rPr>
      </w:pPr>
    </w:p>
    <w:p w14:paraId="5DD540D7" w14:textId="6E41610A" w:rsidR="00247CB8" w:rsidRPr="00FA72EC" w:rsidRDefault="00FF51BE" w:rsidP="00FF51BE">
      <w:pPr>
        <w:spacing w:after="0" w:line="240" w:lineRule="auto"/>
        <w:ind w:left="709" w:right="709"/>
        <w:jc w:val="both"/>
        <w:rPr>
          <w:rFonts w:ascii="Verdana" w:eastAsia="Century Gothic" w:hAnsi="Verdana" w:cs="Century Gothic"/>
          <w:sz w:val="20"/>
          <w:szCs w:val="20"/>
        </w:rPr>
      </w:pPr>
      <w:r w:rsidRPr="00FA72EC">
        <w:rPr>
          <w:rFonts w:ascii="Verdana" w:eastAsia="Century Gothic" w:hAnsi="Verdana" w:cs="Century Gothic"/>
          <w:sz w:val="20"/>
          <w:szCs w:val="20"/>
        </w:rPr>
        <w:t xml:space="preserve">3. </w:t>
      </w:r>
      <w:r w:rsidRPr="00FA72EC">
        <w:rPr>
          <w:rFonts w:ascii="Verdana" w:eastAsia="Century Gothic" w:hAnsi="Verdana" w:cs="Century Gothic"/>
          <w:sz w:val="20"/>
          <w:szCs w:val="20"/>
          <w:lang w:val="es-ES"/>
        </w:rPr>
        <w:t xml:space="preserve">¿Actualmente existe alguna regulación sobre la tipología que deben utilizar las Entidades Estatales (alcaldías) para la realización de los proyectos de transición energética? </w:t>
      </w:r>
      <w:r w:rsidR="00247CB8" w:rsidRPr="00FA72EC">
        <w:rPr>
          <w:rFonts w:ascii="Verdana" w:eastAsia="Century Gothic" w:hAnsi="Verdana" w:cs="Century Gothic"/>
          <w:sz w:val="20"/>
          <w:szCs w:val="20"/>
          <w:lang w:val="es-ES"/>
        </w:rPr>
        <w:t>[…]”</w:t>
      </w:r>
    </w:p>
    <w:p w14:paraId="3C05FDE5" w14:textId="77777777" w:rsidR="00B907D5" w:rsidRPr="00FA72EC" w:rsidRDefault="00B907D5" w:rsidP="00B907D5">
      <w:pPr>
        <w:spacing w:after="0"/>
        <w:jc w:val="both"/>
        <w:rPr>
          <w:rFonts w:ascii="Verdana" w:hAnsi="Verdana"/>
          <w:lang w:val="es-ES"/>
        </w:rPr>
      </w:pPr>
    </w:p>
    <w:p w14:paraId="4CEA18E6" w14:textId="77777777" w:rsidR="00B907D5" w:rsidRPr="00FA72EC" w:rsidRDefault="00B907D5" w:rsidP="00B907D5">
      <w:pPr>
        <w:spacing w:after="120" w:line="276" w:lineRule="auto"/>
        <w:ind w:firstLine="709"/>
        <w:jc w:val="both"/>
        <w:rPr>
          <w:rFonts w:ascii="Verdana" w:eastAsia="Calibri" w:hAnsi="Verdana" w:cs="Arial"/>
          <w:color w:val="000000"/>
          <w:lang w:val="es-ES_tradnl" w:eastAsia="es-ES_tradnl"/>
        </w:rPr>
      </w:pPr>
      <w:r w:rsidRPr="00FA72EC">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BCA202C" w14:textId="25B3FC19" w:rsidR="00B907D5" w:rsidRPr="00FA72EC" w:rsidRDefault="00B907D5" w:rsidP="00B907D5">
      <w:pPr>
        <w:spacing w:after="0" w:line="276" w:lineRule="auto"/>
        <w:ind w:firstLine="709"/>
        <w:jc w:val="both"/>
        <w:rPr>
          <w:rFonts w:ascii="Verdana" w:eastAsia="Calibri" w:hAnsi="Verdana" w:cs="Arial"/>
          <w:color w:val="000000"/>
          <w:lang w:val="es-ES" w:eastAsia="es-ES"/>
        </w:rPr>
      </w:pPr>
      <w:r w:rsidRPr="00FA72EC">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FE6761" w:rsidRPr="00FA72EC">
        <w:rPr>
          <w:rFonts w:ascii="Verdana" w:eastAsia="Calibri" w:hAnsi="Verdana" w:cs="Arial"/>
          <w:color w:val="000000"/>
          <w:lang w:val="es-ES" w:eastAsia="es-ES"/>
        </w:rPr>
        <w:t>los</w:t>
      </w:r>
      <w:r w:rsidRPr="00FA72EC">
        <w:rPr>
          <w:rFonts w:ascii="Verdana" w:eastAsia="Calibri" w:hAnsi="Verdana" w:cs="Arial"/>
          <w:color w:val="000000"/>
          <w:lang w:val="es-ES" w:eastAsia="es-ES"/>
        </w:rPr>
        <w:t xml:space="preserve"> problema</w:t>
      </w:r>
      <w:r w:rsidR="00FE6761" w:rsidRPr="00FA72EC">
        <w:rPr>
          <w:rFonts w:ascii="Verdana" w:eastAsia="Calibri" w:hAnsi="Verdana" w:cs="Arial"/>
          <w:color w:val="000000"/>
          <w:lang w:val="es-ES" w:eastAsia="es-ES"/>
        </w:rPr>
        <w:t>s</w:t>
      </w:r>
      <w:r w:rsidRPr="00FA72EC">
        <w:rPr>
          <w:rFonts w:ascii="Verdana" w:eastAsia="Calibri" w:hAnsi="Verdana" w:cs="Arial"/>
          <w:color w:val="000000"/>
          <w:lang w:val="es-ES" w:eastAsia="es-ES"/>
        </w:rPr>
        <w:t xml:space="preserve"> jurídico</w:t>
      </w:r>
      <w:r w:rsidR="00FE6761" w:rsidRPr="00FA72EC">
        <w:rPr>
          <w:rFonts w:ascii="Verdana" w:eastAsia="Calibri" w:hAnsi="Verdana" w:cs="Arial"/>
          <w:color w:val="000000"/>
          <w:lang w:val="es-ES" w:eastAsia="es-ES"/>
        </w:rPr>
        <w:t>s</w:t>
      </w:r>
      <w:r w:rsidRPr="00FA72EC">
        <w:rPr>
          <w:rFonts w:ascii="Verdana" w:eastAsia="Calibri" w:hAnsi="Verdana" w:cs="Arial"/>
          <w:color w:val="000000"/>
          <w:lang w:val="es-ES" w:eastAsia="es-ES"/>
        </w:rPr>
        <w:t xml:space="preserve"> de su consulta.  </w:t>
      </w:r>
    </w:p>
    <w:p w14:paraId="2441120D" w14:textId="77777777" w:rsidR="00B907D5" w:rsidRPr="00FA72EC" w:rsidRDefault="00B907D5" w:rsidP="00B907D5">
      <w:pPr>
        <w:spacing w:after="0"/>
        <w:jc w:val="both"/>
        <w:rPr>
          <w:rFonts w:ascii="Verdana" w:hAnsi="Verdana"/>
          <w:lang w:val="es-ES"/>
        </w:rPr>
      </w:pPr>
    </w:p>
    <w:p w14:paraId="6F5E3CEF" w14:textId="77777777" w:rsidR="00B907D5" w:rsidRPr="00FA72EC" w:rsidRDefault="00B907D5" w:rsidP="00B907D5">
      <w:pPr>
        <w:pStyle w:val="Prrafodelista"/>
        <w:numPr>
          <w:ilvl w:val="0"/>
          <w:numId w:val="17"/>
        </w:numPr>
        <w:tabs>
          <w:tab w:val="left" w:pos="142"/>
          <w:tab w:val="left" w:pos="284"/>
        </w:tabs>
        <w:spacing w:after="0" w:line="276" w:lineRule="auto"/>
        <w:ind w:left="0" w:firstLine="0"/>
        <w:jc w:val="both"/>
        <w:rPr>
          <w:rFonts w:ascii="Verdana" w:eastAsia="Century Gothic" w:hAnsi="Verdana" w:cs="Century Gothic"/>
          <w:b/>
          <w:bCs/>
        </w:rPr>
      </w:pPr>
      <w:r w:rsidRPr="00FA72EC">
        <w:rPr>
          <w:rFonts w:ascii="Verdana" w:eastAsia="Century Gothic" w:hAnsi="Verdana" w:cs="Century Gothic"/>
          <w:b/>
          <w:bCs/>
        </w:rPr>
        <w:t>Problema planteado:</w:t>
      </w:r>
    </w:p>
    <w:p w14:paraId="0D549038" w14:textId="77777777" w:rsidR="00B907D5" w:rsidRPr="00FA72EC" w:rsidRDefault="00B907D5" w:rsidP="00B907D5">
      <w:pPr>
        <w:tabs>
          <w:tab w:val="left" w:pos="426"/>
        </w:tabs>
        <w:spacing w:after="0" w:line="276" w:lineRule="auto"/>
        <w:jc w:val="both"/>
        <w:rPr>
          <w:rFonts w:ascii="Verdana" w:eastAsia="Century Gothic" w:hAnsi="Verdana" w:cs="Century Gothic"/>
          <w:lang w:val="es-ES"/>
        </w:rPr>
      </w:pPr>
    </w:p>
    <w:p w14:paraId="002D5D55" w14:textId="76B9A631" w:rsidR="00B907D5" w:rsidRPr="00FA72EC" w:rsidRDefault="00B907D5" w:rsidP="009E6FCC">
      <w:pPr>
        <w:spacing w:after="0" w:line="276" w:lineRule="auto"/>
        <w:jc w:val="both"/>
        <w:rPr>
          <w:rFonts w:ascii="Verdana" w:eastAsia="Century Gothic" w:hAnsi="Verdana" w:cs="Century Gothic"/>
        </w:rPr>
      </w:pPr>
      <w:r w:rsidRPr="00FA72EC">
        <w:rPr>
          <w:rFonts w:ascii="Verdana" w:eastAsia="Century Gothic" w:hAnsi="Verdana" w:cs="Century Gothic"/>
        </w:rPr>
        <w:t xml:space="preserve">De acuerdo con el contenido de su solicitud, esta Agencia resolverá </w:t>
      </w:r>
      <w:r w:rsidR="003B445E" w:rsidRPr="00FA72EC">
        <w:rPr>
          <w:rFonts w:ascii="Verdana" w:eastAsia="Century Gothic" w:hAnsi="Verdana" w:cs="Century Gothic"/>
        </w:rPr>
        <w:t>los</w:t>
      </w:r>
      <w:r w:rsidRPr="00FA72EC">
        <w:rPr>
          <w:rFonts w:ascii="Verdana" w:eastAsia="Century Gothic" w:hAnsi="Verdana" w:cs="Century Gothic"/>
        </w:rPr>
        <w:t xml:space="preserve"> siguiente</w:t>
      </w:r>
      <w:r w:rsidR="003B445E" w:rsidRPr="00FA72EC">
        <w:rPr>
          <w:rFonts w:ascii="Verdana" w:eastAsia="Century Gothic" w:hAnsi="Verdana" w:cs="Century Gothic"/>
        </w:rPr>
        <w:t>s</w:t>
      </w:r>
      <w:r w:rsidRPr="00FA72EC">
        <w:rPr>
          <w:rFonts w:ascii="Verdana" w:eastAsia="Century Gothic" w:hAnsi="Verdana" w:cs="Century Gothic"/>
        </w:rPr>
        <w:t xml:space="preserve"> problema</w:t>
      </w:r>
      <w:r w:rsidR="003B445E" w:rsidRPr="00FA72EC">
        <w:rPr>
          <w:rFonts w:ascii="Verdana" w:eastAsia="Century Gothic" w:hAnsi="Verdana" w:cs="Century Gothic"/>
        </w:rPr>
        <w:t>s</w:t>
      </w:r>
      <w:r w:rsidRPr="00FA72EC">
        <w:rPr>
          <w:rFonts w:ascii="Verdana" w:eastAsia="Century Gothic" w:hAnsi="Verdana" w:cs="Century Gothic"/>
        </w:rPr>
        <w:t xml:space="preserve"> jurídico</w:t>
      </w:r>
      <w:r w:rsidR="003B445E" w:rsidRPr="00FA72EC">
        <w:rPr>
          <w:rFonts w:ascii="Verdana" w:eastAsia="Century Gothic" w:hAnsi="Verdana" w:cs="Century Gothic"/>
        </w:rPr>
        <w:t>s</w:t>
      </w:r>
      <w:r w:rsidRPr="00FA72EC">
        <w:rPr>
          <w:rFonts w:ascii="Verdana" w:eastAsia="Century Gothic" w:hAnsi="Verdana" w:cs="Century Gothic"/>
        </w:rPr>
        <w:t xml:space="preserve">: </w:t>
      </w:r>
      <w:r w:rsidR="009E6FCC" w:rsidRPr="00FA72EC">
        <w:rPr>
          <w:rFonts w:ascii="Verdana" w:eastAsia="Century Gothic" w:hAnsi="Verdana" w:cs="Century Gothic"/>
        </w:rPr>
        <w:t>i) ¿Cuál es la modalidad de selección que deben adelantar las Entidades para celebrar un contrato de obra</w:t>
      </w:r>
      <w:r w:rsidR="00B75A40" w:rsidRPr="00FA72EC">
        <w:rPr>
          <w:rFonts w:ascii="Verdana" w:eastAsia="Century Gothic" w:hAnsi="Verdana" w:cs="Century Gothic"/>
        </w:rPr>
        <w:t xml:space="preserve"> pública</w:t>
      </w:r>
      <w:r w:rsidR="009E6FCC" w:rsidRPr="00FA72EC">
        <w:rPr>
          <w:rFonts w:ascii="Verdana" w:eastAsia="Century Gothic" w:hAnsi="Verdana" w:cs="Century Gothic"/>
        </w:rPr>
        <w:t xml:space="preserve">?; </w:t>
      </w:r>
      <w:proofErr w:type="spellStart"/>
      <w:r w:rsidR="009E6FCC" w:rsidRPr="00FA72EC">
        <w:rPr>
          <w:rFonts w:ascii="Verdana" w:eastAsia="Century Gothic" w:hAnsi="Verdana" w:cs="Century Gothic"/>
        </w:rPr>
        <w:t>ii</w:t>
      </w:r>
      <w:proofErr w:type="spellEnd"/>
      <w:r w:rsidR="00310468" w:rsidRPr="00FA72EC">
        <w:rPr>
          <w:rFonts w:ascii="Verdana" w:eastAsia="Century Gothic" w:hAnsi="Verdana" w:cs="Century Gothic"/>
        </w:rPr>
        <w:t>)</w:t>
      </w:r>
      <w:r w:rsidR="009E6FCC" w:rsidRPr="00FA72EC">
        <w:rPr>
          <w:rFonts w:ascii="Verdana" w:eastAsia="Century Gothic" w:hAnsi="Verdana" w:cs="Century Gothic"/>
        </w:rPr>
        <w:t xml:space="preserve"> ¿Una Entidad Estatal puede suscribir un convenio interadministrativo con una empresa de naturaleza privada?</w:t>
      </w:r>
      <w:r w:rsidR="005B5493" w:rsidRPr="00FA72EC">
        <w:rPr>
          <w:rFonts w:ascii="Verdana" w:eastAsia="Century Gothic" w:hAnsi="Verdana" w:cs="Century Gothic"/>
        </w:rPr>
        <w:t xml:space="preserve">; </w:t>
      </w:r>
      <w:proofErr w:type="spellStart"/>
      <w:r w:rsidR="005B5493" w:rsidRPr="00FA72EC">
        <w:rPr>
          <w:rFonts w:ascii="Verdana" w:eastAsia="Century Gothic" w:hAnsi="Verdana" w:cs="Century Gothic"/>
        </w:rPr>
        <w:t>iii</w:t>
      </w:r>
      <w:proofErr w:type="spellEnd"/>
      <w:r w:rsidR="005B5493" w:rsidRPr="00FA72EC">
        <w:rPr>
          <w:rFonts w:ascii="Verdana" w:eastAsia="Century Gothic" w:hAnsi="Verdana" w:cs="Century Gothic"/>
        </w:rPr>
        <w:t>) ¿Existe</w:t>
      </w:r>
      <w:r w:rsidR="00302F80" w:rsidRPr="00FA72EC">
        <w:rPr>
          <w:rFonts w:ascii="Verdana" w:eastAsia="Century Gothic" w:hAnsi="Verdana" w:cs="Century Gothic"/>
        </w:rPr>
        <w:t xml:space="preserve">n disposiciones de contratación estatal específicas para la realización de proyectos de transición energética? </w:t>
      </w:r>
    </w:p>
    <w:p w14:paraId="17861EDB" w14:textId="77777777" w:rsidR="00E35445" w:rsidRPr="00FA72EC" w:rsidRDefault="00E35445" w:rsidP="00E35445">
      <w:pPr>
        <w:spacing w:after="0"/>
        <w:jc w:val="both"/>
        <w:rPr>
          <w:rFonts w:ascii="Verdana" w:hAnsi="Verdana"/>
          <w:lang w:val="es-ES"/>
        </w:rPr>
      </w:pPr>
    </w:p>
    <w:p w14:paraId="0F5A8377" w14:textId="77777777" w:rsidR="00E35445" w:rsidRPr="00FA72EC" w:rsidRDefault="00E35445" w:rsidP="00E35445">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A72EC">
        <w:rPr>
          <w:rFonts w:ascii="Verdana" w:eastAsia="Century Gothic" w:hAnsi="Verdana" w:cs="Century Gothic"/>
          <w:b/>
          <w:bCs/>
        </w:rPr>
        <w:lastRenderedPageBreak/>
        <w:t>Respuesta:</w:t>
      </w:r>
    </w:p>
    <w:p w14:paraId="1E721FC9" w14:textId="77777777" w:rsidR="00E35445" w:rsidRPr="00FA72EC" w:rsidRDefault="00E35445" w:rsidP="00E3544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35445" w:rsidRPr="00FA72EC" w14:paraId="3602DBD6" w14:textId="77777777" w:rsidTr="00894E15">
        <w:tc>
          <w:tcPr>
            <w:tcW w:w="8828" w:type="dxa"/>
            <w:shd w:val="clear" w:color="auto" w:fill="auto"/>
          </w:tcPr>
          <w:p w14:paraId="1B3A144D" w14:textId="77777777" w:rsidR="00E35445" w:rsidRPr="00FA72EC" w:rsidRDefault="00E35445" w:rsidP="00837454">
            <w:pPr>
              <w:pBdr>
                <w:top w:val="nil"/>
                <w:left w:val="nil"/>
                <w:bottom w:val="nil"/>
                <w:right w:val="nil"/>
                <w:between w:val="nil"/>
              </w:pBdr>
              <w:spacing w:after="120" w:line="276" w:lineRule="auto"/>
              <w:jc w:val="both"/>
              <w:rPr>
                <w:rFonts w:ascii="Verdana" w:eastAsia="Arial" w:hAnsi="Verdana" w:cs="Arial"/>
              </w:rPr>
            </w:pPr>
            <w:r w:rsidRPr="00FA72EC">
              <w:rPr>
                <w:rFonts w:ascii="Verdana" w:eastAsia="Calibri" w:hAnsi="Verdana" w:cs="Arial"/>
                <w:lang w:val="es-ES"/>
              </w:rPr>
              <w:t>En respuesta a los problemas antes planteados esta Subdirección manifiesta lo siguiente:</w:t>
            </w:r>
          </w:p>
          <w:p w14:paraId="1C79AF81" w14:textId="25791FD4" w:rsidR="004D2146" w:rsidRPr="00FA72EC" w:rsidRDefault="006E4FD2" w:rsidP="004D2146">
            <w:pPr>
              <w:pBdr>
                <w:top w:val="nil"/>
                <w:left w:val="nil"/>
                <w:bottom w:val="nil"/>
                <w:right w:val="nil"/>
                <w:between w:val="nil"/>
              </w:pBdr>
              <w:spacing w:after="120" w:line="276" w:lineRule="auto"/>
              <w:jc w:val="both"/>
              <w:rPr>
                <w:rFonts w:ascii="Verdana" w:eastAsia="Century Gothic" w:hAnsi="Verdana" w:cs="Century Gothic"/>
              </w:rPr>
            </w:pPr>
            <w:r w:rsidRPr="00FA72EC">
              <w:rPr>
                <w:rFonts w:ascii="Verdana" w:eastAsia="Century Gothic" w:hAnsi="Verdana" w:cs="Century Gothic"/>
              </w:rPr>
              <w:t xml:space="preserve">i) </w:t>
            </w:r>
            <w:r w:rsidR="00EE5AA7" w:rsidRPr="00FA72EC">
              <w:rPr>
                <w:rFonts w:ascii="Verdana" w:eastAsia="Century Gothic" w:hAnsi="Verdana" w:cs="Century Gothic"/>
              </w:rPr>
              <w:t xml:space="preserve">Frente al primer problema jurídico planteado debe indicarse </w:t>
            </w:r>
            <w:r w:rsidR="00D948BC" w:rsidRPr="00FA72EC">
              <w:rPr>
                <w:rFonts w:ascii="Verdana" w:eastAsia="Century Gothic" w:hAnsi="Verdana" w:cs="Century Gothic"/>
              </w:rPr>
              <w:t xml:space="preserve">que </w:t>
            </w:r>
            <w:r w:rsidR="004D2146" w:rsidRPr="00FA72EC">
              <w:rPr>
                <w:rFonts w:ascii="Verdana" w:eastAsia="Century Gothic" w:hAnsi="Verdana" w:cs="Century Gothic"/>
              </w:rPr>
              <w:t xml:space="preserve">de conformidad con el numeral 1 </w:t>
            </w:r>
            <w:r w:rsidR="00BB309D" w:rsidRPr="00FA72EC">
              <w:rPr>
                <w:rFonts w:ascii="Verdana" w:eastAsia="Century Gothic" w:hAnsi="Verdana" w:cs="Century Gothic"/>
              </w:rPr>
              <w:t>del artículo</w:t>
            </w:r>
            <w:r w:rsidR="004D2146" w:rsidRPr="00FA72EC">
              <w:rPr>
                <w:rFonts w:ascii="Verdana" w:eastAsia="Century Gothic" w:hAnsi="Verdana" w:cs="Century Gothic"/>
              </w:rPr>
              <w:t xml:space="preserve"> 32 de la Ley 80 de </w:t>
            </w:r>
            <w:r w:rsidR="00BB309D" w:rsidRPr="00FA72EC">
              <w:rPr>
                <w:rFonts w:ascii="Verdana" w:eastAsia="Century Gothic" w:hAnsi="Verdana" w:cs="Century Gothic"/>
              </w:rPr>
              <w:t>1993 se</w:t>
            </w:r>
            <w:r w:rsidR="004D2146" w:rsidRPr="00FA72EC">
              <w:rPr>
                <w:rFonts w:ascii="Verdana" w:eastAsia="Century Gothic" w:hAnsi="Verdana" w:cs="Century Gothic"/>
              </w:rPr>
              <w:t xml:space="preserve"> entiende por contrato de obra “la construcción, mantenimiento, instalación y, en general, para la realización de cualquier otro trabajo material sobre bienes inmuebles, cualquiera que sea la modalidad de ejecución y pago</w:t>
            </w:r>
            <w:r w:rsidR="00287A47" w:rsidRPr="00FA72EC">
              <w:rPr>
                <w:rFonts w:ascii="Verdana" w:eastAsia="Century Gothic" w:hAnsi="Verdana" w:cs="Century Gothic"/>
              </w:rPr>
              <w:t>”.</w:t>
            </w:r>
          </w:p>
          <w:p w14:paraId="4FB144B7" w14:textId="5F047299" w:rsidR="00086840" w:rsidRPr="00FA72EC" w:rsidRDefault="008C653B" w:rsidP="00805FBB">
            <w:pPr>
              <w:spacing w:after="120" w:line="276" w:lineRule="auto"/>
              <w:jc w:val="both"/>
              <w:rPr>
                <w:rFonts w:ascii="Verdana" w:hAnsi="Verdana"/>
              </w:rPr>
            </w:pPr>
            <w:r w:rsidRPr="00FA72EC">
              <w:rPr>
                <w:rFonts w:ascii="Verdana" w:eastAsia="Century Gothic" w:hAnsi="Verdana" w:cs="Century Gothic"/>
              </w:rPr>
              <w:t xml:space="preserve">Ahora bien, los contratos de obra se llevarán a cabo bajo la modalidad de licitación pública por regla general, </w:t>
            </w:r>
            <w:r w:rsidR="00FF4FDE" w:rsidRPr="00FA72EC">
              <w:rPr>
                <w:rFonts w:ascii="Verdana" w:eastAsia="Century Gothic" w:hAnsi="Verdana" w:cs="Century Gothic"/>
              </w:rPr>
              <w:t>de acuerdo con el</w:t>
            </w:r>
            <w:r w:rsidRPr="00FA72EC">
              <w:rPr>
                <w:rFonts w:ascii="Verdana" w:eastAsia="Century Gothic" w:hAnsi="Verdana" w:cs="Century Gothic"/>
              </w:rPr>
              <w:t xml:space="preserve"> numeral 1 del artículo 2 de la Ley 1150 del 2007 que establece “la escogencia del contratista se efectuará por regla general a través de licitación pública”.</w:t>
            </w:r>
            <w:r w:rsidR="00287A47" w:rsidRPr="00FA72EC">
              <w:rPr>
                <w:rFonts w:ascii="Verdana" w:eastAsia="Century Gothic" w:hAnsi="Verdana" w:cs="Century Gothic"/>
              </w:rPr>
              <w:t xml:space="preserve"> </w:t>
            </w:r>
            <w:r w:rsidR="003B083A" w:rsidRPr="00FA72EC">
              <w:rPr>
                <w:rFonts w:ascii="Verdana" w:eastAsia="Century Gothic" w:hAnsi="Verdana" w:cs="Century Gothic"/>
              </w:rPr>
              <w:t xml:space="preserve">No obstante, </w:t>
            </w:r>
            <w:r w:rsidR="00805FBB" w:rsidRPr="00FA72EC">
              <w:rPr>
                <w:rFonts w:ascii="Verdana" w:eastAsia="Century Gothic" w:hAnsi="Verdana" w:cs="Century Gothic"/>
              </w:rPr>
              <w:t xml:space="preserve">excepcionalmente </w:t>
            </w:r>
            <w:r w:rsidR="00050AC5" w:rsidRPr="00FA72EC">
              <w:rPr>
                <w:rFonts w:ascii="Verdana" w:eastAsia="Century Gothic" w:hAnsi="Verdana" w:cs="Century Gothic"/>
              </w:rPr>
              <w:t>el Estatuto General de Contratación d</w:t>
            </w:r>
            <w:r w:rsidR="006E4FD2" w:rsidRPr="00FA72EC">
              <w:rPr>
                <w:rFonts w:ascii="Verdana" w:eastAsia="Century Gothic" w:hAnsi="Verdana" w:cs="Century Gothic"/>
              </w:rPr>
              <w:t>e la Administración Pública</w:t>
            </w:r>
            <w:r w:rsidR="001C18C4" w:rsidRPr="00FA72EC">
              <w:rPr>
                <w:rFonts w:ascii="Verdana" w:eastAsia="Century Gothic" w:hAnsi="Verdana" w:cs="Century Gothic"/>
              </w:rPr>
              <w:t>,</w:t>
            </w:r>
            <w:r w:rsidR="00E752E9" w:rsidRPr="00FA72EC">
              <w:rPr>
                <w:rFonts w:ascii="Verdana" w:hAnsi="Verdana"/>
              </w:rPr>
              <w:t xml:space="preserve"> </w:t>
            </w:r>
            <w:r w:rsidR="00952635" w:rsidRPr="00FA72EC">
              <w:rPr>
                <w:rFonts w:ascii="Verdana" w:hAnsi="Verdana"/>
              </w:rPr>
              <w:t xml:space="preserve">contiene disposiciones que habilitan a las </w:t>
            </w:r>
            <w:r w:rsidR="00BB309D" w:rsidRPr="00FA72EC">
              <w:rPr>
                <w:rFonts w:ascii="Verdana" w:hAnsi="Verdana"/>
              </w:rPr>
              <w:t>Entidades Estatales</w:t>
            </w:r>
            <w:r w:rsidR="00086840" w:rsidRPr="00FA72EC">
              <w:rPr>
                <w:rFonts w:ascii="Verdana" w:hAnsi="Verdana"/>
              </w:rPr>
              <w:t xml:space="preserve"> </w:t>
            </w:r>
            <w:r w:rsidR="00DD2324" w:rsidRPr="00FA72EC">
              <w:rPr>
                <w:rFonts w:ascii="Verdana" w:hAnsi="Verdana"/>
              </w:rPr>
              <w:t>a celebrar este tipo de contrato</w:t>
            </w:r>
            <w:r w:rsidR="00323ED7" w:rsidRPr="00FA72EC">
              <w:rPr>
                <w:rFonts w:ascii="Verdana" w:hAnsi="Verdana"/>
              </w:rPr>
              <w:t>s</w:t>
            </w:r>
            <w:r w:rsidR="00DD2324" w:rsidRPr="00FA72EC">
              <w:rPr>
                <w:rFonts w:ascii="Verdana" w:hAnsi="Verdana"/>
              </w:rPr>
              <w:t xml:space="preserve"> bajo otras modalidades</w:t>
            </w:r>
            <w:r w:rsidR="00DD3623" w:rsidRPr="00FA72EC">
              <w:rPr>
                <w:rFonts w:ascii="Verdana" w:hAnsi="Verdana"/>
              </w:rPr>
              <w:t xml:space="preserve"> </w:t>
            </w:r>
            <w:r w:rsidR="004A1911" w:rsidRPr="00FA72EC">
              <w:rPr>
                <w:rFonts w:ascii="Verdana" w:hAnsi="Verdana"/>
              </w:rPr>
              <w:t>de selección siempre que se cumplan con los requisitos dispuestos para ello</w:t>
            </w:r>
            <w:r w:rsidR="006A0163" w:rsidRPr="00FA72EC">
              <w:rPr>
                <w:rStyle w:val="Refdenotaalpie"/>
                <w:rFonts w:ascii="Verdana" w:hAnsi="Verdana"/>
              </w:rPr>
              <w:footnoteReference w:id="2"/>
            </w:r>
          </w:p>
          <w:p w14:paraId="05C17F22" w14:textId="7EEB6558" w:rsidR="004B4490" w:rsidRPr="00FA72EC" w:rsidRDefault="00FC129B" w:rsidP="00805FBB">
            <w:pPr>
              <w:spacing w:after="120" w:line="276" w:lineRule="auto"/>
              <w:jc w:val="both"/>
              <w:rPr>
                <w:rFonts w:ascii="Verdana" w:hAnsi="Verdana"/>
              </w:rPr>
            </w:pPr>
            <w:r w:rsidRPr="00FA72EC">
              <w:rPr>
                <w:rFonts w:ascii="Verdana" w:hAnsi="Verdana"/>
              </w:rPr>
              <w:t xml:space="preserve">Así las cosas, corresponderá a la </w:t>
            </w:r>
            <w:r w:rsidR="00E04212" w:rsidRPr="00FA72EC">
              <w:rPr>
                <w:rFonts w:ascii="Verdana" w:hAnsi="Verdana"/>
              </w:rPr>
              <w:t>Entidad contratante en consideración a las particularidades y especificaciones del objeto contractual</w:t>
            </w:r>
            <w:r w:rsidR="00573D6F" w:rsidRPr="00FA72EC">
              <w:rPr>
                <w:rFonts w:ascii="Verdana" w:hAnsi="Verdana"/>
              </w:rPr>
              <w:t xml:space="preserve"> definir la modalidad de selección </w:t>
            </w:r>
            <w:r w:rsidR="00C16273" w:rsidRPr="00FA72EC">
              <w:rPr>
                <w:rFonts w:ascii="Verdana" w:hAnsi="Verdana"/>
              </w:rPr>
              <w:t xml:space="preserve">que se </w:t>
            </w:r>
            <w:r w:rsidR="00837CD1" w:rsidRPr="00FA72EC">
              <w:rPr>
                <w:rFonts w:ascii="Verdana" w:hAnsi="Verdana"/>
              </w:rPr>
              <w:t>ajuste a la necesidad que se pretende satisfacer</w:t>
            </w:r>
            <w:r w:rsidR="002F71B5" w:rsidRPr="00FA72EC">
              <w:rPr>
                <w:rFonts w:ascii="Verdana" w:hAnsi="Verdana"/>
              </w:rPr>
              <w:t xml:space="preserve">, previa </w:t>
            </w:r>
            <w:r w:rsidR="000304B2" w:rsidRPr="00FA72EC">
              <w:rPr>
                <w:rFonts w:ascii="Verdana" w:hAnsi="Verdana"/>
              </w:rPr>
              <w:t>justificación motivada de la modalidad escogida.</w:t>
            </w:r>
          </w:p>
          <w:p w14:paraId="4984020D" w14:textId="051B9FF9" w:rsidR="004B4490" w:rsidRPr="00FA72EC" w:rsidRDefault="004B4490" w:rsidP="004B4490">
            <w:pPr>
              <w:spacing w:after="120" w:line="276" w:lineRule="auto"/>
              <w:jc w:val="both"/>
              <w:rPr>
                <w:rFonts w:ascii="Verdana" w:eastAsia="Century Gothic" w:hAnsi="Verdana" w:cs="Century Gothic"/>
              </w:rPr>
            </w:pPr>
            <w:r w:rsidRPr="00FA72EC">
              <w:rPr>
                <w:rFonts w:ascii="Verdana" w:eastAsia="Century Gothic" w:hAnsi="Verdana" w:cs="Century Gothic"/>
              </w:rPr>
              <w:t xml:space="preserve">Por otro </w:t>
            </w:r>
            <w:r w:rsidR="00BB309D" w:rsidRPr="00FA72EC">
              <w:rPr>
                <w:rFonts w:ascii="Verdana" w:eastAsia="Century Gothic" w:hAnsi="Verdana" w:cs="Century Gothic"/>
              </w:rPr>
              <w:t>lado, téngase</w:t>
            </w:r>
            <w:r w:rsidRPr="00FA72EC">
              <w:rPr>
                <w:rFonts w:ascii="Verdana" w:eastAsia="Century Gothic" w:hAnsi="Verdana" w:cs="Century Gothic"/>
              </w:rPr>
              <w:t xml:space="preserve"> presente que los contratos interadministrativos involucran la necesidad de que las partes </w:t>
            </w:r>
            <w:r w:rsidR="00BB309D" w:rsidRPr="00FA72EC">
              <w:rPr>
                <w:rFonts w:ascii="Verdana" w:eastAsia="Century Gothic" w:hAnsi="Verdana" w:cs="Century Gothic"/>
              </w:rPr>
              <w:t>sean de</w:t>
            </w:r>
            <w:r w:rsidRPr="00FA72EC">
              <w:rPr>
                <w:rFonts w:ascii="Verdana" w:eastAsia="Century Gothic" w:hAnsi="Verdana" w:cs="Century Gothic"/>
              </w:rPr>
              <w:t xml:space="preserve"> </w:t>
            </w:r>
            <w:r w:rsidR="006337BB" w:rsidRPr="00FA72EC">
              <w:rPr>
                <w:rFonts w:ascii="Verdana" w:eastAsia="Century Gothic" w:hAnsi="Verdana" w:cs="Century Gothic"/>
              </w:rPr>
              <w:t>naturaleza</w:t>
            </w:r>
            <w:r w:rsidRPr="00FA72EC">
              <w:rPr>
                <w:rFonts w:ascii="Verdana" w:eastAsia="Century Gothic" w:hAnsi="Verdana" w:cs="Century Gothic"/>
              </w:rPr>
              <w:t xml:space="preserve"> pública o en su defecto mixta con porcentaje público para que proceda su suscripción.</w:t>
            </w:r>
            <w:r w:rsidR="00FF4FDE" w:rsidRPr="00FA72EC">
              <w:rPr>
                <w:rFonts w:ascii="Verdana" w:eastAsia="Century Gothic" w:hAnsi="Verdana" w:cs="Century Gothic"/>
              </w:rPr>
              <w:t xml:space="preserve"> </w:t>
            </w:r>
            <w:r w:rsidRPr="00FA72EC">
              <w:rPr>
                <w:rFonts w:ascii="Verdana" w:eastAsia="Century Gothic" w:hAnsi="Verdana" w:cs="Century Gothic"/>
              </w:rPr>
              <w:t xml:space="preserve">De igual forma la parte que figura en calidad de contratista debe contener en su naturaleza jurídica la función específica </w:t>
            </w:r>
            <w:r w:rsidR="00BB309D" w:rsidRPr="00FA72EC">
              <w:rPr>
                <w:rFonts w:ascii="Verdana" w:eastAsia="Century Gothic" w:hAnsi="Verdana" w:cs="Century Gothic"/>
              </w:rPr>
              <w:t>de acuerdo con el</w:t>
            </w:r>
            <w:r w:rsidRPr="00FA72EC">
              <w:rPr>
                <w:rFonts w:ascii="Verdana" w:eastAsia="Century Gothic" w:hAnsi="Verdana" w:cs="Century Gothic"/>
              </w:rPr>
              <w:t xml:space="preserve"> concepto de descentralización por servicios, esto es, que la actividad que se contrata guarde relación con la actividad especializada para lo cual fue creada.</w:t>
            </w:r>
            <w:r w:rsidR="006337BB" w:rsidRPr="00FA72EC">
              <w:rPr>
                <w:rFonts w:ascii="Verdana" w:eastAsia="Century Gothic" w:hAnsi="Verdana" w:cs="Century Gothic"/>
              </w:rPr>
              <w:t xml:space="preserve"> </w:t>
            </w:r>
            <w:r w:rsidRPr="00FA72EC">
              <w:rPr>
                <w:rFonts w:ascii="Verdana" w:eastAsia="Century Gothic" w:hAnsi="Verdana" w:cs="Century Gothic"/>
              </w:rPr>
              <w:t>En otras pal</w:t>
            </w:r>
            <w:r w:rsidR="0006031C" w:rsidRPr="00FA72EC">
              <w:rPr>
                <w:rFonts w:ascii="Verdana" w:eastAsia="Century Gothic" w:hAnsi="Verdana" w:cs="Century Gothic"/>
              </w:rPr>
              <w:t>a</w:t>
            </w:r>
            <w:r w:rsidRPr="00FA72EC">
              <w:rPr>
                <w:rFonts w:ascii="Verdana" w:eastAsia="Century Gothic" w:hAnsi="Verdana" w:cs="Century Gothic"/>
              </w:rPr>
              <w:t>b</w:t>
            </w:r>
            <w:r w:rsidR="006337BB" w:rsidRPr="00FA72EC">
              <w:rPr>
                <w:rFonts w:ascii="Verdana" w:eastAsia="Century Gothic" w:hAnsi="Verdana" w:cs="Century Gothic"/>
              </w:rPr>
              <w:t>r</w:t>
            </w:r>
            <w:r w:rsidRPr="00FA72EC">
              <w:rPr>
                <w:rFonts w:ascii="Verdana" w:eastAsia="Century Gothic" w:hAnsi="Verdana" w:cs="Century Gothic"/>
              </w:rPr>
              <w:t xml:space="preserve">as, el objeto del contrato interadministrativo </w:t>
            </w:r>
            <w:r w:rsidR="00BB309D" w:rsidRPr="00FA72EC">
              <w:rPr>
                <w:rFonts w:ascii="Verdana" w:eastAsia="Century Gothic" w:hAnsi="Verdana" w:cs="Century Gothic"/>
              </w:rPr>
              <w:t>debe estar</w:t>
            </w:r>
            <w:r w:rsidRPr="00FA72EC">
              <w:rPr>
                <w:rFonts w:ascii="Verdana" w:eastAsia="Century Gothic" w:hAnsi="Verdana" w:cs="Century Gothic"/>
              </w:rPr>
              <w:t xml:space="preserve"> en relación directa con las </w:t>
            </w:r>
            <w:r w:rsidR="00BB309D" w:rsidRPr="00FA72EC">
              <w:rPr>
                <w:rFonts w:ascii="Verdana" w:eastAsia="Century Gothic" w:hAnsi="Verdana" w:cs="Century Gothic"/>
              </w:rPr>
              <w:t>funciones establecidas</w:t>
            </w:r>
            <w:r w:rsidRPr="00FA72EC">
              <w:rPr>
                <w:rFonts w:ascii="Verdana" w:eastAsia="Century Gothic" w:hAnsi="Verdana" w:cs="Century Gothic"/>
              </w:rPr>
              <w:t xml:space="preserve"> en los reglamentos o estatutos de conformación de la entidad con la que se pretende suscribir dicho contrato.  </w:t>
            </w:r>
          </w:p>
          <w:p w14:paraId="20FDF3CA" w14:textId="6DC93C7F" w:rsidR="004B4490" w:rsidRPr="00FA72EC" w:rsidRDefault="004B4490" w:rsidP="00805FBB">
            <w:pPr>
              <w:spacing w:after="120" w:line="276" w:lineRule="auto"/>
              <w:jc w:val="both"/>
              <w:rPr>
                <w:rFonts w:ascii="Verdana" w:eastAsia="Century Gothic" w:hAnsi="Verdana" w:cs="Century Gothic"/>
              </w:rPr>
            </w:pPr>
            <w:r w:rsidRPr="00FA72EC">
              <w:rPr>
                <w:rFonts w:ascii="Verdana" w:eastAsia="Century Gothic" w:hAnsi="Verdana" w:cs="Century Gothic"/>
              </w:rPr>
              <w:t xml:space="preserve">De tal manera que, la ejecución de los contratos interadministrativos quedó sometida, por regla general, al Estatuto General de Contratación </w:t>
            </w:r>
            <w:r w:rsidR="00BB309D" w:rsidRPr="00FA72EC">
              <w:rPr>
                <w:rFonts w:ascii="Verdana" w:eastAsia="Century Gothic" w:hAnsi="Verdana" w:cs="Century Gothic"/>
              </w:rPr>
              <w:t>Pública</w:t>
            </w:r>
            <w:r w:rsidRPr="00FA72EC">
              <w:rPr>
                <w:rFonts w:ascii="Verdana" w:eastAsia="Century Gothic" w:hAnsi="Verdana" w:cs="Century Gothic"/>
              </w:rPr>
              <w:t xml:space="preserve">, salvo los casos en que la entidad ejecutora actúa en régimen de competencia o </w:t>
            </w:r>
            <w:r w:rsidRPr="00FA72EC">
              <w:rPr>
                <w:rFonts w:ascii="Verdana" w:eastAsia="Century Gothic" w:hAnsi="Verdana" w:cs="Century Gothic"/>
              </w:rPr>
              <w:lastRenderedPageBreak/>
              <w:t>cuando el contrato tenga relación directa con su actividad</w:t>
            </w:r>
            <w:r w:rsidRPr="00FA72EC">
              <w:rPr>
                <w:rStyle w:val="Refdenotaalpie"/>
                <w:rFonts w:ascii="Verdana" w:eastAsia="Century Gothic" w:hAnsi="Verdana" w:cs="Century Gothic"/>
              </w:rPr>
              <w:footnoteReference w:id="3"/>
            </w:r>
            <w:r w:rsidRPr="00FA72EC">
              <w:rPr>
                <w:rFonts w:ascii="Verdana" w:eastAsia="Century Gothic" w:hAnsi="Verdana" w:cs="Century Gothic"/>
              </w:rPr>
              <w:t xml:space="preserve"> En ese sentido, es posible adelantar un contrato de obra mediante un convenio interadministrativo, no obstante, esto queda a discrecionalidad de las Entidad Estatal, puesto que estas cuentan con la facultad discrecional y técnica para estructurar sus procesos de contratación.</w:t>
            </w:r>
          </w:p>
          <w:p w14:paraId="7DFF2120" w14:textId="593611F3" w:rsidR="006B483B" w:rsidRPr="00FA72EC" w:rsidRDefault="004A1911" w:rsidP="006B483B">
            <w:pPr>
              <w:spacing w:after="120" w:line="276" w:lineRule="auto"/>
              <w:jc w:val="both"/>
              <w:rPr>
                <w:rFonts w:ascii="Verdana" w:hAnsi="Verdana"/>
              </w:rPr>
            </w:pPr>
            <w:proofErr w:type="spellStart"/>
            <w:r w:rsidRPr="00FA72EC">
              <w:rPr>
                <w:rFonts w:ascii="Verdana" w:hAnsi="Verdana"/>
              </w:rPr>
              <w:t>ii</w:t>
            </w:r>
            <w:proofErr w:type="spellEnd"/>
            <w:r w:rsidRPr="00FA72EC">
              <w:rPr>
                <w:rFonts w:ascii="Verdana" w:hAnsi="Verdana"/>
              </w:rPr>
              <w:t xml:space="preserve">) </w:t>
            </w:r>
            <w:r w:rsidR="00795D97" w:rsidRPr="00FA72EC">
              <w:rPr>
                <w:rFonts w:ascii="Verdana" w:hAnsi="Verdana"/>
              </w:rPr>
              <w:t xml:space="preserve">En lo que respecta </w:t>
            </w:r>
            <w:r w:rsidR="00DE2E45" w:rsidRPr="00FA72EC">
              <w:rPr>
                <w:rFonts w:ascii="Verdana" w:hAnsi="Verdana"/>
              </w:rPr>
              <w:t xml:space="preserve">a la posibilidad de suscribir convenios interadministrativos con </w:t>
            </w:r>
            <w:r w:rsidR="00E15658" w:rsidRPr="00FA72EC">
              <w:rPr>
                <w:rFonts w:ascii="Verdana" w:hAnsi="Verdana"/>
              </w:rPr>
              <w:t>empresas privadas,</w:t>
            </w:r>
            <w:r w:rsidR="00D5512C" w:rsidRPr="00FA72EC">
              <w:rPr>
                <w:rFonts w:ascii="Verdana" w:hAnsi="Verdana"/>
              </w:rPr>
              <w:t xml:space="preserve"> </w:t>
            </w:r>
            <w:r w:rsidR="006B483B" w:rsidRPr="00FA72EC">
              <w:rPr>
                <w:rFonts w:ascii="Verdana" w:hAnsi="Verdana"/>
              </w:rPr>
              <w:t xml:space="preserve">la norma colombiana no tiene prevista esta institución para suscribirse con una persona cuya naturaleza jurídica no sea pública, pues su nombre deviene de la palabra </w:t>
            </w:r>
            <w:r w:rsidR="009D433F" w:rsidRPr="00FA72EC">
              <w:rPr>
                <w:rFonts w:ascii="Verdana" w:hAnsi="Verdana"/>
              </w:rPr>
              <w:t>compuesta interadministrativa</w:t>
            </w:r>
            <w:r w:rsidR="006B483B" w:rsidRPr="00FA72EC">
              <w:rPr>
                <w:rFonts w:ascii="Verdana" w:hAnsi="Verdana"/>
              </w:rPr>
              <w:t xml:space="preserve"> que indica </w:t>
            </w:r>
            <w:r w:rsidR="00FF4FDE" w:rsidRPr="00FA72EC">
              <w:rPr>
                <w:rFonts w:ascii="Verdana" w:hAnsi="Verdana"/>
              </w:rPr>
              <w:t>entre públicas</w:t>
            </w:r>
            <w:r w:rsidR="006B483B" w:rsidRPr="00FA72EC">
              <w:rPr>
                <w:rFonts w:ascii="Verdana" w:hAnsi="Verdana"/>
              </w:rPr>
              <w:t xml:space="preserve">.  </w:t>
            </w:r>
          </w:p>
          <w:p w14:paraId="1033E826" w14:textId="77777777" w:rsidR="007530D3" w:rsidRPr="00FA72EC" w:rsidRDefault="00452DC1" w:rsidP="00AC4559">
            <w:pPr>
              <w:spacing w:after="120" w:line="276" w:lineRule="auto"/>
              <w:jc w:val="both"/>
              <w:rPr>
                <w:rFonts w:ascii="Verdana" w:eastAsia="Calibri" w:hAnsi="Verdana" w:cs="Arial"/>
                <w:color w:val="000000"/>
                <w:lang w:val="es-ES_tradnl" w:eastAsia="es-ES" w:bidi="es-ES"/>
              </w:rPr>
            </w:pPr>
            <w:r w:rsidRPr="00FA72EC">
              <w:rPr>
                <w:rFonts w:ascii="Verdana" w:hAnsi="Verdana"/>
              </w:rPr>
              <w:t xml:space="preserve">Por tal razón, </w:t>
            </w:r>
            <w:r w:rsidR="00210249" w:rsidRPr="00FA72EC">
              <w:rPr>
                <w:rFonts w:ascii="Verdana" w:hAnsi="Verdana"/>
              </w:rPr>
              <w:t>resulta preciso advertir</w:t>
            </w:r>
            <w:r w:rsidR="006F497E" w:rsidRPr="00FA72EC">
              <w:rPr>
                <w:rFonts w:ascii="Verdana" w:hAnsi="Verdana"/>
              </w:rPr>
              <w:t xml:space="preserve"> que, estos s</w:t>
            </w:r>
            <w:r w:rsidR="00837454" w:rsidRPr="00FA72EC">
              <w:rPr>
                <w:rFonts w:ascii="Verdana" w:hAnsi="Verdana"/>
              </w:rPr>
              <w:t xml:space="preserve">on entendidos como un acuerdo de voluntades donde </w:t>
            </w:r>
            <w:r w:rsidR="008A3480" w:rsidRPr="00FA72EC">
              <w:rPr>
                <w:rFonts w:ascii="Verdana" w:hAnsi="Verdana"/>
              </w:rPr>
              <w:t xml:space="preserve">intervienen </w:t>
            </w:r>
            <w:r w:rsidR="00837454" w:rsidRPr="00FA72EC">
              <w:rPr>
                <w:rFonts w:ascii="Verdana" w:hAnsi="Verdana"/>
              </w:rPr>
              <w:t xml:space="preserve">dos o más personas jurídicas de </w:t>
            </w:r>
            <w:r w:rsidR="00837454" w:rsidRPr="00FA72EC">
              <w:rPr>
                <w:rFonts w:ascii="Verdana" w:hAnsi="Verdana"/>
                <w:i/>
                <w:iCs/>
              </w:rPr>
              <w:t>derecho público</w:t>
            </w:r>
            <w:r w:rsidR="00837454" w:rsidRPr="00FA72EC">
              <w:rPr>
                <w:rFonts w:ascii="Verdana" w:hAnsi="Verdana"/>
              </w:rPr>
              <w:t xml:space="preserve"> </w:t>
            </w:r>
            <w:r w:rsidR="00837454" w:rsidRPr="00FA72EC">
              <w:rPr>
                <w:rFonts w:ascii="Verdana" w:eastAsia="Calibri" w:hAnsi="Verdana" w:cs="Arial"/>
                <w:color w:val="000000"/>
                <w:lang w:val="es-ES_tradnl" w:eastAsia="es-ES" w:bidi="es-ES"/>
              </w:rPr>
              <w:t xml:space="preserve">con la finalidad de cumplir, en el marco de sus objetivos misionales y sus competencias, con los fines del Estado. </w:t>
            </w:r>
            <w:r w:rsidR="002D4EFC" w:rsidRPr="00FA72EC">
              <w:rPr>
                <w:rFonts w:ascii="Verdana" w:eastAsia="Calibri" w:hAnsi="Verdana" w:cs="Arial"/>
                <w:color w:val="000000"/>
                <w:lang w:val="es-ES_tradnl" w:eastAsia="es-ES" w:bidi="es-ES"/>
              </w:rPr>
              <w:t xml:space="preserve">Lo anterior, significa que los convenios interadministrativos </w:t>
            </w:r>
            <w:r w:rsidR="00F45785" w:rsidRPr="00FA72EC">
              <w:rPr>
                <w:rFonts w:ascii="Verdana" w:eastAsia="Calibri" w:hAnsi="Verdana" w:cs="Arial"/>
                <w:color w:val="000000"/>
                <w:lang w:val="es-ES_tradnl" w:eastAsia="es-ES" w:bidi="es-ES"/>
              </w:rPr>
              <w:t>están determinados por un criterio orgánico, pues es necesario que los extremos de la relación contractual sean Entidades Estatales</w:t>
            </w:r>
            <w:r w:rsidR="001E7F19" w:rsidRPr="00FA72EC">
              <w:rPr>
                <w:rFonts w:ascii="Verdana" w:eastAsia="Calibri" w:hAnsi="Verdana" w:cs="Arial"/>
                <w:color w:val="000000"/>
                <w:lang w:val="es-ES_tradnl" w:eastAsia="es-ES" w:bidi="es-ES"/>
              </w:rPr>
              <w:t>.</w:t>
            </w:r>
            <w:r w:rsidR="00F45785" w:rsidRPr="00FA72EC">
              <w:rPr>
                <w:rFonts w:ascii="Verdana" w:eastAsia="Calibri" w:hAnsi="Verdana" w:cs="Arial"/>
                <w:color w:val="000000"/>
                <w:lang w:val="es-ES_tradnl" w:eastAsia="es-ES" w:bidi="es-ES"/>
              </w:rPr>
              <w:t xml:space="preserve"> </w:t>
            </w:r>
          </w:p>
          <w:p w14:paraId="209D50E5" w14:textId="30984547" w:rsidR="002A1A8B" w:rsidRPr="00FA72EC" w:rsidRDefault="001E7F19" w:rsidP="00AC4559">
            <w:pPr>
              <w:spacing w:after="120" w:line="276" w:lineRule="auto"/>
              <w:jc w:val="both"/>
              <w:rPr>
                <w:rFonts w:ascii="Verdana" w:eastAsia="Calibri" w:hAnsi="Verdana" w:cs="Arial"/>
                <w:color w:val="000000"/>
                <w:lang w:val="es-ES_tradnl" w:eastAsia="es-ES" w:bidi="es-ES"/>
              </w:rPr>
            </w:pPr>
            <w:r w:rsidRPr="00FA72EC">
              <w:rPr>
                <w:rFonts w:ascii="Verdana" w:eastAsia="Calibri" w:hAnsi="Verdana" w:cs="Arial"/>
                <w:color w:val="000000"/>
                <w:lang w:val="es-ES_tradnl" w:eastAsia="es-ES" w:bidi="es-ES"/>
              </w:rPr>
              <w:t>De acuerdo con lo expuesto</w:t>
            </w:r>
            <w:r w:rsidR="00DA70A0" w:rsidRPr="00FA72EC">
              <w:rPr>
                <w:rFonts w:ascii="Verdana" w:eastAsia="Calibri" w:hAnsi="Verdana" w:cs="Arial"/>
                <w:color w:val="000000"/>
                <w:lang w:val="es-ES_tradnl" w:eastAsia="es-ES" w:bidi="es-ES"/>
              </w:rPr>
              <w:t xml:space="preserve"> y para </w:t>
            </w:r>
            <w:r w:rsidR="006D2B8F" w:rsidRPr="00FA72EC">
              <w:rPr>
                <w:rFonts w:ascii="Verdana" w:eastAsia="Calibri" w:hAnsi="Verdana" w:cs="Arial"/>
                <w:color w:val="000000"/>
                <w:lang w:val="es-ES_tradnl" w:eastAsia="es-ES" w:bidi="es-ES"/>
              </w:rPr>
              <w:t xml:space="preserve">brindar </w:t>
            </w:r>
            <w:r w:rsidR="00DA70A0" w:rsidRPr="00FA72EC">
              <w:rPr>
                <w:rFonts w:ascii="Verdana" w:eastAsia="Calibri" w:hAnsi="Verdana" w:cs="Arial"/>
                <w:color w:val="000000"/>
                <w:lang w:val="es-ES_tradnl" w:eastAsia="es-ES" w:bidi="es-ES"/>
              </w:rPr>
              <w:t xml:space="preserve">respuesta al segundo problema jurídico </w:t>
            </w:r>
            <w:r w:rsidR="00BD5E58" w:rsidRPr="00FA72EC">
              <w:rPr>
                <w:rFonts w:ascii="Verdana" w:eastAsia="Calibri" w:hAnsi="Verdana" w:cs="Arial"/>
                <w:color w:val="000000"/>
                <w:lang w:val="es-ES_tradnl" w:eastAsia="es-ES" w:bidi="es-ES"/>
              </w:rPr>
              <w:t xml:space="preserve">de su consulta debe manifestarse que </w:t>
            </w:r>
            <w:r w:rsidR="00EC4CF8" w:rsidRPr="00FA72EC">
              <w:rPr>
                <w:rFonts w:ascii="Verdana" w:eastAsia="Calibri" w:hAnsi="Verdana" w:cs="Arial"/>
                <w:color w:val="000000"/>
                <w:lang w:val="es-ES_tradnl" w:eastAsia="es-ES" w:bidi="es-ES"/>
              </w:rPr>
              <w:t xml:space="preserve">no es posible la suscripción de </w:t>
            </w:r>
            <w:r w:rsidR="002B7FB3" w:rsidRPr="00FA72EC">
              <w:rPr>
                <w:rFonts w:ascii="Verdana" w:eastAsia="Calibri" w:hAnsi="Verdana" w:cs="Arial"/>
                <w:color w:val="000000"/>
                <w:lang w:val="es-ES_tradnl" w:eastAsia="es-ES" w:bidi="es-ES"/>
              </w:rPr>
              <w:t xml:space="preserve">convenios interadministrativos </w:t>
            </w:r>
            <w:r w:rsidR="00EC4CF8" w:rsidRPr="00FA72EC">
              <w:rPr>
                <w:rFonts w:ascii="Verdana" w:eastAsia="Calibri" w:hAnsi="Verdana" w:cs="Arial"/>
                <w:color w:val="000000"/>
                <w:lang w:val="es-ES_tradnl" w:eastAsia="es-ES" w:bidi="es-ES"/>
              </w:rPr>
              <w:t xml:space="preserve">con empresas privadas. </w:t>
            </w:r>
            <w:r w:rsidR="00481CEF" w:rsidRPr="00FA72EC">
              <w:rPr>
                <w:rFonts w:ascii="Verdana" w:eastAsia="Calibri" w:hAnsi="Verdana" w:cs="Arial"/>
                <w:color w:val="000000"/>
                <w:lang w:val="es-ES_tradnl" w:eastAsia="es-ES" w:bidi="es-ES"/>
              </w:rPr>
              <w:t>Ahora bien, la norma colombiana si tiene previsto otro tipo de instituciones jurídicas en virtud de los convenios, como por ejemplo el de asociación con o sin de lucro en el que el privado puede hacer parte; el de cooperación, entre otros, que no son objeto de la consulta.</w:t>
            </w:r>
          </w:p>
          <w:p w14:paraId="7570E696" w14:textId="279BCEF7" w:rsidR="00A91C44" w:rsidRPr="00FA72EC" w:rsidRDefault="008543B7" w:rsidP="00AC4559">
            <w:pPr>
              <w:spacing w:after="120" w:line="276" w:lineRule="auto"/>
              <w:jc w:val="both"/>
              <w:rPr>
                <w:rFonts w:ascii="Verdana" w:eastAsia="Century Gothic" w:hAnsi="Verdana" w:cs="Century Gothic"/>
              </w:rPr>
            </w:pPr>
            <w:proofErr w:type="spellStart"/>
            <w:r w:rsidRPr="00FA72EC">
              <w:rPr>
                <w:rFonts w:ascii="Verdana" w:eastAsia="Calibri" w:hAnsi="Verdana" w:cs="Arial"/>
                <w:color w:val="000000"/>
                <w:lang w:val="es-ES_tradnl" w:eastAsia="es-ES" w:bidi="es-ES"/>
              </w:rPr>
              <w:t>iii</w:t>
            </w:r>
            <w:proofErr w:type="spellEnd"/>
            <w:r w:rsidRPr="00FA72EC">
              <w:rPr>
                <w:rFonts w:ascii="Verdana" w:eastAsia="Calibri" w:hAnsi="Verdana" w:cs="Arial"/>
                <w:color w:val="000000"/>
                <w:lang w:val="es-ES_tradnl" w:eastAsia="es-ES" w:bidi="es-ES"/>
              </w:rPr>
              <w:t xml:space="preserve">) </w:t>
            </w:r>
            <w:r w:rsidR="00055FB0" w:rsidRPr="00FA72EC">
              <w:rPr>
                <w:rFonts w:ascii="Verdana" w:eastAsia="Calibri" w:hAnsi="Verdana" w:cs="Arial"/>
                <w:color w:val="000000"/>
                <w:lang w:val="es-ES_tradnl" w:eastAsia="es-ES" w:bidi="es-ES"/>
              </w:rPr>
              <w:t xml:space="preserve">Finalmente, </w:t>
            </w:r>
            <w:r w:rsidR="004A169D" w:rsidRPr="00FA72EC">
              <w:rPr>
                <w:rFonts w:ascii="Verdana" w:eastAsia="Calibri" w:hAnsi="Verdana" w:cs="Arial"/>
                <w:color w:val="000000"/>
                <w:lang w:val="es-ES_tradnl" w:eastAsia="es-ES" w:bidi="es-ES"/>
              </w:rPr>
              <w:t xml:space="preserve">y </w:t>
            </w:r>
            <w:r w:rsidR="00BD64FE" w:rsidRPr="00FA72EC">
              <w:rPr>
                <w:rFonts w:ascii="Verdana" w:eastAsia="Calibri" w:hAnsi="Verdana" w:cs="Arial"/>
                <w:color w:val="000000"/>
                <w:lang w:val="es-ES_tradnl" w:eastAsia="es-ES" w:bidi="es-ES"/>
              </w:rPr>
              <w:t>con</w:t>
            </w:r>
            <w:r w:rsidR="004A169D" w:rsidRPr="00FA72EC">
              <w:rPr>
                <w:rFonts w:ascii="Verdana" w:eastAsia="Calibri" w:hAnsi="Verdana" w:cs="Arial"/>
                <w:color w:val="000000"/>
                <w:lang w:val="es-ES_tradnl" w:eastAsia="es-ES" w:bidi="es-ES"/>
              </w:rPr>
              <w:t xml:space="preserve"> lo relacionado </w:t>
            </w:r>
            <w:r w:rsidR="00CA07FA" w:rsidRPr="00FA72EC">
              <w:rPr>
                <w:rFonts w:ascii="Verdana" w:eastAsia="Calibri" w:hAnsi="Verdana" w:cs="Arial"/>
                <w:color w:val="000000"/>
                <w:lang w:val="es-ES_tradnl" w:eastAsia="es-ES" w:bidi="es-ES"/>
              </w:rPr>
              <w:t>a</w:t>
            </w:r>
            <w:r w:rsidR="004A169D" w:rsidRPr="00FA72EC">
              <w:rPr>
                <w:rFonts w:ascii="Verdana" w:eastAsia="Calibri" w:hAnsi="Verdana" w:cs="Arial"/>
                <w:color w:val="000000"/>
                <w:lang w:val="es-ES_tradnl" w:eastAsia="es-ES" w:bidi="es-ES"/>
              </w:rPr>
              <w:t xml:space="preserve"> los </w:t>
            </w:r>
            <w:r w:rsidR="004C6037" w:rsidRPr="00FA72EC">
              <w:rPr>
                <w:rFonts w:ascii="Verdana" w:eastAsia="Calibri" w:hAnsi="Verdana" w:cs="Arial"/>
                <w:color w:val="000000"/>
                <w:lang w:val="es-ES_tradnl" w:eastAsia="es-ES" w:bidi="es-ES"/>
              </w:rPr>
              <w:t>proyectos de transición energética,</w:t>
            </w:r>
            <w:r w:rsidR="00CA07FA" w:rsidRPr="00FA72EC">
              <w:rPr>
                <w:rFonts w:ascii="Verdana" w:eastAsia="Calibri" w:hAnsi="Verdana" w:cs="Arial"/>
                <w:color w:val="000000"/>
                <w:lang w:val="es-ES_tradnl" w:eastAsia="es-ES" w:bidi="es-ES"/>
              </w:rPr>
              <w:t xml:space="preserve"> </w:t>
            </w:r>
            <w:r w:rsidR="00765AF6" w:rsidRPr="00FA72EC">
              <w:rPr>
                <w:rFonts w:ascii="Verdana" w:eastAsia="Calibri" w:hAnsi="Verdana" w:cs="Arial"/>
                <w:color w:val="000000"/>
                <w:lang w:val="es-ES_tradnl" w:eastAsia="es-ES" w:bidi="es-ES"/>
              </w:rPr>
              <w:t xml:space="preserve">debe tenerse en consideración </w:t>
            </w:r>
            <w:r w:rsidR="00FC3877" w:rsidRPr="00FA72EC">
              <w:rPr>
                <w:rFonts w:ascii="Verdana" w:eastAsia="Calibri" w:hAnsi="Verdana" w:cs="Arial"/>
                <w:color w:val="000000"/>
                <w:lang w:val="es-ES_tradnl" w:eastAsia="es-ES" w:bidi="es-ES"/>
              </w:rPr>
              <w:t xml:space="preserve">que </w:t>
            </w:r>
            <w:r w:rsidR="0015143E" w:rsidRPr="00FA72EC">
              <w:rPr>
                <w:rFonts w:ascii="Verdana" w:eastAsia="Calibri" w:hAnsi="Verdana" w:cs="Arial"/>
                <w:color w:val="000000"/>
                <w:lang w:val="es-ES_tradnl" w:eastAsia="es-ES" w:bidi="es-ES"/>
              </w:rPr>
              <w:t xml:space="preserve">estos proyectos generalmente </w:t>
            </w:r>
            <w:r w:rsidR="0083470C" w:rsidRPr="00FA72EC">
              <w:rPr>
                <w:rFonts w:ascii="Verdana" w:eastAsia="Calibri" w:hAnsi="Verdana" w:cs="Arial"/>
                <w:color w:val="000000"/>
                <w:lang w:val="es-ES_tradnl" w:eastAsia="es-ES" w:bidi="es-ES"/>
              </w:rPr>
              <w:t xml:space="preserve">se ajustan </w:t>
            </w:r>
            <w:r w:rsidR="008422B3" w:rsidRPr="00FA72EC">
              <w:rPr>
                <w:rFonts w:ascii="Verdana" w:eastAsia="Calibri" w:hAnsi="Verdana" w:cs="Arial"/>
                <w:color w:val="000000"/>
                <w:lang w:val="es-ES_tradnl" w:eastAsia="es-ES" w:bidi="es-ES"/>
              </w:rPr>
              <w:t>a las características propias del contrato de obra</w:t>
            </w:r>
            <w:r w:rsidR="004B2E7C" w:rsidRPr="00FA72EC">
              <w:rPr>
                <w:rFonts w:ascii="Verdana" w:eastAsia="Calibri" w:hAnsi="Verdana" w:cs="Arial"/>
                <w:color w:val="000000"/>
                <w:lang w:val="es-ES_tradnl" w:eastAsia="es-ES" w:bidi="es-ES"/>
              </w:rPr>
              <w:t xml:space="preserve"> por lo cual </w:t>
            </w:r>
            <w:r w:rsidR="00E65C85" w:rsidRPr="00FA72EC">
              <w:rPr>
                <w:rFonts w:ascii="Verdana" w:eastAsia="Calibri" w:hAnsi="Verdana" w:cs="Arial"/>
                <w:color w:val="000000"/>
                <w:lang w:val="es-ES_tradnl" w:eastAsia="es-ES" w:bidi="es-ES"/>
              </w:rPr>
              <w:t xml:space="preserve">las Entidades deberán ajustarse a lo dispuesto </w:t>
            </w:r>
            <w:r w:rsidR="00AF72FC" w:rsidRPr="00FA72EC">
              <w:rPr>
                <w:rFonts w:ascii="Verdana" w:eastAsia="Calibri" w:hAnsi="Verdana" w:cs="Arial"/>
                <w:color w:val="000000"/>
                <w:lang w:val="es-ES_tradnl" w:eastAsia="es-ES" w:bidi="es-ES"/>
              </w:rPr>
              <w:t xml:space="preserve">en el </w:t>
            </w:r>
            <w:r w:rsidR="00AF72FC" w:rsidRPr="00FA72EC">
              <w:rPr>
                <w:rFonts w:ascii="Verdana" w:eastAsia="Century Gothic" w:hAnsi="Verdana" w:cs="Century Gothic"/>
              </w:rPr>
              <w:t>Estatuto General de Contratación de la Administración Pública</w:t>
            </w:r>
            <w:r w:rsidR="0043649E" w:rsidRPr="00FA72EC">
              <w:rPr>
                <w:rFonts w:ascii="Verdana" w:eastAsia="Century Gothic" w:hAnsi="Verdana" w:cs="Century Gothic"/>
              </w:rPr>
              <w:t xml:space="preserve"> y lo explicado en literal i del presente concepto.</w:t>
            </w:r>
          </w:p>
          <w:p w14:paraId="38A89257" w14:textId="337350FE" w:rsidR="008543B7" w:rsidRPr="00FA72EC" w:rsidRDefault="00A91C44" w:rsidP="00AC4559">
            <w:pPr>
              <w:spacing w:after="120" w:line="276" w:lineRule="auto"/>
              <w:jc w:val="both"/>
              <w:rPr>
                <w:rFonts w:ascii="Verdana" w:eastAsia="Calibri" w:hAnsi="Verdana" w:cs="Arial"/>
                <w:color w:val="000000"/>
                <w:lang w:val="es-ES_tradnl" w:eastAsia="es-ES" w:bidi="es-ES"/>
              </w:rPr>
            </w:pPr>
            <w:r w:rsidRPr="00FA72EC">
              <w:rPr>
                <w:rFonts w:ascii="Verdana" w:eastAsia="Century Gothic" w:hAnsi="Verdana" w:cs="Century Gothic"/>
              </w:rPr>
              <w:t xml:space="preserve">Sin perjuicio de lo anterior, </w:t>
            </w:r>
            <w:r w:rsidR="000B5894" w:rsidRPr="00FA72EC">
              <w:rPr>
                <w:rFonts w:ascii="Verdana" w:eastAsia="Century Gothic" w:hAnsi="Verdana" w:cs="Century Gothic"/>
              </w:rPr>
              <w:t xml:space="preserve">vale la pena indicar que </w:t>
            </w:r>
            <w:r w:rsidR="00E53E88" w:rsidRPr="00FA72EC">
              <w:rPr>
                <w:rFonts w:ascii="Verdana" w:eastAsia="Century Gothic" w:hAnsi="Verdana" w:cs="Century Gothic"/>
              </w:rPr>
              <w:t xml:space="preserve">el parágrafo segundo del artículo 10 de la </w:t>
            </w:r>
            <w:r w:rsidR="00DD0C07" w:rsidRPr="00FA72EC">
              <w:rPr>
                <w:rFonts w:ascii="Verdana" w:eastAsia="Century Gothic" w:hAnsi="Verdana" w:cs="Century Gothic"/>
              </w:rPr>
              <w:t>L</w:t>
            </w:r>
            <w:r w:rsidR="00E53E88" w:rsidRPr="00FA72EC">
              <w:rPr>
                <w:rFonts w:ascii="Verdana" w:eastAsia="Century Gothic" w:hAnsi="Verdana" w:cs="Century Gothic"/>
              </w:rPr>
              <w:t>ey 2099 de 20</w:t>
            </w:r>
            <w:r w:rsidR="00DD0C07" w:rsidRPr="00FA72EC">
              <w:rPr>
                <w:rFonts w:ascii="Verdana" w:eastAsia="Century Gothic" w:hAnsi="Verdana" w:cs="Century Gothic"/>
              </w:rPr>
              <w:t>2</w:t>
            </w:r>
            <w:r w:rsidR="00E53E88" w:rsidRPr="00FA72EC">
              <w:rPr>
                <w:rFonts w:ascii="Verdana" w:eastAsia="Century Gothic" w:hAnsi="Verdana" w:cs="Century Gothic"/>
              </w:rPr>
              <w:t xml:space="preserve">1, </w:t>
            </w:r>
            <w:r w:rsidR="00121695" w:rsidRPr="00FA72EC">
              <w:rPr>
                <w:rFonts w:ascii="Verdana" w:eastAsia="Century Gothic" w:hAnsi="Verdana" w:cs="Century Gothic"/>
              </w:rPr>
              <w:t xml:space="preserve">faculta a las Entidades Estatales sometidas </w:t>
            </w:r>
            <w:r w:rsidR="00121695" w:rsidRPr="00FA72EC">
              <w:rPr>
                <w:rFonts w:ascii="Verdana" w:eastAsia="Century Gothic" w:hAnsi="Verdana" w:cs="Century Gothic"/>
              </w:rPr>
              <w:lastRenderedPageBreak/>
              <w:t xml:space="preserve">a la Ley 80 de 1993, </w:t>
            </w:r>
            <w:r w:rsidR="00F41F4B" w:rsidRPr="00FA72EC">
              <w:rPr>
                <w:rFonts w:ascii="Verdana" w:eastAsia="Century Gothic" w:hAnsi="Verdana" w:cs="Century Gothic"/>
              </w:rPr>
              <w:t xml:space="preserve">a celebrar de manera directa </w:t>
            </w:r>
            <w:r w:rsidR="005C703A" w:rsidRPr="00FA72EC">
              <w:rPr>
                <w:rFonts w:ascii="Verdana" w:eastAsia="Century Gothic" w:hAnsi="Verdana" w:cs="Century Gothic"/>
              </w:rPr>
              <w:t>convenio</w:t>
            </w:r>
            <w:r w:rsidR="007E5BB8" w:rsidRPr="00FA72EC">
              <w:rPr>
                <w:rFonts w:ascii="Verdana" w:eastAsia="Century Gothic" w:hAnsi="Verdana" w:cs="Century Gothic"/>
              </w:rPr>
              <w:t>s</w:t>
            </w:r>
            <w:r w:rsidR="005C703A" w:rsidRPr="00FA72EC">
              <w:rPr>
                <w:rFonts w:ascii="Verdana" w:eastAsia="Century Gothic" w:hAnsi="Verdana" w:cs="Century Gothic"/>
              </w:rPr>
              <w:t xml:space="preserve"> y contratos </w:t>
            </w:r>
            <w:r w:rsidR="00F41F4B" w:rsidRPr="00FA72EC">
              <w:rPr>
                <w:rFonts w:ascii="Verdana" w:eastAsia="Century Gothic" w:hAnsi="Verdana" w:cs="Century Gothic"/>
              </w:rPr>
              <w:t>con el FENOGE</w:t>
            </w:r>
            <w:r w:rsidR="00D153E8" w:rsidRPr="00FA72EC">
              <w:rPr>
                <w:rFonts w:ascii="Verdana" w:eastAsia="Century Gothic" w:hAnsi="Verdana" w:cs="Century Gothic"/>
              </w:rPr>
              <w:t xml:space="preserve"> para la ejecución de planes, programas y/o proyectos, así como los recursos destinados a la promoción y desarrollo de Fuentes No Convencionales de energía, y Gestión Eficiente de la energía. Dichos convenios o contratos se considerarán contratos interadministrativos.</w:t>
            </w:r>
          </w:p>
        </w:tc>
      </w:tr>
    </w:tbl>
    <w:p w14:paraId="116C4C8E" w14:textId="77777777" w:rsidR="00462DC2" w:rsidRPr="00FA72EC" w:rsidRDefault="00462DC2" w:rsidP="00E35445">
      <w:pPr>
        <w:tabs>
          <w:tab w:val="left" w:pos="142"/>
          <w:tab w:val="left" w:pos="284"/>
        </w:tabs>
        <w:spacing w:after="0" w:line="276" w:lineRule="auto"/>
        <w:jc w:val="both"/>
        <w:rPr>
          <w:rFonts w:ascii="Verdana" w:eastAsia="Century Gothic" w:hAnsi="Verdana" w:cs="Century Gothic"/>
          <w:b/>
          <w:bCs/>
          <w:lang w:val="es-ES"/>
        </w:rPr>
      </w:pPr>
    </w:p>
    <w:p w14:paraId="0ED8F114" w14:textId="77777777" w:rsidR="00E35445" w:rsidRPr="00FA72EC" w:rsidRDefault="00E35445" w:rsidP="00E35445">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A72EC">
        <w:rPr>
          <w:rFonts w:ascii="Verdana" w:eastAsia="Century Gothic" w:hAnsi="Verdana" w:cs="Century Gothic"/>
          <w:b/>
          <w:bCs/>
        </w:rPr>
        <w:t>Razones de la respuesta:</w:t>
      </w:r>
    </w:p>
    <w:p w14:paraId="33A54F2D" w14:textId="77777777" w:rsidR="00E35445" w:rsidRPr="00FA72EC" w:rsidRDefault="00E35445" w:rsidP="00E35445">
      <w:pPr>
        <w:spacing w:after="0" w:line="276" w:lineRule="auto"/>
        <w:jc w:val="both"/>
        <w:rPr>
          <w:rFonts w:ascii="Verdana" w:eastAsia="Calibri" w:hAnsi="Verdana" w:cs="Arial"/>
          <w:color w:val="7030A0"/>
          <w:lang w:val="es-ES"/>
        </w:rPr>
      </w:pPr>
    </w:p>
    <w:p w14:paraId="67DB530D" w14:textId="77777777" w:rsidR="00E35445" w:rsidRPr="00FA72EC" w:rsidRDefault="00E35445" w:rsidP="00E35445">
      <w:pPr>
        <w:spacing w:after="0"/>
        <w:jc w:val="both"/>
        <w:rPr>
          <w:rFonts w:ascii="Verdana" w:eastAsia="Calibri" w:hAnsi="Verdana" w:cs="Arial"/>
          <w:lang w:val="es-ES"/>
        </w:rPr>
      </w:pPr>
      <w:r w:rsidRPr="00FA72EC">
        <w:rPr>
          <w:rFonts w:ascii="Verdana" w:eastAsia="Calibri" w:hAnsi="Verdana" w:cs="Arial"/>
          <w:lang w:val="es-ES"/>
        </w:rPr>
        <w:t>Lo anterior se sustenta en las siguientes consideraciones:</w:t>
      </w:r>
    </w:p>
    <w:p w14:paraId="318A08F3" w14:textId="77777777" w:rsidR="00E35445" w:rsidRPr="00FA72EC" w:rsidRDefault="00E35445" w:rsidP="00247CB8">
      <w:pPr>
        <w:spacing w:after="0"/>
        <w:rPr>
          <w:rFonts w:ascii="Verdana" w:hAnsi="Verdana"/>
        </w:rPr>
      </w:pPr>
    </w:p>
    <w:p w14:paraId="7AC0316F" w14:textId="207FDAE2" w:rsidR="00551FF8" w:rsidRPr="00FA72EC" w:rsidRDefault="00507EAE" w:rsidP="00551FF8">
      <w:pPr>
        <w:pStyle w:val="Prrafodelista"/>
        <w:widowControl w:val="0"/>
        <w:numPr>
          <w:ilvl w:val="0"/>
          <w:numId w:val="19"/>
        </w:numPr>
        <w:autoSpaceDE w:val="0"/>
        <w:autoSpaceDN w:val="0"/>
        <w:spacing w:line="276" w:lineRule="auto"/>
        <w:jc w:val="both"/>
        <w:rPr>
          <w:rFonts w:ascii="Verdana" w:eastAsia="Calibri" w:hAnsi="Verdana" w:cs="Arial"/>
          <w:color w:val="000000"/>
          <w:lang w:val="es-ES_tradnl" w:eastAsia="es-ES" w:bidi="es-ES"/>
        </w:rPr>
      </w:pPr>
      <w:r w:rsidRPr="00FA72EC">
        <w:rPr>
          <w:rFonts w:ascii="Verdana" w:eastAsia="Calibri" w:hAnsi="Verdana" w:cs="Arial"/>
          <w:lang w:val="es-MX"/>
        </w:rPr>
        <w:t xml:space="preserve">Para dar respuesta a los problemas jurídicos </w:t>
      </w:r>
      <w:r w:rsidR="00BB3006" w:rsidRPr="00FA72EC">
        <w:rPr>
          <w:rFonts w:ascii="Verdana" w:eastAsia="Calibri" w:hAnsi="Verdana" w:cs="Arial"/>
          <w:lang w:val="es-MX"/>
        </w:rPr>
        <w:t>planteado</w:t>
      </w:r>
      <w:r w:rsidR="002E6333" w:rsidRPr="00FA72EC">
        <w:rPr>
          <w:rFonts w:ascii="Verdana" w:eastAsia="Calibri" w:hAnsi="Verdana" w:cs="Arial"/>
          <w:lang w:val="es-MX"/>
        </w:rPr>
        <w:t>s</w:t>
      </w:r>
      <w:r w:rsidR="00BB3006" w:rsidRPr="00FA72EC">
        <w:rPr>
          <w:rFonts w:ascii="Verdana" w:eastAsia="Calibri" w:hAnsi="Verdana" w:cs="Arial"/>
          <w:lang w:val="es-MX"/>
        </w:rPr>
        <w:t xml:space="preserve"> resulta </w:t>
      </w:r>
      <w:r w:rsidR="002B0A64" w:rsidRPr="00FA72EC">
        <w:rPr>
          <w:rFonts w:ascii="Verdana" w:eastAsia="Calibri" w:hAnsi="Verdana" w:cs="Arial"/>
          <w:lang w:val="es-MX"/>
        </w:rPr>
        <w:t>oportuno</w:t>
      </w:r>
      <w:r w:rsidR="00BB3006" w:rsidRPr="00FA72EC">
        <w:rPr>
          <w:rFonts w:ascii="Verdana" w:eastAsia="Calibri" w:hAnsi="Verdana" w:cs="Arial"/>
          <w:lang w:val="es-MX"/>
        </w:rPr>
        <w:t xml:space="preserve"> </w:t>
      </w:r>
      <w:r w:rsidR="002E6333" w:rsidRPr="00FA72EC">
        <w:rPr>
          <w:rFonts w:ascii="Verdana" w:eastAsia="Calibri" w:hAnsi="Verdana" w:cs="Arial"/>
          <w:lang w:val="es-MX"/>
        </w:rPr>
        <w:t>indicar</w:t>
      </w:r>
      <w:r w:rsidR="00BB3006" w:rsidRPr="00FA72EC">
        <w:rPr>
          <w:rFonts w:ascii="Verdana" w:eastAsia="Calibri" w:hAnsi="Verdana" w:cs="Arial"/>
          <w:lang w:val="es-MX"/>
        </w:rPr>
        <w:t xml:space="preserve"> </w:t>
      </w:r>
      <w:r w:rsidR="00087433" w:rsidRPr="00FA72EC">
        <w:rPr>
          <w:rFonts w:ascii="Verdana" w:eastAsia="Calibri" w:hAnsi="Verdana" w:cs="Arial"/>
          <w:lang w:val="es-MX"/>
        </w:rPr>
        <w:t xml:space="preserve">por un lado </w:t>
      </w:r>
      <w:r w:rsidR="00BB3006" w:rsidRPr="00FA72EC">
        <w:rPr>
          <w:rFonts w:ascii="Verdana" w:eastAsia="Calibri" w:hAnsi="Verdana" w:cs="Arial"/>
          <w:lang w:val="es-MX"/>
        </w:rPr>
        <w:t>que l</w:t>
      </w:r>
      <w:r w:rsidR="00896233" w:rsidRPr="00FA72EC">
        <w:rPr>
          <w:rFonts w:ascii="Verdana" w:eastAsia="Calibri" w:hAnsi="Verdana" w:cs="Arial"/>
          <w:lang w:val="es-MX"/>
        </w:rPr>
        <w:t>a</w:t>
      </w:r>
      <w:r w:rsidR="00896233" w:rsidRPr="00FA72EC">
        <w:rPr>
          <w:rFonts w:ascii="Verdana" w:eastAsia="Calibri" w:hAnsi="Verdana" w:cs="Arial"/>
          <w:color w:val="000000"/>
          <w:lang w:val="es-ES_tradnl" w:eastAsia="es-ES" w:bidi="es-ES"/>
        </w:rPr>
        <w:t xml:space="preserve"> obra pública es una tipología de los contratos estatales, entendidos estos últimos como los actos jurídicos generadores de obligaciones que han sido celebrados por alguna de las </w:t>
      </w:r>
      <w:r w:rsidR="00E21A39" w:rsidRPr="00FA72EC">
        <w:rPr>
          <w:rFonts w:ascii="Verdana" w:eastAsia="Calibri" w:hAnsi="Verdana" w:cs="Arial"/>
          <w:color w:val="000000"/>
          <w:lang w:val="es-ES_tradnl" w:eastAsia="es-ES" w:bidi="es-ES"/>
        </w:rPr>
        <w:t>E</w:t>
      </w:r>
      <w:r w:rsidR="00896233" w:rsidRPr="00FA72EC">
        <w:rPr>
          <w:rFonts w:ascii="Verdana" w:eastAsia="Calibri" w:hAnsi="Verdana" w:cs="Arial"/>
          <w:color w:val="000000"/>
          <w:lang w:val="es-ES_tradnl" w:eastAsia="es-ES" w:bidi="es-ES"/>
        </w:rPr>
        <w:t xml:space="preserve">ntidades </w:t>
      </w:r>
      <w:r w:rsidR="00E21A39" w:rsidRPr="00FA72EC">
        <w:rPr>
          <w:rFonts w:ascii="Verdana" w:eastAsia="Calibri" w:hAnsi="Verdana" w:cs="Arial"/>
          <w:color w:val="000000"/>
          <w:lang w:val="es-ES_tradnl" w:eastAsia="es-ES" w:bidi="es-ES"/>
        </w:rPr>
        <w:t>E</w:t>
      </w:r>
      <w:r w:rsidR="00896233" w:rsidRPr="00FA72EC">
        <w:rPr>
          <w:rFonts w:ascii="Verdana" w:eastAsia="Calibri" w:hAnsi="Verdana" w:cs="Arial"/>
          <w:color w:val="000000"/>
          <w:lang w:val="es-ES_tradnl" w:eastAsia="es-ES" w:bidi="es-ES"/>
        </w:rPr>
        <w:t>statales enlistadas en el artículo 2 de la Ley 80 de 1993.</w:t>
      </w:r>
      <w:r w:rsidR="0083204C" w:rsidRPr="00FA72EC">
        <w:rPr>
          <w:rFonts w:ascii="Verdana" w:eastAsia="Calibri" w:hAnsi="Verdana" w:cs="Arial"/>
          <w:color w:val="000000"/>
          <w:lang w:val="es-ES_tradnl" w:eastAsia="es-ES" w:bidi="es-ES"/>
        </w:rPr>
        <w:t xml:space="preserve"> </w:t>
      </w:r>
      <w:r w:rsidR="00896233" w:rsidRPr="00FA72EC">
        <w:rPr>
          <w:rFonts w:ascii="Verdana" w:eastAsia="Calibri" w:hAnsi="Verdana" w:cs="Arial"/>
          <w:color w:val="000000"/>
          <w:lang w:val="es-ES_tradnl" w:eastAsia="es-ES" w:bidi="es-ES"/>
        </w:rPr>
        <w:t xml:space="preserve">Lo anterior resulta de especial relevancia, en la medida en que dicho tipo contractual se diferencia de la definición y regulación prevista en el derecho privado para el contrato de confección de obra material regulado en el Código Civil.   </w:t>
      </w:r>
    </w:p>
    <w:p w14:paraId="2B52AA6A" w14:textId="77777777" w:rsidR="00551FF8" w:rsidRPr="00FA72EC" w:rsidRDefault="00551FF8" w:rsidP="00551FF8">
      <w:pPr>
        <w:pStyle w:val="Prrafodelista"/>
        <w:widowControl w:val="0"/>
        <w:autoSpaceDE w:val="0"/>
        <w:autoSpaceDN w:val="0"/>
        <w:spacing w:line="276" w:lineRule="auto"/>
        <w:ind w:left="360"/>
        <w:jc w:val="both"/>
        <w:rPr>
          <w:rFonts w:ascii="Verdana" w:eastAsia="Calibri" w:hAnsi="Verdana" w:cs="Arial"/>
          <w:color w:val="000000"/>
          <w:lang w:val="es-ES_tradnl" w:eastAsia="es-ES" w:bidi="es-ES"/>
        </w:rPr>
      </w:pPr>
    </w:p>
    <w:p w14:paraId="4F5FB7A0" w14:textId="77777777" w:rsidR="00445D87" w:rsidRPr="00FA72EC" w:rsidRDefault="00445D87" w:rsidP="00445D87">
      <w:pPr>
        <w:pStyle w:val="Prrafodelista"/>
        <w:widowControl w:val="0"/>
        <w:numPr>
          <w:ilvl w:val="0"/>
          <w:numId w:val="19"/>
        </w:numPr>
        <w:autoSpaceDE w:val="0"/>
        <w:autoSpaceDN w:val="0"/>
        <w:spacing w:line="276" w:lineRule="auto"/>
        <w:jc w:val="both"/>
        <w:rPr>
          <w:rFonts w:ascii="Verdana" w:eastAsia="Calibri" w:hAnsi="Verdana" w:cs="Arial"/>
          <w:color w:val="000000"/>
          <w:lang w:val="es-ES_tradnl" w:eastAsia="es-ES" w:bidi="es-ES"/>
        </w:rPr>
      </w:pPr>
      <w:r w:rsidRPr="00FA72EC">
        <w:rPr>
          <w:rFonts w:ascii="Verdana" w:eastAsia="Calibri" w:hAnsi="Verdana" w:cs="Arial"/>
          <w:color w:val="000000"/>
          <w:lang w:val="es-ES_tradnl" w:eastAsia="es-ES" w:bidi="es-ES"/>
        </w:rPr>
        <w:t>El numeral 1 del artículo 32 de la Ley 80 de 1993 dispone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w:t>
      </w:r>
      <w:r w:rsidRPr="00FA72EC">
        <w:rPr>
          <w:rStyle w:val="Refdenotaalpie"/>
          <w:rFonts w:ascii="Verdana" w:eastAsia="Calibri" w:hAnsi="Verdana" w:cs="Arial"/>
          <w:color w:val="000000"/>
          <w:lang w:val="es-ES_tradnl" w:eastAsia="es-ES" w:bidi="es-ES"/>
        </w:rPr>
        <w:footnoteReference w:id="4"/>
      </w:r>
      <w:r w:rsidRPr="00FA72EC">
        <w:rPr>
          <w:rFonts w:ascii="Verdana" w:eastAsia="Calibri" w:hAnsi="Verdana" w:cs="Arial"/>
          <w:color w:val="000000"/>
          <w:lang w:val="es-ES_tradnl" w:eastAsia="es-ES" w:bidi="es-ES"/>
        </w:rPr>
        <w:t xml:space="preserve">. </w:t>
      </w:r>
    </w:p>
    <w:p w14:paraId="26144B25" w14:textId="77777777" w:rsidR="00445D87" w:rsidRPr="00FA72EC" w:rsidRDefault="00445D87" w:rsidP="00445D87">
      <w:pPr>
        <w:pStyle w:val="Prrafodelista"/>
        <w:rPr>
          <w:rFonts w:ascii="Verdana" w:eastAsia="Calibri" w:hAnsi="Verdana" w:cs="Arial"/>
          <w:color w:val="000000"/>
          <w:lang w:val="es-ES_tradnl" w:eastAsia="es-ES" w:bidi="es-ES"/>
        </w:rPr>
      </w:pPr>
    </w:p>
    <w:p w14:paraId="739391FF" w14:textId="77777777" w:rsidR="00445D87" w:rsidRPr="00FA72EC" w:rsidRDefault="00445D87" w:rsidP="00445D87">
      <w:pPr>
        <w:pStyle w:val="Prrafodelista"/>
        <w:widowControl w:val="0"/>
        <w:numPr>
          <w:ilvl w:val="0"/>
          <w:numId w:val="19"/>
        </w:numPr>
        <w:autoSpaceDE w:val="0"/>
        <w:autoSpaceDN w:val="0"/>
        <w:spacing w:line="276" w:lineRule="auto"/>
        <w:jc w:val="both"/>
        <w:rPr>
          <w:rFonts w:ascii="Verdana" w:eastAsia="Calibri" w:hAnsi="Verdana" w:cs="Arial"/>
          <w:color w:val="000000"/>
          <w:lang w:val="es-ES_tradnl" w:eastAsia="es-ES" w:bidi="es-ES"/>
        </w:rPr>
      </w:pPr>
      <w:r w:rsidRPr="00FA72EC">
        <w:rPr>
          <w:rFonts w:ascii="Verdana" w:eastAsia="Calibri" w:hAnsi="Verdana" w:cs="Arial"/>
          <w:color w:val="000000"/>
          <w:lang w:val="es-ES_tradnl" w:eastAsia="es-ES" w:bidi="es-ES"/>
        </w:rPr>
        <w:t xml:space="preserve">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w:t>
      </w:r>
      <w:r w:rsidRPr="00FA72EC">
        <w:rPr>
          <w:rFonts w:ascii="Verdana" w:eastAsia="Calibri" w:hAnsi="Verdana" w:cs="Arial"/>
          <w:color w:val="000000"/>
          <w:lang w:val="es-ES_tradnl" w:eastAsia="es-ES" w:bidi="es-ES"/>
        </w:rPr>
        <w:lastRenderedPageBreak/>
        <w:t>reparación y demolición de esos mismos</w:t>
      </w:r>
      <w:r w:rsidRPr="00FA72EC">
        <w:rPr>
          <w:rFonts w:ascii="Verdana" w:hAnsi="Verdana"/>
          <w:vertAlign w:val="superscript"/>
          <w:lang w:eastAsia="es-ES" w:bidi="es-ES"/>
        </w:rPr>
        <w:footnoteReference w:id="5"/>
      </w:r>
      <w:r w:rsidRPr="00FA72EC">
        <w:rPr>
          <w:rFonts w:ascii="Verdana" w:eastAsia="Calibri" w:hAnsi="Verdana" w:cs="Arial"/>
          <w:color w:val="000000"/>
          <w:lang w:val="es-ES_tradnl" w:eastAsia="es-ES" w:bidi="es-ES"/>
        </w:rPr>
        <w:t>. De esta manera:</w:t>
      </w:r>
    </w:p>
    <w:p w14:paraId="7F54CF61" w14:textId="77777777" w:rsidR="00445D87" w:rsidRPr="00FA72EC" w:rsidRDefault="00445D87" w:rsidP="00445D87">
      <w:pPr>
        <w:widowControl w:val="0"/>
        <w:autoSpaceDE w:val="0"/>
        <w:autoSpaceDN w:val="0"/>
        <w:spacing w:after="0" w:line="240" w:lineRule="auto"/>
        <w:ind w:left="1304" w:right="907"/>
        <w:jc w:val="both"/>
        <w:rPr>
          <w:rFonts w:ascii="Verdana" w:eastAsia="Calibri" w:hAnsi="Verdana" w:cs="Arial"/>
          <w:color w:val="000000"/>
          <w:sz w:val="20"/>
          <w:szCs w:val="20"/>
          <w:lang w:val="es-ES_tradnl" w:eastAsia="es-ES" w:bidi="es-ES"/>
        </w:rPr>
      </w:pPr>
      <w:r w:rsidRPr="00FA72EC">
        <w:rPr>
          <w:rFonts w:ascii="Verdana" w:eastAsia="Calibri" w:hAnsi="Verdana" w:cs="Arial"/>
          <w:color w:val="000000"/>
          <w:sz w:val="20"/>
          <w:szCs w:val="20"/>
          <w:lang w:val="es-ES_tradnl" w:eastAsia="es-ES" w:bidi="es-ES"/>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73A4C43B" w14:textId="77777777" w:rsidR="00445D87" w:rsidRPr="00FA72EC" w:rsidRDefault="00445D87" w:rsidP="00445D87">
      <w:pPr>
        <w:widowControl w:val="0"/>
        <w:autoSpaceDE w:val="0"/>
        <w:autoSpaceDN w:val="0"/>
        <w:spacing w:before="120" w:after="0" w:line="240" w:lineRule="auto"/>
        <w:ind w:left="1304" w:right="907"/>
        <w:jc w:val="both"/>
        <w:rPr>
          <w:rFonts w:ascii="Verdana" w:eastAsia="Calibri" w:hAnsi="Verdana" w:cs="Arial"/>
          <w:color w:val="000000"/>
          <w:sz w:val="20"/>
          <w:szCs w:val="20"/>
          <w:lang w:val="es-ES_tradnl" w:eastAsia="es-ES" w:bidi="es-ES"/>
        </w:rPr>
      </w:pPr>
      <w:r w:rsidRPr="00FA72EC">
        <w:rPr>
          <w:rFonts w:ascii="Verdana" w:eastAsia="Calibri" w:hAnsi="Verdana" w:cs="Arial"/>
          <w:color w:val="000000"/>
          <w:sz w:val="20"/>
          <w:szCs w:val="20"/>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Pr="00FA72EC">
        <w:rPr>
          <w:rFonts w:ascii="Verdana" w:eastAsia="Calibri" w:hAnsi="Verdana" w:cs="Arial"/>
          <w:color w:val="000000"/>
          <w:sz w:val="20"/>
          <w:szCs w:val="20"/>
          <w:vertAlign w:val="superscript"/>
          <w:lang w:val="es-ES_tradnl" w:eastAsia="es-ES" w:bidi="es-ES"/>
        </w:rPr>
        <w:footnoteReference w:id="6"/>
      </w:r>
      <w:r w:rsidRPr="00FA72EC">
        <w:rPr>
          <w:rFonts w:ascii="Verdana" w:eastAsia="Calibri" w:hAnsi="Verdana" w:cs="Arial"/>
          <w:color w:val="000000"/>
          <w:sz w:val="20"/>
          <w:szCs w:val="20"/>
          <w:lang w:val="es-ES_tradnl" w:eastAsia="es-ES" w:bidi="es-ES"/>
        </w:rPr>
        <w:t xml:space="preserve"> […]”</w:t>
      </w:r>
    </w:p>
    <w:p w14:paraId="1308FF5A" w14:textId="77777777" w:rsidR="00445D87" w:rsidRPr="00FA72EC" w:rsidRDefault="00445D87" w:rsidP="00445D87">
      <w:pPr>
        <w:widowControl w:val="0"/>
        <w:autoSpaceDE w:val="0"/>
        <w:autoSpaceDN w:val="0"/>
        <w:spacing w:after="0" w:line="276" w:lineRule="auto"/>
        <w:ind w:left="709" w:right="709"/>
        <w:jc w:val="both"/>
        <w:rPr>
          <w:rFonts w:ascii="Verdana" w:eastAsia="Calibri" w:hAnsi="Verdana" w:cs="Arial"/>
          <w:color w:val="000000"/>
          <w:lang w:val="es-ES_tradnl" w:eastAsia="es-ES" w:bidi="es-ES"/>
        </w:rPr>
      </w:pPr>
    </w:p>
    <w:p w14:paraId="341C1CA8" w14:textId="77777777" w:rsidR="0084257A" w:rsidRPr="00FA72EC" w:rsidRDefault="00445D87" w:rsidP="0084257A">
      <w:pPr>
        <w:pStyle w:val="Prrafodelista"/>
        <w:numPr>
          <w:ilvl w:val="0"/>
          <w:numId w:val="26"/>
        </w:numPr>
        <w:jc w:val="both"/>
        <w:rPr>
          <w:rFonts w:ascii="Verdana" w:eastAsia="Calibri" w:hAnsi="Verdana" w:cs="Arial"/>
          <w:color w:val="000000"/>
          <w:lang w:val="es-ES_tradnl" w:eastAsia="es-ES" w:bidi="es-ES"/>
        </w:rPr>
      </w:pPr>
      <w:r w:rsidRPr="00FA72EC">
        <w:rPr>
          <w:rFonts w:ascii="Verdana" w:eastAsia="Calibri" w:hAnsi="Verdana" w:cs="Arial"/>
          <w:color w:val="000000"/>
          <w:lang w:val="es-ES_tradnl" w:eastAsia="es-ES" w:bidi="es-ES"/>
        </w:rPr>
        <w:t>En la disposición citada, el contrato de obra pública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29DD1AFD" w14:textId="77777777" w:rsidR="0084257A" w:rsidRPr="00FA72EC" w:rsidRDefault="0084257A" w:rsidP="0084257A">
      <w:pPr>
        <w:pStyle w:val="Prrafodelista"/>
        <w:ind w:left="360"/>
        <w:jc w:val="both"/>
        <w:rPr>
          <w:rFonts w:ascii="Verdana" w:eastAsia="Calibri" w:hAnsi="Verdana" w:cs="Arial"/>
          <w:color w:val="000000"/>
          <w:lang w:val="es-ES_tradnl" w:eastAsia="es-ES" w:bidi="es-ES"/>
        </w:rPr>
      </w:pPr>
    </w:p>
    <w:p w14:paraId="12DAC936" w14:textId="0D1D3237" w:rsidR="00A77012" w:rsidRPr="00FA72EC" w:rsidRDefault="00436229" w:rsidP="0084257A">
      <w:pPr>
        <w:pStyle w:val="Prrafodelista"/>
        <w:numPr>
          <w:ilvl w:val="0"/>
          <w:numId w:val="26"/>
        </w:numPr>
        <w:jc w:val="both"/>
        <w:rPr>
          <w:rFonts w:ascii="Verdana" w:eastAsia="Calibri" w:hAnsi="Verdana" w:cs="Arial"/>
          <w:color w:val="000000"/>
          <w:lang w:val="es-ES_tradnl" w:eastAsia="es-ES" w:bidi="es-ES"/>
        </w:rPr>
      </w:pPr>
      <w:r w:rsidRPr="00FA72EC">
        <w:rPr>
          <w:rFonts w:ascii="Verdana" w:eastAsia="Calibri" w:hAnsi="Verdana" w:cs="Arial"/>
          <w:color w:val="000000"/>
          <w:lang w:eastAsia="es-ES" w:bidi="es-ES"/>
        </w:rPr>
        <w:t xml:space="preserve">Ahora bien, frente a la modalidad de contratación de la obra pública el </w:t>
      </w:r>
      <w:r w:rsidRPr="00FA72EC">
        <w:rPr>
          <w:rFonts w:ascii="Verdana" w:eastAsia="Century Gothic" w:hAnsi="Verdana" w:cs="Century Gothic"/>
        </w:rPr>
        <w:t xml:space="preserve">numeral 1 del artículo 2 de la Ley 1150 del 2007 establece que “la escogencia del contratista se efectuará por regla general a través de licitación pública”.  </w:t>
      </w:r>
      <w:r w:rsidR="00A77012" w:rsidRPr="00FA72EC">
        <w:rPr>
          <w:rFonts w:ascii="Verdana" w:eastAsia="Century Gothic" w:hAnsi="Verdana" w:cs="Century Gothic"/>
        </w:rPr>
        <w:t xml:space="preserve">No obstante, también podrá </w:t>
      </w:r>
      <w:r w:rsidR="00285E22" w:rsidRPr="00FA72EC">
        <w:rPr>
          <w:rFonts w:ascii="Verdana" w:eastAsia="Century Gothic" w:hAnsi="Verdana" w:cs="Century Gothic"/>
        </w:rPr>
        <w:t>contratarse por</w:t>
      </w:r>
      <w:r w:rsidR="00A77012" w:rsidRPr="00FA72EC">
        <w:rPr>
          <w:rFonts w:ascii="Verdana" w:eastAsia="Century Gothic" w:hAnsi="Verdana" w:cs="Century Gothic"/>
        </w:rPr>
        <w:t xml:space="preserve"> las otras modalidades siempre y cuando se presenten los siguientes casos:</w:t>
      </w:r>
    </w:p>
    <w:p w14:paraId="6E65CB98" w14:textId="77777777" w:rsidR="00A77012" w:rsidRPr="00FA72EC" w:rsidRDefault="00A77012" w:rsidP="00A77012">
      <w:pPr>
        <w:pStyle w:val="Prrafodelista"/>
        <w:rPr>
          <w:rFonts w:ascii="Verdana" w:hAnsi="Verdana"/>
        </w:rPr>
      </w:pPr>
    </w:p>
    <w:p w14:paraId="52408226" w14:textId="71DDA8BF" w:rsidR="00A77012" w:rsidRPr="00FA72EC" w:rsidRDefault="00285E22" w:rsidP="00787272">
      <w:pPr>
        <w:pStyle w:val="Prrafodelista"/>
        <w:widowControl w:val="0"/>
        <w:numPr>
          <w:ilvl w:val="0"/>
          <w:numId w:val="24"/>
        </w:numPr>
        <w:autoSpaceDE w:val="0"/>
        <w:autoSpaceDN w:val="0"/>
        <w:spacing w:after="0" w:line="276" w:lineRule="auto"/>
        <w:jc w:val="both"/>
        <w:rPr>
          <w:rFonts w:ascii="Verdana" w:eastAsia="Calibri" w:hAnsi="Verdana" w:cs="Arial"/>
          <w:color w:val="000000"/>
          <w:lang w:eastAsia="es-ES" w:bidi="es-ES"/>
        </w:rPr>
      </w:pPr>
      <w:r w:rsidRPr="00FA72EC">
        <w:rPr>
          <w:rFonts w:ascii="Verdana" w:hAnsi="Verdana"/>
        </w:rPr>
        <w:t>Selección</w:t>
      </w:r>
      <w:r w:rsidR="00A77012" w:rsidRPr="00FA72EC">
        <w:rPr>
          <w:rFonts w:ascii="Verdana" w:hAnsi="Verdana"/>
        </w:rPr>
        <w:t xml:space="preserve"> abreviada: Aplica cuando el valor de la obra está en el rango de la menor cuantía de la Entidad Estatal y cuando se trata de Servicios para la Defensa y Seguridad Nacional o en su defecto haya sido declarado desierto el proceso de licitación.</w:t>
      </w:r>
    </w:p>
    <w:p w14:paraId="0FCDD66E" w14:textId="1F636C8A" w:rsidR="00A77012" w:rsidRPr="00FA72EC" w:rsidRDefault="00A7654B" w:rsidP="00787272">
      <w:pPr>
        <w:pStyle w:val="Prrafodelista"/>
        <w:widowControl w:val="0"/>
        <w:numPr>
          <w:ilvl w:val="0"/>
          <w:numId w:val="24"/>
        </w:numPr>
        <w:autoSpaceDE w:val="0"/>
        <w:autoSpaceDN w:val="0"/>
        <w:spacing w:after="0" w:line="276" w:lineRule="auto"/>
        <w:jc w:val="both"/>
        <w:rPr>
          <w:rFonts w:ascii="Verdana" w:eastAsia="Calibri" w:hAnsi="Verdana" w:cs="Arial"/>
          <w:color w:val="000000"/>
          <w:lang w:eastAsia="es-ES" w:bidi="es-ES"/>
        </w:rPr>
      </w:pPr>
      <w:r w:rsidRPr="00FA72EC">
        <w:rPr>
          <w:rFonts w:ascii="Verdana" w:hAnsi="Verdana"/>
        </w:rPr>
        <w:t>Contratación</w:t>
      </w:r>
      <w:r w:rsidR="00A77012" w:rsidRPr="00FA72EC">
        <w:rPr>
          <w:rFonts w:ascii="Verdana" w:hAnsi="Verdana"/>
        </w:rPr>
        <w:t xml:space="preserve"> directa: </w:t>
      </w:r>
      <w:r w:rsidRPr="00FA72EC">
        <w:rPr>
          <w:rFonts w:ascii="Verdana" w:hAnsi="Verdana"/>
        </w:rPr>
        <w:t>Esta</w:t>
      </w:r>
      <w:r w:rsidR="00A77012" w:rsidRPr="00FA72EC">
        <w:rPr>
          <w:rFonts w:ascii="Verdana" w:hAnsi="Verdana"/>
        </w:rPr>
        <w:t xml:space="preserve"> modalidad es de carácter restrictivo, y por lo </w:t>
      </w:r>
      <w:r w:rsidR="00A77012" w:rsidRPr="00FA72EC">
        <w:rPr>
          <w:rFonts w:ascii="Verdana" w:hAnsi="Verdana"/>
        </w:rPr>
        <w:lastRenderedPageBreak/>
        <w:t xml:space="preserve">tanto </w:t>
      </w:r>
      <w:r w:rsidRPr="00FA72EC">
        <w:rPr>
          <w:rFonts w:ascii="Verdana" w:hAnsi="Verdana"/>
        </w:rPr>
        <w:t>solo</w:t>
      </w:r>
      <w:r w:rsidR="00A77012" w:rsidRPr="00FA72EC">
        <w:rPr>
          <w:rFonts w:ascii="Verdana" w:hAnsi="Verdana"/>
        </w:rPr>
        <w:t xml:space="preserve"> aplica cuando se trate de urgencia manifiesta o de la </w:t>
      </w:r>
      <w:r w:rsidRPr="00FA72EC">
        <w:rPr>
          <w:rFonts w:ascii="Verdana" w:hAnsi="Verdana"/>
        </w:rPr>
        <w:t>contratación</w:t>
      </w:r>
      <w:r w:rsidR="00A77012" w:rsidRPr="00FA72EC">
        <w:rPr>
          <w:rFonts w:ascii="Verdana" w:hAnsi="Verdana"/>
        </w:rPr>
        <w:t xml:space="preserve"> del sector defensa y seguridad nacional que requiera reserva. </w:t>
      </w:r>
    </w:p>
    <w:p w14:paraId="66A7FFA4" w14:textId="637A7075" w:rsidR="00A77012" w:rsidRPr="00FA72EC" w:rsidRDefault="00A7654B" w:rsidP="00787272">
      <w:pPr>
        <w:pStyle w:val="Prrafodelista"/>
        <w:widowControl w:val="0"/>
        <w:numPr>
          <w:ilvl w:val="0"/>
          <w:numId w:val="24"/>
        </w:numPr>
        <w:autoSpaceDE w:val="0"/>
        <w:autoSpaceDN w:val="0"/>
        <w:spacing w:after="0" w:line="276" w:lineRule="auto"/>
        <w:jc w:val="both"/>
        <w:rPr>
          <w:rFonts w:ascii="Verdana" w:eastAsia="Times New Roman" w:hAnsi="Verdana" w:cs="Times New Roman"/>
          <w:lang w:eastAsia="es-ES_tradnl"/>
        </w:rPr>
      </w:pPr>
      <w:r w:rsidRPr="00FA72EC">
        <w:rPr>
          <w:rFonts w:ascii="Verdana" w:hAnsi="Verdana"/>
        </w:rPr>
        <w:t>Mínima</w:t>
      </w:r>
      <w:r w:rsidR="00A77012" w:rsidRPr="00FA72EC">
        <w:rPr>
          <w:rFonts w:ascii="Verdana" w:hAnsi="Verdana"/>
        </w:rPr>
        <w:t xml:space="preserve"> </w:t>
      </w:r>
      <w:r w:rsidRPr="00FA72EC">
        <w:rPr>
          <w:rFonts w:ascii="Verdana" w:hAnsi="Verdana"/>
        </w:rPr>
        <w:t>cuantía</w:t>
      </w:r>
      <w:r w:rsidR="00A77012" w:rsidRPr="00FA72EC">
        <w:rPr>
          <w:rFonts w:ascii="Verdana" w:hAnsi="Verdana"/>
        </w:rPr>
        <w:t xml:space="preserve">: </w:t>
      </w:r>
      <w:r w:rsidR="00A77012" w:rsidRPr="00FA72EC">
        <w:rPr>
          <w:rFonts w:ascii="Verdana" w:eastAsia="Times New Roman" w:hAnsi="Verdana" w:cs="Times New Roman"/>
          <w:color w:val="1F1F1F"/>
          <w:shd w:val="clear" w:color="auto" w:fill="FFFFFF"/>
          <w:lang w:eastAsia="es-ES_tradnl"/>
        </w:rPr>
        <w:t> siempre que el valor de la adquisición de los bienes, obras y/o servicios, no exceda el diez por ciento (10%) de la menor </w:t>
      </w:r>
      <w:r w:rsidR="00A77012" w:rsidRPr="00FA72EC">
        <w:rPr>
          <w:rFonts w:ascii="Verdana" w:eastAsia="Times New Roman" w:hAnsi="Verdana" w:cs="Times New Roman"/>
          <w:color w:val="040C28"/>
          <w:lang w:eastAsia="es-ES_tradnl"/>
        </w:rPr>
        <w:t>cuantía</w:t>
      </w:r>
      <w:r w:rsidR="00A77012" w:rsidRPr="00FA72EC">
        <w:rPr>
          <w:rFonts w:ascii="Verdana" w:eastAsia="Times New Roman" w:hAnsi="Verdana" w:cs="Times New Roman"/>
          <w:color w:val="1F1F1F"/>
          <w:shd w:val="clear" w:color="auto" w:fill="FFFFFF"/>
          <w:lang w:eastAsia="es-ES_tradnl"/>
        </w:rPr>
        <w:t> de la Entidad Estatal.</w:t>
      </w:r>
    </w:p>
    <w:p w14:paraId="560733EF" w14:textId="77777777" w:rsidR="00A77012" w:rsidRPr="00FA72EC" w:rsidRDefault="00A77012" w:rsidP="00A77012">
      <w:pPr>
        <w:widowControl w:val="0"/>
        <w:autoSpaceDE w:val="0"/>
        <w:autoSpaceDN w:val="0"/>
        <w:spacing w:after="0" w:line="276" w:lineRule="auto"/>
        <w:jc w:val="both"/>
        <w:rPr>
          <w:rFonts w:ascii="Verdana" w:eastAsia="Calibri" w:hAnsi="Verdana" w:cs="Arial"/>
          <w:color w:val="000000"/>
          <w:lang w:eastAsia="es-ES" w:bidi="es-ES"/>
        </w:rPr>
      </w:pPr>
    </w:p>
    <w:p w14:paraId="5790B798" w14:textId="12C70454" w:rsidR="00445D87" w:rsidRPr="00FA72EC" w:rsidRDefault="00A77012" w:rsidP="00A7654B">
      <w:pPr>
        <w:pStyle w:val="Prrafodelista"/>
        <w:widowControl w:val="0"/>
        <w:numPr>
          <w:ilvl w:val="0"/>
          <w:numId w:val="20"/>
        </w:numPr>
        <w:autoSpaceDE w:val="0"/>
        <w:autoSpaceDN w:val="0"/>
        <w:spacing w:after="0" w:line="276" w:lineRule="auto"/>
        <w:jc w:val="both"/>
        <w:rPr>
          <w:rFonts w:ascii="Verdana" w:eastAsia="Calibri" w:hAnsi="Verdana" w:cs="Arial"/>
          <w:color w:val="000000"/>
          <w:lang w:val="es-CO" w:eastAsia="es-ES" w:bidi="es-ES"/>
        </w:rPr>
      </w:pPr>
      <w:r w:rsidRPr="00FA72EC">
        <w:rPr>
          <w:rFonts w:ascii="Verdana" w:eastAsia="Calibri" w:hAnsi="Verdana" w:cs="Arial"/>
          <w:color w:val="000000"/>
          <w:lang w:eastAsia="es-ES" w:bidi="es-ES"/>
        </w:rPr>
        <w:t>De tal manera que, le asiste a la Entidad Contratante verificar en sus documentos precontractuales el cumplimiento de alguno de los requisitos que trae la norma y justificar la selección de la modalidad cuando no se aplique la regla general en este tipo de contratos.</w:t>
      </w:r>
    </w:p>
    <w:p w14:paraId="40A73770" w14:textId="77777777" w:rsidR="00522DEC" w:rsidRPr="00FA72EC" w:rsidRDefault="00522DEC" w:rsidP="00522DEC">
      <w:pPr>
        <w:pStyle w:val="Prrafodelista"/>
        <w:rPr>
          <w:rFonts w:ascii="Verdana" w:eastAsia="Calibri" w:hAnsi="Verdana" w:cs="Arial"/>
          <w:color w:val="000000"/>
          <w:lang w:val="es-ES_tradnl" w:eastAsia="es-ES" w:bidi="es-ES"/>
        </w:rPr>
      </w:pPr>
      <w:bookmarkStart w:id="1" w:name="_Hlk35420344"/>
    </w:p>
    <w:bookmarkEnd w:id="1"/>
    <w:p w14:paraId="25A45043" w14:textId="03B7B2A4" w:rsidR="00507354" w:rsidRPr="00FA72EC" w:rsidRDefault="007B34DA" w:rsidP="7B434CB2">
      <w:pPr>
        <w:pStyle w:val="Prrafodelista"/>
        <w:widowControl w:val="0"/>
        <w:numPr>
          <w:ilvl w:val="0"/>
          <w:numId w:val="20"/>
        </w:numPr>
        <w:autoSpaceDE w:val="0"/>
        <w:autoSpaceDN w:val="0"/>
        <w:spacing w:after="0" w:line="276" w:lineRule="auto"/>
        <w:jc w:val="both"/>
        <w:rPr>
          <w:rFonts w:ascii="Verdana" w:eastAsia="Calibri" w:hAnsi="Verdana" w:cs="Arial"/>
          <w:color w:val="000000"/>
          <w:lang w:eastAsia="es-ES" w:bidi="es-ES"/>
        </w:rPr>
      </w:pPr>
      <w:r w:rsidRPr="00FA72EC">
        <w:rPr>
          <w:rFonts w:ascii="Verdana" w:eastAsia="Calibri" w:hAnsi="Verdana" w:cs="Arial"/>
          <w:color w:val="000000"/>
          <w:lang w:eastAsia="es-ES" w:bidi="es-ES"/>
        </w:rPr>
        <w:t xml:space="preserve">Por otro </w:t>
      </w:r>
      <w:r w:rsidR="00A7654B" w:rsidRPr="00FA72EC">
        <w:rPr>
          <w:rFonts w:ascii="Verdana" w:eastAsia="Calibri" w:hAnsi="Verdana" w:cs="Arial"/>
          <w:color w:val="000000"/>
          <w:lang w:eastAsia="es-ES" w:bidi="es-ES"/>
        </w:rPr>
        <w:t>lado, en</w:t>
      </w:r>
      <w:r w:rsidR="007F0015" w:rsidRPr="00FA72EC">
        <w:rPr>
          <w:rFonts w:ascii="Verdana" w:eastAsia="Calibri" w:hAnsi="Verdana" w:cs="Arial"/>
          <w:color w:val="000000"/>
          <w:lang w:eastAsia="es-ES" w:bidi="es-ES"/>
        </w:rPr>
        <w:t xml:space="preserve"> lo que respecta a la tipología del </w:t>
      </w:r>
      <w:r w:rsidR="002B777C" w:rsidRPr="00FA72EC">
        <w:rPr>
          <w:rFonts w:ascii="Verdana" w:eastAsia="Calibri" w:hAnsi="Verdana" w:cs="Arial"/>
          <w:color w:val="000000"/>
          <w:lang w:eastAsia="es-ES" w:bidi="es-ES"/>
        </w:rPr>
        <w:t xml:space="preserve">contrato </w:t>
      </w:r>
      <w:r w:rsidR="00B2446D" w:rsidRPr="00FA72EC">
        <w:rPr>
          <w:rFonts w:ascii="Verdana" w:eastAsia="Calibri" w:hAnsi="Verdana" w:cs="Arial"/>
          <w:color w:val="000000"/>
          <w:lang w:eastAsia="es-ES" w:bidi="es-ES"/>
        </w:rPr>
        <w:t>y/</w:t>
      </w:r>
      <w:r w:rsidR="002B777C" w:rsidRPr="00FA72EC">
        <w:rPr>
          <w:rFonts w:ascii="Verdana" w:eastAsia="Calibri" w:hAnsi="Verdana" w:cs="Arial"/>
          <w:color w:val="000000"/>
          <w:lang w:eastAsia="es-ES" w:bidi="es-ES"/>
        </w:rPr>
        <w:t xml:space="preserve">o convenio interadministrativo debe señalarse que fue </w:t>
      </w:r>
      <w:r w:rsidR="00E15CC0" w:rsidRPr="00FA72EC">
        <w:rPr>
          <w:rFonts w:ascii="Verdana" w:eastAsia="Calibri" w:hAnsi="Verdana" w:cs="Arial"/>
          <w:color w:val="000000"/>
          <w:lang w:eastAsia="es-ES" w:bidi="es-ES"/>
        </w:rPr>
        <w:t xml:space="preserve">creada en la Ley 80 de 1993, y el Decreto 1082 de 2015 </w:t>
      </w:r>
      <w:r w:rsidR="007E7C41" w:rsidRPr="00FA72EC">
        <w:rPr>
          <w:rFonts w:ascii="Verdana" w:eastAsia="Calibri" w:hAnsi="Verdana" w:cs="Arial"/>
          <w:color w:val="000000"/>
          <w:lang w:eastAsia="es-ES" w:bidi="es-ES"/>
        </w:rPr>
        <w:t>y se</w:t>
      </w:r>
      <w:r w:rsidR="00E15CC0" w:rsidRPr="00FA72EC">
        <w:rPr>
          <w:rFonts w:ascii="Verdana" w:eastAsia="Calibri" w:hAnsi="Verdana" w:cs="Arial"/>
          <w:color w:val="000000"/>
          <w:lang w:eastAsia="es-ES" w:bidi="es-ES"/>
        </w:rPr>
        <w:t xml:space="preserve"> califica como aquella contratación entre Entidades Estatales</w:t>
      </w:r>
      <w:r w:rsidR="00553268" w:rsidRPr="00FA72EC">
        <w:rPr>
          <w:rStyle w:val="Refdenotaalpie"/>
          <w:rFonts w:ascii="Verdana" w:eastAsia="Calibri" w:hAnsi="Verdana" w:cs="Arial"/>
          <w:color w:val="000000"/>
          <w:lang w:eastAsia="es-ES" w:bidi="es-ES"/>
        </w:rPr>
        <w:footnoteReference w:id="7"/>
      </w:r>
      <w:r w:rsidR="00E15CC0" w:rsidRPr="00FA72EC">
        <w:rPr>
          <w:rFonts w:ascii="Verdana" w:eastAsia="Calibri" w:hAnsi="Verdana" w:cs="Arial"/>
          <w:color w:val="000000"/>
          <w:lang w:eastAsia="es-ES" w:bidi="es-ES"/>
        </w:rPr>
        <w:t xml:space="preserve">. De acuerdo con lo anterior, el contrato </w:t>
      </w:r>
      <w:r w:rsidR="009E10E6" w:rsidRPr="00FA72EC">
        <w:rPr>
          <w:rFonts w:ascii="Verdana" w:eastAsia="Calibri" w:hAnsi="Verdana" w:cs="Arial"/>
          <w:color w:val="000000"/>
          <w:lang w:eastAsia="es-ES" w:bidi="es-ES"/>
        </w:rPr>
        <w:t>y/</w:t>
      </w:r>
      <w:r w:rsidR="00E15CC0" w:rsidRPr="00FA72EC">
        <w:rPr>
          <w:rFonts w:ascii="Verdana" w:eastAsia="Calibri" w:hAnsi="Verdana" w:cs="Arial"/>
          <w:color w:val="000000"/>
          <w:lang w:eastAsia="es-ES" w:bidi="es-ES"/>
        </w:rPr>
        <w:t>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BA7D3E3" w14:textId="77777777" w:rsidR="00507354" w:rsidRPr="00FA72EC" w:rsidRDefault="00507354" w:rsidP="00507354">
      <w:pPr>
        <w:pStyle w:val="Prrafodelista"/>
        <w:rPr>
          <w:rFonts w:ascii="Verdana" w:eastAsia="Aptos" w:hAnsi="Verdana" w:cs="Arial"/>
        </w:rPr>
      </w:pPr>
    </w:p>
    <w:p w14:paraId="2DA8A68A" w14:textId="77777777" w:rsidR="00254E45" w:rsidRPr="00FA72EC" w:rsidRDefault="00507354" w:rsidP="00254E45">
      <w:pPr>
        <w:pStyle w:val="Prrafodelista"/>
        <w:widowControl w:val="0"/>
        <w:numPr>
          <w:ilvl w:val="0"/>
          <w:numId w:val="20"/>
        </w:numPr>
        <w:autoSpaceDE w:val="0"/>
        <w:autoSpaceDN w:val="0"/>
        <w:spacing w:after="0" w:line="276" w:lineRule="auto"/>
        <w:jc w:val="both"/>
        <w:rPr>
          <w:rFonts w:ascii="Verdana" w:eastAsia="Calibri" w:hAnsi="Verdana" w:cs="Arial"/>
          <w:color w:val="000000"/>
          <w:lang w:val="es-ES_tradnl" w:eastAsia="es-ES" w:bidi="es-ES"/>
        </w:rPr>
      </w:pPr>
      <w:r w:rsidRPr="00FA72EC">
        <w:rPr>
          <w:rFonts w:ascii="Verdana" w:eastAsia="Aptos" w:hAnsi="Verdana" w:cs="Arial"/>
        </w:rPr>
        <w:t>Si bien los contratos o convenios interadministrativos están previstos en la Ley 80 de 1993, en la Ley 1150 de 2007 y en el Decreto 1082 de 2015, no quiere decir que sólo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A09B7C7" w14:textId="77777777" w:rsidR="00254E45" w:rsidRPr="00FA72EC" w:rsidRDefault="00254E45" w:rsidP="00254E45">
      <w:pPr>
        <w:pStyle w:val="Prrafodelista"/>
        <w:rPr>
          <w:rFonts w:ascii="Verdana" w:eastAsia="Calibri" w:hAnsi="Verdana" w:cs="Arial"/>
          <w:color w:val="000000"/>
          <w:lang w:eastAsia="es-ES" w:bidi="es-ES"/>
        </w:rPr>
      </w:pPr>
    </w:p>
    <w:p w14:paraId="7B1853C5" w14:textId="19C12CCA" w:rsidR="00254E45" w:rsidRPr="00FA72EC" w:rsidRDefault="00254E45" w:rsidP="00254E45">
      <w:pPr>
        <w:pStyle w:val="Prrafodelista"/>
        <w:widowControl w:val="0"/>
        <w:numPr>
          <w:ilvl w:val="0"/>
          <w:numId w:val="20"/>
        </w:numPr>
        <w:autoSpaceDE w:val="0"/>
        <w:autoSpaceDN w:val="0"/>
        <w:spacing w:after="0" w:line="276" w:lineRule="auto"/>
        <w:jc w:val="both"/>
        <w:rPr>
          <w:rFonts w:ascii="Verdana" w:eastAsia="Calibri" w:hAnsi="Verdana" w:cs="Arial"/>
          <w:color w:val="000000"/>
          <w:lang w:val="es-ES_tradnl" w:eastAsia="es-ES" w:bidi="es-ES"/>
        </w:rPr>
      </w:pPr>
      <w:r w:rsidRPr="00FA72EC">
        <w:rPr>
          <w:rFonts w:ascii="Verdana" w:eastAsia="Calibri" w:hAnsi="Verdana" w:cs="Arial"/>
          <w:color w:val="000000"/>
          <w:lang w:eastAsia="es-ES" w:bidi="es-ES"/>
        </w:rPr>
        <w:t xml:space="preserve">Así las cosas, un contrato o convenio interadministrativo no está determinado </w:t>
      </w:r>
      <w:r w:rsidRPr="00FA72EC">
        <w:rPr>
          <w:rFonts w:ascii="Verdana" w:eastAsia="Calibri" w:hAnsi="Verdana" w:cs="Arial"/>
          <w:color w:val="000000"/>
          <w:lang w:eastAsia="es-ES" w:bidi="es-ES"/>
        </w:rPr>
        <w:lastRenderedPageBreak/>
        <w:t xml:space="preserve">por la modalidad de selección utilizada para celebrarlo. </w:t>
      </w:r>
      <w:r w:rsidR="00C20832" w:rsidRPr="00FA72EC">
        <w:rPr>
          <w:rFonts w:ascii="Verdana" w:eastAsia="Calibri" w:hAnsi="Verdana" w:cs="Arial"/>
          <w:color w:val="000000"/>
          <w:lang w:eastAsia="es-ES" w:bidi="es-ES"/>
        </w:rPr>
        <w:t>En este sentido, l</w:t>
      </w:r>
      <w:r w:rsidRPr="00FA72EC">
        <w:rPr>
          <w:rFonts w:ascii="Verdana" w:eastAsia="Calibri" w:hAnsi="Verdana" w:cs="Arial"/>
          <w:color w:val="000000"/>
          <w:lang w:eastAsia="es-ES" w:bidi="es-ES"/>
        </w:rPr>
        <w:t xml:space="preserve">a Ley 1150 de 2007 dispone que pueden celebrarse directamente, siempre que las obligaciones </w:t>
      </w:r>
      <w:proofErr w:type="gramStart"/>
      <w:r w:rsidRPr="00FA72EC">
        <w:rPr>
          <w:rFonts w:ascii="Verdana" w:eastAsia="Calibri" w:hAnsi="Verdana" w:cs="Arial"/>
          <w:color w:val="000000"/>
          <w:lang w:eastAsia="es-ES" w:bidi="es-ES"/>
        </w:rPr>
        <w:t>del mismo</w:t>
      </w:r>
      <w:proofErr w:type="gramEnd"/>
      <w:r w:rsidRPr="00FA72EC">
        <w:rPr>
          <w:rFonts w:ascii="Verdana" w:eastAsia="Calibri" w:hAnsi="Verdana" w:cs="Arial"/>
          <w:color w:val="000000"/>
          <w:lang w:eastAsia="es-ES" w:bidi="es-ES"/>
        </w:rPr>
        <w:t xml:space="preserve"> tengan relación directa con el objeto de la entidad ejecutora, señalado en la ley o en sus reglamentos, a menos que, según las excepciones previstas en dicha ley, deba adelantarse un procedimiento con pluralidad de oferentes</w:t>
      </w:r>
      <w:r w:rsidRPr="00FA72EC">
        <w:rPr>
          <w:rFonts w:ascii="Verdana" w:hAnsi="Verdana"/>
          <w:vertAlign w:val="superscript"/>
          <w:lang w:eastAsia="es-ES" w:bidi="es-ES"/>
        </w:rPr>
        <w:footnoteReference w:id="8"/>
      </w:r>
      <w:r w:rsidRPr="00FA72EC">
        <w:rPr>
          <w:rFonts w:ascii="Verdana" w:eastAsia="Calibri" w:hAnsi="Verdana" w:cs="Arial"/>
          <w:color w:val="000000"/>
          <w:lang w:eastAsia="es-ES" w:bidi="es-ES"/>
        </w:rPr>
        <w:t>. Nótese que, en este caso, lo que cambia es la modalidad de selección y no la naturaleza de contrato o convenio interadministrativo.</w:t>
      </w:r>
    </w:p>
    <w:p w14:paraId="291C846D" w14:textId="77777777" w:rsidR="00F34C69" w:rsidRPr="00FA72EC" w:rsidRDefault="00F34C69" w:rsidP="00F34C69">
      <w:pPr>
        <w:pStyle w:val="Prrafodelista"/>
        <w:rPr>
          <w:rFonts w:ascii="Verdana" w:eastAsia="Calibri" w:hAnsi="Verdana" w:cs="Arial"/>
          <w:color w:val="000000"/>
          <w:lang w:val="es-ES_tradnl" w:eastAsia="es-ES" w:bidi="es-ES"/>
        </w:rPr>
      </w:pPr>
    </w:p>
    <w:p w14:paraId="68426E41" w14:textId="6F58FE65" w:rsidR="00647028" w:rsidRPr="00FA72EC" w:rsidRDefault="00F34C69" w:rsidP="00647028">
      <w:pPr>
        <w:pStyle w:val="Prrafodelista"/>
        <w:widowControl w:val="0"/>
        <w:numPr>
          <w:ilvl w:val="0"/>
          <w:numId w:val="20"/>
        </w:numPr>
        <w:autoSpaceDE w:val="0"/>
        <w:autoSpaceDN w:val="0"/>
        <w:spacing w:after="0" w:line="276" w:lineRule="auto"/>
        <w:jc w:val="both"/>
        <w:rPr>
          <w:rFonts w:ascii="Verdana" w:eastAsia="Calibri" w:hAnsi="Verdana" w:cs="Arial"/>
          <w:color w:val="000000"/>
          <w:lang w:val="es-ES_tradnl" w:eastAsia="es-ES" w:bidi="es-ES"/>
        </w:rPr>
      </w:pPr>
      <w:r w:rsidRPr="00FA72EC">
        <w:rPr>
          <w:rFonts w:ascii="Verdana" w:eastAsia="Calibri" w:hAnsi="Verdana" w:cs="Arial"/>
          <w:color w:val="000000"/>
          <w:lang w:val="es-ES_tradnl" w:eastAsia="es-ES" w:bidi="es-ES"/>
        </w:rPr>
        <w:t xml:space="preserve">Sobre el particular, la </w:t>
      </w:r>
      <w:r w:rsidR="00437AC2" w:rsidRPr="00FA72EC">
        <w:rPr>
          <w:rFonts w:ascii="Verdana" w:eastAsia="Calibri" w:hAnsi="Verdana" w:cs="Arial"/>
          <w:color w:val="000000"/>
          <w:lang w:val="es-ES_tradnl" w:eastAsia="es-ES" w:bidi="es-ES"/>
        </w:rPr>
        <w:t>Corte Constitucional, en Sentencia C-671 de 2015, expresó que “</w:t>
      </w:r>
      <w:r w:rsidR="00437AC2" w:rsidRPr="00FA72EC">
        <w:rPr>
          <w:rFonts w:ascii="Verdana" w:eastAsia="Calibri" w:hAnsi="Verdana" w:cs="Arial"/>
          <w:i/>
          <w:iCs/>
          <w:color w:val="000000"/>
          <w:lang w:val="es-ES_tradnl"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sidR="00437AC2" w:rsidRPr="00FA72EC">
        <w:rPr>
          <w:rFonts w:ascii="Verdana" w:eastAsia="Calibri" w:hAnsi="Verdana" w:cs="Arial"/>
          <w:color w:val="000000"/>
          <w:lang w:val="es-ES_tradnl" w:eastAsia="es-ES" w:bidi="es-ES"/>
        </w:rPr>
        <w:t>” [Énfasis fuera de texto]. Así,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0260C00E" w14:textId="77777777" w:rsidR="000064CB" w:rsidRPr="00FA72EC" w:rsidRDefault="000064CB" w:rsidP="000064CB">
      <w:pPr>
        <w:pStyle w:val="Prrafodelista"/>
        <w:rPr>
          <w:rFonts w:ascii="Verdana" w:eastAsia="Calibri" w:hAnsi="Verdana" w:cs="Arial"/>
          <w:color w:val="000000"/>
          <w:lang w:val="es-ES_tradnl" w:eastAsia="es-ES" w:bidi="es-ES"/>
        </w:rPr>
      </w:pPr>
    </w:p>
    <w:p w14:paraId="1E5D7511" w14:textId="349F5489" w:rsidR="000064CB" w:rsidRPr="00FA72EC" w:rsidRDefault="000064CB" w:rsidP="00B75A40">
      <w:pPr>
        <w:pStyle w:val="Prrafodelista"/>
        <w:spacing w:after="0" w:line="240" w:lineRule="auto"/>
        <w:ind w:left="1020" w:right="709"/>
        <w:jc w:val="both"/>
        <w:rPr>
          <w:rFonts w:ascii="Verdana" w:eastAsia="Aptos" w:hAnsi="Verdana" w:cs="Arial"/>
          <w:sz w:val="20"/>
          <w:szCs w:val="20"/>
        </w:rPr>
      </w:pPr>
      <w:r w:rsidRPr="00FA72EC">
        <w:rPr>
          <w:rFonts w:ascii="Verdana" w:eastAsia="Aptos" w:hAnsi="Verdana" w:cs="Arial"/>
          <w:sz w:val="20"/>
          <w:szCs w:val="20"/>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FA72EC">
        <w:rPr>
          <w:rFonts w:ascii="Verdana" w:eastAsia="Aptos" w:hAnsi="Verdana" w:cs="Arial"/>
          <w:sz w:val="20"/>
          <w:szCs w:val="20"/>
        </w:rPr>
        <w:t>ii</w:t>
      </w:r>
      <w:proofErr w:type="spellEnd"/>
      <w:r w:rsidRPr="00FA72EC">
        <w:rPr>
          <w:rFonts w:ascii="Verdana" w:eastAsia="Aptos" w:hAnsi="Verdana" w:cs="Arial"/>
          <w:sz w:val="20"/>
          <w:szCs w:val="20"/>
        </w:rPr>
        <w:t>) tienen como fuente la autonomía contractual; (</w:t>
      </w:r>
      <w:proofErr w:type="spellStart"/>
      <w:r w:rsidRPr="00FA72EC">
        <w:rPr>
          <w:rFonts w:ascii="Verdana" w:eastAsia="Aptos" w:hAnsi="Verdana" w:cs="Arial"/>
          <w:sz w:val="20"/>
          <w:szCs w:val="20"/>
        </w:rPr>
        <w:t>iii</w:t>
      </w:r>
      <w:proofErr w:type="spellEnd"/>
      <w:r w:rsidRPr="00FA72EC">
        <w:rPr>
          <w:rFonts w:ascii="Verdana" w:eastAsia="Aptos" w:hAnsi="Verdana" w:cs="Arial"/>
          <w:sz w:val="20"/>
          <w:szCs w:val="20"/>
        </w:rPr>
        <w:t>) son contratos nominados puesto que están mencionados en la ley; (</w:t>
      </w:r>
      <w:proofErr w:type="spellStart"/>
      <w:r w:rsidRPr="00FA72EC">
        <w:rPr>
          <w:rFonts w:ascii="Verdana" w:eastAsia="Aptos" w:hAnsi="Verdana" w:cs="Arial"/>
          <w:sz w:val="20"/>
          <w:szCs w:val="20"/>
        </w:rPr>
        <w:t>iv</w:t>
      </w:r>
      <w:proofErr w:type="spellEnd"/>
      <w:r w:rsidRPr="00FA72EC">
        <w:rPr>
          <w:rFonts w:ascii="Verdana" w:eastAsia="Aptos" w:hAnsi="Verdana" w:cs="Arial"/>
          <w:sz w:val="20"/>
          <w:szCs w:val="20"/>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w:t>
      </w:r>
      <w:r w:rsidRPr="00FA72EC">
        <w:rPr>
          <w:rFonts w:ascii="Verdana" w:eastAsia="Aptos" w:hAnsi="Verdana" w:cs="Arial"/>
          <w:sz w:val="20"/>
          <w:szCs w:val="20"/>
        </w:rPr>
        <w:lastRenderedPageBreak/>
        <w:t>del Código de Comercio; (vi) dan lugar a la creación de obligaciones jurídicamente exigibles; (</w:t>
      </w:r>
      <w:proofErr w:type="spellStart"/>
      <w:r w:rsidRPr="00FA72EC">
        <w:rPr>
          <w:rFonts w:ascii="Verdana" w:eastAsia="Aptos" w:hAnsi="Verdana" w:cs="Arial"/>
          <w:sz w:val="20"/>
          <w:szCs w:val="20"/>
        </w:rPr>
        <w:t>vii</w:t>
      </w:r>
      <w:proofErr w:type="spellEnd"/>
      <w:r w:rsidRPr="00FA72EC">
        <w:rPr>
          <w:rFonts w:ascii="Verdana" w:eastAsia="Aptos" w:hAnsi="Verdana" w:cs="Arial"/>
          <w:sz w:val="20"/>
          <w:szCs w:val="20"/>
        </w:rPr>
        <w:t>) persiguen  una finalidad común a través de la realización de intereses compartidos entre las entidades vinculadas; (</w:t>
      </w:r>
      <w:proofErr w:type="spellStart"/>
      <w:r w:rsidRPr="00FA72EC">
        <w:rPr>
          <w:rFonts w:ascii="Verdana" w:eastAsia="Aptos" w:hAnsi="Verdana" w:cs="Arial"/>
          <w:sz w:val="20"/>
          <w:szCs w:val="20"/>
        </w:rPr>
        <w:t>viii</w:t>
      </w:r>
      <w:proofErr w:type="spellEnd"/>
      <w:r w:rsidRPr="00FA72EC">
        <w:rPr>
          <w:rFonts w:ascii="Verdana" w:eastAsia="Aptos" w:hAnsi="Verdana" w:cs="Arial"/>
          <w:sz w:val="20"/>
          <w:szCs w:val="20"/>
        </w:rPr>
        <w:t>) la acción mediante la cual se deben ventilar las diferencias que sobre el particular surjan es la de controversias contractuales</w:t>
      </w:r>
      <w:r w:rsidRPr="00FA72EC">
        <w:rPr>
          <w:rFonts w:ascii="Verdana" w:hAnsi="Verdana"/>
          <w:sz w:val="20"/>
          <w:szCs w:val="20"/>
          <w:vertAlign w:val="superscript"/>
        </w:rPr>
        <w:footnoteReference w:id="9"/>
      </w:r>
      <w:r w:rsidRPr="00FA72EC">
        <w:rPr>
          <w:rFonts w:ascii="Verdana" w:eastAsia="Aptos" w:hAnsi="Verdana" w:cs="Arial"/>
          <w:sz w:val="20"/>
          <w:szCs w:val="20"/>
        </w:rPr>
        <w:t>”.</w:t>
      </w:r>
    </w:p>
    <w:p w14:paraId="4EF87AED" w14:textId="77777777" w:rsidR="00647028" w:rsidRPr="00FA72EC" w:rsidRDefault="00647028" w:rsidP="00647028">
      <w:pPr>
        <w:pStyle w:val="Prrafodelista"/>
        <w:rPr>
          <w:rFonts w:ascii="Verdana" w:eastAsia="Calibri" w:hAnsi="Verdana" w:cs="Arial"/>
          <w:color w:val="000000"/>
          <w:lang w:val="es-ES_tradnl" w:eastAsia="es-ES" w:bidi="es-ES"/>
        </w:rPr>
      </w:pPr>
    </w:p>
    <w:p w14:paraId="125F1947" w14:textId="77777777" w:rsidR="0064333C" w:rsidRPr="00FA72EC" w:rsidRDefault="00A51E4D" w:rsidP="0064333C">
      <w:pPr>
        <w:pStyle w:val="Prrafodelista"/>
        <w:numPr>
          <w:ilvl w:val="0"/>
          <w:numId w:val="20"/>
        </w:numPr>
        <w:spacing w:after="0" w:line="276" w:lineRule="auto"/>
        <w:jc w:val="both"/>
        <w:rPr>
          <w:rFonts w:ascii="Verdana" w:eastAsia="Times New Roman" w:hAnsi="Verdana" w:cs="Arial"/>
          <w:lang w:eastAsia="es-CO"/>
        </w:rPr>
      </w:pPr>
      <w:r w:rsidRPr="00FA72EC">
        <w:rPr>
          <w:rFonts w:ascii="Verdana" w:eastAsia="Times New Roman" w:hAnsi="Verdana" w:cs="Arial"/>
          <w:lang w:eastAsia="es-CO"/>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EGCAP establece la contratación directa como la modalidad de selección aplicable, por regla general, a la celebración de los contratos interadministrativos.</w:t>
      </w:r>
    </w:p>
    <w:p w14:paraId="3222AA2C" w14:textId="77777777" w:rsidR="0064333C" w:rsidRPr="00FA72EC" w:rsidRDefault="0064333C" w:rsidP="0064333C">
      <w:pPr>
        <w:pStyle w:val="Prrafodelista"/>
        <w:spacing w:after="0" w:line="276" w:lineRule="auto"/>
        <w:ind w:left="360"/>
        <w:jc w:val="both"/>
        <w:rPr>
          <w:rFonts w:ascii="Verdana" w:eastAsia="Times New Roman" w:hAnsi="Verdana" w:cs="Arial"/>
          <w:lang w:eastAsia="es-CO"/>
        </w:rPr>
      </w:pPr>
    </w:p>
    <w:p w14:paraId="0B450E88" w14:textId="77777777" w:rsidR="0084257A" w:rsidRPr="00FA72EC" w:rsidRDefault="0064333C" w:rsidP="0084257A">
      <w:pPr>
        <w:pStyle w:val="Prrafodelista"/>
        <w:numPr>
          <w:ilvl w:val="0"/>
          <w:numId w:val="20"/>
        </w:numPr>
        <w:spacing w:after="0" w:line="276" w:lineRule="auto"/>
        <w:jc w:val="both"/>
        <w:rPr>
          <w:rFonts w:ascii="Verdana" w:eastAsia="Times New Roman" w:hAnsi="Verdana" w:cs="Arial"/>
          <w:lang w:eastAsia="es-CO"/>
        </w:rPr>
      </w:pPr>
      <w:r w:rsidRPr="00FA72EC">
        <w:rPr>
          <w:rFonts w:ascii="Verdana" w:eastAsia="Times New Roman" w:hAnsi="Verdana" w:cs="Arial"/>
          <w:lang w:eastAsia="es-CO"/>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FA72EC">
        <w:rPr>
          <w:rFonts w:ascii="Verdana" w:eastAsia="Calibri" w:hAnsi="Verdana" w:cs="Arial"/>
        </w:rPr>
        <w:t>Estatuto General de Contratación de la Administración Pública, en adelante EGCAP,</w:t>
      </w:r>
      <w:r w:rsidRPr="00FA72EC">
        <w:rPr>
          <w:rFonts w:ascii="Verdana" w:eastAsia="Times New Roman" w:hAnsi="Verdana" w:cs="Arial"/>
          <w:sz w:val="24"/>
          <w:szCs w:val="24"/>
          <w:lang w:eastAsia="es-CO"/>
        </w:rPr>
        <w:t xml:space="preserve"> </w:t>
      </w:r>
      <w:r w:rsidRPr="00FA72EC">
        <w:rPr>
          <w:rFonts w:ascii="Verdana" w:eastAsia="Times New Roman" w:hAnsi="Verdana" w:cs="Arial"/>
          <w:lang w:eastAsia="es-CO"/>
        </w:rPr>
        <w:t>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FA72EC">
        <w:rPr>
          <w:rFonts w:ascii="Verdana" w:eastAsia="Times New Roman" w:hAnsi="Verdana" w:cs="Arial"/>
          <w:spacing w:val="-4"/>
          <w:lang w:eastAsia="es-CO"/>
        </w:rPr>
        <w:t xml:space="preserve"> </w:t>
      </w:r>
      <w:r w:rsidRPr="00FA72EC">
        <w:rPr>
          <w:rFonts w:ascii="Verdana" w:eastAsia="Times New Roman" w:hAnsi="Verdana" w:cs="Arial"/>
          <w:lang w:eastAsia="es-CO"/>
        </w:rPr>
        <w:t>estatales.</w:t>
      </w:r>
    </w:p>
    <w:p w14:paraId="734B3A9D" w14:textId="77777777" w:rsidR="0084257A" w:rsidRPr="00FA72EC" w:rsidRDefault="0084257A" w:rsidP="0084257A">
      <w:pPr>
        <w:pStyle w:val="Prrafodelista"/>
        <w:rPr>
          <w:rFonts w:ascii="Verdana" w:hAnsi="Verdana"/>
        </w:rPr>
      </w:pPr>
    </w:p>
    <w:p w14:paraId="53F359C9" w14:textId="77777777" w:rsidR="00863920" w:rsidRPr="00FA72EC" w:rsidRDefault="00A7440F" w:rsidP="00863920">
      <w:pPr>
        <w:pStyle w:val="Prrafodelista"/>
        <w:numPr>
          <w:ilvl w:val="0"/>
          <w:numId w:val="20"/>
        </w:numPr>
        <w:spacing w:after="0" w:line="276" w:lineRule="auto"/>
        <w:jc w:val="both"/>
        <w:rPr>
          <w:rFonts w:ascii="Verdana" w:eastAsia="Times New Roman" w:hAnsi="Verdana" w:cs="Arial"/>
          <w:lang w:eastAsia="es-CO"/>
        </w:rPr>
      </w:pPr>
      <w:r w:rsidRPr="00FA72EC">
        <w:rPr>
          <w:rFonts w:ascii="Verdana" w:hAnsi="Verdana"/>
        </w:rPr>
        <w:t xml:space="preserve">Vale la pena señalar que, actualmente la normativa en la materia no establece mayor diferenciación entre estas dos figuras </w:t>
      </w:r>
      <w:r w:rsidR="0084257A" w:rsidRPr="00FA72EC">
        <w:rPr>
          <w:rFonts w:ascii="Verdana" w:hAnsi="Verdana"/>
        </w:rPr>
        <w:t>jurídicas</w:t>
      </w:r>
      <w:r w:rsidRPr="00FA72EC">
        <w:rPr>
          <w:rFonts w:ascii="Verdana" w:hAnsi="Verdana"/>
        </w:rPr>
        <w:t xml:space="preserve"> – contratos y convenios interadministrativos –. El EGCAP hace referencia de manera expresa al contrato interadministrativo en </w:t>
      </w:r>
      <w:r w:rsidR="00863920" w:rsidRPr="00FA72EC">
        <w:rPr>
          <w:rFonts w:ascii="Verdana" w:hAnsi="Verdana"/>
        </w:rPr>
        <w:t>términos</w:t>
      </w:r>
      <w:r w:rsidRPr="00FA72EC">
        <w:rPr>
          <w:rFonts w:ascii="Verdana" w:hAnsi="Verdana"/>
        </w:rPr>
        <w:t xml:space="preserve"> generales, y no al convenio. No obstante, las entidades del Estado, en el marco de la Ley 80 de </w:t>
      </w:r>
      <w:r w:rsidRPr="00FA72EC">
        <w:rPr>
          <w:rFonts w:ascii="Verdana" w:hAnsi="Verdana"/>
        </w:rPr>
        <w:lastRenderedPageBreak/>
        <w:t xml:space="preserve">1993, pueden acordar entre sí diferentes tipos de obligaciones, siempre que su objeto de </w:t>
      </w:r>
      <w:r w:rsidR="00863920" w:rsidRPr="00FA72EC">
        <w:rPr>
          <w:rFonts w:ascii="Verdana" w:hAnsi="Verdana"/>
        </w:rPr>
        <w:t>creación</w:t>
      </w:r>
      <w:r w:rsidRPr="00FA72EC">
        <w:rPr>
          <w:rFonts w:ascii="Verdana" w:hAnsi="Verdana"/>
        </w:rPr>
        <w:t xml:space="preserve"> les permita cumplirlas, con el objetivo </w:t>
      </w:r>
      <w:r w:rsidR="00863920" w:rsidRPr="00FA72EC">
        <w:rPr>
          <w:rFonts w:ascii="Verdana" w:hAnsi="Verdana"/>
        </w:rPr>
        <w:t>común</w:t>
      </w:r>
      <w:r w:rsidRPr="00FA72EC">
        <w:rPr>
          <w:rFonts w:ascii="Verdana" w:hAnsi="Verdana"/>
        </w:rPr>
        <w:t xml:space="preserve"> de materializar los fines del Estado.</w:t>
      </w:r>
    </w:p>
    <w:p w14:paraId="39C866F6" w14:textId="77777777" w:rsidR="00863920" w:rsidRPr="00FA72EC" w:rsidRDefault="00863920" w:rsidP="00863920">
      <w:pPr>
        <w:pStyle w:val="Prrafodelista"/>
        <w:rPr>
          <w:rFonts w:ascii="Verdana" w:hAnsi="Verdana" w:cs="Arial"/>
        </w:rPr>
      </w:pPr>
    </w:p>
    <w:p w14:paraId="501B9CC5" w14:textId="77777777" w:rsidR="00863920" w:rsidRPr="00FA72EC" w:rsidRDefault="000F7471" w:rsidP="00863920">
      <w:pPr>
        <w:pStyle w:val="Prrafodelista"/>
        <w:numPr>
          <w:ilvl w:val="0"/>
          <w:numId w:val="20"/>
        </w:numPr>
        <w:spacing w:after="0" w:line="276" w:lineRule="auto"/>
        <w:jc w:val="both"/>
        <w:rPr>
          <w:rFonts w:ascii="Verdana" w:eastAsia="Times New Roman" w:hAnsi="Verdana" w:cs="Arial"/>
          <w:lang w:eastAsia="es-CO"/>
        </w:rPr>
      </w:pPr>
      <w:r w:rsidRPr="00FA72EC">
        <w:rPr>
          <w:rFonts w:ascii="Verdana" w:hAnsi="Verdana" w:cs="Arial"/>
        </w:rPr>
        <w:t>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FA72EC">
        <w:rPr>
          <w:rFonts w:ascii="Verdana" w:hAnsi="Verdana" w:cs="Arial"/>
          <w:spacing w:val="-4"/>
        </w:rPr>
        <w:t xml:space="preserve"> </w:t>
      </w:r>
      <w:r w:rsidRPr="00FA72EC">
        <w:rPr>
          <w:rFonts w:ascii="Verdana" w:hAnsi="Verdana" w:cs="Arial"/>
        </w:rPr>
        <w:t>estatales</w:t>
      </w:r>
    </w:p>
    <w:p w14:paraId="4E5A0782" w14:textId="77777777" w:rsidR="00863920" w:rsidRPr="00FA72EC" w:rsidRDefault="00863920" w:rsidP="00863920">
      <w:pPr>
        <w:pStyle w:val="Prrafodelista"/>
        <w:rPr>
          <w:rFonts w:ascii="Verdana" w:hAnsi="Verdana"/>
        </w:rPr>
      </w:pPr>
    </w:p>
    <w:p w14:paraId="30359B3D" w14:textId="2123203A" w:rsidR="00863920" w:rsidRPr="00FA72EC" w:rsidRDefault="000F7471" w:rsidP="00863920">
      <w:pPr>
        <w:pStyle w:val="Prrafodelista"/>
        <w:numPr>
          <w:ilvl w:val="0"/>
          <w:numId w:val="20"/>
        </w:numPr>
        <w:spacing w:after="0" w:line="276" w:lineRule="auto"/>
        <w:jc w:val="both"/>
        <w:rPr>
          <w:rFonts w:ascii="Verdana" w:eastAsia="Times New Roman" w:hAnsi="Verdana" w:cs="Arial"/>
          <w:lang w:eastAsia="es-CO"/>
        </w:rPr>
      </w:pPr>
      <w:r w:rsidRPr="00FA72EC">
        <w:rPr>
          <w:rFonts w:ascii="Verdana" w:hAnsi="Verdana"/>
        </w:rPr>
        <w:t xml:space="preserve">Por su parte, el Decreto 1082 de 2015 dispone que los convenios o contratos interadministrativos, </w:t>
      </w:r>
      <w:r w:rsidR="00863920" w:rsidRPr="00FA72EC">
        <w:rPr>
          <w:rFonts w:ascii="Verdana" w:hAnsi="Verdana"/>
        </w:rPr>
        <w:t>así</w:t>
      </w:r>
      <w:r w:rsidRPr="00FA72EC">
        <w:rPr>
          <w:rFonts w:ascii="Verdana" w:hAnsi="Verdana"/>
        </w:rPr>
        <w:t xml:space="preserve">́ denominados en su </w:t>
      </w:r>
      <w:r w:rsidR="00863920" w:rsidRPr="00FA72EC">
        <w:rPr>
          <w:rFonts w:ascii="Verdana" w:hAnsi="Verdana"/>
        </w:rPr>
        <w:t>artículo</w:t>
      </w:r>
      <w:r w:rsidRPr="00FA72EC">
        <w:rPr>
          <w:rFonts w:ascii="Verdana" w:hAnsi="Verdana"/>
        </w:rPr>
        <w:t xml:space="preserve"> 2.2.1.2.1.4.4, se contratan directamente, por lo que no hay lugar a dudas que representan lo mismo en la medida en que concurran Entidades Estatales en el acuerdo de voluntades. </w:t>
      </w:r>
    </w:p>
    <w:p w14:paraId="139131CE" w14:textId="77777777" w:rsidR="00863920" w:rsidRPr="00FA72EC" w:rsidRDefault="00863920" w:rsidP="00863920">
      <w:pPr>
        <w:pStyle w:val="Prrafodelista"/>
        <w:rPr>
          <w:rFonts w:ascii="Verdana" w:hAnsi="Verdana"/>
        </w:rPr>
      </w:pPr>
    </w:p>
    <w:p w14:paraId="7B19289B" w14:textId="32BAB60B" w:rsidR="00863920" w:rsidRPr="00FA72EC" w:rsidRDefault="000F7471" w:rsidP="00863920">
      <w:pPr>
        <w:pStyle w:val="Prrafodelista"/>
        <w:numPr>
          <w:ilvl w:val="0"/>
          <w:numId w:val="20"/>
        </w:numPr>
        <w:spacing w:after="0" w:line="276" w:lineRule="auto"/>
        <w:jc w:val="both"/>
        <w:rPr>
          <w:rFonts w:ascii="Verdana" w:eastAsia="Times New Roman" w:hAnsi="Verdana" w:cs="Arial"/>
          <w:lang w:eastAsia="es-CO"/>
        </w:rPr>
      </w:pPr>
      <w:r w:rsidRPr="00FA72EC">
        <w:rPr>
          <w:rFonts w:ascii="Verdana" w:hAnsi="Verdana"/>
        </w:rPr>
        <w:t xml:space="preserve">Ahora bien, aunque el </w:t>
      </w:r>
      <w:r w:rsidR="00863920" w:rsidRPr="00FA72EC">
        <w:rPr>
          <w:rFonts w:ascii="Verdana" w:hAnsi="Verdana"/>
        </w:rPr>
        <w:t>artículo</w:t>
      </w:r>
      <w:r w:rsidRPr="00FA72EC">
        <w:rPr>
          <w:rFonts w:ascii="Verdana" w:hAnsi="Verdana"/>
        </w:rPr>
        <w:t xml:space="preserve"> 95 de la Ley 489 de 1998 dispone que “Las entidades </w:t>
      </w:r>
      <w:r w:rsidR="00863920" w:rsidRPr="00FA72EC">
        <w:rPr>
          <w:rFonts w:ascii="Verdana" w:hAnsi="Verdana"/>
        </w:rPr>
        <w:t>públicas</w:t>
      </w:r>
      <w:r w:rsidRPr="00FA72EC">
        <w:rPr>
          <w:rFonts w:ascii="Verdana" w:hAnsi="Verdana"/>
        </w:rPr>
        <w:t xml:space="preserve"> </w:t>
      </w:r>
      <w:r w:rsidR="00863920" w:rsidRPr="00FA72EC">
        <w:rPr>
          <w:rFonts w:ascii="Verdana" w:hAnsi="Verdana"/>
        </w:rPr>
        <w:t>podrán</w:t>
      </w:r>
      <w:r w:rsidRPr="00FA72EC">
        <w:rPr>
          <w:rFonts w:ascii="Verdana" w:hAnsi="Verdana"/>
        </w:rPr>
        <w:t xml:space="preserve"> asociarse con el fin de cooperar en el cumplimiento de funciones administrativas o de prestar conjuntamente servicios que se hallen a su cargo, mediante la </w:t>
      </w:r>
      <w:r w:rsidR="00863920" w:rsidRPr="00FA72EC">
        <w:rPr>
          <w:rFonts w:ascii="Verdana" w:hAnsi="Verdana"/>
        </w:rPr>
        <w:t>celebración</w:t>
      </w:r>
      <w:r w:rsidRPr="00FA72EC">
        <w:rPr>
          <w:rFonts w:ascii="Verdana" w:hAnsi="Verdana"/>
        </w:rPr>
        <w:t xml:space="preserve"> de convenios interadministrativos [...]”, esto no significa que dichos acuerdos </w:t>
      </w:r>
      <w:r w:rsidR="00863920" w:rsidRPr="00FA72EC">
        <w:rPr>
          <w:rFonts w:ascii="Verdana" w:hAnsi="Verdana"/>
        </w:rPr>
        <w:t>estén</w:t>
      </w:r>
      <w:r w:rsidRPr="00FA72EC">
        <w:rPr>
          <w:rFonts w:ascii="Verdana" w:hAnsi="Verdana"/>
        </w:rPr>
        <w:t xml:space="preserve"> exceptuados del EGCAP. Por ello, la jurisprudencia considera que “Estos convenios cuentan con las </w:t>
      </w:r>
      <w:r w:rsidR="00863920" w:rsidRPr="00FA72EC">
        <w:rPr>
          <w:rFonts w:ascii="Verdana" w:hAnsi="Verdana"/>
        </w:rPr>
        <w:t>características</w:t>
      </w:r>
      <w:r w:rsidRPr="00FA72EC">
        <w:rPr>
          <w:rFonts w:ascii="Verdana" w:hAnsi="Verdana"/>
        </w:rPr>
        <w:t xml:space="preserve"> propias de los contratos, cuando su objeto lo constituyen obligaciones patrimoniales, y las entidades estatales que los conforman </w:t>
      </w:r>
      <w:r w:rsidR="00863920" w:rsidRPr="00FA72EC">
        <w:rPr>
          <w:rFonts w:ascii="Verdana" w:hAnsi="Verdana"/>
        </w:rPr>
        <w:t>están</w:t>
      </w:r>
      <w:r w:rsidRPr="00FA72EC">
        <w:rPr>
          <w:rFonts w:ascii="Verdana" w:hAnsi="Verdana"/>
        </w:rPr>
        <w:t xml:space="preserve"> sujetas tanto a la normativa contractual </w:t>
      </w:r>
      <w:r w:rsidR="00863920" w:rsidRPr="00FA72EC">
        <w:rPr>
          <w:rFonts w:ascii="Verdana" w:hAnsi="Verdana"/>
        </w:rPr>
        <w:t>pública</w:t>
      </w:r>
      <w:r w:rsidRPr="00FA72EC">
        <w:rPr>
          <w:rFonts w:ascii="Verdana" w:hAnsi="Verdana"/>
        </w:rPr>
        <w:t>, como a las normas del derecho civil [...]</w:t>
      </w:r>
      <w:r w:rsidRPr="00FA72EC">
        <w:rPr>
          <w:rStyle w:val="Refdenotaalpie"/>
          <w:rFonts w:ascii="Verdana" w:eastAsia="Times New Roman" w:hAnsi="Verdana" w:cs="Times New Roman"/>
          <w:lang w:val="es-CO" w:eastAsia="es-CO"/>
        </w:rPr>
        <w:footnoteReference w:id="10"/>
      </w:r>
    </w:p>
    <w:p w14:paraId="0F37AEE2" w14:textId="77777777" w:rsidR="00863920" w:rsidRPr="00FA72EC" w:rsidRDefault="00863920" w:rsidP="00863920">
      <w:pPr>
        <w:pStyle w:val="Prrafodelista"/>
        <w:rPr>
          <w:rFonts w:ascii="Verdana" w:eastAsia="Times New Roman" w:hAnsi="Verdana" w:cs="Arial"/>
          <w:lang w:eastAsia="es-CO"/>
        </w:rPr>
      </w:pPr>
    </w:p>
    <w:p w14:paraId="191703E4" w14:textId="7885C2A8" w:rsidR="001130C8" w:rsidRPr="00FA72EC" w:rsidRDefault="000A3E2E" w:rsidP="008D2FE8">
      <w:pPr>
        <w:pStyle w:val="Prrafodelista"/>
        <w:numPr>
          <w:ilvl w:val="0"/>
          <w:numId w:val="20"/>
        </w:numPr>
        <w:spacing w:after="0" w:line="276" w:lineRule="auto"/>
        <w:jc w:val="both"/>
        <w:rPr>
          <w:rFonts w:ascii="Verdana" w:eastAsia="Times New Roman" w:hAnsi="Verdana" w:cs="Arial"/>
          <w:lang w:eastAsia="es-CO"/>
        </w:rPr>
      </w:pPr>
      <w:r w:rsidRPr="00FA72EC">
        <w:rPr>
          <w:rFonts w:ascii="Verdana" w:eastAsia="Times New Roman" w:hAnsi="Verdana" w:cs="Arial"/>
          <w:lang w:eastAsia="es-CO"/>
        </w:rPr>
        <w:t xml:space="preserve">Por tal razón conforme a lo previsto en el artículo 95 de la Ley 489 de 1995 y al alcance que la jurisprudencia del Consejo de Estado y la doctrina le han dado a la regulación de los convenios interadministrativos, esta tipología tiene las siguientes características: </w:t>
      </w:r>
      <w:r w:rsidR="008D2FE8" w:rsidRPr="00FA72EC">
        <w:rPr>
          <w:rFonts w:ascii="Verdana" w:eastAsia="Times New Roman" w:hAnsi="Verdana" w:cs="Arial"/>
          <w:lang w:eastAsia="es-CO"/>
        </w:rPr>
        <w:t xml:space="preserve">i) </w:t>
      </w:r>
      <w:r w:rsidRPr="00FA72EC">
        <w:rPr>
          <w:rFonts w:ascii="Verdana" w:eastAsia="Times New Roman" w:hAnsi="Verdana" w:cs="Arial"/>
          <w:lang w:eastAsia="es-CO"/>
        </w:rPr>
        <w:t>Se celebran entre dos entidades públicas que se encuentran en pie de igualdad con el objeto de cumplir competencias de ambas entidades dirigidas a un propósito común. Es decir, en los convenios interadministrativos no existen intereses contrapuestos</w:t>
      </w:r>
      <w:r w:rsidR="008D2FE8" w:rsidRPr="00FA72EC">
        <w:rPr>
          <w:rFonts w:ascii="Verdana" w:eastAsia="Times New Roman" w:hAnsi="Verdana" w:cs="Arial"/>
          <w:lang w:eastAsia="es-CO"/>
        </w:rPr>
        <w:t xml:space="preserve">; </w:t>
      </w:r>
      <w:proofErr w:type="spellStart"/>
      <w:r w:rsidR="008D2FE8" w:rsidRPr="00FA72EC">
        <w:rPr>
          <w:rFonts w:ascii="Verdana" w:eastAsia="Times New Roman" w:hAnsi="Verdana" w:cs="Arial"/>
          <w:lang w:eastAsia="es-CO"/>
        </w:rPr>
        <w:t>ii</w:t>
      </w:r>
      <w:proofErr w:type="spellEnd"/>
      <w:r w:rsidR="008D2FE8" w:rsidRPr="00FA72EC">
        <w:rPr>
          <w:rFonts w:ascii="Verdana" w:eastAsia="Times New Roman" w:hAnsi="Verdana" w:cs="Arial"/>
          <w:lang w:eastAsia="es-CO"/>
        </w:rPr>
        <w:t xml:space="preserve">) </w:t>
      </w:r>
      <w:r w:rsidRPr="00FA72EC">
        <w:rPr>
          <w:rFonts w:ascii="Verdana" w:eastAsia="Times New Roman" w:hAnsi="Verdana" w:cs="Arial"/>
          <w:lang w:eastAsia="es-CO"/>
        </w:rPr>
        <w:t>La modalidad para su celebración es la contratación directa</w:t>
      </w:r>
      <w:r w:rsidR="00C6273B" w:rsidRPr="00FA72EC">
        <w:rPr>
          <w:rFonts w:ascii="Verdana" w:eastAsia="Times New Roman" w:hAnsi="Verdana" w:cs="Arial"/>
          <w:lang w:eastAsia="es-CO"/>
        </w:rPr>
        <w:t>;</w:t>
      </w:r>
      <w:r w:rsidRPr="00FA72EC">
        <w:rPr>
          <w:rFonts w:ascii="Verdana" w:eastAsia="Times New Roman" w:hAnsi="Verdana" w:cs="Arial"/>
          <w:lang w:eastAsia="es-CO"/>
        </w:rPr>
        <w:t xml:space="preserve"> </w:t>
      </w:r>
      <w:r w:rsidR="00C6273B" w:rsidRPr="00FA72EC">
        <w:rPr>
          <w:rFonts w:ascii="Verdana" w:eastAsia="Times New Roman" w:hAnsi="Verdana" w:cs="Arial"/>
          <w:lang w:eastAsia="es-CO"/>
        </w:rPr>
        <w:t>y</w:t>
      </w:r>
      <w:r w:rsidR="008D2FE8" w:rsidRPr="00FA72EC">
        <w:rPr>
          <w:rFonts w:ascii="Verdana" w:eastAsia="Times New Roman" w:hAnsi="Verdana" w:cs="Arial"/>
          <w:lang w:eastAsia="es-CO"/>
        </w:rPr>
        <w:t xml:space="preserve"> </w:t>
      </w:r>
      <w:proofErr w:type="spellStart"/>
      <w:r w:rsidR="008D2FE8" w:rsidRPr="00FA72EC">
        <w:rPr>
          <w:rFonts w:ascii="Verdana" w:eastAsia="Times New Roman" w:hAnsi="Verdana" w:cs="Arial"/>
          <w:lang w:eastAsia="es-CO"/>
        </w:rPr>
        <w:t>iii</w:t>
      </w:r>
      <w:proofErr w:type="spellEnd"/>
      <w:r w:rsidR="008D2FE8" w:rsidRPr="00FA72EC">
        <w:rPr>
          <w:rFonts w:ascii="Verdana" w:eastAsia="Times New Roman" w:hAnsi="Verdana" w:cs="Arial"/>
          <w:lang w:eastAsia="es-CO"/>
        </w:rPr>
        <w:t xml:space="preserve">) </w:t>
      </w:r>
      <w:r w:rsidRPr="00FA72EC">
        <w:rPr>
          <w:rFonts w:ascii="Verdana" w:eastAsia="Times New Roman" w:hAnsi="Verdana" w:cs="Arial"/>
          <w:lang w:eastAsia="es-CO"/>
        </w:rPr>
        <w:t xml:space="preserve">Los </w:t>
      </w:r>
      <w:r w:rsidRPr="00FA72EC">
        <w:rPr>
          <w:rFonts w:ascii="Verdana" w:eastAsia="Times New Roman" w:hAnsi="Verdana" w:cs="Arial"/>
          <w:lang w:eastAsia="es-CO"/>
        </w:rPr>
        <w:lastRenderedPageBreak/>
        <w:t xml:space="preserve">convenios interadministrativos pueden suponer el compromiso de recursos públicos y, en consecuencia, la realización de aportes financieros. Este hecho, sin embargo, no supone a posibilidad de que en este tipo de relaciones jurídicas exista una remuneración en favor de uno de los </w:t>
      </w:r>
      <w:proofErr w:type="spellStart"/>
      <w:r w:rsidRPr="00FA72EC">
        <w:rPr>
          <w:rFonts w:ascii="Verdana" w:eastAsia="Times New Roman" w:hAnsi="Verdana" w:cs="Arial"/>
          <w:lang w:eastAsia="es-CO"/>
        </w:rPr>
        <w:t>co-contrantes</w:t>
      </w:r>
      <w:proofErr w:type="spellEnd"/>
      <w:r w:rsidRPr="00FA72EC">
        <w:rPr>
          <w:rFonts w:ascii="Verdana" w:eastAsia="Times New Roman" w:hAnsi="Verdana" w:cs="Arial"/>
          <w:lang w:eastAsia="es-CO"/>
        </w:rPr>
        <w:t xml:space="preserve"> y a cargo de otro y otro.</w:t>
      </w:r>
    </w:p>
    <w:p w14:paraId="56622CD1" w14:textId="77777777" w:rsidR="007B5930" w:rsidRPr="00FA72EC" w:rsidRDefault="007B5930" w:rsidP="007B5930">
      <w:pPr>
        <w:spacing w:after="0" w:line="276" w:lineRule="auto"/>
        <w:jc w:val="both"/>
        <w:rPr>
          <w:rFonts w:ascii="Verdana" w:eastAsia="Times New Roman" w:hAnsi="Verdana" w:cs="Arial"/>
          <w:lang w:eastAsia="es-CO"/>
        </w:rPr>
      </w:pPr>
    </w:p>
    <w:p w14:paraId="1D376880" w14:textId="77777777" w:rsidR="00E65151" w:rsidRPr="00FA72EC" w:rsidRDefault="000732E0" w:rsidP="00E65151">
      <w:pPr>
        <w:pStyle w:val="Prrafodelista"/>
        <w:numPr>
          <w:ilvl w:val="0"/>
          <w:numId w:val="20"/>
        </w:numPr>
        <w:spacing w:after="0" w:line="276" w:lineRule="auto"/>
        <w:jc w:val="both"/>
        <w:rPr>
          <w:rFonts w:ascii="Verdana" w:eastAsia="Times New Roman" w:hAnsi="Verdana" w:cs="Arial"/>
          <w:lang w:eastAsia="es-CO"/>
        </w:rPr>
      </w:pPr>
      <w:r w:rsidRPr="00FA72EC">
        <w:rPr>
          <w:rFonts w:ascii="Verdana" w:eastAsia="Times New Roman" w:hAnsi="Verdana" w:cs="Arial"/>
          <w:bCs/>
          <w:lang w:val="es-CO" w:eastAsia="es-CO"/>
        </w:rPr>
        <w:t>Sin embargo, si bien tanto los contratos como convenios comparten características comunes explicadas en los párrafos precedentes, difieren en cuanto a ciertos aspectos esenciales</w:t>
      </w:r>
      <w:r w:rsidRPr="00FA72EC">
        <w:rPr>
          <w:rFonts w:ascii="Verdana" w:eastAsia="Times New Roman" w:hAnsi="Verdana" w:cs="Arial"/>
          <w:lang w:val="es-CO" w:eastAsia="es-CO"/>
        </w:rPr>
        <w:t xml:space="preserve">. </w:t>
      </w:r>
      <w:r w:rsidRPr="00FA72EC">
        <w:rPr>
          <w:rFonts w:ascii="Verdana" w:eastAsia="Times New Roman" w:hAnsi="Verdana" w:cs="Arial"/>
          <w:bCs/>
          <w:lang w:val="es-CO" w:eastAsia="es-CO"/>
        </w:rPr>
        <w:t xml:space="preserve">Así, mientras que el </w:t>
      </w:r>
      <w:r w:rsidRPr="00FA72EC">
        <w:rPr>
          <w:rFonts w:ascii="Verdana" w:eastAsia="Times New Roman" w:hAnsi="Verdana" w:cs="Arial"/>
          <w:bCs/>
          <w:i/>
          <w:iCs/>
          <w:lang w:val="es-CO" w:eastAsia="es-CO"/>
        </w:rPr>
        <w:t>contrato interadministrativo</w:t>
      </w:r>
      <w:r w:rsidRPr="00FA72EC">
        <w:rPr>
          <w:rFonts w:ascii="Verdana" w:eastAsia="Times New Roman" w:hAnsi="Verdana" w:cs="Arial"/>
          <w:bCs/>
          <w:lang w:val="es-CO" w:eastAsia="es-CO"/>
        </w:rPr>
        <w:t xml:space="preserve"> se caracteriza por su naturaleza onerosa, patrimonial y se conforma por intereses básicamente contrapuestos, los </w:t>
      </w:r>
      <w:r w:rsidRPr="00FA72EC">
        <w:rPr>
          <w:rFonts w:ascii="Verdana" w:eastAsia="Times New Roman" w:hAnsi="Verdana" w:cs="Arial"/>
          <w:bCs/>
          <w:i/>
          <w:iCs/>
          <w:lang w:val="es-CO" w:eastAsia="es-CO"/>
        </w:rPr>
        <w:t>convenios interadministrativos</w:t>
      </w:r>
      <w:r w:rsidRPr="00FA72EC">
        <w:rPr>
          <w:rFonts w:ascii="Verdana" w:eastAsia="Times New Roman" w:hAnsi="Verdana" w:cs="Arial"/>
          <w:bCs/>
          <w:lang w:val="es-CO" w:eastAsia="es-CO"/>
        </w:rPr>
        <w:t>, por su parte, tienen una finalidad asociativa perseguida por las partes suscriptoras cuyos intereses se encaminan en la misma dirección y persiguen los mismos objetivos, de conformidad con el ejercicio de las funciones y competencias que les son propias y propendiendo por la cooperación interinstitucional.</w:t>
      </w:r>
    </w:p>
    <w:p w14:paraId="22B4BF24" w14:textId="77777777" w:rsidR="00E65151" w:rsidRPr="00FA72EC" w:rsidRDefault="00E65151" w:rsidP="00E65151">
      <w:pPr>
        <w:pStyle w:val="Prrafodelista"/>
        <w:spacing w:after="0" w:line="276" w:lineRule="auto"/>
        <w:ind w:left="360"/>
        <w:jc w:val="both"/>
        <w:rPr>
          <w:rFonts w:ascii="Verdana" w:eastAsia="Times New Roman" w:hAnsi="Verdana" w:cs="Arial"/>
          <w:lang w:eastAsia="es-CO"/>
        </w:rPr>
      </w:pPr>
    </w:p>
    <w:p w14:paraId="47AE9B2F" w14:textId="2D8874B6" w:rsidR="00DF7FED" w:rsidRPr="00FA72EC" w:rsidRDefault="00DF7FED" w:rsidP="00E65151">
      <w:pPr>
        <w:pStyle w:val="Prrafodelista"/>
        <w:numPr>
          <w:ilvl w:val="0"/>
          <w:numId w:val="20"/>
        </w:numPr>
        <w:spacing w:after="0" w:line="276" w:lineRule="auto"/>
        <w:jc w:val="both"/>
        <w:rPr>
          <w:rFonts w:ascii="Verdana" w:eastAsia="Times New Roman" w:hAnsi="Verdana" w:cs="Arial"/>
          <w:lang w:eastAsia="es-CO"/>
        </w:rPr>
      </w:pPr>
      <w:r w:rsidRPr="00FA72EC">
        <w:rPr>
          <w:rFonts w:ascii="Verdana" w:hAnsi="Verdana"/>
        </w:rPr>
        <w:t xml:space="preserve">Sin perjuicio de lo anterior, vale la pena tener en cuenta que cierto sector de la doctrina y la jurisprudencia ha resaltado algunas diferencias entre los </w:t>
      </w:r>
      <w:r w:rsidR="00E36C2C" w:rsidRPr="00FA72EC">
        <w:rPr>
          <w:rFonts w:ascii="Verdana" w:hAnsi="Verdana"/>
        </w:rPr>
        <w:t>contratos y los convenios interadministrativos</w:t>
      </w:r>
      <w:r w:rsidRPr="00FA72EC">
        <w:rPr>
          <w:rFonts w:ascii="Verdana" w:hAnsi="Verdana"/>
        </w:rPr>
        <w:t xml:space="preserve"> de que trata el </w:t>
      </w:r>
      <w:r w:rsidR="00E36C2C" w:rsidRPr="00FA72EC">
        <w:rPr>
          <w:rFonts w:ascii="Verdana" w:hAnsi="Verdana"/>
        </w:rPr>
        <w:t>artículo</w:t>
      </w:r>
      <w:r w:rsidRPr="00FA72EC">
        <w:rPr>
          <w:rFonts w:ascii="Verdana" w:hAnsi="Verdana"/>
        </w:rPr>
        <w:t xml:space="preserve"> 95 de la Ley 489 de 1998. Por ejemplo, el Consejo de Estado en sentencia del 14 de junio de 2019 expresó: </w:t>
      </w:r>
    </w:p>
    <w:p w14:paraId="353BA20B" w14:textId="77777777" w:rsidR="00E36C2C" w:rsidRPr="00A7312B" w:rsidRDefault="001A6891" w:rsidP="00A7312B">
      <w:pPr>
        <w:pStyle w:val="NormalWeb"/>
        <w:ind w:left="1020" w:right="709"/>
        <w:jc w:val="both"/>
        <w:rPr>
          <w:rFonts w:ascii="Verdana" w:hAnsi="Verdana"/>
          <w:i/>
          <w:iCs/>
          <w:sz w:val="20"/>
          <w:szCs w:val="20"/>
        </w:rPr>
      </w:pPr>
      <w:r w:rsidRPr="00A7312B">
        <w:rPr>
          <w:rFonts w:ascii="Verdana" w:eastAsia="Aptos" w:hAnsi="Verdana" w:cs="Arial"/>
          <w:sz w:val="20"/>
          <w:szCs w:val="20"/>
        </w:rPr>
        <w:t>“[…]</w:t>
      </w:r>
      <w:r w:rsidRPr="00A7312B">
        <w:rPr>
          <w:rFonts w:ascii="Verdana" w:hAnsi="Verdana"/>
          <w:i/>
          <w:iCs/>
          <w:sz w:val="20"/>
          <w:szCs w:val="20"/>
        </w:rPr>
        <w:t xml:space="preserve"> </w:t>
      </w:r>
      <w:r w:rsidR="00DF7FED" w:rsidRPr="00A7312B">
        <w:rPr>
          <w:rFonts w:ascii="Verdana" w:hAnsi="Verdana"/>
          <w:i/>
          <w:iCs/>
          <w:sz w:val="20"/>
          <w:szCs w:val="20"/>
        </w:rPr>
        <w:t>La Sala de Consulta y Servicio Civil</w:t>
      </w:r>
      <w:r w:rsidR="00DF7FED" w:rsidRPr="00A7312B">
        <w:rPr>
          <w:rFonts w:ascii="Verdana" w:hAnsi="Verdana"/>
          <w:i/>
          <w:iCs/>
          <w:position w:val="8"/>
          <w:sz w:val="20"/>
          <w:szCs w:val="20"/>
          <w:vertAlign w:val="superscript"/>
        </w:rPr>
        <w:t>9</w:t>
      </w:r>
      <w:r w:rsidR="00DF7FED" w:rsidRPr="00A7312B">
        <w:rPr>
          <w:rFonts w:ascii="Verdana" w:hAnsi="Verdana"/>
          <w:i/>
          <w:iCs/>
          <w:position w:val="8"/>
          <w:sz w:val="20"/>
          <w:szCs w:val="20"/>
        </w:rPr>
        <w:t xml:space="preserve"> </w:t>
      </w:r>
      <w:r w:rsidR="00DF7FED" w:rsidRPr="00A7312B">
        <w:rPr>
          <w:rFonts w:ascii="Verdana" w:hAnsi="Verdana"/>
          <w:i/>
          <w:iCs/>
          <w:sz w:val="20"/>
          <w:szCs w:val="20"/>
        </w:rPr>
        <w:t xml:space="preserve">de esta </w:t>
      </w:r>
      <w:r w:rsidRPr="00A7312B">
        <w:rPr>
          <w:rFonts w:ascii="Verdana" w:hAnsi="Verdana"/>
          <w:i/>
          <w:iCs/>
          <w:sz w:val="20"/>
          <w:szCs w:val="20"/>
        </w:rPr>
        <w:t>Corporación</w:t>
      </w:r>
      <w:r w:rsidR="00DF7FED" w:rsidRPr="00A7312B">
        <w:rPr>
          <w:rFonts w:ascii="Verdana" w:hAnsi="Verdana"/>
          <w:i/>
          <w:iCs/>
          <w:sz w:val="20"/>
          <w:szCs w:val="20"/>
        </w:rPr>
        <w:t xml:space="preserve"> se ha referido a los </w:t>
      </w:r>
      <w:r w:rsidR="00DF7FED" w:rsidRPr="00A7312B">
        <w:rPr>
          <w:rFonts w:ascii="Verdana" w:hAnsi="Verdana" w:cs="Arial"/>
          <w:i/>
          <w:iCs/>
          <w:sz w:val="20"/>
          <w:szCs w:val="20"/>
        </w:rPr>
        <w:t xml:space="preserve">“convenios interadministrativos” </w:t>
      </w:r>
      <w:r w:rsidR="00DF7FED" w:rsidRPr="00A7312B">
        <w:rPr>
          <w:rFonts w:ascii="Verdana" w:hAnsi="Verdana"/>
          <w:i/>
          <w:iCs/>
          <w:sz w:val="20"/>
          <w:szCs w:val="20"/>
        </w:rPr>
        <w:t xml:space="preserve">a los cuales alude el </w:t>
      </w:r>
      <w:r w:rsidRPr="00A7312B">
        <w:rPr>
          <w:rFonts w:ascii="Verdana" w:hAnsi="Verdana"/>
          <w:i/>
          <w:iCs/>
          <w:sz w:val="20"/>
          <w:szCs w:val="20"/>
        </w:rPr>
        <w:t>artículo</w:t>
      </w:r>
      <w:r w:rsidR="00DF7FED" w:rsidRPr="00A7312B">
        <w:rPr>
          <w:rFonts w:ascii="Verdana" w:hAnsi="Verdana"/>
          <w:i/>
          <w:iCs/>
          <w:sz w:val="20"/>
          <w:szCs w:val="20"/>
        </w:rPr>
        <w:t xml:space="preserve"> 95 de la Ley 489 de 1998, calificándolos de </w:t>
      </w:r>
      <w:r w:rsidR="00DF7FED" w:rsidRPr="00A7312B">
        <w:rPr>
          <w:rFonts w:ascii="Verdana" w:hAnsi="Verdana" w:cs="Arial"/>
          <w:i/>
          <w:iCs/>
          <w:sz w:val="20"/>
          <w:szCs w:val="20"/>
        </w:rPr>
        <w:t xml:space="preserve">“puros” </w:t>
      </w:r>
      <w:r w:rsidR="00DF7FED" w:rsidRPr="00A7312B">
        <w:rPr>
          <w:rFonts w:ascii="Verdana" w:hAnsi="Verdana"/>
          <w:i/>
          <w:iCs/>
          <w:sz w:val="20"/>
          <w:szCs w:val="20"/>
        </w:rPr>
        <w:t xml:space="preserve">y entendiendo que estos, </w:t>
      </w:r>
      <w:r w:rsidRPr="00A7312B">
        <w:rPr>
          <w:rFonts w:ascii="Verdana" w:hAnsi="Verdana"/>
          <w:i/>
          <w:iCs/>
          <w:sz w:val="20"/>
          <w:szCs w:val="20"/>
        </w:rPr>
        <w:t>además</w:t>
      </w:r>
      <w:r w:rsidR="00DF7FED" w:rsidRPr="00A7312B">
        <w:rPr>
          <w:rFonts w:ascii="Verdana" w:hAnsi="Verdana"/>
          <w:i/>
          <w:iCs/>
          <w:sz w:val="20"/>
          <w:szCs w:val="20"/>
        </w:rPr>
        <w:t xml:space="preserve"> de perseguir la finalidad de </w:t>
      </w:r>
      <w:r w:rsidRPr="00A7312B">
        <w:rPr>
          <w:rFonts w:ascii="Verdana" w:hAnsi="Verdana"/>
          <w:i/>
          <w:iCs/>
          <w:sz w:val="20"/>
          <w:szCs w:val="20"/>
        </w:rPr>
        <w:t>cooperación</w:t>
      </w:r>
      <w:r w:rsidR="00DF7FED" w:rsidRPr="00A7312B">
        <w:rPr>
          <w:rFonts w:ascii="Verdana" w:hAnsi="Verdana"/>
          <w:i/>
          <w:iCs/>
          <w:sz w:val="20"/>
          <w:szCs w:val="20"/>
        </w:rPr>
        <w:t xml:space="preserve"> antes indicada, no implican intereses contrapuestos ni tampoco se circunscriben a un </w:t>
      </w:r>
      <w:r w:rsidR="00DF7FED" w:rsidRPr="00A7312B">
        <w:rPr>
          <w:rFonts w:ascii="Verdana" w:hAnsi="Verdana" w:cs="Arial"/>
          <w:i/>
          <w:iCs/>
          <w:sz w:val="20"/>
          <w:szCs w:val="20"/>
        </w:rPr>
        <w:t>“intercambio patrimonial”</w:t>
      </w:r>
      <w:r w:rsidR="00DF7FED" w:rsidRPr="00A7312B">
        <w:rPr>
          <w:rFonts w:ascii="Verdana" w:hAnsi="Verdana"/>
          <w:i/>
          <w:iCs/>
          <w:sz w:val="20"/>
          <w:szCs w:val="20"/>
        </w:rPr>
        <w:t>. Sin perjuicio de lo anterior, en otra oportunidad, la misma Sala</w:t>
      </w:r>
      <w:r w:rsidR="00DF7FED" w:rsidRPr="00490302">
        <w:rPr>
          <w:rFonts w:ascii="Verdana" w:hAnsi="Verdana"/>
          <w:i/>
          <w:iCs/>
          <w:position w:val="8"/>
          <w:sz w:val="14"/>
          <w:szCs w:val="14"/>
          <w:vertAlign w:val="superscript"/>
        </w:rPr>
        <w:t>10</w:t>
      </w:r>
      <w:r w:rsidR="00DF7FED" w:rsidRPr="00490302">
        <w:rPr>
          <w:rFonts w:ascii="Verdana" w:hAnsi="Verdana"/>
          <w:i/>
          <w:iCs/>
          <w:position w:val="8"/>
          <w:sz w:val="14"/>
          <w:szCs w:val="14"/>
        </w:rPr>
        <w:t xml:space="preserve"> </w:t>
      </w:r>
      <w:r w:rsidRPr="00A7312B">
        <w:rPr>
          <w:rFonts w:ascii="Verdana" w:hAnsi="Verdana"/>
          <w:i/>
          <w:iCs/>
          <w:sz w:val="20"/>
          <w:szCs w:val="20"/>
        </w:rPr>
        <w:t>había</w:t>
      </w:r>
      <w:r w:rsidR="00DF7FED" w:rsidRPr="00A7312B">
        <w:rPr>
          <w:rFonts w:ascii="Verdana" w:hAnsi="Verdana"/>
          <w:i/>
          <w:iCs/>
          <w:sz w:val="20"/>
          <w:szCs w:val="20"/>
        </w:rPr>
        <w:t xml:space="preserve"> indicado que, si bien en dichos convenios no se daba un </w:t>
      </w:r>
      <w:r w:rsidR="00DF7FED" w:rsidRPr="00A7312B">
        <w:rPr>
          <w:rFonts w:ascii="Verdana" w:hAnsi="Verdana" w:cs="Arial"/>
          <w:i/>
          <w:iCs/>
          <w:sz w:val="20"/>
          <w:szCs w:val="20"/>
        </w:rPr>
        <w:t>“verdadero intercambio de bienes o servicios (contrato conmutativo)”</w:t>
      </w:r>
      <w:r w:rsidR="00DF7FED" w:rsidRPr="00A7312B">
        <w:rPr>
          <w:rFonts w:ascii="Verdana" w:hAnsi="Verdana"/>
          <w:i/>
          <w:iCs/>
          <w:sz w:val="20"/>
          <w:szCs w:val="20"/>
        </w:rPr>
        <w:t xml:space="preserve">, ello no </w:t>
      </w:r>
      <w:r w:rsidRPr="00A7312B">
        <w:rPr>
          <w:rFonts w:ascii="Verdana" w:hAnsi="Verdana"/>
          <w:i/>
          <w:iCs/>
          <w:sz w:val="20"/>
          <w:szCs w:val="20"/>
        </w:rPr>
        <w:t>impedía</w:t>
      </w:r>
      <w:r w:rsidR="00DF7FED" w:rsidRPr="00A7312B">
        <w:rPr>
          <w:rFonts w:ascii="Verdana" w:hAnsi="Verdana"/>
          <w:i/>
          <w:iCs/>
          <w:sz w:val="20"/>
          <w:szCs w:val="20"/>
        </w:rPr>
        <w:t xml:space="preserve"> que se conviniera una </w:t>
      </w:r>
      <w:r w:rsidRPr="00A7312B">
        <w:rPr>
          <w:rFonts w:ascii="Verdana" w:hAnsi="Verdana"/>
          <w:i/>
          <w:iCs/>
          <w:sz w:val="20"/>
          <w:szCs w:val="20"/>
        </w:rPr>
        <w:t>remuneración</w:t>
      </w:r>
      <w:r w:rsidR="00DF7FED" w:rsidRPr="00A7312B">
        <w:rPr>
          <w:rFonts w:ascii="Verdana" w:hAnsi="Verdana"/>
          <w:i/>
          <w:iCs/>
          <w:sz w:val="20"/>
          <w:szCs w:val="20"/>
        </w:rPr>
        <w:t xml:space="preserve"> a cargo de alguna(s) entidad(es). </w:t>
      </w:r>
    </w:p>
    <w:p w14:paraId="3D57CC32" w14:textId="2CCC5091" w:rsidR="00DF7FED" w:rsidRPr="00FA72EC" w:rsidRDefault="00DF7FED" w:rsidP="00E36C2C">
      <w:pPr>
        <w:pStyle w:val="NormalWeb"/>
        <w:ind w:left="1020" w:right="709"/>
        <w:jc w:val="both"/>
        <w:rPr>
          <w:rFonts w:ascii="Verdana" w:hAnsi="Verdana"/>
          <w:i/>
          <w:iCs/>
          <w:sz w:val="20"/>
          <w:szCs w:val="20"/>
        </w:rPr>
      </w:pPr>
      <w:r w:rsidRPr="00FA72EC">
        <w:rPr>
          <w:rFonts w:ascii="Verdana" w:hAnsi="Verdana"/>
          <w:i/>
          <w:iCs/>
          <w:sz w:val="20"/>
          <w:szCs w:val="20"/>
        </w:rPr>
        <w:t xml:space="preserve">Lo expuesto evidencia que, en general, las interpretaciones en torno a los </w:t>
      </w:r>
      <w:r w:rsidRPr="00FA72EC">
        <w:rPr>
          <w:rFonts w:ascii="Verdana" w:hAnsi="Verdana" w:cs="Arial"/>
          <w:i/>
          <w:iCs/>
          <w:sz w:val="20"/>
          <w:szCs w:val="20"/>
        </w:rPr>
        <w:t xml:space="preserve">“convenios interadministrativos” </w:t>
      </w:r>
      <w:r w:rsidRPr="00FA72EC">
        <w:rPr>
          <w:rFonts w:ascii="Verdana" w:hAnsi="Verdana"/>
          <w:i/>
          <w:iCs/>
          <w:sz w:val="20"/>
          <w:szCs w:val="20"/>
        </w:rPr>
        <w:t xml:space="preserve">previstos en el </w:t>
      </w:r>
      <w:r w:rsidR="001A6891" w:rsidRPr="00FA72EC">
        <w:rPr>
          <w:rFonts w:ascii="Verdana" w:hAnsi="Verdana"/>
          <w:i/>
          <w:iCs/>
          <w:sz w:val="20"/>
          <w:szCs w:val="20"/>
        </w:rPr>
        <w:t>artículo</w:t>
      </w:r>
      <w:r w:rsidRPr="00FA72EC">
        <w:rPr>
          <w:rFonts w:ascii="Verdana" w:hAnsi="Verdana"/>
          <w:i/>
          <w:iCs/>
          <w:sz w:val="20"/>
          <w:szCs w:val="20"/>
        </w:rPr>
        <w:t xml:space="preserve"> 95 de la Ley 489 de 1998, en el </w:t>
      </w:r>
      <w:r w:rsidR="001A6891" w:rsidRPr="00FA72EC">
        <w:rPr>
          <w:rFonts w:ascii="Verdana" w:hAnsi="Verdana"/>
          <w:i/>
          <w:iCs/>
          <w:sz w:val="20"/>
          <w:szCs w:val="20"/>
        </w:rPr>
        <w:t>propósito</w:t>
      </w:r>
      <w:r w:rsidRPr="00FA72EC">
        <w:rPr>
          <w:rFonts w:ascii="Verdana" w:hAnsi="Verdana"/>
          <w:i/>
          <w:iCs/>
          <w:sz w:val="20"/>
          <w:szCs w:val="20"/>
        </w:rPr>
        <w:t xml:space="preserve"> de encasillarlos dentro de una </w:t>
      </w:r>
      <w:r w:rsidR="001A6891" w:rsidRPr="00FA72EC">
        <w:rPr>
          <w:rFonts w:ascii="Verdana" w:hAnsi="Verdana"/>
          <w:i/>
          <w:iCs/>
          <w:sz w:val="20"/>
          <w:szCs w:val="20"/>
        </w:rPr>
        <w:t>categoría</w:t>
      </w:r>
      <w:r w:rsidRPr="00FA72EC">
        <w:rPr>
          <w:rFonts w:ascii="Verdana" w:hAnsi="Verdana"/>
          <w:i/>
          <w:iCs/>
          <w:sz w:val="20"/>
          <w:szCs w:val="20"/>
        </w:rPr>
        <w:t xml:space="preserve"> normativa delimitada en su estructura, elementos y </w:t>
      </w:r>
      <w:r w:rsidR="001A6891" w:rsidRPr="00FA72EC">
        <w:rPr>
          <w:rFonts w:ascii="Verdana" w:hAnsi="Verdana"/>
          <w:i/>
          <w:iCs/>
          <w:sz w:val="20"/>
          <w:szCs w:val="20"/>
        </w:rPr>
        <w:t>régimen</w:t>
      </w:r>
      <w:r w:rsidRPr="00FA72EC">
        <w:rPr>
          <w:rFonts w:ascii="Verdana" w:hAnsi="Verdana"/>
          <w:i/>
          <w:iCs/>
          <w:sz w:val="20"/>
          <w:szCs w:val="20"/>
        </w:rPr>
        <w:t xml:space="preserve"> </w:t>
      </w:r>
      <w:r w:rsidR="001A6891" w:rsidRPr="00FA72EC">
        <w:rPr>
          <w:rFonts w:ascii="Verdana" w:hAnsi="Verdana"/>
          <w:i/>
          <w:iCs/>
          <w:sz w:val="20"/>
          <w:szCs w:val="20"/>
        </w:rPr>
        <w:t>jurídico</w:t>
      </w:r>
      <w:r w:rsidRPr="00FA72EC">
        <w:rPr>
          <w:rFonts w:ascii="Verdana" w:hAnsi="Verdana"/>
          <w:i/>
          <w:iCs/>
          <w:sz w:val="20"/>
          <w:szCs w:val="20"/>
        </w:rPr>
        <w:t xml:space="preserve">, han sido dubitativas al vincular o no las obligaciones propias </w:t>
      </w:r>
      <w:r w:rsidRPr="00FA72EC">
        <w:rPr>
          <w:rFonts w:ascii="Verdana" w:hAnsi="Verdana"/>
          <w:i/>
          <w:iCs/>
          <w:sz w:val="20"/>
          <w:szCs w:val="20"/>
        </w:rPr>
        <w:lastRenderedPageBreak/>
        <w:t>de dichos convenios con las de los contratos estatales sometidos al EGCAP, las cuales tienen por objeto prestaciones patrimoniales</w:t>
      </w:r>
      <w:r w:rsidRPr="00FA72EC">
        <w:rPr>
          <w:rStyle w:val="Refdenotaalpie"/>
          <w:rFonts w:ascii="Verdana" w:hAnsi="Verdana"/>
          <w:i/>
          <w:iCs/>
          <w:sz w:val="20"/>
          <w:szCs w:val="20"/>
        </w:rPr>
        <w:footnoteReference w:id="11"/>
      </w:r>
      <w:r w:rsidR="001A6891" w:rsidRPr="00FA72EC">
        <w:rPr>
          <w:rFonts w:ascii="Verdana" w:eastAsia="Aptos" w:hAnsi="Verdana" w:cs="Arial"/>
          <w:sz w:val="20"/>
          <w:szCs w:val="20"/>
        </w:rPr>
        <w:t xml:space="preserve"> […]”</w:t>
      </w:r>
    </w:p>
    <w:p w14:paraId="2B7B9635" w14:textId="7A04DD09" w:rsidR="0010783A" w:rsidRPr="00FA72EC" w:rsidRDefault="00DF7FED" w:rsidP="001A6891">
      <w:pPr>
        <w:pStyle w:val="NormalWeb"/>
        <w:numPr>
          <w:ilvl w:val="0"/>
          <w:numId w:val="25"/>
        </w:numPr>
        <w:spacing w:line="276" w:lineRule="auto"/>
        <w:jc w:val="both"/>
        <w:rPr>
          <w:rFonts w:ascii="Verdana" w:hAnsi="Verdana" w:cs="Arial"/>
        </w:rPr>
      </w:pPr>
      <w:r w:rsidRPr="00FA72EC">
        <w:rPr>
          <w:rFonts w:ascii="Verdana" w:hAnsi="Verdana"/>
          <w:sz w:val="22"/>
          <w:szCs w:val="22"/>
        </w:rPr>
        <w:t xml:space="preserve">De tal manera que, en el contrato interadministrativo las finalidades de las partes divergen, en el convenio convergen y cooperan en </w:t>
      </w:r>
      <w:r w:rsidR="005E766E" w:rsidRPr="00FA72EC">
        <w:rPr>
          <w:rFonts w:ascii="Verdana" w:hAnsi="Verdana"/>
          <w:sz w:val="22"/>
          <w:szCs w:val="22"/>
        </w:rPr>
        <w:t>función</w:t>
      </w:r>
      <w:r w:rsidRPr="00FA72EC">
        <w:rPr>
          <w:rFonts w:ascii="Verdana" w:hAnsi="Verdana"/>
          <w:sz w:val="22"/>
          <w:szCs w:val="22"/>
        </w:rPr>
        <w:t xml:space="preserve"> del cumplimiento eficiente de un </w:t>
      </w:r>
      <w:r w:rsidR="005E766E" w:rsidRPr="00FA72EC">
        <w:rPr>
          <w:rFonts w:ascii="Verdana" w:hAnsi="Verdana"/>
          <w:sz w:val="22"/>
          <w:szCs w:val="22"/>
        </w:rPr>
        <w:t>propósito</w:t>
      </w:r>
      <w:r w:rsidRPr="00FA72EC">
        <w:rPr>
          <w:rFonts w:ascii="Verdana" w:hAnsi="Verdana"/>
          <w:sz w:val="22"/>
          <w:szCs w:val="22"/>
        </w:rPr>
        <w:t xml:space="preserve"> estatal </w:t>
      </w:r>
      <w:r w:rsidR="005E766E" w:rsidRPr="00FA72EC">
        <w:rPr>
          <w:rFonts w:ascii="Verdana" w:hAnsi="Verdana"/>
          <w:sz w:val="22"/>
          <w:szCs w:val="22"/>
        </w:rPr>
        <w:t>común</w:t>
      </w:r>
      <w:r w:rsidRPr="00FA72EC">
        <w:rPr>
          <w:rFonts w:ascii="Verdana" w:hAnsi="Verdana"/>
          <w:sz w:val="22"/>
          <w:szCs w:val="22"/>
        </w:rPr>
        <w:t xml:space="preserve"> superior. En esa </w:t>
      </w:r>
      <w:r w:rsidR="005E766E" w:rsidRPr="00FA72EC">
        <w:rPr>
          <w:rFonts w:ascii="Verdana" w:hAnsi="Verdana"/>
          <w:sz w:val="22"/>
          <w:szCs w:val="22"/>
        </w:rPr>
        <w:t>línea</w:t>
      </w:r>
      <w:r w:rsidRPr="00FA72EC">
        <w:rPr>
          <w:rFonts w:ascii="Verdana" w:hAnsi="Verdana"/>
          <w:sz w:val="22"/>
          <w:szCs w:val="22"/>
        </w:rPr>
        <w:t xml:space="preserve">, una </w:t>
      </w:r>
      <w:r w:rsidR="005E766E" w:rsidRPr="00FA72EC">
        <w:rPr>
          <w:rFonts w:ascii="Verdana" w:hAnsi="Verdana"/>
          <w:sz w:val="22"/>
          <w:szCs w:val="22"/>
        </w:rPr>
        <w:t>interpretación</w:t>
      </w:r>
      <w:r w:rsidRPr="00FA72EC">
        <w:rPr>
          <w:rFonts w:ascii="Verdana" w:hAnsi="Verdana"/>
          <w:sz w:val="22"/>
          <w:szCs w:val="22"/>
        </w:rPr>
        <w:t xml:space="preserve"> </w:t>
      </w:r>
      <w:r w:rsidR="005E766E" w:rsidRPr="00FA72EC">
        <w:rPr>
          <w:rFonts w:ascii="Verdana" w:hAnsi="Verdana"/>
          <w:sz w:val="22"/>
          <w:szCs w:val="22"/>
        </w:rPr>
        <w:t>sistemática</w:t>
      </w:r>
      <w:r w:rsidRPr="00FA72EC">
        <w:rPr>
          <w:rFonts w:ascii="Verdana" w:hAnsi="Verdana"/>
          <w:sz w:val="22"/>
          <w:szCs w:val="22"/>
        </w:rPr>
        <w:t xml:space="preserve"> de las leyes 80 de 1993, 1150 de 2007 y 1474 de 2011, </w:t>
      </w:r>
      <w:r w:rsidR="005E766E" w:rsidRPr="00FA72EC">
        <w:rPr>
          <w:rFonts w:ascii="Verdana" w:hAnsi="Verdana"/>
          <w:sz w:val="22"/>
          <w:szCs w:val="22"/>
        </w:rPr>
        <w:t>invitaría</w:t>
      </w:r>
      <w:r w:rsidRPr="00FA72EC">
        <w:rPr>
          <w:rFonts w:ascii="Verdana" w:hAnsi="Verdana"/>
          <w:sz w:val="22"/>
          <w:szCs w:val="22"/>
        </w:rPr>
        <w:t xml:space="preserve"> a considerar el contrato interadministrativo como una </w:t>
      </w:r>
      <w:r w:rsidR="005E766E" w:rsidRPr="00FA72EC">
        <w:rPr>
          <w:rFonts w:ascii="Verdana" w:hAnsi="Verdana"/>
          <w:sz w:val="22"/>
          <w:szCs w:val="22"/>
        </w:rPr>
        <w:t>relación</w:t>
      </w:r>
      <w:r w:rsidRPr="00FA72EC">
        <w:rPr>
          <w:rFonts w:ascii="Verdana" w:hAnsi="Verdana"/>
          <w:sz w:val="22"/>
          <w:szCs w:val="22"/>
        </w:rPr>
        <w:t xml:space="preserve"> </w:t>
      </w:r>
      <w:r w:rsidR="005E766E" w:rsidRPr="00FA72EC">
        <w:rPr>
          <w:rFonts w:ascii="Verdana" w:hAnsi="Verdana"/>
          <w:sz w:val="22"/>
          <w:szCs w:val="22"/>
        </w:rPr>
        <w:t>jurídica</w:t>
      </w:r>
      <w:r w:rsidRPr="00FA72EC">
        <w:rPr>
          <w:rFonts w:ascii="Verdana" w:hAnsi="Verdana"/>
          <w:sz w:val="22"/>
          <w:szCs w:val="22"/>
        </w:rPr>
        <w:t xml:space="preserve"> patrimonial, onerosa, en la que existe una </w:t>
      </w:r>
      <w:r w:rsidR="005E766E" w:rsidRPr="00FA72EC">
        <w:rPr>
          <w:rFonts w:ascii="Verdana" w:hAnsi="Verdana"/>
          <w:sz w:val="22"/>
          <w:szCs w:val="22"/>
        </w:rPr>
        <w:t>relación</w:t>
      </w:r>
      <w:r w:rsidRPr="00FA72EC">
        <w:rPr>
          <w:rFonts w:ascii="Verdana" w:hAnsi="Verdana"/>
          <w:sz w:val="22"/>
          <w:szCs w:val="22"/>
        </w:rPr>
        <w:t xml:space="preserve"> de </w:t>
      </w:r>
      <w:r w:rsidR="005E766E" w:rsidRPr="00FA72EC">
        <w:rPr>
          <w:rFonts w:ascii="Verdana" w:hAnsi="Verdana"/>
          <w:sz w:val="22"/>
          <w:szCs w:val="22"/>
        </w:rPr>
        <w:t>subordinación</w:t>
      </w:r>
      <w:r w:rsidRPr="00FA72EC">
        <w:rPr>
          <w:rFonts w:ascii="Verdana" w:hAnsi="Verdana"/>
          <w:sz w:val="22"/>
          <w:szCs w:val="22"/>
        </w:rPr>
        <w:t xml:space="preserve"> que cuenta con unas exigencias y restricciones normativas adicionales de manera que, en efecto, dista de la naturaleza y esencia del convenio interadministrativo. </w:t>
      </w:r>
    </w:p>
    <w:p w14:paraId="5818CB14" w14:textId="77777777" w:rsidR="00E65151" w:rsidRPr="00FA72EC" w:rsidRDefault="00022C9D" w:rsidP="00E65151">
      <w:pPr>
        <w:pStyle w:val="Prrafodelista"/>
        <w:numPr>
          <w:ilvl w:val="0"/>
          <w:numId w:val="20"/>
        </w:numPr>
        <w:spacing w:after="0" w:line="276" w:lineRule="auto"/>
        <w:jc w:val="both"/>
        <w:rPr>
          <w:rFonts w:ascii="Verdana" w:hAnsi="Verdana"/>
        </w:rPr>
      </w:pPr>
      <w:r w:rsidRPr="00FA72EC">
        <w:rPr>
          <w:rFonts w:ascii="Verdana" w:eastAsia="Times New Roman" w:hAnsi="Verdana" w:cs="Arial"/>
          <w:lang w:eastAsia="es-CO"/>
        </w:rPr>
        <w:t>Con todo</w:t>
      </w:r>
      <w:r w:rsidR="0010783A" w:rsidRPr="00FA72EC">
        <w:rPr>
          <w:rFonts w:ascii="Verdana" w:eastAsia="Times New Roman" w:hAnsi="Verdana" w:cs="Arial"/>
          <w:lang w:eastAsia="es-CO"/>
        </w:rPr>
        <w:t xml:space="preserve">, conviene insistir en que los convenios interadministrativos no son contratos sinalagmáticos, esto quiere decir que no existen intereses contrapuestos sino un interés común, lo que significa que, en los eventos en que su celebración conlleve el compromiso y la ejecución del recursos públicos, el valor de éstos no puede destinarse al pago o remuneración de ninguna de las partes, sino que debe corresponder, necesariamente a la asunción de costos y gastos para cumplir las funciones de la respectiva entidad y para atender  los compromisos adquiridos para con a otra, pues las entidades cooperan entre sí, no se prestan servicios ni se ofrecen bienes a cambio de una remuneración y, por esa razón, los recursos comprometidos a través de los convenios interadministrativos no constituyen un pago, sino un aporte para lograr el cometido común. </w:t>
      </w:r>
    </w:p>
    <w:p w14:paraId="3C3BE8FE" w14:textId="77777777" w:rsidR="00E65151" w:rsidRPr="00FA72EC" w:rsidRDefault="00E65151" w:rsidP="00E65151">
      <w:pPr>
        <w:pStyle w:val="Prrafodelista"/>
        <w:spacing w:after="0" w:line="276" w:lineRule="auto"/>
        <w:ind w:left="360"/>
        <w:jc w:val="both"/>
        <w:rPr>
          <w:rFonts w:ascii="Verdana" w:hAnsi="Verdana"/>
        </w:rPr>
      </w:pPr>
    </w:p>
    <w:p w14:paraId="2C52CCB2" w14:textId="7C2FFD63" w:rsidR="00766855" w:rsidRPr="00FA72EC" w:rsidRDefault="00766855" w:rsidP="00E65151">
      <w:pPr>
        <w:pStyle w:val="Prrafodelista"/>
        <w:numPr>
          <w:ilvl w:val="0"/>
          <w:numId w:val="20"/>
        </w:numPr>
        <w:spacing w:after="0" w:line="276" w:lineRule="auto"/>
        <w:jc w:val="both"/>
        <w:rPr>
          <w:rFonts w:ascii="Verdana" w:hAnsi="Verdana"/>
        </w:rPr>
      </w:pPr>
      <w:r w:rsidRPr="00FA72EC">
        <w:rPr>
          <w:rFonts w:ascii="Verdana" w:hAnsi="Verdana"/>
        </w:rPr>
        <w:t xml:space="preserve">Por otro lado, </w:t>
      </w:r>
      <w:r w:rsidRPr="00FA72EC">
        <w:rPr>
          <w:rFonts w:ascii="Verdana" w:eastAsia="Century Gothic" w:hAnsi="Verdana" w:cs="Century Gothic"/>
        </w:rPr>
        <w:t xml:space="preserve">respecto a la transición </w:t>
      </w:r>
      <w:r w:rsidR="00BB309D" w:rsidRPr="00FA72EC">
        <w:rPr>
          <w:rFonts w:ascii="Verdana" w:eastAsia="Century Gothic" w:hAnsi="Verdana" w:cs="Century Gothic"/>
        </w:rPr>
        <w:t>energética, esta</w:t>
      </w:r>
      <w:r w:rsidRPr="00FA72EC">
        <w:rPr>
          <w:rFonts w:ascii="Verdana" w:eastAsia="Century Gothic" w:hAnsi="Verdana" w:cs="Century Gothic"/>
        </w:rPr>
        <w:t xml:space="preserve"> se define como el conjunto de cambios en los modelos de producción, distribución y consumo de energía para alcanzar una mayor sostenibilidad</w:t>
      </w:r>
      <w:r w:rsidRPr="00FA72EC">
        <w:rPr>
          <w:rFonts w:ascii="Verdana" w:eastAsia="Century Gothic" w:hAnsi="Verdana" w:cs="Century Gothic"/>
          <w:b/>
          <w:bCs/>
        </w:rPr>
        <w:t>.</w:t>
      </w:r>
      <w:r w:rsidRPr="00FA72EC">
        <w:rPr>
          <w:rFonts w:ascii="Verdana" w:eastAsia="Century Gothic" w:hAnsi="Verdana" w:cs="Century Gothic"/>
        </w:rPr>
        <w:t xml:space="preserve">  Consiste en cambiar paulatinamente los suministros de energía provenientes de los combustibles </w:t>
      </w:r>
      <w:r w:rsidRPr="00FA72EC">
        <w:rPr>
          <w:rFonts w:ascii="Verdana" w:eastAsia="Century Gothic" w:hAnsi="Verdana" w:cs="Century Gothic"/>
        </w:rPr>
        <w:lastRenderedPageBreak/>
        <w:t>fósiles -como el gas, petróleo y carbón- por energías renovables, como el hidrógeno, la energía eólica, la solar y el biogás, entre otras fuentes, con el fin de reducir las emisiones de gases de efecto invernadero y, por ende, el calentamiento global. </w:t>
      </w:r>
      <w:r w:rsidRPr="00FA72EC">
        <w:rPr>
          <w:rStyle w:val="Refdenotaalpie"/>
          <w:rFonts w:ascii="Verdana" w:eastAsia="Century Gothic" w:hAnsi="Verdana" w:cs="Century Gothic"/>
          <w:lang w:val="es-CO"/>
        </w:rPr>
        <w:footnoteReference w:id="12"/>
      </w:r>
    </w:p>
    <w:p w14:paraId="7F83989C" w14:textId="77777777" w:rsidR="00766855" w:rsidRPr="00FA72EC" w:rsidRDefault="00766855" w:rsidP="00766855">
      <w:pPr>
        <w:pStyle w:val="Prrafodelista"/>
        <w:rPr>
          <w:rFonts w:ascii="Verdana" w:eastAsia="Century Gothic" w:hAnsi="Verdana" w:cs="Century Gothic"/>
        </w:rPr>
      </w:pPr>
    </w:p>
    <w:p w14:paraId="7682919A" w14:textId="77777777" w:rsidR="00766855" w:rsidRPr="00FA72EC" w:rsidRDefault="00766855" w:rsidP="00766855">
      <w:pPr>
        <w:pStyle w:val="Prrafodelista"/>
        <w:numPr>
          <w:ilvl w:val="0"/>
          <w:numId w:val="20"/>
        </w:numPr>
        <w:spacing w:line="276" w:lineRule="auto"/>
        <w:jc w:val="both"/>
        <w:rPr>
          <w:rFonts w:ascii="Verdana" w:eastAsia="Century Gothic" w:hAnsi="Verdana" w:cs="Century Gothic"/>
          <w:lang w:val="es-CO"/>
        </w:rPr>
      </w:pPr>
      <w:r w:rsidRPr="00FA72EC">
        <w:rPr>
          <w:rFonts w:ascii="Verdana" w:eastAsia="Century Gothic" w:hAnsi="Verdana" w:cs="Century Gothic"/>
        </w:rPr>
        <w:t>Lo anterior, alineado con la meta de reducción de emisiones de gases de efecto invernadero a 2050 que se plantearon los países en la Cumbre para la Acción Climática de las Naciones Unidas. Esto está atado a un componente de innovación, que ha dado origen, por ejemplo, a la electromovilidad y a la autogeneración de energía para las actividades cotidianas. </w:t>
      </w:r>
    </w:p>
    <w:p w14:paraId="0A18C7BF" w14:textId="77777777" w:rsidR="00766855" w:rsidRPr="00FA72EC" w:rsidRDefault="00766855" w:rsidP="00766855">
      <w:pPr>
        <w:pStyle w:val="Prrafodelista"/>
        <w:rPr>
          <w:rFonts w:ascii="Verdana" w:eastAsia="Century Gothic" w:hAnsi="Verdana" w:cs="Century Gothic"/>
        </w:rPr>
      </w:pPr>
    </w:p>
    <w:p w14:paraId="73B3952B" w14:textId="77777777" w:rsidR="00766855" w:rsidRPr="00FA72EC" w:rsidRDefault="00766855" w:rsidP="00766855">
      <w:pPr>
        <w:pStyle w:val="Prrafodelista"/>
        <w:numPr>
          <w:ilvl w:val="0"/>
          <w:numId w:val="20"/>
        </w:numPr>
        <w:spacing w:line="276" w:lineRule="auto"/>
        <w:jc w:val="both"/>
        <w:rPr>
          <w:rFonts w:ascii="Verdana" w:eastAsia="Century Gothic" w:hAnsi="Verdana" w:cs="Century Gothic"/>
          <w:lang w:val="es-CO"/>
        </w:rPr>
      </w:pPr>
      <w:r w:rsidRPr="00FA72EC">
        <w:rPr>
          <w:rFonts w:ascii="Verdana" w:eastAsia="Century Gothic" w:hAnsi="Verdana" w:cs="Century Gothic"/>
        </w:rPr>
        <w:t>Además de inversión y tecnología para implementar con celeridad los proyectos, la transición requiere una voluntad de los gobiernos y las comunidades para su avance, pues, al menos en Colombia, la puesta en marcha de los proyectos de generación de estas nuevas energías involucra consulta previa como requisito para el licenciamiento ambiental. </w:t>
      </w:r>
    </w:p>
    <w:p w14:paraId="4B6E87F5" w14:textId="77777777" w:rsidR="00766855" w:rsidRPr="00FA72EC" w:rsidRDefault="00766855" w:rsidP="00766855">
      <w:pPr>
        <w:pStyle w:val="Prrafodelista"/>
        <w:rPr>
          <w:rFonts w:ascii="Verdana" w:eastAsia="Century Gothic" w:hAnsi="Verdana" w:cs="Century Gothic"/>
        </w:rPr>
      </w:pPr>
    </w:p>
    <w:p w14:paraId="6A62AD39" w14:textId="77777777" w:rsidR="00766855" w:rsidRPr="00FA72EC" w:rsidRDefault="00766855" w:rsidP="00766855">
      <w:pPr>
        <w:pStyle w:val="Prrafodelista"/>
        <w:numPr>
          <w:ilvl w:val="0"/>
          <w:numId w:val="20"/>
        </w:numPr>
        <w:spacing w:after="0" w:line="276" w:lineRule="auto"/>
        <w:jc w:val="both"/>
        <w:rPr>
          <w:rFonts w:ascii="Verdana" w:hAnsi="Verdana"/>
        </w:rPr>
      </w:pPr>
      <w:r w:rsidRPr="00FA72EC">
        <w:rPr>
          <w:rFonts w:ascii="Verdana" w:eastAsia="Century Gothic" w:hAnsi="Verdana" w:cs="Century Gothic"/>
        </w:rPr>
        <w:t>En virtud del compromiso del Estado frente a la transición energética, el parágrafo segundo del artículo 10 de la Ley 2099 de 2021, faculta a las Entidades Estatales sometidas a la Ley 80 de 1993, a celebrar de manera directa convenios y contratos con el FENOGE para la ejecución de planes, programas y/o proyectos, así como los recursos destinados a la promoción y desarrollo de Fuentes No Convencionales de energía, y Gestión Eficiente de la energía</w:t>
      </w:r>
    </w:p>
    <w:p w14:paraId="669C6123" w14:textId="77777777" w:rsidR="00766855" w:rsidRPr="00FA72EC" w:rsidRDefault="00766855" w:rsidP="00766855">
      <w:pPr>
        <w:pStyle w:val="Prrafodelista"/>
        <w:rPr>
          <w:rFonts w:ascii="Verdana" w:hAnsi="Verdana"/>
        </w:rPr>
      </w:pPr>
    </w:p>
    <w:p w14:paraId="1847581B" w14:textId="1F38941E" w:rsidR="00766855" w:rsidRPr="00FA72EC" w:rsidRDefault="00314734" w:rsidP="00766855">
      <w:pPr>
        <w:pStyle w:val="Prrafodelista"/>
        <w:numPr>
          <w:ilvl w:val="0"/>
          <w:numId w:val="20"/>
        </w:numPr>
        <w:spacing w:after="0" w:line="276" w:lineRule="auto"/>
        <w:jc w:val="both"/>
        <w:rPr>
          <w:rFonts w:ascii="Verdana" w:hAnsi="Verdana"/>
        </w:rPr>
      </w:pPr>
      <w:r w:rsidRPr="00FA72EC">
        <w:rPr>
          <w:rFonts w:ascii="Verdana" w:hAnsi="Verdana"/>
        </w:rPr>
        <w:t>Así</w:t>
      </w:r>
      <w:r w:rsidR="00766855" w:rsidRPr="00FA72EC">
        <w:rPr>
          <w:rFonts w:ascii="Verdana" w:hAnsi="Verdana"/>
        </w:rPr>
        <w:t xml:space="preserve"> mismo, el Plan Nacional de Desarrollo (PND) 2022-2026 establece como uno de sus catalizadores la “</w:t>
      </w:r>
      <w:r w:rsidRPr="00FA72EC">
        <w:rPr>
          <w:rFonts w:ascii="Verdana" w:hAnsi="Verdana"/>
        </w:rPr>
        <w:t>Transición</w:t>
      </w:r>
      <w:r w:rsidR="00766855" w:rsidRPr="00FA72EC">
        <w:rPr>
          <w:rFonts w:ascii="Verdana" w:hAnsi="Verdana"/>
        </w:rPr>
        <w:t xml:space="preserve"> </w:t>
      </w:r>
      <w:r w:rsidRPr="00FA72EC">
        <w:rPr>
          <w:rFonts w:ascii="Verdana" w:hAnsi="Verdana"/>
        </w:rPr>
        <w:t>energética</w:t>
      </w:r>
      <w:r w:rsidR="00766855" w:rsidRPr="00FA72EC">
        <w:rPr>
          <w:rFonts w:ascii="Verdana" w:hAnsi="Verdana"/>
        </w:rPr>
        <w:t xml:space="preserve"> justa, segura, confiable y eficiente”, que a su vez integra dentro de sus pilares el “Desarrollo </w:t>
      </w:r>
      <w:r w:rsidRPr="00FA72EC">
        <w:rPr>
          <w:rFonts w:ascii="Verdana" w:hAnsi="Verdana"/>
        </w:rPr>
        <w:t>económico</w:t>
      </w:r>
      <w:r w:rsidR="00766855" w:rsidRPr="00FA72EC">
        <w:rPr>
          <w:rFonts w:ascii="Verdana" w:hAnsi="Verdana"/>
        </w:rPr>
        <w:t xml:space="preserve"> a partir de eficiencia </w:t>
      </w:r>
      <w:r w:rsidRPr="00FA72EC">
        <w:rPr>
          <w:rFonts w:ascii="Verdana" w:hAnsi="Verdana"/>
        </w:rPr>
        <w:t>energética</w:t>
      </w:r>
      <w:r w:rsidR="00766855" w:rsidRPr="00FA72EC">
        <w:rPr>
          <w:rFonts w:ascii="Verdana" w:hAnsi="Verdana"/>
        </w:rPr>
        <w:t xml:space="preserve">, nuevos </w:t>
      </w:r>
      <w:r w:rsidRPr="00FA72EC">
        <w:rPr>
          <w:rFonts w:ascii="Verdana" w:hAnsi="Verdana"/>
        </w:rPr>
        <w:t>energéticos</w:t>
      </w:r>
      <w:r w:rsidR="00766855" w:rsidRPr="00FA72EC">
        <w:rPr>
          <w:rFonts w:ascii="Verdana" w:hAnsi="Verdana"/>
        </w:rPr>
        <w:t xml:space="preserve"> y minerales </w:t>
      </w:r>
      <w:r w:rsidRPr="00FA72EC">
        <w:rPr>
          <w:rFonts w:ascii="Verdana" w:hAnsi="Verdana"/>
        </w:rPr>
        <w:t>estratégicos</w:t>
      </w:r>
      <w:r w:rsidR="00766855" w:rsidRPr="00FA72EC">
        <w:rPr>
          <w:rFonts w:ascii="Verdana" w:hAnsi="Verdana"/>
        </w:rPr>
        <w:t xml:space="preserve"> para la </w:t>
      </w:r>
      <w:r w:rsidRPr="00FA72EC">
        <w:rPr>
          <w:rFonts w:ascii="Verdana" w:hAnsi="Verdana"/>
        </w:rPr>
        <w:t>transición</w:t>
      </w:r>
      <w:r w:rsidR="00766855" w:rsidRPr="00FA72EC">
        <w:rPr>
          <w:rFonts w:ascii="Verdana" w:hAnsi="Verdana"/>
        </w:rPr>
        <w:t xml:space="preserve">” con el que se pretende impulsar el uso de </w:t>
      </w:r>
      <w:r w:rsidRPr="00FA72EC">
        <w:rPr>
          <w:rFonts w:ascii="Verdana" w:hAnsi="Verdana"/>
        </w:rPr>
        <w:t>tecnología</w:t>
      </w:r>
      <w:r w:rsidR="00766855" w:rsidRPr="00FA72EC">
        <w:rPr>
          <w:rFonts w:ascii="Verdana" w:hAnsi="Verdana"/>
        </w:rPr>
        <w:t xml:space="preserve"> para nuevas fuentes de </w:t>
      </w:r>
      <w:r w:rsidRPr="00FA72EC">
        <w:rPr>
          <w:rFonts w:ascii="Verdana" w:hAnsi="Verdana"/>
        </w:rPr>
        <w:t>energía</w:t>
      </w:r>
      <w:r w:rsidR="00766855" w:rsidRPr="00FA72EC">
        <w:rPr>
          <w:rFonts w:ascii="Verdana" w:hAnsi="Verdana"/>
        </w:rPr>
        <w:t xml:space="preserve"> renovables y no renovables que le permitan al </w:t>
      </w:r>
      <w:r w:rsidRPr="00FA72EC">
        <w:rPr>
          <w:rFonts w:ascii="Verdana" w:hAnsi="Verdana"/>
        </w:rPr>
        <w:t>país</w:t>
      </w:r>
      <w:r w:rsidR="00766855" w:rsidRPr="00FA72EC">
        <w:rPr>
          <w:rFonts w:ascii="Verdana" w:hAnsi="Verdana"/>
        </w:rPr>
        <w:t xml:space="preserve"> tener una infraestructura </w:t>
      </w:r>
      <w:r w:rsidRPr="00FA72EC">
        <w:rPr>
          <w:rFonts w:ascii="Verdana" w:hAnsi="Verdana"/>
        </w:rPr>
        <w:t>sólida</w:t>
      </w:r>
      <w:r w:rsidR="00766855" w:rsidRPr="00FA72EC">
        <w:rPr>
          <w:rFonts w:ascii="Verdana" w:hAnsi="Verdana"/>
        </w:rPr>
        <w:t xml:space="preserve"> para cumplir con la demanda </w:t>
      </w:r>
      <w:r w:rsidRPr="00FA72EC">
        <w:rPr>
          <w:rFonts w:ascii="Verdana" w:hAnsi="Verdana"/>
        </w:rPr>
        <w:t>energética</w:t>
      </w:r>
      <w:r w:rsidR="00766855" w:rsidRPr="00FA72EC">
        <w:rPr>
          <w:rFonts w:ascii="Verdana" w:hAnsi="Verdana"/>
        </w:rPr>
        <w:t xml:space="preserve"> atendiendo la particularidad de los territorios, a la vez que se adelantan </w:t>
      </w:r>
      <w:r w:rsidR="00766855" w:rsidRPr="00FA72EC">
        <w:rPr>
          <w:rFonts w:ascii="Verdana" w:hAnsi="Verdana"/>
        </w:rPr>
        <w:lastRenderedPageBreak/>
        <w:t xml:space="preserve">acciones de sustitución en el consumo de combustibles </w:t>
      </w:r>
      <w:r w:rsidRPr="00FA72EC">
        <w:rPr>
          <w:rFonts w:ascii="Verdana" w:hAnsi="Verdana"/>
        </w:rPr>
        <w:t>fósiles</w:t>
      </w:r>
      <w:r w:rsidR="00766855" w:rsidRPr="00FA72EC">
        <w:rPr>
          <w:rFonts w:ascii="Verdana" w:hAnsi="Verdana"/>
        </w:rPr>
        <w:t xml:space="preserve"> y de </w:t>
      </w:r>
      <w:r w:rsidRPr="00FA72EC">
        <w:rPr>
          <w:rFonts w:ascii="Verdana" w:hAnsi="Verdana"/>
        </w:rPr>
        <w:t>diversificación</w:t>
      </w:r>
      <w:r w:rsidR="00766855" w:rsidRPr="00FA72EC">
        <w:rPr>
          <w:rFonts w:ascii="Verdana" w:hAnsi="Verdana"/>
        </w:rPr>
        <w:t xml:space="preserve"> productiva en </w:t>
      </w:r>
      <w:r w:rsidRPr="00FA72EC">
        <w:rPr>
          <w:rFonts w:ascii="Verdana" w:hAnsi="Verdana"/>
        </w:rPr>
        <w:t>áreas</w:t>
      </w:r>
      <w:r w:rsidR="00766855" w:rsidRPr="00FA72EC">
        <w:rPr>
          <w:rFonts w:ascii="Verdana" w:hAnsi="Verdana"/>
        </w:rPr>
        <w:t xml:space="preserve"> extractivas.</w:t>
      </w:r>
      <w:r w:rsidR="00766855" w:rsidRPr="00FA72EC">
        <w:rPr>
          <w:rStyle w:val="Refdenotaalpie"/>
          <w:rFonts w:ascii="Verdana" w:hAnsi="Verdana"/>
        </w:rPr>
        <w:footnoteReference w:id="13"/>
      </w:r>
    </w:p>
    <w:p w14:paraId="040BB5DD" w14:textId="77777777" w:rsidR="00766855" w:rsidRPr="00FA72EC" w:rsidRDefault="00766855" w:rsidP="00314734">
      <w:pPr>
        <w:pStyle w:val="Prrafodelista"/>
        <w:jc w:val="both"/>
        <w:rPr>
          <w:rFonts w:ascii="Verdana" w:hAnsi="Verdana"/>
        </w:rPr>
      </w:pPr>
    </w:p>
    <w:p w14:paraId="34B68B9D" w14:textId="77777777" w:rsidR="00314734" w:rsidRPr="00FA72EC" w:rsidRDefault="00766855" w:rsidP="00314734">
      <w:pPr>
        <w:pStyle w:val="Prrafodelista"/>
        <w:numPr>
          <w:ilvl w:val="0"/>
          <w:numId w:val="20"/>
        </w:numPr>
        <w:spacing w:after="0" w:line="276" w:lineRule="auto"/>
        <w:jc w:val="both"/>
        <w:rPr>
          <w:rFonts w:ascii="Verdana" w:hAnsi="Verdana"/>
        </w:rPr>
      </w:pPr>
      <w:r w:rsidRPr="00FA72EC">
        <w:rPr>
          <w:rFonts w:ascii="Verdana" w:hAnsi="Verdana"/>
        </w:rPr>
        <w:t xml:space="preserve">En conclusión, le asiste a las Entidades Estatales </w:t>
      </w:r>
      <w:r w:rsidRPr="00FA72EC">
        <w:rPr>
          <w:rFonts w:ascii="Verdana" w:hAnsi="Verdana"/>
          <w:lang w:val="es-CO"/>
        </w:rPr>
        <w:t>en su facultad discrecional y técnica, estructurar en la etapa de planeación los estudios técnicos, fichas de especificaciones y demás documentos de resorte técnico que permitan definir la estructuración y modalidad de contratación idónea para llevar a cabo un proyecto de transición energética. Es menester señalar que, e</w:t>
      </w:r>
      <w:r w:rsidRPr="00FA72EC">
        <w:rPr>
          <w:rFonts w:ascii="Verdana" w:eastAsia="Times New Roman" w:hAnsi="Verdana" w:cs="Times New Roman"/>
          <w:color w:val="000000"/>
          <w:lang w:eastAsia="es-MX"/>
        </w:rPr>
        <w:t>n la estructuración de sus fichas técnicas y especificación es necesario que tenga en cuenta la regulación expedida por el Ministerio de Minas y Energías y por el Ministerio de Ambiente.</w:t>
      </w:r>
    </w:p>
    <w:p w14:paraId="5A16CDD1" w14:textId="77777777" w:rsidR="00314734" w:rsidRPr="00FA72EC" w:rsidRDefault="00314734" w:rsidP="00314734">
      <w:pPr>
        <w:pStyle w:val="Prrafodelista"/>
        <w:rPr>
          <w:rFonts w:ascii="Verdana" w:hAnsi="Verdana"/>
        </w:rPr>
      </w:pPr>
    </w:p>
    <w:p w14:paraId="45AF9AD7" w14:textId="5D44D544" w:rsidR="00022C9D" w:rsidRPr="00FA72EC" w:rsidRDefault="00A70E40" w:rsidP="00314734">
      <w:pPr>
        <w:pStyle w:val="Prrafodelista"/>
        <w:numPr>
          <w:ilvl w:val="0"/>
          <w:numId w:val="20"/>
        </w:numPr>
        <w:spacing w:after="0" w:line="276" w:lineRule="auto"/>
        <w:jc w:val="both"/>
        <w:rPr>
          <w:rFonts w:ascii="Verdana" w:hAnsi="Verdana"/>
        </w:rPr>
      </w:pPr>
      <w:r w:rsidRPr="00FA72EC">
        <w:rPr>
          <w:rFonts w:ascii="Verdana" w:hAnsi="Verdana"/>
        </w:rPr>
        <w:t xml:space="preserve">Sin perjuicio de lo anterior, debe advertirse que el análisis requerido para establecer la modalidad de contratación de un determinado </w:t>
      </w:r>
      <w:r w:rsidR="001933C0" w:rsidRPr="00FA72EC">
        <w:rPr>
          <w:rFonts w:ascii="Verdana" w:hAnsi="Verdana"/>
        </w:rPr>
        <w:t>proceso</w:t>
      </w:r>
      <w:r w:rsidRPr="00FA72EC">
        <w:rPr>
          <w:rFonts w:ascii="Verdana" w:hAnsi="Verdana"/>
        </w:rPr>
        <w:t xml:space="preserve"> contractual </w:t>
      </w:r>
      <w:r w:rsidR="00276C1E" w:rsidRPr="00FA72EC">
        <w:rPr>
          <w:rFonts w:ascii="Verdana" w:hAnsi="Verdana"/>
        </w:rPr>
        <w:t xml:space="preserve">debe ser realizado por la Entidad contratante en consideración a las particularidades </w:t>
      </w:r>
      <w:r w:rsidR="00C0197F" w:rsidRPr="00FA72EC">
        <w:rPr>
          <w:rFonts w:ascii="Verdana" w:hAnsi="Verdana"/>
        </w:rPr>
        <w:t xml:space="preserve">y especificaciones </w:t>
      </w:r>
      <w:r w:rsidR="00D663DD" w:rsidRPr="00FA72EC">
        <w:rPr>
          <w:rFonts w:ascii="Verdana" w:hAnsi="Verdana"/>
        </w:rPr>
        <w:t>del</w:t>
      </w:r>
      <w:r w:rsidR="00593026" w:rsidRPr="00FA72EC">
        <w:rPr>
          <w:rFonts w:ascii="Verdana" w:hAnsi="Verdana"/>
        </w:rPr>
        <w:t xml:space="preserve"> objeto contractual, de acuerdo con lo explicado supra. </w:t>
      </w:r>
      <w:r w:rsidR="00F95CD5" w:rsidRPr="00FA72EC">
        <w:rPr>
          <w:rFonts w:ascii="Verdana" w:hAnsi="Verdana"/>
        </w:rPr>
        <w:t>De manera que lo expuesto en el presente concepto no puede ser interpretado como u</w:t>
      </w:r>
      <w:r w:rsidR="00B3374B" w:rsidRPr="00FA72EC">
        <w:rPr>
          <w:rFonts w:ascii="Verdana" w:hAnsi="Verdana"/>
        </w:rPr>
        <w:t xml:space="preserve">n pronunciamiento respecto </w:t>
      </w:r>
      <w:r w:rsidR="00364932" w:rsidRPr="00FA72EC">
        <w:rPr>
          <w:rFonts w:ascii="Verdana" w:hAnsi="Verdana"/>
        </w:rPr>
        <w:t xml:space="preserve">a la modalidad </w:t>
      </w:r>
      <w:r w:rsidR="001D652B" w:rsidRPr="00FA72EC">
        <w:rPr>
          <w:rFonts w:ascii="Verdana" w:hAnsi="Verdana"/>
        </w:rPr>
        <w:t xml:space="preserve">de selección </w:t>
      </w:r>
      <w:r w:rsidR="00364932" w:rsidRPr="00FA72EC">
        <w:rPr>
          <w:rFonts w:ascii="Verdana" w:hAnsi="Verdana"/>
        </w:rPr>
        <w:t xml:space="preserve">que se debe adelantar </w:t>
      </w:r>
      <w:r w:rsidR="001D652B" w:rsidRPr="00FA72EC">
        <w:rPr>
          <w:rFonts w:ascii="Verdana" w:hAnsi="Verdana"/>
        </w:rPr>
        <w:t xml:space="preserve">la Entidad para la satisfacción de la necesidad aludida en la petición, ni las afirmaciones aquí </w:t>
      </w:r>
      <w:r w:rsidR="00EE45CD" w:rsidRPr="00FA72EC">
        <w:rPr>
          <w:rFonts w:ascii="Verdana" w:hAnsi="Verdana"/>
        </w:rPr>
        <w:t xml:space="preserve">realizadas </w:t>
      </w:r>
      <w:r w:rsidR="00A040C6" w:rsidRPr="00FA72EC">
        <w:rPr>
          <w:rFonts w:ascii="Verdana" w:hAnsi="Verdana"/>
        </w:rPr>
        <w:t xml:space="preserve">pueden ser interpretadas como juicios de valor sobre circunstancias relacionadas con los hechos que motivan la petición. </w:t>
      </w:r>
      <w:r w:rsidR="003B453A" w:rsidRPr="00FA72EC">
        <w:rPr>
          <w:rFonts w:ascii="Verdana" w:hAnsi="Verdana"/>
        </w:rPr>
        <w:t xml:space="preserve"> </w:t>
      </w:r>
    </w:p>
    <w:p w14:paraId="5E8F24E5" w14:textId="77777777" w:rsidR="00201E55" w:rsidRPr="00FA72EC" w:rsidRDefault="00201E55" w:rsidP="00D536AB">
      <w:pPr>
        <w:spacing w:after="0" w:line="276" w:lineRule="auto"/>
        <w:jc w:val="both"/>
        <w:rPr>
          <w:rFonts w:ascii="Verdana" w:hAnsi="Verdana"/>
        </w:rPr>
      </w:pPr>
    </w:p>
    <w:p w14:paraId="238804C4" w14:textId="77777777" w:rsidR="00441240" w:rsidRPr="00FA72EC" w:rsidRDefault="00441240" w:rsidP="00441240">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A72EC">
        <w:rPr>
          <w:rFonts w:ascii="Verdana" w:eastAsia="Century Gothic" w:hAnsi="Verdana" w:cs="Century Gothic"/>
          <w:b/>
          <w:bCs/>
        </w:rPr>
        <w:t>Referencias normativas, jurisprudenciales y otras fuentes:</w:t>
      </w:r>
    </w:p>
    <w:p w14:paraId="342B9058" w14:textId="77777777" w:rsidR="00441240" w:rsidRPr="00FA72EC" w:rsidRDefault="00441240" w:rsidP="0044124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41240" w:rsidRPr="00FA72EC" w14:paraId="3E8FF625" w14:textId="77777777" w:rsidTr="00201E55">
        <w:trPr>
          <w:trHeight w:val="345"/>
        </w:trPr>
        <w:tc>
          <w:tcPr>
            <w:tcW w:w="8647" w:type="dxa"/>
          </w:tcPr>
          <w:p w14:paraId="5C267936" w14:textId="77777777" w:rsidR="002322B1" w:rsidRPr="00FA72EC" w:rsidRDefault="001C1873" w:rsidP="002322B1">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Ley 80 de 1993, Artículos 2, 32.</w:t>
            </w:r>
          </w:p>
          <w:p w14:paraId="10E545DF" w14:textId="3D0AA346" w:rsidR="002322B1" w:rsidRPr="00FA72EC" w:rsidRDefault="002322B1" w:rsidP="002322B1">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eastAsia="Century Gothic" w:hAnsi="Verdana" w:cs="Century Gothic"/>
              </w:rPr>
              <w:t xml:space="preserve">Ley 2099 de 2011, Artículo 10, Parágrafo segundo. </w:t>
            </w:r>
          </w:p>
          <w:p w14:paraId="76929BAD" w14:textId="77777777" w:rsidR="0019222F" w:rsidRPr="00FA72EC" w:rsidRDefault="00AB51F0" w:rsidP="0019222F">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Código</w:t>
            </w:r>
            <w:r w:rsidR="002E4B40" w:rsidRPr="00FA72EC">
              <w:rPr>
                <w:rFonts w:ascii="Verdana" w:hAnsi="Verdana" w:cs="Arial"/>
              </w:rPr>
              <w:t xml:space="preserve"> Civil</w:t>
            </w:r>
            <w:r w:rsidRPr="00FA72EC">
              <w:rPr>
                <w:rFonts w:ascii="Verdana" w:hAnsi="Verdana" w:cs="Arial"/>
              </w:rPr>
              <w:t>,</w:t>
            </w:r>
            <w:r w:rsidR="002E4B40" w:rsidRPr="00FA72EC">
              <w:rPr>
                <w:rFonts w:ascii="Verdana" w:hAnsi="Verdana" w:cs="Arial"/>
              </w:rPr>
              <w:t xml:space="preserve"> Artículos 2053, 2060, 2061</w:t>
            </w:r>
            <w:r w:rsidR="00104CED" w:rsidRPr="00FA72EC">
              <w:rPr>
                <w:rFonts w:ascii="Verdana" w:hAnsi="Verdana" w:cs="Arial"/>
              </w:rPr>
              <w:t>, 656, 658.</w:t>
            </w:r>
          </w:p>
          <w:p w14:paraId="7078FF0A" w14:textId="441D4A73" w:rsidR="0019222F" w:rsidRPr="00FA72EC" w:rsidRDefault="0019222F" w:rsidP="0019222F">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Decreto 1082 de 2015, Artículo 2.2.1.2.1.4.4.</w:t>
            </w:r>
          </w:p>
          <w:p w14:paraId="2D3C0C97" w14:textId="7BD74538" w:rsidR="004659D9" w:rsidRPr="00FA72EC" w:rsidRDefault="00441240" w:rsidP="004659D9">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 xml:space="preserve">Ley 1150 de 2007, </w:t>
            </w:r>
            <w:r w:rsidR="00FD184E" w:rsidRPr="00FA72EC">
              <w:rPr>
                <w:rFonts w:ascii="Verdana" w:hAnsi="Verdana" w:cs="Arial"/>
              </w:rPr>
              <w:t xml:space="preserve">Artículo 2, numeral 4, literal </w:t>
            </w:r>
            <w:r w:rsidR="00BC15B8" w:rsidRPr="00FA72EC">
              <w:rPr>
                <w:rFonts w:ascii="Verdana" w:hAnsi="Verdana" w:cs="Arial"/>
              </w:rPr>
              <w:t>C</w:t>
            </w:r>
            <w:r w:rsidR="00FD184E" w:rsidRPr="00FA72EC">
              <w:rPr>
                <w:rFonts w:ascii="Verdana" w:hAnsi="Verdana" w:cs="Arial"/>
              </w:rPr>
              <w:t>.</w:t>
            </w:r>
          </w:p>
          <w:p w14:paraId="6C36DB83" w14:textId="77777777" w:rsidR="00460929" w:rsidRPr="00FA72EC" w:rsidRDefault="00BC15B8" w:rsidP="00460929">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Ley 489 de 1995, Artículo 95.</w:t>
            </w:r>
          </w:p>
          <w:p w14:paraId="79C90DBC" w14:textId="77777777" w:rsidR="00460929" w:rsidRPr="00FA72EC" w:rsidRDefault="00460929" w:rsidP="00460929">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Consejo de Estado</w:t>
            </w:r>
            <w:r w:rsidR="004659D9" w:rsidRPr="00FA72EC">
              <w:rPr>
                <w:rFonts w:ascii="Verdana" w:hAnsi="Verdana" w:cs="Arial"/>
              </w:rPr>
              <w:t xml:space="preserve">. Sala de Consulta y Servicio Civil. Concepto del 5 </w:t>
            </w:r>
            <w:r w:rsidR="004659D9" w:rsidRPr="00FA72EC">
              <w:rPr>
                <w:rFonts w:ascii="Verdana" w:hAnsi="Verdana" w:cs="Arial"/>
              </w:rPr>
              <w:lastRenderedPageBreak/>
              <w:t>de septiembre de 2018. Rad. 2.386. C.P. Edgar González López</w:t>
            </w:r>
          </w:p>
          <w:p w14:paraId="262C0495" w14:textId="23D06BBE" w:rsidR="00460929" w:rsidRPr="00FA72EC" w:rsidRDefault="00BC15B8" w:rsidP="00460929">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Consejo de Estado. Sección Tercera. Sentencia del 23 de junio de 2010. Radicación No. 66001-23-31-000-1998-00261-01(17.860). C. P. Mauricio Fajardo Gómez.</w:t>
            </w:r>
          </w:p>
          <w:p w14:paraId="363BC162" w14:textId="77777777" w:rsidR="00BC15B8" w:rsidRPr="00FA72EC" w:rsidRDefault="00460929" w:rsidP="00201E55">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cs="Arial"/>
              </w:rPr>
              <w:t>Corte Constitucional. Sentencia C-671 del 201</w:t>
            </w:r>
            <w:r w:rsidR="00BE0D13" w:rsidRPr="00FA72EC">
              <w:rPr>
                <w:rFonts w:ascii="Verdana" w:hAnsi="Verdana" w:cs="Arial"/>
              </w:rPr>
              <w:t>5. Magistrado Ponente.</w:t>
            </w:r>
            <w:r w:rsidR="00201E55" w:rsidRPr="00FA72EC">
              <w:rPr>
                <w:rFonts w:ascii="Verdana" w:hAnsi="Verdana" w:cs="Arial"/>
              </w:rPr>
              <w:t xml:space="preserve"> Alberto Rojas Ríos.</w:t>
            </w:r>
            <w:r w:rsidR="00BE0D13" w:rsidRPr="00FA72EC">
              <w:rPr>
                <w:rFonts w:ascii="Verdana" w:hAnsi="Verdana" w:cs="Arial"/>
              </w:rPr>
              <w:t xml:space="preserve"> </w:t>
            </w:r>
          </w:p>
          <w:p w14:paraId="2D769A87" w14:textId="37DDBA7B" w:rsidR="0015057A" w:rsidRPr="00FA72EC" w:rsidRDefault="0015057A" w:rsidP="0015057A">
            <w:pPr>
              <w:pStyle w:val="Prrafodelista"/>
              <w:widowControl w:val="0"/>
              <w:numPr>
                <w:ilvl w:val="0"/>
                <w:numId w:val="18"/>
              </w:numPr>
              <w:tabs>
                <w:tab w:val="left" w:pos="8419"/>
              </w:tabs>
              <w:autoSpaceDE w:val="0"/>
              <w:autoSpaceDN w:val="0"/>
              <w:spacing w:after="160" w:line="276" w:lineRule="auto"/>
              <w:contextualSpacing w:val="0"/>
              <w:jc w:val="both"/>
              <w:rPr>
                <w:rFonts w:ascii="Verdana" w:hAnsi="Verdana" w:cs="Arial"/>
              </w:rPr>
            </w:pPr>
            <w:r w:rsidRPr="00FA72EC">
              <w:rPr>
                <w:rFonts w:ascii="Verdana" w:hAnsi="Verdana"/>
                <w:lang w:val="es-CO"/>
              </w:rPr>
              <w:t xml:space="preserve">Consejo de Estado. Sala de Consulta y Servicio Civil. Concepto 26 de julio de 2016. Exp. 2.257. C.P. </w:t>
            </w:r>
            <w:r w:rsidR="0046471E" w:rsidRPr="00FA72EC">
              <w:rPr>
                <w:rFonts w:ascii="Verdana" w:hAnsi="Verdana"/>
                <w:lang w:val="es-CO"/>
              </w:rPr>
              <w:t>Álvaro</w:t>
            </w:r>
            <w:r w:rsidRPr="00FA72EC">
              <w:rPr>
                <w:rFonts w:ascii="Verdana" w:hAnsi="Verdana"/>
                <w:lang w:val="es-CO"/>
              </w:rPr>
              <w:t xml:space="preserve"> Namén Vargas</w:t>
            </w:r>
          </w:p>
          <w:p w14:paraId="0A717B32" w14:textId="64D4CD9B" w:rsidR="00BC15B8" w:rsidRPr="00FA72EC" w:rsidRDefault="0015057A" w:rsidP="005E766E">
            <w:pPr>
              <w:pStyle w:val="Prrafodelista"/>
              <w:widowControl w:val="0"/>
              <w:numPr>
                <w:ilvl w:val="0"/>
                <w:numId w:val="18"/>
              </w:numPr>
              <w:tabs>
                <w:tab w:val="left" w:pos="8419"/>
              </w:tabs>
              <w:autoSpaceDE w:val="0"/>
              <w:autoSpaceDN w:val="0"/>
              <w:spacing w:line="276" w:lineRule="auto"/>
              <w:contextualSpacing w:val="0"/>
              <w:jc w:val="both"/>
              <w:rPr>
                <w:rFonts w:ascii="Verdana" w:hAnsi="Verdana" w:cs="Arial"/>
              </w:rPr>
            </w:pPr>
            <w:r w:rsidRPr="00FA72EC">
              <w:rPr>
                <w:rFonts w:ascii="Verdana" w:hAnsi="Verdana"/>
                <w:lang w:val="es-CO"/>
              </w:rPr>
              <w:t xml:space="preserve">Consejo de Estado. </w:t>
            </w:r>
            <w:r w:rsidR="0046471E" w:rsidRPr="00FA72EC">
              <w:rPr>
                <w:rFonts w:ascii="Verdana" w:hAnsi="Verdana"/>
                <w:lang w:val="es-CO"/>
              </w:rPr>
              <w:t>Sección</w:t>
            </w:r>
            <w:r w:rsidRPr="00FA72EC">
              <w:rPr>
                <w:rFonts w:ascii="Verdana" w:hAnsi="Verdana"/>
                <w:lang w:val="es-CO"/>
              </w:rPr>
              <w:t xml:space="preserve"> Tercera. </w:t>
            </w:r>
            <w:r w:rsidR="0046471E" w:rsidRPr="00FA72EC">
              <w:rPr>
                <w:rFonts w:ascii="Verdana" w:hAnsi="Verdana"/>
                <w:lang w:val="es-CO"/>
              </w:rPr>
              <w:t>Subsección</w:t>
            </w:r>
            <w:r w:rsidRPr="00FA72EC">
              <w:rPr>
                <w:rFonts w:ascii="Verdana" w:hAnsi="Verdana"/>
                <w:lang w:val="es-CO"/>
              </w:rPr>
              <w:t xml:space="preserve"> C. Sentencia del 11 de diciembre de 2019. Exp. 46.986. C.P. Jaime Enrique </w:t>
            </w:r>
            <w:r w:rsidR="0046471E" w:rsidRPr="00FA72EC">
              <w:rPr>
                <w:rFonts w:ascii="Verdana" w:hAnsi="Verdana"/>
                <w:lang w:val="es-CO"/>
              </w:rPr>
              <w:t>Rodríguez</w:t>
            </w:r>
            <w:r w:rsidRPr="00FA72EC">
              <w:rPr>
                <w:rFonts w:ascii="Verdana" w:hAnsi="Verdana"/>
                <w:lang w:val="es-CO"/>
              </w:rPr>
              <w:t xml:space="preserve"> Navas. </w:t>
            </w:r>
          </w:p>
        </w:tc>
      </w:tr>
    </w:tbl>
    <w:p w14:paraId="33E2C022" w14:textId="77777777" w:rsidR="00441240" w:rsidRPr="00FA72EC" w:rsidRDefault="00441240" w:rsidP="00441240">
      <w:pPr>
        <w:widowControl w:val="0"/>
        <w:autoSpaceDE w:val="0"/>
        <w:autoSpaceDN w:val="0"/>
        <w:spacing w:after="0" w:line="276" w:lineRule="auto"/>
        <w:jc w:val="both"/>
        <w:rPr>
          <w:rFonts w:ascii="Verdana" w:hAnsi="Verdana" w:cs="Arial"/>
        </w:rPr>
      </w:pPr>
    </w:p>
    <w:p w14:paraId="1CF1B843" w14:textId="77777777" w:rsidR="00441240" w:rsidRPr="00FA72EC" w:rsidRDefault="00441240" w:rsidP="00441240">
      <w:pPr>
        <w:pStyle w:val="Prrafodelista"/>
        <w:numPr>
          <w:ilvl w:val="0"/>
          <w:numId w:val="17"/>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A72EC">
        <w:rPr>
          <w:rFonts w:ascii="Verdana" w:eastAsia="Century Gothic" w:hAnsi="Verdana" w:cs="Century Gothic"/>
          <w:b/>
          <w:bCs/>
        </w:rPr>
        <w:t>Doctrina de la Agencia Nacional de Contratación Pública:</w:t>
      </w:r>
    </w:p>
    <w:p w14:paraId="0036A900" w14:textId="77777777" w:rsidR="00441240" w:rsidRPr="00FA72EC" w:rsidRDefault="00441240" w:rsidP="00441240">
      <w:pPr>
        <w:widowControl w:val="0"/>
        <w:autoSpaceDE w:val="0"/>
        <w:autoSpaceDN w:val="0"/>
        <w:spacing w:after="0" w:line="276" w:lineRule="auto"/>
        <w:jc w:val="both"/>
        <w:rPr>
          <w:rFonts w:ascii="Verdana" w:hAnsi="Verdana" w:cs="Arial"/>
        </w:rPr>
      </w:pPr>
    </w:p>
    <w:p w14:paraId="1B5E7F94" w14:textId="60CF44DC" w:rsidR="00907489" w:rsidRPr="00FA72EC" w:rsidRDefault="00441240" w:rsidP="00907489">
      <w:pPr>
        <w:widowControl w:val="0"/>
        <w:autoSpaceDE w:val="0"/>
        <w:autoSpaceDN w:val="0"/>
        <w:spacing w:after="0" w:line="276" w:lineRule="auto"/>
        <w:jc w:val="both"/>
        <w:rPr>
          <w:rFonts w:ascii="Verdana" w:hAnsi="Verdana" w:cs="Arial"/>
          <w:shd w:val="clear" w:color="auto" w:fill="FFFFFF"/>
        </w:rPr>
      </w:pPr>
      <w:r w:rsidRPr="00FA72EC">
        <w:rPr>
          <w:rStyle w:val="normaltextrun"/>
          <w:rFonts w:ascii="Verdana" w:hAnsi="Verdana" w:cs="Arial"/>
          <w:shd w:val="clear" w:color="auto" w:fill="FFFFFF"/>
          <w:lang w:val="es-ES"/>
        </w:rPr>
        <w:t xml:space="preserve">Sobre </w:t>
      </w:r>
      <w:r w:rsidR="008146A2" w:rsidRPr="00FA72EC">
        <w:rPr>
          <w:rStyle w:val="normaltextrun"/>
          <w:rFonts w:ascii="Verdana" w:hAnsi="Verdana" w:cs="Arial"/>
          <w:shd w:val="clear" w:color="auto" w:fill="FFFFFF"/>
          <w:lang w:val="es-ES"/>
        </w:rPr>
        <w:t xml:space="preserve">el objeto y las características del contrato de obra pública </w:t>
      </w:r>
      <w:r w:rsidRPr="00FA72EC">
        <w:rPr>
          <w:rStyle w:val="normaltextrun"/>
          <w:rFonts w:ascii="Verdana" w:hAnsi="Verdana" w:cs="Arial"/>
          <w:shd w:val="clear" w:color="auto" w:fill="FFFFFF"/>
          <w:lang w:val="es-ES"/>
        </w:rPr>
        <w:t xml:space="preserve">esta subdirección se ha pronunciado en los conceptos Nro. </w:t>
      </w:r>
      <w:r w:rsidR="00781509" w:rsidRPr="00FA72EC">
        <w:rPr>
          <w:rStyle w:val="normaltextrun"/>
          <w:rFonts w:ascii="Verdana" w:hAnsi="Verdana" w:cs="Arial"/>
          <w:shd w:val="clear" w:color="auto" w:fill="FFFFFF"/>
          <w:lang w:val="es-ES"/>
        </w:rPr>
        <w:t>4201913000008014 del 24 de diciembre del año 2019, C-530 del 13 de agosto de 2020, C-038 del 5 de abril de 2021</w:t>
      </w:r>
      <w:r w:rsidR="00152BE4" w:rsidRPr="00FA72EC">
        <w:rPr>
          <w:rStyle w:val="normaltextrun"/>
          <w:rFonts w:ascii="Verdana" w:hAnsi="Verdana" w:cs="Arial"/>
          <w:shd w:val="clear" w:color="auto" w:fill="FFFFFF"/>
          <w:lang w:val="es-ES"/>
        </w:rPr>
        <w:t>, C-174 del 16 de mayo del 2023</w:t>
      </w:r>
      <w:r w:rsidR="00D16C7D" w:rsidRPr="00FA72EC">
        <w:rPr>
          <w:rStyle w:val="normaltextrun"/>
          <w:rFonts w:ascii="Verdana" w:hAnsi="Verdana" w:cs="Arial"/>
          <w:shd w:val="clear" w:color="auto" w:fill="FFFFFF"/>
          <w:lang w:val="es-ES"/>
        </w:rPr>
        <w:t xml:space="preserve"> y C-</w:t>
      </w:r>
      <w:r w:rsidR="00D669FC" w:rsidRPr="00FA72EC">
        <w:rPr>
          <w:rStyle w:val="normaltextrun"/>
          <w:rFonts w:ascii="Verdana" w:hAnsi="Verdana" w:cs="Arial"/>
          <w:shd w:val="clear" w:color="auto" w:fill="FFFFFF"/>
          <w:lang w:val="es-ES"/>
        </w:rPr>
        <w:t>119 del 19 de julio del 2024</w:t>
      </w:r>
      <w:r w:rsidRPr="00FA72EC">
        <w:rPr>
          <w:rStyle w:val="normaltextrun"/>
          <w:rFonts w:ascii="Verdana" w:hAnsi="Verdana" w:cs="Arial"/>
          <w:shd w:val="clear" w:color="auto" w:fill="FFFFFF"/>
          <w:lang w:val="es-ES"/>
        </w:rPr>
        <w:t>.</w:t>
      </w:r>
      <w:r w:rsidR="00976DDB" w:rsidRPr="00FA72EC">
        <w:rPr>
          <w:rStyle w:val="normaltextrun"/>
          <w:rFonts w:ascii="Verdana" w:hAnsi="Verdana" w:cs="Arial"/>
          <w:shd w:val="clear" w:color="auto" w:fill="FFFFFF"/>
          <w:lang w:val="es-ES"/>
        </w:rPr>
        <w:t xml:space="preserve"> Igualmente, ha analizado el régimen </w:t>
      </w:r>
      <w:r w:rsidR="00C91326" w:rsidRPr="00FA72EC">
        <w:rPr>
          <w:rStyle w:val="normaltextrun"/>
          <w:rFonts w:ascii="Verdana" w:hAnsi="Verdana" w:cs="Arial"/>
          <w:shd w:val="clear" w:color="auto" w:fill="FFFFFF"/>
          <w:lang w:val="es-ES"/>
        </w:rPr>
        <w:t xml:space="preserve">de los contratos o convenios interadministrativos en los conceptos Nro. </w:t>
      </w:r>
      <w:r w:rsidR="00FF2CFD" w:rsidRPr="00FA72EC">
        <w:rPr>
          <w:rStyle w:val="normaltextrun"/>
          <w:rFonts w:ascii="Verdana" w:hAnsi="Verdana" w:cs="Arial"/>
          <w:shd w:val="clear" w:color="auto" w:fill="FFFFFF"/>
          <w:lang w:val="es-ES"/>
        </w:rPr>
        <w:t>C-168 del 14 de abril de 2021, C-585 de 15 de octubre de 2021, C-639 del 14 de marzo de 2021, C-664 del 1° de septiembre de 2022, C-771 del 29 de diciembre de 2022, C-354 del 6 de septiembre de 2023</w:t>
      </w:r>
      <w:r w:rsidR="00F04411" w:rsidRPr="00FA72EC">
        <w:rPr>
          <w:rStyle w:val="normaltextrun"/>
          <w:rFonts w:ascii="Verdana" w:hAnsi="Verdana" w:cs="Arial"/>
          <w:shd w:val="clear" w:color="auto" w:fill="FFFFFF"/>
          <w:lang w:val="es-ES"/>
        </w:rPr>
        <w:t>, C-004 del</w:t>
      </w:r>
      <w:r w:rsidR="00BD42DD" w:rsidRPr="00FA72EC">
        <w:rPr>
          <w:rStyle w:val="normaltextrun"/>
          <w:rFonts w:ascii="Verdana" w:hAnsi="Verdana" w:cs="Arial"/>
          <w:shd w:val="clear" w:color="auto" w:fill="FFFFFF"/>
          <w:lang w:val="es-ES"/>
        </w:rPr>
        <w:t xml:space="preserve"> 22 de enero del </w:t>
      </w:r>
      <w:r w:rsidR="00F04411" w:rsidRPr="00FA72EC">
        <w:rPr>
          <w:rStyle w:val="normaltextrun"/>
          <w:rFonts w:ascii="Verdana" w:hAnsi="Verdana" w:cs="Arial"/>
          <w:shd w:val="clear" w:color="auto" w:fill="FFFFFF"/>
          <w:lang w:val="es-ES"/>
        </w:rPr>
        <w:t>20</w:t>
      </w:r>
      <w:r w:rsidR="00F86C04" w:rsidRPr="00FA72EC">
        <w:rPr>
          <w:rStyle w:val="normaltextrun"/>
          <w:rFonts w:ascii="Verdana" w:hAnsi="Verdana" w:cs="Arial"/>
          <w:shd w:val="clear" w:color="auto" w:fill="FFFFFF"/>
          <w:lang w:val="es-ES"/>
        </w:rPr>
        <w:t>24</w:t>
      </w:r>
      <w:r w:rsidR="00BD42DD" w:rsidRPr="00FA72EC">
        <w:rPr>
          <w:rStyle w:val="normaltextrun"/>
          <w:rFonts w:ascii="Verdana" w:hAnsi="Verdana" w:cs="Arial"/>
          <w:shd w:val="clear" w:color="auto" w:fill="FFFFFF"/>
          <w:lang w:val="es-ES"/>
        </w:rPr>
        <w:t xml:space="preserve">, </w:t>
      </w:r>
      <w:r w:rsidR="00A61FC0" w:rsidRPr="00FA72EC">
        <w:rPr>
          <w:rStyle w:val="normaltextrun"/>
          <w:rFonts w:ascii="Verdana" w:hAnsi="Verdana" w:cs="Arial"/>
          <w:shd w:val="clear" w:color="auto" w:fill="FFFFFF"/>
          <w:lang w:val="es-ES"/>
        </w:rPr>
        <w:t>C-</w:t>
      </w:r>
      <w:r w:rsidR="00DE74E2" w:rsidRPr="00FA72EC">
        <w:rPr>
          <w:rStyle w:val="normaltextrun"/>
          <w:rFonts w:ascii="Verdana" w:hAnsi="Verdana" w:cs="Arial"/>
          <w:shd w:val="clear" w:color="auto" w:fill="FFFFFF"/>
          <w:lang w:val="es-ES"/>
        </w:rPr>
        <w:t xml:space="preserve">091 del 06 de junio del 2024 y </w:t>
      </w:r>
      <w:r w:rsidR="002B5069" w:rsidRPr="00FA72EC">
        <w:rPr>
          <w:rStyle w:val="normaltextrun"/>
          <w:rFonts w:ascii="Verdana" w:hAnsi="Verdana" w:cs="Arial"/>
          <w:shd w:val="clear" w:color="auto" w:fill="FFFFFF"/>
          <w:lang w:val="es-ES"/>
        </w:rPr>
        <w:t>C-097 del 28 de junio del 2024</w:t>
      </w:r>
      <w:r w:rsidR="00DE74E2" w:rsidRPr="00FA72EC">
        <w:rPr>
          <w:rStyle w:val="normaltextrun"/>
          <w:rFonts w:ascii="Verdana" w:hAnsi="Verdana" w:cs="Arial"/>
          <w:shd w:val="clear" w:color="auto" w:fill="FFFFFF"/>
          <w:lang w:val="es-ES"/>
        </w:rPr>
        <w:t xml:space="preserve">. </w:t>
      </w:r>
      <w:r w:rsidRPr="00FA72EC">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FA72EC">
          <w:rPr>
            <w:rStyle w:val="Hipervnculo"/>
            <w:rFonts w:ascii="Verdana" w:hAnsi="Verdana" w:cs="Arial"/>
            <w:shd w:val="clear" w:color="auto" w:fill="FFFFFF"/>
          </w:rPr>
          <w:t>https://relatoria.colombiacompra.gov.co/</w:t>
        </w:r>
      </w:hyperlink>
      <w:r w:rsidR="00D405E7">
        <w:rPr>
          <w:rFonts w:ascii="Verdana" w:hAnsi="Verdana" w:cs="Arial"/>
          <w:shd w:val="clear" w:color="auto" w:fill="FFFFFF"/>
        </w:rPr>
        <w:t>.</w:t>
      </w:r>
    </w:p>
    <w:p w14:paraId="267B6BEE" w14:textId="77777777" w:rsidR="00907489" w:rsidRPr="00FA72EC" w:rsidRDefault="00907489" w:rsidP="00907489">
      <w:pPr>
        <w:widowControl w:val="0"/>
        <w:autoSpaceDE w:val="0"/>
        <w:autoSpaceDN w:val="0"/>
        <w:spacing w:after="0" w:line="276" w:lineRule="auto"/>
        <w:jc w:val="both"/>
        <w:rPr>
          <w:rFonts w:ascii="Verdana" w:hAnsi="Verdana" w:cs="Arial"/>
          <w:shd w:val="clear" w:color="auto" w:fill="FFFFFF"/>
        </w:rPr>
      </w:pPr>
    </w:p>
    <w:p w14:paraId="013BB764" w14:textId="514D3A2C" w:rsidR="00907489" w:rsidRPr="00FA72EC" w:rsidRDefault="00907489" w:rsidP="00907489">
      <w:pPr>
        <w:widowControl w:val="0"/>
        <w:autoSpaceDE w:val="0"/>
        <w:autoSpaceDN w:val="0"/>
        <w:spacing w:after="0" w:line="276" w:lineRule="auto"/>
        <w:jc w:val="both"/>
        <w:rPr>
          <w:rFonts w:ascii="Verdana" w:hAnsi="Verdana" w:cs="Arial"/>
          <w:shd w:val="clear" w:color="auto" w:fill="FFFFFF"/>
          <w:lang w:val="es-ES"/>
        </w:rPr>
      </w:pPr>
      <w:r w:rsidRPr="00FA72EC">
        <w:rPr>
          <w:rFonts w:ascii="Verdana" w:hAnsi="Verdana" w:cs="Arial"/>
          <w:shd w:val="clear" w:color="auto" w:fill="FFFFFF"/>
        </w:rPr>
        <w:t>También 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tgtFrame="_blank" w:tooltip="Dirección URL original: https://www.colombiacompra.gov.co/sala-de-prensa/boletin-digital/boletin-de-relatoria-2024-iv. Haga clic o pulse si confía en este vínculo." w:history="1">
        <w:r w:rsidRPr="00FA72EC">
          <w:rPr>
            <w:rStyle w:val="Hipervnculo"/>
            <w:rFonts w:ascii="Verdana" w:hAnsi="Verdana" w:cs="Arial"/>
            <w:shd w:val="clear" w:color="auto" w:fill="FFFFFF"/>
          </w:rPr>
          <w:t xml:space="preserve">BOLETÍN DE RELATORÍA 2024 – IV | Colombia Compra Eficiente | </w:t>
        </w:r>
        <w:r w:rsidRPr="00FA72EC">
          <w:rPr>
            <w:rStyle w:val="Hipervnculo"/>
            <w:rFonts w:ascii="Verdana" w:hAnsi="Verdana" w:cs="Arial"/>
            <w:shd w:val="clear" w:color="auto" w:fill="FFFFFF"/>
          </w:rPr>
          <w:lastRenderedPageBreak/>
          <w:t>Agencia Nacional de Contratación Pública</w:t>
        </w:r>
      </w:hyperlink>
    </w:p>
    <w:p w14:paraId="20CAFAF6" w14:textId="77777777" w:rsidR="00441240" w:rsidRPr="00FA72EC" w:rsidRDefault="00441240" w:rsidP="00441240">
      <w:pPr>
        <w:spacing w:after="0" w:line="240" w:lineRule="auto"/>
        <w:jc w:val="both"/>
        <w:rPr>
          <w:rStyle w:val="normaltextrun"/>
          <w:rFonts w:ascii="Verdana" w:hAnsi="Verdana" w:cs="Arial"/>
          <w:color w:val="000000" w:themeColor="text1"/>
          <w:shd w:val="clear" w:color="auto" w:fill="FFFFFF"/>
        </w:rPr>
      </w:pPr>
    </w:p>
    <w:p w14:paraId="260A768D" w14:textId="77777777" w:rsidR="00441240" w:rsidRPr="00FA72EC" w:rsidRDefault="00441240" w:rsidP="00441240">
      <w:pPr>
        <w:spacing w:after="0" w:line="240" w:lineRule="auto"/>
        <w:jc w:val="both"/>
        <w:rPr>
          <w:rFonts w:ascii="Verdana" w:hAnsi="Verdana"/>
        </w:rPr>
      </w:pPr>
      <w:r w:rsidRPr="00FA72EC">
        <w:rPr>
          <w:rFonts w:ascii="Verdana" w:hAnsi="Verdana"/>
        </w:rPr>
        <w:t xml:space="preserve">Por último, lo invitamos a seguirnos en las redes sociales en las cuales se difunde información institucional: </w:t>
      </w:r>
    </w:p>
    <w:p w14:paraId="7A72C820" w14:textId="77777777" w:rsidR="00441240" w:rsidRPr="00FA72EC" w:rsidRDefault="00441240" w:rsidP="00441240">
      <w:pPr>
        <w:spacing w:after="0" w:line="240" w:lineRule="auto"/>
        <w:jc w:val="both"/>
        <w:rPr>
          <w:rFonts w:ascii="Verdana" w:hAnsi="Verdana"/>
        </w:rPr>
      </w:pPr>
    </w:p>
    <w:p w14:paraId="207469B7" w14:textId="77777777" w:rsidR="00441240" w:rsidRPr="00FA72EC" w:rsidRDefault="00441240" w:rsidP="00441240">
      <w:pPr>
        <w:spacing w:after="0" w:line="240" w:lineRule="auto"/>
        <w:jc w:val="both"/>
        <w:rPr>
          <w:rFonts w:ascii="Verdana" w:hAnsi="Verdana"/>
        </w:rPr>
      </w:pPr>
      <w:r w:rsidRPr="00FA72EC">
        <w:rPr>
          <w:rFonts w:ascii="Verdana" w:hAnsi="Verdana"/>
        </w:rPr>
        <w:t xml:space="preserve">Twitter: </w:t>
      </w:r>
      <w:r w:rsidRPr="00FA72EC">
        <w:rPr>
          <w:rStyle w:val="Hipervnculo"/>
          <w:rFonts w:ascii="Verdana" w:hAnsi="Verdana"/>
          <w:color w:val="4472C4" w:themeColor="accent1"/>
        </w:rPr>
        <w:t>@colombiacompra</w:t>
      </w:r>
      <w:r w:rsidRPr="00FA72EC">
        <w:rPr>
          <w:rFonts w:ascii="Verdana" w:hAnsi="Verdana"/>
          <w:color w:val="4472C4" w:themeColor="accent1"/>
        </w:rPr>
        <w:t xml:space="preserve"> </w:t>
      </w:r>
    </w:p>
    <w:p w14:paraId="2D084F26" w14:textId="77777777" w:rsidR="00441240" w:rsidRPr="00FA72EC" w:rsidRDefault="00441240" w:rsidP="00441240">
      <w:pPr>
        <w:spacing w:after="0" w:line="240" w:lineRule="auto"/>
        <w:jc w:val="both"/>
        <w:rPr>
          <w:rFonts w:ascii="Verdana" w:hAnsi="Verdana"/>
        </w:rPr>
      </w:pPr>
      <w:r w:rsidRPr="00FA72EC">
        <w:rPr>
          <w:rFonts w:ascii="Verdana" w:hAnsi="Verdana"/>
        </w:rPr>
        <w:t xml:space="preserve">Facebook: </w:t>
      </w:r>
      <w:proofErr w:type="spellStart"/>
      <w:r w:rsidRPr="00FA72EC">
        <w:rPr>
          <w:rStyle w:val="Hipervnculo"/>
          <w:rFonts w:ascii="Verdana" w:hAnsi="Verdana"/>
          <w:color w:val="4472C4" w:themeColor="accent1"/>
        </w:rPr>
        <w:t>ColombiaCompraEficiente</w:t>
      </w:r>
      <w:proofErr w:type="spellEnd"/>
    </w:p>
    <w:p w14:paraId="32D12B17" w14:textId="77777777" w:rsidR="00441240" w:rsidRPr="00FA72EC" w:rsidRDefault="00441240" w:rsidP="00441240">
      <w:pPr>
        <w:spacing w:after="0" w:line="240" w:lineRule="auto"/>
        <w:jc w:val="both"/>
        <w:rPr>
          <w:rFonts w:ascii="Verdana" w:hAnsi="Verdana"/>
        </w:rPr>
      </w:pPr>
      <w:r w:rsidRPr="00FA72EC">
        <w:rPr>
          <w:rFonts w:ascii="Verdana" w:hAnsi="Verdana"/>
        </w:rPr>
        <w:t xml:space="preserve">LinkedIn: </w:t>
      </w:r>
      <w:r w:rsidRPr="00FA72EC">
        <w:rPr>
          <w:rStyle w:val="Hipervnculo"/>
          <w:rFonts w:ascii="Verdana" w:hAnsi="Verdana"/>
          <w:color w:val="4472C4" w:themeColor="accent1"/>
        </w:rPr>
        <w:t>Agencia Nacional de Contratación Pública - Colombia Compra Eficiente</w:t>
      </w:r>
      <w:r w:rsidRPr="00FA72EC">
        <w:rPr>
          <w:rFonts w:ascii="Verdana" w:hAnsi="Verdana"/>
          <w:color w:val="4472C4" w:themeColor="accent1"/>
        </w:rPr>
        <w:t xml:space="preserve"> </w:t>
      </w:r>
      <w:r w:rsidRPr="00FA72EC">
        <w:rPr>
          <w:rFonts w:ascii="Verdana" w:hAnsi="Verdana"/>
        </w:rPr>
        <w:t xml:space="preserve">Instagram: </w:t>
      </w:r>
      <w:r w:rsidRPr="00FA72EC">
        <w:rPr>
          <w:rStyle w:val="Hipervnculo"/>
          <w:rFonts w:ascii="Verdana" w:hAnsi="Verdana"/>
          <w:color w:val="4472C4" w:themeColor="accent1"/>
        </w:rPr>
        <w:t>@colombiacompraeficiente_cce</w:t>
      </w:r>
    </w:p>
    <w:p w14:paraId="1D6ED35F" w14:textId="77777777" w:rsidR="00441240" w:rsidRPr="00FA72EC" w:rsidRDefault="00441240" w:rsidP="00441240">
      <w:pPr>
        <w:widowControl w:val="0"/>
        <w:autoSpaceDE w:val="0"/>
        <w:autoSpaceDN w:val="0"/>
        <w:spacing w:after="0" w:line="276" w:lineRule="auto"/>
        <w:jc w:val="both"/>
        <w:rPr>
          <w:rFonts w:ascii="Verdana" w:hAnsi="Verdana" w:cs="Arial"/>
        </w:rPr>
      </w:pPr>
    </w:p>
    <w:p w14:paraId="3FAF97F6" w14:textId="77777777" w:rsidR="00441240" w:rsidRPr="00FA72EC" w:rsidRDefault="00441240" w:rsidP="00441240">
      <w:pPr>
        <w:widowControl w:val="0"/>
        <w:autoSpaceDE w:val="0"/>
        <w:autoSpaceDN w:val="0"/>
        <w:spacing w:after="0" w:line="276" w:lineRule="auto"/>
        <w:jc w:val="both"/>
        <w:rPr>
          <w:rFonts w:ascii="Verdana" w:hAnsi="Verdana" w:cs="Arial"/>
          <w:lang w:val="es-ES_tradnl"/>
        </w:rPr>
      </w:pPr>
      <w:r w:rsidRPr="00FA72EC">
        <w:rPr>
          <w:rFonts w:ascii="Verdana" w:hAnsi="Verdana" w:cs="Arial"/>
        </w:rPr>
        <w:t xml:space="preserve">Este concepto tiene el alcance previsto en el artículo 28 del Código de Procedimiento Administrativo y de lo Contencioso Administrativo </w:t>
      </w:r>
      <w:r w:rsidRPr="00FA72EC">
        <w:rPr>
          <w:rFonts w:ascii="Verdana" w:hAnsi="Verdana" w:cs="Arial"/>
          <w:lang w:val="es-ES_tradnl"/>
        </w:rPr>
        <w:t>y las expresiones aquí utilizadas con mayúscula inicial deben ser entendidas con el significado que les otorga el artículo 2.2.1.1.1.3.1. del Decreto 1082 de 2015.</w:t>
      </w:r>
    </w:p>
    <w:p w14:paraId="4E6597E6" w14:textId="77777777" w:rsidR="00441240" w:rsidRPr="00FA72EC" w:rsidRDefault="00441240" w:rsidP="00441240">
      <w:pPr>
        <w:widowControl w:val="0"/>
        <w:autoSpaceDE w:val="0"/>
        <w:autoSpaceDN w:val="0"/>
        <w:spacing w:after="0" w:line="276" w:lineRule="auto"/>
        <w:jc w:val="both"/>
        <w:rPr>
          <w:rFonts w:ascii="Verdana" w:hAnsi="Verdana" w:cs="Arial"/>
        </w:rPr>
      </w:pPr>
    </w:p>
    <w:p w14:paraId="2A814319" w14:textId="77777777" w:rsidR="00441240" w:rsidRPr="00FA72EC" w:rsidRDefault="00441240" w:rsidP="00441240">
      <w:pPr>
        <w:spacing w:after="0" w:line="240" w:lineRule="auto"/>
        <w:rPr>
          <w:rFonts w:ascii="Verdana" w:hAnsi="Verdana" w:cs="Arial"/>
          <w:lang w:eastAsia="es-CO"/>
        </w:rPr>
      </w:pPr>
      <w:r w:rsidRPr="00FA72EC">
        <w:rPr>
          <w:rFonts w:ascii="Verdana" w:eastAsia="Times New Roman" w:hAnsi="Verdana" w:cs="Arial"/>
          <w:lang w:eastAsia="es-CO"/>
        </w:rPr>
        <w:t>Atentamente,</w:t>
      </w:r>
      <w:r w:rsidRPr="00FA72EC">
        <w:rPr>
          <w:rFonts w:ascii="Verdana" w:hAnsi="Verdana" w:cs="Arial"/>
          <w:lang w:eastAsia="es-CO"/>
        </w:rPr>
        <w:t xml:space="preserve"> </w:t>
      </w:r>
    </w:p>
    <w:p w14:paraId="3BF7E92E" w14:textId="298A2FB9" w:rsidR="00441240" w:rsidRPr="00FA72EC" w:rsidRDefault="00D26AA0" w:rsidP="00441240">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5558621" wp14:editId="2D076320">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41240" w:rsidRPr="00FA72EC" w14:paraId="163B6B2A" w14:textId="77777777" w:rsidTr="00894E15">
        <w:trPr>
          <w:trHeight w:val="315"/>
        </w:trPr>
        <w:tc>
          <w:tcPr>
            <w:tcW w:w="893" w:type="dxa"/>
            <w:vAlign w:val="center"/>
            <w:hideMark/>
          </w:tcPr>
          <w:p w14:paraId="30B94E0C" w14:textId="77777777" w:rsidR="00441240" w:rsidRPr="00FA72EC" w:rsidRDefault="00441240" w:rsidP="00894E15">
            <w:pPr>
              <w:contextualSpacing/>
              <w:rPr>
                <w:rFonts w:ascii="Verdana" w:hAnsi="Verdana" w:cs="Arial"/>
                <w:sz w:val="16"/>
                <w:szCs w:val="16"/>
                <w:lang w:val="es-ES" w:eastAsia="es-ES"/>
              </w:rPr>
            </w:pPr>
            <w:r w:rsidRPr="00FA72EC">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FF3EF03" w14:textId="77777777" w:rsidR="00441240" w:rsidRPr="00FA72EC" w:rsidRDefault="00441240" w:rsidP="00894E15">
            <w:pPr>
              <w:contextualSpacing/>
              <w:rPr>
                <w:rFonts w:ascii="Verdana" w:eastAsia="Arial" w:hAnsi="Verdana" w:cs="Arial"/>
                <w:sz w:val="16"/>
                <w:szCs w:val="16"/>
              </w:rPr>
            </w:pPr>
            <w:r w:rsidRPr="00FA72EC">
              <w:rPr>
                <w:rFonts w:ascii="Verdana" w:eastAsia="Arial" w:hAnsi="Verdana" w:cs="Arial"/>
                <w:sz w:val="16"/>
                <w:szCs w:val="16"/>
              </w:rPr>
              <w:t>Ana María Ortiz Ballesteros</w:t>
            </w:r>
          </w:p>
          <w:p w14:paraId="5C2518F6" w14:textId="77777777" w:rsidR="00441240" w:rsidRPr="00FA72EC" w:rsidRDefault="00441240" w:rsidP="00894E15">
            <w:pPr>
              <w:contextualSpacing/>
              <w:rPr>
                <w:rFonts w:ascii="Verdana" w:eastAsia="Arial" w:hAnsi="Verdana" w:cs="Arial"/>
                <w:sz w:val="16"/>
                <w:szCs w:val="16"/>
              </w:rPr>
            </w:pPr>
            <w:r w:rsidRPr="00FA72EC">
              <w:rPr>
                <w:rStyle w:val="normaltextrun"/>
                <w:rFonts w:ascii="Verdana" w:eastAsia="Arial" w:hAnsi="Verdana" w:cs="Arial"/>
                <w:sz w:val="16"/>
                <w:szCs w:val="16"/>
              </w:rPr>
              <w:t>C</w:t>
            </w:r>
            <w:r w:rsidRPr="00FA72EC">
              <w:rPr>
                <w:rStyle w:val="normaltextrun"/>
                <w:rFonts w:ascii="Verdana" w:hAnsi="Verdana"/>
                <w:sz w:val="16"/>
                <w:szCs w:val="16"/>
              </w:rPr>
              <w:t>ontratista</w:t>
            </w:r>
            <w:r w:rsidRPr="00FA72EC">
              <w:rPr>
                <w:rStyle w:val="normaltextrun"/>
                <w:rFonts w:ascii="Verdana" w:eastAsia="Arial" w:hAnsi="Verdana" w:cs="Arial"/>
                <w:sz w:val="16"/>
                <w:szCs w:val="16"/>
              </w:rPr>
              <w:t xml:space="preserve"> de la Subdirección de Gestión Contractual</w:t>
            </w:r>
          </w:p>
        </w:tc>
      </w:tr>
      <w:tr w:rsidR="00441240" w:rsidRPr="00FA72EC" w14:paraId="43CB0981" w14:textId="77777777" w:rsidTr="00894E15">
        <w:trPr>
          <w:trHeight w:val="330"/>
        </w:trPr>
        <w:tc>
          <w:tcPr>
            <w:tcW w:w="893" w:type="dxa"/>
            <w:vAlign w:val="center"/>
            <w:hideMark/>
          </w:tcPr>
          <w:p w14:paraId="008ADCEA" w14:textId="77777777" w:rsidR="00441240" w:rsidRPr="00FA72EC" w:rsidRDefault="00441240" w:rsidP="00894E15">
            <w:pPr>
              <w:contextualSpacing/>
              <w:rPr>
                <w:rFonts w:ascii="Verdana" w:hAnsi="Verdana" w:cs="Arial"/>
                <w:sz w:val="16"/>
                <w:szCs w:val="16"/>
                <w:lang w:val="es-ES" w:eastAsia="es-ES"/>
              </w:rPr>
            </w:pPr>
            <w:r w:rsidRPr="00FA72EC">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605EA45" w14:textId="088C1643" w:rsidR="005C5B4F" w:rsidRPr="00FA72EC" w:rsidRDefault="005C5B4F" w:rsidP="00894E15">
            <w:pPr>
              <w:pStyle w:val="paragraph"/>
              <w:spacing w:before="0" w:beforeAutospacing="0" w:after="0" w:afterAutospacing="0"/>
              <w:contextualSpacing/>
              <w:textAlignment w:val="baseline"/>
              <w:rPr>
                <w:rStyle w:val="normaltextrun"/>
                <w:rFonts w:ascii="Verdana" w:hAnsi="Verdana" w:cs="Arial"/>
                <w:sz w:val="16"/>
                <w:szCs w:val="16"/>
                <w:lang w:val="es-ES"/>
              </w:rPr>
            </w:pPr>
            <w:r w:rsidRPr="00FA72EC">
              <w:rPr>
                <w:rStyle w:val="normaltextrun"/>
                <w:rFonts w:ascii="Verdana" w:hAnsi="Verdana" w:cs="Arial"/>
                <w:sz w:val="16"/>
                <w:szCs w:val="16"/>
                <w:lang w:val="es-ES"/>
              </w:rPr>
              <w:t>Cielo Victoria González Meza</w:t>
            </w:r>
          </w:p>
          <w:p w14:paraId="26CDE4B0" w14:textId="15A1AA10" w:rsidR="00441240" w:rsidRPr="00FA72EC" w:rsidRDefault="00441240" w:rsidP="00894E15">
            <w:pPr>
              <w:pStyle w:val="paragraph"/>
              <w:spacing w:before="0" w:beforeAutospacing="0" w:after="0" w:afterAutospacing="0"/>
              <w:contextualSpacing/>
              <w:textAlignment w:val="baseline"/>
              <w:rPr>
                <w:rFonts w:ascii="Verdana" w:hAnsi="Verdana" w:cs="Segoe UI"/>
                <w:sz w:val="16"/>
                <w:szCs w:val="16"/>
              </w:rPr>
            </w:pPr>
            <w:r w:rsidRPr="00FA72EC">
              <w:rPr>
                <w:rStyle w:val="normaltextrun"/>
                <w:rFonts w:ascii="Verdana" w:eastAsia="Arial" w:hAnsi="Verdana" w:cs="Arial"/>
                <w:sz w:val="16"/>
                <w:szCs w:val="16"/>
              </w:rPr>
              <w:t>C</w:t>
            </w:r>
            <w:r w:rsidRPr="00FA72EC">
              <w:rPr>
                <w:rStyle w:val="normaltextrun"/>
                <w:rFonts w:ascii="Verdana" w:hAnsi="Verdana"/>
                <w:sz w:val="16"/>
                <w:szCs w:val="16"/>
              </w:rPr>
              <w:t>ontratista</w:t>
            </w:r>
            <w:r w:rsidRPr="00FA72EC">
              <w:rPr>
                <w:rStyle w:val="normaltextrun"/>
                <w:rFonts w:ascii="Verdana" w:eastAsia="Arial" w:hAnsi="Verdana" w:cs="Arial"/>
                <w:sz w:val="16"/>
                <w:szCs w:val="16"/>
              </w:rPr>
              <w:t xml:space="preserve"> de la Subdirección de Gestión Contractual</w:t>
            </w:r>
          </w:p>
        </w:tc>
      </w:tr>
      <w:tr w:rsidR="00441240" w:rsidRPr="00FA72EC" w14:paraId="7635AB20" w14:textId="77777777" w:rsidTr="00894E15">
        <w:trPr>
          <w:trHeight w:val="300"/>
        </w:trPr>
        <w:tc>
          <w:tcPr>
            <w:tcW w:w="893" w:type="dxa"/>
            <w:vAlign w:val="center"/>
          </w:tcPr>
          <w:p w14:paraId="5F388456" w14:textId="77777777" w:rsidR="00441240" w:rsidRPr="00FA72EC" w:rsidRDefault="00441240" w:rsidP="00894E15">
            <w:pPr>
              <w:contextualSpacing/>
              <w:rPr>
                <w:rFonts w:ascii="Verdana" w:hAnsi="Verdana" w:cs="Arial"/>
                <w:sz w:val="16"/>
                <w:szCs w:val="16"/>
                <w:lang w:val="es-ES" w:eastAsia="es-ES"/>
              </w:rPr>
            </w:pPr>
            <w:r w:rsidRPr="00FA72EC">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639B55B" w14:textId="77777777" w:rsidR="00441240" w:rsidRPr="00FA72EC" w:rsidRDefault="00441240" w:rsidP="00894E15">
            <w:pPr>
              <w:contextualSpacing/>
              <w:rPr>
                <w:rFonts w:ascii="Verdana" w:eastAsia="Calibri" w:hAnsi="Verdana" w:cs="Arial"/>
                <w:sz w:val="16"/>
                <w:szCs w:val="16"/>
                <w:lang w:val="pt-BR" w:eastAsia="es-ES"/>
              </w:rPr>
            </w:pPr>
            <w:r w:rsidRPr="00FA72EC">
              <w:rPr>
                <w:rFonts w:ascii="Verdana" w:eastAsia="Calibri" w:hAnsi="Verdana" w:cs="Arial"/>
                <w:sz w:val="16"/>
                <w:szCs w:val="16"/>
                <w:lang w:val="pt-BR" w:eastAsia="es-ES"/>
              </w:rPr>
              <w:t xml:space="preserve">Carolina Quintero </w:t>
            </w:r>
            <w:proofErr w:type="spellStart"/>
            <w:r w:rsidRPr="00FA72EC">
              <w:rPr>
                <w:rFonts w:ascii="Verdana" w:eastAsia="Calibri" w:hAnsi="Verdana" w:cs="Arial"/>
                <w:sz w:val="16"/>
                <w:szCs w:val="16"/>
                <w:lang w:val="pt-BR" w:eastAsia="es-ES"/>
              </w:rPr>
              <w:t>Gacharná</w:t>
            </w:r>
            <w:proofErr w:type="spellEnd"/>
          </w:p>
          <w:p w14:paraId="3EEF1CEE" w14:textId="77777777" w:rsidR="00441240" w:rsidRPr="00FA72EC" w:rsidRDefault="00441240" w:rsidP="00894E15">
            <w:pPr>
              <w:contextualSpacing/>
              <w:rPr>
                <w:rFonts w:ascii="Verdana" w:eastAsia="Calibri" w:hAnsi="Verdana" w:cs="Arial"/>
                <w:sz w:val="16"/>
                <w:szCs w:val="16"/>
                <w:lang w:val="pt-BR" w:eastAsia="es-ES"/>
              </w:rPr>
            </w:pPr>
            <w:r w:rsidRPr="00FA72EC">
              <w:rPr>
                <w:rFonts w:ascii="Verdana" w:eastAsia="Calibri" w:hAnsi="Verdana" w:cs="Arial"/>
                <w:sz w:val="16"/>
                <w:szCs w:val="16"/>
                <w:lang w:eastAsia="es-ES"/>
              </w:rPr>
              <w:t>Subdirectora</w:t>
            </w:r>
            <w:r w:rsidRPr="00FA72EC">
              <w:rPr>
                <w:rFonts w:ascii="Verdana" w:eastAsia="Calibri" w:hAnsi="Verdana" w:cs="Arial"/>
                <w:sz w:val="16"/>
                <w:szCs w:val="16"/>
                <w:lang w:val="pt-BR" w:eastAsia="es-ES"/>
              </w:rPr>
              <w:t xml:space="preserve"> de Gestión </w:t>
            </w:r>
            <w:proofErr w:type="spellStart"/>
            <w:r w:rsidRPr="00FA72EC">
              <w:rPr>
                <w:rFonts w:ascii="Verdana" w:eastAsia="Calibri" w:hAnsi="Verdana" w:cs="Arial"/>
                <w:sz w:val="16"/>
                <w:szCs w:val="16"/>
                <w:lang w:val="pt-BR" w:eastAsia="es-ES"/>
              </w:rPr>
              <w:t>Contractual</w:t>
            </w:r>
            <w:proofErr w:type="spellEnd"/>
            <w:r w:rsidRPr="00FA72EC">
              <w:rPr>
                <w:rFonts w:ascii="Verdana" w:eastAsia="Calibri" w:hAnsi="Verdana" w:cs="Arial"/>
                <w:sz w:val="16"/>
                <w:szCs w:val="16"/>
                <w:lang w:val="pt-BR" w:eastAsia="es-ES"/>
              </w:rPr>
              <w:t xml:space="preserve"> ANCP – CCE</w:t>
            </w:r>
          </w:p>
        </w:tc>
      </w:tr>
    </w:tbl>
    <w:p w14:paraId="6057CE08" w14:textId="77777777" w:rsidR="00441240" w:rsidRPr="0044528D" w:rsidRDefault="00441240" w:rsidP="00247CB8">
      <w:pPr>
        <w:spacing w:after="0"/>
        <w:rPr>
          <w:rFonts w:ascii="Verdana" w:hAnsi="Verdana"/>
        </w:rPr>
      </w:pPr>
    </w:p>
    <w:sectPr w:rsidR="00441240"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12D21" w14:textId="77777777" w:rsidR="00205A38" w:rsidRDefault="00205A38" w:rsidP="004A1847">
      <w:pPr>
        <w:spacing w:after="0" w:line="240" w:lineRule="auto"/>
      </w:pPr>
      <w:r>
        <w:separator/>
      </w:r>
    </w:p>
  </w:endnote>
  <w:endnote w:type="continuationSeparator" w:id="0">
    <w:p w14:paraId="0BDB77F0" w14:textId="77777777" w:rsidR="00205A38" w:rsidRDefault="00205A38" w:rsidP="004A1847">
      <w:pPr>
        <w:spacing w:after="0" w:line="240" w:lineRule="auto"/>
      </w:pPr>
      <w:r>
        <w:continuationSeparator/>
      </w:r>
    </w:p>
  </w:endnote>
  <w:endnote w:type="continuationNotice" w:id="1">
    <w:p w14:paraId="569A0124" w14:textId="77777777" w:rsidR="00205A38" w:rsidRDefault="00205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EB53" w14:textId="77777777" w:rsidR="00205A38" w:rsidRDefault="00205A38" w:rsidP="004A1847">
      <w:pPr>
        <w:spacing w:after="0" w:line="240" w:lineRule="auto"/>
      </w:pPr>
      <w:r>
        <w:separator/>
      </w:r>
    </w:p>
  </w:footnote>
  <w:footnote w:type="continuationSeparator" w:id="0">
    <w:p w14:paraId="31388463" w14:textId="77777777" w:rsidR="00205A38" w:rsidRDefault="00205A38" w:rsidP="004A1847">
      <w:pPr>
        <w:spacing w:after="0" w:line="240" w:lineRule="auto"/>
      </w:pPr>
      <w:r>
        <w:continuationSeparator/>
      </w:r>
    </w:p>
  </w:footnote>
  <w:footnote w:type="continuationNotice" w:id="1">
    <w:p w14:paraId="67677147" w14:textId="77777777" w:rsidR="00205A38" w:rsidRDefault="00205A38">
      <w:pPr>
        <w:spacing w:after="0" w:line="240" w:lineRule="auto"/>
      </w:pPr>
    </w:p>
  </w:footnote>
  <w:footnote w:id="2">
    <w:p w14:paraId="7FC2564E" w14:textId="560C83D2" w:rsidR="006A0163" w:rsidRPr="00277A17" w:rsidRDefault="006A0163" w:rsidP="00BF401E">
      <w:pPr>
        <w:pStyle w:val="Textonotapie"/>
        <w:ind w:firstLine="708"/>
        <w:jc w:val="both"/>
        <w:rPr>
          <w:rFonts w:ascii="Verdana" w:hAnsi="Verdana"/>
          <w:sz w:val="18"/>
          <w:szCs w:val="18"/>
        </w:rPr>
      </w:pPr>
      <w:r w:rsidRPr="00277A17">
        <w:rPr>
          <w:rStyle w:val="Refdenotaalpie"/>
          <w:rFonts w:ascii="Verdana" w:hAnsi="Verdana"/>
          <w:sz w:val="18"/>
          <w:szCs w:val="18"/>
        </w:rPr>
        <w:footnoteRef/>
      </w:r>
      <w:r w:rsidRPr="00277A17">
        <w:rPr>
          <w:rFonts w:ascii="Verdana" w:hAnsi="Verdana"/>
          <w:sz w:val="18"/>
          <w:szCs w:val="18"/>
        </w:rPr>
        <w:t xml:space="preserve"> Artículo 2 de la Ley 1150 de 2007.</w:t>
      </w:r>
    </w:p>
    <w:p w14:paraId="5DBB221E" w14:textId="77777777" w:rsidR="00875A4E" w:rsidRPr="00277A17" w:rsidRDefault="00875A4E" w:rsidP="00BF401E">
      <w:pPr>
        <w:pStyle w:val="Textonotapie"/>
        <w:ind w:firstLine="708"/>
        <w:jc w:val="both"/>
        <w:rPr>
          <w:rFonts w:ascii="Verdana" w:hAnsi="Verdana"/>
          <w:sz w:val="18"/>
          <w:szCs w:val="18"/>
        </w:rPr>
      </w:pPr>
    </w:p>
  </w:footnote>
  <w:footnote w:id="3">
    <w:p w14:paraId="41FE3BD6" w14:textId="1679A646" w:rsidR="004B4490" w:rsidRPr="00277A17" w:rsidRDefault="004B4490" w:rsidP="00BF401E">
      <w:pPr>
        <w:pStyle w:val="Textonotapie"/>
        <w:ind w:firstLine="708"/>
        <w:jc w:val="both"/>
        <w:rPr>
          <w:rFonts w:ascii="Verdana" w:hAnsi="Verdana"/>
          <w:sz w:val="18"/>
          <w:szCs w:val="18"/>
          <w:lang w:val="es-CO"/>
        </w:rPr>
      </w:pPr>
      <w:r w:rsidRPr="00277A17">
        <w:rPr>
          <w:rStyle w:val="Refdenotaalpie"/>
          <w:rFonts w:ascii="Verdana" w:hAnsi="Verdana"/>
          <w:sz w:val="18"/>
          <w:szCs w:val="18"/>
        </w:rPr>
        <w:footnoteRef/>
      </w:r>
      <w:r w:rsidRPr="00277A17">
        <w:rPr>
          <w:rFonts w:ascii="Verdana" w:hAnsi="Verdana"/>
          <w:sz w:val="18"/>
          <w:szCs w:val="18"/>
        </w:rPr>
        <w:t xml:space="preserve"> </w:t>
      </w:r>
      <w:r w:rsidRPr="00277A17">
        <w:rPr>
          <w:rFonts w:ascii="Verdana" w:hAnsi="Verdana"/>
          <w:sz w:val="18"/>
          <w:szCs w:val="18"/>
          <w:lang w:val="es-CO"/>
        </w:rPr>
        <w:t xml:space="preserve">CONSEJO DE ESTADO SALA DE CONSULTA Y SERVICIO CIVIL </w:t>
      </w:r>
      <w:r w:rsidR="00FF4FDE" w:rsidRPr="00277A17">
        <w:rPr>
          <w:rFonts w:ascii="Verdana" w:hAnsi="Verdana"/>
          <w:sz w:val="18"/>
          <w:szCs w:val="18"/>
          <w:lang w:val="es-CO"/>
        </w:rPr>
        <w:t>consejero</w:t>
      </w:r>
      <w:r w:rsidRPr="00277A17">
        <w:rPr>
          <w:rFonts w:ascii="Verdana" w:hAnsi="Verdana"/>
          <w:sz w:val="18"/>
          <w:szCs w:val="18"/>
          <w:lang w:val="es-CO"/>
        </w:rPr>
        <w:t xml:space="preserve"> ponente: WILLIAM ZAMBRANO </w:t>
      </w:r>
      <w:r w:rsidR="00FF4FDE" w:rsidRPr="00277A17">
        <w:rPr>
          <w:rFonts w:ascii="Verdana" w:hAnsi="Verdana"/>
          <w:sz w:val="18"/>
          <w:szCs w:val="18"/>
          <w:lang w:val="es-CO"/>
        </w:rPr>
        <w:t>CETINA Bogotá́</w:t>
      </w:r>
      <w:r w:rsidRPr="00277A17">
        <w:rPr>
          <w:rFonts w:ascii="Verdana" w:hAnsi="Verdana"/>
          <w:sz w:val="18"/>
          <w:szCs w:val="18"/>
          <w:lang w:val="es-CO"/>
        </w:rPr>
        <w:t xml:space="preserve"> D.C., veintiocho (28) de junio de dos mil doce (2012</w:t>
      </w:r>
      <w:r w:rsidR="00FF4FDE" w:rsidRPr="00277A17">
        <w:rPr>
          <w:rFonts w:ascii="Verdana" w:hAnsi="Verdana"/>
          <w:sz w:val="18"/>
          <w:szCs w:val="18"/>
          <w:lang w:val="es-CO"/>
        </w:rPr>
        <w:t>) Radicación</w:t>
      </w:r>
      <w:r w:rsidRPr="00277A17">
        <w:rPr>
          <w:rFonts w:ascii="Verdana" w:hAnsi="Verdana"/>
          <w:sz w:val="18"/>
          <w:szCs w:val="18"/>
          <w:lang w:val="es-CO"/>
        </w:rPr>
        <w:t xml:space="preserve"> </w:t>
      </w:r>
      <w:r w:rsidR="00FF4FDE" w:rsidRPr="00277A17">
        <w:rPr>
          <w:rFonts w:ascii="Verdana" w:hAnsi="Verdana"/>
          <w:sz w:val="18"/>
          <w:szCs w:val="18"/>
          <w:lang w:val="es-CO"/>
        </w:rPr>
        <w:t>número</w:t>
      </w:r>
      <w:r w:rsidRPr="00277A17">
        <w:rPr>
          <w:rFonts w:ascii="Verdana" w:hAnsi="Verdana"/>
          <w:sz w:val="18"/>
          <w:szCs w:val="18"/>
          <w:lang w:val="es-CO"/>
        </w:rPr>
        <w:t>: 11001-03-06-000-2012-00016-00(2092</w:t>
      </w:r>
      <w:r w:rsidR="00FF4FDE" w:rsidRPr="00277A17">
        <w:rPr>
          <w:rFonts w:ascii="Verdana" w:hAnsi="Verdana"/>
          <w:sz w:val="18"/>
          <w:szCs w:val="18"/>
          <w:lang w:val="es-CO"/>
        </w:rPr>
        <w:t>) Actor</w:t>
      </w:r>
      <w:r w:rsidRPr="00277A17">
        <w:rPr>
          <w:rFonts w:ascii="Verdana" w:hAnsi="Verdana"/>
          <w:sz w:val="18"/>
          <w:szCs w:val="18"/>
          <w:lang w:val="es-CO"/>
        </w:rPr>
        <w:t xml:space="preserve">: MINISTERIO DE EDUCACION </w:t>
      </w:r>
      <w:r w:rsidR="00FF4FDE" w:rsidRPr="00277A17">
        <w:rPr>
          <w:rFonts w:ascii="Verdana" w:hAnsi="Verdana"/>
          <w:sz w:val="18"/>
          <w:szCs w:val="18"/>
          <w:lang w:val="es-CO"/>
        </w:rPr>
        <w:t>NACIONAL Referencia</w:t>
      </w:r>
      <w:r w:rsidRPr="00277A17">
        <w:rPr>
          <w:rFonts w:ascii="Verdana" w:hAnsi="Verdana"/>
          <w:sz w:val="18"/>
          <w:szCs w:val="18"/>
          <w:lang w:val="es-CO"/>
        </w:rPr>
        <w:t xml:space="preserve">: </w:t>
      </w:r>
      <w:r w:rsidR="00FF4FDE" w:rsidRPr="00277A17">
        <w:rPr>
          <w:rFonts w:ascii="Verdana" w:hAnsi="Verdana"/>
          <w:sz w:val="18"/>
          <w:szCs w:val="18"/>
          <w:lang w:val="es-CO"/>
        </w:rPr>
        <w:t>Régimen</w:t>
      </w:r>
      <w:r w:rsidRPr="00277A17">
        <w:rPr>
          <w:rFonts w:ascii="Verdana" w:hAnsi="Verdana"/>
          <w:sz w:val="18"/>
          <w:szCs w:val="18"/>
          <w:lang w:val="es-CO"/>
        </w:rPr>
        <w:t xml:space="preserve"> contractual de las universidades estatales. Efectos de la Ley 1474 de 2011. https://www.consejodeestado.gov.co/documentos/boletines/112/S5/11001-03-06-000-2012-00016-00(2092).pdf</w:t>
      </w:r>
    </w:p>
  </w:footnote>
  <w:footnote w:id="4">
    <w:p w14:paraId="2E0A10A8" w14:textId="77777777" w:rsidR="00445D87" w:rsidRPr="00277A17" w:rsidRDefault="00445D87" w:rsidP="00BF401E">
      <w:pPr>
        <w:pStyle w:val="Textonotapie"/>
        <w:ind w:firstLine="708"/>
        <w:jc w:val="both"/>
        <w:rPr>
          <w:rFonts w:ascii="Verdana" w:hAnsi="Verdana" w:cs="Arial"/>
          <w:sz w:val="18"/>
          <w:szCs w:val="18"/>
          <w:lang w:val="es-ES_tradnl"/>
        </w:rPr>
      </w:pPr>
      <w:r w:rsidRPr="00277A17">
        <w:rPr>
          <w:rStyle w:val="Refdenotaalpie"/>
          <w:rFonts w:ascii="Verdana" w:hAnsi="Verdana" w:cs="Arial"/>
          <w:sz w:val="18"/>
          <w:szCs w:val="18"/>
        </w:rPr>
        <w:footnoteRef/>
      </w:r>
      <w:r w:rsidRPr="00277A17">
        <w:rPr>
          <w:rFonts w:ascii="Verdana" w:hAnsi="Verdana" w:cs="Arial"/>
          <w:sz w:val="18"/>
          <w:szCs w:val="18"/>
        </w:rPr>
        <w:t xml:space="preserve"> </w:t>
      </w:r>
      <w:r w:rsidRPr="00277A17">
        <w:rPr>
          <w:rFonts w:ascii="Verdana" w:hAnsi="Verdana" w:cs="Arial"/>
          <w:sz w:val="18"/>
          <w:szCs w:val="18"/>
          <w:lang w:val="es-ES_tradnl"/>
        </w:rPr>
        <w:t xml:space="preserve">Respecto a la referencia a los bienes inmuebles, debe considerarse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14:paraId="532DD66B" w14:textId="77777777" w:rsidR="00445D87" w:rsidRPr="00277A17" w:rsidRDefault="00445D87" w:rsidP="00BF401E">
      <w:pPr>
        <w:pStyle w:val="Textonotapie"/>
        <w:ind w:firstLine="708"/>
        <w:jc w:val="both"/>
        <w:rPr>
          <w:rFonts w:ascii="Verdana" w:hAnsi="Verdana" w:cs="Arial"/>
          <w:sz w:val="18"/>
          <w:szCs w:val="18"/>
          <w:lang w:val="es-ES_tradnl"/>
        </w:rPr>
      </w:pPr>
    </w:p>
  </w:footnote>
  <w:footnote w:id="5">
    <w:p w14:paraId="2087BB76" w14:textId="77777777" w:rsidR="00445D87" w:rsidRPr="00277A17" w:rsidRDefault="00445D87" w:rsidP="00BF401E">
      <w:pPr>
        <w:pStyle w:val="Textonotapie"/>
        <w:ind w:firstLine="709"/>
        <w:jc w:val="both"/>
        <w:rPr>
          <w:rFonts w:ascii="Verdana" w:hAnsi="Verdana" w:cs="Arial"/>
          <w:color w:val="000000"/>
          <w:sz w:val="18"/>
          <w:szCs w:val="18"/>
        </w:rPr>
      </w:pPr>
      <w:r w:rsidRPr="00277A17">
        <w:rPr>
          <w:rStyle w:val="Refdenotaalpie"/>
          <w:rFonts w:ascii="Verdana" w:hAnsi="Verdana" w:cs="Arial"/>
          <w:color w:val="000000"/>
          <w:sz w:val="18"/>
          <w:szCs w:val="18"/>
        </w:rPr>
        <w:footnoteRef/>
      </w:r>
      <w:r w:rsidRPr="00277A17">
        <w:rPr>
          <w:rFonts w:ascii="Verdana" w:hAnsi="Verdana" w:cs="Arial"/>
          <w:color w:val="000000"/>
          <w:sz w:val="18"/>
          <w:szCs w:val="18"/>
        </w:rPr>
        <w:t xml:space="preserve"> OSPINA MENA, Jesús Marino. Régimen de la Contratación Estatal. Un salto a la contratación liquida. Bogotá: Dike, 2020. p. 168.</w:t>
      </w:r>
    </w:p>
    <w:p w14:paraId="122F699F" w14:textId="77777777" w:rsidR="00445D87" w:rsidRPr="00277A17" w:rsidRDefault="00445D87" w:rsidP="00BF401E">
      <w:pPr>
        <w:pStyle w:val="Textonotapie"/>
        <w:ind w:firstLine="709"/>
        <w:jc w:val="both"/>
        <w:rPr>
          <w:rFonts w:ascii="Verdana" w:hAnsi="Verdana" w:cs="Arial"/>
          <w:color w:val="000000"/>
          <w:sz w:val="18"/>
          <w:szCs w:val="18"/>
        </w:rPr>
      </w:pPr>
    </w:p>
  </w:footnote>
  <w:footnote w:id="6">
    <w:p w14:paraId="3FF3C4BD" w14:textId="77777777" w:rsidR="00445D87" w:rsidRPr="00277A17" w:rsidRDefault="00445D87" w:rsidP="00BF401E">
      <w:pPr>
        <w:pStyle w:val="Textonotapie"/>
        <w:ind w:firstLine="709"/>
        <w:jc w:val="both"/>
        <w:rPr>
          <w:rFonts w:ascii="Verdana" w:hAnsi="Verdana" w:cs="Arial"/>
          <w:color w:val="000000"/>
          <w:sz w:val="18"/>
          <w:szCs w:val="18"/>
        </w:rPr>
      </w:pPr>
      <w:r w:rsidRPr="00277A17">
        <w:rPr>
          <w:rStyle w:val="Refdenotaalpie"/>
          <w:rFonts w:ascii="Verdana" w:hAnsi="Verdana" w:cs="Arial"/>
          <w:color w:val="000000"/>
          <w:sz w:val="18"/>
          <w:szCs w:val="18"/>
        </w:rPr>
        <w:footnoteRef/>
      </w:r>
      <w:r w:rsidRPr="00277A17">
        <w:rPr>
          <w:rFonts w:ascii="Verdana" w:hAnsi="Verdana" w:cs="Arial"/>
          <w:color w:val="000000"/>
          <w:sz w:val="18"/>
          <w:szCs w:val="18"/>
        </w:rPr>
        <w:t xml:space="preserve"> CONSEJO DE ESTADO. Sala de Consulta y Servicio Civil. Concepto del 5 de septiembre de 2018. Rad. 2.386. C.P. Edgar González López.</w:t>
      </w:r>
    </w:p>
  </w:footnote>
  <w:footnote w:id="7">
    <w:p w14:paraId="194CF2C8" w14:textId="7A1D9FB5" w:rsidR="0017406D" w:rsidRPr="00277A17" w:rsidRDefault="00553268" w:rsidP="00BF401E">
      <w:pPr>
        <w:pStyle w:val="Textonotapie"/>
        <w:ind w:firstLine="708"/>
        <w:jc w:val="both"/>
        <w:rPr>
          <w:rFonts w:ascii="Verdana" w:hAnsi="Verdana"/>
          <w:sz w:val="18"/>
          <w:szCs w:val="18"/>
          <w:lang w:val="es-CO"/>
        </w:rPr>
      </w:pPr>
      <w:r w:rsidRPr="00277A17">
        <w:rPr>
          <w:rStyle w:val="Refdenotaalpie"/>
          <w:rFonts w:ascii="Verdana" w:hAnsi="Verdana"/>
          <w:sz w:val="18"/>
          <w:szCs w:val="18"/>
        </w:rPr>
        <w:footnoteRef/>
      </w:r>
      <w:r w:rsidR="000E3356" w:rsidRPr="00277A17">
        <w:rPr>
          <w:rFonts w:ascii="Verdana" w:hAnsi="Verdana"/>
          <w:sz w:val="18"/>
          <w:szCs w:val="18"/>
          <w:lang w:val="es-CO"/>
        </w:rPr>
        <w:t xml:space="preserve">Decreto 1082 de 2015: “Artículo </w:t>
      </w:r>
      <w:bookmarkStart w:id="2" w:name="_Hlk132977831"/>
      <w:r w:rsidR="000E3356" w:rsidRPr="00277A17">
        <w:rPr>
          <w:rFonts w:ascii="Verdana" w:hAnsi="Verdana"/>
          <w:sz w:val="18"/>
          <w:szCs w:val="18"/>
          <w:lang w:val="es-CO"/>
        </w:rPr>
        <w:t>2.2.1.2.1.4.4</w:t>
      </w:r>
      <w:bookmarkEnd w:id="2"/>
      <w:r w:rsidR="000E3356" w:rsidRPr="00277A17">
        <w:rPr>
          <w:rFonts w:ascii="Verdana" w:hAnsi="Verdana"/>
          <w:sz w:val="18"/>
          <w:szCs w:val="18"/>
          <w:lang w:val="es-CO"/>
        </w:rPr>
        <w:t xml:space="preserve">. Convenios o contratos interadministrativos. La modalidad de selección para la contratación entre Entidades Estatales es la contratación directa; </w:t>
      </w:r>
      <w:r w:rsidR="00A21EB4" w:rsidRPr="00277A17">
        <w:rPr>
          <w:rFonts w:ascii="Verdana" w:hAnsi="Verdana"/>
          <w:sz w:val="18"/>
          <w:szCs w:val="18"/>
          <w:lang w:val="es-CO"/>
        </w:rPr>
        <w:t>y,</w:t>
      </w:r>
      <w:r w:rsidR="000E3356" w:rsidRPr="00277A17">
        <w:rPr>
          <w:rFonts w:ascii="Verdana" w:hAnsi="Verdana"/>
          <w:sz w:val="18"/>
          <w:szCs w:val="18"/>
          <w:lang w:val="es-CO"/>
        </w:rPr>
        <w:t xml:space="preserve"> en consecuencia, le es aplicable lo establecido en el artículo 2.2.1.2.1.4.1 del presente decreto.</w:t>
      </w:r>
    </w:p>
    <w:p w14:paraId="142AEAB0" w14:textId="77777777" w:rsidR="000E3356" w:rsidRPr="00277A17" w:rsidRDefault="000E3356" w:rsidP="00BF401E">
      <w:pPr>
        <w:pStyle w:val="Textonotapie"/>
        <w:ind w:firstLine="708"/>
        <w:jc w:val="both"/>
        <w:rPr>
          <w:rFonts w:ascii="Verdana" w:hAnsi="Verdana"/>
          <w:sz w:val="18"/>
          <w:szCs w:val="18"/>
          <w:lang w:val="es-CO"/>
        </w:rPr>
      </w:pPr>
      <w:r w:rsidRPr="00277A17">
        <w:rPr>
          <w:rFonts w:ascii="Verdana" w:hAnsi="Verdana"/>
          <w:sz w:val="18"/>
          <w:szCs w:val="18"/>
          <w:lang w:val="es-CO"/>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6F4DF6BF" w14:textId="4D7A1E1B" w:rsidR="00553268" w:rsidRPr="00277A17" w:rsidRDefault="00553268" w:rsidP="00BF401E">
      <w:pPr>
        <w:pStyle w:val="Textonotapie"/>
        <w:jc w:val="both"/>
        <w:rPr>
          <w:rFonts w:ascii="Verdana" w:hAnsi="Verdana"/>
          <w:sz w:val="18"/>
          <w:szCs w:val="18"/>
        </w:rPr>
      </w:pPr>
    </w:p>
  </w:footnote>
  <w:footnote w:id="8">
    <w:p w14:paraId="6F52AAE5" w14:textId="4D90A7EC" w:rsidR="00254E45" w:rsidRPr="00277A17" w:rsidRDefault="00254E45" w:rsidP="00BF401E">
      <w:pPr>
        <w:spacing w:after="0" w:line="240" w:lineRule="auto"/>
        <w:ind w:firstLine="709"/>
        <w:jc w:val="both"/>
        <w:rPr>
          <w:rFonts w:ascii="Verdana" w:hAnsi="Verdana" w:cs="Arial"/>
          <w:sz w:val="18"/>
          <w:szCs w:val="18"/>
        </w:rPr>
      </w:pPr>
      <w:r w:rsidRPr="00277A17">
        <w:rPr>
          <w:rStyle w:val="Refdenotaalpie"/>
          <w:rFonts w:ascii="Verdana" w:hAnsi="Verdana" w:cs="Arial"/>
          <w:sz w:val="18"/>
          <w:szCs w:val="18"/>
        </w:rPr>
        <w:footnoteRef/>
      </w:r>
      <w:r w:rsidR="00EC3C5B" w:rsidRPr="00277A17">
        <w:rPr>
          <w:rFonts w:ascii="Verdana" w:hAnsi="Verdana" w:cs="Arial"/>
          <w:sz w:val="18"/>
          <w:szCs w:val="18"/>
        </w:rPr>
        <w:t xml:space="preserve"> </w:t>
      </w:r>
      <w:r w:rsidRPr="00277A17">
        <w:rPr>
          <w:rFonts w:ascii="Verdana" w:hAnsi="Verdana" w:cs="Arial"/>
          <w:sz w:val="18"/>
          <w:szCs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277A17">
        <w:rPr>
          <w:rFonts w:ascii="Verdana" w:hAnsi="Verdana" w:cs="Arial"/>
          <w:spacing w:val="-6"/>
          <w:sz w:val="18"/>
          <w:szCs w:val="18"/>
        </w:rPr>
        <w:t xml:space="preserve"> </w:t>
      </w:r>
      <w:r w:rsidRPr="00277A17">
        <w:rPr>
          <w:rFonts w:ascii="Verdana" w:hAnsi="Verdana" w:cs="Arial"/>
          <w:sz w:val="18"/>
          <w:szCs w:val="18"/>
        </w:rPr>
        <w:t>artículo”.</w:t>
      </w:r>
    </w:p>
    <w:p w14:paraId="5172F69F" w14:textId="77777777" w:rsidR="00254E45" w:rsidRPr="00277A17" w:rsidRDefault="00254E45" w:rsidP="00BF401E">
      <w:pPr>
        <w:spacing w:after="0" w:line="240" w:lineRule="auto"/>
        <w:ind w:firstLine="709"/>
        <w:jc w:val="both"/>
        <w:rPr>
          <w:rFonts w:ascii="Verdana" w:hAnsi="Verdana" w:cs="Arial"/>
          <w:sz w:val="18"/>
          <w:szCs w:val="18"/>
        </w:rPr>
      </w:pPr>
    </w:p>
  </w:footnote>
  <w:footnote w:id="9">
    <w:p w14:paraId="7146BE2C" w14:textId="77777777" w:rsidR="000064CB" w:rsidRPr="00277A17" w:rsidRDefault="000064CB" w:rsidP="00BF401E">
      <w:pPr>
        <w:spacing w:after="0" w:line="240" w:lineRule="auto"/>
        <w:ind w:firstLine="709"/>
        <w:jc w:val="both"/>
        <w:rPr>
          <w:rFonts w:ascii="Verdana" w:hAnsi="Verdana" w:cs="Arial"/>
          <w:sz w:val="18"/>
          <w:szCs w:val="18"/>
        </w:rPr>
      </w:pPr>
      <w:r w:rsidRPr="00277A17">
        <w:rPr>
          <w:rStyle w:val="Refdenotaalpie"/>
          <w:rFonts w:ascii="Verdana" w:hAnsi="Verdana" w:cs="Arial"/>
          <w:sz w:val="18"/>
          <w:szCs w:val="18"/>
        </w:rPr>
        <w:footnoteRef/>
      </w:r>
      <w:r w:rsidRPr="00277A17">
        <w:rPr>
          <w:rFonts w:ascii="Verdana" w:hAnsi="Verdana" w:cs="Arial"/>
          <w:position w:val="7"/>
          <w:sz w:val="18"/>
          <w:szCs w:val="18"/>
        </w:rPr>
        <w:t xml:space="preserve"> </w:t>
      </w:r>
      <w:r w:rsidRPr="00277A17">
        <w:rPr>
          <w:rFonts w:ascii="Verdana" w:hAnsi="Verdana" w:cs="Arial"/>
          <w:sz w:val="18"/>
          <w:szCs w:val="18"/>
        </w:rPr>
        <w:t>Consejo de Estado. Sección Tercera. Sentencia del 23 de junio de 2010. Radicación No. 66001-23-31-000-1998-00261-01(17.860). C. P. Mauricio Fajardo Gómez.</w:t>
      </w:r>
    </w:p>
  </w:footnote>
  <w:footnote w:id="10">
    <w:p w14:paraId="242D1DBC" w14:textId="30EE58BD" w:rsidR="000F7471" w:rsidRPr="00277A17" w:rsidRDefault="000F7471" w:rsidP="00BF401E">
      <w:pPr>
        <w:pStyle w:val="Textonotapie"/>
        <w:ind w:firstLine="708"/>
        <w:jc w:val="both"/>
        <w:rPr>
          <w:rFonts w:ascii="Verdana" w:hAnsi="Verdana"/>
          <w:sz w:val="18"/>
          <w:szCs w:val="18"/>
          <w:lang w:val="es-CO"/>
        </w:rPr>
      </w:pPr>
      <w:r w:rsidRPr="00277A17">
        <w:rPr>
          <w:rStyle w:val="Refdenotaalpie"/>
          <w:rFonts w:ascii="Verdana" w:hAnsi="Verdana"/>
          <w:sz w:val="18"/>
          <w:szCs w:val="18"/>
        </w:rPr>
        <w:footnoteRef/>
      </w:r>
      <w:r w:rsidRPr="00277A17">
        <w:rPr>
          <w:rFonts w:ascii="Verdana" w:hAnsi="Verdana"/>
          <w:sz w:val="18"/>
          <w:szCs w:val="18"/>
        </w:rPr>
        <w:t xml:space="preserve"> </w:t>
      </w:r>
      <w:r w:rsidRPr="00277A17">
        <w:rPr>
          <w:rFonts w:ascii="Verdana" w:hAnsi="Verdana"/>
          <w:sz w:val="18"/>
          <w:szCs w:val="18"/>
          <w:lang w:val="es-CO"/>
        </w:rPr>
        <w:t xml:space="preserve">Consejo de Estado. </w:t>
      </w:r>
      <w:r w:rsidR="00422A55" w:rsidRPr="00277A17">
        <w:rPr>
          <w:rFonts w:ascii="Verdana" w:hAnsi="Verdana"/>
          <w:sz w:val="18"/>
          <w:szCs w:val="18"/>
          <w:lang w:val="es-CO"/>
        </w:rPr>
        <w:t>Sección</w:t>
      </w:r>
      <w:r w:rsidRPr="00277A17">
        <w:rPr>
          <w:rFonts w:ascii="Verdana" w:hAnsi="Verdana"/>
          <w:sz w:val="18"/>
          <w:szCs w:val="18"/>
          <w:lang w:val="es-CO"/>
        </w:rPr>
        <w:t xml:space="preserve"> Tercera. </w:t>
      </w:r>
      <w:r w:rsidR="008D2FE8" w:rsidRPr="00277A17">
        <w:rPr>
          <w:rFonts w:ascii="Verdana" w:hAnsi="Verdana"/>
          <w:sz w:val="18"/>
          <w:szCs w:val="18"/>
          <w:lang w:val="es-CO"/>
        </w:rPr>
        <w:t>Subsección</w:t>
      </w:r>
      <w:r w:rsidRPr="00277A17">
        <w:rPr>
          <w:rFonts w:ascii="Verdana" w:hAnsi="Verdana"/>
          <w:sz w:val="18"/>
          <w:szCs w:val="18"/>
          <w:lang w:val="es-CO"/>
        </w:rPr>
        <w:t xml:space="preserve"> C. Sentencia del 11 de diciembre de 2019. </w:t>
      </w:r>
      <w:proofErr w:type="spellStart"/>
      <w:r w:rsidRPr="00277A17">
        <w:rPr>
          <w:rFonts w:ascii="Verdana" w:hAnsi="Verdana"/>
          <w:sz w:val="18"/>
          <w:szCs w:val="18"/>
          <w:lang w:val="es-CO"/>
        </w:rPr>
        <w:t>Exp</w:t>
      </w:r>
      <w:proofErr w:type="spellEnd"/>
      <w:r w:rsidRPr="00277A17">
        <w:rPr>
          <w:rFonts w:ascii="Verdana" w:hAnsi="Verdana"/>
          <w:sz w:val="18"/>
          <w:szCs w:val="18"/>
          <w:lang w:val="es-CO"/>
        </w:rPr>
        <w:t xml:space="preserve">. 46.986. C.P. Jaime Enrique </w:t>
      </w:r>
      <w:r w:rsidR="00422A55" w:rsidRPr="00277A17">
        <w:rPr>
          <w:rFonts w:ascii="Verdana" w:hAnsi="Verdana"/>
          <w:sz w:val="18"/>
          <w:szCs w:val="18"/>
          <w:lang w:val="es-CO"/>
        </w:rPr>
        <w:t>Rodríguez</w:t>
      </w:r>
      <w:r w:rsidRPr="00277A17">
        <w:rPr>
          <w:rFonts w:ascii="Verdana" w:hAnsi="Verdana"/>
          <w:sz w:val="18"/>
          <w:szCs w:val="18"/>
          <w:lang w:val="es-CO"/>
        </w:rPr>
        <w:t xml:space="preserve"> Navas. </w:t>
      </w:r>
    </w:p>
    <w:p w14:paraId="71DA683F" w14:textId="77777777" w:rsidR="000F7471" w:rsidRPr="00277A17" w:rsidRDefault="000F7471" w:rsidP="00BF401E">
      <w:pPr>
        <w:pStyle w:val="Textonotapie"/>
        <w:jc w:val="both"/>
        <w:rPr>
          <w:rFonts w:ascii="Verdana" w:hAnsi="Verdana"/>
          <w:sz w:val="18"/>
          <w:szCs w:val="18"/>
        </w:rPr>
      </w:pPr>
    </w:p>
  </w:footnote>
  <w:footnote w:id="11">
    <w:p w14:paraId="23267D67" w14:textId="51A03BE5" w:rsidR="00DF7FED" w:rsidRPr="00277A17" w:rsidRDefault="00DF7FED" w:rsidP="00BF401E">
      <w:pPr>
        <w:pStyle w:val="Textonotapie"/>
        <w:ind w:firstLine="708"/>
        <w:jc w:val="both"/>
        <w:rPr>
          <w:rFonts w:ascii="Verdana" w:hAnsi="Verdana"/>
          <w:sz w:val="18"/>
          <w:szCs w:val="18"/>
          <w:lang w:val="es-CO"/>
        </w:rPr>
      </w:pPr>
      <w:r w:rsidRPr="00277A17">
        <w:rPr>
          <w:rStyle w:val="Refdenotaalpie"/>
          <w:rFonts w:ascii="Verdana" w:hAnsi="Verdana"/>
          <w:sz w:val="18"/>
          <w:szCs w:val="18"/>
        </w:rPr>
        <w:footnoteRef/>
      </w:r>
      <w:r w:rsidRPr="00277A17">
        <w:rPr>
          <w:rFonts w:ascii="Verdana" w:hAnsi="Verdana"/>
          <w:sz w:val="18"/>
          <w:szCs w:val="18"/>
        </w:rPr>
        <w:t xml:space="preserve"> </w:t>
      </w:r>
      <w:r w:rsidRPr="00277A17">
        <w:rPr>
          <w:rFonts w:ascii="Verdana" w:hAnsi="Verdana"/>
          <w:sz w:val="18"/>
          <w:szCs w:val="18"/>
          <w:lang w:val="es-CO"/>
        </w:rPr>
        <w:t xml:space="preserve">En </w:t>
      </w:r>
      <w:r w:rsidR="005E766E" w:rsidRPr="00277A17">
        <w:rPr>
          <w:rFonts w:ascii="Verdana" w:hAnsi="Verdana"/>
          <w:sz w:val="18"/>
          <w:szCs w:val="18"/>
          <w:lang w:val="es-CO"/>
        </w:rPr>
        <w:t>línea</w:t>
      </w:r>
      <w:r w:rsidRPr="00277A17">
        <w:rPr>
          <w:rFonts w:ascii="Verdana" w:hAnsi="Verdana"/>
          <w:sz w:val="18"/>
          <w:szCs w:val="18"/>
          <w:lang w:val="es-CO"/>
        </w:rPr>
        <w:t xml:space="preserve"> con lo anterior, la Sala de Consulta y Servicio Civil del Consejo de Estado expresó lo siguiente: “La </w:t>
      </w:r>
      <w:r w:rsidR="005E766E" w:rsidRPr="00277A17">
        <w:rPr>
          <w:rFonts w:ascii="Verdana" w:hAnsi="Verdana"/>
          <w:sz w:val="18"/>
          <w:szCs w:val="18"/>
          <w:lang w:val="es-CO"/>
        </w:rPr>
        <w:t>noción</w:t>
      </w:r>
      <w:r w:rsidRPr="00277A17">
        <w:rPr>
          <w:rFonts w:ascii="Verdana" w:hAnsi="Verdana"/>
          <w:sz w:val="18"/>
          <w:szCs w:val="18"/>
          <w:lang w:val="es-CO"/>
        </w:rPr>
        <w:t xml:space="preserve"> convenio interadministrativo es diferente a la de contrato interadministrativo. Los contratos interadministrativos se distinguen de los convenios interadministrativos en que en los primeros existe entre las entidades estatales partes intereses opuestos y se persigue una </w:t>
      </w:r>
      <w:r w:rsidR="005E766E" w:rsidRPr="00277A17">
        <w:rPr>
          <w:rFonts w:ascii="Verdana" w:hAnsi="Verdana"/>
          <w:sz w:val="18"/>
          <w:szCs w:val="18"/>
          <w:lang w:val="es-CO"/>
        </w:rPr>
        <w:t>contraprestación</w:t>
      </w:r>
      <w:r w:rsidRPr="00277A17">
        <w:rPr>
          <w:rFonts w:ascii="Verdana" w:hAnsi="Verdana"/>
          <w:sz w:val="18"/>
          <w:szCs w:val="18"/>
          <w:lang w:val="es-CO"/>
        </w:rPr>
        <w:t xml:space="preserve"> o precio por la </w:t>
      </w:r>
      <w:r w:rsidR="005E766E" w:rsidRPr="00277A17">
        <w:rPr>
          <w:rFonts w:ascii="Verdana" w:hAnsi="Verdana"/>
          <w:sz w:val="18"/>
          <w:szCs w:val="18"/>
          <w:lang w:val="es-CO"/>
        </w:rPr>
        <w:t>adquisición</w:t>
      </w:r>
      <w:r w:rsidRPr="00277A17">
        <w:rPr>
          <w:rFonts w:ascii="Verdana" w:hAnsi="Verdana"/>
          <w:sz w:val="18"/>
          <w:szCs w:val="18"/>
          <w:lang w:val="es-CO"/>
        </w:rPr>
        <w:t xml:space="preserve"> de bienes o la </w:t>
      </w:r>
      <w:r w:rsidR="005E766E" w:rsidRPr="00277A17">
        <w:rPr>
          <w:rFonts w:ascii="Verdana" w:hAnsi="Verdana"/>
          <w:sz w:val="18"/>
          <w:szCs w:val="18"/>
          <w:lang w:val="es-CO"/>
        </w:rPr>
        <w:t>prestación</w:t>
      </w:r>
      <w:r w:rsidRPr="00277A17">
        <w:rPr>
          <w:rFonts w:ascii="Verdana" w:hAnsi="Verdana"/>
          <w:sz w:val="18"/>
          <w:szCs w:val="18"/>
          <w:lang w:val="es-CO"/>
        </w:rPr>
        <w:t xml:space="preserve"> de servicios o la </w:t>
      </w:r>
      <w:r w:rsidR="005E766E" w:rsidRPr="00277A17">
        <w:rPr>
          <w:rFonts w:ascii="Verdana" w:hAnsi="Verdana"/>
          <w:sz w:val="18"/>
          <w:szCs w:val="18"/>
          <w:lang w:val="es-CO"/>
        </w:rPr>
        <w:t>realización</w:t>
      </w:r>
      <w:r w:rsidRPr="00277A17">
        <w:rPr>
          <w:rFonts w:ascii="Verdana" w:hAnsi="Verdana"/>
          <w:sz w:val="18"/>
          <w:szCs w:val="18"/>
          <w:lang w:val="es-CO"/>
        </w:rPr>
        <w:t xml:space="preserve"> de una obra, mientras que en los segundos las entidades partes se encuentran en pie de igualdad, tienen intereses comunes para lograr una finalidad estatal impuesta por la </w:t>
      </w:r>
      <w:r w:rsidR="005E766E" w:rsidRPr="00277A17">
        <w:rPr>
          <w:rFonts w:ascii="Verdana" w:hAnsi="Verdana"/>
          <w:sz w:val="18"/>
          <w:szCs w:val="18"/>
          <w:lang w:val="es-CO"/>
        </w:rPr>
        <w:t>Constitución</w:t>
      </w:r>
      <w:r w:rsidRPr="00277A17">
        <w:rPr>
          <w:rFonts w:ascii="Verdana" w:hAnsi="Verdana"/>
          <w:sz w:val="18"/>
          <w:szCs w:val="18"/>
          <w:lang w:val="es-CO"/>
        </w:rPr>
        <w:t xml:space="preserve"> o la ley a las mismas, sin que tengan un </w:t>
      </w:r>
      <w:r w:rsidR="005E766E" w:rsidRPr="00277A17">
        <w:rPr>
          <w:rFonts w:ascii="Verdana" w:hAnsi="Verdana"/>
          <w:sz w:val="18"/>
          <w:szCs w:val="18"/>
          <w:lang w:val="es-CO"/>
        </w:rPr>
        <w:t>interés</w:t>
      </w:r>
      <w:r w:rsidRPr="00277A17">
        <w:rPr>
          <w:rFonts w:ascii="Verdana" w:hAnsi="Verdana"/>
          <w:sz w:val="18"/>
          <w:szCs w:val="18"/>
          <w:lang w:val="es-CO"/>
        </w:rPr>
        <w:t xml:space="preserve"> puramente </w:t>
      </w:r>
      <w:r w:rsidR="005E766E" w:rsidRPr="00277A17">
        <w:rPr>
          <w:rFonts w:ascii="Verdana" w:hAnsi="Verdana"/>
          <w:sz w:val="18"/>
          <w:szCs w:val="18"/>
          <w:lang w:val="es-CO"/>
        </w:rPr>
        <w:t>económico</w:t>
      </w:r>
      <w:r w:rsidRPr="00277A17">
        <w:rPr>
          <w:rFonts w:ascii="Verdana" w:hAnsi="Verdana"/>
          <w:sz w:val="18"/>
          <w:szCs w:val="18"/>
          <w:lang w:val="es-CO"/>
        </w:rPr>
        <w:t xml:space="preserve"> (es decir, destinados a obtener una ganancia)”. (Consejo de Estado. Sala de Consulta y Servicio Civil. Concepto 26 de julio de 2016. </w:t>
      </w:r>
      <w:proofErr w:type="spellStart"/>
      <w:r w:rsidRPr="00277A17">
        <w:rPr>
          <w:rFonts w:ascii="Verdana" w:hAnsi="Verdana"/>
          <w:sz w:val="18"/>
          <w:szCs w:val="18"/>
          <w:lang w:val="es-CO"/>
        </w:rPr>
        <w:t>Exp</w:t>
      </w:r>
      <w:proofErr w:type="spellEnd"/>
      <w:r w:rsidRPr="00277A17">
        <w:rPr>
          <w:rFonts w:ascii="Verdana" w:hAnsi="Verdana"/>
          <w:sz w:val="18"/>
          <w:szCs w:val="18"/>
          <w:lang w:val="es-CO"/>
        </w:rPr>
        <w:t xml:space="preserve">. 2.257. C.P. </w:t>
      </w:r>
      <w:r w:rsidR="005E766E" w:rsidRPr="00277A17">
        <w:rPr>
          <w:rFonts w:ascii="Verdana" w:hAnsi="Verdana"/>
          <w:sz w:val="18"/>
          <w:szCs w:val="18"/>
          <w:lang w:val="es-CO"/>
        </w:rPr>
        <w:t>Álvaro</w:t>
      </w:r>
      <w:r w:rsidRPr="00277A17">
        <w:rPr>
          <w:rFonts w:ascii="Verdana" w:hAnsi="Verdana"/>
          <w:sz w:val="18"/>
          <w:szCs w:val="18"/>
          <w:lang w:val="es-CO"/>
        </w:rPr>
        <w:t xml:space="preserve"> </w:t>
      </w:r>
      <w:proofErr w:type="spellStart"/>
      <w:r w:rsidRPr="00277A17">
        <w:rPr>
          <w:rFonts w:ascii="Verdana" w:hAnsi="Verdana"/>
          <w:sz w:val="18"/>
          <w:szCs w:val="18"/>
          <w:lang w:val="es-CO"/>
        </w:rPr>
        <w:t>Namén</w:t>
      </w:r>
      <w:proofErr w:type="spellEnd"/>
      <w:r w:rsidRPr="00277A17">
        <w:rPr>
          <w:rFonts w:ascii="Verdana" w:hAnsi="Verdana"/>
          <w:sz w:val="18"/>
          <w:szCs w:val="18"/>
          <w:lang w:val="es-CO"/>
        </w:rPr>
        <w:t xml:space="preserve"> Vargas). </w:t>
      </w:r>
    </w:p>
    <w:p w14:paraId="16A5A6DF" w14:textId="77777777" w:rsidR="00DF7FED" w:rsidRPr="00277A17" w:rsidRDefault="00DF7FED" w:rsidP="00BF401E">
      <w:pPr>
        <w:pStyle w:val="Textonotapie"/>
        <w:jc w:val="both"/>
        <w:rPr>
          <w:rFonts w:ascii="Verdana" w:hAnsi="Verdana"/>
          <w:sz w:val="18"/>
          <w:szCs w:val="18"/>
        </w:rPr>
      </w:pPr>
    </w:p>
  </w:footnote>
  <w:footnote w:id="12">
    <w:p w14:paraId="26957E45" w14:textId="68C2A033" w:rsidR="00766855" w:rsidRPr="0004329A" w:rsidRDefault="00766855" w:rsidP="00BF401E">
      <w:pPr>
        <w:pStyle w:val="Textonotapie"/>
        <w:ind w:firstLine="708"/>
        <w:jc w:val="both"/>
        <w:rPr>
          <w:rFonts w:ascii="Verdana" w:hAnsi="Verdana"/>
          <w:sz w:val="18"/>
          <w:szCs w:val="18"/>
        </w:rPr>
      </w:pPr>
      <w:r w:rsidRPr="0004329A">
        <w:rPr>
          <w:rStyle w:val="Refdenotaalpie"/>
          <w:rFonts w:ascii="Verdana" w:hAnsi="Verdana"/>
          <w:sz w:val="18"/>
          <w:szCs w:val="18"/>
        </w:rPr>
        <w:footnoteRef/>
      </w:r>
      <w:r w:rsidRPr="0004329A">
        <w:rPr>
          <w:rFonts w:ascii="Verdana" w:hAnsi="Verdana"/>
          <w:sz w:val="18"/>
          <w:szCs w:val="18"/>
        </w:rPr>
        <w:t xml:space="preserve"> Asociación Colombiana de Minería. </w:t>
      </w:r>
      <w:hyperlink r:id="rId1" w:history="1">
        <w:r w:rsidR="00FA72EC" w:rsidRPr="0004329A">
          <w:rPr>
            <w:rStyle w:val="Hipervnculo"/>
            <w:rFonts w:ascii="Verdana" w:hAnsi="Verdana"/>
            <w:sz w:val="18"/>
            <w:szCs w:val="18"/>
          </w:rPr>
          <w:t>https://acmineria.com.co/blog/2023/05/02/que-es-la-transicion-energetica/</w:t>
        </w:r>
      </w:hyperlink>
    </w:p>
    <w:p w14:paraId="1890A6C3" w14:textId="77777777" w:rsidR="00FA72EC" w:rsidRPr="0004329A" w:rsidRDefault="00FA72EC" w:rsidP="00BF401E">
      <w:pPr>
        <w:pStyle w:val="Textonotapie"/>
        <w:ind w:firstLine="708"/>
        <w:jc w:val="both"/>
        <w:rPr>
          <w:rFonts w:ascii="Verdana" w:hAnsi="Verdana"/>
          <w:sz w:val="18"/>
          <w:szCs w:val="18"/>
        </w:rPr>
      </w:pPr>
    </w:p>
  </w:footnote>
  <w:footnote w:id="13">
    <w:p w14:paraId="5019E42C" w14:textId="71441B44" w:rsidR="00766855" w:rsidRPr="0004329A" w:rsidRDefault="00766855" w:rsidP="00BF401E">
      <w:pPr>
        <w:pStyle w:val="Textonotapie"/>
        <w:ind w:firstLine="708"/>
        <w:jc w:val="both"/>
        <w:rPr>
          <w:sz w:val="18"/>
          <w:szCs w:val="18"/>
          <w:lang w:val="es-ES"/>
        </w:rPr>
      </w:pPr>
      <w:r w:rsidRPr="0004329A">
        <w:rPr>
          <w:rStyle w:val="Refdenotaalpie"/>
          <w:rFonts w:ascii="Verdana" w:hAnsi="Verdana"/>
          <w:sz w:val="18"/>
          <w:szCs w:val="18"/>
        </w:rPr>
        <w:footnoteRef/>
      </w:r>
      <w:hyperlink r:id="rId2" w:history="1">
        <w:r w:rsidR="00FA72EC" w:rsidRPr="0004329A">
          <w:rPr>
            <w:rStyle w:val="Hipervnculo"/>
            <w:rFonts w:ascii="Verdana" w:hAnsi="Verdana"/>
            <w:sz w:val="18"/>
            <w:szCs w:val="18"/>
          </w:rPr>
          <w:t>https://portalterritorial.dnp.gov.co/assets/documentosfase3/Minminas%20y%20Energía-%20Recomendacionesen%20PDT.pdf</w:t>
        </w:r>
      </w:hyperlink>
      <w:r w:rsidR="00FA72EC" w:rsidRPr="0004329A">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FAB1FF1"/>
    <w:multiLevelType w:val="hybridMultilevel"/>
    <w:tmpl w:val="771E5D50"/>
    <w:lvl w:ilvl="0" w:tplc="BE30A6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56584"/>
    <w:multiLevelType w:val="hybridMultilevel"/>
    <w:tmpl w:val="AF280F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B920E9"/>
    <w:multiLevelType w:val="hybridMultilevel"/>
    <w:tmpl w:val="78A49E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7968CC"/>
    <w:multiLevelType w:val="hybridMultilevel"/>
    <w:tmpl w:val="5226E3F0"/>
    <w:lvl w:ilvl="0" w:tplc="58400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F600200"/>
    <w:multiLevelType w:val="hybridMultilevel"/>
    <w:tmpl w:val="4FF02C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15" w15:restartNumberingAfterBreak="0">
    <w:nsid w:val="3FB5344C"/>
    <w:multiLevelType w:val="hybridMultilevel"/>
    <w:tmpl w:val="2B2216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A5B5396"/>
    <w:multiLevelType w:val="hybridMultilevel"/>
    <w:tmpl w:val="D40EBE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3664699"/>
    <w:multiLevelType w:val="hybridMultilevel"/>
    <w:tmpl w:val="0172B47A"/>
    <w:lvl w:ilvl="0" w:tplc="D71E56C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3D4EEC"/>
    <w:multiLevelType w:val="hybridMultilevel"/>
    <w:tmpl w:val="FC1C602A"/>
    <w:lvl w:ilvl="0" w:tplc="A22631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9"/>
  </w:num>
  <w:num w:numId="2" w16cid:durableId="19822139">
    <w:abstractNumId w:val="2"/>
  </w:num>
  <w:num w:numId="3" w16cid:durableId="876742304">
    <w:abstractNumId w:val="7"/>
  </w:num>
  <w:num w:numId="4" w16cid:durableId="24518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21"/>
  </w:num>
  <w:num w:numId="7" w16cid:durableId="1946422806">
    <w:abstractNumId w:val="8"/>
  </w:num>
  <w:num w:numId="8" w16cid:durableId="152644682">
    <w:abstractNumId w:val="20"/>
  </w:num>
  <w:num w:numId="9" w16cid:durableId="1317221377">
    <w:abstractNumId w:val="11"/>
  </w:num>
  <w:num w:numId="10" w16cid:durableId="1471245386">
    <w:abstractNumId w:val="19"/>
  </w:num>
  <w:num w:numId="11" w16cid:durableId="289172385">
    <w:abstractNumId w:val="12"/>
  </w:num>
  <w:num w:numId="12" w16cid:durableId="1470781324">
    <w:abstractNumId w:val="1"/>
  </w:num>
  <w:num w:numId="13" w16cid:durableId="1512908409">
    <w:abstractNumId w:val="4"/>
  </w:num>
  <w:num w:numId="14" w16cid:durableId="895897244">
    <w:abstractNumId w:val="22"/>
  </w:num>
  <w:num w:numId="15" w16cid:durableId="390349800">
    <w:abstractNumId w:val="18"/>
  </w:num>
  <w:num w:numId="16" w16cid:durableId="68313627">
    <w:abstractNumId w:val="17"/>
  </w:num>
  <w:num w:numId="17" w16cid:durableId="341274352">
    <w:abstractNumId w:val="0"/>
  </w:num>
  <w:num w:numId="18" w16cid:durableId="679089576">
    <w:abstractNumId w:val="13"/>
  </w:num>
  <w:num w:numId="19" w16cid:durableId="1138914890">
    <w:abstractNumId w:val="16"/>
  </w:num>
  <w:num w:numId="20" w16cid:durableId="379790663">
    <w:abstractNumId w:val="14"/>
  </w:num>
  <w:num w:numId="21" w16cid:durableId="416943199">
    <w:abstractNumId w:val="23"/>
  </w:num>
  <w:num w:numId="22" w16cid:durableId="2133360160">
    <w:abstractNumId w:val="3"/>
  </w:num>
  <w:num w:numId="23" w16cid:durableId="684988227">
    <w:abstractNumId w:val="10"/>
  </w:num>
  <w:num w:numId="24" w16cid:durableId="212546150">
    <w:abstractNumId w:val="5"/>
  </w:num>
  <w:num w:numId="25" w16cid:durableId="2134903150">
    <w:abstractNumId w:val="6"/>
  </w:num>
  <w:num w:numId="26" w16cid:durableId="1327125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53E"/>
    <w:rsid w:val="000064CB"/>
    <w:rsid w:val="00013834"/>
    <w:rsid w:val="00014E6E"/>
    <w:rsid w:val="00022C9D"/>
    <w:rsid w:val="0003048C"/>
    <w:rsid w:val="000304B2"/>
    <w:rsid w:val="00031ACA"/>
    <w:rsid w:val="0004329A"/>
    <w:rsid w:val="00044CFC"/>
    <w:rsid w:val="00050AC5"/>
    <w:rsid w:val="00055FB0"/>
    <w:rsid w:val="00056B5E"/>
    <w:rsid w:val="0006031C"/>
    <w:rsid w:val="00061B2A"/>
    <w:rsid w:val="00062267"/>
    <w:rsid w:val="00062E76"/>
    <w:rsid w:val="00063EE5"/>
    <w:rsid w:val="000679CF"/>
    <w:rsid w:val="00067D6C"/>
    <w:rsid w:val="000732E0"/>
    <w:rsid w:val="00082362"/>
    <w:rsid w:val="00086840"/>
    <w:rsid w:val="00087433"/>
    <w:rsid w:val="000A3E2E"/>
    <w:rsid w:val="000A683E"/>
    <w:rsid w:val="000B19B9"/>
    <w:rsid w:val="000B5894"/>
    <w:rsid w:val="000C185B"/>
    <w:rsid w:val="000C4A3D"/>
    <w:rsid w:val="000C5F1C"/>
    <w:rsid w:val="000D0334"/>
    <w:rsid w:val="000E23D6"/>
    <w:rsid w:val="000E2AD9"/>
    <w:rsid w:val="000E3356"/>
    <w:rsid w:val="000E4650"/>
    <w:rsid w:val="000F6486"/>
    <w:rsid w:val="000F7471"/>
    <w:rsid w:val="00100420"/>
    <w:rsid w:val="00104CED"/>
    <w:rsid w:val="0010783A"/>
    <w:rsid w:val="001130C8"/>
    <w:rsid w:val="00120316"/>
    <w:rsid w:val="00121695"/>
    <w:rsid w:val="00125105"/>
    <w:rsid w:val="00127233"/>
    <w:rsid w:val="00127309"/>
    <w:rsid w:val="0013199E"/>
    <w:rsid w:val="00140C8B"/>
    <w:rsid w:val="00145B9C"/>
    <w:rsid w:val="0014793C"/>
    <w:rsid w:val="0015057A"/>
    <w:rsid w:val="0015143E"/>
    <w:rsid w:val="00152BE4"/>
    <w:rsid w:val="0015641E"/>
    <w:rsid w:val="0017406D"/>
    <w:rsid w:val="0019222F"/>
    <w:rsid w:val="00192F48"/>
    <w:rsid w:val="001933C0"/>
    <w:rsid w:val="00193B3D"/>
    <w:rsid w:val="001A6891"/>
    <w:rsid w:val="001B3E73"/>
    <w:rsid w:val="001C1873"/>
    <w:rsid w:val="001C18C4"/>
    <w:rsid w:val="001C4337"/>
    <w:rsid w:val="001D652B"/>
    <w:rsid w:val="001E4177"/>
    <w:rsid w:val="001E7F19"/>
    <w:rsid w:val="001F21E2"/>
    <w:rsid w:val="001F7DC6"/>
    <w:rsid w:val="00201E55"/>
    <w:rsid w:val="00202498"/>
    <w:rsid w:val="00202CCC"/>
    <w:rsid w:val="00205A38"/>
    <w:rsid w:val="00210249"/>
    <w:rsid w:val="00231461"/>
    <w:rsid w:val="002322B1"/>
    <w:rsid w:val="002330CE"/>
    <w:rsid w:val="002421BB"/>
    <w:rsid w:val="00247CB8"/>
    <w:rsid w:val="00254E45"/>
    <w:rsid w:val="0025796E"/>
    <w:rsid w:val="002665D1"/>
    <w:rsid w:val="002707A2"/>
    <w:rsid w:val="00276C1E"/>
    <w:rsid w:val="00277A17"/>
    <w:rsid w:val="002852B2"/>
    <w:rsid w:val="00285E22"/>
    <w:rsid w:val="00287A47"/>
    <w:rsid w:val="002951A0"/>
    <w:rsid w:val="002962BC"/>
    <w:rsid w:val="002A093D"/>
    <w:rsid w:val="002A0DD0"/>
    <w:rsid w:val="002A1A8B"/>
    <w:rsid w:val="002A1F83"/>
    <w:rsid w:val="002A49AC"/>
    <w:rsid w:val="002A64FD"/>
    <w:rsid w:val="002B0991"/>
    <w:rsid w:val="002B0A64"/>
    <w:rsid w:val="002B5069"/>
    <w:rsid w:val="002B6C79"/>
    <w:rsid w:val="002B777C"/>
    <w:rsid w:val="002B7FB3"/>
    <w:rsid w:val="002C0714"/>
    <w:rsid w:val="002C48CC"/>
    <w:rsid w:val="002C4C04"/>
    <w:rsid w:val="002C4C60"/>
    <w:rsid w:val="002C5BFC"/>
    <w:rsid w:val="002C7A84"/>
    <w:rsid w:val="002D49E1"/>
    <w:rsid w:val="002D4EFC"/>
    <w:rsid w:val="002D5C18"/>
    <w:rsid w:val="002E38C0"/>
    <w:rsid w:val="002E4B40"/>
    <w:rsid w:val="002E4FD9"/>
    <w:rsid w:val="002E6333"/>
    <w:rsid w:val="002E73DF"/>
    <w:rsid w:val="002F0DE1"/>
    <w:rsid w:val="002F1B05"/>
    <w:rsid w:val="002F71B5"/>
    <w:rsid w:val="002F7E84"/>
    <w:rsid w:val="00300610"/>
    <w:rsid w:val="00302F80"/>
    <w:rsid w:val="00310468"/>
    <w:rsid w:val="00313B7F"/>
    <w:rsid w:val="00314734"/>
    <w:rsid w:val="00322A85"/>
    <w:rsid w:val="00323ED7"/>
    <w:rsid w:val="00324168"/>
    <w:rsid w:val="00331976"/>
    <w:rsid w:val="00333C5E"/>
    <w:rsid w:val="003342AF"/>
    <w:rsid w:val="00337234"/>
    <w:rsid w:val="00340B42"/>
    <w:rsid w:val="003448F4"/>
    <w:rsid w:val="00346994"/>
    <w:rsid w:val="0035242B"/>
    <w:rsid w:val="00364932"/>
    <w:rsid w:val="00370FD0"/>
    <w:rsid w:val="00374F5E"/>
    <w:rsid w:val="00377E3E"/>
    <w:rsid w:val="00380073"/>
    <w:rsid w:val="00385ECB"/>
    <w:rsid w:val="003924A4"/>
    <w:rsid w:val="003925B1"/>
    <w:rsid w:val="003929ED"/>
    <w:rsid w:val="00395602"/>
    <w:rsid w:val="003963A7"/>
    <w:rsid w:val="003A26D1"/>
    <w:rsid w:val="003A291C"/>
    <w:rsid w:val="003A4163"/>
    <w:rsid w:val="003A779E"/>
    <w:rsid w:val="003B083A"/>
    <w:rsid w:val="003B445E"/>
    <w:rsid w:val="003B453A"/>
    <w:rsid w:val="003C2788"/>
    <w:rsid w:val="003D0F4D"/>
    <w:rsid w:val="003D5B0D"/>
    <w:rsid w:val="003E0499"/>
    <w:rsid w:val="003E597F"/>
    <w:rsid w:val="003F1509"/>
    <w:rsid w:val="003F3941"/>
    <w:rsid w:val="003F3C50"/>
    <w:rsid w:val="00405ADA"/>
    <w:rsid w:val="00406575"/>
    <w:rsid w:val="00422A55"/>
    <w:rsid w:val="004261B0"/>
    <w:rsid w:val="0042722E"/>
    <w:rsid w:val="004357BF"/>
    <w:rsid w:val="00436229"/>
    <w:rsid w:val="0043649E"/>
    <w:rsid w:val="004365A1"/>
    <w:rsid w:val="00437AC2"/>
    <w:rsid w:val="00441240"/>
    <w:rsid w:val="00443AF2"/>
    <w:rsid w:val="0044528D"/>
    <w:rsid w:val="00445D87"/>
    <w:rsid w:val="00452DC1"/>
    <w:rsid w:val="00454442"/>
    <w:rsid w:val="00460929"/>
    <w:rsid w:val="00460AAA"/>
    <w:rsid w:val="00462DC2"/>
    <w:rsid w:val="0046471E"/>
    <w:rsid w:val="004659D9"/>
    <w:rsid w:val="00481CEF"/>
    <w:rsid w:val="00487F25"/>
    <w:rsid w:val="00490302"/>
    <w:rsid w:val="004A169D"/>
    <w:rsid w:val="004A1847"/>
    <w:rsid w:val="004A1911"/>
    <w:rsid w:val="004A305D"/>
    <w:rsid w:val="004B2E7C"/>
    <w:rsid w:val="004B31FC"/>
    <w:rsid w:val="004B4490"/>
    <w:rsid w:val="004C394E"/>
    <w:rsid w:val="004C6037"/>
    <w:rsid w:val="004C6C4D"/>
    <w:rsid w:val="004D2146"/>
    <w:rsid w:val="004E68D0"/>
    <w:rsid w:val="004F21C4"/>
    <w:rsid w:val="004F4CC2"/>
    <w:rsid w:val="004F685F"/>
    <w:rsid w:val="00505380"/>
    <w:rsid w:val="00507354"/>
    <w:rsid w:val="00507EAE"/>
    <w:rsid w:val="00516823"/>
    <w:rsid w:val="00522DEC"/>
    <w:rsid w:val="005256F6"/>
    <w:rsid w:val="00551FF8"/>
    <w:rsid w:val="00553268"/>
    <w:rsid w:val="005566E8"/>
    <w:rsid w:val="005711BA"/>
    <w:rsid w:val="00573D6F"/>
    <w:rsid w:val="00574867"/>
    <w:rsid w:val="00580EE8"/>
    <w:rsid w:val="005909B3"/>
    <w:rsid w:val="00591460"/>
    <w:rsid w:val="00592628"/>
    <w:rsid w:val="00593026"/>
    <w:rsid w:val="005947DA"/>
    <w:rsid w:val="005B0559"/>
    <w:rsid w:val="005B5493"/>
    <w:rsid w:val="005C3777"/>
    <w:rsid w:val="005C5B4F"/>
    <w:rsid w:val="005C5CDC"/>
    <w:rsid w:val="005C703A"/>
    <w:rsid w:val="005D23C6"/>
    <w:rsid w:val="005D476C"/>
    <w:rsid w:val="005D537E"/>
    <w:rsid w:val="005E766E"/>
    <w:rsid w:val="005F5AF7"/>
    <w:rsid w:val="00601E15"/>
    <w:rsid w:val="00603BAB"/>
    <w:rsid w:val="00610812"/>
    <w:rsid w:val="006219F8"/>
    <w:rsid w:val="006247D8"/>
    <w:rsid w:val="00632815"/>
    <w:rsid w:val="006337BB"/>
    <w:rsid w:val="00637970"/>
    <w:rsid w:val="0064333C"/>
    <w:rsid w:val="00647028"/>
    <w:rsid w:val="00650FF7"/>
    <w:rsid w:val="00653306"/>
    <w:rsid w:val="00653878"/>
    <w:rsid w:val="00655B50"/>
    <w:rsid w:val="00664677"/>
    <w:rsid w:val="00665D70"/>
    <w:rsid w:val="00671DAC"/>
    <w:rsid w:val="00677C36"/>
    <w:rsid w:val="00684582"/>
    <w:rsid w:val="006900D9"/>
    <w:rsid w:val="00690983"/>
    <w:rsid w:val="006A0163"/>
    <w:rsid w:val="006A54F7"/>
    <w:rsid w:val="006A6358"/>
    <w:rsid w:val="006B483B"/>
    <w:rsid w:val="006D12F8"/>
    <w:rsid w:val="006D2B8F"/>
    <w:rsid w:val="006D5BB7"/>
    <w:rsid w:val="006E1541"/>
    <w:rsid w:val="006E4FD2"/>
    <w:rsid w:val="006E53BA"/>
    <w:rsid w:val="006F497E"/>
    <w:rsid w:val="006F6C17"/>
    <w:rsid w:val="007015AC"/>
    <w:rsid w:val="00704E27"/>
    <w:rsid w:val="00706C16"/>
    <w:rsid w:val="0072416B"/>
    <w:rsid w:val="00741E36"/>
    <w:rsid w:val="007530D3"/>
    <w:rsid w:val="00756841"/>
    <w:rsid w:val="007649AB"/>
    <w:rsid w:val="00765AF6"/>
    <w:rsid w:val="00766855"/>
    <w:rsid w:val="0076693E"/>
    <w:rsid w:val="00771D0C"/>
    <w:rsid w:val="00775FF8"/>
    <w:rsid w:val="00781509"/>
    <w:rsid w:val="007833AC"/>
    <w:rsid w:val="00787272"/>
    <w:rsid w:val="00795D97"/>
    <w:rsid w:val="007B0CDA"/>
    <w:rsid w:val="007B0EC0"/>
    <w:rsid w:val="007B268C"/>
    <w:rsid w:val="007B34DA"/>
    <w:rsid w:val="007B4797"/>
    <w:rsid w:val="007B5930"/>
    <w:rsid w:val="007B7171"/>
    <w:rsid w:val="007C05F5"/>
    <w:rsid w:val="007C0C0F"/>
    <w:rsid w:val="007C3DC2"/>
    <w:rsid w:val="007D2C51"/>
    <w:rsid w:val="007E4CA7"/>
    <w:rsid w:val="007E5497"/>
    <w:rsid w:val="007E5BB8"/>
    <w:rsid w:val="007E7C41"/>
    <w:rsid w:val="007F0015"/>
    <w:rsid w:val="007F2AD7"/>
    <w:rsid w:val="007F53AF"/>
    <w:rsid w:val="00800BB2"/>
    <w:rsid w:val="00800FA3"/>
    <w:rsid w:val="008030A5"/>
    <w:rsid w:val="00804A52"/>
    <w:rsid w:val="00805FBB"/>
    <w:rsid w:val="00806F5F"/>
    <w:rsid w:val="0081464F"/>
    <w:rsid w:val="008146A2"/>
    <w:rsid w:val="00820278"/>
    <w:rsid w:val="0082728C"/>
    <w:rsid w:val="0083204C"/>
    <w:rsid w:val="0083470C"/>
    <w:rsid w:val="00837454"/>
    <w:rsid w:val="00837CD1"/>
    <w:rsid w:val="008406C4"/>
    <w:rsid w:val="00841794"/>
    <w:rsid w:val="008422B3"/>
    <w:rsid w:val="0084257A"/>
    <w:rsid w:val="00845C39"/>
    <w:rsid w:val="008543B7"/>
    <w:rsid w:val="00863920"/>
    <w:rsid w:val="0087322B"/>
    <w:rsid w:val="00875A4E"/>
    <w:rsid w:val="008843B6"/>
    <w:rsid w:val="00891928"/>
    <w:rsid w:val="00894E15"/>
    <w:rsid w:val="00896233"/>
    <w:rsid w:val="008A3480"/>
    <w:rsid w:val="008A446D"/>
    <w:rsid w:val="008B5CE2"/>
    <w:rsid w:val="008C0834"/>
    <w:rsid w:val="008C464C"/>
    <w:rsid w:val="008C653B"/>
    <w:rsid w:val="008C711D"/>
    <w:rsid w:val="008C7629"/>
    <w:rsid w:val="008D180B"/>
    <w:rsid w:val="008D2FE8"/>
    <w:rsid w:val="008D78C1"/>
    <w:rsid w:val="008E3E03"/>
    <w:rsid w:val="008F0B28"/>
    <w:rsid w:val="008F0EA7"/>
    <w:rsid w:val="008F2491"/>
    <w:rsid w:val="00901682"/>
    <w:rsid w:val="00902439"/>
    <w:rsid w:val="00907489"/>
    <w:rsid w:val="00916508"/>
    <w:rsid w:val="00923EEF"/>
    <w:rsid w:val="00925368"/>
    <w:rsid w:val="009320FB"/>
    <w:rsid w:val="00940EAC"/>
    <w:rsid w:val="009419F9"/>
    <w:rsid w:val="00950EE3"/>
    <w:rsid w:val="00952635"/>
    <w:rsid w:val="0095685E"/>
    <w:rsid w:val="00957F5C"/>
    <w:rsid w:val="00961B09"/>
    <w:rsid w:val="00965334"/>
    <w:rsid w:val="0097093E"/>
    <w:rsid w:val="00976DDB"/>
    <w:rsid w:val="009A0DFA"/>
    <w:rsid w:val="009B2D26"/>
    <w:rsid w:val="009B7EC1"/>
    <w:rsid w:val="009C71FA"/>
    <w:rsid w:val="009C72E7"/>
    <w:rsid w:val="009D3058"/>
    <w:rsid w:val="009D433F"/>
    <w:rsid w:val="009E10E6"/>
    <w:rsid w:val="009E663E"/>
    <w:rsid w:val="009E6FCC"/>
    <w:rsid w:val="009F3A13"/>
    <w:rsid w:val="00A040C6"/>
    <w:rsid w:val="00A122D3"/>
    <w:rsid w:val="00A15358"/>
    <w:rsid w:val="00A17F13"/>
    <w:rsid w:val="00A20739"/>
    <w:rsid w:val="00A21EB4"/>
    <w:rsid w:val="00A320F8"/>
    <w:rsid w:val="00A33C78"/>
    <w:rsid w:val="00A361DE"/>
    <w:rsid w:val="00A41E40"/>
    <w:rsid w:val="00A448F2"/>
    <w:rsid w:val="00A45123"/>
    <w:rsid w:val="00A51E4D"/>
    <w:rsid w:val="00A61FC0"/>
    <w:rsid w:val="00A625D9"/>
    <w:rsid w:val="00A6756D"/>
    <w:rsid w:val="00A70954"/>
    <w:rsid w:val="00A70E40"/>
    <w:rsid w:val="00A7312B"/>
    <w:rsid w:val="00A7440F"/>
    <w:rsid w:val="00A75951"/>
    <w:rsid w:val="00A7654B"/>
    <w:rsid w:val="00A77012"/>
    <w:rsid w:val="00A84417"/>
    <w:rsid w:val="00A85CDA"/>
    <w:rsid w:val="00A85CFE"/>
    <w:rsid w:val="00A91C44"/>
    <w:rsid w:val="00A932AB"/>
    <w:rsid w:val="00A9704A"/>
    <w:rsid w:val="00AB0078"/>
    <w:rsid w:val="00AB0ADB"/>
    <w:rsid w:val="00AB51F0"/>
    <w:rsid w:val="00AB663F"/>
    <w:rsid w:val="00AC257D"/>
    <w:rsid w:val="00AC4559"/>
    <w:rsid w:val="00AC55CE"/>
    <w:rsid w:val="00AD2D23"/>
    <w:rsid w:val="00AE1565"/>
    <w:rsid w:val="00AE3791"/>
    <w:rsid w:val="00AE6E23"/>
    <w:rsid w:val="00AF0767"/>
    <w:rsid w:val="00AF72FC"/>
    <w:rsid w:val="00B01B1A"/>
    <w:rsid w:val="00B14EC8"/>
    <w:rsid w:val="00B21180"/>
    <w:rsid w:val="00B2348F"/>
    <w:rsid w:val="00B2446D"/>
    <w:rsid w:val="00B316C6"/>
    <w:rsid w:val="00B3374B"/>
    <w:rsid w:val="00B51F9D"/>
    <w:rsid w:val="00B562BC"/>
    <w:rsid w:val="00B6648F"/>
    <w:rsid w:val="00B669F2"/>
    <w:rsid w:val="00B72CD3"/>
    <w:rsid w:val="00B72FFF"/>
    <w:rsid w:val="00B75A40"/>
    <w:rsid w:val="00B82689"/>
    <w:rsid w:val="00B852A6"/>
    <w:rsid w:val="00B907D5"/>
    <w:rsid w:val="00B975E2"/>
    <w:rsid w:val="00BA6976"/>
    <w:rsid w:val="00BB203A"/>
    <w:rsid w:val="00BB3006"/>
    <w:rsid w:val="00BB309D"/>
    <w:rsid w:val="00BC15B8"/>
    <w:rsid w:val="00BC3D36"/>
    <w:rsid w:val="00BC4D0E"/>
    <w:rsid w:val="00BD42DD"/>
    <w:rsid w:val="00BD5E58"/>
    <w:rsid w:val="00BD64FE"/>
    <w:rsid w:val="00BD7F72"/>
    <w:rsid w:val="00BE0D13"/>
    <w:rsid w:val="00BE66D6"/>
    <w:rsid w:val="00BF0506"/>
    <w:rsid w:val="00BF0FE8"/>
    <w:rsid w:val="00BF2691"/>
    <w:rsid w:val="00BF401E"/>
    <w:rsid w:val="00BF4D50"/>
    <w:rsid w:val="00BF6595"/>
    <w:rsid w:val="00C0197F"/>
    <w:rsid w:val="00C04FB3"/>
    <w:rsid w:val="00C07DAD"/>
    <w:rsid w:val="00C16273"/>
    <w:rsid w:val="00C20832"/>
    <w:rsid w:val="00C265E8"/>
    <w:rsid w:val="00C3178C"/>
    <w:rsid w:val="00C330EB"/>
    <w:rsid w:val="00C46C18"/>
    <w:rsid w:val="00C47A14"/>
    <w:rsid w:val="00C5062E"/>
    <w:rsid w:val="00C51347"/>
    <w:rsid w:val="00C6273B"/>
    <w:rsid w:val="00C754BE"/>
    <w:rsid w:val="00C76B1C"/>
    <w:rsid w:val="00C84488"/>
    <w:rsid w:val="00C864DC"/>
    <w:rsid w:val="00C91326"/>
    <w:rsid w:val="00C94611"/>
    <w:rsid w:val="00CA07FA"/>
    <w:rsid w:val="00CA1A86"/>
    <w:rsid w:val="00CB6357"/>
    <w:rsid w:val="00CC1B26"/>
    <w:rsid w:val="00CE3306"/>
    <w:rsid w:val="00CF52A0"/>
    <w:rsid w:val="00CF7F47"/>
    <w:rsid w:val="00D13EB3"/>
    <w:rsid w:val="00D153E8"/>
    <w:rsid w:val="00D16343"/>
    <w:rsid w:val="00D16C7D"/>
    <w:rsid w:val="00D22BE1"/>
    <w:rsid w:val="00D26AA0"/>
    <w:rsid w:val="00D405E7"/>
    <w:rsid w:val="00D423A2"/>
    <w:rsid w:val="00D43CA8"/>
    <w:rsid w:val="00D520D8"/>
    <w:rsid w:val="00D536AB"/>
    <w:rsid w:val="00D5512C"/>
    <w:rsid w:val="00D55718"/>
    <w:rsid w:val="00D57FF2"/>
    <w:rsid w:val="00D63AC2"/>
    <w:rsid w:val="00D63DE1"/>
    <w:rsid w:val="00D663DD"/>
    <w:rsid w:val="00D669FC"/>
    <w:rsid w:val="00D730F8"/>
    <w:rsid w:val="00D7383B"/>
    <w:rsid w:val="00D839EC"/>
    <w:rsid w:val="00D86330"/>
    <w:rsid w:val="00D93029"/>
    <w:rsid w:val="00D948BC"/>
    <w:rsid w:val="00DA231B"/>
    <w:rsid w:val="00DA23A0"/>
    <w:rsid w:val="00DA70A0"/>
    <w:rsid w:val="00DB3C8C"/>
    <w:rsid w:val="00DB625B"/>
    <w:rsid w:val="00DC39FC"/>
    <w:rsid w:val="00DC55CF"/>
    <w:rsid w:val="00DD0C07"/>
    <w:rsid w:val="00DD2324"/>
    <w:rsid w:val="00DD3623"/>
    <w:rsid w:val="00DD6A8B"/>
    <w:rsid w:val="00DE2E45"/>
    <w:rsid w:val="00DE574F"/>
    <w:rsid w:val="00DE70C0"/>
    <w:rsid w:val="00DE74E2"/>
    <w:rsid w:val="00DF08FE"/>
    <w:rsid w:val="00DF5254"/>
    <w:rsid w:val="00DF7FED"/>
    <w:rsid w:val="00E04212"/>
    <w:rsid w:val="00E13646"/>
    <w:rsid w:val="00E15658"/>
    <w:rsid w:val="00E15CC0"/>
    <w:rsid w:val="00E16408"/>
    <w:rsid w:val="00E20894"/>
    <w:rsid w:val="00E21A39"/>
    <w:rsid w:val="00E245AB"/>
    <w:rsid w:val="00E2764C"/>
    <w:rsid w:val="00E27F2E"/>
    <w:rsid w:val="00E313FE"/>
    <w:rsid w:val="00E35445"/>
    <w:rsid w:val="00E36C2C"/>
    <w:rsid w:val="00E413EA"/>
    <w:rsid w:val="00E50AFE"/>
    <w:rsid w:val="00E5156A"/>
    <w:rsid w:val="00E53E88"/>
    <w:rsid w:val="00E55EEF"/>
    <w:rsid w:val="00E65151"/>
    <w:rsid w:val="00E65C85"/>
    <w:rsid w:val="00E752E9"/>
    <w:rsid w:val="00E75C92"/>
    <w:rsid w:val="00E76C54"/>
    <w:rsid w:val="00E771DC"/>
    <w:rsid w:val="00E83F25"/>
    <w:rsid w:val="00E8772A"/>
    <w:rsid w:val="00E87B22"/>
    <w:rsid w:val="00E90F1A"/>
    <w:rsid w:val="00E90F6B"/>
    <w:rsid w:val="00E92C27"/>
    <w:rsid w:val="00E97703"/>
    <w:rsid w:val="00EA0E3D"/>
    <w:rsid w:val="00EA4770"/>
    <w:rsid w:val="00EA5B2B"/>
    <w:rsid w:val="00EC38A7"/>
    <w:rsid w:val="00EC3C5B"/>
    <w:rsid w:val="00EC4CF8"/>
    <w:rsid w:val="00EE1AA8"/>
    <w:rsid w:val="00EE45CD"/>
    <w:rsid w:val="00EE5AA7"/>
    <w:rsid w:val="00EF1D2C"/>
    <w:rsid w:val="00EF2CB7"/>
    <w:rsid w:val="00EF41E3"/>
    <w:rsid w:val="00EF642D"/>
    <w:rsid w:val="00F02997"/>
    <w:rsid w:val="00F04411"/>
    <w:rsid w:val="00F25ECE"/>
    <w:rsid w:val="00F31EDC"/>
    <w:rsid w:val="00F34C69"/>
    <w:rsid w:val="00F41F4B"/>
    <w:rsid w:val="00F45785"/>
    <w:rsid w:val="00F462B3"/>
    <w:rsid w:val="00F5630A"/>
    <w:rsid w:val="00F5664F"/>
    <w:rsid w:val="00F57B8B"/>
    <w:rsid w:val="00F621CD"/>
    <w:rsid w:val="00F666C4"/>
    <w:rsid w:val="00F70FED"/>
    <w:rsid w:val="00F76AFC"/>
    <w:rsid w:val="00F8258A"/>
    <w:rsid w:val="00F86C04"/>
    <w:rsid w:val="00F942A0"/>
    <w:rsid w:val="00F95107"/>
    <w:rsid w:val="00F95CD5"/>
    <w:rsid w:val="00F95DE2"/>
    <w:rsid w:val="00FA47C0"/>
    <w:rsid w:val="00FA72EC"/>
    <w:rsid w:val="00FB1CA5"/>
    <w:rsid w:val="00FB5DD1"/>
    <w:rsid w:val="00FC129B"/>
    <w:rsid w:val="00FC2B5D"/>
    <w:rsid w:val="00FC3877"/>
    <w:rsid w:val="00FD184E"/>
    <w:rsid w:val="00FD272D"/>
    <w:rsid w:val="00FD51C4"/>
    <w:rsid w:val="00FD6ADE"/>
    <w:rsid w:val="00FE23C7"/>
    <w:rsid w:val="00FE250E"/>
    <w:rsid w:val="00FE3668"/>
    <w:rsid w:val="00FE6761"/>
    <w:rsid w:val="00FE6A93"/>
    <w:rsid w:val="00FF1449"/>
    <w:rsid w:val="00FF2CFD"/>
    <w:rsid w:val="00FF4FDE"/>
    <w:rsid w:val="00FF51BE"/>
    <w:rsid w:val="5CEADB7B"/>
    <w:rsid w:val="6CBDE0AC"/>
    <w:rsid w:val="7B434CB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766F48E5-D5D6-4223-888C-46B90B06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07D5"/>
    <w:rPr>
      <w:rFonts w:ascii="Geomanist Light" w:hAnsi="Geomanist Light"/>
      <w:lang w:val="es-ES"/>
    </w:rPr>
  </w:style>
  <w:style w:type="paragraph" w:customStyle="1" w:styleId="Appelnotedebasde">
    <w:name w:val="Appel note de bas de..."/>
    <w:basedOn w:val="Normal"/>
    <w:link w:val="Refdenotaalpie"/>
    <w:uiPriority w:val="99"/>
    <w:rsid w:val="00522DE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882">
      <w:bodyDiv w:val="1"/>
      <w:marLeft w:val="0"/>
      <w:marRight w:val="0"/>
      <w:marTop w:val="0"/>
      <w:marBottom w:val="0"/>
      <w:divBdr>
        <w:top w:val="none" w:sz="0" w:space="0" w:color="auto"/>
        <w:left w:val="none" w:sz="0" w:space="0" w:color="auto"/>
        <w:bottom w:val="none" w:sz="0" w:space="0" w:color="auto"/>
        <w:right w:val="none" w:sz="0" w:space="0" w:color="auto"/>
      </w:divBdr>
      <w:divsChild>
        <w:div w:id="1002968526">
          <w:marLeft w:val="0"/>
          <w:marRight w:val="0"/>
          <w:marTop w:val="0"/>
          <w:marBottom w:val="160"/>
          <w:divBdr>
            <w:top w:val="none" w:sz="0" w:space="0" w:color="auto"/>
            <w:left w:val="none" w:sz="0" w:space="0" w:color="auto"/>
            <w:bottom w:val="none" w:sz="0" w:space="0" w:color="auto"/>
            <w:right w:val="none" w:sz="0" w:space="0" w:color="auto"/>
          </w:divBdr>
        </w:div>
      </w:divsChild>
    </w:div>
    <w:div w:id="20327748">
      <w:bodyDiv w:val="1"/>
      <w:marLeft w:val="0"/>
      <w:marRight w:val="0"/>
      <w:marTop w:val="0"/>
      <w:marBottom w:val="0"/>
      <w:divBdr>
        <w:top w:val="none" w:sz="0" w:space="0" w:color="auto"/>
        <w:left w:val="none" w:sz="0" w:space="0" w:color="auto"/>
        <w:bottom w:val="none" w:sz="0" w:space="0" w:color="auto"/>
        <w:right w:val="none" w:sz="0" w:space="0" w:color="auto"/>
      </w:divBdr>
    </w:div>
    <w:div w:id="27799747">
      <w:bodyDiv w:val="1"/>
      <w:marLeft w:val="0"/>
      <w:marRight w:val="0"/>
      <w:marTop w:val="0"/>
      <w:marBottom w:val="0"/>
      <w:divBdr>
        <w:top w:val="none" w:sz="0" w:space="0" w:color="auto"/>
        <w:left w:val="none" w:sz="0" w:space="0" w:color="auto"/>
        <w:bottom w:val="none" w:sz="0" w:space="0" w:color="auto"/>
        <w:right w:val="none" w:sz="0" w:space="0" w:color="auto"/>
      </w:divBdr>
    </w:div>
    <w:div w:id="32996762">
      <w:bodyDiv w:val="1"/>
      <w:marLeft w:val="0"/>
      <w:marRight w:val="0"/>
      <w:marTop w:val="0"/>
      <w:marBottom w:val="0"/>
      <w:divBdr>
        <w:top w:val="none" w:sz="0" w:space="0" w:color="auto"/>
        <w:left w:val="none" w:sz="0" w:space="0" w:color="auto"/>
        <w:bottom w:val="none" w:sz="0" w:space="0" w:color="auto"/>
        <w:right w:val="none" w:sz="0" w:space="0" w:color="auto"/>
      </w:divBdr>
    </w:div>
    <w:div w:id="119879390">
      <w:bodyDiv w:val="1"/>
      <w:marLeft w:val="0"/>
      <w:marRight w:val="0"/>
      <w:marTop w:val="0"/>
      <w:marBottom w:val="0"/>
      <w:divBdr>
        <w:top w:val="none" w:sz="0" w:space="0" w:color="auto"/>
        <w:left w:val="none" w:sz="0" w:space="0" w:color="auto"/>
        <w:bottom w:val="none" w:sz="0" w:space="0" w:color="auto"/>
        <w:right w:val="none" w:sz="0" w:space="0" w:color="auto"/>
      </w:divBdr>
    </w:div>
    <w:div w:id="144709685">
      <w:bodyDiv w:val="1"/>
      <w:marLeft w:val="0"/>
      <w:marRight w:val="0"/>
      <w:marTop w:val="0"/>
      <w:marBottom w:val="0"/>
      <w:divBdr>
        <w:top w:val="none" w:sz="0" w:space="0" w:color="auto"/>
        <w:left w:val="none" w:sz="0" w:space="0" w:color="auto"/>
        <w:bottom w:val="none" w:sz="0" w:space="0" w:color="auto"/>
        <w:right w:val="none" w:sz="0" w:space="0" w:color="auto"/>
      </w:divBdr>
    </w:div>
    <w:div w:id="163669075">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2450241">
      <w:bodyDiv w:val="1"/>
      <w:marLeft w:val="0"/>
      <w:marRight w:val="0"/>
      <w:marTop w:val="0"/>
      <w:marBottom w:val="0"/>
      <w:divBdr>
        <w:top w:val="none" w:sz="0" w:space="0" w:color="auto"/>
        <w:left w:val="none" w:sz="0" w:space="0" w:color="auto"/>
        <w:bottom w:val="none" w:sz="0" w:space="0" w:color="auto"/>
        <w:right w:val="none" w:sz="0" w:space="0" w:color="auto"/>
      </w:divBdr>
      <w:divsChild>
        <w:div w:id="674385950">
          <w:marLeft w:val="0"/>
          <w:marRight w:val="0"/>
          <w:marTop w:val="0"/>
          <w:marBottom w:val="160"/>
          <w:divBdr>
            <w:top w:val="none" w:sz="0" w:space="0" w:color="auto"/>
            <w:left w:val="none" w:sz="0" w:space="0" w:color="auto"/>
            <w:bottom w:val="none" w:sz="0" w:space="0" w:color="auto"/>
            <w:right w:val="none" w:sz="0" w:space="0" w:color="auto"/>
          </w:divBdr>
        </w:div>
        <w:div w:id="748045587">
          <w:marLeft w:val="0"/>
          <w:marRight w:val="0"/>
          <w:marTop w:val="0"/>
          <w:marBottom w:val="160"/>
          <w:divBdr>
            <w:top w:val="none" w:sz="0" w:space="0" w:color="auto"/>
            <w:left w:val="none" w:sz="0" w:space="0" w:color="auto"/>
            <w:bottom w:val="none" w:sz="0" w:space="0" w:color="auto"/>
            <w:right w:val="none" w:sz="0" w:space="0" w:color="auto"/>
          </w:divBdr>
        </w:div>
      </w:divsChild>
    </w:div>
    <w:div w:id="610668055">
      <w:bodyDiv w:val="1"/>
      <w:marLeft w:val="0"/>
      <w:marRight w:val="0"/>
      <w:marTop w:val="0"/>
      <w:marBottom w:val="0"/>
      <w:divBdr>
        <w:top w:val="none" w:sz="0" w:space="0" w:color="auto"/>
        <w:left w:val="none" w:sz="0" w:space="0" w:color="auto"/>
        <w:bottom w:val="none" w:sz="0" w:space="0" w:color="auto"/>
        <w:right w:val="none" w:sz="0" w:space="0" w:color="auto"/>
      </w:divBdr>
      <w:divsChild>
        <w:div w:id="1120688512">
          <w:marLeft w:val="0"/>
          <w:marRight w:val="0"/>
          <w:marTop w:val="0"/>
          <w:marBottom w:val="160"/>
          <w:divBdr>
            <w:top w:val="none" w:sz="0" w:space="0" w:color="auto"/>
            <w:left w:val="none" w:sz="0" w:space="0" w:color="auto"/>
            <w:bottom w:val="none" w:sz="0" w:space="0" w:color="auto"/>
            <w:right w:val="none" w:sz="0" w:space="0" w:color="auto"/>
          </w:divBdr>
        </w:div>
        <w:div w:id="2072582825">
          <w:marLeft w:val="0"/>
          <w:marRight w:val="0"/>
          <w:marTop w:val="0"/>
          <w:marBottom w:val="16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70722291">
      <w:bodyDiv w:val="1"/>
      <w:marLeft w:val="0"/>
      <w:marRight w:val="0"/>
      <w:marTop w:val="0"/>
      <w:marBottom w:val="0"/>
      <w:divBdr>
        <w:top w:val="none" w:sz="0" w:space="0" w:color="auto"/>
        <w:left w:val="none" w:sz="0" w:space="0" w:color="auto"/>
        <w:bottom w:val="none" w:sz="0" w:space="0" w:color="auto"/>
        <w:right w:val="none" w:sz="0" w:space="0" w:color="auto"/>
      </w:divBdr>
    </w:div>
    <w:div w:id="678653272">
      <w:bodyDiv w:val="1"/>
      <w:marLeft w:val="0"/>
      <w:marRight w:val="0"/>
      <w:marTop w:val="0"/>
      <w:marBottom w:val="0"/>
      <w:divBdr>
        <w:top w:val="none" w:sz="0" w:space="0" w:color="auto"/>
        <w:left w:val="none" w:sz="0" w:space="0" w:color="auto"/>
        <w:bottom w:val="none" w:sz="0" w:space="0" w:color="auto"/>
        <w:right w:val="none" w:sz="0" w:space="0" w:color="auto"/>
      </w:divBdr>
    </w:div>
    <w:div w:id="703402634">
      <w:bodyDiv w:val="1"/>
      <w:marLeft w:val="0"/>
      <w:marRight w:val="0"/>
      <w:marTop w:val="0"/>
      <w:marBottom w:val="0"/>
      <w:divBdr>
        <w:top w:val="none" w:sz="0" w:space="0" w:color="auto"/>
        <w:left w:val="none" w:sz="0" w:space="0" w:color="auto"/>
        <w:bottom w:val="none" w:sz="0" w:space="0" w:color="auto"/>
        <w:right w:val="none" w:sz="0" w:space="0" w:color="auto"/>
      </w:divBdr>
    </w:div>
    <w:div w:id="744572884">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82043118">
      <w:bodyDiv w:val="1"/>
      <w:marLeft w:val="0"/>
      <w:marRight w:val="0"/>
      <w:marTop w:val="0"/>
      <w:marBottom w:val="0"/>
      <w:divBdr>
        <w:top w:val="none" w:sz="0" w:space="0" w:color="auto"/>
        <w:left w:val="none" w:sz="0" w:space="0" w:color="auto"/>
        <w:bottom w:val="none" w:sz="0" w:space="0" w:color="auto"/>
        <w:right w:val="none" w:sz="0" w:space="0" w:color="auto"/>
      </w:divBdr>
      <w:divsChild>
        <w:div w:id="69041984">
          <w:marLeft w:val="0"/>
          <w:marRight w:val="0"/>
          <w:marTop w:val="0"/>
          <w:marBottom w:val="160"/>
          <w:divBdr>
            <w:top w:val="none" w:sz="0" w:space="0" w:color="auto"/>
            <w:left w:val="none" w:sz="0" w:space="0" w:color="auto"/>
            <w:bottom w:val="none" w:sz="0" w:space="0" w:color="auto"/>
            <w:right w:val="none" w:sz="0" w:space="0" w:color="auto"/>
          </w:divBdr>
        </w:div>
        <w:div w:id="1586767872">
          <w:marLeft w:val="0"/>
          <w:marRight w:val="0"/>
          <w:marTop w:val="0"/>
          <w:marBottom w:val="160"/>
          <w:divBdr>
            <w:top w:val="none" w:sz="0" w:space="0" w:color="auto"/>
            <w:left w:val="none" w:sz="0" w:space="0" w:color="auto"/>
            <w:bottom w:val="none" w:sz="0" w:space="0" w:color="auto"/>
            <w:right w:val="none" w:sz="0" w:space="0" w:color="auto"/>
          </w:divBdr>
        </w:div>
      </w:divsChild>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858006586">
      <w:bodyDiv w:val="1"/>
      <w:marLeft w:val="0"/>
      <w:marRight w:val="0"/>
      <w:marTop w:val="0"/>
      <w:marBottom w:val="0"/>
      <w:divBdr>
        <w:top w:val="none" w:sz="0" w:space="0" w:color="auto"/>
        <w:left w:val="none" w:sz="0" w:space="0" w:color="auto"/>
        <w:bottom w:val="none" w:sz="0" w:space="0" w:color="auto"/>
        <w:right w:val="none" w:sz="0" w:space="0" w:color="auto"/>
      </w:divBdr>
    </w:div>
    <w:div w:id="888538941">
      <w:bodyDiv w:val="1"/>
      <w:marLeft w:val="0"/>
      <w:marRight w:val="0"/>
      <w:marTop w:val="0"/>
      <w:marBottom w:val="0"/>
      <w:divBdr>
        <w:top w:val="none" w:sz="0" w:space="0" w:color="auto"/>
        <w:left w:val="none" w:sz="0" w:space="0" w:color="auto"/>
        <w:bottom w:val="none" w:sz="0" w:space="0" w:color="auto"/>
        <w:right w:val="none" w:sz="0" w:space="0" w:color="auto"/>
      </w:divBdr>
    </w:div>
    <w:div w:id="916595034">
      <w:bodyDiv w:val="1"/>
      <w:marLeft w:val="0"/>
      <w:marRight w:val="0"/>
      <w:marTop w:val="0"/>
      <w:marBottom w:val="0"/>
      <w:divBdr>
        <w:top w:val="none" w:sz="0" w:space="0" w:color="auto"/>
        <w:left w:val="none" w:sz="0" w:space="0" w:color="auto"/>
        <w:bottom w:val="none" w:sz="0" w:space="0" w:color="auto"/>
        <w:right w:val="none" w:sz="0" w:space="0" w:color="auto"/>
      </w:divBdr>
    </w:div>
    <w:div w:id="971981797">
      <w:bodyDiv w:val="1"/>
      <w:marLeft w:val="0"/>
      <w:marRight w:val="0"/>
      <w:marTop w:val="0"/>
      <w:marBottom w:val="0"/>
      <w:divBdr>
        <w:top w:val="none" w:sz="0" w:space="0" w:color="auto"/>
        <w:left w:val="none" w:sz="0" w:space="0" w:color="auto"/>
        <w:bottom w:val="none" w:sz="0" w:space="0" w:color="auto"/>
        <w:right w:val="none" w:sz="0" w:space="0" w:color="auto"/>
      </w:divBdr>
      <w:divsChild>
        <w:div w:id="190731191">
          <w:marLeft w:val="0"/>
          <w:marRight w:val="0"/>
          <w:marTop w:val="0"/>
          <w:marBottom w:val="160"/>
          <w:divBdr>
            <w:top w:val="none" w:sz="0" w:space="0" w:color="auto"/>
            <w:left w:val="none" w:sz="0" w:space="0" w:color="auto"/>
            <w:bottom w:val="none" w:sz="0" w:space="0" w:color="auto"/>
            <w:right w:val="none" w:sz="0" w:space="0" w:color="auto"/>
          </w:divBdr>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93148572">
      <w:bodyDiv w:val="1"/>
      <w:marLeft w:val="0"/>
      <w:marRight w:val="0"/>
      <w:marTop w:val="0"/>
      <w:marBottom w:val="0"/>
      <w:divBdr>
        <w:top w:val="none" w:sz="0" w:space="0" w:color="auto"/>
        <w:left w:val="none" w:sz="0" w:space="0" w:color="auto"/>
        <w:bottom w:val="none" w:sz="0" w:space="0" w:color="auto"/>
        <w:right w:val="none" w:sz="0" w:space="0" w:color="auto"/>
      </w:divBdr>
    </w:div>
    <w:div w:id="1204294167">
      <w:bodyDiv w:val="1"/>
      <w:marLeft w:val="0"/>
      <w:marRight w:val="0"/>
      <w:marTop w:val="0"/>
      <w:marBottom w:val="0"/>
      <w:divBdr>
        <w:top w:val="none" w:sz="0" w:space="0" w:color="auto"/>
        <w:left w:val="none" w:sz="0" w:space="0" w:color="auto"/>
        <w:bottom w:val="none" w:sz="0" w:space="0" w:color="auto"/>
        <w:right w:val="none" w:sz="0" w:space="0" w:color="auto"/>
      </w:divBdr>
    </w:div>
    <w:div w:id="1205413298">
      <w:bodyDiv w:val="1"/>
      <w:marLeft w:val="0"/>
      <w:marRight w:val="0"/>
      <w:marTop w:val="0"/>
      <w:marBottom w:val="0"/>
      <w:divBdr>
        <w:top w:val="none" w:sz="0" w:space="0" w:color="auto"/>
        <w:left w:val="none" w:sz="0" w:space="0" w:color="auto"/>
        <w:bottom w:val="none" w:sz="0" w:space="0" w:color="auto"/>
        <w:right w:val="none" w:sz="0" w:space="0" w:color="auto"/>
      </w:divBdr>
      <w:divsChild>
        <w:div w:id="578640697">
          <w:marLeft w:val="0"/>
          <w:marRight w:val="0"/>
          <w:marTop w:val="0"/>
          <w:marBottom w:val="160"/>
          <w:divBdr>
            <w:top w:val="none" w:sz="0" w:space="0" w:color="auto"/>
            <w:left w:val="none" w:sz="0" w:space="0" w:color="auto"/>
            <w:bottom w:val="none" w:sz="0" w:space="0" w:color="auto"/>
            <w:right w:val="none" w:sz="0" w:space="0" w:color="auto"/>
          </w:divBdr>
        </w:div>
      </w:divsChild>
    </w:div>
    <w:div w:id="1217279820">
      <w:bodyDiv w:val="1"/>
      <w:marLeft w:val="0"/>
      <w:marRight w:val="0"/>
      <w:marTop w:val="0"/>
      <w:marBottom w:val="0"/>
      <w:divBdr>
        <w:top w:val="none" w:sz="0" w:space="0" w:color="auto"/>
        <w:left w:val="none" w:sz="0" w:space="0" w:color="auto"/>
        <w:bottom w:val="none" w:sz="0" w:space="0" w:color="auto"/>
        <w:right w:val="none" w:sz="0" w:space="0" w:color="auto"/>
      </w:divBdr>
    </w:div>
    <w:div w:id="1219829448">
      <w:bodyDiv w:val="1"/>
      <w:marLeft w:val="0"/>
      <w:marRight w:val="0"/>
      <w:marTop w:val="0"/>
      <w:marBottom w:val="0"/>
      <w:divBdr>
        <w:top w:val="none" w:sz="0" w:space="0" w:color="auto"/>
        <w:left w:val="none" w:sz="0" w:space="0" w:color="auto"/>
        <w:bottom w:val="none" w:sz="0" w:space="0" w:color="auto"/>
        <w:right w:val="none" w:sz="0" w:space="0" w:color="auto"/>
      </w:divBdr>
    </w:div>
    <w:div w:id="1230308700">
      <w:bodyDiv w:val="1"/>
      <w:marLeft w:val="0"/>
      <w:marRight w:val="0"/>
      <w:marTop w:val="0"/>
      <w:marBottom w:val="0"/>
      <w:divBdr>
        <w:top w:val="none" w:sz="0" w:space="0" w:color="auto"/>
        <w:left w:val="none" w:sz="0" w:space="0" w:color="auto"/>
        <w:bottom w:val="none" w:sz="0" w:space="0" w:color="auto"/>
        <w:right w:val="none" w:sz="0" w:space="0" w:color="auto"/>
      </w:divBdr>
    </w:div>
    <w:div w:id="1235507350">
      <w:bodyDiv w:val="1"/>
      <w:marLeft w:val="0"/>
      <w:marRight w:val="0"/>
      <w:marTop w:val="0"/>
      <w:marBottom w:val="0"/>
      <w:divBdr>
        <w:top w:val="none" w:sz="0" w:space="0" w:color="auto"/>
        <w:left w:val="none" w:sz="0" w:space="0" w:color="auto"/>
        <w:bottom w:val="none" w:sz="0" w:space="0" w:color="auto"/>
        <w:right w:val="none" w:sz="0" w:space="0" w:color="auto"/>
      </w:divBdr>
      <w:divsChild>
        <w:div w:id="60753749">
          <w:marLeft w:val="0"/>
          <w:marRight w:val="0"/>
          <w:marTop w:val="0"/>
          <w:marBottom w:val="160"/>
          <w:divBdr>
            <w:top w:val="none" w:sz="0" w:space="0" w:color="auto"/>
            <w:left w:val="none" w:sz="0" w:space="0" w:color="auto"/>
            <w:bottom w:val="none" w:sz="0" w:space="0" w:color="auto"/>
            <w:right w:val="none" w:sz="0" w:space="0" w:color="auto"/>
          </w:divBdr>
        </w:div>
        <w:div w:id="654333741">
          <w:marLeft w:val="0"/>
          <w:marRight w:val="0"/>
          <w:marTop w:val="0"/>
          <w:marBottom w:val="16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8511815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24893967">
      <w:bodyDiv w:val="1"/>
      <w:marLeft w:val="0"/>
      <w:marRight w:val="0"/>
      <w:marTop w:val="0"/>
      <w:marBottom w:val="0"/>
      <w:divBdr>
        <w:top w:val="none" w:sz="0" w:space="0" w:color="auto"/>
        <w:left w:val="none" w:sz="0" w:space="0" w:color="auto"/>
        <w:bottom w:val="none" w:sz="0" w:space="0" w:color="auto"/>
        <w:right w:val="none" w:sz="0" w:space="0" w:color="auto"/>
      </w:divBdr>
    </w:div>
    <w:div w:id="1334911614">
      <w:bodyDiv w:val="1"/>
      <w:marLeft w:val="0"/>
      <w:marRight w:val="0"/>
      <w:marTop w:val="0"/>
      <w:marBottom w:val="0"/>
      <w:divBdr>
        <w:top w:val="none" w:sz="0" w:space="0" w:color="auto"/>
        <w:left w:val="none" w:sz="0" w:space="0" w:color="auto"/>
        <w:bottom w:val="none" w:sz="0" w:space="0" w:color="auto"/>
        <w:right w:val="none" w:sz="0" w:space="0" w:color="auto"/>
      </w:divBdr>
    </w:div>
    <w:div w:id="1339583029">
      <w:bodyDiv w:val="1"/>
      <w:marLeft w:val="0"/>
      <w:marRight w:val="0"/>
      <w:marTop w:val="0"/>
      <w:marBottom w:val="0"/>
      <w:divBdr>
        <w:top w:val="none" w:sz="0" w:space="0" w:color="auto"/>
        <w:left w:val="none" w:sz="0" w:space="0" w:color="auto"/>
        <w:bottom w:val="none" w:sz="0" w:space="0" w:color="auto"/>
        <w:right w:val="none" w:sz="0" w:space="0" w:color="auto"/>
      </w:divBdr>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99939076">
      <w:bodyDiv w:val="1"/>
      <w:marLeft w:val="0"/>
      <w:marRight w:val="0"/>
      <w:marTop w:val="0"/>
      <w:marBottom w:val="0"/>
      <w:divBdr>
        <w:top w:val="none" w:sz="0" w:space="0" w:color="auto"/>
        <w:left w:val="none" w:sz="0" w:space="0" w:color="auto"/>
        <w:bottom w:val="none" w:sz="0" w:space="0" w:color="auto"/>
        <w:right w:val="none" w:sz="0" w:space="0" w:color="auto"/>
      </w:divBdr>
      <w:divsChild>
        <w:div w:id="709691081">
          <w:marLeft w:val="0"/>
          <w:marRight w:val="0"/>
          <w:marTop w:val="0"/>
          <w:marBottom w:val="0"/>
          <w:divBdr>
            <w:top w:val="none" w:sz="0" w:space="0" w:color="auto"/>
            <w:left w:val="none" w:sz="0" w:space="0" w:color="auto"/>
            <w:bottom w:val="none" w:sz="0" w:space="0" w:color="auto"/>
            <w:right w:val="none" w:sz="0" w:space="0" w:color="auto"/>
          </w:divBdr>
        </w:div>
      </w:divsChild>
    </w:div>
    <w:div w:id="1504932451">
      <w:bodyDiv w:val="1"/>
      <w:marLeft w:val="0"/>
      <w:marRight w:val="0"/>
      <w:marTop w:val="0"/>
      <w:marBottom w:val="0"/>
      <w:divBdr>
        <w:top w:val="none" w:sz="0" w:space="0" w:color="auto"/>
        <w:left w:val="none" w:sz="0" w:space="0" w:color="auto"/>
        <w:bottom w:val="none" w:sz="0" w:space="0" w:color="auto"/>
        <w:right w:val="none" w:sz="0" w:space="0" w:color="auto"/>
      </w:divBdr>
    </w:div>
    <w:div w:id="1536045839">
      <w:bodyDiv w:val="1"/>
      <w:marLeft w:val="0"/>
      <w:marRight w:val="0"/>
      <w:marTop w:val="0"/>
      <w:marBottom w:val="0"/>
      <w:divBdr>
        <w:top w:val="none" w:sz="0" w:space="0" w:color="auto"/>
        <w:left w:val="none" w:sz="0" w:space="0" w:color="auto"/>
        <w:bottom w:val="none" w:sz="0" w:space="0" w:color="auto"/>
        <w:right w:val="none" w:sz="0" w:space="0" w:color="auto"/>
      </w:divBdr>
      <w:divsChild>
        <w:div w:id="719397466">
          <w:marLeft w:val="0"/>
          <w:marRight w:val="0"/>
          <w:marTop w:val="0"/>
          <w:marBottom w:val="0"/>
          <w:divBdr>
            <w:top w:val="none" w:sz="0" w:space="0" w:color="auto"/>
            <w:left w:val="none" w:sz="0" w:space="0" w:color="auto"/>
            <w:bottom w:val="none" w:sz="0" w:space="0" w:color="auto"/>
            <w:right w:val="none" w:sz="0" w:space="0" w:color="auto"/>
          </w:divBdr>
        </w:div>
      </w:divsChild>
    </w:div>
    <w:div w:id="1547374111">
      <w:bodyDiv w:val="1"/>
      <w:marLeft w:val="0"/>
      <w:marRight w:val="0"/>
      <w:marTop w:val="0"/>
      <w:marBottom w:val="0"/>
      <w:divBdr>
        <w:top w:val="none" w:sz="0" w:space="0" w:color="auto"/>
        <w:left w:val="none" w:sz="0" w:space="0" w:color="auto"/>
        <w:bottom w:val="none" w:sz="0" w:space="0" w:color="auto"/>
        <w:right w:val="none" w:sz="0" w:space="0" w:color="auto"/>
      </w:divBdr>
    </w:div>
    <w:div w:id="1594850742">
      <w:bodyDiv w:val="1"/>
      <w:marLeft w:val="0"/>
      <w:marRight w:val="0"/>
      <w:marTop w:val="0"/>
      <w:marBottom w:val="0"/>
      <w:divBdr>
        <w:top w:val="none" w:sz="0" w:space="0" w:color="auto"/>
        <w:left w:val="none" w:sz="0" w:space="0" w:color="auto"/>
        <w:bottom w:val="none" w:sz="0" w:space="0" w:color="auto"/>
        <w:right w:val="none" w:sz="0" w:space="0" w:color="auto"/>
      </w:divBdr>
    </w:div>
    <w:div w:id="1683507228">
      <w:bodyDiv w:val="1"/>
      <w:marLeft w:val="0"/>
      <w:marRight w:val="0"/>
      <w:marTop w:val="0"/>
      <w:marBottom w:val="0"/>
      <w:divBdr>
        <w:top w:val="none" w:sz="0" w:space="0" w:color="auto"/>
        <w:left w:val="none" w:sz="0" w:space="0" w:color="auto"/>
        <w:bottom w:val="none" w:sz="0" w:space="0" w:color="auto"/>
        <w:right w:val="none" w:sz="0" w:space="0" w:color="auto"/>
      </w:divBdr>
      <w:divsChild>
        <w:div w:id="744957684">
          <w:marLeft w:val="0"/>
          <w:marRight w:val="0"/>
          <w:marTop w:val="0"/>
          <w:marBottom w:val="160"/>
          <w:divBdr>
            <w:top w:val="none" w:sz="0" w:space="0" w:color="auto"/>
            <w:left w:val="none" w:sz="0" w:space="0" w:color="auto"/>
            <w:bottom w:val="none" w:sz="0" w:space="0" w:color="auto"/>
            <w:right w:val="none" w:sz="0" w:space="0" w:color="auto"/>
          </w:divBdr>
        </w:div>
      </w:divsChild>
    </w:div>
    <w:div w:id="1689602794">
      <w:bodyDiv w:val="1"/>
      <w:marLeft w:val="0"/>
      <w:marRight w:val="0"/>
      <w:marTop w:val="0"/>
      <w:marBottom w:val="0"/>
      <w:divBdr>
        <w:top w:val="none" w:sz="0" w:space="0" w:color="auto"/>
        <w:left w:val="none" w:sz="0" w:space="0" w:color="auto"/>
        <w:bottom w:val="none" w:sz="0" w:space="0" w:color="auto"/>
        <w:right w:val="none" w:sz="0" w:space="0" w:color="auto"/>
      </w:divBdr>
    </w:div>
    <w:div w:id="1876193053">
      <w:bodyDiv w:val="1"/>
      <w:marLeft w:val="0"/>
      <w:marRight w:val="0"/>
      <w:marTop w:val="0"/>
      <w:marBottom w:val="0"/>
      <w:divBdr>
        <w:top w:val="none" w:sz="0" w:space="0" w:color="auto"/>
        <w:left w:val="none" w:sz="0" w:space="0" w:color="auto"/>
        <w:bottom w:val="none" w:sz="0" w:space="0" w:color="auto"/>
        <w:right w:val="none" w:sz="0" w:space="0" w:color="auto"/>
      </w:divBdr>
    </w:div>
    <w:div w:id="1883132164">
      <w:bodyDiv w:val="1"/>
      <w:marLeft w:val="0"/>
      <w:marRight w:val="0"/>
      <w:marTop w:val="0"/>
      <w:marBottom w:val="0"/>
      <w:divBdr>
        <w:top w:val="none" w:sz="0" w:space="0" w:color="auto"/>
        <w:left w:val="none" w:sz="0" w:space="0" w:color="auto"/>
        <w:bottom w:val="none" w:sz="0" w:space="0" w:color="auto"/>
        <w:right w:val="none" w:sz="0" w:space="0" w:color="auto"/>
      </w:divBdr>
    </w:div>
    <w:div w:id="1933975195">
      <w:bodyDiv w:val="1"/>
      <w:marLeft w:val="0"/>
      <w:marRight w:val="0"/>
      <w:marTop w:val="0"/>
      <w:marBottom w:val="0"/>
      <w:divBdr>
        <w:top w:val="none" w:sz="0" w:space="0" w:color="auto"/>
        <w:left w:val="none" w:sz="0" w:space="0" w:color="auto"/>
        <w:bottom w:val="none" w:sz="0" w:space="0" w:color="auto"/>
        <w:right w:val="none" w:sz="0" w:space="0" w:color="auto"/>
      </w:divBdr>
    </w:div>
    <w:div w:id="1955601285">
      <w:bodyDiv w:val="1"/>
      <w:marLeft w:val="0"/>
      <w:marRight w:val="0"/>
      <w:marTop w:val="0"/>
      <w:marBottom w:val="0"/>
      <w:divBdr>
        <w:top w:val="none" w:sz="0" w:space="0" w:color="auto"/>
        <w:left w:val="none" w:sz="0" w:space="0" w:color="auto"/>
        <w:bottom w:val="none" w:sz="0" w:space="0" w:color="auto"/>
        <w:right w:val="none" w:sz="0" w:space="0" w:color="auto"/>
      </w:divBdr>
    </w:div>
    <w:div w:id="1982884798">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3a.cla@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ana.ortizb%40colombiacompra.gov.co%7C616b83c3423e4d31151908dce489c00d%7C7b09041e245149d08cb179d5e3d8c1be%7C0%7C0%7C638636527543600693%7CUnknown%7CTWFpbGZsb3d8eyJWIjoiMC4wLjAwMDAiLCJQIjoiV2luMzIiLCJBTiI6Ik1haWwiLCJXVCI6Mn0%3D%7C0%7C%7C%7C&amp;sdata=g3Xvz%2F4CVz7uxrIyjogYVE%2FL9W5JT0qEat2iT5%2Bwb6k%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rtalterritorial.dnp.gov.co/assets/documentosfase3/Minminas%20y%20Energ&#237;a-%20Recomendacionesen%20PDT.pdf" TargetMode="External"/><Relationship Id="rId1" Type="http://schemas.openxmlformats.org/officeDocument/2006/relationships/hyperlink" Target="https://acmineria.com.co/blog/2023/05/02/que-es-la-transicion-energet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ACA1AB6C-45BF-4024-AB07-80E00040624B}">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51CF389-BF03-4C8C-A8C3-D59CDFC0FF41}"/>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5697</Words>
  <Characters>31339</Characters>
  <Application>Microsoft Office Word</Application>
  <DocSecurity>0</DocSecurity>
  <Lines>261</Lines>
  <Paragraphs>73</Paragraphs>
  <ScaleCrop>false</ScaleCrop>
  <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76</cp:revision>
  <cp:lastPrinted>2023-01-10T15:18:00Z</cp:lastPrinted>
  <dcterms:created xsi:type="dcterms:W3CDTF">2024-10-09T14:23:00Z</dcterms:created>
  <dcterms:modified xsi:type="dcterms:W3CDTF">2024-10-09T15:33:00Z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