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6BA98" w14:textId="77777777" w:rsidR="00201BF3" w:rsidRPr="00642EA6" w:rsidRDefault="00201BF3" w:rsidP="00201BF3">
      <w:pPr>
        <w:spacing w:after="0" w:line="240" w:lineRule="auto"/>
        <w:jc w:val="both"/>
        <w:rPr>
          <w:rFonts w:ascii="Verdana" w:eastAsia="Aptos" w:hAnsi="Verdana" w:cs="Times New Roman"/>
          <w:b/>
          <w:bCs/>
          <w:kern w:val="2"/>
          <w14:ligatures w14:val="standardContextual"/>
        </w:rPr>
      </w:pPr>
      <w:r w:rsidRPr="00642EA6">
        <w:rPr>
          <w:rFonts w:ascii="Verdana" w:eastAsia="Aptos" w:hAnsi="Verdana" w:cs="Times New Roman"/>
          <w:b/>
          <w:bCs/>
          <w:kern w:val="2"/>
          <w14:ligatures w14:val="standardContextual"/>
        </w:rPr>
        <w:t>SOCIEDADES DE ECONOMÍA MIXTA – Naturaleza jurídica – Régimen de contratación</w:t>
      </w:r>
    </w:p>
    <w:p w14:paraId="7BA11A2E" w14:textId="77777777" w:rsidR="00201BF3" w:rsidRPr="00642EA6" w:rsidRDefault="00201BF3" w:rsidP="00201BF3">
      <w:pPr>
        <w:spacing w:after="0" w:line="278" w:lineRule="auto"/>
        <w:jc w:val="both"/>
        <w:rPr>
          <w:rFonts w:ascii="Verdana" w:eastAsia="Aptos" w:hAnsi="Verdana" w:cs="Times New Roman"/>
          <w:b/>
          <w:bCs/>
          <w:kern w:val="2"/>
          <w:sz w:val="20"/>
          <w:szCs w:val="20"/>
          <w14:ligatures w14:val="standardContextual"/>
        </w:rPr>
      </w:pPr>
    </w:p>
    <w:p w14:paraId="6E76430E" w14:textId="77777777" w:rsidR="00201BF3" w:rsidRPr="00642EA6" w:rsidRDefault="00201BF3" w:rsidP="00201BF3">
      <w:pPr>
        <w:spacing w:after="0" w:line="240" w:lineRule="auto"/>
        <w:jc w:val="both"/>
        <w:rPr>
          <w:rFonts w:ascii="Verdana" w:eastAsia="Aptos" w:hAnsi="Verdana" w:cs="Times New Roman"/>
          <w:kern w:val="2"/>
          <w:sz w:val="20"/>
          <w:szCs w:val="20"/>
          <w14:ligatures w14:val="standardContextual"/>
        </w:rPr>
      </w:pPr>
      <w:r w:rsidRPr="00642EA6">
        <w:rPr>
          <w:rFonts w:ascii="Verdana" w:eastAsia="Aptos" w:hAnsi="Verdana" w:cs="Times New Roman"/>
          <w:kern w:val="2"/>
          <w:sz w:val="20"/>
          <w:szCs w:val="20"/>
          <w14:ligatures w14:val="standardContextual"/>
        </w:rPr>
        <w:t>[…]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 Y el segundo destinado a regir el desarrollo de la actividad económica de cada sociedad.</w:t>
      </w:r>
      <w:r w:rsidRPr="00642EA6">
        <w:rPr>
          <w:rFonts w:ascii="Aptos" w:eastAsia="Aptos" w:hAnsi="Aptos" w:cs="Times New Roman"/>
          <w:kern w:val="2"/>
          <w:sz w:val="24"/>
          <w:szCs w:val="24"/>
          <w14:ligatures w14:val="standardContextual"/>
        </w:rPr>
        <w:t xml:space="preserve"> </w:t>
      </w:r>
      <w:r w:rsidRPr="00642EA6">
        <w:rPr>
          <w:rFonts w:ascii="Verdana" w:eastAsia="Aptos" w:hAnsi="Verdana" w:cs="Times New Roman"/>
          <w:kern w:val="2"/>
          <w:sz w:val="20"/>
          <w:szCs w:val="20"/>
          <w14:ligatures w14:val="standardContextual"/>
        </w:rPr>
        <w:t>De esta forma, 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proofErr w:type="gramStart"/>
      <w:r w:rsidRPr="00642EA6">
        <w:rPr>
          <w:rFonts w:ascii="Verdana" w:eastAsia="Aptos" w:hAnsi="Verdana" w:cs="Times New Roman"/>
          <w:kern w:val="2"/>
          <w:sz w:val="20"/>
          <w:szCs w:val="20"/>
          <w14:ligatures w14:val="standardContextual"/>
        </w:rPr>
        <w:t>) .</w:t>
      </w:r>
      <w:proofErr w:type="gramEnd"/>
      <w:r w:rsidRPr="00642EA6">
        <w:rPr>
          <w:rFonts w:ascii="Verdana" w:eastAsia="Aptos" w:hAnsi="Verdana" w:cs="Times New Roman"/>
          <w:kern w:val="2"/>
          <w:sz w:val="20"/>
          <w:szCs w:val="20"/>
          <w14:ligatures w14:val="standardContextual"/>
        </w:rPr>
        <w:t xml:space="preserve"> Esto significa que el legislador, en el año 1993, estableció que las sociedades de economía mixta donde el Estado tenga participación superior al cincuenta por ciento (50%) están sujetos al Estatuto General de Contratación de la Administración Pública, en adelante EGCAP.</w:t>
      </w:r>
    </w:p>
    <w:p w14:paraId="49F7631A" w14:textId="77777777" w:rsidR="00201BF3" w:rsidRPr="00642EA6" w:rsidRDefault="00201BF3" w:rsidP="00201BF3">
      <w:pPr>
        <w:spacing w:after="0" w:line="278" w:lineRule="auto"/>
        <w:jc w:val="both"/>
        <w:rPr>
          <w:rFonts w:ascii="Verdana" w:eastAsia="Aptos" w:hAnsi="Verdana" w:cs="Times New Roman"/>
          <w:kern w:val="2"/>
          <w:sz w:val="20"/>
          <w:szCs w:val="20"/>
          <w14:ligatures w14:val="standardContextual"/>
        </w:rPr>
      </w:pPr>
      <w:r w:rsidRPr="00642EA6">
        <w:rPr>
          <w:rFonts w:ascii="Verdana" w:eastAsia="Aptos" w:hAnsi="Verdana" w:cs="Times New Roman"/>
          <w:kern w:val="2"/>
          <w:sz w:val="20"/>
          <w:szCs w:val="20"/>
          <w14:ligatures w14:val="standardContextual"/>
        </w:rPr>
        <w:t>[…]</w:t>
      </w:r>
    </w:p>
    <w:p w14:paraId="32A1AF64" w14:textId="77777777" w:rsidR="00201BF3" w:rsidRPr="00642EA6" w:rsidRDefault="00201BF3" w:rsidP="00201BF3">
      <w:pPr>
        <w:spacing w:after="0" w:line="240" w:lineRule="auto"/>
        <w:jc w:val="both"/>
        <w:rPr>
          <w:rFonts w:ascii="Verdana" w:eastAsia="Aptos" w:hAnsi="Verdana" w:cs="Times New Roman"/>
          <w:kern w:val="2"/>
          <w:sz w:val="20"/>
          <w:szCs w:val="20"/>
          <w14:ligatures w14:val="standardContextual"/>
        </w:rPr>
      </w:pPr>
      <w:r w:rsidRPr="00642EA6">
        <w:rPr>
          <w:rFonts w:ascii="Verdana" w:eastAsia="Aptos" w:hAnsi="Verdana" w:cs="Times New Roman"/>
          <w:kern w:val="2"/>
          <w:sz w:val="20"/>
          <w:szCs w:val="20"/>
          <w14:ligatures w14:val="standardContextual"/>
        </w:rPr>
        <w:t>[…]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 En otras palabras, el legislador estableció que 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14:paraId="7FD26C16" w14:textId="77777777" w:rsidR="00201BF3" w:rsidRPr="00642EA6" w:rsidRDefault="00201BF3" w:rsidP="00201BF3">
      <w:pPr>
        <w:spacing w:after="0" w:line="278" w:lineRule="auto"/>
        <w:jc w:val="both"/>
        <w:rPr>
          <w:rFonts w:ascii="Verdana" w:eastAsia="Aptos" w:hAnsi="Verdana" w:cs="Times New Roman"/>
          <w:kern w:val="2"/>
          <w:sz w:val="20"/>
          <w:szCs w:val="20"/>
          <w14:ligatures w14:val="standardContextual"/>
        </w:rPr>
      </w:pPr>
    </w:p>
    <w:p w14:paraId="46898340" w14:textId="77777777" w:rsidR="00201BF3" w:rsidRPr="00642EA6" w:rsidRDefault="00201BF3" w:rsidP="00201BF3">
      <w:pPr>
        <w:spacing w:after="0" w:line="240" w:lineRule="auto"/>
        <w:jc w:val="both"/>
        <w:rPr>
          <w:rFonts w:ascii="Verdana" w:eastAsia="Aptos" w:hAnsi="Verdana" w:cs="Times New Roman"/>
          <w:b/>
          <w:bCs/>
          <w:kern w:val="2"/>
          <w14:ligatures w14:val="standardContextual"/>
        </w:rPr>
      </w:pPr>
      <w:r w:rsidRPr="00642EA6">
        <w:rPr>
          <w:rFonts w:ascii="Verdana" w:eastAsia="Aptos" w:hAnsi="Verdana" w:cs="Times New Roman"/>
          <w:b/>
          <w:bCs/>
          <w:kern w:val="2"/>
          <w14:ligatures w14:val="standardContextual"/>
        </w:rPr>
        <w:t xml:space="preserve">ENTIDADES </w:t>
      </w:r>
      <w:bookmarkStart w:id="0" w:name="_GoBack"/>
      <w:r w:rsidRPr="00642EA6">
        <w:rPr>
          <w:rFonts w:ascii="Verdana" w:eastAsia="Aptos" w:hAnsi="Verdana" w:cs="Times New Roman"/>
          <w:b/>
          <w:bCs/>
          <w:kern w:val="2"/>
          <w14:ligatures w14:val="standardContextual"/>
        </w:rPr>
        <w:t xml:space="preserve">CON RÉGIMEN ESPECIAL DE CONTRATACIÓN – Deber de publicidad – SECOP II – Actividad </w:t>
      </w:r>
      <w:bookmarkEnd w:id="0"/>
      <w:r w:rsidRPr="00642EA6">
        <w:rPr>
          <w:rFonts w:ascii="Verdana" w:eastAsia="Aptos" w:hAnsi="Verdana" w:cs="Times New Roman"/>
          <w:b/>
          <w:bCs/>
          <w:kern w:val="2"/>
          <w14:ligatures w14:val="standardContextual"/>
        </w:rPr>
        <w:t>contractual – Recursos públicos</w:t>
      </w:r>
    </w:p>
    <w:p w14:paraId="247D0073" w14:textId="77777777" w:rsidR="00201BF3" w:rsidRPr="00642EA6" w:rsidRDefault="00201BF3" w:rsidP="00201BF3">
      <w:pPr>
        <w:spacing w:after="0" w:line="278" w:lineRule="auto"/>
        <w:jc w:val="both"/>
        <w:rPr>
          <w:rFonts w:ascii="Verdana" w:eastAsia="Aptos" w:hAnsi="Verdana" w:cs="Times New Roman"/>
          <w:b/>
          <w:bCs/>
          <w:kern w:val="2"/>
          <w14:ligatures w14:val="standardContextual"/>
        </w:rPr>
      </w:pPr>
    </w:p>
    <w:p w14:paraId="6A86F937" w14:textId="77777777" w:rsidR="00201BF3" w:rsidRPr="00642EA6" w:rsidRDefault="00201BF3" w:rsidP="00201BF3">
      <w:pPr>
        <w:spacing w:after="0" w:line="240" w:lineRule="auto"/>
        <w:jc w:val="both"/>
        <w:rPr>
          <w:rFonts w:ascii="Verdana" w:eastAsia="Aptos" w:hAnsi="Verdana" w:cs="Times New Roman"/>
          <w:kern w:val="2"/>
          <w:sz w:val="20"/>
          <w:szCs w:val="20"/>
          <w14:ligatures w14:val="standardContextual"/>
        </w:rPr>
      </w:pPr>
      <w:r w:rsidRPr="00642EA6">
        <w:rPr>
          <w:rFonts w:ascii="Verdana" w:eastAsia="Aptos" w:hAnsi="Verdana" w:cs="Times New Roman"/>
          <w:kern w:val="2"/>
          <w:sz w:val="20"/>
          <w:szCs w:val="20"/>
          <w14:ligatures w14:val="standardContextual"/>
        </w:rPr>
        <w:t>[…] las Entidades Estatales, conforme al artículo 2.2.1.1.1.7.1 del Decreto 1082 de 2015, tienen la obligación de publicar en el SECOP “[…] los Documentos del Proceso y los actos administrativos del Proceso de Contratación, dentro de los tres (3) días siguientes a su expedición […]”. Sin embargo, en lo referente a las Entidades exceptuadas del EGCAP, es decir aquellas que se rigen por disposiciones especiales y el derecho privado, debe señalarse que en virtud de lo dispuesto en el artículo 53 de la Ley 2195 de 2022, mediante el cual se adiciona el artículo 13 a la Ley 1150 de 2007, asigna a dichas entidades la obligación de publicar los documentos relacionados con su actividad contractual en el SECOP II o la plataforma transaccional que haga sus veces.</w:t>
      </w:r>
    </w:p>
    <w:p w14:paraId="5713B115" w14:textId="77777777" w:rsidR="00201BF3" w:rsidRPr="00642EA6" w:rsidRDefault="00201BF3" w:rsidP="00201BF3">
      <w:pPr>
        <w:spacing w:after="0" w:line="278" w:lineRule="auto"/>
        <w:jc w:val="both"/>
        <w:rPr>
          <w:rFonts w:ascii="Verdana" w:eastAsia="Aptos" w:hAnsi="Verdana" w:cs="Times New Roman"/>
          <w:kern w:val="2"/>
          <w:sz w:val="20"/>
          <w:szCs w:val="20"/>
          <w14:ligatures w14:val="standardContextual"/>
        </w:rPr>
      </w:pPr>
      <w:r w:rsidRPr="00642EA6">
        <w:rPr>
          <w:rFonts w:ascii="Verdana" w:eastAsia="Aptos" w:hAnsi="Verdana" w:cs="Times New Roman"/>
          <w:kern w:val="2"/>
          <w:sz w:val="20"/>
          <w:szCs w:val="20"/>
          <w14:ligatures w14:val="standardContextual"/>
        </w:rPr>
        <w:t>[…]</w:t>
      </w:r>
    </w:p>
    <w:p w14:paraId="297D675E" w14:textId="77777777" w:rsidR="00201BF3" w:rsidRPr="00642EA6" w:rsidRDefault="00201BF3" w:rsidP="00201BF3">
      <w:pPr>
        <w:spacing w:after="0" w:line="240" w:lineRule="auto"/>
        <w:jc w:val="both"/>
        <w:rPr>
          <w:rFonts w:ascii="Verdana" w:eastAsia="Aptos" w:hAnsi="Verdana" w:cs="Times New Roman"/>
          <w:kern w:val="2"/>
          <w:sz w:val="20"/>
          <w:szCs w:val="20"/>
          <w14:ligatures w14:val="standardContextual"/>
        </w:rPr>
      </w:pPr>
      <w:r w:rsidRPr="00642EA6">
        <w:rPr>
          <w:rFonts w:ascii="Verdana" w:eastAsia="Aptos" w:hAnsi="Verdana" w:cs="Times New Roman"/>
          <w:kern w:val="2"/>
          <w:sz w:val="20"/>
          <w:szCs w:val="20"/>
          <w14:ligatures w14:val="standardContextual"/>
        </w:rPr>
        <w:t xml:space="preserve">[…]debe entenderse que la contratación a la que se refiere el artículo 53 de la Ley 2195 de 2024, es aquella realizada con recursos públicos, cuya información es la que debe publicarse en el SECOP II, acorde con la interpretación sistemática que permite armonizar la referida norma con todo el contexto normativo que establece que en dicha plataforma se debe publicar sólo la información relativa a la actividad contractual con </w:t>
      </w:r>
      <w:r w:rsidRPr="00642EA6">
        <w:rPr>
          <w:rFonts w:ascii="Verdana" w:eastAsia="Aptos" w:hAnsi="Verdana" w:cs="Times New Roman"/>
          <w:kern w:val="2"/>
          <w:sz w:val="20"/>
          <w:szCs w:val="20"/>
          <w14:ligatures w14:val="standardContextual"/>
        </w:rPr>
        <w:lastRenderedPageBreak/>
        <w:t>dineros públicos. Así las cosas, la Agencia Nacional de Contratación Pública – Colombia Compra Eficiente considera que la modificación introducida por el artículo 53 de la Ley 2195 de 2022 no afecta la interpretación adoptada hasta el momento, en el sentido de que la publicación de la información oficial de la contratación en el SECOP II debe realizarse si los negocios jurídicos adelantados fueron financiados con recursos públicos.</w:t>
      </w:r>
    </w:p>
    <w:p w14:paraId="4AF35AD6" w14:textId="77777777" w:rsidR="00201BF3" w:rsidRPr="00642EA6" w:rsidRDefault="00201BF3" w:rsidP="00201BF3">
      <w:pPr>
        <w:spacing w:after="0" w:line="240" w:lineRule="auto"/>
        <w:rPr>
          <w:rFonts w:ascii="Verdana" w:eastAsia="Aptos" w:hAnsi="Verdana" w:cs="Times New Roman"/>
          <w:sz w:val="20"/>
          <w:szCs w:val="20"/>
        </w:rPr>
      </w:pPr>
    </w:p>
    <w:p w14:paraId="74F0ADD6" w14:textId="77777777" w:rsidR="00201BF3" w:rsidRPr="00642EA6" w:rsidRDefault="00201BF3" w:rsidP="00201BF3">
      <w:pPr>
        <w:spacing w:after="0" w:line="240" w:lineRule="auto"/>
        <w:rPr>
          <w:rFonts w:ascii="Verdana" w:eastAsia="Aptos" w:hAnsi="Verdana" w:cs="Times New Roman"/>
          <w:sz w:val="20"/>
          <w:szCs w:val="20"/>
        </w:rPr>
      </w:pPr>
    </w:p>
    <w:p w14:paraId="5049F2BD" w14:textId="77777777" w:rsidR="00201BF3" w:rsidRPr="00642EA6" w:rsidRDefault="00201BF3" w:rsidP="00201BF3">
      <w:pPr>
        <w:spacing w:after="0" w:line="240" w:lineRule="auto"/>
        <w:rPr>
          <w:rFonts w:ascii="Verdana" w:eastAsia="Aptos" w:hAnsi="Verdana" w:cs="Times New Roman"/>
          <w:sz w:val="20"/>
          <w:szCs w:val="20"/>
        </w:rPr>
      </w:pPr>
    </w:p>
    <w:p w14:paraId="3FF20A36" w14:textId="77777777" w:rsidR="00201BF3" w:rsidRPr="00642EA6" w:rsidRDefault="00201BF3" w:rsidP="00201BF3">
      <w:pPr>
        <w:spacing w:after="0" w:line="240" w:lineRule="auto"/>
        <w:rPr>
          <w:rFonts w:ascii="Verdana" w:eastAsia="Aptos" w:hAnsi="Verdana" w:cs="Times New Roman"/>
          <w:sz w:val="20"/>
          <w:szCs w:val="20"/>
        </w:rPr>
      </w:pPr>
    </w:p>
    <w:p w14:paraId="437E9362" w14:textId="77777777" w:rsidR="00201BF3" w:rsidRPr="00642EA6" w:rsidRDefault="00201BF3" w:rsidP="00201BF3">
      <w:pPr>
        <w:spacing w:after="0" w:line="240" w:lineRule="auto"/>
        <w:rPr>
          <w:rFonts w:ascii="Verdana" w:eastAsia="Aptos" w:hAnsi="Verdana" w:cs="Times New Roman"/>
          <w:sz w:val="20"/>
          <w:szCs w:val="20"/>
        </w:rPr>
      </w:pPr>
    </w:p>
    <w:p w14:paraId="69E8E14E" w14:textId="77777777" w:rsidR="00201BF3" w:rsidRPr="00642EA6" w:rsidRDefault="00201BF3" w:rsidP="00201BF3">
      <w:pPr>
        <w:spacing w:after="0" w:line="240" w:lineRule="auto"/>
        <w:rPr>
          <w:rFonts w:ascii="Verdana" w:eastAsia="Aptos" w:hAnsi="Verdana" w:cs="Times New Roman"/>
          <w:sz w:val="20"/>
          <w:szCs w:val="20"/>
        </w:rPr>
      </w:pPr>
    </w:p>
    <w:p w14:paraId="26184AD9" w14:textId="77777777" w:rsidR="00201BF3" w:rsidRPr="00642EA6" w:rsidRDefault="00201BF3" w:rsidP="00201BF3">
      <w:pPr>
        <w:spacing w:after="0" w:line="240" w:lineRule="auto"/>
        <w:rPr>
          <w:rFonts w:ascii="Verdana" w:eastAsia="Aptos" w:hAnsi="Verdana" w:cs="Times New Roman"/>
          <w:sz w:val="20"/>
          <w:szCs w:val="20"/>
        </w:rPr>
      </w:pPr>
    </w:p>
    <w:p w14:paraId="0CFC34B0" w14:textId="77777777" w:rsidR="00201BF3" w:rsidRPr="00642EA6" w:rsidRDefault="00201BF3" w:rsidP="00201BF3">
      <w:pPr>
        <w:spacing w:after="0" w:line="240" w:lineRule="auto"/>
        <w:rPr>
          <w:rFonts w:ascii="Verdana" w:eastAsia="Aptos" w:hAnsi="Verdana" w:cs="Times New Roman"/>
          <w:sz w:val="20"/>
          <w:szCs w:val="20"/>
        </w:rPr>
      </w:pPr>
    </w:p>
    <w:p w14:paraId="427DECD9" w14:textId="77777777" w:rsidR="00201BF3" w:rsidRPr="00642EA6" w:rsidRDefault="00201BF3" w:rsidP="00201BF3">
      <w:pPr>
        <w:spacing w:after="0" w:line="240" w:lineRule="auto"/>
        <w:rPr>
          <w:rFonts w:ascii="Verdana" w:eastAsia="Aptos" w:hAnsi="Verdana" w:cs="Times New Roman"/>
          <w:sz w:val="20"/>
          <w:szCs w:val="20"/>
        </w:rPr>
      </w:pPr>
    </w:p>
    <w:p w14:paraId="73F42169" w14:textId="77777777" w:rsidR="00201BF3" w:rsidRPr="00642EA6" w:rsidRDefault="00201BF3" w:rsidP="00201BF3">
      <w:pPr>
        <w:spacing w:after="0" w:line="240" w:lineRule="auto"/>
        <w:rPr>
          <w:rFonts w:ascii="Verdana" w:eastAsia="Aptos" w:hAnsi="Verdana" w:cs="Times New Roman"/>
          <w:sz w:val="20"/>
          <w:szCs w:val="20"/>
        </w:rPr>
      </w:pPr>
    </w:p>
    <w:p w14:paraId="77B2BE84" w14:textId="77777777" w:rsidR="00201BF3" w:rsidRPr="00642EA6" w:rsidRDefault="00201BF3" w:rsidP="00201BF3">
      <w:pPr>
        <w:spacing w:after="0" w:line="240" w:lineRule="auto"/>
        <w:rPr>
          <w:rFonts w:ascii="Verdana" w:eastAsia="Aptos" w:hAnsi="Verdana" w:cs="Times New Roman"/>
          <w:sz w:val="20"/>
          <w:szCs w:val="20"/>
        </w:rPr>
      </w:pPr>
    </w:p>
    <w:p w14:paraId="1F43B415" w14:textId="77777777" w:rsidR="00201BF3" w:rsidRPr="00642EA6" w:rsidRDefault="00201BF3" w:rsidP="00201BF3">
      <w:pPr>
        <w:spacing w:after="0" w:line="240" w:lineRule="auto"/>
        <w:rPr>
          <w:rFonts w:ascii="Verdana" w:eastAsia="Aptos" w:hAnsi="Verdana" w:cs="Times New Roman"/>
          <w:sz w:val="20"/>
          <w:szCs w:val="20"/>
        </w:rPr>
      </w:pPr>
    </w:p>
    <w:p w14:paraId="0360534A" w14:textId="77777777" w:rsidR="00201BF3" w:rsidRPr="00642EA6" w:rsidRDefault="00201BF3" w:rsidP="00201BF3">
      <w:pPr>
        <w:spacing w:after="0" w:line="240" w:lineRule="auto"/>
        <w:rPr>
          <w:rFonts w:ascii="Verdana" w:eastAsia="Aptos" w:hAnsi="Verdana" w:cs="Times New Roman"/>
          <w:sz w:val="20"/>
          <w:szCs w:val="20"/>
        </w:rPr>
      </w:pPr>
    </w:p>
    <w:p w14:paraId="2167E034" w14:textId="77777777" w:rsidR="00201BF3" w:rsidRPr="00642EA6" w:rsidRDefault="00201BF3" w:rsidP="00201BF3">
      <w:pPr>
        <w:spacing w:after="0" w:line="240" w:lineRule="auto"/>
        <w:rPr>
          <w:rFonts w:ascii="Verdana" w:eastAsia="Aptos" w:hAnsi="Verdana" w:cs="Times New Roman"/>
          <w:sz w:val="20"/>
          <w:szCs w:val="20"/>
        </w:rPr>
      </w:pPr>
    </w:p>
    <w:p w14:paraId="2910E5B6" w14:textId="77777777" w:rsidR="00201BF3" w:rsidRPr="00642EA6" w:rsidRDefault="00201BF3" w:rsidP="00201BF3">
      <w:pPr>
        <w:spacing w:after="0" w:line="240" w:lineRule="auto"/>
        <w:rPr>
          <w:rFonts w:ascii="Verdana" w:eastAsia="Aptos" w:hAnsi="Verdana" w:cs="Times New Roman"/>
          <w:sz w:val="20"/>
          <w:szCs w:val="20"/>
        </w:rPr>
      </w:pPr>
    </w:p>
    <w:p w14:paraId="08494126" w14:textId="77777777" w:rsidR="00201BF3" w:rsidRPr="00642EA6" w:rsidRDefault="00201BF3" w:rsidP="00201BF3">
      <w:pPr>
        <w:spacing w:after="0" w:line="240" w:lineRule="auto"/>
        <w:rPr>
          <w:rFonts w:ascii="Verdana" w:eastAsia="Aptos" w:hAnsi="Verdana" w:cs="Times New Roman"/>
          <w:sz w:val="20"/>
          <w:szCs w:val="20"/>
        </w:rPr>
      </w:pPr>
    </w:p>
    <w:p w14:paraId="7D5513F6" w14:textId="77777777" w:rsidR="00201BF3" w:rsidRPr="00642EA6" w:rsidRDefault="00201BF3" w:rsidP="00201BF3">
      <w:pPr>
        <w:spacing w:after="0" w:line="240" w:lineRule="auto"/>
        <w:rPr>
          <w:rFonts w:ascii="Verdana" w:eastAsia="Aptos" w:hAnsi="Verdana" w:cs="Times New Roman"/>
          <w:sz w:val="20"/>
          <w:szCs w:val="20"/>
        </w:rPr>
      </w:pPr>
    </w:p>
    <w:p w14:paraId="43EBB74F" w14:textId="77777777" w:rsidR="00201BF3" w:rsidRPr="00642EA6" w:rsidRDefault="00201BF3" w:rsidP="00201BF3">
      <w:pPr>
        <w:spacing w:after="0" w:line="240" w:lineRule="auto"/>
        <w:rPr>
          <w:rFonts w:ascii="Verdana" w:eastAsia="Aptos" w:hAnsi="Verdana" w:cs="Times New Roman"/>
          <w:sz w:val="20"/>
          <w:szCs w:val="20"/>
        </w:rPr>
      </w:pPr>
    </w:p>
    <w:p w14:paraId="44E41DC0" w14:textId="77777777" w:rsidR="00201BF3" w:rsidRPr="00642EA6" w:rsidRDefault="00201BF3" w:rsidP="00201BF3">
      <w:pPr>
        <w:spacing w:after="0" w:line="240" w:lineRule="auto"/>
        <w:rPr>
          <w:rFonts w:ascii="Verdana" w:eastAsia="Aptos" w:hAnsi="Verdana" w:cs="Times New Roman"/>
          <w:sz w:val="20"/>
          <w:szCs w:val="20"/>
        </w:rPr>
      </w:pPr>
    </w:p>
    <w:p w14:paraId="7E563699" w14:textId="77777777" w:rsidR="00201BF3" w:rsidRPr="00642EA6" w:rsidRDefault="00201BF3" w:rsidP="00201BF3">
      <w:pPr>
        <w:spacing w:after="0" w:line="240" w:lineRule="auto"/>
        <w:rPr>
          <w:rFonts w:ascii="Verdana" w:eastAsia="Aptos" w:hAnsi="Verdana" w:cs="Times New Roman"/>
          <w:sz w:val="20"/>
          <w:szCs w:val="20"/>
        </w:rPr>
      </w:pPr>
    </w:p>
    <w:p w14:paraId="4C798258" w14:textId="77777777" w:rsidR="00201BF3" w:rsidRPr="00642EA6" w:rsidRDefault="00201BF3" w:rsidP="00201BF3">
      <w:pPr>
        <w:spacing w:after="0" w:line="240" w:lineRule="auto"/>
        <w:rPr>
          <w:rFonts w:ascii="Verdana" w:eastAsia="Aptos" w:hAnsi="Verdana" w:cs="Times New Roman"/>
          <w:sz w:val="20"/>
          <w:szCs w:val="20"/>
        </w:rPr>
      </w:pPr>
    </w:p>
    <w:p w14:paraId="6C8A400F" w14:textId="77777777" w:rsidR="00201BF3" w:rsidRPr="00642EA6" w:rsidRDefault="00201BF3" w:rsidP="00201BF3">
      <w:pPr>
        <w:spacing w:after="0" w:line="240" w:lineRule="auto"/>
        <w:rPr>
          <w:rFonts w:ascii="Verdana" w:eastAsia="Aptos" w:hAnsi="Verdana" w:cs="Times New Roman"/>
          <w:sz w:val="20"/>
          <w:szCs w:val="20"/>
        </w:rPr>
      </w:pPr>
    </w:p>
    <w:p w14:paraId="0EC87457" w14:textId="77777777" w:rsidR="00201BF3" w:rsidRPr="00642EA6" w:rsidRDefault="00201BF3" w:rsidP="00201BF3">
      <w:pPr>
        <w:spacing w:after="0" w:line="240" w:lineRule="auto"/>
        <w:rPr>
          <w:rFonts w:ascii="Verdana" w:eastAsia="Aptos" w:hAnsi="Verdana" w:cs="Times New Roman"/>
          <w:sz w:val="20"/>
          <w:szCs w:val="20"/>
        </w:rPr>
      </w:pPr>
    </w:p>
    <w:p w14:paraId="3B23EEDE" w14:textId="77777777" w:rsidR="00201BF3" w:rsidRPr="00642EA6" w:rsidRDefault="00201BF3" w:rsidP="00201BF3">
      <w:pPr>
        <w:spacing w:after="0" w:line="240" w:lineRule="auto"/>
        <w:rPr>
          <w:rFonts w:ascii="Verdana" w:eastAsia="Aptos" w:hAnsi="Verdana" w:cs="Times New Roman"/>
          <w:sz w:val="20"/>
          <w:szCs w:val="20"/>
        </w:rPr>
      </w:pPr>
    </w:p>
    <w:p w14:paraId="6C8F9C81" w14:textId="77777777" w:rsidR="00201BF3" w:rsidRPr="00642EA6" w:rsidRDefault="00201BF3" w:rsidP="00201BF3">
      <w:pPr>
        <w:spacing w:after="0" w:line="240" w:lineRule="auto"/>
        <w:rPr>
          <w:rFonts w:ascii="Verdana" w:eastAsia="Aptos" w:hAnsi="Verdana" w:cs="Times New Roman"/>
          <w:sz w:val="20"/>
          <w:szCs w:val="20"/>
        </w:rPr>
      </w:pPr>
    </w:p>
    <w:p w14:paraId="5C73E33E" w14:textId="77777777" w:rsidR="00201BF3" w:rsidRPr="00642EA6" w:rsidRDefault="00201BF3" w:rsidP="00201BF3">
      <w:pPr>
        <w:spacing w:after="0" w:line="240" w:lineRule="auto"/>
        <w:rPr>
          <w:rFonts w:ascii="Verdana" w:eastAsia="Aptos" w:hAnsi="Verdana" w:cs="Times New Roman"/>
          <w:sz w:val="20"/>
          <w:szCs w:val="20"/>
        </w:rPr>
      </w:pPr>
    </w:p>
    <w:p w14:paraId="64E1AE64" w14:textId="77777777" w:rsidR="00201BF3" w:rsidRPr="00642EA6" w:rsidRDefault="00201BF3" w:rsidP="00201BF3">
      <w:pPr>
        <w:spacing w:after="0" w:line="240" w:lineRule="auto"/>
        <w:rPr>
          <w:rFonts w:ascii="Verdana" w:eastAsia="Aptos" w:hAnsi="Verdana" w:cs="Times New Roman"/>
          <w:sz w:val="20"/>
          <w:szCs w:val="20"/>
        </w:rPr>
      </w:pPr>
    </w:p>
    <w:p w14:paraId="40EC2F9C" w14:textId="77777777" w:rsidR="00201BF3" w:rsidRPr="00642EA6" w:rsidRDefault="00201BF3" w:rsidP="00201BF3">
      <w:pPr>
        <w:spacing w:after="0" w:line="240" w:lineRule="auto"/>
        <w:rPr>
          <w:rFonts w:ascii="Verdana" w:eastAsia="Aptos" w:hAnsi="Verdana" w:cs="Times New Roman"/>
          <w:sz w:val="20"/>
          <w:szCs w:val="20"/>
        </w:rPr>
      </w:pPr>
    </w:p>
    <w:p w14:paraId="3FEB421F" w14:textId="77777777" w:rsidR="00201BF3" w:rsidRPr="00642EA6" w:rsidRDefault="00201BF3" w:rsidP="00201BF3">
      <w:pPr>
        <w:spacing w:after="0" w:line="240" w:lineRule="auto"/>
        <w:rPr>
          <w:rFonts w:ascii="Verdana" w:eastAsia="Aptos" w:hAnsi="Verdana" w:cs="Times New Roman"/>
          <w:sz w:val="20"/>
          <w:szCs w:val="20"/>
        </w:rPr>
      </w:pPr>
    </w:p>
    <w:p w14:paraId="3F547FEB" w14:textId="77777777" w:rsidR="00201BF3" w:rsidRPr="00642EA6" w:rsidRDefault="00201BF3" w:rsidP="00201BF3">
      <w:pPr>
        <w:spacing w:after="0" w:line="240" w:lineRule="auto"/>
        <w:rPr>
          <w:rFonts w:ascii="Verdana" w:eastAsia="Aptos" w:hAnsi="Verdana" w:cs="Times New Roman"/>
          <w:sz w:val="20"/>
          <w:szCs w:val="20"/>
        </w:rPr>
      </w:pPr>
    </w:p>
    <w:p w14:paraId="27BC405A" w14:textId="77777777" w:rsidR="00201BF3" w:rsidRPr="00642EA6" w:rsidRDefault="00201BF3" w:rsidP="00201BF3">
      <w:pPr>
        <w:spacing w:after="0" w:line="240" w:lineRule="auto"/>
        <w:rPr>
          <w:rFonts w:ascii="Verdana" w:eastAsia="Aptos" w:hAnsi="Verdana" w:cs="Times New Roman"/>
          <w:sz w:val="20"/>
          <w:szCs w:val="20"/>
        </w:rPr>
      </w:pPr>
    </w:p>
    <w:p w14:paraId="7BFD7856" w14:textId="77777777" w:rsidR="00201BF3" w:rsidRPr="00642EA6" w:rsidRDefault="00201BF3" w:rsidP="00201BF3">
      <w:pPr>
        <w:spacing w:after="0" w:line="240" w:lineRule="auto"/>
        <w:rPr>
          <w:rFonts w:ascii="Verdana" w:eastAsia="Aptos" w:hAnsi="Verdana" w:cs="Times New Roman"/>
          <w:sz w:val="20"/>
          <w:szCs w:val="20"/>
        </w:rPr>
      </w:pPr>
    </w:p>
    <w:p w14:paraId="45FE6B8F" w14:textId="77777777" w:rsidR="00201BF3" w:rsidRPr="00642EA6" w:rsidRDefault="00201BF3" w:rsidP="00201BF3">
      <w:pPr>
        <w:spacing w:after="0" w:line="240" w:lineRule="auto"/>
        <w:rPr>
          <w:rFonts w:ascii="Verdana" w:eastAsia="Aptos" w:hAnsi="Verdana" w:cs="Times New Roman"/>
          <w:sz w:val="20"/>
          <w:szCs w:val="20"/>
        </w:rPr>
      </w:pPr>
    </w:p>
    <w:p w14:paraId="4C713194" w14:textId="77777777" w:rsidR="00201BF3" w:rsidRPr="00642EA6" w:rsidRDefault="00201BF3" w:rsidP="00201BF3">
      <w:pPr>
        <w:spacing w:after="0" w:line="240" w:lineRule="auto"/>
        <w:rPr>
          <w:rFonts w:ascii="Verdana" w:eastAsia="Aptos" w:hAnsi="Verdana" w:cs="Times New Roman"/>
          <w:sz w:val="20"/>
          <w:szCs w:val="20"/>
        </w:rPr>
      </w:pPr>
    </w:p>
    <w:p w14:paraId="2D87D26F" w14:textId="77777777" w:rsidR="00201BF3" w:rsidRPr="00642EA6" w:rsidRDefault="00201BF3" w:rsidP="00201BF3">
      <w:pPr>
        <w:spacing w:after="0" w:line="240" w:lineRule="auto"/>
        <w:rPr>
          <w:rFonts w:ascii="Verdana" w:eastAsia="Aptos" w:hAnsi="Verdana" w:cs="Times New Roman"/>
          <w:sz w:val="20"/>
          <w:szCs w:val="20"/>
        </w:rPr>
      </w:pPr>
    </w:p>
    <w:p w14:paraId="4EA0B3BB" w14:textId="77777777" w:rsidR="00201BF3" w:rsidRPr="00642EA6" w:rsidRDefault="00201BF3" w:rsidP="00201BF3">
      <w:pPr>
        <w:spacing w:after="0" w:line="240" w:lineRule="auto"/>
        <w:rPr>
          <w:rFonts w:ascii="Verdana" w:eastAsia="Aptos" w:hAnsi="Verdana" w:cs="Times New Roman"/>
          <w:sz w:val="20"/>
          <w:szCs w:val="20"/>
        </w:rPr>
      </w:pPr>
    </w:p>
    <w:p w14:paraId="061BEABF" w14:textId="77777777" w:rsidR="00201BF3" w:rsidRPr="00642EA6" w:rsidRDefault="00201BF3" w:rsidP="00201BF3">
      <w:pPr>
        <w:spacing w:after="0" w:line="240" w:lineRule="auto"/>
        <w:rPr>
          <w:rFonts w:ascii="Verdana" w:eastAsia="Aptos" w:hAnsi="Verdana" w:cs="Times New Roman"/>
          <w:sz w:val="20"/>
          <w:szCs w:val="20"/>
        </w:rPr>
      </w:pPr>
    </w:p>
    <w:p w14:paraId="780964BF" w14:textId="77777777" w:rsidR="00201BF3" w:rsidRPr="00642EA6" w:rsidRDefault="00201BF3" w:rsidP="00201BF3">
      <w:pPr>
        <w:spacing w:after="0" w:line="240" w:lineRule="auto"/>
        <w:rPr>
          <w:rFonts w:ascii="Verdana" w:eastAsia="Aptos" w:hAnsi="Verdana" w:cs="Times New Roman"/>
          <w:sz w:val="20"/>
          <w:szCs w:val="20"/>
        </w:rPr>
      </w:pPr>
    </w:p>
    <w:p w14:paraId="1B6AD88B" w14:textId="77777777" w:rsidR="00201BF3" w:rsidRPr="00642EA6" w:rsidRDefault="00201BF3" w:rsidP="00201BF3">
      <w:pPr>
        <w:spacing w:after="0" w:line="240" w:lineRule="auto"/>
        <w:rPr>
          <w:rFonts w:ascii="Verdana" w:eastAsia="Aptos" w:hAnsi="Verdana" w:cs="Times New Roman"/>
          <w:sz w:val="20"/>
          <w:szCs w:val="20"/>
        </w:rPr>
      </w:pPr>
    </w:p>
    <w:p w14:paraId="6D02085D" w14:textId="77777777" w:rsidR="00201BF3" w:rsidRPr="00642EA6" w:rsidRDefault="00201BF3" w:rsidP="00201BF3">
      <w:pPr>
        <w:spacing w:after="0" w:line="240" w:lineRule="auto"/>
        <w:rPr>
          <w:rFonts w:ascii="Verdana" w:eastAsia="Aptos" w:hAnsi="Verdana" w:cs="Times New Roman"/>
          <w:sz w:val="20"/>
          <w:szCs w:val="20"/>
        </w:rPr>
      </w:pPr>
    </w:p>
    <w:p w14:paraId="0207B6A6" w14:textId="77777777" w:rsidR="00201BF3" w:rsidRPr="00642EA6" w:rsidRDefault="00201BF3" w:rsidP="00201BF3">
      <w:pPr>
        <w:spacing w:after="0" w:line="240" w:lineRule="auto"/>
        <w:rPr>
          <w:rFonts w:ascii="Verdana" w:eastAsia="Aptos" w:hAnsi="Verdana" w:cs="Times New Roman"/>
          <w:sz w:val="20"/>
          <w:szCs w:val="20"/>
        </w:rPr>
      </w:pPr>
    </w:p>
    <w:p w14:paraId="7CF6B047" w14:textId="77777777" w:rsidR="00201BF3" w:rsidRPr="00642EA6" w:rsidRDefault="00201BF3" w:rsidP="00201BF3">
      <w:pPr>
        <w:spacing w:after="0" w:line="240" w:lineRule="auto"/>
        <w:rPr>
          <w:rFonts w:ascii="Verdana" w:eastAsia="Aptos" w:hAnsi="Verdana" w:cs="Times New Roman"/>
          <w:sz w:val="20"/>
          <w:szCs w:val="20"/>
        </w:rPr>
      </w:pPr>
    </w:p>
    <w:p w14:paraId="1ED599EB" w14:textId="77777777" w:rsidR="00201BF3" w:rsidRPr="00642EA6" w:rsidRDefault="00201BF3" w:rsidP="00201BF3">
      <w:pPr>
        <w:spacing w:after="0" w:line="240" w:lineRule="auto"/>
        <w:rPr>
          <w:rFonts w:ascii="Verdana" w:eastAsia="Aptos" w:hAnsi="Verdana" w:cs="Times New Roman"/>
          <w:sz w:val="20"/>
          <w:szCs w:val="20"/>
        </w:rPr>
      </w:pPr>
    </w:p>
    <w:p w14:paraId="037E9C2C" w14:textId="77777777" w:rsidR="00201BF3" w:rsidRPr="00642EA6" w:rsidRDefault="00201BF3" w:rsidP="00201BF3">
      <w:pPr>
        <w:spacing w:after="0" w:line="240" w:lineRule="auto"/>
        <w:rPr>
          <w:rFonts w:ascii="Verdana" w:eastAsia="Geomanist Light" w:hAnsi="Verdana" w:cs="Arial"/>
          <w:lang w:val="es-MX"/>
        </w:rPr>
      </w:pPr>
      <w:r w:rsidRPr="00642EA6">
        <w:rPr>
          <w:rFonts w:ascii="Verdana" w:eastAsia="Geomanist Light" w:hAnsi="Verdana" w:cs="Arial"/>
          <w:lang w:val="es-MX"/>
        </w:rPr>
        <w:lastRenderedPageBreak/>
        <w:t>Bogotá D.C., [Día] de [</w:t>
      </w:r>
      <w:proofErr w:type="spellStart"/>
      <w:r w:rsidRPr="00642EA6">
        <w:rPr>
          <w:rFonts w:ascii="Verdana" w:eastAsia="Geomanist Light" w:hAnsi="Verdana" w:cs="Arial"/>
          <w:lang w:val="es-MX"/>
        </w:rPr>
        <w:t>Mes.NombreCapitalizado</w:t>
      </w:r>
      <w:proofErr w:type="spellEnd"/>
      <w:r w:rsidRPr="00642EA6">
        <w:rPr>
          <w:rFonts w:ascii="Verdana" w:eastAsia="Geomanist Light" w:hAnsi="Verdana" w:cs="Arial"/>
          <w:lang w:val="es-MX"/>
        </w:rPr>
        <w:t>] de [Año]</w:t>
      </w:r>
    </w:p>
    <w:p w14:paraId="2B3A089F" w14:textId="77777777" w:rsidR="00201BF3" w:rsidRPr="00642EA6" w:rsidRDefault="00201BF3" w:rsidP="00201BF3">
      <w:pPr>
        <w:spacing w:after="0" w:line="240" w:lineRule="auto"/>
        <w:jc w:val="both"/>
        <w:rPr>
          <w:rFonts w:ascii="Verdana" w:eastAsia="Calibri" w:hAnsi="Verdana" w:cs="Arial"/>
          <w:lang w:val="es-ES"/>
        </w:rPr>
      </w:pPr>
    </w:p>
    <w:p w14:paraId="6C697DEC" w14:textId="358D8CDE" w:rsidR="00201BF3" w:rsidRPr="00642EA6" w:rsidRDefault="00557D11" w:rsidP="00201BF3">
      <w:pPr>
        <w:spacing w:after="0" w:line="240" w:lineRule="auto"/>
        <w:jc w:val="right"/>
        <w:rPr>
          <w:rFonts w:ascii="Verdana" w:eastAsia="Calibri" w:hAnsi="Verdana" w:cs="Arial"/>
          <w:lang w:val="es-ES"/>
        </w:rPr>
      </w:pPr>
      <w:r w:rsidRPr="00557D11">
        <w:rPr>
          <w:rFonts w:ascii="Verdana" w:eastAsia="Calibri" w:hAnsi="Verdana" w:cs="Arial"/>
          <w:noProof/>
          <w:lang w:val="es-ES"/>
        </w:rPr>
        <w:drawing>
          <wp:inline distT="0" distB="0" distL="0" distR="0" wp14:anchorId="1261FFA9" wp14:editId="27EE0C7A">
            <wp:extent cx="3286584" cy="924054"/>
            <wp:effectExtent l="0" t="0" r="9525" b="9525"/>
            <wp:docPr id="7062780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78026" name="Imagen 1" descr="Texto&#10;&#10;Descripción generada automáticamente"/>
                    <pic:cNvPicPr/>
                  </pic:nvPicPr>
                  <pic:blipFill>
                    <a:blip r:embed="rId10"/>
                    <a:stretch>
                      <a:fillRect/>
                    </a:stretch>
                  </pic:blipFill>
                  <pic:spPr>
                    <a:xfrm>
                      <a:off x="0" y="0"/>
                      <a:ext cx="3286584" cy="924054"/>
                    </a:xfrm>
                    <a:prstGeom prst="rect">
                      <a:avLst/>
                    </a:prstGeom>
                  </pic:spPr>
                </pic:pic>
              </a:graphicData>
            </a:graphic>
          </wp:inline>
        </w:drawing>
      </w:r>
    </w:p>
    <w:p w14:paraId="2610AF7C" w14:textId="77777777" w:rsidR="00201BF3" w:rsidRPr="00642EA6" w:rsidRDefault="00201BF3" w:rsidP="00201BF3">
      <w:pPr>
        <w:spacing w:after="0" w:line="240" w:lineRule="auto"/>
        <w:jc w:val="both"/>
        <w:rPr>
          <w:rFonts w:ascii="Verdana" w:eastAsia="Calibri" w:hAnsi="Verdana" w:cs="Arial"/>
          <w:lang w:val="es-ES" w:eastAsia="es-ES"/>
        </w:rPr>
      </w:pPr>
      <w:r w:rsidRPr="00642EA6">
        <w:rPr>
          <w:rFonts w:ascii="Verdana" w:eastAsia="Calibri" w:hAnsi="Verdana" w:cs="Arial"/>
          <w:lang w:val="es-ES" w:eastAsia="es-ES"/>
        </w:rPr>
        <w:t>Señor</w:t>
      </w:r>
    </w:p>
    <w:p w14:paraId="6928FF7C" w14:textId="77777777" w:rsidR="00201BF3" w:rsidRPr="00642EA6" w:rsidRDefault="00201BF3" w:rsidP="00201BF3">
      <w:pPr>
        <w:spacing w:after="0" w:line="240" w:lineRule="auto"/>
        <w:rPr>
          <w:rFonts w:ascii="Verdana" w:eastAsia="Calibri" w:hAnsi="Verdana" w:cs="Arial"/>
          <w:b/>
          <w:lang w:val="es-ES_tradnl" w:eastAsia="es-ES_tradnl"/>
        </w:rPr>
      </w:pPr>
      <w:r w:rsidRPr="00642EA6">
        <w:rPr>
          <w:rFonts w:ascii="Verdana" w:eastAsia="Calibri" w:hAnsi="Verdana" w:cs="Arial"/>
          <w:b/>
          <w:lang w:val="es-ES_tradnl" w:eastAsia="es-ES_tradnl"/>
        </w:rPr>
        <w:t>Oscar Rojas Alape</w:t>
      </w:r>
    </w:p>
    <w:p w14:paraId="64DE3746" w14:textId="77777777" w:rsidR="00201BF3" w:rsidRPr="00642EA6" w:rsidRDefault="006F5474" w:rsidP="00201BF3">
      <w:pPr>
        <w:spacing w:after="0" w:line="240" w:lineRule="auto"/>
        <w:rPr>
          <w:rFonts w:ascii="Verdana" w:eastAsia="Aptos" w:hAnsi="Verdana" w:cs="Times New Roman"/>
        </w:rPr>
      </w:pPr>
      <w:hyperlink r:id="rId11" w:history="1">
        <w:r w:rsidR="00201BF3" w:rsidRPr="00642EA6">
          <w:rPr>
            <w:rFonts w:ascii="Verdana" w:eastAsia="Aptos" w:hAnsi="Verdana" w:cs="Times New Roman"/>
            <w:color w:val="467886"/>
            <w:u w:val="single"/>
          </w:rPr>
          <w:t>oscaralape1@hotmail.com</w:t>
        </w:r>
      </w:hyperlink>
      <w:r w:rsidR="00201BF3" w:rsidRPr="00642EA6">
        <w:rPr>
          <w:rFonts w:ascii="Verdana" w:eastAsia="Aptos" w:hAnsi="Verdana" w:cs="Times New Roman"/>
        </w:rPr>
        <w:t xml:space="preserve"> </w:t>
      </w:r>
    </w:p>
    <w:p w14:paraId="3BFB629B" w14:textId="77777777" w:rsidR="00201BF3" w:rsidRPr="00642EA6" w:rsidRDefault="00201BF3" w:rsidP="00201BF3">
      <w:pPr>
        <w:spacing w:after="0" w:line="240" w:lineRule="auto"/>
        <w:rPr>
          <w:rFonts w:ascii="Verdana" w:eastAsia="Calibri" w:hAnsi="Verdana" w:cs="Arial"/>
          <w:b/>
          <w:bCs/>
          <w:lang w:val="es-ES" w:eastAsia="es-ES"/>
        </w:rPr>
      </w:pPr>
      <w:r w:rsidRPr="00642EA6">
        <w:rPr>
          <w:rFonts w:ascii="Verdana" w:eastAsia="Calibri" w:hAnsi="Verdana" w:cs="Arial"/>
          <w:lang w:val="es-ES" w:eastAsia="es-ES"/>
        </w:rPr>
        <w:t>Pitalito, Huila</w:t>
      </w:r>
    </w:p>
    <w:p w14:paraId="3602968C" w14:textId="77777777" w:rsidR="00201BF3" w:rsidRPr="00642EA6" w:rsidRDefault="00201BF3" w:rsidP="00201BF3">
      <w:pPr>
        <w:spacing w:after="0" w:line="240" w:lineRule="auto"/>
        <w:rPr>
          <w:rFonts w:ascii="Verdana" w:eastAsia="Calibri" w:hAnsi="Verdana" w:cs="Arial"/>
          <w:b/>
          <w:bCs/>
          <w:lang w:val="es-ES_tradnl" w:eastAsia="es-ES_tradnl"/>
        </w:rPr>
      </w:pPr>
    </w:p>
    <w:p w14:paraId="1C564237" w14:textId="77777777" w:rsidR="00201BF3" w:rsidRPr="00642EA6" w:rsidRDefault="00201BF3" w:rsidP="00201BF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01BF3" w:rsidRPr="00642EA6" w14:paraId="0C6CC47E" w14:textId="77777777" w:rsidTr="00C76803">
        <w:trPr>
          <w:trHeight w:val="884"/>
        </w:trPr>
        <w:tc>
          <w:tcPr>
            <w:tcW w:w="2689" w:type="dxa"/>
          </w:tcPr>
          <w:p w14:paraId="34370B27" w14:textId="77777777" w:rsidR="00201BF3" w:rsidRPr="00642EA6" w:rsidRDefault="00201BF3" w:rsidP="00C76803">
            <w:pPr>
              <w:jc w:val="both"/>
              <w:rPr>
                <w:rFonts w:ascii="Verdana" w:eastAsia="Calibri" w:hAnsi="Verdana" w:cs="Arial"/>
                <w:b/>
                <w:bCs/>
                <w:lang w:val="es-ES_tradnl" w:eastAsia="es-ES_tradnl"/>
              </w:rPr>
            </w:pPr>
          </w:p>
        </w:tc>
        <w:tc>
          <w:tcPr>
            <w:tcW w:w="6100" w:type="dxa"/>
          </w:tcPr>
          <w:p w14:paraId="3EB3A279" w14:textId="77777777" w:rsidR="00201BF3" w:rsidRPr="00642EA6" w:rsidRDefault="00201BF3" w:rsidP="00C76803">
            <w:pPr>
              <w:jc w:val="both"/>
              <w:rPr>
                <w:rFonts w:ascii="Verdana" w:eastAsia="Calibri" w:hAnsi="Verdana" w:cs="Arial"/>
                <w:b/>
                <w:bCs/>
                <w:lang w:val="es-ES" w:eastAsia="es-ES"/>
              </w:rPr>
            </w:pPr>
            <w:r w:rsidRPr="00642EA6">
              <w:rPr>
                <w:rFonts w:ascii="Verdana" w:eastAsia="Calibri" w:hAnsi="Verdana" w:cs="Arial"/>
                <w:b/>
                <w:bCs/>
                <w:lang w:val="es-ES" w:eastAsia="es-ES"/>
              </w:rPr>
              <w:t>Concepto C-540 de 2024</w:t>
            </w:r>
          </w:p>
        </w:tc>
      </w:tr>
      <w:tr w:rsidR="00201BF3" w:rsidRPr="00642EA6" w14:paraId="53919815" w14:textId="77777777" w:rsidTr="00C76803">
        <w:trPr>
          <w:trHeight w:val="884"/>
        </w:trPr>
        <w:tc>
          <w:tcPr>
            <w:tcW w:w="2689" w:type="dxa"/>
          </w:tcPr>
          <w:p w14:paraId="43BAC2A8" w14:textId="77777777" w:rsidR="00201BF3" w:rsidRPr="00642EA6" w:rsidRDefault="00201BF3" w:rsidP="00C76803">
            <w:pPr>
              <w:jc w:val="both"/>
              <w:rPr>
                <w:rFonts w:ascii="Verdana" w:eastAsia="Calibri" w:hAnsi="Verdana" w:cs="Arial"/>
                <w:lang w:val="es-ES_tradnl" w:eastAsia="es-ES_tradnl"/>
              </w:rPr>
            </w:pPr>
            <w:r w:rsidRPr="00642EA6">
              <w:rPr>
                <w:rFonts w:ascii="Verdana" w:eastAsia="Calibri" w:hAnsi="Verdana" w:cs="Arial"/>
                <w:b/>
                <w:lang w:val="es-ES_tradnl" w:eastAsia="es-ES_tradnl"/>
              </w:rPr>
              <w:t>Temas:</w:t>
            </w:r>
            <w:r w:rsidRPr="00642EA6">
              <w:rPr>
                <w:rFonts w:ascii="Verdana" w:eastAsia="Calibri" w:hAnsi="Verdana" w:cs="Arial"/>
                <w:lang w:val="es-ES_tradnl" w:eastAsia="es-ES_tradnl"/>
              </w:rPr>
              <w:t xml:space="preserve">                   </w:t>
            </w:r>
          </w:p>
        </w:tc>
        <w:tc>
          <w:tcPr>
            <w:tcW w:w="6100" w:type="dxa"/>
          </w:tcPr>
          <w:p w14:paraId="6ECA794D" w14:textId="77777777" w:rsidR="00201BF3" w:rsidRDefault="00201BF3" w:rsidP="00C76803">
            <w:pPr>
              <w:spacing w:line="276" w:lineRule="auto"/>
              <w:jc w:val="both"/>
              <w:rPr>
                <w:rFonts w:ascii="Verdana" w:eastAsia="Calibri" w:hAnsi="Verdana" w:cs="Arial"/>
                <w:highlight w:val="yellow"/>
                <w:lang w:val="es-ES" w:eastAsia="es-ES"/>
              </w:rPr>
            </w:pPr>
            <w:r w:rsidRPr="00642EA6">
              <w:rPr>
                <w:rFonts w:ascii="Verdana" w:eastAsia="Calibri" w:hAnsi="Verdana" w:cs="Arial"/>
                <w:lang w:val="es-ES" w:eastAsia="es-ES"/>
              </w:rPr>
              <w:t>SOCIEDADES DE ECONOMÍA MIXTA – Naturaleza jurídica – Régimen de contratación / ENTIDADES CON RÉGIMEN ESPECIAL DE CONTRATACIÓN – Deber de publicidad – SECOP II – Actividad contractual – Recursos públicos</w:t>
            </w:r>
          </w:p>
          <w:p w14:paraId="689C69BE" w14:textId="77777777" w:rsidR="00201BF3" w:rsidRPr="00642EA6" w:rsidRDefault="00201BF3" w:rsidP="00C76803">
            <w:pPr>
              <w:spacing w:line="276" w:lineRule="auto"/>
              <w:jc w:val="both"/>
              <w:rPr>
                <w:rFonts w:ascii="Verdana" w:eastAsia="Calibri" w:hAnsi="Verdana" w:cs="Arial"/>
                <w:highlight w:val="yellow"/>
                <w:lang w:val="es-ES" w:eastAsia="es-ES"/>
              </w:rPr>
            </w:pPr>
          </w:p>
        </w:tc>
      </w:tr>
      <w:tr w:rsidR="00201BF3" w:rsidRPr="00642EA6" w14:paraId="4EFEF21B" w14:textId="77777777" w:rsidTr="00C76803">
        <w:tc>
          <w:tcPr>
            <w:tcW w:w="2689" w:type="dxa"/>
          </w:tcPr>
          <w:p w14:paraId="1384335A" w14:textId="77777777" w:rsidR="00201BF3" w:rsidRPr="00642EA6" w:rsidRDefault="00201BF3" w:rsidP="00C76803">
            <w:pPr>
              <w:jc w:val="both"/>
              <w:rPr>
                <w:rFonts w:ascii="Verdana" w:eastAsia="Calibri" w:hAnsi="Verdana" w:cs="Arial"/>
                <w:b/>
                <w:lang w:val="es-ES_tradnl" w:eastAsia="es-ES_tradnl"/>
              </w:rPr>
            </w:pPr>
            <w:r w:rsidRPr="00642EA6">
              <w:rPr>
                <w:rFonts w:ascii="Verdana" w:eastAsia="Calibri" w:hAnsi="Verdana" w:cs="Arial"/>
                <w:b/>
                <w:lang w:val="es-ES_tradnl" w:eastAsia="es-ES_tradnl"/>
              </w:rPr>
              <w:t>Radicación:</w:t>
            </w:r>
            <w:r w:rsidRPr="00642EA6">
              <w:rPr>
                <w:rFonts w:ascii="Verdana" w:eastAsia="Calibri" w:hAnsi="Verdana" w:cs="Arial"/>
                <w:lang w:val="es-ES_tradnl" w:eastAsia="es-ES_tradnl"/>
              </w:rPr>
              <w:t xml:space="preserve">               </w:t>
            </w:r>
          </w:p>
        </w:tc>
        <w:tc>
          <w:tcPr>
            <w:tcW w:w="6100" w:type="dxa"/>
          </w:tcPr>
          <w:p w14:paraId="51B2AF61" w14:textId="77777777" w:rsidR="00201BF3" w:rsidRPr="00642EA6" w:rsidRDefault="00201BF3" w:rsidP="00C76803">
            <w:pPr>
              <w:jc w:val="both"/>
              <w:rPr>
                <w:rFonts w:ascii="Verdana" w:eastAsia="Calibri" w:hAnsi="Verdana" w:cs="Arial"/>
                <w:lang w:val="es-ES_tradnl" w:eastAsia="es-ES_tradnl"/>
              </w:rPr>
            </w:pPr>
            <w:r w:rsidRPr="00642EA6">
              <w:rPr>
                <w:rFonts w:ascii="Verdana" w:eastAsia="Calibri" w:hAnsi="Verdana" w:cs="Arial"/>
                <w:lang w:val="es-ES_tradnl" w:eastAsia="es-ES_tradnl"/>
              </w:rPr>
              <w:t>Respuesta a consulta con radicado No.  P20240830008836</w:t>
            </w:r>
          </w:p>
        </w:tc>
      </w:tr>
    </w:tbl>
    <w:p w14:paraId="259AD5CB" w14:textId="77777777" w:rsidR="00201BF3" w:rsidRPr="00642EA6" w:rsidRDefault="00201BF3" w:rsidP="00201BF3">
      <w:pPr>
        <w:spacing w:after="0" w:line="240" w:lineRule="auto"/>
        <w:jc w:val="both"/>
        <w:rPr>
          <w:rFonts w:ascii="Verdana" w:eastAsia="Calibri" w:hAnsi="Verdana" w:cs="Arial"/>
          <w:lang w:val="es-ES_tradnl" w:eastAsia="es-ES_tradnl"/>
        </w:rPr>
      </w:pPr>
    </w:p>
    <w:p w14:paraId="40089A5F" w14:textId="77777777" w:rsidR="00201BF3" w:rsidRPr="00642EA6" w:rsidRDefault="00201BF3" w:rsidP="00201BF3">
      <w:pPr>
        <w:spacing w:after="0" w:line="240" w:lineRule="auto"/>
        <w:jc w:val="both"/>
        <w:rPr>
          <w:rFonts w:ascii="Verdana" w:eastAsia="Calibri" w:hAnsi="Verdana" w:cs="Arial"/>
          <w:lang w:val="es-ES_tradnl" w:eastAsia="es-ES_tradnl"/>
        </w:rPr>
      </w:pPr>
    </w:p>
    <w:p w14:paraId="25170F3F" w14:textId="77777777" w:rsidR="00201BF3" w:rsidRPr="00642EA6" w:rsidRDefault="00201BF3" w:rsidP="00201BF3">
      <w:pPr>
        <w:spacing w:after="0" w:line="276" w:lineRule="auto"/>
        <w:jc w:val="both"/>
        <w:rPr>
          <w:rFonts w:ascii="Verdana" w:eastAsia="Calibri" w:hAnsi="Verdana" w:cs="Arial"/>
          <w:lang w:val="es-ES" w:eastAsia="es-ES"/>
        </w:rPr>
      </w:pPr>
      <w:r w:rsidRPr="00642EA6">
        <w:rPr>
          <w:rFonts w:ascii="Verdana" w:eastAsia="Calibri" w:hAnsi="Verdana" w:cs="Arial"/>
          <w:lang w:val="es-ES" w:eastAsia="es-ES"/>
        </w:rPr>
        <w:t xml:space="preserve">Estimado señor Rojas: </w:t>
      </w:r>
    </w:p>
    <w:p w14:paraId="00B0AA79" w14:textId="77777777" w:rsidR="00201BF3" w:rsidRPr="00642EA6" w:rsidRDefault="00201BF3" w:rsidP="00201BF3">
      <w:pPr>
        <w:tabs>
          <w:tab w:val="left" w:pos="3768"/>
        </w:tabs>
        <w:spacing w:after="0" w:line="276" w:lineRule="auto"/>
        <w:jc w:val="both"/>
        <w:rPr>
          <w:rFonts w:ascii="Verdana" w:eastAsia="Calibri" w:hAnsi="Verdana" w:cs="Arial"/>
          <w:lang w:val="es-ES" w:eastAsia="es-ES"/>
        </w:rPr>
      </w:pPr>
    </w:p>
    <w:p w14:paraId="14889B7B" w14:textId="77777777" w:rsidR="00201BF3" w:rsidRPr="00642EA6" w:rsidRDefault="00201BF3" w:rsidP="00201BF3">
      <w:pPr>
        <w:spacing w:after="0" w:line="276" w:lineRule="auto"/>
        <w:jc w:val="both"/>
        <w:rPr>
          <w:rFonts w:ascii="Verdana" w:eastAsia="Calibri" w:hAnsi="Verdana" w:cs="Arial"/>
          <w:lang w:val="es-ES" w:eastAsia="es-ES"/>
        </w:rPr>
      </w:pPr>
      <w:r w:rsidRPr="00642EA6">
        <w:rPr>
          <w:rFonts w:ascii="Verdana" w:eastAsia="Calibri" w:hAnsi="Verdana" w:cs="Arial"/>
          <w:lang w:val="es-ES" w:eastAsia="es-ES"/>
        </w:rPr>
        <w:t>En ejercicio de la competencia otorgada por los artículos 3, numeral 5º, y 11, numeral 8º, del Decreto Ley 4170 de 2011,</w:t>
      </w:r>
      <w:r w:rsidRPr="00642EA6">
        <w:rPr>
          <w:rFonts w:ascii="Verdana" w:eastAsia="Arial MT" w:hAnsi="Verdana" w:cs="Arial MT"/>
          <w:lang w:val="es-ES" w:eastAsia="es-ES"/>
        </w:rPr>
        <w:t xml:space="preserve"> </w:t>
      </w:r>
      <w:r w:rsidRPr="00642EA6">
        <w:rPr>
          <w:rFonts w:ascii="Verdana" w:eastAsia="Aptos" w:hAnsi="Verdana" w:cs="Arial"/>
        </w:rPr>
        <w:t xml:space="preserve">así como lo establecido en el artículo 4 de la Resolución 1707 de 2018 expedida por esta Entidad, </w:t>
      </w:r>
      <w:r w:rsidRPr="00642EA6">
        <w:rPr>
          <w:rFonts w:ascii="Verdana" w:eastAsia="Calibri" w:hAnsi="Verdana" w:cs="Arial"/>
          <w:lang w:val="es-ES" w:eastAsia="es-ES"/>
        </w:rPr>
        <w:t xml:space="preserve">la Agencia Nacional de Contratación Pública – Colombia Compra Eficiente– responde su solicitud de petición de fecha del 30 de agosto de 2024, en la que realiza la siguiente consulta: </w:t>
      </w:r>
    </w:p>
    <w:p w14:paraId="57C18803" w14:textId="77777777" w:rsidR="00201BF3" w:rsidRPr="00642EA6" w:rsidRDefault="00201BF3" w:rsidP="00201BF3">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368BC7A0" w14:textId="77777777" w:rsidR="00201BF3" w:rsidRPr="00642EA6" w:rsidRDefault="00201BF3" w:rsidP="00201BF3">
      <w:pPr>
        <w:tabs>
          <w:tab w:val="left" w:pos="709"/>
        </w:tabs>
        <w:spacing w:after="0" w:line="240" w:lineRule="auto"/>
        <w:ind w:left="709" w:right="709"/>
        <w:jc w:val="both"/>
        <w:rPr>
          <w:rFonts w:ascii="Verdana" w:eastAsia="Calibri" w:hAnsi="Verdana" w:cs="Arial"/>
          <w:sz w:val="21"/>
          <w:szCs w:val="21"/>
          <w:lang w:val="es-MX"/>
        </w:rPr>
      </w:pPr>
      <w:r w:rsidRPr="00642EA6">
        <w:rPr>
          <w:rFonts w:ascii="Verdana" w:eastAsia="Calibri" w:hAnsi="Verdana" w:cs="Arial"/>
          <w:sz w:val="21"/>
          <w:szCs w:val="21"/>
          <w:lang w:val="es-MX"/>
        </w:rPr>
        <w:t xml:space="preserve">“¿Una sociedad de economía mixta, cuya participación estatal es superior al cincuenta por ciento (50%), pero inferior al noventa por ciento (90%) – no sujeta a las normas propias de las empresas industriales y comerciales del estado -, se encuentra en la obligación de realizar publicaciones a que se refiere la Circular Externa No. 002 de 2024, emitida por Colombia Compra Eficiente, cuando los recursos </w:t>
      </w:r>
      <w:r w:rsidRPr="00642EA6">
        <w:rPr>
          <w:rFonts w:ascii="Verdana" w:eastAsia="Calibri" w:hAnsi="Verdana" w:cs="Arial"/>
          <w:sz w:val="21"/>
          <w:szCs w:val="21"/>
          <w:lang w:val="es-MX"/>
        </w:rPr>
        <w:lastRenderedPageBreak/>
        <w:t>que ejecuta corresponden aquellos que obtienen del desarrollo de una actividad mercantil, en un mercado concurrencial con entidades privadas y particulares, más no proveniente de la transferencia directa de parte de ninguna entidad estatal?”</w:t>
      </w:r>
    </w:p>
    <w:p w14:paraId="2B760FE8" w14:textId="77777777" w:rsidR="00201BF3" w:rsidRPr="00642EA6" w:rsidRDefault="00201BF3" w:rsidP="00201BF3">
      <w:pPr>
        <w:tabs>
          <w:tab w:val="left" w:pos="142"/>
          <w:tab w:val="left" w:pos="284"/>
        </w:tabs>
        <w:spacing w:line="276" w:lineRule="auto"/>
        <w:contextualSpacing/>
        <w:jc w:val="both"/>
        <w:rPr>
          <w:rFonts w:ascii="Verdana" w:eastAsia="Century Gothic" w:hAnsi="Verdana" w:cs="Century Gothic"/>
          <w:b/>
          <w:bCs/>
          <w:lang w:val="es-ES"/>
        </w:rPr>
      </w:pPr>
    </w:p>
    <w:p w14:paraId="6B4CF565" w14:textId="77777777" w:rsidR="00201BF3" w:rsidRPr="00642EA6" w:rsidRDefault="00201BF3" w:rsidP="00201BF3">
      <w:pPr>
        <w:spacing w:after="120" w:line="276" w:lineRule="auto"/>
        <w:ind w:firstLine="709"/>
        <w:jc w:val="both"/>
        <w:rPr>
          <w:rFonts w:ascii="Verdana" w:eastAsia="Calibri" w:hAnsi="Verdana" w:cs="Arial"/>
          <w:szCs w:val="24"/>
          <w:lang w:val="es-ES_tradnl" w:eastAsia="es-ES_tradnl"/>
        </w:rPr>
      </w:pPr>
      <w:r w:rsidRPr="00642EA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026F13CA" w14:textId="77777777" w:rsidR="00201BF3" w:rsidRPr="00642EA6" w:rsidRDefault="00201BF3" w:rsidP="00201BF3">
      <w:pPr>
        <w:spacing w:after="0" w:line="276" w:lineRule="auto"/>
        <w:ind w:firstLine="709"/>
        <w:jc w:val="both"/>
        <w:rPr>
          <w:rFonts w:ascii="Verdana" w:eastAsia="Calibri" w:hAnsi="Verdana" w:cs="Arial"/>
          <w:lang w:val="es-ES" w:eastAsia="es-ES"/>
        </w:rPr>
      </w:pPr>
      <w:r w:rsidRPr="00642E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7A56D5AA" w14:textId="77777777" w:rsidR="00201BF3" w:rsidRPr="00642EA6" w:rsidRDefault="00201BF3" w:rsidP="00201BF3">
      <w:pPr>
        <w:spacing w:after="0" w:line="276" w:lineRule="auto"/>
        <w:ind w:firstLine="709"/>
        <w:jc w:val="both"/>
        <w:rPr>
          <w:rFonts w:ascii="Verdana" w:eastAsia="Calibri" w:hAnsi="Verdana" w:cs="Arial"/>
          <w:lang w:val="es-ES" w:eastAsia="es-ES"/>
        </w:rPr>
      </w:pPr>
    </w:p>
    <w:p w14:paraId="704FDE2F" w14:textId="77777777" w:rsidR="00201BF3" w:rsidRPr="00642EA6" w:rsidRDefault="00201BF3" w:rsidP="00201BF3">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642EA6">
        <w:rPr>
          <w:rFonts w:ascii="Verdana" w:eastAsia="Arial" w:hAnsi="Verdana" w:cs="Arial"/>
          <w:b/>
          <w:bCs/>
          <w:lang w:val="es-ES"/>
        </w:rPr>
        <w:t>1. Problema planteado:</w:t>
      </w:r>
    </w:p>
    <w:p w14:paraId="430B928E" w14:textId="77777777" w:rsidR="00201BF3" w:rsidRPr="00642EA6" w:rsidRDefault="00201BF3" w:rsidP="00201BF3">
      <w:pPr>
        <w:tabs>
          <w:tab w:val="left" w:pos="426"/>
        </w:tabs>
        <w:spacing w:after="0" w:line="276" w:lineRule="auto"/>
        <w:jc w:val="both"/>
        <w:rPr>
          <w:rFonts w:ascii="Verdana" w:eastAsia="Century Gothic" w:hAnsi="Verdana" w:cs="Century Gothic"/>
          <w:lang w:val="es-ES"/>
        </w:rPr>
      </w:pPr>
    </w:p>
    <w:p w14:paraId="2E023791" w14:textId="77777777" w:rsidR="00201BF3" w:rsidRPr="00642EA6" w:rsidRDefault="00201BF3" w:rsidP="00201BF3">
      <w:pPr>
        <w:spacing w:after="0" w:line="276" w:lineRule="auto"/>
        <w:jc w:val="both"/>
        <w:rPr>
          <w:rFonts w:ascii="Verdana" w:eastAsia="Century Gothic" w:hAnsi="Verdana" w:cs="Century Gothic"/>
        </w:rPr>
      </w:pPr>
      <w:r w:rsidRPr="00642EA6">
        <w:rPr>
          <w:rFonts w:ascii="Verdana" w:eastAsia="Century Gothic" w:hAnsi="Verdana" w:cs="Century Gothic"/>
        </w:rPr>
        <w:t>De acuerdo con el contenido de su solicitud, le informamos que la misma se resolverá desde el siguiente problema jurídico:</w:t>
      </w:r>
      <w:bookmarkStart w:id="1" w:name="_Hlk171070029"/>
      <w:r w:rsidRPr="00642EA6">
        <w:rPr>
          <w:rFonts w:ascii="Verdana" w:eastAsia="Century Gothic" w:hAnsi="Verdana" w:cs="Century Gothic"/>
        </w:rPr>
        <w:t xml:space="preserve"> </w:t>
      </w:r>
      <w:r>
        <w:rPr>
          <w:rFonts w:ascii="Verdana" w:eastAsia="Century Gothic" w:hAnsi="Verdana" w:cs="Century Gothic"/>
        </w:rPr>
        <w:t xml:space="preserve">¿cuál es el alcance de lo dispuesto en la </w:t>
      </w:r>
      <w:r w:rsidRPr="00642EA6">
        <w:rPr>
          <w:rFonts w:ascii="Verdana" w:eastAsia="Century Gothic" w:hAnsi="Verdana" w:cs="Century Gothic"/>
        </w:rPr>
        <w:t>Circular Externa No. 002 de 2024 expedida por Colombia Compra Eficiente</w:t>
      </w:r>
      <w:r>
        <w:rPr>
          <w:rFonts w:ascii="Verdana" w:eastAsia="Century Gothic" w:hAnsi="Verdana" w:cs="Century Gothic"/>
        </w:rPr>
        <w:t xml:space="preserve"> respecto de las </w:t>
      </w:r>
      <w:r w:rsidRPr="00642EA6">
        <w:rPr>
          <w:rFonts w:ascii="Verdana" w:eastAsia="Century Gothic" w:hAnsi="Verdana" w:cs="Century Gothic"/>
        </w:rPr>
        <w:t xml:space="preserve">sociedades de economía mixta </w:t>
      </w:r>
      <w:r>
        <w:rPr>
          <w:rFonts w:ascii="Verdana" w:eastAsia="Century Gothic" w:hAnsi="Verdana" w:cs="Century Gothic"/>
        </w:rPr>
        <w:t>exceptuadas de la aplicación del Estatuto General de Contratación de la Administración Pública</w:t>
      </w:r>
      <w:r w:rsidRPr="00642EA6">
        <w:rPr>
          <w:rFonts w:ascii="Verdana" w:eastAsia="Century Gothic" w:hAnsi="Verdana" w:cs="Century Gothic"/>
        </w:rPr>
        <w:t>?</w:t>
      </w:r>
    </w:p>
    <w:p w14:paraId="261A7152" w14:textId="77777777" w:rsidR="00201BF3" w:rsidRPr="00642EA6" w:rsidRDefault="00201BF3" w:rsidP="00201BF3">
      <w:pPr>
        <w:spacing w:after="0" w:line="276" w:lineRule="auto"/>
        <w:jc w:val="both"/>
        <w:rPr>
          <w:rFonts w:ascii="Verdana" w:eastAsia="Calibri" w:hAnsi="Verdana" w:cs="Arial"/>
          <w:lang w:val="es-ES"/>
        </w:rPr>
      </w:pPr>
    </w:p>
    <w:bookmarkEnd w:id="1"/>
    <w:p w14:paraId="5F7A20BE" w14:textId="77777777" w:rsidR="00201BF3" w:rsidRPr="00642EA6" w:rsidRDefault="00201BF3" w:rsidP="00201BF3">
      <w:pPr>
        <w:widowControl w:val="0"/>
        <w:autoSpaceDE w:val="0"/>
        <w:autoSpaceDN w:val="0"/>
        <w:spacing w:before="1" w:after="0" w:line="240" w:lineRule="auto"/>
        <w:jc w:val="both"/>
        <w:outlineLvl w:val="0"/>
        <w:rPr>
          <w:rFonts w:ascii="Verdana" w:eastAsia="Arial" w:hAnsi="Verdana" w:cs="Arial"/>
          <w:b/>
          <w:bCs/>
          <w:lang w:val="es-ES"/>
        </w:rPr>
      </w:pPr>
      <w:r w:rsidRPr="00642EA6">
        <w:rPr>
          <w:rFonts w:ascii="Verdana" w:eastAsia="Arial" w:hAnsi="Verdana" w:cs="Arial"/>
          <w:b/>
          <w:bCs/>
          <w:lang w:val="es-ES"/>
        </w:rPr>
        <w:t>2. Respuesta:</w:t>
      </w:r>
    </w:p>
    <w:p w14:paraId="6B46FD93" w14:textId="77777777" w:rsidR="00201BF3" w:rsidRPr="00642EA6" w:rsidRDefault="00201BF3" w:rsidP="00201BF3">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01BF3" w:rsidRPr="00642EA6" w14:paraId="3C174EC9" w14:textId="77777777" w:rsidTr="00C76803">
        <w:tc>
          <w:tcPr>
            <w:tcW w:w="8828" w:type="dxa"/>
            <w:shd w:val="clear" w:color="auto" w:fill="auto"/>
          </w:tcPr>
          <w:p w14:paraId="1D7AE777" w14:textId="46049EF8" w:rsidR="00201BF3" w:rsidRPr="00642EA6" w:rsidRDefault="00201BF3" w:rsidP="00C76803">
            <w:pPr>
              <w:spacing w:after="120" w:line="276" w:lineRule="auto"/>
              <w:jc w:val="both"/>
              <w:rPr>
                <w:rFonts w:ascii="Verdana" w:eastAsia="Calibri" w:hAnsi="Verdana" w:cs="Arial"/>
                <w:lang w:val="es-ES"/>
              </w:rPr>
            </w:pPr>
            <w:bookmarkStart w:id="2" w:name="_Hlk171067516"/>
            <w:r>
              <w:rPr>
                <w:rFonts w:ascii="Verdana" w:eastAsia="Calibri" w:hAnsi="Verdana" w:cs="Arial"/>
                <w:lang w:val="es-ES"/>
              </w:rPr>
              <w:t>De conformidad con el artículo 14 de la Ley 1150 de 2007,</w:t>
            </w:r>
            <w:r w:rsidRPr="00642EA6">
              <w:rPr>
                <w:rFonts w:ascii="Verdana" w:eastAsia="Calibri" w:hAnsi="Verdana" w:cs="Arial"/>
                <w:lang w:val="es-ES"/>
              </w:rPr>
              <w:t xml:space="preserve"> las sociedades de economía mixta en las que el Estado tenga participación superior al cincuenta por ciento (50%), </w:t>
            </w:r>
            <w:r>
              <w:rPr>
                <w:rFonts w:ascii="Verdana" w:eastAsia="Calibri" w:hAnsi="Verdana" w:cs="Arial"/>
                <w:lang w:val="es-ES"/>
              </w:rPr>
              <w:t>que</w:t>
            </w:r>
            <w:r w:rsidRPr="00642EA6">
              <w:rPr>
                <w:rFonts w:ascii="Verdana" w:eastAsia="Calibri" w:hAnsi="Verdana" w:cs="Arial"/>
                <w:lang w:val="es-ES"/>
              </w:rPr>
              <w:t xml:space="preserve"> se encuentran en competencia con el sector privado o público, nacional o internacional o desarrollan su actividad en mercados regulados, </w:t>
            </w:r>
            <w:r>
              <w:rPr>
                <w:rFonts w:ascii="Verdana" w:eastAsia="Calibri" w:hAnsi="Verdana" w:cs="Arial"/>
                <w:lang w:val="es-ES"/>
              </w:rPr>
              <w:t xml:space="preserve">se encuentran exceptuadas de la aplicación del Estatuto General de </w:t>
            </w:r>
            <w:r>
              <w:rPr>
                <w:rFonts w:ascii="Verdana" w:eastAsia="Calibri" w:hAnsi="Verdana" w:cs="Arial"/>
                <w:lang w:val="es-ES"/>
              </w:rPr>
              <w:lastRenderedPageBreak/>
              <w:t>Contratación de la Administración Pública. Sin embargo, en atención a lo dispuesto en el artículo 13 de la Ley 1150 de 2007,</w:t>
            </w:r>
            <w:r w:rsidRPr="00642EA6">
              <w:rPr>
                <w:rFonts w:ascii="Verdana" w:eastAsia="Calibri" w:hAnsi="Verdana" w:cs="Arial"/>
                <w:lang w:val="es-ES"/>
              </w:rPr>
              <w:t xml:space="preserve"> </w:t>
            </w:r>
            <w:r>
              <w:rPr>
                <w:rFonts w:ascii="Verdana" w:eastAsia="Calibri" w:hAnsi="Verdana" w:cs="Arial"/>
                <w:lang w:val="es-ES"/>
              </w:rPr>
              <w:t xml:space="preserve">modificado por el artículo 53 de la Ley 2195 de 2022, se encuentran obligadas a realizar la publicación de su actividad contractual financiada con recursos públicos a través del SECOP II. </w:t>
            </w:r>
          </w:p>
          <w:p w14:paraId="0F0E8BD6" w14:textId="7D97BB6D" w:rsidR="00201BF3" w:rsidRPr="00642EA6" w:rsidRDefault="00201BF3" w:rsidP="00C76803">
            <w:pPr>
              <w:spacing w:line="276" w:lineRule="auto"/>
              <w:ind w:firstLine="709"/>
              <w:jc w:val="both"/>
              <w:rPr>
                <w:rFonts w:ascii="Verdana" w:eastAsia="Calibri" w:hAnsi="Verdana" w:cs="Arial"/>
                <w:lang w:val="es-ES"/>
              </w:rPr>
            </w:pPr>
            <w:r w:rsidRPr="00642EA6">
              <w:rPr>
                <w:rFonts w:ascii="Verdana" w:eastAsia="Calibri" w:hAnsi="Verdana" w:cs="Arial"/>
                <w:lang w:val="es-ES"/>
              </w:rPr>
              <w:t xml:space="preserve">En </w:t>
            </w:r>
            <w:r>
              <w:rPr>
                <w:rFonts w:ascii="Verdana" w:eastAsia="Calibri" w:hAnsi="Verdana" w:cs="Arial"/>
                <w:lang w:val="es-ES"/>
              </w:rPr>
              <w:t>e</w:t>
            </w:r>
            <w:r w:rsidRPr="00642EA6">
              <w:rPr>
                <w:rFonts w:ascii="Verdana" w:eastAsia="Calibri" w:hAnsi="Verdana" w:cs="Arial"/>
                <w:lang w:val="es-ES"/>
              </w:rPr>
              <w:t xml:space="preserve">se sentido, </w:t>
            </w:r>
            <w:r>
              <w:rPr>
                <w:rFonts w:ascii="Verdana" w:eastAsia="Calibri" w:hAnsi="Verdana" w:cs="Arial"/>
                <w:lang w:val="es-ES"/>
              </w:rPr>
              <w:t xml:space="preserve">considerando que, la Circular Externa No. 002 de 2024 está dirigida en general a las </w:t>
            </w:r>
            <w:r w:rsidRPr="00425FE2">
              <w:rPr>
                <w:rFonts w:ascii="Verdana" w:eastAsia="Calibri" w:hAnsi="Verdana" w:cs="Arial"/>
                <w:lang w:val="es-ES"/>
              </w:rPr>
              <w:t>Entidades Estatales que por disposición legal cuentan con un</w:t>
            </w:r>
            <w:r>
              <w:rPr>
                <w:rFonts w:ascii="Verdana" w:eastAsia="Calibri" w:hAnsi="Verdana" w:cs="Arial"/>
                <w:lang w:val="es-ES"/>
              </w:rPr>
              <w:t xml:space="preserve"> </w:t>
            </w:r>
            <w:r w:rsidRPr="00425FE2">
              <w:rPr>
                <w:rFonts w:ascii="Verdana" w:eastAsia="Calibri" w:hAnsi="Verdana" w:cs="Arial"/>
                <w:lang w:val="es-ES"/>
              </w:rPr>
              <w:t>régimen contractual excepcional al del Estatuto General de</w:t>
            </w:r>
            <w:r>
              <w:rPr>
                <w:rFonts w:ascii="Verdana" w:eastAsia="Calibri" w:hAnsi="Verdana" w:cs="Arial"/>
                <w:lang w:val="es-ES"/>
              </w:rPr>
              <w:t xml:space="preserve"> </w:t>
            </w:r>
            <w:r w:rsidRPr="00425FE2">
              <w:rPr>
                <w:rFonts w:ascii="Verdana" w:eastAsia="Calibri" w:hAnsi="Verdana" w:cs="Arial"/>
                <w:lang w:val="es-ES"/>
              </w:rPr>
              <w:t>Contratación de la Administración Pública</w:t>
            </w:r>
            <w:r>
              <w:rPr>
                <w:rFonts w:ascii="Verdana" w:eastAsia="Calibri" w:hAnsi="Verdana" w:cs="Arial"/>
                <w:lang w:val="es-ES"/>
              </w:rPr>
              <w:t xml:space="preserve">, </w:t>
            </w:r>
            <w:r w:rsidR="00717FE2">
              <w:rPr>
                <w:rFonts w:ascii="Verdana" w:eastAsia="Calibri" w:hAnsi="Verdana" w:cs="Arial"/>
                <w:lang w:val="es-ES"/>
              </w:rPr>
              <w:t xml:space="preserve">las </w:t>
            </w:r>
            <w:r>
              <w:rPr>
                <w:rFonts w:ascii="Verdana" w:eastAsia="Calibri" w:hAnsi="Verdana" w:cs="Arial"/>
                <w:lang w:val="es-ES"/>
              </w:rPr>
              <w:t>sociedades de economía mixta como la descrita</w:t>
            </w:r>
            <w:r w:rsidR="00717FE2">
              <w:rPr>
                <w:rFonts w:ascii="Verdana" w:eastAsia="Calibri" w:hAnsi="Verdana" w:cs="Arial"/>
                <w:lang w:val="es-ES"/>
              </w:rPr>
              <w:t>,</w:t>
            </w:r>
            <w:r>
              <w:rPr>
                <w:rFonts w:ascii="Verdana" w:eastAsia="Calibri" w:hAnsi="Verdana" w:cs="Arial"/>
                <w:lang w:val="es-ES"/>
              </w:rPr>
              <w:t xml:space="preserve"> </w:t>
            </w:r>
            <w:r w:rsidRPr="00642EA6">
              <w:rPr>
                <w:rFonts w:ascii="Verdana" w:eastAsia="Calibri" w:hAnsi="Verdana" w:cs="Arial"/>
                <w:lang w:val="es-ES"/>
              </w:rPr>
              <w:t xml:space="preserve">se </w:t>
            </w:r>
            <w:r>
              <w:rPr>
                <w:rFonts w:ascii="Verdana" w:eastAsia="Calibri" w:hAnsi="Verdana" w:cs="Arial"/>
                <w:lang w:val="es-ES"/>
              </w:rPr>
              <w:t>encuentran obligadas por lo dispuesto en dicha circular.  Sin embargo, es pertinente aclarar que, la obligación de publicidad establecida en el artículo 53 de la Ley 2195 de 2022, reglamentada en la referida circular, se prédica únicamente de la actividad contractual financiada con recursos públicos, deviniendo en potestativa la publicación de la actividad contractual financiada con otro tipo de recursos.</w:t>
            </w:r>
            <w:r w:rsidRPr="00642EA6">
              <w:rPr>
                <w:rFonts w:ascii="Verdana" w:eastAsia="Calibri" w:hAnsi="Verdana" w:cs="Arial"/>
                <w:lang w:val="es-ES"/>
              </w:rPr>
              <w:t xml:space="preserve"> </w:t>
            </w:r>
          </w:p>
        </w:tc>
      </w:tr>
      <w:bookmarkEnd w:id="2"/>
    </w:tbl>
    <w:p w14:paraId="653637C7" w14:textId="77777777" w:rsidR="00201BF3" w:rsidRPr="00642EA6" w:rsidRDefault="00201BF3" w:rsidP="00201BF3">
      <w:pPr>
        <w:spacing w:after="0"/>
        <w:rPr>
          <w:lang w:val="es-ES"/>
        </w:rPr>
      </w:pPr>
    </w:p>
    <w:p w14:paraId="6C06C76C" w14:textId="77777777" w:rsidR="00201BF3" w:rsidRPr="00642EA6" w:rsidRDefault="00201BF3" w:rsidP="00201BF3">
      <w:pPr>
        <w:widowControl w:val="0"/>
        <w:autoSpaceDE w:val="0"/>
        <w:autoSpaceDN w:val="0"/>
        <w:spacing w:before="1" w:after="0" w:line="240" w:lineRule="auto"/>
        <w:ind w:left="360" w:hanging="360"/>
        <w:outlineLvl w:val="0"/>
        <w:rPr>
          <w:rFonts w:ascii="Verdana" w:eastAsia="Arial" w:hAnsi="Verdana" w:cs="Arial"/>
          <w:b/>
          <w:bCs/>
          <w:lang w:val="es-ES"/>
        </w:rPr>
      </w:pPr>
      <w:r w:rsidRPr="00642EA6">
        <w:rPr>
          <w:rFonts w:ascii="Verdana" w:eastAsia="Arial" w:hAnsi="Verdana" w:cs="Arial"/>
          <w:b/>
          <w:bCs/>
          <w:lang w:val="es-ES"/>
        </w:rPr>
        <w:t>3. Razones de la respuesta</w:t>
      </w:r>
    </w:p>
    <w:p w14:paraId="5B1D7D48" w14:textId="77777777" w:rsidR="00201BF3" w:rsidRPr="00642EA6" w:rsidRDefault="00201BF3" w:rsidP="00201BF3">
      <w:pPr>
        <w:spacing w:after="0" w:line="276" w:lineRule="auto"/>
        <w:jc w:val="both"/>
        <w:rPr>
          <w:rFonts w:ascii="Verdana" w:eastAsia="Calibri" w:hAnsi="Verdana" w:cs="Arial"/>
          <w:lang w:val="es-ES"/>
        </w:rPr>
      </w:pPr>
    </w:p>
    <w:p w14:paraId="155C2786" w14:textId="77777777" w:rsidR="00201BF3" w:rsidRPr="00642EA6" w:rsidRDefault="00201BF3" w:rsidP="00201BF3">
      <w:pPr>
        <w:spacing w:after="0" w:line="276" w:lineRule="auto"/>
        <w:jc w:val="both"/>
        <w:rPr>
          <w:rFonts w:ascii="Verdana" w:eastAsia="Calibri" w:hAnsi="Verdana" w:cs="Arial"/>
          <w:lang w:val="es-ES"/>
        </w:rPr>
      </w:pPr>
      <w:r w:rsidRPr="00642EA6">
        <w:rPr>
          <w:rFonts w:ascii="Verdana" w:eastAsia="Calibri" w:hAnsi="Verdana" w:cs="Arial"/>
          <w:lang w:val="es-ES"/>
        </w:rPr>
        <w:t xml:space="preserve">Las respuestas anteriores se sustentan en las siguientes consideraciones: </w:t>
      </w:r>
    </w:p>
    <w:p w14:paraId="0B64F688" w14:textId="77777777" w:rsidR="00201BF3" w:rsidRPr="00642EA6" w:rsidRDefault="00201BF3" w:rsidP="00201BF3">
      <w:pPr>
        <w:spacing w:after="0" w:line="276" w:lineRule="auto"/>
        <w:contextualSpacing/>
        <w:jc w:val="both"/>
        <w:rPr>
          <w:rFonts w:ascii="Verdana" w:eastAsia="Calibri" w:hAnsi="Verdana" w:cs="Arial"/>
          <w:lang w:val="es-ES"/>
        </w:rPr>
      </w:pPr>
    </w:p>
    <w:p w14:paraId="3B527162" w14:textId="77777777" w:rsidR="00201BF3" w:rsidRPr="00642EA6" w:rsidRDefault="00201BF3" w:rsidP="00201BF3">
      <w:pPr>
        <w:spacing w:line="276" w:lineRule="auto"/>
        <w:contextualSpacing/>
        <w:jc w:val="both"/>
        <w:rPr>
          <w:rFonts w:ascii="Verdana" w:eastAsia="Aptos" w:hAnsi="Verdana" w:cs="Arial"/>
          <w:lang w:val="es-ES_tradnl" w:eastAsia="es-MX"/>
        </w:rPr>
      </w:pPr>
      <w:bookmarkStart w:id="3" w:name="_Hlk173311098"/>
      <w:r w:rsidRPr="00642EA6">
        <w:rPr>
          <w:rFonts w:ascii="Verdana" w:eastAsia="Calibri" w:hAnsi="Verdana" w:cs="Arial"/>
          <w:shd w:val="clear" w:color="auto" w:fill="FFFFFF"/>
        </w:rPr>
        <w:t>De manera preliminar es pertinente indicar, que el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 De esta forma, los artículos 3</w:t>
      </w:r>
      <w:r w:rsidRPr="00642EA6">
        <w:rPr>
          <w:rFonts w:ascii="Verdana" w:eastAsia="Calibri" w:hAnsi="Verdana" w:cs="Arial"/>
          <w:color w:val="000000"/>
          <w:lang w:val="es-MX"/>
        </w:rPr>
        <w:t>8 y 68 ibidem</w:t>
      </w:r>
      <w:r w:rsidRPr="00642EA6">
        <w:rPr>
          <w:rFonts w:ascii="Verdana" w:eastAsia="Calibri" w:hAnsi="Verdana" w:cs="Arial"/>
          <w:i/>
          <w:iCs/>
          <w:color w:val="000000"/>
          <w:lang w:val="es-MX"/>
        </w:rPr>
        <w:t xml:space="preserve">, </w:t>
      </w:r>
      <w:r w:rsidRPr="00642EA6">
        <w:rPr>
          <w:rFonts w:ascii="Verdana" w:eastAsia="Calibri" w:hAnsi="Verdana" w:cs="Arial"/>
          <w:color w:val="000000"/>
          <w:lang w:val="es-MX"/>
        </w:rPr>
        <w:t>clasifican a las sociedades de economía mixta como entidades descentralizadas por servicios, con personería jurídica, autonomía administrativa y patrimonio propio</w:t>
      </w:r>
      <w:r w:rsidRPr="00642EA6">
        <w:rPr>
          <w:rFonts w:ascii="Aptos" w:eastAsia="Aptos" w:hAnsi="Aptos" w:cs="Times New Roman"/>
          <w:vertAlign w:val="superscript"/>
          <w:lang w:val="es-ES_tradnl" w:eastAsia="es-MX"/>
        </w:rPr>
        <w:footnoteReference w:id="1"/>
      </w:r>
      <w:r w:rsidRPr="00642EA6">
        <w:rPr>
          <w:rFonts w:ascii="Verdana" w:eastAsia="Aptos" w:hAnsi="Verdana" w:cs="Arial"/>
          <w:lang w:val="es-ES_tradnl" w:eastAsia="es-MX"/>
        </w:rPr>
        <w:t>, que pueden ser del orden nacional, departamental o municipal, según su órgano de creación</w:t>
      </w:r>
      <w:r w:rsidRPr="00642EA6">
        <w:rPr>
          <w:rFonts w:ascii="Aptos" w:eastAsia="Aptos" w:hAnsi="Aptos" w:cs="Times New Roman"/>
          <w:vertAlign w:val="superscript"/>
          <w:lang w:val="es-ES_tradnl" w:eastAsia="es-MX"/>
        </w:rPr>
        <w:footnoteReference w:id="2"/>
      </w:r>
      <w:r w:rsidRPr="00642EA6">
        <w:rPr>
          <w:rFonts w:ascii="Verdana" w:eastAsia="Aptos" w:hAnsi="Verdana" w:cs="Arial"/>
          <w:lang w:val="es-ES_tradnl" w:eastAsia="es-MX"/>
        </w:rPr>
        <w:t>.</w:t>
      </w:r>
    </w:p>
    <w:p w14:paraId="64D49C5C" w14:textId="77777777" w:rsidR="00201BF3" w:rsidRPr="00642EA6" w:rsidRDefault="00201BF3" w:rsidP="00201BF3">
      <w:pPr>
        <w:spacing w:line="276" w:lineRule="auto"/>
        <w:ind w:left="720"/>
        <w:contextualSpacing/>
        <w:jc w:val="both"/>
        <w:rPr>
          <w:rFonts w:ascii="Verdana" w:eastAsia="Aptos" w:hAnsi="Verdana" w:cs="Arial"/>
          <w:lang w:val="es-ES_tradnl" w:eastAsia="es-MX"/>
        </w:rPr>
      </w:pPr>
    </w:p>
    <w:p w14:paraId="4B7F5481" w14:textId="77777777" w:rsidR="00201BF3" w:rsidRPr="00642EA6" w:rsidRDefault="00201BF3" w:rsidP="00201BF3">
      <w:pPr>
        <w:spacing w:after="120" w:line="276" w:lineRule="auto"/>
        <w:ind w:firstLine="709"/>
        <w:jc w:val="both"/>
        <w:textAlignment w:val="baseline"/>
        <w:rPr>
          <w:rFonts w:ascii="Verdana" w:eastAsia="Aptos" w:hAnsi="Verdana" w:cs="Arial"/>
          <w:lang w:val="es-ES" w:eastAsia="es-MX"/>
        </w:rPr>
      </w:pPr>
      <w:r w:rsidRPr="4E3C208C">
        <w:rPr>
          <w:rFonts w:ascii="Verdana" w:eastAsia="Aptos" w:hAnsi="Verdana" w:cs="Arial"/>
          <w:lang w:val="es-ES" w:eastAsia="es-MX"/>
        </w:rPr>
        <w:t>En ese sentido,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 Y el segundo destinado a regir el desarrollo de la actividad económica de cada sociedad. De esta forma, 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r w:rsidRPr="4E3C208C">
        <w:rPr>
          <w:rFonts w:ascii="Aptos" w:eastAsia="Aptos" w:hAnsi="Aptos" w:cs="Times New Roman"/>
          <w:vertAlign w:val="superscript"/>
          <w:lang w:val="es-ES" w:eastAsia="es-MX"/>
        </w:rPr>
        <w:footnoteReference w:id="3"/>
      </w:r>
      <w:r w:rsidRPr="4E3C208C">
        <w:rPr>
          <w:rFonts w:ascii="Verdana" w:eastAsia="Aptos" w:hAnsi="Verdana" w:cs="Arial"/>
          <w:lang w:val="es-ES" w:eastAsia="es-MX"/>
        </w:rPr>
        <w:t>. Esto significa que el legislador, en el año 1993, estableció que las sociedades de economía mixta donde el Estado tenga participación superior al cincuenta por ciento (50%) están sujetos al Estatuto General de Contratación de la Administración Pública, en adelante EGCAP.</w:t>
      </w:r>
    </w:p>
    <w:p w14:paraId="6ED9C5F5" w14:textId="77777777" w:rsidR="00201BF3" w:rsidRPr="00642EA6" w:rsidRDefault="00201BF3" w:rsidP="00201BF3">
      <w:pPr>
        <w:spacing w:before="120" w:after="120" w:line="276" w:lineRule="auto"/>
        <w:ind w:firstLine="709"/>
        <w:jc w:val="both"/>
        <w:textAlignment w:val="baseline"/>
        <w:rPr>
          <w:rFonts w:ascii="Verdana" w:eastAsia="Aptos" w:hAnsi="Verdana" w:cs="Arial"/>
          <w:lang w:val="es-ES_tradnl" w:eastAsia="es-MX"/>
        </w:rPr>
      </w:pPr>
      <w:r w:rsidRPr="00642EA6">
        <w:rPr>
          <w:rFonts w:ascii="Verdana" w:eastAsia="Aptos" w:hAnsi="Verdana" w:cs="Arial"/>
          <w:lang w:val="es-ES_tradnl" w:eastAsia="es-MX"/>
        </w:rPr>
        <w:t>En consecuencia,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642EA6">
        <w:rPr>
          <w:rFonts w:ascii="Aptos" w:eastAsia="Aptos" w:hAnsi="Aptos" w:cs="Times New Roman"/>
          <w:vertAlign w:val="superscript"/>
          <w:lang w:val="es-ES_tradnl" w:eastAsia="es-MX"/>
        </w:rPr>
        <w:footnoteReference w:id="4"/>
      </w:r>
      <w:r w:rsidRPr="00642EA6">
        <w:rPr>
          <w:rFonts w:ascii="Verdana" w:eastAsia="Aptos" w:hAnsi="Verdana" w:cs="Arial"/>
          <w:lang w:val="es-ES_tradnl" w:eastAsia="es-MX"/>
        </w:rPr>
        <w:t xml:space="preserve">. En otras </w:t>
      </w:r>
      <w:r w:rsidRPr="00642EA6">
        <w:rPr>
          <w:rFonts w:ascii="Verdana" w:eastAsia="Aptos" w:hAnsi="Verdana" w:cs="Arial"/>
          <w:lang w:val="es-ES_tradnl" w:eastAsia="es-MX"/>
        </w:rPr>
        <w:lastRenderedPageBreak/>
        <w:t>palabras, el legislador estableció que 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14:paraId="338C33D4" w14:textId="77777777" w:rsidR="00201BF3" w:rsidRPr="00642EA6" w:rsidRDefault="00201BF3" w:rsidP="00201BF3">
      <w:pPr>
        <w:spacing w:before="120" w:after="120" w:line="276" w:lineRule="auto"/>
        <w:ind w:firstLine="709"/>
        <w:jc w:val="both"/>
        <w:textAlignment w:val="baseline"/>
        <w:rPr>
          <w:rFonts w:ascii="Verdana" w:eastAsia="Aptos" w:hAnsi="Verdana" w:cs="Arial"/>
          <w:lang w:val="es-ES" w:eastAsia="es-MX"/>
        </w:rPr>
      </w:pPr>
      <w:r w:rsidRPr="00642EA6">
        <w:rPr>
          <w:rFonts w:ascii="Verdana" w:eastAsia="Aptos" w:hAnsi="Verdana" w:cs="Arial"/>
          <w:lang w:val="es-ES" w:eastAsia="es-MX"/>
        </w:rPr>
        <w:t>Así las cosas,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p>
    <w:p w14:paraId="24AD0E2E" w14:textId="77777777" w:rsidR="00201BF3" w:rsidRPr="00642EA6" w:rsidRDefault="00201BF3" w:rsidP="00201BF3">
      <w:pPr>
        <w:tabs>
          <w:tab w:val="left" w:pos="709"/>
        </w:tabs>
        <w:spacing w:before="120" w:after="120" w:line="276" w:lineRule="auto"/>
        <w:jc w:val="both"/>
        <w:rPr>
          <w:rFonts w:ascii="Verdana" w:eastAsia="Calibri" w:hAnsi="Verdana" w:cs="Arial"/>
          <w:shd w:val="clear" w:color="auto" w:fill="FFFFFF"/>
        </w:rPr>
      </w:pPr>
      <w:r>
        <w:rPr>
          <w:rFonts w:ascii="Verdana" w:eastAsia="Aptos" w:hAnsi="Verdana" w:cs="Arial"/>
          <w:bCs/>
        </w:rPr>
        <w:tab/>
      </w:r>
      <w:r w:rsidRPr="00642EA6">
        <w:rPr>
          <w:rFonts w:ascii="Verdana" w:eastAsia="Aptos" w:hAnsi="Verdana" w:cs="Arial"/>
          <w:bCs/>
        </w:rPr>
        <w:t xml:space="preserve">Ahora bien, y con el fin de atender el objeto de su consulta, es preciso indicar que </w:t>
      </w:r>
      <w:r w:rsidRPr="00642EA6">
        <w:rPr>
          <w:rFonts w:ascii="Verdana" w:eastAsia="Calibri" w:hAnsi="Verdana" w:cs="Arial"/>
          <w:shd w:val="clear" w:color="auto" w:fill="FFFFFF"/>
        </w:rPr>
        <w:t xml:space="preserve">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w:t>
      </w:r>
      <w:r w:rsidRPr="00642EA6">
        <w:rPr>
          <w:rFonts w:ascii="Verdana" w:eastAsia="Calibri" w:hAnsi="Verdana" w:cs="Arial"/>
          <w:i/>
          <w:iCs/>
          <w:u w:val="single"/>
          <w:shd w:val="clear" w:color="auto" w:fill="FFFFFF"/>
        </w:rPr>
        <w:t>realizada con dineros públicos</w:t>
      </w:r>
      <w:r w:rsidRPr="00642EA6">
        <w:rPr>
          <w:rFonts w:ascii="Verdana" w:eastAsia="Calibri" w:hAnsi="Verdana" w:cs="Arial"/>
          <w:shd w:val="clear" w:color="auto" w:fill="FFFFFF"/>
        </w:rPr>
        <w:t>, para lo cual establecerá los patrones a que haya lugar y se encargará de su difusión a través de canales electrónicos</w:t>
      </w:r>
      <w:r>
        <w:rPr>
          <w:rFonts w:ascii="Verdana" w:eastAsia="Calibri" w:hAnsi="Verdana" w:cs="Arial"/>
          <w:shd w:val="clear" w:color="auto" w:fill="FFFFFF"/>
        </w:rPr>
        <w:t>”</w:t>
      </w:r>
      <w:r w:rsidRPr="00642EA6">
        <w:rPr>
          <w:rFonts w:ascii="Aptos" w:eastAsia="Aptos" w:hAnsi="Aptos" w:cs="Times New Roman"/>
          <w:color w:val="000000"/>
          <w:vertAlign w:val="superscript"/>
          <w:lang w:val="es-ES_tradnl"/>
        </w:rPr>
        <w:footnoteReference w:id="5"/>
      </w:r>
      <w:r w:rsidRPr="00642EA6">
        <w:rPr>
          <w:rFonts w:ascii="Verdana" w:eastAsia="Calibri" w:hAnsi="Verdana" w:cs="Arial"/>
          <w:color w:val="000000"/>
          <w:lang w:val="es-ES_tradnl"/>
        </w:rPr>
        <w:t>. [Énfasis fuera de texto]</w:t>
      </w:r>
    </w:p>
    <w:p w14:paraId="1E05BD1A" w14:textId="77777777" w:rsidR="00201BF3" w:rsidRPr="00642EA6" w:rsidRDefault="00201BF3" w:rsidP="00201BF3">
      <w:pPr>
        <w:spacing w:before="120" w:after="120" w:line="276" w:lineRule="auto"/>
        <w:ind w:firstLine="709"/>
        <w:jc w:val="both"/>
        <w:rPr>
          <w:rFonts w:ascii="Verdana" w:eastAsia="Calibri" w:hAnsi="Verdana" w:cs="Arial"/>
          <w:color w:val="000000"/>
          <w:lang w:val="es-ES_tradnl"/>
        </w:rPr>
      </w:pPr>
      <w:r w:rsidRPr="00642EA6">
        <w:rPr>
          <w:rFonts w:ascii="Verdana" w:eastAsia="Calibri" w:hAnsi="Verdana" w:cs="Arial"/>
          <w:shd w:val="clear" w:color="auto" w:fill="FFFFFF"/>
        </w:rPr>
        <w:t xml:space="preserve">En ese sentido, la Ley 1712 de 2014 –ley estatutaria que regula la transparencia y el derecho de acceso a la información y a los documentos </w:t>
      </w:r>
      <w:r w:rsidRPr="00642EA6">
        <w:rPr>
          <w:rFonts w:ascii="Verdana" w:eastAsia="Calibri" w:hAnsi="Verdana" w:cs="Arial"/>
          <w:shd w:val="clear" w:color="auto" w:fill="FFFFFF"/>
        </w:rPr>
        <w:lastRenderedPageBreak/>
        <w:t>públicos–; identifica como principios que orientan el derecho de acceso a la información pública, el</w:t>
      </w:r>
      <w:r w:rsidRPr="00642EA6">
        <w:rPr>
          <w:rFonts w:ascii="Verdana" w:eastAsia="Calibri" w:hAnsi="Verdana" w:cs="Arial"/>
          <w:color w:val="000000"/>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642EA6">
        <w:rPr>
          <w:rFonts w:ascii="Aptos" w:eastAsia="Aptos" w:hAnsi="Aptos" w:cs="Times New Roman"/>
          <w:color w:val="000000"/>
          <w:vertAlign w:val="superscript"/>
          <w:lang w:val="es-ES_tradnl"/>
        </w:rPr>
        <w:footnoteReference w:id="6"/>
      </w:r>
      <w:r w:rsidRPr="00642EA6">
        <w:rPr>
          <w:rFonts w:ascii="Verdana" w:eastAsia="Calibri" w:hAnsi="Verdana" w:cs="Arial"/>
          <w:color w:val="000000"/>
          <w:lang w:val="es-ES_tradnl"/>
        </w:rPr>
        <w:t>.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642EA6">
        <w:rPr>
          <w:rFonts w:ascii="Aptos" w:eastAsia="Aptos" w:hAnsi="Aptos" w:cs="Times New Roman"/>
          <w:color w:val="000000"/>
          <w:vertAlign w:val="superscript"/>
          <w:lang w:val="es-ES_tradnl"/>
        </w:rPr>
        <w:footnoteReference w:id="7"/>
      </w:r>
      <w:r w:rsidRPr="00642EA6">
        <w:rPr>
          <w:rFonts w:ascii="Verdana" w:eastAsia="Calibri" w:hAnsi="Verdana" w:cs="Arial"/>
          <w:color w:val="000000"/>
          <w:lang w:val="es-ES_tradnl"/>
        </w:rPr>
        <w:t>, deben publicar la información relativa a su contratación. Esta obligación fue desarrollada por el Decreto Único Reglamentario 1082 de 2015</w:t>
      </w:r>
      <w:r w:rsidRPr="00642EA6">
        <w:rPr>
          <w:rFonts w:ascii="Aptos" w:eastAsia="Aptos" w:hAnsi="Aptos" w:cs="Times New Roman"/>
          <w:color w:val="000000"/>
          <w:vertAlign w:val="superscript"/>
          <w:lang w:val="es-ES_tradnl"/>
        </w:rPr>
        <w:footnoteReference w:id="8"/>
      </w:r>
      <w:r w:rsidRPr="00642EA6">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5D343F5F" w14:textId="77777777" w:rsidR="00201BF3" w:rsidRPr="00642EA6" w:rsidRDefault="00201BF3" w:rsidP="00201BF3">
      <w:pPr>
        <w:spacing w:before="120" w:after="0" w:line="276" w:lineRule="auto"/>
        <w:ind w:firstLine="708"/>
        <w:contextualSpacing/>
        <w:jc w:val="both"/>
        <w:rPr>
          <w:rFonts w:ascii="Verdana" w:eastAsia="Times New Roman" w:hAnsi="Verdana" w:cs="Arial"/>
          <w:color w:val="000000"/>
          <w:szCs w:val="24"/>
          <w:lang w:val="es-ES_tradnl" w:eastAsia="es-ES_tradnl"/>
        </w:rPr>
      </w:pPr>
      <w:r w:rsidRPr="00642EA6">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642EA6">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642EA6">
        <w:rPr>
          <w:rFonts w:ascii="Aptos" w:eastAsia="Calibri" w:hAnsi="Aptos" w:cs="Times New Roman"/>
          <w:vertAlign w:val="superscript"/>
          <w:lang w:val="es-ES_tradnl" w:eastAsia="es-ES_tradnl"/>
        </w:rPr>
        <w:footnoteReference w:id="9"/>
      </w:r>
      <w:r w:rsidRPr="00642EA6">
        <w:rPr>
          <w:rFonts w:ascii="Verdana" w:eastAsia="Calibri" w:hAnsi="Verdana" w:cs="Arial"/>
          <w:color w:val="000000"/>
          <w:szCs w:val="24"/>
          <w:lang w:val="es-ES_tradnl" w:eastAsia="es-ES_tradnl"/>
        </w:rPr>
        <w:t>.</w:t>
      </w:r>
    </w:p>
    <w:p w14:paraId="387010CE" w14:textId="77777777" w:rsidR="00201BF3" w:rsidRPr="00642EA6" w:rsidRDefault="00201BF3" w:rsidP="00201BF3">
      <w:pPr>
        <w:ind w:left="720"/>
        <w:contextualSpacing/>
        <w:rPr>
          <w:rFonts w:ascii="Verdana" w:eastAsia="Times New Roman" w:hAnsi="Verdana" w:cs="Arial"/>
          <w:color w:val="000000"/>
          <w:szCs w:val="24"/>
          <w:lang w:val="es-ES_tradnl" w:eastAsia="es-ES_tradnl"/>
        </w:rPr>
      </w:pPr>
    </w:p>
    <w:p w14:paraId="3E417AE3" w14:textId="77777777" w:rsidR="00201BF3" w:rsidRPr="00642EA6" w:rsidRDefault="00201BF3" w:rsidP="00201BF3">
      <w:pPr>
        <w:tabs>
          <w:tab w:val="left" w:pos="709"/>
        </w:tabs>
        <w:spacing w:before="120" w:after="120" w:line="276" w:lineRule="auto"/>
        <w:jc w:val="both"/>
        <w:rPr>
          <w:rFonts w:ascii="Verdana" w:eastAsia="Calibri" w:hAnsi="Verdana" w:cs="Arial"/>
          <w:shd w:val="clear" w:color="auto" w:fill="FFFFFF"/>
        </w:rPr>
      </w:pPr>
      <w:r>
        <w:rPr>
          <w:rFonts w:ascii="Verdana" w:eastAsia="Calibri" w:hAnsi="Verdana" w:cs="Arial"/>
          <w:shd w:val="clear" w:color="auto" w:fill="FFFFFF"/>
        </w:rPr>
        <w:tab/>
      </w:r>
      <w:r w:rsidRPr="00642EA6">
        <w:rPr>
          <w:rFonts w:ascii="Verdana" w:eastAsia="Calibri"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 Sin embargo, en lo referente a las Entidades exceptuadas del EGCAP, es decir aquellas que se rigen por disposiciones especiales y el derecho privado, debe señalarse que en virtud de lo dispuesto en el artículo 53 de la Ley 2195 de 2022</w:t>
      </w:r>
      <w:r w:rsidRPr="00642EA6">
        <w:rPr>
          <w:rFonts w:ascii="Aptos" w:eastAsia="Aptos" w:hAnsi="Aptos" w:cs="Times New Roman"/>
          <w:shd w:val="clear" w:color="auto" w:fill="FFFFFF"/>
          <w:vertAlign w:val="superscript"/>
        </w:rPr>
        <w:footnoteReference w:id="10"/>
      </w:r>
      <w:r w:rsidRPr="00642EA6">
        <w:rPr>
          <w:rFonts w:ascii="Verdana" w:eastAsia="Calibri" w:hAnsi="Verdana" w:cs="Arial"/>
          <w:shd w:val="clear" w:color="auto" w:fill="FFFFFF"/>
        </w:rPr>
        <w:t>, mediante el cual se adiciona el artículo 13 a la Ley 1150 de 2007, asigna a dichas entidades la obligación de publicar los documentos relacionados con su actividad contractual en el SECOP II o la plataforma transaccional que haga sus veces.</w:t>
      </w:r>
    </w:p>
    <w:p w14:paraId="71143E50" w14:textId="77777777" w:rsidR="00201BF3" w:rsidRPr="00642EA6" w:rsidRDefault="00201BF3" w:rsidP="00201BF3">
      <w:pPr>
        <w:spacing w:after="120" w:line="276" w:lineRule="auto"/>
        <w:ind w:firstLine="709"/>
        <w:jc w:val="both"/>
        <w:rPr>
          <w:rFonts w:ascii="Verdana" w:eastAsia="Calibri" w:hAnsi="Verdana" w:cs="Arial"/>
          <w:bCs/>
          <w:lang w:val="es-MX"/>
        </w:rPr>
      </w:pPr>
      <w:r w:rsidRPr="00642EA6">
        <w:rPr>
          <w:rFonts w:ascii="Verdana" w:eastAsia="Calibri" w:hAnsi="Verdana" w:cs="Arial"/>
          <w:bCs/>
          <w:lang w:val="es-MX"/>
        </w:rPr>
        <w:t>En ese orden, y atendiendo al objeto de la consulta, debe analizarse el alcance de esta obligación para determinar si esta aplica a toda la actividad contractual desarrollada por este tipo de entidades. De esta forma, se tiene que e</w:t>
      </w:r>
      <w:r w:rsidRPr="00642EA6">
        <w:rPr>
          <w:rFonts w:ascii="Verdana" w:eastAsia="Calibri" w:hAnsi="Verdana" w:cs="Arial"/>
          <w:lang w:val="es-ES_tradnl" w:eastAsia="es-ES_tradnl"/>
        </w:rPr>
        <w:t>l artículo 53 de la Ley 2195 de 2022 dispone que las entidades con regímenes especiales “deberán publicar los documentos relacionados con su actividad contractual en el Sistema Electrónico para la Contratación Pública (SECOP II) o la plataforma transaccional que haga sus veces”. Como puede observarse, la disposición objeto de estudio no señala de forma expresa si el deber de las entidades exceptuadas de publicar todos los documentos relacionados con su actividad contractual aplica para todos los contratos que se celebren o si, por el contrario, esta obligación sólo se impone respecto de aquellos contratos cuya fuente de financiación proviene de recursos públicos.</w:t>
      </w:r>
    </w:p>
    <w:p w14:paraId="30A779D3" w14:textId="77777777" w:rsidR="00201BF3" w:rsidRPr="00642EA6" w:rsidRDefault="00201BF3" w:rsidP="00201BF3">
      <w:pPr>
        <w:ind w:left="720"/>
        <w:contextualSpacing/>
        <w:rPr>
          <w:rFonts w:ascii="Verdana" w:eastAsia="Calibri" w:hAnsi="Verdana" w:cs="Arial"/>
          <w:lang w:val="es-ES_tradnl" w:eastAsia="es-ES_tradnl"/>
        </w:rPr>
      </w:pPr>
    </w:p>
    <w:p w14:paraId="23F969BF" w14:textId="77777777" w:rsidR="00201BF3" w:rsidRPr="00642EA6" w:rsidRDefault="00201BF3" w:rsidP="00201BF3">
      <w:pPr>
        <w:tabs>
          <w:tab w:val="left" w:pos="0"/>
        </w:tabs>
        <w:spacing w:before="120" w:after="120" w:line="276" w:lineRule="auto"/>
        <w:jc w:val="both"/>
        <w:rPr>
          <w:rFonts w:ascii="Verdana" w:eastAsia="Calibri" w:hAnsi="Verdana" w:cs="Arial"/>
          <w:lang w:val="es-ES_tradnl" w:eastAsia="es-ES_tradnl"/>
        </w:rPr>
      </w:pPr>
      <w:r>
        <w:rPr>
          <w:rFonts w:ascii="Verdana" w:eastAsia="Calibri" w:hAnsi="Verdana" w:cs="Arial"/>
          <w:lang w:val="es-ES_tradnl" w:eastAsia="es-ES_tradnl"/>
        </w:rPr>
        <w:lastRenderedPageBreak/>
        <w:tab/>
      </w:r>
      <w:r w:rsidRPr="00642EA6">
        <w:rPr>
          <w:rFonts w:ascii="Verdana" w:eastAsia="Calibri" w:hAnsi="Verdana" w:cs="Arial"/>
          <w:lang w:val="es-ES_tradnl" w:eastAsia="es-ES_tradnl"/>
        </w:rPr>
        <w:t xml:space="preserve">De la lectura del artículo antes citado se pueden extraer al menos dos (2) posturas contrapuestas relacionadas con la interpretación que se realice de la norma. En primer lugar, una interpretación </w:t>
      </w:r>
      <w:r w:rsidRPr="00642EA6">
        <w:rPr>
          <w:rFonts w:ascii="Verdana" w:eastAsia="Calibri" w:hAnsi="Verdana" w:cs="Arial"/>
          <w:i/>
          <w:iCs/>
          <w:lang w:val="es-ES_tradnl" w:eastAsia="es-ES_tradnl"/>
        </w:rPr>
        <w:t xml:space="preserve">exegética </w:t>
      </w:r>
      <w:r w:rsidRPr="00642EA6">
        <w:rPr>
          <w:rFonts w:ascii="Verdana" w:eastAsia="Calibri" w:hAnsi="Verdana" w:cs="Arial"/>
          <w:lang w:val="es-ES_tradnl" w:eastAsia="es-ES_tradnl"/>
        </w:rPr>
        <w:t xml:space="preserve">de la disposición plantearía que, dado que el artículo 53 no señala que la obligación de publicar en el SECOP II recae solamente sobre la contratación que se realice con dineros públicos, se entiende que esta aplica para toda la actividad contractual que ejecute la entidad, indistintamente del origen de los recursos. En segundo lugar, una interpretación </w:t>
      </w:r>
      <w:r w:rsidRPr="00642EA6">
        <w:rPr>
          <w:rFonts w:ascii="Verdana" w:eastAsia="Calibri" w:hAnsi="Verdana" w:cs="Arial"/>
          <w:i/>
          <w:iCs/>
          <w:lang w:val="es-ES_tradnl" w:eastAsia="es-ES_tradnl"/>
        </w:rPr>
        <w:t xml:space="preserve">sistemática </w:t>
      </w:r>
      <w:r w:rsidRPr="00642EA6">
        <w:rPr>
          <w:rFonts w:ascii="Verdana" w:eastAsia="Calibri" w:hAnsi="Verdana" w:cs="Arial"/>
          <w:lang w:val="es-ES_tradnl" w:eastAsia="es-ES_tradnl"/>
        </w:rPr>
        <w:t xml:space="preserve">de la norma concluiría que el artículo 53, al modificar una disposición de la Ley 1150 de 2007, debe armonizarse con todo el cuerpo normativo consagrado en dicha ley y, dado que este se refiere a la contratación que se realiza con </w:t>
      </w:r>
      <w:r w:rsidRPr="00642EA6">
        <w:rPr>
          <w:rFonts w:ascii="Verdana" w:eastAsia="Calibri" w:hAnsi="Verdana" w:cs="Arial"/>
          <w:i/>
          <w:iCs/>
          <w:lang w:val="es-ES_tradnl" w:eastAsia="es-ES_tradnl"/>
        </w:rPr>
        <w:t xml:space="preserve">dineros públicos, </w:t>
      </w:r>
      <w:r w:rsidRPr="00642EA6">
        <w:rPr>
          <w:rFonts w:ascii="Verdana" w:eastAsia="Calibri" w:hAnsi="Verdana" w:cs="Arial"/>
          <w:lang w:val="es-ES_tradnl" w:eastAsia="es-ES_tradnl"/>
        </w:rPr>
        <w:t>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II sólo la información relacionada con al activad contractual efectuada con recursos públicos.</w:t>
      </w:r>
    </w:p>
    <w:p w14:paraId="325A92EA" w14:textId="77777777" w:rsidR="00201BF3" w:rsidRPr="00642EA6" w:rsidRDefault="00201BF3" w:rsidP="00201BF3">
      <w:pPr>
        <w:spacing w:before="120" w:after="120" w:line="276" w:lineRule="auto"/>
        <w:ind w:firstLine="709"/>
        <w:jc w:val="both"/>
        <w:rPr>
          <w:rFonts w:ascii="Verdana" w:eastAsia="Calibri" w:hAnsi="Verdana" w:cs="Arial"/>
          <w:lang w:val="es-ES" w:eastAsia="es-ES"/>
        </w:rPr>
      </w:pPr>
      <w:r w:rsidRPr="4E3C208C">
        <w:rPr>
          <w:rFonts w:ascii="Verdana" w:eastAsia="Calibri" w:hAnsi="Verdana" w:cs="Arial"/>
          <w:lang w:val="es-ES" w:eastAsia="es-ES"/>
        </w:rPr>
        <w:t xml:space="preserve">Esta Agencia considera que, la obligación de publicar en el SECOP II todos los documentos relacionados con la actividad contractual de las entidades con regímenes especiales contenida en el artículo 53 de la Ley 2195 de 2022 debe interpretarse de forma sistemática con los preceptos que existen sobre la materia, como, entre otros, los siguientes enunciados normativos: i) los artículos 74 y 209 de la Constitución, </w:t>
      </w:r>
      <w:proofErr w:type="spellStart"/>
      <w:r w:rsidRPr="4E3C208C">
        <w:rPr>
          <w:rFonts w:ascii="Verdana" w:eastAsia="Calibri" w:hAnsi="Verdana" w:cs="Arial"/>
          <w:lang w:val="es-ES" w:eastAsia="es-ES"/>
        </w:rPr>
        <w:t>ii</w:t>
      </w:r>
      <w:proofErr w:type="spellEnd"/>
      <w:r w:rsidRPr="4E3C208C">
        <w:rPr>
          <w:rFonts w:ascii="Verdana" w:eastAsia="Calibri" w:hAnsi="Verdana" w:cs="Arial"/>
          <w:lang w:val="es-ES" w:eastAsia="es-ES"/>
        </w:rPr>
        <w:t xml:space="preserve">) el artículo 3, literal c) de la Ley 1150 de 2007, </w:t>
      </w:r>
      <w:proofErr w:type="spellStart"/>
      <w:r w:rsidRPr="4E3C208C">
        <w:rPr>
          <w:rFonts w:ascii="Verdana" w:eastAsia="Calibri" w:hAnsi="Verdana" w:cs="Arial"/>
          <w:lang w:val="es-ES" w:eastAsia="es-ES"/>
        </w:rPr>
        <w:t>iii</w:t>
      </w:r>
      <w:proofErr w:type="spellEnd"/>
      <w:r w:rsidRPr="4E3C208C">
        <w:rPr>
          <w:rFonts w:ascii="Verdana" w:eastAsia="Calibri" w:hAnsi="Verdana" w:cs="Arial"/>
          <w:lang w:val="es-ES" w:eastAsia="es-ES"/>
        </w:rPr>
        <w:t xml:space="preserve">) los artículos 3, 9, literal e) y 11, literal g), de la Ley 1712 de 2014, y </w:t>
      </w:r>
      <w:proofErr w:type="spellStart"/>
      <w:r w:rsidRPr="4E3C208C">
        <w:rPr>
          <w:rFonts w:ascii="Verdana" w:eastAsia="Calibri" w:hAnsi="Verdana" w:cs="Arial"/>
          <w:lang w:val="es-ES" w:eastAsia="es-ES"/>
        </w:rPr>
        <w:t>iv</w:t>
      </w:r>
      <w:proofErr w:type="spellEnd"/>
      <w:r w:rsidRPr="4E3C208C">
        <w:rPr>
          <w:rFonts w:ascii="Verdana" w:eastAsia="Calibri" w:hAnsi="Verdana" w:cs="Arial"/>
          <w:lang w:val="es-ES" w:eastAsia="es-ES"/>
        </w:rPr>
        <w:t>) los artículos 7 al 10 del Decreto 103 de 2015 –compilado en los artículos 2.1.1.1.1. al 2.1.1.6.1. del Decreto 1081 de 2015–.</w:t>
      </w:r>
    </w:p>
    <w:p w14:paraId="57C2DC45" w14:textId="77777777" w:rsidR="00201BF3" w:rsidRPr="00642EA6" w:rsidRDefault="00201BF3" w:rsidP="00201BF3">
      <w:pPr>
        <w:spacing w:before="120" w:after="120" w:line="276" w:lineRule="auto"/>
        <w:ind w:firstLine="708"/>
        <w:contextualSpacing/>
        <w:jc w:val="both"/>
        <w:rPr>
          <w:rFonts w:ascii="Verdana" w:eastAsia="Calibri" w:hAnsi="Verdana" w:cs="Arial"/>
          <w:shd w:val="clear" w:color="auto" w:fill="FFFFFF"/>
          <w:lang w:val="es-ES"/>
        </w:rPr>
      </w:pPr>
      <w:r w:rsidRPr="00642EA6">
        <w:rPr>
          <w:rFonts w:ascii="Verdana" w:eastAsia="Calibri" w:hAnsi="Verdana" w:cs="Arial"/>
          <w:noProof/>
          <w:lang w:val="es-ES_tradnl"/>
        </w:rPr>
        <w:t xml:space="preserve">Así las cosas, dado que el artículo 53 de la Ley 2195 de 2022 complementó las disposiciones ya establecidas en la Ley 1150 de 2007, la lectura que se haga de dicho artículo debe efectuarse de forma </w:t>
      </w:r>
      <w:r w:rsidRPr="00642EA6">
        <w:rPr>
          <w:rFonts w:ascii="Verdana" w:eastAsia="Calibri" w:hAnsi="Verdana" w:cs="Arial"/>
          <w:i/>
          <w:iCs/>
          <w:noProof/>
          <w:lang w:val="es-ES_tradnl"/>
        </w:rPr>
        <w:t xml:space="preserve">sistemática. </w:t>
      </w:r>
      <w:r w:rsidRPr="00642EA6">
        <w:rPr>
          <w:rFonts w:ascii="Verdana" w:eastAsia="Calibri" w:hAnsi="Verdana" w:cs="Arial"/>
          <w:noProof/>
          <w:lang w:val="es-ES_tradnl"/>
        </w:rPr>
        <w:t xml:space="preserve">En ese sentido, debe señalarse que la </w:t>
      </w:r>
      <w:r w:rsidRPr="00642EA6">
        <w:rPr>
          <w:rFonts w:ascii="Verdana" w:eastAsia="Calibri" w:hAnsi="Verdana" w:cs="Arial"/>
          <w:lang w:val="es-ES_tradnl" w:eastAsia="es-CO"/>
        </w:rPr>
        <w:t xml:space="preserve">contratación con cargo a recursos públicos es un concepto al que alude expresamente la Ley 1150 de 2007, incluso desde el mismo título, pues este indica que dicha ley es </w:t>
      </w:r>
      <w:r w:rsidRPr="00642EA6">
        <w:rPr>
          <w:rFonts w:ascii="Verdana" w:eastAsia="Calibri" w:hAnsi="Verdana" w:cs="Arial"/>
          <w:lang w:val="es-ES_tradnl"/>
        </w:rPr>
        <w:t>“</w:t>
      </w:r>
      <w:r w:rsidRPr="00642EA6">
        <w:rPr>
          <w:rFonts w:ascii="Verdana" w:eastAsia="Calibri" w:hAnsi="Verdana" w:cs="Arial"/>
        </w:rPr>
        <w:t>Por medio de la cual se introducen medidas para la eficiencia y la transparencia en la Ley </w:t>
      </w:r>
      <w:hyperlink r:id="rId12" w:anchor="1" w:history="1">
        <w:r w:rsidRPr="00642EA6">
          <w:rPr>
            <w:rFonts w:ascii="Verdana" w:eastAsia="Calibri" w:hAnsi="Verdana" w:cs="Arial"/>
          </w:rPr>
          <w:t>80</w:t>
        </w:r>
      </w:hyperlink>
      <w:r w:rsidRPr="00642EA6">
        <w:rPr>
          <w:rFonts w:ascii="Verdana" w:eastAsia="Calibri" w:hAnsi="Verdana" w:cs="Arial"/>
        </w:rPr>
        <w:t> de 1993 y se dictan otras disposiciones generales sobre la contratación con Recursos Públicos</w:t>
      </w:r>
      <w:r w:rsidRPr="00642EA6">
        <w:rPr>
          <w:rFonts w:ascii="Verdana" w:eastAsia="Calibri" w:hAnsi="Verdana" w:cs="Arial"/>
          <w:lang w:val="es-ES_tradnl"/>
        </w:rPr>
        <w:t>”</w:t>
      </w:r>
      <w:r w:rsidRPr="00642EA6">
        <w:rPr>
          <w:rFonts w:ascii="Verdana" w:eastAsia="Calibri" w:hAnsi="Verdana" w:cs="Arial"/>
        </w:rPr>
        <w:t>.</w:t>
      </w:r>
      <w:r w:rsidRPr="00642EA6">
        <w:rPr>
          <w:rFonts w:ascii="Verdana" w:eastAsia="Calibri" w:hAnsi="Verdana" w:cs="Arial"/>
          <w:lang w:val="es-ES_tradnl" w:eastAsia="es-CO"/>
        </w:rPr>
        <w:t xml:space="preserve"> Asimismo, la terminología contratación con cargo recursos públicos</w:t>
      </w:r>
      <w:r w:rsidRPr="00642EA6">
        <w:rPr>
          <w:rFonts w:ascii="Verdana" w:eastAsia="Calibri" w:hAnsi="Verdana" w:cs="Arial"/>
          <w:i/>
          <w:iCs/>
          <w:lang w:val="es-ES_tradnl" w:eastAsia="es-CO"/>
        </w:rPr>
        <w:t xml:space="preserve"> </w:t>
      </w:r>
      <w:r w:rsidRPr="00642EA6">
        <w:rPr>
          <w:rFonts w:ascii="Verdana" w:eastAsia="Calibri" w:hAnsi="Verdana" w:cs="Arial"/>
          <w:lang w:val="es-ES_tradnl" w:eastAsia="es-CO"/>
        </w:rPr>
        <w:t>se encuentra en el artículo primero, al definir el ámbito de aplicación de sus disposiciones</w:t>
      </w:r>
      <w:r w:rsidRPr="00642EA6">
        <w:rPr>
          <w:rFonts w:ascii="Aptos" w:eastAsia="Aptos" w:hAnsi="Aptos" w:cs="Times New Roman"/>
          <w:vertAlign w:val="superscript"/>
          <w:lang w:val="es-ES_tradnl" w:eastAsia="es-CO"/>
        </w:rPr>
        <w:footnoteReference w:id="11"/>
      </w:r>
      <w:r w:rsidRPr="00642EA6">
        <w:rPr>
          <w:rFonts w:ascii="Verdana" w:eastAsia="Calibri" w:hAnsi="Verdana" w:cs="Arial"/>
          <w:lang w:val="es-ES_tradnl" w:eastAsia="es-CO"/>
        </w:rPr>
        <w:t xml:space="preserve"> y en el </w:t>
      </w:r>
      <w:r w:rsidRPr="00642EA6">
        <w:rPr>
          <w:rFonts w:ascii="Verdana" w:eastAsia="Calibri" w:hAnsi="Verdana" w:cs="Arial"/>
          <w:lang w:val="es-ES_tradnl" w:eastAsia="es-CO"/>
        </w:rPr>
        <w:lastRenderedPageBreak/>
        <w:t xml:space="preserve">literal c) del artículo 3 –del que surge el deber de publicar en el SECOP–, que expresamente </w:t>
      </w:r>
      <w:r w:rsidRPr="00642EA6">
        <w:rPr>
          <w:rFonts w:ascii="Verdana" w:eastAsia="Calibri" w:hAnsi="Verdana" w:cs="Arial"/>
          <w:shd w:val="clear" w:color="auto" w:fill="FFFFFF"/>
          <w:lang w:val="es-ES"/>
        </w:rPr>
        <w:t xml:space="preserve">establece que ese aparte del artículo se aplica a la “contratación realizada con dineros públicos”. </w:t>
      </w:r>
      <w:r w:rsidRPr="00642EA6">
        <w:rPr>
          <w:rFonts w:ascii="Verdana" w:eastAsia="Calibri" w:hAnsi="Verdana"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p w14:paraId="4A818117" w14:textId="77777777" w:rsidR="00F57F3F" w:rsidRDefault="00F57F3F" w:rsidP="00201BF3">
      <w:pPr>
        <w:spacing w:after="0" w:line="276" w:lineRule="auto"/>
        <w:ind w:firstLine="708"/>
        <w:contextualSpacing/>
        <w:jc w:val="both"/>
        <w:rPr>
          <w:rFonts w:ascii="Verdana" w:eastAsia="Calibri" w:hAnsi="Verdana" w:cs="Arial"/>
          <w:lang w:val="es-ES_tradnl" w:eastAsia="es-CO"/>
        </w:rPr>
      </w:pPr>
    </w:p>
    <w:p w14:paraId="698924EC" w14:textId="587CE59C" w:rsidR="00201BF3" w:rsidRPr="00642EA6" w:rsidRDefault="00201BF3" w:rsidP="00201BF3">
      <w:pPr>
        <w:spacing w:after="0" w:line="276" w:lineRule="auto"/>
        <w:ind w:firstLine="708"/>
        <w:contextualSpacing/>
        <w:jc w:val="both"/>
        <w:rPr>
          <w:rFonts w:ascii="Verdana" w:eastAsia="Calibri" w:hAnsi="Verdana" w:cs="Arial"/>
        </w:rPr>
      </w:pPr>
      <w:r w:rsidRPr="00642EA6">
        <w:rPr>
          <w:rFonts w:ascii="Verdana" w:eastAsia="Calibri" w:hAnsi="Verdana" w:cs="Arial"/>
          <w:lang w:val="es-ES_tradnl" w:eastAsia="es-CO"/>
        </w:rPr>
        <w:t xml:space="preserve">Por otro lado, </w:t>
      </w:r>
      <w:r w:rsidRPr="00642EA6">
        <w:rPr>
          <w:rFonts w:ascii="Verdana" w:eastAsia="Calibri" w:hAnsi="Verdana" w:cs="Arial"/>
        </w:rPr>
        <w:t xml:space="preserve">el Decreto 103 de 2015, mediante el cual se reglamentó la Ley 1712 de 2014, y que fue compilado </w:t>
      </w:r>
      <w:r w:rsidRPr="00642EA6">
        <w:rPr>
          <w:rFonts w:ascii="Verdana" w:eastAsia="Calibri" w:hAnsi="Verdana" w:cs="Arial"/>
          <w:shd w:val="clear" w:color="auto" w:fill="FFFFFF"/>
        </w:rPr>
        <w:t xml:space="preserve">en los artículos 2.1.1.1.1. al 2.1.1.6.1. del Decreto 1081 de 2015–.  </w:t>
      </w:r>
      <w:r w:rsidRPr="00642EA6">
        <w:rPr>
          <w:rFonts w:ascii="Verdana" w:eastAsia="Calibri" w:hAnsi="Verdana" w:cs="Arial"/>
        </w:rPr>
        <w:t>señala:</w:t>
      </w:r>
    </w:p>
    <w:p w14:paraId="4D5A541D" w14:textId="77777777" w:rsidR="00201BF3" w:rsidRPr="00642EA6" w:rsidRDefault="00201BF3" w:rsidP="00201BF3">
      <w:pPr>
        <w:spacing w:after="0" w:line="276" w:lineRule="auto"/>
        <w:ind w:firstLine="784"/>
        <w:contextualSpacing/>
        <w:jc w:val="both"/>
        <w:rPr>
          <w:rFonts w:ascii="Verdana" w:eastAsia="Calibri" w:hAnsi="Verdana" w:cs="Arial"/>
        </w:rPr>
      </w:pPr>
    </w:p>
    <w:p w14:paraId="1D59C955" w14:textId="77777777" w:rsidR="00201BF3" w:rsidRPr="00642EA6" w:rsidRDefault="00201BF3" w:rsidP="00201BF3">
      <w:pPr>
        <w:spacing w:after="0" w:line="240" w:lineRule="auto"/>
        <w:ind w:left="709" w:right="709"/>
        <w:jc w:val="both"/>
        <w:rPr>
          <w:rFonts w:ascii="Verdana" w:eastAsia="Times New Roman" w:hAnsi="Verdana" w:cs="Arial"/>
          <w:sz w:val="21"/>
          <w:szCs w:val="21"/>
          <w:lang w:eastAsia="es-CO"/>
        </w:rPr>
      </w:pPr>
      <w:r w:rsidRPr="00642EA6">
        <w:rPr>
          <w:rFonts w:ascii="Verdana" w:eastAsia="Times New Roman" w:hAnsi="Verdana" w:cs="Arial"/>
          <w:sz w:val="21"/>
          <w:szCs w:val="21"/>
          <w:lang w:eastAsia="es-CO"/>
        </w:rPr>
        <w:t>“Artículo 7°.</w:t>
      </w:r>
      <w:r w:rsidRPr="00642EA6">
        <w:rPr>
          <w:rFonts w:ascii="Verdana" w:eastAsia="Times New Roman" w:hAnsi="Verdana" w:cs="Arial"/>
          <w:i/>
          <w:iCs/>
          <w:sz w:val="21"/>
          <w:szCs w:val="21"/>
          <w:lang w:eastAsia="es-CO"/>
        </w:rPr>
        <w:t xml:space="preserve"> Publicación de la información contractual. </w:t>
      </w:r>
      <w:r w:rsidRPr="00642EA6">
        <w:rPr>
          <w:rFonts w:ascii="Verdana" w:eastAsia="Times New Roman" w:hAnsi="Verdana" w:cs="Arial"/>
          <w:sz w:val="21"/>
          <w:szCs w:val="21"/>
          <w:lang w:eastAsia="es-CO"/>
        </w:rPr>
        <w:t xml:space="preserve">De conformidad con el literal (c) del artículo 3° de la Ley 1150 de 2007, el sistema de información del Estado en el cual los sujetos obligados que contratan </w:t>
      </w:r>
      <w:r w:rsidRPr="00642EA6">
        <w:rPr>
          <w:rFonts w:ascii="Verdana" w:eastAsia="Times New Roman" w:hAnsi="Verdana" w:cs="Arial"/>
          <w:i/>
          <w:iCs/>
          <w:sz w:val="21"/>
          <w:szCs w:val="21"/>
          <w:lang w:eastAsia="es-CO"/>
        </w:rPr>
        <w:t>con cargo a recursos públicos</w:t>
      </w:r>
      <w:r w:rsidRPr="00642EA6">
        <w:rPr>
          <w:rFonts w:ascii="Verdana" w:eastAsia="Times New Roman" w:hAnsi="Verdana" w:cs="Arial"/>
          <w:sz w:val="21"/>
          <w:szCs w:val="21"/>
          <w:lang w:eastAsia="es-CO"/>
        </w:rPr>
        <w:t xml:space="preserve"> deben cumplir la obligación de publicar la información de su gestión contractual es el Sistema Electrónico para la Contratación Pública (</w:t>
      </w:r>
      <w:proofErr w:type="spellStart"/>
      <w:r w:rsidRPr="00642EA6">
        <w:rPr>
          <w:rFonts w:ascii="Verdana" w:eastAsia="Times New Roman" w:hAnsi="Verdana" w:cs="Arial"/>
          <w:sz w:val="21"/>
          <w:szCs w:val="21"/>
          <w:lang w:eastAsia="es-CO"/>
        </w:rPr>
        <w:t>Secop</w:t>
      </w:r>
      <w:proofErr w:type="spellEnd"/>
      <w:r w:rsidRPr="00642EA6">
        <w:rPr>
          <w:rFonts w:ascii="Verdana" w:eastAsia="Times New Roman" w:hAnsi="Verdana" w:cs="Arial"/>
          <w:sz w:val="21"/>
          <w:szCs w:val="21"/>
          <w:lang w:eastAsia="es-CO"/>
        </w:rPr>
        <w:t>). </w:t>
      </w:r>
    </w:p>
    <w:p w14:paraId="188D91D5" w14:textId="77777777" w:rsidR="00201BF3" w:rsidRPr="00642EA6" w:rsidRDefault="00201BF3" w:rsidP="00201BF3">
      <w:pPr>
        <w:spacing w:before="120" w:after="0" w:line="240" w:lineRule="auto"/>
        <w:ind w:left="709" w:right="709"/>
        <w:jc w:val="both"/>
        <w:rPr>
          <w:rFonts w:ascii="Verdana" w:eastAsia="Times New Roman" w:hAnsi="Verdana" w:cs="Arial"/>
          <w:sz w:val="21"/>
          <w:szCs w:val="21"/>
          <w:lang w:eastAsia="es-CO"/>
        </w:rPr>
      </w:pPr>
      <w:r w:rsidRPr="00642EA6">
        <w:rPr>
          <w:rFonts w:ascii="Verdana" w:eastAsia="Times New Roman" w:hAnsi="Verdana" w:cs="Arial"/>
          <w:sz w:val="21"/>
          <w:szCs w:val="21"/>
          <w:lang w:eastAsia="es-CO"/>
        </w:rPr>
        <w:t xml:space="preserve">Los sujetos obligados que contratan </w:t>
      </w:r>
      <w:r w:rsidRPr="00642EA6">
        <w:rPr>
          <w:rFonts w:ascii="Verdana" w:eastAsia="Times New Roman" w:hAnsi="Verdana" w:cs="Arial"/>
          <w:i/>
          <w:iCs/>
          <w:sz w:val="21"/>
          <w:szCs w:val="21"/>
          <w:lang w:eastAsia="es-CO"/>
        </w:rPr>
        <w:t>con cargo a recursos públicos</w:t>
      </w:r>
      <w:r w:rsidRPr="00642EA6">
        <w:rPr>
          <w:rFonts w:ascii="Verdana" w:eastAsia="Times New Roman" w:hAnsi="Verdana" w:cs="Arial"/>
          <w:sz w:val="21"/>
          <w:szCs w:val="21"/>
          <w:lang w:eastAsia="es-CO"/>
        </w:rPr>
        <w:t xml:space="preserve"> deben publicar la información de su gestión contractual en el plazo previsto en el artículo 19 del Decreto 1510 de 2013, o el que lo modifique, sustituya o adicione. </w:t>
      </w:r>
    </w:p>
    <w:p w14:paraId="0A204497" w14:textId="77777777" w:rsidR="00201BF3" w:rsidRPr="00642EA6" w:rsidRDefault="00201BF3" w:rsidP="00201BF3">
      <w:pPr>
        <w:spacing w:before="120" w:after="0" w:line="240" w:lineRule="auto"/>
        <w:ind w:left="709" w:right="709"/>
        <w:jc w:val="both"/>
        <w:rPr>
          <w:rFonts w:ascii="Verdana" w:eastAsia="Times New Roman" w:hAnsi="Verdana" w:cs="Arial"/>
          <w:sz w:val="21"/>
          <w:szCs w:val="21"/>
          <w:lang w:eastAsia="es-CO"/>
        </w:rPr>
      </w:pPr>
      <w:r w:rsidRPr="00642EA6">
        <w:rPr>
          <w:rFonts w:ascii="Verdana" w:eastAsia="Times New Roman" w:hAnsi="Verdana" w:cs="Arial"/>
          <w:sz w:val="21"/>
          <w:szCs w:val="21"/>
          <w:lang w:eastAsia="es-CO"/>
        </w:rPr>
        <w:t>Los sujetos obligados que contratan con recursos públicos y recursos privados, deben publicar la información de su gestión contractual con cargo a recursos públicos en el Sistema Electrónico para la Contratación Pública (</w:t>
      </w:r>
      <w:proofErr w:type="spellStart"/>
      <w:r w:rsidRPr="00642EA6">
        <w:rPr>
          <w:rFonts w:ascii="Verdana" w:eastAsia="Times New Roman" w:hAnsi="Verdana" w:cs="Arial"/>
          <w:sz w:val="21"/>
          <w:szCs w:val="21"/>
          <w:lang w:eastAsia="es-CO"/>
        </w:rPr>
        <w:t>Secop</w:t>
      </w:r>
      <w:proofErr w:type="spellEnd"/>
      <w:r w:rsidRPr="00642EA6">
        <w:rPr>
          <w:rFonts w:ascii="Verdana" w:eastAsia="Times New Roman" w:hAnsi="Verdana" w:cs="Arial"/>
          <w:sz w:val="21"/>
          <w:szCs w:val="21"/>
          <w:lang w:eastAsia="es-CO"/>
        </w:rPr>
        <w:t>)”. [Énfasis fuera del texto original]</w:t>
      </w:r>
    </w:p>
    <w:p w14:paraId="12F40EC7" w14:textId="77777777" w:rsidR="00201BF3" w:rsidRPr="00642EA6" w:rsidRDefault="00201BF3" w:rsidP="00201BF3">
      <w:pPr>
        <w:spacing w:after="0" w:line="276" w:lineRule="auto"/>
        <w:ind w:left="709" w:right="709" w:firstLine="150"/>
        <w:contextualSpacing/>
        <w:jc w:val="both"/>
        <w:rPr>
          <w:rFonts w:ascii="Verdana" w:eastAsia="Times New Roman" w:hAnsi="Verdana" w:cs="Arial"/>
          <w:lang w:eastAsia="es-CO"/>
        </w:rPr>
      </w:pPr>
    </w:p>
    <w:p w14:paraId="37E7AB6E" w14:textId="77777777" w:rsidR="00201BF3" w:rsidRPr="00642EA6" w:rsidRDefault="00201BF3" w:rsidP="00201BF3">
      <w:pPr>
        <w:spacing w:after="120" w:line="276" w:lineRule="auto"/>
        <w:ind w:firstLine="708"/>
        <w:contextualSpacing/>
        <w:jc w:val="both"/>
        <w:rPr>
          <w:rFonts w:ascii="Verdana" w:eastAsia="Calibri" w:hAnsi="Verdana" w:cs="Arial"/>
          <w:lang w:val="es-ES_tradnl" w:eastAsia="es-ES_tradnl"/>
        </w:rPr>
      </w:pPr>
      <w:bookmarkStart w:id="5" w:name="_Hlk110869205"/>
      <w:r w:rsidRPr="00642EA6">
        <w:rPr>
          <w:rFonts w:ascii="Verdana" w:eastAsia="Calibri" w:hAnsi="Verdana" w:cs="Arial"/>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de la Ley 2195 de 2022 –al ampliar la obligación de las entidades con regímenes especiales de publicar su actividad contractual en el SECOP II– se refiere a aquella actividad contractual cuya fuente de financiación provenga de recursos públicos. </w:t>
      </w:r>
    </w:p>
    <w:p w14:paraId="4DA86B35" w14:textId="77777777" w:rsidR="00201BF3" w:rsidRPr="00642EA6" w:rsidRDefault="00201BF3" w:rsidP="00201BF3">
      <w:pPr>
        <w:spacing w:after="120" w:line="276" w:lineRule="auto"/>
        <w:ind w:left="720"/>
        <w:contextualSpacing/>
        <w:jc w:val="both"/>
        <w:rPr>
          <w:rFonts w:ascii="Verdana" w:eastAsia="Calibri" w:hAnsi="Verdana" w:cs="Arial"/>
          <w:lang w:val="es-ES_tradnl" w:eastAsia="es-ES_tradnl"/>
        </w:rPr>
      </w:pPr>
    </w:p>
    <w:bookmarkEnd w:id="5"/>
    <w:p w14:paraId="5125BEB3" w14:textId="77777777" w:rsidR="00201BF3" w:rsidRPr="00642EA6" w:rsidRDefault="00201BF3" w:rsidP="00201BF3">
      <w:pPr>
        <w:spacing w:after="0" w:line="276" w:lineRule="auto"/>
        <w:ind w:firstLine="708"/>
        <w:contextualSpacing/>
        <w:jc w:val="both"/>
        <w:rPr>
          <w:rFonts w:ascii="Verdana" w:eastAsia="Calibri" w:hAnsi="Verdana" w:cs="Arial"/>
          <w:lang w:val="es-ES"/>
        </w:rPr>
      </w:pPr>
      <w:r w:rsidRPr="00642EA6">
        <w:rPr>
          <w:rFonts w:ascii="Verdana" w:eastAsia="Calibri" w:hAnsi="Verdana" w:cs="Arial"/>
          <w:shd w:val="clear" w:color="auto" w:fill="FFFFFF"/>
          <w:lang w:val="es-ES"/>
        </w:rPr>
        <w:lastRenderedPageBreak/>
        <w:t xml:space="preserve">En consonancia con la interpretación antes expuesta, </w:t>
      </w:r>
      <w:r w:rsidRPr="00642EA6">
        <w:rPr>
          <w:rFonts w:ascii="Verdana" w:eastAsia="Calibri" w:hAnsi="Verdana" w:cs="Arial"/>
          <w:lang w:val="es-ES"/>
        </w:rPr>
        <w:t>la Circular 002 del 23 de agosto de 2024</w:t>
      </w:r>
      <w:r w:rsidRPr="00642EA6">
        <w:rPr>
          <w:rFonts w:ascii="Aptos" w:eastAsia="Aptos" w:hAnsi="Aptos" w:cs="Times New Roman"/>
          <w:vertAlign w:val="superscript"/>
          <w:lang w:val="es-ES"/>
        </w:rPr>
        <w:footnoteReference w:id="12"/>
      </w:r>
      <w:r w:rsidRPr="00642EA6">
        <w:rPr>
          <w:rFonts w:ascii="Verdana" w:eastAsia="Calibri" w:hAnsi="Verdana" w:cs="Arial"/>
          <w:lang w:val="es-ES"/>
        </w:rPr>
        <w:t>, expedida por la Agencia Nacional de Contratación Pública – Colombia Compra Eficiente, a través de la cual se dictan lineamientos para la aplicación del artículo 53 de la Ley 2195 de 2022, en el literal d) –denominado “Procedencia de los recursos como punto de partida para la publicación en el SECOP II”–, señala:</w:t>
      </w:r>
    </w:p>
    <w:p w14:paraId="3011A8D4" w14:textId="77777777" w:rsidR="00201BF3" w:rsidRPr="00784503" w:rsidRDefault="00201BF3" w:rsidP="00201BF3">
      <w:pPr>
        <w:spacing w:after="0" w:line="276" w:lineRule="auto"/>
        <w:ind w:left="709" w:right="709"/>
        <w:jc w:val="both"/>
        <w:rPr>
          <w:rFonts w:ascii="Verdana" w:eastAsia="Calibri" w:hAnsi="Verdana" w:cs="Arial"/>
          <w:sz w:val="20"/>
          <w:szCs w:val="20"/>
          <w:lang w:val="es-ES_tradnl" w:eastAsia="es-ES_tradnl"/>
        </w:rPr>
      </w:pPr>
    </w:p>
    <w:p w14:paraId="308691A7" w14:textId="77777777" w:rsidR="00201BF3" w:rsidRPr="00784503" w:rsidRDefault="00201BF3" w:rsidP="00201BF3">
      <w:pPr>
        <w:spacing w:after="0" w:line="240" w:lineRule="auto"/>
        <w:ind w:left="709" w:right="709"/>
        <w:jc w:val="both"/>
        <w:rPr>
          <w:rFonts w:ascii="Verdana" w:eastAsia="Calibri" w:hAnsi="Verdana" w:cs="Arial"/>
          <w:sz w:val="20"/>
          <w:szCs w:val="20"/>
          <w:lang w:val="es-ES" w:eastAsia="es-ES"/>
        </w:rPr>
      </w:pPr>
      <w:r w:rsidRPr="00784503">
        <w:rPr>
          <w:rFonts w:ascii="Verdana" w:eastAsia="Calibri" w:hAnsi="Verdana" w:cs="Arial"/>
          <w:sz w:val="20"/>
          <w:szCs w:val="20"/>
          <w:lang w:val="es-ES" w:eastAsia="es-ES"/>
        </w:rPr>
        <w:t xml:space="preserve">“La obligación de publicar la actividad contractual siempre ha estado encaminada a que se publique aquella información relacionada con la ejecución de los dineros públicos. Por tal razón, puede concluirse, a la luz de las disposiciones que regulan la materia, que </w:t>
      </w:r>
      <w:proofErr w:type="spellStart"/>
      <w:r w:rsidRPr="00784503">
        <w:rPr>
          <w:rFonts w:ascii="Verdana" w:eastAsia="Calibri" w:hAnsi="Verdana" w:cs="Arial"/>
          <w:sz w:val="20"/>
          <w:szCs w:val="20"/>
          <w:lang w:val="es-ES" w:eastAsia="es-ES"/>
        </w:rPr>
        <w:t>e</w:t>
      </w:r>
      <w:proofErr w:type="spellEnd"/>
      <w:r w:rsidRPr="00784503">
        <w:rPr>
          <w:rFonts w:ascii="Verdana" w:eastAsia="Calibri" w:hAnsi="Verdana" w:cs="Arial"/>
          <w:sz w:val="20"/>
          <w:szCs w:val="20"/>
          <w:lang w:val="es-ES" w:eastAsia="es-ES"/>
        </w:rPr>
        <w:t xml:space="preserve"> el artículo 53 -al ampliar la obligación de las entidades con regímenes especiales de publicar su actividad contractual en el SECOP II- se refiere a aquella actividad contractual cuya fuente de financiación provenga de recursos públicos […]”</w:t>
      </w:r>
    </w:p>
    <w:p w14:paraId="358E75D5" w14:textId="77777777" w:rsidR="00201BF3" w:rsidRPr="00642EA6" w:rsidRDefault="00201BF3" w:rsidP="00201BF3">
      <w:pPr>
        <w:spacing w:after="0" w:line="276" w:lineRule="auto"/>
        <w:ind w:firstLine="709"/>
        <w:contextualSpacing/>
        <w:jc w:val="both"/>
        <w:rPr>
          <w:rFonts w:ascii="Verdana" w:eastAsia="Calibri" w:hAnsi="Verdana" w:cs="Arial"/>
          <w:lang w:val="es-ES_tradnl" w:eastAsia="es-ES_tradnl"/>
        </w:rPr>
      </w:pPr>
    </w:p>
    <w:p w14:paraId="354B2EC4" w14:textId="77777777" w:rsidR="00201BF3" w:rsidRPr="00642EA6" w:rsidRDefault="00201BF3" w:rsidP="00201BF3">
      <w:pPr>
        <w:spacing w:after="120" w:line="276" w:lineRule="auto"/>
        <w:ind w:firstLine="709"/>
        <w:jc w:val="both"/>
        <w:rPr>
          <w:rFonts w:ascii="Verdana" w:eastAsia="Calibri" w:hAnsi="Verdana" w:cs="Arial"/>
          <w:shd w:val="clear" w:color="auto" w:fill="FFFFFF"/>
        </w:rPr>
      </w:pPr>
      <w:r w:rsidRPr="00642EA6">
        <w:rPr>
          <w:rFonts w:ascii="Verdana" w:eastAsia="Calibri" w:hAnsi="Verdana" w:cs="Arial"/>
          <w:lang w:val="es-ES"/>
        </w:rPr>
        <w:t xml:space="preserve">De conformidad con lo anterior, debe entenderse que la contratación a la que se refiere el artículo 53 de la Ley 2195 de 2024, es aquella realizada con recursos públicos, cuya información es la que debe publicarse en el SECOP II, acorde con la interpretación sistemática que permite armonizar la referida norma con todo el contexto normativo que establece que en dicha plataforma se debe publicar sólo la información relativa a la actividad contractual </w:t>
      </w:r>
      <w:r>
        <w:rPr>
          <w:rFonts w:ascii="Verdana" w:eastAsia="Calibri" w:hAnsi="Verdana" w:cs="Arial"/>
          <w:lang w:val="es-ES"/>
        </w:rPr>
        <w:t>financiada</w:t>
      </w:r>
      <w:r w:rsidRPr="00642EA6">
        <w:rPr>
          <w:rFonts w:ascii="Verdana" w:eastAsia="Calibri" w:hAnsi="Verdana" w:cs="Arial"/>
          <w:lang w:val="es-ES"/>
        </w:rPr>
        <w:t xml:space="preserve"> dineros públicos. </w:t>
      </w:r>
      <w:r>
        <w:rPr>
          <w:rFonts w:ascii="Verdana" w:eastAsia="Calibri" w:hAnsi="Verdana" w:cs="Arial"/>
          <w:shd w:val="clear" w:color="auto" w:fill="FFFFFF"/>
        </w:rPr>
        <w:t>En consideración a esto, resulta claro que la obligatoriedad de publicar la actividad contractual establecida en el artículo 13 de la Ley 1150 de 2007, adicionado por el artículo 53 de la Ley 2195 de 2022, se refiere a la contratación financiada con recursos públicos, deviniendo en potestativa la publicación de la contratación</w:t>
      </w:r>
      <w:r w:rsidRPr="00642EA6">
        <w:rPr>
          <w:rFonts w:ascii="Verdana" w:eastAsia="Calibri" w:hAnsi="Verdana" w:cs="Arial"/>
          <w:shd w:val="clear" w:color="auto" w:fill="FFFFFF"/>
        </w:rPr>
        <w:t xml:space="preserve"> </w:t>
      </w:r>
      <w:r>
        <w:rPr>
          <w:rFonts w:ascii="Verdana" w:eastAsia="Calibri" w:hAnsi="Verdana" w:cs="Arial"/>
          <w:shd w:val="clear" w:color="auto" w:fill="FFFFFF"/>
          <w:lang w:val="es-ES"/>
        </w:rPr>
        <w:t xml:space="preserve">desarrollada con otro tipo de recursos. </w:t>
      </w:r>
    </w:p>
    <w:p w14:paraId="204DEC7F" w14:textId="77777777" w:rsidR="00201BF3" w:rsidRPr="00642EA6" w:rsidRDefault="00201BF3" w:rsidP="00201BF3">
      <w:pPr>
        <w:tabs>
          <w:tab w:val="left" w:pos="709"/>
        </w:tabs>
        <w:spacing w:before="120" w:after="120" w:line="276" w:lineRule="auto"/>
        <w:contextualSpacing/>
        <w:jc w:val="both"/>
        <w:rPr>
          <w:rFonts w:ascii="Verdana" w:eastAsia="Aptos" w:hAnsi="Verdana" w:cs="Arial"/>
          <w:shd w:val="clear" w:color="auto" w:fill="FFFFFF"/>
        </w:rPr>
      </w:pPr>
      <w:r>
        <w:rPr>
          <w:rFonts w:ascii="Verdana" w:eastAsia="Aptos" w:hAnsi="Verdana" w:cs="Arial"/>
          <w:shd w:val="clear" w:color="auto" w:fill="FFFFFF"/>
        </w:rPr>
        <w:tab/>
        <w:t>En todo caso</w:t>
      </w:r>
      <w:r w:rsidRPr="00642EA6">
        <w:rPr>
          <w:rFonts w:ascii="Verdana" w:eastAsia="Aptos" w:hAnsi="Verdana" w:cs="Arial"/>
          <w:shd w:val="clear" w:color="auto" w:fill="FFFFFF"/>
        </w:rPr>
        <w:t xml:space="preserve">, corresponde a </w:t>
      </w:r>
      <w:r>
        <w:rPr>
          <w:rFonts w:ascii="Verdana" w:eastAsia="Aptos" w:hAnsi="Verdana" w:cs="Arial"/>
          <w:shd w:val="clear" w:color="auto" w:fill="FFFFFF"/>
        </w:rPr>
        <w:t xml:space="preserve">cada </w:t>
      </w:r>
      <w:r w:rsidRPr="00642EA6">
        <w:rPr>
          <w:rFonts w:ascii="Verdana" w:eastAsia="Aptos" w:hAnsi="Verdana" w:cs="Arial"/>
          <w:shd w:val="clear" w:color="auto" w:fill="FFFFFF"/>
        </w:rPr>
        <w:t xml:space="preserve">entidad de régimen especial de contratación dar cumplimiento al deber </w:t>
      </w:r>
      <w:r>
        <w:rPr>
          <w:rFonts w:ascii="Verdana" w:eastAsia="Aptos" w:hAnsi="Verdana" w:cs="Arial"/>
          <w:shd w:val="clear" w:color="auto" w:fill="FFFFFF"/>
        </w:rPr>
        <w:t xml:space="preserve">de publicación </w:t>
      </w:r>
      <w:r w:rsidRPr="00642EA6">
        <w:rPr>
          <w:rFonts w:ascii="Verdana" w:eastAsia="Aptos" w:hAnsi="Verdana" w:cs="Arial"/>
          <w:shd w:val="clear" w:color="auto" w:fill="FFFFFF"/>
        </w:rPr>
        <w:t>que les asiste</w:t>
      </w:r>
      <w:r>
        <w:rPr>
          <w:rFonts w:ascii="Verdana" w:eastAsia="Aptos" w:hAnsi="Verdana" w:cs="Arial"/>
          <w:shd w:val="clear" w:color="auto" w:fill="FFFFFF"/>
        </w:rPr>
        <w:t xml:space="preserve"> en relación con su actividad contractual</w:t>
      </w:r>
      <w:r w:rsidRPr="00642EA6">
        <w:rPr>
          <w:rFonts w:ascii="Verdana" w:eastAsia="Aptos" w:hAnsi="Verdana" w:cs="Arial"/>
          <w:shd w:val="clear" w:color="auto" w:fill="FFFFFF"/>
        </w:rPr>
        <w:t xml:space="preserve"> </w:t>
      </w:r>
      <w:r>
        <w:rPr>
          <w:rFonts w:ascii="Verdana" w:eastAsia="Aptos" w:hAnsi="Verdana" w:cs="Arial"/>
          <w:shd w:val="clear" w:color="auto" w:fill="FFFFFF"/>
        </w:rPr>
        <w:t xml:space="preserve">en cumplimiento del </w:t>
      </w:r>
      <w:r w:rsidRPr="00642EA6">
        <w:rPr>
          <w:rFonts w:ascii="Verdana" w:eastAsia="Aptos" w:hAnsi="Verdana" w:cs="Arial"/>
          <w:shd w:val="clear" w:color="auto" w:fill="FFFFFF"/>
        </w:rPr>
        <w:t xml:space="preserve">artículo 53 de la Ley 2195 de 2022. </w:t>
      </w:r>
    </w:p>
    <w:bookmarkEnd w:id="3"/>
    <w:p w14:paraId="68768F10" w14:textId="77777777" w:rsidR="00201BF3" w:rsidRPr="00642EA6" w:rsidRDefault="00201BF3" w:rsidP="00201BF3">
      <w:pPr>
        <w:spacing w:after="0" w:line="276" w:lineRule="auto"/>
        <w:ind w:left="720"/>
        <w:contextualSpacing/>
        <w:jc w:val="both"/>
        <w:rPr>
          <w:rFonts w:ascii="Verdana" w:eastAsia="Calibri" w:hAnsi="Verdana" w:cs="Arial"/>
          <w:lang w:val="es-ES"/>
        </w:rPr>
      </w:pPr>
    </w:p>
    <w:p w14:paraId="275B4B3B" w14:textId="77777777" w:rsidR="00201BF3" w:rsidRPr="00642EA6" w:rsidRDefault="00201BF3" w:rsidP="00201BF3">
      <w:pPr>
        <w:widowControl w:val="0"/>
        <w:autoSpaceDE w:val="0"/>
        <w:autoSpaceDN w:val="0"/>
        <w:spacing w:before="1" w:after="0" w:line="240" w:lineRule="auto"/>
        <w:outlineLvl w:val="0"/>
        <w:rPr>
          <w:rFonts w:ascii="Verdana" w:eastAsia="Arial" w:hAnsi="Verdana" w:cs="Arial"/>
          <w:b/>
          <w:bCs/>
          <w:lang w:val="es-ES"/>
        </w:rPr>
      </w:pPr>
      <w:r w:rsidRPr="00642EA6">
        <w:rPr>
          <w:rFonts w:ascii="Verdana" w:eastAsia="Arial" w:hAnsi="Verdana" w:cs="Arial"/>
          <w:b/>
          <w:bCs/>
          <w:lang w:val="es-ES"/>
        </w:rPr>
        <w:t>4.</w:t>
      </w:r>
      <w:r>
        <w:rPr>
          <w:rFonts w:ascii="Verdana" w:eastAsia="Arial" w:hAnsi="Verdana" w:cs="Arial"/>
          <w:b/>
          <w:bCs/>
          <w:lang w:val="es-ES"/>
        </w:rPr>
        <w:t xml:space="preserve"> </w:t>
      </w:r>
      <w:r w:rsidRPr="00642EA6">
        <w:rPr>
          <w:rFonts w:ascii="Verdana" w:eastAsia="Arial" w:hAnsi="Verdana" w:cs="Arial"/>
          <w:b/>
          <w:bCs/>
          <w:lang w:val="es-ES"/>
        </w:rPr>
        <w:t>Referencias normativas, jurisprudenciales y otras fuentes:</w:t>
      </w:r>
    </w:p>
    <w:p w14:paraId="7461D7EB" w14:textId="77777777" w:rsidR="00201BF3" w:rsidRPr="00642EA6" w:rsidRDefault="00201BF3" w:rsidP="00201BF3">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01BF3" w:rsidRPr="00642EA6" w14:paraId="0B214D59" w14:textId="77777777" w:rsidTr="00C76803">
        <w:trPr>
          <w:trHeight w:val="870"/>
        </w:trPr>
        <w:tc>
          <w:tcPr>
            <w:tcW w:w="8647" w:type="dxa"/>
          </w:tcPr>
          <w:p w14:paraId="68A54921" w14:textId="77777777" w:rsidR="00201BF3" w:rsidRPr="00642EA6" w:rsidRDefault="00201BF3" w:rsidP="00201BF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42EA6">
              <w:rPr>
                <w:rFonts w:ascii="Verdana" w:eastAsia="Calibri" w:hAnsi="Verdana" w:cs="Arial"/>
                <w:lang w:val="es-ES"/>
              </w:rPr>
              <w:t>Ley 489 de 1998. Artículo 38, 68 y 97</w:t>
            </w:r>
          </w:p>
          <w:p w14:paraId="27F37372" w14:textId="77777777" w:rsidR="00201BF3" w:rsidRPr="00642EA6" w:rsidRDefault="00201BF3" w:rsidP="00201BF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42EA6">
              <w:rPr>
                <w:rFonts w:ascii="Verdana" w:eastAsia="Calibri" w:hAnsi="Verdana" w:cs="Arial"/>
                <w:lang w:val="es-ES"/>
              </w:rPr>
              <w:t>Ley 80 de 1993. Artículo 2, literal a)</w:t>
            </w:r>
          </w:p>
          <w:p w14:paraId="41A0AAF0" w14:textId="77777777" w:rsidR="00201BF3" w:rsidRPr="00642EA6" w:rsidRDefault="00201BF3" w:rsidP="00201BF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42EA6">
              <w:rPr>
                <w:rFonts w:ascii="Verdana" w:eastAsia="Calibri" w:hAnsi="Verdana" w:cs="Arial"/>
                <w:lang w:val="es-ES"/>
              </w:rPr>
              <w:t>Ley 1150 de 2007. Artículo 13, literal c); Artículo 14</w:t>
            </w:r>
          </w:p>
          <w:p w14:paraId="4BCAA0D0" w14:textId="77777777" w:rsidR="00201BF3" w:rsidRPr="00642EA6" w:rsidRDefault="00201BF3" w:rsidP="00201BF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42EA6">
              <w:rPr>
                <w:rFonts w:ascii="Verdana" w:eastAsia="Calibri" w:hAnsi="Verdana" w:cs="Arial"/>
                <w:lang w:val="es-ES"/>
              </w:rPr>
              <w:lastRenderedPageBreak/>
              <w:t>Ley 1712 de 2014. Artículo 2; Artículo 9; Artículo 11, literal g)</w:t>
            </w:r>
          </w:p>
          <w:p w14:paraId="37882D6B" w14:textId="77777777" w:rsidR="00201BF3" w:rsidRPr="00642EA6" w:rsidRDefault="00201BF3" w:rsidP="00201BF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42EA6">
              <w:rPr>
                <w:rFonts w:ascii="Verdana" w:eastAsia="Calibri" w:hAnsi="Verdana" w:cs="Arial"/>
                <w:lang w:val="es-ES"/>
              </w:rPr>
              <w:t>Ley 2195 de 2022. Artículo 53</w:t>
            </w:r>
          </w:p>
          <w:p w14:paraId="7E434440" w14:textId="77777777" w:rsidR="00201BF3" w:rsidRPr="00642EA6" w:rsidRDefault="00201BF3" w:rsidP="00201BF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42EA6">
              <w:rPr>
                <w:rFonts w:ascii="Verdana" w:eastAsia="Calibri" w:hAnsi="Verdana" w:cs="Arial"/>
                <w:lang w:val="es-ES"/>
              </w:rPr>
              <w:t xml:space="preserve">Decreto 1082 de 2015. Artículo </w:t>
            </w:r>
            <w:r w:rsidRPr="00642EA6">
              <w:rPr>
                <w:rFonts w:ascii="Verdana" w:eastAsia="Aptos" w:hAnsi="Verdana" w:cs="Arial"/>
                <w:color w:val="000000"/>
                <w:shd w:val="clear" w:color="auto" w:fill="FFFFFF"/>
              </w:rPr>
              <w:t>2.2.1.1.1.7.1</w:t>
            </w:r>
          </w:p>
          <w:p w14:paraId="759E380B" w14:textId="77777777" w:rsidR="00201BF3" w:rsidRPr="00642EA6" w:rsidRDefault="00201BF3" w:rsidP="00201BF3">
            <w:pPr>
              <w:widowControl w:val="0"/>
              <w:numPr>
                <w:ilvl w:val="0"/>
                <w:numId w:val="1"/>
              </w:numPr>
              <w:autoSpaceDE w:val="0"/>
              <w:autoSpaceDN w:val="0"/>
              <w:spacing w:line="276" w:lineRule="auto"/>
              <w:contextualSpacing/>
              <w:jc w:val="both"/>
              <w:rPr>
                <w:rFonts w:ascii="Verdana" w:eastAsia="Aptos" w:hAnsi="Verdana" w:cs="Arial"/>
              </w:rPr>
            </w:pPr>
            <w:r w:rsidRPr="00642EA6">
              <w:rPr>
                <w:rFonts w:ascii="Verdana" w:eastAsia="Calibri" w:hAnsi="Verdana" w:cs="Arial"/>
                <w:lang w:val="es-ES"/>
              </w:rPr>
              <w:t xml:space="preserve">Circular Externa Única, disponible </w:t>
            </w:r>
            <w:hyperlink r:id="rId13" w:history="1">
              <w:r w:rsidRPr="00642EA6">
                <w:rPr>
                  <w:rFonts w:ascii="Verdana" w:eastAsia="Calibri" w:hAnsi="Verdana" w:cs="Arial"/>
                  <w:color w:val="467886"/>
                  <w:u w:val="single"/>
                  <w:lang w:val="es-ES"/>
                </w:rPr>
                <w:t>aquí</w:t>
              </w:r>
            </w:hyperlink>
          </w:p>
          <w:p w14:paraId="51D8F44F" w14:textId="77777777" w:rsidR="00201BF3" w:rsidRPr="00642EA6" w:rsidRDefault="00201BF3" w:rsidP="00201BF3">
            <w:pPr>
              <w:widowControl w:val="0"/>
              <w:numPr>
                <w:ilvl w:val="0"/>
                <w:numId w:val="1"/>
              </w:numPr>
              <w:autoSpaceDE w:val="0"/>
              <w:autoSpaceDN w:val="0"/>
              <w:spacing w:line="276" w:lineRule="auto"/>
              <w:contextualSpacing/>
              <w:jc w:val="both"/>
              <w:rPr>
                <w:rFonts w:ascii="Verdana" w:eastAsia="Aptos" w:hAnsi="Verdana" w:cs="Arial"/>
              </w:rPr>
            </w:pPr>
            <w:r w:rsidRPr="00642EA6">
              <w:rPr>
                <w:rFonts w:ascii="Verdana" w:eastAsia="Calibri" w:hAnsi="Verdana" w:cs="Arial"/>
                <w:lang w:val="es-ES"/>
              </w:rPr>
              <w:t xml:space="preserve">Circular Externa No. 002 del 23 de agosto de 2024, disponible </w:t>
            </w:r>
            <w:hyperlink r:id="rId14" w:history="1">
              <w:r w:rsidRPr="00642EA6">
                <w:rPr>
                  <w:rFonts w:ascii="Verdana" w:eastAsia="Calibri" w:hAnsi="Verdana" w:cs="Arial"/>
                  <w:color w:val="467886"/>
                  <w:u w:val="single"/>
                  <w:lang w:val="es-ES"/>
                </w:rPr>
                <w:t>aquí</w:t>
              </w:r>
            </w:hyperlink>
          </w:p>
        </w:tc>
      </w:tr>
    </w:tbl>
    <w:p w14:paraId="17A11039" w14:textId="77777777" w:rsidR="00201BF3" w:rsidRPr="00642EA6" w:rsidRDefault="00201BF3" w:rsidP="00201BF3">
      <w:pPr>
        <w:widowControl w:val="0"/>
        <w:autoSpaceDE w:val="0"/>
        <w:autoSpaceDN w:val="0"/>
        <w:spacing w:after="0" w:line="276" w:lineRule="auto"/>
        <w:jc w:val="both"/>
        <w:rPr>
          <w:rFonts w:ascii="Verdana" w:eastAsia="Aptos" w:hAnsi="Verdana" w:cs="Arial"/>
        </w:rPr>
      </w:pPr>
    </w:p>
    <w:p w14:paraId="18F819B9" w14:textId="77777777" w:rsidR="00201BF3" w:rsidRPr="00642EA6" w:rsidRDefault="00201BF3" w:rsidP="00201BF3">
      <w:pPr>
        <w:widowControl w:val="0"/>
        <w:autoSpaceDE w:val="0"/>
        <w:autoSpaceDN w:val="0"/>
        <w:spacing w:before="1" w:after="0" w:line="240" w:lineRule="auto"/>
        <w:outlineLvl w:val="0"/>
        <w:rPr>
          <w:rFonts w:ascii="Verdana" w:eastAsia="Arial" w:hAnsi="Verdana" w:cs="Arial"/>
          <w:b/>
          <w:bCs/>
          <w:lang w:val="es-ES"/>
        </w:rPr>
      </w:pPr>
      <w:r w:rsidRPr="00642EA6">
        <w:rPr>
          <w:rFonts w:ascii="Verdana" w:eastAsia="Arial" w:hAnsi="Verdana" w:cs="Arial"/>
          <w:b/>
          <w:bCs/>
          <w:lang w:val="es-ES"/>
        </w:rPr>
        <w:t>5. Doctrina de la Agencia Nacional de Contratación Pública:</w:t>
      </w:r>
    </w:p>
    <w:p w14:paraId="00FF9ED6" w14:textId="77777777" w:rsidR="00201BF3" w:rsidRPr="00642EA6" w:rsidRDefault="00201BF3" w:rsidP="00201BF3">
      <w:pPr>
        <w:widowControl w:val="0"/>
        <w:autoSpaceDE w:val="0"/>
        <w:autoSpaceDN w:val="0"/>
        <w:spacing w:after="0" w:line="276" w:lineRule="auto"/>
        <w:jc w:val="both"/>
        <w:rPr>
          <w:rFonts w:ascii="Verdana" w:eastAsia="Aptos" w:hAnsi="Verdana" w:cs="Arial"/>
        </w:rPr>
      </w:pPr>
    </w:p>
    <w:p w14:paraId="697D15F0" w14:textId="77777777" w:rsidR="00201BF3" w:rsidRPr="00642EA6" w:rsidRDefault="00201BF3" w:rsidP="00201BF3">
      <w:pPr>
        <w:widowControl w:val="0"/>
        <w:autoSpaceDE w:val="0"/>
        <w:autoSpaceDN w:val="0"/>
        <w:spacing w:after="120" w:line="276" w:lineRule="auto"/>
        <w:jc w:val="both"/>
        <w:rPr>
          <w:rFonts w:ascii="Verdana" w:eastAsia="Aptos" w:hAnsi="Verdana" w:cs="Arial"/>
          <w:shd w:val="clear" w:color="auto" w:fill="FFFFFF"/>
          <w:lang w:val="es-ES"/>
        </w:rPr>
      </w:pPr>
      <w:r w:rsidRPr="00642EA6">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642EA6">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642EA6">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history="1">
        <w:r w:rsidRPr="00642EA6">
          <w:rPr>
            <w:rFonts w:ascii="Verdana" w:eastAsia="Aptos" w:hAnsi="Verdana" w:cs="Arial"/>
            <w:color w:val="467886"/>
            <w:u w:val="single"/>
            <w:shd w:val="clear" w:color="auto" w:fill="FFFFFF"/>
            <w:lang w:val="es-ES"/>
          </w:rPr>
          <w:t>https://relatoria.colombiacompra.gov.co/</w:t>
        </w:r>
      </w:hyperlink>
      <w:r w:rsidRPr="00642EA6">
        <w:rPr>
          <w:rFonts w:ascii="Verdana" w:eastAsia="Aptos" w:hAnsi="Verdana" w:cs="Arial"/>
          <w:shd w:val="clear" w:color="auto" w:fill="FFFFFF"/>
          <w:lang w:val="es-ES"/>
        </w:rPr>
        <w:t xml:space="preserve">. </w:t>
      </w:r>
    </w:p>
    <w:p w14:paraId="7EBF79BE" w14:textId="77777777" w:rsidR="00201BF3" w:rsidRPr="00642EA6" w:rsidRDefault="00201BF3" w:rsidP="00201BF3">
      <w:pPr>
        <w:widowControl w:val="0"/>
        <w:autoSpaceDE w:val="0"/>
        <w:autoSpaceDN w:val="0"/>
        <w:spacing w:after="0" w:line="276" w:lineRule="auto"/>
        <w:ind w:firstLine="708"/>
        <w:jc w:val="both"/>
        <w:rPr>
          <w:rFonts w:ascii="Verdana" w:eastAsia="Aptos" w:hAnsi="Verdana" w:cs="Arial"/>
          <w:shd w:val="clear" w:color="auto" w:fill="FFFFFF"/>
          <w:lang w:val="es-ES"/>
        </w:rPr>
      </w:pPr>
      <w:r w:rsidRPr="00641F28">
        <w:rPr>
          <w:rFonts w:ascii="Verdana" w:eastAsia="Aptos" w:hAnsi="Verdana" w:cs="Arial"/>
          <w:shd w:val="clear" w:color="auto" w:fill="FFFFFF"/>
        </w:rPr>
        <w:t xml:space="preserve">Te invitamos a revisar la cuarta edición del Boletín de Relatoría de </w:t>
      </w:r>
      <w:proofErr w:type="gramStart"/>
      <w:r w:rsidRPr="00641F28">
        <w:rPr>
          <w:rFonts w:ascii="Verdana" w:eastAsia="Aptos" w:hAnsi="Verdana" w:cs="Arial"/>
          <w:shd w:val="clear" w:color="auto" w:fill="FFFFFF"/>
        </w:rPr>
        <w:t>2024,  en</w:t>
      </w:r>
      <w:proofErr w:type="gramEnd"/>
      <w:r w:rsidRPr="00641F28">
        <w:rPr>
          <w:rFonts w:ascii="Verdana" w:eastAsia="Aptos" w:hAnsi="Verdana" w:cs="Arial"/>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6" w:tgtFrame="_blank" w:tooltip="Dirección URL original: https://www.colombiacompra.gov.co/sala-de-prensa/boletin-digital/boletin-de-relatoria-2024-iv. Haga clic o pulse si confía en este vínculo." w:history="1">
        <w:r w:rsidRPr="00641F28">
          <w:rPr>
            <w:rStyle w:val="Hipervnculo"/>
            <w:rFonts w:ascii="Verdana" w:eastAsia="Aptos" w:hAnsi="Verdana" w:cs="Arial"/>
            <w:shd w:val="clear" w:color="auto" w:fill="FFFFFF"/>
          </w:rPr>
          <w:t>BOLETÍN DE RELATORÍA 2024 – IV | Colombia Compra Eficiente | Agencia Nacional de Contratación Pública</w:t>
        </w:r>
      </w:hyperlink>
    </w:p>
    <w:p w14:paraId="12AE665D" w14:textId="77777777" w:rsidR="00201BF3" w:rsidRPr="00642EA6" w:rsidRDefault="00201BF3" w:rsidP="00201BF3">
      <w:pPr>
        <w:widowControl w:val="0"/>
        <w:autoSpaceDE w:val="0"/>
        <w:autoSpaceDN w:val="0"/>
        <w:spacing w:after="0" w:line="276" w:lineRule="auto"/>
        <w:jc w:val="both"/>
        <w:rPr>
          <w:rFonts w:ascii="Verdana" w:eastAsia="Aptos" w:hAnsi="Verdana" w:cs="Arial"/>
          <w:shd w:val="clear" w:color="auto" w:fill="FFFFFF"/>
          <w:lang w:val="es-ES"/>
        </w:rPr>
      </w:pPr>
    </w:p>
    <w:p w14:paraId="4799A679" w14:textId="77777777" w:rsidR="00201BF3" w:rsidRPr="0044528D" w:rsidRDefault="00201BF3" w:rsidP="00201BF3">
      <w:pPr>
        <w:spacing w:after="0" w:line="240" w:lineRule="auto"/>
        <w:jc w:val="both"/>
        <w:rPr>
          <w:rFonts w:ascii="Verdana" w:hAnsi="Verdana"/>
        </w:rPr>
      </w:pPr>
      <w:r w:rsidRPr="0044528D">
        <w:rPr>
          <w:rFonts w:ascii="Verdana" w:hAnsi="Verdana"/>
        </w:rPr>
        <w:t xml:space="preserve">Por último, lo invitamos a seguirnos en las redes sociales en las cuales se difunde información institucional: </w:t>
      </w:r>
    </w:p>
    <w:p w14:paraId="6C943BA2" w14:textId="77777777" w:rsidR="00201BF3" w:rsidRPr="0044528D" w:rsidRDefault="00201BF3" w:rsidP="00201BF3">
      <w:pPr>
        <w:spacing w:after="0" w:line="240" w:lineRule="auto"/>
        <w:jc w:val="both"/>
        <w:rPr>
          <w:rFonts w:ascii="Verdana" w:hAnsi="Verdana"/>
        </w:rPr>
      </w:pPr>
    </w:p>
    <w:p w14:paraId="0DC0A13A" w14:textId="77777777" w:rsidR="00201BF3" w:rsidRPr="0044528D" w:rsidRDefault="00201BF3" w:rsidP="00201BF3">
      <w:pPr>
        <w:spacing w:after="0" w:line="240" w:lineRule="auto"/>
        <w:jc w:val="both"/>
        <w:rPr>
          <w:rFonts w:ascii="Verdana" w:hAnsi="Verdana"/>
        </w:rPr>
      </w:pPr>
      <w:r w:rsidRPr="0044528D">
        <w:rPr>
          <w:rFonts w:ascii="Verdana" w:hAnsi="Verdana"/>
        </w:rPr>
        <w:lastRenderedPageBreak/>
        <w:t xml:space="preserve">Twitter: </w:t>
      </w:r>
      <w:r w:rsidRPr="00642EA6">
        <w:rPr>
          <w:rFonts w:ascii="Verdana" w:eastAsia="Aptos" w:hAnsi="Verdana" w:cs="Arial"/>
          <w:color w:val="467886"/>
          <w:u w:val="single"/>
          <w:shd w:val="clear" w:color="auto" w:fill="FFFFFF"/>
          <w:lang w:val="es-ES"/>
        </w:rPr>
        <w:t>@colombiacompra</w:t>
      </w:r>
      <w:r w:rsidRPr="00642EA6">
        <w:rPr>
          <w:rFonts w:ascii="Verdana" w:eastAsia="Aptos" w:hAnsi="Verdana" w:cs="Times New Roman"/>
          <w:color w:val="156082"/>
        </w:rPr>
        <w:t xml:space="preserve"> </w:t>
      </w:r>
    </w:p>
    <w:p w14:paraId="31F5ECC9" w14:textId="77777777" w:rsidR="00201BF3" w:rsidRPr="0044528D" w:rsidRDefault="00201BF3" w:rsidP="00201BF3">
      <w:pPr>
        <w:spacing w:after="0" w:line="240" w:lineRule="auto"/>
        <w:jc w:val="both"/>
        <w:rPr>
          <w:rFonts w:ascii="Verdana" w:hAnsi="Verdana"/>
        </w:rPr>
      </w:pPr>
      <w:r w:rsidRPr="0044528D">
        <w:rPr>
          <w:rFonts w:ascii="Verdana" w:hAnsi="Verdana"/>
        </w:rPr>
        <w:t xml:space="preserve">Facebook: </w:t>
      </w:r>
      <w:proofErr w:type="spellStart"/>
      <w:r w:rsidRPr="00642EA6">
        <w:rPr>
          <w:rFonts w:ascii="Verdana" w:eastAsia="Aptos" w:hAnsi="Verdana" w:cs="Arial"/>
          <w:color w:val="467886"/>
          <w:u w:val="single"/>
          <w:shd w:val="clear" w:color="auto" w:fill="FFFFFF"/>
          <w:lang w:val="es-ES"/>
        </w:rPr>
        <w:t>ColombiaCompraEficiente</w:t>
      </w:r>
      <w:proofErr w:type="spellEnd"/>
    </w:p>
    <w:p w14:paraId="4289B622" w14:textId="77777777" w:rsidR="00201BF3" w:rsidRPr="0044528D" w:rsidRDefault="00201BF3" w:rsidP="00201BF3">
      <w:pPr>
        <w:spacing w:after="0" w:line="240" w:lineRule="auto"/>
        <w:jc w:val="both"/>
        <w:rPr>
          <w:rFonts w:ascii="Verdana" w:hAnsi="Verdana"/>
        </w:rPr>
      </w:pPr>
      <w:r w:rsidRPr="0044528D">
        <w:rPr>
          <w:rFonts w:ascii="Verdana" w:hAnsi="Verdana"/>
        </w:rPr>
        <w:t xml:space="preserve">LinkedIn: </w:t>
      </w:r>
      <w:r w:rsidRPr="00642EA6">
        <w:rPr>
          <w:rFonts w:ascii="Verdana" w:eastAsia="Aptos" w:hAnsi="Verdana" w:cs="Arial"/>
          <w:color w:val="467886"/>
          <w:u w:val="single"/>
          <w:shd w:val="clear" w:color="auto" w:fill="FFFFFF"/>
          <w:lang w:val="es-ES"/>
        </w:rPr>
        <w:t>Agencia Nacional de Contratación Pública - Colombia Compra Eficiente</w:t>
      </w:r>
      <w:r w:rsidRPr="00642EA6">
        <w:rPr>
          <w:rFonts w:ascii="Verdana" w:eastAsia="Aptos" w:hAnsi="Verdana" w:cs="Times New Roman"/>
          <w:color w:val="156082"/>
        </w:rPr>
        <w:t xml:space="preserve"> </w:t>
      </w:r>
      <w:r w:rsidRPr="0044528D">
        <w:rPr>
          <w:rFonts w:ascii="Verdana" w:hAnsi="Verdana"/>
        </w:rPr>
        <w:t xml:space="preserve">Instagram: </w:t>
      </w:r>
      <w:r w:rsidRPr="00642EA6">
        <w:rPr>
          <w:rFonts w:ascii="Verdana" w:eastAsia="Aptos" w:hAnsi="Verdana" w:cs="Arial"/>
          <w:color w:val="467886"/>
          <w:u w:val="single"/>
          <w:shd w:val="clear" w:color="auto" w:fill="FFFFFF"/>
          <w:lang w:val="es-ES"/>
        </w:rPr>
        <w:t>@colombiacompraeficiente_cce</w:t>
      </w:r>
    </w:p>
    <w:p w14:paraId="381D0B65" w14:textId="77777777" w:rsidR="00201BF3" w:rsidRPr="0044528D" w:rsidRDefault="00201BF3" w:rsidP="00201BF3">
      <w:pPr>
        <w:widowControl w:val="0"/>
        <w:autoSpaceDE w:val="0"/>
        <w:autoSpaceDN w:val="0"/>
        <w:spacing w:after="0" w:line="276" w:lineRule="auto"/>
        <w:jc w:val="both"/>
        <w:rPr>
          <w:rFonts w:ascii="Verdana" w:hAnsi="Verdana"/>
        </w:rPr>
      </w:pPr>
    </w:p>
    <w:p w14:paraId="4D4B01C0" w14:textId="77777777" w:rsidR="00201BF3" w:rsidRPr="00642EA6" w:rsidRDefault="00201BF3" w:rsidP="00201BF3">
      <w:pPr>
        <w:widowControl w:val="0"/>
        <w:autoSpaceDE w:val="0"/>
        <w:autoSpaceDN w:val="0"/>
        <w:spacing w:after="0" w:line="276" w:lineRule="auto"/>
        <w:jc w:val="both"/>
        <w:rPr>
          <w:rFonts w:ascii="Verdana" w:eastAsia="Aptos" w:hAnsi="Verdana" w:cs="Arial"/>
          <w:lang w:val="es-ES_tradnl"/>
        </w:rPr>
      </w:pPr>
      <w:r w:rsidRPr="00642EA6">
        <w:rPr>
          <w:rFonts w:ascii="Verdana" w:eastAsia="Aptos" w:hAnsi="Verdana" w:cs="Arial"/>
        </w:rPr>
        <w:t xml:space="preserve">Este concepto tiene el alcance previsto en el artículo 28 del Código de Procedimiento Administrativo y de lo Contencioso Administrativo </w:t>
      </w:r>
      <w:r w:rsidRPr="00642EA6">
        <w:rPr>
          <w:rFonts w:ascii="Verdana" w:eastAsia="Aptos" w:hAnsi="Verdana" w:cs="Arial"/>
          <w:lang w:val="es-ES_tradnl"/>
        </w:rPr>
        <w:t>y las expresiones aquí utilizadas con mayúscula inicial deben ser entendidas con el significado que les otorga el artículo 2.2.1.1.1.3.1. del Decreto 1082 de 2015.</w:t>
      </w:r>
    </w:p>
    <w:p w14:paraId="518EF758" w14:textId="77777777" w:rsidR="00201BF3" w:rsidRPr="00642EA6" w:rsidRDefault="00201BF3" w:rsidP="00201BF3">
      <w:pPr>
        <w:widowControl w:val="0"/>
        <w:autoSpaceDE w:val="0"/>
        <w:autoSpaceDN w:val="0"/>
        <w:spacing w:after="0" w:line="276" w:lineRule="auto"/>
        <w:jc w:val="both"/>
        <w:rPr>
          <w:rFonts w:ascii="Verdana" w:eastAsia="Aptos" w:hAnsi="Verdana" w:cs="Arial"/>
        </w:rPr>
      </w:pPr>
    </w:p>
    <w:p w14:paraId="74B3C794" w14:textId="77777777" w:rsidR="00201BF3" w:rsidRPr="00642EA6" w:rsidRDefault="00201BF3" w:rsidP="00201BF3">
      <w:pPr>
        <w:spacing w:after="0" w:line="240" w:lineRule="auto"/>
        <w:rPr>
          <w:rFonts w:ascii="Verdana" w:eastAsia="Aptos" w:hAnsi="Verdana" w:cs="Arial"/>
          <w:lang w:eastAsia="es-CO"/>
        </w:rPr>
      </w:pPr>
      <w:r w:rsidRPr="00642EA6">
        <w:rPr>
          <w:rFonts w:ascii="Verdana" w:eastAsia="Times New Roman" w:hAnsi="Verdana" w:cs="Arial"/>
          <w:lang w:eastAsia="es-CO"/>
        </w:rPr>
        <w:t>Atentamente,</w:t>
      </w:r>
      <w:r w:rsidRPr="00642EA6">
        <w:rPr>
          <w:rFonts w:ascii="Verdana" w:eastAsia="Aptos" w:hAnsi="Verdana" w:cs="Arial"/>
          <w:lang w:eastAsia="es-CO"/>
        </w:rPr>
        <w:t xml:space="preserve"> </w:t>
      </w:r>
    </w:p>
    <w:p w14:paraId="2FFC6616" w14:textId="02A50B54" w:rsidR="00201BF3" w:rsidRPr="00642EA6" w:rsidRDefault="00183226" w:rsidP="00201BF3">
      <w:pPr>
        <w:spacing w:line="276" w:lineRule="auto"/>
        <w:jc w:val="center"/>
        <w:rPr>
          <w:rFonts w:ascii="Verdana" w:eastAsia="Aptos" w:hAnsi="Verdana" w:cs="Arial"/>
          <w:lang w:val="es-ES_tradnl" w:eastAsia="es-CO"/>
        </w:rPr>
      </w:pPr>
      <w:r w:rsidRPr="00183226">
        <w:rPr>
          <w:rFonts w:ascii="Verdana" w:eastAsia="Aptos" w:hAnsi="Verdana" w:cs="Arial"/>
          <w:noProof/>
          <w:lang w:eastAsia="es-CO"/>
        </w:rPr>
        <w:drawing>
          <wp:inline distT="0" distB="0" distL="0" distR="0" wp14:anchorId="4E793319" wp14:editId="27B6840F">
            <wp:extent cx="3771900" cy="1400175"/>
            <wp:effectExtent l="0" t="0" r="0" b="9525"/>
            <wp:docPr id="59778343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183226">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201BF3" w:rsidRPr="00642EA6" w14:paraId="3A1733FF" w14:textId="77777777" w:rsidTr="00C76803">
        <w:trPr>
          <w:trHeight w:val="286"/>
        </w:trPr>
        <w:tc>
          <w:tcPr>
            <w:tcW w:w="901" w:type="dxa"/>
            <w:vAlign w:val="center"/>
            <w:hideMark/>
          </w:tcPr>
          <w:p w14:paraId="00E5346F"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74194303"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Nasly Yeana Mosquera Rivas</w:t>
            </w:r>
          </w:p>
          <w:p w14:paraId="082CCF3E"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Analista T2–06 de la Subdirección de Gestión Contractual</w:t>
            </w:r>
          </w:p>
        </w:tc>
      </w:tr>
      <w:tr w:rsidR="00201BF3" w:rsidRPr="00642EA6" w14:paraId="0B1BF676" w14:textId="77777777" w:rsidTr="00C76803">
        <w:trPr>
          <w:trHeight w:val="299"/>
        </w:trPr>
        <w:tc>
          <w:tcPr>
            <w:tcW w:w="901" w:type="dxa"/>
            <w:vAlign w:val="center"/>
          </w:tcPr>
          <w:p w14:paraId="27329980"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5B379180"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Alejandro Sarmiento Cantillo</w:t>
            </w:r>
          </w:p>
          <w:p w14:paraId="7DD5B8B5"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Gestor T1 - 15 de la Subdirección de Gestión Contractual</w:t>
            </w:r>
          </w:p>
        </w:tc>
      </w:tr>
      <w:tr w:rsidR="00201BF3" w:rsidRPr="00642EA6" w14:paraId="62C8CD8A" w14:textId="77777777" w:rsidTr="00C76803">
        <w:trPr>
          <w:trHeight w:val="272"/>
        </w:trPr>
        <w:tc>
          <w:tcPr>
            <w:tcW w:w="901" w:type="dxa"/>
            <w:vAlign w:val="center"/>
            <w:hideMark/>
          </w:tcPr>
          <w:p w14:paraId="4ACAC656"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6027B74B"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Carolina Quintero Gacharná</w:t>
            </w:r>
          </w:p>
          <w:p w14:paraId="6EAFA138" w14:textId="77777777" w:rsidR="00201BF3" w:rsidRPr="00642EA6" w:rsidRDefault="00201BF3" w:rsidP="00C76803">
            <w:pPr>
              <w:rPr>
                <w:rFonts w:ascii="Verdana" w:eastAsia="Aptos" w:hAnsi="Verdana" w:cs="Arial"/>
                <w:sz w:val="14"/>
                <w:szCs w:val="14"/>
                <w:lang w:eastAsia="es-ES"/>
              </w:rPr>
            </w:pPr>
            <w:r w:rsidRPr="00642EA6">
              <w:rPr>
                <w:rFonts w:ascii="Verdana" w:eastAsia="Aptos" w:hAnsi="Verdana" w:cs="Arial"/>
                <w:sz w:val="14"/>
                <w:szCs w:val="14"/>
                <w:lang w:eastAsia="es-ES"/>
              </w:rPr>
              <w:t>Subdirectora de Gestión Contractual ANCP – CCE</w:t>
            </w:r>
          </w:p>
        </w:tc>
      </w:tr>
    </w:tbl>
    <w:p w14:paraId="4C820C10" w14:textId="77777777" w:rsidR="00201BF3" w:rsidRPr="00642EA6" w:rsidRDefault="00201BF3" w:rsidP="00201BF3">
      <w:pPr>
        <w:spacing w:after="0" w:line="240" w:lineRule="auto"/>
        <w:rPr>
          <w:rFonts w:ascii="Verdana" w:eastAsia="Times New Roman" w:hAnsi="Verdana" w:cs="Arial"/>
          <w:sz w:val="24"/>
          <w:szCs w:val="24"/>
          <w:lang w:eastAsia="es-ES"/>
        </w:rPr>
      </w:pPr>
    </w:p>
    <w:p w14:paraId="34158EFD" w14:textId="77777777" w:rsidR="00201BF3" w:rsidRPr="00642EA6" w:rsidRDefault="00201BF3" w:rsidP="00201BF3">
      <w:pPr>
        <w:rPr>
          <w:rFonts w:ascii="Verdana" w:eastAsia="Aptos" w:hAnsi="Verdana" w:cs="Times New Roman"/>
        </w:rPr>
      </w:pPr>
    </w:p>
    <w:p w14:paraId="3A1B5D32" w14:textId="77777777" w:rsidR="00201BF3" w:rsidRPr="00642EA6" w:rsidRDefault="00201BF3" w:rsidP="00201BF3">
      <w:pPr>
        <w:rPr>
          <w:rFonts w:ascii="Verdana" w:eastAsia="Aptos" w:hAnsi="Verdana" w:cs="Times New Roman"/>
        </w:rPr>
      </w:pPr>
    </w:p>
    <w:p w14:paraId="46D32679" w14:textId="77777777" w:rsidR="00201BF3" w:rsidRPr="00642EA6" w:rsidRDefault="00201BF3" w:rsidP="00201BF3">
      <w:pPr>
        <w:rPr>
          <w:rFonts w:ascii="Verdana" w:eastAsia="Aptos" w:hAnsi="Verdana" w:cs="Times New Roman"/>
        </w:rPr>
      </w:pPr>
    </w:p>
    <w:p w14:paraId="2D77CB99" w14:textId="77777777" w:rsidR="00201BF3" w:rsidRPr="00642EA6" w:rsidRDefault="00201BF3" w:rsidP="00201BF3">
      <w:pPr>
        <w:rPr>
          <w:rFonts w:ascii="Verdana" w:eastAsia="Aptos" w:hAnsi="Verdana" w:cs="Times New Roman"/>
        </w:rPr>
      </w:pPr>
    </w:p>
    <w:p w14:paraId="67CA65AD" w14:textId="77777777" w:rsidR="00201BF3" w:rsidRPr="00642EA6" w:rsidRDefault="00201BF3" w:rsidP="00201BF3">
      <w:pPr>
        <w:rPr>
          <w:rFonts w:ascii="Verdana" w:eastAsia="Aptos" w:hAnsi="Verdana" w:cs="Times New Roman"/>
        </w:rPr>
      </w:pPr>
    </w:p>
    <w:p w14:paraId="5AAB876C" w14:textId="77777777" w:rsidR="00201BF3" w:rsidRPr="00642EA6" w:rsidRDefault="00201BF3" w:rsidP="00201BF3">
      <w:pPr>
        <w:rPr>
          <w:rFonts w:ascii="Verdana" w:eastAsia="Aptos" w:hAnsi="Verdana" w:cs="Times New Roman"/>
        </w:rPr>
      </w:pPr>
    </w:p>
    <w:p w14:paraId="01771174" w14:textId="77777777" w:rsidR="00201BF3" w:rsidRPr="00642EA6" w:rsidRDefault="00201BF3" w:rsidP="00201BF3"/>
    <w:p w14:paraId="6F248823" w14:textId="77777777" w:rsidR="00201BF3" w:rsidRDefault="00201BF3"/>
    <w:sectPr w:rsidR="00201BF3" w:rsidSect="00201BF3">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58A37" w14:textId="77777777" w:rsidR="00A86BDC" w:rsidRDefault="00A86BDC" w:rsidP="00201BF3">
      <w:pPr>
        <w:spacing w:after="0" w:line="240" w:lineRule="auto"/>
      </w:pPr>
      <w:r>
        <w:separator/>
      </w:r>
    </w:p>
  </w:endnote>
  <w:endnote w:type="continuationSeparator" w:id="0">
    <w:p w14:paraId="6B0C2DA1" w14:textId="77777777" w:rsidR="00A86BDC" w:rsidRDefault="00A86BDC" w:rsidP="0020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44E8" w14:textId="77777777" w:rsidR="0014060D" w:rsidRDefault="0014060D">
    <w:pPr>
      <w:pStyle w:val="Piedepgina"/>
    </w:pPr>
  </w:p>
  <w:p w14:paraId="6D482935" w14:textId="77777777" w:rsidR="0014060D" w:rsidRPr="00174B77" w:rsidRDefault="006F5474"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461C78D" w14:textId="77777777" w:rsidR="0014060D" w:rsidRDefault="006F5474"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63111EA" w14:textId="77777777" w:rsidR="0014060D" w:rsidRPr="00E41027" w:rsidRDefault="006F5474" w:rsidP="00D520D8">
    <w:pPr>
      <w:spacing w:after="0"/>
      <w:jc w:val="both"/>
      <w:rPr>
        <w:rFonts w:ascii="Verdana" w:hAnsi="Verdana"/>
        <w:sz w:val="18"/>
        <w:szCs w:val="18"/>
      </w:rPr>
    </w:pPr>
    <w:r w:rsidRPr="00E41027">
      <w:rPr>
        <w:rFonts w:ascii="Verdana" w:hAnsi="Verdana"/>
        <w:sz w:val="18"/>
        <w:szCs w:val="18"/>
      </w:rPr>
      <w:t>Mesa de servicio: (+57) 601 7</w:t>
    </w:r>
    <w:r w:rsidRPr="00E41027">
      <w:rPr>
        <w:rFonts w:ascii="Verdana" w:hAnsi="Verdana"/>
        <w:sz w:val="18"/>
        <w:szCs w:val="18"/>
      </w:rPr>
      <w:t>456788</w:t>
    </w:r>
  </w:p>
  <w:p w14:paraId="1388FF80" w14:textId="77777777" w:rsidR="0014060D" w:rsidRDefault="006F5474"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EB95A" w14:textId="77777777" w:rsidR="00A86BDC" w:rsidRDefault="00A86BDC" w:rsidP="00201BF3">
      <w:pPr>
        <w:spacing w:after="0" w:line="240" w:lineRule="auto"/>
      </w:pPr>
      <w:r>
        <w:separator/>
      </w:r>
    </w:p>
  </w:footnote>
  <w:footnote w:type="continuationSeparator" w:id="0">
    <w:p w14:paraId="46FCA499" w14:textId="77777777" w:rsidR="00A86BDC" w:rsidRDefault="00A86BDC" w:rsidP="00201BF3">
      <w:pPr>
        <w:spacing w:after="0" w:line="240" w:lineRule="auto"/>
      </w:pPr>
      <w:r>
        <w:continuationSeparator/>
      </w:r>
    </w:p>
  </w:footnote>
  <w:footnote w:id="1">
    <w:p w14:paraId="61698C56" w14:textId="77777777" w:rsidR="00201BF3" w:rsidRPr="005C10BE" w:rsidRDefault="00201BF3" w:rsidP="00201BF3">
      <w:pPr>
        <w:pStyle w:val="paragraph"/>
        <w:spacing w:before="0" w:beforeAutospacing="0" w:after="0" w:afterAutospacing="0"/>
        <w:ind w:firstLine="709"/>
        <w:jc w:val="both"/>
        <w:textAlignment w:val="baseline"/>
        <w:rPr>
          <w:rFonts w:ascii="Verdana" w:hAnsi="Verdana" w:cs="Arial"/>
          <w:color w:val="000000"/>
          <w:sz w:val="16"/>
          <w:szCs w:val="16"/>
        </w:rPr>
      </w:pPr>
      <w:r w:rsidRPr="005C10BE">
        <w:rPr>
          <w:rStyle w:val="Refdenotaalpie"/>
          <w:rFonts w:ascii="Verdana" w:eastAsia="Yu Gothic Light" w:hAnsi="Verdana" w:cs="Arial"/>
          <w:color w:val="000000"/>
          <w:sz w:val="16"/>
          <w:szCs w:val="16"/>
        </w:rPr>
        <w:footnoteRef/>
      </w:r>
      <w:r w:rsidRPr="005C10BE">
        <w:rPr>
          <w:rFonts w:ascii="Verdana" w:hAnsi="Verdana" w:cs="Arial"/>
          <w:color w:val="000000"/>
          <w:sz w:val="16"/>
          <w:szCs w:val="16"/>
        </w:rPr>
        <w:t xml:space="preserve"> </w:t>
      </w:r>
      <w:r w:rsidRPr="005C10BE">
        <w:rPr>
          <w:rFonts w:ascii="Verdana" w:hAnsi="Verdana" w:cs="Arial"/>
          <w:color w:val="000000"/>
          <w:sz w:val="16"/>
          <w:szCs w:val="16"/>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5C10BE">
        <w:rPr>
          <w:rFonts w:ascii="Verdana" w:hAnsi="Verdana" w:cs="Arial"/>
          <w:color w:val="000000"/>
          <w:sz w:val="16"/>
          <w:szCs w:val="16"/>
        </w:rPr>
        <w:t>  </w:t>
      </w:r>
    </w:p>
  </w:footnote>
  <w:footnote w:id="2">
    <w:p w14:paraId="2939B182" w14:textId="77777777" w:rsidR="00201BF3" w:rsidRPr="005C10BE" w:rsidRDefault="00201BF3" w:rsidP="00201BF3">
      <w:pPr>
        <w:spacing w:after="0"/>
        <w:ind w:firstLine="709"/>
        <w:jc w:val="both"/>
        <w:rPr>
          <w:rFonts w:ascii="Verdana" w:hAnsi="Verdana" w:cs="Arial"/>
          <w:color w:val="000000"/>
          <w:sz w:val="16"/>
          <w:szCs w:val="16"/>
          <w:lang w:val="es-ES" w:eastAsia="es-MX"/>
        </w:rPr>
      </w:pPr>
    </w:p>
    <w:p w14:paraId="255BA224" w14:textId="77777777" w:rsidR="00201BF3" w:rsidRPr="005C10BE" w:rsidRDefault="00201BF3" w:rsidP="00201BF3">
      <w:pPr>
        <w:spacing w:after="0"/>
        <w:ind w:firstLine="709"/>
        <w:jc w:val="both"/>
        <w:rPr>
          <w:rFonts w:ascii="Verdana" w:hAnsi="Verdana" w:cs="Arial"/>
          <w:sz w:val="16"/>
          <w:szCs w:val="16"/>
          <w:lang w:val="es-ES"/>
        </w:rPr>
      </w:pPr>
      <w:r w:rsidRPr="005C10BE">
        <w:rPr>
          <w:rStyle w:val="Refdenotaalpie"/>
          <w:rFonts w:ascii="Verdana" w:hAnsi="Verdana" w:cs="Arial"/>
          <w:color w:val="000000"/>
          <w:sz w:val="16"/>
          <w:szCs w:val="16"/>
        </w:rPr>
        <w:footnoteRef/>
      </w:r>
      <w:r>
        <w:rPr>
          <w:rFonts w:ascii="Verdana" w:hAnsi="Verdana" w:cs="Arial"/>
          <w:color w:val="000000"/>
          <w:sz w:val="16"/>
          <w:szCs w:val="16"/>
          <w:lang w:val="es-ES" w:eastAsia="es-MX"/>
        </w:rPr>
        <w:t xml:space="preserve"> </w:t>
      </w:r>
      <w:r w:rsidRPr="005C10BE">
        <w:rPr>
          <w:rFonts w:ascii="Verdana" w:hAnsi="Verdana" w:cs="Arial"/>
          <w:color w:val="000000"/>
          <w:sz w:val="16"/>
          <w:szCs w:val="16"/>
          <w:lang w:val="es-ES" w:eastAsia="es-MX"/>
        </w:rPr>
        <w:t>Así lo establece la Constitución Política, en el artículo 150, numeral 7, así como en el artículo 300, numeral 7 y en el artículo 313, numeral 6.</w:t>
      </w:r>
    </w:p>
  </w:footnote>
  <w:footnote w:id="3">
    <w:p w14:paraId="476817B8" w14:textId="77777777" w:rsidR="00201BF3" w:rsidRPr="005C10BE" w:rsidRDefault="00201BF3" w:rsidP="00201BF3">
      <w:pPr>
        <w:pStyle w:val="Textonotapie"/>
        <w:ind w:firstLine="708"/>
        <w:jc w:val="both"/>
        <w:rPr>
          <w:rFonts w:ascii="Verdana" w:hAnsi="Verdana" w:cs="Arial"/>
          <w:sz w:val="16"/>
          <w:szCs w:val="16"/>
        </w:rPr>
      </w:pPr>
      <w:r w:rsidRPr="005C10BE">
        <w:rPr>
          <w:rStyle w:val="Refdenotaalpie"/>
          <w:rFonts w:ascii="Verdana" w:hAnsi="Verdana" w:cs="Arial"/>
          <w:sz w:val="16"/>
          <w:szCs w:val="16"/>
        </w:rPr>
        <w:footnoteRef/>
      </w:r>
      <w:r w:rsidRPr="005C10BE">
        <w:rPr>
          <w:rFonts w:ascii="Verdana" w:hAnsi="Verdana" w:cs="Arial"/>
          <w:sz w:val="16"/>
          <w:szCs w:val="16"/>
        </w:rPr>
        <w:t xml:space="preserve"> Ley 80 de 1993, artículo 2, literal a):</w:t>
      </w:r>
      <w:bookmarkStart w:id="4" w:name="2"/>
      <w:r w:rsidRPr="005C10BE">
        <w:rPr>
          <w:rFonts w:ascii="Verdana" w:hAnsi="Verdana" w:cs="Arial"/>
          <w:sz w:val="16"/>
          <w:szCs w:val="16"/>
        </w:rPr>
        <w:t xml:space="preserve"> “Artículo 2o. de la definición de entidades, servidores y servicios públicos. </w:t>
      </w:r>
      <w:bookmarkEnd w:id="4"/>
      <w:r w:rsidRPr="005C10BE">
        <w:rPr>
          <w:rFonts w:ascii="Verdana" w:hAnsi="Verdana" w:cs="Arial"/>
          <w:sz w:val="16"/>
          <w:szCs w:val="16"/>
        </w:rPr>
        <w:t>Para los solos efectos de esta ley:</w:t>
      </w:r>
    </w:p>
    <w:p w14:paraId="7F62C31C" w14:textId="77777777" w:rsidR="00201BF3" w:rsidRPr="005C10BE" w:rsidRDefault="00201BF3" w:rsidP="00201BF3">
      <w:pPr>
        <w:pStyle w:val="Textonotapie"/>
        <w:ind w:firstLine="708"/>
        <w:jc w:val="both"/>
        <w:rPr>
          <w:rFonts w:ascii="Verdana" w:hAnsi="Verdana" w:cs="Arial"/>
          <w:sz w:val="16"/>
          <w:szCs w:val="16"/>
        </w:rPr>
      </w:pPr>
      <w:r w:rsidRPr="005C10BE">
        <w:rPr>
          <w:rFonts w:ascii="Verdana" w:hAnsi="Verdana" w:cs="Arial"/>
          <w:sz w:val="16"/>
          <w:szCs w:val="16"/>
        </w:rPr>
        <w:t>1o. Se denominan entidades estatales:</w:t>
      </w:r>
    </w:p>
    <w:p w14:paraId="0AE3FE23" w14:textId="77777777" w:rsidR="00201BF3" w:rsidRPr="005C10BE" w:rsidRDefault="00201BF3" w:rsidP="00201BF3">
      <w:pPr>
        <w:pStyle w:val="Textonotapie"/>
        <w:ind w:firstLine="708"/>
        <w:jc w:val="both"/>
        <w:rPr>
          <w:rFonts w:ascii="Verdana" w:hAnsi="Verdana" w:cs="Arial"/>
          <w:sz w:val="16"/>
          <w:szCs w:val="16"/>
        </w:rPr>
      </w:pPr>
      <w:r w:rsidRPr="005C10BE">
        <w:rPr>
          <w:rFonts w:ascii="Verdana" w:hAnsi="Verdana" w:cs="Arial"/>
          <w:sz w:val="16"/>
          <w:szCs w:val="16"/>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7994D05" w14:textId="77777777" w:rsidR="00201BF3" w:rsidRPr="005C10BE" w:rsidRDefault="00201BF3" w:rsidP="00201BF3">
      <w:pPr>
        <w:pStyle w:val="Textonotapie"/>
        <w:ind w:firstLine="708"/>
        <w:jc w:val="both"/>
        <w:rPr>
          <w:rFonts w:ascii="Verdana" w:hAnsi="Verdana" w:cs="Arial"/>
          <w:sz w:val="16"/>
          <w:szCs w:val="16"/>
        </w:rPr>
      </w:pPr>
      <w:r w:rsidRPr="005C10BE">
        <w:rPr>
          <w:rFonts w:ascii="Verdana" w:hAnsi="Verdana" w:cs="Arial"/>
          <w:sz w:val="16"/>
          <w:szCs w:val="16"/>
        </w:rPr>
        <w:t>[…]”.</w:t>
      </w:r>
    </w:p>
  </w:footnote>
  <w:footnote w:id="4">
    <w:p w14:paraId="7F2C9D84" w14:textId="77777777" w:rsidR="00201BF3" w:rsidRPr="005C10BE" w:rsidRDefault="00201BF3" w:rsidP="00201BF3">
      <w:pPr>
        <w:pStyle w:val="Textonotapie"/>
        <w:ind w:firstLine="708"/>
        <w:jc w:val="both"/>
        <w:rPr>
          <w:rFonts w:ascii="Verdana" w:hAnsi="Verdana" w:cs="Arial"/>
          <w:sz w:val="16"/>
          <w:szCs w:val="16"/>
        </w:rPr>
      </w:pPr>
    </w:p>
    <w:p w14:paraId="6DA3D5F3" w14:textId="77777777" w:rsidR="00201BF3" w:rsidRPr="005C10BE" w:rsidRDefault="00201BF3" w:rsidP="00201BF3">
      <w:pPr>
        <w:pStyle w:val="Textonotapie"/>
        <w:ind w:firstLine="708"/>
        <w:jc w:val="both"/>
        <w:rPr>
          <w:rFonts w:ascii="Verdana" w:hAnsi="Verdana" w:cs="Arial"/>
          <w:sz w:val="16"/>
          <w:szCs w:val="16"/>
        </w:rPr>
      </w:pPr>
      <w:r w:rsidRPr="005C10BE">
        <w:rPr>
          <w:rStyle w:val="Refdenotaalpie"/>
          <w:rFonts w:ascii="Verdana" w:hAnsi="Verdana" w:cs="Arial"/>
          <w:sz w:val="16"/>
          <w:szCs w:val="16"/>
        </w:rPr>
        <w:footnoteRef/>
      </w:r>
      <w:r w:rsidRPr="005C10BE">
        <w:rPr>
          <w:rFonts w:ascii="Verdana" w:hAnsi="Verdana" w:cs="Arial"/>
          <w:sz w:val="16"/>
          <w:szCs w:val="16"/>
        </w:rPr>
        <w:t xml:space="preserve"> Ley 1150 de 2007,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 w:id="5">
    <w:p w14:paraId="4153B500" w14:textId="77777777" w:rsidR="00201BF3" w:rsidRDefault="00201BF3" w:rsidP="00201BF3">
      <w:pPr>
        <w:pStyle w:val="Textonotapie"/>
        <w:ind w:firstLine="709"/>
        <w:jc w:val="both"/>
        <w:rPr>
          <w:rFonts w:ascii="Verdana" w:hAnsi="Verdana" w:cs="Arial"/>
          <w:color w:val="000000"/>
          <w:sz w:val="16"/>
          <w:szCs w:val="16"/>
        </w:rPr>
      </w:pPr>
    </w:p>
    <w:p w14:paraId="4353A63A" w14:textId="77777777" w:rsidR="00201BF3" w:rsidRPr="005C10BE" w:rsidRDefault="00201BF3" w:rsidP="00201BF3">
      <w:pPr>
        <w:pStyle w:val="Textonotapie"/>
        <w:ind w:firstLine="709"/>
        <w:jc w:val="both"/>
        <w:rPr>
          <w:rFonts w:ascii="Verdana" w:hAnsi="Verdana" w:cs="Arial"/>
          <w:color w:val="000000"/>
          <w:sz w:val="16"/>
          <w:szCs w:val="16"/>
        </w:rPr>
      </w:pPr>
      <w:r w:rsidRPr="005C10BE">
        <w:rPr>
          <w:rStyle w:val="Refdenotaalpie"/>
          <w:rFonts w:ascii="Verdana" w:hAnsi="Verdana" w:cs="Arial"/>
          <w:color w:val="000000"/>
          <w:sz w:val="16"/>
          <w:szCs w:val="16"/>
        </w:rPr>
        <w:footnoteRef/>
      </w:r>
      <w:r w:rsidRPr="005C10BE">
        <w:rPr>
          <w:rFonts w:ascii="Verdana" w:hAnsi="Verdana" w:cs="Arial"/>
          <w:color w:val="000000"/>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B1CE81E" w14:textId="77777777" w:rsidR="00201BF3" w:rsidRPr="005C10BE" w:rsidRDefault="00201BF3" w:rsidP="00201BF3">
      <w:pPr>
        <w:pStyle w:val="Textonotapie"/>
        <w:ind w:firstLine="709"/>
        <w:jc w:val="both"/>
        <w:rPr>
          <w:rFonts w:ascii="Verdana" w:hAnsi="Verdana" w:cs="Arial"/>
          <w:color w:val="000000"/>
          <w:sz w:val="16"/>
          <w:szCs w:val="16"/>
        </w:rPr>
      </w:pPr>
      <w:r w:rsidRPr="005C10BE">
        <w:rPr>
          <w:rFonts w:ascii="Verdana" w:hAnsi="Verdana" w:cs="Arial"/>
          <w:color w:val="000000"/>
          <w:sz w:val="16"/>
          <w:szCs w:val="16"/>
        </w:rPr>
        <w:t>Lo anterior, sin perjuicio de las publicaciones previstas en el numeral 3 del artículo 30 de la Ley 80 de 1993.</w:t>
      </w:r>
    </w:p>
    <w:p w14:paraId="1F01BA11" w14:textId="77777777" w:rsidR="00201BF3" w:rsidRPr="005C10BE" w:rsidRDefault="00201BF3" w:rsidP="00201BF3">
      <w:pPr>
        <w:pStyle w:val="Textonotapie"/>
        <w:ind w:firstLine="709"/>
        <w:jc w:val="both"/>
        <w:rPr>
          <w:rFonts w:ascii="Verdana" w:hAnsi="Verdana" w:cs="Arial"/>
          <w:color w:val="000000"/>
          <w:sz w:val="16"/>
          <w:szCs w:val="16"/>
        </w:rPr>
      </w:pPr>
      <w:r w:rsidRPr="005C10BE">
        <w:rPr>
          <w:rFonts w:ascii="Verdana" w:hAnsi="Verdana" w:cs="Arial"/>
          <w:color w:val="000000"/>
          <w:sz w:val="16"/>
          <w:szCs w:val="16"/>
        </w:rPr>
        <w:t xml:space="preserve">Con el fin de materializar los objetivos a que se refiere el inciso anterior, el Gobierno Nacional desarrollará el Sistema Electrónico para la Contratación Pública, </w:t>
      </w:r>
      <w:r w:rsidRPr="005C10BE">
        <w:rPr>
          <w:rFonts w:ascii="Verdana" w:hAnsi="Verdana" w:cs="Arial"/>
          <w:color w:val="000000"/>
          <w:sz w:val="16"/>
          <w:szCs w:val="16"/>
        </w:rPr>
        <w:t xml:space="preserve">Secop, el cual: </w:t>
      </w:r>
    </w:p>
    <w:p w14:paraId="204BD8B2" w14:textId="77777777" w:rsidR="00201BF3" w:rsidRPr="005C10BE" w:rsidRDefault="00201BF3" w:rsidP="00201BF3">
      <w:pPr>
        <w:pStyle w:val="Textonotapie"/>
        <w:ind w:firstLine="709"/>
        <w:jc w:val="both"/>
        <w:rPr>
          <w:rFonts w:ascii="Verdana" w:hAnsi="Verdana" w:cs="Arial"/>
          <w:color w:val="000000"/>
          <w:sz w:val="16"/>
          <w:szCs w:val="16"/>
        </w:rPr>
      </w:pPr>
      <w:r w:rsidRPr="005C10BE">
        <w:rPr>
          <w:rFonts w:ascii="Verdana" w:hAnsi="Verdana" w:cs="Arial"/>
          <w:color w:val="000000"/>
          <w:sz w:val="16"/>
          <w:szCs w:val="16"/>
        </w:rPr>
        <w:t>[…]</w:t>
      </w:r>
    </w:p>
    <w:p w14:paraId="18C4F930" w14:textId="77777777" w:rsidR="00201BF3" w:rsidRPr="005C10BE" w:rsidRDefault="00201BF3" w:rsidP="00201BF3">
      <w:pPr>
        <w:pStyle w:val="Textonotapie"/>
        <w:ind w:firstLine="709"/>
        <w:jc w:val="both"/>
        <w:rPr>
          <w:rFonts w:ascii="Verdana" w:hAnsi="Verdana" w:cs="Arial"/>
          <w:color w:val="000000"/>
          <w:sz w:val="16"/>
          <w:szCs w:val="16"/>
        </w:rPr>
      </w:pPr>
      <w:r w:rsidRPr="005C10BE">
        <w:rPr>
          <w:rFonts w:ascii="Verdana" w:hAnsi="Verdana" w:cs="Arial"/>
          <w:color w:val="000000"/>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579855B7" w14:textId="77777777" w:rsidR="00201BF3" w:rsidRPr="005C10BE" w:rsidRDefault="00201BF3" w:rsidP="00201BF3">
      <w:pPr>
        <w:pStyle w:val="Textonotapie"/>
        <w:ind w:firstLine="709"/>
        <w:jc w:val="both"/>
        <w:rPr>
          <w:rFonts w:ascii="Verdana" w:hAnsi="Verdana" w:cs="Arial"/>
          <w:color w:val="000000"/>
          <w:sz w:val="16"/>
          <w:szCs w:val="16"/>
          <w:lang w:val="es-CO"/>
        </w:rPr>
      </w:pPr>
    </w:p>
  </w:footnote>
  <w:footnote w:id="6">
    <w:p w14:paraId="0A1D3EED" w14:textId="77777777" w:rsidR="00201BF3" w:rsidRPr="005C10BE" w:rsidRDefault="00201BF3" w:rsidP="00201BF3">
      <w:pPr>
        <w:pStyle w:val="Textonotapie"/>
        <w:ind w:firstLine="709"/>
        <w:jc w:val="both"/>
        <w:rPr>
          <w:rFonts w:ascii="Verdana" w:hAnsi="Verdana" w:cs="Arial"/>
          <w:color w:val="000000"/>
          <w:sz w:val="16"/>
          <w:szCs w:val="16"/>
        </w:rPr>
      </w:pPr>
      <w:r w:rsidRPr="005C10BE">
        <w:rPr>
          <w:rStyle w:val="Refdenotaalpie"/>
          <w:rFonts w:ascii="Verdana" w:hAnsi="Verdana" w:cs="Arial"/>
          <w:color w:val="000000"/>
          <w:sz w:val="16"/>
          <w:szCs w:val="16"/>
        </w:rPr>
        <w:footnoteRef/>
      </w:r>
      <w:r w:rsidRPr="005C10BE">
        <w:rPr>
          <w:rFonts w:ascii="Verdana" w:hAnsi="Verdana" w:cs="Arial"/>
          <w:color w:val="000000"/>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F03BDBA" w14:textId="77777777" w:rsidR="00201BF3" w:rsidRPr="005C10BE" w:rsidRDefault="00201BF3" w:rsidP="00201BF3">
      <w:pPr>
        <w:pStyle w:val="Textonotapie"/>
        <w:ind w:firstLine="709"/>
        <w:jc w:val="both"/>
        <w:rPr>
          <w:rFonts w:ascii="Verdana" w:hAnsi="Verdana" w:cs="Arial"/>
          <w:color w:val="000000"/>
          <w:sz w:val="16"/>
          <w:szCs w:val="16"/>
          <w:lang w:val="es-CO"/>
        </w:rPr>
      </w:pPr>
    </w:p>
  </w:footnote>
  <w:footnote w:id="7">
    <w:p w14:paraId="6D9241D0" w14:textId="77777777" w:rsidR="00201BF3" w:rsidRPr="005C10BE" w:rsidRDefault="00201BF3" w:rsidP="00201BF3">
      <w:pPr>
        <w:pStyle w:val="Textonotapie"/>
        <w:ind w:firstLine="709"/>
        <w:jc w:val="both"/>
        <w:rPr>
          <w:rFonts w:ascii="Verdana" w:hAnsi="Verdana" w:cs="Arial"/>
          <w:color w:val="000000"/>
          <w:sz w:val="16"/>
          <w:szCs w:val="16"/>
        </w:rPr>
      </w:pPr>
      <w:r w:rsidRPr="005C10BE">
        <w:rPr>
          <w:rStyle w:val="Refdenotaalpie"/>
          <w:rFonts w:ascii="Verdana" w:hAnsi="Verdana" w:cs="Arial"/>
          <w:color w:val="000000"/>
          <w:sz w:val="16"/>
          <w:szCs w:val="16"/>
        </w:rPr>
        <w:footnoteRef/>
      </w:r>
      <w:r w:rsidRPr="005C10BE">
        <w:rPr>
          <w:rFonts w:ascii="Verdana" w:hAnsi="Verdana" w:cs="Arial"/>
          <w:color w:val="000000"/>
          <w:sz w:val="16"/>
          <w:szCs w:val="16"/>
        </w:rPr>
        <w:t xml:space="preserve"> Ley 1712 de 2014: “Artículo 5. Ámbito de aplicación. Las disposiciones de esta ley serán aplicables a las siguientes personas en calidad de sujetos obligados: </w:t>
      </w:r>
    </w:p>
    <w:p w14:paraId="1EF3C013" w14:textId="77777777" w:rsidR="00201BF3" w:rsidRPr="005C10BE" w:rsidRDefault="00201BF3" w:rsidP="00201BF3">
      <w:pPr>
        <w:pStyle w:val="Textonotapie"/>
        <w:ind w:firstLine="709"/>
        <w:jc w:val="both"/>
        <w:rPr>
          <w:rFonts w:ascii="Verdana" w:hAnsi="Verdana" w:cs="Arial"/>
          <w:color w:val="000000"/>
          <w:sz w:val="16"/>
          <w:szCs w:val="16"/>
        </w:rPr>
      </w:pPr>
      <w:r w:rsidRPr="005C10BE">
        <w:rPr>
          <w:rFonts w:ascii="Verdana" w:hAnsi="Verdana" w:cs="Arial"/>
          <w:color w:val="000000"/>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81C67F5" w14:textId="77777777" w:rsidR="00201BF3" w:rsidRPr="005C10BE" w:rsidRDefault="00201BF3" w:rsidP="00201BF3">
      <w:pPr>
        <w:pStyle w:val="Textonotapie"/>
        <w:ind w:firstLine="709"/>
        <w:jc w:val="both"/>
        <w:rPr>
          <w:rFonts w:ascii="Verdana" w:hAnsi="Verdana" w:cs="Arial"/>
          <w:color w:val="000000"/>
          <w:sz w:val="16"/>
          <w:szCs w:val="16"/>
          <w:lang w:val="es-CO"/>
        </w:rPr>
      </w:pPr>
    </w:p>
  </w:footnote>
  <w:footnote w:id="8">
    <w:p w14:paraId="44CCC751" w14:textId="77777777" w:rsidR="00201BF3" w:rsidRPr="005C10BE" w:rsidRDefault="00201BF3" w:rsidP="00201BF3">
      <w:pPr>
        <w:pStyle w:val="Textonotapie"/>
        <w:ind w:firstLine="709"/>
        <w:jc w:val="both"/>
        <w:rPr>
          <w:rFonts w:ascii="Verdana" w:hAnsi="Verdana" w:cs="Arial"/>
          <w:color w:val="000000"/>
          <w:sz w:val="16"/>
          <w:szCs w:val="16"/>
        </w:rPr>
      </w:pPr>
      <w:r w:rsidRPr="005C10BE">
        <w:rPr>
          <w:rFonts w:ascii="Verdana" w:eastAsia="Times New Roman" w:hAnsi="Verdana" w:cs="Arial"/>
          <w:color w:val="000000"/>
          <w:sz w:val="16"/>
          <w:szCs w:val="16"/>
          <w:vertAlign w:val="superscript"/>
          <w:lang w:val="es-ES" w:eastAsia="es-ES"/>
        </w:rPr>
        <w:footnoteRef/>
      </w:r>
      <w:r w:rsidRPr="005C10BE">
        <w:rPr>
          <w:rFonts w:ascii="Verdana" w:eastAsia="Times New Roman" w:hAnsi="Verdana" w:cs="Arial"/>
          <w:color w:val="000000"/>
          <w:sz w:val="16"/>
          <w:szCs w:val="16"/>
          <w:vertAlign w:val="superscript"/>
          <w:lang w:val="es-ES" w:eastAsia="es-ES"/>
        </w:rPr>
        <w:t xml:space="preserve"> </w:t>
      </w:r>
      <w:r w:rsidRPr="005C10BE">
        <w:rPr>
          <w:rFonts w:ascii="Verdana" w:eastAsia="Times New Roman" w:hAnsi="Verdana" w:cs="Arial"/>
          <w:color w:val="000000"/>
          <w:sz w:val="16"/>
          <w:szCs w:val="16"/>
          <w:lang w:val="es-ES" w:eastAsia="es-ES"/>
        </w:rPr>
        <w:t>“</w:t>
      </w:r>
      <w:r w:rsidRPr="005C10BE">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F0759CB" w14:textId="77777777" w:rsidR="00201BF3" w:rsidRPr="005C10BE" w:rsidRDefault="00201BF3" w:rsidP="00201BF3">
      <w:pPr>
        <w:pStyle w:val="Textonotapie"/>
        <w:ind w:firstLine="709"/>
        <w:jc w:val="both"/>
        <w:rPr>
          <w:rFonts w:ascii="Verdana" w:eastAsia="Times New Roman" w:hAnsi="Verdana" w:cs="Arial"/>
          <w:color w:val="000000"/>
          <w:sz w:val="16"/>
          <w:szCs w:val="16"/>
          <w:lang w:val="es-ES" w:eastAsia="es-ES"/>
        </w:rPr>
      </w:pPr>
      <w:r w:rsidRPr="005C10BE">
        <w:rPr>
          <w:rFonts w:ascii="Verdana" w:hAnsi="Verdana" w:cs="Arial"/>
          <w:color w:val="000000"/>
          <w:sz w:val="16"/>
          <w:szCs w:val="16"/>
        </w:rPr>
        <w:t>[…].</w:t>
      </w:r>
    </w:p>
    <w:p w14:paraId="580CCC1D" w14:textId="77777777" w:rsidR="00201BF3" w:rsidRPr="005C10BE" w:rsidRDefault="00201BF3" w:rsidP="00201BF3">
      <w:pPr>
        <w:pStyle w:val="Textonotapie"/>
        <w:ind w:firstLine="709"/>
        <w:jc w:val="both"/>
        <w:rPr>
          <w:rFonts w:ascii="Verdana" w:eastAsia="Times New Roman" w:hAnsi="Verdana" w:cs="Arial"/>
          <w:color w:val="000000"/>
          <w:sz w:val="16"/>
          <w:szCs w:val="16"/>
          <w:lang w:val="es-ES" w:eastAsia="es-ES"/>
        </w:rPr>
      </w:pPr>
      <w:r w:rsidRPr="005C10BE">
        <w:rPr>
          <w:rFonts w:ascii="Verdana" w:eastAsia="Times New Roman"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7DFF48AD" w14:textId="77777777" w:rsidR="00201BF3" w:rsidRPr="005C10BE" w:rsidRDefault="00201BF3" w:rsidP="00201BF3">
      <w:pPr>
        <w:pStyle w:val="Textonotapie"/>
        <w:ind w:firstLine="709"/>
        <w:jc w:val="both"/>
        <w:rPr>
          <w:rFonts w:ascii="Verdana" w:eastAsia="Times New Roman" w:hAnsi="Verdana" w:cs="Arial"/>
          <w:color w:val="000000"/>
          <w:sz w:val="16"/>
          <w:szCs w:val="16"/>
          <w:lang w:val="es-ES" w:eastAsia="es-ES"/>
        </w:rPr>
      </w:pPr>
    </w:p>
  </w:footnote>
  <w:footnote w:id="9">
    <w:p w14:paraId="45941460" w14:textId="77777777" w:rsidR="00201BF3" w:rsidRPr="005C10BE" w:rsidRDefault="00201BF3" w:rsidP="00201BF3">
      <w:pPr>
        <w:pStyle w:val="Textonotapie"/>
        <w:ind w:firstLine="709"/>
        <w:jc w:val="both"/>
        <w:rPr>
          <w:rFonts w:ascii="Verdana" w:hAnsi="Verdana" w:cs="Arial"/>
          <w:color w:val="000000"/>
          <w:sz w:val="16"/>
          <w:szCs w:val="16"/>
        </w:rPr>
      </w:pPr>
      <w:r w:rsidRPr="005C10BE">
        <w:rPr>
          <w:rStyle w:val="Refdenotaalpie"/>
          <w:rFonts w:ascii="Verdana" w:hAnsi="Verdana" w:cs="Arial"/>
          <w:color w:val="000000"/>
          <w:sz w:val="16"/>
          <w:szCs w:val="16"/>
        </w:rPr>
        <w:footnoteRef/>
      </w:r>
      <w:r w:rsidRPr="005C10BE">
        <w:rPr>
          <w:rFonts w:ascii="Verdana" w:hAnsi="Verdana" w:cs="Arial"/>
          <w:color w:val="000000"/>
          <w:sz w:val="16"/>
          <w:szCs w:val="16"/>
        </w:rPr>
        <w:t xml:space="preserve"> C</w:t>
      </w:r>
      <w:r w:rsidRPr="005C10BE">
        <w:rPr>
          <w:rFonts w:ascii="Verdana" w:eastAsia="Times New Roman" w:hAnsi="Verdana" w:cs="Arial"/>
          <w:color w:val="000000"/>
          <w:sz w:val="16"/>
          <w:szCs w:val="16"/>
          <w:lang w:val="es-ES" w:eastAsia="es-ES"/>
        </w:rPr>
        <w:t>orte Constitucional. Sentencia C‒274 de 9 de mayo de 2013. M.P. Mar</w:t>
      </w:r>
      <w:r w:rsidRPr="005C10BE">
        <w:rPr>
          <w:rFonts w:ascii="Verdana" w:eastAsia="Times New Roman" w:hAnsi="Verdana" w:cs="Century Gothic"/>
          <w:color w:val="000000"/>
          <w:sz w:val="16"/>
          <w:szCs w:val="16"/>
          <w:lang w:val="es-ES" w:eastAsia="es-ES"/>
        </w:rPr>
        <w:t>í</w:t>
      </w:r>
      <w:r w:rsidRPr="005C10BE">
        <w:rPr>
          <w:rFonts w:ascii="Verdana" w:eastAsia="Times New Roman" w:hAnsi="Verdana" w:cs="Arial"/>
          <w:color w:val="000000"/>
          <w:sz w:val="16"/>
          <w:szCs w:val="16"/>
          <w:lang w:val="es-ES" w:eastAsia="es-ES"/>
        </w:rPr>
        <w:t xml:space="preserve">a Victoria Calle Correa. </w:t>
      </w:r>
    </w:p>
    <w:p w14:paraId="5CDE86B5" w14:textId="77777777" w:rsidR="00201BF3" w:rsidRPr="005C10BE" w:rsidRDefault="00201BF3" w:rsidP="00201BF3">
      <w:pPr>
        <w:pStyle w:val="Textonotapie"/>
        <w:ind w:firstLine="709"/>
        <w:jc w:val="both"/>
        <w:rPr>
          <w:rFonts w:ascii="Verdana" w:hAnsi="Verdana" w:cs="Arial"/>
          <w:color w:val="000000"/>
          <w:sz w:val="16"/>
          <w:szCs w:val="16"/>
          <w:lang w:val="es-CO"/>
        </w:rPr>
      </w:pPr>
    </w:p>
  </w:footnote>
  <w:footnote w:id="10">
    <w:p w14:paraId="5FE2B3CE" w14:textId="77777777" w:rsidR="00201BF3" w:rsidRPr="005C10BE" w:rsidRDefault="00201BF3" w:rsidP="00201BF3">
      <w:pPr>
        <w:pStyle w:val="Textonotapie"/>
        <w:ind w:firstLine="708"/>
        <w:jc w:val="both"/>
        <w:rPr>
          <w:rFonts w:ascii="Verdana" w:hAnsi="Verdana"/>
          <w:sz w:val="16"/>
          <w:szCs w:val="16"/>
        </w:rPr>
      </w:pPr>
      <w:r w:rsidRPr="005C10BE">
        <w:rPr>
          <w:rStyle w:val="Refdenotaalpie"/>
          <w:rFonts w:ascii="Verdana" w:hAnsi="Verdana"/>
          <w:sz w:val="16"/>
          <w:szCs w:val="16"/>
        </w:rPr>
        <w:footnoteRef/>
      </w:r>
      <w:r w:rsidRPr="005C10BE">
        <w:rPr>
          <w:rFonts w:ascii="Verdana" w:hAnsi="Verdana"/>
          <w:sz w:val="16"/>
          <w:szCs w:val="16"/>
        </w:rPr>
        <w:t xml:space="preserve"> Adiciónese los siguientes incisos al artículo 13 de la Ley 1150 de 2007, el cual quedará así:</w:t>
      </w:r>
    </w:p>
    <w:p w14:paraId="1718CED0" w14:textId="77777777" w:rsidR="00201BF3" w:rsidRPr="005C10BE" w:rsidRDefault="00201BF3" w:rsidP="00201BF3">
      <w:pPr>
        <w:pStyle w:val="Textonotapie"/>
        <w:ind w:firstLine="708"/>
        <w:jc w:val="both"/>
        <w:rPr>
          <w:rFonts w:ascii="Verdana" w:hAnsi="Verdana"/>
          <w:sz w:val="16"/>
          <w:szCs w:val="16"/>
        </w:rPr>
      </w:pPr>
    </w:p>
    <w:p w14:paraId="2DC2C766" w14:textId="77777777" w:rsidR="00201BF3" w:rsidRPr="005C10BE" w:rsidRDefault="00201BF3" w:rsidP="00201BF3">
      <w:pPr>
        <w:pStyle w:val="Textonotapie"/>
        <w:ind w:firstLine="708"/>
        <w:jc w:val="both"/>
        <w:rPr>
          <w:rFonts w:ascii="Verdana" w:hAnsi="Verdana"/>
          <w:sz w:val="16"/>
          <w:szCs w:val="16"/>
        </w:rPr>
      </w:pPr>
      <w:r w:rsidRPr="005C10BE">
        <w:rPr>
          <w:rFonts w:ascii="Verdana" w:hAnsi="Verdana"/>
          <w:sz w:val="16"/>
          <w:szCs w:val="16"/>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468529F" w14:textId="77777777" w:rsidR="00201BF3" w:rsidRPr="005C10BE" w:rsidRDefault="00201BF3" w:rsidP="00201BF3">
      <w:pPr>
        <w:pStyle w:val="Textonotapie"/>
        <w:ind w:firstLine="708"/>
        <w:jc w:val="both"/>
        <w:rPr>
          <w:rFonts w:ascii="Verdana" w:hAnsi="Verdana"/>
          <w:sz w:val="16"/>
          <w:szCs w:val="16"/>
        </w:rPr>
      </w:pPr>
    </w:p>
    <w:p w14:paraId="51366AF0" w14:textId="77777777" w:rsidR="00201BF3" w:rsidRPr="005C10BE" w:rsidRDefault="00201BF3" w:rsidP="00201BF3">
      <w:pPr>
        <w:pStyle w:val="Textonotapie"/>
        <w:ind w:firstLine="708"/>
        <w:jc w:val="both"/>
        <w:rPr>
          <w:rFonts w:ascii="Verdana" w:hAnsi="Verdana"/>
          <w:sz w:val="16"/>
          <w:szCs w:val="16"/>
        </w:rPr>
      </w:pPr>
      <w:r w:rsidRPr="005C10BE">
        <w:rPr>
          <w:rFonts w:ascii="Verdana" w:hAnsi="Verdana"/>
          <w:sz w:val="16"/>
          <w:szCs w:val="16"/>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r w:rsidRPr="005C10BE">
        <w:rPr>
          <w:rFonts w:ascii="Verdana" w:hAnsi="Verdana"/>
          <w:sz w:val="16"/>
          <w:szCs w:val="16"/>
        </w:rPr>
        <w:t>postcontractual.</w:t>
      </w:r>
    </w:p>
    <w:p w14:paraId="2FB15679" w14:textId="77777777" w:rsidR="00201BF3" w:rsidRPr="005C10BE" w:rsidRDefault="00201BF3" w:rsidP="00201BF3">
      <w:pPr>
        <w:pStyle w:val="Textonotapie"/>
        <w:ind w:firstLine="708"/>
        <w:jc w:val="both"/>
        <w:rPr>
          <w:rFonts w:ascii="Verdana" w:hAnsi="Verdana"/>
          <w:sz w:val="16"/>
          <w:szCs w:val="16"/>
        </w:rPr>
      </w:pPr>
    </w:p>
    <w:p w14:paraId="414F3F44" w14:textId="77777777" w:rsidR="00201BF3" w:rsidRPr="005C10BE" w:rsidRDefault="00201BF3" w:rsidP="00201BF3">
      <w:pPr>
        <w:pStyle w:val="Textonotapie"/>
        <w:ind w:firstLine="708"/>
        <w:jc w:val="both"/>
        <w:rPr>
          <w:rFonts w:ascii="Verdana" w:hAnsi="Verdana"/>
          <w:sz w:val="16"/>
          <w:szCs w:val="16"/>
          <w:lang w:val="es-CO"/>
        </w:rPr>
      </w:pPr>
      <w:r w:rsidRPr="005C10BE">
        <w:rPr>
          <w:rFonts w:ascii="Verdana" w:hAnsi="Verdana"/>
          <w:sz w:val="16"/>
          <w:szCs w:val="16"/>
        </w:rPr>
        <w:t>A partir de la entrada en vigencia de la presente Ley, se establecerá un periodo de transición de seis (6) meses, para que las entidades den cumplimiento efectivo a lo aquí establecido.</w:t>
      </w:r>
    </w:p>
  </w:footnote>
  <w:footnote w:id="11">
    <w:p w14:paraId="183AEF58" w14:textId="77777777" w:rsidR="00201BF3" w:rsidRPr="005C10BE" w:rsidRDefault="00201BF3" w:rsidP="00201BF3">
      <w:pPr>
        <w:pStyle w:val="Textonotapie"/>
        <w:ind w:firstLine="708"/>
        <w:contextualSpacing/>
        <w:jc w:val="both"/>
        <w:rPr>
          <w:rFonts w:ascii="Verdana" w:hAnsi="Verdana" w:cs="Arial"/>
          <w:sz w:val="16"/>
          <w:szCs w:val="16"/>
        </w:rPr>
      </w:pPr>
    </w:p>
    <w:p w14:paraId="27FCBC11" w14:textId="77777777" w:rsidR="00201BF3" w:rsidRPr="005C10BE" w:rsidRDefault="00201BF3" w:rsidP="00201BF3">
      <w:pPr>
        <w:pStyle w:val="Textonotapie"/>
        <w:ind w:firstLine="708"/>
        <w:contextualSpacing/>
        <w:jc w:val="both"/>
        <w:rPr>
          <w:rFonts w:ascii="Verdana" w:hAnsi="Verdana" w:cs="Arial"/>
          <w:sz w:val="16"/>
          <w:szCs w:val="16"/>
          <w:lang w:val="es-CO"/>
        </w:rPr>
      </w:pPr>
      <w:r w:rsidRPr="005C10BE">
        <w:rPr>
          <w:rStyle w:val="Refdenotaalpie"/>
          <w:rFonts w:ascii="Verdana" w:hAnsi="Verdana" w:cs="Arial"/>
          <w:sz w:val="16"/>
          <w:szCs w:val="16"/>
        </w:rPr>
        <w:footnoteRef/>
      </w:r>
      <w:r w:rsidRPr="005C10BE">
        <w:rPr>
          <w:rFonts w:ascii="Verdana" w:hAnsi="Verdana" w:cs="Arial"/>
          <w:sz w:val="16"/>
          <w:szCs w:val="16"/>
        </w:rPr>
        <w:t xml:space="preserve"> Ley 1150 de 2007. “Artículo 1. Objeto. La presente ley tiene por objeto introducir modificaciones en la Ley 80 de 1993, así como dictar otras disposiciones generales aplicables a toda contratación con recursos públicos”.</w:t>
      </w:r>
    </w:p>
  </w:footnote>
  <w:footnote w:id="12">
    <w:p w14:paraId="25C79B63" w14:textId="77777777" w:rsidR="00201BF3" w:rsidRPr="005C10BE" w:rsidRDefault="00201BF3" w:rsidP="00201BF3">
      <w:pPr>
        <w:autoSpaceDE w:val="0"/>
        <w:autoSpaceDN w:val="0"/>
        <w:adjustRightInd w:val="0"/>
        <w:spacing w:after="0" w:line="240" w:lineRule="auto"/>
        <w:ind w:firstLine="708"/>
        <w:contextualSpacing/>
        <w:jc w:val="both"/>
        <w:rPr>
          <w:rFonts w:ascii="Verdana" w:eastAsia="Calibri" w:hAnsi="Verdana" w:cs="Arial"/>
          <w:sz w:val="16"/>
          <w:szCs w:val="16"/>
          <w:lang w:val="es-ES" w:eastAsia="es-ES_tradnl"/>
        </w:rPr>
      </w:pPr>
      <w:r w:rsidRPr="005C10BE">
        <w:rPr>
          <w:rStyle w:val="Refdenotaalpie"/>
          <w:rFonts w:ascii="Verdana" w:hAnsi="Verdana" w:cs="Arial"/>
          <w:sz w:val="16"/>
          <w:szCs w:val="16"/>
        </w:rPr>
        <w:footnoteRef/>
      </w:r>
      <w:r w:rsidRPr="005C10BE">
        <w:rPr>
          <w:rFonts w:ascii="Verdana" w:hAnsi="Verdana" w:cs="Arial"/>
          <w:sz w:val="16"/>
          <w:szCs w:val="16"/>
        </w:rPr>
        <w:t xml:space="preserve"> Disponible en el siguiente enlace: </w:t>
      </w:r>
      <w:hyperlink r:id="rId1" w:history="1">
        <w:r w:rsidRPr="005C10BE">
          <w:rPr>
            <w:rStyle w:val="Hipervnculo"/>
            <w:rFonts w:ascii="Verdana" w:hAnsi="Verdana" w:cs="Arial"/>
            <w:sz w:val="16"/>
            <w:szCs w:val="16"/>
          </w:rPr>
          <w:t>https://www.colombiacompra.gov.co/sites/cce_public/files/cce_circulares/doc-20240823-wa0021.pdf</w:t>
        </w:r>
      </w:hyperlink>
      <w:r w:rsidRPr="005C10BE">
        <w:rPr>
          <w:rFonts w:ascii="Verdana" w:hAnsi="Verdana" w:cs="Arial"/>
          <w:sz w:val="16"/>
          <w:szCs w:val="16"/>
        </w:rPr>
        <w:t xml:space="preserve"> </w:t>
      </w:r>
    </w:p>
    <w:p w14:paraId="75A0FC2E" w14:textId="77777777" w:rsidR="00201BF3" w:rsidRPr="005C10BE" w:rsidRDefault="00201BF3" w:rsidP="00201BF3">
      <w:pPr>
        <w:autoSpaceDE w:val="0"/>
        <w:autoSpaceDN w:val="0"/>
        <w:adjustRightInd w:val="0"/>
        <w:spacing w:after="0" w:line="240" w:lineRule="auto"/>
        <w:ind w:firstLine="708"/>
        <w:contextualSpacing/>
        <w:jc w:val="both"/>
        <w:rPr>
          <w:rFonts w:ascii="Verdana" w:eastAsia="Times New Roman" w:hAnsi="Verdana" w:cs="Arial"/>
          <w:sz w:val="16"/>
          <w:szCs w:val="16"/>
          <w:lang w:eastAsia="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5B09" w14:textId="77777777" w:rsidR="0014060D" w:rsidRDefault="006F5474">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B960CC9" wp14:editId="767568F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147AB03" wp14:editId="0578544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6C3885" w14:textId="77777777" w:rsidR="0014060D" w:rsidRDefault="0014060D">
    <w:pPr>
      <w:pStyle w:val="Encabezado"/>
    </w:pPr>
  </w:p>
  <w:p w14:paraId="21C10E66" w14:textId="77777777" w:rsidR="0014060D" w:rsidRDefault="0014060D" w:rsidP="004A305D">
    <w:pPr>
      <w:spacing w:after="0"/>
      <w:rPr>
        <w:rFonts w:ascii="Verdana" w:hAnsi="Verdana"/>
        <w:b/>
        <w:bCs/>
      </w:rPr>
    </w:pPr>
  </w:p>
  <w:p w14:paraId="06522EDB" w14:textId="77777777" w:rsidR="0014060D" w:rsidRPr="004A305D" w:rsidRDefault="0014060D" w:rsidP="00B01B1A">
    <w:pPr>
      <w:spacing w:after="0" w:line="120" w:lineRule="auto"/>
      <w:rPr>
        <w:rFonts w:ascii="Century Gothic" w:eastAsia="Geo" w:hAnsi="Century Gothic" w:cs="Geo"/>
        <w:sz w:val="16"/>
        <w:szCs w:val="16"/>
        <w:lang w:eastAsia="es-CO"/>
      </w:rPr>
    </w:pPr>
  </w:p>
  <w:p w14:paraId="19DC4C32" w14:textId="77777777" w:rsidR="0014060D" w:rsidRDefault="0014060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F3"/>
    <w:rsid w:val="0014060D"/>
    <w:rsid w:val="00183226"/>
    <w:rsid w:val="00201BF3"/>
    <w:rsid w:val="00557D11"/>
    <w:rsid w:val="006F5474"/>
    <w:rsid w:val="007116FF"/>
    <w:rsid w:val="00717FE2"/>
    <w:rsid w:val="00810250"/>
    <w:rsid w:val="00A86BDC"/>
    <w:rsid w:val="00C662B8"/>
    <w:rsid w:val="00F57F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2687"/>
  <w15:chartTrackingRefBased/>
  <w15:docId w15:val="{3A5D177A-D925-40BA-A45A-5A72CEB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3"/>
    <w:pPr>
      <w:spacing w:line="259" w:lineRule="auto"/>
    </w:pPr>
    <w:rPr>
      <w:kern w:val="0"/>
      <w:sz w:val="22"/>
      <w:szCs w:val="22"/>
      <w14:ligatures w14:val="none"/>
    </w:rPr>
  </w:style>
  <w:style w:type="paragraph" w:styleId="Ttulo1">
    <w:name w:val="heading 1"/>
    <w:basedOn w:val="Normal"/>
    <w:next w:val="Normal"/>
    <w:link w:val="Ttulo1Car"/>
    <w:uiPriority w:val="9"/>
    <w:qFormat/>
    <w:rsid w:val="00201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1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1B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1B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1B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1B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1B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1B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1B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B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1B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1B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1B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1B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1B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1B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1B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1BF3"/>
    <w:rPr>
      <w:rFonts w:eastAsiaTheme="majorEastAsia" w:cstheme="majorBidi"/>
      <w:color w:val="272727" w:themeColor="text1" w:themeTint="D8"/>
    </w:rPr>
  </w:style>
  <w:style w:type="paragraph" w:styleId="Ttulo">
    <w:name w:val="Title"/>
    <w:basedOn w:val="Normal"/>
    <w:next w:val="Normal"/>
    <w:link w:val="TtuloCar"/>
    <w:uiPriority w:val="10"/>
    <w:qFormat/>
    <w:rsid w:val="00201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1B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1B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1B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1BF3"/>
    <w:pPr>
      <w:spacing w:before="160"/>
      <w:jc w:val="center"/>
    </w:pPr>
    <w:rPr>
      <w:i/>
      <w:iCs/>
      <w:color w:val="404040" w:themeColor="text1" w:themeTint="BF"/>
    </w:rPr>
  </w:style>
  <w:style w:type="character" w:customStyle="1" w:styleId="CitaCar">
    <w:name w:val="Cita Car"/>
    <w:basedOn w:val="Fuentedeprrafopredeter"/>
    <w:link w:val="Cita"/>
    <w:uiPriority w:val="29"/>
    <w:rsid w:val="00201BF3"/>
    <w:rPr>
      <w:i/>
      <w:iCs/>
      <w:color w:val="404040" w:themeColor="text1" w:themeTint="BF"/>
    </w:rPr>
  </w:style>
  <w:style w:type="paragraph" w:styleId="Prrafodelista">
    <w:name w:val="List Paragraph"/>
    <w:basedOn w:val="Normal"/>
    <w:uiPriority w:val="34"/>
    <w:qFormat/>
    <w:rsid w:val="00201BF3"/>
    <w:pPr>
      <w:ind w:left="720"/>
      <w:contextualSpacing/>
    </w:pPr>
  </w:style>
  <w:style w:type="character" w:styleId="nfasisintenso">
    <w:name w:val="Intense Emphasis"/>
    <w:basedOn w:val="Fuentedeprrafopredeter"/>
    <w:uiPriority w:val="21"/>
    <w:qFormat/>
    <w:rsid w:val="00201BF3"/>
    <w:rPr>
      <w:i/>
      <w:iCs/>
      <w:color w:val="0F4761" w:themeColor="accent1" w:themeShade="BF"/>
    </w:rPr>
  </w:style>
  <w:style w:type="paragraph" w:styleId="Citadestacada">
    <w:name w:val="Intense Quote"/>
    <w:basedOn w:val="Normal"/>
    <w:next w:val="Normal"/>
    <w:link w:val="CitadestacadaCar"/>
    <w:uiPriority w:val="30"/>
    <w:qFormat/>
    <w:rsid w:val="00201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1BF3"/>
    <w:rPr>
      <w:i/>
      <w:iCs/>
      <w:color w:val="0F4761" w:themeColor="accent1" w:themeShade="BF"/>
    </w:rPr>
  </w:style>
  <w:style w:type="character" w:styleId="Referenciaintensa">
    <w:name w:val="Intense Reference"/>
    <w:basedOn w:val="Fuentedeprrafopredeter"/>
    <w:uiPriority w:val="32"/>
    <w:qFormat/>
    <w:rsid w:val="00201BF3"/>
    <w:rPr>
      <w:b/>
      <w:bCs/>
      <w:smallCaps/>
      <w:color w:val="0F4761" w:themeColor="accent1" w:themeShade="BF"/>
      <w:spacing w:val="5"/>
    </w:rPr>
  </w:style>
  <w:style w:type="paragraph" w:styleId="Encabezado">
    <w:name w:val="header"/>
    <w:basedOn w:val="Normal"/>
    <w:link w:val="EncabezadoCar"/>
    <w:uiPriority w:val="99"/>
    <w:unhideWhenUsed/>
    <w:rsid w:val="00201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BF3"/>
    <w:rPr>
      <w:kern w:val="0"/>
      <w:sz w:val="22"/>
      <w:szCs w:val="22"/>
      <w14:ligatures w14:val="none"/>
    </w:rPr>
  </w:style>
  <w:style w:type="paragraph" w:styleId="Piedepgina">
    <w:name w:val="footer"/>
    <w:basedOn w:val="Normal"/>
    <w:link w:val="PiedepginaCar"/>
    <w:uiPriority w:val="99"/>
    <w:unhideWhenUsed/>
    <w:rsid w:val="00201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BF3"/>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01BF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201BF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01BF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01BF3"/>
    <w:rPr>
      <w:vertAlign w:val="superscript"/>
    </w:rPr>
  </w:style>
  <w:style w:type="table" w:styleId="Tablaconcuadrcula">
    <w:name w:val="Table Grid"/>
    <w:basedOn w:val="Tablanormal"/>
    <w:uiPriority w:val="39"/>
    <w:qFormat/>
    <w:rsid w:val="00201BF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1BF3"/>
    <w:rPr>
      <w:color w:val="0000FF"/>
      <w:u w:val="single"/>
    </w:rPr>
  </w:style>
  <w:style w:type="paragraph" w:customStyle="1" w:styleId="paragraph">
    <w:name w:val="paragraph"/>
    <w:basedOn w:val="Normal"/>
    <w:rsid w:val="00201B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201BF3"/>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201BF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olombiacompra.gov.co/sites/cce_public/files/cce_circulares/circular_externa_unica_version_3_vf4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ecretariasenado.gov.co/senado/basedoc/ley_0080_1993.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iv&amp;data=05%7C02%7Calejandro.sarmiento%40colombiacompra.gov.co%7C616b83c3423e4d31151908dce489c00d%7C7b09041e245149d08cb179d5e3d8c1be%7C0%7C0%7C638636527541311691%7CUnknown%7CTWFpbGZsb3d8eyJWIjoiMC4wLjAwMDAiLCJQIjoiV2luMzIiLCJBTiI6Ik1haWwiLCJXVCI6Mn0%3D%7C0%7C%7C%7C&amp;sdata=R8HyFWlp5ivsLiDO4o6hXop5W1bOhKuDN8pp95wdvXw%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caralape1@hotmail.com" TargetMode="External"/><Relationship Id="rId5" Type="http://schemas.openxmlformats.org/officeDocument/2006/relationships/styles" Target="styles.xml"/><Relationship Id="rId15" Type="http://schemas.openxmlformats.org/officeDocument/2006/relationships/hyperlink" Target="https://relatoria.colombiacompra.gov.co/"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colombiacompra.gov.co/sites/cce_public/files/cce_circulares/doc-20240823-wa00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doc-20240823-wa0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98810-6103-4C92-8C21-CB8EB19A56C5}">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a6cb9e4b-f1d1-4245-83ec-6cad768d538a"/>
    <ds:schemaRef ds:uri="9d85dbaf-23eb-4e57-a637-93dcacc8b1a1"/>
    <ds:schemaRef ds:uri="http://schemas.microsoft.com/office/2006/metadata/properties"/>
  </ds:schemaRefs>
</ds:datastoreItem>
</file>

<file path=customXml/itemProps2.xml><?xml version="1.0" encoding="utf-8"?>
<ds:datastoreItem xmlns:ds="http://schemas.openxmlformats.org/officeDocument/2006/customXml" ds:itemID="{9357D55F-BAE7-4831-B549-23246DDA30D8}">
  <ds:schemaRefs>
    <ds:schemaRef ds:uri="http://schemas.microsoft.com/sharepoint/v3/contenttype/forms"/>
  </ds:schemaRefs>
</ds:datastoreItem>
</file>

<file path=customXml/itemProps3.xml><?xml version="1.0" encoding="utf-8"?>
<ds:datastoreItem xmlns:ds="http://schemas.openxmlformats.org/officeDocument/2006/customXml" ds:itemID="{F853A33D-7BE1-4F20-A7A8-FBF3D708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4268</Words>
  <Characters>23479</Characters>
  <Application>Microsoft Office Word</Application>
  <DocSecurity>0</DocSecurity>
  <Lines>195</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2024-10-17T20:19:00Z</dcterms:created>
  <dcterms:modified xsi:type="dcterms:W3CDTF">2024-10-17T20:19:00Z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