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F903C" w14:textId="77777777" w:rsidR="00346161" w:rsidRPr="00AF1555" w:rsidRDefault="00346161" w:rsidP="00346161">
      <w:pPr>
        <w:tabs>
          <w:tab w:val="left" w:pos="709"/>
        </w:tabs>
        <w:spacing w:after="0" w:line="240" w:lineRule="auto"/>
        <w:jc w:val="both"/>
        <w:rPr>
          <w:rFonts w:ascii="Verdana" w:eastAsia="Calibri" w:hAnsi="Verdana" w:cs="Arial"/>
          <w:bCs/>
          <w:sz w:val="20"/>
          <w:szCs w:val="20"/>
          <w:lang w:val="es-ES_tradnl" w:eastAsia="es-ES_tradnl"/>
        </w:rPr>
      </w:pPr>
    </w:p>
    <w:p w14:paraId="330D2AA2" w14:textId="77777777" w:rsidR="00346161" w:rsidRPr="00AF1555" w:rsidRDefault="00346161" w:rsidP="00346161">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DEBER DE PLANEACIÓN – Estudios previos</w:t>
      </w:r>
      <w:r w:rsidRPr="00AF1555">
        <w:rPr>
          <w:rFonts w:ascii="Verdana" w:eastAsia="Calibri" w:hAnsi="Verdana" w:cs="Arial"/>
          <w:b/>
          <w:color w:val="000000" w:themeColor="text1"/>
          <w:lang w:val="es-ES"/>
        </w:rPr>
        <w:t xml:space="preserve"> </w:t>
      </w:r>
    </w:p>
    <w:p w14:paraId="1B2964B7" w14:textId="77777777" w:rsidR="00346161" w:rsidRPr="00AF1555" w:rsidRDefault="00346161" w:rsidP="00346161">
      <w:pPr>
        <w:spacing w:after="0" w:line="240" w:lineRule="auto"/>
        <w:jc w:val="both"/>
        <w:rPr>
          <w:rFonts w:ascii="Verdana" w:eastAsia="Calibri" w:hAnsi="Verdana" w:cs="Arial"/>
          <w:bCs/>
          <w:color w:val="000000" w:themeColor="text1"/>
          <w:sz w:val="20"/>
          <w:szCs w:val="20"/>
          <w:lang w:val="es-ES"/>
        </w:rPr>
      </w:pPr>
    </w:p>
    <w:p w14:paraId="1E098E7C" w14:textId="77777777" w:rsidR="00346161" w:rsidRPr="00AF1555" w:rsidRDefault="00346161" w:rsidP="00346161">
      <w:pPr>
        <w:spacing w:after="0" w:line="240" w:lineRule="auto"/>
        <w:jc w:val="both"/>
        <w:rPr>
          <w:rFonts w:ascii="Verdana" w:eastAsia="Calibri" w:hAnsi="Verdana" w:cs="Arial"/>
          <w:color w:val="000000" w:themeColor="text1"/>
          <w:sz w:val="20"/>
          <w:szCs w:val="20"/>
          <w:lang w:val="es-ES_tradnl"/>
        </w:rPr>
      </w:pPr>
      <w:r w:rsidRPr="00F319D3">
        <w:rPr>
          <w:rFonts w:ascii="Verdana" w:eastAsia="Calibri" w:hAnsi="Verdana" w:cs="Arial"/>
          <w:color w:val="000000" w:themeColor="text1"/>
          <w:sz w:val="20"/>
          <w:szCs w:val="20"/>
          <w:lang w:val="es-ES_tradnl" w:eastAsia="es-ES_tradnl"/>
        </w:rPr>
        <w:t>La planeación es una herramienta de gerencia pública, la cual exige estructurar el proceso contractual dedicando tiempo y esfuerzos para elaborar estudios previos. Lo anterior, con la finalidad de determinar la necesidad que 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Pr="00AF1555">
        <w:rPr>
          <w:rFonts w:ascii="Verdana" w:eastAsia="Calibri" w:hAnsi="Verdana" w:cs="Arial"/>
          <w:color w:val="000000" w:themeColor="text1"/>
          <w:sz w:val="20"/>
          <w:szCs w:val="20"/>
          <w:lang w:val="es-ES_tradnl"/>
        </w:rPr>
        <w:t>.</w:t>
      </w:r>
    </w:p>
    <w:p w14:paraId="6FABE1E4" w14:textId="77777777" w:rsidR="00346161" w:rsidRPr="00AF1555" w:rsidRDefault="00346161" w:rsidP="00346161">
      <w:pPr>
        <w:spacing w:after="0" w:line="240" w:lineRule="auto"/>
        <w:rPr>
          <w:rFonts w:ascii="Verdana" w:eastAsia="Geomanist Light" w:hAnsi="Verdana" w:cs="Arial"/>
          <w:color w:val="000000" w:themeColor="text1"/>
          <w:sz w:val="20"/>
          <w:szCs w:val="20"/>
          <w:lang w:val="es-ES_tradnl"/>
        </w:rPr>
      </w:pPr>
    </w:p>
    <w:p w14:paraId="3005E688" w14:textId="77777777" w:rsidR="00346161" w:rsidRPr="00AF1555" w:rsidRDefault="00346161" w:rsidP="00346161">
      <w:pPr>
        <w:spacing w:after="0" w:line="240" w:lineRule="auto"/>
        <w:jc w:val="both"/>
        <w:rPr>
          <w:rFonts w:ascii="Verdana" w:eastAsia="Calibri" w:hAnsi="Verdana" w:cs="Arial"/>
          <w:b/>
          <w:lang w:val="es-ES"/>
        </w:rPr>
      </w:pPr>
      <w:r>
        <w:rPr>
          <w:rFonts w:ascii="Verdana" w:eastAsia="Calibri" w:hAnsi="Verdana" w:cs="Arial"/>
          <w:b/>
          <w:lang w:val="es-ES"/>
        </w:rPr>
        <w:t>VALOR ESTIMADO DEL CONTRATO</w:t>
      </w:r>
      <w:r w:rsidRPr="00AF1555">
        <w:rPr>
          <w:rFonts w:ascii="Verdana" w:eastAsia="Calibri" w:hAnsi="Verdana" w:cs="Arial"/>
          <w:b/>
          <w:lang w:val="es-ES"/>
        </w:rPr>
        <w:t xml:space="preserve"> – </w:t>
      </w:r>
      <w:r>
        <w:rPr>
          <w:rFonts w:ascii="Verdana" w:eastAsia="Calibri" w:hAnsi="Verdana" w:cs="Arial"/>
          <w:b/>
          <w:lang w:val="es-ES"/>
        </w:rPr>
        <w:t>Precios unitarios</w:t>
      </w:r>
      <w:r w:rsidRPr="00AF1555">
        <w:rPr>
          <w:rFonts w:ascii="Verdana" w:eastAsia="Calibri" w:hAnsi="Verdana" w:cs="Arial"/>
          <w:b/>
          <w:lang w:val="es-ES"/>
        </w:rPr>
        <w:t xml:space="preserve"> – </w:t>
      </w:r>
      <w:r>
        <w:rPr>
          <w:rFonts w:ascii="Verdana" w:eastAsia="Calibri" w:hAnsi="Verdana" w:cs="Arial"/>
          <w:b/>
          <w:lang w:val="es-ES"/>
        </w:rPr>
        <w:t>Precio global</w:t>
      </w:r>
    </w:p>
    <w:p w14:paraId="6D69CF3D" w14:textId="77777777" w:rsidR="00346161" w:rsidRPr="00AF1555" w:rsidRDefault="00346161" w:rsidP="00346161">
      <w:pPr>
        <w:spacing w:after="0" w:line="240" w:lineRule="auto"/>
        <w:jc w:val="both"/>
        <w:rPr>
          <w:rFonts w:ascii="Verdana" w:eastAsia="Calibri" w:hAnsi="Verdana" w:cs="Arial"/>
          <w:b/>
          <w:sz w:val="20"/>
          <w:szCs w:val="20"/>
          <w:lang w:val="es-ES"/>
        </w:rPr>
      </w:pPr>
    </w:p>
    <w:p w14:paraId="0F403D37" w14:textId="100AE88E" w:rsidR="00346161" w:rsidRPr="00F319D3" w:rsidRDefault="00346161" w:rsidP="00346161">
      <w:pPr>
        <w:spacing w:after="0" w:line="240" w:lineRule="auto"/>
        <w:jc w:val="both"/>
        <w:rPr>
          <w:rFonts w:ascii="Verdana" w:eastAsia="Calibri" w:hAnsi="Verdana" w:cs="Arial"/>
          <w:color w:val="000000"/>
          <w:sz w:val="20"/>
          <w:szCs w:val="20"/>
          <w:lang w:val="es-ES"/>
        </w:rPr>
      </w:pPr>
      <w:r>
        <w:rPr>
          <w:rFonts w:ascii="Verdana" w:eastAsia="Calibri" w:hAnsi="Verdana" w:cs="Arial"/>
          <w:bCs/>
          <w:sz w:val="20"/>
          <w:szCs w:val="20"/>
        </w:rPr>
        <w:t>E</w:t>
      </w:r>
      <w:r w:rsidRPr="00F319D3">
        <w:rPr>
          <w:rFonts w:ascii="Verdana" w:eastAsia="Calibri" w:hAnsi="Verdana" w:cs="Arial"/>
          <w:bCs/>
          <w:sz w:val="20"/>
          <w:szCs w:val="20"/>
        </w:rPr>
        <w:t xml:space="preserve">l </w:t>
      </w:r>
      <w:r w:rsidRPr="00F319D3">
        <w:rPr>
          <w:rFonts w:ascii="Verdana" w:eastAsia="Calibri" w:hAnsi="Verdana" w:cs="Arial"/>
          <w:bCs/>
          <w:sz w:val="20"/>
          <w:szCs w:val="20"/>
          <w:lang w:val="es-ES"/>
        </w:rPr>
        <w:t xml:space="preserve">numeral 4 del artículo 2.2.1.1.2.1.1 del Decreto 1082 de 2015, modificado por el artículo 1 del Decreto 399 de 2021, </w:t>
      </w:r>
      <w:r w:rsidRPr="00346161">
        <w:rPr>
          <w:rFonts w:ascii="Verdana" w:eastAsia="Calibri" w:hAnsi="Verdana" w:cs="Arial"/>
          <w:bCs/>
          <w:sz w:val="20"/>
          <w:szCs w:val="20"/>
          <w:lang w:val="es-ES_tradnl"/>
        </w:rPr>
        <w:t xml:space="preserve">no establece de manera expresa que se deban incluir en los estudios y documentos previos la forma y el soporte de los cálculos en los contratos por precio global. No obstante, las Entidades sí están obligadas a presentar el valor de la contratación y la justificación de este, para lo cual deberá informar los factores relevantes y metodología para la determinación del valor del contrato, obligación predicable respecto de toda la contratación –no sometida a reserva–, de la que no están exentos los contratos con precio global. La exigencia existe para los contratos a precios unitarios, </w:t>
      </w:r>
      <w:r w:rsidRPr="00346161">
        <w:rPr>
          <w:rFonts w:ascii="Verdana" w:eastAsia="Calibri" w:hAnsi="Verdana" w:cs="Arial"/>
          <w:bCs/>
          <w:sz w:val="20"/>
          <w:szCs w:val="20"/>
          <w:lang w:val="es-ES"/>
        </w:rPr>
        <w:t xml:space="preserve">pues lo usual es discriminar los </w:t>
      </w:r>
      <w:r w:rsidRPr="00346161">
        <w:rPr>
          <w:rFonts w:ascii="Verdana" w:eastAsia="Calibri" w:hAnsi="Verdana" w:cs="Arial"/>
          <w:bCs/>
          <w:i/>
          <w:iCs/>
          <w:sz w:val="20"/>
          <w:szCs w:val="20"/>
          <w:lang w:val="es-ES"/>
        </w:rPr>
        <w:t>costos directos</w:t>
      </w:r>
      <w:r w:rsidRPr="00346161">
        <w:rPr>
          <w:rFonts w:ascii="Verdana" w:eastAsia="Calibri" w:hAnsi="Verdana" w:cs="Arial"/>
          <w:bCs/>
          <w:sz w:val="20"/>
          <w:szCs w:val="20"/>
          <w:lang w:val="es-ES"/>
        </w:rPr>
        <w:t xml:space="preserve"> –es decir, los que están directamente implicados en la ejecución del objeto– de los </w:t>
      </w:r>
      <w:r w:rsidRPr="00346161">
        <w:rPr>
          <w:rFonts w:ascii="Verdana" w:eastAsia="Calibri" w:hAnsi="Verdana" w:cs="Arial"/>
          <w:bCs/>
          <w:i/>
          <w:iCs/>
          <w:sz w:val="20"/>
          <w:szCs w:val="20"/>
          <w:lang w:val="es-ES"/>
        </w:rPr>
        <w:t>costos indirectos</w:t>
      </w:r>
      <w:r w:rsidRPr="00346161">
        <w:rPr>
          <w:rFonts w:ascii="Verdana" w:eastAsia="Calibri" w:hAnsi="Verdana" w:cs="Arial"/>
          <w:bCs/>
          <w:sz w:val="20"/>
          <w:szCs w:val="20"/>
          <w:lang w:val="es-ES"/>
        </w:rPr>
        <w:t xml:space="preserve">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A diferencia de los precios globales que carecen de esta desagregación, mientras que los </w:t>
      </w:r>
      <w:r w:rsidRPr="00346161">
        <w:rPr>
          <w:rFonts w:ascii="Verdana" w:eastAsia="Calibri" w:hAnsi="Verdana" w:cs="Arial"/>
          <w:bCs/>
          <w:i/>
          <w:iCs/>
          <w:sz w:val="20"/>
          <w:szCs w:val="20"/>
          <w:lang w:val="es-ES"/>
        </w:rPr>
        <w:t>costos directos</w:t>
      </w:r>
      <w:r w:rsidRPr="00346161">
        <w:rPr>
          <w:rFonts w:ascii="Verdana" w:eastAsia="Calibri" w:hAnsi="Verdana" w:cs="Arial"/>
          <w:bCs/>
          <w:sz w:val="20"/>
          <w:szCs w:val="20"/>
          <w:lang w:val="es-ES"/>
        </w:rPr>
        <w:t xml:space="preserve"> se evidencian en el análisis de precios unitarios –APU–, como la sumatoria de los valores de los </w:t>
      </w:r>
      <w:r w:rsidRPr="00346161">
        <w:rPr>
          <w:rFonts w:ascii="Verdana" w:eastAsia="Calibri" w:hAnsi="Verdana" w:cs="Arial"/>
          <w:bCs/>
          <w:i/>
          <w:iCs/>
          <w:sz w:val="20"/>
          <w:szCs w:val="20"/>
          <w:lang w:val="es-ES"/>
        </w:rPr>
        <w:t>ítems</w:t>
      </w:r>
      <w:r w:rsidRPr="00346161">
        <w:rPr>
          <w:rFonts w:ascii="Verdana" w:eastAsia="Calibri" w:hAnsi="Verdana" w:cs="Arial"/>
          <w:bCs/>
          <w:sz w:val="20"/>
          <w:szCs w:val="20"/>
          <w:lang w:val="es-ES"/>
        </w:rPr>
        <w:t xml:space="preserve"> según su unidad de medida, los </w:t>
      </w:r>
      <w:r w:rsidRPr="00346161">
        <w:rPr>
          <w:rFonts w:ascii="Verdana" w:eastAsia="Calibri" w:hAnsi="Verdana" w:cs="Arial"/>
          <w:bCs/>
          <w:i/>
          <w:iCs/>
          <w:sz w:val="20"/>
          <w:szCs w:val="20"/>
          <w:lang w:val="es-ES"/>
        </w:rPr>
        <w:t>costos indirectos</w:t>
      </w:r>
      <w:r w:rsidRPr="00346161">
        <w:rPr>
          <w:rFonts w:ascii="Verdana" w:eastAsia="Calibri" w:hAnsi="Verdana" w:cs="Arial"/>
          <w:bCs/>
          <w:sz w:val="20"/>
          <w:szCs w:val="20"/>
          <w:lang w:val="es-ES"/>
        </w:rPr>
        <w:t xml:space="preserve"> se suelen abreviar en las variables que integran el acrónimo AIU –Administración, Imprevistos y Utilidad–</w:t>
      </w:r>
      <w:r w:rsidRPr="00F319D3">
        <w:rPr>
          <w:rFonts w:ascii="Verdana" w:eastAsia="Calibri" w:hAnsi="Verdana" w:cs="Arial"/>
          <w:color w:val="000000"/>
          <w:sz w:val="20"/>
          <w:szCs w:val="20"/>
          <w:lang w:val="es-ES"/>
        </w:rPr>
        <w:t xml:space="preserve">. </w:t>
      </w:r>
    </w:p>
    <w:p w14:paraId="2E792998" w14:textId="77777777" w:rsidR="00346161" w:rsidRPr="00AF1555" w:rsidRDefault="00346161" w:rsidP="00346161">
      <w:pPr>
        <w:spacing w:after="0" w:line="240" w:lineRule="auto"/>
        <w:rPr>
          <w:rFonts w:ascii="Verdana" w:eastAsia="Geomanist Light" w:hAnsi="Verdana" w:cs="Arial"/>
          <w:color w:val="000000" w:themeColor="text1"/>
          <w:sz w:val="20"/>
          <w:szCs w:val="20"/>
          <w:lang w:val="es-ES_tradnl"/>
        </w:rPr>
      </w:pPr>
    </w:p>
    <w:p w14:paraId="793D720C" w14:textId="77777777" w:rsidR="00346161" w:rsidRPr="00AF1555" w:rsidRDefault="00346161" w:rsidP="00346161">
      <w:pPr>
        <w:tabs>
          <w:tab w:val="left" w:pos="426"/>
        </w:tabs>
        <w:spacing w:after="0" w:line="240" w:lineRule="auto"/>
        <w:jc w:val="both"/>
        <w:rPr>
          <w:rFonts w:ascii="Verdana" w:hAnsi="Verdana" w:cs="Arial"/>
          <w:b/>
          <w:lang w:eastAsia="es-CO"/>
        </w:rPr>
      </w:pPr>
      <w:r>
        <w:rPr>
          <w:rFonts w:ascii="Verdana" w:hAnsi="Verdana" w:cs="Arial"/>
          <w:b/>
          <w:lang w:eastAsia="es-CO"/>
        </w:rPr>
        <w:t>CONCURSO DE MÉRITOS</w:t>
      </w:r>
      <w:r w:rsidRPr="00AF1555">
        <w:rPr>
          <w:rFonts w:ascii="Verdana" w:hAnsi="Verdana" w:cs="Arial"/>
          <w:b/>
          <w:lang w:eastAsia="es-CO"/>
        </w:rPr>
        <w:t xml:space="preserve"> – </w:t>
      </w:r>
      <w:r>
        <w:rPr>
          <w:rFonts w:ascii="Verdana" w:hAnsi="Verdana" w:cs="Arial"/>
          <w:b/>
          <w:lang w:eastAsia="es-CO"/>
        </w:rPr>
        <w:t>Valor del contrato</w:t>
      </w:r>
    </w:p>
    <w:p w14:paraId="454D41A7" w14:textId="77777777" w:rsidR="00346161" w:rsidRPr="00AF1555" w:rsidRDefault="00346161" w:rsidP="00346161">
      <w:pPr>
        <w:tabs>
          <w:tab w:val="left" w:pos="426"/>
        </w:tabs>
        <w:spacing w:after="0" w:line="240" w:lineRule="auto"/>
        <w:jc w:val="both"/>
        <w:rPr>
          <w:rFonts w:ascii="Verdana" w:hAnsi="Verdana" w:cs="Arial"/>
          <w:b/>
          <w:sz w:val="20"/>
          <w:szCs w:val="20"/>
          <w:lang w:eastAsia="es-CO"/>
        </w:rPr>
      </w:pPr>
    </w:p>
    <w:p w14:paraId="3FDC70EB" w14:textId="77777777" w:rsidR="00346161" w:rsidRDefault="00346161" w:rsidP="00346161">
      <w:pPr>
        <w:tabs>
          <w:tab w:val="left" w:pos="426"/>
        </w:tabs>
        <w:spacing w:after="0" w:line="240" w:lineRule="auto"/>
        <w:jc w:val="both"/>
        <w:rPr>
          <w:rFonts w:ascii="Verdana" w:hAnsi="Verdana" w:cs="Arial"/>
          <w:bCs/>
          <w:sz w:val="20"/>
          <w:szCs w:val="20"/>
          <w:lang w:eastAsia="es-CO"/>
        </w:rPr>
      </w:pPr>
      <w:r>
        <w:rPr>
          <w:rFonts w:ascii="Verdana" w:hAnsi="Verdana" w:cs="Arial"/>
          <w:bCs/>
          <w:sz w:val="20"/>
          <w:szCs w:val="20"/>
          <w:lang w:val="es-ES_tradnl" w:eastAsia="es-CO"/>
        </w:rPr>
        <w:t>P</w:t>
      </w:r>
      <w:r w:rsidRPr="00F319D3">
        <w:rPr>
          <w:rFonts w:ascii="Verdana" w:hAnsi="Verdana" w:cs="Arial"/>
          <w:bCs/>
          <w:sz w:val="20"/>
          <w:szCs w:val="20"/>
          <w:lang w:val="es-ES_tradnl" w:eastAsia="es-CO"/>
        </w:rPr>
        <w:t>ara los negocios jurídicos adjudicados por concurso de méritos, el artículo 1 del Decreto 399 de 2021 eliminó la posibilidad de “[…] no […] publicar las variables utilizadas para calcular el valor estimado del contrato […]”, pues de acuerdo con los considerandos del reglamento citado –frente a la existencia de una reserva legal sobre esta información– “[…] se considera conveniente dar publicidad a la forma como se calcula el valor del contrato en los concursos de méritos, con la finalidad de garantizar al máximo los principios de publicidad y transparencia […]”</w:t>
      </w:r>
      <w:r w:rsidRPr="00AF1555">
        <w:rPr>
          <w:rFonts w:ascii="Verdana" w:hAnsi="Verdana" w:cs="Arial"/>
          <w:bCs/>
          <w:sz w:val="20"/>
          <w:szCs w:val="20"/>
          <w:lang w:eastAsia="es-CO"/>
        </w:rPr>
        <w:t>.</w:t>
      </w:r>
    </w:p>
    <w:p w14:paraId="06E4CBA1" w14:textId="77777777" w:rsidR="00346161" w:rsidRPr="00AF1555" w:rsidRDefault="00346161" w:rsidP="00346161">
      <w:pPr>
        <w:spacing w:after="0" w:line="240" w:lineRule="auto"/>
        <w:rPr>
          <w:rFonts w:ascii="Verdana" w:eastAsia="Geomanist Light" w:hAnsi="Verdana" w:cs="Arial"/>
          <w:color w:val="000000" w:themeColor="text1"/>
          <w:sz w:val="20"/>
          <w:szCs w:val="20"/>
          <w:lang w:val="es-ES_tradnl"/>
        </w:rPr>
      </w:pPr>
    </w:p>
    <w:p w14:paraId="12649451" w14:textId="77777777" w:rsidR="00346161" w:rsidRPr="00AF1555" w:rsidRDefault="00346161" w:rsidP="00346161">
      <w:pPr>
        <w:tabs>
          <w:tab w:val="left" w:pos="426"/>
        </w:tabs>
        <w:spacing w:after="0" w:line="240" w:lineRule="auto"/>
        <w:jc w:val="both"/>
        <w:rPr>
          <w:rFonts w:ascii="Verdana" w:hAnsi="Verdana" w:cs="Arial"/>
          <w:b/>
          <w:lang w:eastAsia="es-CO"/>
        </w:rPr>
      </w:pPr>
      <w:r>
        <w:rPr>
          <w:rFonts w:ascii="Verdana" w:hAnsi="Verdana" w:cs="Arial"/>
          <w:b/>
          <w:lang w:eastAsia="es-CO"/>
        </w:rPr>
        <w:t>ANÁLISIS DEL SECTOR</w:t>
      </w:r>
      <w:r w:rsidRPr="00AF1555">
        <w:rPr>
          <w:rFonts w:ascii="Verdana" w:hAnsi="Verdana" w:cs="Arial"/>
          <w:b/>
          <w:lang w:eastAsia="es-CO"/>
        </w:rPr>
        <w:t xml:space="preserve"> – </w:t>
      </w:r>
      <w:r>
        <w:rPr>
          <w:rFonts w:ascii="Verdana" w:hAnsi="Verdana" w:cs="Arial"/>
          <w:b/>
          <w:lang w:eastAsia="es-CO"/>
        </w:rPr>
        <w:t>Fundamento normativo</w:t>
      </w:r>
    </w:p>
    <w:p w14:paraId="379A9D13" w14:textId="77777777" w:rsidR="00346161" w:rsidRPr="00AF1555" w:rsidRDefault="00346161" w:rsidP="00346161">
      <w:pPr>
        <w:tabs>
          <w:tab w:val="left" w:pos="426"/>
        </w:tabs>
        <w:spacing w:after="0" w:line="240" w:lineRule="auto"/>
        <w:jc w:val="both"/>
        <w:rPr>
          <w:rFonts w:ascii="Verdana" w:hAnsi="Verdana" w:cs="Arial"/>
          <w:b/>
          <w:sz w:val="20"/>
          <w:szCs w:val="20"/>
          <w:lang w:eastAsia="es-CO"/>
        </w:rPr>
      </w:pPr>
    </w:p>
    <w:p w14:paraId="4188BDD7" w14:textId="77777777" w:rsidR="00346161" w:rsidRPr="00AF1555" w:rsidRDefault="00346161" w:rsidP="00346161">
      <w:pPr>
        <w:tabs>
          <w:tab w:val="left" w:pos="426"/>
        </w:tabs>
        <w:spacing w:after="0" w:line="240" w:lineRule="auto"/>
        <w:jc w:val="both"/>
        <w:rPr>
          <w:rFonts w:ascii="Verdana" w:hAnsi="Verdana" w:cs="Arial"/>
          <w:bCs/>
          <w:sz w:val="20"/>
          <w:szCs w:val="20"/>
          <w:lang w:eastAsia="es-CO"/>
        </w:rPr>
      </w:pPr>
      <w:r w:rsidRPr="001A0208">
        <w:rPr>
          <w:rFonts w:ascii="Verdana" w:hAnsi="Verdana" w:cs="Arial"/>
          <w:bCs/>
          <w:sz w:val="20"/>
          <w:szCs w:val="20"/>
          <w:lang w:val="es-ES_tradnl" w:eastAsia="es-CO"/>
        </w:rPr>
        <w:t xml:space="preserve">Independientemente del contenido de los estudios previos, para estimar el valor del contrato es necesario el estudio del mercado y el análisis del sector económico y de los oferentes, actividad de planeación previa que sirve para identificar aspectos concretos </w:t>
      </w:r>
      <w:r w:rsidRPr="001A0208">
        <w:rPr>
          <w:rFonts w:ascii="Verdana" w:hAnsi="Verdana" w:cs="Arial"/>
          <w:bCs/>
          <w:sz w:val="20"/>
          <w:szCs w:val="20"/>
          <w:lang w:val="es-ES_tradnl" w:eastAsia="es-CO"/>
        </w:rPr>
        <w:lastRenderedPageBreak/>
        <w:t>del mercado que pueden afectar el proceso de selección o las condiciones del negocio a realizar a través del proceso de contratación de bienes, obras o servicios. En este sentido, el artículo 2.2.1.1.1.6.1 del Decreto 1082 de 2015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Pr="00AF1555">
        <w:rPr>
          <w:rFonts w:ascii="Verdana" w:hAnsi="Verdana" w:cs="Arial"/>
          <w:bCs/>
          <w:sz w:val="20"/>
          <w:szCs w:val="20"/>
          <w:lang w:eastAsia="es-CO"/>
        </w:rPr>
        <w:t>.</w:t>
      </w:r>
    </w:p>
    <w:p w14:paraId="2006A681" w14:textId="77777777" w:rsidR="00346161" w:rsidRPr="00346161" w:rsidRDefault="00346161" w:rsidP="004C7228">
      <w:pPr>
        <w:spacing w:after="0" w:line="240" w:lineRule="auto"/>
        <w:rPr>
          <w:rFonts w:ascii="Verdana" w:eastAsia="Geomanist Light" w:hAnsi="Verdana" w:cs="Arial"/>
          <w:color w:val="000000" w:themeColor="text1"/>
        </w:rPr>
      </w:pPr>
    </w:p>
    <w:p w14:paraId="200929E4" w14:textId="77777777" w:rsidR="00346161" w:rsidRDefault="00346161" w:rsidP="004C7228">
      <w:pPr>
        <w:spacing w:after="0" w:line="240" w:lineRule="auto"/>
        <w:rPr>
          <w:rFonts w:ascii="Verdana" w:eastAsia="Geomanist Light" w:hAnsi="Verdana" w:cs="Arial"/>
          <w:color w:val="000000" w:themeColor="text1"/>
          <w:lang w:val="es-MX"/>
        </w:rPr>
      </w:pPr>
    </w:p>
    <w:p w14:paraId="72B72B6D" w14:textId="77777777" w:rsidR="00346161" w:rsidRDefault="00346161" w:rsidP="004C7228">
      <w:pPr>
        <w:spacing w:after="0" w:line="240" w:lineRule="auto"/>
        <w:rPr>
          <w:rFonts w:ascii="Verdana" w:eastAsia="Geomanist Light" w:hAnsi="Verdana" w:cs="Arial"/>
          <w:color w:val="000000" w:themeColor="text1"/>
          <w:lang w:val="es-MX"/>
        </w:rPr>
      </w:pPr>
    </w:p>
    <w:p w14:paraId="2AD8FC8B" w14:textId="77777777" w:rsidR="00346161" w:rsidRDefault="00346161" w:rsidP="004C7228">
      <w:pPr>
        <w:spacing w:after="0" w:line="240" w:lineRule="auto"/>
        <w:rPr>
          <w:rFonts w:ascii="Verdana" w:eastAsia="Geomanist Light" w:hAnsi="Verdana" w:cs="Arial"/>
          <w:color w:val="000000" w:themeColor="text1"/>
          <w:lang w:val="es-MX"/>
        </w:rPr>
      </w:pPr>
    </w:p>
    <w:p w14:paraId="4EDEDA92" w14:textId="77777777" w:rsidR="00346161" w:rsidRDefault="00346161" w:rsidP="004C7228">
      <w:pPr>
        <w:spacing w:after="0" w:line="240" w:lineRule="auto"/>
        <w:rPr>
          <w:rFonts w:ascii="Verdana" w:eastAsia="Geomanist Light" w:hAnsi="Verdana" w:cs="Arial"/>
          <w:color w:val="000000" w:themeColor="text1"/>
          <w:lang w:val="es-MX"/>
        </w:rPr>
      </w:pPr>
    </w:p>
    <w:p w14:paraId="3A24F076" w14:textId="77777777" w:rsidR="00346161" w:rsidRDefault="00346161" w:rsidP="004C7228">
      <w:pPr>
        <w:spacing w:after="0" w:line="240" w:lineRule="auto"/>
        <w:rPr>
          <w:rFonts w:ascii="Verdana" w:eastAsia="Geomanist Light" w:hAnsi="Verdana" w:cs="Arial"/>
          <w:color w:val="000000" w:themeColor="text1"/>
          <w:lang w:val="es-MX"/>
        </w:rPr>
      </w:pPr>
    </w:p>
    <w:p w14:paraId="773E64D7" w14:textId="77777777" w:rsidR="00346161" w:rsidRDefault="00346161" w:rsidP="004C7228">
      <w:pPr>
        <w:spacing w:after="0" w:line="240" w:lineRule="auto"/>
        <w:rPr>
          <w:rFonts w:ascii="Verdana" w:eastAsia="Geomanist Light" w:hAnsi="Verdana" w:cs="Arial"/>
          <w:color w:val="000000" w:themeColor="text1"/>
          <w:lang w:val="es-MX"/>
        </w:rPr>
      </w:pPr>
    </w:p>
    <w:p w14:paraId="7B47D438" w14:textId="77777777" w:rsidR="00346161" w:rsidRDefault="00346161" w:rsidP="004C7228">
      <w:pPr>
        <w:spacing w:after="0" w:line="240" w:lineRule="auto"/>
        <w:rPr>
          <w:rFonts w:ascii="Verdana" w:eastAsia="Geomanist Light" w:hAnsi="Verdana" w:cs="Arial"/>
          <w:color w:val="000000" w:themeColor="text1"/>
          <w:lang w:val="es-MX"/>
        </w:rPr>
      </w:pPr>
    </w:p>
    <w:p w14:paraId="1F3DE24C" w14:textId="77777777" w:rsidR="00346161" w:rsidRDefault="00346161" w:rsidP="004C7228">
      <w:pPr>
        <w:spacing w:after="0" w:line="240" w:lineRule="auto"/>
        <w:rPr>
          <w:rFonts w:ascii="Verdana" w:eastAsia="Geomanist Light" w:hAnsi="Verdana" w:cs="Arial"/>
          <w:color w:val="000000" w:themeColor="text1"/>
          <w:lang w:val="es-MX"/>
        </w:rPr>
      </w:pPr>
    </w:p>
    <w:p w14:paraId="6081D2EC" w14:textId="77777777" w:rsidR="00346161" w:rsidRDefault="00346161" w:rsidP="004C7228">
      <w:pPr>
        <w:spacing w:after="0" w:line="240" w:lineRule="auto"/>
        <w:rPr>
          <w:rFonts w:ascii="Verdana" w:eastAsia="Geomanist Light" w:hAnsi="Verdana" w:cs="Arial"/>
          <w:color w:val="000000" w:themeColor="text1"/>
          <w:lang w:val="es-MX"/>
        </w:rPr>
      </w:pPr>
    </w:p>
    <w:p w14:paraId="73BF686B" w14:textId="77777777" w:rsidR="00346161" w:rsidRDefault="00346161" w:rsidP="004C7228">
      <w:pPr>
        <w:spacing w:after="0" w:line="240" w:lineRule="auto"/>
        <w:rPr>
          <w:rFonts w:ascii="Verdana" w:eastAsia="Geomanist Light" w:hAnsi="Verdana" w:cs="Arial"/>
          <w:color w:val="000000" w:themeColor="text1"/>
          <w:lang w:val="es-MX"/>
        </w:rPr>
      </w:pPr>
    </w:p>
    <w:p w14:paraId="0D6A12FF" w14:textId="77777777" w:rsidR="00346161" w:rsidRDefault="00346161" w:rsidP="004C7228">
      <w:pPr>
        <w:spacing w:after="0" w:line="240" w:lineRule="auto"/>
        <w:rPr>
          <w:rFonts w:ascii="Verdana" w:eastAsia="Geomanist Light" w:hAnsi="Verdana" w:cs="Arial"/>
          <w:color w:val="000000" w:themeColor="text1"/>
          <w:lang w:val="es-MX"/>
        </w:rPr>
      </w:pPr>
    </w:p>
    <w:p w14:paraId="529BDA29" w14:textId="77777777" w:rsidR="00346161" w:rsidRDefault="00346161" w:rsidP="004C7228">
      <w:pPr>
        <w:spacing w:after="0" w:line="240" w:lineRule="auto"/>
        <w:rPr>
          <w:rFonts w:ascii="Verdana" w:eastAsia="Geomanist Light" w:hAnsi="Verdana" w:cs="Arial"/>
          <w:color w:val="000000" w:themeColor="text1"/>
          <w:lang w:val="es-MX"/>
        </w:rPr>
      </w:pPr>
    </w:p>
    <w:p w14:paraId="5704B798" w14:textId="77777777" w:rsidR="00346161" w:rsidRDefault="00346161" w:rsidP="004C7228">
      <w:pPr>
        <w:spacing w:after="0" w:line="240" w:lineRule="auto"/>
        <w:rPr>
          <w:rFonts w:ascii="Verdana" w:eastAsia="Geomanist Light" w:hAnsi="Verdana" w:cs="Arial"/>
          <w:color w:val="000000" w:themeColor="text1"/>
          <w:lang w:val="es-MX"/>
        </w:rPr>
      </w:pPr>
    </w:p>
    <w:p w14:paraId="1A08425A" w14:textId="77777777" w:rsidR="00346161" w:rsidRDefault="00346161" w:rsidP="004C7228">
      <w:pPr>
        <w:spacing w:after="0" w:line="240" w:lineRule="auto"/>
        <w:rPr>
          <w:rFonts w:ascii="Verdana" w:eastAsia="Geomanist Light" w:hAnsi="Verdana" w:cs="Arial"/>
          <w:color w:val="000000" w:themeColor="text1"/>
          <w:lang w:val="es-MX"/>
        </w:rPr>
      </w:pPr>
    </w:p>
    <w:p w14:paraId="224239BD" w14:textId="77777777" w:rsidR="00346161" w:rsidRDefault="00346161" w:rsidP="004C7228">
      <w:pPr>
        <w:spacing w:after="0" w:line="240" w:lineRule="auto"/>
        <w:rPr>
          <w:rFonts w:ascii="Verdana" w:eastAsia="Geomanist Light" w:hAnsi="Verdana" w:cs="Arial"/>
          <w:color w:val="000000" w:themeColor="text1"/>
          <w:lang w:val="es-MX"/>
        </w:rPr>
      </w:pPr>
    </w:p>
    <w:p w14:paraId="63F35CBA" w14:textId="77777777" w:rsidR="00346161" w:rsidRDefault="00346161" w:rsidP="004C7228">
      <w:pPr>
        <w:spacing w:after="0" w:line="240" w:lineRule="auto"/>
        <w:rPr>
          <w:rFonts w:ascii="Verdana" w:eastAsia="Geomanist Light" w:hAnsi="Verdana" w:cs="Arial"/>
          <w:color w:val="000000" w:themeColor="text1"/>
          <w:lang w:val="es-MX"/>
        </w:rPr>
      </w:pPr>
    </w:p>
    <w:p w14:paraId="4E8231A0" w14:textId="77777777" w:rsidR="00346161" w:rsidRDefault="00346161" w:rsidP="004C7228">
      <w:pPr>
        <w:spacing w:after="0" w:line="240" w:lineRule="auto"/>
        <w:rPr>
          <w:rFonts w:ascii="Verdana" w:eastAsia="Geomanist Light" w:hAnsi="Verdana" w:cs="Arial"/>
          <w:color w:val="000000" w:themeColor="text1"/>
          <w:lang w:val="es-MX"/>
        </w:rPr>
      </w:pPr>
    </w:p>
    <w:p w14:paraId="4077F355" w14:textId="77777777" w:rsidR="00346161" w:rsidRDefault="00346161" w:rsidP="004C7228">
      <w:pPr>
        <w:spacing w:after="0" w:line="240" w:lineRule="auto"/>
        <w:rPr>
          <w:rFonts w:ascii="Verdana" w:eastAsia="Geomanist Light" w:hAnsi="Verdana" w:cs="Arial"/>
          <w:color w:val="000000" w:themeColor="text1"/>
          <w:lang w:val="es-MX"/>
        </w:rPr>
      </w:pPr>
    </w:p>
    <w:p w14:paraId="3AD95BAB" w14:textId="77777777" w:rsidR="00346161" w:rsidRDefault="00346161" w:rsidP="004C7228">
      <w:pPr>
        <w:spacing w:after="0" w:line="240" w:lineRule="auto"/>
        <w:rPr>
          <w:rFonts w:ascii="Verdana" w:eastAsia="Geomanist Light" w:hAnsi="Verdana" w:cs="Arial"/>
          <w:color w:val="000000" w:themeColor="text1"/>
          <w:lang w:val="es-MX"/>
        </w:rPr>
      </w:pPr>
    </w:p>
    <w:p w14:paraId="40EA8C2D" w14:textId="77777777" w:rsidR="00346161" w:rsidRDefault="00346161" w:rsidP="004C7228">
      <w:pPr>
        <w:spacing w:after="0" w:line="240" w:lineRule="auto"/>
        <w:rPr>
          <w:rFonts w:ascii="Verdana" w:eastAsia="Geomanist Light" w:hAnsi="Verdana" w:cs="Arial"/>
          <w:color w:val="000000" w:themeColor="text1"/>
          <w:lang w:val="es-MX"/>
        </w:rPr>
      </w:pPr>
    </w:p>
    <w:p w14:paraId="6F12696F" w14:textId="77777777" w:rsidR="00346161" w:rsidRDefault="00346161" w:rsidP="004C7228">
      <w:pPr>
        <w:spacing w:after="0" w:line="240" w:lineRule="auto"/>
        <w:rPr>
          <w:rFonts w:ascii="Verdana" w:eastAsia="Geomanist Light" w:hAnsi="Verdana" w:cs="Arial"/>
          <w:color w:val="000000" w:themeColor="text1"/>
          <w:lang w:val="es-MX"/>
        </w:rPr>
      </w:pPr>
    </w:p>
    <w:p w14:paraId="7E776859" w14:textId="77777777" w:rsidR="00346161" w:rsidRDefault="00346161" w:rsidP="004C7228">
      <w:pPr>
        <w:spacing w:after="0" w:line="240" w:lineRule="auto"/>
        <w:rPr>
          <w:rFonts w:ascii="Verdana" w:eastAsia="Geomanist Light" w:hAnsi="Verdana" w:cs="Arial"/>
          <w:color w:val="000000" w:themeColor="text1"/>
          <w:lang w:val="es-MX"/>
        </w:rPr>
      </w:pPr>
    </w:p>
    <w:p w14:paraId="686F5A65" w14:textId="77777777" w:rsidR="00346161" w:rsidRDefault="00346161" w:rsidP="004C7228">
      <w:pPr>
        <w:spacing w:after="0" w:line="240" w:lineRule="auto"/>
        <w:rPr>
          <w:rFonts w:ascii="Verdana" w:eastAsia="Geomanist Light" w:hAnsi="Verdana" w:cs="Arial"/>
          <w:color w:val="000000" w:themeColor="text1"/>
          <w:lang w:val="es-MX"/>
        </w:rPr>
      </w:pPr>
    </w:p>
    <w:p w14:paraId="7B2B142E" w14:textId="77777777" w:rsidR="00346161" w:rsidRDefault="00346161" w:rsidP="004C7228">
      <w:pPr>
        <w:spacing w:after="0" w:line="240" w:lineRule="auto"/>
        <w:rPr>
          <w:rFonts w:ascii="Verdana" w:eastAsia="Geomanist Light" w:hAnsi="Verdana" w:cs="Arial"/>
          <w:color w:val="000000" w:themeColor="text1"/>
          <w:lang w:val="es-MX"/>
        </w:rPr>
      </w:pPr>
    </w:p>
    <w:p w14:paraId="54260730" w14:textId="77777777" w:rsidR="00346161" w:rsidRDefault="00346161" w:rsidP="004C7228">
      <w:pPr>
        <w:spacing w:after="0" w:line="240" w:lineRule="auto"/>
        <w:rPr>
          <w:rFonts w:ascii="Verdana" w:eastAsia="Geomanist Light" w:hAnsi="Verdana" w:cs="Arial"/>
          <w:color w:val="000000" w:themeColor="text1"/>
          <w:lang w:val="es-MX"/>
        </w:rPr>
      </w:pPr>
    </w:p>
    <w:p w14:paraId="49894DA5" w14:textId="77777777" w:rsidR="00346161" w:rsidRDefault="00346161" w:rsidP="004C7228">
      <w:pPr>
        <w:spacing w:after="0" w:line="240" w:lineRule="auto"/>
        <w:rPr>
          <w:rFonts w:ascii="Verdana" w:eastAsia="Geomanist Light" w:hAnsi="Verdana" w:cs="Arial"/>
          <w:color w:val="000000" w:themeColor="text1"/>
          <w:lang w:val="es-MX"/>
        </w:rPr>
      </w:pPr>
    </w:p>
    <w:p w14:paraId="1A2CBC1D" w14:textId="77777777" w:rsidR="00346161" w:rsidRDefault="00346161" w:rsidP="004C7228">
      <w:pPr>
        <w:spacing w:after="0" w:line="240" w:lineRule="auto"/>
        <w:rPr>
          <w:rFonts w:ascii="Verdana" w:eastAsia="Geomanist Light" w:hAnsi="Verdana" w:cs="Arial"/>
          <w:color w:val="000000" w:themeColor="text1"/>
          <w:lang w:val="es-MX"/>
        </w:rPr>
      </w:pPr>
    </w:p>
    <w:p w14:paraId="52D4FB86" w14:textId="77777777" w:rsidR="00346161" w:rsidRDefault="00346161" w:rsidP="004C7228">
      <w:pPr>
        <w:spacing w:after="0" w:line="240" w:lineRule="auto"/>
        <w:rPr>
          <w:rFonts w:ascii="Verdana" w:eastAsia="Geomanist Light" w:hAnsi="Verdana" w:cs="Arial"/>
          <w:color w:val="000000" w:themeColor="text1"/>
          <w:lang w:val="es-MX"/>
        </w:rPr>
      </w:pPr>
    </w:p>
    <w:p w14:paraId="6723CFC5" w14:textId="77777777" w:rsidR="00346161" w:rsidRDefault="00346161" w:rsidP="004C7228">
      <w:pPr>
        <w:spacing w:after="0" w:line="240" w:lineRule="auto"/>
        <w:rPr>
          <w:rFonts w:ascii="Verdana" w:eastAsia="Geomanist Light" w:hAnsi="Verdana" w:cs="Arial"/>
          <w:color w:val="000000" w:themeColor="text1"/>
          <w:lang w:val="es-MX"/>
        </w:rPr>
      </w:pPr>
    </w:p>
    <w:p w14:paraId="1FC7CEBD" w14:textId="77777777" w:rsidR="00346161" w:rsidRDefault="00346161" w:rsidP="004C7228">
      <w:pPr>
        <w:spacing w:after="0" w:line="240" w:lineRule="auto"/>
        <w:rPr>
          <w:rFonts w:ascii="Verdana" w:eastAsia="Geomanist Light" w:hAnsi="Verdana" w:cs="Arial"/>
          <w:color w:val="000000" w:themeColor="text1"/>
          <w:lang w:val="es-MX"/>
        </w:rPr>
      </w:pPr>
    </w:p>
    <w:p w14:paraId="3D09EBE4" w14:textId="77777777" w:rsidR="00346161" w:rsidRDefault="00346161" w:rsidP="004C7228">
      <w:pPr>
        <w:spacing w:after="0" w:line="240" w:lineRule="auto"/>
        <w:rPr>
          <w:rFonts w:ascii="Verdana" w:eastAsia="Geomanist Light" w:hAnsi="Verdana" w:cs="Arial"/>
          <w:color w:val="000000" w:themeColor="text1"/>
          <w:lang w:val="es-MX"/>
        </w:rPr>
      </w:pPr>
    </w:p>
    <w:p w14:paraId="08695C53" w14:textId="77777777" w:rsidR="00346161" w:rsidRDefault="00346161" w:rsidP="004C7228">
      <w:pPr>
        <w:spacing w:after="0" w:line="240" w:lineRule="auto"/>
        <w:rPr>
          <w:rFonts w:ascii="Verdana" w:eastAsia="Geomanist Light" w:hAnsi="Verdana" w:cs="Arial"/>
          <w:color w:val="000000" w:themeColor="text1"/>
          <w:lang w:val="es-MX"/>
        </w:rPr>
      </w:pPr>
    </w:p>
    <w:p w14:paraId="37517753" w14:textId="77777777" w:rsidR="00346161" w:rsidRDefault="00346161" w:rsidP="004C7228">
      <w:pPr>
        <w:spacing w:after="0" w:line="240" w:lineRule="auto"/>
        <w:rPr>
          <w:rFonts w:ascii="Verdana" w:eastAsia="Geomanist Light" w:hAnsi="Verdana" w:cs="Arial"/>
          <w:color w:val="000000" w:themeColor="text1"/>
          <w:lang w:val="es-MX"/>
        </w:rPr>
      </w:pPr>
    </w:p>
    <w:p w14:paraId="0E215772" w14:textId="77777777" w:rsidR="00346161" w:rsidRDefault="00346161" w:rsidP="004C7228">
      <w:pPr>
        <w:spacing w:after="0" w:line="240" w:lineRule="auto"/>
        <w:rPr>
          <w:rFonts w:ascii="Verdana" w:eastAsia="Geomanist Light" w:hAnsi="Verdana" w:cs="Arial"/>
          <w:color w:val="000000" w:themeColor="text1"/>
          <w:lang w:val="es-MX"/>
        </w:rPr>
      </w:pPr>
    </w:p>
    <w:p w14:paraId="7E02200B" w14:textId="77777777" w:rsidR="00346161" w:rsidRDefault="00346161" w:rsidP="004C7228">
      <w:pPr>
        <w:spacing w:after="0" w:line="240" w:lineRule="auto"/>
        <w:rPr>
          <w:rFonts w:ascii="Verdana" w:eastAsia="Geomanist Light" w:hAnsi="Verdana" w:cs="Arial"/>
          <w:color w:val="000000" w:themeColor="text1"/>
          <w:lang w:val="es-MX"/>
        </w:rPr>
      </w:pPr>
    </w:p>
    <w:p w14:paraId="31D31604" w14:textId="77777777" w:rsidR="00E134C7" w:rsidRDefault="00E134C7" w:rsidP="004C7228">
      <w:pPr>
        <w:spacing w:after="0" w:line="240" w:lineRule="auto"/>
        <w:rPr>
          <w:rFonts w:ascii="Verdana" w:eastAsia="Geomanist Light" w:hAnsi="Verdana" w:cs="Arial"/>
          <w:color w:val="000000" w:themeColor="text1"/>
          <w:lang w:val="es-MX"/>
        </w:rPr>
      </w:pPr>
    </w:p>
    <w:p w14:paraId="73CE91A4" w14:textId="794D9ED4" w:rsidR="004C7228" w:rsidRPr="00593A5F" w:rsidRDefault="004C7228" w:rsidP="004C7228">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B74603" w:rsidRPr="00B74603">
        <w:rPr>
          <w:rFonts w:ascii="Verdana" w:eastAsia="Geomanist Light" w:hAnsi="Verdana" w:cs="Arial"/>
          <w:color w:val="201F1E"/>
          <w:lang w:val="es-MX"/>
        </w:rPr>
        <w:t>11 de Octubre de 2024</w:t>
      </w:r>
    </w:p>
    <w:p w14:paraId="56B6280E" w14:textId="77777777" w:rsidR="004C7228" w:rsidRDefault="004C7228" w:rsidP="004C7228">
      <w:pPr>
        <w:spacing w:after="0" w:line="240" w:lineRule="auto"/>
        <w:jc w:val="both"/>
        <w:rPr>
          <w:rFonts w:ascii="Verdana" w:eastAsia="Calibri" w:hAnsi="Verdana" w:cs="Arial"/>
          <w:color w:val="000000"/>
          <w:lang w:val="es-ES"/>
        </w:rPr>
      </w:pPr>
    </w:p>
    <w:p w14:paraId="2325C927" w14:textId="4677516D" w:rsidR="00B74603" w:rsidRDefault="00B74603" w:rsidP="00B74603">
      <w:pPr>
        <w:spacing w:after="0" w:line="240" w:lineRule="auto"/>
        <w:jc w:val="right"/>
        <w:rPr>
          <w:rFonts w:ascii="Verdana" w:eastAsia="Calibri" w:hAnsi="Verdana" w:cs="Arial"/>
          <w:color w:val="000000"/>
          <w:lang w:val="es-ES"/>
        </w:rPr>
      </w:pPr>
      <w:r w:rsidRPr="00B74603">
        <w:rPr>
          <w:rFonts w:ascii="Verdana" w:eastAsia="Calibri" w:hAnsi="Verdana" w:cs="Arial"/>
          <w:color w:val="000000"/>
          <w:lang w:val="es-ES"/>
        </w:rPr>
        <w:drawing>
          <wp:inline distT="0" distB="0" distL="0" distR="0" wp14:anchorId="6A7BA700" wp14:editId="24C29420">
            <wp:extent cx="3238500" cy="901700"/>
            <wp:effectExtent l="0" t="0" r="0" b="0"/>
            <wp:docPr id="523598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98149" name=""/>
                    <pic:cNvPicPr/>
                  </pic:nvPicPr>
                  <pic:blipFill>
                    <a:blip r:embed="rId11"/>
                    <a:stretch>
                      <a:fillRect/>
                    </a:stretch>
                  </pic:blipFill>
                  <pic:spPr>
                    <a:xfrm>
                      <a:off x="0" y="0"/>
                      <a:ext cx="3238500" cy="901700"/>
                    </a:xfrm>
                    <a:prstGeom prst="rect">
                      <a:avLst/>
                    </a:prstGeom>
                  </pic:spPr>
                </pic:pic>
              </a:graphicData>
            </a:graphic>
          </wp:inline>
        </w:drawing>
      </w:r>
    </w:p>
    <w:p w14:paraId="060D637A" w14:textId="77777777" w:rsidR="00351E82" w:rsidRDefault="00351E82" w:rsidP="004C7228">
      <w:pPr>
        <w:spacing w:after="0" w:line="240" w:lineRule="auto"/>
        <w:jc w:val="both"/>
        <w:rPr>
          <w:rFonts w:ascii="Verdana" w:eastAsia="Calibri" w:hAnsi="Verdana" w:cs="Arial"/>
          <w:color w:val="000000"/>
          <w:lang w:val="es-ES"/>
        </w:rPr>
      </w:pPr>
    </w:p>
    <w:p w14:paraId="0F3771DC" w14:textId="77777777" w:rsidR="004C7228" w:rsidRPr="00B96799" w:rsidRDefault="004C7228" w:rsidP="004C7228">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5D17C67C" w14:textId="1019F8D5" w:rsidR="004C7228" w:rsidRDefault="004C7228" w:rsidP="5B4243E8">
      <w:pPr>
        <w:spacing w:after="0" w:line="240" w:lineRule="auto"/>
        <w:rPr>
          <w:rFonts w:ascii="Verdana" w:eastAsia="Calibri" w:hAnsi="Verdana" w:cs="Arial"/>
          <w:b/>
          <w:bCs/>
          <w:lang w:val="es-ES" w:eastAsia="es-ES"/>
        </w:rPr>
      </w:pPr>
      <w:r w:rsidRPr="5B4243E8">
        <w:rPr>
          <w:rFonts w:ascii="Verdana" w:eastAsia="Calibri" w:hAnsi="Verdana" w:cs="Arial"/>
          <w:b/>
          <w:bCs/>
          <w:lang w:val="es-ES" w:eastAsia="es-ES"/>
        </w:rPr>
        <w:t xml:space="preserve">Edna </w:t>
      </w:r>
      <w:r w:rsidR="00351E82" w:rsidRPr="5B4243E8">
        <w:rPr>
          <w:rFonts w:ascii="Verdana" w:eastAsia="Calibri" w:hAnsi="Verdana" w:cs="Arial"/>
          <w:b/>
          <w:bCs/>
          <w:lang w:val="es-ES" w:eastAsia="es-ES"/>
        </w:rPr>
        <w:t>Rocío</w:t>
      </w:r>
      <w:r w:rsidRPr="5B4243E8">
        <w:rPr>
          <w:rFonts w:ascii="Verdana" w:eastAsia="Calibri" w:hAnsi="Verdana" w:cs="Arial"/>
          <w:b/>
          <w:bCs/>
          <w:lang w:val="es-ES" w:eastAsia="es-ES"/>
        </w:rPr>
        <w:t xml:space="preserve"> Valenzuela Jiménez</w:t>
      </w:r>
    </w:p>
    <w:p w14:paraId="74265A69" w14:textId="77777777" w:rsidR="004C7228" w:rsidRPr="00B0267F" w:rsidRDefault="004C7228" w:rsidP="004C7228">
      <w:pPr>
        <w:spacing w:after="0" w:line="240" w:lineRule="auto"/>
        <w:rPr>
          <w:rFonts w:ascii="Verdana" w:eastAsia="Calibri" w:hAnsi="Verdana" w:cs="Arial"/>
          <w:lang w:val="es-ES" w:eastAsia="es-ES"/>
        </w:rPr>
      </w:pPr>
      <w:hyperlink r:id="rId12" w:history="1">
        <w:r w:rsidRPr="00CE34CF">
          <w:rPr>
            <w:rStyle w:val="Hipervnculo"/>
            <w:rFonts w:ascii="Verdana" w:eastAsia="Calibri" w:hAnsi="Verdana" w:cs="Arial"/>
            <w:lang w:val="es-ES" w:eastAsia="es-ES"/>
          </w:rPr>
          <w:t>evalenzuela@ani.gov.co</w:t>
        </w:r>
      </w:hyperlink>
      <w:r>
        <w:rPr>
          <w:rFonts w:ascii="Verdana" w:eastAsia="Calibri" w:hAnsi="Verdana" w:cs="Arial"/>
          <w:lang w:val="es-ES" w:eastAsia="es-ES"/>
        </w:rPr>
        <w:t xml:space="preserve"> </w:t>
      </w:r>
    </w:p>
    <w:p w14:paraId="7E676667" w14:textId="77777777" w:rsidR="004C7228" w:rsidRDefault="004C7228" w:rsidP="004C7228">
      <w:pPr>
        <w:spacing w:after="0" w:line="240" w:lineRule="auto"/>
        <w:rPr>
          <w:rFonts w:ascii="Verdana" w:eastAsia="Calibri" w:hAnsi="Verdana" w:cs="Arial"/>
          <w:lang w:val="es-ES" w:eastAsia="es-ES"/>
        </w:rPr>
      </w:pPr>
      <w:r w:rsidRPr="00B0267F">
        <w:rPr>
          <w:rFonts w:ascii="Verdana" w:eastAsia="Calibri" w:hAnsi="Verdana" w:cs="Arial"/>
          <w:lang w:val="es-ES" w:eastAsia="es-ES"/>
        </w:rPr>
        <w:t>Bogotá D.C.</w:t>
      </w:r>
    </w:p>
    <w:p w14:paraId="5FD06BC9" w14:textId="77777777" w:rsidR="004C7228" w:rsidRPr="00593A5F" w:rsidRDefault="004C7228" w:rsidP="004C7228">
      <w:pPr>
        <w:spacing w:after="0" w:line="240" w:lineRule="auto"/>
        <w:rPr>
          <w:rFonts w:ascii="Verdana" w:eastAsia="Calibri" w:hAnsi="Verdana" w:cs="Arial"/>
          <w:b/>
          <w:bCs/>
          <w:color w:val="000000"/>
          <w:lang w:val="es-ES_tradnl" w:eastAsia="es-ES_tradnl"/>
        </w:rPr>
      </w:pPr>
    </w:p>
    <w:p w14:paraId="59C3ED49" w14:textId="77777777" w:rsidR="004C7228" w:rsidRPr="00593A5F" w:rsidRDefault="004C7228" w:rsidP="004C722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7228" w:rsidRPr="00593A5F" w14:paraId="0139ECE4" w14:textId="77777777" w:rsidTr="00B9211A">
        <w:trPr>
          <w:trHeight w:val="625"/>
        </w:trPr>
        <w:tc>
          <w:tcPr>
            <w:tcW w:w="2689" w:type="dxa"/>
          </w:tcPr>
          <w:p w14:paraId="4C72FF9B" w14:textId="77777777" w:rsidR="004C7228" w:rsidRPr="00C00976" w:rsidRDefault="004C7228" w:rsidP="007A5438">
            <w:pPr>
              <w:jc w:val="both"/>
              <w:rPr>
                <w:rFonts w:ascii="Verdana" w:eastAsia="Calibri" w:hAnsi="Verdana" w:cs="Arial"/>
                <w:b/>
                <w:bCs/>
                <w:color w:val="7030A0"/>
                <w:lang w:val="es-ES_tradnl" w:eastAsia="es-ES_tradnl"/>
              </w:rPr>
            </w:pPr>
          </w:p>
        </w:tc>
        <w:tc>
          <w:tcPr>
            <w:tcW w:w="6100" w:type="dxa"/>
          </w:tcPr>
          <w:p w14:paraId="72C4C156" w14:textId="77777777" w:rsidR="004C7228" w:rsidRPr="00C00976" w:rsidRDefault="004C7228" w:rsidP="007A5438">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542</w:t>
            </w:r>
            <w:r w:rsidRPr="008E6AD9">
              <w:rPr>
                <w:rFonts w:ascii="Verdana" w:eastAsia="Calibri" w:hAnsi="Verdana" w:cs="Arial"/>
                <w:b/>
                <w:bCs/>
                <w:lang w:val="es-ES" w:eastAsia="es-ES"/>
              </w:rPr>
              <w:t xml:space="preserve"> de 2024</w:t>
            </w:r>
          </w:p>
        </w:tc>
      </w:tr>
      <w:tr w:rsidR="004C7228" w:rsidRPr="00593A5F" w14:paraId="3472D30E" w14:textId="77777777" w:rsidTr="007A5438">
        <w:trPr>
          <w:trHeight w:val="884"/>
        </w:trPr>
        <w:tc>
          <w:tcPr>
            <w:tcW w:w="2689" w:type="dxa"/>
          </w:tcPr>
          <w:p w14:paraId="2641A8FE" w14:textId="77777777" w:rsidR="004C7228" w:rsidRPr="00593A5F" w:rsidRDefault="004C7228" w:rsidP="007A543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3FFCDAA9" w14:textId="77777777" w:rsidR="004C7228" w:rsidRPr="00A11406" w:rsidRDefault="004C7228" w:rsidP="007A5438">
            <w:pPr>
              <w:spacing w:line="276" w:lineRule="auto"/>
              <w:jc w:val="both"/>
              <w:rPr>
                <w:rFonts w:ascii="Verdana" w:eastAsia="Calibri" w:hAnsi="Verdana" w:cs="Arial"/>
                <w:lang w:val="es-ES" w:eastAsia="es-ES"/>
              </w:rPr>
            </w:pPr>
            <w:r w:rsidRPr="001A0208">
              <w:rPr>
                <w:rFonts w:ascii="Verdana" w:eastAsia="Calibri" w:hAnsi="Verdana" w:cs="Arial"/>
                <w:lang w:val="es-ES" w:eastAsia="es-ES"/>
              </w:rPr>
              <w:t>DEBER DE PLANEACIÓN – Estudios previos</w:t>
            </w:r>
            <w:r>
              <w:rPr>
                <w:rFonts w:ascii="Verdana" w:eastAsia="Calibri" w:hAnsi="Verdana" w:cs="Arial"/>
                <w:lang w:val="es-ES" w:eastAsia="es-ES"/>
              </w:rPr>
              <w:t xml:space="preserve"> / </w:t>
            </w:r>
            <w:r w:rsidRPr="001A0208">
              <w:rPr>
                <w:rFonts w:ascii="Verdana" w:eastAsia="Calibri" w:hAnsi="Verdana" w:cs="Arial"/>
                <w:lang w:val="es-ES" w:eastAsia="es-ES"/>
              </w:rPr>
              <w:t>VALOR ESTIMADO DEL CONTRATO – Precios unitarios – Precio global</w:t>
            </w:r>
            <w:r>
              <w:rPr>
                <w:rFonts w:ascii="Verdana" w:eastAsia="Calibri" w:hAnsi="Verdana" w:cs="Arial"/>
                <w:lang w:val="es-ES" w:eastAsia="es-ES"/>
              </w:rPr>
              <w:t xml:space="preserve"> / </w:t>
            </w:r>
            <w:r w:rsidRPr="001A0208">
              <w:rPr>
                <w:rFonts w:ascii="Verdana" w:eastAsia="Calibri" w:hAnsi="Verdana" w:cs="Arial"/>
                <w:lang w:val="es-ES" w:eastAsia="es-ES"/>
              </w:rPr>
              <w:t>CONCURSO DE MÉRITOS – Valor del contrato</w:t>
            </w:r>
            <w:r>
              <w:rPr>
                <w:rFonts w:ascii="Verdana" w:eastAsia="Calibri" w:hAnsi="Verdana" w:cs="Arial"/>
                <w:lang w:val="es-ES" w:eastAsia="es-ES"/>
              </w:rPr>
              <w:t xml:space="preserve"> / </w:t>
            </w:r>
            <w:r w:rsidRPr="001A0208">
              <w:rPr>
                <w:rFonts w:ascii="Verdana" w:eastAsia="Calibri" w:hAnsi="Verdana" w:cs="Arial"/>
                <w:lang w:val="es-ES" w:eastAsia="es-ES"/>
              </w:rPr>
              <w:t>ANÁLISIS DEL SECTOR – Fundamento normativo</w:t>
            </w:r>
          </w:p>
          <w:p w14:paraId="625D6830" w14:textId="77777777" w:rsidR="004C7228" w:rsidRPr="00593A5F" w:rsidRDefault="004C7228" w:rsidP="007A5438">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4C7228" w:rsidRPr="008E6AD9" w14:paraId="7F1AE360" w14:textId="77777777" w:rsidTr="007A5438">
        <w:tc>
          <w:tcPr>
            <w:tcW w:w="2689" w:type="dxa"/>
          </w:tcPr>
          <w:p w14:paraId="34177CDB" w14:textId="77777777" w:rsidR="004C7228" w:rsidRPr="008E6AD9" w:rsidRDefault="004C7228" w:rsidP="007A5438">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41D9CF4" w14:textId="77777777" w:rsidR="004C7228" w:rsidRPr="008E6AD9" w:rsidRDefault="004C7228" w:rsidP="007A5438">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Respuesta a</w:t>
            </w:r>
            <w:r>
              <w:rPr>
                <w:rFonts w:ascii="Verdana" w:eastAsia="Calibri" w:hAnsi="Verdana" w:cs="Arial"/>
                <w:lang w:val="es-ES_tradnl" w:eastAsia="es-ES_tradnl"/>
              </w:rPr>
              <w:t xml:space="preserve"> las</w:t>
            </w:r>
            <w:r w:rsidRPr="008E6AD9">
              <w:rPr>
                <w:rFonts w:ascii="Verdana" w:eastAsia="Calibri" w:hAnsi="Verdana" w:cs="Arial"/>
                <w:lang w:val="es-ES_tradnl" w:eastAsia="es-ES_tradnl"/>
              </w:rPr>
              <w:t xml:space="preserve"> consulta</w:t>
            </w:r>
            <w:r>
              <w:rPr>
                <w:rFonts w:ascii="Verdana" w:eastAsia="Calibri" w:hAnsi="Verdana" w:cs="Arial"/>
                <w:lang w:val="es-ES_tradnl" w:eastAsia="es-ES_tradnl"/>
              </w:rPr>
              <w:t>s</w:t>
            </w:r>
            <w:r w:rsidRPr="008E6AD9">
              <w:rPr>
                <w:rFonts w:ascii="Verdana" w:eastAsia="Calibri" w:hAnsi="Verdana" w:cs="Arial"/>
                <w:lang w:val="es-ES_tradnl" w:eastAsia="es-ES_tradnl"/>
              </w:rPr>
              <w:t xml:space="preserve"> con radicado No. </w:t>
            </w:r>
            <w:r w:rsidRPr="00B0267F">
              <w:rPr>
                <w:rFonts w:ascii="Verdana" w:eastAsia="Calibri" w:hAnsi="Verdana" w:cs="Arial"/>
                <w:lang w:val="es-ES_tradnl" w:eastAsia="es-ES_tradnl"/>
              </w:rPr>
              <w:t xml:space="preserve">P20240830008865 </w:t>
            </w:r>
            <w:r>
              <w:rPr>
                <w:rFonts w:ascii="Verdana" w:eastAsia="Calibri" w:hAnsi="Verdana" w:cs="Arial"/>
                <w:lang w:val="es-ES_tradnl" w:eastAsia="es-ES_tradnl"/>
              </w:rPr>
              <w:t>y</w:t>
            </w:r>
            <w:r w:rsidRPr="00B0267F">
              <w:rPr>
                <w:rFonts w:ascii="Verdana" w:eastAsia="Calibri" w:hAnsi="Verdana" w:cs="Arial"/>
                <w:lang w:val="es-ES_tradnl" w:eastAsia="es-ES_tradnl"/>
              </w:rPr>
              <w:t xml:space="preserve"> P20240902008902</w:t>
            </w:r>
            <w:r>
              <w:rPr>
                <w:rFonts w:ascii="Verdana" w:eastAsia="Calibri" w:hAnsi="Verdana" w:cs="Arial"/>
                <w:lang w:val="es-ES_tradnl" w:eastAsia="es-ES_tradnl"/>
              </w:rPr>
              <w:t xml:space="preserve"> –Acumuladas–</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4591D68E" w14:textId="77777777" w:rsidR="004C7228" w:rsidRPr="00593A5F" w:rsidRDefault="004C7228" w:rsidP="004C7228">
      <w:pPr>
        <w:spacing w:after="0" w:line="240" w:lineRule="auto"/>
        <w:jc w:val="both"/>
        <w:rPr>
          <w:rFonts w:ascii="Verdana" w:eastAsia="Calibri" w:hAnsi="Verdana" w:cs="Arial"/>
          <w:color w:val="000000"/>
          <w:lang w:val="es-ES_tradnl" w:eastAsia="es-ES_tradnl"/>
        </w:rPr>
      </w:pPr>
    </w:p>
    <w:p w14:paraId="06E0E905" w14:textId="77777777" w:rsidR="004C7228" w:rsidRPr="00593A5F" w:rsidRDefault="004C7228" w:rsidP="004C7228">
      <w:pPr>
        <w:spacing w:after="0" w:line="240" w:lineRule="auto"/>
        <w:jc w:val="both"/>
        <w:rPr>
          <w:rFonts w:ascii="Verdana" w:eastAsia="Calibri" w:hAnsi="Verdana" w:cs="Arial"/>
          <w:color w:val="000000"/>
          <w:lang w:val="es-ES_tradnl" w:eastAsia="es-ES_tradnl"/>
        </w:rPr>
      </w:pPr>
    </w:p>
    <w:p w14:paraId="7D5819B6" w14:textId="77777777" w:rsidR="004C7228" w:rsidRPr="008E6AD9" w:rsidRDefault="004C7228" w:rsidP="004C7228">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B0267F">
        <w:rPr>
          <w:rFonts w:ascii="Verdana" w:eastAsia="Calibri" w:hAnsi="Verdana" w:cs="Arial"/>
          <w:lang w:val="es-ES" w:eastAsia="es-ES"/>
        </w:rPr>
        <w:t>Valenzuela Jiménez</w:t>
      </w:r>
      <w:r w:rsidRPr="008E6AD9">
        <w:rPr>
          <w:rFonts w:ascii="Verdana" w:eastAsia="Calibri" w:hAnsi="Verdana" w:cs="Arial"/>
          <w:lang w:val="es-ES" w:eastAsia="es-ES"/>
        </w:rPr>
        <w:t xml:space="preserve">: </w:t>
      </w:r>
    </w:p>
    <w:p w14:paraId="37DF6476" w14:textId="77777777" w:rsidR="004C7228" w:rsidRDefault="004C7228" w:rsidP="004C722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101DDAC3" w14:textId="77777777" w:rsidR="004C7228" w:rsidRPr="00593A5F" w:rsidRDefault="004C7228" w:rsidP="004C7228">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w:t>
      </w:r>
      <w:r>
        <w:rPr>
          <w:rFonts w:ascii="Verdana" w:eastAsia="Calibri" w:hAnsi="Verdana" w:cs="Arial"/>
          <w:color w:val="000000" w:themeColor="text1"/>
          <w:lang w:val="es-ES" w:eastAsia="es-ES"/>
        </w:rPr>
        <w:t>s</w:t>
      </w:r>
      <w:r w:rsidRPr="00593A5F">
        <w:rPr>
          <w:rFonts w:ascii="Verdana" w:eastAsia="Calibri" w:hAnsi="Verdana" w:cs="Arial"/>
          <w:color w:val="000000" w:themeColor="text1"/>
          <w:lang w:val="es-ES" w:eastAsia="es-ES"/>
        </w:rPr>
        <w:t xml:space="preserve"> solicitud</w:t>
      </w:r>
      <w:r>
        <w:rPr>
          <w:rFonts w:ascii="Verdana" w:eastAsia="Calibri" w:hAnsi="Verdana" w:cs="Arial"/>
          <w:color w:val="000000" w:themeColor="text1"/>
          <w:lang w:val="es-ES" w:eastAsia="es-ES"/>
        </w:rPr>
        <w:t>es</w:t>
      </w:r>
      <w:r w:rsidRPr="00593A5F">
        <w:rPr>
          <w:rFonts w:ascii="Verdana" w:eastAsia="Calibri" w:hAnsi="Verdana" w:cs="Arial"/>
          <w:color w:val="000000" w:themeColor="text1"/>
          <w:lang w:val="es-ES" w:eastAsia="es-ES"/>
        </w:rPr>
        <w:t xml:space="preserve">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 xml:space="preserve">fecha </w:t>
      </w:r>
      <w:r>
        <w:rPr>
          <w:rFonts w:ascii="Verdana" w:eastAsia="Calibri" w:hAnsi="Verdana" w:cs="Arial"/>
          <w:lang w:val="es-ES" w:eastAsia="es-ES"/>
        </w:rPr>
        <w:t>30 de agosto y 2 de septiembre</w:t>
      </w:r>
      <w:r w:rsidRPr="008E6AD9">
        <w:rPr>
          <w:rFonts w:ascii="Verdana" w:eastAsia="Calibri" w:hAnsi="Verdana" w:cs="Arial"/>
          <w:lang w:val="es-ES" w:eastAsia="es-ES"/>
        </w:rPr>
        <w:t xml:space="preserve"> de 2024, en la</w:t>
      </w:r>
      <w:r>
        <w:rPr>
          <w:rFonts w:ascii="Verdana" w:eastAsia="Calibri" w:hAnsi="Verdana" w:cs="Arial"/>
          <w:lang w:val="es-ES" w:eastAsia="es-ES"/>
        </w:rPr>
        <w:t>s</w:t>
      </w:r>
      <w:r w:rsidRPr="008E6AD9">
        <w:rPr>
          <w:rFonts w:ascii="Verdana" w:eastAsia="Calibri" w:hAnsi="Verdana" w:cs="Arial"/>
          <w:lang w:val="es-ES" w:eastAsia="es-ES"/>
        </w:rPr>
        <w:t xml:space="preserve"> cua</w:t>
      </w:r>
      <w:r>
        <w:rPr>
          <w:rFonts w:ascii="Verdana" w:eastAsia="Calibri" w:hAnsi="Verdana" w:cs="Arial"/>
          <w:lang w:val="es-ES" w:eastAsia="es-ES"/>
        </w:rPr>
        <w:t xml:space="preserve">les –respecto al numeral 4 del artículo </w:t>
      </w:r>
      <w:r w:rsidRPr="00B0267F">
        <w:rPr>
          <w:rFonts w:ascii="Verdana" w:eastAsia="Calibri" w:hAnsi="Verdana" w:cs="Arial"/>
          <w:lang w:val="es-ES" w:eastAsia="es-ES"/>
        </w:rPr>
        <w:t>2.2.1.1.2.1.1</w:t>
      </w:r>
      <w:r w:rsidRPr="00F710A9">
        <w:rPr>
          <w:rFonts w:ascii="Verdana" w:eastAsia="Calibri" w:hAnsi="Verdana" w:cs="Arial"/>
          <w:lang w:val="es-ES" w:eastAsia="es-ES"/>
        </w:rPr>
        <w:t xml:space="preserve"> del Decreto 1082 de 2015</w:t>
      </w:r>
      <w:r>
        <w:rPr>
          <w:rFonts w:ascii="Verdana" w:eastAsia="Calibri" w:hAnsi="Verdana" w:cs="Arial"/>
          <w:lang w:val="es-ES" w:eastAsia="es-ES"/>
        </w:rPr>
        <w:t>, modificado por el artículo 1 del Decreto 399 de 2021– pregunta lo siguiente</w:t>
      </w:r>
      <w:r w:rsidRPr="008E6AD9">
        <w:rPr>
          <w:rFonts w:ascii="Verdana" w:eastAsia="Calibri" w:hAnsi="Verdana" w:cs="Arial"/>
          <w:lang w:val="es-ES" w:eastAsia="es-ES"/>
        </w:rPr>
        <w:t xml:space="preserve">: </w:t>
      </w:r>
    </w:p>
    <w:p w14:paraId="645E20C9" w14:textId="77777777" w:rsidR="004C7228" w:rsidRPr="00272A7B" w:rsidRDefault="004C7228" w:rsidP="00C37C39">
      <w:pPr>
        <w:pStyle w:val="Prrafodelista"/>
        <w:tabs>
          <w:tab w:val="left" w:pos="142"/>
          <w:tab w:val="left" w:pos="284"/>
        </w:tabs>
        <w:spacing w:after="0" w:line="276" w:lineRule="auto"/>
        <w:ind w:left="0"/>
        <w:jc w:val="both"/>
        <w:rPr>
          <w:rFonts w:ascii="Verdana" w:eastAsia="Century Gothic" w:hAnsi="Verdana" w:cs="Century Gothic"/>
          <w:b/>
          <w:bCs/>
        </w:rPr>
      </w:pPr>
    </w:p>
    <w:p w14:paraId="0A1CB6D5" w14:textId="77777777" w:rsidR="004C7228" w:rsidRPr="00B0267F" w:rsidRDefault="004C7228" w:rsidP="004C7228">
      <w:pPr>
        <w:spacing w:after="120" w:line="240" w:lineRule="auto"/>
        <w:ind w:left="709" w:right="709"/>
        <w:jc w:val="both"/>
        <w:rPr>
          <w:rStyle w:val="normaltextrun"/>
          <w:rFonts w:ascii="Verdana" w:hAnsi="Verdana" w:cs="Arial"/>
          <w:sz w:val="20"/>
          <w:szCs w:val="20"/>
          <w:shd w:val="clear" w:color="auto" w:fill="FFFFFF"/>
          <w:lang w:val="es-ES"/>
        </w:rPr>
      </w:pPr>
      <w:bookmarkStart w:id="0" w:name="_Hlk95313578"/>
      <w:r w:rsidRPr="008E6AD9">
        <w:rPr>
          <w:rFonts w:ascii="Verdana" w:eastAsia="Century Gothic" w:hAnsi="Verdana" w:cs="Century Gothic"/>
          <w:sz w:val="20"/>
          <w:szCs w:val="20"/>
          <w:lang w:val="es-ES"/>
        </w:rPr>
        <w:t>“</w:t>
      </w:r>
      <w:r w:rsidRPr="00B0267F">
        <w:rPr>
          <w:rStyle w:val="normaltextrun"/>
          <w:rFonts w:ascii="Verdana" w:hAnsi="Verdana" w:cs="Arial"/>
          <w:sz w:val="20"/>
          <w:szCs w:val="20"/>
          <w:shd w:val="clear" w:color="auto" w:fill="FFFFFF"/>
          <w:lang w:val="es-ES"/>
        </w:rPr>
        <w:t>1. ¿Cuándo las entidades regidas por el Estatuto General de Contratación de la</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Administración Pública-EGCAP realizan la proyección de los presupuestos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oficiales a precio global, en cumplimiento del principio de planeación, deben</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definir en los estudios y documentos previos la forma como se calcularon y el</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soporte de los cálculos presupuestales para la estimación?</w:t>
      </w:r>
    </w:p>
    <w:p w14:paraId="0A9ECDDE" w14:textId="77777777" w:rsidR="004C7228" w:rsidRPr="00B0267F" w:rsidRDefault="004C7228" w:rsidP="004C7228">
      <w:pPr>
        <w:spacing w:after="120" w:line="240" w:lineRule="auto"/>
        <w:ind w:left="709" w:right="709"/>
        <w:jc w:val="both"/>
        <w:rPr>
          <w:rStyle w:val="normaltextrun"/>
          <w:rFonts w:ascii="Verdana" w:hAnsi="Verdana" w:cs="Arial"/>
          <w:sz w:val="20"/>
          <w:szCs w:val="20"/>
          <w:shd w:val="clear" w:color="auto" w:fill="FFFFFF"/>
          <w:lang w:val="es-ES"/>
        </w:rPr>
      </w:pPr>
      <w:r w:rsidRPr="00B0267F">
        <w:rPr>
          <w:rStyle w:val="normaltextrun"/>
          <w:rFonts w:ascii="Verdana" w:hAnsi="Verdana" w:cs="Arial"/>
          <w:sz w:val="20"/>
          <w:szCs w:val="20"/>
          <w:shd w:val="clear" w:color="auto" w:fill="FFFFFF"/>
          <w:lang w:val="es-ES"/>
        </w:rPr>
        <w:lastRenderedPageBreak/>
        <w:t>2. ¿La desagregación de las unidades no es aplicable en los procesos de</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contratación con presupuestos globales?</w:t>
      </w:r>
    </w:p>
    <w:p w14:paraId="094C71E1" w14:textId="77777777" w:rsidR="004C7228" w:rsidRPr="00B0267F" w:rsidRDefault="004C7228" w:rsidP="004C7228">
      <w:pPr>
        <w:spacing w:after="120" w:line="240" w:lineRule="auto"/>
        <w:ind w:left="709" w:right="709"/>
        <w:jc w:val="both"/>
        <w:rPr>
          <w:rStyle w:val="normaltextrun"/>
          <w:rFonts w:ascii="Verdana" w:hAnsi="Verdana" w:cs="Arial"/>
          <w:sz w:val="20"/>
          <w:szCs w:val="20"/>
          <w:shd w:val="clear" w:color="auto" w:fill="FFFFFF"/>
          <w:lang w:val="es-ES"/>
        </w:rPr>
      </w:pPr>
      <w:r w:rsidRPr="00B0267F">
        <w:rPr>
          <w:rStyle w:val="normaltextrun"/>
          <w:rFonts w:ascii="Verdana" w:hAnsi="Verdana" w:cs="Arial"/>
          <w:sz w:val="20"/>
          <w:szCs w:val="20"/>
          <w:shd w:val="clear" w:color="auto" w:fill="FFFFFF"/>
          <w:lang w:val="es-ES"/>
        </w:rPr>
        <w:t xml:space="preserve">3. </w:t>
      </w:r>
      <w:proofErr w:type="gramStart"/>
      <w:r w:rsidRPr="00B0267F">
        <w:rPr>
          <w:rStyle w:val="normaltextrun"/>
          <w:rFonts w:ascii="Verdana" w:hAnsi="Verdana" w:cs="Arial"/>
          <w:sz w:val="20"/>
          <w:szCs w:val="20"/>
          <w:shd w:val="clear" w:color="auto" w:fill="FFFFFF"/>
          <w:lang w:val="es-ES"/>
        </w:rPr>
        <w:t>En caso que</w:t>
      </w:r>
      <w:proofErr w:type="gramEnd"/>
      <w:r w:rsidRPr="00B0267F">
        <w:rPr>
          <w:rStyle w:val="normaltextrun"/>
          <w:rFonts w:ascii="Verdana" w:hAnsi="Verdana" w:cs="Arial"/>
          <w:sz w:val="20"/>
          <w:szCs w:val="20"/>
          <w:shd w:val="clear" w:color="auto" w:fill="FFFFFF"/>
          <w:lang w:val="es-ES"/>
        </w:rPr>
        <w:t xml:space="preserve"> no sea aplicable la desagregación de las unidades en los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presupuestos globales ¿Cómo se justifica el cálculo de un presupuesto global?</w:t>
      </w:r>
    </w:p>
    <w:p w14:paraId="54B96901" w14:textId="77777777" w:rsidR="004C7228" w:rsidRPr="00B0267F" w:rsidRDefault="004C7228" w:rsidP="004C7228">
      <w:pPr>
        <w:spacing w:after="120" w:line="240" w:lineRule="auto"/>
        <w:ind w:left="709" w:right="709"/>
        <w:jc w:val="both"/>
        <w:rPr>
          <w:rStyle w:val="normaltextrun"/>
          <w:rFonts w:ascii="Verdana" w:hAnsi="Verdana" w:cs="Arial"/>
          <w:sz w:val="20"/>
          <w:szCs w:val="20"/>
          <w:shd w:val="clear" w:color="auto" w:fill="FFFFFF"/>
          <w:lang w:val="es-ES"/>
        </w:rPr>
      </w:pPr>
      <w:r w:rsidRPr="00B0267F">
        <w:rPr>
          <w:rStyle w:val="normaltextrun"/>
          <w:rFonts w:ascii="Verdana" w:hAnsi="Verdana" w:cs="Arial"/>
          <w:sz w:val="20"/>
          <w:szCs w:val="20"/>
          <w:shd w:val="clear" w:color="auto" w:fill="FFFFFF"/>
          <w:lang w:val="es-ES"/>
        </w:rPr>
        <w:t>4. ¿Qué comprende la obligación de publicación de las variables para calcular los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presupuestos oficiales en los concursos de méritos a precios unitarios?</w:t>
      </w:r>
    </w:p>
    <w:p w14:paraId="67FE21E7" w14:textId="77777777" w:rsidR="004C7228" w:rsidRPr="00B0267F" w:rsidRDefault="004C7228" w:rsidP="004C7228">
      <w:pPr>
        <w:spacing w:after="120" w:line="240" w:lineRule="auto"/>
        <w:ind w:left="709" w:right="709"/>
        <w:jc w:val="both"/>
        <w:rPr>
          <w:rStyle w:val="normaltextrun"/>
          <w:rFonts w:ascii="Verdana" w:hAnsi="Verdana" w:cs="Arial"/>
          <w:sz w:val="20"/>
          <w:szCs w:val="20"/>
          <w:shd w:val="clear" w:color="auto" w:fill="FFFFFF"/>
          <w:lang w:val="es-ES"/>
        </w:rPr>
      </w:pPr>
      <w:r w:rsidRPr="00B0267F">
        <w:rPr>
          <w:rStyle w:val="normaltextrun"/>
          <w:rFonts w:ascii="Verdana" w:hAnsi="Verdana" w:cs="Arial"/>
          <w:sz w:val="20"/>
          <w:szCs w:val="20"/>
          <w:shd w:val="clear" w:color="auto" w:fill="FFFFFF"/>
          <w:lang w:val="es-ES"/>
        </w:rPr>
        <w:t>5. ¿Qué comprende la obligación de publicación de las variables para calcular los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presupuestos oficiales en los concursos de méritos a precios globales?</w:t>
      </w:r>
    </w:p>
    <w:p w14:paraId="1B679341" w14:textId="77777777" w:rsidR="004C7228" w:rsidRPr="00B0267F" w:rsidRDefault="004C7228" w:rsidP="004C7228">
      <w:pPr>
        <w:spacing w:after="120" w:line="240" w:lineRule="auto"/>
        <w:ind w:left="709" w:right="709"/>
        <w:jc w:val="both"/>
        <w:rPr>
          <w:rStyle w:val="normaltextrun"/>
          <w:rFonts w:ascii="Verdana" w:hAnsi="Verdana" w:cs="Arial"/>
          <w:sz w:val="20"/>
          <w:szCs w:val="20"/>
          <w:shd w:val="clear" w:color="auto" w:fill="FFFFFF"/>
          <w:lang w:val="es-ES"/>
        </w:rPr>
      </w:pPr>
      <w:r w:rsidRPr="00B0267F">
        <w:rPr>
          <w:rStyle w:val="normaltextrun"/>
          <w:rFonts w:ascii="Verdana" w:hAnsi="Verdana" w:cs="Arial"/>
          <w:sz w:val="20"/>
          <w:szCs w:val="20"/>
          <w:shd w:val="clear" w:color="auto" w:fill="FFFFFF"/>
          <w:lang w:val="es-ES"/>
        </w:rPr>
        <w:t>6. ¿Qué comprende la obligación de publicación de las variables para calcular los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presupuestos oficiales en los concursos de méritos a precios globales fijos (llave</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en mano)?</w:t>
      </w:r>
    </w:p>
    <w:p w14:paraId="6F88F383" w14:textId="77777777" w:rsidR="004C7228" w:rsidRPr="00B0267F" w:rsidRDefault="004C7228" w:rsidP="004C7228">
      <w:pPr>
        <w:spacing w:after="120" w:line="240" w:lineRule="auto"/>
        <w:ind w:left="709" w:right="709"/>
        <w:jc w:val="both"/>
        <w:rPr>
          <w:rStyle w:val="normaltextrun"/>
          <w:rFonts w:ascii="Verdana" w:hAnsi="Verdana" w:cs="Arial"/>
          <w:sz w:val="20"/>
          <w:szCs w:val="20"/>
          <w:shd w:val="clear" w:color="auto" w:fill="FFFFFF"/>
          <w:lang w:val="es-ES"/>
        </w:rPr>
      </w:pPr>
      <w:r w:rsidRPr="00B0267F">
        <w:rPr>
          <w:rStyle w:val="normaltextrun"/>
          <w:rFonts w:ascii="Verdana" w:hAnsi="Verdana" w:cs="Arial"/>
          <w:sz w:val="20"/>
          <w:szCs w:val="20"/>
          <w:shd w:val="clear" w:color="auto" w:fill="FFFFFF"/>
          <w:lang w:val="es-ES"/>
        </w:rPr>
        <w:t>7. ¿La definición de presupuestos oficiales a precios globales exime a las entidades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regidas por el Estatuto General de Contratación de la Administración Pública</w:t>
      </w:r>
      <w:r>
        <w:rPr>
          <w:rStyle w:val="normaltextrun"/>
          <w:rFonts w:ascii="Verdana" w:hAnsi="Verdana" w:cs="Arial"/>
          <w:sz w:val="20"/>
          <w:szCs w:val="20"/>
          <w:shd w:val="clear" w:color="auto" w:fill="FFFFFF"/>
          <w:lang w:val="es-ES"/>
        </w:rPr>
        <w:t>-</w:t>
      </w:r>
      <w:r w:rsidRPr="00B0267F">
        <w:rPr>
          <w:rStyle w:val="normaltextrun"/>
          <w:rFonts w:ascii="Verdana" w:hAnsi="Verdana" w:cs="Arial"/>
          <w:sz w:val="20"/>
          <w:szCs w:val="20"/>
          <w:shd w:val="clear" w:color="auto" w:fill="FFFFFF"/>
          <w:lang w:val="es-ES"/>
        </w:rPr>
        <w:t>EGCAP de justificar los conceptos de gasto, unidades, cantidades y valores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entendidos como las variables empleadas para su determinación? En ese caso</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¿las entidades no deben desagregar y analizar las unidades que comprenden los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costos directos e indirectos?</w:t>
      </w:r>
    </w:p>
    <w:p w14:paraId="73F2CCB1" w14:textId="77777777" w:rsidR="004C7228" w:rsidRPr="00755328" w:rsidRDefault="004C7228" w:rsidP="004C7228">
      <w:pPr>
        <w:spacing w:after="0" w:line="240" w:lineRule="auto"/>
        <w:ind w:left="709" w:right="709"/>
        <w:jc w:val="both"/>
        <w:rPr>
          <w:rFonts w:ascii="Verdana" w:hAnsi="Verdana" w:cs="Arial"/>
          <w:sz w:val="20"/>
          <w:szCs w:val="20"/>
          <w:shd w:val="clear" w:color="auto" w:fill="FFFFFF"/>
          <w:lang w:val="es-ES"/>
        </w:rPr>
      </w:pPr>
      <w:r w:rsidRPr="00B0267F">
        <w:rPr>
          <w:rStyle w:val="normaltextrun"/>
          <w:rFonts w:ascii="Verdana" w:hAnsi="Verdana" w:cs="Arial"/>
          <w:sz w:val="20"/>
          <w:szCs w:val="20"/>
          <w:shd w:val="clear" w:color="auto" w:fill="FFFFFF"/>
          <w:lang w:val="es-ES"/>
        </w:rPr>
        <w:t>8. ¿La definición de presupuestos oficiales a precios globales es incompatible con</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la aplicación de herramientas diferentes al análisis de precios históricos en los</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análisis del sector y estudio de mercado? Por ejemplo, las solicitudes de</w:t>
      </w:r>
      <w:r>
        <w:rPr>
          <w:rStyle w:val="normaltextrun"/>
          <w:rFonts w:ascii="Verdana" w:hAnsi="Verdana" w:cs="Arial"/>
          <w:sz w:val="20"/>
          <w:szCs w:val="20"/>
          <w:shd w:val="clear" w:color="auto" w:fill="FFFFFF"/>
          <w:lang w:val="es-ES"/>
        </w:rPr>
        <w:t xml:space="preserve"> </w:t>
      </w:r>
      <w:r w:rsidRPr="00B0267F">
        <w:rPr>
          <w:rStyle w:val="normaltextrun"/>
          <w:rFonts w:ascii="Verdana" w:hAnsi="Verdana" w:cs="Arial"/>
          <w:sz w:val="20"/>
          <w:szCs w:val="20"/>
          <w:shd w:val="clear" w:color="auto" w:fill="FFFFFF"/>
          <w:lang w:val="es-ES"/>
        </w:rPr>
        <w:t>información a proveedores en SECOP II y bases de datos especializadas</w:t>
      </w:r>
      <w:r w:rsidRPr="008E6AD9">
        <w:rPr>
          <w:rFonts w:ascii="Verdana" w:eastAsia="Century Gothic" w:hAnsi="Verdana" w:cs="Century Gothic"/>
          <w:sz w:val="20"/>
          <w:szCs w:val="20"/>
          <w:lang w:val="es-ES"/>
        </w:rPr>
        <w:t>”</w:t>
      </w:r>
      <w:bookmarkEnd w:id="0"/>
      <w:r w:rsidRPr="008E6AD9">
        <w:rPr>
          <w:rFonts w:ascii="Verdana" w:eastAsia="Century Gothic" w:hAnsi="Verdana" w:cs="Century Gothic"/>
          <w:sz w:val="20"/>
          <w:szCs w:val="20"/>
          <w:lang w:val="es-ES"/>
        </w:rPr>
        <w:t>.</w:t>
      </w:r>
    </w:p>
    <w:p w14:paraId="44A395EA" w14:textId="77777777" w:rsidR="004C7228" w:rsidRPr="008E6AD9" w:rsidRDefault="004C7228" w:rsidP="00C37C39">
      <w:pPr>
        <w:pStyle w:val="Prrafodelista"/>
        <w:tabs>
          <w:tab w:val="left" w:pos="142"/>
          <w:tab w:val="left" w:pos="284"/>
        </w:tabs>
        <w:spacing w:after="0" w:line="276" w:lineRule="auto"/>
        <w:ind w:left="0"/>
        <w:jc w:val="both"/>
        <w:rPr>
          <w:rFonts w:ascii="Verdana" w:eastAsia="Century Gothic" w:hAnsi="Verdana" w:cs="Century Gothic"/>
          <w:b/>
          <w:bCs/>
        </w:rPr>
      </w:pPr>
    </w:p>
    <w:p w14:paraId="52BB1656" w14:textId="77777777" w:rsidR="004C7228" w:rsidRPr="00A652FF" w:rsidRDefault="004C7228" w:rsidP="004C7228">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De manera preliminar,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E54C365" w14:textId="77777777" w:rsidR="004C7228" w:rsidRDefault="004C7228" w:rsidP="004C7228">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w:t>
      </w:r>
      <w:r w:rsidRPr="00593A5F">
        <w:rPr>
          <w:rFonts w:ascii="Verdana" w:eastAsia="Calibri" w:hAnsi="Verdana" w:cs="Arial"/>
          <w:color w:val="000000"/>
          <w:lang w:val="es-ES" w:eastAsia="es-ES"/>
        </w:rPr>
        <w:lastRenderedPageBreak/>
        <w:t>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4D8F7F2" w14:textId="77777777" w:rsidR="004C7228" w:rsidRPr="00593A5F" w:rsidRDefault="004C7228" w:rsidP="004C7228">
      <w:pPr>
        <w:spacing w:after="0" w:line="276" w:lineRule="auto"/>
        <w:ind w:firstLine="709"/>
        <w:jc w:val="both"/>
        <w:rPr>
          <w:rFonts w:ascii="Verdana" w:eastAsia="Calibri" w:hAnsi="Verdana" w:cs="Arial"/>
          <w:color w:val="000000"/>
          <w:lang w:val="es-ES" w:eastAsia="es-ES"/>
        </w:rPr>
      </w:pPr>
    </w:p>
    <w:p w14:paraId="52ACDB4D" w14:textId="77777777" w:rsidR="004C7228" w:rsidRPr="00593A5F" w:rsidRDefault="004C7228" w:rsidP="004C722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4C65F163" w14:textId="77777777" w:rsidR="004C7228" w:rsidRPr="00593A5F" w:rsidRDefault="004C7228" w:rsidP="004C7228">
      <w:pPr>
        <w:tabs>
          <w:tab w:val="left" w:pos="426"/>
        </w:tabs>
        <w:spacing w:after="0" w:line="276" w:lineRule="auto"/>
        <w:jc w:val="both"/>
        <w:rPr>
          <w:rFonts w:ascii="Verdana" w:eastAsia="Century Gothic" w:hAnsi="Verdana" w:cs="Century Gothic"/>
          <w:lang w:val="es-ES"/>
        </w:rPr>
      </w:pPr>
    </w:p>
    <w:p w14:paraId="7DEA49B0" w14:textId="2E9BB6F8" w:rsidR="004C7228" w:rsidRPr="00593A5F" w:rsidRDefault="004C7228" w:rsidP="004C7228">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 xml:space="preserve">i) </w:t>
      </w:r>
      <w:r w:rsidRPr="00A652FF">
        <w:rPr>
          <w:rFonts w:ascii="Verdana" w:eastAsia="Century Gothic" w:hAnsi="Verdana" w:cs="Century Gothic"/>
        </w:rPr>
        <w:t>¿</w:t>
      </w:r>
      <w:r>
        <w:rPr>
          <w:rFonts w:ascii="Verdana" w:eastAsia="Century Gothic" w:hAnsi="Verdana" w:cs="Century Gothic"/>
        </w:rPr>
        <w:t xml:space="preserve">en los contratos a precio global, los estudios y documentos previos deben incluir </w:t>
      </w:r>
      <w:r w:rsidRPr="00755328">
        <w:rPr>
          <w:rFonts w:ascii="Verdana" w:eastAsia="Century Gothic" w:hAnsi="Verdana" w:cs="Century Gothic"/>
        </w:rPr>
        <w:t>la forma c</w:t>
      </w:r>
      <w:r>
        <w:rPr>
          <w:rFonts w:ascii="Verdana" w:eastAsia="Century Gothic" w:hAnsi="Verdana" w:cs="Century Gothic"/>
        </w:rPr>
        <w:t>ó</w:t>
      </w:r>
      <w:r w:rsidRPr="00755328">
        <w:rPr>
          <w:rFonts w:ascii="Verdana" w:eastAsia="Century Gothic" w:hAnsi="Verdana" w:cs="Century Gothic"/>
        </w:rPr>
        <w:t>mo se calcu</w:t>
      </w:r>
      <w:r>
        <w:rPr>
          <w:rFonts w:ascii="Verdana" w:eastAsia="Century Gothic" w:hAnsi="Verdana" w:cs="Century Gothic"/>
        </w:rPr>
        <w:t>laron</w:t>
      </w:r>
      <w:r w:rsidRPr="00755328">
        <w:rPr>
          <w:rFonts w:ascii="Verdana" w:eastAsia="Century Gothic" w:hAnsi="Verdana" w:cs="Century Gothic"/>
        </w:rPr>
        <w:t xml:space="preserve"> y el</w:t>
      </w:r>
      <w:r>
        <w:rPr>
          <w:rFonts w:ascii="Verdana" w:eastAsia="Century Gothic" w:hAnsi="Verdana" w:cs="Century Gothic"/>
        </w:rPr>
        <w:t xml:space="preserve"> </w:t>
      </w:r>
      <w:r w:rsidRPr="00755328">
        <w:rPr>
          <w:rFonts w:ascii="Verdana" w:eastAsia="Century Gothic" w:hAnsi="Verdana" w:cs="Century Gothic"/>
        </w:rPr>
        <w:t xml:space="preserve">soporte de los cálculos presupuestales para </w:t>
      </w:r>
      <w:r>
        <w:rPr>
          <w:rFonts w:ascii="Verdana" w:eastAsia="Century Gothic" w:hAnsi="Verdana" w:cs="Century Gothic"/>
        </w:rPr>
        <w:t>su</w:t>
      </w:r>
      <w:r w:rsidRPr="00755328">
        <w:rPr>
          <w:rFonts w:ascii="Verdana" w:eastAsia="Century Gothic" w:hAnsi="Verdana" w:cs="Century Gothic"/>
        </w:rPr>
        <w:t xml:space="preserve"> estimación</w:t>
      </w:r>
      <w:r>
        <w:rPr>
          <w:rFonts w:ascii="Verdana" w:eastAsia="Century Gothic" w:hAnsi="Verdana" w:cs="Century Gothic"/>
        </w:rPr>
        <w:t xml:space="preserve">?, </w:t>
      </w:r>
      <w:proofErr w:type="spellStart"/>
      <w:r>
        <w:rPr>
          <w:rFonts w:ascii="Verdana" w:eastAsia="Century Gothic" w:hAnsi="Verdana" w:cs="Century Gothic"/>
        </w:rPr>
        <w:t>ii</w:t>
      </w:r>
      <w:proofErr w:type="spellEnd"/>
      <w:r>
        <w:rPr>
          <w:rFonts w:ascii="Verdana" w:eastAsia="Century Gothic" w:hAnsi="Verdana" w:cs="Century Gothic"/>
        </w:rPr>
        <w:t xml:space="preserve">) ¿los estudios y documentos previos de los contratos adelantados por concurso de méritos incluyen </w:t>
      </w:r>
      <w:r w:rsidRPr="007A359C">
        <w:rPr>
          <w:rFonts w:ascii="Verdana" w:eastAsia="Century Gothic" w:hAnsi="Verdana" w:cs="Century Gothic"/>
        </w:rPr>
        <w:t>las variables utilizadas para calcular el valor estimado</w:t>
      </w:r>
      <w:r>
        <w:rPr>
          <w:rFonts w:ascii="Verdana" w:eastAsia="Century Gothic" w:hAnsi="Verdana" w:cs="Century Gothic"/>
        </w:rPr>
        <w:t xml:space="preserve">? y </w:t>
      </w:r>
      <w:proofErr w:type="spellStart"/>
      <w:r>
        <w:rPr>
          <w:rFonts w:ascii="Verdana" w:eastAsia="Century Gothic" w:hAnsi="Verdana" w:cs="Century Gothic"/>
        </w:rPr>
        <w:t>iii</w:t>
      </w:r>
      <w:proofErr w:type="spellEnd"/>
      <w:r>
        <w:rPr>
          <w:rFonts w:ascii="Verdana" w:eastAsia="Century Gothic" w:hAnsi="Verdana" w:cs="Century Gothic"/>
        </w:rPr>
        <w:t xml:space="preserve">) ¿la definición del </w:t>
      </w:r>
      <w:r w:rsidR="00EB1288">
        <w:rPr>
          <w:rFonts w:ascii="Verdana" w:eastAsia="Century Gothic" w:hAnsi="Verdana" w:cs="Century Gothic"/>
        </w:rPr>
        <w:t xml:space="preserve">presupuestos oficiales a precio global </w:t>
      </w:r>
      <w:r>
        <w:rPr>
          <w:rFonts w:ascii="Verdana" w:eastAsia="Century Gothic" w:hAnsi="Verdana" w:cs="Century Gothic"/>
        </w:rPr>
        <w:t xml:space="preserve">es compatible con </w:t>
      </w:r>
      <w:r w:rsidR="00416EEA">
        <w:rPr>
          <w:rFonts w:ascii="Verdana" w:eastAsia="Century Gothic" w:hAnsi="Verdana" w:cs="Century Gothic"/>
        </w:rPr>
        <w:t xml:space="preserve">la </w:t>
      </w:r>
      <w:r w:rsidR="00416EEA" w:rsidRPr="006C6FE3">
        <w:rPr>
          <w:rStyle w:val="normaltextrun"/>
          <w:rFonts w:ascii="Verdana" w:hAnsi="Verdana" w:cs="Arial"/>
          <w:shd w:val="clear" w:color="auto" w:fill="FFFFFF"/>
          <w:lang w:val="es-ES"/>
        </w:rPr>
        <w:t xml:space="preserve">aplicación de herramientas de estudio de mercado como análisis de precios históricos y solicitudes de cotización a proveedores? </w:t>
      </w:r>
    </w:p>
    <w:p w14:paraId="2019E644" w14:textId="77777777" w:rsidR="004C7228" w:rsidRPr="00593A5F" w:rsidRDefault="004C7228" w:rsidP="004C7228">
      <w:pPr>
        <w:spacing w:after="0" w:line="276" w:lineRule="auto"/>
        <w:jc w:val="both"/>
        <w:rPr>
          <w:rFonts w:ascii="Verdana" w:eastAsia="Calibri" w:hAnsi="Verdana" w:cs="Arial"/>
          <w:color w:val="7030A0"/>
          <w:lang w:val="es-ES"/>
        </w:rPr>
      </w:pPr>
    </w:p>
    <w:p w14:paraId="1CA385F6" w14:textId="77777777" w:rsidR="004C7228" w:rsidRPr="00593A5F" w:rsidRDefault="004C7228" w:rsidP="004C72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s</w:t>
      </w:r>
      <w:r w:rsidRPr="00593A5F">
        <w:rPr>
          <w:rFonts w:ascii="Verdana" w:eastAsia="Century Gothic" w:hAnsi="Verdana" w:cs="Century Gothic"/>
          <w:b/>
          <w:bCs/>
        </w:rPr>
        <w:t>:</w:t>
      </w:r>
    </w:p>
    <w:p w14:paraId="4856FE3E" w14:textId="77777777" w:rsidR="004C7228" w:rsidRPr="00593A5F" w:rsidRDefault="004C7228" w:rsidP="004C722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C7228" w:rsidRPr="00593A5F" w14:paraId="2BDAB784" w14:textId="77777777" w:rsidTr="5B4243E8">
        <w:trPr>
          <w:jc w:val="center"/>
        </w:trPr>
        <w:tc>
          <w:tcPr>
            <w:tcW w:w="8828" w:type="dxa"/>
            <w:shd w:val="clear" w:color="auto" w:fill="auto"/>
          </w:tcPr>
          <w:p w14:paraId="4C645C20" w14:textId="22614461" w:rsidR="004C7228" w:rsidRPr="00410145" w:rsidRDefault="004C7228" w:rsidP="007A5438">
            <w:pPr>
              <w:spacing w:after="120" w:line="276" w:lineRule="auto"/>
              <w:jc w:val="both"/>
              <w:rPr>
                <w:rFonts w:ascii="Verdana" w:hAnsi="Verdana" w:cs="Arial"/>
                <w:lang w:val="es-ES" w:eastAsia="es-ES"/>
              </w:rPr>
            </w:pPr>
            <w:r>
              <w:rPr>
                <w:rFonts w:ascii="Verdana" w:eastAsia="Times New Roman" w:hAnsi="Verdana" w:cs="Arial"/>
                <w:color w:val="000000" w:themeColor="text1"/>
                <w:lang w:eastAsia="es-CO"/>
              </w:rPr>
              <w:t xml:space="preserve">De acuerdo con la interpretación de las normas generales del sistema de compras públicas, </w:t>
            </w:r>
            <w:bookmarkStart w:id="1" w:name="_Hlk177986666"/>
            <w:r>
              <w:rPr>
                <w:rFonts w:ascii="Verdana" w:eastAsia="Times New Roman" w:hAnsi="Verdana" w:cs="Arial"/>
                <w:color w:val="000000" w:themeColor="text1"/>
                <w:lang w:eastAsia="es-CO"/>
              </w:rPr>
              <w:t xml:space="preserve">el </w:t>
            </w:r>
            <w:r>
              <w:rPr>
                <w:rFonts w:ascii="Verdana" w:eastAsia="Calibri" w:hAnsi="Verdana" w:cs="Arial"/>
                <w:lang w:val="es-ES" w:eastAsia="es-ES"/>
              </w:rPr>
              <w:t xml:space="preserve">numeral 4 del artículo </w:t>
            </w:r>
            <w:r w:rsidRPr="00B0267F">
              <w:rPr>
                <w:rFonts w:ascii="Verdana" w:eastAsia="Calibri" w:hAnsi="Verdana" w:cs="Arial"/>
                <w:lang w:val="es-ES" w:eastAsia="es-ES"/>
              </w:rPr>
              <w:t>2.2.1.1.2.1.1</w:t>
            </w:r>
            <w:r w:rsidRPr="00F710A9">
              <w:rPr>
                <w:rFonts w:ascii="Verdana" w:eastAsia="Calibri" w:hAnsi="Verdana" w:cs="Arial"/>
                <w:lang w:val="es-ES" w:eastAsia="es-ES"/>
              </w:rPr>
              <w:t xml:space="preserve"> del Decreto 1082 de 2015</w:t>
            </w:r>
            <w:r>
              <w:rPr>
                <w:rFonts w:ascii="Verdana" w:eastAsia="Calibri" w:hAnsi="Verdana" w:cs="Arial"/>
                <w:lang w:val="es-ES" w:eastAsia="es-ES"/>
              </w:rPr>
              <w:t xml:space="preserve">, modificado por el artículo 1 del Decreto 399 de 2021, </w:t>
            </w:r>
            <w:r>
              <w:rPr>
                <w:rFonts w:ascii="Verdana" w:eastAsia="Calibri" w:hAnsi="Verdana" w:cs="Arial"/>
                <w:bCs/>
                <w:color w:val="000000" w:themeColor="text1"/>
                <w:lang w:val="es-ES_tradnl"/>
              </w:rPr>
              <w:t xml:space="preserve">no </w:t>
            </w:r>
            <w:r w:rsidR="00BE5C50">
              <w:rPr>
                <w:rFonts w:ascii="Verdana" w:eastAsia="Calibri" w:hAnsi="Verdana" w:cs="Arial"/>
                <w:bCs/>
                <w:color w:val="000000" w:themeColor="text1"/>
                <w:lang w:val="es-ES_tradnl"/>
              </w:rPr>
              <w:t>establece de maner</w:t>
            </w:r>
            <w:r w:rsidR="00BE5C50" w:rsidRPr="00BE5C50">
              <w:rPr>
                <w:rFonts w:ascii="Verdana" w:eastAsia="Calibri" w:hAnsi="Verdana" w:cs="Arial"/>
                <w:bCs/>
                <w:color w:val="000000" w:themeColor="text1"/>
                <w:lang w:val="es-ES_tradnl"/>
              </w:rPr>
              <w:t>a expresa que se deban</w:t>
            </w:r>
            <w:r>
              <w:rPr>
                <w:rFonts w:ascii="Verdana" w:eastAsia="Calibri" w:hAnsi="Verdana" w:cs="Arial"/>
                <w:bCs/>
                <w:color w:val="000000" w:themeColor="text1"/>
                <w:lang w:val="es-ES_tradnl"/>
              </w:rPr>
              <w:t xml:space="preserve"> incluir en los estudios y documentos previos la forma y el soporte de los cálculos en los contratos por precio global</w:t>
            </w:r>
            <w:r w:rsidR="00AB3AAB" w:rsidRPr="00BE5C50">
              <w:rPr>
                <w:rFonts w:ascii="Verdana" w:eastAsia="Calibri" w:hAnsi="Verdana" w:cs="Arial"/>
                <w:color w:val="000000" w:themeColor="text1"/>
                <w:lang w:val="es-ES_tradnl"/>
              </w:rPr>
              <w:t>.</w:t>
            </w:r>
            <w:r w:rsidR="002C3024" w:rsidRPr="00BE5C50">
              <w:rPr>
                <w:rFonts w:ascii="Verdana" w:eastAsia="Calibri" w:hAnsi="Verdana" w:cs="Arial"/>
                <w:color w:val="000000" w:themeColor="text1"/>
                <w:lang w:val="es-ES_tradnl"/>
              </w:rPr>
              <w:t xml:space="preserve"> </w:t>
            </w:r>
            <w:r w:rsidR="00AB3AAB" w:rsidRPr="00BE5C50">
              <w:rPr>
                <w:rFonts w:ascii="Verdana" w:eastAsia="Calibri" w:hAnsi="Verdana" w:cs="Arial"/>
                <w:color w:val="000000" w:themeColor="text1"/>
                <w:lang w:val="es-ES_tradnl"/>
              </w:rPr>
              <w:t>N</w:t>
            </w:r>
            <w:r w:rsidR="002C3024" w:rsidRPr="00BE5C50">
              <w:rPr>
                <w:rFonts w:ascii="Verdana" w:eastAsia="Calibri" w:hAnsi="Verdana" w:cs="Arial"/>
                <w:color w:val="000000" w:themeColor="text1"/>
                <w:lang w:val="es-ES_tradnl"/>
              </w:rPr>
              <w:t>o obstante</w:t>
            </w:r>
            <w:r w:rsidR="00AB3AAB" w:rsidRPr="00BE5C50">
              <w:rPr>
                <w:rFonts w:ascii="Verdana" w:eastAsia="Calibri" w:hAnsi="Verdana" w:cs="Arial"/>
                <w:color w:val="000000" w:themeColor="text1"/>
                <w:lang w:val="es-ES_tradnl"/>
              </w:rPr>
              <w:t>,</w:t>
            </w:r>
            <w:r w:rsidR="002C3024" w:rsidRPr="00BE5C50">
              <w:rPr>
                <w:rFonts w:ascii="Verdana" w:eastAsia="Calibri" w:hAnsi="Verdana" w:cs="Arial"/>
                <w:color w:val="000000" w:themeColor="text1"/>
                <w:lang w:val="es-ES_tradnl"/>
              </w:rPr>
              <w:t xml:space="preserve"> las Entidades s</w:t>
            </w:r>
            <w:r w:rsidR="00AB3AAB" w:rsidRPr="00BE5C50">
              <w:rPr>
                <w:rFonts w:ascii="Verdana" w:eastAsia="Calibri" w:hAnsi="Verdana" w:cs="Arial"/>
                <w:color w:val="000000" w:themeColor="text1"/>
                <w:lang w:val="es-ES_tradnl"/>
              </w:rPr>
              <w:t>í</w:t>
            </w:r>
            <w:r w:rsidR="002C3024" w:rsidRPr="00BE5C50">
              <w:rPr>
                <w:rFonts w:ascii="Verdana" w:eastAsia="Calibri" w:hAnsi="Verdana" w:cs="Arial"/>
                <w:color w:val="000000" w:themeColor="text1"/>
                <w:lang w:val="es-ES_tradnl"/>
              </w:rPr>
              <w:t xml:space="preserve"> están obligadas a presentar </w:t>
            </w:r>
            <w:r w:rsidR="008C230E" w:rsidRPr="00BE5C50">
              <w:rPr>
                <w:rFonts w:ascii="Verdana" w:eastAsia="Calibri" w:hAnsi="Verdana" w:cs="Arial"/>
                <w:color w:val="000000" w:themeColor="text1"/>
                <w:lang w:val="es-ES_tradnl"/>
              </w:rPr>
              <w:t xml:space="preserve">el valor de la contratación y la justificación del mismo, para lo cual deberá </w:t>
            </w:r>
            <w:r w:rsidR="00924AAB" w:rsidRPr="00BE5C50">
              <w:rPr>
                <w:rFonts w:ascii="Verdana" w:eastAsia="Calibri" w:hAnsi="Verdana" w:cs="Arial"/>
                <w:color w:val="000000" w:themeColor="text1"/>
                <w:lang w:val="es-ES_tradnl"/>
              </w:rPr>
              <w:t xml:space="preserve">informar </w:t>
            </w:r>
            <w:r w:rsidR="002C3024" w:rsidRPr="00BE5C50">
              <w:rPr>
                <w:rFonts w:ascii="Verdana" w:eastAsia="Calibri" w:hAnsi="Verdana" w:cs="Arial"/>
                <w:color w:val="000000" w:themeColor="text1"/>
                <w:lang w:val="es-ES_tradnl"/>
              </w:rPr>
              <w:t xml:space="preserve">los factores </w:t>
            </w:r>
            <w:r w:rsidR="00924AAB" w:rsidRPr="00BE5C50">
              <w:rPr>
                <w:rFonts w:ascii="Verdana" w:eastAsia="Calibri" w:hAnsi="Verdana" w:cs="Arial"/>
                <w:color w:val="000000" w:themeColor="text1"/>
                <w:lang w:val="es-ES_tradnl"/>
              </w:rPr>
              <w:t xml:space="preserve">relevantes </w:t>
            </w:r>
            <w:r w:rsidR="00B01142" w:rsidRPr="00BE5C50">
              <w:rPr>
                <w:rFonts w:ascii="Verdana" w:eastAsia="Calibri" w:hAnsi="Verdana" w:cs="Arial"/>
                <w:color w:val="000000" w:themeColor="text1"/>
                <w:lang w:val="es-ES_tradnl"/>
              </w:rPr>
              <w:t xml:space="preserve">y metodología para la determinación del </w:t>
            </w:r>
            <w:r w:rsidR="00950819" w:rsidRPr="00BE5C50">
              <w:rPr>
                <w:rFonts w:ascii="Verdana" w:eastAsia="Calibri" w:hAnsi="Verdana" w:cs="Arial"/>
                <w:color w:val="000000" w:themeColor="text1"/>
                <w:lang w:val="es-ES_tradnl"/>
              </w:rPr>
              <w:t>valor del contrato</w:t>
            </w:r>
            <w:r w:rsidRPr="00BE5C50">
              <w:rPr>
                <w:rFonts w:ascii="Verdana" w:eastAsia="Calibri" w:hAnsi="Verdana" w:cs="Arial"/>
                <w:color w:val="000000" w:themeColor="text1"/>
                <w:lang w:val="es-ES_tradnl"/>
              </w:rPr>
              <w:t xml:space="preserve">. </w:t>
            </w:r>
            <w:r w:rsidR="00AB3AAB" w:rsidRPr="00BE5C50">
              <w:rPr>
                <w:rFonts w:ascii="Verdana" w:eastAsia="Calibri" w:hAnsi="Verdana" w:cs="Arial"/>
                <w:color w:val="000000" w:themeColor="text1"/>
                <w:lang w:val="es-ES_tradnl"/>
              </w:rPr>
              <w:t>P</w:t>
            </w:r>
            <w:r w:rsidR="000C0411" w:rsidRPr="00BE5C50">
              <w:rPr>
                <w:rFonts w:ascii="Verdana" w:eastAsia="Calibri" w:hAnsi="Verdana" w:cs="Arial"/>
                <w:color w:val="000000" w:themeColor="text1"/>
                <w:lang w:val="es-ES_tradnl"/>
              </w:rPr>
              <w:t>ara</w:t>
            </w:r>
            <w:r w:rsidR="000C0411">
              <w:rPr>
                <w:rFonts w:ascii="Verdana" w:eastAsia="Calibri" w:hAnsi="Verdana" w:cs="Arial"/>
                <w:bCs/>
                <w:color w:val="000000" w:themeColor="text1"/>
                <w:lang w:val="es-ES_tradnl"/>
              </w:rPr>
              <w:t xml:space="preserve"> </w:t>
            </w:r>
            <w:r>
              <w:rPr>
                <w:rFonts w:ascii="Verdana" w:eastAsia="Calibri" w:hAnsi="Verdana" w:cs="Arial"/>
                <w:bCs/>
                <w:color w:val="000000" w:themeColor="text1"/>
                <w:lang w:val="es-ES_tradnl"/>
              </w:rPr>
              <w:t xml:space="preserve">los contratos </w:t>
            </w:r>
            <w:r w:rsidR="000C0411">
              <w:rPr>
                <w:rFonts w:ascii="Verdana" w:eastAsia="Calibri" w:hAnsi="Verdana" w:cs="Arial"/>
                <w:bCs/>
                <w:color w:val="000000" w:themeColor="text1"/>
                <w:lang w:val="es-ES_tradnl"/>
              </w:rPr>
              <w:t>cuyos valo</w:t>
            </w:r>
            <w:r w:rsidR="00130045">
              <w:rPr>
                <w:rFonts w:ascii="Verdana" w:eastAsia="Calibri" w:hAnsi="Verdana" w:cs="Arial"/>
                <w:bCs/>
                <w:color w:val="000000" w:themeColor="text1"/>
                <w:lang w:val="es-ES_tradnl"/>
              </w:rPr>
              <w:t>res son determinados por la metodología de</w:t>
            </w:r>
            <w:r>
              <w:rPr>
                <w:rFonts w:ascii="Verdana" w:eastAsia="Calibri" w:hAnsi="Verdana" w:cs="Arial"/>
                <w:bCs/>
                <w:color w:val="000000" w:themeColor="text1"/>
                <w:lang w:val="es-ES_tradnl"/>
              </w:rPr>
              <w:t xml:space="preserve"> precios unitarios, </w:t>
            </w:r>
            <w:r>
              <w:rPr>
                <w:rFonts w:ascii="Verdana" w:hAnsi="Verdana" w:cs="Arial"/>
                <w:lang w:val="es-ES" w:eastAsia="es-ES"/>
              </w:rPr>
              <w:t>lo usual es discriminar</w:t>
            </w:r>
            <w:r w:rsidRPr="00104C20">
              <w:rPr>
                <w:rFonts w:ascii="Verdana" w:hAnsi="Verdana" w:cs="Arial"/>
                <w:lang w:val="es-ES" w:eastAsia="es-ES"/>
              </w:rPr>
              <w:t xml:space="preserve"> los </w:t>
            </w:r>
            <w:r w:rsidRPr="008335E8">
              <w:rPr>
                <w:rFonts w:ascii="Verdana" w:hAnsi="Verdana" w:cs="Arial"/>
                <w:i/>
                <w:iCs/>
                <w:lang w:val="es-ES" w:eastAsia="es-ES"/>
              </w:rPr>
              <w:t>costos directos</w:t>
            </w:r>
            <w:r w:rsidRPr="00104C20">
              <w:rPr>
                <w:rFonts w:ascii="Verdana" w:hAnsi="Verdana" w:cs="Arial"/>
                <w:lang w:val="es-ES" w:eastAsia="es-ES"/>
              </w:rPr>
              <w:t xml:space="preserve"> –es decir, los que están directamente implicados en la ejecución del objeto</w:t>
            </w:r>
            <w:r w:rsidR="00AD6A16">
              <w:rPr>
                <w:rFonts w:ascii="Verdana" w:hAnsi="Verdana" w:cs="Arial"/>
                <w:lang w:val="es-ES" w:eastAsia="es-ES"/>
              </w:rPr>
              <w:t xml:space="preserve"> </w:t>
            </w:r>
            <w:r w:rsidRPr="00104C20">
              <w:rPr>
                <w:rFonts w:ascii="Verdana" w:hAnsi="Verdana" w:cs="Arial"/>
                <w:lang w:val="es-ES" w:eastAsia="es-ES"/>
              </w:rPr>
              <w:t xml:space="preserve">– de los </w:t>
            </w:r>
            <w:r w:rsidRPr="008335E8">
              <w:rPr>
                <w:rFonts w:ascii="Verdana" w:hAnsi="Verdana" w:cs="Arial"/>
                <w:i/>
                <w:iCs/>
                <w:lang w:val="es-ES" w:eastAsia="es-ES"/>
              </w:rPr>
              <w:t>costos indirectos</w:t>
            </w:r>
            <w:r w:rsidRPr="00104C20">
              <w:rPr>
                <w:rFonts w:ascii="Verdana" w:hAnsi="Verdana" w:cs="Arial"/>
                <w:lang w:val="es-ES" w:eastAsia="es-ES"/>
              </w:rPr>
              <w:t xml:space="preserve"> –</w:t>
            </w:r>
            <w:r w:rsidR="00130045">
              <w:rPr>
                <w:rFonts w:ascii="Verdana" w:hAnsi="Verdana" w:cs="Arial"/>
                <w:lang w:val="es-ES" w:eastAsia="es-ES"/>
              </w:rPr>
              <w:t xml:space="preserve"> </w:t>
            </w:r>
            <w:r w:rsidRPr="00104C20">
              <w:rPr>
                <w:rFonts w:ascii="Verdana" w:hAnsi="Verdana" w:cs="Arial"/>
                <w:lang w:val="es-ES" w:eastAsia="es-ES"/>
              </w:rPr>
              <w:t xml:space="preserve">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w:t>
            </w:r>
            <w:bookmarkEnd w:id="1"/>
          </w:p>
          <w:p w14:paraId="412F1C07" w14:textId="09E14E5B" w:rsidR="004C7228" w:rsidRDefault="004C7228" w:rsidP="007A5438">
            <w:pPr>
              <w:spacing w:after="120" w:line="276" w:lineRule="auto"/>
              <w:ind w:firstLine="709"/>
              <w:jc w:val="both"/>
              <w:rPr>
                <w:rFonts w:ascii="Verdana" w:eastAsia="Calibri" w:hAnsi="Verdana" w:cs="Arial"/>
                <w:bCs/>
                <w:color w:val="000000" w:themeColor="text1"/>
                <w:lang w:val="es-ES_tradnl"/>
              </w:rPr>
            </w:pPr>
            <w:r>
              <w:rPr>
                <w:rFonts w:ascii="Verdana" w:eastAsia="Calibri" w:hAnsi="Verdana" w:cs="Arial"/>
                <w:bCs/>
                <w:color w:val="000000" w:themeColor="text1"/>
                <w:lang w:val="es-ES_tradnl"/>
              </w:rPr>
              <w:t xml:space="preserve">Por lo demás, para los negocios jurídicos adjudicados por concurso de méritos, el artículo 1 del Decreto 399 de 2021 eliminó la posibilidad de “[…] </w:t>
            </w:r>
            <w:r w:rsidRPr="0047253C">
              <w:rPr>
                <w:rFonts w:ascii="Verdana" w:eastAsia="Calibri" w:hAnsi="Verdana" w:cs="Arial"/>
                <w:bCs/>
                <w:color w:val="000000" w:themeColor="text1"/>
                <w:lang w:val="es-ES_tradnl"/>
              </w:rPr>
              <w:t xml:space="preserve">no </w:t>
            </w:r>
            <w:r>
              <w:rPr>
                <w:rFonts w:ascii="Verdana" w:eastAsia="Calibri" w:hAnsi="Verdana" w:cs="Arial"/>
                <w:bCs/>
                <w:color w:val="000000" w:themeColor="text1"/>
                <w:lang w:val="es-ES_tradnl"/>
              </w:rPr>
              <w:t>[…]</w:t>
            </w:r>
            <w:r w:rsidRPr="0047253C">
              <w:rPr>
                <w:rFonts w:ascii="Verdana" w:eastAsia="Calibri" w:hAnsi="Verdana" w:cs="Arial"/>
                <w:bCs/>
                <w:color w:val="000000" w:themeColor="text1"/>
                <w:lang w:val="es-ES_tradnl"/>
              </w:rPr>
              <w:t xml:space="preserve"> publicar las variables utilizadas para calcular el valor estimado del contrato</w:t>
            </w:r>
            <w:r>
              <w:rPr>
                <w:rFonts w:ascii="Verdana" w:eastAsia="Calibri" w:hAnsi="Verdana" w:cs="Arial"/>
                <w:bCs/>
                <w:color w:val="000000" w:themeColor="text1"/>
                <w:lang w:val="es-ES_tradnl"/>
              </w:rPr>
              <w:t xml:space="preserve"> […]”, pues de acuerdo con los considerandos del reglamento citado –frente a la </w:t>
            </w:r>
            <w:r w:rsidR="009651E9">
              <w:rPr>
                <w:rFonts w:ascii="Verdana" w:eastAsia="Calibri" w:hAnsi="Verdana" w:cs="Arial"/>
                <w:bCs/>
                <w:color w:val="000000" w:themeColor="text1"/>
                <w:lang w:val="es-ES_tradnl"/>
              </w:rPr>
              <w:t>in</w:t>
            </w:r>
            <w:r>
              <w:rPr>
                <w:rFonts w:ascii="Verdana" w:eastAsia="Calibri" w:hAnsi="Verdana" w:cs="Arial"/>
                <w:bCs/>
                <w:color w:val="000000" w:themeColor="text1"/>
                <w:lang w:val="es-ES_tradnl"/>
              </w:rPr>
              <w:t xml:space="preserve">existencia de una reserva legal sobre esta información– “[…] </w:t>
            </w:r>
            <w:r w:rsidRPr="0047253C">
              <w:rPr>
                <w:rFonts w:ascii="Verdana" w:eastAsia="Calibri" w:hAnsi="Verdana" w:cs="Arial"/>
                <w:bCs/>
                <w:color w:val="000000" w:themeColor="text1"/>
                <w:lang w:val="es-ES_tradnl"/>
              </w:rPr>
              <w:t xml:space="preserve">se </w:t>
            </w:r>
            <w:r w:rsidRPr="0047253C">
              <w:rPr>
                <w:rFonts w:ascii="Verdana" w:eastAsia="Calibri" w:hAnsi="Verdana" w:cs="Arial"/>
                <w:bCs/>
                <w:color w:val="000000" w:themeColor="text1"/>
                <w:lang w:val="es-ES_tradnl"/>
              </w:rPr>
              <w:lastRenderedPageBreak/>
              <w:t>considera conveniente dar publicidad a la forma como se calcula el valor del contrato en los concursos de méritos, con la finalidad de garantizar al máximo los principios de publicidad y transparencia</w:t>
            </w:r>
            <w:r>
              <w:rPr>
                <w:rFonts w:ascii="Verdana" w:eastAsia="Calibri" w:hAnsi="Verdana" w:cs="Arial"/>
                <w:bCs/>
                <w:color w:val="000000" w:themeColor="text1"/>
                <w:lang w:val="es-ES_tradnl"/>
              </w:rPr>
              <w:t xml:space="preserve"> […]”.   </w:t>
            </w:r>
          </w:p>
          <w:p w14:paraId="6B903667" w14:textId="26C7084F" w:rsidR="00836026" w:rsidRPr="006C6FE3" w:rsidRDefault="004C7228" w:rsidP="006C6FE3">
            <w:pPr>
              <w:spacing w:after="120" w:line="276" w:lineRule="auto"/>
              <w:jc w:val="both"/>
              <w:rPr>
                <w:rStyle w:val="normaltextrun"/>
                <w:rFonts w:ascii="Verdana" w:hAnsi="Verdana" w:cs="Arial"/>
                <w:shd w:val="clear" w:color="auto" w:fill="FFFFFF"/>
                <w:lang w:val="es-ES"/>
              </w:rPr>
            </w:pPr>
            <w:r w:rsidRPr="5B4243E8">
              <w:rPr>
                <w:rFonts w:ascii="Verdana" w:eastAsia="Calibri" w:hAnsi="Verdana" w:cs="Arial"/>
                <w:color w:val="000000" w:themeColor="text1"/>
                <w:lang w:val="es-ES"/>
              </w:rPr>
              <w:t xml:space="preserve">Independientemente del contenido de los estudios previos, para estimar el valor del contrato es necesario el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de bienes, obras o servicios. Conforme a la “Guía para la Elaboración de Estudios del Sector” expedida por la Agencia, </w:t>
            </w:r>
            <w:r w:rsidR="00836026" w:rsidRPr="00416EEA">
              <w:rPr>
                <w:rFonts w:ascii="Verdana" w:eastAsia="Calibri" w:hAnsi="Verdana" w:cs="Arial"/>
                <w:color w:val="000000" w:themeColor="text1"/>
                <w:lang w:val="es-ES"/>
              </w:rPr>
              <w:t>para</w:t>
            </w:r>
            <w:r w:rsidR="00416EEA">
              <w:rPr>
                <w:rFonts w:ascii="Verdana" w:eastAsia="Calibri" w:hAnsi="Verdana" w:cs="Arial"/>
                <w:color w:val="000000" w:themeColor="text1"/>
                <w:lang w:val="es-ES"/>
              </w:rPr>
              <w:t xml:space="preserve"> la elaboración de estudios de mercado, indispensables para la determinación</w:t>
            </w:r>
            <w:r w:rsidR="00836026" w:rsidRPr="00416EEA">
              <w:rPr>
                <w:rFonts w:ascii="Verdana" w:eastAsia="Calibri" w:hAnsi="Verdana" w:cs="Arial"/>
                <w:color w:val="000000" w:themeColor="text1"/>
                <w:lang w:val="es-ES"/>
              </w:rPr>
              <w:t xml:space="preserve"> precio del bien o servicio a adquirir</w:t>
            </w:r>
            <w:r w:rsidR="00416EEA">
              <w:rPr>
                <w:rFonts w:ascii="Verdana" w:eastAsia="Calibri" w:hAnsi="Verdana" w:cs="Arial"/>
                <w:color w:val="000000" w:themeColor="text1"/>
                <w:lang w:val="es-ES"/>
              </w:rPr>
              <w:t>,</w:t>
            </w:r>
            <w:r w:rsidR="00836026" w:rsidRPr="00416EEA">
              <w:rPr>
                <w:rFonts w:ascii="Verdana" w:eastAsia="Calibri" w:hAnsi="Verdana" w:cs="Arial"/>
                <w:color w:val="000000" w:themeColor="text1"/>
                <w:lang w:val="es-ES"/>
              </w:rPr>
              <w:t xml:space="preserve"> se puede acudir a mecanismos como </w:t>
            </w:r>
            <w:r w:rsidR="00836026" w:rsidRPr="006C6FE3">
              <w:rPr>
                <w:rStyle w:val="normaltextrun"/>
                <w:rFonts w:ascii="Verdana" w:hAnsi="Verdana" w:cs="Arial"/>
                <w:shd w:val="clear" w:color="auto" w:fill="FFFFFF"/>
                <w:lang w:val="es-ES"/>
              </w:rPr>
              <w:t xml:space="preserve">i) </w:t>
            </w:r>
            <w:r w:rsidR="00416EEA">
              <w:rPr>
                <w:rStyle w:val="normaltextrun"/>
                <w:rFonts w:ascii="Verdana" w:hAnsi="Verdana" w:cs="Arial"/>
                <w:shd w:val="clear" w:color="auto" w:fill="FFFFFF"/>
                <w:lang w:val="es-ES"/>
              </w:rPr>
              <w:t>l</w:t>
            </w:r>
            <w:r w:rsidR="00416EEA">
              <w:rPr>
                <w:rStyle w:val="normaltextrun"/>
                <w:shd w:val="clear" w:color="auto" w:fill="FFFFFF"/>
              </w:rPr>
              <w:t xml:space="preserve">a </w:t>
            </w:r>
            <w:r w:rsidR="00836026" w:rsidRPr="006C6FE3">
              <w:rPr>
                <w:rStyle w:val="normaltextrun"/>
                <w:rFonts w:ascii="Verdana" w:hAnsi="Verdana" w:cs="Arial"/>
                <w:shd w:val="clear" w:color="auto" w:fill="FFFFFF"/>
                <w:lang w:val="es-ES"/>
              </w:rPr>
              <w:t xml:space="preserve">revisión de precios por solicitud de cotizaciones; </w:t>
            </w:r>
            <w:proofErr w:type="spellStart"/>
            <w:r w:rsidR="00836026" w:rsidRPr="006C6FE3">
              <w:rPr>
                <w:rStyle w:val="normaltextrun"/>
                <w:rFonts w:ascii="Verdana" w:hAnsi="Verdana" w:cs="Arial"/>
                <w:shd w:val="clear" w:color="auto" w:fill="FFFFFF"/>
                <w:lang w:val="es-ES"/>
              </w:rPr>
              <w:t>ii</w:t>
            </w:r>
            <w:proofErr w:type="spellEnd"/>
            <w:r w:rsidR="00836026" w:rsidRPr="006C6FE3">
              <w:rPr>
                <w:rStyle w:val="normaltextrun"/>
                <w:rFonts w:ascii="Verdana" w:hAnsi="Verdana" w:cs="Arial"/>
                <w:shd w:val="clear" w:color="auto" w:fill="FFFFFF"/>
                <w:lang w:val="es-ES"/>
              </w:rPr>
              <w:t xml:space="preserve">) revisión de bases de datos especializadas y </w:t>
            </w:r>
            <w:proofErr w:type="spellStart"/>
            <w:r w:rsidR="00836026" w:rsidRPr="006C6FE3">
              <w:rPr>
                <w:rStyle w:val="normaltextrun"/>
                <w:rFonts w:ascii="Verdana" w:hAnsi="Verdana" w:cs="Arial"/>
                <w:shd w:val="clear" w:color="auto" w:fill="FFFFFF"/>
                <w:lang w:val="es-ES"/>
              </w:rPr>
              <w:t>iii</w:t>
            </w:r>
            <w:proofErr w:type="spellEnd"/>
            <w:r w:rsidR="00836026" w:rsidRPr="006C6FE3">
              <w:rPr>
                <w:rStyle w:val="normaltextrun"/>
                <w:rFonts w:ascii="Verdana" w:hAnsi="Verdana" w:cs="Arial"/>
                <w:shd w:val="clear" w:color="auto" w:fill="FFFFFF"/>
                <w:lang w:val="es-ES"/>
              </w:rPr>
              <w:t>) revisión de precios históricos.</w:t>
            </w:r>
            <w:r w:rsidR="00416EEA">
              <w:rPr>
                <w:rStyle w:val="normaltextrun"/>
                <w:rFonts w:ascii="Verdana" w:hAnsi="Verdana" w:cs="Arial"/>
                <w:shd w:val="clear" w:color="auto" w:fill="FFFFFF"/>
                <w:lang w:val="es-ES"/>
              </w:rPr>
              <w:t xml:space="preserve"> La</w:t>
            </w:r>
            <w:r w:rsidR="00416EEA" w:rsidRPr="006146CE">
              <w:rPr>
                <w:rFonts w:ascii="Verdana" w:eastAsia="Calibri" w:hAnsi="Verdana" w:cs="Arial"/>
                <w:bCs/>
                <w:color w:val="000000" w:themeColor="text1"/>
                <w:lang w:val="es-ES_tradnl"/>
              </w:rPr>
              <w:t>s Entidades Estatales pueden hacer uso de cualquiera de estos mecanismos para determinar el valor del presupuesto oficial, in</w:t>
            </w:r>
            <w:r w:rsidR="009C2E54">
              <w:rPr>
                <w:rFonts w:ascii="Verdana" w:eastAsia="Calibri" w:hAnsi="Verdana" w:cs="Arial"/>
                <w:bCs/>
                <w:color w:val="000000" w:themeColor="text1"/>
                <w:lang w:val="es-ES_tradnl"/>
              </w:rPr>
              <w:t xml:space="preserve">cluso en procesos con presupuestos a </w:t>
            </w:r>
            <w:r w:rsidR="00416EEA" w:rsidRPr="006146CE">
              <w:rPr>
                <w:rFonts w:ascii="Verdana" w:eastAsia="Calibri" w:hAnsi="Verdana" w:cs="Arial"/>
                <w:bCs/>
                <w:color w:val="000000" w:themeColor="text1"/>
                <w:lang w:val="es-ES_tradnl"/>
              </w:rPr>
              <w:t>precio global</w:t>
            </w:r>
            <w:r w:rsidR="002C44D1">
              <w:rPr>
                <w:rFonts w:ascii="Verdana" w:eastAsia="Calibri" w:hAnsi="Verdana" w:cs="Arial"/>
                <w:bCs/>
                <w:color w:val="000000" w:themeColor="text1"/>
                <w:lang w:val="es-ES_tradnl"/>
              </w:rPr>
              <w:t>, procurando tener en</w:t>
            </w:r>
            <w:r w:rsidR="00416EEA" w:rsidRPr="006146CE">
              <w:rPr>
                <w:rFonts w:ascii="Verdana" w:eastAsia="Calibri" w:hAnsi="Verdana" w:cs="Arial"/>
                <w:bCs/>
                <w:color w:val="000000" w:themeColor="text1"/>
                <w:lang w:val="es-ES_tradnl"/>
              </w:rPr>
              <w:t xml:space="preserve"> cuenta todas la</w:t>
            </w:r>
            <w:r w:rsidR="00FF62E2">
              <w:rPr>
                <w:rFonts w:ascii="Verdana" w:eastAsia="Calibri" w:hAnsi="Verdana" w:cs="Arial"/>
                <w:bCs/>
                <w:color w:val="000000" w:themeColor="text1"/>
                <w:lang w:val="es-ES_tradnl"/>
              </w:rPr>
              <w:t>s</w:t>
            </w:r>
            <w:r w:rsidR="00416EEA" w:rsidRPr="006146CE">
              <w:rPr>
                <w:rFonts w:ascii="Verdana" w:eastAsia="Calibri" w:hAnsi="Verdana" w:cs="Arial"/>
                <w:bCs/>
                <w:color w:val="000000" w:themeColor="text1"/>
                <w:lang w:val="es-ES_tradnl"/>
              </w:rPr>
              <w:t xml:space="preserve"> variables que pueden incidir en el precio, como, por ejemplo, variaciones en IPC, fluctuaciones de la tasa de cambio, valor de las materias primas, etc.</w:t>
            </w:r>
          </w:p>
          <w:p w14:paraId="5B3F70E4" w14:textId="368438B7" w:rsidR="004C7228" w:rsidRPr="00741175" w:rsidRDefault="004C7228" w:rsidP="006C6FE3">
            <w:pPr>
              <w:spacing w:after="100" w:line="276" w:lineRule="auto"/>
              <w:ind w:firstLine="731"/>
              <w:jc w:val="both"/>
              <w:rPr>
                <w:rFonts w:ascii="Verdana" w:eastAsia="Times New Roman" w:hAnsi="Verdana" w:cs="Arial"/>
                <w:color w:val="000000" w:themeColor="text1"/>
                <w:lang w:eastAsia="es-CO"/>
              </w:rPr>
            </w:pPr>
            <w:r w:rsidRPr="001E3FCB">
              <w:rPr>
                <w:rFonts w:ascii="Verdana" w:hAnsi="Verdana" w:cs="Arial"/>
              </w:rPr>
              <w:t xml:space="preserve">Dentro de este marco, la entidad contratante </w:t>
            </w:r>
            <w:r w:rsidR="001931F9">
              <w:rPr>
                <w:rFonts w:ascii="Verdana" w:hAnsi="Verdana" w:cs="Arial"/>
              </w:rPr>
              <w:t xml:space="preserve">deberá </w:t>
            </w:r>
            <w:r w:rsidR="001F3D7B">
              <w:rPr>
                <w:rFonts w:ascii="Verdana" w:hAnsi="Verdana" w:cs="Arial"/>
              </w:rPr>
              <w:t xml:space="preserve">justificar </w:t>
            </w:r>
            <w:r w:rsidR="00DB731A">
              <w:rPr>
                <w:rFonts w:ascii="Verdana" w:hAnsi="Verdana" w:cs="Arial"/>
              </w:rPr>
              <w:t>el valor del presupuesto oficial de</w:t>
            </w:r>
            <w:r w:rsidR="009E1329">
              <w:rPr>
                <w:rFonts w:ascii="Verdana" w:hAnsi="Verdana" w:cs="Arial"/>
              </w:rPr>
              <w:t xml:space="preserve"> proceso de contratación, </w:t>
            </w:r>
            <w:r>
              <w:rPr>
                <w:rFonts w:ascii="Verdana" w:hAnsi="Verdana" w:cs="Arial"/>
              </w:rPr>
              <w:t>de acuerdo con el objeto, el alcance y las obligaciones del contrato</w:t>
            </w:r>
            <w:r w:rsidRPr="001E3FCB">
              <w:rPr>
                <w:rFonts w:ascii="Verdana" w:hAnsi="Verdana" w:cs="Arial"/>
              </w:rPr>
              <w:t>.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r>
              <w:rPr>
                <w:rFonts w:ascii="Verdana" w:hAnsi="Verdana" w:cs="Arial"/>
              </w:rPr>
              <w:t>.</w:t>
            </w:r>
          </w:p>
        </w:tc>
      </w:tr>
    </w:tbl>
    <w:p w14:paraId="00BF10E2" w14:textId="77777777" w:rsidR="004C7228" w:rsidRPr="00593A5F" w:rsidRDefault="004C7228" w:rsidP="004C7228">
      <w:pPr>
        <w:tabs>
          <w:tab w:val="left" w:pos="142"/>
          <w:tab w:val="left" w:pos="284"/>
        </w:tabs>
        <w:spacing w:after="0" w:line="276" w:lineRule="auto"/>
        <w:jc w:val="both"/>
        <w:rPr>
          <w:rFonts w:ascii="Verdana" w:eastAsia="Century Gothic" w:hAnsi="Verdana" w:cs="Century Gothic"/>
          <w:b/>
          <w:bCs/>
          <w:lang w:val="es-ES"/>
        </w:rPr>
      </w:pPr>
    </w:p>
    <w:p w14:paraId="3CF75DFB" w14:textId="77777777" w:rsidR="004C7228" w:rsidRPr="00593A5F" w:rsidRDefault="004C7228" w:rsidP="004C72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w:t>
      </w:r>
      <w:r>
        <w:rPr>
          <w:rFonts w:ascii="Verdana" w:eastAsia="Century Gothic" w:hAnsi="Verdana" w:cs="Century Gothic"/>
          <w:b/>
          <w:bCs/>
        </w:rPr>
        <w:t>s</w:t>
      </w:r>
      <w:r w:rsidRPr="00593A5F">
        <w:rPr>
          <w:rFonts w:ascii="Verdana" w:eastAsia="Century Gothic" w:hAnsi="Verdana" w:cs="Century Gothic"/>
          <w:b/>
          <w:bCs/>
        </w:rPr>
        <w:t xml:space="preserve"> respuesta</w:t>
      </w:r>
      <w:r>
        <w:rPr>
          <w:rFonts w:ascii="Verdana" w:eastAsia="Century Gothic" w:hAnsi="Verdana" w:cs="Century Gothic"/>
          <w:b/>
          <w:bCs/>
        </w:rPr>
        <w:t>s</w:t>
      </w:r>
      <w:r w:rsidRPr="00593A5F">
        <w:rPr>
          <w:rFonts w:ascii="Verdana" w:eastAsia="Century Gothic" w:hAnsi="Verdana" w:cs="Century Gothic"/>
          <w:b/>
          <w:bCs/>
        </w:rPr>
        <w:t>:</w:t>
      </w:r>
    </w:p>
    <w:p w14:paraId="78DD42A5" w14:textId="77777777" w:rsidR="004C7228" w:rsidRPr="00593A5F" w:rsidRDefault="004C7228" w:rsidP="004C7228">
      <w:pPr>
        <w:spacing w:after="0" w:line="276" w:lineRule="auto"/>
        <w:jc w:val="both"/>
        <w:rPr>
          <w:rFonts w:ascii="Verdana" w:eastAsia="Calibri" w:hAnsi="Verdana" w:cs="Arial"/>
          <w:color w:val="7030A0"/>
          <w:lang w:val="es-ES"/>
        </w:rPr>
      </w:pPr>
    </w:p>
    <w:p w14:paraId="5B529ECA" w14:textId="77777777" w:rsidR="004C7228" w:rsidRPr="00B96799" w:rsidRDefault="004C7228" w:rsidP="004C7228">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0BA28620" w14:textId="77777777" w:rsidR="004C7228" w:rsidRPr="00593A5F" w:rsidRDefault="004C7228" w:rsidP="004C7228">
      <w:pPr>
        <w:spacing w:after="0" w:line="276" w:lineRule="auto"/>
        <w:jc w:val="both"/>
        <w:rPr>
          <w:rFonts w:ascii="Verdana" w:eastAsia="Calibri" w:hAnsi="Verdana" w:cs="Arial"/>
          <w:color w:val="7030A0"/>
          <w:lang w:val="es-ES"/>
        </w:rPr>
      </w:pPr>
    </w:p>
    <w:p w14:paraId="75002BD3" w14:textId="77777777" w:rsidR="004C7228" w:rsidRPr="00DA57BA" w:rsidRDefault="004C7228" w:rsidP="004C7228">
      <w:pPr>
        <w:tabs>
          <w:tab w:val="left" w:pos="0"/>
        </w:tabs>
        <w:spacing w:line="276" w:lineRule="auto"/>
        <w:jc w:val="both"/>
        <w:rPr>
          <w:rFonts w:ascii="Verdana" w:eastAsia="Calibri" w:hAnsi="Verdana" w:cs="Arial"/>
          <w:bCs/>
          <w:color w:val="000000" w:themeColor="text1"/>
        </w:rPr>
      </w:pPr>
      <w:r w:rsidRPr="00DA57BA">
        <w:rPr>
          <w:rFonts w:ascii="Verdana" w:eastAsia="Calibri" w:hAnsi="Verdana" w:cs="Arial"/>
          <w:bCs/>
          <w:color w:val="000000" w:themeColor="text1"/>
          <w:lang w:val="es-ES_tradnl"/>
        </w:rPr>
        <w:t xml:space="preserve">La planeación es una herramienta de gerencia pública, la cual exige estructurar el proceso contractual dedicando tiempo y esfuerzos para elaborar estudios previos. Lo anterior, con la finalidad de determinar la necesidad que pretende </w:t>
      </w:r>
      <w:r w:rsidRPr="00DA57BA">
        <w:rPr>
          <w:rFonts w:ascii="Verdana" w:eastAsia="Calibri" w:hAnsi="Verdana" w:cs="Arial"/>
          <w:bCs/>
          <w:color w:val="000000" w:themeColor="text1"/>
          <w:lang w:val="es-ES_tradnl"/>
        </w:rPr>
        <w:lastRenderedPageBreak/>
        <w:t>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Pr="00DA57BA">
        <w:rPr>
          <w:rFonts w:ascii="Verdana" w:eastAsia="Calibri" w:hAnsi="Verdana" w:cs="Arial"/>
          <w:bCs/>
          <w:color w:val="000000" w:themeColor="text1"/>
          <w:sz w:val="21"/>
          <w:szCs w:val="21"/>
          <w:lang w:val="es-ES_tradnl"/>
        </w:rPr>
        <w:t>.</w:t>
      </w:r>
    </w:p>
    <w:p w14:paraId="229E3251" w14:textId="77777777" w:rsidR="004C7228" w:rsidRPr="00DA57BA" w:rsidRDefault="004C7228" w:rsidP="004C7228">
      <w:pPr>
        <w:pStyle w:val="Sinespaciado"/>
        <w:spacing w:before="120" w:line="276" w:lineRule="auto"/>
        <w:ind w:firstLine="708"/>
        <w:jc w:val="both"/>
        <w:rPr>
          <w:rFonts w:ascii="Verdana" w:hAnsi="Verdana" w:cs="Arial"/>
          <w:bCs/>
          <w:color w:val="000000" w:themeColor="text1"/>
          <w:sz w:val="22"/>
          <w:lang w:val="es-ES"/>
        </w:rPr>
      </w:pPr>
      <w:r w:rsidRPr="00DA57BA">
        <w:rPr>
          <w:rFonts w:ascii="Verdana" w:hAnsi="Verdana" w:cs="Arial"/>
          <w:bCs/>
          <w:color w:val="000000" w:themeColor="text1"/>
          <w:sz w:val="22"/>
        </w:rPr>
        <w:t xml:space="preserve">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29FD2039" w14:textId="77777777" w:rsidR="004C7228" w:rsidRPr="00DA57BA" w:rsidRDefault="004C7228" w:rsidP="004C7228">
      <w:pPr>
        <w:pStyle w:val="Sinespaciado"/>
        <w:spacing w:line="276" w:lineRule="auto"/>
        <w:ind w:firstLine="708"/>
        <w:jc w:val="both"/>
        <w:rPr>
          <w:rFonts w:ascii="Verdana" w:hAnsi="Verdana" w:cs="Arial"/>
          <w:bCs/>
          <w:color w:val="000000" w:themeColor="text1"/>
          <w:sz w:val="22"/>
          <w:lang w:val="es-ES"/>
        </w:rPr>
      </w:pPr>
    </w:p>
    <w:p w14:paraId="6EC9F987" w14:textId="77777777" w:rsidR="004C7228" w:rsidRPr="00DA57BA" w:rsidRDefault="004C7228" w:rsidP="004C7228">
      <w:pPr>
        <w:pStyle w:val="Sinespaciado"/>
        <w:ind w:left="709" w:right="709"/>
        <w:jc w:val="both"/>
        <w:rPr>
          <w:rFonts w:ascii="Verdana" w:hAnsi="Verdana" w:cs="Arial"/>
          <w:color w:val="000000" w:themeColor="text1"/>
          <w:sz w:val="21"/>
          <w:szCs w:val="21"/>
        </w:rPr>
      </w:pPr>
      <w:r>
        <w:rPr>
          <w:rFonts w:ascii="Verdana" w:hAnsi="Verdana" w:cs="Arial"/>
          <w:color w:val="000000" w:themeColor="text1"/>
          <w:sz w:val="21"/>
          <w:szCs w:val="21"/>
        </w:rPr>
        <w:t>“</w:t>
      </w:r>
      <w:r w:rsidRPr="00DA57BA">
        <w:rPr>
          <w:rFonts w:ascii="Verdana" w:hAnsi="Verdana" w:cs="Arial"/>
          <w:color w:val="000000" w:themeColor="text1"/>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5576B38B" w14:textId="77777777" w:rsidR="004C7228" w:rsidRPr="00DA57BA" w:rsidRDefault="004C7228" w:rsidP="004C7228">
      <w:pPr>
        <w:pStyle w:val="Sinespaciado"/>
        <w:spacing w:after="120"/>
        <w:ind w:left="709" w:right="709"/>
        <w:jc w:val="both"/>
        <w:rPr>
          <w:rFonts w:ascii="Verdana" w:hAnsi="Verdana" w:cs="Arial"/>
          <w:color w:val="000000" w:themeColor="text1"/>
          <w:sz w:val="21"/>
          <w:szCs w:val="21"/>
        </w:rPr>
      </w:pPr>
      <w:r w:rsidRPr="00DA57BA">
        <w:rPr>
          <w:rFonts w:ascii="Verdana" w:hAnsi="Verdana" w:cs="Arial"/>
          <w:color w:val="000000" w:themeColor="text1"/>
          <w:sz w:val="21"/>
          <w:szCs w:val="21"/>
        </w:rPr>
        <w:t>[…]</w:t>
      </w:r>
    </w:p>
    <w:p w14:paraId="45D2ACF1" w14:textId="77777777" w:rsidR="004C7228" w:rsidRPr="00DA57BA" w:rsidRDefault="004C7228" w:rsidP="004C7228">
      <w:pPr>
        <w:pStyle w:val="Sinespaciado"/>
        <w:spacing w:after="120"/>
        <w:ind w:left="709" w:right="709"/>
        <w:jc w:val="both"/>
        <w:rPr>
          <w:rFonts w:ascii="Verdana" w:hAnsi="Verdana" w:cs="Arial"/>
          <w:color w:val="000000" w:themeColor="text1"/>
          <w:sz w:val="21"/>
          <w:szCs w:val="21"/>
        </w:rPr>
      </w:pPr>
      <w:r w:rsidRPr="00DA57BA">
        <w:rPr>
          <w:rFonts w:ascii="Verdana" w:hAnsi="Verdana" w:cs="Arial"/>
          <w:color w:val="000000" w:themeColor="text1"/>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3E418466" w14:textId="77777777" w:rsidR="004C7228" w:rsidRPr="00DA57BA" w:rsidRDefault="004C7228" w:rsidP="004C7228">
      <w:pPr>
        <w:pStyle w:val="Sinespaciado"/>
        <w:spacing w:after="120"/>
        <w:ind w:left="709" w:right="709"/>
        <w:jc w:val="both"/>
        <w:rPr>
          <w:rFonts w:ascii="Verdana" w:hAnsi="Verdana" w:cs="Arial"/>
          <w:color w:val="000000" w:themeColor="text1"/>
          <w:sz w:val="21"/>
          <w:szCs w:val="21"/>
        </w:rPr>
      </w:pPr>
      <w:r w:rsidRPr="00DA57BA">
        <w:rPr>
          <w:rFonts w:ascii="Verdana" w:hAnsi="Verdana" w:cs="Arial"/>
          <w:color w:val="000000" w:themeColor="text1"/>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728117A4" w14:textId="77777777" w:rsidR="004C7228" w:rsidRPr="00DA57BA" w:rsidRDefault="004C7228" w:rsidP="004C7228">
      <w:pPr>
        <w:spacing w:after="120" w:line="240" w:lineRule="auto"/>
        <w:ind w:left="709" w:right="709"/>
        <w:jc w:val="both"/>
        <w:rPr>
          <w:rFonts w:ascii="Verdana" w:hAnsi="Verdana" w:cs="Arial"/>
          <w:color w:val="000000" w:themeColor="text1"/>
          <w:sz w:val="21"/>
          <w:szCs w:val="21"/>
        </w:rPr>
      </w:pPr>
      <w:r w:rsidRPr="00DA57BA">
        <w:rPr>
          <w:rFonts w:ascii="Verdana" w:hAnsi="Verdana" w:cs="Arial"/>
          <w:color w:val="000000" w:themeColor="text1"/>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5D74DF92" w14:textId="77777777" w:rsidR="004C7228" w:rsidRPr="00DA57BA" w:rsidRDefault="004C7228" w:rsidP="004C7228">
      <w:pPr>
        <w:spacing w:after="0" w:line="240" w:lineRule="auto"/>
        <w:ind w:left="709" w:right="709"/>
        <w:jc w:val="both"/>
        <w:rPr>
          <w:rFonts w:ascii="Verdana" w:hAnsi="Verdana" w:cs="Arial"/>
          <w:color w:val="000000" w:themeColor="text1"/>
        </w:rPr>
      </w:pPr>
      <w:r w:rsidRPr="00DA57BA">
        <w:rPr>
          <w:rFonts w:ascii="Verdana" w:hAnsi="Verdana" w:cs="Arial"/>
          <w:color w:val="000000" w:themeColor="text1"/>
          <w:sz w:val="21"/>
          <w:szCs w:val="21"/>
        </w:rPr>
        <w:t xml:space="preserve">14. Las entidades incluirán en sus presupuestos anuales una apropiación global destinada a cubrir los costos imprevistos ocasionados por los retardos en los pagos, así como los que se originen </w:t>
      </w:r>
      <w:r w:rsidRPr="00DA57BA">
        <w:rPr>
          <w:rFonts w:ascii="Verdana" w:hAnsi="Verdana" w:cs="Arial"/>
          <w:color w:val="000000" w:themeColor="text1"/>
          <w:sz w:val="21"/>
          <w:szCs w:val="21"/>
        </w:rPr>
        <w:lastRenderedPageBreak/>
        <w:t>en la revisión de los precios pactados por razón de los cambios o alteraciones en las condiciones iniciales de los contratos por ellas celebrados […]</w:t>
      </w:r>
      <w:r>
        <w:rPr>
          <w:rFonts w:ascii="Verdana" w:hAnsi="Verdana" w:cs="Arial"/>
          <w:color w:val="000000" w:themeColor="text1"/>
          <w:sz w:val="21"/>
          <w:szCs w:val="21"/>
        </w:rPr>
        <w:t>”</w:t>
      </w:r>
      <w:r w:rsidRPr="00DA57BA">
        <w:rPr>
          <w:rFonts w:ascii="Verdana" w:hAnsi="Verdana" w:cs="Arial"/>
          <w:color w:val="000000" w:themeColor="text1"/>
          <w:sz w:val="21"/>
          <w:szCs w:val="21"/>
        </w:rPr>
        <w:t>.</w:t>
      </w:r>
      <w:r w:rsidRPr="00DA57BA">
        <w:rPr>
          <w:rFonts w:ascii="Verdana" w:hAnsi="Verdana" w:cs="Arial"/>
          <w:color w:val="000000" w:themeColor="text1"/>
        </w:rPr>
        <w:t xml:space="preserve"> </w:t>
      </w:r>
    </w:p>
    <w:p w14:paraId="67B1BA94" w14:textId="77777777" w:rsidR="004C7228" w:rsidRDefault="004C7228" w:rsidP="004C7228">
      <w:pPr>
        <w:pStyle w:val="Sinespaciado"/>
        <w:spacing w:line="276" w:lineRule="auto"/>
        <w:ind w:firstLine="708"/>
        <w:jc w:val="both"/>
        <w:rPr>
          <w:rFonts w:ascii="Verdana" w:hAnsi="Verdana" w:cs="Arial"/>
          <w:color w:val="000000" w:themeColor="text1"/>
          <w:sz w:val="22"/>
        </w:rPr>
      </w:pPr>
    </w:p>
    <w:p w14:paraId="284FB81A" w14:textId="77777777" w:rsidR="004C7228" w:rsidRPr="00DA57BA" w:rsidRDefault="004C7228" w:rsidP="004C7228">
      <w:pPr>
        <w:pStyle w:val="Sinespaciado"/>
        <w:spacing w:line="276" w:lineRule="auto"/>
        <w:ind w:firstLine="708"/>
        <w:jc w:val="both"/>
        <w:rPr>
          <w:rFonts w:ascii="Verdana" w:hAnsi="Verdana" w:cs="Arial"/>
          <w:color w:val="000000" w:themeColor="text1"/>
          <w:sz w:val="22"/>
        </w:rPr>
      </w:pPr>
      <w:r w:rsidRPr="00DA57BA">
        <w:rPr>
          <w:rFonts w:ascii="Verdana" w:hAnsi="Verdana" w:cs="Arial"/>
          <w:color w:val="000000" w:themeColor="text1"/>
          <w:sz w:val="22"/>
        </w:rPr>
        <w:t xml:space="preserve">De las normas citadas se resalta que, en virtud del principio de economía, para iniciar un proceso de contratación se requieren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norma que exige que se determine el objeto a contratar con sus especificaciones y se estime el costo que implica la celebración del contrato de la siguiente manera: </w:t>
      </w:r>
    </w:p>
    <w:p w14:paraId="15568C59" w14:textId="77777777" w:rsidR="004C7228" w:rsidRPr="00DA57BA" w:rsidRDefault="004C7228" w:rsidP="004C7228">
      <w:pPr>
        <w:pStyle w:val="Sinespaciado"/>
        <w:spacing w:line="276" w:lineRule="auto"/>
        <w:jc w:val="both"/>
        <w:rPr>
          <w:rFonts w:ascii="Verdana" w:hAnsi="Verdana" w:cs="Arial"/>
          <w:color w:val="000000" w:themeColor="text1"/>
        </w:rPr>
      </w:pPr>
    </w:p>
    <w:p w14:paraId="3452F013" w14:textId="77777777" w:rsidR="004C7228" w:rsidRPr="00DA57BA" w:rsidRDefault="004C7228" w:rsidP="004C7228">
      <w:pPr>
        <w:pStyle w:val="Sinespaciado"/>
        <w:ind w:left="709" w:right="709"/>
        <w:jc w:val="both"/>
        <w:rPr>
          <w:rFonts w:ascii="Verdana" w:hAnsi="Verdana" w:cs="Arial"/>
          <w:color w:val="000000" w:themeColor="text1"/>
          <w:sz w:val="21"/>
          <w:szCs w:val="21"/>
        </w:rPr>
      </w:pPr>
      <w:r>
        <w:rPr>
          <w:rFonts w:ascii="Verdana" w:hAnsi="Verdana" w:cs="Arial"/>
          <w:color w:val="000000" w:themeColor="text1"/>
          <w:sz w:val="21"/>
          <w:szCs w:val="21"/>
        </w:rPr>
        <w:t>“</w:t>
      </w:r>
      <w:r w:rsidRPr="00DA57BA">
        <w:rPr>
          <w:rFonts w:ascii="Verdana" w:hAnsi="Verdana" w:cs="Arial"/>
          <w:color w:val="000000" w:themeColor="text1"/>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6CD0D627" w14:textId="77777777" w:rsidR="004C7228" w:rsidRPr="00DA57BA" w:rsidRDefault="004C7228" w:rsidP="004C7228">
      <w:pPr>
        <w:pStyle w:val="Sinespaciado"/>
        <w:spacing w:after="120"/>
        <w:ind w:left="709" w:right="709"/>
        <w:jc w:val="both"/>
        <w:rPr>
          <w:rFonts w:ascii="Verdana" w:hAnsi="Verdana" w:cs="Arial"/>
          <w:color w:val="000000" w:themeColor="text1"/>
          <w:sz w:val="21"/>
          <w:szCs w:val="21"/>
        </w:rPr>
      </w:pPr>
      <w:r w:rsidRPr="00DA57BA">
        <w:rPr>
          <w:rFonts w:ascii="Verdana" w:hAnsi="Verdana" w:cs="Arial"/>
          <w:color w:val="000000" w:themeColor="text1"/>
          <w:sz w:val="21"/>
          <w:szCs w:val="21"/>
        </w:rPr>
        <w:t>[…]</w:t>
      </w:r>
    </w:p>
    <w:p w14:paraId="22B47A6D" w14:textId="77777777" w:rsidR="004C7228" w:rsidRPr="00DA57BA" w:rsidRDefault="004C7228" w:rsidP="004C7228">
      <w:pPr>
        <w:pStyle w:val="Sinespaciado"/>
        <w:ind w:left="709" w:right="709"/>
        <w:jc w:val="both"/>
        <w:rPr>
          <w:rFonts w:ascii="Verdana" w:hAnsi="Verdana" w:cs="Arial"/>
          <w:color w:val="000000" w:themeColor="text1"/>
        </w:rPr>
      </w:pPr>
      <w:r w:rsidRPr="00DA57BA">
        <w:rPr>
          <w:rFonts w:ascii="Verdana" w:hAnsi="Verdana" w:cs="Arial"/>
          <w:color w:val="000000" w:themeColor="text1"/>
          <w:sz w:val="21"/>
          <w:szCs w:val="21"/>
        </w:rPr>
        <w:t xml:space="preserve">4. El valor estimado del contrato y la justificación del mismo. </w:t>
      </w:r>
      <w:r w:rsidRPr="007E3F9B">
        <w:rPr>
          <w:rFonts w:ascii="Verdana" w:hAnsi="Verdana" w:cs="Arial"/>
          <w:i/>
          <w:iCs/>
          <w:color w:val="000000" w:themeColor="text1"/>
          <w:sz w:val="21"/>
          <w:szCs w:val="21"/>
        </w:rPr>
        <w:t>Cuando el valor del contrato esté determinado por precios unitarios, la Entidad Estatal debe incluir la forma como los calculó y soportar sus cálculos presupuestales en la estimación de aquellos</w:t>
      </w:r>
      <w:r w:rsidRPr="00DA57BA">
        <w:rPr>
          <w:rFonts w:ascii="Verdana" w:hAnsi="Verdana" w:cs="Arial"/>
          <w:color w:val="000000" w:themeColor="text1"/>
          <w:sz w:val="21"/>
          <w:szCs w:val="21"/>
        </w:rPr>
        <w:t>. Si el contrato es de concesión, la Entidad Estatal no debe publicar el modelo financiero utilizado en su estructuración</w:t>
      </w:r>
      <w:r>
        <w:rPr>
          <w:rFonts w:ascii="Verdana" w:hAnsi="Verdana" w:cs="Arial"/>
          <w:color w:val="000000" w:themeColor="text1"/>
          <w:sz w:val="21"/>
          <w:szCs w:val="21"/>
        </w:rPr>
        <w:t>”</w:t>
      </w:r>
      <w:r w:rsidRPr="00DA57BA">
        <w:rPr>
          <w:rFonts w:ascii="Verdana" w:hAnsi="Verdana" w:cs="Arial"/>
          <w:color w:val="000000" w:themeColor="text1"/>
          <w:sz w:val="21"/>
          <w:szCs w:val="21"/>
        </w:rPr>
        <w:t>.</w:t>
      </w:r>
      <w:r>
        <w:rPr>
          <w:rFonts w:ascii="Verdana" w:hAnsi="Verdana" w:cs="Arial"/>
          <w:color w:val="000000" w:themeColor="text1"/>
          <w:sz w:val="21"/>
          <w:szCs w:val="21"/>
        </w:rPr>
        <w:t xml:space="preserve"> (Énfasis fuera de texto)</w:t>
      </w:r>
      <w:r w:rsidRPr="00DA57BA">
        <w:rPr>
          <w:rFonts w:ascii="Verdana" w:hAnsi="Verdana" w:cs="Arial"/>
          <w:color w:val="000000" w:themeColor="text1"/>
        </w:rPr>
        <w:t xml:space="preserve">    </w:t>
      </w:r>
    </w:p>
    <w:p w14:paraId="00C95C93" w14:textId="77777777" w:rsidR="004C7228" w:rsidRPr="00DA57BA" w:rsidRDefault="004C7228" w:rsidP="004C7228">
      <w:pPr>
        <w:spacing w:after="0" w:line="276" w:lineRule="auto"/>
        <w:ind w:firstLine="709"/>
        <w:jc w:val="both"/>
        <w:rPr>
          <w:rFonts w:ascii="Verdana" w:eastAsia="Calibri" w:hAnsi="Verdana" w:cs="Arial"/>
          <w:bCs/>
          <w:color w:val="000000" w:themeColor="text1"/>
          <w:lang w:val="es-ES_tradnl"/>
        </w:rPr>
      </w:pPr>
    </w:p>
    <w:p w14:paraId="47F136FD" w14:textId="1E549088" w:rsidR="004C7228" w:rsidRPr="00410145" w:rsidRDefault="004C7228" w:rsidP="004C7228">
      <w:pPr>
        <w:spacing w:after="120" w:line="276" w:lineRule="auto"/>
        <w:ind w:firstLine="709"/>
        <w:jc w:val="both"/>
        <w:rPr>
          <w:rFonts w:ascii="Verdana" w:hAnsi="Verdana" w:cs="Arial"/>
          <w:lang w:val="es-ES" w:eastAsia="es-ES"/>
        </w:rPr>
      </w:pPr>
      <w:r>
        <w:rPr>
          <w:rFonts w:ascii="Verdana" w:eastAsia="Calibri" w:hAnsi="Verdana" w:cs="Arial"/>
          <w:bCs/>
          <w:color w:val="000000" w:themeColor="text1"/>
          <w:lang w:val="es-ES_tradnl"/>
        </w:rPr>
        <w:t xml:space="preserve">Respecto al valor estimado, la norma citada no </w:t>
      </w:r>
      <w:r w:rsidR="002C44D1">
        <w:rPr>
          <w:rFonts w:ascii="Verdana" w:eastAsia="Calibri" w:hAnsi="Verdana" w:cs="Arial"/>
          <w:bCs/>
          <w:color w:val="000000" w:themeColor="text1"/>
          <w:lang w:val="es-ES_tradnl"/>
        </w:rPr>
        <w:t xml:space="preserve">establece </w:t>
      </w:r>
      <w:r w:rsidR="009736AF">
        <w:rPr>
          <w:rFonts w:ascii="Verdana" w:eastAsia="Calibri" w:hAnsi="Verdana" w:cs="Arial"/>
          <w:bCs/>
          <w:color w:val="000000" w:themeColor="text1"/>
          <w:lang w:val="es-ES_tradnl"/>
        </w:rPr>
        <w:t>d</w:t>
      </w:r>
      <w:r w:rsidR="002C44D1">
        <w:rPr>
          <w:rFonts w:ascii="Verdana" w:eastAsia="Calibri" w:hAnsi="Verdana" w:cs="Arial"/>
          <w:bCs/>
          <w:color w:val="000000" w:themeColor="text1"/>
          <w:lang w:val="es-ES_tradnl"/>
        </w:rPr>
        <w:t>e manera</w:t>
      </w:r>
      <w:r w:rsidR="005A0E08">
        <w:rPr>
          <w:rFonts w:ascii="Verdana" w:eastAsia="Calibri" w:hAnsi="Verdana" w:cs="Arial"/>
          <w:bCs/>
          <w:color w:val="000000" w:themeColor="text1"/>
          <w:lang w:val="es-ES_tradnl"/>
        </w:rPr>
        <w:t xml:space="preserve"> expresa que se deban</w:t>
      </w:r>
      <w:r w:rsidR="002C44D1">
        <w:rPr>
          <w:rFonts w:ascii="Verdana" w:eastAsia="Calibri" w:hAnsi="Verdana" w:cs="Arial"/>
          <w:bCs/>
          <w:color w:val="000000" w:themeColor="text1"/>
          <w:lang w:val="es-ES_tradnl"/>
        </w:rPr>
        <w:t xml:space="preserve"> </w:t>
      </w:r>
      <w:r>
        <w:rPr>
          <w:rFonts w:ascii="Verdana" w:eastAsia="Calibri" w:hAnsi="Verdana" w:cs="Arial"/>
          <w:bCs/>
          <w:color w:val="000000" w:themeColor="text1"/>
          <w:lang w:val="es-ES_tradnl"/>
        </w:rPr>
        <w:t>incluir en los estudios y documentos previos la forma y el soporte de los cálculos en los contratos por precio global</w:t>
      </w:r>
      <w:r w:rsidR="00C155CA">
        <w:rPr>
          <w:rFonts w:ascii="Verdana" w:eastAsia="Calibri" w:hAnsi="Verdana" w:cs="Arial"/>
          <w:bCs/>
          <w:color w:val="000000" w:themeColor="text1"/>
          <w:lang w:val="es-ES_tradnl"/>
        </w:rPr>
        <w:t>.</w:t>
      </w:r>
      <w:r w:rsidR="00A0567D">
        <w:rPr>
          <w:rFonts w:ascii="Verdana" w:eastAsia="Calibri" w:hAnsi="Verdana" w:cs="Arial"/>
          <w:bCs/>
          <w:color w:val="000000" w:themeColor="text1"/>
          <w:lang w:val="es-ES_tradnl"/>
        </w:rPr>
        <w:t xml:space="preserve"> </w:t>
      </w:r>
      <w:r w:rsidR="00C155CA" w:rsidRPr="006C6FE3">
        <w:rPr>
          <w:rFonts w:ascii="Verdana" w:eastAsia="Calibri" w:hAnsi="Verdana" w:cs="Arial"/>
          <w:color w:val="000000" w:themeColor="text1"/>
          <w:lang w:val="es-ES_tradnl"/>
        </w:rPr>
        <w:t>N</w:t>
      </w:r>
      <w:r w:rsidR="00A0567D" w:rsidRPr="006C6FE3">
        <w:rPr>
          <w:rFonts w:ascii="Verdana" w:eastAsia="Calibri" w:hAnsi="Verdana" w:cs="Arial"/>
          <w:color w:val="000000" w:themeColor="text1"/>
          <w:lang w:val="es-ES_tradnl"/>
        </w:rPr>
        <w:t>o obstante</w:t>
      </w:r>
      <w:r w:rsidR="00C155CA" w:rsidRPr="006C6FE3">
        <w:rPr>
          <w:rFonts w:ascii="Verdana" w:eastAsia="Calibri" w:hAnsi="Verdana" w:cs="Arial"/>
          <w:color w:val="000000" w:themeColor="text1"/>
          <w:lang w:val="es-ES_tradnl"/>
        </w:rPr>
        <w:t>,</w:t>
      </w:r>
      <w:r w:rsidR="00A0567D" w:rsidRPr="006C6FE3">
        <w:rPr>
          <w:rFonts w:ascii="Verdana" w:eastAsia="Calibri" w:hAnsi="Verdana" w:cs="Arial"/>
          <w:color w:val="000000" w:themeColor="text1"/>
          <w:lang w:val="es-ES_tradnl"/>
        </w:rPr>
        <w:t xml:space="preserve"> las Entidades s</w:t>
      </w:r>
      <w:r w:rsidR="00C155CA" w:rsidRPr="006C6FE3">
        <w:rPr>
          <w:rFonts w:ascii="Verdana" w:eastAsia="Calibri" w:hAnsi="Verdana" w:cs="Arial"/>
          <w:color w:val="000000" w:themeColor="text1"/>
          <w:lang w:val="es-ES_tradnl"/>
        </w:rPr>
        <w:t>í</w:t>
      </w:r>
      <w:r w:rsidR="00A0567D" w:rsidRPr="006C6FE3">
        <w:rPr>
          <w:rFonts w:ascii="Verdana" w:eastAsia="Calibri" w:hAnsi="Verdana" w:cs="Arial"/>
          <w:color w:val="000000" w:themeColor="text1"/>
          <w:lang w:val="es-ES_tradnl"/>
        </w:rPr>
        <w:t xml:space="preserve"> están obligadas a presentar el valor de la contratación y la justificación </w:t>
      </w:r>
      <w:r w:rsidR="005A0E08" w:rsidRPr="006C6FE3">
        <w:rPr>
          <w:rFonts w:ascii="Verdana" w:eastAsia="Calibri" w:hAnsi="Verdana" w:cs="Arial"/>
          <w:bCs/>
          <w:color w:val="000000" w:themeColor="text1"/>
          <w:lang w:val="es-ES_tradnl"/>
        </w:rPr>
        <w:t>de este</w:t>
      </w:r>
      <w:r w:rsidR="00A0567D" w:rsidRPr="006C6FE3">
        <w:rPr>
          <w:rFonts w:ascii="Verdana" w:eastAsia="Calibri" w:hAnsi="Verdana" w:cs="Arial"/>
          <w:color w:val="000000" w:themeColor="text1"/>
          <w:lang w:val="es-ES_tradnl"/>
        </w:rPr>
        <w:t>, para lo cual deberá informar los factores relevantes y metodología para la determinación del valor del contrato</w:t>
      </w:r>
      <w:r w:rsidR="005A0E08" w:rsidRPr="00464890">
        <w:rPr>
          <w:rFonts w:ascii="Verdana" w:eastAsia="Calibri" w:hAnsi="Verdana" w:cs="Arial"/>
          <w:bCs/>
          <w:color w:val="000000" w:themeColor="text1"/>
          <w:lang w:val="es-ES_tradnl"/>
        </w:rPr>
        <w:t xml:space="preserve">, obligación predicable </w:t>
      </w:r>
      <w:r w:rsidR="00324E81" w:rsidRPr="00464890">
        <w:rPr>
          <w:rFonts w:ascii="Verdana" w:eastAsia="Calibri" w:hAnsi="Verdana" w:cs="Arial"/>
          <w:bCs/>
          <w:color w:val="000000" w:themeColor="text1"/>
          <w:lang w:val="es-ES_tradnl"/>
        </w:rPr>
        <w:t>respecto de toda la contratación –no sometida a reserva–, de la que no est</w:t>
      </w:r>
      <w:r w:rsidR="00464890" w:rsidRPr="00464890">
        <w:rPr>
          <w:rFonts w:ascii="Verdana" w:eastAsia="Calibri" w:hAnsi="Verdana" w:cs="Arial"/>
          <w:bCs/>
          <w:color w:val="000000" w:themeColor="text1"/>
          <w:lang w:val="es-ES_tradnl"/>
        </w:rPr>
        <w:t>án exentos los contratos con precio global</w:t>
      </w:r>
      <w:r w:rsidRPr="00464890">
        <w:rPr>
          <w:rFonts w:ascii="Verdana" w:eastAsia="Calibri" w:hAnsi="Verdana" w:cs="Arial"/>
          <w:bCs/>
          <w:color w:val="000000" w:themeColor="text1"/>
          <w:lang w:val="es-ES_tradnl"/>
        </w:rPr>
        <w:t>.</w:t>
      </w:r>
      <w:r>
        <w:rPr>
          <w:rFonts w:ascii="Verdana" w:eastAsia="Calibri" w:hAnsi="Verdana" w:cs="Arial"/>
          <w:bCs/>
          <w:color w:val="000000" w:themeColor="text1"/>
          <w:lang w:val="es-ES_tradnl"/>
        </w:rPr>
        <w:t xml:space="preserve"> La exigencia existe para los contratos a precios unitarios, </w:t>
      </w:r>
      <w:r>
        <w:rPr>
          <w:rFonts w:ascii="Verdana" w:hAnsi="Verdana" w:cs="Arial"/>
          <w:lang w:val="es-ES" w:eastAsia="es-ES"/>
        </w:rPr>
        <w:t>pues lo usual es discriminar</w:t>
      </w:r>
      <w:r w:rsidRPr="00104C20">
        <w:rPr>
          <w:rFonts w:ascii="Verdana" w:hAnsi="Verdana" w:cs="Arial"/>
          <w:lang w:val="es-ES" w:eastAsia="es-ES"/>
        </w:rPr>
        <w:t xml:space="preserve"> los </w:t>
      </w:r>
      <w:r w:rsidRPr="008335E8">
        <w:rPr>
          <w:rFonts w:ascii="Verdana" w:hAnsi="Verdana" w:cs="Arial"/>
          <w:i/>
          <w:iCs/>
          <w:lang w:val="es-ES" w:eastAsia="es-ES"/>
        </w:rPr>
        <w:t>costos directos</w:t>
      </w:r>
      <w:r w:rsidRPr="00104C20">
        <w:rPr>
          <w:rFonts w:ascii="Verdana" w:hAnsi="Verdana" w:cs="Arial"/>
          <w:lang w:val="es-ES" w:eastAsia="es-ES"/>
        </w:rPr>
        <w:t xml:space="preserve"> –es decir, los que están directamente implicados en la ejecución del objeto– de los </w:t>
      </w:r>
      <w:r w:rsidRPr="008335E8">
        <w:rPr>
          <w:rFonts w:ascii="Verdana" w:hAnsi="Verdana" w:cs="Arial"/>
          <w:i/>
          <w:iCs/>
          <w:lang w:val="es-ES" w:eastAsia="es-ES"/>
        </w:rPr>
        <w:t>costos indirectos</w:t>
      </w:r>
      <w:r w:rsidRPr="00104C20">
        <w:rPr>
          <w:rFonts w:ascii="Verdana" w:hAnsi="Verdana" w:cs="Arial"/>
          <w:lang w:val="es-ES" w:eastAsia="es-ES"/>
        </w:rPr>
        <w:t xml:space="preserve">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w:t>
      </w:r>
      <w:r w:rsidRPr="00104C20">
        <w:rPr>
          <w:rFonts w:ascii="Verdana" w:hAnsi="Verdana" w:cs="Arial"/>
          <w:lang w:val="es-ES" w:eastAsia="es-ES"/>
        </w:rPr>
        <w:lastRenderedPageBreak/>
        <w:t xml:space="preserve">ganancia–. </w:t>
      </w:r>
      <w:r>
        <w:rPr>
          <w:rFonts w:ascii="Verdana" w:hAnsi="Verdana" w:cs="Arial"/>
          <w:lang w:val="es-ES" w:eastAsia="es-ES"/>
        </w:rPr>
        <w:t>A diferencia de los precios globales que carecen de esta desagregación</w:t>
      </w:r>
      <w:r w:rsidRPr="00104C20">
        <w:rPr>
          <w:rFonts w:ascii="Verdana" w:hAnsi="Verdana" w:cs="Arial"/>
          <w:lang w:val="es-ES" w:eastAsia="es-ES"/>
        </w:rPr>
        <w:t xml:space="preserve">, mientras que los </w:t>
      </w:r>
      <w:r w:rsidRPr="008335E8">
        <w:rPr>
          <w:rFonts w:ascii="Verdana" w:hAnsi="Verdana" w:cs="Arial"/>
          <w:i/>
          <w:iCs/>
          <w:lang w:val="es-ES" w:eastAsia="es-ES"/>
        </w:rPr>
        <w:t>costos directos</w:t>
      </w:r>
      <w:r w:rsidRPr="00104C20">
        <w:rPr>
          <w:rFonts w:ascii="Verdana" w:hAnsi="Verdana" w:cs="Arial"/>
          <w:lang w:val="es-ES" w:eastAsia="es-ES"/>
        </w:rPr>
        <w:t xml:space="preserve"> se evidencian en el análisis de precios unitarios –APU–, como la sumatoria de los valores de los </w:t>
      </w:r>
      <w:r w:rsidRPr="00104C20">
        <w:rPr>
          <w:rFonts w:ascii="Verdana" w:hAnsi="Verdana" w:cs="Arial"/>
          <w:i/>
          <w:iCs/>
          <w:lang w:val="es-ES" w:eastAsia="es-ES"/>
        </w:rPr>
        <w:t>ítems</w:t>
      </w:r>
      <w:r w:rsidRPr="00104C20">
        <w:rPr>
          <w:rFonts w:ascii="Verdana" w:hAnsi="Verdana" w:cs="Arial"/>
          <w:lang w:val="es-ES" w:eastAsia="es-ES"/>
        </w:rPr>
        <w:t xml:space="preserve"> según su unidad de medida, los </w:t>
      </w:r>
      <w:r w:rsidRPr="008335E8">
        <w:rPr>
          <w:rFonts w:ascii="Verdana" w:hAnsi="Verdana" w:cs="Arial"/>
          <w:i/>
          <w:iCs/>
          <w:lang w:val="es-ES" w:eastAsia="es-ES"/>
        </w:rPr>
        <w:t>costos indirectos</w:t>
      </w:r>
      <w:r w:rsidRPr="00104C20">
        <w:rPr>
          <w:rFonts w:ascii="Verdana" w:hAnsi="Verdana" w:cs="Arial"/>
          <w:lang w:val="es-ES" w:eastAsia="es-ES"/>
        </w:rPr>
        <w:t xml:space="preserve"> se suelen abreviar en las variables que integran el acrónimo AIU –Administración, Imprevistos y Utilidad–. </w:t>
      </w:r>
    </w:p>
    <w:p w14:paraId="0BD75B9C" w14:textId="56AF9C8E" w:rsidR="004C7228" w:rsidRDefault="004C7228" w:rsidP="004C7228">
      <w:pPr>
        <w:spacing w:line="276" w:lineRule="auto"/>
        <w:ind w:firstLine="709"/>
        <w:jc w:val="both"/>
        <w:rPr>
          <w:rFonts w:ascii="Verdana" w:eastAsia="Calibri" w:hAnsi="Verdana" w:cs="Arial"/>
          <w:bCs/>
          <w:color w:val="000000" w:themeColor="text1"/>
          <w:lang w:val="es-ES_tradnl"/>
        </w:rPr>
      </w:pPr>
      <w:r>
        <w:rPr>
          <w:rFonts w:ascii="Verdana" w:eastAsia="Calibri" w:hAnsi="Verdana" w:cs="Arial"/>
          <w:bCs/>
          <w:color w:val="000000" w:themeColor="text1"/>
          <w:lang w:val="es-ES_tradnl"/>
        </w:rPr>
        <w:t xml:space="preserve">Por lo demás, para los negocios jurídicos adjudicados por concurso de méritos, el artículo 1 del Decreto 399 de 2021 eliminó la posibilidad de “[…] </w:t>
      </w:r>
      <w:r w:rsidRPr="0047253C">
        <w:rPr>
          <w:rFonts w:ascii="Verdana" w:eastAsia="Calibri" w:hAnsi="Verdana" w:cs="Arial"/>
          <w:bCs/>
          <w:color w:val="000000" w:themeColor="text1"/>
          <w:lang w:val="es-ES_tradnl"/>
        </w:rPr>
        <w:t xml:space="preserve">no </w:t>
      </w:r>
      <w:r>
        <w:rPr>
          <w:rFonts w:ascii="Verdana" w:eastAsia="Calibri" w:hAnsi="Verdana" w:cs="Arial"/>
          <w:bCs/>
          <w:color w:val="000000" w:themeColor="text1"/>
          <w:lang w:val="es-ES_tradnl"/>
        </w:rPr>
        <w:t>[…]</w:t>
      </w:r>
      <w:r w:rsidRPr="0047253C">
        <w:rPr>
          <w:rFonts w:ascii="Verdana" w:eastAsia="Calibri" w:hAnsi="Verdana" w:cs="Arial"/>
          <w:bCs/>
          <w:color w:val="000000" w:themeColor="text1"/>
          <w:lang w:val="es-ES_tradnl"/>
        </w:rPr>
        <w:t xml:space="preserve"> publicar las variables utilizadas para calcular el valor estimado del contrato</w:t>
      </w:r>
      <w:r>
        <w:rPr>
          <w:rFonts w:ascii="Verdana" w:eastAsia="Calibri" w:hAnsi="Verdana" w:cs="Arial"/>
          <w:bCs/>
          <w:color w:val="000000" w:themeColor="text1"/>
          <w:lang w:val="es-ES_tradnl"/>
        </w:rPr>
        <w:t xml:space="preserve"> […]”, pues de acuerdo con los considerandos del reglamento citado –frente a la </w:t>
      </w:r>
      <w:r w:rsidR="004C6BFE">
        <w:rPr>
          <w:rFonts w:ascii="Verdana" w:eastAsia="Calibri" w:hAnsi="Verdana" w:cs="Arial"/>
          <w:bCs/>
          <w:color w:val="000000" w:themeColor="text1"/>
          <w:lang w:val="es-ES_tradnl"/>
        </w:rPr>
        <w:t>in</w:t>
      </w:r>
      <w:r>
        <w:rPr>
          <w:rFonts w:ascii="Verdana" w:eastAsia="Calibri" w:hAnsi="Verdana" w:cs="Arial"/>
          <w:bCs/>
          <w:color w:val="000000" w:themeColor="text1"/>
          <w:lang w:val="es-ES_tradnl"/>
        </w:rPr>
        <w:t xml:space="preserve">existencia de una reserva legal sobre esta información– “[…] </w:t>
      </w:r>
      <w:r w:rsidRPr="0047253C">
        <w:rPr>
          <w:rFonts w:ascii="Verdana" w:eastAsia="Calibri" w:hAnsi="Verdana" w:cs="Arial"/>
          <w:bCs/>
          <w:color w:val="000000" w:themeColor="text1"/>
          <w:lang w:val="es-ES_tradnl"/>
        </w:rPr>
        <w:t>se considera conveniente dar publicidad a la forma como se calcula el valor del contrato en los concursos de méritos, con la finalidad de garantizar al máximo los principios de publicidad y transparencia</w:t>
      </w:r>
      <w:r>
        <w:rPr>
          <w:rFonts w:ascii="Verdana" w:eastAsia="Calibri" w:hAnsi="Verdana" w:cs="Arial"/>
          <w:bCs/>
          <w:color w:val="000000" w:themeColor="text1"/>
          <w:lang w:val="es-ES_tradnl"/>
        </w:rPr>
        <w:t xml:space="preserve"> […]”.   </w:t>
      </w:r>
    </w:p>
    <w:p w14:paraId="5FE22A7D" w14:textId="77777777" w:rsidR="004C7228" w:rsidRPr="00DA57BA" w:rsidRDefault="004C7228" w:rsidP="5B4243E8">
      <w:pPr>
        <w:spacing w:line="276" w:lineRule="auto"/>
        <w:ind w:firstLine="709"/>
        <w:jc w:val="both"/>
        <w:rPr>
          <w:rFonts w:ascii="Verdana" w:eastAsia="Calibri" w:hAnsi="Verdana" w:cs="Arial"/>
          <w:color w:val="000000" w:themeColor="text1"/>
          <w:lang w:val="es-ES"/>
        </w:rPr>
      </w:pPr>
      <w:r w:rsidRPr="5B4243E8">
        <w:rPr>
          <w:rFonts w:ascii="Verdana" w:eastAsia="Calibri" w:hAnsi="Verdana" w:cs="Arial"/>
          <w:color w:val="000000" w:themeColor="text1"/>
          <w:lang w:val="es-ES"/>
        </w:rPr>
        <w:t xml:space="preserve">Independientemente del contenido de los estudios previos, para estimar el valor del contrato es necesario el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de bienes, obras o servicios. En este sentido, el artículo </w:t>
      </w:r>
      <w:bookmarkStart w:id="2" w:name="_Hlk36117416"/>
      <w:r w:rsidRPr="5B4243E8">
        <w:rPr>
          <w:rFonts w:ascii="Verdana" w:eastAsia="Calibri" w:hAnsi="Verdana" w:cs="Arial"/>
          <w:color w:val="000000" w:themeColor="text1"/>
          <w:lang w:val="es-ES"/>
        </w:rPr>
        <w:t>2.2.1.1.1.6.1 del Decreto 1082 de 2015</w:t>
      </w:r>
      <w:bookmarkEnd w:id="2"/>
      <w:r w:rsidRPr="5B4243E8">
        <w:rPr>
          <w:rFonts w:ascii="Verdana" w:eastAsia="Calibri" w:hAnsi="Verdana" w:cs="Arial"/>
          <w:color w:val="000000" w:themeColor="text1"/>
          <w:lang w:val="es-ES"/>
        </w:rPr>
        <w:t xml:space="preserve">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0284EDCF" w14:textId="77777777" w:rsidR="004C7228" w:rsidRPr="00DA57BA" w:rsidRDefault="004C7228" w:rsidP="5B4243E8">
      <w:pPr>
        <w:spacing w:before="120" w:line="276" w:lineRule="auto"/>
        <w:ind w:firstLine="709"/>
        <w:jc w:val="both"/>
        <w:rPr>
          <w:rFonts w:ascii="Verdana" w:eastAsia="Calibri" w:hAnsi="Verdana" w:cs="Arial"/>
          <w:color w:val="000000" w:themeColor="text1"/>
          <w:lang w:val="es-ES"/>
        </w:rPr>
      </w:pPr>
      <w:r w:rsidRPr="5B4243E8">
        <w:rPr>
          <w:rFonts w:ascii="Verdana" w:eastAsia="Calibri" w:hAnsi="Verdana" w:cs="Arial"/>
          <w:color w:val="000000" w:themeColor="text1"/>
          <w:lang w:val="es-ES"/>
        </w:rPr>
        <w:t xml:space="preserve">De acuerdo con la norma citada, </w:t>
      </w:r>
      <w:bookmarkStart w:id="3" w:name="_Hlk36140682"/>
      <w:r w:rsidRPr="5B4243E8">
        <w:rPr>
          <w:rFonts w:ascii="Verdana" w:eastAsia="Calibri" w:hAnsi="Verdana" w:cs="Arial"/>
          <w:color w:val="000000" w:themeColor="text1"/>
          <w:lang w:val="es-ES"/>
        </w:rPr>
        <w:t xml:space="preserve">la entidad debe realizar el análisis necesario para conocer el sector relativo al objeto del proceso de contratación, sin que sea relevante la modalidad de selección. Realizar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w:t>
      </w:r>
      <w:r w:rsidRPr="5B4243E8">
        <w:rPr>
          <w:rFonts w:ascii="Verdana" w:eastAsia="Calibri" w:hAnsi="Verdana" w:cs="Arial"/>
          <w:color w:val="000000" w:themeColor="text1"/>
          <w:lang w:val="es-ES"/>
        </w:rPr>
        <w:lastRenderedPageBreak/>
        <w:t>pretende que la entidad estatal entienda cómo están organizados internamente los posibles oferentes y de qué manera realizan sus negocios y operaciones.</w:t>
      </w:r>
    </w:p>
    <w:p w14:paraId="40A3BCFF" w14:textId="77777777" w:rsidR="004C7228" w:rsidRPr="00DA57BA" w:rsidRDefault="004C7228" w:rsidP="004C7228">
      <w:pPr>
        <w:spacing w:before="120" w:line="276" w:lineRule="auto"/>
        <w:ind w:firstLine="709"/>
        <w:jc w:val="both"/>
        <w:rPr>
          <w:rFonts w:ascii="Verdana" w:eastAsia="Calibri" w:hAnsi="Verdana" w:cs="Arial"/>
          <w:bCs/>
          <w:color w:val="000000" w:themeColor="text1"/>
          <w:lang w:val="es-ES_tradnl"/>
        </w:rPr>
      </w:pPr>
      <w:r w:rsidRPr="00DA57BA">
        <w:rPr>
          <w:rFonts w:ascii="Verdana" w:eastAsia="Calibri" w:hAnsi="Verdana" w:cs="Arial"/>
          <w:bCs/>
          <w:color w:val="000000" w:themeColor="text1"/>
          <w:lang w:val="es-ES_tradnl"/>
        </w:rPr>
        <w:t>Para negociar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64964F37" w14:textId="77777777" w:rsidR="004C7228" w:rsidRPr="00DA57BA" w:rsidRDefault="004C7228" w:rsidP="004C7228">
      <w:pPr>
        <w:spacing w:before="120" w:line="276" w:lineRule="auto"/>
        <w:ind w:firstLine="709"/>
        <w:jc w:val="both"/>
        <w:rPr>
          <w:rFonts w:ascii="Verdana" w:eastAsia="Calibri" w:hAnsi="Verdana" w:cs="Arial"/>
          <w:bCs/>
          <w:color w:val="000000" w:themeColor="text1"/>
          <w:lang w:val="es-ES_tradnl"/>
        </w:rPr>
      </w:pPr>
      <w:r w:rsidRPr="00DA57BA">
        <w:rPr>
          <w:rFonts w:ascii="Verdana" w:eastAsia="Calibri" w:hAnsi="Verdana" w:cs="Arial"/>
          <w:bCs/>
          <w:color w:val="000000" w:themeColor="text1"/>
          <w:lang w:val="es-ES_tradnl"/>
        </w:rPr>
        <w:t>Dicho análisis facilita tanto el conocimiento del sector, desde una perspectiva multidisciplinaria, como de los proveedores disponibles en el mercado para satisfacer la necesidad de la entidad contratante. As</w:t>
      </w:r>
      <w:r>
        <w:rPr>
          <w:rFonts w:ascii="Verdana" w:eastAsia="Calibri" w:hAnsi="Verdana" w:cs="Arial"/>
          <w:bCs/>
          <w:color w:val="000000" w:themeColor="text1"/>
          <w:lang w:val="es-ES_tradnl"/>
        </w:rPr>
        <w:t>i</w:t>
      </w:r>
      <w:r w:rsidRPr="00DA57BA">
        <w:rPr>
          <w:rFonts w:ascii="Verdana" w:eastAsia="Calibri" w:hAnsi="Verdana" w:cs="Arial"/>
          <w:bCs/>
          <w:color w:val="000000" w:themeColor="text1"/>
          <w:lang w:val="es-ES_tradnl"/>
        </w:rPr>
        <w:t xml:space="preserve">mismo, el análisis del sector implica un estudio de la oferta, lo que permitirá identificar qué proveedores existen en el mercado y cómo intervienen en la cadena de producción, comercialización y distribución de los bienes, obras o servicios. </w:t>
      </w:r>
      <w:r>
        <w:rPr>
          <w:rFonts w:ascii="Verdana" w:eastAsia="Calibri" w:hAnsi="Verdana" w:cs="Arial"/>
          <w:bCs/>
          <w:color w:val="000000" w:themeColor="text1"/>
          <w:lang w:val="es-ES_tradnl"/>
        </w:rPr>
        <w:t>También</w:t>
      </w:r>
      <w:r w:rsidRPr="00DA57BA">
        <w:rPr>
          <w:rFonts w:ascii="Verdana" w:eastAsia="Calibri" w:hAnsi="Verdana" w:cs="Arial"/>
          <w:bCs/>
          <w:color w:val="000000" w:themeColor="text1"/>
          <w:lang w:val="es-ES_tradnl"/>
        </w:rPr>
        <w:t xml:space="preserve"> podrá estudiar</w:t>
      </w:r>
      <w:r>
        <w:rPr>
          <w:rFonts w:ascii="Verdana" w:eastAsia="Calibri" w:hAnsi="Verdana" w:cs="Arial"/>
          <w:bCs/>
          <w:color w:val="000000" w:themeColor="text1"/>
          <w:lang w:val="es-ES_tradnl"/>
        </w:rPr>
        <w:t>se</w:t>
      </w:r>
      <w:r w:rsidRPr="00DA57BA">
        <w:rPr>
          <w:rFonts w:ascii="Verdana" w:eastAsia="Calibri" w:hAnsi="Verdana" w:cs="Arial"/>
          <w:bCs/>
          <w:color w:val="000000" w:themeColor="text1"/>
          <w:lang w:val="es-ES_tradnl"/>
        </w:rPr>
        <w:t xml:space="preserve"> la demanda para determinar cómo las entidades estatales y los particulares adquieren esos bienes, obras o servicios para extraer las mejores prácticas e información para el proceso de contratación. </w:t>
      </w:r>
    </w:p>
    <w:bookmarkEnd w:id="3"/>
    <w:p w14:paraId="09E34D20" w14:textId="77777777" w:rsidR="00A6326D" w:rsidRDefault="004C7228" w:rsidP="00A6326D">
      <w:pPr>
        <w:spacing w:after="0"/>
        <w:ind w:firstLine="708"/>
        <w:jc w:val="both"/>
        <w:rPr>
          <w:rFonts w:ascii="Verdana" w:eastAsia="Calibri" w:hAnsi="Verdana" w:cs="Arial"/>
          <w:bCs/>
          <w:color w:val="000000" w:themeColor="text1"/>
          <w:lang w:val="es-ES_tradnl"/>
        </w:rPr>
      </w:pPr>
      <w:r w:rsidRPr="00DA57BA">
        <w:rPr>
          <w:rFonts w:ascii="Verdana" w:eastAsia="Calibri" w:hAnsi="Verdana" w:cs="Arial"/>
          <w:bCs/>
          <w:color w:val="000000" w:themeColor="text1"/>
          <w:lang w:val="es-ES_tradnl"/>
        </w:rPr>
        <w:t xml:space="preserve">Colombia Compra Eficiente dispone de una </w:t>
      </w:r>
      <w:r>
        <w:rPr>
          <w:rFonts w:ascii="Verdana" w:eastAsia="Calibri" w:hAnsi="Verdana" w:cs="Arial"/>
          <w:bCs/>
          <w:color w:val="000000" w:themeColor="text1"/>
          <w:lang w:val="es-ES_tradnl"/>
        </w:rPr>
        <w:t>“</w:t>
      </w:r>
      <w:r w:rsidRPr="00DA57BA">
        <w:rPr>
          <w:rFonts w:ascii="Verdana" w:eastAsia="Calibri" w:hAnsi="Verdana" w:cs="Arial"/>
          <w:bCs/>
          <w:color w:val="000000" w:themeColor="text1"/>
          <w:lang w:val="es-ES_tradnl"/>
        </w:rPr>
        <w:t>Guía para la Elaboración de Estudios del Sector</w:t>
      </w:r>
      <w:r>
        <w:rPr>
          <w:rFonts w:ascii="Verdana" w:eastAsia="Calibri" w:hAnsi="Verdana" w:cs="Arial"/>
          <w:bCs/>
          <w:color w:val="000000" w:themeColor="text1"/>
          <w:lang w:val="es-ES_tradnl"/>
        </w:rPr>
        <w:t>”</w:t>
      </w:r>
      <w:r w:rsidRPr="00DA57BA">
        <w:rPr>
          <w:rFonts w:ascii="Verdana" w:eastAsia="Calibri" w:hAnsi="Verdana" w:cs="Arial"/>
          <w:bCs/>
          <w:color w:val="000000" w:themeColor="text1"/>
          <w:lang w:val="es-ES_tradnl"/>
        </w:rPr>
        <w:t>,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r>
        <w:rPr>
          <w:rFonts w:ascii="Verdana" w:eastAsia="Calibri" w:hAnsi="Verdana" w:cs="Arial"/>
          <w:bCs/>
          <w:color w:val="000000" w:themeColor="text1"/>
          <w:lang w:val="es-ES_tradnl"/>
        </w:rPr>
        <w:t xml:space="preserve"> </w:t>
      </w:r>
      <w:r w:rsidR="00FE5971">
        <w:rPr>
          <w:rFonts w:ascii="Verdana" w:eastAsia="Calibri" w:hAnsi="Verdana" w:cs="Arial"/>
          <w:bCs/>
          <w:color w:val="000000" w:themeColor="text1"/>
          <w:lang w:val="es-ES_tradnl"/>
        </w:rPr>
        <w:t xml:space="preserve">En </w:t>
      </w:r>
      <w:r w:rsidR="00070383">
        <w:rPr>
          <w:rFonts w:ascii="Verdana" w:eastAsia="Calibri" w:hAnsi="Verdana" w:cs="Arial"/>
          <w:bCs/>
          <w:color w:val="000000" w:themeColor="text1"/>
          <w:lang w:val="es-ES_tradnl"/>
        </w:rPr>
        <w:t xml:space="preserve">cuanto estudio de mercado, requerido para la determinación del presupuesto del Proceso </w:t>
      </w:r>
      <w:r w:rsidR="00310135">
        <w:rPr>
          <w:rFonts w:ascii="Verdana" w:eastAsia="Calibri" w:hAnsi="Verdana" w:cs="Arial"/>
          <w:bCs/>
          <w:color w:val="000000" w:themeColor="text1"/>
          <w:lang w:val="es-ES_tradnl"/>
        </w:rPr>
        <w:t>de Contratación</w:t>
      </w:r>
      <w:r w:rsidR="00C10E80">
        <w:rPr>
          <w:rFonts w:ascii="Verdana" w:eastAsia="Calibri" w:hAnsi="Verdana" w:cs="Arial"/>
          <w:bCs/>
          <w:color w:val="000000" w:themeColor="text1"/>
          <w:lang w:val="es-ES_tradnl"/>
        </w:rPr>
        <w:t>, la referida guía establece</w:t>
      </w:r>
      <w:r w:rsidR="00EE69F2">
        <w:rPr>
          <w:rFonts w:ascii="Verdana" w:eastAsia="Calibri" w:hAnsi="Verdana" w:cs="Arial"/>
          <w:bCs/>
          <w:color w:val="000000" w:themeColor="text1"/>
          <w:lang w:val="es-ES_tradnl"/>
        </w:rPr>
        <w:t xml:space="preserve"> en </w:t>
      </w:r>
      <w:r w:rsidR="00035EDD">
        <w:rPr>
          <w:rFonts w:ascii="Verdana" w:eastAsia="Calibri" w:hAnsi="Verdana" w:cs="Arial"/>
          <w:bCs/>
          <w:color w:val="000000" w:themeColor="text1"/>
          <w:lang w:val="es-ES_tradnl"/>
        </w:rPr>
        <w:t>su numeral</w:t>
      </w:r>
      <w:r w:rsidR="00EE69F2">
        <w:rPr>
          <w:rFonts w:ascii="Verdana" w:eastAsia="Calibri" w:hAnsi="Verdana" w:cs="Arial"/>
          <w:bCs/>
          <w:color w:val="000000" w:themeColor="text1"/>
          <w:lang w:val="es-ES_tradnl"/>
        </w:rPr>
        <w:t xml:space="preserve"> 1.3.4</w:t>
      </w:r>
      <w:r w:rsidR="00C10E80">
        <w:rPr>
          <w:rFonts w:ascii="Verdana" w:eastAsia="Calibri" w:hAnsi="Verdana" w:cs="Arial"/>
          <w:bCs/>
          <w:color w:val="000000" w:themeColor="text1"/>
          <w:lang w:val="es-ES_tradnl"/>
        </w:rPr>
        <w:t xml:space="preserve"> los siguientes mecanismos:</w:t>
      </w:r>
    </w:p>
    <w:p w14:paraId="06ABC7C2" w14:textId="3E958A31" w:rsidR="006450B0" w:rsidRDefault="00C10E80" w:rsidP="006C6FE3">
      <w:pPr>
        <w:spacing w:after="0"/>
        <w:ind w:firstLine="708"/>
        <w:jc w:val="both"/>
        <w:rPr>
          <w:rFonts w:ascii="Verdana" w:eastAsia="Calibri" w:hAnsi="Verdana" w:cs="Arial"/>
          <w:bCs/>
          <w:color w:val="000000" w:themeColor="text1"/>
          <w:lang w:val="es-ES_tradnl"/>
        </w:rPr>
      </w:pPr>
      <w:r>
        <w:rPr>
          <w:rFonts w:ascii="Verdana" w:eastAsia="Calibri" w:hAnsi="Verdana" w:cs="Arial"/>
          <w:bCs/>
          <w:color w:val="000000" w:themeColor="text1"/>
          <w:lang w:val="es-ES_tradnl"/>
        </w:rPr>
        <w:t xml:space="preserve"> </w:t>
      </w:r>
      <w:r w:rsidR="00310135">
        <w:rPr>
          <w:rFonts w:ascii="Verdana" w:eastAsia="Calibri" w:hAnsi="Verdana" w:cs="Arial"/>
          <w:bCs/>
          <w:color w:val="000000" w:themeColor="text1"/>
          <w:lang w:val="es-ES_tradnl"/>
        </w:rPr>
        <w:t xml:space="preserve"> </w:t>
      </w:r>
    </w:p>
    <w:p w14:paraId="3A14619F" w14:textId="77777777" w:rsidR="006450B0" w:rsidRPr="006E7E70" w:rsidRDefault="00C10E80" w:rsidP="006E7E70">
      <w:pPr>
        <w:spacing w:after="120" w:line="240" w:lineRule="auto"/>
        <w:ind w:left="709" w:right="709"/>
        <w:jc w:val="both"/>
        <w:rPr>
          <w:rFonts w:ascii="Verdana" w:eastAsia="Calibri" w:hAnsi="Verdana" w:cs="Arial"/>
          <w:bCs/>
          <w:color w:val="000000" w:themeColor="text1"/>
          <w:sz w:val="21"/>
          <w:szCs w:val="21"/>
          <w:lang w:val="es-ES_tradnl"/>
        </w:rPr>
      </w:pPr>
      <w:r w:rsidRPr="006E7E70">
        <w:rPr>
          <w:rFonts w:ascii="Verdana" w:eastAsia="Calibri" w:hAnsi="Verdana" w:cs="Arial"/>
          <w:bCs/>
          <w:color w:val="000000" w:themeColor="text1"/>
          <w:sz w:val="21"/>
          <w:szCs w:val="21"/>
          <w:lang w:val="es-ES_tradnl"/>
        </w:rPr>
        <w:t>“</w:t>
      </w:r>
      <w:r w:rsidRPr="006E7E70">
        <w:rPr>
          <w:rFonts w:ascii="Verdana" w:eastAsia="Calibri" w:hAnsi="Verdana" w:cs="Arial"/>
          <w:b/>
          <w:color w:val="000000" w:themeColor="text1"/>
          <w:sz w:val="21"/>
          <w:szCs w:val="21"/>
          <w:lang w:val="es-ES_tradnl"/>
        </w:rPr>
        <w:t>1</w:t>
      </w:r>
      <w:r w:rsidR="006450B0" w:rsidRPr="006E7E70">
        <w:rPr>
          <w:rFonts w:ascii="Verdana" w:eastAsia="Calibri" w:hAnsi="Verdana" w:cs="Arial"/>
          <w:b/>
          <w:color w:val="000000" w:themeColor="text1"/>
          <w:sz w:val="21"/>
          <w:szCs w:val="21"/>
          <w:lang w:val="es-ES_tradnl"/>
        </w:rPr>
        <w:t>) Revisión de precios por solicitud de cotizaciones:</w:t>
      </w:r>
      <w:r w:rsidR="006450B0" w:rsidRPr="006E7E70">
        <w:rPr>
          <w:rFonts w:ascii="Verdana" w:eastAsia="Calibri" w:hAnsi="Verdana" w:cs="Arial"/>
          <w:bCs/>
          <w:color w:val="000000" w:themeColor="text1"/>
          <w:sz w:val="21"/>
          <w:szCs w:val="21"/>
          <w:lang w:val="es-ES_tradnl"/>
        </w:rPr>
        <w:t xml:space="preserve"> requerir a los potenciales proveedores de los b</w:t>
      </w:r>
      <w:r w:rsidRPr="006E7E70">
        <w:rPr>
          <w:rFonts w:ascii="Verdana" w:eastAsia="Calibri" w:hAnsi="Verdana" w:cs="Arial"/>
          <w:bCs/>
          <w:color w:val="000000" w:themeColor="text1"/>
          <w:sz w:val="21"/>
          <w:szCs w:val="21"/>
          <w:lang w:val="es-ES_tradnl"/>
        </w:rPr>
        <w:t>i</w:t>
      </w:r>
      <w:r w:rsidR="006450B0" w:rsidRPr="006E7E70">
        <w:rPr>
          <w:rFonts w:ascii="Verdana" w:eastAsia="Calibri" w:hAnsi="Verdana" w:cs="Arial"/>
          <w:bCs/>
          <w:color w:val="000000" w:themeColor="text1"/>
          <w:sz w:val="21"/>
          <w:szCs w:val="21"/>
          <w:lang w:val="es-ES_tradnl"/>
        </w:rPr>
        <w:t xml:space="preserve">enes o servicios para que remitan la información necesaria para determinar. entre otros aspectos, el valor del servicio o del bien correspondiente. Para estos efectos, se </w:t>
      </w:r>
      <w:r w:rsidR="006450B0" w:rsidRPr="006E7E70">
        <w:rPr>
          <w:rFonts w:ascii="Verdana" w:eastAsia="Calibri" w:hAnsi="Verdana" w:cs="Arial"/>
          <w:bCs/>
          <w:color w:val="000000" w:themeColor="text1"/>
          <w:sz w:val="21"/>
          <w:szCs w:val="21"/>
          <w:lang w:val="es-ES_tradnl"/>
        </w:rPr>
        <w:lastRenderedPageBreak/>
        <w:t xml:space="preserve">sugiere incluir en la comunicación toda aquella información pertinente del contrato a ejecutar que permita a los potenciales proveedores estructurar una cotización integral y ajustada a las necesidades de la Entidad. como. por ejemplo, especificaciones técnicas del bien o servicio a contratar, plazo del contrato, as; como toda aquella información relevante que incida en el precio del bien o servicio. </w:t>
      </w:r>
    </w:p>
    <w:p w14:paraId="6DD0C4BF" w14:textId="7F650651" w:rsidR="006450B0" w:rsidRPr="006E7E70" w:rsidRDefault="006450B0" w:rsidP="006E7E70">
      <w:pPr>
        <w:spacing w:after="120" w:line="240" w:lineRule="auto"/>
        <w:ind w:left="709" w:right="709"/>
        <w:jc w:val="both"/>
        <w:rPr>
          <w:rFonts w:ascii="Verdana" w:eastAsia="Calibri" w:hAnsi="Verdana" w:cs="Arial"/>
          <w:bCs/>
          <w:color w:val="000000" w:themeColor="text1"/>
          <w:sz w:val="21"/>
          <w:szCs w:val="21"/>
          <w:lang w:val="es-ES_tradnl"/>
        </w:rPr>
      </w:pPr>
      <w:r w:rsidRPr="006E7E70">
        <w:rPr>
          <w:rFonts w:ascii="Verdana" w:eastAsia="Calibri" w:hAnsi="Verdana" w:cs="Arial"/>
          <w:bCs/>
          <w:color w:val="000000" w:themeColor="text1"/>
          <w:sz w:val="21"/>
          <w:szCs w:val="21"/>
          <w:lang w:val="es-ES_tradnl"/>
        </w:rPr>
        <w:t>2) Al re</w:t>
      </w:r>
      <w:r w:rsidR="00697BEE" w:rsidRPr="006E7E70">
        <w:rPr>
          <w:rFonts w:ascii="Verdana" w:eastAsia="Calibri" w:hAnsi="Verdana" w:cs="Arial"/>
          <w:bCs/>
          <w:color w:val="000000" w:themeColor="text1"/>
          <w:sz w:val="21"/>
          <w:szCs w:val="21"/>
          <w:lang w:val="es-ES_tradnl"/>
        </w:rPr>
        <w:t>ci</w:t>
      </w:r>
      <w:r w:rsidRPr="006E7E70">
        <w:rPr>
          <w:rFonts w:ascii="Verdana" w:eastAsia="Calibri" w:hAnsi="Verdana" w:cs="Arial"/>
          <w:bCs/>
          <w:color w:val="000000" w:themeColor="text1"/>
          <w:sz w:val="21"/>
          <w:szCs w:val="21"/>
          <w:lang w:val="es-ES_tradnl"/>
        </w:rPr>
        <w:t xml:space="preserve">bir las cotizaciones, debe verificarse </w:t>
      </w:r>
      <w:r w:rsidR="00697BEE" w:rsidRPr="006E7E70">
        <w:rPr>
          <w:rFonts w:ascii="Verdana" w:eastAsia="Calibri" w:hAnsi="Verdana" w:cs="Arial"/>
          <w:bCs/>
          <w:color w:val="000000" w:themeColor="text1"/>
          <w:sz w:val="21"/>
          <w:szCs w:val="21"/>
          <w:lang w:val="es-ES_tradnl"/>
        </w:rPr>
        <w:t>l</w:t>
      </w:r>
      <w:r w:rsidRPr="006E7E70">
        <w:rPr>
          <w:rFonts w:ascii="Verdana" w:eastAsia="Calibri" w:hAnsi="Verdana" w:cs="Arial"/>
          <w:bCs/>
          <w:color w:val="000000" w:themeColor="text1"/>
          <w:sz w:val="21"/>
          <w:szCs w:val="21"/>
          <w:lang w:val="es-ES_tradnl"/>
        </w:rPr>
        <w:t>a ocurrencia de circunstancias que eventualmente pueden distorsionar los precios del mercado</w:t>
      </w:r>
      <w:r w:rsidR="00697BEE" w:rsidRPr="006E7E70">
        <w:rPr>
          <w:rFonts w:ascii="Verdana" w:eastAsia="Calibri" w:hAnsi="Verdana" w:cs="Arial"/>
          <w:bCs/>
          <w:color w:val="000000" w:themeColor="text1"/>
          <w:sz w:val="21"/>
          <w:szCs w:val="21"/>
          <w:lang w:val="es-ES_tradnl"/>
        </w:rPr>
        <w:t>,</w:t>
      </w:r>
      <w:r w:rsidRPr="006E7E70">
        <w:rPr>
          <w:rFonts w:ascii="Verdana" w:eastAsia="Calibri" w:hAnsi="Verdana" w:cs="Arial"/>
          <w:bCs/>
          <w:color w:val="000000" w:themeColor="text1"/>
          <w:sz w:val="21"/>
          <w:szCs w:val="21"/>
          <w:lang w:val="es-ES_tradnl"/>
        </w:rPr>
        <w:t xml:space="preserve"> co</w:t>
      </w:r>
      <w:r w:rsidR="00697BEE" w:rsidRPr="006E7E70">
        <w:rPr>
          <w:rFonts w:ascii="Verdana" w:eastAsia="Calibri" w:hAnsi="Verdana" w:cs="Arial"/>
          <w:bCs/>
          <w:color w:val="000000" w:themeColor="text1"/>
          <w:sz w:val="21"/>
          <w:szCs w:val="21"/>
          <w:lang w:val="es-ES_tradnl"/>
        </w:rPr>
        <w:t>m</w:t>
      </w:r>
      <w:r w:rsidRPr="006E7E70">
        <w:rPr>
          <w:rFonts w:ascii="Verdana" w:eastAsia="Calibri" w:hAnsi="Verdana" w:cs="Arial"/>
          <w:bCs/>
          <w:color w:val="000000" w:themeColor="text1"/>
          <w:sz w:val="21"/>
          <w:szCs w:val="21"/>
          <w:lang w:val="es-ES_tradnl"/>
        </w:rPr>
        <w:t xml:space="preserve">o ofertas especiales de almacenes de </w:t>
      </w:r>
      <w:r w:rsidR="00697BEE" w:rsidRPr="006E7E70">
        <w:rPr>
          <w:rFonts w:ascii="Verdana" w:eastAsia="Calibri" w:hAnsi="Verdana" w:cs="Arial"/>
          <w:bCs/>
          <w:color w:val="000000" w:themeColor="text1"/>
          <w:sz w:val="21"/>
          <w:szCs w:val="21"/>
          <w:lang w:val="es-ES_tradnl"/>
        </w:rPr>
        <w:t>c</w:t>
      </w:r>
      <w:r w:rsidRPr="006E7E70">
        <w:rPr>
          <w:rFonts w:ascii="Verdana" w:eastAsia="Calibri" w:hAnsi="Verdana" w:cs="Arial"/>
          <w:bCs/>
          <w:color w:val="000000" w:themeColor="text1"/>
          <w:sz w:val="21"/>
          <w:szCs w:val="21"/>
          <w:lang w:val="es-ES_tradnl"/>
        </w:rPr>
        <w:t>adena, fenómenos de escasez o abundancia del producto</w:t>
      </w:r>
      <w:r w:rsidR="00697BEE" w:rsidRPr="006E7E70">
        <w:rPr>
          <w:rFonts w:ascii="Verdana" w:eastAsia="Calibri" w:hAnsi="Verdana" w:cs="Arial"/>
          <w:bCs/>
          <w:color w:val="000000" w:themeColor="text1"/>
          <w:sz w:val="21"/>
          <w:szCs w:val="21"/>
          <w:lang w:val="es-ES_tradnl"/>
        </w:rPr>
        <w:t>,</w:t>
      </w:r>
      <w:r w:rsidRPr="006E7E70">
        <w:rPr>
          <w:rFonts w:ascii="Verdana" w:eastAsia="Calibri" w:hAnsi="Verdana" w:cs="Arial"/>
          <w:bCs/>
          <w:color w:val="000000" w:themeColor="text1"/>
          <w:sz w:val="21"/>
          <w:szCs w:val="21"/>
          <w:lang w:val="es-ES_tradnl"/>
        </w:rPr>
        <w:t xml:space="preserve"> entre otros aspectos. </w:t>
      </w:r>
    </w:p>
    <w:p w14:paraId="7D18CCB1" w14:textId="566BE3CC" w:rsidR="006450B0" w:rsidRPr="006E7E70" w:rsidRDefault="006450B0" w:rsidP="006E7E70">
      <w:pPr>
        <w:spacing w:after="120" w:line="240" w:lineRule="auto"/>
        <w:ind w:left="709" w:right="709"/>
        <w:jc w:val="both"/>
        <w:rPr>
          <w:rFonts w:ascii="Verdana" w:eastAsia="Calibri" w:hAnsi="Verdana" w:cs="Arial"/>
          <w:color w:val="000000" w:themeColor="text1"/>
          <w:sz w:val="21"/>
          <w:szCs w:val="21"/>
          <w:lang w:val="es-ES"/>
        </w:rPr>
      </w:pPr>
      <w:r w:rsidRPr="006E7E70">
        <w:rPr>
          <w:rFonts w:ascii="Verdana" w:eastAsia="Calibri" w:hAnsi="Verdana" w:cs="Arial"/>
          <w:b/>
          <w:bCs/>
          <w:color w:val="000000" w:themeColor="text1"/>
          <w:sz w:val="21"/>
          <w:szCs w:val="21"/>
          <w:lang w:val="es-ES"/>
        </w:rPr>
        <w:t>3</w:t>
      </w:r>
      <w:r w:rsidR="00697BEE" w:rsidRPr="006E7E70">
        <w:rPr>
          <w:rFonts w:ascii="Verdana" w:eastAsia="Calibri" w:hAnsi="Verdana" w:cs="Arial"/>
          <w:b/>
          <w:bCs/>
          <w:color w:val="000000" w:themeColor="text1"/>
          <w:sz w:val="21"/>
          <w:szCs w:val="21"/>
          <w:lang w:val="es-ES"/>
        </w:rPr>
        <w:t>)</w:t>
      </w:r>
      <w:r w:rsidRPr="006E7E70">
        <w:rPr>
          <w:rFonts w:ascii="Verdana" w:eastAsia="Calibri" w:hAnsi="Verdana" w:cs="Arial"/>
          <w:color w:val="000000" w:themeColor="text1"/>
          <w:sz w:val="21"/>
          <w:szCs w:val="21"/>
          <w:lang w:val="es-ES"/>
        </w:rPr>
        <w:t xml:space="preserve"> </w:t>
      </w:r>
      <w:r w:rsidRPr="006E7E70">
        <w:rPr>
          <w:rFonts w:ascii="Verdana" w:eastAsia="Calibri" w:hAnsi="Verdana" w:cs="Arial"/>
          <w:b/>
          <w:bCs/>
          <w:color w:val="000000" w:themeColor="text1"/>
          <w:sz w:val="21"/>
          <w:szCs w:val="21"/>
          <w:lang w:val="es-ES"/>
        </w:rPr>
        <w:t>Revisión de bases de datos especializadas:</w:t>
      </w:r>
      <w:r w:rsidR="00697BEE" w:rsidRPr="006E7E70">
        <w:rPr>
          <w:rFonts w:ascii="Verdana" w:eastAsia="Calibri" w:hAnsi="Verdana" w:cs="Arial"/>
          <w:color w:val="000000" w:themeColor="text1"/>
          <w:sz w:val="21"/>
          <w:szCs w:val="21"/>
          <w:lang w:val="es-ES"/>
        </w:rPr>
        <w:t xml:space="preserve"> </w:t>
      </w:r>
      <w:r w:rsidRPr="006E7E70">
        <w:rPr>
          <w:rFonts w:ascii="Verdana" w:eastAsia="Calibri" w:hAnsi="Verdana" w:cs="Arial"/>
          <w:color w:val="000000" w:themeColor="text1"/>
          <w:sz w:val="21"/>
          <w:szCs w:val="21"/>
          <w:lang w:val="es-ES"/>
        </w:rPr>
        <w:t xml:space="preserve">se adelanta cuando por las condiciones del mercado del bien o servicio a contratar se </w:t>
      </w:r>
      <w:proofErr w:type="spellStart"/>
      <w:proofErr w:type="gramStart"/>
      <w:r w:rsidRPr="006E7E70">
        <w:rPr>
          <w:rFonts w:ascii="Verdana" w:eastAsia="Calibri" w:hAnsi="Verdana" w:cs="Arial"/>
          <w:color w:val="000000" w:themeColor="text1"/>
          <w:sz w:val="21"/>
          <w:szCs w:val="21"/>
          <w:lang w:val="es-ES"/>
        </w:rPr>
        <w:t>requiera,y</w:t>
      </w:r>
      <w:proofErr w:type="spellEnd"/>
      <w:proofErr w:type="gramEnd"/>
      <w:r w:rsidRPr="006E7E70">
        <w:rPr>
          <w:rFonts w:ascii="Verdana" w:eastAsia="Calibri" w:hAnsi="Verdana" w:cs="Arial"/>
          <w:color w:val="000000" w:themeColor="text1"/>
          <w:sz w:val="21"/>
          <w:szCs w:val="21"/>
          <w:lang w:val="es-ES"/>
        </w:rPr>
        <w:t xml:space="preserve"> el responsable deberá ciclar constancia de las consultas realizadas y de los precios que soportan su estudio. Las bases de datos consultadas deben ser especializadas v representativas en el mercado del bien o servicio a contratar. </w:t>
      </w:r>
    </w:p>
    <w:p w14:paraId="3B71A580" w14:textId="3324AD10" w:rsidR="006450B0" w:rsidRPr="006E7E70" w:rsidRDefault="006450B0" w:rsidP="006E7E70">
      <w:pPr>
        <w:spacing w:after="0" w:line="240" w:lineRule="auto"/>
        <w:ind w:left="709" w:right="709"/>
        <w:jc w:val="both"/>
        <w:rPr>
          <w:rFonts w:ascii="Verdana" w:eastAsia="Calibri" w:hAnsi="Verdana" w:cs="Arial"/>
          <w:bCs/>
          <w:color w:val="000000" w:themeColor="text1"/>
          <w:sz w:val="21"/>
          <w:szCs w:val="21"/>
          <w:lang w:val="es-ES_tradnl"/>
        </w:rPr>
      </w:pPr>
      <w:r w:rsidRPr="006E7E70">
        <w:rPr>
          <w:rFonts w:ascii="Verdana" w:eastAsia="Calibri" w:hAnsi="Verdana" w:cs="Arial"/>
          <w:b/>
          <w:color w:val="000000" w:themeColor="text1"/>
          <w:sz w:val="21"/>
          <w:szCs w:val="21"/>
          <w:lang w:val="es-ES_tradnl"/>
        </w:rPr>
        <w:t>4</w:t>
      </w:r>
      <w:r w:rsidR="00123E42" w:rsidRPr="006E7E70">
        <w:rPr>
          <w:rFonts w:ascii="Verdana" w:eastAsia="Calibri" w:hAnsi="Verdana" w:cs="Arial"/>
          <w:b/>
          <w:color w:val="000000" w:themeColor="text1"/>
          <w:sz w:val="21"/>
          <w:szCs w:val="21"/>
          <w:lang w:val="es-ES_tradnl"/>
        </w:rPr>
        <w:t>)</w:t>
      </w:r>
      <w:r w:rsidRPr="006E7E70">
        <w:rPr>
          <w:rFonts w:ascii="Verdana" w:eastAsia="Calibri" w:hAnsi="Verdana" w:cs="Arial"/>
          <w:b/>
          <w:color w:val="000000" w:themeColor="text1"/>
          <w:sz w:val="21"/>
          <w:szCs w:val="21"/>
          <w:lang w:val="es-ES_tradnl"/>
        </w:rPr>
        <w:t xml:space="preserve"> Revisión de precios históricos</w:t>
      </w:r>
      <w:r w:rsidRPr="006E7E70">
        <w:rPr>
          <w:rFonts w:ascii="Verdana" w:eastAsia="Calibri" w:hAnsi="Verdana" w:cs="Arial"/>
          <w:bCs/>
          <w:color w:val="000000" w:themeColor="text1"/>
          <w:sz w:val="21"/>
          <w:szCs w:val="21"/>
          <w:lang w:val="es-ES_tradnl"/>
        </w:rPr>
        <w:t xml:space="preserve"> para emplear el mecanismo se sugiere verificar la variación de los precios históricos derivados del </w:t>
      </w:r>
      <w:r w:rsidR="00123E42" w:rsidRPr="006E7E70">
        <w:rPr>
          <w:rFonts w:ascii="Verdana" w:eastAsia="Calibri" w:hAnsi="Verdana" w:cs="Arial"/>
          <w:bCs/>
          <w:color w:val="000000" w:themeColor="text1"/>
          <w:sz w:val="21"/>
          <w:szCs w:val="21"/>
          <w:lang w:val="es-ES_tradnl"/>
        </w:rPr>
        <w:t>índice</w:t>
      </w:r>
      <w:r w:rsidRPr="006E7E70">
        <w:rPr>
          <w:rFonts w:ascii="Verdana" w:eastAsia="Calibri" w:hAnsi="Verdana" w:cs="Arial"/>
          <w:bCs/>
          <w:color w:val="000000" w:themeColor="text1"/>
          <w:sz w:val="21"/>
          <w:szCs w:val="21"/>
          <w:lang w:val="es-ES_tradnl"/>
        </w:rPr>
        <w:t xml:space="preserve"> de precios al consumidor en cada año</w:t>
      </w:r>
      <w:r w:rsidR="00971AA2" w:rsidRPr="006E7E70">
        <w:rPr>
          <w:rFonts w:ascii="Verdana" w:eastAsia="Calibri" w:hAnsi="Verdana" w:cs="Arial"/>
          <w:bCs/>
          <w:color w:val="000000" w:themeColor="text1"/>
          <w:sz w:val="21"/>
          <w:szCs w:val="21"/>
          <w:lang w:val="es-ES_tradnl"/>
        </w:rPr>
        <w:t>,</w:t>
      </w:r>
      <w:r w:rsidRPr="006E7E70">
        <w:rPr>
          <w:rFonts w:ascii="Verdana" w:eastAsia="Calibri" w:hAnsi="Verdana" w:cs="Arial"/>
          <w:bCs/>
          <w:color w:val="000000" w:themeColor="text1"/>
          <w:sz w:val="21"/>
          <w:szCs w:val="21"/>
          <w:lang w:val="es-ES_tradnl"/>
        </w:rPr>
        <w:t xml:space="preserve"> examinando si se han presentado fenómenos económicos que hayan </w:t>
      </w:r>
      <w:r w:rsidR="00123E42" w:rsidRPr="006E7E70">
        <w:rPr>
          <w:rFonts w:ascii="Verdana" w:eastAsia="Calibri" w:hAnsi="Verdana" w:cs="Arial"/>
          <w:bCs/>
          <w:color w:val="000000" w:themeColor="text1"/>
          <w:sz w:val="21"/>
          <w:szCs w:val="21"/>
          <w:lang w:val="es-ES_tradnl"/>
        </w:rPr>
        <w:t>implicado</w:t>
      </w:r>
      <w:r w:rsidR="00EC6211" w:rsidRPr="006E7E70">
        <w:rPr>
          <w:rFonts w:ascii="Verdana" w:eastAsia="Calibri" w:hAnsi="Verdana" w:cs="Arial"/>
          <w:bCs/>
          <w:color w:val="000000" w:themeColor="text1"/>
          <w:sz w:val="21"/>
          <w:szCs w:val="21"/>
          <w:lang w:val="es-ES_tradnl"/>
        </w:rPr>
        <w:t xml:space="preserve"> fluctuaciones importantes en el comercio o servicio. Las características del bien o servicio de</w:t>
      </w:r>
      <w:r w:rsidR="00BC2BCC" w:rsidRPr="006E7E70">
        <w:rPr>
          <w:rFonts w:ascii="Verdana" w:eastAsia="Calibri" w:hAnsi="Verdana" w:cs="Arial"/>
          <w:bCs/>
          <w:color w:val="000000" w:themeColor="text1"/>
          <w:sz w:val="21"/>
          <w:szCs w:val="21"/>
          <w:lang w:val="es-ES_tradnl"/>
        </w:rPr>
        <w:t>ben ser las mismas entre una contratación</w:t>
      </w:r>
      <w:r w:rsidR="00035EDD" w:rsidRPr="006E7E70">
        <w:rPr>
          <w:rFonts w:ascii="Verdana" w:eastAsia="Calibri" w:hAnsi="Verdana" w:cs="Arial"/>
          <w:bCs/>
          <w:color w:val="000000" w:themeColor="text1"/>
          <w:sz w:val="21"/>
          <w:szCs w:val="21"/>
          <w:lang w:val="es-ES_tradnl"/>
        </w:rPr>
        <w:t>”</w:t>
      </w:r>
      <w:r w:rsidR="00BC2BCC" w:rsidRPr="006E7E70">
        <w:rPr>
          <w:rFonts w:ascii="Verdana" w:eastAsia="Calibri" w:hAnsi="Verdana" w:cs="Arial"/>
          <w:bCs/>
          <w:color w:val="000000" w:themeColor="text1"/>
          <w:sz w:val="21"/>
          <w:szCs w:val="21"/>
          <w:lang w:val="es-ES_tradnl"/>
        </w:rPr>
        <w:t xml:space="preserve">. </w:t>
      </w:r>
    </w:p>
    <w:p w14:paraId="33058B6F" w14:textId="2D397EF5" w:rsidR="00F96877" w:rsidRDefault="001C758F" w:rsidP="006C6FE3">
      <w:pPr>
        <w:spacing w:after="0"/>
        <w:jc w:val="both"/>
        <w:rPr>
          <w:rFonts w:ascii="Verdana" w:eastAsia="Calibri" w:hAnsi="Verdana" w:cs="Arial"/>
          <w:bCs/>
          <w:color w:val="000000" w:themeColor="text1"/>
          <w:lang w:val="es-ES_tradnl"/>
        </w:rPr>
      </w:pPr>
      <w:r>
        <w:rPr>
          <w:rFonts w:ascii="Verdana" w:eastAsia="Calibri" w:hAnsi="Verdana" w:cs="Arial"/>
          <w:bCs/>
          <w:color w:val="000000" w:themeColor="text1"/>
          <w:lang w:val="es-ES_tradnl"/>
        </w:rPr>
        <w:t xml:space="preserve"> </w:t>
      </w:r>
    </w:p>
    <w:p w14:paraId="2101D9D9" w14:textId="32B7AD9B" w:rsidR="008E2E78" w:rsidRPr="006C6FE3" w:rsidRDefault="00F96877" w:rsidP="006C6FE3">
      <w:pPr>
        <w:spacing w:line="276" w:lineRule="auto"/>
        <w:jc w:val="both"/>
        <w:rPr>
          <w:rStyle w:val="normaltextrun"/>
          <w:rFonts w:ascii="Verdana" w:hAnsi="Verdana" w:cs="Arial"/>
          <w:shd w:val="clear" w:color="auto" w:fill="FFFFFF"/>
          <w:lang w:val="es-ES"/>
        </w:rPr>
      </w:pPr>
      <w:r>
        <w:rPr>
          <w:rFonts w:ascii="Verdana" w:eastAsia="Calibri" w:hAnsi="Verdana" w:cs="Arial"/>
          <w:bCs/>
          <w:color w:val="000000" w:themeColor="text1"/>
          <w:lang w:val="es-ES_tradnl"/>
        </w:rPr>
        <w:tab/>
      </w:r>
      <w:r w:rsidRPr="006146CE">
        <w:rPr>
          <w:rFonts w:ascii="Verdana" w:eastAsia="Calibri" w:hAnsi="Verdana" w:cs="Arial"/>
          <w:bCs/>
          <w:color w:val="000000" w:themeColor="text1"/>
          <w:lang w:val="es-ES_tradnl"/>
        </w:rPr>
        <w:t>De acuerdo con lo señalado en la referida guía</w:t>
      </w:r>
      <w:r w:rsidR="00C115EC">
        <w:rPr>
          <w:rFonts w:ascii="Verdana" w:eastAsia="Calibri" w:hAnsi="Verdana" w:cs="Arial"/>
          <w:bCs/>
          <w:color w:val="000000" w:themeColor="text1"/>
          <w:lang w:val="es-ES_tradnl"/>
        </w:rPr>
        <w:t>,</w:t>
      </w:r>
      <w:r w:rsidRPr="006146CE">
        <w:rPr>
          <w:rFonts w:ascii="Verdana" w:eastAsia="Calibri" w:hAnsi="Verdana" w:cs="Arial"/>
          <w:bCs/>
          <w:color w:val="000000" w:themeColor="text1"/>
          <w:lang w:val="es-ES_tradnl"/>
        </w:rPr>
        <w:t xml:space="preserve"> las Entidades Estatales pueden hacer uso de cualquiera de estos mecanismos para determinar el valor del presupuesto oficial, independientemente de usa la modalidad de precios unitarios o precio global, siempre </w:t>
      </w:r>
      <w:r w:rsidR="001426AF" w:rsidRPr="006146CE">
        <w:rPr>
          <w:rFonts w:ascii="Verdana" w:eastAsia="Calibri" w:hAnsi="Verdana" w:cs="Arial"/>
          <w:bCs/>
          <w:color w:val="000000" w:themeColor="text1"/>
          <w:lang w:val="es-ES_tradnl"/>
        </w:rPr>
        <w:t>que prop</w:t>
      </w:r>
      <w:r w:rsidR="00831D95" w:rsidRPr="006146CE">
        <w:rPr>
          <w:rFonts w:ascii="Verdana" w:eastAsia="Calibri" w:hAnsi="Verdana" w:cs="Arial"/>
          <w:bCs/>
          <w:color w:val="000000" w:themeColor="text1"/>
          <w:lang w:val="es-ES_tradnl"/>
        </w:rPr>
        <w:t>enda por tener en cuenta todas la</w:t>
      </w:r>
      <w:r w:rsidR="00A6326D">
        <w:rPr>
          <w:rFonts w:ascii="Verdana" w:eastAsia="Calibri" w:hAnsi="Verdana" w:cs="Arial"/>
          <w:bCs/>
          <w:color w:val="000000" w:themeColor="text1"/>
          <w:lang w:val="es-ES_tradnl"/>
        </w:rPr>
        <w:t>s</w:t>
      </w:r>
      <w:r w:rsidR="00831D95" w:rsidRPr="006146CE">
        <w:rPr>
          <w:rFonts w:ascii="Verdana" w:eastAsia="Calibri" w:hAnsi="Verdana" w:cs="Arial"/>
          <w:bCs/>
          <w:color w:val="000000" w:themeColor="text1"/>
          <w:lang w:val="es-ES_tradnl"/>
        </w:rPr>
        <w:t xml:space="preserve"> variables que pueden incidir en</w:t>
      </w:r>
      <w:r w:rsidR="00BA0FDB" w:rsidRPr="006146CE">
        <w:rPr>
          <w:rFonts w:ascii="Verdana" w:eastAsia="Calibri" w:hAnsi="Verdana" w:cs="Arial"/>
          <w:bCs/>
          <w:color w:val="000000" w:themeColor="text1"/>
          <w:lang w:val="es-ES_tradnl"/>
        </w:rPr>
        <w:t xml:space="preserve"> </w:t>
      </w:r>
      <w:r w:rsidR="00BE1F9F" w:rsidRPr="006146CE">
        <w:rPr>
          <w:rFonts w:ascii="Verdana" w:eastAsia="Calibri" w:hAnsi="Verdana" w:cs="Arial"/>
          <w:bCs/>
          <w:color w:val="000000" w:themeColor="text1"/>
          <w:lang w:val="es-ES_tradnl"/>
        </w:rPr>
        <w:t>el precio, como, por ejemplo, vari</w:t>
      </w:r>
      <w:r w:rsidR="00BA0FDB" w:rsidRPr="006146CE">
        <w:rPr>
          <w:rFonts w:ascii="Verdana" w:eastAsia="Calibri" w:hAnsi="Verdana" w:cs="Arial"/>
          <w:bCs/>
          <w:color w:val="000000" w:themeColor="text1"/>
          <w:lang w:val="es-ES_tradnl"/>
        </w:rPr>
        <w:t>acio</w:t>
      </w:r>
      <w:r w:rsidR="00BE1F9F" w:rsidRPr="006146CE">
        <w:rPr>
          <w:rFonts w:ascii="Verdana" w:eastAsia="Calibri" w:hAnsi="Verdana" w:cs="Arial"/>
          <w:bCs/>
          <w:color w:val="000000" w:themeColor="text1"/>
          <w:lang w:val="es-ES_tradnl"/>
        </w:rPr>
        <w:t>nes en IPC,</w:t>
      </w:r>
      <w:r w:rsidR="00F7560A" w:rsidRPr="006146CE">
        <w:rPr>
          <w:rFonts w:ascii="Verdana" w:eastAsia="Calibri" w:hAnsi="Verdana" w:cs="Arial"/>
          <w:bCs/>
          <w:color w:val="000000" w:themeColor="text1"/>
          <w:lang w:val="es-ES_tradnl"/>
        </w:rPr>
        <w:t xml:space="preserve"> fluctuaciones de la tasa de cambio, </w:t>
      </w:r>
      <w:r w:rsidR="00D01B1C" w:rsidRPr="006146CE">
        <w:rPr>
          <w:rFonts w:ascii="Verdana" w:eastAsia="Calibri" w:hAnsi="Verdana" w:cs="Arial"/>
          <w:bCs/>
          <w:color w:val="000000" w:themeColor="text1"/>
          <w:lang w:val="es-ES_tradnl"/>
        </w:rPr>
        <w:t>valor de las materias primas, etc.</w:t>
      </w:r>
      <w:r w:rsidR="00EE69F2">
        <w:rPr>
          <w:rFonts w:ascii="Verdana" w:eastAsia="Calibri" w:hAnsi="Verdana" w:cs="Arial"/>
          <w:bCs/>
          <w:color w:val="000000" w:themeColor="text1"/>
          <w:lang w:val="es-ES_tradnl"/>
        </w:rPr>
        <w:t xml:space="preserve"> </w:t>
      </w:r>
      <w:r w:rsidR="008E2E78" w:rsidRPr="006146CE">
        <w:rPr>
          <w:rFonts w:ascii="Verdana" w:eastAsia="Calibri" w:hAnsi="Verdana" w:cs="Arial"/>
          <w:bCs/>
          <w:color w:val="000000" w:themeColor="text1"/>
          <w:lang w:val="es-ES_tradnl"/>
        </w:rPr>
        <w:t>De cualquier modo</w:t>
      </w:r>
      <w:r w:rsidR="007A120B" w:rsidRPr="006146CE">
        <w:rPr>
          <w:rFonts w:ascii="Verdana" w:eastAsia="Calibri" w:hAnsi="Verdana" w:cs="Arial"/>
          <w:bCs/>
          <w:color w:val="000000" w:themeColor="text1"/>
          <w:lang w:val="es-ES_tradnl"/>
        </w:rPr>
        <w:t xml:space="preserve">, </w:t>
      </w:r>
      <w:r w:rsidR="008E2E78" w:rsidRPr="006C6FE3">
        <w:rPr>
          <w:rStyle w:val="normaltextrun"/>
          <w:rFonts w:ascii="Verdana" w:hAnsi="Verdana" w:cs="Arial"/>
          <w:shd w:val="clear" w:color="auto" w:fill="FFFFFF"/>
          <w:lang w:val="es-ES"/>
        </w:rPr>
        <w:t xml:space="preserve">es importante que la Entidad al momento de adelantar el sondeo de mercado para estimar el precio global de un bien o servicio, suministre toda la información pertinente del alcance del bien o servicio a cotizar </w:t>
      </w:r>
      <w:r w:rsidR="00C115EC">
        <w:rPr>
          <w:rStyle w:val="normaltextrun"/>
          <w:rFonts w:ascii="Verdana" w:hAnsi="Verdana" w:cs="Arial"/>
          <w:shd w:val="clear" w:color="auto" w:fill="FFFFFF"/>
          <w:lang w:val="es-ES"/>
        </w:rPr>
        <w:t>–</w:t>
      </w:r>
      <w:r w:rsidR="008E2E78" w:rsidRPr="006C6FE3">
        <w:rPr>
          <w:rStyle w:val="normaltextrun"/>
          <w:rFonts w:ascii="Verdana" w:hAnsi="Verdana" w:cs="Arial"/>
          <w:shd w:val="clear" w:color="auto" w:fill="FFFFFF"/>
          <w:lang w:val="es-ES"/>
        </w:rPr>
        <w:t>especificaciones técnicas detalladas, plazo estimado, etc</w:t>
      </w:r>
      <w:r w:rsidR="00480B0D">
        <w:rPr>
          <w:rStyle w:val="normaltextrun"/>
          <w:rFonts w:ascii="Verdana" w:hAnsi="Verdana" w:cs="Arial"/>
          <w:shd w:val="clear" w:color="auto" w:fill="FFFFFF"/>
          <w:lang w:val="es-ES"/>
        </w:rPr>
        <w:t>.</w:t>
      </w:r>
      <w:r w:rsidR="006146CE" w:rsidRPr="006C6FE3">
        <w:rPr>
          <w:rStyle w:val="normaltextrun"/>
          <w:rFonts w:ascii="Verdana" w:hAnsi="Verdana" w:cs="Arial"/>
          <w:shd w:val="clear" w:color="auto" w:fill="FFFFFF"/>
          <w:lang w:val="es-ES"/>
        </w:rPr>
        <w:t>–</w:t>
      </w:r>
      <w:r w:rsidR="008E2E78" w:rsidRPr="006C6FE3">
        <w:rPr>
          <w:rStyle w:val="normaltextrun"/>
          <w:rFonts w:ascii="Verdana" w:hAnsi="Verdana" w:cs="Arial"/>
          <w:shd w:val="clear" w:color="auto" w:fill="FFFFFF"/>
          <w:lang w:val="es-ES"/>
        </w:rPr>
        <w:t xml:space="preserve"> </w:t>
      </w:r>
      <w:r w:rsidR="006146CE" w:rsidRPr="006C6FE3">
        <w:rPr>
          <w:rStyle w:val="normaltextrun"/>
          <w:rFonts w:ascii="Verdana" w:hAnsi="Verdana" w:cs="Arial"/>
          <w:shd w:val="clear" w:color="auto" w:fill="FFFFFF"/>
          <w:lang w:val="es-ES"/>
        </w:rPr>
        <w:t xml:space="preserve">de manera </w:t>
      </w:r>
      <w:r w:rsidR="008E2E78" w:rsidRPr="006C6FE3">
        <w:rPr>
          <w:rStyle w:val="normaltextrun"/>
          <w:rFonts w:ascii="Verdana" w:hAnsi="Verdana" w:cs="Arial"/>
          <w:shd w:val="clear" w:color="auto" w:fill="FFFFFF"/>
          <w:lang w:val="es-ES"/>
        </w:rPr>
        <w:t>que los potenciales proveedores</w:t>
      </w:r>
      <w:r w:rsidR="006146CE" w:rsidRPr="006C6FE3">
        <w:rPr>
          <w:rStyle w:val="normaltextrun"/>
          <w:rFonts w:ascii="Verdana" w:hAnsi="Verdana" w:cs="Arial"/>
          <w:shd w:val="clear" w:color="auto" w:fill="FFFFFF"/>
          <w:lang w:val="es-ES"/>
        </w:rPr>
        <w:t xml:space="preserve"> </w:t>
      </w:r>
      <w:r w:rsidR="006146CE" w:rsidRPr="006146CE">
        <w:rPr>
          <w:rStyle w:val="normaltextrun"/>
          <w:rFonts w:ascii="Verdana" w:hAnsi="Verdana" w:cs="Arial"/>
          <w:shd w:val="clear" w:color="auto" w:fill="FFFFFF"/>
          <w:lang w:val="es-ES"/>
        </w:rPr>
        <w:t>puedan estructurar</w:t>
      </w:r>
      <w:r w:rsidR="008E2E78" w:rsidRPr="006C6FE3">
        <w:rPr>
          <w:rStyle w:val="normaltextrun"/>
          <w:rFonts w:ascii="Verdana" w:hAnsi="Verdana" w:cs="Arial"/>
          <w:shd w:val="clear" w:color="auto" w:fill="FFFFFF"/>
          <w:lang w:val="es-ES"/>
        </w:rPr>
        <w:t xml:space="preserve"> una cotización integral y acertada, conforme con las necesidades de la Entidad. Por otro lado, si la metodología a utilizar es la revisión de bases de datos especializadas, la Entidad deberá validar si el alcance de los precios de referencia obtenidos en la base de datos consultada se corresponde con el alcance del proceso que está estructurando, para determinar si es viable o no su utilización de cara a definir un precio global.</w:t>
      </w:r>
    </w:p>
    <w:p w14:paraId="2C97E29A" w14:textId="4BF986FB" w:rsidR="004C7228" w:rsidRPr="006C6FE3" w:rsidRDefault="00BE1F9F" w:rsidP="006C6FE3">
      <w:pPr>
        <w:spacing w:after="120" w:line="276" w:lineRule="auto"/>
        <w:ind w:firstLine="709"/>
        <w:jc w:val="both"/>
        <w:rPr>
          <w:rFonts w:ascii="Verdana" w:eastAsia="Calibri" w:hAnsi="Verdana" w:cs="Arial"/>
          <w:color w:val="000000" w:themeColor="text1"/>
          <w:lang w:val="es-ES_tradnl"/>
        </w:rPr>
      </w:pPr>
      <w:r>
        <w:rPr>
          <w:rFonts w:ascii="Verdana" w:eastAsia="Calibri" w:hAnsi="Verdana" w:cs="Arial"/>
          <w:bCs/>
          <w:color w:val="000000" w:themeColor="text1"/>
          <w:lang w:val="es-ES_tradnl"/>
        </w:rPr>
        <w:lastRenderedPageBreak/>
        <w:t xml:space="preserve"> </w:t>
      </w:r>
      <w:r w:rsidR="004C7228" w:rsidRPr="006C6FE3">
        <w:rPr>
          <w:rFonts w:ascii="Verdana" w:eastAsia="Calibri" w:hAnsi="Verdana" w:cs="Arial"/>
          <w:color w:val="000000" w:themeColor="text1"/>
          <w:lang w:val="es-ES_tradnl"/>
        </w:rPr>
        <w:t xml:space="preserve">Para la consulta de información de procesos de adquisición históricos se puede acceder a plataformas de información como datos abiertos. Para usuarios no familiarizados con el manejo de bases de datos, se recomienda hacer uso de las herramientas de visualización desarrolladas en el marco del modelo de abastecimiento estratégico, las cuales reflejan y procesan la información que reposa en datos abiertos, proveniente del Sistema Electrónico de Contratación Pública SECOP </w:t>
      </w:r>
      <w:r w:rsidR="00124B7A" w:rsidRPr="006C6FE3">
        <w:rPr>
          <w:rFonts w:ascii="Verdana" w:eastAsia="Calibri" w:hAnsi="Verdana" w:cs="Arial"/>
          <w:bCs/>
          <w:color w:val="000000" w:themeColor="text1"/>
          <w:lang w:val="es-ES_tradnl"/>
        </w:rPr>
        <w:t>I</w:t>
      </w:r>
      <w:r w:rsidR="004C7228" w:rsidRPr="006C6FE3">
        <w:rPr>
          <w:rFonts w:ascii="Verdana" w:eastAsia="Calibri" w:hAnsi="Verdana" w:cs="Arial"/>
          <w:color w:val="000000" w:themeColor="text1"/>
          <w:lang w:val="es-ES_tradnl"/>
        </w:rPr>
        <w:t xml:space="preserve">, SECOP </w:t>
      </w:r>
      <w:r w:rsidR="00124B7A" w:rsidRPr="006C6FE3">
        <w:rPr>
          <w:rFonts w:ascii="Verdana" w:eastAsia="Calibri" w:hAnsi="Verdana" w:cs="Arial"/>
          <w:bCs/>
          <w:color w:val="000000" w:themeColor="text1"/>
          <w:lang w:val="es-ES_tradnl"/>
        </w:rPr>
        <w:t>II</w:t>
      </w:r>
      <w:r w:rsidR="004C7228" w:rsidRPr="006C6FE3">
        <w:rPr>
          <w:rFonts w:ascii="Verdana" w:eastAsia="Calibri" w:hAnsi="Verdana" w:cs="Arial"/>
          <w:color w:val="000000" w:themeColor="text1"/>
          <w:lang w:val="es-ES_tradnl"/>
        </w:rPr>
        <w:t xml:space="preserve"> y TVEC. Mediante estas herramientas la Entidad Estatal puede observar, las modalidades de contratación utilizadas, el gasto mensual y anual, la cantidad de contratos celebrados en la plataforma del SECOP, los valores totales estimados por categoría del gasto, las tablas comparativas de comportamientos del gasto, los valores contractuales por proveedores y su origen, entre otros aspectos. </w:t>
      </w:r>
    </w:p>
    <w:p w14:paraId="28F471B5" w14:textId="77777777" w:rsidR="004609EA" w:rsidRDefault="004C7228" w:rsidP="002C44D1">
      <w:pPr>
        <w:widowControl w:val="0"/>
        <w:autoSpaceDE w:val="0"/>
        <w:autoSpaceDN w:val="0"/>
        <w:spacing w:after="120" w:line="276" w:lineRule="auto"/>
        <w:ind w:firstLine="709"/>
        <w:jc w:val="both"/>
        <w:rPr>
          <w:rFonts w:ascii="Verdana" w:hAnsi="Verdana" w:cs="Arial"/>
        </w:rPr>
      </w:pPr>
      <w:r w:rsidRPr="006759B0">
        <w:rPr>
          <w:rFonts w:ascii="Verdana" w:hAnsi="Verdana" w:cs="Arial"/>
        </w:rPr>
        <w:t xml:space="preserve">Sin perjuicio de lo anterior debe advertirse que </w:t>
      </w:r>
      <w:r>
        <w:rPr>
          <w:rFonts w:ascii="Verdana" w:hAnsi="Verdana" w:cs="Arial"/>
        </w:rPr>
        <w:t>el análisis</w:t>
      </w:r>
      <w:r w:rsidRPr="006759B0">
        <w:rPr>
          <w:rFonts w:ascii="Verdana" w:hAnsi="Verdana" w:cs="Arial"/>
        </w:rPr>
        <w:t xml:space="preserve"> requerid</w:t>
      </w:r>
      <w:r>
        <w:rPr>
          <w:rFonts w:ascii="Verdana" w:hAnsi="Verdana" w:cs="Arial"/>
        </w:rPr>
        <w:t>o</w:t>
      </w:r>
      <w:r w:rsidRPr="006759B0">
        <w:rPr>
          <w:rFonts w:ascii="Verdana" w:hAnsi="Verdana" w:cs="Arial"/>
        </w:rPr>
        <w:t xml:space="preserve"> para</w:t>
      </w:r>
      <w:r>
        <w:rPr>
          <w:rFonts w:ascii="Verdana" w:hAnsi="Verdana" w:cs="Arial"/>
        </w:rPr>
        <w:t xml:space="preserve"> estimar el valor del contrato en los estudios y documentos previos </w:t>
      </w:r>
      <w:r w:rsidRPr="006759B0">
        <w:rPr>
          <w:rFonts w:ascii="Verdana" w:hAnsi="Verdana" w:cs="Arial"/>
        </w:rPr>
        <w:t xml:space="preserve">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 xml:space="preserve">consulta.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p>
    <w:p w14:paraId="17E34B32" w14:textId="77777777" w:rsidR="004C7228" w:rsidRPr="008A4AEC" w:rsidRDefault="004C7228" w:rsidP="006C6FE3">
      <w:pPr>
        <w:widowControl w:val="0"/>
        <w:autoSpaceDE w:val="0"/>
        <w:autoSpaceDN w:val="0"/>
        <w:spacing w:after="120" w:line="276" w:lineRule="auto"/>
        <w:ind w:firstLine="709"/>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la metodología para estimar el valor del negocio en los estudios previos, de acuerdo con el objeto, el alcance y las obligaciones del contrato</w:t>
      </w:r>
      <w:r w:rsidRPr="001E3FCB">
        <w:rPr>
          <w:rFonts w:ascii="Verdana" w:hAnsi="Verdana" w:cs="Arial"/>
        </w:rPr>
        <w:t>.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05C87105" w14:textId="77777777" w:rsidR="004C7228" w:rsidRPr="00593A5F" w:rsidRDefault="004C7228" w:rsidP="004C7228">
      <w:pPr>
        <w:widowControl w:val="0"/>
        <w:autoSpaceDE w:val="0"/>
        <w:autoSpaceDN w:val="0"/>
        <w:spacing w:after="0" w:line="276" w:lineRule="auto"/>
        <w:jc w:val="both"/>
        <w:rPr>
          <w:rFonts w:ascii="Verdana" w:hAnsi="Verdana" w:cs="Arial"/>
        </w:rPr>
      </w:pPr>
    </w:p>
    <w:p w14:paraId="75A4749A" w14:textId="77777777" w:rsidR="004C7228" w:rsidRPr="00593A5F" w:rsidRDefault="004C7228" w:rsidP="004C72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411A2318" w14:textId="77777777" w:rsidR="004C7228" w:rsidRPr="00593A5F" w:rsidRDefault="004C7228" w:rsidP="004C7228">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C7228" w:rsidRPr="002407CE" w14:paraId="3FC4FE5E" w14:textId="77777777" w:rsidTr="007A5438">
        <w:trPr>
          <w:trHeight w:val="870"/>
          <w:jc w:val="center"/>
        </w:trPr>
        <w:tc>
          <w:tcPr>
            <w:tcW w:w="8647" w:type="dxa"/>
          </w:tcPr>
          <w:p w14:paraId="22C11FF8" w14:textId="77777777" w:rsidR="004C7228" w:rsidRPr="00EA612E" w:rsidRDefault="004C7228" w:rsidP="004C7228">
            <w:pPr>
              <w:pStyle w:val="Prrafodelista"/>
              <w:widowControl w:val="0"/>
              <w:numPr>
                <w:ilvl w:val="0"/>
                <w:numId w:val="17"/>
              </w:numPr>
              <w:autoSpaceDE w:val="0"/>
              <w:autoSpaceDN w:val="0"/>
              <w:spacing w:after="120" w:line="276" w:lineRule="auto"/>
              <w:jc w:val="both"/>
              <w:rPr>
                <w:rFonts w:ascii="Verdana" w:hAnsi="Verdana" w:cs="Arial"/>
              </w:rPr>
            </w:pPr>
            <w:r w:rsidRPr="00EA612E">
              <w:rPr>
                <w:rFonts w:ascii="Verdana" w:hAnsi="Verdana" w:cs="Arial"/>
              </w:rPr>
              <w:t>Ley</w:t>
            </w:r>
            <w:r>
              <w:rPr>
                <w:rFonts w:ascii="Verdana" w:hAnsi="Verdana" w:cs="Arial"/>
              </w:rPr>
              <w:t xml:space="preserve"> 80 de 1993</w:t>
            </w:r>
            <w:r w:rsidRPr="00EA612E">
              <w:rPr>
                <w:rFonts w:ascii="Verdana" w:hAnsi="Verdana" w:cs="Arial"/>
              </w:rPr>
              <w:t xml:space="preserve">, artículo </w:t>
            </w:r>
            <w:r>
              <w:rPr>
                <w:rFonts w:ascii="Verdana" w:hAnsi="Verdana" w:cs="Arial"/>
              </w:rPr>
              <w:t>25</w:t>
            </w:r>
            <w:r w:rsidRPr="00EA612E">
              <w:rPr>
                <w:rFonts w:ascii="Verdana" w:hAnsi="Verdana" w:cs="Arial"/>
              </w:rPr>
              <w:t xml:space="preserve">. </w:t>
            </w:r>
          </w:p>
          <w:p w14:paraId="65F4352C" w14:textId="77777777" w:rsidR="004C7228" w:rsidRPr="00EA612E" w:rsidRDefault="004C7228" w:rsidP="007A5438">
            <w:pPr>
              <w:pStyle w:val="Prrafodelista"/>
              <w:widowControl w:val="0"/>
              <w:autoSpaceDE w:val="0"/>
              <w:autoSpaceDN w:val="0"/>
              <w:spacing w:after="120" w:line="276" w:lineRule="auto"/>
              <w:jc w:val="both"/>
              <w:rPr>
                <w:rFonts w:ascii="Verdana" w:hAnsi="Verdana" w:cs="Arial"/>
                <w:sz w:val="12"/>
                <w:szCs w:val="12"/>
              </w:rPr>
            </w:pPr>
          </w:p>
          <w:p w14:paraId="64A8CF25" w14:textId="77777777" w:rsidR="004C7228" w:rsidRDefault="004C7228" w:rsidP="004C7228">
            <w:pPr>
              <w:pStyle w:val="Prrafodelista"/>
              <w:widowControl w:val="0"/>
              <w:numPr>
                <w:ilvl w:val="0"/>
                <w:numId w:val="17"/>
              </w:numPr>
              <w:autoSpaceDE w:val="0"/>
              <w:autoSpaceDN w:val="0"/>
              <w:spacing w:line="276" w:lineRule="auto"/>
              <w:contextualSpacing w:val="0"/>
              <w:jc w:val="both"/>
              <w:rPr>
                <w:rFonts w:ascii="Verdana" w:hAnsi="Verdana" w:cs="Arial"/>
              </w:rPr>
            </w:pPr>
            <w:r>
              <w:rPr>
                <w:rFonts w:ascii="Verdana" w:hAnsi="Verdana" w:cs="Arial"/>
              </w:rPr>
              <w:t>Decreto 1082 de 2015</w:t>
            </w:r>
            <w:r w:rsidRPr="00EA612E">
              <w:rPr>
                <w:rFonts w:ascii="Verdana" w:hAnsi="Verdana" w:cs="Arial"/>
              </w:rPr>
              <w:t>, artículo</w:t>
            </w:r>
            <w:r>
              <w:rPr>
                <w:rFonts w:ascii="Verdana" w:hAnsi="Verdana" w:cs="Arial"/>
              </w:rPr>
              <w:t xml:space="preserve">s </w:t>
            </w:r>
            <w:r w:rsidRPr="00DA57BA">
              <w:rPr>
                <w:rFonts w:ascii="Verdana" w:hAnsi="Verdana" w:cs="Arial"/>
                <w:color w:val="000000" w:themeColor="text1"/>
              </w:rPr>
              <w:t>2.2.1.1.2.1.1</w:t>
            </w:r>
            <w:r>
              <w:rPr>
                <w:rFonts w:ascii="Verdana" w:hAnsi="Verdana" w:cs="Arial"/>
                <w:color w:val="000000" w:themeColor="text1"/>
              </w:rPr>
              <w:t xml:space="preserve"> y </w:t>
            </w:r>
            <w:r w:rsidRPr="005920DC">
              <w:rPr>
                <w:rFonts w:ascii="Verdana" w:hAnsi="Verdana" w:cs="Arial"/>
                <w:color w:val="000000" w:themeColor="text1"/>
              </w:rPr>
              <w:t>2.2.1.1.1.6.1</w:t>
            </w:r>
            <w:r w:rsidRPr="00EA612E">
              <w:rPr>
                <w:rFonts w:ascii="Verdana" w:hAnsi="Verdana" w:cs="Arial"/>
              </w:rPr>
              <w:t>.</w:t>
            </w:r>
          </w:p>
          <w:p w14:paraId="3B1FA971" w14:textId="77777777" w:rsidR="004C7228" w:rsidRPr="005920DC" w:rsidRDefault="004C7228" w:rsidP="007A5438">
            <w:pPr>
              <w:pStyle w:val="Prrafodelista"/>
              <w:rPr>
                <w:rFonts w:ascii="Verdana" w:hAnsi="Verdana" w:cs="Arial"/>
              </w:rPr>
            </w:pPr>
          </w:p>
          <w:p w14:paraId="48B41636" w14:textId="77777777" w:rsidR="004C7228" w:rsidRPr="005920DC" w:rsidRDefault="004C7228" w:rsidP="004C7228">
            <w:pPr>
              <w:pStyle w:val="Prrafodelista"/>
              <w:widowControl w:val="0"/>
              <w:numPr>
                <w:ilvl w:val="0"/>
                <w:numId w:val="17"/>
              </w:numPr>
              <w:autoSpaceDE w:val="0"/>
              <w:autoSpaceDN w:val="0"/>
              <w:spacing w:line="276" w:lineRule="auto"/>
              <w:contextualSpacing w:val="0"/>
              <w:jc w:val="both"/>
              <w:rPr>
                <w:rFonts w:ascii="Verdana" w:hAnsi="Verdana" w:cs="Arial"/>
              </w:rPr>
            </w:pPr>
            <w:r w:rsidRPr="005920DC">
              <w:rPr>
                <w:rFonts w:ascii="Verdana" w:hAnsi="Verdana" w:cs="Arial"/>
              </w:rPr>
              <w:t>“Guía para la Elaboración de Estudios del Sector” expedid</w:t>
            </w:r>
            <w:r>
              <w:rPr>
                <w:rFonts w:ascii="Verdana" w:hAnsi="Verdana" w:cs="Arial"/>
              </w:rPr>
              <w:t>a</w:t>
            </w:r>
            <w:r w:rsidRPr="005920DC">
              <w:rPr>
                <w:rFonts w:ascii="Verdana" w:hAnsi="Verdana" w:cs="Arial"/>
              </w:rPr>
              <w:t xml:space="preserve"> por la ANCP</w:t>
            </w:r>
            <w:r>
              <w:rPr>
                <w:rFonts w:ascii="Verdana" w:hAnsi="Verdana" w:cs="Arial"/>
              </w:rPr>
              <w:t xml:space="preserve"> – </w:t>
            </w:r>
            <w:r w:rsidRPr="005920DC">
              <w:rPr>
                <w:rFonts w:ascii="Verdana" w:hAnsi="Verdana" w:cs="Arial"/>
              </w:rPr>
              <w:t xml:space="preserve">CCE. Disponible en: </w:t>
            </w:r>
            <w:hyperlink r:id="rId13" w:history="1">
              <w:r w:rsidRPr="00CE34CF">
                <w:rPr>
                  <w:rStyle w:val="Hipervnculo"/>
                  <w:rFonts w:ascii="Verdana" w:hAnsi="Verdana" w:cs="Arial"/>
                </w:rPr>
                <w:t>https://www.colombiacompra.gov.co/sites/cce_public/files/cce_documentos/cce-eicp-gi-18._gees_v.2_2.pdf</w:t>
              </w:r>
            </w:hyperlink>
            <w:r>
              <w:rPr>
                <w:rFonts w:ascii="Verdana" w:hAnsi="Verdana" w:cs="Arial"/>
              </w:rPr>
              <w:t xml:space="preserve">. </w:t>
            </w:r>
            <w:r w:rsidRPr="005920DC">
              <w:rPr>
                <w:rFonts w:ascii="Verdana" w:hAnsi="Verdana" w:cs="Arial"/>
              </w:rPr>
              <w:t xml:space="preserve">   </w:t>
            </w:r>
          </w:p>
        </w:tc>
      </w:tr>
    </w:tbl>
    <w:p w14:paraId="035F3372" w14:textId="77777777" w:rsidR="004C7228" w:rsidRPr="002407CE" w:rsidRDefault="004C7228" w:rsidP="004C7228">
      <w:pPr>
        <w:widowControl w:val="0"/>
        <w:autoSpaceDE w:val="0"/>
        <w:autoSpaceDN w:val="0"/>
        <w:spacing w:after="0" w:line="276" w:lineRule="auto"/>
        <w:jc w:val="both"/>
        <w:rPr>
          <w:rFonts w:ascii="Verdana" w:hAnsi="Verdana" w:cs="Arial"/>
        </w:rPr>
      </w:pPr>
    </w:p>
    <w:p w14:paraId="764540FA" w14:textId="77777777" w:rsidR="004C7228" w:rsidRPr="00593A5F" w:rsidRDefault="004C7228" w:rsidP="004C72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9DAA93C" w14:textId="77777777" w:rsidR="004C7228" w:rsidRPr="00593A5F" w:rsidRDefault="004C7228" w:rsidP="004C7228">
      <w:pPr>
        <w:widowControl w:val="0"/>
        <w:autoSpaceDE w:val="0"/>
        <w:autoSpaceDN w:val="0"/>
        <w:spacing w:after="0" w:line="276" w:lineRule="auto"/>
        <w:jc w:val="both"/>
        <w:rPr>
          <w:rFonts w:ascii="Verdana" w:hAnsi="Verdana" w:cs="Arial"/>
        </w:rPr>
      </w:pPr>
    </w:p>
    <w:p w14:paraId="349B4AB9" w14:textId="77777777" w:rsidR="004C7228" w:rsidRDefault="004C7228" w:rsidP="004C722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el </w:t>
      </w:r>
      <w:r>
        <w:rPr>
          <w:rStyle w:val="normaltextrun"/>
          <w:rFonts w:ascii="Verdana" w:hAnsi="Verdana" w:cs="Arial"/>
          <w:shd w:val="clear" w:color="auto" w:fill="FFFFFF"/>
          <w:lang w:val="es-ES"/>
        </w:rPr>
        <w:t>contenido de los estudios previos</w:t>
      </w:r>
      <w:r w:rsidRPr="00DD781E">
        <w:rPr>
          <w:rStyle w:val="normaltextrun"/>
          <w:rFonts w:ascii="Verdana" w:hAnsi="Verdana" w:cs="Arial"/>
          <w:shd w:val="clear" w:color="auto" w:fill="FFFFFF"/>
          <w:lang w:val="es-ES"/>
        </w:rPr>
        <w:t xml:space="preserve"> en los Conceptos</w:t>
      </w:r>
      <w:r>
        <w:rPr>
          <w:rStyle w:val="normaltextrun"/>
          <w:rFonts w:ascii="Verdana" w:hAnsi="Verdana" w:cs="Arial"/>
          <w:shd w:val="clear" w:color="auto" w:fill="FFFFFF"/>
          <w:lang w:val="es-ES"/>
        </w:rPr>
        <w:t xml:space="preserve"> </w:t>
      </w:r>
      <w:r w:rsidRPr="00F319D3">
        <w:rPr>
          <w:rStyle w:val="normaltextrun"/>
          <w:rFonts w:ascii="Verdana" w:hAnsi="Verdana" w:cs="Arial"/>
          <w:shd w:val="clear" w:color="auto" w:fill="FFFFFF"/>
          <w:lang w:val="es-ES"/>
        </w:rPr>
        <w:t>2202013000000037 del 7 de enero de 2020, C-223 del 29 de abril de 2020</w:t>
      </w:r>
      <w:r>
        <w:rPr>
          <w:rStyle w:val="normaltextrun"/>
          <w:rFonts w:ascii="Verdana" w:hAnsi="Verdana" w:cs="Arial"/>
          <w:shd w:val="clear" w:color="auto" w:fill="FFFFFF"/>
          <w:lang w:val="es-ES"/>
        </w:rPr>
        <w:t xml:space="preserve">, </w:t>
      </w:r>
      <w:r w:rsidRPr="00F319D3">
        <w:rPr>
          <w:rStyle w:val="normaltextrun"/>
          <w:rFonts w:ascii="Verdana" w:hAnsi="Verdana" w:cs="Arial"/>
          <w:shd w:val="clear" w:color="auto" w:fill="FFFFFF"/>
          <w:lang w:val="es-ES"/>
        </w:rPr>
        <w:t>C-387 del 23 de junio de 2020, C-415 del 7 de julio de 2020, C-443 del 7 de julio de 2020, C-387 del 23 de junio de 2020, C-223 del 29 de abril de 2020, C-671 de 2020 de 23 de noviembre de 2020, C-215 del 12 de mayo de 2021, C-742 del 27 de diciembre de 2021, C-519 del 13 de septiembre de 2022, C-716 del 15 de noviembre de 2022, C-856 del 13 de diciembre de 2022,</w:t>
      </w:r>
      <w:r>
        <w:rPr>
          <w:rStyle w:val="normaltextrun"/>
          <w:rFonts w:ascii="Verdana" w:hAnsi="Verdana" w:cs="Arial"/>
          <w:shd w:val="clear" w:color="auto" w:fill="FFFFFF"/>
          <w:lang w:val="es-ES"/>
        </w:rPr>
        <w:t xml:space="preserve"> </w:t>
      </w:r>
      <w:r w:rsidRPr="00F319D3">
        <w:rPr>
          <w:rStyle w:val="normaltextrun"/>
          <w:rFonts w:ascii="Verdana" w:hAnsi="Verdana" w:cs="Arial"/>
          <w:shd w:val="clear" w:color="auto" w:fill="FFFFFF"/>
          <w:lang w:val="es-ES"/>
        </w:rPr>
        <w:t>C-235 del 5 de julio de 2023</w:t>
      </w:r>
      <w:r>
        <w:rPr>
          <w:rStyle w:val="normaltextrun"/>
          <w:rFonts w:ascii="Verdana" w:hAnsi="Verdana" w:cs="Arial"/>
          <w:shd w:val="clear" w:color="auto" w:fill="FFFFFF"/>
          <w:lang w:val="es-ES"/>
        </w:rPr>
        <w:t xml:space="preserve"> y C-386 del 5 de septiembre de 2024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4"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448E7293" w14:textId="77777777" w:rsidR="004C7228" w:rsidRDefault="004C7228" w:rsidP="004C722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EF8A8E8" w14:textId="50B178E5" w:rsidR="004C7228" w:rsidRPr="00593A5F" w:rsidRDefault="00162730" w:rsidP="004C7228">
      <w:pPr>
        <w:widowControl w:val="0"/>
        <w:autoSpaceDE w:val="0"/>
        <w:autoSpaceDN w:val="0"/>
        <w:spacing w:after="0" w:line="276" w:lineRule="auto"/>
        <w:jc w:val="both"/>
        <w:rPr>
          <w:rFonts w:ascii="Verdana" w:hAnsi="Verdana" w:cs="Arial"/>
        </w:rPr>
      </w:pPr>
      <w:r w:rsidRPr="00162730">
        <w:rPr>
          <w:rFonts w:ascii="Verdana" w:hAnsi="Verdana" w:cs="Arial"/>
          <w:color w:val="000000" w:themeColor="text1"/>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162730">
          <w:rPr>
            <w:rStyle w:val="Hipervnculo"/>
            <w:rFonts w:ascii="Verdana" w:hAnsi="Verdana" w:cs="Arial"/>
            <w:shd w:val="clear" w:color="auto" w:fill="FFFFFF"/>
          </w:rPr>
          <w:t>BOLETÍN DE RELATORÍA 2024 – IV | Colombia Compra Eficiente | Agencia Nacional de Contratación Pública</w:t>
        </w:r>
      </w:hyperlink>
    </w:p>
    <w:p w14:paraId="14748E25" w14:textId="77777777" w:rsidR="004C7228" w:rsidRPr="00593A5F" w:rsidRDefault="004C7228" w:rsidP="004C722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67DEE51" w14:textId="77777777" w:rsidR="004C7228" w:rsidRPr="00593A5F" w:rsidRDefault="004C7228" w:rsidP="004C7228">
      <w:pPr>
        <w:widowControl w:val="0"/>
        <w:autoSpaceDE w:val="0"/>
        <w:autoSpaceDN w:val="0"/>
        <w:spacing w:after="0" w:line="276" w:lineRule="auto"/>
        <w:jc w:val="both"/>
        <w:rPr>
          <w:rFonts w:ascii="Verdana" w:hAnsi="Verdana" w:cs="Arial"/>
        </w:rPr>
      </w:pPr>
    </w:p>
    <w:p w14:paraId="382C8134" w14:textId="77777777" w:rsidR="004C7228" w:rsidRPr="00593A5F" w:rsidRDefault="004C7228" w:rsidP="004C722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E657153" w14:textId="457F8305" w:rsidR="004C7228" w:rsidRPr="00593A5F" w:rsidRDefault="003A3DA9" w:rsidP="004C7228">
      <w:pPr>
        <w:spacing w:line="276" w:lineRule="auto"/>
        <w:jc w:val="center"/>
        <w:rPr>
          <w:rFonts w:ascii="Verdana" w:hAnsi="Verdana" w:cs="Arial"/>
          <w:color w:val="000000"/>
          <w:lang w:val="es-ES_tradnl" w:eastAsia="es-CO"/>
        </w:rPr>
      </w:pPr>
      <w:r>
        <w:rPr>
          <w:noProof/>
        </w:rPr>
        <w:lastRenderedPageBreak/>
        <w:drawing>
          <wp:inline distT="0" distB="0" distL="0" distR="0" wp14:anchorId="47D22D5C" wp14:editId="6522F464">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5441"/>
      </w:tblGrid>
      <w:tr w:rsidR="004C7228" w:rsidRPr="00593A5F" w14:paraId="39AD378E" w14:textId="77777777" w:rsidTr="007A5438">
        <w:trPr>
          <w:trHeight w:val="315"/>
        </w:trPr>
        <w:tc>
          <w:tcPr>
            <w:tcW w:w="893" w:type="dxa"/>
            <w:vAlign w:val="center"/>
            <w:hideMark/>
          </w:tcPr>
          <w:p w14:paraId="34B930EE" w14:textId="77777777" w:rsidR="004C7228" w:rsidRPr="003751C7" w:rsidRDefault="004C7228" w:rsidP="007A543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F96E1A5" w14:textId="77777777" w:rsidR="004C7228" w:rsidRPr="00254A7A" w:rsidRDefault="004C7228" w:rsidP="007A5438">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A5B3FD9" w14:textId="77777777" w:rsidR="004C7228" w:rsidRPr="00254A7A" w:rsidRDefault="004C7228" w:rsidP="007A5438">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2C44D1" w:rsidRPr="00593A5F" w14:paraId="6B54A396" w14:textId="77777777" w:rsidTr="00A0381C">
        <w:trPr>
          <w:trHeight w:val="315"/>
        </w:trPr>
        <w:tc>
          <w:tcPr>
            <w:tcW w:w="893" w:type="dxa"/>
            <w:vMerge w:val="restart"/>
            <w:vAlign w:val="center"/>
          </w:tcPr>
          <w:p w14:paraId="33596D3F" w14:textId="6619A737" w:rsidR="002C44D1" w:rsidRPr="003751C7" w:rsidRDefault="002C44D1" w:rsidP="00A0381C">
            <w:pPr>
              <w:contextualSpacing/>
              <w:rPr>
                <w:rFonts w:ascii="Verdana" w:hAnsi="Verdana" w:cs="Arial"/>
                <w:sz w:val="16"/>
                <w:szCs w:val="16"/>
                <w:lang w:val="es-ES" w:eastAsia="es-ES"/>
              </w:rPr>
            </w:pPr>
            <w:r w:rsidRPr="003751C7">
              <w:rPr>
                <w:rFonts w:ascii="Verdana" w:hAnsi="Verdana" w:cs="Arial"/>
                <w:sz w:val="16"/>
                <w:szCs w:val="16"/>
                <w:lang w:val="es-ES" w:eastAsia="es-ES"/>
              </w:rPr>
              <w:t>Revis</w:t>
            </w:r>
            <w:r>
              <w:rPr>
                <w:rFonts w:ascii="Verdana" w:hAnsi="Verdana" w:cs="Arial"/>
                <w:sz w:val="16"/>
                <w:szCs w:val="16"/>
                <w:lang w:val="es-ES" w:eastAsia="es-ES"/>
              </w:rPr>
              <w:t>aron:</w:t>
            </w:r>
          </w:p>
        </w:tc>
        <w:tc>
          <w:tcPr>
            <w:tcW w:w="5628" w:type="dxa"/>
            <w:tcBorders>
              <w:top w:val="nil"/>
              <w:left w:val="nil"/>
              <w:bottom w:val="dotted" w:sz="4" w:space="0" w:color="7F7F7F" w:themeColor="text1" w:themeTint="80"/>
              <w:right w:val="nil"/>
            </w:tcBorders>
            <w:vAlign w:val="center"/>
          </w:tcPr>
          <w:p w14:paraId="6F85A34A" w14:textId="4C653B37" w:rsidR="002C44D1" w:rsidRPr="006C6FE3" w:rsidRDefault="002C44D1" w:rsidP="00A0381C">
            <w:pPr>
              <w:contextualSpacing/>
              <w:rPr>
                <w:rStyle w:val="normaltextrun"/>
                <w:rFonts w:ascii="Verdana" w:hAnsi="Verdana"/>
                <w:sz w:val="16"/>
                <w:szCs w:val="16"/>
              </w:rPr>
            </w:pPr>
            <w:r w:rsidRPr="002C44D1">
              <w:rPr>
                <w:rStyle w:val="normaltextrun"/>
                <w:rFonts w:ascii="Verdana" w:hAnsi="Verdana"/>
                <w:sz w:val="16"/>
                <w:szCs w:val="16"/>
              </w:rPr>
              <w:t>A</w:t>
            </w:r>
            <w:r w:rsidRPr="006C6FE3">
              <w:rPr>
                <w:rStyle w:val="normaltextrun"/>
                <w:rFonts w:ascii="Verdana" w:hAnsi="Verdana"/>
                <w:sz w:val="16"/>
                <w:szCs w:val="16"/>
              </w:rPr>
              <w:t xml:space="preserve">lejandro Gamboa </w:t>
            </w:r>
            <w:r w:rsidRPr="002C44D1">
              <w:rPr>
                <w:rStyle w:val="normaltextrun"/>
                <w:rFonts w:ascii="Verdana" w:hAnsi="Verdana"/>
                <w:sz w:val="16"/>
                <w:szCs w:val="16"/>
              </w:rPr>
              <w:t>Cárdenas</w:t>
            </w:r>
            <w:r w:rsidRPr="006C6FE3">
              <w:rPr>
                <w:rStyle w:val="normaltextrun"/>
                <w:rFonts w:ascii="Verdana" w:hAnsi="Verdana"/>
                <w:sz w:val="16"/>
                <w:szCs w:val="16"/>
              </w:rPr>
              <w:t xml:space="preserve"> </w:t>
            </w:r>
          </w:p>
          <w:p w14:paraId="08C0E66D" w14:textId="56669BFE" w:rsidR="002C44D1" w:rsidRPr="002C44D1" w:rsidRDefault="002C44D1" w:rsidP="00A0381C">
            <w:pPr>
              <w:contextualSpacing/>
              <w:rPr>
                <w:rStyle w:val="normaltextrun"/>
                <w:rFonts w:ascii="Verdana" w:hAnsi="Verdana"/>
                <w:sz w:val="16"/>
                <w:szCs w:val="16"/>
              </w:rPr>
            </w:pPr>
            <w:r w:rsidRPr="002C44D1">
              <w:rPr>
                <w:rStyle w:val="normaltextrun"/>
                <w:rFonts w:ascii="Verdana" w:hAnsi="Verdana"/>
                <w:sz w:val="16"/>
                <w:szCs w:val="16"/>
              </w:rPr>
              <w:t xml:space="preserve">Contratista de la </w:t>
            </w:r>
            <w:r w:rsidRPr="002C44D1">
              <w:rPr>
                <w:rStyle w:val="normaltextrun"/>
                <w:rFonts w:ascii="Verdana" w:hAnsi="Verdana" w:cs="Arial"/>
                <w:sz w:val="16"/>
                <w:szCs w:val="16"/>
                <w:lang w:val="es-ES"/>
              </w:rPr>
              <w:t>Subdirección de Gestión Contractual</w:t>
            </w:r>
            <w:r w:rsidRPr="002C44D1">
              <w:rPr>
                <w:rStyle w:val="eop"/>
                <w:rFonts w:ascii="Verdana" w:hAnsi="Verdana" w:cs="Arial"/>
                <w:sz w:val="16"/>
                <w:szCs w:val="16"/>
              </w:rPr>
              <w:t> </w:t>
            </w:r>
          </w:p>
        </w:tc>
      </w:tr>
      <w:tr w:rsidR="004C7228" w:rsidRPr="00593A5F" w14:paraId="18E18D4F" w14:textId="77777777" w:rsidTr="00A0381C">
        <w:trPr>
          <w:trHeight w:val="330"/>
        </w:trPr>
        <w:tc>
          <w:tcPr>
            <w:tcW w:w="893" w:type="dxa"/>
            <w:vMerge/>
            <w:vAlign w:val="center"/>
            <w:hideMark/>
          </w:tcPr>
          <w:p w14:paraId="4539269D" w14:textId="141616CA" w:rsidR="004C7228" w:rsidRPr="003751C7" w:rsidRDefault="004C7228" w:rsidP="007A5438">
            <w:pPr>
              <w:contextualSpacing/>
              <w:rPr>
                <w:rFonts w:ascii="Verdana" w:hAnsi="Verdana" w:cs="Arial"/>
                <w:sz w:val="16"/>
                <w:szCs w:val="16"/>
                <w:lang w:val="es-ES" w:eastAsia="es-ES"/>
              </w:rPr>
            </w:pP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C8B41AF" w14:textId="77777777" w:rsidR="004C7228" w:rsidRPr="00254A7A" w:rsidRDefault="004C7228" w:rsidP="007A5438">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45639896" w14:textId="77777777" w:rsidR="004C7228" w:rsidRPr="00254A7A" w:rsidRDefault="004C7228" w:rsidP="007A5438">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4C7228" w:rsidRPr="00593A5F" w14:paraId="333902E4" w14:textId="77777777" w:rsidTr="007A5438">
        <w:trPr>
          <w:trHeight w:val="300"/>
        </w:trPr>
        <w:tc>
          <w:tcPr>
            <w:tcW w:w="893" w:type="dxa"/>
            <w:vAlign w:val="center"/>
          </w:tcPr>
          <w:p w14:paraId="1FF6C8DF" w14:textId="77777777" w:rsidR="004C7228" w:rsidRPr="003751C7" w:rsidRDefault="004C7228" w:rsidP="007A543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984DD31" w14:textId="77777777" w:rsidR="004C7228" w:rsidRPr="003751C7" w:rsidRDefault="004C7228" w:rsidP="007A5438">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592673E5" w14:textId="77777777" w:rsidR="004C7228" w:rsidRPr="003751C7" w:rsidRDefault="004C7228" w:rsidP="007A5438">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2D30B17B" w14:textId="77777777" w:rsidR="004C7228" w:rsidRPr="00593A5F" w:rsidRDefault="004C7228" w:rsidP="004C7228">
      <w:pPr>
        <w:spacing w:after="0" w:line="240" w:lineRule="auto"/>
        <w:rPr>
          <w:rFonts w:ascii="Verdana" w:eastAsia="Times New Roman" w:hAnsi="Verdana" w:cs="Arial"/>
          <w:sz w:val="24"/>
          <w:szCs w:val="24"/>
          <w:lang w:eastAsia="es-ES"/>
        </w:rPr>
      </w:pPr>
    </w:p>
    <w:p w14:paraId="0F293BF4" w14:textId="078203EF" w:rsidR="00127233" w:rsidRPr="00986869" w:rsidRDefault="00127233" w:rsidP="00986869"/>
    <w:sectPr w:rsidR="00127233" w:rsidRPr="00986869"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2AC7" w14:textId="77777777" w:rsidR="00E35B1B" w:rsidRDefault="00E35B1B" w:rsidP="004A1847">
      <w:pPr>
        <w:spacing w:after="0" w:line="240" w:lineRule="auto"/>
      </w:pPr>
      <w:r>
        <w:separator/>
      </w:r>
    </w:p>
  </w:endnote>
  <w:endnote w:type="continuationSeparator" w:id="0">
    <w:p w14:paraId="7B79B1EC" w14:textId="77777777" w:rsidR="00E35B1B" w:rsidRDefault="00E35B1B" w:rsidP="004A1847">
      <w:pPr>
        <w:spacing w:after="0" w:line="240" w:lineRule="auto"/>
      </w:pPr>
      <w:r>
        <w:continuationSeparator/>
      </w:r>
    </w:p>
  </w:endnote>
  <w:endnote w:type="continuationNotice" w:id="1">
    <w:p w14:paraId="0464985F" w14:textId="77777777" w:rsidR="00E35B1B" w:rsidRDefault="00E35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410E" w14:textId="77777777" w:rsidR="00E35B1B" w:rsidRDefault="00E35B1B" w:rsidP="004A1847">
      <w:pPr>
        <w:spacing w:after="0" w:line="240" w:lineRule="auto"/>
      </w:pPr>
      <w:r>
        <w:separator/>
      </w:r>
    </w:p>
  </w:footnote>
  <w:footnote w:type="continuationSeparator" w:id="0">
    <w:p w14:paraId="3ED35B73" w14:textId="77777777" w:rsidR="00E35B1B" w:rsidRDefault="00E35B1B" w:rsidP="004A1847">
      <w:pPr>
        <w:spacing w:after="0" w:line="240" w:lineRule="auto"/>
      </w:pPr>
      <w:r>
        <w:continuationSeparator/>
      </w:r>
    </w:p>
  </w:footnote>
  <w:footnote w:type="continuationNotice" w:id="1">
    <w:p w14:paraId="2EE1781E" w14:textId="77777777" w:rsidR="00E35B1B" w:rsidRDefault="00E35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35pt;height:7.3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36A"/>
    <w:rsid w:val="00035EDD"/>
    <w:rsid w:val="00061B2A"/>
    <w:rsid w:val="00070383"/>
    <w:rsid w:val="00082362"/>
    <w:rsid w:val="000829E5"/>
    <w:rsid w:val="000A683E"/>
    <w:rsid w:val="000B19B9"/>
    <w:rsid w:val="000C03F1"/>
    <w:rsid w:val="000C0411"/>
    <w:rsid w:val="000D0334"/>
    <w:rsid w:val="000E6943"/>
    <w:rsid w:val="000F6486"/>
    <w:rsid w:val="00123E42"/>
    <w:rsid w:val="00124B7A"/>
    <w:rsid w:val="00125105"/>
    <w:rsid w:val="00127233"/>
    <w:rsid w:val="00130045"/>
    <w:rsid w:val="001426AF"/>
    <w:rsid w:val="00143657"/>
    <w:rsid w:val="00162730"/>
    <w:rsid w:val="0019248C"/>
    <w:rsid w:val="001931F9"/>
    <w:rsid w:val="001C758F"/>
    <w:rsid w:val="001E4177"/>
    <w:rsid w:val="001E7D13"/>
    <w:rsid w:val="001F3D7B"/>
    <w:rsid w:val="001F7DC6"/>
    <w:rsid w:val="00226963"/>
    <w:rsid w:val="002421BB"/>
    <w:rsid w:val="0025796E"/>
    <w:rsid w:val="002707A2"/>
    <w:rsid w:val="002951A0"/>
    <w:rsid w:val="002962BC"/>
    <w:rsid w:val="002A093D"/>
    <w:rsid w:val="002A0DD0"/>
    <w:rsid w:val="002A49AC"/>
    <w:rsid w:val="002A64FD"/>
    <w:rsid w:val="002C2B61"/>
    <w:rsid w:val="002C3024"/>
    <w:rsid w:val="002C44D1"/>
    <w:rsid w:val="002C7A84"/>
    <w:rsid w:val="002E4FD9"/>
    <w:rsid w:val="002E554B"/>
    <w:rsid w:val="00306690"/>
    <w:rsid w:val="00310135"/>
    <w:rsid w:val="00322A85"/>
    <w:rsid w:val="00324168"/>
    <w:rsid w:val="00324E81"/>
    <w:rsid w:val="003448F4"/>
    <w:rsid w:val="00345BD4"/>
    <w:rsid w:val="00346161"/>
    <w:rsid w:val="00351E82"/>
    <w:rsid w:val="00374F5E"/>
    <w:rsid w:val="0037703B"/>
    <w:rsid w:val="00377E3E"/>
    <w:rsid w:val="003A26D1"/>
    <w:rsid w:val="003A3DA9"/>
    <w:rsid w:val="003A779E"/>
    <w:rsid w:val="003C302C"/>
    <w:rsid w:val="003D0F4D"/>
    <w:rsid w:val="003D5B0D"/>
    <w:rsid w:val="003E0499"/>
    <w:rsid w:val="003F3941"/>
    <w:rsid w:val="00406575"/>
    <w:rsid w:val="004076CE"/>
    <w:rsid w:val="00416EEA"/>
    <w:rsid w:val="0042722E"/>
    <w:rsid w:val="0044528D"/>
    <w:rsid w:val="004609EA"/>
    <w:rsid w:val="00464890"/>
    <w:rsid w:val="004650F7"/>
    <w:rsid w:val="00480B0D"/>
    <w:rsid w:val="004A1847"/>
    <w:rsid w:val="004A305D"/>
    <w:rsid w:val="004C6BFE"/>
    <w:rsid w:val="004C7228"/>
    <w:rsid w:val="004D21D8"/>
    <w:rsid w:val="004F21C4"/>
    <w:rsid w:val="004F685F"/>
    <w:rsid w:val="005149B5"/>
    <w:rsid w:val="0055101D"/>
    <w:rsid w:val="005566E8"/>
    <w:rsid w:val="00574867"/>
    <w:rsid w:val="00591460"/>
    <w:rsid w:val="00592628"/>
    <w:rsid w:val="005A0E08"/>
    <w:rsid w:val="005B6B67"/>
    <w:rsid w:val="005C3777"/>
    <w:rsid w:val="005C5CDC"/>
    <w:rsid w:val="005D476C"/>
    <w:rsid w:val="00610812"/>
    <w:rsid w:val="006146CE"/>
    <w:rsid w:val="006219F8"/>
    <w:rsid w:val="006450B0"/>
    <w:rsid w:val="00650FF7"/>
    <w:rsid w:val="00665D70"/>
    <w:rsid w:val="00671DAC"/>
    <w:rsid w:val="006900D9"/>
    <w:rsid w:val="006909CC"/>
    <w:rsid w:val="00697BEE"/>
    <w:rsid w:val="006C6FE3"/>
    <w:rsid w:val="006D12F8"/>
    <w:rsid w:val="006D5C48"/>
    <w:rsid w:val="006E7E70"/>
    <w:rsid w:val="00706C16"/>
    <w:rsid w:val="007112DE"/>
    <w:rsid w:val="00725BEF"/>
    <w:rsid w:val="007564AD"/>
    <w:rsid w:val="00756841"/>
    <w:rsid w:val="007649AB"/>
    <w:rsid w:val="00771D0C"/>
    <w:rsid w:val="007833AC"/>
    <w:rsid w:val="00783BA4"/>
    <w:rsid w:val="007A120B"/>
    <w:rsid w:val="007B268C"/>
    <w:rsid w:val="007B7171"/>
    <w:rsid w:val="007C0C0F"/>
    <w:rsid w:val="007C3849"/>
    <w:rsid w:val="007C3DC2"/>
    <w:rsid w:val="007E5206"/>
    <w:rsid w:val="007E5497"/>
    <w:rsid w:val="007F3394"/>
    <w:rsid w:val="0080516D"/>
    <w:rsid w:val="00806F5F"/>
    <w:rsid w:val="00820278"/>
    <w:rsid w:val="00831D95"/>
    <w:rsid w:val="00836026"/>
    <w:rsid w:val="008843B6"/>
    <w:rsid w:val="00891928"/>
    <w:rsid w:val="008A446D"/>
    <w:rsid w:val="008B38C6"/>
    <w:rsid w:val="008C230E"/>
    <w:rsid w:val="008D180B"/>
    <w:rsid w:val="008E1D47"/>
    <w:rsid w:val="008E2E78"/>
    <w:rsid w:val="008F0EA7"/>
    <w:rsid w:val="00921628"/>
    <w:rsid w:val="00923EEF"/>
    <w:rsid w:val="00924AAB"/>
    <w:rsid w:val="009419F9"/>
    <w:rsid w:val="00950819"/>
    <w:rsid w:val="0095685E"/>
    <w:rsid w:val="00961B09"/>
    <w:rsid w:val="009651E9"/>
    <w:rsid w:val="00965334"/>
    <w:rsid w:val="0097093E"/>
    <w:rsid w:val="00971AA2"/>
    <w:rsid w:val="009736AF"/>
    <w:rsid w:val="00986869"/>
    <w:rsid w:val="009A0DFA"/>
    <w:rsid w:val="009B2D26"/>
    <w:rsid w:val="009C2E54"/>
    <w:rsid w:val="009C71FA"/>
    <w:rsid w:val="009C72E7"/>
    <w:rsid w:val="009D3058"/>
    <w:rsid w:val="009E1329"/>
    <w:rsid w:val="009F3A13"/>
    <w:rsid w:val="00A0381C"/>
    <w:rsid w:val="00A0567D"/>
    <w:rsid w:val="00A077DC"/>
    <w:rsid w:val="00A121F9"/>
    <w:rsid w:val="00A122D3"/>
    <w:rsid w:val="00A17F13"/>
    <w:rsid w:val="00A20739"/>
    <w:rsid w:val="00A33C78"/>
    <w:rsid w:val="00A6326D"/>
    <w:rsid w:val="00A75208"/>
    <w:rsid w:val="00A80245"/>
    <w:rsid w:val="00A83AF4"/>
    <w:rsid w:val="00A869F6"/>
    <w:rsid w:val="00A94ADB"/>
    <w:rsid w:val="00AB0ADB"/>
    <w:rsid w:val="00AB3AAB"/>
    <w:rsid w:val="00AC0632"/>
    <w:rsid w:val="00AD6A16"/>
    <w:rsid w:val="00AE4786"/>
    <w:rsid w:val="00B01142"/>
    <w:rsid w:val="00B01B1A"/>
    <w:rsid w:val="00B33DDC"/>
    <w:rsid w:val="00B72CD3"/>
    <w:rsid w:val="00B72FFF"/>
    <w:rsid w:val="00B74603"/>
    <w:rsid w:val="00B86141"/>
    <w:rsid w:val="00B9211A"/>
    <w:rsid w:val="00BA0FDB"/>
    <w:rsid w:val="00BC2BCC"/>
    <w:rsid w:val="00BC3D36"/>
    <w:rsid w:val="00BD7F72"/>
    <w:rsid w:val="00BE1F9F"/>
    <w:rsid w:val="00BE2EE4"/>
    <w:rsid w:val="00BE5C50"/>
    <w:rsid w:val="00C04FB3"/>
    <w:rsid w:val="00C10E80"/>
    <w:rsid w:val="00C115EC"/>
    <w:rsid w:val="00C155CA"/>
    <w:rsid w:val="00C330EB"/>
    <w:rsid w:val="00C37C39"/>
    <w:rsid w:val="00C4422B"/>
    <w:rsid w:val="00C754BE"/>
    <w:rsid w:val="00C76B1C"/>
    <w:rsid w:val="00CB6357"/>
    <w:rsid w:val="00CC1B26"/>
    <w:rsid w:val="00CC43F8"/>
    <w:rsid w:val="00CF60E6"/>
    <w:rsid w:val="00D00BD3"/>
    <w:rsid w:val="00D01B1C"/>
    <w:rsid w:val="00D270EE"/>
    <w:rsid w:val="00D423A2"/>
    <w:rsid w:val="00D520D8"/>
    <w:rsid w:val="00D573B5"/>
    <w:rsid w:val="00D63AC2"/>
    <w:rsid w:val="00D7383B"/>
    <w:rsid w:val="00D8272A"/>
    <w:rsid w:val="00DA231B"/>
    <w:rsid w:val="00DA23A0"/>
    <w:rsid w:val="00DB731A"/>
    <w:rsid w:val="00DC39FC"/>
    <w:rsid w:val="00DE660B"/>
    <w:rsid w:val="00DF5254"/>
    <w:rsid w:val="00E100E4"/>
    <w:rsid w:val="00E134C7"/>
    <w:rsid w:val="00E16408"/>
    <w:rsid w:val="00E20894"/>
    <w:rsid w:val="00E245AB"/>
    <w:rsid w:val="00E2764C"/>
    <w:rsid w:val="00E27F2E"/>
    <w:rsid w:val="00E35B1B"/>
    <w:rsid w:val="00E413EA"/>
    <w:rsid w:val="00E50AFE"/>
    <w:rsid w:val="00E54F07"/>
    <w:rsid w:val="00E578B6"/>
    <w:rsid w:val="00E65CF8"/>
    <w:rsid w:val="00E75C92"/>
    <w:rsid w:val="00E771DC"/>
    <w:rsid w:val="00E8772A"/>
    <w:rsid w:val="00E90F6B"/>
    <w:rsid w:val="00E92C27"/>
    <w:rsid w:val="00EA0E3D"/>
    <w:rsid w:val="00EB1288"/>
    <w:rsid w:val="00EB5333"/>
    <w:rsid w:val="00EC38A7"/>
    <w:rsid w:val="00EC6211"/>
    <w:rsid w:val="00EE1AA8"/>
    <w:rsid w:val="00EE69F2"/>
    <w:rsid w:val="00EF38C9"/>
    <w:rsid w:val="00F17CC9"/>
    <w:rsid w:val="00F31EDC"/>
    <w:rsid w:val="00F462B3"/>
    <w:rsid w:val="00F5664F"/>
    <w:rsid w:val="00F63016"/>
    <w:rsid w:val="00F666C4"/>
    <w:rsid w:val="00F7560A"/>
    <w:rsid w:val="00F76AFC"/>
    <w:rsid w:val="00F96877"/>
    <w:rsid w:val="00FA47C0"/>
    <w:rsid w:val="00FB5DD1"/>
    <w:rsid w:val="00FC2B5D"/>
    <w:rsid w:val="00FE5971"/>
    <w:rsid w:val="00FF1449"/>
    <w:rsid w:val="00FF62E2"/>
    <w:rsid w:val="39CDAD0F"/>
    <w:rsid w:val="5B4243E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7228"/>
    <w:rPr>
      <w:rFonts w:ascii="Geomanist Light" w:hAnsi="Geomanist Light"/>
      <w:lang w:val="es-ES"/>
    </w:rPr>
  </w:style>
  <w:style w:type="paragraph" w:styleId="Sinespaciado">
    <w:name w:val="No Spacing"/>
    <w:aliases w:val="No Indent"/>
    <w:uiPriority w:val="3"/>
    <w:qFormat/>
    <w:rsid w:val="004C722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os/cce-eicp-gi-18._gees_v.2_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lenzuela@ani.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2Fboletin-de-relatoria-2024-iv&amp;data=05%7C02%7Calejandro.sarmiento%40colombiacompra.gov.co%7C616b83c3423e4d31151908dce489c00d%7C7b09041e245149d08cb179d5e3d8c1be%7C0%7C0%7C638636527541311691%7CUnknown%7CTWFpbGZsb3d8eyJWIjoiMC4wLjAwMDAiLCJQIjoiV2luMzIiLCJBTiI6Ik1haWwiLCJXVCI6Mn0%3D%7C0%7C%7C%7C&amp;sdata=R8HyFWlp5ivsLiDO4o6hXop5W1bOhKuDN8pp95wdvXw%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79CA3-AA9B-6240-8AE2-A31FD5608071}">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38F9D16F-D57C-4062-B211-C4C5C3734A95}"/>
</file>

<file path=docProps/app.xml><?xml version="1.0" encoding="utf-8"?>
<Properties xmlns="http://schemas.openxmlformats.org/officeDocument/2006/extended-properties" xmlns:vt="http://schemas.openxmlformats.org/officeDocument/2006/docPropsVTypes">
  <Template>Normal.dotm</Template>
  <TotalTime>4</TotalTime>
  <Pages>14</Pages>
  <Words>4863</Words>
  <Characters>26752</Characters>
  <Application>Microsoft Office Word</Application>
  <DocSecurity>0</DocSecurity>
  <Lines>222</Lines>
  <Paragraphs>63</Paragraphs>
  <ScaleCrop>false</ScaleCrop>
  <Company/>
  <LinksUpToDate>false</LinksUpToDate>
  <CharactersWithSpaces>31552</CharactersWithSpaces>
  <SharedDoc>false</SharedDoc>
  <HLinks>
    <vt:vector size="24" baseType="variant">
      <vt:variant>
        <vt:i4>2359392</vt:i4>
      </vt:variant>
      <vt:variant>
        <vt:i4>9</vt:i4>
      </vt:variant>
      <vt:variant>
        <vt:i4>0</vt:i4>
      </vt:variant>
      <vt:variant>
        <vt:i4>5</vt:i4>
      </vt:variant>
      <vt:variant>
        <vt:lpwstr>https://nam02.safelinks.protection.outlook.com/?url=https%3A%2F%2Fwww.colombiacompra.gov.co%2Fsala-de-prensa%2Fboletin-digital%2Fboletin-de-relatoria-2024-iv&amp;data=05%7C02%7Calejandro.sarmiento%40colombiacompra.gov.co%7C616b83c3423e4d31151908dce489c00d%7C7b09041e245149d08cb179d5e3d8c1be%7C0%7C0%7C638636527541311691%7CUnknown%7CTWFpbGZsb3d8eyJWIjoiMC4wLjAwMDAiLCJQIjoiV2luMzIiLCJBTiI6Ik1haWwiLCJXVCI6Mn0%3D%7C0%7C%7C%7C&amp;sdata=R8HyFWlp5ivsLiDO4o6hXop5W1bOhKuDN8pp95wdvXw%3D&amp;reserved=0</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3801163</vt:i4>
      </vt:variant>
      <vt:variant>
        <vt:i4>3</vt:i4>
      </vt:variant>
      <vt:variant>
        <vt:i4>0</vt:i4>
      </vt:variant>
      <vt:variant>
        <vt:i4>5</vt:i4>
      </vt:variant>
      <vt:variant>
        <vt:lpwstr>https://www.colombiacompra.gov.co/sites/cce_public/files/cce_documentos/cce-eicp-gi-18._gees_v.2_2.pdf</vt:lpwstr>
      </vt:variant>
      <vt:variant>
        <vt:lpwstr/>
      </vt:variant>
      <vt:variant>
        <vt:i4>458854</vt:i4>
      </vt:variant>
      <vt:variant>
        <vt:i4>0</vt:i4>
      </vt:variant>
      <vt:variant>
        <vt:i4>0</vt:i4>
      </vt:variant>
      <vt:variant>
        <vt:i4>5</vt:i4>
      </vt:variant>
      <vt:variant>
        <vt:lpwstr>mailto:evalenzuela@ani.gov.co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6</cp:revision>
  <cp:lastPrinted>2023-01-10T21:18:00Z</cp:lastPrinted>
  <dcterms:created xsi:type="dcterms:W3CDTF">2024-10-11T16:19:00Z</dcterms:created>
  <dcterms:modified xsi:type="dcterms:W3CDTF">2024-10-17T14:04:00Z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