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6E461" w14:textId="77777777" w:rsidR="000C34A2" w:rsidRPr="00817B17" w:rsidRDefault="000C34A2" w:rsidP="000C34A2">
      <w:pPr>
        <w:spacing w:before="120" w:after="120" w:line="276" w:lineRule="auto"/>
        <w:jc w:val="both"/>
        <w:rPr>
          <w:rFonts w:ascii="Verdana" w:eastAsia="Calibri" w:hAnsi="Verdana"/>
          <w:b/>
          <w:bCs/>
          <w:color w:val="000000" w:themeColor="text1"/>
        </w:rPr>
      </w:pPr>
      <w:r w:rsidRPr="00817B17">
        <w:rPr>
          <w:rFonts w:ascii="Verdana" w:eastAsia="Calibri" w:hAnsi="Verdana"/>
          <w:b/>
          <w:bCs/>
          <w:color w:val="000000" w:themeColor="text1"/>
          <w:lang w:eastAsia="es-ES_tradnl"/>
        </w:rPr>
        <w:t xml:space="preserve">ACTIVIDADES DE CIENCIA, TECNOLOGÍA E INNOVACIÓN ― Regulación </w:t>
      </w:r>
    </w:p>
    <w:p w14:paraId="11B429E5" w14:textId="77777777" w:rsidR="000C34A2" w:rsidRPr="00817B17" w:rsidRDefault="000C34A2" w:rsidP="000C34A2">
      <w:pPr>
        <w:spacing w:after="0" w:line="240" w:lineRule="auto"/>
        <w:jc w:val="both"/>
        <w:rPr>
          <w:rFonts w:ascii="Verdana" w:eastAsia="Calibri" w:hAnsi="Verdana"/>
          <w:b/>
          <w:bCs/>
          <w:color w:val="000000" w:themeColor="text1"/>
          <w:sz w:val="20"/>
          <w:szCs w:val="20"/>
        </w:rPr>
      </w:pPr>
    </w:p>
    <w:p w14:paraId="47B7E2B3" w14:textId="77777777" w:rsidR="000C34A2" w:rsidRPr="00817B17" w:rsidRDefault="000C34A2" w:rsidP="000C34A2">
      <w:pPr>
        <w:spacing w:after="0" w:line="240" w:lineRule="auto"/>
        <w:jc w:val="both"/>
        <w:rPr>
          <w:rFonts w:ascii="Verdana" w:eastAsia="Times New Roman" w:hAnsi="Verdana" w:cs="Arial"/>
          <w:color w:val="000000" w:themeColor="text1"/>
          <w:sz w:val="20"/>
          <w:szCs w:val="20"/>
          <w:lang w:eastAsia="es-ES_tradnl"/>
        </w:rPr>
      </w:pPr>
      <w:r w:rsidRPr="00817B17">
        <w:rPr>
          <w:rFonts w:ascii="Verdana" w:eastAsia="Times New Roman" w:hAnsi="Verdana" w:cs="Arial"/>
          <w:color w:val="000000" w:themeColor="text1"/>
          <w:sz w:val="20"/>
          <w:szCs w:val="20"/>
          <w:lang w:eastAsia="es-ES_tradnl"/>
        </w:rPr>
        <w:t xml:space="preserve">Las actividades de ciencia, tecnología e innovación están previstas en cuatro (4) cuerpos normativos: </w:t>
      </w:r>
      <w:r w:rsidRPr="00817B17">
        <w:rPr>
          <w:rFonts w:ascii="Verdana" w:eastAsia="Times New Roman" w:hAnsi="Verdana" w:cs="Arial"/>
          <w:b/>
          <w:bCs/>
          <w:color w:val="000000" w:themeColor="text1"/>
          <w:sz w:val="20"/>
          <w:szCs w:val="20"/>
          <w:lang w:eastAsia="es-ES_tradnl"/>
        </w:rPr>
        <w:t>i)</w:t>
      </w:r>
      <w:r w:rsidRPr="00817B17">
        <w:rPr>
          <w:rFonts w:ascii="Verdana" w:eastAsia="Times New Roman" w:hAnsi="Verdana" w:cs="Arial"/>
          <w:color w:val="000000" w:themeColor="text1"/>
          <w:sz w:val="20"/>
          <w:szCs w:val="20"/>
          <w:lang w:eastAsia="es-ES_tradnl"/>
        </w:rPr>
        <w:t xml:space="preserve"> el </w:t>
      </w:r>
      <w:r w:rsidRPr="00817B17">
        <w:rPr>
          <w:rFonts w:ascii="Verdana" w:eastAsia="Times New Roman" w:hAnsi="Verdana" w:cs="Arial"/>
          <w:i/>
          <w:iCs/>
          <w:color w:val="000000" w:themeColor="text1"/>
          <w:sz w:val="20"/>
          <w:szCs w:val="20"/>
          <w:lang w:eastAsia="es-ES_tradnl"/>
        </w:rPr>
        <w:t>Decreto Ley 393 de 1991</w:t>
      </w:r>
      <w:r w:rsidRPr="00817B17">
        <w:rPr>
          <w:rFonts w:ascii="Verdana" w:eastAsia="Times New Roman" w:hAnsi="Verdana" w:cs="Arial"/>
          <w:color w:val="000000" w:themeColor="text1"/>
          <w:sz w:val="20"/>
          <w:szCs w:val="20"/>
          <w:lang w:eastAsia="es-ES_tradnl"/>
        </w:rPr>
        <w:t xml:space="preserve">, que prevé dos (2) formas de asociación para que las entidades ejecuten actividades científicas y tecnológicas, proyectos de investigación y creación de tecnologías: a) crear personas jurídicas civiles, comerciales y sin ánimo de lucro y b) celebrar convenios especiales de cooperación; </w:t>
      </w:r>
      <w:r w:rsidRPr="00817B17">
        <w:rPr>
          <w:rFonts w:ascii="Verdana" w:eastAsia="Times New Roman" w:hAnsi="Verdana" w:cs="Arial"/>
          <w:b/>
          <w:bCs/>
          <w:color w:val="000000" w:themeColor="text1"/>
          <w:sz w:val="20"/>
          <w:szCs w:val="20"/>
          <w:lang w:eastAsia="es-ES_tradnl"/>
        </w:rPr>
        <w:t>ii)</w:t>
      </w:r>
      <w:r w:rsidRPr="00817B17">
        <w:rPr>
          <w:rFonts w:ascii="Verdana" w:eastAsia="Times New Roman" w:hAnsi="Verdana" w:cs="Arial"/>
          <w:color w:val="000000" w:themeColor="text1"/>
          <w:sz w:val="20"/>
          <w:szCs w:val="20"/>
          <w:lang w:eastAsia="es-ES_tradnl"/>
        </w:rPr>
        <w:t xml:space="preserve"> el </w:t>
      </w:r>
      <w:r w:rsidRPr="00817B17">
        <w:rPr>
          <w:rFonts w:ascii="Verdana" w:eastAsia="Times New Roman" w:hAnsi="Verdana" w:cs="Arial"/>
          <w:i/>
          <w:iCs/>
          <w:color w:val="000000" w:themeColor="text1"/>
          <w:sz w:val="20"/>
          <w:szCs w:val="20"/>
          <w:lang w:eastAsia="es-ES_tradnl"/>
        </w:rPr>
        <w:t>Decreto Ley 591 de 1991</w:t>
      </w:r>
      <w:r w:rsidRPr="00817B17">
        <w:rPr>
          <w:rFonts w:ascii="Verdana" w:eastAsia="Times New Roman" w:hAnsi="Verdana" w:cs="Arial"/>
          <w:color w:val="000000" w:themeColor="text1"/>
          <w:sz w:val="20"/>
          <w:szCs w:val="20"/>
          <w:lang w:eastAsia="es-ES_tradnl"/>
        </w:rPr>
        <w:t xml:space="preserve">, que enlista actividades científicas y tecnológicas y, a pesar de que su propósito principal era regular las modalidades específicas de contratos de fomento de esas actividades, con la derogatoria del artículo 7 que señalaba diez (10) tipos de contratos, actualmente se encuentran vigentes tres (3): a) contratos de financiamiento, b) contratos de administración de proyectos y c) convenios especiales de cooperación; </w:t>
      </w:r>
      <w:r w:rsidRPr="00817B17">
        <w:rPr>
          <w:rFonts w:ascii="Verdana" w:eastAsia="Times New Roman" w:hAnsi="Verdana" w:cs="Arial"/>
          <w:b/>
          <w:bCs/>
          <w:color w:val="000000" w:themeColor="text1"/>
          <w:sz w:val="20"/>
          <w:szCs w:val="20"/>
          <w:lang w:eastAsia="es-ES_tradnl"/>
        </w:rPr>
        <w:t>iii)</w:t>
      </w:r>
      <w:r w:rsidRPr="00817B17">
        <w:rPr>
          <w:rFonts w:ascii="Verdana" w:eastAsia="Times New Roman" w:hAnsi="Verdana" w:cs="Arial"/>
          <w:color w:val="000000" w:themeColor="text1"/>
          <w:sz w:val="20"/>
          <w:szCs w:val="20"/>
          <w:lang w:eastAsia="es-ES_tradnl"/>
        </w:rPr>
        <w:t xml:space="preserve"> la </w:t>
      </w:r>
      <w:r w:rsidRPr="00817B17">
        <w:rPr>
          <w:rFonts w:ascii="Verdana" w:eastAsia="Times New Roman" w:hAnsi="Verdana" w:cs="Arial"/>
          <w:i/>
          <w:iCs/>
          <w:color w:val="000000" w:themeColor="text1"/>
          <w:sz w:val="20"/>
          <w:szCs w:val="20"/>
          <w:lang w:eastAsia="es-ES_tradnl"/>
        </w:rPr>
        <w:t>Ley 1286 de 2009</w:t>
      </w:r>
      <w:r w:rsidRPr="00817B17">
        <w:rPr>
          <w:rFonts w:ascii="Verdana" w:eastAsia="Times New Roman" w:hAnsi="Verdana" w:cs="Arial"/>
          <w:color w:val="000000" w:themeColor="text1"/>
          <w:sz w:val="20"/>
          <w:szCs w:val="20"/>
          <w:lang w:eastAsia="es-ES_tradnl"/>
        </w:rPr>
        <w:t xml:space="preserve">; </w:t>
      </w:r>
      <w:r w:rsidRPr="00817B17">
        <w:rPr>
          <w:rFonts w:ascii="Verdana" w:eastAsia="Times New Roman" w:hAnsi="Verdana" w:cs="Arial"/>
          <w:b/>
          <w:bCs/>
          <w:color w:val="000000" w:themeColor="text1"/>
          <w:sz w:val="20"/>
          <w:szCs w:val="20"/>
          <w:lang w:eastAsia="es-ES_tradnl"/>
        </w:rPr>
        <w:t>iv)</w:t>
      </w:r>
      <w:r w:rsidRPr="00817B17">
        <w:rPr>
          <w:rFonts w:ascii="Verdana" w:eastAsia="Times New Roman" w:hAnsi="Verdana" w:cs="Arial"/>
          <w:color w:val="000000" w:themeColor="text1"/>
          <w:sz w:val="20"/>
          <w:szCs w:val="20"/>
          <w:lang w:eastAsia="es-ES_tradnl"/>
        </w:rPr>
        <w:t xml:space="preserve"> el </w:t>
      </w:r>
      <w:r w:rsidRPr="00817B17">
        <w:rPr>
          <w:rFonts w:ascii="Verdana" w:eastAsia="Times New Roman" w:hAnsi="Verdana" w:cs="Arial"/>
          <w:i/>
          <w:iCs/>
          <w:color w:val="000000" w:themeColor="text1"/>
          <w:sz w:val="20"/>
          <w:szCs w:val="20"/>
          <w:lang w:eastAsia="es-ES_tradnl"/>
        </w:rPr>
        <w:t>Documento CONPES 3582 de 2009</w:t>
      </w:r>
      <w:r w:rsidRPr="00817B17">
        <w:rPr>
          <w:rFonts w:ascii="Verdana" w:eastAsia="Times New Roman" w:hAnsi="Verdana" w:cs="Arial"/>
          <w:color w:val="000000" w:themeColor="text1"/>
          <w:sz w:val="20"/>
          <w:szCs w:val="20"/>
          <w:lang w:eastAsia="es-ES_tradnl"/>
        </w:rPr>
        <w:t>, donde se define cuáles son estas actividades de los actores del Sistema Nacional de Ciencia, Tecnología e Innovación.</w:t>
      </w:r>
    </w:p>
    <w:p w14:paraId="7480C2D1" w14:textId="77777777" w:rsidR="000C34A2" w:rsidRPr="00817B17" w:rsidRDefault="000C34A2" w:rsidP="000C34A2">
      <w:pPr>
        <w:spacing w:after="0" w:line="240" w:lineRule="auto"/>
        <w:jc w:val="both"/>
        <w:rPr>
          <w:rFonts w:ascii="Verdana" w:eastAsia="Calibri" w:hAnsi="Verdana"/>
          <w:b/>
          <w:bCs/>
          <w:color w:val="000000" w:themeColor="text1"/>
          <w:sz w:val="20"/>
          <w:szCs w:val="20"/>
        </w:rPr>
      </w:pPr>
    </w:p>
    <w:p w14:paraId="0ABECB4F" w14:textId="77777777" w:rsidR="000C34A2" w:rsidRPr="00817B17" w:rsidRDefault="000C34A2" w:rsidP="000C34A2">
      <w:pPr>
        <w:spacing w:before="120" w:after="120" w:line="276" w:lineRule="auto"/>
        <w:jc w:val="both"/>
        <w:rPr>
          <w:rFonts w:ascii="Verdana" w:eastAsia="Calibri" w:hAnsi="Verdana"/>
          <w:b/>
          <w:bCs/>
          <w:color w:val="000000" w:themeColor="text1"/>
          <w:lang w:eastAsia="es-ES_tradnl"/>
        </w:rPr>
      </w:pPr>
      <w:r w:rsidRPr="00817B17">
        <w:rPr>
          <w:rFonts w:ascii="Verdana" w:eastAsia="Calibri" w:hAnsi="Verdana"/>
          <w:b/>
          <w:bCs/>
          <w:color w:val="000000" w:themeColor="text1"/>
          <w:lang w:eastAsia="es-ES_tradnl"/>
        </w:rPr>
        <w:t>ACTIVIDADES DE CIENCIA, TECNOLOGÍA E INNOVACIÓN ― Decreto 393 de 1991 ― Formas de asociación ― Decreto 591 de 1991 ― Modalidades de contratos de fomento</w:t>
      </w:r>
    </w:p>
    <w:p w14:paraId="548A4115" w14:textId="77777777" w:rsidR="000C34A2" w:rsidRPr="00817B17" w:rsidRDefault="000C34A2" w:rsidP="000C34A2">
      <w:pPr>
        <w:spacing w:after="0" w:line="240" w:lineRule="auto"/>
        <w:jc w:val="both"/>
        <w:rPr>
          <w:rFonts w:ascii="Verdana" w:eastAsia="Calibri" w:hAnsi="Verdana"/>
          <w:b/>
          <w:bCs/>
          <w:color w:val="000000" w:themeColor="text1"/>
          <w:sz w:val="20"/>
          <w:szCs w:val="20"/>
        </w:rPr>
      </w:pPr>
    </w:p>
    <w:p w14:paraId="56EFA2FC" w14:textId="77777777" w:rsidR="000C34A2" w:rsidRPr="001B0965" w:rsidRDefault="000C34A2" w:rsidP="000C34A2">
      <w:pPr>
        <w:spacing w:after="0" w:line="240" w:lineRule="auto"/>
        <w:jc w:val="both"/>
        <w:rPr>
          <w:rFonts w:ascii="Verdana" w:eastAsia="Times New Roman" w:hAnsi="Verdana" w:cs="Arial"/>
          <w:color w:val="000000" w:themeColor="text1"/>
          <w:sz w:val="20"/>
          <w:szCs w:val="20"/>
          <w:lang w:eastAsia="es-ES_tradnl"/>
        </w:rPr>
      </w:pPr>
      <w:r w:rsidRPr="001B0965">
        <w:rPr>
          <w:rFonts w:ascii="Verdana" w:eastAsia="Times New Roman" w:hAnsi="Verdana" w:cs="Arial"/>
          <w:color w:val="000000" w:themeColor="text1"/>
          <w:sz w:val="20"/>
          <w:szCs w:val="20"/>
          <w:lang w:eastAsia="es-ES_tradnl"/>
        </w:rPr>
        <w:t>Este decreto establece dos (2) formas de asociación para que las entidades ejecuten actividades científicas y tecnológicas, proyectos de investigación y creación de tecnologías: i) crear personas jurídicas civiles, comerciales y sin ánimo de lucro y ii) celebrar convenios especiales de cooperación.</w:t>
      </w:r>
    </w:p>
    <w:p w14:paraId="424C8E04" w14:textId="77777777" w:rsidR="000C34A2" w:rsidRPr="00817B17" w:rsidRDefault="000C34A2" w:rsidP="000C34A2">
      <w:pPr>
        <w:spacing w:after="0" w:line="240" w:lineRule="auto"/>
        <w:jc w:val="both"/>
        <w:rPr>
          <w:rFonts w:ascii="Verdana" w:eastAsia="Calibri" w:hAnsi="Verdana"/>
          <w:b/>
          <w:bCs/>
          <w:color w:val="000000" w:themeColor="text1"/>
          <w:sz w:val="20"/>
          <w:szCs w:val="20"/>
        </w:rPr>
      </w:pPr>
    </w:p>
    <w:p w14:paraId="0DF0FB95" w14:textId="77777777" w:rsidR="000C34A2" w:rsidRPr="00817B17" w:rsidRDefault="000C34A2" w:rsidP="000C34A2">
      <w:pPr>
        <w:spacing w:before="120" w:after="120" w:line="276" w:lineRule="auto"/>
        <w:jc w:val="both"/>
        <w:rPr>
          <w:rFonts w:ascii="Verdana" w:eastAsia="Calibri" w:hAnsi="Verdana"/>
          <w:b/>
          <w:bCs/>
          <w:color w:val="000000" w:themeColor="text1"/>
          <w:lang w:eastAsia="es-ES_tradnl"/>
        </w:rPr>
      </w:pPr>
      <w:r w:rsidRPr="00817B17">
        <w:rPr>
          <w:rFonts w:ascii="Verdana" w:eastAsia="Calibri" w:hAnsi="Verdana"/>
          <w:b/>
          <w:bCs/>
          <w:color w:val="000000" w:themeColor="text1"/>
          <w:lang w:eastAsia="es-ES_tradnl"/>
        </w:rPr>
        <w:t>CONVENIO ESPECIAL DE COOPERACIÓN ― Reglas ― Régimen jurídico</w:t>
      </w:r>
    </w:p>
    <w:p w14:paraId="70F04B95" w14:textId="77777777" w:rsidR="000C34A2" w:rsidRPr="00817B17" w:rsidRDefault="000C34A2" w:rsidP="000C34A2">
      <w:pPr>
        <w:spacing w:after="0" w:line="240" w:lineRule="auto"/>
        <w:jc w:val="both"/>
        <w:rPr>
          <w:rFonts w:ascii="Verdana" w:eastAsia="Calibri" w:hAnsi="Verdana"/>
          <w:b/>
          <w:bCs/>
          <w:color w:val="000000" w:themeColor="text1"/>
          <w:sz w:val="20"/>
          <w:szCs w:val="20"/>
        </w:rPr>
      </w:pPr>
    </w:p>
    <w:p w14:paraId="4D9085C5" w14:textId="77777777" w:rsidR="000C34A2" w:rsidRPr="001B0965" w:rsidRDefault="000C34A2" w:rsidP="000C34A2">
      <w:pPr>
        <w:spacing w:after="0" w:line="240" w:lineRule="auto"/>
        <w:jc w:val="both"/>
        <w:rPr>
          <w:rFonts w:ascii="Verdana" w:eastAsia="Times New Roman" w:hAnsi="Verdana" w:cs="Arial"/>
          <w:color w:val="000000" w:themeColor="text1"/>
          <w:sz w:val="20"/>
          <w:szCs w:val="20"/>
          <w:lang w:eastAsia="es-ES_tradnl"/>
        </w:rPr>
      </w:pPr>
      <w:r w:rsidRPr="001B0965">
        <w:rPr>
          <w:rFonts w:ascii="Verdana" w:eastAsia="Times New Roman" w:hAnsi="Verdana" w:cs="Arial"/>
          <w:color w:val="000000" w:themeColor="text1"/>
          <w:sz w:val="20"/>
          <w:szCs w:val="20"/>
          <w:lang w:eastAsia="es-ES_tradnl"/>
        </w:rPr>
        <w:t>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salvo lo expresamente regulado en el Estatuto General de Contratación de la Administración Pública – en adelante EGCAP –, vi) debe ser escrito, vii) señalar el objeto y el plazo e viii) incluir cláusulas de cesión y terminación.</w:t>
      </w:r>
    </w:p>
    <w:p w14:paraId="3C68AD1C" w14:textId="77777777" w:rsidR="000C34A2" w:rsidRPr="001B0965" w:rsidRDefault="000C34A2" w:rsidP="000C34A2">
      <w:pPr>
        <w:spacing w:after="0" w:line="240" w:lineRule="auto"/>
        <w:jc w:val="both"/>
        <w:rPr>
          <w:rFonts w:ascii="Verdana" w:eastAsia="Times New Roman" w:hAnsi="Verdana" w:cs="Arial"/>
          <w:color w:val="000000" w:themeColor="text1"/>
          <w:sz w:val="20"/>
          <w:szCs w:val="20"/>
          <w:lang w:eastAsia="es-ES_tradnl"/>
        </w:rPr>
      </w:pPr>
    </w:p>
    <w:p w14:paraId="16C5DD25" w14:textId="77777777" w:rsidR="000C34A2" w:rsidRPr="001B0965" w:rsidRDefault="000C34A2" w:rsidP="000C34A2">
      <w:pPr>
        <w:spacing w:after="0" w:line="240" w:lineRule="auto"/>
        <w:jc w:val="both"/>
        <w:rPr>
          <w:rFonts w:ascii="Verdana" w:eastAsia="Times New Roman" w:hAnsi="Verdana" w:cs="Arial"/>
          <w:color w:val="000000" w:themeColor="text1"/>
          <w:sz w:val="20"/>
          <w:szCs w:val="20"/>
          <w:lang w:eastAsia="es-ES_tradnl"/>
        </w:rPr>
      </w:pPr>
      <w:r w:rsidRPr="001B0965">
        <w:rPr>
          <w:rFonts w:ascii="Verdana" w:eastAsia="Times New Roman" w:hAnsi="Verdana" w:cs="Arial"/>
          <w:color w:val="000000" w:themeColor="text1"/>
          <w:sz w:val="20"/>
          <w:szCs w:val="20"/>
          <w:lang w:eastAsia="es-ES_tradnl"/>
        </w:rPr>
        <w:t>[…]</w:t>
      </w:r>
    </w:p>
    <w:p w14:paraId="3FC1A357" w14:textId="77777777" w:rsidR="000C34A2" w:rsidRPr="001B0965" w:rsidRDefault="000C34A2" w:rsidP="000C34A2">
      <w:pPr>
        <w:spacing w:after="0" w:line="240" w:lineRule="auto"/>
        <w:jc w:val="both"/>
        <w:rPr>
          <w:rFonts w:ascii="Verdana" w:eastAsia="Times New Roman" w:hAnsi="Verdana" w:cs="Arial"/>
          <w:color w:val="000000" w:themeColor="text1"/>
          <w:sz w:val="20"/>
          <w:szCs w:val="20"/>
          <w:lang w:eastAsia="es-ES_tradnl"/>
        </w:rPr>
      </w:pPr>
    </w:p>
    <w:p w14:paraId="02A424B7" w14:textId="77777777" w:rsidR="000C34A2" w:rsidRPr="001B0965" w:rsidRDefault="000C34A2" w:rsidP="000C34A2">
      <w:pPr>
        <w:spacing w:after="0" w:line="240" w:lineRule="auto"/>
        <w:jc w:val="both"/>
        <w:rPr>
          <w:rFonts w:ascii="Verdana" w:eastAsia="Times New Roman" w:hAnsi="Verdana" w:cs="Arial"/>
          <w:color w:val="000000" w:themeColor="text1"/>
          <w:sz w:val="20"/>
          <w:szCs w:val="20"/>
          <w:lang w:eastAsia="es-ES_tradnl"/>
        </w:rPr>
      </w:pPr>
      <w:r w:rsidRPr="001B0965">
        <w:rPr>
          <w:rFonts w:ascii="Verdana" w:eastAsia="Times New Roman" w:hAnsi="Verdana" w:cs="Arial"/>
          <w:color w:val="000000" w:themeColor="text1"/>
          <w:sz w:val="20"/>
          <w:szCs w:val="20"/>
          <w:lang w:eastAsia="es-ES_tradnl"/>
        </w:rPr>
        <w:t xml:space="preserve">Así las cosas, es claro que 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decir, el derecho privado. Lo anterior se corrobora en la Circular Externa Única expedida por la Agencia Nacional de Contratación Pública – Colombia Compra </w:t>
      </w:r>
      <w:r w:rsidRPr="001B0965">
        <w:rPr>
          <w:rFonts w:ascii="Verdana" w:eastAsia="Times New Roman" w:hAnsi="Verdana" w:cs="Arial"/>
          <w:color w:val="000000" w:themeColor="text1"/>
          <w:sz w:val="20"/>
          <w:szCs w:val="20"/>
          <w:lang w:eastAsia="es-ES_tradnl"/>
        </w:rPr>
        <w:lastRenderedPageBreak/>
        <w:t>Eficiente que hace referencia a que este convenio puede incluir temas relativos a administración o financiamiento, que también tendrían el régimen privado del convenio.</w:t>
      </w:r>
    </w:p>
    <w:p w14:paraId="6E21275E" w14:textId="77777777" w:rsidR="000C34A2" w:rsidRPr="00817B17" w:rsidRDefault="000C34A2" w:rsidP="000C34A2">
      <w:pPr>
        <w:spacing w:after="0" w:line="240" w:lineRule="auto"/>
        <w:rPr>
          <w:rFonts w:ascii="Verdana" w:eastAsia="Geomanist Light" w:hAnsi="Verdana" w:cs="Arial"/>
          <w:color w:val="000000" w:themeColor="text1"/>
          <w:lang w:val="es-MX"/>
        </w:rPr>
      </w:pPr>
    </w:p>
    <w:p w14:paraId="08F02569" w14:textId="77777777" w:rsidR="000C34A2" w:rsidRPr="00817B17" w:rsidRDefault="000C34A2" w:rsidP="000C34A2">
      <w:pPr>
        <w:spacing w:after="0" w:line="240" w:lineRule="auto"/>
        <w:rPr>
          <w:rFonts w:ascii="Verdana" w:eastAsia="Geomanist Light" w:hAnsi="Verdana" w:cs="Arial"/>
          <w:color w:val="000000" w:themeColor="text1"/>
          <w:lang w:val="es-MX"/>
        </w:rPr>
      </w:pPr>
    </w:p>
    <w:p w14:paraId="7FD7D2AE" w14:textId="77777777" w:rsidR="000C34A2" w:rsidRPr="00817B17" w:rsidRDefault="000C34A2" w:rsidP="000C34A2">
      <w:pPr>
        <w:spacing w:after="0" w:line="240" w:lineRule="auto"/>
        <w:rPr>
          <w:rFonts w:ascii="Verdana" w:eastAsia="Geomanist Light" w:hAnsi="Verdana" w:cs="Arial"/>
          <w:color w:val="000000" w:themeColor="text1"/>
          <w:lang w:val="es-MX"/>
        </w:rPr>
      </w:pPr>
    </w:p>
    <w:p w14:paraId="15BA5D7E" w14:textId="77777777" w:rsidR="000C34A2" w:rsidRPr="00817B17" w:rsidRDefault="000C34A2" w:rsidP="000C34A2">
      <w:pPr>
        <w:spacing w:after="0" w:line="240" w:lineRule="auto"/>
        <w:rPr>
          <w:rFonts w:ascii="Verdana" w:eastAsia="Geomanist Light" w:hAnsi="Verdana" w:cs="Arial"/>
          <w:color w:val="000000" w:themeColor="text1"/>
          <w:lang w:val="es-MX"/>
        </w:rPr>
      </w:pPr>
    </w:p>
    <w:p w14:paraId="29A15D0D" w14:textId="77777777" w:rsidR="000C34A2" w:rsidRPr="00817B17" w:rsidRDefault="000C34A2" w:rsidP="000C34A2">
      <w:pPr>
        <w:spacing w:after="0" w:line="240" w:lineRule="auto"/>
        <w:rPr>
          <w:rFonts w:ascii="Verdana" w:eastAsia="Geomanist Light" w:hAnsi="Verdana" w:cs="Arial"/>
          <w:color w:val="000000" w:themeColor="text1"/>
          <w:lang w:val="es-MX"/>
        </w:rPr>
      </w:pPr>
    </w:p>
    <w:p w14:paraId="2E7B90FE" w14:textId="77777777" w:rsidR="000C34A2" w:rsidRPr="00817B17" w:rsidRDefault="000C34A2" w:rsidP="000C34A2">
      <w:pPr>
        <w:spacing w:after="0" w:line="240" w:lineRule="auto"/>
        <w:rPr>
          <w:rFonts w:ascii="Verdana" w:eastAsia="Geomanist Light" w:hAnsi="Verdana" w:cs="Arial"/>
          <w:color w:val="000000" w:themeColor="text1"/>
          <w:lang w:val="es-MX"/>
        </w:rPr>
      </w:pPr>
    </w:p>
    <w:p w14:paraId="55762EDF" w14:textId="77777777" w:rsidR="000C34A2" w:rsidRPr="00817B17" w:rsidRDefault="000C34A2" w:rsidP="000C34A2">
      <w:pPr>
        <w:spacing w:after="0" w:line="240" w:lineRule="auto"/>
        <w:rPr>
          <w:rFonts w:ascii="Verdana" w:eastAsia="Geomanist Light" w:hAnsi="Verdana" w:cs="Arial"/>
          <w:color w:val="000000" w:themeColor="text1"/>
          <w:lang w:val="es-MX"/>
        </w:rPr>
      </w:pPr>
    </w:p>
    <w:p w14:paraId="31F10F9B" w14:textId="77777777" w:rsidR="000C34A2" w:rsidRPr="00817B17" w:rsidRDefault="000C34A2" w:rsidP="000C34A2">
      <w:pPr>
        <w:spacing w:after="0" w:line="240" w:lineRule="auto"/>
        <w:rPr>
          <w:rFonts w:ascii="Verdana" w:eastAsia="Geomanist Light" w:hAnsi="Verdana" w:cs="Arial"/>
          <w:color w:val="000000" w:themeColor="text1"/>
          <w:lang w:val="es-MX"/>
        </w:rPr>
      </w:pPr>
    </w:p>
    <w:p w14:paraId="07F08B0C" w14:textId="77777777" w:rsidR="000C34A2" w:rsidRPr="00817B17" w:rsidRDefault="000C34A2" w:rsidP="000C34A2">
      <w:pPr>
        <w:spacing w:after="0" w:line="240" w:lineRule="auto"/>
        <w:rPr>
          <w:rFonts w:ascii="Verdana" w:eastAsia="Geomanist Light" w:hAnsi="Verdana" w:cs="Arial"/>
          <w:color w:val="000000" w:themeColor="text1"/>
          <w:lang w:val="es-MX"/>
        </w:rPr>
      </w:pPr>
    </w:p>
    <w:p w14:paraId="321307C1" w14:textId="77777777" w:rsidR="000C34A2" w:rsidRDefault="000C34A2" w:rsidP="000C34A2">
      <w:pPr>
        <w:spacing w:after="0" w:line="240" w:lineRule="auto"/>
        <w:rPr>
          <w:rFonts w:ascii="Verdana" w:eastAsia="Geomanist Light" w:hAnsi="Verdana" w:cs="Arial"/>
          <w:color w:val="000000" w:themeColor="text1"/>
          <w:lang w:val="es-MX"/>
        </w:rPr>
      </w:pPr>
    </w:p>
    <w:p w14:paraId="1F1D3A07" w14:textId="77777777" w:rsidR="000C34A2" w:rsidRDefault="000C34A2" w:rsidP="000C34A2">
      <w:pPr>
        <w:spacing w:after="0" w:line="240" w:lineRule="auto"/>
        <w:rPr>
          <w:rFonts w:ascii="Verdana" w:eastAsia="Geomanist Light" w:hAnsi="Verdana" w:cs="Arial"/>
          <w:color w:val="000000" w:themeColor="text1"/>
          <w:lang w:val="es-MX"/>
        </w:rPr>
      </w:pPr>
    </w:p>
    <w:p w14:paraId="3F47D9E3" w14:textId="77777777" w:rsidR="000C34A2" w:rsidRDefault="000C34A2" w:rsidP="000C34A2">
      <w:pPr>
        <w:spacing w:after="0" w:line="240" w:lineRule="auto"/>
        <w:rPr>
          <w:rFonts w:ascii="Verdana" w:eastAsia="Geomanist Light" w:hAnsi="Verdana" w:cs="Arial"/>
          <w:color w:val="000000" w:themeColor="text1"/>
          <w:lang w:val="es-MX"/>
        </w:rPr>
      </w:pPr>
    </w:p>
    <w:p w14:paraId="427EADE9" w14:textId="77777777" w:rsidR="000C34A2" w:rsidRDefault="000C34A2" w:rsidP="000C34A2">
      <w:pPr>
        <w:spacing w:after="0" w:line="240" w:lineRule="auto"/>
        <w:rPr>
          <w:rFonts w:ascii="Verdana" w:eastAsia="Geomanist Light" w:hAnsi="Verdana" w:cs="Arial"/>
          <w:color w:val="000000" w:themeColor="text1"/>
          <w:lang w:val="es-MX"/>
        </w:rPr>
      </w:pPr>
    </w:p>
    <w:p w14:paraId="10E29253" w14:textId="77777777" w:rsidR="000C34A2" w:rsidRDefault="000C34A2" w:rsidP="000C34A2">
      <w:pPr>
        <w:spacing w:after="0" w:line="240" w:lineRule="auto"/>
        <w:rPr>
          <w:rFonts w:ascii="Verdana" w:eastAsia="Geomanist Light" w:hAnsi="Verdana" w:cs="Arial"/>
          <w:color w:val="000000" w:themeColor="text1"/>
          <w:lang w:val="es-MX"/>
        </w:rPr>
      </w:pPr>
    </w:p>
    <w:p w14:paraId="5F1422FD" w14:textId="77777777" w:rsidR="000C34A2" w:rsidRDefault="000C34A2" w:rsidP="000C34A2">
      <w:pPr>
        <w:spacing w:after="0" w:line="240" w:lineRule="auto"/>
        <w:rPr>
          <w:rFonts w:ascii="Verdana" w:eastAsia="Geomanist Light" w:hAnsi="Verdana" w:cs="Arial"/>
          <w:color w:val="000000" w:themeColor="text1"/>
          <w:lang w:val="es-MX"/>
        </w:rPr>
      </w:pPr>
    </w:p>
    <w:p w14:paraId="228F1D87" w14:textId="77777777" w:rsidR="000C34A2" w:rsidRDefault="000C34A2" w:rsidP="000C34A2">
      <w:pPr>
        <w:spacing w:after="0" w:line="240" w:lineRule="auto"/>
        <w:rPr>
          <w:rFonts w:ascii="Verdana" w:eastAsia="Geomanist Light" w:hAnsi="Verdana" w:cs="Arial"/>
          <w:color w:val="000000" w:themeColor="text1"/>
          <w:lang w:val="es-MX"/>
        </w:rPr>
      </w:pPr>
    </w:p>
    <w:p w14:paraId="676C80CF" w14:textId="77777777" w:rsidR="000C34A2" w:rsidRDefault="000C34A2" w:rsidP="000C34A2">
      <w:pPr>
        <w:spacing w:after="0" w:line="240" w:lineRule="auto"/>
        <w:rPr>
          <w:rFonts w:ascii="Verdana" w:eastAsia="Geomanist Light" w:hAnsi="Verdana" w:cs="Arial"/>
          <w:color w:val="000000" w:themeColor="text1"/>
          <w:lang w:val="es-MX"/>
        </w:rPr>
      </w:pPr>
    </w:p>
    <w:p w14:paraId="48966AF4" w14:textId="77777777" w:rsidR="000C34A2" w:rsidRDefault="000C34A2" w:rsidP="000C34A2">
      <w:pPr>
        <w:spacing w:after="0" w:line="240" w:lineRule="auto"/>
        <w:rPr>
          <w:rFonts w:ascii="Verdana" w:eastAsia="Geomanist Light" w:hAnsi="Verdana" w:cs="Arial"/>
          <w:color w:val="000000" w:themeColor="text1"/>
          <w:lang w:val="es-MX"/>
        </w:rPr>
      </w:pPr>
    </w:p>
    <w:p w14:paraId="4D91DFBE" w14:textId="77777777" w:rsidR="000C34A2" w:rsidRDefault="000C34A2" w:rsidP="000C34A2">
      <w:pPr>
        <w:spacing w:after="0" w:line="240" w:lineRule="auto"/>
        <w:rPr>
          <w:rFonts w:ascii="Verdana" w:eastAsia="Geomanist Light" w:hAnsi="Verdana" w:cs="Arial"/>
          <w:color w:val="000000" w:themeColor="text1"/>
          <w:lang w:val="es-MX"/>
        </w:rPr>
      </w:pPr>
    </w:p>
    <w:p w14:paraId="70415257" w14:textId="77777777" w:rsidR="000C34A2" w:rsidRDefault="000C34A2" w:rsidP="000C34A2">
      <w:pPr>
        <w:spacing w:after="0" w:line="240" w:lineRule="auto"/>
        <w:rPr>
          <w:rFonts w:ascii="Verdana" w:eastAsia="Geomanist Light" w:hAnsi="Verdana" w:cs="Arial"/>
          <w:color w:val="000000" w:themeColor="text1"/>
          <w:lang w:val="es-MX"/>
        </w:rPr>
      </w:pPr>
    </w:p>
    <w:p w14:paraId="1500B70A" w14:textId="77777777" w:rsidR="000C34A2" w:rsidRDefault="000C34A2" w:rsidP="000C34A2">
      <w:pPr>
        <w:spacing w:after="0" w:line="240" w:lineRule="auto"/>
        <w:rPr>
          <w:rFonts w:ascii="Verdana" w:eastAsia="Geomanist Light" w:hAnsi="Verdana" w:cs="Arial"/>
          <w:color w:val="000000" w:themeColor="text1"/>
          <w:lang w:val="es-MX"/>
        </w:rPr>
      </w:pPr>
    </w:p>
    <w:p w14:paraId="577AAF9B" w14:textId="77777777" w:rsidR="000C34A2" w:rsidRDefault="000C34A2" w:rsidP="000C34A2">
      <w:pPr>
        <w:spacing w:after="0" w:line="240" w:lineRule="auto"/>
        <w:rPr>
          <w:rFonts w:ascii="Verdana" w:eastAsia="Geomanist Light" w:hAnsi="Verdana" w:cs="Arial"/>
          <w:color w:val="000000" w:themeColor="text1"/>
          <w:lang w:val="es-MX"/>
        </w:rPr>
      </w:pPr>
    </w:p>
    <w:p w14:paraId="18AFB743" w14:textId="77777777" w:rsidR="000C34A2" w:rsidRDefault="000C34A2" w:rsidP="000C34A2">
      <w:pPr>
        <w:spacing w:after="0" w:line="240" w:lineRule="auto"/>
        <w:rPr>
          <w:rFonts w:ascii="Verdana" w:eastAsia="Geomanist Light" w:hAnsi="Verdana" w:cs="Arial"/>
          <w:color w:val="000000" w:themeColor="text1"/>
          <w:lang w:val="es-MX"/>
        </w:rPr>
      </w:pPr>
    </w:p>
    <w:p w14:paraId="281632AC" w14:textId="77777777" w:rsidR="000C34A2" w:rsidRDefault="000C34A2" w:rsidP="000C34A2">
      <w:pPr>
        <w:spacing w:after="0" w:line="240" w:lineRule="auto"/>
        <w:rPr>
          <w:rFonts w:ascii="Verdana" w:eastAsia="Geomanist Light" w:hAnsi="Verdana" w:cs="Arial"/>
          <w:color w:val="000000" w:themeColor="text1"/>
          <w:lang w:val="es-MX"/>
        </w:rPr>
      </w:pPr>
    </w:p>
    <w:p w14:paraId="76A2C633" w14:textId="77777777" w:rsidR="000C34A2" w:rsidRDefault="000C34A2" w:rsidP="000C34A2">
      <w:pPr>
        <w:spacing w:after="0" w:line="240" w:lineRule="auto"/>
        <w:rPr>
          <w:rFonts w:ascii="Verdana" w:eastAsia="Geomanist Light" w:hAnsi="Verdana" w:cs="Arial"/>
          <w:color w:val="000000" w:themeColor="text1"/>
          <w:lang w:val="es-MX"/>
        </w:rPr>
      </w:pPr>
    </w:p>
    <w:p w14:paraId="5D9A8AF0" w14:textId="77777777" w:rsidR="000C34A2" w:rsidRDefault="000C34A2" w:rsidP="000C34A2">
      <w:pPr>
        <w:spacing w:after="0" w:line="240" w:lineRule="auto"/>
        <w:rPr>
          <w:rFonts w:ascii="Verdana" w:eastAsia="Geomanist Light" w:hAnsi="Verdana" w:cs="Arial"/>
          <w:color w:val="000000" w:themeColor="text1"/>
          <w:lang w:val="es-MX"/>
        </w:rPr>
      </w:pPr>
    </w:p>
    <w:p w14:paraId="0CD0EF22" w14:textId="77777777" w:rsidR="000C34A2" w:rsidRDefault="000C34A2" w:rsidP="000C34A2">
      <w:pPr>
        <w:spacing w:after="0" w:line="240" w:lineRule="auto"/>
        <w:rPr>
          <w:rFonts w:ascii="Verdana" w:eastAsia="Geomanist Light" w:hAnsi="Verdana" w:cs="Arial"/>
          <w:color w:val="000000" w:themeColor="text1"/>
          <w:lang w:val="es-MX"/>
        </w:rPr>
      </w:pPr>
    </w:p>
    <w:p w14:paraId="4672ABF1" w14:textId="77777777" w:rsidR="000C34A2" w:rsidRDefault="000C34A2" w:rsidP="000C34A2">
      <w:pPr>
        <w:spacing w:after="0" w:line="240" w:lineRule="auto"/>
        <w:rPr>
          <w:rFonts w:ascii="Verdana" w:eastAsia="Geomanist Light" w:hAnsi="Verdana" w:cs="Arial"/>
          <w:color w:val="000000" w:themeColor="text1"/>
          <w:lang w:val="es-MX"/>
        </w:rPr>
      </w:pPr>
    </w:p>
    <w:p w14:paraId="383B060E" w14:textId="77777777" w:rsidR="000C34A2" w:rsidRDefault="000C34A2" w:rsidP="000C34A2">
      <w:pPr>
        <w:spacing w:after="0" w:line="240" w:lineRule="auto"/>
        <w:rPr>
          <w:rFonts w:ascii="Verdana" w:eastAsia="Geomanist Light" w:hAnsi="Verdana" w:cs="Arial"/>
          <w:color w:val="000000" w:themeColor="text1"/>
          <w:lang w:val="es-MX"/>
        </w:rPr>
      </w:pPr>
    </w:p>
    <w:p w14:paraId="4B642831" w14:textId="77777777" w:rsidR="000C34A2" w:rsidRDefault="000C34A2" w:rsidP="000C34A2">
      <w:pPr>
        <w:spacing w:after="0" w:line="240" w:lineRule="auto"/>
        <w:rPr>
          <w:rFonts w:ascii="Verdana" w:eastAsia="Geomanist Light" w:hAnsi="Verdana" w:cs="Arial"/>
          <w:color w:val="000000" w:themeColor="text1"/>
          <w:lang w:val="es-MX"/>
        </w:rPr>
      </w:pPr>
    </w:p>
    <w:p w14:paraId="5C66C939" w14:textId="77777777" w:rsidR="000C34A2" w:rsidRDefault="000C34A2" w:rsidP="000C34A2">
      <w:pPr>
        <w:spacing w:after="0" w:line="240" w:lineRule="auto"/>
        <w:rPr>
          <w:rFonts w:ascii="Verdana" w:eastAsia="Geomanist Light" w:hAnsi="Verdana" w:cs="Arial"/>
          <w:color w:val="000000" w:themeColor="text1"/>
          <w:lang w:val="es-MX"/>
        </w:rPr>
      </w:pPr>
    </w:p>
    <w:p w14:paraId="6E427F59" w14:textId="77777777" w:rsidR="000C34A2" w:rsidRDefault="000C34A2" w:rsidP="000C34A2">
      <w:pPr>
        <w:spacing w:after="0" w:line="240" w:lineRule="auto"/>
        <w:rPr>
          <w:rFonts w:ascii="Verdana" w:eastAsia="Geomanist Light" w:hAnsi="Verdana" w:cs="Arial"/>
          <w:color w:val="000000" w:themeColor="text1"/>
          <w:lang w:val="es-MX"/>
        </w:rPr>
      </w:pPr>
    </w:p>
    <w:p w14:paraId="081C6BE7" w14:textId="77777777" w:rsidR="000C34A2" w:rsidRDefault="000C34A2" w:rsidP="000C34A2">
      <w:pPr>
        <w:spacing w:after="0" w:line="240" w:lineRule="auto"/>
        <w:rPr>
          <w:rFonts w:ascii="Verdana" w:eastAsia="Geomanist Light" w:hAnsi="Verdana" w:cs="Arial"/>
          <w:color w:val="000000" w:themeColor="text1"/>
          <w:lang w:val="es-MX"/>
        </w:rPr>
      </w:pPr>
    </w:p>
    <w:p w14:paraId="4564260E" w14:textId="77777777" w:rsidR="000C34A2" w:rsidRDefault="000C34A2" w:rsidP="000C34A2">
      <w:pPr>
        <w:spacing w:after="0" w:line="240" w:lineRule="auto"/>
        <w:rPr>
          <w:rFonts w:ascii="Verdana" w:eastAsia="Geomanist Light" w:hAnsi="Verdana" w:cs="Arial"/>
          <w:color w:val="000000" w:themeColor="text1"/>
          <w:lang w:val="es-MX"/>
        </w:rPr>
      </w:pPr>
    </w:p>
    <w:p w14:paraId="67F52986" w14:textId="77777777" w:rsidR="000C34A2" w:rsidRDefault="000C34A2" w:rsidP="002F61D0">
      <w:pPr>
        <w:spacing w:after="0" w:line="240" w:lineRule="auto"/>
        <w:rPr>
          <w:rFonts w:ascii="Verdana" w:eastAsia="Geomanist Light" w:hAnsi="Verdana" w:cs="Arial"/>
          <w:color w:val="000000" w:themeColor="text1"/>
          <w:lang w:val="es-MX"/>
        </w:rPr>
      </w:pPr>
    </w:p>
    <w:p w14:paraId="01154C86" w14:textId="77777777" w:rsidR="000C34A2" w:rsidRDefault="000C34A2" w:rsidP="002F61D0">
      <w:pPr>
        <w:spacing w:after="0" w:line="240" w:lineRule="auto"/>
        <w:rPr>
          <w:rFonts w:ascii="Verdana" w:eastAsia="Geomanist Light" w:hAnsi="Verdana" w:cs="Arial"/>
          <w:color w:val="000000" w:themeColor="text1"/>
          <w:lang w:val="es-MX"/>
        </w:rPr>
      </w:pPr>
    </w:p>
    <w:p w14:paraId="1C602E9C" w14:textId="77777777" w:rsidR="000C34A2" w:rsidRDefault="000C34A2" w:rsidP="002F61D0">
      <w:pPr>
        <w:spacing w:after="0" w:line="240" w:lineRule="auto"/>
        <w:rPr>
          <w:rFonts w:ascii="Verdana" w:eastAsia="Geomanist Light" w:hAnsi="Verdana" w:cs="Arial"/>
          <w:color w:val="000000" w:themeColor="text1"/>
          <w:lang w:val="es-MX"/>
        </w:rPr>
      </w:pPr>
    </w:p>
    <w:p w14:paraId="6FA0FE64" w14:textId="77777777" w:rsidR="000C34A2" w:rsidRDefault="000C34A2" w:rsidP="002F61D0">
      <w:pPr>
        <w:spacing w:after="0" w:line="240" w:lineRule="auto"/>
        <w:rPr>
          <w:rFonts w:ascii="Verdana" w:eastAsia="Geomanist Light" w:hAnsi="Verdana" w:cs="Arial"/>
          <w:color w:val="000000" w:themeColor="text1"/>
          <w:lang w:val="es-MX"/>
        </w:rPr>
      </w:pPr>
    </w:p>
    <w:p w14:paraId="1AAECA94" w14:textId="77777777" w:rsidR="000C34A2" w:rsidRDefault="000C34A2" w:rsidP="002F61D0">
      <w:pPr>
        <w:spacing w:after="0" w:line="240" w:lineRule="auto"/>
        <w:rPr>
          <w:rFonts w:ascii="Verdana" w:eastAsia="Geomanist Light" w:hAnsi="Verdana" w:cs="Arial"/>
          <w:color w:val="000000" w:themeColor="text1"/>
          <w:lang w:val="es-MX"/>
        </w:rPr>
      </w:pPr>
    </w:p>
    <w:p w14:paraId="5797DDEE" w14:textId="77777777" w:rsidR="000C34A2" w:rsidRDefault="000C34A2" w:rsidP="002F61D0">
      <w:pPr>
        <w:spacing w:after="0" w:line="240" w:lineRule="auto"/>
        <w:rPr>
          <w:rFonts w:ascii="Verdana" w:eastAsia="Geomanist Light" w:hAnsi="Verdana" w:cs="Arial"/>
          <w:color w:val="000000" w:themeColor="text1"/>
          <w:lang w:val="es-MX"/>
        </w:rPr>
      </w:pPr>
    </w:p>
    <w:p w14:paraId="7628FAFA" w14:textId="77777777" w:rsidR="000C34A2" w:rsidRDefault="000C34A2" w:rsidP="002F61D0">
      <w:pPr>
        <w:spacing w:after="0" w:line="240" w:lineRule="auto"/>
        <w:rPr>
          <w:rFonts w:ascii="Verdana" w:eastAsia="Geomanist Light" w:hAnsi="Verdana" w:cs="Arial"/>
          <w:color w:val="000000" w:themeColor="text1"/>
          <w:lang w:val="es-MX"/>
        </w:rPr>
      </w:pPr>
    </w:p>
    <w:p w14:paraId="0840EC1E" w14:textId="77777777" w:rsidR="000C34A2" w:rsidRDefault="000C34A2" w:rsidP="002F61D0">
      <w:pPr>
        <w:spacing w:after="0" w:line="240" w:lineRule="auto"/>
        <w:rPr>
          <w:rFonts w:ascii="Verdana" w:eastAsia="Geomanist Light" w:hAnsi="Verdana" w:cs="Arial"/>
          <w:color w:val="000000" w:themeColor="text1"/>
          <w:lang w:val="es-MX"/>
        </w:rPr>
      </w:pPr>
    </w:p>
    <w:p w14:paraId="045B8236" w14:textId="4DA5AD46" w:rsidR="002F61D0" w:rsidRPr="0019290D" w:rsidRDefault="002F61D0" w:rsidP="002F61D0">
      <w:pPr>
        <w:spacing w:after="0" w:line="240" w:lineRule="auto"/>
        <w:rPr>
          <w:rFonts w:ascii="Verdana" w:eastAsia="Geomanist Light" w:hAnsi="Verdana" w:cs="Arial"/>
          <w:color w:val="201F1E"/>
          <w:lang w:val="es-MX"/>
        </w:rPr>
      </w:pPr>
      <w:r w:rsidRPr="0019290D">
        <w:rPr>
          <w:rFonts w:ascii="Verdana" w:eastAsia="Geomanist Light" w:hAnsi="Verdana" w:cs="Arial"/>
          <w:color w:val="000000" w:themeColor="text1"/>
          <w:lang w:val="es-MX"/>
        </w:rPr>
        <w:lastRenderedPageBreak/>
        <w:t>Bogotá D.C., </w:t>
      </w:r>
      <w:r w:rsidR="007803A2">
        <w:rPr>
          <w:rFonts w:ascii="Verdana" w:eastAsia="Geomanist Light" w:hAnsi="Verdana" w:cs="Arial"/>
          <w:color w:val="201F1E"/>
          <w:lang w:val="es-MX"/>
        </w:rPr>
        <w:t>7 de octubre de 2024</w:t>
      </w:r>
    </w:p>
    <w:p w14:paraId="459F13B4" w14:textId="0344D5DD" w:rsidR="002F61D0" w:rsidRPr="0019290D" w:rsidRDefault="00185A33" w:rsidP="002F61D0">
      <w:pPr>
        <w:spacing w:after="0" w:line="240" w:lineRule="auto"/>
        <w:jc w:val="both"/>
        <w:rPr>
          <w:rFonts w:ascii="Verdana" w:eastAsia="Calibri" w:hAnsi="Verdana" w:cs="Arial"/>
          <w:color w:val="000000"/>
          <w:lang w:val="es-ES"/>
        </w:rPr>
      </w:pPr>
      <w:r w:rsidRPr="00185A33">
        <w:rPr>
          <w:rFonts w:ascii="Verdana" w:eastAsia="Calibri" w:hAnsi="Verdana" w:cs="Arial"/>
          <w:b/>
          <w:noProof/>
          <w:lang w:val="es-ES_tradnl" w:eastAsia="es-ES_tradnl"/>
        </w:rPr>
        <w:drawing>
          <wp:anchor distT="0" distB="0" distL="114300" distR="114300" simplePos="0" relativeHeight="251658240" behindDoc="0" locked="0" layoutInCell="1" allowOverlap="1" wp14:anchorId="3D3276FD" wp14:editId="02CD3A42">
            <wp:simplePos x="0" y="0"/>
            <wp:positionH relativeFrom="margin">
              <wp:align>right</wp:align>
            </wp:positionH>
            <wp:positionV relativeFrom="paragraph">
              <wp:posOffset>13335</wp:posOffset>
            </wp:positionV>
            <wp:extent cx="3276600" cy="923925"/>
            <wp:effectExtent l="0" t="0" r="0" b="9525"/>
            <wp:wrapNone/>
            <wp:docPr id="19350261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26126"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276600" cy="923925"/>
                    </a:xfrm>
                    <a:prstGeom prst="rect">
                      <a:avLst/>
                    </a:prstGeom>
                  </pic:spPr>
                </pic:pic>
              </a:graphicData>
            </a:graphic>
          </wp:anchor>
        </w:drawing>
      </w:r>
    </w:p>
    <w:p w14:paraId="02C3C22D" w14:textId="36AE292D" w:rsidR="002F61D0" w:rsidRPr="0019290D" w:rsidRDefault="002F61D0" w:rsidP="002F61D0">
      <w:pPr>
        <w:spacing w:after="0" w:line="240" w:lineRule="auto"/>
        <w:jc w:val="both"/>
        <w:rPr>
          <w:rFonts w:ascii="Verdana" w:eastAsia="Calibri" w:hAnsi="Verdana" w:cs="Arial"/>
          <w:lang w:val="es-ES" w:eastAsia="es-ES"/>
        </w:rPr>
      </w:pPr>
      <w:r w:rsidRPr="0019290D">
        <w:rPr>
          <w:rFonts w:ascii="Verdana" w:eastAsia="Calibri" w:hAnsi="Verdana" w:cs="Arial"/>
          <w:lang w:val="es-ES" w:eastAsia="es-ES"/>
        </w:rPr>
        <w:t>Señora</w:t>
      </w:r>
    </w:p>
    <w:p w14:paraId="2AFCED66" w14:textId="66C734E3" w:rsidR="002F61D0" w:rsidRPr="0019290D" w:rsidRDefault="002F61D0" w:rsidP="002F61D0">
      <w:pPr>
        <w:spacing w:after="0" w:line="240" w:lineRule="auto"/>
        <w:rPr>
          <w:rFonts w:ascii="Verdana" w:eastAsia="Calibri" w:hAnsi="Verdana" w:cs="Arial"/>
          <w:b/>
          <w:lang w:val="es-ES_tradnl" w:eastAsia="es-ES_tradnl"/>
        </w:rPr>
      </w:pPr>
      <w:r w:rsidRPr="0019290D">
        <w:rPr>
          <w:rFonts w:ascii="Verdana" w:eastAsia="Calibri" w:hAnsi="Verdana" w:cs="Arial"/>
          <w:b/>
          <w:lang w:val="es-ES_tradnl" w:eastAsia="es-ES_tradnl"/>
        </w:rPr>
        <w:t xml:space="preserve">María Del Mar Vélez Osorno </w:t>
      </w:r>
    </w:p>
    <w:p w14:paraId="442C2C9C" w14:textId="77777777" w:rsidR="002F61D0" w:rsidRPr="002F61D0" w:rsidRDefault="002F61D0" w:rsidP="002F61D0">
      <w:pPr>
        <w:spacing w:after="0" w:line="240" w:lineRule="auto"/>
        <w:rPr>
          <w:rFonts w:ascii="Verdana" w:eastAsia="Calibri" w:hAnsi="Verdana" w:cs="Arial"/>
          <w:color w:val="4472C4" w:themeColor="accent1"/>
          <w:u w:val="single"/>
          <w:lang w:val="es-ES" w:eastAsia="es-ES"/>
        </w:rPr>
      </w:pPr>
      <w:hyperlink r:id="rId12" w:history="1">
        <w:r w:rsidRPr="002F61D0">
          <w:rPr>
            <w:rStyle w:val="Hipervnculo"/>
            <w:rFonts w:ascii="Verdana" w:eastAsia="Calibri" w:hAnsi="Verdana" w:cs="Arial"/>
            <w:color w:val="4472C4" w:themeColor="accent1"/>
            <w:lang w:val="es-ES" w:eastAsia="es-ES"/>
          </w:rPr>
          <w:t>mvelez@crackthecode.la</w:t>
        </w:r>
      </w:hyperlink>
    </w:p>
    <w:p w14:paraId="6DB8433F" w14:textId="77777777" w:rsidR="002F61D0" w:rsidRPr="0019290D" w:rsidRDefault="002F61D0" w:rsidP="002F61D0">
      <w:pPr>
        <w:spacing w:after="0" w:line="240" w:lineRule="auto"/>
        <w:rPr>
          <w:rFonts w:ascii="Verdana" w:eastAsia="Calibri" w:hAnsi="Verdana" w:cs="Arial"/>
          <w:b/>
          <w:bCs/>
          <w:lang w:val="es-ES" w:eastAsia="es-ES"/>
        </w:rPr>
      </w:pPr>
      <w:r w:rsidRPr="0019290D">
        <w:rPr>
          <w:rFonts w:ascii="Verdana" w:eastAsia="Calibri" w:hAnsi="Verdana" w:cs="Arial"/>
          <w:lang w:val="es-ES" w:eastAsia="es-ES"/>
        </w:rPr>
        <w:t>Medellín, Antioquia</w:t>
      </w:r>
    </w:p>
    <w:p w14:paraId="50F8BB47" w14:textId="7B9C9F74" w:rsidR="002F61D0" w:rsidRDefault="00C63E26" w:rsidP="002F61D0">
      <w:pPr>
        <w:spacing w:after="0" w:line="240" w:lineRule="auto"/>
        <w:rPr>
          <w:rFonts w:ascii="Verdana" w:eastAsia="Calibri" w:hAnsi="Verdana" w:cs="Arial"/>
          <w:b/>
          <w:bCs/>
          <w:color w:val="000000"/>
          <w:lang w:val="es-ES_tradnl" w:eastAsia="es-ES_tradnl"/>
        </w:rPr>
      </w:pPr>
      <w:r w:rsidRPr="00C63E26">
        <w:rPr>
          <w:rFonts w:ascii="Verdana" w:eastAsia="Calibri" w:hAnsi="Verdana" w:cs="Arial"/>
          <w:b/>
          <w:bCs/>
          <w:noProof/>
          <w:color w:val="000000"/>
          <w:lang w:val="es-ES_tradnl" w:eastAsia="es-ES_tradnl"/>
        </w:rPr>
        <w:drawing>
          <wp:anchor distT="0" distB="0" distL="114300" distR="114300" simplePos="0" relativeHeight="251659264" behindDoc="0" locked="0" layoutInCell="1" allowOverlap="1" wp14:anchorId="43A16973" wp14:editId="429E2591">
            <wp:simplePos x="0" y="0"/>
            <wp:positionH relativeFrom="margin">
              <wp:align>right</wp:align>
            </wp:positionH>
            <wp:positionV relativeFrom="paragraph">
              <wp:posOffset>90805</wp:posOffset>
            </wp:positionV>
            <wp:extent cx="3277057" cy="933580"/>
            <wp:effectExtent l="0" t="0" r="0" b="0"/>
            <wp:wrapNone/>
            <wp:docPr id="92081549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15490" name="Imagen 1"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3277057" cy="933580"/>
                    </a:xfrm>
                    <a:prstGeom prst="rect">
                      <a:avLst/>
                    </a:prstGeom>
                  </pic:spPr>
                </pic:pic>
              </a:graphicData>
            </a:graphic>
          </wp:anchor>
        </w:drawing>
      </w:r>
    </w:p>
    <w:p w14:paraId="5BF2AE8E" w14:textId="77777777" w:rsidR="00C63E26" w:rsidRDefault="00C63E26" w:rsidP="002F61D0">
      <w:pPr>
        <w:spacing w:after="0" w:line="240" w:lineRule="auto"/>
        <w:rPr>
          <w:rFonts w:ascii="Verdana" w:eastAsia="Calibri" w:hAnsi="Verdana" w:cs="Arial"/>
          <w:b/>
          <w:bCs/>
          <w:color w:val="000000"/>
          <w:lang w:val="es-ES_tradnl" w:eastAsia="es-ES_tradnl"/>
        </w:rPr>
      </w:pPr>
    </w:p>
    <w:p w14:paraId="37B9E7A1" w14:textId="01942ABE" w:rsidR="00C63E26" w:rsidRDefault="00C63E26" w:rsidP="002F61D0">
      <w:pPr>
        <w:spacing w:after="0" w:line="240" w:lineRule="auto"/>
        <w:rPr>
          <w:rFonts w:ascii="Verdana" w:eastAsia="Calibri" w:hAnsi="Verdana" w:cs="Arial"/>
          <w:b/>
          <w:bCs/>
          <w:color w:val="000000"/>
          <w:lang w:val="es-ES_tradnl" w:eastAsia="es-ES_tradnl"/>
        </w:rPr>
      </w:pPr>
    </w:p>
    <w:p w14:paraId="4D56A280" w14:textId="77777777" w:rsidR="00C63E26" w:rsidRDefault="00C63E26" w:rsidP="002F61D0">
      <w:pPr>
        <w:spacing w:after="0" w:line="240" w:lineRule="auto"/>
        <w:rPr>
          <w:rFonts w:ascii="Verdana" w:eastAsia="Calibri" w:hAnsi="Verdana" w:cs="Arial"/>
          <w:b/>
          <w:bCs/>
          <w:color w:val="000000"/>
          <w:lang w:val="es-ES_tradnl" w:eastAsia="es-ES_tradnl"/>
        </w:rPr>
      </w:pPr>
    </w:p>
    <w:p w14:paraId="41F98762" w14:textId="58DF00E8" w:rsidR="00C63E26" w:rsidRPr="0019290D" w:rsidRDefault="00C63E26" w:rsidP="002F61D0">
      <w:pPr>
        <w:spacing w:after="0" w:line="240" w:lineRule="auto"/>
        <w:rPr>
          <w:rFonts w:ascii="Verdana" w:eastAsia="Calibri" w:hAnsi="Verdana" w:cs="Arial"/>
          <w:b/>
          <w:bCs/>
          <w:color w:val="000000"/>
          <w:lang w:val="es-ES_tradnl" w:eastAsia="es-ES_tradnl"/>
        </w:rPr>
      </w:pPr>
    </w:p>
    <w:p w14:paraId="71356224" w14:textId="77777777" w:rsidR="002F61D0" w:rsidRDefault="002F61D0" w:rsidP="002F61D0">
      <w:pPr>
        <w:spacing w:after="0" w:line="240" w:lineRule="auto"/>
        <w:rPr>
          <w:rFonts w:ascii="Verdana" w:eastAsia="Calibri" w:hAnsi="Verdana" w:cs="Arial"/>
          <w:b/>
          <w:bCs/>
          <w:lang w:val="es-ES_tradnl" w:eastAsia="es-ES_tradnl"/>
        </w:rPr>
      </w:pPr>
    </w:p>
    <w:p w14:paraId="3B06BB55" w14:textId="77777777" w:rsidR="006C16B5" w:rsidRPr="00F306CA" w:rsidRDefault="006C16B5" w:rsidP="002F61D0">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F61D0" w:rsidRPr="00F306CA" w14:paraId="1CE6CE1F" w14:textId="77777777" w:rsidTr="004B4FCC">
        <w:trPr>
          <w:trHeight w:val="884"/>
        </w:trPr>
        <w:tc>
          <w:tcPr>
            <w:tcW w:w="2689" w:type="dxa"/>
          </w:tcPr>
          <w:p w14:paraId="2802E6A1" w14:textId="77777777" w:rsidR="002F61D0" w:rsidRPr="00F306CA" w:rsidRDefault="002F61D0" w:rsidP="004B4FCC">
            <w:pPr>
              <w:jc w:val="both"/>
              <w:rPr>
                <w:rFonts w:ascii="Verdana" w:eastAsia="Calibri" w:hAnsi="Verdana" w:cs="Arial"/>
                <w:b/>
                <w:bCs/>
                <w:lang w:val="es-ES_tradnl" w:eastAsia="es-ES_tradnl"/>
              </w:rPr>
            </w:pPr>
          </w:p>
        </w:tc>
        <w:tc>
          <w:tcPr>
            <w:tcW w:w="6100" w:type="dxa"/>
          </w:tcPr>
          <w:p w14:paraId="12568987" w14:textId="5368EEC3" w:rsidR="002F61D0" w:rsidRPr="00F306CA" w:rsidRDefault="002F61D0" w:rsidP="004B4FCC">
            <w:pPr>
              <w:jc w:val="both"/>
              <w:rPr>
                <w:rFonts w:ascii="Verdana" w:eastAsia="Calibri" w:hAnsi="Verdana" w:cs="Arial"/>
                <w:b/>
                <w:bCs/>
                <w:lang w:val="es-ES" w:eastAsia="es-ES"/>
              </w:rPr>
            </w:pPr>
            <w:r w:rsidRPr="00F306CA">
              <w:rPr>
                <w:rFonts w:ascii="Verdana" w:eastAsia="Calibri" w:hAnsi="Verdana" w:cs="Arial"/>
                <w:b/>
                <w:bCs/>
                <w:lang w:val="es-ES" w:eastAsia="es-ES"/>
              </w:rPr>
              <w:t>Concepto C-544 de 2024</w:t>
            </w:r>
          </w:p>
        </w:tc>
      </w:tr>
      <w:tr w:rsidR="002F61D0" w:rsidRPr="00F306CA" w14:paraId="67120945" w14:textId="77777777" w:rsidTr="004B4FCC">
        <w:trPr>
          <w:trHeight w:val="884"/>
        </w:trPr>
        <w:tc>
          <w:tcPr>
            <w:tcW w:w="2689" w:type="dxa"/>
          </w:tcPr>
          <w:p w14:paraId="5D7E3913" w14:textId="77777777" w:rsidR="002F61D0" w:rsidRPr="00F306CA" w:rsidRDefault="002F61D0" w:rsidP="004B4FCC">
            <w:pPr>
              <w:jc w:val="both"/>
              <w:rPr>
                <w:rFonts w:ascii="Verdana" w:eastAsia="Calibri" w:hAnsi="Verdana" w:cs="Arial"/>
                <w:lang w:val="es-ES_tradnl" w:eastAsia="es-ES_tradnl"/>
              </w:rPr>
            </w:pPr>
            <w:r w:rsidRPr="00F306CA">
              <w:rPr>
                <w:rFonts w:ascii="Verdana" w:eastAsia="Calibri" w:hAnsi="Verdana" w:cs="Arial"/>
                <w:b/>
                <w:lang w:val="es-ES_tradnl" w:eastAsia="es-ES_tradnl"/>
              </w:rPr>
              <w:t>Temas:</w:t>
            </w:r>
            <w:r w:rsidRPr="00F306CA">
              <w:rPr>
                <w:rFonts w:ascii="Verdana" w:eastAsia="Calibri" w:hAnsi="Verdana" w:cs="Arial"/>
                <w:lang w:val="es-ES_tradnl" w:eastAsia="es-ES_tradnl"/>
              </w:rPr>
              <w:t xml:space="preserve">                   </w:t>
            </w:r>
          </w:p>
        </w:tc>
        <w:tc>
          <w:tcPr>
            <w:tcW w:w="6100" w:type="dxa"/>
          </w:tcPr>
          <w:p w14:paraId="4E60887C" w14:textId="77777777" w:rsidR="002F61D0" w:rsidRPr="00F306CA" w:rsidRDefault="002F61D0" w:rsidP="004B4FCC">
            <w:pPr>
              <w:spacing w:line="276" w:lineRule="auto"/>
              <w:jc w:val="both"/>
              <w:rPr>
                <w:rFonts w:ascii="Verdana" w:eastAsia="Calibri" w:hAnsi="Verdana" w:cs="Arial"/>
                <w:lang w:val="es-ES" w:eastAsia="es-ES"/>
              </w:rPr>
            </w:pPr>
            <w:r w:rsidRPr="00F306CA">
              <w:rPr>
                <w:rFonts w:ascii="Verdana" w:eastAsia="Calibri" w:hAnsi="Verdana" w:cs="Arial"/>
                <w:lang w:val="es-ES" w:eastAsia="es-ES"/>
              </w:rPr>
              <w:t xml:space="preserve">ACTIVIDADES DE CIENCIA, TECNOLOGÍA E INNOVACIÓN ― Regulación / ACTIVIDADES DE CIENCIA, TECNOLOGÍA E INNOVACIÓN ― Decreto 393 de 1991 ― Formas de asociación / CONVENIO ESPECIAL DE COOPERACIÓN ― Reglas ― Régimen jurídico </w:t>
            </w:r>
          </w:p>
          <w:p w14:paraId="6860DD2D" w14:textId="77777777" w:rsidR="002F61D0" w:rsidRPr="00F306CA" w:rsidRDefault="002F61D0" w:rsidP="004B4FCC">
            <w:pPr>
              <w:spacing w:line="276" w:lineRule="auto"/>
              <w:jc w:val="both"/>
              <w:rPr>
                <w:rFonts w:ascii="Verdana" w:eastAsia="Calibri" w:hAnsi="Verdana" w:cs="Arial"/>
                <w:lang w:val="es-ES" w:eastAsia="es-ES"/>
              </w:rPr>
            </w:pPr>
          </w:p>
        </w:tc>
      </w:tr>
      <w:tr w:rsidR="002F61D0" w:rsidRPr="00F306CA" w14:paraId="107FBE05" w14:textId="77777777" w:rsidTr="004B4FCC">
        <w:tc>
          <w:tcPr>
            <w:tcW w:w="2689" w:type="dxa"/>
          </w:tcPr>
          <w:p w14:paraId="39FA9AEC" w14:textId="77777777" w:rsidR="002F61D0" w:rsidRPr="00F306CA" w:rsidRDefault="002F61D0" w:rsidP="004B4FCC">
            <w:pPr>
              <w:jc w:val="both"/>
              <w:rPr>
                <w:rFonts w:ascii="Verdana" w:eastAsia="Calibri" w:hAnsi="Verdana" w:cs="Arial"/>
                <w:b/>
                <w:lang w:val="es-ES_tradnl" w:eastAsia="es-ES_tradnl"/>
              </w:rPr>
            </w:pPr>
            <w:r w:rsidRPr="00F306CA">
              <w:rPr>
                <w:rFonts w:ascii="Verdana" w:eastAsia="Calibri" w:hAnsi="Verdana" w:cs="Arial"/>
                <w:b/>
                <w:lang w:val="es-ES_tradnl" w:eastAsia="es-ES_tradnl"/>
              </w:rPr>
              <w:t>Radicación:</w:t>
            </w:r>
            <w:r w:rsidRPr="00F306CA">
              <w:rPr>
                <w:rFonts w:ascii="Verdana" w:eastAsia="Calibri" w:hAnsi="Verdana" w:cs="Arial"/>
                <w:lang w:val="es-ES_tradnl" w:eastAsia="es-ES_tradnl"/>
              </w:rPr>
              <w:t xml:space="preserve">               </w:t>
            </w:r>
          </w:p>
        </w:tc>
        <w:tc>
          <w:tcPr>
            <w:tcW w:w="6100" w:type="dxa"/>
          </w:tcPr>
          <w:p w14:paraId="5E161711" w14:textId="77777777" w:rsidR="002F61D0" w:rsidRPr="00F306CA" w:rsidRDefault="002F61D0" w:rsidP="004B4FCC">
            <w:pPr>
              <w:jc w:val="both"/>
              <w:rPr>
                <w:rFonts w:ascii="Verdana" w:eastAsia="Calibri" w:hAnsi="Verdana" w:cs="Arial"/>
                <w:lang w:val="es-ES_tradnl" w:eastAsia="es-ES_tradnl"/>
              </w:rPr>
            </w:pPr>
            <w:r w:rsidRPr="00F306CA">
              <w:rPr>
                <w:rFonts w:ascii="Verdana" w:eastAsia="Calibri" w:hAnsi="Verdana" w:cs="Arial"/>
                <w:lang w:val="es-ES_tradnl" w:eastAsia="es-ES_tradnl"/>
              </w:rPr>
              <w:t>Respuesta a consulta con radicado No. P20240830008861 &amp; P20240904008977</w:t>
            </w:r>
          </w:p>
        </w:tc>
      </w:tr>
    </w:tbl>
    <w:p w14:paraId="0FA98D4D" w14:textId="77777777" w:rsidR="002F61D0" w:rsidRPr="00F306CA" w:rsidRDefault="002F61D0" w:rsidP="002F61D0">
      <w:pPr>
        <w:spacing w:after="0" w:line="240" w:lineRule="auto"/>
        <w:jc w:val="both"/>
        <w:rPr>
          <w:rFonts w:ascii="Verdana" w:eastAsia="Calibri" w:hAnsi="Verdana" w:cs="Arial"/>
          <w:lang w:val="es-ES_tradnl" w:eastAsia="es-ES_tradnl"/>
        </w:rPr>
      </w:pPr>
    </w:p>
    <w:p w14:paraId="769E8163" w14:textId="77777777" w:rsidR="002F61D0" w:rsidRPr="00F306CA" w:rsidRDefault="002F61D0" w:rsidP="002F61D0">
      <w:pPr>
        <w:spacing w:after="0" w:line="240" w:lineRule="auto"/>
        <w:jc w:val="both"/>
        <w:rPr>
          <w:rFonts w:ascii="Verdana" w:eastAsia="Calibri" w:hAnsi="Verdana" w:cs="Arial"/>
          <w:lang w:val="es-ES_tradnl" w:eastAsia="es-ES_tradnl"/>
        </w:rPr>
      </w:pPr>
    </w:p>
    <w:p w14:paraId="39D69891" w14:textId="77777777" w:rsidR="002F61D0" w:rsidRPr="00F306CA" w:rsidRDefault="002F61D0" w:rsidP="002F61D0">
      <w:pPr>
        <w:spacing w:after="0" w:line="276" w:lineRule="auto"/>
        <w:jc w:val="both"/>
        <w:rPr>
          <w:rFonts w:ascii="Verdana" w:eastAsia="Calibri" w:hAnsi="Verdana" w:cs="Arial"/>
          <w:lang w:val="es-ES" w:eastAsia="es-ES"/>
        </w:rPr>
      </w:pPr>
      <w:r w:rsidRPr="00F306CA">
        <w:rPr>
          <w:rFonts w:ascii="Verdana" w:eastAsia="Calibri" w:hAnsi="Verdana" w:cs="Arial"/>
          <w:lang w:val="es-ES" w:eastAsia="es-ES"/>
        </w:rPr>
        <w:t xml:space="preserve">Estimada señora María Del Mar: </w:t>
      </w:r>
    </w:p>
    <w:p w14:paraId="78A7D833" w14:textId="77777777" w:rsidR="002F61D0" w:rsidRPr="00F306CA" w:rsidRDefault="002F61D0" w:rsidP="002F61D0">
      <w:pPr>
        <w:tabs>
          <w:tab w:val="left" w:pos="3768"/>
        </w:tabs>
        <w:spacing w:after="0" w:line="276" w:lineRule="auto"/>
        <w:jc w:val="both"/>
        <w:rPr>
          <w:rFonts w:ascii="Verdana" w:eastAsia="Calibri" w:hAnsi="Verdana" w:cs="Arial"/>
          <w:lang w:val="es-ES" w:eastAsia="es-ES"/>
        </w:rPr>
      </w:pPr>
      <w:r w:rsidRPr="00F306CA">
        <w:rPr>
          <w:rFonts w:ascii="Verdana" w:eastAsia="Calibri" w:hAnsi="Verdana" w:cs="Arial"/>
          <w:lang w:val="es-ES" w:eastAsia="es-ES"/>
        </w:rPr>
        <w:tab/>
      </w:r>
    </w:p>
    <w:p w14:paraId="5A1E2173" w14:textId="77777777" w:rsidR="002F61D0" w:rsidRPr="00F306CA" w:rsidRDefault="002F61D0" w:rsidP="002F61D0">
      <w:pPr>
        <w:spacing w:after="0" w:line="276" w:lineRule="auto"/>
        <w:jc w:val="both"/>
        <w:rPr>
          <w:rFonts w:ascii="Verdana" w:eastAsia="Calibri" w:hAnsi="Verdana" w:cs="Arial"/>
          <w:lang w:val="es-ES" w:eastAsia="es-ES"/>
        </w:rPr>
      </w:pPr>
      <w:r w:rsidRPr="00F306CA">
        <w:rPr>
          <w:rFonts w:ascii="Verdana" w:eastAsia="Calibri" w:hAnsi="Verdana" w:cs="Arial"/>
          <w:lang w:val="es-ES" w:eastAsia="es-ES"/>
        </w:rPr>
        <w:t>En ejercicio de la competencia otorgada por los artículos 3, numeral 5º, y 11, numeral 8º, del Decreto Ley 4170 de 2011,</w:t>
      </w:r>
      <w:r w:rsidRPr="00F306CA">
        <w:rPr>
          <w:rFonts w:ascii="Verdana" w:eastAsia="Arial MT" w:hAnsi="Verdana" w:cs="Arial MT"/>
          <w:lang w:val="es-ES" w:eastAsia="es-ES"/>
        </w:rPr>
        <w:t xml:space="preserve"> </w:t>
      </w:r>
      <w:r w:rsidRPr="00F306CA">
        <w:rPr>
          <w:rFonts w:ascii="Verdana" w:hAnsi="Verdana" w:cs="Arial"/>
        </w:rPr>
        <w:t xml:space="preserve">así como lo establecido en el artículo 4 de la Resolución 1707 de 2018 expedida por esta Entidad, </w:t>
      </w:r>
      <w:r w:rsidRPr="00F306CA">
        <w:rPr>
          <w:rFonts w:ascii="Verdana" w:eastAsia="Calibri" w:hAnsi="Verdana" w:cs="Arial"/>
          <w:lang w:val="es-ES" w:eastAsia="es-ES"/>
        </w:rPr>
        <w:t xml:space="preserve">la Agencia Nacional de Contratación Pública – Colombia Compra Eficiente– responde su solicitud de consulta de fecha 29 de agosto de 2024, remitida previamente por el Ministerio de Tecnologías de La Información y Las Comunicaciones de Colombia el 30 de agosto de 2024 con oficio remisorio No. 242106299, en la cual manifiesta lo siguiente: </w:t>
      </w:r>
    </w:p>
    <w:p w14:paraId="50F61B9B" w14:textId="77777777" w:rsidR="002F61D0" w:rsidRPr="00F306CA" w:rsidRDefault="002F61D0" w:rsidP="002F61D0">
      <w:pPr>
        <w:pStyle w:val="Prrafodelista"/>
        <w:tabs>
          <w:tab w:val="left" w:pos="142"/>
          <w:tab w:val="left" w:pos="284"/>
        </w:tabs>
        <w:spacing w:line="276" w:lineRule="auto"/>
        <w:ind w:left="0"/>
        <w:jc w:val="both"/>
        <w:rPr>
          <w:rFonts w:ascii="Verdana" w:eastAsia="Century Gothic" w:hAnsi="Verdana" w:cs="Century Gothic"/>
          <w:b/>
          <w:bCs/>
        </w:rPr>
      </w:pPr>
    </w:p>
    <w:p w14:paraId="0C8DF98E" w14:textId="77777777" w:rsidR="002F61D0" w:rsidRPr="00F306CA" w:rsidRDefault="002F61D0" w:rsidP="002F61D0">
      <w:pPr>
        <w:spacing w:after="0" w:line="240" w:lineRule="auto"/>
        <w:ind w:left="709" w:right="709"/>
        <w:jc w:val="both"/>
        <w:rPr>
          <w:rFonts w:ascii="Verdana" w:eastAsia="Century Gothic" w:hAnsi="Verdana" w:cs="Century Gothic"/>
          <w:sz w:val="20"/>
          <w:szCs w:val="20"/>
          <w:lang w:val="es-ES"/>
        </w:rPr>
      </w:pPr>
      <w:bookmarkStart w:id="0" w:name="_Hlk95313578"/>
      <w:r w:rsidRPr="00F306CA">
        <w:rPr>
          <w:rFonts w:ascii="Verdana" w:eastAsia="Century Gothic" w:hAnsi="Verdana" w:cs="Century Gothic"/>
          <w:sz w:val="20"/>
          <w:szCs w:val="20"/>
          <w:lang w:val="es-ES"/>
        </w:rPr>
        <w:t>“[…]</w:t>
      </w:r>
    </w:p>
    <w:p w14:paraId="3DAB73CF" w14:textId="77777777" w:rsidR="002F61D0" w:rsidRPr="00F306CA" w:rsidRDefault="002F61D0" w:rsidP="002F61D0">
      <w:pPr>
        <w:spacing w:after="0" w:line="240" w:lineRule="auto"/>
        <w:ind w:left="709" w:right="709"/>
        <w:jc w:val="both"/>
        <w:rPr>
          <w:rFonts w:ascii="Verdana" w:hAnsi="Verdana" w:cs="Arial"/>
          <w:sz w:val="20"/>
          <w:szCs w:val="20"/>
          <w:shd w:val="clear" w:color="auto" w:fill="FFFFFF"/>
        </w:rPr>
      </w:pPr>
      <w:r w:rsidRPr="00F306CA">
        <w:rPr>
          <w:rFonts w:ascii="Verdana" w:hAnsi="Verdana" w:cs="Arial"/>
          <w:sz w:val="20"/>
          <w:szCs w:val="20"/>
          <w:shd w:val="clear" w:color="auto" w:fill="FFFFFF"/>
        </w:rPr>
        <w:lastRenderedPageBreak/>
        <w:t xml:space="preserve">1. Que el Decreto 393 de 1991 dictó normas sobre asociación para actividades científicas y tecnológicas, proyectos de investigación y creación de tecnologías. </w:t>
      </w:r>
    </w:p>
    <w:p w14:paraId="7586A104" w14:textId="77777777" w:rsidR="002F61D0" w:rsidRPr="00F306CA" w:rsidRDefault="002F61D0" w:rsidP="002F61D0">
      <w:pPr>
        <w:spacing w:after="0" w:line="240" w:lineRule="auto"/>
        <w:ind w:left="709" w:right="709"/>
        <w:jc w:val="both"/>
        <w:rPr>
          <w:rFonts w:ascii="Verdana" w:hAnsi="Verdana" w:cs="Arial"/>
          <w:sz w:val="20"/>
          <w:szCs w:val="20"/>
          <w:shd w:val="clear" w:color="auto" w:fill="FFFFFF"/>
        </w:rPr>
      </w:pPr>
      <w:r w:rsidRPr="00F306CA">
        <w:rPr>
          <w:rFonts w:ascii="Verdana" w:hAnsi="Verdana" w:cs="Arial"/>
          <w:sz w:val="20"/>
          <w:szCs w:val="20"/>
          <w:shd w:val="clear" w:color="auto" w:fill="FFFFFF"/>
        </w:rPr>
        <w:t xml:space="preserve">2. Que, ese mismo Decreto autorizó a la Nación y sus entidades descentralizadas para asociarse con particulares con el fin de adelantar actividades científicas y tecnológicas proyectos de investigación y creación de tecnologías bajo dos modalidades: i) Mediante la creación y organización de sociedades civiles y comerciales y personas jurídicas sin ánimo de lucro como corporaciones y fundaciones; y ii) Mediante la celebración de convenios especiales de cooperación. </w:t>
      </w:r>
    </w:p>
    <w:p w14:paraId="48DC07F8" w14:textId="77777777" w:rsidR="002F61D0" w:rsidRPr="00F306CA" w:rsidRDefault="002F61D0" w:rsidP="002F61D0">
      <w:pPr>
        <w:spacing w:after="0" w:line="240" w:lineRule="auto"/>
        <w:ind w:left="709" w:right="709"/>
        <w:jc w:val="both"/>
        <w:rPr>
          <w:rFonts w:ascii="Verdana" w:hAnsi="Verdana" w:cs="Arial"/>
          <w:sz w:val="20"/>
          <w:szCs w:val="20"/>
          <w:shd w:val="clear" w:color="auto" w:fill="FFFFFF"/>
        </w:rPr>
      </w:pPr>
      <w:r w:rsidRPr="00F306CA">
        <w:rPr>
          <w:rFonts w:ascii="Verdana" w:hAnsi="Verdana" w:cs="Arial"/>
          <w:sz w:val="20"/>
          <w:szCs w:val="20"/>
          <w:shd w:val="clear" w:color="auto" w:fill="FFFFFF"/>
        </w:rPr>
        <w:t xml:space="preserve">3. Que es interés nuestro conocer si para la suscripción de la segunda modalidad de asociación, es decir, la celebración de un convenio especial de cooperación en el ámbito de ese Decreto se tiene habilitada por parte del Ministerio alguna especie de certificación que acredite que las actividades que se adelantarán corresponde a actividades científicas o tecnológicas o análogas. </w:t>
      </w:r>
    </w:p>
    <w:p w14:paraId="3C2A9620" w14:textId="77777777" w:rsidR="002F61D0" w:rsidRPr="00F306CA" w:rsidRDefault="002F61D0" w:rsidP="002F61D0">
      <w:pPr>
        <w:spacing w:after="0" w:line="240" w:lineRule="auto"/>
        <w:ind w:left="709" w:right="709"/>
        <w:jc w:val="both"/>
        <w:rPr>
          <w:rFonts w:ascii="Verdana" w:eastAsia="Century Gothic" w:hAnsi="Verdana" w:cs="Century Gothic"/>
          <w:sz w:val="20"/>
          <w:szCs w:val="20"/>
          <w:lang w:val="es-ES"/>
        </w:rPr>
      </w:pPr>
      <w:r w:rsidRPr="00F306CA">
        <w:rPr>
          <w:rFonts w:ascii="Verdana" w:hAnsi="Verdana" w:cs="Arial"/>
          <w:sz w:val="20"/>
          <w:szCs w:val="20"/>
          <w:shd w:val="clear" w:color="auto" w:fill="FFFFFF"/>
        </w:rPr>
        <w:t xml:space="preserve">4. Que en caso de no tener habilitada dicha certificación, se nos indique, los requisitos legales que se deben cumplir para que un particular pueda suscribir un convenio especial de cooperación con una entidad pública en el marco del Decreto 393 de 1991. </w:t>
      </w:r>
      <w:r w:rsidRPr="00F306CA">
        <w:rPr>
          <w:rStyle w:val="normaltextrun"/>
          <w:rFonts w:ascii="Verdana" w:hAnsi="Verdana" w:cs="Arial"/>
          <w:sz w:val="20"/>
          <w:szCs w:val="20"/>
          <w:shd w:val="clear" w:color="auto" w:fill="FFFFFF"/>
          <w:lang w:val="es-ES"/>
        </w:rPr>
        <w:t xml:space="preserve"> […]</w:t>
      </w:r>
      <w:r w:rsidRPr="00F306CA">
        <w:rPr>
          <w:rFonts w:ascii="Verdana" w:eastAsia="Century Gothic" w:hAnsi="Verdana" w:cs="Century Gothic"/>
          <w:sz w:val="20"/>
          <w:szCs w:val="20"/>
          <w:lang w:val="es-ES"/>
        </w:rPr>
        <w:t>”</w:t>
      </w:r>
      <w:bookmarkEnd w:id="0"/>
      <w:r w:rsidRPr="00F306CA">
        <w:rPr>
          <w:rFonts w:ascii="Verdana" w:eastAsia="Century Gothic" w:hAnsi="Verdana" w:cs="Century Gothic"/>
          <w:sz w:val="20"/>
          <w:szCs w:val="20"/>
          <w:lang w:val="es-ES"/>
        </w:rPr>
        <w:t xml:space="preserve"> (SIC).</w:t>
      </w:r>
    </w:p>
    <w:p w14:paraId="48CE2C15" w14:textId="77777777" w:rsidR="002F61D0" w:rsidRPr="00F306CA" w:rsidRDefault="002F61D0" w:rsidP="002F61D0">
      <w:pPr>
        <w:pStyle w:val="Prrafodelista"/>
        <w:tabs>
          <w:tab w:val="left" w:pos="142"/>
          <w:tab w:val="left" w:pos="284"/>
        </w:tabs>
        <w:spacing w:line="276" w:lineRule="auto"/>
        <w:ind w:left="0"/>
        <w:jc w:val="both"/>
        <w:rPr>
          <w:rFonts w:ascii="Verdana" w:eastAsia="Century Gothic" w:hAnsi="Verdana" w:cs="Century Gothic"/>
          <w:b/>
          <w:bCs/>
        </w:rPr>
      </w:pPr>
    </w:p>
    <w:p w14:paraId="287DEF08" w14:textId="77777777" w:rsidR="002F61D0" w:rsidRPr="00F306CA" w:rsidRDefault="002F61D0" w:rsidP="002F61D0">
      <w:pPr>
        <w:spacing w:after="120" w:line="276" w:lineRule="auto"/>
        <w:ind w:firstLine="709"/>
        <w:jc w:val="both"/>
        <w:rPr>
          <w:rFonts w:ascii="Verdana" w:eastAsia="Calibri" w:hAnsi="Verdana" w:cs="Arial"/>
          <w:szCs w:val="24"/>
          <w:lang w:val="es-ES_tradnl" w:eastAsia="es-ES_tradnl"/>
        </w:rPr>
      </w:pPr>
      <w:r w:rsidRPr="00F306CA">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306CA">
        <w:rPr>
          <w:rFonts w:ascii="Verdana" w:eastAsia="Calibri" w:hAnsi="Verdana" w:cs="Arial"/>
          <w:szCs w:val="24"/>
          <w:lang w:val="es-ES_tradnl" w:eastAsia="es-ES_tradnl"/>
        </w:rPr>
        <w:tab/>
      </w:r>
    </w:p>
    <w:p w14:paraId="0247D1BD" w14:textId="77777777" w:rsidR="002F61D0" w:rsidRPr="00F306CA" w:rsidRDefault="002F61D0" w:rsidP="002F61D0">
      <w:pPr>
        <w:spacing w:after="0" w:line="276" w:lineRule="auto"/>
        <w:ind w:firstLine="709"/>
        <w:jc w:val="both"/>
        <w:rPr>
          <w:rFonts w:ascii="Verdana" w:eastAsia="Calibri" w:hAnsi="Verdana" w:cs="Arial"/>
          <w:lang w:val="es-ES" w:eastAsia="es-ES"/>
        </w:rPr>
      </w:pPr>
      <w:r w:rsidRPr="00F306CA">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1845EC3F" w14:textId="77777777" w:rsidR="002F61D0" w:rsidRPr="00F306CA" w:rsidRDefault="002F61D0" w:rsidP="002F61D0">
      <w:pPr>
        <w:spacing w:after="0" w:line="276" w:lineRule="auto"/>
        <w:ind w:firstLine="709"/>
        <w:jc w:val="both"/>
        <w:rPr>
          <w:rFonts w:ascii="Verdana" w:eastAsia="Calibri" w:hAnsi="Verdana" w:cs="Arial"/>
          <w:lang w:val="es-ES" w:eastAsia="es-ES"/>
        </w:rPr>
      </w:pPr>
    </w:p>
    <w:p w14:paraId="4D84E349" w14:textId="77777777" w:rsidR="002F61D0" w:rsidRPr="00F306CA" w:rsidRDefault="002F61D0" w:rsidP="002F61D0">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F306CA">
        <w:rPr>
          <w:rFonts w:ascii="Verdana" w:eastAsia="Century Gothic" w:hAnsi="Verdana" w:cs="Century Gothic"/>
          <w:b/>
          <w:bCs/>
        </w:rPr>
        <w:t>Problema planteado:</w:t>
      </w:r>
    </w:p>
    <w:p w14:paraId="7E10536A" w14:textId="77777777" w:rsidR="002F61D0" w:rsidRPr="00F306CA" w:rsidRDefault="002F61D0" w:rsidP="002F61D0">
      <w:pPr>
        <w:tabs>
          <w:tab w:val="left" w:pos="426"/>
        </w:tabs>
        <w:spacing w:after="0" w:line="276" w:lineRule="auto"/>
        <w:jc w:val="both"/>
        <w:rPr>
          <w:rFonts w:ascii="Verdana" w:eastAsia="Century Gothic" w:hAnsi="Verdana" w:cs="Century Gothic"/>
          <w:lang w:val="es-ES"/>
        </w:rPr>
      </w:pPr>
    </w:p>
    <w:p w14:paraId="535CF8ED" w14:textId="587F2D3B" w:rsidR="002F61D0" w:rsidRPr="00F306CA" w:rsidRDefault="002F61D0" w:rsidP="002F61D0">
      <w:pPr>
        <w:spacing w:after="0" w:line="276" w:lineRule="auto"/>
        <w:jc w:val="both"/>
        <w:rPr>
          <w:rFonts w:ascii="Verdana" w:eastAsia="Century Gothic" w:hAnsi="Verdana" w:cs="Century Gothic"/>
        </w:rPr>
      </w:pPr>
      <w:r w:rsidRPr="00F306CA">
        <w:rPr>
          <w:rFonts w:ascii="Verdana" w:eastAsia="Century Gothic" w:hAnsi="Verdana" w:cs="Century Gothic"/>
        </w:rPr>
        <w:lastRenderedPageBreak/>
        <w:t>De acuerdo con el contenido de su solicitud, esta Agencia resolverá el siguiente problema jurídico: ¿</w:t>
      </w:r>
      <w:r w:rsidR="009F1566">
        <w:rPr>
          <w:rFonts w:ascii="Verdana" w:eastAsia="Century Gothic" w:hAnsi="Verdana" w:cs="Century Gothic"/>
        </w:rPr>
        <w:t>C</w:t>
      </w:r>
      <w:r w:rsidRPr="00F306CA">
        <w:rPr>
          <w:rFonts w:ascii="Verdana" w:eastAsia="Century Gothic" w:hAnsi="Verdana" w:cs="Century Gothic"/>
        </w:rPr>
        <w:t xml:space="preserve">uál es el trámite para la suscripción del convenio especial de cooperación? </w:t>
      </w:r>
    </w:p>
    <w:p w14:paraId="30C679D6" w14:textId="77777777" w:rsidR="002F61D0" w:rsidRPr="00F306CA" w:rsidRDefault="002F61D0" w:rsidP="002F61D0">
      <w:pPr>
        <w:spacing w:after="0" w:line="276" w:lineRule="auto"/>
        <w:jc w:val="both"/>
        <w:rPr>
          <w:rFonts w:ascii="Verdana" w:eastAsia="Calibri" w:hAnsi="Verdana" w:cs="Arial"/>
          <w:lang w:val="es-ES"/>
        </w:rPr>
      </w:pPr>
    </w:p>
    <w:p w14:paraId="493CC322" w14:textId="77777777" w:rsidR="002F61D0" w:rsidRPr="00F306CA" w:rsidRDefault="002F61D0" w:rsidP="002F61D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306CA">
        <w:rPr>
          <w:rFonts w:ascii="Verdana" w:eastAsia="Century Gothic" w:hAnsi="Verdana" w:cs="Century Gothic"/>
          <w:b/>
          <w:bCs/>
        </w:rPr>
        <w:t>Respuesta:</w:t>
      </w:r>
    </w:p>
    <w:p w14:paraId="3B16D8A0" w14:textId="77777777" w:rsidR="002F61D0" w:rsidRPr="00F306CA" w:rsidRDefault="002F61D0" w:rsidP="002F61D0">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F61D0" w:rsidRPr="00F306CA" w14:paraId="5A79E6D2" w14:textId="77777777" w:rsidTr="004B4FCC">
        <w:tc>
          <w:tcPr>
            <w:tcW w:w="8828" w:type="dxa"/>
            <w:shd w:val="clear" w:color="auto" w:fill="auto"/>
          </w:tcPr>
          <w:p w14:paraId="5A17F0A6" w14:textId="21F719C9" w:rsidR="00E974F0" w:rsidRPr="00EF6E71" w:rsidRDefault="00E974F0" w:rsidP="00EF6E71">
            <w:pPr>
              <w:spacing w:line="276" w:lineRule="auto"/>
              <w:jc w:val="both"/>
              <w:rPr>
                <w:rFonts w:ascii="Verdana" w:eastAsia="Calibri" w:hAnsi="Verdana" w:cs="Arial"/>
                <w:lang w:val="es-ES"/>
              </w:rPr>
            </w:pPr>
            <w:r w:rsidRPr="00EF6E71">
              <w:rPr>
                <w:rFonts w:ascii="Verdana" w:eastAsia="Calibri" w:hAnsi="Verdana" w:cs="Arial"/>
                <w:lang w:val="es-ES"/>
              </w:rPr>
              <w:t xml:space="preserve">Para la Suscripción del convenio especial de Cooperación, la entidad contratante deberá cumplir </w:t>
            </w:r>
            <w:r w:rsidR="002F61D0" w:rsidRPr="00EF6E71">
              <w:rPr>
                <w:rFonts w:ascii="Verdana" w:eastAsia="Calibri" w:hAnsi="Verdana" w:cs="Arial"/>
                <w:lang w:val="es-ES"/>
              </w:rPr>
              <w:t>con los presupuestos para su celebración establecidos en el artículo 7 del Decreto Ley 393 de 1991, es decir</w:t>
            </w:r>
            <w:r w:rsidRPr="00EF6E71">
              <w:rPr>
                <w:rFonts w:ascii="Verdana" w:eastAsia="Calibri" w:hAnsi="Verdana" w:cs="Arial"/>
                <w:lang w:val="es-ES"/>
              </w:rPr>
              <w:t xml:space="preserve">, </w:t>
            </w:r>
          </w:p>
          <w:p w14:paraId="12B47554" w14:textId="77777777" w:rsidR="00E974F0" w:rsidRPr="00EF6E71" w:rsidRDefault="00E974F0" w:rsidP="00EF6E71">
            <w:pPr>
              <w:spacing w:line="276" w:lineRule="auto"/>
              <w:jc w:val="both"/>
              <w:rPr>
                <w:rFonts w:ascii="Verdana" w:eastAsia="Calibri" w:hAnsi="Verdana" w:cs="Arial"/>
                <w:lang w:val="es-ES"/>
              </w:rPr>
            </w:pPr>
          </w:p>
          <w:p w14:paraId="3071708B" w14:textId="61F910B4" w:rsidR="00E974F0" w:rsidRPr="00EF6E71" w:rsidRDefault="00E974F0" w:rsidP="00EF6E71">
            <w:pPr>
              <w:spacing w:line="276" w:lineRule="auto"/>
              <w:jc w:val="both"/>
              <w:rPr>
                <w:rFonts w:ascii="Verdana" w:eastAsia="Calibri" w:hAnsi="Verdana" w:cs="Arial"/>
              </w:rPr>
            </w:pPr>
            <w:r w:rsidRPr="00EF6E71">
              <w:rPr>
                <w:rFonts w:ascii="Verdana" w:eastAsia="Calibri" w:hAnsi="Verdana" w:cs="Arial"/>
                <w:lang w:val="es-ES"/>
              </w:rPr>
              <w:t xml:space="preserve">“(…) </w:t>
            </w:r>
            <w:r w:rsidRPr="00EF6E71">
              <w:rPr>
                <w:rFonts w:ascii="Verdana" w:eastAsia="Calibri" w:hAnsi="Verdana" w:cs="Arial"/>
              </w:rPr>
              <w:t xml:space="preserve">1. No existirá régimen de solidaridad entre las personas que lo celebren, pues cada una responderá por las obligaciones que específicamente asume en virtud del convenio. </w:t>
            </w:r>
          </w:p>
          <w:p w14:paraId="69DC6C50" w14:textId="77777777" w:rsidR="00E974F0" w:rsidRPr="00EF6E71" w:rsidRDefault="00E974F0" w:rsidP="00EF6E71">
            <w:pPr>
              <w:spacing w:line="276" w:lineRule="auto"/>
              <w:jc w:val="both"/>
              <w:rPr>
                <w:rFonts w:ascii="Verdana" w:eastAsia="Calibri" w:hAnsi="Verdana" w:cs="Arial"/>
              </w:rPr>
            </w:pPr>
            <w:r w:rsidRPr="00EF6E71">
              <w:rPr>
                <w:rFonts w:ascii="Verdana" w:eastAsia="Calibri" w:hAnsi="Verdana" w:cs="Arial"/>
              </w:rPr>
              <w:t>2. Se precisará la propiedad de todos los resultados que se obtengan y los derechos de las partes sobre los mismos.</w:t>
            </w:r>
          </w:p>
          <w:p w14:paraId="49D6F2E8" w14:textId="4CFA6DC6" w:rsidR="00E974F0" w:rsidRPr="00EF6E71" w:rsidRDefault="00E974F0" w:rsidP="00EF6E71">
            <w:pPr>
              <w:spacing w:line="276" w:lineRule="auto"/>
              <w:jc w:val="both"/>
              <w:rPr>
                <w:rFonts w:ascii="Verdana" w:eastAsia="Calibri" w:hAnsi="Verdana" w:cs="Arial"/>
              </w:rPr>
            </w:pPr>
            <w:r w:rsidRPr="00EF6E71">
              <w:rPr>
                <w:rFonts w:ascii="Verdana" w:eastAsia="Calibri" w:hAnsi="Verdana" w:cs="Arial"/>
              </w:rPr>
              <w:t>3. Se definir</w:t>
            </w:r>
            <w:r w:rsidR="00A5660A" w:rsidRPr="00EF6E71">
              <w:rPr>
                <w:rFonts w:ascii="Verdana" w:eastAsia="Calibri" w:hAnsi="Verdana" w:cs="Arial"/>
              </w:rPr>
              <w:t>a</w:t>
            </w:r>
            <w:r w:rsidRPr="00EF6E71">
              <w:rPr>
                <w:rFonts w:ascii="Verdana" w:eastAsia="Calibri" w:hAnsi="Verdana" w:cs="Arial"/>
              </w:rPr>
              <w:t>n las obligaciones contractuales, especialmente de orden laboral, que asumen cada una de las partes.</w:t>
            </w:r>
          </w:p>
          <w:p w14:paraId="5631795C" w14:textId="77777777" w:rsidR="00E974F0" w:rsidRPr="00EF6E71" w:rsidRDefault="00E974F0" w:rsidP="00EF6E71">
            <w:pPr>
              <w:spacing w:line="276" w:lineRule="auto"/>
              <w:jc w:val="both"/>
              <w:rPr>
                <w:rFonts w:ascii="Verdana" w:eastAsia="Calibri" w:hAnsi="Verdana" w:cs="Arial"/>
              </w:rPr>
            </w:pPr>
            <w:r w:rsidRPr="00EF6E71">
              <w:rPr>
                <w:rFonts w:ascii="Verdana" w:eastAsia="Calibri" w:hAnsi="Verdana" w:cs="Arial"/>
              </w:rPr>
              <w:t>4. El manejo de recursos aportados para la ejecución del convenio podrá efectuarse mediante encargo fiduciario o cualquier otro sistema de administración. </w:t>
            </w:r>
          </w:p>
          <w:p w14:paraId="43099869" w14:textId="558F19F5" w:rsidR="00E974F0" w:rsidRPr="00EF6E71" w:rsidRDefault="00E974F0" w:rsidP="00EF6E71">
            <w:pPr>
              <w:spacing w:line="276" w:lineRule="auto"/>
              <w:jc w:val="both"/>
              <w:rPr>
                <w:rFonts w:ascii="Verdana" w:eastAsia="Calibri" w:hAnsi="Verdana" w:cs="Arial"/>
              </w:rPr>
            </w:pPr>
            <w:r w:rsidRPr="00EF6E71">
              <w:rPr>
                <w:rFonts w:ascii="Verdana" w:eastAsia="Calibri" w:hAnsi="Verdana" w:cs="Arial"/>
              </w:rPr>
              <w:t>5. Estos convenios se regirán por las normas del Derecho Privado”</w:t>
            </w:r>
          </w:p>
          <w:p w14:paraId="2C2F18A7" w14:textId="5B901A04" w:rsidR="00E974F0" w:rsidRPr="00EF6E71" w:rsidRDefault="00E974F0" w:rsidP="00EF6E71">
            <w:pPr>
              <w:spacing w:line="276" w:lineRule="auto"/>
              <w:jc w:val="both"/>
              <w:rPr>
                <w:rFonts w:ascii="Verdana" w:eastAsia="Calibri" w:hAnsi="Verdana" w:cs="Arial"/>
                <w:lang w:val="es-ES"/>
              </w:rPr>
            </w:pPr>
          </w:p>
          <w:p w14:paraId="7E00394C" w14:textId="702E57AD" w:rsidR="00A5660A" w:rsidRPr="00EF6E71" w:rsidRDefault="00A5660A" w:rsidP="00EF6E71">
            <w:pPr>
              <w:spacing w:line="276" w:lineRule="auto"/>
              <w:jc w:val="both"/>
              <w:rPr>
                <w:rFonts w:ascii="Verdana" w:eastAsia="Calibri" w:hAnsi="Verdana" w:cs="Arial"/>
              </w:rPr>
            </w:pPr>
            <w:r w:rsidRPr="00EF6E71">
              <w:rPr>
                <w:rFonts w:ascii="Verdana" w:eastAsia="Calibri" w:hAnsi="Verdana" w:cs="Arial"/>
                <w:lang w:val="es-ES"/>
              </w:rPr>
              <w:t>Así</w:t>
            </w:r>
            <w:r w:rsidR="00E974F0" w:rsidRPr="00EF6E71">
              <w:rPr>
                <w:rFonts w:ascii="Verdana" w:eastAsia="Calibri" w:hAnsi="Verdana" w:cs="Arial"/>
                <w:lang w:val="es-ES"/>
              </w:rPr>
              <w:t xml:space="preserve"> mismo, </w:t>
            </w:r>
            <w:r w:rsidR="002F61D0" w:rsidRPr="00EF6E71">
              <w:rPr>
                <w:rFonts w:ascii="Verdana" w:eastAsia="Calibri" w:hAnsi="Verdana" w:cs="Arial"/>
                <w:lang w:val="es-ES"/>
              </w:rPr>
              <w:t xml:space="preserve">el artículo 8 </w:t>
            </w:r>
            <w:r w:rsidR="002F61D0" w:rsidRPr="00EF6E71">
              <w:rPr>
                <w:rFonts w:ascii="Verdana" w:eastAsia="Calibri" w:hAnsi="Verdana" w:cs="Arial"/>
                <w:i/>
                <w:iCs/>
                <w:lang w:val="es-ES"/>
              </w:rPr>
              <w:t>ibídem</w:t>
            </w:r>
            <w:r w:rsidR="002F61D0" w:rsidRPr="00EF6E71">
              <w:rPr>
                <w:rFonts w:ascii="Verdana" w:eastAsia="Calibri" w:hAnsi="Verdana" w:cs="Arial"/>
                <w:lang w:val="es-ES"/>
              </w:rPr>
              <w:t xml:space="preserve">, establece los requisitos de perfeccionamiento de los convenios especiales de cooperación, los cuales disponen que </w:t>
            </w:r>
            <w:r w:rsidR="002F61D0" w:rsidRPr="00EF6E71">
              <w:rPr>
                <w:rFonts w:ascii="Verdana" w:eastAsia="Calibri" w:hAnsi="Verdana" w:cs="Arial"/>
                <w:i/>
                <w:iCs/>
                <w:lang w:val="es-ES"/>
              </w:rPr>
              <w:t xml:space="preserve">“[…] </w:t>
            </w:r>
            <w:r w:rsidR="002F61D0" w:rsidRPr="00EF6E71">
              <w:rPr>
                <w:rFonts w:ascii="Verdana" w:eastAsia="Calibri" w:hAnsi="Verdana" w:cs="Arial"/>
                <w:i/>
                <w:iCs/>
              </w:rPr>
              <w:t>siempre deberá constar por escrito, contendrá como mínimo cláusulas que determinen: su objeto, término de duración, mecanismos de administración, sistemas de contabilización, causales de terminación y cesión”</w:t>
            </w:r>
            <w:r w:rsidR="002F61D0" w:rsidRPr="00EF6E71">
              <w:rPr>
                <w:rFonts w:ascii="Verdana" w:eastAsia="Calibri" w:hAnsi="Verdana" w:cs="Arial"/>
              </w:rPr>
              <w:t xml:space="preserve">. </w:t>
            </w:r>
          </w:p>
          <w:p w14:paraId="2DD9B951" w14:textId="77777777" w:rsidR="00A5660A" w:rsidRPr="00EF6E71" w:rsidRDefault="00A5660A" w:rsidP="00EF6E71">
            <w:pPr>
              <w:spacing w:line="276" w:lineRule="auto"/>
              <w:jc w:val="both"/>
              <w:rPr>
                <w:rFonts w:ascii="Verdana" w:eastAsia="Calibri" w:hAnsi="Verdana" w:cs="Arial"/>
              </w:rPr>
            </w:pPr>
          </w:p>
          <w:p w14:paraId="0845A9B9" w14:textId="168AEB34" w:rsidR="002F61D0" w:rsidRPr="00EF6E71" w:rsidRDefault="002F61D0" w:rsidP="00EF6E71">
            <w:pPr>
              <w:spacing w:line="276" w:lineRule="auto"/>
              <w:jc w:val="both"/>
              <w:rPr>
                <w:rFonts w:ascii="Verdana" w:eastAsia="Calibri" w:hAnsi="Verdana" w:cs="Arial"/>
                <w:lang w:val="es-ES"/>
              </w:rPr>
            </w:pPr>
            <w:r w:rsidRPr="00EF6E71">
              <w:rPr>
                <w:rFonts w:ascii="Verdana" w:eastAsia="Calibri" w:hAnsi="Verdana" w:cs="Arial"/>
              </w:rPr>
              <w:t xml:space="preserve">Sin embargo, es de especial observancia que, </w:t>
            </w:r>
            <w:r w:rsidRPr="00EF6E71">
              <w:rPr>
                <w:rFonts w:ascii="Verdana" w:eastAsia="Calibri" w:hAnsi="Verdana" w:cs="Arial"/>
                <w:lang w:val="es-ES"/>
              </w:rPr>
              <w:t xml:space="preserve">a pesar de que, de forma enunciativa, establece unos requisitos mínimos para su celebración, es importante resaltar que, en su </w:t>
            </w:r>
            <w:r w:rsidR="00A5660A" w:rsidRPr="00EF6E71">
              <w:rPr>
                <w:rFonts w:ascii="Verdana" w:eastAsia="Calibri" w:hAnsi="Verdana" w:cs="Arial"/>
                <w:lang w:val="es-ES"/>
              </w:rPr>
              <w:t xml:space="preserve">único </w:t>
            </w:r>
            <w:r w:rsidRPr="00EF6E71">
              <w:rPr>
                <w:rFonts w:ascii="Verdana" w:eastAsia="Calibri" w:hAnsi="Verdana" w:cs="Arial"/>
                <w:lang w:val="es-ES"/>
              </w:rPr>
              <w:t xml:space="preserve">parágrafo, el artículo establece que este convenio </w:t>
            </w:r>
            <w:r w:rsidRPr="00EF6E71">
              <w:rPr>
                <w:rFonts w:ascii="Verdana" w:eastAsia="Calibri" w:hAnsi="Verdana" w:cs="Arial"/>
                <w:i/>
                <w:iCs/>
                <w:lang w:val="es-ES"/>
              </w:rPr>
              <w:t xml:space="preserve">“no requiere para su celebración y validez </w:t>
            </w:r>
            <w:r w:rsidRPr="00EF6E71">
              <w:rPr>
                <w:rFonts w:ascii="Verdana" w:eastAsia="Calibri" w:hAnsi="Verdana" w:cs="Arial"/>
                <w:i/>
                <w:iCs/>
                <w:u w:val="single"/>
                <w:lang w:val="es-ES"/>
              </w:rPr>
              <w:t>requisitos distintos de los propios de la contratación entre</w:t>
            </w:r>
            <w:r w:rsidRPr="00EF6E71">
              <w:rPr>
                <w:rFonts w:ascii="Verdana" w:eastAsia="Calibri" w:hAnsi="Verdana" w:cs="Arial"/>
                <w:i/>
                <w:iCs/>
                <w:lang w:val="es-ES"/>
              </w:rPr>
              <w:t xml:space="preserve"> particulares”</w:t>
            </w:r>
            <w:r w:rsidRPr="00EF6E71">
              <w:rPr>
                <w:rFonts w:ascii="Verdana" w:eastAsia="Calibri" w:hAnsi="Verdana" w:cs="Arial"/>
                <w:lang w:val="es-ES"/>
              </w:rPr>
              <w:t>, por lo que no realiza de forma extensiva una fijación de requisitos especiales adicionales a los que por la naturaleza del convenio, y por lo establecido por el derecho privado, se esperarían para su perfeccionamiento</w:t>
            </w:r>
          </w:p>
          <w:p w14:paraId="527BEBFB" w14:textId="36A38085" w:rsidR="00E974F0" w:rsidRPr="00EF6E71" w:rsidRDefault="00E974F0" w:rsidP="00EF6E71">
            <w:pPr>
              <w:spacing w:line="276" w:lineRule="auto"/>
              <w:jc w:val="both"/>
              <w:rPr>
                <w:rFonts w:ascii="Verdana" w:eastAsia="Calibri" w:hAnsi="Verdana" w:cs="Arial"/>
                <w:lang w:val="es-ES"/>
              </w:rPr>
            </w:pPr>
          </w:p>
          <w:p w14:paraId="39864409" w14:textId="6CC536CA" w:rsidR="00A5660A" w:rsidRPr="00EF6E71" w:rsidRDefault="00A5660A" w:rsidP="00EF6E71">
            <w:pPr>
              <w:spacing w:line="276" w:lineRule="auto"/>
              <w:jc w:val="both"/>
              <w:rPr>
                <w:rFonts w:ascii="Verdana" w:eastAsia="Calibri" w:hAnsi="Verdana" w:cs="Arial"/>
                <w:lang w:val="es-ES"/>
              </w:rPr>
            </w:pPr>
            <w:r w:rsidRPr="00EF6E71">
              <w:rPr>
                <w:rFonts w:ascii="Verdana" w:eastAsia="Calibri" w:hAnsi="Verdana" w:cs="Arial"/>
                <w:lang w:val="es-ES"/>
              </w:rPr>
              <w:lastRenderedPageBreak/>
              <w:t xml:space="preserve">Ahora bien, tanto para la celebración de convenios con particulares como los de asociación, deberán los conveniantes acreditar la idoneidad sobre el objeto y/o actividades que se ejecutarán. Si bien es cierto hablar de idoneidad requiere experiencia, será la entidad contratante la que en sus documentos precontractuales establezca los criterios utilizados para adelantar el trámite indicado en el artículo 6 y </w:t>
            </w:r>
            <w:r w:rsidR="00E604AB" w:rsidRPr="00EF6E71">
              <w:rPr>
                <w:rFonts w:ascii="Verdana" w:eastAsia="Calibri" w:hAnsi="Verdana" w:cs="Arial"/>
                <w:lang w:val="es-ES"/>
              </w:rPr>
              <w:t>ss.</w:t>
            </w:r>
            <w:r w:rsidRPr="00EF6E71">
              <w:rPr>
                <w:rFonts w:ascii="Verdana" w:eastAsia="Calibri" w:hAnsi="Verdana" w:cs="Arial"/>
                <w:lang w:val="es-ES"/>
              </w:rPr>
              <w:t xml:space="preserve"> y el alcance que dará al concepto de idoneidad.</w:t>
            </w:r>
          </w:p>
          <w:p w14:paraId="0D1739D9" w14:textId="52AC1E3B" w:rsidR="005D2477" w:rsidRPr="00EF6E71" w:rsidRDefault="005D2477" w:rsidP="00EF6E71">
            <w:pPr>
              <w:spacing w:line="276" w:lineRule="auto"/>
              <w:jc w:val="both"/>
              <w:rPr>
                <w:rFonts w:ascii="Verdana" w:eastAsia="Calibri" w:hAnsi="Verdana" w:cs="Arial"/>
                <w:lang w:val="es-ES"/>
              </w:rPr>
            </w:pPr>
          </w:p>
          <w:p w14:paraId="38987978" w14:textId="17F4013B" w:rsidR="008E1FD6" w:rsidRPr="00EF6E71" w:rsidRDefault="008E1FD6" w:rsidP="00EF6E71">
            <w:pPr>
              <w:spacing w:line="276" w:lineRule="auto"/>
              <w:jc w:val="both"/>
              <w:rPr>
                <w:rFonts w:ascii="Verdana" w:eastAsia="Calibri" w:hAnsi="Verdana" w:cs="Arial"/>
              </w:rPr>
            </w:pPr>
            <w:r w:rsidRPr="00EF6E71">
              <w:rPr>
                <w:rFonts w:ascii="Verdana" w:eastAsia="Calibri" w:hAnsi="Verdana" w:cs="Arial"/>
                <w:lang w:val="es-ES"/>
              </w:rPr>
              <w:t>Téngase</w:t>
            </w:r>
            <w:r w:rsidR="008C3C3B" w:rsidRPr="00EF6E71">
              <w:rPr>
                <w:rFonts w:ascii="Verdana" w:eastAsia="Calibri" w:hAnsi="Verdana" w:cs="Arial"/>
                <w:lang w:val="es-ES"/>
              </w:rPr>
              <w:t xml:space="preserve"> presente que la idoneidad </w:t>
            </w:r>
            <w:r w:rsidR="008C3C3B" w:rsidRPr="00EF6E71">
              <w:rPr>
                <w:rFonts w:ascii="Verdana" w:eastAsia="Calibri" w:hAnsi="Verdana" w:cs="Arial"/>
              </w:rPr>
              <w:t xml:space="preserve">consiste en la cualidad de ser algo adecuado o apropiado para cumplir las actividades del contrato a celebrar. </w:t>
            </w:r>
            <w:r w:rsidRPr="00EF6E71">
              <w:rPr>
                <w:rFonts w:ascii="Verdana" w:eastAsia="Calibri" w:hAnsi="Verdana" w:cs="Arial"/>
              </w:rPr>
              <w:t xml:space="preserve">De tal manera, que las Entidades Estatales deben establecer los requisitos habilitantes de forma adecuada y proporcional a la naturaleza y valor del contrato </w:t>
            </w:r>
            <w:r w:rsidRPr="00EF6E71">
              <w:rPr>
                <w:rStyle w:val="Refdenotaalpie"/>
                <w:rFonts w:ascii="Verdana" w:eastAsia="Calibri" w:hAnsi="Verdana" w:cs="Arial"/>
              </w:rPr>
              <w:footnoteReference w:id="2"/>
            </w:r>
            <w:r w:rsidRPr="00EF6E71">
              <w:rPr>
                <w:rFonts w:ascii="CenturyGothic" w:eastAsia="Times New Roman" w:hAnsi="CenturyGothic" w:cs="Times New Roman"/>
                <w:lang w:eastAsia="es-MX"/>
              </w:rPr>
              <w:t xml:space="preserve"> </w:t>
            </w:r>
          </w:p>
          <w:p w14:paraId="4B53571A" w14:textId="5741569D" w:rsidR="005D2477" w:rsidRPr="00EF6E71" w:rsidRDefault="005D2477" w:rsidP="00EF6E71">
            <w:pPr>
              <w:spacing w:line="276" w:lineRule="auto"/>
              <w:jc w:val="both"/>
              <w:rPr>
                <w:rFonts w:ascii="Verdana" w:eastAsia="Calibri" w:hAnsi="Verdana" w:cs="Arial"/>
                <w:lang w:val="es-ES"/>
              </w:rPr>
            </w:pPr>
          </w:p>
          <w:p w14:paraId="00A49A88" w14:textId="18BB5353" w:rsidR="005D2477" w:rsidRPr="00EF6E71" w:rsidRDefault="005D2477" w:rsidP="00EF6E71">
            <w:pPr>
              <w:spacing w:line="276" w:lineRule="auto"/>
              <w:jc w:val="both"/>
              <w:rPr>
                <w:rFonts w:ascii="Verdana" w:eastAsia="Calibri" w:hAnsi="Verdana" w:cs="Arial"/>
                <w:lang w:val="es-ES"/>
              </w:rPr>
            </w:pPr>
            <w:r w:rsidRPr="00EF6E71">
              <w:rPr>
                <w:rFonts w:ascii="Verdana" w:eastAsia="Calibri" w:hAnsi="Verdana" w:cs="Arial"/>
                <w:lang w:val="es-ES"/>
              </w:rPr>
              <w:t xml:space="preserve">De igual manera cada entidad contratante en su manual de contratación indicará el trámite interno para la elaboración de los documentos precontractuales de sus expedientes, por lo que si una entidad establece formatos de diligenciamiento de idoneidad o experiencia no está </w:t>
            </w:r>
            <w:r w:rsidR="008E1FD6" w:rsidRPr="00EF6E71">
              <w:rPr>
                <w:rFonts w:ascii="Verdana" w:eastAsia="Calibri" w:hAnsi="Verdana" w:cs="Arial"/>
                <w:lang w:val="es-ES"/>
              </w:rPr>
              <w:t>requiriendo</w:t>
            </w:r>
            <w:r w:rsidRPr="00EF6E71">
              <w:rPr>
                <w:rFonts w:ascii="Verdana" w:eastAsia="Calibri" w:hAnsi="Verdana" w:cs="Arial"/>
                <w:lang w:val="es-ES"/>
              </w:rPr>
              <w:t xml:space="preserve"> de manera distinta de los propios de la contratación entre particulares sino que se encuentra aplicando el manual de contratación y procesos de sistematización para el </w:t>
            </w:r>
            <w:r w:rsidR="008E1FD6" w:rsidRPr="00EF6E71">
              <w:rPr>
                <w:rFonts w:ascii="Verdana" w:eastAsia="Calibri" w:hAnsi="Verdana" w:cs="Arial"/>
                <w:lang w:val="es-ES"/>
              </w:rPr>
              <w:t>análisis</w:t>
            </w:r>
            <w:r w:rsidRPr="00EF6E71">
              <w:rPr>
                <w:rFonts w:ascii="Verdana" w:eastAsia="Calibri" w:hAnsi="Verdana" w:cs="Arial"/>
                <w:lang w:val="es-ES"/>
              </w:rPr>
              <w:t xml:space="preserve"> de la información o evaluación de ofertas cuando aplique. Para el caso del convenio de asociación, podrá la entidad estatal establecer formatos propios para revisar la información del conveniente o aportantes</w:t>
            </w:r>
            <w:r w:rsidR="008E1FD6" w:rsidRPr="00EF6E71">
              <w:rPr>
                <w:rFonts w:ascii="Verdana" w:eastAsia="Calibri" w:hAnsi="Verdana" w:cs="Arial"/>
                <w:lang w:val="es-ES"/>
              </w:rPr>
              <w:t>, teniendo en cuenta que esta cuenta con autonomía de conformidad a la aplicación de las normas de derecho privado.</w:t>
            </w:r>
            <w:r w:rsidR="008E1FD6" w:rsidRPr="00EF6E71">
              <w:rPr>
                <w:rStyle w:val="Refdenotaalpie"/>
                <w:rFonts w:ascii="Verdana" w:eastAsia="Calibri" w:hAnsi="Verdana" w:cs="Arial"/>
                <w:lang w:val="es-ES"/>
              </w:rPr>
              <w:footnoteReference w:id="3"/>
            </w:r>
          </w:p>
          <w:p w14:paraId="48D88CEF" w14:textId="03EE8FC1" w:rsidR="00A5660A" w:rsidRPr="00EF6E71" w:rsidRDefault="00A5660A" w:rsidP="00EF6E71">
            <w:pPr>
              <w:spacing w:line="276" w:lineRule="auto"/>
              <w:jc w:val="both"/>
              <w:rPr>
                <w:rFonts w:ascii="Verdana" w:eastAsia="Calibri" w:hAnsi="Verdana" w:cs="Arial"/>
                <w:lang w:val="es-ES"/>
              </w:rPr>
            </w:pPr>
          </w:p>
          <w:p w14:paraId="7ACD3B02" w14:textId="2DF243C0" w:rsidR="005D2477" w:rsidRPr="00EF6E71" w:rsidRDefault="005D2477" w:rsidP="00EF6E71">
            <w:pPr>
              <w:spacing w:line="276" w:lineRule="auto"/>
              <w:jc w:val="both"/>
              <w:rPr>
                <w:rFonts w:ascii="Verdana" w:hAnsi="Verdana" w:cs="Arial"/>
                <w:shd w:val="clear" w:color="auto" w:fill="FFFFFF"/>
              </w:rPr>
            </w:pPr>
            <w:r w:rsidRPr="00EF6E71">
              <w:rPr>
                <w:rFonts w:ascii="Verdana" w:eastAsia="Calibri" w:hAnsi="Verdana" w:cs="Arial"/>
                <w:lang w:val="es-ES"/>
              </w:rPr>
              <w:t>En lo relacionado con la</w:t>
            </w:r>
            <w:r w:rsidRPr="00EF6E71">
              <w:rPr>
                <w:rFonts w:ascii="Verdana" w:hAnsi="Verdana" w:cs="Arial"/>
                <w:shd w:val="clear" w:color="auto" w:fill="FFFFFF"/>
              </w:rPr>
              <w:t xml:space="preserve"> acreditación de la experiencia será la entidad </w:t>
            </w:r>
            <w:r w:rsidR="00E604AB" w:rsidRPr="00EF6E71">
              <w:rPr>
                <w:rFonts w:ascii="Verdana" w:hAnsi="Verdana" w:cs="Arial"/>
                <w:shd w:val="clear" w:color="auto" w:fill="FFFFFF"/>
              </w:rPr>
              <w:t>contratante</w:t>
            </w:r>
            <w:r w:rsidRPr="00EF6E71">
              <w:rPr>
                <w:rFonts w:ascii="Verdana" w:hAnsi="Verdana" w:cs="Arial"/>
                <w:shd w:val="clear" w:color="auto" w:fill="FFFFFF"/>
              </w:rPr>
              <w:t xml:space="preserve"> la que define en sus </w:t>
            </w:r>
            <w:r w:rsidR="00AE7EDC" w:rsidRPr="00EF6E71">
              <w:rPr>
                <w:rFonts w:ascii="Verdana" w:hAnsi="Verdana" w:cs="Arial"/>
                <w:shd w:val="clear" w:color="auto" w:fill="FFFFFF"/>
              </w:rPr>
              <w:t xml:space="preserve">documentos precontractuales los requisitos habilitantes de experiencia requeridos para la contratación. </w:t>
            </w:r>
          </w:p>
          <w:p w14:paraId="5CAF05C1" w14:textId="77777777" w:rsidR="005D2477" w:rsidRPr="00EF6E71" w:rsidRDefault="005D2477" w:rsidP="00EF6E71">
            <w:pPr>
              <w:spacing w:line="276" w:lineRule="auto"/>
              <w:jc w:val="both"/>
              <w:rPr>
                <w:rFonts w:ascii="Verdana" w:hAnsi="Verdana" w:cs="Arial"/>
                <w:shd w:val="clear" w:color="auto" w:fill="FFFFFF"/>
              </w:rPr>
            </w:pPr>
          </w:p>
          <w:p w14:paraId="7BCB17ED" w14:textId="787656A3" w:rsidR="005D2477" w:rsidRPr="00EF6E71" w:rsidRDefault="005D2477" w:rsidP="00EF6E71">
            <w:pPr>
              <w:spacing w:line="276" w:lineRule="auto"/>
              <w:jc w:val="both"/>
              <w:rPr>
                <w:rFonts w:ascii="Verdana" w:hAnsi="Verdana" w:cs="Arial"/>
                <w:shd w:val="clear" w:color="auto" w:fill="FFFFFF"/>
              </w:rPr>
            </w:pPr>
            <w:r w:rsidRPr="00EF6E71">
              <w:rPr>
                <w:rFonts w:ascii="Verdana" w:hAnsi="Verdana" w:cs="Arial"/>
                <w:shd w:val="clear" w:color="auto" w:fill="FFFFFF"/>
              </w:rPr>
              <w:t xml:space="preserve">Así como será la entidad contratante la encargada de </w:t>
            </w:r>
            <w:r w:rsidR="00837947" w:rsidRPr="00EF6E71">
              <w:rPr>
                <w:rFonts w:ascii="Verdana" w:hAnsi="Verdana" w:cs="Arial"/>
                <w:shd w:val="clear" w:color="auto" w:fill="FFFFFF"/>
              </w:rPr>
              <w:t>validar la</w:t>
            </w:r>
            <w:r w:rsidRPr="00EF6E71">
              <w:rPr>
                <w:rFonts w:ascii="Verdana" w:hAnsi="Verdana" w:cs="Arial"/>
                <w:shd w:val="clear" w:color="auto" w:fill="FFFFFF"/>
              </w:rPr>
              <w:t xml:space="preserve"> </w:t>
            </w:r>
            <w:r w:rsidR="00E604AB" w:rsidRPr="00EF6E71">
              <w:rPr>
                <w:rFonts w:ascii="Verdana" w:hAnsi="Verdana" w:cs="Arial"/>
                <w:shd w:val="clear" w:color="auto" w:fill="FFFFFF"/>
              </w:rPr>
              <w:t>legalidad</w:t>
            </w:r>
            <w:r w:rsidRPr="00EF6E71">
              <w:rPr>
                <w:rFonts w:ascii="Verdana" w:hAnsi="Verdana" w:cs="Arial"/>
                <w:shd w:val="clear" w:color="auto" w:fill="FFFFFF"/>
              </w:rPr>
              <w:t xml:space="preserve"> de los docum</w:t>
            </w:r>
            <w:r w:rsidR="00AE7EDC" w:rsidRPr="00EF6E71">
              <w:rPr>
                <w:rFonts w:ascii="Verdana" w:hAnsi="Verdana" w:cs="Arial"/>
                <w:shd w:val="clear" w:color="auto" w:fill="FFFFFF"/>
              </w:rPr>
              <w:t>e</w:t>
            </w:r>
            <w:r w:rsidRPr="00EF6E71">
              <w:rPr>
                <w:rFonts w:ascii="Verdana" w:hAnsi="Verdana" w:cs="Arial"/>
                <w:shd w:val="clear" w:color="auto" w:fill="FFFFFF"/>
              </w:rPr>
              <w:t>ntos aportados por el co</w:t>
            </w:r>
            <w:r w:rsidR="008C3C3B" w:rsidRPr="00EF6E71">
              <w:rPr>
                <w:rFonts w:ascii="Verdana" w:hAnsi="Verdana" w:cs="Arial"/>
                <w:shd w:val="clear" w:color="auto" w:fill="FFFFFF"/>
              </w:rPr>
              <w:t>nveniantes</w:t>
            </w:r>
            <w:r w:rsidRPr="00EF6E71">
              <w:rPr>
                <w:rFonts w:ascii="Verdana" w:hAnsi="Verdana" w:cs="Arial"/>
                <w:shd w:val="clear" w:color="auto" w:fill="FFFFFF"/>
              </w:rPr>
              <w:t xml:space="preserve"> y si guarda relación con el art 2 y 9 </w:t>
            </w:r>
            <w:r w:rsidR="00AE7EDC" w:rsidRPr="00EF6E71">
              <w:rPr>
                <w:rFonts w:ascii="Verdana" w:hAnsi="Verdana" w:cs="Arial"/>
                <w:shd w:val="clear" w:color="auto" w:fill="FFFFFF"/>
              </w:rPr>
              <w:t xml:space="preserve">de la norma ibidem que establecen los propósitos de la asociación y la facultad de </w:t>
            </w:r>
            <w:r w:rsidR="00837947" w:rsidRPr="00EF6E71">
              <w:rPr>
                <w:rFonts w:ascii="Verdana" w:hAnsi="Verdana" w:cs="Arial"/>
                <w:shd w:val="clear" w:color="auto" w:fill="FFFFFF"/>
              </w:rPr>
              <w:t>la Nación</w:t>
            </w:r>
            <w:r w:rsidR="00AE7EDC" w:rsidRPr="00EF6E71">
              <w:rPr>
                <w:rFonts w:ascii="Verdana" w:hAnsi="Verdana" w:cs="Arial"/>
                <w:shd w:val="clear" w:color="auto" w:fill="FFFFFF"/>
              </w:rPr>
              <w:t xml:space="preserve"> y sus entidades descentralizadas </w:t>
            </w:r>
            <w:r w:rsidR="00C737B2" w:rsidRPr="00EF6E71">
              <w:rPr>
                <w:rFonts w:ascii="Verdana" w:hAnsi="Verdana" w:cs="Arial"/>
                <w:shd w:val="clear" w:color="auto" w:fill="FFFFFF"/>
              </w:rPr>
              <w:t>para</w:t>
            </w:r>
            <w:r w:rsidR="00AE7EDC" w:rsidRPr="00EF6E71">
              <w:rPr>
                <w:rFonts w:ascii="Verdana" w:hAnsi="Verdana" w:cs="Arial"/>
                <w:shd w:val="clear" w:color="auto" w:fill="FFFFFF"/>
              </w:rPr>
              <w:t xml:space="preserve"> asociarse con otras entidades públicas de cualquier orden,</w:t>
            </w:r>
            <w:r w:rsidR="00C737B2" w:rsidRPr="00EF6E71">
              <w:rPr>
                <w:rFonts w:ascii="Verdana" w:hAnsi="Verdana" w:cs="Arial"/>
                <w:shd w:val="clear" w:color="auto" w:fill="FFFFFF"/>
              </w:rPr>
              <w:t xml:space="preserve"> y así </w:t>
            </w:r>
            <w:r w:rsidR="00AE7EDC" w:rsidRPr="00EF6E71">
              <w:rPr>
                <w:rFonts w:ascii="Verdana" w:hAnsi="Verdana" w:cs="Arial"/>
                <w:shd w:val="clear" w:color="auto" w:fill="FFFFFF"/>
              </w:rPr>
              <w:t>para adelantar actividades científicas y tecnológicas, proyectos de investigación y creación de tecnologías</w:t>
            </w:r>
            <w:r w:rsidR="00C737B2" w:rsidRPr="00EF6E71">
              <w:rPr>
                <w:rFonts w:ascii="Verdana" w:hAnsi="Verdana" w:cs="Arial"/>
                <w:shd w:val="clear" w:color="auto" w:fill="FFFFFF"/>
              </w:rPr>
              <w:t>.</w:t>
            </w:r>
            <w:r w:rsidRPr="00EF6E71">
              <w:rPr>
                <w:rFonts w:ascii="Verdana" w:hAnsi="Verdana" w:cs="Arial"/>
                <w:shd w:val="clear" w:color="auto" w:fill="FFFFFF"/>
              </w:rPr>
              <w:t xml:space="preserve"> </w:t>
            </w:r>
          </w:p>
          <w:p w14:paraId="720DA338" w14:textId="418813B5" w:rsidR="005D2477" w:rsidRPr="00EF6E71" w:rsidRDefault="005D2477" w:rsidP="00EF6E71">
            <w:pPr>
              <w:spacing w:line="276" w:lineRule="auto"/>
              <w:jc w:val="both"/>
              <w:rPr>
                <w:rFonts w:ascii="Verdana" w:eastAsia="Calibri" w:hAnsi="Verdana" w:cs="Arial"/>
                <w:lang w:val="es-ES"/>
              </w:rPr>
            </w:pPr>
          </w:p>
          <w:p w14:paraId="768153D4" w14:textId="2DCF5CEE" w:rsidR="00E974F0" w:rsidRPr="00E974F0" w:rsidRDefault="00E974F0" w:rsidP="00EF6E71">
            <w:pPr>
              <w:spacing w:line="276" w:lineRule="auto"/>
              <w:jc w:val="both"/>
              <w:rPr>
                <w:rFonts w:ascii="Verdana" w:eastAsia="Calibri" w:hAnsi="Verdana" w:cs="Arial"/>
                <w:lang w:val="es-ES"/>
              </w:rPr>
            </w:pPr>
            <w:r w:rsidRPr="00EF6E71">
              <w:rPr>
                <w:rFonts w:ascii="Verdana" w:eastAsia="Calibri" w:hAnsi="Verdana" w:cs="Arial"/>
              </w:rPr>
              <w:t xml:space="preserve">En conclusión, para la celebración de un convenio especial </w:t>
            </w:r>
            <w:r w:rsidR="00E604AB" w:rsidRPr="00EF6E71">
              <w:rPr>
                <w:rFonts w:ascii="Verdana" w:eastAsia="Calibri" w:hAnsi="Verdana" w:cs="Arial"/>
              </w:rPr>
              <w:t>de Cooperación</w:t>
            </w:r>
            <w:r w:rsidRPr="00EF6E71">
              <w:rPr>
                <w:rFonts w:ascii="Verdana" w:eastAsia="Calibri" w:hAnsi="Verdana" w:cs="Arial"/>
              </w:rPr>
              <w:t xml:space="preserve"> no existen requisitos especiales, salvo lo señalado por la misma norma y cuando las </w:t>
            </w:r>
            <w:r w:rsidRPr="00EF6E71">
              <w:rPr>
                <w:rFonts w:ascii="Verdana" w:eastAsia="Times New Roman" w:hAnsi="Verdana" w:cs="Times New Roman"/>
                <w:lang w:eastAsia="es-ES_tradnl"/>
              </w:rPr>
              <w:t xml:space="preserve">Entidades Estatales no tengan certeza sobre la catalogación de las actividades científicas, tecnológicas y de innovación, deben acudir al Ministerio de Ciencia, Tecnología e Innovación, autoridad competente en la materia. </w:t>
            </w:r>
            <w:r w:rsidRPr="00EF6E71">
              <w:rPr>
                <w:rFonts w:ascii="Verdana" w:eastAsia="Times New Roman" w:hAnsi="Verdana" w:cs="Arial"/>
                <w:color w:val="000000" w:themeColor="text1"/>
                <w:lang w:val="es-ES" w:eastAsia="es-ES_tradnl"/>
              </w:rPr>
              <w:t>Por ello, la entidad, como responsable de estructurar sus procedimientos de selección, debe definir si el objeto a contratar es de aquellas actividades consideradas de ciencia, tecnología e innovación.</w:t>
            </w:r>
          </w:p>
        </w:tc>
      </w:tr>
    </w:tbl>
    <w:p w14:paraId="1198FB68" w14:textId="77777777" w:rsidR="002F61D0" w:rsidRPr="00F306CA" w:rsidRDefault="002F61D0" w:rsidP="002F61D0">
      <w:pPr>
        <w:tabs>
          <w:tab w:val="left" w:pos="142"/>
          <w:tab w:val="left" w:pos="284"/>
        </w:tabs>
        <w:spacing w:after="0" w:line="276" w:lineRule="auto"/>
        <w:jc w:val="both"/>
        <w:rPr>
          <w:rFonts w:ascii="Verdana" w:eastAsia="Century Gothic" w:hAnsi="Verdana" w:cs="Century Gothic"/>
          <w:b/>
          <w:bCs/>
          <w:lang w:val="es-ES"/>
        </w:rPr>
      </w:pPr>
    </w:p>
    <w:p w14:paraId="34F17496" w14:textId="77777777" w:rsidR="002F61D0" w:rsidRPr="00F306CA" w:rsidRDefault="002F61D0" w:rsidP="002F61D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306CA">
        <w:rPr>
          <w:rFonts w:ascii="Verdana" w:eastAsia="Century Gothic" w:hAnsi="Verdana" w:cs="Century Gothic"/>
          <w:b/>
          <w:bCs/>
        </w:rPr>
        <w:t>Razones de la respuesta:</w:t>
      </w:r>
    </w:p>
    <w:p w14:paraId="2E1273FD" w14:textId="77777777" w:rsidR="002F61D0" w:rsidRPr="00F306CA" w:rsidRDefault="002F61D0" w:rsidP="002F61D0">
      <w:pPr>
        <w:spacing w:after="0" w:line="276" w:lineRule="auto"/>
        <w:jc w:val="both"/>
        <w:rPr>
          <w:rFonts w:ascii="Verdana" w:eastAsia="Calibri" w:hAnsi="Verdana" w:cs="Arial"/>
          <w:lang w:val="es-ES"/>
        </w:rPr>
      </w:pPr>
    </w:p>
    <w:p w14:paraId="14F86E0E" w14:textId="77777777" w:rsidR="002F61D0" w:rsidRPr="00EF6E71" w:rsidRDefault="002F61D0" w:rsidP="002F61D0">
      <w:pPr>
        <w:spacing w:after="0" w:line="276" w:lineRule="auto"/>
        <w:jc w:val="both"/>
        <w:rPr>
          <w:rFonts w:ascii="Verdana" w:eastAsia="Calibri" w:hAnsi="Verdana" w:cs="Arial"/>
          <w:lang w:val="es-ES"/>
        </w:rPr>
      </w:pPr>
      <w:r w:rsidRPr="00EF6E71">
        <w:rPr>
          <w:rFonts w:ascii="Verdana" w:eastAsia="Calibri" w:hAnsi="Verdana" w:cs="Arial"/>
          <w:lang w:val="es-ES"/>
        </w:rPr>
        <w:t xml:space="preserve">Lo anterior se sustenta en las siguientes consideraciones: </w:t>
      </w:r>
    </w:p>
    <w:p w14:paraId="19A2CAF5" w14:textId="77777777" w:rsidR="002F61D0" w:rsidRPr="00EF6E71" w:rsidRDefault="002F61D0" w:rsidP="002F61D0">
      <w:pPr>
        <w:spacing w:after="0" w:line="276" w:lineRule="auto"/>
        <w:jc w:val="both"/>
        <w:rPr>
          <w:rFonts w:ascii="Verdana" w:hAnsi="Verdana" w:cs="Arial"/>
        </w:rPr>
      </w:pPr>
    </w:p>
    <w:p w14:paraId="1550D181" w14:textId="77777777" w:rsidR="002F61D0" w:rsidRPr="00EF6E71" w:rsidRDefault="002F61D0" w:rsidP="002F61D0">
      <w:pPr>
        <w:pStyle w:val="Prrafodelista"/>
        <w:numPr>
          <w:ilvl w:val="0"/>
          <w:numId w:val="17"/>
        </w:numPr>
        <w:spacing w:after="120" w:line="276" w:lineRule="auto"/>
        <w:jc w:val="both"/>
        <w:rPr>
          <w:rFonts w:ascii="Verdana" w:eastAsia="Times New Roman" w:hAnsi="Verdana" w:cs="Arial"/>
          <w:szCs w:val="24"/>
          <w:lang w:eastAsia="es-ES_tradnl"/>
        </w:rPr>
      </w:pPr>
      <w:r w:rsidRPr="00EF6E71">
        <w:rPr>
          <w:rFonts w:ascii="Verdana" w:eastAsia="Times New Roman" w:hAnsi="Verdana" w:cs="Arial"/>
          <w:szCs w:val="24"/>
          <w:lang w:eastAsia="es-ES_tradnl"/>
        </w:rPr>
        <w:t xml:space="preserve">Las actividades de ciencia, tecnología e innovación están previstas en cuatro (4) cuerpos normativos: </w:t>
      </w:r>
      <w:r w:rsidRPr="00EF6E71">
        <w:rPr>
          <w:rFonts w:ascii="Verdana" w:eastAsia="Times New Roman" w:hAnsi="Verdana" w:cs="Arial"/>
          <w:b/>
          <w:bCs/>
          <w:szCs w:val="24"/>
          <w:lang w:eastAsia="es-ES_tradnl"/>
        </w:rPr>
        <w:t>i)</w:t>
      </w:r>
      <w:r w:rsidRPr="00EF6E71">
        <w:rPr>
          <w:rFonts w:ascii="Verdana" w:eastAsia="Times New Roman" w:hAnsi="Verdana" w:cs="Arial"/>
          <w:szCs w:val="24"/>
          <w:lang w:eastAsia="es-ES_tradnl"/>
        </w:rPr>
        <w:t xml:space="preserve"> el </w:t>
      </w:r>
      <w:r w:rsidRPr="00EF6E71">
        <w:rPr>
          <w:rFonts w:ascii="Verdana" w:eastAsia="Times New Roman" w:hAnsi="Verdana" w:cs="Arial"/>
          <w:i/>
          <w:iCs/>
          <w:szCs w:val="24"/>
          <w:lang w:eastAsia="es-ES_tradnl"/>
        </w:rPr>
        <w:t>Decreto Ley 393 de 1991</w:t>
      </w:r>
      <w:r w:rsidRPr="00EF6E71">
        <w:rPr>
          <w:rFonts w:ascii="Verdana" w:eastAsia="Times New Roman" w:hAnsi="Verdana" w:cs="Arial"/>
          <w:szCs w:val="24"/>
          <w:lang w:eastAsia="es-ES_tradnl"/>
        </w:rPr>
        <w:t xml:space="preserve">, que prevé dos (2) formas de asociación para que las entidades ejecuten actividades científicas y tecnológicas, proyectos de investigación y creación de tecnologías: a) crear personas jurídicas civiles, comerciales y sin ánimo de lucro y b) celebrar convenios especiales de cooperación; </w:t>
      </w:r>
      <w:r w:rsidRPr="00EF6E71">
        <w:rPr>
          <w:rFonts w:ascii="Verdana" w:eastAsia="Times New Roman" w:hAnsi="Verdana" w:cs="Arial"/>
          <w:b/>
          <w:bCs/>
          <w:szCs w:val="24"/>
          <w:lang w:eastAsia="es-ES_tradnl"/>
        </w:rPr>
        <w:t>ii)</w:t>
      </w:r>
      <w:r w:rsidRPr="00EF6E71">
        <w:rPr>
          <w:rFonts w:ascii="Verdana" w:eastAsia="Times New Roman" w:hAnsi="Verdana" w:cs="Arial"/>
          <w:szCs w:val="24"/>
          <w:lang w:eastAsia="es-ES_tradnl"/>
        </w:rPr>
        <w:t xml:space="preserve"> el </w:t>
      </w:r>
      <w:r w:rsidRPr="00EF6E71">
        <w:rPr>
          <w:rFonts w:ascii="Verdana" w:eastAsia="Times New Roman" w:hAnsi="Verdana" w:cs="Arial"/>
          <w:i/>
          <w:iCs/>
          <w:szCs w:val="24"/>
          <w:lang w:eastAsia="es-ES_tradnl"/>
        </w:rPr>
        <w:t>Decreto Ley 591 de 1991</w:t>
      </w:r>
      <w:r w:rsidRPr="00EF6E71">
        <w:rPr>
          <w:rFonts w:ascii="Verdana" w:eastAsia="Times New Roman" w:hAnsi="Verdana" w:cs="Arial"/>
          <w:szCs w:val="24"/>
          <w:lang w:eastAsia="es-ES_tradnl"/>
        </w:rPr>
        <w:t xml:space="preserve">, que enlista actividades científicas y tecnológicas y, a pesar de que su propósito principal era regular las modalidades específicas de contratos de fomento de esas actividades, con la derogatoria del artículo 7 que señalaba diez (10) tipos de contratos, actualmente se encuentran vigentes tres (3): a) contratos de financiamiento, b) contratos de administración de proyectos y c) convenios especiales de cooperación; </w:t>
      </w:r>
      <w:r w:rsidRPr="00EF6E71">
        <w:rPr>
          <w:rFonts w:ascii="Verdana" w:eastAsia="Times New Roman" w:hAnsi="Verdana" w:cs="Arial"/>
          <w:b/>
          <w:bCs/>
          <w:szCs w:val="24"/>
          <w:lang w:eastAsia="es-ES_tradnl"/>
        </w:rPr>
        <w:t>iii)</w:t>
      </w:r>
      <w:r w:rsidRPr="00EF6E71">
        <w:rPr>
          <w:rFonts w:ascii="Verdana" w:eastAsia="Times New Roman" w:hAnsi="Verdana" w:cs="Arial"/>
          <w:szCs w:val="24"/>
          <w:lang w:eastAsia="es-ES_tradnl"/>
        </w:rPr>
        <w:t xml:space="preserve"> la </w:t>
      </w:r>
      <w:r w:rsidRPr="00EF6E71">
        <w:rPr>
          <w:rFonts w:ascii="Verdana" w:eastAsia="Times New Roman" w:hAnsi="Verdana" w:cs="Arial"/>
          <w:i/>
          <w:iCs/>
          <w:szCs w:val="24"/>
          <w:lang w:eastAsia="es-ES_tradnl"/>
        </w:rPr>
        <w:t>Ley 1286 de 2009</w:t>
      </w:r>
      <w:r w:rsidRPr="00EF6E71">
        <w:rPr>
          <w:rFonts w:ascii="Verdana" w:hAnsi="Verdana"/>
          <w:vertAlign w:val="superscript"/>
          <w:lang w:eastAsia="es-ES_tradnl"/>
        </w:rPr>
        <w:footnoteReference w:id="4"/>
      </w:r>
      <w:r w:rsidRPr="00EF6E71">
        <w:rPr>
          <w:rFonts w:ascii="Verdana" w:eastAsia="Times New Roman" w:hAnsi="Verdana" w:cs="Arial"/>
          <w:szCs w:val="24"/>
          <w:lang w:eastAsia="es-ES_tradnl"/>
        </w:rPr>
        <w:t xml:space="preserve">; </w:t>
      </w:r>
      <w:r w:rsidRPr="00EF6E71">
        <w:rPr>
          <w:rFonts w:ascii="Verdana" w:eastAsia="Times New Roman" w:hAnsi="Verdana" w:cs="Arial"/>
          <w:b/>
          <w:bCs/>
          <w:szCs w:val="24"/>
          <w:lang w:eastAsia="es-ES_tradnl"/>
        </w:rPr>
        <w:t>iv)</w:t>
      </w:r>
      <w:r w:rsidRPr="00EF6E71">
        <w:rPr>
          <w:rFonts w:ascii="Verdana" w:eastAsia="Times New Roman" w:hAnsi="Verdana" w:cs="Arial"/>
          <w:szCs w:val="24"/>
          <w:lang w:eastAsia="es-ES_tradnl"/>
        </w:rPr>
        <w:t xml:space="preserve"> el </w:t>
      </w:r>
      <w:r w:rsidRPr="00EF6E71">
        <w:rPr>
          <w:rFonts w:ascii="Verdana" w:eastAsia="Times New Roman" w:hAnsi="Verdana" w:cs="Arial"/>
          <w:i/>
          <w:iCs/>
          <w:szCs w:val="24"/>
          <w:lang w:eastAsia="es-ES_tradnl"/>
        </w:rPr>
        <w:t>Documento CONPES 3582 de 2009</w:t>
      </w:r>
      <w:r w:rsidRPr="00EF6E71">
        <w:rPr>
          <w:rFonts w:ascii="Verdana" w:eastAsia="Times New Roman" w:hAnsi="Verdana" w:cs="Arial"/>
          <w:szCs w:val="24"/>
          <w:lang w:eastAsia="es-ES_tradnl"/>
        </w:rPr>
        <w:t>, donde se define cuáles son estas actividades de los actores del Sistema Nacional de Ciencia, Tecnología e Innovación.</w:t>
      </w:r>
    </w:p>
    <w:p w14:paraId="5881F3B0" w14:textId="77777777" w:rsidR="002F61D0" w:rsidRPr="00EF6E71" w:rsidRDefault="002F61D0" w:rsidP="002F61D0">
      <w:pPr>
        <w:pStyle w:val="Prrafodelista"/>
        <w:spacing w:after="120" w:line="276" w:lineRule="auto"/>
        <w:jc w:val="both"/>
        <w:rPr>
          <w:rFonts w:ascii="Verdana" w:eastAsia="Times New Roman" w:hAnsi="Verdana" w:cs="Arial"/>
          <w:szCs w:val="24"/>
          <w:lang w:eastAsia="es-ES_tradnl"/>
        </w:rPr>
      </w:pPr>
    </w:p>
    <w:p w14:paraId="0C6E9F20" w14:textId="5D3D42FF" w:rsidR="002F61D0" w:rsidRPr="00EF6E71" w:rsidRDefault="002F61D0" w:rsidP="002F61D0">
      <w:pPr>
        <w:pStyle w:val="Prrafodelista"/>
        <w:numPr>
          <w:ilvl w:val="0"/>
          <w:numId w:val="17"/>
        </w:numPr>
        <w:spacing w:after="120" w:line="276" w:lineRule="auto"/>
        <w:jc w:val="both"/>
        <w:rPr>
          <w:rFonts w:ascii="Verdana" w:eastAsia="Times New Roman" w:hAnsi="Verdana" w:cs="Arial"/>
          <w:szCs w:val="24"/>
          <w:lang w:eastAsia="es-ES_tradnl"/>
        </w:rPr>
      </w:pPr>
      <w:r w:rsidRPr="00EF6E71">
        <w:rPr>
          <w:rFonts w:ascii="Verdana" w:eastAsia="Times New Roman" w:hAnsi="Verdana" w:cs="Arial"/>
          <w:szCs w:val="24"/>
          <w:lang w:eastAsia="es-ES_tradnl"/>
        </w:rPr>
        <w:t xml:space="preserve">Así las cosas, para contratar las actividades de ciencia tecnología e innovación las normas prevén tipos de contrato cuya aplicación depende de las características del objeto que se ejecutará. También es necesario tener en cuenta que </w:t>
      </w:r>
      <w:r w:rsidR="00E604AB" w:rsidRPr="00EF6E71">
        <w:rPr>
          <w:rFonts w:ascii="Verdana" w:eastAsia="Times New Roman" w:hAnsi="Verdana" w:cs="Arial"/>
          <w:szCs w:val="24"/>
          <w:lang w:eastAsia="es-ES_tradnl"/>
        </w:rPr>
        <w:t>el literal</w:t>
      </w:r>
      <w:r w:rsidR="009F1566" w:rsidRPr="00EF6E71">
        <w:rPr>
          <w:rFonts w:ascii="Verdana" w:eastAsia="Times New Roman" w:hAnsi="Verdana" w:cs="Arial"/>
          <w:szCs w:val="24"/>
          <w:lang w:eastAsia="es-ES_tradnl"/>
        </w:rPr>
        <w:t xml:space="preserve"> e) del numeral 4 del artículo 4 de </w:t>
      </w:r>
      <w:r w:rsidRPr="00EF6E71">
        <w:rPr>
          <w:rFonts w:ascii="Verdana" w:eastAsia="Times New Roman" w:hAnsi="Verdana" w:cs="Arial"/>
          <w:szCs w:val="24"/>
          <w:lang w:eastAsia="es-ES_tradnl"/>
        </w:rPr>
        <w:t xml:space="preserve">la Ley </w:t>
      </w:r>
      <w:r w:rsidRPr="00EF6E71">
        <w:rPr>
          <w:rFonts w:ascii="Verdana" w:eastAsia="Times New Roman" w:hAnsi="Verdana" w:cs="Arial"/>
          <w:szCs w:val="24"/>
          <w:lang w:eastAsia="es-ES_tradnl"/>
        </w:rPr>
        <w:lastRenderedPageBreak/>
        <w:t>1150 de 2007</w:t>
      </w:r>
      <w:r w:rsidR="009F1566" w:rsidRPr="00EF6E71">
        <w:rPr>
          <w:rFonts w:ascii="Verdana" w:eastAsia="Times New Roman" w:hAnsi="Verdana" w:cs="Arial"/>
          <w:szCs w:val="24"/>
          <w:lang w:eastAsia="es-ES_tradnl"/>
        </w:rPr>
        <w:t xml:space="preserve"> </w:t>
      </w:r>
      <w:r w:rsidRPr="00EF6E71">
        <w:rPr>
          <w:rFonts w:ascii="Verdana" w:eastAsia="Times New Roman" w:hAnsi="Verdana" w:cs="Arial"/>
          <w:szCs w:val="24"/>
          <w:lang w:eastAsia="es-ES_tradnl"/>
        </w:rPr>
        <w:t>señala como causal de contratación directa “Los contratos para el desarrollo de actividades científicas y tecnológicas”.</w:t>
      </w:r>
      <w:r w:rsidRPr="00EF6E71">
        <w:rPr>
          <w:rFonts w:ascii="Verdana" w:eastAsia="Calibri" w:hAnsi="Verdana" w:cs="Arial"/>
          <w:szCs w:val="24"/>
          <w:lang w:eastAsia="es-ES_tradnl"/>
        </w:rPr>
        <w:t xml:space="preserve"> </w:t>
      </w:r>
    </w:p>
    <w:p w14:paraId="0ADB4F97" w14:textId="77777777" w:rsidR="002F61D0" w:rsidRPr="00EF6E71" w:rsidRDefault="002F61D0" w:rsidP="002F61D0">
      <w:pPr>
        <w:pStyle w:val="Prrafodelista"/>
        <w:rPr>
          <w:rFonts w:ascii="Verdana" w:eastAsia="Times New Roman" w:hAnsi="Verdana" w:cs="Arial"/>
          <w:szCs w:val="24"/>
          <w:lang w:eastAsia="es-ES_tradnl"/>
        </w:rPr>
      </w:pPr>
    </w:p>
    <w:p w14:paraId="1A8919D7" w14:textId="02A29784" w:rsidR="002F61D0" w:rsidRPr="00EF6E71" w:rsidRDefault="002F61D0" w:rsidP="002F61D0">
      <w:pPr>
        <w:pStyle w:val="Prrafodelista"/>
        <w:numPr>
          <w:ilvl w:val="0"/>
          <w:numId w:val="17"/>
        </w:numPr>
        <w:spacing w:after="120" w:line="276" w:lineRule="auto"/>
        <w:jc w:val="both"/>
        <w:rPr>
          <w:rFonts w:ascii="Verdana" w:eastAsia="Calibri" w:hAnsi="Verdana" w:cs="Arial"/>
          <w:szCs w:val="24"/>
          <w:lang w:eastAsia="es-ES_tradnl"/>
        </w:rPr>
      </w:pPr>
      <w:r w:rsidRPr="00EF6E71">
        <w:rPr>
          <w:rFonts w:ascii="Verdana" w:eastAsia="Calibri" w:hAnsi="Verdana" w:cs="Arial"/>
          <w:szCs w:val="24"/>
          <w:lang w:eastAsia="es-ES_tradnl"/>
        </w:rPr>
        <w:t>Por su parte, la Agencia Nacional de Contratación Pública ‒ Colombia Compra Eficiente, teniendo en cuenta las normas mencionadas, expidió la Circular Externa Única</w:t>
      </w:r>
      <w:r w:rsidRPr="00EF6E71">
        <w:rPr>
          <w:rFonts w:ascii="Verdana" w:hAnsi="Verdana"/>
          <w:vertAlign w:val="superscript"/>
          <w:lang w:eastAsia="es-ES_tradnl"/>
        </w:rPr>
        <w:footnoteReference w:id="5"/>
      </w:r>
      <w:r w:rsidRPr="00EF6E71">
        <w:rPr>
          <w:rFonts w:ascii="Verdana" w:eastAsia="Calibri" w:hAnsi="Verdana" w:cs="Arial"/>
          <w:szCs w:val="24"/>
          <w:lang w:eastAsia="es-ES_tradnl"/>
        </w:rPr>
        <w:t>, que en el numeral 15, señala la normativa de la contratación de actividades de ciencia, tecnología e innovación y dispone algunas consideraciones sobre la supervisión e interventoría de dichos contratos</w:t>
      </w:r>
      <w:r w:rsidR="00BC05F1" w:rsidRPr="00EF6E71">
        <w:rPr>
          <w:rFonts w:ascii="Verdana" w:eastAsia="Calibri" w:hAnsi="Verdana" w:cs="Arial"/>
          <w:szCs w:val="24"/>
          <w:lang w:eastAsia="es-ES_tradnl"/>
        </w:rPr>
        <w:t>.</w:t>
      </w:r>
    </w:p>
    <w:p w14:paraId="18B1199C" w14:textId="77777777" w:rsidR="002F61D0" w:rsidRPr="00EF6E71" w:rsidRDefault="002F61D0" w:rsidP="002F61D0">
      <w:pPr>
        <w:pStyle w:val="Prrafodelista"/>
        <w:rPr>
          <w:rFonts w:ascii="Verdana" w:eastAsia="Calibri" w:hAnsi="Verdana" w:cs="Arial"/>
          <w:szCs w:val="24"/>
          <w:lang w:eastAsia="es-ES_tradnl"/>
        </w:rPr>
      </w:pPr>
    </w:p>
    <w:p w14:paraId="5D303A9B" w14:textId="329B5754" w:rsidR="002F61D0" w:rsidRPr="00EF6E71" w:rsidRDefault="00BC05F1" w:rsidP="002F61D0">
      <w:pPr>
        <w:pStyle w:val="Prrafodelista"/>
        <w:numPr>
          <w:ilvl w:val="0"/>
          <w:numId w:val="17"/>
        </w:numPr>
        <w:spacing w:after="120" w:line="276" w:lineRule="auto"/>
        <w:jc w:val="both"/>
        <w:rPr>
          <w:rFonts w:ascii="Verdana" w:eastAsia="Calibri" w:hAnsi="Verdana" w:cs="Arial"/>
          <w:szCs w:val="24"/>
          <w:lang w:eastAsia="es-ES_tradnl"/>
        </w:rPr>
      </w:pPr>
      <w:r w:rsidRPr="00EF6E71">
        <w:rPr>
          <w:rFonts w:ascii="Verdana" w:eastAsia="Times New Roman" w:hAnsi="Verdana" w:cs="Arial"/>
          <w:szCs w:val="24"/>
          <w:lang w:eastAsia="es-ES_tradnl"/>
        </w:rPr>
        <w:t>Es menester señalar que</w:t>
      </w:r>
      <w:r w:rsidR="002F61D0" w:rsidRPr="00EF6E71">
        <w:rPr>
          <w:rFonts w:ascii="Verdana" w:eastAsia="Times New Roman" w:hAnsi="Verdana" w:cs="Arial"/>
          <w:szCs w:val="24"/>
          <w:lang w:eastAsia="es-ES_tradnl"/>
        </w:rPr>
        <w:t>, las entidades</w:t>
      </w:r>
      <w:r w:rsidRPr="00EF6E71">
        <w:rPr>
          <w:rFonts w:ascii="Verdana" w:eastAsia="Times New Roman" w:hAnsi="Verdana" w:cs="Arial"/>
          <w:szCs w:val="24"/>
          <w:lang w:eastAsia="es-ES_tradnl"/>
        </w:rPr>
        <w:t xml:space="preserve"> públicas</w:t>
      </w:r>
      <w:r w:rsidR="002F61D0" w:rsidRPr="00EF6E71">
        <w:rPr>
          <w:rFonts w:ascii="Verdana" w:eastAsia="Times New Roman" w:hAnsi="Verdana" w:cs="Arial"/>
          <w:szCs w:val="24"/>
          <w:lang w:eastAsia="es-ES_tradnl"/>
        </w:rPr>
        <w:t>, como responsables de estructurar sus procedimientos de selección, deben definir si el objeto a contratar es de aquellas actividades consideradas de ciencia, tecnología e innovación, y podrán aplicar la modalidad de selección de contratación directa para celebrar alguno de los tipos de contratos previstos en la ley, salvo que el contrato se rija por el derecho privado.</w:t>
      </w:r>
    </w:p>
    <w:p w14:paraId="1E452A59" w14:textId="77777777" w:rsidR="002F61D0" w:rsidRPr="00EF6E71" w:rsidRDefault="002F61D0" w:rsidP="002F61D0">
      <w:pPr>
        <w:pStyle w:val="Prrafodelista"/>
        <w:rPr>
          <w:rFonts w:ascii="Verdana" w:eastAsia="Calibri" w:hAnsi="Verdana" w:cs="Arial"/>
          <w:szCs w:val="24"/>
          <w:lang w:eastAsia="es-ES_tradnl"/>
        </w:rPr>
      </w:pPr>
    </w:p>
    <w:p w14:paraId="5E764A3C" w14:textId="16A11961" w:rsidR="002F61D0" w:rsidRPr="00EF6E71" w:rsidRDefault="002F61D0" w:rsidP="002F61D0">
      <w:pPr>
        <w:pStyle w:val="Prrafodelista"/>
        <w:numPr>
          <w:ilvl w:val="0"/>
          <w:numId w:val="17"/>
        </w:numPr>
        <w:spacing w:after="0" w:line="276" w:lineRule="auto"/>
        <w:jc w:val="both"/>
        <w:rPr>
          <w:rFonts w:ascii="Verdana" w:eastAsia="Calibri" w:hAnsi="Verdana" w:cs="Arial"/>
          <w:szCs w:val="24"/>
          <w:lang w:val="es-ES_tradnl" w:eastAsia="es-ES_tradnl"/>
        </w:rPr>
      </w:pPr>
      <w:r w:rsidRPr="00EF6E71">
        <w:rPr>
          <w:rFonts w:ascii="Verdana" w:eastAsia="Calibri" w:hAnsi="Verdana" w:cs="Arial"/>
          <w:szCs w:val="24"/>
          <w:lang w:eastAsia="es-ES_tradnl"/>
        </w:rPr>
        <w:t xml:space="preserve">En todo caso, </w:t>
      </w:r>
      <w:r w:rsidR="00BC05F1" w:rsidRPr="00EF6E71">
        <w:rPr>
          <w:rFonts w:ascii="Verdana" w:eastAsia="Calibri" w:hAnsi="Verdana" w:cs="Arial"/>
          <w:szCs w:val="24"/>
          <w:lang w:eastAsia="es-ES_tradnl"/>
        </w:rPr>
        <w:t xml:space="preserve">cuando exista duda sobre la </w:t>
      </w:r>
      <w:r w:rsidR="004A0288" w:rsidRPr="00EF6E71">
        <w:rPr>
          <w:rFonts w:ascii="Verdana" w:eastAsia="Calibri" w:hAnsi="Verdana" w:cs="Arial"/>
          <w:szCs w:val="24"/>
          <w:lang w:eastAsia="es-ES_tradnl"/>
        </w:rPr>
        <w:t>actividad objeto</w:t>
      </w:r>
      <w:r w:rsidR="00BC05F1" w:rsidRPr="00EF6E71">
        <w:rPr>
          <w:rFonts w:ascii="Verdana" w:eastAsia="Calibri" w:hAnsi="Verdana" w:cs="Arial"/>
          <w:szCs w:val="24"/>
          <w:lang w:eastAsia="es-ES_tradnl"/>
        </w:rPr>
        <w:t xml:space="preserve"> a contratar sea considerada ciencia, tecnología e </w:t>
      </w:r>
      <w:r w:rsidR="00E604AB" w:rsidRPr="00EF6E71">
        <w:rPr>
          <w:rFonts w:ascii="Verdana" w:eastAsia="Calibri" w:hAnsi="Verdana" w:cs="Arial"/>
          <w:szCs w:val="24"/>
          <w:lang w:eastAsia="es-ES_tradnl"/>
        </w:rPr>
        <w:t>innovación; le</w:t>
      </w:r>
      <w:r w:rsidRPr="00EF6E71">
        <w:rPr>
          <w:rFonts w:ascii="Verdana" w:eastAsia="Calibri" w:hAnsi="Verdana" w:cs="Arial"/>
          <w:szCs w:val="24"/>
          <w:lang w:eastAsia="es-ES_tradnl"/>
        </w:rPr>
        <w:t xml:space="preserve"> corresponde al Ministerio de Ciencia, Tecnología e Innovación, como autoridad competente en la </w:t>
      </w:r>
      <w:r w:rsidR="00837947" w:rsidRPr="00EF6E71">
        <w:rPr>
          <w:rFonts w:ascii="Verdana" w:eastAsia="Calibri" w:hAnsi="Verdana" w:cs="Arial"/>
          <w:szCs w:val="24"/>
          <w:lang w:eastAsia="es-ES_tradnl"/>
        </w:rPr>
        <w:t>materia, dirimir</w:t>
      </w:r>
      <w:r w:rsidR="00BC05F1" w:rsidRPr="00EF6E71">
        <w:rPr>
          <w:rFonts w:ascii="Verdana" w:eastAsia="Calibri" w:hAnsi="Verdana" w:cs="Arial"/>
          <w:szCs w:val="24"/>
          <w:lang w:eastAsia="es-ES_tradnl"/>
        </w:rPr>
        <w:t xml:space="preserve"> dicho cuestionamiento.</w:t>
      </w:r>
      <w:r w:rsidRPr="00EF6E71">
        <w:rPr>
          <w:rFonts w:ascii="Verdana" w:hAnsi="Verdana"/>
          <w:vertAlign w:val="superscript"/>
          <w:lang w:eastAsia="es-ES_tradnl"/>
        </w:rPr>
        <w:footnoteReference w:id="6"/>
      </w:r>
      <w:r w:rsidRPr="00EF6E71">
        <w:rPr>
          <w:rFonts w:ascii="Verdana" w:eastAsia="Calibri" w:hAnsi="Verdana" w:cs="Arial"/>
          <w:szCs w:val="24"/>
          <w:lang w:eastAsia="es-ES_tradnl"/>
        </w:rPr>
        <w:t xml:space="preserve">. </w:t>
      </w:r>
    </w:p>
    <w:p w14:paraId="7B0AB895" w14:textId="77777777" w:rsidR="002F61D0" w:rsidRPr="00EF6E71" w:rsidRDefault="002F61D0" w:rsidP="002F61D0">
      <w:pPr>
        <w:pStyle w:val="Prrafodelista"/>
        <w:spacing w:after="0" w:line="276" w:lineRule="auto"/>
        <w:jc w:val="both"/>
        <w:rPr>
          <w:rFonts w:ascii="Verdana" w:eastAsia="Times New Roman" w:hAnsi="Verdana" w:cs="Arial"/>
          <w:lang w:eastAsia="es-ES_tradnl"/>
        </w:rPr>
      </w:pPr>
    </w:p>
    <w:p w14:paraId="655835B2" w14:textId="77777777" w:rsidR="002F61D0" w:rsidRPr="00EF6E71" w:rsidRDefault="002F61D0" w:rsidP="002F61D0">
      <w:pPr>
        <w:pStyle w:val="Prrafodelista"/>
        <w:numPr>
          <w:ilvl w:val="0"/>
          <w:numId w:val="17"/>
        </w:numPr>
        <w:spacing w:after="0" w:line="276" w:lineRule="auto"/>
        <w:jc w:val="both"/>
        <w:rPr>
          <w:rFonts w:ascii="Verdana" w:eastAsia="Calibri" w:hAnsi="Verdana" w:cs="Arial"/>
          <w:lang w:eastAsia="es-ES_tradnl"/>
        </w:rPr>
      </w:pPr>
      <w:r w:rsidRPr="00EF6E71">
        <w:rPr>
          <w:rFonts w:ascii="Verdana" w:eastAsia="Calibri" w:hAnsi="Verdana" w:cs="Arial"/>
          <w:lang w:eastAsia="es-ES_tradnl"/>
        </w:rPr>
        <w:t xml:space="preserve">Ahora bien, el Decreto Ley 393 de 1991 establece dos (2) formas de asociación para que las entidades ejecuten actividades científicas y tecnológicas, proyectos de investigación y creación de tecnologías: i) crear personas jurídicas civiles, comerciales y sin ánimo de lucro y ii) celebrar convenios especiales de cooperación. </w:t>
      </w:r>
    </w:p>
    <w:p w14:paraId="0410DA64" w14:textId="77777777" w:rsidR="002F61D0" w:rsidRPr="00EF6E71" w:rsidRDefault="002F61D0" w:rsidP="002F61D0">
      <w:pPr>
        <w:spacing w:after="0" w:line="276" w:lineRule="auto"/>
        <w:jc w:val="both"/>
        <w:rPr>
          <w:rFonts w:ascii="Verdana" w:eastAsia="Calibri" w:hAnsi="Verdana" w:cs="Arial"/>
          <w:b/>
          <w:bCs/>
          <w:szCs w:val="24"/>
          <w:lang w:eastAsia="es-ES_tradnl"/>
        </w:rPr>
      </w:pPr>
    </w:p>
    <w:p w14:paraId="012E27B0" w14:textId="24CC7144" w:rsidR="00FC5662" w:rsidRPr="00EF6E71" w:rsidRDefault="00FC5662" w:rsidP="00FC5662">
      <w:pPr>
        <w:pStyle w:val="Prrafodelista"/>
        <w:numPr>
          <w:ilvl w:val="0"/>
          <w:numId w:val="17"/>
        </w:numPr>
        <w:spacing w:line="276" w:lineRule="auto"/>
        <w:jc w:val="both"/>
        <w:rPr>
          <w:rFonts w:ascii="Verdana" w:hAnsi="Verdana" w:cs="Arial"/>
          <w:b/>
          <w:bCs/>
          <w:color w:val="000000" w:themeColor="text1"/>
        </w:rPr>
      </w:pPr>
      <w:r w:rsidRPr="00EF6E71">
        <w:rPr>
          <w:rFonts w:ascii="Verdana" w:hAnsi="Verdana" w:cs="Arial"/>
          <w:b/>
          <w:bCs/>
          <w:color w:val="000000" w:themeColor="text1"/>
        </w:rPr>
        <w:lastRenderedPageBreak/>
        <w:t xml:space="preserve">i) Creación de personas jurídicas: </w:t>
      </w:r>
      <w:r w:rsidRPr="00EF6E71">
        <w:rPr>
          <w:rFonts w:ascii="Verdana" w:hAnsi="Verdana" w:cs="Arial"/>
          <w:color w:val="000000" w:themeColor="text1"/>
        </w:rPr>
        <w:t>Esta forma de asociación está prevista para la nación y sus entidades descentralizadas, con particulares o con otras entidades estatales, por lo que entre estos sujetos se pueden crear sociedades civiles, comerciales y entidades sin ánimo de lucro como corporaciones y fundaciones. El objeto de estas personas jurídicas podrá ser cualquiera de los señalados en el artículo 2 del Decreto 393 de 1991, los cuales se refieren a actividades y proyectos relacionados con la ciencia, tecnología e innovación</w:t>
      </w:r>
      <w:r w:rsidRPr="00EF6E71">
        <w:rPr>
          <w:rStyle w:val="Refdenotaalpie"/>
          <w:rFonts w:ascii="Verdana" w:hAnsi="Verdana" w:cs="Arial"/>
          <w:color w:val="000000" w:themeColor="text1"/>
        </w:rPr>
        <w:footnoteReference w:id="7"/>
      </w:r>
      <w:r w:rsidRPr="00EF6E71">
        <w:rPr>
          <w:rFonts w:ascii="Verdana" w:hAnsi="Verdana" w:cs="Arial"/>
          <w:color w:val="000000" w:themeColor="text1"/>
        </w:rPr>
        <w:t>; y respecto de los aportes que hacen las partes a la persona jurídica, la norma autoriza que sean en dinero, especie o industria, definidos en el artículo 3</w:t>
      </w:r>
      <w:r w:rsidR="005E486E" w:rsidRPr="00EF6E71">
        <w:rPr>
          <w:rFonts w:ascii="Verdana" w:hAnsi="Verdana" w:cs="Arial"/>
          <w:color w:val="000000" w:themeColor="text1"/>
        </w:rPr>
        <w:t xml:space="preserve"> Ibidem.</w:t>
      </w:r>
    </w:p>
    <w:p w14:paraId="2F262313" w14:textId="77777777" w:rsidR="00FC5662" w:rsidRPr="00EF6E71" w:rsidRDefault="00FC5662" w:rsidP="005E486E">
      <w:pPr>
        <w:pStyle w:val="Prrafodelista"/>
        <w:rPr>
          <w:rFonts w:ascii="Verdana" w:hAnsi="Verdana" w:cs="Arial"/>
          <w:b/>
          <w:bCs/>
          <w:color w:val="000000" w:themeColor="text1"/>
        </w:rPr>
      </w:pPr>
    </w:p>
    <w:p w14:paraId="25970EF9" w14:textId="77777777" w:rsidR="00FC5662" w:rsidRPr="00EF6E71" w:rsidRDefault="00FC5662" w:rsidP="005E486E">
      <w:pPr>
        <w:pStyle w:val="Prrafodelista"/>
        <w:spacing w:line="276" w:lineRule="auto"/>
        <w:jc w:val="both"/>
        <w:rPr>
          <w:rFonts w:ascii="Verdana" w:hAnsi="Verdana" w:cs="Arial"/>
          <w:b/>
          <w:bCs/>
          <w:color w:val="000000" w:themeColor="text1"/>
        </w:rPr>
      </w:pPr>
    </w:p>
    <w:p w14:paraId="3751C5BB" w14:textId="1483F36A" w:rsidR="00FC5662" w:rsidRPr="00EF6E71" w:rsidRDefault="00FC5662" w:rsidP="005E486E">
      <w:pPr>
        <w:pStyle w:val="Prrafodelista"/>
        <w:spacing w:before="120" w:after="120" w:line="276" w:lineRule="auto"/>
        <w:jc w:val="both"/>
        <w:rPr>
          <w:rFonts w:ascii="Verdana" w:hAnsi="Verdana" w:cs="Arial"/>
          <w:color w:val="000000" w:themeColor="text1"/>
        </w:rPr>
      </w:pPr>
      <w:r w:rsidRPr="00EF6E71">
        <w:rPr>
          <w:rFonts w:ascii="Verdana" w:hAnsi="Verdana" w:cs="Arial"/>
          <w:color w:val="000000" w:themeColor="text1"/>
        </w:rPr>
        <w:t xml:space="preserve">A su vez, el decreto en comento señala otra opción para que la nación y sus entidades descentralizadas se asocien para ejecutar las actividades mencionadas, esto es, no solo es posible crear una </w:t>
      </w:r>
      <w:r w:rsidR="00E604AB" w:rsidRPr="00EF6E71">
        <w:rPr>
          <w:rFonts w:ascii="Verdana" w:hAnsi="Verdana" w:cs="Arial"/>
          <w:color w:val="000000" w:themeColor="text1"/>
        </w:rPr>
        <w:t>sociedad,</w:t>
      </w:r>
      <w:r w:rsidRPr="00EF6E71">
        <w:rPr>
          <w:rFonts w:ascii="Verdana" w:hAnsi="Verdana" w:cs="Arial"/>
          <w:color w:val="000000" w:themeColor="text1"/>
        </w:rPr>
        <w:t xml:space="preserve"> sino que pueden participar en una persona jurídica creada, lo cual se realiza mediante la compra de acciones, cuotas o partes de interés, con la condición de que el objeto de la persona corresponda con los propósitos señalados en el artículo 2 citado. La participación de las entidades públicas y de los particulares en esas personas </w:t>
      </w:r>
      <w:r w:rsidR="00837947" w:rsidRPr="00EF6E71">
        <w:rPr>
          <w:rFonts w:ascii="Verdana" w:hAnsi="Verdana" w:cs="Arial"/>
          <w:color w:val="000000" w:themeColor="text1"/>
        </w:rPr>
        <w:t xml:space="preserve">jurídicas </w:t>
      </w:r>
      <w:r w:rsidR="00837947" w:rsidRPr="00EF6E71">
        <w:rPr>
          <w:rFonts w:ascii="Arial" w:hAnsi="Arial" w:cs="Arial"/>
          <w:color w:val="000000" w:themeColor="text1"/>
        </w:rPr>
        <w:t>̶</w:t>
      </w:r>
      <w:r w:rsidRPr="00EF6E71">
        <w:rPr>
          <w:rFonts w:ascii="Verdana" w:hAnsi="Verdana" w:cs="Arial"/>
          <w:color w:val="000000" w:themeColor="text1"/>
        </w:rPr>
        <w:t xml:space="preserve"> creadas o existentes </w:t>
      </w:r>
      <w:r w:rsidR="00837947" w:rsidRPr="00EF6E71">
        <w:rPr>
          <w:rFonts w:ascii="Arial" w:hAnsi="Arial" w:cs="Arial"/>
          <w:color w:val="000000" w:themeColor="text1"/>
        </w:rPr>
        <w:t>̶</w:t>
      </w:r>
      <w:r w:rsidR="00837947" w:rsidRPr="00EF6E71">
        <w:rPr>
          <w:rFonts w:ascii="Verdana" w:hAnsi="Verdana" w:cs="Arial"/>
          <w:color w:val="000000" w:themeColor="text1"/>
        </w:rPr>
        <w:t>,</w:t>
      </w:r>
      <w:r w:rsidRPr="00EF6E71">
        <w:rPr>
          <w:rFonts w:ascii="Verdana" w:hAnsi="Verdana" w:cs="Arial"/>
          <w:color w:val="000000" w:themeColor="text1"/>
        </w:rPr>
        <w:t xml:space="preserve"> es </w:t>
      </w:r>
      <w:r w:rsidRPr="00EF6E71">
        <w:rPr>
          <w:rFonts w:ascii="Verdana" w:hAnsi="Verdana" w:cs="Arial"/>
          <w:color w:val="000000" w:themeColor="text1"/>
        </w:rPr>
        <w:lastRenderedPageBreak/>
        <w:t>susceptible de ofrecerse y ser adquirida por otras personas públicas o privadas, sin restricción.</w:t>
      </w:r>
    </w:p>
    <w:p w14:paraId="571B71E5" w14:textId="77777777" w:rsidR="00FC5662" w:rsidRPr="00EF6E71" w:rsidRDefault="00FC5662" w:rsidP="005E486E">
      <w:pPr>
        <w:pStyle w:val="Prrafodelista"/>
        <w:rPr>
          <w:rFonts w:ascii="Verdana" w:eastAsia="Calibri" w:hAnsi="Verdana" w:cs="Arial"/>
          <w:b/>
          <w:bCs/>
          <w:szCs w:val="24"/>
          <w:lang w:eastAsia="es-ES_tradnl"/>
        </w:rPr>
      </w:pPr>
    </w:p>
    <w:p w14:paraId="1596D0F3" w14:textId="316ABD65" w:rsidR="002F61D0" w:rsidRPr="00EF6E71" w:rsidRDefault="00FC5662" w:rsidP="00EF6E71">
      <w:pPr>
        <w:pStyle w:val="Prrafodelista"/>
        <w:numPr>
          <w:ilvl w:val="0"/>
          <w:numId w:val="20"/>
        </w:numPr>
        <w:spacing w:after="120" w:line="276" w:lineRule="auto"/>
        <w:ind w:left="723"/>
        <w:jc w:val="both"/>
        <w:rPr>
          <w:rFonts w:ascii="Verdana" w:eastAsia="Calibri" w:hAnsi="Verdana" w:cs="Arial"/>
          <w:szCs w:val="24"/>
          <w:lang w:eastAsia="es-ES_tradnl"/>
        </w:rPr>
      </w:pPr>
      <w:r w:rsidRPr="00EF6E71">
        <w:rPr>
          <w:rFonts w:ascii="Verdana" w:eastAsia="Calibri" w:hAnsi="Verdana" w:cs="Arial"/>
          <w:b/>
          <w:bCs/>
          <w:szCs w:val="24"/>
          <w:lang w:eastAsia="es-ES_tradnl"/>
        </w:rPr>
        <w:t xml:space="preserve">ii) </w:t>
      </w:r>
      <w:r w:rsidR="002F61D0" w:rsidRPr="00EF6E71">
        <w:rPr>
          <w:rFonts w:ascii="Verdana" w:eastAsia="Calibri" w:hAnsi="Verdana" w:cs="Arial"/>
          <w:szCs w:val="24"/>
          <w:lang w:eastAsia="es-ES_tradnl"/>
        </w:rPr>
        <w:t xml:space="preserve">Por parte del </w:t>
      </w:r>
      <w:r w:rsidR="002F61D0" w:rsidRPr="00EF6E71">
        <w:rPr>
          <w:rFonts w:ascii="Verdana" w:eastAsia="Calibri" w:hAnsi="Verdana" w:cs="Arial"/>
          <w:szCs w:val="24"/>
          <w:u w:val="single"/>
          <w:lang w:eastAsia="es-ES_tradnl"/>
        </w:rPr>
        <w:t>convenio especial de cooperación</w:t>
      </w:r>
      <w:r w:rsidR="002F61D0" w:rsidRPr="00EF6E71">
        <w:rPr>
          <w:rFonts w:ascii="Verdana" w:eastAsia="Calibri" w:hAnsi="Verdana" w:cs="Arial"/>
          <w:szCs w:val="24"/>
          <w:lang w:eastAsia="es-ES_tradnl"/>
        </w:rPr>
        <w:t>, este se diferencia de la creación de personas jurídicas, teniendo en cuenta que el Decreto los presenta como dos (2) formas de asociación diferentes, y porque la celebración del convenio especial de cooperación no da origen a una persona jurídica cuya existencia se debe señalar en la ley que, como se verá, no lo previó así. Por ende, es un tipo de contrato que puede celebrar la nación y sus entidades descentralizadas, con particulares y otras Entidades Estatales, cuyos aportes pueden ser diferentes para cumplir los propósitos del artículo 2 citado. En ese sentido, este convenio y la creación de personas jurídicas tienen en común los objetos que la norma señala para que las entidades cumplan su función de fomentar las actividades de ciencia, tecnología e innovación.</w:t>
      </w:r>
    </w:p>
    <w:p w14:paraId="55DAAA9B" w14:textId="77777777" w:rsidR="002F61D0" w:rsidRPr="00EF6E71" w:rsidRDefault="002F61D0" w:rsidP="002F61D0">
      <w:pPr>
        <w:pStyle w:val="Prrafodelista"/>
        <w:rPr>
          <w:rFonts w:ascii="Verdana" w:eastAsia="Calibri" w:hAnsi="Verdana" w:cs="Arial"/>
          <w:szCs w:val="24"/>
          <w:lang w:eastAsia="es-ES_tradnl"/>
        </w:rPr>
      </w:pPr>
    </w:p>
    <w:p w14:paraId="40CFDC38" w14:textId="77777777" w:rsidR="002F61D0" w:rsidRPr="00EF6E71" w:rsidRDefault="002F61D0" w:rsidP="002F61D0">
      <w:pPr>
        <w:pStyle w:val="Prrafodelista"/>
        <w:numPr>
          <w:ilvl w:val="0"/>
          <w:numId w:val="17"/>
        </w:numPr>
        <w:spacing w:after="120" w:line="276" w:lineRule="auto"/>
        <w:jc w:val="both"/>
        <w:rPr>
          <w:rFonts w:ascii="Verdana" w:eastAsia="Calibri" w:hAnsi="Verdana" w:cs="Arial"/>
          <w:lang w:eastAsia="es-ES_tradnl"/>
        </w:rPr>
      </w:pPr>
      <w:r w:rsidRPr="00EF6E71">
        <w:rPr>
          <w:rFonts w:ascii="Verdana" w:eastAsia="Calibri" w:hAnsi="Verdana" w:cs="Arial"/>
          <w:lang w:eastAsia="es-ES_tradnl"/>
        </w:rPr>
        <w:t xml:space="preserve">Las </w:t>
      </w:r>
      <w:r w:rsidRPr="00EF6E71">
        <w:rPr>
          <w:rFonts w:ascii="Verdana" w:eastAsia="Calibri" w:hAnsi="Verdana" w:cs="Arial"/>
          <w:u w:val="single"/>
          <w:lang w:eastAsia="es-ES_tradnl"/>
        </w:rPr>
        <w:t>reglas para la celebración</w:t>
      </w:r>
      <w:r w:rsidRPr="00EF6E71">
        <w:rPr>
          <w:rFonts w:ascii="Verdana" w:eastAsia="Calibri" w:hAnsi="Verdana" w:cs="Arial"/>
          <w:lang w:eastAsia="es-ES_tradnl"/>
        </w:rPr>
        <w:t xml:space="preserve"> de este convenio están enlistadas en los </w:t>
      </w:r>
      <w:r w:rsidRPr="00EF6E71">
        <w:rPr>
          <w:rFonts w:ascii="Verdana" w:eastAsia="Calibri" w:hAnsi="Verdana" w:cs="Arial"/>
          <w:u w:val="single"/>
          <w:lang w:eastAsia="es-ES_tradnl"/>
        </w:rPr>
        <w:t>artículos 7 y 8 del Decreto 393 de 1991</w:t>
      </w:r>
      <w:r w:rsidRPr="00EF6E71">
        <w:rPr>
          <w:rFonts w:ascii="Verdana" w:eastAsia="Calibri" w:hAnsi="Verdana" w:cs="Arial"/>
          <w:lang w:eastAsia="es-ES_tradnl"/>
        </w:rPr>
        <w:t>: i) inexistencia de solidaridad entre sus partes, ii) regular la propiedad y los derechos sobre los resultados del convenio, iii) definir las obligaciones de las partes, iv) determinar la forma de administración de los aportes, v) el régimen jurídico es el derecho privado, salvo lo expresamente regulado en el Estatuto General de Contratación de la Administración Pública – en adelante EGCAP –, vi) debe ser escrito, vii) señalar el objeto y el plazo e viii) incluir cláusulas de cesión y terminación.</w:t>
      </w:r>
    </w:p>
    <w:p w14:paraId="01401701" w14:textId="77777777" w:rsidR="002F61D0" w:rsidRPr="00EF6E71" w:rsidRDefault="002F61D0" w:rsidP="002F61D0">
      <w:pPr>
        <w:pStyle w:val="Prrafodelista"/>
        <w:rPr>
          <w:rFonts w:ascii="Verdana" w:eastAsia="Calibri" w:hAnsi="Verdana" w:cs="Arial"/>
          <w:lang w:eastAsia="es-ES_tradnl"/>
        </w:rPr>
      </w:pPr>
    </w:p>
    <w:p w14:paraId="12BF3FDB" w14:textId="53A7355D" w:rsidR="002F61D0" w:rsidRPr="00EF6E71" w:rsidRDefault="008454FC" w:rsidP="002F61D0">
      <w:pPr>
        <w:pStyle w:val="Prrafodelista"/>
        <w:numPr>
          <w:ilvl w:val="0"/>
          <w:numId w:val="17"/>
        </w:numPr>
        <w:spacing w:after="120" w:line="276" w:lineRule="auto"/>
        <w:jc w:val="both"/>
        <w:rPr>
          <w:rFonts w:ascii="Verdana" w:eastAsia="Calibri" w:hAnsi="Verdana" w:cs="Arial"/>
          <w:lang w:eastAsia="es-ES_tradnl"/>
        </w:rPr>
      </w:pPr>
      <w:r w:rsidRPr="00EF6E71">
        <w:rPr>
          <w:rFonts w:ascii="Verdana" w:eastAsia="Times New Roman" w:hAnsi="Verdana" w:cs="Times New Roman"/>
          <w:lang w:eastAsia="es-ES_tradnl"/>
        </w:rPr>
        <w:t xml:space="preserve">Vale la pena </w:t>
      </w:r>
      <w:r w:rsidR="002F61D0" w:rsidRPr="00EF6E71">
        <w:rPr>
          <w:rFonts w:ascii="Verdana" w:eastAsia="Times New Roman" w:hAnsi="Verdana" w:cs="Times New Roman"/>
          <w:lang w:eastAsia="es-ES_tradnl"/>
        </w:rPr>
        <w:t>agregar que, en virtud de lo expresamente señalado en el parágrafo del numeral 2 del artículo 14 de la Ley 80 de 1993, en este tipo de contratos, es decir en los que tienen por objeto el desarrollo directo de actividades científicas y tecnológicas, no se incorporarán cláusulas excepcionales</w:t>
      </w:r>
      <w:r w:rsidR="002F61D0" w:rsidRPr="00EF6E71">
        <w:rPr>
          <w:rFonts w:ascii="Verdana" w:hAnsi="Verdana"/>
          <w:vertAlign w:val="superscript"/>
          <w:lang w:eastAsia="es-ES_tradnl"/>
        </w:rPr>
        <w:footnoteReference w:id="8"/>
      </w:r>
      <w:r w:rsidR="002F61D0" w:rsidRPr="00EF6E71">
        <w:rPr>
          <w:rFonts w:ascii="Verdana" w:eastAsia="Times New Roman" w:hAnsi="Verdana" w:cs="Times New Roman"/>
          <w:lang w:eastAsia="es-ES_tradnl"/>
        </w:rPr>
        <w:t>. Además, la selección del contratista se adelantará mediante la modalidad de contratación directa consagrada en el literal e), numeral 4, artículo 2 de la Ley 1150 de 2007.</w:t>
      </w:r>
    </w:p>
    <w:p w14:paraId="4E017AC4" w14:textId="77777777" w:rsidR="002F61D0" w:rsidRPr="00EF6E71" w:rsidRDefault="002F61D0" w:rsidP="002F61D0">
      <w:pPr>
        <w:pStyle w:val="Prrafodelista"/>
        <w:rPr>
          <w:rFonts w:ascii="Verdana" w:eastAsia="Calibri" w:hAnsi="Verdana" w:cs="Arial"/>
          <w:lang w:eastAsia="es-ES_tradnl"/>
        </w:rPr>
      </w:pPr>
    </w:p>
    <w:p w14:paraId="29CF9E1D" w14:textId="656BFE62" w:rsidR="002F61D0" w:rsidRPr="00EF6E71" w:rsidRDefault="002F61D0" w:rsidP="002F61D0">
      <w:pPr>
        <w:pStyle w:val="Prrafodelista"/>
        <w:numPr>
          <w:ilvl w:val="0"/>
          <w:numId w:val="17"/>
        </w:numPr>
        <w:spacing w:before="120" w:after="0" w:line="276" w:lineRule="auto"/>
        <w:jc w:val="both"/>
        <w:rPr>
          <w:rFonts w:ascii="Verdana" w:eastAsia="Calibri" w:hAnsi="Verdana" w:cs="Arial"/>
          <w:szCs w:val="24"/>
          <w:lang w:eastAsia="es-ES_tradnl"/>
        </w:rPr>
      </w:pPr>
      <w:r w:rsidRPr="00EF6E71">
        <w:rPr>
          <w:rFonts w:ascii="Verdana" w:eastAsia="Calibri" w:hAnsi="Verdana" w:cs="Arial"/>
          <w:szCs w:val="24"/>
          <w:lang w:eastAsia="es-ES_tradnl"/>
        </w:rPr>
        <w:lastRenderedPageBreak/>
        <w:t>De igual forma,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artículo 11) como el decreto del cual hacen parte las normas acusadas, y sometidos al régimen del derecho privado”</w:t>
      </w:r>
      <w:r w:rsidRPr="00EF6E71">
        <w:rPr>
          <w:rFonts w:ascii="Verdana" w:hAnsi="Verdana"/>
          <w:vertAlign w:val="superscript"/>
          <w:lang w:eastAsia="es-ES_tradnl"/>
        </w:rPr>
        <w:footnoteReference w:id="9"/>
      </w:r>
      <w:r w:rsidRPr="00EF6E71">
        <w:rPr>
          <w:rFonts w:ascii="Verdana" w:eastAsia="Calibri" w:hAnsi="Verdana" w:cs="Arial"/>
          <w:szCs w:val="24"/>
          <w:lang w:eastAsia="es-ES_tradnl"/>
        </w:rPr>
        <w:t xml:space="preserve"> Además, esa Corporación revisó la constitucionalidad del artículo 6 del Decreto 393 de 1991, que define el convenio especial de cooperación, puesto que el actor consideraba que se violaba la competencia del Congreso para expedir el EGCAP:</w:t>
      </w:r>
    </w:p>
    <w:p w14:paraId="1CF185B8" w14:textId="77777777" w:rsidR="002F61D0" w:rsidRPr="00E974F0" w:rsidRDefault="002F61D0" w:rsidP="002F61D0">
      <w:pPr>
        <w:pStyle w:val="Prrafodelista"/>
        <w:spacing w:after="0" w:line="276" w:lineRule="auto"/>
        <w:jc w:val="both"/>
        <w:rPr>
          <w:rFonts w:ascii="Verdana" w:eastAsia="Calibri" w:hAnsi="Verdana" w:cs="Arial"/>
          <w:szCs w:val="24"/>
          <w:lang w:eastAsia="es-ES_tradnl"/>
        </w:rPr>
      </w:pPr>
    </w:p>
    <w:p w14:paraId="78A3ACBF" w14:textId="77777777" w:rsidR="002F61D0" w:rsidRPr="00F306CA" w:rsidRDefault="002F61D0" w:rsidP="002F61D0">
      <w:pPr>
        <w:pStyle w:val="Prrafodelista"/>
        <w:spacing w:after="0" w:line="240" w:lineRule="auto"/>
        <w:ind w:left="1491" w:right="357"/>
        <w:jc w:val="both"/>
        <w:rPr>
          <w:rFonts w:ascii="Verdana" w:eastAsia="Calibri" w:hAnsi="Verdana" w:cs="Arial"/>
          <w:sz w:val="20"/>
          <w:szCs w:val="20"/>
          <w:lang w:eastAsia="es-ES_tradnl"/>
        </w:rPr>
      </w:pPr>
      <w:r w:rsidRPr="00E974F0">
        <w:rPr>
          <w:rFonts w:ascii="Verdana" w:eastAsia="Calibri" w:hAnsi="Verdana" w:cs="Arial"/>
          <w:sz w:val="20"/>
          <w:szCs w:val="20"/>
          <w:lang w:eastAsia="es-ES_tradnl"/>
        </w:rPr>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Pr="00E974F0">
        <w:rPr>
          <w:rFonts w:ascii="Verdana" w:hAnsi="Verdana"/>
          <w:vertAlign w:val="superscript"/>
          <w:lang w:eastAsia="es-ES_tradnl"/>
        </w:rPr>
        <w:footnoteReference w:id="10"/>
      </w:r>
      <w:r w:rsidRPr="00E974F0">
        <w:rPr>
          <w:rFonts w:ascii="Verdana" w:eastAsia="Calibri" w:hAnsi="Verdana" w:cs="Arial"/>
          <w:sz w:val="20"/>
          <w:szCs w:val="20"/>
          <w:lang w:eastAsia="es-ES_tradnl"/>
        </w:rPr>
        <w:t>.</w:t>
      </w:r>
    </w:p>
    <w:p w14:paraId="3A271179" w14:textId="77777777" w:rsidR="002F61D0" w:rsidRPr="00F306CA" w:rsidRDefault="002F61D0" w:rsidP="002F61D0">
      <w:pPr>
        <w:pStyle w:val="Prrafodelista"/>
        <w:spacing w:after="0" w:line="276" w:lineRule="auto"/>
        <w:ind w:right="709"/>
        <w:jc w:val="both"/>
        <w:rPr>
          <w:rFonts w:ascii="Verdana" w:eastAsia="Calibri" w:hAnsi="Verdana" w:cs="Arial"/>
          <w:lang w:eastAsia="es-ES_tradnl"/>
        </w:rPr>
      </w:pPr>
    </w:p>
    <w:p w14:paraId="07D632FD" w14:textId="77777777" w:rsidR="002F61D0" w:rsidRPr="00F306CA" w:rsidRDefault="002F61D0" w:rsidP="002F61D0">
      <w:pPr>
        <w:pStyle w:val="Prrafodelista"/>
        <w:numPr>
          <w:ilvl w:val="0"/>
          <w:numId w:val="17"/>
        </w:numPr>
        <w:spacing w:after="0" w:line="276" w:lineRule="auto"/>
        <w:jc w:val="both"/>
        <w:rPr>
          <w:rFonts w:ascii="Verdana" w:eastAsia="Calibri" w:hAnsi="Verdana" w:cs="Arial"/>
          <w:szCs w:val="24"/>
          <w:lang w:eastAsia="es-ES_tradnl"/>
        </w:rPr>
      </w:pPr>
      <w:r w:rsidRPr="00F306CA">
        <w:rPr>
          <w:rFonts w:ascii="Verdana" w:eastAsia="Calibri" w:hAnsi="Verdana" w:cs="Arial"/>
          <w:szCs w:val="24"/>
          <w:lang w:eastAsia="es-ES_tradnl"/>
        </w:rPr>
        <w:t>Así las cosas, es claro que 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decir, el derecho privado. Lo anterior se corrobora en la Circular Externa Única expedida por la Agencia Nacional de Contratación Pública – Colombia Compra Eficiente que hace referencia a que este convenio puede incluir temas relativos a administración o financiamiento, que también tendrían el régimen privado del convenio</w:t>
      </w:r>
      <w:r w:rsidRPr="00F306CA">
        <w:rPr>
          <w:rFonts w:ascii="Verdana" w:hAnsi="Verdana"/>
          <w:vertAlign w:val="superscript"/>
          <w:lang w:eastAsia="es-ES_tradnl"/>
        </w:rPr>
        <w:footnoteReference w:id="11"/>
      </w:r>
      <w:r w:rsidRPr="00F306CA">
        <w:rPr>
          <w:rFonts w:ascii="Verdana" w:eastAsia="Calibri" w:hAnsi="Verdana" w:cs="Arial"/>
          <w:szCs w:val="24"/>
          <w:lang w:eastAsia="es-ES_tradnl"/>
        </w:rPr>
        <w:t>.</w:t>
      </w:r>
    </w:p>
    <w:p w14:paraId="3F6EDA31" w14:textId="77777777" w:rsidR="002F61D0" w:rsidRPr="00F306CA" w:rsidRDefault="002F61D0" w:rsidP="002F61D0">
      <w:pPr>
        <w:pStyle w:val="Prrafodelista"/>
        <w:spacing w:after="0" w:line="276" w:lineRule="auto"/>
        <w:jc w:val="both"/>
        <w:rPr>
          <w:rFonts w:ascii="Verdana" w:eastAsia="Calibri" w:hAnsi="Verdana" w:cs="Arial"/>
          <w:b/>
          <w:bCs/>
          <w:szCs w:val="24"/>
          <w:lang w:eastAsia="es-ES_tradnl"/>
        </w:rPr>
      </w:pPr>
    </w:p>
    <w:p w14:paraId="1AB5722E" w14:textId="50B711F7" w:rsidR="002F61D0" w:rsidRPr="00F306CA" w:rsidRDefault="002F61D0" w:rsidP="002F61D0">
      <w:pPr>
        <w:pStyle w:val="Prrafodelista"/>
        <w:numPr>
          <w:ilvl w:val="0"/>
          <w:numId w:val="17"/>
        </w:numPr>
        <w:spacing w:after="0" w:line="276" w:lineRule="auto"/>
        <w:jc w:val="both"/>
        <w:rPr>
          <w:rFonts w:ascii="Verdana" w:hAnsi="Verdana" w:cs="Arial"/>
        </w:rPr>
      </w:pPr>
      <w:r w:rsidRPr="00F306CA">
        <w:rPr>
          <w:rFonts w:ascii="Verdana" w:hAnsi="Verdana" w:cs="Arial"/>
        </w:rPr>
        <w:lastRenderedPageBreak/>
        <w:t xml:space="preserve">Finalmente, con el objeto de puntualizar en relación con lo consultado, es preciso mencionar que el artículo 8 </w:t>
      </w:r>
      <w:r w:rsidR="008454FC">
        <w:rPr>
          <w:rFonts w:ascii="Verdana" w:hAnsi="Verdana" w:cs="Arial"/>
        </w:rPr>
        <w:t xml:space="preserve">del Decreto 393 de 1991 </w:t>
      </w:r>
      <w:r w:rsidRPr="00F306CA">
        <w:rPr>
          <w:rFonts w:ascii="Verdana" w:hAnsi="Verdana" w:cs="Arial"/>
        </w:rPr>
        <w:t>establece los requisitos para la celebración del convenio especial de cooperación, en el cual se observa que:</w:t>
      </w:r>
    </w:p>
    <w:p w14:paraId="3DEA0329" w14:textId="77777777" w:rsidR="002F61D0" w:rsidRPr="00F306CA" w:rsidRDefault="002F61D0" w:rsidP="002F61D0">
      <w:pPr>
        <w:pStyle w:val="Prrafodelista"/>
        <w:rPr>
          <w:rFonts w:ascii="Verdana" w:hAnsi="Verdana" w:cs="Arial"/>
        </w:rPr>
      </w:pPr>
    </w:p>
    <w:p w14:paraId="55881B6D" w14:textId="77777777" w:rsidR="002F61D0" w:rsidRPr="00F306CA" w:rsidRDefault="002F61D0" w:rsidP="002F61D0">
      <w:pPr>
        <w:pStyle w:val="Prrafodelista"/>
        <w:spacing w:after="0" w:line="240" w:lineRule="auto"/>
        <w:ind w:left="1491" w:right="357"/>
        <w:jc w:val="both"/>
        <w:rPr>
          <w:rFonts w:ascii="Verdana" w:hAnsi="Verdana" w:cs="Arial"/>
          <w:sz w:val="20"/>
          <w:szCs w:val="20"/>
        </w:rPr>
      </w:pPr>
      <w:r w:rsidRPr="00F306CA">
        <w:rPr>
          <w:rFonts w:ascii="Verdana" w:hAnsi="Verdana" w:cs="Arial"/>
          <w:sz w:val="20"/>
          <w:szCs w:val="20"/>
        </w:rPr>
        <w:t xml:space="preserve">“[…] siempre deberá constar por escrito, contendrá como mínimo cláusulas que determinen: su objeto, término de duración, mecanismos de administración, sistemas de contabilización, causales de terminación y cesión. </w:t>
      </w:r>
    </w:p>
    <w:p w14:paraId="61911523" w14:textId="77777777" w:rsidR="002F61D0" w:rsidRPr="00F306CA" w:rsidRDefault="002F61D0" w:rsidP="002F61D0">
      <w:pPr>
        <w:pStyle w:val="Prrafodelista"/>
        <w:spacing w:after="0" w:line="240" w:lineRule="auto"/>
        <w:ind w:left="1491" w:right="357"/>
        <w:jc w:val="both"/>
        <w:rPr>
          <w:rFonts w:ascii="Verdana" w:hAnsi="Verdana" w:cs="Arial"/>
          <w:sz w:val="20"/>
          <w:szCs w:val="20"/>
        </w:rPr>
      </w:pPr>
    </w:p>
    <w:p w14:paraId="15E4D92D" w14:textId="77777777" w:rsidR="002F61D0" w:rsidRPr="00F306CA" w:rsidRDefault="002F61D0" w:rsidP="002F61D0">
      <w:pPr>
        <w:pStyle w:val="Prrafodelista"/>
        <w:spacing w:after="0" w:line="240" w:lineRule="auto"/>
        <w:ind w:left="1491" w:right="357"/>
        <w:jc w:val="both"/>
        <w:rPr>
          <w:rFonts w:ascii="Verdana" w:hAnsi="Verdana" w:cs="Arial"/>
          <w:sz w:val="20"/>
          <w:szCs w:val="20"/>
        </w:rPr>
      </w:pPr>
      <w:r w:rsidRPr="00F306CA">
        <w:rPr>
          <w:rFonts w:ascii="Verdana" w:hAnsi="Verdana" w:cs="Arial"/>
          <w:sz w:val="20"/>
          <w:szCs w:val="20"/>
        </w:rPr>
        <w:t xml:space="preserve">Parágrafo. El convenio especial de cooperación </w:t>
      </w:r>
      <w:r w:rsidRPr="00F306CA">
        <w:rPr>
          <w:rFonts w:ascii="Verdana" w:hAnsi="Verdana" w:cs="Arial"/>
          <w:sz w:val="20"/>
          <w:szCs w:val="20"/>
          <w:u w:val="single"/>
        </w:rPr>
        <w:t>no requiere para su celebración y validez requisitos distintos de los propios de la contratación entre particulares</w:t>
      </w:r>
      <w:r w:rsidRPr="00F306CA">
        <w:rPr>
          <w:rFonts w:ascii="Verdana" w:hAnsi="Verdana" w:cs="Arial"/>
          <w:sz w:val="20"/>
          <w:szCs w:val="20"/>
        </w:rPr>
        <w:t>, pero exige su publicación en el DIARIO OFICIAL, pago del impuesto de timbre nacional, y apropiación y registro presupuestal si implica erogación de recursos públicos.” (Énfasis fuera del texto original)</w:t>
      </w:r>
    </w:p>
    <w:p w14:paraId="076C57B0" w14:textId="77777777" w:rsidR="002F61D0" w:rsidRPr="00F306CA" w:rsidRDefault="002F61D0" w:rsidP="002F61D0">
      <w:pPr>
        <w:pStyle w:val="Prrafodelista"/>
        <w:spacing w:after="0" w:line="240" w:lineRule="auto"/>
        <w:ind w:left="1491" w:right="357"/>
        <w:jc w:val="both"/>
        <w:rPr>
          <w:rFonts w:ascii="Verdana" w:hAnsi="Verdana" w:cs="Arial"/>
          <w:sz w:val="20"/>
          <w:szCs w:val="20"/>
        </w:rPr>
      </w:pPr>
    </w:p>
    <w:p w14:paraId="0102F476" w14:textId="6F242498" w:rsidR="008454FC" w:rsidRPr="00CF7029" w:rsidRDefault="008454FC" w:rsidP="00CF7029">
      <w:pPr>
        <w:pStyle w:val="Prrafodelista"/>
        <w:numPr>
          <w:ilvl w:val="0"/>
          <w:numId w:val="17"/>
        </w:numPr>
        <w:spacing w:after="0" w:line="276" w:lineRule="auto"/>
        <w:jc w:val="both"/>
        <w:rPr>
          <w:rFonts w:ascii="Verdana" w:hAnsi="Verdana" w:cs="Arial"/>
        </w:rPr>
      </w:pPr>
      <w:r w:rsidRPr="005E486E">
        <w:rPr>
          <w:rFonts w:ascii="Verdana" w:eastAsia="Calibri" w:hAnsi="Verdana" w:cs="Arial"/>
        </w:rPr>
        <w:t>En conclusión, para la celebración de un convenio especial de</w:t>
      </w:r>
      <w:r w:rsidR="00E974F0" w:rsidRPr="005E486E">
        <w:rPr>
          <w:rFonts w:ascii="Verdana" w:eastAsia="Calibri" w:hAnsi="Verdana" w:cs="Arial"/>
        </w:rPr>
        <w:t xml:space="preserve"> Cooperación</w:t>
      </w:r>
      <w:r w:rsidRPr="005E486E">
        <w:rPr>
          <w:rFonts w:ascii="Verdana" w:eastAsia="Calibri" w:hAnsi="Verdana" w:cs="Arial"/>
        </w:rPr>
        <w:t xml:space="preserve"> no existen requisitos especiales, salvo lo señalado por la misma norma y cuando las </w:t>
      </w:r>
      <w:r w:rsidRPr="00CF7029">
        <w:rPr>
          <w:rFonts w:ascii="Verdana" w:eastAsia="Times New Roman" w:hAnsi="Verdana" w:cs="Times New Roman"/>
          <w:lang w:eastAsia="es-ES_tradnl"/>
        </w:rPr>
        <w:t xml:space="preserve">Entidades Estatales no tengan certeza sobre la catalogación de las actividades científicas, tecnológicas y de innovación, deben acudir al Ministerio de Ciencia, Tecnología e Innovación, autoridad competente en la materia. </w:t>
      </w:r>
      <w:r w:rsidRPr="00CF7029">
        <w:rPr>
          <w:rFonts w:ascii="Verdana" w:eastAsia="Times New Roman" w:hAnsi="Verdana" w:cs="Arial"/>
          <w:color w:val="000000" w:themeColor="text1"/>
          <w:szCs w:val="24"/>
          <w:lang w:eastAsia="es-ES_tradnl"/>
        </w:rPr>
        <w:t>Por ello, la entidad, como responsable de estructurar sus procedimientos de selección, debe definir si el objeto a contratar es de aquellas actividades consideradas de ciencia, tecnología e innovación.</w:t>
      </w:r>
    </w:p>
    <w:p w14:paraId="2227FD98" w14:textId="77777777" w:rsidR="008454FC" w:rsidRPr="00F306CA" w:rsidRDefault="008454FC" w:rsidP="00CF7029">
      <w:pPr>
        <w:pStyle w:val="Prrafodelista"/>
        <w:spacing w:after="0" w:line="276" w:lineRule="auto"/>
        <w:jc w:val="both"/>
        <w:rPr>
          <w:rFonts w:ascii="Verdana" w:hAnsi="Verdana" w:cs="Arial"/>
        </w:rPr>
      </w:pPr>
    </w:p>
    <w:p w14:paraId="7C7200F0" w14:textId="77777777" w:rsidR="002F61D0" w:rsidRPr="00F306CA" w:rsidRDefault="002F61D0" w:rsidP="002F61D0">
      <w:pPr>
        <w:spacing w:after="0" w:line="276" w:lineRule="auto"/>
        <w:jc w:val="both"/>
        <w:rPr>
          <w:rFonts w:ascii="Verdana" w:hAnsi="Verdana" w:cs="Arial"/>
        </w:rPr>
      </w:pPr>
    </w:p>
    <w:p w14:paraId="3C9AF358" w14:textId="77777777" w:rsidR="002F61D0" w:rsidRPr="00F306CA" w:rsidRDefault="002F61D0" w:rsidP="002F61D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306CA">
        <w:rPr>
          <w:rFonts w:ascii="Verdana" w:eastAsia="Century Gothic" w:hAnsi="Verdana" w:cs="Century Gothic"/>
          <w:b/>
          <w:bCs/>
        </w:rPr>
        <w:t>Referencias normativas, jurisprudenciales y otras fuentes:</w:t>
      </w:r>
    </w:p>
    <w:p w14:paraId="1F765010" w14:textId="77777777" w:rsidR="002F61D0" w:rsidRPr="00F306CA" w:rsidRDefault="002F61D0" w:rsidP="002F61D0">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F61D0" w:rsidRPr="00F306CA" w14:paraId="00C49AEC" w14:textId="77777777" w:rsidTr="004B4FCC">
        <w:trPr>
          <w:trHeight w:val="870"/>
        </w:trPr>
        <w:tc>
          <w:tcPr>
            <w:tcW w:w="8647" w:type="dxa"/>
          </w:tcPr>
          <w:p w14:paraId="18EA282B" w14:textId="77777777" w:rsidR="002F61D0" w:rsidRPr="00F306CA" w:rsidRDefault="002F61D0" w:rsidP="002F61D0">
            <w:pPr>
              <w:pStyle w:val="Prrafodelista"/>
              <w:widowControl w:val="0"/>
              <w:numPr>
                <w:ilvl w:val="0"/>
                <w:numId w:val="18"/>
              </w:numPr>
              <w:autoSpaceDE w:val="0"/>
              <w:autoSpaceDN w:val="0"/>
              <w:spacing w:after="120" w:line="276" w:lineRule="auto"/>
              <w:jc w:val="both"/>
              <w:rPr>
                <w:rFonts w:ascii="Verdana" w:eastAsia="Times New Roman" w:hAnsi="Verdana" w:cs="Arial"/>
                <w:lang w:val="es-ES_tradnl" w:eastAsia="es-ES"/>
              </w:rPr>
            </w:pPr>
            <w:r w:rsidRPr="00F306CA">
              <w:rPr>
                <w:rFonts w:ascii="Verdana" w:eastAsia="Times New Roman" w:hAnsi="Verdana" w:cs="Arial"/>
                <w:lang w:val="es-ES_tradnl" w:eastAsia="es-ES"/>
              </w:rPr>
              <w:t xml:space="preserve">Decreto Ley 393 de 1991: Artículo 2, 7 y 8. </w:t>
            </w:r>
          </w:p>
          <w:p w14:paraId="6A13AF7E" w14:textId="77777777" w:rsidR="002F61D0" w:rsidRPr="00CF7029" w:rsidRDefault="002F61D0" w:rsidP="002F61D0">
            <w:pPr>
              <w:pStyle w:val="Prrafodelista"/>
              <w:widowControl w:val="0"/>
              <w:numPr>
                <w:ilvl w:val="0"/>
                <w:numId w:val="18"/>
              </w:numPr>
              <w:autoSpaceDE w:val="0"/>
              <w:autoSpaceDN w:val="0"/>
              <w:spacing w:after="120" w:line="276" w:lineRule="auto"/>
              <w:jc w:val="both"/>
              <w:rPr>
                <w:rFonts w:ascii="Verdana" w:hAnsi="Verdana" w:cs="Arial"/>
              </w:rPr>
            </w:pPr>
            <w:r w:rsidRPr="00F306CA">
              <w:rPr>
                <w:rFonts w:ascii="Verdana" w:eastAsia="Times New Roman" w:hAnsi="Verdana" w:cs="Arial"/>
                <w:lang w:val="es-ES_tradnl" w:eastAsia="es-ES"/>
              </w:rPr>
              <w:t xml:space="preserve">Decreto Ley 591 de 1991: Artículo 2. </w:t>
            </w:r>
          </w:p>
          <w:p w14:paraId="247EAB54" w14:textId="330775E8" w:rsidR="00FC5662" w:rsidRPr="00F306CA" w:rsidRDefault="00FC5662" w:rsidP="002F61D0">
            <w:pPr>
              <w:pStyle w:val="Prrafodelista"/>
              <w:widowControl w:val="0"/>
              <w:numPr>
                <w:ilvl w:val="0"/>
                <w:numId w:val="18"/>
              </w:numPr>
              <w:autoSpaceDE w:val="0"/>
              <w:autoSpaceDN w:val="0"/>
              <w:spacing w:after="120" w:line="276" w:lineRule="auto"/>
              <w:jc w:val="both"/>
              <w:rPr>
                <w:rFonts w:ascii="Verdana" w:hAnsi="Verdana" w:cs="Arial"/>
              </w:rPr>
            </w:pPr>
            <w:r>
              <w:rPr>
                <w:rFonts w:ascii="Verdana" w:eastAsia="Times New Roman" w:hAnsi="Verdana" w:cs="Arial"/>
                <w:lang w:val="es-ES_tradnl" w:eastAsia="es-ES"/>
              </w:rPr>
              <w:t>Circular Externa Única.</w:t>
            </w:r>
          </w:p>
          <w:p w14:paraId="1040659E" w14:textId="77777777" w:rsidR="002F61D0" w:rsidRPr="00F306CA" w:rsidRDefault="002F61D0" w:rsidP="002F61D0">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F306CA">
              <w:rPr>
                <w:rFonts w:ascii="Verdana" w:hAnsi="Verdana" w:cs="Arial"/>
              </w:rPr>
              <w:t xml:space="preserve">Jurisprudencia del Consejo de Estado. Disponible en: </w:t>
            </w:r>
            <w:hyperlink r:id="rId14" w:history="1">
              <w:r w:rsidRPr="00F306CA">
                <w:rPr>
                  <w:rStyle w:val="Hipervnculo"/>
                  <w:rFonts w:ascii="Verdana" w:hAnsi="Verdana" w:cs="Arial"/>
                  <w:color w:val="auto"/>
                </w:rPr>
                <w:t>https://relatoria.colombiacompra.gov.co/providencias-consejo-de-estado/</w:t>
              </w:r>
            </w:hyperlink>
            <w:r w:rsidRPr="00F306CA">
              <w:rPr>
                <w:rFonts w:ascii="Verdana" w:hAnsi="Verdana" w:cs="Arial"/>
              </w:rPr>
              <w:t xml:space="preserve"> </w:t>
            </w:r>
          </w:p>
          <w:p w14:paraId="08F02B95" w14:textId="4CBE3145" w:rsidR="002F61D0" w:rsidRPr="00C903F6" w:rsidRDefault="002F61D0" w:rsidP="00C903F6">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F306CA">
              <w:rPr>
                <w:rFonts w:ascii="Verdana" w:hAnsi="Verdana" w:cs="Arial"/>
              </w:rPr>
              <w:t>Guías y manuales expedidos por la ANCP-CCE. Disponible en:</w:t>
            </w:r>
            <w:r w:rsidRPr="00F306CA">
              <w:rPr>
                <w:rFonts w:ascii="Verdana" w:hAnsi="Verdana"/>
              </w:rPr>
              <w:t xml:space="preserve"> </w:t>
            </w:r>
            <w:hyperlink r:id="rId15" w:history="1">
              <w:r w:rsidRPr="00F306CA">
                <w:rPr>
                  <w:rStyle w:val="Hipervnculo"/>
                  <w:rFonts w:ascii="Verdana" w:hAnsi="Verdana" w:cs="Arial"/>
                  <w:color w:val="auto"/>
                </w:rPr>
                <w:t>https://www.colombiacompra.gov.co/manuales-guias-y-pliegos-tipo/manuales-y-guias</w:t>
              </w:r>
            </w:hyperlink>
            <w:r w:rsidRPr="00F306CA">
              <w:rPr>
                <w:rFonts w:ascii="Verdana" w:hAnsi="Verdana" w:cs="Arial"/>
              </w:rPr>
              <w:t xml:space="preserve"> </w:t>
            </w:r>
          </w:p>
        </w:tc>
      </w:tr>
    </w:tbl>
    <w:p w14:paraId="1177EE29" w14:textId="77777777" w:rsidR="002F61D0" w:rsidRPr="00F306CA" w:rsidRDefault="002F61D0" w:rsidP="002F61D0">
      <w:pPr>
        <w:widowControl w:val="0"/>
        <w:autoSpaceDE w:val="0"/>
        <w:autoSpaceDN w:val="0"/>
        <w:spacing w:after="0" w:line="276" w:lineRule="auto"/>
        <w:jc w:val="both"/>
        <w:rPr>
          <w:rFonts w:ascii="Verdana" w:hAnsi="Verdana" w:cs="Arial"/>
        </w:rPr>
      </w:pPr>
    </w:p>
    <w:p w14:paraId="40F844A2" w14:textId="77777777" w:rsidR="002F61D0" w:rsidRPr="00F306CA" w:rsidRDefault="002F61D0" w:rsidP="002F61D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306CA">
        <w:rPr>
          <w:rFonts w:ascii="Verdana" w:eastAsia="Century Gothic" w:hAnsi="Verdana" w:cs="Century Gothic"/>
          <w:b/>
          <w:bCs/>
        </w:rPr>
        <w:t>Doctrina de la Agencia Nacional de Contratación Pública:</w:t>
      </w:r>
    </w:p>
    <w:p w14:paraId="0F6DC080" w14:textId="77777777" w:rsidR="002F61D0" w:rsidRPr="00F306CA" w:rsidRDefault="002F61D0" w:rsidP="002F61D0">
      <w:pPr>
        <w:widowControl w:val="0"/>
        <w:autoSpaceDE w:val="0"/>
        <w:autoSpaceDN w:val="0"/>
        <w:spacing w:after="0" w:line="276" w:lineRule="auto"/>
        <w:jc w:val="both"/>
        <w:rPr>
          <w:rFonts w:ascii="Verdana" w:hAnsi="Verdana" w:cs="Arial"/>
        </w:rPr>
      </w:pPr>
    </w:p>
    <w:p w14:paraId="007EAECB" w14:textId="65C4A706" w:rsidR="002F61D0" w:rsidRPr="002F61D0" w:rsidRDefault="002F61D0" w:rsidP="002F61D0">
      <w:pPr>
        <w:widowControl w:val="0"/>
        <w:autoSpaceDE w:val="0"/>
        <w:autoSpaceDN w:val="0"/>
        <w:spacing w:after="0" w:line="276" w:lineRule="auto"/>
        <w:jc w:val="both"/>
        <w:rPr>
          <w:rStyle w:val="normaltextrun"/>
          <w:rFonts w:ascii="Verdana" w:hAnsi="Verdana" w:cs="Arial"/>
          <w:color w:val="4472C4" w:themeColor="accent1"/>
          <w:shd w:val="clear" w:color="auto" w:fill="FFFFFF"/>
          <w:lang w:val="es-ES"/>
        </w:rPr>
      </w:pPr>
      <w:r w:rsidRPr="00F306CA">
        <w:rPr>
          <w:rStyle w:val="normaltextrun"/>
          <w:rFonts w:ascii="Verdana" w:hAnsi="Verdana" w:cs="Arial"/>
          <w:shd w:val="clear" w:color="auto" w:fill="FFFFFF"/>
          <w:lang w:val="es-ES"/>
        </w:rPr>
        <w:t xml:space="preserve">Sobre </w:t>
      </w:r>
      <w:r w:rsidR="000A0EE8" w:rsidRPr="000A0EE8">
        <w:rPr>
          <w:rStyle w:val="normaltextrun"/>
          <w:rFonts w:ascii="Verdana" w:hAnsi="Verdana" w:cs="Arial"/>
          <w:shd w:val="clear" w:color="auto" w:fill="FFFFFF"/>
          <w:lang w:val="es-ES"/>
        </w:rPr>
        <w:t xml:space="preserve">las actividades relacionadas con ciencia, tecnología e innovación y los contratos y convenios para contratarlas </w:t>
      </w:r>
      <w:r w:rsidRPr="00F306CA">
        <w:rPr>
          <w:rStyle w:val="normaltextrun"/>
          <w:rFonts w:ascii="Verdana" w:hAnsi="Verdana" w:cs="Arial"/>
          <w:shd w:val="clear" w:color="auto" w:fill="FFFFFF"/>
          <w:lang w:val="es-ES"/>
        </w:rPr>
        <w:t>se pronunció esta Subdirección en los conceptos</w:t>
      </w:r>
      <w:r w:rsidR="008634F4" w:rsidRPr="008634F4">
        <w:rPr>
          <w:rStyle w:val="normaltextrun"/>
          <w:rFonts w:ascii="Verdana" w:hAnsi="Verdana" w:cs="Arial"/>
          <w:shd w:val="clear" w:color="auto" w:fill="FFFFFF"/>
          <w:lang w:val="es-ES"/>
        </w:rPr>
        <w:t xml:space="preserve"> C-066 del 3 de marzo de 2020, C-084 del 11 de marzo de 2020, C-236 del 6 de abril de 2020, C-036 del 1 de marzo de 2021, C-656 del 30 de noviembre de 2021, C-164 del 22 de marzo de 2022, C-131 del 28 de marzo de 2022, C-207 del 19 de abril de 2022</w:t>
      </w:r>
      <w:r w:rsidR="008D4D32">
        <w:rPr>
          <w:rStyle w:val="normaltextrun"/>
          <w:rFonts w:ascii="Verdana" w:hAnsi="Verdana" w:cs="Arial"/>
          <w:shd w:val="clear" w:color="auto" w:fill="FFFFFF"/>
          <w:lang w:val="es-ES"/>
        </w:rPr>
        <w:t>,</w:t>
      </w:r>
      <w:r w:rsidR="008634F4" w:rsidRPr="008634F4">
        <w:rPr>
          <w:rStyle w:val="normaltextrun"/>
          <w:rFonts w:ascii="Verdana" w:hAnsi="Verdana" w:cs="Arial"/>
          <w:shd w:val="clear" w:color="auto" w:fill="FFFFFF"/>
          <w:lang w:val="es-ES"/>
        </w:rPr>
        <w:t xml:space="preserve"> C-049 del 9 de mayo de 2024</w:t>
      </w:r>
      <w:r w:rsidR="00206135">
        <w:rPr>
          <w:rStyle w:val="normaltextrun"/>
          <w:rFonts w:ascii="Verdana" w:hAnsi="Verdana" w:cs="Arial"/>
          <w:shd w:val="clear" w:color="auto" w:fill="FFFFFF"/>
          <w:lang w:val="es-ES"/>
        </w:rPr>
        <w:t>, y C-097 del</w:t>
      </w:r>
      <w:r w:rsidR="0011352E">
        <w:rPr>
          <w:rStyle w:val="normaltextrun"/>
          <w:rFonts w:ascii="Verdana" w:hAnsi="Verdana" w:cs="Arial"/>
          <w:shd w:val="clear" w:color="auto" w:fill="FFFFFF"/>
          <w:lang w:val="es-ES"/>
        </w:rPr>
        <w:t xml:space="preserve"> </w:t>
      </w:r>
      <w:r w:rsidR="0011352E" w:rsidRPr="0011352E">
        <w:rPr>
          <w:rStyle w:val="normaltextrun"/>
          <w:rFonts w:ascii="Verdana" w:hAnsi="Verdana" w:cs="Arial"/>
          <w:shd w:val="clear" w:color="auto" w:fill="FFFFFF"/>
          <w:lang w:val="es-ES"/>
        </w:rPr>
        <w:t>28 de junio de 2024</w:t>
      </w:r>
      <w:r w:rsidR="0011352E">
        <w:rPr>
          <w:rStyle w:val="normaltextrun"/>
          <w:rFonts w:ascii="Verdana" w:hAnsi="Verdana" w:cs="Arial"/>
          <w:shd w:val="clear" w:color="auto" w:fill="FFFFFF"/>
          <w:lang w:val="es-ES"/>
        </w:rPr>
        <w:t>, entre otros</w:t>
      </w:r>
      <w:r w:rsidRPr="00F306CA">
        <w:rPr>
          <w:rStyle w:val="normaltextrun"/>
          <w:rFonts w:ascii="Verdana" w:hAnsi="Verdana" w:cs="Arial"/>
          <w:shd w:val="clear" w:color="auto" w:fill="FFFFFF"/>
          <w:lang w:val="es-ES"/>
        </w:rPr>
        <w:t>. Es</w:t>
      </w:r>
      <w:r w:rsidRPr="00F306CA">
        <w:rPr>
          <w:rFonts w:ascii="Verdana" w:hAnsi="Verdana"/>
        </w:rPr>
        <w:t xml:space="preserve">tos y otros conceptos se encuentran disponibles para consulta en el Sistema de relatoría de la Agencia, al cual se puede acceder a </w:t>
      </w:r>
      <w:r w:rsidRPr="0019290D">
        <w:rPr>
          <w:rFonts w:ascii="Verdana" w:hAnsi="Verdana"/>
        </w:rPr>
        <w:t>través del siguiente enlace:</w:t>
      </w:r>
      <w:r w:rsidRPr="0019290D">
        <w:rPr>
          <w:rStyle w:val="normaltextrun"/>
          <w:rFonts w:ascii="Verdana" w:hAnsi="Verdana" w:cs="Arial"/>
          <w:shd w:val="clear" w:color="auto" w:fill="FFFFFF"/>
          <w:lang w:val="es-ES"/>
        </w:rPr>
        <w:t xml:space="preserve"> </w:t>
      </w:r>
      <w:hyperlink r:id="rId16" w:history="1">
        <w:r w:rsidRPr="002F61D0">
          <w:rPr>
            <w:rStyle w:val="Hipervnculo"/>
            <w:rFonts w:ascii="Verdana" w:hAnsi="Verdana" w:cs="Arial"/>
            <w:color w:val="4472C4" w:themeColor="accent1"/>
            <w:shd w:val="clear" w:color="auto" w:fill="FFFFFF"/>
            <w:lang w:val="es-ES"/>
          </w:rPr>
          <w:t>https://relatoria.colombiacompra.gov.co/busqueda/conceptos</w:t>
        </w:r>
      </w:hyperlink>
      <w:r w:rsidRPr="002F61D0">
        <w:rPr>
          <w:rStyle w:val="normaltextrun"/>
          <w:rFonts w:ascii="Verdana" w:hAnsi="Verdana" w:cs="Arial"/>
          <w:color w:val="4472C4" w:themeColor="accent1"/>
          <w:shd w:val="clear" w:color="auto" w:fill="FFFFFF"/>
          <w:lang w:val="es-ES"/>
        </w:rPr>
        <w:t xml:space="preserve">. </w:t>
      </w:r>
    </w:p>
    <w:p w14:paraId="17044F61" w14:textId="77777777" w:rsidR="002F61D0" w:rsidRPr="0019290D" w:rsidRDefault="002F61D0" w:rsidP="002F61D0">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B660778" w14:textId="396ABB26" w:rsidR="002F61D0" w:rsidRPr="0019290D" w:rsidRDefault="002F61D0" w:rsidP="002F61D0">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19290D">
        <w:rPr>
          <w:rStyle w:val="normaltextrun"/>
          <w:rFonts w:ascii="Verdana" w:hAnsi="Verdana" w:cs="Arial"/>
          <w:color w:val="000000" w:themeColor="text1"/>
          <w:shd w:val="clear" w:color="auto" w:fill="FFFFFF"/>
          <w:lang w:val="es-ES"/>
        </w:rPr>
        <w:t xml:space="preserve">También le </w:t>
      </w:r>
      <w:r w:rsidR="002301E8" w:rsidRPr="002301E8">
        <w:rPr>
          <w:rStyle w:val="normaltextrun"/>
          <w:rFonts w:ascii="Verdana" w:hAnsi="Verdana" w:cs="Arial"/>
          <w:color w:val="000000" w:themeColor="text1"/>
          <w:shd w:val="clear" w:color="auto" w:fill="FFFFFF"/>
          <w:lang w:val="es-ES"/>
        </w:rPr>
        <w:t xml:space="preserve">invitamos a revisar la tercera edición </w:t>
      </w:r>
      <w:r w:rsidR="00837947" w:rsidRPr="002301E8">
        <w:rPr>
          <w:rStyle w:val="normaltextrun"/>
          <w:rFonts w:ascii="Verdana" w:hAnsi="Verdana" w:cs="Arial"/>
          <w:color w:val="000000" w:themeColor="text1"/>
          <w:shd w:val="clear" w:color="auto" w:fill="FFFFFF"/>
          <w:lang w:val="es-ES"/>
        </w:rPr>
        <w:t>del Boletín</w:t>
      </w:r>
      <w:r w:rsidR="002301E8" w:rsidRPr="002301E8">
        <w:rPr>
          <w:rStyle w:val="normaltextrun"/>
          <w:rFonts w:ascii="Verdana" w:hAnsi="Verdana" w:cs="Arial"/>
          <w:color w:val="000000" w:themeColor="text1"/>
          <w:shd w:val="clear" w:color="auto" w:fill="FFFFFF"/>
          <w:lang w:val="es-ES"/>
        </w:rPr>
        <w:t xml:space="preserve"> de Relatoría de 2024 en el cual podrás consultar en detalle el marco normativo de documentos tipo: </w:t>
      </w:r>
      <w:hyperlink r:id="rId17" w:history="1">
        <w:r w:rsidR="002301E8" w:rsidRPr="00EF6E71">
          <w:rPr>
            <w:rStyle w:val="Hipervnculo"/>
            <w:rFonts w:ascii="Verdana" w:hAnsi="Verdana" w:cs="Arial"/>
            <w:color w:val="4472C4" w:themeColor="accent1"/>
            <w:shd w:val="clear" w:color="auto" w:fill="FFFFFF"/>
            <w:lang w:val="es-ES"/>
          </w:rPr>
          <w:t>https://www.colombiacompra.gov.co/sites/cce_public/files/files_2020/boletin_de_realtoria_iii.pdf</w:t>
        </w:r>
      </w:hyperlink>
      <w:r w:rsidR="002301E8">
        <w:rPr>
          <w:rStyle w:val="normaltextrun"/>
          <w:rFonts w:ascii="Verdana" w:hAnsi="Verdana" w:cs="Arial"/>
          <w:color w:val="000000" w:themeColor="text1"/>
          <w:shd w:val="clear" w:color="auto" w:fill="FFFFFF"/>
          <w:lang w:val="es-ES"/>
        </w:rPr>
        <w:t xml:space="preserve"> </w:t>
      </w:r>
      <w:r w:rsidR="002301E8" w:rsidRPr="002301E8">
        <w:rPr>
          <w:rStyle w:val="normaltextrun"/>
          <w:rFonts w:ascii="Verdana" w:hAnsi="Verdana" w:cs="Arial"/>
          <w:color w:val="000000" w:themeColor="text1"/>
          <w:shd w:val="clear" w:color="auto" w:fill="FFFFFF"/>
          <w:lang w:val="es-ES"/>
        </w:rPr>
        <w:t xml:space="preserve">.   </w:t>
      </w:r>
    </w:p>
    <w:p w14:paraId="343953A9" w14:textId="77777777" w:rsidR="002F61D0" w:rsidRPr="0019290D" w:rsidRDefault="002F61D0" w:rsidP="002F61D0">
      <w:pPr>
        <w:spacing w:after="0" w:line="240" w:lineRule="auto"/>
        <w:jc w:val="both"/>
        <w:rPr>
          <w:rFonts w:ascii="Verdana" w:hAnsi="Verdana"/>
        </w:rPr>
      </w:pPr>
      <w:r w:rsidRPr="0019290D">
        <w:rPr>
          <w:rFonts w:ascii="Verdana" w:hAnsi="Verdana"/>
        </w:rPr>
        <w:t xml:space="preserve">Por último, lo invitamos a seguirnos en las redes sociales en las cuales se difunde información institucional: </w:t>
      </w:r>
    </w:p>
    <w:p w14:paraId="164B3A0D" w14:textId="77777777" w:rsidR="002F61D0" w:rsidRPr="0019290D" w:rsidRDefault="002F61D0" w:rsidP="002F61D0">
      <w:pPr>
        <w:spacing w:after="0" w:line="240" w:lineRule="auto"/>
        <w:jc w:val="both"/>
        <w:rPr>
          <w:rFonts w:ascii="Verdana" w:hAnsi="Verdana"/>
        </w:rPr>
      </w:pPr>
    </w:p>
    <w:p w14:paraId="5EFEB0AB" w14:textId="77777777" w:rsidR="002F61D0" w:rsidRPr="0019290D" w:rsidRDefault="002F61D0" w:rsidP="002F61D0">
      <w:pPr>
        <w:spacing w:after="0" w:line="240" w:lineRule="auto"/>
        <w:jc w:val="both"/>
        <w:rPr>
          <w:rFonts w:ascii="Verdana" w:hAnsi="Verdana"/>
        </w:rPr>
      </w:pPr>
      <w:r w:rsidRPr="0019290D">
        <w:rPr>
          <w:rFonts w:ascii="Verdana" w:hAnsi="Verdana"/>
        </w:rPr>
        <w:t xml:space="preserve">Twitter: </w:t>
      </w:r>
      <w:r w:rsidRPr="0019290D">
        <w:rPr>
          <w:rStyle w:val="Hipervnculo"/>
          <w:rFonts w:ascii="Verdana" w:hAnsi="Verdana"/>
          <w:color w:val="4472C4" w:themeColor="accent1"/>
        </w:rPr>
        <w:t>@colombiacompra</w:t>
      </w:r>
      <w:r w:rsidRPr="0019290D">
        <w:rPr>
          <w:rFonts w:ascii="Verdana" w:hAnsi="Verdana"/>
          <w:color w:val="4472C4" w:themeColor="accent1"/>
        </w:rPr>
        <w:t xml:space="preserve"> </w:t>
      </w:r>
    </w:p>
    <w:p w14:paraId="6BCC6B32" w14:textId="77777777" w:rsidR="002F61D0" w:rsidRPr="0019290D" w:rsidRDefault="002F61D0" w:rsidP="002F61D0">
      <w:pPr>
        <w:spacing w:after="0" w:line="240" w:lineRule="auto"/>
        <w:jc w:val="both"/>
        <w:rPr>
          <w:rFonts w:ascii="Verdana" w:hAnsi="Verdana"/>
        </w:rPr>
      </w:pPr>
      <w:r w:rsidRPr="0019290D">
        <w:rPr>
          <w:rFonts w:ascii="Verdana" w:hAnsi="Verdana"/>
        </w:rPr>
        <w:t xml:space="preserve">Facebook: </w:t>
      </w:r>
      <w:r w:rsidRPr="0019290D">
        <w:rPr>
          <w:rStyle w:val="Hipervnculo"/>
          <w:rFonts w:ascii="Verdana" w:hAnsi="Verdana"/>
          <w:color w:val="4472C4" w:themeColor="accent1"/>
        </w:rPr>
        <w:t>ColombiaCompraEficiente</w:t>
      </w:r>
    </w:p>
    <w:p w14:paraId="1C3941DF" w14:textId="77777777" w:rsidR="002F61D0" w:rsidRPr="0019290D" w:rsidRDefault="002F61D0" w:rsidP="002F61D0">
      <w:pPr>
        <w:spacing w:after="0" w:line="240" w:lineRule="auto"/>
        <w:jc w:val="both"/>
        <w:rPr>
          <w:rFonts w:ascii="Verdana" w:hAnsi="Verdana"/>
        </w:rPr>
      </w:pPr>
      <w:r w:rsidRPr="0019290D">
        <w:rPr>
          <w:rFonts w:ascii="Verdana" w:hAnsi="Verdana"/>
        </w:rPr>
        <w:t xml:space="preserve">LinkedIn: </w:t>
      </w:r>
      <w:r w:rsidRPr="0019290D">
        <w:rPr>
          <w:rStyle w:val="Hipervnculo"/>
          <w:rFonts w:ascii="Verdana" w:hAnsi="Verdana"/>
          <w:color w:val="4472C4" w:themeColor="accent1"/>
        </w:rPr>
        <w:t>Agencia Nacional de Contratación Pública - Colombia Compra Eficiente</w:t>
      </w:r>
      <w:r w:rsidRPr="0019290D">
        <w:rPr>
          <w:rFonts w:ascii="Verdana" w:hAnsi="Verdana"/>
          <w:color w:val="4472C4" w:themeColor="accent1"/>
        </w:rPr>
        <w:t xml:space="preserve"> </w:t>
      </w:r>
      <w:r w:rsidRPr="0019290D">
        <w:rPr>
          <w:rFonts w:ascii="Verdana" w:hAnsi="Verdana"/>
        </w:rPr>
        <w:t xml:space="preserve">Instagram: </w:t>
      </w:r>
      <w:r w:rsidRPr="0019290D">
        <w:rPr>
          <w:rStyle w:val="Hipervnculo"/>
          <w:rFonts w:ascii="Verdana" w:hAnsi="Verdana"/>
          <w:color w:val="4472C4" w:themeColor="accent1"/>
        </w:rPr>
        <w:t>@colombiacompraeficiente_cce</w:t>
      </w:r>
    </w:p>
    <w:p w14:paraId="5BA0C048" w14:textId="77777777" w:rsidR="002F61D0" w:rsidRPr="0019290D" w:rsidRDefault="002F61D0" w:rsidP="002F61D0">
      <w:pPr>
        <w:widowControl w:val="0"/>
        <w:autoSpaceDE w:val="0"/>
        <w:autoSpaceDN w:val="0"/>
        <w:spacing w:after="0" w:line="276" w:lineRule="auto"/>
        <w:jc w:val="both"/>
        <w:rPr>
          <w:rFonts w:ascii="Verdana" w:hAnsi="Verdana" w:cs="Arial"/>
        </w:rPr>
      </w:pPr>
    </w:p>
    <w:p w14:paraId="40FD73CE" w14:textId="77777777" w:rsidR="002F61D0" w:rsidRPr="0019290D" w:rsidRDefault="002F61D0" w:rsidP="002F61D0">
      <w:pPr>
        <w:widowControl w:val="0"/>
        <w:autoSpaceDE w:val="0"/>
        <w:autoSpaceDN w:val="0"/>
        <w:spacing w:after="0" w:line="276" w:lineRule="auto"/>
        <w:jc w:val="both"/>
        <w:rPr>
          <w:rFonts w:ascii="Verdana" w:hAnsi="Verdana" w:cs="Arial"/>
          <w:lang w:val="es-ES_tradnl"/>
        </w:rPr>
      </w:pPr>
      <w:r w:rsidRPr="0019290D">
        <w:rPr>
          <w:rFonts w:ascii="Verdana" w:hAnsi="Verdana" w:cs="Arial"/>
        </w:rPr>
        <w:t xml:space="preserve">Este concepto tiene el alcance previsto en el artículo 28 del Código de Procedimiento Administrativo y de lo Contencioso Administrativo </w:t>
      </w:r>
      <w:r w:rsidRPr="0019290D">
        <w:rPr>
          <w:rFonts w:ascii="Verdana" w:hAnsi="Verdana" w:cs="Arial"/>
          <w:lang w:val="es-ES_tradnl"/>
        </w:rPr>
        <w:t>y las expresiones aquí utilizadas con mayúscula inicial deben ser entendidas con el significado que les otorga el artículo 2.2.1.1.1.3.1. del Decreto 1082 de 2015.</w:t>
      </w:r>
    </w:p>
    <w:p w14:paraId="56508405" w14:textId="77777777" w:rsidR="002F61D0" w:rsidRPr="0019290D" w:rsidRDefault="002F61D0" w:rsidP="002F61D0">
      <w:pPr>
        <w:widowControl w:val="0"/>
        <w:autoSpaceDE w:val="0"/>
        <w:autoSpaceDN w:val="0"/>
        <w:spacing w:after="0" w:line="276" w:lineRule="auto"/>
        <w:jc w:val="both"/>
        <w:rPr>
          <w:rFonts w:ascii="Verdana" w:hAnsi="Verdana" w:cs="Arial"/>
        </w:rPr>
      </w:pPr>
    </w:p>
    <w:p w14:paraId="69E59A04" w14:textId="77777777" w:rsidR="002F61D0" w:rsidRPr="0019290D" w:rsidRDefault="002F61D0" w:rsidP="002F61D0">
      <w:pPr>
        <w:spacing w:after="0" w:line="240" w:lineRule="auto"/>
        <w:rPr>
          <w:rFonts w:ascii="Verdana" w:hAnsi="Verdana" w:cs="Arial"/>
          <w:lang w:eastAsia="es-CO"/>
        </w:rPr>
      </w:pPr>
      <w:r w:rsidRPr="0019290D">
        <w:rPr>
          <w:rFonts w:ascii="Verdana" w:eastAsia="Times New Roman" w:hAnsi="Verdana" w:cs="Arial"/>
          <w:lang w:eastAsia="es-CO"/>
        </w:rPr>
        <w:t>Atentamente,</w:t>
      </w:r>
      <w:r w:rsidRPr="0019290D">
        <w:rPr>
          <w:rFonts w:ascii="Verdana" w:hAnsi="Verdana" w:cs="Arial"/>
          <w:lang w:eastAsia="es-CO"/>
        </w:rPr>
        <w:t xml:space="preserve"> </w:t>
      </w:r>
    </w:p>
    <w:p w14:paraId="2852825E" w14:textId="5FF9F2C2" w:rsidR="002F61D0" w:rsidRPr="00F306CA" w:rsidRDefault="004A0D17" w:rsidP="002F61D0">
      <w:pPr>
        <w:spacing w:line="276" w:lineRule="auto"/>
        <w:jc w:val="center"/>
        <w:rPr>
          <w:rFonts w:ascii="Verdana" w:hAnsi="Verdana" w:cs="Arial"/>
          <w:lang w:val="es-ES_tradnl" w:eastAsia="es-CO"/>
        </w:rPr>
      </w:pPr>
      <w:r>
        <w:rPr>
          <w:noProof/>
        </w:rPr>
        <w:drawing>
          <wp:inline distT="0" distB="0" distL="0" distR="0" wp14:anchorId="3138E4D0" wp14:editId="6EAECB50">
            <wp:extent cx="3771429" cy="1400000"/>
            <wp:effectExtent l="0" t="0" r="635" b="0"/>
            <wp:docPr id="124006573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65735" name="Imagen 1" descr="Texto&#10;&#10;Descripción generada automáticamente"/>
                    <pic:cNvPicPr/>
                  </pic:nvPicPr>
                  <pic:blipFill>
                    <a:blip r:embed="rId18"/>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F61D0" w:rsidRPr="00F306CA" w14:paraId="1500A77D" w14:textId="77777777" w:rsidTr="004B4FCC">
        <w:trPr>
          <w:trHeight w:val="315"/>
        </w:trPr>
        <w:tc>
          <w:tcPr>
            <w:tcW w:w="893" w:type="dxa"/>
            <w:vAlign w:val="center"/>
            <w:hideMark/>
          </w:tcPr>
          <w:p w14:paraId="00600DBE" w14:textId="77777777" w:rsidR="002F61D0" w:rsidRPr="00F306CA" w:rsidRDefault="002F61D0" w:rsidP="004B4FCC">
            <w:pPr>
              <w:contextualSpacing/>
              <w:rPr>
                <w:rFonts w:ascii="Verdana" w:hAnsi="Verdana" w:cs="Arial"/>
                <w:sz w:val="16"/>
                <w:szCs w:val="16"/>
                <w:lang w:val="es-ES" w:eastAsia="es-ES"/>
              </w:rPr>
            </w:pPr>
            <w:r w:rsidRPr="00F306CA">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FFBF156" w14:textId="77777777" w:rsidR="002F61D0" w:rsidRPr="00F306CA" w:rsidRDefault="002F61D0" w:rsidP="004B4FCC">
            <w:pPr>
              <w:contextualSpacing/>
              <w:rPr>
                <w:rStyle w:val="normaltextrun"/>
                <w:rFonts w:ascii="Verdana" w:hAnsi="Verdana"/>
                <w:sz w:val="16"/>
                <w:szCs w:val="16"/>
              </w:rPr>
            </w:pPr>
            <w:r w:rsidRPr="00F306CA">
              <w:rPr>
                <w:rStyle w:val="normaltextrun"/>
                <w:rFonts w:ascii="Verdana" w:hAnsi="Verdana"/>
                <w:sz w:val="16"/>
                <w:szCs w:val="16"/>
              </w:rPr>
              <w:t>Santiago Alberto Herrera Morillo</w:t>
            </w:r>
          </w:p>
          <w:p w14:paraId="7F665CBC" w14:textId="77777777" w:rsidR="002F61D0" w:rsidRPr="00F306CA" w:rsidRDefault="002F61D0" w:rsidP="004B4FCC">
            <w:pPr>
              <w:contextualSpacing/>
              <w:rPr>
                <w:rFonts w:ascii="Verdana" w:eastAsia="Arial" w:hAnsi="Verdana" w:cs="Arial"/>
                <w:sz w:val="16"/>
                <w:szCs w:val="16"/>
              </w:rPr>
            </w:pPr>
            <w:r w:rsidRPr="00F306CA">
              <w:rPr>
                <w:rStyle w:val="normaltextrun"/>
                <w:rFonts w:ascii="Verdana" w:hAnsi="Verdana"/>
                <w:sz w:val="16"/>
                <w:szCs w:val="16"/>
              </w:rPr>
              <w:t xml:space="preserve">Analista T2-02 </w:t>
            </w:r>
            <w:r w:rsidRPr="00F306CA">
              <w:rPr>
                <w:rStyle w:val="normaltextrun"/>
                <w:rFonts w:ascii="Verdana" w:eastAsia="Arial" w:hAnsi="Verdana" w:cs="Arial"/>
                <w:sz w:val="16"/>
                <w:szCs w:val="16"/>
              </w:rPr>
              <w:t>de la Subdirección de Gestión Contractual</w:t>
            </w:r>
          </w:p>
        </w:tc>
      </w:tr>
      <w:tr w:rsidR="002F61D0" w:rsidRPr="00F306CA" w14:paraId="0420E134" w14:textId="77777777" w:rsidTr="004B4FCC">
        <w:trPr>
          <w:trHeight w:val="330"/>
        </w:trPr>
        <w:tc>
          <w:tcPr>
            <w:tcW w:w="893" w:type="dxa"/>
            <w:vAlign w:val="center"/>
            <w:hideMark/>
          </w:tcPr>
          <w:p w14:paraId="55261E61" w14:textId="77777777" w:rsidR="002F61D0" w:rsidRPr="00F306CA" w:rsidRDefault="002F61D0" w:rsidP="004B4FCC">
            <w:pPr>
              <w:contextualSpacing/>
              <w:rPr>
                <w:rFonts w:ascii="Verdana" w:hAnsi="Verdana" w:cs="Arial"/>
                <w:sz w:val="16"/>
                <w:szCs w:val="16"/>
                <w:lang w:val="es-ES" w:eastAsia="es-ES"/>
              </w:rPr>
            </w:pPr>
            <w:r w:rsidRPr="00F306CA">
              <w:rPr>
                <w:rFonts w:ascii="Verdana" w:hAnsi="Verdana" w:cs="Arial"/>
                <w:sz w:val="16"/>
                <w:szCs w:val="16"/>
                <w:lang w:val="es-ES" w:eastAsia="es-ES"/>
              </w:rPr>
              <w:lastRenderedPageBreak/>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2686361" w14:textId="77777777" w:rsidR="002F61D0" w:rsidRPr="00F306CA" w:rsidRDefault="002F61D0" w:rsidP="004B4FCC">
            <w:pPr>
              <w:pStyle w:val="paragraph"/>
              <w:spacing w:before="0" w:beforeAutospacing="0" w:after="0" w:afterAutospacing="0"/>
              <w:contextualSpacing/>
              <w:textAlignment w:val="baseline"/>
              <w:rPr>
                <w:rStyle w:val="normaltextrun"/>
                <w:rFonts w:ascii="Verdana" w:hAnsi="Verdana" w:cs="Arial"/>
                <w:sz w:val="16"/>
                <w:szCs w:val="16"/>
                <w:lang w:val="es-ES"/>
              </w:rPr>
            </w:pPr>
            <w:r w:rsidRPr="00F306CA">
              <w:rPr>
                <w:rStyle w:val="normaltextrun"/>
                <w:rFonts w:ascii="Verdana" w:hAnsi="Verdana" w:cs="Arial"/>
                <w:sz w:val="16"/>
                <w:szCs w:val="16"/>
                <w:lang w:val="es-ES"/>
              </w:rPr>
              <w:t>Cielo Victoria González Meza</w:t>
            </w:r>
          </w:p>
          <w:p w14:paraId="69B9488B" w14:textId="77777777" w:rsidR="002F61D0" w:rsidRPr="00F306CA" w:rsidRDefault="002F61D0" w:rsidP="004B4FCC">
            <w:pPr>
              <w:pStyle w:val="paragraph"/>
              <w:spacing w:before="0" w:beforeAutospacing="0" w:after="0" w:afterAutospacing="0"/>
              <w:contextualSpacing/>
              <w:textAlignment w:val="baseline"/>
              <w:rPr>
                <w:rFonts w:ascii="Verdana" w:hAnsi="Verdana" w:cs="Segoe UI"/>
                <w:sz w:val="16"/>
                <w:szCs w:val="16"/>
              </w:rPr>
            </w:pPr>
            <w:r w:rsidRPr="00F306CA">
              <w:rPr>
                <w:rStyle w:val="normaltextrun"/>
                <w:rFonts w:ascii="Verdana" w:hAnsi="Verdana" w:cs="Arial"/>
                <w:sz w:val="16"/>
                <w:szCs w:val="16"/>
                <w:lang w:val="es-ES"/>
              </w:rPr>
              <w:t>Contratista de la Subdirección de Gestión Contractual</w:t>
            </w:r>
            <w:r w:rsidRPr="00F306CA">
              <w:rPr>
                <w:rStyle w:val="eop"/>
                <w:rFonts w:ascii="Verdana" w:hAnsi="Verdana" w:cs="Arial"/>
                <w:sz w:val="16"/>
                <w:szCs w:val="16"/>
              </w:rPr>
              <w:t> </w:t>
            </w:r>
          </w:p>
        </w:tc>
      </w:tr>
      <w:tr w:rsidR="002F61D0" w:rsidRPr="00F306CA" w14:paraId="7C3FA127" w14:textId="77777777" w:rsidTr="004B4FCC">
        <w:trPr>
          <w:trHeight w:val="300"/>
        </w:trPr>
        <w:tc>
          <w:tcPr>
            <w:tcW w:w="893" w:type="dxa"/>
            <w:vAlign w:val="center"/>
          </w:tcPr>
          <w:p w14:paraId="7C6C4029" w14:textId="77777777" w:rsidR="002F61D0" w:rsidRPr="00F306CA" w:rsidRDefault="002F61D0" w:rsidP="004B4FCC">
            <w:pPr>
              <w:contextualSpacing/>
              <w:rPr>
                <w:rFonts w:ascii="Verdana" w:hAnsi="Verdana" w:cs="Arial"/>
                <w:sz w:val="16"/>
                <w:szCs w:val="16"/>
                <w:lang w:val="es-ES" w:eastAsia="es-ES"/>
              </w:rPr>
            </w:pPr>
            <w:r w:rsidRPr="00F306CA">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FE64E8B" w14:textId="77777777" w:rsidR="002F61D0" w:rsidRPr="00F306CA" w:rsidRDefault="002F61D0" w:rsidP="004B4FCC">
            <w:pPr>
              <w:contextualSpacing/>
              <w:rPr>
                <w:rFonts w:ascii="Verdana" w:eastAsia="Calibri" w:hAnsi="Verdana" w:cs="Arial"/>
                <w:sz w:val="16"/>
                <w:szCs w:val="16"/>
                <w:lang w:val="pt-BR" w:eastAsia="es-ES"/>
              </w:rPr>
            </w:pPr>
            <w:r w:rsidRPr="00F306CA">
              <w:rPr>
                <w:rFonts w:ascii="Verdana" w:eastAsia="Calibri" w:hAnsi="Verdana" w:cs="Arial"/>
                <w:sz w:val="16"/>
                <w:szCs w:val="16"/>
                <w:lang w:val="pt-BR" w:eastAsia="es-ES"/>
              </w:rPr>
              <w:t>Carolina Quintero Gacharná</w:t>
            </w:r>
          </w:p>
          <w:p w14:paraId="216008D5" w14:textId="77777777" w:rsidR="002F61D0" w:rsidRPr="00F306CA" w:rsidRDefault="002F61D0" w:rsidP="004B4FCC">
            <w:pPr>
              <w:contextualSpacing/>
              <w:rPr>
                <w:rFonts w:ascii="Verdana" w:eastAsia="Calibri" w:hAnsi="Verdana" w:cs="Arial"/>
                <w:sz w:val="16"/>
                <w:szCs w:val="16"/>
                <w:lang w:val="pt-BR" w:eastAsia="es-ES"/>
              </w:rPr>
            </w:pPr>
            <w:r w:rsidRPr="00F306CA">
              <w:rPr>
                <w:rFonts w:ascii="Verdana" w:eastAsia="Calibri" w:hAnsi="Verdana" w:cs="Arial"/>
                <w:sz w:val="16"/>
                <w:szCs w:val="16"/>
                <w:lang w:eastAsia="es-ES"/>
              </w:rPr>
              <w:t>Subdirectora</w:t>
            </w:r>
            <w:r w:rsidRPr="00F306CA">
              <w:rPr>
                <w:rFonts w:ascii="Verdana" w:eastAsia="Calibri" w:hAnsi="Verdana" w:cs="Arial"/>
                <w:sz w:val="16"/>
                <w:szCs w:val="16"/>
                <w:lang w:val="pt-BR" w:eastAsia="es-ES"/>
              </w:rPr>
              <w:t xml:space="preserve"> de Gestión Contractual ANCP – CCE</w:t>
            </w:r>
          </w:p>
        </w:tc>
      </w:tr>
    </w:tbl>
    <w:p w14:paraId="0F293BF4" w14:textId="7BBFAB11" w:rsidR="00127233" w:rsidRPr="002F61D0" w:rsidRDefault="00127233" w:rsidP="002F61D0"/>
    <w:sectPr w:rsidR="00127233" w:rsidRPr="002F61D0"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E4C66" w14:textId="77777777" w:rsidR="00954BBC" w:rsidRDefault="00954BBC" w:rsidP="004A1847">
      <w:pPr>
        <w:spacing w:after="0" w:line="240" w:lineRule="auto"/>
      </w:pPr>
      <w:r>
        <w:separator/>
      </w:r>
    </w:p>
  </w:endnote>
  <w:endnote w:type="continuationSeparator" w:id="0">
    <w:p w14:paraId="56908500" w14:textId="77777777" w:rsidR="00954BBC" w:rsidRDefault="00954BBC" w:rsidP="004A1847">
      <w:pPr>
        <w:spacing w:after="0" w:line="240" w:lineRule="auto"/>
      </w:pPr>
      <w:r>
        <w:continuationSeparator/>
      </w:r>
    </w:p>
  </w:endnote>
  <w:endnote w:type="continuationNotice" w:id="1">
    <w:p w14:paraId="3B5E2FC9" w14:textId="77777777" w:rsidR="00954BBC" w:rsidRDefault="00954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enturyGoth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8BD81" w14:textId="77777777" w:rsidR="00954BBC" w:rsidRDefault="00954BBC" w:rsidP="004A1847">
      <w:pPr>
        <w:spacing w:after="0" w:line="240" w:lineRule="auto"/>
      </w:pPr>
      <w:r>
        <w:separator/>
      </w:r>
    </w:p>
  </w:footnote>
  <w:footnote w:type="continuationSeparator" w:id="0">
    <w:p w14:paraId="7D4070EC" w14:textId="77777777" w:rsidR="00954BBC" w:rsidRDefault="00954BBC" w:rsidP="004A1847">
      <w:pPr>
        <w:spacing w:after="0" w:line="240" w:lineRule="auto"/>
      </w:pPr>
      <w:r>
        <w:continuationSeparator/>
      </w:r>
    </w:p>
  </w:footnote>
  <w:footnote w:type="continuationNotice" w:id="1">
    <w:p w14:paraId="23E9C129" w14:textId="77777777" w:rsidR="00954BBC" w:rsidRDefault="00954BBC">
      <w:pPr>
        <w:spacing w:after="0" w:line="240" w:lineRule="auto"/>
      </w:pPr>
    </w:p>
  </w:footnote>
  <w:footnote w:id="2">
    <w:p w14:paraId="4B5A5319" w14:textId="77777777" w:rsidR="008E1FD6" w:rsidRPr="00EF6E71" w:rsidRDefault="008E1FD6" w:rsidP="00EF6E71">
      <w:pPr>
        <w:pStyle w:val="Textonotapie"/>
        <w:jc w:val="both"/>
        <w:rPr>
          <w:rFonts w:ascii="Verdana" w:hAnsi="Verdana"/>
          <w:sz w:val="18"/>
          <w:szCs w:val="18"/>
          <w:lang w:val="es-CO"/>
        </w:rPr>
      </w:pPr>
      <w:r w:rsidRPr="00EF6E71">
        <w:rPr>
          <w:rStyle w:val="Refdenotaalpie"/>
          <w:rFonts w:ascii="Verdana" w:hAnsi="Verdana"/>
          <w:sz w:val="18"/>
          <w:szCs w:val="18"/>
        </w:rPr>
        <w:footnoteRef/>
      </w:r>
      <w:r w:rsidRPr="00EF6E71">
        <w:rPr>
          <w:rFonts w:ascii="Verdana" w:hAnsi="Verdana"/>
          <w:sz w:val="18"/>
          <w:szCs w:val="18"/>
        </w:rPr>
        <w:t xml:space="preserve"> </w:t>
      </w:r>
      <w:r w:rsidRPr="00EF6E71">
        <w:rPr>
          <w:rFonts w:ascii="Verdana" w:hAnsi="Verdana"/>
          <w:sz w:val="18"/>
          <w:szCs w:val="18"/>
          <w:lang w:val="es-CO"/>
        </w:rPr>
        <w:t>Ley 1150 de 2007, artículo 5</w:t>
      </w:r>
    </w:p>
    <w:p w14:paraId="17725FE4" w14:textId="6332C803" w:rsidR="008E1FD6" w:rsidRPr="00EF6E71" w:rsidRDefault="008E1FD6" w:rsidP="00EF6E71">
      <w:pPr>
        <w:pStyle w:val="Textonotapie"/>
        <w:jc w:val="both"/>
        <w:rPr>
          <w:rFonts w:ascii="Verdana" w:hAnsi="Verdana"/>
          <w:sz w:val="18"/>
          <w:szCs w:val="18"/>
          <w:lang w:val="es-CO"/>
        </w:rPr>
      </w:pPr>
    </w:p>
  </w:footnote>
  <w:footnote w:id="3">
    <w:p w14:paraId="7E2312DE" w14:textId="01C6AEEC" w:rsidR="008E1FD6" w:rsidRPr="00EF6E71" w:rsidRDefault="008E1FD6" w:rsidP="00EF6E71">
      <w:pPr>
        <w:pStyle w:val="Textonotapie"/>
        <w:jc w:val="both"/>
        <w:rPr>
          <w:rFonts w:ascii="Verdana" w:hAnsi="Verdana"/>
          <w:sz w:val="18"/>
          <w:szCs w:val="18"/>
        </w:rPr>
      </w:pPr>
      <w:r w:rsidRPr="00EF6E71">
        <w:rPr>
          <w:rStyle w:val="Refdenotaalpie"/>
          <w:rFonts w:ascii="Verdana" w:hAnsi="Verdana"/>
          <w:sz w:val="18"/>
          <w:szCs w:val="18"/>
        </w:rPr>
        <w:footnoteRef/>
      </w:r>
      <w:r w:rsidRPr="00EF6E71">
        <w:rPr>
          <w:rFonts w:ascii="Verdana" w:hAnsi="Verdana"/>
          <w:sz w:val="18"/>
          <w:szCs w:val="18"/>
        </w:rPr>
        <w:t xml:space="preserve"> Numeral 5 artículo 7 del Decreto Ley 39</w:t>
      </w:r>
      <w:r w:rsidR="0065566B" w:rsidRPr="00EF6E71">
        <w:rPr>
          <w:rFonts w:ascii="Verdana" w:hAnsi="Verdana"/>
          <w:sz w:val="18"/>
          <w:szCs w:val="18"/>
        </w:rPr>
        <w:t>3</w:t>
      </w:r>
      <w:r w:rsidRPr="00EF6E71">
        <w:rPr>
          <w:rFonts w:ascii="Verdana" w:hAnsi="Verdana"/>
          <w:sz w:val="18"/>
          <w:szCs w:val="18"/>
        </w:rPr>
        <w:t xml:space="preserve"> de 1991</w:t>
      </w:r>
    </w:p>
  </w:footnote>
  <w:footnote w:id="4">
    <w:p w14:paraId="1690AE1E" w14:textId="77777777" w:rsidR="002F61D0" w:rsidRPr="00EF6E71" w:rsidRDefault="002F61D0" w:rsidP="00EF6E71">
      <w:pPr>
        <w:pStyle w:val="Textonotapie"/>
        <w:ind w:firstLine="708"/>
        <w:contextualSpacing/>
        <w:jc w:val="both"/>
        <w:rPr>
          <w:rFonts w:ascii="Verdana" w:hAnsi="Verdana" w:cs="Arial"/>
          <w:color w:val="000000" w:themeColor="text1"/>
          <w:sz w:val="18"/>
          <w:szCs w:val="18"/>
        </w:rPr>
      </w:pPr>
      <w:r w:rsidRPr="00EF6E71">
        <w:rPr>
          <w:rStyle w:val="Refdenotaalpie"/>
          <w:rFonts w:ascii="Verdana" w:hAnsi="Verdana" w:cs="Arial"/>
          <w:sz w:val="18"/>
          <w:szCs w:val="18"/>
        </w:rPr>
        <w:footnoteRef/>
      </w:r>
      <w:r w:rsidRPr="00EF6E71">
        <w:rPr>
          <w:rFonts w:ascii="Verdana" w:hAnsi="Verdana" w:cs="Arial"/>
          <w:sz w:val="18"/>
          <w:szCs w:val="18"/>
        </w:rPr>
        <w:t xml:space="preserve"> </w:t>
      </w:r>
      <w:r w:rsidRPr="00EF6E71">
        <w:rPr>
          <w:rFonts w:ascii="Verdana" w:hAnsi="Verdana" w:cs="Arial"/>
          <w:color w:val="000000" w:themeColor="text1"/>
          <w:sz w:val="18"/>
          <w:szCs w:val="18"/>
        </w:rPr>
        <w:t>Por la cual se modifica la Ley 29 de 1990, se transforma a Colciencias en Departamento Administrativo, se fortalece el Sistema Nacional de Ciencia, Tecnología e Innovación&lt;</w:t>
      </w:r>
      <w:hyperlink r:id="rId1" w:anchor="1" w:history="1">
        <w:r w:rsidRPr="00EF6E71">
          <w:rPr>
            <w:rFonts w:ascii="Verdana" w:hAnsi="Verdana" w:cs="Arial"/>
            <w:color w:val="000000" w:themeColor="text1"/>
            <w:sz w:val="18"/>
            <w:szCs w:val="18"/>
          </w:rPr>
          <w:t>1</w:t>
        </w:r>
      </w:hyperlink>
      <w:r w:rsidRPr="00EF6E71">
        <w:rPr>
          <w:rFonts w:ascii="Verdana" w:hAnsi="Verdana" w:cs="Arial"/>
          <w:color w:val="000000" w:themeColor="text1"/>
          <w:sz w:val="18"/>
          <w:szCs w:val="18"/>
        </w:rPr>
        <w:t>&gt; en Colombia y se dictan otras disposiciones.</w:t>
      </w:r>
    </w:p>
    <w:p w14:paraId="4774715E" w14:textId="77777777" w:rsidR="002F61D0" w:rsidRPr="00EF6E71" w:rsidRDefault="002F61D0" w:rsidP="00EF6E71">
      <w:pPr>
        <w:pStyle w:val="Textonotapie"/>
        <w:ind w:firstLine="708"/>
        <w:contextualSpacing/>
        <w:jc w:val="both"/>
        <w:rPr>
          <w:rFonts w:ascii="Verdana" w:hAnsi="Verdana" w:cs="Arial"/>
          <w:color w:val="000000" w:themeColor="text1"/>
          <w:sz w:val="18"/>
          <w:szCs w:val="18"/>
        </w:rPr>
      </w:pPr>
    </w:p>
  </w:footnote>
  <w:footnote w:id="5">
    <w:p w14:paraId="592DED07" w14:textId="77777777" w:rsidR="002F61D0" w:rsidRPr="00EF6E71" w:rsidRDefault="002F61D0" w:rsidP="00EF6E71">
      <w:pPr>
        <w:pStyle w:val="Textonotapie"/>
        <w:ind w:firstLine="708"/>
        <w:contextualSpacing/>
        <w:jc w:val="both"/>
        <w:rPr>
          <w:rFonts w:ascii="Verdana" w:hAnsi="Verdana"/>
          <w:sz w:val="18"/>
          <w:szCs w:val="18"/>
        </w:rPr>
      </w:pPr>
      <w:r w:rsidRPr="00EF6E71">
        <w:rPr>
          <w:rStyle w:val="Refdenotaalpie"/>
          <w:rFonts w:ascii="Verdana" w:hAnsi="Verdana"/>
          <w:sz w:val="18"/>
          <w:szCs w:val="18"/>
        </w:rPr>
        <w:footnoteRef/>
      </w:r>
      <w:r w:rsidRPr="00EF6E71">
        <w:rPr>
          <w:rFonts w:ascii="Verdana" w:hAnsi="Verdana"/>
          <w:sz w:val="18"/>
          <w:szCs w:val="18"/>
        </w:rPr>
        <w:t xml:space="preserve"> La Circular Externa Única expedida por la Agencia Nacional de Contratación Pública – Colombia Compra Eficiente se puede consultar en el siguiente enlace: </w:t>
      </w:r>
      <w:hyperlink r:id="rId2" w:history="1">
        <w:r w:rsidRPr="00EF6E71">
          <w:rPr>
            <w:rStyle w:val="Hipervnculo"/>
            <w:rFonts w:ascii="Verdana" w:hAnsi="Verdana"/>
            <w:color w:val="4472C4" w:themeColor="accent1"/>
            <w:sz w:val="18"/>
            <w:szCs w:val="18"/>
          </w:rPr>
          <w:t>https://www.colombiacompra.gov.co/sites/cce_public/files/cce_circulares/circular_externa_unica_version_3_vf49.pdf</w:t>
        </w:r>
      </w:hyperlink>
      <w:r w:rsidRPr="00EF6E71">
        <w:rPr>
          <w:rFonts w:ascii="Verdana" w:hAnsi="Verdana"/>
          <w:color w:val="4472C4" w:themeColor="accent1"/>
          <w:sz w:val="18"/>
          <w:szCs w:val="18"/>
        </w:rPr>
        <w:t xml:space="preserve">  </w:t>
      </w:r>
    </w:p>
  </w:footnote>
  <w:footnote w:id="6">
    <w:p w14:paraId="51EB0321" w14:textId="77777777" w:rsidR="002F61D0" w:rsidRPr="00EF6E71" w:rsidRDefault="002F61D0" w:rsidP="00EF6E71">
      <w:pPr>
        <w:pStyle w:val="Textonotapie"/>
        <w:ind w:firstLine="708"/>
        <w:contextualSpacing/>
        <w:jc w:val="both"/>
        <w:rPr>
          <w:rFonts w:ascii="Verdana" w:hAnsi="Verdana"/>
          <w:sz w:val="18"/>
          <w:szCs w:val="18"/>
        </w:rPr>
      </w:pPr>
      <w:r w:rsidRPr="00EF6E71">
        <w:rPr>
          <w:rStyle w:val="Refdenotaalpie"/>
          <w:rFonts w:ascii="Verdana" w:hAnsi="Verdana" w:cs="Arial"/>
          <w:color w:val="000000" w:themeColor="text1"/>
          <w:sz w:val="18"/>
          <w:szCs w:val="18"/>
        </w:rPr>
        <w:footnoteRef/>
      </w:r>
      <w:r w:rsidRPr="00EF6E71">
        <w:rPr>
          <w:rFonts w:ascii="Verdana" w:hAnsi="Verdana" w:cs="Arial"/>
          <w:color w:val="000000" w:themeColor="text1"/>
          <w:sz w:val="18"/>
          <w:szCs w:val="18"/>
        </w:rPr>
        <w:t xml:space="preserve"> Agencia Nacional de Contratación Pública – Colombia Compra Eficiente, Circular Externa Única: “</w:t>
      </w:r>
      <w:r w:rsidRPr="00EF6E71">
        <w:rPr>
          <w:rFonts w:ascii="Verdana" w:hAnsi="Verdana"/>
          <w:sz w:val="18"/>
          <w:szCs w:val="18"/>
        </w:rPr>
        <w:t>De conformidad con lo dispuesto en el artículo 33 de la Ley 1286 de 2009, las actividades, contratos y convenios que tengan por objeto la realización de actividades definidas como de ciencia, tecnología e innovación que celebren las entidades estatales, continuarán rigiéndose por las normas especiales que les sean aplicables.</w:t>
      </w:r>
    </w:p>
    <w:p w14:paraId="3FE3DDCF" w14:textId="77777777" w:rsidR="002F61D0" w:rsidRPr="00EF6E71" w:rsidRDefault="002F61D0" w:rsidP="00EF6E71">
      <w:pPr>
        <w:pStyle w:val="Textonotapie"/>
        <w:ind w:firstLine="708"/>
        <w:contextualSpacing/>
        <w:jc w:val="both"/>
        <w:rPr>
          <w:rFonts w:ascii="Verdana" w:hAnsi="Verdana" w:cs="Arial"/>
          <w:color w:val="000000" w:themeColor="text1"/>
          <w:sz w:val="18"/>
          <w:szCs w:val="18"/>
        </w:rPr>
      </w:pPr>
      <w:r w:rsidRPr="00EF6E71">
        <w:rPr>
          <w:rFonts w:ascii="Verdana" w:hAnsi="Verdana" w:cs="Arial"/>
          <w:color w:val="000000" w:themeColor="text1"/>
          <w:sz w:val="18"/>
          <w:szCs w:val="18"/>
        </w:rPr>
        <w:t>[…]</w:t>
      </w:r>
    </w:p>
    <w:p w14:paraId="23C1195B" w14:textId="77777777" w:rsidR="002F61D0" w:rsidRPr="00EF6E71" w:rsidRDefault="002F61D0" w:rsidP="00EF6E71">
      <w:pPr>
        <w:pStyle w:val="Textonotapie"/>
        <w:ind w:firstLine="708"/>
        <w:contextualSpacing/>
        <w:jc w:val="both"/>
        <w:rPr>
          <w:rFonts w:ascii="Verdana" w:hAnsi="Verdana" w:cs="Arial"/>
          <w:color w:val="000000" w:themeColor="text1"/>
          <w:sz w:val="18"/>
          <w:szCs w:val="18"/>
        </w:rPr>
      </w:pPr>
      <w:r w:rsidRPr="00EF6E71">
        <w:rPr>
          <w:rFonts w:ascii="Verdana" w:hAnsi="Verdana"/>
          <w:sz w:val="18"/>
          <w:szCs w:val="18"/>
        </w:rPr>
        <w:t xml:space="preserve">En caso de que las Entidades Estatales no tengan certeza sobre la catalogación de las actividades científicas, tecnológicas y de innovación, deben acudir al Ministerio de Ciencia, Tecnología e Innovación, autoridad competente en la materia”. </w:t>
      </w:r>
    </w:p>
  </w:footnote>
  <w:footnote w:id="7">
    <w:p w14:paraId="28E5B1B0" w14:textId="77777777" w:rsidR="00FC5662" w:rsidRPr="00EF6E71" w:rsidRDefault="00FC5662" w:rsidP="00EF6E71">
      <w:pPr>
        <w:pStyle w:val="Textonotapie"/>
        <w:ind w:firstLine="708"/>
        <w:jc w:val="both"/>
        <w:rPr>
          <w:rFonts w:ascii="Verdana" w:hAnsi="Verdana" w:cs="Arial"/>
          <w:color w:val="000000" w:themeColor="text1"/>
          <w:sz w:val="18"/>
          <w:szCs w:val="18"/>
        </w:rPr>
      </w:pPr>
      <w:r w:rsidRPr="00EF6E71">
        <w:rPr>
          <w:rStyle w:val="Refdenotaalpie"/>
          <w:rFonts w:ascii="Verdana" w:hAnsi="Verdana" w:cs="Arial"/>
          <w:color w:val="000000" w:themeColor="text1"/>
          <w:sz w:val="18"/>
          <w:szCs w:val="18"/>
        </w:rPr>
        <w:footnoteRef/>
      </w:r>
      <w:r w:rsidRPr="00EF6E71">
        <w:rPr>
          <w:rFonts w:ascii="Verdana" w:hAnsi="Verdana" w:cs="Arial"/>
          <w:color w:val="000000" w:themeColor="text1"/>
          <w:sz w:val="18"/>
          <w:szCs w:val="18"/>
        </w:rPr>
        <w:t xml:space="preserve"> Decreto 393 de 1991: «Artículo 2. Propósitos de la Asociación. Bajo cualquiera de las modalidades previstas en el artículo anterior, la asociación podrá tener entre otros, los siguientes propósitos.</w:t>
      </w:r>
    </w:p>
    <w:p w14:paraId="0EDE8488" w14:textId="248BCD81" w:rsidR="00FC5662" w:rsidRPr="00EF6E71" w:rsidRDefault="00837947" w:rsidP="00EF6E71">
      <w:pPr>
        <w:pStyle w:val="Textonotapie"/>
        <w:ind w:firstLine="708"/>
        <w:jc w:val="both"/>
        <w:rPr>
          <w:rFonts w:ascii="Verdana" w:hAnsi="Verdana" w:cs="Arial"/>
          <w:color w:val="000000" w:themeColor="text1"/>
          <w:sz w:val="18"/>
          <w:szCs w:val="18"/>
        </w:rPr>
      </w:pPr>
      <w:r w:rsidRPr="00EF6E71">
        <w:rPr>
          <w:rFonts w:ascii="Verdana" w:hAnsi="Verdana" w:cs="Arial"/>
          <w:color w:val="000000" w:themeColor="text1"/>
          <w:sz w:val="18"/>
          <w:szCs w:val="18"/>
        </w:rPr>
        <w:t>» a</w:t>
      </w:r>
      <w:r w:rsidR="00FC5662" w:rsidRPr="00EF6E71">
        <w:rPr>
          <w:rFonts w:ascii="Verdana" w:hAnsi="Verdana" w:cs="Arial"/>
          <w:color w:val="000000" w:themeColor="text1"/>
          <w:sz w:val="18"/>
          <w:szCs w:val="18"/>
        </w:rPr>
        <w:t>) Adelantar proyectos de investigación científica.</w:t>
      </w:r>
    </w:p>
    <w:p w14:paraId="098F15D9" w14:textId="75FFB488" w:rsidR="00FC5662" w:rsidRPr="00EF6E71" w:rsidRDefault="00837947" w:rsidP="00EF6E71">
      <w:pPr>
        <w:pStyle w:val="Textonotapie"/>
        <w:ind w:firstLine="708"/>
        <w:jc w:val="both"/>
        <w:rPr>
          <w:rFonts w:ascii="Verdana" w:hAnsi="Verdana" w:cs="Arial"/>
          <w:color w:val="000000" w:themeColor="text1"/>
          <w:sz w:val="18"/>
          <w:szCs w:val="18"/>
        </w:rPr>
      </w:pPr>
      <w:r w:rsidRPr="00EF6E71">
        <w:rPr>
          <w:rFonts w:ascii="Verdana" w:hAnsi="Verdana" w:cs="Arial"/>
          <w:color w:val="000000" w:themeColor="text1"/>
          <w:sz w:val="18"/>
          <w:szCs w:val="18"/>
        </w:rPr>
        <w:t>» b</w:t>
      </w:r>
      <w:r w:rsidR="00FC5662" w:rsidRPr="00EF6E71">
        <w:rPr>
          <w:rFonts w:ascii="Verdana" w:hAnsi="Verdana" w:cs="Arial"/>
          <w:color w:val="000000" w:themeColor="text1"/>
          <w:sz w:val="18"/>
          <w:szCs w:val="18"/>
        </w:rPr>
        <w:t>) Apoyar la creación, el fomento, el desarrollo y el financiamiento de empresas que incorporen innovaciones científicas o tecnológicas aplicables a la producción nacional, al manejo del medio ambiente o al aprovechamiento de los recursos naturales.</w:t>
      </w:r>
    </w:p>
    <w:p w14:paraId="5145E166" w14:textId="77777777" w:rsidR="00FC5662" w:rsidRPr="00EF6E71" w:rsidRDefault="00FC5662" w:rsidP="00EF6E71">
      <w:pPr>
        <w:pStyle w:val="Textonotapie"/>
        <w:ind w:firstLine="708"/>
        <w:jc w:val="both"/>
        <w:rPr>
          <w:rFonts w:ascii="Verdana" w:hAnsi="Verdana" w:cs="Arial"/>
          <w:color w:val="000000" w:themeColor="text1"/>
          <w:sz w:val="18"/>
          <w:szCs w:val="18"/>
        </w:rPr>
      </w:pPr>
      <w:r w:rsidRPr="00EF6E71">
        <w:rPr>
          <w:rFonts w:ascii="Verdana" w:hAnsi="Verdana" w:cs="Arial"/>
          <w:color w:val="000000" w:themeColor="text1"/>
          <w:sz w:val="18"/>
          <w:szCs w:val="18"/>
        </w:rPr>
        <w:t>»c) Organizar centros científicos y tecnológicos, parques tecnológicos, e incubadoras de empresas.</w:t>
      </w:r>
    </w:p>
    <w:p w14:paraId="00E4EF68" w14:textId="042ACFDB" w:rsidR="00FC5662" w:rsidRPr="00EF6E71" w:rsidRDefault="00837947" w:rsidP="00EF6E71">
      <w:pPr>
        <w:pStyle w:val="Textonotapie"/>
        <w:ind w:firstLine="708"/>
        <w:jc w:val="both"/>
        <w:rPr>
          <w:rFonts w:ascii="Verdana" w:hAnsi="Verdana" w:cs="Arial"/>
          <w:color w:val="000000" w:themeColor="text1"/>
          <w:sz w:val="18"/>
          <w:szCs w:val="18"/>
        </w:rPr>
      </w:pPr>
      <w:r w:rsidRPr="00EF6E71">
        <w:rPr>
          <w:rFonts w:ascii="Verdana" w:hAnsi="Verdana" w:cs="Arial"/>
          <w:color w:val="000000" w:themeColor="text1"/>
          <w:sz w:val="18"/>
          <w:szCs w:val="18"/>
        </w:rPr>
        <w:t>» d</w:t>
      </w:r>
      <w:r w:rsidR="00FC5662" w:rsidRPr="00EF6E71">
        <w:rPr>
          <w:rFonts w:ascii="Verdana" w:hAnsi="Verdana" w:cs="Arial"/>
          <w:color w:val="000000" w:themeColor="text1"/>
          <w:sz w:val="18"/>
          <w:szCs w:val="18"/>
        </w:rPr>
        <w:t>) Formar y capacitar recursos humanos para el avance y la gestión de la ciencia y la tecnología.</w:t>
      </w:r>
    </w:p>
    <w:p w14:paraId="69C12B17" w14:textId="5C14B22F" w:rsidR="00FC5662" w:rsidRPr="00EF6E71" w:rsidRDefault="00837947" w:rsidP="00EF6E71">
      <w:pPr>
        <w:pStyle w:val="Textonotapie"/>
        <w:ind w:firstLine="708"/>
        <w:jc w:val="both"/>
        <w:rPr>
          <w:rFonts w:ascii="Verdana" w:hAnsi="Verdana" w:cs="Arial"/>
          <w:color w:val="000000" w:themeColor="text1"/>
          <w:sz w:val="18"/>
          <w:szCs w:val="18"/>
        </w:rPr>
      </w:pPr>
      <w:r w:rsidRPr="00EF6E71">
        <w:rPr>
          <w:rFonts w:ascii="Verdana" w:hAnsi="Verdana" w:cs="Arial"/>
          <w:color w:val="000000" w:themeColor="text1"/>
          <w:sz w:val="18"/>
          <w:szCs w:val="18"/>
        </w:rPr>
        <w:t>» e</w:t>
      </w:r>
      <w:r w:rsidR="00FC5662" w:rsidRPr="00EF6E71">
        <w:rPr>
          <w:rFonts w:ascii="Verdana" w:hAnsi="Verdana" w:cs="Arial"/>
          <w:color w:val="000000" w:themeColor="text1"/>
          <w:sz w:val="18"/>
          <w:szCs w:val="18"/>
        </w:rPr>
        <w:t>) Establecer redes de información científica y tecnológica.</w:t>
      </w:r>
    </w:p>
    <w:p w14:paraId="329F080B" w14:textId="3465AD41" w:rsidR="00FC5662" w:rsidRPr="00EF6E71" w:rsidRDefault="00837947" w:rsidP="00EF6E71">
      <w:pPr>
        <w:pStyle w:val="Textonotapie"/>
        <w:ind w:firstLine="708"/>
        <w:jc w:val="both"/>
        <w:rPr>
          <w:rFonts w:ascii="Verdana" w:hAnsi="Verdana" w:cs="Arial"/>
          <w:color w:val="000000" w:themeColor="text1"/>
          <w:sz w:val="18"/>
          <w:szCs w:val="18"/>
        </w:rPr>
      </w:pPr>
      <w:r w:rsidRPr="00EF6E71">
        <w:rPr>
          <w:rFonts w:ascii="Verdana" w:hAnsi="Verdana" w:cs="Arial"/>
          <w:color w:val="000000" w:themeColor="text1"/>
          <w:sz w:val="18"/>
          <w:szCs w:val="18"/>
        </w:rPr>
        <w:t>» f</w:t>
      </w:r>
      <w:r w:rsidR="00FC5662" w:rsidRPr="00EF6E71">
        <w:rPr>
          <w:rFonts w:ascii="Verdana" w:hAnsi="Verdana" w:cs="Arial"/>
          <w:color w:val="000000" w:themeColor="text1"/>
          <w:sz w:val="18"/>
          <w:szCs w:val="18"/>
        </w:rPr>
        <w:t>) Crear, fomentar, difundir e implementar sistemas de gestión de calidad.</w:t>
      </w:r>
    </w:p>
    <w:p w14:paraId="1A046883" w14:textId="1669D21B" w:rsidR="00FC5662" w:rsidRPr="00EF6E71" w:rsidRDefault="00837947" w:rsidP="00EF6E71">
      <w:pPr>
        <w:pStyle w:val="Textonotapie"/>
        <w:ind w:firstLine="708"/>
        <w:jc w:val="both"/>
        <w:rPr>
          <w:rFonts w:ascii="Verdana" w:hAnsi="Verdana" w:cs="Arial"/>
          <w:color w:val="000000" w:themeColor="text1"/>
          <w:sz w:val="18"/>
          <w:szCs w:val="18"/>
        </w:rPr>
      </w:pPr>
      <w:r w:rsidRPr="00EF6E71">
        <w:rPr>
          <w:rFonts w:ascii="Verdana" w:hAnsi="Verdana" w:cs="Arial"/>
          <w:color w:val="000000" w:themeColor="text1"/>
          <w:sz w:val="18"/>
          <w:szCs w:val="18"/>
        </w:rPr>
        <w:t>» g</w:t>
      </w:r>
      <w:r w:rsidR="00FC5662" w:rsidRPr="00EF6E71">
        <w:rPr>
          <w:rFonts w:ascii="Verdana" w:hAnsi="Verdana" w:cs="Arial"/>
          <w:color w:val="000000" w:themeColor="text1"/>
          <w:sz w:val="18"/>
          <w:szCs w:val="18"/>
        </w:rPr>
        <w:t>) Negociar, aplicar y adaptar tecnologías nacionales o extranjeras.</w:t>
      </w:r>
    </w:p>
    <w:p w14:paraId="362A2D40" w14:textId="77777777" w:rsidR="00FC5662" w:rsidRPr="00EF6E71" w:rsidRDefault="00FC5662" w:rsidP="00EF6E71">
      <w:pPr>
        <w:pStyle w:val="Textonotapie"/>
        <w:ind w:firstLine="708"/>
        <w:jc w:val="both"/>
        <w:rPr>
          <w:rFonts w:ascii="Verdana" w:hAnsi="Verdana" w:cs="Arial"/>
          <w:color w:val="000000" w:themeColor="text1"/>
          <w:sz w:val="18"/>
          <w:szCs w:val="18"/>
        </w:rPr>
      </w:pPr>
      <w:r w:rsidRPr="00EF6E71">
        <w:rPr>
          <w:rFonts w:ascii="Verdana" w:hAnsi="Verdana" w:cs="Arial"/>
          <w:color w:val="000000" w:themeColor="text1"/>
          <w:sz w:val="18"/>
          <w:szCs w:val="18"/>
        </w:rPr>
        <w:t>»h) Asesorar la negociación, aplicación y adaptación de tecnologías nacionales y extranjeras.</w:t>
      </w:r>
    </w:p>
    <w:p w14:paraId="0B16CAEB" w14:textId="1685DE01" w:rsidR="00FC5662" w:rsidRPr="00EF6E71" w:rsidRDefault="00837947" w:rsidP="00EF6E71">
      <w:pPr>
        <w:pStyle w:val="Textonotapie"/>
        <w:ind w:firstLine="708"/>
        <w:jc w:val="both"/>
        <w:rPr>
          <w:rFonts w:ascii="Verdana" w:hAnsi="Verdana" w:cs="Arial"/>
          <w:color w:val="000000" w:themeColor="text1"/>
          <w:sz w:val="18"/>
          <w:szCs w:val="18"/>
        </w:rPr>
      </w:pPr>
      <w:r w:rsidRPr="00EF6E71">
        <w:rPr>
          <w:rFonts w:ascii="Verdana" w:hAnsi="Verdana" w:cs="Arial"/>
          <w:color w:val="000000" w:themeColor="text1"/>
          <w:sz w:val="18"/>
          <w:szCs w:val="18"/>
        </w:rPr>
        <w:t>» i</w:t>
      </w:r>
      <w:r w:rsidR="00FC5662" w:rsidRPr="00EF6E71">
        <w:rPr>
          <w:rFonts w:ascii="Verdana" w:hAnsi="Verdana" w:cs="Arial"/>
          <w:color w:val="000000" w:themeColor="text1"/>
          <w:sz w:val="18"/>
          <w:szCs w:val="18"/>
        </w:rPr>
        <w:t>) Realizar actividades de normalización y metrología.</w:t>
      </w:r>
    </w:p>
    <w:p w14:paraId="0473449C" w14:textId="14CAAB25" w:rsidR="00FC5662" w:rsidRPr="00EF6E71" w:rsidRDefault="00837947" w:rsidP="00EF6E71">
      <w:pPr>
        <w:pStyle w:val="Textonotapie"/>
        <w:ind w:firstLine="708"/>
        <w:jc w:val="both"/>
        <w:rPr>
          <w:rFonts w:ascii="Verdana" w:hAnsi="Verdana" w:cs="Arial"/>
          <w:color w:val="000000" w:themeColor="text1"/>
          <w:sz w:val="18"/>
          <w:szCs w:val="18"/>
        </w:rPr>
      </w:pPr>
      <w:r w:rsidRPr="00EF6E71">
        <w:rPr>
          <w:rFonts w:ascii="Verdana" w:hAnsi="Verdana" w:cs="Arial"/>
          <w:color w:val="000000" w:themeColor="text1"/>
          <w:sz w:val="18"/>
          <w:szCs w:val="18"/>
        </w:rPr>
        <w:t>» j</w:t>
      </w:r>
      <w:r w:rsidR="00FC5662" w:rsidRPr="00EF6E71">
        <w:rPr>
          <w:rFonts w:ascii="Verdana" w:hAnsi="Verdana" w:cs="Arial"/>
          <w:color w:val="000000" w:themeColor="text1"/>
          <w:sz w:val="18"/>
          <w:szCs w:val="18"/>
        </w:rPr>
        <w:t>) Crear fondos de desarrollo científico y tecnológico a nivel nacional y regional, fondos especiales de garantías, y fondos para la renovación y el mantenimiento de equipos científicos.</w:t>
      </w:r>
    </w:p>
    <w:p w14:paraId="551BC0BB" w14:textId="467DC963" w:rsidR="00FC5662" w:rsidRPr="00EF6E71" w:rsidRDefault="00837947" w:rsidP="00EF6E71">
      <w:pPr>
        <w:pStyle w:val="Textonotapie"/>
        <w:ind w:firstLine="708"/>
        <w:jc w:val="both"/>
        <w:rPr>
          <w:rFonts w:ascii="Verdana" w:hAnsi="Verdana" w:cs="Arial"/>
          <w:color w:val="000000" w:themeColor="text1"/>
          <w:sz w:val="18"/>
          <w:szCs w:val="18"/>
        </w:rPr>
      </w:pPr>
      <w:r w:rsidRPr="00EF6E71">
        <w:rPr>
          <w:rFonts w:ascii="Verdana" w:hAnsi="Verdana" w:cs="Arial"/>
          <w:color w:val="000000" w:themeColor="text1"/>
          <w:sz w:val="18"/>
          <w:szCs w:val="18"/>
        </w:rPr>
        <w:t>» k</w:t>
      </w:r>
      <w:r w:rsidR="00FC5662" w:rsidRPr="00EF6E71">
        <w:rPr>
          <w:rFonts w:ascii="Verdana" w:hAnsi="Verdana" w:cs="Arial"/>
          <w:color w:val="000000" w:themeColor="text1"/>
          <w:sz w:val="18"/>
          <w:szCs w:val="18"/>
        </w:rPr>
        <w:t>) Realizar seminarios, cursos y eventos nacionales o internacionales de ciencia y tecnología.</w:t>
      </w:r>
    </w:p>
    <w:p w14:paraId="24BD9848" w14:textId="4BE97B90" w:rsidR="00FC5662" w:rsidRPr="00EF6E71" w:rsidRDefault="00837947" w:rsidP="00EF6E71">
      <w:pPr>
        <w:pStyle w:val="Textonotapie"/>
        <w:ind w:firstLine="708"/>
        <w:jc w:val="both"/>
        <w:rPr>
          <w:rFonts w:ascii="Verdana" w:hAnsi="Verdana" w:cs="Arial"/>
          <w:color w:val="000000" w:themeColor="text1"/>
          <w:sz w:val="18"/>
          <w:szCs w:val="18"/>
        </w:rPr>
      </w:pPr>
      <w:r w:rsidRPr="00EF6E71">
        <w:rPr>
          <w:rFonts w:ascii="Verdana" w:hAnsi="Verdana" w:cs="Arial"/>
          <w:color w:val="000000" w:themeColor="text1"/>
          <w:sz w:val="18"/>
          <w:szCs w:val="18"/>
        </w:rPr>
        <w:t>» I</w:t>
      </w:r>
      <w:r w:rsidR="00FC5662" w:rsidRPr="00EF6E71">
        <w:rPr>
          <w:rFonts w:ascii="Verdana" w:hAnsi="Verdana" w:cs="Arial"/>
          <w:color w:val="000000" w:themeColor="text1"/>
          <w:sz w:val="18"/>
          <w:szCs w:val="18"/>
        </w:rPr>
        <w:t>) Financiar publicaciones y el otorgamiento de premios y distinciones a investigadores, grupos de investigación e investigaciones».</w:t>
      </w:r>
    </w:p>
    <w:p w14:paraId="1887CD89" w14:textId="77777777" w:rsidR="00FC5662" w:rsidRPr="00EF6E71" w:rsidRDefault="00FC5662" w:rsidP="00EF6E71">
      <w:pPr>
        <w:pStyle w:val="Textonotapie"/>
        <w:ind w:firstLine="708"/>
        <w:jc w:val="both"/>
        <w:rPr>
          <w:rFonts w:ascii="Verdana" w:hAnsi="Verdana" w:cs="Arial"/>
          <w:color w:val="000000" w:themeColor="text1"/>
          <w:sz w:val="18"/>
          <w:szCs w:val="18"/>
          <w:lang w:val="es-ES"/>
        </w:rPr>
      </w:pPr>
    </w:p>
  </w:footnote>
  <w:footnote w:id="8">
    <w:p w14:paraId="26994C28" w14:textId="17245B46" w:rsidR="002F61D0" w:rsidRPr="00EF6E71" w:rsidRDefault="002F61D0" w:rsidP="004A0288">
      <w:pPr>
        <w:pStyle w:val="Textonotapie"/>
        <w:ind w:firstLine="708"/>
        <w:contextualSpacing/>
        <w:jc w:val="both"/>
        <w:rPr>
          <w:rFonts w:ascii="Verdana" w:hAnsi="Verdana"/>
          <w:sz w:val="18"/>
          <w:szCs w:val="18"/>
        </w:rPr>
      </w:pPr>
      <w:r w:rsidRPr="00EF6E71">
        <w:rPr>
          <w:rStyle w:val="Refdenotaalpie"/>
          <w:rFonts w:ascii="Verdana" w:hAnsi="Verdana"/>
          <w:sz w:val="18"/>
          <w:szCs w:val="18"/>
        </w:rPr>
        <w:footnoteRef/>
      </w:r>
      <w:r w:rsidRPr="00EF6E71">
        <w:rPr>
          <w:rFonts w:ascii="Verdana" w:hAnsi="Verdana"/>
          <w:sz w:val="18"/>
          <w:szCs w:val="18"/>
        </w:rPr>
        <w:t xml:space="preserve"> Consejo de Estado. Sala de los Contencioso Administrativo. Sección Tercera. Radicado: 25000-23-36-000-2012-00568-02 (61269). Consejero Ponente: Nicolás Yepes Corales. 24 de enero de 2024.</w:t>
      </w:r>
    </w:p>
  </w:footnote>
  <w:footnote w:id="9">
    <w:p w14:paraId="620B6C0D" w14:textId="77777777" w:rsidR="002F61D0" w:rsidRPr="00EF6E71" w:rsidRDefault="002F61D0" w:rsidP="00EF6E71">
      <w:pPr>
        <w:pStyle w:val="Textonotapie"/>
        <w:ind w:firstLine="708"/>
        <w:contextualSpacing/>
        <w:jc w:val="both"/>
        <w:rPr>
          <w:rFonts w:ascii="Verdana" w:hAnsi="Verdana" w:cs="Arial"/>
          <w:color w:val="000000"/>
          <w:sz w:val="18"/>
          <w:szCs w:val="18"/>
        </w:rPr>
      </w:pPr>
      <w:r w:rsidRPr="00EF6E71">
        <w:rPr>
          <w:rStyle w:val="Refdenotaalpie"/>
          <w:rFonts w:ascii="Verdana" w:hAnsi="Verdana" w:cs="Arial"/>
          <w:color w:val="000000"/>
          <w:sz w:val="18"/>
          <w:szCs w:val="18"/>
        </w:rPr>
        <w:footnoteRef/>
      </w:r>
      <w:r w:rsidRPr="00EF6E71">
        <w:rPr>
          <w:rFonts w:ascii="Verdana" w:hAnsi="Verdana" w:cs="Arial"/>
          <w:color w:val="000000"/>
          <w:sz w:val="18"/>
          <w:szCs w:val="18"/>
        </w:rPr>
        <w:t xml:space="preserve"> Corte Constitucional. Sentencia C-316 de 1995 del 19 de julio de 1995. Magistrado Ponente: Antonio Barrera Carbonell.</w:t>
      </w:r>
    </w:p>
  </w:footnote>
  <w:footnote w:id="10">
    <w:p w14:paraId="6B3D2089" w14:textId="77777777" w:rsidR="002F61D0" w:rsidRPr="00EF6E71" w:rsidRDefault="002F61D0" w:rsidP="00EF6E71">
      <w:pPr>
        <w:pStyle w:val="Textonotapie"/>
        <w:contextualSpacing/>
        <w:jc w:val="both"/>
        <w:rPr>
          <w:rFonts w:ascii="Verdana" w:hAnsi="Verdana" w:cs="Arial"/>
          <w:color w:val="000000"/>
          <w:sz w:val="18"/>
          <w:szCs w:val="18"/>
        </w:rPr>
      </w:pPr>
    </w:p>
    <w:p w14:paraId="2316249A" w14:textId="77777777" w:rsidR="002F61D0" w:rsidRPr="00EF6E71" w:rsidRDefault="002F61D0" w:rsidP="00EF6E71">
      <w:pPr>
        <w:pStyle w:val="Textonotapie"/>
        <w:ind w:firstLine="708"/>
        <w:contextualSpacing/>
        <w:jc w:val="both"/>
        <w:rPr>
          <w:rFonts w:ascii="Verdana" w:hAnsi="Verdana" w:cs="Arial"/>
          <w:color w:val="000000"/>
          <w:sz w:val="18"/>
          <w:szCs w:val="18"/>
        </w:rPr>
      </w:pPr>
      <w:r w:rsidRPr="00EF6E71">
        <w:rPr>
          <w:rStyle w:val="Refdenotaalpie"/>
          <w:rFonts w:ascii="Verdana" w:hAnsi="Verdana" w:cs="Arial"/>
          <w:color w:val="000000"/>
          <w:sz w:val="18"/>
          <w:szCs w:val="18"/>
        </w:rPr>
        <w:footnoteRef/>
      </w:r>
      <w:r w:rsidRPr="00EF6E71">
        <w:rPr>
          <w:rFonts w:ascii="Verdana" w:hAnsi="Verdana" w:cs="Arial"/>
          <w:color w:val="000000"/>
          <w:sz w:val="18"/>
          <w:szCs w:val="18"/>
        </w:rPr>
        <w:t xml:space="preserve"> </w:t>
      </w:r>
      <w:r w:rsidRPr="00EF6E71">
        <w:rPr>
          <w:rFonts w:ascii="Verdana" w:hAnsi="Verdana" w:cs="Arial"/>
          <w:i/>
          <w:iCs/>
          <w:color w:val="000000"/>
          <w:sz w:val="18"/>
          <w:szCs w:val="18"/>
        </w:rPr>
        <w:t>Ibidem.</w:t>
      </w:r>
    </w:p>
    <w:p w14:paraId="2386F31A" w14:textId="77777777" w:rsidR="002F61D0" w:rsidRPr="00EF6E71" w:rsidRDefault="002F61D0" w:rsidP="00EF6E71">
      <w:pPr>
        <w:pStyle w:val="Textonotapie"/>
        <w:ind w:firstLine="708"/>
        <w:contextualSpacing/>
        <w:jc w:val="both"/>
        <w:rPr>
          <w:rFonts w:ascii="Verdana" w:hAnsi="Verdana" w:cs="Arial"/>
          <w:color w:val="000000"/>
          <w:sz w:val="18"/>
          <w:szCs w:val="18"/>
          <w:lang w:val="es-ES"/>
        </w:rPr>
      </w:pPr>
    </w:p>
  </w:footnote>
  <w:footnote w:id="11">
    <w:p w14:paraId="3B34461F" w14:textId="54FAB087" w:rsidR="002F61D0" w:rsidRPr="00EF6E71" w:rsidRDefault="002F61D0" w:rsidP="00EF6E71">
      <w:pPr>
        <w:pStyle w:val="Textonotapie"/>
        <w:ind w:firstLine="708"/>
        <w:contextualSpacing/>
        <w:jc w:val="both"/>
        <w:rPr>
          <w:rFonts w:ascii="Verdana" w:hAnsi="Verdana" w:cs="Arial"/>
          <w:color w:val="000000"/>
          <w:sz w:val="18"/>
          <w:szCs w:val="18"/>
        </w:rPr>
      </w:pPr>
      <w:r w:rsidRPr="00EF6E71">
        <w:rPr>
          <w:rStyle w:val="Refdenotaalpie"/>
          <w:rFonts w:ascii="Verdana" w:hAnsi="Verdana" w:cs="Arial"/>
          <w:color w:val="000000"/>
          <w:sz w:val="18"/>
          <w:szCs w:val="18"/>
        </w:rPr>
        <w:footnoteRef/>
      </w:r>
      <w:r w:rsidRPr="00EF6E71">
        <w:rPr>
          <w:rFonts w:ascii="Verdana" w:hAnsi="Verdana" w:cs="Arial"/>
          <w:color w:val="000000"/>
          <w:sz w:val="18"/>
          <w:szCs w:val="18"/>
        </w:rPr>
        <w:t xml:space="preserve"> Agencia Nacional de Contratación Pública – Colombia Compra Eficiente. Circular Externa Única: “El convenio especial de cooperación está sujeto a las normas de derecho privado, de acuerdo con lo previsto en el Decreto–Ley 393 de 1991. Si el convenio respectivo introduce líneas de acción relativas a la administración de proyectos o financiamiento, se somete al mismo régimen privado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D120DD9"/>
    <w:multiLevelType w:val="hybridMultilevel"/>
    <w:tmpl w:val="F036F1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5E1F1E22"/>
    <w:multiLevelType w:val="multilevel"/>
    <w:tmpl w:val="46C8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574066">
    <w:abstractNumId w:val="7"/>
  </w:num>
  <w:num w:numId="2" w16cid:durableId="1858540745">
    <w:abstractNumId w:val="2"/>
  </w:num>
  <w:num w:numId="3" w16cid:durableId="1483351569">
    <w:abstractNumId w:val="4"/>
  </w:num>
  <w:num w:numId="4" w16cid:durableId="1134102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5167963">
    <w:abstractNumId w:val="2"/>
  </w:num>
  <w:num w:numId="6" w16cid:durableId="88239142">
    <w:abstractNumId w:val="16"/>
  </w:num>
  <w:num w:numId="7" w16cid:durableId="833029639">
    <w:abstractNumId w:val="6"/>
  </w:num>
  <w:num w:numId="8" w16cid:durableId="827600375">
    <w:abstractNumId w:val="15"/>
  </w:num>
  <w:num w:numId="9" w16cid:durableId="711735840">
    <w:abstractNumId w:val="8"/>
  </w:num>
  <w:num w:numId="10" w16cid:durableId="1578632654">
    <w:abstractNumId w:val="14"/>
  </w:num>
  <w:num w:numId="11" w16cid:durableId="1674524008">
    <w:abstractNumId w:val="9"/>
  </w:num>
  <w:num w:numId="12" w16cid:durableId="167523075">
    <w:abstractNumId w:val="1"/>
  </w:num>
  <w:num w:numId="13" w16cid:durableId="1787458740">
    <w:abstractNumId w:val="3"/>
  </w:num>
  <w:num w:numId="14" w16cid:durableId="1501197084">
    <w:abstractNumId w:val="17"/>
  </w:num>
  <w:num w:numId="15" w16cid:durableId="65031207">
    <w:abstractNumId w:val="13"/>
  </w:num>
  <w:num w:numId="16" w16cid:durableId="485753112">
    <w:abstractNumId w:val="0"/>
  </w:num>
  <w:num w:numId="17" w16cid:durableId="475151797">
    <w:abstractNumId w:val="5"/>
  </w:num>
  <w:num w:numId="18" w16cid:durableId="1555308641">
    <w:abstractNumId w:val="10"/>
  </w:num>
  <w:num w:numId="19" w16cid:durableId="369495980">
    <w:abstractNumId w:val="12"/>
  </w:num>
  <w:num w:numId="20" w16cid:durableId="1953243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631"/>
    <w:rsid w:val="00060869"/>
    <w:rsid w:val="00061B2A"/>
    <w:rsid w:val="00082362"/>
    <w:rsid w:val="0009343A"/>
    <w:rsid w:val="000A0EE8"/>
    <w:rsid w:val="000A683E"/>
    <w:rsid w:val="000B19B9"/>
    <w:rsid w:val="000C34A2"/>
    <w:rsid w:val="000D0334"/>
    <w:rsid w:val="000D6F5D"/>
    <w:rsid w:val="000E51A6"/>
    <w:rsid w:val="000F6486"/>
    <w:rsid w:val="0011352E"/>
    <w:rsid w:val="001147E6"/>
    <w:rsid w:val="00125105"/>
    <w:rsid w:val="00126964"/>
    <w:rsid w:val="00127233"/>
    <w:rsid w:val="001432F8"/>
    <w:rsid w:val="00155483"/>
    <w:rsid w:val="00185A33"/>
    <w:rsid w:val="001E4177"/>
    <w:rsid w:val="001F7DC6"/>
    <w:rsid w:val="00206135"/>
    <w:rsid w:val="002301E8"/>
    <w:rsid w:val="002421BB"/>
    <w:rsid w:val="0025796E"/>
    <w:rsid w:val="002707A2"/>
    <w:rsid w:val="002951A0"/>
    <w:rsid w:val="002962BC"/>
    <w:rsid w:val="002A093D"/>
    <w:rsid w:val="002A0DD0"/>
    <w:rsid w:val="002A49AC"/>
    <w:rsid w:val="002A64FD"/>
    <w:rsid w:val="002C7A84"/>
    <w:rsid w:val="002E4FD9"/>
    <w:rsid w:val="002F61D0"/>
    <w:rsid w:val="00322A85"/>
    <w:rsid w:val="00324168"/>
    <w:rsid w:val="003448F4"/>
    <w:rsid w:val="00374F5E"/>
    <w:rsid w:val="00377E3E"/>
    <w:rsid w:val="003A26D1"/>
    <w:rsid w:val="003A779E"/>
    <w:rsid w:val="003D0F4D"/>
    <w:rsid w:val="003D5B0D"/>
    <w:rsid w:val="003E0499"/>
    <w:rsid w:val="003F3941"/>
    <w:rsid w:val="00406575"/>
    <w:rsid w:val="0042722E"/>
    <w:rsid w:val="004368BB"/>
    <w:rsid w:val="0044528D"/>
    <w:rsid w:val="004A0288"/>
    <w:rsid w:val="004A0D17"/>
    <w:rsid w:val="004A1847"/>
    <w:rsid w:val="004A305D"/>
    <w:rsid w:val="004F21C4"/>
    <w:rsid w:val="004F685F"/>
    <w:rsid w:val="00510214"/>
    <w:rsid w:val="00517233"/>
    <w:rsid w:val="005260BF"/>
    <w:rsid w:val="00546B5F"/>
    <w:rsid w:val="005566E8"/>
    <w:rsid w:val="00574867"/>
    <w:rsid w:val="005749F4"/>
    <w:rsid w:val="00591460"/>
    <w:rsid w:val="00592628"/>
    <w:rsid w:val="005C3777"/>
    <w:rsid w:val="005C5CDC"/>
    <w:rsid w:val="005D2477"/>
    <w:rsid w:val="005D476C"/>
    <w:rsid w:val="005E486E"/>
    <w:rsid w:val="006043A1"/>
    <w:rsid w:val="00610812"/>
    <w:rsid w:val="006219F8"/>
    <w:rsid w:val="00650FF7"/>
    <w:rsid w:val="0065566B"/>
    <w:rsid w:val="00665D70"/>
    <w:rsid w:val="00671DAC"/>
    <w:rsid w:val="006900D9"/>
    <w:rsid w:val="00697B87"/>
    <w:rsid w:val="006C16B5"/>
    <w:rsid w:val="006D12F8"/>
    <w:rsid w:val="006E3EFB"/>
    <w:rsid w:val="00706C16"/>
    <w:rsid w:val="007355DB"/>
    <w:rsid w:val="00756841"/>
    <w:rsid w:val="007649AB"/>
    <w:rsid w:val="00771D0C"/>
    <w:rsid w:val="007803A2"/>
    <w:rsid w:val="007833AC"/>
    <w:rsid w:val="007B268C"/>
    <w:rsid w:val="007B7171"/>
    <w:rsid w:val="007C0C0F"/>
    <w:rsid w:val="007C3DC2"/>
    <w:rsid w:val="007D2978"/>
    <w:rsid w:val="007E5497"/>
    <w:rsid w:val="00806F5F"/>
    <w:rsid w:val="00820278"/>
    <w:rsid w:val="00837947"/>
    <w:rsid w:val="008454FC"/>
    <w:rsid w:val="008634F4"/>
    <w:rsid w:val="008843B6"/>
    <w:rsid w:val="00891928"/>
    <w:rsid w:val="008A446D"/>
    <w:rsid w:val="008C3C3B"/>
    <w:rsid w:val="008D180B"/>
    <w:rsid w:val="008D4D32"/>
    <w:rsid w:val="008E1FD6"/>
    <w:rsid w:val="008F0EA7"/>
    <w:rsid w:val="00922362"/>
    <w:rsid w:val="00923EEF"/>
    <w:rsid w:val="0093364E"/>
    <w:rsid w:val="009419F9"/>
    <w:rsid w:val="00954BBC"/>
    <w:rsid w:val="0095685E"/>
    <w:rsid w:val="00961B09"/>
    <w:rsid w:val="00965334"/>
    <w:rsid w:val="0097093E"/>
    <w:rsid w:val="009A0DFA"/>
    <w:rsid w:val="009B2D26"/>
    <w:rsid w:val="009C5833"/>
    <w:rsid w:val="009C71FA"/>
    <w:rsid w:val="009C72E7"/>
    <w:rsid w:val="009D3058"/>
    <w:rsid w:val="009F1566"/>
    <w:rsid w:val="009F3A13"/>
    <w:rsid w:val="00A023D9"/>
    <w:rsid w:val="00A122D3"/>
    <w:rsid w:val="00A17F13"/>
    <w:rsid w:val="00A20739"/>
    <w:rsid w:val="00A33C78"/>
    <w:rsid w:val="00A559B4"/>
    <w:rsid w:val="00A5660A"/>
    <w:rsid w:val="00AA13A6"/>
    <w:rsid w:val="00AB0ADB"/>
    <w:rsid w:val="00AE7EDC"/>
    <w:rsid w:val="00B01B1A"/>
    <w:rsid w:val="00B72CD3"/>
    <w:rsid w:val="00B72FFF"/>
    <w:rsid w:val="00BC05F1"/>
    <w:rsid w:val="00BC3D36"/>
    <w:rsid w:val="00BD7F72"/>
    <w:rsid w:val="00BE0391"/>
    <w:rsid w:val="00C04FB3"/>
    <w:rsid w:val="00C330EB"/>
    <w:rsid w:val="00C42035"/>
    <w:rsid w:val="00C63E26"/>
    <w:rsid w:val="00C737B2"/>
    <w:rsid w:val="00C754BE"/>
    <w:rsid w:val="00C76B1C"/>
    <w:rsid w:val="00C903F6"/>
    <w:rsid w:val="00CB6357"/>
    <w:rsid w:val="00CC1B26"/>
    <w:rsid w:val="00CF7029"/>
    <w:rsid w:val="00D423A2"/>
    <w:rsid w:val="00D520D8"/>
    <w:rsid w:val="00D56BBF"/>
    <w:rsid w:val="00D63AC2"/>
    <w:rsid w:val="00D7383B"/>
    <w:rsid w:val="00DA231B"/>
    <w:rsid w:val="00DA23A0"/>
    <w:rsid w:val="00DC39FC"/>
    <w:rsid w:val="00DF5254"/>
    <w:rsid w:val="00E16408"/>
    <w:rsid w:val="00E20894"/>
    <w:rsid w:val="00E245AB"/>
    <w:rsid w:val="00E2764C"/>
    <w:rsid w:val="00E27F2E"/>
    <w:rsid w:val="00E413EA"/>
    <w:rsid w:val="00E50AFE"/>
    <w:rsid w:val="00E604AB"/>
    <w:rsid w:val="00E75C92"/>
    <w:rsid w:val="00E771DC"/>
    <w:rsid w:val="00E8772A"/>
    <w:rsid w:val="00E90F6B"/>
    <w:rsid w:val="00E92C27"/>
    <w:rsid w:val="00E974F0"/>
    <w:rsid w:val="00EA0E3D"/>
    <w:rsid w:val="00EC38A7"/>
    <w:rsid w:val="00ED3758"/>
    <w:rsid w:val="00EE1AA8"/>
    <w:rsid w:val="00EF6E71"/>
    <w:rsid w:val="00F12F1D"/>
    <w:rsid w:val="00F22B96"/>
    <w:rsid w:val="00F31EDC"/>
    <w:rsid w:val="00F462B3"/>
    <w:rsid w:val="00F5664F"/>
    <w:rsid w:val="00F666C4"/>
    <w:rsid w:val="00F76AFC"/>
    <w:rsid w:val="00FA47C0"/>
    <w:rsid w:val="00FB5DD1"/>
    <w:rsid w:val="00FC2B5D"/>
    <w:rsid w:val="00FC5662"/>
    <w:rsid w:val="00FF1449"/>
    <w:rsid w:val="00FF57FD"/>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2F61D0"/>
    <w:pPr>
      <w:spacing w:line="240" w:lineRule="exact"/>
    </w:pPr>
    <w:rPr>
      <w:vertAlign w:val="superscript"/>
    </w:rPr>
  </w:style>
  <w:style w:type="character" w:styleId="Refdecomentario">
    <w:name w:val="annotation reference"/>
    <w:basedOn w:val="Fuentedeprrafopredeter"/>
    <w:uiPriority w:val="99"/>
    <w:semiHidden/>
    <w:unhideWhenUsed/>
    <w:rsid w:val="002F61D0"/>
    <w:rPr>
      <w:sz w:val="16"/>
      <w:szCs w:val="16"/>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F61D0"/>
    <w:rPr>
      <w:rFonts w:ascii="Geomanist Light" w:hAnsi="Geomanist Light"/>
      <w:lang w:val="es-ES"/>
    </w:rPr>
  </w:style>
  <w:style w:type="paragraph" w:styleId="Textocomentario">
    <w:name w:val="annotation text"/>
    <w:basedOn w:val="Normal"/>
    <w:link w:val="TextocomentarioCar"/>
    <w:uiPriority w:val="99"/>
    <w:semiHidden/>
    <w:unhideWhenUsed/>
    <w:rsid w:val="00FC56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5662"/>
    <w:rPr>
      <w:sz w:val="20"/>
      <w:szCs w:val="20"/>
    </w:rPr>
  </w:style>
  <w:style w:type="paragraph" w:styleId="Asuntodelcomentario">
    <w:name w:val="annotation subject"/>
    <w:basedOn w:val="Textocomentario"/>
    <w:next w:val="Textocomentario"/>
    <w:link w:val="AsuntodelcomentarioCar"/>
    <w:uiPriority w:val="99"/>
    <w:semiHidden/>
    <w:unhideWhenUsed/>
    <w:rsid w:val="00FC5662"/>
    <w:rPr>
      <w:b/>
      <w:bCs/>
    </w:rPr>
  </w:style>
  <w:style w:type="character" w:customStyle="1" w:styleId="AsuntodelcomentarioCar">
    <w:name w:val="Asunto del comentario Car"/>
    <w:basedOn w:val="TextocomentarioCar"/>
    <w:link w:val="Asuntodelcomentario"/>
    <w:uiPriority w:val="99"/>
    <w:semiHidden/>
    <w:rsid w:val="00FC5662"/>
    <w:rPr>
      <w:b/>
      <w:bCs/>
      <w:sz w:val="20"/>
      <w:szCs w:val="20"/>
    </w:rPr>
  </w:style>
  <w:style w:type="paragraph" w:styleId="Textodeglobo">
    <w:name w:val="Balloon Text"/>
    <w:basedOn w:val="Normal"/>
    <w:link w:val="TextodegloboCar"/>
    <w:uiPriority w:val="99"/>
    <w:semiHidden/>
    <w:unhideWhenUsed/>
    <w:rsid w:val="00A5660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5660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88055617">
      <w:bodyDiv w:val="1"/>
      <w:marLeft w:val="0"/>
      <w:marRight w:val="0"/>
      <w:marTop w:val="0"/>
      <w:marBottom w:val="0"/>
      <w:divBdr>
        <w:top w:val="none" w:sz="0" w:space="0" w:color="auto"/>
        <w:left w:val="none" w:sz="0" w:space="0" w:color="auto"/>
        <w:bottom w:val="none" w:sz="0" w:space="0" w:color="auto"/>
        <w:right w:val="none" w:sz="0" w:space="0" w:color="auto"/>
      </w:divBdr>
      <w:divsChild>
        <w:div w:id="742801346">
          <w:marLeft w:val="0"/>
          <w:marRight w:val="0"/>
          <w:marTop w:val="0"/>
          <w:marBottom w:val="0"/>
          <w:divBdr>
            <w:top w:val="none" w:sz="0" w:space="0" w:color="auto"/>
            <w:left w:val="none" w:sz="0" w:space="0" w:color="auto"/>
            <w:bottom w:val="none" w:sz="0" w:space="0" w:color="auto"/>
            <w:right w:val="none" w:sz="0" w:space="0" w:color="auto"/>
          </w:divBdr>
          <w:divsChild>
            <w:div w:id="1790274392">
              <w:marLeft w:val="0"/>
              <w:marRight w:val="0"/>
              <w:marTop w:val="0"/>
              <w:marBottom w:val="0"/>
              <w:divBdr>
                <w:top w:val="none" w:sz="0" w:space="0" w:color="auto"/>
                <w:left w:val="none" w:sz="0" w:space="0" w:color="auto"/>
                <w:bottom w:val="none" w:sz="0" w:space="0" w:color="auto"/>
                <w:right w:val="none" w:sz="0" w:space="0" w:color="auto"/>
              </w:divBdr>
              <w:divsChild>
                <w:div w:id="18522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4656">
      <w:bodyDiv w:val="1"/>
      <w:marLeft w:val="0"/>
      <w:marRight w:val="0"/>
      <w:marTop w:val="0"/>
      <w:marBottom w:val="0"/>
      <w:divBdr>
        <w:top w:val="none" w:sz="0" w:space="0" w:color="auto"/>
        <w:left w:val="none" w:sz="0" w:space="0" w:color="auto"/>
        <w:bottom w:val="none" w:sz="0" w:space="0" w:color="auto"/>
        <w:right w:val="none" w:sz="0" w:space="0" w:color="auto"/>
      </w:divBdr>
      <w:divsChild>
        <w:div w:id="1908608205">
          <w:marLeft w:val="0"/>
          <w:marRight w:val="0"/>
          <w:marTop w:val="0"/>
          <w:marBottom w:val="0"/>
          <w:divBdr>
            <w:top w:val="none" w:sz="0" w:space="0" w:color="auto"/>
            <w:left w:val="none" w:sz="0" w:space="0" w:color="auto"/>
            <w:bottom w:val="none" w:sz="0" w:space="0" w:color="auto"/>
            <w:right w:val="none" w:sz="0" w:space="0" w:color="auto"/>
          </w:divBdr>
          <w:divsChild>
            <w:div w:id="546338200">
              <w:marLeft w:val="0"/>
              <w:marRight w:val="0"/>
              <w:marTop w:val="0"/>
              <w:marBottom w:val="0"/>
              <w:divBdr>
                <w:top w:val="none" w:sz="0" w:space="0" w:color="auto"/>
                <w:left w:val="none" w:sz="0" w:space="0" w:color="auto"/>
                <w:bottom w:val="none" w:sz="0" w:space="0" w:color="auto"/>
                <w:right w:val="none" w:sz="0" w:space="0" w:color="auto"/>
              </w:divBdr>
              <w:divsChild>
                <w:div w:id="14828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91498">
      <w:bodyDiv w:val="1"/>
      <w:marLeft w:val="0"/>
      <w:marRight w:val="0"/>
      <w:marTop w:val="0"/>
      <w:marBottom w:val="0"/>
      <w:divBdr>
        <w:top w:val="none" w:sz="0" w:space="0" w:color="auto"/>
        <w:left w:val="none" w:sz="0" w:space="0" w:color="auto"/>
        <w:bottom w:val="none" w:sz="0" w:space="0" w:color="auto"/>
        <w:right w:val="none" w:sz="0" w:space="0" w:color="auto"/>
      </w:divBdr>
      <w:divsChild>
        <w:div w:id="197620651">
          <w:marLeft w:val="0"/>
          <w:marRight w:val="0"/>
          <w:marTop w:val="0"/>
          <w:marBottom w:val="0"/>
          <w:divBdr>
            <w:top w:val="none" w:sz="0" w:space="0" w:color="auto"/>
            <w:left w:val="none" w:sz="0" w:space="0" w:color="auto"/>
            <w:bottom w:val="none" w:sz="0" w:space="0" w:color="auto"/>
            <w:right w:val="none" w:sz="0" w:space="0" w:color="auto"/>
          </w:divBdr>
          <w:divsChild>
            <w:div w:id="1608846701">
              <w:marLeft w:val="0"/>
              <w:marRight w:val="0"/>
              <w:marTop w:val="0"/>
              <w:marBottom w:val="0"/>
              <w:divBdr>
                <w:top w:val="none" w:sz="0" w:space="0" w:color="auto"/>
                <w:left w:val="none" w:sz="0" w:space="0" w:color="auto"/>
                <w:bottom w:val="none" w:sz="0" w:space="0" w:color="auto"/>
                <w:right w:val="none" w:sz="0" w:space="0" w:color="auto"/>
              </w:divBdr>
              <w:divsChild>
                <w:div w:id="284119465">
                  <w:marLeft w:val="0"/>
                  <w:marRight w:val="0"/>
                  <w:marTop w:val="0"/>
                  <w:marBottom w:val="0"/>
                  <w:divBdr>
                    <w:top w:val="none" w:sz="0" w:space="0" w:color="auto"/>
                    <w:left w:val="none" w:sz="0" w:space="0" w:color="auto"/>
                    <w:bottom w:val="none" w:sz="0" w:space="0" w:color="auto"/>
                    <w:right w:val="none" w:sz="0" w:space="0" w:color="auto"/>
                  </w:divBdr>
                  <w:divsChild>
                    <w:div w:id="3805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25349877">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078331301">
      <w:bodyDiv w:val="1"/>
      <w:marLeft w:val="0"/>
      <w:marRight w:val="0"/>
      <w:marTop w:val="0"/>
      <w:marBottom w:val="0"/>
      <w:divBdr>
        <w:top w:val="none" w:sz="0" w:space="0" w:color="auto"/>
        <w:left w:val="none" w:sz="0" w:space="0" w:color="auto"/>
        <w:bottom w:val="none" w:sz="0" w:space="0" w:color="auto"/>
        <w:right w:val="none" w:sz="0" w:space="0" w:color="auto"/>
      </w:divBdr>
      <w:divsChild>
        <w:div w:id="354160309">
          <w:marLeft w:val="0"/>
          <w:marRight w:val="0"/>
          <w:marTop w:val="0"/>
          <w:marBottom w:val="0"/>
          <w:divBdr>
            <w:top w:val="none" w:sz="0" w:space="0" w:color="auto"/>
            <w:left w:val="none" w:sz="0" w:space="0" w:color="auto"/>
            <w:bottom w:val="none" w:sz="0" w:space="0" w:color="auto"/>
            <w:right w:val="none" w:sz="0" w:space="0" w:color="auto"/>
          </w:divBdr>
          <w:divsChild>
            <w:div w:id="1503621348">
              <w:marLeft w:val="0"/>
              <w:marRight w:val="0"/>
              <w:marTop w:val="0"/>
              <w:marBottom w:val="0"/>
              <w:divBdr>
                <w:top w:val="none" w:sz="0" w:space="0" w:color="auto"/>
                <w:left w:val="none" w:sz="0" w:space="0" w:color="auto"/>
                <w:bottom w:val="none" w:sz="0" w:space="0" w:color="auto"/>
                <w:right w:val="none" w:sz="0" w:space="0" w:color="auto"/>
              </w:divBdr>
              <w:divsChild>
                <w:div w:id="13388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45148398">
      <w:bodyDiv w:val="1"/>
      <w:marLeft w:val="0"/>
      <w:marRight w:val="0"/>
      <w:marTop w:val="0"/>
      <w:marBottom w:val="0"/>
      <w:divBdr>
        <w:top w:val="none" w:sz="0" w:space="0" w:color="auto"/>
        <w:left w:val="none" w:sz="0" w:space="0" w:color="auto"/>
        <w:bottom w:val="none" w:sz="0" w:space="0" w:color="auto"/>
        <w:right w:val="none" w:sz="0" w:space="0" w:color="auto"/>
      </w:divBdr>
      <w:divsChild>
        <w:div w:id="1771897771">
          <w:marLeft w:val="0"/>
          <w:marRight w:val="0"/>
          <w:marTop w:val="0"/>
          <w:marBottom w:val="0"/>
          <w:divBdr>
            <w:top w:val="none" w:sz="0" w:space="0" w:color="auto"/>
            <w:left w:val="none" w:sz="0" w:space="0" w:color="auto"/>
            <w:bottom w:val="none" w:sz="0" w:space="0" w:color="auto"/>
            <w:right w:val="none" w:sz="0" w:space="0" w:color="auto"/>
          </w:divBdr>
          <w:divsChild>
            <w:div w:id="783117833">
              <w:marLeft w:val="0"/>
              <w:marRight w:val="0"/>
              <w:marTop w:val="0"/>
              <w:marBottom w:val="0"/>
              <w:divBdr>
                <w:top w:val="none" w:sz="0" w:space="0" w:color="auto"/>
                <w:left w:val="none" w:sz="0" w:space="0" w:color="auto"/>
                <w:bottom w:val="none" w:sz="0" w:space="0" w:color="auto"/>
                <w:right w:val="none" w:sz="0" w:space="0" w:color="auto"/>
              </w:divBdr>
              <w:divsChild>
                <w:div w:id="7272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603222165">
      <w:bodyDiv w:val="1"/>
      <w:marLeft w:val="0"/>
      <w:marRight w:val="0"/>
      <w:marTop w:val="0"/>
      <w:marBottom w:val="0"/>
      <w:divBdr>
        <w:top w:val="none" w:sz="0" w:space="0" w:color="auto"/>
        <w:left w:val="none" w:sz="0" w:space="0" w:color="auto"/>
        <w:bottom w:val="none" w:sz="0" w:space="0" w:color="auto"/>
        <w:right w:val="none" w:sz="0" w:space="0" w:color="auto"/>
      </w:divBdr>
      <w:divsChild>
        <w:div w:id="1850219601">
          <w:marLeft w:val="0"/>
          <w:marRight w:val="0"/>
          <w:marTop w:val="0"/>
          <w:marBottom w:val="0"/>
          <w:divBdr>
            <w:top w:val="none" w:sz="0" w:space="0" w:color="auto"/>
            <w:left w:val="none" w:sz="0" w:space="0" w:color="auto"/>
            <w:bottom w:val="none" w:sz="0" w:space="0" w:color="auto"/>
            <w:right w:val="none" w:sz="0" w:space="0" w:color="auto"/>
          </w:divBdr>
          <w:divsChild>
            <w:div w:id="756052863">
              <w:marLeft w:val="0"/>
              <w:marRight w:val="0"/>
              <w:marTop w:val="0"/>
              <w:marBottom w:val="0"/>
              <w:divBdr>
                <w:top w:val="none" w:sz="0" w:space="0" w:color="auto"/>
                <w:left w:val="none" w:sz="0" w:space="0" w:color="auto"/>
                <w:bottom w:val="none" w:sz="0" w:space="0" w:color="auto"/>
                <w:right w:val="none" w:sz="0" w:space="0" w:color="auto"/>
              </w:divBdr>
              <w:divsChild>
                <w:div w:id="10599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03224">
      <w:bodyDiv w:val="1"/>
      <w:marLeft w:val="0"/>
      <w:marRight w:val="0"/>
      <w:marTop w:val="0"/>
      <w:marBottom w:val="0"/>
      <w:divBdr>
        <w:top w:val="none" w:sz="0" w:space="0" w:color="auto"/>
        <w:left w:val="none" w:sz="0" w:space="0" w:color="auto"/>
        <w:bottom w:val="none" w:sz="0" w:space="0" w:color="auto"/>
        <w:right w:val="none" w:sz="0" w:space="0" w:color="auto"/>
      </w:divBdr>
    </w:div>
    <w:div w:id="1854103047">
      <w:bodyDiv w:val="1"/>
      <w:marLeft w:val="0"/>
      <w:marRight w:val="0"/>
      <w:marTop w:val="0"/>
      <w:marBottom w:val="0"/>
      <w:divBdr>
        <w:top w:val="none" w:sz="0" w:space="0" w:color="auto"/>
        <w:left w:val="none" w:sz="0" w:space="0" w:color="auto"/>
        <w:bottom w:val="none" w:sz="0" w:space="0" w:color="auto"/>
        <w:right w:val="none" w:sz="0" w:space="0" w:color="auto"/>
      </w:divBdr>
      <w:divsChild>
        <w:div w:id="1545678190">
          <w:marLeft w:val="0"/>
          <w:marRight w:val="0"/>
          <w:marTop w:val="0"/>
          <w:marBottom w:val="0"/>
          <w:divBdr>
            <w:top w:val="none" w:sz="0" w:space="0" w:color="auto"/>
            <w:left w:val="none" w:sz="0" w:space="0" w:color="auto"/>
            <w:bottom w:val="none" w:sz="0" w:space="0" w:color="auto"/>
            <w:right w:val="none" w:sz="0" w:space="0" w:color="auto"/>
          </w:divBdr>
          <w:divsChild>
            <w:div w:id="747850459">
              <w:marLeft w:val="0"/>
              <w:marRight w:val="0"/>
              <w:marTop w:val="0"/>
              <w:marBottom w:val="0"/>
              <w:divBdr>
                <w:top w:val="none" w:sz="0" w:space="0" w:color="auto"/>
                <w:left w:val="none" w:sz="0" w:space="0" w:color="auto"/>
                <w:bottom w:val="none" w:sz="0" w:space="0" w:color="auto"/>
                <w:right w:val="none" w:sz="0" w:space="0" w:color="auto"/>
              </w:divBdr>
              <w:divsChild>
                <w:div w:id="14998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64332025">
      <w:bodyDiv w:val="1"/>
      <w:marLeft w:val="0"/>
      <w:marRight w:val="0"/>
      <w:marTop w:val="0"/>
      <w:marBottom w:val="0"/>
      <w:divBdr>
        <w:top w:val="none" w:sz="0" w:space="0" w:color="auto"/>
        <w:left w:val="none" w:sz="0" w:space="0" w:color="auto"/>
        <w:bottom w:val="none" w:sz="0" w:space="0" w:color="auto"/>
        <w:right w:val="none" w:sz="0" w:space="0" w:color="auto"/>
      </w:divBdr>
      <w:divsChild>
        <w:div w:id="1498961459">
          <w:marLeft w:val="0"/>
          <w:marRight w:val="0"/>
          <w:marTop w:val="0"/>
          <w:marBottom w:val="0"/>
          <w:divBdr>
            <w:top w:val="none" w:sz="0" w:space="0" w:color="auto"/>
            <w:left w:val="none" w:sz="0" w:space="0" w:color="auto"/>
            <w:bottom w:val="none" w:sz="0" w:space="0" w:color="auto"/>
            <w:right w:val="none" w:sz="0" w:space="0" w:color="auto"/>
          </w:divBdr>
          <w:divsChild>
            <w:div w:id="1962495788">
              <w:marLeft w:val="0"/>
              <w:marRight w:val="0"/>
              <w:marTop w:val="0"/>
              <w:marBottom w:val="0"/>
              <w:divBdr>
                <w:top w:val="none" w:sz="0" w:space="0" w:color="auto"/>
                <w:left w:val="none" w:sz="0" w:space="0" w:color="auto"/>
                <w:bottom w:val="none" w:sz="0" w:space="0" w:color="auto"/>
                <w:right w:val="none" w:sz="0" w:space="0" w:color="auto"/>
              </w:divBdr>
              <w:divsChild>
                <w:div w:id="1495991893">
                  <w:marLeft w:val="0"/>
                  <w:marRight w:val="0"/>
                  <w:marTop w:val="0"/>
                  <w:marBottom w:val="0"/>
                  <w:divBdr>
                    <w:top w:val="none" w:sz="0" w:space="0" w:color="auto"/>
                    <w:left w:val="none" w:sz="0" w:space="0" w:color="auto"/>
                    <w:bottom w:val="none" w:sz="0" w:space="0" w:color="auto"/>
                    <w:right w:val="none" w:sz="0" w:space="0" w:color="auto"/>
                  </w:divBdr>
                  <w:divsChild>
                    <w:div w:id="1555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velez@crackthecode.la" TargetMode="External"/><Relationship Id="rId17" Type="http://schemas.openxmlformats.org/officeDocument/2006/relationships/hyperlink" Target="https://www.colombiacompra.gov.co/sites/cce_public/files/files_2020/boletin_de_realtoria_iii.pdf"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olombiacompra.gov.co/manuales-guias-y-pliegos-tipo/manuales-y-guia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providencias-consejo-de-estad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circulares/circular_externa_unica_version_3_vf49.pdf" TargetMode="External"/><Relationship Id="rId1" Type="http://schemas.openxmlformats.org/officeDocument/2006/relationships/hyperlink" Target="http://www.secretariasenado.gov.co/senado/basedoc/ley_1286_2009.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D66CF116-7D4F-554F-982A-875650CE7C70}">
  <ds:schemaRefs>
    <ds:schemaRef ds:uri="http://schemas.openxmlformats.org/officeDocument/2006/bibliography"/>
  </ds:schemaRefs>
</ds:datastoreItem>
</file>

<file path=customXml/itemProps3.xml><?xml version="1.0" encoding="utf-8"?>
<ds:datastoreItem xmlns:ds="http://schemas.openxmlformats.org/officeDocument/2006/customXml" ds:itemID="{AED15172-5729-461B-A1E0-97D223A1D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3665</Words>
  <Characters>20162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25</cp:revision>
  <cp:lastPrinted>2023-01-10T21:18:00Z</cp:lastPrinted>
  <dcterms:created xsi:type="dcterms:W3CDTF">2024-10-03T15:38:00Z</dcterms:created>
  <dcterms:modified xsi:type="dcterms:W3CDTF">2024-10-15T22:57:00Z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