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E6C88" w14:textId="541E125A" w:rsidR="00CF031F" w:rsidRPr="00885F63" w:rsidRDefault="00CF031F" w:rsidP="00CF031F">
      <w:pPr>
        <w:tabs>
          <w:tab w:val="left" w:pos="0"/>
        </w:tabs>
        <w:spacing w:before="120" w:after="120" w:line="276" w:lineRule="auto"/>
        <w:contextualSpacing/>
        <w:jc w:val="both"/>
        <w:rPr>
          <w:rFonts w:ascii="Verdana" w:eastAsia="Calibri" w:hAnsi="Verdana" w:cs="Arial"/>
          <w:b/>
          <w:lang w:eastAsia="es-MX"/>
          <w14:ligatures w14:val="standardContextual"/>
        </w:rPr>
      </w:pPr>
      <w:r w:rsidRPr="00885F63">
        <w:rPr>
          <w:rFonts w:ascii="Verdana" w:eastAsia="Calibri" w:hAnsi="Verdana" w:cs="Arial"/>
          <w:b/>
          <w:lang w:eastAsia="es-MX"/>
          <w14:ligatures w14:val="standardContextual"/>
        </w:rPr>
        <w:t>REGISTRO ÚNICO DE PROPONENTES – Finalidad</w:t>
      </w:r>
    </w:p>
    <w:p w14:paraId="583657D9" w14:textId="77777777" w:rsidR="00CF031F" w:rsidRPr="00885F63" w:rsidRDefault="00CF031F" w:rsidP="00CF031F">
      <w:pPr>
        <w:pStyle w:val="Textoindependiente"/>
        <w:ind w:right="107"/>
        <w:contextualSpacing/>
        <w:jc w:val="both"/>
        <w:rPr>
          <w:rFonts w:ascii="Verdana" w:hAnsi="Verdana" w:cs="Arial"/>
          <w:b/>
          <w:sz w:val="20"/>
          <w:szCs w:val="20"/>
        </w:rPr>
      </w:pPr>
    </w:p>
    <w:p w14:paraId="3ECC5CAE" w14:textId="6A189ED2" w:rsidR="00CF031F" w:rsidRDefault="00CF031F" w:rsidP="00725389">
      <w:pPr>
        <w:tabs>
          <w:tab w:val="left" w:pos="0"/>
        </w:tabs>
        <w:spacing w:after="0" w:line="240" w:lineRule="auto"/>
        <w:contextualSpacing/>
        <w:jc w:val="both"/>
        <w:rPr>
          <w:rFonts w:ascii="Verdana" w:hAnsi="Verdana" w:cs="Arial"/>
          <w:color w:val="000000"/>
          <w:sz w:val="20"/>
          <w:szCs w:val="20"/>
          <w:lang w:val="es-MX" w:eastAsia="en-GB"/>
          <w14:ligatures w14:val="standardContextual"/>
        </w:rPr>
      </w:pPr>
      <w:r w:rsidRPr="00885F63">
        <w:rPr>
          <w:rFonts w:ascii="Verdana" w:hAnsi="Verdana" w:cs="Arial"/>
          <w:color w:val="000000"/>
          <w:sz w:val="20"/>
          <w:szCs w:val="20"/>
          <w:lang w:val="es-MX" w:eastAsia="en-GB"/>
          <w14:ligatures w14:val="standardContextual"/>
        </w:rPr>
        <w:t>[…]</w:t>
      </w:r>
      <w:r w:rsidR="00725389">
        <w:rPr>
          <w:rFonts w:ascii="Verdana" w:hAnsi="Verdana" w:cs="Arial"/>
          <w:color w:val="000000"/>
          <w:sz w:val="20"/>
          <w:szCs w:val="20"/>
          <w:lang w:val="es-MX" w:eastAsia="en-GB"/>
          <w14:ligatures w14:val="standardContextual"/>
        </w:rPr>
        <w:t xml:space="preserve"> </w:t>
      </w:r>
      <w:r w:rsidR="00725389" w:rsidRPr="00725389">
        <w:rPr>
          <w:rFonts w:ascii="Verdana" w:hAnsi="Verdana" w:cs="Arial"/>
          <w:color w:val="000000"/>
          <w:sz w:val="20"/>
          <w:szCs w:val="20"/>
          <w:lang w:val="es-MX" w:eastAsia="en-GB"/>
          <w14:ligatures w14:val="standardContextual"/>
        </w:rPr>
        <w:t>la inscripción en el RUP, la valoración de la experiencia de los proponentes y el desarrollo de los procesos de contratación son ámbitos de la contratación estatal en los que se incorpora el uso del Clasificador de Bienes y Servicios para la contratación estatal.  Es una medida que incrementa la eficiencia y la efectividad en procedimientos de selección y reduce los costos de crear y mantener un sistema de codificación individual, al estandarizar una codificación de amplia difusión y de generalizada aceptación, que permite a proveedores y compradores “hablar el mismo lenguaje” al integrar en un solo número el flujo total del proceso de adquisición</w:t>
      </w:r>
      <w:r w:rsidR="00591A6D">
        <w:rPr>
          <w:rFonts w:ascii="Verdana" w:hAnsi="Verdana" w:cs="Arial"/>
          <w:color w:val="000000"/>
          <w:sz w:val="20"/>
          <w:szCs w:val="20"/>
          <w:lang w:val="es-MX" w:eastAsia="en-GB"/>
          <w14:ligatures w14:val="standardContextual"/>
        </w:rPr>
        <w:t>.</w:t>
      </w:r>
    </w:p>
    <w:p w14:paraId="6E39EEA7" w14:textId="77777777" w:rsidR="00591A6D" w:rsidRPr="00725389" w:rsidRDefault="00591A6D" w:rsidP="00725389">
      <w:pPr>
        <w:tabs>
          <w:tab w:val="left" w:pos="0"/>
        </w:tabs>
        <w:spacing w:after="0" w:line="240" w:lineRule="auto"/>
        <w:contextualSpacing/>
        <w:jc w:val="both"/>
        <w:rPr>
          <w:rFonts w:ascii="Verdana" w:hAnsi="Verdana" w:cs="Arial"/>
          <w:color w:val="000000"/>
          <w:sz w:val="20"/>
          <w:szCs w:val="20"/>
          <w:lang w:val="es-MX" w:eastAsia="en-GB"/>
          <w14:ligatures w14:val="standardContextual"/>
        </w:rPr>
      </w:pPr>
    </w:p>
    <w:p w14:paraId="6EFF376F" w14:textId="77777777" w:rsidR="00CF031F" w:rsidRPr="00885F63" w:rsidRDefault="00CF031F" w:rsidP="00CF031F">
      <w:pPr>
        <w:pStyle w:val="Textoindependiente"/>
        <w:ind w:right="107"/>
        <w:contextualSpacing/>
        <w:jc w:val="both"/>
        <w:rPr>
          <w:rFonts w:ascii="Verdana" w:hAnsi="Verdana" w:cs="Arial"/>
          <w:sz w:val="20"/>
          <w:szCs w:val="20"/>
        </w:rPr>
      </w:pPr>
    </w:p>
    <w:p w14:paraId="4699C6B3" w14:textId="6D7705A3" w:rsidR="00CF031F" w:rsidRPr="00885F63" w:rsidRDefault="00CF031F" w:rsidP="00CF031F">
      <w:pPr>
        <w:tabs>
          <w:tab w:val="left" w:pos="0"/>
        </w:tabs>
        <w:spacing w:before="120" w:after="120" w:line="276" w:lineRule="auto"/>
        <w:contextualSpacing/>
        <w:jc w:val="both"/>
        <w:rPr>
          <w:rFonts w:ascii="Verdana" w:eastAsia="Calibri" w:hAnsi="Verdana" w:cs="Arial"/>
          <w:b/>
          <w:lang w:eastAsia="es-MX"/>
          <w14:ligatures w14:val="standardContextual"/>
        </w:rPr>
      </w:pPr>
      <w:r w:rsidRPr="00885F63">
        <w:rPr>
          <w:rFonts w:ascii="Verdana" w:eastAsia="Calibri" w:hAnsi="Verdana" w:cs="Arial"/>
          <w:b/>
          <w:lang w:eastAsia="es-MX"/>
          <w14:ligatures w14:val="standardContextual"/>
        </w:rPr>
        <w:t>CLASIFICADOR DE BIENES Y SERVICIOS DE NACIONES UNIDAS –</w:t>
      </w:r>
      <w:r w:rsidR="00565347">
        <w:rPr>
          <w:rFonts w:ascii="Verdana" w:eastAsia="Calibri" w:hAnsi="Verdana" w:cs="Arial"/>
          <w:b/>
          <w:lang w:eastAsia="es-MX"/>
          <w14:ligatures w14:val="standardContextual"/>
        </w:rPr>
        <w:t xml:space="preserve"> Uso </w:t>
      </w:r>
    </w:p>
    <w:p w14:paraId="14689E64" w14:textId="77777777" w:rsidR="00CF031F" w:rsidRPr="00885F63" w:rsidRDefault="00CF031F" w:rsidP="00CF031F">
      <w:pPr>
        <w:contextualSpacing/>
        <w:jc w:val="both"/>
        <w:rPr>
          <w:rFonts w:ascii="Verdana" w:eastAsia="Calibri" w:hAnsi="Verdana" w:cs="Arial"/>
          <w:sz w:val="20"/>
          <w:szCs w:val="20"/>
        </w:rPr>
      </w:pPr>
    </w:p>
    <w:p w14:paraId="05C08142" w14:textId="0ECC769F" w:rsidR="00725389" w:rsidRPr="00725389" w:rsidRDefault="00725389" w:rsidP="00725389">
      <w:pPr>
        <w:contextualSpacing/>
        <w:jc w:val="both"/>
        <w:rPr>
          <w:rFonts w:ascii="Verdana" w:hAnsi="Verdana" w:cs="Arial"/>
          <w:color w:val="000000"/>
          <w:sz w:val="20"/>
          <w:szCs w:val="20"/>
          <w:lang w:val="es-MX" w:eastAsia="en-GB"/>
          <w14:ligatures w14:val="standardContextual"/>
        </w:rPr>
      </w:pPr>
      <w:r>
        <w:rPr>
          <w:rFonts w:ascii="Verdana" w:hAnsi="Verdana" w:cs="Arial"/>
          <w:color w:val="000000"/>
          <w:sz w:val="20"/>
          <w:szCs w:val="20"/>
          <w:lang w:val="es-MX" w:eastAsia="en-GB"/>
          <w14:ligatures w14:val="standardContextual"/>
        </w:rPr>
        <w:t xml:space="preserve">[…] </w:t>
      </w:r>
      <w:r w:rsidRPr="00725389">
        <w:rPr>
          <w:rFonts w:ascii="Verdana" w:hAnsi="Verdana" w:cs="Arial"/>
          <w:color w:val="000000"/>
          <w:sz w:val="20"/>
          <w:szCs w:val="20"/>
          <w:lang w:val="es-MX" w:eastAsia="en-GB"/>
          <w14:ligatures w14:val="standardContextual"/>
        </w:rPr>
        <w:t xml:space="preserve">la Circular Externa Única proferida por la Agencia Nacional de Contratación Pública – Colombia Compra Eficiente, donde se incorporaron directrices relacionadas con el RUP y particularmente sobre el “uso del Clasificador de Bienes y Servicios en el Registro Único de Proponentes”, donde se estableció lo siguiente: </w:t>
      </w:r>
    </w:p>
    <w:p w14:paraId="452B68FD" w14:textId="77777777" w:rsidR="00725389" w:rsidRPr="00725389" w:rsidRDefault="00725389" w:rsidP="00725389">
      <w:pPr>
        <w:contextualSpacing/>
        <w:jc w:val="both"/>
        <w:rPr>
          <w:rFonts w:ascii="Verdana" w:hAnsi="Verdana" w:cs="Arial"/>
          <w:color w:val="000000"/>
          <w:sz w:val="20"/>
          <w:szCs w:val="20"/>
          <w:lang w:val="es-MX" w:eastAsia="en-GB"/>
          <w14:ligatures w14:val="standardContextual"/>
        </w:rPr>
      </w:pPr>
    </w:p>
    <w:p w14:paraId="2D678B9A" w14:textId="77777777" w:rsidR="00725389" w:rsidRPr="00725389" w:rsidRDefault="00725389" w:rsidP="00725389">
      <w:pPr>
        <w:contextualSpacing/>
        <w:jc w:val="both"/>
        <w:rPr>
          <w:rFonts w:ascii="Verdana" w:hAnsi="Verdana" w:cs="Arial"/>
          <w:color w:val="000000"/>
          <w:sz w:val="20"/>
          <w:szCs w:val="20"/>
          <w:lang w:val="es-MX" w:eastAsia="en-GB"/>
          <w14:ligatures w14:val="standardContextual"/>
        </w:rPr>
      </w:pPr>
      <w:r w:rsidRPr="00725389">
        <w:rPr>
          <w:rFonts w:ascii="Verdana" w:hAnsi="Verdana" w:cs="Arial"/>
          <w:color w:val="000000"/>
          <w:sz w:val="20"/>
          <w:szCs w:val="20"/>
          <w:lang w:val="es-MX" w:eastAsia="en-GB"/>
          <w14:ligatures w14:val="standardContextual"/>
        </w:rPr>
        <w:t xml:space="preserve">Deben tenerse en cuenta las siguientes directrices sobre el uso del Clasificador de Bienes y Servicios en el Registro Único de Proponentes: </w:t>
      </w:r>
    </w:p>
    <w:p w14:paraId="786356AD" w14:textId="77777777" w:rsidR="00725389" w:rsidRPr="00725389" w:rsidRDefault="00725389" w:rsidP="00725389">
      <w:pPr>
        <w:contextualSpacing/>
        <w:jc w:val="both"/>
        <w:rPr>
          <w:rFonts w:ascii="Verdana" w:hAnsi="Verdana" w:cs="Arial"/>
          <w:color w:val="000000"/>
          <w:sz w:val="20"/>
          <w:szCs w:val="20"/>
          <w:lang w:val="es-MX" w:eastAsia="en-GB"/>
          <w14:ligatures w14:val="standardContextual"/>
        </w:rPr>
      </w:pPr>
    </w:p>
    <w:p w14:paraId="160132D8" w14:textId="77777777" w:rsidR="00725389" w:rsidRPr="00725389" w:rsidRDefault="00725389" w:rsidP="00725389">
      <w:pPr>
        <w:contextualSpacing/>
        <w:jc w:val="both"/>
        <w:rPr>
          <w:rFonts w:ascii="Verdana" w:hAnsi="Verdana" w:cs="Arial"/>
          <w:color w:val="000000"/>
          <w:sz w:val="20"/>
          <w:szCs w:val="20"/>
          <w:lang w:val="es-MX" w:eastAsia="en-GB"/>
          <w14:ligatures w14:val="standardContextual"/>
        </w:rPr>
      </w:pPr>
      <w:r w:rsidRPr="00725389">
        <w:rPr>
          <w:rFonts w:ascii="Verdana" w:hAnsi="Verdana" w:cs="Arial"/>
          <w:color w:val="000000"/>
          <w:sz w:val="20"/>
          <w:szCs w:val="20"/>
          <w:lang w:val="es-MX" w:eastAsia="en-GB"/>
          <w14:ligatures w14:val="standardContextual"/>
        </w:rPr>
        <w:t xml:space="preserve">No existe un límite en el número de bienes, obras o servicios que los proponentes pueden inscribir en el RUP. Las Cámaras de Comercio no pueden limitar la inscripción de los proponentes por no contar con experiencia certificada en el respectivo bien, obra o servicio. </w:t>
      </w:r>
    </w:p>
    <w:p w14:paraId="47085605" w14:textId="77777777" w:rsidR="00725389" w:rsidRPr="00725389" w:rsidRDefault="00725389" w:rsidP="00725389">
      <w:pPr>
        <w:contextualSpacing/>
        <w:jc w:val="both"/>
        <w:rPr>
          <w:rFonts w:ascii="Verdana" w:hAnsi="Verdana" w:cs="Arial"/>
          <w:color w:val="000000"/>
          <w:sz w:val="20"/>
          <w:szCs w:val="20"/>
          <w:lang w:val="es-MX" w:eastAsia="en-GB"/>
          <w14:ligatures w14:val="standardContextual"/>
        </w:rPr>
      </w:pPr>
    </w:p>
    <w:p w14:paraId="36DB7C0A" w14:textId="54EF7C9D" w:rsidR="00CF031F" w:rsidRDefault="00725389" w:rsidP="00725389">
      <w:pPr>
        <w:contextualSpacing/>
        <w:jc w:val="both"/>
        <w:rPr>
          <w:rFonts w:ascii="Verdana" w:hAnsi="Verdana" w:cs="Arial"/>
          <w:color w:val="000000"/>
          <w:sz w:val="20"/>
          <w:szCs w:val="20"/>
          <w:lang w:val="es-MX" w:eastAsia="en-GB"/>
          <w14:ligatures w14:val="standardContextual"/>
        </w:rPr>
      </w:pPr>
      <w:r w:rsidRPr="00725389">
        <w:rPr>
          <w:rFonts w:ascii="Verdana" w:hAnsi="Verdana" w:cs="Arial"/>
          <w:color w:val="000000"/>
          <w:sz w:val="20"/>
          <w:szCs w:val="20"/>
          <w:lang w:val="es-MX" w:eastAsia="en-GB"/>
          <w14:ligatures w14:val="standardContextual"/>
        </w:rPr>
        <w:t>La clasificación del proponente no es un requisito habilitante sino un mecanismo para establecer un lenguaje común entre los partícipes del Sistema de Compra Pública. En consecuencia, las Entidades Estatales no pueden excluir a un proponente que ha acreditado los requisitos habilitantes exigidos en un Proceso de Contratación por no estar inscrito en el RUP con el código de los bienes, obras o servicios del objeto de tal Proceso de Contratación</w:t>
      </w:r>
      <w:r>
        <w:rPr>
          <w:rFonts w:ascii="Verdana" w:hAnsi="Verdana" w:cs="Arial"/>
          <w:color w:val="000000"/>
          <w:sz w:val="20"/>
          <w:szCs w:val="20"/>
          <w:lang w:val="es-MX" w:eastAsia="en-GB"/>
          <w14:ligatures w14:val="standardContextual"/>
        </w:rPr>
        <w:t>.</w:t>
      </w:r>
    </w:p>
    <w:p w14:paraId="69C6905A" w14:textId="77777777" w:rsidR="00D27FC5" w:rsidRDefault="00D27FC5" w:rsidP="00D27FC5">
      <w:pPr>
        <w:contextualSpacing/>
        <w:jc w:val="both"/>
        <w:rPr>
          <w:rFonts w:ascii="Verdana" w:hAnsi="Verdana" w:cs="Arial"/>
          <w:color w:val="000000"/>
          <w:sz w:val="20"/>
          <w:szCs w:val="20"/>
          <w:lang w:val="es-ES_tradnl" w:eastAsia="en-GB"/>
          <w14:ligatures w14:val="standardContextual"/>
        </w:rPr>
      </w:pPr>
    </w:p>
    <w:p w14:paraId="0DB73645" w14:textId="48A9B68E" w:rsidR="00591A6D" w:rsidRDefault="00591A6D" w:rsidP="00D27FC5">
      <w:pPr>
        <w:contextualSpacing/>
        <w:jc w:val="both"/>
        <w:rPr>
          <w:rFonts w:ascii="Verdana" w:eastAsia="Calibri" w:hAnsi="Verdana" w:cs="Arial"/>
          <w:b/>
          <w:lang w:eastAsia="es-MX"/>
          <w14:ligatures w14:val="standardContextual"/>
        </w:rPr>
      </w:pPr>
      <w:r w:rsidRPr="00885F63">
        <w:rPr>
          <w:rFonts w:ascii="Verdana" w:eastAsia="Calibri" w:hAnsi="Verdana" w:cs="Arial"/>
          <w:b/>
          <w:lang w:eastAsia="es-MX"/>
          <w14:ligatures w14:val="standardContextual"/>
        </w:rPr>
        <w:t>CLASIFICADOR DE BIENES Y SERVICIOS DE NACIONES UNIDAS – Función</w:t>
      </w:r>
      <w:r>
        <w:rPr>
          <w:rFonts w:ascii="Verdana" w:eastAsia="Calibri" w:hAnsi="Verdana" w:cs="Arial"/>
          <w:b/>
          <w:lang w:eastAsia="es-MX"/>
          <w14:ligatures w14:val="standardContextual"/>
        </w:rPr>
        <w:t xml:space="preserve"> </w:t>
      </w:r>
      <w:r w:rsidRPr="00885F63">
        <w:rPr>
          <w:rFonts w:ascii="Verdana" w:eastAsia="Calibri" w:hAnsi="Verdana" w:cs="Arial"/>
          <w:b/>
          <w:lang w:eastAsia="es-MX"/>
          <w14:ligatures w14:val="standardContextual"/>
        </w:rPr>
        <w:t>– Noción</w:t>
      </w:r>
    </w:p>
    <w:p w14:paraId="16CA4DD5" w14:textId="77777777" w:rsidR="00591A6D" w:rsidRDefault="00591A6D" w:rsidP="00D27FC5">
      <w:pPr>
        <w:contextualSpacing/>
        <w:jc w:val="both"/>
        <w:rPr>
          <w:rFonts w:ascii="Verdana" w:hAnsi="Verdana" w:cs="Arial"/>
          <w:color w:val="000000"/>
          <w:sz w:val="20"/>
          <w:szCs w:val="20"/>
          <w:lang w:val="es-ES_tradnl" w:eastAsia="en-GB"/>
          <w14:ligatures w14:val="standardContextual"/>
        </w:rPr>
      </w:pPr>
    </w:p>
    <w:p w14:paraId="6640007F" w14:textId="75667915" w:rsidR="00D27FC5" w:rsidRPr="00D27FC5" w:rsidRDefault="00D27FC5" w:rsidP="00D27FC5">
      <w:pPr>
        <w:contextualSpacing/>
        <w:jc w:val="both"/>
        <w:rPr>
          <w:rFonts w:ascii="Verdana" w:hAnsi="Verdana" w:cs="Arial"/>
          <w:color w:val="000000"/>
          <w:sz w:val="20"/>
          <w:szCs w:val="20"/>
          <w:lang w:val="es-ES_tradnl" w:eastAsia="en-GB"/>
          <w14:ligatures w14:val="standardContextual"/>
        </w:rPr>
      </w:pPr>
      <w:r w:rsidRPr="00D27FC5">
        <w:rPr>
          <w:rFonts w:ascii="Verdana" w:hAnsi="Verdana" w:cs="Arial"/>
          <w:color w:val="000000"/>
          <w:sz w:val="20"/>
          <w:szCs w:val="20"/>
          <w:lang w:val="es-ES_tradnl" w:eastAsia="en-GB"/>
          <w14:ligatures w14:val="standardContextual"/>
        </w:rPr>
        <w:t xml:space="preserve">El Clasificador de Bienes y Servicios consta de cinco niveles; no obstante, el último nivel, denominado Función de Negocio, no es muy utilizado. </w:t>
      </w:r>
      <w:proofErr w:type="gramStart"/>
      <w:r w:rsidRPr="00D27FC5">
        <w:rPr>
          <w:rFonts w:ascii="Verdana" w:hAnsi="Verdana" w:cs="Arial"/>
          <w:color w:val="000000"/>
          <w:sz w:val="20"/>
          <w:szCs w:val="20"/>
          <w:lang w:val="es-ES_tradnl" w:eastAsia="en-GB"/>
          <w14:ligatures w14:val="standardContextual"/>
        </w:rPr>
        <w:t>Los niveles jerárquicos a utilizar</w:t>
      </w:r>
      <w:proofErr w:type="gramEnd"/>
      <w:r w:rsidRPr="00D27FC5">
        <w:rPr>
          <w:rFonts w:ascii="Verdana" w:hAnsi="Verdana" w:cs="Arial"/>
          <w:color w:val="000000"/>
          <w:sz w:val="20"/>
          <w:szCs w:val="20"/>
          <w:lang w:val="es-ES_tradnl" w:eastAsia="en-GB"/>
          <w14:ligatures w14:val="standardContextual"/>
        </w:rPr>
        <w:t>, en su orden, son: i) segmento: agregación lógica de familias para propósitos analíticos; ii) familia: un grupo de categorías de productos interrelacionadas; iii) clase: un grupo de productos que comparten características comunes; y iv) producto: un grupo de productos o servicios.</w:t>
      </w:r>
    </w:p>
    <w:p w14:paraId="406004E5" w14:textId="77777777" w:rsidR="00D27FC5" w:rsidRPr="00D27FC5" w:rsidRDefault="00D27FC5" w:rsidP="00D27FC5">
      <w:pPr>
        <w:contextualSpacing/>
        <w:jc w:val="both"/>
        <w:rPr>
          <w:rFonts w:ascii="Verdana" w:hAnsi="Verdana" w:cs="Arial"/>
          <w:color w:val="000000"/>
          <w:sz w:val="20"/>
          <w:szCs w:val="20"/>
          <w:lang w:val="es-ES_tradnl" w:eastAsia="en-GB"/>
          <w14:ligatures w14:val="standardContextual"/>
        </w:rPr>
      </w:pPr>
    </w:p>
    <w:p w14:paraId="3EA8893A" w14:textId="77777777" w:rsidR="00D27FC5" w:rsidRPr="00D27FC5" w:rsidRDefault="00D27FC5" w:rsidP="00FA07F7">
      <w:pPr>
        <w:contextualSpacing/>
        <w:jc w:val="both"/>
        <w:rPr>
          <w:rFonts w:ascii="Verdana" w:hAnsi="Verdana" w:cs="Arial"/>
          <w:color w:val="000000"/>
          <w:sz w:val="20"/>
          <w:szCs w:val="20"/>
          <w:lang w:val="es-ES_tradnl" w:eastAsia="en-GB"/>
          <w14:ligatures w14:val="standardContextual"/>
        </w:rPr>
      </w:pPr>
      <w:r w:rsidRPr="00D27FC5">
        <w:rPr>
          <w:rFonts w:ascii="Verdana" w:hAnsi="Verdana" w:cs="Arial"/>
          <w:color w:val="000000"/>
          <w:sz w:val="20"/>
          <w:szCs w:val="20"/>
          <w:lang w:val="es-ES_tradnl" w:eastAsia="en-GB"/>
          <w14:ligatures w14:val="standardContextual"/>
        </w:rPr>
        <w:lastRenderedPageBreak/>
        <w:t xml:space="preserve">Cada uno de estos niveles jerárquicos tiene distintos dígitos, asociados a los componentes que cada uno cobija y que se combinan con los dígitos de los otros niveles, de donde surge un código de 8 dígitos asociado a un bien o servicio en particular. De esta manera, el segmento determina los dos primeros dígitos, la familia el tercer y cuarto, la clase el quinto y sexto, mientras que el producto los dígitos séptimo y octavo.  Conforme a esto, los niveles jerárquicos van de lo general a lo particular, por lo que para determinar el código que corresponde a un bien o servicio, debe subsumirse este en cada uno de estos niveles partiendo del primero en adelante. De acuerdo con esto, cada bien o servicio está asociado a un código que surge de la subsunción de sus características y condiciones en los diferentes niveles del clasificador. Estos códigos son los que deben incluirse en el RUP para efectos de la experiencia. Estos mismos códigos son los que deben incluir las entidades estatales en los pliegos de condiciones al realizar la descripción del objeto contractual. </w:t>
      </w:r>
    </w:p>
    <w:p w14:paraId="05CECDFB" w14:textId="77777777" w:rsidR="00D27FC5" w:rsidRDefault="00D27FC5" w:rsidP="00725389">
      <w:pPr>
        <w:contextualSpacing/>
        <w:jc w:val="both"/>
        <w:rPr>
          <w:rFonts w:ascii="Verdana" w:hAnsi="Verdana" w:cs="Arial"/>
          <w:color w:val="000000"/>
          <w:sz w:val="20"/>
          <w:szCs w:val="20"/>
          <w:lang w:val="es-MX" w:eastAsia="en-GB"/>
          <w14:ligatures w14:val="standardContextual"/>
        </w:rPr>
      </w:pPr>
    </w:p>
    <w:p w14:paraId="62DD20A7" w14:textId="77777777" w:rsidR="00725389" w:rsidRPr="00885F63" w:rsidRDefault="00725389" w:rsidP="00725389">
      <w:pPr>
        <w:contextualSpacing/>
        <w:jc w:val="both"/>
        <w:rPr>
          <w:rFonts w:ascii="Verdana" w:eastAsia="Calibri" w:hAnsi="Verdana" w:cs="Arial"/>
          <w:sz w:val="20"/>
          <w:szCs w:val="20"/>
        </w:rPr>
      </w:pPr>
    </w:p>
    <w:p w14:paraId="1D326B78" w14:textId="22325908" w:rsidR="00CF031F" w:rsidRPr="00885F63" w:rsidRDefault="00CF031F" w:rsidP="00CF031F">
      <w:pPr>
        <w:tabs>
          <w:tab w:val="left" w:pos="0"/>
        </w:tabs>
        <w:spacing w:before="120" w:after="120" w:line="276" w:lineRule="auto"/>
        <w:contextualSpacing/>
        <w:jc w:val="both"/>
        <w:rPr>
          <w:rFonts w:ascii="Verdana" w:eastAsia="Calibri" w:hAnsi="Verdana" w:cs="Arial"/>
          <w:b/>
          <w:lang w:eastAsia="es-MX"/>
          <w14:ligatures w14:val="standardContextual"/>
        </w:rPr>
      </w:pPr>
      <w:r w:rsidRPr="00885F63">
        <w:rPr>
          <w:rFonts w:ascii="Verdana" w:eastAsia="Calibri" w:hAnsi="Verdana" w:cs="Arial"/>
          <w:b/>
          <w:lang w:eastAsia="es-MX"/>
          <w14:ligatures w14:val="standardContextual"/>
        </w:rPr>
        <w:t xml:space="preserve">CLASIFICADOR DE BIENES Y SERVICIOS DE NACIONES UNIDAS – </w:t>
      </w:r>
      <w:r w:rsidR="00FA07F7">
        <w:rPr>
          <w:rFonts w:ascii="Verdana" w:eastAsia="Calibri" w:hAnsi="Verdana" w:cs="Arial"/>
          <w:b/>
          <w:lang w:eastAsia="es-MX"/>
          <w14:ligatures w14:val="standardContextual"/>
        </w:rPr>
        <w:t>Experiencia</w:t>
      </w:r>
      <w:r w:rsidRPr="00885F63">
        <w:rPr>
          <w:rFonts w:ascii="Verdana" w:eastAsia="Calibri" w:hAnsi="Verdana" w:cs="Arial"/>
          <w:b/>
          <w:lang w:eastAsia="es-MX"/>
          <w14:ligatures w14:val="standardContextual"/>
        </w:rPr>
        <w:t xml:space="preserve"> </w:t>
      </w:r>
    </w:p>
    <w:p w14:paraId="32519A49" w14:textId="77777777" w:rsidR="00CF031F" w:rsidRPr="00885F63" w:rsidRDefault="00CF031F" w:rsidP="00CF031F">
      <w:pPr>
        <w:pStyle w:val="Textoindependiente"/>
        <w:ind w:right="102"/>
        <w:contextualSpacing/>
        <w:jc w:val="both"/>
        <w:rPr>
          <w:rFonts w:ascii="Verdana" w:eastAsia="Calibri" w:hAnsi="Verdana" w:cs="Arial"/>
          <w:sz w:val="20"/>
          <w:szCs w:val="20"/>
        </w:rPr>
      </w:pPr>
    </w:p>
    <w:p w14:paraId="7EA17676" w14:textId="7763D5A5" w:rsidR="00FA07F7" w:rsidRPr="00FA07F7" w:rsidRDefault="00C66CBD" w:rsidP="00C66CBD">
      <w:pPr>
        <w:contextualSpacing/>
        <w:jc w:val="both"/>
        <w:rPr>
          <w:rFonts w:ascii="Verdana" w:hAnsi="Verdana" w:cs="Arial"/>
          <w:color w:val="000000"/>
          <w:sz w:val="20"/>
          <w:szCs w:val="20"/>
          <w:lang w:val="es-ES_tradnl" w:eastAsia="en-GB"/>
          <w14:ligatures w14:val="standardContextual"/>
        </w:rPr>
      </w:pPr>
      <w:r>
        <w:rPr>
          <w:rFonts w:ascii="Verdana" w:hAnsi="Verdana" w:cs="Arial"/>
          <w:color w:val="000000"/>
          <w:sz w:val="20"/>
          <w:szCs w:val="20"/>
          <w:lang w:val="es-ES_tradnl" w:eastAsia="en-GB"/>
          <w14:ligatures w14:val="standardContextual"/>
        </w:rPr>
        <w:t xml:space="preserve">[…] </w:t>
      </w:r>
      <w:r w:rsidR="00FA07F7" w:rsidRPr="00FA07F7">
        <w:rPr>
          <w:rFonts w:ascii="Verdana" w:hAnsi="Verdana" w:cs="Arial"/>
          <w:color w:val="000000"/>
          <w:sz w:val="20"/>
          <w:szCs w:val="20"/>
          <w:lang w:val="es-ES_tradnl" w:eastAsia="en-GB"/>
          <w14:ligatures w14:val="standardContextual"/>
        </w:rPr>
        <w:t>la Circular Externa Única a que se hizo referencia previamente, en relación con el uso del Clasificador de Bienes y Servicios para efectos de acreditar la experiencia en los procedimientos de selección, estableció, en contraste con la “clasificación del proponente”, que:</w:t>
      </w:r>
    </w:p>
    <w:p w14:paraId="134A7D56" w14:textId="77777777" w:rsidR="00FA07F7" w:rsidRPr="00FA07F7" w:rsidRDefault="00FA07F7" w:rsidP="00FA07F7">
      <w:pPr>
        <w:contextualSpacing/>
        <w:jc w:val="both"/>
        <w:rPr>
          <w:rFonts w:ascii="Verdana" w:hAnsi="Verdana" w:cs="Arial"/>
          <w:color w:val="000000"/>
          <w:sz w:val="20"/>
          <w:szCs w:val="20"/>
          <w:lang w:val="es-ES_tradnl" w:eastAsia="en-GB"/>
          <w14:ligatures w14:val="standardContextual"/>
        </w:rPr>
      </w:pPr>
    </w:p>
    <w:p w14:paraId="2BB71872" w14:textId="77777777" w:rsidR="00FA07F7" w:rsidRPr="00FA07F7" w:rsidRDefault="00FA07F7" w:rsidP="00FA07F7">
      <w:pPr>
        <w:contextualSpacing/>
        <w:jc w:val="both"/>
        <w:rPr>
          <w:rFonts w:ascii="Verdana" w:hAnsi="Verdana" w:cs="Arial"/>
          <w:color w:val="000000"/>
          <w:sz w:val="20"/>
          <w:szCs w:val="20"/>
          <w:lang w:val="es-ES_tradnl" w:eastAsia="en-GB"/>
          <w14:ligatures w14:val="standardContextual"/>
        </w:rPr>
      </w:pPr>
      <w:r w:rsidRPr="00FA07F7">
        <w:rPr>
          <w:rFonts w:ascii="Verdana" w:hAnsi="Verdana" w:cs="Arial"/>
          <w:color w:val="000000"/>
          <w:sz w:val="20"/>
          <w:szCs w:val="20"/>
          <w:lang w:val="es-ES_tradnl" w:eastAsia="en-GB"/>
          <w14:ligatures w14:val="standardContextual"/>
        </w:rPr>
        <w:t xml:space="preserve">La experiencia es un requisito habilitante. Los proponentes deben inscribir en el RUP su experiencia usando los códigos del Clasificador de Bienes y Servicios. Por su parte las Entidades Estatales al establecer el requisito habilitante de experiencia deben incluir los códigos específicos del objeto a contratar o el de bienes, obras o servicios afines al Proceso de Contratación respecto de los cuales los proponentes deben acreditar su experiencia. </w:t>
      </w:r>
    </w:p>
    <w:p w14:paraId="38BBAA8A" w14:textId="77777777" w:rsidR="00CF031F" w:rsidRPr="00885F63" w:rsidRDefault="00CF031F" w:rsidP="00CF031F">
      <w:pPr>
        <w:contextualSpacing/>
        <w:jc w:val="both"/>
        <w:rPr>
          <w:rFonts w:ascii="Verdana" w:eastAsia="Calibri" w:hAnsi="Verdana" w:cs="Arial"/>
          <w:sz w:val="20"/>
          <w:szCs w:val="20"/>
        </w:rPr>
      </w:pPr>
    </w:p>
    <w:p w14:paraId="2B8494F5" w14:textId="77777777" w:rsidR="00CF031F" w:rsidRPr="00885F63" w:rsidRDefault="00CF031F" w:rsidP="00CF031F">
      <w:pPr>
        <w:spacing w:after="0" w:line="240" w:lineRule="auto"/>
        <w:rPr>
          <w:rFonts w:ascii="Verdana" w:eastAsia="Geomanist Light" w:hAnsi="Verdana" w:cs="Arial"/>
          <w:color w:val="000000" w:themeColor="text1"/>
          <w:lang w:val="es-MX"/>
        </w:rPr>
      </w:pPr>
    </w:p>
    <w:p w14:paraId="1853524C" w14:textId="77777777" w:rsidR="00CF031F" w:rsidRPr="00885F63" w:rsidRDefault="00CF031F" w:rsidP="00CF031F">
      <w:pPr>
        <w:spacing w:after="0" w:line="240" w:lineRule="auto"/>
        <w:rPr>
          <w:rFonts w:ascii="Verdana" w:eastAsia="Geomanist Light" w:hAnsi="Verdana" w:cs="Arial"/>
          <w:color w:val="000000" w:themeColor="text1"/>
          <w:lang w:val="es-MX"/>
        </w:rPr>
      </w:pPr>
    </w:p>
    <w:p w14:paraId="4F88F889" w14:textId="77777777" w:rsidR="00CF031F" w:rsidRPr="00885F63" w:rsidRDefault="00CF031F" w:rsidP="00CF031F">
      <w:pPr>
        <w:spacing w:after="0" w:line="240" w:lineRule="auto"/>
        <w:rPr>
          <w:rFonts w:ascii="Verdana" w:eastAsia="Geomanist Light" w:hAnsi="Verdana" w:cs="Arial"/>
          <w:color w:val="000000" w:themeColor="text1"/>
          <w:lang w:val="es-MX"/>
        </w:rPr>
      </w:pPr>
    </w:p>
    <w:p w14:paraId="54B3922F" w14:textId="77777777" w:rsidR="00CF031F" w:rsidRPr="00885F63" w:rsidRDefault="00CF031F" w:rsidP="00CF031F">
      <w:pPr>
        <w:spacing w:after="0" w:line="240" w:lineRule="auto"/>
        <w:rPr>
          <w:rFonts w:ascii="Verdana" w:eastAsia="Geomanist Light" w:hAnsi="Verdana" w:cs="Arial"/>
          <w:color w:val="000000" w:themeColor="text1"/>
          <w:lang w:val="es-MX"/>
        </w:rPr>
      </w:pPr>
    </w:p>
    <w:p w14:paraId="07FBFCEE" w14:textId="77777777" w:rsidR="00CF031F" w:rsidRDefault="00CF031F" w:rsidP="00CF031F">
      <w:pPr>
        <w:spacing w:after="0" w:line="240" w:lineRule="auto"/>
        <w:rPr>
          <w:rFonts w:ascii="Verdana" w:eastAsia="Geomanist Light" w:hAnsi="Verdana" w:cs="Arial"/>
          <w:color w:val="000000" w:themeColor="text1"/>
          <w:lang w:val="es-MX"/>
        </w:rPr>
      </w:pPr>
    </w:p>
    <w:p w14:paraId="6922E07E" w14:textId="77777777" w:rsidR="00CF031F" w:rsidRDefault="00CF031F" w:rsidP="00CF031F">
      <w:pPr>
        <w:spacing w:after="0" w:line="240" w:lineRule="auto"/>
        <w:rPr>
          <w:rFonts w:ascii="Verdana" w:eastAsia="Geomanist Light" w:hAnsi="Verdana" w:cs="Arial"/>
          <w:color w:val="000000" w:themeColor="text1"/>
          <w:lang w:val="es-MX"/>
        </w:rPr>
      </w:pPr>
    </w:p>
    <w:p w14:paraId="7A0B3E27" w14:textId="77777777" w:rsidR="00CF031F" w:rsidRDefault="00CF031F" w:rsidP="00CF031F">
      <w:pPr>
        <w:spacing w:after="0" w:line="240" w:lineRule="auto"/>
        <w:rPr>
          <w:rFonts w:ascii="Verdana" w:eastAsia="Geomanist Light" w:hAnsi="Verdana" w:cs="Arial"/>
          <w:color w:val="000000" w:themeColor="text1"/>
          <w:lang w:val="es-MX"/>
        </w:rPr>
      </w:pPr>
    </w:p>
    <w:p w14:paraId="1C5C4C17" w14:textId="77777777" w:rsidR="00CF031F" w:rsidRDefault="00CF031F" w:rsidP="00CF031F">
      <w:pPr>
        <w:spacing w:after="0" w:line="240" w:lineRule="auto"/>
        <w:rPr>
          <w:rFonts w:ascii="Verdana" w:eastAsia="Geomanist Light" w:hAnsi="Verdana" w:cs="Arial"/>
          <w:color w:val="000000" w:themeColor="text1"/>
          <w:lang w:val="es-MX"/>
        </w:rPr>
      </w:pPr>
    </w:p>
    <w:p w14:paraId="1BDFD3D1" w14:textId="77777777" w:rsidR="00CF031F" w:rsidRDefault="00CF031F" w:rsidP="00CF031F">
      <w:pPr>
        <w:spacing w:after="0" w:line="240" w:lineRule="auto"/>
        <w:rPr>
          <w:rFonts w:ascii="Verdana" w:eastAsia="Geomanist Light" w:hAnsi="Verdana" w:cs="Arial"/>
          <w:color w:val="000000" w:themeColor="text1"/>
          <w:lang w:val="es-MX"/>
        </w:rPr>
      </w:pPr>
    </w:p>
    <w:p w14:paraId="7313DD4E" w14:textId="77777777" w:rsidR="00CF031F" w:rsidRDefault="00CF031F" w:rsidP="005E7E12">
      <w:pPr>
        <w:spacing w:after="0" w:line="240" w:lineRule="auto"/>
        <w:rPr>
          <w:rFonts w:ascii="Verdana" w:eastAsia="Geomanist Light" w:hAnsi="Verdana" w:cs="Arial"/>
          <w:color w:val="000000" w:themeColor="text1"/>
          <w:lang w:val="es-MX"/>
        </w:rPr>
      </w:pPr>
    </w:p>
    <w:p w14:paraId="3E583755" w14:textId="77777777" w:rsidR="00C66CBD" w:rsidRDefault="00C66CBD" w:rsidP="005E7E12">
      <w:pPr>
        <w:spacing w:after="0" w:line="240" w:lineRule="auto"/>
        <w:rPr>
          <w:rFonts w:ascii="Verdana" w:eastAsia="Geomanist Light" w:hAnsi="Verdana" w:cs="Arial"/>
          <w:color w:val="000000" w:themeColor="text1"/>
          <w:lang w:val="es-MX"/>
        </w:rPr>
      </w:pPr>
    </w:p>
    <w:p w14:paraId="06248123" w14:textId="77777777" w:rsidR="007E1EB6" w:rsidRDefault="007E1EB6" w:rsidP="005E7E12">
      <w:pPr>
        <w:spacing w:after="0" w:line="240" w:lineRule="auto"/>
        <w:rPr>
          <w:rFonts w:ascii="Verdana" w:eastAsia="Geomanist Light" w:hAnsi="Verdana" w:cs="Arial"/>
          <w:color w:val="000000" w:themeColor="text1"/>
          <w:lang w:val="es-MX"/>
        </w:rPr>
      </w:pPr>
    </w:p>
    <w:p w14:paraId="1D54B488" w14:textId="77777777" w:rsidR="007E1EB6" w:rsidRDefault="007E1EB6" w:rsidP="005E7E12">
      <w:pPr>
        <w:spacing w:after="0" w:line="240" w:lineRule="auto"/>
        <w:rPr>
          <w:rFonts w:ascii="Verdana" w:eastAsia="Geomanist Light" w:hAnsi="Verdana" w:cs="Arial"/>
          <w:color w:val="000000" w:themeColor="text1"/>
          <w:lang w:val="es-MX"/>
        </w:rPr>
      </w:pPr>
    </w:p>
    <w:p w14:paraId="3B6249D8" w14:textId="77777777" w:rsidR="007E1EB6" w:rsidRDefault="007E1EB6" w:rsidP="005E7E12">
      <w:pPr>
        <w:spacing w:after="0" w:line="240" w:lineRule="auto"/>
        <w:rPr>
          <w:rFonts w:ascii="Verdana" w:eastAsia="Geomanist Light" w:hAnsi="Verdana" w:cs="Arial"/>
          <w:color w:val="000000" w:themeColor="text1"/>
          <w:lang w:val="es-MX"/>
        </w:rPr>
      </w:pPr>
    </w:p>
    <w:p w14:paraId="08D4DFB0" w14:textId="292106F0" w:rsidR="005E7E12" w:rsidRPr="00451657" w:rsidRDefault="005E7E12" w:rsidP="005E7E12">
      <w:pPr>
        <w:spacing w:after="0" w:line="240" w:lineRule="auto"/>
        <w:rPr>
          <w:rFonts w:ascii="Verdana" w:eastAsia="Geomanist Light" w:hAnsi="Verdana" w:cs="Arial"/>
          <w:color w:val="201F1E"/>
          <w:lang w:val="es-MX"/>
        </w:rPr>
      </w:pPr>
      <w:r w:rsidRPr="00451657">
        <w:rPr>
          <w:rFonts w:ascii="Verdana" w:eastAsia="Geomanist Light" w:hAnsi="Verdana" w:cs="Arial"/>
          <w:color w:val="000000" w:themeColor="text1"/>
          <w:lang w:val="es-MX"/>
        </w:rPr>
        <w:lastRenderedPageBreak/>
        <w:t>Bogotá D.C., </w:t>
      </w:r>
      <w:r w:rsidR="00660647">
        <w:rPr>
          <w:rFonts w:ascii="Verdana" w:eastAsia="Geomanist Light" w:hAnsi="Verdana" w:cs="Arial"/>
          <w:color w:val="201F1E"/>
          <w:lang w:val="es-MX"/>
        </w:rPr>
        <w:t>15 de octubre de 2024</w:t>
      </w:r>
    </w:p>
    <w:p w14:paraId="69962027" w14:textId="4BFEF94C" w:rsidR="005E7E12" w:rsidRPr="00451657" w:rsidRDefault="00F72B41" w:rsidP="005E7E12">
      <w:pPr>
        <w:spacing w:after="0" w:line="240" w:lineRule="auto"/>
        <w:jc w:val="both"/>
        <w:rPr>
          <w:rFonts w:ascii="Verdana" w:eastAsia="Calibri" w:hAnsi="Verdana" w:cs="Arial"/>
          <w:color w:val="000000"/>
          <w:lang w:val="es-ES"/>
        </w:rPr>
      </w:pPr>
      <w:r w:rsidRPr="00F72B41">
        <w:rPr>
          <w:rFonts w:ascii="Verdana" w:eastAsia="Calibri" w:hAnsi="Verdana" w:cs="Arial"/>
          <w:b/>
          <w:noProof/>
          <w:lang w:eastAsia="es-ES_tradnl"/>
        </w:rPr>
        <w:drawing>
          <wp:anchor distT="0" distB="0" distL="114300" distR="114300" simplePos="0" relativeHeight="251658240" behindDoc="0" locked="0" layoutInCell="1" allowOverlap="1" wp14:anchorId="27CC0788" wp14:editId="0FAEC1D0">
            <wp:simplePos x="0" y="0"/>
            <wp:positionH relativeFrom="margin">
              <wp:align>right</wp:align>
            </wp:positionH>
            <wp:positionV relativeFrom="paragraph">
              <wp:posOffset>11430</wp:posOffset>
            </wp:positionV>
            <wp:extent cx="3248025" cy="923925"/>
            <wp:effectExtent l="0" t="0" r="9525" b="9525"/>
            <wp:wrapNone/>
            <wp:docPr id="6242986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8617" name=""/>
                    <pic:cNvPicPr/>
                  </pic:nvPicPr>
                  <pic:blipFill>
                    <a:blip r:embed="rId10">
                      <a:extLst>
                        <a:ext uri="{28A0092B-C50C-407E-A947-70E740481C1C}">
                          <a14:useLocalDpi xmlns:a14="http://schemas.microsoft.com/office/drawing/2010/main" val="0"/>
                        </a:ext>
                      </a:extLst>
                    </a:blip>
                    <a:stretch>
                      <a:fillRect/>
                    </a:stretch>
                  </pic:blipFill>
                  <pic:spPr>
                    <a:xfrm>
                      <a:off x="0" y="0"/>
                      <a:ext cx="3248025" cy="923925"/>
                    </a:xfrm>
                    <a:prstGeom prst="rect">
                      <a:avLst/>
                    </a:prstGeom>
                  </pic:spPr>
                </pic:pic>
              </a:graphicData>
            </a:graphic>
          </wp:anchor>
        </w:drawing>
      </w:r>
    </w:p>
    <w:p w14:paraId="3F5C615E" w14:textId="7654E544" w:rsidR="005E7E12" w:rsidRPr="00451657" w:rsidRDefault="005E7E12" w:rsidP="005E7E12">
      <w:pPr>
        <w:spacing w:after="0" w:line="240" w:lineRule="auto"/>
        <w:jc w:val="both"/>
        <w:rPr>
          <w:rFonts w:ascii="Verdana" w:eastAsia="Calibri" w:hAnsi="Verdana" w:cs="Arial"/>
          <w:lang w:val="es-ES" w:eastAsia="es-ES"/>
        </w:rPr>
      </w:pPr>
      <w:r w:rsidRPr="00451657">
        <w:rPr>
          <w:rFonts w:ascii="Verdana" w:eastAsia="Calibri" w:hAnsi="Verdana" w:cs="Arial"/>
          <w:lang w:val="es-ES" w:eastAsia="es-ES"/>
        </w:rPr>
        <w:t>Señor</w:t>
      </w:r>
    </w:p>
    <w:p w14:paraId="56102DE3" w14:textId="1326A119" w:rsidR="005E7E12" w:rsidRPr="00451657" w:rsidRDefault="005E7E12" w:rsidP="005E7E12">
      <w:pPr>
        <w:spacing w:after="0" w:line="240" w:lineRule="auto"/>
        <w:rPr>
          <w:rFonts w:ascii="Verdana" w:eastAsia="Calibri" w:hAnsi="Verdana" w:cs="Arial"/>
          <w:b/>
          <w:lang w:val="es-ES_tradnl" w:eastAsia="es-ES_tradnl"/>
        </w:rPr>
      </w:pPr>
      <w:r w:rsidRPr="00451657">
        <w:rPr>
          <w:rFonts w:ascii="Verdana" w:eastAsia="Calibri" w:hAnsi="Verdana" w:cs="Arial"/>
          <w:b/>
          <w:lang w:eastAsia="es-ES_tradnl"/>
        </w:rPr>
        <w:t xml:space="preserve">Johnathan Cotacio </w:t>
      </w:r>
    </w:p>
    <w:p w14:paraId="45BD3608" w14:textId="77777777" w:rsidR="005E7E12" w:rsidRPr="00451657" w:rsidRDefault="005E7E12" w:rsidP="005E7E12">
      <w:pPr>
        <w:spacing w:after="0" w:line="240" w:lineRule="auto"/>
        <w:rPr>
          <w:rFonts w:ascii="Verdana" w:eastAsia="Calibri" w:hAnsi="Verdana" w:cs="Arial"/>
          <w:color w:val="4472C4" w:themeColor="accent1"/>
          <w:lang w:val="es-ES" w:eastAsia="es-ES"/>
        </w:rPr>
      </w:pPr>
      <w:hyperlink r:id="rId11" w:history="1">
        <w:r w:rsidRPr="00451657">
          <w:rPr>
            <w:rStyle w:val="Hipervnculo"/>
            <w:rFonts w:ascii="Verdana" w:eastAsia="Calibri" w:hAnsi="Verdana" w:cs="Arial"/>
            <w:color w:val="4472C4" w:themeColor="accent1"/>
            <w:lang w:val="es-ES" w:eastAsia="es-ES"/>
          </w:rPr>
          <w:t>johnathancotacio@gmail.com</w:t>
        </w:r>
      </w:hyperlink>
      <w:r w:rsidRPr="00451657">
        <w:rPr>
          <w:rFonts w:ascii="Verdana" w:eastAsia="Calibri" w:hAnsi="Verdana" w:cs="Arial"/>
          <w:color w:val="4472C4" w:themeColor="accent1"/>
          <w:lang w:val="es-ES" w:eastAsia="es-ES"/>
        </w:rPr>
        <w:t xml:space="preserve"> </w:t>
      </w:r>
    </w:p>
    <w:p w14:paraId="06CE9F36" w14:textId="77777777" w:rsidR="005E7E12" w:rsidRPr="00451657" w:rsidRDefault="005E7E12" w:rsidP="005E7E12">
      <w:pPr>
        <w:spacing w:after="0" w:line="240" w:lineRule="auto"/>
        <w:rPr>
          <w:rFonts w:ascii="Verdana" w:eastAsia="Calibri" w:hAnsi="Verdana" w:cs="Arial"/>
          <w:b/>
          <w:bCs/>
          <w:lang w:val="es-ES" w:eastAsia="es-ES"/>
        </w:rPr>
      </w:pPr>
      <w:r w:rsidRPr="00451657">
        <w:rPr>
          <w:rFonts w:ascii="Verdana" w:eastAsia="Calibri" w:hAnsi="Verdana" w:cs="Arial"/>
          <w:lang w:val="es-ES" w:eastAsia="es-ES"/>
        </w:rPr>
        <w:t>Florencia, Caquetá</w:t>
      </w:r>
    </w:p>
    <w:p w14:paraId="3FBE86FA" w14:textId="77777777" w:rsidR="005E7E12" w:rsidRPr="00451657" w:rsidRDefault="005E7E12" w:rsidP="005E7E12">
      <w:pPr>
        <w:spacing w:after="0" w:line="240" w:lineRule="auto"/>
        <w:rPr>
          <w:rFonts w:ascii="Verdana" w:eastAsia="Calibri" w:hAnsi="Verdana" w:cs="Arial"/>
          <w:b/>
          <w:bCs/>
          <w:lang w:val="es-ES_tradnl" w:eastAsia="es-ES_tradnl"/>
        </w:rPr>
      </w:pPr>
    </w:p>
    <w:p w14:paraId="0B4CECAE" w14:textId="77777777" w:rsidR="005E7E12" w:rsidRPr="00451657" w:rsidRDefault="005E7E12" w:rsidP="005E7E12">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E7E12" w:rsidRPr="00451657" w14:paraId="6F620C3C" w14:textId="77777777" w:rsidTr="002B0C8C">
        <w:trPr>
          <w:trHeight w:val="884"/>
        </w:trPr>
        <w:tc>
          <w:tcPr>
            <w:tcW w:w="2689" w:type="dxa"/>
          </w:tcPr>
          <w:p w14:paraId="21208A1B" w14:textId="77777777" w:rsidR="005E7E12" w:rsidRPr="00451657" w:rsidRDefault="005E7E12" w:rsidP="002B0C8C">
            <w:pPr>
              <w:jc w:val="both"/>
              <w:rPr>
                <w:rFonts w:ascii="Verdana" w:eastAsia="Calibri" w:hAnsi="Verdana" w:cs="Arial"/>
                <w:b/>
                <w:bCs/>
                <w:lang w:val="es-ES_tradnl" w:eastAsia="es-ES_tradnl"/>
              </w:rPr>
            </w:pPr>
          </w:p>
        </w:tc>
        <w:tc>
          <w:tcPr>
            <w:tcW w:w="6100" w:type="dxa"/>
          </w:tcPr>
          <w:p w14:paraId="785EFECE" w14:textId="77777777" w:rsidR="005E7E12" w:rsidRPr="00451657" w:rsidRDefault="005E7E12" w:rsidP="002B0C8C">
            <w:pPr>
              <w:jc w:val="both"/>
              <w:rPr>
                <w:rFonts w:ascii="Verdana" w:eastAsia="Calibri" w:hAnsi="Verdana" w:cs="Arial"/>
                <w:b/>
                <w:bCs/>
                <w:lang w:val="es-ES" w:eastAsia="es-ES"/>
              </w:rPr>
            </w:pPr>
            <w:r w:rsidRPr="00451657">
              <w:rPr>
                <w:rFonts w:ascii="Verdana" w:eastAsia="Calibri" w:hAnsi="Verdana" w:cs="Arial"/>
                <w:b/>
                <w:bCs/>
                <w:lang w:val="es-ES" w:eastAsia="es-ES"/>
              </w:rPr>
              <w:t>Concepto C-547 de 2024</w:t>
            </w:r>
          </w:p>
        </w:tc>
      </w:tr>
      <w:tr w:rsidR="005E7E12" w:rsidRPr="00451657" w14:paraId="7EEB84C3" w14:textId="77777777" w:rsidTr="002B0C8C">
        <w:trPr>
          <w:trHeight w:val="884"/>
        </w:trPr>
        <w:tc>
          <w:tcPr>
            <w:tcW w:w="2689" w:type="dxa"/>
          </w:tcPr>
          <w:p w14:paraId="1F7C4D1D" w14:textId="77777777" w:rsidR="005E7E12" w:rsidRPr="00451657" w:rsidRDefault="005E7E12" w:rsidP="002B0C8C">
            <w:pPr>
              <w:jc w:val="both"/>
              <w:rPr>
                <w:rFonts w:ascii="Verdana" w:eastAsia="Calibri" w:hAnsi="Verdana" w:cs="Arial"/>
                <w:lang w:val="es-ES_tradnl" w:eastAsia="es-ES_tradnl"/>
              </w:rPr>
            </w:pPr>
            <w:r w:rsidRPr="00451657">
              <w:rPr>
                <w:rFonts w:ascii="Verdana" w:eastAsia="Calibri" w:hAnsi="Verdana" w:cs="Arial"/>
                <w:b/>
                <w:lang w:val="es-ES_tradnl" w:eastAsia="es-ES_tradnl"/>
              </w:rPr>
              <w:t>Temas:</w:t>
            </w:r>
            <w:r w:rsidRPr="00451657">
              <w:rPr>
                <w:rFonts w:ascii="Verdana" w:eastAsia="Calibri" w:hAnsi="Verdana" w:cs="Arial"/>
                <w:lang w:val="es-ES_tradnl" w:eastAsia="es-ES_tradnl"/>
              </w:rPr>
              <w:t xml:space="preserve">                   </w:t>
            </w:r>
          </w:p>
        </w:tc>
        <w:tc>
          <w:tcPr>
            <w:tcW w:w="6100" w:type="dxa"/>
          </w:tcPr>
          <w:p w14:paraId="7EA719FD" w14:textId="42D03F4F" w:rsidR="005E7E12" w:rsidRPr="00451657" w:rsidRDefault="005E7E12" w:rsidP="002B0C8C">
            <w:pPr>
              <w:spacing w:line="276" w:lineRule="auto"/>
              <w:jc w:val="both"/>
              <w:rPr>
                <w:rFonts w:ascii="Verdana" w:eastAsia="Calibri" w:hAnsi="Verdana" w:cs="Arial"/>
                <w:lang w:val="es-ES" w:eastAsia="es-ES"/>
              </w:rPr>
            </w:pPr>
            <w:r w:rsidRPr="00451657">
              <w:rPr>
                <w:rFonts w:ascii="Verdana" w:eastAsia="Calibri" w:hAnsi="Verdana" w:cs="Arial"/>
                <w:lang w:val="es-ES" w:eastAsia="es-ES"/>
              </w:rPr>
              <w:t xml:space="preserve">CAPACIDAD RESIDUAL – Cálculo / REGISTRO ÚNICO DE PROPONENTES – Finalidad / REGISTRO ÚNICO DE PROPONENTES – Modalidad de selección – Excepción / CLASIFICADOR DE BIENES Y SERVICIOS DE NACIONES UNIDAS – Función / CLASIFICADOR DE BIENES Y SERVICIOS DE NACIONES UNIDAS – Noción / CLASIFICADOR DE BIENES Y SERVICIOS DE NACIONES UNIDAS – Normativa / CLASIFICADOR DE BIENES Y SERVICIOS DE NACIONES UNIDAS – Niveles – Uso </w:t>
            </w:r>
          </w:p>
          <w:p w14:paraId="6B9CF18C" w14:textId="77777777" w:rsidR="005E7E12" w:rsidRPr="00451657" w:rsidRDefault="005E7E12" w:rsidP="002B0C8C">
            <w:pPr>
              <w:spacing w:line="276" w:lineRule="auto"/>
              <w:jc w:val="both"/>
              <w:rPr>
                <w:rFonts w:ascii="Verdana" w:eastAsia="Calibri" w:hAnsi="Verdana" w:cs="Arial"/>
                <w:lang w:val="es-ES" w:eastAsia="es-ES"/>
              </w:rPr>
            </w:pPr>
          </w:p>
        </w:tc>
      </w:tr>
      <w:tr w:rsidR="005E7E12" w:rsidRPr="00451657" w14:paraId="156EE4C1" w14:textId="77777777" w:rsidTr="002B0C8C">
        <w:tc>
          <w:tcPr>
            <w:tcW w:w="2689" w:type="dxa"/>
          </w:tcPr>
          <w:p w14:paraId="2C512540" w14:textId="77777777" w:rsidR="005E7E12" w:rsidRPr="00451657" w:rsidRDefault="005E7E12" w:rsidP="002B0C8C">
            <w:pPr>
              <w:jc w:val="both"/>
              <w:rPr>
                <w:rFonts w:ascii="Verdana" w:eastAsia="Calibri" w:hAnsi="Verdana" w:cs="Arial"/>
                <w:b/>
                <w:lang w:val="es-ES_tradnl" w:eastAsia="es-ES_tradnl"/>
              </w:rPr>
            </w:pPr>
            <w:r w:rsidRPr="00451657">
              <w:rPr>
                <w:rFonts w:ascii="Verdana" w:eastAsia="Calibri" w:hAnsi="Verdana" w:cs="Arial"/>
                <w:b/>
                <w:lang w:val="es-ES_tradnl" w:eastAsia="es-ES_tradnl"/>
              </w:rPr>
              <w:t>Radicación:</w:t>
            </w:r>
            <w:r w:rsidRPr="00451657">
              <w:rPr>
                <w:rFonts w:ascii="Verdana" w:eastAsia="Calibri" w:hAnsi="Verdana" w:cs="Arial"/>
                <w:lang w:val="es-ES_tradnl" w:eastAsia="es-ES_tradnl"/>
              </w:rPr>
              <w:t xml:space="preserve">               </w:t>
            </w:r>
          </w:p>
        </w:tc>
        <w:tc>
          <w:tcPr>
            <w:tcW w:w="6100" w:type="dxa"/>
          </w:tcPr>
          <w:p w14:paraId="400EDE31" w14:textId="77777777" w:rsidR="005E7E12" w:rsidRPr="00451657" w:rsidRDefault="005E7E12" w:rsidP="002B0C8C">
            <w:pPr>
              <w:jc w:val="both"/>
              <w:rPr>
                <w:rFonts w:ascii="Verdana" w:eastAsia="Calibri" w:hAnsi="Verdana" w:cs="Arial"/>
                <w:lang w:val="es-ES_tradnl" w:eastAsia="es-ES_tradnl"/>
              </w:rPr>
            </w:pPr>
            <w:r w:rsidRPr="00451657">
              <w:rPr>
                <w:rFonts w:ascii="Verdana" w:eastAsia="Calibri" w:hAnsi="Verdana" w:cs="Arial"/>
                <w:lang w:val="es-ES_tradnl" w:eastAsia="es-ES_tradnl"/>
              </w:rPr>
              <w:t>Respuesta a consulta con radicado No. P20240902008879</w:t>
            </w:r>
          </w:p>
        </w:tc>
      </w:tr>
    </w:tbl>
    <w:p w14:paraId="5A4A899E" w14:textId="77777777" w:rsidR="005E7E12" w:rsidRPr="00451657" w:rsidRDefault="005E7E12" w:rsidP="005E7E12">
      <w:pPr>
        <w:spacing w:after="0" w:line="240" w:lineRule="auto"/>
        <w:jc w:val="both"/>
        <w:rPr>
          <w:rFonts w:ascii="Verdana" w:eastAsia="Calibri" w:hAnsi="Verdana" w:cs="Arial"/>
          <w:lang w:val="es-ES_tradnl" w:eastAsia="es-ES_tradnl"/>
        </w:rPr>
      </w:pPr>
    </w:p>
    <w:p w14:paraId="788E5381" w14:textId="77777777" w:rsidR="005E7E12" w:rsidRPr="00451657" w:rsidRDefault="005E7E12" w:rsidP="005E7E12">
      <w:pPr>
        <w:spacing w:after="0" w:line="240" w:lineRule="auto"/>
        <w:jc w:val="both"/>
        <w:rPr>
          <w:rFonts w:ascii="Verdana" w:eastAsia="Calibri" w:hAnsi="Verdana" w:cs="Arial"/>
          <w:lang w:val="es-ES_tradnl" w:eastAsia="es-ES_tradnl"/>
        </w:rPr>
      </w:pPr>
    </w:p>
    <w:p w14:paraId="0726654B" w14:textId="77777777" w:rsidR="005E7E12" w:rsidRPr="00451657" w:rsidRDefault="005E7E12" w:rsidP="005E7E12">
      <w:pPr>
        <w:spacing w:after="0" w:line="276" w:lineRule="auto"/>
        <w:jc w:val="both"/>
        <w:rPr>
          <w:rFonts w:ascii="Verdana" w:eastAsia="Calibri" w:hAnsi="Verdana" w:cs="Arial"/>
          <w:lang w:val="es-ES" w:eastAsia="es-ES"/>
        </w:rPr>
      </w:pPr>
      <w:r w:rsidRPr="00451657">
        <w:rPr>
          <w:rFonts w:ascii="Verdana" w:eastAsia="Calibri" w:hAnsi="Verdana" w:cs="Arial"/>
          <w:lang w:val="es-ES" w:eastAsia="es-ES"/>
        </w:rPr>
        <w:t xml:space="preserve">Estimado señor Cotacio: </w:t>
      </w:r>
    </w:p>
    <w:p w14:paraId="6708913C" w14:textId="77777777" w:rsidR="005E7E12" w:rsidRPr="00451657" w:rsidRDefault="005E7E12" w:rsidP="005E7E12">
      <w:pPr>
        <w:tabs>
          <w:tab w:val="left" w:pos="3768"/>
        </w:tabs>
        <w:spacing w:after="0" w:line="276" w:lineRule="auto"/>
        <w:jc w:val="both"/>
        <w:rPr>
          <w:rFonts w:ascii="Verdana" w:eastAsia="Calibri" w:hAnsi="Verdana" w:cs="Arial"/>
          <w:lang w:val="es-ES" w:eastAsia="es-ES"/>
        </w:rPr>
      </w:pPr>
      <w:r w:rsidRPr="00451657">
        <w:rPr>
          <w:rFonts w:ascii="Verdana" w:eastAsia="Calibri" w:hAnsi="Verdana" w:cs="Arial"/>
          <w:lang w:val="es-ES" w:eastAsia="es-ES"/>
        </w:rPr>
        <w:tab/>
      </w:r>
    </w:p>
    <w:p w14:paraId="4EB8A454" w14:textId="77777777" w:rsidR="005E7E12" w:rsidRPr="00451657" w:rsidRDefault="005E7E12" w:rsidP="005E7E12">
      <w:pPr>
        <w:spacing w:after="0" w:line="276" w:lineRule="auto"/>
        <w:jc w:val="both"/>
        <w:rPr>
          <w:rFonts w:ascii="Verdana" w:eastAsia="Calibri" w:hAnsi="Verdana" w:cs="Arial"/>
          <w:lang w:val="es-ES" w:eastAsia="es-ES"/>
        </w:rPr>
      </w:pPr>
      <w:r w:rsidRPr="00451657">
        <w:rPr>
          <w:rFonts w:ascii="Verdana" w:eastAsia="Calibri" w:hAnsi="Verdana" w:cs="Arial"/>
          <w:lang w:val="es-ES" w:eastAsia="es-ES"/>
        </w:rPr>
        <w:t>En ejercicio de la competencia otorgada por los artículos 3, numeral 5º, y 11, numeral 8º, del Decreto Ley 4170 de 2011,</w:t>
      </w:r>
      <w:r w:rsidRPr="00451657">
        <w:rPr>
          <w:rFonts w:ascii="Verdana" w:eastAsia="Arial MT" w:hAnsi="Verdana" w:cs="Arial MT"/>
          <w:lang w:val="es-ES" w:eastAsia="es-ES"/>
        </w:rPr>
        <w:t xml:space="preserve"> </w:t>
      </w:r>
      <w:r w:rsidRPr="00451657">
        <w:rPr>
          <w:rFonts w:ascii="Verdana" w:hAnsi="Verdana" w:cs="Arial"/>
        </w:rPr>
        <w:t xml:space="preserve">así como lo establecido en el artículo 4 de la Resolución 1707 de 2018 expedida por esta Entidad, </w:t>
      </w:r>
      <w:r w:rsidRPr="00451657">
        <w:rPr>
          <w:rFonts w:ascii="Verdana" w:eastAsia="Calibri" w:hAnsi="Verdana" w:cs="Arial"/>
          <w:lang w:val="es-ES" w:eastAsia="es-ES"/>
        </w:rPr>
        <w:t xml:space="preserve">la Agencia Nacional de Contratación Pública – Colombia Compra Eficiente– responde su solicitud de consulta de fecha 2 de septiembre de 2024, en la cual manifiesta lo siguiente: </w:t>
      </w:r>
    </w:p>
    <w:p w14:paraId="1C851C2F" w14:textId="77777777" w:rsidR="005E7E12" w:rsidRPr="00451657" w:rsidRDefault="005E7E12" w:rsidP="005E7E12">
      <w:pPr>
        <w:pStyle w:val="Prrafodelista"/>
        <w:tabs>
          <w:tab w:val="left" w:pos="142"/>
          <w:tab w:val="left" w:pos="284"/>
        </w:tabs>
        <w:spacing w:line="276" w:lineRule="auto"/>
        <w:ind w:left="0"/>
        <w:jc w:val="both"/>
        <w:rPr>
          <w:rFonts w:ascii="Verdana" w:eastAsia="Century Gothic" w:hAnsi="Verdana" w:cs="Century Gothic"/>
          <w:b/>
          <w:bCs/>
        </w:rPr>
      </w:pPr>
    </w:p>
    <w:p w14:paraId="3996FF9B" w14:textId="77777777" w:rsidR="005E7E12" w:rsidRPr="00451657" w:rsidRDefault="005E7E12" w:rsidP="005E7E12">
      <w:pPr>
        <w:spacing w:after="0" w:line="240" w:lineRule="auto"/>
        <w:ind w:left="709" w:right="709"/>
        <w:jc w:val="both"/>
        <w:rPr>
          <w:rFonts w:ascii="Verdana" w:hAnsi="Verdana"/>
          <w:sz w:val="20"/>
          <w:szCs w:val="20"/>
        </w:rPr>
      </w:pPr>
      <w:bookmarkStart w:id="0" w:name="_Hlk95313578"/>
      <w:r w:rsidRPr="00451657">
        <w:rPr>
          <w:rFonts w:ascii="Verdana" w:eastAsia="Century Gothic" w:hAnsi="Verdana" w:cs="Century Gothic"/>
          <w:sz w:val="20"/>
          <w:szCs w:val="20"/>
          <w:lang w:val="es-ES"/>
        </w:rPr>
        <w:t>“</w:t>
      </w:r>
      <w:r w:rsidRPr="00451657">
        <w:rPr>
          <w:rFonts w:ascii="Verdana" w:hAnsi="Verdana"/>
          <w:sz w:val="20"/>
          <w:szCs w:val="20"/>
        </w:rPr>
        <w:t>La guía para determinar y verificar la capacidad residual del proponente en los procesos de contratación de obra pública, establece que para realizar el cálculo de la Experiencia (E) del oferente para propósitos de la Capacidad Residual, esta debe ser acreditada por medio de la relación entre:</w:t>
      </w:r>
    </w:p>
    <w:p w14:paraId="70D8B08D" w14:textId="77777777" w:rsidR="005E7E12" w:rsidRPr="00451657" w:rsidRDefault="005E7E12" w:rsidP="005E7E12">
      <w:pPr>
        <w:pStyle w:val="Prrafodelista"/>
        <w:spacing w:after="0" w:line="240" w:lineRule="auto"/>
        <w:ind w:left="709" w:right="709"/>
        <w:jc w:val="both"/>
        <w:rPr>
          <w:rFonts w:ascii="Verdana" w:hAnsi="Verdana"/>
          <w:sz w:val="20"/>
          <w:szCs w:val="20"/>
        </w:rPr>
      </w:pPr>
    </w:p>
    <w:p w14:paraId="43FA09DB" w14:textId="77777777" w:rsidR="005E7E12" w:rsidRPr="00451657" w:rsidRDefault="005E7E12" w:rsidP="005E7E12">
      <w:pPr>
        <w:pStyle w:val="Prrafodelista"/>
        <w:numPr>
          <w:ilvl w:val="0"/>
          <w:numId w:val="19"/>
        </w:numPr>
        <w:spacing w:after="0" w:line="240" w:lineRule="auto"/>
        <w:ind w:left="709" w:right="709"/>
        <w:jc w:val="both"/>
        <w:rPr>
          <w:rFonts w:ascii="Verdana" w:hAnsi="Verdana"/>
          <w:sz w:val="20"/>
          <w:szCs w:val="20"/>
        </w:rPr>
      </w:pPr>
      <w:r w:rsidRPr="00451657">
        <w:rPr>
          <w:rFonts w:ascii="Verdana" w:hAnsi="Verdana"/>
          <w:sz w:val="20"/>
          <w:szCs w:val="20"/>
        </w:rPr>
        <w:t xml:space="preserve">El valor total en pesos de los contratos relacionados con la actividad de la construcción inscritos por el proponente en el RUP en el segmento 72 </w:t>
      </w:r>
      <w:r w:rsidRPr="00451657">
        <w:rPr>
          <w:rFonts w:ascii="Verdana" w:hAnsi="Verdana"/>
          <w:sz w:val="20"/>
          <w:szCs w:val="20"/>
        </w:rPr>
        <w:lastRenderedPageBreak/>
        <w:t>“Servicios de edificación, Construcción de Instalaciones y Mantenimiento” del Clasificador de Bienes y Servicios de las Naciones Unidas (UNSPSC).</w:t>
      </w:r>
    </w:p>
    <w:p w14:paraId="6A59017B" w14:textId="77777777" w:rsidR="005E7E12" w:rsidRPr="00451657" w:rsidRDefault="005E7E12" w:rsidP="005E7E12">
      <w:pPr>
        <w:spacing w:after="0" w:line="240" w:lineRule="auto"/>
        <w:ind w:left="709" w:right="709"/>
        <w:jc w:val="both"/>
        <w:rPr>
          <w:rFonts w:ascii="Verdana" w:hAnsi="Verdana"/>
          <w:sz w:val="20"/>
          <w:szCs w:val="20"/>
        </w:rPr>
      </w:pPr>
    </w:p>
    <w:p w14:paraId="739AAD3D" w14:textId="77777777" w:rsidR="005E7E12" w:rsidRPr="00451657" w:rsidRDefault="005E7E12" w:rsidP="005E7E12">
      <w:pPr>
        <w:spacing w:after="0" w:line="240" w:lineRule="auto"/>
        <w:ind w:left="709" w:right="709"/>
        <w:jc w:val="both"/>
        <w:rPr>
          <w:rFonts w:ascii="Verdana" w:hAnsi="Verdana"/>
          <w:sz w:val="20"/>
          <w:szCs w:val="20"/>
        </w:rPr>
      </w:pPr>
      <w:r w:rsidRPr="00451657">
        <w:rPr>
          <w:rFonts w:ascii="Verdana" w:hAnsi="Verdana"/>
          <w:sz w:val="20"/>
          <w:szCs w:val="20"/>
        </w:rPr>
        <w:t>Algunas entidades estatales establecen un formato para acreditar el factor de Experiencia (E), en donde se debe diligenciar el objeto del contrato registrado en el segmento 72, evidenciando que algunos oferentes inscriben contratos de suministros, consultorías y servicios que nada tiene que ver con “Servicios de edificación, Construcción de Instalaciones y Mantenimiento” registrándolos bajo el segmento 72.</w:t>
      </w:r>
    </w:p>
    <w:p w14:paraId="0FF4EA09" w14:textId="77777777" w:rsidR="005E7E12" w:rsidRPr="00451657" w:rsidRDefault="005E7E12" w:rsidP="005E7E12">
      <w:pPr>
        <w:spacing w:after="0" w:line="240" w:lineRule="auto"/>
        <w:ind w:left="709" w:right="709"/>
        <w:jc w:val="both"/>
        <w:rPr>
          <w:rFonts w:ascii="Verdana" w:hAnsi="Verdana"/>
          <w:sz w:val="20"/>
          <w:szCs w:val="20"/>
        </w:rPr>
      </w:pPr>
    </w:p>
    <w:p w14:paraId="41C30BE6" w14:textId="77777777" w:rsidR="005E7E12" w:rsidRPr="00451657" w:rsidRDefault="005E7E12" w:rsidP="005E7E12">
      <w:pPr>
        <w:spacing w:after="0" w:line="240" w:lineRule="auto"/>
        <w:ind w:left="709" w:right="709"/>
        <w:jc w:val="both"/>
        <w:rPr>
          <w:rFonts w:ascii="Verdana" w:hAnsi="Verdana"/>
          <w:sz w:val="20"/>
          <w:szCs w:val="20"/>
        </w:rPr>
      </w:pPr>
      <w:r w:rsidRPr="00451657">
        <w:rPr>
          <w:rFonts w:ascii="Verdana" w:hAnsi="Verdana"/>
          <w:sz w:val="20"/>
          <w:szCs w:val="20"/>
        </w:rPr>
        <w:t>La pregunta consiste en lo siguiente: ¿Pueden los oferentes inscribir en el RUP, contratos de suministros, consultorías y servicios que nada tiene que ver con “</w:t>
      </w:r>
      <w:proofErr w:type="gramStart"/>
      <w:r w:rsidRPr="00451657">
        <w:rPr>
          <w:rFonts w:ascii="Verdana" w:hAnsi="Verdana"/>
          <w:sz w:val="20"/>
          <w:szCs w:val="20"/>
        </w:rPr>
        <w:t>Servicios de edificación, Construcción de Instalaciones y Mantenimiento”, registrándolos en el segmento 72 y hacerlos valer para acreditar el factor de Experiencia (E) y de esta manera cumplir con la capacidad residual de contratación?</w:t>
      </w:r>
      <w:proofErr w:type="gramEnd"/>
      <w:r w:rsidRPr="00451657">
        <w:rPr>
          <w:rFonts w:ascii="Verdana" w:eastAsia="Century Gothic" w:hAnsi="Verdana" w:cs="Century Gothic"/>
          <w:sz w:val="20"/>
          <w:szCs w:val="20"/>
          <w:lang w:val="es-ES"/>
        </w:rPr>
        <w:t>”</w:t>
      </w:r>
      <w:bookmarkEnd w:id="0"/>
      <w:r w:rsidRPr="00451657">
        <w:rPr>
          <w:rFonts w:ascii="Verdana" w:eastAsia="Century Gothic" w:hAnsi="Verdana" w:cs="Century Gothic"/>
          <w:sz w:val="20"/>
          <w:szCs w:val="20"/>
          <w:lang w:val="es-ES"/>
        </w:rPr>
        <w:t>.</w:t>
      </w:r>
    </w:p>
    <w:p w14:paraId="72AC4BF8" w14:textId="77777777" w:rsidR="005E7E12" w:rsidRPr="00451657" w:rsidRDefault="005E7E12" w:rsidP="005E7E12">
      <w:pPr>
        <w:pStyle w:val="Prrafodelista"/>
        <w:tabs>
          <w:tab w:val="left" w:pos="142"/>
          <w:tab w:val="left" w:pos="284"/>
        </w:tabs>
        <w:spacing w:line="276" w:lineRule="auto"/>
        <w:ind w:left="0"/>
        <w:jc w:val="both"/>
        <w:rPr>
          <w:rFonts w:ascii="Verdana" w:eastAsia="Century Gothic" w:hAnsi="Verdana" w:cs="Century Gothic"/>
          <w:b/>
          <w:bCs/>
        </w:rPr>
      </w:pPr>
    </w:p>
    <w:p w14:paraId="56EB6BFE" w14:textId="77777777" w:rsidR="005E7E12" w:rsidRPr="00451657" w:rsidRDefault="005E7E12" w:rsidP="005E7E12">
      <w:pPr>
        <w:spacing w:after="120" w:line="276" w:lineRule="auto"/>
        <w:ind w:firstLine="709"/>
        <w:jc w:val="both"/>
        <w:rPr>
          <w:rFonts w:ascii="Verdana" w:eastAsia="Calibri" w:hAnsi="Verdana" w:cs="Arial"/>
          <w:szCs w:val="24"/>
          <w:lang w:val="es-ES_tradnl" w:eastAsia="es-ES_tradnl"/>
        </w:rPr>
      </w:pPr>
      <w:r w:rsidRPr="00451657">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451657">
        <w:rPr>
          <w:rFonts w:ascii="Verdana" w:eastAsia="Calibri" w:hAnsi="Verdana" w:cs="Arial"/>
          <w:szCs w:val="24"/>
          <w:lang w:val="es-ES_tradnl" w:eastAsia="es-ES_tradnl"/>
        </w:rPr>
        <w:tab/>
      </w:r>
    </w:p>
    <w:p w14:paraId="209AD5B4" w14:textId="77777777" w:rsidR="005E7E12" w:rsidRPr="00451657" w:rsidRDefault="005E7E12" w:rsidP="005E7E12">
      <w:pPr>
        <w:spacing w:after="0" w:line="276" w:lineRule="auto"/>
        <w:ind w:firstLine="709"/>
        <w:jc w:val="both"/>
        <w:rPr>
          <w:rFonts w:ascii="Verdana" w:eastAsia="Calibri" w:hAnsi="Verdana" w:cs="Arial"/>
          <w:lang w:val="es-ES" w:eastAsia="es-ES"/>
        </w:rPr>
      </w:pPr>
      <w:r w:rsidRPr="00451657">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6F05197A" w14:textId="77777777" w:rsidR="005E7E12" w:rsidRPr="00451657" w:rsidRDefault="005E7E12" w:rsidP="005E7E12">
      <w:pPr>
        <w:spacing w:after="0" w:line="276" w:lineRule="auto"/>
        <w:ind w:firstLine="709"/>
        <w:jc w:val="both"/>
        <w:rPr>
          <w:rFonts w:ascii="Verdana" w:eastAsia="Calibri" w:hAnsi="Verdana" w:cs="Arial"/>
          <w:lang w:val="es-ES" w:eastAsia="es-ES"/>
        </w:rPr>
      </w:pPr>
    </w:p>
    <w:p w14:paraId="31AF5B47" w14:textId="77777777" w:rsidR="005E7E12" w:rsidRPr="00451657" w:rsidRDefault="005E7E12" w:rsidP="005E7E12">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51657">
        <w:rPr>
          <w:rFonts w:ascii="Verdana" w:eastAsia="Century Gothic" w:hAnsi="Verdana" w:cs="Century Gothic"/>
          <w:b/>
          <w:bCs/>
        </w:rPr>
        <w:t>Problema planteado:</w:t>
      </w:r>
    </w:p>
    <w:p w14:paraId="2F4D734F" w14:textId="77777777" w:rsidR="005E7E12" w:rsidRPr="00451657" w:rsidRDefault="005E7E12" w:rsidP="005E7E12">
      <w:pPr>
        <w:tabs>
          <w:tab w:val="left" w:pos="426"/>
        </w:tabs>
        <w:spacing w:after="0" w:line="276" w:lineRule="auto"/>
        <w:jc w:val="both"/>
        <w:rPr>
          <w:rFonts w:ascii="Verdana" w:eastAsia="Century Gothic" w:hAnsi="Verdana" w:cs="Century Gothic"/>
          <w:lang w:val="es-ES"/>
        </w:rPr>
      </w:pPr>
    </w:p>
    <w:p w14:paraId="494D603C" w14:textId="7ECDFB5C" w:rsidR="005E7E12" w:rsidRPr="00451657" w:rsidRDefault="005E7E12" w:rsidP="005E7E12">
      <w:pPr>
        <w:spacing w:after="0" w:line="276" w:lineRule="auto"/>
        <w:jc w:val="both"/>
        <w:rPr>
          <w:rFonts w:ascii="Verdana" w:eastAsia="Century Gothic" w:hAnsi="Verdana" w:cs="Century Gothic"/>
        </w:rPr>
      </w:pPr>
      <w:r w:rsidRPr="00451657">
        <w:rPr>
          <w:rFonts w:ascii="Verdana" w:eastAsia="Century Gothic" w:hAnsi="Verdana" w:cs="Century Gothic"/>
        </w:rPr>
        <w:t>De acuerdo con el contenido de su solicitud, ¿</w:t>
      </w:r>
      <w:r w:rsidR="005850B1" w:rsidRPr="00451657">
        <w:rPr>
          <w:rFonts w:ascii="Verdana" w:eastAsia="Arial" w:hAnsi="Verdana" w:cs="Arial"/>
          <w:lang w:val="es-ES_tradnl"/>
        </w:rPr>
        <w:t>C</w:t>
      </w:r>
      <w:r w:rsidR="00451657" w:rsidRPr="00451657">
        <w:rPr>
          <w:rFonts w:ascii="Verdana" w:eastAsia="Arial" w:hAnsi="Verdana" w:cs="Arial"/>
          <w:lang w:val="es-ES_tradnl"/>
        </w:rPr>
        <w:t>ó</w:t>
      </w:r>
      <w:r w:rsidR="005850B1" w:rsidRPr="00451657">
        <w:rPr>
          <w:rFonts w:ascii="Verdana" w:eastAsia="Arial" w:hAnsi="Verdana" w:cs="Arial"/>
          <w:lang w:val="es-ES_tradnl"/>
        </w:rPr>
        <w:t>mo determinar la información contenida en el RUP, relacionada con la experiencia, capacidad jurídica, financiera y de organización del proponente, así como su clasificación?</w:t>
      </w:r>
    </w:p>
    <w:p w14:paraId="3871C307" w14:textId="77777777" w:rsidR="005E7E12" w:rsidRPr="00451657" w:rsidRDefault="005E7E12" w:rsidP="005E7E12">
      <w:pPr>
        <w:spacing w:after="0" w:line="276" w:lineRule="auto"/>
        <w:jc w:val="both"/>
        <w:rPr>
          <w:rFonts w:ascii="Verdana" w:eastAsia="Calibri" w:hAnsi="Verdana" w:cs="Arial"/>
          <w:lang w:val="es-ES"/>
        </w:rPr>
      </w:pPr>
    </w:p>
    <w:p w14:paraId="7F53A63A" w14:textId="77777777" w:rsidR="005E7E12" w:rsidRPr="00451657" w:rsidRDefault="005E7E12" w:rsidP="005E7E1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51657">
        <w:rPr>
          <w:rFonts w:ascii="Verdana" w:eastAsia="Century Gothic" w:hAnsi="Verdana" w:cs="Century Gothic"/>
          <w:b/>
          <w:bCs/>
        </w:rPr>
        <w:lastRenderedPageBreak/>
        <w:t>Respuesta:</w:t>
      </w:r>
    </w:p>
    <w:p w14:paraId="471CF23C" w14:textId="77777777" w:rsidR="005E7E12" w:rsidRPr="00451657" w:rsidRDefault="005E7E12" w:rsidP="005E7E12">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5E7E12" w:rsidRPr="00451657" w14:paraId="1761EE55" w14:textId="77777777" w:rsidTr="002B0C8C">
        <w:tc>
          <w:tcPr>
            <w:tcW w:w="8828" w:type="dxa"/>
            <w:shd w:val="clear" w:color="auto" w:fill="auto"/>
          </w:tcPr>
          <w:p w14:paraId="4F380461" w14:textId="77777777" w:rsidR="00D46BB4" w:rsidRPr="00451657" w:rsidRDefault="00D46BB4" w:rsidP="00F77293">
            <w:pPr>
              <w:widowControl w:val="0"/>
              <w:autoSpaceDE w:val="0"/>
              <w:autoSpaceDN w:val="0"/>
              <w:spacing w:before="120" w:after="120" w:line="276" w:lineRule="auto"/>
              <w:ind w:right="102"/>
              <w:jc w:val="both"/>
              <w:rPr>
                <w:rFonts w:ascii="Verdana" w:eastAsia="Century Gothic" w:hAnsi="Verdana" w:cs="Century Gothic"/>
              </w:rPr>
            </w:pPr>
            <w:r w:rsidRPr="00451657">
              <w:rPr>
                <w:rFonts w:ascii="Verdana" w:eastAsia="Century Gothic" w:hAnsi="Verdana" w:cs="Century Gothic"/>
              </w:rPr>
              <w:t xml:space="preserve">La clasificación tiene que ver con los bienes y servicios con los que se relaciona la experiencia del proponente. Este asunto es relevante para el registro, en la medida en que, existiendo una gran variedad de bienes y servicios, así como un gran número de proponentes con experiencia para suministrarlos, el legislador estimó necesario que el RUP incorporara una clasificación a efectos de racionalizar la información. De esta manera, el Decreto 1082 de 2015, al reglamentar la contratación pública, el RUP y la clasificación de la experiencia, implementó el Clasificador de Bienes y Servicios de las Naciones Unidas –UNSPSC–, lo cual se refleja en diferentes partes de su articulado. </w:t>
            </w:r>
          </w:p>
          <w:p w14:paraId="330CE3BE" w14:textId="228D62CA" w:rsidR="00D46BB4" w:rsidRPr="00451657" w:rsidRDefault="00D46BB4" w:rsidP="00F77293">
            <w:pPr>
              <w:shd w:val="clear" w:color="auto" w:fill="FFFFFF"/>
              <w:spacing w:before="120" w:after="120" w:line="276" w:lineRule="auto"/>
              <w:ind w:firstLine="709"/>
              <w:jc w:val="both"/>
              <w:textAlignment w:val="baseline"/>
              <w:rPr>
                <w:rFonts w:ascii="Verdana" w:eastAsia="Century Gothic" w:hAnsi="Verdana" w:cs="Century Gothic"/>
              </w:rPr>
            </w:pPr>
            <w:r w:rsidRPr="00451657">
              <w:rPr>
                <w:rFonts w:ascii="Verdana" w:eastAsia="Century Gothic" w:hAnsi="Verdana" w:cs="Century Gothic"/>
              </w:rPr>
              <w:t>El 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“The United Nations Standard Products and Services Code®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w:t>
            </w:r>
          </w:p>
          <w:p w14:paraId="1089CD16" w14:textId="57D29F9B" w:rsidR="00D46BB4" w:rsidRPr="00451657" w:rsidRDefault="00D46BB4" w:rsidP="00F77293">
            <w:pPr>
              <w:widowControl w:val="0"/>
              <w:autoSpaceDE w:val="0"/>
              <w:autoSpaceDN w:val="0"/>
              <w:spacing w:before="120" w:after="120" w:line="276" w:lineRule="auto"/>
              <w:ind w:right="102" w:firstLine="607"/>
              <w:jc w:val="both"/>
              <w:rPr>
                <w:rFonts w:ascii="Verdana" w:eastAsia="Century Gothic" w:hAnsi="Verdana" w:cs="Century Gothic"/>
              </w:rPr>
            </w:pPr>
            <w:r w:rsidRPr="00451657">
              <w:rPr>
                <w:rFonts w:ascii="Verdana" w:eastAsia="Century Gothic" w:hAnsi="Verdana" w:cs="Century Gothic"/>
              </w:rPr>
              <w:t xml:space="preserve">Por otro lado, el artículo 2.2.1.1.1.5.2 del Decreto 1082 de 2015, al desarrollar la información requerida para la inscripción, actualización y renovación del RUP, establece que los proponentes deben establecer los bienes y servicios que ofrecerán identificados con el Clasificador de Bienes y Servicios en el tercer nivel. Asimismo, los numerales 1.2 y 2.5 de este artículo establece que en los certificados de experiencia presentados para inscripción o actualización del RUP, los proponentes deben indicar en “cada certificado o en cada copia de los contratos, los bienes, obras y servicios a los cuales corresponde la experiencia que pretende acreditar, identificándolos con el Clasificador de Bienes y Servicios en el tercer nivel”. </w:t>
            </w:r>
          </w:p>
          <w:p w14:paraId="776FCEEA" w14:textId="6CD65DBF" w:rsidR="005E7E12" w:rsidRPr="00F77293" w:rsidRDefault="00D46BB4" w:rsidP="00F77293">
            <w:pPr>
              <w:widowControl w:val="0"/>
              <w:autoSpaceDE w:val="0"/>
              <w:autoSpaceDN w:val="0"/>
              <w:spacing w:before="120" w:after="120" w:line="276" w:lineRule="auto"/>
              <w:ind w:right="104"/>
              <w:jc w:val="both"/>
              <w:rPr>
                <w:rFonts w:ascii="Verdana" w:eastAsia="Century Gothic" w:hAnsi="Verdana" w:cs="Century Gothic"/>
              </w:rPr>
            </w:pPr>
            <w:r w:rsidRPr="00451657">
              <w:rPr>
                <w:rFonts w:ascii="Verdana" w:eastAsia="Century Gothic" w:hAnsi="Verdana" w:cs="Century Gothic"/>
              </w:rPr>
              <w:tab/>
              <w:t xml:space="preserve">De otro lado, el artículo 2.2.1.1.2.1.3 del Decreto 1082 de 2015, el cual regula de manera general el contenido de los pliegos de condiciones, establece como deber de las entidades estales el de realizar en dichos </w:t>
            </w:r>
            <w:r w:rsidRPr="00451657">
              <w:rPr>
                <w:rFonts w:ascii="Verdana" w:eastAsia="Century Gothic" w:hAnsi="Verdana" w:cs="Century Gothic"/>
              </w:rPr>
              <w:lastRenderedPageBreak/>
              <w:t xml:space="preserve">documentos una “descripción técnica, detallada y completa del bien o servicio objeto del contrato, identificado con el cuarto nivel del Clasificador de Bienes y Servicios, de ser posible o de lo contrario con el tercer nivel </w:t>
            </w:r>
            <w:proofErr w:type="gramStart"/>
            <w:r w:rsidRPr="00451657">
              <w:rPr>
                <w:rFonts w:ascii="Verdana" w:eastAsia="Century Gothic" w:hAnsi="Verdana" w:cs="Century Gothic"/>
              </w:rPr>
              <w:t>del mismo</w:t>
            </w:r>
            <w:proofErr w:type="gramEnd"/>
            <w:r w:rsidRPr="00451657">
              <w:rPr>
                <w:rFonts w:ascii="Verdana" w:eastAsia="Century Gothic" w:hAnsi="Verdana" w:cs="Century Gothic"/>
              </w:rPr>
              <w:t>”</w:t>
            </w:r>
            <w:r w:rsidR="0013056D" w:rsidRPr="000B2107">
              <w:rPr>
                <w:rFonts w:ascii="Verdana" w:eastAsia="Century Gothic" w:hAnsi="Verdana" w:cs="Century Gothic"/>
                <w:vertAlign w:val="superscript"/>
              </w:rPr>
              <w:t xml:space="preserve"> </w:t>
            </w:r>
            <w:r w:rsidR="0013056D" w:rsidRPr="000B2107">
              <w:rPr>
                <w:rFonts w:ascii="Verdana" w:eastAsia="Century Gothic" w:hAnsi="Verdana" w:cs="Century Gothic"/>
                <w:vertAlign w:val="superscript"/>
              </w:rPr>
              <w:footnoteReference w:id="1"/>
            </w:r>
            <w:r w:rsidRPr="00F77293">
              <w:rPr>
                <w:rFonts w:ascii="Verdana" w:eastAsia="Century Gothic" w:hAnsi="Verdana" w:cs="Century Gothic"/>
                <w:vertAlign w:val="superscript"/>
              </w:rPr>
              <w:footnoteReference w:id="2"/>
            </w:r>
            <w:r w:rsidRPr="00451657">
              <w:rPr>
                <w:rFonts w:ascii="Verdana" w:eastAsia="Century Gothic" w:hAnsi="Verdana" w:cs="Century Gothic"/>
              </w:rPr>
              <w:t>. </w:t>
            </w:r>
          </w:p>
        </w:tc>
      </w:tr>
    </w:tbl>
    <w:p w14:paraId="2300E828" w14:textId="77777777" w:rsidR="005E7E12" w:rsidRPr="00451657" w:rsidRDefault="005E7E12" w:rsidP="005E7E12">
      <w:pPr>
        <w:tabs>
          <w:tab w:val="left" w:pos="142"/>
          <w:tab w:val="left" w:pos="284"/>
        </w:tabs>
        <w:spacing w:after="0" w:line="276" w:lineRule="auto"/>
        <w:jc w:val="both"/>
        <w:rPr>
          <w:rFonts w:ascii="Verdana" w:eastAsia="Century Gothic" w:hAnsi="Verdana" w:cs="Century Gothic"/>
          <w:b/>
          <w:bCs/>
          <w:lang w:val="es-ES"/>
        </w:rPr>
      </w:pPr>
    </w:p>
    <w:p w14:paraId="74D6FFA0" w14:textId="77777777" w:rsidR="005E7E12" w:rsidRPr="00451657" w:rsidRDefault="005E7E12" w:rsidP="005E7E1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51657">
        <w:rPr>
          <w:rFonts w:ascii="Verdana" w:eastAsia="Century Gothic" w:hAnsi="Verdana" w:cs="Century Gothic"/>
          <w:b/>
          <w:bCs/>
        </w:rPr>
        <w:t>Razones de la respuesta:</w:t>
      </w:r>
    </w:p>
    <w:p w14:paraId="771986B2" w14:textId="77777777" w:rsidR="005E7E12" w:rsidRPr="00451657" w:rsidRDefault="005E7E12" w:rsidP="005E7E12">
      <w:pPr>
        <w:spacing w:after="0" w:line="276" w:lineRule="auto"/>
        <w:jc w:val="both"/>
        <w:rPr>
          <w:rFonts w:ascii="Verdana" w:eastAsia="Calibri" w:hAnsi="Verdana" w:cs="Arial"/>
          <w:color w:val="7030A0"/>
          <w:lang w:val="es-ES"/>
        </w:rPr>
      </w:pPr>
    </w:p>
    <w:p w14:paraId="29515852" w14:textId="77777777" w:rsidR="005E7E12" w:rsidRPr="00451657" w:rsidRDefault="005E7E12" w:rsidP="005E7E12">
      <w:pPr>
        <w:spacing w:after="0" w:line="276" w:lineRule="auto"/>
        <w:jc w:val="both"/>
        <w:rPr>
          <w:rFonts w:ascii="Verdana" w:eastAsia="Calibri" w:hAnsi="Verdana" w:cs="Arial"/>
          <w:lang w:val="es-ES"/>
        </w:rPr>
      </w:pPr>
      <w:r w:rsidRPr="00451657">
        <w:rPr>
          <w:rFonts w:ascii="Verdana" w:eastAsia="Calibri" w:hAnsi="Verdana" w:cs="Arial"/>
          <w:lang w:val="es-ES"/>
        </w:rPr>
        <w:t xml:space="preserve">Lo anterior se sustenta en las siguientes consideraciones: </w:t>
      </w:r>
    </w:p>
    <w:p w14:paraId="30B60CCB" w14:textId="77777777" w:rsidR="005E7E12" w:rsidRPr="00451657" w:rsidRDefault="005E7E12" w:rsidP="005E7E12">
      <w:pPr>
        <w:spacing w:after="0" w:line="276" w:lineRule="auto"/>
        <w:jc w:val="both"/>
        <w:rPr>
          <w:rFonts w:ascii="Verdana" w:hAnsi="Verdana" w:cs="Arial"/>
        </w:rPr>
      </w:pPr>
    </w:p>
    <w:p w14:paraId="1C34F5B6" w14:textId="77777777" w:rsidR="002B6258" w:rsidRDefault="002B6258" w:rsidP="002B6258">
      <w:pPr>
        <w:pStyle w:val="Prrafodelista"/>
        <w:widowControl w:val="0"/>
        <w:numPr>
          <w:ilvl w:val="0"/>
          <w:numId w:val="17"/>
        </w:numPr>
        <w:autoSpaceDE w:val="0"/>
        <w:autoSpaceDN w:val="0"/>
        <w:spacing w:after="120" w:line="276" w:lineRule="auto"/>
        <w:jc w:val="both"/>
        <w:rPr>
          <w:rFonts w:ascii="Verdana" w:eastAsia="Times New Roman" w:hAnsi="Verdana" w:cs="Arial"/>
          <w:bdr w:val="none" w:sz="0" w:space="0" w:color="auto" w:frame="1"/>
          <w:lang w:val="es-ES_tradnl"/>
        </w:rPr>
      </w:pPr>
      <w:bookmarkStart w:id="1" w:name="_Hlk112658098"/>
      <w:r w:rsidRPr="00451657">
        <w:rPr>
          <w:rFonts w:ascii="Verdana" w:eastAsia="Times New Roman" w:hAnsi="Verdana" w:cs="Arial"/>
          <w:bdr w:val="none" w:sz="0" w:space="0" w:color="auto" w:frame="1"/>
          <w:lang w:val="es-ES_tradnl"/>
        </w:rPr>
        <w:t xml:space="preserve">Conforme a lo anterior, la inscripción en el RUP, la valoración de la experiencia de los proponentes y el desarrollo de los procesos de contratación son ámbitos de la contratación estatal en los que se incorpora el uso del Clasificador de Bienes y Servicios para la contratación estatal.  Es una medida que incrementa la eficiencia y la efectividad en procedimientos de selección y reduce los costos de crear y mantener un sistema de codificación individual, al estandarizar una codificación de amplia difusión y de generalizada aceptación, que permite a proveedores y compradores “hablar el mismo lenguaje” al integrar en un solo número </w:t>
      </w:r>
      <w:r w:rsidRPr="00451657">
        <w:rPr>
          <w:rFonts w:ascii="Verdana" w:eastAsia="Times New Roman" w:hAnsi="Verdana" w:cs="Arial"/>
          <w:bdr w:val="none" w:sz="0" w:space="0" w:color="auto" w:frame="1"/>
          <w:lang w:val="es-ES_tradnl"/>
        </w:rPr>
        <w:lastRenderedPageBreak/>
        <w:t>el flujo total del proceso de adquisición</w:t>
      </w:r>
      <w:r w:rsidRPr="00451657">
        <w:rPr>
          <w:rFonts w:ascii="Verdana" w:hAnsi="Verdana"/>
          <w:bdr w:val="none" w:sz="0" w:space="0" w:color="auto" w:frame="1"/>
          <w:vertAlign w:val="superscript"/>
        </w:rPr>
        <w:footnoteReference w:id="3"/>
      </w:r>
      <w:r w:rsidRPr="00451657">
        <w:rPr>
          <w:rFonts w:ascii="Verdana" w:eastAsia="Times New Roman" w:hAnsi="Verdana" w:cs="Arial"/>
          <w:bdr w:val="none" w:sz="0" w:space="0" w:color="auto" w:frame="1"/>
          <w:lang w:val="es-ES_tradnl"/>
        </w:rPr>
        <w:t>. </w:t>
      </w:r>
    </w:p>
    <w:p w14:paraId="217FB06C" w14:textId="77777777" w:rsidR="005A1553" w:rsidRDefault="005A1553" w:rsidP="005A1553">
      <w:pPr>
        <w:pStyle w:val="Prrafodelista"/>
        <w:widowControl w:val="0"/>
        <w:autoSpaceDE w:val="0"/>
        <w:autoSpaceDN w:val="0"/>
        <w:spacing w:after="120" w:line="276" w:lineRule="auto"/>
        <w:jc w:val="both"/>
        <w:rPr>
          <w:rFonts w:ascii="Verdana" w:eastAsia="Times New Roman" w:hAnsi="Verdana" w:cs="Arial"/>
          <w:bdr w:val="none" w:sz="0" w:space="0" w:color="auto" w:frame="1"/>
          <w:lang w:val="es-ES_tradnl"/>
        </w:rPr>
      </w:pPr>
    </w:p>
    <w:p w14:paraId="36C30DED" w14:textId="77777777" w:rsidR="002B6258" w:rsidRPr="00451657" w:rsidRDefault="002B6258" w:rsidP="002B6258">
      <w:pPr>
        <w:pStyle w:val="Prrafodelista"/>
        <w:widowControl w:val="0"/>
        <w:numPr>
          <w:ilvl w:val="0"/>
          <w:numId w:val="17"/>
        </w:numPr>
        <w:autoSpaceDE w:val="0"/>
        <w:autoSpaceDN w:val="0"/>
        <w:spacing w:after="0" w:line="276" w:lineRule="auto"/>
        <w:ind w:right="104"/>
        <w:jc w:val="both"/>
        <w:rPr>
          <w:rFonts w:ascii="Verdana" w:eastAsia="Arial" w:hAnsi="Verdana" w:cs="Arial"/>
          <w:color w:val="000000" w:themeColor="text1"/>
          <w:lang w:val="es-ES_tradnl"/>
        </w:rPr>
      </w:pPr>
      <w:r w:rsidRPr="00451657">
        <w:rPr>
          <w:rFonts w:ascii="Verdana" w:eastAsia="Times New Roman" w:hAnsi="Verdana" w:cs="Arial"/>
          <w:bdr w:val="none" w:sz="0" w:space="0" w:color="auto" w:frame="1"/>
          <w:lang w:val="es-ES_tradnl"/>
        </w:rPr>
        <w:t xml:space="preserve">Es preciso tener en cuenta que </w:t>
      </w:r>
      <w:r w:rsidRPr="00451657">
        <w:rPr>
          <w:rFonts w:ascii="Verdana" w:eastAsia="Arial" w:hAnsi="Verdana" w:cs="Arial"/>
          <w:color w:val="000000" w:themeColor="text1"/>
          <w:lang w:val="es-ES_tradnl"/>
        </w:rPr>
        <w:t xml:space="preserve">la Circular Externa Única proferida por la Agencia Nacional de Contratación Pública – Colombia Compra Eficiente, donde se incorporaron directrices relacionadas con el RUP y particularmente sobre el </w:t>
      </w:r>
      <w:r w:rsidRPr="00451657">
        <w:rPr>
          <w:rFonts w:ascii="Verdana" w:eastAsia="Calibri" w:hAnsi="Verdana" w:cs="Arial"/>
          <w:color w:val="000000" w:themeColor="text1"/>
          <w:lang w:val="es-ES_tradnl"/>
        </w:rPr>
        <w:t>“</w:t>
      </w:r>
      <w:r w:rsidRPr="00451657">
        <w:rPr>
          <w:rFonts w:ascii="Verdana" w:eastAsia="Arial" w:hAnsi="Verdana" w:cs="Arial"/>
          <w:color w:val="000000" w:themeColor="text1"/>
          <w:lang w:val="es-ES_tradnl"/>
        </w:rPr>
        <w:t>uso del Clasificador de Bienes y Servicios en el Registro Único de Proponentes</w:t>
      </w:r>
      <w:r w:rsidRPr="00451657">
        <w:rPr>
          <w:rFonts w:ascii="Verdana" w:eastAsia="Calibri" w:hAnsi="Verdana" w:cs="Arial"/>
          <w:color w:val="000000" w:themeColor="text1"/>
          <w:lang w:val="es-ES_tradnl"/>
        </w:rPr>
        <w:t>”</w:t>
      </w:r>
      <w:r w:rsidRPr="00451657">
        <w:rPr>
          <w:rFonts w:ascii="Verdana" w:eastAsia="Arial" w:hAnsi="Verdana" w:cs="Arial"/>
          <w:color w:val="000000" w:themeColor="text1"/>
          <w:lang w:val="es-ES_tradnl"/>
        </w:rPr>
        <w:t xml:space="preserve">, donde se estableció lo siguiente: </w:t>
      </w:r>
    </w:p>
    <w:p w14:paraId="73FA0986" w14:textId="77777777" w:rsidR="002B6258" w:rsidRPr="00451657" w:rsidRDefault="002B6258" w:rsidP="00451657">
      <w:pPr>
        <w:widowControl w:val="0"/>
        <w:autoSpaceDE w:val="0"/>
        <w:autoSpaceDN w:val="0"/>
        <w:spacing w:after="0" w:line="276" w:lineRule="auto"/>
        <w:ind w:left="360" w:right="104"/>
        <w:jc w:val="both"/>
        <w:rPr>
          <w:rFonts w:ascii="Verdana" w:eastAsia="Arial" w:hAnsi="Verdana" w:cs="Arial"/>
          <w:color w:val="000000" w:themeColor="text1"/>
          <w:lang w:val="es-ES_tradnl"/>
        </w:rPr>
      </w:pPr>
    </w:p>
    <w:p w14:paraId="5A4C3E02" w14:textId="77777777" w:rsidR="002B6258" w:rsidRPr="000F15BC" w:rsidRDefault="002B6258" w:rsidP="000F15BC">
      <w:pPr>
        <w:pStyle w:val="Prrafodelista"/>
        <w:widowControl w:val="0"/>
        <w:autoSpaceDE w:val="0"/>
        <w:autoSpaceDN w:val="0"/>
        <w:spacing w:after="0" w:line="240" w:lineRule="auto"/>
        <w:ind w:left="1491" w:right="357"/>
        <w:jc w:val="both"/>
        <w:rPr>
          <w:rFonts w:ascii="Verdana" w:eastAsia="Arial" w:hAnsi="Verdana" w:cs="Arial"/>
          <w:sz w:val="20"/>
          <w:szCs w:val="20"/>
          <w:lang w:val="es-ES_tradnl"/>
        </w:rPr>
      </w:pPr>
      <w:r w:rsidRPr="000F15BC">
        <w:rPr>
          <w:rFonts w:ascii="Verdana" w:eastAsia="Arial" w:hAnsi="Verdana" w:cs="Arial"/>
          <w:sz w:val="20"/>
          <w:szCs w:val="20"/>
          <w:lang w:val="es-ES_tradnl"/>
        </w:rPr>
        <w:t xml:space="preserve">Deben tenerse en cuenta las siguientes directrices sobre el uso del Clasificador de Bienes y Servicios en el Registro Único de Proponentes: </w:t>
      </w:r>
    </w:p>
    <w:p w14:paraId="39F3B4F5" w14:textId="77777777" w:rsidR="002B6258" w:rsidRPr="000F15BC" w:rsidRDefault="002B6258" w:rsidP="000F15BC">
      <w:pPr>
        <w:widowControl w:val="0"/>
        <w:autoSpaceDE w:val="0"/>
        <w:autoSpaceDN w:val="0"/>
        <w:spacing w:after="0" w:line="240" w:lineRule="auto"/>
        <w:ind w:left="1491" w:right="357"/>
        <w:jc w:val="both"/>
        <w:rPr>
          <w:rFonts w:ascii="Verdana" w:eastAsia="Arial" w:hAnsi="Verdana" w:cs="Arial"/>
          <w:sz w:val="20"/>
          <w:szCs w:val="20"/>
          <w:lang w:val="es-ES_tradnl"/>
        </w:rPr>
      </w:pPr>
    </w:p>
    <w:p w14:paraId="5571F9DD" w14:textId="2185B4BB" w:rsidR="002B6258" w:rsidRPr="000F15BC" w:rsidRDefault="002B6258" w:rsidP="000F15BC">
      <w:pPr>
        <w:pStyle w:val="Prrafodelista"/>
        <w:widowControl w:val="0"/>
        <w:autoSpaceDE w:val="0"/>
        <w:autoSpaceDN w:val="0"/>
        <w:spacing w:after="0" w:line="240" w:lineRule="auto"/>
        <w:ind w:left="1491" w:right="357"/>
        <w:jc w:val="both"/>
        <w:rPr>
          <w:rFonts w:ascii="Verdana" w:eastAsia="Arial" w:hAnsi="Verdana" w:cs="Arial"/>
          <w:sz w:val="20"/>
          <w:szCs w:val="20"/>
          <w:lang w:val="es-ES_tradnl"/>
        </w:rPr>
      </w:pPr>
      <w:r w:rsidRPr="000F15BC">
        <w:rPr>
          <w:rFonts w:ascii="Verdana" w:eastAsia="Arial" w:hAnsi="Verdana" w:cs="Arial"/>
          <w:sz w:val="20"/>
          <w:szCs w:val="20"/>
          <w:lang w:val="es-ES_tradnl"/>
        </w:rPr>
        <w:t xml:space="preserve">No existe un límite en el número de bienes, obras o servicios que los proponentes pueden inscribir en el RUP. Las Cámaras de Comercio no pueden limitar la inscripción de los proponentes por no contar con experiencia certificada en el respectivo bien, obra o servicio. </w:t>
      </w:r>
    </w:p>
    <w:p w14:paraId="108B6B7B" w14:textId="77777777" w:rsidR="002B6258" w:rsidRPr="000F15BC" w:rsidRDefault="002B6258" w:rsidP="000F15BC">
      <w:pPr>
        <w:widowControl w:val="0"/>
        <w:autoSpaceDE w:val="0"/>
        <w:autoSpaceDN w:val="0"/>
        <w:spacing w:after="0" w:line="240" w:lineRule="auto"/>
        <w:ind w:left="1491" w:right="357"/>
        <w:jc w:val="both"/>
        <w:rPr>
          <w:rFonts w:ascii="Verdana" w:eastAsia="Arial" w:hAnsi="Verdana" w:cs="Arial"/>
          <w:sz w:val="20"/>
          <w:szCs w:val="20"/>
          <w:lang w:val="es-ES_tradnl"/>
        </w:rPr>
      </w:pPr>
    </w:p>
    <w:p w14:paraId="4FA6F924" w14:textId="1941D993" w:rsidR="002B6258" w:rsidRPr="000F15BC" w:rsidRDefault="002B6258" w:rsidP="000F15BC">
      <w:pPr>
        <w:pStyle w:val="Prrafodelista"/>
        <w:widowControl w:val="0"/>
        <w:autoSpaceDE w:val="0"/>
        <w:autoSpaceDN w:val="0"/>
        <w:spacing w:after="0" w:line="240" w:lineRule="auto"/>
        <w:ind w:left="1491" w:right="357"/>
        <w:jc w:val="both"/>
        <w:rPr>
          <w:rFonts w:ascii="Verdana" w:eastAsia="Times New Roman" w:hAnsi="Verdana" w:cs="Arial"/>
          <w:sz w:val="20"/>
          <w:szCs w:val="20"/>
          <w:lang w:val="es-ES_tradnl"/>
        </w:rPr>
      </w:pPr>
      <w:r w:rsidRPr="000F15BC">
        <w:rPr>
          <w:rFonts w:ascii="Verdana" w:eastAsia="Arial" w:hAnsi="Verdana" w:cs="Arial"/>
          <w:sz w:val="20"/>
          <w:szCs w:val="20"/>
          <w:lang w:val="es-ES_tradnl"/>
        </w:rPr>
        <w:t>La clasificación del proponente no es un requisito habilitante sino un mecanismo para establecer un lenguaje común entre los partícipes del Sistema de Compra Pública. En consecuencia, las Entidades Estatales no pueden excluir a un proponente que ha acreditado los requisitos habilitantes exigidos en un Proceso de Contratación por no estar inscrito en el RUP con el código de los bienes, obras o servicios del objeto de tal Proceso de Contratación</w:t>
      </w:r>
      <w:r w:rsidRPr="000F15BC">
        <w:rPr>
          <w:rFonts w:ascii="Verdana" w:hAnsi="Verdana"/>
          <w:sz w:val="20"/>
          <w:szCs w:val="20"/>
          <w:vertAlign w:val="superscript"/>
        </w:rPr>
        <w:footnoteReference w:id="4"/>
      </w:r>
      <w:r w:rsidRPr="000F15BC">
        <w:rPr>
          <w:rFonts w:ascii="Verdana" w:eastAsia="Arial" w:hAnsi="Verdana" w:cs="Arial"/>
          <w:sz w:val="20"/>
          <w:szCs w:val="20"/>
          <w:lang w:val="es-ES_tradnl"/>
        </w:rPr>
        <w:t>.</w:t>
      </w:r>
      <w:r w:rsidRPr="000F15BC" w:rsidDel="002C2C4A">
        <w:rPr>
          <w:rFonts w:ascii="Verdana" w:eastAsia="Times New Roman" w:hAnsi="Verdana" w:cs="Arial"/>
          <w:sz w:val="20"/>
          <w:szCs w:val="20"/>
          <w:lang w:val="es-ES_tradnl"/>
        </w:rPr>
        <w:t xml:space="preserve"> </w:t>
      </w:r>
    </w:p>
    <w:p w14:paraId="53B0C167" w14:textId="77777777" w:rsidR="002B6258" w:rsidRPr="00451657" w:rsidRDefault="002B6258" w:rsidP="00451657">
      <w:pPr>
        <w:widowControl w:val="0"/>
        <w:autoSpaceDE w:val="0"/>
        <w:autoSpaceDN w:val="0"/>
        <w:spacing w:after="0" w:line="276" w:lineRule="auto"/>
        <w:ind w:left="360" w:right="104"/>
        <w:jc w:val="both"/>
        <w:rPr>
          <w:rFonts w:ascii="Verdana" w:eastAsia="Times New Roman" w:hAnsi="Verdana" w:cs="Arial"/>
          <w:lang w:val="es-ES_tradnl"/>
        </w:rPr>
      </w:pPr>
    </w:p>
    <w:p w14:paraId="3EF878C4" w14:textId="77777777" w:rsidR="002B6258" w:rsidRDefault="002B6258" w:rsidP="002B6258">
      <w:pPr>
        <w:pStyle w:val="Prrafodelista"/>
        <w:numPr>
          <w:ilvl w:val="0"/>
          <w:numId w:val="17"/>
        </w:numPr>
        <w:spacing w:after="120" w:line="276" w:lineRule="auto"/>
        <w:jc w:val="both"/>
        <w:rPr>
          <w:rFonts w:ascii="Verdana" w:eastAsia="Times New Roman" w:hAnsi="Verdana" w:cs="Arial"/>
          <w:color w:val="000000" w:themeColor="text1"/>
          <w:lang w:val="es-ES_tradnl" w:eastAsia="es-MX"/>
        </w:rPr>
      </w:pPr>
      <w:r w:rsidRPr="00451657">
        <w:rPr>
          <w:rFonts w:ascii="Verdana" w:eastAsia="Times New Roman" w:hAnsi="Verdana" w:cs="Arial"/>
          <w:color w:val="000000" w:themeColor="text1"/>
          <w:lang w:val="es-ES_tradnl" w:eastAsia="es-MX"/>
        </w:rPr>
        <w:t>De acuerdo con la postura adoptada en la Circular, la “clasificación del proponente”, que corresponde a los listados señalados en los numerales 1.1. y 2.1. del artículo 2.2.1.1.1.5.2. del Decreto 1082 de 2015, no condiciona la capacidad ―jurídica, ni tampoco otra― de los proponentes, por lo que, si un proponente cumple los demás requisitos exigidos en el pliego de condiciones, su oferta no puede ser rechazada o desestimada bajo el argumento de que no cuenta con la inscripción del código de los bienes, obras o servicios del objeto del proceso de contratación.</w:t>
      </w:r>
    </w:p>
    <w:p w14:paraId="7F55021C" w14:textId="77777777" w:rsidR="001C505F" w:rsidRPr="001C505F" w:rsidRDefault="001C505F" w:rsidP="001C505F">
      <w:pPr>
        <w:pStyle w:val="Prrafodelista"/>
        <w:rPr>
          <w:rFonts w:ascii="Verdana" w:eastAsia="Times New Roman" w:hAnsi="Verdana" w:cs="Arial"/>
          <w:color w:val="000000" w:themeColor="text1"/>
          <w:lang w:val="es-ES_tradnl" w:eastAsia="es-MX"/>
        </w:rPr>
      </w:pPr>
    </w:p>
    <w:p w14:paraId="5D3DC3B4" w14:textId="77777777" w:rsidR="002B6258" w:rsidRPr="00451657" w:rsidRDefault="002B6258" w:rsidP="002B6258">
      <w:pPr>
        <w:pStyle w:val="Prrafodelista"/>
        <w:numPr>
          <w:ilvl w:val="0"/>
          <w:numId w:val="17"/>
        </w:numPr>
        <w:spacing w:after="0" w:line="276" w:lineRule="auto"/>
        <w:jc w:val="both"/>
        <w:rPr>
          <w:rFonts w:ascii="Verdana" w:eastAsia="Times New Roman" w:hAnsi="Verdana" w:cs="Arial"/>
          <w:color w:val="000000" w:themeColor="text1"/>
          <w:lang w:val="es-ES_tradnl" w:eastAsia="es-MX"/>
        </w:rPr>
      </w:pPr>
      <w:r w:rsidRPr="00451657">
        <w:rPr>
          <w:rFonts w:ascii="Verdana" w:eastAsia="Times New Roman" w:hAnsi="Verdana" w:cs="Arial"/>
          <w:color w:val="000000" w:themeColor="text1"/>
          <w:lang w:val="es-ES_tradnl" w:eastAsia="es-MX"/>
        </w:rPr>
        <w:t xml:space="preserve">Lo anterior se desarrolla sin perjuicio de la forma como se exija la experiencia en los pliegos de condiciones, pues este es un requisito habilitante diferente de la capacidad jurídica; y, para efectos de evaluar la experiencia en los pliegos de condiciones, sí se podrá acudir al </w:t>
      </w:r>
      <w:r w:rsidRPr="00451657">
        <w:rPr>
          <w:rFonts w:ascii="Verdana" w:eastAsia="Times New Roman" w:hAnsi="Verdana" w:cs="Arial"/>
          <w:color w:val="000000" w:themeColor="text1"/>
          <w:lang w:val="es-ES_tradnl" w:eastAsia="es-MX"/>
        </w:rPr>
        <w:lastRenderedPageBreak/>
        <w:t>Clasificador de Bienes y Servicios de las Naciones Unidas para exigir, por ejemplo, que solo se tendrá por valedera la experiencia inscrita por el proponente en el RUP, que sea de contratos ejecutados que coincidan con algún código del Clasificador del Bienes y Servicios, en particular, en el tercer nivel del clasificador. Esto se desprende del artículo 2.2.1.1.1.5.3. del Decreto 1082 de 2015, donde se señalan los requisitos habilitantes contenidos en el RUP, estableciendo frente a la experiencia lo siguiente:</w:t>
      </w:r>
    </w:p>
    <w:p w14:paraId="2589BBB1" w14:textId="77777777" w:rsidR="002B6258" w:rsidRPr="00451657" w:rsidRDefault="002B6258" w:rsidP="00451657">
      <w:pPr>
        <w:pStyle w:val="Prrafodelista"/>
        <w:spacing w:after="0" w:line="276" w:lineRule="auto"/>
        <w:ind w:right="709"/>
        <w:jc w:val="both"/>
        <w:rPr>
          <w:rFonts w:ascii="Verdana" w:eastAsia="Times New Roman" w:hAnsi="Verdana" w:cs="Arial"/>
          <w:color w:val="000000" w:themeColor="text1"/>
          <w:lang w:val="es-ES_tradnl" w:eastAsia="es-MX"/>
        </w:rPr>
      </w:pPr>
    </w:p>
    <w:p w14:paraId="2FF22CF9" w14:textId="77777777" w:rsidR="002B6258" w:rsidRPr="001C505F" w:rsidRDefault="002B6258" w:rsidP="007D0450">
      <w:pPr>
        <w:pStyle w:val="Prrafodelista"/>
        <w:spacing w:after="0" w:line="240" w:lineRule="auto"/>
        <w:ind w:left="1491" w:right="357"/>
        <w:jc w:val="both"/>
        <w:rPr>
          <w:rFonts w:ascii="Verdana" w:eastAsia="Times New Roman" w:hAnsi="Verdana" w:cs="Arial"/>
          <w:color w:val="000000" w:themeColor="text1"/>
          <w:sz w:val="20"/>
          <w:szCs w:val="20"/>
          <w:lang w:val="es-ES_tradnl" w:eastAsia="es-MX"/>
        </w:rPr>
      </w:pPr>
      <w:r w:rsidRPr="001C505F">
        <w:rPr>
          <w:rFonts w:ascii="Verdana" w:eastAsia="Times New Roman" w:hAnsi="Verdana" w:cs="Arial"/>
          <w:color w:val="000000" w:themeColor="text1"/>
          <w:sz w:val="20"/>
          <w:szCs w:val="20"/>
          <w:lang w:val="es-ES_tradnl" w:eastAsia="es-MX"/>
        </w:rPr>
        <w:t>Artículo 2.2.1.1.1.5.3. Requisitos habilitantes contenidos en el RUP. Las cámaras de comercio, con base en la información a la que hace referencia el artículo anterior, deben verificar y certificar los siguientes requisitos habilitantes:</w:t>
      </w:r>
    </w:p>
    <w:p w14:paraId="78B424B8" w14:textId="77777777" w:rsidR="002B6258" w:rsidRPr="001C505F" w:rsidRDefault="002B6258" w:rsidP="007D0450">
      <w:pPr>
        <w:pStyle w:val="Prrafodelista"/>
        <w:spacing w:after="0" w:line="240" w:lineRule="auto"/>
        <w:ind w:left="1491" w:right="357"/>
        <w:jc w:val="both"/>
        <w:rPr>
          <w:rFonts w:ascii="Verdana" w:eastAsia="Times New Roman" w:hAnsi="Verdana" w:cs="Arial"/>
          <w:color w:val="000000" w:themeColor="text1"/>
          <w:sz w:val="20"/>
          <w:szCs w:val="20"/>
          <w:lang w:val="es-ES_tradnl" w:eastAsia="es-MX"/>
        </w:rPr>
      </w:pPr>
      <w:r w:rsidRPr="001C505F">
        <w:rPr>
          <w:rFonts w:ascii="Verdana" w:eastAsia="Times New Roman" w:hAnsi="Verdana" w:cs="Arial"/>
          <w:color w:val="000000" w:themeColor="text1"/>
          <w:sz w:val="20"/>
          <w:szCs w:val="20"/>
          <w:lang w:val="es-ES_tradnl" w:eastAsia="es-MX"/>
        </w:rPr>
        <w:t>[…]</w:t>
      </w:r>
    </w:p>
    <w:p w14:paraId="31F1A600" w14:textId="77777777" w:rsidR="002B6258" w:rsidRPr="001C505F" w:rsidRDefault="002B6258" w:rsidP="007D0450">
      <w:pPr>
        <w:pStyle w:val="Prrafodelista"/>
        <w:spacing w:after="0" w:line="240" w:lineRule="auto"/>
        <w:ind w:left="1491" w:right="357"/>
        <w:jc w:val="both"/>
        <w:rPr>
          <w:rFonts w:ascii="Verdana" w:eastAsia="Times New Roman" w:hAnsi="Verdana" w:cs="Arial"/>
          <w:color w:val="000000" w:themeColor="text1"/>
          <w:sz w:val="20"/>
          <w:szCs w:val="20"/>
          <w:lang w:val="es-ES_tradnl" w:eastAsia="es-MX"/>
        </w:rPr>
      </w:pPr>
      <w:r w:rsidRPr="001C505F">
        <w:rPr>
          <w:rFonts w:ascii="Verdana" w:eastAsia="Times New Roman" w:hAnsi="Verdana" w:cs="Arial"/>
          <w:color w:val="000000" w:themeColor="text1"/>
          <w:sz w:val="20"/>
          <w:szCs w:val="20"/>
          <w:lang w:val="es-ES_tradnl" w:eastAsia="es-MX"/>
        </w:rPr>
        <w:t xml:space="preserve">1.    Experiencia – Los contratos celebrados por el interesado para cada uno de los bienes, obras y servicios que ofrecerá a las Entidades Estatales, </w:t>
      </w:r>
      <w:r w:rsidRPr="001C505F">
        <w:rPr>
          <w:rFonts w:ascii="Verdana" w:eastAsia="Times New Roman" w:hAnsi="Verdana" w:cs="Arial"/>
          <w:i/>
          <w:iCs/>
          <w:color w:val="000000" w:themeColor="text1"/>
          <w:sz w:val="20"/>
          <w:szCs w:val="20"/>
          <w:lang w:val="es-ES_tradnl" w:eastAsia="es-MX"/>
        </w:rPr>
        <w:t xml:space="preserve">identificados con el Clasificador de Bienes y Servicios en el tercer nivel </w:t>
      </w:r>
      <w:r w:rsidRPr="001C505F">
        <w:rPr>
          <w:rFonts w:ascii="Verdana" w:eastAsia="Times New Roman" w:hAnsi="Verdana" w:cs="Arial"/>
          <w:color w:val="000000" w:themeColor="text1"/>
          <w:sz w:val="20"/>
          <w:szCs w:val="20"/>
          <w:lang w:val="es-ES_tradnl" w:eastAsia="es-MX"/>
        </w:rPr>
        <w:t>y su valor expresado en SMMLV.</w:t>
      </w:r>
    </w:p>
    <w:p w14:paraId="1E7A0AEB" w14:textId="77777777" w:rsidR="002B6258" w:rsidRPr="001C505F" w:rsidRDefault="002B6258" w:rsidP="007D0450">
      <w:pPr>
        <w:pStyle w:val="Prrafodelista"/>
        <w:spacing w:after="0" w:line="240" w:lineRule="auto"/>
        <w:ind w:left="1491" w:right="357"/>
        <w:jc w:val="both"/>
        <w:rPr>
          <w:rFonts w:ascii="Verdana" w:eastAsia="Times New Roman" w:hAnsi="Verdana" w:cs="Arial"/>
          <w:color w:val="000000" w:themeColor="text1"/>
          <w:sz w:val="20"/>
          <w:szCs w:val="20"/>
          <w:lang w:val="es-ES_tradnl" w:eastAsia="es-MX"/>
        </w:rPr>
      </w:pPr>
    </w:p>
    <w:p w14:paraId="4B01A6B2" w14:textId="77777777" w:rsidR="002B6258" w:rsidRPr="001C505F" w:rsidRDefault="002B6258" w:rsidP="007D0450">
      <w:pPr>
        <w:pStyle w:val="Prrafodelista"/>
        <w:spacing w:after="0" w:line="240" w:lineRule="auto"/>
        <w:ind w:left="1491" w:right="357"/>
        <w:jc w:val="both"/>
        <w:rPr>
          <w:rFonts w:ascii="Verdana" w:eastAsia="Times New Roman" w:hAnsi="Verdana" w:cs="Arial"/>
          <w:color w:val="000000" w:themeColor="text1"/>
          <w:sz w:val="20"/>
          <w:szCs w:val="20"/>
          <w:lang w:val="es-ES_tradnl" w:eastAsia="es-MX"/>
        </w:rPr>
      </w:pPr>
      <w:r w:rsidRPr="001C505F">
        <w:rPr>
          <w:rFonts w:ascii="Verdana" w:eastAsia="Times New Roman" w:hAnsi="Verdana" w:cs="Arial"/>
          <w:color w:val="000000" w:themeColor="text1"/>
          <w:sz w:val="20"/>
          <w:szCs w:val="20"/>
          <w:lang w:val="es-ES_tradnl" w:eastAsia="es-MX"/>
        </w:rPr>
        <w:t xml:space="preserve">Los contratos celebrados por consorcios, uniones temporales y sociedades en las cuales el interesado tenga o haya tenido participación, para cada uno de los bienes, obras y servicios que ofrecerá a las Entidades Estatales, </w:t>
      </w:r>
      <w:r w:rsidRPr="001C505F">
        <w:rPr>
          <w:rFonts w:ascii="Verdana" w:eastAsia="Times New Roman" w:hAnsi="Verdana" w:cs="Arial"/>
          <w:i/>
          <w:iCs/>
          <w:color w:val="000000" w:themeColor="text1"/>
          <w:sz w:val="20"/>
          <w:szCs w:val="20"/>
          <w:lang w:val="es-ES_tradnl" w:eastAsia="es-MX"/>
        </w:rPr>
        <w:t>identificados con el Clasificador de Bienes y Servicios en el tercer nivel</w:t>
      </w:r>
      <w:r w:rsidRPr="001C505F">
        <w:rPr>
          <w:rFonts w:ascii="Verdana" w:eastAsia="Times New Roman" w:hAnsi="Verdana" w:cs="Arial"/>
          <w:color w:val="000000" w:themeColor="text1"/>
          <w:sz w:val="20"/>
          <w:szCs w:val="20"/>
          <w:lang w:val="es-ES_tradnl" w:eastAsia="es-MX"/>
        </w:rPr>
        <w:t xml:space="preserve"> y su valor expresado en SMMLV. (Cursiva fuera de texto)</w:t>
      </w:r>
    </w:p>
    <w:p w14:paraId="1964E5E4" w14:textId="77777777" w:rsidR="002B6258" w:rsidRPr="00451657" w:rsidRDefault="002B6258" w:rsidP="00451657">
      <w:pPr>
        <w:spacing w:after="0" w:line="276" w:lineRule="auto"/>
        <w:ind w:left="360" w:right="709"/>
        <w:jc w:val="both"/>
        <w:rPr>
          <w:rFonts w:ascii="Verdana" w:eastAsia="Times New Roman" w:hAnsi="Verdana" w:cs="Arial"/>
          <w:color w:val="000000" w:themeColor="text1"/>
          <w:lang w:val="es-ES_tradnl" w:eastAsia="es-MX"/>
        </w:rPr>
      </w:pPr>
    </w:p>
    <w:p w14:paraId="4ED40C88" w14:textId="77777777" w:rsidR="002B6258" w:rsidRPr="00451657" w:rsidRDefault="002B6258" w:rsidP="002B6258">
      <w:pPr>
        <w:pStyle w:val="Prrafodelista"/>
        <w:numPr>
          <w:ilvl w:val="0"/>
          <w:numId w:val="17"/>
        </w:numPr>
        <w:spacing w:after="0" w:line="276" w:lineRule="auto"/>
        <w:jc w:val="both"/>
        <w:rPr>
          <w:rFonts w:ascii="Verdana" w:eastAsia="Times New Roman" w:hAnsi="Verdana" w:cs="Arial"/>
          <w:color w:val="000000" w:themeColor="text1"/>
          <w:lang w:val="es-ES_tradnl" w:eastAsia="es-MX"/>
        </w:rPr>
      </w:pPr>
      <w:r w:rsidRPr="00451657">
        <w:rPr>
          <w:rFonts w:ascii="Verdana" w:eastAsia="Times New Roman" w:hAnsi="Verdana" w:cs="Arial"/>
          <w:color w:val="000000" w:themeColor="text1"/>
          <w:lang w:val="es-ES_tradnl" w:eastAsia="es-MX"/>
        </w:rPr>
        <w:t>En armonía con lo anterior, la Circular Externa Única a que se hizo referencia previamente, en relación con el uso del Clasificador de Bienes y Servicios para efectos de acreditar la experiencia en los procedimientos de selección, estableció, en contraste con la “clasificación del proponente”, que:</w:t>
      </w:r>
    </w:p>
    <w:p w14:paraId="37F199CB" w14:textId="77777777" w:rsidR="002B6258" w:rsidRPr="00451657" w:rsidRDefault="002B6258" w:rsidP="000F15BC">
      <w:pPr>
        <w:pStyle w:val="Prrafodelista"/>
        <w:spacing w:after="0" w:line="276" w:lineRule="auto"/>
        <w:ind w:right="709"/>
        <w:jc w:val="both"/>
        <w:rPr>
          <w:rFonts w:ascii="Verdana" w:eastAsia="Times New Roman" w:hAnsi="Verdana" w:cs="Arial"/>
          <w:color w:val="000000" w:themeColor="text1"/>
          <w:lang w:val="es-ES_tradnl" w:eastAsia="es-MX"/>
        </w:rPr>
      </w:pPr>
    </w:p>
    <w:p w14:paraId="4AA5D929" w14:textId="77777777" w:rsidR="002B6258" w:rsidRPr="000F15BC" w:rsidRDefault="002B6258" w:rsidP="000F15BC">
      <w:pPr>
        <w:pStyle w:val="Prrafodelista"/>
        <w:spacing w:after="0" w:line="240" w:lineRule="auto"/>
        <w:ind w:left="1491" w:right="357"/>
        <w:jc w:val="both"/>
        <w:rPr>
          <w:rFonts w:ascii="Verdana" w:eastAsia="Times New Roman" w:hAnsi="Verdana" w:cs="Arial"/>
          <w:color w:val="000000" w:themeColor="text1"/>
          <w:sz w:val="20"/>
          <w:szCs w:val="20"/>
          <w:lang w:val="es-ES_tradnl" w:eastAsia="es-MX"/>
        </w:rPr>
      </w:pPr>
      <w:r w:rsidRPr="000F15BC">
        <w:rPr>
          <w:rFonts w:ascii="Verdana" w:eastAsia="Times New Roman" w:hAnsi="Verdana" w:cs="Arial"/>
          <w:color w:val="000000" w:themeColor="text1"/>
          <w:sz w:val="20"/>
          <w:szCs w:val="20"/>
          <w:lang w:val="es-ES_tradnl" w:eastAsia="es-MX"/>
        </w:rPr>
        <w:t xml:space="preserve">La experiencia es un requisito habilitante. Los proponentes deben inscribir en el RUP su experiencia usando los códigos del Clasificador de Bienes y Servicios. Por su parte las Entidades Estatales al establecer el requisito habilitante de experiencia deben incluir los códigos específicos del objeto a contratar o el de bienes, obras o servicios afines al Proceso de Contratación respecto de los cuales los proponentes deben acreditar su experiencia. </w:t>
      </w:r>
    </w:p>
    <w:p w14:paraId="5788E09F" w14:textId="77777777" w:rsidR="002B6258" w:rsidRPr="00451657" w:rsidRDefault="002B6258" w:rsidP="000F15BC">
      <w:pPr>
        <w:pStyle w:val="Prrafodelista"/>
        <w:spacing w:after="0" w:line="276" w:lineRule="auto"/>
        <w:ind w:right="709"/>
        <w:jc w:val="both"/>
        <w:rPr>
          <w:rFonts w:ascii="Verdana" w:eastAsia="Times New Roman" w:hAnsi="Verdana" w:cs="Arial"/>
          <w:color w:val="000000" w:themeColor="text1"/>
          <w:lang w:val="es-ES_tradnl" w:eastAsia="es-MX"/>
        </w:rPr>
      </w:pPr>
    </w:p>
    <w:p w14:paraId="391E0EBA" w14:textId="77777777" w:rsidR="002B6258" w:rsidRDefault="002B6258" w:rsidP="002B6258">
      <w:pPr>
        <w:pStyle w:val="Prrafodelista"/>
        <w:numPr>
          <w:ilvl w:val="0"/>
          <w:numId w:val="17"/>
        </w:numPr>
        <w:spacing w:after="120" w:line="276" w:lineRule="auto"/>
        <w:jc w:val="both"/>
        <w:rPr>
          <w:rFonts w:ascii="Verdana" w:eastAsia="Times New Roman" w:hAnsi="Verdana" w:cs="Arial"/>
          <w:color w:val="000000" w:themeColor="text1"/>
          <w:lang w:val="es-ES_tradnl" w:eastAsia="es-MX"/>
        </w:rPr>
      </w:pPr>
      <w:r w:rsidRPr="00451657">
        <w:rPr>
          <w:rFonts w:ascii="Verdana" w:eastAsia="Times New Roman" w:hAnsi="Verdana" w:cs="Arial"/>
          <w:color w:val="000000" w:themeColor="text1"/>
          <w:lang w:val="es-ES_tradnl" w:eastAsia="es-MX"/>
        </w:rPr>
        <w:t xml:space="preserve">En conclusión, de conformidad con Circular Externa Única, la “clasificación del proponente”, en los términos en que se desarrolló dicha noción en este concepto, no constituye un requisito habilitante en los procedimientos de selección, por lo que si un proponente acredita los demás requisitos exigidos en el pliego de condiciones, su oferta no puede ser rechazada o </w:t>
      </w:r>
      <w:r w:rsidRPr="00451657">
        <w:rPr>
          <w:rFonts w:ascii="Verdana" w:eastAsia="Times New Roman" w:hAnsi="Verdana" w:cs="Arial"/>
          <w:color w:val="000000" w:themeColor="text1"/>
          <w:lang w:val="es-ES_tradnl" w:eastAsia="es-MX"/>
        </w:rPr>
        <w:lastRenderedPageBreak/>
        <w:t>desestimada bajo el argumento de que el oferente no cuenta con la inscripción del código de los bienes, obras o servicios del objeto del proceso de contratación.</w:t>
      </w:r>
    </w:p>
    <w:p w14:paraId="7E15BDCD" w14:textId="77777777" w:rsidR="000F15BC" w:rsidRPr="00451657" w:rsidRDefault="000F15BC" w:rsidP="000F15BC">
      <w:pPr>
        <w:pStyle w:val="Prrafodelista"/>
        <w:spacing w:after="120" w:line="276" w:lineRule="auto"/>
        <w:jc w:val="both"/>
        <w:rPr>
          <w:rFonts w:ascii="Verdana" w:eastAsia="Times New Roman" w:hAnsi="Verdana" w:cs="Arial"/>
          <w:color w:val="000000" w:themeColor="text1"/>
          <w:lang w:val="es-ES_tradnl" w:eastAsia="es-MX"/>
        </w:rPr>
      </w:pPr>
    </w:p>
    <w:p w14:paraId="5127BCAD" w14:textId="4DDF8DAD" w:rsidR="002B6258" w:rsidRPr="00312E16" w:rsidRDefault="002B6258" w:rsidP="002B6258">
      <w:pPr>
        <w:pStyle w:val="Prrafodelista"/>
        <w:numPr>
          <w:ilvl w:val="0"/>
          <w:numId w:val="17"/>
        </w:numPr>
        <w:shd w:val="clear" w:color="auto" w:fill="FFFFFF"/>
        <w:spacing w:after="120" w:line="276" w:lineRule="auto"/>
        <w:jc w:val="both"/>
        <w:textAlignment w:val="baseline"/>
        <w:rPr>
          <w:rFonts w:ascii="Verdana" w:eastAsia="Times New Roman" w:hAnsi="Verdana" w:cs="Arial"/>
          <w:lang w:val="es-ES_tradnl" w:eastAsia="es-CO"/>
        </w:rPr>
      </w:pPr>
      <w:r w:rsidRPr="00451657">
        <w:rPr>
          <w:rFonts w:ascii="Verdana" w:eastAsia="Times New Roman" w:hAnsi="Verdana" w:cs="Arial"/>
          <w:bdr w:val="none" w:sz="0" w:space="0" w:color="auto" w:frame="1"/>
          <w:lang w:val="es-ES_tradnl" w:eastAsia="es-CO"/>
        </w:rPr>
        <w:t xml:space="preserve">El Clasificador de Bienes y Servicios consta de cinco niveles; no obstante, el último nivel, denominado Función de Negocio, no es muy utilizado. </w:t>
      </w:r>
      <w:proofErr w:type="gramStart"/>
      <w:r w:rsidRPr="00451657">
        <w:rPr>
          <w:rFonts w:ascii="Verdana" w:eastAsia="Times New Roman" w:hAnsi="Verdana" w:cs="Arial"/>
          <w:bdr w:val="none" w:sz="0" w:space="0" w:color="auto" w:frame="1"/>
          <w:lang w:val="es-ES_tradnl" w:eastAsia="es-CO"/>
        </w:rPr>
        <w:t>Los niveles jerárquicos a utilizar</w:t>
      </w:r>
      <w:proofErr w:type="gramEnd"/>
      <w:r w:rsidRPr="00451657">
        <w:rPr>
          <w:rFonts w:ascii="Verdana" w:eastAsia="Times New Roman" w:hAnsi="Verdana" w:cs="Arial"/>
          <w:bdr w:val="none" w:sz="0" w:space="0" w:color="auto" w:frame="1"/>
          <w:lang w:val="es-ES_tradnl" w:eastAsia="es-CO"/>
        </w:rPr>
        <w:t>, en su orden, son: i) segmento: agregación lógica de familias para propósitos analíticos; ii) familia: un grupo de categorías de productos interrelacionadas; iii) clase: un grupo de productos que comparten características comunes; y iv) producto: un grupo de productos o servicios</w:t>
      </w:r>
      <w:r w:rsidRPr="00451657">
        <w:rPr>
          <w:rFonts w:ascii="Verdana" w:hAnsi="Verdana"/>
          <w:bdr w:val="none" w:sz="0" w:space="0" w:color="auto" w:frame="1"/>
          <w:vertAlign w:val="superscript"/>
          <w:lang w:eastAsia="es-CO"/>
        </w:rPr>
        <w:footnoteReference w:id="5"/>
      </w:r>
      <w:r w:rsidRPr="00451657">
        <w:rPr>
          <w:rFonts w:ascii="Verdana" w:eastAsia="Times New Roman" w:hAnsi="Verdana" w:cs="Arial"/>
          <w:bdr w:val="none" w:sz="0" w:space="0" w:color="auto" w:frame="1"/>
          <w:lang w:val="es-ES_tradnl" w:eastAsia="es-CO"/>
        </w:rPr>
        <w:t>.</w:t>
      </w:r>
    </w:p>
    <w:p w14:paraId="2E85488C" w14:textId="77777777" w:rsidR="00312E16" w:rsidRPr="00312E16" w:rsidRDefault="00312E16" w:rsidP="00312E16">
      <w:pPr>
        <w:pStyle w:val="Prrafodelista"/>
        <w:rPr>
          <w:rFonts w:ascii="Verdana" w:eastAsia="Times New Roman" w:hAnsi="Verdana" w:cs="Arial"/>
          <w:lang w:val="es-ES_tradnl" w:eastAsia="es-CO"/>
        </w:rPr>
      </w:pPr>
    </w:p>
    <w:p w14:paraId="7C7E2125" w14:textId="2F265C7D" w:rsidR="002B6258" w:rsidRDefault="002B6258" w:rsidP="002B6258">
      <w:pPr>
        <w:pStyle w:val="Prrafodelista"/>
        <w:numPr>
          <w:ilvl w:val="0"/>
          <w:numId w:val="17"/>
        </w:numPr>
        <w:shd w:val="clear" w:color="auto" w:fill="FFFFFF"/>
        <w:spacing w:after="120" w:line="276" w:lineRule="auto"/>
        <w:jc w:val="both"/>
        <w:textAlignment w:val="baseline"/>
        <w:rPr>
          <w:rFonts w:ascii="Verdana" w:eastAsia="Times New Roman" w:hAnsi="Verdana" w:cs="Arial"/>
          <w:bdr w:val="none" w:sz="0" w:space="0" w:color="auto" w:frame="1"/>
          <w:lang w:val="es-ES_tradnl" w:eastAsia="es-CO"/>
        </w:rPr>
      </w:pPr>
      <w:r w:rsidRPr="00451657">
        <w:rPr>
          <w:rFonts w:ascii="Verdana" w:eastAsia="Times New Roman" w:hAnsi="Verdana" w:cs="Arial"/>
          <w:bdr w:val="none" w:sz="0" w:space="0" w:color="auto" w:frame="1"/>
          <w:lang w:val="es-ES_tradnl" w:eastAsia="es-CO"/>
        </w:rPr>
        <w:t xml:space="preserve">Cada uno de estos niveles jerárquicos tiene distintos dígitos, asociados a los componentes que cada uno cobija y que se combinan con los dígitos de los otros niveles, de donde surge un código de 8 dígitos asociado a un bien o servicio en particular. De esta manera, el segmento determina los dos primeros dígitos, la familia el tercer y cuarto, la clase el quinto y sexto, mientras que el producto los dígitos séptimo y octavo.  Conforme a esto, los niveles jerárquicos van de lo general a lo particular, por lo que para determinar el código que corresponde a un bien o servicio, debe subsumirse este en cada uno de estos niveles partiendo del primero en adelante. De acuerdo con esto, cada bien o servicio está asociado a un código que surge de la subsunción de sus características y condiciones en los diferentes niveles del clasificador. Estos códigos son los que deben incluirse en el RUP para efectos de la experiencia. Estos mismos códigos son los que deben incluir las entidades estatales en los pliegos de condiciones al realizar la descripción del objeto contractual. </w:t>
      </w:r>
    </w:p>
    <w:p w14:paraId="5AFDF1F3" w14:textId="77777777" w:rsidR="00312E16" w:rsidRPr="00312E16" w:rsidRDefault="00312E16" w:rsidP="00312E16">
      <w:pPr>
        <w:pStyle w:val="Prrafodelista"/>
        <w:rPr>
          <w:rFonts w:ascii="Verdana" w:eastAsia="Times New Roman" w:hAnsi="Verdana" w:cs="Arial"/>
          <w:bdr w:val="none" w:sz="0" w:space="0" w:color="auto" w:frame="1"/>
          <w:lang w:val="es-ES_tradnl" w:eastAsia="es-CO"/>
        </w:rPr>
      </w:pPr>
    </w:p>
    <w:p w14:paraId="0DCA82A7" w14:textId="77777777" w:rsidR="002B6258" w:rsidRPr="00312E16" w:rsidRDefault="002B6258" w:rsidP="002B6258">
      <w:pPr>
        <w:pStyle w:val="Prrafodelista"/>
        <w:numPr>
          <w:ilvl w:val="0"/>
          <w:numId w:val="17"/>
        </w:numPr>
        <w:shd w:val="clear" w:color="auto" w:fill="FFFFFF"/>
        <w:spacing w:after="120" w:line="276" w:lineRule="auto"/>
        <w:jc w:val="both"/>
        <w:textAlignment w:val="baseline"/>
        <w:rPr>
          <w:rFonts w:ascii="Verdana" w:eastAsia="Times New Roman" w:hAnsi="Verdana" w:cs="Arial"/>
          <w:bdr w:val="none" w:sz="0" w:space="0" w:color="auto" w:frame="1"/>
          <w:lang w:val="es-ES_tradnl" w:eastAsia="es-CO"/>
        </w:rPr>
      </w:pPr>
      <w:r w:rsidRPr="00312E16">
        <w:rPr>
          <w:rFonts w:ascii="Verdana" w:eastAsia="Times New Roman" w:hAnsi="Verdana" w:cs="Arial"/>
          <w:bdr w:val="none" w:sz="0" w:space="0" w:color="auto" w:frame="1"/>
          <w:lang w:val="es-ES_tradnl" w:eastAsia="es-CO"/>
        </w:rPr>
        <w:t xml:space="preserve">De otra parte, debe mencionarse que en virtud de los dispuesto en el artículo 2.2.1.2.5.2 del Decreto 1082 de 2015, esta Agencia expidió la “Guía para la codificación de bienes y servicios de acuerdo con el código estándar de productos y servicios de Naciones Unidas, V.14.080”. Este documento contiene una serie de instrucciones y nociones básicas para al uso del Clasificador de Bienes y Servicios por parte de las entidades estatales en sus procesos de contratación. Esta se encuentra disponible para consulta en: </w:t>
      </w:r>
      <w:hyperlink r:id="rId12" w:history="1">
        <w:r w:rsidRPr="00312E16">
          <w:rPr>
            <w:rFonts w:ascii="Verdana" w:eastAsia="Times New Roman" w:hAnsi="Verdana" w:cs="Arial"/>
            <w:color w:val="4472C4" w:themeColor="accent1"/>
            <w:u w:val="single"/>
            <w:lang w:val="es-ES_tradnl" w:eastAsia="es-MX"/>
          </w:rPr>
          <w:t>https://www.colombiacompra.gov.co/sites/cce_public/files/cce_documents/cce_guia_codificacion_bienes.pdf</w:t>
        </w:r>
      </w:hyperlink>
      <w:r w:rsidRPr="00312E16">
        <w:rPr>
          <w:rFonts w:ascii="Verdana" w:eastAsia="Times New Roman" w:hAnsi="Verdana" w:cs="Arial"/>
          <w:color w:val="4472C4" w:themeColor="accent1"/>
          <w:u w:val="single"/>
          <w:lang w:val="es-ES_tradnl" w:eastAsia="es-MX"/>
        </w:rPr>
        <w:t xml:space="preserve"> </w:t>
      </w:r>
    </w:p>
    <w:p w14:paraId="1118EABC" w14:textId="77777777" w:rsidR="00312E16" w:rsidRPr="00312E16" w:rsidRDefault="00312E16" w:rsidP="00312E16">
      <w:pPr>
        <w:pStyle w:val="Prrafodelista"/>
        <w:rPr>
          <w:rFonts w:ascii="Verdana" w:eastAsia="Times New Roman" w:hAnsi="Verdana" w:cs="Arial"/>
          <w:bdr w:val="none" w:sz="0" w:space="0" w:color="auto" w:frame="1"/>
          <w:lang w:val="es-ES_tradnl" w:eastAsia="es-CO"/>
        </w:rPr>
      </w:pPr>
    </w:p>
    <w:p w14:paraId="2D02FE09" w14:textId="77777777" w:rsidR="002B6258" w:rsidRPr="00312E16" w:rsidRDefault="002B6258" w:rsidP="002B6258">
      <w:pPr>
        <w:pStyle w:val="Prrafodelista"/>
        <w:numPr>
          <w:ilvl w:val="0"/>
          <w:numId w:val="17"/>
        </w:numPr>
        <w:shd w:val="clear" w:color="auto" w:fill="FFFFFF"/>
        <w:spacing w:after="0" w:line="276" w:lineRule="auto"/>
        <w:jc w:val="both"/>
        <w:textAlignment w:val="baseline"/>
        <w:rPr>
          <w:rFonts w:ascii="Verdana" w:eastAsia="Times New Roman" w:hAnsi="Verdana" w:cs="Arial"/>
          <w:color w:val="4472C4" w:themeColor="accent1"/>
          <w:u w:val="single"/>
          <w:bdr w:val="none" w:sz="0" w:space="0" w:color="auto" w:frame="1"/>
          <w:lang w:val="es-ES_tradnl" w:eastAsia="es-CO"/>
        </w:rPr>
      </w:pPr>
      <w:r w:rsidRPr="00312E16">
        <w:rPr>
          <w:rFonts w:ascii="Verdana" w:eastAsia="Times New Roman" w:hAnsi="Verdana" w:cs="Arial"/>
          <w:bdr w:val="none" w:sz="0" w:space="0" w:color="auto" w:frame="1"/>
          <w:lang w:val="es-ES_tradnl" w:eastAsia="es-CO"/>
        </w:rPr>
        <w:t xml:space="preserve"> Así mismo, la Agencia Nacional de Contratación Pública – Colombia Compra Eficiente ha puesto a disposición de las entidades y la ciudadanía una herramienta web en la que se encuentran cada uno de los componentes de los distintos niveles de los que consta el clasificador, traducidos al español. Esta facilita la conformación de los correspondientes códigos, y puede consultarse en la página web: </w:t>
      </w:r>
      <w:hyperlink r:id="rId13" w:history="1">
        <w:r w:rsidRPr="00312E16">
          <w:rPr>
            <w:rFonts w:ascii="Verdana" w:eastAsia="Times New Roman" w:hAnsi="Verdana" w:cs="Arial"/>
            <w:color w:val="4472C4" w:themeColor="accent1"/>
            <w:u w:val="single"/>
            <w:bdr w:val="none" w:sz="0" w:space="0" w:color="auto" w:frame="1"/>
            <w:lang w:val="es-ES_tradnl" w:eastAsia="es-CO"/>
          </w:rPr>
          <w:t>https://www.colombiacompra.gov.co/clasificador-de-bienes-y-Servicios</w:t>
        </w:r>
      </w:hyperlink>
    </w:p>
    <w:p w14:paraId="66D8700A" w14:textId="77777777" w:rsidR="002B6258" w:rsidRPr="00312E16" w:rsidRDefault="002B6258" w:rsidP="00312E16">
      <w:pPr>
        <w:spacing w:after="0" w:line="276" w:lineRule="auto"/>
        <w:jc w:val="both"/>
        <w:rPr>
          <w:rFonts w:ascii="Verdana" w:eastAsia="Calibri" w:hAnsi="Verdana" w:cs="Arial"/>
          <w:lang w:val="es-ES_tradnl"/>
        </w:rPr>
      </w:pPr>
    </w:p>
    <w:bookmarkEnd w:id="1"/>
    <w:p w14:paraId="70CA60ED" w14:textId="77777777" w:rsidR="005E7E12" w:rsidRPr="00451657" w:rsidRDefault="005E7E12" w:rsidP="005E7E12">
      <w:pPr>
        <w:pStyle w:val="Prrafodelista"/>
        <w:shd w:val="clear" w:color="auto" w:fill="FFFFFF"/>
        <w:spacing w:line="276" w:lineRule="auto"/>
        <w:jc w:val="both"/>
        <w:textAlignment w:val="baseline"/>
        <w:rPr>
          <w:rStyle w:val="Hipervnculo"/>
          <w:rFonts w:ascii="Verdana" w:eastAsia="Times New Roman" w:hAnsi="Verdana" w:cs="Arial"/>
          <w:bdr w:val="none" w:sz="0" w:space="0" w:color="auto" w:frame="1"/>
          <w:lang w:eastAsia="es-CO"/>
        </w:rPr>
      </w:pPr>
    </w:p>
    <w:p w14:paraId="1EF56846" w14:textId="77777777" w:rsidR="005E7E12" w:rsidRPr="00451657" w:rsidRDefault="005E7E12" w:rsidP="005E7E1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51657">
        <w:rPr>
          <w:rFonts w:ascii="Verdana" w:eastAsia="Century Gothic" w:hAnsi="Verdana" w:cs="Century Gothic"/>
          <w:b/>
          <w:bCs/>
        </w:rPr>
        <w:t>Referencias normativas, jurisprudenciales y otras fuentes:</w:t>
      </w:r>
    </w:p>
    <w:p w14:paraId="47AE08CA" w14:textId="77777777" w:rsidR="005E7E12" w:rsidRPr="00451657" w:rsidRDefault="005E7E12" w:rsidP="005E7E12">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5E7E12" w:rsidRPr="00451657" w14:paraId="538523CA" w14:textId="77777777" w:rsidTr="002B0C8C">
        <w:trPr>
          <w:trHeight w:val="870"/>
        </w:trPr>
        <w:tc>
          <w:tcPr>
            <w:tcW w:w="8647" w:type="dxa"/>
          </w:tcPr>
          <w:p w14:paraId="1D97F3DA" w14:textId="630BD1BB" w:rsidR="005E7E12" w:rsidRPr="00451657" w:rsidRDefault="005E7E12" w:rsidP="005E7E12">
            <w:pPr>
              <w:pStyle w:val="Prrafodelista"/>
              <w:widowControl w:val="0"/>
              <w:numPr>
                <w:ilvl w:val="0"/>
                <w:numId w:val="18"/>
              </w:numPr>
              <w:autoSpaceDE w:val="0"/>
              <w:autoSpaceDN w:val="0"/>
              <w:spacing w:before="120" w:after="120" w:line="276" w:lineRule="auto"/>
              <w:jc w:val="both"/>
              <w:rPr>
                <w:rFonts w:ascii="Verdana" w:hAnsi="Verdana" w:cs="Arial"/>
                <w:lang w:val="es-CO"/>
              </w:rPr>
            </w:pPr>
            <w:r w:rsidRPr="00451657">
              <w:rPr>
                <w:rFonts w:ascii="Verdana" w:hAnsi="Verdana" w:cs="Arial"/>
                <w:lang w:val="es-MX"/>
              </w:rPr>
              <w:t>Decreto 1082 de 2015: artículos 2.2.1.1.1.3.1,</w:t>
            </w:r>
            <w:r w:rsidRPr="00451657">
              <w:rPr>
                <w:rFonts w:ascii="Verdana" w:hAnsi="Verdana" w:cs="Arial"/>
              </w:rPr>
              <w:t xml:space="preserve"> 2.2.1.1.1.5.1,</w:t>
            </w:r>
            <w:r w:rsidRPr="00451657">
              <w:rPr>
                <w:rFonts w:ascii="Verdana" w:hAnsi="Verdana" w:cs="Arial"/>
                <w:lang w:val="es-MX"/>
              </w:rPr>
              <w:t xml:space="preserve"> </w:t>
            </w:r>
            <w:r w:rsidRPr="00451657">
              <w:rPr>
                <w:rFonts w:ascii="Verdana" w:hAnsi="Verdana" w:cs="Arial"/>
              </w:rPr>
              <w:t xml:space="preserve">2.2.1.1.1.5.2 numerales </w:t>
            </w:r>
            <w:r w:rsidR="00751DF7">
              <w:rPr>
                <w:rFonts w:ascii="Verdana" w:hAnsi="Verdana" w:cs="Arial"/>
              </w:rPr>
              <w:t xml:space="preserve">1.1, </w:t>
            </w:r>
            <w:r w:rsidRPr="00451657">
              <w:rPr>
                <w:rFonts w:ascii="Verdana" w:hAnsi="Verdana" w:cs="Arial"/>
              </w:rPr>
              <w:t>1.2</w:t>
            </w:r>
            <w:r w:rsidR="00751DF7">
              <w:rPr>
                <w:rFonts w:ascii="Verdana" w:hAnsi="Verdana" w:cs="Arial"/>
              </w:rPr>
              <w:t>, 2.2</w:t>
            </w:r>
            <w:r w:rsidRPr="00451657">
              <w:rPr>
                <w:rFonts w:ascii="Verdana" w:hAnsi="Verdana" w:cs="Arial"/>
              </w:rPr>
              <w:t xml:space="preserve"> y 2.5, 2.2.1.1.1.5.3 numeral 1, 2.2.1.1.1.5.6,</w:t>
            </w:r>
            <w:r w:rsidRPr="00451657">
              <w:rPr>
                <w:rFonts w:ascii="Verdana" w:hAnsi="Verdana" w:cs="Arial"/>
                <w:i/>
                <w:iCs/>
              </w:rPr>
              <w:t> </w:t>
            </w:r>
            <w:r w:rsidRPr="00451657">
              <w:rPr>
                <w:rFonts w:ascii="Verdana" w:hAnsi="Verdana" w:cs="Arial"/>
                <w:lang w:val="es-MX"/>
              </w:rPr>
              <w:t xml:space="preserve">2.2.1.1.1.6.4, </w:t>
            </w:r>
            <w:r w:rsidRPr="00451657">
              <w:rPr>
                <w:rFonts w:ascii="Verdana" w:hAnsi="Verdana" w:cs="Arial"/>
              </w:rPr>
              <w:t>2.2.1.1.2.1.3, y 2.2.1.2.5.2.</w:t>
            </w:r>
          </w:p>
          <w:p w14:paraId="271047ED" w14:textId="77777777" w:rsidR="005E7E12" w:rsidRPr="00451657" w:rsidRDefault="005E7E12" w:rsidP="005E7E12">
            <w:pPr>
              <w:pStyle w:val="Prrafodelista"/>
              <w:widowControl w:val="0"/>
              <w:numPr>
                <w:ilvl w:val="0"/>
                <w:numId w:val="18"/>
              </w:numPr>
              <w:autoSpaceDE w:val="0"/>
              <w:autoSpaceDN w:val="0"/>
              <w:spacing w:before="120" w:after="120" w:line="276" w:lineRule="auto"/>
              <w:rPr>
                <w:rFonts w:ascii="Verdana" w:hAnsi="Verdana" w:cs="Arial"/>
                <w:lang w:val="es-MX"/>
              </w:rPr>
            </w:pPr>
            <w:r w:rsidRPr="00451657">
              <w:rPr>
                <w:rFonts w:ascii="Verdana" w:hAnsi="Verdana" w:cs="Arial"/>
                <w:lang w:val="es-MX"/>
              </w:rPr>
              <w:t xml:space="preserve">Guía para Determinar y Verificar la Capacidad Residual del Proponente en los Procesos de Contratación de Obra Pública. Disponible en: </w:t>
            </w:r>
            <w:hyperlink r:id="rId14" w:history="1">
              <w:r w:rsidRPr="00451657">
                <w:rPr>
                  <w:rStyle w:val="Hipervnculo"/>
                  <w:rFonts w:ascii="Verdana" w:hAnsi="Verdana" w:cs="Arial"/>
                  <w:color w:val="4472C4" w:themeColor="accent1"/>
                  <w:lang w:val="es-MX"/>
                </w:rPr>
                <w:t>https://www.colombiacompra.gov.co/sites/default/files/manuales/cce_guiaresidual_v02_web.pdf</w:t>
              </w:r>
            </w:hyperlink>
            <w:r w:rsidRPr="00451657">
              <w:rPr>
                <w:rFonts w:ascii="Verdana" w:hAnsi="Verdana" w:cs="Arial"/>
                <w:color w:val="4472C4" w:themeColor="accent1"/>
                <w:lang w:val="es-MX"/>
              </w:rPr>
              <w:t xml:space="preserve"> </w:t>
            </w:r>
          </w:p>
          <w:p w14:paraId="36A41B73" w14:textId="77777777" w:rsidR="005E7E12" w:rsidRPr="00451657" w:rsidRDefault="005E7E12" w:rsidP="005E7E12">
            <w:pPr>
              <w:pStyle w:val="Prrafodelista"/>
              <w:widowControl w:val="0"/>
              <w:numPr>
                <w:ilvl w:val="0"/>
                <w:numId w:val="18"/>
              </w:numPr>
              <w:autoSpaceDE w:val="0"/>
              <w:autoSpaceDN w:val="0"/>
              <w:spacing w:before="120" w:after="120" w:line="276" w:lineRule="auto"/>
              <w:rPr>
                <w:rFonts w:ascii="Verdana" w:hAnsi="Verdana" w:cs="Arial"/>
                <w:lang w:val="es-MX"/>
              </w:rPr>
            </w:pPr>
            <w:r w:rsidRPr="00451657">
              <w:rPr>
                <w:rFonts w:ascii="Verdana" w:hAnsi="Verdana" w:cs="Arial"/>
                <w:lang w:val="es-CO"/>
              </w:rPr>
              <w:t xml:space="preserve">Guía para la codificación de bienes y servicios de acuerdo con el código estándar de productos y servicios de Naciones Unidas, V.14.080. Disponible en: </w:t>
            </w:r>
            <w:hyperlink r:id="rId15" w:history="1">
              <w:r w:rsidRPr="00451657">
                <w:rPr>
                  <w:rStyle w:val="Hipervnculo"/>
                  <w:rFonts w:ascii="Verdana" w:hAnsi="Verdana" w:cs="Arial"/>
                  <w:color w:val="4472C4" w:themeColor="accent1"/>
                  <w:lang w:val="es-CO"/>
                </w:rPr>
                <w:t>https://www.colombiacompra.gov.co/sites/cce_public/files/cce_documents/cce_guia_codificacion_bienes.pdf</w:t>
              </w:r>
            </w:hyperlink>
          </w:p>
          <w:p w14:paraId="50BDE823" w14:textId="77777777" w:rsidR="005E7E12" w:rsidRPr="00451657" w:rsidRDefault="005E7E12" w:rsidP="005E7E12">
            <w:pPr>
              <w:pStyle w:val="Prrafodelista"/>
              <w:widowControl w:val="0"/>
              <w:numPr>
                <w:ilvl w:val="0"/>
                <w:numId w:val="18"/>
              </w:numPr>
              <w:autoSpaceDE w:val="0"/>
              <w:autoSpaceDN w:val="0"/>
              <w:spacing w:before="120" w:after="120" w:line="276" w:lineRule="auto"/>
              <w:contextualSpacing w:val="0"/>
              <w:jc w:val="both"/>
              <w:rPr>
                <w:rFonts w:ascii="Verdana" w:hAnsi="Verdana" w:cs="Arial"/>
              </w:rPr>
            </w:pPr>
            <w:r w:rsidRPr="00451657">
              <w:rPr>
                <w:rFonts w:ascii="Verdana" w:hAnsi="Verdana" w:cs="Arial"/>
              </w:rPr>
              <w:t xml:space="preserve">Jurisprudencia del Consejo de Estado. Disponible en: </w:t>
            </w:r>
            <w:hyperlink r:id="rId16" w:history="1">
              <w:r w:rsidRPr="00451657">
                <w:rPr>
                  <w:rStyle w:val="Hipervnculo"/>
                  <w:rFonts w:ascii="Verdana" w:hAnsi="Verdana" w:cs="Arial"/>
                  <w:color w:val="4472C4" w:themeColor="accent1"/>
                </w:rPr>
                <w:t>https://relatoria.colombiacompra.gov.co/providencias-consejo-de-estado/</w:t>
              </w:r>
            </w:hyperlink>
            <w:r w:rsidRPr="00451657">
              <w:rPr>
                <w:rFonts w:ascii="Verdana" w:hAnsi="Verdana" w:cs="Arial"/>
                <w:color w:val="4472C4" w:themeColor="accent1"/>
              </w:rPr>
              <w:t xml:space="preserve"> </w:t>
            </w:r>
          </w:p>
          <w:p w14:paraId="207F6CFF" w14:textId="77777777" w:rsidR="005E7E12" w:rsidRPr="00451657" w:rsidRDefault="005E7E12" w:rsidP="005E7E12">
            <w:pPr>
              <w:pStyle w:val="Prrafodelista"/>
              <w:widowControl w:val="0"/>
              <w:numPr>
                <w:ilvl w:val="0"/>
                <w:numId w:val="18"/>
              </w:numPr>
              <w:autoSpaceDE w:val="0"/>
              <w:autoSpaceDN w:val="0"/>
              <w:spacing w:before="120" w:after="120" w:line="276" w:lineRule="auto"/>
              <w:contextualSpacing w:val="0"/>
              <w:jc w:val="both"/>
              <w:rPr>
                <w:rFonts w:ascii="Verdana" w:hAnsi="Verdana" w:cs="Arial"/>
              </w:rPr>
            </w:pPr>
            <w:r w:rsidRPr="00451657">
              <w:rPr>
                <w:rFonts w:ascii="Verdana" w:hAnsi="Verdana" w:cs="Arial"/>
              </w:rPr>
              <w:t>Guías y manuales expedidos por la ANCP-CCE. Disponible en:</w:t>
            </w:r>
            <w:r w:rsidRPr="00451657">
              <w:rPr>
                <w:rFonts w:ascii="Verdana" w:hAnsi="Verdana"/>
              </w:rPr>
              <w:t xml:space="preserve"> </w:t>
            </w:r>
            <w:hyperlink r:id="rId17" w:history="1">
              <w:r w:rsidRPr="00451657">
                <w:rPr>
                  <w:rStyle w:val="Hipervnculo"/>
                  <w:rFonts w:ascii="Verdana" w:hAnsi="Verdana" w:cs="Arial"/>
                  <w:color w:val="4472C4" w:themeColor="accent1"/>
                </w:rPr>
                <w:t>https://www.colombiacompra.gov.co/manuales-guias-y-pliegos-tipo/manuales-y-guias</w:t>
              </w:r>
            </w:hyperlink>
            <w:r w:rsidRPr="00451657">
              <w:rPr>
                <w:rFonts w:ascii="Verdana" w:hAnsi="Verdana" w:cs="Arial"/>
                <w:color w:val="4472C4" w:themeColor="accent1"/>
              </w:rPr>
              <w:t xml:space="preserve"> </w:t>
            </w:r>
          </w:p>
        </w:tc>
      </w:tr>
    </w:tbl>
    <w:p w14:paraId="35BADC38" w14:textId="77777777" w:rsidR="005E7E12" w:rsidRPr="00451657" w:rsidRDefault="005E7E12" w:rsidP="005E7E12">
      <w:pPr>
        <w:widowControl w:val="0"/>
        <w:autoSpaceDE w:val="0"/>
        <w:autoSpaceDN w:val="0"/>
        <w:spacing w:after="0" w:line="276" w:lineRule="auto"/>
        <w:jc w:val="both"/>
        <w:rPr>
          <w:rFonts w:ascii="Verdana" w:hAnsi="Verdana" w:cs="Arial"/>
        </w:rPr>
      </w:pPr>
    </w:p>
    <w:p w14:paraId="5C9F1008" w14:textId="77777777" w:rsidR="005E7E12" w:rsidRPr="00451657" w:rsidRDefault="005E7E12" w:rsidP="005E7E1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51657">
        <w:rPr>
          <w:rFonts w:ascii="Verdana" w:eastAsia="Century Gothic" w:hAnsi="Verdana" w:cs="Century Gothic"/>
          <w:b/>
          <w:bCs/>
        </w:rPr>
        <w:t>Doctrina de la Agencia Nacional de Contratación Pública:</w:t>
      </w:r>
    </w:p>
    <w:p w14:paraId="5D36EBE1" w14:textId="77777777" w:rsidR="005E7E12" w:rsidRPr="00451657" w:rsidRDefault="005E7E12" w:rsidP="005E7E12">
      <w:pPr>
        <w:widowControl w:val="0"/>
        <w:autoSpaceDE w:val="0"/>
        <w:autoSpaceDN w:val="0"/>
        <w:spacing w:after="0" w:line="276" w:lineRule="auto"/>
        <w:jc w:val="both"/>
        <w:rPr>
          <w:rFonts w:ascii="Verdana" w:hAnsi="Verdana" w:cs="Arial"/>
        </w:rPr>
      </w:pPr>
    </w:p>
    <w:p w14:paraId="1F0402F0" w14:textId="77777777" w:rsidR="005E7E12" w:rsidRPr="00451657" w:rsidRDefault="005E7E12" w:rsidP="005E7E12">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451657">
        <w:rPr>
          <w:rStyle w:val="normaltextrun"/>
          <w:rFonts w:ascii="Verdana" w:hAnsi="Verdana" w:cs="Arial"/>
          <w:shd w:val="clear" w:color="auto" w:fill="FFFFFF"/>
          <w:lang w:val="es-ES"/>
        </w:rPr>
        <w:t>Sobre la capacidad residual, y la forma como esta se debe acreditar se pronunció esta Subdirección</w:t>
      </w:r>
      <w:r w:rsidRPr="00451657">
        <w:rPr>
          <w:rFonts w:ascii="Verdana" w:hAnsi="Verdana"/>
        </w:rPr>
        <w:t xml:space="preserve"> </w:t>
      </w:r>
      <w:r w:rsidRPr="00451657">
        <w:rPr>
          <w:rStyle w:val="normaltextrun"/>
          <w:rFonts w:ascii="Verdana" w:hAnsi="Verdana" w:cs="Arial"/>
          <w:shd w:val="clear" w:color="auto" w:fill="FFFFFF"/>
          <w:lang w:val="es-ES"/>
        </w:rPr>
        <w:t xml:space="preserve">en los conceptos 2201913000006275 del 27 de agosto de </w:t>
      </w:r>
      <w:r w:rsidRPr="00451657">
        <w:rPr>
          <w:rStyle w:val="normaltextrun"/>
          <w:rFonts w:ascii="Verdana" w:hAnsi="Verdana" w:cs="Arial"/>
          <w:shd w:val="clear" w:color="auto" w:fill="FFFFFF"/>
          <w:lang w:val="es-ES"/>
        </w:rPr>
        <w:lastRenderedPageBreak/>
        <w:t>2019, 2201913000009465 del 20 de diciembre de 2019, 2201913000009642 y 2201913000009640 del 26 de diciembre de 2019; así como en los conceptos C–022 del 20 de febrero de 2020, C–089 del 4 de marzo de 2020, C–112 del 16 de marzo de 2020, C–133 del 25 de marzo de 2020, C–194 del 21 de abril de 2020, C–326 del 9 de junio de 2020, C–446 del 6 de julio de 2020, C-461 del 13 de 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C–590 del 12 de octubre de 2021, C-068 del 9 de marzo de 2022, C-220 del 22 de abril de 2022, C-351 del 23 de mayo de 2022 y C-392 del 16 de junio de 2022. Así mismo, en los conceptos C-033 del 13 de marzo de 2020, C-133 del 30 de marzo de 2020, C-196 del 8 de abril de 2020, C-297 del 4 de junio de 2020, C-489 del 23 de julio de 2020, C-522 del 6 de agosto de 2020, C-547 del 21 de agosto de 2020, C-642 de 30 de octubre de 2020, C-668 del 20 de noviembre de 2020, C-720 del 11 de diciembre de 2020, C-789 del 19 de enero de 2021, C-042 del 3 de marzo de 2021, C-173 del 07 de abril de 2022, C-219 del 19 de mayo de 2022, C-546 del 30 de agosto de 2022, y C-411 del 4 de diciembre de 2023, entre otros. Igualmente sobre  el Registro Único de Proponentes –RUP– en los conceptos C–005  del 14 de febrero de 2020, C–148 del 22 de abril de 2020, C–330 del 27 de mayo de 2020, C–303 del 3 de junio de 2020, C–328 de 30 de junio de 2020, C–454 del 6 de julio de 2020, C–374 del 23 de julio de 2020, C–466 del 24 de julio de 2020, C–420 del 28 de julio de 2020 C–534 del 12 de agosto de 2020, C–576 del 31 de agosto de 2020, C–786 del 19 de enero de 2021, C-800 de 01 de febrero de 2021, C-329 de 8 de julio de 2021 y C-142 de 2022, y C-223 del 25 de abril de 2022, entre otros. Asimismo, sobre uso del Clasificador de Bienes y Servicios de Naciones Unidas en los conceptos 2201913000006036 del 20 de agosto de 2019, 2201913000007322 del 2 de octubre de 2019, 2201913000007496 del 7 de octubre de 2020, 2201913000008870 del 2 de diciembre de 2019, 2201913000009643 del 26 de diciembre de 2019, C-052 del 18 de marzo de 2020, C-017 del 22 de febrero de 2020, C- 522 del 1 de octubre de 2021, C-760 del 8 de febrero de 2022</w:t>
      </w:r>
      <w:r w:rsidRPr="00451657">
        <w:rPr>
          <w:rStyle w:val="TextonotapieCar"/>
          <w:rFonts w:ascii="Verdana" w:hAnsi="Verdana" w:cs="Arial"/>
          <w:shd w:val="clear" w:color="auto" w:fill="FFFFFF"/>
          <w:lang w:val="es-ES"/>
        </w:rPr>
        <w:t xml:space="preserve"> </w:t>
      </w:r>
      <w:r w:rsidRPr="00451657">
        <w:rPr>
          <w:rStyle w:val="normaltextrun"/>
          <w:rFonts w:ascii="Verdana" w:hAnsi="Verdana" w:cs="Arial"/>
          <w:shd w:val="clear" w:color="auto" w:fill="FFFFFF"/>
          <w:lang w:val="es-ES"/>
        </w:rPr>
        <w:t>y C-223 del 25 de abril de 2022, entre otros. Es</w:t>
      </w:r>
      <w:r w:rsidRPr="00451657">
        <w:rPr>
          <w:rFonts w:ascii="Verdana" w:hAnsi="Verdana"/>
        </w:rPr>
        <w:t>tos y otros conceptos se encuentran disponibles para consulta en el Sistema de relatoría de la Agencia, al cual se puede acceder a través del siguiente enlace:</w:t>
      </w:r>
      <w:r w:rsidRPr="00451657">
        <w:rPr>
          <w:rStyle w:val="normaltextrun"/>
          <w:rFonts w:ascii="Verdana" w:hAnsi="Verdana" w:cs="Arial"/>
          <w:shd w:val="clear" w:color="auto" w:fill="FFFFFF"/>
          <w:lang w:val="es-ES"/>
        </w:rPr>
        <w:t xml:space="preserve"> </w:t>
      </w:r>
      <w:hyperlink r:id="rId18" w:history="1">
        <w:r w:rsidRPr="00451657">
          <w:rPr>
            <w:rStyle w:val="Hipervnculo"/>
            <w:rFonts w:ascii="Verdana" w:hAnsi="Verdana" w:cs="Arial"/>
            <w:color w:val="4472C4" w:themeColor="accent1"/>
            <w:shd w:val="clear" w:color="auto" w:fill="FFFFFF"/>
            <w:lang w:val="es-ES"/>
          </w:rPr>
          <w:t>https://relatoria.colombiacompra.gov.co/busqueda/conceptos</w:t>
        </w:r>
      </w:hyperlink>
      <w:r w:rsidRPr="00451657">
        <w:rPr>
          <w:rStyle w:val="normaltextrun"/>
          <w:rFonts w:ascii="Verdana" w:hAnsi="Verdana" w:cs="Arial"/>
          <w:color w:val="4472C4" w:themeColor="accent1"/>
          <w:shd w:val="clear" w:color="auto" w:fill="FFFFFF"/>
          <w:lang w:val="es-ES"/>
        </w:rPr>
        <w:t xml:space="preserve">. </w:t>
      </w:r>
    </w:p>
    <w:p w14:paraId="77F16FC0" w14:textId="77777777" w:rsidR="005E7E12" w:rsidRPr="00451657" w:rsidRDefault="005E7E12" w:rsidP="005E7E12">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4590C4B" w14:textId="77777777" w:rsidR="005E7E12" w:rsidRPr="00451657" w:rsidRDefault="005E7E12" w:rsidP="005E7E12">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451657">
        <w:rPr>
          <w:rStyle w:val="normaltextrun"/>
          <w:rFonts w:ascii="Verdana" w:hAnsi="Verdana" w:cs="Arial"/>
          <w:color w:val="000000" w:themeColor="text1"/>
          <w:shd w:val="clear" w:color="auto" w:fill="FFFFFF"/>
          <w:lang w:val="es-ES"/>
        </w:rPr>
        <w:t>También le</w:t>
      </w:r>
      <w:r w:rsidRPr="00451657">
        <w:rPr>
          <w:rFonts w:ascii="Verdana" w:hAnsi="Verdana" w:cs="Arial"/>
          <w:color w:val="000000" w:themeColor="text1"/>
          <w:shd w:val="clear" w:color="auto" w:fill="FFFFFF"/>
        </w:rPr>
        <w:t xml:space="preserve"> invitamos a revisar la cuarta edición del Boletín de Relatoría de 2024, </w:t>
      </w:r>
      <w:r w:rsidRPr="00451657">
        <w:rPr>
          <w:rFonts w:ascii="Verdana" w:hAnsi="Verdana" w:cs="Arial"/>
          <w:color w:val="000000" w:themeColor="text1"/>
          <w:shd w:val="clear" w:color="auto" w:fill="FFFFFF"/>
        </w:rPr>
        <w:lastRenderedPageBreak/>
        <w:t>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9" w:tgtFrame="_blank" w:tooltip="Dirección URL original: https://www.colombiacompra.gov.co/sala-de-prensa/boletin-digital/boletin-de-relatoria-2024-iv. Haga clic o pulse si confía en este vínculo." w:history="1">
        <w:r w:rsidRPr="00451657">
          <w:rPr>
            <w:rStyle w:val="Hipervnculo"/>
            <w:rFonts w:ascii="Verdana" w:hAnsi="Verdana" w:cs="Arial"/>
            <w:color w:val="4472C4" w:themeColor="accent1"/>
            <w:shd w:val="clear" w:color="auto" w:fill="FFFFFF"/>
          </w:rPr>
          <w:t>BOLETÍN DE RELATORÍA 2024 – IV | Colombia Compra Eficiente | Agencia Nacional de Contratación Pública</w:t>
        </w:r>
      </w:hyperlink>
    </w:p>
    <w:p w14:paraId="67395051" w14:textId="77777777" w:rsidR="005E7E12" w:rsidRPr="00451657" w:rsidRDefault="005E7E12" w:rsidP="005E7E12">
      <w:pPr>
        <w:spacing w:after="0" w:line="240" w:lineRule="auto"/>
        <w:jc w:val="both"/>
        <w:rPr>
          <w:rFonts w:ascii="Verdana" w:hAnsi="Verdana"/>
        </w:rPr>
      </w:pPr>
      <w:r w:rsidRPr="00451657">
        <w:rPr>
          <w:rFonts w:ascii="Verdana" w:hAnsi="Verdana"/>
        </w:rPr>
        <w:t xml:space="preserve">Por último, lo invitamos a seguirnos en las redes sociales en las cuales se difunde información institucional: </w:t>
      </w:r>
    </w:p>
    <w:p w14:paraId="1CCB20AC" w14:textId="77777777" w:rsidR="005E7E12" w:rsidRPr="00451657" w:rsidRDefault="005E7E12" w:rsidP="005E7E12">
      <w:pPr>
        <w:spacing w:after="0" w:line="240" w:lineRule="auto"/>
        <w:jc w:val="both"/>
        <w:rPr>
          <w:rFonts w:ascii="Verdana" w:hAnsi="Verdana"/>
        </w:rPr>
      </w:pPr>
    </w:p>
    <w:p w14:paraId="37B139E1" w14:textId="77777777" w:rsidR="005E7E12" w:rsidRPr="00451657" w:rsidRDefault="005E7E12" w:rsidP="005E7E12">
      <w:pPr>
        <w:spacing w:after="0" w:line="240" w:lineRule="auto"/>
        <w:jc w:val="both"/>
        <w:rPr>
          <w:rFonts w:ascii="Verdana" w:hAnsi="Verdana"/>
        </w:rPr>
      </w:pPr>
      <w:r w:rsidRPr="00451657">
        <w:rPr>
          <w:rFonts w:ascii="Verdana" w:hAnsi="Verdana"/>
        </w:rPr>
        <w:t xml:space="preserve">Twitter: </w:t>
      </w:r>
      <w:r w:rsidRPr="00451657">
        <w:rPr>
          <w:rStyle w:val="Hipervnculo"/>
          <w:rFonts w:ascii="Verdana" w:hAnsi="Verdana"/>
          <w:color w:val="4472C4" w:themeColor="accent1"/>
        </w:rPr>
        <w:t>@colombiacompra</w:t>
      </w:r>
      <w:r w:rsidRPr="00451657">
        <w:rPr>
          <w:rFonts w:ascii="Verdana" w:hAnsi="Verdana"/>
          <w:color w:val="4472C4" w:themeColor="accent1"/>
        </w:rPr>
        <w:t xml:space="preserve"> </w:t>
      </w:r>
    </w:p>
    <w:p w14:paraId="25064CF3" w14:textId="77777777" w:rsidR="005E7E12" w:rsidRPr="00451657" w:rsidRDefault="005E7E12" w:rsidP="005E7E12">
      <w:pPr>
        <w:spacing w:after="0" w:line="240" w:lineRule="auto"/>
        <w:jc w:val="both"/>
        <w:rPr>
          <w:rFonts w:ascii="Verdana" w:hAnsi="Verdana"/>
        </w:rPr>
      </w:pPr>
      <w:r w:rsidRPr="00451657">
        <w:rPr>
          <w:rFonts w:ascii="Verdana" w:hAnsi="Verdana"/>
        </w:rPr>
        <w:t xml:space="preserve">Facebook: </w:t>
      </w:r>
      <w:r w:rsidRPr="00451657">
        <w:rPr>
          <w:rStyle w:val="Hipervnculo"/>
          <w:rFonts w:ascii="Verdana" w:hAnsi="Verdana"/>
          <w:color w:val="4472C4" w:themeColor="accent1"/>
        </w:rPr>
        <w:t>ColombiaCompraEficiente</w:t>
      </w:r>
    </w:p>
    <w:p w14:paraId="7DC2C271" w14:textId="77777777" w:rsidR="005E7E12" w:rsidRPr="00451657" w:rsidRDefault="005E7E12" w:rsidP="005E7E12">
      <w:pPr>
        <w:spacing w:after="0" w:line="240" w:lineRule="auto"/>
        <w:jc w:val="both"/>
        <w:rPr>
          <w:rFonts w:ascii="Verdana" w:hAnsi="Verdana"/>
        </w:rPr>
      </w:pPr>
      <w:r w:rsidRPr="00451657">
        <w:rPr>
          <w:rFonts w:ascii="Verdana" w:hAnsi="Verdana"/>
        </w:rPr>
        <w:t xml:space="preserve">LinkedIn: </w:t>
      </w:r>
      <w:r w:rsidRPr="00451657">
        <w:rPr>
          <w:rStyle w:val="Hipervnculo"/>
          <w:rFonts w:ascii="Verdana" w:hAnsi="Verdana"/>
          <w:color w:val="4472C4" w:themeColor="accent1"/>
        </w:rPr>
        <w:t>Agencia Nacional de Contratación Pública - Colombia Compra Eficiente</w:t>
      </w:r>
      <w:r w:rsidRPr="00451657">
        <w:rPr>
          <w:rFonts w:ascii="Verdana" w:hAnsi="Verdana"/>
          <w:color w:val="4472C4" w:themeColor="accent1"/>
        </w:rPr>
        <w:t xml:space="preserve"> </w:t>
      </w:r>
      <w:r w:rsidRPr="00451657">
        <w:rPr>
          <w:rFonts w:ascii="Verdana" w:hAnsi="Verdana"/>
        </w:rPr>
        <w:t xml:space="preserve">Instagram: </w:t>
      </w:r>
      <w:r w:rsidRPr="00451657">
        <w:rPr>
          <w:rStyle w:val="Hipervnculo"/>
          <w:rFonts w:ascii="Verdana" w:hAnsi="Verdana"/>
          <w:color w:val="4472C4" w:themeColor="accent1"/>
        </w:rPr>
        <w:t>@colombiacompraeficiente_cce</w:t>
      </w:r>
    </w:p>
    <w:p w14:paraId="33AA63C9" w14:textId="77777777" w:rsidR="005E7E12" w:rsidRPr="00451657" w:rsidRDefault="005E7E12" w:rsidP="005E7E12">
      <w:pPr>
        <w:widowControl w:val="0"/>
        <w:autoSpaceDE w:val="0"/>
        <w:autoSpaceDN w:val="0"/>
        <w:spacing w:after="0" w:line="276" w:lineRule="auto"/>
        <w:jc w:val="both"/>
        <w:rPr>
          <w:rFonts w:ascii="Verdana" w:hAnsi="Verdana" w:cs="Arial"/>
        </w:rPr>
      </w:pPr>
    </w:p>
    <w:p w14:paraId="2AC2DDE1" w14:textId="77777777" w:rsidR="005E7E12" w:rsidRPr="00451657" w:rsidRDefault="005E7E12" w:rsidP="005E7E12">
      <w:pPr>
        <w:widowControl w:val="0"/>
        <w:autoSpaceDE w:val="0"/>
        <w:autoSpaceDN w:val="0"/>
        <w:spacing w:after="0" w:line="276" w:lineRule="auto"/>
        <w:jc w:val="both"/>
        <w:rPr>
          <w:rFonts w:ascii="Verdana" w:hAnsi="Verdana" w:cs="Arial"/>
          <w:lang w:val="es-ES_tradnl"/>
        </w:rPr>
      </w:pPr>
      <w:r w:rsidRPr="00451657">
        <w:rPr>
          <w:rFonts w:ascii="Verdana" w:hAnsi="Verdana" w:cs="Arial"/>
        </w:rPr>
        <w:t xml:space="preserve">Este concepto tiene el alcance previsto en el artículo 28 del Código de Procedimiento Administrativo y de lo Contencioso Administrativo </w:t>
      </w:r>
      <w:r w:rsidRPr="00451657">
        <w:rPr>
          <w:rFonts w:ascii="Verdana" w:hAnsi="Verdana" w:cs="Arial"/>
          <w:lang w:val="es-ES_tradnl"/>
        </w:rPr>
        <w:t>y las expresiones aquí utilizadas con mayúscula inicial deben ser entendidas con el significado que les otorga el artículo 2.2.1.1.1.3.1. del Decreto 1082 de 2015.</w:t>
      </w:r>
    </w:p>
    <w:p w14:paraId="10C6BBA3" w14:textId="77777777" w:rsidR="005E7E12" w:rsidRPr="00451657" w:rsidRDefault="005E7E12" w:rsidP="005E7E12">
      <w:pPr>
        <w:widowControl w:val="0"/>
        <w:autoSpaceDE w:val="0"/>
        <w:autoSpaceDN w:val="0"/>
        <w:spacing w:after="0" w:line="276" w:lineRule="auto"/>
        <w:jc w:val="both"/>
        <w:rPr>
          <w:rFonts w:ascii="Verdana" w:hAnsi="Verdana" w:cs="Arial"/>
        </w:rPr>
      </w:pPr>
    </w:p>
    <w:p w14:paraId="331906DA" w14:textId="77777777" w:rsidR="005E7E12" w:rsidRPr="00451657" w:rsidRDefault="005E7E12" w:rsidP="005E7E12">
      <w:pPr>
        <w:spacing w:after="0" w:line="240" w:lineRule="auto"/>
        <w:rPr>
          <w:rFonts w:ascii="Verdana" w:hAnsi="Verdana" w:cs="Arial"/>
          <w:lang w:eastAsia="es-CO"/>
        </w:rPr>
      </w:pPr>
      <w:r w:rsidRPr="00451657">
        <w:rPr>
          <w:rFonts w:ascii="Verdana" w:eastAsia="Times New Roman" w:hAnsi="Verdana" w:cs="Arial"/>
          <w:lang w:eastAsia="es-CO"/>
        </w:rPr>
        <w:t>Atentamente,</w:t>
      </w:r>
      <w:r w:rsidRPr="00451657">
        <w:rPr>
          <w:rFonts w:ascii="Verdana" w:hAnsi="Verdana" w:cs="Arial"/>
          <w:lang w:eastAsia="es-CO"/>
        </w:rPr>
        <w:t xml:space="preserve"> </w:t>
      </w:r>
    </w:p>
    <w:p w14:paraId="62289A3B" w14:textId="79B66649" w:rsidR="005E7E12" w:rsidRPr="00451657" w:rsidRDefault="00224BC7" w:rsidP="005E7E12">
      <w:pPr>
        <w:spacing w:line="276" w:lineRule="auto"/>
        <w:jc w:val="center"/>
        <w:rPr>
          <w:rFonts w:ascii="Verdana" w:hAnsi="Verdana" w:cs="Arial"/>
          <w:color w:val="000000"/>
          <w:lang w:val="es-ES_tradnl" w:eastAsia="es-CO"/>
        </w:rPr>
      </w:pPr>
      <w:r>
        <w:rPr>
          <w:noProof/>
        </w:rPr>
        <w:drawing>
          <wp:inline distT="0" distB="0" distL="0" distR="0" wp14:anchorId="05875050" wp14:editId="3320CDE0">
            <wp:extent cx="3771429" cy="1400000"/>
            <wp:effectExtent l="0" t="0" r="635" b="0"/>
            <wp:docPr id="124006573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65735" name="Imagen 1" descr="Texto&#10;&#10;Descripción generada automáticamente"/>
                    <pic:cNvPicPr/>
                  </pic:nvPicPr>
                  <pic:blipFill>
                    <a:blip r:embed="rId20"/>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5E7E12" w:rsidRPr="00451657" w14:paraId="4F40A0E8" w14:textId="77777777" w:rsidTr="002B0C8C">
        <w:trPr>
          <w:trHeight w:val="315"/>
        </w:trPr>
        <w:tc>
          <w:tcPr>
            <w:tcW w:w="893" w:type="dxa"/>
            <w:vAlign w:val="center"/>
            <w:hideMark/>
          </w:tcPr>
          <w:p w14:paraId="4AB1BCBF" w14:textId="77777777" w:rsidR="005E7E12" w:rsidRPr="00451657" w:rsidRDefault="005E7E12" w:rsidP="002B0C8C">
            <w:pPr>
              <w:contextualSpacing/>
              <w:rPr>
                <w:rFonts w:ascii="Verdana" w:hAnsi="Verdana" w:cs="Arial"/>
                <w:sz w:val="16"/>
                <w:szCs w:val="16"/>
                <w:lang w:val="es-ES" w:eastAsia="es-ES"/>
              </w:rPr>
            </w:pPr>
            <w:r w:rsidRPr="0045165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FA2DA22" w14:textId="77777777" w:rsidR="005E7E12" w:rsidRPr="00451657" w:rsidRDefault="005E7E12" w:rsidP="002B0C8C">
            <w:pPr>
              <w:contextualSpacing/>
              <w:rPr>
                <w:rStyle w:val="normaltextrun"/>
                <w:rFonts w:ascii="Verdana" w:hAnsi="Verdana"/>
                <w:sz w:val="16"/>
                <w:szCs w:val="16"/>
              </w:rPr>
            </w:pPr>
            <w:r w:rsidRPr="00451657">
              <w:rPr>
                <w:rStyle w:val="normaltextrun"/>
                <w:rFonts w:ascii="Verdana" w:hAnsi="Verdana"/>
                <w:sz w:val="16"/>
                <w:szCs w:val="16"/>
              </w:rPr>
              <w:t>Santiago Alberto Herrera Morillo</w:t>
            </w:r>
          </w:p>
          <w:p w14:paraId="45970FA9" w14:textId="77777777" w:rsidR="005E7E12" w:rsidRPr="00451657" w:rsidRDefault="005E7E12" w:rsidP="002B0C8C">
            <w:pPr>
              <w:contextualSpacing/>
              <w:rPr>
                <w:rFonts w:ascii="Verdana" w:eastAsia="Arial" w:hAnsi="Verdana" w:cs="Arial"/>
                <w:sz w:val="16"/>
                <w:szCs w:val="16"/>
              </w:rPr>
            </w:pPr>
            <w:r w:rsidRPr="00451657">
              <w:rPr>
                <w:rStyle w:val="normaltextrun"/>
                <w:rFonts w:ascii="Verdana" w:hAnsi="Verdana"/>
                <w:sz w:val="16"/>
                <w:szCs w:val="16"/>
              </w:rPr>
              <w:t xml:space="preserve">Analista T2-02 </w:t>
            </w:r>
            <w:r w:rsidRPr="00451657">
              <w:rPr>
                <w:rStyle w:val="normaltextrun"/>
                <w:rFonts w:ascii="Verdana" w:eastAsia="Arial" w:hAnsi="Verdana" w:cs="Arial"/>
                <w:sz w:val="16"/>
                <w:szCs w:val="16"/>
              </w:rPr>
              <w:t>de la Subdirección de Gestión Contractual</w:t>
            </w:r>
          </w:p>
        </w:tc>
      </w:tr>
      <w:tr w:rsidR="005E7E12" w:rsidRPr="00451657" w14:paraId="55BC95BE" w14:textId="77777777" w:rsidTr="002B0C8C">
        <w:trPr>
          <w:trHeight w:val="330"/>
        </w:trPr>
        <w:tc>
          <w:tcPr>
            <w:tcW w:w="893" w:type="dxa"/>
            <w:vAlign w:val="center"/>
            <w:hideMark/>
          </w:tcPr>
          <w:p w14:paraId="7D69CE4D" w14:textId="77777777" w:rsidR="005E7E12" w:rsidRPr="00451657" w:rsidRDefault="005E7E12" w:rsidP="002B0C8C">
            <w:pPr>
              <w:contextualSpacing/>
              <w:rPr>
                <w:rFonts w:ascii="Verdana" w:hAnsi="Verdana" w:cs="Arial"/>
                <w:sz w:val="16"/>
                <w:szCs w:val="16"/>
                <w:lang w:val="es-ES" w:eastAsia="es-ES"/>
              </w:rPr>
            </w:pPr>
            <w:r w:rsidRPr="0045165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F1C60FF" w14:textId="77777777" w:rsidR="005E7E12" w:rsidRPr="00451657" w:rsidRDefault="005E7E12" w:rsidP="002B0C8C">
            <w:pPr>
              <w:pStyle w:val="paragraph"/>
              <w:spacing w:before="0" w:beforeAutospacing="0" w:after="0" w:afterAutospacing="0"/>
              <w:contextualSpacing/>
              <w:textAlignment w:val="baseline"/>
              <w:rPr>
                <w:rStyle w:val="normaltextrun"/>
                <w:rFonts w:ascii="Verdana" w:hAnsi="Verdana" w:cs="Arial"/>
                <w:sz w:val="16"/>
                <w:szCs w:val="16"/>
                <w:lang w:val="es-ES"/>
              </w:rPr>
            </w:pPr>
            <w:r w:rsidRPr="00451657">
              <w:rPr>
                <w:rStyle w:val="normaltextrun"/>
                <w:rFonts w:ascii="Verdana" w:hAnsi="Verdana" w:cs="Arial"/>
                <w:sz w:val="16"/>
                <w:szCs w:val="16"/>
                <w:lang w:val="es-ES"/>
              </w:rPr>
              <w:t>Adriana Katerine López Rodríguez</w:t>
            </w:r>
          </w:p>
          <w:p w14:paraId="5EC20EBF" w14:textId="77777777" w:rsidR="005E7E12" w:rsidRPr="00451657" w:rsidRDefault="005E7E12" w:rsidP="002B0C8C">
            <w:pPr>
              <w:pStyle w:val="paragraph"/>
              <w:spacing w:before="0" w:beforeAutospacing="0" w:after="0" w:afterAutospacing="0"/>
              <w:contextualSpacing/>
              <w:textAlignment w:val="baseline"/>
              <w:rPr>
                <w:rFonts w:ascii="Verdana" w:hAnsi="Verdana" w:cs="Segoe UI"/>
                <w:sz w:val="16"/>
                <w:szCs w:val="16"/>
              </w:rPr>
            </w:pPr>
            <w:r w:rsidRPr="00451657">
              <w:rPr>
                <w:rStyle w:val="normaltextrun"/>
                <w:rFonts w:ascii="Verdana" w:hAnsi="Verdana" w:cs="Arial"/>
                <w:sz w:val="16"/>
                <w:szCs w:val="16"/>
                <w:lang w:val="es-ES"/>
              </w:rPr>
              <w:t>Contratista de la Subdirección de Gestión Contractual</w:t>
            </w:r>
            <w:r w:rsidRPr="00451657">
              <w:rPr>
                <w:rStyle w:val="eop"/>
                <w:rFonts w:ascii="Verdana" w:hAnsi="Verdana" w:cs="Arial"/>
                <w:sz w:val="16"/>
                <w:szCs w:val="16"/>
              </w:rPr>
              <w:t> </w:t>
            </w:r>
          </w:p>
        </w:tc>
      </w:tr>
      <w:tr w:rsidR="005E7E12" w:rsidRPr="00451657" w14:paraId="31CEC427" w14:textId="77777777" w:rsidTr="002B0C8C">
        <w:trPr>
          <w:trHeight w:val="300"/>
        </w:trPr>
        <w:tc>
          <w:tcPr>
            <w:tcW w:w="893" w:type="dxa"/>
            <w:vAlign w:val="center"/>
          </w:tcPr>
          <w:p w14:paraId="3EC98A7E" w14:textId="77777777" w:rsidR="005E7E12" w:rsidRPr="00451657" w:rsidRDefault="005E7E12" w:rsidP="002B0C8C">
            <w:pPr>
              <w:contextualSpacing/>
              <w:rPr>
                <w:rFonts w:ascii="Verdana" w:hAnsi="Verdana" w:cs="Arial"/>
                <w:sz w:val="16"/>
                <w:szCs w:val="16"/>
                <w:lang w:val="es-ES" w:eastAsia="es-ES"/>
              </w:rPr>
            </w:pPr>
            <w:r w:rsidRPr="0045165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4D2CFE6" w14:textId="77777777" w:rsidR="005E7E12" w:rsidRPr="00451657" w:rsidRDefault="005E7E12" w:rsidP="002B0C8C">
            <w:pPr>
              <w:contextualSpacing/>
              <w:rPr>
                <w:rFonts w:ascii="Verdana" w:eastAsia="Calibri" w:hAnsi="Verdana" w:cs="Arial"/>
                <w:sz w:val="16"/>
                <w:szCs w:val="16"/>
                <w:lang w:val="pt-BR" w:eastAsia="es-ES"/>
              </w:rPr>
            </w:pPr>
            <w:r w:rsidRPr="00451657">
              <w:rPr>
                <w:rFonts w:ascii="Verdana" w:eastAsia="Calibri" w:hAnsi="Verdana" w:cs="Arial"/>
                <w:sz w:val="16"/>
                <w:szCs w:val="16"/>
                <w:lang w:val="pt-BR" w:eastAsia="es-ES"/>
              </w:rPr>
              <w:t>Carolina Quintero Gacharná</w:t>
            </w:r>
          </w:p>
          <w:p w14:paraId="367E9960" w14:textId="77777777" w:rsidR="005E7E12" w:rsidRPr="00451657" w:rsidRDefault="005E7E12" w:rsidP="002B0C8C">
            <w:pPr>
              <w:contextualSpacing/>
              <w:rPr>
                <w:rFonts w:ascii="Verdana" w:eastAsia="Calibri" w:hAnsi="Verdana" w:cs="Arial"/>
                <w:sz w:val="16"/>
                <w:szCs w:val="16"/>
                <w:lang w:val="pt-BR" w:eastAsia="es-ES"/>
              </w:rPr>
            </w:pPr>
            <w:r w:rsidRPr="00451657">
              <w:rPr>
                <w:rFonts w:ascii="Verdana" w:eastAsia="Calibri" w:hAnsi="Verdana" w:cs="Arial"/>
                <w:sz w:val="16"/>
                <w:szCs w:val="16"/>
                <w:lang w:eastAsia="es-ES"/>
              </w:rPr>
              <w:t>Subdirectora</w:t>
            </w:r>
            <w:r w:rsidRPr="00451657">
              <w:rPr>
                <w:rFonts w:ascii="Verdana" w:eastAsia="Calibri" w:hAnsi="Verdana" w:cs="Arial"/>
                <w:sz w:val="16"/>
                <w:szCs w:val="16"/>
                <w:lang w:val="pt-BR" w:eastAsia="es-ES"/>
              </w:rPr>
              <w:t xml:space="preserve"> de Gestión Contractual ANCP – CCE</w:t>
            </w:r>
          </w:p>
        </w:tc>
      </w:tr>
    </w:tbl>
    <w:p w14:paraId="6447E28F" w14:textId="77777777" w:rsidR="005E7E12" w:rsidRPr="00451657" w:rsidRDefault="005E7E12" w:rsidP="005E7E12">
      <w:pPr>
        <w:spacing w:after="0" w:line="240" w:lineRule="auto"/>
        <w:rPr>
          <w:rFonts w:ascii="Verdana" w:eastAsia="Times New Roman" w:hAnsi="Verdana" w:cs="Arial"/>
          <w:sz w:val="24"/>
          <w:szCs w:val="24"/>
          <w:lang w:eastAsia="es-ES"/>
        </w:rPr>
      </w:pPr>
    </w:p>
    <w:p w14:paraId="34CB7259" w14:textId="77777777" w:rsidR="005E7E12" w:rsidRPr="00451657" w:rsidRDefault="005E7E12" w:rsidP="005E7E12">
      <w:pPr>
        <w:rPr>
          <w:rFonts w:ascii="Verdana" w:hAnsi="Verdana"/>
        </w:rPr>
      </w:pPr>
    </w:p>
    <w:p w14:paraId="0F293BF4" w14:textId="7BBFAB11" w:rsidR="00127233" w:rsidRPr="00451657" w:rsidRDefault="00127233" w:rsidP="005E7E12">
      <w:pPr>
        <w:rPr>
          <w:rFonts w:ascii="Verdana" w:hAnsi="Verdana"/>
        </w:rPr>
      </w:pPr>
    </w:p>
    <w:sectPr w:rsidR="00127233" w:rsidRPr="00451657"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BFC5D" w14:textId="77777777" w:rsidR="009C0ADD" w:rsidRDefault="009C0ADD" w:rsidP="004A1847">
      <w:pPr>
        <w:spacing w:after="0" w:line="240" w:lineRule="auto"/>
      </w:pPr>
      <w:r>
        <w:separator/>
      </w:r>
    </w:p>
  </w:endnote>
  <w:endnote w:type="continuationSeparator" w:id="0">
    <w:p w14:paraId="1B8522F8" w14:textId="77777777" w:rsidR="009C0ADD" w:rsidRDefault="009C0ADD"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2C5D5" w14:textId="77777777" w:rsidR="009C0ADD" w:rsidRDefault="009C0ADD" w:rsidP="004A1847">
      <w:pPr>
        <w:spacing w:after="0" w:line="240" w:lineRule="auto"/>
      </w:pPr>
      <w:r>
        <w:separator/>
      </w:r>
    </w:p>
  </w:footnote>
  <w:footnote w:type="continuationSeparator" w:id="0">
    <w:p w14:paraId="749E064E" w14:textId="77777777" w:rsidR="009C0ADD" w:rsidRDefault="009C0ADD" w:rsidP="004A1847">
      <w:pPr>
        <w:spacing w:after="0" w:line="240" w:lineRule="auto"/>
      </w:pPr>
      <w:r>
        <w:continuationSeparator/>
      </w:r>
    </w:p>
  </w:footnote>
  <w:footnote w:id="1">
    <w:p w14:paraId="66C52007" w14:textId="77777777" w:rsidR="0013056D" w:rsidRPr="00D02C1A" w:rsidRDefault="0013056D" w:rsidP="0013056D">
      <w:pPr>
        <w:pStyle w:val="NormalWeb"/>
        <w:spacing w:before="0" w:beforeAutospacing="0" w:after="0" w:afterAutospacing="0"/>
        <w:ind w:firstLine="709"/>
        <w:contextualSpacing/>
        <w:jc w:val="both"/>
        <w:rPr>
          <w:rFonts w:asciiTheme="minorHAnsi" w:hAnsiTheme="minorHAnsi" w:cstheme="minorHAnsi"/>
          <w:color w:val="000000"/>
          <w:sz w:val="18"/>
          <w:szCs w:val="18"/>
        </w:rPr>
      </w:pPr>
      <w:r w:rsidRPr="00D02C1A">
        <w:rPr>
          <w:rStyle w:val="Refdenotaalpie"/>
          <w:rFonts w:asciiTheme="minorHAnsi" w:hAnsiTheme="minorHAnsi" w:cstheme="minorHAnsi"/>
          <w:sz w:val="18"/>
          <w:szCs w:val="18"/>
        </w:rPr>
        <w:footnoteRef/>
      </w:r>
      <w:r w:rsidRPr="00D02C1A">
        <w:rPr>
          <w:rFonts w:asciiTheme="minorHAnsi" w:hAnsiTheme="minorHAnsi" w:cstheme="minorHAnsi"/>
          <w:sz w:val="18"/>
          <w:szCs w:val="18"/>
        </w:rPr>
        <w:t xml:space="preserve"> Decreto 1082 de 2015: “</w:t>
      </w:r>
      <w:r w:rsidRPr="00D02C1A">
        <w:rPr>
          <w:rFonts w:asciiTheme="minorHAnsi" w:hAnsiTheme="minorHAnsi" w:cstheme="minorHAnsi"/>
          <w:color w:val="000000"/>
          <w:sz w:val="18"/>
          <w:szCs w:val="18"/>
        </w:rPr>
        <w:t>Artículo 2.2.1.1.1.5.2. Información para inscripción, renovación o actualización</w:t>
      </w:r>
      <w:r w:rsidRPr="00D02C1A">
        <w:rPr>
          <w:rFonts w:asciiTheme="minorHAnsi" w:hAnsiTheme="minorHAnsi" w:cstheme="minorHAnsi"/>
          <w:b/>
          <w:bCs/>
          <w:color w:val="000000"/>
          <w:sz w:val="18"/>
          <w:szCs w:val="18"/>
        </w:rPr>
        <w:t>.</w:t>
      </w:r>
      <w:r w:rsidRPr="00D02C1A">
        <w:rPr>
          <w:rFonts w:asciiTheme="minorHAnsi" w:hAnsiTheme="minorHAnsi" w:cstheme="minorHAnsi"/>
          <w:b/>
          <w:bCs/>
          <w:i/>
          <w:iCs/>
          <w:color w:val="000000"/>
          <w:sz w:val="18"/>
          <w:szCs w:val="18"/>
        </w:rPr>
        <w:t> </w:t>
      </w:r>
      <w:r w:rsidRPr="00D02C1A">
        <w:rPr>
          <w:rFonts w:asciiTheme="minorHAnsi" w:hAnsiTheme="minorHAnsi" w:cstheme="minorHAnsi"/>
          <w:color w:val="000000"/>
          <w:sz w:val="18"/>
          <w:szCs w:val="18"/>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336A9106" w14:textId="77777777" w:rsidR="0013056D" w:rsidRPr="00D02C1A" w:rsidRDefault="0013056D" w:rsidP="0013056D">
      <w:pPr>
        <w:spacing w:after="0" w:line="240" w:lineRule="auto"/>
        <w:ind w:firstLine="709"/>
        <w:contextualSpacing/>
        <w:jc w:val="both"/>
        <w:rPr>
          <w:rFonts w:cstheme="minorHAnsi"/>
          <w:color w:val="000000"/>
          <w:sz w:val="18"/>
          <w:szCs w:val="18"/>
          <w:lang w:eastAsia="es-CO"/>
        </w:rPr>
      </w:pPr>
      <w:r w:rsidRPr="00D02C1A">
        <w:rPr>
          <w:rFonts w:cstheme="minorHAnsi"/>
          <w:color w:val="000000"/>
          <w:sz w:val="18"/>
          <w:szCs w:val="18"/>
          <w:lang w:eastAsia="es-CO"/>
        </w:rPr>
        <w:t>  1. Si es una persona natural: </w:t>
      </w:r>
    </w:p>
    <w:p w14:paraId="1A4A5CE9" w14:textId="77777777" w:rsidR="0013056D" w:rsidRPr="00D02C1A" w:rsidRDefault="0013056D" w:rsidP="0013056D">
      <w:pPr>
        <w:spacing w:after="0" w:line="240" w:lineRule="auto"/>
        <w:ind w:firstLine="709"/>
        <w:contextualSpacing/>
        <w:jc w:val="both"/>
        <w:rPr>
          <w:rFonts w:cstheme="minorHAnsi"/>
          <w:color w:val="000000"/>
          <w:sz w:val="18"/>
          <w:szCs w:val="18"/>
          <w:lang w:eastAsia="es-CO"/>
        </w:rPr>
      </w:pPr>
      <w:r w:rsidRPr="00D02C1A">
        <w:rPr>
          <w:rFonts w:cstheme="minorHAnsi"/>
          <w:color w:val="000000"/>
          <w:sz w:val="18"/>
          <w:szCs w:val="18"/>
          <w:lang w:eastAsia="es-CO"/>
        </w:rPr>
        <w:t>  1.1. Bienes, obras y servicios que ofrecerá a las Entidades Estatales, identificados con el Clasificador de Bienes y Servicios en el tercer nivel. </w:t>
      </w:r>
    </w:p>
    <w:p w14:paraId="31DB264B" w14:textId="77777777" w:rsidR="0013056D" w:rsidRPr="00D02C1A" w:rsidRDefault="0013056D" w:rsidP="0013056D">
      <w:pPr>
        <w:spacing w:after="0" w:line="240" w:lineRule="auto"/>
        <w:ind w:firstLine="709"/>
        <w:contextualSpacing/>
        <w:jc w:val="both"/>
        <w:rPr>
          <w:rFonts w:cstheme="minorHAnsi"/>
          <w:color w:val="000000"/>
          <w:sz w:val="18"/>
          <w:szCs w:val="18"/>
          <w:lang w:eastAsia="es-CO"/>
        </w:rPr>
      </w:pPr>
      <w:r w:rsidRPr="00D02C1A">
        <w:rPr>
          <w:rFonts w:cstheme="minorHAnsi"/>
          <w:color w:val="000000"/>
          <w:sz w:val="18"/>
          <w:szCs w:val="18"/>
          <w:lang w:eastAsia="es-CO"/>
        </w:rPr>
        <w:t>  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p>
    <w:p w14:paraId="3F58E84F" w14:textId="77777777" w:rsidR="0013056D" w:rsidRPr="00D02C1A" w:rsidRDefault="0013056D" w:rsidP="0013056D">
      <w:pPr>
        <w:pStyle w:val="Textonotapie"/>
        <w:ind w:firstLine="709"/>
        <w:contextualSpacing/>
        <w:jc w:val="both"/>
        <w:rPr>
          <w:rFonts w:cstheme="minorHAnsi"/>
          <w:sz w:val="18"/>
          <w:szCs w:val="18"/>
        </w:rPr>
      </w:pPr>
      <w:r w:rsidRPr="00D02C1A">
        <w:rPr>
          <w:rFonts w:cstheme="minorHAnsi"/>
          <w:sz w:val="18"/>
          <w:szCs w:val="18"/>
        </w:rPr>
        <w:t xml:space="preserve"> […]</w:t>
      </w:r>
    </w:p>
    <w:p w14:paraId="50D4E91A" w14:textId="77777777" w:rsidR="0013056D" w:rsidRPr="00D02C1A" w:rsidRDefault="0013056D" w:rsidP="0013056D">
      <w:pPr>
        <w:pStyle w:val="Textonotapie"/>
        <w:ind w:firstLine="709"/>
        <w:contextualSpacing/>
        <w:jc w:val="both"/>
        <w:rPr>
          <w:rFonts w:cstheme="minorHAnsi"/>
          <w:color w:val="000000"/>
          <w:sz w:val="18"/>
          <w:szCs w:val="18"/>
        </w:rPr>
      </w:pPr>
      <w:r w:rsidRPr="00D02C1A">
        <w:rPr>
          <w:rFonts w:cstheme="minorHAnsi"/>
          <w:color w:val="000000"/>
          <w:sz w:val="18"/>
          <w:szCs w:val="18"/>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 […]”.</w:t>
      </w:r>
    </w:p>
    <w:p w14:paraId="12FF7273" w14:textId="77777777" w:rsidR="0013056D" w:rsidRPr="00D02C1A" w:rsidRDefault="0013056D" w:rsidP="0013056D">
      <w:pPr>
        <w:pStyle w:val="Textonotapie"/>
        <w:ind w:firstLine="709"/>
        <w:contextualSpacing/>
        <w:jc w:val="both"/>
        <w:rPr>
          <w:rFonts w:cstheme="minorHAnsi"/>
          <w:color w:val="000000"/>
          <w:sz w:val="18"/>
          <w:szCs w:val="18"/>
        </w:rPr>
      </w:pPr>
    </w:p>
  </w:footnote>
  <w:footnote w:id="2">
    <w:p w14:paraId="56B090E6" w14:textId="77777777" w:rsidR="00D46BB4" w:rsidRPr="00D02C1A" w:rsidRDefault="00D46BB4" w:rsidP="004A50D0">
      <w:pPr>
        <w:pStyle w:val="Textonotapie"/>
        <w:ind w:firstLine="709"/>
        <w:jc w:val="both"/>
        <w:rPr>
          <w:rFonts w:cstheme="minorHAnsi"/>
          <w:sz w:val="18"/>
          <w:szCs w:val="18"/>
        </w:rPr>
      </w:pPr>
      <w:r w:rsidRPr="00D02C1A">
        <w:rPr>
          <w:rStyle w:val="Refdenotaalpie"/>
          <w:rFonts w:cstheme="minorHAnsi"/>
          <w:sz w:val="18"/>
          <w:szCs w:val="18"/>
        </w:rPr>
        <w:footnoteRef/>
      </w:r>
      <w:r w:rsidRPr="00D02C1A">
        <w:rPr>
          <w:rFonts w:cstheme="minorHAnsi"/>
          <w:sz w:val="18"/>
          <w:szCs w:val="18"/>
        </w:rPr>
        <w:t xml:space="preserve"> Decreto 1082 de 2015: “Artículo 2.2.1.1.2.1.3. Pliegos de condiciones. Los pliegos de condiciones deben contener por lo menos la siguiente información:  </w:t>
      </w:r>
    </w:p>
    <w:p w14:paraId="4EB3ACDB" w14:textId="77777777" w:rsidR="00D46BB4" w:rsidRPr="00D02C1A" w:rsidRDefault="00D46BB4" w:rsidP="004A50D0">
      <w:pPr>
        <w:pStyle w:val="Textonotapie"/>
        <w:ind w:firstLine="709"/>
        <w:contextualSpacing/>
        <w:jc w:val="both"/>
        <w:rPr>
          <w:rFonts w:cstheme="minorHAnsi"/>
          <w:sz w:val="18"/>
          <w:szCs w:val="18"/>
        </w:rPr>
      </w:pPr>
      <w:r w:rsidRPr="00D02C1A">
        <w:rPr>
          <w:rFonts w:cstheme="minorHAnsi"/>
          <w:sz w:val="18"/>
          <w:szCs w:val="18"/>
        </w:rPr>
        <w:t xml:space="preserve">1. La descripción técnica, detallada y completa del bien o servicio objeto del contrato, identificado con el cuarto nivel del Clasificador de Bienes y Servicios, de ser posible o de lo contrario con el tercer nivel </w:t>
      </w:r>
      <w:r w:rsidRPr="00D02C1A">
        <w:rPr>
          <w:rFonts w:cstheme="minorHAnsi"/>
          <w:sz w:val="18"/>
          <w:szCs w:val="18"/>
        </w:rPr>
        <w:t>del mismo […]”.</w:t>
      </w:r>
    </w:p>
    <w:p w14:paraId="5DFB3D93" w14:textId="77777777" w:rsidR="00D46BB4" w:rsidRPr="00D02C1A" w:rsidRDefault="00D46BB4" w:rsidP="004A50D0">
      <w:pPr>
        <w:pStyle w:val="Textonotapie"/>
        <w:ind w:firstLine="709"/>
        <w:contextualSpacing/>
        <w:jc w:val="both"/>
        <w:rPr>
          <w:rFonts w:cstheme="minorHAnsi"/>
          <w:sz w:val="18"/>
          <w:szCs w:val="18"/>
        </w:rPr>
      </w:pPr>
    </w:p>
  </w:footnote>
  <w:footnote w:id="3">
    <w:p w14:paraId="184F287F" w14:textId="77777777" w:rsidR="002B6258" w:rsidRPr="00D02C1A" w:rsidRDefault="002B6258" w:rsidP="004A50D0">
      <w:pPr>
        <w:pStyle w:val="Textonotapie"/>
        <w:ind w:firstLine="709"/>
        <w:contextualSpacing/>
        <w:jc w:val="both"/>
        <w:rPr>
          <w:rFonts w:cstheme="minorHAnsi"/>
          <w:sz w:val="18"/>
          <w:szCs w:val="18"/>
          <w:u w:val="single"/>
        </w:rPr>
      </w:pPr>
      <w:r w:rsidRPr="00D02C1A">
        <w:rPr>
          <w:rStyle w:val="Refdenotaalpie"/>
          <w:rFonts w:cstheme="minorHAnsi"/>
          <w:sz w:val="18"/>
          <w:szCs w:val="18"/>
        </w:rPr>
        <w:footnoteRef/>
      </w:r>
      <w:r w:rsidRPr="00D02C1A">
        <w:rPr>
          <w:rFonts w:cstheme="minorHAnsi"/>
          <w:sz w:val="18"/>
          <w:szCs w:val="18"/>
        </w:rPr>
        <w:t xml:space="preserve"> Agencia Nacional de Contratación Pública – Colombia Compra Eficiente. Guía para la codificación de bienes y servicios de acuerdo con el código estándar de productos y servicios de Naciones Unidas, V.14.080. Disponible en: </w:t>
      </w:r>
      <w:hyperlink r:id="rId1" w:history="1">
        <w:r w:rsidRPr="00D02C1A">
          <w:rPr>
            <w:rStyle w:val="Hipervnculo"/>
            <w:rFonts w:cstheme="minorHAnsi"/>
            <w:sz w:val="18"/>
            <w:szCs w:val="18"/>
          </w:rPr>
          <w:t>https://www.colombiacompra.gov.co/sites/cce_public/files/cce_documents/cce_guia_codificacion_bienes.pdf</w:t>
        </w:r>
      </w:hyperlink>
    </w:p>
  </w:footnote>
  <w:footnote w:id="4">
    <w:p w14:paraId="2FD14317" w14:textId="77777777" w:rsidR="002B6258" w:rsidRPr="00D02C1A" w:rsidRDefault="002B6258" w:rsidP="004A50D0">
      <w:pPr>
        <w:pStyle w:val="Textonotapie"/>
        <w:ind w:firstLine="709"/>
        <w:jc w:val="both"/>
        <w:rPr>
          <w:rFonts w:cstheme="minorHAnsi"/>
          <w:sz w:val="18"/>
          <w:szCs w:val="18"/>
        </w:rPr>
      </w:pPr>
      <w:r w:rsidRPr="00D02C1A">
        <w:rPr>
          <w:rStyle w:val="Refdenotaalpie"/>
          <w:rFonts w:cstheme="minorHAnsi"/>
          <w:sz w:val="18"/>
          <w:szCs w:val="18"/>
        </w:rPr>
        <w:footnoteRef/>
      </w:r>
      <w:r w:rsidRPr="00D02C1A">
        <w:rPr>
          <w:rFonts w:cstheme="minorHAnsi"/>
          <w:sz w:val="18"/>
          <w:szCs w:val="18"/>
        </w:rPr>
        <w:t xml:space="preserve">  Agencia Nacional de Contratación Pública – Colombia Compra Eficiente, Circular Externa Única. Expedida el 15 de julio de 2022. Disponible en: </w:t>
      </w:r>
      <w:hyperlink r:id="rId2" w:history="1">
        <w:r w:rsidRPr="00D02C1A">
          <w:rPr>
            <w:rStyle w:val="Hipervnculo"/>
            <w:rFonts w:cstheme="minorHAnsi"/>
            <w:sz w:val="18"/>
            <w:szCs w:val="18"/>
          </w:rPr>
          <w:t>https://www.colombiacompra.gov.co/sites/cce_public/files/cce_circulares/cce-eicp-ma-06_circular_externa_con_comentarios_de_ciudadanos-_v2f_002.pdf</w:t>
        </w:r>
      </w:hyperlink>
    </w:p>
  </w:footnote>
  <w:footnote w:id="5">
    <w:p w14:paraId="0A07909E" w14:textId="77777777" w:rsidR="002B6258" w:rsidRPr="00D02C1A" w:rsidRDefault="002B6258" w:rsidP="004A50D0">
      <w:pPr>
        <w:pStyle w:val="Textonotapie"/>
        <w:ind w:firstLine="709"/>
        <w:contextualSpacing/>
        <w:jc w:val="both"/>
        <w:rPr>
          <w:rFonts w:cstheme="minorHAnsi"/>
          <w:sz w:val="18"/>
          <w:szCs w:val="18"/>
        </w:rPr>
      </w:pPr>
      <w:r w:rsidRPr="00D02C1A">
        <w:rPr>
          <w:rStyle w:val="Refdenotaalpie"/>
          <w:rFonts w:cstheme="minorHAnsi"/>
          <w:sz w:val="18"/>
          <w:szCs w:val="18"/>
        </w:rPr>
        <w:footnoteRef/>
      </w:r>
      <w:r w:rsidRPr="00D02C1A">
        <w:rPr>
          <w:rFonts w:cstheme="minorHAnsi"/>
          <w:sz w:val="18"/>
          <w:szCs w:val="18"/>
        </w:rPr>
        <w:t xml:space="preserve"> </w:t>
      </w:r>
      <w:r w:rsidRPr="00D02C1A">
        <w:rPr>
          <w:rFonts w:cstheme="minorHAnsi"/>
          <w:i/>
          <w:iCs/>
          <w:sz w:val="18"/>
          <w:szCs w:val="18"/>
        </w:rPr>
        <w:t>Ibíd.</w:t>
      </w:r>
      <w:r w:rsidRPr="00D02C1A">
        <w:rPr>
          <w:rFonts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0800"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7728"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1FD1C243" w14:textId="6D74A3CF" w:rsidR="008A446D" w:rsidRDefault="008A446D" w:rsidP="00061B2A">
    <w:pPr>
      <w:pStyle w:val="Encabezado"/>
      <w:spacing w:line="120" w:lineRule="auto"/>
    </w:pPr>
  </w:p>
  <w:p w14:paraId="65CE5D61" w14:textId="77777777" w:rsidR="00F77293" w:rsidRDefault="00F77293"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1351F53"/>
    <w:multiLevelType w:val="hybridMultilevel"/>
    <w:tmpl w:val="2DAC7B24"/>
    <w:lvl w:ilvl="0" w:tplc="A058C640">
      <w:start w:val="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1"/>
  </w:num>
  <w:num w:numId="13" w16cid:durableId="1512908409">
    <w:abstractNumId w:val="3"/>
  </w:num>
  <w:num w:numId="14" w16cid:durableId="895897244">
    <w:abstractNumId w:val="16"/>
  </w:num>
  <w:num w:numId="15" w16cid:durableId="390349800">
    <w:abstractNumId w:val="12"/>
  </w:num>
  <w:num w:numId="16" w16cid:durableId="341274352">
    <w:abstractNumId w:val="0"/>
  </w:num>
  <w:num w:numId="17" w16cid:durableId="1492209491">
    <w:abstractNumId w:val="5"/>
  </w:num>
  <w:num w:numId="18" w16cid:durableId="679089576">
    <w:abstractNumId w:val="10"/>
  </w:num>
  <w:num w:numId="19" w16cid:durableId="532035826">
    <w:abstractNumId w:val="11"/>
  </w:num>
  <w:num w:numId="20" w16cid:durableId="1807503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B2107"/>
    <w:rsid w:val="000D0334"/>
    <w:rsid w:val="000F15BC"/>
    <w:rsid w:val="000F6486"/>
    <w:rsid w:val="001147E6"/>
    <w:rsid w:val="00125105"/>
    <w:rsid w:val="00127233"/>
    <w:rsid w:val="0013056D"/>
    <w:rsid w:val="001C505F"/>
    <w:rsid w:val="001E215C"/>
    <w:rsid w:val="001E4177"/>
    <w:rsid w:val="001F07E6"/>
    <w:rsid w:val="001F7DC6"/>
    <w:rsid w:val="00224BC7"/>
    <w:rsid w:val="002421BB"/>
    <w:rsid w:val="0025796E"/>
    <w:rsid w:val="002707A2"/>
    <w:rsid w:val="002951A0"/>
    <w:rsid w:val="002962BC"/>
    <w:rsid w:val="002A093D"/>
    <w:rsid w:val="002A0DD0"/>
    <w:rsid w:val="002A49AC"/>
    <w:rsid w:val="002A64FD"/>
    <w:rsid w:val="002B6258"/>
    <w:rsid w:val="002C7A84"/>
    <w:rsid w:val="002E4FD9"/>
    <w:rsid w:val="002E620B"/>
    <w:rsid w:val="00312E16"/>
    <w:rsid w:val="00322A85"/>
    <w:rsid w:val="00324168"/>
    <w:rsid w:val="003448F4"/>
    <w:rsid w:val="00374F5E"/>
    <w:rsid w:val="00377E3E"/>
    <w:rsid w:val="003A26D1"/>
    <w:rsid w:val="003A779E"/>
    <w:rsid w:val="003D0F4D"/>
    <w:rsid w:val="003D5B0D"/>
    <w:rsid w:val="003E0499"/>
    <w:rsid w:val="003F3941"/>
    <w:rsid w:val="00406575"/>
    <w:rsid w:val="0042722E"/>
    <w:rsid w:val="0044528D"/>
    <w:rsid w:val="00451657"/>
    <w:rsid w:val="00497E57"/>
    <w:rsid w:val="004A1847"/>
    <w:rsid w:val="004A305D"/>
    <w:rsid w:val="004A50D0"/>
    <w:rsid w:val="004F21C4"/>
    <w:rsid w:val="004F685F"/>
    <w:rsid w:val="00526412"/>
    <w:rsid w:val="005566E8"/>
    <w:rsid w:val="00557403"/>
    <w:rsid w:val="00565347"/>
    <w:rsid w:val="00574867"/>
    <w:rsid w:val="005850B1"/>
    <w:rsid w:val="00591460"/>
    <w:rsid w:val="00591A6D"/>
    <w:rsid w:val="00592628"/>
    <w:rsid w:val="005A1553"/>
    <w:rsid w:val="005C3777"/>
    <w:rsid w:val="005C5CDC"/>
    <w:rsid w:val="005D3356"/>
    <w:rsid w:val="005D476C"/>
    <w:rsid w:val="005E7E12"/>
    <w:rsid w:val="00610812"/>
    <w:rsid w:val="006219F8"/>
    <w:rsid w:val="00650FF7"/>
    <w:rsid w:val="00660647"/>
    <w:rsid w:val="00665D70"/>
    <w:rsid w:val="00665E8E"/>
    <w:rsid w:val="00671DAC"/>
    <w:rsid w:val="00674916"/>
    <w:rsid w:val="006900D9"/>
    <w:rsid w:val="006D12F8"/>
    <w:rsid w:val="00706C16"/>
    <w:rsid w:val="00725389"/>
    <w:rsid w:val="00751DF7"/>
    <w:rsid w:val="00756841"/>
    <w:rsid w:val="007649AB"/>
    <w:rsid w:val="00771D0C"/>
    <w:rsid w:val="0078063F"/>
    <w:rsid w:val="007833AC"/>
    <w:rsid w:val="007B268C"/>
    <w:rsid w:val="007B7171"/>
    <w:rsid w:val="007C0C0F"/>
    <w:rsid w:val="007C3DC2"/>
    <w:rsid w:val="007D0450"/>
    <w:rsid w:val="007E1EB6"/>
    <w:rsid w:val="007E5497"/>
    <w:rsid w:val="007F12CB"/>
    <w:rsid w:val="007F444B"/>
    <w:rsid w:val="00806F5F"/>
    <w:rsid w:val="00820278"/>
    <w:rsid w:val="008843B6"/>
    <w:rsid w:val="00891928"/>
    <w:rsid w:val="008A446D"/>
    <w:rsid w:val="008D180B"/>
    <w:rsid w:val="008E4E9A"/>
    <w:rsid w:val="008F0EA7"/>
    <w:rsid w:val="00923EEF"/>
    <w:rsid w:val="009419F9"/>
    <w:rsid w:val="0095446E"/>
    <w:rsid w:val="0095685E"/>
    <w:rsid w:val="00961B09"/>
    <w:rsid w:val="00963B07"/>
    <w:rsid w:val="00965334"/>
    <w:rsid w:val="0097093E"/>
    <w:rsid w:val="009975BD"/>
    <w:rsid w:val="009A0DFA"/>
    <w:rsid w:val="009B2D26"/>
    <w:rsid w:val="009C0ADD"/>
    <w:rsid w:val="009C6E6D"/>
    <w:rsid w:val="009C71FA"/>
    <w:rsid w:val="009C72E7"/>
    <w:rsid w:val="009D3058"/>
    <w:rsid w:val="009F3A13"/>
    <w:rsid w:val="00A107DE"/>
    <w:rsid w:val="00A122D3"/>
    <w:rsid w:val="00A17F13"/>
    <w:rsid w:val="00A20739"/>
    <w:rsid w:val="00A314AE"/>
    <w:rsid w:val="00A33C78"/>
    <w:rsid w:val="00AB0ADB"/>
    <w:rsid w:val="00AC7C0D"/>
    <w:rsid w:val="00B01B1A"/>
    <w:rsid w:val="00B41C29"/>
    <w:rsid w:val="00B72CD3"/>
    <w:rsid w:val="00B72FFF"/>
    <w:rsid w:val="00BC3D36"/>
    <w:rsid w:val="00BD7F72"/>
    <w:rsid w:val="00C04FB3"/>
    <w:rsid w:val="00C330EB"/>
    <w:rsid w:val="00C66CBD"/>
    <w:rsid w:val="00C74CFC"/>
    <w:rsid w:val="00C754BE"/>
    <w:rsid w:val="00C76B1C"/>
    <w:rsid w:val="00CB6357"/>
    <w:rsid w:val="00CC1B26"/>
    <w:rsid w:val="00CE5CD5"/>
    <w:rsid w:val="00CF031F"/>
    <w:rsid w:val="00D02C1A"/>
    <w:rsid w:val="00D27FC5"/>
    <w:rsid w:val="00D423A2"/>
    <w:rsid w:val="00D46BB4"/>
    <w:rsid w:val="00D520D8"/>
    <w:rsid w:val="00D5247D"/>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53D"/>
    <w:rsid w:val="00E90F6B"/>
    <w:rsid w:val="00E92C27"/>
    <w:rsid w:val="00EA0E3D"/>
    <w:rsid w:val="00EC38A7"/>
    <w:rsid w:val="00EE1AA8"/>
    <w:rsid w:val="00EF6F0B"/>
    <w:rsid w:val="00F31EDC"/>
    <w:rsid w:val="00F462B3"/>
    <w:rsid w:val="00F5664F"/>
    <w:rsid w:val="00F666C4"/>
    <w:rsid w:val="00F72B41"/>
    <w:rsid w:val="00F76AFC"/>
    <w:rsid w:val="00F77293"/>
    <w:rsid w:val="00FA07F7"/>
    <w:rsid w:val="00FA3E02"/>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5E7E12"/>
    <w:pPr>
      <w:spacing w:line="240" w:lineRule="exact"/>
    </w:pPr>
    <w:rPr>
      <w:vertAlign w:val="superscript"/>
    </w:rPr>
  </w:style>
  <w:style w:type="character" w:styleId="Textoennegrita">
    <w:name w:val="Strong"/>
    <w:basedOn w:val="Fuentedeprrafopredeter"/>
    <w:uiPriority w:val="22"/>
    <w:qFormat/>
    <w:rsid w:val="005E7E12"/>
    <w:rPr>
      <w:b/>
      <w:bCs/>
    </w:rPr>
  </w:style>
  <w:style w:type="character" w:styleId="nfasis">
    <w:name w:val="Emphasis"/>
    <w:basedOn w:val="Fuentedeprrafopredeter"/>
    <w:uiPriority w:val="20"/>
    <w:qFormat/>
    <w:rsid w:val="005E7E12"/>
    <w:rPr>
      <w:i/>
      <w:iCs/>
    </w:rPr>
  </w:style>
  <w:style w:type="paragraph" w:styleId="Textoindependiente">
    <w:name w:val="Body Text"/>
    <w:basedOn w:val="Normal"/>
    <w:link w:val="TextoindependienteCar"/>
    <w:uiPriority w:val="1"/>
    <w:unhideWhenUsed/>
    <w:qFormat/>
    <w:rsid w:val="005E7E12"/>
    <w:pPr>
      <w:spacing w:after="120"/>
    </w:pPr>
  </w:style>
  <w:style w:type="character" w:customStyle="1" w:styleId="TextoindependienteCar">
    <w:name w:val="Texto independiente Car"/>
    <w:basedOn w:val="Fuentedeprrafopredeter"/>
    <w:link w:val="Textoindependiente"/>
    <w:uiPriority w:val="1"/>
    <w:rsid w:val="005E7E12"/>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E7E12"/>
    <w:rPr>
      <w:rFonts w:ascii="Geomanist Light" w:hAnsi="Geomanist Light"/>
      <w:lang w:val="es-ES"/>
    </w:rPr>
  </w:style>
  <w:style w:type="character" w:customStyle="1" w:styleId="NormalWebCar">
    <w:name w:val="Normal (Web) Car"/>
    <w:link w:val="NormalWeb"/>
    <w:uiPriority w:val="99"/>
    <w:rsid w:val="005E7E12"/>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32788">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71272956">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84277896">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061171464">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297488626">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837501948">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clasificador-de-bienes-y-Servicios" TargetMode="External"/><Relationship Id="rId18" Type="http://schemas.openxmlformats.org/officeDocument/2006/relationships/hyperlink" Target="https://relatoria.colombiacompra.gov.co/busqueda/concepto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colombiacompra.gov.co/sites/cce_public/files/cce_documents/cce_guia_codificacion_bienes.pdf" TargetMode="External"/><Relationship Id="rId17" Type="http://schemas.openxmlformats.org/officeDocument/2006/relationships/hyperlink" Target="https://www.colombiacompra.gov.co/manuales-guias-y-pliegos-tipo/manuales-y-guias" TargetMode="External"/><Relationship Id="rId2" Type="http://schemas.openxmlformats.org/officeDocument/2006/relationships/customXml" Target="../customXml/item2.xml"/><Relationship Id="rId16" Type="http://schemas.openxmlformats.org/officeDocument/2006/relationships/hyperlink" Target="https://relatoria.colombiacompra.gov.co/providencias-consejo-de-estado/"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nathancotacio@gmail.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olombiacompra.gov.co/sites/cce_public/files/cce_documents/cce_guia_codificacion_bienes.pd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nam02.safelinks.protection.outlook.com/?url=https%3A%2F%2Fwww.colombiacompra.gov.co%2Fsala-de-prensa%2Fboletin-digital%2Fboletin-de-relatoria-2024-iv&amp;data=05%7C02%7Csantiago.herrera%40colombiacompra.gov.co%7C616b83c3423e4d31151908dce489c00d%7C7b09041e245149d08cb179d5e3d8c1be%7C0%7C0%7C638636527542139879%7CUnknown%7CTWFpbGZsb3d8eyJWIjoiMC4wLjAwMDAiLCJQIjoiV2luMzIiLCJBTiI6Ik1haWwiLCJXVCI6Mn0%3D%7C0%7C%7C%7C&amp;sdata=cTSoqYrgsA%2B1ozYbYaBk7O2UAo9X4MVYRRCSbT9O8xc%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ites/default/files/manuales/cce_guiaresidual_v02_web.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circulares/cce-eicp-ma-06_circular_externa_con_comentarios_de_ciudadanos-_v2f_002.pdf" TargetMode="External"/><Relationship Id="rId1" Type="http://schemas.openxmlformats.org/officeDocument/2006/relationships/hyperlink" Target="https://www.colombiacompra.gov.co/sites/cce_public/files/cce_documents/cce_guia_codificacion_bien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12DDB690-81F3-4281-8C98-2D98C267A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36c82cfe-0eda-494d-b392-a9281b89aaf0"/>
    <ds:schemaRef ds:uri="http://purl.org/dc/elements/1.1/"/>
    <ds:schemaRef ds:uri="http://www.w3.org/XML/1998/namespace"/>
    <ds:schemaRef ds:uri="http://schemas.microsoft.com/office/2006/documentManagement/types"/>
    <ds:schemaRef ds:uri="8ae15d26-076e-464e-81a7-6f76a0fb3917"/>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4012</Words>
  <Characters>22066</Characters>
  <Application>Microsoft Office Word</Application>
  <DocSecurity>0</DocSecurity>
  <Lines>183</Lines>
  <Paragraphs>52</Paragraphs>
  <ScaleCrop>false</ScaleCrop>
  <Company/>
  <LinksUpToDate>false</LinksUpToDate>
  <CharactersWithSpaces>26026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16</cp:revision>
  <cp:lastPrinted>2023-01-10T21:18:00Z</cp:lastPrinted>
  <dcterms:created xsi:type="dcterms:W3CDTF">2024-10-15T15:29:00Z</dcterms:created>
  <dcterms:modified xsi:type="dcterms:W3CDTF">2024-10-17T22:58:00Z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