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7C10F" w14:textId="77777777" w:rsidR="00FE6FBA" w:rsidRDefault="00FE6FBA" w:rsidP="00470F19">
      <w:pPr>
        <w:spacing w:after="0"/>
        <w:rPr>
          <w:rFonts w:ascii="Verdana" w:hAnsi="Verdana"/>
        </w:rPr>
      </w:pPr>
    </w:p>
    <w:p w14:paraId="51D23AA0" w14:textId="77777777" w:rsidR="00FE6FBA" w:rsidRPr="00AB11C1" w:rsidRDefault="00FE6FBA" w:rsidP="00FE6FBA">
      <w:pPr>
        <w:spacing w:line="240" w:lineRule="auto"/>
        <w:jc w:val="both"/>
        <w:rPr>
          <w:rFonts w:ascii="Verdana" w:eastAsia="Calibri" w:hAnsi="Verdana" w:cs="Arial"/>
          <w:b/>
          <w:bCs/>
          <w:lang w:val="es-MX"/>
        </w:rPr>
      </w:pPr>
      <w:r w:rsidRPr="00AB11C1">
        <w:rPr>
          <w:rFonts w:ascii="Verdana" w:eastAsia="Calibri" w:hAnsi="Verdana" w:cs="Arial"/>
          <w:b/>
          <w:bCs/>
          <w:lang w:val="es-MX"/>
        </w:rPr>
        <w:t>EXPERIENCIA – Transferencia – Accionistas, socios o constituyentes – Decreto 1082 de 2015</w:t>
      </w:r>
    </w:p>
    <w:p w14:paraId="091FEEF6" w14:textId="77777777" w:rsidR="00FE6FBA" w:rsidRPr="00AB11C1" w:rsidRDefault="00FE6FBA" w:rsidP="00FE6FBA">
      <w:pPr>
        <w:spacing w:line="240" w:lineRule="auto"/>
        <w:jc w:val="both"/>
        <w:rPr>
          <w:rFonts w:ascii="Verdana" w:eastAsia="Calibri" w:hAnsi="Verdana" w:cs="Arial"/>
          <w:lang w:val="es-MX"/>
        </w:rPr>
      </w:pPr>
      <w:r w:rsidRPr="00AB11C1">
        <w:rPr>
          <w:rFonts w:ascii="Verdana" w:eastAsia="Calibri" w:hAnsi="Verdana" w:cs="Arial"/>
          <w:lang w:val="es-MX"/>
        </w:rPr>
        <w:t>La parte final del numeral 2.5 del artículo 2.2.1.1.1.5.2. del Decreto 1082 de 2015 incluye una medida diferenciada para las personas jurídicas cuya constitución sea menor a 3 años al momento del registro. Esta prerrogativa, que puede ser entendida como de fomento a la participación de los oferentes en la contratación estatal, permite que las sociedades relativamente nuevas ─con menos de 3 años de constitución─ puedan acreditar como experiencia en el RUP la de sus accionistas, socios o constituyentes. A pesar de que la experiencia es inherente a la persona que la ha obtenido, razón por la cual es intransferible en virtud de su carácter personalísimo, por disposición legal o reglamentaria, en casos excepcionales, como el descrito por el artículo mencionado, se permite hacerlo.</w:t>
      </w:r>
    </w:p>
    <w:p w14:paraId="291EF6E3" w14:textId="77777777" w:rsidR="00FE6FBA" w:rsidRPr="00AB11C1" w:rsidRDefault="00FE6FBA" w:rsidP="00FE6FBA">
      <w:pPr>
        <w:spacing w:line="240" w:lineRule="auto"/>
        <w:jc w:val="both"/>
        <w:rPr>
          <w:rFonts w:ascii="Verdana" w:eastAsia="Calibri" w:hAnsi="Verdana" w:cs="Arial"/>
          <w:lang w:val="es-MX"/>
        </w:rPr>
      </w:pPr>
      <w:r w:rsidRPr="00AB11C1">
        <w:rPr>
          <w:rFonts w:ascii="Verdana" w:eastAsia="Calibri" w:hAnsi="Verdana" w:cs="Arial"/>
          <w:lang w:val="es-MX"/>
        </w:rPr>
        <w:t xml:space="preserve">[…] </w:t>
      </w:r>
    </w:p>
    <w:p w14:paraId="23F219B0" w14:textId="77777777" w:rsidR="00FE6FBA" w:rsidRPr="00AB11C1" w:rsidRDefault="00FE6FBA" w:rsidP="00FE6FBA">
      <w:pPr>
        <w:spacing w:line="240" w:lineRule="auto"/>
        <w:jc w:val="both"/>
        <w:rPr>
          <w:rFonts w:ascii="Verdana" w:eastAsia="Calibri" w:hAnsi="Verdana" w:cs="Arial"/>
          <w:lang w:val="es-MX"/>
        </w:rPr>
      </w:pPr>
      <w:r w:rsidRPr="00AB11C1">
        <w:rPr>
          <w:rFonts w:ascii="Verdana" w:eastAsia="Calibri" w:hAnsi="Verdana" w:cs="Arial"/>
          <w:lang w:val="es-MX"/>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su experiencia a la sociedad de la que es parte, para que ésta, como persona jurídica independiente, cumpla los requisitos habilitantes o puntuables que establezcan las entidades estatales en sus procesos de contratación, y de esta forma promover el desarrollo de la empresa y la pluralidad de oferentes en la contratación pública.</w:t>
      </w:r>
    </w:p>
    <w:p w14:paraId="66AA62A1" w14:textId="77777777" w:rsidR="00FE6FBA" w:rsidRPr="005821E0" w:rsidRDefault="00FE6FBA" w:rsidP="00FE6FBA">
      <w:pPr>
        <w:spacing w:after="0" w:line="240" w:lineRule="auto"/>
        <w:rPr>
          <w:rFonts w:ascii="Verdana" w:hAnsi="Verdana"/>
          <w:lang w:val="es-MX"/>
        </w:rPr>
      </w:pPr>
    </w:p>
    <w:p w14:paraId="31969B72" w14:textId="77777777" w:rsidR="00FE6FBA" w:rsidRPr="005821E0" w:rsidRDefault="00FE6FBA" w:rsidP="00FE6FBA">
      <w:pPr>
        <w:spacing w:line="240" w:lineRule="auto"/>
        <w:jc w:val="both"/>
        <w:rPr>
          <w:rFonts w:ascii="Verdana" w:eastAsia="Calibri" w:hAnsi="Verdana" w:cs="Arial"/>
          <w:b/>
          <w:bCs/>
          <w:lang w:val="es-MX"/>
        </w:rPr>
      </w:pPr>
      <w:r w:rsidRPr="005821E0">
        <w:rPr>
          <w:rFonts w:ascii="Verdana" w:eastAsia="Calibri" w:hAnsi="Verdana" w:cs="Arial"/>
          <w:b/>
          <w:bCs/>
          <w:lang w:val="es-MX"/>
        </w:rPr>
        <w:t xml:space="preserve">EXPERIENCIA – Transferencia – Accionistas, socios o constituyentes </w:t>
      </w:r>
    </w:p>
    <w:p w14:paraId="79D63FE6" w14:textId="77777777" w:rsidR="00FE6FBA" w:rsidRPr="005821E0" w:rsidRDefault="00FE6FBA" w:rsidP="00FE6FBA">
      <w:pPr>
        <w:spacing w:after="120" w:line="240" w:lineRule="auto"/>
        <w:jc w:val="both"/>
        <w:rPr>
          <w:rFonts w:ascii="Verdana" w:eastAsia="Calibri" w:hAnsi="Verdana" w:cs="Arial"/>
          <w:lang w:val="es-MX"/>
        </w:rPr>
      </w:pPr>
      <w:r w:rsidRPr="005821E0">
        <w:rPr>
          <w:rFonts w:ascii="Verdana" w:eastAsia="Calibri" w:hAnsi="Verdana" w:cs="Arial"/>
          <w:lang w:val="es-MX"/>
        </w:rPr>
        <w:t xml:space="preserve">El </w:t>
      </w:r>
      <w:r w:rsidRPr="005821E0">
        <w:rPr>
          <w:rFonts w:ascii="Verdana" w:eastAsia="Century Gothic" w:hAnsi="Verdana" w:cs="Century Gothic"/>
        </w:rPr>
        <w:t xml:space="preserve">numeral 2.5 del artículo 2.2.1.1.1.5.2 de </w:t>
      </w:r>
      <w:r w:rsidRPr="005821E0">
        <w:rPr>
          <w:rFonts w:ascii="Verdana" w:eastAsia="Calibri" w:hAnsi="Verdana" w:cs="Arial"/>
          <w:lang w:val="es-MX"/>
        </w:rPr>
        <w:t xml:space="preserve">Decreto 1082 de 2015 solo permite que una sociedad acredite la experiencia de quienes tienen la calidad de accionistas, socios o constituyentes durante los primeros tres años de su constitución. Por tanto, si no se tiene o se pierden estas calidades, como sucedería cuando un socio se retira por venta o cesión de su participación y pierde su calidad de socio y/o fallece, ya no sería posible que la sociedad acredite la experiencia aportada por dicha persona, toda vez que la experiencia es inherente a la persona que la ha obtenido, razón por la cual es intransferible en virtud de su carácter personalísimo, pero por disposición legal o reglamentaria, en casos excepcionales, como el descrito por el </w:t>
      </w:r>
      <w:r w:rsidRPr="005821E0">
        <w:rPr>
          <w:rFonts w:ascii="Verdana" w:eastAsia="Century Gothic" w:hAnsi="Verdana" w:cs="Century Gothic"/>
        </w:rPr>
        <w:t>numeral 2.5 del artículo 2.2.1.1.1.5.2 del Decreto 1082 de 2015</w:t>
      </w:r>
      <w:r w:rsidRPr="005821E0">
        <w:rPr>
          <w:rFonts w:ascii="Verdana" w:eastAsia="Calibri" w:hAnsi="Verdana" w:cs="Arial"/>
          <w:lang w:val="es-MX"/>
        </w:rPr>
        <w:t>, se permite hacerlo</w:t>
      </w:r>
      <w:r>
        <w:rPr>
          <w:rFonts w:ascii="Verdana" w:eastAsia="Calibri" w:hAnsi="Verdana" w:cs="Arial"/>
          <w:lang w:val="es-MX"/>
        </w:rPr>
        <w:t xml:space="preserve">. </w:t>
      </w:r>
      <w:r w:rsidRPr="005821E0">
        <w:rPr>
          <w:rFonts w:ascii="Verdana" w:eastAsia="Calibri" w:hAnsi="Verdana" w:cs="Arial"/>
          <w:lang w:val="es-MX"/>
        </w:rPr>
        <w:t>Lo propio pasa con la muerte de uno de los socios, dado que, será jurídicamente inviable pretender que la experiencia de un sujeto que no existe sea transferida.</w:t>
      </w:r>
    </w:p>
    <w:p w14:paraId="724917A3" w14:textId="77777777" w:rsidR="00FE6FBA" w:rsidRDefault="00FE6FBA" w:rsidP="00470F19">
      <w:pPr>
        <w:spacing w:after="0"/>
        <w:rPr>
          <w:rFonts w:ascii="Verdana" w:hAnsi="Verdana"/>
          <w:lang w:val="es-MX"/>
        </w:rPr>
      </w:pPr>
    </w:p>
    <w:p w14:paraId="0F02435C" w14:textId="5FE7AB1D" w:rsidR="00470F19" w:rsidRPr="00AB11C1" w:rsidRDefault="00470F19" w:rsidP="00470F19">
      <w:pPr>
        <w:spacing w:after="0"/>
        <w:rPr>
          <w:rFonts w:ascii="Verdana" w:hAnsi="Verdana"/>
        </w:rPr>
      </w:pPr>
      <w:r w:rsidRPr="00AB11C1">
        <w:rPr>
          <w:rFonts w:ascii="Verdana" w:hAnsi="Verdana"/>
        </w:rPr>
        <w:lastRenderedPageBreak/>
        <w:t xml:space="preserve">Bogotá D.C., </w:t>
      </w:r>
      <w:r w:rsidR="00FE6FBA">
        <w:rPr>
          <w:rFonts w:ascii="Verdana" w:hAnsi="Verdana"/>
        </w:rPr>
        <w:t>16</w:t>
      </w:r>
      <w:r w:rsidRPr="00AB11C1">
        <w:rPr>
          <w:rFonts w:ascii="Verdana" w:hAnsi="Verdana"/>
        </w:rPr>
        <w:t xml:space="preserve"> </w:t>
      </w:r>
      <w:r w:rsidR="00FE6FBA">
        <w:rPr>
          <w:rFonts w:ascii="Verdana" w:hAnsi="Verdana"/>
        </w:rPr>
        <w:t>octubre 2024</w:t>
      </w:r>
    </w:p>
    <w:p w14:paraId="091073E7" w14:textId="77777777" w:rsidR="00FE6FBA" w:rsidRDefault="00FE6FBA" w:rsidP="00470F19">
      <w:pPr>
        <w:spacing w:after="0" w:line="240" w:lineRule="auto"/>
        <w:jc w:val="both"/>
        <w:rPr>
          <w:rFonts w:ascii="Verdana" w:hAnsi="Verdana"/>
        </w:rPr>
      </w:pPr>
    </w:p>
    <w:p w14:paraId="5C3F50DC" w14:textId="1C19BBE5" w:rsidR="00FE6FBA" w:rsidRDefault="00FE6FBA" w:rsidP="00FE6FBA">
      <w:pPr>
        <w:spacing w:after="0" w:line="240" w:lineRule="auto"/>
        <w:ind w:left="3540"/>
        <w:jc w:val="both"/>
        <w:rPr>
          <w:rFonts w:ascii="Verdana" w:eastAsia="Calibri" w:hAnsi="Verdana" w:cs="Arial"/>
          <w:lang w:eastAsia="es-ES"/>
        </w:rPr>
      </w:pPr>
      <w:r w:rsidRPr="00FE6FBA">
        <w:rPr>
          <w:rFonts w:ascii="Verdana" w:eastAsia="Calibri" w:hAnsi="Verdana" w:cs="Arial"/>
          <w:lang w:eastAsia="es-ES"/>
        </w:rPr>
        <w:drawing>
          <wp:inline distT="0" distB="0" distL="0" distR="0" wp14:anchorId="224A0BB9" wp14:editId="0DB06F48">
            <wp:extent cx="3972479" cy="1190791"/>
            <wp:effectExtent l="0" t="0" r="9525" b="9525"/>
            <wp:docPr id="18285148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514880" name=""/>
                    <pic:cNvPicPr/>
                  </pic:nvPicPr>
                  <pic:blipFill>
                    <a:blip r:embed="rId10"/>
                    <a:stretch>
                      <a:fillRect/>
                    </a:stretch>
                  </pic:blipFill>
                  <pic:spPr>
                    <a:xfrm>
                      <a:off x="0" y="0"/>
                      <a:ext cx="3972479" cy="1190791"/>
                    </a:xfrm>
                    <a:prstGeom prst="rect">
                      <a:avLst/>
                    </a:prstGeom>
                  </pic:spPr>
                </pic:pic>
              </a:graphicData>
            </a:graphic>
          </wp:inline>
        </w:drawing>
      </w:r>
    </w:p>
    <w:p w14:paraId="22419335" w14:textId="791CADAA" w:rsidR="00470F19" w:rsidRPr="00AB11C1" w:rsidRDefault="00470F19" w:rsidP="00470F19">
      <w:pPr>
        <w:spacing w:after="0" w:line="240" w:lineRule="auto"/>
        <w:jc w:val="both"/>
        <w:rPr>
          <w:rFonts w:ascii="Verdana" w:eastAsia="Calibri" w:hAnsi="Verdana" w:cs="Arial"/>
          <w:lang w:val="es-ES" w:eastAsia="es-ES"/>
        </w:rPr>
      </w:pPr>
      <w:r w:rsidRPr="00AB11C1">
        <w:rPr>
          <w:rFonts w:ascii="Verdana" w:eastAsia="Calibri" w:hAnsi="Verdana" w:cs="Arial"/>
          <w:lang w:val="es-ES" w:eastAsia="es-ES"/>
        </w:rPr>
        <w:t>Señora</w:t>
      </w:r>
    </w:p>
    <w:p w14:paraId="48B90D4E" w14:textId="221A7D3D" w:rsidR="00470F19" w:rsidRPr="00AB11C1" w:rsidRDefault="00B5155C" w:rsidP="00470F19">
      <w:pPr>
        <w:spacing w:after="0" w:line="240" w:lineRule="auto"/>
        <w:jc w:val="both"/>
        <w:rPr>
          <w:rFonts w:ascii="Verdana" w:eastAsia="Calibri" w:hAnsi="Verdana" w:cs="Arial"/>
          <w:b/>
          <w:bCs/>
          <w:lang w:eastAsia="es-ES"/>
        </w:rPr>
      </w:pPr>
      <w:r w:rsidRPr="00AC0A74">
        <w:rPr>
          <w:rFonts w:ascii="Verdana" w:eastAsia="Calibri" w:hAnsi="Verdana" w:cs="Arial"/>
          <w:b/>
          <w:bCs/>
          <w:lang w:eastAsia="es-ES"/>
        </w:rPr>
        <w:t>María Fernanda Rocha</w:t>
      </w:r>
    </w:p>
    <w:p w14:paraId="7E4033E3" w14:textId="77777777" w:rsidR="00470F19" w:rsidRPr="00C75225" w:rsidRDefault="00470F19" w:rsidP="00470F19">
      <w:pPr>
        <w:spacing w:after="0" w:line="240" w:lineRule="auto"/>
        <w:jc w:val="both"/>
        <w:rPr>
          <w:rFonts w:ascii="Verdana" w:hAnsi="Verdana"/>
        </w:rPr>
      </w:pPr>
      <w:hyperlink r:id="rId11" w:history="1">
        <w:r w:rsidRPr="00C75225">
          <w:rPr>
            <w:rStyle w:val="Hipervnculo"/>
            <w:rFonts w:ascii="Verdana" w:hAnsi="Verdana"/>
          </w:rPr>
          <w:t>mfrochaj@outlook.com</w:t>
        </w:r>
      </w:hyperlink>
      <w:r w:rsidRPr="00C75225">
        <w:rPr>
          <w:rFonts w:ascii="Verdana" w:hAnsi="Verdana"/>
        </w:rPr>
        <w:t xml:space="preserve">; </w:t>
      </w:r>
    </w:p>
    <w:p w14:paraId="00138168" w14:textId="77777777" w:rsidR="00470F19" w:rsidRPr="00C75225" w:rsidRDefault="00470F19" w:rsidP="00470F19">
      <w:pPr>
        <w:spacing w:after="0" w:line="240" w:lineRule="auto"/>
        <w:jc w:val="both"/>
        <w:rPr>
          <w:rFonts w:ascii="Verdana" w:eastAsia="Calibri" w:hAnsi="Verdana" w:cs="Arial"/>
          <w:szCs w:val="24"/>
          <w:lang w:val="es-ES_tradnl" w:eastAsia="es-ES_tradnl"/>
        </w:rPr>
      </w:pPr>
      <w:r>
        <w:rPr>
          <w:rFonts w:ascii="Verdana" w:eastAsia="Calibri" w:hAnsi="Verdana" w:cs="Arial"/>
          <w:szCs w:val="24"/>
          <w:lang w:val="es-ES_tradnl" w:eastAsia="es-ES_tradnl"/>
        </w:rPr>
        <w:t>Barranquilla, Atlántico</w:t>
      </w:r>
    </w:p>
    <w:p w14:paraId="075822AA" w14:textId="77777777" w:rsidR="00470F19" w:rsidRPr="00AB11C1" w:rsidRDefault="00470F19" w:rsidP="00470F19">
      <w:pPr>
        <w:spacing w:after="0" w:line="240" w:lineRule="auto"/>
        <w:rPr>
          <w:rFonts w:ascii="Verdana" w:eastAsia="Calibri" w:hAnsi="Verdana" w:cs="Arial"/>
          <w:szCs w:val="24"/>
          <w:lang w:val="es-ES_tradnl" w:eastAsia="es-ES_tradnl"/>
        </w:rPr>
      </w:pPr>
    </w:p>
    <w:p w14:paraId="5B3689DB" w14:textId="77777777" w:rsidR="00470F19" w:rsidRPr="00AB11C1" w:rsidRDefault="00470F19" w:rsidP="00470F19">
      <w:pPr>
        <w:spacing w:after="0" w:line="240" w:lineRule="auto"/>
        <w:ind w:left="2694"/>
        <w:rPr>
          <w:rFonts w:ascii="Verdana" w:eastAsia="Calibri" w:hAnsi="Verdana" w:cs="Arial"/>
          <w:b/>
          <w:bCs/>
          <w:lang w:val="es-ES" w:eastAsia="es-ES"/>
        </w:rPr>
      </w:pPr>
      <w:r w:rsidRPr="00AB11C1">
        <w:rPr>
          <w:rFonts w:ascii="Verdana" w:eastAsia="Calibri" w:hAnsi="Verdana" w:cs="Arial"/>
          <w:b/>
          <w:bCs/>
          <w:lang w:val="es-ES" w:eastAsia="es-ES"/>
        </w:rPr>
        <w:t>Concepto C-</w:t>
      </w:r>
      <w:r>
        <w:rPr>
          <w:rFonts w:ascii="Verdana" w:eastAsia="Calibri" w:hAnsi="Verdana" w:cs="Arial"/>
          <w:b/>
          <w:bCs/>
          <w:lang w:val="es-ES" w:eastAsia="es-ES"/>
        </w:rPr>
        <w:t>557</w:t>
      </w:r>
      <w:r w:rsidRPr="00AB11C1">
        <w:rPr>
          <w:rFonts w:ascii="Verdana" w:eastAsia="Calibri" w:hAnsi="Verdana" w:cs="Arial"/>
          <w:b/>
          <w:bCs/>
          <w:lang w:val="es-ES" w:eastAsia="es-ES"/>
        </w:rPr>
        <w:t xml:space="preserve"> de 2024</w:t>
      </w:r>
    </w:p>
    <w:p w14:paraId="56538399" w14:textId="77777777" w:rsidR="00470F19" w:rsidRPr="00AB11C1" w:rsidRDefault="00470F19" w:rsidP="00470F19">
      <w:pPr>
        <w:spacing w:after="0" w:line="240" w:lineRule="auto"/>
        <w:ind w:left="2694"/>
        <w:rPr>
          <w:rFonts w:ascii="Verdana" w:eastAsia="Calibri" w:hAnsi="Verdana" w:cs="Arial"/>
          <w:szCs w:val="24"/>
          <w:lang w:val="es-ES_tradnl" w:eastAsia="es-ES_tradnl"/>
        </w:rPr>
      </w:pPr>
    </w:p>
    <w:p w14:paraId="5CEC6191" w14:textId="77777777" w:rsidR="00470F19" w:rsidRPr="00AB11C1" w:rsidRDefault="00470F19" w:rsidP="00470F19">
      <w:pPr>
        <w:spacing w:after="0" w:line="240" w:lineRule="auto"/>
        <w:ind w:left="2694"/>
        <w:rPr>
          <w:rFonts w:ascii="Verdana" w:eastAsia="Calibri" w:hAnsi="Verdana" w:cs="Arial"/>
          <w:szCs w:val="24"/>
          <w:lang w:val="es-ES_tradnl" w:eastAsia="es-ES_tradnl"/>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gridCol w:w="6237"/>
      </w:tblGrid>
      <w:tr w:rsidR="00470F19" w:rsidRPr="005821E0" w14:paraId="51310E50" w14:textId="77777777" w:rsidTr="00AF3B54">
        <w:trPr>
          <w:trHeight w:val="884"/>
        </w:trPr>
        <w:tc>
          <w:tcPr>
            <w:tcW w:w="2689" w:type="dxa"/>
          </w:tcPr>
          <w:p w14:paraId="7367E179" w14:textId="77777777" w:rsidR="00470F19" w:rsidRPr="005821E0" w:rsidRDefault="00470F19" w:rsidP="00AF3B54">
            <w:pPr>
              <w:jc w:val="both"/>
              <w:rPr>
                <w:rFonts w:ascii="Verdana" w:eastAsia="Calibri" w:hAnsi="Verdana" w:cs="Arial"/>
                <w:szCs w:val="24"/>
                <w:lang w:val="es-ES_tradnl" w:eastAsia="es-ES_tradnl"/>
              </w:rPr>
            </w:pPr>
            <w:r w:rsidRPr="005821E0">
              <w:rPr>
                <w:rFonts w:ascii="Verdana" w:eastAsia="Calibri" w:hAnsi="Verdana" w:cs="Arial"/>
                <w:szCs w:val="24"/>
                <w:lang w:val="es-ES_tradnl" w:eastAsia="es-ES_tradnl"/>
              </w:rPr>
              <w:t xml:space="preserve">Temas:                   </w:t>
            </w:r>
          </w:p>
        </w:tc>
        <w:tc>
          <w:tcPr>
            <w:tcW w:w="6237" w:type="dxa"/>
          </w:tcPr>
          <w:p w14:paraId="7341CB13" w14:textId="77777777" w:rsidR="00470F19" w:rsidRPr="00AE6C03" w:rsidRDefault="00470F19" w:rsidP="00B54A88">
            <w:pPr>
              <w:spacing w:after="120" w:line="276" w:lineRule="auto"/>
              <w:contextualSpacing/>
              <w:jc w:val="both"/>
              <w:rPr>
                <w:rFonts w:ascii="Verdana" w:eastAsia="Calibri" w:hAnsi="Verdana" w:cs="Arial"/>
                <w:lang w:eastAsia="es-ES"/>
              </w:rPr>
            </w:pPr>
            <w:r w:rsidRPr="00D06493">
              <w:rPr>
                <w:rFonts w:ascii="Verdana" w:eastAsia="Calibri" w:hAnsi="Verdana" w:cs="Arial"/>
                <w:bCs/>
                <w:lang w:val="es-ES_tradnl"/>
              </w:rPr>
              <w:t>EXPERIENCIA – Transferencia – Accionistas, socios o constituyentes – Decreto 1082 de 2015 / EXPERIENCIA – Transferencia – / DECRETO 1082 DE 2015 – Factor de experiencia – Tratamiento diferencial</w:t>
            </w:r>
            <w:r>
              <w:rPr>
                <w:rFonts w:ascii="Verdana" w:eastAsia="Calibri" w:hAnsi="Verdana" w:cs="Arial"/>
                <w:bCs/>
                <w:lang w:val="es-ES_tradnl"/>
              </w:rPr>
              <w:t xml:space="preserve"> – Sociedades Comerciales - Fundaciones</w:t>
            </w:r>
          </w:p>
        </w:tc>
        <w:tc>
          <w:tcPr>
            <w:tcW w:w="6237" w:type="dxa"/>
          </w:tcPr>
          <w:p w14:paraId="3E189C4D" w14:textId="77777777" w:rsidR="00470F19" w:rsidRPr="00D02586" w:rsidRDefault="00470F19" w:rsidP="00AF3B54">
            <w:pPr>
              <w:jc w:val="both"/>
              <w:rPr>
                <w:rFonts w:ascii="Verdana" w:hAnsi="Verdana" w:cs="Arial"/>
              </w:rPr>
            </w:pPr>
          </w:p>
        </w:tc>
      </w:tr>
      <w:tr w:rsidR="00470F19" w:rsidRPr="005821E0" w14:paraId="042E1422" w14:textId="77777777" w:rsidTr="00AF3B54">
        <w:tc>
          <w:tcPr>
            <w:tcW w:w="2689" w:type="dxa"/>
          </w:tcPr>
          <w:p w14:paraId="61FEF2D2" w14:textId="77777777" w:rsidR="00470F19" w:rsidRPr="005821E0" w:rsidRDefault="00470F19" w:rsidP="00AF3B54">
            <w:pPr>
              <w:spacing w:before="120"/>
              <w:jc w:val="both"/>
              <w:rPr>
                <w:rFonts w:ascii="Verdana" w:eastAsia="Calibri" w:hAnsi="Verdana" w:cs="Arial"/>
                <w:szCs w:val="24"/>
                <w:lang w:val="es-ES_tradnl" w:eastAsia="es-ES_tradnl"/>
              </w:rPr>
            </w:pPr>
            <w:r w:rsidRPr="005821E0">
              <w:rPr>
                <w:rFonts w:ascii="Verdana" w:eastAsia="Calibri" w:hAnsi="Verdana" w:cs="Arial"/>
                <w:szCs w:val="24"/>
                <w:lang w:val="es-ES_tradnl" w:eastAsia="es-ES_tradnl"/>
              </w:rPr>
              <w:t xml:space="preserve">Radicación:               </w:t>
            </w:r>
          </w:p>
        </w:tc>
        <w:tc>
          <w:tcPr>
            <w:tcW w:w="6237" w:type="dxa"/>
          </w:tcPr>
          <w:p w14:paraId="0CB64160" w14:textId="77777777" w:rsidR="00470F19" w:rsidRPr="005821E0" w:rsidRDefault="00470F19" w:rsidP="00AF3B54">
            <w:pPr>
              <w:spacing w:before="120"/>
              <w:jc w:val="both"/>
              <w:rPr>
                <w:rFonts w:ascii="Verdana" w:eastAsia="Calibri" w:hAnsi="Verdana" w:cs="Arial"/>
                <w:szCs w:val="24"/>
                <w:lang w:val="es-ES_tradnl" w:eastAsia="es-ES_tradnl"/>
              </w:rPr>
            </w:pPr>
            <w:r w:rsidRPr="005821E0">
              <w:rPr>
                <w:rFonts w:ascii="Verdana" w:eastAsia="Calibri" w:hAnsi="Verdana" w:cs="Arial"/>
                <w:szCs w:val="24"/>
                <w:lang w:val="es-ES_tradnl" w:eastAsia="es-ES_tradnl"/>
              </w:rPr>
              <w:t xml:space="preserve">Respuesta a consulta con radicado No. </w:t>
            </w:r>
            <w:r w:rsidRPr="00C75225">
              <w:rPr>
                <w:rFonts w:ascii="Verdana" w:eastAsia="Calibri" w:hAnsi="Verdana" w:cs="Arial"/>
                <w:szCs w:val="24"/>
                <w:lang w:val="es-ES_tradnl" w:eastAsia="es-ES_tradnl"/>
              </w:rPr>
              <w:t>P20240904009011</w:t>
            </w:r>
          </w:p>
        </w:tc>
        <w:tc>
          <w:tcPr>
            <w:tcW w:w="6237" w:type="dxa"/>
          </w:tcPr>
          <w:p w14:paraId="46F6C69B" w14:textId="77777777" w:rsidR="00470F19" w:rsidRPr="005821E0" w:rsidRDefault="00470F19" w:rsidP="00AF3B54">
            <w:pPr>
              <w:spacing w:before="120"/>
              <w:jc w:val="both"/>
              <w:rPr>
                <w:rFonts w:ascii="Verdana" w:eastAsia="Calibri" w:hAnsi="Verdana" w:cs="Arial"/>
                <w:szCs w:val="24"/>
                <w:lang w:val="es-ES_tradnl" w:eastAsia="es-ES_tradnl"/>
              </w:rPr>
            </w:pPr>
          </w:p>
        </w:tc>
      </w:tr>
    </w:tbl>
    <w:p w14:paraId="76C71E6F" w14:textId="77777777" w:rsidR="00470F19" w:rsidRPr="00AB11C1" w:rsidRDefault="00470F19" w:rsidP="00470F19">
      <w:pPr>
        <w:spacing w:after="0" w:line="240" w:lineRule="auto"/>
        <w:jc w:val="both"/>
        <w:rPr>
          <w:rFonts w:ascii="Verdana" w:eastAsia="Calibri" w:hAnsi="Verdana" w:cs="Arial"/>
          <w:szCs w:val="24"/>
          <w:lang w:val="es-ES_tradnl" w:eastAsia="es-ES_tradnl"/>
        </w:rPr>
      </w:pPr>
    </w:p>
    <w:p w14:paraId="4FE79078" w14:textId="77777777" w:rsidR="00470F19" w:rsidRPr="00AB11C1" w:rsidRDefault="00470F19" w:rsidP="00470F19">
      <w:pPr>
        <w:spacing w:after="0" w:line="240" w:lineRule="auto"/>
        <w:jc w:val="both"/>
        <w:rPr>
          <w:rFonts w:ascii="Verdana" w:eastAsia="Calibri" w:hAnsi="Verdana" w:cs="Arial"/>
          <w:szCs w:val="24"/>
          <w:lang w:val="es-ES_tradnl" w:eastAsia="es-ES_tradnl"/>
        </w:rPr>
      </w:pPr>
    </w:p>
    <w:p w14:paraId="019E2716" w14:textId="77777777" w:rsidR="00470F19" w:rsidRPr="00AB11C1" w:rsidRDefault="00470F19" w:rsidP="00470F19">
      <w:pPr>
        <w:spacing w:after="0" w:line="240" w:lineRule="auto"/>
        <w:jc w:val="both"/>
        <w:rPr>
          <w:rFonts w:ascii="Verdana" w:eastAsia="Calibri" w:hAnsi="Verdana" w:cs="Arial"/>
          <w:lang w:val="es-ES" w:eastAsia="es-ES"/>
        </w:rPr>
      </w:pPr>
      <w:r w:rsidRPr="00AB11C1">
        <w:rPr>
          <w:rFonts w:ascii="Verdana" w:eastAsia="Calibri" w:hAnsi="Verdana" w:cs="Arial"/>
          <w:lang w:val="es-ES" w:eastAsia="es-ES"/>
        </w:rPr>
        <w:t xml:space="preserve">Estimada </w:t>
      </w:r>
      <w:r>
        <w:rPr>
          <w:rFonts w:ascii="Verdana" w:eastAsia="Calibri" w:hAnsi="Verdana" w:cs="Arial"/>
          <w:lang w:val="es-ES" w:eastAsia="es-ES"/>
        </w:rPr>
        <w:t>señora Rocha</w:t>
      </w:r>
      <w:r w:rsidRPr="00AB11C1">
        <w:rPr>
          <w:rFonts w:ascii="Verdana" w:eastAsia="Calibri" w:hAnsi="Verdana" w:cs="Arial"/>
          <w:lang w:val="es-ES" w:eastAsia="es-ES"/>
        </w:rPr>
        <w:t xml:space="preserve">: </w:t>
      </w:r>
    </w:p>
    <w:p w14:paraId="2B4E2227" w14:textId="77777777" w:rsidR="00470F19" w:rsidRPr="00AB11C1" w:rsidRDefault="00470F19" w:rsidP="00470F19">
      <w:pPr>
        <w:spacing w:after="0" w:line="240" w:lineRule="auto"/>
        <w:jc w:val="both"/>
        <w:rPr>
          <w:rFonts w:ascii="Verdana" w:eastAsia="Calibri" w:hAnsi="Verdana" w:cs="Arial"/>
          <w:lang w:val="es-ES" w:eastAsia="es-ES"/>
        </w:rPr>
      </w:pPr>
    </w:p>
    <w:p w14:paraId="6F80FD9F" w14:textId="77777777" w:rsidR="00470F19" w:rsidRPr="00AB11C1" w:rsidRDefault="00470F19" w:rsidP="00470F19">
      <w:pPr>
        <w:spacing w:after="0" w:line="240" w:lineRule="auto"/>
        <w:jc w:val="both"/>
        <w:rPr>
          <w:rFonts w:ascii="Verdana" w:eastAsia="Calibri" w:hAnsi="Verdana" w:cs="Arial"/>
          <w:szCs w:val="24"/>
          <w:lang w:val="es-ES_tradnl" w:eastAsia="es-ES_tradnl"/>
        </w:rPr>
      </w:pPr>
    </w:p>
    <w:p w14:paraId="428E9EBB" w14:textId="77777777" w:rsidR="00470F19" w:rsidRPr="00AB11C1" w:rsidRDefault="00470F19" w:rsidP="00470F19">
      <w:pPr>
        <w:spacing w:after="120" w:line="276" w:lineRule="auto"/>
        <w:jc w:val="both"/>
        <w:rPr>
          <w:rFonts w:ascii="Verdana" w:eastAsia="Calibri" w:hAnsi="Verdana" w:cs="Arial"/>
          <w:lang w:val="es-ES" w:eastAsia="es-ES"/>
        </w:rPr>
      </w:pPr>
      <w:r w:rsidRPr="00AB11C1">
        <w:rPr>
          <w:rFonts w:ascii="Verdana" w:eastAsia="Calibri" w:hAnsi="Verdana" w:cs="Arial"/>
          <w:lang w:val="es-ES" w:eastAsia="es-ES"/>
        </w:rPr>
        <w:t>En ejercicio de la competencia otorgada por los artículos 3, numeral 5º, y 11, numeral 8º, del Decreto Ley 4170 de 2011,</w:t>
      </w:r>
      <w:r w:rsidRPr="00AB11C1">
        <w:rPr>
          <w:rFonts w:ascii="Verdana" w:eastAsia="Arial MT" w:hAnsi="Verdana" w:cs="Arial MT"/>
          <w:lang w:val="es-ES" w:eastAsia="es-ES"/>
        </w:rPr>
        <w:t xml:space="preserve"> </w:t>
      </w:r>
      <w:r w:rsidRPr="00AB11C1">
        <w:rPr>
          <w:rFonts w:ascii="Verdana" w:eastAsia="Calibri" w:hAnsi="Verdana" w:cs="Arial"/>
          <w:lang w:val="es-ES" w:eastAsia="es-ES"/>
        </w:rPr>
        <w:t xml:space="preserve">la Agencia Nacional de Contratación Pública – Colombia Compra Eficiente– responde sus solicitudes del </w:t>
      </w:r>
      <w:r>
        <w:rPr>
          <w:rFonts w:ascii="Verdana" w:eastAsia="Calibri" w:hAnsi="Verdana" w:cs="Arial"/>
          <w:lang w:val="es-ES" w:eastAsia="es-ES"/>
        </w:rPr>
        <w:t>04</w:t>
      </w:r>
      <w:r w:rsidRPr="00AB11C1">
        <w:rPr>
          <w:rFonts w:ascii="Verdana" w:eastAsia="Calibri" w:hAnsi="Verdana" w:cs="Arial"/>
          <w:lang w:val="es-ES" w:eastAsia="es-ES"/>
        </w:rPr>
        <w:t xml:space="preserve"> de </w:t>
      </w:r>
      <w:r>
        <w:rPr>
          <w:rFonts w:ascii="Verdana" w:eastAsia="Calibri" w:hAnsi="Verdana" w:cs="Arial"/>
          <w:lang w:val="es-ES" w:eastAsia="es-ES"/>
        </w:rPr>
        <w:t>septiembre</w:t>
      </w:r>
      <w:r w:rsidRPr="00AB11C1">
        <w:rPr>
          <w:rFonts w:ascii="Verdana" w:eastAsia="Calibri" w:hAnsi="Verdana" w:cs="Arial"/>
          <w:lang w:val="es-ES" w:eastAsia="es-ES"/>
        </w:rPr>
        <w:t xml:space="preserve"> de 2024. En las cuales manifiesta lo siguiente:</w:t>
      </w:r>
    </w:p>
    <w:p w14:paraId="78B7CEDB" w14:textId="296DD555" w:rsidR="00470F19" w:rsidRPr="00F254B2" w:rsidRDefault="00470F19" w:rsidP="00470F19">
      <w:pPr>
        <w:spacing w:after="0" w:line="240" w:lineRule="auto"/>
        <w:ind w:left="709" w:right="709"/>
        <w:jc w:val="both"/>
        <w:rPr>
          <w:rFonts w:ascii="Verdana" w:eastAsia="Calibri" w:hAnsi="Verdana" w:cs="Arial"/>
          <w:sz w:val="21"/>
          <w:szCs w:val="21"/>
          <w:lang w:eastAsia="es-ES"/>
        </w:rPr>
      </w:pPr>
      <w:r w:rsidRPr="00AB11C1">
        <w:rPr>
          <w:rFonts w:ascii="Verdana" w:eastAsia="Calibri" w:hAnsi="Verdana" w:cs="Arial"/>
          <w:sz w:val="21"/>
          <w:szCs w:val="21"/>
          <w:lang w:val="es-ES" w:eastAsia="es-ES"/>
        </w:rPr>
        <w:t>“</w:t>
      </w:r>
      <w:r>
        <w:rPr>
          <w:rFonts w:ascii="Verdana" w:eastAsia="Calibri" w:hAnsi="Verdana" w:cs="Arial"/>
          <w:sz w:val="21"/>
          <w:szCs w:val="21"/>
          <w:lang w:val="es-ES" w:eastAsia="es-ES"/>
        </w:rPr>
        <w:t>Actualmente</w:t>
      </w:r>
      <w:r w:rsidRPr="00F254B2">
        <w:rPr>
          <w:rFonts w:ascii="Verdana" w:eastAsia="Calibri" w:hAnsi="Verdana" w:cs="Arial"/>
          <w:sz w:val="21"/>
          <w:szCs w:val="21"/>
          <w:lang w:eastAsia="es-ES"/>
        </w:rPr>
        <w:t>, el artículo 2.2.1.1.1.5.1. del Decreto 1082 de 2015 establece</w:t>
      </w:r>
      <w:r>
        <w:rPr>
          <w:rFonts w:ascii="Verdana" w:eastAsia="Calibri" w:hAnsi="Verdana" w:cs="Arial"/>
          <w:sz w:val="21"/>
          <w:szCs w:val="21"/>
          <w:lang w:eastAsia="es-ES"/>
        </w:rPr>
        <w:t xml:space="preserve"> </w:t>
      </w:r>
      <w:r w:rsidRPr="00F254B2">
        <w:rPr>
          <w:rFonts w:ascii="Verdana" w:eastAsia="Calibri" w:hAnsi="Verdana" w:cs="Arial"/>
          <w:sz w:val="21"/>
          <w:szCs w:val="21"/>
          <w:lang w:eastAsia="es-ES"/>
        </w:rPr>
        <w:t>que las sociedades, dentro de los tres (3) primeros años de constituidas, pueden</w:t>
      </w:r>
      <w:r>
        <w:rPr>
          <w:rFonts w:ascii="Verdana" w:eastAsia="Calibri" w:hAnsi="Verdana" w:cs="Arial"/>
          <w:sz w:val="21"/>
          <w:szCs w:val="21"/>
          <w:lang w:eastAsia="es-ES"/>
        </w:rPr>
        <w:t xml:space="preserve"> </w:t>
      </w:r>
      <w:r w:rsidRPr="00F254B2">
        <w:rPr>
          <w:rFonts w:ascii="Verdana" w:eastAsia="Calibri" w:hAnsi="Verdana" w:cs="Arial"/>
          <w:sz w:val="21"/>
          <w:szCs w:val="21"/>
          <w:lang w:eastAsia="es-ES"/>
        </w:rPr>
        <w:t>acreditar la experiencia de sus socios o accionistas como propia. No obstante, se</w:t>
      </w:r>
      <w:r>
        <w:rPr>
          <w:rFonts w:ascii="Verdana" w:eastAsia="Calibri" w:hAnsi="Verdana" w:cs="Arial"/>
          <w:sz w:val="21"/>
          <w:szCs w:val="21"/>
          <w:lang w:eastAsia="es-ES"/>
        </w:rPr>
        <w:t xml:space="preserve"> </w:t>
      </w:r>
      <w:r w:rsidRPr="00F254B2">
        <w:rPr>
          <w:rFonts w:ascii="Verdana" w:eastAsia="Calibri" w:hAnsi="Verdana" w:cs="Arial"/>
          <w:sz w:val="21"/>
          <w:szCs w:val="21"/>
          <w:lang w:eastAsia="es-ES"/>
        </w:rPr>
        <w:t>requiere aclarar si esta disposición o una interpretación análoga sería aplicable en</w:t>
      </w:r>
      <w:r>
        <w:rPr>
          <w:rFonts w:ascii="Verdana" w:eastAsia="Calibri" w:hAnsi="Verdana" w:cs="Arial"/>
          <w:sz w:val="21"/>
          <w:szCs w:val="21"/>
          <w:lang w:eastAsia="es-ES"/>
        </w:rPr>
        <w:t xml:space="preserve"> </w:t>
      </w:r>
      <w:r w:rsidRPr="00F254B2">
        <w:rPr>
          <w:rFonts w:ascii="Verdana" w:eastAsia="Calibri" w:hAnsi="Verdana" w:cs="Arial"/>
          <w:sz w:val="21"/>
          <w:szCs w:val="21"/>
          <w:lang w:eastAsia="es-ES"/>
        </w:rPr>
        <w:t>el caso de una Fundación que haya sido constituida por otra Fundación, es decir, si</w:t>
      </w:r>
      <w:r>
        <w:rPr>
          <w:rFonts w:ascii="Verdana" w:eastAsia="Calibri" w:hAnsi="Verdana" w:cs="Arial"/>
          <w:sz w:val="21"/>
          <w:szCs w:val="21"/>
          <w:lang w:eastAsia="es-ES"/>
        </w:rPr>
        <w:t xml:space="preserve"> </w:t>
      </w:r>
      <w:r w:rsidRPr="00F254B2">
        <w:rPr>
          <w:rFonts w:ascii="Verdana" w:eastAsia="Calibri" w:hAnsi="Verdana" w:cs="Arial"/>
          <w:sz w:val="21"/>
          <w:szCs w:val="21"/>
          <w:lang w:eastAsia="es-ES"/>
        </w:rPr>
        <w:t>la Fundación aportante podría permitir que la nueva Fundación acredite su</w:t>
      </w:r>
      <w:r>
        <w:rPr>
          <w:rFonts w:ascii="Verdana" w:eastAsia="Calibri" w:hAnsi="Verdana" w:cs="Arial"/>
          <w:sz w:val="21"/>
          <w:szCs w:val="21"/>
          <w:lang w:eastAsia="es-ES"/>
        </w:rPr>
        <w:t xml:space="preserve"> </w:t>
      </w:r>
      <w:r w:rsidRPr="00F254B2">
        <w:rPr>
          <w:rFonts w:ascii="Verdana" w:eastAsia="Calibri" w:hAnsi="Verdana" w:cs="Arial"/>
          <w:sz w:val="21"/>
          <w:szCs w:val="21"/>
          <w:lang w:eastAsia="es-ES"/>
        </w:rPr>
        <w:t>experiencia dentro de los primeros tres (3) años de constituida, o si esta posibilidad</w:t>
      </w:r>
      <w:r>
        <w:rPr>
          <w:rFonts w:ascii="Verdana" w:eastAsia="Calibri" w:hAnsi="Verdana" w:cs="Arial"/>
          <w:sz w:val="21"/>
          <w:szCs w:val="21"/>
          <w:lang w:eastAsia="es-ES"/>
        </w:rPr>
        <w:t xml:space="preserve"> </w:t>
      </w:r>
      <w:r w:rsidRPr="00F254B2">
        <w:rPr>
          <w:rFonts w:ascii="Verdana" w:eastAsia="Calibri" w:hAnsi="Verdana" w:cs="Arial"/>
          <w:sz w:val="21"/>
          <w:szCs w:val="21"/>
          <w:lang w:eastAsia="es-ES"/>
        </w:rPr>
        <w:t xml:space="preserve">está restringida únicamente a las </w:t>
      </w:r>
      <w:r w:rsidRPr="00F254B2">
        <w:rPr>
          <w:rFonts w:ascii="Verdana" w:eastAsia="Calibri" w:hAnsi="Verdana" w:cs="Arial"/>
          <w:sz w:val="21"/>
          <w:szCs w:val="21"/>
          <w:lang w:eastAsia="es-ES"/>
        </w:rPr>
        <w:lastRenderedPageBreak/>
        <w:t>sociedades comerciales conforme a lo dispuesto</w:t>
      </w:r>
      <w:r>
        <w:rPr>
          <w:rFonts w:ascii="Verdana" w:eastAsia="Calibri" w:hAnsi="Verdana" w:cs="Arial"/>
          <w:sz w:val="21"/>
          <w:szCs w:val="21"/>
          <w:lang w:eastAsia="es-ES"/>
        </w:rPr>
        <w:t xml:space="preserve"> </w:t>
      </w:r>
      <w:r w:rsidRPr="00F254B2">
        <w:rPr>
          <w:rFonts w:ascii="Verdana" w:eastAsia="Calibri" w:hAnsi="Verdana" w:cs="Arial"/>
          <w:sz w:val="21"/>
          <w:szCs w:val="21"/>
          <w:lang w:eastAsia="es-ES"/>
        </w:rPr>
        <w:t>en el citado decreto</w:t>
      </w:r>
      <w:r w:rsidR="00F25274" w:rsidRPr="00AC0A74">
        <w:rPr>
          <w:rFonts w:ascii="Verdana" w:eastAsia="Calibri" w:hAnsi="Verdana" w:cs="Arial"/>
          <w:sz w:val="21"/>
          <w:szCs w:val="21"/>
          <w:lang w:eastAsia="es-ES"/>
        </w:rPr>
        <w:t>” [Sic]</w:t>
      </w:r>
      <w:r w:rsidRPr="00AC0A74">
        <w:rPr>
          <w:rFonts w:ascii="Verdana" w:eastAsia="Calibri" w:hAnsi="Verdana" w:cs="Arial"/>
          <w:sz w:val="21"/>
          <w:szCs w:val="21"/>
          <w:lang w:eastAsia="es-ES"/>
        </w:rPr>
        <w:t>.</w:t>
      </w:r>
    </w:p>
    <w:p w14:paraId="3E87AF8E" w14:textId="77777777" w:rsidR="00470F19" w:rsidRPr="00AB11C1" w:rsidRDefault="00470F19" w:rsidP="00470F19">
      <w:pPr>
        <w:spacing w:after="0" w:line="240" w:lineRule="auto"/>
        <w:ind w:left="709" w:right="709"/>
        <w:jc w:val="both"/>
        <w:rPr>
          <w:rFonts w:ascii="Verdana" w:eastAsia="Calibri" w:hAnsi="Verdana" w:cs="Arial"/>
          <w:lang w:val="es-ES_tradnl" w:eastAsia="es-ES_tradnl"/>
        </w:rPr>
      </w:pPr>
    </w:p>
    <w:p w14:paraId="7666A822" w14:textId="77777777" w:rsidR="00470F19" w:rsidRPr="00AB11C1" w:rsidRDefault="00470F19" w:rsidP="00470F19">
      <w:pPr>
        <w:spacing w:after="120" w:line="276" w:lineRule="auto"/>
        <w:jc w:val="both"/>
        <w:rPr>
          <w:rFonts w:ascii="Verdana" w:eastAsia="Calibri" w:hAnsi="Verdana" w:cs="Arial"/>
          <w:lang w:val="es-ES" w:eastAsia="es-ES"/>
        </w:rPr>
      </w:pPr>
      <w:r w:rsidRPr="00AB11C1">
        <w:rPr>
          <w:rFonts w:ascii="Verdana" w:eastAsia="Calibri" w:hAnsi="Verdana" w:cs="Arial"/>
          <w:lang w:val="es-ES_tradnl" w:eastAsia="es-ES_tradnl"/>
        </w:rPr>
        <w:tab/>
      </w:r>
      <w:r w:rsidRPr="00AB11C1">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AB11C1">
        <w:rPr>
          <w:rFonts w:ascii="Verdana" w:eastAsia="Calibri" w:hAnsi="Verdana" w:cs="Arial"/>
          <w:lang w:val="es-ES" w:eastAsia="es-ES"/>
        </w:rPr>
        <w:tab/>
      </w:r>
    </w:p>
    <w:p w14:paraId="5B4D207A" w14:textId="77777777" w:rsidR="00470F19" w:rsidRPr="00AB11C1" w:rsidRDefault="00470F19" w:rsidP="00470F19">
      <w:pPr>
        <w:spacing w:after="0" w:line="276" w:lineRule="auto"/>
        <w:ind w:firstLine="708"/>
        <w:jc w:val="both"/>
        <w:rPr>
          <w:rFonts w:ascii="Verdana" w:eastAsia="Calibri" w:hAnsi="Verdana" w:cs="Arial"/>
          <w:lang w:val="es-ES" w:eastAsia="es-ES"/>
        </w:rPr>
      </w:pPr>
      <w:r w:rsidRPr="00AB11C1">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38E3D98A" w14:textId="77777777" w:rsidR="00470F19" w:rsidRPr="00AB11C1" w:rsidRDefault="00470F19" w:rsidP="00470F19">
      <w:pPr>
        <w:spacing w:after="0" w:line="276" w:lineRule="auto"/>
        <w:ind w:firstLine="708"/>
        <w:jc w:val="both"/>
        <w:rPr>
          <w:rFonts w:ascii="Verdana" w:eastAsia="Calibri" w:hAnsi="Verdana" w:cs="Arial"/>
          <w:lang w:val="es-ES" w:eastAsia="es-ES"/>
        </w:rPr>
      </w:pPr>
    </w:p>
    <w:p w14:paraId="181D4838" w14:textId="77777777" w:rsidR="00470F19" w:rsidRPr="00AB11C1" w:rsidRDefault="00470F19" w:rsidP="00470F19">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AB11C1">
        <w:rPr>
          <w:rFonts w:ascii="Verdana" w:eastAsia="Century Gothic" w:hAnsi="Verdana" w:cs="Century Gothic"/>
          <w:b/>
          <w:bCs/>
        </w:rPr>
        <w:t>Problema</w:t>
      </w:r>
      <w:r>
        <w:rPr>
          <w:rFonts w:ascii="Verdana" w:eastAsia="Century Gothic" w:hAnsi="Verdana" w:cs="Century Gothic"/>
          <w:b/>
          <w:bCs/>
        </w:rPr>
        <w:t>s</w:t>
      </w:r>
      <w:r w:rsidRPr="00AB11C1">
        <w:rPr>
          <w:rFonts w:ascii="Verdana" w:eastAsia="Century Gothic" w:hAnsi="Verdana" w:cs="Century Gothic"/>
          <w:b/>
          <w:bCs/>
        </w:rPr>
        <w:t xml:space="preserve"> planteado</w:t>
      </w:r>
      <w:r>
        <w:rPr>
          <w:rFonts w:ascii="Verdana" w:eastAsia="Century Gothic" w:hAnsi="Verdana" w:cs="Century Gothic"/>
          <w:b/>
          <w:bCs/>
        </w:rPr>
        <w:t>s</w:t>
      </w:r>
      <w:r w:rsidRPr="00AB11C1">
        <w:rPr>
          <w:rFonts w:ascii="Verdana" w:eastAsia="Century Gothic" w:hAnsi="Verdana" w:cs="Century Gothic"/>
          <w:b/>
          <w:bCs/>
        </w:rPr>
        <w:t>:</w:t>
      </w:r>
    </w:p>
    <w:p w14:paraId="0BE6D134" w14:textId="77777777" w:rsidR="00B5155C" w:rsidRPr="00AC0A74" w:rsidRDefault="00B5155C" w:rsidP="00822E78">
      <w:pPr>
        <w:spacing w:after="0" w:line="276" w:lineRule="auto"/>
        <w:jc w:val="both"/>
        <w:rPr>
          <w:rFonts w:ascii="Verdana" w:eastAsia="Century Gothic" w:hAnsi="Verdana" w:cs="Century Gothic"/>
        </w:rPr>
      </w:pPr>
    </w:p>
    <w:p w14:paraId="5B1CCDAA" w14:textId="5A07CB49" w:rsidR="00470F19" w:rsidRPr="001504A0" w:rsidRDefault="00470F19" w:rsidP="00470F19">
      <w:pPr>
        <w:spacing w:after="120" w:line="276" w:lineRule="auto"/>
        <w:jc w:val="both"/>
        <w:rPr>
          <w:rFonts w:ascii="Verdana" w:hAnsi="Verdana" w:cs="Arial"/>
          <w:lang w:val="es-ES_tradnl"/>
        </w:rPr>
      </w:pPr>
      <w:r w:rsidRPr="00AB11C1">
        <w:rPr>
          <w:rFonts w:ascii="Verdana" w:eastAsia="Century Gothic" w:hAnsi="Verdana" w:cs="Century Gothic"/>
        </w:rPr>
        <w:t xml:space="preserve">De acuerdo con el contenido de su solicitud, esta Agencia resolverá </w:t>
      </w:r>
      <w:r>
        <w:rPr>
          <w:rFonts w:ascii="Verdana" w:eastAsia="Century Gothic" w:hAnsi="Verdana" w:cs="Century Gothic"/>
        </w:rPr>
        <w:t>los</w:t>
      </w:r>
      <w:r w:rsidRPr="00AB11C1">
        <w:rPr>
          <w:rFonts w:ascii="Verdana" w:eastAsia="Century Gothic" w:hAnsi="Verdana" w:cs="Century Gothic"/>
        </w:rPr>
        <w:t xml:space="preserve"> siguiente</w:t>
      </w:r>
      <w:r>
        <w:rPr>
          <w:rFonts w:ascii="Verdana" w:eastAsia="Century Gothic" w:hAnsi="Verdana" w:cs="Century Gothic"/>
        </w:rPr>
        <w:t>s</w:t>
      </w:r>
      <w:r w:rsidRPr="00AB11C1">
        <w:rPr>
          <w:rFonts w:ascii="Verdana" w:eastAsia="Century Gothic" w:hAnsi="Verdana" w:cs="Century Gothic"/>
        </w:rPr>
        <w:t xml:space="preserve"> problema</w:t>
      </w:r>
      <w:r>
        <w:rPr>
          <w:rFonts w:ascii="Verdana" w:eastAsia="Century Gothic" w:hAnsi="Verdana" w:cs="Century Gothic"/>
        </w:rPr>
        <w:t>s</w:t>
      </w:r>
      <w:r w:rsidRPr="00AB11C1">
        <w:rPr>
          <w:rFonts w:ascii="Verdana" w:eastAsia="Century Gothic" w:hAnsi="Verdana" w:cs="Century Gothic"/>
        </w:rPr>
        <w:t xml:space="preserve"> jurídico</w:t>
      </w:r>
      <w:r>
        <w:rPr>
          <w:rFonts w:ascii="Verdana" w:eastAsia="Century Gothic" w:hAnsi="Verdana" w:cs="Century Gothic"/>
        </w:rPr>
        <w:t>s</w:t>
      </w:r>
      <w:r w:rsidR="00B5155C" w:rsidRPr="00AC0A74">
        <w:rPr>
          <w:rFonts w:ascii="Verdana" w:eastAsia="Century Gothic" w:hAnsi="Verdana" w:cs="Century Gothic"/>
        </w:rPr>
        <w:t>:</w:t>
      </w:r>
      <w:r>
        <w:rPr>
          <w:rFonts w:ascii="Verdana" w:eastAsia="Century Gothic" w:hAnsi="Verdana" w:cs="Century Gothic"/>
        </w:rPr>
        <w:t xml:space="preserve"> </w:t>
      </w:r>
      <w:r w:rsidRPr="003A4881">
        <w:rPr>
          <w:rFonts w:ascii="Verdana" w:eastAsia="Century Gothic" w:hAnsi="Verdana" w:cs="Century Gothic"/>
        </w:rPr>
        <w:t xml:space="preserve">¿Puede una </w:t>
      </w:r>
      <w:r w:rsidR="00A70C1B" w:rsidRPr="00AC0A74">
        <w:rPr>
          <w:rFonts w:ascii="Verdana" w:eastAsia="Century Gothic" w:hAnsi="Verdana" w:cs="Century Gothic"/>
        </w:rPr>
        <w:t xml:space="preserve">persona </w:t>
      </w:r>
      <w:r w:rsidR="002475A0" w:rsidRPr="00AC0A74">
        <w:rPr>
          <w:rFonts w:ascii="Verdana" w:eastAsia="Century Gothic" w:hAnsi="Verdana" w:cs="Century Gothic"/>
        </w:rPr>
        <w:t>jurídica</w:t>
      </w:r>
      <w:r w:rsidR="00A70C1B" w:rsidRPr="00AC0A74">
        <w:rPr>
          <w:rFonts w:ascii="Verdana" w:eastAsia="Century Gothic" w:hAnsi="Verdana" w:cs="Century Gothic"/>
        </w:rPr>
        <w:t xml:space="preserve"> </w:t>
      </w:r>
      <w:r w:rsidRPr="003A4881">
        <w:rPr>
          <w:rFonts w:ascii="Verdana" w:eastAsia="Century Gothic" w:hAnsi="Verdana" w:cs="Century Gothic"/>
        </w:rPr>
        <w:t xml:space="preserve">constituida por otra </w:t>
      </w:r>
      <w:r w:rsidR="00E77E59" w:rsidRPr="00AC0A74">
        <w:rPr>
          <w:rFonts w:ascii="Verdana" w:eastAsia="Century Gothic" w:hAnsi="Verdana" w:cs="Century Gothic"/>
        </w:rPr>
        <w:t xml:space="preserve">persona jurídica </w:t>
      </w:r>
      <w:r w:rsidRPr="003A4881">
        <w:rPr>
          <w:rFonts w:ascii="Verdana" w:eastAsia="Century Gothic" w:hAnsi="Verdana" w:cs="Century Gothic"/>
        </w:rPr>
        <w:t xml:space="preserve">recurrir a lo dispuesto en el artículo 2.2.1.1.1.5 </w:t>
      </w:r>
      <w:r>
        <w:rPr>
          <w:rFonts w:ascii="Verdana" w:eastAsia="Century Gothic" w:hAnsi="Verdana" w:cs="Century Gothic"/>
        </w:rPr>
        <w:t xml:space="preserve">en lo respectivo a la </w:t>
      </w:r>
      <w:r w:rsidRPr="003A4881">
        <w:rPr>
          <w:rFonts w:ascii="Verdana" w:eastAsia="Century Gothic" w:hAnsi="Verdana" w:cs="Century Gothic"/>
        </w:rPr>
        <w:t xml:space="preserve">utilización de la experiencia de sus </w:t>
      </w:r>
      <w:r>
        <w:rPr>
          <w:rFonts w:ascii="Verdana" w:eastAsia="Century Gothic" w:hAnsi="Verdana" w:cs="Century Gothic"/>
        </w:rPr>
        <w:t>constituyentes dentro de los 3 primeros años de creación</w:t>
      </w:r>
      <w:r w:rsidRPr="003A4881">
        <w:rPr>
          <w:rFonts w:ascii="Verdana" w:eastAsia="Century Gothic" w:hAnsi="Verdana" w:cs="Century Gothic"/>
        </w:rPr>
        <w:t>?</w:t>
      </w:r>
    </w:p>
    <w:p w14:paraId="7B0ACC4B" w14:textId="77777777" w:rsidR="00470F19" w:rsidRPr="00715707" w:rsidRDefault="00470F19" w:rsidP="00470F19">
      <w:pPr>
        <w:spacing w:after="120" w:line="276" w:lineRule="auto"/>
        <w:jc w:val="both"/>
        <w:rPr>
          <w:rFonts w:ascii="Verdana" w:eastAsia="Century Gothic" w:hAnsi="Verdana" w:cs="Century Gothic"/>
          <w:lang w:val="es-ES_tradnl"/>
        </w:rPr>
      </w:pPr>
    </w:p>
    <w:p w14:paraId="684C5BC5" w14:textId="77777777" w:rsidR="00470F19" w:rsidRPr="00AB11C1" w:rsidRDefault="00470F19" w:rsidP="00470F19">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AB11C1">
        <w:rPr>
          <w:rFonts w:ascii="Verdana" w:eastAsia="Century Gothic" w:hAnsi="Verdana" w:cs="Century Gothic"/>
          <w:b/>
          <w:bCs/>
        </w:rPr>
        <w:t>Respuesta:</w:t>
      </w:r>
    </w:p>
    <w:p w14:paraId="54697E97" w14:textId="77777777" w:rsidR="00470F19" w:rsidRPr="00AB11C1" w:rsidRDefault="00470F19" w:rsidP="00470F19">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2CA9D8F9" w14:textId="580C1185" w:rsidR="00470F19" w:rsidRPr="00470F19" w:rsidRDefault="00E77E59" w:rsidP="00822E78">
      <w:pPr>
        <w:jc w:val="both"/>
        <w:rPr>
          <w:rFonts w:ascii="Verdana" w:hAnsi="Verdana" w:cs="Arial"/>
          <w:b/>
          <w:lang w:val="es-ES_tradnl" w:eastAsia="es-ES"/>
        </w:rPr>
      </w:pPr>
      <w:r w:rsidRPr="00AC0A74">
        <w:rPr>
          <w:rFonts w:ascii="Verdana" w:hAnsi="Verdana" w:cs="Arial"/>
          <w:bCs/>
        </w:rPr>
        <w:t xml:space="preserve">En la medida en que </w:t>
      </w:r>
      <w:r w:rsidR="00470F19">
        <w:rPr>
          <w:rFonts w:ascii="Verdana" w:hAnsi="Verdana"/>
        </w:rPr>
        <w:t xml:space="preserve">el </w:t>
      </w:r>
      <w:r w:rsidR="00470F19" w:rsidRPr="0044435B">
        <w:rPr>
          <w:rFonts w:ascii="Verdana" w:hAnsi="Verdana" w:cs="Arial"/>
          <w:bCs/>
          <w:lang w:val="es-ES_tradnl"/>
        </w:rPr>
        <w:t xml:space="preserve">numeral </w:t>
      </w:r>
      <w:r w:rsidR="00470F19" w:rsidRPr="0044435B">
        <w:rPr>
          <w:rFonts w:ascii="Verdana" w:eastAsia="Century Gothic" w:hAnsi="Verdana" w:cs="Century Gothic"/>
        </w:rPr>
        <w:t>2.5 del artículo 2.2.1.1.1.5.2</w:t>
      </w:r>
      <w:r w:rsidRPr="00AC0A74">
        <w:rPr>
          <w:rFonts w:ascii="Verdana" w:eastAsia="Century Gothic" w:hAnsi="Verdana" w:cs="Century Gothic"/>
        </w:rPr>
        <w:t xml:space="preserve"> del Decreto 1082 de 2015</w:t>
      </w:r>
      <w:r w:rsidR="00470F19" w:rsidRPr="00AC0A74">
        <w:rPr>
          <w:rFonts w:ascii="Verdana" w:eastAsia="Century Gothic" w:hAnsi="Verdana" w:cs="Century Gothic"/>
        </w:rPr>
        <w:t>,</w:t>
      </w:r>
      <w:r w:rsidRPr="00AC0A74">
        <w:rPr>
          <w:rFonts w:ascii="Verdana" w:eastAsia="Century Gothic" w:hAnsi="Verdana" w:cs="Century Gothic"/>
        </w:rPr>
        <w:t xml:space="preserve"> no </w:t>
      </w:r>
      <w:r w:rsidR="00C96AD6" w:rsidRPr="00AC0A74">
        <w:rPr>
          <w:rFonts w:ascii="Verdana" w:eastAsia="Century Gothic" w:hAnsi="Verdana" w:cs="Century Gothic"/>
        </w:rPr>
        <w:t xml:space="preserve">limita </w:t>
      </w:r>
      <w:r w:rsidR="00E2720C" w:rsidRPr="00AC0A74">
        <w:rPr>
          <w:rFonts w:ascii="Verdana" w:eastAsia="Century Gothic" w:hAnsi="Verdana" w:cs="Century Gothic"/>
        </w:rPr>
        <w:t>su</w:t>
      </w:r>
      <w:r w:rsidR="00C96AD6" w:rsidRPr="00AC0A74">
        <w:rPr>
          <w:rFonts w:ascii="Verdana" w:eastAsia="Century Gothic" w:hAnsi="Verdana" w:cs="Century Gothic"/>
        </w:rPr>
        <w:t xml:space="preserve"> aplicación </w:t>
      </w:r>
      <w:r w:rsidR="00E2720C" w:rsidRPr="00AC0A74">
        <w:rPr>
          <w:rFonts w:ascii="Verdana" w:eastAsia="Century Gothic" w:hAnsi="Verdana" w:cs="Century Gothic"/>
        </w:rPr>
        <w:t xml:space="preserve">a </w:t>
      </w:r>
      <w:r w:rsidR="00436070" w:rsidRPr="00AC0A74">
        <w:rPr>
          <w:rFonts w:ascii="Verdana" w:eastAsia="Century Gothic" w:hAnsi="Verdana" w:cs="Century Gothic"/>
        </w:rPr>
        <w:t>la experiencia adquirida por los socios que tengan la calidad de persona jurídica,</w:t>
      </w:r>
      <w:r w:rsidR="00E2720C" w:rsidRPr="00AC0A74">
        <w:rPr>
          <w:rFonts w:ascii="Verdana" w:eastAsia="Century Gothic" w:hAnsi="Verdana" w:cs="Century Gothic"/>
        </w:rPr>
        <w:t xml:space="preserve"> esta prerrogativa también resulta aplicable a las personas jurídicas constituidas por otras personas jurídicas. De acuerdo con esto, las personas jurídicas</w:t>
      </w:r>
      <w:r w:rsidR="00C17834" w:rsidRPr="00AC0A74">
        <w:rPr>
          <w:rFonts w:ascii="Verdana" w:eastAsia="Century Gothic" w:hAnsi="Verdana" w:cs="Century Gothic"/>
        </w:rPr>
        <w:t xml:space="preserve"> con menos de 3 años de </w:t>
      </w:r>
      <w:r w:rsidR="00F25274" w:rsidRPr="00AC0A74">
        <w:rPr>
          <w:rFonts w:ascii="Verdana" w:eastAsia="Century Gothic" w:hAnsi="Verdana" w:cs="Century Gothic"/>
        </w:rPr>
        <w:t>constitución, constituidas</w:t>
      </w:r>
      <w:r w:rsidR="00C17834" w:rsidRPr="00AC0A74">
        <w:rPr>
          <w:rFonts w:ascii="Verdana" w:eastAsia="Century Gothic" w:hAnsi="Verdana" w:cs="Century Gothic"/>
        </w:rPr>
        <w:t xml:space="preserve"> por otras personas jurídicas</w:t>
      </w:r>
      <w:r w:rsidR="002E3C2C" w:rsidRPr="00AC0A74">
        <w:rPr>
          <w:rFonts w:ascii="Verdana" w:eastAsia="Century Gothic" w:hAnsi="Verdana" w:cs="Century Gothic"/>
        </w:rPr>
        <w:t xml:space="preserve">, pueden inscribir la </w:t>
      </w:r>
      <w:r w:rsidR="00AF3B54" w:rsidRPr="00AC0A74">
        <w:rPr>
          <w:rFonts w:ascii="Verdana" w:eastAsia="Century Gothic" w:hAnsi="Verdana" w:cs="Century Gothic"/>
        </w:rPr>
        <w:t>experiencia adquirida</w:t>
      </w:r>
      <w:r w:rsidR="002E3C2C" w:rsidRPr="00AC0A74">
        <w:rPr>
          <w:rFonts w:ascii="Verdana" w:eastAsia="Century Gothic" w:hAnsi="Verdana" w:cs="Century Gothic"/>
        </w:rPr>
        <w:t xml:space="preserve">. </w:t>
      </w:r>
    </w:p>
    <w:p w14:paraId="0AF58AFF" w14:textId="77777777" w:rsidR="00470F19" w:rsidRPr="00AB11C1" w:rsidRDefault="00470F19" w:rsidP="00470F19">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AB11C1">
        <w:rPr>
          <w:rFonts w:ascii="Verdana" w:eastAsia="Century Gothic" w:hAnsi="Verdana" w:cs="Century Gothic"/>
          <w:b/>
          <w:bCs/>
        </w:rPr>
        <w:lastRenderedPageBreak/>
        <w:t>Razones de la respuesta:</w:t>
      </w:r>
    </w:p>
    <w:p w14:paraId="08E21781" w14:textId="77777777" w:rsidR="00470F19" w:rsidRPr="00AB11C1" w:rsidRDefault="00470F19" w:rsidP="00470F19">
      <w:pPr>
        <w:spacing w:after="0" w:line="276" w:lineRule="auto"/>
        <w:jc w:val="both"/>
        <w:rPr>
          <w:rFonts w:ascii="Verdana" w:eastAsia="Calibri" w:hAnsi="Verdana" w:cs="Arial"/>
          <w:color w:val="7030A0"/>
          <w:lang w:val="es-ES"/>
        </w:rPr>
      </w:pPr>
    </w:p>
    <w:p w14:paraId="64AC728C" w14:textId="77777777" w:rsidR="00470F19" w:rsidRPr="00AB11C1" w:rsidRDefault="00470F19" w:rsidP="00470F19">
      <w:pPr>
        <w:spacing w:after="0" w:line="276" w:lineRule="auto"/>
        <w:jc w:val="both"/>
        <w:rPr>
          <w:rFonts w:ascii="Verdana" w:eastAsia="Calibri" w:hAnsi="Verdana" w:cs="Arial"/>
          <w:lang w:val="es-ES"/>
        </w:rPr>
      </w:pPr>
      <w:r w:rsidRPr="00AB11C1">
        <w:rPr>
          <w:rFonts w:ascii="Verdana" w:eastAsia="Calibri" w:hAnsi="Verdana" w:cs="Arial"/>
          <w:lang w:val="es-ES"/>
        </w:rPr>
        <w:t xml:space="preserve">Lo anterior se sustenta en las siguientes consideraciones: </w:t>
      </w:r>
    </w:p>
    <w:p w14:paraId="46B35806" w14:textId="77777777" w:rsidR="00470F19" w:rsidRPr="004B05FB" w:rsidRDefault="00470F19" w:rsidP="00470F19">
      <w:pPr>
        <w:spacing w:after="0" w:line="276" w:lineRule="auto"/>
        <w:jc w:val="both"/>
        <w:rPr>
          <w:rFonts w:ascii="Verdana" w:eastAsia="Calibri" w:hAnsi="Verdana" w:cs="Arial"/>
          <w:lang w:val="es-ES"/>
        </w:rPr>
      </w:pPr>
    </w:p>
    <w:p w14:paraId="4CEC2D08" w14:textId="77777777" w:rsidR="00FD7030" w:rsidRPr="002F47A6" w:rsidRDefault="00FD7030" w:rsidP="00FD7030">
      <w:pPr>
        <w:spacing w:after="120" w:line="276" w:lineRule="auto"/>
        <w:jc w:val="both"/>
        <w:rPr>
          <w:rFonts w:ascii="Verdana" w:eastAsia="Calibri" w:hAnsi="Verdana" w:cs="Arial"/>
          <w:lang w:val="es-ES"/>
        </w:rPr>
      </w:pPr>
      <w:r w:rsidRPr="002F47A6">
        <w:rPr>
          <w:rFonts w:ascii="Verdana" w:eastAsia="Calibri" w:hAnsi="Verdana" w:cs="Arial"/>
          <w:lang w:val="es-ES"/>
        </w:rPr>
        <w:t xml:space="preserve">El artículo 5 de la Ley 1150 de 2007 dispone que la capacidad jurídica y las condiciones de experiencia, capacidad financiera y de organización de los proponentes serán objeto de verificación por parte de las entidades como requisitos habilitantes para participar en los procesos de selección y no otorgarán puntaje. Lo anterior con excepción de la selección de consultores mediante un concurso de méritos, donde es posible otorgar puntaje al criterio de experiencia. </w:t>
      </w:r>
    </w:p>
    <w:p w14:paraId="1B885736" w14:textId="77777777" w:rsidR="00FD7030" w:rsidRPr="002F47A6" w:rsidRDefault="00FD7030" w:rsidP="00FD7030">
      <w:pPr>
        <w:spacing w:after="120" w:line="276" w:lineRule="auto"/>
        <w:ind w:firstLine="708"/>
        <w:jc w:val="both"/>
        <w:rPr>
          <w:rFonts w:ascii="Verdana" w:eastAsia="Calibri" w:hAnsi="Verdana" w:cs="Arial"/>
          <w:lang w:val="es-ES"/>
        </w:rPr>
      </w:pPr>
      <w:r w:rsidRPr="002F47A6">
        <w:rPr>
          <w:rFonts w:ascii="Verdana" w:eastAsia="Calibri" w:hAnsi="Verdana" w:cs="Arial"/>
          <w:lang w:val="es-ES"/>
        </w:rPr>
        <w:t>Por su parte, el artículo 6 de la Ley 1150 de 2007 señala que todas las personas naturales o jurídicas, nacionales o extranjeras, domiciliadas o con sucursal en Colombia, que aspiren celebrar contratos con las entidades deberán estar inscritas en el Registro Único de Proponentes. En dicho registro constará la información relacionada con la experiencia, capacidad jurídica, financiera y de organización del proponente y su clasificación. En relación con el requisito de experiencia, en el «Manual para determinar y verificar requisitos habilitantes en los procesos de contratación» se define la experiencia como «el conocimiento del proponente derivado de su participación previa en actividades iguales o similares a las previstas en el objeto del contrato».</w:t>
      </w:r>
    </w:p>
    <w:p w14:paraId="0DD0CD0B" w14:textId="77777777" w:rsidR="00FD7030" w:rsidRPr="002F47A6" w:rsidRDefault="00FD7030" w:rsidP="00FD7030">
      <w:pPr>
        <w:spacing w:after="120" w:line="276" w:lineRule="auto"/>
        <w:ind w:firstLine="708"/>
        <w:jc w:val="both"/>
        <w:rPr>
          <w:rFonts w:ascii="Verdana" w:eastAsia="Calibri" w:hAnsi="Verdana" w:cs="Arial"/>
          <w:lang w:val="es-ES"/>
        </w:rPr>
      </w:pPr>
      <w:r w:rsidRPr="002F47A6">
        <w:rPr>
          <w:rFonts w:ascii="Verdana" w:eastAsia="Calibri" w:hAnsi="Verdana" w:cs="Arial"/>
          <w:lang w:val="es-ES"/>
        </w:rPr>
        <w:t>El Decreto 1082 de 2015, en el artículo 2.2.1.1.1.5.2, numeral 2.1, establece que si una persona natural se inscribe en el RUP 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w:t>
      </w:r>
      <w:r w:rsidRPr="002F47A6">
        <w:rPr>
          <w:rFonts w:ascii="Verdana" w:eastAsia="Calibri" w:hAnsi="Verdana" w:cs="Arial"/>
          <w:vertAlign w:val="superscript"/>
          <w:lang w:val="es-ES"/>
        </w:rPr>
        <w:footnoteReference w:id="2"/>
      </w:r>
      <w:r w:rsidRPr="002F47A6">
        <w:rPr>
          <w:rFonts w:ascii="Verdana" w:eastAsia="Calibri" w:hAnsi="Verdana" w:cs="Arial"/>
          <w:lang w:val="es-ES"/>
        </w:rPr>
        <w:t xml:space="preserve">.  </w:t>
      </w:r>
    </w:p>
    <w:p w14:paraId="1E56CCEE" w14:textId="77777777" w:rsidR="00FD7030" w:rsidRPr="002F47A6" w:rsidRDefault="00FD7030" w:rsidP="00FD7030">
      <w:pPr>
        <w:spacing w:after="120" w:line="276" w:lineRule="auto"/>
        <w:ind w:firstLine="708"/>
        <w:jc w:val="both"/>
        <w:rPr>
          <w:rFonts w:ascii="Verdana" w:eastAsia="Calibri" w:hAnsi="Verdana" w:cs="Arial"/>
          <w:lang w:val="es-ES"/>
        </w:rPr>
      </w:pPr>
      <w:r w:rsidRPr="002F47A6">
        <w:rPr>
          <w:rFonts w:ascii="Verdana" w:eastAsia="Calibri" w:hAnsi="Verdana" w:cs="Arial"/>
          <w:lang w:val="es-ES"/>
        </w:rPr>
        <w:t>El numeral 2.5</w:t>
      </w:r>
      <w:r w:rsidRPr="002F47A6">
        <w:rPr>
          <w:rFonts w:ascii="Verdana" w:eastAsia="Calibri" w:hAnsi="Verdana" w:cs="Arial"/>
          <w:vertAlign w:val="superscript"/>
          <w:lang w:val="es-ES"/>
        </w:rPr>
        <w:footnoteReference w:id="3"/>
      </w:r>
      <w:r w:rsidRPr="002F47A6">
        <w:rPr>
          <w:rFonts w:ascii="Verdana" w:eastAsia="Calibri" w:hAnsi="Verdana" w:cs="Arial"/>
          <w:lang w:val="es-ES"/>
        </w:rPr>
        <w:t xml:space="preserve"> del mismo artículo señala que la </w:t>
      </w:r>
      <w:r w:rsidRPr="002F47A6">
        <w:rPr>
          <w:rFonts w:ascii="Verdana" w:eastAsia="Calibri" w:hAnsi="Verdana" w:cs="Arial"/>
          <w:i/>
          <w:iCs/>
          <w:lang w:val="es-ES"/>
        </w:rPr>
        <w:t>persona jurídica</w:t>
      </w:r>
      <w:r w:rsidRPr="002F47A6">
        <w:rPr>
          <w:rFonts w:ascii="Verdana" w:eastAsia="Calibri" w:hAnsi="Verdana" w:cs="Arial"/>
          <w:lang w:val="es-ES"/>
        </w:rPr>
        <w:t xml:space="preserve"> se registrará aportando los certificados de la experiencia en la provisión de los </w:t>
      </w:r>
      <w:r w:rsidRPr="002F47A6">
        <w:rPr>
          <w:rFonts w:ascii="Verdana" w:eastAsia="Calibri" w:hAnsi="Verdana" w:cs="Arial"/>
          <w:lang w:val="es-ES"/>
        </w:rPr>
        <w:lastRenderedPageBreak/>
        <w:t xml:space="preserve">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w:t>
      </w:r>
    </w:p>
    <w:p w14:paraId="03008734" w14:textId="77777777" w:rsidR="00FD7030" w:rsidRPr="002F47A6" w:rsidRDefault="00FD7030" w:rsidP="00FD7030">
      <w:pPr>
        <w:spacing w:after="120" w:line="276" w:lineRule="auto"/>
        <w:ind w:firstLine="708"/>
        <w:jc w:val="both"/>
        <w:rPr>
          <w:rFonts w:ascii="Verdana" w:eastAsia="Calibri" w:hAnsi="Verdana" w:cs="Arial"/>
          <w:lang w:val="es-ES"/>
        </w:rPr>
      </w:pPr>
      <w:r w:rsidRPr="002F47A6">
        <w:rPr>
          <w:rFonts w:ascii="Verdana" w:eastAsia="Calibri" w:hAnsi="Verdana" w:cs="Arial"/>
          <w:lang w:val="es-ES"/>
        </w:rPr>
        <w:t>El interesado debe indicar, en cada certificado, o en cada copia de los contratos, los bienes, obras y servicios a los cuales corresponde la experiencia que pretende acreditar, identificándolos con el Clasificador de Bienes y Servicios, en el tercer nivel. Además, dicho numeral establece que, si la constitución del interesado es menor a 3 años, puede acreditar la experiencia de sus accionistas, socios o constituyentes.</w:t>
      </w:r>
    </w:p>
    <w:p w14:paraId="464F86F8" w14:textId="77777777" w:rsidR="00FD7030" w:rsidRPr="002F47A6" w:rsidRDefault="00FD7030" w:rsidP="00FD7030">
      <w:pPr>
        <w:spacing w:after="120" w:line="276" w:lineRule="auto"/>
        <w:ind w:firstLine="708"/>
        <w:jc w:val="both"/>
        <w:rPr>
          <w:rFonts w:ascii="Verdana" w:eastAsia="Calibri" w:hAnsi="Verdana" w:cs="Arial"/>
          <w:lang w:val="es-ES"/>
        </w:rPr>
      </w:pPr>
      <w:r w:rsidRPr="002F47A6">
        <w:rPr>
          <w:rFonts w:ascii="Verdana" w:eastAsia="Calibri" w:hAnsi="Verdana" w:cs="Arial"/>
          <w:lang w:val="es-ES"/>
        </w:rPr>
        <w:t xml:space="preserve">De esta manera, la parte final del numeral 2.5 del artículo citado incluye una medida diferenciada para las personas jurídicas cuya constitución sea menor a 3 años al momento del registro. Esta prerrogativa, que puede entenderse como una medida de fomento a la participación de pequeños oferentes en la contratación estatal, permite que las sociedades relativamente nuevas ─con menos de 3 años de constitución─ puedan acreditar como experiencia en el RUP la de sus accionistas, socios o constituyentes. A pesar de que la experiencia es inherente a la persona que la ha obtenido, razón por la cual es intransferible en virtud de su carácter personalísimo, por disposición legal o reglamentaria, en casos excepcionales, como el descrito por el artículo mencionado, se permite hacerlo. </w:t>
      </w:r>
    </w:p>
    <w:p w14:paraId="58867B26" w14:textId="77777777" w:rsidR="00FD7030" w:rsidRPr="002F47A6" w:rsidRDefault="00FD7030" w:rsidP="00FD7030">
      <w:pPr>
        <w:spacing w:after="120" w:line="276" w:lineRule="auto"/>
        <w:ind w:firstLine="708"/>
        <w:jc w:val="both"/>
        <w:rPr>
          <w:rFonts w:ascii="Verdana" w:eastAsia="Calibri" w:hAnsi="Verdana" w:cs="Arial"/>
          <w:lang w:val="es-ES"/>
        </w:rPr>
      </w:pPr>
      <w:r w:rsidRPr="002F47A6">
        <w:rPr>
          <w:rFonts w:ascii="Verdana" w:eastAsia="Calibri" w:hAnsi="Verdana" w:cs="Arial"/>
          <w:lang w:val="es-ES"/>
        </w:rPr>
        <w:t xml:space="preserve">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que establezcan las entidades estatales en sus procesos de contratación, y de esta </w:t>
      </w:r>
      <w:r w:rsidRPr="002F47A6">
        <w:rPr>
          <w:rFonts w:ascii="Verdana" w:eastAsia="Calibri" w:hAnsi="Verdana" w:cs="Arial"/>
          <w:lang w:val="es-ES"/>
        </w:rPr>
        <w:lastRenderedPageBreak/>
        <w:t>forma promover el desarrollo de la empresa y la pluralidad de oferentes en la contratación pública.</w:t>
      </w:r>
    </w:p>
    <w:p w14:paraId="3A2F340D" w14:textId="77777777" w:rsidR="00FD7030" w:rsidRPr="002F47A6" w:rsidRDefault="00FD7030" w:rsidP="00FD7030">
      <w:pPr>
        <w:spacing w:after="120" w:line="276" w:lineRule="auto"/>
        <w:ind w:firstLine="708"/>
        <w:jc w:val="both"/>
        <w:rPr>
          <w:rFonts w:ascii="Verdana" w:eastAsia="Calibri" w:hAnsi="Verdana" w:cs="Arial"/>
          <w:lang w:val="es-ES"/>
        </w:rPr>
      </w:pPr>
      <w:r w:rsidRPr="002F47A6">
        <w:rPr>
          <w:rFonts w:ascii="Verdana" w:eastAsia="Calibri" w:hAnsi="Verdana" w:cs="Arial"/>
          <w:lang w:val="es-ES"/>
        </w:rPr>
        <w:t xml:space="preserve">Este aspecto ofrece meridiana claridad en cuanto a su aplicación, pero el interrogante que ha generado la norma es el siguiente: ¿qué pasa después de que la sociedad a la que le ha sido permitido certificar la experiencia de sus socios, accionistas o constituyentes cumple 3 años de su constitución? ¿Puede seguir siendo beneficiaria de la prerrogativa del numeral 2.5. del artículo 2.2.1.1.1.5.2 del Decreto 1082 de 2015? Estos interrogantes han sido planteados a la Subdirección de Gestión Contractual y se han desarrollado, en torno a dos posiciones, que se plantean a continuación: </w:t>
      </w:r>
    </w:p>
    <w:p w14:paraId="3FECA8FF" w14:textId="77777777" w:rsidR="00FD7030" w:rsidRPr="002F47A6" w:rsidRDefault="00FD7030" w:rsidP="00FD7030">
      <w:pPr>
        <w:spacing w:after="120" w:line="276" w:lineRule="auto"/>
        <w:ind w:firstLine="708"/>
        <w:jc w:val="both"/>
        <w:rPr>
          <w:rFonts w:ascii="Verdana" w:eastAsia="Calibri" w:hAnsi="Verdana" w:cs="Arial"/>
          <w:lang w:val="es-ES"/>
        </w:rPr>
      </w:pPr>
      <w:r w:rsidRPr="002F47A6">
        <w:rPr>
          <w:rFonts w:ascii="Verdana" w:eastAsia="Calibri" w:hAnsi="Verdana" w:cs="Arial"/>
          <w:lang w:val="es-ES"/>
        </w:rPr>
        <w:t xml:space="preserve">En el concepto identificado con radicado No. 4201814000001418 del 3 de abril de 2018, donde frente a la misma pregunta esta Subdirección respondió que después de cumplidos los 3 años contados desde la constitución de la sociedad, las entidades estatales no deberían tener como válida la experiencia acreditada por los socios, accionistas o constituyentes. Como fundamento de esta posición, la Subdirección consideró, en su momento, lo siguiente: </w:t>
      </w:r>
    </w:p>
    <w:p w14:paraId="1C9E5711" w14:textId="77777777" w:rsidR="00FD7030" w:rsidRPr="002F47A6" w:rsidRDefault="00FD7030" w:rsidP="00FD7030">
      <w:pPr>
        <w:spacing w:after="120" w:line="276" w:lineRule="auto"/>
        <w:ind w:firstLine="708"/>
        <w:jc w:val="both"/>
        <w:rPr>
          <w:rFonts w:ascii="Verdana" w:eastAsia="Calibri" w:hAnsi="Verdana" w:cs="Arial"/>
          <w:lang w:val="es-ES"/>
        </w:rPr>
      </w:pPr>
      <w:r w:rsidRPr="002F47A6">
        <w:rPr>
          <w:rFonts w:ascii="Verdana" w:eastAsia="Calibri" w:hAnsi="Verdana" w:cs="Arial"/>
          <w:lang w:val="es-ES"/>
        </w:rPr>
        <w:t xml:space="preserve">i) El Decreto 1082 de 2015 establece que, para la inscripción en el RUP de una persona jurídica, si su constitución es menor a 3 años, puede acreditar la experiencia de sus accionistas, socios o constituyentes. </w:t>
      </w:r>
    </w:p>
    <w:p w14:paraId="017EFA47" w14:textId="77777777" w:rsidR="00FD7030" w:rsidRPr="002F47A6" w:rsidRDefault="00FD7030" w:rsidP="00FD7030">
      <w:pPr>
        <w:spacing w:after="120" w:line="276" w:lineRule="auto"/>
        <w:ind w:firstLine="708"/>
        <w:jc w:val="both"/>
        <w:rPr>
          <w:rFonts w:ascii="Verdana" w:eastAsia="Calibri" w:hAnsi="Verdana" w:cs="Arial"/>
          <w:lang w:val="es-ES"/>
        </w:rPr>
      </w:pPr>
      <w:proofErr w:type="spellStart"/>
      <w:r w:rsidRPr="002F47A6">
        <w:rPr>
          <w:rFonts w:ascii="Verdana" w:eastAsia="Calibri" w:hAnsi="Verdana" w:cs="Arial"/>
          <w:lang w:val="es-ES"/>
        </w:rPr>
        <w:t>ii</w:t>
      </w:r>
      <w:proofErr w:type="spellEnd"/>
      <w:r w:rsidRPr="002F47A6">
        <w:rPr>
          <w:rFonts w:ascii="Verdana" w:eastAsia="Calibri" w:hAnsi="Verdana" w:cs="Arial"/>
          <w:lang w:val="es-ES"/>
        </w:rPr>
        <w:t xml:space="preserve">) La finalidad de esta norma es permitir que las sociedades que no cuentan con la experiencia suficiente para contratar con el Estado puedan apoyarse en la experiencia de sus accionistas, socios o constituyentes con el fin de incentivar la libre competencia en la contratación estatal. </w:t>
      </w:r>
    </w:p>
    <w:p w14:paraId="751C030B" w14:textId="77777777" w:rsidR="00FD7030" w:rsidRPr="002F47A6" w:rsidRDefault="00FD7030" w:rsidP="00FD7030">
      <w:pPr>
        <w:spacing w:after="120" w:line="276" w:lineRule="auto"/>
        <w:ind w:firstLine="708"/>
        <w:jc w:val="both"/>
        <w:rPr>
          <w:rFonts w:ascii="Verdana" w:eastAsia="Calibri" w:hAnsi="Verdana" w:cs="Arial"/>
          <w:lang w:val="es-ES"/>
        </w:rPr>
      </w:pPr>
      <w:proofErr w:type="spellStart"/>
      <w:r w:rsidRPr="002F47A6">
        <w:rPr>
          <w:rFonts w:ascii="Verdana" w:eastAsia="Calibri" w:hAnsi="Verdana" w:cs="Arial"/>
          <w:lang w:val="es-ES"/>
        </w:rPr>
        <w:t>iii</w:t>
      </w:r>
      <w:proofErr w:type="spellEnd"/>
      <w:r w:rsidRPr="002F47A6">
        <w:rPr>
          <w:rFonts w:ascii="Verdana" w:eastAsia="Calibri" w:hAnsi="Verdana" w:cs="Arial"/>
          <w:lang w:val="es-ES"/>
        </w:rPr>
        <w:t xml:space="preserve">) En consecuencia, la persona jurídica cuya constitución es menor a 3 años puede registrar la experiencia de sus socios en el RUP, la cual no podrá ser tenida en cuenta por la entidad estatal como experiencia de la sociedad una vez cumplidos los 3 años de constituida la persona jurídica a los que hace referencia la norma, pues no se cumple con el presupuesto normativo para acceder al beneficio que contempla el Decreto 1082. </w:t>
      </w:r>
    </w:p>
    <w:p w14:paraId="578712DB" w14:textId="77777777" w:rsidR="00FD7030" w:rsidRPr="002F47A6" w:rsidRDefault="00FD7030" w:rsidP="00FD7030">
      <w:pPr>
        <w:spacing w:after="120" w:line="276" w:lineRule="auto"/>
        <w:ind w:firstLine="708"/>
        <w:jc w:val="both"/>
        <w:rPr>
          <w:rFonts w:ascii="Verdana" w:eastAsia="Calibri" w:hAnsi="Verdana" w:cs="Arial"/>
          <w:lang w:val="es-ES"/>
        </w:rPr>
      </w:pPr>
      <w:proofErr w:type="spellStart"/>
      <w:r w:rsidRPr="002F47A6">
        <w:rPr>
          <w:rFonts w:ascii="Verdana" w:eastAsia="Calibri" w:hAnsi="Verdana" w:cs="Arial"/>
          <w:lang w:val="es-ES"/>
        </w:rPr>
        <w:t>iv</w:t>
      </w:r>
      <w:proofErr w:type="spellEnd"/>
      <w:r w:rsidRPr="002F47A6">
        <w:rPr>
          <w:rFonts w:ascii="Verdana" w:eastAsia="Calibri" w:hAnsi="Verdana" w:cs="Arial"/>
          <w:lang w:val="es-ES"/>
        </w:rPr>
        <w:t xml:space="preserve">) Las Cámaras de Comercio hacen la verificación documental de la información presentada por los interesados al momento de inscribir, renovar o actualizar su información en el RUP. De esa forma, a diferencia de la renovación, la actualización del RUP puede llevarse a cabo en cualquier momento ―únicamente para la capacidad jurídica y experiencia― y debe ser verificada junto con sus soportes por la Cámara de Comercio correspondiente. </w:t>
      </w:r>
    </w:p>
    <w:p w14:paraId="73EB3A0A" w14:textId="77777777" w:rsidR="00FD7030" w:rsidRPr="002F47A6" w:rsidRDefault="00FD7030" w:rsidP="00FD7030">
      <w:pPr>
        <w:spacing w:after="120" w:line="276" w:lineRule="auto"/>
        <w:ind w:firstLine="708"/>
        <w:jc w:val="both"/>
        <w:rPr>
          <w:rFonts w:ascii="Verdana" w:eastAsia="Calibri" w:hAnsi="Verdana" w:cs="Arial"/>
          <w:lang w:val="es-ES"/>
        </w:rPr>
      </w:pPr>
      <w:r w:rsidRPr="002F47A6">
        <w:rPr>
          <w:rFonts w:ascii="Verdana" w:eastAsia="Calibri" w:hAnsi="Verdana" w:cs="Arial"/>
          <w:lang w:val="es-ES"/>
        </w:rPr>
        <w:lastRenderedPageBreak/>
        <w:t>La posición anterior, en relación con la imposibilidad de que las sociedades nuevas puedan seguir acreditando la experiencia de sus socios, accionistas o constituyentes, incluso después de cumplidos 3 años de constitución de la persona jurídica, fue superada.  En tal sentido, esta Subdirección ratificó la tesis que incluso ya había sido desarrollada en un concepto anterior del 7 de febrero de 2018</w:t>
      </w:r>
      <w:r w:rsidRPr="002F47A6">
        <w:rPr>
          <w:rFonts w:ascii="Verdana" w:eastAsia="Calibri" w:hAnsi="Verdana" w:cs="Arial"/>
          <w:vertAlign w:val="superscript"/>
          <w:lang w:val="es-ES"/>
        </w:rPr>
        <w:footnoteReference w:id="4"/>
      </w:r>
      <w:r w:rsidRPr="002F47A6">
        <w:rPr>
          <w:rFonts w:ascii="Verdana" w:eastAsia="Calibri" w:hAnsi="Verdana" w:cs="Arial"/>
          <w:lang w:val="es-ES"/>
        </w:rPr>
        <w:t xml:space="preserve">, recogida y unificada en el concepto con radicado No. 4201913000006797 del 19 de noviembre de 2019. Allí se sostuvo, y se ha mantenido la tesis hasta la actualidad, que las personas jurídicas que hubieran sido beneficiarias de la norma podían seguir acreditando la experiencia de sus socios o accionistas, inclusive después de transcurridos 3 años desde la constitución de la sociedad, siempre que se renovara constantemente el RUP.  </w:t>
      </w:r>
    </w:p>
    <w:p w14:paraId="4EADB6FB" w14:textId="77777777" w:rsidR="00FD7030" w:rsidRPr="002F47A6" w:rsidRDefault="00FD7030" w:rsidP="00FD7030">
      <w:pPr>
        <w:spacing w:after="120" w:line="276" w:lineRule="auto"/>
        <w:ind w:firstLine="708"/>
        <w:jc w:val="both"/>
        <w:rPr>
          <w:rFonts w:ascii="Verdana" w:eastAsia="Calibri" w:hAnsi="Verdana" w:cs="Arial"/>
          <w:lang w:val="es-ES"/>
        </w:rPr>
      </w:pPr>
      <w:r w:rsidRPr="002F47A6">
        <w:rPr>
          <w:rFonts w:ascii="Verdana" w:eastAsia="Calibri" w:hAnsi="Verdana" w:cs="Arial"/>
          <w:lang w:val="es-ES"/>
        </w:rPr>
        <w:t xml:space="preserve">Teniendo en cuenta lo anterior, aunque la persona jurídica tenga más de tres años de constituida y haya registrado inicialmente la experiencia de sus socios en el RUP –pues su constitución era inferior a tres años–, cuando este sea renovado, puede continuar utilizando la experiencia inscrita mientras no cesen los efectos del RUP. Por el contrario, si el RUP no es renovado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0A156D2F" w14:textId="77777777" w:rsidR="00FD7030" w:rsidRPr="002F47A6" w:rsidRDefault="00FD7030" w:rsidP="00FD7030">
      <w:pPr>
        <w:spacing w:after="120" w:line="276" w:lineRule="auto"/>
        <w:ind w:firstLine="708"/>
        <w:jc w:val="both"/>
        <w:rPr>
          <w:rFonts w:ascii="Verdana" w:eastAsia="Calibri" w:hAnsi="Verdana" w:cs="Arial"/>
          <w:lang w:val="es-ES"/>
        </w:rPr>
      </w:pPr>
      <w:r w:rsidRPr="002F47A6">
        <w:rPr>
          <w:rFonts w:ascii="Verdana" w:eastAsia="Calibri" w:hAnsi="Verdana" w:cs="Arial"/>
          <w:lang w:val="es-ES"/>
        </w:rPr>
        <w:t>En armonía con lo anterior, se reitera que la finalidad del numeral 2.5 del artículo 2.2.1.1.1.5.2 del Decreto 1082 de 2015 es incentivar la libre competencia y la pluralidad de oferentes en la contratación estatal. Adicionalmente, el Decreto 1082 de 2015 establece que la persona inscrita en el RUP debe presentar la información para renovar su registro a más tardar el quinto día hábil del mes de abril de cada año, de lo contrario cesan sus efectos</w:t>
      </w:r>
      <w:r w:rsidRPr="002F47A6">
        <w:rPr>
          <w:rFonts w:ascii="Verdana" w:eastAsia="Calibri" w:hAnsi="Verdana" w:cs="Arial"/>
          <w:vertAlign w:val="superscript"/>
          <w:lang w:val="es-ES"/>
        </w:rPr>
        <w:footnoteReference w:id="5"/>
      </w:r>
      <w:r w:rsidRPr="002F47A6">
        <w:rPr>
          <w:rFonts w:ascii="Verdana" w:eastAsia="Calibri" w:hAnsi="Verdana" w:cs="Arial"/>
          <w:lang w:val="es-ES"/>
        </w:rPr>
        <w:t xml:space="preserve">. En la actualidad, las cámaras de comercio solo pueden eliminar la experiencia </w:t>
      </w:r>
      <w:r w:rsidRPr="002F47A6">
        <w:rPr>
          <w:rFonts w:ascii="Verdana" w:eastAsia="Calibri" w:hAnsi="Verdana" w:cs="Arial"/>
          <w:lang w:val="es-ES"/>
        </w:rPr>
        <w:lastRenderedPageBreak/>
        <w:t xml:space="preserve">registrada en el RUP a solicitud del proponente. Por tanto, les corresponde a las personas jurídicas mantener su RUP actualizado y a las entidades estatales verificar este registro para efectos de evaluar la experiencia. </w:t>
      </w:r>
    </w:p>
    <w:p w14:paraId="795189EE" w14:textId="77777777" w:rsidR="00FD7030" w:rsidRPr="002F47A6" w:rsidRDefault="00FD7030" w:rsidP="00FD7030">
      <w:pPr>
        <w:spacing w:line="276" w:lineRule="auto"/>
        <w:ind w:firstLine="708"/>
        <w:jc w:val="both"/>
        <w:rPr>
          <w:rFonts w:ascii="Verdana" w:eastAsia="Calibri" w:hAnsi="Verdana" w:cs="Arial"/>
          <w:lang w:val="es-ES"/>
        </w:rPr>
      </w:pPr>
      <w:r w:rsidRPr="002F47A6">
        <w:rPr>
          <w:rFonts w:ascii="Verdana" w:eastAsia="Calibri" w:hAnsi="Verdana" w:cs="Arial"/>
          <w:lang w:val="es-ES"/>
        </w:rPr>
        <w:t xml:space="preserve">En otras palabras, </w:t>
      </w:r>
      <w:bookmarkStart w:id="0" w:name="_Hlk67498604"/>
      <w:r w:rsidRPr="002F47A6">
        <w:rPr>
          <w:rFonts w:ascii="Verdana" w:eastAsia="Calibri" w:hAnsi="Verdana" w:cs="Arial"/>
          <w:lang w:val="es-ES"/>
        </w:rPr>
        <w:t xml:space="preserve">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nuevamente en el registro. </w:t>
      </w:r>
      <w:bookmarkEnd w:id="0"/>
      <w:r w:rsidRPr="002F47A6">
        <w:rPr>
          <w:rFonts w:ascii="Verdana" w:eastAsia="Calibri" w:hAnsi="Verdana" w:cs="Arial"/>
          <w:lang w:val="es-ES"/>
        </w:rPr>
        <w:t xml:space="preserve">Lo anterior, tiene fundamento en la Circular Única de la Superintendencia de Industria y Comercio, cuyo numeral 4.2, sobre el procedimiento para llevar el registro único de proponentes, dispone lo siguiente:  </w:t>
      </w:r>
    </w:p>
    <w:p w14:paraId="236B80B6" w14:textId="4C7FF0FA" w:rsidR="00FD7030" w:rsidRPr="002F47A6" w:rsidRDefault="00FD7030" w:rsidP="00FD7030">
      <w:pPr>
        <w:ind w:left="709" w:right="709"/>
        <w:jc w:val="both"/>
        <w:rPr>
          <w:rFonts w:ascii="Verdana" w:eastAsia="Calibri" w:hAnsi="Verdana" w:cs="Arial"/>
          <w:sz w:val="21"/>
          <w:szCs w:val="21"/>
          <w:lang w:val="es-ES"/>
        </w:rPr>
      </w:pPr>
      <w:r w:rsidRPr="002F47A6">
        <w:rPr>
          <w:rFonts w:ascii="Verdana" w:eastAsia="Calibri" w:hAnsi="Verdana" w:cs="Arial"/>
          <w:sz w:val="21"/>
          <w:szCs w:val="21"/>
          <w:lang w:val="es-ES"/>
        </w:rPr>
        <w:t xml:space="preserve">“4.2.5.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 </w:t>
      </w:r>
    </w:p>
    <w:p w14:paraId="48256BFE" w14:textId="77777777" w:rsidR="00FD7030" w:rsidRPr="002F47A6" w:rsidRDefault="00FD7030" w:rsidP="00FD7030">
      <w:pPr>
        <w:spacing w:after="120" w:line="276" w:lineRule="auto"/>
        <w:ind w:firstLine="708"/>
        <w:jc w:val="both"/>
        <w:rPr>
          <w:rFonts w:ascii="Verdana" w:eastAsia="Calibri" w:hAnsi="Verdana" w:cs="Arial"/>
          <w:lang w:val="es-ES"/>
        </w:rPr>
      </w:pPr>
      <w:r w:rsidRPr="002F47A6">
        <w:rPr>
          <w:rFonts w:ascii="Verdana" w:eastAsia="Calibri" w:hAnsi="Verdana" w:cs="Arial"/>
          <w:lang w:val="es-ES"/>
        </w:rPr>
        <w:t xml:space="preserve">Así las cosas, con el fin de incentivar la participación continúa y constante de los proponentes, las entidades estatales, en sus procesos de contratación, aceptarán como válida la experiencia de los socios, accionistas o constituyentes incluso después de cumplidos los tres años de constitución de la sociedad, pues esta interpretación permite incentivar la creación de empresa y generar una mayor participación de las empresas recién constituidas. En este sentido, si bien la norma no dispone qué sucede con la experiencia aportada por los socios, accionistas o constituyentes, después de los 3 años de constituida la persona jurídica, para esta Subdirección sigue siendo válida, por lo que la entidad la debe tener en cuenta, pues de esta forma se garantiza la pluralidad de oferentes en los procesos de contratación. </w:t>
      </w:r>
    </w:p>
    <w:p w14:paraId="0C8DCB23" w14:textId="77777777" w:rsidR="00FD7030" w:rsidRPr="002F47A6" w:rsidRDefault="00FD7030" w:rsidP="00FD7030">
      <w:pPr>
        <w:spacing w:line="276" w:lineRule="auto"/>
        <w:ind w:firstLine="709"/>
        <w:jc w:val="both"/>
        <w:rPr>
          <w:rFonts w:ascii="Verdana" w:eastAsia="Calibri" w:hAnsi="Verdana" w:cs="Arial"/>
          <w:lang w:val="es-ES"/>
        </w:rPr>
      </w:pPr>
      <w:r w:rsidRPr="002F47A6">
        <w:rPr>
          <w:rFonts w:ascii="Verdana" w:eastAsia="Calibri" w:hAnsi="Verdana" w:cs="Arial"/>
          <w:lang w:val="es-ES"/>
        </w:rPr>
        <w:t xml:space="preserve">Por tanto, en atención al principio general de interpretación donde el legislador no distingue no le es dado hacerlo al interprete,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w:t>
      </w:r>
      <w:r w:rsidRPr="002F47A6">
        <w:rPr>
          <w:rFonts w:ascii="Verdana" w:eastAsia="Calibri" w:hAnsi="Verdana" w:cs="Arial"/>
          <w:lang w:val="es-ES"/>
        </w:rPr>
        <w:lastRenderedPageBreak/>
        <w:t>vencidos los 3 años de constitución, siempre que no hayan cesado los efectos del RUP por el incumplimiento del deber de renovación.</w:t>
      </w:r>
    </w:p>
    <w:p w14:paraId="529EEB6E" w14:textId="3D08D732" w:rsidR="00FD7030" w:rsidRPr="002F47A6" w:rsidRDefault="00557C0B" w:rsidP="002F47A6">
      <w:pPr>
        <w:spacing w:line="276" w:lineRule="auto"/>
        <w:ind w:firstLine="708"/>
        <w:jc w:val="both"/>
        <w:rPr>
          <w:rFonts w:ascii="Verdana" w:eastAsia="Calibri" w:hAnsi="Verdana" w:cs="Arial"/>
          <w:lang w:val="es-ES"/>
        </w:rPr>
      </w:pPr>
      <w:r w:rsidRPr="002F47A6">
        <w:rPr>
          <w:rFonts w:ascii="Verdana" w:eastAsia="Calibri" w:hAnsi="Verdana" w:cs="Arial"/>
          <w:lang w:val="es-ES"/>
        </w:rPr>
        <w:t>Este mismo principio general resulta determinante para la resolución de la cuestión materia de consulta si se tiene en cuenta que, el numeral 2.5 del artículo 2.2.1.1.1.5.2 del Decreto 1082 de 2015</w:t>
      </w:r>
      <w:r w:rsidR="004D1E40" w:rsidRPr="002F47A6">
        <w:rPr>
          <w:rFonts w:ascii="Verdana" w:eastAsia="Calibri" w:hAnsi="Verdana" w:cs="Arial"/>
          <w:lang w:val="es-ES"/>
        </w:rPr>
        <w:t xml:space="preserve"> no limita la inscripción de contratos a l</w:t>
      </w:r>
      <w:r w:rsidR="00410D0D" w:rsidRPr="002F47A6">
        <w:rPr>
          <w:rFonts w:ascii="Verdana" w:eastAsia="Calibri" w:hAnsi="Verdana" w:cs="Arial"/>
          <w:lang w:val="es-ES"/>
        </w:rPr>
        <w:t>a experiencia adquirida por socios que tengan la calidad de persona jurídica, lo que significa que, tratándose de personas ju</w:t>
      </w:r>
      <w:r w:rsidR="003675A4" w:rsidRPr="002F47A6">
        <w:rPr>
          <w:rFonts w:ascii="Verdana" w:eastAsia="Calibri" w:hAnsi="Verdana" w:cs="Arial"/>
          <w:lang w:val="es-ES"/>
        </w:rPr>
        <w:t xml:space="preserve">rídicas constituidas por otras personas jurídicas, </w:t>
      </w:r>
      <w:r w:rsidR="00E77E59" w:rsidRPr="002F47A6">
        <w:rPr>
          <w:rFonts w:ascii="Verdana" w:eastAsia="Calibri" w:hAnsi="Verdana" w:cs="Arial"/>
          <w:lang w:val="es-ES"/>
        </w:rPr>
        <w:t>aquellas</w:t>
      </w:r>
      <w:r w:rsidR="003675A4" w:rsidRPr="002F47A6">
        <w:rPr>
          <w:rFonts w:ascii="Verdana" w:eastAsia="Calibri" w:hAnsi="Verdana" w:cs="Arial"/>
          <w:lang w:val="es-ES"/>
        </w:rPr>
        <w:t xml:space="preserve"> puedan </w:t>
      </w:r>
      <w:r w:rsidR="004B1722" w:rsidRPr="002F47A6">
        <w:rPr>
          <w:rFonts w:ascii="Verdana" w:eastAsia="Calibri" w:hAnsi="Verdana" w:cs="Arial"/>
          <w:lang w:val="es-ES"/>
        </w:rPr>
        <w:t>acreditar la experiencia adquirida por sus socios</w:t>
      </w:r>
      <w:r w:rsidR="00E77E59" w:rsidRPr="002F47A6">
        <w:rPr>
          <w:rFonts w:ascii="Verdana" w:eastAsia="Calibri" w:hAnsi="Verdana" w:cs="Arial"/>
          <w:lang w:val="es-ES"/>
        </w:rPr>
        <w:t xml:space="preserve">. </w:t>
      </w:r>
      <w:r w:rsidR="00FD7030" w:rsidRPr="002F47A6">
        <w:rPr>
          <w:rFonts w:ascii="Verdana" w:eastAsia="Calibri" w:hAnsi="Verdana" w:cs="Arial"/>
          <w:lang w:val="es-ES"/>
        </w:rPr>
        <w:t xml:space="preserve"> </w:t>
      </w:r>
    </w:p>
    <w:p w14:paraId="20B63F33" w14:textId="77777777" w:rsidR="00470F19" w:rsidRPr="005821E0" w:rsidRDefault="00470F19" w:rsidP="00470F19">
      <w:pPr>
        <w:spacing w:after="120" w:line="276" w:lineRule="auto"/>
        <w:ind w:left="709" w:right="709" w:firstLine="708"/>
        <w:jc w:val="both"/>
        <w:rPr>
          <w:rFonts w:ascii="Verdana" w:eastAsia="Calibri" w:hAnsi="Verdana" w:cs="Arial"/>
          <w:lang w:val="es-MX"/>
        </w:rPr>
      </w:pPr>
    </w:p>
    <w:p w14:paraId="0AA359A7" w14:textId="77777777" w:rsidR="00470F19" w:rsidRPr="00EA6590" w:rsidRDefault="00470F19" w:rsidP="00470F19">
      <w:pPr>
        <w:pStyle w:val="Prrafodelista"/>
        <w:numPr>
          <w:ilvl w:val="0"/>
          <w:numId w:val="16"/>
        </w:numPr>
        <w:spacing w:after="120" w:line="276" w:lineRule="auto"/>
        <w:ind w:left="425" w:hanging="425"/>
        <w:jc w:val="both"/>
        <w:rPr>
          <w:rFonts w:ascii="Verdana" w:eastAsia="Calibri" w:hAnsi="Verdana" w:cs="Arial"/>
          <w:lang w:val="es-MX"/>
        </w:rPr>
      </w:pPr>
      <w:r w:rsidRPr="00AB11C1">
        <w:rPr>
          <w:rFonts w:ascii="Verdana" w:eastAsia="Century Gothic" w:hAnsi="Verdana" w:cs="Century Gothic"/>
          <w:b/>
          <w:bCs/>
        </w:rPr>
        <w:t>Referencias normativas, jurisprudenciales y otras fuentes:</w:t>
      </w:r>
    </w:p>
    <w:p w14:paraId="37B31224" w14:textId="77777777" w:rsidR="00470F19" w:rsidRPr="005821E0" w:rsidRDefault="00470F19" w:rsidP="00470F19">
      <w:pPr>
        <w:pStyle w:val="Prrafodelista"/>
        <w:spacing w:after="120" w:line="276" w:lineRule="auto"/>
        <w:ind w:left="425"/>
        <w:jc w:val="both"/>
        <w:rPr>
          <w:rFonts w:ascii="Verdana" w:eastAsia="Calibri" w:hAnsi="Verdana" w:cs="Arial"/>
          <w:lang w:val="es-MX"/>
        </w:rPr>
      </w:pPr>
    </w:p>
    <w:p w14:paraId="6BCBCAF0" w14:textId="77777777" w:rsidR="00470F19" w:rsidRPr="00F92065" w:rsidRDefault="00470F19" w:rsidP="00470F19">
      <w:pPr>
        <w:pStyle w:val="Prrafodelista"/>
        <w:numPr>
          <w:ilvl w:val="0"/>
          <w:numId w:val="17"/>
        </w:numPr>
        <w:spacing w:after="120"/>
        <w:ind w:left="647"/>
        <w:jc w:val="both"/>
        <w:rPr>
          <w:rFonts w:ascii="Verdana" w:hAnsi="Verdana"/>
        </w:rPr>
      </w:pPr>
      <w:r>
        <w:rPr>
          <w:rFonts w:ascii="Verdana" w:hAnsi="Verdana"/>
        </w:rPr>
        <w:t>A</w:t>
      </w:r>
      <w:r w:rsidRPr="005821E0">
        <w:rPr>
          <w:rFonts w:ascii="Verdana" w:hAnsi="Verdana"/>
        </w:rPr>
        <w:t>rtículo 209</w:t>
      </w:r>
      <w:r>
        <w:rPr>
          <w:rFonts w:ascii="Verdana" w:hAnsi="Verdana"/>
        </w:rPr>
        <w:t xml:space="preserve"> </w:t>
      </w:r>
      <w:r w:rsidRPr="005821E0">
        <w:rPr>
          <w:rFonts w:ascii="Verdana" w:hAnsi="Verdana"/>
        </w:rPr>
        <w:t>Constitución Política</w:t>
      </w:r>
      <w:r>
        <w:rPr>
          <w:rFonts w:ascii="Verdana" w:hAnsi="Verdana"/>
        </w:rPr>
        <w:t xml:space="preserve">. Disponible en: </w:t>
      </w:r>
      <w:hyperlink r:id="rId12" w:history="1">
        <w:r w:rsidRPr="0079147C">
          <w:rPr>
            <w:rStyle w:val="Hipervnculo"/>
            <w:rFonts w:ascii="Verdana" w:hAnsi="Verdana"/>
          </w:rPr>
          <w:t>https://relatoria.colombiacompra.gov.co/normativa/constitucion-politica-de-colombia/</w:t>
        </w:r>
      </w:hyperlink>
      <w:r>
        <w:rPr>
          <w:rFonts w:ascii="Verdana" w:hAnsi="Verdana"/>
        </w:rPr>
        <w:t xml:space="preserve"> </w:t>
      </w:r>
    </w:p>
    <w:p w14:paraId="04354D8E" w14:textId="77777777" w:rsidR="00470F19" w:rsidRDefault="00470F19" w:rsidP="00470F19">
      <w:pPr>
        <w:pStyle w:val="Prrafodelista"/>
        <w:spacing w:after="120"/>
        <w:ind w:left="647"/>
        <w:jc w:val="both"/>
        <w:rPr>
          <w:rFonts w:ascii="Verdana" w:hAnsi="Verdana"/>
        </w:rPr>
      </w:pPr>
    </w:p>
    <w:p w14:paraId="0BECF783" w14:textId="77777777" w:rsidR="00470F19" w:rsidRDefault="00470F19" w:rsidP="00470F19">
      <w:pPr>
        <w:pStyle w:val="Prrafodelista"/>
        <w:numPr>
          <w:ilvl w:val="0"/>
          <w:numId w:val="17"/>
        </w:numPr>
        <w:spacing w:after="120"/>
        <w:ind w:left="647"/>
        <w:jc w:val="both"/>
        <w:rPr>
          <w:rFonts w:ascii="Verdana" w:hAnsi="Verdana"/>
        </w:rPr>
      </w:pPr>
      <w:r w:rsidRPr="00CB12B4">
        <w:rPr>
          <w:rFonts w:ascii="Verdana" w:hAnsi="Verdana"/>
        </w:rPr>
        <w:t xml:space="preserve">Numeral 6.1 del artículo 6 de la Ley 1150 de 2007. Disponible en: </w:t>
      </w:r>
      <w:hyperlink r:id="rId13" w:history="1">
        <w:r w:rsidRPr="00CB12B4">
          <w:rPr>
            <w:rStyle w:val="Hipervnculo"/>
            <w:rFonts w:ascii="Verdana" w:eastAsia="Calibri" w:hAnsi="Verdana" w:cs="Arial"/>
          </w:rPr>
          <w:t>https://relatoria.colombiacompra.gov.co/normativa/ley-1150-de-2007/</w:t>
        </w:r>
      </w:hyperlink>
      <w:r w:rsidRPr="00CB12B4">
        <w:rPr>
          <w:rFonts w:ascii="Verdana" w:hAnsi="Verdana"/>
        </w:rPr>
        <w:t xml:space="preserve"> </w:t>
      </w:r>
    </w:p>
    <w:p w14:paraId="1CE0158A" w14:textId="77777777" w:rsidR="00470F19" w:rsidRPr="00CB12B4" w:rsidRDefault="00470F19" w:rsidP="00470F19">
      <w:pPr>
        <w:pStyle w:val="Prrafodelista"/>
        <w:spacing w:after="120"/>
        <w:ind w:left="647"/>
        <w:jc w:val="both"/>
        <w:rPr>
          <w:rFonts w:ascii="Verdana" w:hAnsi="Verdana"/>
        </w:rPr>
      </w:pPr>
    </w:p>
    <w:p w14:paraId="5BA70468" w14:textId="77777777" w:rsidR="00470F19" w:rsidRPr="00CB12B4" w:rsidRDefault="00470F19" w:rsidP="00470F19">
      <w:pPr>
        <w:pStyle w:val="Prrafodelista"/>
        <w:numPr>
          <w:ilvl w:val="0"/>
          <w:numId w:val="17"/>
        </w:numPr>
        <w:spacing w:after="120"/>
        <w:ind w:left="647"/>
        <w:jc w:val="both"/>
        <w:rPr>
          <w:rFonts w:ascii="Verdana" w:hAnsi="Verdana"/>
        </w:rPr>
      </w:pPr>
      <w:r w:rsidRPr="00CB12B4">
        <w:rPr>
          <w:rFonts w:ascii="Verdana" w:hAnsi="Verdana"/>
        </w:rPr>
        <w:t xml:space="preserve">Numeral 2º del artículo 3º de la Ley 1437 de 2011. Disponible en:  </w:t>
      </w:r>
      <w:hyperlink r:id="rId14" w:history="1">
        <w:r w:rsidRPr="00CB12B4">
          <w:rPr>
            <w:rStyle w:val="Hipervnculo"/>
            <w:rFonts w:ascii="Verdana" w:eastAsia="Calibri" w:hAnsi="Verdana" w:cs="Arial"/>
          </w:rPr>
          <w:t>https://relatoria.colombiacompra.gov.co/normativa/ley-1437-de-2011/</w:t>
        </w:r>
      </w:hyperlink>
      <w:r w:rsidRPr="00CB12B4">
        <w:rPr>
          <w:rFonts w:ascii="Verdana" w:hAnsi="Verdana"/>
        </w:rPr>
        <w:t xml:space="preserve">   </w:t>
      </w:r>
    </w:p>
    <w:p w14:paraId="3160E93E" w14:textId="77777777" w:rsidR="00470F19" w:rsidRDefault="00470F19" w:rsidP="00470F19">
      <w:pPr>
        <w:pStyle w:val="Prrafodelista"/>
        <w:spacing w:after="120"/>
        <w:ind w:left="647"/>
        <w:jc w:val="both"/>
        <w:rPr>
          <w:rFonts w:ascii="Verdana" w:hAnsi="Verdana"/>
        </w:rPr>
      </w:pPr>
    </w:p>
    <w:p w14:paraId="6DE0B2BB" w14:textId="77777777" w:rsidR="00470F19" w:rsidRPr="00CB12B4" w:rsidRDefault="00470F19" w:rsidP="00470F19">
      <w:pPr>
        <w:pStyle w:val="Prrafodelista"/>
        <w:numPr>
          <w:ilvl w:val="0"/>
          <w:numId w:val="17"/>
        </w:numPr>
        <w:spacing w:after="120"/>
        <w:ind w:left="647"/>
        <w:jc w:val="both"/>
        <w:rPr>
          <w:rFonts w:ascii="Verdana" w:hAnsi="Verdana"/>
        </w:rPr>
      </w:pPr>
      <w:r w:rsidRPr="00CB12B4">
        <w:rPr>
          <w:rFonts w:ascii="Verdana" w:hAnsi="Verdana"/>
        </w:rPr>
        <w:t xml:space="preserve">Artículo 13 y 209 de la Constitución Política. Disponible en:  </w:t>
      </w:r>
      <w:hyperlink r:id="rId15" w:history="1">
        <w:r w:rsidRPr="00CB12B4">
          <w:rPr>
            <w:rStyle w:val="Hipervnculo"/>
            <w:rFonts w:ascii="Verdana" w:eastAsia="Calibri" w:hAnsi="Verdana" w:cs="Arial"/>
          </w:rPr>
          <w:t>https://relatoria.colombiacompra.gov.co/normativa/constitucion-politica-de-colombia/</w:t>
        </w:r>
      </w:hyperlink>
    </w:p>
    <w:p w14:paraId="6035AD83" w14:textId="77777777" w:rsidR="00470F19" w:rsidRPr="005821E0" w:rsidRDefault="00470F19" w:rsidP="00470F19">
      <w:pPr>
        <w:pStyle w:val="Prrafodelista"/>
        <w:spacing w:after="120"/>
        <w:ind w:left="647"/>
        <w:jc w:val="both"/>
        <w:rPr>
          <w:rFonts w:ascii="Verdana" w:hAnsi="Verdana"/>
        </w:rPr>
      </w:pPr>
    </w:p>
    <w:p w14:paraId="064E64EB" w14:textId="77777777" w:rsidR="00470F19" w:rsidRPr="00F92065" w:rsidRDefault="00470F19" w:rsidP="00470F19">
      <w:pPr>
        <w:pStyle w:val="Prrafodelista"/>
        <w:numPr>
          <w:ilvl w:val="0"/>
          <w:numId w:val="17"/>
        </w:numPr>
        <w:spacing w:after="120"/>
        <w:ind w:left="647"/>
        <w:jc w:val="both"/>
        <w:rPr>
          <w:rStyle w:val="Hipervnculo"/>
          <w:rFonts w:ascii="Verdana" w:hAnsi="Verdana"/>
        </w:rPr>
      </w:pPr>
      <w:r>
        <w:rPr>
          <w:rFonts w:ascii="Verdana" w:hAnsi="Verdana"/>
        </w:rPr>
        <w:t>A</w:t>
      </w:r>
      <w:r w:rsidRPr="005821E0">
        <w:rPr>
          <w:rFonts w:ascii="Verdana" w:hAnsi="Verdana"/>
        </w:rPr>
        <w:t xml:space="preserve">rtículo 2.2.1.1.1.5.2 del Decreto 1082 de 2015. Disponible en: </w:t>
      </w:r>
      <w:hyperlink r:id="rId16" w:history="1">
        <w:r w:rsidRPr="00CB12B4">
          <w:rPr>
            <w:rStyle w:val="Hipervnculo"/>
            <w:rFonts w:ascii="Verdana" w:eastAsia="Calibri" w:hAnsi="Verdana" w:cs="Arial"/>
          </w:rPr>
          <w:t>https://relatoria.colombiacompra.gov.co/normativa/decreto-1082-de-2015/</w:t>
        </w:r>
      </w:hyperlink>
    </w:p>
    <w:p w14:paraId="0882352F" w14:textId="77777777" w:rsidR="00470F19" w:rsidRPr="00F92065" w:rsidRDefault="00470F19" w:rsidP="00470F19">
      <w:pPr>
        <w:pStyle w:val="Prrafodelista"/>
        <w:rPr>
          <w:rFonts w:ascii="Verdana" w:hAnsi="Verdana"/>
        </w:rPr>
      </w:pPr>
    </w:p>
    <w:p w14:paraId="063F0D31" w14:textId="77777777" w:rsidR="00470F19" w:rsidRPr="005821E0" w:rsidRDefault="00470F19" w:rsidP="00470F19">
      <w:pPr>
        <w:pStyle w:val="Prrafodelista"/>
        <w:numPr>
          <w:ilvl w:val="0"/>
          <w:numId w:val="17"/>
        </w:numPr>
        <w:spacing w:after="120"/>
        <w:ind w:left="647"/>
        <w:jc w:val="both"/>
        <w:rPr>
          <w:rFonts w:ascii="Verdana" w:hAnsi="Verdana"/>
        </w:rPr>
      </w:pPr>
      <w:r>
        <w:rPr>
          <w:rFonts w:ascii="Verdana" w:hAnsi="Verdana"/>
        </w:rPr>
        <w:t xml:space="preserve">Artículo 27 del Código Civil. Disponible en:  </w:t>
      </w:r>
      <w:hyperlink r:id="rId17" w:history="1">
        <w:r w:rsidRPr="0079147C">
          <w:rPr>
            <w:rStyle w:val="Hipervnculo"/>
            <w:rFonts w:ascii="Verdana" w:hAnsi="Verdana"/>
          </w:rPr>
          <w:t>https://relatoria.colombiacompra.gov.co/normativa/codigo-civil-ley-84-de-1873/</w:t>
        </w:r>
      </w:hyperlink>
      <w:r>
        <w:rPr>
          <w:rFonts w:ascii="Verdana" w:hAnsi="Verdana"/>
        </w:rPr>
        <w:t xml:space="preserve"> </w:t>
      </w:r>
    </w:p>
    <w:p w14:paraId="3BE9BE5C" w14:textId="77777777" w:rsidR="00470F19" w:rsidRPr="00CB12B4" w:rsidRDefault="00470F19" w:rsidP="00470F19">
      <w:pPr>
        <w:pStyle w:val="Prrafodelista"/>
        <w:spacing w:after="120"/>
        <w:ind w:left="647"/>
        <w:jc w:val="both"/>
        <w:rPr>
          <w:rFonts w:ascii="Verdana" w:hAnsi="Verdana"/>
        </w:rPr>
      </w:pPr>
    </w:p>
    <w:p w14:paraId="113893AF" w14:textId="77777777" w:rsidR="00470F19" w:rsidRDefault="00470F19" w:rsidP="00470F19">
      <w:pPr>
        <w:pStyle w:val="Prrafodelista"/>
        <w:numPr>
          <w:ilvl w:val="0"/>
          <w:numId w:val="17"/>
        </w:numPr>
        <w:spacing w:after="120"/>
        <w:ind w:left="647"/>
        <w:jc w:val="both"/>
        <w:rPr>
          <w:rFonts w:ascii="Verdana" w:hAnsi="Verdana"/>
        </w:rPr>
      </w:pPr>
      <w:r w:rsidRPr="00CB12B4">
        <w:rPr>
          <w:rFonts w:ascii="Verdana" w:hAnsi="Verdana"/>
        </w:rPr>
        <w:t xml:space="preserve">Jurisprudencia del Consejo de Estado </w:t>
      </w:r>
    </w:p>
    <w:p w14:paraId="42866642" w14:textId="77777777" w:rsidR="00470F19" w:rsidRPr="00F92065" w:rsidRDefault="00470F19" w:rsidP="00470F19">
      <w:pPr>
        <w:pStyle w:val="Prrafodelista"/>
        <w:rPr>
          <w:rFonts w:ascii="Verdana" w:hAnsi="Verdana"/>
        </w:rPr>
      </w:pPr>
    </w:p>
    <w:p w14:paraId="390DC8F8" w14:textId="77777777" w:rsidR="00470F19" w:rsidRDefault="00470F19" w:rsidP="00470F19">
      <w:pPr>
        <w:pStyle w:val="Prrafodelista"/>
        <w:spacing w:after="120"/>
        <w:ind w:left="647"/>
        <w:jc w:val="both"/>
        <w:rPr>
          <w:rFonts w:ascii="Verdana" w:hAnsi="Verdana"/>
        </w:rPr>
      </w:pPr>
      <w:r w:rsidRPr="00CB12B4">
        <w:rPr>
          <w:rFonts w:ascii="Verdana" w:hAnsi="Verdana"/>
        </w:rPr>
        <w:t xml:space="preserve">Sección Tercera, Sentencia del 19 de julio de 2001, </w:t>
      </w:r>
      <w:proofErr w:type="spellStart"/>
      <w:r w:rsidRPr="00CB12B4">
        <w:rPr>
          <w:rFonts w:ascii="Verdana" w:hAnsi="Verdana"/>
        </w:rPr>
        <w:t>Exp</w:t>
      </w:r>
      <w:proofErr w:type="spellEnd"/>
      <w:r w:rsidRPr="00CB12B4">
        <w:rPr>
          <w:rFonts w:ascii="Verdana" w:hAnsi="Verdana"/>
        </w:rPr>
        <w:t xml:space="preserve">. 12.037, C.P. Alier Eduardo Hernández Enríquez. </w:t>
      </w:r>
    </w:p>
    <w:p w14:paraId="60E3A783" w14:textId="77777777" w:rsidR="00470F19" w:rsidRPr="00F92065" w:rsidRDefault="00470F19" w:rsidP="00470F19">
      <w:pPr>
        <w:pStyle w:val="Prrafodelista"/>
        <w:rPr>
          <w:rFonts w:ascii="Verdana" w:hAnsi="Verdana"/>
        </w:rPr>
      </w:pPr>
    </w:p>
    <w:p w14:paraId="189E2921" w14:textId="77777777" w:rsidR="00470F19" w:rsidRDefault="00470F19" w:rsidP="00470F19">
      <w:pPr>
        <w:pStyle w:val="Prrafodelista"/>
        <w:spacing w:after="120"/>
        <w:ind w:left="647"/>
        <w:jc w:val="both"/>
        <w:rPr>
          <w:rFonts w:ascii="Verdana" w:hAnsi="Verdana"/>
        </w:rPr>
      </w:pPr>
      <w:r w:rsidRPr="0047173C">
        <w:rPr>
          <w:rFonts w:ascii="Verdana" w:hAnsi="Verdana"/>
        </w:rPr>
        <w:t xml:space="preserve">Consejo de Estado, Sala de lo Contencioso Administrativo, Sección Quinta, C.P. Rocío Araújo Oñate, radicado 25000-23-24-000-2009-00348-01 </w:t>
      </w:r>
      <w:r w:rsidRPr="00CB12B4">
        <w:rPr>
          <w:rFonts w:ascii="Verdana" w:hAnsi="Verdana"/>
        </w:rPr>
        <w:t xml:space="preserve">Disponible en: </w:t>
      </w:r>
      <w:hyperlink r:id="rId18" w:history="1">
        <w:r w:rsidRPr="00CB12B4">
          <w:rPr>
            <w:rStyle w:val="Hipervnculo"/>
            <w:rFonts w:ascii="Verdana" w:eastAsia="Calibri" w:hAnsi="Verdana" w:cs="Arial"/>
          </w:rPr>
          <w:t>https://relatoria.colombiacompra.gov.co/providencias-consejo-de-estado/</w:t>
        </w:r>
      </w:hyperlink>
      <w:r w:rsidRPr="00CB12B4">
        <w:rPr>
          <w:rFonts w:ascii="Verdana" w:hAnsi="Verdana"/>
        </w:rPr>
        <w:t xml:space="preserve">  </w:t>
      </w:r>
    </w:p>
    <w:p w14:paraId="069C96FB" w14:textId="77777777" w:rsidR="00470F19" w:rsidRPr="00CB12B4" w:rsidRDefault="00470F19" w:rsidP="00470F19">
      <w:pPr>
        <w:pStyle w:val="Prrafodelista"/>
        <w:spacing w:after="120"/>
        <w:ind w:left="647"/>
        <w:jc w:val="both"/>
        <w:rPr>
          <w:rFonts w:ascii="Verdana" w:hAnsi="Verdana"/>
        </w:rPr>
      </w:pPr>
    </w:p>
    <w:p w14:paraId="4058D34E" w14:textId="77777777" w:rsidR="00470F19" w:rsidRDefault="00470F19" w:rsidP="00470F19">
      <w:pPr>
        <w:pStyle w:val="Prrafodelista"/>
        <w:numPr>
          <w:ilvl w:val="0"/>
          <w:numId w:val="17"/>
        </w:numPr>
        <w:spacing w:after="120"/>
        <w:ind w:left="647"/>
        <w:jc w:val="both"/>
        <w:rPr>
          <w:rFonts w:ascii="Verdana" w:hAnsi="Verdana"/>
        </w:rPr>
      </w:pPr>
      <w:r w:rsidRPr="005821E0">
        <w:rPr>
          <w:rFonts w:ascii="Verdana" w:hAnsi="Verdana"/>
        </w:rPr>
        <w:t xml:space="preserve">Jurisprudencia </w:t>
      </w:r>
      <w:r>
        <w:rPr>
          <w:rFonts w:ascii="Verdana" w:hAnsi="Verdana"/>
        </w:rPr>
        <w:t xml:space="preserve">de la </w:t>
      </w:r>
      <w:r w:rsidRPr="00CB12B4">
        <w:rPr>
          <w:rFonts w:ascii="Verdana" w:hAnsi="Verdana"/>
        </w:rPr>
        <w:t xml:space="preserve">Corte Constitucional </w:t>
      </w:r>
    </w:p>
    <w:p w14:paraId="2AAF330D" w14:textId="77777777" w:rsidR="00470F19" w:rsidRDefault="00470F19" w:rsidP="00470F19">
      <w:pPr>
        <w:pStyle w:val="Prrafodelista"/>
        <w:spacing w:after="120"/>
        <w:ind w:left="647"/>
        <w:jc w:val="both"/>
        <w:rPr>
          <w:rFonts w:ascii="Verdana" w:hAnsi="Verdana"/>
        </w:rPr>
      </w:pPr>
    </w:p>
    <w:p w14:paraId="1E4639CA" w14:textId="77777777" w:rsidR="00470F19" w:rsidRPr="00CB12B4" w:rsidRDefault="00470F19" w:rsidP="00470F19">
      <w:pPr>
        <w:pStyle w:val="Prrafodelista"/>
        <w:spacing w:after="120"/>
        <w:ind w:left="647"/>
        <w:jc w:val="both"/>
        <w:rPr>
          <w:rFonts w:ascii="Verdana" w:hAnsi="Verdana"/>
        </w:rPr>
      </w:pPr>
      <w:r w:rsidRPr="00CB12B4">
        <w:rPr>
          <w:rFonts w:ascii="Verdana" w:hAnsi="Verdana"/>
        </w:rPr>
        <w:t>sentencia C-811 de 2014, M.P. Mauricio González Cuervo</w:t>
      </w:r>
    </w:p>
    <w:p w14:paraId="0723B97A" w14:textId="77777777" w:rsidR="00470F19" w:rsidRDefault="00470F19" w:rsidP="00470F19">
      <w:pPr>
        <w:pStyle w:val="Prrafodelista"/>
        <w:spacing w:after="120"/>
        <w:ind w:left="647"/>
        <w:jc w:val="both"/>
        <w:rPr>
          <w:rFonts w:ascii="Verdana" w:hAnsi="Verdana"/>
        </w:rPr>
      </w:pPr>
    </w:p>
    <w:p w14:paraId="008F2E8D" w14:textId="77777777" w:rsidR="00470F19" w:rsidRPr="00F92065" w:rsidRDefault="00470F19" w:rsidP="00470F19">
      <w:pPr>
        <w:pStyle w:val="Prrafodelista"/>
        <w:spacing w:after="120"/>
        <w:ind w:left="647"/>
        <w:jc w:val="both"/>
        <w:rPr>
          <w:rFonts w:ascii="Verdana" w:hAnsi="Verdana"/>
        </w:rPr>
      </w:pPr>
      <w:r w:rsidRPr="00F92065">
        <w:rPr>
          <w:rFonts w:ascii="Verdana" w:hAnsi="Verdana"/>
        </w:rPr>
        <w:t>sentencia C-804 de 2006, M.P. Humberto Antonio Sierra Porto</w:t>
      </w:r>
      <w:r>
        <w:rPr>
          <w:rFonts w:ascii="Verdana" w:hAnsi="Verdana"/>
        </w:rPr>
        <w:t xml:space="preserve">. </w:t>
      </w:r>
    </w:p>
    <w:p w14:paraId="0FF997AA" w14:textId="77777777" w:rsidR="00470F19" w:rsidRPr="00F92065" w:rsidRDefault="00470F19" w:rsidP="00470F19">
      <w:pPr>
        <w:pStyle w:val="Prrafodelista"/>
        <w:rPr>
          <w:rFonts w:ascii="Verdana" w:hAnsi="Verdana"/>
        </w:rPr>
      </w:pPr>
    </w:p>
    <w:p w14:paraId="753C1053" w14:textId="77777777" w:rsidR="00470F19" w:rsidRPr="005821E0" w:rsidRDefault="00470F19" w:rsidP="00470F19">
      <w:pPr>
        <w:pStyle w:val="Prrafodelista"/>
        <w:numPr>
          <w:ilvl w:val="0"/>
          <w:numId w:val="17"/>
        </w:numPr>
        <w:spacing w:after="120"/>
        <w:ind w:left="647"/>
        <w:jc w:val="both"/>
        <w:rPr>
          <w:rFonts w:ascii="Verdana" w:hAnsi="Verdana"/>
        </w:rPr>
      </w:pPr>
      <w:r w:rsidRPr="0047173C">
        <w:rPr>
          <w:rFonts w:ascii="Verdana" w:hAnsi="Verdana"/>
        </w:rPr>
        <w:t>Manual para determinar y verificar requisitos habilitantes en los Procesos de Contratación</w:t>
      </w:r>
      <w:r>
        <w:rPr>
          <w:rFonts w:ascii="Verdana" w:hAnsi="Verdana"/>
        </w:rPr>
        <w:t xml:space="preserve">. Disponible en: </w:t>
      </w:r>
      <w:hyperlink r:id="rId19" w:history="1">
        <w:r w:rsidRPr="0079147C">
          <w:rPr>
            <w:rStyle w:val="Hipervnculo"/>
            <w:rFonts w:ascii="Verdana" w:hAnsi="Verdana"/>
          </w:rPr>
          <w:t>https://www.colombiacompra.gov.co/sites/cce_public/files/cce_documents/cce-eicp-ma-04._manual_requisitos_habilitantes_v3_29-09-2023.pdf</w:t>
        </w:r>
      </w:hyperlink>
      <w:r>
        <w:rPr>
          <w:rFonts w:ascii="Verdana" w:hAnsi="Verdana"/>
        </w:rPr>
        <w:t xml:space="preserve"> </w:t>
      </w:r>
    </w:p>
    <w:p w14:paraId="1C4B3501" w14:textId="77777777" w:rsidR="00470F19" w:rsidRPr="005821E0" w:rsidRDefault="00470F19" w:rsidP="00470F19">
      <w:pPr>
        <w:spacing w:after="120"/>
        <w:jc w:val="both"/>
        <w:rPr>
          <w:rFonts w:ascii="Verdana" w:hAnsi="Verdana" w:cs="Arial"/>
          <w:noProof/>
          <w:lang w:val="es-ES"/>
        </w:rPr>
      </w:pPr>
    </w:p>
    <w:p w14:paraId="0C3D385D" w14:textId="77777777" w:rsidR="00470F19" w:rsidRPr="00AB11C1" w:rsidRDefault="00470F19" w:rsidP="00470F19">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AB11C1">
        <w:rPr>
          <w:rFonts w:ascii="Verdana" w:eastAsia="Century Gothic" w:hAnsi="Verdana" w:cs="Century Gothic"/>
          <w:b/>
          <w:bCs/>
        </w:rPr>
        <w:t>Doctrina de la Agencia Nacional de Contratación Pública:</w:t>
      </w:r>
    </w:p>
    <w:p w14:paraId="23A808D3" w14:textId="77777777" w:rsidR="00470F19" w:rsidRDefault="00470F19" w:rsidP="00470F19">
      <w:pPr>
        <w:pStyle w:val="Textonotapie"/>
        <w:spacing w:after="120"/>
        <w:jc w:val="both"/>
        <w:rPr>
          <w:rFonts w:ascii="Verdana" w:eastAsia="Calibri" w:hAnsi="Verdana" w:cs="Arial"/>
          <w:sz w:val="22"/>
          <w:szCs w:val="22"/>
          <w:lang w:val="es-ES" w:eastAsia="es-ES"/>
        </w:rPr>
      </w:pPr>
    </w:p>
    <w:p w14:paraId="0067539C" w14:textId="77777777" w:rsidR="00470F19" w:rsidRDefault="00470F19" w:rsidP="00470F19">
      <w:pPr>
        <w:pStyle w:val="Textonotapie"/>
        <w:spacing w:line="276" w:lineRule="auto"/>
        <w:jc w:val="both"/>
        <w:rPr>
          <w:rFonts w:ascii="Verdana" w:hAnsi="Verdana"/>
          <w:color w:val="000000"/>
          <w:sz w:val="22"/>
          <w:szCs w:val="22"/>
          <w:shd w:val="clear" w:color="auto" w:fill="FFFFFF"/>
        </w:rPr>
      </w:pPr>
      <w:r w:rsidRPr="007827FD">
        <w:rPr>
          <w:rFonts w:ascii="Verdana" w:eastAsia="Calibri" w:hAnsi="Verdana" w:cs="Arial"/>
          <w:sz w:val="22"/>
          <w:szCs w:val="22"/>
          <w:lang w:val="es-ES" w:eastAsia="es-ES"/>
        </w:rPr>
        <w:t xml:space="preserve">Sobre </w:t>
      </w:r>
      <w:r w:rsidRPr="007827FD">
        <w:rPr>
          <w:rFonts w:ascii="Verdana" w:eastAsia="Calibri" w:hAnsi="Verdana" w:cs="Arial"/>
          <w:color w:val="000000" w:themeColor="text1"/>
          <w:sz w:val="22"/>
          <w:szCs w:val="22"/>
          <w:lang w:val="es-ES"/>
        </w:rPr>
        <w:t xml:space="preserve">la </w:t>
      </w:r>
      <w:r w:rsidRPr="007827FD">
        <w:rPr>
          <w:rFonts w:ascii="Verdana" w:hAnsi="Verdana" w:cs="Arial"/>
          <w:color w:val="000000" w:themeColor="text1"/>
          <w:sz w:val="22"/>
          <w:szCs w:val="22"/>
          <w:lang w:val="es-ES_tradnl"/>
        </w:rPr>
        <w:t>acreditación de experiencia de socios por parte de sociedades con menos de tres años de constitución</w:t>
      </w:r>
      <w:r w:rsidRPr="007827FD">
        <w:rPr>
          <w:rFonts w:ascii="Verdana" w:eastAsia="Calibri" w:hAnsi="Verdana" w:cs="Arial"/>
          <w:color w:val="000000"/>
          <w:sz w:val="22"/>
          <w:szCs w:val="22"/>
          <w:lang w:val="es-ES_tradnl"/>
        </w:rPr>
        <w:t xml:space="preserve">, </w:t>
      </w:r>
      <w:r w:rsidRPr="007827FD">
        <w:rPr>
          <w:rStyle w:val="normaltextrun"/>
          <w:rFonts w:ascii="Verdana" w:hAnsi="Verdana" w:cs="Arial"/>
          <w:sz w:val="22"/>
          <w:szCs w:val="22"/>
          <w:shd w:val="clear" w:color="auto" w:fill="FFFFFF"/>
          <w:lang w:val="es-ES"/>
        </w:rPr>
        <w:t xml:space="preserve">se pronunció esta Subdirección </w:t>
      </w:r>
      <w:r w:rsidRPr="007827FD">
        <w:rPr>
          <w:rFonts w:ascii="Verdana" w:eastAsia="Calibri" w:hAnsi="Verdana" w:cs="Arial"/>
          <w:sz w:val="22"/>
          <w:szCs w:val="22"/>
          <w:lang w:val="es-ES"/>
        </w:rPr>
        <w:t xml:space="preserve">en los conceptos </w:t>
      </w:r>
      <w:r w:rsidRPr="007827FD">
        <w:rPr>
          <w:rFonts w:ascii="Verdana" w:eastAsia="Calibri" w:hAnsi="Verdana" w:cs="Arial"/>
          <w:color w:val="000000" w:themeColor="text1"/>
          <w:sz w:val="22"/>
          <w:szCs w:val="22"/>
          <w:lang w:val="es-ES"/>
        </w:rPr>
        <w:t xml:space="preserve">4201913000006797 del 19 de noviembre de 2019, </w:t>
      </w:r>
      <w:r w:rsidRPr="007827FD">
        <w:rPr>
          <w:rFonts w:ascii="Verdana" w:eastAsia="Calibri" w:hAnsi="Verdana" w:cs="Arial"/>
          <w:color w:val="000000" w:themeColor="text1"/>
          <w:sz w:val="22"/>
          <w:szCs w:val="22"/>
        </w:rPr>
        <w:t>C-025 del 16 de marzo de 2020, C-051 del 2 de marzo de 2020, C-113 del 25 de marzo de 2020, C-165 del 1 de abril de 2020, C-233 del 16 de abril de 2020, C-350 del 1° de junio de 2020, C-407 de 12 de junio de 2020, C-398 de 30 de junio de 2020, C-470 del 14 de julio de 2020 C-584 de 31 de agosto 2020, C-619 de 21 de septiembre 2020, C-662 del 9 de noviembre de 2020, C-710 del 9 de diciembre de 2020, C-717 del 10 de diciembre de 2020, C-729 del del 11 de diciembre de 2020, C-008 del 15 de febrero de 2021, C-103 del 24 de marzo de 2021, C-230 del 25 de mayo de 2021, C-316 del 29 de junio de 2021, C-318 del 29 de junio de 2021, C-474 del 6 de septiembre de 2021, C-589 del 19 de octubre de 2021, C-608 del 29 de octubre de 2021, C-696 del 31 de diciembre de 2021, C-725 del 25 de enero de 2022, C-034 del 2 de marzo de 2022, C-144 del 1° de abril de 2022, C-239 del 26 de julio de 2022, C-324 del 19 de mayo de 2022, C-447 del 19 de julio de 2022, C-456 del 15 de julio de 2022, C-592 del 20 de septiembre de 2022, C-623 del 29 de septiembre de 2022, C-837 del 6 de diciembre de 2022, C-841 del 6 de diciembre de 2022, C-929 del 30 de diciembre de 2022</w:t>
      </w:r>
      <w:r w:rsidRPr="007827FD">
        <w:rPr>
          <w:rFonts w:ascii="Verdana" w:eastAsia="Calibri" w:hAnsi="Verdana" w:cs="Arial"/>
          <w:color w:val="000000" w:themeColor="text1"/>
          <w:sz w:val="22"/>
          <w:szCs w:val="22"/>
          <w:lang w:val="es-ES"/>
        </w:rPr>
        <w:t>, C-128 del 18 de mayo de 2023, C-450 del 3 de noviembre de 2023</w:t>
      </w:r>
      <w:r>
        <w:rPr>
          <w:rFonts w:ascii="Verdana" w:eastAsia="Calibri" w:hAnsi="Verdana" w:cs="Arial"/>
          <w:color w:val="000000" w:themeColor="text1"/>
          <w:sz w:val="22"/>
          <w:szCs w:val="22"/>
          <w:lang w:val="es-ES"/>
        </w:rPr>
        <w:t xml:space="preserve"> y</w:t>
      </w:r>
      <w:r w:rsidRPr="007827FD">
        <w:rPr>
          <w:rFonts w:ascii="Verdana" w:eastAsia="Calibri" w:hAnsi="Verdana" w:cs="Arial"/>
          <w:color w:val="000000" w:themeColor="text1"/>
          <w:sz w:val="22"/>
          <w:szCs w:val="22"/>
          <w:lang w:val="es-ES"/>
        </w:rPr>
        <w:t xml:space="preserve"> </w:t>
      </w:r>
      <w:r w:rsidRPr="007827FD">
        <w:rPr>
          <w:rFonts w:ascii="Verdana" w:eastAsia="Calibri" w:hAnsi="Verdana" w:cs="Arial"/>
          <w:color w:val="000000" w:themeColor="text1"/>
          <w:sz w:val="22"/>
          <w:szCs w:val="22"/>
          <w:lang w:val="es-ES"/>
        </w:rPr>
        <w:lastRenderedPageBreak/>
        <w:t>C-088 del 13 de junio de 2024</w:t>
      </w:r>
      <w:r>
        <w:rPr>
          <w:rFonts w:ascii="Verdana" w:hAnsi="Verdana"/>
          <w:color w:val="000000"/>
          <w:sz w:val="22"/>
          <w:szCs w:val="22"/>
          <w:shd w:val="clear" w:color="auto" w:fill="FFFFFF"/>
        </w:rPr>
        <w:t xml:space="preserve">. </w:t>
      </w:r>
      <w:r w:rsidRPr="007827FD">
        <w:rPr>
          <w:rFonts w:ascii="Verdana" w:hAnsi="Verdana"/>
          <w:color w:val="000000"/>
          <w:sz w:val="22"/>
          <w:szCs w:val="22"/>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20" w:tgtFrame="_blank" w:tooltip="Dirección URL original: https://relatoria.colombiacompra.gov.co/. Haga clic o pulse si confía en este vínculo." w:history="1">
        <w:r w:rsidRPr="007827FD">
          <w:rPr>
            <w:rStyle w:val="Hipervnculo"/>
            <w:rFonts w:ascii="Verdana" w:hAnsi="Verdana"/>
            <w:bdr w:val="none" w:sz="0" w:space="0" w:color="auto" w:frame="1"/>
            <w:shd w:val="clear" w:color="auto" w:fill="FFFFFF"/>
          </w:rPr>
          <w:t>https://relatoria.colombiacompra.gov.co/</w:t>
        </w:r>
      </w:hyperlink>
      <w:r>
        <w:rPr>
          <w:rFonts w:ascii="Verdana" w:hAnsi="Verdana"/>
          <w:color w:val="000000"/>
          <w:sz w:val="22"/>
          <w:szCs w:val="22"/>
          <w:shd w:val="clear" w:color="auto" w:fill="FFFFFF"/>
        </w:rPr>
        <w:t xml:space="preserve"> . </w:t>
      </w:r>
    </w:p>
    <w:p w14:paraId="16FF29B1" w14:textId="77777777" w:rsidR="00470F19" w:rsidRDefault="00470F19" w:rsidP="00470F19">
      <w:pPr>
        <w:pStyle w:val="Textonotapie"/>
        <w:spacing w:line="276" w:lineRule="auto"/>
        <w:jc w:val="both"/>
        <w:rPr>
          <w:rFonts w:ascii="Verdana" w:hAnsi="Verdana"/>
          <w:color w:val="000000"/>
          <w:sz w:val="22"/>
          <w:szCs w:val="22"/>
          <w:shd w:val="clear" w:color="auto" w:fill="FFFFFF"/>
        </w:rPr>
      </w:pPr>
    </w:p>
    <w:p w14:paraId="55EF309C" w14:textId="77777777" w:rsidR="00470F19" w:rsidRPr="00EA6590" w:rsidRDefault="00470F19" w:rsidP="00470F19">
      <w:pPr>
        <w:pStyle w:val="Textonotapie"/>
        <w:spacing w:line="276" w:lineRule="auto"/>
        <w:jc w:val="both"/>
        <w:rPr>
          <w:rFonts w:ascii="Verdana" w:hAnsi="Verdana" w:cs="Arial"/>
        </w:rPr>
      </w:pPr>
      <w:r w:rsidRPr="00207222">
        <w:rPr>
          <w:rFonts w:ascii="Verdana" w:hAnsi="Verdana"/>
          <w:color w:val="000000"/>
          <w:sz w:val="22"/>
          <w:szCs w:val="22"/>
          <w:shd w:val="clear" w:color="auto" w:fill="FFFFFF"/>
          <w:lang w:val="es-CO"/>
        </w:rPr>
        <w:t xml:space="preserve">Te </w:t>
      </w:r>
      <w:proofErr w:type="gramStart"/>
      <w:r w:rsidRPr="00207222">
        <w:rPr>
          <w:rFonts w:ascii="Verdana" w:hAnsi="Verdana"/>
          <w:color w:val="000000"/>
          <w:sz w:val="22"/>
          <w:szCs w:val="22"/>
          <w:shd w:val="clear" w:color="auto" w:fill="FFFFFF"/>
          <w:lang w:val="es-CO"/>
        </w:rPr>
        <w:t>invitamos  a</w:t>
      </w:r>
      <w:proofErr w:type="gramEnd"/>
      <w:r w:rsidRPr="00207222">
        <w:rPr>
          <w:rFonts w:ascii="Verdana" w:hAnsi="Verdana"/>
          <w:color w:val="000000"/>
          <w:sz w:val="22"/>
          <w:szCs w:val="22"/>
          <w:shd w:val="clear" w:color="auto" w:fill="FFFFFF"/>
          <w:lang w:val="es-CO"/>
        </w:rPr>
        <w:t xml:space="preserve">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 </w:t>
      </w:r>
      <w:hyperlink r:id="rId21" w:tgtFrame="_blank" w:tooltip="Dirección URL original: https://www.colombiacompra.gov.co/sala-de-prensa/boletin-digital/boletin-de-relatoria-2024-iv. Haga clic o pulse si confía en este vínculo." w:history="1">
        <w:r w:rsidRPr="00207222">
          <w:rPr>
            <w:rStyle w:val="Hipervnculo"/>
            <w:rFonts w:ascii="Verdana" w:hAnsi="Verdana"/>
            <w:sz w:val="22"/>
            <w:szCs w:val="22"/>
            <w:shd w:val="clear" w:color="auto" w:fill="FFFFFF"/>
            <w:lang w:val="es-CO"/>
          </w:rPr>
          <w:t>BOLETÍN DE RELATORÍA 2024 – IV | Colombia Compra Eficiente | Agencia Nacional de Contratación Pública</w:t>
        </w:r>
      </w:hyperlink>
    </w:p>
    <w:p w14:paraId="5428B98D" w14:textId="77777777" w:rsidR="00470F19" w:rsidRPr="00AB11C1" w:rsidRDefault="00470F19" w:rsidP="00470F19">
      <w:pPr>
        <w:spacing w:after="0" w:line="240" w:lineRule="auto"/>
        <w:jc w:val="both"/>
        <w:rPr>
          <w:rFonts w:ascii="Verdana" w:hAnsi="Verdana"/>
        </w:rPr>
      </w:pPr>
      <w:r w:rsidRPr="00AB11C1">
        <w:rPr>
          <w:rFonts w:ascii="Verdana" w:hAnsi="Verdana"/>
        </w:rPr>
        <w:t xml:space="preserve">Por último, lo invitamos a seguirnos en las redes sociales en las cuales se difunde información institucional: </w:t>
      </w:r>
    </w:p>
    <w:p w14:paraId="39634352" w14:textId="77777777" w:rsidR="00470F19" w:rsidRPr="00AB11C1" w:rsidRDefault="00470F19" w:rsidP="00470F19">
      <w:pPr>
        <w:spacing w:after="0" w:line="240" w:lineRule="auto"/>
        <w:jc w:val="both"/>
        <w:rPr>
          <w:rFonts w:ascii="Verdana" w:hAnsi="Verdana"/>
        </w:rPr>
      </w:pPr>
    </w:p>
    <w:p w14:paraId="301A6640" w14:textId="77777777" w:rsidR="00470F19" w:rsidRPr="00AB11C1" w:rsidRDefault="00470F19" w:rsidP="00470F19">
      <w:pPr>
        <w:spacing w:after="0" w:line="240" w:lineRule="auto"/>
        <w:jc w:val="both"/>
        <w:rPr>
          <w:rFonts w:ascii="Verdana" w:hAnsi="Verdana"/>
        </w:rPr>
      </w:pPr>
      <w:r w:rsidRPr="00AB11C1">
        <w:rPr>
          <w:rFonts w:ascii="Verdana" w:hAnsi="Verdana"/>
        </w:rPr>
        <w:t xml:space="preserve">Twitter: </w:t>
      </w:r>
      <w:r w:rsidRPr="00AB11C1">
        <w:rPr>
          <w:rStyle w:val="Hipervnculo"/>
          <w:rFonts w:ascii="Verdana" w:hAnsi="Verdana"/>
          <w:color w:val="4472C4" w:themeColor="accent1"/>
        </w:rPr>
        <w:t>@colombiacompra</w:t>
      </w:r>
      <w:r w:rsidRPr="00AB11C1">
        <w:rPr>
          <w:rFonts w:ascii="Verdana" w:hAnsi="Verdana"/>
          <w:color w:val="4472C4" w:themeColor="accent1"/>
        </w:rPr>
        <w:t xml:space="preserve"> </w:t>
      </w:r>
    </w:p>
    <w:p w14:paraId="7FD16755" w14:textId="77777777" w:rsidR="00470F19" w:rsidRPr="00AB11C1" w:rsidRDefault="00470F19" w:rsidP="00470F19">
      <w:pPr>
        <w:spacing w:after="0" w:line="240" w:lineRule="auto"/>
        <w:jc w:val="both"/>
        <w:rPr>
          <w:rFonts w:ascii="Verdana" w:hAnsi="Verdana"/>
        </w:rPr>
      </w:pPr>
      <w:r w:rsidRPr="00AB11C1">
        <w:rPr>
          <w:rFonts w:ascii="Verdana" w:hAnsi="Verdana"/>
        </w:rPr>
        <w:t xml:space="preserve">Facebook: </w:t>
      </w:r>
      <w:proofErr w:type="spellStart"/>
      <w:r w:rsidRPr="00AB11C1">
        <w:rPr>
          <w:rStyle w:val="Hipervnculo"/>
          <w:rFonts w:ascii="Verdana" w:hAnsi="Verdana"/>
          <w:color w:val="4472C4" w:themeColor="accent1"/>
        </w:rPr>
        <w:t>ColombiaCompraEficiente</w:t>
      </w:r>
      <w:proofErr w:type="spellEnd"/>
    </w:p>
    <w:p w14:paraId="1F763007" w14:textId="77777777" w:rsidR="00470F19" w:rsidRPr="00AB11C1" w:rsidRDefault="00470F19" w:rsidP="00470F19">
      <w:pPr>
        <w:spacing w:after="0" w:line="240" w:lineRule="auto"/>
        <w:jc w:val="both"/>
        <w:rPr>
          <w:rFonts w:ascii="Verdana" w:hAnsi="Verdana"/>
        </w:rPr>
      </w:pPr>
      <w:r w:rsidRPr="00AB11C1">
        <w:rPr>
          <w:rFonts w:ascii="Verdana" w:hAnsi="Verdana"/>
        </w:rPr>
        <w:t xml:space="preserve">LinkedIn: </w:t>
      </w:r>
      <w:r w:rsidRPr="00AB11C1">
        <w:rPr>
          <w:rStyle w:val="Hipervnculo"/>
          <w:rFonts w:ascii="Verdana" w:hAnsi="Verdana"/>
          <w:color w:val="4472C4" w:themeColor="accent1"/>
        </w:rPr>
        <w:t>Agencia Nacional de Contratación Pública - Colombia Compra Eficiente</w:t>
      </w:r>
      <w:r w:rsidRPr="00AB11C1">
        <w:rPr>
          <w:rFonts w:ascii="Verdana" w:hAnsi="Verdana"/>
          <w:color w:val="4472C4" w:themeColor="accent1"/>
        </w:rPr>
        <w:t xml:space="preserve"> </w:t>
      </w:r>
      <w:r w:rsidRPr="00AB11C1">
        <w:rPr>
          <w:rFonts w:ascii="Verdana" w:hAnsi="Verdana"/>
        </w:rPr>
        <w:t xml:space="preserve">Instagram: </w:t>
      </w:r>
      <w:r w:rsidRPr="00AB11C1">
        <w:rPr>
          <w:rStyle w:val="Hipervnculo"/>
          <w:rFonts w:ascii="Verdana" w:hAnsi="Verdana"/>
          <w:color w:val="4472C4" w:themeColor="accent1"/>
        </w:rPr>
        <w:t>@colombiacompraeficiente_cce</w:t>
      </w:r>
    </w:p>
    <w:p w14:paraId="141D31AC" w14:textId="77777777" w:rsidR="00470F19" w:rsidRPr="00AB11C1" w:rsidRDefault="00470F19" w:rsidP="00470F19">
      <w:pPr>
        <w:spacing w:after="120" w:line="276" w:lineRule="auto"/>
        <w:jc w:val="both"/>
        <w:rPr>
          <w:rFonts w:ascii="Verdana" w:hAnsi="Verdana" w:cs="Arial"/>
          <w:lang w:val="es-ES"/>
        </w:rPr>
      </w:pPr>
    </w:p>
    <w:p w14:paraId="3F073EA5" w14:textId="77777777" w:rsidR="00470F19" w:rsidRPr="00AB11C1" w:rsidRDefault="00470F19" w:rsidP="00470F19">
      <w:pPr>
        <w:spacing w:after="120" w:line="276" w:lineRule="auto"/>
        <w:jc w:val="both"/>
        <w:rPr>
          <w:rFonts w:ascii="Verdana" w:hAnsi="Verdana" w:cs="Arial"/>
          <w:color w:val="000000" w:themeColor="text1"/>
          <w:lang w:val="es-ES_tradnl"/>
        </w:rPr>
      </w:pPr>
      <w:r w:rsidRPr="00AB11C1">
        <w:rPr>
          <w:rFonts w:ascii="Verdana" w:hAnsi="Verdana" w:cs="Arial"/>
          <w:color w:val="000000" w:themeColor="text1"/>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13FB0B66" w14:textId="77777777" w:rsidR="00470F19" w:rsidRPr="00AB11C1" w:rsidRDefault="00470F19" w:rsidP="00470F19">
      <w:pPr>
        <w:spacing w:after="120" w:line="276" w:lineRule="auto"/>
        <w:jc w:val="both"/>
        <w:rPr>
          <w:rFonts w:ascii="Verdana" w:eastAsia="Times New Roman" w:hAnsi="Verdana" w:cs="Arial"/>
          <w:i/>
          <w:lang w:val="es-ES" w:eastAsia="es-ES"/>
        </w:rPr>
      </w:pPr>
    </w:p>
    <w:p w14:paraId="20F0F829" w14:textId="77777777" w:rsidR="00470F19" w:rsidRPr="00AB11C1" w:rsidRDefault="00470F19" w:rsidP="00470F19">
      <w:pPr>
        <w:spacing w:after="0" w:line="240" w:lineRule="auto"/>
        <w:rPr>
          <w:rFonts w:ascii="Verdana" w:eastAsia="Times New Roman" w:hAnsi="Verdana" w:cs="Arial"/>
          <w:lang w:eastAsia="es-CO"/>
        </w:rPr>
      </w:pPr>
      <w:r w:rsidRPr="00AB11C1">
        <w:rPr>
          <w:rFonts w:ascii="Verdana" w:eastAsia="Times New Roman" w:hAnsi="Verdana" w:cs="Arial"/>
          <w:lang w:eastAsia="es-CO"/>
        </w:rPr>
        <w:t>Atentamente,</w:t>
      </w:r>
    </w:p>
    <w:p w14:paraId="576D07E6" w14:textId="77777777" w:rsidR="00470F19" w:rsidRPr="00AB11C1" w:rsidRDefault="00470F19" w:rsidP="00470F19">
      <w:pPr>
        <w:spacing w:after="0" w:line="276" w:lineRule="auto"/>
        <w:jc w:val="center"/>
        <w:rPr>
          <w:rFonts w:ascii="Verdana" w:eastAsia="Times New Roman" w:hAnsi="Verdana" w:cs="Arial"/>
          <w:color w:val="000000"/>
          <w:lang w:val="es-ES_tradnl" w:eastAsia="es-CO"/>
        </w:rPr>
      </w:pPr>
    </w:p>
    <w:p w14:paraId="0CD4D594" w14:textId="42FE87B8" w:rsidR="00470F19" w:rsidRDefault="00FE6FBA" w:rsidP="00470F19">
      <w:pPr>
        <w:spacing w:after="0" w:line="276" w:lineRule="auto"/>
        <w:jc w:val="center"/>
        <w:rPr>
          <w:rFonts w:ascii="Verdana" w:eastAsia="Times New Roman" w:hAnsi="Verdana" w:cs="Arial"/>
          <w:color w:val="000000"/>
          <w:lang w:val="es-ES_tradnl" w:eastAsia="es-CO"/>
        </w:rPr>
      </w:pPr>
      <w:r w:rsidRPr="002C3AD6">
        <w:rPr>
          <w:rFonts w:ascii="Century Gothic" w:hAnsi="Century Gothic"/>
          <w:noProof/>
        </w:rPr>
        <w:drawing>
          <wp:inline distT="0" distB="0" distL="0" distR="0" wp14:anchorId="56C91A87" wp14:editId="7C0BA23A">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22"/>
                    <a:stretch>
                      <a:fillRect/>
                    </a:stretch>
                  </pic:blipFill>
                  <pic:spPr>
                    <a:xfrm>
                      <a:off x="0" y="0"/>
                      <a:ext cx="3772426" cy="1400370"/>
                    </a:xfrm>
                    <a:prstGeom prst="rect">
                      <a:avLst/>
                    </a:prstGeom>
                  </pic:spPr>
                </pic:pic>
              </a:graphicData>
            </a:graphic>
          </wp:inline>
        </w:drawing>
      </w:r>
    </w:p>
    <w:p w14:paraId="5C124C21" w14:textId="77777777" w:rsidR="00470F19" w:rsidRPr="00AB11C1" w:rsidRDefault="00470F19" w:rsidP="00470F19">
      <w:pPr>
        <w:spacing w:after="0" w:line="276" w:lineRule="auto"/>
        <w:jc w:val="center"/>
        <w:rPr>
          <w:rFonts w:ascii="Verdana" w:eastAsia="Times New Roman" w:hAnsi="Verdana" w:cs="Arial"/>
          <w:color w:val="000000"/>
          <w:lang w:val="es-ES_tradnl" w:eastAsia="es-CO"/>
        </w:rPr>
      </w:pP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
        <w:gridCol w:w="5558"/>
      </w:tblGrid>
      <w:tr w:rsidR="00470F19" w:rsidRPr="0007375E" w14:paraId="45926206" w14:textId="77777777" w:rsidTr="00AF3B54">
        <w:trPr>
          <w:trHeight w:val="315"/>
        </w:trPr>
        <w:tc>
          <w:tcPr>
            <w:tcW w:w="893" w:type="dxa"/>
            <w:vAlign w:val="center"/>
            <w:hideMark/>
          </w:tcPr>
          <w:p w14:paraId="44FF8520" w14:textId="77777777" w:rsidR="00470F19" w:rsidRPr="00C23D39" w:rsidRDefault="00470F19" w:rsidP="00AF3B54">
            <w:pPr>
              <w:contextualSpacing/>
              <w:rPr>
                <w:rFonts w:ascii="Verdana" w:hAnsi="Verdana" w:cs="Arial"/>
                <w:b/>
                <w:bCs/>
                <w:sz w:val="16"/>
                <w:szCs w:val="16"/>
                <w:lang w:eastAsia="es-CO"/>
              </w:rPr>
            </w:pPr>
            <w:r w:rsidRPr="00C23D39">
              <w:rPr>
                <w:rFonts w:ascii="Verdana" w:hAnsi="Verdana" w:cs="Arial"/>
                <w:b/>
                <w:bCs/>
                <w:sz w:val="16"/>
                <w:szCs w:val="16"/>
                <w:lang w:eastAsia="es-CO"/>
              </w:rPr>
              <w:lastRenderedPageBreak/>
              <w:t>Elaboró:</w:t>
            </w:r>
          </w:p>
        </w:tc>
        <w:tc>
          <w:tcPr>
            <w:tcW w:w="5628" w:type="dxa"/>
            <w:tcBorders>
              <w:top w:val="nil"/>
              <w:left w:val="nil"/>
              <w:bottom w:val="dotted" w:sz="4" w:space="0" w:color="7F7F7F" w:themeColor="text1" w:themeTint="80"/>
              <w:right w:val="nil"/>
            </w:tcBorders>
            <w:vAlign w:val="center"/>
            <w:hideMark/>
          </w:tcPr>
          <w:p w14:paraId="19A2EF20" w14:textId="77777777" w:rsidR="00470F19" w:rsidRPr="0007375E" w:rsidRDefault="00470F19" w:rsidP="00AF3B54">
            <w:pPr>
              <w:contextualSpacing/>
              <w:rPr>
                <w:rFonts w:ascii="Verdana" w:hAnsi="Verdana" w:cs="Arial"/>
                <w:sz w:val="16"/>
                <w:szCs w:val="16"/>
                <w:lang w:eastAsia="es-CO"/>
              </w:rPr>
            </w:pPr>
            <w:r w:rsidRPr="0007375E">
              <w:rPr>
                <w:rFonts w:ascii="Verdana" w:hAnsi="Verdana" w:cs="Arial"/>
                <w:sz w:val="16"/>
                <w:szCs w:val="16"/>
                <w:lang w:eastAsia="es-CO"/>
              </w:rPr>
              <w:t>Richard Andrés Montenegro Siefken</w:t>
            </w:r>
          </w:p>
          <w:p w14:paraId="1ABC5194" w14:textId="77777777" w:rsidR="00470F19" w:rsidRPr="0007375E" w:rsidRDefault="00470F19" w:rsidP="00AF3B54">
            <w:pPr>
              <w:contextualSpacing/>
              <w:rPr>
                <w:rFonts w:ascii="Verdana" w:hAnsi="Verdana" w:cs="Arial"/>
                <w:sz w:val="16"/>
                <w:szCs w:val="16"/>
                <w:lang w:eastAsia="es-CO"/>
              </w:rPr>
            </w:pPr>
            <w:r w:rsidRPr="0007375E">
              <w:rPr>
                <w:rFonts w:ascii="Verdana" w:hAnsi="Verdana" w:cs="Arial"/>
                <w:sz w:val="16"/>
                <w:szCs w:val="16"/>
                <w:lang w:eastAsia="es-CO"/>
              </w:rPr>
              <w:t>Contratista de la Subdirección de Gestión Contractual</w:t>
            </w:r>
          </w:p>
        </w:tc>
      </w:tr>
      <w:tr w:rsidR="00470F19" w:rsidRPr="0007375E" w14:paraId="56DF3ABB" w14:textId="77777777" w:rsidTr="00AF3B54">
        <w:trPr>
          <w:trHeight w:val="330"/>
        </w:trPr>
        <w:tc>
          <w:tcPr>
            <w:tcW w:w="893" w:type="dxa"/>
            <w:vAlign w:val="center"/>
            <w:hideMark/>
          </w:tcPr>
          <w:p w14:paraId="1BC7500E" w14:textId="77777777" w:rsidR="00470F19" w:rsidRPr="00C23D39" w:rsidRDefault="00470F19" w:rsidP="00AF3B54">
            <w:pPr>
              <w:contextualSpacing/>
              <w:rPr>
                <w:rFonts w:ascii="Verdana" w:hAnsi="Verdana" w:cs="Arial"/>
                <w:b/>
                <w:bCs/>
                <w:sz w:val="16"/>
                <w:szCs w:val="16"/>
                <w:lang w:eastAsia="es-CO"/>
              </w:rPr>
            </w:pPr>
            <w:r w:rsidRPr="00C23D39">
              <w:rPr>
                <w:rFonts w:ascii="Verdana" w:hAnsi="Verdana" w:cs="Arial"/>
                <w:b/>
                <w:bCs/>
                <w:sz w:val="16"/>
                <w:szCs w:val="16"/>
                <w:lang w:eastAsia="es-CO"/>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4856F4B0" w14:textId="77777777" w:rsidR="00470F19" w:rsidRPr="0007375E" w:rsidRDefault="00470F19" w:rsidP="00AF3B54">
            <w:pPr>
              <w:contextualSpacing/>
              <w:textAlignment w:val="baseline"/>
              <w:rPr>
                <w:rFonts w:ascii="Verdana" w:hAnsi="Verdana" w:cs="Arial"/>
                <w:sz w:val="16"/>
                <w:szCs w:val="16"/>
                <w:lang w:eastAsia="es-CO"/>
              </w:rPr>
            </w:pPr>
            <w:r>
              <w:rPr>
                <w:rFonts w:ascii="Verdana" w:hAnsi="Verdana" w:cs="Arial"/>
                <w:sz w:val="16"/>
                <w:szCs w:val="16"/>
                <w:lang w:eastAsia="es-CO"/>
              </w:rPr>
              <w:t>Alejandro Raúl Sarmiento Cantillo</w:t>
            </w:r>
          </w:p>
          <w:p w14:paraId="4AF5E857" w14:textId="77777777" w:rsidR="00470F19" w:rsidRPr="0007375E" w:rsidRDefault="00470F19" w:rsidP="00AF3B54">
            <w:pPr>
              <w:contextualSpacing/>
              <w:textAlignment w:val="baseline"/>
              <w:rPr>
                <w:rFonts w:ascii="Verdana" w:hAnsi="Verdana" w:cs="Arial"/>
                <w:sz w:val="16"/>
                <w:szCs w:val="16"/>
                <w:lang w:eastAsia="es-CO"/>
              </w:rPr>
            </w:pPr>
            <w:r w:rsidRPr="00822E78">
              <w:rPr>
                <w:rFonts w:ascii="Verdana" w:hAnsi="Verdana" w:cs="Arial"/>
                <w:sz w:val="16"/>
                <w:szCs w:val="16"/>
                <w:lang w:eastAsia="es-ES"/>
              </w:rPr>
              <w:t>Gestor T1-15 de la Subdirección de Gestión Contractual</w:t>
            </w:r>
          </w:p>
        </w:tc>
      </w:tr>
      <w:tr w:rsidR="00470F19" w:rsidRPr="0007375E" w14:paraId="766D440A" w14:textId="77777777" w:rsidTr="00AF3B54">
        <w:trPr>
          <w:trHeight w:val="300"/>
        </w:trPr>
        <w:tc>
          <w:tcPr>
            <w:tcW w:w="893" w:type="dxa"/>
            <w:vAlign w:val="center"/>
          </w:tcPr>
          <w:p w14:paraId="4CDCEBB4" w14:textId="77777777" w:rsidR="00470F19" w:rsidRPr="00C23D39" w:rsidRDefault="00470F19" w:rsidP="00AF3B54">
            <w:pPr>
              <w:contextualSpacing/>
              <w:rPr>
                <w:rFonts w:ascii="Verdana" w:hAnsi="Verdana" w:cs="Arial"/>
                <w:b/>
                <w:bCs/>
                <w:sz w:val="16"/>
                <w:szCs w:val="16"/>
                <w:lang w:eastAsia="es-CO"/>
              </w:rPr>
            </w:pPr>
            <w:r w:rsidRPr="00C23D39">
              <w:rPr>
                <w:rFonts w:ascii="Verdana" w:hAnsi="Verdana" w:cs="Arial"/>
                <w:b/>
                <w:bCs/>
                <w:sz w:val="16"/>
                <w:szCs w:val="16"/>
                <w:lang w:eastAsia="es-CO"/>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524B3513" w14:textId="77777777" w:rsidR="00470F19" w:rsidRPr="0007375E" w:rsidRDefault="00470F19" w:rsidP="00AF3B54">
            <w:pPr>
              <w:contextualSpacing/>
              <w:rPr>
                <w:rFonts w:ascii="Verdana" w:hAnsi="Verdana" w:cs="Arial"/>
                <w:sz w:val="16"/>
                <w:szCs w:val="16"/>
                <w:lang w:eastAsia="es-CO"/>
              </w:rPr>
            </w:pPr>
            <w:r w:rsidRPr="0007375E">
              <w:rPr>
                <w:rFonts w:ascii="Verdana" w:hAnsi="Verdana" w:cs="Arial"/>
                <w:sz w:val="16"/>
                <w:szCs w:val="16"/>
                <w:lang w:eastAsia="es-CO"/>
              </w:rPr>
              <w:t xml:space="preserve">Carolina Quintero </w:t>
            </w:r>
            <w:proofErr w:type="spellStart"/>
            <w:r w:rsidRPr="0007375E">
              <w:rPr>
                <w:rFonts w:ascii="Verdana" w:hAnsi="Verdana" w:cs="Arial"/>
                <w:sz w:val="16"/>
                <w:szCs w:val="16"/>
                <w:lang w:eastAsia="es-CO"/>
              </w:rPr>
              <w:t>Gacharná</w:t>
            </w:r>
            <w:proofErr w:type="spellEnd"/>
          </w:p>
          <w:p w14:paraId="2A400E31" w14:textId="77777777" w:rsidR="00470F19" w:rsidRPr="0007375E" w:rsidRDefault="00470F19" w:rsidP="00AF3B54">
            <w:pPr>
              <w:contextualSpacing/>
              <w:rPr>
                <w:rFonts w:ascii="Verdana" w:hAnsi="Verdana" w:cs="Arial"/>
                <w:sz w:val="16"/>
                <w:szCs w:val="16"/>
                <w:lang w:eastAsia="es-CO"/>
              </w:rPr>
            </w:pPr>
            <w:r w:rsidRPr="0007375E">
              <w:rPr>
                <w:rFonts w:ascii="Verdana" w:hAnsi="Verdana" w:cs="Arial"/>
                <w:sz w:val="16"/>
                <w:szCs w:val="16"/>
                <w:lang w:eastAsia="es-CO"/>
              </w:rPr>
              <w:t>Subdirectora de Gestión Contractual ANCP – CCE</w:t>
            </w:r>
          </w:p>
        </w:tc>
      </w:tr>
    </w:tbl>
    <w:p w14:paraId="0F293BF4" w14:textId="7BBFAB11" w:rsidR="00127233" w:rsidRPr="00822E78" w:rsidRDefault="00127233" w:rsidP="00470F19">
      <w:pPr>
        <w:rPr>
          <w:rFonts w:ascii="Verdana" w:hAnsi="Verdana"/>
          <w:lang w:val="es-ES"/>
        </w:rPr>
      </w:pPr>
    </w:p>
    <w:sectPr w:rsidR="00127233" w:rsidRPr="00822E78" w:rsidSect="007C0C0F">
      <w:headerReference w:type="default" r:id="rId23"/>
      <w:footerReference w:type="default" r:id="rId24"/>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A815A" w14:textId="77777777" w:rsidR="00F41943" w:rsidRDefault="00F41943" w:rsidP="004A1847">
      <w:pPr>
        <w:spacing w:after="0" w:line="240" w:lineRule="auto"/>
      </w:pPr>
      <w:r>
        <w:separator/>
      </w:r>
    </w:p>
  </w:endnote>
  <w:endnote w:type="continuationSeparator" w:id="0">
    <w:p w14:paraId="06989BEF" w14:textId="77777777" w:rsidR="00F41943" w:rsidRDefault="00F41943" w:rsidP="004A1847">
      <w:pPr>
        <w:spacing w:after="0" w:line="240" w:lineRule="auto"/>
      </w:pPr>
      <w:r>
        <w:continuationSeparator/>
      </w:r>
    </w:p>
  </w:endnote>
  <w:endnote w:type="continuationNotice" w:id="1">
    <w:p w14:paraId="2EE12801" w14:textId="77777777" w:rsidR="00F41943" w:rsidRDefault="00F419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829E9" w14:textId="77777777" w:rsidR="00F41943" w:rsidRDefault="00F41943" w:rsidP="004A1847">
      <w:pPr>
        <w:spacing w:after="0" w:line="240" w:lineRule="auto"/>
      </w:pPr>
      <w:r>
        <w:separator/>
      </w:r>
    </w:p>
  </w:footnote>
  <w:footnote w:type="continuationSeparator" w:id="0">
    <w:p w14:paraId="202040DC" w14:textId="77777777" w:rsidR="00F41943" w:rsidRDefault="00F41943" w:rsidP="004A1847">
      <w:pPr>
        <w:spacing w:after="0" w:line="240" w:lineRule="auto"/>
      </w:pPr>
      <w:r>
        <w:continuationSeparator/>
      </w:r>
    </w:p>
  </w:footnote>
  <w:footnote w:type="continuationNotice" w:id="1">
    <w:p w14:paraId="0A797BCD" w14:textId="77777777" w:rsidR="00F41943" w:rsidRDefault="00F41943">
      <w:pPr>
        <w:spacing w:after="0" w:line="240" w:lineRule="auto"/>
      </w:pPr>
    </w:p>
  </w:footnote>
  <w:footnote w:id="2">
    <w:p w14:paraId="36B6A487" w14:textId="77777777" w:rsidR="00FD7030" w:rsidRPr="00461ED8" w:rsidRDefault="00FD7030" w:rsidP="00FD7030">
      <w:pPr>
        <w:pStyle w:val="Textonotapie"/>
        <w:ind w:firstLine="708"/>
        <w:jc w:val="both"/>
        <w:rPr>
          <w:rFonts w:ascii="Arial" w:hAnsi="Arial" w:cs="Arial"/>
          <w:color w:val="000000" w:themeColor="text1"/>
          <w:sz w:val="19"/>
          <w:szCs w:val="19"/>
        </w:rPr>
      </w:pPr>
      <w:r w:rsidRPr="00461ED8">
        <w:rPr>
          <w:rStyle w:val="Refdenotaalpie"/>
          <w:rFonts w:ascii="Arial" w:hAnsi="Arial" w:cs="Arial"/>
          <w:color w:val="000000" w:themeColor="text1"/>
          <w:sz w:val="19"/>
          <w:szCs w:val="19"/>
        </w:rPr>
        <w:footnoteRef/>
      </w:r>
      <w:r w:rsidRPr="00461ED8">
        <w:rPr>
          <w:rFonts w:ascii="Arial" w:hAnsi="Arial" w:cs="Arial"/>
          <w:color w:val="000000" w:themeColor="text1"/>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17D2AC55" w14:textId="77777777" w:rsidR="00FD7030" w:rsidRPr="00461ED8" w:rsidRDefault="00FD7030" w:rsidP="00FD7030">
      <w:pPr>
        <w:pStyle w:val="Textonotapie"/>
        <w:ind w:firstLine="708"/>
        <w:jc w:val="both"/>
        <w:rPr>
          <w:rFonts w:ascii="Arial" w:hAnsi="Arial" w:cs="Arial"/>
          <w:color w:val="000000" w:themeColor="text1"/>
          <w:sz w:val="19"/>
          <w:szCs w:val="19"/>
        </w:rPr>
      </w:pPr>
      <w:r w:rsidRPr="00461ED8">
        <w:rPr>
          <w:rFonts w:ascii="Arial" w:hAnsi="Arial" w:cs="Arial"/>
          <w:color w:val="000000" w:themeColor="text1"/>
          <w:sz w:val="19"/>
          <w:szCs w:val="19"/>
        </w:rPr>
        <w:t>[…]</w:t>
      </w:r>
    </w:p>
    <w:p w14:paraId="0829F1D4" w14:textId="77777777" w:rsidR="00FD7030" w:rsidRPr="00461ED8" w:rsidRDefault="00FD7030" w:rsidP="00FD7030">
      <w:pPr>
        <w:pStyle w:val="Textonotapie"/>
        <w:ind w:firstLine="708"/>
        <w:jc w:val="both"/>
        <w:rPr>
          <w:rFonts w:ascii="Arial" w:hAnsi="Arial" w:cs="Arial"/>
          <w:color w:val="000000" w:themeColor="text1"/>
          <w:sz w:val="19"/>
          <w:szCs w:val="19"/>
        </w:rPr>
      </w:pPr>
      <w:r w:rsidRPr="00461ED8">
        <w:rPr>
          <w:rFonts w:ascii="Arial" w:hAnsi="Arial" w:cs="Arial"/>
          <w:color w:val="000000" w:themeColor="text1"/>
          <w:sz w:val="19"/>
          <w:szCs w:val="19"/>
          <w:shd w:val="clear" w:color="auto" w:fill="FFFFFF"/>
        </w:rPr>
        <w:t>»2.1.   Bienes, obras y servicios que ofrecerá a las Entidades Estatales, identificados con el Clasificador de Bienes y Servicios en el tercer nivel</w:t>
      </w:r>
      <w:r w:rsidRPr="00461ED8">
        <w:rPr>
          <w:rFonts w:ascii="Arial" w:hAnsi="Arial" w:cs="Arial"/>
          <w:color w:val="000000" w:themeColor="text1"/>
          <w:sz w:val="19"/>
          <w:szCs w:val="19"/>
        </w:rPr>
        <w:t>»</w:t>
      </w:r>
      <w:r w:rsidRPr="00461ED8">
        <w:rPr>
          <w:rFonts w:ascii="Arial" w:hAnsi="Arial" w:cs="Arial"/>
          <w:color w:val="000000" w:themeColor="text1"/>
          <w:sz w:val="19"/>
          <w:szCs w:val="19"/>
          <w:shd w:val="clear" w:color="auto" w:fill="FFFFFF"/>
        </w:rPr>
        <w:t>.</w:t>
      </w:r>
    </w:p>
    <w:p w14:paraId="4C2F074A" w14:textId="77777777" w:rsidR="00FD7030" w:rsidRPr="00461ED8" w:rsidRDefault="00FD7030" w:rsidP="00FD7030">
      <w:pPr>
        <w:pStyle w:val="Textonotapie"/>
        <w:ind w:firstLine="708"/>
        <w:jc w:val="both"/>
        <w:rPr>
          <w:rFonts w:ascii="Arial" w:hAnsi="Arial" w:cs="Arial"/>
          <w:color w:val="000000" w:themeColor="text1"/>
          <w:sz w:val="19"/>
          <w:szCs w:val="19"/>
          <w:lang w:val="es-CO"/>
        </w:rPr>
      </w:pPr>
    </w:p>
  </w:footnote>
  <w:footnote w:id="3">
    <w:p w14:paraId="43378157" w14:textId="77777777" w:rsidR="00FD7030" w:rsidRPr="00461ED8" w:rsidRDefault="00FD7030" w:rsidP="00FD7030">
      <w:pPr>
        <w:pStyle w:val="Textonotapie"/>
        <w:ind w:firstLine="708"/>
        <w:jc w:val="both"/>
        <w:rPr>
          <w:rFonts w:ascii="Arial" w:hAnsi="Arial" w:cs="Arial"/>
          <w:color w:val="000000" w:themeColor="text1"/>
          <w:sz w:val="19"/>
          <w:szCs w:val="19"/>
        </w:rPr>
      </w:pPr>
      <w:r w:rsidRPr="00461ED8">
        <w:rPr>
          <w:rStyle w:val="Refdenotaalpie"/>
          <w:rFonts w:ascii="Arial" w:hAnsi="Arial" w:cs="Arial"/>
          <w:color w:val="000000" w:themeColor="text1"/>
          <w:sz w:val="19"/>
          <w:szCs w:val="19"/>
        </w:rPr>
        <w:footnoteRef/>
      </w:r>
      <w:r w:rsidRPr="00461ED8">
        <w:rPr>
          <w:rFonts w:ascii="Arial" w:hAnsi="Arial" w:cs="Arial"/>
          <w:color w:val="000000" w:themeColor="text1"/>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4369D02E" w14:textId="77777777" w:rsidR="00FD7030" w:rsidRPr="00461ED8" w:rsidRDefault="00FD7030" w:rsidP="00FD7030">
      <w:pPr>
        <w:pStyle w:val="Textonotapie"/>
        <w:ind w:firstLine="708"/>
        <w:jc w:val="both"/>
        <w:rPr>
          <w:rFonts w:ascii="Arial" w:hAnsi="Arial" w:cs="Arial"/>
          <w:color w:val="000000" w:themeColor="text1"/>
          <w:sz w:val="19"/>
          <w:szCs w:val="19"/>
        </w:rPr>
      </w:pPr>
      <w:r w:rsidRPr="00461ED8">
        <w:rPr>
          <w:rFonts w:ascii="Arial" w:hAnsi="Arial" w:cs="Arial"/>
          <w:color w:val="000000" w:themeColor="text1"/>
          <w:sz w:val="19"/>
          <w:szCs w:val="19"/>
        </w:rPr>
        <w:t>[…]</w:t>
      </w:r>
    </w:p>
    <w:p w14:paraId="4D644BED" w14:textId="77777777" w:rsidR="00FD7030" w:rsidRPr="00461ED8" w:rsidRDefault="00FD7030" w:rsidP="00FD7030">
      <w:pPr>
        <w:pStyle w:val="Textonotapie"/>
        <w:ind w:firstLine="708"/>
        <w:jc w:val="both"/>
        <w:rPr>
          <w:rFonts w:ascii="Arial" w:hAnsi="Arial" w:cs="Arial"/>
          <w:color w:val="000000" w:themeColor="text1"/>
          <w:sz w:val="19"/>
          <w:szCs w:val="19"/>
          <w:lang w:val="es-CO"/>
        </w:rPr>
      </w:pPr>
      <w:r w:rsidRPr="00461ED8">
        <w:rPr>
          <w:rFonts w:ascii="Arial" w:hAnsi="Arial" w:cs="Arial"/>
          <w:color w:val="000000" w:themeColor="text1"/>
          <w:sz w:val="19"/>
          <w:szCs w:val="19"/>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461ED8">
        <w:rPr>
          <w:rFonts w:ascii="Arial" w:hAnsi="Arial" w:cs="Arial"/>
          <w:color w:val="000000" w:themeColor="text1"/>
          <w:sz w:val="19"/>
          <w:szCs w:val="19"/>
          <w:shd w:val="clear" w:color="auto" w:fill="FFFFFF"/>
        </w:rPr>
        <w:softHyphen/>
        <w:t>ficador de Bienes y Servicios en el tercer nivel. Si la constitución del interesado es menor a 3 años, puede acreditar la experiencia de sus accionistas, socios o constituyentes</w:t>
      </w:r>
      <w:r w:rsidRPr="00461ED8">
        <w:rPr>
          <w:rFonts w:ascii="Arial" w:hAnsi="Arial" w:cs="Arial"/>
          <w:color w:val="000000" w:themeColor="text1"/>
          <w:sz w:val="19"/>
          <w:szCs w:val="19"/>
        </w:rPr>
        <w:t>».</w:t>
      </w:r>
    </w:p>
  </w:footnote>
  <w:footnote w:id="4">
    <w:p w14:paraId="1BC1AD6C" w14:textId="77777777" w:rsidR="00FD7030" w:rsidRPr="00461ED8" w:rsidRDefault="00FD7030" w:rsidP="00FD7030">
      <w:pPr>
        <w:pStyle w:val="Textonotapie"/>
        <w:ind w:firstLine="1"/>
        <w:rPr>
          <w:rFonts w:ascii="Arial" w:hAnsi="Arial" w:cs="Arial"/>
          <w:color w:val="000000" w:themeColor="text1"/>
          <w:sz w:val="19"/>
          <w:szCs w:val="19"/>
        </w:rPr>
      </w:pPr>
      <w:r w:rsidRPr="00461ED8">
        <w:rPr>
          <w:rStyle w:val="Refdenotaalpie"/>
          <w:rFonts w:ascii="Arial" w:hAnsi="Arial" w:cs="Arial"/>
          <w:color w:val="000000" w:themeColor="text1"/>
          <w:sz w:val="19"/>
          <w:szCs w:val="19"/>
        </w:rPr>
        <w:footnoteRef/>
      </w:r>
      <w:r w:rsidRPr="00461ED8">
        <w:rPr>
          <w:rFonts w:ascii="Arial" w:hAnsi="Arial" w:cs="Arial"/>
          <w:color w:val="000000" w:themeColor="text1"/>
          <w:sz w:val="19"/>
          <w:szCs w:val="19"/>
        </w:rPr>
        <w:t xml:space="preserve"> Colombia Compra Eficiente. Concepto del 7 de febrero de 2018, Rad. 2201813000000954.</w:t>
      </w:r>
    </w:p>
    <w:p w14:paraId="7026D868" w14:textId="77777777" w:rsidR="00FD7030" w:rsidRPr="00461ED8" w:rsidRDefault="00FD7030" w:rsidP="00FD7030">
      <w:pPr>
        <w:pStyle w:val="Textonotapie"/>
        <w:ind w:firstLine="1"/>
        <w:rPr>
          <w:rFonts w:ascii="Arial" w:hAnsi="Arial" w:cs="Arial"/>
          <w:color w:val="000000" w:themeColor="text1"/>
          <w:sz w:val="19"/>
          <w:szCs w:val="19"/>
        </w:rPr>
      </w:pPr>
    </w:p>
  </w:footnote>
  <w:footnote w:id="5">
    <w:p w14:paraId="1D48F542" w14:textId="77777777" w:rsidR="00FD7030" w:rsidRPr="00461ED8" w:rsidRDefault="00FD7030" w:rsidP="00FD7030">
      <w:pPr>
        <w:pStyle w:val="Textocomentario"/>
        <w:ind w:firstLine="708"/>
        <w:jc w:val="both"/>
        <w:rPr>
          <w:rFonts w:ascii="Arial" w:hAnsi="Arial" w:cs="Arial"/>
          <w:color w:val="000000" w:themeColor="text1"/>
          <w:sz w:val="19"/>
          <w:szCs w:val="19"/>
        </w:rPr>
      </w:pPr>
      <w:r w:rsidRPr="00461ED8">
        <w:rPr>
          <w:rStyle w:val="Refdenotaalpie"/>
          <w:rFonts w:ascii="Arial" w:hAnsi="Arial" w:cs="Arial"/>
          <w:color w:val="000000" w:themeColor="text1"/>
          <w:sz w:val="19"/>
          <w:szCs w:val="19"/>
        </w:rPr>
        <w:footnoteRef/>
      </w:r>
      <w:r w:rsidRPr="00461ED8">
        <w:rPr>
          <w:rFonts w:ascii="Arial" w:hAnsi="Arial" w:cs="Arial"/>
          <w:color w:val="000000" w:themeColor="text1"/>
          <w:sz w:val="19"/>
          <w:szCs w:val="19"/>
        </w:rPr>
        <w:t xml:space="preserve"> En el marco del Estado de emergencia económica, social y ecológica declarado por el Gobierno Nacional a través del Decreto 417 de 2020, a causa de la pandemia mundial desatada por el virus del </w:t>
      </w:r>
      <w:proofErr w:type="spellStart"/>
      <w:r w:rsidRPr="00461ED8">
        <w:rPr>
          <w:rFonts w:ascii="Arial" w:hAnsi="Arial" w:cs="Arial"/>
          <w:color w:val="000000" w:themeColor="text1"/>
          <w:sz w:val="19"/>
          <w:szCs w:val="19"/>
        </w:rPr>
        <w:t>Covid</w:t>
      </w:r>
      <w:proofErr w:type="spellEnd"/>
      <w:r w:rsidRPr="00461ED8">
        <w:rPr>
          <w:rFonts w:ascii="Arial" w:hAnsi="Arial" w:cs="Arial"/>
          <w:color w:val="000000" w:themeColor="text1"/>
          <w:sz w:val="19"/>
          <w:szCs w:val="19"/>
        </w:rPr>
        <w:t xml:space="preserve"> 19, se expidió el Decreto 434 de 2020 el cual dispone lo siguiente: «Artículo 2°. Renovación del Registro Único de Proponentes. Las personas naturales y jurídicas, nacionales o extranjeras, con domicilio en Colombia, interesadas en participar en Procesos de Contratación convocados por las entidades estatales, deben estar inscritas en el RUP, salvo las excepciones previstas de forma taxativa en la ley. Las personas inscritas en el RUP deben presentar la información para renovar su registro a más tardar el quinto día hábil del mes de julio de 2020». Esta disposición aplicó únicamente para la renovación del año 2020, por lo que los años siguientes se rigen por el término estipulado en el Decreto 1082 de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0.9pt;height:10.9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5C72664"/>
    <w:multiLevelType w:val="hybridMultilevel"/>
    <w:tmpl w:val="21A8B1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6"/>
  </w:num>
  <w:num w:numId="8" w16cid:durableId="152644682">
    <w:abstractNumId w:val="12"/>
  </w:num>
  <w:num w:numId="9" w16cid:durableId="1317221377">
    <w:abstractNumId w:val="8"/>
  </w:num>
  <w:num w:numId="10" w16cid:durableId="1471245386">
    <w:abstractNumId w:val="11"/>
  </w:num>
  <w:num w:numId="11" w16cid:durableId="289172385">
    <w:abstractNumId w:val="9"/>
  </w:num>
  <w:num w:numId="12" w16cid:durableId="1470781324">
    <w:abstractNumId w:val="1"/>
  </w:num>
  <w:num w:numId="13" w16cid:durableId="1512908409">
    <w:abstractNumId w:val="4"/>
  </w:num>
  <w:num w:numId="14" w16cid:durableId="895897244">
    <w:abstractNumId w:val="14"/>
  </w:num>
  <w:num w:numId="15" w16cid:durableId="390349800">
    <w:abstractNumId w:val="10"/>
  </w:num>
  <w:num w:numId="16" w16cid:durableId="341274352">
    <w:abstractNumId w:val="0"/>
  </w:num>
  <w:num w:numId="17" w16cid:durableId="2224502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A683E"/>
    <w:rsid w:val="000B19B9"/>
    <w:rsid w:val="000D0334"/>
    <w:rsid w:val="000F6486"/>
    <w:rsid w:val="00125105"/>
    <w:rsid w:val="00127233"/>
    <w:rsid w:val="00141817"/>
    <w:rsid w:val="001E4177"/>
    <w:rsid w:val="001F7DC6"/>
    <w:rsid w:val="002421BB"/>
    <w:rsid w:val="002475A0"/>
    <w:rsid w:val="0025796E"/>
    <w:rsid w:val="00262BDB"/>
    <w:rsid w:val="002707A2"/>
    <w:rsid w:val="002951A0"/>
    <w:rsid w:val="002962BC"/>
    <w:rsid w:val="002A093D"/>
    <w:rsid w:val="002A0DD0"/>
    <w:rsid w:val="002A49AC"/>
    <w:rsid w:val="002A64FD"/>
    <w:rsid w:val="002C7A84"/>
    <w:rsid w:val="002E3C2C"/>
    <w:rsid w:val="002E4FD9"/>
    <w:rsid w:val="002F47A6"/>
    <w:rsid w:val="00322A85"/>
    <w:rsid w:val="00324168"/>
    <w:rsid w:val="003446DA"/>
    <w:rsid w:val="003448F4"/>
    <w:rsid w:val="003675A4"/>
    <w:rsid w:val="00374F5E"/>
    <w:rsid w:val="00377E3E"/>
    <w:rsid w:val="003A26D1"/>
    <w:rsid w:val="003A779E"/>
    <w:rsid w:val="003D0F4D"/>
    <w:rsid w:val="003D5B0D"/>
    <w:rsid w:val="003E0499"/>
    <w:rsid w:val="003F3941"/>
    <w:rsid w:val="00406575"/>
    <w:rsid w:val="00410D0D"/>
    <w:rsid w:val="0042722E"/>
    <w:rsid w:val="00436070"/>
    <w:rsid w:val="0044528D"/>
    <w:rsid w:val="00470F19"/>
    <w:rsid w:val="004A1847"/>
    <w:rsid w:val="004A305D"/>
    <w:rsid w:val="004B1722"/>
    <w:rsid w:val="004D1E40"/>
    <w:rsid w:val="004F21C4"/>
    <w:rsid w:val="004F685F"/>
    <w:rsid w:val="005566E8"/>
    <w:rsid w:val="00557C0B"/>
    <w:rsid w:val="00574867"/>
    <w:rsid w:val="00591460"/>
    <w:rsid w:val="00592628"/>
    <w:rsid w:val="005C3777"/>
    <w:rsid w:val="005C5CDC"/>
    <w:rsid w:val="005D1190"/>
    <w:rsid w:val="005D476C"/>
    <w:rsid w:val="005F47DE"/>
    <w:rsid w:val="00601193"/>
    <w:rsid w:val="00610812"/>
    <w:rsid w:val="006219F8"/>
    <w:rsid w:val="00626C39"/>
    <w:rsid w:val="006302C1"/>
    <w:rsid w:val="00650FF7"/>
    <w:rsid w:val="00665D70"/>
    <w:rsid w:val="00671DAC"/>
    <w:rsid w:val="006900D9"/>
    <w:rsid w:val="006D12F8"/>
    <w:rsid w:val="00706C16"/>
    <w:rsid w:val="00712BDA"/>
    <w:rsid w:val="00756841"/>
    <w:rsid w:val="007649AB"/>
    <w:rsid w:val="007712E7"/>
    <w:rsid w:val="00771D0C"/>
    <w:rsid w:val="007833AC"/>
    <w:rsid w:val="007B268C"/>
    <w:rsid w:val="007B7171"/>
    <w:rsid w:val="007C0C0F"/>
    <w:rsid w:val="007C3DC2"/>
    <w:rsid w:val="007E5497"/>
    <w:rsid w:val="00806F5F"/>
    <w:rsid w:val="00820278"/>
    <w:rsid w:val="00822E78"/>
    <w:rsid w:val="008843B6"/>
    <w:rsid w:val="00891928"/>
    <w:rsid w:val="008938EE"/>
    <w:rsid w:val="008A446D"/>
    <w:rsid w:val="008D180B"/>
    <w:rsid w:val="008F0EA7"/>
    <w:rsid w:val="00923EEF"/>
    <w:rsid w:val="009419F9"/>
    <w:rsid w:val="0095685E"/>
    <w:rsid w:val="00961B09"/>
    <w:rsid w:val="00965334"/>
    <w:rsid w:val="0097093E"/>
    <w:rsid w:val="009A0DFA"/>
    <w:rsid w:val="009B2D26"/>
    <w:rsid w:val="009C71FA"/>
    <w:rsid w:val="009C72E7"/>
    <w:rsid w:val="009D2147"/>
    <w:rsid w:val="009D3058"/>
    <w:rsid w:val="009F3A13"/>
    <w:rsid w:val="00A122D3"/>
    <w:rsid w:val="00A17F13"/>
    <w:rsid w:val="00A20739"/>
    <w:rsid w:val="00A21EBD"/>
    <w:rsid w:val="00A32E7D"/>
    <w:rsid w:val="00A33C78"/>
    <w:rsid w:val="00A709E0"/>
    <w:rsid w:val="00A70C1B"/>
    <w:rsid w:val="00AB0ADB"/>
    <w:rsid w:val="00AC0A74"/>
    <w:rsid w:val="00AF3B54"/>
    <w:rsid w:val="00B01B1A"/>
    <w:rsid w:val="00B33400"/>
    <w:rsid w:val="00B5155C"/>
    <w:rsid w:val="00B54A88"/>
    <w:rsid w:val="00B72CD3"/>
    <w:rsid w:val="00B72FFF"/>
    <w:rsid w:val="00BC3D36"/>
    <w:rsid w:val="00BD7F72"/>
    <w:rsid w:val="00C04FB3"/>
    <w:rsid w:val="00C17834"/>
    <w:rsid w:val="00C330EB"/>
    <w:rsid w:val="00C754BE"/>
    <w:rsid w:val="00C76B1C"/>
    <w:rsid w:val="00C95FC9"/>
    <w:rsid w:val="00C96AD6"/>
    <w:rsid w:val="00CB6357"/>
    <w:rsid w:val="00CC1B26"/>
    <w:rsid w:val="00CD034A"/>
    <w:rsid w:val="00D246A0"/>
    <w:rsid w:val="00D423A2"/>
    <w:rsid w:val="00D520D8"/>
    <w:rsid w:val="00D63AC2"/>
    <w:rsid w:val="00D7383B"/>
    <w:rsid w:val="00DA231B"/>
    <w:rsid w:val="00DA23A0"/>
    <w:rsid w:val="00DC39FC"/>
    <w:rsid w:val="00DF5254"/>
    <w:rsid w:val="00E16408"/>
    <w:rsid w:val="00E20894"/>
    <w:rsid w:val="00E245AB"/>
    <w:rsid w:val="00E2720C"/>
    <w:rsid w:val="00E2764C"/>
    <w:rsid w:val="00E27F2E"/>
    <w:rsid w:val="00E332B2"/>
    <w:rsid w:val="00E413EA"/>
    <w:rsid w:val="00E50AFE"/>
    <w:rsid w:val="00E578B6"/>
    <w:rsid w:val="00E75C92"/>
    <w:rsid w:val="00E771DC"/>
    <w:rsid w:val="00E77E59"/>
    <w:rsid w:val="00E8772A"/>
    <w:rsid w:val="00E90F6B"/>
    <w:rsid w:val="00E92C27"/>
    <w:rsid w:val="00EA0E3D"/>
    <w:rsid w:val="00EC38A7"/>
    <w:rsid w:val="00EE1AA8"/>
    <w:rsid w:val="00F07D2A"/>
    <w:rsid w:val="00F25274"/>
    <w:rsid w:val="00F31EDC"/>
    <w:rsid w:val="00F351B9"/>
    <w:rsid w:val="00F41943"/>
    <w:rsid w:val="00F462B3"/>
    <w:rsid w:val="00F5664F"/>
    <w:rsid w:val="00F666C4"/>
    <w:rsid w:val="00F76AFC"/>
    <w:rsid w:val="00FA47C0"/>
    <w:rsid w:val="00FB5DD1"/>
    <w:rsid w:val="00FC2B5D"/>
    <w:rsid w:val="00FD7030"/>
    <w:rsid w:val="00FE6FBA"/>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DDDCDDDA-7F25-4E2C-B8B8-96520B18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470F19"/>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70F19"/>
    <w:rPr>
      <w:rFonts w:ascii="Geomanist Light" w:hAnsi="Geomanist Light"/>
      <w:lang w:val="es-ES"/>
    </w:rPr>
  </w:style>
  <w:style w:type="paragraph" w:styleId="Textocomentario">
    <w:name w:val="annotation text"/>
    <w:basedOn w:val="Normal"/>
    <w:link w:val="TextocomentarioCar"/>
    <w:uiPriority w:val="99"/>
    <w:unhideWhenUsed/>
    <w:rsid w:val="00470F19"/>
    <w:pPr>
      <w:spacing w:line="240" w:lineRule="auto"/>
    </w:pPr>
    <w:rPr>
      <w:sz w:val="20"/>
      <w:szCs w:val="20"/>
    </w:rPr>
  </w:style>
  <w:style w:type="character" w:customStyle="1" w:styleId="TextocomentarioCar">
    <w:name w:val="Texto comentario Car"/>
    <w:basedOn w:val="Fuentedeprrafopredeter"/>
    <w:link w:val="Textocomentario"/>
    <w:uiPriority w:val="99"/>
    <w:rsid w:val="00470F1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normativa/ley-1150-de-2007/" TargetMode="External"/><Relationship Id="rId18" Type="http://schemas.openxmlformats.org/officeDocument/2006/relationships/hyperlink" Target="https://relatoria.colombiacompra.gov.co/providencias-consejo-de-estado/"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nam02.safelinks.protection.outlook.com/?url=https%3A%2F%2Fwww.colombiacompra.gov.co%2Fsala-de-prensa%2Fboletin-digital%2Fboletin-de-relatoria-2024-iv&amp;data=05%7C02%7Crichard.montenegro%40colombiacompra.gov.co%7C616b83c3423e4d31151908dce489c00d%7C7b09041e245149d08cb179d5e3d8c1be%7C0%7C0%7C638636527544523753%7CUnknown%7CTWFpbGZsb3d8eyJWIjoiMC4wLjAwMDAiLCJQIjoiV2luMzIiLCJBTiI6Ik1haWwiLCJXVCI6Mn0%3D%7C0%7C%7C%7C&amp;sdata=31YhXeGtv64u7LemD7puqCnYKJJe9dHadN%2BOIWggxZE%3D&amp;reserved=0" TargetMode="External"/><Relationship Id="rId7" Type="http://schemas.openxmlformats.org/officeDocument/2006/relationships/webSettings" Target="webSettings.xml"/><Relationship Id="rId12" Type="http://schemas.openxmlformats.org/officeDocument/2006/relationships/hyperlink" Target="https://relatoria.colombiacompra.gov.co/normativa/constitucion-politica-de-colombia/" TargetMode="External"/><Relationship Id="rId17" Type="http://schemas.openxmlformats.org/officeDocument/2006/relationships/hyperlink" Target="https://relatoria.colombiacompra.gov.co/normativa/codigo-civil-ley-84-de-187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elatoria.colombiacompra.gov.co/normativa/decreto-1082-de-2015/" TargetMode="External"/><Relationship Id="rId20" Type="http://schemas.openxmlformats.org/officeDocument/2006/relationships/hyperlink" Target="https://nam02.safelinks.protection.outlook.com/?url=https%3A%2F%2Frelatoria.colombiacompra.gov.co%2F&amp;data=05%7C02%7Cjhonattan.gualdron%40colombiacompra.gov.co%7C5aad36a736844ec87b2108dcc1fa4639%7C7b09041e245149d08cb179d5e3d8c1be%7C0%7C0%7C638598527917246155%7CUnknown%7CTWFpbGZsb3d8eyJWIjoiMC4wLjAwMDAiLCJQIjoiV2luMzIiLCJBTiI6Ik1haWwiLCJXVCI6Mn0%3D%7C0%7C%7C%7C&amp;sdata=vvr1bncg52balnsi4t%2FCslEkQPef8NiUUqg4Qj8a7c8%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frochaj@outlook.com"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relatoria.colombiacompra.gov.co/normativa/constitucion-politica-de-colombia/"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www.colombiacompra.gov.co/sites/cce_public/files/cce_documents/cce-eicp-ma-04._manual_requisitos_habilitantes_v3_29-09-2023.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normativa/ley-1437-de-2011/" TargetMode="External"/><Relationship Id="rId22"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E5C05093-BA66-41AF-B729-F2710DF93909}"/>
</file>

<file path=docProps/app.xml><?xml version="1.0" encoding="utf-8"?>
<Properties xmlns="http://schemas.openxmlformats.org/officeDocument/2006/extended-properties" xmlns:vt="http://schemas.openxmlformats.org/officeDocument/2006/docPropsVTypes">
  <Template>Normal</Template>
  <TotalTime>1</TotalTime>
  <Pages>12</Pages>
  <Words>3850</Words>
  <Characters>21175</Characters>
  <Application>Microsoft Office Word</Application>
  <DocSecurity>0</DocSecurity>
  <Lines>176</Lines>
  <Paragraphs>49</Paragraphs>
  <ScaleCrop>false</ScaleCrop>
  <Company/>
  <LinksUpToDate>false</LinksUpToDate>
  <CharactersWithSpaces>24976</CharactersWithSpaces>
  <SharedDoc>false</SharedDoc>
  <HLinks>
    <vt:vector size="66" baseType="variant">
      <vt:variant>
        <vt:i4>7733358</vt:i4>
      </vt:variant>
      <vt:variant>
        <vt:i4>30</vt:i4>
      </vt:variant>
      <vt:variant>
        <vt:i4>0</vt:i4>
      </vt:variant>
      <vt:variant>
        <vt:i4>5</vt:i4>
      </vt:variant>
      <vt:variant>
        <vt:lpwstr>https://nam02.safelinks.protection.outlook.com/?url=https%3A%2F%2Fwww.colombiacompra.gov.co%2Fsala-de-prensa%2Fboletin-digital%2Fboletin-de-relatoria-2024-iv&amp;data=05%7C02%7Crichard.montenegro%40colombiacompra.gov.co%7C616b83c3423e4d31151908dce489c00d%7C7b09041e245149d08cb179d5e3d8c1be%7C0%7C0%7C638636527544523753%7CUnknown%7CTWFpbGZsb3d8eyJWIjoiMC4wLjAwMDAiLCJQIjoiV2luMzIiLCJBTiI6Ik1haWwiLCJXVCI6Mn0%3D%7C0%7C%7C%7C&amp;sdata=31YhXeGtv64u7LemD7puqCnYKJJe9dHadN%2BOIWggxZE%3D&amp;reserved=0</vt:lpwstr>
      </vt:variant>
      <vt:variant>
        <vt:lpwstr/>
      </vt:variant>
      <vt:variant>
        <vt:i4>8257571</vt:i4>
      </vt:variant>
      <vt:variant>
        <vt:i4>27</vt:i4>
      </vt:variant>
      <vt:variant>
        <vt:i4>0</vt:i4>
      </vt:variant>
      <vt:variant>
        <vt:i4>5</vt:i4>
      </vt:variant>
      <vt:variant>
        <vt:lpwstr>https://nam02.safelinks.protection.outlook.com/?url=https%3A%2F%2Frelatoria.colombiacompra.gov.co%2F&amp;data=05%7C02%7Cjhonattan.gualdron%40colombiacompra.gov.co%7C5aad36a736844ec87b2108dcc1fa4639%7C7b09041e245149d08cb179d5e3d8c1be%7C0%7C0%7C638598527917246155%7CUnknown%7CTWFpbGZsb3d8eyJWIjoiMC4wLjAwMDAiLCJQIjoiV2luMzIiLCJBTiI6Ik1haWwiLCJXVCI6Mn0%3D%7C0%7C%7C%7C&amp;sdata=vvr1bncg52balnsi4t%2FCslEkQPef8NiUUqg4Qj8a7c8%3D&amp;reserved=0</vt:lpwstr>
      </vt:variant>
      <vt:variant>
        <vt:lpwstr/>
      </vt:variant>
      <vt:variant>
        <vt:i4>1507428</vt:i4>
      </vt:variant>
      <vt:variant>
        <vt:i4>24</vt:i4>
      </vt:variant>
      <vt:variant>
        <vt:i4>0</vt:i4>
      </vt:variant>
      <vt:variant>
        <vt:i4>5</vt:i4>
      </vt:variant>
      <vt:variant>
        <vt:lpwstr>https://www.colombiacompra.gov.co/sites/cce_public/files/cce_documents/cce-eicp-ma-04._manual_requisitos_habilitantes_v3_29-09-2023.pdf</vt:lpwstr>
      </vt:variant>
      <vt:variant>
        <vt:lpwstr/>
      </vt:variant>
      <vt:variant>
        <vt:i4>3801145</vt:i4>
      </vt:variant>
      <vt:variant>
        <vt:i4>21</vt:i4>
      </vt:variant>
      <vt:variant>
        <vt:i4>0</vt:i4>
      </vt:variant>
      <vt:variant>
        <vt:i4>5</vt:i4>
      </vt:variant>
      <vt:variant>
        <vt:lpwstr>https://relatoria.colombiacompra.gov.co/providencias-consejo-de-estado/</vt:lpwstr>
      </vt:variant>
      <vt:variant>
        <vt:lpwstr/>
      </vt:variant>
      <vt:variant>
        <vt:i4>7209061</vt:i4>
      </vt:variant>
      <vt:variant>
        <vt:i4>18</vt:i4>
      </vt:variant>
      <vt:variant>
        <vt:i4>0</vt:i4>
      </vt:variant>
      <vt:variant>
        <vt:i4>5</vt:i4>
      </vt:variant>
      <vt:variant>
        <vt:lpwstr>https://relatoria.colombiacompra.gov.co/normativa/codigo-civil-ley-84-de-1873/</vt:lpwstr>
      </vt:variant>
      <vt:variant>
        <vt:lpwstr/>
      </vt:variant>
      <vt:variant>
        <vt:i4>3276916</vt:i4>
      </vt:variant>
      <vt:variant>
        <vt:i4>15</vt:i4>
      </vt:variant>
      <vt:variant>
        <vt:i4>0</vt:i4>
      </vt:variant>
      <vt:variant>
        <vt:i4>5</vt:i4>
      </vt:variant>
      <vt:variant>
        <vt:lpwstr>https://relatoria.colombiacompra.gov.co/normativa/decreto-1082-de-2015/</vt:lpwstr>
      </vt:variant>
      <vt:variant>
        <vt:lpwstr/>
      </vt:variant>
      <vt:variant>
        <vt:i4>5374035</vt:i4>
      </vt:variant>
      <vt:variant>
        <vt:i4>12</vt:i4>
      </vt:variant>
      <vt:variant>
        <vt:i4>0</vt:i4>
      </vt:variant>
      <vt:variant>
        <vt:i4>5</vt:i4>
      </vt:variant>
      <vt:variant>
        <vt:lpwstr>https://relatoria.colombiacompra.gov.co/normativa/constitucion-politica-de-colombia/</vt:lpwstr>
      </vt:variant>
      <vt:variant>
        <vt:lpwstr/>
      </vt:variant>
      <vt:variant>
        <vt:i4>3211367</vt:i4>
      </vt:variant>
      <vt:variant>
        <vt:i4>9</vt:i4>
      </vt:variant>
      <vt:variant>
        <vt:i4>0</vt:i4>
      </vt:variant>
      <vt:variant>
        <vt:i4>5</vt:i4>
      </vt:variant>
      <vt:variant>
        <vt:lpwstr>https://relatoria.colombiacompra.gov.co/normativa/ley-1437-de-2011/</vt:lpwstr>
      </vt:variant>
      <vt:variant>
        <vt:lpwstr/>
      </vt:variant>
      <vt:variant>
        <vt:i4>3473504</vt:i4>
      </vt:variant>
      <vt:variant>
        <vt:i4>6</vt:i4>
      </vt:variant>
      <vt:variant>
        <vt:i4>0</vt:i4>
      </vt:variant>
      <vt:variant>
        <vt:i4>5</vt:i4>
      </vt:variant>
      <vt:variant>
        <vt:lpwstr>https://relatoria.colombiacompra.gov.co/normativa/ley-1150-de-2007/</vt:lpwstr>
      </vt:variant>
      <vt:variant>
        <vt:lpwstr/>
      </vt:variant>
      <vt:variant>
        <vt:i4>5374035</vt:i4>
      </vt:variant>
      <vt:variant>
        <vt:i4>3</vt:i4>
      </vt:variant>
      <vt:variant>
        <vt:i4>0</vt:i4>
      </vt:variant>
      <vt:variant>
        <vt:i4>5</vt:i4>
      </vt:variant>
      <vt:variant>
        <vt:lpwstr>https://relatoria.colombiacompra.gov.co/normativa/constitucion-politica-de-colombia/</vt:lpwstr>
      </vt:variant>
      <vt:variant>
        <vt:lpwstr/>
      </vt:variant>
      <vt:variant>
        <vt:i4>524349</vt:i4>
      </vt:variant>
      <vt:variant>
        <vt:i4>0</vt:i4>
      </vt:variant>
      <vt:variant>
        <vt:i4>0</vt:i4>
      </vt:variant>
      <vt:variant>
        <vt:i4>5</vt:i4>
      </vt:variant>
      <vt:variant>
        <vt:lpwstr>mailto:mfrochaj@outlook.com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Richard Andrés Montenegro Siefken</cp:lastModifiedBy>
  <cp:revision>2</cp:revision>
  <cp:lastPrinted>2023-01-10T21:18:00Z</cp:lastPrinted>
  <dcterms:created xsi:type="dcterms:W3CDTF">2024-10-17T16:32:00Z</dcterms:created>
  <dcterms:modified xsi:type="dcterms:W3CDTF">2024-10-17T16:32:00Z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