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DEDD8" w14:textId="77777777" w:rsidR="00E37F8B" w:rsidRPr="00D37E44" w:rsidRDefault="00E37F8B" w:rsidP="00E37F8B">
      <w:pPr>
        <w:jc w:val="both"/>
        <w:rPr>
          <w:rFonts w:ascii="Verdana" w:eastAsia="Calibri" w:hAnsi="Verdana" w:cs="Arial"/>
          <w:b/>
          <w:color w:val="000000" w:themeColor="text1"/>
        </w:rPr>
      </w:pPr>
      <w:bookmarkStart w:id="0" w:name="_Hlk77082508"/>
      <w:bookmarkStart w:id="1" w:name="_Hlk143780582"/>
      <w:r w:rsidRPr="00D37E44">
        <w:rPr>
          <w:rFonts w:ascii="Verdana" w:eastAsia="Calibri" w:hAnsi="Verdana" w:cs="Arial"/>
          <w:b/>
          <w:color w:val="000000" w:themeColor="text1"/>
        </w:rPr>
        <w:t xml:space="preserve">FONDOS MIXTOS DE LA CULTURA Y LAS ARTES – Naturaleza jurídica </w:t>
      </w:r>
      <w:bookmarkEnd w:id="0"/>
    </w:p>
    <w:p w14:paraId="483A5282" w14:textId="77777777" w:rsidR="00E37F8B" w:rsidRPr="00D37E44" w:rsidRDefault="00E37F8B" w:rsidP="00E37F8B">
      <w:pPr>
        <w:jc w:val="both"/>
        <w:rPr>
          <w:rFonts w:ascii="Verdana" w:eastAsia="Calibri" w:hAnsi="Verdana" w:cs="Arial"/>
          <w:bCs/>
          <w:color w:val="000000" w:themeColor="text1"/>
          <w:sz w:val="20"/>
          <w:szCs w:val="20"/>
        </w:rPr>
      </w:pPr>
      <w:r w:rsidRPr="00D37E44">
        <w:rPr>
          <w:rFonts w:ascii="Verdana" w:eastAsia="Calibri" w:hAnsi="Verdana" w:cs="Arial"/>
          <w:bCs/>
          <w:color w:val="000000" w:themeColor="text1"/>
          <w:sz w:val="20"/>
          <w:szCs w:val="20"/>
        </w:rPr>
        <w:t>El artículo 63 de la Ley 397 de 1997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expida el Gobierno Nacional</w:t>
      </w:r>
      <w:bookmarkStart w:id="2" w:name="_Hlk77083940"/>
      <w:r w:rsidRPr="00D37E44">
        <w:rPr>
          <w:rFonts w:ascii="Verdana" w:hAnsi="Verdana" w:cs="Arial"/>
          <w:sz w:val="20"/>
          <w:szCs w:val="20"/>
        </w:rPr>
        <w:t xml:space="preserve"> </w:t>
      </w:r>
      <w:r w:rsidRPr="00D37E44">
        <w:rPr>
          <w:rFonts w:ascii="Verdana" w:eastAsia="Calibri" w:hAnsi="Verdana" w:cs="Arial"/>
          <w:bCs/>
          <w:color w:val="000000" w:themeColor="text1"/>
          <w:sz w:val="20"/>
          <w:szCs w:val="20"/>
        </w:rPr>
        <w:t xml:space="preserve">La norma definió que estos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w:t>
      </w:r>
    </w:p>
    <w:p w14:paraId="007C134E" w14:textId="77777777" w:rsidR="00E37F8B" w:rsidRPr="00D37E44" w:rsidRDefault="00E37F8B" w:rsidP="00E37F8B">
      <w:pPr>
        <w:jc w:val="both"/>
        <w:rPr>
          <w:rFonts w:ascii="Verdana" w:eastAsia="Calibri" w:hAnsi="Verdana" w:cs="Arial"/>
          <w:bCs/>
          <w:color w:val="000000" w:themeColor="text1"/>
          <w:sz w:val="20"/>
          <w:szCs w:val="20"/>
        </w:rPr>
      </w:pPr>
      <w:r w:rsidRPr="00D37E44">
        <w:rPr>
          <w:rFonts w:ascii="Verdana" w:eastAsia="Calibri" w:hAnsi="Verdana" w:cs="Arial"/>
          <w:bCs/>
          <w:color w:val="000000" w:themeColor="text1"/>
          <w:sz w:val="20"/>
          <w:szCs w:val="20"/>
        </w:rPr>
        <w:t>[…]</w:t>
      </w:r>
    </w:p>
    <w:bookmarkEnd w:id="2"/>
    <w:p w14:paraId="32FD5527" w14:textId="77777777" w:rsidR="00E37F8B" w:rsidRPr="00D37E44" w:rsidRDefault="00E37F8B" w:rsidP="00E37F8B">
      <w:pPr>
        <w:jc w:val="both"/>
        <w:rPr>
          <w:rFonts w:ascii="Verdana" w:eastAsia="Calibri" w:hAnsi="Verdana" w:cs="Arial"/>
          <w:bCs/>
          <w:color w:val="000000" w:themeColor="text1"/>
          <w:sz w:val="20"/>
          <w:szCs w:val="20"/>
        </w:rPr>
      </w:pPr>
      <w:r w:rsidRPr="00D37E44">
        <w:rPr>
          <w:rFonts w:ascii="Verdana" w:eastAsia="Calibri" w:hAnsi="Verdana" w:cs="Arial"/>
          <w:bCs/>
          <w:color w:val="000000" w:themeColor="text1"/>
          <w:sz w:val="20"/>
          <w:szCs w:val="20"/>
        </w:rPr>
        <w:t>De las normas citadas se desprende que los fondos mixtos de promoción de la cultura y las artes tienen un objeto que está dirigido a servir de mecanismo de financiamiento para canalizar recursos orientados a la promoción, creación, investigación y difusión de las diversas manifestaciones artísticas y culturales en las respectivas regiones donde se desarrollen. […]</w:t>
      </w:r>
    </w:p>
    <w:p w14:paraId="3BB88D64" w14:textId="77777777" w:rsidR="00E37F8B" w:rsidRPr="00D37E44" w:rsidRDefault="00E37F8B" w:rsidP="00E37F8B">
      <w:pPr>
        <w:jc w:val="both"/>
        <w:rPr>
          <w:rFonts w:ascii="Verdana" w:eastAsia="Calibri" w:hAnsi="Verdana" w:cs="Arial"/>
          <w:b/>
          <w:color w:val="000000" w:themeColor="text1"/>
          <w:sz w:val="20"/>
          <w:szCs w:val="20"/>
        </w:rPr>
      </w:pPr>
      <w:r w:rsidRPr="00D37E44">
        <w:rPr>
          <w:rFonts w:ascii="Verdana" w:eastAsia="Calibri" w:hAnsi="Verdana" w:cs="Arial"/>
          <w:bCs/>
          <w:color w:val="000000" w:themeColor="text1"/>
          <w:sz w:val="20"/>
          <w:szCs w:val="20"/>
        </w:rPr>
        <w:t>Así pues, los fondos mixtos para la promoción de la cultura y de las artes son personas jurídicas sin ánimo de lucro, regidas por el derecho privado principalmente; hacen parte de la estructura de la Administración, como entidades descentralizadas indirectas  del orden territorial ―art. 96 Ley 489 de 1998―; desarrollan actividades de interés público; tienen en su conformación aportes públicos y pueden ejecutar recursos de igual naturaleza en desarrollo de su objeto, razón por la cual están sometidas al control fiscal ejercido por la Contraloría General de la República.</w:t>
      </w:r>
    </w:p>
    <w:p w14:paraId="69DEA9D4" w14:textId="77777777" w:rsidR="00E37F8B" w:rsidRPr="00D37E44" w:rsidRDefault="00E37F8B" w:rsidP="00E37F8B">
      <w:pPr>
        <w:jc w:val="both"/>
        <w:rPr>
          <w:rFonts w:ascii="Verdana" w:eastAsia="Calibri" w:hAnsi="Verdana" w:cs="Arial"/>
          <w:b/>
          <w:color w:val="000000" w:themeColor="text1"/>
        </w:rPr>
      </w:pPr>
      <w:bookmarkStart w:id="3" w:name="_Hlk77090286"/>
      <w:r w:rsidRPr="00D37E44">
        <w:rPr>
          <w:rFonts w:ascii="Verdana" w:eastAsia="Calibri" w:hAnsi="Verdana" w:cs="Arial"/>
          <w:b/>
          <w:color w:val="000000" w:themeColor="text1"/>
        </w:rPr>
        <w:t xml:space="preserve">FONDOS MIXTOS DE LA CULTURA Y LAS ARTES – Régimen de contratación </w:t>
      </w:r>
      <w:bookmarkEnd w:id="3"/>
    </w:p>
    <w:p w14:paraId="1E261996" w14:textId="77777777" w:rsidR="00E37F8B" w:rsidRPr="00D37E44" w:rsidRDefault="00E37F8B" w:rsidP="00E37F8B">
      <w:pPr>
        <w:jc w:val="both"/>
        <w:rPr>
          <w:rFonts w:ascii="Verdana" w:eastAsia="Calibri" w:hAnsi="Verdana" w:cs="Arial"/>
          <w:bCs/>
          <w:color w:val="000000" w:themeColor="text1"/>
          <w:sz w:val="20"/>
          <w:szCs w:val="20"/>
        </w:rPr>
      </w:pPr>
      <w:r w:rsidRPr="00D37E44">
        <w:rPr>
          <w:rFonts w:ascii="Verdana" w:eastAsia="Calibri" w:hAnsi="Verdana" w:cs="Arial"/>
          <w:bCs/>
          <w:color w:val="000000" w:themeColor="text1"/>
          <w:sz w:val="20"/>
          <w:szCs w:val="20"/>
        </w:rPr>
        <w:t xml:space="preserve">En cuanto al régimen contractual de estos fondos, el artículo 63 de la Ley 397 de 1997 definió que el régimen jurídico de sus contratos es el derecho privado. Tal exclusión del régimen jurídico contractual general de las entidades estatales no es absoluta, toda vez que estos fondos al administrar recursos públicos deben respetar los principios de la función administrativa y de la gestión fiscal, de conformidad con el artículo 13 de la Ley 1150 de 2007. […] Conforme a lo anterior, los contratos celebrados por los fondos mixtos para la promoción de la cultura y las artes, en cumplimiento de su objeto, están regidos, de manera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 aplicable.  </w:t>
      </w:r>
    </w:p>
    <w:p w14:paraId="1F7B203E" w14:textId="3F39ACDA" w:rsidR="005D3EB1" w:rsidRDefault="005D3EB1" w:rsidP="00E245AB">
      <w:pPr>
        <w:spacing w:after="0"/>
        <w:rPr>
          <w:rFonts w:ascii="Verdana" w:hAnsi="Verdana"/>
        </w:rPr>
      </w:pPr>
    </w:p>
    <w:p w14:paraId="3FE2184B" w14:textId="651AD70B" w:rsidR="00E245AB" w:rsidRPr="00D37E44" w:rsidRDefault="00032D15" w:rsidP="00E245AB">
      <w:pPr>
        <w:spacing w:after="0"/>
        <w:rPr>
          <w:rFonts w:ascii="Verdana" w:hAnsi="Verdana"/>
        </w:rPr>
      </w:pPr>
      <w:r w:rsidRPr="00032D15">
        <w:rPr>
          <w:rFonts w:ascii="Verdana" w:hAnsi="Verdana"/>
        </w:rPr>
        <w:lastRenderedPageBreak/>
        <w:t>Bogotá D.C., 01 Octubre 2024</w:t>
      </w:r>
      <w:r w:rsidR="00891928" w:rsidRPr="00D37E44">
        <w:rPr>
          <w:rFonts w:ascii="Verdana" w:hAnsi="Verdana"/>
        </w:rPr>
        <w:tab/>
      </w:r>
    </w:p>
    <w:p w14:paraId="5FCADBF9" w14:textId="4A9B2FD3" w:rsidR="00E245AB" w:rsidRPr="00D37E44" w:rsidRDefault="00032D15" w:rsidP="00032D15">
      <w:pPr>
        <w:spacing w:after="0"/>
        <w:jc w:val="right"/>
        <w:rPr>
          <w:rFonts w:ascii="Verdana" w:hAnsi="Verdana"/>
        </w:rPr>
      </w:pPr>
      <w:r w:rsidRPr="00032D15">
        <w:rPr>
          <w:rFonts w:ascii="Verdana" w:hAnsi="Verdana"/>
          <w:noProof/>
        </w:rPr>
        <w:drawing>
          <wp:inline distT="0" distB="0" distL="0" distR="0" wp14:anchorId="4D914A0B" wp14:editId="4BF5B708">
            <wp:extent cx="3427367" cy="943964"/>
            <wp:effectExtent l="0" t="0" r="190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3452" cy="956657"/>
                    </a:xfrm>
                    <a:prstGeom prst="rect">
                      <a:avLst/>
                    </a:prstGeom>
                    <a:noFill/>
                    <a:ln>
                      <a:noFill/>
                    </a:ln>
                  </pic:spPr>
                </pic:pic>
              </a:graphicData>
            </a:graphic>
          </wp:inline>
        </w:drawing>
      </w:r>
    </w:p>
    <w:bookmarkEnd w:id="1"/>
    <w:p w14:paraId="47726D61" w14:textId="2D0ED864" w:rsidR="007A3912" w:rsidRPr="00D37E44" w:rsidRDefault="007A3912" w:rsidP="007A3912">
      <w:pPr>
        <w:spacing w:after="0" w:line="240" w:lineRule="auto"/>
        <w:jc w:val="both"/>
        <w:rPr>
          <w:rFonts w:ascii="Verdana" w:eastAsia="Calibri" w:hAnsi="Verdana" w:cs="Arial"/>
          <w:lang w:val="es-ES" w:eastAsia="es-ES"/>
        </w:rPr>
      </w:pPr>
      <w:r w:rsidRPr="00D37E44">
        <w:rPr>
          <w:rFonts w:ascii="Verdana" w:eastAsia="Calibri" w:hAnsi="Verdana" w:cs="Arial"/>
          <w:lang w:val="es-ES" w:eastAsia="es-ES"/>
        </w:rPr>
        <w:t>Señora</w:t>
      </w:r>
    </w:p>
    <w:p w14:paraId="136667DE" w14:textId="77777777" w:rsidR="007A3912" w:rsidRPr="00D37E44" w:rsidRDefault="007A3912" w:rsidP="007A3912">
      <w:pPr>
        <w:spacing w:after="0" w:line="240" w:lineRule="auto"/>
        <w:jc w:val="both"/>
        <w:rPr>
          <w:rFonts w:ascii="Verdana" w:hAnsi="Verdana" w:cs="Arial"/>
          <w:b/>
          <w:bCs/>
        </w:rPr>
      </w:pPr>
      <w:r w:rsidRPr="00D37E44">
        <w:rPr>
          <w:rFonts w:ascii="Verdana" w:hAnsi="Verdana" w:cs="Arial"/>
          <w:b/>
          <w:bCs/>
        </w:rPr>
        <w:t>MAYERLY CARVAJAL VARGAS</w:t>
      </w:r>
    </w:p>
    <w:p w14:paraId="7B660690" w14:textId="23663259" w:rsidR="007A3912" w:rsidRPr="00D37E44" w:rsidRDefault="007A3912" w:rsidP="007A3912">
      <w:pPr>
        <w:spacing w:after="0" w:line="240" w:lineRule="auto"/>
        <w:jc w:val="both"/>
        <w:rPr>
          <w:rFonts w:ascii="Verdana" w:hAnsi="Verdana"/>
        </w:rPr>
      </w:pPr>
      <w:r w:rsidRPr="00D37E44">
        <w:rPr>
          <w:rFonts w:ascii="Verdana" w:hAnsi="Verdana"/>
        </w:rPr>
        <w:t>FONDO DE CULTURA Y TURISMO DEL HUILA</w:t>
      </w:r>
    </w:p>
    <w:p w14:paraId="49B37A87" w14:textId="175B5617" w:rsidR="007A3912" w:rsidRPr="00D37E44" w:rsidRDefault="007A3912" w:rsidP="007A3912">
      <w:pPr>
        <w:spacing w:after="0" w:line="240" w:lineRule="auto"/>
        <w:jc w:val="both"/>
        <w:rPr>
          <w:rFonts w:ascii="Verdana" w:hAnsi="Verdana"/>
        </w:rPr>
      </w:pPr>
      <w:hyperlink r:id="rId11" w:history="1">
        <w:r w:rsidRPr="00D37E44">
          <w:rPr>
            <w:rStyle w:val="Hipervnculo"/>
            <w:rFonts w:ascii="Verdana" w:hAnsi="Verdana"/>
          </w:rPr>
          <w:t>GERENCIA@FOMCULTURA.COM.CO</w:t>
        </w:r>
      </w:hyperlink>
    </w:p>
    <w:p w14:paraId="166C4261" w14:textId="09B040D2" w:rsidR="007A3912" w:rsidRPr="00D37E44" w:rsidRDefault="007A3912" w:rsidP="007A3912">
      <w:pPr>
        <w:spacing w:after="0" w:line="240" w:lineRule="auto"/>
        <w:jc w:val="both"/>
        <w:rPr>
          <w:rFonts w:ascii="Verdana" w:eastAsia="Calibri" w:hAnsi="Verdana" w:cs="Arial"/>
          <w:szCs w:val="24"/>
          <w:lang w:val="es-ES_tradnl" w:eastAsia="es-ES_tradnl"/>
        </w:rPr>
      </w:pPr>
      <w:r w:rsidRPr="00D37E44">
        <w:rPr>
          <w:rFonts w:ascii="Verdana" w:eastAsia="Calibri" w:hAnsi="Verdana" w:cs="Arial"/>
          <w:szCs w:val="24"/>
          <w:lang w:val="es-ES_tradnl" w:eastAsia="es-ES_tradnl"/>
        </w:rPr>
        <w:t>Bogotá D.C</w:t>
      </w:r>
    </w:p>
    <w:p w14:paraId="523B4733" w14:textId="77777777" w:rsidR="007A3912" w:rsidRPr="00D37E44" w:rsidRDefault="007A3912" w:rsidP="007A3912">
      <w:pPr>
        <w:spacing w:after="0" w:line="240" w:lineRule="auto"/>
        <w:jc w:val="both"/>
        <w:rPr>
          <w:rFonts w:ascii="Verdana" w:eastAsia="Calibri" w:hAnsi="Verdana" w:cs="Arial"/>
          <w:szCs w:val="24"/>
          <w:lang w:val="es-ES_tradnl" w:eastAsia="es-ES_tradnl"/>
        </w:rPr>
      </w:pPr>
    </w:p>
    <w:p w14:paraId="47273FB3" w14:textId="48DBA4F7" w:rsidR="007A3912" w:rsidRPr="00D37E44" w:rsidRDefault="00E26152" w:rsidP="007A3912">
      <w:pPr>
        <w:spacing w:after="0" w:line="240" w:lineRule="auto"/>
        <w:ind w:left="2694"/>
        <w:jc w:val="both"/>
        <w:rPr>
          <w:rFonts w:ascii="Verdana" w:eastAsia="Calibri" w:hAnsi="Verdana" w:cs="Arial"/>
          <w:b/>
          <w:bCs/>
          <w:szCs w:val="24"/>
          <w:lang w:val="es-ES_tradnl" w:eastAsia="es-ES_tradnl"/>
        </w:rPr>
      </w:pPr>
      <w:r>
        <w:rPr>
          <w:rFonts w:ascii="Verdana" w:eastAsia="Calibri" w:hAnsi="Verdana" w:cs="Arial"/>
          <w:b/>
          <w:bCs/>
          <w:szCs w:val="24"/>
          <w:lang w:val="es-ES_tradnl" w:eastAsia="es-ES_tradnl"/>
        </w:rPr>
        <w:t xml:space="preserve">  </w:t>
      </w:r>
      <w:r w:rsidR="007A3912" w:rsidRPr="00D37E44">
        <w:rPr>
          <w:rFonts w:ascii="Verdana" w:eastAsia="Calibri" w:hAnsi="Verdana" w:cs="Arial"/>
          <w:b/>
          <w:bCs/>
          <w:szCs w:val="24"/>
          <w:lang w:val="es-ES_tradnl" w:eastAsia="es-ES_tradnl"/>
        </w:rPr>
        <w:t>Concepto C–</w:t>
      </w:r>
      <w:r w:rsidR="00A56329" w:rsidRPr="00D37E44">
        <w:rPr>
          <w:rFonts w:ascii="Verdana" w:eastAsia="Calibri" w:hAnsi="Verdana" w:cs="Arial"/>
          <w:b/>
          <w:bCs/>
          <w:szCs w:val="24"/>
          <w:lang w:val="es-ES_tradnl" w:eastAsia="es-ES_tradnl"/>
        </w:rPr>
        <w:t>558</w:t>
      </w:r>
      <w:r w:rsidR="007A3912" w:rsidRPr="00D37E44">
        <w:rPr>
          <w:rFonts w:ascii="Verdana" w:eastAsia="Calibri" w:hAnsi="Verdana" w:cs="Arial"/>
          <w:b/>
          <w:bCs/>
          <w:szCs w:val="24"/>
          <w:lang w:val="es-ES_tradnl" w:eastAsia="es-ES_tradnl"/>
        </w:rPr>
        <w:t xml:space="preserve"> de 2024</w:t>
      </w:r>
    </w:p>
    <w:p w14:paraId="47C39D81" w14:textId="77777777" w:rsidR="007A3912" w:rsidRPr="00D37E44" w:rsidRDefault="007A3912" w:rsidP="007A3912">
      <w:pPr>
        <w:spacing w:after="0" w:line="240" w:lineRule="auto"/>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091"/>
        <w:gridCol w:w="6237"/>
      </w:tblGrid>
      <w:tr w:rsidR="007A3912" w:rsidRPr="00D37E44" w14:paraId="56F83219" w14:textId="77777777" w:rsidTr="00B77C09">
        <w:trPr>
          <w:trHeight w:val="1304"/>
        </w:trPr>
        <w:tc>
          <w:tcPr>
            <w:tcW w:w="2835" w:type="dxa"/>
            <w:hideMark/>
          </w:tcPr>
          <w:p w14:paraId="367E31C9" w14:textId="77777777" w:rsidR="007A3912" w:rsidRPr="00D37E44" w:rsidRDefault="007A3912" w:rsidP="00B77C09">
            <w:pPr>
              <w:jc w:val="both"/>
              <w:rPr>
                <w:rFonts w:ascii="Verdana" w:eastAsia="Calibri" w:hAnsi="Verdana" w:cs="Arial"/>
                <w:szCs w:val="24"/>
                <w:highlight w:val="yellow"/>
                <w:lang w:val="es-ES_tradnl" w:eastAsia="es-ES_tradnl"/>
              </w:rPr>
            </w:pPr>
            <w:r w:rsidRPr="00D63B1B">
              <w:rPr>
                <w:rFonts w:ascii="Verdana" w:eastAsia="Calibri" w:hAnsi="Verdana" w:cs="Arial"/>
                <w:szCs w:val="24"/>
                <w:lang w:val="es-ES_tradnl" w:eastAsia="es-ES_tradnl"/>
              </w:rPr>
              <w:t xml:space="preserve">Temas:                   </w:t>
            </w:r>
          </w:p>
        </w:tc>
        <w:tc>
          <w:tcPr>
            <w:tcW w:w="6091" w:type="dxa"/>
          </w:tcPr>
          <w:p w14:paraId="3A80B906" w14:textId="75F3AC5A" w:rsidR="00B44695" w:rsidRPr="00D37E44" w:rsidRDefault="003C6C56" w:rsidP="00B44695">
            <w:pPr>
              <w:jc w:val="both"/>
              <w:rPr>
                <w:rFonts w:ascii="Verdana" w:eastAsia="Calibri" w:hAnsi="Verdana" w:cs="Arial"/>
                <w:b/>
                <w:color w:val="000000" w:themeColor="text1"/>
              </w:rPr>
            </w:pPr>
            <w:r w:rsidRPr="00D37E44">
              <w:rPr>
                <w:rFonts w:ascii="Verdana" w:eastAsia="Calibri" w:hAnsi="Verdana" w:cs="Arial"/>
                <w:b/>
                <w:color w:val="000000" w:themeColor="text1"/>
              </w:rPr>
              <w:t>FONDOS MIXTOS DE LA CULTURA Y LAS ARTES – Naturaleza jurídica</w:t>
            </w:r>
            <w:r w:rsidR="00B44695">
              <w:rPr>
                <w:rFonts w:ascii="Verdana" w:eastAsia="Calibri" w:hAnsi="Verdana" w:cs="Arial"/>
                <w:b/>
                <w:color w:val="000000" w:themeColor="text1"/>
              </w:rPr>
              <w:t>/</w:t>
            </w:r>
            <w:r w:rsidR="00B44695" w:rsidRPr="00D37E44">
              <w:rPr>
                <w:rFonts w:ascii="Verdana" w:eastAsia="Calibri" w:hAnsi="Verdana" w:cs="Arial"/>
                <w:b/>
                <w:color w:val="000000" w:themeColor="text1"/>
              </w:rPr>
              <w:t xml:space="preserve"> FONDOS MIXTOS DE LA CULTURA Y LAS ARTES – Régimen de contratación </w:t>
            </w:r>
          </w:p>
          <w:p w14:paraId="301B55D4" w14:textId="7746E608" w:rsidR="003C6C56" w:rsidRPr="00D37E44" w:rsidRDefault="003C6C56" w:rsidP="003C6C56">
            <w:pPr>
              <w:jc w:val="both"/>
              <w:rPr>
                <w:rFonts w:ascii="Verdana" w:eastAsia="Calibri" w:hAnsi="Verdana" w:cs="Arial"/>
                <w:b/>
                <w:color w:val="000000" w:themeColor="text1"/>
              </w:rPr>
            </w:pPr>
          </w:p>
          <w:p w14:paraId="2248B048" w14:textId="64BC8A87" w:rsidR="007A3912" w:rsidRPr="00D37E44" w:rsidRDefault="007A3912" w:rsidP="00B77C09">
            <w:pPr>
              <w:spacing w:line="276" w:lineRule="auto"/>
              <w:jc w:val="both"/>
              <w:rPr>
                <w:rFonts w:ascii="Verdana" w:hAnsi="Verdana"/>
                <w:highlight w:val="yellow"/>
              </w:rPr>
            </w:pPr>
          </w:p>
        </w:tc>
        <w:tc>
          <w:tcPr>
            <w:tcW w:w="6237" w:type="dxa"/>
          </w:tcPr>
          <w:p w14:paraId="599F7FD7" w14:textId="77777777" w:rsidR="007A3912" w:rsidRPr="00D37E44" w:rsidRDefault="007A3912" w:rsidP="00B77C09">
            <w:pPr>
              <w:jc w:val="both"/>
              <w:rPr>
                <w:rFonts w:ascii="Verdana" w:hAnsi="Verdana" w:cs="Arial"/>
                <w:highlight w:val="yellow"/>
                <w:lang w:val="es-ES"/>
              </w:rPr>
            </w:pPr>
          </w:p>
        </w:tc>
      </w:tr>
      <w:tr w:rsidR="007A3912" w:rsidRPr="00D37E44" w14:paraId="49A4EE3F" w14:textId="77777777" w:rsidTr="00B77C09">
        <w:tc>
          <w:tcPr>
            <w:tcW w:w="2835" w:type="dxa"/>
            <w:hideMark/>
          </w:tcPr>
          <w:p w14:paraId="0AA6BE81" w14:textId="77777777" w:rsidR="007A3912" w:rsidRPr="00D37E44" w:rsidRDefault="007A3912" w:rsidP="00B77C09">
            <w:pPr>
              <w:spacing w:before="120"/>
              <w:jc w:val="both"/>
              <w:rPr>
                <w:rFonts w:ascii="Verdana" w:eastAsia="Calibri" w:hAnsi="Verdana" w:cs="Arial"/>
                <w:szCs w:val="24"/>
                <w:lang w:val="es-ES_tradnl" w:eastAsia="es-ES_tradnl"/>
              </w:rPr>
            </w:pPr>
            <w:r w:rsidRPr="00D37E44">
              <w:rPr>
                <w:rFonts w:ascii="Verdana" w:eastAsia="Calibri" w:hAnsi="Verdana" w:cs="Arial"/>
                <w:szCs w:val="24"/>
                <w:lang w:val="es-ES_tradnl" w:eastAsia="es-ES_tradnl"/>
              </w:rPr>
              <w:t xml:space="preserve">Radicación:               </w:t>
            </w:r>
          </w:p>
        </w:tc>
        <w:tc>
          <w:tcPr>
            <w:tcW w:w="6091" w:type="dxa"/>
            <w:hideMark/>
          </w:tcPr>
          <w:p w14:paraId="39E7110A" w14:textId="5B3B89D2" w:rsidR="007A3912" w:rsidRPr="00D37E44" w:rsidRDefault="007A3912" w:rsidP="00B77C09">
            <w:pPr>
              <w:spacing w:before="120" w:line="276" w:lineRule="auto"/>
              <w:jc w:val="both"/>
              <w:rPr>
                <w:rFonts w:ascii="Verdana" w:eastAsia="Calibri" w:hAnsi="Verdana" w:cs="Arial"/>
                <w:szCs w:val="24"/>
                <w:lang w:val="es-ES_tradnl" w:eastAsia="es-ES_tradnl"/>
              </w:rPr>
            </w:pPr>
            <w:r w:rsidRPr="00D37E44">
              <w:rPr>
                <w:rFonts w:ascii="Verdana" w:eastAsia="Calibri" w:hAnsi="Verdana" w:cs="Arial"/>
                <w:szCs w:val="24"/>
                <w:lang w:val="es-ES_tradnl" w:eastAsia="es-ES_tradnl"/>
              </w:rPr>
              <w:t xml:space="preserve">Respuesta a consulta con radicado No. </w:t>
            </w:r>
            <w:r w:rsidR="00803A29" w:rsidRPr="00D37E44">
              <w:rPr>
                <w:rFonts w:ascii="Verdana" w:eastAsia="Calibri" w:hAnsi="Verdana" w:cs="Arial"/>
                <w:szCs w:val="24"/>
                <w:lang w:eastAsia="es-ES_tradnl"/>
              </w:rPr>
              <w:t>P20240820008448</w:t>
            </w:r>
          </w:p>
        </w:tc>
        <w:tc>
          <w:tcPr>
            <w:tcW w:w="6237" w:type="dxa"/>
          </w:tcPr>
          <w:p w14:paraId="70856C9E" w14:textId="77777777" w:rsidR="007A3912" w:rsidRPr="00D37E44" w:rsidRDefault="007A3912" w:rsidP="00B77C09">
            <w:pPr>
              <w:spacing w:before="120"/>
              <w:jc w:val="both"/>
              <w:rPr>
                <w:rFonts w:ascii="Verdana" w:eastAsia="Calibri" w:hAnsi="Verdana" w:cs="Arial"/>
                <w:szCs w:val="24"/>
                <w:lang w:val="es-ES_tradnl" w:eastAsia="es-ES_tradnl"/>
              </w:rPr>
            </w:pPr>
          </w:p>
        </w:tc>
      </w:tr>
    </w:tbl>
    <w:p w14:paraId="5754C2AC" w14:textId="77777777" w:rsidR="007A3912" w:rsidRPr="00D37E44" w:rsidRDefault="007A3912" w:rsidP="007A3912">
      <w:pPr>
        <w:spacing w:after="0" w:line="240" w:lineRule="auto"/>
        <w:jc w:val="both"/>
        <w:rPr>
          <w:rFonts w:ascii="Verdana" w:eastAsia="Calibri" w:hAnsi="Verdana" w:cs="Arial"/>
          <w:szCs w:val="24"/>
          <w:lang w:val="es-ES_tradnl" w:eastAsia="es-ES_tradnl"/>
        </w:rPr>
      </w:pPr>
    </w:p>
    <w:p w14:paraId="69BD2DE1" w14:textId="0CA50A13" w:rsidR="007A3912" w:rsidRPr="00D37E44" w:rsidRDefault="007A3912" w:rsidP="007A3912">
      <w:pPr>
        <w:spacing w:after="0" w:line="240" w:lineRule="auto"/>
        <w:jc w:val="both"/>
        <w:rPr>
          <w:rFonts w:ascii="Verdana" w:eastAsia="Calibri" w:hAnsi="Verdana" w:cs="Arial"/>
          <w:lang w:val="es-ES" w:eastAsia="es-ES"/>
        </w:rPr>
      </w:pPr>
      <w:r w:rsidRPr="00D37E44">
        <w:rPr>
          <w:rFonts w:ascii="Verdana" w:eastAsia="Calibri" w:hAnsi="Verdana" w:cs="Arial"/>
          <w:lang w:val="es-ES" w:eastAsia="es-ES"/>
        </w:rPr>
        <w:t xml:space="preserve">Estimada señora Mayerly: </w:t>
      </w:r>
    </w:p>
    <w:p w14:paraId="1995F213" w14:textId="77777777" w:rsidR="007A3912" w:rsidRPr="00D37E44" w:rsidRDefault="007A3912" w:rsidP="007A3912">
      <w:pPr>
        <w:spacing w:after="0" w:line="240" w:lineRule="auto"/>
        <w:jc w:val="both"/>
        <w:rPr>
          <w:rFonts w:ascii="Verdana" w:eastAsia="Calibri" w:hAnsi="Verdana" w:cs="Arial"/>
          <w:lang w:val="es-ES" w:eastAsia="es-ES"/>
        </w:rPr>
      </w:pPr>
    </w:p>
    <w:p w14:paraId="28747482" w14:textId="213574DE" w:rsidR="007A3912" w:rsidRPr="00D37E44" w:rsidRDefault="007A3912" w:rsidP="007A3912">
      <w:pPr>
        <w:spacing w:after="120" w:line="276" w:lineRule="auto"/>
        <w:jc w:val="both"/>
        <w:rPr>
          <w:rFonts w:ascii="Verdana" w:eastAsia="Calibri" w:hAnsi="Verdana" w:cs="Arial"/>
          <w:lang w:val="es-ES" w:eastAsia="es-ES"/>
        </w:rPr>
      </w:pPr>
      <w:r w:rsidRPr="00D37E44">
        <w:rPr>
          <w:rFonts w:ascii="Verdana" w:eastAsia="Calibri" w:hAnsi="Verdana" w:cs="Arial"/>
          <w:lang w:val="es-ES" w:eastAsia="es-ES"/>
        </w:rPr>
        <w:t>En ejercicio de la competencia otorgada por los artículos 3, numeral 5º, y 11, numeral 8º, del Decreto Ley 4170 de 2011,</w:t>
      </w:r>
      <w:r w:rsidRPr="00D37E44">
        <w:rPr>
          <w:rFonts w:ascii="Verdana" w:eastAsia="Arial MT" w:hAnsi="Verdana" w:cs="Arial MT"/>
          <w:lang w:val="es-ES" w:eastAsia="es-ES"/>
        </w:rPr>
        <w:t xml:space="preserve"> </w:t>
      </w:r>
      <w:r w:rsidRPr="00D37E44">
        <w:rPr>
          <w:rFonts w:ascii="Verdana" w:eastAsia="Calibri" w:hAnsi="Verdana" w:cs="Arial"/>
          <w:lang w:val="es-ES" w:eastAsia="es-ES"/>
        </w:rPr>
        <w:t>la Agencia Nacional de Contratación Pública – Colombia Compra Eficiente– responde su solicitud de consulta del 20 de agosto de 2024. En la cual manifiesta lo siguiente:</w:t>
      </w:r>
    </w:p>
    <w:p w14:paraId="16A65C25" w14:textId="77777777" w:rsidR="007A3912" w:rsidRPr="00D37E44" w:rsidRDefault="007A3912" w:rsidP="007A3912">
      <w:pPr>
        <w:spacing w:after="0" w:line="240" w:lineRule="auto"/>
        <w:ind w:left="709" w:right="709"/>
        <w:jc w:val="both"/>
        <w:rPr>
          <w:rFonts w:ascii="Verdana" w:eastAsia="Calibri" w:hAnsi="Verdana" w:cs="Arial"/>
          <w:sz w:val="20"/>
          <w:szCs w:val="20"/>
          <w:lang w:eastAsia="es-ES"/>
        </w:rPr>
      </w:pPr>
      <w:r w:rsidRPr="00D37E44">
        <w:rPr>
          <w:rFonts w:ascii="Verdana" w:eastAsia="Calibri" w:hAnsi="Verdana" w:cs="Arial"/>
          <w:sz w:val="20"/>
          <w:szCs w:val="20"/>
          <w:lang w:val="es-ES" w:eastAsia="es-ES"/>
        </w:rPr>
        <w:t>“</w:t>
      </w:r>
      <w:r w:rsidRPr="00D37E44">
        <w:rPr>
          <w:rFonts w:ascii="Verdana" w:eastAsia="Calibri" w:hAnsi="Verdana" w:cs="Arial"/>
          <w:sz w:val="20"/>
          <w:szCs w:val="20"/>
          <w:lang w:eastAsia="es-ES"/>
        </w:rPr>
        <w:t xml:space="preserve"> (…) </w:t>
      </w:r>
    </w:p>
    <w:p w14:paraId="178E4239" w14:textId="77777777" w:rsidR="007A3912" w:rsidRPr="00D37E44" w:rsidRDefault="007A3912" w:rsidP="007A3912">
      <w:pPr>
        <w:spacing w:after="0" w:line="240" w:lineRule="auto"/>
        <w:ind w:left="709" w:right="709"/>
        <w:jc w:val="both"/>
        <w:rPr>
          <w:rFonts w:ascii="Verdana" w:eastAsia="Calibri" w:hAnsi="Verdana" w:cs="Arial"/>
          <w:i/>
          <w:iCs/>
          <w:sz w:val="20"/>
          <w:szCs w:val="20"/>
          <w:lang w:eastAsia="es-ES_tradnl"/>
        </w:rPr>
      </w:pPr>
      <w:r w:rsidRPr="00D37E44">
        <w:rPr>
          <w:rFonts w:ascii="Verdana" w:eastAsia="Calibri" w:hAnsi="Verdana" w:cs="Arial"/>
          <w:i/>
          <w:iCs/>
          <w:sz w:val="20"/>
          <w:szCs w:val="20"/>
          <w:lang w:eastAsia="es-ES_tradnl"/>
        </w:rPr>
        <w:t>1. Rectificar o complementar el Concepto C – 081 de 2024, en el sentido de analizar el régimen particular de los fondos mixtos de cultura, en clave del artículo 63 de la Ley 397 de 1997, e interpretar que esos fondos, en su gestión contractual, se encuentran sometidos al derecho privado y, por tanto, están exceptuados de la Ley 80 de 1993, sin perjuicio del control fiscal y de la aplicación de normas imperativas, como los principios de la función administrativa y el régimen de inhabilidades e incompatibilidades.</w:t>
      </w:r>
    </w:p>
    <w:p w14:paraId="478F40CD" w14:textId="77777777" w:rsidR="007A3912" w:rsidRPr="00D37E44" w:rsidRDefault="007A3912" w:rsidP="007A3912">
      <w:pPr>
        <w:spacing w:after="0" w:line="240" w:lineRule="auto"/>
        <w:ind w:left="709" w:right="709"/>
        <w:jc w:val="both"/>
        <w:rPr>
          <w:rFonts w:ascii="Verdana" w:eastAsia="Calibri" w:hAnsi="Verdana" w:cs="Arial"/>
          <w:i/>
          <w:iCs/>
          <w:sz w:val="20"/>
          <w:szCs w:val="20"/>
          <w:lang w:eastAsia="es-ES_tradnl"/>
        </w:rPr>
      </w:pPr>
    </w:p>
    <w:p w14:paraId="0C5DFEF5" w14:textId="2C098D57" w:rsidR="007A3912" w:rsidRPr="00D37E44" w:rsidRDefault="007A3912" w:rsidP="007A3912">
      <w:pPr>
        <w:spacing w:after="0" w:line="240" w:lineRule="auto"/>
        <w:ind w:left="709" w:right="709"/>
        <w:jc w:val="both"/>
        <w:rPr>
          <w:rFonts w:ascii="Verdana" w:eastAsia="Calibri" w:hAnsi="Verdana" w:cs="Arial"/>
          <w:sz w:val="20"/>
          <w:szCs w:val="20"/>
          <w:lang w:eastAsia="es-ES_tradnl"/>
        </w:rPr>
      </w:pPr>
      <w:r w:rsidRPr="00D37E44">
        <w:rPr>
          <w:rFonts w:ascii="Verdana" w:eastAsia="Calibri" w:hAnsi="Verdana" w:cs="Arial"/>
          <w:i/>
          <w:iCs/>
          <w:sz w:val="20"/>
          <w:szCs w:val="20"/>
          <w:lang w:eastAsia="es-ES_tradnl"/>
        </w:rPr>
        <w:t xml:space="preserve">2. En defecto de lo anterior, emitir un nuevo concepto en el que examine el artículo 63 de la Ley 397 de 1997 e interprete que los fondos mixtos de cultura, en su gestión contractual, se encuentran sometidos al derecho privado y, por tanto, están exceptuados de la Ley 80 de 1993, sin perjuicio del control fiscal y de la aplicación de normas imperativas, como los </w:t>
      </w:r>
      <w:r w:rsidRPr="00D37E44">
        <w:rPr>
          <w:rFonts w:ascii="Verdana" w:eastAsia="Calibri" w:hAnsi="Verdana" w:cs="Arial"/>
          <w:i/>
          <w:iCs/>
          <w:sz w:val="20"/>
          <w:szCs w:val="20"/>
          <w:lang w:eastAsia="es-ES_tradnl"/>
        </w:rPr>
        <w:lastRenderedPageBreak/>
        <w:t>principios de la función administrativa y el régimen de inhabilidades e incompatibilidades.”.</w:t>
      </w:r>
      <w:r w:rsidRPr="00D37E44">
        <w:rPr>
          <w:rFonts w:ascii="Verdana" w:eastAsia="Calibri" w:hAnsi="Verdana" w:cs="Arial"/>
          <w:sz w:val="20"/>
          <w:szCs w:val="20"/>
          <w:lang w:eastAsia="es-ES_tradnl"/>
        </w:rPr>
        <w:t>(…)</w:t>
      </w:r>
    </w:p>
    <w:p w14:paraId="0D0AAC70" w14:textId="77777777" w:rsidR="007A3912" w:rsidRPr="00D37E44" w:rsidRDefault="007A3912" w:rsidP="007A3912">
      <w:pPr>
        <w:spacing w:after="0" w:line="240" w:lineRule="auto"/>
        <w:ind w:left="709" w:right="709"/>
        <w:jc w:val="both"/>
        <w:rPr>
          <w:rFonts w:ascii="Verdana" w:eastAsia="Calibri" w:hAnsi="Verdana" w:cs="Arial"/>
          <w:sz w:val="20"/>
          <w:szCs w:val="20"/>
          <w:lang w:val="es-ES_tradnl" w:eastAsia="es-ES_tradnl"/>
        </w:rPr>
      </w:pPr>
    </w:p>
    <w:p w14:paraId="6D85F756" w14:textId="77777777" w:rsidR="007A3912" w:rsidRPr="00D37E44" w:rsidRDefault="007A3912" w:rsidP="007A3912">
      <w:pPr>
        <w:spacing w:after="120" w:line="276" w:lineRule="auto"/>
        <w:jc w:val="both"/>
        <w:rPr>
          <w:rFonts w:ascii="Verdana" w:eastAsia="Calibri" w:hAnsi="Verdana" w:cs="Arial"/>
          <w:lang w:val="es-ES" w:eastAsia="es-ES"/>
        </w:rPr>
      </w:pPr>
      <w:r w:rsidRPr="00D37E44">
        <w:rPr>
          <w:rFonts w:ascii="Verdana" w:eastAsia="Calibri" w:hAnsi="Verdana" w:cs="Arial"/>
          <w:lang w:val="es-ES_tradnl" w:eastAsia="es-ES_tradnl"/>
        </w:rPr>
        <w:tab/>
      </w:r>
      <w:r w:rsidRPr="00D37E44">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476E965A" w14:textId="77777777" w:rsidR="007A3912" w:rsidRPr="00D37E44" w:rsidRDefault="007A3912" w:rsidP="007A3912">
      <w:pPr>
        <w:spacing w:after="0" w:line="276" w:lineRule="auto"/>
        <w:jc w:val="both"/>
        <w:rPr>
          <w:rFonts w:ascii="Verdana" w:eastAsia="Calibri" w:hAnsi="Verdana" w:cs="Arial"/>
          <w:lang w:val="es-ES" w:eastAsia="es-ES"/>
        </w:rPr>
      </w:pPr>
      <w:r w:rsidRPr="00D37E44">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788ADB20" w14:textId="77777777" w:rsidR="007A3912" w:rsidRPr="00D37E44" w:rsidRDefault="007A3912" w:rsidP="007A3912">
      <w:pPr>
        <w:spacing w:after="0" w:line="276" w:lineRule="auto"/>
        <w:jc w:val="both"/>
        <w:rPr>
          <w:rFonts w:ascii="Verdana" w:eastAsia="Calibri" w:hAnsi="Verdana" w:cs="Arial"/>
          <w:lang w:val="es-ES" w:eastAsia="es-ES"/>
        </w:rPr>
      </w:pPr>
    </w:p>
    <w:p w14:paraId="02055211" w14:textId="77777777" w:rsidR="007A3912" w:rsidRPr="00D37E44" w:rsidRDefault="007A3912" w:rsidP="007A3912">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D37E44">
        <w:rPr>
          <w:rFonts w:ascii="Verdana" w:eastAsia="Century Gothic" w:hAnsi="Verdana" w:cs="Century Gothic"/>
          <w:b/>
          <w:bCs/>
        </w:rPr>
        <w:t>Problema planteado:</w:t>
      </w:r>
    </w:p>
    <w:p w14:paraId="2129F7F8" w14:textId="77777777" w:rsidR="007A3912" w:rsidRPr="00D37E44" w:rsidRDefault="007A3912" w:rsidP="007A3912">
      <w:pPr>
        <w:tabs>
          <w:tab w:val="left" w:pos="142"/>
          <w:tab w:val="left" w:pos="284"/>
        </w:tabs>
        <w:spacing w:after="0" w:line="276" w:lineRule="auto"/>
        <w:jc w:val="both"/>
        <w:rPr>
          <w:rFonts w:ascii="Verdana" w:eastAsia="Calibri" w:hAnsi="Verdana" w:cs="Arial"/>
          <w:lang w:val="es-ES" w:eastAsia="es-ES"/>
        </w:rPr>
      </w:pPr>
    </w:p>
    <w:p w14:paraId="621ABBDC" w14:textId="6E36ED3B" w:rsidR="007A3912" w:rsidRPr="00D37E44" w:rsidRDefault="007A3912" w:rsidP="007A3912">
      <w:pPr>
        <w:tabs>
          <w:tab w:val="left" w:pos="142"/>
          <w:tab w:val="left" w:pos="284"/>
        </w:tabs>
        <w:spacing w:after="0" w:line="276" w:lineRule="auto"/>
        <w:jc w:val="both"/>
        <w:rPr>
          <w:rFonts w:ascii="Verdana" w:eastAsia="Calibri" w:hAnsi="Verdana" w:cs="Arial"/>
          <w:lang w:val="es-ES" w:eastAsia="es-ES"/>
        </w:rPr>
      </w:pPr>
      <w:r w:rsidRPr="00D37E44">
        <w:rPr>
          <w:rFonts w:ascii="Verdana" w:eastAsia="Calibri" w:hAnsi="Verdana" w:cs="Arial"/>
          <w:lang w:val="es-ES" w:eastAsia="es-ES"/>
        </w:rPr>
        <w:t>De acuerdo con el contenido de su solicitud, esta Agencia resolverá los siguientes problemas jurídicos: (i) ¿</w:t>
      </w:r>
      <w:r w:rsidR="00803A29" w:rsidRPr="00D37E44">
        <w:rPr>
          <w:rFonts w:ascii="Verdana" w:eastAsia="Calibri" w:hAnsi="Verdana" w:cs="Arial"/>
          <w:lang w:eastAsia="es-ES"/>
        </w:rPr>
        <w:t xml:space="preserve"> Qué régimen de contratación aplica a los fondos mixtos de promoción de arte y cultura</w:t>
      </w:r>
      <w:r w:rsidRPr="00D37E44">
        <w:rPr>
          <w:rFonts w:ascii="Verdana" w:eastAsia="Calibri" w:hAnsi="Verdana" w:cs="Arial"/>
          <w:lang w:val="es-ES" w:eastAsia="es-ES"/>
        </w:rPr>
        <w:t xml:space="preserve">? </w:t>
      </w:r>
    </w:p>
    <w:p w14:paraId="36A5E4CD" w14:textId="77777777" w:rsidR="007A3912" w:rsidRPr="00D37E44" w:rsidRDefault="007A3912" w:rsidP="007A3912">
      <w:pPr>
        <w:pStyle w:val="Prrafodelista"/>
        <w:tabs>
          <w:tab w:val="left" w:pos="142"/>
          <w:tab w:val="left" w:pos="284"/>
        </w:tabs>
        <w:spacing w:after="0" w:line="276" w:lineRule="auto"/>
        <w:ind w:left="0"/>
        <w:jc w:val="both"/>
        <w:rPr>
          <w:rFonts w:ascii="Verdana" w:eastAsia="Century Gothic" w:hAnsi="Verdana" w:cs="Century Gothic"/>
          <w:b/>
          <w:bCs/>
        </w:rPr>
      </w:pPr>
    </w:p>
    <w:p w14:paraId="15476C4F" w14:textId="77777777" w:rsidR="007A3912" w:rsidRPr="00D37E44" w:rsidRDefault="007A3912" w:rsidP="007A3912">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D37E44">
        <w:rPr>
          <w:rFonts w:ascii="Verdana" w:eastAsia="Century Gothic" w:hAnsi="Verdana" w:cs="Century Gothic"/>
          <w:b/>
          <w:bCs/>
        </w:rPr>
        <w:t>Respuesta:</w:t>
      </w:r>
    </w:p>
    <w:p w14:paraId="7012D263" w14:textId="77777777" w:rsidR="007A3912" w:rsidRDefault="007A3912" w:rsidP="007A3912">
      <w:pPr>
        <w:pStyle w:val="Prrafodelista"/>
        <w:tabs>
          <w:tab w:val="left" w:pos="142"/>
          <w:tab w:val="left" w:pos="284"/>
        </w:tabs>
        <w:spacing w:after="0" w:line="276" w:lineRule="auto"/>
        <w:ind w:left="0"/>
        <w:jc w:val="both"/>
        <w:rPr>
          <w:rFonts w:ascii="Verdana" w:eastAsia="Century Gothic" w:hAnsi="Verdana" w:cs="Century Gothic"/>
          <w:b/>
          <w:bCs/>
        </w:rPr>
      </w:pPr>
    </w:p>
    <w:p w14:paraId="65C1607C" w14:textId="6787CD44" w:rsidR="006C42AD" w:rsidRPr="00D37E44" w:rsidRDefault="005D3EB1" w:rsidP="002E20FE">
      <w:pPr>
        <w:tabs>
          <w:tab w:val="left" w:pos="142"/>
          <w:tab w:val="left" w:pos="284"/>
        </w:tabs>
        <w:spacing w:after="0" w:line="276" w:lineRule="auto"/>
        <w:jc w:val="both"/>
        <w:rPr>
          <w:rFonts w:ascii="Verdana" w:eastAsia="Century Gothic" w:hAnsi="Verdana" w:cs="Century Gothic"/>
        </w:rPr>
      </w:pPr>
      <w:r w:rsidRPr="00606AFB">
        <w:rPr>
          <w:rFonts w:ascii="Verdana" w:hAnsi="Verdana" w:cs="Arial"/>
          <w:color w:val="000000" w:themeColor="text1"/>
          <w:lang w:eastAsia="es-ES" w:bidi="es-ES"/>
        </w:rPr>
        <w:t>El régimen contractual que tienen los</w:t>
      </w:r>
      <w:r w:rsidR="00B23DF8" w:rsidRPr="00606AFB">
        <w:rPr>
          <w:rFonts w:ascii="Verdana" w:hAnsi="Verdana" w:cs="Arial"/>
          <w:color w:val="000000" w:themeColor="text1"/>
          <w:lang w:eastAsia="es-ES" w:bidi="es-ES"/>
        </w:rPr>
        <w:t xml:space="preserve"> Fondos mixtos de promoción de la cultura y de las artes, de conformidad a lo establecido en </w:t>
      </w:r>
      <w:r w:rsidRPr="00606AFB">
        <w:rPr>
          <w:rFonts w:ascii="Verdana" w:hAnsi="Verdana" w:cs="Arial"/>
          <w:color w:val="000000" w:themeColor="text1"/>
          <w:lang w:val="es-ES" w:eastAsia="es-ES" w:bidi="es-ES"/>
        </w:rPr>
        <w:t>el artículo 63 de la Ley 397 de 1997</w:t>
      </w:r>
      <w:r w:rsidR="00B23DF8" w:rsidRPr="00606AFB">
        <w:rPr>
          <w:rFonts w:ascii="Verdana" w:hAnsi="Verdana" w:cs="Arial"/>
          <w:color w:val="000000" w:themeColor="text1"/>
          <w:lang w:eastAsia="es-ES" w:bidi="es-ES"/>
        </w:rPr>
        <w:t xml:space="preserve"> </w:t>
      </w:r>
      <w:r w:rsidR="00606AFB" w:rsidRPr="00606AFB">
        <w:rPr>
          <w:rFonts w:ascii="Verdana" w:hAnsi="Verdana" w:cs="Arial"/>
          <w:color w:val="000000" w:themeColor="text1"/>
          <w:lang w:eastAsia="es-ES" w:bidi="es-ES"/>
        </w:rPr>
        <w:t>y</w:t>
      </w:r>
      <w:r w:rsidR="00B66949">
        <w:rPr>
          <w:rFonts w:ascii="Verdana" w:hAnsi="Verdana" w:cs="Arial"/>
          <w:color w:val="000000" w:themeColor="text1"/>
          <w:lang w:eastAsia="es-ES" w:bidi="es-ES"/>
        </w:rPr>
        <w:t xml:space="preserve"> el a</w:t>
      </w:r>
      <w:r w:rsidR="00B66949" w:rsidRPr="00606AFB">
        <w:rPr>
          <w:rFonts w:ascii="Verdana" w:hAnsi="Verdana" w:cs="Arial"/>
          <w:color w:val="000000" w:themeColor="text1"/>
          <w:lang w:eastAsia="es-ES" w:bidi="es-ES"/>
        </w:rPr>
        <w:t>rtículo 2.2.2.</w:t>
      </w:r>
      <w:r w:rsidR="00773790">
        <w:rPr>
          <w:rFonts w:ascii="Verdana" w:hAnsi="Verdana" w:cs="Arial"/>
          <w:color w:val="000000" w:themeColor="text1"/>
          <w:lang w:eastAsia="es-ES" w:bidi="es-ES"/>
        </w:rPr>
        <w:t>1</w:t>
      </w:r>
      <w:r w:rsidR="00606AFB" w:rsidRPr="00606AFB">
        <w:rPr>
          <w:rFonts w:ascii="Verdana" w:hAnsi="Verdana" w:cs="Arial"/>
          <w:color w:val="000000" w:themeColor="text1"/>
          <w:lang w:eastAsia="es-ES" w:bidi="es-ES"/>
        </w:rPr>
        <w:t xml:space="preserve"> Decreto 1080 de 2015</w:t>
      </w:r>
      <w:r w:rsidR="00606AFB">
        <w:rPr>
          <w:rFonts w:ascii="Verdana" w:hAnsi="Verdana" w:cs="Arial"/>
          <w:color w:val="000000" w:themeColor="text1"/>
          <w:lang w:eastAsia="es-ES" w:bidi="es-ES"/>
        </w:rPr>
        <w:t xml:space="preserve">, </w:t>
      </w:r>
      <w:r w:rsidR="00F166C4">
        <w:rPr>
          <w:rFonts w:ascii="Verdana" w:hAnsi="Verdana" w:cs="Arial"/>
          <w:color w:val="000000" w:themeColor="text1"/>
          <w:lang w:eastAsia="es-ES" w:bidi="es-ES"/>
        </w:rPr>
        <w:t xml:space="preserve">es </w:t>
      </w:r>
      <w:r w:rsidRPr="00D37E44">
        <w:rPr>
          <w:rFonts w:ascii="Verdana" w:hAnsi="Verdana" w:cs="Arial"/>
          <w:color w:val="000000" w:themeColor="text1"/>
          <w:lang w:val="es-ES" w:eastAsia="es-ES" w:bidi="es-ES"/>
        </w:rPr>
        <w:t>el derecho privado. Tal exclusión del régimen jurídico contractual general de las entidades estatales no es absoluta, toda vez que estos fondos al administrar recursos públicos deben respetar los principios de la función administrativa y de la gestión fiscal, de conformidad con el artículo 13 de la Ley 1150 de 2007</w:t>
      </w:r>
      <w:r w:rsidR="002E20FE">
        <w:rPr>
          <w:rFonts w:ascii="Verdana" w:hAnsi="Verdana" w:cs="Arial"/>
          <w:color w:val="000000" w:themeColor="text1"/>
          <w:lang w:val="es-ES" w:eastAsia="es-ES" w:bidi="es-ES"/>
        </w:rPr>
        <w:t>.</w:t>
      </w:r>
    </w:p>
    <w:p w14:paraId="0CE71A6C" w14:textId="77777777" w:rsidR="007A3912" w:rsidRPr="00D37E44" w:rsidRDefault="007A3912" w:rsidP="007A3912">
      <w:pPr>
        <w:pStyle w:val="Prrafodelista"/>
        <w:tabs>
          <w:tab w:val="left" w:pos="142"/>
          <w:tab w:val="left" w:pos="284"/>
        </w:tabs>
        <w:spacing w:after="0" w:line="276" w:lineRule="auto"/>
        <w:ind w:left="0"/>
        <w:jc w:val="both"/>
        <w:rPr>
          <w:rFonts w:ascii="Verdana" w:eastAsia="Century Gothic" w:hAnsi="Verdana" w:cs="Century Gothic"/>
          <w:lang w:val="es-CO"/>
        </w:rPr>
      </w:pPr>
    </w:p>
    <w:p w14:paraId="18ED58FC" w14:textId="77777777" w:rsidR="007A3912" w:rsidRPr="00D37E44" w:rsidRDefault="007A3912" w:rsidP="007A3912">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D37E44">
        <w:rPr>
          <w:rFonts w:ascii="Verdana" w:eastAsia="Century Gothic" w:hAnsi="Verdana" w:cs="Century Gothic"/>
          <w:b/>
          <w:bCs/>
        </w:rPr>
        <w:t>Razones de la respuesta:</w:t>
      </w:r>
    </w:p>
    <w:p w14:paraId="647B746A" w14:textId="77777777" w:rsidR="007A3912" w:rsidRPr="00D37E44" w:rsidRDefault="007A3912" w:rsidP="007A3912">
      <w:pPr>
        <w:spacing w:after="0" w:line="276" w:lineRule="auto"/>
        <w:jc w:val="both"/>
        <w:rPr>
          <w:rFonts w:ascii="Verdana" w:eastAsia="Calibri" w:hAnsi="Verdana" w:cs="Arial"/>
          <w:lang w:val="es-ES" w:eastAsia="es-ES"/>
        </w:rPr>
      </w:pPr>
    </w:p>
    <w:p w14:paraId="6F2E018A" w14:textId="77777777" w:rsidR="007A3912" w:rsidRPr="00D37E44" w:rsidRDefault="007A3912" w:rsidP="007A3912">
      <w:pPr>
        <w:spacing w:after="0" w:line="276" w:lineRule="auto"/>
        <w:jc w:val="both"/>
        <w:rPr>
          <w:rFonts w:ascii="Verdana" w:eastAsia="Calibri" w:hAnsi="Verdana" w:cs="Arial"/>
          <w:lang w:val="es-ES"/>
        </w:rPr>
      </w:pPr>
      <w:r w:rsidRPr="00D37E44">
        <w:rPr>
          <w:rFonts w:ascii="Verdana" w:eastAsia="Calibri" w:hAnsi="Verdana" w:cs="Arial"/>
          <w:lang w:val="es-ES"/>
        </w:rPr>
        <w:t xml:space="preserve">Lo anterior se sustenta en las siguientes consideraciones: </w:t>
      </w:r>
    </w:p>
    <w:p w14:paraId="420C336D" w14:textId="77777777" w:rsidR="00A40FE0" w:rsidRPr="00D37E44" w:rsidRDefault="00A40FE0" w:rsidP="001C2C68">
      <w:pPr>
        <w:widowControl w:val="0"/>
        <w:autoSpaceDE w:val="0"/>
        <w:autoSpaceDN w:val="0"/>
        <w:spacing w:after="120" w:line="276" w:lineRule="auto"/>
        <w:jc w:val="both"/>
        <w:rPr>
          <w:rFonts w:ascii="Verdana" w:hAnsi="Verdana" w:cs="Arial"/>
          <w:color w:val="000000" w:themeColor="text1"/>
          <w:lang w:val="es-ES"/>
        </w:rPr>
      </w:pPr>
    </w:p>
    <w:p w14:paraId="344F9139" w14:textId="4D1F3A4B" w:rsidR="00803A29" w:rsidRPr="00D37E44" w:rsidRDefault="00803A29" w:rsidP="001C2C68">
      <w:pPr>
        <w:widowControl w:val="0"/>
        <w:autoSpaceDE w:val="0"/>
        <w:autoSpaceDN w:val="0"/>
        <w:spacing w:after="120" w:line="276" w:lineRule="auto"/>
        <w:jc w:val="both"/>
        <w:rPr>
          <w:rFonts w:ascii="Verdana" w:hAnsi="Verdana" w:cs="Arial"/>
          <w:color w:val="000000" w:themeColor="text1"/>
          <w:lang w:val="es-ES"/>
        </w:rPr>
      </w:pPr>
      <w:r w:rsidRPr="00D37E44">
        <w:rPr>
          <w:rFonts w:ascii="Verdana" w:hAnsi="Verdana" w:cs="Arial"/>
          <w:color w:val="000000" w:themeColor="text1"/>
          <w:lang w:val="es-ES"/>
        </w:rPr>
        <w:t xml:space="preserve">En desarrollo de los artículos 70, 71 y 72 de la Constitución Política, relativos al deber del Estado de promover, fomentar y proteger la cultura, el arte, la ciencia, la tecnología y el patrimonio cultural de la Nación, el legislador expidió la </w:t>
      </w:r>
      <w:bookmarkStart w:id="4" w:name="_Hlk77082315"/>
      <w:r w:rsidRPr="00D37E44">
        <w:rPr>
          <w:rFonts w:ascii="Verdana" w:hAnsi="Verdana" w:cs="Arial"/>
          <w:color w:val="000000" w:themeColor="text1"/>
          <w:lang w:val="es-ES"/>
        </w:rPr>
        <w:t xml:space="preserve">Ley 397 de 1997 </w:t>
      </w:r>
      <w:bookmarkEnd w:id="4"/>
      <w:r w:rsidRPr="00D37E44">
        <w:rPr>
          <w:rFonts w:ascii="Verdana" w:hAnsi="Verdana" w:cs="Arial"/>
          <w:color w:val="000000" w:themeColor="text1"/>
          <w:lang w:val="es-ES"/>
        </w:rPr>
        <w:t>por la cual se dictaron normas sobre patrimonio cultural, fomentos y estímulos a la cultura y acerca de la creación y estructura del Ministerio de Cultura</w:t>
      </w:r>
      <w:r w:rsidR="001C2C68" w:rsidRPr="00D37E44">
        <w:rPr>
          <w:rFonts w:ascii="Verdana" w:hAnsi="Verdana" w:cs="Arial"/>
          <w:color w:val="000000" w:themeColor="text1"/>
          <w:lang w:val="es-ES"/>
        </w:rPr>
        <w:t>, estableciendo una serie de figuras para a promoción de la cultura y el arte.</w:t>
      </w:r>
    </w:p>
    <w:p w14:paraId="6B830AF3" w14:textId="4784117B" w:rsidR="00803A29" w:rsidRPr="00D37E44" w:rsidRDefault="001C2C68" w:rsidP="00803A29">
      <w:pPr>
        <w:widowControl w:val="0"/>
        <w:autoSpaceDE w:val="0"/>
        <w:autoSpaceDN w:val="0"/>
        <w:spacing w:after="120" w:line="276" w:lineRule="auto"/>
        <w:ind w:firstLine="708"/>
        <w:jc w:val="both"/>
        <w:rPr>
          <w:rFonts w:ascii="Verdana" w:hAnsi="Verdana" w:cs="Arial"/>
          <w:color w:val="000000" w:themeColor="text1"/>
          <w:lang w:val="es-ES"/>
        </w:rPr>
      </w:pPr>
      <w:bookmarkStart w:id="5" w:name="_Hlk74855276"/>
      <w:bookmarkStart w:id="6" w:name="_Hlk77082342"/>
      <w:r w:rsidRPr="00D37E44">
        <w:rPr>
          <w:rFonts w:ascii="Verdana" w:hAnsi="Verdana" w:cs="Arial"/>
          <w:color w:val="000000" w:themeColor="text1"/>
          <w:lang w:val="es-ES"/>
        </w:rPr>
        <w:t>Ahora bien, de manera específica en el</w:t>
      </w:r>
      <w:r w:rsidR="00803A29" w:rsidRPr="00D37E44">
        <w:rPr>
          <w:rFonts w:ascii="Verdana" w:hAnsi="Verdana" w:cs="Arial"/>
          <w:color w:val="000000" w:themeColor="text1"/>
          <w:lang w:val="es-ES"/>
        </w:rPr>
        <w:t xml:space="preserve"> artículo 63 </w:t>
      </w:r>
      <w:bookmarkEnd w:id="5"/>
      <w:r w:rsidRPr="00D37E44">
        <w:rPr>
          <w:rFonts w:ascii="Verdana" w:hAnsi="Verdana" w:cs="Arial"/>
          <w:color w:val="000000" w:themeColor="text1"/>
          <w:lang w:val="es-ES"/>
        </w:rPr>
        <w:t xml:space="preserve">de la mentada ley, </w:t>
      </w:r>
      <w:r w:rsidR="00803A29" w:rsidRPr="00D37E44">
        <w:rPr>
          <w:rFonts w:ascii="Verdana" w:hAnsi="Verdana" w:cs="Arial"/>
          <w:color w:val="000000" w:themeColor="text1"/>
          <w:lang w:val="es-ES"/>
        </w:rPr>
        <w:t xml:space="preserve">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expida el Gobierno Nacional. </w:t>
      </w:r>
    </w:p>
    <w:p w14:paraId="1D4804EA" w14:textId="77777777" w:rsidR="00803A29" w:rsidRPr="00D37E44" w:rsidRDefault="00803A29" w:rsidP="00803A29">
      <w:pPr>
        <w:widowControl w:val="0"/>
        <w:autoSpaceDE w:val="0"/>
        <w:autoSpaceDN w:val="0"/>
        <w:spacing w:after="120" w:line="276" w:lineRule="auto"/>
        <w:ind w:firstLine="708"/>
        <w:jc w:val="both"/>
        <w:rPr>
          <w:rFonts w:ascii="Verdana" w:hAnsi="Verdana" w:cs="Arial"/>
          <w:color w:val="000000" w:themeColor="text1"/>
          <w:lang w:val="es-ES"/>
        </w:rPr>
      </w:pPr>
      <w:r w:rsidRPr="00D37E44">
        <w:rPr>
          <w:rFonts w:ascii="Verdana" w:hAnsi="Verdana" w:cs="Arial"/>
          <w:color w:val="000000" w:themeColor="text1"/>
          <w:lang w:val="es-ES"/>
        </w:rPr>
        <w:t xml:space="preserve">La norma definió que estos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w:t>
      </w:r>
    </w:p>
    <w:bookmarkEnd w:id="6"/>
    <w:p w14:paraId="6EF14991" w14:textId="5B1BEB93" w:rsidR="00803A29" w:rsidRPr="00D37E44" w:rsidRDefault="001C2C68" w:rsidP="00803A29">
      <w:pPr>
        <w:widowControl w:val="0"/>
        <w:autoSpaceDE w:val="0"/>
        <w:autoSpaceDN w:val="0"/>
        <w:spacing w:after="120" w:line="276" w:lineRule="auto"/>
        <w:ind w:firstLine="708"/>
        <w:jc w:val="both"/>
        <w:rPr>
          <w:rFonts w:ascii="Verdana" w:hAnsi="Verdana" w:cs="Arial"/>
          <w:color w:val="000000" w:themeColor="text1"/>
          <w:lang w:val="es-ES"/>
        </w:rPr>
      </w:pPr>
      <w:r w:rsidRPr="00D37E44">
        <w:rPr>
          <w:rFonts w:ascii="Verdana" w:hAnsi="Verdana" w:cs="Arial"/>
          <w:color w:val="000000" w:themeColor="text1"/>
          <w:lang w:val="es-ES"/>
        </w:rPr>
        <w:t>Dicho artículo fue analizado por parte de la Corte Constitucional</w:t>
      </w:r>
      <w:r w:rsidR="00803A29" w:rsidRPr="00D37E44">
        <w:rPr>
          <w:rFonts w:ascii="Verdana" w:hAnsi="Verdana" w:cs="Arial"/>
          <w:color w:val="000000" w:themeColor="text1"/>
          <w:vertAlign w:val="superscript"/>
          <w:lang w:val="es-ES"/>
        </w:rPr>
        <w:footnoteReference w:id="1"/>
      </w:r>
      <w:r w:rsidR="00803A29" w:rsidRPr="00D37E44">
        <w:rPr>
          <w:rFonts w:ascii="Verdana" w:hAnsi="Verdana" w:cs="Arial"/>
          <w:color w:val="000000" w:themeColor="text1"/>
          <w:lang w:val="es-ES"/>
        </w:rPr>
        <w:t xml:space="preserve">, </w:t>
      </w:r>
      <w:r w:rsidRPr="00D37E44">
        <w:rPr>
          <w:rFonts w:ascii="Verdana" w:hAnsi="Verdana" w:cs="Arial"/>
          <w:color w:val="000000" w:themeColor="text1"/>
          <w:lang w:val="es-ES"/>
        </w:rPr>
        <w:t xml:space="preserve">la cual, lo </w:t>
      </w:r>
      <w:r w:rsidR="00803A29" w:rsidRPr="00D37E44">
        <w:rPr>
          <w:rFonts w:ascii="Verdana" w:hAnsi="Verdana" w:cs="Arial"/>
          <w:color w:val="000000" w:themeColor="text1"/>
          <w:lang w:val="es-ES"/>
        </w:rPr>
        <w:t>encontró ajustado a la Constitución Política, por considerar que el legislador tiene la facultad de crear este tipo fondos, como personas jurídicas con régimen especial, para la ejecución de los gastos e inversiones que requiere la materialización del fomento de actividades culturales coordinadas por el Ministerio de Cultura como jefe superior de la administración en su ramo.</w:t>
      </w:r>
    </w:p>
    <w:p w14:paraId="39A0213C" w14:textId="77777777" w:rsidR="00803A29" w:rsidRPr="00D37E44" w:rsidRDefault="00803A29" w:rsidP="00803A29">
      <w:pPr>
        <w:widowControl w:val="0"/>
        <w:autoSpaceDE w:val="0"/>
        <w:autoSpaceDN w:val="0"/>
        <w:spacing w:line="276" w:lineRule="auto"/>
        <w:ind w:firstLine="708"/>
        <w:jc w:val="both"/>
        <w:rPr>
          <w:rFonts w:ascii="Verdana" w:hAnsi="Verdana" w:cs="Arial"/>
          <w:color w:val="000000" w:themeColor="text1"/>
          <w:lang w:val="es-ES"/>
        </w:rPr>
      </w:pPr>
      <w:r w:rsidRPr="00D37E44">
        <w:rPr>
          <w:rFonts w:ascii="Verdana" w:hAnsi="Verdana" w:cs="Arial"/>
          <w:color w:val="000000" w:themeColor="text1"/>
          <w:lang w:val="es-ES"/>
        </w:rPr>
        <w:t xml:space="preserve">La Corte Constitucional también los diferenció de los fondos cuenta creados por el legislador como un mecanismo de manejo de recursos públicos para el cumplimiento de un fin específico y que son administrados por un ente público bajo el régimen aplicable a este último. Al respecto, el Alto Tribunal consideró lo siguiente: </w:t>
      </w:r>
      <w:r w:rsidRPr="00D37E44">
        <w:rPr>
          <w:rFonts w:ascii="Verdana" w:hAnsi="Verdana" w:cs="Arial"/>
          <w:color w:val="000000" w:themeColor="text1"/>
          <w:lang w:val="es-ES"/>
        </w:rPr>
        <w:tab/>
      </w:r>
    </w:p>
    <w:p w14:paraId="69CDBFA4" w14:textId="77777777" w:rsidR="001C2C68" w:rsidRPr="00D37E44" w:rsidRDefault="001C2C68" w:rsidP="00803A29">
      <w:pPr>
        <w:ind w:left="709" w:right="709"/>
        <w:jc w:val="both"/>
        <w:rPr>
          <w:rFonts w:ascii="Verdana" w:hAnsi="Verdana" w:cs="Arial"/>
          <w:color w:val="000000" w:themeColor="text1"/>
          <w:sz w:val="20"/>
          <w:szCs w:val="20"/>
        </w:rPr>
      </w:pPr>
      <w:r w:rsidRPr="00D37E44">
        <w:rPr>
          <w:rFonts w:ascii="Verdana" w:hAnsi="Verdana" w:cs="Arial"/>
          <w:color w:val="000000" w:themeColor="text1"/>
          <w:sz w:val="20"/>
          <w:szCs w:val="20"/>
        </w:rPr>
        <w:lastRenderedPageBreak/>
        <w:t xml:space="preserve">(…) </w:t>
      </w:r>
    </w:p>
    <w:p w14:paraId="4F27C174" w14:textId="416C684A" w:rsidR="00803A29" w:rsidRPr="00D37E44" w:rsidRDefault="00803A29" w:rsidP="00803A29">
      <w:pPr>
        <w:ind w:left="709" w:right="709"/>
        <w:jc w:val="both"/>
        <w:rPr>
          <w:rFonts w:ascii="Verdana" w:hAnsi="Verdana" w:cs="Arial"/>
          <w:color w:val="000000" w:themeColor="text1"/>
          <w:sz w:val="20"/>
          <w:szCs w:val="20"/>
        </w:rPr>
      </w:pPr>
      <w:r w:rsidRPr="00D37E44">
        <w:rPr>
          <w:rFonts w:ascii="Verdana" w:hAnsi="Verdana" w:cs="Arial"/>
          <w:color w:val="000000" w:themeColor="text1"/>
          <w:sz w:val="20"/>
          <w:szCs w:val="20"/>
        </w:rPr>
        <w:t>Con todo, no puede perderse de vista que los fondos mixtos de promoción de la cultura y las artes pertenecen a la categoría de los fondos entidad.  En efecto, la norma legal mencionada es expresa en indicar que dichos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Es precisamente ese carácter institucional de los fondos mixtos explica que el artículo 57 de la Ley 397</w:t>
      </w:r>
      <w:r w:rsidR="009313D2">
        <w:rPr>
          <w:rFonts w:ascii="Verdana" w:hAnsi="Verdana" w:cs="Arial"/>
          <w:color w:val="000000" w:themeColor="text1"/>
          <w:sz w:val="20"/>
          <w:szCs w:val="20"/>
        </w:rPr>
        <w:t>,</w:t>
      </w:r>
      <w:r w:rsidRPr="00D37E44">
        <w:rPr>
          <w:rFonts w:ascii="Verdana" w:hAnsi="Verdana" w:cs="Arial"/>
          <w:color w:val="000000" w:themeColor="text1"/>
          <w:sz w:val="20"/>
          <w:szCs w:val="20"/>
        </w:rPr>
        <w:t xml:space="preserve"> los incluya como una de las entidades que integran el Sistema Nacional de Cultura.</w:t>
      </w:r>
    </w:p>
    <w:p w14:paraId="433563FF" w14:textId="41E7A2D3" w:rsidR="00803A29" w:rsidRPr="00D37E44" w:rsidRDefault="00803A29" w:rsidP="00803A29">
      <w:pPr>
        <w:ind w:left="709" w:right="709"/>
        <w:jc w:val="both"/>
        <w:rPr>
          <w:rFonts w:ascii="Verdana" w:hAnsi="Verdana" w:cs="Arial"/>
          <w:color w:val="000000" w:themeColor="text1"/>
          <w:sz w:val="20"/>
          <w:szCs w:val="20"/>
        </w:rPr>
      </w:pPr>
      <w:r w:rsidRPr="00D37E44">
        <w:rPr>
          <w:rFonts w:ascii="Verdana" w:hAnsi="Verdana" w:cs="Arial"/>
          <w:color w:val="000000" w:themeColor="text1"/>
          <w:sz w:val="20"/>
          <w:szCs w:val="20"/>
        </w:rPr>
        <w:t>En cambio, el Fondo Mixto Manuel Mejía Vallejo de Promoción de la Cultura y las Artes (i) es una cuenta especial sin personería jurídica; (ii) no puede, por ende, comprenderse como una “entidad”; y (iii) su administración corresponde al Ministerio de Cultura, lo que justifica que los contratos que se celebren en relación con el mismo, como lo dispone el artículo 11 objetado, se rijan por el Estatuto General de Contratación de la Administración Pública. Esto por la simple razón que tales procesos contractuales estarán a cargo del Ministerio de Cultura pues el Fondo Mixto, se insiste, carece de personería jurídica</w:t>
      </w:r>
      <w:r w:rsidRPr="00D37E44">
        <w:rPr>
          <w:rFonts w:ascii="Verdana" w:hAnsi="Verdana" w:cs="Arial"/>
          <w:color w:val="000000" w:themeColor="text1"/>
          <w:sz w:val="20"/>
          <w:szCs w:val="20"/>
          <w:vertAlign w:val="superscript"/>
        </w:rPr>
        <w:footnoteReference w:id="2"/>
      </w:r>
      <w:r w:rsidRPr="00D37E44">
        <w:rPr>
          <w:rFonts w:ascii="Verdana" w:hAnsi="Verdana" w:cs="Arial"/>
          <w:color w:val="000000" w:themeColor="text1"/>
          <w:sz w:val="20"/>
          <w:szCs w:val="20"/>
        </w:rPr>
        <w:t>.</w:t>
      </w:r>
      <w:r w:rsidR="001C2C68" w:rsidRPr="00D37E44">
        <w:rPr>
          <w:rFonts w:ascii="Verdana" w:hAnsi="Verdana" w:cs="Arial"/>
          <w:color w:val="000000" w:themeColor="text1"/>
          <w:sz w:val="20"/>
          <w:szCs w:val="20"/>
        </w:rPr>
        <w:t xml:space="preserve"> (…)</w:t>
      </w:r>
      <w:r w:rsidRPr="00D37E44">
        <w:rPr>
          <w:rFonts w:ascii="Verdana" w:hAnsi="Verdana" w:cs="Arial"/>
          <w:color w:val="000000" w:themeColor="text1"/>
          <w:sz w:val="20"/>
          <w:szCs w:val="20"/>
        </w:rPr>
        <w:t xml:space="preserve"> </w:t>
      </w:r>
    </w:p>
    <w:p w14:paraId="7249F3D7" w14:textId="25E0E77D" w:rsidR="00803A29" w:rsidRPr="00D37E44" w:rsidRDefault="00C030DF" w:rsidP="00803A29">
      <w:pPr>
        <w:widowControl w:val="0"/>
        <w:autoSpaceDE w:val="0"/>
        <w:autoSpaceDN w:val="0"/>
        <w:spacing w:line="276" w:lineRule="auto"/>
        <w:ind w:firstLine="709"/>
        <w:jc w:val="both"/>
        <w:rPr>
          <w:rFonts w:ascii="Verdana" w:hAnsi="Verdana" w:cs="Arial"/>
          <w:color w:val="000000" w:themeColor="text1"/>
          <w:lang w:val="es-ES"/>
        </w:rPr>
      </w:pPr>
      <w:r w:rsidRPr="00D37E44">
        <w:rPr>
          <w:rFonts w:ascii="Verdana" w:hAnsi="Verdana" w:cs="Arial"/>
          <w:color w:val="000000" w:themeColor="text1"/>
          <w:lang w:val="es-ES"/>
        </w:rPr>
        <w:t>Seguidamente</w:t>
      </w:r>
      <w:r w:rsidR="001C2C68" w:rsidRPr="00D37E44">
        <w:rPr>
          <w:rFonts w:ascii="Verdana" w:hAnsi="Verdana" w:cs="Arial"/>
          <w:color w:val="000000" w:themeColor="text1"/>
          <w:lang w:val="es-ES"/>
        </w:rPr>
        <w:t>, e</w:t>
      </w:r>
      <w:r w:rsidR="00803A29" w:rsidRPr="00D37E44">
        <w:rPr>
          <w:rFonts w:ascii="Verdana" w:hAnsi="Verdana" w:cs="Arial"/>
          <w:color w:val="000000" w:themeColor="text1"/>
          <w:lang w:val="es-ES"/>
        </w:rPr>
        <w:t xml:space="preserve">l Gobierno Nacional expidió el Decreto 1493 de 1998, compilado en el Decreto 1080 de 2015, con el fin de reglamentar la participación del Ministerio de Cultura en la creación de los fondos mixtos y la celebración de convenios con aquellos. El régimen establecido para estos fondos quedó dispuesto de la siguiente manera: </w:t>
      </w:r>
    </w:p>
    <w:p w14:paraId="75DAA60D" w14:textId="5E7E40EA" w:rsidR="003A3827" w:rsidRPr="00D37E44" w:rsidRDefault="003A3827" w:rsidP="00803A29">
      <w:pPr>
        <w:widowControl w:val="0"/>
        <w:autoSpaceDE w:val="0"/>
        <w:autoSpaceDN w:val="0"/>
        <w:ind w:left="709" w:right="709"/>
        <w:jc w:val="both"/>
        <w:rPr>
          <w:rFonts w:ascii="Verdana" w:hAnsi="Verdana" w:cs="Arial"/>
          <w:iCs/>
          <w:color w:val="000000" w:themeColor="text1"/>
          <w:szCs w:val="20"/>
          <w:lang w:val="es-ES"/>
        </w:rPr>
      </w:pPr>
      <w:r w:rsidRPr="00D37E44">
        <w:rPr>
          <w:rFonts w:ascii="Verdana" w:hAnsi="Verdana" w:cs="Arial"/>
          <w:iCs/>
          <w:color w:val="000000" w:themeColor="text1"/>
          <w:szCs w:val="20"/>
          <w:lang w:val="es-ES"/>
        </w:rPr>
        <w:t>(…)</w:t>
      </w:r>
    </w:p>
    <w:p w14:paraId="1A1C86E1" w14:textId="6CB4F9A8" w:rsidR="00803A29" w:rsidRPr="00D37E44" w:rsidRDefault="00803A29" w:rsidP="00803A29">
      <w:pPr>
        <w:widowControl w:val="0"/>
        <w:autoSpaceDE w:val="0"/>
        <w:autoSpaceDN w:val="0"/>
        <w:ind w:left="709" w:right="709"/>
        <w:jc w:val="both"/>
        <w:rPr>
          <w:rFonts w:ascii="Verdana" w:hAnsi="Verdana" w:cs="Arial"/>
          <w:i/>
          <w:iCs/>
          <w:color w:val="000000" w:themeColor="text1"/>
          <w:sz w:val="20"/>
          <w:szCs w:val="20"/>
          <w:lang w:val="es-ES"/>
        </w:rPr>
      </w:pPr>
      <w:r w:rsidRPr="00D37E44">
        <w:rPr>
          <w:rFonts w:ascii="Verdana" w:hAnsi="Verdana" w:cs="Arial"/>
          <w:i/>
          <w:iCs/>
          <w:color w:val="000000" w:themeColor="text1"/>
          <w:sz w:val="20"/>
          <w:szCs w:val="20"/>
          <w:lang w:val="es-ES"/>
        </w:rPr>
        <w:t>Artículo 2.2.2.1. Naturaleza jurídica. Los Fondos Mixtos de Promoción de la Cultura y las Artes, son entidades con personería jurídica, sin ánimo de lucro, que se constituyen con aportes del sector público y privado, regidos por el derecho privado, en lo que se relaciona con su dirección, administración y régimen de contratación, sin perjuicio del porcentaje de aportes del sector público, y se rigen por la Ley 397 de 1997 y demás normas concordantes.</w:t>
      </w:r>
    </w:p>
    <w:p w14:paraId="11FAA660" w14:textId="77777777" w:rsidR="003A3827" w:rsidRPr="00D37E44" w:rsidRDefault="00803A29" w:rsidP="003A3827">
      <w:pPr>
        <w:widowControl w:val="0"/>
        <w:autoSpaceDE w:val="0"/>
        <w:autoSpaceDN w:val="0"/>
        <w:ind w:left="709" w:right="709"/>
        <w:jc w:val="both"/>
        <w:rPr>
          <w:rFonts w:ascii="Verdana" w:hAnsi="Verdana" w:cs="Arial"/>
          <w:iCs/>
          <w:color w:val="000000" w:themeColor="text1"/>
          <w:szCs w:val="20"/>
          <w:lang w:val="es-ES"/>
        </w:rPr>
      </w:pPr>
      <w:r w:rsidRPr="00D37E44">
        <w:rPr>
          <w:rFonts w:ascii="Verdana" w:hAnsi="Verdana" w:cs="Arial"/>
          <w:i/>
          <w:iCs/>
          <w:color w:val="000000" w:themeColor="text1"/>
          <w:sz w:val="20"/>
          <w:szCs w:val="20"/>
          <w:lang w:val="es-ES"/>
        </w:rPr>
        <w:t xml:space="preserve">Artículo 2.2.2.2. Fondos Mixtos de Territorios Indígenas. Los Fondos Mixtos de los Territorios Indígenas sólo podrán crearse cuando se expida la Ley de Ordenamiento Territorial a que se refiere el artículo 329 de la </w:t>
      </w:r>
      <w:r w:rsidR="003A3827" w:rsidRPr="00D37E44">
        <w:rPr>
          <w:rFonts w:ascii="Verdana" w:hAnsi="Verdana" w:cs="Arial"/>
          <w:iCs/>
          <w:color w:val="000000" w:themeColor="text1"/>
          <w:szCs w:val="20"/>
          <w:lang w:val="es-ES"/>
        </w:rPr>
        <w:t>(…)</w:t>
      </w:r>
    </w:p>
    <w:p w14:paraId="57CD7150" w14:textId="7F80EBFD" w:rsidR="003A3827" w:rsidRPr="00D37E44" w:rsidRDefault="00803A29" w:rsidP="003A3827">
      <w:pPr>
        <w:widowControl w:val="0"/>
        <w:autoSpaceDE w:val="0"/>
        <w:autoSpaceDN w:val="0"/>
        <w:ind w:left="709" w:right="709"/>
        <w:jc w:val="both"/>
        <w:rPr>
          <w:rFonts w:ascii="Verdana" w:hAnsi="Verdana" w:cs="Arial"/>
          <w:iCs/>
          <w:color w:val="000000" w:themeColor="text1"/>
          <w:szCs w:val="20"/>
          <w:lang w:val="es-ES"/>
        </w:rPr>
      </w:pPr>
      <w:r w:rsidRPr="00D37E44">
        <w:rPr>
          <w:rFonts w:ascii="Verdana" w:hAnsi="Verdana" w:cs="Arial"/>
          <w:i/>
          <w:iCs/>
          <w:color w:val="000000" w:themeColor="text1"/>
          <w:sz w:val="20"/>
          <w:szCs w:val="20"/>
          <w:lang w:val="es-ES"/>
        </w:rPr>
        <w:t xml:space="preserve">Artículo 2.2.2.4. Régimen Jurídico. Las normas de este Decreto, en cuanto </w:t>
      </w:r>
      <w:r w:rsidRPr="00D37E44">
        <w:rPr>
          <w:rFonts w:ascii="Verdana" w:hAnsi="Verdana" w:cs="Arial"/>
          <w:i/>
          <w:iCs/>
          <w:color w:val="000000" w:themeColor="text1"/>
          <w:sz w:val="20"/>
          <w:szCs w:val="20"/>
          <w:lang w:val="es-ES"/>
        </w:rPr>
        <w:lastRenderedPageBreak/>
        <w:t>a la naturaleza jurídica, aplicación del régimen de derecho privado en la administración, dirección y contratación y régimen de convenios se extienden al Fondo Mixto de Promoción Cinematográfica y al Fondo Mixto Nacional de Cultura.</w:t>
      </w:r>
      <w:r w:rsidR="003A3827" w:rsidRPr="00D37E44">
        <w:rPr>
          <w:rFonts w:ascii="Verdana" w:hAnsi="Verdana" w:cs="Arial"/>
          <w:iCs/>
          <w:color w:val="000000" w:themeColor="text1"/>
          <w:szCs w:val="20"/>
          <w:lang w:val="es-ES"/>
        </w:rPr>
        <w:t xml:space="preserve"> (…)</w:t>
      </w:r>
    </w:p>
    <w:p w14:paraId="7FA5FF75" w14:textId="77777777" w:rsidR="00803A29" w:rsidRPr="00D37E44" w:rsidRDefault="00803A29" w:rsidP="00803A29">
      <w:pPr>
        <w:widowControl w:val="0"/>
        <w:autoSpaceDE w:val="0"/>
        <w:autoSpaceDN w:val="0"/>
        <w:spacing w:after="120" w:line="276" w:lineRule="auto"/>
        <w:ind w:firstLine="709"/>
        <w:jc w:val="both"/>
        <w:rPr>
          <w:rFonts w:ascii="Verdana" w:hAnsi="Verdana" w:cs="Arial"/>
          <w:color w:val="000000" w:themeColor="text1"/>
          <w:lang w:val="es-ES"/>
        </w:rPr>
      </w:pPr>
      <w:bookmarkStart w:id="7" w:name="_Hlk77948933"/>
      <w:bookmarkStart w:id="8" w:name="_Hlk77082747"/>
      <w:r w:rsidRPr="00D37E44">
        <w:rPr>
          <w:rFonts w:ascii="Verdana" w:hAnsi="Verdana" w:cs="Arial"/>
          <w:color w:val="000000" w:themeColor="text1"/>
          <w:lang w:val="es-ES"/>
        </w:rPr>
        <w:t>De las normas citadas se desprende que los fondos mixtos de promoción de la cultura y las artes tienen un objeto que está dirigido a servir de mecanismo de financiamiento para canalizar recursos orientados a la promoción, creación, investigación y difusión de las diversas manifestaciones artísticas y culturales en las respectivas regiones donde se desarrollen.</w:t>
      </w:r>
    </w:p>
    <w:p w14:paraId="1E463AB2" w14:textId="25C76D2F" w:rsidR="00803A29" w:rsidRPr="00D37E44" w:rsidRDefault="00803A29" w:rsidP="00803A29">
      <w:pPr>
        <w:widowControl w:val="0"/>
        <w:autoSpaceDE w:val="0"/>
        <w:autoSpaceDN w:val="0"/>
        <w:spacing w:line="276" w:lineRule="auto"/>
        <w:ind w:firstLine="709"/>
        <w:jc w:val="both"/>
        <w:rPr>
          <w:rFonts w:ascii="Verdana" w:hAnsi="Verdana" w:cs="Arial"/>
          <w:color w:val="000000" w:themeColor="text1"/>
          <w:lang w:val="es-ES"/>
        </w:rPr>
      </w:pPr>
      <w:bookmarkStart w:id="9" w:name="_Hlk77082647"/>
      <w:bookmarkEnd w:id="7"/>
      <w:r w:rsidRPr="00D37E44">
        <w:rPr>
          <w:rFonts w:ascii="Verdana" w:hAnsi="Verdana" w:cs="Arial"/>
          <w:color w:val="000000" w:themeColor="text1"/>
          <w:lang w:val="es-ES"/>
        </w:rPr>
        <w:t xml:space="preserve">La Corte Constitucional, en la </w:t>
      </w:r>
      <w:r w:rsidR="00452A4E">
        <w:rPr>
          <w:rFonts w:ascii="Verdana" w:hAnsi="Verdana" w:cs="Arial"/>
          <w:color w:val="000000" w:themeColor="text1"/>
          <w:lang w:val="es-ES"/>
        </w:rPr>
        <w:t>S</w:t>
      </w:r>
      <w:r w:rsidRPr="00D37E44">
        <w:rPr>
          <w:rFonts w:ascii="Verdana" w:hAnsi="Verdana" w:cs="Arial"/>
          <w:color w:val="000000" w:themeColor="text1"/>
          <w:lang w:val="es-ES"/>
        </w:rPr>
        <w:t xml:space="preserve">entencia C-230 de 1995, al estudiar la naturaleza jurídica de los fondos para la promoción de la cultura y de las artes, a pesar de su naturaleza mixta y su sometimiento al derecho privado, ha establecido que estos constituyen entidades descentralizadas indirectas o de segundo orden de conformidad con el artículo 96 de la Ley 489 de 1998. </w:t>
      </w:r>
      <w:bookmarkEnd w:id="8"/>
      <w:r w:rsidRPr="00D37E44">
        <w:rPr>
          <w:rFonts w:ascii="Verdana" w:hAnsi="Verdana" w:cs="Arial"/>
          <w:color w:val="000000" w:themeColor="text1"/>
          <w:lang w:val="es-ES"/>
        </w:rPr>
        <w:t xml:space="preserve">En relación con ese punto, esa Corporación sostuvo: </w:t>
      </w:r>
      <w:bookmarkEnd w:id="9"/>
    </w:p>
    <w:p w14:paraId="7FC8A908" w14:textId="18E890A4" w:rsidR="002858B8" w:rsidRPr="00D37E44" w:rsidRDefault="002858B8" w:rsidP="002858B8">
      <w:pPr>
        <w:widowControl w:val="0"/>
        <w:autoSpaceDE w:val="0"/>
        <w:autoSpaceDN w:val="0"/>
        <w:ind w:right="709" w:firstLine="708"/>
        <w:jc w:val="both"/>
        <w:rPr>
          <w:rFonts w:ascii="Verdana" w:hAnsi="Verdana" w:cs="Arial"/>
          <w:color w:val="000000" w:themeColor="text1"/>
          <w:sz w:val="20"/>
          <w:szCs w:val="20"/>
          <w:lang w:val="es-ES"/>
        </w:rPr>
      </w:pPr>
      <w:r w:rsidRPr="00D37E44">
        <w:rPr>
          <w:rFonts w:ascii="Verdana" w:hAnsi="Verdana" w:cs="Arial"/>
          <w:color w:val="000000" w:themeColor="text1"/>
          <w:sz w:val="20"/>
          <w:szCs w:val="20"/>
          <w:lang w:val="es-ES"/>
        </w:rPr>
        <w:t>(…)</w:t>
      </w:r>
    </w:p>
    <w:p w14:paraId="074676A4" w14:textId="51DF54E5" w:rsidR="00803A29" w:rsidRPr="00D37E44" w:rsidRDefault="00803A29" w:rsidP="00803A29">
      <w:pPr>
        <w:widowControl w:val="0"/>
        <w:autoSpaceDE w:val="0"/>
        <w:autoSpaceDN w:val="0"/>
        <w:ind w:left="709" w:right="709"/>
        <w:jc w:val="both"/>
        <w:rPr>
          <w:rFonts w:ascii="Verdana" w:hAnsi="Verdana" w:cs="Arial"/>
          <w:i/>
          <w:iCs/>
          <w:color w:val="000000" w:themeColor="text1"/>
          <w:sz w:val="20"/>
          <w:szCs w:val="20"/>
          <w:lang w:val="es-ES"/>
        </w:rPr>
      </w:pPr>
      <w:r w:rsidRPr="00D37E44">
        <w:rPr>
          <w:rFonts w:ascii="Verdana" w:hAnsi="Verdana" w:cs="Arial"/>
          <w:i/>
          <w:iCs/>
          <w:color w:val="000000" w:themeColor="text1"/>
          <w:sz w:val="20"/>
          <w:szCs w:val="20"/>
          <w:lang w:val="es-ES"/>
        </w:rPr>
        <w:t>Por no ser de creación legal las asociaciones y fundaciones de participación mixta se las considera bajo la denominación genérica de entidades descentralizadas indirectas o de segundo grado, y están sometidas al mismo régimen jurídico aplicable a las corporaciones y fundaciones privadas, esto es, a las prescripciones del código civil y demás normas complementarias.</w:t>
      </w:r>
    </w:p>
    <w:p w14:paraId="354218FE" w14:textId="77777777" w:rsidR="00803A29" w:rsidRPr="00D37E44" w:rsidRDefault="00803A29" w:rsidP="00803A29">
      <w:pPr>
        <w:widowControl w:val="0"/>
        <w:autoSpaceDE w:val="0"/>
        <w:autoSpaceDN w:val="0"/>
        <w:ind w:left="709" w:right="709"/>
        <w:jc w:val="both"/>
        <w:rPr>
          <w:rFonts w:ascii="Verdana" w:hAnsi="Verdana" w:cs="Arial"/>
          <w:i/>
          <w:iCs/>
          <w:color w:val="000000" w:themeColor="text1"/>
          <w:sz w:val="20"/>
          <w:szCs w:val="20"/>
          <w:lang w:val="es-ES"/>
        </w:rPr>
      </w:pPr>
      <w:r w:rsidRPr="00D37E44">
        <w:rPr>
          <w:rFonts w:ascii="Verdana" w:hAnsi="Verdana" w:cs="Arial"/>
          <w:i/>
          <w:iCs/>
          <w:color w:val="000000" w:themeColor="text1"/>
          <w:sz w:val="20"/>
          <w:szCs w:val="20"/>
          <w:lang w:val="es-ES"/>
        </w:rPr>
        <w:t xml:space="preserve">La ley 80 de 1993 sometió a las corporaciones y fundaciones, en las cuales el Estado tenga una participación mayoritaria (art. 2o., ord. 1o, lit. a.), a las reglas principios de la contratación de la administración pública y para ello las reconoció en el literal a) del ordinal 1 del art. 2 de dicha ley como entidades estatales. </w:t>
      </w:r>
    </w:p>
    <w:p w14:paraId="43C59094" w14:textId="77777777" w:rsidR="00803A29" w:rsidRPr="00D37E44" w:rsidRDefault="00803A29" w:rsidP="00803A29">
      <w:pPr>
        <w:widowControl w:val="0"/>
        <w:autoSpaceDE w:val="0"/>
        <w:autoSpaceDN w:val="0"/>
        <w:ind w:left="709" w:right="709"/>
        <w:jc w:val="both"/>
        <w:rPr>
          <w:rFonts w:ascii="Verdana" w:hAnsi="Verdana" w:cs="Arial"/>
          <w:i/>
          <w:iCs/>
          <w:color w:val="000000" w:themeColor="text1"/>
          <w:sz w:val="20"/>
          <w:szCs w:val="20"/>
          <w:lang w:val="es-ES"/>
        </w:rPr>
      </w:pPr>
      <w:r w:rsidRPr="00D37E44">
        <w:rPr>
          <w:rFonts w:ascii="Verdana" w:hAnsi="Verdana" w:cs="Arial"/>
          <w:i/>
          <w:iCs/>
          <w:color w:val="000000" w:themeColor="text1"/>
          <w:sz w:val="20"/>
          <w:szCs w:val="20"/>
          <w:lang w:val="es-ES"/>
        </w:rPr>
        <w:t>[…]</w:t>
      </w:r>
    </w:p>
    <w:p w14:paraId="0D486279" w14:textId="77777777" w:rsidR="00803A29" w:rsidRPr="00D37E44" w:rsidRDefault="00803A29" w:rsidP="00803A29">
      <w:pPr>
        <w:widowControl w:val="0"/>
        <w:autoSpaceDE w:val="0"/>
        <w:autoSpaceDN w:val="0"/>
        <w:ind w:left="709" w:right="709"/>
        <w:jc w:val="both"/>
        <w:rPr>
          <w:rFonts w:ascii="Verdana" w:hAnsi="Verdana" w:cs="Arial"/>
          <w:i/>
          <w:iCs/>
          <w:color w:val="000000" w:themeColor="text1"/>
          <w:sz w:val="20"/>
          <w:szCs w:val="20"/>
          <w:lang w:val="es-ES"/>
        </w:rPr>
      </w:pPr>
      <w:r w:rsidRPr="00D37E44">
        <w:rPr>
          <w:rFonts w:ascii="Verdana" w:hAnsi="Verdana" w:cs="Arial"/>
          <w:i/>
          <w:iCs/>
          <w:color w:val="000000" w:themeColor="text1"/>
          <w:sz w:val="20"/>
          <w:szCs w:val="20"/>
          <w:lang w:val="es-ES"/>
        </w:rPr>
        <w:t>El encuadramiento de las corporaciones y fundaciones en la condición de entidades estatales y la calificación de sus directivos como servidores públicos, para los efectos indicados, no modifica ni la naturaleza de aquéllas ni la situación laboral particular de estos últimos con las referidas entidades, porque unas y otros siguen sometidos al régimen de derecho privado que les es aplicable…</w:t>
      </w:r>
    </w:p>
    <w:p w14:paraId="2CF6743B" w14:textId="77777777" w:rsidR="00803A29" w:rsidRPr="00D37E44" w:rsidRDefault="00803A29" w:rsidP="00803A29">
      <w:pPr>
        <w:widowControl w:val="0"/>
        <w:autoSpaceDE w:val="0"/>
        <w:autoSpaceDN w:val="0"/>
        <w:ind w:left="709" w:right="709"/>
        <w:jc w:val="both"/>
        <w:rPr>
          <w:rFonts w:ascii="Verdana" w:hAnsi="Verdana" w:cs="Arial"/>
          <w:i/>
          <w:iCs/>
          <w:color w:val="000000" w:themeColor="text1"/>
          <w:sz w:val="20"/>
          <w:szCs w:val="20"/>
          <w:lang w:val="es-ES"/>
        </w:rPr>
      </w:pPr>
      <w:r w:rsidRPr="00D37E44">
        <w:rPr>
          <w:rFonts w:ascii="Verdana" w:hAnsi="Verdana" w:cs="Arial"/>
          <w:i/>
          <w:iCs/>
          <w:color w:val="000000" w:themeColor="text1"/>
          <w:sz w:val="20"/>
          <w:szCs w:val="20"/>
          <w:lang w:val="es-ES"/>
        </w:rPr>
        <w:t>[…]</w:t>
      </w:r>
    </w:p>
    <w:p w14:paraId="05D5BEB9" w14:textId="4B34A152" w:rsidR="00803A29" w:rsidRPr="00D37E44" w:rsidRDefault="00803A29" w:rsidP="00803A29">
      <w:pPr>
        <w:widowControl w:val="0"/>
        <w:autoSpaceDE w:val="0"/>
        <w:autoSpaceDN w:val="0"/>
        <w:ind w:left="709" w:right="709"/>
        <w:jc w:val="both"/>
        <w:rPr>
          <w:rFonts w:ascii="Verdana" w:hAnsi="Verdana" w:cs="Arial"/>
          <w:color w:val="000000" w:themeColor="text1"/>
          <w:sz w:val="20"/>
          <w:szCs w:val="20"/>
          <w:lang w:val="es-ES"/>
        </w:rPr>
      </w:pPr>
      <w:r w:rsidRPr="00D37E44">
        <w:rPr>
          <w:rFonts w:ascii="Verdana" w:hAnsi="Verdana" w:cs="Arial"/>
          <w:i/>
          <w:iCs/>
          <w:color w:val="000000" w:themeColor="text1"/>
          <w:sz w:val="20"/>
          <w:szCs w:val="20"/>
          <w:lang w:val="es-ES"/>
        </w:rPr>
        <w:t xml:space="preserve">Las referidas corporaciones y fundaciones de participación mixta han sido reconocidas en nuestro derecho como entidades descentralizadas </w:t>
      </w:r>
      <w:r w:rsidRPr="00D37E44">
        <w:rPr>
          <w:rFonts w:ascii="Verdana" w:hAnsi="Verdana" w:cs="Arial"/>
          <w:i/>
          <w:iCs/>
          <w:color w:val="000000" w:themeColor="text1"/>
          <w:sz w:val="20"/>
          <w:szCs w:val="20"/>
          <w:lang w:val="es-ES"/>
        </w:rPr>
        <w:lastRenderedPageBreak/>
        <w:t>indirectas, es decir, constituyen modalidades de la descentralización por servicios. Por lo tanto, son entes que poseen una vinculación con el Estado en cuanto participan en el cumplimiento de actividades que constituyen objeto de los cometidos propios de éste, hasta el punto de que aquél al asociarse a ellas le entrega a título de aporte o participación bienes o recursos públicos</w:t>
      </w:r>
      <w:r w:rsidR="00671EFE" w:rsidRPr="00D37E44">
        <w:rPr>
          <w:rFonts w:ascii="Verdana" w:hAnsi="Verdana" w:cs="Arial"/>
          <w:i/>
          <w:iCs/>
          <w:color w:val="000000" w:themeColor="text1"/>
          <w:sz w:val="20"/>
          <w:szCs w:val="20"/>
          <w:lang w:val="es-ES"/>
        </w:rPr>
        <w:t>”</w:t>
      </w:r>
      <w:r w:rsidRPr="00D37E44">
        <w:rPr>
          <w:rFonts w:ascii="Verdana" w:hAnsi="Verdana" w:cs="Arial"/>
          <w:i/>
          <w:iCs/>
          <w:color w:val="000000" w:themeColor="text1"/>
          <w:sz w:val="20"/>
          <w:szCs w:val="20"/>
          <w:vertAlign w:val="superscript"/>
          <w:lang w:val="es-ES"/>
        </w:rPr>
        <w:footnoteReference w:id="3"/>
      </w:r>
      <w:r w:rsidRPr="00D37E44">
        <w:rPr>
          <w:rFonts w:ascii="Verdana" w:hAnsi="Verdana" w:cs="Arial"/>
          <w:i/>
          <w:iCs/>
          <w:color w:val="000000" w:themeColor="text1"/>
          <w:sz w:val="20"/>
          <w:szCs w:val="20"/>
          <w:lang w:val="es-ES"/>
        </w:rPr>
        <w:t>.</w:t>
      </w:r>
      <w:r w:rsidR="005763E5" w:rsidRPr="00D37E44">
        <w:rPr>
          <w:rFonts w:ascii="Verdana" w:hAnsi="Verdana" w:cs="Arial"/>
          <w:i/>
          <w:iCs/>
          <w:color w:val="000000" w:themeColor="text1"/>
          <w:sz w:val="20"/>
          <w:szCs w:val="20"/>
          <w:lang w:val="es-ES"/>
        </w:rPr>
        <w:t xml:space="preserve"> </w:t>
      </w:r>
      <w:r w:rsidR="005763E5" w:rsidRPr="00D37E44">
        <w:rPr>
          <w:rFonts w:ascii="Verdana" w:hAnsi="Verdana" w:cs="Arial"/>
          <w:color w:val="000000" w:themeColor="text1"/>
          <w:sz w:val="20"/>
          <w:szCs w:val="20"/>
          <w:lang w:val="es-ES"/>
        </w:rPr>
        <w:t>(…)</w:t>
      </w:r>
    </w:p>
    <w:p w14:paraId="74027707" w14:textId="15D90303" w:rsidR="00803A29" w:rsidRPr="00D37E44" w:rsidRDefault="00803A29" w:rsidP="00803A29">
      <w:pPr>
        <w:widowControl w:val="0"/>
        <w:autoSpaceDE w:val="0"/>
        <w:autoSpaceDN w:val="0"/>
        <w:spacing w:after="120" w:line="276" w:lineRule="auto"/>
        <w:ind w:firstLine="709"/>
        <w:jc w:val="both"/>
        <w:rPr>
          <w:rFonts w:ascii="Verdana" w:hAnsi="Verdana" w:cs="Arial"/>
          <w:color w:val="000000" w:themeColor="text1"/>
          <w:lang w:val="es-ES"/>
        </w:rPr>
      </w:pPr>
      <w:bookmarkStart w:id="10" w:name="_Hlk77948965"/>
      <w:bookmarkStart w:id="11" w:name="_Hlk77084284"/>
      <w:r w:rsidRPr="00D37E44">
        <w:rPr>
          <w:rFonts w:ascii="Verdana" w:hAnsi="Verdana" w:cs="Arial"/>
          <w:color w:val="000000" w:themeColor="text1"/>
          <w:lang w:val="es-ES"/>
        </w:rPr>
        <w:t>Así pues, los fondos mixtos para la promoción de la cultura y de las artes son personas jurídicas sin ánimo de lucro, regidas por el derecho privado principalmente; hacen parte de la estructura de la Administración, como entidades descentralizadas indirectas</w:t>
      </w:r>
      <w:r w:rsidRPr="00D37E44">
        <w:rPr>
          <w:rStyle w:val="Refdenotaalpie"/>
          <w:rFonts w:ascii="Verdana" w:hAnsi="Verdana"/>
        </w:rPr>
        <w:footnoteReference w:id="4"/>
      </w:r>
      <w:r w:rsidRPr="00D37E44">
        <w:rPr>
          <w:rFonts w:ascii="Verdana" w:hAnsi="Verdana" w:cs="Arial"/>
          <w:color w:val="000000" w:themeColor="text1"/>
          <w:lang w:val="es-ES"/>
        </w:rPr>
        <w:t xml:space="preserve"> del orden territorial ―art. 96 Ley 489 de 1998―; desarrollan actividades de interés público; tienen en su conformación aportes públicos y pueden ejecutar recursos de igual naturaleza en desarrollo de su objeto, razón por la cual están sometidas al control fiscal ejercido por la Contraloría General de la República.</w:t>
      </w:r>
    </w:p>
    <w:bookmarkEnd w:id="10"/>
    <w:p w14:paraId="1D9D2DBF" w14:textId="7A153928" w:rsidR="00803A29" w:rsidRPr="00D37E44" w:rsidRDefault="00803A29" w:rsidP="00803A29">
      <w:pPr>
        <w:widowControl w:val="0"/>
        <w:autoSpaceDE w:val="0"/>
        <w:autoSpaceDN w:val="0"/>
        <w:spacing w:after="120" w:line="276" w:lineRule="auto"/>
        <w:ind w:firstLine="709"/>
        <w:jc w:val="both"/>
        <w:rPr>
          <w:rFonts w:ascii="Verdana" w:hAnsi="Verdana" w:cs="Arial"/>
          <w:color w:val="000000" w:themeColor="text1"/>
          <w:lang w:val="es-ES"/>
        </w:rPr>
      </w:pPr>
      <w:r w:rsidRPr="00D37E44">
        <w:rPr>
          <w:rFonts w:ascii="Verdana" w:hAnsi="Verdana" w:cs="Arial"/>
          <w:color w:val="000000" w:themeColor="text1"/>
          <w:lang w:val="es-ES"/>
        </w:rPr>
        <w:t xml:space="preserve"> </w:t>
      </w:r>
      <w:bookmarkStart w:id="12" w:name="_Hlk77949006"/>
      <w:bookmarkEnd w:id="11"/>
      <w:r w:rsidRPr="00D37E44">
        <w:rPr>
          <w:rFonts w:ascii="Verdana" w:hAnsi="Verdana" w:cs="Arial"/>
          <w:color w:val="000000" w:themeColor="text1"/>
          <w:lang w:val="es-ES" w:eastAsia="es-ES" w:bidi="es-ES"/>
        </w:rPr>
        <w:t>En cuanto al régimen contractual de estos fondos, el artículo 63 de la Ley 397 de 1997</w:t>
      </w:r>
      <w:r w:rsidR="00AA7048">
        <w:rPr>
          <w:rFonts w:ascii="Verdana" w:hAnsi="Verdana" w:cs="Arial"/>
          <w:color w:val="000000" w:themeColor="text1"/>
          <w:lang w:val="es-ES" w:eastAsia="es-ES" w:bidi="es-ES"/>
        </w:rPr>
        <w:t>,</w:t>
      </w:r>
      <w:r w:rsidRPr="00D37E44">
        <w:rPr>
          <w:rFonts w:ascii="Verdana" w:hAnsi="Verdana" w:cs="Arial"/>
          <w:color w:val="000000" w:themeColor="text1"/>
          <w:lang w:val="es-ES" w:eastAsia="es-ES" w:bidi="es-ES"/>
        </w:rPr>
        <w:t xml:space="preserve"> definió que el régimen jurídico de sus contratos es el derecho privado. Tal exclusión del régimen jurídico contractual general de las entidades estatales no es absoluta, toda vez que estos fondos al administrar recursos públicos deben respetar los principios de la función administrativa y de la gestión fiscal</w:t>
      </w:r>
      <w:r w:rsidRPr="00D37E44">
        <w:rPr>
          <w:rFonts w:ascii="Verdana" w:hAnsi="Verdana" w:cs="Arial"/>
          <w:color w:val="000000" w:themeColor="text1"/>
          <w:vertAlign w:val="superscript"/>
          <w:lang w:val="es-ES" w:eastAsia="es-ES" w:bidi="es-ES"/>
        </w:rPr>
        <w:footnoteReference w:id="5"/>
      </w:r>
      <w:r w:rsidRPr="00D37E44">
        <w:rPr>
          <w:rFonts w:ascii="Verdana" w:hAnsi="Verdana" w:cs="Arial"/>
          <w:color w:val="000000" w:themeColor="text1"/>
          <w:lang w:val="es-ES" w:eastAsia="es-ES" w:bidi="es-ES"/>
        </w:rPr>
        <w:t>, de conformidad con el artículo 13 de la Ley 1150 de 2007</w:t>
      </w:r>
      <w:r w:rsidRPr="00D37E44">
        <w:rPr>
          <w:rFonts w:ascii="Verdana" w:hAnsi="Verdana" w:cs="Arial"/>
          <w:color w:val="000000" w:themeColor="text1"/>
          <w:vertAlign w:val="superscript"/>
          <w:lang w:val="es-ES" w:eastAsia="es-ES" w:bidi="es-ES"/>
        </w:rPr>
        <w:footnoteReference w:id="6"/>
      </w:r>
      <w:r w:rsidRPr="00D37E44">
        <w:rPr>
          <w:rFonts w:ascii="Verdana" w:hAnsi="Verdana" w:cs="Arial"/>
          <w:color w:val="000000" w:themeColor="text1"/>
          <w:lang w:val="es-ES" w:eastAsia="es-ES" w:bidi="es-ES"/>
        </w:rPr>
        <w:t xml:space="preserve">. </w:t>
      </w:r>
    </w:p>
    <w:bookmarkEnd w:id="12"/>
    <w:p w14:paraId="409F6482" w14:textId="77777777" w:rsidR="002E20FE" w:rsidRDefault="00803A29" w:rsidP="00803A29">
      <w:pPr>
        <w:widowControl w:val="0"/>
        <w:autoSpaceDE w:val="0"/>
        <w:autoSpaceDN w:val="0"/>
        <w:spacing w:after="120" w:line="276" w:lineRule="auto"/>
        <w:ind w:firstLine="709"/>
        <w:jc w:val="both"/>
        <w:rPr>
          <w:rFonts w:ascii="Verdana" w:hAnsi="Verdana" w:cs="Arial"/>
          <w:color w:val="000000" w:themeColor="text1"/>
          <w:lang w:val="es-ES"/>
        </w:rPr>
      </w:pPr>
      <w:r w:rsidRPr="00D37E44">
        <w:rPr>
          <w:rFonts w:ascii="Verdana" w:hAnsi="Verdana" w:cs="Arial"/>
          <w:color w:val="000000" w:themeColor="text1"/>
          <w:lang w:val="es-ES"/>
        </w:rPr>
        <w:t xml:space="preserve">La jurisprudencia del Consejo de Estado se ha pronunciado sobre la imbricación de ordenamientos que confluyen en el régimen contractual de las entidades excluidas del Estatuto General de Contratación de la Administración Pública y ha considerado que el régimen sustantivo del contrato ―derecho privado― no desvanece el sometimiento de la Administración al principio de legalidad y a los principios constitucionales.  </w:t>
      </w:r>
    </w:p>
    <w:p w14:paraId="31F0C8F0" w14:textId="5A5316D2" w:rsidR="00803A29" w:rsidRPr="00D37E44" w:rsidRDefault="00803A29" w:rsidP="00803A29">
      <w:pPr>
        <w:widowControl w:val="0"/>
        <w:autoSpaceDE w:val="0"/>
        <w:autoSpaceDN w:val="0"/>
        <w:spacing w:after="120" w:line="276" w:lineRule="auto"/>
        <w:ind w:firstLine="709"/>
        <w:jc w:val="both"/>
        <w:rPr>
          <w:rFonts w:ascii="Verdana" w:hAnsi="Verdana" w:cs="Arial"/>
          <w:color w:val="000000" w:themeColor="text1"/>
          <w:lang w:val="es-ES"/>
        </w:rPr>
      </w:pPr>
      <w:r w:rsidRPr="00D37E44">
        <w:rPr>
          <w:rFonts w:ascii="Verdana" w:hAnsi="Verdana" w:cs="Arial"/>
          <w:color w:val="000000" w:themeColor="text1"/>
          <w:lang w:val="es-ES"/>
        </w:rPr>
        <w:t xml:space="preserve">Así, por ejemplo, en la actividad precontractual de estas entidades, aun cuando se aplican normas de derecho privado, también se aplican los principios de la función administrativa, situación que puede derivar en la expedición de </w:t>
      </w:r>
      <w:r w:rsidRPr="00D37E44">
        <w:rPr>
          <w:rFonts w:ascii="Verdana" w:hAnsi="Verdana" w:cs="Arial"/>
          <w:color w:val="000000" w:themeColor="text1"/>
          <w:lang w:val="es-ES"/>
        </w:rPr>
        <w:lastRenderedPageBreak/>
        <w:t>verdaderos actos administrativos que se someten al cumplimiento del ordenamiento jurídico y, en consecuencia, son controlables por el juez administrativo, como toda la actividad de la Administración Pública</w:t>
      </w:r>
      <w:r w:rsidRPr="00D37E44">
        <w:rPr>
          <w:rFonts w:ascii="Verdana" w:hAnsi="Verdana" w:cs="Arial"/>
          <w:color w:val="000000" w:themeColor="text1"/>
          <w:vertAlign w:val="superscript"/>
          <w:lang w:val="es-ES"/>
        </w:rPr>
        <w:footnoteReference w:id="7"/>
      </w:r>
      <w:r w:rsidRPr="00D37E44">
        <w:rPr>
          <w:rFonts w:ascii="Verdana" w:hAnsi="Verdana" w:cs="Arial"/>
          <w:color w:val="000000" w:themeColor="text1"/>
          <w:lang w:val="es-ES"/>
        </w:rPr>
        <w:t xml:space="preserve">.     </w:t>
      </w:r>
    </w:p>
    <w:p w14:paraId="7D595CC6" w14:textId="7EF64DE0" w:rsidR="00803A29" w:rsidRPr="00D37E44" w:rsidRDefault="00803A29" w:rsidP="00803A29">
      <w:pPr>
        <w:widowControl w:val="0"/>
        <w:autoSpaceDE w:val="0"/>
        <w:autoSpaceDN w:val="0"/>
        <w:spacing w:line="276" w:lineRule="auto"/>
        <w:ind w:firstLine="709"/>
        <w:jc w:val="both"/>
        <w:rPr>
          <w:rFonts w:ascii="Verdana" w:hAnsi="Verdana" w:cs="Arial"/>
          <w:color w:val="000000" w:themeColor="text1"/>
          <w:lang w:val="es-ES"/>
        </w:rPr>
      </w:pPr>
      <w:bookmarkStart w:id="13" w:name="_Hlk77949048"/>
      <w:r w:rsidRPr="00D37E44">
        <w:rPr>
          <w:rFonts w:ascii="Verdana" w:hAnsi="Verdana" w:cs="Arial"/>
          <w:color w:val="000000" w:themeColor="text1"/>
          <w:lang w:val="es-ES"/>
        </w:rPr>
        <w:t xml:space="preserve">Conforme a lo anterior, </w:t>
      </w:r>
      <w:r w:rsidR="0031032E" w:rsidRPr="00D37E44">
        <w:rPr>
          <w:rFonts w:ascii="Verdana" w:hAnsi="Verdana" w:cs="Arial"/>
          <w:color w:val="000000" w:themeColor="text1"/>
          <w:lang w:val="es-ES"/>
        </w:rPr>
        <w:t xml:space="preserve">es preciso indicar que dentro de la estructura del estado, existe una variedad de fondos mixtos que </w:t>
      </w:r>
      <w:r w:rsidR="006864BE" w:rsidRPr="00D37E44">
        <w:rPr>
          <w:rFonts w:ascii="Verdana" w:hAnsi="Verdana" w:cs="Arial"/>
          <w:color w:val="000000" w:themeColor="text1"/>
          <w:lang w:val="es-ES"/>
        </w:rPr>
        <w:t xml:space="preserve">tienen una normatividad particular, y de lo cual es es necesario precisar que </w:t>
      </w:r>
      <w:r w:rsidRPr="00D37E44">
        <w:rPr>
          <w:rFonts w:ascii="Verdana" w:hAnsi="Verdana" w:cs="Arial"/>
          <w:color w:val="000000" w:themeColor="text1"/>
          <w:lang w:val="es-ES"/>
        </w:rPr>
        <w:t xml:space="preserve">los contratos celebrados por los fondos mixtos para la promoción de la cultura y las artes, en cumplimiento de su objeto, están regidos, de manera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 aplicable.  </w:t>
      </w:r>
    </w:p>
    <w:bookmarkEnd w:id="13"/>
    <w:p w14:paraId="66735235" w14:textId="77777777" w:rsidR="007A3912" w:rsidRPr="00D37E44" w:rsidRDefault="007A3912" w:rsidP="007A3912">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D37E44">
        <w:rPr>
          <w:rFonts w:ascii="Verdana" w:eastAsia="Century Gothic" w:hAnsi="Verdana" w:cs="Century Gothic"/>
          <w:b/>
          <w:bCs/>
        </w:rPr>
        <w:t>Referencias normativas, jurisprudenciales y otras fuentes:</w:t>
      </w:r>
    </w:p>
    <w:p w14:paraId="7125A07B" w14:textId="77777777" w:rsidR="007A3912" w:rsidRPr="00D37E44" w:rsidRDefault="007A3912" w:rsidP="007A3912">
      <w:pPr>
        <w:spacing w:after="0" w:line="276" w:lineRule="auto"/>
        <w:ind w:right="709"/>
        <w:jc w:val="both"/>
        <w:textAlignment w:val="baseline"/>
        <w:rPr>
          <w:rFonts w:ascii="Verdana" w:eastAsia="Times New Roman" w:hAnsi="Verdana" w:cs="Arial"/>
          <w:bCs/>
          <w:lang w:val="es-ES_tradnl" w:eastAsia="es-CO"/>
        </w:rPr>
      </w:pPr>
    </w:p>
    <w:p w14:paraId="720D27E6" w14:textId="506F6E9F" w:rsidR="00C42C86" w:rsidRDefault="00C42C86" w:rsidP="003B3420">
      <w:pPr>
        <w:pStyle w:val="Prrafodelista"/>
        <w:numPr>
          <w:ilvl w:val="0"/>
          <w:numId w:val="21"/>
        </w:numPr>
        <w:rPr>
          <w:rFonts w:ascii="Verdana" w:eastAsia="Aptos" w:hAnsi="Verdana" w:cs="Arial"/>
        </w:rPr>
      </w:pPr>
      <w:r>
        <w:rPr>
          <w:rFonts w:ascii="Verdana" w:eastAsia="Aptos" w:hAnsi="Verdana" w:cs="Arial"/>
        </w:rPr>
        <w:t xml:space="preserve">Constitución Política de Colombia, Artículo 70, Artículo 71, Artículo 72. Disponible en: </w:t>
      </w:r>
      <w:hyperlink r:id="rId12" w:history="1">
        <w:r w:rsidR="009C30F9" w:rsidRPr="006B1022">
          <w:rPr>
            <w:rStyle w:val="Hipervnculo"/>
            <w:rFonts w:ascii="Verdana" w:eastAsia="Aptos" w:hAnsi="Verdana" w:cs="Arial"/>
          </w:rPr>
          <w:t>https://relatoria.colombiacompra.gov.co/normativa/constitucion-politica-de-colombia/</w:t>
        </w:r>
      </w:hyperlink>
    </w:p>
    <w:p w14:paraId="39D8F7ED" w14:textId="68C02551" w:rsidR="00C42C86" w:rsidRDefault="00C42C86" w:rsidP="00C42C86">
      <w:pPr>
        <w:pStyle w:val="Prrafodelista"/>
        <w:rPr>
          <w:rFonts w:ascii="Verdana" w:eastAsia="Aptos" w:hAnsi="Verdana" w:cs="Arial"/>
        </w:rPr>
      </w:pPr>
    </w:p>
    <w:p w14:paraId="4A9B8DC7" w14:textId="2332E1CD" w:rsidR="003B3420" w:rsidRDefault="003B3420" w:rsidP="003B3420">
      <w:pPr>
        <w:pStyle w:val="Prrafodelista"/>
        <w:numPr>
          <w:ilvl w:val="0"/>
          <w:numId w:val="21"/>
        </w:numPr>
        <w:rPr>
          <w:rFonts w:ascii="Verdana" w:eastAsia="Aptos" w:hAnsi="Verdana" w:cs="Arial"/>
        </w:rPr>
      </w:pPr>
      <w:r w:rsidRPr="007B7234">
        <w:rPr>
          <w:rFonts w:ascii="Verdana" w:eastAsia="Aptos" w:hAnsi="Verdana" w:cs="Arial"/>
        </w:rPr>
        <w:t>Ley 80 de 1993, Articulo 6 y 7</w:t>
      </w:r>
      <w:r w:rsidR="00174E35">
        <w:rPr>
          <w:rFonts w:ascii="Verdana" w:eastAsia="Aptos" w:hAnsi="Verdana" w:cs="Arial"/>
        </w:rPr>
        <w:t>. Disponible en:</w:t>
      </w:r>
      <w:r w:rsidR="00AA04B4" w:rsidRPr="00AA04B4">
        <w:t xml:space="preserve"> </w:t>
      </w:r>
      <w:hyperlink r:id="rId13" w:history="1">
        <w:r w:rsidR="00AA04B4" w:rsidRPr="006B1022">
          <w:rPr>
            <w:rStyle w:val="Hipervnculo"/>
            <w:rFonts w:ascii="Verdana" w:eastAsia="Aptos" w:hAnsi="Verdana" w:cs="Arial"/>
          </w:rPr>
          <w:t>https://relatoria.colombiacompra.gov.co/normativa/ley-80-de-1993/</w:t>
        </w:r>
      </w:hyperlink>
    </w:p>
    <w:p w14:paraId="6BFDC989" w14:textId="77777777" w:rsidR="00AA04B4" w:rsidRDefault="00AA04B4" w:rsidP="00AA04B4">
      <w:pPr>
        <w:pStyle w:val="Prrafodelista"/>
        <w:rPr>
          <w:rFonts w:ascii="Verdana" w:eastAsia="Aptos" w:hAnsi="Verdana" w:cs="Arial"/>
        </w:rPr>
      </w:pPr>
    </w:p>
    <w:p w14:paraId="58F5786E" w14:textId="3113993C" w:rsidR="00AA04B4" w:rsidRDefault="00AA04B4" w:rsidP="003B3420">
      <w:pPr>
        <w:pStyle w:val="Prrafodelista"/>
        <w:numPr>
          <w:ilvl w:val="0"/>
          <w:numId w:val="21"/>
        </w:numPr>
        <w:rPr>
          <w:rFonts w:ascii="Verdana" w:eastAsia="Aptos" w:hAnsi="Verdana" w:cs="Arial"/>
        </w:rPr>
      </w:pPr>
      <w:r>
        <w:rPr>
          <w:rFonts w:ascii="Verdana" w:eastAsia="Aptos" w:hAnsi="Verdana" w:cs="Arial"/>
        </w:rPr>
        <w:t xml:space="preserve">Ley </w:t>
      </w:r>
      <w:r w:rsidR="00C42C86">
        <w:rPr>
          <w:rFonts w:ascii="Verdana" w:eastAsia="Aptos" w:hAnsi="Verdana" w:cs="Arial"/>
        </w:rPr>
        <w:t xml:space="preserve">397 de 1997, </w:t>
      </w:r>
      <w:r w:rsidR="009313D2">
        <w:rPr>
          <w:rFonts w:ascii="Verdana" w:eastAsia="Aptos" w:hAnsi="Verdana" w:cs="Arial"/>
        </w:rPr>
        <w:t xml:space="preserve">Artículo 57, </w:t>
      </w:r>
      <w:r w:rsidR="00C42C86">
        <w:rPr>
          <w:rFonts w:ascii="Verdana" w:eastAsia="Aptos" w:hAnsi="Verdana" w:cs="Arial"/>
        </w:rPr>
        <w:t xml:space="preserve">Artículo 63. Disponible en: </w:t>
      </w:r>
      <w:hyperlink r:id="rId14" w:history="1">
        <w:r w:rsidR="001D591A" w:rsidRPr="006B1022">
          <w:rPr>
            <w:rStyle w:val="Hipervnculo"/>
            <w:rFonts w:ascii="Verdana" w:eastAsia="Aptos" w:hAnsi="Verdana" w:cs="Arial"/>
          </w:rPr>
          <w:t>https://relatoria.colombiacompra.gov.co/normativa/ley-397-de-1997/</w:t>
        </w:r>
      </w:hyperlink>
    </w:p>
    <w:p w14:paraId="65466AF9" w14:textId="77777777" w:rsidR="001D591A" w:rsidRPr="001D591A" w:rsidRDefault="001D591A" w:rsidP="001D591A">
      <w:pPr>
        <w:pStyle w:val="Prrafodelista"/>
        <w:rPr>
          <w:rFonts w:ascii="Verdana" w:eastAsia="Aptos" w:hAnsi="Verdana" w:cs="Arial"/>
        </w:rPr>
      </w:pPr>
    </w:p>
    <w:p w14:paraId="00664408" w14:textId="365D89B7" w:rsidR="00966A49" w:rsidRDefault="00966A49" w:rsidP="003B3420">
      <w:pPr>
        <w:pStyle w:val="Prrafodelista"/>
        <w:numPr>
          <w:ilvl w:val="0"/>
          <w:numId w:val="21"/>
        </w:numPr>
        <w:rPr>
          <w:rFonts w:ascii="Verdana" w:eastAsia="Aptos" w:hAnsi="Verdana" w:cs="Arial"/>
        </w:rPr>
      </w:pPr>
      <w:r>
        <w:rPr>
          <w:rFonts w:ascii="Verdana" w:eastAsia="Aptos" w:hAnsi="Verdana" w:cs="Arial"/>
        </w:rPr>
        <w:t>Ley 489 de 1998.</w:t>
      </w:r>
      <w:r w:rsidR="00E47C23">
        <w:rPr>
          <w:rFonts w:ascii="Verdana" w:eastAsia="Aptos" w:hAnsi="Verdana" w:cs="Arial"/>
        </w:rPr>
        <w:t xml:space="preserve"> Artículo 96</w:t>
      </w:r>
      <w:r>
        <w:rPr>
          <w:rFonts w:ascii="Verdana" w:eastAsia="Aptos" w:hAnsi="Verdana" w:cs="Arial"/>
        </w:rPr>
        <w:t xml:space="preserve"> Disponible en: </w:t>
      </w:r>
      <w:hyperlink r:id="rId15" w:history="1">
        <w:r w:rsidR="00C64C16" w:rsidRPr="006B1022">
          <w:rPr>
            <w:rStyle w:val="Hipervnculo"/>
            <w:rFonts w:ascii="Verdana" w:eastAsia="Aptos" w:hAnsi="Verdana" w:cs="Arial"/>
          </w:rPr>
          <w:t>https://relatoria.colombiacompra.gov.co/normativa/ley-489-de-1998/</w:t>
        </w:r>
      </w:hyperlink>
    </w:p>
    <w:p w14:paraId="3D790879" w14:textId="77777777" w:rsidR="00C64C16" w:rsidRPr="00C64C16" w:rsidRDefault="00C64C16" w:rsidP="00C64C16">
      <w:pPr>
        <w:pStyle w:val="Prrafodelista"/>
        <w:rPr>
          <w:rFonts w:ascii="Verdana" w:eastAsia="Aptos" w:hAnsi="Verdana" w:cs="Arial"/>
        </w:rPr>
      </w:pPr>
    </w:p>
    <w:p w14:paraId="0E1F35EB" w14:textId="5BE10342" w:rsidR="00C42C86" w:rsidRDefault="00C42C86" w:rsidP="003B3420">
      <w:pPr>
        <w:pStyle w:val="Prrafodelista"/>
        <w:numPr>
          <w:ilvl w:val="0"/>
          <w:numId w:val="21"/>
        </w:numPr>
        <w:rPr>
          <w:rFonts w:ascii="Verdana" w:eastAsia="Aptos" w:hAnsi="Verdana" w:cs="Arial"/>
        </w:rPr>
      </w:pPr>
      <w:r>
        <w:rPr>
          <w:rFonts w:ascii="Verdana" w:eastAsia="Aptos" w:hAnsi="Verdana" w:cs="Arial"/>
        </w:rPr>
        <w:t xml:space="preserve">Ley 1150 de 2007, Artículo 13. Disponible en: </w:t>
      </w:r>
      <w:hyperlink r:id="rId16" w:history="1">
        <w:r w:rsidR="00AA7048" w:rsidRPr="006B1022">
          <w:rPr>
            <w:rStyle w:val="Hipervnculo"/>
            <w:rFonts w:ascii="Verdana" w:eastAsia="Aptos" w:hAnsi="Verdana" w:cs="Arial"/>
          </w:rPr>
          <w:t>https://relatoria.colombiacompra.gov.co/normativa/ley-1150-de-2007/</w:t>
        </w:r>
      </w:hyperlink>
    </w:p>
    <w:p w14:paraId="6246D736" w14:textId="77777777" w:rsidR="00AA7048" w:rsidRPr="00AA7048" w:rsidRDefault="00AA7048" w:rsidP="00AA7048">
      <w:pPr>
        <w:pStyle w:val="Prrafodelista"/>
        <w:rPr>
          <w:rFonts w:ascii="Verdana" w:eastAsia="Aptos" w:hAnsi="Verdana" w:cs="Arial"/>
        </w:rPr>
      </w:pPr>
    </w:p>
    <w:p w14:paraId="4256DCCE" w14:textId="31D35E9C" w:rsidR="00C42C86" w:rsidRPr="000F2902" w:rsidRDefault="00C42C86" w:rsidP="003B3420">
      <w:pPr>
        <w:pStyle w:val="Prrafodelista"/>
        <w:numPr>
          <w:ilvl w:val="0"/>
          <w:numId w:val="21"/>
        </w:numPr>
        <w:rPr>
          <w:rFonts w:ascii="Verdana" w:eastAsia="Aptos" w:hAnsi="Verdana" w:cs="Arial"/>
        </w:rPr>
      </w:pPr>
      <w:r w:rsidRPr="00606AFB">
        <w:rPr>
          <w:rFonts w:ascii="Verdana" w:hAnsi="Verdana" w:cs="Arial"/>
          <w:color w:val="000000" w:themeColor="text1"/>
          <w:lang w:eastAsia="es-ES" w:bidi="es-ES"/>
        </w:rPr>
        <w:t>Decreto 1080 de 2015</w:t>
      </w:r>
      <w:r>
        <w:rPr>
          <w:rFonts w:ascii="Verdana" w:hAnsi="Verdana" w:cs="Arial"/>
          <w:color w:val="000000" w:themeColor="text1"/>
          <w:lang w:eastAsia="es-ES" w:bidi="es-ES"/>
        </w:rPr>
        <w:t>, Artículo 2.2.2.1.</w:t>
      </w:r>
      <w:r w:rsidR="004378FC">
        <w:rPr>
          <w:rFonts w:ascii="Verdana" w:hAnsi="Verdana" w:cs="Arial"/>
          <w:color w:val="000000" w:themeColor="text1"/>
          <w:lang w:eastAsia="es-ES" w:bidi="es-ES"/>
        </w:rPr>
        <w:t xml:space="preserve"> 2.2.2.2. </w:t>
      </w:r>
      <w:r w:rsidR="004378FC" w:rsidRPr="004378FC">
        <w:rPr>
          <w:rFonts w:ascii="Verdana" w:hAnsi="Verdana" w:cs="Arial"/>
          <w:color w:val="000000" w:themeColor="text1"/>
          <w:lang w:eastAsia="es-ES" w:bidi="es-ES"/>
        </w:rPr>
        <w:t>2.2.2.4</w:t>
      </w:r>
      <w:r w:rsidR="00452A4E">
        <w:rPr>
          <w:rFonts w:ascii="Verdana" w:hAnsi="Verdana" w:cs="Arial"/>
          <w:color w:val="000000" w:themeColor="text1"/>
          <w:lang w:eastAsia="es-ES" w:bidi="es-ES"/>
        </w:rPr>
        <w:t>.</w:t>
      </w:r>
      <w:r>
        <w:rPr>
          <w:rFonts w:ascii="Verdana" w:hAnsi="Verdana" w:cs="Arial"/>
          <w:color w:val="000000" w:themeColor="text1"/>
          <w:lang w:eastAsia="es-ES" w:bidi="es-ES"/>
        </w:rPr>
        <w:t xml:space="preserve"> Disponible en: </w:t>
      </w:r>
      <w:hyperlink r:id="rId17" w:history="1">
        <w:r w:rsidR="000F2902" w:rsidRPr="006B1022">
          <w:rPr>
            <w:rStyle w:val="Hipervnculo"/>
            <w:rFonts w:ascii="Verdana" w:hAnsi="Verdana" w:cs="Arial"/>
            <w:lang w:eastAsia="es-ES" w:bidi="es-ES"/>
          </w:rPr>
          <w:t>https://relatoria.colombiacompra.gov.co/normativa/decreto-1080-de-2015/</w:t>
        </w:r>
      </w:hyperlink>
    </w:p>
    <w:p w14:paraId="5148A524" w14:textId="77777777" w:rsidR="000F2902" w:rsidRPr="000F2902" w:rsidRDefault="000F2902" w:rsidP="000F2902">
      <w:pPr>
        <w:pStyle w:val="Prrafodelista"/>
        <w:rPr>
          <w:rFonts w:ascii="Verdana" w:eastAsia="Aptos" w:hAnsi="Verdana" w:cs="Arial"/>
        </w:rPr>
      </w:pPr>
    </w:p>
    <w:p w14:paraId="7C5D01A4" w14:textId="2BF29FD6" w:rsidR="001D591A" w:rsidRDefault="001D591A" w:rsidP="003B3420">
      <w:pPr>
        <w:pStyle w:val="Prrafodelista"/>
        <w:numPr>
          <w:ilvl w:val="0"/>
          <w:numId w:val="21"/>
        </w:numPr>
        <w:rPr>
          <w:rFonts w:ascii="Verdana" w:eastAsia="Aptos" w:hAnsi="Verdana" w:cs="Arial"/>
        </w:rPr>
      </w:pPr>
      <w:r>
        <w:rPr>
          <w:rFonts w:ascii="Verdana" w:eastAsia="Aptos" w:hAnsi="Verdana" w:cs="Arial"/>
        </w:rPr>
        <w:t xml:space="preserve">Corte Constitucional de Colombia. </w:t>
      </w:r>
      <w:r w:rsidRPr="001D591A">
        <w:rPr>
          <w:rFonts w:ascii="Verdana" w:eastAsia="Aptos" w:hAnsi="Verdana" w:cs="Arial"/>
        </w:rPr>
        <w:t>Sentencia C-671 de 1999. M.P. Alfredo Beltrán Sierra.</w:t>
      </w:r>
      <w:r>
        <w:rPr>
          <w:rFonts w:ascii="Verdana" w:eastAsia="Aptos" w:hAnsi="Verdana" w:cs="Arial"/>
        </w:rPr>
        <w:t xml:space="preserve"> Disponible en: </w:t>
      </w:r>
      <w:hyperlink r:id="rId18" w:history="1">
        <w:r w:rsidR="009313D2" w:rsidRPr="006B1022">
          <w:rPr>
            <w:rStyle w:val="Hipervnculo"/>
            <w:rFonts w:ascii="Verdana" w:eastAsia="Aptos" w:hAnsi="Verdana" w:cs="Arial"/>
          </w:rPr>
          <w:t>https://www.corteconstitucional.gov.co/Relatoria/1999/C-671-99.htm</w:t>
        </w:r>
      </w:hyperlink>
    </w:p>
    <w:p w14:paraId="63649630" w14:textId="77777777" w:rsidR="00452A4E" w:rsidRPr="00452A4E" w:rsidRDefault="00452A4E" w:rsidP="00452A4E">
      <w:pPr>
        <w:pStyle w:val="Prrafodelista"/>
        <w:rPr>
          <w:rFonts w:ascii="Verdana" w:eastAsia="Aptos" w:hAnsi="Verdana" w:cs="Arial"/>
        </w:rPr>
      </w:pPr>
    </w:p>
    <w:p w14:paraId="5BB5AAC1" w14:textId="6CF27BB8" w:rsidR="00452A4E" w:rsidRPr="00677EC0" w:rsidRDefault="00452A4E" w:rsidP="003B3420">
      <w:pPr>
        <w:pStyle w:val="Prrafodelista"/>
        <w:numPr>
          <w:ilvl w:val="0"/>
          <w:numId w:val="21"/>
        </w:numPr>
        <w:rPr>
          <w:rFonts w:ascii="Verdana" w:eastAsia="Aptos" w:hAnsi="Verdana" w:cs="Arial"/>
        </w:rPr>
      </w:pPr>
      <w:r>
        <w:rPr>
          <w:rFonts w:ascii="Verdana" w:hAnsi="Verdana" w:cs="Arial"/>
          <w:color w:val="000000" w:themeColor="text1"/>
        </w:rPr>
        <w:t>Corte Constitucional de Colombia. S</w:t>
      </w:r>
      <w:r w:rsidRPr="00D37E44">
        <w:rPr>
          <w:rFonts w:ascii="Verdana" w:hAnsi="Verdana" w:cs="Arial"/>
          <w:color w:val="000000" w:themeColor="text1"/>
        </w:rPr>
        <w:t>entencia C-230 de 1995</w:t>
      </w:r>
      <w:r>
        <w:rPr>
          <w:rFonts w:ascii="Verdana" w:hAnsi="Verdana" w:cs="Arial"/>
          <w:color w:val="000000" w:themeColor="text1"/>
        </w:rPr>
        <w:t xml:space="preserve">. M.P </w:t>
      </w:r>
      <w:r w:rsidR="00E47C23" w:rsidRPr="00E47C23">
        <w:rPr>
          <w:rFonts w:ascii="Verdana" w:hAnsi="Verdana" w:cs="Arial"/>
          <w:color w:val="000000" w:themeColor="text1"/>
        </w:rPr>
        <w:t>Antonio Barrera Carbonell</w:t>
      </w:r>
      <w:r w:rsidR="00986639">
        <w:rPr>
          <w:rFonts w:ascii="Verdana" w:hAnsi="Verdana" w:cs="Arial"/>
          <w:color w:val="000000" w:themeColor="text1"/>
        </w:rPr>
        <w:t xml:space="preserve">. Disponible en: </w:t>
      </w:r>
      <w:hyperlink r:id="rId19" w:history="1">
        <w:r w:rsidR="00677EC0" w:rsidRPr="006B1022">
          <w:rPr>
            <w:rStyle w:val="Hipervnculo"/>
            <w:rFonts w:ascii="Verdana" w:hAnsi="Verdana" w:cs="Arial"/>
          </w:rPr>
          <w:t>https://www.corteconstitucional.gov.co/relatoria/1995/c-230-95.htm</w:t>
        </w:r>
      </w:hyperlink>
    </w:p>
    <w:p w14:paraId="5ECFFDE9" w14:textId="77777777" w:rsidR="00677EC0" w:rsidRPr="00677EC0" w:rsidRDefault="00677EC0" w:rsidP="00677EC0">
      <w:pPr>
        <w:pStyle w:val="Prrafodelista"/>
        <w:rPr>
          <w:rFonts w:ascii="Verdana" w:eastAsia="Aptos" w:hAnsi="Verdana" w:cs="Arial"/>
        </w:rPr>
      </w:pPr>
    </w:p>
    <w:p w14:paraId="4E8D5C1D" w14:textId="77777777" w:rsidR="007A3912" w:rsidRPr="00D37E44" w:rsidRDefault="007A3912" w:rsidP="007A3912">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D37E44">
        <w:rPr>
          <w:rFonts w:ascii="Verdana" w:eastAsia="Century Gothic" w:hAnsi="Verdana" w:cs="Century Gothic"/>
          <w:b/>
          <w:bCs/>
        </w:rPr>
        <w:t>Doctrina de la Agencia Nacional de Contratación Pública:</w:t>
      </w:r>
    </w:p>
    <w:p w14:paraId="2013A50C" w14:textId="77777777" w:rsidR="007A3912" w:rsidRPr="00D37E44" w:rsidRDefault="007A3912" w:rsidP="007A3912">
      <w:pPr>
        <w:widowControl w:val="0"/>
        <w:autoSpaceDE w:val="0"/>
        <w:autoSpaceDN w:val="0"/>
        <w:spacing w:after="0" w:line="276" w:lineRule="auto"/>
        <w:jc w:val="both"/>
        <w:rPr>
          <w:rFonts w:ascii="Verdana" w:eastAsia="Calibri" w:hAnsi="Verdana" w:cs="Arial"/>
          <w:lang w:val="es-ES" w:eastAsia="es-ES"/>
        </w:rPr>
      </w:pPr>
    </w:p>
    <w:p w14:paraId="29AE6717" w14:textId="1B7EEEDC" w:rsidR="0036504B" w:rsidRPr="007B7234" w:rsidRDefault="0036504B" w:rsidP="0036504B">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sidRPr="00310249">
        <w:rPr>
          <w:rFonts w:ascii="Verdana" w:eastAsia="Calibri" w:hAnsi="Verdana" w:cs="Arial"/>
          <w:shd w:val="clear" w:color="auto" w:fill="FFFFFF"/>
          <w:lang w:val="es-ES"/>
        </w:rPr>
        <w:t>La Agencia Nacional de Contratación Pública – Colombia Compra Eficiente</w:t>
      </w:r>
      <w:r w:rsidRPr="00310249">
        <w:rPr>
          <w:rFonts w:ascii="Verdana" w:eastAsia="Aptos" w:hAnsi="Verdana" w:cs="Times New Roman"/>
          <w:kern w:val="2"/>
          <w:sz w:val="24"/>
          <w:szCs w:val="24"/>
          <w:lang w:val="es-ES_tradnl"/>
          <w14:ligatures w14:val="standardContextual"/>
        </w:rPr>
        <w:t xml:space="preserve"> </w:t>
      </w:r>
      <w:r w:rsidRPr="00310249">
        <w:rPr>
          <w:rFonts w:ascii="Verdana" w:eastAsia="Calibri" w:hAnsi="Verdana" w:cs="Arial"/>
          <w:shd w:val="clear" w:color="auto" w:fill="FFFFFF"/>
          <w:lang w:val="es-ES"/>
        </w:rPr>
        <w:t>analizó</w:t>
      </w:r>
      <w:r w:rsidR="00310249" w:rsidRPr="00310249">
        <w:rPr>
          <w:rFonts w:ascii="Verdana" w:eastAsia="Calibri" w:hAnsi="Verdana" w:cs="Arial"/>
          <w:shd w:val="clear" w:color="auto" w:fill="FFFFFF"/>
          <w:lang w:val="es-ES"/>
        </w:rPr>
        <w:t xml:space="preserve"> la </w:t>
      </w:r>
      <w:r w:rsidR="00310249" w:rsidRPr="00310249">
        <w:rPr>
          <w:rStyle w:val="normaltextrun"/>
          <w:rFonts w:ascii="Verdana" w:hAnsi="Verdana"/>
          <w:color w:val="000000"/>
          <w:bdr w:val="none" w:sz="0" w:space="0" w:color="auto" w:frame="1"/>
        </w:rPr>
        <w:t>naturaleza jurídica de los fondos mixtos para la promoción de la cultura y de las artes, y los convenios o contratos interadministrativos y su regulación, la Agencia Nacional de Contratación Pública –Colombia Compra Eficiente– se refirió al régimen de contratación de las entidades descentralizadas indirectas en el concepto C-486 del 13 de septiembre de 2021</w:t>
      </w:r>
      <w:r w:rsidR="00DC7F3A">
        <w:rPr>
          <w:rStyle w:val="normaltextrun"/>
          <w:rFonts w:ascii="Verdana" w:hAnsi="Verdana"/>
          <w:color w:val="000000"/>
          <w:bdr w:val="none" w:sz="0" w:space="0" w:color="auto" w:frame="1"/>
        </w:rPr>
        <w:t>,</w:t>
      </w:r>
      <w:r w:rsidR="00310249" w:rsidRPr="00310249">
        <w:rPr>
          <w:rStyle w:val="normaltextrun"/>
          <w:rFonts w:ascii="Verdana" w:hAnsi="Verdana"/>
          <w:color w:val="000000"/>
          <w:bdr w:val="none" w:sz="0" w:space="0" w:color="auto" w:frame="1"/>
        </w:rPr>
        <w:t xml:space="preserve"> C-562 del 07 de septiembre de 2022</w:t>
      </w:r>
      <w:r w:rsidR="00DC7F3A">
        <w:rPr>
          <w:rStyle w:val="normaltextrun"/>
          <w:rFonts w:ascii="Verdana" w:hAnsi="Verdana"/>
          <w:color w:val="000000"/>
          <w:bdr w:val="none" w:sz="0" w:space="0" w:color="auto" w:frame="1"/>
        </w:rPr>
        <w:t>, C-</w:t>
      </w:r>
      <w:r w:rsidR="000F1244">
        <w:rPr>
          <w:rStyle w:val="normaltextrun"/>
          <w:rFonts w:ascii="Verdana" w:hAnsi="Verdana"/>
          <w:color w:val="000000"/>
          <w:bdr w:val="none" w:sz="0" w:space="0" w:color="auto" w:frame="1"/>
        </w:rPr>
        <w:t>081 del 05 de junio de 2024 y C</w:t>
      </w:r>
      <w:r w:rsidR="00630528">
        <w:rPr>
          <w:rStyle w:val="normaltextrun"/>
          <w:rFonts w:ascii="Verdana" w:hAnsi="Verdana"/>
          <w:color w:val="000000"/>
          <w:bdr w:val="none" w:sz="0" w:space="0" w:color="auto" w:frame="1"/>
        </w:rPr>
        <w:t>-</w:t>
      </w:r>
      <w:r w:rsidR="000E4C69">
        <w:rPr>
          <w:rStyle w:val="normaltextrun"/>
          <w:rFonts w:ascii="Verdana" w:hAnsi="Verdana"/>
          <w:color w:val="000000"/>
          <w:bdr w:val="none" w:sz="0" w:space="0" w:color="auto" w:frame="1"/>
        </w:rPr>
        <w:t xml:space="preserve">384 </w:t>
      </w:r>
      <w:r w:rsidR="00F96192">
        <w:rPr>
          <w:rStyle w:val="normaltextrun"/>
          <w:rFonts w:ascii="Verdana" w:hAnsi="Verdana"/>
          <w:color w:val="000000"/>
          <w:bdr w:val="none" w:sz="0" w:space="0" w:color="auto" w:frame="1"/>
        </w:rPr>
        <w:t xml:space="preserve">del 06 de septiembre de 2024. </w:t>
      </w:r>
      <w:r w:rsidRPr="007B7234">
        <w:rPr>
          <w:rFonts w:ascii="Verdana" w:eastAsia="Calibri" w:hAnsi="Verdana" w:cs="Arial"/>
          <w:lang w:val="es-ES" w:eastAsia="es-ES_tradnl"/>
        </w:rPr>
        <w:t>Estos</w:t>
      </w:r>
      <w:r w:rsidRPr="007B7234">
        <w:rPr>
          <w:rFonts w:ascii="Verdana" w:hAnsi="Verdana"/>
        </w:rPr>
        <w:t xml:space="preserve"> y otros conceptos se encuentran disponibles para consulta en el Sistema de relatoría de la Agencia, al cual se puede acceder a través del siguiente enlace:</w:t>
      </w:r>
      <w:r w:rsidRPr="007B7234">
        <w:rPr>
          <w:rStyle w:val="normaltextrun"/>
          <w:rFonts w:ascii="Verdana" w:hAnsi="Verdana" w:cs="Arial"/>
          <w:shd w:val="clear" w:color="auto" w:fill="FFFFFF"/>
          <w:lang w:val="es-ES"/>
        </w:rPr>
        <w:t xml:space="preserve"> </w:t>
      </w:r>
      <w:hyperlink r:id="rId20" w:history="1">
        <w:r w:rsidRPr="007B7234">
          <w:rPr>
            <w:rStyle w:val="Hipervnculo"/>
            <w:rFonts w:ascii="Verdana" w:hAnsi="Verdana" w:cs="Arial"/>
            <w:shd w:val="clear" w:color="auto" w:fill="FFFFFF"/>
            <w:lang w:val="es-ES"/>
          </w:rPr>
          <w:t>https://relatoria.colombiacompra.gov.co/busqueda/conceptos</w:t>
        </w:r>
      </w:hyperlink>
    </w:p>
    <w:p w14:paraId="78F23585" w14:textId="77777777" w:rsidR="007A3912" w:rsidRPr="00D37E44" w:rsidRDefault="007A3912" w:rsidP="007A3912">
      <w:pPr>
        <w:widowControl w:val="0"/>
        <w:autoSpaceDE w:val="0"/>
        <w:autoSpaceDN w:val="0"/>
        <w:spacing w:after="0" w:line="276" w:lineRule="auto"/>
        <w:jc w:val="both"/>
        <w:rPr>
          <w:rStyle w:val="normaltextrun"/>
          <w:rFonts w:ascii="Verdana" w:hAnsi="Verdana" w:cs="Arial"/>
          <w:shd w:val="clear" w:color="auto" w:fill="FFFFFF"/>
        </w:rPr>
      </w:pPr>
    </w:p>
    <w:p w14:paraId="7EFC1AE9" w14:textId="068EF65E" w:rsidR="007A3912" w:rsidRPr="00D37E44" w:rsidRDefault="007A3912" w:rsidP="007A3912">
      <w:pPr>
        <w:widowControl w:val="0"/>
        <w:autoSpaceDE w:val="0"/>
        <w:autoSpaceDN w:val="0"/>
        <w:spacing w:after="0" w:line="276" w:lineRule="auto"/>
        <w:jc w:val="both"/>
        <w:rPr>
          <w:rFonts w:ascii="Verdana" w:hAnsi="Verdana" w:cs="Arial"/>
          <w:shd w:val="clear" w:color="auto" w:fill="FFFFFF"/>
        </w:rPr>
      </w:pPr>
      <w:r w:rsidRPr="00D37E44">
        <w:rPr>
          <w:rStyle w:val="normaltextrun"/>
          <w:rFonts w:ascii="Verdana" w:hAnsi="Verdana" w:cs="Arial"/>
          <w:shd w:val="clear" w:color="auto" w:fill="FFFFFF"/>
        </w:rPr>
        <w:t xml:space="preserve">También te </w:t>
      </w:r>
      <w:r w:rsidRPr="00D37E44">
        <w:rPr>
          <w:rFonts w:ascii="Verdana" w:hAnsi="Verdana" w:cs="Arial"/>
          <w:shd w:val="clear" w:color="auto" w:fill="FFFFFF"/>
        </w:rPr>
        <w:t xml:space="preserve">invitamos a revisar la tercera edición </w:t>
      </w:r>
      <w:r w:rsidR="00E77A73" w:rsidRPr="00D37E44">
        <w:rPr>
          <w:rFonts w:ascii="Verdana" w:hAnsi="Verdana" w:cs="Arial"/>
          <w:shd w:val="clear" w:color="auto" w:fill="FFFFFF"/>
        </w:rPr>
        <w:t>del Boletín</w:t>
      </w:r>
      <w:r w:rsidRPr="00D37E44">
        <w:rPr>
          <w:rFonts w:ascii="Verdana" w:hAnsi="Verdana" w:cs="Arial"/>
          <w:shd w:val="clear" w:color="auto" w:fill="FFFFFF"/>
        </w:rPr>
        <w:t xml:space="preserve"> de Relatoría de 2024 en el cual podrás consultar en detalle el marco normativo de documentos tipo:</w:t>
      </w:r>
    </w:p>
    <w:p w14:paraId="28A1568E" w14:textId="77777777" w:rsidR="007A3912" w:rsidRPr="00D37E44" w:rsidRDefault="007A3912" w:rsidP="007A3912">
      <w:pPr>
        <w:widowControl w:val="0"/>
        <w:autoSpaceDE w:val="0"/>
        <w:autoSpaceDN w:val="0"/>
        <w:spacing w:after="0" w:line="276" w:lineRule="auto"/>
        <w:jc w:val="both"/>
        <w:rPr>
          <w:rStyle w:val="normaltextrun"/>
          <w:rFonts w:ascii="Verdana" w:hAnsi="Verdana" w:cs="Arial"/>
          <w:shd w:val="clear" w:color="auto" w:fill="FFFFFF"/>
        </w:rPr>
      </w:pPr>
      <w:hyperlink r:id="rId21" w:tgtFrame="_blank" w:tooltip="Dirección URL original: https://www.colombiacompra.gov.co/sites/cce_public/files/files_2020/boletin_de_realtoria_iii.pdf. Haga clic o pulse si confía en este vínculo." w:history="1">
        <w:r w:rsidRPr="00D37E44">
          <w:rPr>
            <w:rStyle w:val="Hipervnculo"/>
            <w:rFonts w:ascii="Verdana" w:hAnsi="Verdana" w:cs="Arial"/>
            <w:color w:val="auto"/>
            <w:shd w:val="clear" w:color="auto" w:fill="FFFFFF"/>
          </w:rPr>
          <w:t>https://www.colombiacompra.gov.co/sites/cce_public/files/files_2020/boletin_de_realtoria_iii.pdf</w:t>
        </w:r>
      </w:hyperlink>
      <w:r w:rsidRPr="00D37E44">
        <w:rPr>
          <w:rFonts w:ascii="Verdana" w:hAnsi="Verdana" w:cs="Arial"/>
          <w:shd w:val="clear" w:color="auto" w:fill="FFFFFF"/>
        </w:rPr>
        <w:t> ".  </w:t>
      </w:r>
    </w:p>
    <w:p w14:paraId="50824D71" w14:textId="77777777" w:rsidR="007A3912" w:rsidRPr="00D37E44" w:rsidRDefault="007A3912" w:rsidP="007A3912">
      <w:pPr>
        <w:widowControl w:val="0"/>
        <w:autoSpaceDE w:val="0"/>
        <w:autoSpaceDN w:val="0"/>
        <w:spacing w:after="0" w:line="276" w:lineRule="auto"/>
        <w:jc w:val="both"/>
        <w:rPr>
          <w:rStyle w:val="normaltextrun"/>
          <w:rFonts w:ascii="Verdana" w:hAnsi="Verdana" w:cs="Arial"/>
          <w:shd w:val="clear" w:color="auto" w:fill="FFFFFF"/>
        </w:rPr>
      </w:pPr>
    </w:p>
    <w:p w14:paraId="31E1C94F" w14:textId="77777777" w:rsidR="007A3912" w:rsidRPr="00D37E44" w:rsidRDefault="007A3912" w:rsidP="007A3912">
      <w:pPr>
        <w:spacing w:after="0" w:line="240" w:lineRule="auto"/>
        <w:jc w:val="both"/>
        <w:rPr>
          <w:rFonts w:ascii="Verdana" w:hAnsi="Verdana"/>
        </w:rPr>
      </w:pPr>
      <w:r w:rsidRPr="00D37E44">
        <w:rPr>
          <w:rFonts w:ascii="Verdana" w:hAnsi="Verdana"/>
        </w:rPr>
        <w:t xml:space="preserve">Por último, lo invitamos a seguirnos en las redes sociales en las cuales se difunde información institucional: </w:t>
      </w:r>
    </w:p>
    <w:p w14:paraId="3DF4ACB2" w14:textId="77777777" w:rsidR="007A3912" w:rsidRPr="00D37E44" w:rsidRDefault="007A3912" w:rsidP="007A3912">
      <w:pPr>
        <w:spacing w:after="0" w:line="240" w:lineRule="auto"/>
        <w:jc w:val="both"/>
        <w:rPr>
          <w:rFonts w:ascii="Verdana" w:hAnsi="Verdana"/>
        </w:rPr>
      </w:pPr>
    </w:p>
    <w:p w14:paraId="6E921010" w14:textId="77777777" w:rsidR="007A3912" w:rsidRPr="00D37E44" w:rsidRDefault="007A3912" w:rsidP="007A3912">
      <w:pPr>
        <w:spacing w:after="0" w:line="240" w:lineRule="auto"/>
        <w:jc w:val="both"/>
        <w:rPr>
          <w:rFonts w:ascii="Verdana" w:hAnsi="Verdana"/>
        </w:rPr>
      </w:pPr>
      <w:r w:rsidRPr="00D37E44">
        <w:rPr>
          <w:rFonts w:ascii="Verdana" w:hAnsi="Verdana"/>
        </w:rPr>
        <w:t xml:space="preserve">Twitter: </w:t>
      </w:r>
      <w:r w:rsidRPr="00D37E44">
        <w:rPr>
          <w:rFonts w:ascii="Verdana" w:hAnsi="Verdana"/>
          <w:u w:val="single"/>
        </w:rPr>
        <w:t>@colombiacompra</w:t>
      </w:r>
      <w:r w:rsidRPr="00D37E44">
        <w:rPr>
          <w:rFonts w:ascii="Verdana" w:hAnsi="Verdana"/>
        </w:rPr>
        <w:t xml:space="preserve"> </w:t>
      </w:r>
    </w:p>
    <w:p w14:paraId="747F2920" w14:textId="77777777" w:rsidR="007A3912" w:rsidRPr="00D37E44" w:rsidRDefault="007A3912" w:rsidP="007A3912">
      <w:pPr>
        <w:spacing w:after="0" w:line="240" w:lineRule="auto"/>
        <w:jc w:val="both"/>
        <w:rPr>
          <w:rFonts w:ascii="Verdana" w:hAnsi="Verdana"/>
        </w:rPr>
      </w:pPr>
      <w:r w:rsidRPr="00D37E44">
        <w:rPr>
          <w:rFonts w:ascii="Verdana" w:hAnsi="Verdana"/>
        </w:rPr>
        <w:t xml:space="preserve">Facebook: </w:t>
      </w:r>
      <w:r w:rsidRPr="00D37E44">
        <w:rPr>
          <w:rFonts w:ascii="Verdana" w:hAnsi="Verdana"/>
          <w:u w:val="single"/>
        </w:rPr>
        <w:t>ColombiaCompraEficiente</w:t>
      </w:r>
    </w:p>
    <w:p w14:paraId="4D599F72" w14:textId="77777777" w:rsidR="007A3912" w:rsidRPr="00D37E44" w:rsidRDefault="007A3912" w:rsidP="007A3912">
      <w:pPr>
        <w:spacing w:after="0" w:line="240" w:lineRule="auto"/>
        <w:jc w:val="both"/>
        <w:rPr>
          <w:rFonts w:ascii="Verdana" w:hAnsi="Verdana"/>
        </w:rPr>
      </w:pPr>
      <w:r w:rsidRPr="00D37E44">
        <w:rPr>
          <w:rFonts w:ascii="Verdana" w:hAnsi="Verdana"/>
        </w:rPr>
        <w:t xml:space="preserve">LinkedIn: </w:t>
      </w:r>
      <w:r w:rsidRPr="00D37E44">
        <w:rPr>
          <w:rFonts w:ascii="Verdana" w:hAnsi="Verdana"/>
          <w:u w:val="single"/>
        </w:rPr>
        <w:t>Agencia Nacional de Contratación Pública - Colombia Compra Eficiente</w:t>
      </w:r>
      <w:r w:rsidRPr="00D37E44">
        <w:rPr>
          <w:rFonts w:ascii="Verdana" w:hAnsi="Verdana"/>
        </w:rPr>
        <w:t xml:space="preserve"> Instagram: </w:t>
      </w:r>
      <w:r w:rsidRPr="00D37E44">
        <w:rPr>
          <w:rFonts w:ascii="Verdana" w:hAnsi="Verdana"/>
          <w:u w:val="single"/>
        </w:rPr>
        <w:t>@colombiacompraeficiente_cce</w:t>
      </w:r>
    </w:p>
    <w:p w14:paraId="0246A4C5" w14:textId="77777777" w:rsidR="007A3912" w:rsidRPr="00D37E44" w:rsidRDefault="007A3912" w:rsidP="007A3912">
      <w:pPr>
        <w:widowControl w:val="0"/>
        <w:autoSpaceDE w:val="0"/>
        <w:autoSpaceDN w:val="0"/>
        <w:spacing w:after="0" w:line="276" w:lineRule="auto"/>
        <w:jc w:val="both"/>
        <w:rPr>
          <w:rFonts w:ascii="Verdana" w:hAnsi="Verdana"/>
        </w:rPr>
      </w:pPr>
    </w:p>
    <w:p w14:paraId="6B2BD090" w14:textId="77777777" w:rsidR="007A3912" w:rsidRPr="00D37E44" w:rsidRDefault="007A3912" w:rsidP="007A3912">
      <w:pPr>
        <w:spacing w:before="120" w:after="0" w:line="276" w:lineRule="auto"/>
        <w:jc w:val="both"/>
        <w:textAlignment w:val="baseline"/>
        <w:rPr>
          <w:rFonts w:ascii="Verdana" w:eastAsia="Times New Roman" w:hAnsi="Verdana"/>
          <w:bCs/>
          <w:lang w:val="es-ES_tradnl" w:eastAsia="es-CO"/>
        </w:rPr>
      </w:pPr>
      <w:r w:rsidRPr="00D37E44">
        <w:rPr>
          <w:rFonts w:ascii="Verdana" w:hAnsi="Verdana" w:cs="Arial"/>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0AED0A98" w14:textId="77777777" w:rsidR="007A3912" w:rsidRPr="00D37E44" w:rsidRDefault="007A3912" w:rsidP="007A3912">
      <w:pPr>
        <w:widowControl w:val="0"/>
        <w:autoSpaceDE w:val="0"/>
        <w:autoSpaceDN w:val="0"/>
        <w:spacing w:after="0" w:line="276" w:lineRule="auto"/>
        <w:jc w:val="both"/>
        <w:rPr>
          <w:rFonts w:ascii="Verdana" w:eastAsia="Times New Roman" w:hAnsi="Verdana"/>
          <w:lang w:val="es-ES_tradnl" w:eastAsia="es-CO"/>
        </w:rPr>
      </w:pPr>
    </w:p>
    <w:p w14:paraId="2359C1F5" w14:textId="77777777" w:rsidR="005F27A1" w:rsidRPr="001C36AF" w:rsidRDefault="005F27A1" w:rsidP="005F27A1">
      <w:pPr>
        <w:spacing w:after="0" w:line="240" w:lineRule="auto"/>
        <w:rPr>
          <w:rFonts w:ascii="Verdana" w:hAnsi="Verdana"/>
          <w:noProof/>
        </w:rPr>
      </w:pPr>
      <w:r w:rsidRPr="001C36AF">
        <w:rPr>
          <w:rFonts w:ascii="Verdana" w:eastAsia="Times New Roman" w:hAnsi="Verdana" w:cs="Arial"/>
          <w:lang w:eastAsia="es-CO"/>
        </w:rPr>
        <w:t>Atentamente,</w:t>
      </w:r>
    </w:p>
    <w:p w14:paraId="457290EC" w14:textId="61F0D562" w:rsidR="005F27A1" w:rsidRPr="001C36AF" w:rsidRDefault="00032D15" w:rsidP="005F27A1">
      <w:pPr>
        <w:spacing w:after="0" w:line="276" w:lineRule="auto"/>
        <w:jc w:val="center"/>
        <w:rPr>
          <w:rFonts w:ascii="Verdana" w:eastAsia="Times New Roman" w:hAnsi="Verdana" w:cs="Arial"/>
          <w:sz w:val="18"/>
          <w:szCs w:val="18"/>
          <w:lang w:val="es-ES" w:eastAsia="es-CO"/>
        </w:rPr>
      </w:pPr>
      <w:r w:rsidRPr="002C3AD6">
        <w:rPr>
          <w:rFonts w:ascii="Century Gothic" w:hAnsi="Century Gothic"/>
          <w:noProof/>
        </w:rPr>
        <w:drawing>
          <wp:inline distT="0" distB="0" distL="0" distR="0" wp14:anchorId="6F36EDF6" wp14:editId="2953DCA5">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2"/>
                    <a:stretch>
                      <a:fillRect/>
                    </a:stretch>
                  </pic:blipFill>
                  <pic:spPr>
                    <a:xfrm>
                      <a:off x="0" y="0"/>
                      <a:ext cx="3772426" cy="1400370"/>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5F27A1" w:rsidRPr="001C36AF" w14:paraId="5F61679C" w14:textId="77777777" w:rsidTr="00C00072">
        <w:trPr>
          <w:trHeight w:val="409"/>
        </w:trPr>
        <w:tc>
          <w:tcPr>
            <w:tcW w:w="817" w:type="dxa"/>
            <w:tcBorders>
              <w:top w:val="nil"/>
              <w:left w:val="nil"/>
              <w:bottom w:val="nil"/>
              <w:right w:val="nil"/>
            </w:tcBorders>
            <w:vAlign w:val="center"/>
            <w:hideMark/>
          </w:tcPr>
          <w:p w14:paraId="572E7B0F" w14:textId="77777777" w:rsidR="005F27A1" w:rsidRPr="001C36AF" w:rsidRDefault="005F27A1" w:rsidP="00C00072">
            <w:pPr>
              <w:spacing w:after="0" w:line="240" w:lineRule="auto"/>
              <w:jc w:val="both"/>
              <w:rPr>
                <w:rFonts w:ascii="Verdana" w:hAnsi="Verdana" w:cs="Arial"/>
                <w:sz w:val="16"/>
                <w:szCs w:val="16"/>
              </w:rPr>
            </w:pPr>
            <w:r w:rsidRPr="001C36AF">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D33D9AC" w14:textId="77777777" w:rsidR="005F27A1" w:rsidRPr="001C36AF" w:rsidRDefault="005F27A1" w:rsidP="00C00072">
            <w:pPr>
              <w:spacing w:after="0" w:line="240" w:lineRule="auto"/>
              <w:jc w:val="both"/>
              <w:rPr>
                <w:rFonts w:ascii="Verdana" w:hAnsi="Verdana" w:cs="Arial"/>
                <w:sz w:val="16"/>
                <w:szCs w:val="16"/>
              </w:rPr>
            </w:pPr>
            <w:r w:rsidRPr="001C36AF">
              <w:rPr>
                <w:rFonts w:ascii="Verdana" w:hAnsi="Verdana" w:cs="Arial"/>
                <w:sz w:val="16"/>
                <w:szCs w:val="16"/>
              </w:rPr>
              <w:t>Gustavo Hinestroza Martínez</w:t>
            </w:r>
          </w:p>
          <w:p w14:paraId="3932728D" w14:textId="77777777" w:rsidR="005F27A1" w:rsidRPr="001C36AF" w:rsidRDefault="005F27A1" w:rsidP="00C00072">
            <w:pPr>
              <w:spacing w:after="0" w:line="240" w:lineRule="auto"/>
              <w:jc w:val="both"/>
              <w:rPr>
                <w:rFonts w:ascii="Verdana" w:hAnsi="Verdana" w:cs="Arial"/>
                <w:sz w:val="16"/>
                <w:szCs w:val="16"/>
              </w:rPr>
            </w:pPr>
            <w:r w:rsidRPr="001C36AF">
              <w:rPr>
                <w:rFonts w:ascii="Verdana" w:hAnsi="Verdana" w:cs="Arial"/>
                <w:sz w:val="16"/>
                <w:szCs w:val="16"/>
              </w:rPr>
              <w:t>Contratista de la Subdirección de Gestión Contractual</w:t>
            </w:r>
          </w:p>
        </w:tc>
      </w:tr>
      <w:tr w:rsidR="005F27A1" w:rsidRPr="001C36AF" w14:paraId="39DDDB75" w14:textId="77777777" w:rsidTr="00C00072">
        <w:trPr>
          <w:trHeight w:val="409"/>
        </w:trPr>
        <w:tc>
          <w:tcPr>
            <w:tcW w:w="817" w:type="dxa"/>
            <w:tcBorders>
              <w:top w:val="nil"/>
              <w:left w:val="nil"/>
              <w:bottom w:val="nil"/>
              <w:right w:val="nil"/>
            </w:tcBorders>
            <w:vAlign w:val="center"/>
            <w:hideMark/>
          </w:tcPr>
          <w:p w14:paraId="36D0A417" w14:textId="77777777" w:rsidR="005F27A1" w:rsidRPr="001C36AF" w:rsidRDefault="005F27A1" w:rsidP="00C00072">
            <w:pPr>
              <w:spacing w:after="0"/>
              <w:jc w:val="both"/>
              <w:rPr>
                <w:rFonts w:ascii="Verdana" w:hAnsi="Verdana" w:cs="Arial"/>
                <w:sz w:val="16"/>
                <w:szCs w:val="16"/>
              </w:rPr>
            </w:pPr>
            <w:r w:rsidRPr="001C36AF">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D33C6B7" w14:textId="0074D41B" w:rsidR="005F27A1" w:rsidRPr="00D06A28" w:rsidRDefault="00D06A28" w:rsidP="00C00072">
            <w:pPr>
              <w:spacing w:after="0" w:line="240" w:lineRule="auto"/>
              <w:jc w:val="both"/>
              <w:rPr>
                <w:rFonts w:ascii="Verdana" w:hAnsi="Verdana" w:cs="Arial"/>
                <w:sz w:val="16"/>
                <w:szCs w:val="16"/>
              </w:rPr>
            </w:pPr>
            <w:r w:rsidRPr="00D06A28">
              <w:rPr>
                <w:rFonts w:ascii="Verdana" w:hAnsi="Verdana" w:cs="Arial"/>
                <w:sz w:val="16"/>
                <w:szCs w:val="16"/>
              </w:rPr>
              <w:t xml:space="preserve">Juan David Cardenas Cabeza </w:t>
            </w:r>
          </w:p>
          <w:p w14:paraId="465B5BCF" w14:textId="77777777" w:rsidR="005F27A1" w:rsidRPr="001C36AF" w:rsidRDefault="005F27A1" w:rsidP="00C00072">
            <w:pPr>
              <w:spacing w:after="0" w:line="240" w:lineRule="auto"/>
              <w:jc w:val="both"/>
              <w:rPr>
                <w:rFonts w:ascii="Verdana" w:hAnsi="Verdana" w:cs="Arial"/>
                <w:sz w:val="16"/>
                <w:szCs w:val="16"/>
              </w:rPr>
            </w:pPr>
            <w:r w:rsidRPr="001C36AF">
              <w:rPr>
                <w:rFonts w:ascii="Verdana" w:hAnsi="Verdana" w:cs="Arial"/>
                <w:sz w:val="16"/>
                <w:szCs w:val="16"/>
              </w:rPr>
              <w:t>Contratista de la Subdirección de Gestión Contractual</w:t>
            </w:r>
          </w:p>
        </w:tc>
      </w:tr>
      <w:tr w:rsidR="005F27A1" w:rsidRPr="001C36AF" w14:paraId="73B90759" w14:textId="77777777" w:rsidTr="00C00072">
        <w:trPr>
          <w:trHeight w:val="389"/>
        </w:trPr>
        <w:tc>
          <w:tcPr>
            <w:tcW w:w="817" w:type="dxa"/>
            <w:tcBorders>
              <w:top w:val="nil"/>
              <w:left w:val="nil"/>
              <w:bottom w:val="nil"/>
              <w:right w:val="nil"/>
            </w:tcBorders>
            <w:vAlign w:val="center"/>
            <w:hideMark/>
          </w:tcPr>
          <w:p w14:paraId="0F38E761" w14:textId="77777777" w:rsidR="005F27A1" w:rsidRPr="001C36AF" w:rsidRDefault="005F27A1" w:rsidP="00C00072">
            <w:pPr>
              <w:spacing w:after="0" w:line="240" w:lineRule="auto"/>
              <w:jc w:val="both"/>
              <w:rPr>
                <w:rFonts w:ascii="Verdana" w:hAnsi="Verdana" w:cs="Arial"/>
                <w:sz w:val="16"/>
                <w:szCs w:val="16"/>
              </w:rPr>
            </w:pPr>
            <w:r w:rsidRPr="001C36AF">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5113FD8" w14:textId="77777777" w:rsidR="005F27A1" w:rsidRPr="001C36AF" w:rsidRDefault="005F27A1" w:rsidP="00C00072">
            <w:pPr>
              <w:spacing w:after="0"/>
              <w:rPr>
                <w:rFonts w:ascii="Verdana" w:eastAsia="Calibri" w:hAnsi="Verdana" w:cs="Arial"/>
                <w:sz w:val="16"/>
                <w:szCs w:val="16"/>
                <w:lang w:val="pt-BR" w:eastAsia="es-ES"/>
              </w:rPr>
            </w:pPr>
            <w:r w:rsidRPr="001C36AF">
              <w:rPr>
                <w:rFonts w:ascii="Verdana" w:eastAsia="Calibri" w:hAnsi="Verdana" w:cs="Arial"/>
                <w:sz w:val="16"/>
                <w:szCs w:val="16"/>
                <w:lang w:val="pt-BR" w:eastAsia="es-ES"/>
              </w:rPr>
              <w:t>Carolina Quintero Gacharná</w:t>
            </w:r>
          </w:p>
          <w:p w14:paraId="51CAFF82" w14:textId="77777777" w:rsidR="005F27A1" w:rsidRPr="001C36AF" w:rsidRDefault="005F27A1" w:rsidP="00C00072">
            <w:pPr>
              <w:spacing w:after="0" w:line="240" w:lineRule="auto"/>
              <w:jc w:val="both"/>
              <w:rPr>
                <w:rFonts w:ascii="Verdana" w:hAnsi="Verdana" w:cs="Arial"/>
                <w:sz w:val="16"/>
                <w:szCs w:val="16"/>
              </w:rPr>
            </w:pPr>
            <w:r w:rsidRPr="001C36AF">
              <w:rPr>
                <w:rFonts w:ascii="Verdana" w:hAnsi="Verdana" w:cs="Arial"/>
                <w:sz w:val="16"/>
                <w:szCs w:val="16"/>
              </w:rPr>
              <w:t>Subdirectora de Gestión Contractual ANCP – CCE</w:t>
            </w:r>
          </w:p>
        </w:tc>
      </w:tr>
    </w:tbl>
    <w:p w14:paraId="1C5BDB78" w14:textId="77777777" w:rsidR="005F27A1" w:rsidRPr="001C36AF" w:rsidRDefault="005F27A1" w:rsidP="005F27A1">
      <w:pPr>
        <w:spacing w:after="0" w:line="240" w:lineRule="auto"/>
        <w:textAlignment w:val="baseline"/>
        <w:rPr>
          <w:rFonts w:ascii="Verdana" w:eastAsia="Times New Roman" w:hAnsi="Verdana" w:cs="Segoe UI"/>
          <w:sz w:val="18"/>
          <w:szCs w:val="18"/>
          <w:lang w:eastAsia="es-CO"/>
        </w:rPr>
      </w:pPr>
    </w:p>
    <w:p w14:paraId="2B16A3E9" w14:textId="77777777" w:rsidR="00322A85" w:rsidRPr="00D37E44" w:rsidRDefault="00322A85" w:rsidP="00322A85">
      <w:pPr>
        <w:spacing w:after="0" w:line="240" w:lineRule="auto"/>
        <w:ind w:firstLine="2850"/>
        <w:jc w:val="both"/>
        <w:textAlignment w:val="baseline"/>
        <w:rPr>
          <w:rFonts w:ascii="Verdana" w:eastAsia="Times New Roman" w:hAnsi="Verdana" w:cs="Segoe UI"/>
          <w:color w:val="000000"/>
          <w:sz w:val="18"/>
          <w:szCs w:val="18"/>
          <w:lang w:eastAsia="es-CO"/>
        </w:rPr>
      </w:pPr>
      <w:r w:rsidRPr="00D37E44">
        <w:rPr>
          <w:rFonts w:ascii="Verdana" w:eastAsia="Times New Roman" w:hAnsi="Verdana" w:cs="Segoe UI"/>
          <w:color w:val="000000"/>
          <w:lang w:eastAsia="es-CO"/>
        </w:rPr>
        <w:t> </w:t>
      </w:r>
    </w:p>
    <w:p w14:paraId="1E9AF1F8" w14:textId="77777777" w:rsidR="00322A85" w:rsidRPr="00D37E44" w:rsidRDefault="00322A85" w:rsidP="00322A85">
      <w:pPr>
        <w:spacing w:after="0" w:line="240" w:lineRule="auto"/>
        <w:jc w:val="both"/>
        <w:textAlignment w:val="baseline"/>
        <w:rPr>
          <w:rFonts w:ascii="Verdana" w:eastAsia="Times New Roman" w:hAnsi="Verdana" w:cs="Segoe UI"/>
          <w:sz w:val="18"/>
          <w:szCs w:val="18"/>
          <w:lang w:eastAsia="es-CO"/>
        </w:rPr>
      </w:pPr>
      <w:r w:rsidRPr="00D37E44">
        <w:rPr>
          <w:rFonts w:ascii="Verdana" w:eastAsia="Times New Roman" w:hAnsi="Verdana" w:cs="Segoe UI"/>
          <w:lang w:eastAsia="es-CO"/>
        </w:rPr>
        <w:t> </w:t>
      </w:r>
    </w:p>
    <w:p w14:paraId="39418625" w14:textId="77777777" w:rsidR="00322A85" w:rsidRPr="00D37E44" w:rsidRDefault="00322A85" w:rsidP="00322A85">
      <w:pPr>
        <w:spacing w:after="0" w:line="240" w:lineRule="auto"/>
        <w:jc w:val="both"/>
        <w:textAlignment w:val="baseline"/>
        <w:rPr>
          <w:rFonts w:ascii="Verdana" w:eastAsia="Times New Roman" w:hAnsi="Verdana" w:cs="Segoe UI"/>
          <w:sz w:val="18"/>
          <w:szCs w:val="18"/>
          <w:lang w:eastAsia="es-CO"/>
        </w:rPr>
      </w:pPr>
      <w:r w:rsidRPr="00D37E44">
        <w:rPr>
          <w:rFonts w:ascii="Verdana" w:eastAsia="Times New Roman" w:hAnsi="Verdana" w:cs="Segoe UI"/>
          <w:lang w:eastAsia="es-CO"/>
        </w:rPr>
        <w:t> </w:t>
      </w:r>
    </w:p>
    <w:p w14:paraId="21C4051F" w14:textId="77777777" w:rsidR="00322A85" w:rsidRPr="00D37E44" w:rsidRDefault="00322A85" w:rsidP="00322A85">
      <w:pPr>
        <w:spacing w:after="0" w:line="240" w:lineRule="auto"/>
        <w:jc w:val="both"/>
        <w:textAlignment w:val="baseline"/>
        <w:rPr>
          <w:rFonts w:ascii="Verdana" w:eastAsia="Times New Roman" w:hAnsi="Verdana" w:cs="Segoe UI"/>
          <w:sz w:val="18"/>
          <w:szCs w:val="18"/>
          <w:lang w:eastAsia="es-CO"/>
        </w:rPr>
      </w:pPr>
      <w:r w:rsidRPr="00D37E44">
        <w:rPr>
          <w:rFonts w:ascii="Verdana" w:eastAsia="Times New Roman" w:hAnsi="Verdana" w:cs="Segoe UI"/>
          <w:lang w:eastAsia="es-CO"/>
        </w:rPr>
        <w:t> </w:t>
      </w:r>
    </w:p>
    <w:p w14:paraId="78053B45" w14:textId="77777777" w:rsidR="00322A85" w:rsidRPr="00D37E44" w:rsidRDefault="00322A85" w:rsidP="00322A85">
      <w:pPr>
        <w:spacing w:after="0" w:line="240" w:lineRule="auto"/>
        <w:jc w:val="both"/>
        <w:textAlignment w:val="baseline"/>
        <w:rPr>
          <w:rFonts w:ascii="Verdana" w:eastAsia="Times New Roman" w:hAnsi="Verdana" w:cs="Segoe UI"/>
          <w:sz w:val="18"/>
          <w:szCs w:val="18"/>
          <w:lang w:eastAsia="es-CO"/>
        </w:rPr>
      </w:pPr>
      <w:r w:rsidRPr="00D37E44">
        <w:rPr>
          <w:rFonts w:ascii="Verdana" w:eastAsia="Times New Roman" w:hAnsi="Verdana" w:cs="Segoe UI"/>
          <w:lang w:eastAsia="es-CO"/>
        </w:rPr>
        <w:t>  </w:t>
      </w:r>
    </w:p>
    <w:p w14:paraId="0F293BF4" w14:textId="7BBFAB11" w:rsidR="00127233" w:rsidRPr="00D37E44" w:rsidRDefault="00127233" w:rsidP="00665D70">
      <w:pPr>
        <w:spacing w:after="0"/>
        <w:jc w:val="both"/>
        <w:rPr>
          <w:rFonts w:ascii="Verdana" w:hAnsi="Verdana"/>
        </w:rPr>
      </w:pPr>
    </w:p>
    <w:sectPr w:rsidR="00127233" w:rsidRPr="00D37E44" w:rsidSect="007C0C0F">
      <w:headerReference w:type="default" r:id="rId23"/>
      <w:footerReference w:type="default" r:id="rId2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5E534" w14:textId="77777777" w:rsidR="00956D44" w:rsidRDefault="00956D44" w:rsidP="004A1847">
      <w:pPr>
        <w:spacing w:after="0" w:line="240" w:lineRule="auto"/>
      </w:pPr>
      <w:r>
        <w:separator/>
      </w:r>
    </w:p>
  </w:endnote>
  <w:endnote w:type="continuationSeparator" w:id="0">
    <w:p w14:paraId="44AC114A" w14:textId="77777777" w:rsidR="00956D44" w:rsidRDefault="00956D44"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74ABC" w14:textId="77777777" w:rsidR="00956D44" w:rsidRDefault="00956D44" w:rsidP="004A1847">
      <w:pPr>
        <w:spacing w:after="0" w:line="240" w:lineRule="auto"/>
      </w:pPr>
      <w:r>
        <w:separator/>
      </w:r>
    </w:p>
  </w:footnote>
  <w:footnote w:type="continuationSeparator" w:id="0">
    <w:p w14:paraId="0E56D2B3" w14:textId="77777777" w:rsidR="00956D44" w:rsidRDefault="00956D44" w:rsidP="004A1847">
      <w:pPr>
        <w:spacing w:after="0" w:line="240" w:lineRule="auto"/>
      </w:pPr>
      <w:r>
        <w:continuationSeparator/>
      </w:r>
    </w:p>
  </w:footnote>
  <w:footnote w:id="1">
    <w:p w14:paraId="68DFD42A" w14:textId="77777777" w:rsidR="00803A29" w:rsidRPr="00652E52" w:rsidRDefault="00803A29" w:rsidP="00803A29">
      <w:pPr>
        <w:pStyle w:val="Textonotapie"/>
        <w:ind w:firstLine="709"/>
        <w:jc w:val="both"/>
        <w:rPr>
          <w:rFonts w:ascii="Verdana" w:hAnsi="Verdana" w:cs="Arial"/>
          <w:color w:val="000000" w:themeColor="text1"/>
          <w:sz w:val="12"/>
          <w:szCs w:val="12"/>
        </w:rPr>
      </w:pPr>
      <w:r w:rsidRPr="00652E52">
        <w:rPr>
          <w:rStyle w:val="Refdenotaalpie"/>
          <w:rFonts w:ascii="Verdana" w:hAnsi="Verdana" w:cs="Arial"/>
          <w:color w:val="000000" w:themeColor="text1"/>
          <w:sz w:val="12"/>
          <w:szCs w:val="12"/>
        </w:rPr>
        <w:footnoteRef/>
      </w:r>
      <w:r w:rsidRPr="00652E52">
        <w:rPr>
          <w:rFonts w:ascii="Verdana" w:hAnsi="Verdana" w:cs="Arial"/>
          <w:color w:val="000000" w:themeColor="text1"/>
          <w:sz w:val="12"/>
          <w:szCs w:val="12"/>
        </w:rPr>
        <w:t xml:space="preserve"> Sentencia C-671 de 1999. M.P. Alfredo Beltrán Sierra.</w:t>
      </w:r>
    </w:p>
    <w:p w14:paraId="6DDB2E31" w14:textId="77777777" w:rsidR="00803A29" w:rsidRPr="00652E52" w:rsidRDefault="00803A29" w:rsidP="00803A29">
      <w:pPr>
        <w:pStyle w:val="Textonotapie"/>
        <w:ind w:firstLine="709"/>
        <w:jc w:val="both"/>
        <w:rPr>
          <w:rFonts w:ascii="Verdana" w:hAnsi="Verdana" w:cs="Arial"/>
          <w:color w:val="000000" w:themeColor="text1"/>
          <w:sz w:val="12"/>
          <w:szCs w:val="12"/>
          <w:lang w:val="es-CO"/>
        </w:rPr>
      </w:pPr>
    </w:p>
  </w:footnote>
  <w:footnote w:id="2">
    <w:p w14:paraId="0C87ECF7" w14:textId="77777777" w:rsidR="00803A29" w:rsidRPr="00652E52" w:rsidRDefault="00803A29" w:rsidP="00803A29">
      <w:pPr>
        <w:pStyle w:val="Textonotapie"/>
        <w:ind w:firstLine="709"/>
        <w:jc w:val="both"/>
        <w:rPr>
          <w:rFonts w:ascii="Verdana" w:hAnsi="Verdana" w:cs="Arial"/>
          <w:color w:val="000000" w:themeColor="text1"/>
          <w:sz w:val="12"/>
          <w:szCs w:val="12"/>
          <w:lang w:val="es-CO"/>
        </w:rPr>
      </w:pPr>
      <w:r w:rsidRPr="00652E52">
        <w:rPr>
          <w:rStyle w:val="Refdenotaalpie"/>
          <w:rFonts w:ascii="Verdana" w:hAnsi="Verdana" w:cs="Arial"/>
          <w:color w:val="000000" w:themeColor="text1"/>
          <w:sz w:val="12"/>
          <w:szCs w:val="12"/>
        </w:rPr>
        <w:footnoteRef/>
      </w:r>
      <w:r w:rsidRPr="00652E52">
        <w:rPr>
          <w:rFonts w:ascii="Verdana" w:hAnsi="Verdana" w:cs="Arial"/>
          <w:color w:val="000000" w:themeColor="text1"/>
          <w:sz w:val="12"/>
          <w:szCs w:val="12"/>
        </w:rPr>
        <w:t xml:space="preserve"> Corte Constitucional. </w:t>
      </w:r>
      <w:r w:rsidRPr="00652E52">
        <w:rPr>
          <w:rFonts w:ascii="Verdana" w:hAnsi="Verdana" w:cs="Arial"/>
          <w:iCs/>
          <w:color w:val="000000" w:themeColor="text1"/>
          <w:sz w:val="12"/>
          <w:szCs w:val="12"/>
        </w:rPr>
        <w:t>Sentencia C-617 de 2012, M.P. Luis Ernesto Vargas Silva.</w:t>
      </w:r>
    </w:p>
  </w:footnote>
  <w:footnote w:id="3">
    <w:p w14:paraId="559A6737" w14:textId="77777777" w:rsidR="00803A29" w:rsidRPr="00652E52" w:rsidRDefault="00803A29" w:rsidP="00803A29">
      <w:pPr>
        <w:pStyle w:val="Textonotapie"/>
        <w:ind w:firstLine="709"/>
        <w:jc w:val="both"/>
        <w:rPr>
          <w:rFonts w:ascii="Verdana" w:hAnsi="Verdana" w:cs="Arial"/>
          <w:color w:val="000000" w:themeColor="text1"/>
          <w:sz w:val="12"/>
          <w:szCs w:val="12"/>
        </w:rPr>
      </w:pPr>
      <w:r w:rsidRPr="00652E52">
        <w:rPr>
          <w:rStyle w:val="Refdenotaalpie"/>
          <w:rFonts w:ascii="Verdana" w:hAnsi="Verdana" w:cs="Arial"/>
          <w:color w:val="000000" w:themeColor="text1"/>
          <w:sz w:val="12"/>
          <w:szCs w:val="12"/>
        </w:rPr>
        <w:footnoteRef/>
      </w:r>
      <w:r w:rsidRPr="00652E52">
        <w:rPr>
          <w:rFonts w:ascii="Verdana" w:hAnsi="Verdana" w:cs="Arial"/>
          <w:color w:val="000000" w:themeColor="text1"/>
          <w:sz w:val="12"/>
          <w:szCs w:val="12"/>
        </w:rPr>
        <w:t xml:space="preserve"> Corte Constitucional. Sentencia C-230 de 1995. M.P. Antonio Barrera Carbonell.</w:t>
      </w:r>
    </w:p>
    <w:p w14:paraId="1F769E9F" w14:textId="77777777" w:rsidR="00803A29" w:rsidRPr="00652E52" w:rsidRDefault="00803A29" w:rsidP="00803A29">
      <w:pPr>
        <w:pStyle w:val="Textonotapie"/>
        <w:jc w:val="both"/>
        <w:rPr>
          <w:rFonts w:ascii="Verdana" w:hAnsi="Verdana" w:cs="Arial"/>
          <w:color w:val="000000" w:themeColor="text1"/>
          <w:sz w:val="12"/>
          <w:szCs w:val="12"/>
          <w:lang w:val="es-CO"/>
        </w:rPr>
      </w:pPr>
    </w:p>
  </w:footnote>
  <w:footnote w:id="4">
    <w:p w14:paraId="24AFF3FC" w14:textId="77777777" w:rsidR="00803A29" w:rsidRPr="00652E52" w:rsidRDefault="00803A29" w:rsidP="00803A29">
      <w:pPr>
        <w:pStyle w:val="Textonotapie"/>
        <w:ind w:firstLine="709"/>
        <w:jc w:val="both"/>
        <w:rPr>
          <w:rFonts w:ascii="Verdana" w:hAnsi="Verdana" w:cs="Arial"/>
          <w:iCs/>
          <w:color w:val="000000" w:themeColor="text1"/>
          <w:sz w:val="12"/>
          <w:szCs w:val="12"/>
        </w:rPr>
      </w:pPr>
      <w:r w:rsidRPr="00652E52">
        <w:rPr>
          <w:rStyle w:val="Refdenotaalpie"/>
          <w:rFonts w:ascii="Verdana" w:hAnsi="Verdana" w:cs="Arial"/>
          <w:color w:val="000000" w:themeColor="text1"/>
          <w:sz w:val="12"/>
          <w:szCs w:val="12"/>
        </w:rPr>
        <w:footnoteRef/>
      </w:r>
      <w:r w:rsidRPr="00652E52">
        <w:rPr>
          <w:rFonts w:ascii="Verdana" w:hAnsi="Verdana" w:cs="Arial"/>
          <w:iCs/>
          <w:color w:val="000000" w:themeColor="text1"/>
          <w:sz w:val="12"/>
          <w:szCs w:val="12"/>
        </w:rPr>
        <w:t xml:space="preserve"> De tiempo atrás la Sala de Consulta y Servicio Civil del Consejo de Estado ha diferenciado entre “entidades descentralizadas directas”, esto es, aquellas cuya creación es obra de la ley, la ordenanza o el acuerdo y “entidades descentralizadas indirectas”, es decir, las que surgen por la voluntad asociativa de los entes públicos entre sí o con la intervención de particulares, previa autorización legal”. Consejo de Estado. Sala de Consulta y Servicio Civil. Concepto del 16 de febrero de 2016, rad. 2015-00110-00(2259). C.P. Álvaro Namén Vargas.</w:t>
      </w:r>
    </w:p>
    <w:p w14:paraId="0D2FC332" w14:textId="77777777" w:rsidR="00803A29" w:rsidRPr="00652E52" w:rsidRDefault="00803A29" w:rsidP="00803A29">
      <w:pPr>
        <w:pStyle w:val="Textonotapie"/>
        <w:ind w:firstLine="709"/>
        <w:jc w:val="both"/>
        <w:rPr>
          <w:rFonts w:ascii="Verdana" w:hAnsi="Verdana" w:cs="Arial"/>
          <w:color w:val="000000" w:themeColor="text1"/>
          <w:sz w:val="12"/>
          <w:szCs w:val="12"/>
          <w:lang w:val="es-CO"/>
        </w:rPr>
      </w:pPr>
    </w:p>
  </w:footnote>
  <w:footnote w:id="5">
    <w:p w14:paraId="7C6014ED" w14:textId="77777777" w:rsidR="00803A29" w:rsidRPr="00652E52" w:rsidRDefault="00803A29" w:rsidP="00803A29">
      <w:pPr>
        <w:pStyle w:val="Textonotapie"/>
        <w:ind w:firstLine="709"/>
        <w:jc w:val="both"/>
        <w:rPr>
          <w:rFonts w:ascii="Verdana" w:hAnsi="Verdana" w:cs="Arial"/>
          <w:iCs/>
          <w:color w:val="000000" w:themeColor="text1"/>
          <w:sz w:val="12"/>
          <w:szCs w:val="12"/>
        </w:rPr>
      </w:pPr>
      <w:r w:rsidRPr="00652E52">
        <w:rPr>
          <w:rStyle w:val="Refdenotaalpie"/>
          <w:rFonts w:ascii="Verdana" w:hAnsi="Verdana" w:cs="Arial"/>
          <w:color w:val="000000" w:themeColor="text1"/>
          <w:sz w:val="12"/>
          <w:szCs w:val="12"/>
        </w:rPr>
        <w:footnoteRef/>
      </w:r>
      <w:r w:rsidRPr="00652E52">
        <w:rPr>
          <w:rFonts w:ascii="Verdana" w:hAnsi="Verdana" w:cs="Arial"/>
          <w:iCs/>
          <w:color w:val="000000" w:themeColor="text1"/>
          <w:sz w:val="12"/>
          <w:szCs w:val="12"/>
        </w:rPr>
        <w:t xml:space="preserve"> Definición legal que hoy puede encontrarse en el artículo 3 del CPACA.</w:t>
      </w:r>
    </w:p>
    <w:p w14:paraId="0D0FB80B" w14:textId="77777777" w:rsidR="00803A29" w:rsidRPr="00652E52" w:rsidRDefault="00803A29" w:rsidP="00803A29">
      <w:pPr>
        <w:pStyle w:val="Textonotapie"/>
        <w:ind w:firstLine="709"/>
        <w:jc w:val="both"/>
        <w:rPr>
          <w:rFonts w:ascii="Verdana" w:hAnsi="Verdana" w:cs="Arial"/>
          <w:iCs/>
          <w:color w:val="000000" w:themeColor="text1"/>
          <w:sz w:val="12"/>
          <w:szCs w:val="12"/>
        </w:rPr>
      </w:pPr>
    </w:p>
  </w:footnote>
  <w:footnote w:id="6">
    <w:p w14:paraId="2F143FDC" w14:textId="77777777" w:rsidR="00803A29" w:rsidRPr="00652E52" w:rsidRDefault="00803A29" w:rsidP="00803A29">
      <w:pPr>
        <w:pStyle w:val="Textonotapie"/>
        <w:ind w:firstLine="709"/>
        <w:jc w:val="both"/>
        <w:rPr>
          <w:rFonts w:ascii="Verdana" w:hAnsi="Verdana" w:cs="Arial"/>
          <w:color w:val="000000" w:themeColor="text1"/>
          <w:sz w:val="12"/>
          <w:szCs w:val="12"/>
        </w:rPr>
      </w:pPr>
      <w:r w:rsidRPr="00652E52">
        <w:rPr>
          <w:rStyle w:val="Refdenotaalpie"/>
          <w:rFonts w:ascii="Verdana" w:hAnsi="Verdana" w:cs="Arial"/>
          <w:color w:val="000000" w:themeColor="text1"/>
          <w:sz w:val="12"/>
          <w:szCs w:val="12"/>
        </w:rPr>
        <w:footnoteRef/>
      </w:r>
      <w:r w:rsidRPr="00652E52">
        <w:rPr>
          <w:rFonts w:ascii="Verdana" w:hAnsi="Verdana" w:cs="Arial"/>
          <w:color w:val="000000" w:themeColor="text1"/>
          <w:sz w:val="12"/>
          <w:szCs w:val="12"/>
        </w:rPr>
        <w:t xml:space="preserve"> “Artículo 13. 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36E2A7CD" w14:textId="77777777" w:rsidR="00803A29" w:rsidRPr="00652E52" w:rsidRDefault="00803A29" w:rsidP="00803A29">
      <w:pPr>
        <w:pStyle w:val="Textonotapie"/>
        <w:ind w:firstLine="709"/>
        <w:jc w:val="both"/>
        <w:rPr>
          <w:rFonts w:ascii="Verdana" w:hAnsi="Verdana" w:cs="Arial"/>
          <w:color w:val="000000" w:themeColor="text1"/>
          <w:sz w:val="12"/>
          <w:szCs w:val="12"/>
          <w:lang w:val="es-CO"/>
        </w:rPr>
      </w:pPr>
    </w:p>
  </w:footnote>
  <w:footnote w:id="7">
    <w:p w14:paraId="742FE1E4" w14:textId="3D57BC0B" w:rsidR="00803A29" w:rsidRPr="00310249" w:rsidRDefault="00803A29" w:rsidP="00310249">
      <w:pPr>
        <w:pStyle w:val="Textonotapie"/>
        <w:ind w:firstLine="709"/>
        <w:jc w:val="both"/>
        <w:rPr>
          <w:rFonts w:ascii="Verdana" w:hAnsi="Verdana" w:cs="Arial"/>
          <w:iCs/>
          <w:color w:val="000000" w:themeColor="text1"/>
          <w:sz w:val="12"/>
          <w:szCs w:val="12"/>
        </w:rPr>
      </w:pPr>
      <w:r w:rsidRPr="00652E52">
        <w:rPr>
          <w:rStyle w:val="Refdenotaalpie"/>
          <w:rFonts w:ascii="Verdana" w:hAnsi="Verdana" w:cs="Arial"/>
          <w:color w:val="000000" w:themeColor="text1"/>
          <w:sz w:val="12"/>
          <w:szCs w:val="12"/>
        </w:rPr>
        <w:footnoteRef/>
      </w:r>
      <w:r w:rsidRPr="00652E52">
        <w:rPr>
          <w:rFonts w:ascii="Verdana" w:hAnsi="Verdana" w:cs="Arial"/>
          <w:color w:val="000000" w:themeColor="text1"/>
          <w:sz w:val="12"/>
          <w:szCs w:val="12"/>
        </w:rPr>
        <w:t xml:space="preserve"> </w:t>
      </w:r>
      <w:r w:rsidRPr="00652E52">
        <w:rPr>
          <w:rFonts w:ascii="Verdana" w:hAnsi="Verdana" w:cs="Arial"/>
          <w:iCs/>
          <w:color w:val="000000" w:themeColor="text1"/>
          <w:sz w:val="12"/>
          <w:szCs w:val="12"/>
        </w:rPr>
        <w:t>Al respecto ver: Consejo de Estado, Sección 3ª, sentencia de 6 de julio de 2017, M.P. Marta Nubia Velázquez Rico, rad. 51920; sentencia de 13 de abril de 2011, M.P. Jaime Orlando Santofimio Gamboa, rad. 37.423; sentencia de 20 de abril de 2005, M.P. Ramiro Saavedra Becerra, rad. 14.519, entre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F0FE5E5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D61541"/>
    <w:multiLevelType w:val="hybridMultilevel"/>
    <w:tmpl w:val="4A3E9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2C7EFB"/>
    <w:multiLevelType w:val="hybridMultilevel"/>
    <w:tmpl w:val="56BA8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4E1A85"/>
    <w:multiLevelType w:val="hybridMultilevel"/>
    <w:tmpl w:val="966AF06C"/>
    <w:lvl w:ilvl="0" w:tplc="240A0001">
      <w:start w:val="1"/>
      <w:numFmt w:val="bullet"/>
      <w:lvlText w:val=""/>
      <w:lvlJc w:val="left"/>
      <w:pPr>
        <w:ind w:left="720" w:hanging="720"/>
      </w:pPr>
      <w:rPr>
        <w:rFonts w:ascii="Symbol" w:hAnsi="Symbol"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881741818">
    <w:abstractNumId w:val="9"/>
  </w:num>
  <w:num w:numId="2" w16cid:durableId="1368796284">
    <w:abstractNumId w:val="3"/>
  </w:num>
  <w:num w:numId="3" w16cid:durableId="1681660997">
    <w:abstractNumId w:val="7"/>
  </w:num>
  <w:num w:numId="4" w16cid:durableId="7970648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906053">
    <w:abstractNumId w:val="3"/>
  </w:num>
  <w:num w:numId="6" w16cid:durableId="1372535426">
    <w:abstractNumId w:val="16"/>
  </w:num>
  <w:num w:numId="7" w16cid:durableId="132256311">
    <w:abstractNumId w:val="8"/>
  </w:num>
  <w:num w:numId="8" w16cid:durableId="682710904">
    <w:abstractNumId w:val="15"/>
  </w:num>
  <w:num w:numId="9" w16cid:durableId="1665164867">
    <w:abstractNumId w:val="10"/>
  </w:num>
  <w:num w:numId="10" w16cid:durableId="676077796">
    <w:abstractNumId w:val="14"/>
  </w:num>
  <w:num w:numId="11" w16cid:durableId="902983339">
    <w:abstractNumId w:val="11"/>
  </w:num>
  <w:num w:numId="12" w16cid:durableId="1259018289">
    <w:abstractNumId w:val="2"/>
  </w:num>
  <w:num w:numId="13" w16cid:durableId="1557621526">
    <w:abstractNumId w:val="5"/>
  </w:num>
  <w:num w:numId="14" w16cid:durableId="1110054760">
    <w:abstractNumId w:val="17"/>
  </w:num>
  <w:num w:numId="15" w16cid:durableId="1180923905">
    <w:abstractNumId w:val="13"/>
  </w:num>
  <w:num w:numId="16" w16cid:durableId="206536827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2439930">
    <w:abstractNumId w:val="4"/>
  </w:num>
  <w:num w:numId="18" w16cid:durableId="962614900">
    <w:abstractNumId w:val="0"/>
  </w:num>
  <w:num w:numId="19" w16cid:durableId="591744267">
    <w:abstractNumId w:val="18"/>
  </w:num>
  <w:num w:numId="20" w16cid:durableId="585267987">
    <w:abstractNumId w:val="12"/>
  </w:num>
  <w:num w:numId="21" w16cid:durableId="1034691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2D15"/>
    <w:rsid w:val="00061B2A"/>
    <w:rsid w:val="00082362"/>
    <w:rsid w:val="000A683E"/>
    <w:rsid w:val="000B19B9"/>
    <w:rsid w:val="000D0334"/>
    <w:rsid w:val="000E4C69"/>
    <w:rsid w:val="000F1244"/>
    <w:rsid w:val="000F2902"/>
    <w:rsid w:val="000F6486"/>
    <w:rsid w:val="00125105"/>
    <w:rsid w:val="001266A8"/>
    <w:rsid w:val="00127233"/>
    <w:rsid w:val="00174E35"/>
    <w:rsid w:val="001C2C68"/>
    <w:rsid w:val="001D591A"/>
    <w:rsid w:val="001E4177"/>
    <w:rsid w:val="001F7DC6"/>
    <w:rsid w:val="002421BB"/>
    <w:rsid w:val="00250EA6"/>
    <w:rsid w:val="0025424C"/>
    <w:rsid w:val="0025796E"/>
    <w:rsid w:val="002707A2"/>
    <w:rsid w:val="002858B8"/>
    <w:rsid w:val="002951A0"/>
    <w:rsid w:val="002962BC"/>
    <w:rsid w:val="002A093D"/>
    <w:rsid w:val="002A0DD0"/>
    <w:rsid w:val="002A44C9"/>
    <w:rsid w:val="002A49AC"/>
    <w:rsid w:val="002A64FD"/>
    <w:rsid w:val="002C7A84"/>
    <w:rsid w:val="002E20FE"/>
    <w:rsid w:val="002E4FD9"/>
    <w:rsid w:val="00310249"/>
    <w:rsid w:val="0031032E"/>
    <w:rsid w:val="00322A85"/>
    <w:rsid w:val="00324168"/>
    <w:rsid w:val="003448F4"/>
    <w:rsid w:val="0036504B"/>
    <w:rsid w:val="00374F5E"/>
    <w:rsid w:val="00377E3E"/>
    <w:rsid w:val="003A26D1"/>
    <w:rsid w:val="003A3827"/>
    <w:rsid w:val="003A779E"/>
    <w:rsid w:val="003B3420"/>
    <w:rsid w:val="003C6C56"/>
    <w:rsid w:val="003D0F4D"/>
    <w:rsid w:val="003D5B0D"/>
    <w:rsid w:val="003E0499"/>
    <w:rsid w:val="003F3941"/>
    <w:rsid w:val="00406575"/>
    <w:rsid w:val="0042722E"/>
    <w:rsid w:val="00434217"/>
    <w:rsid w:val="004378FC"/>
    <w:rsid w:val="0044528D"/>
    <w:rsid w:val="00452A4E"/>
    <w:rsid w:val="004A1847"/>
    <w:rsid w:val="004A305D"/>
    <w:rsid w:val="004F21C4"/>
    <w:rsid w:val="004F685F"/>
    <w:rsid w:val="005566E8"/>
    <w:rsid w:val="005717FE"/>
    <w:rsid w:val="00574867"/>
    <w:rsid w:val="005763E5"/>
    <w:rsid w:val="00591460"/>
    <w:rsid w:val="00592628"/>
    <w:rsid w:val="005C3777"/>
    <w:rsid w:val="005C5CDC"/>
    <w:rsid w:val="005D3EB1"/>
    <w:rsid w:val="005D476C"/>
    <w:rsid w:val="005F27A1"/>
    <w:rsid w:val="00606AFB"/>
    <w:rsid w:val="00610812"/>
    <w:rsid w:val="006219F8"/>
    <w:rsid w:val="00630528"/>
    <w:rsid w:val="00650FF7"/>
    <w:rsid w:val="00665D70"/>
    <w:rsid w:val="0067152D"/>
    <w:rsid w:val="00671DAC"/>
    <w:rsid w:val="00671EFE"/>
    <w:rsid w:val="00677EC0"/>
    <w:rsid w:val="006864BE"/>
    <w:rsid w:val="006900D9"/>
    <w:rsid w:val="006C42AD"/>
    <w:rsid w:val="006D12F8"/>
    <w:rsid w:val="00706C16"/>
    <w:rsid w:val="00756841"/>
    <w:rsid w:val="007649AB"/>
    <w:rsid w:val="00771D0C"/>
    <w:rsid w:val="00773790"/>
    <w:rsid w:val="007833AC"/>
    <w:rsid w:val="007A3912"/>
    <w:rsid w:val="007B268C"/>
    <w:rsid w:val="007B7171"/>
    <w:rsid w:val="007C0C0F"/>
    <w:rsid w:val="007C3DC2"/>
    <w:rsid w:val="007E5497"/>
    <w:rsid w:val="00803A29"/>
    <w:rsid w:val="00806F5F"/>
    <w:rsid w:val="00820278"/>
    <w:rsid w:val="008843B6"/>
    <w:rsid w:val="00891928"/>
    <w:rsid w:val="008A446D"/>
    <w:rsid w:val="008D180B"/>
    <w:rsid w:val="008F0EA7"/>
    <w:rsid w:val="00923EEF"/>
    <w:rsid w:val="009313D2"/>
    <w:rsid w:val="009321C7"/>
    <w:rsid w:val="009419F9"/>
    <w:rsid w:val="0095685E"/>
    <w:rsid w:val="00956D44"/>
    <w:rsid w:val="00961B09"/>
    <w:rsid w:val="00965334"/>
    <w:rsid w:val="00966A49"/>
    <w:rsid w:val="0097093E"/>
    <w:rsid w:val="00986639"/>
    <w:rsid w:val="009A0DFA"/>
    <w:rsid w:val="009B2D26"/>
    <w:rsid w:val="009C30F9"/>
    <w:rsid w:val="009C71FA"/>
    <w:rsid w:val="009C72E7"/>
    <w:rsid w:val="009D3058"/>
    <w:rsid w:val="009F3A13"/>
    <w:rsid w:val="00A122D3"/>
    <w:rsid w:val="00A17F13"/>
    <w:rsid w:val="00A20739"/>
    <w:rsid w:val="00A33C78"/>
    <w:rsid w:val="00A40FE0"/>
    <w:rsid w:val="00A56329"/>
    <w:rsid w:val="00AA04B4"/>
    <w:rsid w:val="00AA7048"/>
    <w:rsid w:val="00AB0ADB"/>
    <w:rsid w:val="00AD6AE2"/>
    <w:rsid w:val="00B01B1A"/>
    <w:rsid w:val="00B216D8"/>
    <w:rsid w:val="00B23DF8"/>
    <w:rsid w:val="00B44695"/>
    <w:rsid w:val="00B66949"/>
    <w:rsid w:val="00B71824"/>
    <w:rsid w:val="00B72CD3"/>
    <w:rsid w:val="00B72FFF"/>
    <w:rsid w:val="00B9276B"/>
    <w:rsid w:val="00BC3D36"/>
    <w:rsid w:val="00BD7F72"/>
    <w:rsid w:val="00BF1BD6"/>
    <w:rsid w:val="00C030DF"/>
    <w:rsid w:val="00C04FB3"/>
    <w:rsid w:val="00C30508"/>
    <w:rsid w:val="00C330EB"/>
    <w:rsid w:val="00C42C86"/>
    <w:rsid w:val="00C44251"/>
    <w:rsid w:val="00C64C16"/>
    <w:rsid w:val="00C754BE"/>
    <w:rsid w:val="00C76B1C"/>
    <w:rsid w:val="00CB6357"/>
    <w:rsid w:val="00CC1B26"/>
    <w:rsid w:val="00D06A28"/>
    <w:rsid w:val="00D3506B"/>
    <w:rsid w:val="00D37E44"/>
    <w:rsid w:val="00D423A2"/>
    <w:rsid w:val="00D520D8"/>
    <w:rsid w:val="00D61A8D"/>
    <w:rsid w:val="00D63AC2"/>
    <w:rsid w:val="00D63B1B"/>
    <w:rsid w:val="00D7383B"/>
    <w:rsid w:val="00DA231B"/>
    <w:rsid w:val="00DA23A0"/>
    <w:rsid w:val="00DC39FC"/>
    <w:rsid w:val="00DC7F3A"/>
    <w:rsid w:val="00DD235B"/>
    <w:rsid w:val="00DF5254"/>
    <w:rsid w:val="00E16408"/>
    <w:rsid w:val="00E20894"/>
    <w:rsid w:val="00E245AB"/>
    <w:rsid w:val="00E26152"/>
    <w:rsid w:val="00E2764C"/>
    <w:rsid w:val="00E27F2E"/>
    <w:rsid w:val="00E37F8B"/>
    <w:rsid w:val="00E413EA"/>
    <w:rsid w:val="00E47C23"/>
    <w:rsid w:val="00E50AFE"/>
    <w:rsid w:val="00E75C92"/>
    <w:rsid w:val="00E771DC"/>
    <w:rsid w:val="00E77A73"/>
    <w:rsid w:val="00E8772A"/>
    <w:rsid w:val="00E90F6B"/>
    <w:rsid w:val="00E92C27"/>
    <w:rsid w:val="00EA0E3D"/>
    <w:rsid w:val="00EC38A7"/>
    <w:rsid w:val="00EE1AA8"/>
    <w:rsid w:val="00F166C4"/>
    <w:rsid w:val="00F167F7"/>
    <w:rsid w:val="00F31EDC"/>
    <w:rsid w:val="00F42F13"/>
    <w:rsid w:val="00F462B3"/>
    <w:rsid w:val="00F5664F"/>
    <w:rsid w:val="00F666C4"/>
    <w:rsid w:val="00F76AFC"/>
    <w:rsid w:val="00F96192"/>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A3912"/>
    <w:rPr>
      <w:rFonts w:ascii="Geomanist Light" w:hAnsi="Geomanist Light"/>
      <w:lang w:val="es-ES"/>
    </w:rPr>
  </w:style>
  <w:style w:type="paragraph" w:customStyle="1" w:styleId="Appelnotedebasde">
    <w:name w:val="Appel note de bas de..."/>
    <w:basedOn w:val="Normal"/>
    <w:link w:val="Refdenotaalpie"/>
    <w:uiPriority w:val="99"/>
    <w:rsid w:val="007A3912"/>
    <w:pPr>
      <w:spacing w:line="240" w:lineRule="exact"/>
    </w:pPr>
    <w:rPr>
      <w:vertAlign w:val="superscript"/>
    </w:rPr>
  </w:style>
  <w:style w:type="character" w:customStyle="1" w:styleId="apple-converted-space">
    <w:name w:val="apple-converted-space"/>
    <w:basedOn w:val="Fuentedeprrafopredeter"/>
    <w:rsid w:val="007A3912"/>
  </w:style>
  <w:style w:type="character" w:styleId="nfasis">
    <w:name w:val="Emphasis"/>
    <w:basedOn w:val="Fuentedeprrafopredeter"/>
    <w:uiPriority w:val="20"/>
    <w:qFormat/>
    <w:rsid w:val="007A39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ley-80-de-1993/" TargetMode="External"/><Relationship Id="rId18" Type="http://schemas.openxmlformats.org/officeDocument/2006/relationships/hyperlink" Target="https://www.corteconstitucional.gov.co/Relatoria/1999/C-671-99.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sites%2Fcce_public%2Ffiles%2Ffiles_2020%2Fboletin_de_realtoria_iii.pdf&amp;data=05%7C02%7Calejandro.sarmiento%40colombiacompra.gov.co%7C992f1c9609394a8da8fe08dcc1676546%7C7b09041e245149d08cb179d5e3d8c1be%7C0%7C0%7C638597897037980144%7CUnknown%7CTWFpbGZsb3d8eyJWIjoiMC4wLjAwMDAiLCJQIjoiV2luMzIiLCJBTiI6Ik1haWwiLCJXVCI6Mn0%3D%7C0%7C%7C%7C&amp;sdata=zmwE0pC9EMKgoLR223JSTOgy8SOuAWIn7%2BB%2BWxC8tVw%3D&amp;reserved=0" TargetMode="External"/><Relationship Id="rId7" Type="http://schemas.openxmlformats.org/officeDocument/2006/relationships/webSettings" Target="webSettings.xml"/><Relationship Id="rId12" Type="http://schemas.openxmlformats.org/officeDocument/2006/relationships/hyperlink" Target="https://relatoria.colombiacompra.gov.co/normativa/constitucion-politica-de-colombia/" TargetMode="External"/><Relationship Id="rId17" Type="http://schemas.openxmlformats.org/officeDocument/2006/relationships/hyperlink" Target="https://relatoria.colombiacompra.gov.co/normativa/decreto-1080-de-201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latoria.colombiacompra.gov.co/normativa/ley-1150-de-2007/" TargetMode="External"/><Relationship Id="rId20" Type="http://schemas.openxmlformats.org/officeDocument/2006/relationships/hyperlink" Target="https://relatoria.colombiacompra.gov.co/busqueda/concepto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RENCIA@FOMCULTURA.COM.CO"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relatoria.colombiacompra.gov.co/normativa/ley-489-de-1998/" TargetMode="External"/><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https://www.corteconstitucional.gov.co/relatoria/1995/c-230-95.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ley-397-de-1997/"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DA547-4928-48CF-8115-BD3A100F9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purl.org/dc/terms/"/>
    <ds:schemaRef ds:uri="a6cb9e4b-f1d1-4245-83ec-6cad768d538a"/>
    <ds:schemaRef ds:uri="http://purl.org/dc/elements/1.1/"/>
    <ds:schemaRef ds:uri="http://www.w3.org/XML/1998/namespace"/>
    <ds:schemaRef ds:uri="http://schemas.microsoft.com/office/2006/documentManagement/types"/>
    <ds:schemaRef ds:uri="http://schemas.microsoft.com/office/infopath/2007/PartnerControls"/>
    <ds:schemaRef ds:uri="9d85dbaf-23eb-4e57-a637-93dcacc8b1a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3288</Words>
  <Characters>18088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2</cp:revision>
  <cp:lastPrinted>2023-01-10T21:18:00Z</cp:lastPrinted>
  <dcterms:created xsi:type="dcterms:W3CDTF">2024-10-02T15:53:00Z</dcterms:created>
  <dcterms:modified xsi:type="dcterms:W3CDTF">2024-10-02T15:53:00Z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