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00B1F" w14:textId="77777777" w:rsidR="00883881" w:rsidRPr="00883881" w:rsidRDefault="00883881">
      <w:pPr>
        <w:rPr>
          <w:rFonts w:ascii="Verdana" w:hAnsi="Verdana"/>
          <w:b/>
          <w:bCs/>
          <w:lang w:val="es-ES_tradnl"/>
        </w:rPr>
      </w:pPr>
      <w:bookmarkStart w:id="0" w:name="_Hlk143780582"/>
      <w:bookmarkStart w:id="1" w:name="_GoBack"/>
      <w:bookmarkEnd w:id="1"/>
      <w:r w:rsidRPr="00883881">
        <w:rPr>
          <w:rFonts w:ascii="Verdana" w:hAnsi="Verdana"/>
          <w:b/>
          <w:bCs/>
          <w:lang w:val="es-ES_tradnl"/>
        </w:rPr>
        <w:t xml:space="preserve">LIQUIDACIÓN DE CONTRATOS- Concepto </w:t>
      </w:r>
    </w:p>
    <w:p w14:paraId="776A7C23" w14:textId="3F4CBD9B" w:rsidR="00883881" w:rsidRPr="00883881" w:rsidRDefault="00883881" w:rsidP="00883881">
      <w:pPr>
        <w:jc w:val="both"/>
        <w:rPr>
          <w:rFonts w:ascii="Verdana" w:hAnsi="Verdana"/>
          <w:bCs/>
          <w:sz w:val="20"/>
          <w:lang w:val="es-ES_tradnl"/>
        </w:rPr>
      </w:pPr>
      <w:r w:rsidRPr="00883881">
        <w:rPr>
          <w:rFonts w:ascii="Verdana" w:hAnsi="Verdana"/>
          <w:bCs/>
          <w:sz w:val="20"/>
          <w:lang w:val="es-ES_tradnl"/>
        </w:rPr>
        <w:t>(…)</w:t>
      </w:r>
      <w:r w:rsidRPr="00883881">
        <w:rPr>
          <w:rFonts w:ascii="Verdana" w:hAnsi="Verdana"/>
          <w:sz w:val="20"/>
          <w:lang w:val="es-ES"/>
        </w:rPr>
        <w:t xml:space="preserve">en la liquidación, las </w:t>
      </w:r>
      <w:r w:rsidRPr="00883881">
        <w:rPr>
          <w:rFonts w:ascii="Verdana" w:hAnsi="Verdana"/>
          <w:sz w:val="20"/>
          <w:lang w:val="es-MX"/>
        </w:rPr>
        <w:t>partes podrán determinar si existen prestaciones, obligaciones o derechos a su cargo, realizan un balance de las cuentas y, si es del caso, efectuar las reclamaciones, ajustes y reconocimientos a que haya lugar, y en donde se puede establecer las consideraciones atinentes a las declaratorias de incumplimiento que se hubiesen realizado a lo largo de la relación contractual.</w:t>
      </w:r>
    </w:p>
    <w:p w14:paraId="07D8E5D1" w14:textId="77777777" w:rsidR="00883881" w:rsidRDefault="00883881">
      <w:pPr>
        <w:rPr>
          <w:rFonts w:ascii="Verdana" w:hAnsi="Verdana"/>
          <w:bCs/>
          <w:lang w:val="es-ES_tradnl"/>
        </w:rPr>
      </w:pPr>
    </w:p>
    <w:p w14:paraId="3A09E939" w14:textId="77777777" w:rsidR="00883881" w:rsidRPr="00883881" w:rsidRDefault="00883881">
      <w:pPr>
        <w:rPr>
          <w:rFonts w:ascii="Verdana" w:hAnsi="Verdana"/>
          <w:b/>
          <w:bCs/>
          <w:lang w:val="es-ES_tradnl"/>
        </w:rPr>
      </w:pPr>
      <w:r w:rsidRPr="00883881">
        <w:rPr>
          <w:rFonts w:ascii="Verdana" w:hAnsi="Verdana"/>
          <w:b/>
          <w:bCs/>
          <w:lang w:val="es-ES_tradnl"/>
        </w:rPr>
        <w:t xml:space="preserve">RÉGIMEN DE INHABILIDADES E INCOMPATIBILIDADES – Concepto </w:t>
      </w:r>
    </w:p>
    <w:p w14:paraId="57CE5A11" w14:textId="454466D2" w:rsidR="00883881" w:rsidRPr="00883881" w:rsidRDefault="00883881" w:rsidP="00883881">
      <w:pPr>
        <w:jc w:val="both"/>
        <w:rPr>
          <w:rFonts w:ascii="Verdana" w:hAnsi="Verdana"/>
          <w:sz w:val="20"/>
          <w:lang w:val="es-MX"/>
        </w:rPr>
      </w:pPr>
      <w:r w:rsidRPr="00883881">
        <w:rPr>
          <w:rFonts w:ascii="Verdana" w:hAnsi="Verdana"/>
          <w:sz w:val="20"/>
          <w:lang w:val="es-MX"/>
        </w:rPr>
        <w:t xml:space="preserve">Las inhabilidades son prohibiciones para concurrir a los procedimientos de selección y para contratar con el Estado, que se derivan: i) de la existencia de comportamientos reprochables o de sanciones anteriormente impuestas, </w:t>
      </w:r>
      <w:proofErr w:type="spellStart"/>
      <w:r w:rsidRPr="00883881">
        <w:rPr>
          <w:rFonts w:ascii="Verdana" w:hAnsi="Verdana"/>
          <w:sz w:val="20"/>
          <w:lang w:val="es-MX"/>
        </w:rPr>
        <w:t>ii</w:t>
      </w:r>
      <w:proofErr w:type="spellEnd"/>
      <w:r w:rsidRPr="00883881">
        <w:rPr>
          <w:rFonts w:ascii="Verdana" w:hAnsi="Verdana"/>
          <w:sz w:val="20"/>
          <w:lang w:val="es-MX"/>
        </w:rPr>
        <w:t xml:space="preserve">) de vínculos personales relativos al parentesco o al estado civil o </w:t>
      </w:r>
      <w:proofErr w:type="spellStart"/>
      <w:r w:rsidRPr="00883881">
        <w:rPr>
          <w:rFonts w:ascii="Verdana" w:hAnsi="Verdana"/>
          <w:sz w:val="20"/>
          <w:lang w:val="es-MX"/>
        </w:rPr>
        <w:t>iii</w:t>
      </w:r>
      <w:proofErr w:type="spellEnd"/>
      <w:r w:rsidRPr="00883881">
        <w:rPr>
          <w:rFonts w:ascii="Verdana" w:hAnsi="Verdana"/>
          <w:sz w:val="20"/>
          <w:lang w:val="es-MX"/>
        </w:rPr>
        <w:t>) de una actividad u oficio que se desempeñó en el pasado</w:t>
      </w:r>
      <w:r>
        <w:rPr>
          <w:rFonts w:ascii="Verdana" w:hAnsi="Verdana"/>
          <w:sz w:val="20"/>
          <w:lang w:val="es-MX"/>
        </w:rPr>
        <w:t>.</w:t>
      </w:r>
    </w:p>
    <w:p w14:paraId="28B31DF4" w14:textId="51D866A8" w:rsidR="00883881" w:rsidRPr="00883881" w:rsidRDefault="00883881">
      <w:pPr>
        <w:rPr>
          <w:rFonts w:ascii="Verdana" w:hAnsi="Verdana"/>
          <w:b/>
          <w:bCs/>
          <w:lang w:val="es-ES_tradnl"/>
        </w:rPr>
      </w:pPr>
      <w:r w:rsidRPr="00883881">
        <w:rPr>
          <w:rFonts w:ascii="Verdana" w:hAnsi="Verdana"/>
          <w:b/>
          <w:bCs/>
          <w:lang w:val="es-ES_tradnl"/>
        </w:rPr>
        <w:t>INHABILIDADES E INCOMPATIBILIDADES – Interpretación restrictiva</w:t>
      </w:r>
    </w:p>
    <w:p w14:paraId="24135BCA" w14:textId="64B049A5" w:rsidR="00883881" w:rsidRPr="00883881" w:rsidRDefault="00883881" w:rsidP="00883881">
      <w:pPr>
        <w:jc w:val="both"/>
        <w:rPr>
          <w:rFonts w:ascii="Verdana" w:hAnsi="Verdana"/>
          <w:b/>
          <w:bCs/>
          <w:lang w:val="es-ES_tradnl"/>
        </w:rPr>
      </w:pPr>
      <w:r w:rsidRPr="00883881">
        <w:rPr>
          <w:rFonts w:ascii="Verdana" w:hAnsi="Verdana"/>
          <w:sz w:val="20"/>
          <w:lang w:val="es-ES_tradnl"/>
        </w:rPr>
        <w:t xml:space="preserve">Ahora bien, las inhabilidades e incompatibilidades al ser restricciones o límites especiales a la capacidad para presentar ofertas y celebrar contratos estatales, solo pueden tipificarse en la ley o la Constitución –o sea, deben satisfacer el principio de legalidad– y su interpretación debe ser </w:t>
      </w:r>
      <w:r w:rsidRPr="00883881">
        <w:rPr>
          <w:rFonts w:ascii="Verdana" w:hAnsi="Verdana"/>
          <w:i/>
          <w:iCs/>
          <w:sz w:val="20"/>
          <w:lang w:val="es-ES_tradnl"/>
        </w:rPr>
        <w:t>restrictiva</w:t>
      </w:r>
      <w:r w:rsidRPr="00883881">
        <w:rPr>
          <w:rFonts w:ascii="Verdana" w:hAnsi="Verdana"/>
          <w:i/>
          <w:iCs/>
          <w:sz w:val="20"/>
          <w:vertAlign w:val="superscript"/>
          <w:lang w:val="es-ES_tradnl"/>
        </w:rPr>
        <w:footnoteReference w:id="1"/>
      </w:r>
      <w:r w:rsidRPr="00883881">
        <w:rPr>
          <w:rFonts w:ascii="Verdana" w:hAnsi="Verdana"/>
          <w:i/>
          <w:iCs/>
          <w:sz w:val="20"/>
          <w:lang w:val="es-ES_tradnl"/>
        </w:rPr>
        <w:t xml:space="preserve">, </w:t>
      </w:r>
      <w:r w:rsidRPr="00883881">
        <w:rPr>
          <w:rFonts w:ascii="Verdana" w:hAnsi="Verdana"/>
          <w:sz w:val="20"/>
          <w:lang w:val="es-ES_tradnl"/>
        </w:rPr>
        <w:t>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seguridad jurídica, la libre concurrencia y el ejercicio de la profesión u oficio</w:t>
      </w:r>
      <w:r>
        <w:rPr>
          <w:rFonts w:ascii="Verdana" w:hAnsi="Verdana"/>
          <w:lang w:val="es-ES_tradnl"/>
        </w:rPr>
        <w:t>.</w:t>
      </w:r>
    </w:p>
    <w:p w14:paraId="01D42822" w14:textId="77777777" w:rsidR="00883881" w:rsidRDefault="00883881">
      <w:pPr>
        <w:rPr>
          <w:rFonts w:ascii="Verdana" w:hAnsi="Verdana"/>
        </w:rPr>
      </w:pPr>
      <w:r w:rsidRPr="00883881">
        <w:rPr>
          <w:rFonts w:ascii="Verdana" w:hAnsi="Verdana"/>
          <w:b/>
          <w:bCs/>
          <w:lang w:val="es-ES_tradnl"/>
        </w:rPr>
        <w:t>INHABILIDAD – Incumplimiento reiterado</w:t>
      </w:r>
      <w:r>
        <w:rPr>
          <w:rFonts w:ascii="Verdana" w:hAnsi="Verdana"/>
        </w:rPr>
        <w:t xml:space="preserve"> </w:t>
      </w:r>
    </w:p>
    <w:p w14:paraId="7087F750" w14:textId="77777777" w:rsidR="00883881" w:rsidRPr="00883881" w:rsidRDefault="00883881" w:rsidP="00883881">
      <w:pPr>
        <w:widowControl w:val="0"/>
        <w:autoSpaceDE w:val="0"/>
        <w:autoSpaceDN w:val="0"/>
        <w:spacing w:line="276" w:lineRule="auto"/>
        <w:ind w:right="114"/>
        <w:jc w:val="both"/>
        <w:rPr>
          <w:rFonts w:ascii="Verdana" w:eastAsia="Arial" w:hAnsi="Verdana" w:cs="Arial"/>
          <w:sz w:val="20"/>
          <w:lang w:val="es-ES"/>
        </w:rPr>
      </w:pPr>
      <w:r w:rsidRPr="00883881">
        <w:rPr>
          <w:rFonts w:ascii="Verdana" w:eastAsia="Arial" w:hAnsi="Verdana" w:cs="Arial"/>
          <w:sz w:val="20"/>
          <w:lang w:val="es-ES"/>
        </w:rPr>
        <w:t>En ese orden, a la luz del texto original de la Ley 1474 de 2011, para que se configurara la inhabilidad era necesario que las cinco multas –literal a)– o los dos incumplimientos –literal b)– fueran declarados en la misma vigencia fiscal, esto es, en el mismo año. Después de la modificación introducida por la Ley 1955 de 2019, basta que las dos declaratorias de incumplimiento o las cinco multas se hayan impuesto dentro de los últimos tres años.</w:t>
      </w:r>
    </w:p>
    <w:p w14:paraId="27C01672" w14:textId="2E83655B" w:rsidR="00883881" w:rsidRDefault="00883881">
      <w:pPr>
        <w:rPr>
          <w:rFonts w:ascii="Verdana" w:hAnsi="Verdana"/>
        </w:rPr>
      </w:pPr>
      <w:r>
        <w:rPr>
          <w:rFonts w:ascii="Verdana" w:hAnsi="Verdana"/>
        </w:rPr>
        <w:br w:type="page"/>
      </w:r>
    </w:p>
    <w:p w14:paraId="3FE2184B" w14:textId="4A4CFBCF" w:rsidR="00E245AB" w:rsidRPr="005A6CCB" w:rsidRDefault="00E245AB" w:rsidP="00E01E78">
      <w:pPr>
        <w:jc w:val="both"/>
        <w:rPr>
          <w:rFonts w:ascii="Verdana" w:hAnsi="Verdana"/>
        </w:rPr>
      </w:pPr>
      <w:r w:rsidRPr="005A6CCB">
        <w:rPr>
          <w:rFonts w:ascii="Verdana" w:hAnsi="Verdana"/>
        </w:rPr>
        <w:lastRenderedPageBreak/>
        <w:t xml:space="preserve">Bogotá D.C., </w:t>
      </w:r>
      <w:r w:rsidR="00FC3A93">
        <w:rPr>
          <w:rFonts w:ascii="Verdana" w:hAnsi="Verdana"/>
        </w:rPr>
        <w:t>17 de Octubre de 2024</w:t>
      </w:r>
      <w:r w:rsidR="00891928" w:rsidRPr="005A6CCB">
        <w:rPr>
          <w:rFonts w:ascii="Verdana" w:hAnsi="Verdana"/>
        </w:rPr>
        <w:tab/>
      </w:r>
    </w:p>
    <w:p w14:paraId="5FCADBF9" w14:textId="6BA8D1B4" w:rsidR="00E245AB" w:rsidRPr="005A6CCB" w:rsidRDefault="00FC3A93" w:rsidP="00FC3A93">
      <w:pPr>
        <w:spacing w:after="0"/>
        <w:jc w:val="right"/>
        <w:rPr>
          <w:rFonts w:ascii="Verdana" w:hAnsi="Verdana"/>
        </w:rPr>
      </w:pPr>
      <w:r w:rsidRPr="00FC3A93">
        <w:rPr>
          <w:rFonts w:ascii="Verdana" w:hAnsi="Verdana"/>
        </w:rPr>
        <w:drawing>
          <wp:inline distT="0" distB="0" distL="0" distR="0" wp14:anchorId="4681D2D0" wp14:editId="3D3D0C99">
            <wp:extent cx="3459280" cy="1023045"/>
            <wp:effectExtent l="0" t="0" r="8255"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82316" cy="1029858"/>
                    </a:xfrm>
                    <a:prstGeom prst="rect">
                      <a:avLst/>
                    </a:prstGeom>
                  </pic:spPr>
                </pic:pic>
              </a:graphicData>
            </a:graphic>
          </wp:inline>
        </w:drawing>
      </w:r>
    </w:p>
    <w:p w14:paraId="413C36C1" w14:textId="77777777" w:rsidR="007C648D" w:rsidRPr="007C648D" w:rsidRDefault="007C648D" w:rsidP="007C648D">
      <w:pPr>
        <w:spacing w:after="0"/>
        <w:rPr>
          <w:rFonts w:ascii="Verdana" w:hAnsi="Verdana"/>
          <w:lang w:val="es-MX"/>
        </w:rPr>
      </w:pPr>
      <w:r w:rsidRPr="007C648D">
        <w:rPr>
          <w:rFonts w:ascii="Verdana" w:hAnsi="Verdana"/>
          <w:lang w:val="es-MX"/>
        </w:rPr>
        <w:t>Señora</w:t>
      </w:r>
    </w:p>
    <w:p w14:paraId="3E0D618E" w14:textId="39C7C44D" w:rsidR="007C648D" w:rsidRPr="007C648D" w:rsidRDefault="00667CB5" w:rsidP="007C648D">
      <w:pPr>
        <w:spacing w:after="0"/>
        <w:rPr>
          <w:rFonts w:ascii="Verdana" w:hAnsi="Verdana"/>
        </w:rPr>
      </w:pPr>
      <w:r w:rsidRPr="005A6CCB">
        <w:rPr>
          <w:rFonts w:ascii="Verdana" w:hAnsi="Verdana"/>
          <w:b/>
        </w:rPr>
        <w:t>Martha Oliva Muñoz Yunda</w:t>
      </w:r>
      <w:r w:rsidRPr="005A6CCB">
        <w:rPr>
          <w:rFonts w:ascii="Verdana" w:hAnsi="Verdana"/>
          <w:b/>
        </w:rPr>
        <w:tab/>
      </w:r>
      <w:r w:rsidR="007C648D" w:rsidRPr="007C648D">
        <w:rPr>
          <w:rFonts w:ascii="Verdana" w:hAnsi="Verdana"/>
          <w:bCs/>
        </w:rPr>
        <w:br/>
      </w:r>
      <w:r w:rsidRPr="005A6CCB">
        <w:rPr>
          <w:rFonts w:ascii="Verdana" w:hAnsi="Verdana"/>
        </w:rPr>
        <w:t>marthaolivacali@hotmail.com</w:t>
      </w:r>
    </w:p>
    <w:p w14:paraId="22645D74" w14:textId="3F96B0F6" w:rsidR="007C648D" w:rsidRPr="007C648D" w:rsidRDefault="00667CB5" w:rsidP="007C648D">
      <w:pPr>
        <w:spacing w:after="0"/>
        <w:rPr>
          <w:rFonts w:ascii="Verdana" w:hAnsi="Verdana"/>
        </w:rPr>
      </w:pPr>
      <w:r w:rsidRPr="005A6CCB">
        <w:rPr>
          <w:rFonts w:ascii="Verdana" w:hAnsi="Verdana"/>
        </w:rPr>
        <w:t>Cali, Valle del Cauca</w:t>
      </w:r>
    </w:p>
    <w:p w14:paraId="7F61EEF2" w14:textId="77777777" w:rsidR="007C648D" w:rsidRPr="007C648D" w:rsidRDefault="007C648D" w:rsidP="007C648D">
      <w:pPr>
        <w:spacing w:after="0"/>
        <w:rPr>
          <w:rFonts w:ascii="Verdana" w:hAnsi="Verdana"/>
        </w:rPr>
      </w:pPr>
    </w:p>
    <w:p w14:paraId="6B18C8E0" w14:textId="5C18C2CE" w:rsidR="007C648D" w:rsidRPr="007C648D" w:rsidRDefault="007C648D" w:rsidP="007C648D">
      <w:pPr>
        <w:spacing w:after="0"/>
        <w:ind w:left="2124" w:firstLine="708"/>
        <w:rPr>
          <w:rFonts w:ascii="Verdana" w:hAnsi="Verdana"/>
          <w:b/>
          <w:bCs/>
          <w:lang w:val="es-ES"/>
        </w:rPr>
      </w:pPr>
      <w:r w:rsidRPr="007C648D">
        <w:rPr>
          <w:rFonts w:ascii="Verdana" w:hAnsi="Verdana"/>
          <w:b/>
          <w:bCs/>
          <w:lang w:val="es-ES"/>
        </w:rPr>
        <w:t>Concepto C–</w:t>
      </w:r>
      <w:r w:rsidR="000B2BD5" w:rsidRPr="005A6CCB">
        <w:rPr>
          <w:rFonts w:ascii="Verdana" w:hAnsi="Verdana"/>
          <w:b/>
          <w:bCs/>
          <w:lang w:val="es-ES"/>
        </w:rPr>
        <w:t>562</w:t>
      </w:r>
      <w:r w:rsidRPr="007C648D">
        <w:rPr>
          <w:rFonts w:ascii="Verdana" w:hAnsi="Verdana"/>
          <w:b/>
          <w:bCs/>
          <w:lang w:val="es-ES"/>
        </w:rPr>
        <w:t xml:space="preserve"> de 2024</w:t>
      </w:r>
    </w:p>
    <w:p w14:paraId="30DF2918" w14:textId="77777777" w:rsidR="007C648D" w:rsidRPr="007C648D" w:rsidRDefault="007C648D" w:rsidP="007C648D">
      <w:pPr>
        <w:spacing w:after="0"/>
        <w:rPr>
          <w:rFonts w:ascii="Verdana" w:hAnsi="Verdana"/>
          <w:lang w:val="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5"/>
        <w:gridCol w:w="6241"/>
        <w:gridCol w:w="6237"/>
      </w:tblGrid>
      <w:tr w:rsidR="007C648D" w:rsidRPr="007C648D" w14:paraId="0455D74C" w14:textId="77777777" w:rsidTr="007C648D">
        <w:trPr>
          <w:trHeight w:val="884"/>
        </w:trPr>
        <w:tc>
          <w:tcPr>
            <w:tcW w:w="2685" w:type="dxa"/>
            <w:hideMark/>
          </w:tcPr>
          <w:p w14:paraId="7C3850F6" w14:textId="77777777" w:rsidR="007C648D" w:rsidRPr="007C648D" w:rsidRDefault="007C648D" w:rsidP="007C648D">
            <w:pPr>
              <w:spacing w:line="259" w:lineRule="auto"/>
              <w:rPr>
                <w:rFonts w:ascii="Verdana" w:hAnsi="Verdana"/>
                <w:lang w:val="es-ES_tradnl"/>
              </w:rPr>
            </w:pPr>
            <w:r w:rsidRPr="007C648D">
              <w:rPr>
                <w:rFonts w:ascii="Verdana" w:hAnsi="Verdana"/>
                <w:lang w:val="es-ES_tradnl"/>
              </w:rPr>
              <w:t xml:space="preserve">Temas:                   </w:t>
            </w:r>
          </w:p>
        </w:tc>
        <w:tc>
          <w:tcPr>
            <w:tcW w:w="6241" w:type="dxa"/>
            <w:hideMark/>
          </w:tcPr>
          <w:p w14:paraId="1786E601" w14:textId="4EF8520E" w:rsidR="007C648D" w:rsidRPr="007C648D" w:rsidRDefault="009D09EB" w:rsidP="00E01E78">
            <w:pPr>
              <w:spacing w:line="276" w:lineRule="auto"/>
              <w:jc w:val="both"/>
              <w:rPr>
                <w:rFonts w:ascii="Verdana" w:hAnsi="Verdana"/>
              </w:rPr>
            </w:pPr>
            <w:r w:rsidRPr="009D09EB">
              <w:rPr>
                <w:rFonts w:ascii="Verdana" w:hAnsi="Verdana"/>
                <w:bCs/>
                <w:lang w:val="es-ES_tradnl"/>
              </w:rPr>
              <w:t>LIQUIDACIÓN DE CONTRATOS- Concepto</w:t>
            </w:r>
            <w:r w:rsidR="002D3E3C">
              <w:rPr>
                <w:rFonts w:ascii="Verdana" w:hAnsi="Verdana"/>
                <w:bCs/>
                <w:lang w:val="es-ES_tradnl"/>
              </w:rPr>
              <w:t xml:space="preserve"> </w:t>
            </w:r>
            <w:r w:rsidRPr="009D09EB">
              <w:rPr>
                <w:rFonts w:ascii="Verdana" w:hAnsi="Verdana"/>
                <w:bCs/>
                <w:lang w:val="es-ES_tradnl"/>
              </w:rPr>
              <w:t>/</w:t>
            </w:r>
            <w:r w:rsidR="002D3E3C">
              <w:rPr>
                <w:rFonts w:ascii="Verdana" w:hAnsi="Verdana"/>
                <w:bCs/>
                <w:lang w:val="es-ES_tradnl"/>
              </w:rPr>
              <w:t xml:space="preserve"> </w:t>
            </w:r>
            <w:r w:rsidRPr="009D09EB">
              <w:rPr>
                <w:rFonts w:ascii="Verdana" w:hAnsi="Verdana"/>
                <w:bCs/>
                <w:lang w:val="es-ES_tradnl"/>
              </w:rPr>
              <w:t>RÉGIMEN DE INHABILIDAD</w:t>
            </w:r>
            <w:r w:rsidR="002D3E3C">
              <w:rPr>
                <w:rFonts w:ascii="Verdana" w:hAnsi="Verdana"/>
                <w:bCs/>
                <w:lang w:val="es-ES_tradnl"/>
              </w:rPr>
              <w:t>ES</w:t>
            </w:r>
            <w:r w:rsidRPr="009D09EB">
              <w:rPr>
                <w:rFonts w:ascii="Verdana" w:hAnsi="Verdana"/>
                <w:bCs/>
                <w:lang w:val="es-ES_tradnl"/>
              </w:rPr>
              <w:t xml:space="preserve"> E INCOMPATIBILIDAD</w:t>
            </w:r>
            <w:r w:rsidR="002D3E3C">
              <w:rPr>
                <w:rFonts w:ascii="Verdana" w:hAnsi="Verdana"/>
                <w:bCs/>
                <w:lang w:val="es-ES_tradnl"/>
              </w:rPr>
              <w:t>ES</w:t>
            </w:r>
            <w:r w:rsidRPr="009D09EB">
              <w:rPr>
                <w:rFonts w:ascii="Verdana" w:hAnsi="Verdana"/>
                <w:bCs/>
                <w:lang w:val="es-ES_tradnl"/>
              </w:rPr>
              <w:t xml:space="preserve"> – Concepto / INHABILIDADES E INCOMPATIBILIDADES</w:t>
            </w:r>
            <w:r w:rsidR="002D3E3C">
              <w:rPr>
                <w:rFonts w:ascii="Verdana" w:hAnsi="Verdana"/>
                <w:bCs/>
                <w:lang w:val="es-ES_tradnl"/>
              </w:rPr>
              <w:t xml:space="preserve"> –</w:t>
            </w:r>
            <w:r w:rsidRPr="009D09EB">
              <w:rPr>
                <w:rFonts w:ascii="Verdana" w:hAnsi="Verdana"/>
                <w:bCs/>
                <w:lang w:val="es-ES_tradnl"/>
              </w:rPr>
              <w:t xml:space="preserve"> Interpretación restrictiva</w:t>
            </w:r>
            <w:r w:rsidR="002D3E3C">
              <w:rPr>
                <w:rFonts w:ascii="Verdana" w:hAnsi="Verdana"/>
                <w:bCs/>
                <w:lang w:val="es-ES_tradnl"/>
              </w:rPr>
              <w:t xml:space="preserve"> / INHABILIDAD – Incumplimiento reiterado</w:t>
            </w:r>
          </w:p>
        </w:tc>
        <w:tc>
          <w:tcPr>
            <w:tcW w:w="6237" w:type="dxa"/>
          </w:tcPr>
          <w:p w14:paraId="2D3278ED" w14:textId="77777777" w:rsidR="007C648D" w:rsidRPr="007C648D" w:rsidRDefault="007C648D" w:rsidP="007C648D">
            <w:pPr>
              <w:spacing w:line="259" w:lineRule="auto"/>
              <w:rPr>
                <w:rFonts w:ascii="Verdana" w:hAnsi="Verdana"/>
                <w:lang w:val="es-ES"/>
              </w:rPr>
            </w:pPr>
          </w:p>
        </w:tc>
      </w:tr>
      <w:tr w:rsidR="007C648D" w:rsidRPr="007C648D" w14:paraId="5F7D91B7" w14:textId="77777777" w:rsidTr="007C648D">
        <w:tc>
          <w:tcPr>
            <w:tcW w:w="2685" w:type="dxa"/>
            <w:hideMark/>
          </w:tcPr>
          <w:p w14:paraId="2832A81D" w14:textId="77777777" w:rsidR="00930542" w:rsidRPr="005A6CCB" w:rsidRDefault="00930542" w:rsidP="007C648D">
            <w:pPr>
              <w:spacing w:line="259" w:lineRule="auto"/>
              <w:rPr>
                <w:rFonts w:ascii="Verdana" w:hAnsi="Verdana"/>
                <w:lang w:val="es-ES_tradnl"/>
              </w:rPr>
            </w:pPr>
          </w:p>
          <w:p w14:paraId="6C311EC0" w14:textId="6043E846" w:rsidR="007C648D" w:rsidRPr="007C648D" w:rsidRDefault="007C648D" w:rsidP="007C648D">
            <w:pPr>
              <w:spacing w:line="259" w:lineRule="auto"/>
              <w:rPr>
                <w:rFonts w:ascii="Verdana" w:hAnsi="Verdana"/>
                <w:lang w:val="es-ES_tradnl"/>
              </w:rPr>
            </w:pPr>
            <w:r w:rsidRPr="007C648D">
              <w:rPr>
                <w:rFonts w:ascii="Verdana" w:hAnsi="Verdana"/>
                <w:lang w:val="es-ES_tradnl"/>
              </w:rPr>
              <w:t xml:space="preserve">Radicación:               </w:t>
            </w:r>
          </w:p>
        </w:tc>
        <w:tc>
          <w:tcPr>
            <w:tcW w:w="6241" w:type="dxa"/>
            <w:hideMark/>
          </w:tcPr>
          <w:p w14:paraId="1FE64724" w14:textId="77777777" w:rsidR="00930542" w:rsidRPr="005A6CCB" w:rsidRDefault="00930542" w:rsidP="007C648D">
            <w:pPr>
              <w:spacing w:line="259" w:lineRule="auto"/>
              <w:rPr>
                <w:rFonts w:ascii="Verdana" w:hAnsi="Verdana"/>
                <w:lang w:val="es-ES_tradnl"/>
              </w:rPr>
            </w:pPr>
          </w:p>
          <w:p w14:paraId="3375A908" w14:textId="2B6A164D" w:rsidR="007C648D" w:rsidRPr="007C648D" w:rsidRDefault="007C648D" w:rsidP="007C648D">
            <w:pPr>
              <w:spacing w:line="259" w:lineRule="auto"/>
              <w:rPr>
                <w:rFonts w:ascii="Verdana" w:hAnsi="Verdana"/>
                <w:lang w:val="es-ES_tradnl"/>
              </w:rPr>
            </w:pPr>
            <w:r w:rsidRPr="007C648D">
              <w:rPr>
                <w:rFonts w:ascii="Verdana" w:hAnsi="Verdana"/>
                <w:lang w:val="es-ES_tradnl"/>
              </w:rPr>
              <w:t xml:space="preserve">Respuesta a consulta con radicado No. </w:t>
            </w:r>
            <w:r w:rsidR="00930542" w:rsidRPr="005A6CCB">
              <w:rPr>
                <w:rFonts w:ascii="Verdana" w:hAnsi="Verdana"/>
                <w:lang w:val="es-ES_tradnl"/>
              </w:rPr>
              <w:t>P20240906009107</w:t>
            </w:r>
          </w:p>
        </w:tc>
        <w:tc>
          <w:tcPr>
            <w:tcW w:w="6237" w:type="dxa"/>
          </w:tcPr>
          <w:p w14:paraId="43E2665B" w14:textId="77777777" w:rsidR="007C648D" w:rsidRPr="007C648D" w:rsidRDefault="007C648D" w:rsidP="007C648D">
            <w:pPr>
              <w:spacing w:line="259" w:lineRule="auto"/>
              <w:rPr>
                <w:rFonts w:ascii="Verdana" w:hAnsi="Verdana"/>
                <w:lang w:val="es-ES_tradnl"/>
              </w:rPr>
            </w:pPr>
          </w:p>
        </w:tc>
      </w:tr>
    </w:tbl>
    <w:p w14:paraId="6F4BFF75" w14:textId="77777777" w:rsidR="007C648D" w:rsidRPr="007C648D" w:rsidRDefault="007C648D" w:rsidP="007C648D">
      <w:pPr>
        <w:spacing w:after="0"/>
        <w:rPr>
          <w:rFonts w:ascii="Verdana" w:hAnsi="Verdana"/>
          <w:lang w:val="es-ES_tradnl"/>
        </w:rPr>
      </w:pPr>
    </w:p>
    <w:p w14:paraId="51940D82" w14:textId="6948C440" w:rsidR="007C648D" w:rsidRPr="007C648D" w:rsidRDefault="007C648D" w:rsidP="007C648D">
      <w:pPr>
        <w:spacing w:after="0"/>
        <w:rPr>
          <w:rFonts w:ascii="Verdana" w:hAnsi="Verdana"/>
          <w:lang w:val="es-ES"/>
        </w:rPr>
      </w:pPr>
      <w:r w:rsidRPr="007C648D">
        <w:rPr>
          <w:rFonts w:ascii="Verdana" w:hAnsi="Verdana"/>
          <w:lang w:val="es-ES"/>
        </w:rPr>
        <w:t xml:space="preserve">Estimada señora </w:t>
      </w:r>
      <w:r w:rsidR="000B2BD5" w:rsidRPr="005A6CCB">
        <w:rPr>
          <w:rFonts w:ascii="Verdana" w:hAnsi="Verdana"/>
          <w:lang w:val="es-ES"/>
        </w:rPr>
        <w:t>Martha Oliva</w:t>
      </w:r>
      <w:r w:rsidRPr="007C648D">
        <w:rPr>
          <w:rFonts w:ascii="Verdana" w:hAnsi="Verdana"/>
          <w:lang w:val="es-ES"/>
        </w:rPr>
        <w:t xml:space="preserve">: </w:t>
      </w:r>
    </w:p>
    <w:p w14:paraId="37D7248B" w14:textId="77777777" w:rsidR="007C648D" w:rsidRPr="007C648D" w:rsidRDefault="007C648D" w:rsidP="007C648D">
      <w:pPr>
        <w:spacing w:after="0"/>
        <w:rPr>
          <w:rFonts w:ascii="Verdana" w:hAnsi="Verdana"/>
          <w:lang w:val="es-ES"/>
        </w:rPr>
      </w:pPr>
    </w:p>
    <w:p w14:paraId="31CEC6C3" w14:textId="17E423A0" w:rsidR="007C648D" w:rsidRPr="00E01E78" w:rsidRDefault="007C648D" w:rsidP="00E01E78">
      <w:pPr>
        <w:spacing w:after="120"/>
        <w:jc w:val="both"/>
        <w:rPr>
          <w:rFonts w:ascii="Verdana" w:hAnsi="Verdana"/>
          <w:i/>
          <w:iCs/>
        </w:rPr>
      </w:pPr>
      <w:r w:rsidRPr="007C648D">
        <w:rPr>
          <w:rFonts w:ascii="Verdana" w:hAnsi="Verdana"/>
          <w:lang w:val="es-ES"/>
        </w:rPr>
        <w:t xml:space="preserve">En ejercicio de la competencia otorgada por los artículos 3, numeral 5º, y 11, numeral 8º, del Decreto Ley 4170 de 2011, la Agencia Nacional de Contratación Pública – Colombia Compra Eficiente– responde la solicitud de consulta del </w:t>
      </w:r>
      <w:r w:rsidR="00C12961" w:rsidRPr="005A6CCB">
        <w:rPr>
          <w:rFonts w:ascii="Verdana" w:hAnsi="Verdana"/>
          <w:lang w:val="es-ES"/>
        </w:rPr>
        <w:t>27</w:t>
      </w:r>
      <w:r w:rsidRPr="007C648D">
        <w:rPr>
          <w:rFonts w:ascii="Verdana" w:hAnsi="Verdana"/>
          <w:lang w:val="es-ES"/>
        </w:rPr>
        <w:t xml:space="preserve"> de agosto de 2024</w:t>
      </w:r>
      <w:r w:rsidR="00C12961" w:rsidRPr="005A6CCB">
        <w:rPr>
          <w:rFonts w:ascii="Verdana" w:hAnsi="Verdana"/>
          <w:lang w:val="es-ES"/>
        </w:rPr>
        <w:t>, traslada</w:t>
      </w:r>
      <w:r w:rsidR="001D397F" w:rsidRPr="005A6CCB">
        <w:rPr>
          <w:rFonts w:ascii="Verdana" w:hAnsi="Verdana"/>
          <w:lang w:val="es-ES"/>
        </w:rPr>
        <w:t xml:space="preserve"> por parte de la Procuraduría General de la Nación, </w:t>
      </w:r>
      <w:r w:rsidR="00C12961" w:rsidRPr="005A6CCB">
        <w:rPr>
          <w:rFonts w:ascii="Verdana" w:hAnsi="Verdana"/>
          <w:lang w:val="es-ES"/>
        </w:rPr>
        <w:t xml:space="preserve">mediante oficio S-2024-040329 </w:t>
      </w:r>
      <w:r w:rsidR="001D397F" w:rsidRPr="005A6CCB">
        <w:rPr>
          <w:rFonts w:ascii="Verdana" w:hAnsi="Verdana"/>
          <w:lang w:val="es-ES"/>
        </w:rPr>
        <w:t xml:space="preserve">del </w:t>
      </w:r>
      <w:r w:rsidR="00237394" w:rsidRPr="005A6CCB">
        <w:rPr>
          <w:rFonts w:ascii="Verdana" w:hAnsi="Verdana"/>
          <w:lang w:val="es-ES"/>
        </w:rPr>
        <w:t xml:space="preserve">6 de septiembre de 2024. </w:t>
      </w:r>
      <w:r w:rsidRPr="007C648D">
        <w:rPr>
          <w:rFonts w:ascii="Verdana" w:hAnsi="Verdana"/>
          <w:lang w:val="es-ES"/>
        </w:rPr>
        <w:t xml:space="preserve">En </w:t>
      </w:r>
      <w:r w:rsidR="00F2497F">
        <w:rPr>
          <w:rFonts w:ascii="Verdana" w:hAnsi="Verdana"/>
          <w:lang w:val="es-ES"/>
        </w:rPr>
        <w:t xml:space="preserve">dicha petición usted solicita: </w:t>
      </w:r>
      <w:r w:rsidRPr="00E01E78">
        <w:rPr>
          <w:rFonts w:ascii="Verdana" w:hAnsi="Verdana"/>
          <w:i/>
          <w:iCs/>
          <w:lang w:val="es-ES"/>
        </w:rPr>
        <w:t>“(…)</w:t>
      </w:r>
      <w:r w:rsidR="00237394" w:rsidRPr="00F2497F">
        <w:rPr>
          <w:rFonts w:ascii="Verdana" w:hAnsi="Verdana"/>
          <w:i/>
          <w:iCs/>
        </w:rPr>
        <w:t xml:space="preserve"> CONCEPTO SOBRE UN CONTRATO QUE TIENE INCUMPLIMIENTO PARCIAL Y FUE SANCIONADO CON MULTA QUE PASA CON LA </w:t>
      </w:r>
      <w:r w:rsidR="00B408DA" w:rsidRPr="00F2497F">
        <w:rPr>
          <w:rFonts w:ascii="Verdana" w:hAnsi="Verdana"/>
          <w:i/>
          <w:iCs/>
        </w:rPr>
        <w:t>LIQUIDACIÓN</w:t>
      </w:r>
      <w:r w:rsidR="00237394" w:rsidRPr="00F2497F">
        <w:rPr>
          <w:rFonts w:ascii="Verdana" w:hAnsi="Verdana"/>
          <w:i/>
          <w:iCs/>
        </w:rPr>
        <w:t xml:space="preserve"> DEL CONTRATO. QUE PASA CON LOS REPORTES QUE SE DEBE HACER PARA FINALIZAR EL CONTRATO. QUE REPORTES LEGALES SE HACEN Y SI PUEDEN SER CONTRATADOS </w:t>
      </w:r>
      <w:r w:rsidR="00B408DA" w:rsidRPr="00F2497F">
        <w:rPr>
          <w:rFonts w:ascii="Verdana" w:hAnsi="Verdana"/>
          <w:i/>
          <w:iCs/>
        </w:rPr>
        <w:t>NUEVAMENTE,</w:t>
      </w:r>
      <w:r w:rsidR="00237394" w:rsidRPr="00F2497F">
        <w:rPr>
          <w:rFonts w:ascii="Verdana" w:hAnsi="Verdana"/>
          <w:i/>
          <w:iCs/>
        </w:rPr>
        <w:t xml:space="preserve"> AUNQUE TENGAN UN INCUMPLIMIENTO PARCIAL</w:t>
      </w:r>
      <w:r w:rsidR="00F2497F" w:rsidRPr="00E01E78">
        <w:rPr>
          <w:rFonts w:ascii="Verdana" w:hAnsi="Verdana"/>
          <w:i/>
          <w:iCs/>
        </w:rPr>
        <w:t xml:space="preserve"> </w:t>
      </w:r>
      <w:r w:rsidRPr="00E01E78">
        <w:rPr>
          <w:rFonts w:ascii="Verdana" w:hAnsi="Verdana"/>
          <w:i/>
          <w:iCs/>
        </w:rPr>
        <w:t>(…)</w:t>
      </w:r>
      <w:r w:rsidR="00F2497F" w:rsidRPr="00E01E78">
        <w:rPr>
          <w:rFonts w:ascii="Verdana" w:hAnsi="Verdana"/>
          <w:i/>
          <w:iCs/>
        </w:rPr>
        <w:t>”.</w:t>
      </w:r>
    </w:p>
    <w:p w14:paraId="7420A25A" w14:textId="6490716B" w:rsidR="007C648D" w:rsidRPr="007C648D" w:rsidRDefault="007C648D" w:rsidP="00E01E78">
      <w:pPr>
        <w:spacing w:after="120"/>
        <w:ind w:firstLine="709"/>
        <w:jc w:val="both"/>
        <w:rPr>
          <w:rFonts w:ascii="Verdana" w:hAnsi="Verdana"/>
          <w:lang w:val="es-ES"/>
        </w:rPr>
      </w:pPr>
      <w:r w:rsidRPr="007C648D">
        <w:rPr>
          <w:rFonts w:ascii="Verdana" w:hAnsi="Verdana"/>
          <w:lang w:val="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w:t>
      </w:r>
      <w:r w:rsidRPr="007C648D">
        <w:rPr>
          <w:rFonts w:ascii="Verdana" w:hAnsi="Verdana"/>
          <w:lang w:val="es-ES"/>
        </w:rPr>
        <w:lastRenderedPageBreak/>
        <w:t>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ni a determinar grados de responsabilidad por las actuaciones de los diferentes participes del sistema de compra pública.</w:t>
      </w:r>
    </w:p>
    <w:p w14:paraId="23014704" w14:textId="32AAA193" w:rsidR="007C648D" w:rsidRPr="007C648D" w:rsidRDefault="007C648D" w:rsidP="00E01E78">
      <w:pPr>
        <w:spacing w:after="0"/>
        <w:ind w:firstLine="708"/>
        <w:jc w:val="both"/>
        <w:rPr>
          <w:rFonts w:ascii="Verdana" w:hAnsi="Verdana"/>
          <w:lang w:val="es-ES"/>
        </w:rPr>
      </w:pPr>
      <w:r w:rsidRPr="007C648D">
        <w:rPr>
          <w:rFonts w:ascii="Verdana" w:hAnsi="Verdana"/>
          <w:lang w:val="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030E22B9" w14:textId="77777777" w:rsidR="007C648D" w:rsidRPr="007C648D" w:rsidRDefault="007C648D" w:rsidP="007C648D">
      <w:pPr>
        <w:spacing w:after="0"/>
        <w:rPr>
          <w:rFonts w:ascii="Verdana" w:hAnsi="Verdana"/>
          <w:lang w:val="es-ES"/>
        </w:rPr>
      </w:pPr>
    </w:p>
    <w:p w14:paraId="5056C482" w14:textId="77777777" w:rsidR="007C648D" w:rsidRPr="007C648D" w:rsidRDefault="007C648D" w:rsidP="0061692D">
      <w:pPr>
        <w:numPr>
          <w:ilvl w:val="0"/>
          <w:numId w:val="16"/>
        </w:numPr>
        <w:spacing w:after="0"/>
        <w:ind w:left="0" w:firstLine="0"/>
        <w:rPr>
          <w:rFonts w:ascii="Verdana" w:hAnsi="Verdana"/>
          <w:b/>
          <w:bCs/>
          <w:lang w:val="es-ES"/>
        </w:rPr>
      </w:pPr>
      <w:r w:rsidRPr="007C648D">
        <w:rPr>
          <w:rFonts w:ascii="Verdana" w:hAnsi="Verdana"/>
          <w:b/>
          <w:bCs/>
          <w:lang w:val="es-ES"/>
        </w:rPr>
        <w:t>Problema planteado:</w:t>
      </w:r>
    </w:p>
    <w:p w14:paraId="2BBD9D00" w14:textId="77777777" w:rsidR="007C648D" w:rsidRPr="007C648D" w:rsidRDefault="007C648D" w:rsidP="007C648D">
      <w:pPr>
        <w:spacing w:after="0"/>
        <w:rPr>
          <w:rFonts w:ascii="Verdana" w:hAnsi="Verdana"/>
        </w:rPr>
      </w:pPr>
    </w:p>
    <w:p w14:paraId="243CD774" w14:textId="1D7CFDE4" w:rsidR="007C648D" w:rsidRPr="007C648D" w:rsidRDefault="007C648D" w:rsidP="00EE5C0C">
      <w:pPr>
        <w:spacing w:after="0"/>
        <w:jc w:val="both"/>
        <w:rPr>
          <w:rFonts w:ascii="Verdana" w:hAnsi="Verdana"/>
        </w:rPr>
      </w:pPr>
      <w:r w:rsidRPr="007C648D">
        <w:rPr>
          <w:rFonts w:ascii="Verdana" w:hAnsi="Verdana"/>
        </w:rPr>
        <w:t>De acuerdo con el contenido de su solicitud, esta Agencia resolverá los siguientes problemas jurídicos: i) ¿</w:t>
      </w:r>
      <w:r w:rsidR="00F2497F">
        <w:rPr>
          <w:rFonts w:ascii="Verdana" w:hAnsi="Verdana"/>
        </w:rPr>
        <w:t>es</w:t>
      </w:r>
      <w:r w:rsidR="00B408DA" w:rsidRPr="005A6CCB">
        <w:rPr>
          <w:rFonts w:ascii="Verdana" w:hAnsi="Verdana"/>
        </w:rPr>
        <w:t xml:space="preserve"> </w:t>
      </w:r>
      <w:r w:rsidR="00F2497F">
        <w:rPr>
          <w:rFonts w:ascii="Verdana" w:hAnsi="Verdana"/>
        </w:rPr>
        <w:t>posible</w:t>
      </w:r>
      <w:r w:rsidR="00F2497F" w:rsidRPr="005A6CCB">
        <w:rPr>
          <w:rFonts w:ascii="Verdana" w:hAnsi="Verdana"/>
        </w:rPr>
        <w:t xml:space="preserve"> </w:t>
      </w:r>
      <w:r w:rsidR="00B408DA" w:rsidRPr="005A6CCB">
        <w:rPr>
          <w:rFonts w:ascii="Verdana" w:hAnsi="Verdana"/>
        </w:rPr>
        <w:t>liquidar un contrato</w:t>
      </w:r>
      <w:r w:rsidR="00F2497F">
        <w:rPr>
          <w:rFonts w:ascii="Verdana" w:hAnsi="Verdana"/>
        </w:rPr>
        <w:t xml:space="preserve"> en el que</w:t>
      </w:r>
      <w:r w:rsidR="00B408DA" w:rsidRPr="005A6CCB">
        <w:rPr>
          <w:rFonts w:ascii="Verdana" w:hAnsi="Verdana"/>
        </w:rPr>
        <w:t xml:space="preserve"> se ha declarado incu</w:t>
      </w:r>
      <w:r w:rsidR="002D4623" w:rsidRPr="005A6CCB">
        <w:rPr>
          <w:rFonts w:ascii="Verdana" w:hAnsi="Verdana"/>
        </w:rPr>
        <w:t>mplimiento</w:t>
      </w:r>
      <w:r w:rsidRPr="007C648D">
        <w:rPr>
          <w:rFonts w:ascii="Verdana" w:hAnsi="Verdana"/>
        </w:rPr>
        <w:t xml:space="preserve">?, y </w:t>
      </w:r>
      <w:proofErr w:type="spellStart"/>
      <w:r w:rsidRPr="007C648D">
        <w:rPr>
          <w:rFonts w:ascii="Verdana" w:hAnsi="Verdana"/>
        </w:rPr>
        <w:t>ii</w:t>
      </w:r>
      <w:proofErr w:type="spellEnd"/>
      <w:r w:rsidRPr="007C648D">
        <w:rPr>
          <w:rFonts w:ascii="Verdana" w:hAnsi="Verdana"/>
        </w:rPr>
        <w:t>) ¿</w:t>
      </w:r>
      <w:r w:rsidR="00F2497F">
        <w:rPr>
          <w:rFonts w:ascii="Verdana" w:hAnsi="Verdana"/>
        </w:rPr>
        <w:t>s</w:t>
      </w:r>
      <w:r w:rsidR="00EE5C0C" w:rsidRPr="005A6CCB">
        <w:rPr>
          <w:rFonts w:ascii="Verdana" w:hAnsi="Verdana"/>
        </w:rPr>
        <w:t>e puede</w:t>
      </w:r>
      <w:r w:rsidR="00F2497F">
        <w:rPr>
          <w:rFonts w:ascii="Verdana" w:hAnsi="Verdana"/>
        </w:rPr>
        <w:t>n</w:t>
      </w:r>
      <w:r w:rsidR="00EE5C0C" w:rsidRPr="005A6CCB">
        <w:rPr>
          <w:rFonts w:ascii="Verdana" w:hAnsi="Verdana"/>
        </w:rPr>
        <w:t xml:space="preserve"> celebrar contratos con persona</w:t>
      </w:r>
      <w:r w:rsidR="00F37743">
        <w:rPr>
          <w:rFonts w:ascii="Verdana" w:hAnsi="Verdana"/>
        </w:rPr>
        <w:t>s</w:t>
      </w:r>
      <w:r w:rsidR="00EE5C0C" w:rsidRPr="005A6CCB">
        <w:rPr>
          <w:rFonts w:ascii="Verdana" w:hAnsi="Verdana"/>
        </w:rPr>
        <w:t xml:space="preserve"> natural</w:t>
      </w:r>
      <w:r w:rsidR="00F2497F">
        <w:rPr>
          <w:rFonts w:ascii="Verdana" w:hAnsi="Verdana"/>
        </w:rPr>
        <w:t>es</w:t>
      </w:r>
      <w:r w:rsidR="00EE5C0C" w:rsidRPr="005A6CCB">
        <w:rPr>
          <w:rFonts w:ascii="Verdana" w:hAnsi="Verdana"/>
        </w:rPr>
        <w:t xml:space="preserve"> o jurídica</w:t>
      </w:r>
      <w:r w:rsidR="00F2497F">
        <w:rPr>
          <w:rFonts w:ascii="Verdana" w:hAnsi="Verdana"/>
        </w:rPr>
        <w:t>s</w:t>
      </w:r>
      <w:r w:rsidR="00EE5C0C" w:rsidRPr="005A6CCB">
        <w:rPr>
          <w:rFonts w:ascii="Verdana" w:hAnsi="Verdana"/>
        </w:rPr>
        <w:t xml:space="preserve"> que ha</w:t>
      </w:r>
      <w:r w:rsidR="00F2497F">
        <w:rPr>
          <w:rFonts w:ascii="Verdana" w:hAnsi="Verdana"/>
        </w:rPr>
        <w:t>n</w:t>
      </w:r>
      <w:r w:rsidR="00EE5C0C" w:rsidRPr="005A6CCB">
        <w:rPr>
          <w:rFonts w:ascii="Verdana" w:hAnsi="Verdana"/>
        </w:rPr>
        <w:t xml:space="preserve"> sido sancionado</w:t>
      </w:r>
      <w:r w:rsidR="00F37743">
        <w:rPr>
          <w:rFonts w:ascii="Verdana" w:hAnsi="Verdana"/>
        </w:rPr>
        <w:t>s</w:t>
      </w:r>
      <w:r w:rsidR="00EE5C0C" w:rsidRPr="005A6CCB">
        <w:rPr>
          <w:rFonts w:ascii="Verdana" w:hAnsi="Verdana"/>
        </w:rPr>
        <w:t xml:space="preserve"> contractualmente</w:t>
      </w:r>
      <w:r w:rsidR="00F37743">
        <w:rPr>
          <w:rFonts w:ascii="Verdana" w:hAnsi="Verdana"/>
        </w:rPr>
        <w:t xml:space="preserve"> por incumplimientos parciales</w:t>
      </w:r>
      <w:r w:rsidRPr="007C648D">
        <w:rPr>
          <w:rFonts w:ascii="Verdana" w:hAnsi="Verdana"/>
        </w:rPr>
        <w:t>?</w:t>
      </w:r>
    </w:p>
    <w:p w14:paraId="4D22376F" w14:textId="77777777" w:rsidR="007C648D" w:rsidRPr="007C648D" w:rsidRDefault="007C648D" w:rsidP="007C648D">
      <w:pPr>
        <w:spacing w:after="0"/>
        <w:rPr>
          <w:rFonts w:ascii="Verdana" w:hAnsi="Verdana"/>
        </w:rPr>
      </w:pPr>
    </w:p>
    <w:p w14:paraId="34B5834D" w14:textId="77777777" w:rsidR="007C648D" w:rsidRPr="007C648D" w:rsidRDefault="007C648D" w:rsidP="0061692D">
      <w:pPr>
        <w:numPr>
          <w:ilvl w:val="0"/>
          <w:numId w:val="16"/>
        </w:numPr>
        <w:spacing w:after="0"/>
        <w:ind w:left="0" w:firstLine="0"/>
        <w:rPr>
          <w:rFonts w:ascii="Verdana" w:hAnsi="Verdana"/>
          <w:b/>
          <w:bCs/>
          <w:lang w:val="es-ES"/>
        </w:rPr>
      </w:pPr>
      <w:r w:rsidRPr="007C648D">
        <w:rPr>
          <w:rFonts w:ascii="Verdana" w:hAnsi="Verdana"/>
          <w:b/>
          <w:bCs/>
          <w:lang w:val="es-ES"/>
        </w:rPr>
        <w:t>Respuesta:</w:t>
      </w:r>
    </w:p>
    <w:p w14:paraId="327B02FB" w14:textId="77777777" w:rsidR="007C648D" w:rsidRPr="007C648D" w:rsidRDefault="007C648D" w:rsidP="007C648D">
      <w:pPr>
        <w:spacing w:after="0"/>
        <w:rPr>
          <w:rFonts w:ascii="Verdana" w:hAnsi="Verdana"/>
          <w:b/>
          <w:bCs/>
          <w:lang w:val="es-ES"/>
        </w:rPr>
      </w:pPr>
    </w:p>
    <w:p w14:paraId="369DC001" w14:textId="62D53A2E" w:rsidR="000A659E" w:rsidRDefault="007C648D" w:rsidP="00E01E78">
      <w:pPr>
        <w:tabs>
          <w:tab w:val="left" w:pos="567"/>
        </w:tabs>
        <w:spacing w:after="120"/>
        <w:jc w:val="both"/>
        <w:rPr>
          <w:rFonts w:ascii="Verdana" w:hAnsi="Verdana"/>
          <w:lang w:val="es-MX"/>
        </w:rPr>
      </w:pPr>
      <w:r w:rsidRPr="007C648D">
        <w:rPr>
          <w:rFonts w:ascii="Verdana" w:hAnsi="Verdana"/>
          <w:i/>
          <w:iCs/>
          <w:lang w:val="es-ES"/>
        </w:rPr>
        <w:t>En primer lugar,</w:t>
      </w:r>
      <w:r w:rsidRPr="007C648D">
        <w:rPr>
          <w:rFonts w:ascii="Verdana" w:hAnsi="Verdana"/>
          <w:lang w:val="es-ES"/>
        </w:rPr>
        <w:t xml:space="preserve"> se debe precisar</w:t>
      </w:r>
      <w:r w:rsidR="006760EA">
        <w:rPr>
          <w:rFonts w:ascii="Verdana" w:hAnsi="Verdana"/>
          <w:lang w:val="es-ES"/>
        </w:rPr>
        <w:t xml:space="preserve"> que no existe impedimento para realizar la liquidación de un contrato, en el cual se ha interpuesto incumplimientos o impuesto multas</w:t>
      </w:r>
      <w:r w:rsidR="00905900">
        <w:rPr>
          <w:rFonts w:ascii="Verdana" w:hAnsi="Verdana"/>
          <w:lang w:val="es-ES"/>
        </w:rPr>
        <w:t xml:space="preserve"> al contratist</w:t>
      </w:r>
      <w:r w:rsidR="00652F6B">
        <w:rPr>
          <w:rFonts w:ascii="Verdana" w:hAnsi="Verdana"/>
          <w:lang w:val="es-ES"/>
        </w:rPr>
        <w:t>a, de lo cual</w:t>
      </w:r>
      <w:r w:rsidR="00EB7C8C">
        <w:rPr>
          <w:rFonts w:ascii="Verdana" w:hAnsi="Verdana"/>
          <w:lang w:val="es-ES"/>
        </w:rPr>
        <w:t>,</w:t>
      </w:r>
      <w:r w:rsidR="00652F6B">
        <w:rPr>
          <w:rFonts w:ascii="Verdana" w:hAnsi="Verdana"/>
          <w:lang w:val="es-ES"/>
        </w:rPr>
        <w:t xml:space="preserve"> se ha de precisar que en la liquidación, las </w:t>
      </w:r>
      <w:r w:rsidR="006760EA" w:rsidRPr="005A6CCB">
        <w:rPr>
          <w:rFonts w:ascii="Verdana" w:hAnsi="Verdana"/>
          <w:lang w:val="es-MX"/>
        </w:rPr>
        <w:t xml:space="preserve">partes </w:t>
      </w:r>
      <w:r w:rsidR="00652F6B">
        <w:rPr>
          <w:rFonts w:ascii="Verdana" w:hAnsi="Verdana"/>
          <w:lang w:val="es-MX"/>
        </w:rPr>
        <w:t>podrán determinar</w:t>
      </w:r>
      <w:r w:rsidR="006760EA" w:rsidRPr="005A6CCB">
        <w:rPr>
          <w:rFonts w:ascii="Verdana" w:hAnsi="Verdana"/>
          <w:lang w:val="es-MX"/>
        </w:rPr>
        <w:t xml:space="preserve"> si existen prestaciones, obligaciones o derechos a su cargo, realiza</w:t>
      </w:r>
      <w:r w:rsidR="00652F6B">
        <w:rPr>
          <w:rFonts w:ascii="Verdana" w:hAnsi="Verdana"/>
          <w:lang w:val="es-MX"/>
        </w:rPr>
        <w:t>n</w:t>
      </w:r>
      <w:r w:rsidR="006760EA" w:rsidRPr="005A6CCB">
        <w:rPr>
          <w:rFonts w:ascii="Verdana" w:hAnsi="Verdana"/>
          <w:lang w:val="es-MX"/>
        </w:rPr>
        <w:t xml:space="preserve"> un balance de las cuentas y, si es del caso, </w:t>
      </w:r>
      <w:r w:rsidR="00EB7C8C" w:rsidRPr="005A6CCB">
        <w:rPr>
          <w:rFonts w:ascii="Verdana" w:hAnsi="Verdana"/>
          <w:lang w:val="es-MX"/>
        </w:rPr>
        <w:t>efectua</w:t>
      </w:r>
      <w:r w:rsidR="00EB7C8C">
        <w:rPr>
          <w:rFonts w:ascii="Verdana" w:hAnsi="Verdana"/>
          <w:lang w:val="es-MX"/>
        </w:rPr>
        <w:t>r</w:t>
      </w:r>
      <w:r w:rsidR="006760EA" w:rsidRPr="005A6CCB">
        <w:rPr>
          <w:rFonts w:ascii="Verdana" w:hAnsi="Verdana"/>
          <w:lang w:val="es-MX"/>
        </w:rPr>
        <w:t xml:space="preserve"> las reclamaciones, ajustes y reconocimientos a que haya lugar, y en donde se puede establecer las consideraciones atinentes a las declaratorias de incumplimiento que se hubiesen realizado a lo largo de la relación contractual</w:t>
      </w:r>
      <w:r w:rsidR="00652F6B">
        <w:rPr>
          <w:rFonts w:ascii="Verdana" w:hAnsi="Verdana"/>
          <w:lang w:val="es-MX"/>
        </w:rPr>
        <w:t>.</w:t>
      </w:r>
    </w:p>
    <w:p w14:paraId="2BDDF595" w14:textId="3AEEE656" w:rsidR="005E506E" w:rsidRPr="00DA3F4B" w:rsidRDefault="00EB7C8C" w:rsidP="00E01E78">
      <w:pPr>
        <w:tabs>
          <w:tab w:val="left" w:pos="567"/>
        </w:tabs>
        <w:spacing w:after="0"/>
        <w:jc w:val="both"/>
        <w:rPr>
          <w:rFonts w:ascii="Verdana" w:eastAsia="Arial" w:hAnsi="Verdana" w:cs="Arial"/>
          <w:sz w:val="20"/>
          <w:szCs w:val="20"/>
          <w:lang w:val="es-ES"/>
        </w:rPr>
      </w:pPr>
      <w:r>
        <w:rPr>
          <w:rFonts w:ascii="Verdana" w:hAnsi="Verdana"/>
          <w:lang w:val="es-MX"/>
        </w:rPr>
        <w:tab/>
        <w:t xml:space="preserve">En </w:t>
      </w:r>
      <w:r>
        <w:rPr>
          <w:rFonts w:ascii="Verdana" w:hAnsi="Verdana"/>
          <w:i/>
          <w:iCs/>
          <w:lang w:val="es-MX"/>
        </w:rPr>
        <w:t xml:space="preserve">segundo </w:t>
      </w:r>
      <w:r w:rsidR="00E5791A">
        <w:rPr>
          <w:rFonts w:ascii="Verdana" w:hAnsi="Verdana"/>
          <w:i/>
          <w:iCs/>
          <w:lang w:val="es-MX"/>
        </w:rPr>
        <w:t>lugar</w:t>
      </w:r>
      <w:r>
        <w:rPr>
          <w:rFonts w:ascii="Verdana" w:hAnsi="Verdana"/>
          <w:i/>
          <w:iCs/>
          <w:lang w:val="es-MX"/>
        </w:rPr>
        <w:t xml:space="preserve">, </w:t>
      </w:r>
      <w:r>
        <w:rPr>
          <w:rFonts w:ascii="Verdana" w:hAnsi="Verdana"/>
          <w:lang w:val="es-MX"/>
        </w:rPr>
        <w:t>se indica que</w:t>
      </w:r>
      <w:r w:rsidR="008B4379">
        <w:rPr>
          <w:rFonts w:ascii="Verdana" w:hAnsi="Verdana"/>
          <w:lang w:val="es-MX"/>
        </w:rPr>
        <w:t xml:space="preserve">, de conformidad con </w:t>
      </w:r>
      <w:r w:rsidR="00ED456E">
        <w:rPr>
          <w:rFonts w:ascii="Verdana" w:hAnsi="Verdana"/>
          <w:lang w:val="es-MX"/>
        </w:rPr>
        <w:t xml:space="preserve">el artículo 90 de la Ley 1474 de 2011, se encuentran inhabilitados para contratar quienes hayan sido objeto de: </w:t>
      </w:r>
      <w:r w:rsidR="005E506E" w:rsidRPr="00DA3F4B">
        <w:rPr>
          <w:rFonts w:ascii="Verdana" w:eastAsia="Arial" w:hAnsi="Verdana" w:cs="Arial"/>
          <w:lang w:val="es-ES"/>
        </w:rPr>
        <w:t xml:space="preserve">a) imposición de cinco (5) o más multas durante la ejecución de uno o varios contratos, con una o varias entidades estatales, </w:t>
      </w:r>
      <w:r w:rsidR="005E506E" w:rsidRPr="00DA3F4B">
        <w:rPr>
          <w:rFonts w:ascii="Verdana" w:eastAsia="Arial" w:hAnsi="Verdana" w:cs="Arial"/>
          <w:i/>
          <w:lang w:val="es-ES"/>
        </w:rPr>
        <w:t>durante los últimos tres (3)</w:t>
      </w:r>
      <w:r w:rsidR="005E506E" w:rsidRPr="00DA3F4B">
        <w:rPr>
          <w:rFonts w:ascii="Verdana" w:eastAsia="Arial" w:hAnsi="Verdana" w:cs="Arial"/>
          <w:i/>
          <w:spacing w:val="-4"/>
          <w:lang w:val="es-ES"/>
        </w:rPr>
        <w:t xml:space="preserve"> </w:t>
      </w:r>
      <w:r w:rsidR="005E506E" w:rsidRPr="00DA3F4B">
        <w:rPr>
          <w:rFonts w:ascii="Verdana" w:eastAsia="Arial" w:hAnsi="Verdana" w:cs="Arial"/>
          <w:i/>
          <w:lang w:val="es-ES"/>
        </w:rPr>
        <w:t>años</w:t>
      </w:r>
      <w:r w:rsidR="005E506E" w:rsidRPr="00DA3F4B">
        <w:rPr>
          <w:rFonts w:ascii="Verdana" w:eastAsia="Arial" w:hAnsi="Verdana" w:cs="Arial"/>
          <w:lang w:val="es-ES"/>
        </w:rPr>
        <w:t>;</w:t>
      </w:r>
      <w:r w:rsidR="005E506E" w:rsidRPr="00DA3F4B">
        <w:rPr>
          <w:rFonts w:ascii="Verdana" w:eastAsia="Arial" w:hAnsi="Verdana" w:cs="Arial"/>
        </w:rPr>
        <w:t xml:space="preserve"> b) declaratorias de incumplimiento contractual en por lo menos</w:t>
      </w:r>
      <w:r w:rsidR="00ED456E">
        <w:rPr>
          <w:rFonts w:ascii="Verdana" w:eastAsia="Arial" w:hAnsi="Verdana" w:cs="Arial"/>
        </w:rPr>
        <w:t xml:space="preserve"> </w:t>
      </w:r>
      <w:r w:rsidR="005E506E" w:rsidRPr="00DA3F4B">
        <w:rPr>
          <w:rFonts w:ascii="Verdana" w:eastAsia="Arial" w:hAnsi="Verdana" w:cs="Arial"/>
        </w:rPr>
        <w:t xml:space="preserve">2 contratos, con una o varias entidades estatales, </w:t>
      </w:r>
      <w:r w:rsidR="005E506E" w:rsidRPr="00DA3F4B">
        <w:rPr>
          <w:rFonts w:ascii="Verdana" w:eastAsia="Arial" w:hAnsi="Verdana" w:cs="Arial"/>
          <w:i/>
        </w:rPr>
        <w:t>durante los últimos 3 años</w:t>
      </w:r>
      <w:r w:rsidR="00367568">
        <w:rPr>
          <w:rFonts w:ascii="Verdana" w:eastAsia="Arial" w:hAnsi="Verdana" w:cs="Arial"/>
        </w:rPr>
        <w:t xml:space="preserve">; c) </w:t>
      </w:r>
      <w:r w:rsidR="00367568" w:rsidRPr="00367568">
        <w:rPr>
          <w:rFonts w:ascii="Verdana" w:eastAsia="Arial" w:hAnsi="Verdana" w:cs="Arial"/>
        </w:rPr>
        <w:lastRenderedPageBreak/>
        <w:t>imposición de 2 multas y un incumplimiento durante una misma vigencia fiscal, con una o varias entidades estatales</w:t>
      </w:r>
      <w:r w:rsidR="00367568">
        <w:rPr>
          <w:rFonts w:ascii="Verdana" w:eastAsia="Arial" w:hAnsi="Verdana" w:cs="Arial"/>
        </w:rPr>
        <w:t>; y d)</w:t>
      </w:r>
      <w:r w:rsidR="002167CC">
        <w:rPr>
          <w:rFonts w:ascii="Verdana" w:eastAsia="Arial" w:hAnsi="Verdana" w:cs="Arial"/>
        </w:rPr>
        <w:t xml:space="preserve"> i</w:t>
      </w:r>
      <w:r w:rsidR="002167CC" w:rsidRPr="002167CC">
        <w:rPr>
          <w:rFonts w:ascii="Verdana" w:eastAsia="Arial" w:hAnsi="Verdana" w:cs="Arial"/>
        </w:rPr>
        <w:t xml:space="preserve">ncumplimiento contractual o de imposición de dos (2) o más multas, con una o varias entidades, cuando se trate de contratos cuyo objeto esté relacionado con el Programa de Alimentación </w:t>
      </w:r>
      <w:r w:rsidR="00E377FA">
        <w:rPr>
          <w:rFonts w:ascii="Verdana" w:hAnsi="Verdana"/>
          <w:lang w:val="es-MX"/>
        </w:rPr>
        <w:t>Escolar.</w:t>
      </w:r>
    </w:p>
    <w:p w14:paraId="74ABC73A" w14:textId="77777777" w:rsidR="005E506E" w:rsidRPr="00E01E78" w:rsidRDefault="005E506E" w:rsidP="00E5791A">
      <w:pPr>
        <w:tabs>
          <w:tab w:val="left" w:pos="567"/>
        </w:tabs>
        <w:spacing w:after="0"/>
        <w:jc w:val="both"/>
        <w:rPr>
          <w:rFonts w:ascii="Verdana" w:hAnsi="Verdana"/>
          <w:lang w:val="es-ES"/>
        </w:rPr>
      </w:pPr>
    </w:p>
    <w:p w14:paraId="32DFD947" w14:textId="55BC3778" w:rsidR="007C648D" w:rsidRPr="007C648D" w:rsidRDefault="00CA5A68" w:rsidP="0017472B">
      <w:pPr>
        <w:tabs>
          <w:tab w:val="left" w:pos="567"/>
        </w:tabs>
        <w:spacing w:after="0"/>
        <w:jc w:val="both"/>
        <w:rPr>
          <w:rFonts w:ascii="Verdana" w:hAnsi="Verdana"/>
          <w:b/>
          <w:bCs/>
          <w:lang w:val="es-ES"/>
        </w:rPr>
      </w:pPr>
      <w:r>
        <w:rPr>
          <w:rFonts w:ascii="Verdana" w:hAnsi="Verdana"/>
          <w:lang w:val="es-MX"/>
        </w:rPr>
        <w:t xml:space="preserve"> </w:t>
      </w:r>
      <w:r w:rsidR="007C648D" w:rsidRPr="007C648D">
        <w:rPr>
          <w:rFonts w:ascii="Verdana" w:hAnsi="Verdana"/>
          <w:b/>
          <w:bCs/>
          <w:lang w:val="es-ES"/>
        </w:rPr>
        <w:t>Razones de la respuesta:</w:t>
      </w:r>
    </w:p>
    <w:p w14:paraId="509F3BEE" w14:textId="77777777" w:rsidR="007C648D" w:rsidRPr="007C648D" w:rsidRDefault="007C648D" w:rsidP="007C648D">
      <w:pPr>
        <w:spacing w:after="0"/>
        <w:rPr>
          <w:rFonts w:ascii="Verdana" w:hAnsi="Verdana"/>
          <w:b/>
          <w:bCs/>
          <w:lang w:val="es-ES"/>
        </w:rPr>
      </w:pPr>
    </w:p>
    <w:p w14:paraId="01CA4F50" w14:textId="4F5DD0AD" w:rsidR="007C648D" w:rsidRPr="005A6CCB" w:rsidRDefault="007C648D" w:rsidP="008C7DF5">
      <w:pPr>
        <w:spacing w:after="0"/>
        <w:rPr>
          <w:rFonts w:ascii="Verdana" w:hAnsi="Verdana"/>
          <w:lang w:val="es-ES"/>
        </w:rPr>
      </w:pPr>
      <w:r w:rsidRPr="007C648D">
        <w:rPr>
          <w:rFonts w:ascii="Verdana" w:hAnsi="Verdana"/>
          <w:lang w:val="es-ES"/>
        </w:rPr>
        <w:t>Lo anterior se sustenta en las siguientes consideraciones:</w:t>
      </w:r>
    </w:p>
    <w:p w14:paraId="7E633DE3" w14:textId="77777777" w:rsidR="008C7DF5" w:rsidRPr="007C648D" w:rsidRDefault="008C7DF5" w:rsidP="008C7DF5">
      <w:pPr>
        <w:spacing w:after="0"/>
        <w:rPr>
          <w:rFonts w:ascii="Verdana" w:hAnsi="Verdana"/>
          <w:lang w:val="es-ES"/>
        </w:rPr>
      </w:pPr>
    </w:p>
    <w:p w14:paraId="1B465009" w14:textId="6F09253F" w:rsidR="003A2816" w:rsidRPr="003A2816" w:rsidRDefault="00B34C0F" w:rsidP="00E01E78">
      <w:pPr>
        <w:spacing w:after="0"/>
        <w:jc w:val="both"/>
        <w:rPr>
          <w:rFonts w:ascii="Verdana" w:hAnsi="Verdana"/>
          <w:lang w:val="es-ES_tradnl"/>
        </w:rPr>
      </w:pPr>
      <w:r>
        <w:rPr>
          <w:rFonts w:ascii="Verdana" w:hAnsi="Verdana"/>
        </w:rPr>
        <w:t>L</w:t>
      </w:r>
      <w:r w:rsidR="003A2816" w:rsidRPr="003A2816">
        <w:rPr>
          <w:rFonts w:ascii="Verdana" w:hAnsi="Verdana"/>
        </w:rPr>
        <w:t>as disposiciones legales que regulan la etapa de liquidación de los contratos estatales son el artículo 60 de la Ley 80 de 1993, modificado por el artículo 217 del Decreto 019 de 2012, y el artículo 11 de la Ley 1150 de 2007.</w:t>
      </w:r>
      <w:r w:rsidR="00392D34">
        <w:rPr>
          <w:rFonts w:ascii="Verdana" w:hAnsi="Verdana"/>
        </w:rPr>
        <w:t xml:space="preserve"> </w:t>
      </w:r>
      <w:r w:rsidR="003A2816" w:rsidRPr="003A2816">
        <w:rPr>
          <w:rFonts w:ascii="Verdana" w:hAnsi="Verdana"/>
        </w:rPr>
        <w:t>El primero de estos artículos se refiere al alcance sustantivo de la liquidación y los contratos en que procede, mientras que el segundo contiene reglas procedimentales para su realización. En relación con el artículo 60 referido, la doctrina ha indicado que:</w:t>
      </w:r>
    </w:p>
    <w:p w14:paraId="7A16F181" w14:textId="77777777" w:rsidR="003A2816" w:rsidRPr="005A6CCB" w:rsidRDefault="003A2816" w:rsidP="003A2816">
      <w:pPr>
        <w:spacing w:after="0"/>
        <w:jc w:val="both"/>
        <w:rPr>
          <w:rFonts w:ascii="Verdana" w:hAnsi="Verdana"/>
        </w:rPr>
      </w:pPr>
    </w:p>
    <w:p w14:paraId="73792283" w14:textId="29E318D7" w:rsidR="003A2816" w:rsidRPr="005A6CCB" w:rsidRDefault="003A2816" w:rsidP="0074133B">
      <w:pPr>
        <w:spacing w:after="0" w:line="240" w:lineRule="auto"/>
        <w:ind w:left="567" w:right="900"/>
        <w:jc w:val="both"/>
        <w:rPr>
          <w:rFonts w:ascii="Verdana" w:hAnsi="Verdana"/>
          <w:sz w:val="20"/>
          <w:szCs w:val="20"/>
        </w:rPr>
      </w:pPr>
      <w:r w:rsidRPr="003A2816">
        <w:rPr>
          <w:rFonts w:ascii="Verdana" w:hAnsi="Verdana"/>
          <w:sz w:val="20"/>
          <w:szCs w:val="20"/>
        </w:rPr>
        <w:t>“La ley 80 de 1993 […] dispuso en el artículo 60 que serían objeto de liquidación todos los contratos de tracto sucesivo, entendiendo por estos los de ejecución y cumplimiento prolongados en el tiempo, así como los demás que lo requieran –que son generalmente aquellos de ejecución instantánea en los que la misma se ha extendido temporalmente–, etapa en la cual las partes debían acordar los ajustes, revisiones y reconocimientos a que hubiera lugar, y que el contenido de la misma debía reflejar “los acuerdos, conciliaciones y transacciones a que llegaren las partes para poner fin a las divergencias presentadas y poder declararse a paz y salvo</w:t>
      </w:r>
      <w:r w:rsidR="00C056C1">
        <w:rPr>
          <w:rStyle w:val="Refdenotaalpie"/>
          <w:rFonts w:ascii="Verdana" w:hAnsi="Verdana"/>
          <w:sz w:val="20"/>
          <w:szCs w:val="20"/>
        </w:rPr>
        <w:footnoteReference w:id="2"/>
      </w:r>
      <w:r w:rsidRPr="003A2816">
        <w:rPr>
          <w:rFonts w:ascii="Verdana" w:hAnsi="Verdana"/>
          <w:sz w:val="20"/>
          <w:szCs w:val="20"/>
        </w:rPr>
        <w:t>.”</w:t>
      </w:r>
    </w:p>
    <w:p w14:paraId="5D84B61C" w14:textId="77777777" w:rsidR="003A2816" w:rsidRPr="003A2816" w:rsidRDefault="003A2816" w:rsidP="003A2816">
      <w:pPr>
        <w:spacing w:after="0"/>
        <w:jc w:val="both"/>
        <w:rPr>
          <w:rFonts w:ascii="Verdana" w:hAnsi="Verdana"/>
        </w:rPr>
      </w:pPr>
    </w:p>
    <w:p w14:paraId="092DF31B" w14:textId="797194B6" w:rsidR="003A2816" w:rsidRPr="005A6CCB" w:rsidRDefault="003A2816" w:rsidP="00E01E78">
      <w:pPr>
        <w:spacing w:after="120"/>
        <w:ind w:firstLine="567"/>
        <w:jc w:val="both"/>
        <w:rPr>
          <w:rFonts w:ascii="Verdana" w:hAnsi="Verdana"/>
        </w:rPr>
      </w:pPr>
      <w:r w:rsidRPr="003A2816">
        <w:rPr>
          <w:rFonts w:ascii="Verdana" w:hAnsi="Verdana"/>
        </w:rPr>
        <w:t>El artículo 60 de la Ley 80 de 1993, los contratos de tracto sucesivo, aquellos cuyo cumplimiento o ejecución se prolongue en el tiempo y los demás que lo requieran “serán objeto de liquidación”. El mismo artículo prescribe que no será obligatoria la liquidación en los contratos de prestación de servicios profesionales y de apoyo a la gestión. Adicionalmente, en los contratos las entidades estatales deben definir la oportunidad y forma de recibir el objeto contratado y, en cada caso, si un contrato requiere o no de liquidación, con arreglo a criterios tales como la naturaleza, objeto y plazo del contrato</w:t>
      </w:r>
      <w:r w:rsidR="00C056C1">
        <w:rPr>
          <w:rStyle w:val="Refdenotaalpie"/>
          <w:rFonts w:ascii="Verdana" w:hAnsi="Verdana"/>
        </w:rPr>
        <w:footnoteReference w:id="3"/>
      </w:r>
      <w:r w:rsidR="00C056C1">
        <w:rPr>
          <w:rFonts w:ascii="Verdana" w:hAnsi="Verdana"/>
        </w:rPr>
        <w:t>,</w:t>
      </w:r>
      <w:r w:rsidRPr="003A2816">
        <w:rPr>
          <w:rFonts w:ascii="Verdana" w:hAnsi="Verdana"/>
        </w:rPr>
        <w:t xml:space="preserve"> así como la probabilidad de que puedan surgir diferencias durante la ejecución del </w:t>
      </w:r>
      <w:r w:rsidRPr="003A2816">
        <w:rPr>
          <w:rFonts w:ascii="Verdana" w:hAnsi="Verdana"/>
        </w:rPr>
        <w:lastRenderedPageBreak/>
        <w:t>contrato; sin perjuicio de que, como se indicó, todos los contratos estatales de tracto sucesivo o aquellos cuya ejecución se prolongue en el tiempo siempre deban liquidarse, convirtiéndose en estos contratos en una cláusula de la naturaleza, conforme a la clasificación prevista en el Código Civil.</w:t>
      </w:r>
    </w:p>
    <w:p w14:paraId="42D3FB7F" w14:textId="621F3A02" w:rsidR="003A2816" w:rsidRPr="005A6CCB" w:rsidRDefault="003A2816" w:rsidP="00E01E78">
      <w:pPr>
        <w:spacing w:after="120"/>
        <w:ind w:firstLine="567"/>
        <w:jc w:val="both"/>
        <w:rPr>
          <w:rFonts w:ascii="Verdana" w:hAnsi="Verdana"/>
        </w:rPr>
      </w:pPr>
      <w:r w:rsidRPr="003A2816">
        <w:rPr>
          <w:rFonts w:ascii="Verdana" w:hAnsi="Verdana"/>
        </w:rPr>
        <w:t>El artículo 11 de la Ley 1150 de 2007</w:t>
      </w:r>
      <w:r w:rsidR="00C056C1">
        <w:rPr>
          <w:rStyle w:val="Refdenotaalpie"/>
          <w:rFonts w:ascii="Verdana" w:hAnsi="Verdana"/>
        </w:rPr>
        <w:footnoteReference w:id="4"/>
      </w:r>
      <w:r w:rsidRPr="003A2816">
        <w:rPr>
          <w:rFonts w:ascii="Verdana" w:hAnsi="Verdana"/>
        </w:rPr>
        <w:t xml:space="preserve"> contiene las reglas de tipo procedimental para liquidar los contratos estatales, las cuales se pasan a explicar. En primer lugar, en ejercicio de la autonomía de la voluntad y de conformidad con los criterios de la naturaleza, objeto y plazo del contrato, la entidad puede definir en el pliego de condiciones o en el contrato el plazo para efectuar la liquidación de mutuo acuerdo. En ausencia de pacto contractual, el artículo 11 de la Ley 1150 de 2007 prevé un término supletivo de 4 meses contados desde: i) el vencimiento del plazo previsto para la ejecución del contrato; </w:t>
      </w:r>
      <w:proofErr w:type="spellStart"/>
      <w:r w:rsidRPr="003A2816">
        <w:rPr>
          <w:rFonts w:ascii="Verdana" w:hAnsi="Verdana"/>
        </w:rPr>
        <w:t>ii</w:t>
      </w:r>
      <w:proofErr w:type="spellEnd"/>
      <w:r w:rsidRPr="003A2816">
        <w:rPr>
          <w:rFonts w:ascii="Verdana" w:hAnsi="Verdana"/>
        </w:rPr>
        <w:t xml:space="preserve">) la expedición del acto administrativo que ordene la terminación del contrato; o, </w:t>
      </w:r>
      <w:proofErr w:type="spellStart"/>
      <w:r w:rsidRPr="003A2816">
        <w:rPr>
          <w:rFonts w:ascii="Verdana" w:hAnsi="Verdana"/>
        </w:rPr>
        <w:t>iii</w:t>
      </w:r>
      <w:proofErr w:type="spellEnd"/>
      <w:r w:rsidRPr="003A2816">
        <w:rPr>
          <w:rFonts w:ascii="Verdana" w:hAnsi="Verdana"/>
        </w:rPr>
        <w:t xml:space="preserve">) la fecha del acuerdo que disponga la terminación del contrato. </w:t>
      </w:r>
    </w:p>
    <w:p w14:paraId="6CCCD0EF" w14:textId="3FB8A6CB" w:rsidR="003A2816" w:rsidRPr="005A6CCB" w:rsidRDefault="003A2816" w:rsidP="00B715B8">
      <w:pPr>
        <w:spacing w:after="0"/>
        <w:ind w:firstLine="567"/>
        <w:jc w:val="both"/>
        <w:rPr>
          <w:rFonts w:ascii="Verdana" w:hAnsi="Verdana"/>
          <w:lang w:val="es-MX"/>
        </w:rPr>
      </w:pPr>
      <w:r w:rsidRPr="003A2816">
        <w:rPr>
          <w:rFonts w:ascii="Verdana" w:hAnsi="Verdana"/>
        </w:rPr>
        <w:t>El mismo artículo 11 de la Ley 1150 de 2007 señala que la liquidación de mutuo acuerdo deberá realizar dentro del plazo previsto en “los pliegos de condiciones o sus equivalentes</w:t>
      </w:r>
      <w:r w:rsidRPr="003A2816">
        <w:rPr>
          <w:rFonts w:ascii="Verdana" w:hAnsi="Verdana"/>
          <w:lang w:val="es-MX"/>
        </w:rPr>
        <w:t xml:space="preserve">, o dentro del que acuerden las partes para el efecto”. </w:t>
      </w:r>
    </w:p>
    <w:p w14:paraId="087845D5" w14:textId="5EF98561" w:rsidR="003A2816" w:rsidRPr="003A2816" w:rsidRDefault="005A6CCB" w:rsidP="00B715B8">
      <w:pPr>
        <w:spacing w:after="0"/>
        <w:ind w:firstLine="567"/>
        <w:jc w:val="both"/>
        <w:rPr>
          <w:rFonts w:ascii="Verdana" w:hAnsi="Verdana"/>
          <w:lang w:val="es-MX"/>
        </w:rPr>
      </w:pPr>
      <w:r>
        <w:rPr>
          <w:rFonts w:ascii="Verdana" w:hAnsi="Verdana"/>
        </w:rPr>
        <w:t>Como lo ha precisado</w:t>
      </w:r>
      <w:r w:rsidR="003A2816" w:rsidRPr="003A2816">
        <w:rPr>
          <w:rFonts w:ascii="Verdana" w:hAnsi="Verdana"/>
        </w:rPr>
        <w:t>, la jurisprudencia de la Sección Tercera del Consejo de Estado, en torno a la liquidación bilateral por fuera del plazo para la interposición del medio de control de controversias contractuales, lo siguiente:</w:t>
      </w:r>
    </w:p>
    <w:p w14:paraId="091BAA2A" w14:textId="77777777" w:rsidR="003A2816" w:rsidRPr="003A2816" w:rsidRDefault="003A2816" w:rsidP="003A2816">
      <w:pPr>
        <w:spacing w:after="0"/>
        <w:jc w:val="both"/>
        <w:rPr>
          <w:rFonts w:ascii="Verdana" w:hAnsi="Verdana"/>
          <w:lang w:val="es-ES"/>
        </w:rPr>
      </w:pPr>
    </w:p>
    <w:p w14:paraId="055BC010" w14:textId="77777777" w:rsidR="003A2816" w:rsidRPr="003A2816" w:rsidRDefault="003A2816" w:rsidP="00E1376C">
      <w:pPr>
        <w:spacing w:after="0" w:line="240" w:lineRule="auto"/>
        <w:ind w:left="851" w:right="1183"/>
        <w:jc w:val="both"/>
        <w:rPr>
          <w:rFonts w:ascii="Verdana" w:hAnsi="Verdana"/>
          <w:sz w:val="20"/>
          <w:szCs w:val="20"/>
          <w:lang w:val="es-ES"/>
        </w:rPr>
      </w:pPr>
      <w:r w:rsidRPr="003A2816">
        <w:rPr>
          <w:rFonts w:ascii="Verdana" w:hAnsi="Verdana"/>
          <w:sz w:val="20"/>
          <w:szCs w:val="20"/>
          <w:lang w:val="es-ES"/>
        </w:rPr>
        <w:t xml:space="preserve">"Si las partes suscriben la liquidación bilateral del contrato cuando expiró el término de caducidad del medio de control de controversias contractuales, el negocio jurídico queda viciado de nulidad absoluta, por falta de competencia de la entidad, pues este elemento del acto jurídico no es requisito exclusivo de los actos administrativos, sino que se exige para cualquier actuación de las autoridades públicas, de conformidad con los artículos 6 y 121 de la Constitución Política. En tal supuesto, la liquidación bilateral extemporánea también se encuentra viciada de nulidad, por objeto ilícito del negocio, por contrariar la competencia temporal prevista en el artículo 11 de la Ley 1150 de 2007 y por desconocimiento de las normas de orden </w:t>
      </w:r>
      <w:r w:rsidRPr="003A2816">
        <w:rPr>
          <w:rFonts w:ascii="Verdana" w:hAnsi="Verdana"/>
          <w:sz w:val="20"/>
          <w:szCs w:val="20"/>
          <w:lang w:val="es-ES"/>
        </w:rPr>
        <w:lastRenderedPageBreak/>
        <w:t>público que establecen el término de caducidad del medio de control de controversias contractuales (art. 164, Ley 1437 de 2011), pues la liquidación por fuera de estos plazos implicaría revivir el cómputo de la caducidad."</w:t>
      </w:r>
    </w:p>
    <w:p w14:paraId="25460883" w14:textId="77777777" w:rsidR="00604356" w:rsidRPr="005A6CCB" w:rsidRDefault="00604356" w:rsidP="00525DB3">
      <w:pPr>
        <w:spacing w:after="0"/>
        <w:ind w:firstLine="708"/>
        <w:jc w:val="both"/>
        <w:rPr>
          <w:rFonts w:ascii="Verdana" w:hAnsi="Verdana"/>
        </w:rPr>
      </w:pPr>
    </w:p>
    <w:p w14:paraId="13CE5ACC" w14:textId="2FEAA00A" w:rsidR="00D05F5F" w:rsidRPr="005A6CCB" w:rsidRDefault="00604356" w:rsidP="00D55428">
      <w:pPr>
        <w:spacing w:after="0"/>
        <w:ind w:firstLine="708"/>
        <w:jc w:val="both"/>
        <w:rPr>
          <w:rFonts w:ascii="Verdana" w:hAnsi="Verdana"/>
          <w:lang w:val="es-MX"/>
        </w:rPr>
      </w:pPr>
      <w:r w:rsidRPr="005A6CCB">
        <w:rPr>
          <w:rFonts w:ascii="Verdana" w:hAnsi="Verdana"/>
        </w:rPr>
        <w:t xml:space="preserve">Ahora bien, de </w:t>
      </w:r>
      <w:r w:rsidR="00D07198" w:rsidRPr="005A6CCB">
        <w:rPr>
          <w:rFonts w:ascii="Verdana" w:hAnsi="Verdana"/>
        </w:rPr>
        <w:t xml:space="preserve">manera particular se debe precisar que el documento de liquidación, </w:t>
      </w:r>
      <w:r w:rsidR="006B052C" w:rsidRPr="005A6CCB">
        <w:rPr>
          <w:rFonts w:ascii="Verdana" w:hAnsi="Verdana"/>
        </w:rPr>
        <w:t xml:space="preserve">en caso de hacerse de común acuerdo entre las partes, es decir de manera </w:t>
      </w:r>
      <w:r w:rsidR="006B052C" w:rsidRPr="005A6CCB">
        <w:rPr>
          <w:rFonts w:ascii="Verdana" w:hAnsi="Verdana"/>
          <w:i/>
          <w:iCs/>
        </w:rPr>
        <w:t>bilateral</w:t>
      </w:r>
      <w:r w:rsidR="006B052C" w:rsidRPr="005A6CCB">
        <w:rPr>
          <w:rFonts w:ascii="Verdana" w:hAnsi="Verdana"/>
        </w:rPr>
        <w:t xml:space="preserve">, ha </w:t>
      </w:r>
      <w:r w:rsidR="006B052C" w:rsidRPr="005A6CCB">
        <w:rPr>
          <w:rFonts w:ascii="Verdana" w:hAnsi="Verdana"/>
          <w:lang w:val="es-MX"/>
        </w:rPr>
        <w:t>sido entendida por parte del Consejo de Estado, como</w:t>
      </w:r>
      <w:r w:rsidR="005302D0" w:rsidRPr="005A6CCB">
        <w:rPr>
          <w:rFonts w:ascii="Verdana" w:hAnsi="Verdana"/>
          <w:lang w:val="es-MX"/>
        </w:rPr>
        <w:t xml:space="preserve"> una actuación posterior a la terminación normal o anormal, que supone un acuerdo de voluntades que finiquita la relación negocial</w:t>
      </w:r>
      <w:r w:rsidR="00D55428" w:rsidRPr="005A6CCB">
        <w:rPr>
          <w:rStyle w:val="Refdenotaalpie"/>
          <w:rFonts w:ascii="Verdana" w:hAnsi="Verdana"/>
          <w:lang w:val="es-MX"/>
        </w:rPr>
        <w:footnoteReference w:id="5"/>
      </w:r>
      <w:r w:rsidR="005302D0" w:rsidRPr="005A6CCB">
        <w:rPr>
          <w:rFonts w:ascii="Verdana" w:hAnsi="Verdana"/>
          <w:lang w:val="es-MX"/>
        </w:rPr>
        <w:t>, en virtud del cual las partes determinan si existen prestaciones, obligaciones o derechos a su cargo, realizan un balance de las</w:t>
      </w:r>
      <w:r w:rsidR="00D55428" w:rsidRPr="005A6CCB">
        <w:rPr>
          <w:rFonts w:ascii="Verdana" w:hAnsi="Verdana"/>
          <w:lang w:val="es-MX"/>
        </w:rPr>
        <w:t xml:space="preserve"> </w:t>
      </w:r>
      <w:r w:rsidRPr="005A6CCB">
        <w:rPr>
          <w:rFonts w:ascii="Verdana" w:hAnsi="Verdana"/>
          <w:lang w:val="es-MX"/>
        </w:rPr>
        <w:t>cuentas y, si es del caso, efectúan las reclamaciones, ajustes y reconocimientos a que haya lugar</w:t>
      </w:r>
      <w:r w:rsidR="00D20D64" w:rsidRPr="005A6CCB">
        <w:rPr>
          <w:rFonts w:ascii="Verdana" w:hAnsi="Verdana"/>
          <w:lang w:val="es-MX"/>
        </w:rPr>
        <w:t xml:space="preserve">, y en donde se puede establecer las consideraciones atinentes a las declaratorias de incumplimiento que se hubiesen realizado a lo largo de la </w:t>
      </w:r>
      <w:r w:rsidR="005A667C" w:rsidRPr="005A6CCB">
        <w:rPr>
          <w:rFonts w:ascii="Verdana" w:hAnsi="Verdana"/>
          <w:lang w:val="es-MX"/>
        </w:rPr>
        <w:t xml:space="preserve">relación contractual. </w:t>
      </w:r>
      <w:r w:rsidRPr="005A6CCB">
        <w:rPr>
          <w:rFonts w:ascii="Verdana" w:hAnsi="Verdana"/>
          <w:lang w:val="es-MX"/>
        </w:rPr>
        <w:t xml:space="preserve"> </w:t>
      </w:r>
    </w:p>
    <w:p w14:paraId="73DA6CC7" w14:textId="77777777" w:rsidR="00D05F5F" w:rsidRPr="005A6CCB" w:rsidRDefault="00D05F5F" w:rsidP="00D55428">
      <w:pPr>
        <w:spacing w:after="0"/>
        <w:ind w:firstLine="708"/>
        <w:jc w:val="both"/>
        <w:rPr>
          <w:rFonts w:ascii="Verdana" w:hAnsi="Verdana"/>
          <w:lang w:val="es-MX"/>
        </w:rPr>
      </w:pPr>
    </w:p>
    <w:p w14:paraId="25F9E0E2" w14:textId="753D8210" w:rsidR="005302D0" w:rsidRPr="005A6CCB" w:rsidRDefault="005A667C" w:rsidP="00D55428">
      <w:pPr>
        <w:spacing w:after="0"/>
        <w:ind w:firstLine="708"/>
        <w:jc w:val="both"/>
        <w:rPr>
          <w:rFonts w:ascii="Verdana" w:hAnsi="Verdana"/>
          <w:lang w:val="es-MX"/>
        </w:rPr>
      </w:pPr>
      <w:r w:rsidRPr="005A6CCB">
        <w:rPr>
          <w:rFonts w:ascii="Verdana" w:hAnsi="Verdana"/>
          <w:lang w:val="es-MX"/>
        </w:rPr>
        <w:t xml:space="preserve">Pues bien, la </w:t>
      </w:r>
      <w:r w:rsidR="00604356" w:rsidRPr="005A6CCB">
        <w:rPr>
          <w:rFonts w:ascii="Verdana" w:hAnsi="Verdana"/>
          <w:lang w:val="es-MX"/>
        </w:rPr>
        <w:t xml:space="preserve">liquidación que surge del acuerdo entre las </w:t>
      </w:r>
      <w:r w:rsidR="005A6CCB" w:rsidRPr="005A6CCB">
        <w:rPr>
          <w:rFonts w:ascii="Verdana" w:hAnsi="Verdana"/>
          <w:lang w:val="es-MX"/>
        </w:rPr>
        <w:t>partes</w:t>
      </w:r>
      <w:r w:rsidR="00604356" w:rsidRPr="005A6CCB">
        <w:rPr>
          <w:rFonts w:ascii="Verdana" w:hAnsi="Verdana"/>
          <w:lang w:val="es-MX"/>
        </w:rPr>
        <w:t xml:space="preserve"> adquiere la característica de un negocio jurídico y, como tal, resulta vinculante para las partes, de tal suerte que no puede ser desconocido posteriormente ante la instancia judicial por parte de quien lo suscribe, salvo que se invoque algún vicio del consentimiento (error, fuerza o dolo) o se deje expresa constancia de la existencia de salvedades o discrepancias respecto del cruce de cuentas que allí se consigna</w:t>
      </w:r>
      <w:r w:rsidR="005A6CCB" w:rsidRPr="005A6CCB">
        <w:rPr>
          <w:rFonts w:ascii="Verdana" w:hAnsi="Verdana"/>
          <w:lang w:val="es-MX"/>
        </w:rPr>
        <w:t>.</w:t>
      </w:r>
      <w:r w:rsidR="00A30CAF">
        <w:rPr>
          <w:rStyle w:val="Refdenotaalpie"/>
          <w:rFonts w:ascii="Verdana" w:hAnsi="Verdana"/>
          <w:lang w:val="es-MX"/>
        </w:rPr>
        <w:footnoteReference w:id="6"/>
      </w:r>
    </w:p>
    <w:p w14:paraId="5D0341FF" w14:textId="77777777" w:rsidR="00525DB3" w:rsidRPr="005A6CCB" w:rsidRDefault="00525DB3" w:rsidP="003A2816">
      <w:pPr>
        <w:spacing w:after="0"/>
        <w:jc w:val="both"/>
        <w:rPr>
          <w:rFonts w:ascii="Verdana" w:hAnsi="Verdana"/>
          <w:lang w:val="es-MX"/>
        </w:rPr>
      </w:pPr>
    </w:p>
    <w:p w14:paraId="1C3AA540" w14:textId="4A04E02B" w:rsidR="001B7A34" w:rsidRDefault="00E60A04" w:rsidP="00941F12">
      <w:pPr>
        <w:spacing w:after="0"/>
        <w:ind w:firstLine="708"/>
        <w:jc w:val="both"/>
        <w:rPr>
          <w:rFonts w:ascii="Verdana" w:hAnsi="Verdana"/>
          <w:lang w:val="es-ES_tradnl"/>
        </w:rPr>
      </w:pPr>
      <w:r>
        <w:rPr>
          <w:rFonts w:ascii="Verdana" w:hAnsi="Verdana"/>
          <w:lang w:val="es-ES_tradnl"/>
        </w:rPr>
        <w:t xml:space="preserve">Por otro lado, </w:t>
      </w:r>
      <w:r w:rsidR="00112189">
        <w:rPr>
          <w:rFonts w:ascii="Verdana" w:hAnsi="Verdana"/>
          <w:lang w:val="es-ES_tradnl"/>
        </w:rPr>
        <w:t xml:space="preserve">referente a las </w:t>
      </w:r>
      <w:r w:rsidR="00726C20">
        <w:rPr>
          <w:rFonts w:ascii="Verdana" w:hAnsi="Verdana"/>
          <w:lang w:val="es-ES_tradnl"/>
        </w:rPr>
        <w:t>inhabilidades</w:t>
      </w:r>
      <w:r w:rsidR="00112189">
        <w:rPr>
          <w:rFonts w:ascii="Verdana" w:hAnsi="Verdana"/>
          <w:lang w:val="es-ES_tradnl"/>
        </w:rPr>
        <w:t xml:space="preserve"> que pueden llegar a surgir por la declaratoria de incumplimiento, es importante señalar </w:t>
      </w:r>
      <w:r w:rsidR="000A659E">
        <w:rPr>
          <w:rFonts w:ascii="Verdana" w:hAnsi="Verdana"/>
          <w:lang w:val="es-ES_tradnl"/>
        </w:rPr>
        <w:t>que,</w:t>
      </w:r>
      <w:r w:rsidR="00112189">
        <w:rPr>
          <w:rFonts w:ascii="Verdana" w:hAnsi="Verdana"/>
          <w:lang w:val="es-ES_tradnl"/>
        </w:rPr>
        <w:t xml:space="preserve"> e</w:t>
      </w:r>
      <w:r w:rsidR="001B7A34" w:rsidRPr="001B7A34">
        <w:rPr>
          <w:rFonts w:ascii="Verdana" w:hAnsi="Verdana"/>
          <w:lang w:val="es-ES_tradnl"/>
        </w:rPr>
        <w:t xml:space="preserve">n la contratación estatal, la </w:t>
      </w:r>
      <w:r w:rsidR="001B7A34" w:rsidRPr="001B7A34">
        <w:rPr>
          <w:rFonts w:ascii="Verdana" w:hAnsi="Verdana"/>
          <w:i/>
          <w:iCs/>
          <w:lang w:val="es-ES_tradnl"/>
        </w:rPr>
        <w:t>capacidad</w:t>
      </w:r>
      <w:r w:rsidR="001B7A34" w:rsidRPr="001B7A34">
        <w:rPr>
          <w:rFonts w:ascii="Verdana" w:hAnsi="Verdana"/>
          <w:lang w:val="es-ES_tradnl"/>
        </w:rPr>
        <w:t xml:space="preserve"> es un requisito de validez de los contratos, tanto en el régimen de las entidades sujetas al Estatuto General de Contratación de la Administración Pública</w:t>
      </w:r>
      <w:r w:rsidR="00EB018D">
        <w:rPr>
          <w:rFonts w:ascii="Verdana" w:hAnsi="Verdana"/>
          <w:lang w:val="es-ES_tradnl"/>
        </w:rPr>
        <w:t>-EGCAP-</w:t>
      </w:r>
      <w:r w:rsidR="001B7A34" w:rsidRPr="001B7A34">
        <w:rPr>
          <w:rFonts w:ascii="Verdana" w:hAnsi="Verdana"/>
          <w:vertAlign w:val="superscript"/>
          <w:lang w:val="es-ES_tradnl"/>
        </w:rPr>
        <w:footnoteReference w:id="7"/>
      </w:r>
      <w:r w:rsidR="001B7A34" w:rsidRPr="001B7A34">
        <w:rPr>
          <w:rFonts w:ascii="Verdana" w:hAnsi="Verdana"/>
          <w:lang w:val="es-ES_tradnl"/>
        </w:rPr>
        <w:t xml:space="preserve"> como en el de las entidades exceptuadas de aquel</w:t>
      </w:r>
      <w:r w:rsidR="001B7A34" w:rsidRPr="001B7A34">
        <w:rPr>
          <w:rFonts w:ascii="Verdana" w:hAnsi="Verdana"/>
          <w:vertAlign w:val="superscript"/>
          <w:lang w:val="es-ES_tradnl"/>
        </w:rPr>
        <w:footnoteReference w:id="8"/>
      </w:r>
      <w:r w:rsidR="001B7A34" w:rsidRPr="001B7A34">
        <w:rPr>
          <w:rFonts w:ascii="Verdana" w:hAnsi="Verdana"/>
          <w:lang w:val="es-ES_tradnl"/>
        </w:rPr>
        <w:t xml:space="preserve">. Si bien la regulación de la capacidad se integra por varias disposiciones </w:t>
      </w:r>
      <w:r w:rsidR="001B7A34" w:rsidRPr="001B7A34">
        <w:rPr>
          <w:rFonts w:ascii="Verdana" w:hAnsi="Verdana"/>
          <w:lang w:val="es-ES_tradnl"/>
        </w:rPr>
        <w:lastRenderedPageBreak/>
        <w:t>y exigencias especiales, se destaca el régimen de inhabilidades e incompatibilidades como un conjunto de normas que imponen restricciones para los sujetos que, eventualmente, pretendan participar en los procedimientos de selección o celebrar contratos con las entidades estatales</w:t>
      </w:r>
      <w:r w:rsidR="001B7A34" w:rsidRPr="001B7A34">
        <w:rPr>
          <w:rFonts w:ascii="Verdana" w:hAnsi="Verdana"/>
          <w:vertAlign w:val="superscript"/>
          <w:lang w:val="es-ES_tradnl"/>
        </w:rPr>
        <w:footnoteReference w:id="9"/>
      </w:r>
      <w:r w:rsidR="001B7A34" w:rsidRPr="001B7A34">
        <w:rPr>
          <w:rFonts w:ascii="Verdana" w:hAnsi="Verdana"/>
          <w:lang w:val="es-ES_tradnl"/>
        </w:rPr>
        <w:t>.</w:t>
      </w:r>
    </w:p>
    <w:p w14:paraId="3AF2DC1C" w14:textId="77777777" w:rsidR="00941F12" w:rsidRPr="001B7A34" w:rsidRDefault="00941F12" w:rsidP="00941F12">
      <w:pPr>
        <w:spacing w:after="0"/>
        <w:ind w:firstLine="708"/>
        <w:jc w:val="both"/>
        <w:rPr>
          <w:rFonts w:ascii="Verdana" w:hAnsi="Verdana"/>
          <w:lang w:val="es-ES_tradnl"/>
        </w:rPr>
      </w:pPr>
    </w:p>
    <w:p w14:paraId="10E24253" w14:textId="77777777" w:rsidR="001B7A34" w:rsidRDefault="001B7A34" w:rsidP="00E60A04">
      <w:pPr>
        <w:spacing w:after="0"/>
        <w:ind w:firstLine="708"/>
        <w:jc w:val="both"/>
        <w:rPr>
          <w:rFonts w:ascii="Verdana" w:hAnsi="Verdana"/>
          <w:lang w:val="es-ES"/>
        </w:rPr>
      </w:pPr>
      <w:r w:rsidRPr="001B7A34">
        <w:rPr>
          <w:rFonts w:ascii="Verdana" w:hAnsi="Verdana"/>
          <w:lang w:val="es-ES"/>
        </w:rPr>
        <w:t xml:space="preserve">Las inhabilidades son prohibiciones para concurrir a los procedimientos de selección y para contratar con el Estado, que se derivan: i) de la existencia de comportamientos reprochables o de sanciones anteriormente impuestas, </w:t>
      </w:r>
      <w:proofErr w:type="spellStart"/>
      <w:r w:rsidRPr="001B7A34">
        <w:rPr>
          <w:rFonts w:ascii="Verdana" w:hAnsi="Verdana"/>
          <w:lang w:val="es-ES"/>
        </w:rPr>
        <w:t>ii</w:t>
      </w:r>
      <w:proofErr w:type="spellEnd"/>
      <w:r w:rsidRPr="001B7A34">
        <w:rPr>
          <w:rFonts w:ascii="Verdana" w:hAnsi="Verdana"/>
          <w:lang w:val="es-ES"/>
        </w:rPr>
        <w:t xml:space="preserve">) de vínculos personales relativos al parentesco o al estado civil o </w:t>
      </w:r>
      <w:proofErr w:type="spellStart"/>
      <w:r w:rsidRPr="001B7A34">
        <w:rPr>
          <w:rFonts w:ascii="Verdana" w:hAnsi="Verdana"/>
          <w:lang w:val="es-ES"/>
        </w:rPr>
        <w:t>iii</w:t>
      </w:r>
      <w:proofErr w:type="spellEnd"/>
      <w:r w:rsidRPr="001B7A34">
        <w:rPr>
          <w:rFonts w:ascii="Verdana" w:hAnsi="Verdana"/>
          <w:lang w:val="es-ES"/>
        </w:rPr>
        <w:t>) de una actividad u oficio que se desempeñó en el pasado. De otro lado, las incompatibilidades, según un sector de la doctrina,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w:t>
      </w:r>
      <w:r w:rsidRPr="001B7A34">
        <w:rPr>
          <w:rFonts w:ascii="Verdana" w:hAnsi="Verdana"/>
          <w:vertAlign w:val="superscript"/>
          <w:lang w:val="es-ES"/>
        </w:rPr>
        <w:footnoteReference w:id="10"/>
      </w:r>
      <w:r w:rsidRPr="001B7A34">
        <w:rPr>
          <w:rFonts w:ascii="Verdana" w:hAnsi="Verdana"/>
          <w:lang w:val="es-ES"/>
        </w:rPr>
        <w:t>. En todo caso, a pesar de la existencia de distintos criterios para diferenciar las inhabilidades de las incompatibilidades, de la presencia de ellas se derivan las mismas consecuencias jurídicas, esto es, la limitación de la capacidad contractual. De manera que la presencia de ellas impide que se puedan celebrar contratos con el Estado o participar en procedimientos de selección de las entidades estatales, por lo que de cualquiera de ellas se derivan los mismos efectos jurídicos</w:t>
      </w:r>
      <w:r w:rsidRPr="001B7A34">
        <w:rPr>
          <w:rFonts w:ascii="Verdana" w:hAnsi="Verdana"/>
          <w:vertAlign w:val="superscript"/>
          <w:lang w:val="es-ES"/>
        </w:rPr>
        <w:footnoteReference w:id="11"/>
      </w:r>
      <w:r w:rsidRPr="001B7A34">
        <w:rPr>
          <w:rFonts w:ascii="Verdana" w:hAnsi="Verdana"/>
          <w:lang w:val="es-ES"/>
        </w:rPr>
        <w:t>.</w:t>
      </w:r>
    </w:p>
    <w:p w14:paraId="77DA447D" w14:textId="77777777" w:rsidR="00E60A04" w:rsidRPr="001B7A34" w:rsidRDefault="00E60A04" w:rsidP="00E60A04">
      <w:pPr>
        <w:spacing w:after="0"/>
        <w:ind w:firstLine="708"/>
        <w:jc w:val="both"/>
        <w:rPr>
          <w:rFonts w:ascii="Verdana" w:hAnsi="Verdana"/>
          <w:lang w:val="es-ES"/>
        </w:rPr>
      </w:pPr>
    </w:p>
    <w:p w14:paraId="25E3ED14" w14:textId="77777777" w:rsidR="00E60A04" w:rsidRDefault="001B7A34" w:rsidP="00E60A04">
      <w:pPr>
        <w:spacing w:after="0"/>
        <w:ind w:firstLine="708"/>
        <w:jc w:val="both"/>
        <w:rPr>
          <w:rFonts w:ascii="Verdana" w:hAnsi="Verdana"/>
          <w:lang w:val="es-ES"/>
        </w:rPr>
      </w:pPr>
      <w:r w:rsidRPr="001B7A34">
        <w:rPr>
          <w:rFonts w:ascii="Verdana" w:hAnsi="Verdana"/>
          <w:lang w:val="es-ES"/>
        </w:rPr>
        <w:t xml:space="preserve">De otro lado, el régimen de inhabilidades e incompatibilidades en la contratación pública responde a la tendencia, vigente desde hace varias décadas en nuestro país, pero que se ha reforzado en los últimos años, de asegurar que la actividad de provisión de los bienes, obras y servicios por parte de las </w:t>
      </w:r>
      <w:r w:rsidRPr="001B7A34">
        <w:rPr>
          <w:rFonts w:ascii="Verdana" w:hAnsi="Verdana"/>
          <w:lang w:val="es-ES"/>
        </w:rPr>
        <w:lastRenderedPageBreak/>
        <w:t>entidades estatales se efectúe cumpliendo con los principios de la función administrativa y de la gestión fiscal, especialmente con probidad y transparencia. Por ello, como destaca la doctrina, las inhabilidades e incompatibilidades son herramientas en la lucha contra la corrupción, adoptando paulatinamente una naturaleza sancionatoria o “</w:t>
      </w:r>
      <w:proofErr w:type="spellStart"/>
      <w:r w:rsidRPr="001B7A34">
        <w:rPr>
          <w:rFonts w:ascii="Verdana" w:hAnsi="Verdana"/>
          <w:lang w:val="es-ES"/>
        </w:rPr>
        <w:t>neopunitiva</w:t>
      </w:r>
      <w:proofErr w:type="spellEnd"/>
      <w:r w:rsidRPr="001B7A34">
        <w:rPr>
          <w:rFonts w:ascii="Verdana" w:hAnsi="Verdana"/>
          <w:lang w:val="es-ES"/>
        </w:rPr>
        <w:t>”</w:t>
      </w:r>
      <w:r w:rsidRPr="001B7A34">
        <w:rPr>
          <w:rFonts w:ascii="Verdana" w:hAnsi="Verdana"/>
          <w:vertAlign w:val="superscript"/>
          <w:lang w:val="es-ES"/>
        </w:rPr>
        <w:footnoteReference w:id="12"/>
      </w:r>
      <w:r w:rsidRPr="001B7A34">
        <w:rPr>
          <w:rFonts w:ascii="Verdana" w:hAnsi="Verdana"/>
          <w:lang w:val="es-ES"/>
        </w:rPr>
        <w:t xml:space="preserve">. </w:t>
      </w:r>
    </w:p>
    <w:p w14:paraId="1E9E5988" w14:textId="77777777" w:rsidR="00E60A04" w:rsidRDefault="00E60A04" w:rsidP="00E60A04">
      <w:pPr>
        <w:spacing w:after="0"/>
        <w:ind w:firstLine="708"/>
        <w:jc w:val="both"/>
        <w:rPr>
          <w:rFonts w:ascii="Verdana" w:hAnsi="Verdana"/>
          <w:lang w:val="es-ES"/>
        </w:rPr>
      </w:pPr>
    </w:p>
    <w:p w14:paraId="531714DC" w14:textId="340AD51C" w:rsidR="001B7A34" w:rsidRDefault="001B7A34" w:rsidP="00E60A04">
      <w:pPr>
        <w:spacing w:after="0"/>
        <w:ind w:firstLine="708"/>
        <w:jc w:val="both"/>
        <w:rPr>
          <w:rFonts w:ascii="Verdana" w:hAnsi="Verdana"/>
          <w:lang w:val="es-ES"/>
        </w:rPr>
      </w:pPr>
      <w:r w:rsidRPr="001B7A34">
        <w:rPr>
          <w:rFonts w:ascii="Verdana" w:hAnsi="Verdana"/>
          <w:lang w:val="es-ES"/>
        </w:rPr>
        <w:t>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3B6CCFA8" w14:textId="77777777" w:rsidR="00E60A04" w:rsidRPr="001B7A34" w:rsidRDefault="00E60A04" w:rsidP="00E60A04">
      <w:pPr>
        <w:spacing w:after="0"/>
        <w:ind w:firstLine="708"/>
        <w:jc w:val="both"/>
        <w:rPr>
          <w:rFonts w:ascii="Verdana" w:hAnsi="Verdana"/>
          <w:lang w:val="es-ES"/>
        </w:rPr>
      </w:pPr>
    </w:p>
    <w:p w14:paraId="37882A4B" w14:textId="77777777" w:rsidR="001B7A34" w:rsidRPr="001B7A34" w:rsidRDefault="001B7A34" w:rsidP="008F58A8">
      <w:pPr>
        <w:spacing w:after="0"/>
        <w:ind w:firstLine="708"/>
        <w:jc w:val="both"/>
        <w:rPr>
          <w:rFonts w:ascii="Verdana" w:hAnsi="Verdana"/>
          <w:lang w:val="es-ES"/>
        </w:rPr>
      </w:pPr>
      <w:r w:rsidRPr="001B7A34">
        <w:rPr>
          <w:rFonts w:ascii="Verdana" w:hAnsi="Verdana"/>
          <w:lang w:val="es-ES_tradnl"/>
        </w:rPr>
        <w:t xml:space="preserve">Ahora bien, las inhabilidades e incompatibilidades al ser restricciones o límites especiales a la capacidad para presentar ofertas y celebrar contratos estatales, solo pueden tipificarse en la ley o la Constitución –o sea, deben satisfacer el principio de legalidad– y su interpretación debe ser </w:t>
      </w:r>
      <w:r w:rsidRPr="001B7A34">
        <w:rPr>
          <w:rFonts w:ascii="Verdana" w:hAnsi="Verdana"/>
          <w:i/>
          <w:iCs/>
          <w:lang w:val="es-ES_tradnl"/>
        </w:rPr>
        <w:t>restrictiva</w:t>
      </w:r>
      <w:r w:rsidRPr="001B7A34">
        <w:rPr>
          <w:rFonts w:ascii="Verdana" w:hAnsi="Verdana"/>
          <w:i/>
          <w:iCs/>
          <w:vertAlign w:val="superscript"/>
          <w:lang w:val="es-ES_tradnl"/>
        </w:rPr>
        <w:footnoteReference w:id="13"/>
      </w:r>
      <w:r w:rsidRPr="001B7A34">
        <w:rPr>
          <w:rFonts w:ascii="Verdana" w:hAnsi="Verdana"/>
          <w:i/>
          <w:iCs/>
          <w:lang w:val="es-ES_tradnl"/>
        </w:rPr>
        <w:t xml:space="preserve">, </w:t>
      </w:r>
      <w:r w:rsidRPr="001B7A34">
        <w:rPr>
          <w:rFonts w:ascii="Verdana" w:hAnsi="Verdana"/>
          <w:lang w:val="es-ES_tradnl"/>
        </w:rPr>
        <w:t xml:space="preserve">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seguridad jurídica, la libre concurrencia y el ejercicio de la profesión u oficio. Tal ha sido la postura al interior de la jurisprudencia, tanto de la Corte Constitucional como de la Sección Tercera del Consejo de Estado. </w:t>
      </w:r>
    </w:p>
    <w:p w14:paraId="7E775469" w14:textId="77777777" w:rsidR="00525DB3" w:rsidRDefault="00525DB3" w:rsidP="003A2816">
      <w:pPr>
        <w:spacing w:after="0"/>
        <w:jc w:val="both"/>
        <w:rPr>
          <w:rFonts w:ascii="Verdana" w:hAnsi="Verdana"/>
          <w:lang w:val="es-MX"/>
        </w:rPr>
      </w:pPr>
    </w:p>
    <w:p w14:paraId="27C4206D" w14:textId="77777777" w:rsidR="00302A34" w:rsidRPr="00302A34" w:rsidRDefault="00302A34" w:rsidP="008F58A8">
      <w:pPr>
        <w:spacing w:after="0"/>
        <w:ind w:firstLine="708"/>
        <w:jc w:val="both"/>
        <w:rPr>
          <w:rFonts w:ascii="Verdana" w:hAnsi="Verdana"/>
          <w:lang w:val="es-ES_tradnl"/>
        </w:rPr>
      </w:pPr>
      <w:r w:rsidRPr="00302A34">
        <w:rPr>
          <w:rFonts w:ascii="Verdana" w:hAnsi="Verdana"/>
          <w:lang w:val="es-ES_tradnl"/>
        </w:rPr>
        <w:t>En efecto, el máximo tribunal constitucional ha indicado, al tratar de precisar el sentido de este tipo de normas, que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302A34">
        <w:rPr>
          <w:rFonts w:ascii="Verdana" w:hAnsi="Verdana"/>
          <w:vertAlign w:val="superscript"/>
          <w:lang w:val="es-ES_tradnl"/>
        </w:rPr>
        <w:footnoteReference w:id="14"/>
      </w:r>
      <w:r w:rsidRPr="00302A34">
        <w:rPr>
          <w:rFonts w:ascii="Verdana" w:hAnsi="Verdana"/>
          <w:lang w:val="es-ES_tradnl"/>
        </w:rPr>
        <w:t xml:space="preserve">.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w:t>
      </w:r>
      <w:r w:rsidRPr="00302A34">
        <w:rPr>
          <w:rFonts w:ascii="Verdana" w:hAnsi="Verdana"/>
          <w:lang w:val="es-ES_tradnl"/>
        </w:rPr>
        <w:lastRenderedPageBreak/>
        <w:t>según el cual “Los particulares sólo son responsables ante las autoridades por infringir la Constitución y las leyes” lo que se traduce en que pueden hacer todo aquello que no les esté expresamente prohibido”</w:t>
      </w:r>
      <w:r w:rsidRPr="00302A34">
        <w:rPr>
          <w:rFonts w:ascii="Verdana" w:hAnsi="Verdana"/>
          <w:vertAlign w:val="superscript"/>
          <w:lang w:val="es-ES_tradnl"/>
        </w:rPr>
        <w:footnoteReference w:id="15"/>
      </w:r>
      <w:r w:rsidRPr="00302A34">
        <w:rPr>
          <w:rFonts w:ascii="Verdana" w:hAnsi="Verdana"/>
          <w:lang w:val="es-ES_tradnl"/>
        </w:rPr>
        <w:t>. En tal sentido, la Sección Tercera ha señalado que:</w:t>
      </w:r>
    </w:p>
    <w:p w14:paraId="2A1CBF2E" w14:textId="77777777" w:rsidR="00302A34" w:rsidRPr="00302A34" w:rsidRDefault="00302A34" w:rsidP="00302A34">
      <w:pPr>
        <w:spacing w:after="0"/>
        <w:jc w:val="both"/>
        <w:rPr>
          <w:rFonts w:ascii="Verdana" w:hAnsi="Verdana"/>
          <w:lang w:val="es-ES_tradnl"/>
        </w:rPr>
      </w:pPr>
    </w:p>
    <w:p w14:paraId="2BDF096D" w14:textId="77777777" w:rsidR="00302A34" w:rsidRPr="00302A34" w:rsidRDefault="00302A34" w:rsidP="008F58A8">
      <w:pPr>
        <w:spacing w:after="0"/>
        <w:ind w:firstLine="708"/>
        <w:jc w:val="both"/>
        <w:rPr>
          <w:rFonts w:ascii="Verdana" w:hAnsi="Verdana"/>
          <w:lang w:val="es-ES_tradnl"/>
        </w:rPr>
      </w:pPr>
      <w:r w:rsidRPr="00302A34">
        <w:rPr>
          <w:rFonts w:ascii="Verdana" w:hAnsi="Verdana"/>
          <w:lang w:val="es-ES_tradnl"/>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302A34">
        <w:rPr>
          <w:rFonts w:ascii="Verdana" w:hAnsi="Verdana"/>
          <w:vertAlign w:val="superscript"/>
          <w:lang w:val="es-ES_tradnl"/>
        </w:rPr>
        <w:footnoteReference w:id="16"/>
      </w:r>
      <w:r w:rsidRPr="00302A34">
        <w:rPr>
          <w:rFonts w:ascii="Verdana" w:hAnsi="Verdana"/>
          <w:lang w:val="es-ES_tradnl"/>
        </w:rPr>
        <w:t>.</w:t>
      </w:r>
    </w:p>
    <w:p w14:paraId="2679598A" w14:textId="77777777" w:rsidR="00302A34" w:rsidRPr="00302A34" w:rsidRDefault="00302A34" w:rsidP="00302A34">
      <w:pPr>
        <w:spacing w:after="0"/>
        <w:jc w:val="both"/>
        <w:rPr>
          <w:rFonts w:ascii="Verdana" w:hAnsi="Verdana"/>
          <w:lang w:val="es-ES"/>
        </w:rPr>
      </w:pPr>
    </w:p>
    <w:p w14:paraId="186CCCCA" w14:textId="77777777" w:rsidR="00302A34" w:rsidRDefault="00302A34" w:rsidP="00E01E78">
      <w:pPr>
        <w:spacing w:after="0"/>
        <w:ind w:firstLine="708"/>
        <w:jc w:val="both"/>
        <w:rPr>
          <w:rFonts w:ascii="Verdana" w:hAnsi="Verdana"/>
          <w:lang w:val="es-ES_tradnl"/>
        </w:rPr>
      </w:pPr>
      <w:r w:rsidRPr="00302A34">
        <w:rPr>
          <w:rFonts w:ascii="Verdana" w:hAnsi="Verdana"/>
          <w:lang w:val="es-ES_tradnl"/>
        </w:rPr>
        <w:t>También ha dicho que:</w:t>
      </w:r>
    </w:p>
    <w:p w14:paraId="2050534E" w14:textId="77777777" w:rsidR="008F58A8" w:rsidRPr="00302A34" w:rsidRDefault="008F58A8" w:rsidP="00302A34">
      <w:pPr>
        <w:spacing w:after="0"/>
        <w:jc w:val="both"/>
        <w:rPr>
          <w:rFonts w:ascii="Verdana" w:hAnsi="Verdana"/>
          <w:lang w:val="es-ES"/>
        </w:rPr>
      </w:pPr>
    </w:p>
    <w:p w14:paraId="20F92A11" w14:textId="77777777" w:rsidR="00302A34" w:rsidRPr="00B34C0F" w:rsidRDefault="00302A34" w:rsidP="00B34C0F">
      <w:pPr>
        <w:spacing w:after="0" w:line="240" w:lineRule="auto"/>
        <w:ind w:left="709" w:right="900"/>
        <w:jc w:val="both"/>
        <w:rPr>
          <w:rFonts w:ascii="Verdana" w:hAnsi="Verdana"/>
          <w:sz w:val="20"/>
          <w:szCs w:val="20"/>
          <w:lang w:val="es-ES"/>
        </w:rPr>
      </w:pPr>
      <w:r w:rsidRPr="00B34C0F">
        <w:rPr>
          <w:rFonts w:ascii="Verdana" w:hAnsi="Verdana"/>
          <w:sz w:val="20"/>
          <w:szCs w:val="20"/>
          <w:lang w:val="es-ES"/>
        </w:rPr>
        <w:t xml:space="preserve">[…] la aplicación de estos preceptos exige una interpretación restrictiva, dado que según el principio hermenéutico </w:t>
      </w:r>
      <w:r w:rsidRPr="00B34C0F">
        <w:rPr>
          <w:rFonts w:ascii="Verdana" w:hAnsi="Verdana"/>
          <w:i/>
          <w:iCs/>
          <w:sz w:val="20"/>
          <w:szCs w:val="20"/>
          <w:lang w:val="es-ES"/>
        </w:rPr>
        <w:t xml:space="preserve">pro </w:t>
      </w:r>
      <w:proofErr w:type="spellStart"/>
      <w:r w:rsidRPr="00B34C0F">
        <w:rPr>
          <w:rFonts w:ascii="Verdana" w:hAnsi="Verdana"/>
          <w:i/>
          <w:iCs/>
          <w:sz w:val="20"/>
          <w:szCs w:val="20"/>
          <w:lang w:val="es-ES"/>
        </w:rPr>
        <w:t>libertate</w:t>
      </w:r>
      <w:proofErr w:type="spellEnd"/>
      <w:r w:rsidRPr="00B34C0F">
        <w:rPr>
          <w:rFonts w:ascii="Verdana" w:hAnsi="Verdana"/>
          <w:sz w:val="20"/>
          <w:szCs w:val="20"/>
          <w:lang w:val="es-ES"/>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00B34C0F">
        <w:rPr>
          <w:rFonts w:ascii="Verdana" w:hAnsi="Verdana"/>
          <w:sz w:val="20"/>
          <w:szCs w:val="20"/>
          <w:vertAlign w:val="superscript"/>
          <w:lang w:val="es-ES"/>
        </w:rPr>
        <w:footnoteReference w:id="17"/>
      </w:r>
      <w:r w:rsidRPr="00B34C0F">
        <w:rPr>
          <w:rFonts w:ascii="Verdana" w:hAnsi="Verdana"/>
          <w:sz w:val="20"/>
          <w:szCs w:val="20"/>
          <w:lang w:val="es-ES"/>
        </w:rPr>
        <w:t>.</w:t>
      </w:r>
    </w:p>
    <w:p w14:paraId="11CF88FF" w14:textId="77777777" w:rsidR="00302A34" w:rsidRPr="00302A34" w:rsidRDefault="00302A34" w:rsidP="00302A34">
      <w:pPr>
        <w:spacing w:after="0"/>
        <w:jc w:val="both"/>
        <w:rPr>
          <w:rFonts w:ascii="Verdana" w:hAnsi="Verdana"/>
          <w:lang w:val="es-ES"/>
        </w:rPr>
      </w:pPr>
    </w:p>
    <w:p w14:paraId="61C768AA" w14:textId="77777777" w:rsidR="00302A34" w:rsidRDefault="00302A34" w:rsidP="00762723">
      <w:pPr>
        <w:spacing w:after="0"/>
        <w:ind w:firstLine="708"/>
        <w:jc w:val="both"/>
        <w:rPr>
          <w:rFonts w:ascii="Verdana" w:hAnsi="Verdana"/>
        </w:rPr>
      </w:pPr>
      <w:r w:rsidRPr="00302A34">
        <w:rPr>
          <w:rFonts w:ascii="Verdana" w:hAnsi="Verdana"/>
          <w:lang w:val="es-ES_tradnl"/>
        </w:rPr>
        <w:t xml:space="preserve">Como se aprecia, el principio </w:t>
      </w:r>
      <w:r w:rsidRPr="00302A34">
        <w:rPr>
          <w:rFonts w:ascii="Verdana" w:hAnsi="Verdana"/>
          <w:i/>
          <w:iCs/>
          <w:lang w:val="es-ES_tradnl"/>
        </w:rPr>
        <w:t xml:space="preserve">pro </w:t>
      </w:r>
      <w:proofErr w:type="spellStart"/>
      <w:r w:rsidRPr="00302A34">
        <w:rPr>
          <w:rFonts w:ascii="Verdana" w:hAnsi="Verdana"/>
          <w:i/>
          <w:iCs/>
          <w:lang w:val="es-ES_tradnl"/>
        </w:rPr>
        <w:t>libertate</w:t>
      </w:r>
      <w:proofErr w:type="spellEnd"/>
      <w:r w:rsidRPr="00302A34">
        <w:rPr>
          <w:rFonts w:ascii="Verdana" w:hAnsi="Verdana"/>
          <w:lang w:val="es-ES_tradnl"/>
        </w:rPr>
        <w:t xml:space="preserve"> es el que debe dirigir la interpretación de las disposiciones normativas que consagran restricciones de derechos, como sucede con las causales de inhabilidad e incompatibilidad en la contratación estatal. Además, en relación con la determinación de las causales de inhabilidad e incompatibilidad, la</w:t>
      </w:r>
      <w:r w:rsidRPr="00302A34">
        <w:rPr>
          <w:rFonts w:ascii="Verdana" w:hAnsi="Verdana"/>
        </w:rPr>
        <w:t xml:space="preserve"> Corte Constitucional ha resaltado que la competencia para determinar qué hechos o situaciones generan inhabilidades o incompatibilidades para contratar con el Estado la tiene el legislador, pues este régimen es un aspecto propio del Estatuto General de la Contratación de la Administración Pública, cuya expedición compete al Congreso de la República, conforme al artículo 150 de la Constitución Política, y que en esta materia rige el principio de legalidad</w:t>
      </w:r>
      <w:r w:rsidRPr="00302A34">
        <w:rPr>
          <w:rFonts w:ascii="Verdana" w:hAnsi="Verdana"/>
          <w:vertAlign w:val="superscript"/>
        </w:rPr>
        <w:footnoteReference w:id="18"/>
      </w:r>
      <w:r w:rsidRPr="00302A34">
        <w:rPr>
          <w:rFonts w:ascii="Verdana" w:hAnsi="Verdana"/>
        </w:rPr>
        <w:t>.</w:t>
      </w:r>
    </w:p>
    <w:p w14:paraId="2D0088FE" w14:textId="43144C2F" w:rsidR="008F58A8" w:rsidRDefault="008F58A8" w:rsidP="00302A34">
      <w:pPr>
        <w:spacing w:after="0"/>
        <w:jc w:val="both"/>
        <w:rPr>
          <w:rFonts w:ascii="Verdana" w:hAnsi="Verdana"/>
        </w:rPr>
      </w:pPr>
    </w:p>
    <w:p w14:paraId="7CBB8AE1" w14:textId="77777777" w:rsidR="00883881" w:rsidRDefault="00883881" w:rsidP="00302A34">
      <w:pPr>
        <w:spacing w:after="0"/>
        <w:jc w:val="both"/>
        <w:rPr>
          <w:rFonts w:ascii="Verdana" w:hAnsi="Verdana"/>
        </w:rPr>
      </w:pPr>
    </w:p>
    <w:p w14:paraId="6D655942" w14:textId="0E79159A" w:rsidR="00065BE6" w:rsidRPr="00E01E78" w:rsidRDefault="008F58A8" w:rsidP="00065BE6">
      <w:pPr>
        <w:widowControl w:val="0"/>
        <w:autoSpaceDE w:val="0"/>
        <w:autoSpaceDN w:val="0"/>
        <w:spacing w:after="120" w:line="276" w:lineRule="auto"/>
        <w:ind w:right="49"/>
        <w:jc w:val="both"/>
        <w:rPr>
          <w:rFonts w:ascii="Verdana" w:eastAsia="Arial" w:hAnsi="Verdana" w:cs="Arial"/>
          <w:lang w:val="es-ES"/>
        </w:rPr>
      </w:pPr>
      <w:r>
        <w:rPr>
          <w:rFonts w:ascii="Verdana" w:hAnsi="Verdana"/>
        </w:rPr>
        <w:tab/>
      </w:r>
      <w:r w:rsidR="00065BE6" w:rsidRPr="00065BE6">
        <w:rPr>
          <w:rFonts w:ascii="Verdana" w:hAnsi="Verdana"/>
        </w:rPr>
        <w:t xml:space="preserve">Explicado lo anterior, a efectos de responder la consulta es pertinente mencionar que, </w:t>
      </w:r>
      <w:r w:rsidR="00065BE6" w:rsidRPr="00E01E78">
        <w:rPr>
          <w:rFonts w:ascii="Verdana" w:eastAsia="Arial" w:hAnsi="Verdana" w:cs="Arial"/>
          <w:lang w:val="es-ES"/>
        </w:rPr>
        <w:t>las multas y la declaratoria de incumplimiento son sanciones administrativas impuestas por la entidad en cada contrato, frente al incumplimiento, parcial o definitivo, de las obligaciones pactadas. En principio, las consecuencias de estas sanciones no se proyectan</w:t>
      </w:r>
      <w:r w:rsidR="00065BE6" w:rsidRPr="00E01E78">
        <w:rPr>
          <w:rFonts w:ascii="Verdana" w:eastAsia="Arial" w:hAnsi="Verdana" w:cs="Arial"/>
          <w:spacing w:val="34"/>
          <w:lang w:val="es-ES"/>
        </w:rPr>
        <w:t xml:space="preserve"> </w:t>
      </w:r>
      <w:r w:rsidR="00065BE6" w:rsidRPr="00E01E78">
        <w:rPr>
          <w:rFonts w:ascii="Verdana" w:eastAsia="Arial" w:hAnsi="Verdana" w:cs="Arial"/>
          <w:lang w:val="es-ES"/>
        </w:rPr>
        <w:t>más</w:t>
      </w:r>
      <w:r w:rsidR="00065BE6" w:rsidRPr="00E01E78">
        <w:rPr>
          <w:rFonts w:ascii="Verdana" w:eastAsia="Arial" w:hAnsi="Verdana" w:cs="Arial"/>
          <w:spacing w:val="35"/>
          <w:lang w:val="es-ES"/>
        </w:rPr>
        <w:t xml:space="preserve"> </w:t>
      </w:r>
      <w:r w:rsidR="00065BE6" w:rsidRPr="00E01E78">
        <w:rPr>
          <w:rFonts w:ascii="Verdana" w:eastAsia="Arial" w:hAnsi="Verdana" w:cs="Arial"/>
          <w:lang w:val="es-ES"/>
        </w:rPr>
        <w:t>allá</w:t>
      </w:r>
      <w:r w:rsidR="00065BE6" w:rsidRPr="00E01E78">
        <w:rPr>
          <w:rFonts w:ascii="Verdana" w:eastAsia="Arial" w:hAnsi="Verdana" w:cs="Arial"/>
          <w:spacing w:val="33"/>
          <w:lang w:val="es-ES"/>
        </w:rPr>
        <w:t xml:space="preserve"> </w:t>
      </w:r>
      <w:r w:rsidR="00065BE6" w:rsidRPr="00E01E78">
        <w:rPr>
          <w:rFonts w:ascii="Verdana" w:eastAsia="Arial" w:hAnsi="Verdana" w:cs="Arial"/>
          <w:lang w:val="es-ES"/>
        </w:rPr>
        <w:t>del</w:t>
      </w:r>
      <w:r w:rsidR="00065BE6" w:rsidRPr="00E01E78">
        <w:rPr>
          <w:rFonts w:ascii="Verdana" w:eastAsia="Arial" w:hAnsi="Verdana" w:cs="Arial"/>
          <w:spacing w:val="32"/>
          <w:lang w:val="es-ES"/>
        </w:rPr>
        <w:t xml:space="preserve"> </w:t>
      </w:r>
      <w:r w:rsidR="00065BE6" w:rsidRPr="00E01E78">
        <w:rPr>
          <w:rFonts w:ascii="Verdana" w:eastAsia="Arial" w:hAnsi="Verdana" w:cs="Arial"/>
          <w:lang w:val="es-ES"/>
        </w:rPr>
        <w:t>marco</w:t>
      </w:r>
      <w:r w:rsidR="00065BE6" w:rsidRPr="00E01E78">
        <w:rPr>
          <w:rFonts w:ascii="Verdana" w:eastAsia="Arial" w:hAnsi="Verdana" w:cs="Arial"/>
          <w:spacing w:val="35"/>
          <w:lang w:val="es-ES"/>
        </w:rPr>
        <w:t xml:space="preserve"> </w:t>
      </w:r>
      <w:r w:rsidR="00065BE6" w:rsidRPr="00E01E78">
        <w:rPr>
          <w:rFonts w:ascii="Verdana" w:eastAsia="Arial" w:hAnsi="Verdana" w:cs="Arial"/>
          <w:lang w:val="es-ES"/>
        </w:rPr>
        <w:t>del</w:t>
      </w:r>
      <w:r w:rsidR="00065BE6" w:rsidRPr="00E01E78">
        <w:rPr>
          <w:rFonts w:ascii="Verdana" w:eastAsia="Arial" w:hAnsi="Verdana" w:cs="Arial"/>
          <w:spacing w:val="34"/>
          <w:lang w:val="es-ES"/>
        </w:rPr>
        <w:t xml:space="preserve"> </w:t>
      </w:r>
      <w:r w:rsidR="00065BE6" w:rsidRPr="00E01E78">
        <w:rPr>
          <w:rFonts w:ascii="Verdana" w:eastAsia="Arial" w:hAnsi="Verdana" w:cs="Arial"/>
          <w:lang w:val="es-ES"/>
        </w:rPr>
        <w:t>contrato</w:t>
      </w:r>
      <w:r w:rsidR="00065BE6" w:rsidRPr="00E01E78">
        <w:rPr>
          <w:rFonts w:ascii="Verdana" w:eastAsia="Arial" w:hAnsi="Verdana" w:cs="Arial"/>
          <w:spacing w:val="35"/>
          <w:lang w:val="es-ES"/>
        </w:rPr>
        <w:t xml:space="preserve"> </w:t>
      </w:r>
      <w:r w:rsidR="00065BE6" w:rsidRPr="00E01E78">
        <w:rPr>
          <w:rFonts w:ascii="Verdana" w:eastAsia="Arial" w:hAnsi="Verdana" w:cs="Arial"/>
          <w:lang w:val="es-ES"/>
        </w:rPr>
        <w:t>en</w:t>
      </w:r>
      <w:r w:rsidR="00065BE6" w:rsidRPr="00E01E78">
        <w:rPr>
          <w:rFonts w:ascii="Verdana" w:eastAsia="Arial" w:hAnsi="Verdana" w:cs="Arial"/>
          <w:spacing w:val="35"/>
          <w:lang w:val="es-ES"/>
        </w:rPr>
        <w:t xml:space="preserve"> </w:t>
      </w:r>
      <w:r w:rsidR="00065BE6" w:rsidRPr="00E01E78">
        <w:rPr>
          <w:rFonts w:ascii="Verdana" w:eastAsia="Arial" w:hAnsi="Verdana" w:cs="Arial"/>
          <w:lang w:val="es-ES"/>
        </w:rPr>
        <w:t>el</w:t>
      </w:r>
      <w:r w:rsidR="00065BE6" w:rsidRPr="00E01E78">
        <w:rPr>
          <w:rFonts w:ascii="Verdana" w:eastAsia="Arial" w:hAnsi="Verdana" w:cs="Arial"/>
          <w:spacing w:val="34"/>
          <w:lang w:val="es-ES"/>
        </w:rPr>
        <w:t xml:space="preserve"> </w:t>
      </w:r>
      <w:r w:rsidR="00065BE6" w:rsidRPr="00E01E78">
        <w:rPr>
          <w:rFonts w:ascii="Verdana" w:eastAsia="Arial" w:hAnsi="Verdana" w:cs="Arial"/>
          <w:lang w:val="es-ES"/>
        </w:rPr>
        <w:t>que</w:t>
      </w:r>
      <w:r w:rsidR="00065BE6" w:rsidRPr="00E01E78">
        <w:rPr>
          <w:rFonts w:ascii="Verdana" w:eastAsia="Arial" w:hAnsi="Verdana" w:cs="Arial"/>
          <w:spacing w:val="33"/>
          <w:lang w:val="es-ES"/>
        </w:rPr>
        <w:t xml:space="preserve"> </w:t>
      </w:r>
      <w:r w:rsidR="00065BE6" w:rsidRPr="00E01E78">
        <w:rPr>
          <w:rFonts w:ascii="Verdana" w:eastAsia="Arial" w:hAnsi="Verdana" w:cs="Arial"/>
          <w:lang w:val="es-ES"/>
        </w:rPr>
        <w:t>fueron</w:t>
      </w:r>
      <w:r w:rsidR="00065BE6" w:rsidRPr="00E01E78">
        <w:rPr>
          <w:rFonts w:ascii="Verdana" w:eastAsia="Arial" w:hAnsi="Verdana" w:cs="Arial"/>
          <w:spacing w:val="35"/>
          <w:lang w:val="es-ES"/>
        </w:rPr>
        <w:t xml:space="preserve"> </w:t>
      </w:r>
      <w:r w:rsidR="00065BE6" w:rsidRPr="00E01E78">
        <w:rPr>
          <w:rFonts w:ascii="Verdana" w:eastAsia="Arial" w:hAnsi="Verdana" w:cs="Arial"/>
          <w:lang w:val="es-ES"/>
        </w:rPr>
        <w:t>impuestas.</w:t>
      </w:r>
      <w:r w:rsidR="00065BE6" w:rsidRPr="00E01E78">
        <w:rPr>
          <w:rFonts w:ascii="Verdana" w:eastAsia="Arial" w:hAnsi="Verdana" w:cs="Arial"/>
          <w:spacing w:val="31"/>
          <w:lang w:val="es-ES"/>
        </w:rPr>
        <w:t xml:space="preserve"> </w:t>
      </w:r>
      <w:r w:rsidR="00065BE6" w:rsidRPr="00E01E78">
        <w:rPr>
          <w:rFonts w:ascii="Verdana" w:eastAsia="Arial" w:hAnsi="Verdana" w:cs="Arial"/>
          <w:lang w:val="es-ES"/>
        </w:rPr>
        <w:t>No</w:t>
      </w:r>
      <w:r w:rsidR="00065BE6" w:rsidRPr="00E01E78">
        <w:rPr>
          <w:rFonts w:ascii="Verdana" w:eastAsia="Arial" w:hAnsi="Verdana" w:cs="Arial"/>
          <w:spacing w:val="35"/>
          <w:lang w:val="es-ES"/>
        </w:rPr>
        <w:t xml:space="preserve"> </w:t>
      </w:r>
      <w:r w:rsidR="00065BE6" w:rsidRPr="00E01E78">
        <w:rPr>
          <w:rFonts w:ascii="Verdana" w:eastAsia="Arial" w:hAnsi="Verdana" w:cs="Arial"/>
          <w:lang w:val="es-ES"/>
        </w:rPr>
        <w:t xml:space="preserve">obstante, conforme a los principios de probidad, transparencia y eficiencia, el legislador determinó que la declaratoria reiterada de estas sanciones, bien sea por la misma entidad o por varias, en uno o varios contratos, tuviera consecuencias negativas para el contratista más allá de los incumplimientos contractuales que las generaron. </w:t>
      </w:r>
    </w:p>
    <w:p w14:paraId="641E26AB" w14:textId="77777777" w:rsidR="00065BE6" w:rsidRPr="00E01E78" w:rsidRDefault="00065BE6" w:rsidP="00065BE6">
      <w:pPr>
        <w:widowControl w:val="0"/>
        <w:autoSpaceDE w:val="0"/>
        <w:autoSpaceDN w:val="0"/>
        <w:spacing w:line="276" w:lineRule="auto"/>
        <w:ind w:right="49" w:firstLine="708"/>
        <w:jc w:val="both"/>
        <w:rPr>
          <w:rFonts w:ascii="Verdana" w:eastAsia="Arial" w:hAnsi="Verdana" w:cs="Arial"/>
          <w:lang w:val="es-ES"/>
        </w:rPr>
      </w:pPr>
      <w:r w:rsidRPr="00E01E78">
        <w:rPr>
          <w:rFonts w:ascii="Verdana" w:eastAsia="Arial" w:hAnsi="Verdana" w:cs="Arial"/>
          <w:lang w:val="es-ES"/>
        </w:rPr>
        <w:t>En ese sentido, dentro del conjunto de medidas administrativas, fiscales y penales adoptadas por la Ley 1474 de 2011, conocida como Estatuto Anticorrupción, se incluyó la creación de una inhabilidad para contratar en razón del incumplimiento reiterado de los oferentes en la ejecución de otros contratos estatales. Para estos efectos, el artículo 90 de la Ley 1474 de 2011 dispuso una inhabilidad de tres (3) años, que se configura bajo las siguientes causales:</w:t>
      </w:r>
    </w:p>
    <w:p w14:paraId="73BE6B53" w14:textId="77777777" w:rsidR="00065BE6" w:rsidRPr="00E01E78" w:rsidRDefault="00065BE6" w:rsidP="00065BE6">
      <w:pPr>
        <w:widowControl w:val="0"/>
        <w:autoSpaceDE w:val="0"/>
        <w:autoSpaceDN w:val="0"/>
        <w:spacing w:after="120"/>
        <w:ind w:left="709" w:right="709"/>
        <w:jc w:val="both"/>
        <w:rPr>
          <w:rFonts w:ascii="Verdana" w:eastAsia="Arial" w:hAnsi="Verdana" w:cs="Arial"/>
          <w:sz w:val="20"/>
          <w:szCs w:val="20"/>
          <w:lang w:val="es-ES"/>
        </w:rPr>
      </w:pPr>
      <w:r w:rsidRPr="00E01E78">
        <w:rPr>
          <w:rFonts w:ascii="Verdana" w:eastAsia="Arial" w:hAnsi="Verdana" w:cs="Arial"/>
          <w:sz w:val="20"/>
          <w:szCs w:val="20"/>
          <w:lang w:val="es-ES"/>
        </w:rPr>
        <w:t xml:space="preserve">“Artículo 90. Inhabilidad por incumplimiento reiterado. Quedará inhabilitado el contratista que incurra en alguna de las siguientes conductas:  </w:t>
      </w:r>
    </w:p>
    <w:p w14:paraId="6B283CFF" w14:textId="77777777" w:rsidR="00065BE6" w:rsidRPr="00E01E78" w:rsidRDefault="00065BE6" w:rsidP="00065BE6">
      <w:pPr>
        <w:widowControl w:val="0"/>
        <w:numPr>
          <w:ilvl w:val="2"/>
          <w:numId w:val="22"/>
        </w:numPr>
        <w:tabs>
          <w:tab w:val="left" w:pos="1078"/>
        </w:tabs>
        <w:autoSpaceDE w:val="0"/>
        <w:autoSpaceDN w:val="0"/>
        <w:spacing w:after="120" w:line="240" w:lineRule="auto"/>
        <w:ind w:left="709" w:right="709" w:firstLine="0"/>
        <w:jc w:val="both"/>
        <w:rPr>
          <w:rFonts w:ascii="Verdana" w:eastAsia="Arial" w:hAnsi="Verdana" w:cs="Arial"/>
          <w:sz w:val="20"/>
          <w:szCs w:val="20"/>
          <w:lang w:val="es-ES"/>
        </w:rPr>
      </w:pPr>
      <w:r w:rsidRPr="00E01E78">
        <w:rPr>
          <w:rFonts w:ascii="Verdana" w:eastAsia="Arial" w:hAnsi="Verdana" w:cs="Arial"/>
          <w:sz w:val="20"/>
          <w:szCs w:val="20"/>
          <w:lang w:val="es-ES"/>
        </w:rPr>
        <w:t>Haber sido objeto de imposición de cinco (5) o más multas durante la ejecución de uno o varios contratos, durante una misma vigencia fiscal con una o varias entidades</w:t>
      </w:r>
      <w:r w:rsidRPr="00E01E78">
        <w:rPr>
          <w:rFonts w:ascii="Verdana" w:eastAsia="Arial" w:hAnsi="Verdana" w:cs="Arial"/>
          <w:spacing w:val="-3"/>
          <w:sz w:val="20"/>
          <w:szCs w:val="20"/>
          <w:lang w:val="es-ES"/>
        </w:rPr>
        <w:t xml:space="preserve"> </w:t>
      </w:r>
      <w:r w:rsidRPr="00E01E78">
        <w:rPr>
          <w:rFonts w:ascii="Verdana" w:eastAsia="Arial" w:hAnsi="Verdana" w:cs="Arial"/>
          <w:sz w:val="20"/>
          <w:szCs w:val="20"/>
          <w:lang w:val="es-ES"/>
        </w:rPr>
        <w:t>estatales;</w:t>
      </w:r>
    </w:p>
    <w:p w14:paraId="01B8E792" w14:textId="77777777" w:rsidR="00065BE6" w:rsidRPr="00E01E78" w:rsidRDefault="00065BE6" w:rsidP="00065BE6">
      <w:pPr>
        <w:widowControl w:val="0"/>
        <w:numPr>
          <w:ilvl w:val="2"/>
          <w:numId w:val="22"/>
        </w:numPr>
        <w:tabs>
          <w:tab w:val="left" w:pos="1118"/>
        </w:tabs>
        <w:autoSpaceDE w:val="0"/>
        <w:autoSpaceDN w:val="0"/>
        <w:spacing w:after="120" w:line="240" w:lineRule="auto"/>
        <w:ind w:left="709" w:right="709" w:firstLine="0"/>
        <w:jc w:val="both"/>
        <w:rPr>
          <w:rFonts w:ascii="Verdana" w:eastAsia="Arial" w:hAnsi="Verdana" w:cs="Arial"/>
          <w:sz w:val="20"/>
          <w:szCs w:val="20"/>
          <w:lang w:val="es-ES"/>
        </w:rPr>
      </w:pPr>
      <w:r w:rsidRPr="00E01E78">
        <w:rPr>
          <w:rFonts w:ascii="Verdana" w:eastAsia="Arial" w:hAnsi="Verdana" w:cs="Arial"/>
          <w:sz w:val="20"/>
          <w:szCs w:val="20"/>
          <w:lang w:val="es-ES"/>
        </w:rPr>
        <w:t>Haber sido objeto de declaratorias de incumplimiento contractual en por los menos dos (2) contratos durante una misma vigencia fiscal, con una o varias entidades</w:t>
      </w:r>
      <w:r w:rsidRPr="00E01E78">
        <w:rPr>
          <w:rFonts w:ascii="Verdana" w:eastAsia="Arial" w:hAnsi="Verdana" w:cs="Arial"/>
          <w:spacing w:val="-3"/>
          <w:sz w:val="20"/>
          <w:szCs w:val="20"/>
          <w:lang w:val="es-ES"/>
        </w:rPr>
        <w:t xml:space="preserve"> </w:t>
      </w:r>
      <w:r w:rsidRPr="00E01E78">
        <w:rPr>
          <w:rFonts w:ascii="Verdana" w:eastAsia="Arial" w:hAnsi="Verdana" w:cs="Arial"/>
          <w:sz w:val="20"/>
          <w:szCs w:val="20"/>
          <w:lang w:val="es-ES"/>
        </w:rPr>
        <w:t>estatales;</w:t>
      </w:r>
    </w:p>
    <w:p w14:paraId="2D9872EE" w14:textId="77777777" w:rsidR="00065BE6" w:rsidRPr="00E01E78" w:rsidRDefault="00065BE6" w:rsidP="00065BE6">
      <w:pPr>
        <w:widowControl w:val="0"/>
        <w:numPr>
          <w:ilvl w:val="2"/>
          <w:numId w:val="22"/>
        </w:numPr>
        <w:tabs>
          <w:tab w:val="left" w:pos="1108"/>
        </w:tabs>
        <w:autoSpaceDE w:val="0"/>
        <w:autoSpaceDN w:val="0"/>
        <w:spacing w:before="1" w:after="120" w:line="240" w:lineRule="auto"/>
        <w:ind w:left="709" w:right="709" w:firstLine="0"/>
        <w:jc w:val="both"/>
        <w:rPr>
          <w:rFonts w:ascii="Verdana" w:eastAsia="Arial" w:hAnsi="Verdana" w:cs="Arial"/>
          <w:sz w:val="20"/>
          <w:szCs w:val="20"/>
          <w:lang w:val="es-ES"/>
        </w:rPr>
      </w:pPr>
      <w:r w:rsidRPr="00E01E78">
        <w:rPr>
          <w:rFonts w:ascii="Verdana" w:eastAsia="Arial" w:hAnsi="Verdana" w:cs="Arial"/>
          <w:sz w:val="20"/>
          <w:szCs w:val="20"/>
          <w:lang w:val="es-ES"/>
        </w:rPr>
        <w:t>Haber sido objeto de imposición de dos (2) multas y un (1) incumplimiento durante una misma vigencia fiscal, con una o varias entidades</w:t>
      </w:r>
      <w:r w:rsidRPr="00E01E78">
        <w:rPr>
          <w:rFonts w:ascii="Verdana" w:eastAsia="Arial" w:hAnsi="Verdana" w:cs="Arial"/>
          <w:spacing w:val="-24"/>
          <w:sz w:val="20"/>
          <w:szCs w:val="20"/>
          <w:lang w:val="es-ES"/>
        </w:rPr>
        <w:t xml:space="preserve"> </w:t>
      </w:r>
      <w:r w:rsidRPr="00E01E78">
        <w:rPr>
          <w:rFonts w:ascii="Verdana" w:eastAsia="Arial" w:hAnsi="Verdana" w:cs="Arial"/>
          <w:sz w:val="20"/>
          <w:szCs w:val="20"/>
          <w:lang w:val="es-ES"/>
        </w:rPr>
        <w:t>estatales.</w:t>
      </w:r>
    </w:p>
    <w:p w14:paraId="4C7DD25B" w14:textId="77777777" w:rsidR="00065BE6" w:rsidRPr="00E01E78" w:rsidRDefault="00065BE6" w:rsidP="00065BE6">
      <w:pPr>
        <w:pStyle w:val="Prrafodelista"/>
        <w:widowControl w:val="0"/>
        <w:numPr>
          <w:ilvl w:val="2"/>
          <w:numId w:val="22"/>
        </w:numPr>
        <w:autoSpaceDE w:val="0"/>
        <w:autoSpaceDN w:val="0"/>
        <w:spacing w:after="0" w:line="240" w:lineRule="auto"/>
        <w:ind w:right="709"/>
        <w:jc w:val="both"/>
        <w:rPr>
          <w:rFonts w:ascii="Verdana" w:eastAsia="Arial" w:hAnsi="Verdana" w:cs="Arial"/>
          <w:sz w:val="20"/>
          <w:szCs w:val="20"/>
        </w:rPr>
      </w:pPr>
      <w:r w:rsidRPr="00E01E78">
        <w:rPr>
          <w:rFonts w:ascii="Verdana" w:eastAsia="Arial" w:hAnsi="Verdana" w:cs="Arial"/>
          <w:sz w:val="20"/>
          <w:szCs w:val="20"/>
        </w:rPr>
        <w:t>&lt;Literal adicionado por el artículo 51 de la Ley 2195 de 2022. El nuevo texto es el siguiente:&gt; Haber sido objeto de incumplimiento contractual o de imposición de dos (2) o más multas, con una o varias entidades, cuando se trate de contratos cuyo objeto esté relacionado con el Programa de Alimentación Escolar. Esta inhabilidad se extenderá por un término de diez (10) años, contados a partir de la publicación del acto administrativo que impone la inscripción de la última multa o incumplimiento en el Registro Único de Proponentes, de acuerdo con la información remitida por las entidades públicas.</w:t>
      </w:r>
    </w:p>
    <w:p w14:paraId="11FBB8E4" w14:textId="77777777" w:rsidR="00065BE6" w:rsidRPr="00E01E78" w:rsidRDefault="00065BE6" w:rsidP="00065BE6">
      <w:pPr>
        <w:pStyle w:val="Prrafodelista"/>
        <w:widowControl w:val="0"/>
        <w:autoSpaceDE w:val="0"/>
        <w:autoSpaceDN w:val="0"/>
        <w:ind w:left="805" w:right="709"/>
        <w:jc w:val="both"/>
        <w:rPr>
          <w:rFonts w:ascii="Verdana" w:eastAsia="Arial" w:hAnsi="Verdana" w:cs="Arial"/>
          <w:sz w:val="20"/>
          <w:szCs w:val="20"/>
        </w:rPr>
      </w:pPr>
      <w:r w:rsidRPr="00E01E78">
        <w:rPr>
          <w:rFonts w:ascii="Verdana" w:eastAsia="Arial" w:hAnsi="Verdana" w:cs="Arial"/>
          <w:sz w:val="20"/>
          <w:szCs w:val="20"/>
        </w:rPr>
        <w:t xml:space="preserve">La inhabilidad pertinente se hará explícita en el Registro Único de </w:t>
      </w:r>
      <w:r w:rsidRPr="00E01E78">
        <w:rPr>
          <w:rFonts w:ascii="Verdana" w:eastAsia="Arial" w:hAnsi="Verdana" w:cs="Arial"/>
          <w:sz w:val="20"/>
          <w:szCs w:val="20"/>
        </w:rPr>
        <w:lastRenderedPageBreak/>
        <w:t>Proponentes cuando a ello haya lugar.</w:t>
      </w:r>
    </w:p>
    <w:p w14:paraId="00F0AF6A" w14:textId="77777777" w:rsidR="00065BE6" w:rsidRPr="00E01E78" w:rsidRDefault="00065BE6" w:rsidP="00065BE6">
      <w:pPr>
        <w:widowControl w:val="0"/>
        <w:tabs>
          <w:tab w:val="left" w:pos="1078"/>
        </w:tabs>
        <w:autoSpaceDE w:val="0"/>
        <w:autoSpaceDN w:val="0"/>
        <w:spacing w:after="120"/>
        <w:ind w:left="709" w:right="709"/>
        <w:jc w:val="both"/>
        <w:rPr>
          <w:rFonts w:ascii="Verdana" w:eastAsia="Arial" w:hAnsi="Verdana" w:cs="Arial"/>
          <w:sz w:val="20"/>
          <w:szCs w:val="20"/>
          <w:lang w:val="es-ES"/>
        </w:rPr>
      </w:pPr>
      <w:r w:rsidRPr="00E01E78">
        <w:rPr>
          <w:rFonts w:ascii="Verdana" w:eastAsia="Arial" w:hAnsi="Verdana" w:cs="Arial"/>
          <w:sz w:val="20"/>
          <w:szCs w:val="20"/>
          <w:lang w:val="es-ES"/>
        </w:rPr>
        <w:t>La inhabilidad se extenderá por un término de tres (3) años, contados a partir de la publicación del acto administrativo que impone la inscripción de la última multa o incumplimiento en el Registro Único de Proponentes, de acuerdo con la información remitida por las entidades públicas. La inhabilidad pertinente se hará explícita en el Registro Único de Proponentes cuando a ello haya lugar.</w:t>
      </w:r>
    </w:p>
    <w:p w14:paraId="2C862BE8" w14:textId="77777777" w:rsidR="00065BE6" w:rsidRPr="00E01E78" w:rsidRDefault="00065BE6" w:rsidP="00065BE6">
      <w:pPr>
        <w:widowControl w:val="0"/>
        <w:tabs>
          <w:tab w:val="left" w:pos="1078"/>
        </w:tabs>
        <w:autoSpaceDE w:val="0"/>
        <w:autoSpaceDN w:val="0"/>
        <w:spacing w:after="120"/>
        <w:ind w:left="709" w:right="709"/>
        <w:jc w:val="both"/>
        <w:rPr>
          <w:rFonts w:ascii="Verdana" w:eastAsia="Arial" w:hAnsi="Verdana" w:cs="Arial"/>
          <w:sz w:val="20"/>
          <w:szCs w:val="20"/>
          <w:lang w:val="es-ES"/>
        </w:rPr>
      </w:pPr>
      <w:r w:rsidRPr="00E01E78">
        <w:rPr>
          <w:rFonts w:ascii="Verdana" w:eastAsia="Arial" w:hAnsi="Verdana" w:cs="Arial"/>
          <w:sz w:val="20"/>
          <w:szCs w:val="20"/>
          <w:lang w:val="es-ES"/>
        </w:rPr>
        <w:t>PARÁGRAFO. La inhabilidad a que se refiere el presente artículo se extenderá a los socios de sociedades de personas a las cuales se haya declarado esta inhabilidad, así como a las sociedades de personas de las que aquellos formen parte con posterioridad a dicha declaratoria”.</w:t>
      </w:r>
    </w:p>
    <w:p w14:paraId="324F382D" w14:textId="77777777" w:rsidR="00065BE6" w:rsidRPr="00E01E78" w:rsidRDefault="00065BE6" w:rsidP="00065BE6">
      <w:pPr>
        <w:widowControl w:val="0"/>
        <w:autoSpaceDE w:val="0"/>
        <w:autoSpaceDN w:val="0"/>
        <w:spacing w:after="120" w:line="276" w:lineRule="auto"/>
        <w:ind w:left="102" w:right="108" w:firstLine="607"/>
        <w:jc w:val="both"/>
        <w:rPr>
          <w:rFonts w:ascii="Verdana" w:eastAsia="Arial" w:hAnsi="Verdana" w:cs="Arial"/>
          <w:lang w:val="es-ES"/>
        </w:rPr>
      </w:pPr>
      <w:r w:rsidRPr="00E01E78">
        <w:rPr>
          <w:rFonts w:ascii="Verdana" w:eastAsia="Arial" w:hAnsi="Verdana" w:cs="Arial"/>
          <w:lang w:val="es-ES"/>
        </w:rPr>
        <w:t>Como se aprecia, el texto original de la Ley 1474 de 2011 con sus normas modificatorias contempla cuatro supuestos de hecho que dan lugar a la configuración de la inhabilidad: a) el primero relativo a imposición de cinco (5) multas por incumplimiento –parcial– durante una misma vigencia fiscal, con una o varias entidades estatales; b) un segundo supuesto que consiste en la concurrencia de dos (2) declaratorias de incumplimiento –definitivo</w:t>
      </w:r>
      <w:r w:rsidRPr="00E01E78">
        <w:rPr>
          <w:rFonts w:ascii="Verdana" w:eastAsia="Arial" w:hAnsi="Verdana" w:cs="Arial"/>
          <w:lang w:val="es-ES"/>
        </w:rPr>
        <w:softHyphen/>
        <w:t>– de contratos durante una misma vigencia fiscal, con una o varias vigencias fiscales;  c) un tercer supuesto alusivo a la imposición de dos (2) multas y una (1) declaratoria de incumplimiento –definitivo–, durante una misma vigencia fiscal con una o varias entidades estatales</w:t>
      </w:r>
      <w:r w:rsidRPr="00E01E78">
        <w:rPr>
          <w:rStyle w:val="Refdenotaalpie"/>
          <w:rFonts w:ascii="Verdana" w:eastAsia="Arial" w:hAnsi="Verdana" w:cs="Arial"/>
          <w:lang w:val="es-ES"/>
        </w:rPr>
        <w:footnoteReference w:id="19"/>
      </w:r>
      <w:r w:rsidRPr="00E01E78">
        <w:rPr>
          <w:rFonts w:ascii="Verdana" w:eastAsia="Arial" w:hAnsi="Verdana" w:cs="Arial"/>
          <w:lang w:val="es-ES"/>
        </w:rPr>
        <w:t xml:space="preserve">, y d) un cuarto supuesto, introducido por el artículo 51 de la Ley 2195 de 2022, referido a un (1) declaratoria de incumplimiento o (2) dos o más multas con una o varias entidades en contratos relacionados con el programa de Alimentación escolar.  Ante la configuración de cualquiera de estos supuestos, la persona quedaría inhabilitada por un periodo de tres (3) años contados a partir de la fecha de inscripción en el RUP de la última multa o declaratoria de incumplimiento y diez (10) años cuando se trata del cuarto supuesto. </w:t>
      </w:r>
    </w:p>
    <w:p w14:paraId="242AF3F9" w14:textId="77777777" w:rsidR="00065BE6" w:rsidRPr="00E01E78" w:rsidRDefault="00065BE6" w:rsidP="00065BE6">
      <w:pPr>
        <w:widowControl w:val="0"/>
        <w:tabs>
          <w:tab w:val="left" w:pos="1063"/>
        </w:tabs>
        <w:autoSpaceDE w:val="0"/>
        <w:autoSpaceDN w:val="0"/>
        <w:spacing w:after="120" w:line="276" w:lineRule="auto"/>
        <w:jc w:val="both"/>
        <w:rPr>
          <w:rFonts w:ascii="Verdana" w:eastAsia="Arial" w:hAnsi="Verdana" w:cs="Arial"/>
        </w:rPr>
      </w:pPr>
      <w:r w:rsidRPr="00E01E78">
        <w:rPr>
          <w:rFonts w:ascii="Verdana" w:eastAsia="Arial" w:hAnsi="Verdana" w:cs="Arial"/>
          <w:lang w:val="es-ES"/>
        </w:rPr>
        <w:tab/>
        <w:t xml:space="preserve">Los literales a) y b) fueron modificados por el artículo 43 de la Ley 1955 de 2019, en lo que respecta al periodo dentro del que se deben presentar las multas y declaratorias de incumplimiento para que se configure los dos primeros supuestos que dan lugar a la configuración de la inhabilidad por incumplimiento reiterado. Los literales a) y b) quedaron de la siguiente manera: “a) Haber sido objeto de imposición de cinco (5) o más multas durante la ejecución de uno o varios contratos, con una o varias entidades estatales, </w:t>
      </w:r>
      <w:r w:rsidRPr="00E01E78">
        <w:rPr>
          <w:rFonts w:ascii="Verdana" w:eastAsia="Arial" w:hAnsi="Verdana" w:cs="Arial"/>
          <w:i/>
          <w:lang w:val="es-ES"/>
        </w:rPr>
        <w:t>durante los últimos tres (3)</w:t>
      </w:r>
      <w:r w:rsidRPr="00E01E78">
        <w:rPr>
          <w:rFonts w:ascii="Verdana" w:eastAsia="Arial" w:hAnsi="Verdana" w:cs="Arial"/>
          <w:i/>
          <w:spacing w:val="-4"/>
          <w:lang w:val="es-ES"/>
        </w:rPr>
        <w:t xml:space="preserve"> </w:t>
      </w:r>
      <w:r w:rsidRPr="00E01E78">
        <w:rPr>
          <w:rFonts w:ascii="Verdana" w:eastAsia="Arial" w:hAnsi="Verdana" w:cs="Arial"/>
          <w:i/>
          <w:lang w:val="es-ES"/>
        </w:rPr>
        <w:t>años</w:t>
      </w:r>
      <w:r w:rsidRPr="00E01E78">
        <w:rPr>
          <w:rFonts w:ascii="Verdana" w:eastAsia="Arial" w:hAnsi="Verdana" w:cs="Arial"/>
          <w:lang w:val="es-ES"/>
        </w:rPr>
        <w:t>;</w:t>
      </w:r>
      <w:r w:rsidRPr="00E01E78">
        <w:rPr>
          <w:rFonts w:ascii="Verdana" w:eastAsia="Arial" w:hAnsi="Verdana" w:cs="Arial"/>
        </w:rPr>
        <w:t xml:space="preserve"> b) Haber sido objeto de declaratorias de </w:t>
      </w:r>
      <w:r w:rsidRPr="00E01E78">
        <w:rPr>
          <w:rFonts w:ascii="Verdana" w:eastAsia="Arial" w:hAnsi="Verdana" w:cs="Arial"/>
        </w:rPr>
        <w:lastRenderedPageBreak/>
        <w:t xml:space="preserve">incumplimiento contractual en por lo menos dos (2) contratos, con una o varias entidades estatales, </w:t>
      </w:r>
      <w:r w:rsidRPr="00E01E78">
        <w:rPr>
          <w:rFonts w:ascii="Verdana" w:eastAsia="Arial" w:hAnsi="Verdana" w:cs="Arial"/>
          <w:i/>
        </w:rPr>
        <w:t xml:space="preserve">durante los últimos tres (3) años </w:t>
      </w:r>
      <w:r w:rsidRPr="00E01E78">
        <w:rPr>
          <w:rFonts w:ascii="Verdana" w:eastAsia="Arial" w:hAnsi="Verdana" w:cs="Arial"/>
        </w:rPr>
        <w:t>[…]”. (Cursivas fuera de</w:t>
      </w:r>
      <w:r w:rsidRPr="00E01E78">
        <w:rPr>
          <w:rFonts w:ascii="Verdana" w:eastAsia="Arial" w:hAnsi="Verdana" w:cs="Arial"/>
          <w:spacing w:val="-6"/>
        </w:rPr>
        <w:t xml:space="preserve"> </w:t>
      </w:r>
      <w:r w:rsidRPr="00E01E78">
        <w:rPr>
          <w:rFonts w:ascii="Verdana" w:eastAsia="Arial" w:hAnsi="Verdana" w:cs="Arial"/>
        </w:rPr>
        <w:t>texto)</w:t>
      </w:r>
    </w:p>
    <w:p w14:paraId="1EDE5C95" w14:textId="77777777" w:rsidR="00065BE6" w:rsidRPr="00E01E78" w:rsidRDefault="00065BE6" w:rsidP="00065BE6">
      <w:pPr>
        <w:widowControl w:val="0"/>
        <w:autoSpaceDE w:val="0"/>
        <w:autoSpaceDN w:val="0"/>
        <w:spacing w:line="276" w:lineRule="auto"/>
        <w:ind w:right="114" w:firstLine="708"/>
        <w:jc w:val="both"/>
        <w:rPr>
          <w:rFonts w:ascii="Verdana" w:eastAsia="Arial" w:hAnsi="Verdana" w:cs="Arial"/>
          <w:lang w:val="es-ES"/>
        </w:rPr>
      </w:pPr>
      <w:r w:rsidRPr="00E01E78">
        <w:rPr>
          <w:rFonts w:ascii="Verdana" w:eastAsia="Arial" w:hAnsi="Verdana" w:cs="Arial"/>
          <w:lang w:val="es-ES"/>
        </w:rPr>
        <w:t>En ese orden, a la luz del texto original de la Ley 1474 de 2011, para que se configurara la inhabilidad era necesario que las cinco multas –literal a)– o los dos incumplimientos –literal b)– fueran declarados en la misma vigencia fiscal, esto es, en el mismo año. Después de la modificación introducida por la Ley 1955 de 2019, basta que las dos declaratorias de incumplimiento o las cinco multas se hayan impuesto dentro de los últimos tres años.</w:t>
      </w:r>
    </w:p>
    <w:p w14:paraId="49514EA2" w14:textId="77777777" w:rsidR="007C648D" w:rsidRPr="007C648D" w:rsidRDefault="007C648D" w:rsidP="00065BE6">
      <w:pPr>
        <w:spacing w:after="0"/>
        <w:jc w:val="both"/>
        <w:rPr>
          <w:rFonts w:ascii="Verdana" w:hAnsi="Verdana"/>
          <w:lang w:val="es-ES"/>
        </w:rPr>
      </w:pPr>
    </w:p>
    <w:p w14:paraId="4F427AE3" w14:textId="77777777" w:rsidR="007C648D" w:rsidRPr="007C648D" w:rsidRDefault="007C648D" w:rsidP="00EB528F">
      <w:pPr>
        <w:numPr>
          <w:ilvl w:val="0"/>
          <w:numId w:val="16"/>
        </w:numPr>
        <w:spacing w:after="0"/>
        <w:ind w:left="0" w:firstLine="0"/>
        <w:rPr>
          <w:rFonts w:ascii="Verdana" w:hAnsi="Verdana"/>
          <w:b/>
          <w:bCs/>
          <w:lang w:val="es-ES"/>
        </w:rPr>
      </w:pPr>
      <w:r w:rsidRPr="007C648D">
        <w:rPr>
          <w:rFonts w:ascii="Verdana" w:hAnsi="Verdana"/>
          <w:b/>
          <w:bCs/>
          <w:lang w:val="es-ES"/>
        </w:rPr>
        <w:t>Referencias normativas, jurisprudenciales y otras fuentes:</w:t>
      </w:r>
    </w:p>
    <w:p w14:paraId="447145BC" w14:textId="77777777" w:rsidR="007C648D" w:rsidRPr="007C648D" w:rsidRDefault="007C648D" w:rsidP="007C648D">
      <w:pPr>
        <w:spacing w:after="0"/>
        <w:rPr>
          <w:rFonts w:ascii="Verdana" w:hAnsi="Verdana"/>
          <w:bCs/>
          <w:lang w:val="es-ES_tradnl"/>
        </w:rPr>
      </w:pPr>
    </w:p>
    <w:p w14:paraId="488D0D05" w14:textId="1F5596C5" w:rsidR="007C648D" w:rsidRPr="00FC3A93" w:rsidRDefault="007C648D" w:rsidP="007C648D">
      <w:pPr>
        <w:numPr>
          <w:ilvl w:val="0"/>
          <w:numId w:val="20"/>
        </w:numPr>
        <w:spacing w:after="0"/>
        <w:rPr>
          <w:rFonts w:ascii="Verdana" w:hAnsi="Verdana"/>
          <w:lang w:val="es-ES_tradnl"/>
        </w:rPr>
      </w:pPr>
      <w:r w:rsidRPr="00FC3A93">
        <w:rPr>
          <w:rFonts w:ascii="Verdana" w:hAnsi="Verdana"/>
          <w:lang w:val="es-ES_tradnl"/>
        </w:rPr>
        <w:t xml:space="preserve">Ley 80 de 1993, articulo </w:t>
      </w:r>
      <w:r w:rsidR="00B01447" w:rsidRPr="00FC3A93">
        <w:rPr>
          <w:rFonts w:ascii="Verdana" w:hAnsi="Verdana"/>
          <w:lang w:val="es-ES_tradnl"/>
        </w:rPr>
        <w:t>60</w:t>
      </w:r>
      <w:r w:rsidRPr="00FC3A93">
        <w:rPr>
          <w:rFonts w:ascii="Verdana" w:hAnsi="Verdana"/>
          <w:lang w:val="es-ES_tradnl"/>
        </w:rPr>
        <w:t xml:space="preserve">. Disponible en: </w:t>
      </w:r>
    </w:p>
    <w:p w14:paraId="66395CD8" w14:textId="77777777" w:rsidR="007C648D" w:rsidRPr="00FC3A93" w:rsidRDefault="00FC3A93" w:rsidP="007C648D">
      <w:pPr>
        <w:spacing w:after="0"/>
        <w:rPr>
          <w:rFonts w:ascii="Verdana" w:hAnsi="Verdana"/>
          <w:lang w:val="es-ES_tradnl"/>
        </w:rPr>
      </w:pPr>
      <w:hyperlink r:id="rId12" w:history="1">
        <w:r w:rsidR="007C648D" w:rsidRPr="00FC3A93">
          <w:rPr>
            <w:rStyle w:val="Hipervnculo"/>
            <w:rFonts w:ascii="Verdana" w:hAnsi="Verdana"/>
            <w:lang w:val="es-ES_tradnl"/>
          </w:rPr>
          <w:t>https://relatoria.colombiacompra.gov.co/normativa/ley-80-de-1993/</w:t>
        </w:r>
      </w:hyperlink>
    </w:p>
    <w:p w14:paraId="41ABB71D" w14:textId="77777777" w:rsidR="007C648D" w:rsidRPr="00FC3A93" w:rsidRDefault="007C648D" w:rsidP="007C648D">
      <w:pPr>
        <w:spacing w:after="0"/>
        <w:rPr>
          <w:rFonts w:ascii="Verdana" w:hAnsi="Verdana"/>
          <w:lang w:val="es-ES_tradnl"/>
        </w:rPr>
      </w:pPr>
    </w:p>
    <w:p w14:paraId="6483C268" w14:textId="78A6A91C" w:rsidR="00871728" w:rsidRPr="00FC3A93" w:rsidRDefault="00136A85" w:rsidP="007C648D">
      <w:pPr>
        <w:numPr>
          <w:ilvl w:val="0"/>
          <w:numId w:val="20"/>
        </w:numPr>
        <w:spacing w:after="0"/>
        <w:rPr>
          <w:rFonts w:ascii="Verdana" w:hAnsi="Verdana"/>
          <w:lang w:val="es-ES_tradnl"/>
        </w:rPr>
      </w:pPr>
      <w:r w:rsidRPr="00FC3A93">
        <w:rPr>
          <w:rFonts w:ascii="Verdana" w:hAnsi="Verdana"/>
          <w:lang w:val="es-ES_tradnl"/>
        </w:rPr>
        <w:t xml:space="preserve">Ley 1150 de 2007, Artículo 11. Disponible en: </w:t>
      </w:r>
      <w:hyperlink r:id="rId13" w:history="1">
        <w:r w:rsidR="007F66A9" w:rsidRPr="00FC3A93">
          <w:rPr>
            <w:rStyle w:val="Hipervnculo"/>
            <w:rFonts w:ascii="Verdana" w:hAnsi="Verdana"/>
            <w:lang w:val="es-ES_tradnl"/>
          </w:rPr>
          <w:t>https://relatoria.colombiacompra.gov.co/normativa/ley-1150-de-2007/</w:t>
        </w:r>
      </w:hyperlink>
    </w:p>
    <w:p w14:paraId="497FE6D6" w14:textId="77777777" w:rsidR="00136A85" w:rsidRPr="00FC3A93" w:rsidRDefault="00136A85" w:rsidP="00136A85">
      <w:pPr>
        <w:spacing w:after="0"/>
        <w:ind w:left="720"/>
        <w:rPr>
          <w:rFonts w:ascii="Verdana" w:hAnsi="Verdana"/>
          <w:lang w:val="es-ES_tradnl"/>
        </w:rPr>
      </w:pPr>
    </w:p>
    <w:p w14:paraId="739CBBE8" w14:textId="5AB81ED5" w:rsidR="007C648D" w:rsidRPr="00FC3A93" w:rsidRDefault="007C648D" w:rsidP="007C648D">
      <w:pPr>
        <w:numPr>
          <w:ilvl w:val="0"/>
          <w:numId w:val="20"/>
        </w:numPr>
        <w:spacing w:after="0"/>
        <w:rPr>
          <w:rFonts w:ascii="Verdana" w:hAnsi="Verdana"/>
          <w:lang w:val="es-ES_tradnl"/>
        </w:rPr>
      </w:pPr>
      <w:r w:rsidRPr="00FC3A93">
        <w:rPr>
          <w:rFonts w:ascii="Verdana" w:hAnsi="Verdana"/>
          <w:lang w:val="es-ES_tradnl"/>
        </w:rPr>
        <w:t>Ley 1474 de 2011, artículo 9</w:t>
      </w:r>
      <w:r w:rsidR="00871728" w:rsidRPr="00FC3A93">
        <w:rPr>
          <w:rFonts w:ascii="Verdana" w:hAnsi="Verdana"/>
          <w:lang w:val="es-ES_tradnl"/>
        </w:rPr>
        <w:t>0</w:t>
      </w:r>
      <w:r w:rsidRPr="00FC3A93">
        <w:rPr>
          <w:rFonts w:ascii="Verdana" w:hAnsi="Verdana"/>
          <w:lang w:val="es-ES_tradnl"/>
        </w:rPr>
        <w:t xml:space="preserve">. Disponible en: </w:t>
      </w:r>
      <w:hyperlink r:id="rId14" w:history="1">
        <w:r w:rsidRPr="00FC3A93">
          <w:rPr>
            <w:rStyle w:val="Hipervnculo"/>
            <w:rFonts w:ascii="Verdana" w:hAnsi="Verdana"/>
            <w:lang w:val="es-ES_tradnl"/>
          </w:rPr>
          <w:t>https://relatoria.colombiacompra.gov.co/normativa/ley-1474-de-2011/</w:t>
        </w:r>
      </w:hyperlink>
    </w:p>
    <w:p w14:paraId="5EE1B475" w14:textId="77777777" w:rsidR="007C648D" w:rsidRPr="00FC3A93" w:rsidRDefault="007C648D" w:rsidP="007C648D">
      <w:pPr>
        <w:spacing w:after="0"/>
        <w:rPr>
          <w:rFonts w:ascii="Verdana" w:hAnsi="Verdana"/>
          <w:lang w:val="es-ES_tradnl"/>
        </w:rPr>
      </w:pPr>
    </w:p>
    <w:p w14:paraId="13D4CC0A" w14:textId="77777777" w:rsidR="007C648D" w:rsidRPr="00FC3A93" w:rsidRDefault="007C648D" w:rsidP="007C648D">
      <w:pPr>
        <w:numPr>
          <w:ilvl w:val="0"/>
          <w:numId w:val="20"/>
        </w:numPr>
        <w:spacing w:after="0"/>
        <w:rPr>
          <w:rFonts w:ascii="Verdana" w:hAnsi="Verdana"/>
          <w:lang w:val="es-ES_tradnl"/>
        </w:rPr>
      </w:pPr>
      <w:r w:rsidRPr="00FC3A93">
        <w:rPr>
          <w:rFonts w:ascii="Verdana" w:hAnsi="Verdana"/>
          <w:lang w:val="es-ES"/>
        </w:rPr>
        <w:t xml:space="preserve">Decreto 1082 de 2015, artículo 2.2.1.2.3.1.7. Disponible en: </w:t>
      </w:r>
      <w:hyperlink r:id="rId15" w:history="1">
        <w:r w:rsidRPr="00FC3A93">
          <w:rPr>
            <w:rStyle w:val="Hipervnculo"/>
            <w:rFonts w:ascii="Verdana" w:hAnsi="Verdana"/>
            <w:lang w:val="es-ES"/>
          </w:rPr>
          <w:t>https://relatoria.colombiacompra.gov.co/normativa/decreto-1082-de-2015/</w:t>
        </w:r>
      </w:hyperlink>
    </w:p>
    <w:p w14:paraId="1F036868" w14:textId="77777777" w:rsidR="003C439A" w:rsidRPr="00FC3A93" w:rsidRDefault="003C439A" w:rsidP="003C439A">
      <w:pPr>
        <w:pStyle w:val="Prrafodelista"/>
        <w:rPr>
          <w:rFonts w:ascii="Verdana" w:hAnsi="Verdana"/>
          <w:lang w:val="es-ES_tradnl"/>
        </w:rPr>
      </w:pPr>
    </w:p>
    <w:p w14:paraId="4986A60B" w14:textId="77777777" w:rsidR="009F5023" w:rsidRPr="00FC3A93" w:rsidRDefault="00136A85" w:rsidP="009F5023">
      <w:pPr>
        <w:pStyle w:val="Prrafodelista"/>
        <w:numPr>
          <w:ilvl w:val="0"/>
          <w:numId w:val="20"/>
        </w:numPr>
        <w:spacing w:after="0"/>
        <w:rPr>
          <w:rFonts w:ascii="Verdana" w:hAnsi="Verdana"/>
          <w:lang w:val="es-CO"/>
        </w:rPr>
      </w:pPr>
      <w:r w:rsidRPr="00FC3A93">
        <w:rPr>
          <w:rFonts w:ascii="Verdana" w:hAnsi="Verdana"/>
          <w:lang w:val="es-CO"/>
        </w:rPr>
        <w:t>Decreto 019 de 2012</w:t>
      </w:r>
      <w:r w:rsidRPr="00FC3A93">
        <w:rPr>
          <w:rFonts w:ascii="Verdana" w:hAnsi="Verdana"/>
        </w:rPr>
        <w:t xml:space="preserve">, artículo 217. </w:t>
      </w:r>
      <w:r w:rsidR="009F5023" w:rsidRPr="00FC3A93">
        <w:rPr>
          <w:rFonts w:ascii="Verdana" w:hAnsi="Verdana"/>
        </w:rPr>
        <w:t>Disponible en:</w:t>
      </w:r>
    </w:p>
    <w:p w14:paraId="0D8F8EDE" w14:textId="1CA46186" w:rsidR="00136A85" w:rsidRPr="00FC3A93" w:rsidRDefault="00FC3A93" w:rsidP="009F5023">
      <w:pPr>
        <w:spacing w:after="0"/>
        <w:ind w:left="720"/>
        <w:rPr>
          <w:rFonts w:ascii="Verdana" w:hAnsi="Verdana"/>
          <w:lang w:val="es-ES_tradnl"/>
        </w:rPr>
      </w:pPr>
      <w:hyperlink r:id="rId16" w:history="1">
        <w:r w:rsidR="007255C1" w:rsidRPr="00FC3A93">
          <w:rPr>
            <w:rStyle w:val="Hipervnculo"/>
            <w:rFonts w:ascii="Verdana" w:hAnsi="Verdana"/>
          </w:rPr>
          <w:t>https://relatoria.colombiacompra.gov.co/normativa/decreto-019-de-2012/</w:t>
        </w:r>
      </w:hyperlink>
    </w:p>
    <w:p w14:paraId="5ED98228" w14:textId="77777777" w:rsidR="003C439A" w:rsidRPr="00FC3A93" w:rsidRDefault="003C439A" w:rsidP="003C439A">
      <w:pPr>
        <w:pStyle w:val="Prrafodelista"/>
        <w:rPr>
          <w:rFonts w:ascii="Verdana" w:hAnsi="Verdana"/>
          <w:lang w:val="es-ES_tradnl"/>
        </w:rPr>
      </w:pPr>
    </w:p>
    <w:p w14:paraId="41DCD0A6" w14:textId="6FCEDBB2" w:rsidR="003C439A" w:rsidRPr="00FC3A93" w:rsidRDefault="003C439A" w:rsidP="003C439A">
      <w:pPr>
        <w:pStyle w:val="Prrafodelista"/>
        <w:numPr>
          <w:ilvl w:val="0"/>
          <w:numId w:val="20"/>
        </w:numPr>
        <w:spacing w:after="0"/>
        <w:rPr>
          <w:rFonts w:ascii="Verdana" w:hAnsi="Verdana"/>
          <w:lang w:val="es-CO"/>
        </w:rPr>
      </w:pPr>
      <w:r w:rsidRPr="00FC3A93">
        <w:rPr>
          <w:rFonts w:ascii="Verdana" w:hAnsi="Verdana"/>
          <w:lang w:val="es-CO"/>
        </w:rPr>
        <w:t>Corte Constitucional. Sentencia C-415 de 1994. M.P. Eduardo Cifuentes Muñoz.</w:t>
      </w:r>
      <w:r w:rsidRPr="00FC3A93">
        <w:rPr>
          <w:rFonts w:ascii="Verdana" w:hAnsi="Verdana"/>
        </w:rPr>
        <w:t xml:space="preserve"> Disponible</w:t>
      </w:r>
      <w:r w:rsidR="009F5023" w:rsidRPr="00FC3A93">
        <w:rPr>
          <w:rFonts w:ascii="Verdana" w:hAnsi="Verdana"/>
        </w:rPr>
        <w:t xml:space="preserve"> en:</w:t>
      </w:r>
      <w:r w:rsidR="00FC3A93" w:rsidRPr="00FC3A93">
        <w:rPr>
          <w:rFonts w:ascii="Verdana" w:hAnsi="Verdana"/>
        </w:rPr>
        <w:t xml:space="preserve"> </w:t>
      </w:r>
      <w:hyperlink r:id="rId17" w:history="1">
        <w:r w:rsidR="00FC3A93" w:rsidRPr="00FC3A93">
          <w:rPr>
            <w:rStyle w:val="Hipervnculo"/>
            <w:rFonts w:ascii="Verdana" w:hAnsi="Verdana"/>
          </w:rPr>
          <w:t>https://www.corteconstitucional.gov.co/relatoria/1994/c-415-94.htm</w:t>
        </w:r>
      </w:hyperlink>
    </w:p>
    <w:p w14:paraId="1A05FE8A" w14:textId="77777777" w:rsidR="003C439A" w:rsidRPr="00FC3A93" w:rsidRDefault="003C439A" w:rsidP="009F5023">
      <w:pPr>
        <w:pStyle w:val="Prrafodelista"/>
        <w:spacing w:after="0"/>
        <w:rPr>
          <w:rFonts w:ascii="Verdana" w:hAnsi="Verdana"/>
          <w:lang w:val="es-CO"/>
        </w:rPr>
      </w:pPr>
    </w:p>
    <w:p w14:paraId="0B921E9F" w14:textId="1982A640" w:rsidR="009F5023" w:rsidRPr="00FC3A93" w:rsidRDefault="007255C1" w:rsidP="009F5023">
      <w:pPr>
        <w:pStyle w:val="Prrafodelista"/>
        <w:numPr>
          <w:ilvl w:val="0"/>
          <w:numId w:val="20"/>
        </w:numPr>
        <w:spacing w:after="0"/>
        <w:rPr>
          <w:rFonts w:ascii="Verdana" w:hAnsi="Verdana"/>
          <w:lang w:val="es-CO"/>
        </w:rPr>
      </w:pPr>
      <w:r w:rsidRPr="00FC3A93">
        <w:rPr>
          <w:rFonts w:ascii="Verdana" w:hAnsi="Verdana"/>
          <w:lang w:val="es-CO"/>
        </w:rPr>
        <w:t>Consejo de Estado, Sección Tercera. Sentencia del 20 de octubre de 2014. Rad.: 27777.</w:t>
      </w:r>
      <w:r w:rsidR="009F5023" w:rsidRPr="00FC3A93">
        <w:rPr>
          <w:rFonts w:ascii="Verdana" w:hAnsi="Verdana"/>
          <w:lang w:val="es-CO"/>
        </w:rPr>
        <w:t xml:space="preserve"> </w:t>
      </w:r>
      <w:r w:rsidR="009F5023" w:rsidRPr="00FC3A93">
        <w:rPr>
          <w:rFonts w:ascii="Verdana" w:hAnsi="Verdana"/>
        </w:rPr>
        <w:t>Disponible en:</w:t>
      </w:r>
      <w:r w:rsidR="00FC3A93" w:rsidRPr="00FC3A93">
        <w:rPr>
          <w:rFonts w:ascii="Verdana" w:hAnsi="Verdana"/>
        </w:rPr>
        <w:t xml:space="preserve"> </w:t>
      </w:r>
      <w:hyperlink r:id="rId18" w:history="1">
        <w:r w:rsidR="00FC3A93" w:rsidRPr="00FC3A93">
          <w:rPr>
            <w:rStyle w:val="Hipervnculo"/>
            <w:rFonts w:ascii="Verdana" w:hAnsi="Verdana"/>
          </w:rPr>
          <w:t>http://servicios.consejodeestado.gov.co/WebRelatoria/FileReferenceServlet?corp=ce&amp;ext=doc&amp;file=2073388</w:t>
        </w:r>
      </w:hyperlink>
    </w:p>
    <w:p w14:paraId="4430B63F" w14:textId="77777777" w:rsidR="00FC3A93" w:rsidRPr="00FC3A93" w:rsidRDefault="00FC3A93" w:rsidP="00FC3A93">
      <w:pPr>
        <w:pStyle w:val="Prrafodelista"/>
        <w:rPr>
          <w:rFonts w:ascii="Verdana" w:hAnsi="Verdana"/>
          <w:lang w:val="es-CO"/>
        </w:rPr>
      </w:pPr>
    </w:p>
    <w:p w14:paraId="40C03FDE" w14:textId="39FC00C4" w:rsidR="009F5023" w:rsidRPr="00FC3A93" w:rsidRDefault="007255C1" w:rsidP="009F5023">
      <w:pPr>
        <w:pStyle w:val="Prrafodelista"/>
        <w:numPr>
          <w:ilvl w:val="0"/>
          <w:numId w:val="20"/>
        </w:numPr>
        <w:spacing w:after="0"/>
        <w:rPr>
          <w:rFonts w:ascii="Verdana" w:hAnsi="Verdana"/>
          <w:lang w:val="es-CO"/>
        </w:rPr>
      </w:pPr>
      <w:r w:rsidRPr="00FC3A93">
        <w:rPr>
          <w:rFonts w:ascii="Verdana" w:hAnsi="Verdana"/>
          <w:lang w:val="es-CO"/>
        </w:rPr>
        <w:lastRenderedPageBreak/>
        <w:t>Consejo de Estado, Sección Tercera. Subsección C Sentencia del 13 de marzo de 2024. Rad.: 67782.</w:t>
      </w:r>
      <w:r w:rsidR="009F5023" w:rsidRPr="00FC3A93">
        <w:rPr>
          <w:rFonts w:ascii="Verdana" w:hAnsi="Verdana"/>
          <w:lang w:val="es-CO"/>
        </w:rPr>
        <w:t xml:space="preserve"> </w:t>
      </w:r>
    </w:p>
    <w:p w14:paraId="5DAB19B8" w14:textId="2A5EF26E" w:rsidR="007255C1" w:rsidRPr="00FC3A93" w:rsidRDefault="007255C1" w:rsidP="009F5023">
      <w:pPr>
        <w:pStyle w:val="Textonotapie"/>
        <w:ind w:left="720"/>
        <w:rPr>
          <w:rFonts w:ascii="Verdana" w:hAnsi="Verdana"/>
          <w:sz w:val="22"/>
          <w:szCs w:val="22"/>
          <w:lang w:val="es-CO"/>
        </w:rPr>
      </w:pPr>
    </w:p>
    <w:p w14:paraId="0792E57C" w14:textId="6B7C6B16" w:rsidR="009F5023" w:rsidRPr="00FC3A93" w:rsidRDefault="003C439A" w:rsidP="009F5023">
      <w:pPr>
        <w:pStyle w:val="Prrafodelista"/>
        <w:numPr>
          <w:ilvl w:val="0"/>
          <w:numId w:val="20"/>
        </w:numPr>
        <w:spacing w:after="0"/>
        <w:rPr>
          <w:rFonts w:ascii="Verdana" w:hAnsi="Verdana"/>
          <w:lang w:val="es-CO"/>
        </w:rPr>
      </w:pPr>
      <w:r w:rsidRPr="00FC3A93">
        <w:rPr>
          <w:rFonts w:ascii="Verdana" w:hAnsi="Verdana"/>
          <w:lang w:val="es-CO"/>
        </w:rPr>
        <w:t>Corte Constitucional</w:t>
      </w:r>
      <w:r w:rsidR="007255C1" w:rsidRPr="00FC3A93">
        <w:rPr>
          <w:rFonts w:ascii="Verdana" w:hAnsi="Verdana"/>
          <w:lang w:val="es-CO"/>
        </w:rPr>
        <w:t>. Sentencia T-1039 de 2006. M.P. Humberto Sierra Porto</w:t>
      </w:r>
      <w:r w:rsidRPr="00FC3A93">
        <w:rPr>
          <w:rFonts w:ascii="Verdana" w:hAnsi="Verdana"/>
          <w:lang w:val="es-CO"/>
        </w:rPr>
        <w:t>.</w:t>
      </w:r>
      <w:r w:rsidR="009F5023" w:rsidRPr="00FC3A93">
        <w:rPr>
          <w:rFonts w:ascii="Verdana" w:hAnsi="Verdana"/>
        </w:rPr>
        <w:t xml:space="preserve"> Disponible en:</w:t>
      </w:r>
      <w:r w:rsidR="00FC3A93" w:rsidRPr="00FC3A93">
        <w:rPr>
          <w:rFonts w:ascii="Verdana" w:hAnsi="Verdana"/>
        </w:rPr>
        <w:t xml:space="preserve"> </w:t>
      </w:r>
      <w:hyperlink r:id="rId19" w:history="1">
        <w:r w:rsidR="00FC3A93" w:rsidRPr="00FC3A93">
          <w:rPr>
            <w:rStyle w:val="Hipervnculo"/>
            <w:rFonts w:ascii="Verdana" w:hAnsi="Verdana"/>
          </w:rPr>
          <w:t>https://www.corteconstitucional.gov.co/relatoria/2006/t-1039-06.htm</w:t>
        </w:r>
      </w:hyperlink>
    </w:p>
    <w:p w14:paraId="1F2509C7" w14:textId="77777777" w:rsidR="00FC3A93" w:rsidRPr="00FC3A93" w:rsidRDefault="00FC3A93" w:rsidP="00FC3A93">
      <w:pPr>
        <w:pStyle w:val="Prrafodelista"/>
        <w:rPr>
          <w:rFonts w:ascii="Verdana" w:hAnsi="Verdana"/>
          <w:lang w:val="es-CO"/>
        </w:rPr>
      </w:pPr>
    </w:p>
    <w:p w14:paraId="1748F065" w14:textId="53DD358E" w:rsidR="009F5023" w:rsidRPr="00FC3A93" w:rsidRDefault="00FC3A93" w:rsidP="009F5023">
      <w:pPr>
        <w:pStyle w:val="Prrafodelista"/>
        <w:numPr>
          <w:ilvl w:val="0"/>
          <w:numId w:val="20"/>
        </w:numPr>
        <w:spacing w:after="0"/>
        <w:rPr>
          <w:rFonts w:ascii="Verdana" w:hAnsi="Verdana"/>
          <w:lang w:val="es-CO"/>
        </w:rPr>
      </w:pPr>
      <w:r w:rsidRPr="00FC3A93">
        <w:rPr>
          <w:rFonts w:ascii="Verdana" w:hAnsi="Verdana"/>
          <w:lang w:val="es-CO"/>
        </w:rPr>
        <w:t xml:space="preserve">Consejo </w:t>
      </w:r>
      <w:r>
        <w:rPr>
          <w:rFonts w:ascii="Verdana" w:hAnsi="Verdana"/>
          <w:lang w:val="es-CO"/>
        </w:rPr>
        <w:t>d</w:t>
      </w:r>
      <w:r w:rsidRPr="00FC3A93">
        <w:rPr>
          <w:rFonts w:ascii="Verdana" w:hAnsi="Verdana"/>
          <w:lang w:val="es-CO"/>
        </w:rPr>
        <w:t xml:space="preserve">e Estado. </w:t>
      </w:r>
      <w:r w:rsidR="003C439A" w:rsidRPr="00FC3A93">
        <w:rPr>
          <w:rFonts w:ascii="Verdana" w:hAnsi="Verdana"/>
          <w:lang w:val="es-CO"/>
        </w:rPr>
        <w:t xml:space="preserve">Sala de Consulta y Servicio Civil. Concepto del 30 de abril de 2015. </w:t>
      </w:r>
      <w:proofErr w:type="spellStart"/>
      <w:r w:rsidR="003C439A" w:rsidRPr="00FC3A93">
        <w:rPr>
          <w:rFonts w:ascii="Verdana" w:hAnsi="Verdana"/>
          <w:lang w:val="es-CO"/>
        </w:rPr>
        <w:t>Exp</w:t>
      </w:r>
      <w:proofErr w:type="spellEnd"/>
      <w:r w:rsidR="003C439A" w:rsidRPr="00FC3A93">
        <w:rPr>
          <w:rFonts w:ascii="Verdana" w:hAnsi="Verdana"/>
          <w:lang w:val="es-CO"/>
        </w:rPr>
        <w:t xml:space="preserve">. 2251. C.P. Álvaro </w:t>
      </w:r>
      <w:proofErr w:type="spellStart"/>
      <w:r w:rsidR="003C439A" w:rsidRPr="00FC3A93">
        <w:rPr>
          <w:rFonts w:ascii="Verdana" w:hAnsi="Verdana"/>
          <w:lang w:val="es-CO"/>
        </w:rPr>
        <w:t>Namén</w:t>
      </w:r>
      <w:proofErr w:type="spellEnd"/>
      <w:r w:rsidR="003C439A" w:rsidRPr="00FC3A93">
        <w:rPr>
          <w:rFonts w:ascii="Verdana" w:hAnsi="Verdana"/>
          <w:lang w:val="es-CO"/>
        </w:rPr>
        <w:t xml:space="preserve"> Vargas.</w:t>
      </w:r>
      <w:r w:rsidR="009F5023" w:rsidRPr="00FC3A93">
        <w:rPr>
          <w:rFonts w:ascii="Verdana" w:hAnsi="Verdana"/>
          <w:lang w:val="es-CO"/>
        </w:rPr>
        <w:t xml:space="preserve"> </w:t>
      </w:r>
    </w:p>
    <w:p w14:paraId="3E08F60F" w14:textId="643B1021" w:rsidR="003C439A" w:rsidRPr="00FC3A93" w:rsidRDefault="003C439A" w:rsidP="009F5023">
      <w:pPr>
        <w:pStyle w:val="Textonotapie"/>
        <w:spacing w:after="120"/>
        <w:ind w:left="720"/>
        <w:jc w:val="both"/>
        <w:rPr>
          <w:rFonts w:ascii="Verdana" w:hAnsi="Verdana"/>
          <w:sz w:val="22"/>
          <w:szCs w:val="22"/>
          <w:lang w:val="es-CO"/>
        </w:rPr>
      </w:pPr>
    </w:p>
    <w:p w14:paraId="2D1967A2" w14:textId="7A04CA1B" w:rsidR="009F5023" w:rsidRPr="00FC3A93" w:rsidRDefault="00FC3A93" w:rsidP="009F5023">
      <w:pPr>
        <w:pStyle w:val="Prrafodelista"/>
        <w:numPr>
          <w:ilvl w:val="0"/>
          <w:numId w:val="20"/>
        </w:numPr>
        <w:spacing w:after="0"/>
        <w:rPr>
          <w:rFonts w:ascii="Verdana" w:hAnsi="Verdana"/>
          <w:lang w:val="es-CO"/>
        </w:rPr>
      </w:pPr>
      <w:r w:rsidRPr="00FC3A93">
        <w:rPr>
          <w:rFonts w:ascii="Verdana" w:hAnsi="Verdana"/>
          <w:lang w:val="es-CO"/>
        </w:rPr>
        <w:t xml:space="preserve">Consejo </w:t>
      </w:r>
      <w:r>
        <w:rPr>
          <w:rFonts w:ascii="Verdana" w:hAnsi="Verdana"/>
          <w:lang w:val="es-CO"/>
        </w:rPr>
        <w:t>d</w:t>
      </w:r>
      <w:r w:rsidRPr="00FC3A93">
        <w:rPr>
          <w:rFonts w:ascii="Verdana" w:hAnsi="Verdana"/>
          <w:lang w:val="es-CO"/>
        </w:rPr>
        <w:t>e Estado</w:t>
      </w:r>
      <w:r w:rsidR="003C439A" w:rsidRPr="00FC3A93">
        <w:rPr>
          <w:rFonts w:ascii="Verdana" w:hAnsi="Verdana"/>
          <w:lang w:val="es-CO"/>
        </w:rPr>
        <w:t xml:space="preserve">. Sección Tercera. Subsección A. Sentencia del 24 de junio de 2015. </w:t>
      </w:r>
      <w:proofErr w:type="spellStart"/>
      <w:r w:rsidR="003C439A" w:rsidRPr="00FC3A93">
        <w:rPr>
          <w:rFonts w:ascii="Verdana" w:hAnsi="Verdana"/>
          <w:lang w:val="es-CO"/>
        </w:rPr>
        <w:t>Exp</w:t>
      </w:r>
      <w:proofErr w:type="spellEnd"/>
      <w:r w:rsidR="003C439A" w:rsidRPr="00FC3A93">
        <w:rPr>
          <w:rFonts w:ascii="Verdana" w:hAnsi="Verdana"/>
          <w:lang w:val="es-CO"/>
        </w:rPr>
        <w:t>. 40.635. C.P. Hernán Andrade Rincón (E).</w:t>
      </w:r>
      <w:r w:rsidR="009F5023" w:rsidRPr="00FC3A93">
        <w:rPr>
          <w:rFonts w:ascii="Verdana" w:hAnsi="Verdana"/>
          <w:lang w:val="es-CO"/>
        </w:rPr>
        <w:t xml:space="preserve"> </w:t>
      </w:r>
      <w:r w:rsidR="009F5023" w:rsidRPr="00FC3A93">
        <w:rPr>
          <w:rFonts w:ascii="Verdana" w:hAnsi="Verdana"/>
        </w:rPr>
        <w:t>Disponible en:</w:t>
      </w:r>
      <w:r w:rsidRPr="00FC3A93">
        <w:rPr>
          <w:rFonts w:ascii="Verdana" w:hAnsi="Verdana"/>
        </w:rPr>
        <w:t xml:space="preserve"> </w:t>
      </w:r>
      <w:hyperlink r:id="rId20" w:history="1">
        <w:r w:rsidRPr="00FC3A93">
          <w:rPr>
            <w:rStyle w:val="Hipervnculo"/>
            <w:rFonts w:ascii="Verdana" w:hAnsi="Verdana"/>
          </w:rPr>
          <w:t>http://servicios.consejodeestado.gov.co/WebRelatoria/FileReferenceServlet?corp=ce&amp;ext=doc&amp;file=2085567</w:t>
        </w:r>
      </w:hyperlink>
    </w:p>
    <w:p w14:paraId="24A078BB" w14:textId="77777777" w:rsidR="00FC3A93" w:rsidRPr="00FC3A93" w:rsidRDefault="00FC3A93" w:rsidP="00FC3A93">
      <w:pPr>
        <w:pStyle w:val="Prrafodelista"/>
        <w:rPr>
          <w:rFonts w:ascii="Verdana" w:hAnsi="Verdana"/>
          <w:lang w:val="es-CO"/>
        </w:rPr>
      </w:pPr>
    </w:p>
    <w:p w14:paraId="09364BF7" w14:textId="01BDBF5D" w:rsidR="003C439A" w:rsidRPr="00FC3A93" w:rsidRDefault="00FC3A93" w:rsidP="003C439A">
      <w:pPr>
        <w:pStyle w:val="Textonotapie"/>
        <w:numPr>
          <w:ilvl w:val="0"/>
          <w:numId w:val="20"/>
        </w:numPr>
        <w:spacing w:after="120"/>
        <w:jc w:val="both"/>
        <w:rPr>
          <w:rFonts w:ascii="Verdana" w:hAnsi="Verdana"/>
          <w:sz w:val="22"/>
          <w:szCs w:val="22"/>
          <w:lang w:val="es-CO"/>
        </w:rPr>
      </w:pPr>
      <w:r w:rsidRPr="00FC3A93">
        <w:rPr>
          <w:rFonts w:ascii="Verdana" w:hAnsi="Verdana"/>
          <w:lang w:val="es-CO"/>
        </w:rPr>
        <w:t xml:space="preserve">Consejo </w:t>
      </w:r>
      <w:r>
        <w:rPr>
          <w:rFonts w:ascii="Verdana" w:hAnsi="Verdana"/>
          <w:lang w:val="es-CO"/>
        </w:rPr>
        <w:t>d</w:t>
      </w:r>
      <w:r w:rsidRPr="00FC3A93">
        <w:rPr>
          <w:rFonts w:ascii="Verdana" w:hAnsi="Verdana"/>
          <w:lang w:val="es-CO"/>
        </w:rPr>
        <w:t>e Estado</w:t>
      </w:r>
      <w:r w:rsidR="003C439A" w:rsidRPr="00FC3A93">
        <w:rPr>
          <w:rFonts w:ascii="Verdana" w:hAnsi="Verdana"/>
          <w:sz w:val="22"/>
          <w:szCs w:val="22"/>
          <w:lang w:val="es-CO"/>
        </w:rPr>
        <w:t xml:space="preserve">. Sección Tercera. Subsección C. Sentencia del 22 de mayo de 2013. Rad. 24.057. C.P. Olga Mélida Valle De </w:t>
      </w:r>
      <w:proofErr w:type="spellStart"/>
      <w:r w:rsidR="003C439A" w:rsidRPr="00FC3A93">
        <w:rPr>
          <w:rFonts w:ascii="Verdana" w:hAnsi="Verdana"/>
          <w:sz w:val="22"/>
          <w:szCs w:val="22"/>
          <w:lang w:val="es-CO"/>
        </w:rPr>
        <w:t>De</w:t>
      </w:r>
      <w:proofErr w:type="spellEnd"/>
      <w:r w:rsidR="003C439A" w:rsidRPr="00FC3A93">
        <w:rPr>
          <w:rFonts w:ascii="Verdana" w:hAnsi="Verdana"/>
          <w:sz w:val="22"/>
          <w:szCs w:val="22"/>
          <w:lang w:val="es-CO"/>
        </w:rPr>
        <w:t xml:space="preserve"> La Hoz. </w:t>
      </w:r>
      <w:r w:rsidRPr="00FC3A93">
        <w:rPr>
          <w:rFonts w:ascii="Verdana" w:hAnsi="Verdana"/>
          <w:sz w:val="22"/>
          <w:szCs w:val="22"/>
          <w:lang w:val="es-CO"/>
        </w:rPr>
        <w:t xml:space="preserve">Disponible en: </w:t>
      </w:r>
      <w:hyperlink r:id="rId21" w:history="1">
        <w:r w:rsidRPr="00FC3A93">
          <w:rPr>
            <w:rStyle w:val="Hipervnculo"/>
            <w:rFonts w:ascii="Verdana" w:hAnsi="Verdana"/>
            <w:sz w:val="22"/>
            <w:szCs w:val="22"/>
            <w:lang w:val="es-CO"/>
          </w:rPr>
          <w:t>http://servicios.consejodeestado.gov.co/WebRelatoria/FileReferenceServlet?corp=ce&amp;ext=doc&amp;file=2153780</w:t>
        </w:r>
      </w:hyperlink>
    </w:p>
    <w:p w14:paraId="3A6E55C4" w14:textId="77777777" w:rsidR="007C648D" w:rsidRPr="007C648D" w:rsidRDefault="007C648D" w:rsidP="00EB528F">
      <w:pPr>
        <w:numPr>
          <w:ilvl w:val="0"/>
          <w:numId w:val="16"/>
        </w:numPr>
        <w:spacing w:after="0"/>
        <w:ind w:left="0" w:firstLine="0"/>
        <w:rPr>
          <w:rFonts w:ascii="Verdana" w:hAnsi="Verdana"/>
          <w:b/>
          <w:bCs/>
          <w:lang w:val="es-ES"/>
        </w:rPr>
      </w:pPr>
      <w:r w:rsidRPr="007C648D">
        <w:rPr>
          <w:rFonts w:ascii="Verdana" w:hAnsi="Verdana"/>
          <w:b/>
          <w:bCs/>
          <w:lang w:val="es-ES"/>
        </w:rPr>
        <w:t>Doctrina de la Agencia Nacional de Contratación Pública:</w:t>
      </w:r>
    </w:p>
    <w:p w14:paraId="35DD0CC8" w14:textId="77777777" w:rsidR="007C648D" w:rsidRDefault="007C648D" w:rsidP="007C648D">
      <w:pPr>
        <w:spacing w:after="0"/>
        <w:rPr>
          <w:rFonts w:ascii="Verdana" w:hAnsi="Verdana"/>
          <w:lang w:val="es-ES"/>
        </w:rPr>
      </w:pPr>
    </w:p>
    <w:p w14:paraId="3ECD117E" w14:textId="6D682AD7" w:rsidR="0035350A" w:rsidRDefault="0035350A" w:rsidP="0035350A">
      <w:pPr>
        <w:spacing w:after="0"/>
        <w:jc w:val="both"/>
        <w:rPr>
          <w:rFonts w:ascii="Verdana" w:hAnsi="Verdana"/>
          <w:bCs/>
          <w:lang w:val="es-ES_tradnl"/>
        </w:rPr>
      </w:pPr>
      <w:r w:rsidRPr="0035350A">
        <w:rPr>
          <w:rFonts w:ascii="Verdana" w:hAnsi="Verdana"/>
          <w:lang w:val="es-ES_tradnl"/>
        </w:rPr>
        <w:t xml:space="preserve">La Agencia Nacional de Contratación Pública – Colombia Compra Eficiente se pronunció sobre </w:t>
      </w:r>
      <w:r w:rsidR="000F4F5C" w:rsidRPr="000F4F5C">
        <w:rPr>
          <w:rFonts w:ascii="Verdana" w:hAnsi="Verdana"/>
          <w:lang w:val="es-ES_tradnl"/>
        </w:rPr>
        <w:t xml:space="preserve">el régimen de inhabilidades e incompatibilidades se pronunció esta Subdirección en los conceptos </w:t>
      </w:r>
      <w:r w:rsidR="000F4F5C" w:rsidRPr="000F4F5C">
        <w:rPr>
          <w:rFonts w:ascii="Verdana" w:hAnsi="Verdana"/>
        </w:rPr>
        <w:t xml:space="preserve">No. 4201912000004765 de 29 de agosto de 2019, 4201913000005694 del 3 de octubre de 2019, 4201912000006288 del 7 de septiembre de 2019, 4201912000006259 del 13 de noviembre de 2019, 4201913000006917 del 21 de noviembre de 2019, 4201912000006978 del 25 de noviembre de 2019, 4201912000007291 del 3 de diciembre de 2019, 4201912000007281 del 5 de diciembre de 2019, 4201912000007060 del 11 de diciembre de 2019, 4201912000007512 del 16  diciembre de 2019, 4201912000008460 del 14 de febrero de 2020, </w:t>
      </w:r>
      <w:r w:rsidR="000F4F5C" w:rsidRPr="000F4F5C">
        <w:rPr>
          <w:rFonts w:ascii="Verdana" w:hAnsi="Verdana"/>
          <w:lang w:val="es-ES_tradnl"/>
        </w:rPr>
        <w:t xml:space="preserve">C-032 del 19 de febrero de 2020, C-090 del 24 de febrero de 2020, C-125 del 3 de marzo de 2020, C-157 del 17 de marzo de 2020, C-273 del 21 de mayo de 2020, C-386 del 24 de julio de 2020, C-580 del 21 de septiembre de 2020, C-639 del 27 de octubre del 2020, C-650 del 10 de noviembre de 2020, C-684 del 24 de noviembre de 2020 C-004 del 12 de febrero de 2021, C-815 del 18 de febrero de 2021, C-210 del 12 de mayo de 2021, C-275 del 11 de junio de 2021, C-321 del 2 de julio de 2021, C-410 del 7 de julio del 2021, C-491 del 14 de septiembre de 2021, </w:t>
      </w:r>
      <w:r w:rsidR="000F4F5C" w:rsidRPr="000F4F5C">
        <w:rPr>
          <w:rFonts w:ascii="Verdana" w:hAnsi="Verdana"/>
          <w:lang w:val="es-ES"/>
        </w:rPr>
        <w:t xml:space="preserve">C-028 del 28 </w:t>
      </w:r>
      <w:r w:rsidR="000F4F5C" w:rsidRPr="000F4F5C">
        <w:rPr>
          <w:rFonts w:ascii="Verdana" w:hAnsi="Verdana"/>
          <w:lang w:val="es-ES"/>
        </w:rPr>
        <w:lastRenderedPageBreak/>
        <w:t>de febrero de 2022, C-318 del 18 de mayo de 2022, C-252 del 30 de mayo de 2022, C-175 del 4 de mayo de 2023,</w:t>
      </w:r>
      <w:r w:rsidR="00436620">
        <w:rPr>
          <w:rFonts w:ascii="Verdana" w:hAnsi="Verdana"/>
          <w:lang w:val="es-ES"/>
        </w:rPr>
        <w:t xml:space="preserve"> </w:t>
      </w:r>
      <w:r w:rsidR="000F4F5C" w:rsidRPr="000F4F5C">
        <w:rPr>
          <w:rFonts w:ascii="Verdana" w:hAnsi="Verdana"/>
          <w:lang w:val="es-ES"/>
        </w:rPr>
        <w:t>C-300 de 2023</w:t>
      </w:r>
      <w:r w:rsidR="000F4F5C" w:rsidRPr="000F4F5C">
        <w:rPr>
          <w:rFonts w:ascii="Verdana" w:hAnsi="Verdana"/>
        </w:rPr>
        <w:t>, C−010 del 31 de enero de 2024, C-039 del 23 de abril de 2024</w:t>
      </w:r>
      <w:r w:rsidR="003A7477">
        <w:rPr>
          <w:rFonts w:ascii="Verdana" w:hAnsi="Verdana"/>
        </w:rPr>
        <w:t>,</w:t>
      </w:r>
      <w:r w:rsidR="000F4F5C" w:rsidRPr="000F4F5C">
        <w:rPr>
          <w:rFonts w:ascii="Verdana" w:hAnsi="Verdana"/>
        </w:rPr>
        <w:t xml:space="preserve"> C-381 del 5 de septiembre de 2024</w:t>
      </w:r>
      <w:r w:rsidR="003A7477">
        <w:rPr>
          <w:rFonts w:ascii="Verdana" w:hAnsi="Verdana"/>
          <w:bCs/>
          <w:lang w:val="es-ES_tradnl"/>
        </w:rPr>
        <w:t xml:space="preserve"> y C-529 del </w:t>
      </w:r>
      <w:r w:rsidR="00436620">
        <w:rPr>
          <w:rFonts w:ascii="Verdana" w:hAnsi="Verdana"/>
          <w:bCs/>
          <w:lang w:val="es-ES_tradnl"/>
        </w:rPr>
        <w:t>9 de octubre de 2024.</w:t>
      </w:r>
    </w:p>
    <w:p w14:paraId="5556125F" w14:textId="77777777" w:rsidR="00436620" w:rsidRDefault="00436620" w:rsidP="0035350A">
      <w:pPr>
        <w:spacing w:after="0"/>
        <w:jc w:val="both"/>
        <w:rPr>
          <w:rFonts w:ascii="Verdana" w:hAnsi="Verdana"/>
          <w:bCs/>
          <w:lang w:val="es-ES_tradnl"/>
        </w:rPr>
      </w:pPr>
    </w:p>
    <w:p w14:paraId="09F2E2C0" w14:textId="77777777" w:rsidR="007C648D" w:rsidRPr="007C648D" w:rsidRDefault="007C648D" w:rsidP="005E7B33">
      <w:pPr>
        <w:spacing w:after="0"/>
        <w:jc w:val="both"/>
        <w:rPr>
          <w:rFonts w:ascii="Verdana" w:hAnsi="Verdana"/>
        </w:rPr>
      </w:pPr>
      <w:r w:rsidRPr="007C648D">
        <w:rPr>
          <w:rFonts w:ascii="Verdana" w:hAnsi="Verdana"/>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w:t>
      </w:r>
    </w:p>
    <w:p w14:paraId="45F1A7FB" w14:textId="77777777" w:rsidR="007C648D" w:rsidRPr="007C648D" w:rsidRDefault="007C648D" w:rsidP="007C648D">
      <w:pPr>
        <w:spacing w:after="0"/>
        <w:rPr>
          <w:rFonts w:ascii="Verdana" w:hAnsi="Verdana"/>
        </w:rPr>
      </w:pPr>
    </w:p>
    <w:p w14:paraId="62C625EB" w14:textId="77777777" w:rsidR="007C648D" w:rsidRPr="007C648D" w:rsidRDefault="00FC3A93" w:rsidP="007C648D">
      <w:pPr>
        <w:spacing w:after="0"/>
        <w:rPr>
          <w:rFonts w:ascii="Verdana" w:hAnsi="Verdana"/>
        </w:rPr>
      </w:pPr>
      <w:hyperlink r:id="rId22" w:history="1">
        <w:r w:rsidR="007C648D" w:rsidRPr="007C648D">
          <w:rPr>
            <w:rStyle w:val="Hipervnculo"/>
            <w:rFonts w:ascii="Verdana" w:hAnsi="Verdana"/>
            <w:lang w:val="es-ES"/>
          </w:rPr>
          <w:t>https://relatoria.colombiacompra.gov.co/busqueda/conceptos</w:t>
        </w:r>
      </w:hyperlink>
      <w:r w:rsidR="007C648D" w:rsidRPr="007C648D">
        <w:rPr>
          <w:rFonts w:ascii="Verdana" w:hAnsi="Verdana"/>
        </w:rPr>
        <w:t xml:space="preserve">. </w:t>
      </w:r>
    </w:p>
    <w:p w14:paraId="66A98B20" w14:textId="77777777" w:rsidR="007C648D" w:rsidRPr="007C648D" w:rsidRDefault="007C648D" w:rsidP="007C648D">
      <w:pPr>
        <w:spacing w:after="0"/>
        <w:rPr>
          <w:rFonts w:ascii="Verdana" w:hAnsi="Verdana"/>
        </w:rPr>
      </w:pPr>
    </w:p>
    <w:p w14:paraId="114B33E7" w14:textId="77777777" w:rsidR="007C648D" w:rsidRPr="007C648D" w:rsidRDefault="007C648D" w:rsidP="007C648D">
      <w:pPr>
        <w:spacing w:after="0"/>
        <w:jc w:val="both"/>
        <w:rPr>
          <w:rFonts w:ascii="Verdana" w:hAnsi="Verdana"/>
          <w:u w:val="single"/>
        </w:rPr>
      </w:pPr>
      <w:r w:rsidRPr="007C648D">
        <w:rPr>
          <w:rFonts w:ascii="Verdana" w:hAnsi="Verdana"/>
        </w:rPr>
        <w:t>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r:id="rId23" w:tgtFrame="_blank" w:tooltip="Dirección URL original: https://www.colombiacompra.gov.co/sala-de-prensa/boletin-digital/boletin-de-relatoria-2024-iv. Haga clic o pulse si confía en este vínculo." w:history="1">
        <w:r w:rsidRPr="007C648D">
          <w:rPr>
            <w:rStyle w:val="Hipervnculo"/>
            <w:rFonts w:ascii="Verdana" w:hAnsi="Verdana"/>
          </w:rPr>
          <w:t>BOLETÍN DE RELATORÍA 2024 – IV | Colombia Compra Eficiente | Agencia Nacional de Contratación Pública</w:t>
        </w:r>
      </w:hyperlink>
    </w:p>
    <w:p w14:paraId="0D12E044" w14:textId="77777777" w:rsidR="007C648D" w:rsidRPr="007C648D" w:rsidRDefault="007C648D" w:rsidP="007C648D">
      <w:pPr>
        <w:spacing w:after="0"/>
        <w:jc w:val="both"/>
        <w:rPr>
          <w:rFonts w:ascii="Verdana" w:hAnsi="Verdana"/>
          <w:lang w:val="es-ES"/>
        </w:rPr>
      </w:pPr>
    </w:p>
    <w:p w14:paraId="28323EC9" w14:textId="77777777" w:rsidR="007C648D" w:rsidRPr="007C648D" w:rsidRDefault="007C648D" w:rsidP="007C648D">
      <w:pPr>
        <w:spacing w:after="0"/>
        <w:rPr>
          <w:rFonts w:ascii="Verdana" w:hAnsi="Verdana"/>
        </w:rPr>
      </w:pPr>
      <w:r w:rsidRPr="007C648D">
        <w:rPr>
          <w:rFonts w:ascii="Verdana" w:hAnsi="Verdana"/>
        </w:rPr>
        <w:t xml:space="preserve">Por último, lo invitamos a seguirnos en las redes sociales en las cuales se difunde información institucional: </w:t>
      </w:r>
    </w:p>
    <w:p w14:paraId="2A9F73B2" w14:textId="77777777" w:rsidR="007C648D" w:rsidRPr="007C648D" w:rsidRDefault="007C648D" w:rsidP="007C648D">
      <w:pPr>
        <w:spacing w:after="0"/>
        <w:rPr>
          <w:rFonts w:ascii="Verdana" w:hAnsi="Verdana"/>
        </w:rPr>
      </w:pPr>
    </w:p>
    <w:p w14:paraId="422642DD" w14:textId="77777777" w:rsidR="007C648D" w:rsidRPr="007C648D" w:rsidRDefault="007C648D" w:rsidP="007C648D">
      <w:pPr>
        <w:spacing w:after="0"/>
        <w:rPr>
          <w:rFonts w:ascii="Verdana" w:hAnsi="Verdana"/>
        </w:rPr>
      </w:pPr>
      <w:r w:rsidRPr="007C648D">
        <w:rPr>
          <w:rFonts w:ascii="Verdana" w:hAnsi="Verdana"/>
        </w:rPr>
        <w:t xml:space="preserve">Twitter: </w:t>
      </w:r>
      <w:r w:rsidRPr="007C648D">
        <w:rPr>
          <w:rFonts w:ascii="Verdana" w:hAnsi="Verdana"/>
          <w:u w:val="single"/>
        </w:rPr>
        <w:t>@colombiacompra</w:t>
      </w:r>
      <w:r w:rsidRPr="007C648D">
        <w:rPr>
          <w:rFonts w:ascii="Verdana" w:hAnsi="Verdana"/>
        </w:rPr>
        <w:t xml:space="preserve"> </w:t>
      </w:r>
    </w:p>
    <w:p w14:paraId="50DFF1E6" w14:textId="77777777" w:rsidR="007C648D" w:rsidRPr="007C648D" w:rsidRDefault="007C648D" w:rsidP="007C648D">
      <w:pPr>
        <w:spacing w:after="0"/>
        <w:rPr>
          <w:rFonts w:ascii="Verdana" w:hAnsi="Verdana"/>
        </w:rPr>
      </w:pPr>
      <w:r w:rsidRPr="007C648D">
        <w:rPr>
          <w:rFonts w:ascii="Verdana" w:hAnsi="Verdana"/>
        </w:rPr>
        <w:t xml:space="preserve">Facebook: </w:t>
      </w:r>
      <w:proofErr w:type="spellStart"/>
      <w:r w:rsidRPr="007C648D">
        <w:rPr>
          <w:rFonts w:ascii="Verdana" w:hAnsi="Verdana"/>
          <w:u w:val="single"/>
        </w:rPr>
        <w:t>ColombiaCompraEficiente</w:t>
      </w:r>
      <w:proofErr w:type="spellEnd"/>
    </w:p>
    <w:p w14:paraId="3A4FE7AF" w14:textId="77777777" w:rsidR="007C648D" w:rsidRPr="007C648D" w:rsidRDefault="007C648D" w:rsidP="007C648D">
      <w:pPr>
        <w:spacing w:after="0"/>
        <w:rPr>
          <w:rFonts w:ascii="Verdana" w:hAnsi="Verdana"/>
          <w:u w:val="single"/>
        </w:rPr>
      </w:pPr>
      <w:r w:rsidRPr="007C648D">
        <w:rPr>
          <w:rFonts w:ascii="Verdana" w:hAnsi="Verdana"/>
        </w:rPr>
        <w:t xml:space="preserve">LinkedIn: </w:t>
      </w:r>
      <w:r w:rsidRPr="007C648D">
        <w:rPr>
          <w:rFonts w:ascii="Verdana" w:hAnsi="Verdana"/>
          <w:u w:val="single"/>
        </w:rPr>
        <w:t>Agencia Nacional de Contratación Pública - Colombia Compra Eficiente</w:t>
      </w:r>
      <w:r w:rsidRPr="007C648D">
        <w:rPr>
          <w:rFonts w:ascii="Verdana" w:hAnsi="Verdana"/>
        </w:rPr>
        <w:t xml:space="preserve"> Instagram: </w:t>
      </w:r>
      <w:r w:rsidRPr="007C648D">
        <w:rPr>
          <w:rFonts w:ascii="Verdana" w:hAnsi="Verdana"/>
          <w:u w:val="single"/>
        </w:rPr>
        <w:t>@colombiacompraeficiente_cce</w:t>
      </w:r>
    </w:p>
    <w:p w14:paraId="26780A54" w14:textId="77777777" w:rsidR="007C648D" w:rsidRPr="007C648D" w:rsidRDefault="007C648D" w:rsidP="007C648D">
      <w:pPr>
        <w:spacing w:after="0"/>
        <w:rPr>
          <w:rFonts w:ascii="Verdana" w:hAnsi="Verdana"/>
          <w:u w:val="single"/>
        </w:rPr>
      </w:pPr>
    </w:p>
    <w:p w14:paraId="6631059D" w14:textId="77777777" w:rsidR="007C648D" w:rsidRPr="007C648D" w:rsidRDefault="007C648D" w:rsidP="007C648D">
      <w:pPr>
        <w:spacing w:after="0"/>
        <w:rPr>
          <w:rFonts w:ascii="Verdana" w:hAnsi="Verdana"/>
          <w:b/>
          <w:bCs/>
        </w:rPr>
      </w:pPr>
    </w:p>
    <w:p w14:paraId="01B154B8" w14:textId="77777777" w:rsidR="007C648D" w:rsidRPr="007C648D" w:rsidRDefault="007C648D" w:rsidP="00CF373F">
      <w:pPr>
        <w:spacing w:after="0"/>
        <w:jc w:val="both"/>
        <w:rPr>
          <w:rFonts w:ascii="Verdana" w:hAnsi="Verdana"/>
          <w:bCs/>
          <w:lang w:val="es-ES_tradnl"/>
        </w:rPr>
      </w:pPr>
      <w:r w:rsidRPr="007C648D">
        <w:rPr>
          <w:rFonts w:ascii="Verdana" w:hAnsi="Verdana"/>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090CBF55" w14:textId="77777777" w:rsidR="00E01E78" w:rsidRDefault="00E01E78" w:rsidP="00CF373F">
      <w:pPr>
        <w:spacing w:after="0"/>
        <w:jc w:val="both"/>
        <w:rPr>
          <w:rFonts w:ascii="Verdana" w:hAnsi="Verdana"/>
        </w:rPr>
      </w:pPr>
    </w:p>
    <w:p w14:paraId="5FCD6CE8" w14:textId="66132F5C" w:rsidR="007C648D" w:rsidRPr="007C648D" w:rsidRDefault="007C648D" w:rsidP="00CF373F">
      <w:pPr>
        <w:spacing w:after="0"/>
        <w:jc w:val="both"/>
        <w:rPr>
          <w:rFonts w:ascii="Verdana" w:hAnsi="Verdana"/>
        </w:rPr>
      </w:pPr>
      <w:r w:rsidRPr="007C648D">
        <w:rPr>
          <w:rFonts w:ascii="Verdana" w:hAnsi="Verdana"/>
        </w:rPr>
        <w:t>Atentamente,</w:t>
      </w:r>
    </w:p>
    <w:p w14:paraId="66D7FA41" w14:textId="77777777" w:rsidR="007C648D" w:rsidRPr="005A6CCB" w:rsidRDefault="007C648D" w:rsidP="007C648D">
      <w:pPr>
        <w:spacing w:after="0"/>
        <w:rPr>
          <w:rFonts w:ascii="Verdana" w:hAnsi="Verdana"/>
          <w:lang w:val="es-ES"/>
        </w:rPr>
      </w:pPr>
    </w:p>
    <w:p w14:paraId="1C0D1D29" w14:textId="18F0E844" w:rsidR="007C648D" w:rsidRPr="005A6CCB" w:rsidRDefault="00A74751" w:rsidP="00CF373F">
      <w:pPr>
        <w:spacing w:after="0"/>
        <w:jc w:val="center"/>
        <w:rPr>
          <w:rFonts w:ascii="Verdana" w:hAnsi="Verdana"/>
          <w:lang w:val="es-ES"/>
        </w:rPr>
      </w:pPr>
      <w:r w:rsidRPr="002C3AD6">
        <w:rPr>
          <w:rFonts w:ascii="Century Gothic" w:hAnsi="Century Gothic"/>
          <w:noProof/>
        </w:rPr>
        <w:lastRenderedPageBreak/>
        <w:drawing>
          <wp:inline distT="0" distB="0" distL="0" distR="0" wp14:anchorId="6D0B4906" wp14:editId="16763B73">
            <wp:extent cx="3354342" cy="1245172"/>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4"/>
                    <a:stretch>
                      <a:fillRect/>
                    </a:stretch>
                  </pic:blipFill>
                  <pic:spPr>
                    <a:xfrm>
                      <a:off x="0" y="0"/>
                      <a:ext cx="3363961" cy="1248743"/>
                    </a:xfrm>
                    <a:prstGeom prst="rect">
                      <a:avLst/>
                    </a:prstGeom>
                  </pic:spPr>
                </pic:pic>
              </a:graphicData>
            </a:graphic>
          </wp:inline>
        </w:drawing>
      </w:r>
    </w:p>
    <w:p w14:paraId="06A87572" w14:textId="648DE6F2" w:rsidR="007C648D" w:rsidRPr="007C648D" w:rsidRDefault="007C648D" w:rsidP="007C648D">
      <w:pPr>
        <w:spacing w:after="0"/>
        <w:rPr>
          <w:rFonts w:ascii="Verdana" w:hAnsi="Verdana"/>
          <w:lang w:val="es-ES"/>
        </w:rPr>
      </w:pP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7C648D" w:rsidRPr="007C648D" w14:paraId="3F46AD71" w14:textId="77777777" w:rsidTr="007C648D">
        <w:trPr>
          <w:trHeight w:val="409"/>
        </w:trPr>
        <w:tc>
          <w:tcPr>
            <w:tcW w:w="817" w:type="dxa"/>
            <w:tcBorders>
              <w:top w:val="nil"/>
              <w:left w:val="nil"/>
              <w:bottom w:val="nil"/>
              <w:right w:val="nil"/>
            </w:tcBorders>
            <w:vAlign w:val="center"/>
            <w:hideMark/>
          </w:tcPr>
          <w:p w14:paraId="07AE4420" w14:textId="77777777" w:rsidR="007C648D" w:rsidRPr="007C648D" w:rsidRDefault="007C648D" w:rsidP="007C648D">
            <w:pPr>
              <w:spacing w:after="0"/>
              <w:rPr>
                <w:rFonts w:ascii="Verdana" w:hAnsi="Verdana"/>
                <w:sz w:val="14"/>
                <w:szCs w:val="14"/>
              </w:rPr>
            </w:pPr>
            <w:r w:rsidRPr="007C648D">
              <w:rPr>
                <w:rFonts w:ascii="Verdana" w:hAnsi="Verdana"/>
                <w:sz w:val="14"/>
                <w:szCs w:val="14"/>
              </w:rPr>
              <w:t>Elaboró: </w:t>
            </w:r>
          </w:p>
        </w:tc>
        <w:tc>
          <w:tcPr>
            <w:tcW w:w="4937" w:type="dxa"/>
            <w:tcBorders>
              <w:top w:val="nil"/>
              <w:left w:val="nil"/>
              <w:bottom w:val="dotted" w:sz="6" w:space="0" w:color="7F7F7F" w:themeColor="text1" w:themeTint="80"/>
              <w:right w:val="nil"/>
            </w:tcBorders>
            <w:vAlign w:val="center"/>
            <w:hideMark/>
          </w:tcPr>
          <w:p w14:paraId="43782B75" w14:textId="77777777" w:rsidR="007C648D" w:rsidRPr="007C648D" w:rsidRDefault="007C648D" w:rsidP="007C648D">
            <w:pPr>
              <w:spacing w:after="0"/>
              <w:rPr>
                <w:rFonts w:ascii="Verdana" w:hAnsi="Verdana"/>
                <w:sz w:val="14"/>
                <w:szCs w:val="14"/>
              </w:rPr>
            </w:pPr>
            <w:r w:rsidRPr="007C648D">
              <w:rPr>
                <w:rFonts w:ascii="Verdana" w:hAnsi="Verdana"/>
                <w:sz w:val="14"/>
                <w:szCs w:val="14"/>
              </w:rPr>
              <w:t>Gustavo Hinestroza Martínez</w:t>
            </w:r>
          </w:p>
          <w:p w14:paraId="74280B4E" w14:textId="77777777" w:rsidR="007C648D" w:rsidRPr="007C648D" w:rsidRDefault="007C648D" w:rsidP="007C648D">
            <w:pPr>
              <w:spacing w:after="0"/>
              <w:rPr>
                <w:rFonts w:ascii="Verdana" w:hAnsi="Verdana"/>
                <w:sz w:val="14"/>
                <w:szCs w:val="14"/>
              </w:rPr>
            </w:pPr>
            <w:r w:rsidRPr="007C648D">
              <w:rPr>
                <w:rFonts w:ascii="Verdana" w:hAnsi="Verdana"/>
                <w:sz w:val="14"/>
                <w:szCs w:val="14"/>
              </w:rPr>
              <w:t>Contratista de la Subdirección de Gestión Contractual</w:t>
            </w:r>
          </w:p>
        </w:tc>
      </w:tr>
      <w:tr w:rsidR="007C648D" w:rsidRPr="007C648D" w14:paraId="452D8B4E" w14:textId="77777777" w:rsidTr="007C648D">
        <w:trPr>
          <w:trHeight w:val="409"/>
        </w:trPr>
        <w:tc>
          <w:tcPr>
            <w:tcW w:w="817" w:type="dxa"/>
            <w:tcBorders>
              <w:top w:val="nil"/>
              <w:left w:val="nil"/>
              <w:bottom w:val="nil"/>
              <w:right w:val="nil"/>
            </w:tcBorders>
            <w:vAlign w:val="center"/>
            <w:hideMark/>
          </w:tcPr>
          <w:p w14:paraId="15789681" w14:textId="77777777" w:rsidR="007C648D" w:rsidRPr="007C648D" w:rsidRDefault="007C648D" w:rsidP="007C648D">
            <w:pPr>
              <w:spacing w:after="0"/>
              <w:rPr>
                <w:rFonts w:ascii="Verdana" w:hAnsi="Verdana"/>
                <w:sz w:val="14"/>
                <w:szCs w:val="14"/>
              </w:rPr>
            </w:pPr>
            <w:r w:rsidRPr="007C648D">
              <w:rPr>
                <w:rFonts w:ascii="Verdana" w:hAnsi="Verdana"/>
                <w:sz w:val="14"/>
                <w:szCs w:val="14"/>
              </w:rPr>
              <w:t>Revisó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299EE63C" w14:textId="77777777" w:rsidR="007C648D" w:rsidRPr="007C648D" w:rsidRDefault="007C648D" w:rsidP="007C648D">
            <w:pPr>
              <w:spacing w:after="0"/>
              <w:rPr>
                <w:rFonts w:ascii="Verdana" w:hAnsi="Verdana"/>
                <w:sz w:val="14"/>
                <w:szCs w:val="14"/>
              </w:rPr>
            </w:pPr>
            <w:r w:rsidRPr="007C648D">
              <w:rPr>
                <w:rFonts w:ascii="Verdana" w:hAnsi="Verdana"/>
                <w:sz w:val="14"/>
                <w:szCs w:val="14"/>
              </w:rPr>
              <w:t>Alejandro Sarmiento Cantillo</w:t>
            </w:r>
          </w:p>
          <w:p w14:paraId="4FF355C0" w14:textId="5A84BF4A" w:rsidR="007C648D" w:rsidRPr="007C648D" w:rsidRDefault="007C648D" w:rsidP="007C648D">
            <w:pPr>
              <w:spacing w:after="0"/>
              <w:rPr>
                <w:rFonts w:ascii="Verdana" w:hAnsi="Verdana"/>
                <w:sz w:val="14"/>
                <w:szCs w:val="14"/>
              </w:rPr>
            </w:pPr>
            <w:r w:rsidRPr="007C648D">
              <w:rPr>
                <w:rFonts w:ascii="Verdana" w:hAnsi="Verdana"/>
                <w:sz w:val="14"/>
                <w:szCs w:val="14"/>
              </w:rPr>
              <w:t xml:space="preserve">Gestor T1-15 de la Subdirección de Gestión </w:t>
            </w:r>
            <w:r w:rsidRPr="00CF373F">
              <w:rPr>
                <w:rFonts w:ascii="Verdana" w:hAnsi="Verdana"/>
                <w:sz w:val="14"/>
                <w:szCs w:val="14"/>
              </w:rPr>
              <w:t>Co</w:t>
            </w:r>
            <w:r w:rsidRPr="007C648D">
              <w:rPr>
                <w:rFonts w:ascii="Verdana" w:hAnsi="Verdana"/>
                <w:sz w:val="14"/>
                <w:szCs w:val="14"/>
              </w:rPr>
              <w:t>ntractual </w:t>
            </w:r>
          </w:p>
        </w:tc>
      </w:tr>
      <w:tr w:rsidR="007C648D" w:rsidRPr="007C648D" w14:paraId="236F58BE" w14:textId="77777777" w:rsidTr="007C648D">
        <w:trPr>
          <w:trHeight w:val="389"/>
        </w:trPr>
        <w:tc>
          <w:tcPr>
            <w:tcW w:w="817" w:type="dxa"/>
            <w:tcBorders>
              <w:top w:val="nil"/>
              <w:left w:val="nil"/>
              <w:bottom w:val="nil"/>
              <w:right w:val="nil"/>
            </w:tcBorders>
            <w:vAlign w:val="center"/>
            <w:hideMark/>
          </w:tcPr>
          <w:p w14:paraId="7F460008" w14:textId="77777777" w:rsidR="007C648D" w:rsidRPr="007C648D" w:rsidRDefault="007C648D" w:rsidP="007C648D">
            <w:pPr>
              <w:spacing w:after="0"/>
              <w:rPr>
                <w:rFonts w:ascii="Verdana" w:hAnsi="Verdana"/>
                <w:sz w:val="14"/>
                <w:szCs w:val="14"/>
              </w:rPr>
            </w:pPr>
            <w:r w:rsidRPr="007C648D">
              <w:rPr>
                <w:rFonts w:ascii="Verdana" w:hAnsi="Verdana"/>
                <w:sz w:val="14"/>
                <w:szCs w:val="14"/>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3B7C24CC" w14:textId="77777777" w:rsidR="007C648D" w:rsidRPr="007C648D" w:rsidRDefault="007C648D" w:rsidP="007C648D">
            <w:pPr>
              <w:spacing w:after="0"/>
              <w:rPr>
                <w:rFonts w:ascii="Verdana" w:hAnsi="Verdana"/>
                <w:sz w:val="14"/>
                <w:szCs w:val="14"/>
              </w:rPr>
            </w:pPr>
            <w:r w:rsidRPr="007C648D">
              <w:rPr>
                <w:rFonts w:ascii="Verdana" w:hAnsi="Verdana"/>
                <w:sz w:val="14"/>
                <w:szCs w:val="14"/>
              </w:rPr>
              <w:t>Carolina Quintero Gacharná</w:t>
            </w:r>
          </w:p>
          <w:p w14:paraId="249C838C" w14:textId="77777777" w:rsidR="007C648D" w:rsidRPr="007C648D" w:rsidRDefault="007C648D" w:rsidP="007C648D">
            <w:pPr>
              <w:spacing w:after="0"/>
              <w:rPr>
                <w:rFonts w:ascii="Verdana" w:hAnsi="Verdana"/>
                <w:sz w:val="14"/>
                <w:szCs w:val="14"/>
              </w:rPr>
            </w:pPr>
            <w:r w:rsidRPr="007C648D">
              <w:rPr>
                <w:rFonts w:ascii="Verdana" w:hAnsi="Verdana"/>
                <w:sz w:val="14"/>
                <w:szCs w:val="14"/>
              </w:rPr>
              <w:t>Subdirectora de Gestión Contractual ANCP – CCE</w:t>
            </w:r>
          </w:p>
        </w:tc>
      </w:tr>
    </w:tbl>
    <w:p w14:paraId="0465BA6D" w14:textId="67E05C6D" w:rsidR="00E245AB" w:rsidRPr="005A6CCB" w:rsidRDefault="00E245AB" w:rsidP="00E245AB">
      <w:pPr>
        <w:spacing w:after="0"/>
        <w:rPr>
          <w:rFonts w:ascii="Verdana" w:hAnsi="Verdana"/>
        </w:rPr>
      </w:pPr>
    </w:p>
    <w:bookmarkEnd w:id="0"/>
    <w:p w14:paraId="0F293BF4" w14:textId="25771FFF" w:rsidR="00127233" w:rsidRPr="005A6CCB" w:rsidRDefault="00322A85" w:rsidP="00E01E78">
      <w:pPr>
        <w:spacing w:after="0" w:line="240" w:lineRule="auto"/>
        <w:textAlignment w:val="baseline"/>
        <w:rPr>
          <w:rFonts w:ascii="Verdana" w:hAnsi="Verdana"/>
        </w:rPr>
      </w:pPr>
      <w:r w:rsidRPr="005A6CCB">
        <w:rPr>
          <w:rFonts w:ascii="Verdana" w:eastAsia="Times New Roman" w:hAnsi="Verdana" w:cs="Segoe UI"/>
          <w:color w:val="404040"/>
          <w:lang w:eastAsia="es-CO"/>
        </w:rPr>
        <w:t> </w:t>
      </w:r>
    </w:p>
    <w:sectPr w:rsidR="00127233" w:rsidRPr="005A6CCB" w:rsidSect="007C0C0F">
      <w:headerReference w:type="default" r:id="rId25"/>
      <w:footerReference w:type="default" r:id="rId2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44FBA" w14:textId="77777777" w:rsidR="004826C5" w:rsidRDefault="004826C5" w:rsidP="004A1847">
      <w:pPr>
        <w:spacing w:after="0" w:line="240" w:lineRule="auto"/>
      </w:pPr>
      <w:r>
        <w:separator/>
      </w:r>
    </w:p>
  </w:endnote>
  <w:endnote w:type="continuationSeparator" w:id="0">
    <w:p w14:paraId="5989B83A" w14:textId="77777777" w:rsidR="004826C5" w:rsidRDefault="004826C5"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7D74C" w14:textId="77777777" w:rsidR="004826C5" w:rsidRDefault="004826C5" w:rsidP="004A1847">
      <w:pPr>
        <w:spacing w:after="0" w:line="240" w:lineRule="auto"/>
      </w:pPr>
      <w:r>
        <w:separator/>
      </w:r>
    </w:p>
  </w:footnote>
  <w:footnote w:type="continuationSeparator" w:id="0">
    <w:p w14:paraId="270E50FB" w14:textId="77777777" w:rsidR="004826C5" w:rsidRDefault="004826C5" w:rsidP="004A1847">
      <w:pPr>
        <w:spacing w:after="0" w:line="240" w:lineRule="auto"/>
      </w:pPr>
      <w:r>
        <w:continuationSeparator/>
      </w:r>
    </w:p>
  </w:footnote>
  <w:footnote w:id="1">
    <w:p w14:paraId="0D893B30" w14:textId="77777777" w:rsidR="00883881" w:rsidRDefault="00883881" w:rsidP="00883881">
      <w:pPr>
        <w:pStyle w:val="Textonotapie"/>
        <w:spacing w:after="120"/>
        <w:ind w:firstLine="709"/>
        <w:jc w:val="both"/>
        <w:rPr>
          <w:rFonts w:ascii="Verdana" w:hAnsi="Verdana" w:cs="Arial"/>
          <w:sz w:val="12"/>
          <w:szCs w:val="12"/>
          <w:lang w:val="es-ES_tradnl"/>
        </w:rPr>
      </w:pPr>
      <w:r>
        <w:rPr>
          <w:rStyle w:val="Refdenotaalpie"/>
          <w:rFonts w:ascii="Verdana" w:hAnsi="Verdana" w:cs="Arial"/>
          <w:sz w:val="12"/>
          <w:szCs w:val="12"/>
        </w:rPr>
        <w:footnoteRef/>
      </w:r>
      <w:r>
        <w:rPr>
          <w:rFonts w:ascii="Verdana" w:hAnsi="Verdana" w:cs="Arial"/>
          <w:sz w:val="12"/>
          <w:szCs w:val="12"/>
        </w:rPr>
        <w:t xml:space="preserve"> </w:t>
      </w:r>
      <w:proofErr w:type="spellStart"/>
      <w:r>
        <w:rPr>
          <w:rFonts w:ascii="Verdana" w:hAnsi="Verdana" w:cs="Arial"/>
          <w:sz w:val="12"/>
          <w:szCs w:val="12"/>
          <w:lang w:val="es-ES"/>
        </w:rPr>
        <w:t>Ibídem</w:t>
      </w:r>
      <w:proofErr w:type="spellEnd"/>
      <w:r>
        <w:rPr>
          <w:rFonts w:ascii="Verdana" w:hAnsi="Verdana" w:cs="Arial"/>
          <w:sz w:val="12"/>
          <w:szCs w:val="12"/>
          <w:lang w:val="es-ES"/>
        </w:rPr>
        <w:t>. p. 69.</w:t>
      </w:r>
    </w:p>
  </w:footnote>
  <w:footnote w:id="2">
    <w:p w14:paraId="083CB4D2" w14:textId="2587E426" w:rsidR="00C056C1" w:rsidRDefault="00C056C1" w:rsidP="00C056C1">
      <w:pPr>
        <w:pStyle w:val="Textonotapie"/>
        <w:ind w:firstLine="708"/>
        <w:rPr>
          <w:rFonts w:ascii="Verdana" w:hAnsi="Verdana" w:cs="Arial"/>
          <w:color w:val="000000" w:themeColor="text1"/>
          <w:sz w:val="14"/>
          <w:szCs w:val="14"/>
        </w:rPr>
      </w:pPr>
      <w:r>
        <w:rPr>
          <w:rStyle w:val="Refdenotaalpie"/>
        </w:rPr>
        <w:footnoteRef/>
      </w:r>
      <w:r>
        <w:t xml:space="preserve"> </w:t>
      </w:r>
      <w:r>
        <w:rPr>
          <w:rFonts w:ascii="Verdana" w:hAnsi="Verdana" w:cs="Arial"/>
          <w:color w:val="000000" w:themeColor="text1"/>
          <w:sz w:val="14"/>
          <w:szCs w:val="14"/>
        </w:rPr>
        <w:t>EXPÓSITO VÉLEZ. Juan Carlos. Forma y contenido del contrato estatal, p. 90.</w:t>
      </w:r>
    </w:p>
    <w:p w14:paraId="7ED56EF5" w14:textId="77777777" w:rsidR="00C056C1" w:rsidRDefault="00C056C1" w:rsidP="00C056C1">
      <w:pPr>
        <w:pStyle w:val="Textonotapie"/>
        <w:ind w:firstLine="708"/>
      </w:pPr>
    </w:p>
  </w:footnote>
  <w:footnote w:id="3">
    <w:p w14:paraId="1563005B" w14:textId="20A9A804" w:rsidR="00C056C1" w:rsidRDefault="00C056C1" w:rsidP="00C056C1">
      <w:pPr>
        <w:pStyle w:val="Textonotapie"/>
        <w:ind w:firstLine="708"/>
        <w:rPr>
          <w:rFonts w:ascii="Verdana" w:hAnsi="Verdana" w:cs="Arial"/>
          <w:color w:val="000000" w:themeColor="text1"/>
          <w:sz w:val="12"/>
          <w:szCs w:val="12"/>
        </w:rPr>
      </w:pPr>
      <w:r>
        <w:rPr>
          <w:rStyle w:val="Refdenotaalpie"/>
        </w:rPr>
        <w:footnoteRef/>
      </w:r>
      <w:r>
        <w:t xml:space="preserve"> </w:t>
      </w:r>
      <w:r>
        <w:rPr>
          <w:rFonts w:ascii="Verdana" w:hAnsi="Verdana" w:cs="Arial"/>
          <w:color w:val="000000" w:themeColor="text1"/>
          <w:sz w:val="12"/>
          <w:szCs w:val="12"/>
        </w:rPr>
        <w:t>CONSEJO DE ESTADO, Sala de Consulta y Servicio Civil. Radicado No. 1453. Concepto de 6 de agosto de 2003. MP. Augusto Trejos.</w:t>
      </w:r>
    </w:p>
    <w:p w14:paraId="7BF8D336" w14:textId="77777777" w:rsidR="00C056C1" w:rsidRDefault="00C056C1" w:rsidP="00C056C1">
      <w:pPr>
        <w:pStyle w:val="Textonotapie"/>
        <w:ind w:firstLine="708"/>
      </w:pPr>
    </w:p>
  </w:footnote>
  <w:footnote w:id="4">
    <w:p w14:paraId="1F64352E" w14:textId="77777777" w:rsidR="00C056C1" w:rsidRDefault="00C056C1" w:rsidP="00C056C1">
      <w:pPr>
        <w:pStyle w:val="Textonotapie"/>
        <w:ind w:firstLine="708"/>
        <w:jc w:val="both"/>
        <w:rPr>
          <w:rFonts w:ascii="Verdana" w:hAnsi="Verdana" w:cs="Arial"/>
          <w:color w:val="000000" w:themeColor="text1"/>
          <w:sz w:val="12"/>
          <w:szCs w:val="12"/>
          <w:lang w:val="es-ES"/>
        </w:rPr>
      </w:pPr>
      <w:r>
        <w:rPr>
          <w:rStyle w:val="Refdenotaalpie"/>
        </w:rPr>
        <w:footnoteRef/>
      </w:r>
      <w:r>
        <w:t xml:space="preserve"> </w:t>
      </w:r>
      <w:r>
        <w:rPr>
          <w:rFonts w:ascii="Verdana" w:hAnsi="Verdana" w:cs="Arial"/>
          <w:color w:val="000000" w:themeColor="text1"/>
          <w:sz w:val="12"/>
          <w:szCs w:val="12"/>
          <w:lang w:val="es-ES"/>
        </w:rPr>
        <w:t>El artículo 11 de la Ley 1150 de 2007 prescribe: «Artículo 11. Del plazo para la liquidación de los contratos. La liquidación de los contratos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p>
    <w:p w14:paraId="6258F9B4" w14:textId="77777777" w:rsidR="00C056C1" w:rsidRDefault="00C056C1" w:rsidP="00C056C1">
      <w:pPr>
        <w:pStyle w:val="Textonotapie"/>
        <w:ind w:firstLine="708"/>
        <w:jc w:val="both"/>
        <w:rPr>
          <w:rFonts w:ascii="Verdana" w:hAnsi="Verdana" w:cs="Arial"/>
          <w:color w:val="000000" w:themeColor="text1"/>
          <w:sz w:val="12"/>
          <w:szCs w:val="12"/>
          <w:lang w:val="es-ES"/>
        </w:rPr>
      </w:pPr>
      <w:r>
        <w:rPr>
          <w:rFonts w:ascii="Verdana" w:hAnsi="Verdana" w:cs="Arial"/>
          <w:color w:val="000000" w:themeColor="text1"/>
          <w:sz w:val="12"/>
          <w:szCs w:val="12"/>
          <w:lang w:val="es-ES"/>
        </w:rPr>
        <w:t>“En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136 del C. C. A.</w:t>
      </w:r>
    </w:p>
    <w:p w14:paraId="0A705FFC" w14:textId="77777777" w:rsidR="00C056C1" w:rsidRDefault="00C056C1" w:rsidP="00C056C1">
      <w:pPr>
        <w:pStyle w:val="Textonotapie"/>
        <w:ind w:firstLine="708"/>
        <w:jc w:val="both"/>
        <w:rPr>
          <w:rFonts w:ascii="Verdana" w:hAnsi="Verdana" w:cs="Arial"/>
          <w:color w:val="000000" w:themeColor="text1"/>
          <w:sz w:val="12"/>
          <w:szCs w:val="12"/>
          <w:lang w:val="es-ES"/>
        </w:rPr>
      </w:pPr>
      <w:r>
        <w:rPr>
          <w:rFonts w:ascii="Verdana" w:hAnsi="Verdana" w:cs="Arial"/>
          <w:color w:val="000000" w:themeColor="text1"/>
          <w:sz w:val="12"/>
          <w:szCs w:val="12"/>
          <w:lang w:val="es-ES"/>
        </w:rPr>
        <w:t>“Si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136 del C. C. A.</w:t>
      </w:r>
    </w:p>
    <w:p w14:paraId="141F081D" w14:textId="77777777" w:rsidR="00C056C1" w:rsidRDefault="00C056C1" w:rsidP="00C056C1">
      <w:pPr>
        <w:pStyle w:val="Textonotapie"/>
        <w:ind w:firstLine="708"/>
        <w:jc w:val="both"/>
        <w:rPr>
          <w:rFonts w:ascii="Verdana" w:hAnsi="Verdana" w:cs="Arial"/>
          <w:color w:val="000000" w:themeColor="text1"/>
          <w:sz w:val="12"/>
          <w:szCs w:val="12"/>
          <w:lang w:val="es-ES"/>
        </w:rPr>
      </w:pPr>
      <w:r>
        <w:rPr>
          <w:rFonts w:ascii="Verdana" w:hAnsi="Verdana" w:cs="Arial"/>
          <w:color w:val="000000" w:themeColor="text1"/>
          <w:sz w:val="12"/>
          <w:szCs w:val="12"/>
          <w:lang w:val="es-ES"/>
        </w:rPr>
        <w:t>“Los contratistas tendrán derecho a efectuar salvedades a la liquidación por mutuo acuerdo, y en este evento la liquidación unilateral solo procederá en relación con los aspectos que no hayan sido objeto de acuerdo¨.</w:t>
      </w:r>
    </w:p>
    <w:p w14:paraId="63014CCB" w14:textId="0586F18B" w:rsidR="00C056C1" w:rsidRDefault="00C056C1" w:rsidP="00C056C1">
      <w:pPr>
        <w:pStyle w:val="Textonotapie"/>
        <w:ind w:firstLine="708"/>
      </w:pPr>
    </w:p>
  </w:footnote>
  <w:footnote w:id="5">
    <w:p w14:paraId="54BF4C1E" w14:textId="64FD11F3" w:rsidR="00D55428" w:rsidRDefault="00D55428" w:rsidP="00D55428">
      <w:pPr>
        <w:pStyle w:val="Textonotapie"/>
        <w:ind w:firstLine="708"/>
      </w:pPr>
      <w:r>
        <w:rPr>
          <w:rStyle w:val="Refdenotaalpie"/>
        </w:rPr>
        <w:footnoteRef/>
      </w:r>
      <w:r>
        <w:t xml:space="preserve"> </w:t>
      </w:r>
      <w:r w:rsidRPr="00D55428">
        <w:t xml:space="preserve"> Cfr. Consejo de Estado, Sección Tercera. Sentencia del 20 de octubre de 2014. Rad.: 27777</w:t>
      </w:r>
      <w:r w:rsidR="00A30CAF">
        <w:t>.</w:t>
      </w:r>
    </w:p>
    <w:p w14:paraId="11578103" w14:textId="77777777" w:rsidR="00A30CAF" w:rsidRDefault="00A30CAF" w:rsidP="00D55428">
      <w:pPr>
        <w:pStyle w:val="Textonotapie"/>
        <w:ind w:firstLine="708"/>
      </w:pPr>
    </w:p>
  </w:footnote>
  <w:footnote w:id="6">
    <w:p w14:paraId="53B39167" w14:textId="1CE0611F" w:rsidR="00A30CAF" w:rsidRDefault="00A30CAF" w:rsidP="00A30CAF">
      <w:pPr>
        <w:pStyle w:val="Textonotapie"/>
        <w:ind w:firstLine="708"/>
      </w:pPr>
      <w:r>
        <w:rPr>
          <w:rStyle w:val="Refdenotaalpie"/>
        </w:rPr>
        <w:footnoteRef/>
      </w:r>
      <w:r>
        <w:t xml:space="preserve"> </w:t>
      </w:r>
      <w:r w:rsidRPr="00D55428">
        <w:t>Cfr. Consejo de Estado, Sección Tercera.</w:t>
      </w:r>
      <w:r w:rsidR="00BF1589">
        <w:t xml:space="preserve"> Subsección C</w:t>
      </w:r>
      <w:r w:rsidRPr="00D55428">
        <w:t xml:space="preserve"> Sentencia del </w:t>
      </w:r>
      <w:r w:rsidR="00BF1589">
        <w:t>13</w:t>
      </w:r>
      <w:r w:rsidRPr="00D55428">
        <w:t xml:space="preserve"> de </w:t>
      </w:r>
      <w:r w:rsidR="00BF1589">
        <w:t>marzo</w:t>
      </w:r>
      <w:r w:rsidRPr="00D55428">
        <w:t xml:space="preserve"> de </w:t>
      </w:r>
      <w:r w:rsidR="00BF1589">
        <w:t>2024</w:t>
      </w:r>
      <w:r w:rsidRPr="00D55428">
        <w:t xml:space="preserve">. Rad.: </w:t>
      </w:r>
      <w:r w:rsidR="00C056C1">
        <w:t>67782.</w:t>
      </w:r>
    </w:p>
  </w:footnote>
  <w:footnote w:id="7">
    <w:p w14:paraId="7DCB4813" w14:textId="77777777" w:rsidR="001B7A34" w:rsidRDefault="001B7A34" w:rsidP="001B7A34">
      <w:pPr>
        <w:pStyle w:val="Textonotapie"/>
        <w:spacing w:after="120"/>
        <w:ind w:firstLine="709"/>
        <w:jc w:val="both"/>
        <w:rPr>
          <w:rFonts w:ascii="Verdana" w:hAnsi="Verdana" w:cs="Arial"/>
          <w:sz w:val="12"/>
          <w:szCs w:val="12"/>
        </w:rPr>
      </w:pPr>
      <w:r>
        <w:rPr>
          <w:rStyle w:val="Refdenotaalpie"/>
          <w:rFonts w:ascii="Verdana" w:hAnsi="Verdana" w:cs="Arial"/>
          <w:sz w:val="12"/>
          <w:szCs w:val="12"/>
        </w:rPr>
        <w:footnoteRef/>
      </w:r>
      <w:r>
        <w:rPr>
          <w:rFonts w:ascii="Verdana" w:hAnsi="Verdana" w:cs="Arial"/>
          <w:sz w:val="12"/>
          <w:szCs w:val="12"/>
        </w:rPr>
        <w:t xml:space="preserve"> Ley 80 de 1993: “Artículo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14:paraId="7A98F005" w14:textId="77777777" w:rsidR="001B7A34" w:rsidRDefault="001B7A34" w:rsidP="001B7A34">
      <w:pPr>
        <w:pStyle w:val="Textonotapie"/>
        <w:spacing w:after="120"/>
        <w:ind w:firstLine="709"/>
        <w:jc w:val="both"/>
        <w:rPr>
          <w:rFonts w:ascii="Verdana" w:hAnsi="Verdana" w:cs="Arial"/>
          <w:sz w:val="12"/>
          <w:szCs w:val="12"/>
        </w:rPr>
      </w:pPr>
      <w:r>
        <w:rPr>
          <w:rFonts w:ascii="Verdana" w:hAnsi="Verdana" w:cs="Arial"/>
          <w:sz w:val="12"/>
          <w:szCs w:val="12"/>
        </w:rPr>
        <w:t>Las personas jurídicas nacionales y extranjeras deberán acreditar que su duración no será inferior a la del plazo del contrato y un año más”.</w:t>
      </w:r>
    </w:p>
  </w:footnote>
  <w:footnote w:id="8">
    <w:p w14:paraId="583CD80A" w14:textId="77777777" w:rsidR="001B7A34" w:rsidRDefault="001B7A34" w:rsidP="001B7A34">
      <w:pPr>
        <w:pStyle w:val="Textonotapie"/>
        <w:spacing w:after="120"/>
        <w:ind w:firstLine="709"/>
        <w:jc w:val="both"/>
        <w:rPr>
          <w:rFonts w:ascii="Verdana" w:hAnsi="Verdana" w:cs="Arial"/>
          <w:sz w:val="12"/>
          <w:szCs w:val="12"/>
        </w:rPr>
      </w:pPr>
      <w:r>
        <w:rPr>
          <w:rStyle w:val="Refdenotaalpie"/>
          <w:rFonts w:ascii="Verdana" w:hAnsi="Verdana" w:cs="Arial"/>
          <w:sz w:val="12"/>
          <w:szCs w:val="12"/>
        </w:rPr>
        <w:footnoteRef/>
      </w:r>
      <w:r>
        <w:rPr>
          <w:rFonts w:ascii="Verdana" w:hAnsi="Verdana" w:cs="Arial"/>
          <w:sz w:val="12"/>
          <w:szCs w:val="12"/>
        </w:rPr>
        <w:t xml:space="preserve"> Código Civil: “Artículo 1502. Requisitos para obligarse. Para que una persona se obligue a otra por un acto o declaración de voluntad, es necesario:</w:t>
      </w:r>
    </w:p>
    <w:p w14:paraId="3138EAF3" w14:textId="77777777" w:rsidR="001B7A34" w:rsidRDefault="001B7A34" w:rsidP="001B7A34">
      <w:pPr>
        <w:pStyle w:val="Textonotapie"/>
        <w:spacing w:after="120"/>
        <w:ind w:firstLine="709"/>
        <w:jc w:val="both"/>
        <w:rPr>
          <w:rFonts w:ascii="Verdana" w:hAnsi="Verdana" w:cs="Arial"/>
          <w:sz w:val="12"/>
          <w:szCs w:val="12"/>
        </w:rPr>
      </w:pPr>
      <w:r>
        <w:rPr>
          <w:rFonts w:ascii="Verdana" w:hAnsi="Verdana" w:cs="Arial"/>
          <w:sz w:val="12"/>
          <w:szCs w:val="12"/>
        </w:rPr>
        <w:t>1o.) que sea legalmente capaz.</w:t>
      </w:r>
    </w:p>
    <w:p w14:paraId="6F9A34A8" w14:textId="77777777" w:rsidR="001B7A34" w:rsidRDefault="001B7A34" w:rsidP="001B7A34">
      <w:pPr>
        <w:pStyle w:val="Textonotapie"/>
        <w:spacing w:after="120"/>
        <w:ind w:firstLine="709"/>
        <w:jc w:val="both"/>
        <w:rPr>
          <w:rFonts w:ascii="Verdana" w:hAnsi="Verdana" w:cs="Arial"/>
          <w:sz w:val="12"/>
          <w:szCs w:val="12"/>
        </w:rPr>
      </w:pPr>
      <w:r>
        <w:rPr>
          <w:rFonts w:ascii="Verdana" w:hAnsi="Verdana" w:cs="Arial"/>
          <w:sz w:val="12"/>
          <w:szCs w:val="12"/>
        </w:rPr>
        <w:t>[…]</w:t>
      </w:r>
    </w:p>
    <w:p w14:paraId="09E2FCB5" w14:textId="77777777" w:rsidR="001B7A34" w:rsidRDefault="001B7A34" w:rsidP="001B7A34">
      <w:pPr>
        <w:pStyle w:val="Textonotapie"/>
        <w:spacing w:after="120"/>
        <w:ind w:firstLine="709"/>
        <w:jc w:val="both"/>
        <w:rPr>
          <w:rFonts w:ascii="Verdana" w:hAnsi="Verdana" w:cs="Arial"/>
          <w:sz w:val="12"/>
          <w:szCs w:val="12"/>
        </w:rPr>
      </w:pPr>
      <w:r>
        <w:rPr>
          <w:rFonts w:ascii="Verdana" w:hAnsi="Verdana" w:cs="Arial"/>
          <w:sz w:val="12"/>
          <w:szCs w:val="12"/>
        </w:rPr>
        <w:t>La capacidad legal de una persona consiste en poderse obligar por sí misma, sin el ministerio o la autorización de otra”.</w:t>
      </w:r>
    </w:p>
  </w:footnote>
  <w:footnote w:id="9">
    <w:p w14:paraId="64055FFA" w14:textId="77777777" w:rsidR="001B7A34" w:rsidRDefault="001B7A34" w:rsidP="001B7A34">
      <w:pPr>
        <w:pStyle w:val="Textonotapie"/>
        <w:spacing w:after="120"/>
        <w:ind w:firstLine="709"/>
        <w:jc w:val="both"/>
        <w:rPr>
          <w:rFonts w:ascii="Verdana" w:hAnsi="Verdana" w:cs="Arial"/>
          <w:sz w:val="12"/>
          <w:szCs w:val="12"/>
          <w:lang w:val="es-ES"/>
        </w:rPr>
      </w:pPr>
      <w:r>
        <w:rPr>
          <w:rStyle w:val="Refdenotaalpie"/>
          <w:rFonts w:ascii="Verdana" w:hAnsi="Verdana" w:cs="Arial"/>
          <w:sz w:val="12"/>
          <w:szCs w:val="12"/>
        </w:rPr>
        <w:footnoteRef/>
      </w:r>
      <w:r>
        <w:rPr>
          <w:rFonts w:ascii="Verdana" w:hAnsi="Verdana" w:cs="Arial"/>
          <w:sz w:val="12"/>
          <w:szCs w:val="12"/>
        </w:rPr>
        <w:t xml:space="preserve"> </w:t>
      </w:r>
      <w:r>
        <w:rPr>
          <w:rFonts w:ascii="Verdana" w:hAnsi="Verdana" w:cs="Arial"/>
          <w:sz w:val="12"/>
          <w:szCs w:val="12"/>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Pr>
          <w:rFonts w:ascii="Verdana" w:hAnsi="Verdana" w:cs="Arial"/>
          <w:i/>
          <w:sz w:val="12"/>
          <w:szCs w:val="12"/>
          <w:lang w:val="es-ES"/>
        </w:rPr>
        <w:t>el régimen de inhabilidades e incompatibilidades</w:t>
      </w:r>
      <w:r>
        <w:rPr>
          <w:rFonts w:ascii="Verdana" w:hAnsi="Verdana" w:cs="Arial"/>
          <w:sz w:val="12"/>
          <w:szCs w:val="12"/>
          <w:lang w:val="es-ES"/>
        </w:rPr>
        <w:t xml:space="preserve"> (1) y la obligación de ciertos proponentes de inscribirse en el </w:t>
      </w:r>
      <w:r>
        <w:rPr>
          <w:rFonts w:ascii="Verdana" w:hAnsi="Verdana" w:cs="Arial"/>
          <w:i/>
          <w:sz w:val="12"/>
          <w:szCs w:val="12"/>
          <w:lang w:val="es-ES"/>
        </w:rPr>
        <w:t>registro único</w:t>
      </w:r>
      <w:r>
        <w:rPr>
          <w:rFonts w:ascii="Verdana" w:hAnsi="Verdana" w:cs="Arial"/>
          <w:sz w:val="12"/>
          <w:szCs w:val="12"/>
          <w:lang w:val="es-ES"/>
        </w:rPr>
        <w:t xml:space="preserve"> (2)” (BENAVIDES, José Luis. El contrato estatal. Entre el Derecho público y el Derecho privado. 2ª ed. Bogotá: Universidad Externado de Colombia, 2004. p. 278). </w:t>
      </w:r>
    </w:p>
  </w:footnote>
  <w:footnote w:id="10">
    <w:p w14:paraId="3D3FEAD0" w14:textId="77777777" w:rsidR="001B7A34" w:rsidRDefault="001B7A34" w:rsidP="001B7A34">
      <w:pPr>
        <w:spacing w:after="120" w:line="240" w:lineRule="auto"/>
        <w:ind w:firstLine="709"/>
        <w:jc w:val="both"/>
        <w:rPr>
          <w:rFonts w:ascii="Verdana" w:hAnsi="Verdana" w:cs="Arial"/>
          <w:sz w:val="12"/>
          <w:szCs w:val="12"/>
          <w:lang w:val="es-ES"/>
        </w:rPr>
      </w:pPr>
      <w:r>
        <w:rPr>
          <w:rStyle w:val="Refdenotaalpie"/>
          <w:rFonts w:ascii="Verdana" w:hAnsi="Verdana" w:cs="Arial"/>
          <w:sz w:val="12"/>
          <w:szCs w:val="12"/>
        </w:rPr>
        <w:footnoteRef/>
      </w:r>
      <w:r>
        <w:rPr>
          <w:rFonts w:ascii="Verdana" w:hAnsi="Verdana" w:cs="Arial"/>
          <w:sz w:val="12"/>
          <w:szCs w:val="12"/>
        </w:rPr>
        <w:t xml:space="preserve"> </w:t>
      </w:r>
      <w:r>
        <w:rPr>
          <w:rFonts w:ascii="Verdana" w:hAnsi="Verdana" w:cs="Arial"/>
          <w:sz w:val="12"/>
          <w:szCs w:val="12"/>
          <w:lang w:val="es-ES"/>
        </w:rPr>
        <w:t xml:space="preserve">Como las señaladas a continuación: “Los servidores públicos” (art. 8, </w:t>
      </w:r>
      <w:proofErr w:type="spellStart"/>
      <w:r>
        <w:rPr>
          <w:rFonts w:ascii="Verdana" w:hAnsi="Verdana" w:cs="Arial"/>
          <w:sz w:val="12"/>
          <w:szCs w:val="12"/>
          <w:lang w:val="es-ES"/>
        </w:rPr>
        <w:t>num</w:t>
      </w:r>
      <w:proofErr w:type="spellEnd"/>
      <w:r>
        <w:rPr>
          <w:rFonts w:ascii="Verdana" w:hAnsi="Verdana" w:cs="Arial"/>
          <w:sz w:val="12"/>
          <w:szCs w:val="12"/>
          <w:lang w:val="es-ES"/>
        </w:rPr>
        <w:t xml:space="preserve">. 1º, </w:t>
      </w:r>
      <w:proofErr w:type="spellStart"/>
      <w:r>
        <w:rPr>
          <w:rFonts w:ascii="Verdana" w:hAnsi="Verdana" w:cs="Arial"/>
          <w:sz w:val="12"/>
          <w:szCs w:val="12"/>
          <w:lang w:val="es-ES"/>
        </w:rPr>
        <w:t>lit.</w:t>
      </w:r>
      <w:proofErr w:type="spellEnd"/>
      <w:r>
        <w:rPr>
          <w:rFonts w:ascii="Verdana" w:hAnsi="Verdana" w:cs="Arial"/>
          <w:sz w:val="12"/>
          <w:szCs w:val="12"/>
          <w:lang w:val="es-ES"/>
        </w:rPr>
        <w:t xml:space="preserve"> f),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w:t>
      </w:r>
      <w:proofErr w:type="spellStart"/>
      <w:r>
        <w:rPr>
          <w:rFonts w:ascii="Verdana" w:hAnsi="Verdana" w:cs="Arial"/>
          <w:sz w:val="12"/>
          <w:szCs w:val="12"/>
          <w:lang w:val="es-ES"/>
        </w:rPr>
        <w:t>num</w:t>
      </w:r>
      <w:proofErr w:type="spellEnd"/>
      <w:r>
        <w:rPr>
          <w:rFonts w:ascii="Verdana" w:hAnsi="Verdana" w:cs="Arial"/>
          <w:sz w:val="12"/>
          <w:szCs w:val="12"/>
          <w:lang w:val="es-ES"/>
        </w:rPr>
        <w:t xml:space="preserve">. 2º, </w:t>
      </w:r>
      <w:proofErr w:type="spellStart"/>
      <w:r>
        <w:rPr>
          <w:rFonts w:ascii="Verdana" w:hAnsi="Verdana" w:cs="Arial"/>
          <w:sz w:val="12"/>
          <w:szCs w:val="12"/>
          <w:lang w:val="es-ES"/>
        </w:rPr>
        <w:t>lit.</w:t>
      </w:r>
      <w:proofErr w:type="spellEnd"/>
      <w:r>
        <w:rPr>
          <w:rFonts w:ascii="Verdana" w:hAnsi="Verdana" w:cs="Arial"/>
          <w:sz w:val="12"/>
          <w:szCs w:val="12"/>
          <w:lang w:val="es-ES"/>
        </w:rPr>
        <w:t xml:space="preserve"> d), Ley 80/93); “Los miembros de las juntas o consejos directivos. Esta incompatibilidad sólo se predica respecto de la entidad a la cual prestan sus servicios y de las del sector administrativo al que la misma esté adscrita o vinculada” (art. 8, </w:t>
      </w:r>
      <w:proofErr w:type="spellStart"/>
      <w:r>
        <w:rPr>
          <w:rFonts w:ascii="Verdana" w:hAnsi="Verdana" w:cs="Arial"/>
          <w:sz w:val="12"/>
          <w:szCs w:val="12"/>
          <w:lang w:val="es-ES"/>
        </w:rPr>
        <w:t>num</w:t>
      </w:r>
      <w:proofErr w:type="spellEnd"/>
      <w:r>
        <w:rPr>
          <w:rFonts w:ascii="Verdana" w:hAnsi="Verdana" w:cs="Arial"/>
          <w:sz w:val="12"/>
          <w:szCs w:val="12"/>
          <w:lang w:val="es-ES"/>
        </w:rPr>
        <w:t xml:space="preserve">. 2º, </w:t>
      </w:r>
      <w:proofErr w:type="spellStart"/>
      <w:r>
        <w:rPr>
          <w:rFonts w:ascii="Verdana" w:hAnsi="Verdana" w:cs="Arial"/>
          <w:sz w:val="12"/>
          <w:szCs w:val="12"/>
          <w:lang w:val="es-ES"/>
        </w:rPr>
        <w:t>lit.</w:t>
      </w:r>
      <w:proofErr w:type="spellEnd"/>
      <w:r>
        <w:rPr>
          <w:rFonts w:ascii="Verdana" w:hAnsi="Verdana" w:cs="Arial"/>
          <w:sz w:val="12"/>
          <w:szCs w:val="12"/>
          <w:lang w:val="es-ES"/>
        </w:rPr>
        <w:t xml:space="preserve"> e), Ley 80/93); “Quien haya celebrado un contrato estatal de obra pública, de concesión, suministro de medicamentos y de alimentos o su cónyuge, compañero o compañera permanente, pariente hasta el segundo grado de consanguinidad, segundo de afinidad y/o primero civil o sus socios en sociedades distintas de las anónimas abiertas, con las entidades a que se refiere el artículo 2o de la Ley 80 de 1993, durante el plazo de ejecución y hasta la liquidación del mismo, no podrán celebrar contratos de interventoría con la misma entidad” (art. 5, Ley 1474/11). </w:t>
      </w:r>
    </w:p>
  </w:footnote>
  <w:footnote w:id="11">
    <w:p w14:paraId="5820041B" w14:textId="77777777" w:rsidR="001B7A34" w:rsidRDefault="001B7A34" w:rsidP="001B7A34">
      <w:pPr>
        <w:pStyle w:val="Textonotapie"/>
        <w:spacing w:after="120"/>
        <w:ind w:firstLine="709"/>
        <w:jc w:val="both"/>
        <w:rPr>
          <w:rFonts w:ascii="Verdana" w:hAnsi="Verdana" w:cs="Arial"/>
          <w:sz w:val="12"/>
          <w:szCs w:val="12"/>
        </w:rPr>
      </w:pPr>
      <w:r>
        <w:rPr>
          <w:rStyle w:val="Refdenotaalpie"/>
          <w:rFonts w:ascii="Verdana" w:hAnsi="Verdana" w:cs="Arial"/>
          <w:sz w:val="12"/>
          <w:szCs w:val="12"/>
        </w:rPr>
        <w:footnoteRef/>
      </w:r>
      <w:r>
        <w:rPr>
          <w:rFonts w:ascii="Verdana" w:hAnsi="Verdana" w:cs="Arial"/>
          <w:sz w:val="12"/>
          <w:szCs w:val="12"/>
        </w:rPr>
        <w:t xml:space="preserve"> En esta línea Dávila Vinueza Expresa: “El legislador para calificar estas prohibiciones emplea dos vocablos: Inhabilidades o incompatibilidades, los cuales en un examen desprevenido podrían sugerir ideas diferentes y en consecuencia, efectos también distintos. Sin embargo, se trata de conceptos que no producen distinciones más allá de las puramente semánticas. En nada afecta el calificar una causal con denominación diferente a la empleada en el texto legal, cuando mucho se criticará la falta de precisión. Ello es así por cuanto los efectos jurídicos que se general para una y otra son exactamente los mismos. Incluso se podría afirmar que ante la semejanza de las figuras, conviene emplear un único vocablo, con lo cual serían innecesarias los intentos y las elucubraciones y explicaciones, algunas novedosas que podrían ensayarse”. (DÁVILA VINUEZA, Luis Guillermo. Régimen jurídico de la contratación estatal. 3ª ed. Bogotá: Legis, 2016. p. 148).</w:t>
      </w:r>
    </w:p>
  </w:footnote>
  <w:footnote w:id="12">
    <w:p w14:paraId="5F4A51C7" w14:textId="77777777" w:rsidR="001B7A34" w:rsidRDefault="001B7A34" w:rsidP="001B7A34">
      <w:pPr>
        <w:pStyle w:val="Textonotapie"/>
        <w:spacing w:after="120"/>
        <w:ind w:firstLine="709"/>
        <w:jc w:val="both"/>
        <w:rPr>
          <w:rFonts w:ascii="Verdana" w:hAnsi="Verdana" w:cs="Arial"/>
          <w:sz w:val="12"/>
          <w:szCs w:val="12"/>
          <w:lang w:val="es-ES"/>
        </w:rPr>
      </w:pPr>
      <w:r>
        <w:rPr>
          <w:rStyle w:val="Refdenotaalpie"/>
          <w:rFonts w:ascii="Verdana" w:hAnsi="Verdana" w:cs="Arial"/>
          <w:sz w:val="12"/>
          <w:szCs w:val="12"/>
        </w:rPr>
        <w:footnoteRef/>
      </w:r>
      <w:r>
        <w:rPr>
          <w:rFonts w:ascii="Verdana" w:hAnsi="Verdana" w:cs="Arial"/>
          <w:sz w:val="12"/>
          <w:szCs w:val="12"/>
        </w:rPr>
        <w:t xml:space="preserve"> </w:t>
      </w:r>
      <w:r>
        <w:rPr>
          <w:rFonts w:ascii="Verdana" w:hAnsi="Verdana" w:cs="Arial"/>
          <w:sz w:val="12"/>
          <w:szCs w:val="12"/>
          <w:lang w:val="es-ES"/>
        </w:rPr>
        <w:t xml:space="preserve">BARRETO ROZO, Antonio Alejandro. Inhabilidades de la contratación estatal, efectos y </w:t>
      </w:r>
      <w:proofErr w:type="spellStart"/>
      <w:r>
        <w:rPr>
          <w:rFonts w:ascii="Verdana" w:hAnsi="Verdana" w:cs="Arial"/>
          <w:sz w:val="12"/>
          <w:szCs w:val="12"/>
          <w:lang w:val="es-ES"/>
        </w:rPr>
        <w:t>neopunitivismo</w:t>
      </w:r>
      <w:proofErr w:type="spellEnd"/>
      <w:r>
        <w:rPr>
          <w:rFonts w:ascii="Verdana" w:hAnsi="Verdana" w:cs="Arial"/>
          <w:sz w:val="12"/>
          <w:szCs w:val="12"/>
          <w:lang w:val="es-ES"/>
        </w:rPr>
        <w:t xml:space="preserve"> en el Estatuto Anticorrupción. En: ALVIAR GARCÍA, Helena (Coordinadora). Nuevas tendencias del Derecho administrativo. Bogotá: Universidad de los Andes; Temis, 2016. pp. 63-99.</w:t>
      </w:r>
    </w:p>
  </w:footnote>
  <w:footnote w:id="13">
    <w:p w14:paraId="4130348E" w14:textId="77777777" w:rsidR="001B7A34" w:rsidRDefault="001B7A34" w:rsidP="001B7A34">
      <w:pPr>
        <w:pStyle w:val="Textonotapie"/>
        <w:spacing w:after="120"/>
        <w:ind w:firstLine="709"/>
        <w:jc w:val="both"/>
        <w:rPr>
          <w:rFonts w:ascii="Verdana" w:hAnsi="Verdana" w:cs="Arial"/>
          <w:sz w:val="12"/>
          <w:szCs w:val="12"/>
          <w:lang w:val="es-ES_tradnl"/>
        </w:rPr>
      </w:pPr>
      <w:r>
        <w:rPr>
          <w:rStyle w:val="Refdenotaalpie"/>
          <w:rFonts w:ascii="Verdana" w:hAnsi="Verdana" w:cs="Arial"/>
          <w:sz w:val="12"/>
          <w:szCs w:val="12"/>
        </w:rPr>
        <w:footnoteRef/>
      </w:r>
      <w:r>
        <w:rPr>
          <w:rFonts w:ascii="Verdana" w:hAnsi="Verdana" w:cs="Arial"/>
          <w:sz w:val="12"/>
          <w:szCs w:val="12"/>
        </w:rPr>
        <w:t xml:space="preserve"> </w:t>
      </w:r>
      <w:r>
        <w:rPr>
          <w:rFonts w:ascii="Verdana" w:hAnsi="Verdana" w:cs="Arial"/>
          <w:sz w:val="12"/>
          <w:szCs w:val="12"/>
          <w:lang w:val="es-ES"/>
        </w:rPr>
        <w:t>Ibídem. p. 69.</w:t>
      </w:r>
    </w:p>
  </w:footnote>
  <w:footnote w:id="14">
    <w:p w14:paraId="3A072D48" w14:textId="77777777" w:rsidR="00302A34" w:rsidRDefault="00302A34" w:rsidP="00302A34">
      <w:pPr>
        <w:pStyle w:val="Textonotapie"/>
        <w:spacing w:after="120"/>
        <w:ind w:firstLine="709"/>
        <w:jc w:val="both"/>
        <w:rPr>
          <w:rFonts w:ascii="Verdana" w:hAnsi="Verdana" w:cs="Arial"/>
          <w:sz w:val="12"/>
          <w:szCs w:val="12"/>
          <w:lang w:val="es-ES"/>
        </w:rPr>
      </w:pPr>
      <w:r>
        <w:rPr>
          <w:rStyle w:val="Refdenotaalpie"/>
          <w:rFonts w:ascii="Verdana" w:hAnsi="Verdana" w:cs="Arial"/>
          <w:sz w:val="12"/>
          <w:szCs w:val="12"/>
        </w:rPr>
        <w:footnoteRef/>
      </w:r>
      <w:r>
        <w:rPr>
          <w:rFonts w:ascii="Verdana" w:hAnsi="Verdana" w:cs="Arial"/>
          <w:sz w:val="12"/>
          <w:szCs w:val="12"/>
        </w:rPr>
        <w:t xml:space="preserve"> </w:t>
      </w:r>
      <w:r>
        <w:rPr>
          <w:rFonts w:ascii="Verdana" w:hAnsi="Verdana" w:cs="Arial"/>
          <w:sz w:val="12"/>
          <w:szCs w:val="12"/>
          <w:lang w:val="es-ES"/>
        </w:rPr>
        <w:t xml:space="preserve">CORTE CONSTITUCIONAL. Sentencia T-1039 de 2006. M.P. Humberto Sierra Porto. La Corte Constitucional ha mantenido este criterio en las sentencias: C-903 de 2008. M.P. Jaime Araujo Rentería; C-101 de 2018. M.P. Gloria Stella Ortiz Delgado; entre otras. </w:t>
      </w:r>
    </w:p>
  </w:footnote>
  <w:footnote w:id="15">
    <w:p w14:paraId="4060EFBC" w14:textId="77777777" w:rsidR="00302A34" w:rsidRDefault="00302A34" w:rsidP="00302A34">
      <w:pPr>
        <w:pStyle w:val="Textonotapie"/>
        <w:spacing w:after="120"/>
        <w:ind w:firstLine="709"/>
        <w:jc w:val="both"/>
        <w:rPr>
          <w:rFonts w:ascii="Verdana" w:hAnsi="Verdana" w:cs="Arial"/>
          <w:sz w:val="12"/>
          <w:szCs w:val="12"/>
          <w:lang w:val="es-ES"/>
        </w:rPr>
      </w:pPr>
      <w:r>
        <w:rPr>
          <w:rStyle w:val="Refdenotaalpie"/>
          <w:rFonts w:ascii="Verdana" w:hAnsi="Verdana" w:cs="Arial"/>
          <w:sz w:val="12"/>
          <w:szCs w:val="12"/>
        </w:rPr>
        <w:footnoteRef/>
      </w:r>
      <w:r>
        <w:rPr>
          <w:rFonts w:ascii="Verdana" w:hAnsi="Verdana" w:cs="Arial"/>
          <w:sz w:val="12"/>
          <w:szCs w:val="12"/>
        </w:rPr>
        <w:t xml:space="preserve"> </w:t>
      </w:r>
      <w:r>
        <w:rPr>
          <w:rFonts w:ascii="Verdana" w:hAnsi="Verdana" w:cs="Arial"/>
          <w:sz w:val="12"/>
          <w:szCs w:val="12"/>
          <w:lang w:val="es-ES"/>
        </w:rPr>
        <w:t xml:space="preserve">CONSEJO DE ESTADO. Sala de Consulta y Servicio Civil. Concepto del 30 de abril de 2015. </w:t>
      </w:r>
      <w:proofErr w:type="spellStart"/>
      <w:r>
        <w:rPr>
          <w:rFonts w:ascii="Verdana" w:hAnsi="Verdana" w:cs="Arial"/>
          <w:sz w:val="12"/>
          <w:szCs w:val="12"/>
          <w:lang w:val="es-ES"/>
        </w:rPr>
        <w:t>Exp</w:t>
      </w:r>
      <w:proofErr w:type="spellEnd"/>
      <w:r>
        <w:rPr>
          <w:rFonts w:ascii="Verdana" w:hAnsi="Verdana" w:cs="Arial"/>
          <w:sz w:val="12"/>
          <w:szCs w:val="12"/>
          <w:lang w:val="es-ES"/>
        </w:rPr>
        <w:t xml:space="preserve">. 2251. C.P. Álvaro </w:t>
      </w:r>
      <w:proofErr w:type="spellStart"/>
      <w:r>
        <w:rPr>
          <w:rFonts w:ascii="Verdana" w:hAnsi="Verdana" w:cs="Arial"/>
          <w:sz w:val="12"/>
          <w:szCs w:val="12"/>
          <w:lang w:val="es-ES"/>
        </w:rPr>
        <w:t>Namén</w:t>
      </w:r>
      <w:proofErr w:type="spellEnd"/>
      <w:r>
        <w:rPr>
          <w:rFonts w:ascii="Verdana" w:hAnsi="Verdana" w:cs="Arial"/>
          <w:sz w:val="12"/>
          <w:szCs w:val="12"/>
          <w:lang w:val="es-ES"/>
        </w:rPr>
        <w:t xml:space="preserve"> Vargas.</w:t>
      </w:r>
    </w:p>
  </w:footnote>
  <w:footnote w:id="16">
    <w:p w14:paraId="61D9CB33" w14:textId="77777777" w:rsidR="00302A34" w:rsidRDefault="00302A34" w:rsidP="00302A34">
      <w:pPr>
        <w:pStyle w:val="Textonotapie"/>
        <w:spacing w:after="120"/>
        <w:ind w:firstLine="709"/>
        <w:jc w:val="both"/>
        <w:rPr>
          <w:rFonts w:ascii="Verdana" w:hAnsi="Verdana" w:cs="Arial"/>
          <w:sz w:val="12"/>
          <w:szCs w:val="12"/>
        </w:rPr>
      </w:pPr>
      <w:r>
        <w:rPr>
          <w:rStyle w:val="Refdenotaalpie"/>
          <w:rFonts w:ascii="Verdana" w:hAnsi="Verdana" w:cs="Arial"/>
          <w:sz w:val="12"/>
          <w:szCs w:val="12"/>
        </w:rPr>
        <w:footnoteRef/>
      </w:r>
      <w:r>
        <w:rPr>
          <w:rFonts w:ascii="Verdana" w:hAnsi="Verdana" w:cs="Arial"/>
          <w:sz w:val="12"/>
          <w:szCs w:val="12"/>
        </w:rPr>
        <w:t xml:space="preserve"> CONSEJO DE ESTADO. Sección Tercera. Subsección A. Sentencia del 24 de junio de 2015. </w:t>
      </w:r>
      <w:proofErr w:type="spellStart"/>
      <w:r>
        <w:rPr>
          <w:rFonts w:ascii="Verdana" w:hAnsi="Verdana" w:cs="Arial"/>
          <w:sz w:val="12"/>
          <w:szCs w:val="12"/>
        </w:rPr>
        <w:t>Exp</w:t>
      </w:r>
      <w:proofErr w:type="spellEnd"/>
      <w:r>
        <w:rPr>
          <w:rFonts w:ascii="Verdana" w:hAnsi="Verdana" w:cs="Arial"/>
          <w:sz w:val="12"/>
          <w:szCs w:val="12"/>
        </w:rPr>
        <w:t>. 40.635. C.P. Hernán Andrade Rincón (E).</w:t>
      </w:r>
    </w:p>
  </w:footnote>
  <w:footnote w:id="17">
    <w:p w14:paraId="7B553D70" w14:textId="77777777" w:rsidR="00302A34" w:rsidRDefault="00302A34" w:rsidP="00302A34">
      <w:pPr>
        <w:pStyle w:val="Textonotapie"/>
        <w:spacing w:after="120"/>
        <w:ind w:firstLine="709"/>
        <w:jc w:val="both"/>
        <w:rPr>
          <w:rFonts w:ascii="Verdana" w:hAnsi="Verdana" w:cs="Arial"/>
          <w:sz w:val="12"/>
          <w:szCs w:val="12"/>
          <w:lang w:val="es-ES_tradnl"/>
        </w:rPr>
      </w:pPr>
      <w:r>
        <w:rPr>
          <w:rStyle w:val="Refdenotaalpie"/>
          <w:rFonts w:ascii="Verdana" w:hAnsi="Verdana" w:cs="Arial"/>
          <w:sz w:val="12"/>
          <w:szCs w:val="12"/>
        </w:rPr>
        <w:footnoteRef/>
      </w:r>
      <w:r>
        <w:rPr>
          <w:rFonts w:ascii="Verdana" w:hAnsi="Verdana" w:cs="Arial"/>
          <w:sz w:val="12"/>
          <w:szCs w:val="12"/>
        </w:rPr>
        <w:t xml:space="preserve"> CONSEJO DE ESTADO. Sección Tercera. Subsección C. Sentencia del 22 de mayo de 2013. Rad. 24.057. C.P. Olga Mélida Valle De </w:t>
      </w:r>
      <w:proofErr w:type="spellStart"/>
      <w:r>
        <w:rPr>
          <w:rFonts w:ascii="Verdana" w:hAnsi="Verdana" w:cs="Arial"/>
          <w:sz w:val="12"/>
          <w:szCs w:val="12"/>
        </w:rPr>
        <w:t>De</w:t>
      </w:r>
      <w:proofErr w:type="spellEnd"/>
      <w:r>
        <w:rPr>
          <w:rFonts w:ascii="Verdana" w:hAnsi="Verdana" w:cs="Arial"/>
          <w:sz w:val="12"/>
          <w:szCs w:val="12"/>
        </w:rPr>
        <w:t xml:space="preserve"> La Hoz. </w:t>
      </w:r>
    </w:p>
  </w:footnote>
  <w:footnote w:id="18">
    <w:p w14:paraId="1022F0B2" w14:textId="77777777" w:rsidR="00302A34" w:rsidRDefault="00302A34" w:rsidP="00302A34">
      <w:pPr>
        <w:pStyle w:val="Textonotapie"/>
        <w:spacing w:after="120"/>
        <w:ind w:firstLine="709"/>
        <w:jc w:val="both"/>
        <w:rPr>
          <w:rFonts w:ascii="Verdana" w:hAnsi="Verdana" w:cs="Arial"/>
          <w:sz w:val="12"/>
          <w:szCs w:val="12"/>
          <w:lang w:val="pt-BR"/>
        </w:rPr>
      </w:pPr>
      <w:r>
        <w:rPr>
          <w:rStyle w:val="Refdenotaalpie"/>
          <w:rFonts w:ascii="Verdana" w:hAnsi="Verdana" w:cs="Arial"/>
          <w:sz w:val="12"/>
          <w:szCs w:val="12"/>
        </w:rPr>
        <w:footnoteRef/>
      </w:r>
      <w:r>
        <w:rPr>
          <w:rFonts w:ascii="Verdana" w:hAnsi="Verdana" w:cs="Arial"/>
          <w:sz w:val="12"/>
          <w:szCs w:val="12"/>
        </w:rPr>
        <w:t xml:space="preserve"> </w:t>
      </w:r>
      <w:r>
        <w:rPr>
          <w:rFonts w:ascii="Verdana" w:hAnsi="Verdana" w:cs="Arial"/>
          <w:sz w:val="12"/>
          <w:szCs w:val="12"/>
          <w:lang w:val="pt-BR"/>
        </w:rPr>
        <w:t>Corte Constitucional. Sentencia C-415 de 1994. M.P. Eduardo Cifuentes Muñoz.</w:t>
      </w:r>
    </w:p>
  </w:footnote>
  <w:footnote w:id="19">
    <w:p w14:paraId="34C73EC7" w14:textId="77777777" w:rsidR="00065BE6" w:rsidRPr="00610F99" w:rsidRDefault="00065BE6" w:rsidP="00065BE6">
      <w:pPr>
        <w:pStyle w:val="Textonotapie"/>
        <w:ind w:firstLine="708"/>
        <w:jc w:val="both"/>
        <w:rPr>
          <w:rFonts w:ascii="Arial" w:hAnsi="Arial" w:cs="Arial"/>
          <w:sz w:val="19"/>
          <w:szCs w:val="19"/>
        </w:rPr>
      </w:pPr>
      <w:r w:rsidRPr="00610F99">
        <w:rPr>
          <w:rStyle w:val="Refdenotaalpie"/>
          <w:rFonts w:ascii="Arial" w:hAnsi="Arial" w:cs="Arial"/>
          <w:sz w:val="19"/>
          <w:szCs w:val="19"/>
        </w:rPr>
        <w:footnoteRef/>
      </w:r>
      <w:r w:rsidRPr="00610F99">
        <w:rPr>
          <w:rFonts w:ascii="Arial" w:hAnsi="Arial" w:cs="Arial"/>
          <w:sz w:val="19"/>
          <w:szCs w:val="19"/>
        </w:rPr>
        <w:t xml:space="preserve"> AGENCIA NACIONAL DE CONTRATACIÓN PÚBLICA, Concepto de 11 de diciembre de 2019. Radicado de entrada No. 4201912000007060, Radicado de salida No. 2201913000009165.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3pt;height:11.3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A0030B"/>
    <w:multiLevelType w:val="multilevel"/>
    <w:tmpl w:val="1C567DE4"/>
    <w:lvl w:ilvl="0">
      <w:start w:val="1"/>
      <w:numFmt w:val="decimal"/>
      <w:lvlText w:val="%1."/>
      <w:lvlJc w:val="left"/>
      <w:pPr>
        <w:ind w:left="4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525" w:hanging="425"/>
      </w:pPr>
      <w:rPr>
        <w:rFonts w:ascii="Arial" w:eastAsia="Arial" w:hAnsi="Arial" w:cs="Arial" w:hint="default"/>
        <w:b/>
        <w:bCs/>
        <w:color w:val="000000" w:themeColor="text1"/>
        <w:spacing w:val="-1"/>
        <w:w w:val="100"/>
        <w:sz w:val="22"/>
        <w:szCs w:val="22"/>
        <w:lang w:val="es-ES" w:eastAsia="en-US" w:bidi="ar-SA"/>
      </w:rPr>
    </w:lvl>
    <w:lvl w:ilvl="2">
      <w:start w:val="1"/>
      <w:numFmt w:val="lowerLetter"/>
      <w:lvlText w:val="%3)"/>
      <w:lvlJc w:val="left"/>
      <w:pPr>
        <w:ind w:left="805" w:hanging="273"/>
      </w:pPr>
      <w:rPr>
        <w:rFonts w:ascii="Arial" w:eastAsia="Arial" w:hAnsi="Arial" w:cs="Arial" w:hint="default"/>
        <w:color w:val="auto"/>
        <w:spacing w:val="-1"/>
        <w:w w:val="100"/>
        <w:sz w:val="22"/>
        <w:szCs w:val="22"/>
        <w:lang w:val="es-ES" w:eastAsia="en-US" w:bidi="ar-SA"/>
      </w:rPr>
    </w:lvl>
    <w:lvl w:ilvl="3">
      <w:numFmt w:val="bullet"/>
      <w:lvlText w:val="•"/>
      <w:lvlJc w:val="left"/>
      <w:pPr>
        <w:ind w:left="800" w:hanging="273"/>
      </w:pPr>
      <w:rPr>
        <w:lang w:val="es-ES" w:eastAsia="en-US" w:bidi="ar-SA"/>
      </w:rPr>
    </w:lvl>
    <w:lvl w:ilvl="4">
      <w:numFmt w:val="bullet"/>
      <w:lvlText w:val="•"/>
      <w:lvlJc w:val="left"/>
      <w:pPr>
        <w:ind w:left="1991" w:hanging="273"/>
      </w:pPr>
      <w:rPr>
        <w:lang w:val="es-ES" w:eastAsia="en-US" w:bidi="ar-SA"/>
      </w:rPr>
    </w:lvl>
    <w:lvl w:ilvl="5">
      <w:numFmt w:val="bullet"/>
      <w:lvlText w:val="•"/>
      <w:lvlJc w:val="left"/>
      <w:pPr>
        <w:ind w:left="3182" w:hanging="273"/>
      </w:pPr>
      <w:rPr>
        <w:lang w:val="es-ES" w:eastAsia="en-US" w:bidi="ar-SA"/>
      </w:rPr>
    </w:lvl>
    <w:lvl w:ilvl="6">
      <w:numFmt w:val="bullet"/>
      <w:lvlText w:val="•"/>
      <w:lvlJc w:val="left"/>
      <w:pPr>
        <w:ind w:left="4374" w:hanging="273"/>
      </w:pPr>
      <w:rPr>
        <w:lang w:val="es-ES" w:eastAsia="en-US" w:bidi="ar-SA"/>
      </w:rPr>
    </w:lvl>
    <w:lvl w:ilvl="7">
      <w:numFmt w:val="bullet"/>
      <w:lvlText w:val="•"/>
      <w:lvlJc w:val="left"/>
      <w:pPr>
        <w:ind w:left="5565" w:hanging="273"/>
      </w:pPr>
      <w:rPr>
        <w:lang w:val="es-ES" w:eastAsia="en-US" w:bidi="ar-SA"/>
      </w:rPr>
    </w:lvl>
    <w:lvl w:ilvl="8">
      <w:numFmt w:val="bullet"/>
      <w:lvlText w:val="•"/>
      <w:lvlJc w:val="left"/>
      <w:pPr>
        <w:ind w:left="6757" w:hanging="273"/>
      </w:pPr>
      <w:rPr>
        <w:lang w:val="es-ES" w:eastAsia="en-US" w:bidi="ar-SA"/>
      </w:rPr>
    </w:lvl>
  </w:abstractNum>
  <w:abstractNum w:abstractNumId="11" w15:restartNumberingAfterBreak="0">
    <w:nsid w:val="548A74AE"/>
    <w:multiLevelType w:val="hybridMultilevel"/>
    <w:tmpl w:val="9496AA5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1F7626"/>
    <w:multiLevelType w:val="hybridMultilevel"/>
    <w:tmpl w:val="B4BAC94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7AC07AAF"/>
    <w:multiLevelType w:val="hybridMultilevel"/>
    <w:tmpl w:val="DCFC369E"/>
    <w:lvl w:ilvl="0" w:tplc="080A0001">
      <w:start w:val="1"/>
      <w:numFmt w:val="bullet"/>
      <w:lvlText w:val=""/>
      <w:lvlJc w:val="left"/>
      <w:pPr>
        <w:ind w:left="433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5"/>
  </w:num>
  <w:num w:numId="7">
    <w:abstractNumId w:val="6"/>
  </w:num>
  <w:num w:numId="8">
    <w:abstractNumId w:val="14"/>
  </w:num>
  <w:num w:numId="9">
    <w:abstractNumId w:val="8"/>
  </w:num>
  <w:num w:numId="10">
    <w:abstractNumId w:val="13"/>
  </w:num>
  <w:num w:numId="11">
    <w:abstractNumId w:val="9"/>
  </w:num>
  <w:num w:numId="12">
    <w:abstractNumId w:val="1"/>
  </w:num>
  <w:num w:numId="13">
    <w:abstractNumId w:val="3"/>
  </w:num>
  <w:num w:numId="14">
    <w:abstractNumId w:val="16"/>
  </w:num>
  <w:num w:numId="15">
    <w:abstractNumId w:val="12"/>
  </w:num>
  <w:num w:numId="1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7"/>
  </w:num>
  <w:num w:numId="1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5"/>
  </w:num>
  <w:num w:numId="22">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18A"/>
    <w:rsid w:val="00007933"/>
    <w:rsid w:val="00022EE0"/>
    <w:rsid w:val="00024B2E"/>
    <w:rsid w:val="00061B2A"/>
    <w:rsid w:val="00065BE6"/>
    <w:rsid w:val="000725AB"/>
    <w:rsid w:val="00082362"/>
    <w:rsid w:val="000A659E"/>
    <w:rsid w:val="000A683E"/>
    <w:rsid w:val="000B19B9"/>
    <w:rsid w:val="000B2BD5"/>
    <w:rsid w:val="000B48FA"/>
    <w:rsid w:val="000D0334"/>
    <w:rsid w:val="000F4F5C"/>
    <w:rsid w:val="000F6486"/>
    <w:rsid w:val="00112189"/>
    <w:rsid w:val="00120F9A"/>
    <w:rsid w:val="00125105"/>
    <w:rsid w:val="00127233"/>
    <w:rsid w:val="00136A85"/>
    <w:rsid w:val="00147671"/>
    <w:rsid w:val="0017472B"/>
    <w:rsid w:val="001B7A34"/>
    <w:rsid w:val="001D397F"/>
    <w:rsid w:val="001E4177"/>
    <w:rsid w:val="001E7015"/>
    <w:rsid w:val="001F7DC6"/>
    <w:rsid w:val="002167CC"/>
    <w:rsid w:val="00237394"/>
    <w:rsid w:val="002421BB"/>
    <w:rsid w:val="00251B4F"/>
    <w:rsid w:val="0025796E"/>
    <w:rsid w:val="002707A2"/>
    <w:rsid w:val="002951A0"/>
    <w:rsid w:val="002962BC"/>
    <w:rsid w:val="002A093D"/>
    <w:rsid w:val="002A0DD0"/>
    <w:rsid w:val="002A1029"/>
    <w:rsid w:val="002A49AC"/>
    <w:rsid w:val="002A64FD"/>
    <w:rsid w:val="002C7A84"/>
    <w:rsid w:val="002D3E3C"/>
    <w:rsid w:val="002D4623"/>
    <w:rsid w:val="002D6203"/>
    <w:rsid w:val="002E4FD9"/>
    <w:rsid w:val="00302A34"/>
    <w:rsid w:val="00322A85"/>
    <w:rsid w:val="00324168"/>
    <w:rsid w:val="00336AF8"/>
    <w:rsid w:val="003448F4"/>
    <w:rsid w:val="0035350A"/>
    <w:rsid w:val="003562D7"/>
    <w:rsid w:val="00366A06"/>
    <w:rsid w:val="00367568"/>
    <w:rsid w:val="00374F5E"/>
    <w:rsid w:val="00377E3E"/>
    <w:rsid w:val="00392D34"/>
    <w:rsid w:val="003A26D1"/>
    <w:rsid w:val="003A2816"/>
    <w:rsid w:val="003A7477"/>
    <w:rsid w:val="003A779E"/>
    <w:rsid w:val="003C439A"/>
    <w:rsid w:val="003D0F4D"/>
    <w:rsid w:val="003D2FCF"/>
    <w:rsid w:val="003D5B0D"/>
    <w:rsid w:val="003E0499"/>
    <w:rsid w:val="003F3941"/>
    <w:rsid w:val="00406575"/>
    <w:rsid w:val="0042722E"/>
    <w:rsid w:val="00436620"/>
    <w:rsid w:val="0044528D"/>
    <w:rsid w:val="004826C5"/>
    <w:rsid w:val="004A1847"/>
    <w:rsid w:val="004A305D"/>
    <w:rsid w:val="004F21C4"/>
    <w:rsid w:val="004F685F"/>
    <w:rsid w:val="0052214A"/>
    <w:rsid w:val="00525DB3"/>
    <w:rsid w:val="005302D0"/>
    <w:rsid w:val="00536A73"/>
    <w:rsid w:val="00554D0E"/>
    <w:rsid w:val="005566E8"/>
    <w:rsid w:val="00574867"/>
    <w:rsid w:val="00591460"/>
    <w:rsid w:val="00592628"/>
    <w:rsid w:val="005A667C"/>
    <w:rsid w:val="005A6CCB"/>
    <w:rsid w:val="005C3777"/>
    <w:rsid w:val="005C5CDC"/>
    <w:rsid w:val="005D476C"/>
    <w:rsid w:val="005E506E"/>
    <w:rsid w:val="005E7B33"/>
    <w:rsid w:val="00604356"/>
    <w:rsid w:val="00610812"/>
    <w:rsid w:val="0061692D"/>
    <w:rsid w:val="006219F8"/>
    <w:rsid w:val="0063601D"/>
    <w:rsid w:val="00650FF7"/>
    <w:rsid w:val="00652F6B"/>
    <w:rsid w:val="00665D70"/>
    <w:rsid w:val="00667CB5"/>
    <w:rsid w:val="00671DAC"/>
    <w:rsid w:val="006760EA"/>
    <w:rsid w:val="006900D9"/>
    <w:rsid w:val="006B052C"/>
    <w:rsid w:val="006B5DD7"/>
    <w:rsid w:val="006D12F8"/>
    <w:rsid w:val="006E5487"/>
    <w:rsid w:val="00706C16"/>
    <w:rsid w:val="007255C1"/>
    <w:rsid w:val="00726C20"/>
    <w:rsid w:val="0074133B"/>
    <w:rsid w:val="00756841"/>
    <w:rsid w:val="00762723"/>
    <w:rsid w:val="007649AB"/>
    <w:rsid w:val="00771D0C"/>
    <w:rsid w:val="007833AC"/>
    <w:rsid w:val="007B268C"/>
    <w:rsid w:val="007B7171"/>
    <w:rsid w:val="007C0C0F"/>
    <w:rsid w:val="007C3DC2"/>
    <w:rsid w:val="007C648D"/>
    <w:rsid w:val="007E5497"/>
    <w:rsid w:val="007F66A9"/>
    <w:rsid w:val="00806F5F"/>
    <w:rsid w:val="00820278"/>
    <w:rsid w:val="00871728"/>
    <w:rsid w:val="00883881"/>
    <w:rsid w:val="008843B6"/>
    <w:rsid w:val="00891928"/>
    <w:rsid w:val="008A0564"/>
    <w:rsid w:val="008A446D"/>
    <w:rsid w:val="008B4379"/>
    <w:rsid w:val="008C7DF5"/>
    <w:rsid w:val="008D180B"/>
    <w:rsid w:val="008F0EA7"/>
    <w:rsid w:val="008F58A8"/>
    <w:rsid w:val="00905900"/>
    <w:rsid w:val="00923EEF"/>
    <w:rsid w:val="00930542"/>
    <w:rsid w:val="009419F9"/>
    <w:rsid w:val="00941F12"/>
    <w:rsid w:val="0095685E"/>
    <w:rsid w:val="00961B09"/>
    <w:rsid w:val="00965334"/>
    <w:rsid w:val="0097093E"/>
    <w:rsid w:val="009A0DFA"/>
    <w:rsid w:val="009B2D26"/>
    <w:rsid w:val="009C71FA"/>
    <w:rsid w:val="009C72E7"/>
    <w:rsid w:val="009D09EB"/>
    <w:rsid w:val="009D3058"/>
    <w:rsid w:val="009F3A13"/>
    <w:rsid w:val="009F5023"/>
    <w:rsid w:val="00A122D3"/>
    <w:rsid w:val="00A17F13"/>
    <w:rsid w:val="00A20739"/>
    <w:rsid w:val="00A30CAF"/>
    <w:rsid w:val="00A33C78"/>
    <w:rsid w:val="00A74751"/>
    <w:rsid w:val="00AB0ADB"/>
    <w:rsid w:val="00AD2F45"/>
    <w:rsid w:val="00AF4480"/>
    <w:rsid w:val="00B01447"/>
    <w:rsid w:val="00B01B1A"/>
    <w:rsid w:val="00B34C0F"/>
    <w:rsid w:val="00B408DA"/>
    <w:rsid w:val="00B56EC5"/>
    <w:rsid w:val="00B715B8"/>
    <w:rsid w:val="00B72CD3"/>
    <w:rsid w:val="00B72FFF"/>
    <w:rsid w:val="00B75FD4"/>
    <w:rsid w:val="00B9291C"/>
    <w:rsid w:val="00BC3D36"/>
    <w:rsid w:val="00BD7F72"/>
    <w:rsid w:val="00BF1589"/>
    <w:rsid w:val="00C04FB3"/>
    <w:rsid w:val="00C056C1"/>
    <w:rsid w:val="00C12961"/>
    <w:rsid w:val="00C330EB"/>
    <w:rsid w:val="00C754BE"/>
    <w:rsid w:val="00C76B1C"/>
    <w:rsid w:val="00CA5A68"/>
    <w:rsid w:val="00CB6357"/>
    <w:rsid w:val="00CC1B26"/>
    <w:rsid w:val="00CD759E"/>
    <w:rsid w:val="00CF373F"/>
    <w:rsid w:val="00D05F5F"/>
    <w:rsid w:val="00D07198"/>
    <w:rsid w:val="00D20D64"/>
    <w:rsid w:val="00D423A2"/>
    <w:rsid w:val="00D520D8"/>
    <w:rsid w:val="00D55428"/>
    <w:rsid w:val="00D63AC2"/>
    <w:rsid w:val="00D7383B"/>
    <w:rsid w:val="00DA231B"/>
    <w:rsid w:val="00DA23A0"/>
    <w:rsid w:val="00DC39FC"/>
    <w:rsid w:val="00DC67F6"/>
    <w:rsid w:val="00DF5254"/>
    <w:rsid w:val="00E01E78"/>
    <w:rsid w:val="00E1376C"/>
    <w:rsid w:val="00E16408"/>
    <w:rsid w:val="00E20894"/>
    <w:rsid w:val="00E245AB"/>
    <w:rsid w:val="00E2764C"/>
    <w:rsid w:val="00E27D34"/>
    <w:rsid w:val="00E27F2E"/>
    <w:rsid w:val="00E377FA"/>
    <w:rsid w:val="00E413EA"/>
    <w:rsid w:val="00E50AFE"/>
    <w:rsid w:val="00E578B6"/>
    <w:rsid w:val="00E5791A"/>
    <w:rsid w:val="00E60A04"/>
    <w:rsid w:val="00E75C92"/>
    <w:rsid w:val="00E771DC"/>
    <w:rsid w:val="00E8772A"/>
    <w:rsid w:val="00E90F6B"/>
    <w:rsid w:val="00E92C27"/>
    <w:rsid w:val="00EA0E3D"/>
    <w:rsid w:val="00EB018D"/>
    <w:rsid w:val="00EB2CAB"/>
    <w:rsid w:val="00EB528F"/>
    <w:rsid w:val="00EB7C8C"/>
    <w:rsid w:val="00EC38A7"/>
    <w:rsid w:val="00ED456E"/>
    <w:rsid w:val="00EE1AA8"/>
    <w:rsid w:val="00EE5C0C"/>
    <w:rsid w:val="00F2497F"/>
    <w:rsid w:val="00F31EDC"/>
    <w:rsid w:val="00F3683E"/>
    <w:rsid w:val="00F37743"/>
    <w:rsid w:val="00F44E6B"/>
    <w:rsid w:val="00F462B3"/>
    <w:rsid w:val="00F5664F"/>
    <w:rsid w:val="00F666C4"/>
    <w:rsid w:val="00F76AFC"/>
    <w:rsid w:val="00FA47C0"/>
    <w:rsid w:val="00FB5DD1"/>
    <w:rsid w:val="00FC2B5D"/>
    <w:rsid w:val="00FC3A93"/>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styleId="Textoennegrita">
    <w:name w:val="Strong"/>
    <w:basedOn w:val="Fuentedeprrafopredeter"/>
    <w:uiPriority w:val="22"/>
    <w:qFormat/>
    <w:rsid w:val="003A2816"/>
    <w:rPr>
      <w:b/>
      <w:bCs/>
    </w:rPr>
  </w:style>
  <w:style w:type="character" w:styleId="nfasis">
    <w:name w:val="Emphasis"/>
    <w:basedOn w:val="Fuentedeprrafopredeter"/>
    <w:uiPriority w:val="20"/>
    <w:qFormat/>
    <w:rsid w:val="003A2816"/>
    <w:rPr>
      <w:i/>
      <w:iCs/>
    </w:rPr>
  </w:style>
  <w:style w:type="paragraph" w:customStyle="1" w:styleId="Appelnotedebasde">
    <w:name w:val="Appel note de bas de..."/>
    <w:basedOn w:val="Normal"/>
    <w:link w:val="Refdenotaalpie"/>
    <w:uiPriority w:val="99"/>
    <w:rsid w:val="00065BE6"/>
    <w:pPr>
      <w:spacing w:after="0"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65BE6"/>
    <w:rPr>
      <w:rFonts w:ascii="Geomanist Light" w:hAnsi="Geomanist Light"/>
      <w:lang w:val="es-ES"/>
    </w:rPr>
  </w:style>
  <w:style w:type="paragraph" w:styleId="Textodeglobo">
    <w:name w:val="Balloon Text"/>
    <w:basedOn w:val="Normal"/>
    <w:link w:val="TextodegloboCar"/>
    <w:uiPriority w:val="99"/>
    <w:semiHidden/>
    <w:unhideWhenUsed/>
    <w:rsid w:val="00E01E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1E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402727363">
      <w:bodyDiv w:val="1"/>
      <w:marLeft w:val="0"/>
      <w:marRight w:val="0"/>
      <w:marTop w:val="0"/>
      <w:marBottom w:val="0"/>
      <w:divBdr>
        <w:top w:val="none" w:sz="0" w:space="0" w:color="auto"/>
        <w:left w:val="none" w:sz="0" w:space="0" w:color="auto"/>
        <w:bottom w:val="none" w:sz="0" w:space="0" w:color="auto"/>
        <w:right w:val="none" w:sz="0" w:space="0" w:color="auto"/>
      </w:divBdr>
    </w:div>
    <w:div w:id="550573991">
      <w:bodyDiv w:val="1"/>
      <w:marLeft w:val="0"/>
      <w:marRight w:val="0"/>
      <w:marTop w:val="0"/>
      <w:marBottom w:val="0"/>
      <w:divBdr>
        <w:top w:val="none" w:sz="0" w:space="0" w:color="auto"/>
        <w:left w:val="none" w:sz="0" w:space="0" w:color="auto"/>
        <w:bottom w:val="none" w:sz="0" w:space="0" w:color="auto"/>
        <w:right w:val="none" w:sz="0" w:space="0" w:color="auto"/>
      </w:divBdr>
    </w:div>
    <w:div w:id="598174459">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835267307">
      <w:bodyDiv w:val="1"/>
      <w:marLeft w:val="0"/>
      <w:marRight w:val="0"/>
      <w:marTop w:val="0"/>
      <w:marBottom w:val="0"/>
      <w:divBdr>
        <w:top w:val="none" w:sz="0" w:space="0" w:color="auto"/>
        <w:left w:val="none" w:sz="0" w:space="0" w:color="auto"/>
        <w:bottom w:val="none" w:sz="0" w:space="0" w:color="auto"/>
        <w:right w:val="none" w:sz="0" w:space="0" w:color="auto"/>
      </w:divBdr>
    </w:div>
    <w:div w:id="873812885">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2757048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12489575">
      <w:bodyDiv w:val="1"/>
      <w:marLeft w:val="0"/>
      <w:marRight w:val="0"/>
      <w:marTop w:val="0"/>
      <w:marBottom w:val="0"/>
      <w:divBdr>
        <w:top w:val="none" w:sz="0" w:space="0" w:color="auto"/>
        <w:left w:val="none" w:sz="0" w:space="0" w:color="auto"/>
        <w:bottom w:val="none" w:sz="0" w:space="0" w:color="auto"/>
        <w:right w:val="none" w:sz="0" w:space="0" w:color="auto"/>
      </w:divBdr>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463157145">
      <w:bodyDiv w:val="1"/>
      <w:marLeft w:val="0"/>
      <w:marRight w:val="0"/>
      <w:marTop w:val="0"/>
      <w:marBottom w:val="0"/>
      <w:divBdr>
        <w:top w:val="none" w:sz="0" w:space="0" w:color="auto"/>
        <w:left w:val="none" w:sz="0" w:space="0" w:color="auto"/>
        <w:bottom w:val="none" w:sz="0" w:space="0" w:color="auto"/>
        <w:right w:val="none" w:sz="0" w:space="0" w:color="auto"/>
      </w:divBdr>
    </w:div>
    <w:div w:id="1522740825">
      <w:bodyDiv w:val="1"/>
      <w:marLeft w:val="0"/>
      <w:marRight w:val="0"/>
      <w:marTop w:val="0"/>
      <w:marBottom w:val="0"/>
      <w:divBdr>
        <w:top w:val="none" w:sz="0" w:space="0" w:color="auto"/>
        <w:left w:val="none" w:sz="0" w:space="0" w:color="auto"/>
        <w:bottom w:val="none" w:sz="0" w:space="0" w:color="auto"/>
        <w:right w:val="none" w:sz="0" w:space="0" w:color="auto"/>
      </w:divBdr>
    </w:div>
    <w:div w:id="1576890876">
      <w:bodyDiv w:val="1"/>
      <w:marLeft w:val="0"/>
      <w:marRight w:val="0"/>
      <w:marTop w:val="0"/>
      <w:marBottom w:val="0"/>
      <w:divBdr>
        <w:top w:val="none" w:sz="0" w:space="0" w:color="auto"/>
        <w:left w:val="none" w:sz="0" w:space="0" w:color="auto"/>
        <w:bottom w:val="none" w:sz="0" w:space="0" w:color="auto"/>
        <w:right w:val="none" w:sz="0" w:space="0" w:color="auto"/>
      </w:divBdr>
    </w:div>
    <w:div w:id="1626538864">
      <w:bodyDiv w:val="1"/>
      <w:marLeft w:val="0"/>
      <w:marRight w:val="0"/>
      <w:marTop w:val="0"/>
      <w:marBottom w:val="0"/>
      <w:divBdr>
        <w:top w:val="none" w:sz="0" w:space="0" w:color="auto"/>
        <w:left w:val="none" w:sz="0" w:space="0" w:color="auto"/>
        <w:bottom w:val="none" w:sz="0" w:space="0" w:color="auto"/>
        <w:right w:val="none" w:sz="0" w:space="0" w:color="auto"/>
      </w:divBdr>
    </w:div>
    <w:div w:id="1722560614">
      <w:bodyDiv w:val="1"/>
      <w:marLeft w:val="0"/>
      <w:marRight w:val="0"/>
      <w:marTop w:val="0"/>
      <w:marBottom w:val="0"/>
      <w:divBdr>
        <w:top w:val="none" w:sz="0" w:space="0" w:color="auto"/>
        <w:left w:val="none" w:sz="0" w:space="0" w:color="auto"/>
        <w:bottom w:val="none" w:sz="0" w:space="0" w:color="auto"/>
        <w:right w:val="none" w:sz="0" w:space="0" w:color="auto"/>
      </w:divBdr>
    </w:div>
    <w:div w:id="1851219777">
      <w:bodyDiv w:val="1"/>
      <w:marLeft w:val="0"/>
      <w:marRight w:val="0"/>
      <w:marTop w:val="0"/>
      <w:marBottom w:val="0"/>
      <w:divBdr>
        <w:top w:val="none" w:sz="0" w:space="0" w:color="auto"/>
        <w:left w:val="none" w:sz="0" w:space="0" w:color="auto"/>
        <w:bottom w:val="none" w:sz="0" w:space="0" w:color="auto"/>
        <w:right w:val="none" w:sz="0" w:space="0" w:color="auto"/>
      </w:divBdr>
    </w:div>
    <w:div w:id="1957255995">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082211302">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normativa/ley-1150-de-2007/" TargetMode="External"/><Relationship Id="rId18" Type="http://schemas.openxmlformats.org/officeDocument/2006/relationships/hyperlink" Target="http://servicios.consejodeestado.gov.co/WebRelatoria/FileReferenceServlet?corp=ce&amp;ext=doc&amp;file=2073388"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rvicios.consejodeestado.gov.co/WebRelatoria/FileReferenceServlet?corp=ce&amp;ext=doc&amp;file=2153780" TargetMode="External"/><Relationship Id="rId7" Type="http://schemas.openxmlformats.org/officeDocument/2006/relationships/settings" Target="settings.xml"/><Relationship Id="rId12" Type="http://schemas.openxmlformats.org/officeDocument/2006/relationships/hyperlink" Target="https://relatoria.colombiacompra.gov.co/normativa/ley-80-de-1993/" TargetMode="External"/><Relationship Id="rId17" Type="http://schemas.openxmlformats.org/officeDocument/2006/relationships/hyperlink" Target="https://www.corteconstitucional.gov.co/relatoria/1994/c-415-94.ht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elatoria.colombiacompra.gov.co/normativa/decreto-019-de-2012/" TargetMode="External"/><Relationship Id="rId20" Type="http://schemas.openxmlformats.org/officeDocument/2006/relationships/hyperlink" Target="http://servicios.consejodeestado.gov.co/WebRelatoria/FileReferenceServlet?corp=ce&amp;ext=doc&amp;file=208556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relatoria.colombiacompra.gov.co/normativa/decreto-1082-de-2015/" TargetMode="External"/><Relationship Id="rId23" Type="http://schemas.openxmlformats.org/officeDocument/2006/relationships/hyperlink" Target="https://nam02.safelinks.protection.outlook.com/?url=https%3A%2F%2Fwww.colombiacompra.gov.co%2Fsala-de-prensa%2Fboletin-digital%2Fboletin-de-relatoria-2024-iv&amp;data=05%7C02%7Cgustavo.hinestroza%40colombiacompra.gov.co%7C616b83c3423e4d31151908dce489c00d%7C7b09041e245149d08cb179d5e3d8c1be%7C0%7C0%7C638636527541390763%7CUnknown%7CTWFpbGZsb3d8eyJWIjoiMC4wLjAwMDAiLCJQIjoiV2luMzIiLCJBTiI6Ik1haWwiLCJXVCI6Mn0%3D%7C0%7C%7C%7C&amp;sdata=TvcamFSJb0xKN8MmFyP0cz5zurODO5ojz6pqdTKfZVc%3D&amp;reserved=0"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orteconstitucional.gov.co/relatoria/2006/t-1039-06.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normativa/ley-1474-de-2011/" TargetMode="External"/><Relationship Id="rId22" Type="http://schemas.openxmlformats.org/officeDocument/2006/relationships/hyperlink" Target="https://relatoria.colombiacompra.gov.co/busqueda/concepto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documentManagement/types"/>
    <ds:schemaRef ds:uri="http://www.w3.org/XML/1998/namespace"/>
    <ds:schemaRef ds:uri="http://purl.org/dc/dcmitype/"/>
    <ds:schemaRef ds:uri="8ae15d26-076e-464e-81a7-6f76a0fb3917"/>
    <ds:schemaRef ds:uri="http://purl.org/dc/terms/"/>
    <ds:schemaRef ds:uri="36c82cfe-0eda-494d-b392-a9281b89aaf0"/>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AABC4031-87A6-42FB-9215-4363D6E98BC2}"/>
</file>

<file path=customXml/itemProps4.xml><?xml version="1.0" encoding="utf-8"?>
<ds:datastoreItem xmlns:ds="http://schemas.openxmlformats.org/officeDocument/2006/customXml" ds:itemID="{3E0593F9-8582-4FF5-982B-296103AEB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4871</Words>
  <Characters>26794</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Gustavo Hinestroza Martinez</cp:lastModifiedBy>
  <cp:revision>7</cp:revision>
  <cp:lastPrinted>2023-01-10T21:18:00Z</cp:lastPrinted>
  <dcterms:created xsi:type="dcterms:W3CDTF">2024-10-17T14:05:00Z</dcterms:created>
  <dcterms:modified xsi:type="dcterms:W3CDTF">2024-10-18T13:13:00Z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