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FA9A" w14:textId="089E3BD9" w:rsidR="00A51D61" w:rsidRDefault="00A51D61" w:rsidP="00A51D61">
      <w:pPr>
        <w:spacing w:after="0" w:line="240" w:lineRule="auto"/>
        <w:rPr>
          <w:rFonts w:ascii="Verdana" w:eastAsia="Geomanist Light" w:hAnsi="Verdana" w:cs="Arial"/>
          <w:color w:val="000000" w:themeColor="text1"/>
          <w:lang w:val="es-MX"/>
        </w:rPr>
      </w:pPr>
    </w:p>
    <w:p w14:paraId="71815965" w14:textId="41D7CCD5" w:rsidR="007B056F" w:rsidRPr="007B056F" w:rsidRDefault="007B056F" w:rsidP="007B056F">
      <w:pPr>
        <w:spacing w:after="0" w:line="240" w:lineRule="auto"/>
        <w:jc w:val="both"/>
        <w:rPr>
          <w:rFonts w:ascii="Verdana" w:eastAsia="Geomanist Light" w:hAnsi="Verdana" w:cs="Arial"/>
          <w:color w:val="000000"/>
        </w:rPr>
      </w:pPr>
      <w:r w:rsidRPr="007B056F">
        <w:rPr>
          <w:rFonts w:ascii="Verdana" w:eastAsia="Geomanist Light" w:hAnsi="Verdana" w:cs="Arial"/>
          <w:b/>
          <w:bCs/>
          <w:color w:val="000000"/>
          <w:lang w:val="es-ES"/>
        </w:rPr>
        <w:t>PROPONENTE PLURAL – CONSORCIOS Y UNIONES TEMPORALES – Participación proponente sin experiencia en consorcios y/o uniones temporales – Límite</w:t>
      </w:r>
    </w:p>
    <w:p w14:paraId="0A4F6996" w14:textId="77777777" w:rsidR="007B056F" w:rsidRPr="007B056F" w:rsidRDefault="007B056F" w:rsidP="007B056F">
      <w:pPr>
        <w:spacing w:after="0" w:line="240" w:lineRule="auto"/>
        <w:jc w:val="both"/>
        <w:rPr>
          <w:rFonts w:ascii="Verdana" w:eastAsia="Geomanist Light" w:hAnsi="Verdana" w:cs="Arial"/>
          <w:color w:val="000000"/>
        </w:rPr>
      </w:pPr>
      <w:r w:rsidRPr="007B056F">
        <w:rPr>
          <w:rFonts w:ascii="Verdana" w:eastAsia="Geomanist Light" w:hAnsi="Verdana" w:cs="Arial"/>
          <w:color w:val="000000"/>
        </w:rPr>
        <w:t> </w:t>
      </w:r>
    </w:p>
    <w:p w14:paraId="23925691" w14:textId="77777777" w:rsidR="007B056F" w:rsidRDefault="007B056F" w:rsidP="007B056F">
      <w:pPr>
        <w:spacing w:after="0" w:line="240" w:lineRule="auto"/>
        <w:jc w:val="both"/>
        <w:rPr>
          <w:rFonts w:ascii="Verdana" w:eastAsia="Geomanist Light" w:hAnsi="Verdana" w:cs="Arial"/>
          <w:color w:val="000000"/>
        </w:rPr>
      </w:pPr>
      <w:r w:rsidRPr="007B056F">
        <w:rPr>
          <w:rFonts w:ascii="Verdana" w:eastAsia="Geomanist Light" w:hAnsi="Verdana" w:cs="Arial"/>
          <w:color w:val="000000"/>
        </w:rPr>
        <w:t xml:space="preserve">Conforme la Resolución 275 de </w:t>
      </w:r>
      <w:proofErr w:type="gramStart"/>
      <w:r w:rsidRPr="007B056F">
        <w:rPr>
          <w:rFonts w:ascii="Verdana" w:eastAsia="Geomanist Light" w:hAnsi="Verdana" w:cs="Arial"/>
          <w:color w:val="000000"/>
        </w:rPr>
        <w:t>2022  –</w:t>
      </w:r>
      <w:proofErr w:type="gramEnd"/>
      <w:r w:rsidRPr="007B056F">
        <w:rPr>
          <w:rFonts w:ascii="Verdana" w:eastAsia="Geomanist Light" w:hAnsi="Verdana" w:cs="Arial"/>
          <w:color w:val="000000"/>
        </w:rPr>
        <w:t xml:space="preserve">para el caso de procesos de licitación de máxima cuantía y selección abreviada de menor cuantía en proyectos de infraestructura de transporte– las personas naturales o jurídicas sin experiencia que conformen proponentes plurales podrán tener una participación de máximo el 10%. […] </w:t>
      </w:r>
    </w:p>
    <w:p w14:paraId="2E6D35E8" w14:textId="77777777" w:rsidR="007B056F" w:rsidRPr="007B056F" w:rsidRDefault="007B056F" w:rsidP="007B056F">
      <w:pPr>
        <w:spacing w:after="0" w:line="240" w:lineRule="auto"/>
        <w:jc w:val="both"/>
        <w:rPr>
          <w:rFonts w:ascii="Verdana" w:eastAsia="Geomanist Light" w:hAnsi="Verdana" w:cs="Arial"/>
          <w:color w:val="000000"/>
        </w:rPr>
      </w:pPr>
    </w:p>
    <w:p w14:paraId="400FBF8F" w14:textId="77777777" w:rsidR="007B056F" w:rsidRDefault="007B056F" w:rsidP="007B056F">
      <w:pPr>
        <w:spacing w:after="0" w:line="240" w:lineRule="auto"/>
        <w:jc w:val="both"/>
        <w:rPr>
          <w:rFonts w:ascii="Verdana" w:eastAsia="Geomanist Light" w:hAnsi="Verdana" w:cs="Arial"/>
          <w:color w:val="000000"/>
        </w:rPr>
      </w:pPr>
      <w:r w:rsidRPr="007B056F">
        <w:rPr>
          <w:rFonts w:ascii="Verdana" w:eastAsia="Geomanist Light" w:hAnsi="Verdana" w:cs="Arial"/>
          <w:color w:val="000000"/>
        </w:rPr>
        <w:t>En línea con la norma precitada, bien podría un integrante de un proponente plural no contar con experiencia, obtener una participación del 10% y, al mismo tiempo, cumplir con las exigencias antes mencionadas para ser beneficiario de la aplicación de los criterios diferenciales para emprendimientos y empresas de mujeres establecidos en el artículo 2.2.1.2.4.2.15. ibidem. En todo caso, de querer acreditar experiencia deberá atenerse a lo dispuesto en el numeral 3.5.8. del Documento Base titulado “Relación de los contratos frente al presupuesto oficial”, el cual establece que bastará con la verificación de un (1) contrato para certificar el 75% del Presupuesto Oficial de la obra.</w:t>
      </w:r>
    </w:p>
    <w:p w14:paraId="2BABBA32" w14:textId="77777777" w:rsidR="007B056F" w:rsidRPr="007B056F" w:rsidRDefault="007B056F" w:rsidP="007B056F">
      <w:pPr>
        <w:spacing w:after="0" w:line="240" w:lineRule="auto"/>
        <w:jc w:val="both"/>
        <w:rPr>
          <w:rFonts w:ascii="Verdana" w:eastAsia="Geomanist Light" w:hAnsi="Verdana" w:cs="Arial"/>
          <w:color w:val="000000"/>
        </w:rPr>
      </w:pPr>
    </w:p>
    <w:p w14:paraId="479BE426" w14:textId="3734A458" w:rsidR="007B056F" w:rsidRDefault="007B056F" w:rsidP="007B056F">
      <w:pPr>
        <w:spacing w:after="0" w:line="240" w:lineRule="auto"/>
        <w:jc w:val="both"/>
        <w:rPr>
          <w:rFonts w:ascii="Verdana" w:eastAsia="Geomanist Light" w:hAnsi="Verdana" w:cs="Arial"/>
          <w:color w:val="000000"/>
        </w:rPr>
      </w:pPr>
      <w:r w:rsidRPr="007B056F">
        <w:rPr>
          <w:rFonts w:ascii="Verdana" w:eastAsia="Geomanist Light" w:hAnsi="Verdana" w:cs="Arial"/>
          <w:color w:val="000000"/>
        </w:rPr>
        <w:t>Sucede algo distinto con los requisitos habilitantes establecidos para los procesos de selección de mínima cuantía y de contratos de interventoría y consultoría. […] [L]a norma no permite en ningún caso la participación de integrantes que no cuenten con la experiencia requerida. Deberán acreditar, como mínimo, el 10% de esta experiencia. El número de contratos que deberán aportar para contar con este 10% dependerá del valor de cada contrato que se acredite y de su relación con el valor total del presupuesto oficial estimado del proceso de contratación, junto al porcentaje de participación del integrante. Regla similar aplica para los contratos de interventoría y consultoría en la medida en que sus Documentos Base (versión 2 y versión 3 respectivamente) establecen que los requisitos habilitantes deberán ser acreditados por cada uno de los integrantes de la figura asociativa, salvo que se entienda lo contrario en el Pliego de Condiciones.</w:t>
      </w:r>
    </w:p>
    <w:p w14:paraId="4A132ECD" w14:textId="77777777" w:rsidR="007B056F" w:rsidRDefault="007B056F" w:rsidP="007B056F">
      <w:pPr>
        <w:spacing w:after="0" w:line="240" w:lineRule="auto"/>
        <w:jc w:val="both"/>
        <w:rPr>
          <w:rFonts w:ascii="Verdana" w:eastAsia="Geomanist Light" w:hAnsi="Verdana" w:cs="Arial"/>
          <w:color w:val="000000"/>
        </w:rPr>
      </w:pPr>
    </w:p>
    <w:p w14:paraId="28767575" w14:textId="77777777" w:rsidR="007B056F" w:rsidRPr="007B056F" w:rsidRDefault="007B056F" w:rsidP="007B056F">
      <w:pPr>
        <w:spacing w:after="0" w:line="240" w:lineRule="auto"/>
        <w:jc w:val="both"/>
        <w:rPr>
          <w:rFonts w:ascii="Verdana" w:eastAsia="Geomanist Light" w:hAnsi="Verdana" w:cs="Arial"/>
          <w:b/>
          <w:color w:val="000000"/>
        </w:rPr>
      </w:pPr>
      <w:r w:rsidRPr="007B056F">
        <w:rPr>
          <w:rFonts w:ascii="Verdana" w:eastAsia="Geomanist Light" w:hAnsi="Verdana" w:cs="Arial"/>
          <w:b/>
          <w:color w:val="000000"/>
        </w:rPr>
        <w:t xml:space="preserve">CONVOCATORIAS LIMITADAS A MIPYMES – Generalidades </w:t>
      </w:r>
    </w:p>
    <w:p w14:paraId="149582A3" w14:textId="09998EC8" w:rsidR="007B056F" w:rsidRDefault="007B056F" w:rsidP="007B056F">
      <w:pPr>
        <w:spacing w:after="0" w:line="240" w:lineRule="auto"/>
        <w:jc w:val="both"/>
        <w:rPr>
          <w:rFonts w:ascii="Verdana" w:eastAsia="Geomanist Light" w:hAnsi="Verdana" w:cs="Arial"/>
          <w:color w:val="000000"/>
        </w:rPr>
      </w:pPr>
      <w:r w:rsidRPr="007B056F">
        <w:rPr>
          <w:rFonts w:ascii="Verdana" w:eastAsia="Geomanist Light" w:hAnsi="Verdana" w:cs="Arial"/>
          <w:bCs/>
          <w:color w:val="000000"/>
        </w:rPr>
        <w:t xml:space="preserve">la Ley 2069 de 2020 contiene normas que modifican algunos aspectos de la contratación estatal para promover el emprendimiento. Concretamente, aquellas se encuentran en el Capítulo III – artículos 30 al 36 –. En su orden, tales artículos consagran: i) reglas sobre la participación de las </w:t>
      </w:r>
      <w:proofErr w:type="spellStart"/>
      <w:r w:rsidRPr="007B056F">
        <w:rPr>
          <w:rFonts w:ascii="Verdana" w:eastAsia="Geomanist Light" w:hAnsi="Verdana" w:cs="Arial"/>
          <w:bCs/>
          <w:color w:val="000000"/>
        </w:rPr>
        <w:t>mipymes</w:t>
      </w:r>
      <w:proofErr w:type="spellEnd"/>
      <w:r w:rsidRPr="007B056F">
        <w:rPr>
          <w:rFonts w:ascii="Verdana" w:eastAsia="Geomanist Light" w:hAnsi="Verdana" w:cs="Arial"/>
          <w:bCs/>
          <w:color w:val="000000"/>
        </w:rPr>
        <w:t xml:space="preserve"> en el procedimiento de mínima cuantía, </w:t>
      </w:r>
      <w:proofErr w:type="spellStart"/>
      <w:r w:rsidRPr="007B056F">
        <w:rPr>
          <w:rFonts w:ascii="Verdana" w:eastAsia="Geomanist Light" w:hAnsi="Verdana" w:cs="Arial"/>
          <w:bCs/>
          <w:color w:val="000000"/>
        </w:rPr>
        <w:t>ii</w:t>
      </w:r>
      <w:proofErr w:type="spellEnd"/>
      <w:r w:rsidRPr="007B056F">
        <w:rPr>
          <w:rFonts w:ascii="Verdana" w:eastAsia="Geomanist Light" w:hAnsi="Verdana" w:cs="Arial"/>
          <w:bCs/>
          <w:color w:val="000000"/>
        </w:rPr>
        <w:t xml:space="preserve"> ) criterios diferenciales para </w:t>
      </w:r>
      <w:proofErr w:type="spellStart"/>
      <w:r w:rsidRPr="007B056F">
        <w:rPr>
          <w:rFonts w:ascii="Verdana" w:eastAsia="Geomanist Light" w:hAnsi="Verdana" w:cs="Arial"/>
          <w:bCs/>
          <w:color w:val="000000"/>
        </w:rPr>
        <w:t>mipymes</w:t>
      </w:r>
      <w:proofErr w:type="spellEnd"/>
      <w:r w:rsidRPr="007B056F">
        <w:rPr>
          <w:rFonts w:ascii="Verdana" w:eastAsia="Geomanist Light" w:hAnsi="Verdana" w:cs="Arial"/>
          <w:bCs/>
          <w:color w:val="000000"/>
        </w:rPr>
        <w:t xml:space="preserve"> en el sistema de compras públicas, </w:t>
      </w:r>
      <w:proofErr w:type="spellStart"/>
      <w:r w:rsidRPr="007B056F">
        <w:rPr>
          <w:rFonts w:ascii="Verdana" w:eastAsia="Geomanist Light" w:hAnsi="Verdana" w:cs="Arial"/>
          <w:bCs/>
          <w:color w:val="000000"/>
        </w:rPr>
        <w:t>iii</w:t>
      </w:r>
      <w:proofErr w:type="spellEnd"/>
      <w:r w:rsidRPr="007B056F">
        <w:rPr>
          <w:rFonts w:ascii="Verdana" w:eastAsia="Geomanist Light" w:hAnsi="Verdana" w:cs="Arial"/>
          <w:bCs/>
          <w:color w:val="000000"/>
        </w:rPr>
        <w:t xml:space="preserve"> ) criterios diferenciales para emprendimientos y empresas </w:t>
      </w:r>
      <w:r w:rsidRPr="007B056F">
        <w:rPr>
          <w:rFonts w:ascii="Verdana" w:eastAsia="Geomanist Light" w:hAnsi="Verdana" w:cs="Arial"/>
          <w:bCs/>
          <w:color w:val="000000"/>
        </w:rPr>
        <w:lastRenderedPageBreak/>
        <w:t xml:space="preserve">de mujeres en el sistema de compras públicas, </w:t>
      </w:r>
      <w:proofErr w:type="spellStart"/>
      <w:r w:rsidRPr="007B056F">
        <w:rPr>
          <w:rFonts w:ascii="Verdana" w:eastAsia="Geomanist Light" w:hAnsi="Verdana" w:cs="Arial"/>
          <w:bCs/>
          <w:color w:val="000000"/>
        </w:rPr>
        <w:t>iv</w:t>
      </w:r>
      <w:proofErr w:type="spellEnd"/>
      <w:r w:rsidRPr="007B056F">
        <w:rPr>
          <w:rFonts w:ascii="Verdana" w:eastAsia="Geomanist Light" w:hAnsi="Verdana" w:cs="Arial"/>
          <w:bCs/>
          <w:color w:val="000000"/>
        </w:rPr>
        <w:t xml:space="preserve"> ) promoción del acceso de las </w:t>
      </w:r>
      <w:proofErr w:type="spellStart"/>
      <w:r w:rsidRPr="007B056F">
        <w:rPr>
          <w:rFonts w:ascii="Verdana" w:eastAsia="Geomanist Light" w:hAnsi="Verdana" w:cs="Arial"/>
          <w:bCs/>
          <w:color w:val="000000"/>
        </w:rPr>
        <w:t>mipymes</w:t>
      </w:r>
      <w:proofErr w:type="spellEnd"/>
      <w:r w:rsidRPr="007B056F">
        <w:rPr>
          <w:rFonts w:ascii="Verdana" w:eastAsia="Geomanist Light" w:hAnsi="Verdana" w:cs="Arial"/>
          <w:bCs/>
          <w:color w:val="000000"/>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0E67B5AB" w14:textId="77777777" w:rsidR="007B056F" w:rsidRDefault="007B056F" w:rsidP="007B056F">
      <w:pPr>
        <w:spacing w:after="0" w:line="240" w:lineRule="auto"/>
        <w:jc w:val="both"/>
        <w:rPr>
          <w:rFonts w:ascii="Verdana" w:eastAsia="Geomanist Light" w:hAnsi="Verdana" w:cs="Arial"/>
          <w:color w:val="000000"/>
        </w:rPr>
      </w:pPr>
    </w:p>
    <w:p w14:paraId="124AD073" w14:textId="77777777" w:rsidR="007B056F" w:rsidRDefault="007B056F" w:rsidP="007B056F">
      <w:pPr>
        <w:spacing w:after="0" w:line="240" w:lineRule="auto"/>
        <w:jc w:val="both"/>
        <w:rPr>
          <w:rFonts w:ascii="Verdana" w:eastAsia="Geomanist Light" w:hAnsi="Verdana" w:cs="Arial"/>
          <w:color w:val="000000"/>
          <w:lang w:val="es-MX"/>
        </w:rPr>
      </w:pPr>
    </w:p>
    <w:p w14:paraId="1F7A4064" w14:textId="77777777" w:rsidR="007B056F" w:rsidRDefault="007B056F" w:rsidP="00E74941">
      <w:pPr>
        <w:spacing w:after="0" w:line="240" w:lineRule="auto"/>
        <w:rPr>
          <w:rFonts w:ascii="Verdana" w:eastAsia="Geomanist Light" w:hAnsi="Verdana" w:cs="Arial"/>
          <w:color w:val="000000"/>
          <w:lang w:val="es-MX"/>
        </w:rPr>
      </w:pPr>
    </w:p>
    <w:p w14:paraId="496D7820" w14:textId="77777777" w:rsidR="007B056F" w:rsidRDefault="007B056F" w:rsidP="00E74941">
      <w:pPr>
        <w:spacing w:after="0" w:line="240" w:lineRule="auto"/>
        <w:rPr>
          <w:rFonts w:ascii="Verdana" w:eastAsia="Geomanist Light" w:hAnsi="Verdana" w:cs="Arial"/>
          <w:color w:val="000000"/>
          <w:lang w:val="es-MX"/>
        </w:rPr>
      </w:pPr>
    </w:p>
    <w:p w14:paraId="12A46C78" w14:textId="77777777" w:rsidR="007B056F" w:rsidRDefault="007B056F" w:rsidP="00E74941">
      <w:pPr>
        <w:spacing w:after="0" w:line="240" w:lineRule="auto"/>
        <w:rPr>
          <w:rFonts w:ascii="Verdana" w:eastAsia="Geomanist Light" w:hAnsi="Verdana" w:cs="Arial"/>
          <w:color w:val="000000"/>
          <w:lang w:val="es-MX"/>
        </w:rPr>
      </w:pPr>
    </w:p>
    <w:p w14:paraId="21343E7C" w14:textId="77777777" w:rsidR="007B056F" w:rsidRDefault="007B056F" w:rsidP="00E74941">
      <w:pPr>
        <w:spacing w:after="0" w:line="240" w:lineRule="auto"/>
        <w:rPr>
          <w:rFonts w:ascii="Verdana" w:eastAsia="Geomanist Light" w:hAnsi="Verdana" w:cs="Arial"/>
          <w:color w:val="000000"/>
          <w:lang w:val="es-MX"/>
        </w:rPr>
      </w:pPr>
    </w:p>
    <w:p w14:paraId="02BBDC8B" w14:textId="77777777" w:rsidR="007B056F" w:rsidRDefault="007B056F" w:rsidP="00E74941">
      <w:pPr>
        <w:spacing w:after="0" w:line="240" w:lineRule="auto"/>
        <w:rPr>
          <w:rFonts w:ascii="Verdana" w:eastAsia="Geomanist Light" w:hAnsi="Verdana" w:cs="Arial"/>
          <w:color w:val="000000"/>
          <w:lang w:val="es-MX"/>
        </w:rPr>
      </w:pPr>
    </w:p>
    <w:p w14:paraId="68D20619" w14:textId="77777777" w:rsidR="007B056F" w:rsidRDefault="007B056F" w:rsidP="00E74941">
      <w:pPr>
        <w:spacing w:after="0" w:line="240" w:lineRule="auto"/>
        <w:rPr>
          <w:rFonts w:ascii="Verdana" w:eastAsia="Geomanist Light" w:hAnsi="Verdana" w:cs="Arial"/>
          <w:color w:val="000000"/>
          <w:lang w:val="es-MX"/>
        </w:rPr>
      </w:pPr>
    </w:p>
    <w:p w14:paraId="3FDC3236" w14:textId="77777777" w:rsidR="007B056F" w:rsidRDefault="007B056F" w:rsidP="00E74941">
      <w:pPr>
        <w:spacing w:after="0" w:line="240" w:lineRule="auto"/>
        <w:rPr>
          <w:rFonts w:ascii="Verdana" w:eastAsia="Geomanist Light" w:hAnsi="Verdana" w:cs="Arial"/>
          <w:color w:val="000000"/>
          <w:lang w:val="es-MX"/>
        </w:rPr>
      </w:pPr>
    </w:p>
    <w:p w14:paraId="10EE21F0" w14:textId="77777777" w:rsidR="007B056F" w:rsidRDefault="007B056F" w:rsidP="00E74941">
      <w:pPr>
        <w:spacing w:after="0" w:line="240" w:lineRule="auto"/>
        <w:rPr>
          <w:rFonts w:ascii="Verdana" w:eastAsia="Geomanist Light" w:hAnsi="Verdana" w:cs="Arial"/>
          <w:color w:val="000000"/>
          <w:lang w:val="es-MX"/>
        </w:rPr>
      </w:pPr>
    </w:p>
    <w:p w14:paraId="6D4277FB" w14:textId="77777777" w:rsidR="007B056F" w:rsidRDefault="007B056F" w:rsidP="00E74941">
      <w:pPr>
        <w:spacing w:after="0" w:line="240" w:lineRule="auto"/>
        <w:rPr>
          <w:rFonts w:ascii="Verdana" w:eastAsia="Geomanist Light" w:hAnsi="Verdana" w:cs="Arial"/>
          <w:color w:val="000000"/>
          <w:lang w:val="es-MX"/>
        </w:rPr>
      </w:pPr>
    </w:p>
    <w:p w14:paraId="1FAF8F91" w14:textId="77777777" w:rsidR="007B056F" w:rsidRDefault="007B056F" w:rsidP="00E74941">
      <w:pPr>
        <w:spacing w:after="0" w:line="240" w:lineRule="auto"/>
        <w:rPr>
          <w:rFonts w:ascii="Verdana" w:eastAsia="Geomanist Light" w:hAnsi="Verdana" w:cs="Arial"/>
          <w:color w:val="000000"/>
          <w:lang w:val="es-MX"/>
        </w:rPr>
      </w:pPr>
    </w:p>
    <w:p w14:paraId="40D74C67" w14:textId="77777777" w:rsidR="007B056F" w:rsidRDefault="007B056F" w:rsidP="00E74941">
      <w:pPr>
        <w:spacing w:after="0" w:line="240" w:lineRule="auto"/>
        <w:rPr>
          <w:rFonts w:ascii="Verdana" w:eastAsia="Geomanist Light" w:hAnsi="Verdana" w:cs="Arial"/>
          <w:color w:val="000000"/>
          <w:lang w:val="es-MX"/>
        </w:rPr>
      </w:pPr>
    </w:p>
    <w:p w14:paraId="351820A5" w14:textId="77777777" w:rsidR="007B056F" w:rsidRDefault="007B056F" w:rsidP="00E74941">
      <w:pPr>
        <w:spacing w:after="0" w:line="240" w:lineRule="auto"/>
        <w:rPr>
          <w:rFonts w:ascii="Verdana" w:eastAsia="Geomanist Light" w:hAnsi="Verdana" w:cs="Arial"/>
          <w:color w:val="000000"/>
          <w:lang w:val="es-MX"/>
        </w:rPr>
      </w:pPr>
    </w:p>
    <w:p w14:paraId="68CA4D22" w14:textId="77777777" w:rsidR="007B056F" w:rsidRDefault="007B056F" w:rsidP="00E74941">
      <w:pPr>
        <w:spacing w:after="0" w:line="240" w:lineRule="auto"/>
        <w:rPr>
          <w:rFonts w:ascii="Verdana" w:eastAsia="Geomanist Light" w:hAnsi="Verdana" w:cs="Arial"/>
          <w:color w:val="000000"/>
          <w:lang w:val="es-MX"/>
        </w:rPr>
      </w:pPr>
    </w:p>
    <w:p w14:paraId="2FB302C9" w14:textId="77777777" w:rsidR="007B056F" w:rsidRDefault="007B056F" w:rsidP="00E74941">
      <w:pPr>
        <w:spacing w:after="0" w:line="240" w:lineRule="auto"/>
        <w:rPr>
          <w:rFonts w:ascii="Verdana" w:eastAsia="Geomanist Light" w:hAnsi="Verdana" w:cs="Arial"/>
          <w:color w:val="000000"/>
          <w:lang w:val="es-MX"/>
        </w:rPr>
      </w:pPr>
    </w:p>
    <w:p w14:paraId="7061E47A" w14:textId="77777777" w:rsidR="007B056F" w:rsidRDefault="007B056F" w:rsidP="00E74941">
      <w:pPr>
        <w:spacing w:after="0" w:line="240" w:lineRule="auto"/>
        <w:rPr>
          <w:rFonts w:ascii="Verdana" w:eastAsia="Geomanist Light" w:hAnsi="Verdana" w:cs="Arial"/>
          <w:color w:val="000000"/>
          <w:lang w:val="es-MX"/>
        </w:rPr>
      </w:pPr>
    </w:p>
    <w:p w14:paraId="360838DE" w14:textId="77777777" w:rsidR="007B056F" w:rsidRDefault="007B056F" w:rsidP="00E74941">
      <w:pPr>
        <w:spacing w:after="0" w:line="240" w:lineRule="auto"/>
        <w:rPr>
          <w:rFonts w:ascii="Verdana" w:eastAsia="Geomanist Light" w:hAnsi="Verdana" w:cs="Arial"/>
          <w:color w:val="000000"/>
          <w:lang w:val="es-MX"/>
        </w:rPr>
      </w:pPr>
    </w:p>
    <w:p w14:paraId="162F4CF8" w14:textId="77777777" w:rsidR="007B056F" w:rsidRDefault="007B056F" w:rsidP="00E74941">
      <w:pPr>
        <w:spacing w:after="0" w:line="240" w:lineRule="auto"/>
        <w:rPr>
          <w:rFonts w:ascii="Verdana" w:eastAsia="Geomanist Light" w:hAnsi="Verdana" w:cs="Arial"/>
          <w:color w:val="000000"/>
          <w:lang w:val="es-MX"/>
        </w:rPr>
      </w:pPr>
    </w:p>
    <w:p w14:paraId="6E101EEA" w14:textId="77777777" w:rsidR="007B056F" w:rsidRDefault="007B056F" w:rsidP="00E74941">
      <w:pPr>
        <w:spacing w:after="0" w:line="240" w:lineRule="auto"/>
        <w:rPr>
          <w:rFonts w:ascii="Verdana" w:eastAsia="Geomanist Light" w:hAnsi="Verdana" w:cs="Arial"/>
          <w:color w:val="000000"/>
          <w:lang w:val="es-MX"/>
        </w:rPr>
      </w:pPr>
    </w:p>
    <w:p w14:paraId="4F0CF950" w14:textId="77777777" w:rsidR="007B056F" w:rsidRDefault="007B056F" w:rsidP="00E74941">
      <w:pPr>
        <w:spacing w:after="0" w:line="240" w:lineRule="auto"/>
        <w:rPr>
          <w:rFonts w:ascii="Verdana" w:eastAsia="Geomanist Light" w:hAnsi="Verdana" w:cs="Arial"/>
          <w:color w:val="000000"/>
          <w:lang w:val="es-MX"/>
        </w:rPr>
      </w:pPr>
    </w:p>
    <w:p w14:paraId="124AC892" w14:textId="77777777" w:rsidR="007B056F" w:rsidRDefault="007B056F" w:rsidP="00E74941">
      <w:pPr>
        <w:spacing w:after="0" w:line="240" w:lineRule="auto"/>
        <w:rPr>
          <w:rFonts w:ascii="Verdana" w:eastAsia="Geomanist Light" w:hAnsi="Verdana" w:cs="Arial"/>
          <w:color w:val="000000"/>
          <w:lang w:val="es-MX"/>
        </w:rPr>
      </w:pPr>
    </w:p>
    <w:p w14:paraId="655D4AB9" w14:textId="77777777" w:rsidR="007B056F" w:rsidRDefault="007B056F" w:rsidP="00E74941">
      <w:pPr>
        <w:spacing w:after="0" w:line="240" w:lineRule="auto"/>
        <w:rPr>
          <w:rFonts w:ascii="Verdana" w:eastAsia="Geomanist Light" w:hAnsi="Verdana" w:cs="Arial"/>
          <w:color w:val="000000"/>
          <w:lang w:val="es-MX"/>
        </w:rPr>
      </w:pPr>
    </w:p>
    <w:p w14:paraId="2E33B45B" w14:textId="77777777" w:rsidR="007B056F" w:rsidRDefault="007B056F" w:rsidP="00E74941">
      <w:pPr>
        <w:spacing w:after="0" w:line="240" w:lineRule="auto"/>
        <w:rPr>
          <w:rFonts w:ascii="Verdana" w:eastAsia="Geomanist Light" w:hAnsi="Verdana" w:cs="Arial"/>
          <w:color w:val="000000"/>
          <w:lang w:val="es-MX"/>
        </w:rPr>
      </w:pPr>
    </w:p>
    <w:p w14:paraId="1E0C47C0" w14:textId="77777777" w:rsidR="007B056F" w:rsidRDefault="007B056F" w:rsidP="00E74941">
      <w:pPr>
        <w:spacing w:after="0" w:line="240" w:lineRule="auto"/>
        <w:rPr>
          <w:rFonts w:ascii="Verdana" w:eastAsia="Geomanist Light" w:hAnsi="Verdana" w:cs="Arial"/>
          <w:color w:val="000000"/>
          <w:lang w:val="es-MX"/>
        </w:rPr>
      </w:pPr>
    </w:p>
    <w:p w14:paraId="441F603D" w14:textId="77777777" w:rsidR="007B056F" w:rsidRDefault="007B056F" w:rsidP="00E74941">
      <w:pPr>
        <w:spacing w:after="0" w:line="240" w:lineRule="auto"/>
        <w:rPr>
          <w:rFonts w:ascii="Verdana" w:eastAsia="Geomanist Light" w:hAnsi="Verdana" w:cs="Arial"/>
          <w:color w:val="000000"/>
          <w:lang w:val="es-MX"/>
        </w:rPr>
      </w:pPr>
    </w:p>
    <w:p w14:paraId="7DF56403" w14:textId="77777777" w:rsidR="007B056F" w:rsidRDefault="007B056F" w:rsidP="00E74941">
      <w:pPr>
        <w:spacing w:after="0" w:line="240" w:lineRule="auto"/>
        <w:rPr>
          <w:rFonts w:ascii="Verdana" w:eastAsia="Geomanist Light" w:hAnsi="Verdana" w:cs="Arial"/>
          <w:color w:val="000000"/>
          <w:lang w:val="es-MX"/>
        </w:rPr>
      </w:pPr>
    </w:p>
    <w:p w14:paraId="1898476D" w14:textId="77777777" w:rsidR="007B056F" w:rsidRDefault="007B056F" w:rsidP="00E74941">
      <w:pPr>
        <w:spacing w:after="0" w:line="240" w:lineRule="auto"/>
        <w:rPr>
          <w:rFonts w:ascii="Verdana" w:eastAsia="Geomanist Light" w:hAnsi="Verdana" w:cs="Arial"/>
          <w:color w:val="000000"/>
          <w:lang w:val="es-MX"/>
        </w:rPr>
      </w:pPr>
    </w:p>
    <w:p w14:paraId="7B793137" w14:textId="77777777" w:rsidR="007B056F" w:rsidRDefault="007B056F" w:rsidP="00E74941">
      <w:pPr>
        <w:spacing w:after="0" w:line="240" w:lineRule="auto"/>
        <w:rPr>
          <w:rFonts w:ascii="Verdana" w:eastAsia="Geomanist Light" w:hAnsi="Verdana" w:cs="Arial"/>
          <w:color w:val="000000"/>
          <w:lang w:val="es-MX"/>
        </w:rPr>
      </w:pPr>
    </w:p>
    <w:p w14:paraId="110C5601" w14:textId="77777777" w:rsidR="007B056F" w:rsidRDefault="007B056F" w:rsidP="00E74941">
      <w:pPr>
        <w:spacing w:after="0" w:line="240" w:lineRule="auto"/>
        <w:rPr>
          <w:rFonts w:ascii="Verdana" w:eastAsia="Geomanist Light" w:hAnsi="Verdana" w:cs="Arial"/>
          <w:color w:val="000000"/>
          <w:lang w:val="es-MX"/>
        </w:rPr>
      </w:pPr>
    </w:p>
    <w:p w14:paraId="7E107239" w14:textId="77777777" w:rsidR="007B056F" w:rsidRDefault="007B056F" w:rsidP="00E74941">
      <w:pPr>
        <w:spacing w:after="0" w:line="240" w:lineRule="auto"/>
        <w:rPr>
          <w:rFonts w:ascii="Verdana" w:eastAsia="Geomanist Light" w:hAnsi="Verdana" w:cs="Arial"/>
          <w:color w:val="000000"/>
          <w:lang w:val="es-MX"/>
        </w:rPr>
      </w:pPr>
    </w:p>
    <w:p w14:paraId="527E15C9" w14:textId="77777777" w:rsidR="007B056F" w:rsidRDefault="007B056F" w:rsidP="00E74941">
      <w:pPr>
        <w:spacing w:after="0" w:line="240" w:lineRule="auto"/>
        <w:rPr>
          <w:rFonts w:ascii="Verdana" w:eastAsia="Geomanist Light" w:hAnsi="Verdana" w:cs="Arial"/>
          <w:color w:val="000000"/>
          <w:lang w:val="es-MX"/>
        </w:rPr>
      </w:pPr>
    </w:p>
    <w:p w14:paraId="622D26AB" w14:textId="77777777" w:rsidR="007B056F" w:rsidRDefault="007B056F" w:rsidP="00E74941">
      <w:pPr>
        <w:spacing w:after="0" w:line="240" w:lineRule="auto"/>
        <w:rPr>
          <w:rFonts w:ascii="Verdana" w:eastAsia="Geomanist Light" w:hAnsi="Verdana" w:cs="Arial"/>
          <w:color w:val="000000"/>
          <w:lang w:val="es-MX"/>
        </w:rPr>
      </w:pPr>
    </w:p>
    <w:p w14:paraId="734C1268" w14:textId="77777777" w:rsidR="007B056F" w:rsidRDefault="007B056F" w:rsidP="00E74941">
      <w:pPr>
        <w:spacing w:after="0" w:line="240" w:lineRule="auto"/>
        <w:rPr>
          <w:rFonts w:ascii="Verdana" w:eastAsia="Geomanist Light" w:hAnsi="Verdana" w:cs="Arial"/>
          <w:color w:val="000000"/>
          <w:lang w:val="es-MX"/>
        </w:rPr>
      </w:pPr>
    </w:p>
    <w:p w14:paraId="4EB72F50" w14:textId="77777777" w:rsidR="007B056F" w:rsidRDefault="007B056F" w:rsidP="00E74941">
      <w:pPr>
        <w:spacing w:after="0" w:line="240" w:lineRule="auto"/>
        <w:rPr>
          <w:rFonts w:ascii="Verdana" w:eastAsia="Geomanist Light" w:hAnsi="Verdana" w:cs="Arial"/>
          <w:color w:val="000000"/>
          <w:lang w:val="es-MX"/>
        </w:rPr>
      </w:pPr>
    </w:p>
    <w:p w14:paraId="412C6152" w14:textId="77777777" w:rsidR="007B056F" w:rsidRDefault="007B056F" w:rsidP="00E74941">
      <w:pPr>
        <w:spacing w:after="0" w:line="240" w:lineRule="auto"/>
        <w:rPr>
          <w:rFonts w:ascii="Verdana" w:eastAsia="Geomanist Light" w:hAnsi="Verdana" w:cs="Arial"/>
          <w:color w:val="000000"/>
          <w:lang w:val="es-MX"/>
        </w:rPr>
      </w:pPr>
    </w:p>
    <w:p w14:paraId="7CD3F352" w14:textId="77777777" w:rsidR="007B056F" w:rsidRDefault="007B056F" w:rsidP="00E74941">
      <w:pPr>
        <w:spacing w:after="0" w:line="240" w:lineRule="auto"/>
        <w:rPr>
          <w:rFonts w:ascii="Verdana" w:eastAsia="Geomanist Light" w:hAnsi="Verdana" w:cs="Arial"/>
          <w:color w:val="000000"/>
          <w:lang w:val="es-MX"/>
        </w:rPr>
      </w:pPr>
    </w:p>
    <w:p w14:paraId="7DC714EB" w14:textId="77777777" w:rsidR="007B056F" w:rsidRDefault="007B056F" w:rsidP="00E74941">
      <w:pPr>
        <w:spacing w:after="0" w:line="240" w:lineRule="auto"/>
        <w:rPr>
          <w:rFonts w:ascii="Verdana" w:eastAsia="Geomanist Light" w:hAnsi="Verdana" w:cs="Arial"/>
          <w:color w:val="000000"/>
          <w:lang w:val="es-MX"/>
        </w:rPr>
      </w:pPr>
    </w:p>
    <w:p w14:paraId="2CCC6B7E" w14:textId="3FA70C87" w:rsidR="00E74941" w:rsidRPr="00E74941" w:rsidRDefault="00E74941" w:rsidP="00E74941">
      <w:pPr>
        <w:spacing w:after="0" w:line="240" w:lineRule="auto"/>
        <w:rPr>
          <w:rFonts w:ascii="Verdana" w:eastAsia="Geomanist Light" w:hAnsi="Verdana" w:cs="Arial"/>
          <w:color w:val="000000"/>
          <w:lang w:val="es-MX"/>
        </w:rPr>
      </w:pPr>
      <w:r w:rsidRPr="00E74941">
        <w:rPr>
          <w:rFonts w:ascii="Verdana" w:eastAsia="Geomanist Light" w:hAnsi="Verdana" w:cs="Arial"/>
          <w:color w:val="000000"/>
          <w:lang w:val="es-MX"/>
        </w:rPr>
        <w:t>Bogotá D.C., [Día] de [</w:t>
      </w:r>
      <w:proofErr w:type="spellStart"/>
      <w:r w:rsidRPr="00E74941">
        <w:rPr>
          <w:rFonts w:ascii="Verdana" w:eastAsia="Geomanist Light" w:hAnsi="Verdana" w:cs="Arial"/>
          <w:color w:val="000000"/>
          <w:lang w:val="es-MX"/>
        </w:rPr>
        <w:t>Mes.NombreCapitalizado</w:t>
      </w:r>
      <w:proofErr w:type="spellEnd"/>
      <w:r w:rsidRPr="00E74941">
        <w:rPr>
          <w:rFonts w:ascii="Verdana" w:eastAsia="Geomanist Light" w:hAnsi="Verdana" w:cs="Arial"/>
          <w:color w:val="000000"/>
          <w:lang w:val="es-MX"/>
        </w:rPr>
        <w:t>] de [Año]</w:t>
      </w:r>
    </w:p>
    <w:p w14:paraId="39447F44" w14:textId="415CC528" w:rsidR="00E74941" w:rsidRDefault="00E74941" w:rsidP="00E74941">
      <w:pPr>
        <w:spacing w:after="0" w:line="240" w:lineRule="auto"/>
        <w:jc w:val="both"/>
        <w:rPr>
          <w:rFonts w:ascii="Verdana" w:eastAsia="Calibri" w:hAnsi="Verdana" w:cs="Arial"/>
          <w:color w:val="000000"/>
          <w:lang w:val="es-ES"/>
        </w:rPr>
      </w:pPr>
    </w:p>
    <w:p w14:paraId="68949527" w14:textId="35A44C5E" w:rsidR="007B056F" w:rsidRDefault="007B056F" w:rsidP="00E74941">
      <w:pPr>
        <w:spacing w:after="0" w:line="240" w:lineRule="auto"/>
        <w:jc w:val="both"/>
        <w:rPr>
          <w:rFonts w:ascii="Verdana" w:eastAsia="Calibri" w:hAnsi="Verdana" w:cs="Arial"/>
          <w:color w:val="000000"/>
          <w:lang w:val="es-ES"/>
        </w:rPr>
      </w:pPr>
      <w:r w:rsidRPr="007B056F">
        <w:rPr>
          <w:rFonts w:ascii="Verdana" w:eastAsia="Calibri" w:hAnsi="Verdana" w:cs="Arial"/>
          <w:noProof/>
          <w:color w:val="000000"/>
          <w:lang w:val="es-ES"/>
        </w:rPr>
        <w:drawing>
          <wp:anchor distT="0" distB="0" distL="114300" distR="114300" simplePos="0" relativeHeight="251658240" behindDoc="1" locked="0" layoutInCell="1" allowOverlap="1" wp14:anchorId="54513E47" wp14:editId="10A889FB">
            <wp:simplePos x="0" y="0"/>
            <wp:positionH relativeFrom="column">
              <wp:posOffset>2729865</wp:posOffset>
            </wp:positionH>
            <wp:positionV relativeFrom="paragraph">
              <wp:posOffset>6985</wp:posOffset>
            </wp:positionV>
            <wp:extent cx="3715268" cy="1038370"/>
            <wp:effectExtent l="0" t="0" r="0" b="9525"/>
            <wp:wrapTight wrapText="bothSides">
              <wp:wrapPolygon edited="0">
                <wp:start x="0" y="0"/>
                <wp:lineTo x="0" y="21402"/>
                <wp:lineTo x="21489" y="21402"/>
                <wp:lineTo x="21489" y="0"/>
                <wp:lineTo x="0" y="0"/>
              </wp:wrapPolygon>
            </wp:wrapTight>
            <wp:docPr id="3837581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58189"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715268" cy="1038370"/>
                    </a:xfrm>
                    <a:prstGeom prst="rect">
                      <a:avLst/>
                    </a:prstGeom>
                  </pic:spPr>
                </pic:pic>
              </a:graphicData>
            </a:graphic>
          </wp:anchor>
        </w:drawing>
      </w:r>
    </w:p>
    <w:p w14:paraId="35041653" w14:textId="35F3097A" w:rsidR="007B056F" w:rsidRDefault="007B056F" w:rsidP="00E74941">
      <w:pPr>
        <w:spacing w:after="0" w:line="240" w:lineRule="auto"/>
        <w:jc w:val="both"/>
        <w:rPr>
          <w:rFonts w:ascii="Verdana" w:eastAsia="Calibri" w:hAnsi="Verdana" w:cs="Arial"/>
          <w:color w:val="000000"/>
          <w:lang w:val="es-ES"/>
        </w:rPr>
      </w:pPr>
    </w:p>
    <w:p w14:paraId="4204F472" w14:textId="43A6E2D6" w:rsidR="007B056F" w:rsidRDefault="007B056F" w:rsidP="00E74941">
      <w:pPr>
        <w:spacing w:after="0" w:line="240" w:lineRule="auto"/>
        <w:jc w:val="both"/>
        <w:rPr>
          <w:rFonts w:ascii="Verdana" w:eastAsia="Calibri" w:hAnsi="Verdana" w:cs="Arial"/>
          <w:color w:val="000000"/>
          <w:lang w:val="es-ES"/>
        </w:rPr>
      </w:pPr>
    </w:p>
    <w:p w14:paraId="71B9E7CC" w14:textId="77777777" w:rsidR="007B056F" w:rsidRDefault="007B056F" w:rsidP="00E74941">
      <w:pPr>
        <w:spacing w:after="0" w:line="240" w:lineRule="auto"/>
        <w:jc w:val="both"/>
        <w:rPr>
          <w:rFonts w:ascii="Verdana" w:eastAsia="Calibri" w:hAnsi="Verdana" w:cs="Arial"/>
          <w:color w:val="000000"/>
          <w:lang w:val="es-ES"/>
        </w:rPr>
      </w:pPr>
    </w:p>
    <w:p w14:paraId="24E78EA9" w14:textId="77777777" w:rsidR="00E74941" w:rsidRDefault="00E74941" w:rsidP="00E74941">
      <w:pPr>
        <w:spacing w:after="0" w:line="240" w:lineRule="auto"/>
        <w:jc w:val="both"/>
        <w:rPr>
          <w:rFonts w:ascii="Verdana" w:eastAsia="Calibri" w:hAnsi="Verdana" w:cs="Arial"/>
          <w:color w:val="000000"/>
          <w:lang w:val="es-ES"/>
        </w:rPr>
      </w:pPr>
    </w:p>
    <w:p w14:paraId="11D6377B" w14:textId="77777777" w:rsidR="007B056F" w:rsidRPr="00E74941" w:rsidRDefault="007B056F" w:rsidP="00E74941">
      <w:pPr>
        <w:spacing w:after="0" w:line="240" w:lineRule="auto"/>
        <w:jc w:val="both"/>
        <w:rPr>
          <w:rFonts w:ascii="Verdana" w:eastAsia="Calibri" w:hAnsi="Verdana" w:cs="Arial"/>
          <w:color w:val="000000"/>
          <w:lang w:val="es-ES"/>
        </w:rPr>
      </w:pPr>
    </w:p>
    <w:p w14:paraId="6258A230" w14:textId="77777777" w:rsidR="00E74941" w:rsidRPr="00E74941" w:rsidRDefault="00E74941" w:rsidP="00E74941">
      <w:pPr>
        <w:spacing w:after="0" w:line="240" w:lineRule="auto"/>
        <w:jc w:val="both"/>
        <w:rPr>
          <w:rFonts w:ascii="Verdana" w:eastAsia="Calibri" w:hAnsi="Verdana" w:cs="Arial"/>
          <w:color w:val="000000"/>
          <w:lang w:val="es-ES" w:eastAsia="es-ES"/>
        </w:rPr>
      </w:pPr>
      <w:r w:rsidRPr="00E74941">
        <w:rPr>
          <w:rFonts w:ascii="Verdana" w:eastAsia="Calibri" w:hAnsi="Verdana" w:cs="Arial"/>
          <w:color w:val="000000"/>
          <w:lang w:val="es-ES" w:eastAsia="es-ES"/>
        </w:rPr>
        <w:t>Señores</w:t>
      </w:r>
    </w:p>
    <w:p w14:paraId="7D52FF7F" w14:textId="77777777" w:rsidR="00E74941" w:rsidRPr="00E74941" w:rsidRDefault="00E74941" w:rsidP="00E74941">
      <w:pPr>
        <w:spacing w:after="0" w:line="240" w:lineRule="auto"/>
        <w:rPr>
          <w:rFonts w:ascii="Verdana" w:eastAsia="Calibri" w:hAnsi="Verdana" w:cs="Arial"/>
          <w:b/>
          <w:color w:val="000000"/>
          <w:lang w:val="es-ES_tradnl" w:eastAsia="es-ES_tradnl"/>
        </w:rPr>
      </w:pPr>
      <w:r w:rsidRPr="00E74941">
        <w:rPr>
          <w:rFonts w:ascii="Verdana" w:eastAsia="Calibri" w:hAnsi="Verdana" w:cs="Arial"/>
          <w:b/>
          <w:color w:val="000000"/>
          <w:lang w:eastAsia="es-ES_tradnl"/>
        </w:rPr>
        <w:t>GRUPO EMPRESARIAL JHS SAS</w:t>
      </w:r>
    </w:p>
    <w:p w14:paraId="7420B933" w14:textId="77777777" w:rsidR="00E74941" w:rsidRPr="00E74941" w:rsidRDefault="00E74941" w:rsidP="00E74941">
      <w:pPr>
        <w:spacing w:after="0" w:line="240" w:lineRule="auto"/>
        <w:rPr>
          <w:rFonts w:ascii="Verdana" w:eastAsia="Times New Roman" w:hAnsi="Verdana" w:cs="Calibri"/>
          <w:color w:val="0563C1"/>
          <w:u w:val="single"/>
          <w:lang w:eastAsia="es-CO"/>
        </w:rPr>
      </w:pPr>
      <w:r w:rsidRPr="00E74941">
        <w:rPr>
          <w:rFonts w:ascii="Verdana" w:eastAsia="Times New Roman" w:hAnsi="Verdana" w:cs="Calibri"/>
          <w:color w:val="0563C1"/>
          <w:u w:val="single"/>
          <w:lang w:eastAsia="es-CO"/>
        </w:rPr>
        <w:t>colcantorbery@hotmail.com</w:t>
      </w:r>
    </w:p>
    <w:p w14:paraId="266DC25B" w14:textId="77777777" w:rsidR="00E74941" w:rsidRPr="00E74941" w:rsidRDefault="00E74941" w:rsidP="00E74941">
      <w:pPr>
        <w:spacing w:after="0" w:line="240" w:lineRule="auto"/>
        <w:rPr>
          <w:rFonts w:ascii="Verdana" w:eastAsia="Calibri" w:hAnsi="Verdana" w:cs="Arial"/>
          <w:b/>
          <w:bCs/>
          <w:color w:val="000000"/>
          <w:lang w:eastAsia="es-ES"/>
        </w:rPr>
      </w:pPr>
      <w:r w:rsidRPr="00E74941">
        <w:rPr>
          <w:rFonts w:ascii="Verdana" w:eastAsia="Calibri" w:hAnsi="Verdana" w:cs="Arial"/>
          <w:color w:val="000000"/>
          <w:lang w:eastAsia="es-ES"/>
        </w:rPr>
        <w:t>Ciudad</w:t>
      </w:r>
    </w:p>
    <w:p w14:paraId="5BC5D507" w14:textId="77777777" w:rsidR="00E74941" w:rsidRPr="00E74941" w:rsidRDefault="00E74941" w:rsidP="00E74941">
      <w:pPr>
        <w:spacing w:after="0" w:line="240" w:lineRule="auto"/>
        <w:rPr>
          <w:rFonts w:ascii="Verdana" w:eastAsia="Calibri" w:hAnsi="Verdana" w:cs="Arial"/>
          <w:b/>
          <w:bCs/>
          <w:color w:val="000000"/>
          <w:lang w:eastAsia="es-ES_tradnl"/>
        </w:rPr>
      </w:pPr>
    </w:p>
    <w:p w14:paraId="4F8A61AE" w14:textId="77777777" w:rsidR="00E74941" w:rsidRPr="00E74941" w:rsidRDefault="00E74941" w:rsidP="00E74941">
      <w:pPr>
        <w:spacing w:after="0" w:line="240" w:lineRule="auto"/>
        <w:rPr>
          <w:rFonts w:ascii="Verdana" w:eastAsia="Calibri" w:hAnsi="Verdana" w:cs="Arial"/>
          <w:b/>
          <w:bCs/>
          <w:color w:val="000000"/>
          <w:lang w:eastAsia="es-ES_tradnl"/>
        </w:rPr>
      </w:pPr>
    </w:p>
    <w:tbl>
      <w:tblPr>
        <w:tblStyle w:val="Tablaconcuadrcula1"/>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74941" w:rsidRPr="00E74941" w14:paraId="5F0D27AF" w14:textId="77777777" w:rsidTr="00CE65EA">
        <w:trPr>
          <w:trHeight w:val="884"/>
        </w:trPr>
        <w:tc>
          <w:tcPr>
            <w:tcW w:w="2689" w:type="dxa"/>
          </w:tcPr>
          <w:p w14:paraId="0AD23EE2" w14:textId="77777777" w:rsidR="00E74941" w:rsidRPr="00E74941" w:rsidRDefault="00E74941" w:rsidP="00E74941">
            <w:pPr>
              <w:spacing w:line="259" w:lineRule="auto"/>
              <w:jc w:val="both"/>
              <w:rPr>
                <w:rFonts w:ascii="Verdana" w:eastAsia="Calibri" w:hAnsi="Verdana" w:cs="Arial"/>
                <w:b/>
                <w:bCs/>
                <w:color w:val="000000"/>
                <w:lang w:eastAsia="es-ES_tradnl"/>
              </w:rPr>
            </w:pPr>
          </w:p>
        </w:tc>
        <w:tc>
          <w:tcPr>
            <w:tcW w:w="6100" w:type="dxa"/>
            <w:hideMark/>
          </w:tcPr>
          <w:p w14:paraId="3EC32271" w14:textId="77777777" w:rsidR="00E74941" w:rsidRPr="00E74941" w:rsidRDefault="00E74941" w:rsidP="00E74941">
            <w:pPr>
              <w:spacing w:line="259" w:lineRule="auto"/>
              <w:jc w:val="both"/>
              <w:rPr>
                <w:rFonts w:ascii="Verdana" w:eastAsia="Calibri" w:hAnsi="Verdana" w:cs="Arial"/>
                <w:b/>
                <w:bCs/>
                <w:color w:val="000000"/>
                <w:lang w:val="es-ES" w:eastAsia="es-ES"/>
              </w:rPr>
            </w:pPr>
            <w:r w:rsidRPr="00E74941">
              <w:rPr>
                <w:rFonts w:ascii="Verdana" w:eastAsia="Calibri" w:hAnsi="Verdana" w:cs="Arial"/>
                <w:b/>
                <w:bCs/>
                <w:color w:val="000000"/>
                <w:lang w:val="es-ES" w:eastAsia="es-ES"/>
              </w:rPr>
              <w:t>Concepto C- 571 de 2024</w:t>
            </w:r>
          </w:p>
        </w:tc>
      </w:tr>
      <w:tr w:rsidR="00E74941" w:rsidRPr="00E74941" w14:paraId="59CD5E74" w14:textId="77777777" w:rsidTr="00CE65EA">
        <w:trPr>
          <w:trHeight w:val="884"/>
        </w:trPr>
        <w:tc>
          <w:tcPr>
            <w:tcW w:w="2689" w:type="dxa"/>
            <w:hideMark/>
          </w:tcPr>
          <w:p w14:paraId="16B84E3A" w14:textId="77777777" w:rsidR="00E74941" w:rsidRPr="00E74941" w:rsidRDefault="00E74941" w:rsidP="00E74941">
            <w:pPr>
              <w:spacing w:line="259" w:lineRule="auto"/>
              <w:jc w:val="both"/>
              <w:rPr>
                <w:rFonts w:ascii="Verdana" w:eastAsia="Calibri" w:hAnsi="Verdana" w:cs="Arial"/>
                <w:color w:val="000000"/>
                <w:lang w:val="es-ES_tradnl" w:eastAsia="es-ES_tradnl"/>
              </w:rPr>
            </w:pPr>
            <w:r w:rsidRPr="00E74941">
              <w:rPr>
                <w:rFonts w:ascii="Verdana" w:eastAsia="Calibri" w:hAnsi="Verdana" w:cs="Arial"/>
                <w:b/>
                <w:color w:val="000000"/>
                <w:lang w:val="es-ES_tradnl" w:eastAsia="es-ES_tradnl"/>
              </w:rPr>
              <w:t>Temas:</w:t>
            </w:r>
            <w:r w:rsidRPr="00E74941">
              <w:rPr>
                <w:rFonts w:ascii="Verdana" w:eastAsia="Calibri" w:hAnsi="Verdana" w:cs="Arial"/>
                <w:color w:val="000000"/>
                <w:lang w:val="es-ES_tradnl" w:eastAsia="es-ES_tradnl"/>
              </w:rPr>
              <w:t xml:space="preserve">                   </w:t>
            </w:r>
          </w:p>
        </w:tc>
        <w:tc>
          <w:tcPr>
            <w:tcW w:w="6100" w:type="dxa"/>
          </w:tcPr>
          <w:p w14:paraId="379DBEE5" w14:textId="77777777" w:rsidR="00E74941" w:rsidRPr="00E74941" w:rsidRDefault="00E74941" w:rsidP="00E74941">
            <w:pPr>
              <w:spacing w:line="276" w:lineRule="auto"/>
              <w:jc w:val="both"/>
              <w:rPr>
                <w:rFonts w:ascii="Verdana" w:eastAsia="Calibri" w:hAnsi="Verdana" w:cs="Arial"/>
                <w:color w:val="000000"/>
                <w:lang w:val="es-MX" w:eastAsia="es-ES"/>
              </w:rPr>
            </w:pPr>
            <w:r w:rsidRPr="00E74941">
              <w:rPr>
                <w:rFonts w:ascii="Verdana" w:eastAsia="Calibri" w:hAnsi="Verdana" w:cs="Arial"/>
                <w:color w:val="000000"/>
                <w:lang w:val="es-MX" w:eastAsia="es-ES"/>
              </w:rPr>
              <w:t xml:space="preserve">PROPONENTE PLURAL ‒ Consorcio ‒ Unión temporal ‒ Concepto – Diferencias / CONVOCATORIAS LIMITADAS A MIPYMES – Legitimación – Integrantes del consorcio o unión temporal – Documentación </w:t>
            </w:r>
          </w:p>
          <w:p w14:paraId="39B11708" w14:textId="77777777" w:rsidR="00E74941" w:rsidRPr="00E74941" w:rsidRDefault="00E74941" w:rsidP="00E74941">
            <w:pPr>
              <w:spacing w:line="276" w:lineRule="auto"/>
              <w:jc w:val="both"/>
              <w:rPr>
                <w:rFonts w:ascii="Verdana" w:eastAsia="Calibri" w:hAnsi="Verdana" w:cs="Arial"/>
                <w:color w:val="000000"/>
                <w:lang w:val="es-MX" w:eastAsia="es-ES"/>
              </w:rPr>
            </w:pPr>
          </w:p>
        </w:tc>
      </w:tr>
      <w:tr w:rsidR="00E74941" w:rsidRPr="00E74941" w14:paraId="6DB3A12F" w14:textId="77777777" w:rsidTr="00CE65EA">
        <w:tc>
          <w:tcPr>
            <w:tcW w:w="2689" w:type="dxa"/>
            <w:hideMark/>
          </w:tcPr>
          <w:p w14:paraId="36AD6C19" w14:textId="77777777" w:rsidR="00E74941" w:rsidRPr="00E74941" w:rsidRDefault="00E74941" w:rsidP="00E74941">
            <w:pPr>
              <w:spacing w:line="259" w:lineRule="auto"/>
              <w:jc w:val="both"/>
              <w:rPr>
                <w:rFonts w:ascii="Verdana" w:eastAsia="Calibri" w:hAnsi="Verdana" w:cs="Arial"/>
                <w:b/>
                <w:color w:val="000000"/>
                <w:lang w:val="es-ES_tradnl" w:eastAsia="es-ES_tradnl"/>
              </w:rPr>
            </w:pPr>
            <w:r w:rsidRPr="00E74941">
              <w:rPr>
                <w:rFonts w:ascii="Verdana" w:eastAsia="Calibri" w:hAnsi="Verdana" w:cs="Arial"/>
                <w:b/>
                <w:color w:val="000000"/>
                <w:lang w:val="es-ES_tradnl" w:eastAsia="es-ES_tradnl"/>
              </w:rPr>
              <w:t>Radicación:</w:t>
            </w:r>
            <w:r w:rsidRPr="00E74941">
              <w:rPr>
                <w:rFonts w:ascii="Verdana" w:eastAsia="Calibri" w:hAnsi="Verdana" w:cs="Arial"/>
                <w:color w:val="000000"/>
                <w:lang w:val="es-ES_tradnl" w:eastAsia="es-ES_tradnl"/>
              </w:rPr>
              <w:t xml:space="preserve">               </w:t>
            </w:r>
          </w:p>
        </w:tc>
        <w:tc>
          <w:tcPr>
            <w:tcW w:w="6100" w:type="dxa"/>
            <w:hideMark/>
          </w:tcPr>
          <w:p w14:paraId="3618BA66" w14:textId="77777777" w:rsidR="00E74941" w:rsidRPr="00E74941" w:rsidRDefault="00E74941" w:rsidP="00E74941">
            <w:pPr>
              <w:spacing w:line="259" w:lineRule="auto"/>
              <w:jc w:val="both"/>
              <w:rPr>
                <w:rFonts w:ascii="Verdana" w:eastAsia="Calibri" w:hAnsi="Verdana" w:cs="Arial"/>
                <w:color w:val="000000"/>
                <w:lang w:val="es-ES" w:eastAsia="es-ES"/>
              </w:rPr>
            </w:pPr>
            <w:r w:rsidRPr="00E74941">
              <w:rPr>
                <w:rFonts w:ascii="Verdana" w:eastAsia="Calibri" w:hAnsi="Verdana" w:cs="Arial"/>
                <w:color w:val="000000"/>
                <w:lang w:val="es-ES" w:eastAsia="es-ES"/>
              </w:rPr>
              <w:t>Respuesta a consulta con radicado No. P20240909009178 acumulado con P20241007010201</w:t>
            </w:r>
          </w:p>
        </w:tc>
      </w:tr>
    </w:tbl>
    <w:p w14:paraId="1F3B88E1" w14:textId="77777777" w:rsidR="00E74941" w:rsidRPr="00E74941" w:rsidRDefault="00E74941" w:rsidP="00E74941">
      <w:pPr>
        <w:spacing w:after="0" w:line="240" w:lineRule="auto"/>
        <w:jc w:val="both"/>
        <w:rPr>
          <w:rFonts w:ascii="Verdana" w:eastAsia="Calibri" w:hAnsi="Verdana" w:cs="Arial"/>
          <w:color w:val="000000"/>
          <w:lang w:val="es-ES_tradnl" w:eastAsia="es-ES_tradnl"/>
        </w:rPr>
      </w:pPr>
    </w:p>
    <w:p w14:paraId="49FEDC81" w14:textId="77777777" w:rsidR="00E74941" w:rsidRPr="00E74941" w:rsidRDefault="00E74941" w:rsidP="00E74941">
      <w:pPr>
        <w:spacing w:after="0" w:line="240" w:lineRule="auto"/>
        <w:jc w:val="both"/>
        <w:rPr>
          <w:rFonts w:ascii="Verdana" w:eastAsia="Calibri" w:hAnsi="Verdana" w:cs="Arial"/>
          <w:color w:val="000000"/>
          <w:lang w:val="es-ES_tradnl" w:eastAsia="es-ES_tradnl"/>
        </w:rPr>
      </w:pPr>
    </w:p>
    <w:p w14:paraId="515E269D" w14:textId="77777777" w:rsidR="00E74941" w:rsidRPr="00E74941" w:rsidRDefault="00E74941" w:rsidP="00E74941">
      <w:pPr>
        <w:spacing w:after="0" w:line="276" w:lineRule="auto"/>
        <w:jc w:val="both"/>
        <w:rPr>
          <w:rFonts w:ascii="Verdana" w:eastAsia="Calibri" w:hAnsi="Verdana" w:cs="Arial"/>
          <w:color w:val="000000"/>
          <w:lang w:val="es-ES" w:eastAsia="es-ES"/>
        </w:rPr>
      </w:pPr>
      <w:r w:rsidRPr="00E74941">
        <w:rPr>
          <w:rFonts w:ascii="Verdana" w:eastAsia="Calibri" w:hAnsi="Verdana" w:cs="Arial"/>
          <w:color w:val="000000"/>
          <w:lang w:val="es-ES" w:eastAsia="es-ES"/>
        </w:rPr>
        <w:t xml:space="preserve">Estimados señores: </w:t>
      </w:r>
    </w:p>
    <w:p w14:paraId="23FC4880" w14:textId="77777777" w:rsidR="00E74941" w:rsidRPr="00E74941" w:rsidRDefault="00E74941" w:rsidP="00E74941">
      <w:pPr>
        <w:tabs>
          <w:tab w:val="left" w:pos="3768"/>
        </w:tabs>
        <w:spacing w:after="0" w:line="276" w:lineRule="auto"/>
        <w:jc w:val="both"/>
        <w:rPr>
          <w:rFonts w:ascii="Verdana" w:eastAsia="Calibri" w:hAnsi="Verdana" w:cs="Arial"/>
          <w:color w:val="000000"/>
          <w:lang w:val="es-ES" w:eastAsia="es-ES"/>
        </w:rPr>
      </w:pPr>
      <w:r w:rsidRPr="00E74941">
        <w:rPr>
          <w:rFonts w:ascii="Verdana" w:eastAsia="Calibri" w:hAnsi="Verdana" w:cs="Arial"/>
          <w:color w:val="000000"/>
          <w:lang w:val="es-ES" w:eastAsia="es-ES"/>
        </w:rPr>
        <w:tab/>
      </w:r>
    </w:p>
    <w:p w14:paraId="20762CD2" w14:textId="77777777" w:rsidR="00E74941" w:rsidRPr="00E74941" w:rsidRDefault="00E74941" w:rsidP="00E74941">
      <w:pPr>
        <w:spacing w:after="0" w:line="276" w:lineRule="auto"/>
        <w:jc w:val="both"/>
        <w:rPr>
          <w:rFonts w:ascii="Verdana" w:eastAsia="Calibri" w:hAnsi="Verdana" w:cs="Arial"/>
          <w:color w:val="000000"/>
          <w:lang w:val="es-ES" w:eastAsia="es-ES"/>
        </w:rPr>
      </w:pPr>
      <w:r w:rsidRPr="00E74941">
        <w:rPr>
          <w:rFonts w:ascii="Verdana" w:eastAsia="Calibri" w:hAnsi="Verdana" w:cs="Arial"/>
          <w:color w:val="000000"/>
          <w:lang w:val="es-ES" w:eastAsia="es-ES"/>
        </w:rPr>
        <w:t>En ejercicio de la competencia otorgada por los artículos 3, numeral 5º, y 11, numeral 8º, del Decreto Ley 4170 de 2011,</w:t>
      </w:r>
      <w:r w:rsidRPr="00E74941">
        <w:rPr>
          <w:rFonts w:ascii="Verdana" w:eastAsia="Arial MT" w:hAnsi="Verdana" w:cs="Arial MT"/>
          <w:color w:val="000000"/>
          <w:lang w:val="es-ES" w:eastAsia="es-ES"/>
        </w:rPr>
        <w:t xml:space="preserve"> </w:t>
      </w:r>
      <w:r w:rsidRPr="00E74941">
        <w:rPr>
          <w:rFonts w:ascii="Verdana" w:eastAsia="Aptos" w:hAnsi="Verdana" w:cs="Arial"/>
          <w:color w:val="000000"/>
        </w:rPr>
        <w:t xml:space="preserve">así como lo establecido en el artículo 4 de la Resolución 1707 de 2018 expedida por esta Entidad, </w:t>
      </w:r>
      <w:r w:rsidRPr="00E74941">
        <w:rPr>
          <w:rFonts w:ascii="Verdana" w:eastAsia="Calibri" w:hAnsi="Verdana" w:cs="Arial"/>
          <w:color w:val="000000"/>
          <w:lang w:val="es-ES" w:eastAsia="es-ES"/>
        </w:rPr>
        <w:t xml:space="preserve">la Agencia Nacional de Contratación Pública – Colombia Compra Eficiente– responde su solicitud de consulta de fecha 9 de septiembre de 20204, en la cual manifiesta lo siguiente: </w:t>
      </w:r>
    </w:p>
    <w:p w14:paraId="70A2315A" w14:textId="77777777" w:rsidR="00E74941" w:rsidRPr="00E74941" w:rsidRDefault="00E74941" w:rsidP="00E74941">
      <w:pPr>
        <w:tabs>
          <w:tab w:val="left" w:pos="142"/>
          <w:tab w:val="left" w:pos="284"/>
        </w:tabs>
        <w:spacing w:line="276" w:lineRule="auto"/>
        <w:contextualSpacing/>
        <w:jc w:val="both"/>
        <w:rPr>
          <w:rFonts w:ascii="Verdana" w:eastAsia="Century Gothic" w:hAnsi="Verdana" w:cs="Century Gothic"/>
          <w:b/>
          <w:bCs/>
          <w:color w:val="000000"/>
          <w:lang w:val="es-ES"/>
        </w:rPr>
      </w:pPr>
    </w:p>
    <w:p w14:paraId="194C4B53"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rPr>
      </w:pPr>
      <w:bookmarkStart w:id="0" w:name="_Hlk95313578"/>
      <w:r w:rsidRPr="00E74941">
        <w:rPr>
          <w:rFonts w:ascii="Verdana" w:eastAsia="Century Gothic" w:hAnsi="Verdana" w:cs="Century Gothic"/>
          <w:i/>
          <w:iCs/>
          <w:color w:val="000000"/>
          <w:sz w:val="20"/>
          <w:szCs w:val="20"/>
          <w:lang w:val="es-ES"/>
        </w:rPr>
        <w:t>“</w:t>
      </w:r>
      <w:bookmarkEnd w:id="0"/>
      <w:r w:rsidRPr="00E74941">
        <w:rPr>
          <w:rFonts w:ascii="Verdana" w:eastAsia="Century Gothic" w:hAnsi="Verdana" w:cs="Century Gothic"/>
          <w:i/>
          <w:iCs/>
          <w:color w:val="000000"/>
          <w:sz w:val="20"/>
          <w:szCs w:val="20"/>
        </w:rPr>
        <w:t xml:space="preserve">Cuando un pliego limita a </w:t>
      </w:r>
      <w:proofErr w:type="spellStart"/>
      <w:r w:rsidRPr="00E74941">
        <w:rPr>
          <w:rFonts w:ascii="Verdana" w:eastAsia="Century Gothic" w:hAnsi="Verdana" w:cs="Century Gothic"/>
          <w:i/>
          <w:iCs/>
          <w:color w:val="000000"/>
          <w:sz w:val="20"/>
          <w:szCs w:val="20"/>
        </w:rPr>
        <w:t>mipyme</w:t>
      </w:r>
      <w:proofErr w:type="spellEnd"/>
      <w:r w:rsidRPr="00E74941">
        <w:rPr>
          <w:rFonts w:ascii="Verdana" w:eastAsia="Century Gothic" w:hAnsi="Verdana" w:cs="Century Gothic"/>
          <w:i/>
          <w:iCs/>
          <w:color w:val="000000"/>
          <w:sz w:val="20"/>
          <w:szCs w:val="20"/>
        </w:rPr>
        <w:t xml:space="preserve"> CONSULTA Si la UNION TEMPORAL está integrada así (a manera de ejemplo): Integrante</w:t>
      </w:r>
    </w:p>
    <w:p w14:paraId="1EF26BEC"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rPr>
      </w:pPr>
    </w:p>
    <w:p w14:paraId="5522FC1F"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rPr>
      </w:pPr>
      <w:r w:rsidRPr="00E74941">
        <w:rPr>
          <w:rFonts w:ascii="Verdana" w:eastAsia="Century Gothic" w:hAnsi="Verdana" w:cs="Century Gothic"/>
          <w:i/>
          <w:iCs/>
          <w:color w:val="000000"/>
          <w:sz w:val="20"/>
          <w:szCs w:val="20"/>
        </w:rPr>
        <w:t xml:space="preserve">1: MIPYME con el 40% de participación y emprendimientos y empresas de mujeres, a las que les aplican los criterios diferenciales del artículo 32 de </w:t>
      </w:r>
      <w:r w:rsidRPr="00E74941">
        <w:rPr>
          <w:rFonts w:ascii="Verdana" w:eastAsia="Century Gothic" w:hAnsi="Verdana" w:cs="Century Gothic"/>
          <w:i/>
          <w:iCs/>
          <w:color w:val="000000"/>
          <w:sz w:val="20"/>
          <w:szCs w:val="20"/>
        </w:rPr>
        <w:lastRenderedPageBreak/>
        <w:t>la Ley 2069 de 2020, el Decreto 1860 de 2021 adicionó el artículo 2.2.1.2.4.2.14 al Decreto 1082 de 2015 Integrante</w:t>
      </w:r>
    </w:p>
    <w:p w14:paraId="3A2F24BA"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rPr>
      </w:pPr>
    </w:p>
    <w:p w14:paraId="3DA0C9E3"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rPr>
      </w:pPr>
      <w:r w:rsidRPr="00E74941">
        <w:rPr>
          <w:rFonts w:ascii="Verdana" w:eastAsia="Century Gothic" w:hAnsi="Verdana" w:cs="Century Gothic"/>
          <w:i/>
          <w:iCs/>
          <w:color w:val="000000"/>
          <w:sz w:val="20"/>
          <w:szCs w:val="20"/>
        </w:rPr>
        <w:t xml:space="preserve">2: Gran empresa con el 30% de participación y emprendimientos y empresas de mujeres, a las que les aplican los criterios diferenciales del artículo 32 de la Ley 2069 de 2020, el Decreto 1860 de 2021 adicionó el artículo 2.2.1.2.4.2.14 al Decreto 1082 de 2015 Integrante </w:t>
      </w:r>
    </w:p>
    <w:p w14:paraId="5C6DECE5"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rPr>
      </w:pPr>
    </w:p>
    <w:p w14:paraId="0025E875" w14:textId="77777777" w:rsidR="00E74941" w:rsidRPr="00E74941" w:rsidRDefault="00E74941" w:rsidP="00E74941">
      <w:pPr>
        <w:spacing w:after="0" w:line="240" w:lineRule="auto"/>
        <w:ind w:left="709" w:right="709"/>
        <w:jc w:val="both"/>
        <w:rPr>
          <w:rFonts w:ascii="Verdana" w:eastAsia="Century Gothic" w:hAnsi="Verdana" w:cs="Century Gothic"/>
          <w:i/>
          <w:iCs/>
          <w:color w:val="000000"/>
          <w:sz w:val="20"/>
          <w:szCs w:val="20"/>
          <w:lang w:val="es-ES"/>
        </w:rPr>
      </w:pPr>
      <w:r w:rsidRPr="00E74941">
        <w:rPr>
          <w:rFonts w:ascii="Verdana" w:eastAsia="Century Gothic" w:hAnsi="Verdana" w:cs="Century Gothic"/>
          <w:i/>
          <w:iCs/>
          <w:color w:val="000000"/>
          <w:sz w:val="20"/>
          <w:szCs w:val="20"/>
        </w:rPr>
        <w:t>3: Gran empresa con el 30% de participación emprendimientos y empresas de mujeres, a las que les aplican los criterios diferenciales del artículo 32 de la Ley 2069 de 2020, el Decreto 1860 de 2021 adicionó el artículo 2.2.1.2.4.2.14 al Decreto 1082 de 2015.”</w:t>
      </w:r>
    </w:p>
    <w:p w14:paraId="49538D1F" w14:textId="77777777" w:rsidR="00E74941" w:rsidRPr="00E74941" w:rsidRDefault="00E74941" w:rsidP="00E74941">
      <w:pPr>
        <w:tabs>
          <w:tab w:val="left" w:pos="142"/>
          <w:tab w:val="left" w:pos="284"/>
        </w:tabs>
        <w:spacing w:line="276" w:lineRule="auto"/>
        <w:contextualSpacing/>
        <w:jc w:val="both"/>
        <w:rPr>
          <w:rFonts w:ascii="Verdana" w:eastAsia="Century Gothic" w:hAnsi="Verdana" w:cs="Century Gothic"/>
          <w:b/>
          <w:bCs/>
          <w:color w:val="000000"/>
          <w:lang w:val="es-ES"/>
        </w:rPr>
      </w:pPr>
    </w:p>
    <w:p w14:paraId="2559B615" w14:textId="77777777" w:rsidR="00E74941" w:rsidRPr="00E74941" w:rsidRDefault="00E74941" w:rsidP="00E74941">
      <w:pPr>
        <w:spacing w:after="120" w:line="276" w:lineRule="auto"/>
        <w:ind w:firstLine="709"/>
        <w:jc w:val="both"/>
        <w:rPr>
          <w:rFonts w:ascii="Verdana" w:eastAsia="Calibri" w:hAnsi="Verdana" w:cs="Arial"/>
          <w:color w:val="000000"/>
          <w:szCs w:val="24"/>
          <w:lang w:val="es-ES_tradnl" w:eastAsia="es-ES_tradnl"/>
        </w:rPr>
      </w:pPr>
      <w:r w:rsidRPr="00E7494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74941">
        <w:rPr>
          <w:rFonts w:ascii="Verdana" w:eastAsia="Calibri" w:hAnsi="Verdana" w:cs="Arial"/>
          <w:color w:val="000000"/>
          <w:szCs w:val="24"/>
          <w:lang w:val="es-ES_tradnl" w:eastAsia="es-ES_tradnl"/>
        </w:rPr>
        <w:tab/>
      </w:r>
    </w:p>
    <w:p w14:paraId="7DAB00FE" w14:textId="77777777" w:rsidR="00E74941" w:rsidRPr="00E74941" w:rsidRDefault="00E74941" w:rsidP="00E74941">
      <w:pPr>
        <w:spacing w:after="0" w:line="276" w:lineRule="auto"/>
        <w:ind w:firstLine="709"/>
        <w:jc w:val="both"/>
        <w:rPr>
          <w:rFonts w:ascii="Verdana" w:eastAsia="Calibri" w:hAnsi="Verdana" w:cs="Arial"/>
          <w:color w:val="000000"/>
          <w:lang w:val="es-ES" w:eastAsia="es-ES"/>
        </w:rPr>
      </w:pPr>
      <w:r w:rsidRPr="00E74941">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24520769" w14:textId="77777777" w:rsidR="00E74941" w:rsidRPr="00E74941" w:rsidRDefault="00E74941" w:rsidP="00E74941">
      <w:pPr>
        <w:spacing w:after="0" w:line="276" w:lineRule="auto"/>
        <w:ind w:firstLine="709"/>
        <w:jc w:val="both"/>
        <w:rPr>
          <w:rFonts w:ascii="Verdana" w:eastAsia="Calibri" w:hAnsi="Verdana" w:cs="Arial"/>
          <w:color w:val="000000"/>
          <w:lang w:val="es-ES" w:eastAsia="es-ES"/>
        </w:rPr>
      </w:pPr>
    </w:p>
    <w:p w14:paraId="79F319CA" w14:textId="77777777" w:rsidR="00E74941" w:rsidRPr="00E74941" w:rsidRDefault="00E74941" w:rsidP="00E74941">
      <w:pPr>
        <w:numPr>
          <w:ilvl w:val="0"/>
          <w:numId w:val="5"/>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E74941">
        <w:rPr>
          <w:rFonts w:ascii="Verdana" w:eastAsia="Century Gothic" w:hAnsi="Verdana" w:cs="Century Gothic"/>
          <w:b/>
          <w:bCs/>
          <w:color w:val="000000"/>
          <w:lang w:val="es-ES"/>
        </w:rPr>
        <w:t>Problema planteado:</w:t>
      </w:r>
    </w:p>
    <w:p w14:paraId="7E3141A1" w14:textId="77777777" w:rsidR="00E74941" w:rsidRPr="00E74941" w:rsidRDefault="00E74941" w:rsidP="00E74941">
      <w:pPr>
        <w:tabs>
          <w:tab w:val="left" w:pos="426"/>
        </w:tabs>
        <w:spacing w:after="0" w:line="276" w:lineRule="auto"/>
        <w:jc w:val="both"/>
        <w:rPr>
          <w:rFonts w:ascii="Verdana" w:eastAsia="Century Gothic" w:hAnsi="Verdana" w:cs="Century Gothic"/>
          <w:color w:val="000000"/>
          <w:lang w:val="es-ES"/>
        </w:rPr>
      </w:pPr>
    </w:p>
    <w:p w14:paraId="42AFC961" w14:textId="77777777" w:rsidR="00E74941" w:rsidRPr="00E74941" w:rsidRDefault="00E74941" w:rsidP="00E74941">
      <w:pPr>
        <w:spacing w:after="0" w:line="276" w:lineRule="auto"/>
        <w:jc w:val="both"/>
        <w:rPr>
          <w:rFonts w:ascii="Verdana" w:eastAsia="Century Gothic" w:hAnsi="Verdana" w:cs="Century Gothic"/>
          <w:color w:val="000000"/>
        </w:rPr>
      </w:pPr>
      <w:r w:rsidRPr="00E74941">
        <w:rPr>
          <w:rFonts w:ascii="Verdana" w:eastAsia="Century Gothic" w:hAnsi="Verdana" w:cs="Century Gothic"/>
          <w:color w:val="000000"/>
        </w:rPr>
        <w:t xml:space="preserve">De acuerdo con el contenido de su solicitud, esta Agencia resolverá el siguiente problema jurídico: </w:t>
      </w:r>
    </w:p>
    <w:p w14:paraId="6CCD6CDF" w14:textId="77777777" w:rsidR="00E74941" w:rsidRPr="00E74941" w:rsidRDefault="00E74941" w:rsidP="00E74941">
      <w:pPr>
        <w:spacing w:after="0" w:line="276" w:lineRule="auto"/>
        <w:jc w:val="both"/>
        <w:rPr>
          <w:rFonts w:ascii="Verdana" w:eastAsia="Century Gothic" w:hAnsi="Verdana" w:cs="Century Gothic"/>
          <w:color w:val="000000"/>
        </w:rPr>
      </w:pPr>
    </w:p>
    <w:p w14:paraId="1FD690AA" w14:textId="77777777" w:rsidR="00E74941" w:rsidRPr="00E74941" w:rsidRDefault="00E74941" w:rsidP="00E74941">
      <w:pPr>
        <w:spacing w:after="0" w:line="276" w:lineRule="auto"/>
        <w:jc w:val="both"/>
        <w:rPr>
          <w:rFonts w:ascii="Verdana" w:eastAsia="Calibri" w:hAnsi="Verdana" w:cs="Arial"/>
          <w:color w:val="000000"/>
          <w:lang w:val="es-ES_tradnl"/>
        </w:rPr>
      </w:pPr>
      <w:r w:rsidRPr="00E74941">
        <w:rPr>
          <w:rFonts w:ascii="Verdana" w:eastAsia="Calibri" w:hAnsi="Verdana" w:cs="Arial"/>
          <w:color w:val="000000"/>
        </w:rPr>
        <w:lastRenderedPageBreak/>
        <w:t xml:space="preserve">¿En un proceso de contratación limitado a </w:t>
      </w:r>
      <w:proofErr w:type="spellStart"/>
      <w:r w:rsidRPr="00E74941">
        <w:rPr>
          <w:rFonts w:ascii="Verdana" w:eastAsia="Calibri" w:hAnsi="Verdana" w:cs="Arial"/>
          <w:color w:val="000000"/>
        </w:rPr>
        <w:t>Mipymes</w:t>
      </w:r>
      <w:proofErr w:type="spellEnd"/>
      <w:r w:rsidRPr="00E74941">
        <w:rPr>
          <w:rFonts w:ascii="Verdana" w:eastAsia="Calibri" w:hAnsi="Verdana" w:cs="Arial"/>
          <w:color w:val="000000"/>
        </w:rPr>
        <w:t xml:space="preserve">, pueden participar las uniones temporales conformadas por dos personas jurídicas que son grandes empresas y solo una </w:t>
      </w:r>
      <w:proofErr w:type="spellStart"/>
      <w:r w:rsidRPr="00E74941">
        <w:rPr>
          <w:rFonts w:ascii="Verdana" w:eastAsia="Calibri" w:hAnsi="Verdana" w:cs="Arial"/>
          <w:color w:val="000000"/>
        </w:rPr>
        <w:t>Mipyme</w:t>
      </w:r>
      <w:proofErr w:type="spellEnd"/>
      <w:r w:rsidRPr="00E74941">
        <w:rPr>
          <w:rFonts w:ascii="Verdana" w:eastAsia="Calibri" w:hAnsi="Verdana" w:cs="Arial"/>
          <w:color w:val="000000"/>
        </w:rPr>
        <w:t xml:space="preserve"> que tiene la mayoría de participación? </w:t>
      </w:r>
    </w:p>
    <w:p w14:paraId="057881BC" w14:textId="77777777" w:rsidR="00E74941" w:rsidRPr="00E74941" w:rsidRDefault="00E74941" w:rsidP="00E74941">
      <w:pPr>
        <w:spacing w:after="0" w:line="276" w:lineRule="auto"/>
        <w:jc w:val="both"/>
        <w:rPr>
          <w:rFonts w:ascii="Verdana" w:eastAsia="Century Gothic" w:hAnsi="Verdana" w:cs="Century Gothic"/>
          <w:color w:val="000000"/>
          <w:lang w:val="es-ES"/>
        </w:rPr>
      </w:pPr>
    </w:p>
    <w:p w14:paraId="7B15B0B5" w14:textId="77777777" w:rsidR="00E74941" w:rsidRPr="00E74941" w:rsidRDefault="00E74941" w:rsidP="00E74941">
      <w:pPr>
        <w:spacing w:after="0" w:line="276" w:lineRule="auto"/>
        <w:jc w:val="both"/>
        <w:rPr>
          <w:rFonts w:ascii="Verdana" w:eastAsia="Calibri" w:hAnsi="Verdana" w:cs="Arial"/>
          <w:color w:val="000000"/>
          <w:lang w:val="es-ES"/>
        </w:rPr>
      </w:pPr>
    </w:p>
    <w:p w14:paraId="0A28FE6D" w14:textId="77777777" w:rsidR="00E74941" w:rsidRPr="00E74941" w:rsidRDefault="00E74941" w:rsidP="00E74941">
      <w:pPr>
        <w:numPr>
          <w:ilvl w:val="0"/>
          <w:numId w:val="5"/>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E74941">
        <w:rPr>
          <w:rFonts w:ascii="Verdana" w:eastAsia="Century Gothic" w:hAnsi="Verdana" w:cs="Century Gothic"/>
          <w:b/>
          <w:bCs/>
          <w:color w:val="000000"/>
          <w:lang w:val="es-ES"/>
        </w:rPr>
        <w:t>Respuesta:</w:t>
      </w:r>
    </w:p>
    <w:p w14:paraId="61B55A03" w14:textId="77777777" w:rsidR="00E74941" w:rsidRPr="00E74941" w:rsidRDefault="00E74941" w:rsidP="00E74941">
      <w:pPr>
        <w:tabs>
          <w:tab w:val="left" w:pos="142"/>
          <w:tab w:val="left" w:pos="284"/>
        </w:tabs>
        <w:spacing w:after="0" w:line="276" w:lineRule="auto"/>
        <w:jc w:val="both"/>
        <w:rPr>
          <w:rFonts w:ascii="Verdana" w:eastAsia="Century Gothic" w:hAnsi="Verdana" w:cs="Century Gothic"/>
          <w:b/>
          <w:bCs/>
          <w:color w:val="000000"/>
          <w:lang w:val="es-ES"/>
        </w:rPr>
      </w:pPr>
    </w:p>
    <w:tbl>
      <w:tblPr>
        <w:tblStyle w:val="Tablaconcuadrcula1"/>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74941" w:rsidRPr="00E74941" w14:paraId="2AE60DD5" w14:textId="77777777" w:rsidTr="00CE65EA">
        <w:tc>
          <w:tcPr>
            <w:tcW w:w="8828" w:type="dxa"/>
            <w:tcBorders>
              <w:top w:val="dotted" w:sz="4" w:space="0" w:color="auto"/>
              <w:left w:val="dotted" w:sz="4" w:space="0" w:color="auto"/>
              <w:bottom w:val="dotted" w:sz="4" w:space="0" w:color="auto"/>
              <w:right w:val="dotted" w:sz="4" w:space="0" w:color="auto"/>
            </w:tcBorders>
          </w:tcPr>
          <w:p w14:paraId="054B0AB2" w14:textId="77777777" w:rsidR="00E74941" w:rsidRPr="00E74941" w:rsidRDefault="00E74941" w:rsidP="00E74941">
            <w:pPr>
              <w:spacing w:line="276" w:lineRule="auto"/>
              <w:jc w:val="both"/>
              <w:rPr>
                <w:rFonts w:ascii="Verdana" w:eastAsia="Calibri" w:hAnsi="Verdana" w:cs="Arial"/>
                <w:b/>
                <w:bCs/>
                <w:color w:val="000000"/>
                <w:lang w:val="es-MX"/>
              </w:rPr>
            </w:pPr>
            <w:r w:rsidRPr="00E74941">
              <w:rPr>
                <w:rFonts w:ascii="Verdana" w:eastAsia="Calibri" w:hAnsi="Verdana" w:cs="Arial"/>
                <w:color w:val="000000"/>
                <w:lang w:val="es-MX"/>
              </w:rPr>
              <w:t xml:space="preserve">En términos estrictos, </w:t>
            </w:r>
            <w:r w:rsidRPr="00E74941">
              <w:rPr>
                <w:rFonts w:ascii="Verdana" w:eastAsia="Calibri" w:hAnsi="Verdana" w:cs="Arial"/>
                <w:color w:val="000000"/>
              </w:rPr>
              <w:t xml:space="preserve">cuando exista una convocatoria limitada a </w:t>
            </w:r>
            <w:proofErr w:type="spellStart"/>
            <w:r w:rsidRPr="00E74941">
              <w:rPr>
                <w:rFonts w:ascii="Verdana" w:eastAsia="Calibri" w:hAnsi="Verdana" w:cs="Arial"/>
                <w:color w:val="000000"/>
              </w:rPr>
              <w:t>Mipyme</w:t>
            </w:r>
            <w:proofErr w:type="spellEnd"/>
            <w:r w:rsidRPr="00E74941">
              <w:rPr>
                <w:rFonts w:ascii="Verdana" w:eastAsia="Calibri" w:hAnsi="Verdana" w:cs="Arial"/>
                <w:color w:val="000000"/>
              </w:rPr>
              <w:t xml:space="preserve"> y el proponente se presente al proceso como estructura plural, éste proponente deberá estar integrado en su totalidad por </w:t>
            </w:r>
            <w:proofErr w:type="spellStart"/>
            <w:r w:rsidRPr="00E74941">
              <w:rPr>
                <w:rFonts w:ascii="Verdana" w:eastAsia="Calibri" w:hAnsi="Verdana" w:cs="Arial"/>
                <w:color w:val="000000"/>
              </w:rPr>
              <w:t>Mipyme</w:t>
            </w:r>
            <w:proofErr w:type="spellEnd"/>
            <w:r w:rsidRPr="00E74941">
              <w:rPr>
                <w:rFonts w:ascii="Verdana" w:eastAsia="Calibri" w:hAnsi="Verdana" w:cs="Arial"/>
                <w:color w:val="000000"/>
              </w:rPr>
              <w:t xml:space="preserve">, como quiera que el sujeto objeto del incentivo es la </w:t>
            </w:r>
            <w:proofErr w:type="spellStart"/>
            <w:r w:rsidRPr="00E74941">
              <w:rPr>
                <w:rFonts w:ascii="Verdana" w:eastAsia="Calibri" w:hAnsi="Verdana" w:cs="Arial"/>
                <w:color w:val="000000"/>
              </w:rPr>
              <w:t>Mipyme</w:t>
            </w:r>
            <w:proofErr w:type="spellEnd"/>
            <w:r w:rsidRPr="00E74941">
              <w:rPr>
                <w:rFonts w:ascii="Verdana" w:eastAsia="Calibri" w:hAnsi="Verdana" w:cs="Arial"/>
                <w:color w:val="000000"/>
              </w:rPr>
              <w:t xml:space="preserve"> debido a su tamaño empresarial y no en función de su participación como proponente singular o plural.</w:t>
            </w:r>
          </w:p>
        </w:tc>
      </w:tr>
    </w:tbl>
    <w:p w14:paraId="56AD5C93" w14:textId="77777777" w:rsidR="00E74941" w:rsidRPr="00E74941" w:rsidRDefault="00E74941" w:rsidP="00E74941">
      <w:pPr>
        <w:tabs>
          <w:tab w:val="left" w:pos="142"/>
          <w:tab w:val="left" w:pos="284"/>
        </w:tabs>
        <w:spacing w:after="0" w:line="276" w:lineRule="auto"/>
        <w:jc w:val="both"/>
        <w:rPr>
          <w:rFonts w:ascii="Verdana" w:eastAsia="Century Gothic" w:hAnsi="Verdana" w:cs="Century Gothic"/>
          <w:b/>
          <w:bCs/>
          <w:color w:val="000000"/>
          <w:lang w:val="es-ES"/>
        </w:rPr>
      </w:pPr>
    </w:p>
    <w:p w14:paraId="53C55615" w14:textId="77777777" w:rsidR="00E74941" w:rsidRPr="00E74941" w:rsidRDefault="00E74941" w:rsidP="00E74941">
      <w:pPr>
        <w:numPr>
          <w:ilvl w:val="0"/>
          <w:numId w:val="5"/>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E74941">
        <w:rPr>
          <w:rFonts w:ascii="Verdana" w:eastAsia="Century Gothic" w:hAnsi="Verdana" w:cs="Century Gothic"/>
          <w:b/>
          <w:bCs/>
          <w:color w:val="000000"/>
          <w:lang w:val="es-ES"/>
        </w:rPr>
        <w:t>Razones de la respuesta:</w:t>
      </w:r>
    </w:p>
    <w:p w14:paraId="548445EF" w14:textId="77777777" w:rsidR="00E74941" w:rsidRPr="00E74941" w:rsidRDefault="00E74941" w:rsidP="00E74941">
      <w:pPr>
        <w:spacing w:after="0" w:line="276" w:lineRule="auto"/>
        <w:jc w:val="both"/>
        <w:rPr>
          <w:rFonts w:ascii="Verdana" w:eastAsia="Calibri" w:hAnsi="Verdana" w:cs="Arial"/>
          <w:color w:val="000000"/>
          <w:lang w:val="es-ES"/>
        </w:rPr>
      </w:pPr>
    </w:p>
    <w:p w14:paraId="717BC7A6" w14:textId="77777777" w:rsidR="00E74941" w:rsidRPr="00E74941" w:rsidRDefault="00E74941" w:rsidP="00E74941">
      <w:pPr>
        <w:spacing w:after="0" w:line="276" w:lineRule="auto"/>
        <w:jc w:val="both"/>
        <w:rPr>
          <w:rFonts w:ascii="Verdana" w:eastAsia="Calibri" w:hAnsi="Verdana" w:cs="Arial"/>
          <w:color w:val="000000"/>
          <w:lang w:val="es-ES"/>
        </w:rPr>
      </w:pPr>
      <w:r w:rsidRPr="00E74941">
        <w:rPr>
          <w:rFonts w:ascii="Verdana" w:eastAsia="Calibri" w:hAnsi="Verdana" w:cs="Arial"/>
          <w:color w:val="000000"/>
          <w:lang w:val="es-ES"/>
        </w:rPr>
        <w:t xml:space="preserve">Lo anterior se sustenta en las siguientes consideraciones: </w:t>
      </w:r>
    </w:p>
    <w:p w14:paraId="34A725BD" w14:textId="77777777" w:rsidR="00E74941" w:rsidRPr="00E74941" w:rsidRDefault="00E74941" w:rsidP="00E74941">
      <w:pPr>
        <w:spacing w:after="0" w:line="276" w:lineRule="auto"/>
        <w:jc w:val="both"/>
        <w:rPr>
          <w:rFonts w:ascii="Verdana" w:eastAsia="Calibri" w:hAnsi="Verdana" w:cs="Arial"/>
          <w:color w:val="000000"/>
          <w:lang w:val="es-ES"/>
        </w:rPr>
      </w:pPr>
    </w:p>
    <w:p w14:paraId="0B5F9603"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t>La capacidad jurídica es uno de los presupuestos del contrato estatal, pues se entiende como la aptitud de un sujeto para ser titular de derechos y obligaciones, de ejercer o exigir los primeros y contraer las segundas en forma personal, sumada la posibilidad de comparecer en juicio. La capacidad jurídica permite crear, modificar o extinguir relaciones jurídicas de forma voluntaria y autónoma.</w:t>
      </w:r>
    </w:p>
    <w:p w14:paraId="6D0A961A"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t xml:space="preserve">De acuerdo con el Código Civil, la capacidad se refiere a la facultad que la ley le confiere a la persona para ejercer derechos y contraer obligaciones, partiendo del supuesto de que todas las personas naturales mayores de edad son capaces, con excepción de aquellas que la ley expresamente excluye de esta presunción –artículos 1502, 1503 y 1504 </w:t>
      </w:r>
      <w:r w:rsidRPr="00E74941">
        <w:rPr>
          <w:rFonts w:ascii="Verdana" w:eastAsia="Calibri" w:hAnsi="Verdana" w:cs="Arial"/>
          <w:i/>
          <w:iCs/>
          <w:lang w:eastAsia="es-MX"/>
        </w:rPr>
        <w:t>ibidem</w:t>
      </w:r>
      <w:r w:rsidRPr="00E74941">
        <w:rPr>
          <w:rFonts w:ascii="Verdana" w:eastAsia="Calibri" w:hAnsi="Verdana" w:cs="Arial"/>
          <w:lang w:eastAsia="es-MX"/>
        </w:rPr>
        <w:t>–, y de que la capacidad de las personas jurídicas se circunscribe a su objeto social –artículo 99 del Código de Comercio. Al respecto, el artículo 6 de la Ley 80 de 1993 –modificado por el art.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4A2D594F"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lastRenderedPageBreak/>
        <w:t>En consecuencia, pueden celebrar contratos estatales las personas naturales mayores de edad, las personas jurídicas que tengan dentro de su objeto social actividades relacionadas con el objeto a contratar y, en virtud de la ley, también pueden hacerlo los consorcios y las uniones temporales. Si bien no son personas jurídicas, el artículo 7 de la Ley 80 de 1993 define estos sujetos para la presentación de ofertas por un número plural de interesados. En lo pertinente, con las modificaciones del art. 3 de la Ley 2160 de 2021, la norma dispone lo siguiente:</w:t>
      </w:r>
    </w:p>
    <w:p w14:paraId="48C7FAE6" w14:textId="77777777" w:rsidR="00E74941" w:rsidRPr="00E74941" w:rsidRDefault="00E74941" w:rsidP="00E74941">
      <w:pPr>
        <w:spacing w:line="276" w:lineRule="auto"/>
        <w:ind w:left="360" w:firstLine="360"/>
        <w:jc w:val="both"/>
        <w:rPr>
          <w:rFonts w:ascii="Verdana" w:eastAsia="Calibri" w:hAnsi="Verdana" w:cs="Arial"/>
          <w:sz w:val="20"/>
          <w:szCs w:val="20"/>
          <w:lang w:eastAsia="es-MX"/>
        </w:rPr>
      </w:pPr>
      <w:r w:rsidRPr="00E74941">
        <w:rPr>
          <w:rFonts w:ascii="Verdana" w:eastAsia="Calibri" w:hAnsi="Verdana" w:cs="Arial"/>
          <w:sz w:val="20"/>
          <w:szCs w:val="20"/>
          <w:lang w:eastAsia="es-MX"/>
        </w:rPr>
        <w:t>“Para los efectos de esta ley se entiende por:</w:t>
      </w:r>
    </w:p>
    <w:p w14:paraId="3AF1232B" w14:textId="77777777" w:rsidR="00E74941" w:rsidRPr="00E74941" w:rsidRDefault="00E74941" w:rsidP="00E74941">
      <w:pPr>
        <w:spacing w:line="276" w:lineRule="auto"/>
        <w:ind w:left="360" w:firstLine="360"/>
        <w:jc w:val="both"/>
        <w:rPr>
          <w:rFonts w:ascii="Verdana" w:eastAsia="Calibri" w:hAnsi="Verdana" w:cs="Arial"/>
          <w:sz w:val="20"/>
          <w:szCs w:val="20"/>
          <w:lang w:eastAsia="es-MX"/>
        </w:rPr>
      </w:pPr>
      <w:r w:rsidRPr="00E74941">
        <w:rPr>
          <w:rFonts w:ascii="Verdana" w:eastAsia="Calibri" w:hAnsi="Verdana" w:cs="Arial"/>
          <w:sz w:val="20"/>
          <w:szCs w:val="20"/>
          <w:lang w:eastAsia="es-MX"/>
        </w:rPr>
        <w:t>[…]</w:t>
      </w:r>
    </w:p>
    <w:p w14:paraId="4FDF0BC0" w14:textId="77777777" w:rsidR="00E74941" w:rsidRPr="00E74941" w:rsidRDefault="00E74941" w:rsidP="00E74941">
      <w:pPr>
        <w:spacing w:line="276" w:lineRule="auto"/>
        <w:ind w:left="360" w:firstLine="360"/>
        <w:jc w:val="both"/>
        <w:rPr>
          <w:rFonts w:ascii="Verdana" w:eastAsia="Calibri" w:hAnsi="Verdana" w:cs="Arial"/>
          <w:sz w:val="20"/>
          <w:szCs w:val="20"/>
          <w:lang w:eastAsia="es-MX"/>
        </w:rPr>
      </w:pPr>
      <w:r w:rsidRPr="00E74941">
        <w:rPr>
          <w:rFonts w:ascii="Verdana" w:eastAsia="Calibri" w:hAnsi="Verdana" w:cs="Arial"/>
          <w:sz w:val="20"/>
          <w:szCs w:val="20"/>
          <w:lang w:eastAsia="es-MX"/>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3AD2AA81" w14:textId="77777777" w:rsidR="00E74941" w:rsidRPr="00E74941" w:rsidRDefault="00E74941" w:rsidP="00E74941">
      <w:pPr>
        <w:spacing w:line="276" w:lineRule="auto"/>
        <w:ind w:left="360" w:firstLine="360"/>
        <w:jc w:val="both"/>
        <w:rPr>
          <w:rFonts w:ascii="Verdana" w:eastAsia="Calibri" w:hAnsi="Verdana" w:cs="Arial"/>
          <w:sz w:val="20"/>
          <w:szCs w:val="20"/>
          <w:lang w:eastAsia="es-MX"/>
        </w:rPr>
      </w:pPr>
      <w:r w:rsidRPr="00E74941">
        <w:rPr>
          <w:rFonts w:ascii="Verdana" w:eastAsia="Calibri" w:hAnsi="Verdana" w:cs="Arial"/>
          <w:sz w:val="20"/>
          <w:szCs w:val="20"/>
          <w:lang w:eastAsia="es-MX"/>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3EE3E3F7" w14:textId="77777777" w:rsidR="00E74941" w:rsidRPr="00E74941" w:rsidRDefault="00E74941" w:rsidP="00E74941">
      <w:pPr>
        <w:spacing w:line="276" w:lineRule="auto"/>
        <w:ind w:left="360" w:firstLine="360"/>
        <w:jc w:val="both"/>
        <w:rPr>
          <w:rFonts w:ascii="Verdana" w:eastAsia="Calibri" w:hAnsi="Verdana" w:cs="Arial"/>
          <w:sz w:val="20"/>
          <w:szCs w:val="20"/>
          <w:lang w:eastAsia="es-MX"/>
        </w:rPr>
      </w:pPr>
      <w:r w:rsidRPr="00E74941">
        <w:rPr>
          <w:rFonts w:ascii="Verdana" w:eastAsia="Calibri" w:hAnsi="Verdana" w:cs="Arial"/>
          <w:sz w:val="20"/>
          <w:szCs w:val="20"/>
          <w:lang w:eastAsia="es-MX"/>
        </w:rPr>
        <w:t>[…]”.</w:t>
      </w:r>
    </w:p>
    <w:p w14:paraId="47AD510C"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E74941">
        <w:rPr>
          <w:rFonts w:ascii="Verdana" w:eastAsia="Calibri" w:hAnsi="Verdana" w:cs="Arial"/>
          <w:vertAlign w:val="superscript"/>
          <w:lang w:eastAsia="es-MX"/>
        </w:rPr>
        <w:footnoteReference w:id="2"/>
      </w:r>
      <w:r w:rsidRPr="00E74941">
        <w:rPr>
          <w:rFonts w:ascii="Verdana" w:eastAsia="Calibri" w:hAnsi="Verdana" w:cs="Arial"/>
          <w:lang w:eastAsia="es-MX"/>
        </w:rPr>
        <w:t xml:space="preserve">. La diferencia radica en la responsabilidad frente a las eventuales sanciones por el </w:t>
      </w:r>
      <w:r w:rsidRPr="00E74941">
        <w:rPr>
          <w:rFonts w:ascii="Verdana" w:eastAsia="Calibri" w:hAnsi="Verdana" w:cs="Arial"/>
          <w:lang w:eastAsia="es-MX"/>
        </w:rPr>
        <w:lastRenderedPageBreak/>
        <w:t>incumplimiento de las obligaciones, toda vez que tratándose de una unión temporal, estas se individualizan según la participación de sus miembros, mientras que en el consorcio los miembros responden solidariamente, con independencia de este aspecto</w:t>
      </w:r>
      <w:r w:rsidRPr="00E74941">
        <w:rPr>
          <w:rFonts w:ascii="Verdana" w:eastAsia="Calibri" w:hAnsi="Verdana" w:cs="Arial"/>
          <w:vertAlign w:val="superscript"/>
          <w:lang w:eastAsia="es-MX"/>
        </w:rPr>
        <w:footnoteReference w:id="3"/>
      </w:r>
      <w:r w:rsidRPr="00E74941">
        <w:rPr>
          <w:rFonts w:ascii="Verdana" w:eastAsia="Calibri" w:hAnsi="Verdana" w:cs="Arial"/>
          <w:lang w:eastAsia="es-MX"/>
        </w:rPr>
        <w:t xml:space="preserve">. </w:t>
      </w:r>
    </w:p>
    <w:p w14:paraId="5F0B1CCA"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t>En la medida en que los consorcios y las uniones temporales no son personas jurídicas, su creación depende de un acuerdo privado en el que concurre la voluntad de sus integrantes para regular su objeto, la participación de los miembros, las obligaciones frente al proyecto, la responsabilidad de los miembros, la forma en que regirán sus relaciones internas y el relacionamiento con la entidad contratante, mediante la designación de un representante, conforme el parágrafo 1 del artículo 7 de la Ley 80 de 1993. Por lo anterior, la constitución del consorcio o unión temporal supone la asignación de facultades al “representante” del proponente plural, pues –para efectos del artículo 1505 del Código Civil– “Lo que una persona ejecuta a nombre de otra, estando facultada por ella o por la ley para representarla, produce respecto del representado iguales efectos que si hubiese contratado él mismo”.</w:t>
      </w:r>
    </w:p>
    <w:p w14:paraId="485C4CA5"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t>En el derecho privado, el acuerdo de voluntades que constituye el consorcio o unión temporal es un contrato principal, oneroso, conmutativo, bilateral o plurilateral</w:t>
      </w:r>
      <w:r w:rsidRPr="00E74941">
        <w:rPr>
          <w:rFonts w:ascii="Verdana" w:eastAsia="Calibri" w:hAnsi="Verdana" w:cs="Arial"/>
          <w:vertAlign w:val="superscript"/>
          <w:lang w:eastAsia="es-MX"/>
        </w:rPr>
        <w:footnoteReference w:id="4"/>
      </w:r>
      <w:r w:rsidRPr="00E74941">
        <w:rPr>
          <w:rFonts w:ascii="Verdana" w:eastAsia="Calibri" w:hAnsi="Verdana" w:cs="Arial"/>
          <w:lang w:eastAsia="es-MX"/>
        </w:rPr>
        <w:t xml:space="preserve">. En el derecho público, el ente debidamente constituido será un </w:t>
      </w:r>
      <w:r w:rsidRPr="00E74941">
        <w:rPr>
          <w:rFonts w:ascii="Verdana" w:eastAsia="Calibri" w:hAnsi="Verdana" w:cs="Arial"/>
          <w:lang w:eastAsia="es-MX"/>
        </w:rPr>
        <w:lastRenderedPageBreak/>
        <w:t>sujeto con capacidad para contratar, para ejecutar las obligaciones y ejercer los derechos que derivan del contrato, así como para interrelacionarse con la entidad estatal contratante en todo lo referente a la ejecución del objeto contractual. Inclusive, los consorcios y uniones temporales, a través de su representante, tienen capacidad y están legitimados para comparecer al proceso, en orden de proteger sus derechos o responder por el incumplimiento de sus obligaciones</w:t>
      </w:r>
      <w:r w:rsidRPr="00E74941">
        <w:rPr>
          <w:rFonts w:ascii="Verdana" w:eastAsia="Calibri" w:hAnsi="Verdana" w:cs="Arial"/>
          <w:vertAlign w:val="superscript"/>
          <w:lang w:eastAsia="es-MX"/>
        </w:rPr>
        <w:footnoteReference w:id="5"/>
      </w:r>
      <w:r w:rsidRPr="00E74941">
        <w:rPr>
          <w:rFonts w:ascii="Verdana" w:eastAsia="Calibri" w:hAnsi="Verdana" w:cs="Arial"/>
          <w:lang w:eastAsia="es-MX"/>
        </w:rPr>
        <w:t xml:space="preserve">. En conclusión, los consorcios y uniones temporales no son personas jurídicas, pero son entes creados por el acuerdo de voluntades de sus miembros que están facultados, en virtud de la ley, para celebrar y ejecutar contratos con entidades estatales y para ser parte en procesos administrativos y judiciales derivados de su celebración y ejecución. </w:t>
      </w:r>
    </w:p>
    <w:p w14:paraId="17F538ED" w14:textId="77777777" w:rsidR="00E74941" w:rsidRPr="00E74941" w:rsidRDefault="00E74941" w:rsidP="00E74941">
      <w:pPr>
        <w:spacing w:line="276" w:lineRule="auto"/>
        <w:ind w:firstLine="360"/>
        <w:jc w:val="both"/>
        <w:rPr>
          <w:rFonts w:ascii="Verdana" w:eastAsia="Calibri" w:hAnsi="Verdana" w:cs="Arial"/>
          <w:lang w:eastAsia="es-MX"/>
        </w:rPr>
      </w:pPr>
      <w:r w:rsidRPr="00E74941">
        <w:rPr>
          <w:rFonts w:ascii="Verdana" w:eastAsia="Calibri" w:hAnsi="Verdana" w:cs="Arial"/>
          <w:lang w:eastAsia="es-MX"/>
        </w:rPr>
        <w:t xml:space="preserve">Ahora bien, en lo concerniente a la limitación de un proceso contractual a </w:t>
      </w:r>
      <w:proofErr w:type="spellStart"/>
      <w:r w:rsidRPr="00E74941">
        <w:rPr>
          <w:rFonts w:ascii="Verdana" w:eastAsia="Calibri" w:hAnsi="Verdana" w:cs="Arial"/>
          <w:lang w:eastAsia="es-MX"/>
        </w:rPr>
        <w:t>Mipymes</w:t>
      </w:r>
      <w:proofErr w:type="spellEnd"/>
      <w:r w:rsidRPr="00E74941">
        <w:rPr>
          <w:rFonts w:ascii="Verdana" w:eastAsia="Calibri" w:hAnsi="Verdana" w:cs="Arial"/>
          <w:lang w:eastAsia="es-MX"/>
        </w:rPr>
        <w:t xml:space="preserve">, se tiene que en desarrollo del artículo 12 de la Ley 1150 de 2007, el artículo 2.2.1.2.4.2.2 del Decreto 1082 de 2015 –modificado por el Decreto 1860 de 2021– establece los requisitos que se deben acreditar en las “convocatorias limitadas a </w:t>
      </w:r>
      <w:proofErr w:type="spellStart"/>
      <w:r w:rsidRPr="00E74941">
        <w:rPr>
          <w:rFonts w:ascii="Verdana" w:eastAsia="Calibri" w:hAnsi="Verdana" w:cs="Arial"/>
          <w:lang w:eastAsia="es-MX"/>
        </w:rPr>
        <w:t>Mipymes</w:t>
      </w:r>
      <w:proofErr w:type="spellEnd"/>
      <w:r w:rsidRPr="00E74941">
        <w:rPr>
          <w:rFonts w:ascii="Verdana" w:eastAsia="Calibri" w:hAnsi="Verdana" w:cs="Arial"/>
          <w:lang w:eastAsia="es-MX"/>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E74941">
        <w:rPr>
          <w:rFonts w:ascii="Verdana" w:eastAsia="Calibri" w:hAnsi="Verdana" w:cs="Arial"/>
          <w:lang w:eastAsia="es-MX"/>
        </w:rPr>
        <w:t>Mipyme</w:t>
      </w:r>
      <w:proofErr w:type="spellEnd"/>
      <w:r w:rsidRPr="00E74941">
        <w:rPr>
          <w:rFonts w:ascii="Verdana" w:eastAsia="Calibri" w:hAnsi="Verdana" w:cs="Arial"/>
          <w:lang w:eastAsia="es-MX"/>
        </w:rPr>
        <w:t xml:space="preserve"> colombianas con mínimo un (1) año de existencia, siempre que se cumplan los requisitos señalados allí. Al respecto indica lo siguiente: </w:t>
      </w:r>
    </w:p>
    <w:p w14:paraId="35958D8D" w14:textId="77777777" w:rsidR="00E74941" w:rsidRPr="00E74941" w:rsidRDefault="00E74941" w:rsidP="00E74941">
      <w:pPr>
        <w:spacing w:line="276" w:lineRule="auto"/>
        <w:ind w:left="360" w:firstLine="360"/>
        <w:jc w:val="both"/>
        <w:rPr>
          <w:rFonts w:ascii="Verdana" w:eastAsia="Calibri" w:hAnsi="Verdana" w:cs="Arial"/>
          <w:sz w:val="20"/>
          <w:szCs w:val="20"/>
          <w:lang w:val="es-ES" w:eastAsia="es-MX"/>
        </w:rPr>
      </w:pPr>
      <w:r w:rsidRPr="00E74941">
        <w:rPr>
          <w:rFonts w:ascii="Verdana" w:eastAsia="Calibri" w:hAnsi="Verdana" w:cs="Arial"/>
          <w:sz w:val="20"/>
          <w:szCs w:val="20"/>
          <w:lang w:val="es-ES" w:eastAsia="es-MX"/>
        </w:rPr>
        <w:t xml:space="preserve">“Artículo 2.2.1.2.4.2.2. Convocatorias Imitadas a </w:t>
      </w:r>
      <w:proofErr w:type="spellStart"/>
      <w:r w:rsidRPr="00E74941">
        <w:rPr>
          <w:rFonts w:ascii="Verdana" w:eastAsia="Calibri" w:hAnsi="Verdana" w:cs="Arial"/>
          <w:sz w:val="20"/>
          <w:szCs w:val="20"/>
          <w:lang w:val="es-ES" w:eastAsia="es-MX"/>
        </w:rPr>
        <w:t>Mipyme</w:t>
      </w:r>
      <w:proofErr w:type="spellEnd"/>
      <w:r w:rsidRPr="00E74941">
        <w:rPr>
          <w:rFonts w:ascii="Verdana" w:eastAsia="Calibri" w:hAnsi="Verdana" w:cs="Arial"/>
          <w:sz w:val="20"/>
          <w:szCs w:val="20"/>
          <w:lang w:val="es-ES" w:eastAsia="es-MX"/>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w:t>
      </w:r>
      <w:r w:rsidRPr="00E74941">
        <w:rPr>
          <w:rFonts w:ascii="Verdana" w:eastAsia="Calibri" w:hAnsi="Verdana" w:cs="Arial"/>
          <w:sz w:val="20"/>
          <w:szCs w:val="20"/>
          <w:lang w:val="es-ES" w:eastAsia="es-MX"/>
        </w:rPr>
        <w:lastRenderedPageBreak/>
        <w:t xml:space="preserve">pluralidad de oferentes a las </w:t>
      </w:r>
      <w:proofErr w:type="spellStart"/>
      <w:r w:rsidRPr="00E74941">
        <w:rPr>
          <w:rFonts w:ascii="Verdana" w:eastAsia="Calibri" w:hAnsi="Verdana" w:cs="Arial"/>
          <w:sz w:val="20"/>
          <w:szCs w:val="20"/>
          <w:lang w:val="es-ES" w:eastAsia="es-MX"/>
        </w:rPr>
        <w:t>Mipyme</w:t>
      </w:r>
      <w:proofErr w:type="spellEnd"/>
      <w:r w:rsidRPr="00E74941">
        <w:rPr>
          <w:rFonts w:ascii="Verdana" w:eastAsia="Calibri" w:hAnsi="Verdana" w:cs="Arial"/>
          <w:sz w:val="20"/>
          <w:szCs w:val="20"/>
          <w:lang w:val="es-ES" w:eastAsia="es-MX"/>
        </w:rPr>
        <w:t xml:space="preserve"> colombianas con mínimo un (1) año de existencia, cuando concurran los siguientes requisitos: </w:t>
      </w:r>
    </w:p>
    <w:p w14:paraId="45642F91" w14:textId="77777777" w:rsidR="00E74941" w:rsidRPr="00E74941" w:rsidRDefault="00E74941" w:rsidP="00E74941">
      <w:pPr>
        <w:spacing w:line="276" w:lineRule="auto"/>
        <w:ind w:left="360" w:firstLine="360"/>
        <w:jc w:val="both"/>
        <w:rPr>
          <w:rFonts w:ascii="Verdana" w:eastAsia="Calibri" w:hAnsi="Verdana" w:cs="Arial"/>
          <w:sz w:val="20"/>
          <w:szCs w:val="20"/>
          <w:lang w:val="es-ES_tradnl" w:eastAsia="es-MX"/>
        </w:rPr>
      </w:pPr>
      <w:r w:rsidRPr="00E74941">
        <w:rPr>
          <w:rFonts w:ascii="Verdana" w:eastAsia="Calibri" w:hAnsi="Verdana" w:cs="Arial"/>
          <w:sz w:val="20"/>
          <w:szCs w:val="20"/>
          <w:lang w:val="es-ES_tradnl" w:eastAsia="es-MX"/>
        </w:rPr>
        <w:t>1. El valor del Proceso de Contratación sea menor a ciento veinticinco mil dólares de los Estados Unidos de América (US$125.000), liquidados con la tasa de cambio que para el efecto determina cada dos años el Ministerio de Comercio, Industria y Turismo.</w:t>
      </w:r>
    </w:p>
    <w:p w14:paraId="2F81A33F" w14:textId="77777777" w:rsidR="00E74941" w:rsidRPr="00E74941" w:rsidRDefault="00E74941" w:rsidP="00E74941">
      <w:pPr>
        <w:spacing w:line="276" w:lineRule="auto"/>
        <w:ind w:left="360" w:firstLine="360"/>
        <w:jc w:val="both"/>
        <w:rPr>
          <w:rFonts w:ascii="Verdana" w:eastAsia="Calibri" w:hAnsi="Verdana" w:cs="Arial"/>
          <w:sz w:val="20"/>
          <w:szCs w:val="20"/>
          <w:lang w:val="es-ES" w:eastAsia="es-MX"/>
        </w:rPr>
      </w:pPr>
      <w:r w:rsidRPr="00E74941">
        <w:rPr>
          <w:rFonts w:ascii="Verdana" w:eastAsia="Calibri" w:hAnsi="Verdana" w:cs="Arial"/>
          <w:sz w:val="20"/>
          <w:szCs w:val="20"/>
          <w:lang w:val="es-ES" w:eastAsia="es-MX"/>
        </w:rPr>
        <w:t xml:space="preserve">2. Se hayan recibido solicitudes de por lo menos dos (2) </w:t>
      </w:r>
      <w:proofErr w:type="spellStart"/>
      <w:r w:rsidRPr="00E74941">
        <w:rPr>
          <w:rFonts w:ascii="Verdana" w:eastAsia="Calibri" w:hAnsi="Verdana" w:cs="Arial"/>
          <w:sz w:val="20"/>
          <w:szCs w:val="20"/>
          <w:lang w:val="es-ES" w:eastAsia="es-MX"/>
        </w:rPr>
        <w:t>Mipyme</w:t>
      </w:r>
      <w:proofErr w:type="spellEnd"/>
      <w:r w:rsidRPr="00E74941">
        <w:rPr>
          <w:rFonts w:ascii="Verdana" w:eastAsia="Calibri" w:hAnsi="Verdana" w:cs="Arial"/>
          <w:sz w:val="20"/>
          <w:szCs w:val="20"/>
          <w:lang w:val="es-ES" w:eastAsia="es-MX"/>
        </w:rPr>
        <w:t xml:space="preserve"> colombianas para limitar la convocatoria a </w:t>
      </w:r>
      <w:proofErr w:type="spellStart"/>
      <w:r w:rsidRPr="00E74941">
        <w:rPr>
          <w:rFonts w:ascii="Verdana" w:eastAsia="Calibri" w:hAnsi="Verdana" w:cs="Arial"/>
          <w:sz w:val="20"/>
          <w:szCs w:val="20"/>
          <w:lang w:val="es-ES" w:eastAsia="es-MX"/>
        </w:rPr>
        <w:t>Mipyme</w:t>
      </w:r>
      <w:proofErr w:type="spellEnd"/>
      <w:r w:rsidRPr="00E74941">
        <w:rPr>
          <w:rFonts w:ascii="Verdana" w:eastAsia="Calibri" w:hAnsi="Verdana" w:cs="Arial"/>
          <w:sz w:val="20"/>
          <w:szCs w:val="20"/>
          <w:lang w:val="es-ES" w:eastAsia="es-MX"/>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E74941">
        <w:rPr>
          <w:rFonts w:ascii="Verdana" w:eastAsia="Calibri" w:hAnsi="Verdana" w:cs="Arial"/>
          <w:sz w:val="20"/>
          <w:szCs w:val="20"/>
          <w:lang w:val="es-ES" w:eastAsia="es-MX"/>
        </w:rPr>
        <w:t>Mipyme</w:t>
      </w:r>
      <w:proofErr w:type="spellEnd"/>
      <w:r w:rsidRPr="00E74941">
        <w:rPr>
          <w:rFonts w:ascii="Verdana" w:eastAsia="Calibri" w:hAnsi="Verdana" w:cs="Arial"/>
          <w:sz w:val="20"/>
          <w:szCs w:val="20"/>
          <w:lang w:val="es-ES" w:eastAsia="es-MX"/>
        </w:rPr>
        <w:t>, cuyo objeto social les permita ejecutar el contrato relacionado con el proceso contractual.</w:t>
      </w:r>
    </w:p>
    <w:p w14:paraId="1B606C00" w14:textId="77777777" w:rsidR="00E74941" w:rsidRPr="00E74941" w:rsidRDefault="00E74941" w:rsidP="00E74941">
      <w:pPr>
        <w:spacing w:line="276" w:lineRule="auto"/>
        <w:ind w:left="360" w:firstLine="360"/>
        <w:jc w:val="both"/>
        <w:rPr>
          <w:rFonts w:ascii="Verdana" w:eastAsia="Calibri" w:hAnsi="Verdana" w:cs="Arial"/>
          <w:lang w:val="es-ES" w:eastAsia="es-MX"/>
        </w:rPr>
      </w:pPr>
      <w:r w:rsidRPr="00E74941">
        <w:rPr>
          <w:rFonts w:ascii="Verdana" w:eastAsia="Calibri" w:hAnsi="Verdana" w:cs="Arial"/>
          <w:sz w:val="20"/>
          <w:szCs w:val="20"/>
          <w:lang w:val="es-ES" w:eastAsia="es-MX"/>
        </w:rPr>
        <w:t xml:space="preserve">Parágrafo. Las cooperativas y demás entidades de economía solidaria, siempre que tengan la calidad de </w:t>
      </w:r>
      <w:proofErr w:type="spellStart"/>
      <w:r w:rsidRPr="00E74941">
        <w:rPr>
          <w:rFonts w:ascii="Verdana" w:eastAsia="Calibri" w:hAnsi="Verdana" w:cs="Arial"/>
          <w:sz w:val="20"/>
          <w:szCs w:val="20"/>
          <w:lang w:val="es-ES" w:eastAsia="es-MX"/>
        </w:rPr>
        <w:t>Mipyme</w:t>
      </w:r>
      <w:proofErr w:type="spellEnd"/>
      <w:r w:rsidRPr="00E74941">
        <w:rPr>
          <w:rFonts w:ascii="Verdana" w:eastAsia="Calibri" w:hAnsi="Verdana" w:cs="Arial"/>
          <w:sz w:val="20"/>
          <w:szCs w:val="20"/>
          <w:lang w:val="es-ES" w:eastAsia="es-MX"/>
        </w:rPr>
        <w:t>, podrán solicitar y participar en las convocatorias limitadas en las mismas condiciones dispuestas en el presente artículo”.</w:t>
      </w:r>
    </w:p>
    <w:p w14:paraId="5D1BF3BF" w14:textId="77777777" w:rsidR="00E74941" w:rsidRPr="00E74941" w:rsidRDefault="00E74941" w:rsidP="00E74941">
      <w:pPr>
        <w:spacing w:line="276" w:lineRule="auto"/>
        <w:ind w:firstLine="360"/>
        <w:jc w:val="both"/>
        <w:rPr>
          <w:rFonts w:ascii="Verdana" w:eastAsia="Calibri" w:hAnsi="Verdana" w:cs="Arial"/>
          <w:lang w:val="es-ES_tradnl" w:eastAsia="es-MX"/>
        </w:rPr>
      </w:pPr>
      <w:r w:rsidRPr="00E74941">
        <w:rPr>
          <w:rFonts w:ascii="Verdana" w:eastAsia="Calibri" w:hAnsi="Verdana" w:cs="Arial"/>
          <w:lang w:eastAsia="es-MX"/>
        </w:rPr>
        <w:t xml:space="preserve">Según se evidencia, el numeral primero limita cuantitativamente los procesos contractuales para las convocatorias limitadas a </w:t>
      </w:r>
      <w:proofErr w:type="spellStart"/>
      <w:r w:rsidRPr="00E74941">
        <w:rPr>
          <w:rFonts w:ascii="Verdana" w:eastAsia="Calibri" w:hAnsi="Verdana" w:cs="Arial"/>
          <w:lang w:eastAsia="es-MX"/>
        </w:rPr>
        <w:t>Mipyme</w:t>
      </w:r>
      <w:proofErr w:type="spellEnd"/>
      <w:r w:rsidRPr="00E74941">
        <w:rPr>
          <w:rFonts w:ascii="Verdana" w:eastAsia="Calibri" w:hAnsi="Verdana" w:cs="Arial"/>
          <w:lang w:eastAsia="es-MX"/>
        </w:rPr>
        <w:t xml:space="preserve">, puesto que el valor del proceso de contratación debe ser “menor a ciento veinticinco mil dólares de los Estados Unidos de América”. Esto de acuerdo con la tasa que determine cada dos años el Ministerio de Comercio, Industria y Turismo. Por su parte, el numeral segundo establece que al menos dos (2) </w:t>
      </w:r>
      <w:proofErr w:type="spellStart"/>
      <w:r w:rsidRPr="00E74941">
        <w:rPr>
          <w:rFonts w:ascii="Verdana" w:eastAsia="Calibri" w:hAnsi="Verdana" w:cs="Arial"/>
          <w:lang w:eastAsia="es-MX"/>
        </w:rPr>
        <w:t>Mipymes</w:t>
      </w:r>
      <w:proofErr w:type="spellEnd"/>
      <w:r w:rsidRPr="00E74941">
        <w:rPr>
          <w:rFonts w:ascii="Verdana" w:eastAsia="Calibri" w:hAnsi="Verdana" w:cs="Arial"/>
          <w:lang w:eastAsia="es-MX"/>
        </w:rPr>
        <w:t xml:space="preserve"> colombianas presenten a la entidad la solicitud de limitar el proceso contractual y, por el otro, que hagan la solicitud por lo menos un día (1) hábil antes de la expedición del acto administrativo de apertura </w:t>
      </w:r>
      <w:r w:rsidRPr="00E74941">
        <w:rPr>
          <w:rFonts w:ascii="Verdana" w:eastAsia="Calibri" w:hAnsi="Verdana" w:cs="Arial"/>
          <w:lang w:val="es-ES_tradnl" w:eastAsia="es-MX"/>
        </w:rPr>
        <w:t>o el que haga sus veces de acuerdo con la normativa aplicable a cada Proceso de Contratación</w:t>
      </w:r>
      <w:r w:rsidRPr="00E74941">
        <w:rPr>
          <w:rFonts w:ascii="Verdana" w:eastAsia="Calibri" w:hAnsi="Verdana" w:cs="Arial"/>
          <w:lang w:eastAsia="es-MX"/>
        </w:rPr>
        <w:t xml:space="preserve">. Asimismo, la norma señala que, </w:t>
      </w:r>
      <w:r w:rsidRPr="00E74941">
        <w:rPr>
          <w:rFonts w:ascii="Verdana" w:eastAsia="Calibri" w:hAnsi="Verdana" w:cs="Arial"/>
          <w:lang w:val="es-ES_tradnl" w:eastAsia="es-MX"/>
        </w:rPr>
        <w:t xml:space="preserve">tratándose de personas jurídicas, las solicitudes solo las podrán realizar la </w:t>
      </w:r>
      <w:proofErr w:type="spellStart"/>
      <w:r w:rsidRPr="00E74941">
        <w:rPr>
          <w:rFonts w:ascii="Verdana" w:eastAsia="Calibri" w:hAnsi="Verdana" w:cs="Arial"/>
          <w:lang w:val="es-ES_tradnl" w:eastAsia="es-MX"/>
        </w:rPr>
        <w:t>Mipyme</w:t>
      </w:r>
      <w:proofErr w:type="spellEnd"/>
      <w:r w:rsidRPr="00E74941">
        <w:rPr>
          <w:rFonts w:ascii="Verdana" w:eastAsia="Calibri" w:hAnsi="Verdana" w:cs="Arial"/>
          <w:lang w:val="es-ES_tradnl" w:eastAsia="es-MX"/>
        </w:rPr>
        <w:t xml:space="preserve">, cuyo objeto social les permita ejecutar el contrato relacionado con el proceso contractual. Por lo demás, este artículo incluye a las cooperativas y demás entidades de economía solidaria dentro de los sujetos que pueden solicitar y participar en las convocatorias limitadas a </w:t>
      </w:r>
      <w:proofErr w:type="spellStart"/>
      <w:r w:rsidRPr="00E74941">
        <w:rPr>
          <w:rFonts w:ascii="Verdana" w:eastAsia="Calibri" w:hAnsi="Verdana" w:cs="Arial"/>
          <w:lang w:val="es-ES_tradnl" w:eastAsia="es-MX"/>
        </w:rPr>
        <w:t>Mipyme</w:t>
      </w:r>
      <w:proofErr w:type="spellEnd"/>
      <w:r w:rsidRPr="00E74941">
        <w:rPr>
          <w:rFonts w:ascii="Verdana" w:eastAsia="Calibri" w:hAnsi="Verdana" w:cs="Arial"/>
          <w:lang w:val="es-ES_tradnl" w:eastAsia="es-MX"/>
        </w:rPr>
        <w:t xml:space="preserve">, siempre que estas cumplan con las condiciones señaladas en el artículo. </w:t>
      </w:r>
    </w:p>
    <w:p w14:paraId="1462C5A0" w14:textId="77777777" w:rsidR="00E74941" w:rsidRPr="00E74941" w:rsidRDefault="00E74941" w:rsidP="37288069">
      <w:pPr>
        <w:spacing w:line="276" w:lineRule="auto"/>
        <w:ind w:firstLine="360"/>
        <w:jc w:val="both"/>
        <w:rPr>
          <w:rFonts w:ascii="Verdana" w:eastAsia="Calibri" w:hAnsi="Verdana" w:cs="Arial"/>
          <w:lang w:val="es-ES" w:eastAsia="es-MX"/>
        </w:rPr>
      </w:pPr>
      <w:r w:rsidRPr="37288069">
        <w:rPr>
          <w:rFonts w:ascii="Verdana" w:eastAsia="Calibri" w:hAnsi="Verdana" w:cs="Arial"/>
          <w:lang w:val="es-ES" w:eastAsia="es-MX"/>
        </w:rPr>
        <w:t xml:space="preserve">Como se desprende del tenor literal de la disposición transcrita, cuando se cumplen las condiciones de los numerales 1 y 2, la convocatoria de los Procesos </w:t>
      </w:r>
      <w:r w:rsidRPr="37288069">
        <w:rPr>
          <w:rFonts w:ascii="Verdana" w:eastAsia="Calibri" w:hAnsi="Verdana" w:cs="Arial"/>
          <w:lang w:val="es-ES" w:eastAsia="es-MX"/>
        </w:rPr>
        <w:lastRenderedPageBreak/>
        <w:t xml:space="preserve">de Contratación con pluralidad de oferentes se limita a las </w:t>
      </w:r>
      <w:proofErr w:type="spellStart"/>
      <w:r w:rsidRPr="37288069">
        <w:rPr>
          <w:rFonts w:ascii="Verdana" w:eastAsia="Calibri" w:hAnsi="Verdana" w:cs="Arial"/>
          <w:lang w:val="es-ES" w:eastAsia="es-MX"/>
        </w:rPr>
        <w:t>Mipyme</w:t>
      </w:r>
      <w:proofErr w:type="spellEnd"/>
      <w:r w:rsidRPr="37288069">
        <w:rPr>
          <w:rFonts w:ascii="Verdana" w:eastAsia="Calibri" w:hAnsi="Verdana" w:cs="Arial"/>
          <w:lang w:val="es-ES" w:eastAsia="es-MX"/>
        </w:rPr>
        <w:t xml:space="preserve"> colombianas con mínimo un (1) año de existencia. El artículo 2.2.1.2.4.2.4, parágrafo 3, del Decreto 1082 de 2015 dispone que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37288069">
        <w:rPr>
          <w:rFonts w:ascii="Verdana" w:eastAsia="Calibri" w:hAnsi="Verdana" w:cs="Arial"/>
          <w:lang w:val="es-ES" w:eastAsia="es-MX"/>
        </w:rPr>
        <w:t>Mipyme</w:t>
      </w:r>
      <w:proofErr w:type="spellEnd"/>
      <w:r w:rsidRPr="37288069">
        <w:rPr>
          <w:rFonts w:ascii="Verdana" w:eastAsia="Calibri" w:hAnsi="Verdana" w:cs="Arial"/>
          <w:lang w:val="es-ES" w:eastAsia="es-MX"/>
        </w:rPr>
        <w:t xml:space="preserve"> o de proponentes plurales integrados únicamente por </w:t>
      </w:r>
      <w:proofErr w:type="spellStart"/>
      <w:r w:rsidRPr="37288069">
        <w:rPr>
          <w:rFonts w:ascii="Verdana" w:eastAsia="Calibri" w:hAnsi="Verdana" w:cs="Arial"/>
          <w:lang w:val="es-ES" w:eastAsia="es-MX"/>
        </w:rPr>
        <w:t>Mipyme</w:t>
      </w:r>
      <w:proofErr w:type="spellEnd"/>
      <w:r w:rsidRPr="37288069">
        <w:rPr>
          <w:rFonts w:ascii="Verdana" w:eastAsia="Calibri" w:hAnsi="Verdana" w:cs="Arial"/>
          <w:lang w:val="es-ES" w:eastAsia="es-MX"/>
        </w:rPr>
        <w:t xml:space="preserve">”. </w:t>
      </w:r>
    </w:p>
    <w:p w14:paraId="2C44396F" w14:textId="77777777" w:rsidR="00E74941" w:rsidRPr="00E74941" w:rsidRDefault="00E74941" w:rsidP="00E74941">
      <w:pPr>
        <w:spacing w:line="276" w:lineRule="auto"/>
        <w:ind w:firstLine="360"/>
        <w:jc w:val="both"/>
        <w:rPr>
          <w:rFonts w:ascii="Verdana" w:eastAsia="Calibri" w:hAnsi="Verdana" w:cs="Arial"/>
          <w:lang w:val="es-ES_tradnl" w:eastAsia="es-MX"/>
        </w:rPr>
      </w:pPr>
      <w:r w:rsidRPr="00E74941">
        <w:rPr>
          <w:rFonts w:ascii="Verdana" w:eastAsia="Calibri" w:hAnsi="Verdana" w:cs="Arial"/>
          <w:lang w:val="es-ES_tradnl" w:eastAsia="es-MX"/>
        </w:rPr>
        <w:t>Por lo demás, en lo que respecta a la presentación de las solicitudes, el numeral 2 de</w:t>
      </w:r>
      <w:r w:rsidRPr="00E74941">
        <w:rPr>
          <w:rFonts w:ascii="Verdana" w:eastAsia="Calibri" w:hAnsi="Verdana" w:cs="Arial"/>
          <w:lang w:eastAsia="es-MX"/>
        </w:rPr>
        <w:t>l artículo 2.2.1.2.4.2.2 del Decreto 1082 de 2015</w:t>
      </w:r>
      <w:r w:rsidRPr="00E74941">
        <w:rPr>
          <w:rFonts w:ascii="Verdana" w:eastAsia="Calibri" w:hAnsi="Verdana" w:cs="Arial"/>
          <w:lang w:val="es-ES_tradnl" w:eastAsia="es-MX"/>
        </w:rPr>
        <w:t xml:space="preserve"> no impide que, posteriormente, las dos (2) empresas formen un proponente plural. De hecho, si ambas solicitaron la limitación, pueden presentarse en forma individual o conjunta. Incluso, las dos (2) pueden competir entre sí formando un consorcio o una unión temporal con otras </w:t>
      </w:r>
      <w:proofErr w:type="spellStart"/>
      <w:r w:rsidRPr="00E74941">
        <w:rPr>
          <w:rFonts w:ascii="Verdana" w:eastAsia="Calibri" w:hAnsi="Verdana" w:cs="Arial"/>
          <w:lang w:val="es-ES_tradnl" w:eastAsia="es-MX"/>
        </w:rPr>
        <w:t>Mipyme</w:t>
      </w:r>
      <w:proofErr w:type="spellEnd"/>
      <w:r w:rsidRPr="00E74941">
        <w:rPr>
          <w:rFonts w:ascii="Verdana" w:eastAsia="Calibri" w:hAnsi="Verdana" w:cs="Arial"/>
          <w:lang w:val="es-ES_tradnl" w:eastAsia="es-MX"/>
        </w:rPr>
        <w:t xml:space="preserve"> colombianas con mínimo un (1) año de existencia, aunque estas últimas no hayan solicitado la limitación. En otras palabras, después de que la convocatoria haya quedado limitada, las </w:t>
      </w:r>
      <w:proofErr w:type="spellStart"/>
      <w:r w:rsidRPr="00E74941">
        <w:rPr>
          <w:rFonts w:ascii="Verdana" w:eastAsia="Calibri" w:hAnsi="Verdana" w:cs="Arial"/>
          <w:lang w:val="es-ES_tradnl" w:eastAsia="es-MX"/>
        </w:rPr>
        <w:t>Mipyme</w:t>
      </w:r>
      <w:proofErr w:type="spellEnd"/>
      <w:r w:rsidRPr="00E74941">
        <w:rPr>
          <w:rFonts w:ascii="Verdana" w:eastAsia="Calibri" w:hAnsi="Verdana" w:cs="Arial"/>
          <w:lang w:val="es-ES_tradnl" w:eastAsia="es-MX"/>
        </w:rPr>
        <w:t xml:space="preserve"> son libres para escoger alguna de estas opciones para presentarse al proceso de selección, pues la norma no exige alguna en específico. En esta medida, las </w:t>
      </w:r>
      <w:proofErr w:type="spellStart"/>
      <w:r w:rsidRPr="00E74941">
        <w:rPr>
          <w:rFonts w:ascii="Verdana" w:eastAsia="Calibri" w:hAnsi="Verdana" w:cs="Arial"/>
          <w:lang w:val="es-ES_tradnl" w:eastAsia="es-MX"/>
        </w:rPr>
        <w:t>Mipyme</w:t>
      </w:r>
      <w:proofErr w:type="spellEnd"/>
      <w:r w:rsidRPr="00E74941">
        <w:rPr>
          <w:rFonts w:ascii="Verdana" w:eastAsia="Calibri" w:hAnsi="Verdana" w:cs="Arial"/>
          <w:lang w:val="es-ES_tradnl" w:eastAsia="es-MX"/>
        </w:rPr>
        <w:t xml:space="preserve"> colombianas con mínimo un (1) año de existencia pueden participar en las convocatorias, independientemente de hayan solicitado o no la limitación.</w:t>
      </w:r>
    </w:p>
    <w:p w14:paraId="505C148A" w14:textId="77777777" w:rsidR="00E74941" w:rsidRPr="00E74941" w:rsidRDefault="00E74941" w:rsidP="00E74941">
      <w:pPr>
        <w:widowControl w:val="0"/>
        <w:autoSpaceDE w:val="0"/>
        <w:autoSpaceDN w:val="0"/>
        <w:spacing w:after="0" w:line="276" w:lineRule="auto"/>
        <w:jc w:val="both"/>
        <w:rPr>
          <w:rFonts w:ascii="Verdana" w:eastAsia="Aptos" w:hAnsi="Verdana" w:cs="Arial"/>
          <w:color w:val="000000"/>
        </w:rPr>
      </w:pPr>
    </w:p>
    <w:p w14:paraId="778CDB54" w14:textId="77777777" w:rsidR="00E74941" w:rsidRPr="00E74941" w:rsidRDefault="00E74941" w:rsidP="00E74941">
      <w:pPr>
        <w:numPr>
          <w:ilvl w:val="0"/>
          <w:numId w:val="5"/>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E74941">
        <w:rPr>
          <w:rFonts w:ascii="Verdana" w:eastAsia="Century Gothic" w:hAnsi="Verdana" w:cs="Century Gothic"/>
          <w:b/>
          <w:bCs/>
          <w:color w:val="000000"/>
          <w:lang w:val="es-ES"/>
        </w:rPr>
        <w:t>Referencias normativas, jurisprudenciales y otras fuentes:</w:t>
      </w:r>
    </w:p>
    <w:p w14:paraId="71C7269D" w14:textId="77777777" w:rsidR="00E74941" w:rsidRPr="00E74941" w:rsidRDefault="00E74941" w:rsidP="00E74941">
      <w:pPr>
        <w:widowControl w:val="0"/>
        <w:autoSpaceDE w:val="0"/>
        <w:autoSpaceDN w:val="0"/>
        <w:spacing w:after="0" w:line="276" w:lineRule="auto"/>
        <w:jc w:val="both"/>
        <w:rPr>
          <w:rFonts w:ascii="Verdana" w:eastAsia="Aptos" w:hAnsi="Verdana" w:cs="Arial"/>
          <w:color w:val="000000"/>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E74941" w:rsidRPr="00E74941" w14:paraId="2B6054ED" w14:textId="77777777" w:rsidTr="00CE65EA">
        <w:trPr>
          <w:trHeight w:val="870"/>
        </w:trPr>
        <w:tc>
          <w:tcPr>
            <w:tcW w:w="8647" w:type="dxa"/>
            <w:tcBorders>
              <w:top w:val="dotted" w:sz="4" w:space="0" w:color="auto"/>
              <w:left w:val="dotted" w:sz="4" w:space="0" w:color="auto"/>
              <w:bottom w:val="dotted" w:sz="4" w:space="0" w:color="auto"/>
              <w:right w:val="dotted" w:sz="4" w:space="0" w:color="auto"/>
            </w:tcBorders>
          </w:tcPr>
          <w:p w14:paraId="0021540B" w14:textId="77777777" w:rsidR="00E74941" w:rsidRPr="00E74941" w:rsidRDefault="00E74941" w:rsidP="00E74941">
            <w:pPr>
              <w:numPr>
                <w:ilvl w:val="0"/>
                <w:numId w:val="3"/>
              </w:numPr>
              <w:spacing w:line="256" w:lineRule="auto"/>
              <w:jc w:val="both"/>
              <w:rPr>
                <w:rFonts w:ascii="Verdana" w:eastAsia="Times New Roman" w:hAnsi="Verdana" w:cs="Arial"/>
                <w:bCs/>
                <w:lang w:val="es-ES" w:eastAsia="es-ES_tradnl"/>
              </w:rPr>
            </w:pPr>
            <w:r w:rsidRPr="00E74941">
              <w:rPr>
                <w:rFonts w:ascii="Verdana" w:eastAsia="Times New Roman" w:hAnsi="Verdana" w:cs="Arial"/>
                <w:lang w:val="es-ES_tradnl" w:eastAsia="es-ES_tradnl"/>
              </w:rPr>
              <w:t>Ley 80 de 1993: Artículos 6 y 7.</w:t>
            </w:r>
          </w:p>
          <w:p w14:paraId="19A1D8FB" w14:textId="77777777" w:rsidR="00E74941" w:rsidRPr="00E74941" w:rsidRDefault="00E74941" w:rsidP="00E74941">
            <w:pPr>
              <w:numPr>
                <w:ilvl w:val="0"/>
                <w:numId w:val="3"/>
              </w:numPr>
              <w:spacing w:line="256" w:lineRule="auto"/>
              <w:jc w:val="both"/>
              <w:rPr>
                <w:rFonts w:ascii="Verdana" w:eastAsia="Times New Roman" w:hAnsi="Verdana" w:cs="Arial"/>
                <w:bCs/>
                <w:lang w:val="es-ES" w:eastAsia="es-ES_tradnl"/>
              </w:rPr>
            </w:pPr>
            <w:r w:rsidRPr="00E74941">
              <w:rPr>
                <w:rFonts w:ascii="Verdana" w:eastAsia="Times New Roman" w:hAnsi="Verdana" w:cs="Arial"/>
                <w:lang w:val="es-ES_tradnl" w:eastAsia="es-ES_tradnl"/>
              </w:rPr>
              <w:t>Ley 2160 de 2021: Artículos 1 y 3.</w:t>
            </w:r>
          </w:p>
          <w:p w14:paraId="710DC463" w14:textId="77777777" w:rsidR="00E74941" w:rsidRPr="00E74941" w:rsidRDefault="00E74941" w:rsidP="00E74941">
            <w:pPr>
              <w:numPr>
                <w:ilvl w:val="0"/>
                <w:numId w:val="3"/>
              </w:numPr>
              <w:spacing w:line="256" w:lineRule="auto"/>
              <w:jc w:val="both"/>
              <w:rPr>
                <w:rFonts w:ascii="Verdana" w:eastAsia="Times New Roman" w:hAnsi="Verdana" w:cs="Arial"/>
                <w:bCs/>
                <w:lang w:val="es-ES" w:eastAsia="es-ES_tradnl"/>
              </w:rPr>
            </w:pPr>
            <w:r w:rsidRPr="00E74941">
              <w:rPr>
                <w:rFonts w:ascii="Verdana" w:eastAsia="Times New Roman" w:hAnsi="Verdana" w:cs="Arial"/>
                <w:lang w:val="es-ES_tradnl" w:eastAsia="es-ES_tradnl"/>
              </w:rPr>
              <w:t>Ley 1150 de 2007: Articulo 12.</w:t>
            </w:r>
          </w:p>
          <w:p w14:paraId="383402CE" w14:textId="77777777" w:rsidR="00E74941" w:rsidRPr="00E74941" w:rsidRDefault="00E74941" w:rsidP="00E74941">
            <w:pPr>
              <w:numPr>
                <w:ilvl w:val="0"/>
                <w:numId w:val="3"/>
              </w:numPr>
              <w:spacing w:line="256" w:lineRule="auto"/>
              <w:jc w:val="both"/>
              <w:rPr>
                <w:rFonts w:ascii="Verdana" w:eastAsia="Times New Roman" w:hAnsi="Verdana" w:cs="Arial"/>
                <w:bCs/>
                <w:lang w:val="es-ES" w:eastAsia="es-ES_tradnl"/>
              </w:rPr>
            </w:pPr>
            <w:r w:rsidRPr="00E74941">
              <w:rPr>
                <w:rFonts w:ascii="Verdana" w:eastAsia="Times New Roman" w:hAnsi="Verdana" w:cs="Arial"/>
                <w:lang w:val="es-ES_tradnl" w:eastAsia="es-ES_tradnl"/>
              </w:rPr>
              <w:t>Código de comercio colombiano; Articulo 99.</w:t>
            </w:r>
          </w:p>
          <w:p w14:paraId="3E5C7A05" w14:textId="77777777" w:rsidR="00E74941" w:rsidRPr="00E74941" w:rsidRDefault="00E74941" w:rsidP="00E74941">
            <w:pPr>
              <w:numPr>
                <w:ilvl w:val="0"/>
                <w:numId w:val="3"/>
              </w:numPr>
              <w:spacing w:line="256" w:lineRule="auto"/>
              <w:jc w:val="both"/>
              <w:rPr>
                <w:rFonts w:ascii="Verdana" w:eastAsia="Times New Roman" w:hAnsi="Verdana" w:cs="Arial"/>
                <w:bCs/>
                <w:lang w:val="es-ES" w:eastAsia="es-ES_tradnl"/>
              </w:rPr>
            </w:pPr>
            <w:r w:rsidRPr="00E74941">
              <w:rPr>
                <w:rFonts w:ascii="Verdana" w:eastAsia="Times New Roman" w:hAnsi="Verdana" w:cs="Arial"/>
                <w:lang w:val="es-ES_tradnl" w:eastAsia="es-ES_tradnl"/>
              </w:rPr>
              <w:t>Código civil colombiano: Artículos 1502, 1503, 1504.</w:t>
            </w:r>
          </w:p>
          <w:p w14:paraId="7CC1DBD8" w14:textId="77777777" w:rsidR="00E74941" w:rsidRPr="00E74941" w:rsidRDefault="00E74941" w:rsidP="00E74941">
            <w:pPr>
              <w:numPr>
                <w:ilvl w:val="0"/>
                <w:numId w:val="3"/>
              </w:numPr>
              <w:spacing w:line="256" w:lineRule="auto"/>
              <w:jc w:val="both"/>
              <w:rPr>
                <w:rFonts w:ascii="Verdana" w:eastAsia="Times New Roman" w:hAnsi="Verdana" w:cs="Arial"/>
                <w:bCs/>
                <w:lang w:val="es-ES" w:eastAsia="es-ES_tradnl"/>
              </w:rPr>
            </w:pPr>
            <w:r w:rsidRPr="00E74941">
              <w:rPr>
                <w:rFonts w:ascii="Verdana" w:eastAsia="Times New Roman" w:hAnsi="Verdana" w:cs="Arial"/>
                <w:lang w:val="es-ES_tradnl" w:eastAsia="es-ES_tradnl"/>
              </w:rPr>
              <w:t>Decreto 1082 de 2015: Artículos 2.2.1.2.4.2.2, 2.2.1.2.4.2.4 parágrafo 3.</w:t>
            </w:r>
          </w:p>
          <w:p w14:paraId="341BD8FE" w14:textId="77777777" w:rsidR="00E74941" w:rsidRPr="00E74941" w:rsidRDefault="00E74941" w:rsidP="00E74941">
            <w:pPr>
              <w:numPr>
                <w:ilvl w:val="0"/>
                <w:numId w:val="3"/>
              </w:numPr>
              <w:spacing w:line="256" w:lineRule="auto"/>
              <w:jc w:val="both"/>
              <w:rPr>
                <w:rFonts w:ascii="Verdana" w:eastAsia="Calibri" w:hAnsi="Verdana" w:cs="Arial"/>
                <w:color w:val="000000"/>
              </w:rPr>
            </w:pPr>
            <w:r w:rsidRPr="00E74941">
              <w:rPr>
                <w:rFonts w:ascii="Verdana" w:eastAsia="Calibri" w:hAnsi="Verdana" w:cs="Arial"/>
                <w:color w:val="000000"/>
              </w:rPr>
              <w:t>Decreto 1860 de 2021.</w:t>
            </w:r>
          </w:p>
        </w:tc>
      </w:tr>
    </w:tbl>
    <w:p w14:paraId="29A6DAF8" w14:textId="77777777" w:rsidR="00E74941" w:rsidRPr="00E74941" w:rsidRDefault="00E74941" w:rsidP="00E74941">
      <w:pPr>
        <w:widowControl w:val="0"/>
        <w:autoSpaceDE w:val="0"/>
        <w:autoSpaceDN w:val="0"/>
        <w:spacing w:after="0" w:line="276" w:lineRule="auto"/>
        <w:jc w:val="both"/>
        <w:rPr>
          <w:rFonts w:ascii="Verdana" w:eastAsia="Aptos" w:hAnsi="Verdana" w:cs="Arial"/>
          <w:color w:val="000000"/>
        </w:rPr>
      </w:pPr>
    </w:p>
    <w:p w14:paraId="012B31E4" w14:textId="77777777" w:rsidR="00E74941" w:rsidRPr="00E74941" w:rsidRDefault="00E74941" w:rsidP="00E74941">
      <w:pPr>
        <w:numPr>
          <w:ilvl w:val="0"/>
          <w:numId w:val="5"/>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E74941">
        <w:rPr>
          <w:rFonts w:ascii="Verdana" w:eastAsia="Century Gothic" w:hAnsi="Verdana" w:cs="Century Gothic"/>
          <w:b/>
          <w:bCs/>
          <w:color w:val="000000"/>
          <w:lang w:val="es-ES"/>
        </w:rPr>
        <w:t>Doctrina de la Agencia Nacional de Contratación Pública:</w:t>
      </w:r>
    </w:p>
    <w:p w14:paraId="7125AA7A" w14:textId="77777777" w:rsidR="00E74941" w:rsidRPr="00E74941" w:rsidRDefault="00E74941" w:rsidP="00E74941">
      <w:pPr>
        <w:widowControl w:val="0"/>
        <w:autoSpaceDE w:val="0"/>
        <w:autoSpaceDN w:val="0"/>
        <w:spacing w:after="0" w:line="276" w:lineRule="auto"/>
        <w:jc w:val="both"/>
        <w:rPr>
          <w:rFonts w:ascii="Verdana" w:eastAsia="Aptos" w:hAnsi="Verdana" w:cs="Arial"/>
          <w:color w:val="000000"/>
        </w:rPr>
      </w:pPr>
    </w:p>
    <w:p w14:paraId="4D0A026E" w14:textId="77777777" w:rsidR="00E74941" w:rsidRPr="00E74941" w:rsidRDefault="00E74941" w:rsidP="00E74941">
      <w:pPr>
        <w:widowControl w:val="0"/>
        <w:autoSpaceDE w:val="0"/>
        <w:autoSpaceDN w:val="0"/>
        <w:spacing w:after="0" w:line="276" w:lineRule="auto"/>
        <w:jc w:val="both"/>
        <w:rPr>
          <w:rFonts w:ascii="Verdana" w:eastAsia="Times New Roman" w:hAnsi="Verdana" w:cs="Arial"/>
          <w:shd w:val="clear" w:color="auto" w:fill="FFFFFF"/>
          <w:lang w:val="es-ES"/>
        </w:rPr>
      </w:pPr>
      <w:r w:rsidRPr="00E74941">
        <w:rPr>
          <w:rFonts w:ascii="Verdana" w:eastAsia="Times New Roman" w:hAnsi="Verdana" w:cs="Arial"/>
          <w:shd w:val="clear" w:color="auto" w:fill="FFFFFF"/>
          <w:lang w:val="es-ES"/>
        </w:rPr>
        <w:t xml:space="preserve">La Agencia Nacional de Contratación Pública – Colombia Compra Eficiente explicó la naturaleza jurídica de los consorcios y las uniones temporales en los Conceptos 4201913000007643 del 26 de diciembre de 2019, C-343 del 17 de </w:t>
      </w:r>
      <w:r w:rsidRPr="00E74941">
        <w:rPr>
          <w:rFonts w:ascii="Verdana" w:eastAsia="Times New Roman" w:hAnsi="Verdana" w:cs="Arial"/>
          <w:shd w:val="clear" w:color="auto" w:fill="FFFFFF"/>
          <w:lang w:val="es-ES"/>
        </w:rPr>
        <w:lastRenderedPageBreak/>
        <w:t xml:space="preserve">junio de 2020, C-518 del 9 de septiembre de 2020, C-614 del 5 de octubre de 2022, C-882 del 21 de diciembre de 2022 y C-172 del 6 de junio de 2023. También se ha referido a la prohibición de trato discriminatorio en los Conceptos 2201913000006511 del 3 de septiembre de 2019 y C-335 del 26 de septiembre de 2023, además de analizar especialmente la actividad de las sociedades extranjeras en Colombia en el Concepto C-685 del 19 de octubre de 2022. </w:t>
      </w:r>
    </w:p>
    <w:p w14:paraId="140C21F0" w14:textId="77777777" w:rsidR="00E74941" w:rsidRPr="00E74941" w:rsidRDefault="00E74941" w:rsidP="00E74941">
      <w:pPr>
        <w:widowControl w:val="0"/>
        <w:autoSpaceDE w:val="0"/>
        <w:autoSpaceDN w:val="0"/>
        <w:spacing w:after="0" w:line="276" w:lineRule="auto"/>
        <w:jc w:val="both"/>
        <w:rPr>
          <w:rFonts w:ascii="Verdana" w:eastAsia="Times New Roman" w:hAnsi="Verdana" w:cs="Arial"/>
          <w:shd w:val="clear" w:color="auto" w:fill="FFFFFF"/>
        </w:rPr>
      </w:pPr>
      <w:r w:rsidRPr="00E74941">
        <w:rPr>
          <w:rFonts w:ascii="Verdana" w:eastAsia="Times New Roman" w:hAnsi="Verdana" w:cs="Arial"/>
          <w:shd w:val="clear" w:color="auto" w:fill="FFFFFF"/>
          <w:lang w:val="es-ES"/>
        </w:rPr>
        <w:t xml:space="preserve">Por lo demás, </w:t>
      </w:r>
      <w:r w:rsidRPr="00E74941">
        <w:rPr>
          <w:rFonts w:ascii="Verdana" w:eastAsia="Times New Roman" w:hAnsi="Verdana" w:cs="Arial"/>
          <w:shd w:val="clear" w:color="auto" w:fill="FFFFFF"/>
          <w:lang w:val="es-ES_tradnl"/>
        </w:rPr>
        <w:t xml:space="preserve">en los Conceptos </w:t>
      </w:r>
      <w:r w:rsidRPr="00E74941">
        <w:rPr>
          <w:rFonts w:ascii="Verdana" w:eastAsia="Times New Roman" w:hAnsi="Verdana" w:cs="Arial"/>
          <w:shd w:val="clear" w:color="auto" w:fill="FFFFFF"/>
        </w:rPr>
        <w:t xml:space="preserve">216130003241 el 30 de junio de 2016, </w:t>
      </w:r>
      <w:r w:rsidRPr="00E74941">
        <w:rPr>
          <w:rFonts w:ascii="Verdana" w:eastAsia="Times New Roman" w:hAnsi="Verdana" w:cs="Arial"/>
          <w:shd w:val="clear" w:color="auto" w:fill="FFFFFF"/>
          <w:lang w:val="es-ES_tradnl"/>
        </w:rPr>
        <w:t xml:space="preserve">4201714000006924 del 29 de enero de 2018, </w:t>
      </w:r>
      <w:r w:rsidRPr="00E74941">
        <w:rPr>
          <w:rFonts w:ascii="Verdana" w:eastAsia="Times New Roman" w:hAnsi="Verdana" w:cs="Arial"/>
          <w:shd w:val="clear" w:color="auto" w:fill="FFFFFF"/>
        </w:rPr>
        <w:t>2201813000008184 del 7 de septiembre de 2019,</w:t>
      </w:r>
      <w:r w:rsidRPr="00E74941">
        <w:rPr>
          <w:rFonts w:ascii="Verdana" w:eastAsia="Times New Roman" w:hAnsi="Verdana" w:cs="Arial"/>
          <w:shd w:val="clear" w:color="auto" w:fill="FFFFFF"/>
          <w:lang w:val="es-ES_tradnl"/>
        </w:rPr>
        <w:t xml:space="preserve"> C-045 del 17 de marzo de 2020, C-162 del 16 de abril de 2020, C-214 del 21 de abril de 2020, C-258 del 17 de abril de 2020, C-364 del 4 de junio de 2020, C-413 del 30 de junio de 2020, C-492 del 24 de julio de 2020, C-523 del 11 de agosto de 2020, C-610 del 14 de septiembre de 2020, C-700 de 1 de diciembre de 2020, C-705 del 7 de diciembre de 2020, C-005 del 16 de febrero de 2021, C-037 del 26 de febrero de 2021, C-035 del 02 de marzo de 2021, C-126 del 06 de abril de 2021, C-127 del 06 de abril de 2021, C-144 del 07 de abril de 2021, C-141 del 08 de abril de 2021, C-163 y C-164 del 19 de abril de 2021, C-242 del 25 de mayo de 2021, C-438 del 27 de septiembre de 2021, C-496 del 14 de septiembre de 2021, C-573 de 13 de octubre de 2021, C-001 del 17 de febrero de 2022, C-041 del 2 de marzo de 2022, C-293 del 12 de mayo de 2022, C-340 del 26 de mayo de 2022, C-395 del 17 de junio de 2022, C-539 del 29 de agosto de 2022, C-089 del 28 de abril de 2023, C-159 del 22 de junio de 2023, C-206 del 20 de junio de 2023, C-207 del 20 de junio de 2023 y C-048 de abril de 2024, se pronunció sobre las convocatorias limitadas</w:t>
      </w:r>
      <w:r w:rsidRPr="00E74941">
        <w:rPr>
          <w:rFonts w:ascii="Verdana" w:eastAsia="Times New Roman" w:hAnsi="Verdana" w:cs="Arial"/>
          <w:shd w:val="clear" w:color="auto" w:fill="FFFFFF"/>
          <w:lang w:eastAsia="es-ES_tradnl"/>
        </w:rPr>
        <w:t>, entre otros</w:t>
      </w:r>
      <w:r w:rsidRPr="00E74941">
        <w:rPr>
          <w:rFonts w:ascii="Verdana" w:eastAsia="Times New Roman" w:hAnsi="Verdana" w:cs="Arial"/>
          <w:color w:val="7030A0"/>
          <w:shd w:val="clear" w:color="auto" w:fill="FFFFFF"/>
          <w:lang w:val="es-ES"/>
        </w:rPr>
        <w:t xml:space="preserve">. </w:t>
      </w:r>
      <w:r w:rsidRPr="00E74941">
        <w:rPr>
          <w:rFonts w:ascii="Verdana" w:eastAsia="Times New Roman"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ooltip="Dirección URL original: https://relatoria.colombiacompra.gov.co/. Haga clic o pulse si confía en este vínculo." w:history="1">
        <w:r w:rsidRPr="00E74941">
          <w:rPr>
            <w:rFonts w:ascii="Verdana" w:eastAsia="Times New Roman" w:hAnsi="Verdana" w:cs="Arial"/>
            <w:color w:val="0000FF"/>
            <w:u w:val="single"/>
            <w:shd w:val="clear" w:color="auto" w:fill="FFFFFF"/>
          </w:rPr>
          <w:t>https://relatoria.colombiacompra.gov.co/</w:t>
        </w:r>
      </w:hyperlink>
      <w:r w:rsidRPr="00E74941">
        <w:rPr>
          <w:rFonts w:ascii="Verdana" w:eastAsia="Times New Roman" w:hAnsi="Verdana" w:cs="Arial"/>
          <w:shd w:val="clear" w:color="auto" w:fill="FFFFFF"/>
        </w:rPr>
        <w:t xml:space="preserve">  </w:t>
      </w:r>
    </w:p>
    <w:p w14:paraId="307E9DD9" w14:textId="77777777" w:rsidR="00E74941" w:rsidRPr="00E74941" w:rsidRDefault="00E74941" w:rsidP="00E74941">
      <w:pPr>
        <w:widowControl w:val="0"/>
        <w:autoSpaceDE w:val="0"/>
        <w:autoSpaceDN w:val="0"/>
        <w:spacing w:after="0" w:line="276" w:lineRule="auto"/>
        <w:jc w:val="both"/>
        <w:rPr>
          <w:rFonts w:ascii="Verdana" w:eastAsia="Times New Roman" w:hAnsi="Verdana" w:cs="Arial"/>
          <w:shd w:val="clear" w:color="auto" w:fill="FFFFFF"/>
        </w:rPr>
      </w:pPr>
    </w:p>
    <w:p w14:paraId="047A6760" w14:textId="77777777" w:rsidR="00E74941" w:rsidRPr="00E74941" w:rsidRDefault="00E74941" w:rsidP="00E74941">
      <w:pPr>
        <w:widowControl w:val="0"/>
        <w:autoSpaceDE w:val="0"/>
        <w:autoSpaceDN w:val="0"/>
        <w:spacing w:after="0" w:line="276" w:lineRule="auto"/>
        <w:jc w:val="both"/>
        <w:rPr>
          <w:rFonts w:ascii="Verdana" w:eastAsia="Times New Roman" w:hAnsi="Verdana" w:cs="Arial"/>
          <w:color w:val="000000"/>
          <w:shd w:val="clear" w:color="auto" w:fill="FFFFFF"/>
          <w:lang w:eastAsia="es-MX"/>
        </w:rPr>
      </w:pPr>
      <w:r w:rsidRPr="00E74941">
        <w:rPr>
          <w:rFonts w:ascii="Verdana" w:eastAsia="Times New Roman" w:hAnsi="Verdana" w:cs="Arial"/>
          <w:color w:val="000000"/>
          <w:shd w:val="clear" w:color="auto" w:fill="FFFFFF"/>
          <w:lang w:eastAsia="es-MX"/>
        </w:rPr>
        <w:t xml:space="preserve">Te </w:t>
      </w:r>
      <w:proofErr w:type="gramStart"/>
      <w:r w:rsidRPr="00E74941">
        <w:rPr>
          <w:rFonts w:ascii="Verdana" w:eastAsia="Times New Roman" w:hAnsi="Verdana" w:cs="Arial"/>
          <w:color w:val="000000"/>
          <w:shd w:val="clear" w:color="auto" w:fill="FFFFFF"/>
          <w:lang w:eastAsia="es-MX"/>
        </w:rPr>
        <w:t>invitamos  a</w:t>
      </w:r>
      <w:proofErr w:type="gramEnd"/>
      <w:r w:rsidRPr="00E74941">
        <w:rPr>
          <w:rFonts w:ascii="Verdana" w:eastAsia="Times New Roman" w:hAnsi="Verdana" w:cs="Arial"/>
          <w:color w:val="000000"/>
          <w:shd w:val="clear" w:color="auto" w:fill="FFFFFF"/>
          <w:lang w:eastAsia="es-MX"/>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tgtFrame="_blank" w:tooltip="Dirección URL original: https://www.colombiacompra.gov.co/sala-de-prensa/boletin-digital/boletin-de-relatoria-2024-iv. Haga clic o pulse si confía en este vínculo." w:history="1">
        <w:r w:rsidRPr="00E74941">
          <w:rPr>
            <w:rFonts w:ascii="Verdana" w:eastAsia="Times New Roman" w:hAnsi="Verdana" w:cs="Arial"/>
            <w:color w:val="467886"/>
            <w:u w:val="single"/>
            <w:shd w:val="clear" w:color="auto" w:fill="FFFFFF"/>
            <w:lang w:eastAsia="es-MX"/>
          </w:rPr>
          <w:t>BOLETÍN DE RELATORÍA 2024 – IV | Colombia Compra Eficiente | Agencia Nacional de Contratación Pública</w:t>
        </w:r>
      </w:hyperlink>
    </w:p>
    <w:p w14:paraId="66DC83AC" w14:textId="77777777" w:rsidR="00E74941" w:rsidRPr="00E74941" w:rsidRDefault="00E74941" w:rsidP="00E74941">
      <w:pPr>
        <w:spacing w:after="0" w:line="240" w:lineRule="auto"/>
        <w:jc w:val="both"/>
        <w:rPr>
          <w:rFonts w:ascii="Aptos" w:eastAsia="Aptos" w:hAnsi="Aptos" w:cs="Arial"/>
          <w:shd w:val="clear" w:color="auto" w:fill="FFFFFF"/>
        </w:rPr>
      </w:pPr>
    </w:p>
    <w:p w14:paraId="34B4475C" w14:textId="77777777" w:rsidR="00E74941" w:rsidRPr="00E74941" w:rsidRDefault="00E74941" w:rsidP="00E74941">
      <w:pPr>
        <w:spacing w:after="0" w:line="240" w:lineRule="auto"/>
        <w:jc w:val="both"/>
        <w:rPr>
          <w:rFonts w:ascii="Verdana" w:eastAsia="Aptos" w:hAnsi="Verdana" w:cs="Times New Roman"/>
        </w:rPr>
      </w:pPr>
      <w:r w:rsidRPr="00E74941">
        <w:rPr>
          <w:rFonts w:ascii="Verdana" w:eastAsia="Aptos" w:hAnsi="Verdana" w:cs="Times New Roman"/>
        </w:rPr>
        <w:t xml:space="preserve">información institucional: </w:t>
      </w:r>
    </w:p>
    <w:p w14:paraId="03226127" w14:textId="77777777" w:rsidR="00E74941" w:rsidRPr="00E74941" w:rsidRDefault="00E74941" w:rsidP="00E74941">
      <w:pPr>
        <w:spacing w:after="0" w:line="240" w:lineRule="auto"/>
        <w:jc w:val="both"/>
        <w:rPr>
          <w:rFonts w:ascii="Verdana" w:eastAsia="Aptos" w:hAnsi="Verdana" w:cs="Times New Roman"/>
        </w:rPr>
      </w:pPr>
    </w:p>
    <w:p w14:paraId="58F5C8A4" w14:textId="77777777" w:rsidR="00E74941" w:rsidRPr="00E74941" w:rsidRDefault="00E74941" w:rsidP="00E74941">
      <w:pPr>
        <w:spacing w:after="0" w:line="240" w:lineRule="auto"/>
        <w:jc w:val="both"/>
        <w:rPr>
          <w:rFonts w:ascii="Verdana" w:eastAsia="Aptos" w:hAnsi="Verdana" w:cs="Times New Roman"/>
        </w:rPr>
      </w:pPr>
      <w:r w:rsidRPr="00E74941">
        <w:rPr>
          <w:rFonts w:ascii="Verdana" w:eastAsia="Aptos" w:hAnsi="Verdana" w:cs="Times New Roman"/>
        </w:rPr>
        <w:t xml:space="preserve">Twitter: </w:t>
      </w:r>
      <w:r w:rsidRPr="00E74941">
        <w:rPr>
          <w:rFonts w:ascii="Verdana" w:eastAsia="Aptos" w:hAnsi="Verdana" w:cs="Times New Roman"/>
          <w:color w:val="156082"/>
          <w:u w:val="single"/>
        </w:rPr>
        <w:t>@colombiacompra</w:t>
      </w:r>
      <w:r w:rsidRPr="00E74941">
        <w:rPr>
          <w:rFonts w:ascii="Verdana" w:eastAsia="Aptos" w:hAnsi="Verdana" w:cs="Times New Roman"/>
          <w:color w:val="156082"/>
        </w:rPr>
        <w:t xml:space="preserve"> </w:t>
      </w:r>
    </w:p>
    <w:p w14:paraId="681F339D" w14:textId="77777777" w:rsidR="00E74941" w:rsidRPr="00E74941" w:rsidRDefault="00E74941" w:rsidP="00E74941">
      <w:pPr>
        <w:spacing w:after="0" w:line="240" w:lineRule="auto"/>
        <w:jc w:val="both"/>
        <w:rPr>
          <w:rFonts w:ascii="Verdana" w:eastAsia="Aptos" w:hAnsi="Verdana" w:cs="Times New Roman"/>
        </w:rPr>
      </w:pPr>
      <w:r w:rsidRPr="00E74941">
        <w:rPr>
          <w:rFonts w:ascii="Verdana" w:eastAsia="Aptos" w:hAnsi="Verdana" w:cs="Times New Roman"/>
        </w:rPr>
        <w:t xml:space="preserve">Facebook: </w:t>
      </w:r>
      <w:proofErr w:type="spellStart"/>
      <w:r w:rsidRPr="00E74941">
        <w:rPr>
          <w:rFonts w:ascii="Verdana" w:eastAsia="Aptos" w:hAnsi="Verdana" w:cs="Times New Roman"/>
          <w:color w:val="156082"/>
          <w:u w:val="single"/>
        </w:rPr>
        <w:t>ColombiaCompraEficiente</w:t>
      </w:r>
      <w:proofErr w:type="spellEnd"/>
    </w:p>
    <w:p w14:paraId="100BFE6E" w14:textId="77777777" w:rsidR="00E74941" w:rsidRPr="00E74941" w:rsidRDefault="00E74941" w:rsidP="00E74941">
      <w:pPr>
        <w:spacing w:after="0" w:line="240" w:lineRule="auto"/>
        <w:jc w:val="both"/>
        <w:rPr>
          <w:rFonts w:ascii="Verdana" w:eastAsia="Aptos" w:hAnsi="Verdana" w:cs="Times New Roman"/>
        </w:rPr>
      </w:pPr>
      <w:r w:rsidRPr="00E74941">
        <w:rPr>
          <w:rFonts w:ascii="Verdana" w:eastAsia="Aptos" w:hAnsi="Verdana" w:cs="Times New Roman"/>
        </w:rPr>
        <w:t xml:space="preserve">LinkedIn: </w:t>
      </w:r>
      <w:r w:rsidRPr="00E74941">
        <w:rPr>
          <w:rFonts w:ascii="Verdana" w:eastAsia="Aptos" w:hAnsi="Verdana" w:cs="Times New Roman"/>
          <w:color w:val="156082"/>
          <w:u w:val="single"/>
        </w:rPr>
        <w:t>Agencia Nacional de Contratación Pública - Colombia Compra Eficiente</w:t>
      </w:r>
      <w:r w:rsidRPr="00E74941">
        <w:rPr>
          <w:rFonts w:ascii="Verdana" w:eastAsia="Aptos" w:hAnsi="Verdana" w:cs="Times New Roman"/>
          <w:color w:val="156082"/>
        </w:rPr>
        <w:t xml:space="preserve"> </w:t>
      </w:r>
      <w:r w:rsidRPr="00E74941">
        <w:rPr>
          <w:rFonts w:ascii="Verdana" w:eastAsia="Aptos" w:hAnsi="Verdana" w:cs="Times New Roman"/>
        </w:rPr>
        <w:t xml:space="preserve">Instagram: </w:t>
      </w:r>
      <w:r w:rsidRPr="00E74941">
        <w:rPr>
          <w:rFonts w:ascii="Verdana" w:eastAsia="Aptos" w:hAnsi="Verdana" w:cs="Times New Roman"/>
          <w:color w:val="156082"/>
          <w:u w:val="single"/>
        </w:rPr>
        <w:t>@colombiacompraeficiente_cce</w:t>
      </w:r>
    </w:p>
    <w:p w14:paraId="372C871F" w14:textId="77777777" w:rsidR="00E74941" w:rsidRPr="00E74941" w:rsidRDefault="00E74941" w:rsidP="00E74941">
      <w:pPr>
        <w:widowControl w:val="0"/>
        <w:autoSpaceDE w:val="0"/>
        <w:autoSpaceDN w:val="0"/>
        <w:spacing w:after="0" w:line="276" w:lineRule="auto"/>
        <w:jc w:val="both"/>
        <w:rPr>
          <w:rFonts w:ascii="Verdana" w:eastAsia="Aptos" w:hAnsi="Verdana" w:cs="Arial"/>
        </w:rPr>
      </w:pPr>
    </w:p>
    <w:p w14:paraId="42487CD7" w14:textId="77777777" w:rsidR="00E74941" w:rsidRPr="00E74941" w:rsidRDefault="00E74941" w:rsidP="00E74941">
      <w:pPr>
        <w:widowControl w:val="0"/>
        <w:autoSpaceDE w:val="0"/>
        <w:autoSpaceDN w:val="0"/>
        <w:spacing w:after="0" w:line="276" w:lineRule="auto"/>
        <w:jc w:val="both"/>
        <w:rPr>
          <w:rFonts w:ascii="Verdana" w:eastAsia="Aptos" w:hAnsi="Verdana" w:cs="Arial"/>
          <w:lang w:val="es-ES_tradnl"/>
        </w:rPr>
      </w:pPr>
      <w:r w:rsidRPr="00E74941">
        <w:rPr>
          <w:rFonts w:ascii="Verdana" w:eastAsia="Aptos" w:hAnsi="Verdana" w:cs="Arial"/>
        </w:rPr>
        <w:t xml:space="preserve">Este concepto tiene el alcance previsto en el artículo 28 del Código de Procedimiento Administrativo y de lo Contencioso Administrativo </w:t>
      </w:r>
      <w:r w:rsidRPr="00E74941">
        <w:rPr>
          <w:rFonts w:ascii="Verdana" w:eastAsia="Aptos" w:hAnsi="Verdana" w:cs="Arial"/>
          <w:lang w:val="es-ES_tradnl"/>
        </w:rPr>
        <w:t>y las expresiones aquí utilizadas con mayúscula inicial deben ser entendidas con el significado que les otorga el artículo 2.2.1.1.1.3.1. del Decreto 1082 de 2015.</w:t>
      </w:r>
    </w:p>
    <w:p w14:paraId="71EA1001" w14:textId="77777777" w:rsidR="00E74941" w:rsidRPr="00E74941" w:rsidRDefault="00E74941" w:rsidP="00E74941">
      <w:pPr>
        <w:spacing w:after="0" w:line="240" w:lineRule="auto"/>
        <w:rPr>
          <w:rFonts w:ascii="Verdana" w:eastAsia="Aptos" w:hAnsi="Verdana" w:cs="Arial"/>
          <w:color w:val="000000"/>
          <w:lang w:eastAsia="es-CO"/>
        </w:rPr>
      </w:pPr>
    </w:p>
    <w:p w14:paraId="3B74F6A4" w14:textId="77777777" w:rsidR="00E74941" w:rsidRPr="00E74941" w:rsidRDefault="00E74941" w:rsidP="00E74941">
      <w:pPr>
        <w:spacing w:after="0" w:line="240" w:lineRule="auto"/>
        <w:rPr>
          <w:rFonts w:ascii="Verdana" w:eastAsia="Aptos" w:hAnsi="Verdana" w:cs="Arial"/>
          <w:color w:val="000000"/>
          <w:lang w:eastAsia="es-CO"/>
        </w:rPr>
      </w:pPr>
      <w:r w:rsidRPr="00E74941">
        <w:rPr>
          <w:rFonts w:ascii="Verdana" w:eastAsia="Times New Roman" w:hAnsi="Verdana" w:cs="Arial"/>
          <w:color w:val="000000"/>
          <w:lang w:eastAsia="es-CO"/>
        </w:rPr>
        <w:t>Atentamente,</w:t>
      </w:r>
      <w:r w:rsidRPr="00E74941">
        <w:rPr>
          <w:rFonts w:ascii="Verdana" w:eastAsia="Aptos" w:hAnsi="Verdana" w:cs="Arial"/>
          <w:color w:val="000000"/>
          <w:lang w:eastAsia="es-CO"/>
        </w:rPr>
        <w:t xml:space="preserve"> </w:t>
      </w:r>
    </w:p>
    <w:p w14:paraId="1126CA39" w14:textId="53A7F880" w:rsidR="00E74941" w:rsidRPr="00E74941" w:rsidRDefault="007B056F" w:rsidP="00E74941">
      <w:pPr>
        <w:spacing w:line="276" w:lineRule="auto"/>
        <w:jc w:val="center"/>
        <w:rPr>
          <w:rFonts w:ascii="Verdana" w:eastAsia="Aptos" w:hAnsi="Verdana" w:cs="Arial"/>
          <w:color w:val="000000"/>
          <w:lang w:val="es-ES_tradnl" w:eastAsia="es-CO"/>
        </w:rPr>
      </w:pPr>
      <w:r w:rsidRPr="002C3AD6">
        <w:rPr>
          <w:rFonts w:ascii="Century Gothic" w:hAnsi="Century Gothic"/>
          <w:noProof/>
        </w:rPr>
        <w:drawing>
          <wp:inline distT="0" distB="0" distL="0" distR="0" wp14:anchorId="3FFF0B2E" wp14:editId="365CA9D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1"/>
        <w:tblW w:w="65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74941" w:rsidRPr="00E74941" w14:paraId="7DAAF825" w14:textId="77777777" w:rsidTr="00CE65EA">
        <w:trPr>
          <w:trHeight w:val="315"/>
        </w:trPr>
        <w:tc>
          <w:tcPr>
            <w:tcW w:w="893" w:type="dxa"/>
            <w:vAlign w:val="center"/>
            <w:hideMark/>
          </w:tcPr>
          <w:p w14:paraId="18289B9D" w14:textId="77777777" w:rsidR="00E74941" w:rsidRPr="00E74941" w:rsidRDefault="00E74941" w:rsidP="00E74941">
            <w:pPr>
              <w:spacing w:after="255" w:line="259" w:lineRule="auto"/>
              <w:contextualSpacing/>
              <w:rPr>
                <w:rFonts w:ascii="Verdana" w:eastAsia="Calibri" w:hAnsi="Verdana" w:cs="Arial"/>
                <w:color w:val="000000"/>
                <w:sz w:val="16"/>
                <w:szCs w:val="16"/>
                <w:lang w:val="es-ES" w:eastAsia="es-ES"/>
              </w:rPr>
            </w:pPr>
            <w:r w:rsidRPr="00E74941">
              <w:rPr>
                <w:rFonts w:ascii="Verdana" w:eastAsia="Calibri" w:hAnsi="Verdana" w:cs="Arial"/>
                <w:color w:val="000000"/>
                <w:sz w:val="16"/>
                <w:szCs w:val="16"/>
                <w:lang w:val="es-ES" w:eastAsia="es-ES"/>
              </w:rPr>
              <w:t>Elaboró:</w:t>
            </w:r>
          </w:p>
        </w:tc>
        <w:tc>
          <w:tcPr>
            <w:tcW w:w="5628" w:type="dxa"/>
            <w:tcBorders>
              <w:top w:val="nil"/>
              <w:left w:val="nil"/>
              <w:bottom w:val="dotted" w:sz="4" w:space="0" w:color="7F7F7F"/>
              <w:right w:val="nil"/>
            </w:tcBorders>
            <w:vAlign w:val="center"/>
            <w:hideMark/>
          </w:tcPr>
          <w:p w14:paraId="68E6A4A2" w14:textId="77777777" w:rsidR="00E74941" w:rsidRPr="00E74941" w:rsidRDefault="00E74941" w:rsidP="00E74941">
            <w:pPr>
              <w:spacing w:after="255" w:line="259" w:lineRule="auto"/>
              <w:contextualSpacing/>
              <w:rPr>
                <w:rFonts w:ascii="Verdana" w:eastAsia="Arial" w:hAnsi="Verdana" w:cs="Arial"/>
                <w:color w:val="000000"/>
                <w:sz w:val="16"/>
                <w:szCs w:val="16"/>
              </w:rPr>
            </w:pPr>
            <w:r w:rsidRPr="00E74941">
              <w:rPr>
                <w:rFonts w:ascii="Verdana" w:eastAsia="Arial" w:hAnsi="Verdana" w:cs="Arial"/>
                <w:color w:val="000000"/>
                <w:sz w:val="16"/>
                <w:szCs w:val="16"/>
              </w:rPr>
              <w:t>J</w:t>
            </w:r>
            <w:r w:rsidRPr="00E74941">
              <w:rPr>
                <w:rFonts w:ascii="Verdana" w:eastAsia="Arial" w:hAnsi="Verdana" w:cs="Arial"/>
                <w:sz w:val="16"/>
                <w:szCs w:val="16"/>
              </w:rPr>
              <w:t>uan Manuel Avendaño Robles</w:t>
            </w:r>
          </w:p>
          <w:p w14:paraId="7346C971" w14:textId="77777777" w:rsidR="00E74941" w:rsidRPr="00E74941" w:rsidRDefault="00E74941" w:rsidP="00E74941">
            <w:pPr>
              <w:spacing w:after="255" w:line="259" w:lineRule="auto"/>
              <w:contextualSpacing/>
              <w:rPr>
                <w:rFonts w:ascii="Verdana" w:eastAsia="Arial" w:hAnsi="Verdana" w:cs="Arial"/>
                <w:color w:val="000000"/>
                <w:sz w:val="16"/>
                <w:szCs w:val="16"/>
              </w:rPr>
            </w:pPr>
            <w:r w:rsidRPr="00E74941">
              <w:rPr>
                <w:rFonts w:ascii="Verdana" w:eastAsia="Arial" w:hAnsi="Verdana" w:cs="Arial"/>
                <w:color w:val="000000"/>
                <w:sz w:val="16"/>
                <w:szCs w:val="16"/>
              </w:rPr>
              <w:t>Contratista de la Subdirección de Gestión Contractual</w:t>
            </w:r>
          </w:p>
        </w:tc>
      </w:tr>
      <w:tr w:rsidR="00E74941" w:rsidRPr="00E74941" w14:paraId="0C0A580D" w14:textId="77777777" w:rsidTr="00CE65EA">
        <w:trPr>
          <w:trHeight w:val="330"/>
        </w:trPr>
        <w:tc>
          <w:tcPr>
            <w:tcW w:w="893" w:type="dxa"/>
            <w:vAlign w:val="center"/>
            <w:hideMark/>
          </w:tcPr>
          <w:p w14:paraId="22FEACA3" w14:textId="77777777" w:rsidR="00E74941" w:rsidRPr="00E74941" w:rsidRDefault="00E74941" w:rsidP="00E74941">
            <w:pPr>
              <w:spacing w:after="255" w:line="259" w:lineRule="auto"/>
              <w:contextualSpacing/>
              <w:rPr>
                <w:rFonts w:ascii="Verdana" w:eastAsia="Calibri" w:hAnsi="Verdana" w:cs="Arial"/>
                <w:color w:val="000000"/>
                <w:sz w:val="16"/>
                <w:szCs w:val="16"/>
                <w:lang w:val="es-ES" w:eastAsia="es-ES"/>
              </w:rPr>
            </w:pPr>
            <w:r w:rsidRPr="00E74941">
              <w:rPr>
                <w:rFonts w:ascii="Verdana" w:eastAsia="Calibri" w:hAnsi="Verdana" w:cs="Arial"/>
                <w:color w:val="000000"/>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F31B32C" w14:textId="77777777" w:rsidR="00E74941" w:rsidRPr="00E74941" w:rsidRDefault="00E74941" w:rsidP="00E74941">
            <w:pPr>
              <w:spacing w:line="259" w:lineRule="auto"/>
              <w:textAlignment w:val="baseline"/>
              <w:rPr>
                <w:rFonts w:ascii="Verdana" w:eastAsia="Times New Roman" w:hAnsi="Verdana" w:cs="Arial"/>
                <w:sz w:val="16"/>
                <w:szCs w:val="16"/>
                <w:lang w:eastAsia="es-CO"/>
              </w:rPr>
            </w:pPr>
            <w:r w:rsidRPr="00E74941">
              <w:rPr>
                <w:rFonts w:ascii="Verdana" w:eastAsia="Times New Roman" w:hAnsi="Verdana" w:cs="Arial"/>
                <w:sz w:val="16"/>
                <w:szCs w:val="16"/>
                <w:lang w:eastAsia="es-CO"/>
              </w:rPr>
              <w:t xml:space="preserve">Ximena Ríos López </w:t>
            </w:r>
          </w:p>
          <w:p w14:paraId="50B35D2D" w14:textId="77777777" w:rsidR="00E74941" w:rsidRPr="00E74941" w:rsidRDefault="00E74941" w:rsidP="00E74941">
            <w:pPr>
              <w:spacing w:line="259" w:lineRule="auto"/>
              <w:textAlignment w:val="baseline"/>
              <w:rPr>
                <w:rFonts w:ascii="Verdana" w:eastAsia="Times New Roman" w:hAnsi="Verdana" w:cs="Arial"/>
                <w:sz w:val="16"/>
                <w:szCs w:val="16"/>
                <w:lang w:eastAsia="es-ES_tradnl"/>
              </w:rPr>
            </w:pPr>
            <w:r w:rsidRPr="00E74941">
              <w:rPr>
                <w:rFonts w:ascii="Verdana" w:eastAsia="Times New Roman" w:hAnsi="Verdana" w:cs="Arial"/>
                <w:sz w:val="16"/>
                <w:szCs w:val="16"/>
                <w:lang w:eastAsia="es-ES_tradnl"/>
              </w:rPr>
              <w:t>Gestor Código T1-11 de la Subdirección de Gestión Contractual</w:t>
            </w:r>
          </w:p>
        </w:tc>
      </w:tr>
      <w:tr w:rsidR="00E74941" w:rsidRPr="00E74941" w14:paraId="374153DE" w14:textId="77777777" w:rsidTr="00CE65EA">
        <w:trPr>
          <w:trHeight w:val="300"/>
        </w:trPr>
        <w:tc>
          <w:tcPr>
            <w:tcW w:w="893" w:type="dxa"/>
            <w:vAlign w:val="center"/>
            <w:hideMark/>
          </w:tcPr>
          <w:p w14:paraId="03E08FE4" w14:textId="77777777" w:rsidR="00E74941" w:rsidRPr="00E74941" w:rsidRDefault="00E74941" w:rsidP="00E74941">
            <w:pPr>
              <w:spacing w:after="255" w:line="259" w:lineRule="auto"/>
              <w:contextualSpacing/>
              <w:rPr>
                <w:rFonts w:ascii="Verdana" w:eastAsia="Calibri" w:hAnsi="Verdana" w:cs="Arial"/>
                <w:color w:val="000000"/>
                <w:sz w:val="16"/>
                <w:szCs w:val="16"/>
                <w:lang w:val="es-ES" w:eastAsia="es-ES"/>
              </w:rPr>
            </w:pPr>
            <w:r w:rsidRPr="00E74941">
              <w:rPr>
                <w:rFonts w:ascii="Verdana" w:eastAsia="Calibri" w:hAnsi="Verdana" w:cs="Arial"/>
                <w:color w:val="000000"/>
                <w:sz w:val="16"/>
                <w:szCs w:val="16"/>
                <w:lang w:val="es-ES" w:eastAsia="es-ES"/>
              </w:rPr>
              <w:t>Aprobó:</w:t>
            </w:r>
          </w:p>
        </w:tc>
        <w:tc>
          <w:tcPr>
            <w:tcW w:w="5628" w:type="dxa"/>
            <w:tcBorders>
              <w:top w:val="dotted" w:sz="4" w:space="0" w:color="7F7F7F"/>
              <w:left w:val="nil"/>
              <w:bottom w:val="dotted" w:sz="4" w:space="0" w:color="7F7F7F"/>
              <w:right w:val="nil"/>
            </w:tcBorders>
            <w:vAlign w:val="center"/>
            <w:hideMark/>
          </w:tcPr>
          <w:p w14:paraId="58FCD4E6" w14:textId="77777777" w:rsidR="00E74941" w:rsidRPr="00E74941" w:rsidRDefault="00E74941" w:rsidP="00E74941">
            <w:pPr>
              <w:spacing w:after="255" w:line="259" w:lineRule="auto"/>
              <w:contextualSpacing/>
              <w:rPr>
                <w:rFonts w:ascii="Verdana" w:eastAsia="Calibri" w:hAnsi="Verdana" w:cs="Arial"/>
                <w:color w:val="000000"/>
                <w:sz w:val="16"/>
                <w:szCs w:val="16"/>
                <w:lang w:val="pt-BR" w:eastAsia="es-ES"/>
              </w:rPr>
            </w:pPr>
            <w:r w:rsidRPr="00E74941">
              <w:rPr>
                <w:rFonts w:ascii="Verdana" w:eastAsia="Calibri" w:hAnsi="Verdana" w:cs="Arial"/>
                <w:color w:val="000000"/>
                <w:sz w:val="16"/>
                <w:szCs w:val="16"/>
                <w:lang w:val="pt-BR" w:eastAsia="es-ES"/>
              </w:rPr>
              <w:t xml:space="preserve">Carolina Quintero </w:t>
            </w:r>
            <w:proofErr w:type="spellStart"/>
            <w:r w:rsidRPr="00E74941">
              <w:rPr>
                <w:rFonts w:ascii="Verdana" w:eastAsia="Calibri" w:hAnsi="Verdana" w:cs="Arial"/>
                <w:color w:val="000000"/>
                <w:sz w:val="16"/>
                <w:szCs w:val="16"/>
                <w:lang w:val="pt-BR" w:eastAsia="es-ES"/>
              </w:rPr>
              <w:t>Gacharná</w:t>
            </w:r>
            <w:proofErr w:type="spellEnd"/>
          </w:p>
          <w:p w14:paraId="768068CC" w14:textId="77777777" w:rsidR="00E74941" w:rsidRPr="00E74941" w:rsidRDefault="00E74941" w:rsidP="00E74941">
            <w:pPr>
              <w:spacing w:after="255" w:line="259" w:lineRule="auto"/>
              <w:contextualSpacing/>
              <w:rPr>
                <w:rFonts w:ascii="Verdana" w:eastAsia="Calibri" w:hAnsi="Verdana" w:cs="Arial"/>
                <w:color w:val="000000"/>
                <w:sz w:val="16"/>
                <w:szCs w:val="16"/>
                <w:lang w:val="pt-BR" w:eastAsia="es-ES"/>
              </w:rPr>
            </w:pPr>
            <w:r w:rsidRPr="00E74941">
              <w:rPr>
                <w:rFonts w:ascii="Verdana" w:eastAsia="Calibri" w:hAnsi="Verdana" w:cs="Arial"/>
                <w:color w:val="000000"/>
                <w:sz w:val="16"/>
                <w:szCs w:val="16"/>
                <w:lang w:eastAsia="es-ES"/>
              </w:rPr>
              <w:t>Subdirectora</w:t>
            </w:r>
            <w:r w:rsidRPr="00E74941">
              <w:rPr>
                <w:rFonts w:ascii="Verdana" w:eastAsia="Calibri" w:hAnsi="Verdana" w:cs="Arial"/>
                <w:color w:val="000000"/>
                <w:sz w:val="16"/>
                <w:szCs w:val="16"/>
                <w:lang w:val="pt-BR" w:eastAsia="es-ES"/>
              </w:rPr>
              <w:t xml:space="preserve"> de Gestión </w:t>
            </w:r>
            <w:proofErr w:type="spellStart"/>
            <w:r w:rsidRPr="00E74941">
              <w:rPr>
                <w:rFonts w:ascii="Verdana" w:eastAsia="Calibri" w:hAnsi="Verdana" w:cs="Arial"/>
                <w:color w:val="000000"/>
                <w:sz w:val="16"/>
                <w:szCs w:val="16"/>
                <w:lang w:val="pt-BR" w:eastAsia="es-ES"/>
              </w:rPr>
              <w:t>Contractual</w:t>
            </w:r>
            <w:proofErr w:type="spellEnd"/>
            <w:r w:rsidRPr="00E74941">
              <w:rPr>
                <w:rFonts w:ascii="Verdana" w:eastAsia="Calibri" w:hAnsi="Verdana" w:cs="Arial"/>
                <w:color w:val="000000"/>
                <w:sz w:val="16"/>
                <w:szCs w:val="16"/>
                <w:lang w:val="pt-BR" w:eastAsia="es-ES"/>
              </w:rPr>
              <w:t xml:space="preserve"> ANCP – CCE</w:t>
            </w:r>
          </w:p>
        </w:tc>
      </w:tr>
    </w:tbl>
    <w:p w14:paraId="603B4BEE" w14:textId="77777777" w:rsidR="00E74941" w:rsidRPr="00E74941" w:rsidRDefault="00E74941" w:rsidP="00E74941">
      <w:pPr>
        <w:rPr>
          <w:rFonts w:ascii="Calibri" w:eastAsia="Calibri" w:hAnsi="Calibri" w:cs="Times New Roman"/>
        </w:rPr>
      </w:pPr>
    </w:p>
    <w:p w14:paraId="67F34743" w14:textId="77777777" w:rsidR="000F5A42" w:rsidRDefault="000F5A42" w:rsidP="00E74941">
      <w:pPr>
        <w:spacing w:after="0" w:line="240" w:lineRule="auto"/>
      </w:pPr>
    </w:p>
    <w:sectPr w:rsidR="000F5A42" w:rsidSect="00A51D61">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7214" w14:textId="77777777" w:rsidR="001F2406" w:rsidRDefault="001F2406" w:rsidP="00A51D61">
      <w:pPr>
        <w:spacing w:after="0" w:line="240" w:lineRule="auto"/>
      </w:pPr>
      <w:r>
        <w:separator/>
      </w:r>
    </w:p>
  </w:endnote>
  <w:endnote w:type="continuationSeparator" w:id="0">
    <w:p w14:paraId="015B1564" w14:textId="77777777" w:rsidR="001F2406" w:rsidRDefault="001F2406" w:rsidP="00A51D61">
      <w:pPr>
        <w:spacing w:after="0" w:line="240" w:lineRule="auto"/>
      </w:pPr>
      <w:r>
        <w:continuationSeparator/>
      </w:r>
    </w:p>
  </w:endnote>
  <w:endnote w:type="continuationNotice" w:id="1">
    <w:p w14:paraId="3D8646B9" w14:textId="77777777" w:rsidR="00706E6A" w:rsidRDefault="00706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1BF3" w14:textId="77777777" w:rsidR="009132D2" w:rsidRDefault="009132D2" w:rsidP="000849D5">
    <w:pPr>
      <w:spacing w:after="0"/>
      <w:rPr>
        <w:rFonts w:ascii="Verdana" w:hAnsi="Verdana"/>
        <w:b/>
        <w:bCs/>
        <w:sz w:val="20"/>
        <w:szCs w:val="20"/>
      </w:rPr>
    </w:pPr>
  </w:p>
  <w:p w14:paraId="5A200C5F" w14:textId="77777777" w:rsidR="009132D2" w:rsidRPr="00174B77" w:rsidRDefault="009132D2"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A878EAD" w14:textId="77777777" w:rsidR="009132D2" w:rsidRDefault="009132D2"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D79477B" w14:textId="77777777" w:rsidR="009132D2" w:rsidRPr="00E41027" w:rsidRDefault="009132D2" w:rsidP="000849D5">
    <w:pPr>
      <w:spacing w:after="0"/>
      <w:jc w:val="both"/>
      <w:rPr>
        <w:rFonts w:ascii="Verdana" w:hAnsi="Verdana"/>
        <w:sz w:val="18"/>
        <w:szCs w:val="18"/>
      </w:rPr>
    </w:pPr>
    <w:r w:rsidRPr="00E41027">
      <w:rPr>
        <w:rFonts w:ascii="Verdana" w:hAnsi="Verdana"/>
        <w:sz w:val="18"/>
        <w:szCs w:val="18"/>
      </w:rPr>
      <w:t>Mesa de servicio: (+57) 601 7456788</w:t>
    </w:r>
  </w:p>
  <w:p w14:paraId="10B82236" w14:textId="77777777" w:rsidR="009132D2" w:rsidRDefault="009132D2"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03053402" w14:textId="77777777" w:rsidR="009132D2" w:rsidRPr="007D04B2" w:rsidRDefault="009132D2" w:rsidP="000849D5">
    <w:pPr>
      <w:pStyle w:val="Piedepgina"/>
    </w:pPr>
  </w:p>
  <w:p w14:paraId="79A8E1A7" w14:textId="77777777" w:rsidR="009132D2" w:rsidRPr="000849D5" w:rsidRDefault="009132D2"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9DCB" w14:textId="77777777" w:rsidR="001F2406" w:rsidRDefault="001F2406" w:rsidP="00A51D61">
      <w:pPr>
        <w:spacing w:after="0" w:line="240" w:lineRule="auto"/>
      </w:pPr>
      <w:r>
        <w:separator/>
      </w:r>
    </w:p>
  </w:footnote>
  <w:footnote w:type="continuationSeparator" w:id="0">
    <w:p w14:paraId="45540DEF" w14:textId="77777777" w:rsidR="001F2406" w:rsidRDefault="001F2406" w:rsidP="00A51D61">
      <w:pPr>
        <w:spacing w:after="0" w:line="240" w:lineRule="auto"/>
      </w:pPr>
      <w:r>
        <w:continuationSeparator/>
      </w:r>
    </w:p>
  </w:footnote>
  <w:footnote w:type="continuationNotice" w:id="1">
    <w:p w14:paraId="736CE159" w14:textId="77777777" w:rsidR="00706E6A" w:rsidRDefault="00706E6A">
      <w:pPr>
        <w:spacing w:after="0" w:line="240" w:lineRule="auto"/>
      </w:pPr>
    </w:p>
  </w:footnote>
  <w:footnote w:id="2">
    <w:p w14:paraId="4349307B" w14:textId="77777777" w:rsidR="00E74941" w:rsidRPr="00F44270" w:rsidRDefault="00E74941" w:rsidP="00E74941">
      <w:pPr>
        <w:pStyle w:val="Textonotapie"/>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w:t>
      </w:r>
      <w:r w:rsidRPr="00F44270">
        <w:rPr>
          <w:rFonts w:ascii="Century Gothic" w:hAnsi="Century Gothic" w:cs="Arial"/>
          <w:sz w:val="16"/>
          <w:szCs w:val="16"/>
          <w:shd w:val="clear" w:color="auto" w:fill="FFFFFF"/>
        </w:rPr>
        <w:t>Para la jurisprudencia, “</w:t>
      </w:r>
      <w:r w:rsidRPr="00F44270">
        <w:rPr>
          <w:rFonts w:ascii="Century Gothic" w:hAnsi="Century Gothic" w:cs="Arial"/>
          <w:sz w:val="16"/>
          <w:szCs w:val="16"/>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E74941">
        <w:rPr>
          <w:rFonts w:ascii="Century Gothic" w:hAnsi="Century Gothic" w:cs="Arial"/>
          <w:color w:val="000000"/>
          <w:sz w:val="16"/>
          <w:szCs w:val="16"/>
          <w:shd w:val="clear" w:color="auto" w:fill="FFFFFF"/>
        </w:rPr>
        <w:t>”</w:t>
      </w:r>
      <w:r w:rsidRPr="00F44270">
        <w:rPr>
          <w:rFonts w:ascii="Century Gothic" w:hAnsi="Century Gothic" w:cs="Arial"/>
          <w:sz w:val="16"/>
          <w:szCs w:val="16"/>
        </w:rPr>
        <w:t xml:space="preserve"> (CORTE CONSTITUCIONAL. Sentencia C-414 de 1994. M.P. Antonio Barrera</w:t>
      </w:r>
      <w:r w:rsidRPr="00F44270">
        <w:rPr>
          <w:rFonts w:ascii="Century Gothic" w:hAnsi="Century Gothic" w:cs="Arial"/>
          <w:spacing w:val="-2"/>
          <w:sz w:val="16"/>
          <w:szCs w:val="16"/>
        </w:rPr>
        <w:t xml:space="preserve"> </w:t>
      </w:r>
      <w:r w:rsidRPr="00F44270">
        <w:rPr>
          <w:rFonts w:ascii="Century Gothic" w:hAnsi="Century Gothic" w:cs="Arial"/>
          <w:sz w:val="16"/>
          <w:szCs w:val="16"/>
        </w:rPr>
        <w:t>Carbonell).</w:t>
      </w:r>
    </w:p>
  </w:footnote>
  <w:footnote w:id="3">
    <w:p w14:paraId="69D5AEA1" w14:textId="77777777" w:rsidR="00E74941" w:rsidRPr="00F44270" w:rsidRDefault="00E74941" w:rsidP="00E74941">
      <w:pPr>
        <w:pStyle w:val="Textoindependiente1"/>
        <w:ind w:firstLine="709"/>
        <w:jc w:val="both"/>
        <w:rPr>
          <w:rFonts w:ascii="Century Gothic" w:hAnsi="Century Gothic"/>
          <w:sz w:val="16"/>
          <w:szCs w:val="16"/>
        </w:rPr>
      </w:pPr>
      <w:r w:rsidRPr="00F44270">
        <w:rPr>
          <w:rStyle w:val="Refdenotaalpie"/>
          <w:rFonts w:ascii="Century Gothic" w:hAnsi="Century Gothic"/>
          <w:sz w:val="16"/>
          <w:szCs w:val="16"/>
        </w:rPr>
        <w:footnoteRef/>
      </w:r>
      <w:r w:rsidRPr="00F44270">
        <w:rPr>
          <w:rFonts w:ascii="Century Gothic" w:hAnsi="Century Gothic"/>
          <w:sz w:val="16"/>
          <w:szCs w:val="16"/>
        </w:rPr>
        <w:t xml:space="preserve"> </w:t>
      </w:r>
      <w:r w:rsidRPr="00F44270">
        <w:rPr>
          <w:rFonts w:ascii="Century Gothic" w:hAnsi="Century Gothic"/>
          <w:sz w:val="16"/>
          <w:szCs w:val="16"/>
          <w:shd w:val="clear" w:color="auto" w:fill="FFFFFF"/>
        </w:rPr>
        <w:t>Para estos efectos, “</w:t>
      </w:r>
      <w:r w:rsidRPr="00F44270">
        <w:rPr>
          <w:rFonts w:ascii="Century Gothic" w:hAnsi="Century Gothic"/>
          <w:sz w:val="16"/>
          <w:szCs w:val="16"/>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F44270">
        <w:rPr>
          <w:rFonts w:ascii="Century Gothic" w:hAnsi="Century Gothic"/>
          <w:spacing w:val="-2"/>
          <w:sz w:val="16"/>
          <w:szCs w:val="16"/>
        </w:rPr>
        <w:t xml:space="preserve"> </w:t>
      </w:r>
      <w:r w:rsidRPr="00F44270">
        <w:rPr>
          <w:rFonts w:ascii="Century Gothic" w:hAnsi="Century Gothic"/>
          <w:sz w:val="16"/>
          <w:szCs w:val="16"/>
        </w:rPr>
        <w:t>contractuales.</w:t>
      </w:r>
    </w:p>
    <w:p w14:paraId="45994F6C" w14:textId="77777777" w:rsidR="00E74941" w:rsidRPr="00F44270" w:rsidRDefault="00E74941" w:rsidP="00E74941">
      <w:pPr>
        <w:pStyle w:val="Textoindependiente1"/>
        <w:spacing w:before="3"/>
        <w:ind w:left="709" w:right="709"/>
        <w:rPr>
          <w:rFonts w:ascii="Century Gothic" w:hAnsi="Century Gothic"/>
          <w:sz w:val="16"/>
          <w:szCs w:val="16"/>
        </w:rPr>
      </w:pPr>
      <w:r w:rsidRPr="00F44270">
        <w:rPr>
          <w:rFonts w:ascii="Century Gothic" w:hAnsi="Century Gothic"/>
          <w:sz w:val="16"/>
          <w:szCs w:val="16"/>
        </w:rPr>
        <w:t>[…]</w:t>
      </w:r>
    </w:p>
    <w:p w14:paraId="2588C285" w14:textId="77777777" w:rsidR="00E74941" w:rsidRPr="00F44270" w:rsidRDefault="00E74941" w:rsidP="00E74941">
      <w:pPr>
        <w:pStyle w:val="Textoindependiente1"/>
        <w:ind w:firstLine="709"/>
        <w:jc w:val="both"/>
        <w:rPr>
          <w:rFonts w:ascii="Century Gothic" w:hAnsi="Century Gothic"/>
          <w:sz w:val="16"/>
          <w:szCs w:val="16"/>
        </w:rPr>
      </w:pPr>
      <w:r w:rsidRPr="00F44270">
        <w:rPr>
          <w:rFonts w:ascii="Century Gothic" w:hAnsi="Century Gothic"/>
          <w:sz w:val="16"/>
          <w:szCs w:val="16"/>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0A9B2B75" w14:textId="77777777" w:rsidR="00E74941" w:rsidRPr="00F44270" w:rsidRDefault="00E74941" w:rsidP="00E74941">
      <w:pPr>
        <w:pStyle w:val="Textoindependiente1"/>
        <w:spacing w:before="2"/>
        <w:ind w:left="709" w:right="709"/>
        <w:rPr>
          <w:rFonts w:ascii="Century Gothic" w:hAnsi="Century Gothic"/>
          <w:sz w:val="16"/>
          <w:szCs w:val="16"/>
        </w:rPr>
      </w:pPr>
      <w:r w:rsidRPr="00F44270">
        <w:rPr>
          <w:rFonts w:ascii="Century Gothic" w:hAnsi="Century Gothic"/>
          <w:sz w:val="16"/>
          <w:szCs w:val="16"/>
        </w:rPr>
        <w:t>[…]</w:t>
      </w:r>
    </w:p>
    <w:p w14:paraId="7DDED163" w14:textId="77777777" w:rsidR="00E74941" w:rsidRPr="00F44270" w:rsidRDefault="00E74941" w:rsidP="00E74941">
      <w:pPr>
        <w:pStyle w:val="Textonotapie"/>
        <w:ind w:firstLine="709"/>
        <w:jc w:val="both"/>
        <w:rPr>
          <w:rFonts w:ascii="Century Gothic" w:hAnsi="Century Gothic" w:cs="Arial"/>
          <w:sz w:val="16"/>
          <w:szCs w:val="16"/>
        </w:rPr>
      </w:pPr>
      <w:r w:rsidRPr="00F44270">
        <w:rPr>
          <w:rFonts w:ascii="Century Gothic" w:hAnsi="Century Gothic" w:cs="Arial"/>
          <w:sz w:val="16"/>
          <w:szCs w:val="16"/>
          <w:lang w:val="es-CO"/>
        </w:rPr>
        <w:t xml:space="preserve">La Ley 80 de 1993, al crear las figuras de los consorcios y uniones temporales y constituirlas como sujetos de la contratación administrativa, reconoce una realidad del mundo negocial que son los denominados </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contratos de colaboración económica</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w:t>
      </w:r>
      <w:r w:rsidRPr="00F44270">
        <w:rPr>
          <w:rFonts w:ascii="Century Gothic" w:hAnsi="Century Gothic" w:cs="Arial"/>
          <w:spacing w:val="-7"/>
          <w:sz w:val="16"/>
          <w:szCs w:val="16"/>
          <w:lang w:val="es-CO"/>
        </w:rPr>
        <w:t xml:space="preserve"> </w:t>
      </w:r>
      <w:r w:rsidRPr="00F44270">
        <w:rPr>
          <w:rFonts w:ascii="Century Gothic" w:hAnsi="Century Gothic" w:cs="Arial"/>
          <w:sz w:val="16"/>
          <w:szCs w:val="16"/>
          <w:lang w:val="es-CO"/>
        </w:rPr>
        <w:t>Superiores]</w:t>
      </w:r>
      <w:r w:rsidRPr="00F44270">
        <w:rPr>
          <w:rFonts w:ascii="Century Gothic" w:hAnsi="Century Gothic" w:cs="Arial"/>
          <w:sz w:val="16"/>
          <w:szCs w:val="16"/>
          <w:shd w:val="clear" w:color="auto" w:fill="FFFFFF"/>
          <w:lang w:val="es-CO"/>
        </w:rPr>
        <w:t xml:space="preserve">” </w:t>
      </w:r>
      <w:r w:rsidRPr="00F44270">
        <w:rPr>
          <w:rFonts w:ascii="Century Gothic" w:hAnsi="Century Gothic" w:cs="Arial"/>
          <w:sz w:val="16"/>
          <w:szCs w:val="16"/>
        </w:rPr>
        <w:t>(CORTE CONSTITUCIONAL. Sentencia C-949 de 2001. M.P. Clara Inés Vargas Hernández).</w:t>
      </w:r>
    </w:p>
  </w:footnote>
  <w:footnote w:id="4">
    <w:p w14:paraId="6813B168" w14:textId="77777777" w:rsidR="00E74941" w:rsidRPr="00F44270" w:rsidRDefault="00E74941" w:rsidP="00E74941">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LAFONT PIANETTA, Pedro. Manual de contratos. Tomo I. Bogotá: Ediciones Librería del Profesional, 2001. p. 508.</w:t>
      </w:r>
    </w:p>
  </w:footnote>
  <w:footnote w:id="5">
    <w:p w14:paraId="5689D918" w14:textId="77777777" w:rsidR="00E74941" w:rsidRPr="00F44270" w:rsidRDefault="00E74941" w:rsidP="00E74941">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Al respecto, la jurisprudencia explica lo siguiente: </w:t>
      </w:r>
      <w:r w:rsidRPr="00F44270">
        <w:rPr>
          <w:rFonts w:ascii="Century Gothic" w:hAnsi="Century Gothic" w:cs="Arial"/>
          <w:sz w:val="16"/>
          <w:szCs w:val="16"/>
          <w:shd w:val="clear" w:color="auto" w:fill="FFFFFF"/>
        </w:rPr>
        <w:t>“</w:t>
      </w:r>
      <w:r w:rsidRPr="00F44270">
        <w:rPr>
          <w:rFonts w:ascii="Century Gothic" w:hAnsi="Century Gothic" w:cs="Arial"/>
          <w:sz w:val="16"/>
          <w:szCs w:val="16"/>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sidRPr="00F44270">
        <w:rPr>
          <w:rFonts w:ascii="Century Gothic" w:hAnsi="Century Gothic" w:cs="Arial"/>
          <w:b/>
          <w:bCs/>
          <w:sz w:val="16"/>
          <w:szCs w:val="16"/>
        </w:rPr>
        <w:t>–</w:t>
      </w:r>
      <w:r w:rsidRPr="00F44270">
        <w:rPr>
          <w:rFonts w:ascii="Century Gothic" w:hAnsi="Century Gothic" w:cs="Arial"/>
          <w:sz w:val="16"/>
          <w:szCs w:val="16"/>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F44270">
        <w:rPr>
          <w:rFonts w:ascii="Century Gothic" w:hAnsi="Century Gothic" w:cs="Arial"/>
          <w:i/>
          <w:sz w:val="16"/>
          <w:szCs w:val="16"/>
        </w:rPr>
        <w:t>legitimatio ad processum</w:t>
      </w:r>
      <w:r w:rsidRPr="00F44270">
        <w:rPr>
          <w:rFonts w:ascii="Century Gothic" w:hAnsi="Century Gothic" w:cs="Arial"/>
          <w:sz w:val="16"/>
          <w:szCs w:val="16"/>
        </w:rPr>
        <w:t>-, por intermedio de su</w:t>
      </w:r>
      <w:r w:rsidRPr="00F44270">
        <w:rPr>
          <w:rFonts w:ascii="Century Gothic" w:hAnsi="Century Gothic" w:cs="Arial"/>
          <w:spacing w:val="-8"/>
          <w:sz w:val="16"/>
          <w:szCs w:val="16"/>
        </w:rPr>
        <w:t xml:space="preserve"> </w:t>
      </w:r>
      <w:r w:rsidRPr="00F44270">
        <w:rPr>
          <w:rFonts w:ascii="Century Gothic" w:hAnsi="Century Gothic" w:cs="Arial"/>
          <w:sz w:val="16"/>
          <w:szCs w:val="16"/>
        </w:rPr>
        <w:t xml:space="preserve">representante” (CONSEJO DE ESTADO. Sección Tercera. Sala Plena. Sentencia de Unificación del 25 de septiembre de 2013. Rad. 19.933. C.P. Mauricio Fajardo Gómez).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C6E4" w14:textId="77777777" w:rsidR="009132D2" w:rsidRDefault="009132D2" w:rsidP="00515FB5">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2D5C2480" wp14:editId="42F101E4">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32E254EE" wp14:editId="2FE104C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709ED1F" w14:textId="77777777" w:rsidR="009132D2" w:rsidRDefault="009132D2" w:rsidP="00515FB5">
    <w:pPr>
      <w:pStyle w:val="Encabezado"/>
    </w:pPr>
  </w:p>
  <w:p w14:paraId="08780F01" w14:textId="77777777" w:rsidR="009132D2" w:rsidRPr="00515FB5" w:rsidRDefault="009132D2"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8DB6A93"/>
    <w:multiLevelType w:val="hybridMultilevel"/>
    <w:tmpl w:val="6228F736"/>
    <w:lvl w:ilvl="0" w:tplc="E40641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1274352">
    <w:abstractNumId w:val="0"/>
  </w:num>
  <w:num w:numId="2" w16cid:durableId="1492209491">
    <w:abstractNumId w:val="1"/>
  </w:num>
  <w:num w:numId="3" w16cid:durableId="679089576">
    <w:abstractNumId w:val="2"/>
  </w:num>
  <w:num w:numId="4" w16cid:durableId="1326976593">
    <w:abstractNumId w:val="3"/>
  </w:num>
  <w:num w:numId="5" w16cid:durableId="1258962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61"/>
    <w:rsid w:val="000071AE"/>
    <w:rsid w:val="0002292E"/>
    <w:rsid w:val="00034845"/>
    <w:rsid w:val="00077ECD"/>
    <w:rsid w:val="00081DE9"/>
    <w:rsid w:val="000C043E"/>
    <w:rsid w:val="000F5A42"/>
    <w:rsid w:val="001126EF"/>
    <w:rsid w:val="001E502C"/>
    <w:rsid w:val="001F2406"/>
    <w:rsid w:val="002743E2"/>
    <w:rsid w:val="002B4EA9"/>
    <w:rsid w:val="002B68D4"/>
    <w:rsid w:val="002C75F1"/>
    <w:rsid w:val="002E0394"/>
    <w:rsid w:val="002E7E2A"/>
    <w:rsid w:val="0034558C"/>
    <w:rsid w:val="003516BA"/>
    <w:rsid w:val="003573D0"/>
    <w:rsid w:val="00382364"/>
    <w:rsid w:val="00467091"/>
    <w:rsid w:val="00467D31"/>
    <w:rsid w:val="004A5C84"/>
    <w:rsid w:val="004A7BFC"/>
    <w:rsid w:val="005408D9"/>
    <w:rsid w:val="005A40C3"/>
    <w:rsid w:val="005C6043"/>
    <w:rsid w:val="006002B7"/>
    <w:rsid w:val="0066742B"/>
    <w:rsid w:val="00674A9D"/>
    <w:rsid w:val="006A0D08"/>
    <w:rsid w:val="006B29E9"/>
    <w:rsid w:val="006E3264"/>
    <w:rsid w:val="00706E6A"/>
    <w:rsid w:val="00723794"/>
    <w:rsid w:val="0072412A"/>
    <w:rsid w:val="007B056F"/>
    <w:rsid w:val="007D48E9"/>
    <w:rsid w:val="00902B14"/>
    <w:rsid w:val="009132D2"/>
    <w:rsid w:val="00975C14"/>
    <w:rsid w:val="00A12218"/>
    <w:rsid w:val="00A14798"/>
    <w:rsid w:val="00A51D61"/>
    <w:rsid w:val="00A81B05"/>
    <w:rsid w:val="00A90678"/>
    <w:rsid w:val="00A937AB"/>
    <w:rsid w:val="00AA55F6"/>
    <w:rsid w:val="00B347CA"/>
    <w:rsid w:val="00B45882"/>
    <w:rsid w:val="00B826BA"/>
    <w:rsid w:val="00BF1FCA"/>
    <w:rsid w:val="00C01AD3"/>
    <w:rsid w:val="00C05DC1"/>
    <w:rsid w:val="00C46DE1"/>
    <w:rsid w:val="00C82F8C"/>
    <w:rsid w:val="00C9442E"/>
    <w:rsid w:val="00CB66A6"/>
    <w:rsid w:val="00CC7636"/>
    <w:rsid w:val="00CD74FE"/>
    <w:rsid w:val="00D4667D"/>
    <w:rsid w:val="00D74EF9"/>
    <w:rsid w:val="00DD272F"/>
    <w:rsid w:val="00E06E83"/>
    <w:rsid w:val="00E525BB"/>
    <w:rsid w:val="00E60F5E"/>
    <w:rsid w:val="00E74941"/>
    <w:rsid w:val="00EA268C"/>
    <w:rsid w:val="00ED3163"/>
    <w:rsid w:val="00EE22C2"/>
    <w:rsid w:val="00EF48D5"/>
    <w:rsid w:val="00F0526B"/>
    <w:rsid w:val="00F4684F"/>
    <w:rsid w:val="00F66E0D"/>
    <w:rsid w:val="372880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7ED3"/>
  <w15:chartTrackingRefBased/>
  <w15:docId w15:val="{CD357794-9FFA-4048-B24D-6F9FE56D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61"/>
    <w:rPr>
      <w:kern w:val="0"/>
      <w14:ligatures w14:val="none"/>
    </w:rPr>
  </w:style>
  <w:style w:type="paragraph" w:styleId="Ttulo1">
    <w:name w:val="heading 1"/>
    <w:basedOn w:val="Normal"/>
    <w:next w:val="Normal"/>
    <w:link w:val="Ttulo1Car"/>
    <w:uiPriority w:val="9"/>
    <w:qFormat/>
    <w:rsid w:val="00A51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1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1D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1D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1D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1D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1D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1D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1D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D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1D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1D6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1D6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1D6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1D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1D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1D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1D61"/>
    <w:rPr>
      <w:rFonts w:eastAsiaTheme="majorEastAsia" w:cstheme="majorBidi"/>
      <w:color w:val="272727" w:themeColor="text1" w:themeTint="D8"/>
    </w:rPr>
  </w:style>
  <w:style w:type="paragraph" w:styleId="Ttulo">
    <w:name w:val="Title"/>
    <w:basedOn w:val="Normal"/>
    <w:next w:val="Normal"/>
    <w:link w:val="TtuloCar"/>
    <w:uiPriority w:val="10"/>
    <w:qFormat/>
    <w:rsid w:val="00A51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1D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1D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1D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1D61"/>
    <w:pPr>
      <w:spacing w:before="160"/>
      <w:jc w:val="center"/>
    </w:pPr>
    <w:rPr>
      <w:i/>
      <w:iCs/>
      <w:color w:val="404040" w:themeColor="text1" w:themeTint="BF"/>
    </w:rPr>
  </w:style>
  <w:style w:type="character" w:customStyle="1" w:styleId="CitaCar">
    <w:name w:val="Cita Car"/>
    <w:basedOn w:val="Fuentedeprrafopredeter"/>
    <w:link w:val="Cita"/>
    <w:uiPriority w:val="29"/>
    <w:rsid w:val="00A51D61"/>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51D61"/>
    <w:pPr>
      <w:ind w:left="720"/>
      <w:contextualSpacing/>
    </w:pPr>
  </w:style>
  <w:style w:type="character" w:styleId="nfasisintenso">
    <w:name w:val="Intense Emphasis"/>
    <w:basedOn w:val="Fuentedeprrafopredeter"/>
    <w:uiPriority w:val="21"/>
    <w:qFormat/>
    <w:rsid w:val="00A51D61"/>
    <w:rPr>
      <w:i/>
      <w:iCs/>
      <w:color w:val="0F4761" w:themeColor="accent1" w:themeShade="BF"/>
    </w:rPr>
  </w:style>
  <w:style w:type="paragraph" w:styleId="Citadestacada">
    <w:name w:val="Intense Quote"/>
    <w:basedOn w:val="Normal"/>
    <w:next w:val="Normal"/>
    <w:link w:val="CitadestacadaCar"/>
    <w:uiPriority w:val="30"/>
    <w:qFormat/>
    <w:rsid w:val="00A51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1D61"/>
    <w:rPr>
      <w:i/>
      <w:iCs/>
      <w:color w:val="0F4761" w:themeColor="accent1" w:themeShade="BF"/>
    </w:rPr>
  </w:style>
  <w:style w:type="character" w:styleId="Referenciaintensa">
    <w:name w:val="Intense Reference"/>
    <w:basedOn w:val="Fuentedeprrafopredeter"/>
    <w:uiPriority w:val="32"/>
    <w:qFormat/>
    <w:rsid w:val="00A51D61"/>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51D6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A51D6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51D6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51D61"/>
    <w:rPr>
      <w:vertAlign w:val="superscript"/>
    </w:rPr>
  </w:style>
  <w:style w:type="paragraph" w:customStyle="1" w:styleId="Appelnotedebasde">
    <w:name w:val="Appel note de bas de..."/>
    <w:basedOn w:val="Normal"/>
    <w:link w:val="Refdenotaalpie"/>
    <w:uiPriority w:val="99"/>
    <w:rsid w:val="00A51D61"/>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A5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D61"/>
    <w:rPr>
      <w:kern w:val="0"/>
      <w14:ligatures w14:val="none"/>
    </w:rPr>
  </w:style>
  <w:style w:type="paragraph" w:styleId="Piedepgina">
    <w:name w:val="footer"/>
    <w:basedOn w:val="Normal"/>
    <w:link w:val="PiedepginaCar"/>
    <w:uiPriority w:val="99"/>
    <w:unhideWhenUsed/>
    <w:rsid w:val="00A5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D61"/>
    <w:rPr>
      <w:kern w:val="0"/>
      <w14:ligatures w14:val="none"/>
    </w:rPr>
  </w:style>
  <w:style w:type="table" w:styleId="Tablaconcuadrcula">
    <w:name w:val="Table Grid"/>
    <w:basedOn w:val="Tablanormal"/>
    <w:uiPriority w:val="39"/>
    <w:qFormat/>
    <w:rsid w:val="00A51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D61"/>
    <w:rPr>
      <w:color w:val="467886" w:themeColor="hyperlink"/>
      <w:u w:val="single"/>
    </w:rPr>
  </w:style>
  <w:style w:type="character" w:styleId="Refdecomentario">
    <w:name w:val="annotation reference"/>
    <w:basedOn w:val="Fuentedeprrafopredeter"/>
    <w:uiPriority w:val="99"/>
    <w:semiHidden/>
    <w:unhideWhenUsed/>
    <w:rsid w:val="00A51D61"/>
    <w:rPr>
      <w:sz w:val="16"/>
      <w:szCs w:val="16"/>
    </w:rPr>
  </w:style>
  <w:style w:type="paragraph" w:styleId="Textocomentario">
    <w:name w:val="annotation text"/>
    <w:basedOn w:val="Normal"/>
    <w:link w:val="TextocomentarioCar"/>
    <w:uiPriority w:val="99"/>
    <w:unhideWhenUsed/>
    <w:rsid w:val="00A51D61"/>
    <w:pPr>
      <w:spacing w:line="240" w:lineRule="auto"/>
    </w:pPr>
    <w:rPr>
      <w:sz w:val="20"/>
      <w:szCs w:val="20"/>
    </w:rPr>
  </w:style>
  <w:style w:type="character" w:customStyle="1" w:styleId="TextocomentarioCar">
    <w:name w:val="Texto comentario Car"/>
    <w:basedOn w:val="Fuentedeprrafopredeter"/>
    <w:link w:val="Textocomentario"/>
    <w:uiPriority w:val="99"/>
    <w:rsid w:val="00A51D61"/>
    <w:rPr>
      <w:kern w:val="0"/>
      <w:sz w:val="20"/>
      <w:szCs w:val="20"/>
      <w14:ligatures w14:val="none"/>
    </w:rPr>
  </w:style>
  <w:style w:type="character" w:customStyle="1" w:styleId="normaltextrun">
    <w:name w:val="normaltextrun"/>
    <w:basedOn w:val="Fuentedeprrafopredeter"/>
    <w:rsid w:val="00A51D61"/>
  </w:style>
  <w:style w:type="character" w:customStyle="1" w:styleId="eop">
    <w:name w:val="eop"/>
    <w:basedOn w:val="Fuentedeprrafopredeter"/>
    <w:rsid w:val="00A51D61"/>
  </w:style>
  <w:style w:type="paragraph" w:customStyle="1" w:styleId="paragraph">
    <w:name w:val="paragraph"/>
    <w:basedOn w:val="Normal"/>
    <w:rsid w:val="00A51D6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51D61"/>
  </w:style>
  <w:style w:type="paragraph" w:styleId="NormalWeb">
    <w:name w:val="Normal (Web)"/>
    <w:basedOn w:val="Normal"/>
    <w:uiPriority w:val="99"/>
    <w:semiHidden/>
    <w:unhideWhenUsed/>
    <w:rsid w:val="00467091"/>
    <w:rPr>
      <w:rFonts w:ascii="Times New Roman" w:hAnsi="Times New Roman" w:cs="Times New Roman"/>
      <w:sz w:val="24"/>
      <w:szCs w:val="24"/>
    </w:rPr>
  </w:style>
  <w:style w:type="table" w:customStyle="1" w:styleId="Tablaconcuadrcula1">
    <w:name w:val="Tabla con cuadrícula1"/>
    <w:basedOn w:val="Tablanormal"/>
    <w:next w:val="Tablaconcuadrcula"/>
    <w:uiPriority w:val="39"/>
    <w:qFormat/>
    <w:rsid w:val="00E74941"/>
    <w:pPr>
      <w:spacing w:after="0" w:line="240" w:lineRule="auto"/>
    </w:pPr>
    <w:rPr>
      <w:rFonts w:ascii="Aptos" w:eastAsia="Aptos" w:hAnsi="Aptos"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next w:val="Textoindependiente"/>
    <w:link w:val="TextoindependienteCar"/>
    <w:uiPriority w:val="99"/>
    <w:semiHidden/>
    <w:unhideWhenUsed/>
    <w:rsid w:val="00E74941"/>
    <w:pPr>
      <w:spacing w:after="120"/>
    </w:pPr>
    <w:rPr>
      <w:kern w:val="2"/>
      <w14:ligatures w14:val="standardContextual"/>
    </w:rPr>
  </w:style>
  <w:style w:type="character" w:customStyle="1" w:styleId="TextoindependienteCar">
    <w:name w:val="Texto independiente Car"/>
    <w:basedOn w:val="Fuentedeprrafopredeter"/>
    <w:link w:val="Textoindependiente1"/>
    <w:uiPriority w:val="99"/>
    <w:semiHidden/>
    <w:rsid w:val="00E74941"/>
  </w:style>
  <w:style w:type="paragraph" w:styleId="Textoindependiente">
    <w:name w:val="Body Text"/>
    <w:basedOn w:val="Normal"/>
    <w:link w:val="TextoindependienteCar1"/>
    <w:uiPriority w:val="99"/>
    <w:semiHidden/>
    <w:unhideWhenUsed/>
    <w:rsid w:val="00E74941"/>
    <w:pPr>
      <w:spacing w:after="120"/>
    </w:pPr>
  </w:style>
  <w:style w:type="character" w:customStyle="1" w:styleId="TextoindependienteCar1">
    <w:name w:val="Texto independiente Car1"/>
    <w:basedOn w:val="Fuentedeprrafopredeter"/>
    <w:link w:val="Textoindependiente"/>
    <w:uiPriority w:val="99"/>
    <w:semiHidden/>
    <w:rsid w:val="00E749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8334">
      <w:bodyDiv w:val="1"/>
      <w:marLeft w:val="0"/>
      <w:marRight w:val="0"/>
      <w:marTop w:val="0"/>
      <w:marBottom w:val="0"/>
      <w:divBdr>
        <w:top w:val="none" w:sz="0" w:space="0" w:color="auto"/>
        <w:left w:val="none" w:sz="0" w:space="0" w:color="auto"/>
        <w:bottom w:val="none" w:sz="0" w:space="0" w:color="auto"/>
        <w:right w:val="none" w:sz="0" w:space="0" w:color="auto"/>
      </w:divBdr>
    </w:div>
    <w:div w:id="505362519">
      <w:bodyDiv w:val="1"/>
      <w:marLeft w:val="0"/>
      <w:marRight w:val="0"/>
      <w:marTop w:val="0"/>
      <w:marBottom w:val="0"/>
      <w:divBdr>
        <w:top w:val="none" w:sz="0" w:space="0" w:color="auto"/>
        <w:left w:val="none" w:sz="0" w:space="0" w:color="auto"/>
        <w:bottom w:val="none" w:sz="0" w:space="0" w:color="auto"/>
        <w:right w:val="none" w:sz="0" w:space="0" w:color="auto"/>
      </w:divBdr>
      <w:divsChild>
        <w:div w:id="1727021221">
          <w:marLeft w:val="0"/>
          <w:marRight w:val="0"/>
          <w:marTop w:val="0"/>
          <w:marBottom w:val="0"/>
          <w:divBdr>
            <w:top w:val="none" w:sz="0" w:space="0" w:color="auto"/>
            <w:left w:val="none" w:sz="0" w:space="0" w:color="auto"/>
            <w:bottom w:val="none" w:sz="0" w:space="0" w:color="auto"/>
            <w:right w:val="none" w:sz="0" w:space="0" w:color="auto"/>
          </w:divBdr>
        </w:div>
      </w:divsChild>
    </w:div>
    <w:div w:id="557134249">
      <w:bodyDiv w:val="1"/>
      <w:marLeft w:val="0"/>
      <w:marRight w:val="0"/>
      <w:marTop w:val="0"/>
      <w:marBottom w:val="0"/>
      <w:divBdr>
        <w:top w:val="none" w:sz="0" w:space="0" w:color="auto"/>
        <w:left w:val="none" w:sz="0" w:space="0" w:color="auto"/>
        <w:bottom w:val="none" w:sz="0" w:space="0" w:color="auto"/>
        <w:right w:val="none" w:sz="0" w:space="0" w:color="auto"/>
      </w:divBdr>
    </w:div>
    <w:div w:id="1001160693">
      <w:bodyDiv w:val="1"/>
      <w:marLeft w:val="0"/>
      <w:marRight w:val="0"/>
      <w:marTop w:val="0"/>
      <w:marBottom w:val="0"/>
      <w:divBdr>
        <w:top w:val="none" w:sz="0" w:space="0" w:color="auto"/>
        <w:left w:val="none" w:sz="0" w:space="0" w:color="auto"/>
        <w:bottom w:val="none" w:sz="0" w:space="0" w:color="auto"/>
        <w:right w:val="none" w:sz="0" w:space="0" w:color="auto"/>
      </w:divBdr>
    </w:div>
    <w:div w:id="1871413148">
      <w:bodyDiv w:val="1"/>
      <w:marLeft w:val="0"/>
      <w:marRight w:val="0"/>
      <w:marTop w:val="0"/>
      <w:marBottom w:val="0"/>
      <w:divBdr>
        <w:top w:val="none" w:sz="0" w:space="0" w:color="auto"/>
        <w:left w:val="none" w:sz="0" w:space="0" w:color="auto"/>
        <w:bottom w:val="none" w:sz="0" w:space="0" w:color="auto"/>
        <w:right w:val="none" w:sz="0" w:space="0" w:color="auto"/>
      </w:divBdr>
    </w:div>
    <w:div w:id="19180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54D8-6161-4C1C-998E-372DAA222A9E}">
  <ds:schemaRefs>
    <ds:schemaRef ds:uri="http://purl.org/dc/elements/1.1/"/>
    <ds:schemaRef ds:uri="9d85dbaf-23eb-4e57-a637-93dcacc8b1a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6cb9e4b-f1d1-4245-83ec-6cad768d538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5230F24-1364-4A8A-9C71-8721EF0EB8F3}">
  <ds:schemaRefs>
    <ds:schemaRef ds:uri="http://schemas.microsoft.com/sharepoint/v3/contenttype/forms"/>
  </ds:schemaRefs>
</ds:datastoreItem>
</file>

<file path=customXml/itemProps3.xml><?xml version="1.0" encoding="utf-8"?>
<ds:datastoreItem xmlns:ds="http://schemas.openxmlformats.org/officeDocument/2006/customXml" ds:itemID="{0F826C76-FCD0-4262-8E4A-93810D4A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73FC6-D093-4F3D-922C-81CD5C8C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3528</Words>
  <Characters>19406</Characters>
  <Application>Microsoft Office Word</Application>
  <DocSecurity>0</DocSecurity>
  <Lines>161</Lines>
  <Paragraphs>45</Paragraphs>
  <ScaleCrop>false</ScaleCrop>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Betty Elena Díaz Fernandez</cp:lastModifiedBy>
  <cp:revision>2</cp:revision>
  <dcterms:created xsi:type="dcterms:W3CDTF">2024-10-27T23:12:00Z</dcterms:created>
  <dcterms:modified xsi:type="dcterms:W3CDTF">2024-10-27T23:12:00Z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