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2547" w14:textId="5B7370CE" w:rsidR="00DA47D2" w:rsidRPr="00044392" w:rsidRDefault="00DA47D2" w:rsidP="00D731DF">
      <w:pPr>
        <w:spacing w:line="276" w:lineRule="auto"/>
        <w:ind w:right="758"/>
        <w:jc w:val="both"/>
        <w:rPr>
          <w:rFonts w:ascii="Verdana" w:eastAsia="Calibri" w:hAnsi="Verdana" w:cs="Arial"/>
          <w:b/>
          <w:color w:val="000000" w:themeColor="text1"/>
          <w:lang w:val="es-MX"/>
        </w:rPr>
      </w:pPr>
      <w:r w:rsidRPr="00044392">
        <w:rPr>
          <w:rFonts w:ascii="Verdana" w:eastAsia="Calibri" w:hAnsi="Verdana" w:cs="Arial"/>
          <w:b/>
          <w:color w:val="000000" w:themeColor="text1"/>
          <w:lang w:val="es-MX"/>
        </w:rPr>
        <w:t>CONTRATO</w:t>
      </w:r>
      <w:r>
        <w:rPr>
          <w:rFonts w:ascii="Verdana" w:eastAsia="Calibri" w:hAnsi="Verdana" w:cs="Arial"/>
          <w:b/>
          <w:color w:val="000000" w:themeColor="text1"/>
          <w:lang w:val="es-MX"/>
        </w:rPr>
        <w:t xml:space="preserve"> DE PRESTACIÓN DE SERVICIOS </w:t>
      </w:r>
      <w:r w:rsidRPr="00044392">
        <w:rPr>
          <w:rFonts w:ascii="Verdana" w:eastAsia="Calibri" w:hAnsi="Verdana" w:cs="Arial"/>
          <w:b/>
          <w:color w:val="000000" w:themeColor="text1"/>
          <w:lang w:val="es-MX"/>
        </w:rPr>
        <w:t>–</w:t>
      </w:r>
      <w:r w:rsidR="00044392" w:rsidRPr="00044392">
        <w:rPr>
          <w:rFonts w:ascii="Verdana" w:eastAsia="Calibri" w:hAnsi="Verdana" w:cs="Arial"/>
          <w:b/>
          <w:bCs/>
          <w:color w:val="000000" w:themeColor="text1"/>
          <w:lang w:val="es-MX"/>
        </w:rPr>
        <w:t> Concepto – Requisitos</w:t>
      </w:r>
      <w:r w:rsidRPr="00044392">
        <w:rPr>
          <w:rFonts w:ascii="Verdana" w:eastAsia="Calibri" w:hAnsi="Verdana" w:cs="Arial"/>
          <w:b/>
          <w:color w:val="000000" w:themeColor="text1"/>
          <w:lang w:val="es-MX"/>
        </w:rPr>
        <w:t xml:space="preserve"> y</w:t>
      </w:r>
      <w:r w:rsidR="00044392" w:rsidRPr="00044392">
        <w:rPr>
          <w:rFonts w:ascii="Verdana" w:eastAsia="Calibri" w:hAnsi="Verdana" w:cs="Arial"/>
          <w:b/>
          <w:bCs/>
          <w:color w:val="000000" w:themeColor="text1"/>
          <w:lang w:val="es-MX"/>
        </w:rPr>
        <w:t xml:space="preserve"> límites</w:t>
      </w:r>
      <w:r w:rsidRPr="00044392">
        <w:rPr>
          <w:rFonts w:ascii="Verdana" w:eastAsia="Calibri" w:hAnsi="Verdana" w:cs="Arial"/>
          <w:b/>
          <w:color w:val="000000" w:themeColor="text1"/>
          <w:lang w:val="es-MX"/>
        </w:rPr>
        <w:t xml:space="preserve"> para su celebración</w:t>
      </w:r>
      <w:r w:rsidR="00D731DF">
        <w:rPr>
          <w:rFonts w:ascii="Verdana" w:eastAsia="Calibri" w:hAnsi="Verdana" w:cs="Arial"/>
          <w:b/>
          <w:bCs/>
          <w:color w:val="000000" w:themeColor="text1"/>
          <w:lang w:val="es-MX"/>
        </w:rPr>
        <w:t>:</w:t>
      </w:r>
    </w:p>
    <w:p w14:paraId="1026D2B0" w14:textId="77777777" w:rsidR="00F52B4C" w:rsidRPr="00044392" w:rsidRDefault="00044392" w:rsidP="00044392">
      <w:pPr>
        <w:spacing w:line="240" w:lineRule="auto"/>
        <w:ind w:right="758"/>
        <w:jc w:val="both"/>
        <w:rPr>
          <w:rFonts w:ascii="Verdana" w:eastAsia="Calibri" w:hAnsi="Verdana" w:cs="Arial"/>
          <w:color w:val="000000" w:themeColor="text1"/>
          <w:lang w:val="es-MX"/>
        </w:rPr>
      </w:pPr>
      <w:r w:rsidRPr="00044392">
        <w:rPr>
          <w:rFonts w:ascii="Verdana" w:eastAsia="Calibri" w:hAnsi="Verdana" w:cs="Arial"/>
          <w:color w:val="000000" w:themeColor="text1"/>
          <w:lang w:val="es-MX"/>
        </w:rPr>
        <w:t xml:space="preserve">El contrato de prestación de servicios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w:t>
      </w:r>
      <w:r w:rsidR="00F52B4C" w:rsidRPr="00044392">
        <w:rPr>
          <w:rFonts w:ascii="Verdana" w:eastAsia="Calibri" w:hAnsi="Verdana" w:cs="Arial"/>
          <w:color w:val="000000" w:themeColor="text1"/>
          <w:lang w:val="es-MX"/>
        </w:rPr>
        <w:t xml:space="preserve">i) Solo puede celebrarse para realizar </w:t>
      </w:r>
      <w:r w:rsidR="00532E60" w:rsidRPr="00044392">
        <w:rPr>
          <w:rFonts w:ascii="Verdana" w:eastAsia="Calibri" w:hAnsi="Verdana" w:cs="Arial"/>
          <w:color w:val="000000" w:themeColor="text1"/>
          <w:lang w:val="es-MX"/>
        </w:rPr>
        <w:t>“</w:t>
      </w:r>
      <w:r w:rsidR="00F52B4C" w:rsidRPr="00044392">
        <w:rPr>
          <w:rFonts w:ascii="Verdana" w:eastAsia="Calibri" w:hAnsi="Verdana" w:cs="Arial"/>
          <w:color w:val="000000" w:themeColor="text1"/>
          <w:lang w:val="es-MX"/>
        </w:rPr>
        <w:t>actividades relacionadas con la administración o funcionamiento de la entidad</w:t>
      </w:r>
      <w:r w:rsidR="00075538" w:rsidRPr="00044392">
        <w:rPr>
          <w:rFonts w:ascii="Verdana" w:eastAsia="Calibri" w:hAnsi="Verdana" w:cs="Arial"/>
          <w:color w:val="000000" w:themeColor="text1"/>
          <w:lang w:val="es-MX"/>
        </w:rPr>
        <w:t>”</w:t>
      </w:r>
      <w:r w:rsidR="00F52B4C" w:rsidRPr="00044392">
        <w:rPr>
          <w:rFonts w:ascii="Verdana" w:eastAsia="Calibri" w:hAnsi="Verdana" w:cs="Arial"/>
          <w:color w:val="000000" w:themeColor="text1"/>
          <w:lang w:val="es-MX"/>
        </w:rPr>
        <w:t>, es decir, que hagan parte de su giro ordinario o quehacer cotidiano</w:t>
      </w:r>
      <w:r w:rsidRPr="00044392">
        <w:rPr>
          <w:rFonts w:ascii="Verdana" w:eastAsia="Calibri" w:hAnsi="Verdana" w:cs="Arial"/>
          <w:color w:val="000000" w:themeColor="text1"/>
          <w:lang w:val="es-MX"/>
        </w:rPr>
        <w:t xml:space="preserve">; </w:t>
      </w:r>
      <w:proofErr w:type="spellStart"/>
      <w:r w:rsidR="00F52B4C" w:rsidRPr="00044392">
        <w:rPr>
          <w:rFonts w:ascii="Verdana" w:eastAsia="Calibri" w:hAnsi="Verdana" w:cs="Arial"/>
          <w:color w:val="000000" w:themeColor="text1"/>
          <w:lang w:val="es-MX"/>
        </w:rPr>
        <w:t>ii</w:t>
      </w:r>
      <w:proofErr w:type="spellEnd"/>
      <w:r w:rsidR="00F52B4C" w:rsidRPr="00044392">
        <w:rPr>
          <w:rFonts w:ascii="Verdana" w:eastAsia="Calibri" w:hAnsi="Verdana" w:cs="Arial"/>
          <w:color w:val="000000" w:themeColor="text1"/>
          <w:lang w:val="es-MX"/>
        </w:rPr>
        <w:t xml:space="preserve">) admite que se suscriba </w:t>
      </w:r>
      <w:r w:rsidRPr="00044392">
        <w:rPr>
          <w:rFonts w:ascii="Verdana" w:eastAsia="Calibri" w:hAnsi="Verdana" w:cs="Arial"/>
          <w:color w:val="000000" w:themeColor="text1"/>
          <w:lang w:val="es-MX"/>
        </w:rPr>
        <w:t xml:space="preserve">tanto </w:t>
      </w:r>
      <w:r w:rsidR="00F52B4C" w:rsidRPr="00044392">
        <w:rPr>
          <w:rFonts w:ascii="Verdana" w:eastAsia="Calibri" w:hAnsi="Verdana" w:cs="Arial"/>
          <w:color w:val="000000" w:themeColor="text1"/>
          <w:lang w:val="es-MX"/>
        </w:rPr>
        <w:t>con personas naturales</w:t>
      </w:r>
      <w:r w:rsidRPr="00044392">
        <w:rPr>
          <w:rFonts w:ascii="Verdana" w:eastAsia="Calibri" w:hAnsi="Verdana" w:cs="Arial"/>
          <w:color w:val="000000" w:themeColor="text1"/>
          <w:lang w:val="es-MX"/>
        </w:rPr>
        <w:t>, como con personas</w:t>
      </w:r>
      <w:r w:rsidR="00F52B4C" w:rsidRPr="00044392">
        <w:rPr>
          <w:rFonts w:ascii="Verdana" w:eastAsia="Calibri" w:hAnsi="Verdana" w:cs="Arial"/>
          <w:color w:val="000000" w:themeColor="text1"/>
          <w:lang w:val="es-MX"/>
        </w:rPr>
        <w:t xml:space="preserve"> jurídicas. Sin embargo, </w:t>
      </w:r>
      <w:r w:rsidRPr="00044392">
        <w:rPr>
          <w:rFonts w:ascii="Verdana" w:eastAsia="Calibri" w:hAnsi="Verdana" w:cs="Arial"/>
          <w:color w:val="000000" w:themeColor="text1"/>
          <w:lang w:val="es-MX"/>
        </w:rPr>
        <w:t>cuando pretenda celebrarse con una persona natural</w:t>
      </w:r>
      <w:r w:rsidR="00F52B4C" w:rsidRPr="00044392">
        <w:rPr>
          <w:rFonts w:ascii="Verdana" w:eastAsia="Calibri" w:hAnsi="Verdana" w:cs="Arial"/>
          <w:color w:val="000000" w:themeColor="text1"/>
          <w:lang w:val="es-MX"/>
        </w:rPr>
        <w:t>, la entidad estatal debe justificar en los estudios previos</w:t>
      </w:r>
      <w:r w:rsidRPr="00044392">
        <w:rPr>
          <w:rFonts w:ascii="Verdana" w:eastAsia="Calibri" w:hAnsi="Verdana" w:cs="Arial"/>
          <w:color w:val="000000" w:themeColor="text1"/>
          <w:lang w:val="es-MX"/>
        </w:rPr>
        <w:t xml:space="preserve"> que las actividades que buscan encomendarse a aquella</w:t>
      </w:r>
      <w:r w:rsidR="00F52B4C" w:rsidRPr="00044392">
        <w:rPr>
          <w:rFonts w:ascii="Verdana" w:eastAsia="Calibri" w:hAnsi="Verdana" w:cs="Arial"/>
          <w:color w:val="000000" w:themeColor="text1"/>
          <w:lang w:val="es-MX"/>
        </w:rPr>
        <w:t xml:space="preserve"> </w:t>
      </w:r>
      <w:r w:rsidR="00532E60" w:rsidRPr="00044392">
        <w:rPr>
          <w:rFonts w:ascii="Verdana" w:eastAsia="Calibri" w:hAnsi="Verdana" w:cs="Arial"/>
          <w:color w:val="000000" w:themeColor="text1"/>
          <w:lang w:val="es-MX"/>
        </w:rPr>
        <w:t>“</w:t>
      </w:r>
      <w:r w:rsidR="00F52B4C" w:rsidRPr="00044392">
        <w:rPr>
          <w:rFonts w:ascii="Verdana" w:eastAsia="Calibri" w:hAnsi="Verdana" w:cs="Arial"/>
          <w:color w:val="000000" w:themeColor="text1"/>
          <w:lang w:val="es-MX"/>
        </w:rPr>
        <w:t>no puedan realizarse con personal de planta o requieran conocimientos especializados</w:t>
      </w:r>
      <w:r w:rsidRPr="00044392">
        <w:rPr>
          <w:rFonts w:ascii="Verdana" w:eastAsia="Calibri" w:hAnsi="Verdana" w:cs="Arial"/>
          <w:color w:val="000000" w:themeColor="text1"/>
          <w:lang w:val="es-MX"/>
        </w:rPr>
        <w:t xml:space="preserve">”; </w:t>
      </w:r>
      <w:proofErr w:type="spellStart"/>
      <w:r w:rsidR="00F52B4C" w:rsidRPr="00044392">
        <w:rPr>
          <w:rFonts w:ascii="Verdana" w:eastAsia="Calibri" w:hAnsi="Verdana" w:cs="Arial"/>
          <w:color w:val="000000" w:themeColor="text1"/>
          <w:lang w:val="es-MX"/>
        </w:rPr>
        <w:t>iii</w:t>
      </w:r>
      <w:proofErr w:type="spellEnd"/>
      <w:r w:rsidR="00F52B4C" w:rsidRPr="00044392">
        <w:rPr>
          <w:rFonts w:ascii="Verdana" w:eastAsia="Calibri" w:hAnsi="Verdana" w:cs="Arial"/>
          <w:color w:val="000000" w:themeColor="text1"/>
          <w:lang w:val="es-MX"/>
        </w:rPr>
        <w:t xml:space="preserve">) </w:t>
      </w:r>
      <w:r w:rsidRPr="00044392">
        <w:rPr>
          <w:rFonts w:ascii="Verdana" w:eastAsia="Calibri" w:hAnsi="Verdana" w:cs="Arial"/>
          <w:color w:val="000000" w:themeColor="text1"/>
          <w:lang w:val="es-MX"/>
        </w:rPr>
        <w:t>si</w:t>
      </w:r>
      <w:r w:rsidR="00F52B4C" w:rsidRPr="00044392">
        <w:rPr>
          <w:rFonts w:ascii="Verdana" w:eastAsia="Calibri" w:hAnsi="Verdana" w:cs="Arial"/>
          <w:color w:val="000000" w:themeColor="text1"/>
          <w:lang w:val="es-MX"/>
        </w:rPr>
        <w:t xml:space="preserve"> bien se </w:t>
      </w:r>
      <w:r w:rsidRPr="00044392">
        <w:rPr>
          <w:rFonts w:ascii="Verdana" w:eastAsia="Calibri" w:hAnsi="Verdana" w:cs="Arial"/>
          <w:color w:val="000000" w:themeColor="text1"/>
          <w:lang w:val="es-MX"/>
        </w:rPr>
        <w:t>celebra</w:t>
      </w:r>
      <w:r w:rsidR="00F52B4C" w:rsidRPr="00044392">
        <w:rPr>
          <w:rFonts w:ascii="Verdana" w:eastAsia="Calibri" w:hAnsi="Verdana" w:cs="Arial"/>
          <w:color w:val="000000" w:themeColor="text1"/>
          <w:lang w:val="es-MX"/>
        </w:rPr>
        <w:t xml:space="preserve"> para obtener la prestación personal de un servicio, se diferencian del contrato de trabajo en que quien celebra el contrato de prestación de servicios </w:t>
      </w:r>
      <w:r w:rsidRPr="00044392">
        <w:rPr>
          <w:rFonts w:ascii="Verdana" w:eastAsia="Calibri" w:hAnsi="Verdana" w:cs="Arial"/>
          <w:color w:val="000000" w:themeColor="text1"/>
          <w:lang w:val="es-MX"/>
        </w:rPr>
        <w:t xml:space="preserve">profesionales </w:t>
      </w:r>
      <w:r w:rsidR="00F52B4C" w:rsidRPr="00044392">
        <w:rPr>
          <w:rFonts w:ascii="Verdana" w:eastAsia="Calibri" w:hAnsi="Verdana" w:cs="Arial"/>
          <w:color w:val="000000" w:themeColor="text1"/>
          <w:lang w:val="es-MX"/>
        </w:rPr>
        <w:t xml:space="preserve">debe mantener autonomía e independencia en la ejecución de la labor, lo que significa que no </w:t>
      </w:r>
      <w:r w:rsidRPr="00044392">
        <w:rPr>
          <w:rFonts w:ascii="Verdana" w:eastAsia="Calibri" w:hAnsi="Verdana" w:cs="Arial"/>
          <w:color w:val="000000" w:themeColor="text1"/>
          <w:lang w:val="es-MX"/>
        </w:rPr>
        <w:t>puede</w:t>
      </w:r>
      <w:r w:rsidR="00F52B4C" w:rsidRPr="00044392">
        <w:rPr>
          <w:rFonts w:ascii="Verdana" w:eastAsia="Calibri" w:hAnsi="Verdana" w:cs="Arial"/>
          <w:color w:val="000000" w:themeColor="text1"/>
          <w:lang w:val="es-MX"/>
        </w:rPr>
        <w:t xml:space="preserve"> existir </w:t>
      </w:r>
      <w:r w:rsidRPr="00044392">
        <w:rPr>
          <w:rFonts w:ascii="Verdana" w:eastAsia="Calibri" w:hAnsi="Verdana" w:cs="Arial"/>
          <w:color w:val="000000" w:themeColor="text1"/>
          <w:lang w:val="es-MX"/>
        </w:rPr>
        <w:t>la </w:t>
      </w:r>
      <w:r w:rsidR="00F52B4C" w:rsidRPr="00044392">
        <w:rPr>
          <w:rFonts w:ascii="Verdana" w:eastAsia="Calibri" w:hAnsi="Verdana" w:cs="Arial"/>
          <w:i/>
          <w:color w:val="000000" w:themeColor="text1"/>
          <w:lang w:val="es-MX"/>
        </w:rPr>
        <w:t xml:space="preserve">subordinación </w:t>
      </w:r>
      <w:r w:rsidRPr="00044392">
        <w:rPr>
          <w:rFonts w:ascii="Verdana" w:eastAsia="Calibri" w:hAnsi="Verdana" w:cs="Arial"/>
          <w:i/>
          <w:iCs/>
          <w:color w:val="000000" w:themeColor="text1"/>
          <w:lang w:val="es-MX"/>
        </w:rPr>
        <w:t>y</w:t>
      </w:r>
      <w:r w:rsidR="00F52B4C" w:rsidRPr="00044392">
        <w:rPr>
          <w:rFonts w:ascii="Verdana" w:eastAsia="Calibri" w:hAnsi="Verdana" w:cs="Arial"/>
          <w:i/>
          <w:color w:val="000000" w:themeColor="text1"/>
          <w:lang w:val="es-MX"/>
        </w:rPr>
        <w:t xml:space="preserve"> dependencia</w:t>
      </w:r>
      <w:r w:rsidRPr="00044392">
        <w:rPr>
          <w:rFonts w:ascii="Verdana" w:eastAsia="Calibri" w:hAnsi="Verdana" w:cs="Arial"/>
          <w:color w:val="000000" w:themeColor="text1"/>
          <w:lang w:val="es-MX"/>
        </w:rPr>
        <w:t> </w:t>
      </w:r>
      <w:r w:rsidR="00F52B4C" w:rsidRPr="00044392">
        <w:rPr>
          <w:rFonts w:ascii="Verdana" w:eastAsia="Calibri" w:hAnsi="Verdana" w:cs="Arial"/>
          <w:color w:val="000000" w:themeColor="text1"/>
          <w:lang w:val="es-MX"/>
        </w:rPr>
        <w:t>que es uno de los elementos constitutivos del vínculo laboral</w:t>
      </w:r>
      <w:r w:rsidRPr="00044392">
        <w:rPr>
          <w:rFonts w:ascii="Verdana" w:eastAsia="Calibri" w:hAnsi="Verdana" w:cs="Arial"/>
          <w:color w:val="000000" w:themeColor="text1"/>
          <w:lang w:val="es-MX"/>
        </w:rPr>
        <w:t xml:space="preserve">; </w:t>
      </w:r>
      <w:r w:rsidR="00F52B4C" w:rsidRPr="00044392">
        <w:rPr>
          <w:rFonts w:ascii="Verdana" w:eastAsia="Calibri" w:hAnsi="Verdana" w:cs="Arial"/>
          <w:color w:val="000000" w:themeColor="text1"/>
          <w:lang w:val="es-MX"/>
        </w:rPr>
        <w:t xml:space="preserve">iv) </w:t>
      </w:r>
      <w:r w:rsidRPr="00044392">
        <w:rPr>
          <w:rFonts w:ascii="Verdana" w:eastAsia="Calibri" w:hAnsi="Verdana" w:cs="Arial"/>
          <w:color w:val="000000" w:themeColor="text1"/>
          <w:lang w:val="es-MX"/>
        </w:rPr>
        <w:t xml:space="preserve">debe ser </w:t>
      </w:r>
      <w:r w:rsidR="00F52B4C" w:rsidRPr="00044392">
        <w:rPr>
          <w:rFonts w:ascii="Verdana" w:eastAsia="Calibri" w:hAnsi="Verdana" w:cs="Arial"/>
          <w:color w:val="000000" w:themeColor="text1"/>
          <w:lang w:val="es-MX"/>
        </w:rPr>
        <w:t>temporal</w:t>
      </w:r>
      <w:r w:rsidRPr="00044392">
        <w:rPr>
          <w:rFonts w:ascii="Verdana" w:eastAsia="Calibri" w:hAnsi="Verdana" w:cs="Arial"/>
          <w:color w:val="000000" w:themeColor="text1"/>
          <w:lang w:val="es-MX"/>
        </w:rPr>
        <w:t xml:space="preserve">; </w:t>
      </w:r>
      <w:r w:rsidR="00F52B4C" w:rsidRPr="00044392">
        <w:rPr>
          <w:rFonts w:ascii="Verdana" w:eastAsia="Calibri" w:hAnsi="Verdana" w:cs="Arial"/>
          <w:color w:val="000000" w:themeColor="text1"/>
          <w:lang w:val="es-MX"/>
        </w:rPr>
        <w:t xml:space="preserve">v) </w:t>
      </w:r>
      <w:r w:rsidRPr="00044392">
        <w:rPr>
          <w:rFonts w:ascii="Verdana" w:eastAsia="Calibri" w:hAnsi="Verdana" w:cs="Arial"/>
          <w:color w:val="000000" w:themeColor="text1"/>
          <w:lang w:val="es-MX"/>
        </w:rPr>
        <w:t xml:space="preserve">es un género que incluye, como especies, los contratos de prestación de servicios profesionales, los contratos de prestación de servicios de apoyo a la gestión y los contratos de prestación de servicios artísticos; </w:t>
      </w:r>
      <w:r w:rsidR="00F52B4C" w:rsidRPr="00044392">
        <w:rPr>
          <w:rFonts w:ascii="Verdana" w:eastAsia="Calibri" w:hAnsi="Verdana" w:cs="Arial"/>
          <w:color w:val="000000" w:themeColor="text1"/>
          <w:lang w:val="es-MX"/>
        </w:rPr>
        <w:t xml:space="preserve">vi) </w:t>
      </w:r>
      <w:r w:rsidRPr="00044392">
        <w:rPr>
          <w:rFonts w:ascii="Verdana" w:eastAsia="Calibri" w:hAnsi="Verdana" w:cs="Arial"/>
          <w:color w:val="000000" w:themeColor="text1"/>
          <w:lang w:val="es-MX"/>
        </w:rPr>
        <w:t xml:space="preserve">su celebración debe realizarse a través de la modalidad de contratación directa; </w:t>
      </w:r>
      <w:proofErr w:type="spellStart"/>
      <w:r w:rsidRPr="00044392">
        <w:rPr>
          <w:rFonts w:ascii="Verdana" w:eastAsia="Calibri" w:hAnsi="Verdana" w:cs="Arial"/>
          <w:color w:val="000000" w:themeColor="text1"/>
          <w:lang w:val="es-MX"/>
        </w:rPr>
        <w:t>vii</w:t>
      </w:r>
      <w:proofErr w:type="spellEnd"/>
      <w:r w:rsidRPr="00044392">
        <w:rPr>
          <w:rFonts w:ascii="Verdana" w:eastAsia="Calibri" w:hAnsi="Verdana" w:cs="Arial"/>
          <w:color w:val="000000" w:themeColor="text1"/>
          <w:lang w:val="es-MX"/>
        </w:rPr>
        <w:t xml:space="preserve">) para </w:t>
      </w:r>
      <w:r w:rsidR="00F52B4C" w:rsidRPr="00044392">
        <w:rPr>
          <w:rFonts w:ascii="Verdana" w:eastAsia="Calibri" w:hAnsi="Verdana" w:cs="Arial"/>
          <w:color w:val="000000" w:themeColor="text1"/>
          <w:lang w:val="es-MX"/>
        </w:rPr>
        <w:t xml:space="preserve">su celebración no se requiere </w:t>
      </w:r>
      <w:r w:rsidRPr="00044392">
        <w:rPr>
          <w:rFonts w:ascii="Verdana" w:eastAsia="Calibri" w:hAnsi="Verdana" w:cs="Arial"/>
          <w:color w:val="000000" w:themeColor="text1"/>
          <w:lang w:val="es-MX"/>
        </w:rPr>
        <w:t>la expedición del</w:t>
      </w:r>
      <w:r w:rsidR="00F52B4C" w:rsidRPr="00044392">
        <w:rPr>
          <w:rFonts w:ascii="Verdana" w:eastAsia="Calibri" w:hAnsi="Verdana" w:cs="Arial"/>
          <w:color w:val="000000" w:themeColor="text1"/>
          <w:lang w:val="es-MX"/>
        </w:rPr>
        <w:t xml:space="preserve"> acto administrativo de justificación de la contratación directa</w:t>
      </w:r>
      <w:r w:rsidRPr="00044392">
        <w:rPr>
          <w:rFonts w:ascii="Verdana" w:eastAsia="Calibri" w:hAnsi="Verdana" w:cs="Arial"/>
          <w:color w:val="000000" w:themeColor="text1"/>
          <w:lang w:val="es-MX"/>
        </w:rPr>
        <w:t xml:space="preserve">; </w:t>
      </w:r>
      <w:proofErr w:type="spellStart"/>
      <w:r w:rsidRPr="00044392">
        <w:rPr>
          <w:rFonts w:ascii="Verdana" w:eastAsia="Calibri" w:hAnsi="Verdana" w:cs="Arial"/>
          <w:color w:val="000000" w:themeColor="text1"/>
          <w:lang w:val="es-MX"/>
        </w:rPr>
        <w:t>viii</w:t>
      </w:r>
      <w:proofErr w:type="spellEnd"/>
      <w:r w:rsidRPr="00044392">
        <w:rPr>
          <w:rFonts w:ascii="Verdana" w:eastAsia="Calibri" w:hAnsi="Verdana" w:cs="Arial"/>
          <w:color w:val="000000" w:themeColor="text1"/>
          <w:lang w:val="es-MX"/>
        </w:rPr>
        <w:t xml:space="preserve">) </w:t>
      </w:r>
      <w:r w:rsidR="00F52B4C" w:rsidRPr="00044392">
        <w:rPr>
          <w:rFonts w:ascii="Verdana" w:eastAsia="Calibri" w:hAnsi="Verdana" w:cs="Arial"/>
          <w:color w:val="000000" w:themeColor="text1"/>
          <w:lang w:val="es-MX"/>
        </w:rPr>
        <w:t xml:space="preserve">admite </w:t>
      </w:r>
      <w:r w:rsidRPr="00044392">
        <w:rPr>
          <w:rFonts w:ascii="Verdana" w:eastAsia="Calibri" w:hAnsi="Verdana" w:cs="Arial"/>
          <w:color w:val="000000" w:themeColor="text1"/>
          <w:lang w:val="es-MX"/>
        </w:rPr>
        <w:t>el pacto</w:t>
      </w:r>
      <w:r w:rsidR="00F52B4C" w:rsidRPr="00044392">
        <w:rPr>
          <w:rFonts w:ascii="Verdana" w:eastAsia="Calibri" w:hAnsi="Verdana" w:cs="Arial"/>
          <w:color w:val="000000" w:themeColor="text1"/>
          <w:lang w:val="es-MX"/>
        </w:rPr>
        <w:t xml:space="preserve"> de cláusulas excepcionales</w:t>
      </w:r>
      <w:r w:rsidRPr="00044392">
        <w:rPr>
          <w:rFonts w:ascii="Verdana" w:eastAsia="Calibri" w:hAnsi="Verdana" w:cs="Arial"/>
          <w:color w:val="000000" w:themeColor="text1"/>
          <w:lang w:val="es-MX"/>
        </w:rPr>
        <w:t xml:space="preserve">; </w:t>
      </w:r>
      <w:proofErr w:type="spellStart"/>
      <w:r w:rsidRPr="00044392">
        <w:rPr>
          <w:rFonts w:ascii="Verdana" w:eastAsia="Calibri" w:hAnsi="Verdana" w:cs="Arial"/>
          <w:color w:val="000000" w:themeColor="text1"/>
          <w:lang w:val="es-MX"/>
        </w:rPr>
        <w:t>ix</w:t>
      </w:r>
      <w:proofErr w:type="spellEnd"/>
      <w:r w:rsidRPr="00044392">
        <w:rPr>
          <w:rFonts w:ascii="Verdana" w:eastAsia="Calibri" w:hAnsi="Verdana" w:cs="Arial"/>
          <w:color w:val="000000" w:themeColor="text1"/>
          <w:lang w:val="es-MX"/>
        </w:rPr>
        <w:t xml:space="preserve">) en algunos casos no </w:t>
      </w:r>
      <w:r w:rsidR="00F52B4C" w:rsidRPr="00044392">
        <w:rPr>
          <w:rFonts w:ascii="Verdana" w:eastAsia="Calibri" w:hAnsi="Verdana" w:cs="Arial"/>
          <w:color w:val="000000" w:themeColor="text1"/>
          <w:lang w:val="es-MX"/>
        </w:rPr>
        <w:t>es obligatoria la liquidación</w:t>
      </w:r>
      <w:r w:rsidRPr="00044392">
        <w:rPr>
          <w:rFonts w:ascii="Verdana" w:eastAsia="Calibri" w:hAnsi="Verdana" w:cs="Arial"/>
          <w:color w:val="000000" w:themeColor="text1"/>
          <w:lang w:val="es-MX"/>
        </w:rPr>
        <w:t xml:space="preserve">; x) para su </w:t>
      </w:r>
      <w:r w:rsidR="00F52B4C" w:rsidRPr="00044392">
        <w:rPr>
          <w:rFonts w:ascii="Verdana" w:eastAsia="Calibri" w:hAnsi="Verdana" w:cs="Arial"/>
          <w:color w:val="000000" w:themeColor="text1"/>
          <w:lang w:val="es-MX"/>
        </w:rPr>
        <w:t xml:space="preserve">celebración </w:t>
      </w:r>
      <w:r w:rsidRPr="00044392">
        <w:rPr>
          <w:rFonts w:ascii="Verdana" w:eastAsia="Calibri" w:hAnsi="Verdana" w:cs="Arial"/>
          <w:color w:val="000000" w:themeColor="text1"/>
          <w:lang w:val="es-MX"/>
        </w:rPr>
        <w:t>no se requiere inscripción</w:t>
      </w:r>
      <w:r w:rsidR="00F52B4C" w:rsidRPr="00044392">
        <w:rPr>
          <w:rFonts w:ascii="Verdana" w:eastAsia="Calibri" w:hAnsi="Verdana" w:cs="Arial"/>
          <w:color w:val="000000" w:themeColor="text1"/>
          <w:lang w:val="es-MX"/>
        </w:rPr>
        <w:t xml:space="preserve"> en el Registro Único de Proponentes </w:t>
      </w:r>
      <w:r w:rsidRPr="00044392">
        <w:rPr>
          <w:rFonts w:ascii="Verdana" w:eastAsia="Calibri" w:hAnsi="Verdana" w:cs="Arial"/>
          <w:color w:val="000000" w:themeColor="text1"/>
          <w:lang w:val="es-MX"/>
        </w:rPr>
        <w:t>(</w:t>
      </w:r>
      <w:r w:rsidR="00F52B4C" w:rsidRPr="00044392">
        <w:rPr>
          <w:rFonts w:ascii="Verdana" w:eastAsia="Calibri" w:hAnsi="Verdana" w:cs="Arial"/>
          <w:color w:val="000000" w:themeColor="text1"/>
          <w:lang w:val="es-MX"/>
        </w:rPr>
        <w:t>RUP</w:t>
      </w:r>
      <w:r w:rsidRPr="00044392">
        <w:rPr>
          <w:rFonts w:ascii="Verdana" w:eastAsia="Calibri" w:hAnsi="Verdana" w:cs="Arial"/>
          <w:color w:val="000000" w:themeColor="text1"/>
          <w:lang w:val="es-MX"/>
        </w:rPr>
        <w:t xml:space="preserve">); xi) en él no son necesarias las </w:t>
      </w:r>
      <w:r w:rsidR="00F52B4C" w:rsidRPr="00044392">
        <w:rPr>
          <w:rFonts w:ascii="Verdana" w:eastAsia="Calibri" w:hAnsi="Verdana" w:cs="Arial"/>
          <w:color w:val="000000" w:themeColor="text1"/>
          <w:lang w:val="es-MX"/>
        </w:rPr>
        <w:t>garantías.</w:t>
      </w:r>
    </w:p>
    <w:p w14:paraId="39EA2372" w14:textId="5C0884A7" w:rsidR="00F52B4C" w:rsidRDefault="00F52B4C" w:rsidP="00B11C5D">
      <w:pPr>
        <w:spacing w:line="240" w:lineRule="auto"/>
        <w:ind w:right="758"/>
        <w:jc w:val="both"/>
        <w:rPr>
          <w:rFonts w:ascii="Verdana" w:eastAsia="Calibri" w:hAnsi="Verdana" w:cs="Arial"/>
          <w:b/>
          <w:color w:val="000000" w:themeColor="text1"/>
        </w:rPr>
      </w:pPr>
      <w:r w:rsidRPr="0006295E">
        <w:rPr>
          <w:rFonts w:ascii="Verdana" w:eastAsia="Calibri" w:hAnsi="Verdana" w:cs="Arial"/>
          <w:b/>
          <w:color w:val="000000" w:themeColor="text1"/>
        </w:rPr>
        <w:t xml:space="preserve">CONTRATO DE PRESTACIÓN DE SERVICIOS – </w:t>
      </w:r>
      <w:r w:rsidR="00082B90" w:rsidRPr="0006295E">
        <w:rPr>
          <w:rFonts w:ascii="Verdana" w:eastAsia="Calibri" w:hAnsi="Verdana" w:cs="Arial"/>
          <w:b/>
          <w:bCs/>
          <w:color w:val="000000" w:themeColor="text1"/>
        </w:rPr>
        <w:t>Insuficiencia</w:t>
      </w:r>
      <w:r w:rsidRPr="0006295E">
        <w:rPr>
          <w:rFonts w:ascii="Verdana" w:eastAsia="Calibri" w:hAnsi="Verdana" w:cs="Arial"/>
          <w:b/>
          <w:color w:val="000000" w:themeColor="text1"/>
        </w:rPr>
        <w:t xml:space="preserve"> de personal </w:t>
      </w:r>
      <w:r w:rsidR="00082B90" w:rsidRPr="0006295E">
        <w:rPr>
          <w:rFonts w:ascii="Verdana" w:eastAsia="Calibri" w:hAnsi="Verdana" w:cs="Arial"/>
          <w:b/>
          <w:bCs/>
          <w:color w:val="000000" w:themeColor="text1"/>
        </w:rPr>
        <w:t>– Condiciones – Decreto 1068 de 2015 – Artículo 2.8.4.4.5</w:t>
      </w:r>
      <w:r w:rsidR="005A406A" w:rsidRPr="0006295E">
        <w:rPr>
          <w:rFonts w:ascii="Verdana" w:eastAsia="Calibri" w:hAnsi="Verdana" w:cs="Arial"/>
          <w:b/>
          <w:bCs/>
          <w:color w:val="000000" w:themeColor="text1"/>
        </w:rPr>
        <w:t>:</w:t>
      </w:r>
    </w:p>
    <w:p w14:paraId="5B7B5B1F" w14:textId="1D517074" w:rsidR="0006295E" w:rsidRPr="0006295E" w:rsidRDefault="0006295E" w:rsidP="00B11C5D">
      <w:pPr>
        <w:spacing w:line="240" w:lineRule="auto"/>
        <w:ind w:right="758"/>
        <w:jc w:val="both"/>
        <w:rPr>
          <w:rFonts w:ascii="Verdana" w:eastAsia="Calibri" w:hAnsi="Verdana" w:cs="Arial"/>
          <w:b/>
          <w:bCs/>
          <w:color w:val="000000" w:themeColor="text1"/>
          <w:lang w:val="es-MX"/>
        </w:rPr>
      </w:pPr>
      <w:r w:rsidRPr="0006295E">
        <w:rPr>
          <w:rFonts w:ascii="Verdana" w:eastAsia="Calibri" w:hAnsi="Verdana" w:cs="Arial"/>
          <w:color w:val="000000" w:themeColor="text1"/>
          <w:lang w:val="es-MX"/>
        </w:rPr>
        <w:t xml:space="preserve">Establece una restricción en virtud de la cual, en principio, no resulta posible celebrar nuevos contratos de prestación de servicios, cuando la Entidad Estatal tiene vigentes relaciones contractuales vigentes de cualquier índole con un objeto igual al del contrato que se pretende </w:t>
      </w:r>
      <w:r w:rsidRPr="0006295E">
        <w:rPr>
          <w:rFonts w:ascii="Verdana" w:eastAsia="Calibri" w:hAnsi="Verdana" w:cs="Arial"/>
          <w:color w:val="000000" w:themeColor="text1"/>
          <w:lang w:val="es-MX"/>
        </w:rPr>
        <w:lastRenderedPageBreak/>
        <w:t>suscribir. Esto supone una especial carga argumentativa en la justificación de la necesidad, en procura de velar por una planeación adecuada de la contratación de prestación de servicios, de manera que no exista una pluralidad de contratistas vinculados a la Entidad Estatal para la prestación de los mismos servicios</w:t>
      </w:r>
    </w:p>
    <w:p w14:paraId="5525FF6D" w14:textId="77777777" w:rsidR="00ED1B73" w:rsidRPr="00E4307F" w:rsidRDefault="00ED1B73" w:rsidP="00E84E3F">
      <w:pPr>
        <w:spacing w:line="240" w:lineRule="auto"/>
        <w:ind w:left="709" w:right="758"/>
        <w:jc w:val="both"/>
        <w:rPr>
          <w:rFonts w:ascii="Verdana" w:eastAsia="Calibri" w:hAnsi="Verdana" w:cs="Arial"/>
          <w:color w:val="000000" w:themeColor="text1"/>
        </w:rPr>
      </w:pPr>
    </w:p>
    <w:p w14:paraId="5DB3BB29" w14:textId="77777777" w:rsidR="00581E2C" w:rsidRPr="00D711DC" w:rsidRDefault="00581E2C" w:rsidP="00581E2C">
      <w:pPr>
        <w:spacing w:before="100" w:beforeAutospacing="1" w:after="0" w:afterAutospacing="1" w:line="240" w:lineRule="auto"/>
        <w:jc w:val="both"/>
        <w:textAlignment w:val="baseline"/>
        <w:rPr>
          <w:rFonts w:ascii="Verdana" w:eastAsia="Times New Roman" w:hAnsi="Verdana" w:cs="Arial"/>
          <w:b/>
          <w:bCs/>
          <w:sz w:val="20"/>
          <w:szCs w:val="20"/>
          <w:lang w:eastAsia="es-MX"/>
        </w:rPr>
      </w:pPr>
    </w:p>
    <w:p w14:paraId="53200676" w14:textId="77777777" w:rsidR="00184B7F" w:rsidRPr="00E4307F" w:rsidRDefault="00184B7F" w:rsidP="00581E2C">
      <w:pPr>
        <w:spacing w:before="100" w:beforeAutospacing="1" w:after="100" w:afterAutospacing="1" w:line="240" w:lineRule="auto"/>
        <w:jc w:val="both"/>
        <w:textAlignment w:val="baseline"/>
        <w:rPr>
          <w:rFonts w:ascii="Verdana" w:eastAsia="Times New Roman" w:hAnsi="Verdana" w:cs="Arial"/>
          <w:lang w:eastAsia="es-MX"/>
        </w:rPr>
      </w:pPr>
    </w:p>
    <w:p w14:paraId="0EA4AC4B"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5E728167"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69DB232F"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16E1A8F4"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6A1B5B2D"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3685B294"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42209A74"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77D220F0"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53469E5B"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5735FCF9"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4D36B638"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46F97369" w14:textId="77777777" w:rsidR="00184B7F" w:rsidRPr="00E4307F" w:rsidRDefault="00184B7F" w:rsidP="005B6DE8">
      <w:pPr>
        <w:spacing w:before="100" w:beforeAutospacing="1" w:after="0" w:afterAutospacing="1" w:line="240" w:lineRule="auto"/>
        <w:jc w:val="both"/>
        <w:textAlignment w:val="baseline"/>
        <w:rPr>
          <w:rFonts w:ascii="Verdana" w:eastAsia="Times New Roman" w:hAnsi="Verdana" w:cs="Arial"/>
          <w:lang w:eastAsia="es-MX"/>
        </w:rPr>
      </w:pPr>
    </w:p>
    <w:p w14:paraId="6ACD60A7" w14:textId="77777777" w:rsidR="00EB1CB0" w:rsidRPr="00E4307F" w:rsidRDefault="00EB1CB0" w:rsidP="005B6DE8">
      <w:pPr>
        <w:spacing w:before="100" w:beforeAutospacing="1" w:after="0" w:afterAutospacing="1" w:line="240" w:lineRule="auto"/>
        <w:jc w:val="both"/>
        <w:textAlignment w:val="baseline"/>
        <w:rPr>
          <w:rFonts w:ascii="Verdana" w:eastAsia="Times New Roman" w:hAnsi="Verdana" w:cs="Arial"/>
          <w:lang w:eastAsia="es-MX"/>
        </w:rPr>
      </w:pPr>
    </w:p>
    <w:p w14:paraId="6401DAE1" w14:textId="77777777" w:rsidR="00EB1CB0" w:rsidRDefault="00EB1CB0" w:rsidP="005B6DE8">
      <w:pPr>
        <w:spacing w:before="100" w:beforeAutospacing="1" w:after="0" w:afterAutospacing="1" w:line="240" w:lineRule="auto"/>
        <w:jc w:val="both"/>
        <w:textAlignment w:val="baseline"/>
        <w:rPr>
          <w:rFonts w:ascii="Verdana" w:eastAsia="Times New Roman" w:hAnsi="Verdana" w:cs="Arial"/>
          <w:lang w:eastAsia="es-MX"/>
        </w:rPr>
      </w:pPr>
    </w:p>
    <w:p w14:paraId="73FEA682" w14:textId="409E986B" w:rsidR="00852A2B" w:rsidRPr="0044528D" w:rsidRDefault="00E46B64" w:rsidP="00852A2B">
      <w:pPr>
        <w:spacing w:after="0"/>
        <w:rPr>
          <w:rFonts w:ascii="Verdana" w:hAnsi="Verdana"/>
        </w:rPr>
      </w:pPr>
      <w:r w:rsidRPr="00E46B64">
        <w:rPr>
          <w:rFonts w:ascii="Verdana" w:hAnsi="Verdana"/>
        </w:rPr>
        <w:lastRenderedPageBreak/>
        <w:t xml:space="preserve">Bogotá D.C., 16 </w:t>
      </w:r>
      <w:proofErr w:type="gramStart"/>
      <w:r w:rsidRPr="00E46B64">
        <w:rPr>
          <w:rFonts w:ascii="Verdana" w:hAnsi="Verdana"/>
        </w:rPr>
        <w:t>Octubre</w:t>
      </w:r>
      <w:proofErr w:type="gramEnd"/>
      <w:r w:rsidRPr="00E46B64">
        <w:rPr>
          <w:rFonts w:ascii="Verdana" w:hAnsi="Verdana"/>
        </w:rPr>
        <w:t xml:space="preserve"> 2024</w:t>
      </w:r>
      <w:r w:rsidR="00852A2B" w:rsidRPr="0044528D">
        <w:rPr>
          <w:rFonts w:ascii="Verdana" w:hAnsi="Verdana"/>
        </w:rPr>
        <w:tab/>
      </w:r>
    </w:p>
    <w:p w14:paraId="0B46BEDE" w14:textId="77777777" w:rsidR="00852A2B" w:rsidRPr="000D4498" w:rsidRDefault="00852A2B" w:rsidP="00852A2B">
      <w:pPr>
        <w:spacing w:after="0" w:line="240" w:lineRule="auto"/>
        <w:jc w:val="both"/>
        <w:rPr>
          <w:rFonts w:ascii="Verdana" w:eastAsia="Calibri" w:hAnsi="Verdana" w:cs="Arial"/>
          <w:color w:val="000000"/>
        </w:rPr>
      </w:pPr>
    </w:p>
    <w:p w14:paraId="34150505" w14:textId="70E9D8E2" w:rsidR="00852A2B" w:rsidRPr="00E4307F" w:rsidRDefault="00852A2B" w:rsidP="00852A2B">
      <w:pPr>
        <w:spacing w:after="0" w:line="240" w:lineRule="auto"/>
        <w:jc w:val="both"/>
        <w:rPr>
          <w:rFonts w:ascii="Verdana" w:eastAsia="Calibri" w:hAnsi="Verdana" w:cs="Arial"/>
          <w:lang w:val="es-ES" w:eastAsia="es-ES"/>
        </w:rPr>
      </w:pPr>
      <w:r w:rsidRPr="00E4307F">
        <w:rPr>
          <w:rFonts w:ascii="Verdana" w:eastAsia="Calibri" w:hAnsi="Verdana" w:cs="Arial"/>
          <w:lang w:val="es-ES" w:eastAsia="es-ES"/>
        </w:rPr>
        <w:t>Señora</w:t>
      </w:r>
    </w:p>
    <w:p w14:paraId="256E5767" w14:textId="56324153" w:rsidR="00852A2B" w:rsidRDefault="005F7D55" w:rsidP="00852A2B">
      <w:pPr>
        <w:spacing w:after="0" w:line="240" w:lineRule="auto"/>
        <w:rPr>
          <w:rFonts w:ascii="Verdana" w:eastAsia="Calibri" w:hAnsi="Verdana" w:cs="Arial"/>
          <w:b/>
          <w:bCs/>
          <w:lang w:val="es-ES" w:eastAsia="es-ES"/>
        </w:rPr>
      </w:pPr>
      <w:r w:rsidRPr="005F7D55">
        <w:rPr>
          <w:rFonts w:ascii="Verdana" w:eastAsia="Calibri" w:hAnsi="Verdana" w:cs="Arial"/>
          <w:b/>
          <w:bCs/>
          <w:noProof/>
          <w:color w:val="000000"/>
          <w:lang w:val="es-ES_tradnl" w:eastAsia="es-ES_tradnl"/>
        </w:rPr>
        <w:drawing>
          <wp:anchor distT="0" distB="0" distL="114300" distR="114300" simplePos="0" relativeHeight="251658240" behindDoc="1" locked="0" layoutInCell="1" allowOverlap="1" wp14:anchorId="33F9C930" wp14:editId="7BD0EE35">
            <wp:simplePos x="0" y="0"/>
            <wp:positionH relativeFrom="column">
              <wp:posOffset>3157220</wp:posOffset>
            </wp:positionH>
            <wp:positionV relativeFrom="paragraph">
              <wp:posOffset>6350</wp:posOffset>
            </wp:positionV>
            <wp:extent cx="2096135" cy="572135"/>
            <wp:effectExtent l="0" t="0" r="0" b="0"/>
            <wp:wrapNone/>
            <wp:docPr id="6671234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2343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096135" cy="572135"/>
                    </a:xfrm>
                    <a:prstGeom prst="rect">
                      <a:avLst/>
                    </a:prstGeom>
                  </pic:spPr>
                </pic:pic>
              </a:graphicData>
            </a:graphic>
            <wp14:sizeRelH relativeFrom="margin">
              <wp14:pctWidth>0</wp14:pctWidth>
            </wp14:sizeRelH>
            <wp14:sizeRelV relativeFrom="margin">
              <wp14:pctHeight>0</wp14:pctHeight>
            </wp14:sizeRelV>
          </wp:anchor>
        </w:drawing>
      </w:r>
      <w:r w:rsidR="00852A2B" w:rsidRPr="00FA36AA">
        <w:rPr>
          <w:rFonts w:ascii="Verdana" w:eastAsia="Calibri" w:hAnsi="Verdana" w:cs="Arial"/>
          <w:b/>
          <w:bCs/>
          <w:lang w:val="es-ES" w:eastAsia="es-ES"/>
        </w:rPr>
        <w:t>VERONICA MARIA</w:t>
      </w:r>
      <w:r w:rsidR="00852A2B">
        <w:rPr>
          <w:rFonts w:ascii="Verdana" w:eastAsia="Calibri" w:hAnsi="Verdana" w:cs="Arial"/>
          <w:b/>
          <w:bCs/>
          <w:lang w:val="es-ES" w:eastAsia="es-ES"/>
        </w:rPr>
        <w:t xml:space="preserve"> </w:t>
      </w:r>
      <w:r w:rsidR="00852A2B" w:rsidRPr="00BD7479">
        <w:rPr>
          <w:rFonts w:ascii="Verdana" w:eastAsia="Calibri" w:hAnsi="Verdana" w:cs="Arial"/>
          <w:b/>
          <w:bCs/>
          <w:lang w:eastAsia="es-ES"/>
        </w:rPr>
        <w:t>VILLADA DURANGO</w:t>
      </w:r>
    </w:p>
    <w:p w14:paraId="151BC1F1" w14:textId="5AE8C5B4" w:rsidR="00852A2B" w:rsidRDefault="00852A2B" w:rsidP="00852A2B">
      <w:pPr>
        <w:spacing w:after="0" w:line="240" w:lineRule="auto"/>
        <w:rPr>
          <w:rFonts w:ascii="Verdana" w:eastAsia="Calibri" w:hAnsi="Verdana" w:cs="Arial"/>
          <w:lang w:val="es-ES" w:eastAsia="es-ES"/>
        </w:rPr>
      </w:pPr>
      <w:hyperlink r:id="rId12" w:history="1">
        <w:r w:rsidRPr="00B12767">
          <w:rPr>
            <w:rStyle w:val="Hipervnculo"/>
            <w:rFonts w:ascii="Verdana" w:eastAsia="Calibri" w:hAnsi="Verdana" w:cs="Arial"/>
            <w:lang w:val="es-ES" w:eastAsia="es-ES"/>
          </w:rPr>
          <w:t>veronicavillada07@gmail.com</w:t>
        </w:r>
      </w:hyperlink>
    </w:p>
    <w:p w14:paraId="64EC04E1" w14:textId="7279E7A5" w:rsidR="00852A2B" w:rsidRPr="00E4307F" w:rsidRDefault="00852A2B" w:rsidP="00852A2B">
      <w:pPr>
        <w:spacing w:after="0" w:line="240" w:lineRule="auto"/>
        <w:rPr>
          <w:rFonts w:ascii="Verdana" w:eastAsia="Calibri" w:hAnsi="Verdana" w:cs="Arial"/>
          <w:b/>
          <w:lang w:val="es-ES" w:eastAsia="es-ES"/>
        </w:rPr>
      </w:pPr>
      <w:proofErr w:type="spellStart"/>
      <w:r>
        <w:rPr>
          <w:rFonts w:ascii="Verdana" w:eastAsia="Calibri" w:hAnsi="Verdana" w:cs="Arial"/>
          <w:lang w:val="es-ES" w:eastAsia="es-ES"/>
        </w:rPr>
        <w:t>Medellin</w:t>
      </w:r>
      <w:proofErr w:type="spellEnd"/>
      <w:r>
        <w:rPr>
          <w:rFonts w:ascii="Verdana" w:eastAsia="Calibri" w:hAnsi="Verdana" w:cs="Arial"/>
          <w:lang w:val="es-ES" w:eastAsia="es-ES"/>
        </w:rPr>
        <w:t xml:space="preserve">, Antioquia </w:t>
      </w:r>
    </w:p>
    <w:p w14:paraId="4D840CC5" w14:textId="2CDEC362" w:rsidR="00852A2B" w:rsidRPr="00E4307F" w:rsidRDefault="00852A2B" w:rsidP="00852A2B">
      <w:pPr>
        <w:spacing w:after="0" w:line="240" w:lineRule="auto"/>
        <w:rPr>
          <w:rFonts w:ascii="Verdana" w:eastAsia="Calibri" w:hAnsi="Verdana" w:cs="Arial"/>
          <w:b/>
          <w:bCs/>
          <w:color w:val="000000"/>
          <w:lang w:val="es-ES_tradnl" w:eastAsia="es-ES_tradnl"/>
        </w:rPr>
      </w:pPr>
    </w:p>
    <w:tbl>
      <w:tblPr>
        <w:tblStyle w:val="Tablaconcuadrcula"/>
        <w:tblW w:w="8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7"/>
        <w:gridCol w:w="5382"/>
      </w:tblGrid>
      <w:tr w:rsidR="00852A2B" w:rsidRPr="00E4307F" w14:paraId="43B70AF5" w14:textId="77777777" w:rsidTr="005F7D55">
        <w:trPr>
          <w:trHeight w:val="608"/>
        </w:trPr>
        <w:tc>
          <w:tcPr>
            <w:tcW w:w="3407" w:type="dxa"/>
          </w:tcPr>
          <w:p w14:paraId="5DEAC405" w14:textId="77777777" w:rsidR="00852A2B" w:rsidRPr="00E4307F" w:rsidRDefault="00852A2B" w:rsidP="00F800AD">
            <w:pPr>
              <w:jc w:val="both"/>
              <w:rPr>
                <w:rFonts w:ascii="Verdana" w:eastAsia="Calibri" w:hAnsi="Verdana" w:cs="Arial"/>
                <w:b/>
                <w:bCs/>
                <w:color w:val="7030A0"/>
                <w:lang w:val="es-ES_tradnl" w:eastAsia="es-ES_tradnl"/>
              </w:rPr>
            </w:pPr>
          </w:p>
        </w:tc>
        <w:tc>
          <w:tcPr>
            <w:tcW w:w="5382" w:type="dxa"/>
            <w:hideMark/>
          </w:tcPr>
          <w:p w14:paraId="126EE795" w14:textId="77777777" w:rsidR="00852A2B" w:rsidRPr="00E4307F" w:rsidRDefault="00852A2B" w:rsidP="00F800AD">
            <w:pPr>
              <w:jc w:val="center"/>
              <w:rPr>
                <w:rFonts w:ascii="Verdana" w:eastAsia="Calibri" w:hAnsi="Verdana" w:cs="Arial"/>
                <w:b/>
                <w:bCs/>
                <w:color w:val="7030A0"/>
                <w:lang w:val="es-ES" w:eastAsia="es-ES"/>
              </w:rPr>
            </w:pPr>
            <w:r w:rsidRPr="00E4307F">
              <w:rPr>
                <w:rFonts w:ascii="Verdana" w:eastAsia="Calibri" w:hAnsi="Verdana" w:cs="Arial"/>
                <w:b/>
                <w:bCs/>
                <w:lang w:val="es-ES" w:eastAsia="es-ES"/>
              </w:rPr>
              <w:t xml:space="preserve">Concepto C- </w:t>
            </w:r>
            <w:r>
              <w:rPr>
                <w:rFonts w:ascii="Verdana" w:eastAsia="Calibri" w:hAnsi="Verdana" w:cs="Arial"/>
                <w:b/>
                <w:bCs/>
                <w:lang w:val="es-ES" w:eastAsia="es-ES"/>
              </w:rPr>
              <w:t>578</w:t>
            </w:r>
            <w:r w:rsidRPr="00E4307F">
              <w:rPr>
                <w:rFonts w:ascii="Verdana" w:eastAsia="Calibri" w:hAnsi="Verdana" w:cs="Arial"/>
                <w:b/>
                <w:bCs/>
                <w:lang w:val="es-ES" w:eastAsia="es-ES"/>
              </w:rPr>
              <w:t xml:space="preserve"> de 2024</w:t>
            </w:r>
          </w:p>
        </w:tc>
      </w:tr>
      <w:tr w:rsidR="00852A2B" w:rsidRPr="00E4307F" w14:paraId="175E272B" w14:textId="77777777" w:rsidTr="005F7D55">
        <w:trPr>
          <w:trHeight w:val="884"/>
        </w:trPr>
        <w:tc>
          <w:tcPr>
            <w:tcW w:w="3407" w:type="dxa"/>
            <w:hideMark/>
          </w:tcPr>
          <w:p w14:paraId="602C2BF3" w14:textId="77777777" w:rsidR="00852A2B" w:rsidRPr="00E4307F" w:rsidRDefault="00852A2B" w:rsidP="00F800AD">
            <w:pPr>
              <w:jc w:val="both"/>
              <w:rPr>
                <w:rFonts w:ascii="Verdana" w:eastAsia="Calibri" w:hAnsi="Verdana" w:cs="Arial"/>
                <w:lang w:val="es-ES_tradnl" w:eastAsia="es-ES_tradnl"/>
              </w:rPr>
            </w:pPr>
            <w:r w:rsidRPr="00E4307F">
              <w:rPr>
                <w:rFonts w:ascii="Verdana" w:eastAsia="Calibri" w:hAnsi="Verdana" w:cs="Arial"/>
                <w:b/>
                <w:lang w:val="es-ES_tradnl" w:eastAsia="es-ES_tradnl"/>
              </w:rPr>
              <w:t>Temas:</w:t>
            </w:r>
            <w:r w:rsidRPr="00E4307F">
              <w:rPr>
                <w:rFonts w:ascii="Verdana" w:eastAsia="Calibri" w:hAnsi="Verdana" w:cs="Arial"/>
                <w:lang w:val="es-ES_tradnl" w:eastAsia="es-ES_tradnl"/>
              </w:rPr>
              <w:t xml:space="preserve">                   </w:t>
            </w:r>
          </w:p>
        </w:tc>
        <w:tc>
          <w:tcPr>
            <w:tcW w:w="5382" w:type="dxa"/>
          </w:tcPr>
          <w:p w14:paraId="199EE60B" w14:textId="2DAB5D83" w:rsidR="00852A2B" w:rsidRPr="006355F3" w:rsidRDefault="00852A2B" w:rsidP="00F800AD">
            <w:pPr>
              <w:spacing w:line="276" w:lineRule="auto"/>
              <w:jc w:val="both"/>
              <w:rPr>
                <w:rFonts w:ascii="Verdana" w:eastAsia="Calibri" w:hAnsi="Verdana" w:cs="Arial"/>
                <w:color w:val="000000" w:themeColor="text1"/>
              </w:rPr>
            </w:pPr>
            <w:r w:rsidRPr="005F26B0">
              <w:rPr>
                <w:rFonts w:ascii="Verdana" w:eastAsia="Calibri" w:hAnsi="Verdana" w:cs="Arial"/>
                <w:lang w:val="es-ES" w:eastAsia="es-ES"/>
              </w:rPr>
              <w:t xml:space="preserve"> </w:t>
            </w:r>
            <w:r w:rsidRPr="005F26B0">
              <w:rPr>
                <w:rFonts w:ascii="Verdana" w:hAnsi="Verdana" w:cs="Arial"/>
                <w:color w:val="000000" w:themeColor="text1"/>
                <w:lang w:val="es-ES_tradnl"/>
              </w:rPr>
              <w:t xml:space="preserve">CONTRATO DE PRESTACIÓN DE SERVICIOS ― Concepto ― Requisitos ― Características – límites / </w:t>
            </w:r>
            <w:r w:rsidRPr="005F26B0">
              <w:rPr>
                <w:rFonts w:ascii="Verdana" w:eastAsia="Calibri" w:hAnsi="Verdana" w:cs="Arial"/>
                <w:color w:val="000000" w:themeColor="text1"/>
              </w:rPr>
              <w:t xml:space="preserve">CONTRATO DE PRESTACIÓN DE SERVICIOS – Insuficiencia de personal – Condiciones – Decreto 1068 de 2015 – Artículo 2.8.4.4.5 / CONTRATO </w:t>
            </w:r>
            <w:r w:rsidRPr="006355F3">
              <w:rPr>
                <w:rFonts w:ascii="Verdana" w:eastAsia="Calibri" w:hAnsi="Verdana" w:cs="Arial"/>
                <w:color w:val="000000" w:themeColor="text1"/>
              </w:rPr>
              <w:t xml:space="preserve">ESTATAL </w:t>
            </w:r>
            <w:r w:rsidR="006355F3">
              <w:rPr>
                <w:rFonts w:ascii="Verdana" w:eastAsia="Calibri" w:hAnsi="Verdana" w:cs="Arial"/>
                <w:color w:val="000000" w:themeColor="text1"/>
              </w:rPr>
              <w:t xml:space="preserve">- </w:t>
            </w:r>
            <w:r w:rsidRPr="006355F3">
              <w:rPr>
                <w:rFonts w:ascii="Verdana" w:eastAsia="Calibri" w:hAnsi="Verdana" w:cs="Arial"/>
                <w:color w:val="000000" w:themeColor="text1"/>
              </w:rPr>
              <w:t>J</w:t>
            </w:r>
            <w:r w:rsidRPr="006355F3">
              <w:rPr>
                <w:rFonts w:ascii="Verdana" w:eastAsia="Calibri" w:hAnsi="Verdana"/>
                <w:color w:val="000000" w:themeColor="text1"/>
              </w:rPr>
              <w:t xml:space="preserve">ustificación de la necesidad. </w:t>
            </w:r>
          </w:p>
          <w:p w14:paraId="7FEBE286" w14:textId="77777777" w:rsidR="00852A2B" w:rsidRPr="00E4307F" w:rsidRDefault="00852A2B" w:rsidP="00852A2B">
            <w:pPr>
              <w:pStyle w:val="Prrafodelista"/>
              <w:numPr>
                <w:ilvl w:val="0"/>
                <w:numId w:val="9"/>
              </w:numPr>
              <w:spacing w:line="276" w:lineRule="auto"/>
              <w:ind w:left="0"/>
              <w:jc w:val="both"/>
              <w:rPr>
                <w:rFonts w:ascii="Verdana" w:eastAsia="Calibri" w:hAnsi="Verdana" w:cs="Arial"/>
                <w:lang w:eastAsia="es-ES"/>
              </w:rPr>
            </w:pPr>
          </w:p>
        </w:tc>
      </w:tr>
      <w:tr w:rsidR="00852A2B" w:rsidRPr="00E4307F" w14:paraId="48367121" w14:textId="77777777" w:rsidTr="005F7D55">
        <w:tc>
          <w:tcPr>
            <w:tcW w:w="3407" w:type="dxa"/>
            <w:hideMark/>
          </w:tcPr>
          <w:p w14:paraId="12115319" w14:textId="77777777" w:rsidR="00852A2B" w:rsidRPr="00E4307F" w:rsidRDefault="00852A2B" w:rsidP="00F800AD">
            <w:pPr>
              <w:jc w:val="both"/>
              <w:rPr>
                <w:rFonts w:ascii="Verdana" w:eastAsia="Calibri" w:hAnsi="Verdana" w:cs="Arial"/>
                <w:b/>
                <w:color w:val="7030A0"/>
                <w:lang w:val="es-ES_tradnl" w:eastAsia="es-ES_tradnl"/>
              </w:rPr>
            </w:pPr>
            <w:r w:rsidRPr="00E4307F">
              <w:rPr>
                <w:rFonts w:ascii="Verdana" w:eastAsia="Calibri" w:hAnsi="Verdana" w:cs="Arial"/>
                <w:b/>
                <w:lang w:val="es-ES_tradnl" w:eastAsia="es-ES_tradnl"/>
              </w:rPr>
              <w:t>Radicación:</w:t>
            </w:r>
            <w:r w:rsidRPr="00E4307F">
              <w:rPr>
                <w:rFonts w:ascii="Verdana" w:eastAsia="Calibri" w:hAnsi="Verdana" w:cs="Arial"/>
                <w:lang w:val="es-ES_tradnl" w:eastAsia="es-ES_tradnl"/>
              </w:rPr>
              <w:t xml:space="preserve">               </w:t>
            </w:r>
          </w:p>
        </w:tc>
        <w:tc>
          <w:tcPr>
            <w:tcW w:w="5382" w:type="dxa"/>
            <w:hideMark/>
          </w:tcPr>
          <w:p w14:paraId="3DAD9B95" w14:textId="77777777" w:rsidR="00852A2B" w:rsidRPr="00E4307F" w:rsidRDefault="00852A2B" w:rsidP="00F800AD">
            <w:pPr>
              <w:jc w:val="both"/>
              <w:rPr>
                <w:rFonts w:ascii="Verdana" w:eastAsia="Calibri" w:hAnsi="Verdana" w:cs="Arial"/>
                <w:color w:val="7030A0"/>
                <w:lang w:val="es-ES_tradnl" w:eastAsia="es-ES_tradnl"/>
              </w:rPr>
            </w:pPr>
            <w:r w:rsidRPr="00E4307F">
              <w:rPr>
                <w:rFonts w:ascii="Verdana" w:eastAsia="Calibri" w:hAnsi="Verdana" w:cs="Arial"/>
                <w:lang w:val="es-ES_tradnl" w:eastAsia="es-ES_tradnl"/>
              </w:rPr>
              <w:t xml:space="preserve">Respuesta a consulta con radicado No. </w:t>
            </w:r>
            <w:r w:rsidRPr="00462E82">
              <w:rPr>
                <w:rFonts w:ascii="Verdana" w:eastAsia="Calibri" w:hAnsi="Verdana" w:cs="Arial"/>
                <w:lang w:val="es-ES_tradnl" w:eastAsia="es-ES_tradnl"/>
              </w:rPr>
              <w:t>P20240910009197</w:t>
            </w:r>
          </w:p>
        </w:tc>
      </w:tr>
    </w:tbl>
    <w:p w14:paraId="6B9EDC32" w14:textId="77777777" w:rsidR="00852A2B" w:rsidRPr="00E4307F" w:rsidRDefault="00852A2B" w:rsidP="00852A2B">
      <w:pPr>
        <w:spacing w:after="0" w:line="240" w:lineRule="auto"/>
        <w:jc w:val="both"/>
        <w:rPr>
          <w:rFonts w:ascii="Verdana" w:eastAsia="Calibri" w:hAnsi="Verdana" w:cs="Arial"/>
          <w:color w:val="000000"/>
          <w:lang w:val="es-ES_tradnl" w:eastAsia="es-ES_tradnl"/>
        </w:rPr>
      </w:pPr>
    </w:p>
    <w:p w14:paraId="487268DE" w14:textId="77777777" w:rsidR="00852A2B" w:rsidRPr="00E4307F" w:rsidRDefault="00852A2B" w:rsidP="00852A2B">
      <w:pPr>
        <w:spacing w:after="0" w:line="240" w:lineRule="auto"/>
        <w:jc w:val="both"/>
        <w:rPr>
          <w:rFonts w:ascii="Verdana" w:eastAsia="Calibri" w:hAnsi="Verdana" w:cs="Arial"/>
          <w:color w:val="000000"/>
          <w:lang w:val="es-ES_tradnl" w:eastAsia="es-ES_tradnl"/>
        </w:rPr>
      </w:pPr>
    </w:p>
    <w:p w14:paraId="682DEC7B" w14:textId="77777777" w:rsidR="00852A2B" w:rsidRPr="00E4307F" w:rsidRDefault="00852A2B" w:rsidP="00852A2B">
      <w:pPr>
        <w:spacing w:after="0" w:line="276" w:lineRule="auto"/>
        <w:jc w:val="both"/>
        <w:rPr>
          <w:rFonts w:ascii="Verdana" w:eastAsia="Calibri" w:hAnsi="Verdana" w:cs="Arial"/>
          <w:color w:val="000000" w:themeColor="text1"/>
          <w:lang w:val="es-ES" w:eastAsia="es-ES"/>
        </w:rPr>
      </w:pPr>
      <w:r w:rsidRPr="00E4307F">
        <w:rPr>
          <w:rFonts w:ascii="Verdana" w:eastAsia="Calibri" w:hAnsi="Verdana" w:cs="Arial"/>
          <w:color w:val="000000" w:themeColor="text1"/>
          <w:lang w:val="es-ES" w:eastAsia="es-ES"/>
        </w:rPr>
        <w:t xml:space="preserve">Estimada señora </w:t>
      </w:r>
      <w:r>
        <w:rPr>
          <w:rFonts w:ascii="Verdana" w:eastAsia="Calibri" w:hAnsi="Verdana" w:cs="Arial"/>
          <w:color w:val="000000" w:themeColor="text1"/>
          <w:lang w:val="es-ES" w:eastAsia="es-ES"/>
        </w:rPr>
        <w:t>Villada</w:t>
      </w:r>
      <w:r w:rsidRPr="00E4307F">
        <w:rPr>
          <w:rFonts w:ascii="Verdana" w:eastAsia="Calibri" w:hAnsi="Verdana" w:cs="Arial"/>
          <w:color w:val="000000" w:themeColor="text1"/>
          <w:lang w:val="es-ES" w:eastAsia="es-ES"/>
        </w:rPr>
        <w:t xml:space="preserve">:  </w:t>
      </w:r>
    </w:p>
    <w:p w14:paraId="44D610BC" w14:textId="77777777" w:rsidR="00852A2B" w:rsidRPr="00E4307F" w:rsidRDefault="00852A2B" w:rsidP="00852A2B">
      <w:pPr>
        <w:tabs>
          <w:tab w:val="left" w:pos="3768"/>
        </w:tabs>
        <w:spacing w:after="0" w:line="276" w:lineRule="auto"/>
        <w:jc w:val="both"/>
        <w:rPr>
          <w:rFonts w:ascii="Verdana" w:eastAsia="Calibri" w:hAnsi="Verdana" w:cs="Arial"/>
          <w:color w:val="000000" w:themeColor="text1"/>
          <w:lang w:val="es-ES" w:eastAsia="es-ES"/>
        </w:rPr>
      </w:pPr>
      <w:r w:rsidRPr="00E4307F">
        <w:rPr>
          <w:rFonts w:ascii="Verdana" w:eastAsia="Calibri" w:hAnsi="Verdana" w:cs="Arial"/>
          <w:color w:val="000000" w:themeColor="text1"/>
          <w:lang w:val="es-ES" w:eastAsia="es-ES"/>
        </w:rPr>
        <w:tab/>
      </w:r>
    </w:p>
    <w:p w14:paraId="634CE545" w14:textId="77777777" w:rsidR="00852A2B" w:rsidRPr="00F312E3" w:rsidRDefault="00852A2B" w:rsidP="00852A2B">
      <w:pPr>
        <w:spacing w:after="120" w:line="276" w:lineRule="auto"/>
        <w:jc w:val="both"/>
        <w:rPr>
          <w:rFonts w:ascii="Verdana" w:hAnsi="Verdana" w:cs="Arial"/>
          <w:i/>
          <w:shd w:val="clear" w:color="auto" w:fill="FFFFFF"/>
          <w:lang w:val="es-ES"/>
        </w:rPr>
      </w:pPr>
      <w:r w:rsidRPr="00E4307F">
        <w:rPr>
          <w:rFonts w:ascii="Verdana" w:eastAsia="Calibri" w:hAnsi="Verdana" w:cs="Arial"/>
          <w:color w:val="000000" w:themeColor="text1"/>
          <w:lang w:val="es-ES" w:eastAsia="es-ES"/>
        </w:rPr>
        <w:t>En ejercicio de la competencia otorgada por los artículos 3, numeral 5º, y 11, numeral 8º, del Decreto Ley 4170 de 2011,</w:t>
      </w:r>
      <w:r w:rsidRPr="00E4307F">
        <w:rPr>
          <w:rFonts w:ascii="Verdana" w:eastAsia="Arial MT" w:hAnsi="Verdana" w:cs="Arial MT"/>
          <w:lang w:val="es-ES" w:eastAsia="es-ES"/>
        </w:rPr>
        <w:t xml:space="preserve"> </w:t>
      </w:r>
      <w:r w:rsidRPr="00E4307F">
        <w:rPr>
          <w:rFonts w:ascii="Verdana" w:hAnsi="Verdana" w:cs="Arial"/>
        </w:rPr>
        <w:t xml:space="preserve">así como lo establecido en el artículo 4 de la Resolución 1707 de 2018 expedida por esta Entidad, </w:t>
      </w:r>
      <w:r w:rsidRPr="00E4307F">
        <w:rPr>
          <w:rFonts w:ascii="Verdana" w:eastAsia="Calibri" w:hAnsi="Verdana" w:cs="Arial"/>
          <w:color w:val="000000" w:themeColor="text1"/>
          <w:lang w:val="es-ES" w:eastAsia="es-ES"/>
        </w:rPr>
        <w:t xml:space="preserve">la Agencia Nacional </w:t>
      </w:r>
      <w:r w:rsidRPr="00E4307F">
        <w:rPr>
          <w:rFonts w:ascii="Verdana" w:eastAsia="Calibri" w:hAnsi="Verdana" w:cs="Arial"/>
          <w:lang w:val="es-ES" w:eastAsia="es-ES"/>
        </w:rPr>
        <w:t xml:space="preserve">de Contratación Pública – Colombia Compra Eficiente– responde su solicitud de consulta de fecha </w:t>
      </w:r>
      <w:r>
        <w:rPr>
          <w:rFonts w:ascii="Verdana" w:eastAsia="Calibri" w:hAnsi="Verdana" w:cs="Arial"/>
          <w:lang w:val="es-ES" w:eastAsia="es-ES"/>
        </w:rPr>
        <w:t>10 de septiembre</w:t>
      </w:r>
      <w:r w:rsidRPr="00E4307F">
        <w:rPr>
          <w:rFonts w:ascii="Verdana" w:eastAsia="Calibri" w:hAnsi="Verdana" w:cs="Arial"/>
          <w:lang w:val="es-ES" w:eastAsia="es-ES"/>
        </w:rPr>
        <w:t xml:space="preserve"> de 2024, en la cual manifiesta lo siguiente</w:t>
      </w:r>
      <w:proofErr w:type="gramStart"/>
      <w:r w:rsidRPr="00E4307F">
        <w:rPr>
          <w:rFonts w:ascii="Verdana" w:eastAsia="Calibri" w:hAnsi="Verdana" w:cs="Arial"/>
          <w:lang w:val="es-ES" w:eastAsia="es-ES"/>
        </w:rPr>
        <w:t xml:space="preserve">: </w:t>
      </w:r>
      <w:r w:rsidRPr="00F312E3">
        <w:rPr>
          <w:rFonts w:ascii="Verdana" w:eastAsia="Century Gothic" w:hAnsi="Verdana" w:cs="Century Gothic"/>
          <w:i/>
          <w:iCs/>
        </w:rPr>
        <w:t xml:space="preserve"> “</w:t>
      </w:r>
      <w:proofErr w:type="gramEnd"/>
      <w:r w:rsidRPr="00F312E3">
        <w:rPr>
          <w:rStyle w:val="normaltextrun"/>
          <w:rFonts w:ascii="Verdana" w:hAnsi="Verdana" w:cs="Arial"/>
          <w:i/>
          <w:iCs/>
          <w:shd w:val="clear" w:color="auto" w:fill="FFFFFF"/>
          <w:lang w:val="es-ES"/>
        </w:rPr>
        <w:t>[…]</w:t>
      </w:r>
      <w:r w:rsidRPr="00A650F7">
        <w:rPr>
          <w:rStyle w:val="normaltextrun"/>
          <w:rFonts w:ascii="Verdana" w:hAnsi="Verdana" w:cs="Arial"/>
          <w:i/>
          <w:iCs/>
          <w:shd w:val="clear" w:color="auto" w:fill="FFFFFF"/>
          <w:lang w:val="es-ES"/>
        </w:rPr>
        <w:t xml:space="preserve"> </w:t>
      </w:r>
      <w:bookmarkStart w:id="0" w:name="_Hlk95313578"/>
      <w:r w:rsidRPr="00C907BC">
        <w:rPr>
          <w:rFonts w:ascii="Verdana" w:hAnsi="Verdana" w:cs="Arial"/>
          <w:i/>
          <w:iCs/>
          <w:shd w:val="clear" w:color="auto" w:fill="FFFFFF"/>
        </w:rPr>
        <w:t xml:space="preserve">1. ¿En qué casos aplica dicha certificación de insuficiencia y/o inexistencia de personal en personas jurídicas? 2. </w:t>
      </w:r>
      <w:proofErr w:type="gramStart"/>
      <w:r w:rsidRPr="00C907BC">
        <w:rPr>
          <w:rFonts w:ascii="Verdana" w:hAnsi="Verdana" w:cs="Arial"/>
          <w:i/>
          <w:iCs/>
          <w:shd w:val="clear" w:color="auto" w:fill="FFFFFF"/>
        </w:rPr>
        <w:t xml:space="preserve">Aplica en aquellos contratos de prestación de servicios en los que su alcance no requiera directamente la prestación de servicios con personas naturales, sino de aquellos en los que se busca la provisión de una necesidad con una persona jurídica, que involucra una serie de actividades operativas y logísticas dada las características requeridas par a llevar </w:t>
      </w:r>
      <w:r w:rsidRPr="00C907BC">
        <w:rPr>
          <w:rFonts w:ascii="Verdana" w:hAnsi="Verdana" w:cs="Arial"/>
          <w:i/>
          <w:iCs/>
          <w:shd w:val="clear" w:color="auto" w:fill="FFFFFF"/>
        </w:rPr>
        <w:lastRenderedPageBreak/>
        <w:t>a cabo el desarrollo del contrato, que disponga de las capacidades técnicas, humanas, administrativas, tecnológicas y logísticas?</w:t>
      </w:r>
      <w:proofErr w:type="gramEnd"/>
      <w:r w:rsidRPr="00F312E3">
        <w:rPr>
          <w:rFonts w:ascii="Verdana" w:eastAsia="Century Gothic" w:hAnsi="Verdana" w:cs="Century Gothic"/>
          <w:i/>
          <w:lang w:val="es-ES"/>
        </w:rPr>
        <w:t>”</w:t>
      </w:r>
      <w:bookmarkEnd w:id="0"/>
      <w:r w:rsidRPr="00F312E3">
        <w:rPr>
          <w:rFonts w:ascii="Verdana" w:eastAsia="Century Gothic" w:hAnsi="Verdana" w:cs="Century Gothic"/>
          <w:i/>
          <w:lang w:val="es-ES"/>
        </w:rPr>
        <w:t>.</w:t>
      </w:r>
    </w:p>
    <w:p w14:paraId="18047444" w14:textId="77777777" w:rsidR="00852A2B" w:rsidRPr="00E4307F" w:rsidRDefault="00852A2B" w:rsidP="00852A2B">
      <w:pPr>
        <w:spacing w:after="120" w:line="276" w:lineRule="auto"/>
        <w:ind w:firstLine="426"/>
        <w:jc w:val="both"/>
        <w:rPr>
          <w:rFonts w:ascii="Verdana" w:eastAsia="Calibri" w:hAnsi="Verdana" w:cs="Arial"/>
          <w:lang w:val="es-ES_tradnl" w:eastAsia="es-ES_tradnl"/>
        </w:rPr>
      </w:pPr>
      <w:r w:rsidRPr="00E4307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w:t>
      </w:r>
      <w:r w:rsidRPr="00E4307F">
        <w:rPr>
          <w:rFonts w:ascii="Verdana" w:eastAsia="Calibri" w:hAnsi="Verdana" w:cs="Arial"/>
          <w:lang w:val="es-ES" w:eastAsia="es-ES"/>
        </w:rPr>
        <w:t xml:space="preserve">interpretación de normas generales, por definición, no puede extenderse a la resolución de controversias, ni a brindar asesorías sobre casos puntuales. </w:t>
      </w:r>
      <w:r w:rsidRPr="00E4307F">
        <w:rPr>
          <w:rFonts w:ascii="Verdana" w:eastAsia="Calibri" w:hAnsi="Verdana" w:cs="Arial"/>
          <w:lang w:val="es-ES_tradnl" w:eastAsia="es-ES_tradnl"/>
        </w:rPr>
        <w:tab/>
      </w:r>
    </w:p>
    <w:p w14:paraId="7DED1344" w14:textId="77777777" w:rsidR="00852A2B" w:rsidRDefault="00852A2B" w:rsidP="00852A2B">
      <w:pPr>
        <w:spacing w:after="0" w:line="276" w:lineRule="auto"/>
        <w:ind w:firstLine="426"/>
        <w:jc w:val="both"/>
        <w:rPr>
          <w:rFonts w:ascii="Verdana" w:eastAsia="Calibri" w:hAnsi="Verdana" w:cs="Arial"/>
          <w:lang w:val="es-ES" w:eastAsia="es-ES"/>
        </w:rPr>
      </w:pPr>
      <w:r w:rsidRPr="00E4307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B090B3F" w14:textId="77777777" w:rsidR="00852A2B" w:rsidRPr="00E4307F" w:rsidRDefault="00852A2B" w:rsidP="00852A2B">
      <w:pPr>
        <w:spacing w:after="0" w:line="276" w:lineRule="auto"/>
        <w:ind w:firstLine="426"/>
        <w:jc w:val="both"/>
        <w:rPr>
          <w:rFonts w:ascii="Verdana" w:eastAsia="Calibri" w:hAnsi="Verdana" w:cs="Arial"/>
          <w:lang w:val="es-ES" w:eastAsia="es-ES"/>
        </w:rPr>
      </w:pPr>
    </w:p>
    <w:p w14:paraId="750126F5" w14:textId="77777777" w:rsidR="00852A2B" w:rsidRPr="00E4307F" w:rsidRDefault="00852A2B" w:rsidP="00852A2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Problema planteado:</w:t>
      </w:r>
    </w:p>
    <w:p w14:paraId="48407240" w14:textId="77777777" w:rsidR="00852A2B" w:rsidRPr="00E4307F" w:rsidRDefault="00852A2B" w:rsidP="00852A2B">
      <w:pPr>
        <w:pStyle w:val="Prrafodelista"/>
        <w:tabs>
          <w:tab w:val="left" w:pos="142"/>
          <w:tab w:val="left" w:pos="284"/>
        </w:tabs>
        <w:spacing w:after="0" w:line="276" w:lineRule="auto"/>
        <w:ind w:left="0"/>
        <w:jc w:val="both"/>
        <w:rPr>
          <w:rFonts w:ascii="Verdana" w:eastAsia="Century Gothic" w:hAnsi="Verdana" w:cs="Century Gothic"/>
          <w:b/>
          <w:bCs/>
        </w:rPr>
      </w:pPr>
    </w:p>
    <w:p w14:paraId="6B6BD4CB" w14:textId="77777777" w:rsidR="00852A2B" w:rsidRPr="00E4307F" w:rsidRDefault="00852A2B" w:rsidP="00852A2B">
      <w:pPr>
        <w:spacing w:after="0" w:line="276" w:lineRule="auto"/>
        <w:jc w:val="both"/>
        <w:rPr>
          <w:rFonts w:ascii="Verdana" w:eastAsia="Century Gothic" w:hAnsi="Verdana" w:cs="Century Gothic"/>
        </w:rPr>
      </w:pPr>
      <w:r w:rsidRPr="00E4307F">
        <w:rPr>
          <w:rFonts w:ascii="Verdana" w:eastAsia="Century Gothic" w:hAnsi="Verdana" w:cs="Century Gothic"/>
        </w:rPr>
        <w:t xml:space="preserve">De acuerdo con el contenido de su solicitud, esta Agencia resolverá los siguientes </w:t>
      </w:r>
      <w:r w:rsidRPr="00CE71BD">
        <w:rPr>
          <w:rFonts w:ascii="Verdana" w:eastAsia="Century Gothic" w:hAnsi="Verdana" w:cs="Century Gothic"/>
        </w:rPr>
        <w:t>interrogante</w:t>
      </w:r>
      <w:r>
        <w:rPr>
          <w:rFonts w:ascii="Verdana" w:eastAsia="Century Gothic" w:hAnsi="Verdana" w:cs="Century Gothic"/>
        </w:rPr>
        <w:t>s</w:t>
      </w:r>
      <w:r w:rsidRPr="00E4307F">
        <w:rPr>
          <w:rFonts w:ascii="Verdana" w:eastAsia="Century Gothic" w:hAnsi="Verdana" w:cs="Century Gothic"/>
        </w:rPr>
        <w:t>:</w:t>
      </w:r>
      <w:r w:rsidRPr="00CE71BD">
        <w:rPr>
          <w:rFonts w:ascii="Verdana" w:eastAsia="Century Gothic" w:hAnsi="Verdana" w:cs="Century Gothic"/>
        </w:rPr>
        <w:t xml:space="preserve"> </w:t>
      </w:r>
      <w:r w:rsidRPr="00D42555">
        <w:rPr>
          <w:rFonts w:ascii="Verdana" w:eastAsia="Century Gothic" w:hAnsi="Verdana" w:cs="Century Gothic"/>
        </w:rPr>
        <w:t>¿La certificación de insuficiencia de personal de planta se debe expedir solo cuando se va a celebrar el contrato con persona natural o también aplica cuando se va a celebrar con persona jurídica?</w:t>
      </w:r>
    </w:p>
    <w:p w14:paraId="22CF5DE5" w14:textId="77777777" w:rsidR="00852A2B" w:rsidRPr="00E4307F" w:rsidRDefault="00852A2B" w:rsidP="00852A2B">
      <w:pPr>
        <w:spacing w:after="0" w:line="276" w:lineRule="auto"/>
        <w:jc w:val="both"/>
        <w:rPr>
          <w:rFonts w:ascii="Verdana" w:hAnsi="Verdana"/>
        </w:rPr>
      </w:pPr>
    </w:p>
    <w:p w14:paraId="0851CE45" w14:textId="77777777" w:rsidR="00852A2B" w:rsidRPr="00E4307F" w:rsidRDefault="00852A2B" w:rsidP="00852A2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Respuesta:</w:t>
      </w:r>
    </w:p>
    <w:p w14:paraId="4562E9C2" w14:textId="77777777" w:rsidR="00852A2B" w:rsidRPr="00E4307F" w:rsidRDefault="00852A2B" w:rsidP="00852A2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52A2B" w:rsidRPr="00E4307F" w14:paraId="275F935A" w14:textId="77777777" w:rsidTr="00F800AD">
        <w:tc>
          <w:tcPr>
            <w:tcW w:w="8828" w:type="dxa"/>
            <w:tcBorders>
              <w:top w:val="dotted" w:sz="4" w:space="0" w:color="auto"/>
              <w:left w:val="dotted" w:sz="4" w:space="0" w:color="auto"/>
              <w:bottom w:val="dotted" w:sz="4" w:space="0" w:color="auto"/>
              <w:right w:val="dotted" w:sz="4" w:space="0" w:color="auto"/>
            </w:tcBorders>
            <w:hideMark/>
          </w:tcPr>
          <w:p w14:paraId="7EAE9642" w14:textId="77777777" w:rsidR="00852A2B" w:rsidRDefault="00852A2B" w:rsidP="00F800AD">
            <w:pPr>
              <w:spacing w:after="120" w:line="276" w:lineRule="auto"/>
              <w:jc w:val="both"/>
              <w:rPr>
                <w:rFonts w:ascii="Verdana" w:eastAsia="Calibri" w:hAnsi="Verdana" w:cs="Arial"/>
                <w:color w:val="000000" w:themeColor="text1"/>
                <w:lang w:val="es-MX"/>
              </w:rPr>
            </w:pPr>
            <w:r>
              <w:rPr>
                <w:rFonts w:ascii="Verdana" w:eastAsia="Calibri" w:hAnsi="Verdana" w:cs="Arial"/>
                <w:color w:val="000000" w:themeColor="text1"/>
                <w:lang w:val="es-MX"/>
              </w:rPr>
              <w:t xml:space="preserve">En </w:t>
            </w:r>
            <w:r w:rsidRPr="00000575">
              <w:rPr>
                <w:rFonts w:ascii="Verdana" w:eastAsia="Calibri" w:hAnsi="Verdana" w:cs="Arial"/>
                <w:color w:val="000000" w:themeColor="text1"/>
                <w:lang w:val="es-MX"/>
              </w:rPr>
              <w:t xml:space="preserve">aras de responder el problema planteado se debe advertir que, lo establecido en el artículo 2.8.4.4.5 del Decreto 1068 de 2015, está exclusivamente dirigido a los contratos de prestación de servicios, </w:t>
            </w:r>
            <w:r w:rsidRPr="00000575">
              <w:rPr>
                <w:rFonts w:ascii="Verdana" w:eastAsia="Calibri" w:hAnsi="Verdana" w:cs="Arial"/>
                <w:color w:val="000000" w:themeColor="text1"/>
                <w:lang w:val="es-MX"/>
              </w:rPr>
              <w:lastRenderedPageBreak/>
              <w:t>independientemente de si celebren con personas naturales o jurídicas, tal como se desprende del primer inciso de dicha norma.</w:t>
            </w:r>
          </w:p>
          <w:p w14:paraId="0AC75991" w14:textId="77777777" w:rsidR="00852A2B" w:rsidRPr="00000575" w:rsidRDefault="00852A2B" w:rsidP="00F800AD">
            <w:pPr>
              <w:spacing w:after="120" w:line="276" w:lineRule="auto"/>
              <w:jc w:val="both"/>
              <w:rPr>
                <w:rFonts w:ascii="Verdana" w:eastAsia="Calibri" w:hAnsi="Verdana" w:cs="Arial"/>
                <w:color w:val="000000" w:themeColor="text1"/>
                <w:lang w:val="es-MX"/>
              </w:rPr>
            </w:pPr>
            <w:r w:rsidRPr="00000575">
              <w:rPr>
                <w:rFonts w:ascii="Verdana" w:eastAsia="Calibri" w:hAnsi="Verdana" w:cs="Arial"/>
                <w:color w:val="000000" w:themeColor="text1"/>
                <w:lang w:val="es-MX"/>
              </w:rPr>
              <w:t xml:space="preserve"> En ese sentido, para la celebración de contratos enmarcados en otras tipologías contractuales distintas de la establecida en el numeral 3° del artículo 32 de la Ley 80 de 1993–</w:t>
            </w:r>
            <w:r w:rsidRPr="00000575">
              <w:rPr>
                <w:rFonts w:ascii="Verdana" w:eastAsia="Calibri" w:hAnsi="Verdana" w:cs="Arial"/>
                <w:i/>
                <w:iCs/>
                <w:color w:val="000000" w:themeColor="text1"/>
                <w:lang w:val="es-MX"/>
              </w:rPr>
              <w:t>v.g</w:t>
            </w:r>
            <w:r w:rsidRPr="00000575">
              <w:rPr>
                <w:rFonts w:ascii="Verdana" w:eastAsia="Calibri" w:hAnsi="Verdana" w:cs="Arial"/>
                <w:color w:val="000000" w:themeColor="text1"/>
                <w:lang w:val="es-MX"/>
              </w:rPr>
              <w:t xml:space="preserve">. Obra pública, suministro, compraventa, etc.–, no resulta obligatorio certificar la insuficiencia de personal con sujeción a la establecido en el artículo 2.8.4.4.5 del Decreto 1068 de 2015. </w:t>
            </w:r>
          </w:p>
          <w:p w14:paraId="1CC3BF42" w14:textId="77777777" w:rsidR="00852A2B" w:rsidRDefault="00852A2B" w:rsidP="00F800AD">
            <w:pPr>
              <w:spacing w:after="120" w:line="276" w:lineRule="auto"/>
              <w:jc w:val="both"/>
              <w:rPr>
                <w:rFonts w:ascii="Verdana" w:eastAsia="Calibri" w:hAnsi="Verdana" w:cs="Arial"/>
                <w:color w:val="000000" w:themeColor="text1"/>
                <w:lang w:val="es-MX"/>
              </w:rPr>
            </w:pPr>
            <w:proofErr w:type="spellStart"/>
            <w:r>
              <w:rPr>
                <w:rFonts w:ascii="Verdana" w:eastAsia="Calibri" w:hAnsi="Verdana" w:cs="Arial"/>
                <w:color w:val="000000" w:themeColor="text1"/>
                <w:lang w:val="es-MX"/>
              </w:rPr>
              <w:t>Tengase</w:t>
            </w:r>
            <w:proofErr w:type="spellEnd"/>
            <w:r>
              <w:rPr>
                <w:rFonts w:ascii="Verdana" w:eastAsia="Calibri" w:hAnsi="Verdana" w:cs="Arial"/>
                <w:color w:val="000000" w:themeColor="text1"/>
                <w:lang w:val="es-MX"/>
              </w:rPr>
              <w:t xml:space="preserve"> en cuenta que, la certificación de insuficiencia busca certificar que: i) no </w:t>
            </w:r>
            <w:proofErr w:type="gramStart"/>
            <w:r>
              <w:rPr>
                <w:rFonts w:ascii="Verdana" w:eastAsia="Calibri" w:hAnsi="Verdana" w:cs="Arial"/>
                <w:color w:val="000000" w:themeColor="text1"/>
                <w:lang w:val="es-MX"/>
              </w:rPr>
              <w:t>existe  personal</w:t>
            </w:r>
            <w:proofErr w:type="gramEnd"/>
            <w:r>
              <w:rPr>
                <w:rFonts w:ascii="Verdana" w:eastAsia="Calibri" w:hAnsi="Verdana" w:cs="Arial"/>
                <w:color w:val="000000" w:themeColor="text1"/>
                <w:lang w:val="es-MX"/>
              </w:rPr>
              <w:t xml:space="preserve"> de planta que pueda realizar </w:t>
            </w:r>
            <w:r w:rsidRPr="00A4546D">
              <w:rPr>
                <w:rFonts w:ascii="Verdana" w:eastAsia="Calibri" w:hAnsi="Verdana" w:cs="Arial"/>
                <w:color w:val="000000" w:themeColor="text1"/>
              </w:rPr>
              <w:t xml:space="preserve">pueda desarrollar la actividad para la cual se requiere contratar la prestación del servicio, o </w:t>
            </w:r>
            <w:r>
              <w:rPr>
                <w:rFonts w:ascii="Verdana" w:eastAsia="Calibri" w:hAnsi="Verdana" w:cs="Arial"/>
                <w:color w:val="000000" w:themeColor="text1"/>
              </w:rPr>
              <w:t xml:space="preserve"> </w:t>
            </w:r>
            <w:proofErr w:type="spellStart"/>
            <w:r>
              <w:rPr>
                <w:rFonts w:ascii="Verdana" w:eastAsia="Calibri" w:hAnsi="Verdana" w:cs="Arial"/>
                <w:color w:val="000000" w:themeColor="text1"/>
              </w:rPr>
              <w:t>ii</w:t>
            </w:r>
            <w:proofErr w:type="spellEnd"/>
            <w:r>
              <w:rPr>
                <w:rFonts w:ascii="Verdana" w:eastAsia="Calibri" w:hAnsi="Verdana" w:cs="Arial"/>
                <w:color w:val="000000" w:themeColor="text1"/>
              </w:rPr>
              <w:t xml:space="preserve">) </w:t>
            </w:r>
            <w:r w:rsidRPr="00A4546D">
              <w:rPr>
                <w:rFonts w:ascii="Verdana" w:eastAsia="Calibri" w:hAnsi="Verdana" w:cs="Arial"/>
                <w:color w:val="000000" w:themeColor="text1"/>
              </w:rPr>
              <w:t xml:space="preserve">cuando el desarrollo de la actividad requiere un grado de especialización que implica la contratación del servicio, o </w:t>
            </w:r>
            <w:r>
              <w:rPr>
                <w:rFonts w:ascii="Verdana" w:eastAsia="Calibri" w:hAnsi="Verdana" w:cs="Arial"/>
                <w:color w:val="000000" w:themeColor="text1"/>
              </w:rPr>
              <w:t xml:space="preserve"> </w:t>
            </w:r>
            <w:proofErr w:type="spellStart"/>
            <w:r>
              <w:rPr>
                <w:rFonts w:ascii="Verdana" w:eastAsia="Calibri" w:hAnsi="Verdana" w:cs="Arial"/>
                <w:color w:val="000000" w:themeColor="text1"/>
              </w:rPr>
              <w:t>iii</w:t>
            </w:r>
            <w:proofErr w:type="spellEnd"/>
            <w:r>
              <w:rPr>
                <w:rFonts w:ascii="Verdana" w:eastAsia="Calibri" w:hAnsi="Verdana" w:cs="Arial"/>
                <w:color w:val="000000" w:themeColor="text1"/>
              </w:rPr>
              <w:t xml:space="preserve">) </w:t>
            </w:r>
            <w:r w:rsidRPr="00A4546D">
              <w:rPr>
                <w:rFonts w:ascii="Verdana" w:eastAsia="Calibri" w:hAnsi="Verdana" w:cs="Arial"/>
                <w:color w:val="000000" w:themeColor="text1"/>
              </w:rPr>
              <w:t>cuando aun existiendo personal en la planta, éste no sea suficiente</w:t>
            </w:r>
            <w:r>
              <w:rPr>
                <w:rFonts w:ascii="Verdana" w:eastAsia="Calibri" w:hAnsi="Verdana" w:cs="Arial"/>
                <w:color w:val="000000" w:themeColor="text1"/>
              </w:rPr>
              <w:t>.</w:t>
            </w:r>
          </w:p>
          <w:p w14:paraId="1C8D0791" w14:textId="77777777" w:rsidR="00852A2B" w:rsidRDefault="00852A2B" w:rsidP="00F800AD">
            <w:pPr>
              <w:spacing w:after="120" w:line="276" w:lineRule="auto"/>
              <w:jc w:val="both"/>
              <w:rPr>
                <w:rFonts w:ascii="Verdana" w:eastAsia="Calibri" w:hAnsi="Verdana" w:cs="Arial"/>
                <w:color w:val="000000" w:themeColor="text1"/>
                <w:lang w:val="es-MX"/>
              </w:rPr>
            </w:pPr>
            <w:r>
              <w:rPr>
                <w:rFonts w:ascii="Verdana" w:eastAsia="Calibri" w:hAnsi="Verdana" w:cs="Arial"/>
                <w:color w:val="000000" w:themeColor="text1"/>
                <w:lang w:val="es-MX"/>
              </w:rPr>
              <w:t xml:space="preserve">Ahora bien, independiente de la existencia de la </w:t>
            </w:r>
            <w:proofErr w:type="spellStart"/>
            <w:r>
              <w:rPr>
                <w:rFonts w:ascii="Verdana" w:eastAsia="Calibri" w:hAnsi="Verdana" w:cs="Arial"/>
                <w:color w:val="000000" w:themeColor="text1"/>
                <w:lang w:val="es-MX"/>
              </w:rPr>
              <w:t>certificaciòn</w:t>
            </w:r>
            <w:proofErr w:type="spellEnd"/>
            <w:r>
              <w:rPr>
                <w:rFonts w:ascii="Verdana" w:eastAsia="Calibri" w:hAnsi="Verdana" w:cs="Arial"/>
                <w:color w:val="000000" w:themeColor="text1"/>
                <w:lang w:val="es-MX"/>
              </w:rPr>
              <w:t xml:space="preserve"> de insuficiencia, </w:t>
            </w:r>
            <w:r w:rsidRPr="00292BF0">
              <w:rPr>
                <w:rFonts w:ascii="Verdana" w:eastAsia="Calibri" w:hAnsi="Verdana" w:cs="Arial"/>
                <w:color w:val="000000" w:themeColor="text1"/>
                <w:lang w:val="es-MX"/>
              </w:rPr>
              <w:t>debe advertirse que la descripción y justificación de la necesidad a satisfacer mediante el contrato estatal, es un presupuesto general y común a todos los tipos contractuales, lo cual debe reflejarse en los estudios y documentos previos, de acuerdo con lo establecido en el numeral 1 del artículo 2.2.1.1.2.1.1. del Decreto 1082 de 2015. En ese sentido, si bien la certificación de la insuficiencia de personal regulada por el artículo 2.8.4.4.5 del Decreto 1068 de 2015 solo es aplicable a contratos de prestación de servicios, ello no quiere decir que las Entidades Estatales puedan celebrar contratos estatales de manera arbitraria, sin una justificación en la que establezca la razón por la que requiere celebrar el negocio jurídico y la forma en la que este satisface los fines de la contratación estatal a los que se refiere el artículo 3 de la Ley 80 de 1993</w:t>
            </w:r>
            <w:r>
              <w:rPr>
                <w:rFonts w:ascii="Verdana" w:eastAsia="Calibri" w:hAnsi="Verdana" w:cs="Arial"/>
                <w:color w:val="000000" w:themeColor="text1"/>
                <w:lang w:val="es-MX"/>
              </w:rPr>
              <w:t>.</w:t>
            </w:r>
          </w:p>
          <w:p w14:paraId="69680F2E" w14:textId="77777777" w:rsidR="00852A2B" w:rsidRPr="00CE71BD" w:rsidRDefault="00852A2B" w:rsidP="00F800AD">
            <w:pPr>
              <w:spacing w:after="120" w:line="276" w:lineRule="auto"/>
              <w:jc w:val="both"/>
              <w:rPr>
                <w:rFonts w:ascii="Verdana" w:eastAsia="Calibri" w:hAnsi="Verdana" w:cs="Arial"/>
                <w:color w:val="000000" w:themeColor="text1"/>
                <w:lang w:val="es-MX"/>
              </w:rPr>
            </w:pPr>
            <w:r w:rsidRPr="00CE71BD">
              <w:rPr>
                <w:rFonts w:ascii="Verdana" w:eastAsia="Calibri" w:hAnsi="Verdana" w:cs="Arial"/>
                <w:color w:val="000000" w:themeColor="text1"/>
                <w:lang w:val="es-MX"/>
              </w:rPr>
              <w:t xml:space="preserve"> </w:t>
            </w:r>
            <w:r>
              <w:rPr>
                <w:rFonts w:ascii="Verdana" w:eastAsia="Calibri" w:hAnsi="Verdana" w:cs="Arial"/>
                <w:color w:val="000000" w:themeColor="text1"/>
                <w:lang w:val="es-MX"/>
              </w:rPr>
              <w:t xml:space="preserve">Por último, la norma es clara y exige la </w:t>
            </w:r>
            <w:proofErr w:type="spellStart"/>
            <w:r>
              <w:rPr>
                <w:rFonts w:ascii="Verdana" w:eastAsia="Calibri" w:hAnsi="Verdana" w:cs="Arial"/>
                <w:color w:val="000000" w:themeColor="text1"/>
                <w:lang w:val="es-MX"/>
              </w:rPr>
              <w:t>certificaciòn</w:t>
            </w:r>
            <w:proofErr w:type="spellEnd"/>
            <w:r>
              <w:rPr>
                <w:rFonts w:ascii="Verdana" w:eastAsia="Calibri" w:hAnsi="Verdana" w:cs="Arial"/>
                <w:color w:val="000000" w:themeColor="text1"/>
                <w:lang w:val="es-MX"/>
              </w:rPr>
              <w:t xml:space="preserve">, para los contratos de prestación de </w:t>
            </w:r>
            <w:proofErr w:type="gramStart"/>
            <w:r>
              <w:rPr>
                <w:rFonts w:ascii="Verdana" w:eastAsia="Calibri" w:hAnsi="Verdana" w:cs="Arial"/>
                <w:color w:val="000000" w:themeColor="text1"/>
                <w:lang w:val="es-MX"/>
              </w:rPr>
              <w:t>servicio ,</w:t>
            </w:r>
            <w:proofErr w:type="gramEnd"/>
            <w:r>
              <w:rPr>
                <w:rFonts w:ascii="Verdana" w:eastAsia="Calibri" w:hAnsi="Verdana" w:cs="Arial"/>
                <w:color w:val="000000" w:themeColor="text1"/>
                <w:lang w:val="es-MX"/>
              </w:rPr>
              <w:t xml:space="preserve"> tal y como lo señala </w:t>
            </w:r>
            <w:r w:rsidRPr="00CE71BD">
              <w:rPr>
                <w:rFonts w:ascii="Verdana" w:eastAsia="Calibri" w:hAnsi="Verdana" w:cs="Arial"/>
                <w:color w:val="000000" w:themeColor="text1"/>
                <w:lang w:val="es-MX"/>
              </w:rPr>
              <w:t xml:space="preserve">el artículo 2.8.4.4.5 del Decreto 1068 de 2015. </w:t>
            </w:r>
          </w:p>
          <w:p w14:paraId="581B38D1" w14:textId="77777777" w:rsidR="00852A2B" w:rsidRPr="00000575" w:rsidRDefault="00852A2B" w:rsidP="00F800AD">
            <w:pPr>
              <w:pStyle w:val="Prrafodelista"/>
              <w:spacing w:after="120" w:line="276" w:lineRule="auto"/>
              <w:jc w:val="both"/>
              <w:rPr>
                <w:rFonts w:ascii="Verdana" w:eastAsia="Calibri" w:hAnsi="Verdana" w:cs="Arial"/>
                <w:color w:val="7030A0"/>
                <w:lang w:val="es-ES"/>
              </w:rPr>
            </w:pPr>
          </w:p>
        </w:tc>
      </w:tr>
    </w:tbl>
    <w:p w14:paraId="18A4ACFA" w14:textId="77777777" w:rsidR="00852A2B" w:rsidRPr="00E4307F" w:rsidRDefault="00852A2B" w:rsidP="00852A2B">
      <w:pPr>
        <w:tabs>
          <w:tab w:val="left" w:pos="142"/>
          <w:tab w:val="left" w:pos="284"/>
        </w:tabs>
        <w:spacing w:after="0" w:line="276" w:lineRule="auto"/>
        <w:jc w:val="both"/>
        <w:rPr>
          <w:rFonts w:ascii="Verdana" w:eastAsia="Century Gothic" w:hAnsi="Verdana" w:cs="Century Gothic"/>
          <w:b/>
          <w:bCs/>
          <w:lang w:val="es-ES"/>
        </w:rPr>
      </w:pPr>
    </w:p>
    <w:p w14:paraId="008CBF07" w14:textId="77777777" w:rsidR="00852A2B" w:rsidRPr="00E4307F" w:rsidRDefault="00852A2B" w:rsidP="00852A2B">
      <w:pPr>
        <w:pStyle w:val="Prrafodelista"/>
        <w:numPr>
          <w:ilvl w:val="0"/>
          <w:numId w:val="1"/>
        </w:numPr>
        <w:tabs>
          <w:tab w:val="left" w:pos="142"/>
          <w:tab w:val="left" w:pos="284"/>
        </w:tabs>
        <w:spacing w:after="0" w:line="360" w:lineRule="auto"/>
        <w:ind w:left="0" w:firstLine="0"/>
        <w:jc w:val="both"/>
        <w:rPr>
          <w:rFonts w:ascii="Verdana" w:eastAsia="Century Gothic" w:hAnsi="Verdana" w:cs="Century Gothic"/>
          <w:b/>
          <w:bCs/>
        </w:rPr>
      </w:pPr>
      <w:r w:rsidRPr="00E4307F">
        <w:rPr>
          <w:rFonts w:ascii="Verdana" w:eastAsia="Century Gothic" w:hAnsi="Verdana" w:cs="Century Gothic"/>
          <w:b/>
          <w:bCs/>
        </w:rPr>
        <w:t>Razones de la respuesta:</w:t>
      </w:r>
    </w:p>
    <w:p w14:paraId="3289189B" w14:textId="77777777" w:rsidR="00852A2B" w:rsidRPr="00471C69" w:rsidRDefault="00852A2B" w:rsidP="00852A2B">
      <w:pPr>
        <w:spacing w:after="0" w:line="360" w:lineRule="auto"/>
        <w:jc w:val="both"/>
        <w:rPr>
          <w:rFonts w:ascii="Verdana" w:eastAsia="Calibri" w:hAnsi="Verdana" w:cs="Arial"/>
          <w:lang w:val="es-ES"/>
        </w:rPr>
      </w:pPr>
      <w:r w:rsidRPr="00E4307F">
        <w:rPr>
          <w:rFonts w:ascii="Verdana" w:eastAsia="Calibri" w:hAnsi="Verdana" w:cs="Arial"/>
          <w:lang w:val="es-ES"/>
        </w:rPr>
        <w:t xml:space="preserve">Lo anterior se sustenta en las siguientes consideraciones: </w:t>
      </w:r>
    </w:p>
    <w:p w14:paraId="5081BA77" w14:textId="77777777" w:rsidR="00852A2B" w:rsidRPr="00180DEC" w:rsidRDefault="00852A2B" w:rsidP="00852A2B">
      <w:pPr>
        <w:pStyle w:val="Prrafodelista"/>
        <w:numPr>
          <w:ilvl w:val="0"/>
          <w:numId w:val="19"/>
        </w:numPr>
        <w:jc w:val="both"/>
        <w:rPr>
          <w:rFonts w:ascii="Verdana" w:eastAsia="Calibri" w:hAnsi="Verdana" w:cs="Arial"/>
        </w:rPr>
      </w:pPr>
      <w:r w:rsidRPr="00180DEC">
        <w:rPr>
          <w:rFonts w:ascii="Verdana" w:hAnsi="Verdana" w:cs="Arial"/>
          <w:color w:val="000000" w:themeColor="text1"/>
        </w:rPr>
        <w:lastRenderedPageBreak/>
        <w:t xml:space="preserve">El contrato de prestación de servicios es un contrato estatal típico, regulado en el </w:t>
      </w:r>
      <w:r w:rsidRPr="00E4307F">
        <w:rPr>
          <w:rStyle w:val="Refdenotaalpie"/>
          <w:rFonts w:ascii="Verdana" w:hAnsi="Verdana" w:cs="Arial"/>
          <w:color w:val="000000" w:themeColor="text1"/>
        </w:rPr>
        <w:footnoteReference w:id="2"/>
      </w:r>
      <w:r w:rsidRPr="00180DEC">
        <w:rPr>
          <w:rFonts w:ascii="Verdana" w:hAnsi="Verdana" w:cs="Arial"/>
          <w:color w:val="000000" w:themeColor="text1"/>
        </w:rPr>
        <w:t xml:space="preserve">numeral 3 del artículo 32 de la Ley 80 de 1993, definido como </w:t>
      </w:r>
      <w:r w:rsidRPr="00180DEC">
        <w:rPr>
          <w:rFonts w:ascii="Verdana" w:hAnsi="Verdana" w:cs="Arial"/>
        </w:rPr>
        <w:t>el suscrito por las entidades del Estado con el objeto de apoyar y desarrollar actividades propias del funcionamiento y la administración de las entidades estatales. La norma</w:t>
      </w:r>
      <w:r w:rsidRPr="00180DEC">
        <w:rPr>
          <w:rFonts w:ascii="Verdana" w:hAnsi="Verdana" w:cs="Arial"/>
          <w:spacing w:val="-6"/>
        </w:rPr>
        <w:t xml:space="preserve"> </w:t>
      </w:r>
      <w:r w:rsidRPr="00180DEC">
        <w:rPr>
          <w:rFonts w:ascii="Verdana" w:hAnsi="Verdana" w:cs="Arial"/>
        </w:rPr>
        <w:t>señala:</w:t>
      </w:r>
    </w:p>
    <w:p w14:paraId="1BDB4980" w14:textId="77777777" w:rsidR="00852A2B" w:rsidRPr="00E4307F" w:rsidRDefault="00852A2B" w:rsidP="00852A2B">
      <w:pPr>
        <w:pStyle w:val="Textoindependiente"/>
        <w:ind w:right="709"/>
        <w:jc w:val="both"/>
        <w:rPr>
          <w:rFonts w:ascii="Verdana" w:hAnsi="Verdana"/>
        </w:rPr>
      </w:pPr>
      <w:r>
        <w:rPr>
          <w:rFonts w:ascii="Verdana" w:hAnsi="Verdana"/>
        </w:rPr>
        <w:t xml:space="preserve">          </w:t>
      </w:r>
      <w:r w:rsidRPr="00CE71BD">
        <w:rPr>
          <w:rFonts w:ascii="Verdana" w:hAnsi="Verdana"/>
        </w:rPr>
        <w:t>“</w:t>
      </w:r>
      <w:r w:rsidRPr="00E4307F">
        <w:rPr>
          <w:rFonts w:ascii="Verdana" w:hAnsi="Verdana"/>
        </w:rPr>
        <w:t xml:space="preserve">Artículo 32. De los Contratos Estatales. </w:t>
      </w:r>
    </w:p>
    <w:p w14:paraId="469F82A0" w14:textId="77777777" w:rsidR="00852A2B" w:rsidRPr="00E4307F" w:rsidRDefault="00852A2B" w:rsidP="00852A2B">
      <w:pPr>
        <w:pStyle w:val="Textoindependiente"/>
        <w:ind w:left="709" w:right="709" w:firstLine="708"/>
        <w:jc w:val="both"/>
        <w:rPr>
          <w:rFonts w:ascii="Verdana" w:hAnsi="Verdana"/>
        </w:rPr>
      </w:pPr>
      <w:r w:rsidRPr="00E4307F">
        <w:rPr>
          <w:rFonts w:ascii="Verdana" w:hAnsi="Verdana"/>
        </w:rPr>
        <w:t>[…]</w:t>
      </w:r>
    </w:p>
    <w:p w14:paraId="706306C5" w14:textId="77777777" w:rsidR="00852A2B" w:rsidRPr="00E4307F" w:rsidRDefault="00852A2B" w:rsidP="00852A2B">
      <w:pPr>
        <w:pStyle w:val="Textoindependiente"/>
        <w:ind w:right="709"/>
        <w:jc w:val="both"/>
        <w:rPr>
          <w:rFonts w:ascii="Verdana" w:hAnsi="Verdana"/>
          <w:i/>
          <w:iCs/>
        </w:rPr>
      </w:pPr>
      <w:r w:rsidRPr="00E4307F">
        <w:rPr>
          <w:rFonts w:ascii="Verdana" w:hAnsi="Verdana"/>
          <w:i/>
          <w:iCs/>
        </w:rPr>
        <w:t xml:space="preserve">          3. Contrato de Prestación de</w:t>
      </w:r>
      <w:r w:rsidRPr="00E4307F">
        <w:rPr>
          <w:rFonts w:ascii="Verdana" w:hAnsi="Verdana"/>
          <w:i/>
          <w:iCs/>
          <w:spacing w:val="-5"/>
        </w:rPr>
        <w:t xml:space="preserve"> </w:t>
      </w:r>
      <w:r w:rsidRPr="00E4307F">
        <w:rPr>
          <w:rFonts w:ascii="Verdana" w:hAnsi="Verdana"/>
          <w:i/>
          <w:iCs/>
        </w:rPr>
        <w:t>Servicios.</w:t>
      </w:r>
    </w:p>
    <w:p w14:paraId="22079AD2" w14:textId="77777777" w:rsidR="00852A2B" w:rsidRPr="00E4307F" w:rsidRDefault="00852A2B" w:rsidP="00852A2B">
      <w:pPr>
        <w:pStyle w:val="Textoindependiente"/>
        <w:ind w:left="709" w:right="709"/>
        <w:jc w:val="both"/>
        <w:rPr>
          <w:rFonts w:ascii="Verdana" w:hAnsi="Verdana"/>
          <w:i/>
          <w:iCs/>
        </w:rPr>
      </w:pPr>
      <w:r w:rsidRPr="00E4307F">
        <w:rPr>
          <w:rFonts w:ascii="Verdana" w:hAnsi="Verdana"/>
          <w:i/>
          <w:iC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E4307F">
        <w:rPr>
          <w:rFonts w:ascii="Verdana" w:hAnsi="Verdana"/>
          <w:i/>
          <w:iCs/>
          <w:u w:val="single"/>
        </w:rPr>
        <w:t>no puedan realizarse con personal de planta o requieran conocimientos especializados</w:t>
      </w:r>
      <w:r w:rsidRPr="00E4307F">
        <w:rPr>
          <w:rFonts w:ascii="Verdana" w:hAnsi="Verdana"/>
          <w:i/>
          <w:iCs/>
        </w:rPr>
        <w:t>.</w:t>
      </w:r>
    </w:p>
    <w:p w14:paraId="18CB2975" w14:textId="77777777" w:rsidR="00852A2B" w:rsidRPr="00E4307F" w:rsidRDefault="00852A2B" w:rsidP="00852A2B">
      <w:pPr>
        <w:pStyle w:val="Textoindependiente"/>
        <w:ind w:left="709" w:right="709"/>
        <w:jc w:val="both"/>
        <w:rPr>
          <w:rFonts w:ascii="Verdana" w:hAnsi="Verdana"/>
          <w:i/>
          <w:iCs/>
        </w:rPr>
      </w:pPr>
    </w:p>
    <w:p w14:paraId="450225B3" w14:textId="77777777" w:rsidR="00852A2B" w:rsidRPr="00E4307F" w:rsidRDefault="00852A2B" w:rsidP="00852A2B">
      <w:pPr>
        <w:pStyle w:val="Textoindependiente"/>
        <w:ind w:left="709" w:right="709"/>
        <w:jc w:val="both"/>
        <w:rPr>
          <w:rFonts w:ascii="Verdana" w:hAnsi="Verdana"/>
        </w:rPr>
      </w:pPr>
      <w:r w:rsidRPr="00E4307F">
        <w:rPr>
          <w:rFonts w:ascii="Verdana" w:hAnsi="Verdana"/>
          <w:i/>
          <w:iCs/>
        </w:rPr>
        <w:t>En ningún caso estos contratos generan relación laboral ni prestaciones sociales y se celebrarán por el término estrictamente</w:t>
      </w:r>
      <w:r w:rsidRPr="00E4307F">
        <w:rPr>
          <w:rFonts w:ascii="Verdana" w:hAnsi="Verdana"/>
          <w:i/>
          <w:iCs/>
          <w:spacing w:val="-15"/>
        </w:rPr>
        <w:t xml:space="preserve"> </w:t>
      </w:r>
      <w:r w:rsidRPr="00E4307F">
        <w:rPr>
          <w:rFonts w:ascii="Verdana" w:hAnsi="Verdana"/>
          <w:i/>
          <w:iCs/>
        </w:rPr>
        <w:t>indispensable</w:t>
      </w:r>
      <w:r w:rsidRPr="00CE71BD">
        <w:rPr>
          <w:rFonts w:ascii="Verdana" w:hAnsi="Verdana"/>
          <w:i/>
          <w:iCs/>
        </w:rPr>
        <w:t>”.</w:t>
      </w:r>
      <w:r w:rsidRPr="00E4307F">
        <w:rPr>
          <w:rFonts w:ascii="Verdana" w:hAnsi="Verdana"/>
          <w:i/>
          <w:iCs/>
        </w:rPr>
        <w:t xml:space="preserve"> </w:t>
      </w:r>
      <w:r w:rsidRPr="00E4307F">
        <w:rPr>
          <w:rFonts w:ascii="Verdana" w:hAnsi="Verdana"/>
        </w:rPr>
        <w:t>(Énfasis fuera de texto)</w:t>
      </w:r>
    </w:p>
    <w:p w14:paraId="7E6D26B4" w14:textId="77777777" w:rsidR="00852A2B" w:rsidRPr="00E4307F" w:rsidRDefault="00852A2B" w:rsidP="00852A2B">
      <w:pPr>
        <w:pStyle w:val="Textoindependiente"/>
        <w:ind w:left="709" w:right="709"/>
        <w:jc w:val="both"/>
        <w:rPr>
          <w:rFonts w:ascii="Verdana" w:hAnsi="Verdana"/>
        </w:rPr>
      </w:pPr>
    </w:p>
    <w:p w14:paraId="3C72D00F" w14:textId="77777777" w:rsidR="00852A2B" w:rsidRPr="00771B6E" w:rsidRDefault="00852A2B" w:rsidP="00852A2B">
      <w:pPr>
        <w:pStyle w:val="Prrafodelista"/>
        <w:numPr>
          <w:ilvl w:val="0"/>
          <w:numId w:val="19"/>
        </w:numPr>
        <w:jc w:val="both"/>
        <w:rPr>
          <w:rFonts w:ascii="Verdana" w:eastAsia="Calibri" w:hAnsi="Verdana" w:cs="Arial"/>
          <w:color w:val="000000" w:themeColor="text1"/>
        </w:rPr>
      </w:pPr>
      <w:r w:rsidRPr="00771B6E">
        <w:rPr>
          <w:rFonts w:ascii="Verdana" w:eastAsia="Calibri" w:hAnsi="Verdana" w:cs="Arial"/>
          <w:color w:val="000000" w:themeColor="text1"/>
        </w:rPr>
        <w:t xml:space="preserve">La celebración de dicho contrato puede efectuarse a través de la modalidad de contratación directa. Así lo dispone el </w:t>
      </w:r>
      <w:r w:rsidRPr="49F4DBA2">
        <w:rPr>
          <w:rStyle w:val="Refdenotaalpie"/>
          <w:rFonts w:ascii="Verdana" w:eastAsia="Calibri" w:hAnsi="Verdana" w:cs="Arial"/>
          <w:color w:val="000000" w:themeColor="text1"/>
        </w:rPr>
        <w:footnoteReference w:id="3"/>
      </w:r>
      <w:r w:rsidRPr="00771B6E">
        <w:rPr>
          <w:rFonts w:ascii="Verdana" w:eastAsia="Calibri" w:hAnsi="Verdana" w:cs="Arial"/>
          <w:color w:val="000000" w:themeColor="text1"/>
        </w:rPr>
        <w:t>artículo 2, numeral 4º, literal h), de la Ley 1150 de 2007:</w:t>
      </w:r>
    </w:p>
    <w:p w14:paraId="1BA4B548" w14:textId="77777777" w:rsidR="00852A2B" w:rsidRPr="00E4307F" w:rsidRDefault="00852A2B" w:rsidP="00852A2B">
      <w:pPr>
        <w:spacing w:line="240" w:lineRule="auto"/>
        <w:ind w:left="709" w:right="758"/>
        <w:jc w:val="both"/>
        <w:rPr>
          <w:rFonts w:ascii="Verdana" w:eastAsia="Calibri" w:hAnsi="Verdana" w:cs="Arial"/>
          <w:color w:val="000000" w:themeColor="text1"/>
        </w:rPr>
      </w:pPr>
      <w:r w:rsidRPr="00CE71BD">
        <w:rPr>
          <w:rFonts w:ascii="Verdana" w:eastAsia="Calibri" w:hAnsi="Verdana" w:cs="Arial"/>
          <w:color w:val="000000" w:themeColor="text1"/>
        </w:rPr>
        <w:t>“</w:t>
      </w:r>
      <w:r w:rsidRPr="00E4307F">
        <w:rPr>
          <w:rFonts w:ascii="Verdana" w:eastAsia="Calibri" w:hAnsi="Verdana" w:cs="Arial"/>
          <w:color w:val="000000" w:themeColor="text1"/>
        </w:rPr>
        <w:t>La escogencia del contratista se efectuará con arreglo a las modalidades de selección de licitación pública, selección abreviada, concurso de méritos y contratación directa, con base en las siguientes reglas:</w:t>
      </w:r>
      <w:r w:rsidRPr="00E4307F">
        <w:rPr>
          <w:rFonts w:ascii="Verdana" w:eastAsia="Calibri" w:hAnsi="Verdana" w:cs="Arial"/>
          <w:color w:val="000000" w:themeColor="text1"/>
        </w:rPr>
        <w:tab/>
      </w:r>
      <w:r w:rsidRPr="00E4307F">
        <w:rPr>
          <w:rFonts w:ascii="Verdana" w:eastAsia="Calibri" w:hAnsi="Verdana" w:cs="Arial"/>
          <w:color w:val="000000" w:themeColor="text1"/>
        </w:rPr>
        <w:br/>
        <w:t>[…]</w:t>
      </w:r>
    </w:p>
    <w:p w14:paraId="18CB38DD" w14:textId="77777777" w:rsidR="00852A2B" w:rsidRPr="00E4307F" w:rsidRDefault="00852A2B" w:rsidP="00852A2B">
      <w:pPr>
        <w:spacing w:line="240" w:lineRule="auto"/>
        <w:ind w:left="709" w:right="758"/>
        <w:jc w:val="both"/>
        <w:rPr>
          <w:rFonts w:ascii="Verdana" w:eastAsia="Calibri" w:hAnsi="Verdana" w:cs="Arial"/>
          <w:color w:val="000000" w:themeColor="text1"/>
        </w:rPr>
      </w:pPr>
      <w:r w:rsidRPr="00E4307F">
        <w:rPr>
          <w:rFonts w:ascii="Verdana" w:eastAsia="Calibri" w:hAnsi="Verdana" w:cs="Arial"/>
          <w:color w:val="000000" w:themeColor="text1"/>
        </w:rPr>
        <w:lastRenderedPageBreak/>
        <w:t xml:space="preserve">4. Contratación directa. La modalidad de selección de contratación </w:t>
      </w:r>
      <w:proofErr w:type="gramStart"/>
      <w:r w:rsidRPr="00E4307F">
        <w:rPr>
          <w:rFonts w:ascii="Verdana" w:eastAsia="Calibri" w:hAnsi="Verdana" w:cs="Arial"/>
          <w:color w:val="000000" w:themeColor="text1"/>
        </w:rPr>
        <w:t>directa,</w:t>
      </w:r>
      <w:proofErr w:type="gramEnd"/>
      <w:r w:rsidRPr="00E4307F">
        <w:rPr>
          <w:rFonts w:ascii="Verdana" w:eastAsia="Calibri" w:hAnsi="Verdana" w:cs="Arial"/>
          <w:color w:val="000000" w:themeColor="text1"/>
        </w:rPr>
        <w:t xml:space="preserve"> solamente procederá en los siguientes casos:</w:t>
      </w:r>
      <w:r w:rsidRPr="00E4307F">
        <w:rPr>
          <w:rFonts w:ascii="Verdana" w:eastAsia="Calibri" w:hAnsi="Verdana" w:cs="Arial"/>
          <w:color w:val="000000" w:themeColor="text1"/>
        </w:rPr>
        <w:tab/>
      </w:r>
      <w:r w:rsidRPr="00E4307F">
        <w:rPr>
          <w:rFonts w:ascii="Verdana" w:eastAsia="Calibri" w:hAnsi="Verdana" w:cs="Arial"/>
          <w:color w:val="000000" w:themeColor="text1"/>
        </w:rPr>
        <w:br/>
        <w:t>[…]</w:t>
      </w:r>
    </w:p>
    <w:p w14:paraId="4751487B" w14:textId="77777777" w:rsidR="00852A2B" w:rsidRPr="00E4307F" w:rsidRDefault="00852A2B" w:rsidP="00852A2B">
      <w:pPr>
        <w:spacing w:line="240" w:lineRule="auto"/>
        <w:ind w:left="709" w:right="758"/>
        <w:jc w:val="both"/>
        <w:rPr>
          <w:rFonts w:ascii="Verdana" w:eastAsia="Calibri" w:hAnsi="Verdana" w:cs="Arial"/>
          <w:color w:val="000000" w:themeColor="text1"/>
        </w:rPr>
      </w:pPr>
      <w:r w:rsidRPr="00E4307F">
        <w:rPr>
          <w:rFonts w:ascii="Verdana" w:eastAsia="Calibri" w:hAnsi="Verdana" w:cs="Arial"/>
          <w:color w:val="000000" w:themeColor="text1"/>
        </w:rPr>
        <w:t>h) Para la prestación de servicios profesionales y de apoyo a la gestión, o para la ejecución de trabajos artísticos que sólo puedan encomendarse a determinadas personas naturales</w:t>
      </w:r>
      <w:r w:rsidRPr="00CE71BD">
        <w:rPr>
          <w:rFonts w:ascii="Verdana" w:eastAsia="Calibri" w:hAnsi="Verdana" w:cs="Arial"/>
          <w:color w:val="000000" w:themeColor="text1"/>
        </w:rPr>
        <w:t>”.</w:t>
      </w:r>
    </w:p>
    <w:p w14:paraId="14567A7E" w14:textId="77777777" w:rsidR="00852A2B" w:rsidRPr="00771B6E" w:rsidRDefault="00852A2B" w:rsidP="00852A2B">
      <w:pPr>
        <w:pStyle w:val="Prrafodelista"/>
        <w:numPr>
          <w:ilvl w:val="0"/>
          <w:numId w:val="19"/>
        </w:numPr>
        <w:tabs>
          <w:tab w:val="left" w:pos="0"/>
        </w:tabs>
        <w:jc w:val="both"/>
        <w:rPr>
          <w:rFonts w:ascii="Verdana" w:hAnsi="Verdana" w:cs="Arial"/>
          <w:noProof/>
          <w:lang w:val="es-ES_tradnl"/>
        </w:rPr>
      </w:pPr>
      <w:r w:rsidRPr="00771B6E">
        <w:rPr>
          <w:rFonts w:ascii="Verdana" w:hAnsi="Verdana" w:cs="Arial"/>
          <w:noProof/>
          <w:lang w:val="es-ES_tradnl"/>
        </w:rPr>
        <w:t xml:space="preserve">En tal sentido, el </w:t>
      </w:r>
      <w:r w:rsidRPr="00E4307F">
        <w:rPr>
          <w:rStyle w:val="Refdenotaalpie"/>
          <w:rFonts w:ascii="Verdana" w:hAnsi="Verdana" w:cs="Arial"/>
          <w:noProof/>
          <w:lang w:val="es-ES_tradnl"/>
        </w:rPr>
        <w:footnoteReference w:id="4"/>
      </w:r>
      <w:r w:rsidRPr="00771B6E">
        <w:rPr>
          <w:rFonts w:ascii="Verdana" w:hAnsi="Verdana" w:cs="Arial"/>
          <w:noProof/>
          <w:lang w:val="es-ES_tradnl"/>
        </w:rPr>
        <w:t>Decreto 1082 de 2015 en su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54A5E526" w14:textId="77777777" w:rsidR="00852A2B" w:rsidRDefault="00852A2B" w:rsidP="00852A2B">
      <w:pPr>
        <w:spacing w:after="0" w:line="240" w:lineRule="auto"/>
        <w:ind w:left="708" w:right="709"/>
        <w:jc w:val="both"/>
        <w:rPr>
          <w:rFonts w:ascii="Verdana" w:hAnsi="Verdana" w:cs="Arial"/>
        </w:rPr>
      </w:pPr>
      <w:r w:rsidRPr="00CE71BD">
        <w:rPr>
          <w:rFonts w:ascii="Verdana" w:hAnsi="Verdana" w:cs="Arial"/>
        </w:rPr>
        <w:t>“</w:t>
      </w:r>
      <w:r w:rsidRPr="00E4307F">
        <w:rPr>
          <w:rFonts w:ascii="Verdana" w:hAnsi="Verdana" w:cs="Aria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B54D78A" w14:textId="77777777" w:rsidR="00852A2B" w:rsidRPr="00E4307F" w:rsidRDefault="00852A2B" w:rsidP="00852A2B">
      <w:pPr>
        <w:spacing w:after="0" w:line="240" w:lineRule="auto"/>
        <w:ind w:left="708" w:right="709"/>
        <w:jc w:val="both"/>
        <w:rPr>
          <w:rFonts w:ascii="Verdana" w:hAnsi="Verdana" w:cs="Arial"/>
        </w:rPr>
      </w:pPr>
    </w:p>
    <w:p w14:paraId="00DDC930" w14:textId="77777777" w:rsidR="00852A2B" w:rsidRPr="00E4307F" w:rsidRDefault="00852A2B" w:rsidP="00852A2B">
      <w:pPr>
        <w:spacing w:after="0" w:line="240" w:lineRule="auto"/>
        <w:ind w:left="708" w:right="709"/>
        <w:jc w:val="both"/>
        <w:rPr>
          <w:rFonts w:ascii="Verdana" w:hAnsi="Verdana" w:cs="Arial"/>
        </w:rPr>
      </w:pPr>
      <w:r w:rsidRPr="00E4307F">
        <w:rPr>
          <w:rFonts w:ascii="Verdana" w:hAnsi="Verdana" w:cs="Arial"/>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77BFA3F" w14:textId="77777777" w:rsidR="00852A2B" w:rsidRPr="00E4307F" w:rsidRDefault="00852A2B" w:rsidP="00852A2B">
      <w:pPr>
        <w:spacing w:after="0" w:line="240" w:lineRule="auto"/>
        <w:ind w:left="708" w:right="709"/>
        <w:jc w:val="both"/>
        <w:rPr>
          <w:rFonts w:ascii="Verdana" w:hAnsi="Verdana" w:cs="Arial"/>
        </w:rPr>
      </w:pPr>
    </w:p>
    <w:p w14:paraId="4A3C2B7D" w14:textId="77777777" w:rsidR="00852A2B" w:rsidRPr="00E4307F" w:rsidRDefault="00852A2B" w:rsidP="00852A2B">
      <w:pPr>
        <w:spacing w:after="0" w:line="240" w:lineRule="auto"/>
        <w:ind w:left="708" w:right="709"/>
        <w:jc w:val="both"/>
        <w:rPr>
          <w:rFonts w:ascii="Verdana" w:hAnsi="Verdana" w:cs="Arial"/>
        </w:rPr>
      </w:pPr>
      <w:r w:rsidRPr="00E4307F">
        <w:rPr>
          <w:rFonts w:ascii="Verdana" w:hAnsi="Verdana" w:cs="Arial"/>
        </w:rPr>
        <w:t>La Entidad Estatal, para la contratación de trabajos artísticos que solamente puedan encomendarse a determinadas personas naturales, debe justificar esta situación en los estudios y documentos previos</w:t>
      </w:r>
      <w:r w:rsidRPr="00CE71BD">
        <w:rPr>
          <w:rFonts w:ascii="Verdana" w:hAnsi="Verdana" w:cs="Arial"/>
        </w:rPr>
        <w:t>”.</w:t>
      </w:r>
    </w:p>
    <w:p w14:paraId="015D2F3C" w14:textId="77777777" w:rsidR="00852A2B" w:rsidRPr="00E4307F" w:rsidRDefault="00852A2B" w:rsidP="00852A2B">
      <w:pPr>
        <w:tabs>
          <w:tab w:val="left" w:pos="0"/>
        </w:tabs>
        <w:spacing w:after="0"/>
        <w:jc w:val="both"/>
        <w:rPr>
          <w:rFonts w:ascii="Verdana" w:hAnsi="Verdana" w:cs="Arial"/>
          <w:color w:val="000000" w:themeColor="text1"/>
          <w:lang w:val="es-ES_tradnl"/>
        </w:rPr>
      </w:pPr>
    </w:p>
    <w:p w14:paraId="6EE9B596" w14:textId="77777777" w:rsidR="00852A2B" w:rsidRPr="00771B6E" w:rsidRDefault="00852A2B" w:rsidP="00852A2B">
      <w:pPr>
        <w:pStyle w:val="Prrafodelista"/>
        <w:numPr>
          <w:ilvl w:val="0"/>
          <w:numId w:val="19"/>
        </w:numPr>
        <w:tabs>
          <w:tab w:val="left" w:pos="0"/>
        </w:tabs>
        <w:spacing w:after="120"/>
        <w:jc w:val="both"/>
        <w:rPr>
          <w:rFonts w:ascii="Verdana" w:hAnsi="Verdana" w:cs="Arial"/>
          <w:color w:val="000000" w:themeColor="text1"/>
          <w:lang w:val="es-ES_tradnl"/>
        </w:rPr>
      </w:pPr>
      <w:r w:rsidRPr="00771B6E">
        <w:rPr>
          <w:rFonts w:ascii="Verdana" w:hAnsi="Verdana" w:cs="Arial"/>
          <w:color w:val="000000" w:themeColor="text1"/>
          <w:lang w:val="es-ES_tradnl"/>
        </w:rPr>
        <w:t xml:space="preserve">A partir de las disposiciones citadas, así como de la reciente Sentencia de Unificación de Jurisprudencial del 9 de septiembre de 2021, proferida por </w:t>
      </w:r>
      <w:r w:rsidRPr="00771B6E">
        <w:rPr>
          <w:rFonts w:ascii="Verdana" w:hAnsi="Verdana" w:cs="Arial"/>
          <w:color w:val="000000" w:themeColor="text1"/>
          <w:lang w:val="es-ES_tradnl"/>
        </w:rPr>
        <w:lastRenderedPageBreak/>
        <w:t>el Consejo de Estado</w:t>
      </w:r>
      <w:r w:rsidRPr="00E4307F">
        <w:rPr>
          <w:rStyle w:val="Refdenotaalpie"/>
          <w:rFonts w:ascii="Verdana" w:hAnsi="Verdana" w:cs="Arial"/>
          <w:bCs/>
        </w:rPr>
        <w:footnoteReference w:id="5"/>
      </w:r>
      <w:r w:rsidRPr="00771B6E">
        <w:rPr>
          <w:rFonts w:ascii="Verdana" w:hAnsi="Verdana" w:cs="Arial"/>
          <w:color w:val="000000" w:themeColor="text1"/>
          <w:lang w:val="es-ES_tradnl"/>
        </w:rPr>
        <w:t>, es posible señalar las siguientes características del contrato de prestación de servicios</w:t>
      </w:r>
      <w:r w:rsidRPr="00771B6E">
        <w:rPr>
          <w:rFonts w:ascii="Verdana" w:hAnsi="Verdana" w:cs="Arial"/>
          <w:noProof/>
          <w:lang w:val="es-ES_tradnl"/>
        </w:rPr>
        <w:t>:</w:t>
      </w:r>
    </w:p>
    <w:p w14:paraId="16E81C74" w14:textId="77777777" w:rsidR="00852A2B" w:rsidRPr="00E4307F" w:rsidRDefault="00852A2B" w:rsidP="00852A2B">
      <w:pPr>
        <w:spacing w:after="120"/>
        <w:ind w:firstLine="709"/>
        <w:jc w:val="both"/>
        <w:rPr>
          <w:rFonts w:ascii="Verdana" w:hAnsi="Verdana" w:cs="Arial"/>
          <w:noProof/>
          <w:lang w:val="es-ES_tradnl"/>
        </w:rPr>
      </w:pPr>
      <w:r w:rsidRPr="00E4307F">
        <w:rPr>
          <w:rFonts w:ascii="Verdana" w:hAnsi="Verdana" w:cs="Arial"/>
          <w:noProof/>
          <w:lang w:val="es-ES_tradnl"/>
        </w:rPr>
        <w:t>i) Solo puede celebrarse para realizar “actividades relacionadas con la administración o funcionamiento de la entidad”, es decir, que hagan parte de su giro ordinario o quehacer cotidiano.</w:t>
      </w:r>
    </w:p>
    <w:p w14:paraId="61984ECD" w14:textId="77777777" w:rsidR="00852A2B" w:rsidRPr="00E4307F" w:rsidRDefault="00852A2B" w:rsidP="00852A2B">
      <w:pPr>
        <w:spacing w:after="120"/>
        <w:ind w:firstLine="709"/>
        <w:jc w:val="both"/>
        <w:rPr>
          <w:rFonts w:ascii="Verdana" w:hAnsi="Verdana" w:cs="Arial"/>
          <w:noProof/>
          <w:lang w:val="es-ES_tradnl"/>
        </w:rPr>
      </w:pPr>
      <w:r w:rsidRPr="00E4307F">
        <w:rPr>
          <w:rFonts w:ascii="Verdana" w:hAnsi="Verdana" w:cs="Arial"/>
          <w:noProof/>
          <w:lang w:val="es-ES_tradnl"/>
        </w:rPr>
        <w:t>ii)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w:t>
      </w:r>
      <w:r w:rsidRPr="00E4307F">
        <w:rPr>
          <w:rStyle w:val="Refdenotaalpie"/>
          <w:rFonts w:ascii="Verdana" w:hAnsi="Verdana" w:cs="Arial"/>
          <w:noProof/>
          <w:lang w:val="es-ES_tradnl"/>
        </w:rPr>
        <w:footnoteReference w:id="6"/>
      </w:r>
      <w:r w:rsidRPr="00E4307F">
        <w:rPr>
          <w:rFonts w:ascii="Verdana" w:hAnsi="Verdana" w:cs="Arial"/>
          <w:noProof/>
          <w:lang w:val="es-ES_tradnl"/>
        </w:rPr>
        <w:t xml:space="preserve"> </w:t>
      </w:r>
    </w:p>
    <w:p w14:paraId="2B14054F" w14:textId="77777777" w:rsidR="00852A2B" w:rsidRPr="00CE71BD" w:rsidRDefault="00852A2B" w:rsidP="00852A2B">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CE71BD">
        <w:rPr>
          <w:rFonts w:ascii="Verdana" w:hAnsi="Verdana" w:cs="Arial"/>
          <w:i/>
          <w:noProof/>
          <w:lang w:val="es-ES_tradnl"/>
        </w:rPr>
        <w:t xml:space="preserve">subordinación </w:t>
      </w:r>
      <w:r w:rsidRPr="00CE71BD">
        <w:rPr>
          <w:rFonts w:ascii="Verdana" w:hAnsi="Verdana" w:cs="Arial"/>
          <w:iCs/>
          <w:noProof/>
          <w:lang w:val="es-ES_tradnl"/>
        </w:rPr>
        <w:t>ni</w:t>
      </w:r>
      <w:r w:rsidRPr="00CE71BD">
        <w:rPr>
          <w:rFonts w:ascii="Verdana" w:hAnsi="Verdana" w:cs="Arial"/>
          <w:i/>
          <w:noProof/>
          <w:lang w:val="es-ES_tradnl"/>
        </w:rPr>
        <w:t xml:space="preserve"> dependencia</w:t>
      </w:r>
      <w:r w:rsidRPr="00CE71BD">
        <w:rPr>
          <w:rFonts w:ascii="Verdana" w:hAnsi="Verdana" w:cs="Arial"/>
          <w:iCs/>
          <w:noProof/>
          <w:lang w:val="es-ES_tradnl"/>
        </w:rPr>
        <w:t>,</w:t>
      </w:r>
      <w:r w:rsidRPr="00CE71BD">
        <w:rPr>
          <w:rFonts w:ascii="Verdana" w:hAnsi="Verdana" w:cs="Arial"/>
          <w:noProof/>
          <w:lang w:val="es-ES_tradnl"/>
        </w:rPr>
        <w:t xml:space="preserve"> que es uno de los elementos constitutivos del vínculo laboral</w:t>
      </w:r>
      <w:r w:rsidRPr="00CE71BD">
        <w:rPr>
          <w:rFonts w:ascii="Verdana" w:hAnsi="Verdana"/>
          <w:noProof/>
          <w:vertAlign w:val="superscript"/>
          <w:lang w:val="es-ES_tradnl"/>
        </w:rPr>
        <w:footnoteReference w:id="7"/>
      </w:r>
      <w:r w:rsidRPr="00CE71BD">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CE71BD">
        <w:rPr>
          <w:rFonts w:ascii="Verdana" w:hAnsi="Verdana" w:cs="Arial"/>
          <w:i/>
          <w:noProof/>
          <w:lang w:val="es-ES_tradnl"/>
        </w:rPr>
        <w:t>no pueden</w:t>
      </w:r>
      <w:r w:rsidRPr="00CE71BD">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w:t>
      </w:r>
      <w:r w:rsidRPr="00CE71BD">
        <w:rPr>
          <w:rFonts w:ascii="Verdana" w:hAnsi="Verdana" w:cs="Arial"/>
          <w:noProof/>
          <w:lang w:val="es-ES_tradnl"/>
        </w:rPr>
        <w:lastRenderedPageBreak/>
        <w:t>“trabajador independiente” –como lo califican las normas de la seguridad social– debe cotizar por su cuenta y riesgo al Sistema de Seguridad Social Integral</w:t>
      </w:r>
      <w:r w:rsidRPr="00CE71BD">
        <w:rPr>
          <w:rFonts w:ascii="Verdana" w:hAnsi="Verdana"/>
          <w:noProof/>
          <w:vertAlign w:val="superscript"/>
          <w:lang w:val="es-ES_tradnl"/>
        </w:rPr>
        <w:footnoteReference w:id="8"/>
      </w:r>
      <w:r w:rsidRPr="00CE71BD">
        <w:rPr>
          <w:rFonts w:ascii="Verdana" w:hAnsi="Verdana" w:cs="Arial"/>
          <w:noProof/>
          <w:lang w:val="es-ES_tradnl"/>
        </w:rPr>
        <w:t xml:space="preserve">. </w:t>
      </w:r>
    </w:p>
    <w:p w14:paraId="3A1C84B0" w14:textId="77777777" w:rsidR="00852A2B" w:rsidRPr="00CE71BD" w:rsidRDefault="00852A2B" w:rsidP="00852A2B">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731B175F" w14:textId="77777777" w:rsidR="00852A2B" w:rsidRPr="00CE71BD" w:rsidRDefault="00852A2B" w:rsidP="00852A2B">
      <w:pPr>
        <w:tabs>
          <w:tab w:val="left" w:pos="0"/>
        </w:tabs>
        <w:spacing w:after="120" w:line="276" w:lineRule="auto"/>
        <w:jc w:val="both"/>
        <w:rPr>
          <w:rFonts w:ascii="Verdana" w:hAnsi="Verdana" w:cs="Arial"/>
          <w:noProof/>
          <w:lang w:val="es-ES_tradnl"/>
        </w:rPr>
      </w:pPr>
      <w:r w:rsidRPr="00CE71BD">
        <w:rPr>
          <w:rFonts w:ascii="Verdana" w:hAnsi="Verdana" w:cs="Arial"/>
          <w:lang w:val="es-MX"/>
        </w:rPr>
        <w:t xml:space="preserve">De igual manera, señaló que “no cabe su empleo para la cobertura indefinida de necesidades permanentes o recurrentes”. </w:t>
      </w:r>
      <w:r w:rsidRPr="00CE71BD">
        <w:rPr>
          <w:rFonts w:ascii="Verdana" w:hAnsi="Verdana" w:cs="Arial"/>
          <w:noProof/>
          <w:lang w:val="es-ES_tradnl"/>
        </w:rPr>
        <w:t>En sentido similar se manifestó la Corte Constitucional en la sentencia C-154 de 1997, expresando que:</w:t>
      </w:r>
    </w:p>
    <w:p w14:paraId="715C83A1" w14:textId="77777777" w:rsidR="00852A2B" w:rsidRPr="00CE71BD" w:rsidRDefault="00852A2B" w:rsidP="00852A2B">
      <w:pPr>
        <w:tabs>
          <w:tab w:val="left" w:pos="0"/>
        </w:tabs>
        <w:spacing w:after="0" w:line="276" w:lineRule="auto"/>
        <w:ind w:left="709" w:right="709"/>
        <w:jc w:val="both"/>
        <w:rPr>
          <w:rFonts w:ascii="Verdana" w:hAnsi="Verdana" w:cs="Arial"/>
          <w:noProof/>
          <w:sz w:val="20"/>
          <w:szCs w:val="20"/>
          <w:lang w:val="es-ES_tradnl"/>
        </w:rPr>
      </w:pPr>
      <w:r w:rsidRPr="00CE71BD">
        <w:rPr>
          <w:rFonts w:ascii="Verdana" w:eastAsia="Yu Gothic UI Semibold" w:hAnsi="Verdana" w:cs="Arial"/>
          <w:iCs/>
          <w:sz w:val="20"/>
          <w:szCs w:val="20"/>
          <w:lang w:eastAsia="es-MX"/>
        </w:rPr>
        <w:t>“</w:t>
      </w:r>
      <w:r w:rsidRPr="00CE71BD">
        <w:rPr>
          <w:rFonts w:ascii="Verdana" w:hAnsi="Verdana" w:cs="Arial"/>
          <w:noProof/>
          <w:sz w:val="20"/>
          <w:szCs w:val="20"/>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w:t>
      </w:r>
      <w:r w:rsidRPr="00CE71BD">
        <w:rPr>
          <w:rFonts w:ascii="Verdana" w:hAnsi="Verdana" w:cs="Arial"/>
          <w:noProof/>
          <w:sz w:val="20"/>
          <w:szCs w:val="20"/>
          <w:lang w:val="es-ES_tradnl"/>
        </w:rPr>
        <w:lastRenderedPageBreak/>
        <w:t>contemplado en la respectiva planta y previstos sus emolumentos en el presupuesto correspondiente”</w:t>
      </w:r>
      <w:r w:rsidRPr="00CE71BD">
        <w:rPr>
          <w:rFonts w:ascii="Verdana" w:hAnsi="Verdana"/>
          <w:noProof/>
          <w:sz w:val="20"/>
          <w:szCs w:val="20"/>
          <w:vertAlign w:val="superscript"/>
          <w:lang w:val="es-ES_tradnl"/>
        </w:rPr>
        <w:footnoteReference w:id="9"/>
      </w:r>
      <w:r w:rsidRPr="00CE71BD">
        <w:rPr>
          <w:rFonts w:ascii="Verdana" w:hAnsi="Verdana" w:cs="Arial"/>
          <w:noProof/>
          <w:sz w:val="20"/>
          <w:szCs w:val="20"/>
          <w:lang w:val="es-ES_tradnl"/>
        </w:rPr>
        <w:t>.</w:t>
      </w:r>
    </w:p>
    <w:p w14:paraId="0532BBE4" w14:textId="77777777" w:rsidR="00852A2B" w:rsidRPr="00CE71BD" w:rsidRDefault="00852A2B" w:rsidP="00852A2B">
      <w:pPr>
        <w:pStyle w:val="Prrafodelista"/>
        <w:tabs>
          <w:tab w:val="left" w:pos="0"/>
        </w:tabs>
        <w:spacing w:after="0" w:line="276" w:lineRule="auto"/>
        <w:ind w:left="1440"/>
        <w:jc w:val="both"/>
        <w:rPr>
          <w:rFonts w:ascii="Verdana" w:hAnsi="Verdana" w:cs="Arial"/>
          <w:noProof/>
          <w:lang w:val="es-ES_tradnl"/>
        </w:rPr>
      </w:pPr>
    </w:p>
    <w:p w14:paraId="065ECBCF" w14:textId="77777777" w:rsidR="00852A2B" w:rsidRPr="00CE71BD" w:rsidRDefault="00852A2B" w:rsidP="00852A2B">
      <w:pPr>
        <w:tabs>
          <w:tab w:val="left" w:pos="0"/>
        </w:tabs>
        <w:spacing w:after="120" w:line="276" w:lineRule="auto"/>
        <w:jc w:val="both"/>
        <w:rPr>
          <w:rFonts w:ascii="Verdana" w:eastAsia="Calibri" w:hAnsi="Verdana" w:cs="Arial"/>
          <w:color w:val="000000" w:themeColor="text1"/>
          <w:lang w:val="es-ES_tradnl"/>
        </w:rPr>
      </w:pPr>
      <w:r w:rsidRPr="00CE71BD">
        <w:rPr>
          <w:rFonts w:ascii="Verdana" w:hAnsi="Verdana" w:cs="Arial"/>
          <w:noProof/>
          <w:lang w:val="es-ES_tradnl"/>
        </w:rPr>
        <w:tab/>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CE71BD">
        <w:rPr>
          <w:rFonts w:ascii="Verdana" w:hAnsi="Verdana"/>
          <w:noProof/>
          <w:vertAlign w:val="superscript"/>
          <w:lang w:val="es-ES_tradnl"/>
        </w:rPr>
        <w:footnoteReference w:id="10"/>
      </w:r>
      <w:r w:rsidRPr="00CE71BD">
        <w:rPr>
          <w:rFonts w:ascii="Verdana" w:hAnsi="Verdana" w:cs="Arial"/>
          <w:noProof/>
          <w:lang w:val="es-ES_tradnl"/>
        </w:rPr>
        <w:t>. Esto también se deriva d</w:t>
      </w:r>
      <w:r w:rsidRPr="00CE71BD">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7DBD7D97" w14:textId="77777777" w:rsidR="00852A2B" w:rsidRPr="00CE71BD" w:rsidRDefault="00852A2B" w:rsidP="00852A2B">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vi) Para su celebración no se requiere expedir un acto administrativo de justificación de la contratación directa</w:t>
      </w:r>
      <w:r w:rsidRPr="00CE71BD">
        <w:rPr>
          <w:rFonts w:ascii="Verdana" w:hAnsi="Verdana"/>
          <w:noProof/>
          <w:vertAlign w:val="superscript"/>
          <w:lang w:val="es-ES_tradnl"/>
        </w:rPr>
        <w:footnoteReference w:id="11"/>
      </w:r>
      <w:r w:rsidRPr="00CE71BD">
        <w:rPr>
          <w:rFonts w:ascii="Verdana" w:hAnsi="Verdana" w:cs="Arial"/>
          <w:noProof/>
          <w:lang w:val="es-ES_tradnl"/>
        </w:rPr>
        <w:t>.</w:t>
      </w:r>
    </w:p>
    <w:p w14:paraId="69880F4D" w14:textId="77777777" w:rsidR="00852A2B" w:rsidRPr="00CE71BD" w:rsidRDefault="00852A2B" w:rsidP="00852A2B">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 xml:space="preserve">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w:t>
      </w:r>
      <w:r w:rsidRPr="00CE71BD">
        <w:rPr>
          <w:rFonts w:ascii="Verdana" w:hAnsi="Verdana" w:cs="Arial"/>
          <w:noProof/>
          <w:lang w:val="es-ES_tradnl"/>
        </w:rPr>
        <w:lastRenderedPageBreak/>
        <w:t>expresamente, porque no se entienden pactadas como cláusula de la naturaleza. Así se infiere del artículo 14, numeral 2º, de la Ley 80 de 1993</w:t>
      </w:r>
      <w:r w:rsidRPr="00CE71BD">
        <w:rPr>
          <w:rFonts w:ascii="Verdana" w:hAnsi="Verdana"/>
          <w:noProof/>
          <w:vertAlign w:val="superscript"/>
          <w:lang w:val="es-ES_tradnl"/>
        </w:rPr>
        <w:footnoteReference w:id="12"/>
      </w:r>
      <w:r w:rsidRPr="00CE71BD">
        <w:rPr>
          <w:rFonts w:ascii="Verdana" w:hAnsi="Verdana" w:cs="Arial"/>
          <w:noProof/>
          <w:lang w:val="es-ES_tradnl"/>
        </w:rPr>
        <w:t>.</w:t>
      </w:r>
    </w:p>
    <w:p w14:paraId="23BFEA25" w14:textId="77777777" w:rsidR="00852A2B" w:rsidRPr="00CE71BD" w:rsidRDefault="00852A2B" w:rsidP="00852A2B">
      <w:pPr>
        <w:tabs>
          <w:tab w:val="left" w:pos="0"/>
        </w:tabs>
        <w:spacing w:after="120" w:line="276" w:lineRule="auto"/>
        <w:jc w:val="both"/>
        <w:rPr>
          <w:rFonts w:ascii="Verdana" w:hAnsi="Verdana" w:cs="Arial"/>
          <w:color w:val="000000" w:themeColor="text1"/>
          <w:lang w:val="es-ES_tradnl"/>
        </w:rPr>
      </w:pPr>
      <w:r w:rsidRPr="00CE71BD">
        <w:rPr>
          <w:rFonts w:ascii="Verdana" w:hAnsi="Verdana" w:cs="Arial"/>
          <w:noProof/>
          <w:lang w:val="es-ES_tradnl"/>
        </w:rPr>
        <w:tab/>
        <w:t>viii) No es obligatoria la liquidación de estos contratos, como lo establece el artículo 217 del Decreto 019 de 2012, que modificó el artículo 60 de la Ley 80 de 1993</w:t>
      </w:r>
      <w:r w:rsidRPr="00CE71BD">
        <w:rPr>
          <w:rFonts w:ascii="Verdana" w:hAnsi="Verdana"/>
          <w:noProof/>
          <w:vertAlign w:val="superscript"/>
          <w:lang w:val="es-ES_tradnl"/>
        </w:rPr>
        <w:footnoteReference w:id="13"/>
      </w:r>
      <w:r w:rsidRPr="00CE71BD">
        <w:rPr>
          <w:rFonts w:ascii="Verdana" w:hAnsi="Verdana" w:cs="Arial"/>
          <w:noProof/>
          <w:lang w:val="es-ES_tradnl"/>
        </w:rPr>
        <w:t>.</w:t>
      </w:r>
    </w:p>
    <w:p w14:paraId="148659DF" w14:textId="77777777" w:rsidR="00852A2B" w:rsidRPr="00CE71BD" w:rsidRDefault="00852A2B" w:rsidP="00852A2B">
      <w:pPr>
        <w:tabs>
          <w:tab w:val="left" w:pos="0"/>
        </w:tabs>
        <w:spacing w:after="120" w:line="276" w:lineRule="auto"/>
        <w:jc w:val="both"/>
        <w:rPr>
          <w:rFonts w:ascii="Verdana" w:hAnsi="Verdana" w:cs="Arial"/>
          <w:noProof/>
          <w:lang w:val="es-ES_tradnl"/>
        </w:rPr>
      </w:pPr>
      <w:r w:rsidRPr="00CE71BD">
        <w:rPr>
          <w:rFonts w:ascii="Verdana" w:hAnsi="Verdana" w:cs="Arial"/>
          <w:noProof/>
          <w:lang w:val="es-ES_tradnl"/>
        </w:rPr>
        <w:t xml:space="preserve"> </w:t>
      </w:r>
      <w:r w:rsidRPr="00CE71BD">
        <w:rPr>
          <w:rFonts w:ascii="Verdana" w:hAnsi="Verdana" w:cs="Arial"/>
          <w:noProof/>
          <w:lang w:val="es-ES_tradnl"/>
        </w:rPr>
        <w:tab/>
        <w:t>ix) Para su celebración el contratista no requiere estar inscrito en el Registro Único de Proponentes –en adelante RUP–, como lo señala el artículo 6 de la Ley 1150 de 2007</w:t>
      </w:r>
      <w:r w:rsidRPr="00CE71BD">
        <w:rPr>
          <w:rFonts w:ascii="Verdana" w:hAnsi="Verdana"/>
          <w:noProof/>
          <w:vertAlign w:val="superscript"/>
          <w:lang w:val="es-ES_tradnl"/>
        </w:rPr>
        <w:footnoteReference w:id="14"/>
      </w:r>
      <w:r w:rsidRPr="00CE71BD">
        <w:rPr>
          <w:rFonts w:ascii="Verdana" w:hAnsi="Verdana" w:cs="Arial"/>
          <w:noProof/>
          <w:lang w:val="es-ES_tradnl"/>
        </w:rPr>
        <w:t>.</w:t>
      </w:r>
    </w:p>
    <w:p w14:paraId="01327DFB" w14:textId="77777777" w:rsidR="00852A2B" w:rsidRPr="00292BF0" w:rsidRDefault="00852A2B" w:rsidP="00852A2B">
      <w:pPr>
        <w:pStyle w:val="Prrafodelista"/>
        <w:numPr>
          <w:ilvl w:val="0"/>
          <w:numId w:val="19"/>
        </w:numPr>
        <w:tabs>
          <w:tab w:val="left" w:pos="0"/>
        </w:tabs>
        <w:spacing w:after="120" w:line="276" w:lineRule="auto"/>
        <w:jc w:val="both"/>
        <w:rPr>
          <w:rFonts w:ascii="Verdana" w:hAnsi="Verdana" w:cs="Arial"/>
          <w:color w:val="000000" w:themeColor="text1"/>
          <w:lang w:val="es-ES_tradnl"/>
        </w:rPr>
      </w:pPr>
      <w:r w:rsidRPr="00292BF0">
        <w:rPr>
          <w:rFonts w:ascii="Verdana" w:hAnsi="Verdana" w:cs="Arial"/>
          <w:noProof/>
          <w:lang w:val="es-ES_tradnl"/>
        </w:rPr>
        <w:t xml:space="preserve">Además de las disposiciones hasta aquí mencionadas, para celebrar contratos de prestación de servicios las Entidades Estatales deben aplicar lo dispuesto en los artículos 2.8.4.4.5 y 2.8.4.4.6 del Decreto 1068 de 2015. La última de estas disposiciones establece una restricción para la celebración de contratos de prestación de servicios de manera continua en los que se pacte contraprestación mensual superior a la del jefe de la entidad. De otra parte, el artículo 2.8.4.4.5 establece ciertas condiciones y restricciones que deben observarse, al siguiente tenor: </w:t>
      </w:r>
    </w:p>
    <w:p w14:paraId="0917C1FB" w14:textId="77777777" w:rsidR="00852A2B" w:rsidRPr="00CE71BD" w:rsidRDefault="00852A2B" w:rsidP="00852A2B">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bookmarkStart w:id="1" w:name="_Hlk171942664"/>
      <w:r w:rsidRPr="00CE71BD">
        <w:rPr>
          <w:rFonts w:ascii="Verdana" w:eastAsia="Calibri" w:hAnsi="Verdana" w:cs="Arial"/>
          <w:color w:val="000000" w:themeColor="text1"/>
          <w:sz w:val="20"/>
          <w:szCs w:val="20"/>
          <w:lang w:val="es-MX"/>
        </w:rPr>
        <w:lastRenderedPageBreak/>
        <w:t xml:space="preserve">“Artículo 2.8.4.4.5. </w:t>
      </w:r>
      <w:r w:rsidRPr="00CE71BD">
        <w:rPr>
          <w:rFonts w:ascii="Verdana" w:eastAsia="Calibri" w:hAnsi="Verdana" w:cs="Arial"/>
          <w:i/>
          <w:iCs/>
          <w:color w:val="000000" w:themeColor="text1"/>
          <w:sz w:val="20"/>
          <w:szCs w:val="20"/>
          <w:lang w:val="es-MX"/>
        </w:rPr>
        <w:t>Condiciones para contratar la prestación de servicios</w:t>
      </w:r>
      <w:r w:rsidRPr="00CE71BD">
        <w:rPr>
          <w:rFonts w:ascii="Verdana" w:eastAsia="Calibri" w:hAnsi="Verdana" w:cs="Arial"/>
          <w:color w:val="000000" w:themeColor="text1"/>
          <w:sz w:val="20"/>
          <w:szCs w:val="20"/>
          <w:lang w:val="es-MX"/>
        </w:rPr>
        <w:t>. </w:t>
      </w:r>
      <w:r w:rsidRPr="00F312E3">
        <w:rPr>
          <w:rFonts w:ascii="Verdana" w:eastAsia="Calibri" w:hAnsi="Verdana" w:cs="Arial"/>
          <w:i/>
          <w:color w:val="000000" w:themeColor="text1"/>
          <w:sz w:val="20"/>
          <w:szCs w:val="20"/>
          <w:u w:val="single"/>
          <w:lang w:val="es-MX"/>
        </w:rPr>
        <w:t>Los contratos de prestación de servicios con personas naturales o jurídicas, sólo se podrán celebrar</w:t>
      </w:r>
      <w:r w:rsidRPr="00CE71BD">
        <w:rPr>
          <w:rFonts w:ascii="Verdana" w:eastAsia="Calibri" w:hAnsi="Verdana" w:cs="Arial"/>
          <w:color w:val="000000" w:themeColor="text1"/>
          <w:sz w:val="20"/>
          <w:szCs w:val="20"/>
          <w:lang w:val="es-MX"/>
        </w:rPr>
        <w:t xml:space="preserve"> </w:t>
      </w:r>
      <w:r w:rsidRPr="00CE71BD">
        <w:rPr>
          <w:rFonts w:ascii="Verdana" w:eastAsia="Calibri" w:hAnsi="Verdana" w:cs="Arial"/>
          <w:i/>
          <w:color w:val="000000" w:themeColor="text1"/>
          <w:sz w:val="20"/>
          <w:szCs w:val="20"/>
          <w:u w:val="single"/>
          <w:lang w:val="es-MX"/>
        </w:rPr>
        <w:t>cuando no exista personal de planta con capacidad para realizar las actividades que se contratarán</w:t>
      </w:r>
      <w:r w:rsidRPr="00CE71BD">
        <w:rPr>
          <w:rFonts w:ascii="Verdana" w:eastAsia="Calibri" w:hAnsi="Verdana" w:cs="Arial"/>
          <w:color w:val="000000" w:themeColor="text1"/>
          <w:sz w:val="20"/>
          <w:szCs w:val="20"/>
          <w:lang w:val="es-MX"/>
        </w:rPr>
        <w:t>. </w:t>
      </w:r>
    </w:p>
    <w:p w14:paraId="6F796BB6" w14:textId="77777777" w:rsidR="00852A2B" w:rsidRPr="00CE71BD" w:rsidRDefault="00852A2B" w:rsidP="00852A2B">
      <w:pPr>
        <w:spacing w:after="120" w:line="240" w:lineRule="auto"/>
        <w:ind w:left="720" w:right="616"/>
        <w:contextualSpacing/>
        <w:jc w:val="both"/>
        <w:textAlignment w:val="baseline"/>
        <w:rPr>
          <w:rFonts w:ascii="Verdana" w:eastAsia="Calibri" w:hAnsi="Verdana" w:cs="Arial"/>
          <w:color w:val="000000" w:themeColor="text1"/>
          <w:sz w:val="20"/>
          <w:szCs w:val="20"/>
          <w:lang w:val="es-MX"/>
        </w:rPr>
      </w:pPr>
    </w:p>
    <w:p w14:paraId="20260CEF" w14:textId="77777777" w:rsidR="00852A2B" w:rsidRPr="00F312E3" w:rsidRDefault="00852A2B" w:rsidP="00852A2B">
      <w:pPr>
        <w:spacing w:after="120" w:line="240" w:lineRule="auto"/>
        <w:ind w:left="720" w:right="758"/>
        <w:contextualSpacing/>
        <w:jc w:val="both"/>
        <w:textAlignment w:val="baseline"/>
        <w:rPr>
          <w:rFonts w:ascii="Verdana" w:eastAsia="Calibri" w:hAnsi="Verdana" w:cs="Arial"/>
          <w:i/>
          <w:iCs/>
          <w:color w:val="000000" w:themeColor="text1"/>
          <w:sz w:val="20"/>
          <w:szCs w:val="20"/>
          <w:u w:val="single"/>
          <w:lang w:val="es-MX"/>
        </w:rPr>
      </w:pPr>
      <w:r w:rsidRPr="00F312E3">
        <w:rPr>
          <w:rFonts w:ascii="Verdana" w:eastAsia="Calibri" w:hAnsi="Verdana" w:cs="Arial"/>
          <w:i/>
          <w:color w:val="000000" w:themeColor="text1"/>
          <w:sz w:val="20"/>
          <w:szCs w:val="20"/>
          <w:u w:val="single"/>
          <w:lang w:val="es-MX"/>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r w:rsidRPr="00F312E3">
        <w:rPr>
          <w:rFonts w:ascii="Verdana" w:eastAsia="Calibri" w:hAnsi="Verdana" w:cs="Arial"/>
          <w:i/>
          <w:iCs/>
          <w:color w:val="000000" w:themeColor="text1"/>
          <w:sz w:val="20"/>
          <w:szCs w:val="20"/>
          <w:u w:val="single"/>
          <w:lang w:val="es-MX"/>
        </w:rPr>
        <w:t> </w:t>
      </w:r>
    </w:p>
    <w:p w14:paraId="6ECAE697" w14:textId="77777777" w:rsidR="00852A2B" w:rsidRPr="00CE71BD" w:rsidRDefault="00852A2B" w:rsidP="00852A2B">
      <w:pPr>
        <w:spacing w:after="120" w:line="240" w:lineRule="auto"/>
        <w:ind w:left="720" w:right="758"/>
        <w:contextualSpacing/>
        <w:jc w:val="both"/>
        <w:textAlignment w:val="baseline"/>
        <w:rPr>
          <w:rFonts w:ascii="Verdana" w:eastAsia="Calibri" w:hAnsi="Verdana" w:cs="Arial"/>
          <w:color w:val="000000" w:themeColor="text1"/>
          <w:sz w:val="20"/>
          <w:szCs w:val="20"/>
          <w:lang w:val="es-MX"/>
        </w:rPr>
      </w:pPr>
    </w:p>
    <w:p w14:paraId="78FD30C7" w14:textId="77777777" w:rsidR="00852A2B" w:rsidRPr="00CE71BD" w:rsidRDefault="00852A2B" w:rsidP="00852A2B">
      <w:pPr>
        <w:spacing w:after="0" w:line="240" w:lineRule="auto"/>
        <w:ind w:left="720" w:right="758"/>
        <w:contextualSpacing/>
        <w:jc w:val="both"/>
        <w:textAlignment w:val="baseline"/>
        <w:rPr>
          <w:rFonts w:ascii="Verdana" w:eastAsia="Calibri" w:hAnsi="Verdana" w:cs="Arial"/>
          <w:color w:val="000000" w:themeColor="text1"/>
          <w:sz w:val="20"/>
          <w:szCs w:val="20"/>
          <w:lang w:val="es-MX"/>
        </w:rPr>
      </w:pPr>
      <w:r w:rsidRPr="00F312E3">
        <w:rPr>
          <w:rFonts w:ascii="Verdana" w:eastAsia="Calibri" w:hAnsi="Verdana" w:cs="Arial"/>
          <w:color w:val="000000" w:themeColor="text1"/>
          <w:sz w:val="20"/>
          <w:szCs w:val="20"/>
          <w:lang w:val="es-MX"/>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sidRPr="00CE71BD">
        <w:rPr>
          <w:rFonts w:ascii="Verdana" w:eastAsia="Calibri" w:hAnsi="Verdana" w:cs="Arial"/>
          <w:color w:val="000000" w:themeColor="text1"/>
          <w:sz w:val="20"/>
          <w:szCs w:val="20"/>
          <w:lang w:val="es-MX"/>
        </w:rPr>
        <w:t>”. [Énfasis fuera de texto].</w:t>
      </w:r>
    </w:p>
    <w:p w14:paraId="2445414C" w14:textId="77777777" w:rsidR="00852A2B" w:rsidRPr="00CE71BD" w:rsidRDefault="00852A2B" w:rsidP="00852A2B">
      <w:pPr>
        <w:spacing w:after="120" w:line="276" w:lineRule="auto"/>
        <w:ind w:left="720"/>
        <w:contextualSpacing/>
        <w:jc w:val="both"/>
        <w:rPr>
          <w:rFonts w:ascii="Verdana" w:eastAsia="Calibri" w:hAnsi="Verdana" w:cs="Arial"/>
          <w:color w:val="000000" w:themeColor="text1"/>
          <w:lang w:val="es-MX"/>
        </w:rPr>
      </w:pPr>
    </w:p>
    <w:p w14:paraId="0FE6D5F5" w14:textId="77777777" w:rsidR="00852A2B" w:rsidRDefault="00852A2B" w:rsidP="00852A2B">
      <w:pPr>
        <w:pStyle w:val="Prrafodelista"/>
        <w:numPr>
          <w:ilvl w:val="0"/>
          <w:numId w:val="19"/>
        </w:numPr>
        <w:spacing w:after="120" w:line="276" w:lineRule="auto"/>
        <w:ind w:right="51"/>
        <w:jc w:val="both"/>
        <w:textAlignment w:val="baseline"/>
        <w:rPr>
          <w:rFonts w:ascii="Verdana" w:eastAsia="Calibri" w:hAnsi="Verdana" w:cs="Arial"/>
          <w:color w:val="000000" w:themeColor="text1"/>
          <w:lang w:val="es-MX"/>
        </w:rPr>
      </w:pPr>
      <w:bookmarkStart w:id="2" w:name="_Hlk69119210"/>
      <w:r w:rsidRPr="00292BF0">
        <w:rPr>
          <w:rFonts w:ascii="Verdana" w:eastAsia="Calibri" w:hAnsi="Verdana" w:cs="Arial"/>
          <w:color w:val="000000" w:themeColor="text1"/>
          <w:lang w:val="es-MX"/>
        </w:rPr>
        <w:t xml:space="preserve">Conforme se desprende del primer inciso de la norma transcrita, solo resulta posible la celebrar contratos de prestación con personas naturales o jurídicas cuando la Entidad Estatal contratante no tiene personal de planta que pueda ejecutar las actividades que son materia de contratación. En concordancia con esto, el segundo inciso del artículo en cita establece los criterios en atención a las cuales se considera que una Entidad Estatal no tiene personal de planta para asumir determinadas actividades que deben ser proveídas a través de la tipología contractual contemplada en el numeral 3° del artículo 32 de la Ley 80 de 1993. </w:t>
      </w:r>
    </w:p>
    <w:p w14:paraId="25AAC736" w14:textId="77777777" w:rsidR="00852A2B" w:rsidRPr="00292BF0" w:rsidRDefault="00852A2B" w:rsidP="00852A2B">
      <w:pPr>
        <w:pStyle w:val="Prrafodelista"/>
        <w:numPr>
          <w:ilvl w:val="0"/>
          <w:numId w:val="19"/>
        </w:numPr>
        <w:spacing w:after="120" w:line="276" w:lineRule="auto"/>
        <w:ind w:right="51"/>
        <w:jc w:val="both"/>
        <w:textAlignment w:val="baseline"/>
        <w:rPr>
          <w:rFonts w:ascii="Verdana" w:eastAsia="Calibri" w:hAnsi="Verdana" w:cs="Arial"/>
          <w:color w:val="000000" w:themeColor="text1"/>
          <w:lang w:val="es-MX"/>
        </w:rPr>
      </w:pPr>
      <w:r w:rsidRPr="00292BF0">
        <w:rPr>
          <w:rFonts w:ascii="Verdana" w:eastAsia="Calibri" w:hAnsi="Verdana" w:cs="Arial"/>
          <w:color w:val="000000" w:themeColor="text1"/>
          <w:lang w:val="es-MX"/>
        </w:rPr>
        <w:t xml:space="preserve">Al respecto establece tres supuestos alternativos: i) Cuando de acuerdo con los manuales específicos, no existe personal que pueda desarrollar la actividad para la cual se requiere contrata; </w:t>
      </w:r>
      <w:proofErr w:type="spellStart"/>
      <w:r w:rsidRPr="00292BF0">
        <w:rPr>
          <w:rFonts w:ascii="Verdana" w:eastAsia="Calibri" w:hAnsi="Verdana" w:cs="Arial"/>
          <w:color w:val="000000" w:themeColor="text1"/>
          <w:lang w:val="es-MX"/>
        </w:rPr>
        <w:t>ii</w:t>
      </w:r>
      <w:proofErr w:type="spellEnd"/>
      <w:r w:rsidRPr="00292BF0">
        <w:rPr>
          <w:rFonts w:ascii="Verdana" w:eastAsia="Calibri" w:hAnsi="Verdana" w:cs="Arial"/>
          <w:color w:val="000000" w:themeColor="text1"/>
          <w:lang w:val="es-MX"/>
        </w:rPr>
        <w:t xml:space="preserve">) cuando el desarrollo de la actividad requiere un grado de especialización que implica la contratación del servicio; y </w:t>
      </w:r>
      <w:proofErr w:type="spellStart"/>
      <w:r w:rsidRPr="00292BF0">
        <w:rPr>
          <w:rFonts w:ascii="Verdana" w:eastAsia="Calibri" w:hAnsi="Verdana" w:cs="Arial"/>
          <w:color w:val="000000" w:themeColor="text1"/>
          <w:lang w:val="es-MX"/>
        </w:rPr>
        <w:t>iii</w:t>
      </w:r>
      <w:proofErr w:type="spellEnd"/>
      <w:r w:rsidRPr="00292BF0">
        <w:rPr>
          <w:rFonts w:ascii="Verdana" w:eastAsia="Calibri" w:hAnsi="Verdana" w:cs="Arial"/>
          <w:color w:val="000000" w:themeColor="text1"/>
          <w:lang w:val="es-MX"/>
        </w:rPr>
        <w:t xml:space="preserve">) cuando el desarrollo de la actividad requiere un grado de especialización que implica la contratación del servicio. En caso de que se configure alguno de estos supuestos, la Entidad Estatal podrá certificar </w:t>
      </w:r>
      <w:r w:rsidRPr="00292BF0">
        <w:rPr>
          <w:rFonts w:ascii="Verdana" w:eastAsia="Calibri" w:hAnsi="Verdana" w:cs="Arial"/>
          <w:color w:val="000000" w:themeColor="text1"/>
          <w:lang w:val="es-MX"/>
        </w:rPr>
        <w:lastRenderedPageBreak/>
        <w:t xml:space="preserve">la inexistencia o insuficiencia de personal y proceder a la celebración del contrato de prestación de servicios. </w:t>
      </w:r>
    </w:p>
    <w:p w14:paraId="23A926BB" w14:textId="77777777" w:rsidR="00852A2B" w:rsidRPr="00292BF0" w:rsidRDefault="00852A2B" w:rsidP="00852A2B">
      <w:pPr>
        <w:pStyle w:val="Prrafodelista"/>
        <w:numPr>
          <w:ilvl w:val="0"/>
          <w:numId w:val="19"/>
        </w:numPr>
        <w:spacing w:after="120" w:line="276" w:lineRule="auto"/>
        <w:ind w:right="51"/>
        <w:jc w:val="both"/>
        <w:textAlignment w:val="baseline"/>
        <w:rPr>
          <w:rFonts w:ascii="Verdana" w:eastAsia="Calibri" w:hAnsi="Verdana" w:cs="Arial"/>
          <w:color w:val="000000" w:themeColor="text1"/>
          <w:lang w:val="es-MX"/>
        </w:rPr>
      </w:pPr>
      <w:r w:rsidRPr="00292BF0">
        <w:rPr>
          <w:rFonts w:ascii="Verdana" w:eastAsia="Calibri" w:hAnsi="Verdana" w:cs="Arial"/>
          <w:color w:val="000000" w:themeColor="text1"/>
          <w:lang w:val="es-MX"/>
        </w:rPr>
        <w:t xml:space="preserve">De otra parte, el tercer inciso del artículo 2.8.4.4.5 del Decreto 1068 de 2015 establece una restricción en virtud de la cual, en principio, no resulta posible celebrar nuevos contratos de prestación de servicios, cuando la Entidad Estatal tiene vigentes relaciones contractuales vigentes de cualquier índole con un objeto igual al del contrato que se pretende suscribir. Esto supone una especial carga argumentativa en la justificación de la necesidad, en procura de velar por una planeación adecuada de la contratación de prestación de servicios, de manera que no exista una pluralidad de contratistas vinculados a la Entidad Estatal para la prestación de los mismos servicios. </w:t>
      </w:r>
    </w:p>
    <w:p w14:paraId="2B3F8BAF" w14:textId="77777777" w:rsidR="00852A2B" w:rsidRPr="00292BF0" w:rsidRDefault="00852A2B" w:rsidP="00852A2B">
      <w:pPr>
        <w:pStyle w:val="Prrafodelista"/>
        <w:numPr>
          <w:ilvl w:val="0"/>
          <w:numId w:val="19"/>
        </w:numPr>
        <w:spacing w:after="120" w:line="276" w:lineRule="auto"/>
        <w:ind w:right="51"/>
        <w:jc w:val="both"/>
        <w:textAlignment w:val="baseline"/>
        <w:rPr>
          <w:rFonts w:ascii="Verdana" w:eastAsia="Calibri" w:hAnsi="Verdana" w:cs="Arial"/>
          <w:color w:val="000000" w:themeColor="text1"/>
          <w:lang w:val="es-MX"/>
        </w:rPr>
      </w:pPr>
      <w:r w:rsidRPr="00292BF0">
        <w:rPr>
          <w:rFonts w:ascii="Verdana" w:eastAsia="Calibri" w:hAnsi="Verdana" w:cs="Arial"/>
          <w:color w:val="000000" w:themeColor="text1"/>
          <w:lang w:val="es-MX"/>
        </w:rPr>
        <w:t xml:space="preserve">Sin perjuicio de lo anterior, el tercer inciso del artículo 2.8.4.4.5 establece como regla excepcional la posibilidad que se celebren nuevos contratos de prestación de servicios, a pesar de la vigencia de relaciones contractual con objetos similares, condicionando ello a la autorización expresa del jefe del respectivo órgano, ente o entidad contratante. Además del carácter expreso que debe tener dicha autorización, esta debe realizar con sustento en </w:t>
      </w:r>
      <w:r w:rsidRPr="00292BF0">
        <w:rPr>
          <w:rFonts w:ascii="Verdana" w:eastAsia="Calibri" w:hAnsi="Verdana" w:cs="Arial"/>
          <w:color w:val="000000" w:themeColor="text1"/>
        </w:rPr>
        <w:t xml:space="preserve">sustentación sobre las especiales características y necesidades técnicas de las contrataciones a realizar, en virtud las cuales se hace necesario que los servicios sean prestados a través de más de una relación contractual. </w:t>
      </w:r>
      <w:r w:rsidRPr="00292BF0">
        <w:rPr>
          <w:rFonts w:ascii="Verdana" w:eastAsia="Calibri" w:hAnsi="Verdana" w:cs="Arial"/>
          <w:color w:val="000000" w:themeColor="text1"/>
          <w:lang w:val="es-MX"/>
        </w:rPr>
        <w:t xml:space="preserve"> </w:t>
      </w:r>
    </w:p>
    <w:p w14:paraId="3FDE7172" w14:textId="77777777" w:rsidR="00852A2B" w:rsidRPr="00292BF0" w:rsidRDefault="00852A2B" w:rsidP="00852A2B">
      <w:pPr>
        <w:pStyle w:val="Prrafodelista"/>
        <w:numPr>
          <w:ilvl w:val="0"/>
          <w:numId w:val="19"/>
        </w:numPr>
        <w:spacing w:after="120" w:line="276" w:lineRule="auto"/>
        <w:jc w:val="both"/>
        <w:rPr>
          <w:rFonts w:ascii="Verdana" w:eastAsia="Calibri" w:hAnsi="Verdana" w:cs="Arial"/>
          <w:color w:val="000000" w:themeColor="text1"/>
          <w:lang w:val="es-MX"/>
        </w:rPr>
      </w:pPr>
      <w:r w:rsidRPr="00292BF0">
        <w:rPr>
          <w:rFonts w:ascii="Verdana" w:eastAsia="Calibri" w:hAnsi="Verdana" w:cs="Arial"/>
          <w:color w:val="000000" w:themeColor="text1"/>
        </w:rPr>
        <w:t xml:space="preserve">De acuerdo con lo explicado, </w:t>
      </w:r>
      <w:r w:rsidRPr="00292BF0">
        <w:rPr>
          <w:rStyle w:val="normaltextrun"/>
          <w:rFonts w:ascii="Verdana" w:hAnsi="Verdana" w:cs="Arial"/>
          <w:color w:val="000000"/>
        </w:rPr>
        <w:t xml:space="preserve">el </w:t>
      </w:r>
      <w:r w:rsidRPr="00292BF0">
        <w:rPr>
          <w:rFonts w:ascii="Verdana" w:eastAsia="Calibri" w:hAnsi="Verdana" w:cs="Arial"/>
          <w:color w:val="000000" w:themeColor="text1"/>
          <w:lang w:val="es-MX"/>
        </w:rPr>
        <w:t xml:space="preserve">artículo 2.8.4.4.5 del Decreto 1068 de 2015, reglamenta la tipología contractual establecida en el numeral 3° del artículo 32 de la Ley 80 de 1993, disposición legal que condiciona la celebración de contratos de prestación de servicios a los eventos en que las </w:t>
      </w:r>
      <w:r w:rsidRPr="00292BF0">
        <w:rPr>
          <w:rFonts w:ascii="Verdana" w:eastAsia="Calibri" w:hAnsi="Verdana" w:cs="Arial"/>
          <w:color w:val="000000" w:themeColor="text1"/>
        </w:rPr>
        <w:t xml:space="preserve">actividades que requiere la entidad para satisfacer necesidades relacionadas con la administración o funcionamiento,   no puedan  ser desarrolladas por el personal de planta o requieran conocimientos especializados. De acuerdo con esto, lo que hace el artículo </w:t>
      </w:r>
      <w:r w:rsidRPr="00292BF0">
        <w:rPr>
          <w:rFonts w:ascii="Verdana" w:eastAsia="Calibri" w:hAnsi="Verdana" w:cs="Arial"/>
          <w:color w:val="000000" w:themeColor="text1"/>
          <w:lang w:val="es-MX"/>
        </w:rPr>
        <w:t xml:space="preserve">2.8.4.4.5 del Decreto 1068 de 2015 es establecer las condiciones a partir de las cuales debe determinarse la insuficiencia del personal de planta, a efectos de cumplir con el referido presupuesto para la celebración de contratos de prestación de servicios. </w:t>
      </w:r>
    </w:p>
    <w:p w14:paraId="53B2F715" w14:textId="77777777" w:rsidR="00852A2B" w:rsidRPr="00292BF0" w:rsidRDefault="00852A2B" w:rsidP="00852A2B">
      <w:pPr>
        <w:pStyle w:val="Prrafodelista"/>
        <w:numPr>
          <w:ilvl w:val="0"/>
          <w:numId w:val="19"/>
        </w:numPr>
        <w:spacing w:after="120" w:line="276" w:lineRule="auto"/>
        <w:jc w:val="both"/>
        <w:rPr>
          <w:rFonts w:ascii="Verdana" w:eastAsia="Calibri" w:hAnsi="Verdana" w:cs="Arial"/>
          <w:color w:val="000000" w:themeColor="text1"/>
          <w:lang w:val="es-MX"/>
        </w:rPr>
      </w:pPr>
      <w:r w:rsidRPr="00292BF0">
        <w:rPr>
          <w:rFonts w:ascii="Verdana" w:eastAsia="Calibri" w:hAnsi="Verdana" w:cs="Arial"/>
          <w:color w:val="000000" w:themeColor="text1"/>
          <w:lang w:val="es-MX"/>
        </w:rPr>
        <w:lastRenderedPageBreak/>
        <w:t>Con todo, en aras de responder el problema planteado se debe advertir que, lo establecido en el artículo 2.8.4.4.5 del Decreto 1068 de 2015, está exclusivamente dirigido a los contratos de prestación de servicios, independientemente de si celebren con personas naturales o jurídicas, tal como se desprende del primer inciso de dicha norma. En ese sentido, para la celebración de contratos enmarcados en otras tipologías contractuales distintas de la establecida en el numeral 3° del artículo 32 de la Ley 80 de 1993–</w:t>
      </w:r>
      <w:r w:rsidRPr="00292BF0">
        <w:rPr>
          <w:rFonts w:ascii="Verdana" w:eastAsia="Calibri" w:hAnsi="Verdana" w:cs="Arial"/>
          <w:i/>
          <w:iCs/>
          <w:color w:val="000000" w:themeColor="text1"/>
          <w:lang w:val="es-MX"/>
        </w:rPr>
        <w:t>v.g</w:t>
      </w:r>
      <w:r w:rsidRPr="00292BF0">
        <w:rPr>
          <w:rFonts w:ascii="Verdana" w:eastAsia="Calibri" w:hAnsi="Verdana" w:cs="Arial"/>
          <w:color w:val="000000" w:themeColor="text1"/>
          <w:lang w:val="es-MX"/>
        </w:rPr>
        <w:t xml:space="preserve">. Obra pública, suministro, compraventa, etc.–, no resulta obligatorio certificar la insuficiencia de personal con sujeción a la establecido en el artículo 2.8.4.4.5 del Decreto 1068 de 2015. </w:t>
      </w:r>
    </w:p>
    <w:p w14:paraId="13BDC436" w14:textId="77777777" w:rsidR="00852A2B" w:rsidRPr="00292BF0" w:rsidRDefault="00852A2B" w:rsidP="00852A2B">
      <w:pPr>
        <w:pStyle w:val="Prrafodelista"/>
        <w:numPr>
          <w:ilvl w:val="0"/>
          <w:numId w:val="19"/>
        </w:numPr>
        <w:spacing w:after="120" w:line="276" w:lineRule="auto"/>
        <w:jc w:val="both"/>
        <w:rPr>
          <w:rStyle w:val="normaltextrun"/>
          <w:rFonts w:ascii="Verdana" w:hAnsi="Verdana" w:cs="Arial"/>
          <w:color w:val="000000"/>
        </w:rPr>
      </w:pPr>
      <w:r w:rsidRPr="00292BF0">
        <w:rPr>
          <w:rFonts w:ascii="Verdana" w:eastAsia="Calibri" w:hAnsi="Verdana" w:cs="Arial"/>
          <w:color w:val="000000" w:themeColor="text1"/>
          <w:lang w:val="es-MX"/>
        </w:rPr>
        <w:t>Sin embargo, debe advertirse que la descripción y justificación de la necesidad a satisfacer mediante el contrato estatal, es un presupuesto general y común a todos los tipos contractuales, lo cual debe reflejarse en los estudios y documentos previos, de acuerdo con lo establecido en el numeral 1 del artículo 2.2.1.1.2.1.1. del Decreto 1082 de 2015. En ese sentido, si bien la certificación de la insuficiencia de personal regulada por el artículo 2.8.4.4.5 del Decreto 1068 de 2015 solo es aplicable a contratos de prestación de servicios, ello no quiere decir que las Entidades Estatales puedan celebrar contratos estatales de manera arbitraria, sin una justificación en la que establezca la razón por la que requiere celebrar el negocio jurídico y la forma en la que este satisface los fines de la contratación estatal a los que se refiere el artículo 3 de la Ley 80 de 1993</w:t>
      </w:r>
      <w:r w:rsidRPr="002F1B1C">
        <w:rPr>
          <w:rStyle w:val="Refdenotaalpie"/>
          <w:rFonts w:ascii="Verdana" w:eastAsia="Calibri" w:hAnsi="Verdana" w:cs="Arial"/>
          <w:color w:val="000000" w:themeColor="text1"/>
          <w:lang w:val="es-MX"/>
        </w:rPr>
        <w:footnoteReference w:id="15"/>
      </w:r>
      <w:r w:rsidRPr="00292BF0">
        <w:rPr>
          <w:rFonts w:ascii="Verdana" w:eastAsia="Calibri" w:hAnsi="Verdana" w:cs="Arial"/>
          <w:color w:val="000000" w:themeColor="text1"/>
          <w:lang w:val="es-MX"/>
        </w:rPr>
        <w:t>.</w:t>
      </w:r>
    </w:p>
    <w:bookmarkEnd w:id="1"/>
    <w:bookmarkEnd w:id="2"/>
    <w:p w14:paraId="721D0E73" w14:textId="77777777" w:rsidR="00852A2B" w:rsidRPr="00CE71BD" w:rsidRDefault="00852A2B" w:rsidP="00852A2B">
      <w:pPr>
        <w:spacing w:after="120"/>
        <w:ind w:firstLine="709"/>
        <w:jc w:val="both"/>
        <w:rPr>
          <w:rFonts w:ascii="Verdana" w:hAnsi="Verdana" w:cs="Arial"/>
          <w:noProof/>
          <w:lang w:val="es-ES_tradnl"/>
        </w:rPr>
      </w:pPr>
    </w:p>
    <w:p w14:paraId="5FC052E1" w14:textId="77777777" w:rsidR="00852A2B" w:rsidRPr="00E4307F" w:rsidRDefault="00852A2B" w:rsidP="00852A2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Referencias normativas, jurisprudenciales y otras fuentes:</w:t>
      </w:r>
    </w:p>
    <w:p w14:paraId="70385A60" w14:textId="77777777" w:rsidR="00852A2B" w:rsidRPr="00E4307F" w:rsidRDefault="00852A2B" w:rsidP="00852A2B">
      <w:pPr>
        <w:widowControl w:val="0"/>
        <w:autoSpaceDE w:val="0"/>
        <w:autoSpaceDN w:val="0"/>
        <w:spacing w:after="0" w:line="276" w:lineRule="auto"/>
        <w:jc w:val="both"/>
        <w:rPr>
          <w:rFonts w:ascii="Verdana" w:hAnsi="Verdana" w:cs="Arial"/>
        </w:rPr>
      </w:pPr>
    </w:p>
    <w:tbl>
      <w:tblPr>
        <w:tblStyle w:val="Tablaconcuadrcula"/>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852A2B" w:rsidRPr="00E4307F" w14:paraId="4907E812" w14:textId="77777777" w:rsidTr="00F800AD">
        <w:trPr>
          <w:trHeight w:val="870"/>
        </w:trPr>
        <w:tc>
          <w:tcPr>
            <w:tcW w:w="8647" w:type="dxa"/>
            <w:tcBorders>
              <w:top w:val="dotted" w:sz="4" w:space="0" w:color="auto"/>
              <w:left w:val="dotted" w:sz="4" w:space="0" w:color="auto"/>
              <w:bottom w:val="dotted" w:sz="4" w:space="0" w:color="auto"/>
              <w:right w:val="dotted" w:sz="4" w:space="0" w:color="auto"/>
            </w:tcBorders>
          </w:tcPr>
          <w:p w14:paraId="3CF01082" w14:textId="77777777" w:rsidR="00852A2B" w:rsidRPr="00CE71BD" w:rsidRDefault="00852A2B" w:rsidP="00852A2B">
            <w:pPr>
              <w:numPr>
                <w:ilvl w:val="0"/>
                <w:numId w:val="17"/>
              </w:numPr>
              <w:spacing w:line="276" w:lineRule="auto"/>
              <w:contextualSpacing/>
              <w:jc w:val="both"/>
              <w:rPr>
                <w:rFonts w:ascii="Verdana" w:hAnsi="Verdana"/>
              </w:rPr>
            </w:pPr>
            <w:r w:rsidRPr="00CE71BD">
              <w:rPr>
                <w:rFonts w:ascii="Verdana" w:hAnsi="Verdana"/>
                <w:lang w:val="es-ES" w:eastAsia="es-ES"/>
              </w:rPr>
              <w:lastRenderedPageBreak/>
              <w:t>Decreto</w:t>
            </w:r>
            <w:r w:rsidRPr="00CE71BD">
              <w:rPr>
                <w:rFonts w:ascii="Verdana" w:hAnsi="Verdana"/>
              </w:rPr>
              <w:t xml:space="preserve"> 1068 de 2015 Artículo 2.8.4.4.5. Disponible en: </w:t>
            </w:r>
            <w:hyperlink r:id="rId13" w:history="1">
              <w:r w:rsidRPr="00CE71BD">
                <w:rPr>
                  <w:rFonts w:ascii="Verdana" w:hAnsi="Verdana"/>
                  <w:color w:val="0563C1" w:themeColor="hyperlink"/>
                  <w:u w:val="single"/>
                </w:rPr>
                <w:t>https://relatoria.colombiacompra.gov.co/normativa/decreto-1068-de-2015/</w:t>
              </w:r>
            </w:hyperlink>
          </w:p>
          <w:p w14:paraId="60B619F9" w14:textId="77777777" w:rsidR="00852A2B" w:rsidRPr="00CE71BD" w:rsidRDefault="00852A2B" w:rsidP="00F800AD">
            <w:pPr>
              <w:spacing w:line="276" w:lineRule="auto"/>
              <w:rPr>
                <w:rFonts w:ascii="Verdana" w:hAnsi="Verdana"/>
              </w:rPr>
            </w:pPr>
          </w:p>
          <w:p w14:paraId="450F61FD" w14:textId="77777777" w:rsidR="00852A2B" w:rsidRPr="00CE71BD" w:rsidRDefault="00852A2B" w:rsidP="00852A2B">
            <w:pPr>
              <w:numPr>
                <w:ilvl w:val="0"/>
                <w:numId w:val="17"/>
              </w:numPr>
              <w:spacing w:line="276" w:lineRule="auto"/>
              <w:contextualSpacing/>
              <w:jc w:val="both"/>
              <w:rPr>
                <w:rFonts w:ascii="Verdana" w:hAnsi="Verdana"/>
              </w:rPr>
            </w:pPr>
            <w:r w:rsidRPr="00CE71BD">
              <w:rPr>
                <w:rFonts w:ascii="Verdana" w:hAnsi="Verdana"/>
              </w:rPr>
              <w:t xml:space="preserve">Ley 80 de 1993, artículo 32, numeral 3° Disponible en: </w:t>
            </w:r>
            <w:hyperlink r:id="rId14" w:history="1">
              <w:r w:rsidRPr="00CE71BD">
                <w:rPr>
                  <w:rFonts w:ascii="Verdana" w:hAnsi="Verdana"/>
                  <w:color w:val="0563C1" w:themeColor="hyperlink"/>
                  <w:u w:val="single"/>
                </w:rPr>
                <w:t>https://relatoria.colombiacompra.gov.co/normativa/ley-80-de-1993/</w:t>
              </w:r>
            </w:hyperlink>
          </w:p>
          <w:p w14:paraId="7A2EFC66" w14:textId="77777777" w:rsidR="00852A2B" w:rsidRPr="00CE71BD" w:rsidRDefault="00852A2B" w:rsidP="00F800AD">
            <w:pPr>
              <w:spacing w:line="276" w:lineRule="auto"/>
              <w:rPr>
                <w:rFonts w:ascii="Verdana" w:hAnsi="Verdana"/>
              </w:rPr>
            </w:pPr>
          </w:p>
          <w:p w14:paraId="7795DEEB" w14:textId="77777777" w:rsidR="00852A2B" w:rsidRPr="00CE71BD" w:rsidRDefault="00852A2B" w:rsidP="00852A2B">
            <w:pPr>
              <w:pStyle w:val="Sinespaciado"/>
              <w:numPr>
                <w:ilvl w:val="0"/>
                <w:numId w:val="18"/>
              </w:numPr>
              <w:spacing w:line="276" w:lineRule="auto"/>
              <w:jc w:val="both"/>
              <w:rPr>
                <w:rStyle w:val="Hipervnculo"/>
                <w:rFonts w:ascii="Verdana" w:hAnsi="Verdana"/>
              </w:rPr>
            </w:pPr>
            <w:r w:rsidRPr="00CE71BD">
              <w:rPr>
                <w:rFonts w:ascii="Verdana" w:hAnsi="Verdana"/>
              </w:rPr>
              <w:t>Guía para la incorporación de lineamientos de integridad en la contratación de prestación de servicios expedidos por la ANCP-CCE.</w:t>
            </w:r>
            <w:r w:rsidRPr="00CE71BD">
              <w:rPr>
                <w:rFonts w:ascii="Verdana" w:hAnsi="Verdana" w:cs="Arial"/>
                <w:color w:val="000000" w:themeColor="text1"/>
              </w:rPr>
              <w:t xml:space="preserve"> Disponible en</w:t>
            </w:r>
            <w:r w:rsidRPr="00CE71BD">
              <w:rPr>
                <w:rFonts w:ascii="Verdana" w:hAnsi="Verdana" w:cs="Arial"/>
                <w:color w:val="7030A0"/>
              </w:rPr>
              <w:t xml:space="preserve">: </w:t>
            </w:r>
            <w:r w:rsidRPr="00CE71BD">
              <w:rPr>
                <w:rFonts w:ascii="Verdana" w:hAnsi="Verdana"/>
              </w:rPr>
              <w:t xml:space="preserve"> </w:t>
            </w:r>
            <w:hyperlink r:id="rId15" w:history="1">
              <w:r w:rsidRPr="00CE71BD">
                <w:rPr>
                  <w:rStyle w:val="Hipervnculo"/>
                  <w:rFonts w:ascii="Verdana" w:hAnsi="Verdana"/>
                </w:rPr>
                <w:t>https://www.colombiacompra.gov.co/sites/cce_public/files/cce_documents/cceeicpgi23_guia_contratacion_prestacion_de_servicios_v1_11-07-2023_def_1_1.pdf</w:t>
              </w:r>
            </w:hyperlink>
          </w:p>
          <w:p w14:paraId="4B95E5F7" w14:textId="77777777" w:rsidR="00852A2B" w:rsidRPr="00CE71BD" w:rsidRDefault="00852A2B" w:rsidP="00F800AD">
            <w:pPr>
              <w:pStyle w:val="Sinespaciado"/>
              <w:ind w:left="720"/>
              <w:jc w:val="both"/>
              <w:rPr>
                <w:rFonts w:ascii="Verdana" w:hAnsi="Verdana"/>
              </w:rPr>
            </w:pPr>
          </w:p>
          <w:p w14:paraId="50A413AA" w14:textId="77777777" w:rsidR="00852A2B" w:rsidRPr="00CE71BD" w:rsidRDefault="00852A2B" w:rsidP="00852A2B">
            <w:pPr>
              <w:pStyle w:val="Sinespaciado"/>
              <w:numPr>
                <w:ilvl w:val="0"/>
                <w:numId w:val="18"/>
              </w:numPr>
              <w:jc w:val="both"/>
              <w:rPr>
                <w:rFonts w:ascii="Verdana" w:hAnsi="Verdana"/>
              </w:rPr>
            </w:pPr>
            <w:r w:rsidRPr="00CE71BD">
              <w:rPr>
                <w:rFonts w:ascii="Verdana" w:hAnsi="Verdana"/>
              </w:rPr>
              <w:t xml:space="preserve">Guía para la incorporación de lineamientos de integridad en la contratación de prestación de servicios. Disponible en: </w:t>
            </w:r>
            <w:hyperlink r:id="rId16" w:history="1">
              <w:r w:rsidRPr="00CE71BD">
                <w:rPr>
                  <w:rStyle w:val="Hipervnculo"/>
                  <w:rFonts w:ascii="Verdana" w:hAnsi="Verdana"/>
                </w:rPr>
                <w:t>https://www.colombiacompra.gov.co/sites/cce_public/files/cce_documents/cce-eicp-gi-23_guia_contratacion_prestacion_de_servicios_v1_11-07-2023_def_1_1.pdf</w:t>
              </w:r>
            </w:hyperlink>
            <w:r w:rsidRPr="00CE71BD">
              <w:rPr>
                <w:rFonts w:ascii="Verdana" w:hAnsi="Verdana"/>
              </w:rPr>
              <w:t xml:space="preserve"> </w:t>
            </w:r>
          </w:p>
          <w:p w14:paraId="41933FEB" w14:textId="77777777" w:rsidR="00852A2B" w:rsidRPr="00E4307F" w:rsidRDefault="00852A2B" w:rsidP="00852A2B">
            <w:pPr>
              <w:pStyle w:val="Prrafodelista"/>
              <w:widowControl w:val="0"/>
              <w:numPr>
                <w:ilvl w:val="0"/>
                <w:numId w:val="4"/>
              </w:numPr>
              <w:autoSpaceDE w:val="0"/>
              <w:autoSpaceDN w:val="0"/>
              <w:spacing w:after="120" w:line="276" w:lineRule="auto"/>
              <w:ind w:left="0"/>
              <w:jc w:val="both"/>
              <w:rPr>
                <w:rFonts w:ascii="Verdana" w:hAnsi="Verdana"/>
                <w:color w:val="000000" w:themeColor="text1"/>
              </w:rPr>
            </w:pPr>
          </w:p>
        </w:tc>
      </w:tr>
    </w:tbl>
    <w:p w14:paraId="4F5EE23D" w14:textId="77777777" w:rsidR="00852A2B" w:rsidRPr="00E4307F" w:rsidRDefault="00852A2B" w:rsidP="00852A2B">
      <w:pPr>
        <w:widowControl w:val="0"/>
        <w:autoSpaceDE w:val="0"/>
        <w:autoSpaceDN w:val="0"/>
        <w:spacing w:after="0" w:line="276" w:lineRule="auto"/>
        <w:jc w:val="both"/>
        <w:rPr>
          <w:rFonts w:ascii="Verdana" w:hAnsi="Verdana" w:cs="Arial"/>
        </w:rPr>
      </w:pPr>
    </w:p>
    <w:p w14:paraId="061A26FD" w14:textId="77777777" w:rsidR="00852A2B" w:rsidRPr="00E4307F" w:rsidRDefault="00852A2B" w:rsidP="00852A2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E4307F">
        <w:rPr>
          <w:rFonts w:ascii="Verdana" w:eastAsia="Century Gothic" w:hAnsi="Verdana" w:cs="Century Gothic"/>
          <w:b/>
          <w:bCs/>
        </w:rPr>
        <w:t>Doctrina de la Agencia Nacional de Contratación Pública:</w:t>
      </w:r>
    </w:p>
    <w:p w14:paraId="34566FCF" w14:textId="77777777" w:rsidR="00852A2B" w:rsidRPr="00E4307F" w:rsidRDefault="00852A2B" w:rsidP="00852A2B">
      <w:pPr>
        <w:spacing w:after="0" w:line="276" w:lineRule="auto"/>
        <w:jc w:val="both"/>
        <w:rPr>
          <w:rFonts w:ascii="Verdana" w:hAnsi="Verdana" w:cs="Arial"/>
        </w:rPr>
      </w:pPr>
    </w:p>
    <w:p w14:paraId="730C1F01" w14:textId="77777777" w:rsidR="00852A2B" w:rsidRPr="00997620" w:rsidRDefault="00852A2B" w:rsidP="00852A2B">
      <w:pPr>
        <w:widowControl w:val="0"/>
        <w:autoSpaceDE w:val="0"/>
        <w:autoSpaceDN w:val="0"/>
        <w:spacing w:after="120" w:line="276" w:lineRule="auto"/>
        <w:jc w:val="both"/>
        <w:rPr>
          <w:rFonts w:ascii="Verdana" w:hAnsi="Verdana" w:cs="Arial"/>
          <w:color w:val="FF0000"/>
          <w:shd w:val="clear" w:color="auto" w:fill="FFFFFF"/>
          <w:lang w:val="es-ES"/>
        </w:rPr>
      </w:pPr>
      <w:r w:rsidRPr="00CE71BD">
        <w:rPr>
          <w:rFonts w:ascii="Verdana" w:eastAsia="Calibri" w:hAnsi="Verdana" w:cs="Arial"/>
          <w:color w:val="000000" w:themeColor="text1"/>
          <w:lang w:val="es-ES_tradnl"/>
        </w:rPr>
        <w:t xml:space="preserve">La Agencia Nacional de Contratación Pública – Colombia Compra Eficiente se pronunció sobre el concepto y límites del contrato de prestación de servicios profesionales, en los conceptos C-090 del </w:t>
      </w:r>
      <w:r w:rsidRPr="00CE71BD">
        <w:rPr>
          <w:rFonts w:ascii="Verdana" w:hAnsi="Verdana" w:cs="Arial"/>
          <w:color w:val="000000" w:themeColor="text1"/>
        </w:rPr>
        <w:t xml:space="preserve">24 de febrero de 2020, </w:t>
      </w:r>
      <w:r w:rsidRPr="00CE71BD">
        <w:rPr>
          <w:rFonts w:ascii="Verdana" w:hAnsi="Verdana" w:cs="Arial"/>
        </w:rPr>
        <w:t xml:space="preserve">C-105 del </w:t>
      </w:r>
      <w:r w:rsidRPr="00CE71BD">
        <w:rPr>
          <w:rFonts w:ascii="Verdana" w:eastAsia="Arial" w:hAnsi="Verdana" w:cs="Arial"/>
          <w:lang w:val="es-ES"/>
        </w:rPr>
        <w:t xml:space="preserve">12 de marzo 03 de 2020, C-156 del 3 de abril de 2020, </w:t>
      </w:r>
      <w:r w:rsidRPr="00CE71BD">
        <w:rPr>
          <w:rFonts w:ascii="Verdana" w:hAnsi="Verdana" w:cs="Arial"/>
        </w:rPr>
        <w:t xml:space="preserve">C-188 del </w:t>
      </w:r>
      <w:r w:rsidRPr="00CE71BD">
        <w:rPr>
          <w:rFonts w:ascii="Verdana" w:hAnsi="Verdana" w:cs="Arial"/>
          <w:color w:val="000000" w:themeColor="text1"/>
        </w:rPr>
        <w:t xml:space="preserve">13 de abril de 2020, </w:t>
      </w:r>
      <w:r w:rsidRPr="00CE71BD">
        <w:rPr>
          <w:rFonts w:ascii="Verdana" w:hAnsi="Verdana" w:cs="Arial"/>
        </w:rPr>
        <w:t xml:space="preserve">C-208 del </w:t>
      </w:r>
      <w:r w:rsidRPr="00CE71BD">
        <w:rPr>
          <w:rFonts w:ascii="Verdana" w:hAnsi="Verdana" w:cs="Arial"/>
          <w:color w:val="000000" w:themeColor="text1"/>
        </w:rPr>
        <w:t xml:space="preserve">24 de abril de 2020, </w:t>
      </w:r>
      <w:r w:rsidRPr="00CE71BD">
        <w:rPr>
          <w:rFonts w:ascii="Verdana" w:hAnsi="Verdana" w:cs="Arial"/>
          <w:noProof/>
          <w:lang w:val="es-ES_tradnl"/>
        </w:rPr>
        <w:t>No. C-138, C-005, C-006 y C-018 del 11 de mayo de 2020; C-175, C-320, C-053, C-255, C-282 y C-293 del 12 de mayo de 2020, C-288 del 27 de mayo de 2020, C-345 del 13 de mayo de 2020</w:t>
      </w:r>
      <w:r w:rsidRPr="00CE71BD">
        <w:rPr>
          <w:rFonts w:ascii="Verdana" w:hAnsi="Verdana" w:cs="Arial"/>
          <w:color w:val="000000" w:themeColor="text1"/>
        </w:rPr>
        <w:t xml:space="preserve">, </w:t>
      </w:r>
      <w:r w:rsidRPr="00CE71BD">
        <w:rPr>
          <w:rFonts w:ascii="Verdana" w:hAnsi="Verdana" w:cs="Arial"/>
          <w:color w:val="212529"/>
        </w:rPr>
        <w:t xml:space="preserve">C-414 </w:t>
      </w:r>
      <w:r w:rsidRPr="00CE71BD">
        <w:rPr>
          <w:rFonts w:ascii="Verdana" w:hAnsi="Verdana" w:cs="Arial"/>
        </w:rPr>
        <w:t xml:space="preserve">del 30 de junio de 2020, </w:t>
      </w:r>
      <w:r w:rsidRPr="00CE71BD">
        <w:rPr>
          <w:rFonts w:ascii="Verdana" w:hAnsi="Verdana" w:cs="Arial"/>
          <w:noProof/>
          <w:lang w:val="es-ES_tradnl"/>
        </w:rPr>
        <w:t>C-608 del 1 de octubre de 2020</w:t>
      </w:r>
      <w:r w:rsidRPr="00CE71BD">
        <w:rPr>
          <w:rFonts w:ascii="Verdana" w:hAnsi="Verdana" w:cs="Arial"/>
        </w:rPr>
        <w:t xml:space="preserve">, C-739 del 16 de diciembre de 2020, C-106 del 21 de abril de 2021, C-015 del 13 de febrero del 2024, C-089 del 3 de julio de 2024 C-250 del 12 de agosto de 2024, C-311 del </w:t>
      </w:r>
      <w:r w:rsidRPr="00CE71BD">
        <w:rPr>
          <w:rFonts w:ascii="Verdana" w:hAnsi="Verdana" w:cs="Arial"/>
        </w:rPr>
        <w:lastRenderedPageBreak/>
        <w:t>21 de agosto de 2024</w:t>
      </w:r>
      <w:r>
        <w:rPr>
          <w:rFonts w:ascii="Verdana" w:hAnsi="Verdana" w:cs="Arial"/>
        </w:rPr>
        <w:t>, C-348 del 29 de agosto de 2024 y C-536 del 09 de octubre de 2024</w:t>
      </w:r>
      <w:r w:rsidRPr="00CE71BD">
        <w:rPr>
          <w:rFonts w:ascii="Verdana" w:hAnsi="Verdana" w:cs="Arial"/>
        </w:rPr>
        <w:t xml:space="preserve">, entre otros. </w:t>
      </w:r>
      <w:r w:rsidRPr="00CE71BD">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gtFrame="_blank" w:history="1">
        <w:r w:rsidRPr="00CE71BD">
          <w:rPr>
            <w:rStyle w:val="Hipervnculo"/>
            <w:rFonts w:ascii="Verdana" w:hAnsi="Verdana" w:cs="Arial"/>
            <w:shd w:val="clear" w:color="auto" w:fill="FFFFFF"/>
          </w:rPr>
          <w:t>https://relatoria.colombiacompra.gov.co/</w:t>
        </w:r>
      </w:hyperlink>
      <w:r w:rsidRPr="00CE71BD">
        <w:rPr>
          <w:rFonts w:ascii="Verdana" w:hAnsi="Verdana" w:cs="Arial"/>
          <w:color w:val="7030A0"/>
          <w:shd w:val="clear" w:color="auto" w:fill="FFFFFF"/>
        </w:rPr>
        <w:t xml:space="preserve"> . </w:t>
      </w:r>
      <w:r w:rsidRPr="00997620">
        <w:rPr>
          <w:rFonts w:ascii="Verdana" w:hAnsi="Verdana" w:cs="Arial"/>
          <w:shd w:val="clear" w:color="auto" w:fill="FFFFFF"/>
        </w:rPr>
        <w:t>También le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8" w:tgtFrame="_blank" w:tooltip="https://nam02.safelinks.protection.outlook.com/?url=https%3a%2f%2fwww.colombiacompra.gov.co%2fsala-de-prensa%2fboletin-digital%2fboletin-de-relatoria-2024-iv&amp;data=05%7c02%7csantiago.herrera%40colombiacompra.gov.co%7c616b83c3423e4d31151908dce489c00d%7c7b09041e2" w:history="1">
        <w:r w:rsidRPr="00997620">
          <w:rPr>
            <w:rStyle w:val="Hipervnculo"/>
            <w:rFonts w:ascii="Verdana" w:hAnsi="Verdana" w:cs="Arial"/>
            <w:shd w:val="clear" w:color="auto" w:fill="FFFFFF"/>
          </w:rPr>
          <w:t>BOLETÍN DE RELATORÍA 2024 – IV | Colombia Compra Eficiente | Agencia Nacional de Contratación Pública</w:t>
        </w:r>
      </w:hyperlink>
    </w:p>
    <w:p w14:paraId="330E5C28" w14:textId="77777777" w:rsidR="00852A2B" w:rsidRPr="00E4307F" w:rsidRDefault="00852A2B" w:rsidP="00852A2B">
      <w:pPr>
        <w:spacing w:after="0" w:line="240" w:lineRule="auto"/>
        <w:jc w:val="both"/>
        <w:rPr>
          <w:rFonts w:ascii="Verdana" w:hAnsi="Verdana"/>
        </w:rPr>
      </w:pPr>
      <w:r w:rsidRPr="00E4307F">
        <w:rPr>
          <w:rFonts w:ascii="Verdana" w:hAnsi="Verdana"/>
        </w:rPr>
        <w:t xml:space="preserve">Por último, lo invitamos a seguirnos en las redes sociales en las cuales se difunde información institucional: </w:t>
      </w:r>
    </w:p>
    <w:p w14:paraId="48F2287F" w14:textId="77777777" w:rsidR="00852A2B" w:rsidRPr="00CE71BD" w:rsidRDefault="00852A2B" w:rsidP="00852A2B">
      <w:pPr>
        <w:spacing w:after="0" w:line="240" w:lineRule="auto"/>
        <w:jc w:val="both"/>
        <w:rPr>
          <w:rFonts w:ascii="Verdana" w:hAnsi="Verdana"/>
        </w:rPr>
      </w:pPr>
    </w:p>
    <w:p w14:paraId="0D08724C" w14:textId="77777777" w:rsidR="00852A2B" w:rsidRPr="00E4307F" w:rsidRDefault="00852A2B" w:rsidP="00852A2B">
      <w:pPr>
        <w:spacing w:after="0" w:line="240" w:lineRule="auto"/>
        <w:jc w:val="both"/>
        <w:rPr>
          <w:rFonts w:ascii="Verdana" w:hAnsi="Verdana"/>
        </w:rPr>
      </w:pPr>
      <w:r w:rsidRPr="00E4307F">
        <w:rPr>
          <w:rFonts w:ascii="Verdana" w:hAnsi="Verdana"/>
        </w:rPr>
        <w:t xml:space="preserve">Twitter: </w:t>
      </w:r>
      <w:r w:rsidRPr="00CE71BD">
        <w:rPr>
          <w:rFonts w:ascii="Verdana" w:hAnsi="Verdana"/>
          <w:color w:val="4472C4" w:themeColor="accent1"/>
          <w:u w:val="single"/>
        </w:rPr>
        <w:t>@colombiacompra</w:t>
      </w:r>
      <w:r w:rsidRPr="00E4307F">
        <w:rPr>
          <w:rFonts w:ascii="Verdana" w:hAnsi="Verdana"/>
          <w:color w:val="4472C4" w:themeColor="accent1"/>
        </w:rPr>
        <w:t xml:space="preserve"> </w:t>
      </w:r>
    </w:p>
    <w:p w14:paraId="18157F24" w14:textId="77777777" w:rsidR="00852A2B" w:rsidRPr="00E4307F" w:rsidRDefault="00852A2B" w:rsidP="00852A2B">
      <w:pPr>
        <w:spacing w:after="0" w:line="240" w:lineRule="auto"/>
        <w:jc w:val="both"/>
        <w:rPr>
          <w:rFonts w:ascii="Verdana" w:hAnsi="Verdana"/>
        </w:rPr>
      </w:pPr>
      <w:r w:rsidRPr="00E4307F">
        <w:rPr>
          <w:rFonts w:ascii="Verdana" w:hAnsi="Verdana"/>
        </w:rPr>
        <w:t xml:space="preserve">Facebook: </w:t>
      </w:r>
      <w:r w:rsidRPr="00CE71BD">
        <w:rPr>
          <w:rFonts w:ascii="Verdana" w:hAnsi="Verdana"/>
          <w:color w:val="4472C4" w:themeColor="accent1"/>
          <w:u w:val="single"/>
        </w:rPr>
        <w:t>ColombiaCompraEficiente</w:t>
      </w:r>
    </w:p>
    <w:p w14:paraId="0BBB3E08" w14:textId="77777777" w:rsidR="00852A2B" w:rsidRPr="00E4307F" w:rsidRDefault="00852A2B" w:rsidP="00852A2B">
      <w:pPr>
        <w:spacing w:after="0" w:line="240" w:lineRule="auto"/>
        <w:jc w:val="both"/>
        <w:rPr>
          <w:rFonts w:ascii="Verdana" w:hAnsi="Verdana"/>
        </w:rPr>
      </w:pPr>
      <w:r w:rsidRPr="00E4307F">
        <w:rPr>
          <w:rFonts w:ascii="Verdana" w:hAnsi="Verdana"/>
        </w:rPr>
        <w:t xml:space="preserve">LinkedIn: </w:t>
      </w:r>
      <w:r w:rsidRPr="00CE71BD">
        <w:rPr>
          <w:rFonts w:ascii="Verdana" w:hAnsi="Verdana"/>
          <w:color w:val="4472C4" w:themeColor="accent1"/>
          <w:u w:val="single"/>
        </w:rPr>
        <w:t>Agencia Nacional de Contratación Pública - Colombia Compra Eficiente</w:t>
      </w:r>
      <w:r w:rsidRPr="00E4307F">
        <w:rPr>
          <w:rFonts w:ascii="Verdana" w:hAnsi="Verdana"/>
          <w:color w:val="4472C4" w:themeColor="accent1"/>
        </w:rPr>
        <w:t xml:space="preserve"> </w:t>
      </w:r>
      <w:r w:rsidRPr="00E4307F">
        <w:rPr>
          <w:rFonts w:ascii="Verdana" w:hAnsi="Verdana"/>
        </w:rPr>
        <w:t xml:space="preserve">Instagram: </w:t>
      </w:r>
      <w:r w:rsidRPr="00CE71BD">
        <w:rPr>
          <w:rFonts w:ascii="Verdana" w:hAnsi="Verdana"/>
          <w:color w:val="4472C4" w:themeColor="accent1"/>
          <w:u w:val="single"/>
        </w:rPr>
        <w:t>@colombiacompraeficiente_cce</w:t>
      </w:r>
    </w:p>
    <w:p w14:paraId="294763FE" w14:textId="77777777" w:rsidR="00852A2B" w:rsidRPr="0044528D" w:rsidRDefault="00852A2B" w:rsidP="00852A2B">
      <w:pPr>
        <w:widowControl w:val="0"/>
        <w:autoSpaceDE w:val="0"/>
        <w:autoSpaceDN w:val="0"/>
        <w:spacing w:after="0" w:line="276" w:lineRule="auto"/>
        <w:jc w:val="both"/>
        <w:rPr>
          <w:rFonts w:ascii="Verdana" w:hAnsi="Verdana"/>
        </w:rPr>
      </w:pPr>
    </w:p>
    <w:p w14:paraId="32D3CBC2" w14:textId="77777777" w:rsidR="00852A2B" w:rsidRPr="00E4307F" w:rsidRDefault="00852A2B" w:rsidP="00852A2B">
      <w:pPr>
        <w:widowControl w:val="0"/>
        <w:autoSpaceDE w:val="0"/>
        <w:autoSpaceDN w:val="0"/>
        <w:spacing w:after="0" w:line="276" w:lineRule="auto"/>
        <w:jc w:val="both"/>
        <w:rPr>
          <w:rFonts w:ascii="Verdana" w:hAnsi="Verdana" w:cs="Arial"/>
          <w:lang w:val="es-ES_tradnl"/>
        </w:rPr>
      </w:pPr>
      <w:r w:rsidRPr="00E4307F">
        <w:rPr>
          <w:rFonts w:ascii="Verdana" w:hAnsi="Verdana" w:cs="Arial"/>
        </w:rPr>
        <w:t xml:space="preserve">Este concepto tiene el alcance previsto en el artículo 28 del Código de Procedimiento Administrativo y de lo Contencioso Administrativo </w:t>
      </w:r>
      <w:r w:rsidRPr="00E4307F">
        <w:rPr>
          <w:rFonts w:ascii="Verdana" w:hAnsi="Verdana" w:cs="Arial"/>
          <w:lang w:val="es-ES_tradnl"/>
        </w:rPr>
        <w:t>y las expresiones aquí utilizadas con mayúscula inicial deben ser entendidas con el significado que les otorga el artículo 2.2.1.1.1.3.1. del Decreto 1082 de 2015.</w:t>
      </w:r>
    </w:p>
    <w:p w14:paraId="023CAC12" w14:textId="77777777" w:rsidR="00852A2B" w:rsidRPr="00E4307F" w:rsidRDefault="00852A2B" w:rsidP="00852A2B">
      <w:pPr>
        <w:widowControl w:val="0"/>
        <w:autoSpaceDE w:val="0"/>
        <w:autoSpaceDN w:val="0"/>
        <w:spacing w:after="0" w:line="276" w:lineRule="auto"/>
        <w:jc w:val="both"/>
        <w:rPr>
          <w:rFonts w:ascii="Verdana" w:hAnsi="Verdana" w:cs="Arial"/>
        </w:rPr>
      </w:pPr>
    </w:p>
    <w:p w14:paraId="6CA1D2CD" w14:textId="77777777" w:rsidR="00852A2B" w:rsidRDefault="00852A2B" w:rsidP="00852A2B">
      <w:pPr>
        <w:spacing w:after="0" w:line="240" w:lineRule="auto"/>
        <w:rPr>
          <w:rFonts w:ascii="Verdana" w:hAnsi="Verdana" w:cs="Arial"/>
          <w:lang w:eastAsia="es-CO"/>
        </w:rPr>
      </w:pPr>
      <w:r w:rsidRPr="00E4307F">
        <w:rPr>
          <w:rFonts w:ascii="Verdana" w:eastAsia="Times New Roman" w:hAnsi="Verdana" w:cs="Arial"/>
          <w:lang w:eastAsia="es-CO"/>
        </w:rPr>
        <w:t>Atentamente,</w:t>
      </w:r>
      <w:r w:rsidRPr="00E4307F">
        <w:rPr>
          <w:rFonts w:ascii="Verdana" w:hAnsi="Verdana" w:cs="Arial"/>
          <w:lang w:eastAsia="es-CO"/>
        </w:rPr>
        <w:t xml:space="preserve"> </w:t>
      </w:r>
    </w:p>
    <w:p w14:paraId="1720FF62" w14:textId="77777777" w:rsidR="00852A2B" w:rsidRPr="00E4307F" w:rsidRDefault="00852A2B" w:rsidP="00852A2B">
      <w:pPr>
        <w:spacing w:after="0" w:line="240" w:lineRule="auto"/>
        <w:rPr>
          <w:rFonts w:ascii="Verdana" w:hAnsi="Verdana" w:cs="Arial"/>
          <w:lang w:eastAsia="es-CO"/>
        </w:rPr>
      </w:pPr>
    </w:p>
    <w:p w14:paraId="5ABFB91E" w14:textId="3FBA52F5" w:rsidR="00107869" w:rsidRPr="00107869" w:rsidRDefault="00107869" w:rsidP="00107869">
      <w:pPr>
        <w:spacing w:line="276" w:lineRule="auto"/>
        <w:jc w:val="center"/>
        <w:rPr>
          <w:rFonts w:ascii="Verdana" w:hAnsi="Verdana" w:cs="Arial"/>
          <w:lang w:val="es-MX" w:eastAsia="es-CO"/>
        </w:rPr>
      </w:pPr>
      <w:r w:rsidRPr="00107869">
        <w:rPr>
          <w:rFonts w:ascii="Verdana" w:hAnsi="Verdana" w:cs="Arial"/>
          <w:noProof/>
          <w:lang w:val="es-MX" w:eastAsia="es-CO"/>
        </w:rPr>
        <w:lastRenderedPageBreak/>
        <w:drawing>
          <wp:inline distT="0" distB="0" distL="0" distR="0" wp14:anchorId="68388128" wp14:editId="4B0452E0">
            <wp:extent cx="3771900" cy="1400175"/>
            <wp:effectExtent l="0" t="0" r="0" b="9525"/>
            <wp:docPr id="5797681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6810" name="Imagen 2" descr="Texto&#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p>
    <w:p w14:paraId="67F21536" w14:textId="052B8DF7" w:rsidR="00852A2B" w:rsidRPr="002E45F4" w:rsidRDefault="00852A2B" w:rsidP="00852A2B">
      <w:pPr>
        <w:spacing w:line="276" w:lineRule="auto"/>
        <w:jc w:val="center"/>
        <w:rPr>
          <w:rFonts w:ascii="Verdana" w:hAnsi="Verdana" w:cs="Arial"/>
          <w:lang w:val="es-MX"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52A2B" w:rsidRPr="00E4307F" w14:paraId="44C74190" w14:textId="77777777" w:rsidTr="00F800AD">
        <w:trPr>
          <w:trHeight w:val="315"/>
        </w:trPr>
        <w:tc>
          <w:tcPr>
            <w:tcW w:w="893" w:type="dxa"/>
            <w:vAlign w:val="center"/>
            <w:hideMark/>
          </w:tcPr>
          <w:p w14:paraId="4D24A4D0" w14:textId="77777777" w:rsidR="00852A2B" w:rsidRPr="00E4307F" w:rsidRDefault="00852A2B" w:rsidP="00F800AD">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1D3A47E" w14:textId="77777777" w:rsidR="00852A2B" w:rsidRPr="00E4307F" w:rsidRDefault="00852A2B" w:rsidP="00F800AD">
            <w:pPr>
              <w:spacing w:after="255"/>
              <w:contextualSpacing/>
              <w:rPr>
                <w:rFonts w:ascii="Verdana" w:eastAsia="Arial" w:hAnsi="Verdana" w:cs="Arial"/>
                <w:sz w:val="16"/>
                <w:szCs w:val="16"/>
              </w:rPr>
            </w:pPr>
            <w:r w:rsidRPr="00E4307F">
              <w:rPr>
                <w:rStyle w:val="normaltextrun"/>
                <w:rFonts w:ascii="Verdana" w:hAnsi="Verdana"/>
                <w:sz w:val="16"/>
                <w:szCs w:val="16"/>
              </w:rPr>
              <w:t>Gloria Ximena Moreno Guio</w:t>
            </w:r>
          </w:p>
          <w:p w14:paraId="7F5A42F2" w14:textId="77777777" w:rsidR="00852A2B" w:rsidRPr="00E4307F" w:rsidRDefault="00852A2B" w:rsidP="00F800AD">
            <w:pPr>
              <w:spacing w:after="255"/>
              <w:contextualSpacing/>
              <w:rPr>
                <w:rFonts w:ascii="Verdana" w:eastAsia="Arial" w:hAnsi="Verdana" w:cs="Arial"/>
                <w:sz w:val="16"/>
                <w:szCs w:val="16"/>
              </w:rPr>
            </w:pPr>
            <w:r w:rsidRPr="00E4307F">
              <w:rPr>
                <w:rStyle w:val="normaltextrun"/>
                <w:rFonts w:ascii="Verdana" w:eastAsia="Arial" w:hAnsi="Verdana" w:cs="Arial"/>
                <w:sz w:val="16"/>
                <w:szCs w:val="16"/>
              </w:rPr>
              <w:t>Contratista de la Subdirección de Gestión Contractual</w:t>
            </w:r>
          </w:p>
        </w:tc>
      </w:tr>
      <w:tr w:rsidR="00852A2B" w:rsidRPr="00E4307F" w14:paraId="47EF1A5E" w14:textId="77777777" w:rsidTr="00F800AD">
        <w:trPr>
          <w:trHeight w:val="330"/>
        </w:trPr>
        <w:tc>
          <w:tcPr>
            <w:tcW w:w="893" w:type="dxa"/>
            <w:vAlign w:val="center"/>
            <w:hideMark/>
          </w:tcPr>
          <w:p w14:paraId="2B2B10B3" w14:textId="77777777" w:rsidR="00852A2B" w:rsidRPr="00E4307F" w:rsidRDefault="00852A2B" w:rsidP="00F800AD">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E2C5F45" w14:textId="77777777" w:rsidR="00852A2B" w:rsidRPr="00923D18" w:rsidRDefault="00852A2B" w:rsidP="00F800AD">
            <w:pPr>
              <w:pStyle w:val="paragraph"/>
              <w:spacing w:after="0"/>
              <w:contextualSpacing/>
              <w:textAlignment w:val="baseline"/>
              <w:rPr>
                <w:rStyle w:val="normaltextrun"/>
                <w:rFonts w:ascii="Verdana" w:hAnsi="Verdana" w:cs="Arial"/>
                <w:sz w:val="16"/>
                <w:szCs w:val="16"/>
                <w:lang w:val="es-ES"/>
              </w:rPr>
            </w:pPr>
            <w:r w:rsidRPr="00923D18">
              <w:rPr>
                <w:rStyle w:val="normaltextrun"/>
                <w:rFonts w:ascii="Verdana" w:hAnsi="Verdana" w:cs="Arial"/>
                <w:sz w:val="16"/>
                <w:szCs w:val="16"/>
                <w:lang w:val="es-ES"/>
              </w:rPr>
              <w:t>Cielo Victoria González Meza</w:t>
            </w:r>
          </w:p>
          <w:p w14:paraId="774FB567" w14:textId="77777777" w:rsidR="00852A2B" w:rsidRPr="00E4307F" w:rsidRDefault="00852A2B" w:rsidP="00F800AD">
            <w:pPr>
              <w:pStyle w:val="paragraph"/>
              <w:spacing w:before="0" w:beforeAutospacing="0" w:after="0" w:afterAutospacing="0"/>
              <w:contextualSpacing/>
              <w:textAlignment w:val="baseline"/>
              <w:rPr>
                <w:rFonts w:ascii="Verdana" w:hAnsi="Verdana" w:cs="Segoe UI"/>
                <w:sz w:val="16"/>
                <w:szCs w:val="16"/>
              </w:rPr>
            </w:pPr>
            <w:r w:rsidRPr="00923D18">
              <w:rPr>
                <w:rStyle w:val="normaltextrun"/>
                <w:rFonts w:ascii="Verdana" w:hAnsi="Verdana" w:cs="Arial"/>
                <w:sz w:val="16"/>
                <w:szCs w:val="16"/>
                <w:lang w:val="es-ES"/>
              </w:rPr>
              <w:t>Contratista de la Subdirección de Gestión Contractual</w:t>
            </w:r>
          </w:p>
        </w:tc>
      </w:tr>
      <w:tr w:rsidR="00852A2B" w:rsidRPr="00E4307F" w14:paraId="3889BD52" w14:textId="77777777" w:rsidTr="00F800AD">
        <w:trPr>
          <w:trHeight w:val="300"/>
        </w:trPr>
        <w:tc>
          <w:tcPr>
            <w:tcW w:w="893" w:type="dxa"/>
            <w:vAlign w:val="center"/>
            <w:hideMark/>
          </w:tcPr>
          <w:p w14:paraId="3AD35BFE" w14:textId="77777777" w:rsidR="00852A2B" w:rsidRPr="00E4307F" w:rsidRDefault="00852A2B" w:rsidP="00F800AD">
            <w:pPr>
              <w:spacing w:after="255"/>
              <w:contextualSpacing/>
              <w:rPr>
                <w:rFonts w:ascii="Verdana" w:hAnsi="Verdana" w:cs="Arial"/>
                <w:sz w:val="16"/>
                <w:szCs w:val="16"/>
                <w:lang w:val="es-ES" w:eastAsia="es-ES"/>
              </w:rPr>
            </w:pPr>
            <w:r w:rsidRPr="00E4307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97D02ED" w14:textId="77777777" w:rsidR="00852A2B" w:rsidRPr="00E4307F" w:rsidRDefault="00852A2B" w:rsidP="00F800AD">
            <w:pPr>
              <w:spacing w:after="255"/>
              <w:contextualSpacing/>
              <w:rPr>
                <w:rFonts w:ascii="Verdana" w:eastAsia="Calibri" w:hAnsi="Verdana" w:cs="Arial"/>
                <w:sz w:val="16"/>
                <w:szCs w:val="16"/>
                <w:lang w:val="pt-BR" w:eastAsia="es-ES"/>
              </w:rPr>
            </w:pPr>
            <w:r w:rsidRPr="00E4307F">
              <w:rPr>
                <w:rFonts w:ascii="Verdana" w:eastAsia="Calibri" w:hAnsi="Verdana" w:cs="Arial"/>
                <w:sz w:val="16"/>
                <w:szCs w:val="16"/>
                <w:lang w:val="pt-BR" w:eastAsia="es-ES"/>
              </w:rPr>
              <w:t>Carolina Quintero Gacharná</w:t>
            </w:r>
          </w:p>
          <w:p w14:paraId="2BE62E44" w14:textId="77777777" w:rsidR="00852A2B" w:rsidRPr="00E4307F" w:rsidRDefault="00852A2B" w:rsidP="00F800AD">
            <w:pPr>
              <w:spacing w:after="255"/>
              <w:contextualSpacing/>
              <w:rPr>
                <w:rFonts w:ascii="Verdana" w:eastAsia="Calibri" w:hAnsi="Verdana" w:cs="Arial"/>
                <w:sz w:val="16"/>
                <w:szCs w:val="16"/>
                <w:lang w:val="pt-BR" w:eastAsia="es-ES"/>
              </w:rPr>
            </w:pPr>
            <w:r w:rsidRPr="00E4307F">
              <w:rPr>
                <w:rFonts w:ascii="Verdana" w:eastAsia="Calibri" w:hAnsi="Verdana" w:cs="Arial"/>
                <w:sz w:val="16"/>
                <w:szCs w:val="16"/>
                <w:lang w:eastAsia="es-ES"/>
              </w:rPr>
              <w:t>Subdirectora</w:t>
            </w:r>
            <w:r w:rsidRPr="00E4307F">
              <w:rPr>
                <w:rFonts w:ascii="Verdana" w:eastAsia="Calibri" w:hAnsi="Verdana" w:cs="Arial"/>
                <w:sz w:val="16"/>
                <w:szCs w:val="16"/>
                <w:lang w:val="pt-BR" w:eastAsia="es-ES"/>
              </w:rPr>
              <w:t xml:space="preserve"> de Gestión </w:t>
            </w:r>
            <w:proofErr w:type="spellStart"/>
            <w:r w:rsidRPr="00E4307F">
              <w:rPr>
                <w:rFonts w:ascii="Verdana" w:eastAsia="Calibri" w:hAnsi="Verdana" w:cs="Arial"/>
                <w:sz w:val="16"/>
                <w:szCs w:val="16"/>
                <w:lang w:val="pt-BR" w:eastAsia="es-ES"/>
              </w:rPr>
              <w:t>Contractual</w:t>
            </w:r>
            <w:proofErr w:type="spellEnd"/>
            <w:r w:rsidRPr="00E4307F">
              <w:rPr>
                <w:rFonts w:ascii="Verdana" w:eastAsia="Calibri" w:hAnsi="Verdana" w:cs="Arial"/>
                <w:sz w:val="16"/>
                <w:szCs w:val="16"/>
                <w:lang w:val="pt-BR" w:eastAsia="es-ES"/>
              </w:rPr>
              <w:t xml:space="preserve"> ANCP – CCE</w:t>
            </w:r>
          </w:p>
        </w:tc>
      </w:tr>
    </w:tbl>
    <w:p w14:paraId="1730CBBB" w14:textId="77777777" w:rsidR="00852A2B" w:rsidRPr="00E4307F" w:rsidRDefault="00852A2B" w:rsidP="00852A2B">
      <w:pPr>
        <w:spacing w:after="0" w:line="240" w:lineRule="auto"/>
        <w:rPr>
          <w:rFonts w:ascii="Verdana" w:eastAsia="Times New Roman" w:hAnsi="Verdana" w:cs="Arial"/>
          <w:lang w:eastAsia="es-ES"/>
        </w:rPr>
      </w:pPr>
    </w:p>
    <w:p w14:paraId="46048FB6" w14:textId="77777777" w:rsidR="00852A2B" w:rsidRPr="00E4307F" w:rsidRDefault="00852A2B" w:rsidP="00852A2B">
      <w:pPr>
        <w:rPr>
          <w:rFonts w:ascii="Verdana" w:hAnsi="Verdana"/>
        </w:rPr>
      </w:pPr>
    </w:p>
    <w:p w14:paraId="380A1D99" w14:textId="77777777" w:rsidR="00852A2B" w:rsidRPr="00E4307F" w:rsidRDefault="00852A2B" w:rsidP="00852A2B">
      <w:pPr>
        <w:rPr>
          <w:rFonts w:ascii="Verdana" w:hAnsi="Verdana"/>
        </w:rPr>
      </w:pPr>
    </w:p>
    <w:p w14:paraId="771E404F" w14:textId="77777777" w:rsidR="00852A2B" w:rsidRPr="00E4307F" w:rsidRDefault="00852A2B" w:rsidP="00852A2B">
      <w:pPr>
        <w:spacing w:before="100" w:beforeAutospacing="1" w:after="0" w:afterAutospacing="1" w:line="240" w:lineRule="auto"/>
        <w:jc w:val="both"/>
        <w:textAlignment w:val="baseline"/>
        <w:rPr>
          <w:rFonts w:ascii="Verdana" w:eastAsia="Times New Roman" w:hAnsi="Verdana" w:cs="Arial"/>
          <w:lang w:eastAsia="es-MX"/>
        </w:rPr>
      </w:pPr>
    </w:p>
    <w:p w14:paraId="1F073EBD" w14:textId="77777777" w:rsidR="00852A2B" w:rsidRPr="00E4307F" w:rsidRDefault="00852A2B" w:rsidP="005B6DE8">
      <w:pPr>
        <w:spacing w:before="100" w:beforeAutospacing="1" w:after="0" w:afterAutospacing="1" w:line="240" w:lineRule="auto"/>
        <w:jc w:val="both"/>
        <w:textAlignment w:val="baseline"/>
        <w:rPr>
          <w:rFonts w:ascii="Verdana" w:eastAsia="Times New Roman" w:hAnsi="Verdana" w:cs="Arial"/>
          <w:lang w:eastAsia="es-MX"/>
        </w:rPr>
      </w:pPr>
    </w:p>
    <w:sectPr w:rsidR="00852A2B" w:rsidRPr="00E4307F"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CAEC3" w14:textId="77777777" w:rsidR="00B32CE4" w:rsidRDefault="00B32CE4" w:rsidP="00CC2303">
      <w:pPr>
        <w:spacing w:after="0" w:line="240" w:lineRule="auto"/>
      </w:pPr>
      <w:r>
        <w:separator/>
      </w:r>
    </w:p>
  </w:endnote>
  <w:endnote w:type="continuationSeparator" w:id="0">
    <w:p w14:paraId="6E374C1B" w14:textId="77777777" w:rsidR="00B32CE4" w:rsidRDefault="00B32CE4" w:rsidP="00CC2303">
      <w:pPr>
        <w:spacing w:after="0" w:line="240" w:lineRule="auto"/>
      </w:pPr>
      <w:r>
        <w:continuationSeparator/>
      </w:r>
    </w:p>
  </w:endnote>
  <w:endnote w:type="continuationNotice" w:id="1">
    <w:p w14:paraId="04C7784B" w14:textId="77777777" w:rsidR="00B32CE4" w:rsidRDefault="00B32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E708F2" w:rsidRDefault="00E708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4C7F2" w14:textId="77777777" w:rsidR="00B32CE4" w:rsidRDefault="00B32CE4" w:rsidP="00CC2303">
      <w:pPr>
        <w:spacing w:after="0" w:line="240" w:lineRule="auto"/>
      </w:pPr>
      <w:r>
        <w:separator/>
      </w:r>
    </w:p>
  </w:footnote>
  <w:footnote w:type="continuationSeparator" w:id="0">
    <w:p w14:paraId="7EDFAE30" w14:textId="77777777" w:rsidR="00B32CE4" w:rsidRDefault="00B32CE4" w:rsidP="00CC2303">
      <w:pPr>
        <w:spacing w:after="0" w:line="240" w:lineRule="auto"/>
      </w:pPr>
      <w:r>
        <w:continuationSeparator/>
      </w:r>
    </w:p>
  </w:footnote>
  <w:footnote w:type="continuationNotice" w:id="1">
    <w:p w14:paraId="03ABB232" w14:textId="77777777" w:rsidR="00B32CE4" w:rsidRDefault="00B32CE4">
      <w:pPr>
        <w:spacing w:after="0" w:line="240" w:lineRule="auto"/>
      </w:pPr>
    </w:p>
  </w:footnote>
  <w:footnote w:id="2">
    <w:p w14:paraId="6C88B1FC" w14:textId="77777777" w:rsidR="00852A2B" w:rsidRPr="00F312E3" w:rsidRDefault="00852A2B" w:rsidP="00852A2B">
      <w:pPr>
        <w:pStyle w:val="Textonotapie"/>
        <w:rPr>
          <w:sz w:val="16"/>
          <w:szCs w:val="16"/>
        </w:rPr>
      </w:pPr>
      <w:r w:rsidRPr="00F312E3">
        <w:rPr>
          <w:rStyle w:val="Refdenotaalpie"/>
          <w:sz w:val="16"/>
          <w:szCs w:val="16"/>
        </w:rPr>
        <w:footnoteRef/>
      </w:r>
      <w:r w:rsidRPr="00F312E3">
        <w:rPr>
          <w:sz w:val="16"/>
          <w:szCs w:val="16"/>
        </w:rPr>
        <w:t xml:space="preserve">   </w:t>
      </w:r>
      <w:r>
        <w:rPr>
          <w:rFonts w:ascii="Verdana" w:hAnsi="Verdana"/>
          <w:sz w:val="16"/>
          <w:szCs w:val="16"/>
        </w:rPr>
        <w:t>A</w:t>
      </w:r>
      <w:r w:rsidRPr="00C70533">
        <w:rPr>
          <w:rFonts w:ascii="Verdana" w:hAnsi="Verdana"/>
          <w:sz w:val="16"/>
          <w:szCs w:val="16"/>
        </w:rPr>
        <w:t>rtículo 32 de la Ley 80 de 1993 Numeral 3</w:t>
      </w:r>
    </w:p>
  </w:footnote>
  <w:footnote w:id="3">
    <w:p w14:paraId="5320F46D" w14:textId="77777777" w:rsidR="00852A2B" w:rsidRPr="00BD2224" w:rsidRDefault="00852A2B" w:rsidP="00852A2B">
      <w:pPr>
        <w:pStyle w:val="Textonotapie"/>
        <w:rPr>
          <w:sz w:val="16"/>
          <w:szCs w:val="16"/>
        </w:rPr>
      </w:pPr>
      <w:r w:rsidRPr="00BD2224">
        <w:rPr>
          <w:rStyle w:val="Refdenotaalpie"/>
          <w:sz w:val="16"/>
          <w:szCs w:val="16"/>
        </w:rPr>
        <w:footnoteRef/>
      </w:r>
      <w:r w:rsidRPr="00BD2224">
        <w:rPr>
          <w:sz w:val="16"/>
          <w:szCs w:val="16"/>
        </w:rPr>
        <w:t xml:space="preserve"> </w:t>
      </w:r>
      <w:r w:rsidRPr="00BD2224">
        <w:rPr>
          <w:rFonts w:ascii="Verdana" w:eastAsia="Calibri" w:hAnsi="Verdana" w:cs="Arial"/>
          <w:color w:val="000000" w:themeColor="text1"/>
          <w:sz w:val="16"/>
          <w:szCs w:val="16"/>
          <w:lang w:val="es-ES_tradnl"/>
        </w:rPr>
        <w:t>Artículo 2, numeral 4º, literal h), de la Ley 1150 de 2007</w:t>
      </w:r>
    </w:p>
  </w:footnote>
  <w:footnote w:id="4">
    <w:p w14:paraId="324DD862" w14:textId="77777777" w:rsidR="00852A2B" w:rsidRPr="00F312E3" w:rsidRDefault="00852A2B" w:rsidP="00852A2B">
      <w:pPr>
        <w:pStyle w:val="Textonotapie"/>
        <w:rPr>
          <w:sz w:val="16"/>
          <w:szCs w:val="16"/>
        </w:rPr>
      </w:pPr>
      <w:r w:rsidRPr="00BD2224">
        <w:rPr>
          <w:rStyle w:val="Refdenotaalpie"/>
          <w:sz w:val="16"/>
          <w:szCs w:val="16"/>
        </w:rPr>
        <w:footnoteRef/>
      </w:r>
      <w:r w:rsidRPr="00BD2224">
        <w:rPr>
          <w:sz w:val="16"/>
          <w:szCs w:val="16"/>
        </w:rPr>
        <w:t xml:space="preserve"> </w:t>
      </w:r>
      <w:r w:rsidRPr="00BD2224">
        <w:rPr>
          <w:rFonts w:ascii="Verdana" w:hAnsi="Verdana" w:cs="Arial"/>
          <w:noProof/>
          <w:sz w:val="16"/>
          <w:szCs w:val="16"/>
          <w:lang w:val="es-ES_tradnl"/>
        </w:rPr>
        <w:t>Decreto 1082 de 2015 en su artículo 2.2.1.2.1.4.9</w:t>
      </w:r>
    </w:p>
  </w:footnote>
  <w:footnote w:id="5">
    <w:p w14:paraId="6F72F8D2" w14:textId="77777777" w:rsidR="00852A2B" w:rsidRPr="00F312E3" w:rsidRDefault="00852A2B" w:rsidP="00852A2B">
      <w:pPr>
        <w:pStyle w:val="Textonotapie"/>
        <w:rPr>
          <w:rFonts w:ascii="Verdana" w:hAnsi="Verdana"/>
          <w:sz w:val="16"/>
          <w:szCs w:val="16"/>
        </w:rPr>
      </w:pPr>
      <w:r w:rsidRPr="00F312E3">
        <w:rPr>
          <w:rStyle w:val="Refdenotaalpie"/>
          <w:rFonts w:ascii="Verdana" w:hAnsi="Verdana"/>
          <w:sz w:val="16"/>
          <w:szCs w:val="16"/>
        </w:rPr>
        <w:footnoteRef/>
      </w:r>
      <w:r w:rsidRPr="00F312E3">
        <w:rPr>
          <w:rFonts w:ascii="Verdana" w:hAnsi="Verdana"/>
          <w:sz w:val="16"/>
          <w:szCs w:val="16"/>
        </w:rPr>
        <w:t xml:space="preserve"> Consejo de Estado. Sección Segunda. Sentencia del 9 de septiembre de 2021. Expediente No. 05001-23-33-000-2013-01143-01(1317-16). M.P. Dra. Sandra Lisset Ibarra Vélez.</w:t>
      </w:r>
    </w:p>
  </w:footnote>
  <w:footnote w:id="6">
    <w:p w14:paraId="28C08C99" w14:textId="77777777" w:rsidR="00852A2B" w:rsidRPr="00F312E3" w:rsidRDefault="00852A2B" w:rsidP="00852A2B">
      <w:pPr>
        <w:pStyle w:val="Textonotapie"/>
        <w:jc w:val="both"/>
        <w:rPr>
          <w:rFonts w:ascii="Verdana" w:hAnsi="Verdana"/>
          <w:sz w:val="16"/>
          <w:szCs w:val="16"/>
        </w:rPr>
      </w:pPr>
      <w:r w:rsidRPr="00F312E3">
        <w:rPr>
          <w:rStyle w:val="Refdenotaalpie"/>
          <w:rFonts w:ascii="Verdana" w:hAnsi="Verdana"/>
          <w:sz w:val="16"/>
          <w:szCs w:val="16"/>
        </w:rPr>
        <w:footnoteRef/>
      </w:r>
      <w:r w:rsidRPr="00F312E3">
        <w:rPr>
          <w:rFonts w:ascii="Verdana" w:hAnsi="Verdana"/>
          <w:sz w:val="16"/>
          <w:szCs w:val="16"/>
        </w:rPr>
        <w:t xml:space="preserve"> Consejo de Estado. Sentencia del diciembre 3 de 2007, expediente No. 11001-03-26-000-2003-00014-01(24715),.</w:t>
      </w:r>
    </w:p>
  </w:footnote>
  <w:footnote w:id="7">
    <w:p w14:paraId="7DDE8A3E" w14:textId="77777777" w:rsidR="00852A2B" w:rsidRPr="00F312E3" w:rsidRDefault="00852A2B" w:rsidP="00852A2B">
      <w:pPr>
        <w:pStyle w:val="Textonotapie"/>
        <w:ind w:firstLine="708"/>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5D6A635C"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8">
    <w:p w14:paraId="55729D8F"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9134853"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63CA55AB" w14:textId="77777777" w:rsidR="00852A2B" w:rsidRPr="00F312E3" w:rsidRDefault="00852A2B" w:rsidP="00852A2B">
      <w:pPr>
        <w:pStyle w:val="Textonotapie"/>
        <w:ind w:firstLine="709"/>
        <w:contextualSpacing/>
        <w:jc w:val="both"/>
        <w:rPr>
          <w:rFonts w:ascii="Arial" w:hAnsi="Arial" w:cs="Arial"/>
          <w:sz w:val="16"/>
          <w:szCs w:val="16"/>
          <w:lang w:val="pt-BR"/>
        </w:rPr>
      </w:pPr>
      <w:r w:rsidRPr="00F312E3">
        <w:rPr>
          <w:rFonts w:ascii="Arial" w:hAnsi="Arial" w:cs="Arial"/>
          <w:sz w:val="16"/>
          <w:szCs w:val="16"/>
          <w:lang w:val="es-ES"/>
        </w:rPr>
        <w:t>El Gobierno nacional reglamentará el mecanismo para realizar la mensualización de que trata el presente artículo.</w:t>
      </w:r>
      <w:r w:rsidRPr="00F312E3">
        <w:rPr>
          <w:rFonts w:ascii="Arial" w:hAnsi="Arial" w:cs="Arial"/>
          <w:sz w:val="16"/>
          <w:szCs w:val="16"/>
          <w:lang w:val="pt-BR"/>
        </w:rPr>
        <w:t>[…]”.</w:t>
      </w:r>
    </w:p>
    <w:p w14:paraId="64455FD4" w14:textId="77777777" w:rsidR="00852A2B" w:rsidRPr="00F312E3" w:rsidRDefault="00852A2B" w:rsidP="00852A2B">
      <w:pPr>
        <w:pStyle w:val="Textonotapie"/>
        <w:ind w:firstLine="709"/>
        <w:contextualSpacing/>
        <w:jc w:val="both"/>
        <w:rPr>
          <w:rFonts w:ascii="Arial" w:hAnsi="Arial" w:cs="Arial"/>
          <w:sz w:val="16"/>
          <w:szCs w:val="16"/>
          <w:lang w:val="pt-BR"/>
        </w:rPr>
      </w:pPr>
    </w:p>
  </w:footnote>
  <w:footnote w:id="9">
    <w:p w14:paraId="547A38A2"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Ibíd.</w:t>
      </w:r>
    </w:p>
    <w:p w14:paraId="6FDB78EA"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10">
    <w:p w14:paraId="51BA8F95" w14:textId="77777777" w:rsidR="00852A2B" w:rsidRPr="00F312E3" w:rsidRDefault="00852A2B" w:rsidP="00852A2B">
      <w:pPr>
        <w:pStyle w:val="Textonotapie"/>
        <w:ind w:firstLine="709"/>
        <w:contextualSpacing/>
        <w:jc w:val="both"/>
        <w:rPr>
          <w:rFonts w:ascii="Arial" w:hAnsi="Arial" w:cs="Arial"/>
          <w:sz w:val="16"/>
          <w:szCs w:val="16"/>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CONSEJO DE ESTADO. Sección Tercera. Subsección C. Sentencia de Unificación del 2 de diciembre de 2013. Exp. 41.719. C.P. Jaime Orlando Santofimio Gamboa.</w:t>
      </w:r>
      <w:r w:rsidRPr="00F312E3">
        <w:rPr>
          <w:rFonts w:ascii="Arial" w:hAnsi="Arial" w:cs="Arial"/>
          <w:sz w:val="16"/>
          <w:szCs w:val="16"/>
        </w:rPr>
        <w:t xml:space="preserve"> </w:t>
      </w:r>
    </w:p>
    <w:p w14:paraId="7D233A97"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B8BAF89"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48D9FE33"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Ninguna orden del interventor de una obra podrá darse verbalmente. Es obligatorio para el interventor entregar por escrito sus órdenes o sugerencias y ellas deben enmarcarse dentro de los términos del respectivo contrato”.</w:t>
      </w:r>
    </w:p>
    <w:p w14:paraId="6DF9C5CA"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11">
    <w:p w14:paraId="2225B95E"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Así lo dispone el artículo 2.2.1.2.1.4.1. del Decreto 1082 de 2015: “La Entidad Estatal debe señalar en un acto administrativo la justificación para contratar bajo la modalidad de contratación directa, el cual debe contener:</w:t>
      </w:r>
    </w:p>
    <w:p w14:paraId="1C44FCAE"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1. La causal que invoca para contratar directamente.</w:t>
      </w:r>
    </w:p>
    <w:p w14:paraId="1D9E5529"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2. El objeto del contrato.</w:t>
      </w:r>
    </w:p>
    <w:p w14:paraId="5E35D757"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3. El presupuesto para la contratación y las condiciones que exigirá al contratista.</w:t>
      </w:r>
    </w:p>
    <w:p w14:paraId="52930F74"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4. El lugar en el cual los interesados pueden consultar los estudios y documentos previos.</w:t>
      </w:r>
    </w:p>
    <w:p w14:paraId="6EC4AFBA"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0A966391"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 xml:space="preserve">La norma expresa: “Art. 14. </w:t>
      </w:r>
      <w:r w:rsidRPr="00F312E3">
        <w:rPr>
          <w:rFonts w:ascii="Arial" w:hAnsi="Arial" w:cs="Arial"/>
          <w:sz w:val="16"/>
          <w:szCs w:val="16"/>
        </w:rPr>
        <w:t>P</w:t>
      </w:r>
      <w:r w:rsidRPr="00F312E3">
        <w:rPr>
          <w:rFonts w:ascii="Arial" w:hAnsi="Arial" w:cs="Arial"/>
          <w:sz w:val="16"/>
          <w:szCs w:val="16"/>
          <w:lang w:val="es-ES"/>
        </w:rPr>
        <w:t>ara el cumplimiento de los fines de la contratación, las entidades estatales al celebrar un contrato:</w:t>
      </w:r>
    </w:p>
    <w:p w14:paraId="467661DB"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w:t>
      </w:r>
    </w:p>
    <w:p w14:paraId="4694E088" w14:textId="77777777" w:rsidR="00852A2B" w:rsidRPr="00F312E3" w:rsidRDefault="00852A2B" w:rsidP="00852A2B">
      <w:pPr>
        <w:pStyle w:val="Textonotapie"/>
        <w:ind w:firstLine="709"/>
        <w:contextualSpacing/>
        <w:jc w:val="both"/>
        <w:rPr>
          <w:rFonts w:ascii="Arial" w:hAnsi="Arial" w:cs="Arial"/>
          <w:sz w:val="16"/>
          <w:szCs w:val="16"/>
          <w:lang w:val="es-ES"/>
        </w:rPr>
      </w:pPr>
    </w:p>
    <w:p w14:paraId="5876904E"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Fonts w:ascii="Arial" w:hAnsi="Arial" w:cs="Arial"/>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578AE470" w14:textId="77777777" w:rsidR="00852A2B" w:rsidRPr="00F312E3" w:rsidRDefault="00852A2B" w:rsidP="00852A2B">
      <w:pPr>
        <w:pStyle w:val="Textonotapie"/>
        <w:ind w:firstLine="708"/>
        <w:contextualSpacing/>
        <w:jc w:val="both"/>
        <w:rPr>
          <w:rFonts w:ascii="Arial" w:hAnsi="Arial" w:cs="Arial"/>
          <w:sz w:val="16"/>
          <w:szCs w:val="16"/>
          <w:lang w:val="es-ES"/>
        </w:rPr>
      </w:pPr>
      <w:r w:rsidRPr="00F312E3">
        <w:rPr>
          <w:rFonts w:ascii="Arial" w:hAnsi="Arial" w:cs="Arial"/>
          <w:sz w:val="16"/>
          <w:szCs w:val="16"/>
          <w:lang w:val="es-ES"/>
        </w:rPr>
        <w:t>Las entidades estatales podrán pactar estas cláusulas en los contratos de suministro y de prestación de servicios.”.</w:t>
      </w:r>
    </w:p>
    <w:p w14:paraId="066A904E"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13">
    <w:p w14:paraId="412EBE3A" w14:textId="77777777" w:rsidR="00852A2B" w:rsidRPr="00F312E3" w:rsidRDefault="00852A2B" w:rsidP="00852A2B">
      <w:pPr>
        <w:pStyle w:val="Textonotapie"/>
        <w:ind w:firstLine="709"/>
        <w:contextualSpacing/>
        <w:jc w:val="both"/>
        <w:rPr>
          <w:rFonts w:ascii="Arial" w:hAnsi="Arial" w:cs="Arial"/>
          <w:sz w:val="16"/>
          <w:szCs w:val="16"/>
          <w:lang w:val="es-ES"/>
        </w:rPr>
      </w:pPr>
      <w:r w:rsidRPr="00F312E3">
        <w:rPr>
          <w:rStyle w:val="Refdenotaalpie"/>
          <w:rFonts w:ascii="Arial" w:hAnsi="Arial" w:cs="Arial"/>
          <w:sz w:val="16"/>
          <w:szCs w:val="16"/>
        </w:rPr>
        <w:footnoteRef/>
      </w:r>
      <w:r w:rsidRPr="00F312E3">
        <w:rPr>
          <w:rFonts w:ascii="Arial" w:hAnsi="Arial" w:cs="Arial"/>
          <w:sz w:val="16"/>
          <w:szCs w:val="16"/>
        </w:rPr>
        <w:t xml:space="preserve"> </w:t>
      </w:r>
      <w:r w:rsidRPr="00F312E3">
        <w:rPr>
          <w:rFonts w:ascii="Arial" w:hAnsi="Arial" w:cs="Arial"/>
          <w:sz w:val="16"/>
          <w:szCs w:val="16"/>
          <w:lang w:val="es-ES"/>
        </w:rPr>
        <w:t>La norma dispone: “La liquidación a que se refiere el presente artículo no será obligatoria en los contratos de prestación de servicios profesionales y de apoyo a la gestión”.</w:t>
      </w:r>
    </w:p>
    <w:p w14:paraId="39449242"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14">
    <w:p w14:paraId="16ABC9FE" w14:textId="77777777" w:rsidR="00852A2B" w:rsidRPr="00F312E3" w:rsidRDefault="00852A2B" w:rsidP="00852A2B">
      <w:pPr>
        <w:pStyle w:val="Textonotapie"/>
        <w:ind w:firstLine="709"/>
        <w:contextualSpacing/>
        <w:jc w:val="both"/>
        <w:rPr>
          <w:rFonts w:ascii="Arial" w:hAnsi="Arial" w:cs="Arial"/>
          <w:sz w:val="16"/>
          <w:szCs w:val="16"/>
        </w:rPr>
      </w:pPr>
      <w:r w:rsidRPr="00F312E3">
        <w:rPr>
          <w:rStyle w:val="Refdenotaalpie"/>
          <w:rFonts w:ascii="Arial" w:hAnsi="Arial" w:cs="Arial"/>
          <w:sz w:val="16"/>
          <w:szCs w:val="16"/>
        </w:rPr>
        <w:footnoteRef/>
      </w:r>
      <w:r w:rsidRPr="00F312E3">
        <w:rPr>
          <w:rFonts w:ascii="Arial" w:hAnsi="Arial" w:cs="Arial"/>
          <w:sz w:val="16"/>
          <w:szCs w:val="16"/>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770CAD9" w14:textId="77777777" w:rsidR="00852A2B" w:rsidRPr="00F312E3" w:rsidRDefault="00852A2B" w:rsidP="00852A2B">
      <w:pPr>
        <w:pStyle w:val="Textonotapie"/>
        <w:ind w:firstLine="709"/>
        <w:contextualSpacing/>
        <w:jc w:val="both"/>
        <w:rPr>
          <w:rFonts w:ascii="Arial" w:hAnsi="Arial" w:cs="Arial"/>
          <w:sz w:val="16"/>
          <w:szCs w:val="16"/>
        </w:rPr>
      </w:pPr>
      <w:r w:rsidRPr="00F312E3">
        <w:rPr>
          <w:rFonts w:ascii="Arial" w:hAnsi="Arial" w:cs="Arial"/>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1D22BBCE" w14:textId="77777777" w:rsidR="00852A2B" w:rsidRPr="00F312E3" w:rsidRDefault="00852A2B" w:rsidP="00852A2B">
      <w:pPr>
        <w:pStyle w:val="Textonotapie"/>
        <w:ind w:firstLine="709"/>
        <w:contextualSpacing/>
        <w:jc w:val="both"/>
        <w:rPr>
          <w:rFonts w:ascii="Arial" w:hAnsi="Arial" w:cs="Arial"/>
          <w:sz w:val="16"/>
          <w:szCs w:val="16"/>
          <w:lang w:val="es-ES"/>
        </w:rPr>
      </w:pPr>
    </w:p>
  </w:footnote>
  <w:footnote w:id="15">
    <w:p w14:paraId="588B8090" w14:textId="77777777" w:rsidR="00852A2B" w:rsidRPr="00F312E3" w:rsidRDefault="00852A2B" w:rsidP="00852A2B">
      <w:pPr>
        <w:pStyle w:val="Textonotapie"/>
        <w:spacing w:after="120"/>
        <w:ind w:firstLine="709"/>
        <w:jc w:val="both"/>
        <w:rPr>
          <w:rFonts w:ascii="Verdana" w:hAnsi="Verdana"/>
          <w:sz w:val="16"/>
          <w:szCs w:val="16"/>
          <w:lang w:val="es-CO"/>
        </w:rPr>
      </w:pPr>
      <w:r w:rsidRPr="00F312E3">
        <w:rPr>
          <w:rStyle w:val="Refdenotaalpie"/>
          <w:rFonts w:ascii="Verdana" w:hAnsi="Verdana"/>
          <w:sz w:val="16"/>
          <w:szCs w:val="16"/>
        </w:rPr>
        <w:footnoteRef/>
      </w:r>
      <w:r w:rsidRPr="00F312E3">
        <w:rPr>
          <w:rFonts w:ascii="Verdana" w:hAnsi="Verdana"/>
          <w:sz w:val="16"/>
          <w:szCs w:val="16"/>
        </w:rPr>
        <w:t xml:space="preserve"> Ley 80 de 1993: “</w:t>
      </w:r>
      <w:r w:rsidRPr="00DA2DBA">
        <w:rPr>
          <w:rFonts w:ascii="Verdana" w:hAnsi="Verdana"/>
          <w:sz w:val="16"/>
          <w:szCs w:val="16"/>
          <w:lang w:val="es-CO"/>
        </w:rPr>
        <w:t>Artículo</w:t>
      </w:r>
      <w:r w:rsidRPr="00F312E3">
        <w:rPr>
          <w:rFonts w:ascii="Verdana" w:hAnsi="Verdana"/>
          <w:sz w:val="16"/>
          <w:szCs w:val="16"/>
          <w:lang w:val="es-CO"/>
        </w:rPr>
        <w:t xml:space="preserve"> 3o. De los fines de la contratación estatal.</w:t>
      </w:r>
      <w:r w:rsidRPr="00F312E3">
        <w:rPr>
          <w:rFonts w:ascii="Verdana" w:hAnsi="Verdana"/>
          <w:b/>
          <w:bCs/>
          <w:sz w:val="16"/>
          <w:szCs w:val="16"/>
          <w:lang w:val="es-CO"/>
        </w:rPr>
        <w:t> </w:t>
      </w:r>
      <w:r w:rsidRPr="00F312E3">
        <w:rPr>
          <w:rFonts w:ascii="Verdana" w:hAnsi="Verdana"/>
          <w:sz w:val="16"/>
          <w:szCs w:val="16"/>
          <w:lang w:val="es-CO"/>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14:paraId="7ACFED06" w14:textId="77777777" w:rsidR="00852A2B" w:rsidRPr="00F312E3" w:rsidRDefault="00852A2B" w:rsidP="00852A2B">
      <w:pPr>
        <w:pStyle w:val="Textonotapie"/>
        <w:ind w:firstLine="708"/>
        <w:jc w:val="both"/>
        <w:rPr>
          <w:sz w:val="16"/>
          <w:szCs w:val="16"/>
        </w:rPr>
      </w:pPr>
      <w:r w:rsidRPr="00F312E3">
        <w:rPr>
          <w:rFonts w:ascii="Verdana" w:hAnsi="Verdana"/>
          <w:sz w:val="16"/>
          <w:szCs w:val="16"/>
          <w:lang w:val="es-CO"/>
        </w:rPr>
        <w:t>  Los particulares, por su parte, tendrán en cuenta al celebrar y ejecutar contratos con las entidades estatales que, además de la obtención de utilidades cuya protección garantiza el Estado, colaboran con ellas en el logro de sus fines y cumplen una función social que, como tal, implica obligaciones”.</w:t>
      </w:r>
      <w:r w:rsidRPr="00F312E3">
        <w:rPr>
          <w:sz w:val="16"/>
          <w:szCs w:val="16"/>
          <w:lang w:val="es-CO"/>
        </w:rPr>
        <w:t> </w:t>
      </w:r>
      <w:r w:rsidRPr="00F312E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E708F2" w:rsidRDefault="00E708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3631E0"/>
    <w:multiLevelType w:val="hybridMultilevel"/>
    <w:tmpl w:val="F5542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D17754"/>
    <w:multiLevelType w:val="hybridMultilevel"/>
    <w:tmpl w:val="5ED6B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53916"/>
    <w:multiLevelType w:val="hybridMultilevel"/>
    <w:tmpl w:val="981AA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F14962"/>
    <w:multiLevelType w:val="hybridMultilevel"/>
    <w:tmpl w:val="36F818C8"/>
    <w:lvl w:ilvl="0" w:tplc="B7666E42">
      <w:start w:val="1"/>
      <w:numFmt w:val="decimal"/>
      <w:lvlText w:val="%1."/>
      <w:lvlJc w:val="left"/>
      <w:pPr>
        <w:ind w:left="756" w:hanging="396"/>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D2527E0"/>
    <w:multiLevelType w:val="hybridMultilevel"/>
    <w:tmpl w:val="DD7EB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32146BCE"/>
    <w:multiLevelType w:val="hybridMultilevel"/>
    <w:tmpl w:val="7696E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49B30A72"/>
    <w:multiLevelType w:val="hybridMultilevel"/>
    <w:tmpl w:val="F40AE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4ECE7AB2"/>
    <w:multiLevelType w:val="hybridMultilevel"/>
    <w:tmpl w:val="AB1AA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CC335D"/>
    <w:multiLevelType w:val="hybridMultilevel"/>
    <w:tmpl w:val="FFFFFFFF"/>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662D0928"/>
    <w:multiLevelType w:val="hybridMultilevel"/>
    <w:tmpl w:val="1460E82C"/>
    <w:lvl w:ilvl="0" w:tplc="B5643C1A">
      <w:numFmt w:val="bullet"/>
      <w:lvlText w:val="-"/>
      <w:lvlJc w:val="left"/>
      <w:pPr>
        <w:ind w:left="435" w:hanging="360"/>
      </w:pPr>
      <w:rPr>
        <w:rFonts w:ascii="Verdana" w:eastAsia="Calibri" w:hAnsi="Verdana" w:cs="Aria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16cid:durableId="18451212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3556012">
    <w:abstractNumId w:val="9"/>
  </w:num>
  <w:num w:numId="3" w16cid:durableId="1077097514">
    <w:abstractNumId w:val="12"/>
  </w:num>
  <w:num w:numId="4" w16cid:durableId="822355891">
    <w:abstractNumId w:val="8"/>
  </w:num>
  <w:num w:numId="5" w16cid:durableId="1815173753">
    <w:abstractNumId w:val="5"/>
  </w:num>
  <w:num w:numId="6" w16cid:durableId="1522276522">
    <w:abstractNumId w:val="6"/>
  </w:num>
  <w:num w:numId="7" w16cid:durableId="2146313618">
    <w:abstractNumId w:val="16"/>
  </w:num>
  <w:num w:numId="8" w16cid:durableId="644548669">
    <w:abstractNumId w:val="10"/>
  </w:num>
  <w:num w:numId="9" w16cid:durableId="1474638032">
    <w:abstractNumId w:val="17"/>
  </w:num>
  <w:num w:numId="10" w16cid:durableId="372116021">
    <w:abstractNumId w:val="13"/>
  </w:num>
  <w:num w:numId="11" w16cid:durableId="1290670214">
    <w:abstractNumId w:val="11"/>
  </w:num>
  <w:num w:numId="12" w16cid:durableId="4285022">
    <w:abstractNumId w:val="3"/>
  </w:num>
  <w:num w:numId="13" w16cid:durableId="881983949">
    <w:abstractNumId w:val="7"/>
  </w:num>
  <w:num w:numId="14" w16cid:durableId="341274352">
    <w:abstractNumId w:val="0"/>
  </w:num>
  <w:num w:numId="15" w16cid:durableId="1887524674">
    <w:abstractNumId w:val="14"/>
  </w:num>
  <w:num w:numId="16" w16cid:durableId="1082990391">
    <w:abstractNumId w:val="2"/>
  </w:num>
  <w:num w:numId="17" w16cid:durableId="71515266">
    <w:abstractNumId w:val="4"/>
  </w:num>
  <w:num w:numId="18" w16cid:durableId="1068118100">
    <w:abstractNumId w:val="15"/>
  </w:num>
  <w:num w:numId="19" w16cid:durableId="196361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0791"/>
    <w:rsid w:val="00024185"/>
    <w:rsid w:val="00031584"/>
    <w:rsid w:val="00032A0E"/>
    <w:rsid w:val="00037347"/>
    <w:rsid w:val="000378FE"/>
    <w:rsid w:val="000442CC"/>
    <w:rsid w:val="00044392"/>
    <w:rsid w:val="000547BA"/>
    <w:rsid w:val="000556D4"/>
    <w:rsid w:val="0005662A"/>
    <w:rsid w:val="0006295E"/>
    <w:rsid w:val="00063CC2"/>
    <w:rsid w:val="000716AB"/>
    <w:rsid w:val="00075538"/>
    <w:rsid w:val="00082B90"/>
    <w:rsid w:val="00082E4C"/>
    <w:rsid w:val="00083659"/>
    <w:rsid w:val="000849D5"/>
    <w:rsid w:val="0008528F"/>
    <w:rsid w:val="0009568F"/>
    <w:rsid w:val="000A6E0C"/>
    <w:rsid w:val="000A7A56"/>
    <w:rsid w:val="000B1FF7"/>
    <w:rsid w:val="000B2513"/>
    <w:rsid w:val="000B4024"/>
    <w:rsid w:val="000B41A3"/>
    <w:rsid w:val="000C3C51"/>
    <w:rsid w:val="000C7262"/>
    <w:rsid w:val="000D2A7F"/>
    <w:rsid w:val="000D4498"/>
    <w:rsid w:val="000D4FCE"/>
    <w:rsid w:val="000D60E3"/>
    <w:rsid w:val="000E4B4C"/>
    <w:rsid w:val="000E7451"/>
    <w:rsid w:val="000F26A0"/>
    <w:rsid w:val="000F556F"/>
    <w:rsid w:val="00107869"/>
    <w:rsid w:val="0011037E"/>
    <w:rsid w:val="00110CDF"/>
    <w:rsid w:val="00134347"/>
    <w:rsid w:val="001363C7"/>
    <w:rsid w:val="00141AC5"/>
    <w:rsid w:val="00146B11"/>
    <w:rsid w:val="00147A04"/>
    <w:rsid w:val="00152A66"/>
    <w:rsid w:val="001537DF"/>
    <w:rsid w:val="0015476D"/>
    <w:rsid w:val="00161E13"/>
    <w:rsid w:val="00164AE0"/>
    <w:rsid w:val="00165E83"/>
    <w:rsid w:val="00166CD7"/>
    <w:rsid w:val="001671C1"/>
    <w:rsid w:val="00167395"/>
    <w:rsid w:val="0017120C"/>
    <w:rsid w:val="00172F3A"/>
    <w:rsid w:val="00176C5C"/>
    <w:rsid w:val="001807B3"/>
    <w:rsid w:val="00180DEC"/>
    <w:rsid w:val="00184B7F"/>
    <w:rsid w:val="001935D8"/>
    <w:rsid w:val="0019532A"/>
    <w:rsid w:val="0019670E"/>
    <w:rsid w:val="00197205"/>
    <w:rsid w:val="001A5DD4"/>
    <w:rsid w:val="001A67E9"/>
    <w:rsid w:val="001B143B"/>
    <w:rsid w:val="001B21CA"/>
    <w:rsid w:val="001B6713"/>
    <w:rsid w:val="001C04FC"/>
    <w:rsid w:val="001C07BB"/>
    <w:rsid w:val="001C103F"/>
    <w:rsid w:val="001C20D8"/>
    <w:rsid w:val="001C25A3"/>
    <w:rsid w:val="001C5D03"/>
    <w:rsid w:val="001C72A1"/>
    <w:rsid w:val="001C7771"/>
    <w:rsid w:val="001D495C"/>
    <w:rsid w:val="001D62FF"/>
    <w:rsid w:val="001F3F48"/>
    <w:rsid w:val="002000AA"/>
    <w:rsid w:val="00204109"/>
    <w:rsid w:val="0020755D"/>
    <w:rsid w:val="00211E6E"/>
    <w:rsid w:val="00212A46"/>
    <w:rsid w:val="0021401D"/>
    <w:rsid w:val="002146B8"/>
    <w:rsid w:val="00215516"/>
    <w:rsid w:val="00225289"/>
    <w:rsid w:val="00246C61"/>
    <w:rsid w:val="002527C2"/>
    <w:rsid w:val="0025316C"/>
    <w:rsid w:val="0026106C"/>
    <w:rsid w:val="00270443"/>
    <w:rsid w:val="00270EE2"/>
    <w:rsid w:val="00272972"/>
    <w:rsid w:val="002740E8"/>
    <w:rsid w:val="0027663B"/>
    <w:rsid w:val="00283023"/>
    <w:rsid w:val="00286130"/>
    <w:rsid w:val="00286491"/>
    <w:rsid w:val="00292BF0"/>
    <w:rsid w:val="002A0F8D"/>
    <w:rsid w:val="002A3338"/>
    <w:rsid w:val="002B6E44"/>
    <w:rsid w:val="002C3C17"/>
    <w:rsid w:val="002E1DB5"/>
    <w:rsid w:val="002E45F4"/>
    <w:rsid w:val="002F1B1C"/>
    <w:rsid w:val="002F6A29"/>
    <w:rsid w:val="002F6CCB"/>
    <w:rsid w:val="0030461E"/>
    <w:rsid w:val="0032671A"/>
    <w:rsid w:val="0032756A"/>
    <w:rsid w:val="0033197A"/>
    <w:rsid w:val="00334EF8"/>
    <w:rsid w:val="00336408"/>
    <w:rsid w:val="00340DFB"/>
    <w:rsid w:val="0034404F"/>
    <w:rsid w:val="0035348A"/>
    <w:rsid w:val="003547D0"/>
    <w:rsid w:val="00356980"/>
    <w:rsid w:val="00366A18"/>
    <w:rsid w:val="00367462"/>
    <w:rsid w:val="00371ECA"/>
    <w:rsid w:val="00372748"/>
    <w:rsid w:val="0037332A"/>
    <w:rsid w:val="003746B5"/>
    <w:rsid w:val="0038151A"/>
    <w:rsid w:val="0039082A"/>
    <w:rsid w:val="00390C21"/>
    <w:rsid w:val="003A37BD"/>
    <w:rsid w:val="003A6A43"/>
    <w:rsid w:val="003B6D94"/>
    <w:rsid w:val="003C0E02"/>
    <w:rsid w:val="003C4C96"/>
    <w:rsid w:val="003C526F"/>
    <w:rsid w:val="003C55E0"/>
    <w:rsid w:val="003C7E65"/>
    <w:rsid w:val="003D29EA"/>
    <w:rsid w:val="003D730C"/>
    <w:rsid w:val="003F46D9"/>
    <w:rsid w:val="003F519B"/>
    <w:rsid w:val="0040544F"/>
    <w:rsid w:val="00406A19"/>
    <w:rsid w:val="00411FC7"/>
    <w:rsid w:val="0041222D"/>
    <w:rsid w:val="0041483E"/>
    <w:rsid w:val="00415369"/>
    <w:rsid w:val="00430492"/>
    <w:rsid w:val="004329AA"/>
    <w:rsid w:val="00446ADD"/>
    <w:rsid w:val="004476CF"/>
    <w:rsid w:val="00450BE7"/>
    <w:rsid w:val="0045512F"/>
    <w:rsid w:val="00462E82"/>
    <w:rsid w:val="00465563"/>
    <w:rsid w:val="0046741E"/>
    <w:rsid w:val="004675D7"/>
    <w:rsid w:val="00472CC6"/>
    <w:rsid w:val="00474DCE"/>
    <w:rsid w:val="0048026E"/>
    <w:rsid w:val="004807A9"/>
    <w:rsid w:val="004813EE"/>
    <w:rsid w:val="004878A4"/>
    <w:rsid w:val="00493278"/>
    <w:rsid w:val="004943D9"/>
    <w:rsid w:val="004A0E7B"/>
    <w:rsid w:val="004A3498"/>
    <w:rsid w:val="004A4362"/>
    <w:rsid w:val="004A7340"/>
    <w:rsid w:val="004B0C45"/>
    <w:rsid w:val="004B0C6F"/>
    <w:rsid w:val="004B5845"/>
    <w:rsid w:val="004C0AB2"/>
    <w:rsid w:val="004C0F94"/>
    <w:rsid w:val="004C1619"/>
    <w:rsid w:val="004C1A26"/>
    <w:rsid w:val="004C1CC9"/>
    <w:rsid w:val="004C3755"/>
    <w:rsid w:val="004C4485"/>
    <w:rsid w:val="004C54FB"/>
    <w:rsid w:val="004D11AF"/>
    <w:rsid w:val="004D6FA7"/>
    <w:rsid w:val="004E019F"/>
    <w:rsid w:val="004E759E"/>
    <w:rsid w:val="00500DFA"/>
    <w:rsid w:val="005019AA"/>
    <w:rsid w:val="005021BB"/>
    <w:rsid w:val="00506831"/>
    <w:rsid w:val="005139E7"/>
    <w:rsid w:val="005147DA"/>
    <w:rsid w:val="00515FB5"/>
    <w:rsid w:val="0052365C"/>
    <w:rsid w:val="005271EB"/>
    <w:rsid w:val="00532E60"/>
    <w:rsid w:val="00533C31"/>
    <w:rsid w:val="005426DB"/>
    <w:rsid w:val="0055082B"/>
    <w:rsid w:val="00552503"/>
    <w:rsid w:val="00552B57"/>
    <w:rsid w:val="00553597"/>
    <w:rsid w:val="00557DA1"/>
    <w:rsid w:val="00563106"/>
    <w:rsid w:val="0056322C"/>
    <w:rsid w:val="00580B49"/>
    <w:rsid w:val="00581C11"/>
    <w:rsid w:val="00581E2C"/>
    <w:rsid w:val="0058666B"/>
    <w:rsid w:val="0058743A"/>
    <w:rsid w:val="0059078D"/>
    <w:rsid w:val="005A0811"/>
    <w:rsid w:val="005A406A"/>
    <w:rsid w:val="005A4DB0"/>
    <w:rsid w:val="005A7B8E"/>
    <w:rsid w:val="005B012B"/>
    <w:rsid w:val="005B0C87"/>
    <w:rsid w:val="005B226B"/>
    <w:rsid w:val="005B45EE"/>
    <w:rsid w:val="005B5614"/>
    <w:rsid w:val="005B6DE8"/>
    <w:rsid w:val="005D23F6"/>
    <w:rsid w:val="005D2FA8"/>
    <w:rsid w:val="005E2281"/>
    <w:rsid w:val="005E667C"/>
    <w:rsid w:val="005F077C"/>
    <w:rsid w:val="005F26B0"/>
    <w:rsid w:val="005F63D0"/>
    <w:rsid w:val="005F7973"/>
    <w:rsid w:val="005F7D55"/>
    <w:rsid w:val="00600BA0"/>
    <w:rsid w:val="0060470A"/>
    <w:rsid w:val="0061690E"/>
    <w:rsid w:val="00617DB3"/>
    <w:rsid w:val="0062457F"/>
    <w:rsid w:val="00627361"/>
    <w:rsid w:val="0063017E"/>
    <w:rsid w:val="00630253"/>
    <w:rsid w:val="00631B28"/>
    <w:rsid w:val="006355F3"/>
    <w:rsid w:val="0063599F"/>
    <w:rsid w:val="00637C07"/>
    <w:rsid w:val="00645B90"/>
    <w:rsid w:val="00646285"/>
    <w:rsid w:val="00650991"/>
    <w:rsid w:val="006511D7"/>
    <w:rsid w:val="0065376E"/>
    <w:rsid w:val="00654295"/>
    <w:rsid w:val="00663D75"/>
    <w:rsid w:val="00670AEF"/>
    <w:rsid w:val="00675678"/>
    <w:rsid w:val="00677012"/>
    <w:rsid w:val="006825B4"/>
    <w:rsid w:val="00682AF2"/>
    <w:rsid w:val="006864DF"/>
    <w:rsid w:val="006A0353"/>
    <w:rsid w:val="006A3C8A"/>
    <w:rsid w:val="006A7552"/>
    <w:rsid w:val="006B5953"/>
    <w:rsid w:val="006B7A81"/>
    <w:rsid w:val="006C1100"/>
    <w:rsid w:val="006C1FB5"/>
    <w:rsid w:val="006C4BAC"/>
    <w:rsid w:val="006C52F3"/>
    <w:rsid w:val="006D22E9"/>
    <w:rsid w:val="006D606C"/>
    <w:rsid w:val="006E7F37"/>
    <w:rsid w:val="006F3908"/>
    <w:rsid w:val="006F3B81"/>
    <w:rsid w:val="006F4F79"/>
    <w:rsid w:val="00705B37"/>
    <w:rsid w:val="00711FD9"/>
    <w:rsid w:val="00733A5E"/>
    <w:rsid w:val="00735062"/>
    <w:rsid w:val="007454CF"/>
    <w:rsid w:val="00746BA5"/>
    <w:rsid w:val="00747045"/>
    <w:rsid w:val="00751D23"/>
    <w:rsid w:val="00770577"/>
    <w:rsid w:val="007708AB"/>
    <w:rsid w:val="00771B6E"/>
    <w:rsid w:val="00777666"/>
    <w:rsid w:val="0078159B"/>
    <w:rsid w:val="00781A4E"/>
    <w:rsid w:val="00782E10"/>
    <w:rsid w:val="00785D59"/>
    <w:rsid w:val="00786EDD"/>
    <w:rsid w:val="0078706B"/>
    <w:rsid w:val="00790836"/>
    <w:rsid w:val="007933BA"/>
    <w:rsid w:val="00797131"/>
    <w:rsid w:val="007A3C1D"/>
    <w:rsid w:val="007B285D"/>
    <w:rsid w:val="007B314A"/>
    <w:rsid w:val="007C6BC6"/>
    <w:rsid w:val="007D1EF1"/>
    <w:rsid w:val="007D6537"/>
    <w:rsid w:val="007E0F25"/>
    <w:rsid w:val="00807D79"/>
    <w:rsid w:val="00812DDF"/>
    <w:rsid w:val="00813634"/>
    <w:rsid w:val="00822821"/>
    <w:rsid w:val="00831C29"/>
    <w:rsid w:val="00831D16"/>
    <w:rsid w:val="0083245C"/>
    <w:rsid w:val="00833719"/>
    <w:rsid w:val="0084255F"/>
    <w:rsid w:val="00842B9B"/>
    <w:rsid w:val="008431EF"/>
    <w:rsid w:val="00843F36"/>
    <w:rsid w:val="008468E0"/>
    <w:rsid w:val="00852A2B"/>
    <w:rsid w:val="00852C0C"/>
    <w:rsid w:val="0086565B"/>
    <w:rsid w:val="00871B59"/>
    <w:rsid w:val="00871FBD"/>
    <w:rsid w:val="008756E2"/>
    <w:rsid w:val="00877D03"/>
    <w:rsid w:val="00877E96"/>
    <w:rsid w:val="008806CA"/>
    <w:rsid w:val="00880FCF"/>
    <w:rsid w:val="008815E5"/>
    <w:rsid w:val="00887B37"/>
    <w:rsid w:val="008909B9"/>
    <w:rsid w:val="00891DFC"/>
    <w:rsid w:val="008A61E5"/>
    <w:rsid w:val="008B12B4"/>
    <w:rsid w:val="008B379C"/>
    <w:rsid w:val="008B7914"/>
    <w:rsid w:val="008C0B9F"/>
    <w:rsid w:val="008C5D2A"/>
    <w:rsid w:val="008C7AF4"/>
    <w:rsid w:val="008D529F"/>
    <w:rsid w:val="008D5F1C"/>
    <w:rsid w:val="008E189F"/>
    <w:rsid w:val="008F5CC8"/>
    <w:rsid w:val="009061B8"/>
    <w:rsid w:val="00906D73"/>
    <w:rsid w:val="0091008B"/>
    <w:rsid w:val="00911EA2"/>
    <w:rsid w:val="00916C7D"/>
    <w:rsid w:val="00923870"/>
    <w:rsid w:val="00923D18"/>
    <w:rsid w:val="0092575D"/>
    <w:rsid w:val="009341DA"/>
    <w:rsid w:val="009430F9"/>
    <w:rsid w:val="009442E8"/>
    <w:rsid w:val="00945544"/>
    <w:rsid w:val="00946BD0"/>
    <w:rsid w:val="009538E6"/>
    <w:rsid w:val="009540F5"/>
    <w:rsid w:val="0095426C"/>
    <w:rsid w:val="00962E82"/>
    <w:rsid w:val="00970087"/>
    <w:rsid w:val="00971074"/>
    <w:rsid w:val="00975547"/>
    <w:rsid w:val="00985E05"/>
    <w:rsid w:val="00995D86"/>
    <w:rsid w:val="009964FD"/>
    <w:rsid w:val="00996A17"/>
    <w:rsid w:val="00997620"/>
    <w:rsid w:val="009A0D89"/>
    <w:rsid w:val="009A2B22"/>
    <w:rsid w:val="009A5453"/>
    <w:rsid w:val="009B4D94"/>
    <w:rsid w:val="009B7BF5"/>
    <w:rsid w:val="009C11B5"/>
    <w:rsid w:val="009C2871"/>
    <w:rsid w:val="009C6A55"/>
    <w:rsid w:val="009D3062"/>
    <w:rsid w:val="009D3C33"/>
    <w:rsid w:val="009D7F3A"/>
    <w:rsid w:val="009E4885"/>
    <w:rsid w:val="009E49E0"/>
    <w:rsid w:val="009E5ED7"/>
    <w:rsid w:val="009F635A"/>
    <w:rsid w:val="00A03483"/>
    <w:rsid w:val="00A07DB6"/>
    <w:rsid w:val="00A10A73"/>
    <w:rsid w:val="00A170B3"/>
    <w:rsid w:val="00A20E07"/>
    <w:rsid w:val="00A223D5"/>
    <w:rsid w:val="00A3430B"/>
    <w:rsid w:val="00A36C49"/>
    <w:rsid w:val="00A37D1C"/>
    <w:rsid w:val="00A5453E"/>
    <w:rsid w:val="00A55D99"/>
    <w:rsid w:val="00A56F6C"/>
    <w:rsid w:val="00A66D6B"/>
    <w:rsid w:val="00A73FDC"/>
    <w:rsid w:val="00A76C8C"/>
    <w:rsid w:val="00A82A6D"/>
    <w:rsid w:val="00A85F30"/>
    <w:rsid w:val="00A9099E"/>
    <w:rsid w:val="00A91FB7"/>
    <w:rsid w:val="00A9298F"/>
    <w:rsid w:val="00AA0351"/>
    <w:rsid w:val="00AA5F4A"/>
    <w:rsid w:val="00AA6E98"/>
    <w:rsid w:val="00AB1984"/>
    <w:rsid w:val="00AB4DC1"/>
    <w:rsid w:val="00AB52B1"/>
    <w:rsid w:val="00AC4CB3"/>
    <w:rsid w:val="00AC780D"/>
    <w:rsid w:val="00AD036B"/>
    <w:rsid w:val="00AD1996"/>
    <w:rsid w:val="00AD4099"/>
    <w:rsid w:val="00AD4901"/>
    <w:rsid w:val="00AE49F4"/>
    <w:rsid w:val="00AE6333"/>
    <w:rsid w:val="00AF3C12"/>
    <w:rsid w:val="00B02FE0"/>
    <w:rsid w:val="00B057B6"/>
    <w:rsid w:val="00B11C5D"/>
    <w:rsid w:val="00B30448"/>
    <w:rsid w:val="00B32CE4"/>
    <w:rsid w:val="00B34786"/>
    <w:rsid w:val="00B35E0C"/>
    <w:rsid w:val="00B400EC"/>
    <w:rsid w:val="00B40162"/>
    <w:rsid w:val="00B41ACE"/>
    <w:rsid w:val="00B50156"/>
    <w:rsid w:val="00B518AD"/>
    <w:rsid w:val="00B55CB1"/>
    <w:rsid w:val="00B56EEB"/>
    <w:rsid w:val="00B60A96"/>
    <w:rsid w:val="00B678EC"/>
    <w:rsid w:val="00B76C94"/>
    <w:rsid w:val="00B772D0"/>
    <w:rsid w:val="00B836EA"/>
    <w:rsid w:val="00B84C05"/>
    <w:rsid w:val="00B91B81"/>
    <w:rsid w:val="00B97135"/>
    <w:rsid w:val="00BA5D9D"/>
    <w:rsid w:val="00BA76E7"/>
    <w:rsid w:val="00BB3072"/>
    <w:rsid w:val="00BC7632"/>
    <w:rsid w:val="00BD2224"/>
    <w:rsid w:val="00BD48A9"/>
    <w:rsid w:val="00BD630F"/>
    <w:rsid w:val="00BD7479"/>
    <w:rsid w:val="00BD7EC6"/>
    <w:rsid w:val="00BE73FA"/>
    <w:rsid w:val="00BF584F"/>
    <w:rsid w:val="00BF6B4B"/>
    <w:rsid w:val="00C00368"/>
    <w:rsid w:val="00C0511C"/>
    <w:rsid w:val="00C13516"/>
    <w:rsid w:val="00C20ACF"/>
    <w:rsid w:val="00C22307"/>
    <w:rsid w:val="00C23469"/>
    <w:rsid w:val="00C30C62"/>
    <w:rsid w:val="00C33BBB"/>
    <w:rsid w:val="00C371DF"/>
    <w:rsid w:val="00C42055"/>
    <w:rsid w:val="00C44B4C"/>
    <w:rsid w:val="00C46734"/>
    <w:rsid w:val="00C47A86"/>
    <w:rsid w:val="00C53220"/>
    <w:rsid w:val="00C56367"/>
    <w:rsid w:val="00C70533"/>
    <w:rsid w:val="00C74115"/>
    <w:rsid w:val="00C907BC"/>
    <w:rsid w:val="00C97B29"/>
    <w:rsid w:val="00CA3347"/>
    <w:rsid w:val="00CB3A68"/>
    <w:rsid w:val="00CB4170"/>
    <w:rsid w:val="00CB5E8F"/>
    <w:rsid w:val="00CC2303"/>
    <w:rsid w:val="00CC299A"/>
    <w:rsid w:val="00CD03E3"/>
    <w:rsid w:val="00CE2DC1"/>
    <w:rsid w:val="00CE4E5D"/>
    <w:rsid w:val="00CE6BDA"/>
    <w:rsid w:val="00CF39FE"/>
    <w:rsid w:val="00CF3E75"/>
    <w:rsid w:val="00D00574"/>
    <w:rsid w:val="00D03DBE"/>
    <w:rsid w:val="00D072C0"/>
    <w:rsid w:val="00D249A9"/>
    <w:rsid w:val="00D27680"/>
    <w:rsid w:val="00D34C82"/>
    <w:rsid w:val="00D3757A"/>
    <w:rsid w:val="00D504A9"/>
    <w:rsid w:val="00D5206D"/>
    <w:rsid w:val="00D5342D"/>
    <w:rsid w:val="00D53A50"/>
    <w:rsid w:val="00D56C94"/>
    <w:rsid w:val="00D6035F"/>
    <w:rsid w:val="00D711DC"/>
    <w:rsid w:val="00D7177D"/>
    <w:rsid w:val="00D731DF"/>
    <w:rsid w:val="00D807F9"/>
    <w:rsid w:val="00D81311"/>
    <w:rsid w:val="00D85D17"/>
    <w:rsid w:val="00DA215D"/>
    <w:rsid w:val="00DA47D2"/>
    <w:rsid w:val="00DA6492"/>
    <w:rsid w:val="00DB201E"/>
    <w:rsid w:val="00DB7519"/>
    <w:rsid w:val="00DC0E68"/>
    <w:rsid w:val="00DD25ED"/>
    <w:rsid w:val="00DD6018"/>
    <w:rsid w:val="00DD64B5"/>
    <w:rsid w:val="00DE0D6E"/>
    <w:rsid w:val="00DE0F54"/>
    <w:rsid w:val="00E1610C"/>
    <w:rsid w:val="00E16D73"/>
    <w:rsid w:val="00E23E9E"/>
    <w:rsid w:val="00E25722"/>
    <w:rsid w:val="00E27F0A"/>
    <w:rsid w:val="00E41DB7"/>
    <w:rsid w:val="00E4231E"/>
    <w:rsid w:val="00E4302C"/>
    <w:rsid w:val="00E4307F"/>
    <w:rsid w:val="00E43AE8"/>
    <w:rsid w:val="00E44AC7"/>
    <w:rsid w:val="00E45F4B"/>
    <w:rsid w:val="00E46B64"/>
    <w:rsid w:val="00E60A16"/>
    <w:rsid w:val="00E61334"/>
    <w:rsid w:val="00E61353"/>
    <w:rsid w:val="00E623AD"/>
    <w:rsid w:val="00E65C39"/>
    <w:rsid w:val="00E708F2"/>
    <w:rsid w:val="00E82B6E"/>
    <w:rsid w:val="00E84E3F"/>
    <w:rsid w:val="00E87DF6"/>
    <w:rsid w:val="00E94258"/>
    <w:rsid w:val="00E96C18"/>
    <w:rsid w:val="00E974C7"/>
    <w:rsid w:val="00EA2E61"/>
    <w:rsid w:val="00EA2EE2"/>
    <w:rsid w:val="00EA7D7F"/>
    <w:rsid w:val="00EB02F4"/>
    <w:rsid w:val="00EB1CB0"/>
    <w:rsid w:val="00EB289A"/>
    <w:rsid w:val="00EB2FA2"/>
    <w:rsid w:val="00EB44BF"/>
    <w:rsid w:val="00EB6051"/>
    <w:rsid w:val="00EB769A"/>
    <w:rsid w:val="00EC2173"/>
    <w:rsid w:val="00EC3A35"/>
    <w:rsid w:val="00ED1B73"/>
    <w:rsid w:val="00EE17F2"/>
    <w:rsid w:val="00EE3138"/>
    <w:rsid w:val="00EF2AC7"/>
    <w:rsid w:val="00EF3EF0"/>
    <w:rsid w:val="00EF400A"/>
    <w:rsid w:val="00EF6770"/>
    <w:rsid w:val="00EF6BE4"/>
    <w:rsid w:val="00EF6E5D"/>
    <w:rsid w:val="00F07764"/>
    <w:rsid w:val="00F12517"/>
    <w:rsid w:val="00F131DD"/>
    <w:rsid w:val="00F1357B"/>
    <w:rsid w:val="00F16083"/>
    <w:rsid w:val="00F16BA1"/>
    <w:rsid w:val="00F20B4C"/>
    <w:rsid w:val="00F21C8A"/>
    <w:rsid w:val="00F241FC"/>
    <w:rsid w:val="00F24435"/>
    <w:rsid w:val="00F26517"/>
    <w:rsid w:val="00F30C0F"/>
    <w:rsid w:val="00F314E8"/>
    <w:rsid w:val="00F323A2"/>
    <w:rsid w:val="00F33B57"/>
    <w:rsid w:val="00F33D5C"/>
    <w:rsid w:val="00F34E90"/>
    <w:rsid w:val="00F356D6"/>
    <w:rsid w:val="00F52B4C"/>
    <w:rsid w:val="00F53BE2"/>
    <w:rsid w:val="00F55684"/>
    <w:rsid w:val="00F64D5A"/>
    <w:rsid w:val="00F65758"/>
    <w:rsid w:val="00F709CD"/>
    <w:rsid w:val="00F87B4E"/>
    <w:rsid w:val="00F906F4"/>
    <w:rsid w:val="00F969A6"/>
    <w:rsid w:val="00FA0716"/>
    <w:rsid w:val="00FA22C3"/>
    <w:rsid w:val="00FA36AA"/>
    <w:rsid w:val="00FB4629"/>
    <w:rsid w:val="00FB6FB1"/>
    <w:rsid w:val="00FB7063"/>
    <w:rsid w:val="00FC0BAC"/>
    <w:rsid w:val="00FC0C09"/>
    <w:rsid w:val="00FC7056"/>
    <w:rsid w:val="00FD7F61"/>
    <w:rsid w:val="00FE1A00"/>
    <w:rsid w:val="00FE6BDD"/>
    <w:rsid w:val="00FF02B1"/>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7A6B"/>
  <w15:chartTrackingRefBased/>
  <w15:docId w15:val="{59F1895C-DE5F-435B-819C-6B2B4906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DC"/>
  </w:style>
  <w:style w:type="paragraph" w:styleId="Ttulo1">
    <w:name w:val="heading 1"/>
    <w:basedOn w:val="Normal"/>
    <w:link w:val="Ttulo1Car"/>
    <w:uiPriority w:val="1"/>
    <w:qFormat/>
    <w:rsid w:val="00E708F2"/>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CC2303"/>
    <w:pPr>
      <w:spacing w:line="240" w:lineRule="auto"/>
    </w:pPr>
    <w:rPr>
      <w:sz w:val="20"/>
      <w:szCs w:val="20"/>
    </w:rPr>
  </w:style>
  <w:style w:type="character" w:customStyle="1" w:styleId="TextocomentarioCar">
    <w:name w:val="Texto comentario Car"/>
    <w:basedOn w:val="Fuentedeprrafopredeter"/>
    <w:link w:val="Textocomentario"/>
    <w:uiPriority w:val="99"/>
    <w:rsid w:val="00CC2303"/>
    <w:rPr>
      <w:kern w:val="0"/>
      <w:sz w:val="20"/>
      <w:szCs w:val="20"/>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C2303"/>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082E4C"/>
    <w:pPr>
      <w:ind w:left="720"/>
      <w:contextualSpacing/>
    </w:pPr>
  </w:style>
  <w:style w:type="character" w:styleId="Refdecomentario">
    <w:name w:val="annotation reference"/>
    <w:basedOn w:val="Fuentedeprrafopredeter"/>
    <w:uiPriority w:val="99"/>
    <w:semiHidden/>
    <w:unhideWhenUsed/>
    <w:rsid w:val="00CC2303"/>
    <w:rPr>
      <w:sz w:val="16"/>
      <w:szCs w:val="16"/>
    </w:rPr>
  </w:style>
  <w:style w:type="character" w:styleId="Hipervnculo">
    <w:name w:val="Hyperlink"/>
    <w:basedOn w:val="Fuentedeprrafopredeter"/>
    <w:uiPriority w:val="99"/>
    <w:unhideWhenUsed/>
    <w:rsid w:val="00CC2303"/>
    <w:rPr>
      <w:color w:val="0563C1" w:themeColor="hyperlink"/>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C230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CC230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C2303"/>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customStyle="1" w:styleId="paragraph">
    <w:name w:val="paragraph"/>
    <w:basedOn w:val="Normal"/>
    <w:rsid w:val="00CC230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CC2303"/>
  </w:style>
  <w:style w:type="character" w:customStyle="1" w:styleId="eop">
    <w:name w:val="eop"/>
    <w:basedOn w:val="Fuentedeprrafopredeter"/>
    <w:rsid w:val="00CC2303"/>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1"/>
    <w:rsid w:val="00E61353"/>
  </w:style>
  <w:style w:type="character" w:styleId="Mencinsinresolver">
    <w:name w:val="Unresolved Mention"/>
    <w:basedOn w:val="Fuentedeprrafopredeter"/>
    <w:uiPriority w:val="99"/>
    <w:semiHidden/>
    <w:unhideWhenUsed/>
    <w:rsid w:val="000547BA"/>
    <w:rPr>
      <w:color w:val="605E5C"/>
      <w:shd w:val="clear" w:color="auto" w:fill="E1DFDD"/>
    </w:rPr>
  </w:style>
  <w:style w:type="character" w:styleId="Textoennegrita">
    <w:name w:val="Strong"/>
    <w:basedOn w:val="Fuentedeprrafopredeter"/>
    <w:uiPriority w:val="22"/>
    <w:qFormat/>
    <w:rsid w:val="000F556F"/>
    <w:rPr>
      <w:b/>
      <w:bCs/>
    </w:rPr>
  </w:style>
  <w:style w:type="character" w:customStyle="1" w:styleId="Hipervnculo1">
    <w:name w:val="Hipervínculo1"/>
    <w:basedOn w:val="Fuentedeprrafopredeter"/>
    <w:uiPriority w:val="99"/>
    <w:unhideWhenUsed/>
    <w:rsid w:val="00BF584F"/>
    <w:rPr>
      <w:color w:val="F2F2F2"/>
      <w:u w:val="single"/>
    </w:rPr>
  </w:style>
  <w:style w:type="paragraph" w:styleId="Encabezado">
    <w:name w:val="header"/>
    <w:basedOn w:val="Normal"/>
    <w:link w:val="EncabezadoCar"/>
    <w:uiPriority w:val="99"/>
    <w:unhideWhenUsed/>
    <w:rsid w:val="00E70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08F2"/>
    <w:rPr>
      <w:kern w:val="0"/>
      <w14:ligatures w14:val="none"/>
    </w:rPr>
  </w:style>
  <w:style w:type="paragraph" w:styleId="Piedepgina">
    <w:name w:val="footer"/>
    <w:basedOn w:val="Normal"/>
    <w:link w:val="PiedepginaCar"/>
    <w:uiPriority w:val="99"/>
    <w:unhideWhenUsed/>
    <w:rsid w:val="00E70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8F2"/>
    <w:rPr>
      <w:kern w:val="0"/>
      <w14:ligatures w14:val="none"/>
    </w:rPr>
  </w:style>
  <w:style w:type="character" w:customStyle="1" w:styleId="Ttulo1Car">
    <w:name w:val="Título 1 Car"/>
    <w:basedOn w:val="Fuentedeprrafopredeter"/>
    <w:link w:val="Ttulo1"/>
    <w:uiPriority w:val="1"/>
    <w:rsid w:val="00E708F2"/>
    <w:rPr>
      <w:rFonts w:ascii="Arial" w:eastAsia="Arial" w:hAnsi="Arial" w:cs="Arial"/>
      <w:b/>
      <w:bCs/>
      <w:kern w:val="0"/>
      <w:lang w:val="es-ES"/>
      <w14:ligatures w14:val="none"/>
    </w:rPr>
  </w:style>
  <w:style w:type="character" w:styleId="Hipervnculovisitado">
    <w:name w:val="FollowedHyperlink"/>
    <w:basedOn w:val="Fuentedeprrafopredeter"/>
    <w:uiPriority w:val="99"/>
    <w:semiHidden/>
    <w:unhideWhenUsed/>
    <w:rsid w:val="00E708F2"/>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E708F2"/>
    <w:rPr>
      <w:b/>
      <w:bCs/>
    </w:rPr>
  </w:style>
  <w:style w:type="character" w:customStyle="1" w:styleId="AsuntodelcomentarioCar">
    <w:name w:val="Asunto del comentario Car"/>
    <w:basedOn w:val="TextocomentarioCar"/>
    <w:link w:val="Asuntodelcomentario"/>
    <w:uiPriority w:val="99"/>
    <w:semiHidden/>
    <w:rsid w:val="00E708F2"/>
    <w:rPr>
      <w:b/>
      <w:bCs/>
      <w:kern w:val="0"/>
      <w:sz w:val="20"/>
      <w:szCs w:val="20"/>
      <w14:ligatures w14:val="none"/>
    </w:rPr>
  </w:style>
  <w:style w:type="paragraph" w:customStyle="1" w:styleId="Normal11pt">
    <w:name w:val="Normal + 11 pt"/>
    <w:aliases w:val="Negro,Justificado,Izquierda:  -0,95 cm,Derecha:  0,04 cm"/>
    <w:basedOn w:val="Normal"/>
    <w:uiPriority w:val="99"/>
    <w:rsid w:val="00E708F2"/>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E708F2"/>
    <w:pPr>
      <w:spacing w:after="0" w:line="240" w:lineRule="auto"/>
    </w:pPr>
  </w:style>
  <w:style w:type="character" w:customStyle="1" w:styleId="cf01">
    <w:name w:val="cf01"/>
    <w:basedOn w:val="Fuentedeprrafopredeter"/>
    <w:rsid w:val="00E708F2"/>
    <w:rPr>
      <w:rFonts w:ascii="Segoe UI" w:hAnsi="Segoe UI" w:cs="Segoe UI" w:hint="default"/>
      <w:i/>
      <w:iCs/>
      <w:sz w:val="18"/>
      <w:szCs w:val="18"/>
    </w:rPr>
  </w:style>
  <w:style w:type="character" w:styleId="nfasis">
    <w:name w:val="Emphasis"/>
    <w:basedOn w:val="Fuentedeprrafopredeter"/>
    <w:uiPriority w:val="20"/>
    <w:qFormat/>
    <w:rsid w:val="00E708F2"/>
    <w:rPr>
      <w:i/>
      <w:iCs/>
    </w:rPr>
  </w:style>
  <w:style w:type="paragraph" w:customStyle="1" w:styleId="Car1">
    <w:name w:val="Car1"/>
    <w:basedOn w:val="Normal"/>
    <w:next w:val="Textonotapie"/>
    <w:uiPriority w:val="99"/>
    <w:unhideWhenUsed/>
    <w:qFormat/>
    <w:rsid w:val="00E708F2"/>
    <w:pPr>
      <w:spacing w:after="0" w:line="240" w:lineRule="auto"/>
    </w:pPr>
    <w:rPr>
      <w:sz w:val="20"/>
      <w:szCs w:val="20"/>
      <w:lang w:val="es-MX"/>
    </w:rPr>
  </w:style>
  <w:style w:type="paragraph" w:customStyle="1" w:styleId="Cuadrculamedia1-nfasis21">
    <w:name w:val="Cuadrícula media 1 - Énfasis 21"/>
    <w:basedOn w:val="Normal"/>
    <w:uiPriority w:val="34"/>
    <w:qFormat/>
    <w:rsid w:val="00E708F2"/>
    <w:pPr>
      <w:ind w:left="720"/>
      <w:contextualSpacing/>
    </w:pPr>
    <w:rPr>
      <w:rFonts w:ascii="Calibri" w:eastAsia="Calibri" w:hAnsi="Calibri" w:cs="Times New Roman"/>
    </w:rPr>
  </w:style>
  <w:style w:type="paragraph" w:customStyle="1" w:styleId="Default">
    <w:name w:val="Default"/>
    <w:rsid w:val="00E708F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708F2"/>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E708F2"/>
    <w:rPr>
      <w:rFonts w:ascii="Geomanist" w:eastAsiaTheme="majorEastAsia" w:hAnsi="Geomanist" w:cstheme="majorBidi"/>
      <w:spacing w:val="-10"/>
      <w:kern w:val="28"/>
      <w:szCs w:val="56"/>
      <w:lang w:val="es-ES"/>
      <w14:ligatures w14:val="none"/>
    </w:rPr>
  </w:style>
  <w:style w:type="table" w:customStyle="1" w:styleId="Tablaconcuadrcula1">
    <w:name w:val="Tabla con cuadrícula1"/>
    <w:basedOn w:val="Tablanormal"/>
    <w:next w:val="Tablaconcuadrcula"/>
    <w:uiPriority w:val="59"/>
    <w:qFormat/>
    <w:rsid w:val="00E7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08F2"/>
  </w:style>
  <w:style w:type="table" w:customStyle="1" w:styleId="TableNormal">
    <w:name w:val="Table Normal"/>
    <w:uiPriority w:val="2"/>
    <w:semiHidden/>
    <w:unhideWhenUsed/>
    <w:qFormat/>
    <w:rsid w:val="00E708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08F2"/>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E7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0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0117">
      <w:bodyDiv w:val="1"/>
      <w:marLeft w:val="0"/>
      <w:marRight w:val="0"/>
      <w:marTop w:val="0"/>
      <w:marBottom w:val="0"/>
      <w:divBdr>
        <w:top w:val="none" w:sz="0" w:space="0" w:color="auto"/>
        <w:left w:val="none" w:sz="0" w:space="0" w:color="auto"/>
        <w:bottom w:val="none" w:sz="0" w:space="0" w:color="auto"/>
        <w:right w:val="none" w:sz="0" w:space="0" w:color="auto"/>
      </w:divBdr>
    </w:div>
    <w:div w:id="84960603">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319307827">
      <w:bodyDiv w:val="1"/>
      <w:marLeft w:val="0"/>
      <w:marRight w:val="0"/>
      <w:marTop w:val="0"/>
      <w:marBottom w:val="0"/>
      <w:divBdr>
        <w:top w:val="none" w:sz="0" w:space="0" w:color="auto"/>
        <w:left w:val="none" w:sz="0" w:space="0" w:color="auto"/>
        <w:bottom w:val="none" w:sz="0" w:space="0" w:color="auto"/>
        <w:right w:val="none" w:sz="0" w:space="0" w:color="auto"/>
      </w:divBdr>
    </w:div>
    <w:div w:id="350956390">
      <w:bodyDiv w:val="1"/>
      <w:marLeft w:val="0"/>
      <w:marRight w:val="0"/>
      <w:marTop w:val="0"/>
      <w:marBottom w:val="0"/>
      <w:divBdr>
        <w:top w:val="none" w:sz="0" w:space="0" w:color="auto"/>
        <w:left w:val="none" w:sz="0" w:space="0" w:color="auto"/>
        <w:bottom w:val="none" w:sz="0" w:space="0" w:color="auto"/>
        <w:right w:val="none" w:sz="0" w:space="0" w:color="auto"/>
      </w:divBdr>
    </w:div>
    <w:div w:id="417599723">
      <w:bodyDiv w:val="1"/>
      <w:marLeft w:val="0"/>
      <w:marRight w:val="0"/>
      <w:marTop w:val="0"/>
      <w:marBottom w:val="0"/>
      <w:divBdr>
        <w:top w:val="none" w:sz="0" w:space="0" w:color="auto"/>
        <w:left w:val="none" w:sz="0" w:space="0" w:color="auto"/>
        <w:bottom w:val="none" w:sz="0" w:space="0" w:color="auto"/>
        <w:right w:val="none" w:sz="0" w:space="0" w:color="auto"/>
      </w:divBdr>
    </w:div>
    <w:div w:id="486168760">
      <w:bodyDiv w:val="1"/>
      <w:marLeft w:val="0"/>
      <w:marRight w:val="0"/>
      <w:marTop w:val="0"/>
      <w:marBottom w:val="0"/>
      <w:divBdr>
        <w:top w:val="none" w:sz="0" w:space="0" w:color="auto"/>
        <w:left w:val="none" w:sz="0" w:space="0" w:color="auto"/>
        <w:bottom w:val="none" w:sz="0" w:space="0" w:color="auto"/>
        <w:right w:val="none" w:sz="0" w:space="0" w:color="auto"/>
      </w:divBdr>
    </w:div>
    <w:div w:id="566647665">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2640115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069812378">
      <w:bodyDiv w:val="1"/>
      <w:marLeft w:val="0"/>
      <w:marRight w:val="0"/>
      <w:marTop w:val="0"/>
      <w:marBottom w:val="0"/>
      <w:divBdr>
        <w:top w:val="none" w:sz="0" w:space="0" w:color="auto"/>
        <w:left w:val="none" w:sz="0" w:space="0" w:color="auto"/>
        <w:bottom w:val="none" w:sz="0" w:space="0" w:color="auto"/>
        <w:right w:val="none" w:sz="0" w:space="0" w:color="auto"/>
      </w:divBdr>
    </w:div>
    <w:div w:id="1185053632">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685210265">
      <w:bodyDiv w:val="1"/>
      <w:marLeft w:val="0"/>
      <w:marRight w:val="0"/>
      <w:marTop w:val="0"/>
      <w:marBottom w:val="0"/>
      <w:divBdr>
        <w:top w:val="none" w:sz="0" w:space="0" w:color="auto"/>
        <w:left w:val="none" w:sz="0" w:space="0" w:color="auto"/>
        <w:bottom w:val="none" w:sz="0" w:space="0" w:color="auto"/>
        <w:right w:val="none" w:sz="0" w:space="0" w:color="auto"/>
      </w:divBdr>
    </w:div>
    <w:div w:id="1831558574">
      <w:bodyDiv w:val="1"/>
      <w:marLeft w:val="0"/>
      <w:marRight w:val="0"/>
      <w:marTop w:val="0"/>
      <w:marBottom w:val="0"/>
      <w:divBdr>
        <w:top w:val="none" w:sz="0" w:space="0" w:color="auto"/>
        <w:left w:val="none" w:sz="0" w:space="0" w:color="auto"/>
        <w:bottom w:val="none" w:sz="0" w:space="0" w:color="auto"/>
        <w:right w:val="none" w:sz="0" w:space="0" w:color="auto"/>
      </w:divBdr>
    </w:div>
    <w:div w:id="1848861651">
      <w:bodyDiv w:val="1"/>
      <w:marLeft w:val="0"/>
      <w:marRight w:val="0"/>
      <w:marTop w:val="0"/>
      <w:marBottom w:val="0"/>
      <w:divBdr>
        <w:top w:val="none" w:sz="0" w:space="0" w:color="auto"/>
        <w:left w:val="none" w:sz="0" w:space="0" w:color="auto"/>
        <w:bottom w:val="none" w:sz="0" w:space="0" w:color="auto"/>
        <w:right w:val="none" w:sz="0" w:space="0" w:color="auto"/>
      </w:divBdr>
    </w:div>
    <w:div w:id="18723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decreto-1068-de-2015/" TargetMode="External"/><Relationship Id="rId18" Type="http://schemas.openxmlformats.org/officeDocument/2006/relationships/hyperlink" Target="https://nam02.safelinks.protection.outlook.com/?url=https%3A%2F%2Fwww.colombiacompra.gov.co%2Fsala-de-prensa%2Fboletin-digital%2Fboletin-de-relatoria-2024-iv&amp;data=05%7C02%7Csantiago.herrera%40colombiacompra.gov.co%7C616b83c3423e4d31151908dce489c00d%7C7b09041e245149d08cb179d5e3d8c1be%7C0%7C0%7C638636527542139879%7CUnknown%7CTWFpbGZsb3d8eyJWIjoiMC4wLjAwMDAiLCJQIjoiV2luMzIiLCJBTiI6Ik1haWwiLCJXVCI6Mn0%3D%7C0%7C%7C%7C&amp;sdata=cTSoqYrgsA%2B1ozYbYaBk7O2UAo9X4MVYRRCSbT9O8xc%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ERONICAVILLADA07@GMAIL.COM" TargetMode="External"/><Relationship Id="rId17" Type="http://schemas.openxmlformats.org/officeDocument/2006/relationships/hyperlink" Target="https://relatoria.colombiacompra.gov.co/" TargetMode="External"/><Relationship Id="rId2" Type="http://schemas.openxmlformats.org/officeDocument/2006/relationships/customXml" Target="../customXml/item2.xml"/><Relationship Id="rId16" Type="http://schemas.openxmlformats.org/officeDocument/2006/relationships/hyperlink" Target="https://www.colombiacompra.gov.co/sites/cce_public/files/cce_documents/cce-eicp-gi-23_guia_contratacion_prestacion_de_servicios_v1_11-07-2023_def_1_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ites/cce_public/files/cce_documents/cceeicpgi23_guia_contratacion_prestacion_de_servicios_v1_11-07-2023_def_1_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A025E31-9F18-420E-9797-93235E386B98}">
  <ds:schemaRefs>
    <ds:schemaRef ds:uri="http://schemas.openxmlformats.org/officeDocument/2006/bibliography"/>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17</Pages>
  <Words>4386</Words>
  <Characters>24128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Gloria Ximena Moreno Guio</cp:lastModifiedBy>
  <cp:revision>134</cp:revision>
  <dcterms:created xsi:type="dcterms:W3CDTF">2024-08-08T21:12:00Z</dcterms:created>
  <dcterms:modified xsi:type="dcterms:W3CDTF">2024-10-23T20:20:00Z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