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C6C87" w:rsidP="00E80F98" w:rsidRDefault="00BC6C87" w14:paraId="392414A3" w14:textId="77777777">
      <w:pPr>
        <w:spacing w:after="0" w:line="240" w:lineRule="auto"/>
        <w:rPr>
          <w:rFonts w:ascii="Verdana" w:hAnsi="Verdana" w:eastAsia="Geomanist Light" w:cs="Arial"/>
          <w:lang w:val="es-MX"/>
        </w:rPr>
      </w:pPr>
    </w:p>
    <w:p w:rsidR="00BC6C87" w:rsidP="00E80F98" w:rsidRDefault="00BC6C87" w14:paraId="6D6EFBEB" w14:textId="77777777">
      <w:pPr>
        <w:spacing w:after="0" w:line="240" w:lineRule="auto"/>
        <w:rPr>
          <w:rFonts w:ascii="Verdana" w:hAnsi="Verdana" w:eastAsia="Geomanist Light" w:cs="Arial"/>
          <w:lang w:val="es-MX"/>
        </w:rPr>
      </w:pPr>
    </w:p>
    <w:p w:rsidR="00BC6C87" w:rsidP="00E80F98" w:rsidRDefault="00BC6C87" w14:paraId="415A6892" w14:textId="77777777">
      <w:pPr>
        <w:spacing w:after="0" w:line="240" w:lineRule="auto"/>
        <w:rPr>
          <w:rFonts w:ascii="Verdana" w:hAnsi="Verdana" w:eastAsia="Geomanist Light" w:cs="Arial"/>
          <w:lang w:val="es-MX"/>
        </w:rPr>
      </w:pPr>
    </w:p>
    <w:p w:rsidRPr="00BC6C87" w:rsidR="00BC6C87" w:rsidP="00BC6C87" w:rsidRDefault="00BC6C87" w14:paraId="36889746" w14:textId="77777777">
      <w:pPr>
        <w:spacing w:after="0" w:line="240" w:lineRule="auto"/>
        <w:jc w:val="both"/>
        <w:rPr>
          <w:rFonts w:ascii="Verdana" w:hAnsi="Verdana" w:eastAsia="Geomanist Light" w:cs="Arial"/>
          <w:b/>
          <w:lang w:val="es-ES_tradnl"/>
        </w:rPr>
      </w:pPr>
      <w:r w:rsidRPr="00BC6C87">
        <w:rPr>
          <w:rFonts w:ascii="Verdana" w:hAnsi="Verdana" w:eastAsia="Geomanist Light" w:cs="Arial"/>
          <w:b/>
          <w:lang w:val="es-ES_tradnl"/>
        </w:rPr>
        <w:t xml:space="preserve">LIQUIDACIÓN DEL CONTRATO – Definición – Objetivo </w:t>
      </w:r>
    </w:p>
    <w:p w:rsidRPr="00BC6C87" w:rsidR="00BC6C87" w:rsidP="00BC6C87" w:rsidRDefault="00BC6C87" w14:paraId="31201A11" w14:textId="77777777">
      <w:pPr>
        <w:spacing w:after="0" w:line="240" w:lineRule="auto"/>
        <w:jc w:val="both"/>
        <w:rPr>
          <w:rFonts w:ascii="Verdana" w:hAnsi="Verdana" w:eastAsia="Geomanist Light" w:cs="Arial"/>
          <w:b/>
          <w:lang w:val="es-ES_tradnl"/>
        </w:rPr>
      </w:pPr>
    </w:p>
    <w:p w:rsidRPr="00BC6C87" w:rsidR="00BC6C87" w:rsidP="7F41951F" w:rsidRDefault="00BC6C87" w14:paraId="3794DC83" w14:textId="77777777" w14:noSpellErr="1">
      <w:pPr>
        <w:spacing w:after="0" w:line="240" w:lineRule="auto"/>
        <w:jc w:val="both"/>
        <w:rPr>
          <w:rFonts w:ascii="Verdana" w:hAnsi="Verdana" w:eastAsia="Geomanist Light" w:cs="Arial"/>
          <w:lang w:val="es-ES"/>
        </w:rPr>
      </w:pPr>
      <w:r w:rsidRPr="7F41951F" w:rsidR="00BC6C87">
        <w:rPr>
          <w:rFonts w:ascii="Verdana" w:hAnsi="Verdana" w:eastAsia="Geomanist Light" w:cs="Arial"/>
          <w:lang w:val="es-ES"/>
        </w:rPr>
        <w:t xml:space="preserve">La liquidación del contrato estatal es el ajuste de cuentas en el cual se realiza un balance económico, técnico y jurídico del negocio. Así lo manifestó el Consejo de Estado en la sentencia del 20 de octubre de 2014, en la que consideró, por un lado, que </w:t>
      </w:r>
      <w:r w:rsidRPr="7F41951F" w:rsidR="00BC6C87">
        <w:rPr>
          <w:rFonts w:ascii="Verdana" w:hAnsi="Verdana" w:eastAsia="Geomanist Light" w:cs="Arial"/>
          <w:i w:val="1"/>
          <w:iCs w:val="1"/>
          <w:lang w:val="es-ES"/>
        </w:rPr>
        <w:t>liquidar</w:t>
      </w:r>
      <w:r w:rsidRPr="7F41951F" w:rsidR="00BC6C87">
        <w:rPr>
          <w:rFonts w:ascii="Verdana" w:hAnsi="Verdana" w:eastAsia="Geomanist Light" w:cs="Arial"/>
          <w:lang w:val="es-ES"/>
        </w:rPr>
        <w:t xml:space="preserve"> supone un ajuste en relación con las cuentas y el estado de cumplimiento del contrato estatal y, por otro, que la </w:t>
      </w:r>
      <w:r w:rsidRPr="7F41951F" w:rsidR="00BC6C87">
        <w:rPr>
          <w:rFonts w:ascii="Verdana" w:hAnsi="Verdana" w:eastAsia="Geomanist Light" w:cs="Arial"/>
          <w:i w:val="1"/>
          <w:iCs w:val="1"/>
          <w:lang w:val="es-ES"/>
        </w:rPr>
        <w:t>liquidación</w:t>
      </w:r>
      <w:r w:rsidRPr="7F41951F" w:rsidR="00BC6C87">
        <w:rPr>
          <w:rFonts w:ascii="Verdana" w:hAnsi="Verdana" w:eastAsia="Geomanist Light" w:cs="Arial"/>
          <w:lang w:val="es-ES"/>
        </w:rPr>
        <w:t xml:space="preserve"> debe incluir el análisis de las condiciones de calidad y oportunidad en la entrega de los bienes, obras o servicios, así como el balance económico y el comportamiento financiero del negocio.</w:t>
      </w:r>
    </w:p>
    <w:p w:rsidR="00BC6C87" w:rsidP="00E80F98" w:rsidRDefault="00BC6C87" w14:paraId="4414EFF4" w14:textId="77777777">
      <w:pPr>
        <w:spacing w:after="0" w:line="240" w:lineRule="auto"/>
        <w:rPr>
          <w:rFonts w:ascii="Verdana" w:hAnsi="Verdana" w:eastAsia="Geomanist Light" w:cs="Arial"/>
          <w:lang w:val="es-MX"/>
        </w:rPr>
      </w:pPr>
    </w:p>
    <w:p w:rsidR="00BC6C87" w:rsidP="00E80F98" w:rsidRDefault="00BC6C87" w14:paraId="0E0A2E54" w14:textId="77777777">
      <w:pPr>
        <w:spacing w:after="0" w:line="240" w:lineRule="auto"/>
        <w:rPr>
          <w:rFonts w:ascii="Verdana" w:hAnsi="Verdana" w:eastAsia="Geomanist Light" w:cs="Arial"/>
          <w:lang w:val="es-MX"/>
        </w:rPr>
      </w:pPr>
    </w:p>
    <w:p w:rsidR="00BC6C87" w:rsidP="00E80F98" w:rsidRDefault="00BC6C87" w14:paraId="1345E141" w14:textId="77777777">
      <w:pPr>
        <w:spacing w:after="0" w:line="240" w:lineRule="auto"/>
        <w:rPr>
          <w:rFonts w:ascii="Verdana" w:hAnsi="Verdana" w:eastAsia="Geomanist Light" w:cs="Arial"/>
          <w:lang w:val="es-MX"/>
        </w:rPr>
      </w:pPr>
    </w:p>
    <w:p w:rsidR="00BC6C87" w:rsidP="00E80F98" w:rsidRDefault="00BC6C87" w14:paraId="60EC2386" w14:textId="77777777">
      <w:pPr>
        <w:spacing w:after="0" w:line="240" w:lineRule="auto"/>
        <w:rPr>
          <w:rFonts w:ascii="Verdana" w:hAnsi="Verdana" w:eastAsia="Geomanist Light" w:cs="Arial"/>
          <w:lang w:val="es-MX"/>
        </w:rPr>
      </w:pPr>
    </w:p>
    <w:p w:rsidR="00BC6C87" w:rsidP="00E80F98" w:rsidRDefault="00BC6C87" w14:paraId="675E9D54" w14:textId="77777777">
      <w:pPr>
        <w:spacing w:after="0" w:line="240" w:lineRule="auto"/>
        <w:rPr>
          <w:rFonts w:ascii="Verdana" w:hAnsi="Verdana" w:eastAsia="Geomanist Light" w:cs="Arial"/>
          <w:lang w:val="es-MX"/>
        </w:rPr>
      </w:pPr>
    </w:p>
    <w:p w:rsidR="00BC6C87" w:rsidP="00E80F98" w:rsidRDefault="00BC6C87" w14:paraId="63F5FE04" w14:textId="77777777">
      <w:pPr>
        <w:spacing w:after="0" w:line="240" w:lineRule="auto"/>
        <w:rPr>
          <w:rFonts w:ascii="Verdana" w:hAnsi="Verdana" w:eastAsia="Geomanist Light" w:cs="Arial"/>
          <w:lang w:val="es-MX"/>
        </w:rPr>
      </w:pPr>
    </w:p>
    <w:p w:rsidR="00BC6C87" w:rsidP="00E80F98" w:rsidRDefault="00BC6C87" w14:paraId="0C9F96EA" w14:textId="77777777">
      <w:pPr>
        <w:spacing w:after="0" w:line="240" w:lineRule="auto"/>
        <w:rPr>
          <w:rFonts w:ascii="Verdana" w:hAnsi="Verdana" w:eastAsia="Geomanist Light" w:cs="Arial"/>
          <w:lang w:val="es-MX"/>
        </w:rPr>
      </w:pPr>
    </w:p>
    <w:p w:rsidR="00BC6C87" w:rsidP="00E80F98" w:rsidRDefault="00BC6C87" w14:paraId="3B1D385F" w14:textId="77777777">
      <w:pPr>
        <w:spacing w:after="0" w:line="240" w:lineRule="auto"/>
        <w:rPr>
          <w:rFonts w:ascii="Verdana" w:hAnsi="Verdana" w:eastAsia="Geomanist Light" w:cs="Arial"/>
          <w:lang w:val="es-MX"/>
        </w:rPr>
      </w:pPr>
    </w:p>
    <w:p w:rsidR="00BC6C87" w:rsidP="00E80F98" w:rsidRDefault="00BC6C87" w14:paraId="3A762749" w14:textId="77777777">
      <w:pPr>
        <w:spacing w:after="0" w:line="240" w:lineRule="auto"/>
        <w:rPr>
          <w:rFonts w:ascii="Verdana" w:hAnsi="Verdana" w:eastAsia="Geomanist Light" w:cs="Arial"/>
          <w:lang w:val="es-MX"/>
        </w:rPr>
      </w:pPr>
    </w:p>
    <w:p w:rsidR="00BC6C87" w:rsidP="00E80F98" w:rsidRDefault="00BC6C87" w14:paraId="353F1C9D" w14:textId="77777777">
      <w:pPr>
        <w:spacing w:after="0" w:line="240" w:lineRule="auto"/>
        <w:rPr>
          <w:rFonts w:ascii="Verdana" w:hAnsi="Verdana" w:eastAsia="Geomanist Light" w:cs="Arial"/>
          <w:lang w:val="es-MX"/>
        </w:rPr>
      </w:pPr>
    </w:p>
    <w:p w:rsidR="00BC6C87" w:rsidP="00E80F98" w:rsidRDefault="00BC6C87" w14:paraId="2485A597" w14:textId="77777777">
      <w:pPr>
        <w:spacing w:after="0" w:line="240" w:lineRule="auto"/>
        <w:rPr>
          <w:rFonts w:ascii="Verdana" w:hAnsi="Verdana" w:eastAsia="Geomanist Light" w:cs="Arial"/>
          <w:lang w:val="es-MX"/>
        </w:rPr>
      </w:pPr>
    </w:p>
    <w:p w:rsidR="00BC6C87" w:rsidP="00E80F98" w:rsidRDefault="00BC6C87" w14:paraId="28269F8D" w14:textId="77777777">
      <w:pPr>
        <w:spacing w:after="0" w:line="240" w:lineRule="auto"/>
        <w:rPr>
          <w:rFonts w:ascii="Verdana" w:hAnsi="Verdana" w:eastAsia="Geomanist Light" w:cs="Arial"/>
          <w:lang w:val="es-MX"/>
        </w:rPr>
      </w:pPr>
    </w:p>
    <w:p w:rsidR="00BC6C87" w:rsidP="00E80F98" w:rsidRDefault="00BC6C87" w14:paraId="2C4DFE43" w14:textId="77777777">
      <w:pPr>
        <w:spacing w:after="0" w:line="240" w:lineRule="auto"/>
        <w:rPr>
          <w:rFonts w:ascii="Verdana" w:hAnsi="Verdana" w:eastAsia="Geomanist Light" w:cs="Arial"/>
          <w:lang w:val="es-MX"/>
        </w:rPr>
      </w:pPr>
    </w:p>
    <w:p w:rsidR="00BC6C87" w:rsidP="00E80F98" w:rsidRDefault="00BC6C87" w14:paraId="35E290B2" w14:textId="77777777">
      <w:pPr>
        <w:spacing w:after="0" w:line="240" w:lineRule="auto"/>
        <w:rPr>
          <w:rFonts w:ascii="Verdana" w:hAnsi="Verdana" w:eastAsia="Geomanist Light" w:cs="Arial"/>
          <w:lang w:val="es-MX"/>
        </w:rPr>
      </w:pPr>
    </w:p>
    <w:p w:rsidR="00BC6C87" w:rsidP="00E80F98" w:rsidRDefault="00BC6C87" w14:paraId="5AA11861" w14:textId="77777777">
      <w:pPr>
        <w:spacing w:after="0" w:line="240" w:lineRule="auto"/>
        <w:rPr>
          <w:rFonts w:ascii="Verdana" w:hAnsi="Verdana" w:eastAsia="Geomanist Light" w:cs="Arial"/>
          <w:lang w:val="es-MX"/>
        </w:rPr>
      </w:pPr>
    </w:p>
    <w:p w:rsidR="00BC6C87" w:rsidP="00E80F98" w:rsidRDefault="00BC6C87" w14:paraId="0347A72F" w14:textId="77777777">
      <w:pPr>
        <w:spacing w:after="0" w:line="240" w:lineRule="auto"/>
        <w:rPr>
          <w:rFonts w:ascii="Verdana" w:hAnsi="Verdana" w:eastAsia="Geomanist Light" w:cs="Arial"/>
          <w:lang w:val="es-MX"/>
        </w:rPr>
      </w:pPr>
    </w:p>
    <w:p w:rsidR="00BC6C87" w:rsidP="00E80F98" w:rsidRDefault="00BC6C87" w14:paraId="721A9760" w14:textId="77777777">
      <w:pPr>
        <w:spacing w:after="0" w:line="240" w:lineRule="auto"/>
        <w:rPr>
          <w:rFonts w:ascii="Verdana" w:hAnsi="Verdana" w:eastAsia="Geomanist Light" w:cs="Arial"/>
          <w:lang w:val="es-MX"/>
        </w:rPr>
      </w:pPr>
    </w:p>
    <w:p w:rsidR="00BC6C87" w:rsidP="00E80F98" w:rsidRDefault="00BC6C87" w14:paraId="66FC0C68" w14:textId="77777777">
      <w:pPr>
        <w:spacing w:after="0" w:line="240" w:lineRule="auto"/>
        <w:rPr>
          <w:rFonts w:ascii="Verdana" w:hAnsi="Verdana" w:eastAsia="Geomanist Light" w:cs="Arial"/>
          <w:lang w:val="es-MX"/>
        </w:rPr>
      </w:pPr>
    </w:p>
    <w:p w:rsidR="00BC6C87" w:rsidP="00E80F98" w:rsidRDefault="00BC6C87" w14:paraId="13C837FA" w14:textId="77777777">
      <w:pPr>
        <w:spacing w:after="0" w:line="240" w:lineRule="auto"/>
        <w:rPr>
          <w:rFonts w:ascii="Verdana" w:hAnsi="Verdana" w:eastAsia="Geomanist Light" w:cs="Arial"/>
          <w:lang w:val="es-MX"/>
        </w:rPr>
      </w:pPr>
    </w:p>
    <w:p w:rsidR="00BC6C87" w:rsidP="00E80F98" w:rsidRDefault="00BC6C87" w14:paraId="4FD1AC7D" w14:textId="77777777">
      <w:pPr>
        <w:spacing w:after="0" w:line="240" w:lineRule="auto"/>
        <w:rPr>
          <w:rFonts w:ascii="Verdana" w:hAnsi="Verdana" w:eastAsia="Geomanist Light" w:cs="Arial"/>
          <w:lang w:val="es-MX"/>
        </w:rPr>
      </w:pPr>
    </w:p>
    <w:p w:rsidR="00BC6C87" w:rsidP="00E80F98" w:rsidRDefault="00BC6C87" w14:paraId="721E635A" w14:textId="77777777">
      <w:pPr>
        <w:spacing w:after="0" w:line="240" w:lineRule="auto"/>
        <w:rPr>
          <w:rFonts w:ascii="Verdana" w:hAnsi="Verdana" w:eastAsia="Geomanist Light" w:cs="Arial"/>
          <w:lang w:val="es-MX"/>
        </w:rPr>
      </w:pPr>
    </w:p>
    <w:p w:rsidR="00BC6C87" w:rsidP="00E80F98" w:rsidRDefault="00BC6C87" w14:paraId="4706BD70" w14:textId="77777777">
      <w:pPr>
        <w:spacing w:after="0" w:line="240" w:lineRule="auto"/>
        <w:rPr>
          <w:rFonts w:ascii="Verdana" w:hAnsi="Verdana" w:eastAsia="Geomanist Light" w:cs="Arial"/>
          <w:lang w:val="es-MX"/>
        </w:rPr>
      </w:pPr>
    </w:p>
    <w:p w:rsidR="00BC6C87" w:rsidP="00E80F98" w:rsidRDefault="00BC6C87" w14:paraId="1CEC5E66" w14:textId="77777777">
      <w:pPr>
        <w:spacing w:after="0" w:line="240" w:lineRule="auto"/>
        <w:rPr>
          <w:rFonts w:ascii="Verdana" w:hAnsi="Verdana" w:eastAsia="Geomanist Light" w:cs="Arial"/>
          <w:lang w:val="es-MX"/>
        </w:rPr>
      </w:pPr>
    </w:p>
    <w:p w:rsidR="00BC6C87" w:rsidP="00E80F98" w:rsidRDefault="00BC6C87" w14:paraId="743F721E" w14:textId="77777777">
      <w:pPr>
        <w:spacing w:after="0" w:line="240" w:lineRule="auto"/>
        <w:rPr>
          <w:rFonts w:ascii="Verdana" w:hAnsi="Verdana" w:eastAsia="Geomanist Light" w:cs="Arial"/>
          <w:lang w:val="es-MX"/>
        </w:rPr>
      </w:pPr>
    </w:p>
    <w:p w:rsidR="00BC6C87" w:rsidP="00E80F98" w:rsidRDefault="00BC6C87" w14:paraId="3545F080" w14:textId="77777777">
      <w:pPr>
        <w:spacing w:after="0" w:line="240" w:lineRule="auto"/>
        <w:rPr>
          <w:rFonts w:ascii="Verdana" w:hAnsi="Verdana" w:eastAsia="Geomanist Light" w:cs="Arial"/>
          <w:lang w:val="es-MX"/>
        </w:rPr>
      </w:pPr>
    </w:p>
    <w:p w:rsidR="00BC6C87" w:rsidP="00E80F98" w:rsidRDefault="00BC6C87" w14:paraId="3A966F57" w14:textId="77777777">
      <w:pPr>
        <w:spacing w:after="0" w:line="240" w:lineRule="auto"/>
        <w:rPr>
          <w:rFonts w:ascii="Verdana" w:hAnsi="Verdana" w:eastAsia="Geomanist Light" w:cs="Arial"/>
          <w:lang w:val="es-MX"/>
        </w:rPr>
      </w:pPr>
    </w:p>
    <w:p w:rsidR="00BC6C87" w:rsidP="00E80F98" w:rsidRDefault="00BC6C87" w14:paraId="3B911060" w14:textId="77777777">
      <w:pPr>
        <w:spacing w:after="0" w:line="240" w:lineRule="auto"/>
        <w:rPr>
          <w:rFonts w:ascii="Verdana" w:hAnsi="Verdana" w:eastAsia="Geomanist Light" w:cs="Arial"/>
          <w:lang w:val="es-MX"/>
        </w:rPr>
      </w:pPr>
    </w:p>
    <w:p w:rsidR="00BC6C87" w:rsidP="00E80F98" w:rsidRDefault="00BC6C87" w14:paraId="4CC1991E" w14:textId="77777777">
      <w:pPr>
        <w:spacing w:after="0" w:line="240" w:lineRule="auto"/>
        <w:rPr>
          <w:rFonts w:ascii="Verdana" w:hAnsi="Verdana" w:eastAsia="Geomanist Light" w:cs="Arial"/>
          <w:lang w:val="es-MX"/>
        </w:rPr>
      </w:pPr>
    </w:p>
    <w:p w:rsidR="00BC6C87" w:rsidP="00E80F98" w:rsidRDefault="00BC6C87" w14:paraId="5D39F4CC" w14:textId="77777777">
      <w:pPr>
        <w:spacing w:after="0" w:line="240" w:lineRule="auto"/>
        <w:rPr>
          <w:rFonts w:ascii="Verdana" w:hAnsi="Verdana" w:eastAsia="Geomanist Light" w:cs="Arial"/>
          <w:lang w:val="es-MX"/>
        </w:rPr>
      </w:pPr>
    </w:p>
    <w:p w:rsidR="00BC6C87" w:rsidP="00E80F98" w:rsidRDefault="00BC6C87" w14:paraId="72E835AC" w14:textId="77777777">
      <w:pPr>
        <w:spacing w:after="0" w:line="240" w:lineRule="auto"/>
        <w:rPr>
          <w:rFonts w:ascii="Verdana" w:hAnsi="Verdana" w:eastAsia="Geomanist Light" w:cs="Arial"/>
          <w:lang w:val="es-MX"/>
        </w:rPr>
      </w:pPr>
    </w:p>
    <w:p w:rsidR="00BC6C87" w:rsidP="00E80F98" w:rsidRDefault="00BC6C87" w14:paraId="69A118E0" w14:textId="77777777">
      <w:pPr>
        <w:spacing w:after="0" w:line="240" w:lineRule="auto"/>
        <w:rPr>
          <w:rFonts w:ascii="Verdana" w:hAnsi="Verdana" w:eastAsia="Geomanist Light" w:cs="Arial"/>
          <w:lang w:val="es-MX"/>
        </w:rPr>
      </w:pPr>
    </w:p>
    <w:p w:rsidRPr="009322DA" w:rsidR="00E80F98" w:rsidP="00E80F98" w:rsidRDefault="00E80F98" w14:paraId="6DC09294" w14:textId="644439C4">
      <w:pPr>
        <w:spacing w:after="0" w:line="240" w:lineRule="auto"/>
        <w:rPr>
          <w:rFonts w:ascii="Verdana" w:hAnsi="Verdana" w:eastAsia="Geomanist Light" w:cs="Arial"/>
          <w:lang w:val="es-MX"/>
        </w:rPr>
      </w:pPr>
      <w:r w:rsidRPr="009322DA">
        <w:rPr>
          <w:rFonts w:ascii="Verdana" w:hAnsi="Verdana" w:eastAsia="Geomanist Light" w:cs="Arial"/>
          <w:lang w:val="es-MX"/>
        </w:rPr>
        <w:t>Bogotá D.C., [Día] de [</w:t>
      </w:r>
      <w:proofErr w:type="spellStart"/>
      <w:r w:rsidRPr="009322DA">
        <w:rPr>
          <w:rFonts w:ascii="Verdana" w:hAnsi="Verdana" w:eastAsia="Geomanist Light" w:cs="Arial"/>
          <w:lang w:val="es-MX"/>
        </w:rPr>
        <w:t>Mes.NombreCapitalizado</w:t>
      </w:r>
      <w:proofErr w:type="spellEnd"/>
      <w:r w:rsidRPr="009322DA">
        <w:rPr>
          <w:rFonts w:ascii="Verdana" w:hAnsi="Verdana" w:eastAsia="Geomanist Light" w:cs="Arial"/>
          <w:lang w:val="es-MX"/>
        </w:rPr>
        <w:t>] de [Año]</w:t>
      </w:r>
    </w:p>
    <w:p w:rsidR="00E80F98" w:rsidP="00E80F98" w:rsidRDefault="00E80F98" w14:paraId="0FC423BE" w14:textId="1A2407A3">
      <w:pPr>
        <w:spacing w:after="0" w:line="240" w:lineRule="auto"/>
        <w:jc w:val="both"/>
        <w:rPr>
          <w:rFonts w:ascii="Verdana" w:hAnsi="Verdana" w:eastAsia="Calibri" w:cs="Arial"/>
          <w:lang w:val="es-ES"/>
        </w:rPr>
      </w:pPr>
    </w:p>
    <w:p w:rsidR="00BC6C87" w:rsidP="00E80F98" w:rsidRDefault="00BC6C87" w14:paraId="279D1022" w14:textId="7345C53D">
      <w:pPr>
        <w:spacing w:after="0" w:line="240" w:lineRule="auto"/>
        <w:jc w:val="both"/>
        <w:rPr>
          <w:rFonts w:ascii="Verdana" w:hAnsi="Verdana" w:eastAsia="Calibri" w:cs="Arial"/>
          <w:lang w:val="es-ES"/>
        </w:rPr>
      </w:pPr>
      <w:r w:rsidRPr="00BC6C87">
        <w:rPr>
          <w:rFonts w:ascii="Verdana" w:hAnsi="Verdana" w:eastAsia="Calibri" w:cs="Arial"/>
          <w:lang w:val="es-ES"/>
        </w:rPr>
        <w:drawing>
          <wp:anchor distT="0" distB="0" distL="114300" distR="114300" simplePos="0" relativeHeight="251658240" behindDoc="1" locked="0" layoutInCell="1" allowOverlap="1" wp14:anchorId="325CD1DF" wp14:editId="5E37088D">
            <wp:simplePos x="0" y="0"/>
            <wp:positionH relativeFrom="column">
              <wp:posOffset>2684145</wp:posOffset>
            </wp:positionH>
            <wp:positionV relativeFrom="paragraph">
              <wp:posOffset>8890</wp:posOffset>
            </wp:positionV>
            <wp:extent cx="3715268" cy="1124107"/>
            <wp:effectExtent l="0" t="0" r="0" b="0"/>
            <wp:wrapTight wrapText="bothSides">
              <wp:wrapPolygon edited="0">
                <wp:start x="0" y="0"/>
                <wp:lineTo x="0" y="21234"/>
                <wp:lineTo x="21489" y="21234"/>
                <wp:lineTo x="21489" y="0"/>
                <wp:lineTo x="0" y="0"/>
              </wp:wrapPolygon>
            </wp:wrapTight>
            <wp:docPr id="14322149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14913"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715268" cy="1124107"/>
                    </a:xfrm>
                    <a:prstGeom prst="rect">
                      <a:avLst/>
                    </a:prstGeom>
                  </pic:spPr>
                </pic:pic>
              </a:graphicData>
            </a:graphic>
          </wp:anchor>
        </w:drawing>
      </w:r>
    </w:p>
    <w:p w:rsidR="00BC6C87" w:rsidP="00E80F98" w:rsidRDefault="00BC6C87" w14:paraId="19AC6337" w14:textId="77777777">
      <w:pPr>
        <w:spacing w:after="0" w:line="240" w:lineRule="auto"/>
        <w:jc w:val="both"/>
        <w:rPr>
          <w:rFonts w:ascii="Verdana" w:hAnsi="Verdana" w:eastAsia="Calibri" w:cs="Arial"/>
          <w:lang w:val="es-ES"/>
        </w:rPr>
      </w:pPr>
    </w:p>
    <w:p w:rsidR="00BC6C87" w:rsidP="00E80F98" w:rsidRDefault="00BC6C87" w14:paraId="5C62EEF6" w14:textId="77777777">
      <w:pPr>
        <w:spacing w:after="0" w:line="240" w:lineRule="auto"/>
        <w:jc w:val="both"/>
        <w:rPr>
          <w:rFonts w:ascii="Verdana" w:hAnsi="Verdana" w:eastAsia="Calibri" w:cs="Arial"/>
          <w:lang w:val="es-ES"/>
        </w:rPr>
      </w:pPr>
    </w:p>
    <w:p w:rsidR="00BC6C87" w:rsidP="00E80F98" w:rsidRDefault="00BC6C87" w14:paraId="05463E2F" w14:textId="77777777">
      <w:pPr>
        <w:spacing w:after="0" w:line="240" w:lineRule="auto"/>
        <w:jc w:val="both"/>
        <w:rPr>
          <w:rFonts w:ascii="Verdana" w:hAnsi="Verdana" w:eastAsia="Calibri" w:cs="Arial"/>
          <w:lang w:val="es-ES"/>
        </w:rPr>
      </w:pPr>
    </w:p>
    <w:p w:rsidR="00BC6C87" w:rsidP="00E80F98" w:rsidRDefault="00BC6C87" w14:paraId="230C9446" w14:textId="77777777">
      <w:pPr>
        <w:spacing w:after="0" w:line="240" w:lineRule="auto"/>
        <w:jc w:val="both"/>
        <w:rPr>
          <w:rFonts w:ascii="Verdana" w:hAnsi="Verdana" w:eastAsia="Calibri" w:cs="Arial"/>
          <w:lang w:val="es-ES"/>
        </w:rPr>
      </w:pPr>
    </w:p>
    <w:p w:rsidRPr="009322DA" w:rsidR="00E80F98" w:rsidP="00E80F98" w:rsidRDefault="00E80F98" w14:paraId="5FFDC7FC" w14:textId="77777777">
      <w:pPr>
        <w:spacing w:after="0" w:line="240" w:lineRule="auto"/>
        <w:rPr>
          <w:rFonts w:ascii="Verdana" w:hAnsi="Verdana" w:eastAsia="Calibri" w:cs="Arial"/>
          <w:lang w:val="es-MX" w:eastAsia="es-ES"/>
        </w:rPr>
      </w:pPr>
    </w:p>
    <w:p w:rsidRPr="009322DA" w:rsidR="00E80F98" w:rsidP="00E80F98" w:rsidRDefault="00E80F98" w14:paraId="25EDE697" w14:textId="77777777">
      <w:pPr>
        <w:spacing w:after="0" w:line="240" w:lineRule="auto"/>
        <w:rPr>
          <w:rFonts w:ascii="Verdana" w:hAnsi="Verdana" w:eastAsia="Calibri" w:cs="Arial"/>
          <w:lang w:val="es-MX" w:eastAsia="es-ES"/>
        </w:rPr>
      </w:pPr>
      <w:r w:rsidRPr="009322DA">
        <w:rPr>
          <w:rFonts w:ascii="Verdana" w:hAnsi="Verdana" w:eastAsia="Calibri" w:cs="Arial"/>
          <w:lang w:val="es-MX" w:eastAsia="es-ES"/>
        </w:rPr>
        <w:t>Señor</w:t>
      </w:r>
      <w:r>
        <w:rPr>
          <w:rFonts w:ascii="Verdana" w:hAnsi="Verdana" w:eastAsia="Calibri" w:cs="Arial"/>
          <w:lang w:val="es-MX" w:eastAsia="es-ES"/>
        </w:rPr>
        <w:t>a</w:t>
      </w:r>
    </w:p>
    <w:p w:rsidRPr="009322DA" w:rsidR="00E80F98" w:rsidP="00E80F98" w:rsidRDefault="00E80F98" w14:paraId="32B3F2BE" w14:textId="77777777">
      <w:pPr>
        <w:spacing w:after="0" w:line="240" w:lineRule="auto"/>
        <w:rPr>
          <w:rFonts w:ascii="Verdana" w:hAnsi="Verdana" w:eastAsia="Calibri" w:cs="Arial"/>
          <w:b/>
          <w:bCs/>
          <w:lang w:val="es-MX" w:eastAsia="es-ES"/>
        </w:rPr>
      </w:pPr>
      <w:r>
        <w:rPr>
          <w:rFonts w:ascii="Verdana" w:hAnsi="Verdana" w:eastAsia="Calibri" w:cs="Arial"/>
          <w:b/>
          <w:bCs/>
          <w:lang w:val="es-MX" w:eastAsia="es-ES"/>
        </w:rPr>
        <w:t>Magda Valencia Cardona</w:t>
      </w:r>
    </w:p>
    <w:p w:rsidRPr="009322DA" w:rsidR="00E80F98" w:rsidP="00E80F98" w:rsidRDefault="00E80F98" w14:paraId="3C742C3B" w14:textId="77777777">
      <w:pPr>
        <w:spacing w:after="0" w:line="240" w:lineRule="auto"/>
        <w:rPr>
          <w:rFonts w:ascii="Verdana" w:hAnsi="Verdana" w:eastAsia="Calibri" w:cs="Arial"/>
          <w:lang w:val="es-MX" w:eastAsia="es-ES"/>
        </w:rPr>
      </w:pPr>
      <w:hyperlink w:history="1" r:id="rId12">
        <w:r w:rsidRPr="000609E9">
          <w:rPr>
            <w:rStyle w:val="Hipervnculo"/>
            <w:rFonts w:ascii="Verdana" w:hAnsi="Verdana" w:eastAsia="Calibri" w:cs="Arial"/>
            <w:lang w:val="es-MX" w:eastAsia="es-ES"/>
          </w:rPr>
          <w:t>controlinterno@mistrato-risaralda.gov.co</w:t>
        </w:r>
      </w:hyperlink>
    </w:p>
    <w:p w:rsidRPr="009322DA" w:rsidR="00E80F98" w:rsidP="00E80F98" w:rsidRDefault="00E80F98" w14:paraId="4FD198AB" w14:textId="77777777">
      <w:pPr>
        <w:spacing w:after="0" w:line="240" w:lineRule="auto"/>
        <w:rPr>
          <w:rFonts w:ascii="Verdana" w:hAnsi="Verdana" w:eastAsia="Calibri" w:cs="Arial"/>
          <w:b/>
          <w:bCs/>
          <w:lang w:val="es-ES" w:eastAsia="es-ES"/>
        </w:rPr>
      </w:pPr>
      <w:proofErr w:type="spellStart"/>
      <w:r>
        <w:rPr>
          <w:rFonts w:ascii="Verdana" w:hAnsi="Verdana" w:eastAsia="Calibri" w:cs="Arial"/>
          <w:lang w:val="es-MX" w:eastAsia="es-ES"/>
        </w:rPr>
        <w:t>Mistrato</w:t>
      </w:r>
      <w:proofErr w:type="spellEnd"/>
      <w:r>
        <w:rPr>
          <w:rFonts w:ascii="Verdana" w:hAnsi="Verdana" w:eastAsia="Calibri" w:cs="Arial"/>
          <w:lang w:val="es-MX" w:eastAsia="es-ES"/>
        </w:rPr>
        <w:t>, Risaralda</w:t>
      </w:r>
    </w:p>
    <w:p w:rsidRPr="009322DA" w:rsidR="00E80F98" w:rsidP="00E80F98" w:rsidRDefault="00E80F98" w14:paraId="36DAABAB" w14:textId="77777777">
      <w:pPr>
        <w:spacing w:after="0" w:line="240" w:lineRule="auto"/>
        <w:rPr>
          <w:rFonts w:ascii="Verdana" w:hAnsi="Verdana" w:eastAsia="Calibri" w:cs="Arial"/>
          <w:b/>
          <w:bCs/>
          <w:lang w:val="es-ES_tradnl" w:eastAsia="es-ES_tradnl"/>
        </w:rPr>
      </w:pPr>
    </w:p>
    <w:p w:rsidRPr="009322DA" w:rsidR="00E80F98" w:rsidP="00E80F98" w:rsidRDefault="00E80F98" w14:paraId="7DF886E6" w14:textId="77777777">
      <w:pPr>
        <w:spacing w:after="0" w:line="240" w:lineRule="auto"/>
        <w:rPr>
          <w:rFonts w:ascii="Verdana" w:hAnsi="Verdana" w:eastAsia="Calibri" w:cs="Arial"/>
          <w:b/>
          <w:bCs/>
          <w:lang w:val="es-ES_tradnl" w:eastAsia="es-ES_tradnl"/>
        </w:rPr>
      </w:pPr>
    </w:p>
    <w:tbl>
      <w:tblPr>
        <w:tblStyle w:val="Tablaconcuadrcula1"/>
        <w:tblW w:w="87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100"/>
      </w:tblGrid>
      <w:tr w:rsidRPr="009322DA" w:rsidR="00E80F98" w:rsidTr="00EB47BA" w14:paraId="0375C76A" w14:textId="77777777">
        <w:trPr>
          <w:trHeight w:val="884"/>
        </w:trPr>
        <w:tc>
          <w:tcPr>
            <w:tcW w:w="2689" w:type="dxa"/>
          </w:tcPr>
          <w:p w:rsidRPr="009322DA" w:rsidR="00E80F98" w:rsidP="00EB47BA" w:rsidRDefault="00E80F98" w14:paraId="425C2635" w14:textId="77777777">
            <w:pPr>
              <w:jc w:val="both"/>
              <w:rPr>
                <w:rFonts w:ascii="Verdana" w:hAnsi="Verdana" w:cs="Arial"/>
                <w:b/>
                <w:bCs/>
                <w:lang w:val="es-ES_tradnl" w:eastAsia="es-ES_tradnl"/>
              </w:rPr>
            </w:pPr>
          </w:p>
        </w:tc>
        <w:tc>
          <w:tcPr>
            <w:tcW w:w="6100" w:type="dxa"/>
            <w:hideMark/>
          </w:tcPr>
          <w:p w:rsidRPr="009322DA" w:rsidR="00E80F98" w:rsidP="00EB47BA" w:rsidRDefault="00E80F98" w14:paraId="64329472" w14:textId="46841C3F">
            <w:pPr>
              <w:jc w:val="both"/>
              <w:rPr>
                <w:rFonts w:ascii="Verdana" w:hAnsi="Verdana" w:cs="Arial"/>
                <w:b/>
                <w:bCs/>
                <w:lang w:val="es-ES" w:eastAsia="es-ES"/>
              </w:rPr>
            </w:pPr>
            <w:r w:rsidRPr="009322DA">
              <w:rPr>
                <w:rFonts w:ascii="Verdana" w:hAnsi="Verdana" w:cs="Arial"/>
                <w:b/>
                <w:bCs/>
                <w:lang w:val="es-ES" w:eastAsia="es-ES"/>
              </w:rPr>
              <w:t xml:space="preserve">Concepto </w:t>
            </w:r>
            <w:r w:rsidR="00304414">
              <w:rPr>
                <w:rFonts w:ascii="Verdana" w:hAnsi="Verdana" w:cs="Arial"/>
                <w:b/>
                <w:bCs/>
                <w:lang w:val="es-ES" w:eastAsia="es-ES"/>
              </w:rPr>
              <w:t>C-579</w:t>
            </w:r>
            <w:r w:rsidRPr="009322DA">
              <w:rPr>
                <w:rFonts w:ascii="Verdana" w:hAnsi="Verdana" w:cs="Arial"/>
                <w:b/>
                <w:bCs/>
                <w:lang w:val="es-ES" w:eastAsia="es-ES"/>
              </w:rPr>
              <w:t xml:space="preserve"> de 2024</w:t>
            </w:r>
          </w:p>
        </w:tc>
      </w:tr>
      <w:tr w:rsidRPr="009322DA" w:rsidR="00E80F98" w:rsidTr="00EB47BA" w14:paraId="662D1C06" w14:textId="77777777">
        <w:trPr>
          <w:trHeight w:val="884"/>
        </w:trPr>
        <w:tc>
          <w:tcPr>
            <w:tcW w:w="2689" w:type="dxa"/>
            <w:hideMark/>
          </w:tcPr>
          <w:p w:rsidRPr="009322DA" w:rsidR="00E80F98" w:rsidP="00EB47BA" w:rsidRDefault="00E80F98" w14:paraId="586FD37F" w14:textId="77777777">
            <w:pPr>
              <w:jc w:val="both"/>
              <w:rPr>
                <w:rFonts w:ascii="Verdana" w:hAnsi="Verdana" w:cs="Arial"/>
                <w:lang w:val="es-ES_tradnl" w:eastAsia="es-ES_tradnl"/>
              </w:rPr>
            </w:pPr>
            <w:r w:rsidRPr="009322DA">
              <w:rPr>
                <w:rFonts w:ascii="Verdana" w:hAnsi="Verdana" w:cs="Arial"/>
                <w:b/>
                <w:lang w:val="es-ES_tradnl" w:eastAsia="es-ES_tradnl"/>
              </w:rPr>
              <w:t>Temas:</w:t>
            </w:r>
            <w:r w:rsidRPr="009322DA">
              <w:rPr>
                <w:rFonts w:ascii="Verdana" w:hAnsi="Verdana" w:cs="Arial"/>
                <w:lang w:val="es-ES_tradnl" w:eastAsia="es-ES_tradnl"/>
              </w:rPr>
              <w:t xml:space="preserve">                   </w:t>
            </w:r>
          </w:p>
        </w:tc>
        <w:tc>
          <w:tcPr>
            <w:tcW w:w="6100" w:type="dxa"/>
          </w:tcPr>
          <w:p w:rsidR="00E80F98" w:rsidP="00EB47BA" w:rsidRDefault="00E80F98" w14:paraId="55118C7F" w14:textId="77777777">
            <w:pPr>
              <w:jc w:val="both"/>
              <w:rPr>
                <w:rFonts w:ascii="Verdana" w:hAnsi="Verdana" w:eastAsia="Calibri" w:cs="Arial"/>
                <w:bCs/>
                <w:lang w:val="es-MX" w:eastAsia="es-ES"/>
              </w:rPr>
            </w:pPr>
            <w:r w:rsidRPr="002A43BA">
              <w:rPr>
                <w:rFonts w:ascii="Verdana" w:hAnsi="Verdana" w:eastAsia="Calibri" w:cs="Arial"/>
                <w:bCs/>
                <w:lang w:val="es-MX" w:eastAsia="es-ES"/>
              </w:rPr>
              <w:t>LIQUIDACIÓN DEL CONTRATO – Definición – Objetivo / LIQUIDACIÓN DEL CONTRATO – Normativa / LIQUIDACIÓN DEL CONTRATO – Oportunidad</w:t>
            </w:r>
          </w:p>
          <w:p w:rsidRPr="00EB3000" w:rsidR="00E80F98" w:rsidP="00EB47BA" w:rsidRDefault="00E80F98" w14:paraId="1D47CA6B" w14:textId="77777777">
            <w:pPr>
              <w:jc w:val="both"/>
              <w:rPr>
                <w:rFonts w:ascii="Verdana" w:hAnsi="Verdana" w:cs="Arial"/>
                <w:lang w:val="es-ES_tradnl" w:eastAsia="es-ES"/>
              </w:rPr>
            </w:pPr>
          </w:p>
        </w:tc>
      </w:tr>
      <w:tr w:rsidRPr="009322DA" w:rsidR="00E80F98" w:rsidTr="00EB47BA" w14:paraId="69132314" w14:textId="77777777">
        <w:tc>
          <w:tcPr>
            <w:tcW w:w="2689" w:type="dxa"/>
            <w:hideMark/>
          </w:tcPr>
          <w:p w:rsidRPr="009322DA" w:rsidR="00E80F98" w:rsidP="00EB47BA" w:rsidRDefault="00E80F98" w14:paraId="6B98F203" w14:textId="77777777">
            <w:pPr>
              <w:jc w:val="both"/>
              <w:rPr>
                <w:rFonts w:ascii="Verdana" w:hAnsi="Verdana" w:cs="Arial"/>
                <w:b/>
                <w:lang w:val="es-ES_tradnl" w:eastAsia="es-ES_tradnl"/>
              </w:rPr>
            </w:pPr>
            <w:r w:rsidRPr="009322DA">
              <w:rPr>
                <w:rFonts w:ascii="Verdana" w:hAnsi="Verdana" w:cs="Arial"/>
                <w:b/>
                <w:lang w:val="es-ES_tradnl" w:eastAsia="es-ES_tradnl"/>
              </w:rPr>
              <w:t>Radicación:</w:t>
            </w:r>
            <w:r w:rsidRPr="009322DA">
              <w:rPr>
                <w:rFonts w:ascii="Verdana" w:hAnsi="Verdana" w:cs="Arial"/>
                <w:lang w:val="es-ES_tradnl" w:eastAsia="es-ES_tradnl"/>
              </w:rPr>
              <w:t xml:space="preserve">               </w:t>
            </w:r>
          </w:p>
        </w:tc>
        <w:tc>
          <w:tcPr>
            <w:tcW w:w="6100" w:type="dxa"/>
          </w:tcPr>
          <w:p w:rsidRPr="002A43BA" w:rsidR="00E80F98" w:rsidP="00EB47BA" w:rsidRDefault="00E80F98" w14:paraId="65894324" w14:textId="77777777">
            <w:pPr>
              <w:jc w:val="both"/>
              <w:rPr>
                <w:rFonts w:ascii="Verdana" w:hAnsi="Verdana"/>
                <w:b/>
                <w:bCs/>
                <w:lang w:eastAsia="es-ES_tradnl"/>
              </w:rPr>
            </w:pPr>
            <w:r w:rsidRPr="009322DA">
              <w:rPr>
                <w:rFonts w:ascii="Verdana" w:hAnsi="Verdana" w:cs="Arial"/>
                <w:lang w:val="es-ES_tradnl" w:eastAsia="es-ES_tradnl"/>
              </w:rPr>
              <w:t xml:space="preserve">Respuesta a consulta con radicado No. </w:t>
            </w:r>
            <w:r w:rsidRPr="002A43BA">
              <w:rPr>
                <w:rFonts w:ascii="Verdana" w:hAnsi="Verdana"/>
                <w:lang w:eastAsia="es-ES_tradnl"/>
              </w:rPr>
              <w:t>P20240910009199</w:t>
            </w:r>
          </w:p>
          <w:p w:rsidRPr="00347A72" w:rsidR="00E80F98" w:rsidP="00EB47BA" w:rsidRDefault="00E80F98" w14:paraId="5DE1A533" w14:textId="77777777">
            <w:pPr>
              <w:jc w:val="both"/>
              <w:rPr>
                <w:rFonts w:ascii="Verdana" w:hAnsi="Verdana"/>
                <w:b/>
                <w:bCs/>
                <w:lang w:eastAsia="es-ES_tradnl"/>
              </w:rPr>
            </w:pPr>
          </w:p>
          <w:p w:rsidRPr="009322DA" w:rsidR="00E80F98" w:rsidP="00EB47BA" w:rsidRDefault="00E80F98" w14:paraId="348B8FA9" w14:textId="77777777">
            <w:pPr>
              <w:jc w:val="both"/>
              <w:rPr>
                <w:rFonts w:ascii="Verdana" w:hAnsi="Verdana" w:cs="Arial"/>
                <w:lang w:val="es-ES_tradnl" w:eastAsia="es-ES_tradnl"/>
              </w:rPr>
            </w:pPr>
          </w:p>
        </w:tc>
      </w:tr>
    </w:tbl>
    <w:p w:rsidRPr="009322DA" w:rsidR="00E80F98" w:rsidP="00E80F98" w:rsidRDefault="00E80F98" w14:paraId="1E35AA8F" w14:textId="77777777">
      <w:pPr>
        <w:spacing w:after="0" w:line="240" w:lineRule="auto"/>
        <w:jc w:val="both"/>
        <w:rPr>
          <w:rFonts w:ascii="Verdana" w:hAnsi="Verdana" w:eastAsia="Calibri" w:cs="Arial"/>
          <w:lang w:val="es-ES_tradnl" w:eastAsia="es-ES_tradnl"/>
        </w:rPr>
      </w:pPr>
    </w:p>
    <w:p w:rsidRPr="009322DA" w:rsidR="00E80F98" w:rsidP="00E80F98" w:rsidRDefault="00E80F98" w14:paraId="0BDCDFD5" w14:textId="77777777">
      <w:pPr>
        <w:spacing w:after="0" w:line="240" w:lineRule="auto"/>
        <w:jc w:val="both"/>
        <w:rPr>
          <w:rFonts w:ascii="Verdana" w:hAnsi="Verdana" w:eastAsia="Calibri" w:cs="Arial"/>
          <w:lang w:val="es-ES_tradnl" w:eastAsia="es-ES_tradnl"/>
        </w:rPr>
      </w:pPr>
    </w:p>
    <w:p w:rsidRPr="009322DA" w:rsidR="00E80F98" w:rsidP="00E80F98" w:rsidRDefault="00E80F98" w14:paraId="3383A47A" w14:textId="77777777">
      <w:pPr>
        <w:spacing w:after="0" w:line="276" w:lineRule="auto"/>
        <w:jc w:val="both"/>
        <w:rPr>
          <w:rFonts w:ascii="Verdana" w:hAnsi="Verdana" w:eastAsia="Calibri" w:cs="Arial"/>
          <w:lang w:val="es-ES" w:eastAsia="es-ES"/>
        </w:rPr>
      </w:pPr>
      <w:r w:rsidRPr="009322DA">
        <w:rPr>
          <w:rFonts w:ascii="Verdana" w:hAnsi="Verdana" w:eastAsia="Calibri" w:cs="Arial"/>
          <w:lang w:val="es-ES" w:eastAsia="es-ES"/>
        </w:rPr>
        <w:t>Estimad</w:t>
      </w:r>
      <w:r>
        <w:rPr>
          <w:rFonts w:ascii="Verdana" w:hAnsi="Verdana" w:eastAsia="Calibri" w:cs="Arial"/>
          <w:lang w:val="es-ES" w:eastAsia="es-ES"/>
        </w:rPr>
        <w:t>a</w:t>
      </w:r>
      <w:r w:rsidRPr="009322DA">
        <w:rPr>
          <w:rFonts w:ascii="Verdana" w:hAnsi="Verdana" w:eastAsia="Calibri" w:cs="Arial"/>
          <w:lang w:val="es-ES" w:eastAsia="es-ES"/>
        </w:rPr>
        <w:t xml:space="preserve"> señor</w:t>
      </w:r>
      <w:r>
        <w:rPr>
          <w:rFonts w:ascii="Verdana" w:hAnsi="Verdana" w:eastAsia="Calibri" w:cs="Arial"/>
          <w:lang w:val="es-ES" w:eastAsia="es-ES"/>
        </w:rPr>
        <w:t>a Valencia</w:t>
      </w:r>
      <w:r w:rsidRPr="009322DA">
        <w:rPr>
          <w:rFonts w:ascii="Verdana" w:hAnsi="Verdana" w:eastAsia="Calibri" w:cs="Arial"/>
          <w:lang w:val="es-ES" w:eastAsia="es-ES"/>
        </w:rPr>
        <w:t xml:space="preserve">: </w:t>
      </w:r>
    </w:p>
    <w:p w:rsidRPr="009322DA" w:rsidR="00E80F98" w:rsidP="00E80F98" w:rsidRDefault="00E80F98" w14:paraId="5C49BBB4" w14:textId="77777777">
      <w:pPr>
        <w:tabs>
          <w:tab w:val="left" w:pos="3768"/>
        </w:tabs>
        <w:spacing w:after="0" w:line="276" w:lineRule="auto"/>
        <w:jc w:val="both"/>
        <w:rPr>
          <w:rFonts w:ascii="Verdana" w:hAnsi="Verdana" w:eastAsia="Calibri" w:cs="Arial"/>
          <w:lang w:val="es-ES" w:eastAsia="es-ES"/>
        </w:rPr>
      </w:pPr>
      <w:r w:rsidRPr="009322DA">
        <w:rPr>
          <w:rFonts w:ascii="Verdana" w:hAnsi="Verdana" w:eastAsia="Calibri" w:cs="Arial"/>
          <w:lang w:val="es-ES" w:eastAsia="es-ES"/>
        </w:rPr>
        <w:tab/>
      </w:r>
    </w:p>
    <w:p w:rsidRPr="009322DA" w:rsidR="00E80F98" w:rsidP="00E80F98" w:rsidRDefault="00E80F98" w14:paraId="13B2CB00" w14:textId="77777777">
      <w:pPr>
        <w:spacing w:after="0" w:line="276" w:lineRule="auto"/>
        <w:jc w:val="both"/>
        <w:rPr>
          <w:rFonts w:ascii="Verdana" w:hAnsi="Verdana" w:eastAsia="Calibri" w:cs="Arial"/>
          <w:lang w:val="es-ES" w:eastAsia="es-ES"/>
        </w:rPr>
      </w:pPr>
      <w:r w:rsidRPr="009322DA">
        <w:rPr>
          <w:rFonts w:ascii="Verdana" w:hAnsi="Verdana" w:eastAsia="Calibri" w:cs="Arial"/>
          <w:lang w:val="es-ES" w:eastAsia="es-ES"/>
        </w:rPr>
        <w:t>En ejercicio de la competencia otorgada por los artículos 3, numeral 5º, y 11, numeral 8º, del Decreto Ley 4170 de 2011,</w:t>
      </w:r>
      <w:r w:rsidRPr="009322DA">
        <w:rPr>
          <w:rFonts w:ascii="Verdana" w:hAnsi="Verdana" w:eastAsia="Arial MT" w:cs="Arial MT"/>
          <w:lang w:val="es-ES" w:eastAsia="es-ES"/>
        </w:rPr>
        <w:t xml:space="preserve"> </w:t>
      </w:r>
      <w:r w:rsidRPr="009322DA">
        <w:rPr>
          <w:rFonts w:ascii="Verdana" w:hAnsi="Verdana" w:eastAsia="Calibri" w:cs="Arial"/>
        </w:rPr>
        <w:t xml:space="preserve">así como lo establecido en el artículo 4 de la Resolución 1707 de 2018 expedida por esta Entidad, </w:t>
      </w:r>
      <w:r w:rsidRPr="009322DA">
        <w:rPr>
          <w:rFonts w:ascii="Verdana" w:hAnsi="Verdana" w:eastAsia="Calibri" w:cs="Arial"/>
          <w:lang w:val="es-ES" w:eastAsia="es-ES"/>
        </w:rPr>
        <w:t xml:space="preserve">la Agencia Nacional de Contratación Pública – Colombia Compra Eficiente– responde su solicitud de consulta de fecha </w:t>
      </w:r>
      <w:r>
        <w:rPr>
          <w:rFonts w:ascii="Verdana" w:hAnsi="Verdana" w:eastAsia="Calibri" w:cs="Arial"/>
          <w:lang w:val="es-ES" w:eastAsia="es-ES"/>
        </w:rPr>
        <w:t>10</w:t>
      </w:r>
      <w:r w:rsidRPr="009322DA">
        <w:rPr>
          <w:rFonts w:ascii="Verdana" w:hAnsi="Verdana" w:eastAsia="Calibri" w:cs="Arial"/>
          <w:lang w:val="es-ES" w:eastAsia="es-ES"/>
        </w:rPr>
        <w:t xml:space="preserve"> de </w:t>
      </w:r>
      <w:r>
        <w:rPr>
          <w:rFonts w:ascii="Verdana" w:hAnsi="Verdana" w:eastAsia="Calibri" w:cs="Arial"/>
          <w:lang w:val="es-ES" w:eastAsia="es-ES"/>
        </w:rPr>
        <w:t>septiembre</w:t>
      </w:r>
      <w:r w:rsidRPr="009322DA">
        <w:rPr>
          <w:rFonts w:ascii="Verdana" w:hAnsi="Verdana" w:eastAsia="Calibri" w:cs="Arial"/>
          <w:lang w:val="es-ES" w:eastAsia="es-ES"/>
        </w:rPr>
        <w:t xml:space="preserve"> de 2024, en la cual manifiesta lo siguiente: </w:t>
      </w:r>
    </w:p>
    <w:p w:rsidRPr="009322DA" w:rsidR="00E80F98" w:rsidP="00E80F98" w:rsidRDefault="00E80F98" w14:paraId="4D2273F9" w14:textId="77777777">
      <w:pPr>
        <w:spacing w:after="0" w:line="240" w:lineRule="auto"/>
        <w:ind w:left="709" w:right="709"/>
        <w:jc w:val="both"/>
        <w:rPr>
          <w:rFonts w:ascii="Verdana" w:hAnsi="Verdana" w:eastAsia="Century Gothic" w:cs="Century Gothic"/>
          <w:sz w:val="20"/>
          <w:szCs w:val="20"/>
          <w:lang w:val="es-ES"/>
        </w:rPr>
      </w:pPr>
      <w:bookmarkStart w:name="_Hlk95313578" w:id="0"/>
    </w:p>
    <w:p w:rsidRPr="009D4BCF" w:rsidR="00E80F98" w:rsidP="00E80F98" w:rsidRDefault="00E80F98" w14:paraId="3DC80168" w14:textId="77777777">
      <w:pPr>
        <w:spacing w:line="240" w:lineRule="auto"/>
        <w:ind w:left="709" w:right="709"/>
        <w:jc w:val="both"/>
        <w:rPr>
          <w:rFonts w:ascii="Verdana" w:hAnsi="Verdana" w:eastAsia="Century Gothic" w:cs="Century Gothic"/>
          <w:i/>
          <w:iCs/>
          <w:sz w:val="20"/>
          <w:szCs w:val="20"/>
        </w:rPr>
      </w:pPr>
      <w:r w:rsidRPr="00772836">
        <w:rPr>
          <w:rFonts w:ascii="Verdana" w:hAnsi="Verdana" w:eastAsia="Century Gothic" w:cs="Century Gothic"/>
          <w:i/>
          <w:iCs/>
          <w:sz w:val="20"/>
          <w:szCs w:val="20"/>
          <w:lang w:val="es-ES"/>
        </w:rPr>
        <w:t>“</w:t>
      </w:r>
      <w:r>
        <w:rPr>
          <w:rFonts w:ascii="Verdana" w:hAnsi="Verdana" w:eastAsia="Century Gothic" w:cs="Century Gothic"/>
          <w:i/>
          <w:iCs/>
          <w:sz w:val="20"/>
          <w:szCs w:val="20"/>
        </w:rPr>
        <w:t>A la fecha se está realizando auditoría interna área de contratación he tenido dificultad referente a la contratación de los contratos, algunas personas de la entidad argumentan que los contratos de prestación de servicios no se deben liquidar, me gustaría que ustedes como ente de control me asesoren referente al tema de la liquidación de los contratos (prestación de servicios, obra, suministros) y tiempo oportuno para hacer las liquidaciones</w:t>
      </w:r>
      <w:r w:rsidRPr="009D4BCF">
        <w:rPr>
          <w:rFonts w:ascii="Verdana" w:hAnsi="Verdana" w:eastAsia="Century Gothic" w:cs="Century Gothic"/>
          <w:i/>
          <w:iCs/>
          <w:sz w:val="20"/>
          <w:szCs w:val="20"/>
        </w:rPr>
        <w:t>”</w:t>
      </w:r>
      <w:bookmarkEnd w:id="0"/>
      <w:r w:rsidRPr="009D4BCF">
        <w:rPr>
          <w:rFonts w:ascii="Verdana" w:hAnsi="Verdana" w:eastAsia="Century Gothic" w:cs="Century Gothic"/>
          <w:i/>
          <w:iCs/>
          <w:sz w:val="20"/>
          <w:szCs w:val="20"/>
        </w:rPr>
        <w:t>.</w:t>
      </w:r>
    </w:p>
    <w:p w:rsidRPr="00D6203F" w:rsidR="00E80F98" w:rsidP="00E80F98" w:rsidRDefault="00E80F98" w14:paraId="3CEAC67A" w14:textId="77777777">
      <w:pPr>
        <w:spacing w:line="240" w:lineRule="auto"/>
        <w:ind w:left="709" w:right="709"/>
        <w:jc w:val="both"/>
        <w:rPr>
          <w:rFonts w:ascii="Verdana" w:hAnsi="Verdana" w:eastAsia="Calibri" w:cs="Arial"/>
          <w:i/>
          <w:iCs/>
          <w:sz w:val="20"/>
          <w:szCs w:val="20"/>
          <w:shd w:val="clear" w:color="auto" w:fill="FFFFFF"/>
        </w:rPr>
      </w:pPr>
    </w:p>
    <w:p w:rsidRPr="009322DA" w:rsidR="00E80F98" w:rsidP="00E80F98" w:rsidRDefault="00E80F98" w14:paraId="15CD0C0B" w14:textId="77777777">
      <w:pPr>
        <w:spacing w:after="120" w:line="276" w:lineRule="auto"/>
        <w:ind w:firstLine="709"/>
        <w:jc w:val="both"/>
        <w:rPr>
          <w:rFonts w:ascii="Verdana" w:hAnsi="Verdana" w:eastAsia="Calibri" w:cs="Arial"/>
          <w:szCs w:val="24"/>
          <w:lang w:val="es-ES_tradnl" w:eastAsia="es-ES_tradnl"/>
        </w:rPr>
      </w:pPr>
      <w:r w:rsidRPr="009322DA">
        <w:rPr>
          <w:rFonts w:ascii="Verdana" w:hAnsi="Verdana" w:eastAsia="Calibri" w:cs="Arial"/>
          <w:lang w:val="es-ES" w:eastAsia="es-ES"/>
        </w:rPr>
        <w:t xml:space="preserve">De manera preliminar, resulta necesario resaltar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9322DA">
        <w:rPr>
          <w:rFonts w:ascii="Verdana" w:hAnsi="Verdana" w:eastAsia="Calibri" w:cs="Arial"/>
          <w:szCs w:val="24"/>
          <w:lang w:val="es-ES_tradnl" w:eastAsia="es-ES_tradnl"/>
        </w:rPr>
        <w:tab/>
      </w:r>
    </w:p>
    <w:p w:rsidRPr="009322DA" w:rsidR="00E80F98" w:rsidP="00E80F98" w:rsidRDefault="00E80F98" w14:paraId="7653ADAD" w14:textId="77777777">
      <w:pPr>
        <w:spacing w:after="0" w:line="276" w:lineRule="auto"/>
        <w:ind w:firstLine="708"/>
        <w:jc w:val="both"/>
        <w:rPr>
          <w:rFonts w:ascii="Verdana" w:hAnsi="Verdana" w:eastAsia="Calibri" w:cs="Arial"/>
          <w:lang w:val="es-ES" w:eastAsia="es-ES"/>
        </w:rPr>
      </w:pPr>
      <w:r w:rsidRPr="009322DA">
        <w:rPr>
          <w:rFonts w:ascii="Verdana" w:hAnsi="Verdana" w:eastAsia="Calibri"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rsidRPr="009322DA" w:rsidR="00E80F98" w:rsidP="00E80F98" w:rsidRDefault="00E80F98" w14:paraId="033AC215" w14:textId="77777777">
      <w:pPr>
        <w:spacing w:after="0" w:line="276" w:lineRule="auto"/>
        <w:ind w:firstLine="709"/>
        <w:jc w:val="both"/>
        <w:rPr>
          <w:rFonts w:ascii="Verdana" w:hAnsi="Verdana" w:eastAsia="Calibri" w:cs="Arial"/>
          <w:lang w:val="es-ES" w:eastAsia="es-ES"/>
        </w:rPr>
      </w:pPr>
    </w:p>
    <w:p w:rsidRPr="009322DA" w:rsidR="00E80F98" w:rsidP="00E80F98" w:rsidRDefault="00E80F98" w14:paraId="00345967" w14:textId="77777777">
      <w:pPr>
        <w:numPr>
          <w:ilvl w:val="0"/>
          <w:numId w:val="16"/>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9322DA">
        <w:rPr>
          <w:rFonts w:ascii="Verdana" w:hAnsi="Verdana" w:eastAsia="Century Gothic" w:cs="Century Gothic"/>
          <w:b/>
          <w:bCs/>
          <w:lang w:val="es-ES"/>
        </w:rPr>
        <w:t>Problema planteado:</w:t>
      </w:r>
    </w:p>
    <w:p w:rsidRPr="009322DA" w:rsidR="00E80F98" w:rsidP="00E80F98" w:rsidRDefault="00E80F98" w14:paraId="7356799E" w14:textId="77777777">
      <w:pPr>
        <w:tabs>
          <w:tab w:val="left" w:pos="426"/>
        </w:tabs>
        <w:spacing w:after="0" w:line="276" w:lineRule="auto"/>
        <w:jc w:val="both"/>
        <w:rPr>
          <w:rFonts w:ascii="Verdana" w:hAnsi="Verdana" w:eastAsia="Century Gothic" w:cs="Century Gothic"/>
          <w:lang w:val="es-ES"/>
        </w:rPr>
      </w:pPr>
    </w:p>
    <w:p w:rsidR="00E80F98" w:rsidP="00E80F98" w:rsidRDefault="00E80F98" w14:paraId="578491E3" w14:textId="77777777">
      <w:pPr>
        <w:spacing w:after="0" w:line="276" w:lineRule="auto"/>
        <w:jc w:val="both"/>
        <w:rPr>
          <w:rFonts w:ascii="Verdana" w:hAnsi="Verdana" w:eastAsia="Century Gothic" w:cs="Century Gothic"/>
        </w:rPr>
      </w:pPr>
      <w:r w:rsidRPr="009322DA">
        <w:rPr>
          <w:rFonts w:ascii="Verdana" w:hAnsi="Verdana" w:eastAsia="Century Gothic" w:cs="Century Gothic"/>
        </w:rPr>
        <w:t>De acuerdo con el contenido de su solicitud, esta Agencia resolverá los siguientes problemas jurídicos:</w:t>
      </w:r>
      <w:r>
        <w:rPr>
          <w:rFonts w:ascii="Verdana" w:hAnsi="Verdana" w:eastAsia="Century Gothic" w:cs="Century Gothic"/>
        </w:rPr>
        <w:t xml:space="preserve"> </w:t>
      </w:r>
    </w:p>
    <w:p w:rsidR="00E80F98" w:rsidP="00E80F98" w:rsidRDefault="00E80F98" w14:paraId="13DD85E9" w14:textId="77777777">
      <w:pPr>
        <w:spacing w:after="0" w:line="276" w:lineRule="auto"/>
        <w:jc w:val="both"/>
        <w:rPr>
          <w:rFonts w:ascii="Verdana" w:hAnsi="Verdana" w:eastAsia="Century Gothic" w:cs="Century Gothic"/>
        </w:rPr>
      </w:pPr>
    </w:p>
    <w:p w:rsidR="00E80F98" w:rsidP="00E80F98" w:rsidRDefault="00E80F98" w14:paraId="34670A52" w14:textId="77777777">
      <w:pPr>
        <w:pStyle w:val="Prrafodelista"/>
        <w:numPr>
          <w:ilvl w:val="0"/>
          <w:numId w:val="19"/>
        </w:numPr>
        <w:spacing w:after="0" w:line="276" w:lineRule="auto"/>
        <w:jc w:val="both"/>
        <w:rPr>
          <w:rFonts w:ascii="Verdana" w:hAnsi="Verdana" w:eastAsia="Century Gothic" w:cs="Century Gothic"/>
        </w:rPr>
      </w:pPr>
      <w:r w:rsidRPr="002A43BA">
        <w:rPr>
          <w:rFonts w:ascii="Verdana" w:hAnsi="Verdana" w:eastAsia="Century Gothic" w:cs="Century Gothic"/>
        </w:rPr>
        <w:t xml:space="preserve">¿Cuáles son los plazos para liquidar un contrato estatal? </w:t>
      </w:r>
    </w:p>
    <w:p w:rsidRPr="002A43BA" w:rsidR="00E80F98" w:rsidP="00E80F98" w:rsidRDefault="00E80F98" w14:paraId="7003BAFC" w14:textId="77777777">
      <w:pPr>
        <w:pStyle w:val="Prrafodelista"/>
        <w:numPr>
          <w:ilvl w:val="0"/>
          <w:numId w:val="19"/>
        </w:numPr>
        <w:spacing w:after="0" w:line="276" w:lineRule="auto"/>
        <w:jc w:val="both"/>
        <w:rPr>
          <w:rFonts w:ascii="Verdana" w:hAnsi="Verdana" w:eastAsia="Century Gothic" w:cs="Century Gothic"/>
        </w:rPr>
      </w:pPr>
      <w:r w:rsidRPr="002A43BA">
        <w:rPr>
          <w:rFonts w:ascii="Verdana" w:hAnsi="Verdana" w:eastAsia="Century Gothic" w:cs="Century Gothic"/>
        </w:rPr>
        <w:t>¿Los contratos de prestación de servicios se deben liquidar?</w:t>
      </w:r>
    </w:p>
    <w:p w:rsidRPr="009322DA" w:rsidR="00E80F98" w:rsidP="00E80F98" w:rsidRDefault="00E80F98" w14:paraId="5A295586" w14:textId="77777777">
      <w:pPr>
        <w:spacing w:after="0" w:line="276" w:lineRule="auto"/>
        <w:jc w:val="both"/>
        <w:rPr>
          <w:rFonts w:ascii="Verdana" w:hAnsi="Verdana" w:eastAsia="Calibri" w:cs="Arial"/>
          <w:lang w:val="es-ES"/>
        </w:rPr>
      </w:pPr>
    </w:p>
    <w:p w:rsidR="00E80F98" w:rsidP="00E80F98" w:rsidRDefault="00E80F98" w14:paraId="7EC2D8CE" w14:textId="77777777">
      <w:pPr>
        <w:numPr>
          <w:ilvl w:val="0"/>
          <w:numId w:val="16"/>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9322DA">
        <w:rPr>
          <w:rFonts w:ascii="Verdana" w:hAnsi="Verdana" w:eastAsia="Century Gothic" w:cs="Century Gothic"/>
          <w:b/>
          <w:bCs/>
          <w:lang w:val="es-ES"/>
        </w:rPr>
        <w:t>Respuesta:</w:t>
      </w:r>
    </w:p>
    <w:p w:rsidRPr="009322DA" w:rsidR="00E80F98" w:rsidP="00E80F98" w:rsidRDefault="00E80F98" w14:paraId="140462F4" w14:textId="77777777">
      <w:pPr>
        <w:tabs>
          <w:tab w:val="left" w:pos="142"/>
          <w:tab w:val="left" w:pos="284"/>
        </w:tabs>
        <w:spacing w:after="0" w:line="276" w:lineRule="auto"/>
        <w:contextualSpacing/>
        <w:jc w:val="both"/>
        <w:rPr>
          <w:rFonts w:ascii="Verdana" w:hAnsi="Verdana" w:eastAsia="Century Gothic" w:cs="Century Gothic"/>
          <w:b/>
          <w:bCs/>
          <w:lang w:val="es-ES"/>
        </w:rPr>
      </w:pPr>
    </w:p>
    <w:tbl>
      <w:tblPr>
        <w:tblStyle w:val="Tablaconcuadrcula1"/>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828"/>
      </w:tblGrid>
      <w:tr w:rsidRPr="009322DA" w:rsidR="00E80F98" w:rsidTr="00EB47BA" w14:paraId="31A2C7F0" w14:textId="77777777">
        <w:tc>
          <w:tcPr>
            <w:tcW w:w="8828" w:type="dxa"/>
            <w:tcBorders>
              <w:top w:val="dotted" w:color="auto" w:sz="4" w:space="0"/>
              <w:left w:val="dotted" w:color="auto" w:sz="4" w:space="0"/>
              <w:bottom w:val="dotted" w:color="auto" w:sz="4" w:space="0"/>
              <w:right w:val="dotted" w:color="auto" w:sz="4" w:space="0"/>
            </w:tcBorders>
          </w:tcPr>
          <w:p w:rsidRPr="002A43BA" w:rsidR="00E80F98" w:rsidP="00E80F98" w:rsidRDefault="00E80F98" w14:paraId="0754F7E5" w14:textId="77777777">
            <w:pPr>
              <w:pStyle w:val="Prrafodelista"/>
              <w:numPr>
                <w:ilvl w:val="0"/>
                <w:numId w:val="18"/>
              </w:numPr>
              <w:spacing w:after="120" w:line="276" w:lineRule="auto"/>
              <w:jc w:val="both"/>
              <w:rPr>
                <w:rFonts w:ascii="Verdana" w:hAnsi="Verdana" w:eastAsia="Calibri" w:cs="Arial"/>
              </w:rPr>
            </w:pPr>
            <w:r w:rsidRPr="002A43BA">
              <w:rPr>
                <w:rFonts w:ascii="Verdana" w:hAnsi="Verdana" w:eastAsia="Calibri" w:cs="Arial"/>
              </w:rPr>
              <w:t xml:space="preserve">La etapa de liquidación cuenta con unos plazos específicos establecidos por el artículo 11 de la Ley 1150 de 2007: </w:t>
            </w:r>
            <w:r>
              <w:rPr>
                <w:rFonts w:ascii="Verdana" w:hAnsi="Verdana" w:eastAsia="Calibri" w:cs="Arial"/>
              </w:rPr>
              <w:t>a</w:t>
            </w:r>
            <w:r w:rsidRPr="002A43BA">
              <w:rPr>
                <w:rFonts w:ascii="Verdana" w:hAnsi="Verdana" w:eastAsia="Calibri" w:cs="Arial"/>
              </w:rPr>
              <w:t xml:space="preserve">) el plazo convencionalmente establecido por las partes o, en su ausencia, el término supletivo establecido para la liquidación bilateral de 4 meses; </w:t>
            </w:r>
            <w:r>
              <w:rPr>
                <w:rFonts w:ascii="Verdana" w:hAnsi="Verdana" w:eastAsia="Calibri" w:cs="Arial"/>
              </w:rPr>
              <w:t>b</w:t>
            </w:r>
            <w:r w:rsidRPr="002A43BA">
              <w:rPr>
                <w:rFonts w:ascii="Verdana" w:hAnsi="Verdana" w:eastAsia="Calibri" w:cs="Arial"/>
              </w:rPr>
              <w:t xml:space="preserve">) uno siguiente de 2 meses para realizar la liquidación de forma unilateral por parte de la Entidad Estatal, y </w:t>
            </w:r>
            <w:r>
              <w:rPr>
                <w:rFonts w:ascii="Verdana" w:hAnsi="Verdana" w:eastAsia="Calibri" w:cs="Arial"/>
              </w:rPr>
              <w:t>c</w:t>
            </w:r>
            <w:r w:rsidRPr="002A43BA">
              <w:rPr>
                <w:rFonts w:ascii="Verdana" w:hAnsi="Verdana" w:eastAsia="Calibri" w:cs="Arial"/>
              </w:rPr>
              <w:t xml:space="preserve">) vencidos estos plazos, existe la posibilidad de liquidar de mutuo acuerdo o unilateralmente el contrato dentro de los 2 años siguientes, sin perjuicio de acudir a un proceso donde se pretenda la liquidación judicial. </w:t>
            </w:r>
          </w:p>
          <w:p w:rsidRPr="002A43BA" w:rsidR="00E80F98" w:rsidP="00EB47BA" w:rsidRDefault="00E80F98" w14:paraId="61B6CA15" w14:textId="77777777">
            <w:pPr>
              <w:pStyle w:val="Prrafodelista"/>
              <w:spacing w:after="120" w:line="276" w:lineRule="auto"/>
              <w:ind w:left="1080"/>
              <w:jc w:val="both"/>
              <w:rPr>
                <w:rFonts w:ascii="Verdana" w:hAnsi="Verdana" w:eastAsia="Calibri" w:cs="Arial"/>
              </w:rPr>
            </w:pPr>
          </w:p>
          <w:p w:rsidRPr="004F44AA" w:rsidR="00E80F98" w:rsidP="00E80F98" w:rsidRDefault="00E80F98" w14:paraId="3C7362D1" w14:textId="77777777">
            <w:pPr>
              <w:pStyle w:val="Prrafodelista"/>
              <w:numPr>
                <w:ilvl w:val="0"/>
                <w:numId w:val="18"/>
              </w:numPr>
              <w:spacing w:after="120" w:line="276" w:lineRule="auto"/>
              <w:jc w:val="both"/>
              <w:rPr>
                <w:rFonts w:ascii="Verdana" w:hAnsi="Verdana" w:eastAsia="Calibri" w:cs="Arial"/>
              </w:rPr>
            </w:pPr>
            <w:r w:rsidRPr="002A43BA">
              <w:rPr>
                <w:rFonts w:ascii="Verdana" w:hAnsi="Verdana" w:eastAsia="Calibri" w:cs="Arial"/>
              </w:rPr>
              <w:t>Sin embargo, es necesario resaltar que de acuerdo con 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 , así como la probabilidad de que puedan surgir diferencias durante la ejecución del 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tc>
      </w:tr>
    </w:tbl>
    <w:p w:rsidRPr="009322DA" w:rsidR="00E80F98" w:rsidP="00E80F98" w:rsidRDefault="00E80F98" w14:paraId="4CDD1E20" w14:textId="77777777">
      <w:pPr>
        <w:tabs>
          <w:tab w:val="left" w:pos="142"/>
          <w:tab w:val="left" w:pos="284"/>
        </w:tabs>
        <w:spacing w:after="0" w:line="276" w:lineRule="auto"/>
        <w:jc w:val="both"/>
        <w:rPr>
          <w:rFonts w:ascii="Verdana" w:hAnsi="Verdana" w:eastAsia="Century Gothic" w:cs="Century Gothic"/>
          <w:b/>
          <w:bCs/>
          <w:lang w:val="es-ES"/>
        </w:rPr>
      </w:pPr>
    </w:p>
    <w:p w:rsidRPr="009322DA" w:rsidR="00E80F98" w:rsidP="00E80F98" w:rsidRDefault="00E80F98" w14:paraId="59D98698" w14:textId="77777777">
      <w:pPr>
        <w:tabs>
          <w:tab w:val="left" w:pos="142"/>
          <w:tab w:val="left" w:pos="284"/>
        </w:tabs>
        <w:spacing w:after="0" w:line="276" w:lineRule="auto"/>
        <w:jc w:val="both"/>
        <w:rPr>
          <w:rFonts w:ascii="Verdana" w:hAnsi="Verdana" w:eastAsia="Century Gothic" w:cs="Century Gothic"/>
          <w:b/>
          <w:bCs/>
          <w:lang w:val="es-ES"/>
        </w:rPr>
      </w:pPr>
    </w:p>
    <w:p w:rsidRPr="009322DA" w:rsidR="00E80F98" w:rsidP="00E80F98" w:rsidRDefault="00E80F98" w14:paraId="090D4E50" w14:textId="77777777">
      <w:pPr>
        <w:numPr>
          <w:ilvl w:val="0"/>
          <w:numId w:val="16"/>
        </w:numPr>
        <w:tabs>
          <w:tab w:val="left" w:pos="142"/>
          <w:tab w:val="left" w:pos="284"/>
        </w:tabs>
        <w:spacing w:after="0" w:line="276" w:lineRule="auto"/>
        <w:ind w:left="0" w:firstLine="0"/>
        <w:contextualSpacing/>
        <w:jc w:val="both"/>
        <w:rPr>
          <w:rFonts w:ascii="Verdana" w:hAnsi="Verdana" w:eastAsia="Century Gothic" w:cs="Century Gothic"/>
          <w:b/>
          <w:bCs/>
          <w:lang w:val="es-ES"/>
        </w:rPr>
      </w:pPr>
      <w:r w:rsidRPr="009322DA">
        <w:rPr>
          <w:rFonts w:ascii="Verdana" w:hAnsi="Verdana" w:eastAsia="Century Gothic" w:cs="Century Gothic"/>
          <w:b/>
          <w:bCs/>
          <w:lang w:val="es-ES"/>
        </w:rPr>
        <w:t>Razones de la respuesta:</w:t>
      </w:r>
    </w:p>
    <w:p w:rsidRPr="009322DA" w:rsidR="00E80F98" w:rsidP="00E80F98" w:rsidRDefault="00E80F98" w14:paraId="5E82056A" w14:textId="77777777">
      <w:pPr>
        <w:spacing w:after="0" w:line="276" w:lineRule="auto"/>
        <w:jc w:val="both"/>
        <w:rPr>
          <w:rFonts w:ascii="Verdana" w:hAnsi="Verdana" w:eastAsia="Calibri" w:cs="Arial"/>
          <w:lang w:val="es-ES"/>
        </w:rPr>
      </w:pPr>
    </w:p>
    <w:p w:rsidR="00E80F98" w:rsidP="00E80F98" w:rsidRDefault="00E80F98" w14:paraId="3D168FBF" w14:textId="77777777">
      <w:pPr>
        <w:spacing w:after="0" w:line="276" w:lineRule="auto"/>
        <w:jc w:val="both"/>
        <w:rPr>
          <w:rFonts w:ascii="Verdana" w:hAnsi="Verdana" w:eastAsia="Calibri" w:cs="Arial"/>
          <w:lang w:val="es-ES"/>
        </w:rPr>
      </w:pPr>
      <w:r w:rsidRPr="009322DA">
        <w:rPr>
          <w:rFonts w:ascii="Verdana" w:hAnsi="Verdana" w:eastAsia="Calibri" w:cs="Arial"/>
          <w:lang w:val="es-ES"/>
        </w:rPr>
        <w:t xml:space="preserve">Lo anterior se sustenta en las siguientes consideraciones: </w:t>
      </w:r>
    </w:p>
    <w:p w:rsidR="00E80F98" w:rsidP="00E80F98" w:rsidRDefault="00E80F98" w14:paraId="25955CDE" w14:textId="77777777">
      <w:pPr>
        <w:spacing w:after="0" w:line="276" w:lineRule="auto"/>
        <w:jc w:val="both"/>
        <w:rPr>
          <w:rFonts w:ascii="Verdana" w:hAnsi="Verdana" w:eastAsia="Calibri" w:cs="Arial"/>
          <w:lang w:val="es-ES"/>
        </w:rPr>
      </w:pPr>
    </w:p>
    <w:p w:rsidRPr="00F80DEF" w:rsidR="00E80F98" w:rsidP="00E80F98" w:rsidRDefault="00E80F98" w14:paraId="6E187940" w14:textId="77777777">
      <w:pPr>
        <w:pStyle w:val="Prrafodelista"/>
        <w:numPr>
          <w:ilvl w:val="0"/>
          <w:numId w:val="21"/>
        </w:numPr>
        <w:jc w:val="both"/>
        <w:rPr>
          <w:rFonts w:ascii="Verdana" w:hAnsi="Verdana" w:eastAsia="Calibri" w:cs="Arial"/>
          <w:bCs/>
          <w:color w:val="000000"/>
        </w:rPr>
      </w:pPr>
      <w:r w:rsidRPr="00F80DEF">
        <w:rPr>
          <w:rFonts w:ascii="Verdana" w:hAnsi="Verdana" w:eastAsia="Calibri" w:cs="Arial"/>
          <w:bCs/>
          <w:color w:val="000000"/>
        </w:rPr>
        <w:t>Las disposiciones legales que regulan la etapa de liquidación de los contratos estatales son el artículo 60 de la Ley 80 de 1993, modificado por el artículo 217 del Decreto 019 de 2012, y el artículo 11 de la Ley 1150 de 2007. El primero de estos artículos se refiere al alcance sustantivo de la liquidación y los contratos en que procede, mientras que el segundo contiene reglas procedimentales para su realización. En relación con el artículo 60 referido, la doctrina ha indicado que:</w:t>
      </w:r>
    </w:p>
    <w:p w:rsidRPr="00F80DEF" w:rsidR="00E80F98" w:rsidP="00E80F98" w:rsidRDefault="00E80F98" w14:paraId="3BF08CD4" w14:textId="77777777">
      <w:pPr>
        <w:ind w:left="1416"/>
        <w:jc w:val="both"/>
        <w:rPr>
          <w:rFonts w:ascii="Verdana" w:hAnsi="Verdana" w:eastAsia="Calibri" w:cs="Arial"/>
          <w:bCs/>
          <w:color w:val="000000"/>
          <w:sz w:val="20"/>
          <w:szCs w:val="20"/>
          <w:lang w:val="es-ES"/>
        </w:rPr>
      </w:pPr>
      <w:r w:rsidRPr="00F80DEF">
        <w:rPr>
          <w:rFonts w:ascii="Verdana" w:hAnsi="Verdana" w:eastAsia="Calibri" w:cs="Arial"/>
          <w:bCs/>
          <w:color w:val="000000"/>
          <w:sz w:val="20"/>
          <w:szCs w:val="20"/>
          <w:lang w:val="es-ES"/>
        </w:rPr>
        <w:t xml:space="preserve">“La ley 80 de 1993 […] dispuso en el artículo 60 que serían objeto de liquidación todos los contratos de tracto sucesivo, entendiendo por estos los de ejecución y cumplimiento prolongados en el tiempo, así como los demás que lo requieran –que son generalmente aquellos de ejecución instantánea en los que la misma se ha extendido temporalmente–, etapa en la cual las partes debían acordar los ajustes, revisiones y reconocimientos a que hubiera lugar, y que el contenido de la misma debía reflejar «los acuerdos, conciliaciones y transacciones a que llegaren las </w:t>
      </w:r>
      <w:r w:rsidRPr="00F80DEF">
        <w:rPr>
          <w:rFonts w:ascii="Verdana" w:hAnsi="Verdana" w:eastAsia="Calibri" w:cs="Arial"/>
          <w:bCs/>
          <w:color w:val="000000"/>
          <w:sz w:val="20"/>
          <w:szCs w:val="20"/>
          <w:lang w:val="es-ES"/>
        </w:rPr>
        <w:t>partes para poner fin a las divergencias presentadas y poder declararse a paz y salvo</w:t>
      </w:r>
      <w:r w:rsidRPr="00F80DEF">
        <w:rPr>
          <w:rFonts w:ascii="Verdana" w:hAnsi="Verdana" w:eastAsia="Calibri" w:cs="Arial"/>
          <w:bCs/>
          <w:color w:val="000000"/>
          <w:sz w:val="10"/>
          <w:szCs w:val="10"/>
          <w:lang w:val="es-ES"/>
        </w:rPr>
        <w:footnoteReference w:id="1"/>
      </w:r>
      <w:r w:rsidRPr="00F80DEF">
        <w:rPr>
          <w:rFonts w:ascii="Verdana" w:hAnsi="Verdana" w:eastAsia="Calibri" w:cs="Arial"/>
          <w:bCs/>
          <w:color w:val="000000"/>
          <w:sz w:val="20"/>
          <w:szCs w:val="20"/>
          <w:lang w:val="es-ES"/>
        </w:rPr>
        <w:t>.”</w:t>
      </w:r>
    </w:p>
    <w:p w:rsidRPr="00F80DEF" w:rsidR="00E80F98" w:rsidP="00E80F98" w:rsidRDefault="00E80F98" w14:paraId="16576F2B" w14:textId="77777777">
      <w:pPr>
        <w:jc w:val="both"/>
        <w:rPr>
          <w:rFonts w:ascii="Verdana" w:hAnsi="Verdana" w:eastAsia="Calibri" w:cs="Arial"/>
          <w:bCs/>
          <w:color w:val="000000"/>
          <w:lang w:val="es-ES_tradnl"/>
        </w:rPr>
      </w:pPr>
    </w:p>
    <w:p w:rsidRPr="00F80DEF" w:rsidR="00E80F98" w:rsidP="00E80F98" w:rsidRDefault="00E80F98" w14:paraId="33508968" w14:textId="77777777">
      <w:pPr>
        <w:numPr>
          <w:ilvl w:val="0"/>
          <w:numId w:val="20"/>
        </w:numPr>
        <w:jc w:val="both"/>
        <w:rPr>
          <w:rFonts w:ascii="Verdana" w:hAnsi="Verdana" w:eastAsia="Calibri" w:cs="Arial"/>
          <w:bCs/>
          <w:color w:val="000000"/>
          <w:lang w:val="es-ES"/>
        </w:rPr>
      </w:pPr>
      <w:r w:rsidRPr="00F80DEF">
        <w:rPr>
          <w:rFonts w:ascii="Verdana" w:hAnsi="Verdana" w:eastAsia="Calibri" w:cs="Arial"/>
          <w:bCs/>
          <w:color w:val="000000"/>
          <w:lang w:val="es-ES"/>
        </w:rPr>
        <w:t>El artículo 60 de la Ley 80 de 1993, los contratos de tracto sucesivo, aquellos cuyo cumplimiento o ejecución se prolongue en el tiempo y los demás que lo requieran “serán objeto de liquidación”. El mismo artículo prescribe que no será obligatoria la liquidación en los contratos de prestación de servicios profesionales y de apoyo a la gestión. Adicionalmente, en los contratos las entidades estatales deben definir la oportunidad y forma de recibir el objeto contratado y, en cada caso, si un contrato requiere o no de liquidación, con arreglo a criterios tales como la naturaleza, objeto y plazo del contrato</w:t>
      </w:r>
      <w:r w:rsidRPr="00F80DEF">
        <w:rPr>
          <w:rFonts w:ascii="Verdana" w:hAnsi="Verdana" w:eastAsia="Calibri" w:cs="Arial"/>
          <w:bCs/>
          <w:color w:val="000000"/>
          <w:lang w:val="es-ES"/>
        </w:rPr>
        <w:footnoteReference w:id="2"/>
      </w:r>
      <w:r w:rsidRPr="00F80DEF">
        <w:rPr>
          <w:rFonts w:ascii="Verdana" w:hAnsi="Verdana" w:eastAsia="Calibri" w:cs="Arial"/>
          <w:bCs/>
          <w:color w:val="000000"/>
          <w:lang w:val="es-ES"/>
        </w:rPr>
        <w:t>, así como la probabilidad de que puedan surgir diferencias durante la ejecución del contrato; sin perjuicio de que, como se indicó, todos los contratos estatales de tracto sucesivo o aquellos cuya ejecución se prolongue en el tiempo siempre deban liquidarse, convirtiéndose en estos contratos en una cláusula de la naturaleza, conforme a la clasificación prevista en el Código Civil.</w:t>
      </w:r>
    </w:p>
    <w:p w:rsidRPr="00F80DEF" w:rsidR="00E80F98" w:rsidP="00E80F98" w:rsidRDefault="00E80F98" w14:paraId="33B42AE1" w14:textId="77777777">
      <w:pPr>
        <w:jc w:val="both"/>
        <w:rPr>
          <w:rFonts w:ascii="Verdana" w:hAnsi="Verdana" w:eastAsia="Calibri" w:cs="Arial"/>
          <w:bCs/>
          <w:color w:val="000000"/>
          <w:lang w:val="es-ES"/>
        </w:rPr>
      </w:pPr>
    </w:p>
    <w:p w:rsidRPr="00F80DEF" w:rsidR="00E80F98" w:rsidP="00E80F98" w:rsidRDefault="00E80F98" w14:paraId="21DDDA40" w14:textId="77777777">
      <w:pPr>
        <w:numPr>
          <w:ilvl w:val="0"/>
          <w:numId w:val="20"/>
        </w:numPr>
        <w:jc w:val="both"/>
        <w:rPr>
          <w:rFonts w:ascii="Verdana" w:hAnsi="Verdana" w:eastAsia="Calibri" w:cs="Arial"/>
          <w:bCs/>
          <w:color w:val="000000"/>
          <w:lang w:val="es-ES"/>
        </w:rPr>
      </w:pPr>
      <w:r w:rsidRPr="00F80DEF">
        <w:rPr>
          <w:rFonts w:ascii="Verdana" w:hAnsi="Verdana" w:eastAsia="Calibri" w:cs="Arial"/>
          <w:bCs/>
          <w:color w:val="000000"/>
          <w:lang w:val="es-ES"/>
        </w:rPr>
        <w:t>El artículo 11 de la Ley 1150 de 2007</w:t>
      </w:r>
      <w:r w:rsidRPr="00F80DEF">
        <w:rPr>
          <w:rFonts w:ascii="Verdana" w:hAnsi="Verdana" w:eastAsia="Calibri" w:cs="Arial"/>
          <w:bCs/>
          <w:color w:val="000000"/>
          <w:lang w:val="es-ES"/>
        </w:rPr>
        <w:footnoteReference w:id="3"/>
      </w:r>
      <w:r w:rsidRPr="00F80DEF">
        <w:rPr>
          <w:rFonts w:ascii="Verdana" w:hAnsi="Verdana" w:eastAsia="Calibri" w:cs="Arial"/>
          <w:bCs/>
          <w:color w:val="000000"/>
          <w:lang w:val="es-ES"/>
        </w:rPr>
        <w:t xml:space="preserve"> contiene las reglas de tipo procedimental para liquidar los contratos estatales, las cuales se pasan a explicar. En primer lugar, en ejercicio de la autonomía de la voluntad y de conformidad con los criterios de la naturaleza, objeto y plazo del contrato, la entidad puede definir en el pliego de condiciones o en el contrato el </w:t>
      </w:r>
      <w:r w:rsidRPr="00F80DEF">
        <w:rPr>
          <w:rFonts w:ascii="Verdana" w:hAnsi="Verdana" w:eastAsia="Calibri" w:cs="Arial"/>
          <w:bCs/>
          <w:color w:val="000000"/>
          <w:lang w:val="es-ES"/>
        </w:rPr>
        <w:t xml:space="preserve">plazo para efectuar la liquidación de mutuo acuerdo. En ausencia de pacto contractual, el artículo 11 de la Ley 1150 de 2007 prevé un término supletivo de 4 meses contados desde: i) el vencimiento del plazo previsto para la ejecución del contrato; </w:t>
      </w:r>
      <w:proofErr w:type="spellStart"/>
      <w:r w:rsidRPr="00F80DEF">
        <w:rPr>
          <w:rFonts w:ascii="Verdana" w:hAnsi="Verdana" w:eastAsia="Calibri" w:cs="Arial"/>
          <w:bCs/>
          <w:color w:val="000000"/>
          <w:lang w:val="es-ES"/>
        </w:rPr>
        <w:t>ii</w:t>
      </w:r>
      <w:proofErr w:type="spellEnd"/>
      <w:r w:rsidRPr="00F80DEF">
        <w:rPr>
          <w:rFonts w:ascii="Verdana" w:hAnsi="Verdana" w:eastAsia="Calibri" w:cs="Arial"/>
          <w:bCs/>
          <w:color w:val="000000"/>
          <w:lang w:val="es-ES"/>
        </w:rPr>
        <w:t xml:space="preserve">) la expedición del acto administrativo que ordene la terminación del contrato; o, </w:t>
      </w:r>
      <w:proofErr w:type="spellStart"/>
      <w:r w:rsidRPr="00F80DEF">
        <w:rPr>
          <w:rFonts w:ascii="Verdana" w:hAnsi="Verdana" w:eastAsia="Calibri" w:cs="Arial"/>
          <w:bCs/>
          <w:color w:val="000000"/>
          <w:lang w:val="es-ES"/>
        </w:rPr>
        <w:t>iii</w:t>
      </w:r>
      <w:proofErr w:type="spellEnd"/>
      <w:r w:rsidRPr="00F80DEF">
        <w:rPr>
          <w:rFonts w:ascii="Verdana" w:hAnsi="Verdana" w:eastAsia="Calibri" w:cs="Arial"/>
          <w:bCs/>
          <w:color w:val="000000"/>
          <w:lang w:val="es-ES"/>
        </w:rPr>
        <w:t>) la fecha del acuerdo que disponga la terminación del contrato.</w:t>
      </w:r>
    </w:p>
    <w:p w:rsidRPr="00F80DEF" w:rsidR="00E80F98" w:rsidP="00E80F98" w:rsidRDefault="00E80F98" w14:paraId="570A7AED" w14:textId="77777777">
      <w:pPr>
        <w:jc w:val="both"/>
        <w:rPr>
          <w:rFonts w:ascii="Verdana" w:hAnsi="Verdana" w:eastAsia="Calibri" w:cs="Arial"/>
          <w:bCs/>
          <w:color w:val="000000"/>
          <w:lang w:val="es-ES"/>
        </w:rPr>
      </w:pPr>
    </w:p>
    <w:p w:rsidRPr="00F80DEF" w:rsidR="00E80F98" w:rsidP="00E80F98" w:rsidRDefault="00E80F98" w14:paraId="481AC059" w14:textId="77777777">
      <w:pPr>
        <w:numPr>
          <w:ilvl w:val="0"/>
          <w:numId w:val="20"/>
        </w:numPr>
        <w:jc w:val="both"/>
        <w:rPr>
          <w:rFonts w:ascii="Verdana" w:hAnsi="Verdana" w:eastAsia="Calibri" w:cs="Arial"/>
          <w:bCs/>
          <w:color w:val="000000"/>
          <w:lang w:val="es-MX"/>
        </w:rPr>
      </w:pPr>
      <w:r w:rsidRPr="00F80DEF">
        <w:rPr>
          <w:rFonts w:ascii="Verdana" w:hAnsi="Verdana" w:eastAsia="Calibri" w:cs="Arial"/>
          <w:bCs/>
          <w:color w:val="000000"/>
          <w:lang w:val="es-MX"/>
        </w:rPr>
        <w:t>El mismo artículo 11 de la Ley 1150 de 2007 señala que la liquidación de mutuo acuerdo deberá realizar dentro del plazo previsto en “los pliegos de condiciones o sus equivalentes, o dentro del que acuerden las partes para el efecto”. Para dilucidar a qué se refiere la norma con “equivalentes” resulta necesario tener presente que el pliego de condiciones es un documento contentivo de las reglas aplicables a un determinado proceso de selección, que “materializa los principios de planeación contractual y de trasparencia, comoquiera que su adecuada formulación permite o garantiza la selección objetiva del contratista de acuerdo con los parámetros de calificación correspondientes para cada tipo de procedimiento [y que] constituye la ley tanto del procedimiento administrativo de selección del contratista, como del contrato a celebrar”</w:t>
      </w:r>
      <w:r w:rsidRPr="00F80DEF">
        <w:rPr>
          <w:rFonts w:ascii="Verdana" w:hAnsi="Verdana" w:eastAsia="Calibri" w:cs="Arial"/>
          <w:bCs/>
          <w:color w:val="000000"/>
          <w:lang w:val="es-MX"/>
        </w:rPr>
        <w:footnoteReference w:id="4"/>
      </w:r>
      <w:r w:rsidRPr="00F80DEF">
        <w:rPr>
          <w:rFonts w:ascii="Verdana" w:hAnsi="Verdana" w:eastAsia="Calibri" w:cs="Arial"/>
          <w:bCs/>
          <w:color w:val="000000"/>
          <w:lang w:val="es-MX"/>
        </w:rPr>
        <w:t>. A partir de tales características debe determinarse la equivalencia de un documento con un pliego de condiciones, la cual se puede ejemplificar claramente con la invitación a participar en los procesos de mínima cuantía</w:t>
      </w:r>
      <w:r w:rsidRPr="00F80DEF">
        <w:rPr>
          <w:rFonts w:ascii="Verdana" w:hAnsi="Verdana" w:eastAsia="Calibri" w:cs="Arial"/>
          <w:bCs/>
          <w:color w:val="000000"/>
          <w:lang w:val="es-MX"/>
        </w:rPr>
        <w:footnoteReference w:id="5"/>
      </w:r>
      <w:r w:rsidRPr="00F80DEF">
        <w:rPr>
          <w:rFonts w:ascii="Verdana" w:hAnsi="Verdana" w:eastAsia="Calibri" w:cs="Arial"/>
          <w:bCs/>
          <w:color w:val="000000"/>
          <w:lang w:val="es-MX"/>
        </w:rPr>
        <w:t xml:space="preserve">, documento dentro del cual la entidad contratante debe fijar las reglas aplicables al procedimiento de selección, cumpliendo con la función del pliego de condiciones. En tal sentido, es un documento «equivalente» del mismo en los términos del artículo 11 </w:t>
      </w:r>
      <w:proofErr w:type="spellStart"/>
      <w:r w:rsidRPr="00F80DEF">
        <w:rPr>
          <w:rFonts w:ascii="Verdana" w:hAnsi="Verdana" w:eastAsia="Calibri" w:cs="Arial"/>
          <w:bCs/>
          <w:i/>
          <w:iCs/>
          <w:color w:val="000000"/>
          <w:lang w:val="es-MX"/>
        </w:rPr>
        <w:t>Ibídem</w:t>
      </w:r>
      <w:proofErr w:type="spellEnd"/>
      <w:r w:rsidRPr="00F80DEF">
        <w:rPr>
          <w:rFonts w:ascii="Verdana" w:hAnsi="Verdana" w:eastAsia="Calibri" w:cs="Arial"/>
          <w:bCs/>
          <w:i/>
          <w:iCs/>
          <w:color w:val="000000"/>
          <w:lang w:val="es-MX"/>
        </w:rPr>
        <w:t>,</w:t>
      </w:r>
      <w:r w:rsidRPr="00F80DEF">
        <w:rPr>
          <w:rFonts w:ascii="Verdana" w:hAnsi="Verdana" w:eastAsia="Calibri" w:cs="Arial"/>
          <w:bCs/>
          <w:color w:val="000000"/>
          <w:lang w:val="es-MX"/>
        </w:rPr>
        <w:t xml:space="preserve"> dentro del cual es viable establecer el plazo para la liquidación de mutuo acuerdo. </w:t>
      </w:r>
    </w:p>
    <w:p w:rsidRPr="00F80DEF" w:rsidR="00E80F98" w:rsidP="00E80F98" w:rsidRDefault="00E80F98" w14:paraId="4551DF89" w14:textId="77777777">
      <w:pPr>
        <w:jc w:val="both"/>
        <w:rPr>
          <w:rFonts w:ascii="Verdana" w:hAnsi="Verdana" w:eastAsia="Calibri" w:cs="Arial"/>
          <w:bCs/>
          <w:color w:val="000000"/>
          <w:lang w:val="es-MX"/>
        </w:rPr>
      </w:pPr>
    </w:p>
    <w:p w:rsidRPr="00F80DEF" w:rsidR="00E80F98" w:rsidP="00E80F98" w:rsidRDefault="00E80F98" w14:paraId="70F9765D" w14:textId="77777777">
      <w:pPr>
        <w:numPr>
          <w:ilvl w:val="0"/>
          <w:numId w:val="20"/>
        </w:numPr>
        <w:jc w:val="both"/>
        <w:rPr>
          <w:rFonts w:ascii="Verdana" w:hAnsi="Verdana" w:eastAsia="Calibri" w:cs="Arial"/>
          <w:bCs/>
          <w:color w:val="000000"/>
          <w:lang w:val="es-MX"/>
        </w:rPr>
      </w:pPr>
      <w:r w:rsidRPr="00F80DEF">
        <w:rPr>
          <w:rFonts w:ascii="Verdana" w:hAnsi="Verdana" w:eastAsia="Calibri" w:cs="Arial"/>
          <w:bCs/>
          <w:color w:val="000000"/>
          <w:lang w:val="es-MX"/>
        </w:rPr>
        <w:t>El término de 4 meses previsto en el artículo 11 de la Ley 1150 de 2007, dado su carácter supletivo, solo resulta aplicable ante la ausencia de regulación de este en el pliego de condiciones –documento equivalente– o acuerdo entre las partes en torno al plazo de liquidación bilateral. Por lo tanto, las partes, en desarrollo de la autonomía de la voluntad que les asiste, están habilitadas para pactar un término diferente, el cual puede ser inferior o incluso superior al plazo supletivo, ante la ausencia de una prohibición normativa al respecto, y ante la existencia, en cambio, de habilitación legal. Sobre este punto, no debe perderse de vista que las actuaciones contractuales regidas por el Estatuto General de Contratación de la Administración pública se encuentran sometidas a los principios de la función administrativa</w:t>
      </w:r>
      <w:r w:rsidRPr="00F80DEF">
        <w:rPr>
          <w:rFonts w:ascii="Verdana" w:hAnsi="Verdana" w:eastAsia="Calibri" w:cs="Arial"/>
          <w:bCs/>
          <w:color w:val="000000"/>
          <w:lang w:val="es-MX"/>
        </w:rPr>
        <w:footnoteReference w:id="6"/>
      </w:r>
      <w:r w:rsidRPr="00F80DEF">
        <w:rPr>
          <w:rFonts w:ascii="Verdana" w:hAnsi="Verdana" w:eastAsia="Calibri" w:cs="Arial"/>
          <w:bCs/>
          <w:color w:val="000000"/>
          <w:lang w:val="es-MX"/>
        </w:rPr>
        <w:t>, lo cual implica que las mismas se desarrollen en procura de la economía y la celeridad</w:t>
      </w:r>
      <w:r w:rsidRPr="00F80DEF">
        <w:rPr>
          <w:rFonts w:ascii="Verdana" w:hAnsi="Verdana" w:eastAsia="Calibri" w:cs="Arial"/>
          <w:bCs/>
          <w:color w:val="000000"/>
          <w:lang w:val="es-MX"/>
        </w:rPr>
        <w:footnoteReference w:id="7"/>
      </w:r>
      <w:r w:rsidRPr="00F80DEF">
        <w:rPr>
          <w:rFonts w:ascii="Verdana" w:hAnsi="Verdana" w:eastAsia="Calibri" w:cs="Arial"/>
          <w:bCs/>
          <w:color w:val="000000"/>
          <w:lang w:val="es-MX"/>
        </w:rPr>
        <w:t>. Esto significa que, en ejercicio de la facultad que les asiste para fijar el plazo para la liquidación bilateral, las partes deben actuar en garantía de estos principios, por lo que el término que se acuerde debe ser fijado de manera razonable.</w:t>
      </w:r>
    </w:p>
    <w:p w:rsidRPr="00F80DEF" w:rsidR="00E80F98" w:rsidP="00E80F98" w:rsidRDefault="00E80F98" w14:paraId="2D3EC7B2" w14:textId="77777777">
      <w:pPr>
        <w:jc w:val="both"/>
        <w:rPr>
          <w:rFonts w:ascii="Verdana" w:hAnsi="Verdana" w:eastAsia="Calibri" w:cs="Arial"/>
          <w:bCs/>
          <w:color w:val="000000"/>
          <w:lang w:val="es-MX"/>
        </w:rPr>
      </w:pPr>
    </w:p>
    <w:p w:rsidRPr="00F80DEF" w:rsidR="00E80F98" w:rsidP="00E80F98" w:rsidRDefault="00E80F98" w14:paraId="5C7FBF85" w14:textId="77777777">
      <w:pPr>
        <w:numPr>
          <w:ilvl w:val="0"/>
          <w:numId w:val="20"/>
        </w:numPr>
        <w:jc w:val="both"/>
        <w:rPr>
          <w:rFonts w:ascii="Verdana" w:hAnsi="Verdana" w:eastAsia="Calibri" w:cs="Arial"/>
          <w:bCs/>
          <w:color w:val="000000"/>
          <w:lang w:val="es-MX"/>
        </w:rPr>
      </w:pPr>
      <w:r w:rsidRPr="00F80DEF">
        <w:rPr>
          <w:rFonts w:ascii="Verdana" w:hAnsi="Verdana" w:eastAsia="Calibri" w:cs="Arial"/>
          <w:bCs/>
          <w:color w:val="000000"/>
          <w:lang w:val="es-MX"/>
        </w:rPr>
        <w:t xml:space="preserve">Si no es posible efectuar la liquidación de manera bilateral, el ordenamiento jurídico prevé una facultad, de carácter subsidiario, para que la Entidad Estatal realice la liquidación unilateralmente. En relación </w:t>
      </w:r>
      <w:r w:rsidRPr="00F80DEF">
        <w:rPr>
          <w:rFonts w:ascii="Verdana" w:hAnsi="Verdana" w:eastAsia="Calibri" w:cs="Arial"/>
          <w:bCs/>
          <w:color w:val="000000"/>
          <w:lang w:val="es-MX"/>
        </w:rPr>
        <w:t>con este aspecto, la Sala de Consulta y Servicio Civil del Consejo de Estado, en concepto del 28 de junio de 2016</w:t>
      </w:r>
      <w:r w:rsidRPr="00F80DEF">
        <w:rPr>
          <w:rFonts w:ascii="Verdana" w:hAnsi="Verdana" w:eastAsia="Calibri" w:cs="Arial"/>
          <w:bCs/>
          <w:color w:val="000000"/>
          <w:lang w:val="es-MX"/>
        </w:rPr>
        <w:footnoteReference w:id="8"/>
      </w:r>
      <w:r w:rsidRPr="00F80DEF">
        <w:rPr>
          <w:rFonts w:ascii="Verdana" w:hAnsi="Verdana" w:eastAsia="Calibri" w:cs="Arial"/>
          <w:bCs/>
          <w:color w:val="000000"/>
          <w:lang w:val="es-MX"/>
        </w:rPr>
        <w:t>, manifestó que:  </w:t>
      </w:r>
    </w:p>
    <w:p w:rsidR="00E80F98" w:rsidP="00E80F98" w:rsidRDefault="00E80F98" w14:paraId="2BE33293" w14:textId="77777777">
      <w:pPr>
        <w:ind w:left="1068"/>
        <w:jc w:val="both"/>
        <w:rPr>
          <w:rFonts w:ascii="Verdana" w:hAnsi="Verdana" w:eastAsia="Calibri" w:cs="Arial"/>
          <w:bCs/>
          <w:color w:val="000000"/>
          <w:sz w:val="20"/>
          <w:szCs w:val="20"/>
          <w:lang w:val="es-MX"/>
        </w:rPr>
      </w:pPr>
      <w:r w:rsidRPr="00F80DEF">
        <w:rPr>
          <w:rFonts w:ascii="Verdana" w:hAnsi="Verdana" w:eastAsia="Calibri" w:cs="Arial"/>
          <w:bCs/>
          <w:color w:val="000000"/>
          <w:sz w:val="20"/>
          <w:szCs w:val="20"/>
          <w:lang w:val="es-MX"/>
        </w:rPr>
        <w:t>“[…] se debe tener en cuenta que la liquidación unilateral es subsidiaria o supletoria frente a la bilateral, dado que el contratista tiene derecho a acordar la liquidación, debidamente reconocido por el ordenamiento jurídico. Para tal efecto, el contratista debe ser convocado o citado por la entidad contratante con el fin de intentar la liquidación bilateral, puesto que en el supuesto caso de que no sea así, la (.liquidación unilateral posterior que llegase a practicar la administración resultaría inválida, dado que no tendría competencia material para hacerla y por cuanto su adopción con tal omisión vulneraría el derecho del contratista al debido proceso y sus corolarios de defensa y contradicción y, además, configuraría un abuso de poder”.   </w:t>
      </w:r>
    </w:p>
    <w:p w:rsidRPr="00F80DEF" w:rsidR="00E80F98" w:rsidP="00E80F98" w:rsidRDefault="00E80F98" w14:paraId="46180266" w14:textId="77777777">
      <w:pPr>
        <w:ind w:left="1068"/>
        <w:jc w:val="both"/>
        <w:rPr>
          <w:rFonts w:ascii="Verdana" w:hAnsi="Verdana" w:eastAsia="Calibri" w:cs="Arial"/>
          <w:bCs/>
          <w:color w:val="000000"/>
          <w:sz w:val="20"/>
          <w:szCs w:val="20"/>
          <w:lang w:val="es-MX"/>
        </w:rPr>
      </w:pPr>
    </w:p>
    <w:p w:rsidRPr="00F80DEF" w:rsidR="00E80F98" w:rsidP="00E80F98" w:rsidRDefault="00E80F98" w14:paraId="2220EA75" w14:textId="77777777">
      <w:pPr>
        <w:pStyle w:val="Prrafodelista"/>
        <w:numPr>
          <w:ilvl w:val="0"/>
          <w:numId w:val="22"/>
        </w:numPr>
        <w:jc w:val="both"/>
        <w:rPr>
          <w:rFonts w:ascii="Verdana" w:hAnsi="Verdana" w:eastAsia="Calibri" w:cs="Arial"/>
          <w:bCs/>
          <w:color w:val="000000"/>
          <w:lang w:val="es-MX"/>
        </w:rPr>
      </w:pPr>
      <w:r w:rsidRPr="00F80DEF">
        <w:rPr>
          <w:rFonts w:ascii="Verdana" w:hAnsi="Verdana" w:eastAsia="Calibri" w:cs="Arial"/>
          <w:bCs/>
          <w:color w:val="000000"/>
          <w:lang w:val="es-MX"/>
        </w:rPr>
        <w:t>Si no se logra la liquidación bilateral del contrato, la Entidad Estatal tiene la facultad de liquidarlo unilateralmente dentro del término de 2 meses contados a partir del vencimiento del plazo que acuerden las partes para liquidar bilateralmente o, ante el silencio de estas, del vencimiento de los 4 meses supletivo establecido por la ley. </w:t>
      </w:r>
    </w:p>
    <w:p w:rsidRPr="00F80DEF" w:rsidR="00E80F98" w:rsidP="00E80F98" w:rsidRDefault="00E80F98" w14:paraId="63CF5774" w14:textId="77777777">
      <w:pPr>
        <w:jc w:val="both"/>
        <w:rPr>
          <w:rFonts w:ascii="Verdana" w:hAnsi="Verdana" w:eastAsia="Calibri" w:cs="Arial"/>
          <w:bCs/>
          <w:color w:val="000000"/>
          <w:lang w:val="es-MX"/>
        </w:rPr>
      </w:pPr>
    </w:p>
    <w:p w:rsidRPr="009322DA" w:rsidR="00E80F98" w:rsidP="00E80F98" w:rsidRDefault="00E80F98" w14:paraId="245AEBE3" w14:textId="77777777">
      <w:pPr>
        <w:jc w:val="both"/>
        <w:rPr>
          <w:rFonts w:ascii="Verdana" w:hAnsi="Verdana" w:eastAsia="Calibri" w:cs="Arial"/>
          <w:b/>
          <w:bCs/>
        </w:rPr>
      </w:pPr>
      <w:r w:rsidRPr="009322DA">
        <w:rPr>
          <w:rFonts w:ascii="Verdana" w:hAnsi="Verdana" w:eastAsia="Calibri" w:cs="Arial"/>
          <w:b/>
          <w:bCs/>
        </w:rPr>
        <w:t>4. Referencias</w:t>
      </w:r>
      <w:r>
        <w:rPr>
          <w:rFonts w:ascii="Verdana" w:hAnsi="Verdana" w:eastAsia="Calibri" w:cs="Arial"/>
          <w:b/>
          <w:bCs/>
        </w:rPr>
        <w:t xml:space="preserve"> </w:t>
      </w:r>
      <w:r w:rsidRPr="009322DA">
        <w:rPr>
          <w:rFonts w:ascii="Verdana" w:hAnsi="Verdana" w:eastAsia="Calibri" w:cs="Arial"/>
          <w:b/>
          <w:bCs/>
        </w:rPr>
        <w:t>normativas, jurisprudenciales y otras fuentes:</w:t>
      </w:r>
    </w:p>
    <w:tbl>
      <w:tblPr>
        <w:tblStyle w:val="Tablaconcuadrcula1"/>
        <w:tblW w:w="8640" w:type="dxa"/>
        <w:tblInd w:w="1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4A0" w:firstRow="1" w:lastRow="0" w:firstColumn="1" w:lastColumn="0" w:noHBand="0" w:noVBand="1"/>
      </w:tblPr>
      <w:tblGrid>
        <w:gridCol w:w="8640"/>
      </w:tblGrid>
      <w:tr w:rsidRPr="009322DA" w:rsidR="00E80F98" w:rsidTr="00EB47BA" w14:paraId="7C651A24" w14:textId="77777777">
        <w:trPr>
          <w:trHeight w:val="1068"/>
        </w:trPr>
        <w:tc>
          <w:tcPr>
            <w:tcW w:w="8647" w:type="dxa"/>
            <w:tcBorders>
              <w:top w:val="dotted" w:color="auto" w:sz="4" w:space="0"/>
              <w:left w:val="dotted" w:color="auto" w:sz="4" w:space="0"/>
              <w:bottom w:val="dotted" w:color="auto" w:sz="4" w:space="0"/>
              <w:right w:val="dotted" w:color="auto" w:sz="4" w:space="0"/>
            </w:tcBorders>
          </w:tcPr>
          <w:p w:rsidRPr="00F80DEF" w:rsidR="00E80F98" w:rsidP="00E80F98" w:rsidRDefault="00E80F98" w14:paraId="4F1828C6" w14:textId="77777777">
            <w:pPr>
              <w:widowControl w:val="0"/>
              <w:numPr>
                <w:ilvl w:val="0"/>
                <w:numId w:val="17"/>
              </w:numPr>
              <w:autoSpaceDE w:val="0"/>
              <w:autoSpaceDN w:val="0"/>
              <w:spacing w:after="120" w:line="276" w:lineRule="auto"/>
              <w:contextualSpacing/>
              <w:jc w:val="both"/>
              <w:rPr>
                <w:rFonts w:ascii="Verdana" w:hAnsi="Verdana" w:cs="Arial"/>
                <w:lang w:val="es-MX"/>
              </w:rPr>
            </w:pPr>
            <w:r w:rsidRPr="00F80DEF">
              <w:rPr>
                <w:rFonts w:ascii="Verdana" w:hAnsi="Verdana" w:cs="Arial"/>
                <w:lang w:val="es-MX"/>
              </w:rPr>
              <w:t xml:space="preserve">Ley 80 de 1993, artículo 60 modificado por el artículo 217 del Decreto 019 de 2012. </w:t>
            </w:r>
          </w:p>
          <w:p w:rsidRPr="00F80DEF" w:rsidR="00E80F98" w:rsidP="00E80F98" w:rsidRDefault="00E80F98" w14:paraId="6CE10E71" w14:textId="77777777">
            <w:pPr>
              <w:widowControl w:val="0"/>
              <w:numPr>
                <w:ilvl w:val="0"/>
                <w:numId w:val="17"/>
              </w:numPr>
              <w:autoSpaceDE w:val="0"/>
              <w:autoSpaceDN w:val="0"/>
              <w:spacing w:after="120" w:line="276" w:lineRule="auto"/>
              <w:contextualSpacing/>
              <w:jc w:val="both"/>
              <w:rPr>
                <w:rFonts w:ascii="Verdana" w:hAnsi="Verdana" w:cs="Arial"/>
                <w:lang w:val="es-MX"/>
              </w:rPr>
            </w:pPr>
            <w:r w:rsidRPr="00F80DEF">
              <w:rPr>
                <w:rFonts w:ascii="Verdana" w:hAnsi="Verdana" w:cs="Arial"/>
                <w:lang w:val="es-MX"/>
              </w:rPr>
              <w:t>Ley 1150 de 2007, artículo 11.</w:t>
            </w:r>
          </w:p>
          <w:p w:rsidRPr="00F80DEF" w:rsidR="00E80F98" w:rsidP="00E80F98" w:rsidRDefault="00E80F98" w14:paraId="10F3EF14" w14:textId="77777777">
            <w:pPr>
              <w:widowControl w:val="0"/>
              <w:numPr>
                <w:ilvl w:val="0"/>
                <w:numId w:val="17"/>
              </w:numPr>
              <w:autoSpaceDE w:val="0"/>
              <w:autoSpaceDN w:val="0"/>
              <w:spacing w:after="120" w:line="276" w:lineRule="auto"/>
              <w:contextualSpacing/>
              <w:jc w:val="both"/>
              <w:rPr>
                <w:rFonts w:ascii="Verdana" w:hAnsi="Verdana" w:cs="Arial"/>
                <w:lang w:val="es-MX"/>
              </w:rPr>
            </w:pPr>
            <w:r w:rsidRPr="00F80DEF">
              <w:rPr>
                <w:rFonts w:ascii="Verdana" w:hAnsi="Verdana" w:cs="Arial"/>
                <w:lang w:val="es-MX"/>
              </w:rPr>
              <w:t xml:space="preserve">Jurisprudencia del Consejo de Estado. Disponible en: </w:t>
            </w:r>
            <w:hyperlink w:history="1" r:id="rId13">
              <w:r w:rsidRPr="006421CD">
                <w:rPr>
                  <w:rStyle w:val="Hipervnculo"/>
                  <w:rFonts w:ascii="Verdana" w:hAnsi="Verdana" w:cs="Arial"/>
                  <w:lang w:val="es-MX"/>
                </w:rPr>
                <w:t>https://relatoria.colombiacompra.gov.co/providencias-consejo-de-estado/</w:t>
              </w:r>
            </w:hyperlink>
            <w:r>
              <w:rPr>
                <w:rFonts w:ascii="Verdana" w:hAnsi="Verdana" w:cs="Arial"/>
                <w:lang w:val="es-MX"/>
              </w:rPr>
              <w:t xml:space="preserve"> </w:t>
            </w:r>
            <w:r w:rsidRPr="00F80DEF">
              <w:rPr>
                <w:rFonts w:ascii="Verdana" w:hAnsi="Verdana" w:cs="Arial"/>
                <w:lang w:val="es-MX"/>
              </w:rPr>
              <w:t xml:space="preserve"> </w:t>
            </w:r>
          </w:p>
          <w:p w:rsidRPr="00F80DEF" w:rsidR="00E80F98" w:rsidP="00E80F98" w:rsidRDefault="00E80F98" w14:paraId="792786A3" w14:textId="77777777">
            <w:pPr>
              <w:widowControl w:val="0"/>
              <w:numPr>
                <w:ilvl w:val="0"/>
                <w:numId w:val="17"/>
              </w:numPr>
              <w:autoSpaceDE w:val="0"/>
              <w:autoSpaceDN w:val="0"/>
              <w:spacing w:after="120" w:line="276" w:lineRule="auto"/>
              <w:contextualSpacing/>
              <w:jc w:val="both"/>
              <w:rPr>
                <w:rFonts w:ascii="Verdana" w:hAnsi="Verdana" w:cs="Arial"/>
                <w:lang w:val="es-MX"/>
              </w:rPr>
            </w:pPr>
            <w:r w:rsidRPr="00F80DEF">
              <w:rPr>
                <w:rFonts w:ascii="Verdana" w:hAnsi="Verdana" w:cs="Arial"/>
                <w:lang w:val="es-MX"/>
              </w:rPr>
              <w:t xml:space="preserve">Guías y manuales expedidos por la ANCP-CCE. Disponible en: </w:t>
            </w:r>
            <w:hyperlink w:history="1" r:id="rId14">
              <w:r w:rsidRPr="006421CD">
                <w:rPr>
                  <w:rStyle w:val="Hipervnculo"/>
                  <w:rFonts w:ascii="Verdana" w:hAnsi="Verdana" w:cs="Arial"/>
                  <w:lang w:val="es-MX"/>
                </w:rPr>
                <w:t>https://www.colombiacompra.gov.co/manuales-guias-y-pliegos-tipo/manuales-y-guias</w:t>
              </w:r>
            </w:hyperlink>
            <w:r>
              <w:rPr>
                <w:rFonts w:ascii="Verdana" w:hAnsi="Verdana" w:cs="Arial"/>
                <w:lang w:val="es-MX"/>
              </w:rPr>
              <w:t xml:space="preserve"> </w:t>
            </w:r>
          </w:p>
        </w:tc>
      </w:tr>
    </w:tbl>
    <w:p w:rsidRPr="009322DA" w:rsidR="00E80F98" w:rsidP="00E80F98" w:rsidRDefault="00E80F98" w14:paraId="4DA8CBE4" w14:textId="77777777">
      <w:pPr>
        <w:tabs>
          <w:tab w:val="left" w:pos="142"/>
          <w:tab w:val="left" w:pos="284"/>
        </w:tabs>
        <w:spacing w:after="0" w:line="276" w:lineRule="auto"/>
        <w:jc w:val="both"/>
        <w:rPr>
          <w:rFonts w:ascii="Verdana" w:hAnsi="Verdana" w:eastAsia="Calibri" w:cs="Arial"/>
        </w:rPr>
      </w:pPr>
    </w:p>
    <w:p w:rsidR="00E80F98" w:rsidP="00E80F98" w:rsidRDefault="00E80F98" w14:paraId="5FA2CA8F" w14:textId="77777777">
      <w:pPr>
        <w:tabs>
          <w:tab w:val="left" w:pos="142"/>
          <w:tab w:val="left" w:pos="284"/>
        </w:tabs>
        <w:spacing w:after="0" w:line="276" w:lineRule="auto"/>
        <w:jc w:val="both"/>
        <w:rPr>
          <w:rFonts w:ascii="Verdana" w:hAnsi="Verdana" w:eastAsia="Century Gothic" w:cs="Century Gothic"/>
          <w:b/>
          <w:bCs/>
          <w:lang w:val="es-ES"/>
        </w:rPr>
      </w:pPr>
      <w:r w:rsidRPr="00196A7A">
        <w:rPr>
          <w:rFonts w:ascii="Verdana" w:hAnsi="Verdana" w:eastAsia="Calibri" w:cs="Arial"/>
          <w:b/>
          <w:bCs/>
        </w:rPr>
        <w:t>5.</w:t>
      </w:r>
      <w:r>
        <w:rPr>
          <w:rFonts w:ascii="Verdana" w:hAnsi="Verdana" w:eastAsia="Calibri" w:cs="Arial"/>
          <w:b/>
          <w:bCs/>
        </w:rPr>
        <w:t xml:space="preserve"> </w:t>
      </w:r>
      <w:r w:rsidRPr="00196A7A">
        <w:rPr>
          <w:rFonts w:ascii="Verdana" w:hAnsi="Verdana" w:eastAsia="Century Gothic" w:cs="Century Gothic"/>
          <w:b/>
          <w:bCs/>
          <w:lang w:val="es-ES"/>
        </w:rPr>
        <w:t>Doctrina</w:t>
      </w:r>
      <w:r w:rsidRPr="009322DA">
        <w:rPr>
          <w:rFonts w:ascii="Verdana" w:hAnsi="Verdana" w:eastAsia="Century Gothic" w:cs="Century Gothic"/>
          <w:b/>
          <w:bCs/>
          <w:lang w:val="es-ES"/>
        </w:rPr>
        <w:t xml:space="preserve"> de la Agencia Nacional de Contratación Pública:</w:t>
      </w:r>
    </w:p>
    <w:p w:rsidRPr="009322DA" w:rsidR="00E80F98" w:rsidP="00E80F98" w:rsidRDefault="00E80F98" w14:paraId="0341BCE6" w14:textId="77777777">
      <w:pPr>
        <w:tabs>
          <w:tab w:val="left" w:pos="142"/>
          <w:tab w:val="left" w:pos="284"/>
        </w:tabs>
        <w:spacing w:after="0" w:line="276" w:lineRule="auto"/>
        <w:jc w:val="both"/>
        <w:rPr>
          <w:rFonts w:ascii="Verdana" w:hAnsi="Verdana" w:eastAsia="Century Gothic" w:cs="Century Gothic"/>
          <w:b/>
          <w:bCs/>
          <w:lang w:val="es-ES"/>
        </w:rPr>
      </w:pPr>
    </w:p>
    <w:p w:rsidR="00E83B93" w:rsidP="00E80F98" w:rsidRDefault="00E80F98" w14:paraId="11415DC3" w14:textId="1086C889">
      <w:pPr>
        <w:spacing w:after="0" w:line="276" w:lineRule="auto"/>
        <w:jc w:val="both"/>
        <w:rPr>
          <w:rFonts w:ascii="Verdana" w:hAnsi="Verdana" w:eastAsia="Calibri" w:cs="Arial"/>
          <w:color w:val="000000" w:themeColor="text1"/>
          <w:shd w:val="clear" w:color="auto" w:fill="FFFFFF"/>
        </w:rPr>
      </w:pPr>
      <w:r w:rsidRPr="00F80DEF">
        <w:rPr>
          <w:rFonts w:ascii="Verdana" w:hAnsi="Verdana" w:cs="Arial"/>
          <w:shd w:val="clear" w:color="auto" w:fill="FFFFFF"/>
        </w:rPr>
        <w:t>L</w:t>
      </w:r>
      <w:r w:rsidRPr="00F80DEF">
        <w:rPr>
          <w:rFonts w:ascii="Verdana" w:hAnsi="Verdana" w:cs="Arial"/>
          <w:shd w:val="clear" w:color="auto" w:fill="FFFFFF"/>
          <w:lang w:val="es-ES"/>
        </w:rPr>
        <w:t xml:space="preserve">a Agencia Nacional de Contratación Pública – Colombia Compra Eficiente, en los conceptos </w:t>
      </w:r>
      <w:r w:rsidRPr="00F80DEF">
        <w:rPr>
          <w:rFonts w:ascii="Verdana" w:hAnsi="Verdana" w:cs="Arial"/>
          <w:shd w:val="clear" w:color="auto" w:fill="FFFFFF"/>
        </w:rPr>
        <w:t xml:space="preserve">4201912000004908 del 27 de septiembre de 2019, CU-028 de 25 </w:t>
      </w:r>
      <w:r w:rsidRPr="00F80DEF">
        <w:rPr>
          <w:rFonts w:ascii="Verdana" w:hAnsi="Verdana" w:cs="Arial"/>
          <w:shd w:val="clear" w:color="auto" w:fill="FFFFFF"/>
        </w:rPr>
        <w:t>de febrero de 2020, C-221 de 21 de abril de 2020, C-078 del 17 de marzo de 2021, C-220 del 18 de mayo de 2021, C-548 del 5 de octubre de 2021</w:t>
      </w:r>
      <w:r>
        <w:rPr>
          <w:rFonts w:ascii="Verdana" w:hAnsi="Verdana" w:cs="Arial"/>
          <w:shd w:val="clear" w:color="auto" w:fill="FFFFFF"/>
        </w:rPr>
        <w:t>,</w:t>
      </w:r>
      <w:r w:rsidRPr="00F80DEF">
        <w:rPr>
          <w:rFonts w:ascii="Verdana" w:hAnsi="Verdana" w:cs="Arial"/>
          <w:shd w:val="clear" w:color="auto" w:fill="FFFFFF"/>
        </w:rPr>
        <w:t xml:space="preserve"> C-739 del 29 de noviembre de 2022</w:t>
      </w:r>
      <w:r>
        <w:rPr>
          <w:rFonts w:ascii="Verdana" w:hAnsi="Verdana" w:cs="Arial"/>
          <w:shd w:val="clear" w:color="auto" w:fill="FFFFFF"/>
        </w:rPr>
        <w:t xml:space="preserve"> y C</w:t>
      </w:r>
      <w:r w:rsidRPr="00F80DEF">
        <w:rPr>
          <w:rFonts w:ascii="Verdana" w:hAnsi="Verdana" w:cs="Arial"/>
          <w:shd w:val="clear" w:color="auto" w:fill="FFFFFF"/>
        </w:rPr>
        <w:t>-</w:t>
      </w:r>
      <w:r>
        <w:rPr>
          <w:rFonts w:ascii="Verdana" w:hAnsi="Verdana" w:cs="Arial"/>
          <w:shd w:val="clear" w:color="auto" w:fill="FFFFFF"/>
        </w:rPr>
        <w:t>144 de 2024</w:t>
      </w:r>
      <w:r w:rsidRPr="00F80DEF">
        <w:rPr>
          <w:rFonts w:ascii="Verdana" w:hAnsi="Verdana" w:cs="Arial"/>
          <w:shd w:val="clear" w:color="auto" w:fill="FFFFFF"/>
          <w:lang w:val="es-ES"/>
        </w:rPr>
        <w:t>, analizó la etapa de liquidación</w:t>
      </w:r>
      <w:r w:rsidRPr="00EA761C">
        <w:rPr>
          <w:rStyle w:val="normaltextrun"/>
          <w:rFonts w:ascii="Verdana" w:hAnsi="Verdana" w:cs="Arial"/>
          <w:shd w:val="clear" w:color="auto" w:fill="FFFFFF"/>
          <w:lang w:val="es-ES"/>
        </w:rPr>
        <w:t xml:space="preserve">. </w:t>
      </w:r>
      <w:r w:rsidRPr="008328CE">
        <w:rPr>
          <w:rFonts w:ascii="Verdana" w:hAnsi="Verdana" w:eastAsia="Calibri"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w:tgtFrame="_blank" w:tooltip="Dirección URL original: https://relatoria.colombiacompra.gov.co/. Haga clic o pulse si confía en este vínculo." w:history="1" r:id="rId15">
        <w:r w:rsidRPr="008328CE">
          <w:rPr>
            <w:rStyle w:val="Hipervnculo"/>
            <w:rFonts w:ascii="Verdana" w:hAnsi="Verdana" w:eastAsia="Calibri" w:cs="Arial"/>
            <w:color w:val="000000" w:themeColor="text1"/>
            <w:shd w:val="clear" w:color="auto" w:fill="FFFFFF"/>
          </w:rPr>
          <w:t>https://relatoria.colombiacompra.gov.co</w:t>
        </w:r>
      </w:hyperlink>
      <w:r w:rsidR="00E83B93">
        <w:rPr>
          <w:rStyle w:val="Hipervnculo"/>
          <w:rFonts w:ascii="Verdana" w:hAnsi="Verdana" w:eastAsia="Calibri" w:cs="Arial"/>
          <w:color w:val="000000" w:themeColor="text1"/>
          <w:shd w:val="clear" w:color="auto" w:fill="FFFFFF"/>
        </w:rPr>
        <w:t>/</w:t>
      </w:r>
    </w:p>
    <w:p w:rsidRPr="008328CE" w:rsidR="00E80F98" w:rsidP="00E80F98" w:rsidRDefault="00E83B93" w14:paraId="0BF87B14" w14:textId="2B96DD2D">
      <w:pPr>
        <w:spacing w:after="0" w:line="276" w:lineRule="auto"/>
        <w:jc w:val="both"/>
        <w:rPr>
          <w:rFonts w:ascii="Verdana" w:hAnsi="Verdana" w:eastAsia="Calibri" w:cs="Arial"/>
          <w:color w:val="000000" w:themeColor="text1"/>
          <w:shd w:val="clear" w:color="auto" w:fill="FFFFFF"/>
        </w:rPr>
      </w:pPr>
      <w:r w:rsidRPr="00E83B93">
        <w:rPr>
          <w:rFonts w:ascii="Verdana" w:hAnsi="Verdana" w:eastAsia="Calibri" w:cs="Arial"/>
          <w:color w:val="000000" w:themeColor="text1"/>
          <w:shd w:val="clear" w:color="auto" w:fill="FFFFFF"/>
        </w:rPr>
        <w:t xml:space="preserve">Te invitamos a revisar la cuarta edición del Boletín de Relatoría de </w:t>
      </w:r>
      <w:proofErr w:type="gramStart"/>
      <w:r w:rsidRPr="00E83B93">
        <w:rPr>
          <w:rFonts w:ascii="Verdana" w:hAnsi="Verdana" w:eastAsia="Calibri" w:cs="Arial"/>
          <w:color w:val="000000" w:themeColor="text1"/>
          <w:shd w:val="clear" w:color="auto" w:fill="FFFFFF"/>
        </w:rPr>
        <w:t>2024,  en</w:t>
      </w:r>
      <w:proofErr w:type="gramEnd"/>
      <w:r w:rsidRPr="00E83B93">
        <w:rPr>
          <w:rFonts w:ascii="Verdana" w:hAnsi="Verdana" w:eastAsia="Calibri" w:cs="Arial"/>
          <w:color w:val="000000" w:themeColor="text1"/>
          <w:shd w:val="clear" w:color="auto" w:fill="FFFFFF"/>
        </w:rPr>
        <w:t xml:space="preserve">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w:tgtFrame="_blank" w:tooltip="Dirección URL original: https://www.colombiacompra.gov.co/sala-de-prensa/boletin-digital/boletin-de-relatoria-2024-iv. Haga clic o pulse si confía en este vínculo." w:history="1" r:id="rId16">
        <w:r w:rsidRPr="00E83B93">
          <w:rPr>
            <w:rStyle w:val="Hipervnculo"/>
            <w:rFonts w:ascii="Verdana" w:hAnsi="Verdana" w:eastAsia="Calibri" w:cs="Arial"/>
            <w:shd w:val="clear" w:color="auto" w:fill="FFFFFF"/>
          </w:rPr>
          <w:t>BOLETÍN DE RELATORÍA 2024 – IV | Colombia Compra Eficiente | Agencia Nacional de Contratación Pública</w:t>
        </w:r>
      </w:hyperlink>
    </w:p>
    <w:p w:rsidRPr="009322DA" w:rsidR="00E80F98" w:rsidP="00E80F98" w:rsidRDefault="00E80F98" w14:paraId="56967899" w14:textId="77777777">
      <w:pPr>
        <w:spacing w:after="0" w:line="276" w:lineRule="auto"/>
        <w:jc w:val="both"/>
        <w:rPr>
          <w:rFonts w:ascii="Verdana" w:hAnsi="Verdana" w:eastAsia="Calibri" w:cs="Arial"/>
          <w:color w:val="FF0000"/>
          <w:shd w:val="clear" w:color="auto" w:fill="FFFFFF"/>
        </w:rPr>
      </w:pPr>
    </w:p>
    <w:p w:rsidRPr="009322DA" w:rsidR="00E80F98" w:rsidP="00E80F98" w:rsidRDefault="00E80F98" w14:paraId="659D573E" w14:textId="77777777">
      <w:pPr>
        <w:spacing w:after="0" w:line="240" w:lineRule="auto"/>
        <w:jc w:val="both"/>
        <w:rPr>
          <w:rFonts w:ascii="Calibri" w:hAnsi="Calibri" w:eastAsia="Calibri" w:cs="Times New Roman"/>
        </w:rPr>
      </w:pPr>
      <w:r w:rsidRPr="0044528D">
        <w:rPr>
          <w:rFonts w:ascii="Verdana" w:hAnsi="Verdana"/>
        </w:rPr>
        <w:t xml:space="preserve">Por último, lo invitamos a seguirnos en las redes sociales en las cuales se difunde información institucional: </w:t>
      </w:r>
    </w:p>
    <w:p w:rsidRPr="0044528D" w:rsidR="00E80F98" w:rsidP="00E80F98" w:rsidRDefault="00E80F98" w14:paraId="6028D5FD" w14:textId="77777777">
      <w:pPr>
        <w:spacing w:after="0" w:line="240" w:lineRule="auto"/>
        <w:jc w:val="both"/>
        <w:rPr>
          <w:rFonts w:ascii="Verdana" w:hAnsi="Verdana"/>
        </w:rPr>
      </w:pPr>
    </w:p>
    <w:p w:rsidRPr="0044528D" w:rsidR="00E80F98" w:rsidP="00E80F98" w:rsidRDefault="00E80F98" w14:paraId="19A63D67" w14:textId="77777777">
      <w:pPr>
        <w:spacing w:after="0" w:line="240" w:lineRule="auto"/>
        <w:jc w:val="both"/>
        <w:rPr>
          <w:rFonts w:ascii="Verdana" w:hAnsi="Verdana"/>
        </w:rPr>
      </w:pPr>
      <w:r w:rsidRPr="0044528D">
        <w:rPr>
          <w:rFonts w:ascii="Verdana" w:hAnsi="Verdana"/>
        </w:rPr>
        <w:t xml:space="preserve">Twitter: </w:t>
      </w:r>
      <w:r w:rsidRPr="009322DA">
        <w:rPr>
          <w:rFonts w:ascii="Verdana" w:hAnsi="Verdana" w:eastAsia="Calibri" w:cs="Times New Roman"/>
          <w:color w:val="4472C4" w:themeColor="accent1"/>
          <w:u w:val="single"/>
        </w:rPr>
        <w:t>@colombiacompra</w:t>
      </w:r>
      <w:r w:rsidRPr="009322DA">
        <w:rPr>
          <w:rFonts w:ascii="Verdana" w:hAnsi="Verdana" w:eastAsia="Calibri" w:cs="Times New Roman"/>
          <w:color w:val="4472C4" w:themeColor="accent1"/>
        </w:rPr>
        <w:t xml:space="preserve"> </w:t>
      </w:r>
    </w:p>
    <w:p w:rsidRPr="0044528D" w:rsidR="00E80F98" w:rsidP="00E80F98" w:rsidRDefault="00E80F98" w14:paraId="198E60E0" w14:textId="77777777">
      <w:pPr>
        <w:spacing w:after="0" w:line="240" w:lineRule="auto"/>
        <w:jc w:val="both"/>
        <w:rPr>
          <w:rFonts w:ascii="Verdana" w:hAnsi="Verdana"/>
        </w:rPr>
      </w:pPr>
      <w:r w:rsidRPr="0044528D">
        <w:rPr>
          <w:rFonts w:ascii="Verdana" w:hAnsi="Verdana"/>
        </w:rPr>
        <w:t xml:space="preserve">Facebook: </w:t>
      </w:r>
      <w:proofErr w:type="spellStart"/>
      <w:r w:rsidRPr="009322DA">
        <w:rPr>
          <w:rFonts w:ascii="Verdana" w:hAnsi="Verdana" w:eastAsia="Calibri" w:cs="Times New Roman"/>
          <w:color w:val="4472C4" w:themeColor="accent1"/>
          <w:u w:val="single"/>
        </w:rPr>
        <w:t>ColombiaCompraEficiente</w:t>
      </w:r>
      <w:proofErr w:type="spellEnd"/>
    </w:p>
    <w:p w:rsidRPr="0044528D" w:rsidR="00E80F98" w:rsidP="00E80F98" w:rsidRDefault="00E80F98" w14:paraId="06273DA8" w14:textId="77777777">
      <w:pPr>
        <w:spacing w:after="0" w:line="240" w:lineRule="auto"/>
        <w:jc w:val="both"/>
        <w:rPr>
          <w:rFonts w:ascii="Verdana" w:hAnsi="Verdana"/>
        </w:rPr>
      </w:pPr>
      <w:r w:rsidRPr="0044528D">
        <w:rPr>
          <w:rFonts w:ascii="Verdana" w:hAnsi="Verdana"/>
        </w:rPr>
        <w:t xml:space="preserve">LinkedIn: </w:t>
      </w:r>
      <w:r w:rsidRPr="009322DA">
        <w:rPr>
          <w:rFonts w:ascii="Verdana" w:hAnsi="Verdana" w:eastAsia="Calibri" w:cs="Times New Roman"/>
          <w:color w:val="4472C4" w:themeColor="accent1"/>
          <w:u w:val="single"/>
        </w:rPr>
        <w:t>Agencia Nacional de Contratación Pública - Colombia Compra Eficiente</w:t>
      </w:r>
      <w:r w:rsidRPr="009322DA">
        <w:rPr>
          <w:rFonts w:ascii="Verdana" w:hAnsi="Verdana" w:eastAsia="Calibri" w:cs="Times New Roman"/>
          <w:color w:val="4472C4" w:themeColor="accent1"/>
        </w:rPr>
        <w:t xml:space="preserve"> </w:t>
      </w:r>
      <w:r w:rsidRPr="0044528D">
        <w:rPr>
          <w:rFonts w:ascii="Verdana" w:hAnsi="Verdana"/>
        </w:rPr>
        <w:t xml:space="preserve">Instagram: </w:t>
      </w:r>
      <w:r w:rsidRPr="009322DA">
        <w:rPr>
          <w:rFonts w:ascii="Verdana" w:hAnsi="Verdana" w:eastAsia="Calibri" w:cs="Times New Roman"/>
          <w:color w:val="4472C4" w:themeColor="accent1"/>
          <w:u w:val="single"/>
        </w:rPr>
        <w:t>@colombiacompraeficiente_cce</w:t>
      </w:r>
    </w:p>
    <w:p w:rsidRPr="0044528D" w:rsidR="00E80F98" w:rsidP="00E80F98" w:rsidRDefault="00E80F98" w14:paraId="2A750610" w14:textId="77777777">
      <w:pPr>
        <w:widowControl w:val="0"/>
        <w:autoSpaceDE w:val="0"/>
        <w:autoSpaceDN w:val="0"/>
        <w:spacing w:after="0" w:line="276" w:lineRule="auto"/>
        <w:jc w:val="both"/>
        <w:rPr>
          <w:rFonts w:ascii="Verdana" w:hAnsi="Verdana"/>
        </w:rPr>
      </w:pPr>
    </w:p>
    <w:p w:rsidRPr="009322DA" w:rsidR="00E80F98" w:rsidP="00E80F98" w:rsidRDefault="00E80F98" w14:paraId="667657D8" w14:textId="77777777">
      <w:pPr>
        <w:widowControl w:val="0"/>
        <w:autoSpaceDE w:val="0"/>
        <w:autoSpaceDN w:val="0"/>
        <w:spacing w:after="0" w:line="276" w:lineRule="auto"/>
        <w:jc w:val="both"/>
        <w:rPr>
          <w:rFonts w:ascii="Verdana" w:hAnsi="Verdana" w:eastAsia="Calibri" w:cs="Arial"/>
          <w:lang w:val="es-ES_tradnl"/>
        </w:rPr>
      </w:pPr>
      <w:r w:rsidRPr="009322DA">
        <w:rPr>
          <w:rFonts w:ascii="Verdana" w:hAnsi="Verdana" w:eastAsia="Calibri" w:cs="Arial"/>
        </w:rPr>
        <w:t>Este concepto tiene el alcance previsto en el artículo 28 del Código de Procedimiento Administrativo y de lo Contencioso Administrativo.</w:t>
      </w:r>
    </w:p>
    <w:p w:rsidRPr="009322DA" w:rsidR="00E80F98" w:rsidP="00E80F98" w:rsidRDefault="00E80F98" w14:paraId="6514F6F9" w14:textId="77777777">
      <w:pPr>
        <w:widowControl w:val="0"/>
        <w:autoSpaceDE w:val="0"/>
        <w:autoSpaceDN w:val="0"/>
        <w:spacing w:after="0" w:line="276" w:lineRule="auto"/>
        <w:jc w:val="both"/>
        <w:rPr>
          <w:rFonts w:ascii="Verdana" w:hAnsi="Verdana" w:eastAsia="Calibri" w:cs="Arial"/>
        </w:rPr>
      </w:pPr>
    </w:p>
    <w:p w:rsidRPr="009322DA" w:rsidR="00E80F98" w:rsidP="00E80F98" w:rsidRDefault="00E80F98" w14:paraId="705391CF" w14:textId="77777777">
      <w:pPr>
        <w:spacing w:after="0" w:line="240" w:lineRule="auto"/>
        <w:rPr>
          <w:rFonts w:ascii="Verdana" w:hAnsi="Verdana" w:eastAsia="Calibri" w:cs="Arial"/>
          <w:lang w:eastAsia="es-CO"/>
        </w:rPr>
      </w:pPr>
      <w:r w:rsidRPr="009322DA">
        <w:rPr>
          <w:rFonts w:ascii="Verdana" w:hAnsi="Verdana" w:eastAsia="Times New Roman" w:cs="Arial"/>
          <w:lang w:eastAsia="es-CO"/>
        </w:rPr>
        <w:t>Atentamente,</w:t>
      </w:r>
      <w:r w:rsidRPr="009322DA">
        <w:rPr>
          <w:rFonts w:ascii="Verdana" w:hAnsi="Verdana" w:eastAsia="Calibri" w:cs="Arial"/>
          <w:lang w:eastAsia="es-CO"/>
        </w:rPr>
        <w:t xml:space="preserve"> </w:t>
      </w:r>
    </w:p>
    <w:p w:rsidRPr="009322DA" w:rsidR="00E80F98" w:rsidP="00E80F98" w:rsidRDefault="00BC6C87" w14:paraId="510DACDB" w14:textId="55C4D6E1">
      <w:pPr>
        <w:spacing w:line="276" w:lineRule="auto"/>
        <w:jc w:val="center"/>
        <w:rPr>
          <w:rFonts w:ascii="Verdana" w:hAnsi="Verdana" w:eastAsia="Calibri" w:cs="Arial"/>
          <w:color w:val="000000"/>
          <w:lang w:val="es-ES_tradnl" w:eastAsia="es-CO"/>
        </w:rPr>
      </w:pPr>
      <w:r w:rsidRPr="002C3AD6">
        <w:rPr>
          <w:rFonts w:ascii="Century Gothic" w:hAnsi="Century Gothic"/>
          <w:noProof/>
        </w:rPr>
        <w:drawing>
          <wp:inline distT="0" distB="0" distL="0" distR="0" wp14:anchorId="49C5D411" wp14:editId="2EA6CEB1">
            <wp:extent cx="3474720" cy="1289858"/>
            <wp:effectExtent l="0" t="0" r="0" b="571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485373" cy="1293813"/>
                    </a:xfrm>
                    <a:prstGeom prst="rect">
                      <a:avLst/>
                    </a:prstGeom>
                  </pic:spPr>
                </pic:pic>
              </a:graphicData>
            </a:graphic>
          </wp:inline>
        </w:drawing>
      </w:r>
    </w:p>
    <w:tbl>
      <w:tblPr>
        <w:tblStyle w:val="Tablaconcuadrcula1"/>
        <w:tblW w:w="6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3"/>
        <w:gridCol w:w="5628"/>
      </w:tblGrid>
      <w:tr w:rsidRPr="009322DA" w:rsidR="00E80F98" w:rsidTr="00EB47BA" w14:paraId="107874B0" w14:textId="77777777">
        <w:trPr>
          <w:trHeight w:val="315"/>
        </w:trPr>
        <w:tc>
          <w:tcPr>
            <w:tcW w:w="893" w:type="dxa"/>
            <w:vAlign w:val="center"/>
            <w:hideMark/>
          </w:tcPr>
          <w:p w:rsidRPr="009322DA" w:rsidR="00E80F98" w:rsidP="00EB47BA" w:rsidRDefault="00E80F98" w14:paraId="14AD34BD" w14:textId="77777777">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Elaboró:</w:t>
            </w:r>
          </w:p>
        </w:tc>
        <w:tc>
          <w:tcPr>
            <w:tcW w:w="5628" w:type="dxa"/>
            <w:tcBorders>
              <w:top w:val="nil"/>
              <w:left w:val="nil"/>
              <w:bottom w:val="dotted" w:color="7F7F7F" w:themeColor="text1" w:themeTint="80" w:sz="4" w:space="0"/>
              <w:right w:val="nil"/>
            </w:tcBorders>
            <w:vAlign w:val="center"/>
            <w:hideMark/>
          </w:tcPr>
          <w:p w:rsidRPr="009322DA" w:rsidR="00E80F98" w:rsidP="00EB47BA" w:rsidRDefault="00E80F98" w14:paraId="53CCEEB5" w14:textId="77777777">
            <w:pPr>
              <w:spacing w:after="255"/>
              <w:contextualSpacing/>
              <w:rPr>
                <w:rFonts w:ascii="Verdana" w:hAnsi="Verdana" w:eastAsia="Arial" w:cs="Arial"/>
                <w:sz w:val="16"/>
                <w:szCs w:val="16"/>
              </w:rPr>
            </w:pPr>
            <w:r w:rsidRPr="009322DA">
              <w:rPr>
                <w:rFonts w:ascii="Verdana" w:hAnsi="Verdana"/>
                <w:sz w:val="16"/>
                <w:szCs w:val="16"/>
              </w:rPr>
              <w:t>Juan Manuel Avendaño Robles</w:t>
            </w:r>
          </w:p>
          <w:p w:rsidRPr="009322DA" w:rsidR="00E80F98" w:rsidP="00EB47BA" w:rsidRDefault="00E80F98" w14:paraId="77EE6A7F" w14:textId="77777777">
            <w:pPr>
              <w:spacing w:after="255"/>
              <w:contextualSpacing/>
              <w:rPr>
                <w:rFonts w:ascii="Verdana" w:hAnsi="Verdana" w:eastAsia="Arial" w:cs="Arial"/>
                <w:sz w:val="16"/>
                <w:szCs w:val="16"/>
              </w:rPr>
            </w:pPr>
            <w:r w:rsidRPr="009322DA">
              <w:rPr>
                <w:rFonts w:ascii="Verdana" w:hAnsi="Verdana" w:eastAsia="Arial" w:cs="Arial"/>
                <w:sz w:val="16"/>
                <w:szCs w:val="16"/>
              </w:rPr>
              <w:t>Contratista de la Subdirección de Gestión Contractual</w:t>
            </w:r>
          </w:p>
        </w:tc>
      </w:tr>
      <w:tr w:rsidRPr="009322DA" w:rsidR="00E80F98" w:rsidTr="00EB47BA" w14:paraId="3BD17F3C" w14:textId="77777777">
        <w:trPr>
          <w:trHeight w:val="330"/>
        </w:trPr>
        <w:tc>
          <w:tcPr>
            <w:tcW w:w="893" w:type="dxa"/>
            <w:vAlign w:val="center"/>
            <w:hideMark/>
          </w:tcPr>
          <w:p w:rsidRPr="009322DA" w:rsidR="00E80F98" w:rsidP="00EB47BA" w:rsidRDefault="00E80F98" w14:paraId="782142CD" w14:textId="77777777">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Revisó: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F80DEF" w:rsidR="00E80F98" w:rsidP="00EB47BA" w:rsidRDefault="00E80F98" w14:paraId="2F0C9B86" w14:textId="77777777">
            <w:pPr>
              <w:contextualSpacing/>
              <w:textAlignment w:val="baseline"/>
              <w:rPr>
                <w:rFonts w:ascii="Verdana" w:hAnsi="Verdana" w:eastAsia="Times New Roman" w:cs="Arial"/>
                <w:sz w:val="16"/>
                <w:szCs w:val="16"/>
                <w:lang w:eastAsia="es-ES_tradnl"/>
              </w:rPr>
            </w:pPr>
            <w:r w:rsidRPr="00F80DEF">
              <w:rPr>
                <w:rFonts w:ascii="Verdana" w:hAnsi="Verdana" w:eastAsia="Times New Roman" w:cs="Arial"/>
                <w:sz w:val="16"/>
                <w:szCs w:val="16"/>
                <w:lang w:eastAsia="es-ES_tradnl"/>
              </w:rPr>
              <w:t>Ju</w:t>
            </w:r>
            <w:r w:rsidRPr="00F80DEF">
              <w:rPr>
                <w:rFonts w:ascii="Verdana" w:hAnsi="Verdana" w:eastAsia="Times New Roman"/>
                <w:sz w:val="16"/>
                <w:szCs w:val="16"/>
                <w:lang w:eastAsia="es-ES_tradnl"/>
              </w:rPr>
              <w:t>an David Cárdenas Cabezas</w:t>
            </w:r>
          </w:p>
          <w:p w:rsidRPr="00F80DEF" w:rsidR="00E80F98" w:rsidP="00EB47BA" w:rsidRDefault="00E80F98" w14:paraId="11B730A2" w14:textId="77777777">
            <w:pPr>
              <w:contextualSpacing/>
              <w:textAlignment w:val="baseline"/>
              <w:rPr>
                <w:rFonts w:ascii="Verdana" w:hAnsi="Verdana" w:eastAsia="Times New Roman" w:cs="Segoe UI"/>
                <w:sz w:val="16"/>
                <w:szCs w:val="16"/>
                <w:lang w:eastAsia="es-ES_tradnl"/>
              </w:rPr>
            </w:pPr>
            <w:r w:rsidRPr="00F80DEF">
              <w:rPr>
                <w:rFonts w:ascii="Verdana" w:hAnsi="Verdana" w:eastAsia="Times New Roman" w:cs="Arial"/>
                <w:sz w:val="16"/>
                <w:szCs w:val="16"/>
                <w:lang w:eastAsia="es-ES_tradnl"/>
              </w:rPr>
              <w:t>Contratista de la Subdirección de Gestión Contractual</w:t>
            </w:r>
          </w:p>
        </w:tc>
      </w:tr>
      <w:tr w:rsidRPr="009322DA" w:rsidR="00E80F98" w:rsidTr="00EB47BA" w14:paraId="45DEA13A" w14:textId="77777777">
        <w:trPr>
          <w:trHeight w:val="300"/>
        </w:trPr>
        <w:tc>
          <w:tcPr>
            <w:tcW w:w="893" w:type="dxa"/>
            <w:vAlign w:val="center"/>
            <w:hideMark/>
          </w:tcPr>
          <w:p w:rsidRPr="009322DA" w:rsidR="00E80F98" w:rsidP="00EB47BA" w:rsidRDefault="00E80F98" w14:paraId="6F0AE61A" w14:textId="77777777">
            <w:pPr>
              <w:spacing w:after="255"/>
              <w:contextualSpacing/>
              <w:rPr>
                <w:rFonts w:ascii="Verdana" w:hAnsi="Verdana" w:cs="Arial"/>
                <w:sz w:val="16"/>
                <w:szCs w:val="16"/>
                <w:lang w:val="es-ES" w:eastAsia="es-ES"/>
              </w:rPr>
            </w:pPr>
            <w:r w:rsidRPr="009322DA">
              <w:rPr>
                <w:rFonts w:ascii="Verdana" w:hAnsi="Verdana" w:cs="Arial"/>
                <w:sz w:val="16"/>
                <w:szCs w:val="16"/>
                <w:lang w:val="es-ES" w:eastAsia="es-ES"/>
              </w:rPr>
              <w:t>Aprobó:</w:t>
            </w:r>
          </w:p>
        </w:tc>
        <w:tc>
          <w:tcPr>
            <w:tcW w:w="5628" w:type="dxa"/>
            <w:tcBorders>
              <w:top w:val="dotted" w:color="7F7F7F" w:themeColor="text1" w:themeTint="80" w:sz="4" w:space="0"/>
              <w:left w:val="nil"/>
              <w:bottom w:val="dotted" w:color="7F7F7F" w:themeColor="text1" w:themeTint="80" w:sz="4" w:space="0"/>
              <w:right w:val="nil"/>
            </w:tcBorders>
            <w:vAlign w:val="center"/>
            <w:hideMark/>
          </w:tcPr>
          <w:p w:rsidRPr="009322DA" w:rsidR="00E80F98" w:rsidP="00EB47BA" w:rsidRDefault="00E80F98" w14:paraId="102A7453" w14:textId="77777777">
            <w:pPr>
              <w:spacing w:after="255"/>
              <w:contextualSpacing/>
              <w:rPr>
                <w:rFonts w:ascii="Verdana" w:hAnsi="Verdana" w:cs="Arial"/>
                <w:sz w:val="16"/>
                <w:szCs w:val="16"/>
                <w:lang w:val="pt-BR" w:eastAsia="es-ES"/>
              </w:rPr>
            </w:pPr>
            <w:r w:rsidRPr="009322DA">
              <w:rPr>
                <w:rFonts w:ascii="Verdana" w:hAnsi="Verdana" w:cs="Arial"/>
                <w:sz w:val="16"/>
                <w:szCs w:val="16"/>
                <w:lang w:val="pt-BR" w:eastAsia="es-ES"/>
              </w:rPr>
              <w:t>Carolina Quintero Gacharná</w:t>
            </w:r>
          </w:p>
          <w:p w:rsidRPr="009322DA" w:rsidR="00E80F98" w:rsidP="00EB47BA" w:rsidRDefault="00E80F98" w14:paraId="47BD57D0" w14:textId="77777777">
            <w:pPr>
              <w:spacing w:after="255"/>
              <w:contextualSpacing/>
              <w:rPr>
                <w:rFonts w:ascii="Verdana" w:hAnsi="Verdana" w:cs="Arial"/>
                <w:sz w:val="16"/>
                <w:szCs w:val="16"/>
                <w:lang w:val="pt-BR" w:eastAsia="es-ES"/>
              </w:rPr>
            </w:pPr>
            <w:r w:rsidRPr="009322DA">
              <w:rPr>
                <w:rFonts w:ascii="Verdana" w:hAnsi="Verdana" w:cs="Arial"/>
                <w:sz w:val="16"/>
                <w:szCs w:val="16"/>
                <w:lang w:eastAsia="es-ES"/>
              </w:rPr>
              <w:t>Subdirectora</w:t>
            </w:r>
            <w:r w:rsidRPr="009322DA">
              <w:rPr>
                <w:rFonts w:ascii="Verdana" w:hAnsi="Verdana" w:cs="Arial"/>
                <w:sz w:val="16"/>
                <w:szCs w:val="16"/>
                <w:lang w:val="pt-BR" w:eastAsia="es-ES"/>
              </w:rPr>
              <w:t xml:space="preserve"> de Gestión Contractual ANCP – CCE</w:t>
            </w:r>
          </w:p>
        </w:tc>
      </w:tr>
    </w:tbl>
    <w:p w:rsidRPr="00E80F98" w:rsidR="00127233" w:rsidP="00BC6C87" w:rsidRDefault="00127233" w14:paraId="0F293BF4" w14:textId="7BBFAB11"/>
    <w:sectPr w:rsidRPr="00E80F98" w:rsidR="00127233" w:rsidSect="007C0C0F">
      <w:headerReference w:type="default" r:id="rId18"/>
      <w:footerReference w:type="default" r:id="rId19"/>
      <w:pgSz w:w="12240" w:h="15840" w:orient="portrait"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2BC0" w:rsidP="004A1847" w:rsidRDefault="00A62BC0" w14:paraId="236C4242" w14:textId="77777777">
      <w:pPr>
        <w:spacing w:after="0" w:line="240" w:lineRule="auto"/>
      </w:pPr>
      <w:r>
        <w:separator/>
      </w:r>
    </w:p>
  </w:endnote>
  <w:endnote w:type="continuationSeparator" w:id="0">
    <w:p w:rsidR="00A62BC0" w:rsidP="004A1847" w:rsidRDefault="00A62BC0" w14:paraId="49346C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1847" w:rsidRDefault="004A1847" w14:paraId="18911A32" w14:textId="6CE791A4">
    <w:pPr>
      <w:pStyle w:val="Piedepgina"/>
    </w:pPr>
  </w:p>
  <w:p w:rsidRPr="00174B77" w:rsidR="00D520D8" w:rsidP="00D520D8" w:rsidRDefault="00D520D8" w14:paraId="594D6D9F" w14:textId="77777777">
    <w:pPr>
      <w:pBdr>
        <w:top w:val="single" w:color="auto" w:sz="4" w:space="1"/>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hAnsi="Verdana" w:eastAsiaTheme="majorEastAsia" w:cstheme="majorBidi"/>
        <w:b/>
        <w:bCs/>
        <w:sz w:val="16"/>
        <w:szCs w:val="16"/>
        <w:lang w:val="es-ES"/>
      </w:rPr>
      <w:t xml:space="preserve">pág. </w:t>
    </w:r>
    <w:r w:rsidRPr="002E1330">
      <w:rPr>
        <w:rFonts w:ascii="Verdana" w:hAnsi="Verdana" w:eastAsiaTheme="minorEastAsia"/>
        <w:b/>
        <w:bCs/>
        <w:sz w:val="16"/>
        <w:szCs w:val="16"/>
      </w:rPr>
      <w:fldChar w:fldCharType="begin"/>
    </w:r>
    <w:r w:rsidRPr="002E1330">
      <w:rPr>
        <w:rFonts w:ascii="Verdana" w:hAnsi="Verdana"/>
        <w:b/>
        <w:bCs/>
        <w:sz w:val="16"/>
        <w:szCs w:val="16"/>
      </w:rPr>
      <w:instrText>PAGE    \* MERGEFORMAT</w:instrText>
    </w:r>
    <w:r w:rsidRPr="002E1330">
      <w:rPr>
        <w:rFonts w:ascii="Verdana" w:hAnsi="Verdana" w:eastAsiaTheme="minorEastAsia"/>
        <w:b/>
        <w:bCs/>
        <w:sz w:val="16"/>
        <w:szCs w:val="16"/>
      </w:rPr>
      <w:fldChar w:fldCharType="separate"/>
    </w:r>
    <w:r>
      <w:rPr>
        <w:rFonts w:ascii="Verdana" w:hAnsi="Verdana" w:eastAsiaTheme="minorEastAsia"/>
        <w:b/>
        <w:bCs/>
        <w:sz w:val="16"/>
        <w:szCs w:val="16"/>
      </w:rPr>
      <w:t>1</w:t>
    </w:r>
    <w:r w:rsidRPr="002E1330">
      <w:rPr>
        <w:rFonts w:ascii="Verdana" w:hAnsi="Verdana" w:eastAsiaTheme="majorEastAsi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rsidR="00D520D8" w:rsidP="00D520D8" w:rsidRDefault="00D520D8" w14:paraId="0A735DD5" w14:textId="77777777">
    <w:pPr>
      <w:spacing w:after="0"/>
      <w:jc w:val="both"/>
      <w:rPr>
        <w:rFonts w:ascii="Verdana" w:hAnsi="Verdana"/>
        <w:sz w:val="18"/>
        <w:szCs w:val="18"/>
      </w:rPr>
    </w:pPr>
    <w:r w:rsidRPr="00E41027">
      <w:rPr>
        <w:rFonts w:ascii="Verdana" w:hAnsi="Verdana"/>
        <w:sz w:val="18"/>
        <w:szCs w:val="18"/>
      </w:rPr>
      <w:t>Dirección: Carrera 7 # 26 – 20 - Bogotá, Colombia</w:t>
    </w:r>
  </w:p>
  <w:p w:rsidRPr="00E41027" w:rsidR="00D520D8" w:rsidP="00D520D8" w:rsidRDefault="00D520D8" w14:paraId="06E36B88" w14:textId="77777777">
    <w:pPr>
      <w:spacing w:after="0"/>
      <w:jc w:val="both"/>
      <w:rPr>
        <w:rFonts w:ascii="Verdana" w:hAnsi="Verdana"/>
        <w:sz w:val="18"/>
        <w:szCs w:val="18"/>
      </w:rPr>
    </w:pPr>
    <w:r w:rsidRPr="00E41027">
      <w:rPr>
        <w:rFonts w:ascii="Verdana" w:hAnsi="Verdana"/>
        <w:sz w:val="18"/>
        <w:szCs w:val="18"/>
      </w:rPr>
      <w:t>Mesa de servicio: (+57) 601 7456788</w:t>
    </w:r>
  </w:p>
  <w:p w:rsidR="006219F8" w:rsidP="0025796E" w:rsidRDefault="00D520D8" w14:paraId="744661F5" w14:textId="593AA28F">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sidR="00FA47C0">
      <w:rPr>
        <w:rFonts w:ascii="Century Gothic" w:hAnsi="Century Gothic" w:eastAsia="Geo" w:cs="Geo"/>
        <w:b/>
        <w:color w:val="000000"/>
        <w:sz w:val="16"/>
        <w:szCs w:val="16"/>
        <w:lang w:eastAsia="es-CO"/>
      </w:rPr>
      <w:t xml:space="preserve">Código: </w:t>
    </w:r>
    <w:r w:rsidRPr="004A305D" w:rsidR="00FA47C0">
      <w:rPr>
        <w:rFonts w:ascii="Century Gothic" w:hAnsi="Century Gothic" w:eastAsia="Geo" w:cs="Geo"/>
        <w:bCs/>
        <w:color w:val="000000"/>
        <w:sz w:val="16"/>
        <w:szCs w:val="16"/>
        <w:lang w:eastAsia="es-CO"/>
      </w:rPr>
      <w:t>CCE-</w:t>
    </w:r>
    <w:r w:rsidR="00FA47C0">
      <w:rPr>
        <w:rFonts w:ascii="Century Gothic" w:hAnsi="Century Gothic" w:eastAsia="Geo" w:cs="Geo"/>
        <w:bCs/>
        <w:color w:val="000000"/>
        <w:sz w:val="16"/>
        <w:szCs w:val="16"/>
        <w:lang w:eastAsia="es-CO"/>
      </w:rPr>
      <w:t>REC</w:t>
    </w:r>
    <w:r w:rsidRPr="004A305D" w:rsidR="00FA47C0">
      <w:rPr>
        <w:rFonts w:ascii="Century Gothic" w:hAnsi="Century Gothic" w:eastAsia="Geo" w:cs="Geo"/>
        <w:bCs/>
        <w:color w:val="000000"/>
        <w:sz w:val="16"/>
        <w:szCs w:val="16"/>
        <w:lang w:eastAsia="es-CO"/>
      </w:rPr>
      <w:t>-FM-</w:t>
    </w:r>
    <w:r w:rsidR="00FA47C0">
      <w:rPr>
        <w:rFonts w:ascii="Century Gothic" w:hAnsi="Century Gothic" w:eastAsia="Geo" w:cs="Geo"/>
        <w:bCs/>
        <w:color w:val="000000"/>
        <w:sz w:val="16"/>
        <w:szCs w:val="16"/>
        <w:lang w:eastAsia="es-CO"/>
      </w:rPr>
      <w:t>17</w:t>
    </w:r>
    <w:r w:rsidR="0025796E">
      <w:rPr>
        <w:rFonts w:ascii="Century Gothic" w:hAnsi="Century Gothic" w:eastAsia="Geo" w:cs="Geo"/>
        <w:bCs/>
        <w:color w:val="000000"/>
        <w:sz w:val="16"/>
        <w:szCs w:val="16"/>
        <w:lang w:eastAsia="es-CO"/>
      </w:rPr>
      <w:t xml:space="preserve"> </w:t>
    </w:r>
    <w:r w:rsidRPr="004A305D" w:rsidR="00FA47C0">
      <w:rPr>
        <w:rFonts w:ascii="Century Gothic" w:hAnsi="Century Gothic" w:eastAsia="Geo" w:cs="Geo"/>
        <w:b/>
        <w:color w:val="000000"/>
        <w:sz w:val="16"/>
        <w:szCs w:val="16"/>
        <w:lang w:eastAsia="es-CO"/>
      </w:rPr>
      <w:t>Versión</w:t>
    </w:r>
    <w:r w:rsidRPr="004A305D" w:rsidR="00FA47C0">
      <w:rPr>
        <w:rFonts w:ascii="Century Gothic" w:hAnsi="Century Gothic" w:eastAsia="Arial Nova" w:cs="Arial Nova"/>
        <w:b/>
        <w:color w:val="000000"/>
        <w:sz w:val="16"/>
        <w:szCs w:val="16"/>
        <w:lang w:eastAsia="es-CO"/>
      </w:rPr>
      <w:t xml:space="preserve">: </w:t>
    </w:r>
    <w:r w:rsidRPr="004A305D" w:rsidR="00FA47C0">
      <w:rPr>
        <w:rFonts w:ascii="Century Gothic" w:hAnsi="Century Gothic" w:eastAsia="Geo" w:cs="Geo"/>
        <w:sz w:val="16"/>
        <w:szCs w:val="16"/>
        <w:lang w:eastAsia="es-CO"/>
      </w:rPr>
      <w:t>0</w:t>
    </w:r>
    <w:r w:rsidR="00FA47C0">
      <w:rPr>
        <w:rFonts w:ascii="Century Gothic" w:hAnsi="Century Gothic" w:eastAsia="Geo" w:cs="Geo"/>
        <w:sz w:val="16"/>
        <w:szCs w:val="16"/>
        <w:lang w:eastAsia="es-CO"/>
      </w:rPr>
      <w:t>2</w:t>
    </w:r>
    <w:r w:rsidRPr="004A305D" w:rsidR="00FA47C0">
      <w:rPr>
        <w:rFonts w:ascii="Century Gothic" w:hAnsi="Century Gothic" w:eastAsia="Geo" w:cs="Geo"/>
        <w:sz w:val="16"/>
        <w:szCs w:val="16"/>
        <w:lang w:eastAsia="es-CO"/>
      </w:rPr>
      <w:t xml:space="preserve"> </w:t>
    </w:r>
    <w:r w:rsidR="0025796E">
      <w:rPr>
        <w:rFonts w:ascii="Century Gothic" w:hAnsi="Century Gothic" w:eastAsia="Geo"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2BC0" w:rsidP="004A1847" w:rsidRDefault="00A62BC0" w14:paraId="2EFBC019" w14:textId="77777777">
      <w:pPr>
        <w:spacing w:after="0" w:line="240" w:lineRule="auto"/>
      </w:pPr>
      <w:r>
        <w:separator/>
      </w:r>
    </w:p>
  </w:footnote>
  <w:footnote w:type="continuationSeparator" w:id="0">
    <w:p w:rsidR="00A62BC0" w:rsidP="004A1847" w:rsidRDefault="00A62BC0" w14:paraId="63517406" w14:textId="77777777">
      <w:pPr>
        <w:spacing w:after="0" w:line="240" w:lineRule="auto"/>
      </w:pPr>
      <w:r>
        <w:continuationSeparator/>
      </w:r>
    </w:p>
  </w:footnote>
  <w:footnote w:id="1">
    <w:p w:rsidRPr="00541D6E" w:rsidR="00E80F98" w:rsidP="00E80F98" w:rsidRDefault="00E80F98" w14:paraId="53ABD833" w14:textId="77777777">
      <w:pPr>
        <w:pStyle w:val="Textonotapie"/>
        <w:ind w:firstLine="708"/>
        <w:jc w:val="both"/>
        <w:rPr>
          <w:rFonts w:ascii="Verdana" w:hAnsi="Verdana" w:cs="Arial"/>
          <w:color w:val="000000" w:themeColor="text1"/>
          <w:sz w:val="16"/>
          <w:szCs w:val="16"/>
        </w:rPr>
      </w:pPr>
      <w:r w:rsidRPr="00541D6E">
        <w:rPr>
          <w:rStyle w:val="Refdenotaalpie"/>
          <w:rFonts w:ascii="Verdana" w:hAnsi="Verdana" w:cs="Arial"/>
          <w:color w:val="000000" w:themeColor="text1"/>
          <w:sz w:val="16"/>
          <w:szCs w:val="16"/>
        </w:rPr>
        <w:footnoteRef/>
      </w:r>
      <w:r w:rsidRPr="00541D6E">
        <w:rPr>
          <w:rFonts w:ascii="Verdana" w:hAnsi="Verdana" w:cs="Arial"/>
          <w:color w:val="000000" w:themeColor="text1"/>
          <w:sz w:val="16"/>
          <w:szCs w:val="16"/>
        </w:rPr>
        <w:t xml:space="preserve"> EXPÓSITO VÉLEZ. Juan Carlos. Forma y contenido del contrato estatal, p. 90.</w:t>
      </w:r>
    </w:p>
    <w:p w:rsidRPr="00541D6E" w:rsidR="00E80F98" w:rsidP="00E80F98" w:rsidRDefault="00E80F98" w14:paraId="02920E0C" w14:textId="77777777">
      <w:pPr>
        <w:pStyle w:val="Textonotapie"/>
        <w:ind w:firstLine="708"/>
        <w:jc w:val="both"/>
        <w:rPr>
          <w:rFonts w:ascii="Verdana" w:hAnsi="Verdana" w:cs="Arial"/>
          <w:color w:val="000000" w:themeColor="text1"/>
          <w:sz w:val="16"/>
          <w:szCs w:val="16"/>
        </w:rPr>
      </w:pPr>
    </w:p>
  </w:footnote>
  <w:footnote w:id="2">
    <w:p w:rsidRPr="00541D6E" w:rsidR="00E80F98" w:rsidP="00E80F98" w:rsidRDefault="00E80F98" w14:paraId="38319CF4" w14:textId="77777777">
      <w:pPr>
        <w:pStyle w:val="Textonotapie"/>
        <w:ind w:firstLine="708"/>
        <w:jc w:val="both"/>
        <w:rPr>
          <w:rFonts w:ascii="Verdana" w:hAnsi="Verdana" w:cs="Arial"/>
          <w:color w:val="000000" w:themeColor="text1"/>
          <w:sz w:val="16"/>
          <w:szCs w:val="16"/>
        </w:rPr>
      </w:pPr>
      <w:r w:rsidRPr="00541D6E">
        <w:rPr>
          <w:rStyle w:val="Refdenotaalpie"/>
          <w:rFonts w:ascii="Verdana" w:hAnsi="Verdana" w:cs="Arial"/>
          <w:color w:val="000000" w:themeColor="text1"/>
          <w:sz w:val="16"/>
          <w:szCs w:val="16"/>
        </w:rPr>
        <w:footnoteRef/>
      </w:r>
      <w:r w:rsidRPr="00541D6E">
        <w:rPr>
          <w:rFonts w:ascii="Verdana" w:hAnsi="Verdana" w:cs="Arial"/>
          <w:color w:val="000000" w:themeColor="text1"/>
          <w:sz w:val="16"/>
          <w:szCs w:val="16"/>
        </w:rPr>
        <w:t xml:space="preserve"> CONSEJO DE ESTADO, Sala de Consulta y Servicio Civil. Radicado No. 1453. Concepto de 6 de agosto de 2003. MP. Augusto Trejos.</w:t>
      </w:r>
    </w:p>
    <w:p w:rsidRPr="00541D6E" w:rsidR="00E80F98" w:rsidP="00E80F98" w:rsidRDefault="00E80F98" w14:paraId="625F1821" w14:textId="77777777">
      <w:pPr>
        <w:pStyle w:val="Textonotapie"/>
        <w:ind w:firstLine="708"/>
        <w:jc w:val="both"/>
        <w:rPr>
          <w:rFonts w:ascii="Verdana" w:hAnsi="Verdana" w:cs="Arial"/>
          <w:color w:val="000000" w:themeColor="text1"/>
          <w:sz w:val="16"/>
          <w:szCs w:val="16"/>
        </w:rPr>
      </w:pPr>
    </w:p>
  </w:footnote>
  <w:footnote w:id="3">
    <w:p w:rsidRPr="00541D6E" w:rsidR="00E80F98" w:rsidP="00E80F98" w:rsidRDefault="00E80F98" w14:paraId="752D9283" w14:textId="77777777">
      <w:pPr>
        <w:pStyle w:val="Textonotapie"/>
        <w:ind w:firstLine="708"/>
        <w:jc w:val="both"/>
        <w:rPr>
          <w:rFonts w:ascii="Verdana" w:hAnsi="Verdana" w:cs="Arial"/>
          <w:color w:val="000000" w:themeColor="text1"/>
          <w:sz w:val="16"/>
          <w:szCs w:val="16"/>
          <w:lang w:val="es-ES"/>
        </w:rPr>
      </w:pPr>
      <w:r w:rsidRPr="00541D6E">
        <w:rPr>
          <w:rStyle w:val="Refdenotaalpie"/>
          <w:rFonts w:ascii="Verdana" w:hAnsi="Verdana" w:cs="Arial"/>
          <w:color w:val="000000" w:themeColor="text1"/>
          <w:sz w:val="16"/>
          <w:szCs w:val="16"/>
        </w:rPr>
        <w:footnoteRef/>
      </w:r>
      <w:r w:rsidRPr="00541D6E">
        <w:rPr>
          <w:rFonts w:ascii="Verdana" w:hAnsi="Verdana" w:cs="Arial"/>
          <w:color w:val="000000" w:themeColor="text1"/>
          <w:sz w:val="16"/>
          <w:szCs w:val="16"/>
        </w:rPr>
        <w:t xml:space="preserve"> </w:t>
      </w:r>
      <w:r w:rsidRPr="00541D6E">
        <w:rPr>
          <w:rFonts w:ascii="Verdana" w:hAnsi="Verdana" w:cs="Arial"/>
          <w:color w:val="000000" w:themeColor="text1"/>
          <w:sz w:val="16"/>
          <w:szCs w:val="16"/>
          <w:lang w:val="es-ES"/>
        </w:rPr>
        <w:t>El artículo 11 de la Ley 1150 de 2007 prescribe: «Artículo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rsidRPr="00541D6E" w:rsidR="00E80F98" w:rsidP="00E80F98" w:rsidRDefault="00E80F98" w14:paraId="705A9456" w14:textId="77777777">
      <w:pPr>
        <w:pStyle w:val="Textonotapie"/>
        <w:ind w:firstLine="708"/>
        <w:jc w:val="both"/>
        <w:rPr>
          <w:rFonts w:ascii="Verdana" w:hAnsi="Verdana" w:cs="Arial"/>
          <w:color w:val="000000" w:themeColor="text1"/>
          <w:sz w:val="16"/>
          <w:szCs w:val="16"/>
          <w:lang w:val="es-ES"/>
        </w:rPr>
      </w:pPr>
      <w:r w:rsidRPr="00541D6E">
        <w:rPr>
          <w:rFonts w:ascii="Verdana" w:hAnsi="Verdana" w:cs="Arial"/>
          <w:color w:val="000000" w:themeColor="text1"/>
          <w:sz w:val="16"/>
          <w:szCs w:val="16"/>
          <w:lang w:val="es-ES"/>
        </w:rPr>
        <w:t>“ 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rsidRPr="00541D6E" w:rsidR="00E80F98" w:rsidP="00E80F98" w:rsidRDefault="00E80F98" w14:paraId="5DF9A50C" w14:textId="77777777">
      <w:pPr>
        <w:pStyle w:val="Textonotapie"/>
        <w:ind w:firstLine="708"/>
        <w:jc w:val="both"/>
        <w:rPr>
          <w:rFonts w:ascii="Verdana" w:hAnsi="Verdana" w:cs="Arial"/>
          <w:color w:val="000000" w:themeColor="text1"/>
          <w:sz w:val="16"/>
          <w:szCs w:val="16"/>
          <w:lang w:val="es-ES"/>
        </w:rPr>
      </w:pPr>
      <w:r w:rsidRPr="00541D6E">
        <w:rPr>
          <w:rFonts w:ascii="Verdana" w:hAnsi="Verdana" w:cs="Arial"/>
          <w:color w:val="000000" w:themeColor="text1"/>
          <w:sz w:val="16"/>
          <w:szCs w:val="16"/>
          <w:lang w:val="es-ES"/>
        </w:rPr>
        <w:t>“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rsidRPr="00541D6E" w:rsidR="00E80F98" w:rsidP="00E80F98" w:rsidRDefault="00E80F98" w14:paraId="4D3D964C" w14:textId="77777777">
      <w:pPr>
        <w:pStyle w:val="Textonotapie"/>
        <w:ind w:firstLine="708"/>
        <w:jc w:val="both"/>
        <w:rPr>
          <w:rFonts w:ascii="Verdana" w:hAnsi="Verdana" w:cs="Arial"/>
          <w:color w:val="000000" w:themeColor="text1"/>
          <w:sz w:val="16"/>
          <w:szCs w:val="16"/>
          <w:lang w:val="es-ES"/>
        </w:rPr>
      </w:pPr>
      <w:r w:rsidRPr="00541D6E">
        <w:rPr>
          <w:rFonts w:ascii="Verdana" w:hAnsi="Verdana" w:cs="Arial"/>
          <w:color w:val="000000" w:themeColor="text1"/>
          <w:sz w:val="16"/>
          <w:szCs w:val="16"/>
          <w:lang w:val="es-ES"/>
        </w:rPr>
        <w:t>“ Los contratistas tendrán derecho a efectuar salvedades a la liquidación por mutuo acuerdo, y en este evento la liquidación unilateral solo procederá en relación con los aspectos que no hayan sido objeto de acuerdo».</w:t>
      </w:r>
    </w:p>
  </w:footnote>
  <w:footnote w:id="4">
    <w:p w:rsidRPr="00541D6E" w:rsidR="00E80F98" w:rsidP="00E80F98" w:rsidRDefault="00E80F98" w14:paraId="4EBBD2C0" w14:textId="77777777">
      <w:pPr>
        <w:pStyle w:val="Textonotapie"/>
        <w:ind w:firstLine="709"/>
        <w:jc w:val="both"/>
        <w:rPr>
          <w:rFonts w:ascii="Verdana" w:hAnsi="Verdana" w:cs="Arial"/>
          <w:color w:val="000000" w:themeColor="text1"/>
          <w:sz w:val="16"/>
          <w:szCs w:val="16"/>
        </w:rPr>
      </w:pPr>
      <w:r w:rsidRPr="00541D6E">
        <w:rPr>
          <w:rStyle w:val="Refdenotaalpie"/>
          <w:rFonts w:ascii="Verdana" w:hAnsi="Verdana" w:cs="Arial"/>
          <w:color w:val="000000" w:themeColor="text1"/>
          <w:sz w:val="16"/>
          <w:szCs w:val="16"/>
        </w:rPr>
        <w:footnoteRef/>
      </w:r>
      <w:r w:rsidRPr="00541D6E">
        <w:rPr>
          <w:rFonts w:ascii="Verdana" w:hAnsi="Verdana" w:cs="Arial"/>
          <w:color w:val="000000" w:themeColor="text1"/>
          <w:sz w:val="16"/>
          <w:szCs w:val="16"/>
        </w:rPr>
        <w:t xml:space="preserve"> CONSEJO DE ESTADO, Sección Tercera, Subsección C, Sentencia del 24 de julio de 2013, radicado No. 25.642, Consejero Ponente Enrique Gil Botero.</w:t>
      </w:r>
    </w:p>
    <w:p w:rsidRPr="00541D6E" w:rsidR="00E80F98" w:rsidP="00E80F98" w:rsidRDefault="00E80F98" w14:paraId="1690F43B" w14:textId="77777777">
      <w:pPr>
        <w:pStyle w:val="Textonotapie"/>
        <w:ind w:firstLine="709"/>
        <w:jc w:val="both"/>
        <w:rPr>
          <w:rFonts w:ascii="Verdana" w:hAnsi="Verdana" w:cs="Arial"/>
          <w:color w:val="000000" w:themeColor="text1"/>
          <w:sz w:val="16"/>
          <w:szCs w:val="16"/>
          <w:lang w:val="es-CO"/>
        </w:rPr>
      </w:pPr>
    </w:p>
  </w:footnote>
  <w:footnote w:id="5">
    <w:p w:rsidRPr="00541D6E" w:rsidR="00E80F98" w:rsidP="00E80F98" w:rsidRDefault="00E80F98" w14:paraId="51F6452A" w14:textId="77777777">
      <w:pPr>
        <w:pStyle w:val="NormalWeb"/>
        <w:spacing w:after="0"/>
        <w:ind w:firstLine="709"/>
        <w:jc w:val="both"/>
        <w:rPr>
          <w:rFonts w:ascii="Verdana" w:hAnsi="Verdana" w:cs="Arial"/>
          <w:color w:val="000000" w:themeColor="text1"/>
          <w:sz w:val="16"/>
          <w:szCs w:val="16"/>
        </w:rPr>
      </w:pPr>
      <w:r w:rsidRPr="00541D6E">
        <w:rPr>
          <w:rStyle w:val="Refdenotaalpie"/>
          <w:rFonts w:ascii="Verdana" w:hAnsi="Verdana" w:cs="Arial"/>
          <w:color w:val="000000" w:themeColor="text1"/>
          <w:sz w:val="16"/>
          <w:szCs w:val="16"/>
        </w:rPr>
        <w:footnoteRef/>
      </w:r>
      <w:r w:rsidRPr="00541D6E">
        <w:rPr>
          <w:rFonts w:ascii="Verdana" w:hAnsi="Verdana" w:cs="Arial"/>
          <w:color w:val="000000" w:themeColor="text1"/>
          <w:sz w:val="16"/>
          <w:szCs w:val="16"/>
        </w:rPr>
        <w:t xml:space="preserve"> Decreto 1082 de 2015 “</w:t>
      </w:r>
      <w:r w:rsidRPr="00541D6E">
        <w:rPr>
          <w:rStyle w:val="Textoennegrita"/>
          <w:rFonts w:ascii="Verdana" w:hAnsi="Verdana" w:cs="Arial"/>
          <w:color w:val="000000" w:themeColor="text1"/>
          <w:sz w:val="16"/>
          <w:szCs w:val="16"/>
        </w:rPr>
        <w:t>Artículo 2.2.1.2.1.5.2. </w:t>
      </w:r>
      <w:r w:rsidRPr="00541D6E">
        <w:rPr>
          <w:rStyle w:val="nfasis"/>
          <w:rFonts w:ascii="Verdana" w:hAnsi="Verdana" w:cs="Arial" w:eastAsiaTheme="minorEastAsia"/>
          <w:color w:val="000000" w:themeColor="text1"/>
          <w:sz w:val="16"/>
          <w:szCs w:val="16"/>
        </w:rPr>
        <w:t>Procedimiento para la contratación de mínima cuantía. </w:t>
      </w:r>
      <w:r w:rsidRPr="00541D6E">
        <w:rPr>
          <w:rFonts w:ascii="Verdana" w:hAnsi="Verdana" w:cs="Arial"/>
          <w:color w:val="000000" w:themeColor="text1"/>
          <w:sz w:val="16"/>
          <w:szCs w:val="16"/>
        </w:rPr>
        <w:t>Las siguientes reglas son aplicables a la contratación cuyo valor no excede del 10% de la menor cuantía de la Entidad Estatal, independientemente de su objeto: </w:t>
      </w:r>
    </w:p>
    <w:p w:rsidRPr="00541D6E" w:rsidR="00E80F98" w:rsidP="00E80F98" w:rsidRDefault="00E80F98" w14:paraId="6FC82BE7" w14:textId="77777777">
      <w:pPr>
        <w:pStyle w:val="NormalWeb"/>
        <w:spacing w:after="0"/>
        <w:jc w:val="both"/>
        <w:rPr>
          <w:rFonts w:ascii="Verdana" w:hAnsi="Verdana" w:cs="Arial"/>
          <w:color w:val="000000" w:themeColor="text1"/>
          <w:sz w:val="16"/>
          <w:szCs w:val="16"/>
        </w:rPr>
      </w:pPr>
      <w:r w:rsidRPr="00541D6E">
        <w:rPr>
          <w:rFonts w:ascii="Verdana" w:hAnsi="Verdana" w:cs="Arial"/>
          <w:color w:val="000000" w:themeColor="text1"/>
          <w:sz w:val="16"/>
          <w:szCs w:val="16"/>
        </w:rPr>
        <w:t>  </w:t>
      </w:r>
      <w:r w:rsidRPr="00541D6E">
        <w:rPr>
          <w:rFonts w:ascii="Verdana" w:hAnsi="Verdana" w:cs="Arial"/>
          <w:color w:val="000000" w:themeColor="text1"/>
          <w:sz w:val="16"/>
          <w:szCs w:val="16"/>
        </w:rPr>
        <w:tab/>
      </w:r>
      <w:r w:rsidRPr="00541D6E">
        <w:rPr>
          <w:rFonts w:ascii="Verdana" w:hAnsi="Verdana" w:cs="Arial"/>
          <w:color w:val="000000" w:themeColor="text1"/>
          <w:sz w:val="16"/>
          <w:szCs w:val="16"/>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 </w:t>
      </w:r>
    </w:p>
    <w:p w:rsidRPr="00541D6E" w:rsidR="00E80F98" w:rsidP="00E80F98" w:rsidRDefault="00E80F98" w14:paraId="6D494057" w14:textId="77777777">
      <w:pPr>
        <w:pStyle w:val="NormalWeb"/>
        <w:spacing w:after="0"/>
        <w:jc w:val="both"/>
        <w:rPr>
          <w:rFonts w:ascii="Verdana" w:hAnsi="Verdana" w:cs="Arial"/>
          <w:color w:val="000000" w:themeColor="text1"/>
          <w:sz w:val="16"/>
          <w:szCs w:val="16"/>
        </w:rPr>
      </w:pPr>
    </w:p>
  </w:footnote>
  <w:footnote w:id="6">
    <w:p w:rsidRPr="00541D6E" w:rsidR="00E80F98" w:rsidP="00E80F98" w:rsidRDefault="00E80F98" w14:paraId="2E363A86" w14:textId="77777777">
      <w:pPr>
        <w:pStyle w:val="Textonotapie"/>
        <w:ind w:firstLine="709"/>
        <w:jc w:val="both"/>
        <w:rPr>
          <w:rFonts w:ascii="Verdana" w:hAnsi="Verdana" w:cs="Arial"/>
          <w:color w:val="000000" w:themeColor="text1"/>
          <w:sz w:val="16"/>
          <w:szCs w:val="16"/>
        </w:rPr>
      </w:pPr>
      <w:r w:rsidRPr="00541D6E">
        <w:rPr>
          <w:rStyle w:val="Refdenotaalpie"/>
          <w:rFonts w:ascii="Verdana" w:hAnsi="Verdana" w:cs="Arial"/>
          <w:color w:val="000000" w:themeColor="text1"/>
          <w:sz w:val="16"/>
          <w:szCs w:val="16"/>
        </w:rPr>
        <w:footnoteRef/>
      </w:r>
      <w:r w:rsidRPr="00541D6E">
        <w:rPr>
          <w:rFonts w:ascii="Verdana" w:hAnsi="Verdana" w:cs="Arial"/>
          <w:color w:val="000000" w:themeColor="text1"/>
          <w:sz w:val="16"/>
          <w:szCs w:val="16"/>
        </w:rPr>
        <w:t xml:space="preserve"> Ley 80 de 1993 “</w:t>
      </w:r>
      <w:r w:rsidRPr="00541D6E">
        <w:rPr>
          <w:rStyle w:val="Textoennegrita"/>
          <w:rFonts w:ascii="Verdana" w:hAnsi="Verdana" w:cs="Arial"/>
          <w:color w:val="000000" w:themeColor="text1"/>
          <w:sz w:val="16"/>
          <w:szCs w:val="16"/>
        </w:rPr>
        <w:t>Artículo 77. De la normatividad aplicable en las actuaciones administrativas.</w:t>
      </w:r>
      <w:r w:rsidRPr="00541D6E">
        <w:rPr>
          <w:rFonts w:ascii="Verdana" w:hAnsi="Verdana" w:cs="Arial"/>
          <w:color w:val="000000" w:themeColor="text1"/>
          <w:sz w:val="16"/>
          <w:szCs w:val="16"/>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 […]”. </w:t>
      </w:r>
    </w:p>
  </w:footnote>
  <w:footnote w:id="7">
    <w:p w:rsidRPr="00541D6E" w:rsidR="00E80F98" w:rsidP="00E80F98" w:rsidRDefault="00E80F98" w14:paraId="716FF653" w14:textId="77777777">
      <w:pPr>
        <w:pStyle w:val="NormalWeb"/>
        <w:spacing w:after="0"/>
        <w:ind w:firstLine="709"/>
        <w:jc w:val="both"/>
        <w:rPr>
          <w:rFonts w:ascii="Verdana" w:hAnsi="Verdana" w:cs="Arial"/>
          <w:color w:val="000000" w:themeColor="text1"/>
          <w:sz w:val="16"/>
          <w:szCs w:val="16"/>
        </w:rPr>
      </w:pPr>
      <w:r w:rsidRPr="00541D6E">
        <w:rPr>
          <w:rStyle w:val="Refdenotaalpie"/>
          <w:rFonts w:ascii="Verdana" w:hAnsi="Verdana" w:cs="Arial"/>
          <w:color w:val="000000" w:themeColor="text1"/>
          <w:sz w:val="16"/>
          <w:szCs w:val="16"/>
        </w:rPr>
        <w:footnoteRef/>
      </w:r>
      <w:r w:rsidRPr="00541D6E">
        <w:rPr>
          <w:rFonts w:ascii="Verdana" w:hAnsi="Verdana" w:cs="Arial"/>
          <w:color w:val="000000" w:themeColor="text1"/>
          <w:sz w:val="16"/>
          <w:szCs w:val="16"/>
        </w:rPr>
        <w:t xml:space="preserve"> Ley 80 de 1993 “</w:t>
      </w:r>
      <w:r w:rsidRPr="00541D6E">
        <w:rPr>
          <w:rStyle w:val="Textoennegrita"/>
          <w:rFonts w:ascii="Verdana" w:hAnsi="Verdana" w:cs="Arial"/>
          <w:color w:val="000000" w:themeColor="text1"/>
          <w:sz w:val="16"/>
          <w:szCs w:val="16"/>
        </w:rPr>
        <w:t>Artículo 25. Del principio de economía.</w:t>
      </w:r>
      <w:r w:rsidRPr="00541D6E">
        <w:rPr>
          <w:rFonts w:ascii="Verdana" w:hAnsi="Verdana" w:cs="Arial"/>
          <w:color w:val="000000" w:themeColor="text1"/>
          <w:sz w:val="16"/>
          <w:szCs w:val="16"/>
        </w:rPr>
        <w:t> En virtud de este principio: </w:t>
      </w:r>
    </w:p>
    <w:p w:rsidRPr="00541D6E" w:rsidR="00E80F98" w:rsidP="00E80F98" w:rsidRDefault="00E80F98" w14:paraId="6F49D193" w14:textId="77777777">
      <w:pPr>
        <w:pStyle w:val="NormalWeb"/>
        <w:spacing w:after="0"/>
        <w:ind w:firstLine="709"/>
        <w:jc w:val="both"/>
        <w:rPr>
          <w:rFonts w:ascii="Verdana" w:hAnsi="Verdana" w:cs="Arial"/>
          <w:color w:val="000000" w:themeColor="text1"/>
          <w:sz w:val="16"/>
          <w:szCs w:val="16"/>
        </w:rPr>
      </w:pPr>
      <w:r w:rsidRPr="00541D6E">
        <w:rPr>
          <w:rFonts w:ascii="Verdana" w:hAnsi="Verdana" w:cs="Arial"/>
          <w:color w:val="000000" w:themeColor="text1"/>
          <w:sz w:val="16"/>
          <w:szCs w:val="16"/>
        </w:rPr>
        <w:t>[…]</w:t>
      </w:r>
    </w:p>
    <w:p w:rsidRPr="00541D6E" w:rsidR="00E80F98" w:rsidP="00E80F98" w:rsidRDefault="00E80F98" w14:paraId="7DF9E551" w14:textId="77777777">
      <w:pPr>
        <w:pStyle w:val="NormalWeb"/>
        <w:spacing w:after="0"/>
        <w:ind w:firstLine="709"/>
        <w:jc w:val="both"/>
        <w:rPr>
          <w:rFonts w:ascii="Verdana" w:hAnsi="Verdana" w:cs="Arial"/>
          <w:color w:val="000000" w:themeColor="text1"/>
          <w:sz w:val="16"/>
          <w:szCs w:val="16"/>
        </w:rPr>
      </w:pPr>
      <w:r w:rsidRPr="00541D6E">
        <w:rPr>
          <w:rFonts w:ascii="Verdana" w:hAnsi="Verdana" w:cs="Arial"/>
          <w:color w:val="000000" w:themeColor="text1"/>
          <w:sz w:val="16"/>
          <w:szCs w:val="16"/>
        </w:rPr>
        <w:t>“4o. Los trámites se adelantarán con austeridad de tiempo, medios y gastos y se impedirán las dilaciones y los retardos en la ejecución del contrato. </w:t>
      </w:r>
    </w:p>
    <w:p w:rsidRPr="00541D6E" w:rsidR="00E80F98" w:rsidP="00E80F98" w:rsidRDefault="00E80F98" w14:paraId="76DF4A6F" w14:textId="77777777">
      <w:pPr>
        <w:pStyle w:val="NormalWeb"/>
        <w:spacing w:after="0"/>
        <w:jc w:val="both"/>
        <w:rPr>
          <w:rFonts w:ascii="Verdana" w:hAnsi="Verdana" w:cs="Arial"/>
          <w:color w:val="000000" w:themeColor="text1"/>
          <w:sz w:val="16"/>
          <w:szCs w:val="16"/>
        </w:rPr>
      </w:pPr>
      <w:r w:rsidRPr="00541D6E">
        <w:rPr>
          <w:rFonts w:ascii="Verdana" w:hAnsi="Verdana" w:cs="Arial"/>
          <w:color w:val="000000" w:themeColor="text1"/>
          <w:sz w:val="16"/>
          <w:szCs w:val="16"/>
        </w:rPr>
        <w:t>  </w:t>
      </w:r>
      <w:r w:rsidRPr="00541D6E">
        <w:rPr>
          <w:rFonts w:ascii="Verdana" w:hAnsi="Verdana" w:cs="Arial"/>
          <w:color w:val="000000" w:themeColor="text1"/>
          <w:sz w:val="16"/>
          <w:szCs w:val="16"/>
        </w:rPr>
        <w:tab/>
      </w:r>
      <w:r w:rsidRPr="00541D6E">
        <w:rPr>
          <w:rFonts w:ascii="Verdana" w:hAnsi="Verdana" w:cs="Arial"/>
          <w:color w:val="000000" w:themeColor="text1"/>
          <w:sz w:val="16"/>
          <w:szCs w:val="16"/>
        </w:rPr>
        <w:t>“5o. Se adoptarán procedimientos que garanticen la pronta solución de las diferencias y controversias que con motivo de la celebración y ejecución del contrato se presenten […]”.</w:t>
      </w:r>
    </w:p>
  </w:footnote>
  <w:footnote w:id="8">
    <w:p w:rsidRPr="00541D6E" w:rsidR="00E80F98" w:rsidP="00E80F98" w:rsidRDefault="00E80F98" w14:paraId="6F3787D2" w14:textId="77777777">
      <w:pPr>
        <w:pStyle w:val="Textonotapie"/>
        <w:ind w:firstLine="708"/>
        <w:jc w:val="both"/>
        <w:rPr>
          <w:rFonts w:ascii="Verdana" w:hAnsi="Verdana" w:cs="Arial"/>
          <w:color w:val="000000" w:themeColor="text1"/>
          <w:sz w:val="16"/>
          <w:szCs w:val="16"/>
        </w:rPr>
      </w:pPr>
      <w:r w:rsidRPr="00541D6E">
        <w:rPr>
          <w:rStyle w:val="Refdenotaalpie"/>
          <w:rFonts w:ascii="Verdana" w:hAnsi="Verdana" w:cs="Arial"/>
          <w:color w:val="000000" w:themeColor="text1"/>
          <w:sz w:val="16"/>
          <w:szCs w:val="16"/>
        </w:rPr>
        <w:footnoteRef/>
      </w:r>
      <w:r w:rsidRPr="00541D6E">
        <w:rPr>
          <w:rFonts w:ascii="Verdana" w:hAnsi="Verdana" w:cs="Arial"/>
          <w:color w:val="000000" w:themeColor="text1"/>
          <w:sz w:val="16"/>
          <w:szCs w:val="16"/>
        </w:rPr>
        <w:t xml:space="preserve"> CONSEJO DE ESTADO. Sala de Consulta y Servicio Civil. Concepto de 28 de Junio de 2016. Radicación: 2253. C.P. Álvaro Namén Vargas. </w:t>
      </w:r>
    </w:p>
    <w:p w:rsidRPr="00D15703" w:rsidR="00E80F98" w:rsidP="00E80F98" w:rsidRDefault="00E80F98" w14:paraId="40627B1A" w14:textId="77777777">
      <w:pPr>
        <w:pStyle w:val="Textonotapie"/>
        <w:ind w:firstLine="708"/>
        <w:jc w:val="both"/>
        <w:rPr>
          <w:rFonts w:ascii="Arial" w:hAnsi="Arial" w:cs="Arial"/>
          <w:color w:val="000000" w:themeColor="text1"/>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9D3058" w14:paraId="435F4D03" w14:textId="0903BF04">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rsidR="00756841" w:rsidRDefault="00756841" w14:paraId="1BE2B9AE" w14:textId="4B94DB3B">
    <w:pPr>
      <w:pStyle w:val="Encabezado"/>
    </w:pPr>
  </w:p>
  <w:p w:rsidR="00DC39FC" w:rsidP="004A305D" w:rsidRDefault="00DC39FC" w14:paraId="3079FC11" w14:textId="77777777">
    <w:pPr>
      <w:spacing w:after="0"/>
      <w:rPr>
        <w:rFonts w:ascii="Verdana" w:hAnsi="Verdana"/>
        <w:b/>
        <w:bCs/>
      </w:rPr>
    </w:pPr>
  </w:p>
  <w:p w:rsidRPr="004A305D" w:rsidR="004A305D" w:rsidP="00B01B1A" w:rsidRDefault="004A305D" w14:paraId="5E18350A" w14:textId="705F7B76">
    <w:pPr>
      <w:spacing w:after="0" w:line="120" w:lineRule="auto"/>
      <w:rPr>
        <w:rFonts w:ascii="Century Gothic" w:hAnsi="Century Gothic" w:eastAsia="Geo" w:cs="Geo"/>
        <w:sz w:val="16"/>
        <w:szCs w:val="16"/>
        <w:lang w:eastAsia="es-CO"/>
      </w:rPr>
    </w:pPr>
  </w:p>
  <w:p w:rsidR="008A446D" w:rsidP="00061B2A" w:rsidRDefault="008A446D" w14:paraId="1FD1C243" w14:textId="6D74A3CF">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0" style="width:10.8pt;height:10.8pt" o:bullet="t" type="#_x0000_t75">
        <v:imagedata o:title="mso1B13" r:id="rId1"/>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3" w15:restartNumberingAfterBreak="0">
    <w:nsid w:val="07445982"/>
    <w:multiLevelType w:val="hybridMultilevel"/>
    <w:tmpl w:val="D5A0D24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19BC7074"/>
    <w:multiLevelType w:val="hybridMultilevel"/>
    <w:tmpl w:val="548E4D16"/>
    <w:lvl w:ilvl="0" w:tplc="295054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4FDA11BD"/>
    <w:multiLevelType w:val="hybridMultilevel"/>
    <w:tmpl w:val="42BEF8B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5CB31985"/>
    <w:multiLevelType w:val="hybridMultilevel"/>
    <w:tmpl w:val="C0F4035C"/>
    <w:lvl w:ilvl="0" w:tplc="1B420D7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6C03B0"/>
    <w:multiLevelType w:val="hybridMultilevel"/>
    <w:tmpl w:val="87183FAA"/>
    <w:lvl w:ilvl="0" w:tplc="240A0007">
      <w:start w:val="1"/>
      <w:numFmt w:val="bullet"/>
      <w:lvlText w:val=""/>
      <w:lvlPicBulletId w:val="0"/>
      <w:lvlJc w:val="left"/>
      <w:pPr>
        <w:ind w:left="785" w:hanging="360"/>
      </w:pPr>
      <w:rPr>
        <w:rFonts w:hint="default" w:ascii="Symbol" w:hAnsi="Symbol"/>
      </w:rPr>
    </w:lvl>
    <w:lvl w:ilvl="1" w:tplc="240A0003" w:tentative="1">
      <w:start w:val="1"/>
      <w:numFmt w:val="bullet"/>
      <w:lvlText w:val="o"/>
      <w:lvlJc w:val="left"/>
      <w:pPr>
        <w:ind w:left="1505" w:hanging="360"/>
      </w:pPr>
      <w:rPr>
        <w:rFonts w:hint="default" w:ascii="Courier New" w:hAnsi="Courier New" w:cs="Courier New"/>
      </w:rPr>
    </w:lvl>
    <w:lvl w:ilvl="2" w:tplc="240A0005" w:tentative="1">
      <w:start w:val="1"/>
      <w:numFmt w:val="bullet"/>
      <w:lvlText w:val=""/>
      <w:lvlJc w:val="left"/>
      <w:pPr>
        <w:ind w:left="2225" w:hanging="360"/>
      </w:pPr>
      <w:rPr>
        <w:rFonts w:hint="default" w:ascii="Wingdings" w:hAnsi="Wingdings"/>
      </w:rPr>
    </w:lvl>
    <w:lvl w:ilvl="3" w:tplc="240A0001" w:tentative="1">
      <w:start w:val="1"/>
      <w:numFmt w:val="bullet"/>
      <w:lvlText w:val=""/>
      <w:lvlJc w:val="left"/>
      <w:pPr>
        <w:ind w:left="2945" w:hanging="360"/>
      </w:pPr>
      <w:rPr>
        <w:rFonts w:hint="default" w:ascii="Symbol" w:hAnsi="Symbol"/>
      </w:rPr>
    </w:lvl>
    <w:lvl w:ilvl="4" w:tplc="240A0003" w:tentative="1">
      <w:start w:val="1"/>
      <w:numFmt w:val="bullet"/>
      <w:lvlText w:val="o"/>
      <w:lvlJc w:val="left"/>
      <w:pPr>
        <w:ind w:left="3665" w:hanging="360"/>
      </w:pPr>
      <w:rPr>
        <w:rFonts w:hint="default" w:ascii="Courier New" w:hAnsi="Courier New" w:cs="Courier New"/>
      </w:rPr>
    </w:lvl>
    <w:lvl w:ilvl="5" w:tplc="240A0005" w:tentative="1">
      <w:start w:val="1"/>
      <w:numFmt w:val="bullet"/>
      <w:lvlText w:val=""/>
      <w:lvlJc w:val="left"/>
      <w:pPr>
        <w:ind w:left="4385" w:hanging="360"/>
      </w:pPr>
      <w:rPr>
        <w:rFonts w:hint="default" w:ascii="Wingdings" w:hAnsi="Wingdings"/>
      </w:rPr>
    </w:lvl>
    <w:lvl w:ilvl="6" w:tplc="240A0001" w:tentative="1">
      <w:start w:val="1"/>
      <w:numFmt w:val="bullet"/>
      <w:lvlText w:val=""/>
      <w:lvlJc w:val="left"/>
      <w:pPr>
        <w:ind w:left="5105" w:hanging="360"/>
      </w:pPr>
      <w:rPr>
        <w:rFonts w:hint="default" w:ascii="Symbol" w:hAnsi="Symbol"/>
      </w:rPr>
    </w:lvl>
    <w:lvl w:ilvl="7" w:tplc="240A0003" w:tentative="1">
      <w:start w:val="1"/>
      <w:numFmt w:val="bullet"/>
      <w:lvlText w:val="o"/>
      <w:lvlJc w:val="left"/>
      <w:pPr>
        <w:ind w:left="5825" w:hanging="360"/>
      </w:pPr>
      <w:rPr>
        <w:rFonts w:hint="default" w:ascii="Courier New" w:hAnsi="Courier New" w:cs="Courier New"/>
      </w:rPr>
    </w:lvl>
    <w:lvl w:ilvl="8" w:tplc="240A0005" w:tentative="1">
      <w:start w:val="1"/>
      <w:numFmt w:val="bullet"/>
      <w:lvlText w:val=""/>
      <w:lvlJc w:val="left"/>
      <w:pPr>
        <w:ind w:left="6545" w:hanging="360"/>
      </w:pPr>
      <w:rPr>
        <w:rFonts w:hint="default" w:ascii="Wingdings" w:hAnsi="Wingdings"/>
      </w:rPr>
    </w:lvl>
  </w:abstractNum>
  <w:abstractNum w:abstractNumId="15" w15:restartNumberingAfterBreak="0">
    <w:nsid w:val="67BD047C"/>
    <w:multiLevelType w:val="hybridMultilevel"/>
    <w:tmpl w:val="900228A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7"/>
  </w:num>
  <w:num w:numId="8" w16cid:durableId="152644682">
    <w:abstractNumId w:val="17"/>
  </w:num>
  <w:num w:numId="9" w16cid:durableId="1317221377">
    <w:abstractNumId w:val="9"/>
  </w:num>
  <w:num w:numId="10" w16cid:durableId="1471245386">
    <w:abstractNumId w:val="16"/>
  </w:num>
  <w:num w:numId="11" w16cid:durableId="289172385">
    <w:abstractNumId w:val="10"/>
  </w:num>
  <w:num w:numId="12" w16cid:durableId="1470781324">
    <w:abstractNumId w:val="1"/>
  </w:num>
  <w:num w:numId="13" w16cid:durableId="1512908409">
    <w:abstractNumId w:val="5"/>
  </w:num>
  <w:num w:numId="14" w16cid:durableId="895897244">
    <w:abstractNumId w:val="19"/>
  </w:num>
  <w:num w:numId="15" w16cid:durableId="390349800">
    <w:abstractNumId w:val="14"/>
  </w:num>
  <w:num w:numId="16" w16cid:durableId="202817398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089576">
    <w:abstractNumId w:val="11"/>
  </w:num>
  <w:num w:numId="18" w16cid:durableId="510485053">
    <w:abstractNumId w:val="4"/>
  </w:num>
  <w:num w:numId="19" w16cid:durableId="1321957370">
    <w:abstractNumId w:val="13"/>
  </w:num>
  <w:num w:numId="20" w16cid:durableId="354035714">
    <w:abstractNumId w:val="3"/>
  </w:num>
  <w:num w:numId="21" w16cid:durableId="2025521580">
    <w:abstractNumId w:val="12"/>
  </w:num>
  <w:num w:numId="22" w16cid:durableId="183888698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8686D"/>
    <w:rsid w:val="000A683E"/>
    <w:rsid w:val="000B19B9"/>
    <w:rsid w:val="000D0334"/>
    <w:rsid w:val="000F6486"/>
    <w:rsid w:val="00125105"/>
    <w:rsid w:val="00127233"/>
    <w:rsid w:val="001E4177"/>
    <w:rsid w:val="001F7DC6"/>
    <w:rsid w:val="002421BB"/>
    <w:rsid w:val="0025796E"/>
    <w:rsid w:val="002609E1"/>
    <w:rsid w:val="002707A2"/>
    <w:rsid w:val="002951A0"/>
    <w:rsid w:val="002962BC"/>
    <w:rsid w:val="002A093D"/>
    <w:rsid w:val="002A0DD0"/>
    <w:rsid w:val="002A49AC"/>
    <w:rsid w:val="002A64FD"/>
    <w:rsid w:val="002C7A84"/>
    <w:rsid w:val="002E4FD9"/>
    <w:rsid w:val="00304414"/>
    <w:rsid w:val="00322A85"/>
    <w:rsid w:val="00324168"/>
    <w:rsid w:val="003448F4"/>
    <w:rsid w:val="00374F5E"/>
    <w:rsid w:val="00377E3E"/>
    <w:rsid w:val="00381FEF"/>
    <w:rsid w:val="003A26D1"/>
    <w:rsid w:val="003A779E"/>
    <w:rsid w:val="003D0F4D"/>
    <w:rsid w:val="003D5B0D"/>
    <w:rsid w:val="003E0499"/>
    <w:rsid w:val="003F3941"/>
    <w:rsid w:val="00406575"/>
    <w:rsid w:val="0042722E"/>
    <w:rsid w:val="0044528D"/>
    <w:rsid w:val="004A1847"/>
    <w:rsid w:val="004A305D"/>
    <w:rsid w:val="004F21C4"/>
    <w:rsid w:val="004F685F"/>
    <w:rsid w:val="00541D6E"/>
    <w:rsid w:val="005566E8"/>
    <w:rsid w:val="00574867"/>
    <w:rsid w:val="00591460"/>
    <w:rsid w:val="00592628"/>
    <w:rsid w:val="005C3777"/>
    <w:rsid w:val="005C5CDC"/>
    <w:rsid w:val="005D476C"/>
    <w:rsid w:val="005D571F"/>
    <w:rsid w:val="00610812"/>
    <w:rsid w:val="006219F8"/>
    <w:rsid w:val="00650FF7"/>
    <w:rsid w:val="00665D70"/>
    <w:rsid w:val="00671DAC"/>
    <w:rsid w:val="006900D9"/>
    <w:rsid w:val="006D12F8"/>
    <w:rsid w:val="00706C16"/>
    <w:rsid w:val="0072412A"/>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D13DA"/>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04625"/>
    <w:rsid w:val="00A122D3"/>
    <w:rsid w:val="00A17F13"/>
    <w:rsid w:val="00A20739"/>
    <w:rsid w:val="00A33C78"/>
    <w:rsid w:val="00A62BC0"/>
    <w:rsid w:val="00AB0ADB"/>
    <w:rsid w:val="00B01B1A"/>
    <w:rsid w:val="00B72CD3"/>
    <w:rsid w:val="00B72FFF"/>
    <w:rsid w:val="00BC3D36"/>
    <w:rsid w:val="00BC6C87"/>
    <w:rsid w:val="00BD7F72"/>
    <w:rsid w:val="00C04FB3"/>
    <w:rsid w:val="00C330EB"/>
    <w:rsid w:val="00C71CDC"/>
    <w:rsid w:val="00C754BE"/>
    <w:rsid w:val="00C76B1C"/>
    <w:rsid w:val="00CB6357"/>
    <w:rsid w:val="00CC1B26"/>
    <w:rsid w:val="00D423A2"/>
    <w:rsid w:val="00D520D8"/>
    <w:rsid w:val="00D63AC2"/>
    <w:rsid w:val="00D7383B"/>
    <w:rsid w:val="00DA231B"/>
    <w:rsid w:val="00DA23A0"/>
    <w:rsid w:val="00DC39FC"/>
    <w:rsid w:val="00DF5254"/>
    <w:rsid w:val="00E16408"/>
    <w:rsid w:val="00E20894"/>
    <w:rsid w:val="00E245AB"/>
    <w:rsid w:val="00E2764C"/>
    <w:rsid w:val="00E27F2E"/>
    <w:rsid w:val="00E413EA"/>
    <w:rsid w:val="00E50AFE"/>
    <w:rsid w:val="00E75C92"/>
    <w:rsid w:val="00E771DC"/>
    <w:rsid w:val="00E80F98"/>
    <w:rsid w:val="00E83B93"/>
    <w:rsid w:val="00E8772A"/>
    <w:rsid w:val="00E90F6B"/>
    <w:rsid w:val="00E92C27"/>
    <w:rsid w:val="00EA0E3D"/>
    <w:rsid w:val="00EC38A7"/>
    <w:rsid w:val="00EE1AA8"/>
    <w:rsid w:val="00EF28CE"/>
    <w:rsid w:val="00EF6424"/>
    <w:rsid w:val="00F31EDC"/>
    <w:rsid w:val="00F462B3"/>
    <w:rsid w:val="00F5664F"/>
    <w:rsid w:val="00F666C4"/>
    <w:rsid w:val="00F76AFC"/>
    <w:rsid w:val="00FA47C0"/>
    <w:rsid w:val="00FB5DD1"/>
    <w:rsid w:val="00FC2B5D"/>
    <w:rsid w:val="00FF1449"/>
    <w:rsid w:val="5CEADB7B"/>
    <w:rsid w:val="7F4195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paragraph" w:customStyle="1">
    <w:name w:val="paragraph"/>
    <w:basedOn w:val="Normal"/>
    <w:rsid w:val="00322A85"/>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abchar" w:customStyle="1">
    <w:name w:val="tabchar"/>
    <w:basedOn w:val="Fuentedeprrafopredeter"/>
    <w:rsid w:val="00322A85"/>
  </w:style>
  <w:style w:type="character" w:styleId="eop" w:customStyle="1">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blanco" w:customStyle="1">
    <w:name w:val="blanco"/>
    <w:basedOn w:val="Normal"/>
    <w:rsid w:val="00C76B1C"/>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Appelnotedebasde" w:customStyle="1">
    <w:name w:val="Appel note de bas de..."/>
    <w:basedOn w:val="Normal"/>
    <w:link w:val="Refdenotaalpie"/>
    <w:uiPriority w:val="99"/>
    <w:rsid w:val="00E80F98"/>
    <w:pPr>
      <w:spacing w:line="240" w:lineRule="exact"/>
    </w:pPr>
    <w:rPr>
      <w:vertAlign w:val="superscript"/>
    </w:rPr>
  </w:style>
  <w:style w:type="table" w:styleId="Tablaconcuadrcula1" w:customStyle="1">
    <w:name w:val="Tabla con cuadrícula1"/>
    <w:basedOn w:val="Tablanormal"/>
    <w:next w:val="Tablaconcuadrcula"/>
    <w:uiPriority w:val="39"/>
    <w:qFormat/>
    <w:rsid w:val="00E80F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0F98"/>
    <w:rPr>
      <w:rFonts w:ascii="Geomanist Light" w:hAnsi="Geomanist Light"/>
      <w:lang w:val="es-ES"/>
    </w:rPr>
  </w:style>
  <w:style w:type="character" w:styleId="Textoennegrita">
    <w:name w:val="Strong"/>
    <w:basedOn w:val="Fuentedeprrafopredeter"/>
    <w:uiPriority w:val="22"/>
    <w:qFormat/>
    <w:rsid w:val="00E80F98"/>
    <w:rPr>
      <w:b/>
      <w:bCs/>
    </w:rPr>
  </w:style>
  <w:style w:type="character" w:styleId="nfasis">
    <w:name w:val="Emphasis"/>
    <w:basedOn w:val="Fuentedeprrafopredeter"/>
    <w:uiPriority w:val="20"/>
    <w:qFormat/>
    <w:rsid w:val="00E80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61057691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relatoria.colombiacompra.gov.co/providencias-consejo-de-estado/"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controlinterno@mistrato-risaralda.gov.co" TargetMode="External" Id="rId12" /><Relationship Type="http://schemas.openxmlformats.org/officeDocument/2006/relationships/image" Target="media/image3.png" Id="rId17" /><Relationship Type="http://schemas.openxmlformats.org/officeDocument/2006/relationships/customXml" Target="../customXml/item2.xml" Id="rId2" /><Relationship Type="http://schemas.openxmlformats.org/officeDocument/2006/relationships/hyperlink" Target="https://nam02.safelinks.protection.outlook.com/?url=https%3A%2F%2Fwww.colombiacompra.gov.co%2Fsala-de-prensa%2Fboletin-digital%2Fboletin-de-relatoria-2024-iv&amp;data=05%7C02%7Cjuan.avendano%40colombiacompra.gov.co%7C616b83c3423e4d31151908dce489c00d%7C7b09041e245149d08cb179d5e3d8c1be%7C0%7C0%7C638636527541272440%7CUnknown%7CTWFpbGZsb3d8eyJWIjoiMC4wLjAwMDAiLCJQIjoiV2luMzIiLCJBTiI6Ik1haWwiLCJXVCI6Mn0%3D%7C0%7C%7C%7C&amp;sdata=VOv0vUywNxNx7YXgqlxhlII5V3j%2Ffeq3dcExMx1BZ1g%3D&amp;reserved=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yperlink" Target="https://nam02.safelinks.protection.outlook.com/?url=https%3A%2F%2Frelatoria.colombiacompra.gov.co%2F&amp;data=05%7C02%7Cjuan.avendano%40colombiacompra.gov.co%7C5aad36a736844ec87b2108dcc1fa4639%7C7b09041e245149d08cb179d5e3d8c1be%7C0%7C0%7C638598527916578281%7CUnknown%7CTWFpbGZsb3d8eyJWIjoiMC4wLjAwMDAiLCJQIjoiV2luMzIiLCJBTiI6Ik1haWwiLCJXVCI6Mn0%3D%7C0%7C%7C%7C&amp;sdata=ULogXxqZhlbRGnXip3V5oi2tcjWOQqeurmNDisBXQv0%3D&amp;reserved=0"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lombiacompra.gov.co/manuales-guias-y-pliegos-tipo/manuales-y-guias"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E9750EF1-95F2-4ACC-9BAB-ECDAE57A2DEF}">
  <ds:schemaRefs>
    <ds:schemaRef ds:uri="http://schemas.openxmlformats.org/officeDocument/2006/bibliography"/>
  </ds:schemaRefs>
</ds:datastoreItem>
</file>

<file path=customXml/itemProps2.xml><?xml version="1.0" encoding="utf-8"?>
<ds:datastoreItem xmlns:ds="http://schemas.openxmlformats.org/officeDocument/2006/customXml" ds:itemID="{8981359C-48EB-40C1-A0BB-E605AA73E4C9}"/>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Betty Elena Díaz Fernandez</lastModifiedBy>
  <revision>3</revision>
  <lastPrinted>2023-01-10T21:18:00.0000000Z</lastPrinted>
  <dcterms:created xsi:type="dcterms:W3CDTF">2024-10-23T20:11:00.0000000Z</dcterms:created>
  <dcterms:modified xsi:type="dcterms:W3CDTF">2024-10-28T00:50:02.4207262Z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