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95D5D" w14:textId="77777777" w:rsidR="00AA3289" w:rsidRPr="00AA3289" w:rsidRDefault="00AA3289">
      <w:pPr>
        <w:rPr>
          <w:rFonts w:ascii="Verdana" w:hAnsi="Verdana"/>
          <w:b/>
          <w:lang w:val="es-ES_tradnl"/>
        </w:rPr>
      </w:pPr>
      <w:bookmarkStart w:id="0" w:name="_Hlk143780582"/>
      <w:r w:rsidRPr="00AA3289">
        <w:rPr>
          <w:rFonts w:ascii="Verdana" w:hAnsi="Verdana"/>
          <w:b/>
          <w:lang w:val="es-ES_tradnl"/>
        </w:rPr>
        <w:t xml:space="preserve">LEY 2069 DE 2020 – Finalidad </w:t>
      </w:r>
    </w:p>
    <w:p w14:paraId="4934A1E6" w14:textId="34A34434" w:rsidR="00AA3289" w:rsidRPr="002E2DB2" w:rsidRDefault="002E2DB2" w:rsidP="002E2DB2">
      <w:pPr>
        <w:jc w:val="both"/>
        <w:rPr>
          <w:rFonts w:ascii="Verdana" w:hAnsi="Verdana"/>
          <w:bCs/>
          <w:sz w:val="20"/>
          <w:szCs w:val="20"/>
          <w:lang w:val="es-ES_tradnl"/>
        </w:rPr>
      </w:pPr>
      <w:r w:rsidRPr="002E2DB2">
        <w:rPr>
          <w:rFonts w:ascii="Verdana" w:eastAsia="Calibri" w:hAnsi="Verdana" w:cs="Times New Roman"/>
          <w:sz w:val="20"/>
          <w:szCs w:val="20"/>
        </w:rPr>
        <w:t>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2E2DB2">
        <w:rPr>
          <w:rFonts w:ascii="Verdana" w:eastAsia="Calibri" w:hAnsi="Verdana" w:cs="Times New Roman"/>
          <w:sz w:val="20"/>
          <w:szCs w:val="20"/>
          <w:vertAlign w:val="superscript"/>
        </w:rPr>
        <w:footnoteReference w:id="2"/>
      </w:r>
      <w:r w:rsidRPr="002E2DB2">
        <w:rPr>
          <w:rFonts w:ascii="Verdana" w:eastAsia="Calibri" w:hAnsi="Verdana" w:cs="Times New Roman"/>
          <w:sz w:val="20"/>
          <w:szCs w:val="20"/>
        </w:rPr>
        <w:t xml:space="preserve"> , así como incentivos a favor de aquellas dentro del sistema de compras y contratación pública</w:t>
      </w:r>
    </w:p>
    <w:p w14:paraId="545CA413" w14:textId="77777777" w:rsidR="00AA3289" w:rsidRPr="00AA3289" w:rsidRDefault="00AA3289">
      <w:pPr>
        <w:rPr>
          <w:rFonts w:ascii="Verdana" w:hAnsi="Verdana"/>
          <w:b/>
          <w:lang w:val="es-ES_tradnl"/>
        </w:rPr>
      </w:pPr>
      <w:r w:rsidRPr="00AA3289">
        <w:rPr>
          <w:rFonts w:ascii="Verdana" w:hAnsi="Verdana"/>
          <w:b/>
          <w:lang w:val="es-ES_tradnl"/>
        </w:rPr>
        <w:t>MIPYMES – Convocatorias limitadas – Ley 2069 de 2020 – Artículo 34</w:t>
      </w:r>
    </w:p>
    <w:p w14:paraId="61204C4A" w14:textId="43453CB7" w:rsidR="002E2DB2" w:rsidRPr="002E2DB2" w:rsidRDefault="002E2DB2" w:rsidP="002E2DB2">
      <w:pPr>
        <w:spacing w:after="0" w:line="256" w:lineRule="auto"/>
        <w:jc w:val="both"/>
        <w:rPr>
          <w:rFonts w:ascii="Verdana" w:eastAsia="Calibri" w:hAnsi="Verdana" w:cs="Times New Roman"/>
          <w:sz w:val="20"/>
          <w:szCs w:val="20"/>
        </w:rPr>
      </w:pPr>
      <w:r w:rsidRPr="002E2DB2">
        <w:rPr>
          <w:rFonts w:ascii="Verdana" w:eastAsia="Calibri" w:hAnsi="Verdana" w:cs="Times New Roman"/>
          <w:sz w:val="20"/>
          <w:szCs w:val="20"/>
        </w:rPr>
        <w:t xml:space="preserve">Según lo ha reiterado esta Agencia en múltiples conceptos sobre la materia, el artículo 34 de la Ley 2069 de 2020 dispuso nuevas reglas sobre la promoción al desarrollo en la contratación estatal. </w:t>
      </w:r>
    </w:p>
    <w:p w14:paraId="30273E8E" w14:textId="77777777" w:rsidR="00AA3289" w:rsidRDefault="00AA3289">
      <w:pPr>
        <w:rPr>
          <w:rFonts w:ascii="Verdana" w:hAnsi="Verdana" w:cs="Arial"/>
          <w:lang w:val="es-MX" w:eastAsia="es-ES_tradnl"/>
        </w:rPr>
      </w:pPr>
    </w:p>
    <w:p w14:paraId="2BED764D" w14:textId="77777777" w:rsidR="002E2DB2" w:rsidRDefault="00AA3289">
      <w:pPr>
        <w:rPr>
          <w:rFonts w:ascii="Verdana" w:hAnsi="Verdana" w:cs="Arial"/>
          <w:b/>
          <w:bCs/>
          <w:lang w:val="es-MX" w:eastAsia="es-ES_tradnl"/>
        </w:rPr>
      </w:pPr>
      <w:r w:rsidRPr="00AA3289">
        <w:rPr>
          <w:rFonts w:ascii="Verdana" w:hAnsi="Verdana" w:cs="Arial"/>
          <w:b/>
          <w:bCs/>
          <w:lang w:val="es-MX" w:eastAsia="es-ES_tradnl"/>
        </w:rPr>
        <w:t>DECRETO 1860 DE 2021 – Emprendimientos y empresas de mujeres – Definición – Artículo 2.2.1.2.4.2.14</w:t>
      </w:r>
    </w:p>
    <w:p w14:paraId="34D3E76F" w14:textId="0C8F2075" w:rsidR="00AA3289" w:rsidRPr="00AA3289" w:rsidRDefault="002E2DB2" w:rsidP="002E2DB2">
      <w:pPr>
        <w:jc w:val="both"/>
        <w:rPr>
          <w:rFonts w:ascii="Verdana" w:eastAsia="Calibri" w:hAnsi="Verdana" w:cs="Times New Roman"/>
          <w:b/>
          <w:bCs/>
        </w:rPr>
      </w:pPr>
      <w:r w:rsidRPr="002E2DB2">
        <w:rPr>
          <w:rFonts w:ascii="Verdana" w:eastAsia="Calibri" w:hAnsi="Verdana" w:cs="Times New Roman"/>
          <w:sz w:val="20"/>
          <w:szCs w:val="20"/>
          <w:lang w:val="es-ES"/>
        </w:rPr>
        <w:t>En desarrollo de lo dispuesto en el parágrafo del artículo 32 de la Ley 2069 de 2020, el Decreto 1860 de 2021 adicionó el artículo 2.2.1.2.4.2.14 al Decreto 1082 de 2015, norma que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a efectos de aplicar los criterios diferenciales</w:t>
      </w:r>
      <w:r w:rsidR="00AA3289" w:rsidRPr="00AA3289">
        <w:rPr>
          <w:rFonts w:ascii="Verdana" w:eastAsia="Calibri" w:hAnsi="Verdana" w:cs="Times New Roman"/>
          <w:b/>
          <w:bCs/>
        </w:rPr>
        <w:br w:type="page"/>
      </w:r>
    </w:p>
    <w:p w14:paraId="12034891" w14:textId="77777777" w:rsidR="00AA3289" w:rsidRDefault="00CA2038" w:rsidP="00CA2038">
      <w:pPr>
        <w:spacing w:after="0" w:line="256" w:lineRule="auto"/>
        <w:rPr>
          <w:rFonts w:ascii="Verdana" w:eastAsia="Calibri" w:hAnsi="Verdana" w:cs="Times New Roman"/>
        </w:rPr>
      </w:pPr>
      <w:r w:rsidRPr="003A2665">
        <w:rPr>
          <w:rFonts w:ascii="Verdana" w:eastAsia="Calibri" w:hAnsi="Verdana" w:cs="Times New Roman"/>
        </w:rPr>
        <w:lastRenderedPageBreak/>
        <w:t xml:space="preserve">Bogotá D.C., </w:t>
      </w:r>
      <w:r w:rsidR="00AA3289">
        <w:rPr>
          <w:rFonts w:ascii="Verdana" w:eastAsia="Calibri" w:hAnsi="Verdana" w:cs="Times New Roman"/>
        </w:rPr>
        <w:t>18 de Octubre de 2024</w:t>
      </w:r>
    </w:p>
    <w:p w14:paraId="298C12B1" w14:textId="49425D54" w:rsidR="00CA2038" w:rsidRPr="003A2665" w:rsidRDefault="00CA2038" w:rsidP="00CA2038">
      <w:pPr>
        <w:spacing w:after="0" w:line="256" w:lineRule="auto"/>
        <w:rPr>
          <w:rFonts w:ascii="Verdana" w:eastAsia="Calibri" w:hAnsi="Verdana" w:cs="Times New Roman"/>
        </w:rPr>
      </w:pPr>
      <w:r w:rsidRPr="003A2665">
        <w:rPr>
          <w:rFonts w:ascii="Verdana" w:eastAsia="Calibri" w:hAnsi="Verdana" w:cs="Times New Roman"/>
        </w:rPr>
        <w:tab/>
      </w:r>
    </w:p>
    <w:p w14:paraId="7DB5CB31" w14:textId="261B7FF3" w:rsidR="00CA2038" w:rsidRPr="003A2665" w:rsidRDefault="00AA3289" w:rsidP="00AA3289">
      <w:pPr>
        <w:spacing w:after="0" w:line="256" w:lineRule="auto"/>
        <w:jc w:val="right"/>
        <w:rPr>
          <w:rFonts w:ascii="Verdana" w:eastAsia="Calibri" w:hAnsi="Verdana" w:cs="Times New Roman"/>
        </w:rPr>
      </w:pPr>
      <w:r w:rsidRPr="00AA3289">
        <w:rPr>
          <w:rFonts w:ascii="Verdana" w:eastAsia="Calibri" w:hAnsi="Verdana" w:cs="Times New Roman"/>
        </w:rPr>
        <w:drawing>
          <wp:inline distT="0" distB="0" distL="0" distR="0" wp14:anchorId="0808598F" wp14:editId="2FD4EC47">
            <wp:extent cx="3142218" cy="888799"/>
            <wp:effectExtent l="0" t="0" r="1270" b="6985"/>
            <wp:docPr id="94926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6902" name=""/>
                    <pic:cNvPicPr/>
                  </pic:nvPicPr>
                  <pic:blipFill>
                    <a:blip r:embed="rId10"/>
                    <a:stretch>
                      <a:fillRect/>
                    </a:stretch>
                  </pic:blipFill>
                  <pic:spPr>
                    <a:xfrm>
                      <a:off x="0" y="0"/>
                      <a:ext cx="3146310" cy="889957"/>
                    </a:xfrm>
                    <a:prstGeom prst="rect">
                      <a:avLst/>
                    </a:prstGeom>
                  </pic:spPr>
                </pic:pic>
              </a:graphicData>
            </a:graphic>
          </wp:inline>
        </w:drawing>
      </w:r>
    </w:p>
    <w:p w14:paraId="42410E29" w14:textId="222487C4" w:rsidR="00CA2038" w:rsidRPr="003A2665" w:rsidRDefault="00CA2038" w:rsidP="00CA2038">
      <w:pPr>
        <w:spacing w:after="0" w:line="256" w:lineRule="auto"/>
        <w:rPr>
          <w:rFonts w:ascii="Verdana" w:eastAsia="Calibri" w:hAnsi="Verdana" w:cs="Times New Roman"/>
          <w:lang w:val="es-MX"/>
        </w:rPr>
      </w:pPr>
      <w:r w:rsidRPr="003A2665">
        <w:rPr>
          <w:rFonts w:ascii="Verdana" w:eastAsia="Calibri" w:hAnsi="Verdana" w:cs="Times New Roman"/>
          <w:lang w:val="es-MX"/>
        </w:rPr>
        <w:t>Señor</w:t>
      </w:r>
      <w:r w:rsidR="00A943C9" w:rsidRPr="003A2665">
        <w:rPr>
          <w:rFonts w:ascii="Verdana" w:eastAsia="Calibri" w:hAnsi="Verdana" w:cs="Times New Roman"/>
          <w:lang w:val="es-MX"/>
        </w:rPr>
        <w:t>es</w:t>
      </w:r>
    </w:p>
    <w:p w14:paraId="3312EF2F" w14:textId="786EA64D" w:rsidR="00A655F9" w:rsidRPr="003A2665" w:rsidRDefault="00A655F9" w:rsidP="00CA2038">
      <w:pPr>
        <w:spacing w:after="0" w:line="256" w:lineRule="auto"/>
        <w:rPr>
          <w:rFonts w:ascii="Verdana" w:eastAsia="Calibri" w:hAnsi="Verdana" w:cs="Times New Roman"/>
          <w:b/>
          <w:bCs/>
          <w:lang w:val="es-MX"/>
        </w:rPr>
      </w:pPr>
      <w:r w:rsidRPr="003A2665">
        <w:rPr>
          <w:rFonts w:ascii="Verdana" w:eastAsia="Calibri" w:hAnsi="Verdana" w:cs="Times New Roman"/>
          <w:b/>
        </w:rPr>
        <w:t>John Henrry Solano Cardenas</w:t>
      </w:r>
    </w:p>
    <w:p w14:paraId="3BC15C5A" w14:textId="39F2CF99" w:rsidR="00A943C9" w:rsidRPr="003A2665" w:rsidRDefault="00A943C9" w:rsidP="00CA2038">
      <w:pPr>
        <w:spacing w:after="0" w:line="256" w:lineRule="auto"/>
        <w:rPr>
          <w:rFonts w:ascii="Verdana" w:eastAsia="Calibri" w:hAnsi="Verdana" w:cs="Times New Roman"/>
          <w:lang w:val="es-MX"/>
        </w:rPr>
      </w:pPr>
      <w:r w:rsidRPr="003A2665">
        <w:rPr>
          <w:rFonts w:ascii="Verdana" w:eastAsia="Calibri" w:hAnsi="Verdana" w:cs="Times New Roman"/>
          <w:lang w:val="es-MX"/>
        </w:rPr>
        <w:t>GRUPO EMPRESARIAL JHS SAS</w:t>
      </w:r>
    </w:p>
    <w:p w14:paraId="54C9225F" w14:textId="70D37173" w:rsidR="00CA2038" w:rsidRPr="003A2665" w:rsidRDefault="005F1523" w:rsidP="00CA2038">
      <w:pPr>
        <w:spacing w:after="0" w:line="256" w:lineRule="auto"/>
        <w:rPr>
          <w:rFonts w:ascii="Verdana" w:eastAsia="Calibri" w:hAnsi="Verdana" w:cs="Times New Roman"/>
        </w:rPr>
      </w:pPr>
      <w:hyperlink r:id="rId11" w:history="1">
        <w:r w:rsidRPr="003A2665">
          <w:rPr>
            <w:rStyle w:val="Hipervnculo"/>
            <w:rFonts w:ascii="Verdana" w:eastAsia="Calibri" w:hAnsi="Verdana" w:cs="Times New Roman"/>
          </w:rPr>
          <w:t>colcantorbery@hotmail.com</w:t>
        </w:r>
      </w:hyperlink>
    </w:p>
    <w:p w14:paraId="43386A6E" w14:textId="2DE7FCD8" w:rsidR="00CA2038" w:rsidRPr="003A2665" w:rsidRDefault="00202798" w:rsidP="00CA2038">
      <w:pPr>
        <w:spacing w:after="0" w:line="256" w:lineRule="auto"/>
        <w:rPr>
          <w:rFonts w:ascii="Verdana" w:eastAsia="Calibri" w:hAnsi="Verdana" w:cs="Times New Roman"/>
        </w:rPr>
      </w:pPr>
      <w:r w:rsidRPr="003A2665">
        <w:rPr>
          <w:rFonts w:ascii="Verdana" w:eastAsia="Calibri" w:hAnsi="Verdana" w:cs="Times New Roman"/>
        </w:rPr>
        <w:t>Bogotá D.C</w:t>
      </w:r>
    </w:p>
    <w:p w14:paraId="6657E895" w14:textId="77777777" w:rsidR="00CA2038" w:rsidRPr="003A2665" w:rsidRDefault="00CA2038" w:rsidP="00CA2038">
      <w:pPr>
        <w:spacing w:after="0" w:line="256" w:lineRule="auto"/>
        <w:rPr>
          <w:rFonts w:ascii="Verdana" w:eastAsia="Calibri" w:hAnsi="Verdana" w:cs="Times New Roman"/>
        </w:rPr>
      </w:pPr>
    </w:p>
    <w:p w14:paraId="5582882D" w14:textId="058C865C" w:rsidR="00CA2038" w:rsidRPr="003A2665" w:rsidRDefault="00CA2038" w:rsidP="00CA2038">
      <w:pPr>
        <w:spacing w:after="0" w:line="256" w:lineRule="auto"/>
        <w:ind w:left="2124" w:firstLine="708"/>
        <w:rPr>
          <w:rFonts w:ascii="Verdana" w:eastAsia="Calibri" w:hAnsi="Verdana" w:cs="Times New Roman"/>
          <w:b/>
          <w:bCs/>
          <w:lang w:val="es-ES"/>
        </w:rPr>
      </w:pPr>
      <w:r w:rsidRPr="003A2665">
        <w:rPr>
          <w:rFonts w:ascii="Verdana" w:eastAsia="Calibri" w:hAnsi="Verdana" w:cs="Times New Roman"/>
          <w:b/>
          <w:bCs/>
          <w:lang w:val="es-ES"/>
        </w:rPr>
        <w:t>Concepto C–5</w:t>
      </w:r>
      <w:r w:rsidR="00202798" w:rsidRPr="003A2665">
        <w:rPr>
          <w:rFonts w:ascii="Verdana" w:eastAsia="Calibri" w:hAnsi="Verdana" w:cs="Times New Roman"/>
          <w:b/>
          <w:bCs/>
          <w:lang w:val="es-ES"/>
        </w:rPr>
        <w:t>8</w:t>
      </w:r>
      <w:r w:rsidRPr="003A2665">
        <w:rPr>
          <w:rFonts w:ascii="Verdana" w:eastAsia="Calibri" w:hAnsi="Verdana" w:cs="Times New Roman"/>
          <w:b/>
          <w:bCs/>
          <w:lang w:val="es-ES"/>
        </w:rPr>
        <w:t>2 de 2024</w:t>
      </w:r>
    </w:p>
    <w:p w14:paraId="0BAEFD58" w14:textId="77777777" w:rsidR="00CA2038" w:rsidRPr="003A2665" w:rsidRDefault="00CA2038" w:rsidP="00CA2038">
      <w:pPr>
        <w:spacing w:after="0" w:line="256" w:lineRule="auto"/>
        <w:rPr>
          <w:rFonts w:ascii="Verdana" w:eastAsia="Calibri" w:hAnsi="Verdana" w:cs="Times New Roman"/>
          <w:lang w:val="es-ES_tradnl"/>
        </w:rPr>
      </w:pPr>
    </w:p>
    <w:tbl>
      <w:tblPr>
        <w:tblStyle w:val="Tablaconcuadrcula1"/>
        <w:tblW w:w="151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CA2038" w:rsidRPr="003A2665" w14:paraId="3566CDDD" w14:textId="77777777" w:rsidTr="00CA2038">
        <w:trPr>
          <w:trHeight w:val="884"/>
        </w:trPr>
        <w:tc>
          <w:tcPr>
            <w:tcW w:w="2685" w:type="dxa"/>
            <w:hideMark/>
          </w:tcPr>
          <w:p w14:paraId="5339C806" w14:textId="77777777" w:rsidR="00CA2038" w:rsidRPr="00282B8F" w:rsidRDefault="00CA2038" w:rsidP="00CA2038">
            <w:pPr>
              <w:spacing w:line="256" w:lineRule="auto"/>
              <w:rPr>
                <w:rFonts w:ascii="Verdana" w:hAnsi="Verdana"/>
                <w:b/>
                <w:lang w:val="es-ES_tradnl"/>
              </w:rPr>
            </w:pPr>
            <w:r w:rsidRPr="00282B8F">
              <w:rPr>
                <w:rFonts w:ascii="Verdana" w:hAnsi="Verdana"/>
                <w:b/>
                <w:lang w:val="es-ES_tradnl"/>
              </w:rPr>
              <w:t xml:space="preserve">Temas:                   </w:t>
            </w:r>
          </w:p>
        </w:tc>
        <w:tc>
          <w:tcPr>
            <w:tcW w:w="6241" w:type="dxa"/>
            <w:hideMark/>
          </w:tcPr>
          <w:p w14:paraId="6ABB6AB7" w14:textId="33CD4814" w:rsidR="00CA2038" w:rsidRPr="003A2665" w:rsidRDefault="006910C1" w:rsidP="006910C1">
            <w:pPr>
              <w:spacing w:line="256" w:lineRule="auto"/>
              <w:jc w:val="both"/>
              <w:rPr>
                <w:rFonts w:ascii="Verdana" w:hAnsi="Verdana"/>
              </w:rPr>
            </w:pPr>
            <w:r w:rsidRPr="003A2665">
              <w:rPr>
                <w:rFonts w:ascii="Verdana" w:hAnsi="Verdana"/>
                <w:bCs/>
                <w:lang w:val="es-ES_tradnl"/>
              </w:rPr>
              <w:t>LEY 2069 DE 2020 – Finalidad / MIPYMES – Convocatorias limitadas – Ley 2069 de 2020 – Artículo 34</w:t>
            </w:r>
            <w:r w:rsidR="00605107" w:rsidRPr="003A2665">
              <w:rPr>
                <w:rFonts w:ascii="Verdana" w:hAnsi="Verdana"/>
                <w:bCs/>
                <w:lang w:val="es-ES_tradnl"/>
              </w:rPr>
              <w:t>/</w:t>
            </w:r>
            <w:r w:rsidR="00A655F9" w:rsidRPr="003A2665">
              <w:rPr>
                <w:rFonts w:ascii="Verdana" w:hAnsi="Verdana" w:cs="Arial"/>
                <w:lang w:val="es-MX" w:eastAsia="es-ES_tradnl"/>
              </w:rPr>
              <w:t xml:space="preserve"> DECRETO 1860 DE 2021 – Emprendimientos y empresas de mujeres – Definición – Artículo 2.2.1.2.4.2.14</w:t>
            </w:r>
          </w:p>
        </w:tc>
        <w:tc>
          <w:tcPr>
            <w:tcW w:w="6237" w:type="dxa"/>
          </w:tcPr>
          <w:p w14:paraId="32F9D4D5" w14:textId="77777777" w:rsidR="00CA2038" w:rsidRPr="003A2665" w:rsidRDefault="00CA2038" w:rsidP="00CA2038">
            <w:pPr>
              <w:spacing w:line="256" w:lineRule="auto"/>
              <w:rPr>
                <w:rFonts w:ascii="Verdana" w:hAnsi="Verdana"/>
                <w:lang w:val="es-ES"/>
              </w:rPr>
            </w:pPr>
          </w:p>
        </w:tc>
      </w:tr>
      <w:tr w:rsidR="00CA2038" w:rsidRPr="003A2665" w14:paraId="5F7B9829" w14:textId="77777777" w:rsidTr="00CA2038">
        <w:tc>
          <w:tcPr>
            <w:tcW w:w="2685" w:type="dxa"/>
          </w:tcPr>
          <w:p w14:paraId="43F472FF" w14:textId="77777777" w:rsidR="00CA2038" w:rsidRPr="00282B8F" w:rsidRDefault="00CA2038" w:rsidP="00CA2038">
            <w:pPr>
              <w:spacing w:line="256" w:lineRule="auto"/>
              <w:rPr>
                <w:rFonts w:ascii="Verdana" w:hAnsi="Verdana"/>
                <w:b/>
                <w:lang w:val="es-ES_tradnl"/>
              </w:rPr>
            </w:pPr>
          </w:p>
          <w:p w14:paraId="13EC8711" w14:textId="77777777" w:rsidR="00CA2038" w:rsidRPr="00282B8F" w:rsidRDefault="00CA2038" w:rsidP="00CA2038">
            <w:pPr>
              <w:spacing w:line="256" w:lineRule="auto"/>
              <w:rPr>
                <w:rFonts w:ascii="Verdana" w:hAnsi="Verdana"/>
                <w:b/>
                <w:lang w:val="es-ES_tradnl"/>
              </w:rPr>
            </w:pPr>
            <w:r w:rsidRPr="00282B8F">
              <w:rPr>
                <w:rFonts w:ascii="Verdana" w:hAnsi="Verdana"/>
                <w:b/>
                <w:lang w:val="es-ES_tradnl"/>
              </w:rPr>
              <w:t xml:space="preserve">Radicación:               </w:t>
            </w:r>
          </w:p>
        </w:tc>
        <w:tc>
          <w:tcPr>
            <w:tcW w:w="6241" w:type="dxa"/>
          </w:tcPr>
          <w:p w14:paraId="74065643" w14:textId="77777777" w:rsidR="00CA2038" w:rsidRPr="003A2665" w:rsidRDefault="00CA2038" w:rsidP="00CA2038">
            <w:pPr>
              <w:spacing w:line="256" w:lineRule="auto"/>
              <w:rPr>
                <w:rFonts w:ascii="Verdana" w:hAnsi="Verdana"/>
                <w:lang w:val="es-ES_tradnl"/>
              </w:rPr>
            </w:pPr>
          </w:p>
          <w:p w14:paraId="3228464C" w14:textId="37339924" w:rsidR="00CA2038" w:rsidRPr="003A2665" w:rsidRDefault="00CA2038" w:rsidP="00CA2038">
            <w:pPr>
              <w:spacing w:line="256" w:lineRule="auto"/>
              <w:rPr>
                <w:rFonts w:ascii="Verdana" w:hAnsi="Verdana"/>
              </w:rPr>
            </w:pPr>
            <w:r w:rsidRPr="003A2665">
              <w:rPr>
                <w:rFonts w:ascii="Verdana" w:hAnsi="Verdana"/>
                <w:lang w:val="es-ES_tradnl"/>
              </w:rPr>
              <w:t xml:space="preserve">Respuesta a consulta con radicado No. </w:t>
            </w:r>
            <w:r w:rsidR="00202798" w:rsidRPr="003A2665">
              <w:rPr>
                <w:rFonts w:ascii="Verdana" w:hAnsi="Verdana"/>
              </w:rPr>
              <w:t>P20240910009207</w:t>
            </w:r>
          </w:p>
        </w:tc>
        <w:tc>
          <w:tcPr>
            <w:tcW w:w="6237" w:type="dxa"/>
          </w:tcPr>
          <w:p w14:paraId="4E1D921F" w14:textId="77777777" w:rsidR="00CA2038" w:rsidRPr="003A2665" w:rsidRDefault="00CA2038" w:rsidP="00CA2038">
            <w:pPr>
              <w:spacing w:line="256" w:lineRule="auto"/>
              <w:rPr>
                <w:rFonts w:ascii="Verdana" w:hAnsi="Verdana"/>
                <w:lang w:val="es-ES_tradnl"/>
              </w:rPr>
            </w:pPr>
          </w:p>
        </w:tc>
      </w:tr>
    </w:tbl>
    <w:p w14:paraId="23894220" w14:textId="77777777" w:rsidR="00CA2038" w:rsidRPr="003A2665" w:rsidRDefault="00CA2038" w:rsidP="00CA2038">
      <w:pPr>
        <w:spacing w:after="0" w:line="256" w:lineRule="auto"/>
        <w:rPr>
          <w:rFonts w:ascii="Verdana" w:eastAsia="Calibri" w:hAnsi="Verdana" w:cs="Times New Roman"/>
          <w:lang w:val="es-ES_tradnl"/>
        </w:rPr>
      </w:pPr>
    </w:p>
    <w:p w14:paraId="63BA884F" w14:textId="1021FE32" w:rsidR="00CA2038" w:rsidRPr="003A2665" w:rsidRDefault="00CA2038" w:rsidP="00CA2038">
      <w:pPr>
        <w:spacing w:after="0" w:line="256" w:lineRule="auto"/>
        <w:rPr>
          <w:rFonts w:ascii="Verdana" w:eastAsia="Calibri" w:hAnsi="Verdana" w:cs="Times New Roman"/>
          <w:lang w:val="es-ES"/>
        </w:rPr>
      </w:pPr>
      <w:r w:rsidRPr="003A2665">
        <w:rPr>
          <w:rFonts w:ascii="Verdana" w:eastAsia="Calibri" w:hAnsi="Verdana" w:cs="Times New Roman"/>
          <w:lang w:val="es-ES"/>
        </w:rPr>
        <w:t>Estimad</w:t>
      </w:r>
      <w:r w:rsidR="00880653">
        <w:rPr>
          <w:rFonts w:ascii="Verdana" w:eastAsia="Calibri" w:hAnsi="Verdana" w:cs="Times New Roman"/>
          <w:lang w:val="es-ES"/>
        </w:rPr>
        <w:t>o</w:t>
      </w:r>
      <w:r w:rsidRPr="003A2665">
        <w:rPr>
          <w:rFonts w:ascii="Verdana" w:eastAsia="Calibri" w:hAnsi="Verdana" w:cs="Times New Roman"/>
          <w:lang w:val="es-ES"/>
        </w:rPr>
        <w:t xml:space="preserve"> señor </w:t>
      </w:r>
      <w:r w:rsidR="00202798" w:rsidRPr="003A2665">
        <w:rPr>
          <w:rFonts w:ascii="Verdana" w:eastAsia="Calibri" w:hAnsi="Verdana" w:cs="Times New Roman"/>
          <w:lang w:val="es-ES"/>
        </w:rPr>
        <w:t>John Henrry</w:t>
      </w:r>
      <w:r w:rsidRPr="003A2665">
        <w:rPr>
          <w:rFonts w:ascii="Verdana" w:eastAsia="Calibri" w:hAnsi="Verdana" w:cs="Times New Roman"/>
          <w:lang w:val="es-ES"/>
        </w:rPr>
        <w:t xml:space="preserve">: </w:t>
      </w:r>
    </w:p>
    <w:p w14:paraId="060C31DE" w14:textId="77777777" w:rsidR="00CA2038" w:rsidRPr="003A2665" w:rsidRDefault="00CA2038" w:rsidP="00CA2038">
      <w:pPr>
        <w:spacing w:after="0" w:line="256" w:lineRule="auto"/>
        <w:rPr>
          <w:rFonts w:ascii="Verdana" w:eastAsia="Calibri" w:hAnsi="Verdana" w:cs="Times New Roman"/>
          <w:lang w:val="es-ES"/>
        </w:rPr>
      </w:pPr>
    </w:p>
    <w:p w14:paraId="27645B37" w14:textId="7044694A" w:rsidR="00CA2038" w:rsidRPr="003A2665" w:rsidRDefault="00CA2038" w:rsidP="003E1506">
      <w:pPr>
        <w:spacing w:after="120" w:line="257" w:lineRule="auto"/>
        <w:jc w:val="both"/>
        <w:rPr>
          <w:rFonts w:ascii="Verdana" w:eastAsia="Calibri" w:hAnsi="Verdana" w:cs="Times New Roman"/>
        </w:rPr>
      </w:pPr>
      <w:r w:rsidRPr="003A2665">
        <w:rPr>
          <w:rFonts w:ascii="Verdana" w:eastAsia="Calibri" w:hAnsi="Verdana" w:cs="Times New Roman"/>
          <w:lang w:val="es-ES"/>
        </w:rPr>
        <w:t xml:space="preserve">En ejercicio de la competencia otorgada por los artículos 3, numeral 5º, y 11, numeral 8º, del Decreto Ley 4170 de 2011, la Agencia Nacional de Contratación Pública – Colombia Compra Eficiente– responde la solicitud de consulta del </w:t>
      </w:r>
      <w:r w:rsidR="00912945" w:rsidRPr="003A2665">
        <w:rPr>
          <w:rFonts w:ascii="Verdana" w:eastAsia="Calibri" w:hAnsi="Verdana" w:cs="Times New Roman"/>
          <w:lang w:val="es-ES"/>
        </w:rPr>
        <w:t>10</w:t>
      </w:r>
      <w:r w:rsidRPr="003A2665">
        <w:rPr>
          <w:rFonts w:ascii="Verdana" w:eastAsia="Calibri" w:hAnsi="Verdana" w:cs="Times New Roman"/>
          <w:lang w:val="es-ES"/>
        </w:rPr>
        <w:t xml:space="preserve"> de </w:t>
      </w:r>
      <w:r w:rsidR="00912945" w:rsidRPr="003A2665">
        <w:rPr>
          <w:rFonts w:ascii="Verdana" w:eastAsia="Calibri" w:hAnsi="Verdana" w:cs="Times New Roman"/>
          <w:lang w:val="es-ES"/>
        </w:rPr>
        <w:t>septiembre</w:t>
      </w:r>
      <w:r w:rsidRPr="003A2665">
        <w:rPr>
          <w:rFonts w:ascii="Verdana" w:eastAsia="Calibri" w:hAnsi="Verdana" w:cs="Times New Roman"/>
          <w:lang w:val="es-ES"/>
        </w:rPr>
        <w:t xml:space="preserve"> de 2024</w:t>
      </w:r>
      <w:r w:rsidR="006258D6" w:rsidRPr="003A2665">
        <w:rPr>
          <w:rFonts w:ascii="Verdana" w:eastAsia="Calibri" w:hAnsi="Verdana" w:cs="Times New Roman"/>
          <w:lang w:val="es-ES"/>
        </w:rPr>
        <w:t>, e</w:t>
      </w:r>
      <w:r w:rsidRPr="003A2665">
        <w:rPr>
          <w:rFonts w:ascii="Verdana" w:eastAsia="Calibri" w:hAnsi="Verdana" w:cs="Times New Roman"/>
          <w:lang w:val="es-ES"/>
        </w:rPr>
        <w:t>n la cual manifiesta lo siguiente:</w:t>
      </w:r>
      <w:r w:rsidR="003E1506">
        <w:rPr>
          <w:rFonts w:ascii="Verdana" w:eastAsia="Calibri" w:hAnsi="Verdana" w:cs="Times New Roman"/>
          <w:lang w:val="es-ES"/>
        </w:rPr>
        <w:t xml:space="preserve"> </w:t>
      </w:r>
      <w:r w:rsidRPr="003E1506">
        <w:rPr>
          <w:rFonts w:ascii="Verdana" w:eastAsia="Calibri" w:hAnsi="Verdana" w:cs="Times New Roman"/>
          <w:i/>
          <w:iCs/>
          <w:lang w:val="es-ES"/>
        </w:rPr>
        <w:t>“</w:t>
      </w:r>
      <w:r w:rsidR="0086261D" w:rsidRPr="003E1506">
        <w:rPr>
          <w:rFonts w:ascii="Verdana" w:eastAsia="Calibri" w:hAnsi="Verdana" w:cs="Times New Roman"/>
          <w:i/>
          <w:iCs/>
          <w:sz w:val="20"/>
          <w:szCs w:val="20"/>
        </w:rPr>
        <w:t>¿</w:t>
      </w:r>
      <w:r w:rsidR="0086261D" w:rsidRPr="003E1506">
        <w:rPr>
          <w:rFonts w:ascii="Verdana" w:eastAsia="Calibri" w:hAnsi="Verdana" w:cs="Times New Roman"/>
          <w:i/>
          <w:sz w:val="20"/>
          <w:szCs w:val="20"/>
        </w:rPr>
        <w:t xml:space="preserve">Si mi empresa es de emprendimiento y es empresa de mujeres, pero el proceso es limitado a mipyme, podría participar en un proceso que fue limitado a mipyme? </w:t>
      </w:r>
      <w:r w:rsidRPr="003E1506">
        <w:rPr>
          <w:rFonts w:ascii="Verdana" w:eastAsia="Calibri" w:hAnsi="Verdana" w:cs="Times New Roman"/>
          <w:i/>
          <w:iCs/>
        </w:rPr>
        <w:t>(…)</w:t>
      </w:r>
      <w:r w:rsidR="003E1506" w:rsidRPr="003E1506">
        <w:rPr>
          <w:rFonts w:ascii="Verdana" w:eastAsia="Calibri" w:hAnsi="Verdana" w:cs="Times New Roman"/>
          <w:i/>
          <w:iCs/>
        </w:rPr>
        <w:t>”</w:t>
      </w:r>
      <w:r w:rsidR="003E1506">
        <w:rPr>
          <w:rFonts w:ascii="Verdana" w:eastAsia="Calibri" w:hAnsi="Verdana" w:cs="Times New Roman"/>
          <w:i/>
          <w:iCs/>
        </w:rPr>
        <w:t>.</w:t>
      </w:r>
    </w:p>
    <w:p w14:paraId="7C7C607E" w14:textId="77777777" w:rsidR="00CA2038" w:rsidRPr="003A2665" w:rsidRDefault="00CA2038" w:rsidP="003E1506">
      <w:pPr>
        <w:spacing w:after="0" w:line="256" w:lineRule="auto"/>
        <w:ind w:firstLine="708"/>
        <w:jc w:val="both"/>
        <w:rPr>
          <w:rFonts w:ascii="Verdana" w:eastAsia="Calibri" w:hAnsi="Verdana" w:cs="Times New Roman"/>
          <w:lang w:val="es-ES"/>
        </w:rPr>
      </w:pPr>
      <w:r w:rsidRPr="003A2665">
        <w:rPr>
          <w:rFonts w:ascii="Verdana" w:eastAsia="Calibri" w:hAnsi="Verdana" w:cs="Times New Roman"/>
          <w:lang w:val="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w:t>
      </w:r>
      <w:r w:rsidRPr="003A2665">
        <w:rPr>
          <w:rFonts w:ascii="Verdana" w:eastAsia="Calibri" w:hAnsi="Verdana" w:cs="Times New Roman"/>
          <w:lang w:val="es-ES"/>
        </w:rPr>
        <w:lastRenderedPageBreak/>
        <w:t>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4A8EC4F9" w14:textId="77777777" w:rsidR="00CA2038" w:rsidRPr="003A2665" w:rsidRDefault="00CA2038" w:rsidP="00CA2038">
      <w:pPr>
        <w:spacing w:after="0" w:line="256" w:lineRule="auto"/>
        <w:rPr>
          <w:rFonts w:ascii="Verdana" w:eastAsia="Calibri" w:hAnsi="Verdana" w:cs="Times New Roman"/>
          <w:lang w:val="es-ES"/>
        </w:rPr>
      </w:pPr>
    </w:p>
    <w:p w14:paraId="62276064" w14:textId="77777777" w:rsidR="00CA2038" w:rsidRPr="003A2665" w:rsidRDefault="00CA2038" w:rsidP="00CA2038">
      <w:pPr>
        <w:spacing w:after="0" w:line="256" w:lineRule="auto"/>
        <w:jc w:val="both"/>
        <w:rPr>
          <w:rFonts w:ascii="Verdana" w:eastAsia="Calibri" w:hAnsi="Verdana" w:cs="Times New Roman"/>
          <w:lang w:val="es-ES"/>
        </w:rPr>
      </w:pPr>
      <w:r w:rsidRPr="003A2665">
        <w:rPr>
          <w:rFonts w:ascii="Verdana" w:eastAsia="Calibri" w:hAnsi="Verdana" w:cs="Times New Roman"/>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1BA9D7AA" w14:textId="77777777" w:rsidR="00CA2038" w:rsidRPr="003A2665" w:rsidRDefault="00CA2038" w:rsidP="00CA2038">
      <w:pPr>
        <w:spacing w:after="0" w:line="256" w:lineRule="auto"/>
        <w:rPr>
          <w:rFonts w:ascii="Verdana" w:eastAsia="Calibri" w:hAnsi="Verdana" w:cs="Times New Roman"/>
          <w:lang w:val="es-ES"/>
        </w:rPr>
      </w:pPr>
    </w:p>
    <w:p w14:paraId="5DC3477C" w14:textId="77777777" w:rsidR="00CA2038" w:rsidRPr="003A2665" w:rsidRDefault="00CA2038" w:rsidP="00CA2038">
      <w:pPr>
        <w:numPr>
          <w:ilvl w:val="0"/>
          <w:numId w:val="16"/>
        </w:numPr>
        <w:spacing w:after="0" w:line="256" w:lineRule="auto"/>
        <w:ind w:left="0" w:firstLine="0"/>
        <w:rPr>
          <w:rFonts w:ascii="Verdana" w:eastAsia="Calibri" w:hAnsi="Verdana" w:cs="Times New Roman"/>
          <w:b/>
          <w:bCs/>
          <w:lang w:val="es-ES"/>
        </w:rPr>
      </w:pPr>
      <w:r w:rsidRPr="003A2665">
        <w:rPr>
          <w:rFonts w:ascii="Verdana" w:eastAsia="Calibri" w:hAnsi="Verdana" w:cs="Times New Roman"/>
          <w:b/>
          <w:bCs/>
          <w:lang w:val="es-ES"/>
        </w:rPr>
        <w:t>Problema planteado:</w:t>
      </w:r>
    </w:p>
    <w:p w14:paraId="279A38C4" w14:textId="77777777" w:rsidR="00CA2038" w:rsidRPr="003A2665" w:rsidRDefault="00CA2038" w:rsidP="00CA2038">
      <w:pPr>
        <w:spacing w:after="0" w:line="256" w:lineRule="auto"/>
        <w:rPr>
          <w:rFonts w:ascii="Verdana" w:eastAsia="Calibri" w:hAnsi="Verdana" w:cs="Times New Roman"/>
        </w:rPr>
      </w:pPr>
    </w:p>
    <w:p w14:paraId="62806D13" w14:textId="750E7FB9" w:rsidR="00CA2038" w:rsidRPr="003A2665" w:rsidRDefault="00CA2038" w:rsidP="00CA2038">
      <w:pPr>
        <w:spacing w:after="0" w:line="256" w:lineRule="auto"/>
        <w:jc w:val="both"/>
        <w:rPr>
          <w:rFonts w:ascii="Verdana" w:eastAsia="Calibri" w:hAnsi="Verdana" w:cs="Times New Roman"/>
        </w:rPr>
      </w:pPr>
      <w:r w:rsidRPr="003A2665">
        <w:rPr>
          <w:rFonts w:ascii="Verdana" w:eastAsia="Calibri" w:hAnsi="Verdana" w:cs="Times New Roman"/>
        </w:rPr>
        <w:t xml:space="preserve">De acuerdo con el contenido de su solicitud, esta Agencia resolver </w:t>
      </w:r>
      <w:r w:rsidR="006E3248" w:rsidRPr="003A2665">
        <w:rPr>
          <w:rFonts w:ascii="Verdana" w:eastAsia="Calibri" w:hAnsi="Verdana" w:cs="Times New Roman"/>
        </w:rPr>
        <w:t>el</w:t>
      </w:r>
      <w:r w:rsidRPr="003A2665">
        <w:rPr>
          <w:rFonts w:ascii="Verdana" w:eastAsia="Calibri" w:hAnsi="Verdana" w:cs="Times New Roman"/>
        </w:rPr>
        <w:t xml:space="preserve"> siguiente problema jurídico:</w:t>
      </w:r>
      <w:r w:rsidR="003E1506">
        <w:rPr>
          <w:rFonts w:ascii="Verdana" w:eastAsia="Calibri" w:hAnsi="Verdana" w:cs="Times New Roman"/>
        </w:rPr>
        <w:t xml:space="preserve"> </w:t>
      </w:r>
      <w:r w:rsidRPr="003A2665">
        <w:rPr>
          <w:rFonts w:ascii="Verdana" w:eastAsia="Calibri" w:hAnsi="Verdana" w:cs="Times New Roman"/>
        </w:rPr>
        <w:t>¿</w:t>
      </w:r>
      <w:r w:rsidR="009570B3" w:rsidRPr="003A2665">
        <w:rPr>
          <w:rFonts w:ascii="Verdana" w:eastAsia="Calibri" w:hAnsi="Verdana" w:cs="Times New Roman"/>
        </w:rPr>
        <w:t xml:space="preserve">Un proponente que tiene la calidad de </w:t>
      </w:r>
      <w:r w:rsidR="003917EC" w:rsidRPr="003A2665">
        <w:rPr>
          <w:rFonts w:ascii="Verdana" w:eastAsia="Calibri" w:hAnsi="Verdana" w:cs="Times New Roman"/>
        </w:rPr>
        <w:t xml:space="preserve">emprendimientos y empresas de mujeres puede participar en una convocatoria limitada a </w:t>
      </w:r>
      <w:r w:rsidR="006E3248" w:rsidRPr="003A2665">
        <w:rPr>
          <w:rFonts w:ascii="Verdana" w:eastAsia="Calibri" w:hAnsi="Verdana" w:cs="Times New Roman"/>
        </w:rPr>
        <w:t>Mipyme</w:t>
      </w:r>
      <w:r w:rsidRPr="003A2665">
        <w:rPr>
          <w:rFonts w:ascii="Verdana" w:eastAsia="Calibri" w:hAnsi="Verdana" w:cs="Times New Roman"/>
        </w:rPr>
        <w:t xml:space="preserve">? </w:t>
      </w:r>
    </w:p>
    <w:p w14:paraId="73E562BE" w14:textId="77777777" w:rsidR="00CA2038" w:rsidRPr="003A2665" w:rsidRDefault="00CA2038" w:rsidP="00CA2038">
      <w:pPr>
        <w:spacing w:after="0" w:line="256" w:lineRule="auto"/>
        <w:rPr>
          <w:rFonts w:ascii="Verdana" w:eastAsia="Calibri" w:hAnsi="Verdana" w:cs="Times New Roman"/>
        </w:rPr>
      </w:pPr>
    </w:p>
    <w:p w14:paraId="420A01FE" w14:textId="77777777" w:rsidR="00CA2038" w:rsidRPr="003A2665" w:rsidRDefault="00CA2038" w:rsidP="00CA2038">
      <w:pPr>
        <w:numPr>
          <w:ilvl w:val="0"/>
          <w:numId w:val="16"/>
        </w:numPr>
        <w:spacing w:after="0" w:line="256" w:lineRule="auto"/>
        <w:ind w:left="0" w:firstLine="0"/>
        <w:rPr>
          <w:rFonts w:ascii="Verdana" w:eastAsia="Calibri" w:hAnsi="Verdana" w:cs="Times New Roman"/>
          <w:b/>
          <w:bCs/>
          <w:lang w:val="es-ES"/>
        </w:rPr>
      </w:pPr>
      <w:r w:rsidRPr="003A2665">
        <w:rPr>
          <w:rFonts w:ascii="Verdana" w:eastAsia="Calibri" w:hAnsi="Verdana" w:cs="Times New Roman"/>
          <w:b/>
          <w:bCs/>
          <w:lang w:val="es-ES"/>
        </w:rPr>
        <w:t>Respuesta:</w:t>
      </w:r>
    </w:p>
    <w:p w14:paraId="14FB4791" w14:textId="77777777" w:rsidR="00CA2038" w:rsidRPr="003A2665" w:rsidRDefault="00CA2038" w:rsidP="00CA2038">
      <w:pPr>
        <w:spacing w:after="0" w:line="256" w:lineRule="auto"/>
        <w:rPr>
          <w:rFonts w:ascii="Verdana" w:eastAsia="Calibri" w:hAnsi="Verdana" w:cs="Times New Roman"/>
          <w:b/>
          <w:bCs/>
          <w:lang w:val="es-ES"/>
        </w:rPr>
      </w:pPr>
    </w:p>
    <w:p w14:paraId="6921F1DF" w14:textId="0ABDDCB4" w:rsidR="00836C5A" w:rsidRPr="003A2665" w:rsidRDefault="003E1506" w:rsidP="00CA2038">
      <w:pPr>
        <w:tabs>
          <w:tab w:val="left" w:pos="567"/>
        </w:tabs>
        <w:spacing w:after="0" w:line="256" w:lineRule="auto"/>
        <w:jc w:val="both"/>
        <w:rPr>
          <w:rFonts w:ascii="Verdana" w:eastAsia="Calibri" w:hAnsi="Verdana" w:cs="Times New Roman"/>
          <w:lang w:val="es-ES"/>
        </w:rPr>
      </w:pPr>
      <w:r>
        <w:rPr>
          <w:rFonts w:ascii="Verdana" w:eastAsia="Calibri" w:hAnsi="Verdana" w:cs="Times New Roman"/>
          <w:lang w:val="es-ES"/>
        </w:rPr>
        <w:t>L</w:t>
      </w:r>
      <w:r w:rsidR="002E540F" w:rsidRPr="003A2665">
        <w:rPr>
          <w:rFonts w:ascii="Verdana" w:eastAsia="Calibri" w:hAnsi="Verdana" w:cs="Times New Roman"/>
          <w:lang w:val="es-ES"/>
        </w:rPr>
        <w:t xml:space="preserve">a condición de emprendimientos y empresas de </w:t>
      </w:r>
      <w:r w:rsidR="00421AAD" w:rsidRPr="003A2665">
        <w:rPr>
          <w:rFonts w:ascii="Verdana" w:eastAsia="Calibri" w:hAnsi="Verdana" w:cs="Times New Roman"/>
          <w:lang w:val="es-ES"/>
        </w:rPr>
        <w:t>mujeres</w:t>
      </w:r>
      <w:r w:rsidR="002E540F" w:rsidRPr="003A2665">
        <w:rPr>
          <w:rFonts w:ascii="Verdana" w:eastAsia="Calibri" w:hAnsi="Verdana" w:cs="Times New Roman"/>
          <w:lang w:val="es-ES"/>
        </w:rPr>
        <w:t xml:space="preserve"> </w:t>
      </w:r>
      <w:r w:rsidR="001F6442" w:rsidRPr="003A2665">
        <w:rPr>
          <w:rFonts w:ascii="Verdana" w:eastAsia="Calibri" w:hAnsi="Verdana" w:cs="Times New Roman"/>
          <w:lang w:val="es-ES"/>
        </w:rPr>
        <w:t xml:space="preserve">es indiferente para la participación en los procesos limitados a </w:t>
      </w:r>
      <w:r w:rsidR="00421AAD" w:rsidRPr="003A2665">
        <w:rPr>
          <w:rFonts w:ascii="Verdana" w:eastAsia="Calibri" w:hAnsi="Verdana" w:cs="Times New Roman"/>
          <w:lang w:val="es-ES"/>
        </w:rPr>
        <w:t>Mipyme</w:t>
      </w:r>
      <w:r w:rsidR="001F6442" w:rsidRPr="003A2665">
        <w:rPr>
          <w:rFonts w:ascii="Verdana" w:eastAsia="Calibri" w:hAnsi="Verdana" w:cs="Times New Roman"/>
          <w:lang w:val="es-ES"/>
        </w:rPr>
        <w:t xml:space="preserve">, </w:t>
      </w:r>
      <w:r w:rsidR="000F54D3" w:rsidRPr="003A2665">
        <w:rPr>
          <w:rFonts w:ascii="Verdana" w:eastAsia="Calibri" w:hAnsi="Verdana" w:cs="Times New Roman"/>
          <w:lang w:val="es-ES"/>
        </w:rPr>
        <w:t>pues al mo</w:t>
      </w:r>
      <w:r w:rsidR="002119A7" w:rsidRPr="003A2665">
        <w:rPr>
          <w:rFonts w:ascii="Verdana" w:eastAsia="Calibri" w:hAnsi="Verdana" w:cs="Times New Roman"/>
          <w:lang w:val="es-ES"/>
        </w:rPr>
        <w:t xml:space="preserve">mento de </w:t>
      </w:r>
      <w:r w:rsidR="009C10D5" w:rsidRPr="003A2665">
        <w:rPr>
          <w:rFonts w:ascii="Verdana" w:eastAsia="Calibri" w:hAnsi="Verdana" w:cs="Times New Roman"/>
          <w:lang w:val="es-ES"/>
        </w:rPr>
        <w:t xml:space="preserve">acreditar </w:t>
      </w:r>
      <w:r w:rsidR="00421AAD" w:rsidRPr="003A2665">
        <w:rPr>
          <w:rFonts w:ascii="Verdana" w:eastAsia="Calibri" w:hAnsi="Verdana" w:cs="Times New Roman"/>
          <w:lang w:val="es-ES"/>
        </w:rPr>
        <w:t xml:space="preserve">los requisitos para poder participar, </w:t>
      </w:r>
      <w:r w:rsidR="00CB6922" w:rsidRPr="003A2665">
        <w:rPr>
          <w:rFonts w:ascii="Verdana" w:eastAsia="Calibri" w:hAnsi="Verdana" w:cs="Times New Roman"/>
          <w:lang w:val="es-ES"/>
        </w:rPr>
        <w:t xml:space="preserve">esté </w:t>
      </w:r>
      <w:r w:rsidR="00421AAD" w:rsidRPr="003A2665">
        <w:rPr>
          <w:rFonts w:ascii="Verdana" w:eastAsia="Calibri" w:hAnsi="Verdana" w:cs="Times New Roman"/>
          <w:lang w:val="es-ES"/>
        </w:rPr>
        <w:t>deberá cumplir con lo establecido en el artículo 2.2.1.2.4.2.4 del Decreto 1082 de 2015</w:t>
      </w:r>
      <w:r w:rsidR="00CB6922" w:rsidRPr="003A2665">
        <w:rPr>
          <w:rFonts w:ascii="Verdana" w:eastAsia="Calibri" w:hAnsi="Verdana" w:cs="Times New Roman"/>
          <w:lang w:val="es-ES"/>
        </w:rPr>
        <w:t>.</w:t>
      </w:r>
      <w:r w:rsidR="00FC3DEC">
        <w:rPr>
          <w:rFonts w:ascii="Verdana" w:eastAsia="Calibri" w:hAnsi="Verdana" w:cs="Times New Roman"/>
          <w:lang w:val="es-ES"/>
        </w:rPr>
        <w:t xml:space="preserve"> En ese sentido, para que un emprendimiento o empresa de mujeres pueda participar en una convocatoria limitada a mipymes, deberá cumplir con los requisitos establecidos en dicho artículo.</w:t>
      </w:r>
    </w:p>
    <w:p w14:paraId="2CFB1497" w14:textId="3B5925BD" w:rsidR="00CA2038" w:rsidRPr="003A2665" w:rsidRDefault="00CA2038" w:rsidP="00CA2038">
      <w:pPr>
        <w:tabs>
          <w:tab w:val="left" w:pos="567"/>
        </w:tabs>
        <w:spacing w:after="0" w:line="256" w:lineRule="auto"/>
        <w:jc w:val="both"/>
        <w:rPr>
          <w:rFonts w:ascii="Verdana" w:eastAsia="Calibri" w:hAnsi="Verdana" w:cs="Times New Roman"/>
          <w:lang w:val="es-ES"/>
        </w:rPr>
      </w:pPr>
    </w:p>
    <w:p w14:paraId="3751A84B" w14:textId="77777777" w:rsidR="00CA2038" w:rsidRPr="003A2665" w:rsidRDefault="00CA2038" w:rsidP="00CA2038">
      <w:pPr>
        <w:numPr>
          <w:ilvl w:val="0"/>
          <w:numId w:val="16"/>
        </w:numPr>
        <w:spacing w:after="0" w:line="256" w:lineRule="auto"/>
        <w:ind w:left="0" w:firstLine="0"/>
        <w:rPr>
          <w:rFonts w:ascii="Verdana" w:eastAsia="Calibri" w:hAnsi="Verdana" w:cs="Times New Roman"/>
          <w:b/>
          <w:bCs/>
          <w:lang w:val="es-ES"/>
        </w:rPr>
      </w:pPr>
      <w:r w:rsidRPr="003A2665">
        <w:rPr>
          <w:rFonts w:ascii="Verdana" w:eastAsia="Calibri" w:hAnsi="Verdana" w:cs="Times New Roman"/>
          <w:b/>
          <w:bCs/>
          <w:lang w:val="es-ES"/>
        </w:rPr>
        <w:t>Razones de la respuesta:</w:t>
      </w:r>
    </w:p>
    <w:p w14:paraId="52B20B01" w14:textId="77777777" w:rsidR="00CA2038" w:rsidRPr="003A2665" w:rsidRDefault="00CA2038" w:rsidP="00CA2038">
      <w:pPr>
        <w:spacing w:after="0" w:line="256" w:lineRule="auto"/>
        <w:rPr>
          <w:rFonts w:ascii="Verdana" w:eastAsia="Calibri" w:hAnsi="Verdana" w:cs="Times New Roman"/>
          <w:b/>
          <w:bCs/>
          <w:lang w:val="es-ES"/>
        </w:rPr>
      </w:pPr>
    </w:p>
    <w:p w14:paraId="135D0354" w14:textId="77777777" w:rsidR="00CA2038" w:rsidRPr="003A2665" w:rsidRDefault="00CA2038" w:rsidP="00CF0E0D">
      <w:pPr>
        <w:spacing w:after="0" w:line="256" w:lineRule="auto"/>
        <w:jc w:val="both"/>
        <w:rPr>
          <w:rFonts w:ascii="Verdana" w:eastAsia="Calibri" w:hAnsi="Verdana" w:cs="Times New Roman"/>
          <w:lang w:val="es-ES"/>
        </w:rPr>
      </w:pPr>
      <w:r w:rsidRPr="003A2665">
        <w:rPr>
          <w:rFonts w:ascii="Verdana" w:eastAsia="Calibri" w:hAnsi="Verdana" w:cs="Times New Roman"/>
          <w:lang w:val="es-ES"/>
        </w:rPr>
        <w:t>Lo anterior se sustenta en las siguientes consideraciones:</w:t>
      </w:r>
    </w:p>
    <w:p w14:paraId="72555872" w14:textId="77777777" w:rsidR="00CA2038" w:rsidRPr="003A2665" w:rsidRDefault="00CA2038" w:rsidP="00CF0E0D">
      <w:pPr>
        <w:spacing w:after="0" w:line="256" w:lineRule="auto"/>
        <w:jc w:val="both"/>
        <w:rPr>
          <w:rFonts w:ascii="Verdana" w:eastAsia="Calibri" w:hAnsi="Verdana" w:cs="Times New Roman"/>
          <w:lang w:val="es-ES"/>
        </w:rPr>
      </w:pPr>
    </w:p>
    <w:p w14:paraId="05B93E99" w14:textId="199CD12B" w:rsidR="00B543F6" w:rsidRPr="003A2665" w:rsidRDefault="00B543F6" w:rsidP="00CF0E0D">
      <w:pPr>
        <w:spacing w:after="0" w:line="256" w:lineRule="auto"/>
        <w:ind w:firstLine="708"/>
        <w:jc w:val="both"/>
        <w:rPr>
          <w:rFonts w:ascii="Verdana" w:eastAsia="Calibri" w:hAnsi="Verdana" w:cs="Times New Roman"/>
        </w:rPr>
      </w:pPr>
      <w:r w:rsidRPr="00B543F6">
        <w:rPr>
          <w:rFonts w:ascii="Verdana" w:eastAsia="Calibri" w:hAnsi="Verdana" w:cs="Times New Roman"/>
        </w:rPr>
        <w:t>El 31 de diciembre de 2020 se promulgó la Ley 2069, “</w:t>
      </w:r>
      <w:r w:rsidRPr="00B543F6">
        <w:rPr>
          <w:rFonts w:ascii="Verdana" w:eastAsia="Calibri" w:hAnsi="Verdana" w:cs="Times New Roman"/>
          <w:i/>
          <w:iCs/>
        </w:rPr>
        <w:t>Por medio de la cual se impulsa el emprendimiento en Colombia</w:t>
      </w:r>
      <w:r w:rsidRPr="00B543F6">
        <w:rPr>
          <w:rFonts w:ascii="Verdana" w:eastAsia="Calibri" w:hAnsi="Verdana" w:cs="Times New Roman"/>
        </w:rPr>
        <w:t>”.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w:t>
      </w:r>
      <w:r w:rsidR="001176E8" w:rsidRPr="003A2665">
        <w:rPr>
          <w:rFonts w:ascii="Verdana" w:eastAsia="Calibri" w:hAnsi="Verdana" w:cs="Times New Roman"/>
        </w:rPr>
        <w:t>(</w:t>
      </w:r>
      <w:r w:rsidRPr="00B543F6">
        <w:rPr>
          <w:rFonts w:ascii="Verdana" w:eastAsia="Calibri" w:hAnsi="Verdana" w:cs="Times New Roman"/>
        </w:rPr>
        <w:t>…</w:t>
      </w:r>
      <w:r w:rsidR="001176E8" w:rsidRPr="003A2665">
        <w:rPr>
          <w:rFonts w:ascii="Verdana" w:eastAsia="Calibri" w:hAnsi="Verdana" w:cs="Times New Roman"/>
        </w:rPr>
        <w:t>)</w:t>
      </w:r>
      <w:r w:rsidRPr="00B543F6">
        <w:rPr>
          <w:rFonts w:ascii="Verdana" w:eastAsia="Calibri" w:hAnsi="Verdana" w:cs="Times New Roman"/>
        </w:rPr>
        <w:t xml:space="preserve"> un enfoque regionalizado de acuerdo a las realidades socioeconómicas de cada región”. En desarrollo de esta finalidad, se establecen medidas de apoyo para las micro, pequeñas y medianas empresas –Mipymes–, mediante la racionalización y </w:t>
      </w:r>
      <w:r w:rsidRPr="00B543F6">
        <w:rPr>
          <w:rFonts w:ascii="Verdana" w:eastAsia="Calibri" w:hAnsi="Verdana" w:cs="Times New Roman"/>
        </w:rPr>
        <w:lastRenderedPageBreak/>
        <w:t>simplificación de los trámites y tarifas</w:t>
      </w:r>
      <w:r w:rsidRPr="00B543F6">
        <w:rPr>
          <w:rFonts w:ascii="Verdana" w:eastAsia="Calibri" w:hAnsi="Verdana" w:cs="Times New Roman"/>
          <w:vertAlign w:val="superscript"/>
        </w:rPr>
        <w:footnoteReference w:id="3"/>
      </w:r>
      <w:r w:rsidRPr="00B543F6">
        <w:rPr>
          <w:rFonts w:ascii="Verdana" w:eastAsia="Calibri" w:hAnsi="Verdana" w:cs="Times New Roman"/>
        </w:rPr>
        <w:t xml:space="preserve"> , así como incentivos a favor de aquellas dentro del sistema de compras y contratación pública</w:t>
      </w:r>
      <w:r w:rsidRPr="00B543F6">
        <w:rPr>
          <w:rFonts w:ascii="Verdana" w:eastAsia="Calibri" w:hAnsi="Verdana" w:cs="Times New Roman"/>
          <w:vertAlign w:val="superscript"/>
        </w:rPr>
        <w:footnoteReference w:id="4"/>
      </w:r>
      <w:r w:rsidRPr="00B543F6">
        <w:rPr>
          <w:rFonts w:ascii="Verdana" w:eastAsia="Calibri" w:hAnsi="Verdana" w:cs="Times New Roman"/>
        </w:rPr>
        <w:t>.</w:t>
      </w:r>
    </w:p>
    <w:p w14:paraId="0BD8560C" w14:textId="77777777" w:rsidR="00CF0E0D" w:rsidRPr="00B543F6" w:rsidRDefault="00CF0E0D" w:rsidP="00CF0E0D">
      <w:pPr>
        <w:spacing w:after="0" w:line="256" w:lineRule="auto"/>
        <w:jc w:val="both"/>
        <w:rPr>
          <w:rFonts w:ascii="Verdana" w:eastAsia="Calibri" w:hAnsi="Verdana" w:cs="Times New Roman"/>
        </w:rPr>
      </w:pPr>
    </w:p>
    <w:p w14:paraId="2EA325C9" w14:textId="77777777" w:rsidR="00B543F6" w:rsidRPr="003A2665" w:rsidRDefault="00B543F6" w:rsidP="007B09C3">
      <w:pPr>
        <w:spacing w:after="0" w:line="256" w:lineRule="auto"/>
        <w:ind w:firstLine="708"/>
        <w:jc w:val="both"/>
        <w:rPr>
          <w:rFonts w:ascii="Verdana" w:eastAsia="Calibri" w:hAnsi="Verdana" w:cs="Times New Roman"/>
        </w:rPr>
      </w:pPr>
      <w:r w:rsidRPr="00B543F6">
        <w:rPr>
          <w:rFonts w:ascii="Verdana" w:eastAsia="Calibri" w:hAnsi="Verdana" w:cs="Times New Roman"/>
        </w:rPr>
        <w:t>Según lo ha reiterado esta Agencia en múltiples conceptos sobre la materia, el artículo 34 de la Ley 2069 de 2020 dispuso nuevas reglas sobre la promoción al desarrollo en la contratación estatal. En particular, la citada disposición modificó el contenido del artículo 12 de la Ley 1150 de 2007, prescribiendo lo que se indica a continuación:</w:t>
      </w:r>
    </w:p>
    <w:p w14:paraId="4167CE69" w14:textId="77777777" w:rsidR="007B09C3" w:rsidRPr="00B543F6" w:rsidRDefault="007B09C3" w:rsidP="007B09C3">
      <w:pPr>
        <w:spacing w:after="0" w:line="256" w:lineRule="auto"/>
        <w:ind w:firstLine="708"/>
        <w:jc w:val="both"/>
        <w:rPr>
          <w:rFonts w:ascii="Verdana" w:eastAsia="Calibri" w:hAnsi="Verdana" w:cs="Times New Roman"/>
        </w:rPr>
      </w:pPr>
    </w:p>
    <w:p w14:paraId="43ED5E52" w14:textId="77777777" w:rsidR="00B543F6" w:rsidRPr="00B543F6" w:rsidRDefault="00B543F6" w:rsidP="00CF0E0D">
      <w:pPr>
        <w:spacing w:after="0" w:line="256" w:lineRule="auto"/>
        <w:jc w:val="both"/>
        <w:rPr>
          <w:rFonts w:ascii="Verdana" w:eastAsia="Calibri" w:hAnsi="Verdana" w:cs="Times New Roman"/>
        </w:rPr>
      </w:pPr>
      <w:r w:rsidRPr="00B543F6">
        <w:rPr>
          <w:rFonts w:ascii="Verdana" w:eastAsia="Calibri" w:hAnsi="Verdana" w:cs="Times New Roman"/>
        </w:rPr>
        <w:t xml:space="preserve">(i) Encomienda al Gobierno Nacional, con carácter imperativo,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no sin antes agregar que estas convocatorias se pueden realizar también en el ámbito municipal o departamental correspondiente al de la ejecución del contrato. </w:t>
      </w:r>
    </w:p>
    <w:p w14:paraId="04484284" w14:textId="77777777" w:rsidR="00B543F6" w:rsidRPr="00B543F6" w:rsidRDefault="00B543F6" w:rsidP="00CF0E0D">
      <w:pPr>
        <w:spacing w:after="0" w:line="256" w:lineRule="auto"/>
        <w:jc w:val="both"/>
        <w:rPr>
          <w:rFonts w:ascii="Verdana" w:eastAsia="Calibri" w:hAnsi="Verdana" w:cs="Times New Roman"/>
        </w:rPr>
      </w:pPr>
      <w:r w:rsidRPr="00B543F6">
        <w:rPr>
          <w:rFonts w:ascii="Verdana" w:eastAsia="Calibri" w:hAnsi="Verdana" w:cs="Times New Roman"/>
        </w:rPr>
        <w:t xml:space="preserve">(ii) Establece que dichas convocatorias limitadas se deben efectuar, siempre y cuando antes del acto administrativo de apertura del respectivo proceso de selección, por lo menos dos (2) Mipymes hayan manifestado su interés. </w:t>
      </w:r>
    </w:p>
    <w:p w14:paraId="632C6372" w14:textId="77777777" w:rsidR="00B543F6" w:rsidRPr="00B543F6" w:rsidRDefault="00B543F6" w:rsidP="00CF0E0D">
      <w:pPr>
        <w:spacing w:after="0" w:line="256" w:lineRule="auto"/>
        <w:jc w:val="both"/>
        <w:rPr>
          <w:rFonts w:ascii="Verdana" w:eastAsia="Calibri" w:hAnsi="Verdana" w:cs="Times New Roman"/>
        </w:rPr>
      </w:pPr>
      <w:r w:rsidRPr="00B543F6">
        <w:rPr>
          <w:rFonts w:ascii="Verdana" w:eastAsia="Calibri" w:hAnsi="Verdana" w:cs="Times New Roman"/>
        </w:rPr>
        <w:t xml:space="preserve">(iii) Establece que, en el reglamento, el Gobierno Nacional podría establecer condiciones preferenciales para los bienes y servicios producidos por las Mipymes, sin contrariar los compromisos internacionales vigentes, cuando estos fuesen aplicables. </w:t>
      </w:r>
    </w:p>
    <w:p w14:paraId="38EFEDAC" w14:textId="77777777" w:rsidR="00B543F6" w:rsidRPr="003A2665" w:rsidRDefault="00B543F6" w:rsidP="00CF0E0D">
      <w:pPr>
        <w:spacing w:after="0" w:line="256" w:lineRule="auto"/>
        <w:jc w:val="both"/>
        <w:rPr>
          <w:rFonts w:ascii="Verdana" w:eastAsia="Calibri" w:hAnsi="Verdana" w:cs="Times New Roman"/>
        </w:rPr>
      </w:pPr>
      <w:r w:rsidRPr="00B543F6">
        <w:rPr>
          <w:rFonts w:ascii="Verdana" w:eastAsia="Calibri" w:hAnsi="Verdana" w:cs="Times New Roman"/>
        </w:rPr>
        <w:t>(iv) Precisa que la posibilidad de participar en convocatorias limitadas a Mipymes se encuentra condicionada a que estas acrediten como mínimo un (1) año de existencia, con el certificado expedido por la cámara de comercio respectiva o por la autoridad que sea competente para ello.</w:t>
      </w:r>
    </w:p>
    <w:p w14:paraId="1F9A993D" w14:textId="77777777" w:rsidR="00A740E5" w:rsidRPr="00B543F6" w:rsidRDefault="00A740E5" w:rsidP="00CF0E0D">
      <w:pPr>
        <w:spacing w:after="0" w:line="256" w:lineRule="auto"/>
        <w:jc w:val="both"/>
        <w:rPr>
          <w:rFonts w:ascii="Verdana" w:eastAsia="Calibri" w:hAnsi="Verdana" w:cs="Times New Roman"/>
        </w:rPr>
      </w:pPr>
    </w:p>
    <w:p w14:paraId="677DB07B" w14:textId="77777777" w:rsidR="00B543F6" w:rsidRPr="003A2665" w:rsidRDefault="00B543F6" w:rsidP="00A740E5">
      <w:pPr>
        <w:spacing w:after="0" w:line="256" w:lineRule="auto"/>
        <w:ind w:firstLine="708"/>
        <w:jc w:val="both"/>
        <w:rPr>
          <w:rFonts w:ascii="Verdana" w:eastAsia="Calibri" w:hAnsi="Verdana" w:cs="Times New Roman"/>
          <w:lang w:val="es-ES"/>
        </w:rPr>
      </w:pPr>
      <w:r w:rsidRPr="00B543F6">
        <w:rPr>
          <w:rFonts w:ascii="Verdana" w:eastAsia="Calibri" w:hAnsi="Verdana" w:cs="Times New Roman"/>
          <w:lang w:val="es-ES"/>
        </w:rPr>
        <w:t>A partir de lo anterior, el artículo 34 de la Ley 2069 de 2020 sustituyó íntegramente el contenido del artículo 12 de la Ley 1150 de 2007. En este sentido, frente a esta última norma se produjo el fenómeno de la subrogación, fenómeno que ha sido entendido esencialmente como el acto de sustituir una norma por otra</w:t>
      </w:r>
      <w:r w:rsidRPr="00B543F6">
        <w:rPr>
          <w:rFonts w:ascii="Verdana" w:eastAsia="Calibri" w:hAnsi="Verdana" w:cs="Times New Roman"/>
          <w:vertAlign w:val="superscript"/>
          <w:lang w:val="es-ES"/>
        </w:rPr>
        <w:footnoteReference w:id="5"/>
      </w:r>
      <w:r w:rsidRPr="00B543F6">
        <w:rPr>
          <w:rFonts w:ascii="Verdana" w:eastAsia="Calibri" w:hAnsi="Verdana" w:cs="Times New Roman"/>
          <w:lang w:val="es-ES"/>
        </w:rPr>
        <w:t>.</w:t>
      </w:r>
    </w:p>
    <w:p w14:paraId="4D7D368C" w14:textId="77777777" w:rsidR="00A740E5" w:rsidRPr="00B543F6" w:rsidRDefault="00A740E5" w:rsidP="00A740E5">
      <w:pPr>
        <w:spacing w:after="0" w:line="256" w:lineRule="auto"/>
        <w:ind w:firstLine="708"/>
        <w:jc w:val="both"/>
        <w:rPr>
          <w:rFonts w:ascii="Verdana" w:eastAsia="Calibri" w:hAnsi="Verdana" w:cs="Times New Roman"/>
          <w:lang w:val="es-ES"/>
        </w:rPr>
      </w:pPr>
    </w:p>
    <w:p w14:paraId="5BE84615" w14:textId="77777777" w:rsidR="00B543F6" w:rsidRPr="003A2665" w:rsidRDefault="00B543F6" w:rsidP="00A740E5">
      <w:pPr>
        <w:spacing w:after="0" w:line="256" w:lineRule="auto"/>
        <w:ind w:firstLine="708"/>
        <w:jc w:val="both"/>
        <w:rPr>
          <w:rFonts w:ascii="Verdana" w:eastAsia="Calibri" w:hAnsi="Verdana" w:cs="Times New Roman"/>
        </w:rPr>
      </w:pPr>
      <w:r w:rsidRPr="00B543F6">
        <w:rPr>
          <w:rFonts w:ascii="Verdana" w:eastAsia="Calibri" w:hAnsi="Verdana" w:cs="Times New Roman"/>
        </w:rPr>
        <w:lastRenderedPageBreak/>
        <w:t>Teniendo en cuenta el efecto de subrogación, conviene revisar la vigencia del artículo 2.2.1.2.4.2.2. del Decreto 1082 de 2015 que hasta la fecha de expedición de la Ley 2069 de 2020, regía las convocatorias limitadas a Mipymes. En criterio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dejan de ser obligatorios o decaen “cuando desaparezcan sus fundamentos de hecho o de derecho”.</w:t>
      </w:r>
    </w:p>
    <w:p w14:paraId="0CF4BBC4" w14:textId="77777777" w:rsidR="00A740E5" w:rsidRPr="00B543F6" w:rsidRDefault="00A740E5" w:rsidP="00A740E5">
      <w:pPr>
        <w:spacing w:after="0" w:line="256" w:lineRule="auto"/>
        <w:ind w:firstLine="708"/>
        <w:jc w:val="both"/>
        <w:rPr>
          <w:rFonts w:ascii="Verdana" w:eastAsia="Calibri" w:hAnsi="Verdana" w:cs="Times New Roman"/>
        </w:rPr>
      </w:pPr>
    </w:p>
    <w:p w14:paraId="78D586F1" w14:textId="77777777" w:rsidR="00B543F6" w:rsidRPr="003A2665" w:rsidRDefault="00B543F6" w:rsidP="00A740E5">
      <w:pPr>
        <w:spacing w:after="0" w:line="256" w:lineRule="auto"/>
        <w:ind w:firstLine="708"/>
        <w:jc w:val="both"/>
        <w:rPr>
          <w:rFonts w:ascii="Verdana" w:eastAsia="Calibri" w:hAnsi="Verdana" w:cs="Times New Roman"/>
        </w:rPr>
      </w:pPr>
      <w:r w:rsidRPr="00B543F6">
        <w:rPr>
          <w:rFonts w:ascii="Verdana" w:eastAsia="Calibri" w:hAnsi="Verdana" w:cs="Times New Roman"/>
        </w:rPr>
        <w:t xml:space="preserve">Esto último, se ve consolidado con la expedición del Decreto 1860 de 2021, reglamento que modificó, entre otros aspectos, la Subsección 5 de la Sección 1 del Capítulo 2 del Título 1 de la Parte 2 del Libro 2 y los artículos 2.2.1.2.4.2.2. y 2.2.1.2.4.2.3. y siguientes del Decreto 1082 de 2015. </w:t>
      </w:r>
    </w:p>
    <w:p w14:paraId="1662AC9F" w14:textId="77777777" w:rsidR="00A740E5" w:rsidRPr="00B543F6" w:rsidRDefault="00A740E5" w:rsidP="00A740E5">
      <w:pPr>
        <w:spacing w:after="0" w:line="256" w:lineRule="auto"/>
        <w:ind w:firstLine="708"/>
        <w:jc w:val="both"/>
        <w:rPr>
          <w:rFonts w:ascii="Verdana" w:eastAsia="Calibri" w:hAnsi="Verdana" w:cs="Times New Roman"/>
        </w:rPr>
      </w:pPr>
    </w:p>
    <w:p w14:paraId="32A6BA4C" w14:textId="77777777" w:rsidR="00B543F6" w:rsidRPr="003A2665" w:rsidRDefault="00B543F6" w:rsidP="00A740E5">
      <w:pPr>
        <w:spacing w:after="0" w:line="256" w:lineRule="auto"/>
        <w:ind w:firstLine="708"/>
        <w:jc w:val="both"/>
        <w:rPr>
          <w:rFonts w:ascii="Verdana" w:eastAsia="Calibri" w:hAnsi="Verdana" w:cs="Times New Roman"/>
        </w:rPr>
      </w:pPr>
      <w:r w:rsidRPr="00B543F6">
        <w:rPr>
          <w:rFonts w:ascii="Verdana" w:eastAsia="Calibri" w:hAnsi="Verdana" w:cs="Times New Roman"/>
        </w:rPr>
        <w:t xml:space="preserve">Por otra parte, en cuanto a lo dispuesto por el artículo 2.2.1.2.4.2.3. del Decreto 1082 de 2015, en donde se regulaba la posibilidad de limitar convocatorias a Mipymes domiciliadas en un determinado ámbito territorial, se estima que este, al igual que el artículo 2.2.1.2.4.2.2., también está cobijado por el fenómeno del decaimiento y, actualmente, fue sustituido en su integridad por lo dispuesto en el Decreto 1860 de 2021. En efecto, con fundamento en lo previsto en el artículo 34 de la Ley 2069 de 2020, en su artículo 5 se dispuso expresamente la modificación de los artículos 2.2.1.2.4.2.2., 2.2.1.2.4.2.3. y 2.2.1.2.4.2.4. de la Subsección 2 de la Sección 4 del Capítulo 2 del Título 1 de la Parte 2 del Libro 2 del Decreto 1082 de 2015. </w:t>
      </w:r>
    </w:p>
    <w:p w14:paraId="07986644" w14:textId="77777777" w:rsidR="00A740E5" w:rsidRPr="00B543F6" w:rsidRDefault="00A740E5" w:rsidP="00A740E5">
      <w:pPr>
        <w:spacing w:after="0" w:line="256" w:lineRule="auto"/>
        <w:ind w:firstLine="708"/>
        <w:jc w:val="both"/>
        <w:rPr>
          <w:rFonts w:ascii="Verdana" w:eastAsia="Calibri" w:hAnsi="Verdana" w:cs="Times New Roman"/>
        </w:rPr>
      </w:pPr>
    </w:p>
    <w:p w14:paraId="4145BB11" w14:textId="77777777" w:rsidR="00B543F6" w:rsidRPr="003A2665" w:rsidRDefault="00B543F6" w:rsidP="00A740E5">
      <w:pPr>
        <w:spacing w:after="0" w:line="256" w:lineRule="auto"/>
        <w:ind w:firstLine="708"/>
        <w:jc w:val="both"/>
        <w:rPr>
          <w:rFonts w:ascii="Verdana" w:eastAsia="Calibri" w:hAnsi="Verdana" w:cs="Times New Roman"/>
        </w:rPr>
      </w:pPr>
      <w:r w:rsidRPr="00B543F6">
        <w:rPr>
          <w:rFonts w:ascii="Verdana" w:eastAsia="Calibri" w:hAnsi="Verdana" w:cs="Times New Roman"/>
        </w:rPr>
        <w:t xml:space="preserve">La Subsección 2 modificada, contiene los siguientes artículos (i) 2.2.1.2.4.2.2. que consagra los requisitos para limitar la convocatoria de los procesos de contratación con pluralidad de oferentes a las Mipyme colombianas con mínimo un (1) año de existencia; (ii) 2.2.1.2.4.2.3. que desarrolla las convocatorias limitadas a Mipyme colombianas que tengan domicilio en los departamentos o municipios en donde se va a ejecutar el contrato; y (iii) 2.2.1.2.4.2.4. que regula la acreditación de requisitos para participar en convocatorias limitadas. De este modo, interesa precisar que el artículo 5 del Decreto 1860 de 2021, que modifica los artículos del Decreto 1082 de 2015 expuestos en el párrafo anterior, constituye la reglamentación del artículo 34 de la Ley 2069 de 2020, al desarrollar las reglas aplicables a las convocatorias limitadas a Mipyme como se verá a continuación. </w:t>
      </w:r>
    </w:p>
    <w:p w14:paraId="6E6EA6A5" w14:textId="77777777" w:rsidR="00A740E5" w:rsidRPr="00B543F6" w:rsidRDefault="00A740E5" w:rsidP="00A740E5">
      <w:pPr>
        <w:spacing w:after="0" w:line="256" w:lineRule="auto"/>
        <w:ind w:firstLine="708"/>
        <w:jc w:val="both"/>
        <w:rPr>
          <w:rFonts w:ascii="Verdana" w:eastAsia="Calibri" w:hAnsi="Verdana" w:cs="Times New Roman"/>
        </w:rPr>
      </w:pPr>
    </w:p>
    <w:p w14:paraId="2B2663A1" w14:textId="77777777" w:rsidR="00B543F6" w:rsidRPr="003A2665" w:rsidRDefault="00B543F6" w:rsidP="00A740E5">
      <w:pPr>
        <w:spacing w:after="0" w:line="256" w:lineRule="auto"/>
        <w:ind w:firstLine="708"/>
        <w:jc w:val="both"/>
        <w:rPr>
          <w:rFonts w:ascii="Verdana" w:eastAsia="Calibri" w:hAnsi="Verdana" w:cs="Times New Roman"/>
          <w:lang w:val="es-ES"/>
        </w:rPr>
      </w:pPr>
      <w:r w:rsidRPr="00B543F6">
        <w:rPr>
          <w:rFonts w:ascii="Verdana" w:eastAsia="Calibri" w:hAnsi="Verdana" w:cs="Times New Roman"/>
          <w:lang w:val="es-ES"/>
        </w:rPr>
        <w:t xml:space="preserve">Respecto a lo señalado en el inciso primero del artículo 2.2.1.2.4.2.2. del Decreto 1082 de 2015, modificado por el artículo 5 del Decreto 1860 de 2021, </w:t>
      </w:r>
      <w:r w:rsidRPr="00B543F6">
        <w:rPr>
          <w:rFonts w:ascii="Verdana" w:eastAsia="Calibri" w:hAnsi="Verdana" w:cs="Times New Roman"/>
          <w:lang w:val="es-ES"/>
        </w:rPr>
        <w:lastRenderedPageBreak/>
        <w:t>se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el referido artículo indica lo siguiente:</w:t>
      </w:r>
    </w:p>
    <w:p w14:paraId="4E981ECB" w14:textId="77777777" w:rsidR="00A740E5" w:rsidRPr="00B543F6" w:rsidRDefault="00A740E5" w:rsidP="00A740E5">
      <w:pPr>
        <w:spacing w:after="0" w:line="256" w:lineRule="auto"/>
        <w:ind w:left="709" w:right="1183" w:hanging="1"/>
        <w:jc w:val="both"/>
        <w:rPr>
          <w:rFonts w:ascii="Verdana" w:eastAsia="Calibri" w:hAnsi="Verdana" w:cs="Times New Roman"/>
          <w:sz w:val="20"/>
          <w:szCs w:val="20"/>
          <w:lang w:val="es-ES"/>
        </w:rPr>
      </w:pPr>
    </w:p>
    <w:p w14:paraId="7AC8D2E7" w14:textId="77777777" w:rsidR="00B543F6" w:rsidRPr="003A2665" w:rsidRDefault="00B543F6" w:rsidP="00A740E5">
      <w:pPr>
        <w:spacing w:after="0" w:line="256" w:lineRule="auto"/>
        <w:ind w:left="709" w:right="1183" w:hanging="1"/>
        <w:jc w:val="both"/>
        <w:rPr>
          <w:rFonts w:ascii="Verdana" w:eastAsia="Calibri" w:hAnsi="Verdana" w:cs="Times New Roman"/>
          <w:sz w:val="20"/>
          <w:szCs w:val="20"/>
          <w:lang w:val="es-ES"/>
        </w:rPr>
      </w:pPr>
      <w:r w:rsidRPr="00B543F6">
        <w:rPr>
          <w:rFonts w:ascii="Verdana" w:eastAsia="Calibri" w:hAnsi="Verdana" w:cs="Times New Roman"/>
          <w:sz w:val="20"/>
          <w:szCs w:val="20"/>
          <w:lang w:val="es-ES"/>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cuando concurran los siguientes requisitos: </w:t>
      </w:r>
    </w:p>
    <w:p w14:paraId="4E35AE11" w14:textId="77777777" w:rsidR="00A740E5" w:rsidRPr="00B543F6" w:rsidRDefault="00A740E5" w:rsidP="00A740E5">
      <w:pPr>
        <w:spacing w:after="0" w:line="256" w:lineRule="auto"/>
        <w:ind w:left="709" w:right="1183" w:hanging="1"/>
        <w:jc w:val="both"/>
        <w:rPr>
          <w:rFonts w:ascii="Verdana" w:eastAsia="Calibri" w:hAnsi="Verdana" w:cs="Times New Roman"/>
          <w:sz w:val="20"/>
          <w:szCs w:val="20"/>
          <w:lang w:val="es-ES"/>
        </w:rPr>
      </w:pPr>
    </w:p>
    <w:p w14:paraId="054FE9B3" w14:textId="77777777" w:rsidR="00B543F6" w:rsidRPr="00B543F6" w:rsidRDefault="00B543F6" w:rsidP="00A740E5">
      <w:pPr>
        <w:spacing w:after="0" w:line="256" w:lineRule="auto"/>
        <w:ind w:left="709" w:right="1183" w:hanging="1"/>
        <w:jc w:val="both"/>
        <w:rPr>
          <w:rFonts w:ascii="Verdana" w:eastAsia="Calibri" w:hAnsi="Verdana" w:cs="Times New Roman"/>
          <w:bCs/>
          <w:sz w:val="20"/>
          <w:szCs w:val="20"/>
          <w:lang w:val="es-ES_tradnl"/>
        </w:rPr>
      </w:pPr>
      <w:r w:rsidRPr="00B543F6">
        <w:rPr>
          <w:rFonts w:ascii="Verdana" w:eastAsia="Calibri" w:hAnsi="Verdana" w:cs="Times New Roman"/>
          <w:bCs/>
          <w:sz w:val="20"/>
          <w:szCs w:val="20"/>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65C51C37" w14:textId="77777777" w:rsidR="00B543F6" w:rsidRPr="00B543F6" w:rsidRDefault="00B543F6" w:rsidP="00A740E5">
      <w:pPr>
        <w:spacing w:after="0" w:line="256" w:lineRule="auto"/>
        <w:ind w:left="709" w:right="1183" w:hanging="1"/>
        <w:jc w:val="both"/>
        <w:rPr>
          <w:rFonts w:ascii="Verdana" w:eastAsia="Calibri" w:hAnsi="Verdana" w:cs="Times New Roman"/>
          <w:sz w:val="20"/>
          <w:szCs w:val="20"/>
          <w:lang w:val="es-ES"/>
        </w:rPr>
      </w:pPr>
      <w:r w:rsidRPr="00B543F6">
        <w:rPr>
          <w:rFonts w:ascii="Verdana" w:eastAsia="Calibri" w:hAnsi="Verdana" w:cs="Times New Roman"/>
          <w:sz w:val="20"/>
          <w:szCs w:val="20"/>
          <w:lang w:val="es-ES"/>
        </w:rPr>
        <w:t xml:space="preserve">2. </w:t>
      </w:r>
      <w:r w:rsidRPr="00B543F6">
        <w:rPr>
          <w:rFonts w:ascii="Verdana" w:eastAsia="Calibri" w:hAnsi="Verdana" w:cs="Times New Roman"/>
          <w:i/>
          <w:iCs/>
          <w:sz w:val="20"/>
          <w:szCs w:val="20"/>
          <w:u w:val="single"/>
          <w:lang w:val="es-ES"/>
        </w:rPr>
        <w:t>Se hayan recibido solicitudes de por lo menos dos (2) Mipyme colombianas para limitar la convocatoria a Mipyme colombianas</w:t>
      </w:r>
      <w:r w:rsidRPr="00B543F6">
        <w:rPr>
          <w:rFonts w:ascii="Verdana" w:eastAsia="Calibri" w:hAnsi="Verdana" w:cs="Times New Roman"/>
          <w:sz w:val="20"/>
          <w:szCs w:val="20"/>
          <w:lang w:val="es-ES"/>
        </w:rPr>
        <w:t xml:space="preserve">. Las Entidades Estatales independientemente de su régimen de contratación, los patrimonios autónomos constituidos por Entidades Estatales y los particulares que ejecuten recursos públicos, </w:t>
      </w:r>
      <w:r w:rsidRPr="00B543F6">
        <w:rPr>
          <w:rFonts w:ascii="Verdana" w:eastAsia="Calibri" w:hAnsi="Verdana" w:cs="Times New Roman"/>
          <w:i/>
          <w:iCs/>
          <w:sz w:val="20"/>
          <w:szCs w:val="20"/>
          <w:u w:val="single"/>
          <w:lang w:val="es-ES"/>
        </w:rPr>
        <w:t>deben recibir estas solicitudes por lo menos un (1) día hábil antes de la expedición del acto administrativo de apertura, o el que haga sus veces</w:t>
      </w:r>
      <w:r w:rsidRPr="00B543F6">
        <w:rPr>
          <w:rFonts w:ascii="Verdana" w:eastAsia="Calibri" w:hAnsi="Verdana" w:cs="Times New Roman"/>
          <w:sz w:val="20"/>
          <w:szCs w:val="20"/>
          <w:lang w:val="es-ES"/>
        </w:rPr>
        <w:t xml:space="preserve"> de acuerdo con la normativa aplicable a cada Proceso de Contratación. </w:t>
      </w:r>
      <w:r w:rsidRPr="00B543F6">
        <w:rPr>
          <w:rFonts w:ascii="Verdana" w:eastAsia="Calibri" w:hAnsi="Verdana" w:cs="Times New Roman"/>
          <w:i/>
          <w:iCs/>
          <w:sz w:val="20"/>
          <w:szCs w:val="20"/>
          <w:u w:val="single"/>
          <w:lang w:val="es-ES"/>
        </w:rPr>
        <w:t>Tratándose de personas jurídicas, las solicitudes solo las podrán realizar Mipyme, cuyo objeto social les permita ejecutar el contrato relacionado con el proceso contractual</w:t>
      </w:r>
      <w:r w:rsidRPr="00B543F6">
        <w:rPr>
          <w:rFonts w:ascii="Verdana" w:eastAsia="Calibri" w:hAnsi="Verdana" w:cs="Times New Roman"/>
          <w:sz w:val="20"/>
          <w:szCs w:val="20"/>
          <w:lang w:val="es-ES"/>
        </w:rPr>
        <w:t>.</w:t>
      </w:r>
    </w:p>
    <w:p w14:paraId="55D85FEB" w14:textId="77777777" w:rsidR="00B543F6" w:rsidRPr="00B543F6" w:rsidRDefault="00B543F6" w:rsidP="00A740E5">
      <w:pPr>
        <w:spacing w:after="0" w:line="256" w:lineRule="auto"/>
        <w:ind w:left="709" w:right="1183" w:hanging="1"/>
        <w:jc w:val="both"/>
        <w:rPr>
          <w:rFonts w:ascii="Verdana" w:eastAsia="Calibri" w:hAnsi="Verdana" w:cs="Times New Roman"/>
          <w:sz w:val="20"/>
          <w:szCs w:val="20"/>
          <w:lang w:val="es-ES"/>
        </w:rPr>
      </w:pPr>
      <w:r w:rsidRPr="00B543F6">
        <w:rPr>
          <w:rFonts w:ascii="Verdana" w:eastAsia="Calibri" w:hAnsi="Verdana" w:cs="Times New Roman"/>
          <w:sz w:val="20"/>
          <w:szCs w:val="20"/>
          <w:lang w:val="es-ES"/>
        </w:rPr>
        <w:t>Parágrafo. Las cooperativas y demás entidades de economía solidaria, siempre que tengan la calidad de Mipyme, podrán solicitar y participar en las convocatorias limitadas en las mismas condiciones dispuestas en el presente artículo”. [Énfasis fuera de texto]</w:t>
      </w:r>
    </w:p>
    <w:p w14:paraId="68E49076" w14:textId="77777777" w:rsidR="00B543F6" w:rsidRPr="00B543F6" w:rsidRDefault="00B543F6" w:rsidP="00CF0E0D">
      <w:pPr>
        <w:spacing w:after="0" w:line="256" w:lineRule="auto"/>
        <w:jc w:val="both"/>
        <w:rPr>
          <w:rFonts w:ascii="Verdana" w:eastAsia="Calibri" w:hAnsi="Verdana" w:cs="Times New Roman"/>
          <w:lang w:val="es-ES"/>
        </w:rPr>
      </w:pPr>
    </w:p>
    <w:p w14:paraId="2386F3C2" w14:textId="77777777" w:rsidR="00B543F6" w:rsidRPr="003A2665" w:rsidRDefault="00B543F6" w:rsidP="00A643E1">
      <w:pPr>
        <w:spacing w:after="0" w:line="256" w:lineRule="auto"/>
        <w:ind w:firstLine="708"/>
        <w:jc w:val="both"/>
        <w:rPr>
          <w:rFonts w:ascii="Verdana" w:eastAsia="Calibri" w:hAnsi="Verdana" w:cs="Times New Roman"/>
        </w:rPr>
      </w:pPr>
      <w:r w:rsidRPr="00B543F6">
        <w:rPr>
          <w:rFonts w:ascii="Verdana" w:eastAsia="Calibri" w:hAnsi="Verdana" w:cs="Times New Roman"/>
          <w:bCs/>
          <w:lang w:val="es-ES_tradnl"/>
        </w:rPr>
        <w:t xml:space="preserve">Según se evidencia, el numeral primero limita cuantitativamente los procesos contractuales en los que se puede hacer esa convocatoria limitada a Mipymes, en la medida en que el valor del proceso de contratación tendrá que ser “menor a veinticinco mil dólares de los Estados Unidos </w:t>
      </w:r>
      <w:r w:rsidRPr="00B543F6">
        <w:rPr>
          <w:rFonts w:ascii="Verdana" w:eastAsia="Calibri" w:hAnsi="Verdana" w:cs="Times New Roman"/>
        </w:rPr>
        <w:t xml:space="preserve">de América”. Esta limitante, valga la pena aclarar, es establecida de acuerdo con la tasa que, para </w:t>
      </w:r>
      <w:r w:rsidRPr="00B543F6">
        <w:rPr>
          <w:rFonts w:ascii="Verdana" w:eastAsia="Calibri" w:hAnsi="Verdana" w:cs="Times New Roman"/>
        </w:rPr>
        <w:lastRenderedPageBreak/>
        <w:t>el efecto, determine cada dos (2) años el Ministerio de Comercio, Industria y Turismo</w:t>
      </w:r>
      <w:r w:rsidRPr="00B543F6">
        <w:rPr>
          <w:rFonts w:ascii="Verdana" w:eastAsia="Calibri" w:hAnsi="Verdana" w:cs="Times New Roman"/>
          <w:vertAlign w:val="superscript"/>
        </w:rPr>
        <w:footnoteReference w:id="6"/>
      </w:r>
      <w:r w:rsidRPr="00B543F6">
        <w:rPr>
          <w:rFonts w:ascii="Verdana" w:eastAsia="Calibri" w:hAnsi="Verdana" w:cs="Times New Roman"/>
        </w:rPr>
        <w:t xml:space="preserve">. </w:t>
      </w:r>
    </w:p>
    <w:p w14:paraId="5C0746D7" w14:textId="77777777" w:rsidR="00A643E1" w:rsidRPr="00B543F6" w:rsidRDefault="00A643E1" w:rsidP="00A643E1">
      <w:pPr>
        <w:spacing w:after="0" w:line="256" w:lineRule="auto"/>
        <w:ind w:firstLine="708"/>
        <w:jc w:val="both"/>
        <w:rPr>
          <w:rFonts w:ascii="Verdana" w:eastAsia="Calibri" w:hAnsi="Verdana" w:cs="Times New Roman"/>
        </w:rPr>
      </w:pPr>
    </w:p>
    <w:p w14:paraId="0B421ABE" w14:textId="77777777" w:rsidR="00B543F6" w:rsidRPr="003A2665" w:rsidRDefault="00B543F6" w:rsidP="00A643E1">
      <w:pPr>
        <w:spacing w:after="0" w:line="256" w:lineRule="auto"/>
        <w:ind w:firstLine="708"/>
        <w:jc w:val="both"/>
        <w:rPr>
          <w:rFonts w:ascii="Verdana" w:eastAsia="Calibri" w:hAnsi="Verdana" w:cs="Times New Roman"/>
          <w:lang w:val="es-ES_tradnl"/>
        </w:rPr>
      </w:pPr>
      <w:r w:rsidRPr="00B543F6">
        <w:rPr>
          <w:rFonts w:ascii="Verdana" w:eastAsia="Calibri" w:hAnsi="Verdana" w:cs="Times New Roman"/>
        </w:rPr>
        <w:t xml:space="preserve">Por su parte, el numeral segundo, establece dos exigencias: por un lado, que al menos dos (2) Mipyme colombianas presenten a la entidad la solicitud de limitar el proceso contractual y, por el otro, que hagan la solicitud por lo menos un día (1) hábil antes de la expedición del acto administrativo de apertura </w:t>
      </w:r>
      <w:r w:rsidRPr="00B543F6">
        <w:rPr>
          <w:rFonts w:ascii="Verdana" w:eastAsia="Calibri" w:hAnsi="Verdana" w:cs="Times New Roman"/>
          <w:lang w:val="es-ES_tradnl"/>
        </w:rPr>
        <w:t>o el que haga sus veces de acuerdo con la normativa aplicable a cada proceso de contratación</w:t>
      </w:r>
      <w:r w:rsidRPr="00B543F6">
        <w:rPr>
          <w:rFonts w:ascii="Verdana" w:eastAsia="Calibri" w:hAnsi="Verdana" w:cs="Times New Roman"/>
        </w:rPr>
        <w:t xml:space="preserve">. Además, la norma señala que, </w:t>
      </w:r>
      <w:r w:rsidRPr="00B543F6">
        <w:rPr>
          <w:rFonts w:ascii="Verdana" w:eastAsia="Calibri" w:hAnsi="Verdana" w:cs="Times New Roman"/>
          <w:lang w:val="es-ES_tradnl"/>
        </w:rPr>
        <w:t xml:space="preserve">tratándose de personas jurídicas, las solicitudes sólo las podrán realizar las Mipymes,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Mipymes, siempre que estas cumplan con las condiciones señaladas en el artículo. </w:t>
      </w:r>
    </w:p>
    <w:p w14:paraId="0900CFFB" w14:textId="77777777" w:rsidR="00A643E1" w:rsidRPr="00B543F6" w:rsidRDefault="00A643E1" w:rsidP="00A643E1">
      <w:pPr>
        <w:spacing w:after="0" w:line="256" w:lineRule="auto"/>
        <w:ind w:firstLine="708"/>
        <w:jc w:val="both"/>
        <w:rPr>
          <w:rFonts w:ascii="Verdana" w:eastAsia="Calibri" w:hAnsi="Verdana" w:cs="Times New Roman"/>
          <w:lang w:val="es-ES_tradnl"/>
        </w:rPr>
      </w:pPr>
    </w:p>
    <w:p w14:paraId="0208A685" w14:textId="77777777" w:rsidR="00B543F6" w:rsidRPr="00B543F6" w:rsidRDefault="00B543F6" w:rsidP="00CF0E0D">
      <w:pPr>
        <w:spacing w:after="0" w:line="256" w:lineRule="auto"/>
        <w:jc w:val="both"/>
        <w:rPr>
          <w:rFonts w:ascii="Verdana" w:eastAsia="Calibri" w:hAnsi="Verdana" w:cs="Times New Roman"/>
          <w:lang w:val="es-ES"/>
        </w:rPr>
      </w:pPr>
      <w:r w:rsidRPr="00B543F6">
        <w:rPr>
          <w:rFonts w:ascii="Verdana" w:eastAsia="Calibri" w:hAnsi="Verdana" w:cs="Times New Roman"/>
          <w:lang w:val="es-ES_tradnl"/>
        </w:rPr>
        <w:tab/>
      </w:r>
      <w:r w:rsidRPr="00B543F6">
        <w:rPr>
          <w:rFonts w:ascii="Verdana" w:eastAsia="Calibri" w:hAnsi="Verdana" w:cs="Times New Roman"/>
          <w:lang w:val="es-ES"/>
        </w:rPr>
        <w:t xml:space="preserve">En ese orden, en caso de que una Mipyme se encuentre interesada en solicitar la limitación de la convocatoria, deberá junto con su respectiva solicitud, las cual podrá presentar a la entidad por lo menos un (1) día hábil antes de la expedición del acto administrativo de apertura del proceso de contratación, acreditar: </w:t>
      </w:r>
      <w:r w:rsidRPr="00B543F6">
        <w:rPr>
          <w:rFonts w:ascii="Verdana" w:eastAsia="Calibri" w:hAnsi="Verdana" w:cs="Times New Roman"/>
          <w:i/>
          <w:iCs/>
          <w:lang w:val="es-ES"/>
        </w:rPr>
        <w:t xml:space="preserve">i) </w:t>
      </w:r>
      <w:r w:rsidRPr="00B543F6">
        <w:rPr>
          <w:rFonts w:ascii="Verdana" w:eastAsia="Calibri" w:hAnsi="Verdana" w:cs="Times New Roman"/>
          <w:lang w:val="es-ES"/>
        </w:rPr>
        <w:t>que tiene el tamaño empresarial establecido por la ley para ser considerada Mipyme</w:t>
      </w:r>
      <w:r w:rsidRPr="00B543F6">
        <w:rPr>
          <w:rFonts w:ascii="Verdana" w:eastAsia="Calibri" w:hAnsi="Verdana" w:cs="Times New Roman"/>
          <w:i/>
          <w:iCs/>
          <w:lang w:val="es-ES"/>
        </w:rPr>
        <w:t xml:space="preserve">, ii) </w:t>
      </w:r>
      <w:r w:rsidRPr="00B543F6">
        <w:rPr>
          <w:rFonts w:ascii="Verdana" w:eastAsia="Calibri" w:hAnsi="Verdana" w:cs="Times New Roman"/>
          <w:lang w:val="es-ES"/>
        </w:rPr>
        <w:t>que cuenta mínimo, con un (1) año de existencia y, en caso de que se trate una persona jurídica</w:t>
      </w:r>
      <w:r w:rsidRPr="00B543F6">
        <w:rPr>
          <w:rFonts w:ascii="Verdana" w:eastAsia="Calibri" w:hAnsi="Verdana" w:cs="Times New Roman"/>
          <w:i/>
          <w:iCs/>
          <w:lang w:val="es-ES"/>
        </w:rPr>
        <w:t xml:space="preserve">, iii) </w:t>
      </w:r>
      <w:r w:rsidRPr="00B543F6">
        <w:rPr>
          <w:rFonts w:ascii="Verdana" w:eastAsia="Calibri" w:hAnsi="Verdana" w:cs="Times New Roman"/>
          <w:lang w:val="es-ES"/>
        </w:rPr>
        <w:t>que su objeto social le permite ejecutar el contrato relacionado con el proceso contractual. Información esta, que verificará la Entidad Estatal que adelanta el respectivo proceso de contratación, para así determinar si procede o no a efectuar la limitación de la convocaría. Sin embargo, debe aclararse, que las entidades en el marco del principio de autonomía están facultadas para establecer en el pliego de condiciones, las reglas a través de las cuales se acreditarán dichas situaciones, esto, bajo la observación de lo señalado en el artículo 2.2.1.2.4.2.4 del Decreto 1082 de 2015, modificado por el artículo 5 del Decreto 1860 de 2021. Dicha norma, en su tenor literal dispone:</w:t>
      </w:r>
    </w:p>
    <w:p w14:paraId="20E8F856" w14:textId="77777777" w:rsidR="00B543F6" w:rsidRPr="00B543F6" w:rsidRDefault="00B543F6" w:rsidP="00CF0E0D">
      <w:pPr>
        <w:spacing w:after="0" w:line="256" w:lineRule="auto"/>
        <w:jc w:val="both"/>
        <w:rPr>
          <w:rFonts w:ascii="Verdana" w:eastAsia="Calibri" w:hAnsi="Verdana" w:cs="Times New Roman"/>
        </w:rPr>
      </w:pPr>
    </w:p>
    <w:p w14:paraId="248BC1AE"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_tradnl"/>
        </w:rPr>
      </w:pPr>
      <w:r w:rsidRPr="00B543F6">
        <w:rPr>
          <w:rFonts w:ascii="Verdana" w:eastAsia="Calibri" w:hAnsi="Verdana" w:cs="Times New Roman"/>
          <w:sz w:val="20"/>
          <w:szCs w:val="20"/>
        </w:rPr>
        <w:t>“</w:t>
      </w:r>
      <w:r w:rsidRPr="00B543F6">
        <w:rPr>
          <w:rFonts w:ascii="Verdana" w:eastAsia="Calibri" w:hAnsi="Verdana" w:cs="Times New Roman"/>
          <w:bCs/>
          <w:sz w:val="20"/>
          <w:szCs w:val="20"/>
          <w:lang w:val="es-ES_tradnl"/>
        </w:rPr>
        <w:t>Artículo 2.2.1.2.4.2.4. Acreditación de requisitos para participar en convocatorias limitadas.</w:t>
      </w:r>
      <w:r w:rsidRPr="00B543F6">
        <w:rPr>
          <w:rFonts w:ascii="Verdana" w:eastAsia="Calibri" w:hAnsi="Verdana" w:cs="Times New Roman"/>
          <w:sz w:val="20"/>
          <w:szCs w:val="20"/>
          <w:lang w:val="es-ES_tradnl"/>
        </w:rPr>
        <w:t xml:space="preserve"> La Mipyme colombianas deben acreditar que tiene el tamaño empresarial establecido por la ley de la siguiente manera: </w:t>
      </w:r>
    </w:p>
    <w:p w14:paraId="2091F0CD"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_tradnl"/>
        </w:rPr>
      </w:pPr>
    </w:p>
    <w:p w14:paraId="19CFB1FB"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_tradnl"/>
        </w:rPr>
      </w:pPr>
      <w:r w:rsidRPr="00B543F6">
        <w:rPr>
          <w:rFonts w:ascii="Verdana" w:eastAsia="Calibri" w:hAnsi="Verdana" w:cs="Times New Roman"/>
          <w:sz w:val="20"/>
          <w:szCs w:val="20"/>
          <w:lang w:val="es-ES_tradnl"/>
        </w:rPr>
        <w:lastRenderedPageBreak/>
        <w:t xml:space="preserve">1. Las personas naturales mediante certificación expedida por ellos y un contador público, adjuntando copia del registro mercantil. </w:t>
      </w:r>
    </w:p>
    <w:p w14:paraId="4FEBA4ED"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_tradnl"/>
        </w:rPr>
      </w:pPr>
    </w:p>
    <w:p w14:paraId="1E230186"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_tradnl"/>
        </w:rPr>
      </w:pPr>
      <w:r w:rsidRPr="00B543F6">
        <w:rPr>
          <w:rFonts w:ascii="Verdana" w:eastAsia="Calibri" w:hAnsi="Verdana" w:cs="Times New Roman"/>
          <w:sz w:val="20"/>
          <w:szCs w:val="20"/>
          <w:lang w:val="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3FFE3AF6" w14:textId="77777777" w:rsidR="00B543F6" w:rsidRPr="00B543F6" w:rsidRDefault="00B543F6" w:rsidP="00A643E1">
      <w:pPr>
        <w:spacing w:after="0" w:line="240" w:lineRule="auto"/>
        <w:ind w:left="567" w:right="900"/>
        <w:jc w:val="both"/>
        <w:rPr>
          <w:rFonts w:ascii="Verdana" w:eastAsia="Calibri" w:hAnsi="Verdana" w:cs="Times New Roman"/>
          <w:b/>
          <w:bCs/>
          <w:sz w:val="20"/>
          <w:szCs w:val="20"/>
          <w:lang w:val="es-ES_tradnl"/>
        </w:rPr>
      </w:pPr>
    </w:p>
    <w:p w14:paraId="1728BB92"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
        </w:rPr>
      </w:pPr>
      <w:r w:rsidRPr="00B543F6">
        <w:rPr>
          <w:rFonts w:ascii="Verdana" w:eastAsia="Calibri" w:hAnsi="Verdana" w:cs="Times New Roman"/>
          <w:sz w:val="20"/>
          <w:szCs w:val="20"/>
          <w:lang w:val="es-ES"/>
        </w:rPr>
        <w:t>Parágrafo 1. En todo caso, las Mipyme también podrán acreditar esta condición con la copia del certificado del Registro Único de Proponentes, el cual deberá encontrarse vigente y en firme al momento de su presentación.</w:t>
      </w:r>
    </w:p>
    <w:p w14:paraId="10B09F77"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_tradnl"/>
        </w:rPr>
      </w:pPr>
    </w:p>
    <w:p w14:paraId="62E26062"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
        </w:rPr>
      </w:pPr>
      <w:r w:rsidRPr="00B543F6">
        <w:rPr>
          <w:rFonts w:ascii="Verdana" w:eastAsia="Calibri" w:hAnsi="Verdana" w:cs="Times New Roman"/>
          <w:sz w:val="20"/>
          <w:szCs w:val="20"/>
          <w:lang w:val="es-ES"/>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21988CBC"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_tradnl"/>
        </w:rPr>
      </w:pPr>
    </w:p>
    <w:p w14:paraId="745BC8CF"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
        </w:rPr>
      </w:pPr>
      <w:r w:rsidRPr="00B543F6">
        <w:rPr>
          <w:rFonts w:ascii="Verdana" w:eastAsia="Calibri" w:hAnsi="Verdana" w:cs="Times New Roman"/>
          <w:sz w:val="20"/>
          <w:szCs w:val="20"/>
          <w:lang w:val="es-ES"/>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14:paraId="0033961A" w14:textId="77777777" w:rsidR="00B543F6" w:rsidRPr="00B543F6" w:rsidRDefault="00B543F6" w:rsidP="00A643E1">
      <w:pPr>
        <w:spacing w:after="0" w:line="240" w:lineRule="auto"/>
        <w:ind w:left="567" w:right="900"/>
        <w:jc w:val="both"/>
        <w:rPr>
          <w:rFonts w:ascii="Verdana" w:eastAsia="Calibri" w:hAnsi="Verdana" w:cs="Times New Roman"/>
          <w:sz w:val="20"/>
          <w:szCs w:val="20"/>
          <w:lang w:val="es-ES_tradnl"/>
        </w:rPr>
      </w:pPr>
    </w:p>
    <w:p w14:paraId="5612224F" w14:textId="77777777" w:rsidR="00B543F6" w:rsidRPr="00B543F6" w:rsidRDefault="00B543F6" w:rsidP="00A643E1">
      <w:pPr>
        <w:spacing w:after="0" w:line="240" w:lineRule="auto"/>
        <w:ind w:left="567" w:right="900"/>
        <w:jc w:val="both"/>
        <w:rPr>
          <w:rFonts w:ascii="Verdana" w:eastAsia="Calibri" w:hAnsi="Verdana" w:cs="Times New Roman"/>
          <w:lang w:val="es-ES_tradnl"/>
        </w:rPr>
      </w:pPr>
      <w:r w:rsidRPr="00B543F6">
        <w:rPr>
          <w:rFonts w:ascii="Verdana" w:eastAsia="Calibri" w:hAnsi="Verdana" w:cs="Times New Roman"/>
          <w:sz w:val="20"/>
          <w:szCs w:val="20"/>
          <w:lang w:val="es-ES_tradnl"/>
        </w:rPr>
        <w:t>Parágrafo 4. Los incentivos previstos en los artículos 2.2.1.2.4.2.2 y 2.2.1.2.4.2.3 de este Decreto no excluyen la aplicación de los criterios diferenciales para los emprendimientos y empresas de mujeres en el sistema de compras públicas</w:t>
      </w:r>
      <w:r w:rsidRPr="00B543F6">
        <w:rPr>
          <w:rFonts w:ascii="Verdana" w:eastAsia="Calibri" w:hAnsi="Verdana" w:cs="Times New Roman"/>
          <w:sz w:val="20"/>
          <w:szCs w:val="20"/>
        </w:rPr>
        <w:t>”</w:t>
      </w:r>
      <w:r w:rsidRPr="00B543F6">
        <w:rPr>
          <w:rFonts w:ascii="Verdana" w:eastAsia="Calibri" w:hAnsi="Verdana" w:cs="Times New Roman"/>
          <w:lang w:val="es-ES_tradnl"/>
        </w:rPr>
        <w:t>.</w:t>
      </w:r>
    </w:p>
    <w:p w14:paraId="10BB19C1" w14:textId="77777777" w:rsidR="00B543F6" w:rsidRPr="00B543F6" w:rsidRDefault="00B543F6" w:rsidP="00CF0E0D">
      <w:pPr>
        <w:spacing w:after="0" w:line="256" w:lineRule="auto"/>
        <w:jc w:val="both"/>
        <w:rPr>
          <w:rFonts w:ascii="Verdana" w:eastAsia="Calibri" w:hAnsi="Verdana" w:cs="Times New Roman"/>
          <w:bCs/>
          <w:lang w:val="es-ES_tradnl"/>
        </w:rPr>
      </w:pPr>
    </w:p>
    <w:p w14:paraId="74D7B5EF" w14:textId="77777777" w:rsidR="00B543F6" w:rsidRPr="00B543F6" w:rsidRDefault="00B543F6" w:rsidP="008C4658">
      <w:pPr>
        <w:spacing w:after="0" w:line="256" w:lineRule="auto"/>
        <w:jc w:val="both"/>
        <w:rPr>
          <w:rFonts w:ascii="Verdana" w:eastAsia="Calibri" w:hAnsi="Verdana" w:cs="Times New Roman"/>
          <w:bCs/>
          <w:lang w:val="es-ES_tradnl"/>
        </w:rPr>
      </w:pPr>
      <w:r w:rsidRPr="00B543F6">
        <w:rPr>
          <w:rFonts w:ascii="Verdana" w:eastAsia="Calibri" w:hAnsi="Verdana" w:cs="Times New Roman"/>
          <w:bCs/>
          <w:lang w:val="es-ES_tradnl"/>
        </w:rPr>
        <w:tab/>
      </w:r>
      <w:r w:rsidRPr="00B543F6">
        <w:rPr>
          <w:rFonts w:ascii="Verdana" w:eastAsia="Calibri" w:hAnsi="Verdana" w:cs="Times New Roman"/>
          <w:lang w:val="es-ES"/>
        </w:rPr>
        <w:t>En tal sentido, la norma precitada señala las formas en las que las Mipyme colombianas deben acreditar el tamaño empresarial establecido por la ley; de este modo, las entidades deben dar cumplimiento expreso a las distintas posibilidades que otorga el Decreto 1082 de 2015, para que las Mipyme acrediten que tienen el tamaño empresarial dispuesto en la norma. Esto, sin perjuicio de que las entidades determinen en cada caso concreto, si los particulares partícipes de sus procesos de contratación cumplen o no las condiciones antes explicadas, para así dilucidar si limitan o no la convocatoria a Mipymes.</w:t>
      </w:r>
      <w:r w:rsidRPr="00B543F6">
        <w:rPr>
          <w:rFonts w:ascii="Verdana" w:eastAsia="Calibri" w:hAnsi="Verdana" w:cs="Times New Roman"/>
          <w:bCs/>
          <w:lang w:val="es-ES_tradnl"/>
        </w:rPr>
        <w:t xml:space="preserve"> </w:t>
      </w:r>
    </w:p>
    <w:p w14:paraId="1F57EA30" w14:textId="77777777" w:rsidR="00CA2038" w:rsidRPr="003A2665" w:rsidRDefault="00CA2038" w:rsidP="008C4658">
      <w:pPr>
        <w:spacing w:after="0" w:line="256" w:lineRule="auto"/>
        <w:jc w:val="both"/>
        <w:rPr>
          <w:rFonts w:ascii="Verdana" w:eastAsia="Calibri" w:hAnsi="Verdana" w:cs="Times New Roman"/>
          <w:lang w:val="es-ES"/>
        </w:rPr>
      </w:pPr>
    </w:p>
    <w:p w14:paraId="5195C128" w14:textId="6C64A0F1" w:rsidR="00AF2271" w:rsidRPr="003A2665" w:rsidRDefault="008C4658" w:rsidP="000843EE">
      <w:pPr>
        <w:spacing w:after="0" w:line="256" w:lineRule="auto"/>
        <w:ind w:firstLine="708"/>
        <w:jc w:val="both"/>
        <w:rPr>
          <w:rFonts w:ascii="Verdana" w:eastAsia="Calibri" w:hAnsi="Verdana" w:cs="Times New Roman"/>
          <w:lang w:val="es-ES_tradnl"/>
        </w:rPr>
      </w:pPr>
      <w:r w:rsidRPr="003A2665">
        <w:rPr>
          <w:rFonts w:ascii="Verdana" w:eastAsia="Calibri" w:hAnsi="Verdana" w:cs="Times New Roman"/>
        </w:rPr>
        <w:lastRenderedPageBreak/>
        <w:t xml:space="preserve">Por otro lado, es necesario reiterar </w:t>
      </w:r>
      <w:r w:rsidR="00D06CEE" w:rsidRPr="003A2665">
        <w:rPr>
          <w:rFonts w:ascii="Verdana" w:eastAsia="Calibri" w:hAnsi="Verdana" w:cs="Times New Roman"/>
        </w:rPr>
        <w:t xml:space="preserve">que a </w:t>
      </w:r>
      <w:r w:rsidR="00AF2271" w:rsidRPr="00AF2271">
        <w:rPr>
          <w:rFonts w:ascii="Verdana" w:eastAsia="Calibri" w:hAnsi="Verdana" w:cs="Times New Roman"/>
        </w:rPr>
        <w:t xml:space="preserve">partir de lo establecido en el artículo 32 de la Ley 2069 de </w:t>
      </w:r>
      <w:r w:rsidR="00D250B6" w:rsidRPr="003A2665">
        <w:rPr>
          <w:rFonts w:ascii="Verdana" w:eastAsia="Calibri" w:hAnsi="Verdana" w:cs="Times New Roman"/>
        </w:rPr>
        <w:t>2020</w:t>
      </w:r>
      <w:r w:rsidR="00AF2271" w:rsidRPr="00AF2271">
        <w:rPr>
          <w:rFonts w:ascii="Verdana" w:eastAsia="Calibri" w:hAnsi="Verdana" w:cs="Times New Roman"/>
        </w:rPr>
        <w:t xml:space="preserve"> se </w:t>
      </w:r>
      <w:r w:rsidR="00D06CEE" w:rsidRPr="003A2665">
        <w:rPr>
          <w:rFonts w:ascii="Verdana" w:eastAsia="Calibri" w:hAnsi="Verdana" w:cs="Times New Roman"/>
        </w:rPr>
        <w:t>introdujo</w:t>
      </w:r>
      <w:r w:rsidR="00AF2271" w:rsidRPr="00AF2271">
        <w:rPr>
          <w:rFonts w:ascii="Verdana" w:eastAsia="Calibri" w:hAnsi="Verdana" w:cs="Times New Roman"/>
        </w:rPr>
        <w:t xml:space="preserve"> el deber de las Entidades Estatales de incluir en los procesos de licitación pública, selección abreviada de menor cuantía y concurso de méritos, así como en los procesos competitivos que adelanten las entidades estatales exceptuadas de aplicar el EGACP-,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w:t>
      </w:r>
      <w:r w:rsidR="00AF2271" w:rsidRPr="00AF2271">
        <w:rPr>
          <w:rFonts w:ascii="Verdana" w:eastAsia="Calibri" w:hAnsi="Verdana" w:cs="Times New Roman"/>
          <w:lang w:val="es-ES_tradnl"/>
        </w:rPr>
        <w:t>comerciales en vigor.</w:t>
      </w:r>
    </w:p>
    <w:p w14:paraId="1E08448A" w14:textId="77777777" w:rsidR="00D06CEE" w:rsidRPr="00AF2271" w:rsidRDefault="00D06CEE" w:rsidP="008C4658">
      <w:pPr>
        <w:spacing w:after="0" w:line="256" w:lineRule="auto"/>
        <w:ind w:firstLine="708"/>
        <w:jc w:val="both"/>
        <w:rPr>
          <w:rFonts w:ascii="Verdana" w:eastAsia="Calibri" w:hAnsi="Verdana" w:cs="Times New Roman"/>
          <w:lang w:val="es-ES_tradnl"/>
        </w:rPr>
      </w:pPr>
    </w:p>
    <w:p w14:paraId="79200E8B" w14:textId="62F9177D" w:rsidR="00AF2271" w:rsidRPr="00AF2271" w:rsidRDefault="00AF2271" w:rsidP="003E62EE">
      <w:pPr>
        <w:spacing w:after="0" w:line="256" w:lineRule="auto"/>
        <w:ind w:firstLine="708"/>
        <w:jc w:val="both"/>
        <w:rPr>
          <w:rFonts w:ascii="Verdana" w:eastAsia="Calibri" w:hAnsi="Verdana" w:cs="Times New Roman"/>
          <w:lang w:val="es-ES"/>
        </w:rPr>
      </w:pPr>
      <w:r w:rsidRPr="2CAEA3B7">
        <w:rPr>
          <w:rFonts w:ascii="Verdana" w:eastAsia="Calibri" w:hAnsi="Verdana" w:cs="Times New Roman"/>
          <w:lang w:val="es-ES"/>
        </w:rPr>
        <w:t>En desarrollo de lo dispuesto en el parágrafo del artículo 32 de la Ley 2069 de 2020, el Decreto 1860 de 2021 adicionó el artículo 2.2.1.2.4.2.14 al Decreto 1082 de 2015</w:t>
      </w:r>
      <w:r w:rsidR="003E62EE" w:rsidRPr="2CAEA3B7">
        <w:rPr>
          <w:rFonts w:ascii="Verdana" w:eastAsia="Calibri" w:hAnsi="Verdana" w:cs="Times New Roman"/>
          <w:lang w:val="es-ES"/>
        </w:rPr>
        <w:t>, norma que</w:t>
      </w:r>
      <w:r w:rsidRPr="2CAEA3B7">
        <w:rPr>
          <w:rFonts w:ascii="Verdana" w:eastAsia="Calibri" w:hAnsi="Verdana" w:cs="Times New Roman"/>
          <w:lang w:val="es-ES"/>
        </w:rPr>
        <w:t xml:space="preserve"> establece las condiciones y requisitos en atención a los cuales se definen los emprendimientos y empresas de mujeres, a las que les aplican los criterios diferenciales. Para estos efectos, cada uno de los cuatro (4) numerales de la norma establecen unas condiciones alternativas que definen los emprendimientos y empresas de mujeres, a efectos de aplicar los criterios diferenciales, siendo relevante para la consulta el segundo y el tercero de dichos numerales, cuyo tenor literal indica:   </w:t>
      </w:r>
    </w:p>
    <w:p w14:paraId="5DDAE3BB" w14:textId="77777777" w:rsidR="00AF2271" w:rsidRPr="00AF2271" w:rsidRDefault="00AF2271" w:rsidP="008C4658">
      <w:pPr>
        <w:spacing w:after="0" w:line="256" w:lineRule="auto"/>
        <w:jc w:val="both"/>
        <w:rPr>
          <w:rFonts w:ascii="Verdana" w:eastAsia="Calibri" w:hAnsi="Verdana" w:cs="Times New Roman"/>
          <w:lang w:val="es-ES_tradnl"/>
        </w:rPr>
      </w:pPr>
    </w:p>
    <w:p w14:paraId="315F52E1" w14:textId="6A73EFB4" w:rsidR="00AF2271" w:rsidRPr="00AF2271" w:rsidRDefault="00AF2271" w:rsidP="003E62EE">
      <w:pPr>
        <w:spacing w:after="0" w:line="256" w:lineRule="auto"/>
        <w:ind w:firstLine="567"/>
        <w:jc w:val="both"/>
        <w:rPr>
          <w:rFonts w:ascii="Verdana" w:eastAsia="Calibri" w:hAnsi="Verdana" w:cs="Times New Roman"/>
          <w:lang w:val="es-ES_tradnl"/>
        </w:rPr>
      </w:pPr>
      <w:r w:rsidRPr="00AF2271">
        <w:rPr>
          <w:rFonts w:ascii="Verdana" w:eastAsia="Calibri" w:hAnsi="Verdana" w:cs="Times New Roman"/>
          <w:lang w:val="es-ES_tradnl"/>
        </w:rPr>
        <w:t xml:space="preserve">(…) </w:t>
      </w:r>
    </w:p>
    <w:p w14:paraId="30FB4254"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r w:rsidRPr="00AF2271">
        <w:rPr>
          <w:rFonts w:ascii="Verdana" w:eastAsia="Calibri" w:hAnsi="Verdana" w:cs="Times New Roman"/>
          <w:sz w:val="20"/>
          <w:szCs w:val="20"/>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322C5A05" w14:textId="77777777" w:rsidR="00AF2271" w:rsidRPr="00AF2271" w:rsidRDefault="00AF2271" w:rsidP="00C525F6">
      <w:pPr>
        <w:spacing w:after="0" w:line="256" w:lineRule="auto"/>
        <w:ind w:firstLine="567"/>
        <w:jc w:val="both"/>
        <w:rPr>
          <w:rFonts w:ascii="Verdana" w:eastAsia="Calibri" w:hAnsi="Verdana" w:cs="Times New Roman"/>
        </w:rPr>
      </w:pPr>
      <w:r w:rsidRPr="00AF2271">
        <w:rPr>
          <w:rFonts w:ascii="Verdana" w:eastAsia="Calibri" w:hAnsi="Verdana" w:cs="Times New Roman"/>
        </w:rPr>
        <w:t>(…)</w:t>
      </w:r>
    </w:p>
    <w:p w14:paraId="6A8652EC"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r w:rsidRPr="00AF2271">
        <w:rPr>
          <w:rFonts w:ascii="Verdana" w:eastAsia="Calibri" w:hAnsi="Verdana" w:cs="Times New Roman"/>
          <w:sz w:val="20"/>
          <w:szCs w:val="20"/>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3E281129"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p>
    <w:p w14:paraId="22271B2D"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r w:rsidRPr="00AF2271">
        <w:rPr>
          <w:rFonts w:ascii="Verdana" w:eastAsia="Calibri" w:hAnsi="Verdana" w:cs="Times New Roman"/>
          <w:sz w:val="20"/>
          <w:szCs w:val="20"/>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514A598D"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p>
    <w:p w14:paraId="2C5A45A6"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r w:rsidRPr="00AF2271">
        <w:rPr>
          <w:rFonts w:ascii="Verdana" w:eastAsia="Calibri" w:hAnsi="Verdana" w:cs="Times New Roman"/>
          <w:sz w:val="20"/>
          <w:szCs w:val="20"/>
        </w:rPr>
        <w:t xml:space="preserve">Esta circunstancia se acreditará mediante certificación expedida por el representante legal y el revisor fiscal, cuando exista de acuerdo con los </w:t>
      </w:r>
      <w:r w:rsidRPr="00AF2271">
        <w:rPr>
          <w:rFonts w:ascii="Verdana" w:eastAsia="Calibri" w:hAnsi="Verdana" w:cs="Times New Roman"/>
          <w:sz w:val="20"/>
          <w:szCs w:val="20"/>
        </w:rPr>
        <w:lastRenderedPageBreak/>
        <w:t>requerimientos de ley, o el contador, donde se señale de manera detallada todas las personas que conforman los cargos de nivel directivo del proponente, el número de mujeres y el tiempo de vinculación.</w:t>
      </w:r>
    </w:p>
    <w:p w14:paraId="1E2EB977"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p>
    <w:p w14:paraId="018DBAA3"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r w:rsidRPr="00AF2271">
        <w:rPr>
          <w:rFonts w:ascii="Verdana" w:eastAsia="Calibri" w:hAnsi="Verdana" w:cs="Times New Roman"/>
          <w:sz w:val="20"/>
          <w:szCs w:val="20"/>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353DBFBB"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p>
    <w:p w14:paraId="1CF12B79" w14:textId="77777777" w:rsidR="00AF2271" w:rsidRPr="00AF2271" w:rsidRDefault="00AF2271" w:rsidP="003E62EE">
      <w:pPr>
        <w:spacing w:after="0" w:line="240" w:lineRule="auto"/>
        <w:ind w:left="567" w:right="900"/>
        <w:jc w:val="both"/>
        <w:rPr>
          <w:rFonts w:ascii="Verdana" w:eastAsia="Calibri" w:hAnsi="Verdana" w:cs="Times New Roman"/>
          <w:sz w:val="20"/>
          <w:szCs w:val="20"/>
        </w:rPr>
      </w:pPr>
      <w:r w:rsidRPr="00AF2271">
        <w:rPr>
          <w:rFonts w:ascii="Verdana" w:eastAsia="Calibri" w:hAnsi="Verdana" w:cs="Times New Roman"/>
          <w:sz w:val="20"/>
          <w:szCs w:val="20"/>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6B1D8B52" w14:textId="6D9A251A" w:rsidR="00AF2271" w:rsidRPr="00AF2271" w:rsidRDefault="003E62EE" w:rsidP="003E62EE">
      <w:pPr>
        <w:spacing w:after="0" w:line="240" w:lineRule="auto"/>
        <w:ind w:right="900"/>
        <w:jc w:val="both"/>
        <w:rPr>
          <w:rFonts w:ascii="Verdana" w:eastAsia="Calibri" w:hAnsi="Verdana" w:cs="Times New Roman"/>
          <w:sz w:val="20"/>
          <w:szCs w:val="20"/>
        </w:rPr>
      </w:pPr>
      <w:r w:rsidRPr="003A2665">
        <w:rPr>
          <w:rFonts w:ascii="Verdana" w:eastAsia="Calibri" w:hAnsi="Verdana" w:cs="Times New Roman"/>
          <w:sz w:val="20"/>
          <w:szCs w:val="20"/>
        </w:rPr>
        <w:t>(</w:t>
      </w:r>
      <w:r w:rsidR="00AF2271" w:rsidRPr="00AF2271">
        <w:rPr>
          <w:rFonts w:ascii="Verdana" w:eastAsia="Calibri" w:hAnsi="Verdana" w:cs="Times New Roman"/>
          <w:sz w:val="20"/>
          <w:szCs w:val="20"/>
        </w:rPr>
        <w:t>…</w:t>
      </w:r>
      <w:r w:rsidRPr="003A2665">
        <w:rPr>
          <w:rFonts w:ascii="Verdana" w:eastAsia="Calibri" w:hAnsi="Verdana" w:cs="Times New Roman"/>
          <w:sz w:val="20"/>
          <w:szCs w:val="20"/>
        </w:rPr>
        <w:t>)</w:t>
      </w:r>
    </w:p>
    <w:p w14:paraId="6776C07C" w14:textId="77777777" w:rsidR="00AF2271" w:rsidRPr="00AF2271" w:rsidRDefault="00AF2271" w:rsidP="003E62EE">
      <w:pPr>
        <w:spacing w:after="0" w:line="240" w:lineRule="auto"/>
        <w:ind w:left="567" w:right="900"/>
        <w:jc w:val="both"/>
        <w:rPr>
          <w:rFonts w:ascii="Verdana" w:eastAsia="Calibri" w:hAnsi="Verdana" w:cs="Times New Roman"/>
          <w:sz w:val="20"/>
          <w:szCs w:val="20"/>
          <w:lang w:val="es-ES_tradnl"/>
        </w:rPr>
      </w:pPr>
    </w:p>
    <w:p w14:paraId="51C348A9" w14:textId="77777777" w:rsidR="00AF2271" w:rsidRPr="00AF2271" w:rsidRDefault="00AF2271" w:rsidP="003E62EE">
      <w:pPr>
        <w:spacing w:after="0" w:line="240" w:lineRule="auto"/>
        <w:ind w:left="567" w:right="900"/>
        <w:jc w:val="both"/>
        <w:rPr>
          <w:rFonts w:ascii="Verdana" w:eastAsia="Calibri" w:hAnsi="Verdana" w:cs="Times New Roman"/>
          <w:bCs/>
          <w:sz w:val="20"/>
          <w:szCs w:val="20"/>
          <w:lang w:val="es-ES" w:bidi="es-ES"/>
        </w:rPr>
      </w:pPr>
      <w:r w:rsidRPr="00AF2271">
        <w:rPr>
          <w:rFonts w:ascii="Verdana" w:eastAsia="Calibri" w:hAnsi="Verdana" w:cs="Times New Roman"/>
          <w:bCs/>
          <w:sz w:val="20"/>
          <w:szCs w:val="20"/>
        </w:rPr>
        <w:t xml:space="preserve">Conforme a lo anterior, el artículo </w:t>
      </w:r>
      <w:r w:rsidRPr="00AF2271">
        <w:rPr>
          <w:rFonts w:ascii="Verdana" w:eastAsia="Calibri" w:hAnsi="Verdana" w:cs="Times New Roman"/>
          <w:bCs/>
          <w:sz w:val="20"/>
          <w:szCs w:val="20"/>
          <w:lang w:val="es-ES" w:bidi="es-ES"/>
        </w:rPr>
        <w:t>2.2.1.2.4.2.14 del Decreto 1082 de 2015 define cuatro alternativas distintas que definen los requisitos de las empresas y emprendimientos de mujeres, a las que les aplican los criterios diferenciales.</w:t>
      </w:r>
    </w:p>
    <w:p w14:paraId="4BC75FA6" w14:textId="77777777" w:rsidR="00AF2271" w:rsidRPr="003A2665" w:rsidRDefault="00AF2271" w:rsidP="003E62EE">
      <w:pPr>
        <w:spacing w:after="0" w:line="240" w:lineRule="auto"/>
        <w:ind w:left="567" w:right="900"/>
        <w:jc w:val="both"/>
        <w:rPr>
          <w:rFonts w:ascii="Verdana" w:eastAsia="Calibri" w:hAnsi="Verdana" w:cs="Times New Roman"/>
          <w:sz w:val="20"/>
          <w:szCs w:val="20"/>
          <w:lang w:val="es-ES"/>
        </w:rPr>
      </w:pPr>
      <w:r w:rsidRPr="00AF2271">
        <w:rPr>
          <w:rFonts w:ascii="Verdana" w:eastAsia="Calibri" w:hAnsi="Verdana" w:cs="Times New Roman"/>
          <w:sz w:val="20"/>
          <w:szCs w:val="20"/>
          <w:lang w:val="es-ES"/>
        </w:rPr>
        <w:t>Los documentos a los que se refieren los distintos numerales del artículo 2.2.1.2.4.2.14 constituyen una tarifa legal probatoria para demostrar que los proponentes son emprendimientos o empresas de mujeres, y que, por lo tanto, tienen derecho a la aplicación de los criterios diferenciales reglamentados por el artículo 2.2.1.2.4.2.15 del Decreto 1082 de 2015, en desarrollo del artículo 32 de la Ley 2069 de 2020. Esto significa que a quienes pretendan acceder a tales beneficios en consideración a la definición establecida en el numeral 2 del artículo 2.2.1.2.4.2.14, les corresponde presentar la mencionada certificación con sus respectivos soportes.</w:t>
      </w:r>
    </w:p>
    <w:p w14:paraId="27112F2D" w14:textId="44A7ACD7" w:rsidR="003E62EE" w:rsidRPr="003A2665" w:rsidRDefault="003E62EE" w:rsidP="003E62EE">
      <w:pPr>
        <w:spacing w:after="0" w:line="240" w:lineRule="auto"/>
        <w:ind w:left="567" w:right="900"/>
        <w:jc w:val="both"/>
        <w:rPr>
          <w:rFonts w:ascii="Verdana" w:eastAsia="Calibri" w:hAnsi="Verdana" w:cs="Times New Roman"/>
          <w:sz w:val="20"/>
          <w:szCs w:val="20"/>
          <w:lang w:val="es-ES"/>
        </w:rPr>
      </w:pPr>
      <w:r w:rsidRPr="003A2665">
        <w:rPr>
          <w:rFonts w:ascii="Verdana" w:eastAsia="Calibri" w:hAnsi="Verdana" w:cs="Times New Roman"/>
          <w:sz w:val="20"/>
          <w:szCs w:val="20"/>
          <w:lang w:val="es-ES"/>
        </w:rPr>
        <w:t>(…)</w:t>
      </w:r>
    </w:p>
    <w:p w14:paraId="7C0AC35E" w14:textId="77777777" w:rsidR="003E62EE" w:rsidRPr="003A2665" w:rsidRDefault="003E62EE" w:rsidP="003E62EE">
      <w:pPr>
        <w:spacing w:after="0" w:line="256" w:lineRule="auto"/>
        <w:ind w:firstLine="567"/>
        <w:jc w:val="both"/>
        <w:rPr>
          <w:rFonts w:ascii="Verdana" w:eastAsia="Calibri" w:hAnsi="Verdana" w:cs="Times New Roman"/>
          <w:lang w:val="es-ES"/>
        </w:rPr>
      </w:pPr>
    </w:p>
    <w:p w14:paraId="61CC418C" w14:textId="7D08E8B3" w:rsidR="00AF2271" w:rsidRPr="00AF2271" w:rsidRDefault="003E62EE" w:rsidP="003E62EE">
      <w:pPr>
        <w:spacing w:after="0" w:line="256" w:lineRule="auto"/>
        <w:ind w:firstLine="567"/>
        <w:jc w:val="both"/>
        <w:rPr>
          <w:rFonts w:ascii="Verdana" w:eastAsia="Calibri" w:hAnsi="Verdana" w:cs="Times New Roman"/>
        </w:rPr>
      </w:pPr>
      <w:r w:rsidRPr="003A2665">
        <w:rPr>
          <w:rFonts w:ascii="Verdana" w:eastAsia="Calibri" w:hAnsi="Verdana" w:cs="Times New Roman"/>
          <w:lang w:val="es-ES"/>
        </w:rPr>
        <w:t xml:space="preserve">De </w:t>
      </w:r>
      <w:r w:rsidR="00AF2271" w:rsidRPr="00AF2271">
        <w:rPr>
          <w:rFonts w:ascii="Verdana" w:eastAsia="Calibri" w:hAnsi="Verdana" w:cs="Times New Roman"/>
        </w:rPr>
        <w:t xml:space="preserve">lo expuesto, el artículo citado, para efectos de la aplicación de los criterios diferenciales en el sistema de compras públicas en los términos del artículo 32 de la Ley 2069 de 2020, se considerarán emprendimientos o empresas de mujeres las personas jurídicas o naturales que cumplan alguno de los supuestos de hecho previstos en la norma citada y acrediten estos supuestos de hecho con los documentos previstos para ello en la misma. </w:t>
      </w:r>
    </w:p>
    <w:p w14:paraId="475513F6" w14:textId="77777777" w:rsidR="00A643E1" w:rsidRPr="003A2665" w:rsidRDefault="00A643E1" w:rsidP="00CA2038">
      <w:pPr>
        <w:spacing w:after="0" w:line="256" w:lineRule="auto"/>
        <w:rPr>
          <w:rFonts w:ascii="Verdana" w:eastAsia="Calibri" w:hAnsi="Verdana" w:cs="Times New Roman"/>
          <w:lang w:val="es-ES"/>
        </w:rPr>
      </w:pPr>
    </w:p>
    <w:p w14:paraId="0ABFF407" w14:textId="77777777" w:rsidR="00CA2038" w:rsidRPr="003A2665" w:rsidRDefault="00CA2038" w:rsidP="00CA2038">
      <w:pPr>
        <w:numPr>
          <w:ilvl w:val="0"/>
          <w:numId w:val="16"/>
        </w:numPr>
        <w:spacing w:after="0" w:line="256" w:lineRule="auto"/>
        <w:ind w:left="0" w:firstLine="0"/>
        <w:rPr>
          <w:rFonts w:ascii="Verdana" w:eastAsia="Calibri" w:hAnsi="Verdana" w:cs="Times New Roman"/>
          <w:b/>
          <w:bCs/>
          <w:lang w:val="es-ES"/>
        </w:rPr>
      </w:pPr>
      <w:r w:rsidRPr="003A2665">
        <w:rPr>
          <w:rFonts w:ascii="Verdana" w:eastAsia="Calibri" w:hAnsi="Verdana" w:cs="Times New Roman"/>
          <w:b/>
          <w:bCs/>
          <w:lang w:val="es-ES"/>
        </w:rPr>
        <w:t>Referencias normativas, jurisprudenciales y otras fuentes:</w:t>
      </w:r>
    </w:p>
    <w:p w14:paraId="01017A0D" w14:textId="77777777" w:rsidR="00CA2038" w:rsidRPr="003A2665" w:rsidRDefault="00CA2038" w:rsidP="00CA2038">
      <w:pPr>
        <w:spacing w:after="0" w:line="256" w:lineRule="auto"/>
        <w:rPr>
          <w:rFonts w:ascii="Verdana" w:eastAsia="Calibri" w:hAnsi="Verdana" w:cs="Times New Roman"/>
          <w:bCs/>
          <w:lang w:val="es-ES_tradnl"/>
        </w:rPr>
      </w:pPr>
    </w:p>
    <w:p w14:paraId="30B3FF78" w14:textId="77777777" w:rsidR="00CA2038" w:rsidRPr="003A2665" w:rsidRDefault="00CA2038" w:rsidP="00CA2038">
      <w:pPr>
        <w:numPr>
          <w:ilvl w:val="0"/>
          <w:numId w:val="17"/>
        </w:numPr>
        <w:spacing w:after="0" w:line="256" w:lineRule="auto"/>
        <w:rPr>
          <w:rFonts w:ascii="Verdana" w:eastAsia="Calibri" w:hAnsi="Verdana" w:cs="Times New Roman"/>
          <w:lang w:val="es-ES_tradnl"/>
        </w:rPr>
      </w:pPr>
      <w:r w:rsidRPr="003A2665">
        <w:rPr>
          <w:rFonts w:ascii="Verdana" w:eastAsia="Calibri" w:hAnsi="Verdana" w:cs="Times New Roman"/>
          <w:lang w:val="es-ES_tradnl"/>
        </w:rPr>
        <w:t xml:space="preserve">Ley 80 de 1993, articulo 60. Disponible en: </w:t>
      </w:r>
    </w:p>
    <w:p w14:paraId="045C61A9" w14:textId="77777777" w:rsidR="00CA2038" w:rsidRPr="003A2665" w:rsidRDefault="00CA2038" w:rsidP="00CA2038">
      <w:pPr>
        <w:spacing w:after="0" w:line="256" w:lineRule="auto"/>
        <w:rPr>
          <w:rFonts w:ascii="Verdana" w:eastAsia="Calibri" w:hAnsi="Verdana" w:cs="Times New Roman"/>
          <w:lang w:val="es-ES_tradnl"/>
        </w:rPr>
      </w:pPr>
      <w:hyperlink r:id="rId12" w:history="1">
        <w:r w:rsidRPr="003A2665">
          <w:rPr>
            <w:rFonts w:ascii="Verdana" w:eastAsia="Calibri" w:hAnsi="Verdana" w:cs="Times New Roman"/>
            <w:color w:val="0000FF"/>
            <w:u w:val="single"/>
            <w:lang w:val="es-ES_tradnl"/>
          </w:rPr>
          <w:t>https://relatoria.colombiacompra.gov.co/normativa/ley-80-de-1993/</w:t>
        </w:r>
      </w:hyperlink>
    </w:p>
    <w:p w14:paraId="671B3ED0" w14:textId="77777777" w:rsidR="00CA2038" w:rsidRPr="003A2665" w:rsidRDefault="00CA2038" w:rsidP="00CA2038">
      <w:pPr>
        <w:spacing w:after="0" w:line="256" w:lineRule="auto"/>
        <w:rPr>
          <w:rFonts w:ascii="Verdana" w:eastAsia="Calibri" w:hAnsi="Verdana" w:cs="Times New Roman"/>
          <w:lang w:val="es-ES_tradnl"/>
        </w:rPr>
      </w:pPr>
    </w:p>
    <w:p w14:paraId="1B458C6A" w14:textId="7C2CEB64" w:rsidR="00CA2038" w:rsidRPr="003A2665" w:rsidRDefault="00CA2038" w:rsidP="00CA2038">
      <w:pPr>
        <w:numPr>
          <w:ilvl w:val="0"/>
          <w:numId w:val="17"/>
        </w:numPr>
        <w:spacing w:after="0" w:line="256" w:lineRule="auto"/>
        <w:rPr>
          <w:rFonts w:ascii="Verdana" w:eastAsia="Calibri" w:hAnsi="Verdana" w:cs="Times New Roman"/>
          <w:lang w:val="es-ES_tradnl"/>
        </w:rPr>
      </w:pPr>
      <w:r w:rsidRPr="003A2665">
        <w:rPr>
          <w:rFonts w:ascii="Verdana" w:eastAsia="Calibri" w:hAnsi="Verdana" w:cs="Times New Roman"/>
          <w:lang w:val="es-ES_tradnl"/>
        </w:rPr>
        <w:t xml:space="preserve">Ley 1150 de 2007, </w:t>
      </w:r>
      <w:r w:rsidR="001176E8" w:rsidRPr="003A2665">
        <w:rPr>
          <w:rFonts w:ascii="Verdana" w:eastAsia="Calibri" w:hAnsi="Verdana" w:cs="Times New Roman"/>
          <w:lang w:val="es-ES_tradnl"/>
        </w:rPr>
        <w:t>a</w:t>
      </w:r>
      <w:r w:rsidRPr="003A2665">
        <w:rPr>
          <w:rFonts w:ascii="Verdana" w:eastAsia="Calibri" w:hAnsi="Verdana" w:cs="Times New Roman"/>
          <w:lang w:val="es-ES_tradnl"/>
        </w:rPr>
        <w:t>rtículo 11</w:t>
      </w:r>
      <w:r w:rsidR="001176E8" w:rsidRPr="003A2665">
        <w:rPr>
          <w:rFonts w:ascii="Verdana" w:eastAsia="Calibri" w:hAnsi="Verdana" w:cs="Times New Roman"/>
          <w:lang w:val="es-ES_tradnl"/>
        </w:rPr>
        <w:t>, artículo 12</w:t>
      </w:r>
      <w:r w:rsidRPr="003A2665">
        <w:rPr>
          <w:rFonts w:ascii="Verdana" w:eastAsia="Calibri" w:hAnsi="Verdana" w:cs="Times New Roman"/>
          <w:lang w:val="es-ES_tradnl"/>
        </w:rPr>
        <w:t xml:space="preserve">. Disponible en: </w:t>
      </w:r>
      <w:hyperlink r:id="rId13" w:history="1">
        <w:r w:rsidRPr="003A2665">
          <w:rPr>
            <w:rFonts w:ascii="Verdana" w:eastAsia="Calibri" w:hAnsi="Verdana" w:cs="Times New Roman"/>
            <w:color w:val="0000FF"/>
            <w:u w:val="single"/>
            <w:lang w:val="es-ES_tradnl"/>
          </w:rPr>
          <w:t>https://relatoria.colombiacompra.gov.co/normativa/ley-1150-de-2007/</w:t>
        </w:r>
      </w:hyperlink>
    </w:p>
    <w:p w14:paraId="56288E61" w14:textId="77777777" w:rsidR="00CA2038" w:rsidRPr="003A2665" w:rsidRDefault="00CA2038" w:rsidP="00CA2038">
      <w:pPr>
        <w:spacing w:after="0" w:line="256" w:lineRule="auto"/>
        <w:ind w:left="720"/>
        <w:rPr>
          <w:rFonts w:ascii="Verdana" w:eastAsia="Calibri" w:hAnsi="Verdana" w:cs="Times New Roman"/>
          <w:lang w:val="es-ES_tradnl"/>
        </w:rPr>
      </w:pPr>
    </w:p>
    <w:p w14:paraId="6CEB1134" w14:textId="77777777" w:rsidR="00CA2038" w:rsidRPr="003A2665" w:rsidRDefault="00CA2038" w:rsidP="00CA2038">
      <w:pPr>
        <w:numPr>
          <w:ilvl w:val="0"/>
          <w:numId w:val="17"/>
        </w:numPr>
        <w:spacing w:after="0" w:line="256" w:lineRule="auto"/>
        <w:rPr>
          <w:rFonts w:ascii="Verdana" w:eastAsia="Calibri" w:hAnsi="Verdana" w:cs="Times New Roman"/>
          <w:lang w:val="es-ES_tradnl"/>
        </w:rPr>
      </w:pPr>
      <w:r w:rsidRPr="003A2665">
        <w:rPr>
          <w:rFonts w:ascii="Verdana" w:eastAsia="Calibri" w:hAnsi="Verdana" w:cs="Times New Roman"/>
          <w:lang w:val="es-ES_tradnl"/>
        </w:rPr>
        <w:t xml:space="preserve">Ley 1474 de 2011, artículo 90. Disponible en: </w:t>
      </w:r>
      <w:hyperlink r:id="rId14" w:history="1">
        <w:r w:rsidRPr="003A2665">
          <w:rPr>
            <w:rFonts w:ascii="Verdana" w:eastAsia="Calibri" w:hAnsi="Verdana" w:cs="Times New Roman"/>
            <w:color w:val="0000FF"/>
            <w:u w:val="single"/>
            <w:lang w:val="es-ES_tradnl"/>
          </w:rPr>
          <w:t>https://relatoria.colombiacompra.gov.co/normativa/ley-1474-de-2011/</w:t>
        </w:r>
      </w:hyperlink>
    </w:p>
    <w:p w14:paraId="10FFDC4C" w14:textId="77777777" w:rsidR="00CA2038" w:rsidRPr="003A2665" w:rsidRDefault="00CA2038" w:rsidP="00CA2038">
      <w:pPr>
        <w:spacing w:after="0" w:line="256" w:lineRule="auto"/>
        <w:rPr>
          <w:rFonts w:ascii="Verdana" w:eastAsia="Calibri" w:hAnsi="Verdana" w:cs="Times New Roman"/>
          <w:lang w:val="es-ES_tradnl"/>
        </w:rPr>
      </w:pPr>
    </w:p>
    <w:p w14:paraId="54EBC84A" w14:textId="5B438A23" w:rsidR="00794D67" w:rsidRPr="003A2665" w:rsidRDefault="009B6020" w:rsidP="00CA2038">
      <w:pPr>
        <w:numPr>
          <w:ilvl w:val="0"/>
          <w:numId w:val="17"/>
        </w:numPr>
        <w:spacing w:after="0" w:line="256" w:lineRule="auto"/>
        <w:rPr>
          <w:rFonts w:ascii="Verdana" w:eastAsia="Calibri" w:hAnsi="Verdana" w:cs="Times New Roman"/>
          <w:lang w:val="es-ES_tradnl"/>
        </w:rPr>
      </w:pPr>
      <w:r w:rsidRPr="003A2665">
        <w:rPr>
          <w:rFonts w:ascii="Verdana" w:eastAsia="Calibri" w:hAnsi="Verdana" w:cs="Times New Roman"/>
          <w:lang w:val="es-ES_tradnl"/>
        </w:rPr>
        <w:t xml:space="preserve">Ley 2069 de 2020, </w:t>
      </w:r>
      <w:r w:rsidR="001176E8" w:rsidRPr="003A2665">
        <w:rPr>
          <w:rFonts w:ascii="Verdana" w:eastAsia="Calibri" w:hAnsi="Verdana" w:cs="Times New Roman"/>
          <w:lang w:val="es-ES_tradnl"/>
        </w:rPr>
        <w:t xml:space="preserve">artículo 1, artículo </w:t>
      </w:r>
      <w:r w:rsidR="00D8194F" w:rsidRPr="003A2665">
        <w:rPr>
          <w:rFonts w:ascii="Verdana" w:eastAsia="Calibri" w:hAnsi="Verdana" w:cs="Times New Roman"/>
          <w:lang w:val="es-ES_tradnl"/>
        </w:rPr>
        <w:t>32</w:t>
      </w:r>
      <w:r w:rsidR="001176E8" w:rsidRPr="003A2665">
        <w:rPr>
          <w:rFonts w:ascii="Verdana" w:eastAsia="Calibri" w:hAnsi="Verdana" w:cs="Times New Roman"/>
          <w:lang w:val="es-ES_tradnl"/>
        </w:rPr>
        <w:t xml:space="preserve">, </w:t>
      </w:r>
      <w:r w:rsidR="00D8194F" w:rsidRPr="003A2665">
        <w:rPr>
          <w:rFonts w:ascii="Verdana" w:eastAsia="Calibri" w:hAnsi="Verdana" w:cs="Times New Roman"/>
          <w:lang w:val="es-ES_tradnl"/>
        </w:rPr>
        <w:t>artículo 34</w:t>
      </w:r>
      <w:r w:rsidR="00915D6E" w:rsidRPr="003A2665">
        <w:rPr>
          <w:rFonts w:ascii="Verdana" w:eastAsia="Calibri" w:hAnsi="Verdana" w:cs="Times New Roman"/>
          <w:lang w:val="es-ES_tradnl"/>
        </w:rPr>
        <w:t>. Disponible en:</w:t>
      </w:r>
      <w:r w:rsidR="00B96318" w:rsidRPr="003A2665">
        <w:rPr>
          <w:rFonts w:ascii="Verdana" w:eastAsia="Calibri" w:hAnsi="Verdana" w:cs="Times New Roman"/>
          <w:lang w:val="es-ES_tradnl"/>
        </w:rPr>
        <w:t xml:space="preserve"> </w:t>
      </w:r>
      <w:hyperlink r:id="rId15" w:history="1">
        <w:r w:rsidR="0000343C" w:rsidRPr="003A2665">
          <w:rPr>
            <w:rStyle w:val="Hipervnculo"/>
            <w:rFonts w:ascii="Verdana" w:eastAsia="Calibri" w:hAnsi="Verdana" w:cs="Times New Roman"/>
            <w:lang w:val="es-ES_tradnl"/>
          </w:rPr>
          <w:t>https://relatoria.colombiacompra.gov.co/normativa/ley-2069-de-2020/</w:t>
        </w:r>
      </w:hyperlink>
    </w:p>
    <w:p w14:paraId="49175860" w14:textId="77777777" w:rsidR="0000343C" w:rsidRPr="003A2665" w:rsidRDefault="0000343C" w:rsidP="0000343C">
      <w:pPr>
        <w:pStyle w:val="Prrafodelista"/>
        <w:rPr>
          <w:rFonts w:ascii="Verdana" w:eastAsia="Calibri" w:hAnsi="Verdana" w:cs="Times New Roman"/>
          <w:lang w:val="es-ES_tradnl"/>
        </w:rPr>
      </w:pPr>
    </w:p>
    <w:p w14:paraId="42B3125F" w14:textId="4C0F3EEA" w:rsidR="00CA2038" w:rsidRPr="003A2665" w:rsidRDefault="00CA2038" w:rsidP="00CA2038">
      <w:pPr>
        <w:numPr>
          <w:ilvl w:val="0"/>
          <w:numId w:val="17"/>
        </w:numPr>
        <w:spacing w:after="0" w:line="256" w:lineRule="auto"/>
        <w:rPr>
          <w:rFonts w:ascii="Verdana" w:eastAsia="Calibri" w:hAnsi="Verdana" w:cs="Times New Roman"/>
          <w:lang w:val="es-ES_tradnl"/>
        </w:rPr>
      </w:pPr>
      <w:r w:rsidRPr="003A2665">
        <w:rPr>
          <w:rFonts w:ascii="Verdana" w:eastAsia="Calibri" w:hAnsi="Verdana" w:cs="Times New Roman"/>
          <w:lang w:val="es-ES"/>
        </w:rPr>
        <w:t xml:space="preserve">Decreto 1082 de 2015, artículo </w:t>
      </w:r>
      <w:r w:rsidR="001176E8" w:rsidRPr="00B543F6">
        <w:rPr>
          <w:rFonts w:ascii="Verdana" w:eastAsia="Calibri" w:hAnsi="Verdana" w:cs="Times New Roman"/>
        </w:rPr>
        <w:t>2.2.1.2.4.2.2</w:t>
      </w:r>
      <w:r w:rsidR="001176E8" w:rsidRPr="003A2665">
        <w:rPr>
          <w:rFonts w:ascii="Verdana" w:eastAsia="Calibri" w:hAnsi="Verdana" w:cs="Times New Roman"/>
        </w:rPr>
        <w:t xml:space="preserve">, </w:t>
      </w:r>
      <w:r w:rsidR="00600A67" w:rsidRPr="003A2665">
        <w:rPr>
          <w:rFonts w:ascii="Verdana" w:eastAsia="Calibri" w:hAnsi="Verdana" w:cs="Times New Roman"/>
        </w:rPr>
        <w:t>artíc</w:t>
      </w:r>
      <w:r w:rsidR="001A75B7" w:rsidRPr="003A2665">
        <w:rPr>
          <w:rFonts w:ascii="Verdana" w:eastAsia="Calibri" w:hAnsi="Verdana" w:cs="Times New Roman"/>
        </w:rPr>
        <w:t xml:space="preserve">ulo </w:t>
      </w:r>
      <w:r w:rsidR="001A75B7" w:rsidRPr="00B543F6">
        <w:rPr>
          <w:rFonts w:ascii="Verdana" w:eastAsia="Calibri" w:hAnsi="Verdana" w:cs="Times New Roman"/>
        </w:rPr>
        <w:t xml:space="preserve">2.2.1.2.4.2.3. </w:t>
      </w:r>
      <w:r w:rsidR="001A75B7" w:rsidRPr="003A2665">
        <w:rPr>
          <w:rFonts w:ascii="Verdana" w:eastAsia="Calibri" w:hAnsi="Verdana" w:cs="Times New Roman"/>
        </w:rPr>
        <w:t xml:space="preserve">artículo </w:t>
      </w:r>
      <w:r w:rsidR="001A75B7" w:rsidRPr="00B543F6">
        <w:rPr>
          <w:rFonts w:ascii="Verdana" w:eastAsia="Calibri" w:hAnsi="Verdana" w:cs="Times New Roman"/>
        </w:rPr>
        <w:t>2.2.1.2.4.2.4</w:t>
      </w:r>
      <w:r w:rsidR="001A75B7" w:rsidRPr="003A2665">
        <w:rPr>
          <w:rFonts w:ascii="Verdana" w:eastAsia="Calibri" w:hAnsi="Verdana" w:cs="Times New Roman"/>
        </w:rPr>
        <w:t xml:space="preserve">. </w:t>
      </w:r>
      <w:r w:rsidRPr="003A2665">
        <w:rPr>
          <w:rFonts w:ascii="Verdana" w:eastAsia="Calibri" w:hAnsi="Verdana" w:cs="Times New Roman"/>
          <w:lang w:val="es-ES"/>
        </w:rPr>
        <w:t xml:space="preserve">Disponible en: </w:t>
      </w:r>
      <w:hyperlink r:id="rId16" w:history="1">
        <w:r w:rsidRPr="003A2665">
          <w:rPr>
            <w:rFonts w:ascii="Verdana" w:eastAsia="Calibri" w:hAnsi="Verdana" w:cs="Times New Roman"/>
            <w:color w:val="0000FF"/>
            <w:u w:val="single"/>
            <w:lang w:val="es-ES"/>
          </w:rPr>
          <w:t>https://relatoria.colombiacompra.gov.co/normativa/decreto-1082-de-2015/</w:t>
        </w:r>
      </w:hyperlink>
    </w:p>
    <w:p w14:paraId="6AD49A47" w14:textId="77777777" w:rsidR="00CA2038" w:rsidRPr="003A2665" w:rsidRDefault="00CA2038" w:rsidP="00CA2038">
      <w:pPr>
        <w:spacing w:line="256" w:lineRule="auto"/>
        <w:ind w:left="720"/>
        <w:contextualSpacing/>
        <w:rPr>
          <w:rFonts w:ascii="Verdana" w:eastAsia="Calibri" w:hAnsi="Verdana" w:cs="Times New Roman"/>
          <w:lang w:val="es-ES_tradnl"/>
        </w:rPr>
      </w:pPr>
    </w:p>
    <w:p w14:paraId="792F98D7" w14:textId="77777777" w:rsidR="00CA2038" w:rsidRPr="003A2665" w:rsidRDefault="00CA2038" w:rsidP="00CA2038">
      <w:pPr>
        <w:numPr>
          <w:ilvl w:val="0"/>
          <w:numId w:val="17"/>
        </w:numPr>
        <w:spacing w:after="0" w:line="256" w:lineRule="auto"/>
        <w:contextualSpacing/>
        <w:rPr>
          <w:rFonts w:ascii="Verdana" w:eastAsia="Calibri" w:hAnsi="Verdana" w:cs="Times New Roman"/>
        </w:rPr>
      </w:pPr>
      <w:r w:rsidRPr="003A2665">
        <w:rPr>
          <w:rFonts w:ascii="Verdana" w:eastAsia="Calibri" w:hAnsi="Verdana" w:cs="Times New Roman"/>
        </w:rPr>
        <w:t>Decreto 019 de 2012</w:t>
      </w:r>
      <w:r w:rsidRPr="003A2665">
        <w:rPr>
          <w:rFonts w:ascii="Verdana" w:eastAsia="Calibri" w:hAnsi="Verdana" w:cs="Times New Roman"/>
          <w:lang w:val="es-ES"/>
        </w:rPr>
        <w:t>, artículo 217. Disponible en:</w:t>
      </w:r>
    </w:p>
    <w:p w14:paraId="32076478" w14:textId="77777777" w:rsidR="00CA2038" w:rsidRPr="003A2665" w:rsidRDefault="00CA2038" w:rsidP="00CA2038">
      <w:pPr>
        <w:spacing w:after="0" w:line="256" w:lineRule="auto"/>
        <w:ind w:left="720"/>
        <w:rPr>
          <w:rFonts w:ascii="Verdana" w:eastAsia="Calibri" w:hAnsi="Verdana" w:cs="Times New Roman"/>
          <w:color w:val="0000FF"/>
          <w:u w:val="single"/>
        </w:rPr>
      </w:pPr>
      <w:hyperlink r:id="rId17" w:history="1">
        <w:r w:rsidRPr="003A2665">
          <w:rPr>
            <w:rFonts w:ascii="Verdana" w:eastAsia="Calibri" w:hAnsi="Verdana" w:cs="Times New Roman"/>
            <w:color w:val="0000FF"/>
            <w:u w:val="single"/>
          </w:rPr>
          <w:t>https://relatoria.colombiacompra.gov.co/normativa/decreto-019-de-2012/</w:t>
        </w:r>
      </w:hyperlink>
    </w:p>
    <w:p w14:paraId="5ABD5F78" w14:textId="77777777" w:rsidR="001A75B7" w:rsidRPr="003A2665" w:rsidRDefault="001A75B7" w:rsidP="00CA2038">
      <w:pPr>
        <w:spacing w:after="0" w:line="256" w:lineRule="auto"/>
        <w:ind w:left="720"/>
        <w:rPr>
          <w:rFonts w:ascii="Verdana" w:eastAsia="Calibri" w:hAnsi="Verdana" w:cs="Times New Roman"/>
          <w:lang w:val="es-ES_tradnl"/>
        </w:rPr>
      </w:pPr>
    </w:p>
    <w:p w14:paraId="60A62CE1" w14:textId="47A89E59" w:rsidR="00CA2038" w:rsidRPr="003A2665" w:rsidRDefault="001A75B7" w:rsidP="001A75B7">
      <w:pPr>
        <w:numPr>
          <w:ilvl w:val="0"/>
          <w:numId w:val="17"/>
        </w:numPr>
        <w:spacing w:after="0" w:line="256" w:lineRule="auto"/>
        <w:contextualSpacing/>
        <w:rPr>
          <w:rFonts w:ascii="Verdana" w:eastAsia="Calibri" w:hAnsi="Verdana" w:cs="Times New Roman"/>
        </w:rPr>
      </w:pPr>
      <w:r w:rsidRPr="00B543F6">
        <w:rPr>
          <w:rFonts w:ascii="Verdana" w:eastAsia="Calibri" w:hAnsi="Verdana" w:cs="Times New Roman"/>
          <w:lang w:val="es-ES"/>
        </w:rPr>
        <w:t>Decreto 1860 de 2021</w:t>
      </w:r>
      <w:r w:rsidRPr="003A2665">
        <w:rPr>
          <w:rFonts w:ascii="Verdana" w:eastAsia="Calibri" w:hAnsi="Verdana" w:cs="Times New Roman"/>
          <w:lang w:val="es-ES"/>
        </w:rPr>
        <w:t xml:space="preserve">, artículo </w:t>
      </w:r>
      <w:r w:rsidR="00E137A0" w:rsidRPr="00AF2271">
        <w:rPr>
          <w:rFonts w:ascii="Verdana" w:eastAsia="Calibri" w:hAnsi="Verdana" w:cs="Times New Roman"/>
          <w:lang w:val="es-ES_tradnl"/>
        </w:rPr>
        <w:t>2.2.1.2.4.2.14</w:t>
      </w:r>
      <w:r w:rsidRPr="003A2665">
        <w:rPr>
          <w:rFonts w:ascii="Verdana" w:eastAsia="Calibri" w:hAnsi="Verdana" w:cs="Times New Roman"/>
          <w:lang w:val="es-ES"/>
        </w:rPr>
        <w:t>. Disponible en:</w:t>
      </w:r>
      <w:r w:rsidR="003A2665" w:rsidRPr="003A2665">
        <w:rPr>
          <w:rFonts w:ascii="Verdana" w:hAnsi="Verdana"/>
        </w:rPr>
        <w:t xml:space="preserve"> </w:t>
      </w:r>
      <w:hyperlink r:id="rId18" w:history="1">
        <w:r w:rsidR="003A2665" w:rsidRPr="003A2665">
          <w:rPr>
            <w:rStyle w:val="Hipervnculo"/>
            <w:rFonts w:ascii="Verdana" w:eastAsia="Calibri" w:hAnsi="Verdana" w:cs="Times New Roman"/>
            <w:lang w:val="es-ES"/>
          </w:rPr>
          <w:t>https://relatoria.colombiacompra.gov.co/normativa/decreto-1860-de-2021/</w:t>
        </w:r>
      </w:hyperlink>
    </w:p>
    <w:p w14:paraId="2680946A" w14:textId="77777777" w:rsidR="00CA2038" w:rsidRPr="003A2665" w:rsidRDefault="00CA2038" w:rsidP="00CA2038">
      <w:pPr>
        <w:spacing w:after="0" w:line="256" w:lineRule="auto"/>
        <w:rPr>
          <w:rFonts w:ascii="Verdana" w:eastAsia="Calibri" w:hAnsi="Verdana" w:cs="Times New Roman"/>
          <w:lang w:val="es-ES"/>
        </w:rPr>
      </w:pPr>
    </w:p>
    <w:p w14:paraId="2DCA6227" w14:textId="77777777" w:rsidR="00CA2038" w:rsidRPr="003A2665" w:rsidRDefault="00CA2038" w:rsidP="00CA2038">
      <w:pPr>
        <w:numPr>
          <w:ilvl w:val="0"/>
          <w:numId w:val="16"/>
        </w:numPr>
        <w:spacing w:after="0" w:line="256" w:lineRule="auto"/>
        <w:ind w:left="0" w:firstLine="0"/>
        <w:rPr>
          <w:rFonts w:ascii="Verdana" w:eastAsia="Calibri" w:hAnsi="Verdana" w:cs="Times New Roman"/>
          <w:b/>
          <w:bCs/>
          <w:lang w:val="es-ES"/>
        </w:rPr>
      </w:pPr>
      <w:r w:rsidRPr="003A2665">
        <w:rPr>
          <w:rFonts w:ascii="Verdana" w:eastAsia="Calibri" w:hAnsi="Verdana" w:cs="Times New Roman"/>
          <w:b/>
          <w:bCs/>
          <w:lang w:val="es-ES"/>
        </w:rPr>
        <w:t>Doctrina de la Agencia Nacional de Contratación Pública:</w:t>
      </w:r>
    </w:p>
    <w:p w14:paraId="48243C1F" w14:textId="77777777" w:rsidR="00CA2038" w:rsidRPr="003A2665" w:rsidRDefault="00CA2038" w:rsidP="00CA2038">
      <w:pPr>
        <w:spacing w:after="0" w:line="256" w:lineRule="auto"/>
        <w:rPr>
          <w:rFonts w:ascii="Verdana" w:eastAsia="Calibri" w:hAnsi="Verdana" w:cs="Times New Roman"/>
          <w:lang w:val="es-ES"/>
        </w:rPr>
      </w:pPr>
    </w:p>
    <w:p w14:paraId="1B381EBE" w14:textId="0D2DC35C" w:rsidR="00E137A0" w:rsidRPr="003A2665" w:rsidRDefault="00CA2038" w:rsidP="00CA2038">
      <w:pPr>
        <w:spacing w:after="0" w:line="256" w:lineRule="auto"/>
        <w:jc w:val="both"/>
        <w:rPr>
          <w:rFonts w:ascii="Verdana" w:eastAsia="Calibri" w:hAnsi="Verdana" w:cs="Times New Roman"/>
          <w:bCs/>
          <w:lang w:val="es-ES_tradnl"/>
        </w:rPr>
      </w:pPr>
      <w:r w:rsidRPr="003A2665">
        <w:rPr>
          <w:rFonts w:ascii="Verdana" w:eastAsia="Calibri" w:hAnsi="Verdana" w:cs="Times New Roman"/>
          <w:lang w:val="es-ES_tradnl"/>
        </w:rPr>
        <w:t xml:space="preserve">La Agencia Nacional de Contratación Pública – Colombia Compra Eficiente se pronunció </w:t>
      </w:r>
      <w:r w:rsidR="00304DAF" w:rsidRPr="003A2665">
        <w:rPr>
          <w:rFonts w:ascii="Verdana" w:eastAsia="Calibri" w:hAnsi="Verdana" w:cs="Times New Roman"/>
          <w:lang w:val="es-ES"/>
        </w:rPr>
        <w:t>previamente a la regulación de la promoción del desarrollo en la contratación estatal contenida en el artículo 34 de la Ley 2069 de 2020 en los conceptos C-043 del 9 de febrero de 2021, C-005 del 16 de febrero de 2021, C-081 del 23 de febrero de 2021, C-087 del 23 de febrero de 2021, C-025 del 25 de febrero de 2021, C-037 del 26 de febrero de 2021, C-035 del 2 de marzo de 2021, C-040 del 2 de marzo de 2021, C-044 del 3 de marzo de 2021, C-102 del 25 de marzo de 2021, C−189 del 26 de abril de 2021, C-206 del 3 de mayo de 2021, C-208 del 10 de mayo de 2021, C-211 del 11 de mayo de 2021, C-234 del 24 de mayo de 2021, C-271 del 9 de junio de 2021, C-306 del 28 de junio de 2021, C-426 del 18 de agosto de 2021, C-455 del 31 de agosto de 2021, entre otros</w:t>
      </w:r>
      <w:r w:rsidR="00805588" w:rsidRPr="003A2665">
        <w:rPr>
          <w:rFonts w:ascii="Verdana" w:eastAsia="Calibri" w:hAnsi="Verdana" w:cs="Times New Roman"/>
          <w:lang w:val="es-ES"/>
        </w:rPr>
        <w:t xml:space="preserve">;  a su turno, la Agencia Nacional de Contratación Pública – Colombia Compra Eficiente se ha pronunciado, en términos generales, sobre el contenido de la Ley de Emprendimiento en diferentes conceptos, refiriéndose a los criterios </w:t>
      </w:r>
      <w:r w:rsidR="00805588" w:rsidRPr="003A2665">
        <w:rPr>
          <w:rFonts w:ascii="Verdana" w:eastAsia="Calibri" w:hAnsi="Verdana" w:cs="Times New Roman"/>
          <w:lang w:val="es-ES"/>
        </w:rPr>
        <w:lastRenderedPageBreak/>
        <w:t xml:space="preserve">diferenciales para emprendimientos y empresas de mujeres y Mipymes y su reglamentación, en los conceptos </w:t>
      </w:r>
      <w:r w:rsidR="00805588" w:rsidRPr="003A2665">
        <w:rPr>
          <w:rFonts w:ascii="Verdana" w:eastAsia="Calibri" w:hAnsi="Verdana" w:cs="Times New Roman"/>
        </w:rPr>
        <w:t xml:space="preserve">C-029 de 21 de febrero de 2021, C-037 del 26 de febrero de 2021, C-141 del 8 de abril de 2021, C-114 del 13 de abril de 2021 y C-031 del 1 de marzo de 2022, 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C-696 de 26 de octubre de 2022 y </w:t>
      </w:r>
      <w:r w:rsidR="00E8067B" w:rsidRPr="003A2665">
        <w:rPr>
          <w:rFonts w:ascii="Verdana" w:eastAsia="Calibri" w:hAnsi="Verdana" w:cs="Times New Roman"/>
        </w:rPr>
        <w:t xml:space="preserve">C-094 del 19 de junio de 2024. </w:t>
      </w:r>
    </w:p>
    <w:p w14:paraId="33A003A0" w14:textId="77777777" w:rsidR="00CA2038" w:rsidRPr="003A2665" w:rsidRDefault="00CA2038" w:rsidP="00CA2038">
      <w:pPr>
        <w:spacing w:after="0" w:line="256" w:lineRule="auto"/>
        <w:jc w:val="both"/>
        <w:rPr>
          <w:rFonts w:ascii="Verdana" w:eastAsia="Calibri" w:hAnsi="Verdana" w:cs="Times New Roman"/>
          <w:bCs/>
          <w:lang w:val="es-ES_tradnl"/>
        </w:rPr>
      </w:pPr>
    </w:p>
    <w:p w14:paraId="1CB7DCA8" w14:textId="77777777" w:rsidR="00CA2038" w:rsidRPr="003A2665" w:rsidRDefault="00CA2038" w:rsidP="00CA2038">
      <w:pPr>
        <w:spacing w:after="0" w:line="256" w:lineRule="auto"/>
        <w:jc w:val="both"/>
        <w:rPr>
          <w:rFonts w:ascii="Verdana" w:eastAsia="Calibri" w:hAnsi="Verdana" w:cs="Times New Roman"/>
        </w:rPr>
      </w:pPr>
      <w:r w:rsidRPr="003A2665">
        <w:rPr>
          <w:rFonts w:ascii="Verdana" w:eastAsia="Calibri" w:hAnsi="Verdana" w:cs="Times New Roman"/>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w:t>
      </w:r>
    </w:p>
    <w:p w14:paraId="5498D01A" w14:textId="77777777" w:rsidR="00CA2038" w:rsidRPr="003A2665" w:rsidRDefault="00CA2038" w:rsidP="00CA2038">
      <w:pPr>
        <w:spacing w:after="0" w:line="256" w:lineRule="auto"/>
        <w:rPr>
          <w:rFonts w:ascii="Verdana" w:eastAsia="Calibri" w:hAnsi="Verdana" w:cs="Times New Roman"/>
        </w:rPr>
      </w:pPr>
    </w:p>
    <w:p w14:paraId="057462B2" w14:textId="77777777" w:rsidR="00CA2038" w:rsidRPr="003A2665" w:rsidRDefault="00CA2038" w:rsidP="00CA2038">
      <w:pPr>
        <w:spacing w:after="0" w:line="256" w:lineRule="auto"/>
        <w:rPr>
          <w:rFonts w:ascii="Verdana" w:eastAsia="Calibri" w:hAnsi="Verdana" w:cs="Times New Roman"/>
        </w:rPr>
      </w:pPr>
      <w:hyperlink r:id="rId19" w:history="1">
        <w:r w:rsidRPr="003A2665">
          <w:rPr>
            <w:rFonts w:ascii="Verdana" w:eastAsia="Calibri" w:hAnsi="Verdana" w:cs="Times New Roman"/>
            <w:color w:val="0000FF"/>
            <w:u w:val="single"/>
            <w:lang w:val="es-ES"/>
          </w:rPr>
          <w:t>https://relatoria.colombiacompra.gov.co/busqueda/conceptos</w:t>
        </w:r>
      </w:hyperlink>
      <w:r w:rsidRPr="003A2665">
        <w:rPr>
          <w:rFonts w:ascii="Verdana" w:eastAsia="Calibri" w:hAnsi="Verdana" w:cs="Times New Roman"/>
        </w:rPr>
        <w:t xml:space="preserve">. </w:t>
      </w:r>
    </w:p>
    <w:p w14:paraId="5CFAF3B2" w14:textId="77777777" w:rsidR="00CA2038" w:rsidRPr="003A2665" w:rsidRDefault="00CA2038" w:rsidP="00CA2038">
      <w:pPr>
        <w:spacing w:after="0" w:line="256" w:lineRule="auto"/>
        <w:rPr>
          <w:rFonts w:ascii="Verdana" w:eastAsia="Calibri" w:hAnsi="Verdana" w:cs="Times New Roman"/>
        </w:rPr>
      </w:pPr>
    </w:p>
    <w:p w14:paraId="2263D3E0" w14:textId="77777777" w:rsidR="00CA2038" w:rsidRPr="003A2665" w:rsidRDefault="00CA2038" w:rsidP="00CA2038">
      <w:pPr>
        <w:spacing w:after="0" w:line="256" w:lineRule="auto"/>
        <w:jc w:val="both"/>
        <w:rPr>
          <w:rFonts w:ascii="Verdana" w:eastAsia="Calibri" w:hAnsi="Verdana" w:cs="Times New Roman"/>
          <w:u w:val="single"/>
        </w:rPr>
      </w:pPr>
      <w:r w:rsidRPr="003A2665">
        <w:rPr>
          <w:rFonts w:ascii="Verdana" w:eastAsia="Calibri" w:hAnsi="Verdana" w:cs="Times New Roman"/>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20" w:tgtFrame="_blank" w:tooltip="Dirección URL original: https://www.colombiacompra.gov.co/sala-de-prensa/boletin-digital/boletin-de-relatoria-2024-iv. Haga clic o pulse si confía en este vínculo." w:history="1">
        <w:r w:rsidRPr="003A2665">
          <w:rPr>
            <w:rFonts w:ascii="Verdana" w:eastAsia="Calibri" w:hAnsi="Verdana" w:cs="Times New Roman"/>
            <w:color w:val="0000FF"/>
            <w:u w:val="single"/>
          </w:rPr>
          <w:t>BOLETÍN DE RELATORÍA 2024 – IV | Colombia Compra Eficiente | Agencia Nacional de Contratación Pública</w:t>
        </w:r>
      </w:hyperlink>
    </w:p>
    <w:p w14:paraId="6AC3F48A" w14:textId="77777777" w:rsidR="00CA2038" w:rsidRPr="003A2665" w:rsidRDefault="00CA2038" w:rsidP="00CA2038">
      <w:pPr>
        <w:spacing w:after="0" w:line="256" w:lineRule="auto"/>
        <w:jc w:val="both"/>
        <w:rPr>
          <w:rFonts w:ascii="Verdana" w:eastAsia="Calibri" w:hAnsi="Verdana" w:cs="Times New Roman"/>
          <w:lang w:val="es-ES"/>
        </w:rPr>
      </w:pPr>
    </w:p>
    <w:p w14:paraId="7A894CDD" w14:textId="77777777" w:rsidR="00CA2038" w:rsidRPr="003A2665" w:rsidRDefault="00CA2038" w:rsidP="00CA2038">
      <w:pPr>
        <w:spacing w:after="0" w:line="256" w:lineRule="auto"/>
        <w:rPr>
          <w:rFonts w:ascii="Verdana" w:eastAsia="Calibri" w:hAnsi="Verdana" w:cs="Times New Roman"/>
        </w:rPr>
      </w:pPr>
      <w:r w:rsidRPr="003A2665">
        <w:rPr>
          <w:rFonts w:ascii="Verdana" w:eastAsia="Calibri" w:hAnsi="Verdana" w:cs="Times New Roman"/>
        </w:rPr>
        <w:t xml:space="preserve">Por último, lo invitamos a seguirnos en las redes sociales en las cuales se difunde información institucional: </w:t>
      </w:r>
    </w:p>
    <w:p w14:paraId="0056A85C" w14:textId="77777777" w:rsidR="00CA2038" w:rsidRPr="003A2665" w:rsidRDefault="00CA2038" w:rsidP="00CA2038">
      <w:pPr>
        <w:spacing w:after="0" w:line="256" w:lineRule="auto"/>
        <w:rPr>
          <w:rFonts w:ascii="Verdana" w:eastAsia="Calibri" w:hAnsi="Verdana" w:cs="Times New Roman"/>
        </w:rPr>
      </w:pPr>
    </w:p>
    <w:p w14:paraId="17857E75" w14:textId="77777777" w:rsidR="00CA2038" w:rsidRPr="003A2665" w:rsidRDefault="00CA2038" w:rsidP="00CA2038">
      <w:pPr>
        <w:spacing w:after="0" w:line="256" w:lineRule="auto"/>
        <w:rPr>
          <w:rFonts w:ascii="Verdana" w:eastAsia="Calibri" w:hAnsi="Verdana" w:cs="Times New Roman"/>
        </w:rPr>
      </w:pPr>
      <w:r w:rsidRPr="003A2665">
        <w:rPr>
          <w:rFonts w:ascii="Verdana" w:eastAsia="Calibri" w:hAnsi="Verdana" w:cs="Times New Roman"/>
        </w:rPr>
        <w:t xml:space="preserve">Twitter: </w:t>
      </w:r>
      <w:r w:rsidRPr="003A2665">
        <w:rPr>
          <w:rFonts w:ascii="Verdana" w:eastAsia="Calibri" w:hAnsi="Verdana" w:cs="Times New Roman"/>
          <w:u w:val="single"/>
        </w:rPr>
        <w:t>@colombiacompra</w:t>
      </w:r>
      <w:r w:rsidRPr="003A2665">
        <w:rPr>
          <w:rFonts w:ascii="Verdana" w:eastAsia="Calibri" w:hAnsi="Verdana" w:cs="Times New Roman"/>
        </w:rPr>
        <w:t xml:space="preserve"> </w:t>
      </w:r>
    </w:p>
    <w:p w14:paraId="77510859" w14:textId="77777777" w:rsidR="00CA2038" w:rsidRPr="003A2665" w:rsidRDefault="00CA2038" w:rsidP="00CA2038">
      <w:pPr>
        <w:spacing w:after="0" w:line="256" w:lineRule="auto"/>
        <w:rPr>
          <w:rFonts w:ascii="Verdana" w:eastAsia="Calibri" w:hAnsi="Verdana" w:cs="Times New Roman"/>
        </w:rPr>
      </w:pPr>
      <w:r w:rsidRPr="003A2665">
        <w:rPr>
          <w:rFonts w:ascii="Verdana" w:eastAsia="Calibri" w:hAnsi="Verdana" w:cs="Times New Roman"/>
        </w:rPr>
        <w:t xml:space="preserve">Facebook: </w:t>
      </w:r>
      <w:r w:rsidRPr="003A2665">
        <w:rPr>
          <w:rFonts w:ascii="Verdana" w:eastAsia="Calibri" w:hAnsi="Verdana" w:cs="Times New Roman"/>
          <w:u w:val="single"/>
        </w:rPr>
        <w:t>ColombiaCompraEficiente</w:t>
      </w:r>
    </w:p>
    <w:p w14:paraId="7ABA2F3A" w14:textId="77777777" w:rsidR="00CA2038" w:rsidRPr="003A2665" w:rsidRDefault="00CA2038" w:rsidP="00CA2038">
      <w:pPr>
        <w:spacing w:after="0" w:line="256" w:lineRule="auto"/>
        <w:rPr>
          <w:rFonts w:ascii="Verdana" w:eastAsia="Calibri" w:hAnsi="Verdana" w:cs="Times New Roman"/>
          <w:u w:val="single"/>
        </w:rPr>
      </w:pPr>
      <w:r w:rsidRPr="003A2665">
        <w:rPr>
          <w:rFonts w:ascii="Verdana" w:eastAsia="Calibri" w:hAnsi="Verdana" w:cs="Times New Roman"/>
        </w:rPr>
        <w:t xml:space="preserve">LinkedIn: </w:t>
      </w:r>
      <w:r w:rsidRPr="003A2665">
        <w:rPr>
          <w:rFonts w:ascii="Verdana" w:eastAsia="Calibri" w:hAnsi="Verdana" w:cs="Times New Roman"/>
          <w:u w:val="single"/>
        </w:rPr>
        <w:t>Agencia Nacional de Contratación Pública - Colombia Compra Eficiente</w:t>
      </w:r>
      <w:r w:rsidRPr="003A2665">
        <w:rPr>
          <w:rFonts w:ascii="Verdana" w:eastAsia="Calibri" w:hAnsi="Verdana" w:cs="Times New Roman"/>
        </w:rPr>
        <w:t xml:space="preserve"> Instagram: </w:t>
      </w:r>
      <w:r w:rsidRPr="003A2665">
        <w:rPr>
          <w:rFonts w:ascii="Verdana" w:eastAsia="Calibri" w:hAnsi="Verdana" w:cs="Times New Roman"/>
          <w:u w:val="single"/>
        </w:rPr>
        <w:t>@colombiacompraeficiente_cce</w:t>
      </w:r>
    </w:p>
    <w:p w14:paraId="53B2C1E0" w14:textId="77777777" w:rsidR="00CA2038" w:rsidRPr="003A2665" w:rsidRDefault="00CA2038" w:rsidP="00CA2038">
      <w:pPr>
        <w:spacing w:after="0" w:line="256" w:lineRule="auto"/>
        <w:rPr>
          <w:rFonts w:ascii="Verdana" w:eastAsia="Calibri" w:hAnsi="Verdana" w:cs="Times New Roman"/>
          <w:u w:val="single"/>
        </w:rPr>
      </w:pPr>
    </w:p>
    <w:p w14:paraId="0BC48752" w14:textId="77777777" w:rsidR="00CA2038" w:rsidRPr="003A2665" w:rsidRDefault="00CA2038" w:rsidP="00CA2038">
      <w:pPr>
        <w:spacing w:after="0" w:line="256" w:lineRule="auto"/>
        <w:rPr>
          <w:rFonts w:ascii="Verdana" w:eastAsia="Calibri" w:hAnsi="Verdana" w:cs="Times New Roman"/>
          <w:b/>
          <w:bCs/>
        </w:rPr>
      </w:pPr>
    </w:p>
    <w:p w14:paraId="0D87F935" w14:textId="77777777" w:rsidR="00CA2038" w:rsidRPr="003A2665" w:rsidRDefault="00CA2038" w:rsidP="00CA2038">
      <w:pPr>
        <w:spacing w:after="0" w:line="256" w:lineRule="auto"/>
        <w:jc w:val="both"/>
        <w:rPr>
          <w:rFonts w:ascii="Verdana" w:eastAsia="Calibri" w:hAnsi="Verdana" w:cs="Times New Roman"/>
          <w:bCs/>
          <w:lang w:val="es-ES_tradnl"/>
        </w:rPr>
      </w:pPr>
      <w:r w:rsidRPr="003A2665">
        <w:rPr>
          <w:rFonts w:ascii="Verdana" w:eastAsia="Calibri" w:hAnsi="Verdana" w:cs="Times New Roman"/>
          <w:lang w:val="es-ES_tradnl"/>
        </w:rPr>
        <w:t xml:space="preserve">Este concepto tiene el alcance previsto en el artículo 28 del Código de Procedimiento Administrativo y de lo Contencioso Administrativo y las </w:t>
      </w:r>
      <w:r w:rsidRPr="003A2665">
        <w:rPr>
          <w:rFonts w:ascii="Verdana" w:eastAsia="Calibri" w:hAnsi="Verdana" w:cs="Times New Roman"/>
          <w:lang w:val="es-ES_tradnl"/>
        </w:rPr>
        <w:lastRenderedPageBreak/>
        <w:t>expresiones utilizadas con mayúscula inicial deben ser entendidas con el significado que les otorga el artículo 2.2.1.1.1.3.1 del Decreto 1082 de 2015.</w:t>
      </w:r>
    </w:p>
    <w:p w14:paraId="3470245F" w14:textId="77777777" w:rsidR="00CA2038" w:rsidRPr="003A2665" w:rsidRDefault="00CA2038" w:rsidP="00CA2038">
      <w:pPr>
        <w:spacing w:after="0" w:line="256" w:lineRule="auto"/>
        <w:jc w:val="both"/>
        <w:rPr>
          <w:rFonts w:ascii="Verdana" w:eastAsia="Calibri" w:hAnsi="Verdana" w:cs="Times New Roman"/>
        </w:rPr>
      </w:pPr>
    </w:p>
    <w:p w14:paraId="4D301A3E" w14:textId="77777777" w:rsidR="00CA2038" w:rsidRPr="003A2665" w:rsidRDefault="00CA2038" w:rsidP="00CA2038">
      <w:pPr>
        <w:spacing w:after="0" w:line="256" w:lineRule="auto"/>
        <w:jc w:val="both"/>
        <w:rPr>
          <w:rFonts w:ascii="Verdana" w:eastAsia="Calibri" w:hAnsi="Verdana" w:cs="Times New Roman"/>
        </w:rPr>
      </w:pPr>
      <w:r w:rsidRPr="003A2665">
        <w:rPr>
          <w:rFonts w:ascii="Verdana" w:eastAsia="Calibri" w:hAnsi="Verdana" w:cs="Times New Roman"/>
        </w:rPr>
        <w:t>Atentamente,</w:t>
      </w:r>
    </w:p>
    <w:p w14:paraId="496B8C2C" w14:textId="77777777" w:rsidR="00CA2038" w:rsidRPr="003A2665" w:rsidRDefault="00CA2038" w:rsidP="00CA2038">
      <w:pPr>
        <w:spacing w:after="0" w:line="256" w:lineRule="auto"/>
        <w:rPr>
          <w:rFonts w:ascii="Verdana" w:eastAsia="Calibri" w:hAnsi="Verdana" w:cs="Times New Roman"/>
          <w:lang w:val="es-ES"/>
        </w:rPr>
      </w:pPr>
    </w:p>
    <w:p w14:paraId="3DED510C" w14:textId="62951E8B" w:rsidR="00CA2038" w:rsidRPr="003A2665" w:rsidRDefault="00AA3289" w:rsidP="00CA2038">
      <w:pPr>
        <w:spacing w:after="0" w:line="256" w:lineRule="auto"/>
        <w:jc w:val="center"/>
        <w:rPr>
          <w:rFonts w:ascii="Verdana" w:eastAsia="Calibri" w:hAnsi="Verdana" w:cs="Times New Roman"/>
          <w:lang w:val="es-ES"/>
        </w:rPr>
      </w:pPr>
      <w:r w:rsidRPr="002C3AD6">
        <w:rPr>
          <w:rFonts w:ascii="Century Gothic" w:hAnsi="Century Gothic"/>
          <w:noProof/>
        </w:rPr>
        <w:drawing>
          <wp:inline distT="0" distB="0" distL="0" distR="0" wp14:anchorId="0DC1A233" wp14:editId="587840F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p>
    <w:p w14:paraId="544B03C3" w14:textId="77777777" w:rsidR="00CA2038" w:rsidRPr="003A2665" w:rsidRDefault="00CA2038" w:rsidP="00CA2038">
      <w:pPr>
        <w:spacing w:after="0" w:line="256" w:lineRule="auto"/>
        <w:rPr>
          <w:rFonts w:ascii="Verdana" w:eastAsia="Calibri" w:hAnsi="Verdana" w:cs="Times New Roman"/>
          <w:lang w:val="es-ES"/>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A2038" w:rsidRPr="003A2665" w14:paraId="18CB3253" w14:textId="77777777" w:rsidTr="00CA2038">
        <w:trPr>
          <w:trHeight w:val="409"/>
        </w:trPr>
        <w:tc>
          <w:tcPr>
            <w:tcW w:w="817" w:type="dxa"/>
            <w:tcBorders>
              <w:top w:val="nil"/>
              <w:left w:val="nil"/>
              <w:bottom w:val="nil"/>
              <w:right w:val="nil"/>
            </w:tcBorders>
            <w:vAlign w:val="center"/>
            <w:hideMark/>
          </w:tcPr>
          <w:p w14:paraId="5CDC37D7"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Elaboró: </w:t>
            </w:r>
          </w:p>
        </w:tc>
        <w:tc>
          <w:tcPr>
            <w:tcW w:w="4937" w:type="dxa"/>
            <w:tcBorders>
              <w:top w:val="nil"/>
              <w:left w:val="nil"/>
              <w:bottom w:val="dotted" w:sz="6" w:space="0" w:color="7F7F7F" w:themeColor="text1" w:themeTint="80"/>
              <w:right w:val="nil"/>
            </w:tcBorders>
            <w:vAlign w:val="center"/>
            <w:hideMark/>
          </w:tcPr>
          <w:p w14:paraId="07571172"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Gustavo Hinestroza Martínez</w:t>
            </w:r>
          </w:p>
          <w:p w14:paraId="3244E9D4"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Contratista de la Subdirección de Gestión Contractual</w:t>
            </w:r>
          </w:p>
        </w:tc>
      </w:tr>
      <w:tr w:rsidR="00CA2038" w:rsidRPr="003A2665" w14:paraId="086EF54D" w14:textId="77777777" w:rsidTr="00CA2038">
        <w:trPr>
          <w:trHeight w:val="409"/>
        </w:trPr>
        <w:tc>
          <w:tcPr>
            <w:tcW w:w="817" w:type="dxa"/>
            <w:tcBorders>
              <w:top w:val="nil"/>
              <w:left w:val="nil"/>
              <w:bottom w:val="nil"/>
              <w:right w:val="nil"/>
            </w:tcBorders>
            <w:vAlign w:val="center"/>
            <w:hideMark/>
          </w:tcPr>
          <w:p w14:paraId="4656587E"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98DB868"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Alejandro Sarmiento Cantillo</w:t>
            </w:r>
          </w:p>
          <w:p w14:paraId="4CE8576E"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Gestor T1-15 de la Subdirección de Gestión Contractual </w:t>
            </w:r>
          </w:p>
        </w:tc>
      </w:tr>
      <w:tr w:rsidR="00CA2038" w:rsidRPr="003A2665" w14:paraId="6B9BDB33" w14:textId="77777777" w:rsidTr="00CA2038">
        <w:trPr>
          <w:trHeight w:val="389"/>
        </w:trPr>
        <w:tc>
          <w:tcPr>
            <w:tcW w:w="817" w:type="dxa"/>
            <w:tcBorders>
              <w:top w:val="nil"/>
              <w:left w:val="nil"/>
              <w:bottom w:val="nil"/>
              <w:right w:val="nil"/>
            </w:tcBorders>
            <w:vAlign w:val="center"/>
            <w:hideMark/>
          </w:tcPr>
          <w:p w14:paraId="23C53263"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F2AC845"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Carolina Quintero Gacharná</w:t>
            </w:r>
          </w:p>
          <w:p w14:paraId="0751E3C6" w14:textId="77777777" w:rsidR="00CA2038" w:rsidRPr="003A2665" w:rsidRDefault="00CA2038" w:rsidP="00CA2038">
            <w:pPr>
              <w:spacing w:after="0" w:line="256" w:lineRule="auto"/>
              <w:rPr>
                <w:rFonts w:ascii="Verdana" w:eastAsia="Calibri" w:hAnsi="Verdana" w:cs="Times New Roman"/>
                <w:sz w:val="14"/>
                <w:szCs w:val="14"/>
              </w:rPr>
            </w:pPr>
            <w:r w:rsidRPr="003A2665">
              <w:rPr>
                <w:rFonts w:ascii="Verdana" w:eastAsia="Calibri" w:hAnsi="Verdana" w:cs="Times New Roman"/>
                <w:sz w:val="14"/>
                <w:szCs w:val="14"/>
              </w:rPr>
              <w:t>Subdirectora de Gestión Contractual ANCP – CCE</w:t>
            </w:r>
          </w:p>
        </w:tc>
      </w:tr>
    </w:tbl>
    <w:p w14:paraId="55351D2D" w14:textId="77777777" w:rsidR="00CA2038" w:rsidRPr="003A2665" w:rsidRDefault="00CA2038" w:rsidP="00CA2038">
      <w:pPr>
        <w:spacing w:after="0" w:line="256" w:lineRule="auto"/>
        <w:rPr>
          <w:rFonts w:ascii="Verdana" w:eastAsia="Calibri" w:hAnsi="Verdana" w:cs="Times New Roman"/>
        </w:rPr>
      </w:pPr>
    </w:p>
    <w:bookmarkEnd w:id="0"/>
    <w:p w14:paraId="71AD25AE" w14:textId="77777777" w:rsidR="00CA2038" w:rsidRPr="003A2665" w:rsidRDefault="00CA2038" w:rsidP="00CA2038">
      <w:pPr>
        <w:spacing w:after="0" w:line="240" w:lineRule="auto"/>
        <w:textAlignment w:val="baseline"/>
        <w:rPr>
          <w:rFonts w:ascii="Verdana" w:eastAsia="Times New Roman" w:hAnsi="Verdana" w:cs="Segoe UI"/>
          <w:sz w:val="18"/>
          <w:szCs w:val="18"/>
          <w:lang w:eastAsia="es-CO"/>
        </w:rPr>
      </w:pPr>
      <w:r w:rsidRPr="003A2665">
        <w:rPr>
          <w:rFonts w:ascii="Verdana" w:eastAsia="Times New Roman" w:hAnsi="Verdana" w:cs="Segoe UI"/>
          <w:color w:val="404040"/>
          <w:lang w:eastAsia="es-CO"/>
        </w:rPr>
        <w:t> </w:t>
      </w:r>
    </w:p>
    <w:p w14:paraId="1A8B785A" w14:textId="77777777" w:rsidR="00CA2038" w:rsidRPr="003A2665" w:rsidRDefault="00CA2038" w:rsidP="00CA2038">
      <w:pPr>
        <w:spacing w:after="0" w:line="240" w:lineRule="auto"/>
        <w:textAlignment w:val="baseline"/>
        <w:rPr>
          <w:rFonts w:ascii="Verdana" w:eastAsia="Times New Roman" w:hAnsi="Verdana" w:cs="Segoe UI"/>
          <w:sz w:val="18"/>
          <w:szCs w:val="18"/>
          <w:lang w:eastAsia="es-CO"/>
        </w:rPr>
      </w:pPr>
      <w:r w:rsidRPr="003A2665">
        <w:rPr>
          <w:rFonts w:ascii="Verdana" w:eastAsia="Times New Roman" w:hAnsi="Verdana" w:cs="Segoe UI"/>
          <w:color w:val="404040"/>
          <w:lang w:eastAsia="es-CO"/>
        </w:rPr>
        <w:t> </w:t>
      </w:r>
    </w:p>
    <w:p w14:paraId="7394DD26" w14:textId="77777777" w:rsidR="00CA2038" w:rsidRPr="003A2665" w:rsidRDefault="00CA2038" w:rsidP="00CA2038">
      <w:pPr>
        <w:spacing w:after="0" w:line="240" w:lineRule="auto"/>
        <w:textAlignment w:val="baseline"/>
        <w:rPr>
          <w:rFonts w:ascii="Verdana" w:eastAsia="Times New Roman" w:hAnsi="Verdana" w:cs="Segoe UI"/>
          <w:sz w:val="18"/>
          <w:szCs w:val="18"/>
          <w:lang w:eastAsia="es-CO"/>
        </w:rPr>
      </w:pPr>
    </w:p>
    <w:p w14:paraId="30F4ED72" w14:textId="77777777" w:rsidR="00CA2038" w:rsidRPr="003A2665" w:rsidRDefault="00CA2038" w:rsidP="00CA2038">
      <w:pPr>
        <w:spacing w:after="0" w:line="240" w:lineRule="auto"/>
        <w:textAlignment w:val="baseline"/>
        <w:rPr>
          <w:rFonts w:ascii="Verdana" w:eastAsia="Times New Roman" w:hAnsi="Verdana" w:cs="Segoe UI"/>
          <w:sz w:val="18"/>
          <w:szCs w:val="18"/>
          <w:lang w:eastAsia="es-CO"/>
        </w:rPr>
      </w:pPr>
      <w:r w:rsidRPr="003A2665">
        <w:rPr>
          <w:rFonts w:ascii="Verdana" w:eastAsia="Times New Roman" w:hAnsi="Verdana" w:cs="Segoe UI"/>
          <w:color w:val="404040"/>
          <w:lang w:eastAsia="es-CO"/>
        </w:rPr>
        <w:t> </w:t>
      </w:r>
    </w:p>
    <w:p w14:paraId="3F4604F5" w14:textId="77777777" w:rsidR="00CA2038" w:rsidRPr="003A2665" w:rsidRDefault="00CA2038" w:rsidP="00CA2038">
      <w:pPr>
        <w:spacing w:after="0" w:line="240" w:lineRule="auto"/>
        <w:ind w:firstLine="2850"/>
        <w:jc w:val="both"/>
        <w:textAlignment w:val="baseline"/>
        <w:rPr>
          <w:rFonts w:ascii="Verdana" w:eastAsia="Times New Roman" w:hAnsi="Verdana" w:cs="Segoe UI"/>
          <w:color w:val="000000"/>
          <w:sz w:val="18"/>
          <w:szCs w:val="18"/>
          <w:lang w:eastAsia="es-CO"/>
        </w:rPr>
      </w:pPr>
      <w:r w:rsidRPr="003A2665">
        <w:rPr>
          <w:rFonts w:ascii="Verdana" w:eastAsia="Times New Roman" w:hAnsi="Verdana" w:cs="Segoe UI"/>
          <w:color w:val="000000"/>
          <w:lang w:eastAsia="es-CO"/>
        </w:rPr>
        <w:t> </w:t>
      </w:r>
    </w:p>
    <w:p w14:paraId="7C38FCF9" w14:textId="77777777" w:rsidR="00CA2038" w:rsidRPr="003A2665" w:rsidRDefault="00CA2038" w:rsidP="00CA2038">
      <w:pPr>
        <w:spacing w:after="0" w:line="240" w:lineRule="auto"/>
        <w:jc w:val="both"/>
        <w:textAlignment w:val="baseline"/>
        <w:rPr>
          <w:rFonts w:ascii="Verdana" w:eastAsia="Times New Roman" w:hAnsi="Verdana" w:cs="Segoe UI"/>
          <w:sz w:val="18"/>
          <w:szCs w:val="18"/>
          <w:lang w:eastAsia="es-CO"/>
        </w:rPr>
      </w:pPr>
      <w:r w:rsidRPr="003A2665">
        <w:rPr>
          <w:rFonts w:ascii="Verdana" w:eastAsia="Times New Roman" w:hAnsi="Verdana" w:cs="Segoe UI"/>
          <w:lang w:eastAsia="es-CO"/>
        </w:rPr>
        <w:t> </w:t>
      </w:r>
    </w:p>
    <w:p w14:paraId="314DD1B9" w14:textId="77777777" w:rsidR="00CA2038" w:rsidRPr="003A2665" w:rsidRDefault="00CA2038" w:rsidP="00CA2038">
      <w:pPr>
        <w:spacing w:after="0" w:line="240" w:lineRule="auto"/>
        <w:jc w:val="both"/>
        <w:textAlignment w:val="baseline"/>
        <w:rPr>
          <w:rFonts w:ascii="Verdana" w:eastAsia="Times New Roman" w:hAnsi="Verdana" w:cs="Segoe UI"/>
          <w:sz w:val="18"/>
          <w:szCs w:val="18"/>
          <w:lang w:eastAsia="es-CO"/>
        </w:rPr>
      </w:pPr>
      <w:r w:rsidRPr="003A2665">
        <w:rPr>
          <w:rFonts w:ascii="Verdana" w:eastAsia="Times New Roman" w:hAnsi="Verdana" w:cs="Segoe UI"/>
          <w:lang w:eastAsia="es-CO"/>
        </w:rPr>
        <w:t> </w:t>
      </w:r>
    </w:p>
    <w:p w14:paraId="11736407" w14:textId="77777777" w:rsidR="00CA2038" w:rsidRPr="003A2665" w:rsidRDefault="00CA2038" w:rsidP="00CA2038">
      <w:pPr>
        <w:spacing w:after="0" w:line="240" w:lineRule="auto"/>
        <w:jc w:val="both"/>
        <w:textAlignment w:val="baseline"/>
        <w:rPr>
          <w:rFonts w:ascii="Verdana" w:eastAsia="Times New Roman" w:hAnsi="Verdana" w:cs="Segoe UI"/>
          <w:sz w:val="18"/>
          <w:szCs w:val="18"/>
          <w:lang w:eastAsia="es-CO"/>
        </w:rPr>
      </w:pPr>
      <w:r w:rsidRPr="003A2665">
        <w:rPr>
          <w:rFonts w:ascii="Verdana" w:eastAsia="Times New Roman" w:hAnsi="Verdana" w:cs="Segoe UI"/>
          <w:lang w:eastAsia="es-CO"/>
        </w:rPr>
        <w:t> </w:t>
      </w:r>
    </w:p>
    <w:p w14:paraId="12D10E67" w14:textId="77777777" w:rsidR="00CA2038" w:rsidRPr="003A2665" w:rsidRDefault="00CA2038" w:rsidP="00CA2038">
      <w:pPr>
        <w:spacing w:after="0" w:line="240" w:lineRule="auto"/>
        <w:jc w:val="both"/>
        <w:textAlignment w:val="baseline"/>
        <w:rPr>
          <w:rFonts w:ascii="Verdana" w:eastAsia="Times New Roman" w:hAnsi="Verdana" w:cs="Segoe UI"/>
          <w:sz w:val="18"/>
          <w:szCs w:val="18"/>
          <w:lang w:eastAsia="es-CO"/>
        </w:rPr>
      </w:pPr>
      <w:r w:rsidRPr="003A2665">
        <w:rPr>
          <w:rFonts w:ascii="Verdana" w:eastAsia="Times New Roman" w:hAnsi="Verdana" w:cs="Segoe UI"/>
          <w:lang w:eastAsia="es-CO"/>
        </w:rPr>
        <w:t>  </w:t>
      </w:r>
    </w:p>
    <w:p w14:paraId="79223F2F" w14:textId="77777777" w:rsidR="00CA2038" w:rsidRPr="003A2665" w:rsidRDefault="00CA2038" w:rsidP="00CA2038">
      <w:pPr>
        <w:spacing w:after="0" w:line="256" w:lineRule="auto"/>
        <w:jc w:val="both"/>
        <w:rPr>
          <w:rFonts w:ascii="Verdana" w:eastAsia="Calibri" w:hAnsi="Verdana" w:cs="Times New Roman"/>
        </w:rPr>
      </w:pPr>
    </w:p>
    <w:p w14:paraId="0F293BF4" w14:textId="4DBD3306" w:rsidR="00127233" w:rsidRPr="003A2665" w:rsidRDefault="00127233" w:rsidP="00333239">
      <w:pPr>
        <w:rPr>
          <w:rFonts w:ascii="Verdana" w:hAnsi="Verdana"/>
        </w:rPr>
      </w:pPr>
    </w:p>
    <w:sectPr w:rsidR="00127233" w:rsidRPr="003A2665"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B624D" w14:textId="77777777" w:rsidR="001E191D" w:rsidRDefault="001E191D" w:rsidP="004A1847">
      <w:pPr>
        <w:spacing w:after="0" w:line="240" w:lineRule="auto"/>
      </w:pPr>
      <w:r>
        <w:separator/>
      </w:r>
    </w:p>
  </w:endnote>
  <w:endnote w:type="continuationSeparator" w:id="0">
    <w:p w14:paraId="57EC0F9E" w14:textId="77777777" w:rsidR="001E191D" w:rsidRDefault="001E191D" w:rsidP="004A1847">
      <w:pPr>
        <w:spacing w:after="0" w:line="240" w:lineRule="auto"/>
      </w:pPr>
      <w:r>
        <w:continuationSeparator/>
      </w:r>
    </w:p>
  </w:endnote>
  <w:endnote w:type="continuationNotice" w:id="1">
    <w:p w14:paraId="65E66FC7" w14:textId="77777777" w:rsidR="001E191D" w:rsidRDefault="001E1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4988" w14:textId="77777777" w:rsidR="001E191D" w:rsidRDefault="001E191D" w:rsidP="004A1847">
      <w:pPr>
        <w:spacing w:after="0" w:line="240" w:lineRule="auto"/>
      </w:pPr>
      <w:r>
        <w:separator/>
      </w:r>
    </w:p>
  </w:footnote>
  <w:footnote w:type="continuationSeparator" w:id="0">
    <w:p w14:paraId="0AC71741" w14:textId="77777777" w:rsidR="001E191D" w:rsidRDefault="001E191D" w:rsidP="004A1847">
      <w:pPr>
        <w:spacing w:after="0" w:line="240" w:lineRule="auto"/>
      </w:pPr>
      <w:r>
        <w:continuationSeparator/>
      </w:r>
    </w:p>
  </w:footnote>
  <w:footnote w:type="continuationNotice" w:id="1">
    <w:p w14:paraId="634C1463" w14:textId="77777777" w:rsidR="001E191D" w:rsidRDefault="001E191D">
      <w:pPr>
        <w:spacing w:after="0" w:line="240" w:lineRule="auto"/>
      </w:pPr>
    </w:p>
  </w:footnote>
  <w:footnote w:id="2">
    <w:p w14:paraId="767C555B" w14:textId="77777777" w:rsidR="002E2DB2" w:rsidRDefault="002E2DB2" w:rsidP="002E2DB2">
      <w:pPr>
        <w:pStyle w:val="Textonotapie"/>
        <w:ind w:firstLine="708"/>
        <w:rPr>
          <w:sz w:val="14"/>
        </w:rPr>
      </w:pPr>
      <w:r>
        <w:rPr>
          <w:rStyle w:val="Refdenotaalpie"/>
        </w:rPr>
        <w:footnoteRef/>
      </w:r>
      <w:r>
        <w:t xml:space="preserve"> </w:t>
      </w:r>
      <w:r>
        <w:rPr>
          <w:rFonts w:ascii="Century Gothic" w:hAnsi="Century Gothic"/>
          <w:sz w:val="14"/>
          <w:szCs w:val="14"/>
        </w:rPr>
        <w:t>Ley 2069 de 2020, Artículos 2 al 29</w:t>
      </w:r>
    </w:p>
    <w:p w14:paraId="1AE3756D" w14:textId="77777777" w:rsidR="002E2DB2" w:rsidRDefault="002E2DB2" w:rsidP="002E2DB2">
      <w:pPr>
        <w:pStyle w:val="Textonotapie"/>
        <w:ind w:firstLine="708"/>
        <w:rPr>
          <w:lang w:val="es-CO"/>
        </w:rPr>
      </w:pPr>
    </w:p>
  </w:footnote>
  <w:footnote w:id="3">
    <w:p w14:paraId="126B9434" w14:textId="77777777" w:rsidR="00B543F6" w:rsidRDefault="00B543F6" w:rsidP="00B543F6">
      <w:pPr>
        <w:pStyle w:val="Textonotapie"/>
        <w:ind w:firstLine="708"/>
        <w:rPr>
          <w:sz w:val="14"/>
        </w:rPr>
      </w:pPr>
      <w:r>
        <w:rPr>
          <w:rStyle w:val="Refdenotaalpie"/>
        </w:rPr>
        <w:footnoteRef/>
      </w:r>
      <w:r>
        <w:t xml:space="preserve"> </w:t>
      </w:r>
      <w:r>
        <w:rPr>
          <w:rFonts w:ascii="Century Gothic" w:hAnsi="Century Gothic"/>
          <w:sz w:val="14"/>
          <w:szCs w:val="14"/>
        </w:rPr>
        <w:t>Ley 2069 de 2020, Artículos 2 al 29</w:t>
      </w:r>
    </w:p>
    <w:p w14:paraId="44214477" w14:textId="77777777" w:rsidR="00B543F6" w:rsidRDefault="00B543F6" w:rsidP="00B543F6">
      <w:pPr>
        <w:pStyle w:val="Textonotapie"/>
        <w:ind w:firstLine="708"/>
        <w:rPr>
          <w:lang w:val="es-CO"/>
        </w:rPr>
      </w:pPr>
    </w:p>
  </w:footnote>
  <w:footnote w:id="4">
    <w:p w14:paraId="4B4C5E33" w14:textId="77777777" w:rsidR="00B543F6" w:rsidRDefault="00B543F6" w:rsidP="00B543F6">
      <w:pPr>
        <w:pStyle w:val="Textonotapie"/>
        <w:ind w:firstLine="708"/>
        <w:rPr>
          <w:lang w:val="es-CO"/>
        </w:rPr>
      </w:pPr>
      <w:r>
        <w:rPr>
          <w:rStyle w:val="Refdenotaalpie"/>
        </w:rPr>
        <w:footnoteRef/>
      </w:r>
      <w:r>
        <w:t xml:space="preserve"> </w:t>
      </w:r>
      <w:r>
        <w:rPr>
          <w:rFonts w:ascii="Century Gothic" w:hAnsi="Century Gothic"/>
          <w:sz w:val="14"/>
          <w:szCs w:val="14"/>
        </w:rPr>
        <w:t>Ley 2069 de 2020, Artículos 30 al 36</w:t>
      </w:r>
    </w:p>
  </w:footnote>
  <w:footnote w:id="5">
    <w:p w14:paraId="4BC6A39E" w14:textId="77777777" w:rsidR="00B543F6" w:rsidRDefault="00B543F6" w:rsidP="00B543F6">
      <w:pPr>
        <w:pStyle w:val="Textonotapie"/>
        <w:ind w:firstLine="708"/>
        <w:jc w:val="both"/>
        <w:rPr>
          <w:lang w:val="es-CO"/>
        </w:rPr>
      </w:pPr>
      <w:r>
        <w:rPr>
          <w:rStyle w:val="Refdenotaalpie"/>
        </w:rPr>
        <w:footnoteRef/>
      </w:r>
      <w:r>
        <w:t xml:space="preserve"> </w:t>
      </w:r>
      <w:r>
        <w:rPr>
          <w:rFonts w:ascii="Century Gothic" w:hAnsi="Century Gothic"/>
          <w:sz w:val="14"/>
          <w:szCs w:val="14"/>
        </w:rPr>
        <w:t>Sentencia C-502 de 2012 de la Corte Constitucional, en donde señala: “como quiera que la primera, en lugar de abolir o anular una disposición del ordenamiento jurídico, lo que hace es reemplazar un texto normativo por otro. Por tanto, como resultado de la subrogación, las normas jurídicas preexistentes pueden ser derogadas, modificadas o sustituidas por otras nuevas, en todo o en parte ”</w:t>
      </w:r>
    </w:p>
  </w:footnote>
  <w:footnote w:id="6">
    <w:p w14:paraId="1E7FBD1E" w14:textId="77777777" w:rsidR="00B543F6" w:rsidRDefault="00B543F6" w:rsidP="00B543F6">
      <w:pPr>
        <w:pStyle w:val="Textonotapie"/>
        <w:ind w:firstLine="708"/>
        <w:jc w:val="both"/>
        <w:rPr>
          <w:rFonts w:ascii="Century Gothic" w:hAnsi="Century Gothic" w:cs="Arial"/>
          <w:sz w:val="18"/>
          <w:szCs w:val="18"/>
        </w:rPr>
      </w:pPr>
      <w:r>
        <w:rPr>
          <w:rStyle w:val="Refdenotaalpie"/>
          <w:rFonts w:ascii="Century Gothic" w:hAnsi="Century Gothic" w:cs="Arial"/>
          <w:sz w:val="18"/>
          <w:szCs w:val="18"/>
        </w:rPr>
        <w:footnoteRef/>
      </w:r>
      <w:r>
        <w:rPr>
          <w:rFonts w:ascii="Century Gothic" w:hAnsi="Century Gothic" w:cs="Arial"/>
          <w:sz w:val="18"/>
          <w:szCs w:val="18"/>
        </w:rPr>
        <w:t xml:space="preserve"> </w:t>
      </w:r>
      <w:r>
        <w:rPr>
          <w:rFonts w:ascii="Century Gothic" w:hAnsi="Century Gothic"/>
          <w:sz w:val="14"/>
          <w:szCs w:val="14"/>
        </w:rPr>
        <w:t xml:space="preserve">Este monto fue publicado por la Agencia Nacional de Contratación Pública – Colombia Compra Eficiente, de acuerdo con la información remitida por el Ministerio de Comercio Industria y Turismo, disponible en el siguiente enlace: </w:t>
      </w:r>
      <w:hyperlink r:id="rId1" w:history="1">
        <w:r>
          <w:rPr>
            <w:rStyle w:val="Hipervnculo"/>
            <w:rFonts w:ascii="Century Gothic" w:hAnsi="Century Gothic"/>
            <w:sz w:val="14"/>
            <w:szCs w:val="14"/>
          </w:rPr>
          <w:t>https://www.colombiacompra.gov.co/sites/cce_public/files/files_2020/vf_umbrales_actualizaciones_2022_-_2023_1.pdf</w:t>
        </w:r>
      </w:hyperlink>
      <w:r>
        <w:rPr>
          <w:rFonts w:ascii="Century Gothic" w:hAnsi="Century Gothic"/>
          <w:sz w:val="14"/>
          <w:szCs w:val="14"/>
        </w:rPr>
        <w:t>. Allí se señala que el monto corresponde a $ 457.297.264.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3pt;height:11.3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A74AE"/>
    <w:multiLevelType w:val="hybridMultilevel"/>
    <w:tmpl w:val="9496AA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9073078">
    <w:abstractNumId w:val="6"/>
  </w:num>
  <w:num w:numId="2" w16cid:durableId="1752000208">
    <w:abstractNumId w:val="2"/>
  </w:num>
  <w:num w:numId="3" w16cid:durableId="969360210">
    <w:abstractNumId w:val="4"/>
  </w:num>
  <w:num w:numId="4" w16cid:durableId="2341699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88333">
    <w:abstractNumId w:val="2"/>
  </w:num>
  <w:num w:numId="6" w16cid:durableId="69543774">
    <w:abstractNumId w:val="13"/>
  </w:num>
  <w:num w:numId="7" w16cid:durableId="911279574">
    <w:abstractNumId w:val="5"/>
  </w:num>
  <w:num w:numId="8" w16cid:durableId="916132902">
    <w:abstractNumId w:val="12"/>
  </w:num>
  <w:num w:numId="9" w16cid:durableId="838351419">
    <w:abstractNumId w:val="7"/>
  </w:num>
  <w:num w:numId="10" w16cid:durableId="1126969943">
    <w:abstractNumId w:val="11"/>
  </w:num>
  <w:num w:numId="11" w16cid:durableId="1600328333">
    <w:abstractNumId w:val="8"/>
  </w:num>
  <w:num w:numId="12" w16cid:durableId="1669406960">
    <w:abstractNumId w:val="1"/>
  </w:num>
  <w:num w:numId="13" w16cid:durableId="191000614">
    <w:abstractNumId w:val="3"/>
  </w:num>
  <w:num w:numId="14" w16cid:durableId="624234456">
    <w:abstractNumId w:val="14"/>
  </w:num>
  <w:num w:numId="15" w16cid:durableId="1284725023">
    <w:abstractNumId w:val="10"/>
  </w:num>
  <w:num w:numId="16" w16cid:durableId="127521240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339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43C"/>
    <w:rsid w:val="00007933"/>
    <w:rsid w:val="0003373B"/>
    <w:rsid w:val="000542FE"/>
    <w:rsid w:val="00061B2A"/>
    <w:rsid w:val="00072C4C"/>
    <w:rsid w:val="00082362"/>
    <w:rsid w:val="000843EE"/>
    <w:rsid w:val="000A683E"/>
    <w:rsid w:val="000B19B9"/>
    <w:rsid w:val="000D0334"/>
    <w:rsid w:val="000F54D3"/>
    <w:rsid w:val="000F6486"/>
    <w:rsid w:val="001176E8"/>
    <w:rsid w:val="00125105"/>
    <w:rsid w:val="00127233"/>
    <w:rsid w:val="00174B77"/>
    <w:rsid w:val="001A75B7"/>
    <w:rsid w:val="001E191D"/>
    <w:rsid w:val="001E4177"/>
    <w:rsid w:val="001F6442"/>
    <w:rsid w:val="001F7DC6"/>
    <w:rsid w:val="00202798"/>
    <w:rsid w:val="002028E4"/>
    <w:rsid w:val="002075F4"/>
    <w:rsid w:val="002119A7"/>
    <w:rsid w:val="002421BB"/>
    <w:rsid w:val="0025796E"/>
    <w:rsid w:val="002707A2"/>
    <w:rsid w:val="00270FA0"/>
    <w:rsid w:val="00282B8F"/>
    <w:rsid w:val="002951A0"/>
    <w:rsid w:val="002962BC"/>
    <w:rsid w:val="002A093D"/>
    <w:rsid w:val="002A0DD0"/>
    <w:rsid w:val="002A49AC"/>
    <w:rsid w:val="002A64FD"/>
    <w:rsid w:val="002C7A84"/>
    <w:rsid w:val="002E2DB2"/>
    <w:rsid w:val="002E4FD9"/>
    <w:rsid w:val="002E540F"/>
    <w:rsid w:val="002E5FA6"/>
    <w:rsid w:val="002F1640"/>
    <w:rsid w:val="00304DAF"/>
    <w:rsid w:val="00306C7B"/>
    <w:rsid w:val="00310972"/>
    <w:rsid w:val="00322A85"/>
    <w:rsid w:val="00324168"/>
    <w:rsid w:val="00333239"/>
    <w:rsid w:val="003448F4"/>
    <w:rsid w:val="00374F5E"/>
    <w:rsid w:val="00377E3E"/>
    <w:rsid w:val="003917EC"/>
    <w:rsid w:val="003A2665"/>
    <w:rsid w:val="003A26D1"/>
    <w:rsid w:val="003A779E"/>
    <w:rsid w:val="003C4805"/>
    <w:rsid w:val="003D0F4D"/>
    <w:rsid w:val="003D5B0D"/>
    <w:rsid w:val="003E0499"/>
    <w:rsid w:val="003E1506"/>
    <w:rsid w:val="003E62EE"/>
    <w:rsid w:val="003F3941"/>
    <w:rsid w:val="00406575"/>
    <w:rsid w:val="00421AAD"/>
    <w:rsid w:val="0042722E"/>
    <w:rsid w:val="0044528D"/>
    <w:rsid w:val="004A1847"/>
    <w:rsid w:val="004A305D"/>
    <w:rsid w:val="004C12A1"/>
    <w:rsid w:val="004C6979"/>
    <w:rsid w:val="004F21C4"/>
    <w:rsid w:val="004F5181"/>
    <w:rsid w:val="004F685F"/>
    <w:rsid w:val="005566E8"/>
    <w:rsid w:val="00574867"/>
    <w:rsid w:val="00581C47"/>
    <w:rsid w:val="00591460"/>
    <w:rsid w:val="00592628"/>
    <w:rsid w:val="005978C3"/>
    <w:rsid w:val="005C3777"/>
    <w:rsid w:val="005C5CDC"/>
    <w:rsid w:val="005D476C"/>
    <w:rsid w:val="005F1523"/>
    <w:rsid w:val="00600A67"/>
    <w:rsid w:val="00605107"/>
    <w:rsid w:val="00610812"/>
    <w:rsid w:val="006219F8"/>
    <w:rsid w:val="006258D6"/>
    <w:rsid w:val="00650FF7"/>
    <w:rsid w:val="00665D70"/>
    <w:rsid w:val="00671DAC"/>
    <w:rsid w:val="006900D9"/>
    <w:rsid w:val="006910C1"/>
    <w:rsid w:val="006B3ADF"/>
    <w:rsid w:val="006D12F8"/>
    <w:rsid w:val="006E3248"/>
    <w:rsid w:val="00706C16"/>
    <w:rsid w:val="00756841"/>
    <w:rsid w:val="00756D1E"/>
    <w:rsid w:val="007649AB"/>
    <w:rsid w:val="00771D0C"/>
    <w:rsid w:val="007833AC"/>
    <w:rsid w:val="00794D67"/>
    <w:rsid w:val="007B09C3"/>
    <w:rsid w:val="007B268C"/>
    <w:rsid w:val="007B7171"/>
    <w:rsid w:val="007C0C0F"/>
    <w:rsid w:val="007C1E49"/>
    <w:rsid w:val="007C3DC2"/>
    <w:rsid w:val="007D4869"/>
    <w:rsid w:val="007E5497"/>
    <w:rsid w:val="00805588"/>
    <w:rsid w:val="00806F5F"/>
    <w:rsid w:val="00820278"/>
    <w:rsid w:val="00836C5A"/>
    <w:rsid w:val="00840454"/>
    <w:rsid w:val="0086261D"/>
    <w:rsid w:val="00880653"/>
    <w:rsid w:val="008843B6"/>
    <w:rsid w:val="00891928"/>
    <w:rsid w:val="008A446D"/>
    <w:rsid w:val="008A776B"/>
    <w:rsid w:val="008C4658"/>
    <w:rsid w:val="008D180B"/>
    <w:rsid w:val="008F0EA7"/>
    <w:rsid w:val="00912945"/>
    <w:rsid w:val="00915D6E"/>
    <w:rsid w:val="00923EEF"/>
    <w:rsid w:val="009419F9"/>
    <w:rsid w:val="0095685E"/>
    <w:rsid w:val="009570B3"/>
    <w:rsid w:val="00961B09"/>
    <w:rsid w:val="00965334"/>
    <w:rsid w:val="0097093E"/>
    <w:rsid w:val="009A0DFA"/>
    <w:rsid w:val="009B2D26"/>
    <w:rsid w:val="009B6020"/>
    <w:rsid w:val="009C10D5"/>
    <w:rsid w:val="009C71FA"/>
    <w:rsid w:val="009C72E7"/>
    <w:rsid w:val="009D3058"/>
    <w:rsid w:val="009F3A13"/>
    <w:rsid w:val="00A122D3"/>
    <w:rsid w:val="00A17F13"/>
    <w:rsid w:val="00A20739"/>
    <w:rsid w:val="00A33C78"/>
    <w:rsid w:val="00A56E08"/>
    <w:rsid w:val="00A643E1"/>
    <w:rsid w:val="00A655F9"/>
    <w:rsid w:val="00A740E5"/>
    <w:rsid w:val="00A854A4"/>
    <w:rsid w:val="00A943C9"/>
    <w:rsid w:val="00AA3289"/>
    <w:rsid w:val="00AB0ADB"/>
    <w:rsid w:val="00AF2271"/>
    <w:rsid w:val="00B01B1A"/>
    <w:rsid w:val="00B543F6"/>
    <w:rsid w:val="00B71255"/>
    <w:rsid w:val="00B72CD3"/>
    <w:rsid w:val="00B72FFF"/>
    <w:rsid w:val="00B96318"/>
    <w:rsid w:val="00BC3D36"/>
    <w:rsid w:val="00BD17DF"/>
    <w:rsid w:val="00BD7F72"/>
    <w:rsid w:val="00BE10FC"/>
    <w:rsid w:val="00C04FB3"/>
    <w:rsid w:val="00C21B10"/>
    <w:rsid w:val="00C267FD"/>
    <w:rsid w:val="00C26C30"/>
    <w:rsid w:val="00C330EB"/>
    <w:rsid w:val="00C525F6"/>
    <w:rsid w:val="00C5580A"/>
    <w:rsid w:val="00C754BE"/>
    <w:rsid w:val="00C76B1C"/>
    <w:rsid w:val="00C92261"/>
    <w:rsid w:val="00CA2038"/>
    <w:rsid w:val="00CB6357"/>
    <w:rsid w:val="00CB6922"/>
    <w:rsid w:val="00CC1B26"/>
    <w:rsid w:val="00CC23DB"/>
    <w:rsid w:val="00CE01ED"/>
    <w:rsid w:val="00CF0E0D"/>
    <w:rsid w:val="00CF6CFD"/>
    <w:rsid w:val="00D06CEE"/>
    <w:rsid w:val="00D250B6"/>
    <w:rsid w:val="00D423A2"/>
    <w:rsid w:val="00D44543"/>
    <w:rsid w:val="00D520D8"/>
    <w:rsid w:val="00D63AC2"/>
    <w:rsid w:val="00D7383B"/>
    <w:rsid w:val="00D8194F"/>
    <w:rsid w:val="00DA231B"/>
    <w:rsid w:val="00DA23A0"/>
    <w:rsid w:val="00DB0239"/>
    <w:rsid w:val="00DC39FC"/>
    <w:rsid w:val="00DF5254"/>
    <w:rsid w:val="00E039E9"/>
    <w:rsid w:val="00E137A0"/>
    <w:rsid w:val="00E16408"/>
    <w:rsid w:val="00E20894"/>
    <w:rsid w:val="00E245AB"/>
    <w:rsid w:val="00E2764C"/>
    <w:rsid w:val="00E27F2E"/>
    <w:rsid w:val="00E413EA"/>
    <w:rsid w:val="00E50AFE"/>
    <w:rsid w:val="00E578B6"/>
    <w:rsid w:val="00E645F8"/>
    <w:rsid w:val="00E75C92"/>
    <w:rsid w:val="00E771DC"/>
    <w:rsid w:val="00E8067B"/>
    <w:rsid w:val="00E8772A"/>
    <w:rsid w:val="00E90F6B"/>
    <w:rsid w:val="00E92C27"/>
    <w:rsid w:val="00EA0E3D"/>
    <w:rsid w:val="00EB1131"/>
    <w:rsid w:val="00EB2298"/>
    <w:rsid w:val="00EC38A7"/>
    <w:rsid w:val="00EC5DA1"/>
    <w:rsid w:val="00EE1AA8"/>
    <w:rsid w:val="00F2154E"/>
    <w:rsid w:val="00F230E1"/>
    <w:rsid w:val="00F31EDC"/>
    <w:rsid w:val="00F462B3"/>
    <w:rsid w:val="00F5664F"/>
    <w:rsid w:val="00F666C4"/>
    <w:rsid w:val="00F76AFC"/>
    <w:rsid w:val="00FA47C0"/>
    <w:rsid w:val="00FB5DD1"/>
    <w:rsid w:val="00FC2B5D"/>
    <w:rsid w:val="00FC3DEC"/>
    <w:rsid w:val="00FE6E7D"/>
    <w:rsid w:val="00FF1449"/>
    <w:rsid w:val="2CAEA3B7"/>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E8EEFFB4-6A0E-40B9-A478-635C696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CA2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43298571">
      <w:bodyDiv w:val="1"/>
      <w:marLeft w:val="0"/>
      <w:marRight w:val="0"/>
      <w:marTop w:val="0"/>
      <w:marBottom w:val="0"/>
      <w:divBdr>
        <w:top w:val="none" w:sz="0" w:space="0" w:color="auto"/>
        <w:left w:val="none" w:sz="0" w:space="0" w:color="auto"/>
        <w:bottom w:val="none" w:sz="0" w:space="0" w:color="auto"/>
        <w:right w:val="none" w:sz="0" w:space="0" w:color="auto"/>
      </w:divBdr>
    </w:div>
    <w:div w:id="38962050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56229971">
      <w:bodyDiv w:val="1"/>
      <w:marLeft w:val="0"/>
      <w:marRight w:val="0"/>
      <w:marTop w:val="0"/>
      <w:marBottom w:val="0"/>
      <w:divBdr>
        <w:top w:val="none" w:sz="0" w:space="0" w:color="auto"/>
        <w:left w:val="none" w:sz="0" w:space="0" w:color="auto"/>
        <w:bottom w:val="none" w:sz="0" w:space="0" w:color="auto"/>
        <w:right w:val="none" w:sz="0" w:space="0" w:color="auto"/>
      </w:divBdr>
    </w:div>
    <w:div w:id="657998024">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3279628">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20214967">
      <w:bodyDiv w:val="1"/>
      <w:marLeft w:val="0"/>
      <w:marRight w:val="0"/>
      <w:marTop w:val="0"/>
      <w:marBottom w:val="0"/>
      <w:divBdr>
        <w:top w:val="none" w:sz="0" w:space="0" w:color="auto"/>
        <w:left w:val="none" w:sz="0" w:space="0" w:color="auto"/>
        <w:bottom w:val="none" w:sz="0" w:space="0" w:color="auto"/>
        <w:right w:val="none" w:sz="0" w:space="0" w:color="auto"/>
      </w:divBdr>
    </w:div>
    <w:div w:id="103542938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60096454">
      <w:bodyDiv w:val="1"/>
      <w:marLeft w:val="0"/>
      <w:marRight w:val="0"/>
      <w:marTop w:val="0"/>
      <w:marBottom w:val="0"/>
      <w:divBdr>
        <w:top w:val="none" w:sz="0" w:space="0" w:color="auto"/>
        <w:left w:val="none" w:sz="0" w:space="0" w:color="auto"/>
        <w:bottom w:val="none" w:sz="0" w:space="0" w:color="auto"/>
        <w:right w:val="none" w:sz="0" w:space="0" w:color="auto"/>
      </w:divBdr>
    </w:div>
    <w:div w:id="1605921546">
      <w:bodyDiv w:val="1"/>
      <w:marLeft w:val="0"/>
      <w:marRight w:val="0"/>
      <w:marTop w:val="0"/>
      <w:marBottom w:val="0"/>
      <w:divBdr>
        <w:top w:val="none" w:sz="0" w:space="0" w:color="auto"/>
        <w:left w:val="none" w:sz="0" w:space="0" w:color="auto"/>
        <w:bottom w:val="none" w:sz="0" w:space="0" w:color="auto"/>
        <w:right w:val="none" w:sz="0" w:space="0" w:color="auto"/>
      </w:divBdr>
    </w:div>
    <w:div w:id="1650135800">
      <w:bodyDiv w:val="1"/>
      <w:marLeft w:val="0"/>
      <w:marRight w:val="0"/>
      <w:marTop w:val="0"/>
      <w:marBottom w:val="0"/>
      <w:divBdr>
        <w:top w:val="none" w:sz="0" w:space="0" w:color="auto"/>
        <w:left w:val="none" w:sz="0" w:space="0" w:color="auto"/>
        <w:bottom w:val="none" w:sz="0" w:space="0" w:color="auto"/>
        <w:right w:val="none" w:sz="0" w:space="0" w:color="auto"/>
      </w:divBdr>
    </w:div>
    <w:div w:id="1667049603">
      <w:bodyDiv w:val="1"/>
      <w:marLeft w:val="0"/>
      <w:marRight w:val="0"/>
      <w:marTop w:val="0"/>
      <w:marBottom w:val="0"/>
      <w:divBdr>
        <w:top w:val="none" w:sz="0" w:space="0" w:color="auto"/>
        <w:left w:val="none" w:sz="0" w:space="0" w:color="auto"/>
        <w:bottom w:val="none" w:sz="0" w:space="0" w:color="auto"/>
        <w:right w:val="none" w:sz="0" w:space="0" w:color="auto"/>
      </w:divBdr>
    </w:div>
    <w:div w:id="1772238040">
      <w:bodyDiv w:val="1"/>
      <w:marLeft w:val="0"/>
      <w:marRight w:val="0"/>
      <w:marTop w:val="0"/>
      <w:marBottom w:val="0"/>
      <w:divBdr>
        <w:top w:val="none" w:sz="0" w:space="0" w:color="auto"/>
        <w:left w:val="none" w:sz="0" w:space="0" w:color="auto"/>
        <w:bottom w:val="none" w:sz="0" w:space="0" w:color="auto"/>
        <w:right w:val="none" w:sz="0" w:space="0" w:color="auto"/>
      </w:divBdr>
    </w:div>
    <w:div w:id="1870488638">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relatoria.colombiacompra.gov.co/normativa/decreto-1860-de-2021/"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relatoria.colombiacompra.gov.co/normativa/decreto-019-de-20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hyperlink" Target="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cantorbery@hotmail.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latoria.colombiacompra.gov.co/normativa/ley-2069-de-2020/"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relatoria.colombiacompra.gov.co/busqueda/concep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474-de-2011/"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files_2020/vf_umbrales_actualizaciones_2022_-_2023_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060F1AD6-44A6-4E5C-B35E-49662CAB927C}"/>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4397</Words>
  <Characters>24186</Characters>
  <Application>Microsoft Office Word</Application>
  <DocSecurity>0</DocSecurity>
  <Lines>201</Lines>
  <Paragraphs>57</Paragraphs>
  <ScaleCrop>false</ScaleCrop>
  <Company/>
  <LinksUpToDate>false</LinksUpToDate>
  <CharactersWithSpaces>28526</CharactersWithSpaces>
  <SharedDoc>false</SharedDoc>
  <HLinks>
    <vt:vector size="66" baseType="variant">
      <vt:variant>
        <vt:i4>7602273</vt:i4>
      </vt:variant>
      <vt:variant>
        <vt:i4>27</vt:i4>
      </vt:variant>
      <vt:variant>
        <vt:i4>0</vt:i4>
      </vt:variant>
      <vt:variant>
        <vt:i4>5</vt:i4>
      </vt:variant>
      <vt:variant>
        <vt:lpwstr>https://nam02.safelinks.protection.outlook.com/?url=https%3A%2F%2Fwww.colombiacompra.gov.co%2Fsala-de-prensa%2Fboletin-digital%2Fboletin-de-relatoria-2024-iv&amp;data=05%7C02%7Cgustavo.hinestroza%40colombiacompra.gov.co%7C616b83c3423e4d31151908dce489c00d%7C7b09041e245149d08cb179d5e3d8c1be%7C0%7C0%7C638636527541390763%7CUnknown%7CTWFpbGZsb3d8eyJWIjoiMC4wLjAwMDAiLCJQIjoiV2luMzIiLCJBTiI6Ik1haWwiLCJXVCI6Mn0%3D%7C0%7C%7C%7C&amp;sdata=TvcamFSJb0xKN8MmFyP0cz5zurODO5ojz6pqdTKfZVc%3D&amp;reserved=0</vt:lpwstr>
      </vt:variant>
      <vt:variant>
        <vt:lpwstr/>
      </vt:variant>
      <vt:variant>
        <vt:i4>7471218</vt:i4>
      </vt:variant>
      <vt:variant>
        <vt:i4>24</vt:i4>
      </vt:variant>
      <vt:variant>
        <vt:i4>0</vt:i4>
      </vt:variant>
      <vt:variant>
        <vt:i4>5</vt:i4>
      </vt:variant>
      <vt:variant>
        <vt:lpwstr>https://relatoria.colombiacompra.gov.co/busqueda/conceptos</vt:lpwstr>
      </vt:variant>
      <vt:variant>
        <vt:lpwstr/>
      </vt:variant>
      <vt:variant>
        <vt:i4>3932281</vt:i4>
      </vt:variant>
      <vt:variant>
        <vt:i4>21</vt:i4>
      </vt:variant>
      <vt:variant>
        <vt:i4>0</vt:i4>
      </vt:variant>
      <vt:variant>
        <vt:i4>5</vt:i4>
      </vt:variant>
      <vt:variant>
        <vt:lpwstr>https://relatoria.colombiacompra.gov.co/normativa/decreto-1860-de-2021/</vt:lpwstr>
      </vt:variant>
      <vt:variant>
        <vt:lpwstr/>
      </vt:variant>
      <vt:variant>
        <vt:i4>2687092</vt:i4>
      </vt:variant>
      <vt:variant>
        <vt:i4>18</vt:i4>
      </vt:variant>
      <vt:variant>
        <vt:i4>0</vt:i4>
      </vt:variant>
      <vt:variant>
        <vt:i4>5</vt:i4>
      </vt:variant>
      <vt:variant>
        <vt:lpwstr>https://relatoria.colombiacompra.gov.co/normativa/decreto-019-de-2012/</vt:lpwstr>
      </vt:variant>
      <vt:variant>
        <vt:lpwstr/>
      </vt:variant>
      <vt:variant>
        <vt:i4>3276916</vt:i4>
      </vt:variant>
      <vt:variant>
        <vt:i4>15</vt:i4>
      </vt:variant>
      <vt:variant>
        <vt:i4>0</vt:i4>
      </vt:variant>
      <vt:variant>
        <vt:i4>5</vt:i4>
      </vt:variant>
      <vt:variant>
        <vt:lpwstr>https://relatoria.colombiacompra.gov.co/normativa/decreto-1082-de-2015/</vt:lpwstr>
      </vt:variant>
      <vt:variant>
        <vt:lpwstr/>
      </vt:variant>
      <vt:variant>
        <vt:i4>3801186</vt:i4>
      </vt:variant>
      <vt:variant>
        <vt:i4>12</vt:i4>
      </vt:variant>
      <vt:variant>
        <vt:i4>0</vt:i4>
      </vt:variant>
      <vt:variant>
        <vt:i4>5</vt:i4>
      </vt:variant>
      <vt:variant>
        <vt:lpwstr>https://relatoria.colombiacompra.gov.co/normativa/ley-2069-de-2020/</vt:lpwstr>
      </vt:variant>
      <vt:variant>
        <vt:lpwstr/>
      </vt:variant>
      <vt:variant>
        <vt:i4>3276899</vt:i4>
      </vt:variant>
      <vt:variant>
        <vt:i4>9</vt:i4>
      </vt:variant>
      <vt:variant>
        <vt:i4>0</vt:i4>
      </vt:variant>
      <vt:variant>
        <vt:i4>5</vt:i4>
      </vt:variant>
      <vt:variant>
        <vt:lpwstr>https://relatoria.colombiacompra.gov.co/normativa/ley-1474-de-2011/</vt:lpwstr>
      </vt:variant>
      <vt:variant>
        <vt:lpwstr/>
      </vt:variant>
      <vt:variant>
        <vt:i4>3473504</vt:i4>
      </vt:variant>
      <vt:variant>
        <vt:i4>6</vt:i4>
      </vt:variant>
      <vt:variant>
        <vt:i4>0</vt:i4>
      </vt:variant>
      <vt:variant>
        <vt:i4>5</vt:i4>
      </vt:variant>
      <vt:variant>
        <vt:lpwstr>https://relatoria.colombiacompra.gov.co/normativa/ley-1150-de-2007/</vt:lpwstr>
      </vt:variant>
      <vt:variant>
        <vt:lpwstr/>
      </vt:variant>
      <vt:variant>
        <vt:i4>589910</vt:i4>
      </vt:variant>
      <vt:variant>
        <vt:i4>3</vt:i4>
      </vt:variant>
      <vt:variant>
        <vt:i4>0</vt:i4>
      </vt:variant>
      <vt:variant>
        <vt:i4>5</vt:i4>
      </vt:variant>
      <vt:variant>
        <vt:lpwstr>https://relatoria.colombiacompra.gov.co/normativa/ley-80-de-1993/</vt:lpwstr>
      </vt:variant>
      <vt:variant>
        <vt:lpwstr/>
      </vt:variant>
      <vt:variant>
        <vt:i4>589885</vt:i4>
      </vt:variant>
      <vt:variant>
        <vt:i4>0</vt:i4>
      </vt:variant>
      <vt:variant>
        <vt:i4>0</vt:i4>
      </vt:variant>
      <vt:variant>
        <vt:i4>5</vt:i4>
      </vt:variant>
      <vt:variant>
        <vt:lpwstr>mailto:colcantorbery@hotmail.com</vt:lpwstr>
      </vt:variant>
      <vt:variant>
        <vt:lpwstr/>
      </vt:variant>
      <vt:variant>
        <vt:i4>262146</vt:i4>
      </vt:variant>
      <vt:variant>
        <vt:i4>0</vt:i4>
      </vt:variant>
      <vt:variant>
        <vt:i4>0</vt:i4>
      </vt:variant>
      <vt:variant>
        <vt:i4>5</vt:i4>
      </vt:variant>
      <vt:variant>
        <vt:lpwstr>https://www.colombiacompra.gov.co/sites/cce_public/files/files_2020/vf_umbrales_actualizaciones_2022_-_2023_1.pdf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5</cp:revision>
  <cp:lastPrinted>2023-01-11T00:18:00Z</cp:lastPrinted>
  <dcterms:created xsi:type="dcterms:W3CDTF">2024-10-19T00:09:00Z</dcterms:created>
  <dcterms:modified xsi:type="dcterms:W3CDTF">2024-10-21T14:57:00Z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