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7371" w14:textId="77777777" w:rsidR="00B004E7" w:rsidRDefault="00B004E7" w:rsidP="00B004E7">
      <w:pPr>
        <w:spacing w:after="0" w:line="240" w:lineRule="auto"/>
        <w:rPr>
          <w:rFonts w:ascii="Verdana" w:eastAsia="Geomanist Light" w:hAnsi="Verdana" w:cs="Arial"/>
          <w:lang w:val="es-MX"/>
        </w:rPr>
      </w:pPr>
      <w:bookmarkStart w:id="0" w:name="_Hlk143780582"/>
    </w:p>
    <w:p w14:paraId="359A02C5" w14:textId="77777777" w:rsidR="005B309D" w:rsidRDefault="005B309D" w:rsidP="005B309D">
      <w:pPr>
        <w:spacing w:after="0" w:line="240" w:lineRule="auto"/>
        <w:contextualSpacing/>
        <w:jc w:val="both"/>
        <w:rPr>
          <w:rFonts w:ascii="Verdana" w:eastAsia="Calibri" w:hAnsi="Verdana" w:cs="Arial"/>
          <w:b/>
          <w:bCs/>
          <w:lang w:val="es-MX" w:eastAsia="es-ES_tradnl"/>
          <w14:ligatures w14:val="standardContextual"/>
        </w:rPr>
      </w:pPr>
    </w:p>
    <w:p w14:paraId="584E14D7" w14:textId="648AA2F2" w:rsidR="005B309D" w:rsidRPr="00692D10" w:rsidRDefault="005B309D" w:rsidP="005B309D">
      <w:pPr>
        <w:spacing w:after="0" w:line="240" w:lineRule="auto"/>
        <w:contextualSpacing/>
        <w:jc w:val="both"/>
        <w:rPr>
          <w:rFonts w:ascii="Verdana" w:eastAsia="Calibri" w:hAnsi="Verdana" w:cs="Arial"/>
          <w:b/>
          <w:bCs/>
          <w:highlight w:val="yellow"/>
          <w:lang w:val="es-MX" w:eastAsia="es-ES_tradnl"/>
          <w14:ligatures w14:val="standardContextual"/>
        </w:rPr>
      </w:pPr>
      <w:r w:rsidRPr="00692D10">
        <w:rPr>
          <w:rFonts w:ascii="Verdana" w:eastAsia="Calibri" w:hAnsi="Verdana" w:cs="Arial"/>
          <w:b/>
          <w:bCs/>
          <w:lang w:val="es-MX" w:eastAsia="es-ES_tradnl"/>
          <w14:ligatures w14:val="standardContextual"/>
        </w:rPr>
        <w:t>CLASIFICADOR DE BIENES Y SERVICIOS – Noción – Decreto 1082 de 2015 – Sistema de codificación de las Naciones Unidades</w:t>
      </w:r>
    </w:p>
    <w:p w14:paraId="468271F8" w14:textId="77777777" w:rsidR="005B309D" w:rsidRPr="00692D10" w:rsidRDefault="005B309D" w:rsidP="005B309D">
      <w:pPr>
        <w:spacing w:after="0" w:line="240" w:lineRule="auto"/>
        <w:contextualSpacing/>
        <w:jc w:val="both"/>
        <w:rPr>
          <w:rFonts w:ascii="Verdana" w:eastAsia="Calibri" w:hAnsi="Verdana" w:cs="Arial"/>
          <w:b/>
          <w:bCs/>
          <w:highlight w:val="yellow"/>
          <w:lang w:val="es-MX" w:eastAsia="es-ES_tradnl"/>
          <w14:ligatures w14:val="standardContextual"/>
        </w:rPr>
      </w:pPr>
    </w:p>
    <w:p w14:paraId="155B0639" w14:textId="77777777" w:rsidR="005B309D" w:rsidRPr="00692D10" w:rsidRDefault="005B309D" w:rsidP="005B309D">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sidRPr="00692D10">
        <w:rPr>
          <w:rFonts w:ascii="Verdana" w:eastAsia="Times New Roman" w:hAnsi="Verdana" w:cs="Arial"/>
          <w:noProof/>
          <w:sz w:val="20"/>
          <w:szCs w:val="20"/>
          <w:lang w:val="es-ES_tradnl" w:eastAsia="es-ES_tradnl"/>
          <w14:ligatures w14:val="standardContextual"/>
        </w:rPr>
        <w:t>El artículo 2.2.1.1.1.3.1 del Decreto 1082 de 2015 define el Clasificador de Bienes y Servicios como el “Sistema de codificación de las Naciones Unidades para estandarizar productos y servicios, conocido por las siglas UNSPSC”. La principal utilidad de este sistema de clasificación es codificar productos y servicios de forma clara ya que “se basa en estándares acordados por la industria los cuales facilitan el comercio entre empresas y gobierno” . Por su parte, el artículo 2.2.1.1.1.4.1 del Decreto 1082 de 2015 referente al deber de elaborar el Plan Anual de Adquisiciones, establece que en la expedición de dicho documento las entidades deben incluir “la necesidad y cuando conoce el bien, obra o servicio que satisface esa necesidad debe identificarlo utilizando el Clasificador de Bienes y Servicios”.</w:t>
      </w:r>
    </w:p>
    <w:p w14:paraId="600A64FD" w14:textId="77777777" w:rsidR="005B309D" w:rsidRPr="00692D10"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09D1252A" w14:textId="77777777" w:rsidR="005B309D" w:rsidRPr="00692D10" w:rsidRDefault="005B309D" w:rsidP="005B309D">
      <w:pPr>
        <w:spacing w:after="0" w:line="240" w:lineRule="auto"/>
        <w:contextualSpacing/>
        <w:jc w:val="both"/>
        <w:rPr>
          <w:rFonts w:ascii="Verdana" w:eastAsia="Calibri" w:hAnsi="Verdana" w:cs="Arial"/>
          <w:b/>
          <w:bCs/>
          <w:highlight w:val="yellow"/>
          <w:lang w:val="es-MX" w:eastAsia="es-ES_tradnl"/>
          <w14:ligatures w14:val="standardContextual"/>
        </w:rPr>
      </w:pPr>
      <w:r w:rsidRPr="00692D10">
        <w:rPr>
          <w:rFonts w:ascii="Verdana" w:eastAsia="Calibri" w:hAnsi="Verdana" w:cs="Arial"/>
          <w:b/>
          <w:bCs/>
          <w:lang w:val="es-MX" w:eastAsia="es-ES_tradnl"/>
          <w14:ligatures w14:val="standardContextual"/>
        </w:rPr>
        <w:t>REQUISITOS HABILITANTES – Definición – Función – Experiencia</w:t>
      </w:r>
    </w:p>
    <w:p w14:paraId="378B7B46" w14:textId="77777777" w:rsidR="005B309D" w:rsidRPr="00692D10" w:rsidRDefault="005B309D" w:rsidP="005B309D">
      <w:pPr>
        <w:spacing w:after="0" w:line="240" w:lineRule="auto"/>
        <w:contextualSpacing/>
        <w:jc w:val="both"/>
        <w:rPr>
          <w:rFonts w:ascii="Verdana" w:eastAsia="Calibri" w:hAnsi="Verdana" w:cs="Arial"/>
          <w:b/>
          <w:bCs/>
          <w:highlight w:val="yellow"/>
          <w:lang w:val="es-MX" w:eastAsia="es-ES_tradnl"/>
          <w14:ligatures w14:val="standardContextual"/>
        </w:rPr>
      </w:pPr>
    </w:p>
    <w:p w14:paraId="7D04FD0D" w14:textId="77777777" w:rsidR="005B309D" w:rsidRDefault="005B309D" w:rsidP="005B309D">
      <w:pPr>
        <w:spacing w:after="0" w:line="240" w:lineRule="auto"/>
        <w:contextualSpacing/>
        <w:jc w:val="both"/>
        <w:rPr>
          <w:rFonts w:ascii="Verdana" w:eastAsia="Times New Roman" w:hAnsi="Verdana" w:cs="Arial"/>
          <w:noProof/>
          <w:sz w:val="20"/>
          <w:szCs w:val="20"/>
          <w:lang w:val="es-ES_tradnl" w:eastAsia="es-ES_tradnl"/>
          <w14:ligatures w14:val="standardContextual"/>
        </w:rPr>
      </w:pPr>
      <w:r w:rsidRPr="00692D10">
        <w:rPr>
          <w:rFonts w:ascii="Verdana" w:eastAsia="Times New Roman" w:hAnsi="Verdana" w:cs="Arial"/>
          <w:noProof/>
          <w:sz w:val="20"/>
          <w:szCs w:val="20"/>
          <w:lang w:val="es-ES_tradnl" w:eastAsia="es-ES_tradnl"/>
          <w14:ligatures w14:val="standardContextual"/>
        </w:rPr>
        <w:t>Los requisitos habilitantes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Adicionalmente, se tiene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los parágrafos 1° al 4° del artículo 5 de la Ley 1150 de 2007.</w:t>
      </w:r>
    </w:p>
    <w:p w14:paraId="080F5E57" w14:textId="77777777" w:rsidR="005B309D" w:rsidRPr="00692D10" w:rsidRDefault="005B309D" w:rsidP="005B309D">
      <w:pPr>
        <w:spacing w:after="0" w:line="240" w:lineRule="auto"/>
        <w:contextualSpacing/>
        <w:jc w:val="both"/>
        <w:rPr>
          <w:rFonts w:ascii="Verdana" w:eastAsia="Times New Roman" w:hAnsi="Verdana" w:cs="Arial"/>
          <w:noProof/>
          <w:sz w:val="20"/>
          <w:szCs w:val="20"/>
          <w:lang w:val="es-ES_tradnl" w:eastAsia="es-ES_tradnl"/>
          <w14:ligatures w14:val="standardContextual"/>
        </w:rPr>
      </w:pPr>
    </w:p>
    <w:p w14:paraId="3F0D8993" w14:textId="77777777" w:rsidR="005B309D" w:rsidRPr="00692D10"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r w:rsidRPr="00692D10">
        <w:rPr>
          <w:rFonts w:ascii="Verdana" w:eastAsia="Times New Roman" w:hAnsi="Verdana" w:cs="Arial"/>
          <w:noProof/>
          <w:sz w:val="20"/>
          <w:szCs w:val="20"/>
          <w:lang w:val="es-ES_tradnl" w:eastAsia="es-ES_tradnl"/>
          <w14:ligatures w14:val="standardContextual"/>
        </w:rPr>
        <w:t>[…]Frente al requisito habilitante de experiencia, en el “Manual para determinar y verificar requisitos habilitantes en los procesos de contratación” elaborado por esta Agencia, se define la experiencia como “el conocimiento del proponente derivado de su participación previa en actividades iguales o similares a las previstas en el objeto del contrato”.</w:t>
      </w:r>
    </w:p>
    <w:p w14:paraId="056399E2"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14B1E582"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315860CD"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0B5B6116"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130A37E7"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0984FE43"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7D237DF5"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1332717D"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401D97D1" w14:textId="77777777" w:rsidR="005B309D"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60DE43EB" w14:textId="77777777" w:rsidR="005B309D" w:rsidRPr="00692D10" w:rsidRDefault="005B309D" w:rsidP="005B309D">
      <w:pPr>
        <w:spacing w:after="0" w:line="240" w:lineRule="auto"/>
        <w:contextualSpacing/>
        <w:jc w:val="both"/>
        <w:rPr>
          <w:rFonts w:ascii="Verdana" w:eastAsia="Times New Roman" w:hAnsi="Verdana" w:cs="Arial"/>
          <w:noProof/>
          <w:sz w:val="20"/>
          <w:szCs w:val="20"/>
          <w:highlight w:val="yellow"/>
          <w:lang w:val="es-ES_tradnl" w:eastAsia="es-ES_tradnl"/>
          <w14:ligatures w14:val="standardContextual"/>
        </w:rPr>
      </w:pPr>
    </w:p>
    <w:p w14:paraId="6EB30C82" w14:textId="77777777" w:rsidR="005B309D" w:rsidRPr="00692D10" w:rsidRDefault="005B309D" w:rsidP="00B004E7">
      <w:pPr>
        <w:spacing w:after="0" w:line="240" w:lineRule="auto"/>
        <w:rPr>
          <w:rFonts w:ascii="Verdana" w:eastAsia="Geomanist Light" w:hAnsi="Verdana" w:cs="Arial"/>
          <w:lang w:val="es-MX"/>
        </w:rPr>
      </w:pPr>
    </w:p>
    <w:p w14:paraId="332B9C1B" w14:textId="77777777" w:rsidR="00B004E7" w:rsidRPr="00692D10" w:rsidRDefault="00B004E7" w:rsidP="00B004E7">
      <w:pPr>
        <w:spacing w:after="0" w:line="240" w:lineRule="auto"/>
        <w:rPr>
          <w:rFonts w:ascii="Verdana" w:eastAsia="Geomanist Light" w:hAnsi="Verdana" w:cs="Arial"/>
          <w:lang w:val="es-MX"/>
        </w:rPr>
      </w:pPr>
      <w:r w:rsidRPr="00692D10">
        <w:rPr>
          <w:rFonts w:ascii="Verdana" w:eastAsia="Geomanist Light" w:hAnsi="Verdana" w:cs="Arial"/>
          <w:lang w:val="es-MX"/>
        </w:rPr>
        <w:lastRenderedPageBreak/>
        <w:t>Bogotá D.C., [Día] de [</w:t>
      </w:r>
      <w:proofErr w:type="spellStart"/>
      <w:r w:rsidRPr="00692D10">
        <w:rPr>
          <w:rFonts w:ascii="Verdana" w:eastAsia="Geomanist Light" w:hAnsi="Verdana" w:cs="Arial"/>
          <w:lang w:val="es-MX"/>
        </w:rPr>
        <w:t>Mes.NombreCapitalizado</w:t>
      </w:r>
      <w:proofErr w:type="spellEnd"/>
      <w:r w:rsidRPr="00692D10">
        <w:rPr>
          <w:rFonts w:ascii="Verdana" w:eastAsia="Geomanist Light" w:hAnsi="Verdana" w:cs="Arial"/>
          <w:lang w:val="es-MX"/>
        </w:rPr>
        <w:t>] de [Año]</w:t>
      </w:r>
    </w:p>
    <w:p w14:paraId="2B107A6C" w14:textId="64C0DF47" w:rsidR="00B004E7" w:rsidRPr="00692D10" w:rsidRDefault="00B004E7" w:rsidP="00B004E7">
      <w:pPr>
        <w:spacing w:after="0" w:line="240" w:lineRule="auto"/>
        <w:jc w:val="both"/>
        <w:rPr>
          <w:rFonts w:ascii="Verdana" w:eastAsia="Calibri" w:hAnsi="Verdana" w:cs="Arial"/>
          <w:lang w:val="es-ES"/>
        </w:rPr>
      </w:pPr>
    </w:p>
    <w:p w14:paraId="40F43C1B" w14:textId="56429E87" w:rsidR="00B004E7" w:rsidRPr="00692D10" w:rsidRDefault="005B309D" w:rsidP="00B004E7">
      <w:pPr>
        <w:spacing w:after="0" w:line="240" w:lineRule="auto"/>
        <w:jc w:val="both"/>
        <w:rPr>
          <w:rFonts w:ascii="Verdana" w:eastAsia="Calibri" w:hAnsi="Verdana" w:cs="Arial"/>
          <w:lang w:val="es-ES" w:eastAsia="es-ES"/>
        </w:rPr>
      </w:pPr>
      <w:r w:rsidRPr="005B309D">
        <w:rPr>
          <w:rFonts w:ascii="Verdana" w:eastAsia="Calibri" w:hAnsi="Verdana" w:cs="Arial"/>
          <w:lang w:val="es-ES" w:eastAsia="es-ES"/>
        </w:rPr>
        <w:drawing>
          <wp:anchor distT="0" distB="0" distL="114300" distR="114300" simplePos="0" relativeHeight="251658240" behindDoc="1" locked="0" layoutInCell="1" allowOverlap="1" wp14:anchorId="7DAC59B5" wp14:editId="49E06F07">
            <wp:simplePos x="0" y="0"/>
            <wp:positionH relativeFrom="column">
              <wp:posOffset>3181377</wp:posOffset>
            </wp:positionH>
            <wp:positionV relativeFrom="paragraph">
              <wp:posOffset>29210</wp:posOffset>
            </wp:positionV>
            <wp:extent cx="2117586" cy="643944"/>
            <wp:effectExtent l="0" t="0" r="0" b="3810"/>
            <wp:wrapNone/>
            <wp:docPr id="594311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1189" name="Imagen 1"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7586" cy="643944"/>
                    </a:xfrm>
                    <a:prstGeom prst="rect">
                      <a:avLst/>
                    </a:prstGeom>
                  </pic:spPr>
                </pic:pic>
              </a:graphicData>
            </a:graphic>
            <wp14:sizeRelH relativeFrom="page">
              <wp14:pctWidth>0</wp14:pctWidth>
            </wp14:sizeRelH>
            <wp14:sizeRelV relativeFrom="page">
              <wp14:pctHeight>0</wp14:pctHeight>
            </wp14:sizeRelV>
          </wp:anchor>
        </w:drawing>
      </w:r>
    </w:p>
    <w:p w14:paraId="74B2A4FB" w14:textId="77777777" w:rsidR="00B004E7" w:rsidRPr="00692D10" w:rsidRDefault="00B004E7" w:rsidP="00B004E7">
      <w:pPr>
        <w:spacing w:after="0" w:line="240" w:lineRule="auto"/>
        <w:jc w:val="both"/>
        <w:rPr>
          <w:rFonts w:ascii="Verdana" w:eastAsia="Calibri" w:hAnsi="Verdana" w:cs="Arial"/>
          <w:lang w:val="es-ES" w:eastAsia="es-ES"/>
        </w:rPr>
      </w:pPr>
      <w:r w:rsidRPr="00692D10">
        <w:rPr>
          <w:rFonts w:ascii="Verdana" w:eastAsia="Calibri" w:hAnsi="Verdana" w:cs="Arial"/>
          <w:lang w:val="es-ES" w:eastAsia="es-ES"/>
        </w:rPr>
        <w:t>Señor</w:t>
      </w:r>
    </w:p>
    <w:p w14:paraId="047034D6" w14:textId="77777777" w:rsidR="00B004E7" w:rsidRPr="002A226C" w:rsidRDefault="00B004E7" w:rsidP="00B004E7">
      <w:pPr>
        <w:spacing w:after="0" w:line="240" w:lineRule="auto"/>
        <w:rPr>
          <w:rFonts w:ascii="Verdana" w:eastAsia="Calibri" w:hAnsi="Verdana" w:cs="Arial"/>
          <w:bCs/>
          <w:lang w:val="es-ES_tradnl" w:eastAsia="es-ES_tradnl"/>
        </w:rPr>
      </w:pPr>
      <w:r w:rsidRPr="002A226C">
        <w:rPr>
          <w:rFonts w:ascii="Verdana" w:eastAsia="Calibri" w:hAnsi="Verdana" w:cs="Arial"/>
          <w:bCs/>
          <w:lang w:val="es-ES_tradnl" w:eastAsia="es-ES_tradnl"/>
        </w:rPr>
        <w:t>Ofir Hayden Sanabria</w:t>
      </w:r>
    </w:p>
    <w:p w14:paraId="5FA7AEC3" w14:textId="77777777" w:rsidR="00B004E7" w:rsidRDefault="00B004E7" w:rsidP="00B004E7">
      <w:pPr>
        <w:spacing w:after="0" w:line="240" w:lineRule="auto"/>
      </w:pPr>
      <w:hyperlink r:id="rId12" w:history="1">
        <w:r w:rsidRPr="00440724">
          <w:rPr>
            <w:rStyle w:val="Hipervnculo"/>
          </w:rPr>
          <w:t>licitacionohs@gmail.com</w:t>
        </w:r>
      </w:hyperlink>
    </w:p>
    <w:p w14:paraId="3EE85172" w14:textId="77777777" w:rsidR="00B004E7" w:rsidRPr="00692D10" w:rsidRDefault="00B004E7" w:rsidP="00B004E7">
      <w:pPr>
        <w:spacing w:after="0" w:line="240" w:lineRule="auto"/>
        <w:rPr>
          <w:rFonts w:ascii="Verdana" w:eastAsia="Calibri" w:hAnsi="Verdana" w:cs="Arial"/>
          <w:b/>
          <w:bCs/>
          <w:lang w:val="es-ES_tradnl" w:eastAsia="es-ES_tradnl"/>
        </w:rPr>
      </w:pPr>
      <w:r w:rsidRPr="00692D10">
        <w:rPr>
          <w:rFonts w:ascii="Verdana" w:eastAsia="Geomanist Light" w:hAnsi="Verdana" w:cs="Arial"/>
          <w:lang w:val="es-MX"/>
        </w:rPr>
        <w:t>Bogotá D.C., </w:t>
      </w:r>
    </w:p>
    <w:p w14:paraId="71895DC0" w14:textId="77777777" w:rsidR="00B004E7" w:rsidRPr="00692D10" w:rsidRDefault="00B004E7" w:rsidP="00B004E7">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004E7" w:rsidRPr="00692D10" w14:paraId="357DD4AB" w14:textId="77777777" w:rsidTr="00BD407E">
        <w:trPr>
          <w:trHeight w:val="884"/>
        </w:trPr>
        <w:tc>
          <w:tcPr>
            <w:tcW w:w="2689" w:type="dxa"/>
          </w:tcPr>
          <w:p w14:paraId="3DDE78B3" w14:textId="77777777" w:rsidR="00B004E7" w:rsidRPr="00692D10" w:rsidRDefault="00B004E7" w:rsidP="00BD407E">
            <w:pPr>
              <w:jc w:val="both"/>
              <w:rPr>
                <w:rFonts w:ascii="Verdana" w:eastAsia="Calibri" w:hAnsi="Verdana" w:cs="Arial"/>
                <w:b/>
                <w:bCs/>
                <w:lang w:val="es-ES_tradnl" w:eastAsia="es-ES_tradnl"/>
              </w:rPr>
            </w:pPr>
          </w:p>
        </w:tc>
        <w:tc>
          <w:tcPr>
            <w:tcW w:w="6100" w:type="dxa"/>
          </w:tcPr>
          <w:p w14:paraId="1AC93EE0" w14:textId="77777777" w:rsidR="00B004E7" w:rsidRPr="00692D10" w:rsidRDefault="00B004E7" w:rsidP="00BD407E">
            <w:pPr>
              <w:jc w:val="both"/>
              <w:rPr>
                <w:rFonts w:ascii="Verdana" w:eastAsia="Calibri" w:hAnsi="Verdana" w:cs="Arial"/>
                <w:b/>
                <w:bCs/>
                <w:lang w:val="es-ES" w:eastAsia="es-ES"/>
              </w:rPr>
            </w:pPr>
            <w:r w:rsidRPr="00692D10">
              <w:rPr>
                <w:rFonts w:ascii="Verdana" w:eastAsia="Calibri" w:hAnsi="Verdana" w:cs="Arial"/>
                <w:b/>
                <w:bCs/>
                <w:lang w:val="es-ES" w:eastAsia="es-ES"/>
              </w:rPr>
              <w:t xml:space="preserve">Concepto C- </w:t>
            </w:r>
            <w:r>
              <w:rPr>
                <w:rFonts w:ascii="Verdana" w:eastAsia="Calibri" w:hAnsi="Verdana" w:cs="Arial"/>
                <w:b/>
                <w:bCs/>
                <w:lang w:val="es-ES" w:eastAsia="es-ES"/>
              </w:rPr>
              <w:t>583</w:t>
            </w:r>
            <w:r w:rsidRPr="00692D10">
              <w:rPr>
                <w:rFonts w:ascii="Verdana" w:eastAsia="Calibri" w:hAnsi="Verdana" w:cs="Arial"/>
                <w:b/>
                <w:bCs/>
                <w:lang w:val="es-ES" w:eastAsia="es-ES"/>
              </w:rPr>
              <w:t xml:space="preserve"> de 2024</w:t>
            </w:r>
          </w:p>
        </w:tc>
      </w:tr>
      <w:tr w:rsidR="00B004E7" w:rsidRPr="00692D10" w14:paraId="0532D604" w14:textId="77777777" w:rsidTr="00BD407E">
        <w:trPr>
          <w:trHeight w:val="884"/>
        </w:trPr>
        <w:tc>
          <w:tcPr>
            <w:tcW w:w="2689" w:type="dxa"/>
          </w:tcPr>
          <w:p w14:paraId="37546DED" w14:textId="77777777" w:rsidR="00B004E7" w:rsidRPr="00692D10" w:rsidRDefault="00B004E7" w:rsidP="00BD407E">
            <w:pPr>
              <w:jc w:val="both"/>
              <w:rPr>
                <w:rFonts w:ascii="Verdana" w:eastAsia="Calibri" w:hAnsi="Verdana" w:cs="Arial"/>
                <w:highlight w:val="yellow"/>
                <w:lang w:val="es-ES_tradnl" w:eastAsia="es-ES_tradnl"/>
              </w:rPr>
            </w:pPr>
            <w:r w:rsidRPr="00692D10">
              <w:rPr>
                <w:rFonts w:ascii="Verdana" w:eastAsia="Calibri" w:hAnsi="Verdana" w:cs="Arial"/>
                <w:b/>
                <w:lang w:val="es-ES_tradnl" w:eastAsia="es-ES_tradnl"/>
              </w:rPr>
              <w:t>Temas:</w:t>
            </w:r>
            <w:r w:rsidRPr="00692D10">
              <w:rPr>
                <w:rFonts w:ascii="Verdana" w:eastAsia="Calibri" w:hAnsi="Verdana" w:cs="Arial"/>
                <w:lang w:val="es-ES_tradnl" w:eastAsia="es-ES_tradnl"/>
              </w:rPr>
              <w:t xml:space="preserve">                   </w:t>
            </w:r>
          </w:p>
        </w:tc>
        <w:tc>
          <w:tcPr>
            <w:tcW w:w="6100" w:type="dxa"/>
          </w:tcPr>
          <w:p w14:paraId="3D09F3B7" w14:textId="77777777" w:rsidR="00B004E7" w:rsidRPr="00692D10" w:rsidRDefault="00B004E7" w:rsidP="00BD407E">
            <w:pPr>
              <w:spacing w:line="276" w:lineRule="auto"/>
              <w:jc w:val="both"/>
              <w:rPr>
                <w:rFonts w:ascii="Verdana" w:eastAsia="Calibri" w:hAnsi="Verdana" w:cs="Arial"/>
                <w:lang w:val="es-ES" w:eastAsia="es-ES"/>
              </w:rPr>
            </w:pPr>
            <w:r w:rsidRPr="00692D10">
              <w:rPr>
                <w:rFonts w:ascii="Verdana" w:eastAsia="Calibri" w:hAnsi="Verdana" w:cs="Arial"/>
                <w:lang w:val="es-ES" w:eastAsia="es-ES"/>
              </w:rPr>
              <w:t>CLASIFICADOR DE BIENES Y SERVICIOS – Noción – Decreto 1082 de 2015 – Sistema de codificación de las Naciones Unidades / REQUISITOS HABILITANTES – Definición – Función – Experiencia / CAUSALES DE RECHAZO – Estipulación – Carácter restrictivo – Exclusión del carácter arbitrario</w:t>
            </w:r>
          </w:p>
          <w:p w14:paraId="41D78C6C" w14:textId="77777777" w:rsidR="00B004E7" w:rsidRPr="00692D10" w:rsidRDefault="00B004E7" w:rsidP="00BD407E">
            <w:pPr>
              <w:spacing w:line="276" w:lineRule="auto"/>
              <w:jc w:val="both"/>
              <w:rPr>
                <w:rFonts w:ascii="Verdana" w:eastAsia="Calibri" w:hAnsi="Verdana" w:cs="Arial"/>
                <w:highlight w:val="yellow"/>
                <w:lang w:val="es-ES" w:eastAsia="es-ES"/>
              </w:rPr>
            </w:pPr>
          </w:p>
        </w:tc>
      </w:tr>
      <w:tr w:rsidR="00B004E7" w:rsidRPr="00692D10" w14:paraId="4EE09437" w14:textId="77777777" w:rsidTr="00BD407E">
        <w:tc>
          <w:tcPr>
            <w:tcW w:w="2689" w:type="dxa"/>
          </w:tcPr>
          <w:p w14:paraId="0A491593" w14:textId="77777777" w:rsidR="00B004E7" w:rsidRPr="00692D10" w:rsidRDefault="00B004E7" w:rsidP="00BD407E">
            <w:pPr>
              <w:jc w:val="both"/>
              <w:rPr>
                <w:rFonts w:ascii="Verdana" w:eastAsia="Calibri" w:hAnsi="Verdana" w:cs="Arial"/>
                <w:b/>
                <w:lang w:val="es-ES_tradnl" w:eastAsia="es-ES_tradnl"/>
              </w:rPr>
            </w:pPr>
            <w:r w:rsidRPr="00692D10">
              <w:rPr>
                <w:rFonts w:ascii="Verdana" w:eastAsia="Calibri" w:hAnsi="Verdana" w:cs="Arial"/>
                <w:b/>
                <w:lang w:val="es-ES_tradnl" w:eastAsia="es-ES_tradnl"/>
              </w:rPr>
              <w:t>Radicación:</w:t>
            </w:r>
            <w:r w:rsidRPr="00692D10">
              <w:rPr>
                <w:rFonts w:ascii="Verdana" w:eastAsia="Calibri" w:hAnsi="Verdana" w:cs="Arial"/>
                <w:lang w:val="es-ES_tradnl" w:eastAsia="es-ES_tradnl"/>
              </w:rPr>
              <w:t xml:space="preserve">               </w:t>
            </w:r>
          </w:p>
        </w:tc>
        <w:tc>
          <w:tcPr>
            <w:tcW w:w="6100" w:type="dxa"/>
          </w:tcPr>
          <w:p w14:paraId="558CFD4F" w14:textId="21CBB0EC" w:rsidR="00D357A8" w:rsidRPr="00311042" w:rsidRDefault="00B004E7" w:rsidP="00D357A8">
            <w:r w:rsidRPr="00692D10">
              <w:rPr>
                <w:rFonts w:ascii="Verdana" w:eastAsia="Calibri" w:hAnsi="Verdana" w:cs="Arial"/>
                <w:lang w:val="es-ES_tradnl" w:eastAsia="es-ES_tradnl"/>
              </w:rPr>
              <w:t xml:space="preserve">Respuesta a consulta con radicado No. </w:t>
            </w:r>
            <w:r w:rsidR="00D357A8" w:rsidRPr="00311042">
              <w:rPr>
                <w:rFonts w:ascii="Verdana" w:eastAsia="Geomanist Light" w:hAnsi="Verdana" w:cs="Arial"/>
                <w:lang w:val="es-MX"/>
              </w:rPr>
              <w:t>P20240910009208</w:t>
            </w:r>
            <w:r w:rsidR="00FC4573">
              <w:rPr>
                <w:rFonts w:ascii="Verdana" w:eastAsia="Geomanist Light" w:hAnsi="Verdana" w:cs="Arial"/>
                <w:lang w:val="es-MX"/>
              </w:rPr>
              <w:t>.</w:t>
            </w:r>
          </w:p>
          <w:p w14:paraId="30CD4BC5" w14:textId="1CDEAA40" w:rsidR="00B004E7" w:rsidRPr="00692D10" w:rsidRDefault="00B004E7" w:rsidP="00BD407E">
            <w:pPr>
              <w:jc w:val="both"/>
              <w:rPr>
                <w:rFonts w:ascii="Verdana" w:eastAsia="Calibri" w:hAnsi="Verdana" w:cs="Arial"/>
                <w:lang w:val="es-ES_tradnl" w:eastAsia="es-ES_tradnl"/>
              </w:rPr>
            </w:pPr>
          </w:p>
        </w:tc>
      </w:tr>
    </w:tbl>
    <w:p w14:paraId="18A2DF0B" w14:textId="77777777" w:rsidR="00B004E7" w:rsidRPr="00692D10" w:rsidRDefault="00B004E7" w:rsidP="00B004E7">
      <w:pPr>
        <w:spacing w:after="0" w:line="240" w:lineRule="auto"/>
        <w:jc w:val="both"/>
        <w:rPr>
          <w:rFonts w:ascii="Verdana" w:eastAsia="Calibri" w:hAnsi="Verdana" w:cs="Arial"/>
          <w:lang w:val="es-ES_tradnl" w:eastAsia="es-ES_tradnl"/>
        </w:rPr>
      </w:pPr>
    </w:p>
    <w:p w14:paraId="3B537367" w14:textId="77777777" w:rsidR="00B004E7" w:rsidRPr="00692D10" w:rsidRDefault="00B004E7" w:rsidP="00B004E7">
      <w:pPr>
        <w:spacing w:after="0" w:line="240" w:lineRule="auto"/>
        <w:jc w:val="both"/>
        <w:rPr>
          <w:rFonts w:ascii="Verdana" w:eastAsia="Calibri" w:hAnsi="Verdana" w:cs="Arial"/>
          <w:lang w:val="es-ES_tradnl" w:eastAsia="es-ES_tradnl"/>
        </w:rPr>
      </w:pPr>
    </w:p>
    <w:p w14:paraId="0B7EF80F" w14:textId="77777777" w:rsidR="00B004E7" w:rsidRPr="00692D10" w:rsidRDefault="00B004E7" w:rsidP="00B004E7">
      <w:pPr>
        <w:spacing w:after="0" w:line="276" w:lineRule="auto"/>
        <w:jc w:val="both"/>
        <w:rPr>
          <w:rFonts w:ascii="Verdana" w:eastAsia="Calibri" w:hAnsi="Verdana" w:cs="Arial"/>
          <w:lang w:val="es-ES" w:eastAsia="es-ES"/>
        </w:rPr>
      </w:pPr>
      <w:r w:rsidRPr="00692D10">
        <w:rPr>
          <w:rFonts w:ascii="Verdana" w:eastAsia="Calibri" w:hAnsi="Verdana" w:cs="Arial"/>
          <w:lang w:val="es-ES" w:eastAsia="es-ES"/>
        </w:rPr>
        <w:t xml:space="preserve">Estimado señor </w:t>
      </w:r>
      <w:r>
        <w:rPr>
          <w:rFonts w:ascii="Verdana" w:eastAsia="Calibri" w:hAnsi="Verdana" w:cs="Arial"/>
          <w:lang w:val="es-ES" w:eastAsia="es-ES"/>
        </w:rPr>
        <w:t>Sanabria</w:t>
      </w:r>
      <w:r w:rsidRPr="00692D10">
        <w:rPr>
          <w:rFonts w:ascii="Verdana" w:eastAsia="Calibri" w:hAnsi="Verdana" w:cs="Arial"/>
          <w:lang w:val="es-ES" w:eastAsia="es-ES"/>
        </w:rPr>
        <w:t xml:space="preserve">: </w:t>
      </w:r>
    </w:p>
    <w:p w14:paraId="20FF0F6C" w14:textId="77777777" w:rsidR="00B004E7" w:rsidRPr="00692D10" w:rsidRDefault="00B004E7" w:rsidP="00B004E7">
      <w:pPr>
        <w:tabs>
          <w:tab w:val="left" w:pos="3768"/>
        </w:tabs>
        <w:spacing w:after="0" w:line="276" w:lineRule="auto"/>
        <w:jc w:val="both"/>
        <w:rPr>
          <w:rFonts w:ascii="Verdana" w:eastAsia="Calibri" w:hAnsi="Verdana" w:cs="Arial"/>
          <w:lang w:val="es-ES" w:eastAsia="es-ES"/>
        </w:rPr>
      </w:pPr>
      <w:r w:rsidRPr="00692D10">
        <w:rPr>
          <w:rFonts w:ascii="Verdana" w:eastAsia="Calibri" w:hAnsi="Verdana" w:cs="Arial"/>
          <w:lang w:val="es-ES" w:eastAsia="es-ES"/>
        </w:rPr>
        <w:tab/>
      </w:r>
    </w:p>
    <w:p w14:paraId="73FF7002" w14:textId="77777777" w:rsidR="00B004E7" w:rsidRDefault="00B004E7" w:rsidP="00B004E7">
      <w:pPr>
        <w:spacing w:after="0" w:line="276" w:lineRule="auto"/>
        <w:jc w:val="both"/>
        <w:rPr>
          <w:rFonts w:ascii="Verdana" w:eastAsia="Calibri" w:hAnsi="Verdana" w:cs="Arial"/>
          <w:lang w:val="es-ES" w:eastAsia="es-ES"/>
        </w:rPr>
      </w:pPr>
      <w:r w:rsidRPr="00692D10">
        <w:rPr>
          <w:rFonts w:ascii="Verdana" w:eastAsia="Calibri" w:hAnsi="Verdana" w:cs="Arial"/>
          <w:lang w:val="es-ES" w:eastAsia="es-ES"/>
        </w:rPr>
        <w:t>En ejercicio de la competencia otorgada por los artículos 3, numeral 5º, y 11, numeral 8º, del Decreto Ley 4170 de 2011,</w:t>
      </w:r>
      <w:r w:rsidRPr="00692D10">
        <w:rPr>
          <w:rFonts w:ascii="Verdana" w:eastAsia="Arial MT" w:hAnsi="Verdana" w:cs="Arial MT"/>
          <w:lang w:val="es-ES" w:eastAsia="es-ES"/>
        </w:rPr>
        <w:t xml:space="preserve"> </w:t>
      </w:r>
      <w:r w:rsidRPr="00692D10">
        <w:rPr>
          <w:rFonts w:ascii="Verdana" w:hAnsi="Verdana" w:cs="Arial"/>
        </w:rPr>
        <w:t xml:space="preserve">así como lo establecido en el artículo 4 de la Resolución 1707 de 2018 expedida por esta Entidad, </w:t>
      </w:r>
      <w:r w:rsidRPr="00692D10">
        <w:rPr>
          <w:rFonts w:ascii="Verdana" w:eastAsia="Calibri" w:hAnsi="Verdana" w:cs="Arial"/>
          <w:lang w:val="es-ES" w:eastAsia="es-ES"/>
        </w:rPr>
        <w:t xml:space="preserve">la Agencia Nacional de Contratación Pública – Colombia Compra Eficiente– responde su solicitud de consulta de fecha del </w:t>
      </w:r>
      <w:r>
        <w:rPr>
          <w:rFonts w:ascii="Verdana" w:eastAsia="Calibri" w:hAnsi="Verdana" w:cs="Arial"/>
          <w:lang w:val="es-ES" w:eastAsia="es-ES"/>
        </w:rPr>
        <w:t>10</w:t>
      </w:r>
      <w:r w:rsidRPr="00692D10">
        <w:rPr>
          <w:rFonts w:ascii="Verdana" w:eastAsia="Calibri" w:hAnsi="Verdana" w:cs="Arial"/>
          <w:lang w:val="es-ES" w:eastAsia="es-ES"/>
        </w:rPr>
        <w:t xml:space="preserve"> de </w:t>
      </w:r>
      <w:r>
        <w:rPr>
          <w:rFonts w:ascii="Verdana" w:eastAsia="Calibri" w:hAnsi="Verdana" w:cs="Arial"/>
          <w:lang w:val="es-ES" w:eastAsia="es-ES"/>
        </w:rPr>
        <w:t>septiembre</w:t>
      </w:r>
      <w:r w:rsidRPr="00692D10">
        <w:rPr>
          <w:rFonts w:ascii="Verdana" w:eastAsia="Calibri" w:hAnsi="Verdana" w:cs="Arial"/>
          <w:lang w:val="es-ES" w:eastAsia="es-ES"/>
        </w:rPr>
        <w:t xml:space="preserve"> de 2024</w:t>
      </w:r>
      <w:r w:rsidRPr="00472CF4">
        <w:rPr>
          <w:rFonts w:ascii="Verdana" w:eastAsia="Calibri" w:hAnsi="Verdana" w:cs="Arial"/>
          <w:lang w:val="es-ES" w:eastAsia="es-ES"/>
        </w:rPr>
        <w:t>, en la cual manifiesta lo siguiente</w:t>
      </w:r>
      <w:r>
        <w:rPr>
          <w:rFonts w:ascii="Verdana" w:eastAsia="Calibri" w:hAnsi="Verdana" w:cs="Arial"/>
          <w:lang w:val="es-ES" w:eastAsia="es-ES"/>
        </w:rPr>
        <w:t xml:space="preserve">: </w:t>
      </w:r>
    </w:p>
    <w:p w14:paraId="2978EB66" w14:textId="77777777" w:rsidR="00B004E7" w:rsidRDefault="00B004E7" w:rsidP="00B004E7">
      <w:pPr>
        <w:spacing w:after="0" w:line="276" w:lineRule="auto"/>
        <w:jc w:val="both"/>
        <w:rPr>
          <w:rFonts w:ascii="Verdana" w:eastAsia="Calibri" w:hAnsi="Verdana" w:cs="Arial"/>
          <w:lang w:val="es-ES" w:eastAsia="es-ES"/>
        </w:rPr>
      </w:pPr>
    </w:p>
    <w:p w14:paraId="1EEB6679" w14:textId="77777777" w:rsidR="00B004E7" w:rsidRPr="00EA2F35" w:rsidRDefault="00B004E7" w:rsidP="00B004E7">
      <w:pPr>
        <w:spacing w:after="0" w:line="276" w:lineRule="auto"/>
        <w:ind w:left="709" w:right="709"/>
        <w:jc w:val="both"/>
        <w:rPr>
          <w:rFonts w:ascii="Verdana" w:eastAsia="Century Gothic" w:hAnsi="Verdana" w:cs="Century Gothic"/>
          <w:color w:val="000000" w:themeColor="text1"/>
          <w:sz w:val="20"/>
          <w:szCs w:val="20"/>
          <w:lang w:val="es-ES"/>
        </w:rPr>
      </w:pPr>
      <w:r w:rsidRPr="00EA2F35">
        <w:rPr>
          <w:rFonts w:ascii="Verdana" w:eastAsia="Calibri" w:hAnsi="Verdana" w:cs="Arial"/>
          <w:sz w:val="20"/>
          <w:szCs w:val="20"/>
          <w:lang w:val="es-ES" w:eastAsia="es-ES"/>
        </w:rPr>
        <w:t xml:space="preserve"> “</w:t>
      </w:r>
      <w:r w:rsidRPr="00EA2F35">
        <w:rPr>
          <w:rFonts w:ascii="Verdana" w:eastAsia="Aptos" w:hAnsi="Verdana" w:cs="Times New Roman"/>
          <w:i/>
          <w:iCs/>
          <w:color w:val="000000" w:themeColor="text1"/>
          <w:sz w:val="20"/>
          <w:szCs w:val="20"/>
        </w:rPr>
        <w:t xml:space="preserve">Solicito se me aclare si los códigos UNSPSC que las entidades solicitan en los pliegos son de obligatorio cumplimiento en su totalidad, la pregunta nace porque he encontrado en algunos procesos que la entidad aclara que los códigos son una guía, pero no es obligatorio tenerlos todos según concepto de Colombia compra eficiente. La inquietud surge porque Solicite a la aeronáutica civil en el proceso 2400111143 que nos permitiera participar por lo menos con un código UNSPSC, ellos niegan la petición, pero no vemos en su respuesta una razón con argumentos jurídicos que soporte dicha decisión. Yo entiendo que el valor de los contratos </w:t>
      </w:r>
      <w:r w:rsidRPr="00EA2F35">
        <w:rPr>
          <w:rFonts w:ascii="Verdana" w:eastAsia="Aptos" w:hAnsi="Verdana" w:cs="Times New Roman"/>
          <w:i/>
          <w:iCs/>
          <w:color w:val="000000" w:themeColor="text1"/>
          <w:sz w:val="20"/>
          <w:szCs w:val="20"/>
        </w:rPr>
        <w:lastRenderedPageBreak/>
        <w:t>registrados en el RUP se sustenta en su objeto real y no en el código inscrito, ya que se puede inscribir con el código acorde a su objeto, pero agregarle una cantidad de códigos como relleno y eso hace que las entidades exijan códigos de forma no usual. Por consiguiente, solicito respetuosamente a ustedes se me aclare jurídicamente mi consulta.”</w:t>
      </w:r>
      <w:r w:rsidRPr="00EA2F35">
        <w:rPr>
          <w:rFonts w:ascii="Verdana" w:eastAsia="Aptos" w:hAnsi="Verdana" w:cs="Times New Roman"/>
          <w:color w:val="000000" w:themeColor="text1"/>
          <w:sz w:val="20"/>
          <w:szCs w:val="20"/>
        </w:rPr>
        <w:t xml:space="preserve"> [SIC].</w:t>
      </w:r>
    </w:p>
    <w:p w14:paraId="47C6EF32" w14:textId="77777777" w:rsidR="00B004E7" w:rsidRPr="00692D10" w:rsidRDefault="00B004E7" w:rsidP="00B004E7">
      <w:pPr>
        <w:tabs>
          <w:tab w:val="left" w:pos="142"/>
          <w:tab w:val="left" w:pos="284"/>
        </w:tabs>
        <w:spacing w:line="276" w:lineRule="auto"/>
        <w:contextualSpacing/>
        <w:jc w:val="both"/>
        <w:rPr>
          <w:rFonts w:ascii="Verdana" w:eastAsia="Century Gothic" w:hAnsi="Verdana" w:cs="Century Gothic"/>
          <w:b/>
          <w:bCs/>
          <w:lang w:val="es-ES"/>
        </w:rPr>
      </w:pPr>
    </w:p>
    <w:p w14:paraId="35D336B1" w14:textId="77777777" w:rsidR="00B004E7" w:rsidRPr="00692D10" w:rsidRDefault="00B004E7" w:rsidP="00B004E7">
      <w:pPr>
        <w:spacing w:after="120" w:line="276" w:lineRule="auto"/>
        <w:ind w:firstLine="709"/>
        <w:jc w:val="both"/>
        <w:rPr>
          <w:rFonts w:ascii="Verdana" w:eastAsia="Calibri" w:hAnsi="Verdana" w:cs="Arial"/>
          <w:szCs w:val="24"/>
          <w:lang w:val="es-ES_tradnl" w:eastAsia="es-ES_tradnl"/>
        </w:rPr>
      </w:pPr>
      <w:r w:rsidRPr="00692D1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92D10">
        <w:rPr>
          <w:rFonts w:ascii="Verdana" w:eastAsia="Calibri" w:hAnsi="Verdana" w:cs="Arial"/>
          <w:szCs w:val="24"/>
          <w:lang w:val="es-ES_tradnl" w:eastAsia="es-ES_tradnl"/>
        </w:rPr>
        <w:tab/>
      </w:r>
    </w:p>
    <w:p w14:paraId="02E602DD" w14:textId="77777777" w:rsidR="00B004E7" w:rsidRDefault="00B004E7" w:rsidP="00B004E7">
      <w:pPr>
        <w:spacing w:after="0" w:line="276" w:lineRule="auto"/>
        <w:ind w:firstLine="709"/>
        <w:jc w:val="both"/>
        <w:rPr>
          <w:rFonts w:ascii="Verdana" w:eastAsia="Calibri" w:hAnsi="Verdana" w:cs="Arial"/>
          <w:lang w:val="es-ES" w:eastAsia="es-ES"/>
        </w:rPr>
      </w:pPr>
      <w:r w:rsidRPr="00692D1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2E0BEA1" w14:textId="77777777" w:rsidR="00B004E7" w:rsidRPr="00692D10" w:rsidRDefault="00B004E7" w:rsidP="00FC4573">
      <w:pPr>
        <w:spacing w:after="0" w:line="276" w:lineRule="auto"/>
        <w:jc w:val="both"/>
        <w:rPr>
          <w:rFonts w:ascii="Verdana" w:eastAsia="Calibri" w:hAnsi="Verdana" w:cs="Arial"/>
          <w:lang w:val="es-ES" w:eastAsia="es-ES"/>
        </w:rPr>
      </w:pPr>
    </w:p>
    <w:p w14:paraId="62FE1FDF" w14:textId="77777777" w:rsidR="00B004E7" w:rsidRPr="00692D10" w:rsidRDefault="00B004E7" w:rsidP="00B004E7">
      <w:pPr>
        <w:spacing w:after="0" w:line="276" w:lineRule="auto"/>
        <w:ind w:firstLine="709"/>
        <w:jc w:val="both"/>
        <w:rPr>
          <w:rFonts w:ascii="Verdana" w:eastAsia="Calibri" w:hAnsi="Verdana" w:cs="Arial"/>
          <w:lang w:val="es-ES" w:eastAsia="es-ES"/>
        </w:rPr>
      </w:pPr>
    </w:p>
    <w:p w14:paraId="4A1991BE" w14:textId="77777777" w:rsidR="00B004E7" w:rsidRPr="00692D10" w:rsidRDefault="00B004E7" w:rsidP="00B004E7">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692D10">
        <w:rPr>
          <w:rFonts w:ascii="Verdana" w:eastAsia="Arial" w:hAnsi="Verdana" w:cs="Arial"/>
          <w:b/>
          <w:bCs/>
          <w:lang w:val="es-ES"/>
        </w:rPr>
        <w:t>1. Problema planteado:</w:t>
      </w:r>
    </w:p>
    <w:p w14:paraId="51F8F6CC" w14:textId="77777777" w:rsidR="00B004E7" w:rsidRPr="00692D10" w:rsidRDefault="00B004E7" w:rsidP="00B004E7">
      <w:pPr>
        <w:tabs>
          <w:tab w:val="left" w:pos="426"/>
        </w:tabs>
        <w:spacing w:after="0" w:line="276" w:lineRule="auto"/>
        <w:jc w:val="both"/>
        <w:rPr>
          <w:rFonts w:ascii="Verdana" w:eastAsia="Century Gothic" w:hAnsi="Verdana" w:cs="Century Gothic"/>
          <w:lang w:val="es-ES"/>
        </w:rPr>
      </w:pPr>
    </w:p>
    <w:p w14:paraId="5720C29B" w14:textId="77777777" w:rsidR="00B004E7" w:rsidRDefault="00B004E7" w:rsidP="00B004E7">
      <w:pPr>
        <w:spacing w:after="0" w:line="276" w:lineRule="auto"/>
        <w:jc w:val="both"/>
        <w:rPr>
          <w:rFonts w:ascii="Verdana" w:eastAsia="Century Gothic" w:hAnsi="Verdana" w:cs="Century Gothic"/>
        </w:rPr>
      </w:pPr>
      <w:r w:rsidRPr="00472CF4">
        <w:rPr>
          <w:rFonts w:ascii="Verdana" w:eastAsia="Century Gothic" w:hAnsi="Verdana" w:cs="Century Gothic"/>
        </w:rPr>
        <w:t xml:space="preserve">De acuerdo con el contenido de su solicitud, esta Agencia resolverá </w:t>
      </w:r>
      <w:r>
        <w:rPr>
          <w:rFonts w:ascii="Verdana" w:eastAsia="Century Gothic" w:hAnsi="Verdana" w:cs="Century Gothic"/>
        </w:rPr>
        <w:t>los</w:t>
      </w:r>
      <w:r w:rsidRPr="00472CF4">
        <w:rPr>
          <w:rFonts w:ascii="Verdana" w:eastAsia="Century Gothic" w:hAnsi="Verdana" w:cs="Century Gothic"/>
        </w:rPr>
        <w:t xml:space="preserve"> siguiente</w:t>
      </w:r>
      <w:r>
        <w:rPr>
          <w:rFonts w:ascii="Verdana" w:eastAsia="Century Gothic" w:hAnsi="Verdana" w:cs="Century Gothic"/>
        </w:rPr>
        <w:t xml:space="preserve">s </w:t>
      </w:r>
      <w:r w:rsidRPr="00472CF4">
        <w:rPr>
          <w:rFonts w:ascii="Verdana" w:eastAsia="Century Gothic" w:hAnsi="Verdana" w:cs="Century Gothic"/>
        </w:rPr>
        <w:t>problema</w:t>
      </w:r>
      <w:r>
        <w:rPr>
          <w:rFonts w:ascii="Verdana" w:eastAsia="Century Gothic" w:hAnsi="Verdana" w:cs="Century Gothic"/>
        </w:rPr>
        <w:t>s</w:t>
      </w:r>
      <w:r w:rsidRPr="00472CF4">
        <w:rPr>
          <w:rFonts w:ascii="Verdana" w:eastAsia="Century Gothic" w:hAnsi="Verdana" w:cs="Century Gothic"/>
        </w:rPr>
        <w:t xml:space="preserve"> jurídico</w:t>
      </w:r>
      <w:r>
        <w:rPr>
          <w:rFonts w:ascii="Verdana" w:eastAsia="Century Gothic" w:hAnsi="Verdana" w:cs="Century Gothic"/>
        </w:rPr>
        <w:t>s:</w:t>
      </w:r>
    </w:p>
    <w:p w14:paraId="1ED68DA0" w14:textId="77777777" w:rsidR="00B004E7" w:rsidRDefault="00B004E7" w:rsidP="00B004E7">
      <w:pPr>
        <w:spacing w:after="0" w:line="276" w:lineRule="auto"/>
        <w:jc w:val="both"/>
        <w:rPr>
          <w:rFonts w:ascii="Verdana" w:eastAsia="Century Gothic" w:hAnsi="Verdana" w:cs="Century Gothic"/>
        </w:rPr>
      </w:pPr>
    </w:p>
    <w:p w14:paraId="3BA9517A" w14:textId="7CAE74FE" w:rsidR="00B004E7" w:rsidRDefault="00B004E7" w:rsidP="00B004E7">
      <w:pPr>
        <w:spacing w:after="0" w:line="276" w:lineRule="auto"/>
        <w:jc w:val="both"/>
        <w:rPr>
          <w:rFonts w:ascii="Verdana" w:eastAsia="Calibri" w:hAnsi="Verdana" w:cs="Arial"/>
          <w:lang w:val="es-ES"/>
        </w:rPr>
      </w:pPr>
      <w:r w:rsidRPr="00692D10">
        <w:rPr>
          <w:rFonts w:ascii="Verdana" w:eastAsia="Century Gothic" w:hAnsi="Verdana" w:cs="Century Gothic"/>
        </w:rPr>
        <w:t xml:space="preserve"> i) ¿</w:t>
      </w:r>
      <w:r>
        <w:rPr>
          <w:rFonts w:ascii="Verdana" w:eastAsia="Century Gothic" w:hAnsi="Verdana" w:cs="Century Gothic"/>
        </w:rPr>
        <w:t>Q</w:t>
      </w:r>
      <w:r w:rsidRPr="00692D10">
        <w:rPr>
          <w:rFonts w:ascii="Verdana" w:eastAsia="Century Gothic" w:hAnsi="Verdana" w:cs="Century Gothic"/>
        </w:rPr>
        <w:t xml:space="preserve">ué es el clasificador de bienes y servicios y cuál </w:t>
      </w:r>
      <w:r w:rsidR="000B0B0F" w:rsidRPr="00692D10">
        <w:rPr>
          <w:rFonts w:ascii="Verdana" w:eastAsia="Century Gothic" w:hAnsi="Verdana" w:cs="Century Gothic"/>
        </w:rPr>
        <w:t xml:space="preserve">es </w:t>
      </w:r>
      <w:r w:rsidR="000B0B0F">
        <w:rPr>
          <w:rFonts w:ascii="Verdana" w:eastAsia="Century Gothic" w:hAnsi="Verdana" w:cs="Century Gothic"/>
        </w:rPr>
        <w:t>su</w:t>
      </w:r>
      <w:r w:rsidR="00EA3F61">
        <w:rPr>
          <w:rFonts w:ascii="Verdana" w:eastAsia="Century Gothic" w:hAnsi="Verdana" w:cs="Century Gothic"/>
        </w:rPr>
        <w:t xml:space="preserve"> </w:t>
      </w:r>
      <w:bookmarkStart w:id="1" w:name="_Hlk171070029"/>
      <w:r w:rsidR="008D2853">
        <w:rPr>
          <w:rFonts w:ascii="Verdana" w:eastAsia="Century Gothic" w:hAnsi="Verdana" w:cs="Century Gothic"/>
        </w:rPr>
        <w:t>obligatoriedad?</w:t>
      </w:r>
    </w:p>
    <w:p w14:paraId="6000641D" w14:textId="77777777" w:rsidR="00FC4573" w:rsidRPr="00692D10" w:rsidRDefault="00FC4573" w:rsidP="00B004E7">
      <w:pPr>
        <w:spacing w:after="0" w:line="276" w:lineRule="auto"/>
        <w:jc w:val="both"/>
        <w:rPr>
          <w:rFonts w:ascii="Verdana" w:eastAsia="Calibri" w:hAnsi="Verdana" w:cs="Arial"/>
          <w:lang w:val="es-ES"/>
        </w:rPr>
      </w:pPr>
    </w:p>
    <w:bookmarkEnd w:id="1"/>
    <w:p w14:paraId="69A780EC" w14:textId="77777777" w:rsidR="00B004E7" w:rsidRPr="00692D10" w:rsidRDefault="00B004E7" w:rsidP="00B004E7">
      <w:pPr>
        <w:widowControl w:val="0"/>
        <w:autoSpaceDE w:val="0"/>
        <w:autoSpaceDN w:val="0"/>
        <w:spacing w:before="1" w:after="0" w:line="240" w:lineRule="auto"/>
        <w:jc w:val="both"/>
        <w:outlineLvl w:val="0"/>
        <w:rPr>
          <w:rFonts w:ascii="Verdana" w:eastAsia="Arial" w:hAnsi="Verdana" w:cs="Arial"/>
          <w:b/>
          <w:bCs/>
          <w:lang w:val="es-ES"/>
        </w:rPr>
      </w:pPr>
      <w:r w:rsidRPr="00692D10">
        <w:rPr>
          <w:rFonts w:ascii="Verdana" w:eastAsia="Arial" w:hAnsi="Verdana" w:cs="Arial"/>
          <w:b/>
          <w:bCs/>
          <w:lang w:val="es-ES"/>
        </w:rPr>
        <w:t>2. Respuestas:</w:t>
      </w:r>
    </w:p>
    <w:p w14:paraId="5A09C223" w14:textId="77777777" w:rsidR="00B004E7" w:rsidRDefault="00B004E7" w:rsidP="00B004E7">
      <w:pPr>
        <w:keepNext/>
        <w:keepLines/>
        <w:spacing w:before="40" w:after="0"/>
        <w:jc w:val="both"/>
        <w:outlineLvl w:val="1"/>
        <w:rPr>
          <w:rFonts w:ascii="Verdana" w:eastAsia="Century Gothic" w:hAnsi="Verdana" w:cstheme="majorBidi"/>
          <w:b/>
          <w:bCs/>
          <w:lang w:val="es-ES"/>
        </w:rPr>
      </w:pPr>
    </w:p>
    <w:p w14:paraId="4369A1D7" w14:textId="77777777" w:rsidR="00B004E7" w:rsidRPr="00692D10" w:rsidRDefault="00B004E7" w:rsidP="00B004E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004E7" w:rsidRPr="00497A8E" w14:paraId="32F9D610" w14:textId="77777777" w:rsidTr="00BD407E">
        <w:tc>
          <w:tcPr>
            <w:tcW w:w="8828" w:type="dxa"/>
            <w:shd w:val="clear" w:color="auto" w:fill="auto"/>
          </w:tcPr>
          <w:p w14:paraId="6C00F39F" w14:textId="77FE58EB" w:rsidR="00B004E7" w:rsidRPr="00875DCC" w:rsidRDefault="00B004E7" w:rsidP="00BD407E">
            <w:pPr>
              <w:spacing w:line="276" w:lineRule="auto"/>
              <w:jc w:val="both"/>
              <w:rPr>
                <w:rFonts w:ascii="Verdana" w:eastAsia="Calibri" w:hAnsi="Verdana" w:cs="Arial"/>
                <w:lang w:val="es-ES"/>
              </w:rPr>
            </w:pPr>
            <w:bookmarkStart w:id="2" w:name="_Hlk171067516"/>
            <w:r>
              <w:rPr>
                <w:rFonts w:ascii="Verdana" w:eastAsia="Calibri" w:hAnsi="Verdana" w:cs="Arial"/>
                <w:lang w:val="es-ES"/>
              </w:rPr>
              <w:lastRenderedPageBreak/>
              <w:t xml:space="preserve">i) </w:t>
            </w:r>
            <w:r w:rsidRPr="00692D10">
              <w:rPr>
                <w:rFonts w:ascii="Verdana" w:eastAsia="Calibri" w:hAnsi="Verdana" w:cs="Arial"/>
                <w:lang w:val="es-ES"/>
              </w:rPr>
              <w:t>El artículo 2.2.1.1.1.3.1 del Decreto 1082 de 2015 define el Clasificador de Bienes y Servicios como el “Sistema de codificación de las Naciones Unidades para estandarizar productos y servicios, conocido por las siglas UNSPSC”. La principal utilidad de este sistema de clasificación es codificar productos y servicios de forma clara ya que “se basa en estándares acordados por la industria los cuales facilitan el comercio entre empresas y gobierno”</w:t>
            </w:r>
            <w:r w:rsidRPr="008D2853">
              <w:rPr>
                <w:rFonts w:ascii="Verdana" w:eastAsia="Calibri" w:hAnsi="Verdana" w:cs="Arial"/>
                <w:sz w:val="16"/>
                <w:szCs w:val="16"/>
                <w:lang w:val="es-ES"/>
              </w:rPr>
              <w:footnoteReference w:id="1"/>
            </w:r>
            <w:r w:rsidRPr="00875DCC">
              <w:rPr>
                <w:rFonts w:ascii="Verdana" w:eastAsia="Calibri" w:hAnsi="Verdana" w:cs="Arial"/>
                <w:lang w:val="es-ES"/>
              </w:rPr>
              <w:t>. Por su parte, el artículo 2.2.1.1.1.4.1 del Decreto 1082 de 2015 referente al deber de elaborar el Plan Anual de Adquisiciones, establece que en la expedición de dicho documento las entidades deben incluir “la necesidad y cuando conoce el bien, obra o servicio que satisface esa necesidad debe identificarlo utilizando el Clasificador de Bienes y Servicios”</w:t>
            </w:r>
            <w:r w:rsidRPr="008D2853">
              <w:rPr>
                <w:rFonts w:ascii="Verdana" w:eastAsia="Calibri" w:hAnsi="Verdana" w:cs="Arial"/>
                <w:sz w:val="16"/>
                <w:szCs w:val="16"/>
                <w:lang w:val="es-ES"/>
              </w:rPr>
              <w:footnoteReference w:id="2"/>
            </w:r>
            <w:r w:rsidRPr="00875DCC">
              <w:rPr>
                <w:rFonts w:ascii="Verdana" w:eastAsia="Calibri" w:hAnsi="Verdana" w:cs="Arial"/>
                <w:lang w:val="es-ES"/>
              </w:rPr>
              <w:t xml:space="preserve">. </w:t>
            </w:r>
          </w:p>
          <w:p w14:paraId="0A160016" w14:textId="77777777" w:rsidR="00E16389" w:rsidRPr="00875DCC" w:rsidRDefault="00E16389" w:rsidP="00E16389">
            <w:pPr>
              <w:widowControl w:val="0"/>
              <w:autoSpaceDE w:val="0"/>
              <w:autoSpaceDN w:val="0"/>
              <w:spacing w:after="120" w:line="276" w:lineRule="auto"/>
              <w:ind w:right="102" w:firstLine="607"/>
              <w:jc w:val="both"/>
              <w:rPr>
                <w:rFonts w:ascii="Verdana" w:eastAsia="Calibri" w:hAnsi="Verdana" w:cs="Arial"/>
                <w:lang w:val="es-ES"/>
              </w:rPr>
            </w:pPr>
            <w:r w:rsidRPr="00875DCC">
              <w:rPr>
                <w:rFonts w:ascii="Verdana" w:eastAsia="Calibri" w:hAnsi="Verdana" w:cs="Arial"/>
                <w:lang w:val="es-ES"/>
              </w:rPr>
              <w:t xml:space="preserve">Por otro lado, </w:t>
            </w:r>
            <w:bookmarkStart w:id="3" w:name="_Hlk101793509"/>
            <w:r w:rsidRPr="00875DCC">
              <w:rPr>
                <w:rFonts w:ascii="Verdana" w:eastAsia="Calibri" w:hAnsi="Verdana" w:cs="Arial"/>
                <w:lang w:val="es-ES"/>
              </w:rPr>
              <w:t>el artículo 2.2.1.1.1.5.2 del Decreto 1082 de 2015, al desarrollar la información requerida para la inscripción, actualización y renovación del RUP, establece que los proponentes deben establecer los bienes y servicios que ofrecerán identificados con el Clasificador de Bienes y Servicios en el tercer nivel. Asimismo, los numerales 1.2 y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r w:rsidRPr="008D2853">
              <w:rPr>
                <w:rFonts w:ascii="Verdana" w:eastAsia="Calibri" w:hAnsi="Verdana" w:cs="Arial"/>
                <w:sz w:val="16"/>
                <w:szCs w:val="16"/>
                <w:lang w:val="es-ES"/>
              </w:rPr>
              <w:footnoteReference w:id="3"/>
            </w:r>
            <w:r w:rsidRPr="008D2853">
              <w:rPr>
                <w:rFonts w:ascii="Verdana" w:eastAsia="Calibri" w:hAnsi="Verdana" w:cs="Arial"/>
                <w:sz w:val="16"/>
                <w:szCs w:val="16"/>
                <w:lang w:val="es-ES"/>
              </w:rPr>
              <w:t>.</w:t>
            </w:r>
            <w:r w:rsidRPr="00875DCC">
              <w:rPr>
                <w:rFonts w:ascii="Verdana" w:eastAsia="Calibri" w:hAnsi="Verdana" w:cs="Arial"/>
                <w:lang w:val="es-ES"/>
              </w:rPr>
              <w:t xml:space="preserve"> </w:t>
            </w:r>
          </w:p>
          <w:bookmarkEnd w:id="3"/>
          <w:p w14:paraId="090DF6C8" w14:textId="77777777" w:rsidR="00E16389" w:rsidRDefault="00E16389" w:rsidP="00E16389">
            <w:pPr>
              <w:widowControl w:val="0"/>
              <w:autoSpaceDE w:val="0"/>
              <w:autoSpaceDN w:val="0"/>
              <w:spacing w:after="120" w:line="276" w:lineRule="auto"/>
              <w:ind w:right="104"/>
              <w:jc w:val="both"/>
              <w:rPr>
                <w:rFonts w:ascii="Verdana" w:eastAsia="Calibri" w:hAnsi="Verdana" w:cs="Arial"/>
                <w:lang w:val="es-ES"/>
              </w:rPr>
            </w:pPr>
            <w:r w:rsidRPr="00875DCC">
              <w:rPr>
                <w:rFonts w:ascii="Verdana" w:eastAsia="Calibri" w:hAnsi="Verdana" w:cs="Arial"/>
                <w:lang w:val="es-ES"/>
              </w:rPr>
              <w:lastRenderedPageBreak/>
              <w:tab/>
              <w:t xml:space="preserve">De otro lado, el artículo 2.2.1.1.2.1.3 del Decreto 1082 de 2015, el cual regula de manera general el contenido de los pliegos de condiciones, establece como deber de las entidades estales el de realizar en dichos documentos una “descripción técnica, detallada y completa del bien o servicio objeto del contrato, identificado con el cuarto nivel del Clasificador de Bienes y Servicios, de ser posible o de lo contrario con el tercer nivel </w:t>
            </w:r>
            <w:proofErr w:type="gramStart"/>
            <w:r w:rsidRPr="00875DCC">
              <w:rPr>
                <w:rFonts w:ascii="Verdana" w:eastAsia="Calibri" w:hAnsi="Verdana" w:cs="Arial"/>
                <w:lang w:val="es-ES"/>
              </w:rPr>
              <w:t>del mismo</w:t>
            </w:r>
            <w:proofErr w:type="gramEnd"/>
            <w:r w:rsidRPr="00875DCC">
              <w:rPr>
                <w:rFonts w:ascii="Verdana" w:eastAsia="Calibri" w:hAnsi="Verdana" w:cs="Arial"/>
                <w:lang w:val="es-ES"/>
              </w:rPr>
              <w:t>”</w:t>
            </w:r>
            <w:r w:rsidRPr="008D2853">
              <w:rPr>
                <w:rFonts w:ascii="Verdana" w:eastAsia="Calibri" w:hAnsi="Verdana" w:cs="Arial"/>
                <w:sz w:val="16"/>
                <w:szCs w:val="16"/>
                <w:lang w:val="es-ES"/>
              </w:rPr>
              <w:footnoteReference w:id="4"/>
            </w:r>
            <w:r w:rsidRPr="00875DCC">
              <w:rPr>
                <w:rFonts w:ascii="Verdana" w:eastAsia="Calibri" w:hAnsi="Verdana" w:cs="Arial"/>
                <w:lang w:val="es-ES"/>
              </w:rPr>
              <w:t>. </w:t>
            </w:r>
          </w:p>
          <w:p w14:paraId="06DC2764" w14:textId="77777777" w:rsidR="00497A8E" w:rsidRDefault="00497A8E" w:rsidP="00E16389">
            <w:pPr>
              <w:widowControl w:val="0"/>
              <w:autoSpaceDE w:val="0"/>
              <w:autoSpaceDN w:val="0"/>
              <w:spacing w:after="120" w:line="276" w:lineRule="auto"/>
              <w:ind w:right="104"/>
              <w:jc w:val="both"/>
              <w:rPr>
                <w:rFonts w:ascii="Verdana" w:eastAsia="Calibri" w:hAnsi="Verdana" w:cs="Arial"/>
                <w:lang w:val="es-ES"/>
              </w:rPr>
            </w:pPr>
          </w:p>
          <w:p w14:paraId="0BD53649" w14:textId="77777777" w:rsidR="00497A8E" w:rsidRPr="00875DCC" w:rsidRDefault="00497A8E" w:rsidP="00497A8E">
            <w:pPr>
              <w:widowControl w:val="0"/>
              <w:autoSpaceDE w:val="0"/>
              <w:autoSpaceDN w:val="0"/>
              <w:spacing w:line="276" w:lineRule="auto"/>
              <w:ind w:firstLine="709"/>
              <w:contextualSpacing/>
              <w:jc w:val="both"/>
              <w:rPr>
                <w:rFonts w:ascii="Verdana" w:eastAsia="Calibri" w:hAnsi="Verdana" w:cs="Arial"/>
                <w:lang w:val="es-ES"/>
              </w:rPr>
            </w:pPr>
            <w:r w:rsidRPr="00875DCC">
              <w:rPr>
                <w:rFonts w:ascii="Verdana" w:eastAsia="Calibri" w:hAnsi="Verdana" w:cs="Arial"/>
                <w:lang w:val="es-ES"/>
              </w:rPr>
              <w:t xml:space="preserve">Es preciso tener en cuenta que la Circular Externa Única proferida por la Agencia Nacional de Contratación Pública – Colombia Compra Eficiente, donde se incorporaron directrices relacionadas con el RUP y particularmente sobre el “uso del Clasificador de Bienes y Servicios en el Registro Único de Proponentes”, donde se estableció lo siguiente: </w:t>
            </w:r>
          </w:p>
          <w:p w14:paraId="0D9041D9" w14:textId="77777777" w:rsidR="00497A8E" w:rsidRPr="00875DCC" w:rsidRDefault="00497A8E" w:rsidP="00497A8E">
            <w:pPr>
              <w:widowControl w:val="0"/>
              <w:autoSpaceDE w:val="0"/>
              <w:autoSpaceDN w:val="0"/>
              <w:spacing w:line="276" w:lineRule="auto"/>
              <w:ind w:right="104" w:firstLine="608"/>
              <w:contextualSpacing/>
              <w:jc w:val="both"/>
              <w:rPr>
                <w:rFonts w:ascii="Verdana" w:eastAsia="Calibri" w:hAnsi="Verdana" w:cs="Arial"/>
                <w:lang w:val="es-ES"/>
              </w:rPr>
            </w:pPr>
          </w:p>
          <w:p w14:paraId="723AE591" w14:textId="77777777" w:rsidR="00497A8E" w:rsidRPr="00875DCC" w:rsidRDefault="00497A8E" w:rsidP="00497A8E">
            <w:pPr>
              <w:widowControl w:val="0"/>
              <w:autoSpaceDE w:val="0"/>
              <w:autoSpaceDN w:val="0"/>
              <w:ind w:left="709" w:right="709"/>
              <w:jc w:val="both"/>
              <w:rPr>
                <w:rFonts w:ascii="Verdana" w:eastAsia="Calibri" w:hAnsi="Verdana" w:cs="Arial"/>
                <w:lang w:val="es-ES"/>
              </w:rPr>
            </w:pPr>
            <w:r w:rsidRPr="00875DCC">
              <w:rPr>
                <w:rFonts w:ascii="Verdana" w:eastAsia="Calibri" w:hAnsi="Verdana" w:cs="Arial"/>
                <w:lang w:val="es-ES"/>
              </w:rPr>
              <w:t xml:space="preserve">Deben tenerse en cuenta las siguientes directrices sobre el uso del Clasificador de Bienes y Servicios en el Registro Único de Proponentes: </w:t>
            </w:r>
          </w:p>
          <w:p w14:paraId="5885CD4E" w14:textId="77777777" w:rsidR="00497A8E" w:rsidRPr="00875DCC" w:rsidRDefault="00497A8E" w:rsidP="00497A8E">
            <w:pPr>
              <w:widowControl w:val="0"/>
              <w:autoSpaceDE w:val="0"/>
              <w:autoSpaceDN w:val="0"/>
              <w:ind w:left="709" w:right="709"/>
              <w:jc w:val="both"/>
              <w:rPr>
                <w:rFonts w:ascii="Verdana" w:eastAsia="Calibri" w:hAnsi="Verdana" w:cs="Arial"/>
                <w:lang w:val="es-ES"/>
              </w:rPr>
            </w:pPr>
          </w:p>
          <w:p w14:paraId="20221D41" w14:textId="77777777" w:rsidR="00497A8E" w:rsidRPr="00875DCC" w:rsidRDefault="00497A8E" w:rsidP="00497A8E">
            <w:pPr>
              <w:widowControl w:val="0"/>
              <w:autoSpaceDE w:val="0"/>
              <w:autoSpaceDN w:val="0"/>
              <w:ind w:left="709" w:right="709"/>
              <w:jc w:val="both"/>
              <w:rPr>
                <w:rFonts w:ascii="Verdana" w:eastAsia="Calibri" w:hAnsi="Verdana" w:cs="Arial"/>
                <w:lang w:val="es-ES"/>
              </w:rPr>
            </w:pPr>
            <w:r w:rsidRPr="00875DCC">
              <w:rPr>
                <w:rFonts w:ascii="Verdana" w:eastAsia="Calibri" w:hAnsi="Verdana" w:cs="Arial"/>
                <w:lang w:val="es-ES"/>
              </w:rPr>
              <w:t xml:space="preserve">• No existe un límite en el número de bienes, obras o servicios que los proponentes pueden inscribir en el RUP. Las Cámaras de Comercio no pueden limitar la inscripción de los proponentes por no contar con experiencia certificada en el respectivo bien, obra o servicio. </w:t>
            </w:r>
          </w:p>
          <w:p w14:paraId="57C8FA03" w14:textId="77777777" w:rsidR="00497A8E" w:rsidRPr="00875DCC" w:rsidRDefault="00497A8E" w:rsidP="00497A8E">
            <w:pPr>
              <w:widowControl w:val="0"/>
              <w:autoSpaceDE w:val="0"/>
              <w:autoSpaceDN w:val="0"/>
              <w:ind w:left="709" w:right="709"/>
              <w:jc w:val="both"/>
              <w:rPr>
                <w:rFonts w:ascii="Verdana" w:eastAsia="Calibri" w:hAnsi="Verdana" w:cs="Arial"/>
                <w:lang w:val="es-ES"/>
              </w:rPr>
            </w:pPr>
          </w:p>
          <w:p w14:paraId="542C3628" w14:textId="77777777" w:rsidR="00497A8E" w:rsidRPr="00875DCC" w:rsidRDefault="00497A8E" w:rsidP="00497A8E">
            <w:pPr>
              <w:widowControl w:val="0"/>
              <w:autoSpaceDE w:val="0"/>
              <w:autoSpaceDN w:val="0"/>
              <w:ind w:left="709" w:right="709"/>
              <w:jc w:val="both"/>
              <w:rPr>
                <w:rFonts w:ascii="Verdana" w:eastAsia="Calibri" w:hAnsi="Verdana" w:cs="Arial"/>
                <w:lang w:val="es-ES"/>
              </w:rPr>
            </w:pPr>
            <w:r w:rsidRPr="00875DCC">
              <w:rPr>
                <w:rFonts w:ascii="Verdana" w:eastAsia="Calibri" w:hAnsi="Verdana" w:cs="Arial"/>
                <w:lang w:val="es-ES"/>
              </w:rPr>
              <w:t>• La clasificación del proponente no es un requisito habilitante sino un mecanismo para establecer un lenguaje común entre los partícipes del Sistema de Compra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w:t>
            </w:r>
            <w:r w:rsidRPr="00875DCC" w:rsidDel="002C2C4A">
              <w:rPr>
                <w:rFonts w:ascii="Verdana" w:eastAsia="Calibri" w:hAnsi="Verdana" w:cs="Arial"/>
                <w:lang w:val="es-ES"/>
              </w:rPr>
              <w:t xml:space="preserve"> </w:t>
            </w:r>
          </w:p>
          <w:p w14:paraId="3F267A0B" w14:textId="77777777" w:rsidR="00497A8E" w:rsidRPr="00875DCC" w:rsidRDefault="00497A8E" w:rsidP="00497A8E">
            <w:pPr>
              <w:widowControl w:val="0"/>
              <w:autoSpaceDE w:val="0"/>
              <w:autoSpaceDN w:val="0"/>
              <w:spacing w:line="276" w:lineRule="auto"/>
              <w:ind w:right="104"/>
              <w:contextualSpacing/>
              <w:jc w:val="both"/>
              <w:rPr>
                <w:rFonts w:ascii="Verdana" w:eastAsia="Calibri" w:hAnsi="Verdana" w:cs="Arial"/>
                <w:lang w:val="es-ES"/>
              </w:rPr>
            </w:pPr>
          </w:p>
          <w:p w14:paraId="4224C5D9" w14:textId="77777777" w:rsidR="00497A8E" w:rsidRPr="00875DCC" w:rsidRDefault="00497A8E" w:rsidP="00497A8E">
            <w:pPr>
              <w:spacing w:line="276" w:lineRule="auto"/>
              <w:ind w:firstLine="709"/>
              <w:jc w:val="both"/>
              <w:rPr>
                <w:rFonts w:ascii="Verdana" w:eastAsia="Calibri" w:hAnsi="Verdana" w:cs="Arial"/>
                <w:lang w:val="es-ES"/>
              </w:rPr>
            </w:pPr>
            <w:r w:rsidRPr="00875DCC">
              <w:rPr>
                <w:rFonts w:ascii="Verdana" w:eastAsia="Calibri" w:hAnsi="Verdana" w:cs="Arial"/>
                <w:lang w:val="es-ES"/>
              </w:rPr>
              <w:t>De acuerdo con la postura adoptada en la Circular, la “clasificación del proponente”, que corresponde a los listados señalados en los numerales 1.1. y 2.1. del artículo 2.2.1.1.1.5.2. del Decreto 1082 de 2015, no condiciona la capacidad ―jurídica, ni tampoco otra― de los proponentes, por lo que, si un proponente cumple los demás requisitos exigidos en el pliego de condiciones, su oferta no puede ser rechazada o desestimada bajo el argumento de que no cuenta con la inscripción del código de los bienes, obras o servicios del objeto del proceso de contratación.</w:t>
            </w:r>
          </w:p>
          <w:p w14:paraId="467288E0" w14:textId="77777777" w:rsidR="00E16389" w:rsidRPr="00497A8E" w:rsidRDefault="00E16389" w:rsidP="00BD407E">
            <w:pPr>
              <w:spacing w:line="276" w:lineRule="auto"/>
              <w:jc w:val="both"/>
              <w:rPr>
                <w:rFonts w:ascii="Verdana" w:eastAsia="Calibri" w:hAnsi="Verdana" w:cs="Arial"/>
                <w:lang w:val="es-ES"/>
              </w:rPr>
            </w:pPr>
          </w:p>
        </w:tc>
      </w:tr>
      <w:bookmarkEnd w:id="2"/>
    </w:tbl>
    <w:p w14:paraId="3595F1BD" w14:textId="77777777" w:rsidR="00B004E7" w:rsidRPr="00875DCC" w:rsidRDefault="00B004E7" w:rsidP="00B004E7">
      <w:pPr>
        <w:tabs>
          <w:tab w:val="left" w:pos="142"/>
          <w:tab w:val="left" w:pos="284"/>
        </w:tabs>
        <w:spacing w:after="0" w:line="276" w:lineRule="auto"/>
        <w:jc w:val="both"/>
        <w:rPr>
          <w:rFonts w:ascii="Verdana" w:eastAsia="Calibri" w:hAnsi="Verdana" w:cs="Arial"/>
          <w:lang w:val="es-ES"/>
        </w:rPr>
      </w:pPr>
    </w:p>
    <w:p w14:paraId="2F7024FF" w14:textId="77777777" w:rsidR="00B004E7" w:rsidRPr="00692D10" w:rsidRDefault="00B004E7" w:rsidP="00B004E7">
      <w:pPr>
        <w:spacing w:after="0"/>
        <w:jc w:val="both"/>
        <w:rPr>
          <w:rFonts w:ascii="Verdana" w:hAnsi="Verdana"/>
          <w:lang w:val="es-ES"/>
        </w:rPr>
      </w:pPr>
      <w:bookmarkStart w:id="4" w:name="_Hlk171069729"/>
    </w:p>
    <w:bookmarkEnd w:id="4"/>
    <w:p w14:paraId="7C481E7A" w14:textId="77777777" w:rsidR="00B004E7" w:rsidRPr="00692D10" w:rsidRDefault="00B004E7" w:rsidP="00B004E7">
      <w:pPr>
        <w:tabs>
          <w:tab w:val="left" w:pos="142"/>
          <w:tab w:val="left" w:pos="284"/>
        </w:tabs>
        <w:spacing w:after="0" w:line="276" w:lineRule="auto"/>
        <w:jc w:val="both"/>
        <w:rPr>
          <w:rFonts w:ascii="Verdana" w:eastAsia="Century Gothic" w:hAnsi="Verdana" w:cs="Century Gothic"/>
          <w:b/>
          <w:bCs/>
          <w:lang w:val="es-ES"/>
        </w:rPr>
      </w:pPr>
    </w:p>
    <w:p w14:paraId="75C63856" w14:textId="77777777" w:rsidR="00B004E7" w:rsidRPr="00692D10" w:rsidRDefault="00B004E7" w:rsidP="00B004E7">
      <w:pPr>
        <w:widowControl w:val="0"/>
        <w:autoSpaceDE w:val="0"/>
        <w:autoSpaceDN w:val="0"/>
        <w:spacing w:before="1" w:after="0" w:line="240" w:lineRule="auto"/>
        <w:ind w:left="360" w:hanging="360"/>
        <w:outlineLvl w:val="0"/>
        <w:rPr>
          <w:rFonts w:ascii="Verdana" w:eastAsia="Arial" w:hAnsi="Verdana" w:cs="Arial"/>
          <w:b/>
          <w:bCs/>
          <w:lang w:val="es-ES"/>
        </w:rPr>
      </w:pPr>
      <w:r w:rsidRPr="00692D10">
        <w:rPr>
          <w:rFonts w:ascii="Verdana" w:eastAsia="Arial" w:hAnsi="Verdana" w:cs="Arial"/>
          <w:b/>
          <w:bCs/>
          <w:lang w:val="es-ES"/>
        </w:rPr>
        <w:t>3. Razones de la respuesta</w:t>
      </w:r>
    </w:p>
    <w:p w14:paraId="506C2B8F" w14:textId="77777777" w:rsidR="00B004E7" w:rsidRPr="00692D10" w:rsidRDefault="00B004E7" w:rsidP="00B004E7">
      <w:pPr>
        <w:spacing w:after="0" w:line="276" w:lineRule="auto"/>
        <w:jc w:val="both"/>
        <w:rPr>
          <w:rFonts w:ascii="Verdana" w:eastAsia="Calibri" w:hAnsi="Verdana" w:cs="Arial"/>
          <w:lang w:val="es-ES"/>
        </w:rPr>
      </w:pPr>
    </w:p>
    <w:p w14:paraId="60CFF194" w14:textId="77777777" w:rsidR="00B004E7" w:rsidRPr="00692D10" w:rsidRDefault="00B004E7" w:rsidP="00B004E7">
      <w:pPr>
        <w:spacing w:after="0" w:line="276" w:lineRule="auto"/>
        <w:jc w:val="both"/>
        <w:rPr>
          <w:rFonts w:ascii="Verdana" w:eastAsia="Calibri" w:hAnsi="Verdana" w:cs="Arial"/>
          <w:lang w:val="es-ES"/>
        </w:rPr>
      </w:pPr>
      <w:r w:rsidRPr="00692D10">
        <w:rPr>
          <w:rFonts w:ascii="Verdana" w:eastAsia="Calibri" w:hAnsi="Verdana" w:cs="Arial"/>
          <w:lang w:val="es-ES"/>
        </w:rPr>
        <w:t>L</w:t>
      </w:r>
      <w:r>
        <w:rPr>
          <w:rFonts w:ascii="Verdana" w:eastAsia="Calibri" w:hAnsi="Verdana" w:cs="Arial"/>
          <w:lang w:val="es-ES"/>
        </w:rPr>
        <w:t xml:space="preserve">o anterior </w:t>
      </w:r>
      <w:r w:rsidRPr="00692D10">
        <w:rPr>
          <w:rFonts w:ascii="Verdana" w:eastAsia="Calibri" w:hAnsi="Verdana" w:cs="Arial"/>
          <w:lang w:val="es-ES"/>
        </w:rPr>
        <w:t xml:space="preserve">se sustentan en las siguientes consideraciones: </w:t>
      </w:r>
    </w:p>
    <w:p w14:paraId="2473926F" w14:textId="77777777" w:rsidR="00B004E7" w:rsidRPr="00692D10" w:rsidRDefault="00B004E7" w:rsidP="00B004E7">
      <w:pPr>
        <w:spacing w:after="0" w:line="276" w:lineRule="auto"/>
        <w:jc w:val="both"/>
        <w:rPr>
          <w:rFonts w:ascii="Verdana" w:eastAsia="Calibri" w:hAnsi="Verdana" w:cs="Arial"/>
          <w:lang w:val="es-ES"/>
        </w:rPr>
      </w:pPr>
    </w:p>
    <w:p w14:paraId="449BEDB7" w14:textId="1176C09B" w:rsidR="00BF2989" w:rsidRPr="00875DCC" w:rsidRDefault="00BF2989" w:rsidP="00875DCC">
      <w:pPr>
        <w:spacing w:after="0" w:line="276" w:lineRule="auto"/>
        <w:jc w:val="both"/>
        <w:rPr>
          <w:rFonts w:ascii="Verdana" w:eastAsia="Calibri" w:hAnsi="Verdana" w:cs="Arial"/>
          <w:lang w:val="es-ES"/>
        </w:rPr>
      </w:pPr>
      <w:bookmarkStart w:id="5" w:name="_Hlk101793419"/>
      <w:r w:rsidRPr="00875DCC">
        <w:rPr>
          <w:rFonts w:ascii="Verdana" w:eastAsia="Calibri" w:hAnsi="Verdana" w:cs="Arial"/>
          <w:lang w:val="es-ES"/>
        </w:rPr>
        <w:t>Las normas de contratación estatal establecen que las personas naturales o jurídicas nacionales o extranjeras que deseen celebrar contratos estatales deberán estar inscritos en el RUP</w:t>
      </w:r>
      <w:r w:rsidRPr="008D2853">
        <w:rPr>
          <w:rFonts w:ascii="Verdana" w:eastAsia="Calibri" w:hAnsi="Verdana" w:cs="Arial"/>
          <w:sz w:val="16"/>
          <w:szCs w:val="16"/>
          <w:lang w:val="es-ES"/>
        </w:rPr>
        <w:footnoteReference w:id="5"/>
      </w:r>
      <w:r w:rsidRPr="00875DCC">
        <w:rPr>
          <w:rFonts w:ascii="Verdana" w:eastAsia="Calibri" w:hAnsi="Verdana" w:cs="Arial"/>
          <w:lang w:val="es-ES"/>
        </w:rPr>
        <w:t>.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r w:rsidRPr="00875DCC">
        <w:rPr>
          <w:rFonts w:ascii="Verdana" w:eastAsia="Calibri" w:hAnsi="Verdana" w:cs="Arial"/>
          <w:lang w:val="es-ES"/>
        </w:rPr>
        <w:footnoteReference w:id="6"/>
      </w:r>
      <w:r w:rsidRPr="00875DCC">
        <w:rPr>
          <w:rFonts w:ascii="Verdana" w:eastAsia="Calibri" w:hAnsi="Verdana" w:cs="Arial"/>
          <w:lang w:val="es-ES"/>
        </w:rPr>
        <w:t>.</w:t>
      </w:r>
    </w:p>
    <w:p w14:paraId="2CFB641E"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lastRenderedPageBreak/>
        <w:tab/>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433C962F" w14:textId="77777777" w:rsidR="00BF2989" w:rsidRPr="00875DCC" w:rsidRDefault="00BF2989" w:rsidP="00875DCC">
      <w:pPr>
        <w:spacing w:after="0" w:line="276" w:lineRule="auto"/>
        <w:jc w:val="both"/>
        <w:rPr>
          <w:rFonts w:ascii="Verdana" w:eastAsia="Calibri" w:hAnsi="Verdana" w:cs="Arial"/>
          <w:lang w:val="es-ES"/>
        </w:rPr>
      </w:pPr>
      <w:bookmarkStart w:id="6" w:name="_Hlk101793468"/>
      <w:bookmarkEnd w:id="5"/>
      <w:r w:rsidRPr="00875DCC">
        <w:rPr>
          <w:rFonts w:ascii="Verdana" w:eastAsia="Calibri" w:hAnsi="Verdana" w:cs="Arial"/>
          <w:lang w:val="es-ES"/>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875DCC">
        <w:rPr>
          <w:rFonts w:ascii="Verdana" w:eastAsia="Calibri" w:hAnsi="Verdana" w:cs="Arial"/>
          <w:lang w:val="es-ES"/>
        </w:rPr>
        <w:t>The</w:t>
      </w:r>
      <w:proofErr w:type="spellEnd"/>
      <w:r w:rsidRPr="00875DCC">
        <w:rPr>
          <w:rFonts w:ascii="Verdana" w:eastAsia="Calibri" w:hAnsi="Verdana" w:cs="Arial"/>
          <w:lang w:val="es-ES"/>
        </w:rPr>
        <w:t xml:space="preserve"> </w:t>
      </w:r>
      <w:proofErr w:type="spellStart"/>
      <w:r w:rsidRPr="00875DCC">
        <w:rPr>
          <w:rFonts w:ascii="Verdana" w:eastAsia="Calibri" w:hAnsi="Verdana" w:cs="Arial"/>
          <w:lang w:val="es-ES"/>
        </w:rPr>
        <w:t>United</w:t>
      </w:r>
      <w:proofErr w:type="spellEnd"/>
      <w:r w:rsidRPr="00875DCC">
        <w:rPr>
          <w:rFonts w:ascii="Verdana" w:eastAsia="Calibri" w:hAnsi="Verdana" w:cs="Arial"/>
          <w:lang w:val="es-ES"/>
        </w:rPr>
        <w:t xml:space="preserve"> </w:t>
      </w:r>
      <w:proofErr w:type="spellStart"/>
      <w:r w:rsidRPr="00875DCC">
        <w:rPr>
          <w:rFonts w:ascii="Verdana" w:eastAsia="Calibri" w:hAnsi="Verdana" w:cs="Arial"/>
          <w:lang w:val="es-ES"/>
        </w:rPr>
        <w:t>Nations</w:t>
      </w:r>
      <w:proofErr w:type="spellEnd"/>
      <w:r w:rsidRPr="00875DCC">
        <w:rPr>
          <w:rFonts w:ascii="Verdana" w:eastAsia="Calibri" w:hAnsi="Verdana" w:cs="Arial"/>
          <w:lang w:val="es-ES"/>
        </w:rPr>
        <w:t xml:space="preserve"> Standard </w:t>
      </w:r>
      <w:proofErr w:type="spellStart"/>
      <w:r w:rsidRPr="00875DCC">
        <w:rPr>
          <w:rFonts w:ascii="Verdana" w:eastAsia="Calibri" w:hAnsi="Verdana" w:cs="Arial"/>
          <w:lang w:val="es-ES"/>
        </w:rPr>
        <w:t>Products</w:t>
      </w:r>
      <w:proofErr w:type="spellEnd"/>
      <w:r w:rsidRPr="00875DCC">
        <w:rPr>
          <w:rFonts w:ascii="Verdana" w:eastAsia="Calibri" w:hAnsi="Verdana" w:cs="Arial"/>
          <w:lang w:val="es-ES"/>
        </w:rPr>
        <w:t xml:space="preserve"> and </w:t>
      </w:r>
      <w:proofErr w:type="spellStart"/>
      <w:r w:rsidRPr="00875DCC">
        <w:rPr>
          <w:rFonts w:ascii="Verdana" w:eastAsia="Calibri" w:hAnsi="Verdana" w:cs="Arial"/>
          <w:lang w:val="es-ES"/>
        </w:rPr>
        <w:t>Services</w:t>
      </w:r>
      <w:proofErr w:type="spellEnd"/>
      <w:r w:rsidRPr="00875DCC">
        <w:rPr>
          <w:rFonts w:ascii="Verdana" w:eastAsia="Calibri" w:hAnsi="Verdana" w:cs="Arial"/>
          <w:lang w:val="es-ES"/>
        </w:rPr>
        <w:t xml:space="preserve"> </w:t>
      </w:r>
      <w:proofErr w:type="spellStart"/>
      <w:r w:rsidRPr="00875DCC">
        <w:rPr>
          <w:rFonts w:ascii="Verdana" w:eastAsia="Calibri" w:hAnsi="Verdana" w:cs="Arial"/>
          <w:lang w:val="es-ES"/>
        </w:rPr>
        <w:t>Code</w:t>
      </w:r>
      <w:proofErr w:type="spellEnd"/>
      <w:r w:rsidRPr="00875DCC">
        <w:rPr>
          <w:rFonts w:ascii="Verdana" w:eastAsia="Calibri" w:hAnsi="Verdana" w:cs="Arial"/>
          <w:lang w:val="es-ES"/>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bookmarkEnd w:id="6"/>
      <w:r w:rsidRPr="00875DCC">
        <w:rPr>
          <w:rFonts w:ascii="Verdana" w:eastAsia="Calibri" w:hAnsi="Verdana" w:cs="Arial"/>
          <w:lang w:val="es-ES"/>
        </w:rPr>
        <w:t>”</w:t>
      </w:r>
      <w:r w:rsidRPr="008D2853">
        <w:rPr>
          <w:rFonts w:ascii="Verdana" w:eastAsia="Calibri" w:hAnsi="Verdana" w:cs="Arial"/>
          <w:sz w:val="16"/>
          <w:szCs w:val="16"/>
          <w:lang w:val="es-ES"/>
        </w:rPr>
        <w:footnoteReference w:id="7"/>
      </w:r>
      <w:r w:rsidRPr="008D2853">
        <w:rPr>
          <w:rFonts w:ascii="Verdana" w:eastAsia="Calibri" w:hAnsi="Verdana" w:cs="Arial"/>
          <w:sz w:val="16"/>
          <w:szCs w:val="16"/>
          <w:lang w:val="es-ES"/>
        </w:rPr>
        <w:t>.</w:t>
      </w:r>
    </w:p>
    <w:p w14:paraId="065A6743"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Por otro lado, el artículo 2.2.1.1.1.5.2 del Decreto 1082 de 2015, al desarrollar la información requerida para la inscripción, actualización y renovación del RUP, establece que los proponentes deben establecer los bienes y servicios que ofrecerán identificados con el Clasificador de Bienes y Servicios en el tercer nivel. Asimismo, los numerales 1.2 y 2.5 de este artículo establece que en los certificados de experiencia presentados para inscripción o actualización del RUP, los proponentes deben indicar en “cada certificado o en cada copia de los contratos, los bienes, obras y servicios a los cuales corresponde la experiencia </w:t>
      </w:r>
      <w:r w:rsidRPr="00875DCC">
        <w:rPr>
          <w:rFonts w:ascii="Verdana" w:eastAsia="Calibri" w:hAnsi="Verdana" w:cs="Arial"/>
          <w:lang w:val="es-ES"/>
        </w:rPr>
        <w:lastRenderedPageBreak/>
        <w:t>que pretende acreditar, identificándolos con el Clasificador de Bienes y Servicios en el tercer nivel”</w:t>
      </w:r>
      <w:r w:rsidRPr="008D2853">
        <w:rPr>
          <w:rFonts w:ascii="Verdana" w:eastAsia="Calibri" w:hAnsi="Verdana" w:cs="Arial"/>
          <w:sz w:val="16"/>
          <w:szCs w:val="16"/>
          <w:lang w:val="es-ES"/>
        </w:rPr>
        <w:footnoteReference w:id="8"/>
      </w:r>
      <w:r w:rsidRPr="00875DCC">
        <w:rPr>
          <w:rFonts w:ascii="Verdana" w:eastAsia="Calibri" w:hAnsi="Verdana" w:cs="Arial"/>
          <w:lang w:val="es-ES"/>
        </w:rPr>
        <w:t xml:space="preserve">. </w:t>
      </w:r>
    </w:p>
    <w:p w14:paraId="5538352E"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ab/>
        <w:t xml:space="preserve">De otro lado, el artículo 2.2.1.1.2.1.3 del Decreto 1082 de 2015, el cual regula de manera general el contenido de los pliegos de condiciones, establece como deber de las entidades estales el de realizar en dichos documentos una “descripción técnica, detallada y completa del bien o servicio objeto del contrato, identificado con el cuarto nivel del Clasificador de Bienes y Servicios, de ser posible o de lo contrario con el tercer nivel </w:t>
      </w:r>
      <w:proofErr w:type="gramStart"/>
      <w:r w:rsidRPr="00875DCC">
        <w:rPr>
          <w:rFonts w:ascii="Verdana" w:eastAsia="Calibri" w:hAnsi="Verdana" w:cs="Arial"/>
          <w:lang w:val="es-ES"/>
        </w:rPr>
        <w:t>del mismo</w:t>
      </w:r>
      <w:proofErr w:type="gramEnd"/>
      <w:r w:rsidRPr="00875DCC">
        <w:rPr>
          <w:rFonts w:ascii="Verdana" w:eastAsia="Calibri" w:hAnsi="Verdana" w:cs="Arial"/>
          <w:lang w:val="es-ES"/>
        </w:rPr>
        <w:t>”</w:t>
      </w:r>
      <w:r w:rsidRPr="008D2853">
        <w:rPr>
          <w:rFonts w:ascii="Verdana" w:eastAsia="Calibri" w:hAnsi="Verdana" w:cs="Arial"/>
          <w:sz w:val="16"/>
          <w:szCs w:val="16"/>
          <w:lang w:val="es-ES"/>
        </w:rPr>
        <w:footnoteReference w:id="9"/>
      </w:r>
      <w:r w:rsidRPr="00875DCC">
        <w:rPr>
          <w:rFonts w:ascii="Verdana" w:eastAsia="Calibri" w:hAnsi="Verdana" w:cs="Arial"/>
          <w:lang w:val="es-ES"/>
        </w:rPr>
        <w:t>. </w:t>
      </w:r>
    </w:p>
    <w:p w14:paraId="685CF642"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Conforme a lo anterior, la inscripción en el RUP, la valoración de la experiencia de los proponentes y el desarrollo de los procesos de contratación son ámbitos de la contratación estatal en los que se incorpora el uso del Clasificador de Bienes y Servicios para la contratación estatal.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“hablar el mismo lenguaje” al integrar en un solo número el flujo total del proceso de adquisición</w:t>
      </w:r>
      <w:r w:rsidRPr="00875DCC">
        <w:rPr>
          <w:rFonts w:ascii="Verdana" w:eastAsia="Calibri" w:hAnsi="Verdana" w:cs="Arial"/>
          <w:lang w:val="es-ES"/>
        </w:rPr>
        <w:footnoteReference w:id="10"/>
      </w:r>
      <w:r w:rsidRPr="00875DCC">
        <w:rPr>
          <w:rFonts w:ascii="Verdana" w:eastAsia="Calibri" w:hAnsi="Verdana" w:cs="Arial"/>
          <w:lang w:val="es-ES"/>
        </w:rPr>
        <w:t>. </w:t>
      </w:r>
    </w:p>
    <w:p w14:paraId="516025EE"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lastRenderedPageBreak/>
        <w:t xml:space="preserve">Es preciso tener en cuenta que la Circular Externa Única proferida por la Agencia Nacional de Contratación Pública – Colombia Compra Eficiente, donde se incorporaron directrices relacionadas con el RUP y particularmente sobre el “uso del Clasificador de Bienes y Servicios en el Registro Único de Proponentes”, donde se estableció lo siguiente: </w:t>
      </w:r>
    </w:p>
    <w:p w14:paraId="709C0123" w14:textId="77777777" w:rsidR="00BF2989" w:rsidRPr="00875DCC" w:rsidRDefault="00BF2989" w:rsidP="00875DCC">
      <w:pPr>
        <w:spacing w:after="0" w:line="276" w:lineRule="auto"/>
        <w:jc w:val="both"/>
        <w:rPr>
          <w:rFonts w:ascii="Verdana" w:eastAsia="Calibri" w:hAnsi="Verdana" w:cs="Arial"/>
          <w:lang w:val="es-ES"/>
        </w:rPr>
      </w:pPr>
    </w:p>
    <w:p w14:paraId="2BE48836"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Deben tenerse en cuenta las siguientes directrices sobre el uso del Clasificador de Bienes y Servicios en el Registro Único de Proponentes: </w:t>
      </w:r>
    </w:p>
    <w:p w14:paraId="794A5A0D" w14:textId="77777777" w:rsidR="00BF2989" w:rsidRPr="00875DCC" w:rsidRDefault="00BF2989" w:rsidP="00875DCC">
      <w:pPr>
        <w:spacing w:after="0" w:line="276" w:lineRule="auto"/>
        <w:jc w:val="both"/>
        <w:rPr>
          <w:rFonts w:ascii="Verdana" w:eastAsia="Calibri" w:hAnsi="Verdana" w:cs="Arial"/>
          <w:lang w:val="es-ES"/>
        </w:rPr>
      </w:pPr>
    </w:p>
    <w:p w14:paraId="346DAE24"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 No existe un límite en el número de bienes, obras o servicios que los proponentes pueden inscribir en el RUP. Las Cámaras de Comercio no pueden limitar la inscripción de los proponentes por no contar con experiencia certificada en el respectivo bien, obra o servicio. </w:t>
      </w:r>
    </w:p>
    <w:p w14:paraId="6EBE7A02" w14:textId="77777777" w:rsidR="00BF2989" w:rsidRPr="00875DCC" w:rsidRDefault="00BF2989" w:rsidP="00875DCC">
      <w:pPr>
        <w:spacing w:after="0" w:line="276" w:lineRule="auto"/>
        <w:jc w:val="both"/>
        <w:rPr>
          <w:rFonts w:ascii="Verdana" w:eastAsia="Calibri" w:hAnsi="Verdana" w:cs="Arial"/>
          <w:lang w:val="es-ES"/>
        </w:rPr>
      </w:pPr>
    </w:p>
    <w:p w14:paraId="1C5BA440"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La clasificación del proponente no es un requisito habilitante sino un mecanismo para establecer un lenguaje común entre los partícipes del Sistema de Compra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w:t>
      </w:r>
      <w:r w:rsidRPr="008D2853">
        <w:rPr>
          <w:rFonts w:ascii="Verdana" w:eastAsia="Calibri" w:hAnsi="Verdana" w:cs="Arial"/>
          <w:sz w:val="16"/>
          <w:szCs w:val="16"/>
          <w:lang w:val="es-ES"/>
        </w:rPr>
        <w:footnoteReference w:id="11"/>
      </w:r>
      <w:r w:rsidRPr="00875DCC">
        <w:rPr>
          <w:rFonts w:ascii="Verdana" w:eastAsia="Calibri" w:hAnsi="Verdana" w:cs="Arial"/>
          <w:lang w:val="es-ES"/>
        </w:rPr>
        <w:t>.</w:t>
      </w:r>
      <w:r w:rsidRPr="00875DCC" w:rsidDel="002C2C4A">
        <w:rPr>
          <w:rFonts w:ascii="Verdana" w:eastAsia="Calibri" w:hAnsi="Verdana" w:cs="Arial"/>
          <w:lang w:val="es-ES"/>
        </w:rPr>
        <w:t xml:space="preserve"> </w:t>
      </w:r>
    </w:p>
    <w:p w14:paraId="02B8F91B" w14:textId="77777777" w:rsidR="00BF2989" w:rsidRPr="00875DCC" w:rsidRDefault="00BF2989" w:rsidP="00875DCC">
      <w:pPr>
        <w:spacing w:after="0" w:line="276" w:lineRule="auto"/>
        <w:jc w:val="both"/>
        <w:rPr>
          <w:rFonts w:ascii="Verdana" w:eastAsia="Calibri" w:hAnsi="Verdana" w:cs="Arial"/>
          <w:lang w:val="es-ES"/>
        </w:rPr>
      </w:pPr>
    </w:p>
    <w:p w14:paraId="0D3929B9"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De acuerdo con la postura adoptada en la Circular, la “clasificación del proponente”, que corresponde a los listados señalados en los numerales 1.1. y 2.1. del artículo 2.2.1.1.1.5.2. del Decreto 1082 de 2015, no condiciona la capacidad ―jurídica, ni tampoco otra― de los proponentes, por lo que, si un proponente cumple los demás requisitos exigidos en el pliego de condiciones, su oferta no puede ser rechazada o desestimada bajo el argumento de que no cuenta con la inscripción del código de los bienes, obras o servicios del objeto del proceso de contratación.</w:t>
      </w:r>
    </w:p>
    <w:p w14:paraId="6502586D"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Lo anterior se desarrolla sin perjuicio de la forma como se exija la experiencia en los pliegos de condiciones, pues este es un requisito habilitante diferente de la capacidad jurídica; y, para efectos de evaluar la experiencia en los pliegos de condiciones, sí se podrá acudir al Clasificador de Bienes y Servicios de las </w:t>
      </w:r>
      <w:r w:rsidRPr="00875DCC">
        <w:rPr>
          <w:rFonts w:ascii="Verdana" w:eastAsia="Calibri" w:hAnsi="Verdana" w:cs="Arial"/>
          <w:lang w:val="es-ES"/>
        </w:rPr>
        <w:lastRenderedPageBreak/>
        <w:t>Naciones Unidas para exigir, por ejemplo, que solo se tendrá por valedera la experiencia inscrita por el proponente en el RUP, que sea de contratos ejecutados que coincidan con algún código del Clasificador del Bienes y Servicios, en particular, en el tercer nivel del clasificador. Esto se desprende del artículo 2.2.1.1.1.5.3. del Decreto 1082 de 2015, donde se señalan los requisitos habilitantes contenidos en el RUP, estableciendo frente a la experiencia lo siguiente:</w:t>
      </w:r>
    </w:p>
    <w:p w14:paraId="2607439A" w14:textId="77777777" w:rsidR="00BF2989" w:rsidRPr="00875DCC" w:rsidRDefault="00BF2989" w:rsidP="00875DCC">
      <w:pPr>
        <w:spacing w:after="0" w:line="276" w:lineRule="auto"/>
        <w:jc w:val="both"/>
        <w:rPr>
          <w:rFonts w:ascii="Verdana" w:eastAsia="Calibri" w:hAnsi="Verdana" w:cs="Arial"/>
          <w:lang w:val="es-ES"/>
        </w:rPr>
      </w:pPr>
    </w:p>
    <w:p w14:paraId="7FB938B8"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Artículo 2.2.1.1.1.5.3. Requisitos habilitantes contenidos en el RUP. Las cámaras de comercio, con base en la información a la que hace referencia el artículo anterior, deben verificar y certificar los siguientes requisitos habilitantes:</w:t>
      </w:r>
    </w:p>
    <w:p w14:paraId="7FC1D982"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w:t>
      </w:r>
    </w:p>
    <w:p w14:paraId="4AC25B5E"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1.    Experiencia – Los contratos celebrados por el interesado para cada uno de los bienes, obras y servicios que ofrecerá a las Entidades Estatales, identificados con el Clasificador de Bienes y Servicios en el tercer nivel y su valor expresado en SMMLV.</w:t>
      </w:r>
    </w:p>
    <w:p w14:paraId="1D380AD4" w14:textId="77777777" w:rsidR="00BF2989" w:rsidRPr="00875DCC" w:rsidRDefault="00BF2989" w:rsidP="00875DCC">
      <w:pPr>
        <w:spacing w:after="0" w:line="276" w:lineRule="auto"/>
        <w:jc w:val="both"/>
        <w:rPr>
          <w:rFonts w:ascii="Verdana" w:eastAsia="Calibri" w:hAnsi="Verdana" w:cs="Arial"/>
          <w:lang w:val="es-ES"/>
        </w:rPr>
      </w:pPr>
    </w:p>
    <w:p w14:paraId="0A042D27"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(Cursiva fuera de texto)</w:t>
      </w:r>
    </w:p>
    <w:p w14:paraId="5D44E53E" w14:textId="77777777" w:rsidR="00BF2989" w:rsidRPr="00875DCC" w:rsidRDefault="00BF2989" w:rsidP="00875DCC">
      <w:pPr>
        <w:spacing w:after="0" w:line="276" w:lineRule="auto"/>
        <w:jc w:val="both"/>
        <w:rPr>
          <w:rFonts w:ascii="Verdana" w:eastAsia="Calibri" w:hAnsi="Verdana" w:cs="Arial"/>
          <w:lang w:val="es-ES"/>
        </w:rPr>
      </w:pPr>
    </w:p>
    <w:p w14:paraId="371B5E94"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En armonía con lo anterior, la Circular Externa Única a que se hizo referencia previamente, en relación con el uso del Clasificador de Bienes y Servicios para efectos de acreditar la experiencia en los procedimientos de selección, estableció, en contraste con la “clasificación del proponente”, que:</w:t>
      </w:r>
    </w:p>
    <w:p w14:paraId="3008328D" w14:textId="77777777" w:rsidR="00BF2989" w:rsidRPr="00875DCC" w:rsidRDefault="00BF2989" w:rsidP="00875DCC">
      <w:pPr>
        <w:spacing w:after="0" w:line="276" w:lineRule="auto"/>
        <w:jc w:val="both"/>
        <w:rPr>
          <w:rFonts w:ascii="Verdana" w:eastAsia="Calibri" w:hAnsi="Verdana" w:cs="Arial"/>
          <w:lang w:val="es-ES"/>
        </w:rPr>
      </w:pPr>
    </w:p>
    <w:p w14:paraId="45881C72"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La experiencia es un requisito habilitante. Los proponentes deben inscribir en el RUP su experiencia usando los códigos del Clasificador de Bienes y Servicios. Por su parte las Entidades Estatales al establecer el requisito habilitante de experiencia deben incluir los códigos específicos del objeto a contratar o el de bienes, obras o servicios afines al Proceso de Contratación respecto de los cuales los proponentes deben acreditar su experiencia. </w:t>
      </w:r>
    </w:p>
    <w:p w14:paraId="11B8175C" w14:textId="77777777" w:rsidR="00BF2989" w:rsidRPr="00875DCC" w:rsidRDefault="00BF2989" w:rsidP="00875DCC">
      <w:pPr>
        <w:spacing w:after="0" w:line="276" w:lineRule="auto"/>
        <w:jc w:val="both"/>
        <w:rPr>
          <w:rFonts w:ascii="Verdana" w:eastAsia="Calibri" w:hAnsi="Verdana" w:cs="Arial"/>
          <w:lang w:val="es-ES"/>
        </w:rPr>
      </w:pPr>
    </w:p>
    <w:p w14:paraId="5E64E502"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En conclusión, de conformidad con Circular Externa Única, la “clasificación del proponente”, en los términos en que se desarrolló dicha noción en este concepto, no constituye un requisito habilitante en los procedimientos de selección, por lo </w:t>
      </w:r>
      <w:r w:rsidRPr="00875DCC">
        <w:rPr>
          <w:rFonts w:ascii="Verdana" w:eastAsia="Calibri" w:hAnsi="Verdana" w:cs="Arial"/>
          <w:lang w:val="es-ES"/>
        </w:rPr>
        <w:lastRenderedPageBreak/>
        <w:t>que si un proponente acredita los demás requisitos exigidos en el pliego de condiciones, su oferta no puede ser rechazada o desestimada bajo el argumento de que el oferente no cuenta con la inscripción del código de los bienes, obras o servicios del objeto del proceso de contratación.</w:t>
      </w:r>
    </w:p>
    <w:p w14:paraId="5FB26D98" w14:textId="77777777" w:rsidR="00BF2989" w:rsidRPr="00875DCC" w:rsidRDefault="00BF2989" w:rsidP="00875DCC">
      <w:pPr>
        <w:spacing w:after="0" w:line="276" w:lineRule="auto"/>
        <w:jc w:val="both"/>
        <w:rPr>
          <w:rFonts w:ascii="Verdana" w:eastAsia="Calibri" w:hAnsi="Verdana" w:cs="Arial"/>
          <w:lang w:val="es-ES"/>
        </w:rPr>
      </w:pPr>
      <w:bookmarkStart w:id="7" w:name="_Hlk101793579"/>
      <w:r w:rsidRPr="00875DCC">
        <w:rPr>
          <w:rFonts w:ascii="Verdana" w:eastAsia="Calibri" w:hAnsi="Verdana" w:cs="Arial"/>
          <w:lang w:val="es-ES"/>
        </w:rPr>
        <w:t xml:space="preserve">El Clasificador de Bienes y Servicios consta de cinco niveles; no obstante, el último nivel, denominado Función de Negocio, no es muy utilizado. </w:t>
      </w:r>
      <w:proofErr w:type="gramStart"/>
      <w:r w:rsidRPr="00875DCC">
        <w:rPr>
          <w:rFonts w:ascii="Verdana" w:eastAsia="Calibri" w:hAnsi="Verdana" w:cs="Arial"/>
          <w:lang w:val="es-ES"/>
        </w:rPr>
        <w:t>Los niveles jerárquicos a utilizar</w:t>
      </w:r>
      <w:proofErr w:type="gramEnd"/>
      <w:r w:rsidRPr="00875DCC">
        <w:rPr>
          <w:rFonts w:ascii="Verdana" w:eastAsia="Calibri" w:hAnsi="Verdana" w:cs="Arial"/>
          <w:lang w:val="es-ES"/>
        </w:rPr>
        <w:t xml:space="preserve">, en su orden, son: i) segmento: agregación lógica de familias para propósitos analíticos; </w:t>
      </w:r>
      <w:proofErr w:type="spellStart"/>
      <w:r w:rsidRPr="00875DCC">
        <w:rPr>
          <w:rFonts w:ascii="Verdana" w:eastAsia="Calibri" w:hAnsi="Verdana" w:cs="Arial"/>
          <w:lang w:val="es-ES"/>
        </w:rPr>
        <w:t>ii</w:t>
      </w:r>
      <w:proofErr w:type="spellEnd"/>
      <w:r w:rsidRPr="00875DCC">
        <w:rPr>
          <w:rFonts w:ascii="Verdana" w:eastAsia="Calibri" w:hAnsi="Verdana" w:cs="Arial"/>
          <w:lang w:val="es-ES"/>
        </w:rPr>
        <w:t xml:space="preserve">) familia: un grupo de categorías de productos interrelacionadas; </w:t>
      </w:r>
      <w:proofErr w:type="spellStart"/>
      <w:r w:rsidRPr="00875DCC">
        <w:rPr>
          <w:rFonts w:ascii="Verdana" w:eastAsia="Calibri" w:hAnsi="Verdana" w:cs="Arial"/>
          <w:lang w:val="es-ES"/>
        </w:rPr>
        <w:t>iii</w:t>
      </w:r>
      <w:proofErr w:type="spellEnd"/>
      <w:r w:rsidRPr="00875DCC">
        <w:rPr>
          <w:rFonts w:ascii="Verdana" w:eastAsia="Calibri" w:hAnsi="Verdana" w:cs="Arial"/>
          <w:lang w:val="es-ES"/>
        </w:rPr>
        <w:t xml:space="preserve">) clase: un grupo de productos que comparten características comunes; y </w:t>
      </w:r>
      <w:proofErr w:type="spellStart"/>
      <w:r w:rsidRPr="00875DCC">
        <w:rPr>
          <w:rFonts w:ascii="Verdana" w:eastAsia="Calibri" w:hAnsi="Verdana" w:cs="Arial"/>
          <w:lang w:val="es-ES"/>
        </w:rPr>
        <w:t>iv</w:t>
      </w:r>
      <w:proofErr w:type="spellEnd"/>
      <w:r w:rsidRPr="00875DCC">
        <w:rPr>
          <w:rFonts w:ascii="Verdana" w:eastAsia="Calibri" w:hAnsi="Verdana" w:cs="Arial"/>
          <w:lang w:val="es-ES"/>
        </w:rPr>
        <w:t>) producto: un grupo de productos o servicios</w:t>
      </w:r>
      <w:r w:rsidRPr="008D2853">
        <w:rPr>
          <w:rFonts w:ascii="Verdana" w:eastAsia="Calibri" w:hAnsi="Verdana" w:cs="Arial"/>
          <w:sz w:val="16"/>
          <w:szCs w:val="16"/>
          <w:lang w:val="es-ES"/>
        </w:rPr>
        <w:footnoteReference w:id="12"/>
      </w:r>
      <w:r w:rsidRPr="00875DCC">
        <w:rPr>
          <w:rFonts w:ascii="Verdana" w:eastAsia="Calibri" w:hAnsi="Verdana" w:cs="Arial"/>
          <w:lang w:val="es-ES"/>
        </w:rPr>
        <w:t>.  </w:t>
      </w:r>
    </w:p>
    <w:p w14:paraId="5B234153"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 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 De acuerdo con esto, cada bien o servicio está asociado a un código que surge de la subsunción de sus características y condiciones en los diferentes niveles del clasificador. Estos códigos son los que deben incluirse en el RUP para efectos de la experiencia. Estos mismos códigos son los que deben incluir las entidades estatales en los pliegos de condiciones al realizar la descripción del objeto contractual. </w:t>
      </w:r>
    </w:p>
    <w:bookmarkEnd w:id="7"/>
    <w:p w14:paraId="728DF693"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De otra parte, debe mencionarse que en virtud de los dispuesto en el artículo 2.2.1.2.5.2 del Decreto 1082 de 2015, esta Agencia expidió la “Guía para la codificación de bienes y servicios de acuerdo con el código estándar de productos y servicios de Naciones Unidas, V.14.080”. Este documento contiene una serie de instrucciones y nociones básicas para al uso del Clasificador de Bienes y Servicios por parte de las entidades estatales en sus procesos de contratación. Esta se encuentra disponible para consulta en: </w:t>
      </w:r>
      <w:hyperlink r:id="rId13" w:history="1">
        <w:r w:rsidRPr="00875DCC">
          <w:rPr>
            <w:rFonts w:ascii="Verdana" w:eastAsia="Calibri" w:hAnsi="Verdana" w:cs="Arial"/>
            <w:lang w:val="es-ES"/>
          </w:rPr>
          <w:t>https://www.colombiacompra.gov.co/sites/cce_public/files/cce_documents/cce_guia_codificacion_bienes.pdf</w:t>
        </w:r>
      </w:hyperlink>
      <w:r w:rsidRPr="00875DCC">
        <w:rPr>
          <w:rFonts w:ascii="Verdana" w:eastAsia="Calibri" w:hAnsi="Verdana" w:cs="Arial"/>
          <w:lang w:val="es-ES"/>
        </w:rPr>
        <w:t xml:space="preserve"> </w:t>
      </w:r>
    </w:p>
    <w:p w14:paraId="4B39550C" w14:textId="77777777" w:rsidR="00BF2989" w:rsidRPr="00875DCC" w:rsidRDefault="00BF2989" w:rsidP="00875DCC">
      <w:pPr>
        <w:spacing w:after="0" w:line="276" w:lineRule="auto"/>
        <w:jc w:val="both"/>
        <w:rPr>
          <w:rFonts w:ascii="Verdana" w:eastAsia="Calibri" w:hAnsi="Verdana" w:cs="Arial"/>
          <w:lang w:val="es-ES"/>
        </w:rPr>
      </w:pPr>
      <w:r w:rsidRPr="00875DCC">
        <w:rPr>
          <w:rFonts w:ascii="Verdana" w:eastAsia="Calibri" w:hAnsi="Verdana" w:cs="Arial"/>
          <w:lang w:val="es-ES"/>
        </w:rPr>
        <w:t xml:space="preserve"> Así mismo, la Agencia Nacional de Contratación Pública – Colombia Compra Eficiente ha puesto a disposición de las entidades y la ciudadanía una herramienta web en la que se encuentran cada uno de los componentes de los </w:t>
      </w:r>
      <w:r w:rsidRPr="00875DCC">
        <w:rPr>
          <w:rFonts w:ascii="Verdana" w:eastAsia="Calibri" w:hAnsi="Verdana" w:cs="Arial"/>
          <w:lang w:val="es-ES"/>
        </w:rPr>
        <w:lastRenderedPageBreak/>
        <w:t xml:space="preserve">distintos niveles de los que consta el clasificador, traducidos al español. Esta facilita la conformación de los correspondientes códigos, y puede consultarse en la página web: </w:t>
      </w:r>
      <w:hyperlink r:id="rId14" w:history="1">
        <w:r w:rsidRPr="00875DCC">
          <w:rPr>
            <w:rFonts w:ascii="Verdana" w:eastAsia="Calibri" w:hAnsi="Verdana" w:cs="Arial"/>
            <w:lang w:val="es-ES"/>
          </w:rPr>
          <w:t>https://www.colombiacompra.gov.co/clasificador-de-bienes-y-Servicios</w:t>
        </w:r>
      </w:hyperlink>
    </w:p>
    <w:p w14:paraId="6B1004E0" w14:textId="77777777" w:rsidR="00B004E7" w:rsidRPr="00692D10" w:rsidRDefault="00B004E7" w:rsidP="00B004E7">
      <w:pPr>
        <w:widowControl w:val="0"/>
        <w:autoSpaceDE w:val="0"/>
        <w:autoSpaceDN w:val="0"/>
        <w:spacing w:after="0" w:line="276" w:lineRule="auto"/>
        <w:jc w:val="both"/>
        <w:rPr>
          <w:rFonts w:ascii="Verdana" w:hAnsi="Verdana" w:cs="Arial"/>
        </w:rPr>
      </w:pPr>
    </w:p>
    <w:p w14:paraId="6097FDDC" w14:textId="77777777" w:rsidR="00B004E7" w:rsidRPr="00692D10" w:rsidRDefault="00B004E7" w:rsidP="00B004E7">
      <w:pPr>
        <w:widowControl w:val="0"/>
        <w:autoSpaceDE w:val="0"/>
        <w:autoSpaceDN w:val="0"/>
        <w:spacing w:before="1" w:after="0" w:line="240" w:lineRule="auto"/>
        <w:outlineLvl w:val="0"/>
        <w:rPr>
          <w:rFonts w:ascii="Arial" w:eastAsia="Arial" w:hAnsi="Arial" w:cs="Arial"/>
          <w:b/>
          <w:bCs/>
          <w:lang w:val="es-ES"/>
        </w:rPr>
      </w:pPr>
      <w:r w:rsidRPr="00692D10">
        <w:rPr>
          <w:rFonts w:ascii="Arial" w:eastAsia="Arial" w:hAnsi="Arial" w:cs="Arial"/>
          <w:b/>
          <w:bCs/>
          <w:lang w:val="es-ES"/>
        </w:rPr>
        <w:t>4.</w:t>
      </w:r>
      <w:r w:rsidRPr="00692D10">
        <w:rPr>
          <w:rFonts w:ascii="Verdana" w:eastAsia="Arial" w:hAnsi="Verdana" w:cs="Arial"/>
          <w:b/>
          <w:bCs/>
          <w:lang w:val="es-ES"/>
        </w:rPr>
        <w:t>Referencias normativas, jurisprudenciales y otras fuentes:</w:t>
      </w:r>
    </w:p>
    <w:p w14:paraId="41F2BDC2" w14:textId="77777777" w:rsidR="00B004E7" w:rsidRPr="00692D10" w:rsidRDefault="00B004E7" w:rsidP="00B004E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004E7" w:rsidRPr="00692D10" w14:paraId="0E9888EC" w14:textId="77777777" w:rsidTr="00BD407E">
        <w:trPr>
          <w:trHeight w:val="870"/>
        </w:trPr>
        <w:tc>
          <w:tcPr>
            <w:tcW w:w="8647" w:type="dxa"/>
          </w:tcPr>
          <w:p w14:paraId="18669757" w14:textId="77777777" w:rsidR="00B004E7" w:rsidRPr="00FE5A35" w:rsidRDefault="00B004E7" w:rsidP="00B004E7">
            <w:pPr>
              <w:widowControl w:val="0"/>
              <w:numPr>
                <w:ilvl w:val="0"/>
                <w:numId w:val="17"/>
              </w:numPr>
              <w:autoSpaceDE w:val="0"/>
              <w:autoSpaceDN w:val="0"/>
              <w:spacing w:line="276" w:lineRule="auto"/>
              <w:contextualSpacing/>
              <w:jc w:val="both"/>
              <w:rPr>
                <w:rFonts w:ascii="Verdana" w:hAnsi="Verdana" w:cs="Arial"/>
              </w:rPr>
            </w:pPr>
            <w:r w:rsidRPr="00692D10">
              <w:rPr>
                <w:rFonts w:ascii="Verdana" w:eastAsia="Calibri" w:hAnsi="Verdana" w:cs="Arial"/>
                <w:lang w:val="es-ES"/>
              </w:rPr>
              <w:t>Decreto 1082 de 2015</w:t>
            </w:r>
            <w:r w:rsidRPr="00692D10">
              <w:rPr>
                <w:rFonts w:ascii="Verdana" w:hAnsi="Verdana" w:cs="Arial"/>
              </w:rPr>
              <w:t xml:space="preserve">. Artículos </w:t>
            </w:r>
            <w:r w:rsidRPr="00692D10">
              <w:rPr>
                <w:rFonts w:ascii="Verdana" w:eastAsia="Calibri" w:hAnsi="Verdana" w:cs="Arial"/>
                <w:lang w:val="es-ES"/>
              </w:rPr>
              <w:t xml:space="preserve">2.2.1.1.2.1.3 y </w:t>
            </w:r>
            <w:r w:rsidRPr="00692D10">
              <w:rPr>
                <w:rFonts w:ascii="Verdana" w:eastAsia="Times New Roman" w:hAnsi="Verdana" w:cs="Arial"/>
                <w:bdr w:val="none" w:sz="0" w:space="0" w:color="auto" w:frame="1"/>
                <w:lang w:val="es-MX" w:eastAsia="es-CO"/>
              </w:rPr>
              <w:t>2.2.1.1.1.4.1</w:t>
            </w:r>
            <w:r>
              <w:rPr>
                <w:rFonts w:ascii="Verdana" w:eastAsia="Times New Roman" w:hAnsi="Verdana" w:cs="Arial"/>
                <w:bdr w:val="none" w:sz="0" w:space="0" w:color="auto" w:frame="1"/>
                <w:lang w:val="es-MX" w:eastAsia="es-CO"/>
              </w:rPr>
              <w:t xml:space="preserve">. Disponible: </w:t>
            </w:r>
            <w:hyperlink r:id="rId15" w:history="1">
              <w:r w:rsidRPr="00440724">
                <w:rPr>
                  <w:rStyle w:val="Hipervnculo"/>
                  <w:rFonts w:ascii="Verdana" w:eastAsia="Times New Roman" w:hAnsi="Verdana" w:cs="Arial"/>
                  <w:bdr w:val="none" w:sz="0" w:space="0" w:color="auto" w:frame="1"/>
                  <w:lang w:val="es-MX" w:eastAsia="es-CO"/>
                </w:rPr>
                <w:t>https://relatoria.colombiacompra.gov.co/normativa/decreto-1082-de-2015/</w:t>
              </w:r>
            </w:hyperlink>
          </w:p>
          <w:p w14:paraId="32C8B29B" w14:textId="77777777" w:rsidR="00B004E7" w:rsidRPr="00FE5A35" w:rsidRDefault="00B004E7" w:rsidP="00B004E7">
            <w:pPr>
              <w:widowControl w:val="0"/>
              <w:numPr>
                <w:ilvl w:val="0"/>
                <w:numId w:val="17"/>
              </w:numPr>
              <w:autoSpaceDE w:val="0"/>
              <w:autoSpaceDN w:val="0"/>
              <w:spacing w:line="276" w:lineRule="auto"/>
              <w:contextualSpacing/>
              <w:jc w:val="both"/>
              <w:rPr>
                <w:rFonts w:ascii="Verdana" w:hAnsi="Verdana" w:cs="Arial"/>
              </w:rPr>
            </w:pPr>
            <w:r w:rsidRPr="00692D10">
              <w:rPr>
                <w:rFonts w:ascii="Verdana" w:hAnsi="Verdana" w:cs="Arial"/>
              </w:rPr>
              <w:t>Constitución Política. Artículo 209, inciso 1</w:t>
            </w:r>
            <w:r>
              <w:rPr>
                <w:rFonts w:ascii="Verdana" w:hAnsi="Verdana" w:cs="Arial"/>
              </w:rPr>
              <w:t xml:space="preserve">. Disponible en: </w:t>
            </w:r>
            <w:hyperlink r:id="rId16" w:history="1">
              <w:r w:rsidRPr="00440724">
                <w:rPr>
                  <w:rStyle w:val="Hipervnculo"/>
                  <w:rFonts w:ascii="Verdana" w:hAnsi="Verdana" w:cs="Arial"/>
                </w:rPr>
                <w:t>https://relatoria.colombiacompra.gov.co/normativa/constitucion-politica-de-colombia/</w:t>
              </w:r>
            </w:hyperlink>
          </w:p>
          <w:p w14:paraId="5878C185" w14:textId="77777777" w:rsidR="00B004E7" w:rsidRPr="00FE5A35" w:rsidRDefault="00B004E7" w:rsidP="00B004E7">
            <w:pPr>
              <w:widowControl w:val="0"/>
              <w:numPr>
                <w:ilvl w:val="0"/>
                <w:numId w:val="17"/>
              </w:numPr>
              <w:autoSpaceDE w:val="0"/>
              <w:autoSpaceDN w:val="0"/>
              <w:spacing w:line="276" w:lineRule="auto"/>
              <w:contextualSpacing/>
              <w:jc w:val="both"/>
              <w:rPr>
                <w:rFonts w:ascii="Verdana" w:hAnsi="Verdana" w:cs="Arial"/>
              </w:rPr>
            </w:pPr>
            <w:r w:rsidRPr="00692D10">
              <w:rPr>
                <w:rFonts w:ascii="Verdana" w:eastAsia="Calibri" w:hAnsi="Verdana" w:cs="Arial"/>
                <w:lang w:val="es-ES"/>
              </w:rPr>
              <w:t>Ley 1437 de 2011. Artículo 3, numeral 3</w:t>
            </w:r>
            <w:r>
              <w:rPr>
                <w:rFonts w:ascii="Verdana" w:eastAsia="Calibri" w:hAnsi="Verdana" w:cs="Arial"/>
                <w:lang w:val="es-ES"/>
              </w:rPr>
              <w:t xml:space="preserve">. Disponible en: </w:t>
            </w:r>
            <w:hyperlink r:id="rId17" w:history="1">
              <w:r w:rsidRPr="00440724">
                <w:rPr>
                  <w:rStyle w:val="Hipervnculo"/>
                  <w:rFonts w:ascii="Verdana" w:eastAsia="Calibri" w:hAnsi="Verdana" w:cs="Arial"/>
                  <w:lang w:val="es-ES"/>
                </w:rPr>
                <w:t>https://relatoria.colombiacompra.gov.co/normativa/ley-1437-de-2011/</w:t>
              </w:r>
            </w:hyperlink>
          </w:p>
          <w:p w14:paraId="2BA4E3A9" w14:textId="77777777" w:rsidR="00B004E7" w:rsidRPr="00FE5A35" w:rsidRDefault="00B004E7" w:rsidP="00B004E7">
            <w:pPr>
              <w:widowControl w:val="0"/>
              <w:numPr>
                <w:ilvl w:val="0"/>
                <w:numId w:val="17"/>
              </w:numPr>
              <w:autoSpaceDE w:val="0"/>
              <w:autoSpaceDN w:val="0"/>
              <w:spacing w:line="276" w:lineRule="auto"/>
              <w:contextualSpacing/>
              <w:jc w:val="both"/>
              <w:rPr>
                <w:rFonts w:ascii="Verdana" w:hAnsi="Verdana" w:cs="Arial"/>
              </w:rPr>
            </w:pPr>
            <w:r w:rsidRPr="00692D10">
              <w:rPr>
                <w:rFonts w:ascii="Verdana" w:eastAsia="Calibri" w:hAnsi="Verdana" w:cs="Arial"/>
                <w:lang w:val="es-ES"/>
              </w:rPr>
              <w:t>Ley 80 de 1993. Artículo 77</w:t>
            </w:r>
            <w:r>
              <w:rPr>
                <w:rFonts w:ascii="Verdana" w:eastAsia="Calibri" w:hAnsi="Verdana" w:cs="Arial"/>
                <w:lang w:val="es-ES"/>
              </w:rPr>
              <w:t xml:space="preserve">. Disponible: </w:t>
            </w:r>
            <w:hyperlink r:id="rId18" w:history="1">
              <w:r w:rsidRPr="00440724">
                <w:rPr>
                  <w:rStyle w:val="Hipervnculo"/>
                  <w:rFonts w:ascii="Verdana" w:eastAsia="Calibri" w:hAnsi="Verdana" w:cs="Arial"/>
                  <w:lang w:val="es-ES"/>
                </w:rPr>
                <w:t>https://relatoria.colombiacompra.gov.co/normativa/ley-80-de-1993/</w:t>
              </w:r>
            </w:hyperlink>
          </w:p>
          <w:p w14:paraId="6FBE83C9" w14:textId="77777777" w:rsidR="00B004E7" w:rsidRPr="00FE5A35" w:rsidRDefault="00B004E7" w:rsidP="00B004E7">
            <w:pPr>
              <w:widowControl w:val="0"/>
              <w:numPr>
                <w:ilvl w:val="0"/>
                <w:numId w:val="17"/>
              </w:numPr>
              <w:autoSpaceDE w:val="0"/>
              <w:autoSpaceDN w:val="0"/>
              <w:spacing w:line="276" w:lineRule="auto"/>
              <w:contextualSpacing/>
              <w:jc w:val="both"/>
              <w:rPr>
                <w:rFonts w:ascii="Verdana" w:hAnsi="Verdana" w:cs="Arial"/>
              </w:rPr>
            </w:pPr>
            <w:r w:rsidRPr="00692D10">
              <w:rPr>
                <w:rFonts w:ascii="Verdana" w:eastAsia="Calibri" w:hAnsi="Verdana" w:cs="Arial"/>
                <w:lang w:val="es-ES"/>
              </w:rPr>
              <w:t>Ley 1150 de 2007. Artículo 5, 6 y 13</w:t>
            </w:r>
            <w:r>
              <w:rPr>
                <w:rFonts w:ascii="Verdana" w:eastAsia="Calibri" w:hAnsi="Verdana" w:cs="Arial"/>
                <w:lang w:val="es-ES"/>
              </w:rPr>
              <w:t xml:space="preserve">. Disponible en: </w:t>
            </w:r>
            <w:hyperlink r:id="rId19" w:history="1">
              <w:r w:rsidRPr="00440724">
                <w:rPr>
                  <w:rStyle w:val="Hipervnculo"/>
                  <w:rFonts w:ascii="Verdana" w:eastAsia="Calibri" w:hAnsi="Verdana" w:cs="Arial"/>
                  <w:lang w:val="es-ES"/>
                </w:rPr>
                <w:t>https://relatoria.colombiacompra.gov.co/normativa/ley-1150-de-2007/</w:t>
              </w:r>
            </w:hyperlink>
          </w:p>
          <w:p w14:paraId="7AD2BB77" w14:textId="77777777" w:rsidR="00B004E7" w:rsidRDefault="00B004E7" w:rsidP="00B004E7">
            <w:pPr>
              <w:widowControl w:val="0"/>
              <w:numPr>
                <w:ilvl w:val="0"/>
                <w:numId w:val="17"/>
              </w:numPr>
              <w:autoSpaceDE w:val="0"/>
              <w:autoSpaceDN w:val="0"/>
              <w:spacing w:line="276" w:lineRule="auto"/>
              <w:contextualSpacing/>
              <w:jc w:val="both"/>
              <w:rPr>
                <w:rFonts w:ascii="Verdana" w:hAnsi="Verdana" w:cs="Arial"/>
              </w:rPr>
            </w:pPr>
            <w:r w:rsidRPr="00692D10">
              <w:rPr>
                <w:rFonts w:ascii="Verdana" w:eastAsia="Calibri" w:hAnsi="Verdana" w:cs="Arial"/>
                <w:lang w:val="es-ES"/>
              </w:rPr>
              <w:t>Manual para determinar y verificar los requisitos habilitantes en los Procesos de Contratación</w:t>
            </w:r>
            <w:r w:rsidRPr="00692D10">
              <w:rPr>
                <w:rFonts w:ascii="Verdana" w:hAnsi="Verdana" w:cs="Arial"/>
              </w:rPr>
              <w:t>.</w:t>
            </w:r>
            <w:r>
              <w:rPr>
                <w:rFonts w:ascii="Verdana" w:hAnsi="Verdana" w:cs="Arial"/>
              </w:rPr>
              <w:t xml:space="preserve"> Disponible en: </w:t>
            </w:r>
            <w:hyperlink r:id="rId20" w:history="1">
              <w:r w:rsidRPr="00440724">
                <w:rPr>
                  <w:rStyle w:val="Hipervnculo"/>
                  <w:rFonts w:ascii="Verdana" w:hAnsi="Verdana" w:cs="Arial"/>
                </w:rPr>
                <w:t>https://colombiacompra.gov.co/manuales-guias-y-pliegos-tipo/manuales-y-guias/manual-para-determinar-y-verificar-los-requisitos</w:t>
              </w:r>
            </w:hyperlink>
          </w:p>
          <w:p w14:paraId="016EB168" w14:textId="77777777" w:rsidR="00B004E7" w:rsidRPr="00692D10" w:rsidRDefault="00B004E7" w:rsidP="00BD407E">
            <w:pPr>
              <w:widowControl w:val="0"/>
              <w:autoSpaceDE w:val="0"/>
              <w:autoSpaceDN w:val="0"/>
              <w:spacing w:line="276" w:lineRule="auto"/>
              <w:ind w:left="720"/>
              <w:contextualSpacing/>
              <w:jc w:val="both"/>
              <w:rPr>
                <w:rFonts w:ascii="Verdana" w:hAnsi="Verdana" w:cs="Arial"/>
              </w:rPr>
            </w:pPr>
          </w:p>
        </w:tc>
      </w:tr>
    </w:tbl>
    <w:p w14:paraId="0CC98AAC" w14:textId="77777777" w:rsidR="00B004E7" w:rsidRPr="00692D10" w:rsidRDefault="00B004E7" w:rsidP="00B004E7">
      <w:pPr>
        <w:widowControl w:val="0"/>
        <w:autoSpaceDE w:val="0"/>
        <w:autoSpaceDN w:val="0"/>
        <w:spacing w:after="0" w:line="276" w:lineRule="auto"/>
        <w:jc w:val="both"/>
        <w:rPr>
          <w:rFonts w:ascii="Verdana" w:hAnsi="Verdana" w:cs="Arial"/>
        </w:rPr>
      </w:pPr>
    </w:p>
    <w:p w14:paraId="2AD9ABA9" w14:textId="77777777" w:rsidR="00B004E7" w:rsidRPr="00692D10" w:rsidRDefault="00B004E7" w:rsidP="00B004E7">
      <w:pPr>
        <w:widowControl w:val="0"/>
        <w:autoSpaceDE w:val="0"/>
        <w:autoSpaceDN w:val="0"/>
        <w:spacing w:before="1" w:after="0" w:line="240" w:lineRule="auto"/>
        <w:outlineLvl w:val="0"/>
        <w:rPr>
          <w:rFonts w:ascii="Verdana" w:eastAsia="Arial" w:hAnsi="Verdana" w:cs="Arial"/>
          <w:b/>
          <w:bCs/>
          <w:lang w:val="es-ES"/>
        </w:rPr>
      </w:pPr>
      <w:r w:rsidRPr="00692D10">
        <w:rPr>
          <w:rFonts w:ascii="Verdana" w:eastAsia="Arial" w:hAnsi="Verdana" w:cs="Arial"/>
          <w:b/>
          <w:bCs/>
          <w:lang w:val="es-ES"/>
        </w:rPr>
        <w:t>5. Doctrina de la Agencia Nacional de Contratación Pública:</w:t>
      </w:r>
    </w:p>
    <w:p w14:paraId="7B9B32F1" w14:textId="77777777" w:rsidR="00B004E7" w:rsidRPr="00692D10" w:rsidRDefault="00B004E7" w:rsidP="00B004E7">
      <w:pPr>
        <w:widowControl w:val="0"/>
        <w:autoSpaceDE w:val="0"/>
        <w:autoSpaceDN w:val="0"/>
        <w:spacing w:after="0" w:line="276" w:lineRule="auto"/>
        <w:jc w:val="both"/>
        <w:rPr>
          <w:rFonts w:ascii="Verdana" w:hAnsi="Verdana" w:cs="Arial"/>
        </w:rPr>
      </w:pPr>
    </w:p>
    <w:p w14:paraId="0BFE471F" w14:textId="77777777" w:rsidR="00B004E7" w:rsidRPr="00692D10" w:rsidRDefault="00B004E7" w:rsidP="00B004E7">
      <w:pPr>
        <w:widowControl w:val="0"/>
        <w:autoSpaceDE w:val="0"/>
        <w:autoSpaceDN w:val="0"/>
        <w:spacing w:after="0" w:line="276" w:lineRule="auto"/>
        <w:jc w:val="both"/>
        <w:rPr>
          <w:rFonts w:ascii="Verdana" w:hAnsi="Verdana" w:cs="Arial"/>
          <w:shd w:val="clear" w:color="auto" w:fill="FFFFFF"/>
          <w:lang w:val="es-ES"/>
        </w:rPr>
      </w:pPr>
      <w:r w:rsidRPr="00692D10">
        <w:rPr>
          <w:rFonts w:ascii="Verdana" w:hAnsi="Verdana" w:cs="Arial"/>
          <w:shd w:val="clear" w:color="auto" w:fill="FFFFFF"/>
          <w:lang w:val="es-ES"/>
        </w:rPr>
        <w:t xml:space="preserve">Sobre la determinación las causales de rechazo en los procesos de contratación estatal, se pronunció esta Subdirección en los conceptos </w:t>
      </w:r>
      <w:r>
        <w:rPr>
          <w:rFonts w:ascii="Verdana" w:hAnsi="Verdana" w:cs="Arial"/>
          <w:shd w:val="clear" w:color="auto" w:fill="FFFFFF"/>
          <w:lang w:val="es-ES"/>
        </w:rPr>
        <w:t xml:space="preserve">C-193 del 19 de julio de 2024, </w:t>
      </w:r>
      <w:r w:rsidRPr="00692D10">
        <w:rPr>
          <w:rFonts w:ascii="Verdana" w:hAnsi="Verdana" w:cs="Arial"/>
          <w:shd w:val="clear" w:color="auto" w:fill="FFFFFF"/>
          <w:lang w:val="es-ES"/>
        </w:rPr>
        <w:t>C-278 del 24 de agosto de 2023, C-271 del 15 de agosto de 2023, C-265 de 26 de julio de 2023, C-280 del 06 de junio de 2023, C-216 del 06 de junio de 2023, C-184 del 02 junio de 2023, C-141 de 30 de mayo de 2023, C-053 del 28 de marzo de 2023, entre otros. Es</w:t>
      </w:r>
      <w:r w:rsidRPr="00692D10">
        <w:rPr>
          <w:rFonts w:ascii="Verdana" w:hAnsi="Verdana"/>
        </w:rPr>
        <w:t xml:space="preserve">tos y otros conceptos se encuentran disponibles para consulta en el Sistema de relatoría de la Agencia, al cual se </w:t>
      </w:r>
      <w:r w:rsidRPr="00692D10">
        <w:rPr>
          <w:rFonts w:ascii="Verdana" w:hAnsi="Verdana"/>
        </w:rPr>
        <w:lastRenderedPageBreak/>
        <w:t>puede acceder a través del siguiente enlace:</w:t>
      </w:r>
      <w:r w:rsidRPr="00692D10">
        <w:rPr>
          <w:rFonts w:ascii="Verdana" w:hAnsi="Verdana" w:cs="Arial"/>
          <w:shd w:val="clear" w:color="auto" w:fill="FFFFFF"/>
          <w:lang w:val="es-ES"/>
        </w:rPr>
        <w:t xml:space="preserve"> </w:t>
      </w:r>
      <w:hyperlink r:id="rId21" w:history="1">
        <w:r w:rsidRPr="00692D10">
          <w:rPr>
            <w:rFonts w:ascii="Verdana" w:hAnsi="Verdana" w:cs="Arial"/>
            <w:color w:val="0563C1" w:themeColor="hyperlink"/>
            <w:u w:val="single"/>
            <w:shd w:val="clear" w:color="auto" w:fill="FFFFFF"/>
            <w:lang w:val="es-ES"/>
          </w:rPr>
          <w:t>https://relatoria.colombiacompra.gov.co/busqueda/conceptos</w:t>
        </w:r>
      </w:hyperlink>
      <w:r w:rsidRPr="00692D10">
        <w:rPr>
          <w:rFonts w:ascii="Verdana" w:hAnsi="Verdana" w:cs="Arial"/>
          <w:color w:val="FF0000"/>
          <w:shd w:val="clear" w:color="auto" w:fill="FFFFFF"/>
          <w:lang w:val="es-ES"/>
        </w:rPr>
        <w:t>.</w:t>
      </w:r>
    </w:p>
    <w:p w14:paraId="34FB19FF" w14:textId="77777777" w:rsidR="00B004E7" w:rsidRPr="00692D10" w:rsidRDefault="00B004E7" w:rsidP="00B004E7">
      <w:pPr>
        <w:widowControl w:val="0"/>
        <w:autoSpaceDE w:val="0"/>
        <w:autoSpaceDN w:val="0"/>
        <w:spacing w:after="0" w:line="276" w:lineRule="auto"/>
        <w:jc w:val="both"/>
        <w:rPr>
          <w:rFonts w:ascii="Verdana" w:hAnsi="Verdana" w:cs="Arial"/>
          <w:shd w:val="clear" w:color="auto" w:fill="FFFFFF"/>
          <w:lang w:val="es-ES"/>
        </w:rPr>
      </w:pPr>
    </w:p>
    <w:p w14:paraId="20212C26" w14:textId="77777777" w:rsidR="00B004E7" w:rsidRPr="00692D10" w:rsidRDefault="00B004E7" w:rsidP="00B004E7">
      <w:pPr>
        <w:widowControl w:val="0"/>
        <w:autoSpaceDE w:val="0"/>
        <w:autoSpaceDN w:val="0"/>
        <w:spacing w:after="0" w:line="276" w:lineRule="auto"/>
        <w:jc w:val="both"/>
        <w:rPr>
          <w:rFonts w:ascii="Verdana" w:hAnsi="Verdana" w:cs="Arial"/>
          <w:shd w:val="clear" w:color="auto" w:fill="FFFFFF"/>
          <w:lang w:val="es-ES"/>
        </w:rPr>
      </w:pPr>
      <w:r w:rsidRPr="00692D10">
        <w:rPr>
          <w:rFonts w:ascii="Verdana"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r w:rsidRPr="00692D10">
        <w:rPr>
          <w:rFonts w:ascii="Verdana" w:hAnsi="Verdana"/>
          <w:color w:val="0563C1" w:themeColor="hyperlink"/>
          <w:u w:val="single"/>
          <w:lang w:val="es-ES"/>
        </w:rPr>
        <w:t>https://www.colombiacompra.gov.co/sala-de-prensa/boletin-digital</w:t>
      </w:r>
      <w:r w:rsidRPr="00692D10">
        <w:rPr>
          <w:rFonts w:ascii="Verdana" w:hAnsi="Verdana" w:cs="Arial"/>
          <w:shd w:val="clear" w:color="auto" w:fill="FFFFFF"/>
          <w:lang w:val="es-ES"/>
        </w:rPr>
        <w:t xml:space="preserve">. </w:t>
      </w:r>
    </w:p>
    <w:p w14:paraId="33A75F7C" w14:textId="77777777" w:rsidR="00B004E7" w:rsidRPr="00692D10" w:rsidRDefault="00B004E7" w:rsidP="00B004E7">
      <w:pPr>
        <w:widowControl w:val="0"/>
        <w:autoSpaceDE w:val="0"/>
        <w:autoSpaceDN w:val="0"/>
        <w:spacing w:after="0" w:line="276" w:lineRule="auto"/>
        <w:jc w:val="both"/>
        <w:rPr>
          <w:rFonts w:ascii="Verdana" w:hAnsi="Verdana" w:cs="Arial"/>
          <w:shd w:val="clear" w:color="auto" w:fill="FFFFFF"/>
          <w:lang w:val="es-ES"/>
        </w:rPr>
      </w:pPr>
    </w:p>
    <w:p w14:paraId="3706DBEF" w14:textId="77777777" w:rsidR="00B004E7" w:rsidRPr="00692D10" w:rsidRDefault="00B004E7" w:rsidP="00B004E7">
      <w:pPr>
        <w:spacing w:after="0" w:line="240" w:lineRule="auto"/>
        <w:jc w:val="both"/>
        <w:rPr>
          <w:rFonts w:ascii="Verdana" w:hAnsi="Verdana"/>
        </w:rPr>
      </w:pPr>
      <w:r w:rsidRPr="00692D10">
        <w:rPr>
          <w:rFonts w:ascii="Verdana" w:hAnsi="Verdana"/>
        </w:rPr>
        <w:t xml:space="preserve">Por último, lo invitamos a seguirnos en las redes sociales en las cuales se difunde información institucional: </w:t>
      </w:r>
    </w:p>
    <w:p w14:paraId="1D302908" w14:textId="77777777" w:rsidR="00B004E7" w:rsidRPr="00692D10" w:rsidRDefault="00B004E7" w:rsidP="00B004E7">
      <w:pPr>
        <w:spacing w:after="0" w:line="240" w:lineRule="auto"/>
        <w:jc w:val="both"/>
        <w:rPr>
          <w:rFonts w:ascii="Verdana" w:hAnsi="Verdana"/>
        </w:rPr>
      </w:pPr>
    </w:p>
    <w:p w14:paraId="5BA2DD23" w14:textId="77777777" w:rsidR="00B004E7" w:rsidRPr="00692D10" w:rsidRDefault="00B004E7" w:rsidP="00B004E7">
      <w:pPr>
        <w:spacing w:after="0" w:line="240" w:lineRule="auto"/>
        <w:jc w:val="both"/>
        <w:rPr>
          <w:rFonts w:ascii="Verdana" w:hAnsi="Verdana"/>
        </w:rPr>
      </w:pPr>
      <w:r w:rsidRPr="00692D10">
        <w:rPr>
          <w:rFonts w:ascii="Verdana" w:hAnsi="Verdana"/>
        </w:rPr>
        <w:t xml:space="preserve">Twitter: </w:t>
      </w:r>
      <w:r w:rsidRPr="00692D10">
        <w:rPr>
          <w:rFonts w:ascii="Verdana" w:hAnsi="Verdana"/>
          <w:color w:val="4472C4" w:themeColor="accent1"/>
          <w:u w:val="single"/>
        </w:rPr>
        <w:t>@colombiacompra</w:t>
      </w:r>
      <w:r w:rsidRPr="00692D10">
        <w:rPr>
          <w:rFonts w:ascii="Verdana" w:hAnsi="Verdana"/>
          <w:color w:val="4472C4" w:themeColor="accent1"/>
        </w:rPr>
        <w:t xml:space="preserve"> </w:t>
      </w:r>
    </w:p>
    <w:p w14:paraId="120A81A0" w14:textId="77777777" w:rsidR="00B004E7" w:rsidRPr="00692D10" w:rsidRDefault="00B004E7" w:rsidP="00B004E7">
      <w:pPr>
        <w:spacing w:after="0" w:line="240" w:lineRule="auto"/>
        <w:jc w:val="both"/>
        <w:rPr>
          <w:rFonts w:ascii="Verdana" w:hAnsi="Verdana"/>
        </w:rPr>
      </w:pPr>
      <w:r w:rsidRPr="00692D10">
        <w:rPr>
          <w:rFonts w:ascii="Verdana" w:hAnsi="Verdana"/>
        </w:rPr>
        <w:t xml:space="preserve">Facebook: </w:t>
      </w:r>
      <w:proofErr w:type="spellStart"/>
      <w:r w:rsidRPr="00692D10">
        <w:rPr>
          <w:rFonts w:ascii="Verdana" w:hAnsi="Verdana"/>
          <w:color w:val="4472C4" w:themeColor="accent1"/>
          <w:u w:val="single"/>
        </w:rPr>
        <w:t>ColombiaCompraEficiente</w:t>
      </w:r>
      <w:proofErr w:type="spellEnd"/>
    </w:p>
    <w:p w14:paraId="381B9EE8" w14:textId="77777777" w:rsidR="00B004E7" w:rsidRPr="00692D10" w:rsidRDefault="00B004E7" w:rsidP="00B004E7">
      <w:pPr>
        <w:spacing w:after="0" w:line="240" w:lineRule="auto"/>
        <w:jc w:val="both"/>
        <w:rPr>
          <w:rFonts w:ascii="Verdana" w:hAnsi="Verdana"/>
        </w:rPr>
      </w:pPr>
      <w:r w:rsidRPr="00692D10">
        <w:rPr>
          <w:rFonts w:ascii="Verdana" w:hAnsi="Verdana"/>
        </w:rPr>
        <w:t xml:space="preserve">LinkedIn: </w:t>
      </w:r>
      <w:r w:rsidRPr="00692D10">
        <w:rPr>
          <w:rFonts w:ascii="Verdana" w:hAnsi="Verdana"/>
          <w:color w:val="4472C4" w:themeColor="accent1"/>
          <w:u w:val="single"/>
        </w:rPr>
        <w:t>Agencia Nacional de Contratación Pública - Colombia Compra Eficiente</w:t>
      </w:r>
      <w:r w:rsidRPr="00692D10">
        <w:rPr>
          <w:rFonts w:ascii="Verdana" w:hAnsi="Verdana"/>
          <w:color w:val="4472C4" w:themeColor="accent1"/>
        </w:rPr>
        <w:t xml:space="preserve"> </w:t>
      </w:r>
      <w:r w:rsidRPr="00692D10">
        <w:rPr>
          <w:rFonts w:ascii="Verdana" w:hAnsi="Verdana"/>
        </w:rPr>
        <w:t xml:space="preserve">Instagram: </w:t>
      </w:r>
      <w:r w:rsidRPr="00692D10">
        <w:rPr>
          <w:rFonts w:ascii="Verdana" w:hAnsi="Verdana"/>
          <w:color w:val="4472C4" w:themeColor="accent1"/>
          <w:u w:val="single"/>
        </w:rPr>
        <w:t>@colombiacompraeficiente_cce</w:t>
      </w:r>
    </w:p>
    <w:p w14:paraId="16AC0493" w14:textId="77777777" w:rsidR="00B004E7" w:rsidRPr="00692D10" w:rsidRDefault="00B004E7" w:rsidP="00B004E7">
      <w:pPr>
        <w:widowControl w:val="0"/>
        <w:autoSpaceDE w:val="0"/>
        <w:autoSpaceDN w:val="0"/>
        <w:spacing w:after="0" w:line="276" w:lineRule="auto"/>
        <w:jc w:val="both"/>
        <w:rPr>
          <w:rFonts w:ascii="Verdana" w:hAnsi="Verdana" w:cs="Arial"/>
        </w:rPr>
      </w:pPr>
    </w:p>
    <w:p w14:paraId="60382A28" w14:textId="77777777" w:rsidR="00B004E7" w:rsidRPr="00692D10" w:rsidRDefault="00B004E7" w:rsidP="00B004E7">
      <w:pPr>
        <w:widowControl w:val="0"/>
        <w:autoSpaceDE w:val="0"/>
        <w:autoSpaceDN w:val="0"/>
        <w:spacing w:after="0" w:line="276" w:lineRule="auto"/>
        <w:jc w:val="both"/>
        <w:rPr>
          <w:rFonts w:ascii="Verdana" w:hAnsi="Verdana" w:cs="Arial"/>
          <w:lang w:val="es-ES_tradnl"/>
        </w:rPr>
      </w:pPr>
      <w:r w:rsidRPr="00692D10">
        <w:rPr>
          <w:rFonts w:ascii="Verdana" w:hAnsi="Verdana" w:cs="Arial"/>
        </w:rPr>
        <w:t xml:space="preserve">Este concepto tiene el alcance previsto en el artículo 28 del Código de Procedimiento Administrativo y de lo Contencioso Administrativo </w:t>
      </w:r>
      <w:r w:rsidRPr="00692D10">
        <w:rPr>
          <w:rFonts w:ascii="Verdana" w:hAnsi="Verdana" w:cs="Arial"/>
          <w:lang w:val="es-ES_tradnl"/>
        </w:rPr>
        <w:t>y las expresiones aquí utilizadas con mayúscula inicial deben ser entendidas con el significado que les otorga el artículo 2.2.1.1.1.3.1. del Decreto 1082 de 2015.</w:t>
      </w:r>
    </w:p>
    <w:p w14:paraId="65B6278E" w14:textId="77777777" w:rsidR="00B004E7" w:rsidRPr="00692D10" w:rsidRDefault="00B004E7" w:rsidP="00B004E7">
      <w:pPr>
        <w:widowControl w:val="0"/>
        <w:autoSpaceDE w:val="0"/>
        <w:autoSpaceDN w:val="0"/>
        <w:spacing w:after="0" w:line="276" w:lineRule="auto"/>
        <w:jc w:val="both"/>
        <w:rPr>
          <w:rFonts w:ascii="Verdana" w:hAnsi="Verdana" w:cs="Arial"/>
        </w:rPr>
      </w:pPr>
    </w:p>
    <w:p w14:paraId="1818696D" w14:textId="77777777" w:rsidR="00B004E7" w:rsidRPr="00692D10" w:rsidRDefault="00B004E7" w:rsidP="00B004E7">
      <w:pPr>
        <w:spacing w:after="0" w:line="240" w:lineRule="auto"/>
        <w:rPr>
          <w:rFonts w:ascii="Verdana" w:hAnsi="Verdana" w:cs="Arial"/>
          <w:lang w:eastAsia="es-CO"/>
        </w:rPr>
      </w:pPr>
      <w:r w:rsidRPr="00692D10">
        <w:rPr>
          <w:rFonts w:ascii="Verdana" w:eastAsia="Times New Roman" w:hAnsi="Verdana" w:cs="Arial"/>
          <w:lang w:eastAsia="es-CO"/>
        </w:rPr>
        <w:t>Atentamente,</w:t>
      </w:r>
      <w:r w:rsidRPr="00692D10">
        <w:rPr>
          <w:rFonts w:ascii="Verdana" w:hAnsi="Verdana" w:cs="Arial"/>
          <w:lang w:eastAsia="es-CO"/>
        </w:rPr>
        <w:t xml:space="preserve"> </w:t>
      </w:r>
    </w:p>
    <w:p w14:paraId="7B913138" w14:textId="687065C6" w:rsidR="00B004E7" w:rsidRPr="00472CF4" w:rsidRDefault="005B309D" w:rsidP="00B004E7">
      <w:pPr>
        <w:spacing w:line="276" w:lineRule="auto"/>
        <w:jc w:val="center"/>
        <w:rPr>
          <w:rFonts w:ascii="Verdana" w:hAnsi="Verdana" w:cs="Arial"/>
          <w:lang w:val="es-ES_tradnl" w:eastAsia="es-CO"/>
        </w:rPr>
      </w:pPr>
      <w:r w:rsidRPr="004D5C25">
        <w:rPr>
          <w:rFonts w:ascii="Century Gothic" w:hAnsi="Century Gothic"/>
          <w:noProof/>
        </w:rPr>
        <w:drawing>
          <wp:inline distT="0" distB="0" distL="0" distR="0" wp14:anchorId="3AFD3A5E" wp14:editId="1FB4EF08">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2"/>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004E7" w:rsidRPr="00472CF4" w14:paraId="15A7E6B6" w14:textId="77777777" w:rsidTr="00BD407E">
        <w:trPr>
          <w:trHeight w:val="315"/>
        </w:trPr>
        <w:tc>
          <w:tcPr>
            <w:tcW w:w="893" w:type="dxa"/>
            <w:vAlign w:val="center"/>
            <w:hideMark/>
          </w:tcPr>
          <w:p w14:paraId="0C1A1B25" w14:textId="77777777" w:rsidR="00B004E7" w:rsidRPr="00472CF4" w:rsidRDefault="00B004E7" w:rsidP="00BD407E">
            <w:pPr>
              <w:contextualSpacing/>
              <w:rPr>
                <w:rFonts w:ascii="Verdana" w:hAnsi="Verdana" w:cs="Arial"/>
                <w:sz w:val="16"/>
                <w:szCs w:val="16"/>
                <w:lang w:val="es-ES" w:eastAsia="es-ES"/>
              </w:rPr>
            </w:pPr>
            <w:r w:rsidRPr="00472CF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0902033" w14:textId="77777777" w:rsidR="00B004E7" w:rsidRPr="00472CF4" w:rsidRDefault="00B004E7" w:rsidP="00BD407E">
            <w:pPr>
              <w:contextualSpacing/>
              <w:rPr>
                <w:rFonts w:ascii="Verdana" w:eastAsia="Arial" w:hAnsi="Verdana" w:cs="Arial"/>
                <w:sz w:val="16"/>
                <w:szCs w:val="16"/>
              </w:rPr>
            </w:pPr>
            <w:r w:rsidRPr="00472CF4">
              <w:rPr>
                <w:rFonts w:ascii="Verdana" w:eastAsia="Arial" w:hAnsi="Verdana" w:cs="Arial"/>
                <w:sz w:val="16"/>
                <w:szCs w:val="16"/>
              </w:rPr>
              <w:t>Keila Margarita Reyes Cassiani</w:t>
            </w:r>
          </w:p>
          <w:p w14:paraId="1430227E" w14:textId="77777777" w:rsidR="00B004E7" w:rsidRPr="00472CF4" w:rsidRDefault="00B004E7" w:rsidP="00BD407E">
            <w:pPr>
              <w:contextualSpacing/>
              <w:rPr>
                <w:rFonts w:ascii="Verdana" w:eastAsia="Arial" w:hAnsi="Verdana" w:cs="Arial"/>
                <w:sz w:val="16"/>
                <w:szCs w:val="16"/>
              </w:rPr>
            </w:pPr>
            <w:r w:rsidRPr="00472CF4">
              <w:rPr>
                <w:rStyle w:val="normaltextrun"/>
                <w:rFonts w:ascii="Verdana" w:eastAsia="Arial" w:hAnsi="Verdana" w:cs="Arial"/>
                <w:sz w:val="16"/>
                <w:szCs w:val="16"/>
              </w:rPr>
              <w:t>Contratista de la Subdirección de Gestión Contractual</w:t>
            </w:r>
          </w:p>
        </w:tc>
      </w:tr>
      <w:tr w:rsidR="00B004E7" w:rsidRPr="00472CF4" w14:paraId="74117A08" w14:textId="77777777" w:rsidTr="00BD407E">
        <w:trPr>
          <w:trHeight w:val="330"/>
        </w:trPr>
        <w:tc>
          <w:tcPr>
            <w:tcW w:w="893" w:type="dxa"/>
            <w:vAlign w:val="center"/>
            <w:hideMark/>
          </w:tcPr>
          <w:p w14:paraId="654A8AAA" w14:textId="77777777" w:rsidR="00B004E7" w:rsidRPr="00472CF4" w:rsidRDefault="00B004E7" w:rsidP="00BD407E">
            <w:pPr>
              <w:contextualSpacing/>
              <w:rPr>
                <w:rFonts w:ascii="Verdana" w:hAnsi="Verdana" w:cs="Arial"/>
                <w:sz w:val="16"/>
                <w:szCs w:val="16"/>
                <w:lang w:val="es-ES" w:eastAsia="es-ES"/>
              </w:rPr>
            </w:pPr>
            <w:r w:rsidRPr="00472CF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7B67E96" w14:textId="77777777" w:rsidR="00B004E7" w:rsidRPr="005254DF" w:rsidRDefault="00B004E7" w:rsidP="00BD407E">
            <w:pPr>
              <w:contextualSpacing/>
              <w:rPr>
                <w:rFonts w:ascii="Verdana" w:hAnsi="Verdana" w:cs="Segoe UI"/>
                <w:sz w:val="16"/>
                <w:szCs w:val="16"/>
              </w:rPr>
            </w:pPr>
            <w:r w:rsidRPr="005254DF">
              <w:rPr>
                <w:rFonts w:ascii="Verdana" w:eastAsia="Arial" w:hAnsi="Verdana" w:cs="Arial"/>
                <w:sz w:val="16"/>
                <w:szCs w:val="16"/>
              </w:rPr>
              <w:t>Adriana Katerine López Rodríguez</w:t>
            </w:r>
          </w:p>
          <w:p w14:paraId="2F2330BC" w14:textId="77777777" w:rsidR="00B004E7" w:rsidRPr="00472CF4" w:rsidRDefault="00B004E7" w:rsidP="00BD407E">
            <w:pPr>
              <w:pStyle w:val="paragraph"/>
              <w:spacing w:before="0" w:beforeAutospacing="0" w:after="0" w:afterAutospacing="0"/>
              <w:contextualSpacing/>
              <w:textAlignment w:val="baseline"/>
              <w:rPr>
                <w:rFonts w:ascii="Verdana" w:hAnsi="Verdana" w:cs="Segoe UI"/>
                <w:sz w:val="16"/>
                <w:szCs w:val="16"/>
              </w:rPr>
            </w:pPr>
            <w:r w:rsidRPr="005254DF">
              <w:rPr>
                <w:rStyle w:val="normaltextrun"/>
                <w:rFonts w:ascii="Verdana" w:hAnsi="Verdana" w:cs="Arial"/>
                <w:sz w:val="16"/>
                <w:szCs w:val="16"/>
                <w:lang w:val="es-ES"/>
              </w:rPr>
              <w:t>C</w:t>
            </w:r>
            <w:r w:rsidRPr="005254DF">
              <w:rPr>
                <w:rStyle w:val="normaltextrun"/>
                <w:rFonts w:ascii="Verdana" w:hAnsi="Verdana"/>
                <w:sz w:val="16"/>
                <w:szCs w:val="16"/>
                <w:lang w:val="es-ES"/>
              </w:rPr>
              <w:t>ontratista</w:t>
            </w:r>
            <w:r w:rsidRPr="005254DF">
              <w:rPr>
                <w:rStyle w:val="normaltextrun"/>
                <w:rFonts w:ascii="Verdana" w:hAnsi="Verdana" w:cs="Arial"/>
                <w:sz w:val="16"/>
                <w:szCs w:val="16"/>
                <w:lang w:val="es-ES"/>
              </w:rPr>
              <w:t xml:space="preserve"> de la Subdirección de Gestión Contractual</w:t>
            </w:r>
            <w:r w:rsidRPr="00472CF4">
              <w:rPr>
                <w:rStyle w:val="eop"/>
                <w:rFonts w:ascii="Verdana" w:hAnsi="Verdana" w:cs="Arial"/>
                <w:sz w:val="16"/>
                <w:szCs w:val="16"/>
              </w:rPr>
              <w:t> </w:t>
            </w:r>
          </w:p>
        </w:tc>
      </w:tr>
      <w:tr w:rsidR="00B004E7" w:rsidRPr="00472CF4" w14:paraId="3C36693E" w14:textId="77777777" w:rsidTr="00BD407E">
        <w:trPr>
          <w:trHeight w:val="300"/>
        </w:trPr>
        <w:tc>
          <w:tcPr>
            <w:tcW w:w="893" w:type="dxa"/>
            <w:vAlign w:val="center"/>
          </w:tcPr>
          <w:p w14:paraId="5D8367A9" w14:textId="77777777" w:rsidR="00B004E7" w:rsidRPr="00472CF4" w:rsidRDefault="00B004E7" w:rsidP="00BD407E">
            <w:pPr>
              <w:contextualSpacing/>
              <w:rPr>
                <w:rFonts w:ascii="Verdana" w:hAnsi="Verdana" w:cs="Arial"/>
                <w:sz w:val="16"/>
                <w:szCs w:val="16"/>
                <w:lang w:val="es-ES" w:eastAsia="es-ES"/>
              </w:rPr>
            </w:pPr>
            <w:r w:rsidRPr="00472CF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52CA7D2" w14:textId="77777777" w:rsidR="00B004E7" w:rsidRPr="00472CF4" w:rsidRDefault="00B004E7" w:rsidP="00BD407E">
            <w:pPr>
              <w:contextualSpacing/>
              <w:rPr>
                <w:rFonts w:ascii="Verdana" w:eastAsia="Calibri" w:hAnsi="Verdana" w:cs="Arial"/>
                <w:sz w:val="16"/>
                <w:szCs w:val="16"/>
                <w:lang w:val="pt-BR" w:eastAsia="es-ES"/>
              </w:rPr>
            </w:pPr>
            <w:r w:rsidRPr="00472CF4">
              <w:rPr>
                <w:rFonts w:ascii="Verdana" w:eastAsia="Calibri" w:hAnsi="Verdana" w:cs="Arial"/>
                <w:sz w:val="16"/>
                <w:szCs w:val="16"/>
                <w:lang w:val="pt-BR" w:eastAsia="es-ES"/>
              </w:rPr>
              <w:t xml:space="preserve">Carolina Quintero </w:t>
            </w:r>
            <w:proofErr w:type="spellStart"/>
            <w:r w:rsidRPr="00472CF4">
              <w:rPr>
                <w:rFonts w:ascii="Verdana" w:eastAsia="Calibri" w:hAnsi="Verdana" w:cs="Arial"/>
                <w:sz w:val="16"/>
                <w:szCs w:val="16"/>
                <w:lang w:val="pt-BR" w:eastAsia="es-ES"/>
              </w:rPr>
              <w:t>Gacharná</w:t>
            </w:r>
            <w:proofErr w:type="spellEnd"/>
          </w:p>
          <w:p w14:paraId="6D2EEC91" w14:textId="77777777" w:rsidR="00B004E7" w:rsidRPr="00472CF4" w:rsidRDefault="00B004E7" w:rsidP="00BD407E">
            <w:pPr>
              <w:contextualSpacing/>
              <w:rPr>
                <w:rFonts w:ascii="Verdana" w:eastAsia="Calibri" w:hAnsi="Verdana" w:cs="Arial"/>
                <w:sz w:val="16"/>
                <w:szCs w:val="16"/>
                <w:lang w:val="pt-BR" w:eastAsia="es-ES"/>
              </w:rPr>
            </w:pPr>
            <w:r w:rsidRPr="00472CF4">
              <w:rPr>
                <w:rFonts w:ascii="Verdana" w:eastAsia="Calibri" w:hAnsi="Verdana" w:cs="Arial"/>
                <w:sz w:val="16"/>
                <w:szCs w:val="16"/>
                <w:lang w:eastAsia="es-ES"/>
              </w:rPr>
              <w:t>Subdirectora</w:t>
            </w:r>
            <w:r w:rsidRPr="00472CF4">
              <w:rPr>
                <w:rFonts w:ascii="Verdana" w:eastAsia="Calibri" w:hAnsi="Verdana" w:cs="Arial"/>
                <w:sz w:val="16"/>
                <w:szCs w:val="16"/>
                <w:lang w:val="pt-BR" w:eastAsia="es-ES"/>
              </w:rPr>
              <w:t xml:space="preserve"> de Gestión </w:t>
            </w:r>
            <w:proofErr w:type="spellStart"/>
            <w:r w:rsidRPr="00472CF4">
              <w:rPr>
                <w:rFonts w:ascii="Verdana" w:eastAsia="Calibri" w:hAnsi="Verdana" w:cs="Arial"/>
                <w:sz w:val="16"/>
                <w:szCs w:val="16"/>
                <w:lang w:val="pt-BR" w:eastAsia="es-ES"/>
              </w:rPr>
              <w:t>Contractual</w:t>
            </w:r>
            <w:proofErr w:type="spellEnd"/>
            <w:r w:rsidRPr="00472CF4">
              <w:rPr>
                <w:rFonts w:ascii="Verdana" w:eastAsia="Calibri" w:hAnsi="Verdana" w:cs="Arial"/>
                <w:sz w:val="16"/>
                <w:szCs w:val="16"/>
                <w:lang w:val="pt-BR" w:eastAsia="es-ES"/>
              </w:rPr>
              <w:t xml:space="preserve"> ANCP – CCE</w:t>
            </w:r>
          </w:p>
        </w:tc>
      </w:tr>
      <w:bookmarkEnd w:id="0"/>
    </w:tbl>
    <w:p w14:paraId="6324E862" w14:textId="3217B836" w:rsidR="00355528" w:rsidRPr="00300664" w:rsidRDefault="00355528" w:rsidP="00300664">
      <w:pPr>
        <w:spacing w:line="276" w:lineRule="auto"/>
        <w:jc w:val="center"/>
        <w:rPr>
          <w:rFonts w:ascii="Verdana" w:hAnsi="Verdana" w:cs="Arial"/>
          <w:lang w:val="es-ES_tradnl" w:eastAsia="es-CO"/>
        </w:rPr>
      </w:pPr>
    </w:p>
    <w:sectPr w:rsidR="00355528" w:rsidRPr="00300664" w:rsidSect="007C0C0F">
      <w:headerReference w:type="default" r:id="rId23"/>
      <w:footerReference w:type="default" r:id="rId2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A7FEA" w14:textId="77777777" w:rsidR="00F66637" w:rsidRDefault="00F66637" w:rsidP="004A1847">
      <w:pPr>
        <w:spacing w:after="0" w:line="240" w:lineRule="auto"/>
      </w:pPr>
      <w:r>
        <w:separator/>
      </w:r>
    </w:p>
  </w:endnote>
  <w:endnote w:type="continuationSeparator" w:id="0">
    <w:p w14:paraId="4AA76DD3" w14:textId="77777777" w:rsidR="00F66637" w:rsidRDefault="00F66637"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B1AEE" w14:textId="77777777" w:rsidR="00F66637" w:rsidRDefault="00F66637" w:rsidP="004A1847">
      <w:pPr>
        <w:spacing w:after="0" w:line="240" w:lineRule="auto"/>
      </w:pPr>
      <w:r>
        <w:separator/>
      </w:r>
    </w:p>
  </w:footnote>
  <w:footnote w:type="continuationSeparator" w:id="0">
    <w:p w14:paraId="3815ED52" w14:textId="77777777" w:rsidR="00F66637" w:rsidRDefault="00F66637" w:rsidP="004A1847">
      <w:pPr>
        <w:spacing w:after="0" w:line="240" w:lineRule="auto"/>
      </w:pPr>
      <w:r>
        <w:continuationSeparator/>
      </w:r>
    </w:p>
  </w:footnote>
  <w:footnote w:id="1">
    <w:p w14:paraId="6EF82972" w14:textId="77777777" w:rsidR="00B004E7" w:rsidRPr="00383D97" w:rsidRDefault="00B004E7" w:rsidP="00B004E7">
      <w:pPr>
        <w:pStyle w:val="Textonotapie"/>
        <w:spacing w:after="120"/>
        <w:ind w:firstLine="708"/>
        <w:jc w:val="both"/>
        <w:rPr>
          <w:rFonts w:ascii="Verdana" w:hAnsi="Verdana" w:cs="Arial"/>
          <w:sz w:val="12"/>
          <w:szCs w:val="12"/>
        </w:rPr>
      </w:pPr>
      <w:r w:rsidRPr="00383D97">
        <w:rPr>
          <w:rStyle w:val="Refdenotaalpie"/>
          <w:rFonts w:ascii="Verdana" w:hAnsi="Verdana" w:cs="Arial"/>
          <w:sz w:val="12"/>
          <w:szCs w:val="12"/>
        </w:rPr>
        <w:footnoteRef/>
      </w:r>
      <w:r w:rsidRPr="00383D97">
        <w:rPr>
          <w:rFonts w:ascii="Verdana" w:hAnsi="Verdana" w:cs="Arial"/>
          <w:sz w:val="12"/>
          <w:szCs w:val="12"/>
        </w:rPr>
        <w:t xml:space="preserve"> Agencia Nacional de Contratación Pública – Colombia Compra Eficiente. Guía para la codificación de bienes y servicios de acuerdo con el código estándar de productos y servicios de Naciones Unidas, V.14.080. Disponible en: </w:t>
      </w:r>
      <w:hyperlink r:id="rId1" w:history="1">
        <w:r w:rsidRPr="00383D97">
          <w:rPr>
            <w:rStyle w:val="Hipervnculo"/>
            <w:rFonts w:ascii="Verdana" w:hAnsi="Verdana" w:cs="Arial"/>
            <w:sz w:val="12"/>
            <w:szCs w:val="12"/>
          </w:rPr>
          <w:t>https://www.colombiacompra.gov.co/sites/cce_public/files/cce_documents/cce_guia_codificacion_bienes.pdf</w:t>
        </w:r>
      </w:hyperlink>
    </w:p>
  </w:footnote>
  <w:footnote w:id="2">
    <w:p w14:paraId="415ADBE5" w14:textId="77777777" w:rsidR="00B004E7" w:rsidRPr="00383D97" w:rsidRDefault="00B004E7" w:rsidP="00B004E7">
      <w:pPr>
        <w:pStyle w:val="Textonotapie"/>
        <w:spacing w:after="120"/>
        <w:ind w:firstLine="708"/>
        <w:jc w:val="both"/>
        <w:rPr>
          <w:rFonts w:ascii="Verdana" w:hAnsi="Verdana" w:cs="Arial"/>
          <w:sz w:val="12"/>
          <w:szCs w:val="12"/>
        </w:rPr>
      </w:pPr>
      <w:r w:rsidRPr="00383D97">
        <w:rPr>
          <w:rStyle w:val="Refdenotaalpie"/>
          <w:rFonts w:ascii="Verdana" w:hAnsi="Verdana" w:cs="Arial"/>
          <w:sz w:val="12"/>
          <w:szCs w:val="12"/>
        </w:rPr>
        <w:footnoteRef/>
      </w:r>
      <w:r w:rsidRPr="00383D97">
        <w:rPr>
          <w:rFonts w:ascii="Verdana" w:hAnsi="Verdana" w:cs="Arial"/>
          <w:sz w:val="12"/>
          <w:szCs w:val="12"/>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footnote>
  <w:footnote w:id="3">
    <w:p w14:paraId="77C0FF44" w14:textId="77777777" w:rsidR="00E16389" w:rsidRPr="00000B1B" w:rsidRDefault="00E16389" w:rsidP="00E16389">
      <w:pPr>
        <w:pStyle w:val="NormalWeb"/>
        <w:spacing w:before="0" w:beforeAutospacing="0" w:after="0" w:afterAutospacing="0"/>
        <w:ind w:firstLine="709"/>
        <w:contextualSpacing/>
        <w:jc w:val="both"/>
        <w:rPr>
          <w:rFonts w:ascii="Arial" w:hAnsi="Arial" w:cs="Arial"/>
          <w:color w:val="000000"/>
          <w:sz w:val="18"/>
          <w:szCs w:val="18"/>
        </w:rPr>
      </w:pPr>
      <w:r w:rsidRPr="00000B1B">
        <w:rPr>
          <w:rStyle w:val="Refdenotaalpie"/>
          <w:rFonts w:ascii="Arial" w:hAnsi="Arial" w:cs="Arial"/>
          <w:sz w:val="18"/>
          <w:szCs w:val="18"/>
        </w:rPr>
        <w:footnoteRef/>
      </w:r>
      <w:r w:rsidRPr="00000B1B">
        <w:rPr>
          <w:rFonts w:ascii="Arial" w:hAnsi="Arial" w:cs="Arial"/>
          <w:sz w:val="18"/>
          <w:szCs w:val="18"/>
        </w:rPr>
        <w:t xml:space="preserve"> Decreto 1082 de 2015: </w:t>
      </w:r>
      <w:r>
        <w:rPr>
          <w:rFonts w:ascii="Arial" w:hAnsi="Arial" w:cs="Arial"/>
          <w:sz w:val="18"/>
          <w:szCs w:val="18"/>
        </w:rPr>
        <w:t>“</w:t>
      </w:r>
      <w:r w:rsidRPr="00000B1B">
        <w:rPr>
          <w:rFonts w:ascii="Arial" w:hAnsi="Arial" w:cs="Arial"/>
          <w:color w:val="000000"/>
          <w:sz w:val="18"/>
          <w:szCs w:val="18"/>
        </w:rPr>
        <w:t>Artículo 2.2.1.1.1.5.2. Información para inscripción, renovación o actualización</w:t>
      </w:r>
      <w:r w:rsidRPr="00000B1B">
        <w:rPr>
          <w:rFonts w:ascii="Arial" w:hAnsi="Arial" w:cs="Arial"/>
          <w:b/>
          <w:bCs/>
          <w:color w:val="000000"/>
          <w:sz w:val="18"/>
          <w:szCs w:val="18"/>
        </w:rPr>
        <w:t>.</w:t>
      </w:r>
      <w:r w:rsidRPr="00000B1B">
        <w:rPr>
          <w:rFonts w:ascii="Arial" w:hAnsi="Arial" w:cs="Arial"/>
          <w:b/>
          <w:bCs/>
          <w:i/>
          <w:iCs/>
          <w:color w:val="000000"/>
          <w:sz w:val="18"/>
          <w:szCs w:val="18"/>
        </w:rPr>
        <w:t> </w:t>
      </w:r>
      <w:r w:rsidRPr="00000B1B">
        <w:rPr>
          <w:rFonts w:ascii="Arial" w:hAnsi="Arial" w:cs="Arial"/>
          <w:color w:val="000000"/>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420DBEC7" w14:textId="77777777" w:rsidR="00E16389" w:rsidRPr="00000B1B" w:rsidRDefault="00E16389" w:rsidP="00E16389">
      <w:pPr>
        <w:spacing w:after="0" w:line="240" w:lineRule="auto"/>
        <w:ind w:firstLine="709"/>
        <w:contextualSpacing/>
        <w:jc w:val="both"/>
        <w:rPr>
          <w:rFonts w:ascii="Arial" w:hAnsi="Arial" w:cs="Arial"/>
          <w:color w:val="000000"/>
          <w:sz w:val="18"/>
          <w:szCs w:val="18"/>
          <w:lang w:eastAsia="es-CO"/>
        </w:rPr>
      </w:pPr>
      <w:r w:rsidRPr="00000B1B">
        <w:rPr>
          <w:rFonts w:ascii="Arial" w:hAnsi="Arial" w:cs="Arial"/>
          <w:color w:val="000000"/>
          <w:sz w:val="18"/>
          <w:szCs w:val="18"/>
          <w:lang w:eastAsia="es-CO"/>
        </w:rPr>
        <w:t>  1. Si es una persona natural: </w:t>
      </w:r>
    </w:p>
    <w:p w14:paraId="245CA180" w14:textId="77777777" w:rsidR="00E16389" w:rsidRPr="00000B1B" w:rsidRDefault="00E16389" w:rsidP="00E16389">
      <w:pPr>
        <w:spacing w:after="0" w:line="240" w:lineRule="auto"/>
        <w:ind w:firstLine="709"/>
        <w:contextualSpacing/>
        <w:jc w:val="both"/>
        <w:rPr>
          <w:rFonts w:ascii="Arial" w:hAnsi="Arial" w:cs="Arial"/>
          <w:color w:val="000000"/>
          <w:sz w:val="18"/>
          <w:szCs w:val="18"/>
          <w:lang w:eastAsia="es-CO"/>
        </w:rPr>
      </w:pPr>
      <w:r w:rsidRPr="00000B1B">
        <w:rPr>
          <w:rFonts w:ascii="Arial" w:hAnsi="Arial" w:cs="Arial"/>
          <w:color w:val="000000"/>
          <w:sz w:val="18"/>
          <w:szCs w:val="18"/>
          <w:lang w:eastAsia="es-CO"/>
        </w:rPr>
        <w:t>  1.1. Bienes, obras y servicios que ofrecerá a las Entidades Estatales, identificados con el Clasificador de Bienes y Servicios en el tercer nivel. </w:t>
      </w:r>
    </w:p>
    <w:p w14:paraId="10AC70BD" w14:textId="77777777" w:rsidR="00E16389" w:rsidRPr="00000B1B" w:rsidRDefault="00E16389" w:rsidP="00E16389">
      <w:pPr>
        <w:spacing w:after="0" w:line="240" w:lineRule="auto"/>
        <w:ind w:firstLine="709"/>
        <w:contextualSpacing/>
        <w:jc w:val="both"/>
        <w:rPr>
          <w:rFonts w:ascii="Arial" w:hAnsi="Arial" w:cs="Arial"/>
          <w:color w:val="000000"/>
          <w:sz w:val="18"/>
          <w:szCs w:val="18"/>
          <w:lang w:eastAsia="es-CO"/>
        </w:rPr>
      </w:pPr>
      <w:r w:rsidRPr="00000B1B">
        <w:rPr>
          <w:rFonts w:ascii="Arial" w:hAnsi="Arial" w:cs="Arial"/>
          <w:color w:val="000000"/>
          <w:sz w:val="18"/>
          <w:szCs w:val="18"/>
          <w:lang w:eastAsia="es-CO"/>
        </w:rPr>
        <w:t>  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426DAFD8" w14:textId="77777777" w:rsidR="00E16389" w:rsidRPr="00000B1B" w:rsidRDefault="00E16389" w:rsidP="00E16389">
      <w:pPr>
        <w:pStyle w:val="Textonotapie"/>
        <w:ind w:firstLine="709"/>
        <w:contextualSpacing/>
        <w:jc w:val="both"/>
        <w:rPr>
          <w:rFonts w:ascii="Arial" w:hAnsi="Arial" w:cs="Arial"/>
          <w:sz w:val="18"/>
          <w:szCs w:val="18"/>
        </w:rPr>
      </w:pPr>
      <w:r w:rsidRPr="00000B1B">
        <w:rPr>
          <w:rFonts w:ascii="Arial" w:hAnsi="Arial" w:cs="Arial"/>
          <w:sz w:val="18"/>
          <w:szCs w:val="18"/>
        </w:rPr>
        <w:t xml:space="preserve"> […]</w:t>
      </w:r>
    </w:p>
    <w:p w14:paraId="04FFB941" w14:textId="77777777" w:rsidR="00E16389" w:rsidRPr="00000B1B" w:rsidRDefault="00E16389" w:rsidP="00E16389">
      <w:pPr>
        <w:pStyle w:val="Textonotapie"/>
        <w:ind w:firstLine="709"/>
        <w:contextualSpacing/>
        <w:jc w:val="both"/>
        <w:rPr>
          <w:rFonts w:ascii="Arial" w:hAnsi="Arial" w:cs="Arial"/>
          <w:color w:val="000000"/>
          <w:sz w:val="18"/>
          <w:szCs w:val="18"/>
        </w:rPr>
      </w:pPr>
      <w:r w:rsidRPr="00000B1B">
        <w:rPr>
          <w:rFonts w:ascii="Arial" w:hAnsi="Arial" w:cs="Arial"/>
          <w:color w:val="000000"/>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r>
        <w:rPr>
          <w:rFonts w:ascii="Arial" w:hAnsi="Arial" w:cs="Arial"/>
          <w:color w:val="000000"/>
          <w:sz w:val="18"/>
          <w:szCs w:val="18"/>
        </w:rPr>
        <w:t>”</w:t>
      </w:r>
      <w:r w:rsidRPr="00000B1B">
        <w:rPr>
          <w:rFonts w:ascii="Arial" w:hAnsi="Arial" w:cs="Arial"/>
          <w:color w:val="000000"/>
          <w:sz w:val="18"/>
          <w:szCs w:val="18"/>
        </w:rPr>
        <w:t>.</w:t>
      </w:r>
    </w:p>
    <w:p w14:paraId="6172A689" w14:textId="77777777" w:rsidR="00E16389" w:rsidRPr="00000B1B" w:rsidRDefault="00E16389" w:rsidP="00E16389">
      <w:pPr>
        <w:pStyle w:val="Textonotapie"/>
        <w:ind w:firstLine="709"/>
        <w:contextualSpacing/>
        <w:jc w:val="both"/>
        <w:rPr>
          <w:rFonts w:ascii="Arial" w:hAnsi="Arial" w:cs="Arial"/>
          <w:color w:val="000000"/>
          <w:sz w:val="18"/>
          <w:szCs w:val="18"/>
        </w:rPr>
      </w:pPr>
    </w:p>
  </w:footnote>
  <w:footnote w:id="4">
    <w:p w14:paraId="066BD141" w14:textId="77777777" w:rsidR="00E16389" w:rsidRPr="00000B1B" w:rsidRDefault="00E16389" w:rsidP="00E16389">
      <w:pPr>
        <w:pStyle w:val="Textonotapie"/>
        <w:ind w:firstLine="709"/>
        <w:jc w:val="both"/>
        <w:rPr>
          <w:rFonts w:ascii="Arial" w:hAnsi="Arial" w:cs="Arial"/>
          <w:sz w:val="18"/>
          <w:szCs w:val="18"/>
        </w:rPr>
      </w:pPr>
      <w:r w:rsidRPr="00000B1B">
        <w:rPr>
          <w:rStyle w:val="Refdenotaalpie"/>
          <w:rFonts w:ascii="Arial" w:hAnsi="Arial" w:cs="Arial"/>
          <w:sz w:val="18"/>
          <w:szCs w:val="18"/>
        </w:rPr>
        <w:footnoteRef/>
      </w:r>
      <w:r w:rsidRPr="00000B1B">
        <w:rPr>
          <w:rFonts w:ascii="Arial" w:hAnsi="Arial" w:cs="Arial"/>
          <w:sz w:val="18"/>
          <w:szCs w:val="18"/>
        </w:rPr>
        <w:t xml:space="preserve"> Decreto 1082 de 2015: </w:t>
      </w:r>
      <w:r>
        <w:rPr>
          <w:rFonts w:ascii="Arial" w:hAnsi="Arial" w:cs="Arial"/>
          <w:sz w:val="18"/>
          <w:szCs w:val="18"/>
        </w:rPr>
        <w:t>“</w:t>
      </w:r>
      <w:r w:rsidRPr="00000B1B">
        <w:rPr>
          <w:rFonts w:ascii="Arial" w:hAnsi="Arial" w:cs="Arial"/>
          <w:sz w:val="18"/>
          <w:szCs w:val="18"/>
        </w:rPr>
        <w:t xml:space="preserve">Artículo 2.2.1.1.2.1.3. Pliegos de condiciones. Los pliegos de condiciones deben contener por lo menos la siguiente información:  </w:t>
      </w:r>
    </w:p>
    <w:p w14:paraId="71476B46" w14:textId="77777777" w:rsidR="00E16389" w:rsidRPr="00000B1B" w:rsidRDefault="00E16389" w:rsidP="00E16389">
      <w:pPr>
        <w:pStyle w:val="Textonotapie"/>
        <w:ind w:firstLine="709"/>
        <w:contextualSpacing/>
        <w:jc w:val="both"/>
        <w:rPr>
          <w:rFonts w:ascii="Arial" w:hAnsi="Arial" w:cs="Arial"/>
          <w:sz w:val="18"/>
          <w:szCs w:val="18"/>
        </w:rPr>
      </w:pPr>
      <w:r w:rsidRPr="00000B1B">
        <w:rPr>
          <w:rFonts w:ascii="Arial" w:hAnsi="Arial" w:cs="Arial"/>
          <w:sz w:val="18"/>
          <w:szCs w:val="18"/>
        </w:rPr>
        <w:t xml:space="preserve">1. La descripción técnica, detallada y completa del bien o servicio objeto del contrato, identificado con el cuarto nivel del Clasificador de Bienes y Servicios, de ser posible o de lo contrario con el tercer nivel </w:t>
      </w:r>
      <w:proofErr w:type="gramStart"/>
      <w:r w:rsidRPr="00000B1B">
        <w:rPr>
          <w:rFonts w:ascii="Arial" w:hAnsi="Arial" w:cs="Arial"/>
          <w:sz w:val="18"/>
          <w:szCs w:val="18"/>
        </w:rPr>
        <w:t>del mismo</w:t>
      </w:r>
      <w:proofErr w:type="gramEnd"/>
      <w:r w:rsidRPr="00000B1B">
        <w:rPr>
          <w:rFonts w:ascii="Arial" w:hAnsi="Arial" w:cs="Arial"/>
          <w:sz w:val="18"/>
          <w:szCs w:val="18"/>
        </w:rPr>
        <w:t xml:space="preserve"> […]</w:t>
      </w:r>
      <w:r>
        <w:rPr>
          <w:rFonts w:ascii="Arial" w:hAnsi="Arial" w:cs="Arial"/>
          <w:sz w:val="18"/>
          <w:szCs w:val="18"/>
        </w:rPr>
        <w:t>”</w:t>
      </w:r>
      <w:r w:rsidRPr="00000B1B">
        <w:rPr>
          <w:rFonts w:ascii="Arial" w:hAnsi="Arial" w:cs="Arial"/>
          <w:sz w:val="18"/>
          <w:szCs w:val="18"/>
        </w:rPr>
        <w:t>.</w:t>
      </w:r>
    </w:p>
    <w:p w14:paraId="5BEB5344" w14:textId="77777777" w:rsidR="00E16389" w:rsidRPr="00000B1B" w:rsidRDefault="00E16389" w:rsidP="00E16389">
      <w:pPr>
        <w:pStyle w:val="Textonotapie"/>
        <w:ind w:firstLine="709"/>
        <w:contextualSpacing/>
        <w:jc w:val="both"/>
        <w:rPr>
          <w:rFonts w:ascii="Arial" w:hAnsi="Arial" w:cs="Arial"/>
          <w:sz w:val="18"/>
          <w:szCs w:val="18"/>
        </w:rPr>
      </w:pPr>
    </w:p>
  </w:footnote>
  <w:footnote w:id="5">
    <w:p w14:paraId="718079B5" w14:textId="77777777" w:rsidR="00BF2989" w:rsidRPr="00000B1B" w:rsidRDefault="00BF2989" w:rsidP="00BF2989">
      <w:pPr>
        <w:pStyle w:val="NormalWeb"/>
        <w:spacing w:before="0" w:beforeAutospacing="0" w:after="0" w:afterAutospacing="0"/>
        <w:ind w:firstLine="709"/>
        <w:contextualSpacing/>
        <w:jc w:val="both"/>
        <w:rPr>
          <w:rFonts w:ascii="Arial" w:hAnsi="Arial" w:cs="Arial"/>
          <w:sz w:val="18"/>
          <w:szCs w:val="18"/>
        </w:rPr>
      </w:pPr>
      <w:r w:rsidRPr="00000B1B">
        <w:rPr>
          <w:rStyle w:val="Refdenotaalpie"/>
          <w:rFonts w:ascii="Arial" w:hAnsi="Arial" w:cs="Arial"/>
          <w:sz w:val="18"/>
          <w:szCs w:val="18"/>
        </w:rPr>
        <w:footnoteRef/>
      </w:r>
      <w:r w:rsidRPr="00000B1B">
        <w:rPr>
          <w:rFonts w:ascii="Arial" w:hAnsi="Arial" w:cs="Arial"/>
          <w:sz w:val="18"/>
          <w:szCs w:val="18"/>
        </w:rPr>
        <w:t xml:space="preserve"> Ley 1150 de 2007: </w:t>
      </w:r>
      <w:r>
        <w:rPr>
          <w:rFonts w:ascii="Arial" w:hAnsi="Arial" w:cs="Arial"/>
          <w:sz w:val="18"/>
          <w:szCs w:val="18"/>
        </w:rPr>
        <w:t>“</w:t>
      </w:r>
      <w:r w:rsidRPr="00000B1B">
        <w:rPr>
          <w:rFonts w:ascii="Arial" w:hAnsi="Arial" w:cs="Arial"/>
          <w:sz w:val="18"/>
          <w:szCs w:val="18"/>
        </w:rPr>
        <w:t xml:space="preserve">Artículo 6. De la verificación de las condiciones de los proponentes. Todas las personas naturales o jurídicas nacionales o extranjeras domiciliadas o con sucursal en Colombia, que aspiren a celebrar contratos con las entidades estatales, se inscribirán en el Registro </w:t>
      </w:r>
      <w:proofErr w:type="spellStart"/>
      <w:r w:rsidRPr="00000B1B">
        <w:rPr>
          <w:rFonts w:ascii="Arial" w:hAnsi="Arial" w:cs="Arial"/>
          <w:sz w:val="18"/>
          <w:szCs w:val="18"/>
        </w:rPr>
        <w:t>Unico</w:t>
      </w:r>
      <w:proofErr w:type="spellEnd"/>
      <w:r w:rsidRPr="00000B1B">
        <w:rPr>
          <w:rFonts w:ascii="Arial" w:hAnsi="Arial" w:cs="Arial"/>
          <w:sz w:val="18"/>
          <w:szCs w:val="18"/>
        </w:rPr>
        <w:t xml:space="preserve"> de Proponentes del Registro Único Empresarial de la Cámara de Comercio con jurisdicción en su domicilio principal.  </w:t>
      </w:r>
    </w:p>
    <w:p w14:paraId="68CA187A" w14:textId="77777777" w:rsidR="00BF2989" w:rsidRPr="00000B1B" w:rsidRDefault="00BF2989" w:rsidP="00BF2989">
      <w:pPr>
        <w:spacing w:after="0" w:line="240" w:lineRule="auto"/>
        <w:ind w:firstLine="709"/>
        <w:contextualSpacing/>
        <w:jc w:val="both"/>
        <w:rPr>
          <w:rFonts w:ascii="Arial" w:hAnsi="Arial" w:cs="Arial"/>
          <w:sz w:val="18"/>
          <w:szCs w:val="18"/>
          <w:lang w:eastAsia="es-CO"/>
        </w:rPr>
      </w:pPr>
      <w:r w:rsidRPr="00000B1B">
        <w:rPr>
          <w:rFonts w:ascii="Arial" w:hAnsi="Arial" w:cs="Arial"/>
          <w:sz w:val="18"/>
          <w:szCs w:val="18"/>
          <w:lang w:eastAsia="es-CO"/>
        </w:rPr>
        <w:t>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2C19E6C0" w14:textId="77777777" w:rsidR="00BF2989" w:rsidRPr="00000B1B" w:rsidRDefault="00BF2989" w:rsidP="00BF2989">
      <w:pPr>
        <w:spacing w:after="0" w:line="240" w:lineRule="auto"/>
        <w:ind w:firstLine="709"/>
        <w:contextualSpacing/>
        <w:jc w:val="both"/>
        <w:rPr>
          <w:rFonts w:ascii="Arial" w:hAnsi="Arial" w:cs="Arial"/>
          <w:sz w:val="18"/>
          <w:szCs w:val="18"/>
          <w:lang w:eastAsia="es-CO"/>
        </w:rPr>
      </w:pPr>
      <w:r w:rsidRPr="00000B1B">
        <w:rPr>
          <w:rFonts w:ascii="Arial" w:hAnsi="Arial" w:cs="Arial"/>
          <w:sz w:val="18"/>
          <w:szCs w:val="18"/>
          <w:u w:val="single"/>
          <w:lang w:eastAsia="es-CO"/>
        </w:rPr>
        <w:t>En dicho registro constará la información relacionada con la experiencia, capacidad jurídica, financiera y de organización del proponente y su clasificación</w:t>
      </w:r>
      <w:r>
        <w:rPr>
          <w:rFonts w:ascii="Arial" w:hAnsi="Arial" w:cs="Arial"/>
          <w:sz w:val="18"/>
          <w:szCs w:val="18"/>
          <w:u w:val="single"/>
          <w:lang w:eastAsia="es-CO"/>
        </w:rPr>
        <w:t xml:space="preserve"> </w:t>
      </w:r>
      <w:r w:rsidRPr="00000B1B">
        <w:rPr>
          <w:rFonts w:ascii="Arial" w:hAnsi="Arial" w:cs="Arial"/>
          <w:sz w:val="18"/>
          <w:szCs w:val="18"/>
          <w:lang w:eastAsia="es-CO"/>
        </w:rPr>
        <w:t>[…]</w:t>
      </w:r>
      <w:r>
        <w:rPr>
          <w:rFonts w:ascii="Arial" w:hAnsi="Arial" w:cs="Arial"/>
          <w:sz w:val="18"/>
          <w:szCs w:val="18"/>
          <w:lang w:eastAsia="es-CO"/>
        </w:rPr>
        <w:t>”</w:t>
      </w:r>
      <w:r w:rsidRPr="00000B1B">
        <w:rPr>
          <w:rFonts w:ascii="Arial" w:hAnsi="Arial" w:cs="Arial"/>
          <w:sz w:val="18"/>
          <w:szCs w:val="18"/>
          <w:lang w:eastAsia="es-CO"/>
        </w:rPr>
        <w:t>. (Subrayas fuera del texto).</w:t>
      </w:r>
    </w:p>
  </w:footnote>
  <w:footnote w:id="6">
    <w:p w14:paraId="78B612D6" w14:textId="77777777" w:rsidR="00BF2989" w:rsidRPr="00000B1B" w:rsidRDefault="00BF2989" w:rsidP="00BF2989">
      <w:pPr>
        <w:pStyle w:val="Textonotapie"/>
        <w:ind w:firstLine="709"/>
        <w:contextualSpacing/>
        <w:jc w:val="both"/>
        <w:rPr>
          <w:rFonts w:ascii="Arial" w:hAnsi="Arial" w:cs="Arial"/>
          <w:sz w:val="18"/>
          <w:szCs w:val="18"/>
        </w:rPr>
      </w:pPr>
      <w:r w:rsidRPr="00000B1B">
        <w:rPr>
          <w:rStyle w:val="Refdenotaalpie"/>
          <w:rFonts w:ascii="Arial" w:hAnsi="Arial" w:cs="Arial"/>
          <w:sz w:val="18"/>
          <w:szCs w:val="18"/>
        </w:rPr>
        <w:footnoteRef/>
      </w:r>
      <w:r w:rsidRPr="00000B1B">
        <w:rPr>
          <w:rFonts w:ascii="Arial" w:hAnsi="Arial" w:cs="Arial"/>
          <w:sz w:val="18"/>
          <w:szCs w:val="18"/>
        </w:rPr>
        <w:t xml:space="preserve"> Debe precisarse que, a pesar de que el RUP es la regla general, de conformidad con el segundo inciso del artículo 6 de la Ley 1150 de 2007, este no es exigible en todos los procesos de contratación. Al respecto ha manifestado esta Subdirección: </w:t>
      </w:r>
      <w:r>
        <w:rPr>
          <w:rFonts w:ascii="Arial" w:hAnsi="Arial" w:cs="Arial"/>
          <w:sz w:val="18"/>
          <w:szCs w:val="18"/>
        </w:rPr>
        <w:t>“</w:t>
      </w:r>
      <w:r w:rsidRPr="00000B1B">
        <w:rPr>
          <w:rFonts w:ascii="Arial" w:hAnsi="Arial" w:cs="Arial"/>
          <w:sz w:val="18"/>
          <w:szCs w:val="18"/>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Pr>
          <w:rFonts w:ascii="Arial" w:hAnsi="Arial" w:cs="Arial"/>
          <w:sz w:val="18"/>
          <w:szCs w:val="18"/>
        </w:rPr>
        <w:t>”</w:t>
      </w:r>
      <w:r w:rsidRPr="00000B1B">
        <w:rPr>
          <w:rFonts w:ascii="Arial" w:hAnsi="Arial" w:cs="Arial"/>
          <w:sz w:val="18"/>
          <w:szCs w:val="18"/>
        </w:rPr>
        <w:t>. Agencia Nacional de Contratación Pública – Colombia Compra Eficiente. Concepto C-052 del 18 de marzo de 2020. Radicado de entrada No. 4202012000000208. Radicado de salida No. 2202013000002051.</w:t>
      </w:r>
    </w:p>
    <w:p w14:paraId="7BFD99B1" w14:textId="77777777" w:rsidR="00BF2989" w:rsidRPr="00000B1B" w:rsidRDefault="00BF2989" w:rsidP="00BF2989">
      <w:pPr>
        <w:pStyle w:val="Textonotapie"/>
        <w:ind w:firstLine="709"/>
        <w:contextualSpacing/>
        <w:jc w:val="both"/>
        <w:rPr>
          <w:rFonts w:ascii="Arial" w:hAnsi="Arial" w:cs="Arial"/>
          <w:sz w:val="18"/>
          <w:szCs w:val="18"/>
        </w:rPr>
      </w:pPr>
    </w:p>
  </w:footnote>
  <w:footnote w:id="7">
    <w:p w14:paraId="4AFE288A" w14:textId="77777777" w:rsidR="00BF2989" w:rsidRPr="00000B1B" w:rsidRDefault="00BF2989" w:rsidP="00BF2989">
      <w:pPr>
        <w:pStyle w:val="Textonotapie"/>
        <w:ind w:firstLine="709"/>
        <w:contextualSpacing/>
        <w:jc w:val="both"/>
        <w:rPr>
          <w:rFonts w:ascii="Arial" w:hAnsi="Arial" w:cs="Arial"/>
          <w:sz w:val="18"/>
          <w:szCs w:val="18"/>
          <w:u w:val="single"/>
        </w:rPr>
      </w:pPr>
      <w:r w:rsidRPr="00000B1B">
        <w:rPr>
          <w:rStyle w:val="Refdenotaalpie"/>
          <w:rFonts w:ascii="Arial" w:hAnsi="Arial" w:cs="Arial"/>
          <w:sz w:val="18"/>
          <w:szCs w:val="18"/>
        </w:rPr>
        <w:footnoteRef/>
      </w:r>
      <w:r w:rsidRPr="00000B1B">
        <w:rPr>
          <w:rFonts w:ascii="Arial" w:hAnsi="Arial" w:cs="Arial"/>
          <w:sz w:val="18"/>
          <w:szCs w:val="18"/>
        </w:rPr>
        <w:t xml:space="preserve"> Agencia Nacional de Contratación Pública – Colombia Compra Eficiente. Guía para la codificación de bienes y servicios de acuerdo con el código estándar de productos y servicios de Naciones Unidas, V.14.080. Disponible en: </w:t>
      </w:r>
      <w:hyperlink r:id="rId2" w:history="1">
        <w:r w:rsidRPr="00000B1B">
          <w:rPr>
            <w:rStyle w:val="Hipervnculo"/>
            <w:rFonts w:ascii="Arial" w:hAnsi="Arial" w:cs="Arial"/>
            <w:sz w:val="18"/>
            <w:szCs w:val="18"/>
          </w:rPr>
          <w:t>https://www.colombiacompra.gov.co/sites/cce_public/files/cce_documents/cce_guia_codificacion_bienes.pdf</w:t>
        </w:r>
      </w:hyperlink>
    </w:p>
  </w:footnote>
  <w:footnote w:id="8">
    <w:p w14:paraId="13661F1C" w14:textId="77777777" w:rsidR="00BF2989" w:rsidRPr="00000B1B" w:rsidRDefault="00BF2989" w:rsidP="00BF2989">
      <w:pPr>
        <w:pStyle w:val="NormalWeb"/>
        <w:spacing w:before="0" w:beforeAutospacing="0" w:after="0" w:afterAutospacing="0"/>
        <w:ind w:firstLine="709"/>
        <w:contextualSpacing/>
        <w:jc w:val="both"/>
        <w:rPr>
          <w:rFonts w:ascii="Arial" w:hAnsi="Arial" w:cs="Arial"/>
          <w:color w:val="000000"/>
          <w:sz w:val="18"/>
          <w:szCs w:val="18"/>
        </w:rPr>
      </w:pPr>
      <w:r w:rsidRPr="00000B1B">
        <w:rPr>
          <w:rStyle w:val="Refdenotaalpie"/>
          <w:rFonts w:ascii="Arial" w:hAnsi="Arial" w:cs="Arial"/>
          <w:sz w:val="18"/>
          <w:szCs w:val="18"/>
        </w:rPr>
        <w:footnoteRef/>
      </w:r>
      <w:r w:rsidRPr="00000B1B">
        <w:rPr>
          <w:rFonts w:ascii="Arial" w:hAnsi="Arial" w:cs="Arial"/>
          <w:sz w:val="18"/>
          <w:szCs w:val="18"/>
        </w:rPr>
        <w:t xml:space="preserve"> Decreto 1082 de 2015: </w:t>
      </w:r>
      <w:r>
        <w:rPr>
          <w:rFonts w:ascii="Arial" w:hAnsi="Arial" w:cs="Arial"/>
          <w:sz w:val="18"/>
          <w:szCs w:val="18"/>
        </w:rPr>
        <w:t>“</w:t>
      </w:r>
      <w:r w:rsidRPr="00000B1B">
        <w:rPr>
          <w:rFonts w:ascii="Arial" w:hAnsi="Arial" w:cs="Arial"/>
          <w:color w:val="000000"/>
          <w:sz w:val="18"/>
          <w:szCs w:val="18"/>
        </w:rPr>
        <w:t>Artículo 2.2.1.1.1.5.2. Información para inscripción, renovación o actualización</w:t>
      </w:r>
      <w:r w:rsidRPr="00000B1B">
        <w:rPr>
          <w:rFonts w:ascii="Arial" w:hAnsi="Arial" w:cs="Arial"/>
          <w:b/>
          <w:bCs/>
          <w:color w:val="000000"/>
          <w:sz w:val="18"/>
          <w:szCs w:val="18"/>
        </w:rPr>
        <w:t>.</w:t>
      </w:r>
      <w:r w:rsidRPr="00000B1B">
        <w:rPr>
          <w:rFonts w:ascii="Arial" w:hAnsi="Arial" w:cs="Arial"/>
          <w:b/>
          <w:bCs/>
          <w:i/>
          <w:iCs/>
          <w:color w:val="000000"/>
          <w:sz w:val="18"/>
          <w:szCs w:val="18"/>
        </w:rPr>
        <w:t> </w:t>
      </w:r>
      <w:r w:rsidRPr="00000B1B">
        <w:rPr>
          <w:rFonts w:ascii="Arial" w:hAnsi="Arial" w:cs="Arial"/>
          <w:color w:val="000000"/>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4FC43B01" w14:textId="77777777" w:rsidR="00BF2989" w:rsidRPr="00000B1B" w:rsidRDefault="00BF2989" w:rsidP="00BF2989">
      <w:pPr>
        <w:spacing w:after="0" w:line="240" w:lineRule="auto"/>
        <w:ind w:firstLine="709"/>
        <w:contextualSpacing/>
        <w:jc w:val="both"/>
        <w:rPr>
          <w:rFonts w:ascii="Arial" w:hAnsi="Arial" w:cs="Arial"/>
          <w:color w:val="000000"/>
          <w:sz w:val="18"/>
          <w:szCs w:val="18"/>
          <w:lang w:eastAsia="es-CO"/>
        </w:rPr>
      </w:pPr>
      <w:r w:rsidRPr="00000B1B">
        <w:rPr>
          <w:rFonts w:ascii="Arial" w:hAnsi="Arial" w:cs="Arial"/>
          <w:color w:val="000000"/>
          <w:sz w:val="18"/>
          <w:szCs w:val="18"/>
          <w:lang w:eastAsia="es-CO"/>
        </w:rPr>
        <w:t>  1. Si es una persona natural: </w:t>
      </w:r>
    </w:p>
    <w:p w14:paraId="36187A4B" w14:textId="77777777" w:rsidR="00BF2989" w:rsidRPr="00000B1B" w:rsidRDefault="00BF2989" w:rsidP="00BF2989">
      <w:pPr>
        <w:spacing w:after="0" w:line="240" w:lineRule="auto"/>
        <w:ind w:firstLine="709"/>
        <w:contextualSpacing/>
        <w:jc w:val="both"/>
        <w:rPr>
          <w:rFonts w:ascii="Arial" w:hAnsi="Arial" w:cs="Arial"/>
          <w:color w:val="000000"/>
          <w:sz w:val="18"/>
          <w:szCs w:val="18"/>
          <w:lang w:eastAsia="es-CO"/>
        </w:rPr>
      </w:pPr>
      <w:r w:rsidRPr="00000B1B">
        <w:rPr>
          <w:rFonts w:ascii="Arial" w:hAnsi="Arial" w:cs="Arial"/>
          <w:color w:val="000000"/>
          <w:sz w:val="18"/>
          <w:szCs w:val="18"/>
          <w:lang w:eastAsia="es-CO"/>
        </w:rPr>
        <w:t>  1.1. Bienes, obras y servicios que ofrecerá a las Entidades Estatales, identificados con el Clasificador de Bienes y Servicios en el tercer nivel. </w:t>
      </w:r>
    </w:p>
    <w:p w14:paraId="64185C6C" w14:textId="77777777" w:rsidR="00BF2989" w:rsidRPr="00000B1B" w:rsidRDefault="00BF2989" w:rsidP="00BF2989">
      <w:pPr>
        <w:spacing w:after="0" w:line="240" w:lineRule="auto"/>
        <w:ind w:firstLine="709"/>
        <w:contextualSpacing/>
        <w:jc w:val="both"/>
        <w:rPr>
          <w:rFonts w:ascii="Arial" w:hAnsi="Arial" w:cs="Arial"/>
          <w:color w:val="000000"/>
          <w:sz w:val="18"/>
          <w:szCs w:val="18"/>
          <w:lang w:eastAsia="es-CO"/>
        </w:rPr>
      </w:pPr>
      <w:r w:rsidRPr="00000B1B">
        <w:rPr>
          <w:rFonts w:ascii="Arial" w:hAnsi="Arial" w:cs="Arial"/>
          <w:color w:val="000000"/>
          <w:sz w:val="18"/>
          <w:szCs w:val="18"/>
          <w:lang w:eastAsia="es-CO"/>
        </w:rPr>
        <w:t>  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159E7886" w14:textId="77777777" w:rsidR="00BF2989" w:rsidRPr="00000B1B" w:rsidRDefault="00BF2989" w:rsidP="00BF2989">
      <w:pPr>
        <w:pStyle w:val="Textonotapie"/>
        <w:ind w:firstLine="709"/>
        <w:contextualSpacing/>
        <w:jc w:val="both"/>
        <w:rPr>
          <w:rFonts w:ascii="Arial" w:hAnsi="Arial" w:cs="Arial"/>
          <w:sz w:val="18"/>
          <w:szCs w:val="18"/>
        </w:rPr>
      </w:pPr>
      <w:r w:rsidRPr="00000B1B">
        <w:rPr>
          <w:rFonts w:ascii="Arial" w:hAnsi="Arial" w:cs="Arial"/>
          <w:sz w:val="18"/>
          <w:szCs w:val="18"/>
        </w:rPr>
        <w:t xml:space="preserve"> […]</w:t>
      </w:r>
    </w:p>
    <w:p w14:paraId="7B82659F" w14:textId="77777777" w:rsidR="00BF2989" w:rsidRPr="00000B1B" w:rsidRDefault="00BF2989" w:rsidP="00BF2989">
      <w:pPr>
        <w:pStyle w:val="Textonotapie"/>
        <w:ind w:firstLine="709"/>
        <w:contextualSpacing/>
        <w:jc w:val="both"/>
        <w:rPr>
          <w:rFonts w:ascii="Arial" w:hAnsi="Arial" w:cs="Arial"/>
          <w:color w:val="000000"/>
          <w:sz w:val="18"/>
          <w:szCs w:val="18"/>
        </w:rPr>
      </w:pPr>
      <w:r w:rsidRPr="00000B1B">
        <w:rPr>
          <w:rFonts w:ascii="Arial" w:hAnsi="Arial" w:cs="Arial"/>
          <w:color w:val="000000"/>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r>
        <w:rPr>
          <w:rFonts w:ascii="Arial" w:hAnsi="Arial" w:cs="Arial"/>
          <w:color w:val="000000"/>
          <w:sz w:val="18"/>
          <w:szCs w:val="18"/>
        </w:rPr>
        <w:t>”</w:t>
      </w:r>
      <w:r w:rsidRPr="00000B1B">
        <w:rPr>
          <w:rFonts w:ascii="Arial" w:hAnsi="Arial" w:cs="Arial"/>
          <w:color w:val="000000"/>
          <w:sz w:val="18"/>
          <w:szCs w:val="18"/>
        </w:rPr>
        <w:t>.</w:t>
      </w:r>
    </w:p>
    <w:p w14:paraId="548186C3" w14:textId="77777777" w:rsidR="00BF2989" w:rsidRPr="00000B1B" w:rsidRDefault="00BF2989" w:rsidP="00BF2989">
      <w:pPr>
        <w:pStyle w:val="Textonotapie"/>
        <w:ind w:firstLine="709"/>
        <w:contextualSpacing/>
        <w:jc w:val="both"/>
        <w:rPr>
          <w:rFonts w:ascii="Arial" w:hAnsi="Arial" w:cs="Arial"/>
          <w:color w:val="000000"/>
          <w:sz w:val="18"/>
          <w:szCs w:val="18"/>
        </w:rPr>
      </w:pPr>
    </w:p>
  </w:footnote>
  <w:footnote w:id="9">
    <w:p w14:paraId="081BC661" w14:textId="77777777" w:rsidR="00BF2989" w:rsidRPr="00000B1B" w:rsidRDefault="00BF2989" w:rsidP="00BF2989">
      <w:pPr>
        <w:pStyle w:val="Textonotapie"/>
        <w:ind w:firstLine="709"/>
        <w:jc w:val="both"/>
        <w:rPr>
          <w:rFonts w:ascii="Arial" w:hAnsi="Arial" w:cs="Arial"/>
          <w:sz w:val="18"/>
          <w:szCs w:val="18"/>
        </w:rPr>
      </w:pPr>
      <w:r w:rsidRPr="00000B1B">
        <w:rPr>
          <w:rStyle w:val="Refdenotaalpie"/>
          <w:rFonts w:ascii="Arial" w:hAnsi="Arial" w:cs="Arial"/>
          <w:sz w:val="18"/>
          <w:szCs w:val="18"/>
        </w:rPr>
        <w:footnoteRef/>
      </w:r>
      <w:r w:rsidRPr="00000B1B">
        <w:rPr>
          <w:rFonts w:ascii="Arial" w:hAnsi="Arial" w:cs="Arial"/>
          <w:sz w:val="18"/>
          <w:szCs w:val="18"/>
        </w:rPr>
        <w:t xml:space="preserve"> Decreto 1082 de 2015: </w:t>
      </w:r>
      <w:r>
        <w:rPr>
          <w:rFonts w:ascii="Arial" w:hAnsi="Arial" w:cs="Arial"/>
          <w:sz w:val="18"/>
          <w:szCs w:val="18"/>
        </w:rPr>
        <w:t>“</w:t>
      </w:r>
      <w:r w:rsidRPr="00000B1B">
        <w:rPr>
          <w:rFonts w:ascii="Arial" w:hAnsi="Arial" w:cs="Arial"/>
          <w:sz w:val="18"/>
          <w:szCs w:val="18"/>
        </w:rPr>
        <w:t xml:space="preserve">Artículo 2.2.1.1.2.1.3. Pliegos de condiciones. Los pliegos de condiciones deben contener por lo menos la siguiente información:  </w:t>
      </w:r>
    </w:p>
    <w:p w14:paraId="2C961B0E" w14:textId="77777777" w:rsidR="00BF2989" w:rsidRPr="00000B1B" w:rsidRDefault="00BF2989" w:rsidP="00BF2989">
      <w:pPr>
        <w:pStyle w:val="Textonotapie"/>
        <w:ind w:firstLine="709"/>
        <w:contextualSpacing/>
        <w:jc w:val="both"/>
        <w:rPr>
          <w:rFonts w:ascii="Arial" w:hAnsi="Arial" w:cs="Arial"/>
          <w:sz w:val="18"/>
          <w:szCs w:val="18"/>
        </w:rPr>
      </w:pPr>
      <w:r w:rsidRPr="00000B1B">
        <w:rPr>
          <w:rFonts w:ascii="Arial" w:hAnsi="Arial" w:cs="Arial"/>
          <w:sz w:val="18"/>
          <w:szCs w:val="18"/>
        </w:rPr>
        <w:t xml:space="preserve">1. La descripción técnica, detallada y completa del bien o servicio objeto del contrato, identificado con el cuarto nivel del Clasificador de Bienes y Servicios, de ser posible o de lo contrario con el tercer nivel </w:t>
      </w:r>
      <w:proofErr w:type="gramStart"/>
      <w:r w:rsidRPr="00000B1B">
        <w:rPr>
          <w:rFonts w:ascii="Arial" w:hAnsi="Arial" w:cs="Arial"/>
          <w:sz w:val="18"/>
          <w:szCs w:val="18"/>
        </w:rPr>
        <w:t>del mismo</w:t>
      </w:r>
      <w:proofErr w:type="gramEnd"/>
      <w:r w:rsidRPr="00000B1B">
        <w:rPr>
          <w:rFonts w:ascii="Arial" w:hAnsi="Arial" w:cs="Arial"/>
          <w:sz w:val="18"/>
          <w:szCs w:val="18"/>
        </w:rPr>
        <w:t xml:space="preserve"> […]</w:t>
      </w:r>
      <w:r>
        <w:rPr>
          <w:rFonts w:ascii="Arial" w:hAnsi="Arial" w:cs="Arial"/>
          <w:sz w:val="18"/>
          <w:szCs w:val="18"/>
        </w:rPr>
        <w:t>”</w:t>
      </w:r>
      <w:r w:rsidRPr="00000B1B">
        <w:rPr>
          <w:rFonts w:ascii="Arial" w:hAnsi="Arial" w:cs="Arial"/>
          <w:sz w:val="18"/>
          <w:szCs w:val="18"/>
        </w:rPr>
        <w:t>.</w:t>
      </w:r>
    </w:p>
    <w:p w14:paraId="1598BB2F" w14:textId="77777777" w:rsidR="00BF2989" w:rsidRPr="00000B1B" w:rsidRDefault="00BF2989" w:rsidP="00BF2989">
      <w:pPr>
        <w:pStyle w:val="Textonotapie"/>
        <w:ind w:firstLine="709"/>
        <w:contextualSpacing/>
        <w:jc w:val="both"/>
        <w:rPr>
          <w:rFonts w:ascii="Arial" w:hAnsi="Arial" w:cs="Arial"/>
          <w:sz w:val="18"/>
          <w:szCs w:val="18"/>
        </w:rPr>
      </w:pPr>
    </w:p>
  </w:footnote>
  <w:footnote w:id="10">
    <w:p w14:paraId="1F51BE69" w14:textId="77777777" w:rsidR="00BF2989" w:rsidRPr="00000B1B" w:rsidRDefault="00BF2989" w:rsidP="00BF2989">
      <w:pPr>
        <w:pStyle w:val="Textonotapie"/>
        <w:ind w:firstLine="709"/>
        <w:contextualSpacing/>
        <w:jc w:val="both"/>
        <w:rPr>
          <w:rFonts w:ascii="Arial" w:hAnsi="Arial" w:cs="Arial"/>
          <w:sz w:val="18"/>
          <w:szCs w:val="18"/>
          <w:u w:val="single"/>
        </w:rPr>
      </w:pPr>
      <w:r w:rsidRPr="00000B1B">
        <w:rPr>
          <w:rStyle w:val="Refdenotaalpie"/>
          <w:rFonts w:ascii="Arial" w:hAnsi="Arial" w:cs="Arial"/>
          <w:sz w:val="18"/>
          <w:szCs w:val="18"/>
        </w:rPr>
        <w:footnoteRef/>
      </w:r>
      <w:r w:rsidRPr="00000B1B">
        <w:rPr>
          <w:rFonts w:ascii="Arial" w:hAnsi="Arial" w:cs="Arial"/>
          <w:sz w:val="18"/>
          <w:szCs w:val="18"/>
        </w:rPr>
        <w:t xml:space="preserve"> Agencia Nacional de Contratación Pública – Colombia Compra Eficiente. Guía para la codificación de bienes y servicios de acuerdo con el código estándar de productos y servicios de Naciones Unidas, V.14.080. Disponible en: </w:t>
      </w:r>
      <w:hyperlink r:id="rId3" w:history="1">
        <w:r w:rsidRPr="00000B1B">
          <w:rPr>
            <w:rStyle w:val="Hipervnculo"/>
            <w:rFonts w:ascii="Arial" w:hAnsi="Arial" w:cs="Arial"/>
            <w:sz w:val="18"/>
            <w:szCs w:val="18"/>
          </w:rPr>
          <w:t>https://www.colombiacompra.gov.co/sites/cce_public/files/cce_documents/cce_guia_codificacion_bienes.pdf</w:t>
        </w:r>
      </w:hyperlink>
    </w:p>
  </w:footnote>
  <w:footnote w:id="11">
    <w:p w14:paraId="1E028ECC" w14:textId="77777777" w:rsidR="00BF2989" w:rsidRPr="00000B1B" w:rsidRDefault="00BF2989" w:rsidP="00BF2989">
      <w:pPr>
        <w:pStyle w:val="Textonotapie"/>
        <w:ind w:firstLine="709"/>
        <w:jc w:val="both"/>
        <w:rPr>
          <w:rFonts w:ascii="Arial" w:hAnsi="Arial" w:cs="Arial"/>
          <w:sz w:val="18"/>
          <w:szCs w:val="18"/>
        </w:rPr>
      </w:pPr>
      <w:r w:rsidRPr="00000B1B">
        <w:rPr>
          <w:rStyle w:val="Refdenotaalpie"/>
          <w:rFonts w:ascii="Arial" w:hAnsi="Arial" w:cs="Arial"/>
          <w:sz w:val="18"/>
          <w:szCs w:val="18"/>
        </w:rPr>
        <w:footnoteRef/>
      </w:r>
      <w:r w:rsidRPr="00000B1B">
        <w:rPr>
          <w:rFonts w:ascii="Arial" w:hAnsi="Arial" w:cs="Arial"/>
          <w:sz w:val="18"/>
          <w:szCs w:val="18"/>
        </w:rPr>
        <w:t xml:space="preserve">  Agencia Nacional de Contratación Pública – Colombia Compra Eficiente, Circular Externa Única. Expedida el 15 de julio de 2022. Disponible en: </w:t>
      </w:r>
      <w:hyperlink r:id="rId4" w:history="1">
        <w:r w:rsidRPr="00000B1B">
          <w:rPr>
            <w:rStyle w:val="Hipervnculo"/>
            <w:rFonts w:ascii="Arial" w:hAnsi="Arial" w:cs="Arial"/>
            <w:sz w:val="18"/>
            <w:szCs w:val="18"/>
          </w:rPr>
          <w:t>https://www.colombiacompra.gov.co/sites/cce_public/files/cce_circulares/cce-eicp-ma-06_circular_externa_con_comentarios_de_ciudadanos-_v2f_002.pdf</w:t>
        </w:r>
      </w:hyperlink>
    </w:p>
  </w:footnote>
  <w:footnote w:id="12">
    <w:p w14:paraId="632CFAFA" w14:textId="77777777" w:rsidR="00BF2989" w:rsidRPr="00000B1B" w:rsidRDefault="00BF2989" w:rsidP="00BF2989">
      <w:pPr>
        <w:pStyle w:val="Textonotapie"/>
        <w:ind w:firstLine="709"/>
        <w:contextualSpacing/>
        <w:jc w:val="both"/>
        <w:rPr>
          <w:rFonts w:ascii="Arial" w:hAnsi="Arial" w:cs="Arial"/>
          <w:sz w:val="18"/>
          <w:szCs w:val="18"/>
        </w:rPr>
      </w:pPr>
      <w:r w:rsidRPr="00000B1B">
        <w:rPr>
          <w:rStyle w:val="Refdenotaalpie"/>
          <w:rFonts w:ascii="Arial" w:hAnsi="Arial" w:cs="Arial"/>
          <w:sz w:val="18"/>
          <w:szCs w:val="18"/>
        </w:rPr>
        <w:footnoteRef/>
      </w:r>
      <w:r w:rsidRPr="00000B1B">
        <w:rPr>
          <w:rFonts w:ascii="Arial" w:hAnsi="Arial" w:cs="Arial"/>
          <w:sz w:val="18"/>
          <w:szCs w:val="18"/>
        </w:rPr>
        <w:t xml:space="preserve"> </w:t>
      </w:r>
      <w:proofErr w:type="spellStart"/>
      <w:r w:rsidRPr="00000B1B">
        <w:rPr>
          <w:rFonts w:ascii="Arial" w:hAnsi="Arial" w:cs="Arial"/>
          <w:i/>
          <w:iCs/>
          <w:sz w:val="18"/>
          <w:szCs w:val="18"/>
        </w:rPr>
        <w:t>Ibíd</w:t>
      </w:r>
      <w:proofErr w:type="spellEnd"/>
      <w:r w:rsidRPr="00000B1B">
        <w:rPr>
          <w:rFonts w:ascii="Arial" w:hAnsi="Arial" w:cs="Arial"/>
          <w:i/>
          <w:iCs/>
          <w:sz w:val="18"/>
          <w:szCs w:val="18"/>
        </w:rPr>
        <w:t>.</w:t>
      </w:r>
      <w:r w:rsidRPr="00000B1B">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65pt;height:10.6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1"/>
  </w:num>
  <w:num w:numId="3" w16cid:durableId="876742304">
    <w:abstractNumId w:val="3"/>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0"/>
  </w:num>
  <w:num w:numId="13" w16cid:durableId="1512908409">
    <w:abstractNumId w:val="2"/>
  </w:num>
  <w:num w:numId="14" w16cid:durableId="895897244">
    <w:abstractNumId w:val="14"/>
  </w:num>
  <w:num w:numId="15" w16cid:durableId="390349800">
    <w:abstractNumId w:val="10"/>
  </w:num>
  <w:num w:numId="16" w16cid:durableId="1492209491">
    <w:abstractNumId w:val="4"/>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0B0F"/>
    <w:rsid w:val="000B19B9"/>
    <w:rsid w:val="000D0334"/>
    <w:rsid w:val="000F6486"/>
    <w:rsid w:val="00125105"/>
    <w:rsid w:val="00127233"/>
    <w:rsid w:val="001340C9"/>
    <w:rsid w:val="001E200F"/>
    <w:rsid w:val="001E4177"/>
    <w:rsid w:val="001F7DC6"/>
    <w:rsid w:val="002421BB"/>
    <w:rsid w:val="0025796E"/>
    <w:rsid w:val="002707A2"/>
    <w:rsid w:val="002951A0"/>
    <w:rsid w:val="002962BC"/>
    <w:rsid w:val="002A093D"/>
    <w:rsid w:val="002A0DD0"/>
    <w:rsid w:val="002A49AC"/>
    <w:rsid w:val="002A64FD"/>
    <w:rsid w:val="002C7A84"/>
    <w:rsid w:val="002E4FD9"/>
    <w:rsid w:val="00300664"/>
    <w:rsid w:val="00322A85"/>
    <w:rsid w:val="00324168"/>
    <w:rsid w:val="003448F4"/>
    <w:rsid w:val="00355528"/>
    <w:rsid w:val="00374F5E"/>
    <w:rsid w:val="00377E3E"/>
    <w:rsid w:val="003A26D1"/>
    <w:rsid w:val="003A779E"/>
    <w:rsid w:val="003D0F4D"/>
    <w:rsid w:val="003D5B0D"/>
    <w:rsid w:val="003E0499"/>
    <w:rsid w:val="003F3941"/>
    <w:rsid w:val="00406575"/>
    <w:rsid w:val="0042722E"/>
    <w:rsid w:val="0044528D"/>
    <w:rsid w:val="00497A8E"/>
    <w:rsid w:val="004A1847"/>
    <w:rsid w:val="004A305D"/>
    <w:rsid w:val="004F21C4"/>
    <w:rsid w:val="004F685F"/>
    <w:rsid w:val="005566E8"/>
    <w:rsid w:val="00574867"/>
    <w:rsid w:val="00591460"/>
    <w:rsid w:val="00592628"/>
    <w:rsid w:val="005B309D"/>
    <w:rsid w:val="005C3777"/>
    <w:rsid w:val="005C5CDC"/>
    <w:rsid w:val="005D476C"/>
    <w:rsid w:val="005E0D3B"/>
    <w:rsid w:val="00610812"/>
    <w:rsid w:val="00620F53"/>
    <w:rsid w:val="006219F8"/>
    <w:rsid w:val="00650FF7"/>
    <w:rsid w:val="00665D70"/>
    <w:rsid w:val="00671DAC"/>
    <w:rsid w:val="006900D9"/>
    <w:rsid w:val="006C29DA"/>
    <w:rsid w:val="006D12F8"/>
    <w:rsid w:val="00706C16"/>
    <w:rsid w:val="00756841"/>
    <w:rsid w:val="007649AB"/>
    <w:rsid w:val="00771D0C"/>
    <w:rsid w:val="007833AC"/>
    <w:rsid w:val="007B268C"/>
    <w:rsid w:val="007B7171"/>
    <w:rsid w:val="007C0C0F"/>
    <w:rsid w:val="007C3DC2"/>
    <w:rsid w:val="007E5497"/>
    <w:rsid w:val="00806F5F"/>
    <w:rsid w:val="00820278"/>
    <w:rsid w:val="008425A7"/>
    <w:rsid w:val="00872093"/>
    <w:rsid w:val="00875DCC"/>
    <w:rsid w:val="008843B6"/>
    <w:rsid w:val="00891928"/>
    <w:rsid w:val="008A446D"/>
    <w:rsid w:val="008D180B"/>
    <w:rsid w:val="008D2853"/>
    <w:rsid w:val="008E7F1E"/>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04E7"/>
    <w:rsid w:val="00B01B1A"/>
    <w:rsid w:val="00B72CD3"/>
    <w:rsid w:val="00B72FFF"/>
    <w:rsid w:val="00BA27C5"/>
    <w:rsid w:val="00BB4EB3"/>
    <w:rsid w:val="00BC3D36"/>
    <w:rsid w:val="00BD7F72"/>
    <w:rsid w:val="00BF2989"/>
    <w:rsid w:val="00C04FB3"/>
    <w:rsid w:val="00C330EB"/>
    <w:rsid w:val="00C66A96"/>
    <w:rsid w:val="00C6791A"/>
    <w:rsid w:val="00C754BE"/>
    <w:rsid w:val="00C76B1C"/>
    <w:rsid w:val="00CB6357"/>
    <w:rsid w:val="00CC1B26"/>
    <w:rsid w:val="00D357A8"/>
    <w:rsid w:val="00D423A2"/>
    <w:rsid w:val="00D520D8"/>
    <w:rsid w:val="00D63AC2"/>
    <w:rsid w:val="00D7383B"/>
    <w:rsid w:val="00DA231B"/>
    <w:rsid w:val="00DA23A0"/>
    <w:rsid w:val="00DC39FC"/>
    <w:rsid w:val="00DF5254"/>
    <w:rsid w:val="00E16389"/>
    <w:rsid w:val="00E16408"/>
    <w:rsid w:val="00E20894"/>
    <w:rsid w:val="00E245AB"/>
    <w:rsid w:val="00E2764C"/>
    <w:rsid w:val="00E27F2E"/>
    <w:rsid w:val="00E413EA"/>
    <w:rsid w:val="00E50AFE"/>
    <w:rsid w:val="00E75C92"/>
    <w:rsid w:val="00E771DC"/>
    <w:rsid w:val="00E806A6"/>
    <w:rsid w:val="00E8772A"/>
    <w:rsid w:val="00E90F6B"/>
    <w:rsid w:val="00E92C27"/>
    <w:rsid w:val="00EA0E3D"/>
    <w:rsid w:val="00EA25C9"/>
    <w:rsid w:val="00EA3F61"/>
    <w:rsid w:val="00EC38A7"/>
    <w:rsid w:val="00EE1AA8"/>
    <w:rsid w:val="00F31EDC"/>
    <w:rsid w:val="00F462B3"/>
    <w:rsid w:val="00F5664F"/>
    <w:rsid w:val="00F66637"/>
    <w:rsid w:val="00F666C4"/>
    <w:rsid w:val="00F76AFC"/>
    <w:rsid w:val="00FA47C0"/>
    <w:rsid w:val="00FB5DD1"/>
    <w:rsid w:val="00FC2B5D"/>
    <w:rsid w:val="00FC4573"/>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004E7"/>
    <w:pPr>
      <w:spacing w:line="240" w:lineRule="exact"/>
    </w:pPr>
    <w:rPr>
      <w:vertAlign w:val="superscript"/>
    </w:rPr>
  </w:style>
  <w:style w:type="character" w:customStyle="1" w:styleId="NormalWebCar">
    <w:name w:val="Normal (Web) Car"/>
    <w:link w:val="NormalWeb"/>
    <w:uiPriority w:val="99"/>
    <w:rsid w:val="00E1638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_guia_codificacion_bienes.pdf" TargetMode="External"/><Relationship Id="rId18" Type="http://schemas.openxmlformats.org/officeDocument/2006/relationships/hyperlink" Target="https://relatoria.colombiacompra.gov.co/normativa/ley-80-de-199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latoria.colombiacompra.gov.co/busqueda/conceptos" TargetMode="External"/><Relationship Id="rId7" Type="http://schemas.openxmlformats.org/officeDocument/2006/relationships/settings" Target="settings.xml"/><Relationship Id="rId12" Type="http://schemas.openxmlformats.org/officeDocument/2006/relationships/hyperlink" Target="mailto:licitacionohs@gmail.com" TargetMode="External"/><Relationship Id="rId17" Type="http://schemas.openxmlformats.org/officeDocument/2006/relationships/hyperlink" Target="https://relatoria.colombiacompra.gov.co/normativa/ley-1437-de-201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latoria.colombiacompra.gov.co/normativa/constitucion-politica-de-colombia/" TargetMode="External"/><Relationship Id="rId20" Type="http://schemas.openxmlformats.org/officeDocument/2006/relationships/hyperlink" Target="https://colombiacompra.gov.co/manuales-guias-y-pliegos-tipo/manuales-y-guias/manual-para-determinar-y-verificar-los-requisi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relatoria.colombiacompra.gov.co/normativa/ley-1150-de-2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lasificador-de-bienes-y-Servicios" TargetMode="Externa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codificacion_bienes.pdf" TargetMode="External"/><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s://www.colombiacompra.gov.co/sites/cce_public/files/cce_documents/cce_guia_codificacion_bienes.pdf" TargetMode="External"/><Relationship Id="rId4"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FF4FF22E-0EE5-4953-AF13-DABB8984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4A09A28-8215-4D3F-B0CF-3A3DF589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3808</Words>
  <Characters>20949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4</cp:revision>
  <cp:lastPrinted>2023-01-10T21:18:00Z</cp:lastPrinted>
  <dcterms:created xsi:type="dcterms:W3CDTF">2024-10-22T23:06:00Z</dcterms:created>
  <dcterms:modified xsi:type="dcterms:W3CDTF">2024-10-24T20:54:00Z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