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38575" w14:textId="77777777" w:rsidR="00C44BC4" w:rsidRPr="00501703" w:rsidRDefault="00C44BC4" w:rsidP="00C44BC4">
      <w:pPr>
        <w:spacing w:after="0" w:line="240" w:lineRule="auto"/>
        <w:jc w:val="both"/>
        <w:rPr>
          <w:rFonts w:ascii="Verdana" w:eastAsia="Calibri" w:hAnsi="Verdana" w:cs="Arial"/>
          <w:b/>
          <w:lang w:val="es-ES" w:eastAsia="es-ES"/>
        </w:rPr>
      </w:pPr>
      <w:bookmarkStart w:id="0" w:name="_GoBack"/>
      <w:bookmarkEnd w:id="0"/>
      <w:r w:rsidRPr="00501703">
        <w:rPr>
          <w:rFonts w:ascii="Verdana" w:eastAsia="Calibri" w:hAnsi="Verdana" w:cs="Arial"/>
          <w:b/>
          <w:lang w:val="es-ES" w:eastAsia="es-ES"/>
        </w:rPr>
        <w:t xml:space="preserve">CONTRATACIÓN PÚBLICA – Principio de publicidad – Principio de transparencia – Uso del SECOP </w:t>
      </w:r>
    </w:p>
    <w:p w14:paraId="16538B42" w14:textId="77777777" w:rsidR="00C44BC4" w:rsidRPr="00501703" w:rsidRDefault="00C44BC4" w:rsidP="00C44BC4">
      <w:pPr>
        <w:spacing w:after="0" w:line="240" w:lineRule="auto"/>
        <w:jc w:val="both"/>
        <w:rPr>
          <w:rFonts w:ascii="Verdana" w:eastAsia="Calibri" w:hAnsi="Verdana" w:cs="Arial"/>
          <w:b/>
          <w:bCs/>
          <w:sz w:val="20"/>
          <w:szCs w:val="20"/>
          <w:highlight w:val="yellow"/>
          <w:lang w:val="es-ES_tradnl" w:eastAsia="es-ES_tradnl"/>
        </w:rPr>
      </w:pPr>
    </w:p>
    <w:p w14:paraId="1E122DD5" w14:textId="77777777" w:rsidR="00C44BC4" w:rsidRPr="00501703" w:rsidRDefault="00C44BC4" w:rsidP="00C44BC4">
      <w:pPr>
        <w:spacing w:after="0" w:line="240" w:lineRule="auto"/>
        <w:jc w:val="both"/>
        <w:rPr>
          <w:rFonts w:ascii="Verdana" w:eastAsia="Aptos" w:hAnsi="Verdana" w:cs="Times New Roman"/>
          <w:sz w:val="20"/>
          <w:szCs w:val="20"/>
        </w:rPr>
      </w:pPr>
      <w:r w:rsidRPr="00501703">
        <w:rPr>
          <w:rFonts w:ascii="Verdana" w:eastAsia="Aptos" w:hAnsi="Verdana" w:cs="Times New Roman"/>
          <w:sz w:val="20"/>
          <w:szCs w:val="20"/>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3A750977" w14:textId="77777777" w:rsidR="00C44BC4" w:rsidRPr="00501703" w:rsidRDefault="00C44BC4" w:rsidP="00C44BC4">
      <w:pPr>
        <w:spacing w:after="0" w:line="240" w:lineRule="auto"/>
        <w:jc w:val="both"/>
        <w:rPr>
          <w:rFonts w:ascii="Verdana" w:eastAsia="Aptos" w:hAnsi="Verdana" w:cs="Times New Roman"/>
          <w:sz w:val="20"/>
          <w:szCs w:val="20"/>
        </w:rPr>
      </w:pPr>
    </w:p>
    <w:p w14:paraId="36F8DFD7" w14:textId="77777777" w:rsidR="00C44BC4" w:rsidRPr="00501703" w:rsidRDefault="00C44BC4" w:rsidP="00C44BC4">
      <w:pPr>
        <w:spacing w:after="0" w:line="240" w:lineRule="auto"/>
        <w:jc w:val="both"/>
        <w:rPr>
          <w:rFonts w:ascii="Verdana" w:eastAsia="Aptos" w:hAnsi="Verdana" w:cs="Times New Roman"/>
          <w:b/>
          <w:bCs/>
        </w:rPr>
      </w:pPr>
      <w:r w:rsidRPr="00501703">
        <w:rPr>
          <w:rFonts w:ascii="Verdana" w:eastAsia="Aptos" w:hAnsi="Verdana" w:cs="Times New Roman"/>
          <w:b/>
          <w:bCs/>
        </w:rPr>
        <w:t xml:space="preserve">SECOP ll – Publicidad – Documentos del proceso – Actos Administrativos </w:t>
      </w:r>
    </w:p>
    <w:p w14:paraId="04B00B22" w14:textId="77777777" w:rsidR="00C44BC4" w:rsidRPr="00501703" w:rsidRDefault="00C44BC4" w:rsidP="00C44BC4">
      <w:pPr>
        <w:spacing w:after="0" w:line="240" w:lineRule="auto"/>
        <w:jc w:val="both"/>
        <w:rPr>
          <w:rFonts w:ascii="Verdana" w:eastAsia="Aptos" w:hAnsi="Verdana" w:cs="Times New Roman"/>
          <w:sz w:val="20"/>
          <w:szCs w:val="20"/>
        </w:rPr>
      </w:pPr>
    </w:p>
    <w:p w14:paraId="70A7CA86" w14:textId="77777777" w:rsidR="00C44BC4" w:rsidRPr="00501703" w:rsidRDefault="00C44BC4" w:rsidP="00C44BC4">
      <w:pPr>
        <w:spacing w:after="0" w:line="276" w:lineRule="auto"/>
        <w:jc w:val="both"/>
        <w:rPr>
          <w:rFonts w:ascii="Verdana" w:eastAsia="Aptos" w:hAnsi="Verdana" w:cs="Times New Roman"/>
          <w:sz w:val="20"/>
          <w:szCs w:val="20"/>
        </w:rPr>
      </w:pPr>
      <w:r w:rsidRPr="00501703">
        <w:rPr>
          <w:rFonts w:ascii="Verdana" w:eastAsia="Aptos" w:hAnsi="Verdana" w:cs="Times New Roman"/>
          <w:sz w:val="20"/>
          <w:szCs w:val="20"/>
        </w:rPr>
        <w:t>[…]las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Documentos del Proceso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70117934" w14:textId="77777777" w:rsidR="00C44BC4" w:rsidRPr="00501703" w:rsidRDefault="00C44BC4" w:rsidP="00C44BC4">
      <w:pPr>
        <w:spacing w:after="0" w:line="276" w:lineRule="auto"/>
        <w:jc w:val="both"/>
        <w:rPr>
          <w:rFonts w:ascii="Verdana" w:eastAsia="Aptos" w:hAnsi="Verdana" w:cs="Times New Roman"/>
          <w:kern w:val="2"/>
          <w:sz w:val="20"/>
          <w:szCs w:val="20"/>
          <w14:ligatures w14:val="standardContextual"/>
        </w:rPr>
      </w:pPr>
      <w:r w:rsidRPr="00501703">
        <w:rPr>
          <w:rFonts w:ascii="Verdana" w:eastAsia="Aptos" w:hAnsi="Verdana" w:cs="Times New Roman"/>
          <w:kern w:val="2"/>
          <w:sz w:val="20"/>
          <w:szCs w:val="20"/>
          <w14:ligatures w14:val="standardContextual"/>
        </w:rPr>
        <w:t>[…]</w:t>
      </w:r>
    </w:p>
    <w:p w14:paraId="6963A9E9" w14:textId="77777777" w:rsidR="00C44BC4" w:rsidRPr="00501703" w:rsidRDefault="00C44BC4" w:rsidP="00C44BC4">
      <w:pPr>
        <w:spacing w:after="0" w:line="276" w:lineRule="auto"/>
        <w:jc w:val="both"/>
        <w:rPr>
          <w:rFonts w:ascii="Verdana" w:eastAsia="Aptos" w:hAnsi="Verdana" w:cs="Times New Roman"/>
          <w:kern w:val="2"/>
          <w:sz w:val="20"/>
          <w:szCs w:val="20"/>
          <w:highlight w:val="yellow"/>
          <w14:ligatures w14:val="standardContextual"/>
        </w:rPr>
      </w:pPr>
      <w:r w:rsidRPr="00501703">
        <w:rPr>
          <w:rFonts w:ascii="Verdana" w:eastAsia="Aptos" w:hAnsi="Verdana" w:cs="Times New Roman"/>
          <w:kern w:val="2"/>
          <w:sz w:val="20"/>
          <w:szCs w:val="20"/>
          <w14:ligatures w14:val="standardContextual"/>
        </w:rPr>
        <w:t>[…]la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postcontractual deberán ser publicados en SECOP ll.</w:t>
      </w:r>
    </w:p>
    <w:p w14:paraId="2F7A50BF" w14:textId="77777777" w:rsidR="00C44BC4" w:rsidRPr="00501703" w:rsidRDefault="00C44BC4" w:rsidP="00C44BC4">
      <w:pPr>
        <w:spacing w:after="0" w:line="278" w:lineRule="auto"/>
        <w:jc w:val="both"/>
        <w:rPr>
          <w:rFonts w:ascii="Verdana" w:eastAsia="Aptos" w:hAnsi="Verdana" w:cs="Times New Roman"/>
          <w:kern w:val="2"/>
          <w:sz w:val="20"/>
          <w:szCs w:val="20"/>
          <w:highlight w:val="yellow"/>
          <w14:ligatures w14:val="standardContextual"/>
        </w:rPr>
      </w:pPr>
    </w:p>
    <w:p w14:paraId="027887F5" w14:textId="77777777" w:rsidR="00C44BC4" w:rsidRPr="00501703" w:rsidRDefault="00C44BC4" w:rsidP="00C44BC4">
      <w:pPr>
        <w:spacing w:after="0" w:line="240" w:lineRule="auto"/>
        <w:jc w:val="both"/>
        <w:rPr>
          <w:rFonts w:ascii="Verdana" w:eastAsia="Aptos" w:hAnsi="Verdana" w:cs="Times New Roman"/>
          <w:b/>
          <w:bCs/>
          <w:kern w:val="2"/>
          <w14:ligatures w14:val="standardContextual"/>
        </w:rPr>
      </w:pPr>
      <w:r w:rsidRPr="00501703">
        <w:rPr>
          <w:rFonts w:ascii="Verdana" w:eastAsia="Aptos" w:hAnsi="Verdana" w:cs="Times New Roman"/>
          <w:b/>
          <w:bCs/>
          <w:kern w:val="2"/>
          <w14:ligatures w14:val="standardContextual"/>
        </w:rPr>
        <w:t>VIGILANCIA DE LOS CONTRATOS ESTATALES – Marco jurídico – Obligación de la entidad – Objetivo</w:t>
      </w:r>
    </w:p>
    <w:p w14:paraId="650469F0" w14:textId="77777777" w:rsidR="00C44BC4" w:rsidRPr="00501703" w:rsidRDefault="00C44BC4" w:rsidP="00C44BC4">
      <w:pPr>
        <w:spacing w:after="0" w:line="240" w:lineRule="auto"/>
        <w:jc w:val="both"/>
        <w:rPr>
          <w:rFonts w:ascii="Verdana" w:eastAsia="Aptos" w:hAnsi="Verdana" w:cs="Times New Roman"/>
          <w:b/>
          <w:bCs/>
          <w:kern w:val="2"/>
          <w14:ligatures w14:val="standardContextual"/>
        </w:rPr>
      </w:pPr>
    </w:p>
    <w:p w14:paraId="75611545" w14:textId="77777777" w:rsidR="00C44BC4" w:rsidRPr="00501703" w:rsidRDefault="00C44BC4" w:rsidP="00C44BC4">
      <w:pPr>
        <w:spacing w:after="0" w:line="240" w:lineRule="auto"/>
        <w:jc w:val="both"/>
        <w:rPr>
          <w:rFonts w:ascii="Verdana" w:eastAsia="Aptos" w:hAnsi="Verdana" w:cs="Times New Roman"/>
          <w:kern w:val="2"/>
          <w:sz w:val="20"/>
          <w:szCs w:val="20"/>
          <w14:ligatures w14:val="standardContextual"/>
        </w:rPr>
      </w:pPr>
      <w:r w:rsidRPr="00501703">
        <w:rPr>
          <w:rFonts w:ascii="Verdana" w:eastAsia="Aptos" w:hAnsi="Verdana" w:cs="Times New Roman"/>
          <w:kern w:val="2"/>
          <w:sz w:val="20"/>
          <w:szCs w:val="20"/>
          <w14:ligatures w14:val="standardContextual"/>
        </w:rPr>
        <w:t>La Ley 80 de 1993 establece en sus artículos 4, 5, 12, 14 y 26, entre otros aspectos, la obligación de las Entidades Estatales de velar por el correcto y oportuno cumplimiento de las prestaciones del contrato, las 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su adecuado cumplimiento.</w:t>
      </w:r>
    </w:p>
    <w:p w14:paraId="2879FD4A" w14:textId="77777777" w:rsidR="00C44BC4" w:rsidRPr="00501703" w:rsidRDefault="00C44BC4" w:rsidP="00C44BC4">
      <w:pPr>
        <w:spacing w:after="0" w:line="240" w:lineRule="auto"/>
        <w:jc w:val="both"/>
        <w:rPr>
          <w:rFonts w:ascii="Verdana" w:eastAsia="Aptos" w:hAnsi="Verdana" w:cs="Times New Roman"/>
          <w:kern w:val="2"/>
          <w:sz w:val="20"/>
          <w:szCs w:val="20"/>
          <w14:ligatures w14:val="standardContextual"/>
        </w:rPr>
      </w:pPr>
    </w:p>
    <w:p w14:paraId="6AF6D839" w14:textId="77777777" w:rsidR="00C44BC4" w:rsidRPr="00501703" w:rsidRDefault="00C44BC4" w:rsidP="00C44BC4">
      <w:pPr>
        <w:spacing w:after="0" w:line="240" w:lineRule="auto"/>
        <w:jc w:val="both"/>
        <w:rPr>
          <w:rFonts w:ascii="Verdana" w:eastAsia="Aptos" w:hAnsi="Verdana" w:cs="Times New Roman"/>
          <w:kern w:val="2"/>
          <w:sz w:val="20"/>
          <w:szCs w:val="20"/>
          <w14:ligatures w14:val="standardContextual"/>
        </w:rPr>
      </w:pPr>
      <w:r w:rsidRPr="00501703">
        <w:rPr>
          <w:rFonts w:ascii="Verdana" w:eastAsia="Aptos" w:hAnsi="Verdana" w:cs="Times New Roman"/>
          <w:kern w:val="2"/>
          <w:sz w:val="20"/>
          <w:szCs w:val="20"/>
          <w14:ligatures w14:val="standardContextual"/>
        </w:rPr>
        <w:t xml:space="preserve">[…], las Leyes 1150 de 2007 y 1474 de 2011, complementan el régimen jurídico de la obligación de vigilar la correcta ejecución de los contratos estatales. […]se establecen </w:t>
      </w:r>
      <w:r w:rsidRPr="00501703">
        <w:rPr>
          <w:rFonts w:ascii="Verdana" w:eastAsia="Aptos" w:hAnsi="Verdana" w:cs="Times New Roman"/>
          <w:kern w:val="2"/>
          <w:sz w:val="20"/>
          <w:szCs w:val="20"/>
          <w14:ligatures w14:val="standardContextual"/>
        </w:rPr>
        <w:lastRenderedPageBreak/>
        <w:t>los límites de la responsabilidad del representante legal ante la delegación de sus funciones en materia contractual y se regula la supervisión y la interventoría de los contratos estatales.</w:t>
      </w:r>
    </w:p>
    <w:p w14:paraId="1AD1E278" w14:textId="77777777" w:rsidR="00C44BC4" w:rsidRPr="00501703" w:rsidRDefault="00C44BC4" w:rsidP="00C44BC4">
      <w:pPr>
        <w:spacing w:after="0" w:line="240" w:lineRule="auto"/>
        <w:rPr>
          <w:rFonts w:ascii="Verdana" w:eastAsia="Aptos" w:hAnsi="Verdana" w:cs="Times New Roman"/>
          <w:sz w:val="20"/>
          <w:szCs w:val="20"/>
        </w:rPr>
      </w:pPr>
    </w:p>
    <w:p w14:paraId="00E9CE78" w14:textId="77777777" w:rsidR="00C44BC4" w:rsidRPr="00501703" w:rsidRDefault="00C44BC4" w:rsidP="00C44BC4">
      <w:pPr>
        <w:spacing w:after="0" w:line="240" w:lineRule="auto"/>
        <w:jc w:val="both"/>
        <w:rPr>
          <w:rFonts w:ascii="Verdana" w:eastAsia="Aptos" w:hAnsi="Verdana" w:cs="Times New Roman"/>
          <w:b/>
          <w:bCs/>
          <w:kern w:val="2"/>
          <w14:ligatures w14:val="standardContextual"/>
        </w:rPr>
      </w:pPr>
      <w:r w:rsidRPr="00501703">
        <w:rPr>
          <w:rFonts w:ascii="Verdana" w:eastAsia="Aptos" w:hAnsi="Verdana" w:cs="Times New Roman"/>
          <w:b/>
          <w:bCs/>
          <w:kern w:val="2"/>
          <w14:ligatures w14:val="standardContextual"/>
        </w:rPr>
        <w:t xml:space="preserve">SUPERVISIÓN E INTERVENTORÍA – Marco jurídico – Finalidad </w:t>
      </w:r>
    </w:p>
    <w:p w14:paraId="24A27FE7" w14:textId="77777777" w:rsidR="00C44BC4" w:rsidRPr="00501703" w:rsidRDefault="00C44BC4" w:rsidP="00C44BC4">
      <w:pPr>
        <w:spacing w:after="0" w:line="278" w:lineRule="auto"/>
        <w:jc w:val="both"/>
        <w:rPr>
          <w:rFonts w:ascii="Verdana" w:eastAsia="Aptos" w:hAnsi="Verdana" w:cs="Times New Roman"/>
          <w:b/>
          <w:bCs/>
          <w:kern w:val="2"/>
          <w:sz w:val="20"/>
          <w:szCs w:val="20"/>
          <w14:ligatures w14:val="standardContextual"/>
        </w:rPr>
      </w:pPr>
    </w:p>
    <w:p w14:paraId="09117E24" w14:textId="77777777" w:rsidR="00C44BC4" w:rsidRPr="00501703" w:rsidRDefault="00C44BC4" w:rsidP="00C44BC4">
      <w:pPr>
        <w:spacing w:after="0"/>
        <w:jc w:val="both"/>
        <w:rPr>
          <w:rFonts w:ascii="Verdana" w:eastAsia="Aptos" w:hAnsi="Verdana" w:cs="Times New Roman"/>
          <w:kern w:val="2"/>
          <w:sz w:val="20"/>
          <w:szCs w:val="20"/>
          <w14:ligatures w14:val="standardContextual"/>
        </w:rPr>
      </w:pPr>
      <w:r w:rsidRPr="00501703">
        <w:rPr>
          <w:rFonts w:ascii="Verdana" w:eastAsia="Aptos" w:hAnsi="Verdana" w:cs="Times New Roman"/>
          <w:kern w:val="2"/>
          <w:sz w:val="20"/>
          <w:szCs w:val="20"/>
          <w14:ligatures w14:val="standardContextual"/>
        </w:rPr>
        <w:t>[…] la Ley 1474 de 2011 enmarcó el seguimiento, control y vigilancia de la ejecución del contrato estatal dentro del principio de moralidad administrativa. El artículo 83 de la referida ley, establece que “con el fin de proteger la moralidad administrativa, de prevenir la ocurrencia de actos de corrupción y tutelar la transparencia de la actividad contractual, las entidades públicas están obligadas a vigilar permanentemente la correcta ejecución del objeto contratado a través de un supervisor o un interventor, según corresponda”.</w:t>
      </w:r>
    </w:p>
    <w:p w14:paraId="7F20D30D" w14:textId="77777777" w:rsidR="00C44BC4" w:rsidRPr="00501703" w:rsidRDefault="00C44BC4" w:rsidP="00C44BC4">
      <w:pPr>
        <w:spacing w:after="0" w:line="240" w:lineRule="auto"/>
        <w:jc w:val="both"/>
        <w:rPr>
          <w:rFonts w:ascii="Verdana" w:eastAsia="Aptos" w:hAnsi="Verdana" w:cs="Times New Roman"/>
          <w:b/>
          <w:bCs/>
          <w:kern w:val="2"/>
          <w14:ligatures w14:val="standardContextual"/>
        </w:rPr>
      </w:pPr>
    </w:p>
    <w:p w14:paraId="294D831C" w14:textId="77777777" w:rsidR="00C44BC4" w:rsidRPr="00501703" w:rsidRDefault="00C44BC4" w:rsidP="00C44BC4">
      <w:pPr>
        <w:spacing w:after="0" w:line="240" w:lineRule="auto"/>
        <w:jc w:val="both"/>
        <w:rPr>
          <w:rFonts w:ascii="Verdana" w:eastAsia="Aptos" w:hAnsi="Verdana" w:cs="Times New Roman"/>
          <w:b/>
          <w:bCs/>
          <w:kern w:val="2"/>
          <w14:ligatures w14:val="standardContextual"/>
        </w:rPr>
      </w:pPr>
      <w:r w:rsidRPr="00501703">
        <w:rPr>
          <w:rFonts w:ascii="Verdana" w:eastAsia="Aptos" w:hAnsi="Verdana" w:cs="Times New Roman"/>
          <w:b/>
          <w:bCs/>
          <w:kern w:val="2"/>
          <w14:ligatures w14:val="standardContextual"/>
        </w:rPr>
        <w:t>SUPERVISIÓN DEL CONTRATO – Características</w:t>
      </w:r>
    </w:p>
    <w:p w14:paraId="1DABA244" w14:textId="77777777" w:rsidR="00C44BC4" w:rsidRPr="00501703" w:rsidRDefault="00C44BC4" w:rsidP="00C44BC4">
      <w:pPr>
        <w:spacing w:after="0" w:line="278" w:lineRule="auto"/>
        <w:jc w:val="both"/>
        <w:rPr>
          <w:rFonts w:ascii="Verdana" w:eastAsia="Aptos" w:hAnsi="Verdana" w:cs="Times New Roman"/>
          <w:b/>
          <w:bCs/>
          <w:kern w:val="2"/>
          <w:sz w:val="20"/>
          <w:szCs w:val="20"/>
          <w14:ligatures w14:val="standardContextual"/>
        </w:rPr>
      </w:pPr>
    </w:p>
    <w:p w14:paraId="5C7CBD0E" w14:textId="77777777" w:rsidR="00C44BC4" w:rsidRPr="00501703" w:rsidRDefault="00C44BC4" w:rsidP="00C44BC4">
      <w:pPr>
        <w:jc w:val="both"/>
        <w:rPr>
          <w:rFonts w:ascii="Aptos" w:eastAsia="Aptos" w:hAnsi="Aptos" w:cs="Times New Roman"/>
        </w:rPr>
      </w:pPr>
      <w:r w:rsidRPr="00501703">
        <w:rPr>
          <w:rFonts w:ascii="Verdana" w:eastAsia="Aptos" w:hAnsi="Verdana" w:cs="Times New Roman"/>
          <w:kern w:val="2"/>
          <w:sz w:val="20"/>
          <w:szCs w:val="20"/>
          <w14:ligatures w14:val="standardContextual"/>
        </w:rPr>
        <w:t>[…] de las disposiciones contenidas en los artículos 83 y 84 de la Ley 1474 de 2011, se infieren las siguientes características de la supervisión: i) la labor de supervisión siempre existirá en relación con cualquier contrato estatal, incluidos los contratos de prestación de servicios –a diferencia de la interventoría que depende del análisis de su necesidad y extensión –; ii) no requiere conocimientos tan especializados como la interventoría; iii) se ejerce por la Entidad Estatal por conducto de la designación de servidores públicos idóneos para cumplir la función; iv) puede recibir apoyo de personal contratado para tal fin mediante contratos de prestación de servicios; y v) le es inseparable el seguimiento técnico, administrativo, financiero, contable y jurídico del contrato vigilado.</w:t>
      </w:r>
    </w:p>
    <w:p w14:paraId="386D9E53" w14:textId="77777777" w:rsidR="00C44BC4" w:rsidRPr="00501703" w:rsidRDefault="00C44BC4" w:rsidP="00C44BC4">
      <w:pPr>
        <w:spacing w:after="0" w:line="240" w:lineRule="auto"/>
        <w:rPr>
          <w:rFonts w:ascii="Verdana" w:eastAsia="Aptos" w:hAnsi="Verdana" w:cs="Times New Roman"/>
          <w:sz w:val="20"/>
          <w:szCs w:val="20"/>
        </w:rPr>
      </w:pPr>
    </w:p>
    <w:p w14:paraId="605FA0A1" w14:textId="77777777" w:rsidR="00C44BC4" w:rsidRPr="00501703" w:rsidRDefault="00C44BC4" w:rsidP="00C44BC4">
      <w:pPr>
        <w:spacing w:after="0" w:line="240" w:lineRule="auto"/>
        <w:rPr>
          <w:rFonts w:ascii="Verdana" w:eastAsia="Aptos" w:hAnsi="Verdana" w:cs="Times New Roman"/>
          <w:sz w:val="20"/>
          <w:szCs w:val="20"/>
        </w:rPr>
      </w:pPr>
    </w:p>
    <w:p w14:paraId="4FA22F75" w14:textId="77777777" w:rsidR="00C44BC4" w:rsidRPr="00501703" w:rsidRDefault="00C44BC4" w:rsidP="00C44BC4">
      <w:pPr>
        <w:spacing w:after="0" w:line="240" w:lineRule="auto"/>
        <w:rPr>
          <w:rFonts w:ascii="Verdana" w:eastAsia="Aptos" w:hAnsi="Verdana" w:cs="Times New Roman"/>
          <w:sz w:val="20"/>
          <w:szCs w:val="20"/>
        </w:rPr>
      </w:pPr>
    </w:p>
    <w:p w14:paraId="1C0375B8" w14:textId="77777777" w:rsidR="00C44BC4" w:rsidRPr="00501703" w:rsidRDefault="00C44BC4" w:rsidP="00C44BC4">
      <w:pPr>
        <w:spacing w:after="0" w:line="240" w:lineRule="auto"/>
        <w:rPr>
          <w:rFonts w:ascii="Verdana" w:eastAsia="Aptos" w:hAnsi="Verdana" w:cs="Times New Roman"/>
          <w:sz w:val="20"/>
          <w:szCs w:val="20"/>
        </w:rPr>
      </w:pPr>
    </w:p>
    <w:p w14:paraId="4BC7E1FE" w14:textId="77777777" w:rsidR="00C44BC4" w:rsidRPr="00501703" w:rsidRDefault="00C44BC4" w:rsidP="00C44BC4">
      <w:pPr>
        <w:spacing w:after="0" w:line="240" w:lineRule="auto"/>
        <w:rPr>
          <w:rFonts w:ascii="Verdana" w:eastAsia="Aptos" w:hAnsi="Verdana" w:cs="Times New Roman"/>
          <w:sz w:val="20"/>
          <w:szCs w:val="20"/>
        </w:rPr>
      </w:pPr>
    </w:p>
    <w:p w14:paraId="4E35B86C" w14:textId="77777777" w:rsidR="00C44BC4" w:rsidRPr="00501703" w:rsidRDefault="00C44BC4" w:rsidP="00C44BC4">
      <w:pPr>
        <w:spacing w:after="0" w:line="240" w:lineRule="auto"/>
        <w:rPr>
          <w:rFonts w:ascii="Verdana" w:eastAsia="Aptos" w:hAnsi="Verdana" w:cs="Times New Roman"/>
          <w:sz w:val="20"/>
          <w:szCs w:val="20"/>
        </w:rPr>
      </w:pPr>
    </w:p>
    <w:p w14:paraId="7DF0D754" w14:textId="77777777" w:rsidR="00C44BC4" w:rsidRPr="00501703" w:rsidRDefault="00C44BC4" w:rsidP="00C44BC4">
      <w:pPr>
        <w:spacing w:after="0" w:line="240" w:lineRule="auto"/>
        <w:rPr>
          <w:rFonts w:ascii="Verdana" w:eastAsia="Aptos" w:hAnsi="Verdana" w:cs="Times New Roman"/>
          <w:sz w:val="20"/>
          <w:szCs w:val="20"/>
        </w:rPr>
      </w:pPr>
    </w:p>
    <w:p w14:paraId="1B81B864" w14:textId="77777777" w:rsidR="00C44BC4" w:rsidRPr="00501703" w:rsidRDefault="00C44BC4" w:rsidP="00C44BC4">
      <w:pPr>
        <w:spacing w:after="0" w:line="240" w:lineRule="auto"/>
        <w:rPr>
          <w:rFonts w:ascii="Verdana" w:eastAsia="Aptos" w:hAnsi="Verdana" w:cs="Times New Roman"/>
          <w:sz w:val="20"/>
          <w:szCs w:val="20"/>
        </w:rPr>
      </w:pPr>
    </w:p>
    <w:p w14:paraId="5A8B8601" w14:textId="77777777" w:rsidR="00C44BC4" w:rsidRPr="00501703" w:rsidRDefault="00C44BC4" w:rsidP="00C44BC4">
      <w:pPr>
        <w:spacing w:after="0" w:line="240" w:lineRule="auto"/>
        <w:rPr>
          <w:rFonts w:ascii="Verdana" w:eastAsia="Aptos" w:hAnsi="Verdana" w:cs="Times New Roman"/>
          <w:sz w:val="20"/>
          <w:szCs w:val="20"/>
        </w:rPr>
      </w:pPr>
    </w:p>
    <w:p w14:paraId="35A0BE9D" w14:textId="77777777" w:rsidR="00C44BC4" w:rsidRPr="00501703" w:rsidRDefault="00C44BC4" w:rsidP="00C44BC4">
      <w:pPr>
        <w:spacing w:after="0" w:line="240" w:lineRule="auto"/>
        <w:rPr>
          <w:rFonts w:ascii="Verdana" w:eastAsia="Aptos" w:hAnsi="Verdana" w:cs="Times New Roman"/>
          <w:sz w:val="20"/>
          <w:szCs w:val="20"/>
        </w:rPr>
      </w:pPr>
    </w:p>
    <w:p w14:paraId="72BD563D" w14:textId="77777777" w:rsidR="00C44BC4" w:rsidRPr="00501703" w:rsidRDefault="00C44BC4" w:rsidP="00C44BC4">
      <w:pPr>
        <w:spacing w:after="0" w:line="240" w:lineRule="auto"/>
        <w:rPr>
          <w:rFonts w:ascii="Verdana" w:eastAsia="Aptos" w:hAnsi="Verdana" w:cs="Times New Roman"/>
          <w:sz w:val="20"/>
          <w:szCs w:val="20"/>
        </w:rPr>
      </w:pPr>
    </w:p>
    <w:p w14:paraId="64A24DC1" w14:textId="77777777" w:rsidR="00C44BC4" w:rsidRPr="00501703" w:rsidRDefault="00C44BC4" w:rsidP="00C44BC4">
      <w:pPr>
        <w:spacing w:after="0" w:line="240" w:lineRule="auto"/>
        <w:rPr>
          <w:rFonts w:ascii="Verdana" w:eastAsia="Aptos" w:hAnsi="Verdana" w:cs="Times New Roman"/>
          <w:sz w:val="20"/>
          <w:szCs w:val="20"/>
        </w:rPr>
      </w:pPr>
    </w:p>
    <w:p w14:paraId="418DDF06" w14:textId="77777777" w:rsidR="00C44BC4" w:rsidRPr="00501703" w:rsidRDefault="00C44BC4" w:rsidP="00C44BC4">
      <w:pPr>
        <w:spacing w:after="0" w:line="240" w:lineRule="auto"/>
        <w:rPr>
          <w:rFonts w:ascii="Verdana" w:eastAsia="Aptos" w:hAnsi="Verdana" w:cs="Times New Roman"/>
          <w:sz w:val="20"/>
          <w:szCs w:val="20"/>
        </w:rPr>
      </w:pPr>
    </w:p>
    <w:p w14:paraId="7AB1B0F5" w14:textId="77777777" w:rsidR="00C44BC4" w:rsidRPr="00501703" w:rsidRDefault="00C44BC4" w:rsidP="00C44BC4">
      <w:pPr>
        <w:spacing w:after="0" w:line="240" w:lineRule="auto"/>
        <w:rPr>
          <w:rFonts w:ascii="Verdana" w:eastAsia="Aptos" w:hAnsi="Verdana" w:cs="Times New Roman"/>
          <w:sz w:val="20"/>
          <w:szCs w:val="20"/>
        </w:rPr>
      </w:pPr>
    </w:p>
    <w:p w14:paraId="0DDEA7A9" w14:textId="77777777" w:rsidR="00C44BC4" w:rsidRPr="00501703" w:rsidRDefault="00C44BC4" w:rsidP="00C44BC4">
      <w:pPr>
        <w:spacing w:after="0" w:line="240" w:lineRule="auto"/>
        <w:rPr>
          <w:rFonts w:ascii="Verdana" w:eastAsia="Aptos" w:hAnsi="Verdana" w:cs="Times New Roman"/>
          <w:sz w:val="20"/>
          <w:szCs w:val="20"/>
        </w:rPr>
      </w:pPr>
    </w:p>
    <w:p w14:paraId="31D2AD3A" w14:textId="77777777" w:rsidR="00C44BC4" w:rsidRPr="00501703" w:rsidRDefault="00C44BC4" w:rsidP="00C44BC4">
      <w:pPr>
        <w:spacing w:after="0" w:line="240" w:lineRule="auto"/>
        <w:rPr>
          <w:rFonts w:ascii="Verdana" w:eastAsia="Aptos" w:hAnsi="Verdana" w:cs="Times New Roman"/>
          <w:sz w:val="20"/>
          <w:szCs w:val="20"/>
        </w:rPr>
      </w:pPr>
    </w:p>
    <w:p w14:paraId="7A4C51B3" w14:textId="77777777" w:rsidR="00C44BC4" w:rsidRPr="00501703" w:rsidRDefault="00C44BC4" w:rsidP="00C44BC4">
      <w:pPr>
        <w:spacing w:after="0" w:line="240" w:lineRule="auto"/>
        <w:rPr>
          <w:rFonts w:ascii="Verdana" w:eastAsia="Aptos" w:hAnsi="Verdana" w:cs="Times New Roman"/>
          <w:sz w:val="20"/>
          <w:szCs w:val="20"/>
        </w:rPr>
      </w:pPr>
    </w:p>
    <w:p w14:paraId="5CE732BE" w14:textId="77777777" w:rsidR="00C44BC4" w:rsidRPr="00501703" w:rsidRDefault="00C44BC4" w:rsidP="00C44BC4">
      <w:pPr>
        <w:spacing w:after="0" w:line="240" w:lineRule="auto"/>
        <w:rPr>
          <w:rFonts w:ascii="Verdana" w:eastAsia="Aptos" w:hAnsi="Verdana" w:cs="Times New Roman"/>
          <w:sz w:val="20"/>
          <w:szCs w:val="20"/>
        </w:rPr>
      </w:pPr>
    </w:p>
    <w:p w14:paraId="2C928076" w14:textId="77777777" w:rsidR="00C44BC4" w:rsidRPr="00501703" w:rsidRDefault="00C44BC4" w:rsidP="00C44BC4">
      <w:pPr>
        <w:spacing w:after="0" w:line="240" w:lineRule="auto"/>
        <w:rPr>
          <w:rFonts w:ascii="Verdana" w:eastAsia="Aptos" w:hAnsi="Verdana" w:cs="Times New Roman"/>
          <w:sz w:val="20"/>
          <w:szCs w:val="20"/>
        </w:rPr>
      </w:pPr>
    </w:p>
    <w:p w14:paraId="0B56F5C1" w14:textId="77777777" w:rsidR="00C44BC4" w:rsidRPr="00501703" w:rsidRDefault="00C44BC4" w:rsidP="00C44BC4">
      <w:pPr>
        <w:spacing w:after="0" w:line="240" w:lineRule="auto"/>
        <w:rPr>
          <w:rFonts w:ascii="Verdana" w:eastAsia="Aptos" w:hAnsi="Verdana" w:cs="Times New Roman"/>
          <w:sz w:val="20"/>
          <w:szCs w:val="20"/>
        </w:rPr>
      </w:pPr>
    </w:p>
    <w:p w14:paraId="221E9A26" w14:textId="77777777" w:rsidR="00C44BC4" w:rsidRPr="00501703" w:rsidRDefault="00C44BC4" w:rsidP="00C44BC4">
      <w:pPr>
        <w:spacing w:after="0" w:line="240" w:lineRule="auto"/>
        <w:rPr>
          <w:rFonts w:ascii="Verdana" w:eastAsia="Aptos" w:hAnsi="Verdana" w:cs="Times New Roman"/>
          <w:sz w:val="20"/>
          <w:szCs w:val="20"/>
        </w:rPr>
      </w:pPr>
    </w:p>
    <w:p w14:paraId="0B0C5DA7" w14:textId="77777777" w:rsidR="00C44BC4" w:rsidRPr="00501703" w:rsidRDefault="00C44BC4" w:rsidP="00C44BC4">
      <w:pPr>
        <w:spacing w:after="0" w:line="240" w:lineRule="auto"/>
        <w:rPr>
          <w:rFonts w:ascii="Verdana" w:eastAsia="Geomanist Light" w:hAnsi="Verdana" w:cs="Arial"/>
          <w:lang w:val="es-MX"/>
        </w:rPr>
      </w:pPr>
      <w:r w:rsidRPr="00501703">
        <w:rPr>
          <w:rFonts w:ascii="Verdana" w:eastAsia="Geomanist Light" w:hAnsi="Verdana" w:cs="Arial"/>
          <w:lang w:val="es-MX"/>
        </w:rPr>
        <w:lastRenderedPageBreak/>
        <w:t>Bogotá D.C., [Día] de [Mes.NombreCapitalizado] de [Año]</w:t>
      </w:r>
    </w:p>
    <w:p w14:paraId="74718BD5" w14:textId="77777777" w:rsidR="00C44BC4" w:rsidRPr="00501703" w:rsidRDefault="00C44BC4" w:rsidP="00C44BC4">
      <w:pPr>
        <w:spacing w:after="0" w:line="240" w:lineRule="auto"/>
        <w:jc w:val="both"/>
        <w:rPr>
          <w:rFonts w:ascii="Verdana" w:eastAsia="Calibri" w:hAnsi="Verdana" w:cs="Arial"/>
          <w:lang w:val="es-ES"/>
        </w:rPr>
      </w:pPr>
    </w:p>
    <w:p w14:paraId="430E651D" w14:textId="772C0811" w:rsidR="00C44BC4" w:rsidRPr="00501703" w:rsidRDefault="004A1D83" w:rsidP="00C44BC4">
      <w:pPr>
        <w:spacing w:after="0" w:line="240" w:lineRule="auto"/>
        <w:jc w:val="right"/>
        <w:rPr>
          <w:rFonts w:ascii="Verdana" w:eastAsia="Calibri" w:hAnsi="Verdana" w:cs="Arial"/>
          <w:lang w:val="es-ES"/>
        </w:rPr>
      </w:pPr>
      <w:r w:rsidRPr="004A1D83">
        <w:rPr>
          <w:rFonts w:ascii="Verdana" w:eastAsia="Calibri" w:hAnsi="Verdana" w:cs="Arial"/>
          <w:noProof/>
          <w:lang w:val="es-ES"/>
        </w:rPr>
        <w:drawing>
          <wp:inline distT="0" distB="0" distL="0" distR="0" wp14:anchorId="6F3E5F3F" wp14:editId="099AC4D1">
            <wp:extent cx="3343742" cy="943107"/>
            <wp:effectExtent l="0" t="0" r="0" b="9525"/>
            <wp:docPr id="19813157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15711" name="Imagen 1" descr="Texto&#10;&#10;Descripción generada automáticamente"/>
                    <pic:cNvPicPr/>
                  </pic:nvPicPr>
                  <pic:blipFill>
                    <a:blip r:embed="rId10"/>
                    <a:stretch>
                      <a:fillRect/>
                    </a:stretch>
                  </pic:blipFill>
                  <pic:spPr>
                    <a:xfrm>
                      <a:off x="0" y="0"/>
                      <a:ext cx="3343742" cy="943107"/>
                    </a:xfrm>
                    <a:prstGeom prst="rect">
                      <a:avLst/>
                    </a:prstGeom>
                  </pic:spPr>
                </pic:pic>
              </a:graphicData>
            </a:graphic>
          </wp:inline>
        </w:drawing>
      </w:r>
    </w:p>
    <w:p w14:paraId="1A49D165" w14:textId="77777777" w:rsidR="00C44BC4" w:rsidRPr="00501703" w:rsidRDefault="00C44BC4" w:rsidP="00C44BC4">
      <w:pPr>
        <w:spacing w:after="0" w:line="240" w:lineRule="auto"/>
        <w:jc w:val="both"/>
        <w:rPr>
          <w:rFonts w:ascii="Verdana" w:eastAsia="Calibri" w:hAnsi="Verdana" w:cs="Arial"/>
          <w:lang w:val="es-ES" w:eastAsia="es-ES"/>
        </w:rPr>
      </w:pPr>
      <w:r w:rsidRPr="00501703">
        <w:rPr>
          <w:rFonts w:ascii="Verdana" w:eastAsia="Calibri" w:hAnsi="Verdana" w:cs="Arial"/>
          <w:lang w:val="es-ES" w:eastAsia="es-ES"/>
        </w:rPr>
        <w:t>Señor</w:t>
      </w:r>
    </w:p>
    <w:p w14:paraId="1CF2CA96" w14:textId="77777777" w:rsidR="00C44BC4" w:rsidRPr="00501703" w:rsidRDefault="00C44BC4" w:rsidP="00C44BC4">
      <w:pPr>
        <w:spacing w:after="0" w:line="240" w:lineRule="auto"/>
        <w:rPr>
          <w:rFonts w:ascii="Verdana" w:eastAsia="Calibri" w:hAnsi="Verdana" w:cs="Arial"/>
          <w:b/>
          <w:lang w:val="es-ES_tradnl" w:eastAsia="es-ES_tradnl"/>
        </w:rPr>
      </w:pPr>
      <w:r w:rsidRPr="00501703">
        <w:rPr>
          <w:rFonts w:ascii="Verdana" w:eastAsia="Calibri" w:hAnsi="Verdana" w:cs="Arial"/>
          <w:b/>
          <w:lang w:val="es-ES_tradnl" w:eastAsia="es-ES_tradnl"/>
        </w:rPr>
        <w:t>Oscar Rojas Alape</w:t>
      </w:r>
    </w:p>
    <w:p w14:paraId="2952AD7E" w14:textId="77777777" w:rsidR="00C44BC4" w:rsidRPr="00501703" w:rsidRDefault="00C65001" w:rsidP="00C44BC4">
      <w:pPr>
        <w:spacing w:after="0" w:line="240" w:lineRule="auto"/>
        <w:rPr>
          <w:rFonts w:ascii="Verdana" w:eastAsia="Aptos" w:hAnsi="Verdana" w:cs="Times New Roman"/>
        </w:rPr>
      </w:pPr>
      <w:hyperlink r:id="rId11" w:history="1">
        <w:r w:rsidR="00C44BC4" w:rsidRPr="00501703">
          <w:rPr>
            <w:rFonts w:ascii="Verdana" w:eastAsia="Aptos" w:hAnsi="Verdana" w:cs="Times New Roman"/>
            <w:color w:val="467886"/>
            <w:u w:val="single"/>
          </w:rPr>
          <w:t>oscaralape1@hotmail.com</w:t>
        </w:r>
      </w:hyperlink>
      <w:r w:rsidR="00C44BC4" w:rsidRPr="00501703">
        <w:rPr>
          <w:rFonts w:ascii="Verdana" w:eastAsia="Aptos" w:hAnsi="Verdana" w:cs="Times New Roman"/>
        </w:rPr>
        <w:t xml:space="preserve"> </w:t>
      </w:r>
    </w:p>
    <w:p w14:paraId="63D67BCF" w14:textId="77777777" w:rsidR="00C44BC4" w:rsidRPr="00501703" w:rsidRDefault="00C44BC4" w:rsidP="00C44BC4">
      <w:pPr>
        <w:spacing w:after="0" w:line="240" w:lineRule="auto"/>
        <w:rPr>
          <w:rFonts w:ascii="Verdana" w:eastAsia="Calibri" w:hAnsi="Verdana" w:cs="Arial"/>
          <w:b/>
          <w:bCs/>
          <w:lang w:val="es-ES" w:eastAsia="es-ES"/>
        </w:rPr>
      </w:pPr>
      <w:r w:rsidRPr="00501703">
        <w:rPr>
          <w:rFonts w:ascii="Verdana" w:eastAsia="Calibri" w:hAnsi="Verdana" w:cs="Arial"/>
          <w:lang w:val="es-ES" w:eastAsia="es-ES"/>
        </w:rPr>
        <w:t>Pitalito, Huila</w:t>
      </w:r>
    </w:p>
    <w:p w14:paraId="3658A784" w14:textId="77777777" w:rsidR="00C44BC4" w:rsidRPr="00501703" w:rsidRDefault="00C44BC4" w:rsidP="00C44BC4">
      <w:pPr>
        <w:spacing w:after="0" w:line="240" w:lineRule="auto"/>
        <w:rPr>
          <w:rFonts w:ascii="Verdana" w:eastAsia="Calibri" w:hAnsi="Verdana" w:cs="Arial"/>
          <w:b/>
          <w:bCs/>
          <w:lang w:val="es-ES_tradnl" w:eastAsia="es-ES_tradnl"/>
        </w:rPr>
      </w:pPr>
    </w:p>
    <w:p w14:paraId="021F3B57" w14:textId="77777777" w:rsidR="00C44BC4" w:rsidRPr="00501703" w:rsidRDefault="00C44BC4" w:rsidP="00C44BC4">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44BC4" w:rsidRPr="00501703" w14:paraId="23A46B52" w14:textId="77777777" w:rsidTr="004D4A56">
        <w:trPr>
          <w:trHeight w:val="884"/>
        </w:trPr>
        <w:tc>
          <w:tcPr>
            <w:tcW w:w="2689" w:type="dxa"/>
          </w:tcPr>
          <w:p w14:paraId="0334178E" w14:textId="77777777" w:rsidR="00C44BC4" w:rsidRPr="00501703" w:rsidRDefault="00C44BC4" w:rsidP="004D4A56">
            <w:pPr>
              <w:jc w:val="both"/>
              <w:rPr>
                <w:rFonts w:ascii="Verdana" w:eastAsia="Calibri" w:hAnsi="Verdana" w:cs="Arial"/>
                <w:b/>
                <w:bCs/>
                <w:lang w:val="es-ES_tradnl" w:eastAsia="es-ES_tradnl"/>
              </w:rPr>
            </w:pPr>
          </w:p>
        </w:tc>
        <w:tc>
          <w:tcPr>
            <w:tcW w:w="6100" w:type="dxa"/>
          </w:tcPr>
          <w:p w14:paraId="007856BE" w14:textId="77777777" w:rsidR="00C44BC4" w:rsidRPr="00501703" w:rsidRDefault="00C44BC4" w:rsidP="004D4A56">
            <w:pPr>
              <w:jc w:val="both"/>
              <w:rPr>
                <w:rFonts w:ascii="Verdana" w:eastAsia="Calibri" w:hAnsi="Verdana" w:cs="Arial"/>
                <w:b/>
                <w:bCs/>
                <w:lang w:val="es-ES" w:eastAsia="es-ES"/>
              </w:rPr>
            </w:pPr>
            <w:r w:rsidRPr="00501703">
              <w:rPr>
                <w:rFonts w:ascii="Verdana" w:eastAsia="Calibri" w:hAnsi="Verdana" w:cs="Arial"/>
                <w:b/>
                <w:bCs/>
                <w:lang w:val="es-ES" w:eastAsia="es-ES"/>
              </w:rPr>
              <w:t>Concepto C-592 de 2024</w:t>
            </w:r>
          </w:p>
        </w:tc>
      </w:tr>
      <w:tr w:rsidR="00C44BC4" w:rsidRPr="00501703" w14:paraId="2F07B981" w14:textId="77777777" w:rsidTr="004D4A56">
        <w:trPr>
          <w:trHeight w:val="884"/>
        </w:trPr>
        <w:tc>
          <w:tcPr>
            <w:tcW w:w="2689" w:type="dxa"/>
          </w:tcPr>
          <w:p w14:paraId="75B5F2C1" w14:textId="77777777" w:rsidR="00C44BC4" w:rsidRPr="00501703" w:rsidRDefault="00C44BC4" w:rsidP="004D4A56">
            <w:pPr>
              <w:jc w:val="both"/>
              <w:rPr>
                <w:rFonts w:ascii="Verdana" w:eastAsia="Calibri" w:hAnsi="Verdana" w:cs="Arial"/>
                <w:lang w:val="es-ES_tradnl" w:eastAsia="es-ES_tradnl"/>
              </w:rPr>
            </w:pPr>
            <w:r w:rsidRPr="00501703">
              <w:rPr>
                <w:rFonts w:ascii="Verdana" w:eastAsia="Calibri" w:hAnsi="Verdana" w:cs="Arial"/>
                <w:b/>
                <w:lang w:val="es-ES_tradnl" w:eastAsia="es-ES_tradnl"/>
              </w:rPr>
              <w:t>Temas:</w:t>
            </w:r>
            <w:r w:rsidRPr="00501703">
              <w:rPr>
                <w:rFonts w:ascii="Verdana" w:eastAsia="Calibri" w:hAnsi="Verdana" w:cs="Arial"/>
                <w:lang w:val="es-ES_tradnl" w:eastAsia="es-ES_tradnl"/>
              </w:rPr>
              <w:t xml:space="preserve">                   </w:t>
            </w:r>
          </w:p>
        </w:tc>
        <w:tc>
          <w:tcPr>
            <w:tcW w:w="6100" w:type="dxa"/>
          </w:tcPr>
          <w:p w14:paraId="602EDD0F" w14:textId="0E6FE9BE" w:rsidR="00C44BC4" w:rsidRPr="00501703" w:rsidRDefault="00C44BC4" w:rsidP="004D4A56">
            <w:pPr>
              <w:spacing w:line="276" w:lineRule="auto"/>
              <w:jc w:val="both"/>
              <w:rPr>
                <w:rFonts w:ascii="Verdana" w:eastAsia="Calibri" w:hAnsi="Verdana" w:cs="Arial"/>
                <w:highlight w:val="yellow"/>
                <w:lang w:val="es-ES" w:eastAsia="es-ES"/>
              </w:rPr>
            </w:pPr>
            <w:r w:rsidRPr="00501703">
              <w:rPr>
                <w:rFonts w:ascii="Verdana" w:eastAsia="Calibri" w:hAnsi="Verdana" w:cs="Arial"/>
                <w:lang w:val="es-ES" w:eastAsia="es-ES"/>
              </w:rPr>
              <w:t xml:space="preserve">CONTRATACIÓN PÚBLICA – Principio de publicidad – Principio de transparencia – Uso del SECOP / SECOP ll – Publicidad – Documentos del proceso – Actos </w:t>
            </w:r>
            <w:r w:rsidR="00A761D7">
              <w:rPr>
                <w:rFonts w:ascii="Verdana" w:eastAsia="Calibri" w:hAnsi="Verdana" w:cs="Arial"/>
                <w:lang w:val="es-ES" w:eastAsia="es-ES"/>
              </w:rPr>
              <w:t>a</w:t>
            </w:r>
            <w:r w:rsidRPr="00501703">
              <w:rPr>
                <w:rFonts w:ascii="Verdana" w:eastAsia="Calibri" w:hAnsi="Verdana" w:cs="Arial"/>
                <w:lang w:val="es-ES" w:eastAsia="es-ES"/>
              </w:rPr>
              <w:t>dministrativos / VIGILANCIA DE LOS CONTRATOS ESTATALES – Marco jurídico – Obligación de la entidad – Objetivo / SUPERVISIÓN E INTERVENTORÍA – Marco jurídico – Finalidad / SUPERVISIÓN DEL CONTRATO – Características</w:t>
            </w:r>
          </w:p>
          <w:p w14:paraId="00E3678A" w14:textId="77777777" w:rsidR="00C44BC4" w:rsidRPr="00501703" w:rsidRDefault="00C44BC4" w:rsidP="004D4A56">
            <w:pPr>
              <w:spacing w:line="276" w:lineRule="auto"/>
              <w:jc w:val="both"/>
              <w:rPr>
                <w:rFonts w:ascii="Verdana" w:eastAsia="Calibri" w:hAnsi="Verdana" w:cs="Arial"/>
                <w:highlight w:val="yellow"/>
                <w:lang w:val="es-ES" w:eastAsia="es-ES"/>
              </w:rPr>
            </w:pPr>
          </w:p>
        </w:tc>
      </w:tr>
      <w:tr w:rsidR="00C44BC4" w:rsidRPr="00501703" w14:paraId="0677730E" w14:textId="77777777" w:rsidTr="004D4A56">
        <w:tc>
          <w:tcPr>
            <w:tcW w:w="2689" w:type="dxa"/>
          </w:tcPr>
          <w:p w14:paraId="56644F52" w14:textId="77777777" w:rsidR="00C44BC4" w:rsidRPr="00501703" w:rsidRDefault="00C44BC4" w:rsidP="004D4A56">
            <w:pPr>
              <w:jc w:val="both"/>
              <w:rPr>
                <w:rFonts w:ascii="Verdana" w:eastAsia="Calibri" w:hAnsi="Verdana" w:cs="Arial"/>
                <w:b/>
                <w:lang w:val="es-ES_tradnl" w:eastAsia="es-ES_tradnl"/>
              </w:rPr>
            </w:pPr>
            <w:r w:rsidRPr="00501703">
              <w:rPr>
                <w:rFonts w:ascii="Verdana" w:eastAsia="Calibri" w:hAnsi="Verdana" w:cs="Arial"/>
                <w:b/>
                <w:lang w:val="es-ES_tradnl" w:eastAsia="es-ES_tradnl"/>
              </w:rPr>
              <w:t>Radicación:</w:t>
            </w:r>
            <w:r w:rsidRPr="00501703">
              <w:rPr>
                <w:rFonts w:ascii="Verdana" w:eastAsia="Calibri" w:hAnsi="Verdana" w:cs="Arial"/>
                <w:lang w:val="es-ES_tradnl" w:eastAsia="es-ES_tradnl"/>
              </w:rPr>
              <w:t xml:space="preserve">               </w:t>
            </w:r>
          </w:p>
        </w:tc>
        <w:tc>
          <w:tcPr>
            <w:tcW w:w="6100" w:type="dxa"/>
          </w:tcPr>
          <w:p w14:paraId="6143F0BD" w14:textId="77777777" w:rsidR="00C44BC4" w:rsidRPr="00501703" w:rsidRDefault="00C44BC4" w:rsidP="004D4A56">
            <w:pPr>
              <w:jc w:val="both"/>
              <w:rPr>
                <w:rFonts w:ascii="Verdana" w:eastAsia="Calibri" w:hAnsi="Verdana" w:cs="Arial"/>
                <w:lang w:val="es-ES_tradnl" w:eastAsia="es-ES_tradnl"/>
              </w:rPr>
            </w:pPr>
            <w:r w:rsidRPr="00501703">
              <w:rPr>
                <w:rFonts w:ascii="Verdana" w:eastAsia="Calibri" w:hAnsi="Verdana" w:cs="Arial"/>
                <w:lang w:val="es-ES_tradnl" w:eastAsia="es-ES_tradnl"/>
              </w:rPr>
              <w:t xml:space="preserve">Respuesta a consultas acumuladas con radicados Nos.  P20240923009682 y </w:t>
            </w:r>
            <w:r w:rsidRPr="00311801">
              <w:rPr>
                <w:rFonts w:ascii="Verdana" w:eastAsia="Calibri" w:hAnsi="Verdana" w:cs="Arial"/>
                <w:lang w:val="es-ES_tradnl" w:eastAsia="es-ES_tradnl"/>
              </w:rPr>
              <w:t>P20240911009255</w:t>
            </w:r>
          </w:p>
        </w:tc>
      </w:tr>
    </w:tbl>
    <w:p w14:paraId="2F85A53F" w14:textId="77777777" w:rsidR="00C44BC4" w:rsidRPr="00501703" w:rsidRDefault="00C44BC4" w:rsidP="00C44BC4">
      <w:pPr>
        <w:spacing w:after="0" w:line="240" w:lineRule="auto"/>
        <w:jc w:val="both"/>
        <w:rPr>
          <w:rFonts w:ascii="Verdana" w:eastAsia="Calibri" w:hAnsi="Verdana" w:cs="Arial"/>
          <w:lang w:val="es-ES_tradnl" w:eastAsia="es-ES_tradnl"/>
        </w:rPr>
      </w:pPr>
    </w:p>
    <w:p w14:paraId="35212E77" w14:textId="77777777" w:rsidR="00C44BC4" w:rsidRPr="00501703" w:rsidRDefault="00C44BC4" w:rsidP="00C44BC4">
      <w:pPr>
        <w:spacing w:after="0" w:line="240" w:lineRule="auto"/>
        <w:jc w:val="both"/>
        <w:rPr>
          <w:rFonts w:ascii="Verdana" w:eastAsia="Calibri" w:hAnsi="Verdana" w:cs="Arial"/>
          <w:lang w:val="es-ES_tradnl" w:eastAsia="es-ES_tradnl"/>
        </w:rPr>
      </w:pPr>
    </w:p>
    <w:p w14:paraId="55005722" w14:textId="77777777" w:rsidR="00C44BC4" w:rsidRPr="00501703" w:rsidRDefault="00C44BC4" w:rsidP="00C44BC4">
      <w:pPr>
        <w:spacing w:after="0" w:line="276" w:lineRule="auto"/>
        <w:jc w:val="both"/>
        <w:rPr>
          <w:rFonts w:ascii="Verdana" w:eastAsia="Calibri" w:hAnsi="Verdana" w:cs="Arial"/>
          <w:lang w:val="es-ES" w:eastAsia="es-ES"/>
        </w:rPr>
      </w:pPr>
      <w:r w:rsidRPr="00501703">
        <w:rPr>
          <w:rFonts w:ascii="Verdana" w:eastAsia="Calibri" w:hAnsi="Verdana" w:cs="Arial"/>
          <w:lang w:val="es-ES" w:eastAsia="es-ES"/>
        </w:rPr>
        <w:t xml:space="preserve">Estimado señor Rojas: </w:t>
      </w:r>
    </w:p>
    <w:p w14:paraId="091B8D45" w14:textId="77777777" w:rsidR="00C44BC4" w:rsidRPr="00501703" w:rsidRDefault="00C44BC4" w:rsidP="00C44BC4">
      <w:pPr>
        <w:tabs>
          <w:tab w:val="left" w:pos="3768"/>
        </w:tabs>
        <w:spacing w:after="0" w:line="276" w:lineRule="auto"/>
        <w:jc w:val="both"/>
        <w:rPr>
          <w:rFonts w:ascii="Verdana" w:eastAsia="Calibri" w:hAnsi="Verdana" w:cs="Arial"/>
          <w:lang w:val="es-ES" w:eastAsia="es-ES"/>
        </w:rPr>
      </w:pPr>
    </w:p>
    <w:p w14:paraId="01074259" w14:textId="77777777" w:rsidR="00C44BC4" w:rsidRPr="00501703" w:rsidRDefault="00C44BC4" w:rsidP="00C44BC4">
      <w:pPr>
        <w:spacing w:after="0" w:line="276" w:lineRule="auto"/>
        <w:jc w:val="both"/>
        <w:rPr>
          <w:rFonts w:ascii="Verdana" w:eastAsia="Calibri" w:hAnsi="Verdana" w:cs="Arial"/>
          <w:lang w:val="es-ES" w:eastAsia="es-ES"/>
        </w:rPr>
      </w:pPr>
      <w:r w:rsidRPr="00501703">
        <w:rPr>
          <w:rFonts w:ascii="Verdana" w:eastAsia="Calibri" w:hAnsi="Verdana" w:cs="Arial"/>
          <w:lang w:val="es-ES" w:eastAsia="es-ES"/>
        </w:rPr>
        <w:t>En ejercicio de la competencia otorgada por los artículos 3, numeral 5º, y 11, numeral 8º, del Decreto Ley 4170 de 2011,</w:t>
      </w:r>
      <w:r w:rsidRPr="00501703">
        <w:rPr>
          <w:rFonts w:ascii="Verdana" w:eastAsia="Arial MT" w:hAnsi="Verdana" w:cs="Arial MT"/>
          <w:lang w:val="es-ES" w:eastAsia="es-ES"/>
        </w:rPr>
        <w:t xml:space="preserve"> </w:t>
      </w:r>
      <w:r w:rsidRPr="00501703">
        <w:rPr>
          <w:rFonts w:ascii="Verdana" w:eastAsia="Aptos" w:hAnsi="Verdana" w:cs="Arial"/>
        </w:rPr>
        <w:t xml:space="preserve">así como lo establecido en el artículo 4 de la Resolución 1707 de 2018 expedida por esta Entidad, </w:t>
      </w:r>
      <w:r w:rsidRPr="00501703">
        <w:rPr>
          <w:rFonts w:ascii="Verdana" w:eastAsia="Calibri" w:hAnsi="Verdana" w:cs="Arial"/>
          <w:lang w:val="es-ES" w:eastAsia="es-ES"/>
        </w:rPr>
        <w:t xml:space="preserve">la Agencia Nacional de Contratación Pública – Colombia Compra Eficiente– responde sus peticiones acumuladas, recibidas el 11 y 21 de septiembre de 2024. La petición con radicado No. P20240923009682, fue remitida por la Contraloría General de la República mediante oficio con radicado No. 2024EE0183089 del mes de septiembre de 2024. Usted realiza la siguiente consulta: </w:t>
      </w:r>
    </w:p>
    <w:p w14:paraId="0E88FF3E" w14:textId="77777777" w:rsidR="00C44BC4" w:rsidRPr="00501703" w:rsidRDefault="00C44BC4" w:rsidP="00C44BC4">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38B495C3" w14:textId="77777777" w:rsidR="00C44BC4" w:rsidRPr="00501703" w:rsidRDefault="00C44BC4" w:rsidP="00C44BC4">
      <w:pPr>
        <w:tabs>
          <w:tab w:val="left" w:pos="709"/>
        </w:tabs>
        <w:spacing w:after="0" w:line="240" w:lineRule="auto"/>
        <w:ind w:left="709" w:right="709"/>
        <w:jc w:val="both"/>
        <w:rPr>
          <w:rFonts w:ascii="Verdana" w:eastAsia="Calibri" w:hAnsi="Verdana" w:cs="Arial"/>
          <w:sz w:val="21"/>
          <w:szCs w:val="21"/>
          <w:lang w:val="es-MX"/>
        </w:rPr>
      </w:pPr>
      <w:r w:rsidRPr="00501703">
        <w:rPr>
          <w:rFonts w:ascii="Verdana" w:eastAsia="Calibri" w:hAnsi="Verdana" w:cs="Arial"/>
          <w:sz w:val="21"/>
          <w:szCs w:val="21"/>
          <w:lang w:val="es-MX"/>
        </w:rPr>
        <w:lastRenderedPageBreak/>
        <w:t xml:space="preserve">“[…]Quisiera saber inicialmente cuál es la lista de documentos, que en la etapa </w:t>
      </w:r>
      <w:r w:rsidRPr="00501703">
        <w:rPr>
          <w:rFonts w:ascii="Verdana" w:eastAsia="Calibri" w:hAnsi="Verdana" w:cs="Arial"/>
          <w:b/>
          <w:bCs/>
          <w:sz w:val="21"/>
          <w:szCs w:val="21"/>
          <w:lang w:val="es-MX"/>
        </w:rPr>
        <w:t xml:space="preserve">precontratual, contractual </w:t>
      </w:r>
      <w:r w:rsidRPr="00501703">
        <w:rPr>
          <w:rFonts w:ascii="Verdana" w:eastAsia="Calibri" w:hAnsi="Verdana" w:cs="Arial"/>
          <w:sz w:val="21"/>
          <w:szCs w:val="21"/>
          <w:lang w:val="es-MX"/>
        </w:rPr>
        <w:t>y de</w:t>
      </w:r>
      <w:r w:rsidRPr="00501703">
        <w:rPr>
          <w:rFonts w:ascii="Verdana" w:eastAsia="Calibri" w:hAnsi="Verdana" w:cs="Arial"/>
          <w:b/>
          <w:bCs/>
          <w:sz w:val="21"/>
          <w:szCs w:val="21"/>
          <w:lang w:val="es-MX"/>
        </w:rPr>
        <w:t xml:space="preserve"> ejecución </w:t>
      </w:r>
      <w:r w:rsidRPr="00501703">
        <w:rPr>
          <w:rFonts w:ascii="Verdana" w:eastAsia="Calibri" w:hAnsi="Verdana" w:cs="Arial"/>
          <w:sz w:val="21"/>
          <w:szCs w:val="21"/>
          <w:lang w:val="es-MX"/>
        </w:rPr>
        <w:t>deben ser publicados en el sistema de información SECOP II, según la naturaleza o tipo de contrato […].</w:t>
      </w:r>
    </w:p>
    <w:p w14:paraId="02E22D94" w14:textId="77777777" w:rsidR="00C44BC4" w:rsidRPr="00501703" w:rsidRDefault="00C44BC4" w:rsidP="00C44BC4">
      <w:pPr>
        <w:tabs>
          <w:tab w:val="left" w:pos="709"/>
        </w:tabs>
        <w:spacing w:before="120" w:after="0" w:line="240" w:lineRule="auto"/>
        <w:ind w:left="709" w:right="709"/>
        <w:jc w:val="both"/>
        <w:rPr>
          <w:rFonts w:ascii="Verdana" w:eastAsia="Calibri" w:hAnsi="Verdana" w:cs="Arial"/>
          <w:sz w:val="21"/>
          <w:szCs w:val="21"/>
          <w:lang w:val="es-MX"/>
        </w:rPr>
      </w:pPr>
      <w:r w:rsidRPr="00501703">
        <w:rPr>
          <w:rFonts w:ascii="Verdana" w:eastAsia="Calibri" w:hAnsi="Verdana" w:cs="Arial"/>
          <w:sz w:val="21"/>
          <w:szCs w:val="21"/>
          <w:lang w:val="es-MX"/>
        </w:rPr>
        <w:t xml:space="preserve">El segundo aspecto, del que requiero información y claridades, es del proceso de vigilancia del contrato a través de la supervisión y su alcance, en el componente financiero y contable del cual tengo diversas dudas, componente de la supervisión que me parece de extrema delicadeza, pues independiente de la naturaleza del contrato y su tipo, los recursos definidos en el contrato vía estudios de mercado y costes, deben controlarse hasta la autorización de su desembolso, recursos que el contrato define en unos costos, costos que entre otras cosas procede de su valoración definida en el proyecto, que se va a ejecutar total o parcialmente […]”. [sic] [énfasis propio] </w:t>
      </w:r>
    </w:p>
    <w:p w14:paraId="39FB2663" w14:textId="77777777" w:rsidR="00C44BC4" w:rsidRPr="00501703" w:rsidRDefault="00C44BC4" w:rsidP="00C44BC4">
      <w:pPr>
        <w:tabs>
          <w:tab w:val="left" w:pos="142"/>
          <w:tab w:val="left" w:pos="284"/>
        </w:tabs>
        <w:spacing w:line="276" w:lineRule="auto"/>
        <w:contextualSpacing/>
        <w:jc w:val="both"/>
        <w:rPr>
          <w:rFonts w:ascii="Verdana" w:eastAsia="Century Gothic" w:hAnsi="Verdana" w:cs="Century Gothic"/>
          <w:b/>
          <w:bCs/>
          <w:lang w:val="es-ES"/>
        </w:rPr>
      </w:pPr>
    </w:p>
    <w:p w14:paraId="72FC7077" w14:textId="77777777" w:rsidR="00C44BC4" w:rsidRPr="00501703" w:rsidRDefault="00C44BC4" w:rsidP="00C44BC4">
      <w:pPr>
        <w:spacing w:after="120" w:line="276" w:lineRule="auto"/>
        <w:ind w:firstLine="709"/>
        <w:jc w:val="both"/>
        <w:rPr>
          <w:rFonts w:ascii="Verdana" w:eastAsia="Calibri" w:hAnsi="Verdana" w:cs="Arial"/>
          <w:szCs w:val="24"/>
          <w:lang w:val="es-ES_tradnl" w:eastAsia="es-ES_tradnl"/>
        </w:rPr>
      </w:pPr>
      <w:r w:rsidRPr="00501703">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59738788" w14:textId="77777777" w:rsidR="00C44BC4" w:rsidRPr="00501703" w:rsidRDefault="00C44BC4" w:rsidP="00C44BC4">
      <w:pPr>
        <w:spacing w:after="0" w:line="276" w:lineRule="auto"/>
        <w:ind w:firstLine="709"/>
        <w:jc w:val="both"/>
        <w:rPr>
          <w:rFonts w:ascii="Verdana" w:eastAsia="Calibri" w:hAnsi="Verdana" w:cs="Arial"/>
          <w:lang w:val="es-ES" w:eastAsia="es-ES"/>
        </w:rPr>
      </w:pPr>
      <w:r w:rsidRPr="00501703">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0234173" w14:textId="77777777" w:rsidR="00C44BC4" w:rsidRPr="00501703" w:rsidRDefault="00C44BC4" w:rsidP="00C44BC4">
      <w:pPr>
        <w:spacing w:after="0" w:line="276" w:lineRule="auto"/>
        <w:ind w:firstLine="709"/>
        <w:jc w:val="both"/>
        <w:rPr>
          <w:rFonts w:ascii="Verdana" w:eastAsia="Calibri" w:hAnsi="Verdana" w:cs="Arial"/>
          <w:lang w:val="es-ES" w:eastAsia="es-ES"/>
        </w:rPr>
      </w:pPr>
    </w:p>
    <w:p w14:paraId="2392B8D6" w14:textId="77777777" w:rsidR="00C44BC4" w:rsidRPr="00501703" w:rsidRDefault="00C44BC4" w:rsidP="00C44BC4">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501703">
        <w:rPr>
          <w:rFonts w:ascii="Verdana" w:eastAsia="Arial" w:hAnsi="Verdana" w:cs="Arial"/>
          <w:b/>
          <w:bCs/>
          <w:lang w:val="es-ES"/>
        </w:rPr>
        <w:t>1. Problema planteado:</w:t>
      </w:r>
    </w:p>
    <w:p w14:paraId="4EC9BE56" w14:textId="77777777" w:rsidR="00C44BC4" w:rsidRPr="00501703" w:rsidRDefault="00C44BC4" w:rsidP="00C44BC4">
      <w:pPr>
        <w:tabs>
          <w:tab w:val="left" w:pos="426"/>
        </w:tabs>
        <w:spacing w:after="0" w:line="276" w:lineRule="auto"/>
        <w:jc w:val="both"/>
        <w:rPr>
          <w:rFonts w:ascii="Verdana" w:eastAsia="Century Gothic" w:hAnsi="Verdana" w:cs="Century Gothic"/>
          <w:lang w:val="es-ES"/>
        </w:rPr>
      </w:pPr>
    </w:p>
    <w:p w14:paraId="2C97C5DB" w14:textId="77777777" w:rsidR="00C44BC4" w:rsidRPr="00501703" w:rsidRDefault="00C44BC4" w:rsidP="00C44BC4">
      <w:pPr>
        <w:spacing w:after="0" w:line="276" w:lineRule="auto"/>
        <w:jc w:val="both"/>
        <w:rPr>
          <w:rFonts w:ascii="Verdana" w:eastAsia="Century Gothic" w:hAnsi="Verdana" w:cs="Century Gothic"/>
        </w:rPr>
      </w:pPr>
      <w:r w:rsidRPr="00501703">
        <w:rPr>
          <w:rFonts w:ascii="Verdana" w:eastAsia="Century Gothic" w:hAnsi="Verdana" w:cs="Century Gothic"/>
        </w:rPr>
        <w:t>De acuerdo con el contenido de su solicitud, le informamos que la misma se resolverá desde los siguientes problemas jurídicos:</w:t>
      </w:r>
      <w:bookmarkStart w:id="1" w:name="_Hlk171070029"/>
      <w:r w:rsidRPr="00501703">
        <w:rPr>
          <w:rFonts w:ascii="Verdana" w:eastAsia="Century Gothic" w:hAnsi="Verdana" w:cs="Century Gothic"/>
        </w:rPr>
        <w:t xml:space="preserve"> i) ¿qué documentos deben cargarse en el SECOP ll?, y ii) ¿cómo debe ejercerse la supervisión de los contratos estatales?</w:t>
      </w:r>
    </w:p>
    <w:p w14:paraId="558E2984" w14:textId="77777777" w:rsidR="00C44BC4" w:rsidRPr="00501703" w:rsidRDefault="00C44BC4" w:rsidP="00C44BC4">
      <w:pPr>
        <w:spacing w:after="0" w:line="276" w:lineRule="auto"/>
        <w:jc w:val="both"/>
        <w:rPr>
          <w:rFonts w:ascii="Verdana" w:eastAsia="Calibri" w:hAnsi="Verdana" w:cs="Arial"/>
          <w:lang w:val="es-ES"/>
        </w:rPr>
      </w:pPr>
    </w:p>
    <w:bookmarkEnd w:id="1"/>
    <w:p w14:paraId="49DB8751" w14:textId="77777777" w:rsidR="00C44BC4" w:rsidRPr="00501703" w:rsidRDefault="00C44BC4" w:rsidP="00C44BC4">
      <w:pPr>
        <w:widowControl w:val="0"/>
        <w:autoSpaceDE w:val="0"/>
        <w:autoSpaceDN w:val="0"/>
        <w:spacing w:before="1" w:after="0" w:line="240" w:lineRule="auto"/>
        <w:jc w:val="both"/>
        <w:outlineLvl w:val="0"/>
        <w:rPr>
          <w:rFonts w:ascii="Verdana" w:eastAsia="Arial" w:hAnsi="Verdana" w:cs="Arial"/>
          <w:b/>
          <w:bCs/>
          <w:lang w:val="es-ES"/>
        </w:rPr>
      </w:pPr>
      <w:r w:rsidRPr="00501703">
        <w:rPr>
          <w:rFonts w:ascii="Verdana" w:eastAsia="Arial" w:hAnsi="Verdana" w:cs="Arial"/>
          <w:b/>
          <w:bCs/>
          <w:lang w:val="es-ES"/>
        </w:rPr>
        <w:t>2. Respuesta:</w:t>
      </w:r>
    </w:p>
    <w:p w14:paraId="05E30A84" w14:textId="77777777" w:rsidR="00C44BC4" w:rsidRPr="00501703" w:rsidRDefault="00C44BC4" w:rsidP="00C44BC4">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44BC4" w:rsidRPr="00501703" w14:paraId="2A231624" w14:textId="77777777" w:rsidTr="004D4A56">
        <w:tc>
          <w:tcPr>
            <w:tcW w:w="8828" w:type="dxa"/>
            <w:shd w:val="clear" w:color="auto" w:fill="auto"/>
          </w:tcPr>
          <w:p w14:paraId="7217267E" w14:textId="7B7855B3" w:rsidR="00C44BC4" w:rsidRPr="004A1D83" w:rsidRDefault="00C44BC4" w:rsidP="004D4A56">
            <w:pPr>
              <w:spacing w:line="276" w:lineRule="auto"/>
              <w:jc w:val="both"/>
              <w:rPr>
                <w:rFonts w:ascii="Verdana" w:eastAsia="Calibri" w:hAnsi="Verdana" w:cs="Arial"/>
              </w:rPr>
            </w:pPr>
            <w:bookmarkStart w:id="2" w:name="_Hlk171067516"/>
            <w:r>
              <w:rPr>
                <w:rFonts w:ascii="Verdana" w:eastAsia="Calibri" w:hAnsi="Verdana" w:cs="Arial"/>
              </w:rPr>
              <w:t xml:space="preserve">i) </w:t>
            </w:r>
            <w:r w:rsidRPr="004A1D83">
              <w:rPr>
                <w:rFonts w:ascii="Verdana" w:eastAsia="Calibri" w:hAnsi="Verdana" w:cs="Arial"/>
              </w:rPr>
              <w:t xml:space="preserve">Las Entidades Estatales, conforme al artículo 2.2.1.1.1.7.1 del Decreto 1082 de 2015, tienen la obligación de publicar en el Sistema Electrónico para la Contratación Pública –SECOP– “[…] los Documentos del Proceso y los actos administrativos del Proceso de Contratación […]”. La expresión Documentos del Proceso, está definida en el artículo 2.2.1.1.1.3.1 del referido decreto,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7D2CA6FB" w14:textId="77777777" w:rsidR="00C44BC4" w:rsidRDefault="00C44BC4" w:rsidP="004A1D83">
            <w:pPr>
              <w:pStyle w:val="Prrafodelista"/>
              <w:spacing w:line="276" w:lineRule="auto"/>
              <w:ind w:left="1080"/>
              <w:jc w:val="both"/>
              <w:rPr>
                <w:rFonts w:ascii="Verdana" w:eastAsia="Calibri" w:hAnsi="Verdana" w:cs="Arial"/>
              </w:rPr>
            </w:pPr>
          </w:p>
          <w:p w14:paraId="350EEB16" w14:textId="77777777" w:rsidR="00C44BC4" w:rsidRPr="004A1D83" w:rsidRDefault="00C44BC4" w:rsidP="004D4A56">
            <w:pPr>
              <w:spacing w:line="276" w:lineRule="auto"/>
              <w:jc w:val="both"/>
              <w:rPr>
                <w:rFonts w:ascii="Verdana" w:eastAsia="Calibri" w:hAnsi="Verdana" w:cs="Arial"/>
              </w:rPr>
            </w:pPr>
            <w:r w:rsidRPr="004A1D83">
              <w:rPr>
                <w:rFonts w:ascii="Verdana" w:eastAsia="Calibri" w:hAnsi="Verdana" w:cs="Arial"/>
              </w:rPr>
              <w:t>En ese sentido, la interpretación sistemática de los preceptos del Decreto 1082 de 2015, de acuerdo con el principio de publicidad, inicialmente, indican que las Entidades Estatales tienen la obligación de publicar todos los documentos que expidan con ocasión del Proceso de Contratación, es decir que todos los documentos emitidos por la entidad durante las etapas precontractual, de ejecución y postcontractual deberán ser publicados en el SECOP ll.</w:t>
            </w:r>
          </w:p>
          <w:p w14:paraId="185D873B" w14:textId="77777777" w:rsidR="00C44BC4" w:rsidRPr="00501703" w:rsidRDefault="00C44BC4" w:rsidP="004D4A56">
            <w:pPr>
              <w:rPr>
                <w:rFonts w:ascii="Aptos" w:eastAsia="Aptos" w:hAnsi="Aptos" w:cs="Times New Roman"/>
                <w:lang w:val="es-ES"/>
              </w:rPr>
            </w:pPr>
          </w:p>
          <w:p w14:paraId="5719ACE9" w14:textId="77777777" w:rsidR="00C44BC4" w:rsidRPr="00501703" w:rsidRDefault="00C44BC4" w:rsidP="004D4A56">
            <w:pPr>
              <w:spacing w:line="276" w:lineRule="auto"/>
              <w:jc w:val="both"/>
              <w:rPr>
                <w:rFonts w:ascii="Verdana" w:eastAsia="Aptos" w:hAnsi="Verdana" w:cs="Times New Roman"/>
                <w:lang w:val="es-ES"/>
              </w:rPr>
            </w:pPr>
            <w:r w:rsidRPr="00501703">
              <w:rPr>
                <w:rFonts w:ascii="Verdana" w:eastAsia="Aptos" w:hAnsi="Verdana" w:cs="Times New Roman"/>
                <w:lang w:val="es-ES"/>
              </w:rPr>
              <w:t>ii) De manera preliminar, debe precisarse que,</w:t>
            </w:r>
            <w:bookmarkStart w:id="3" w:name="_Hlk178765786"/>
            <w:r w:rsidRPr="00501703">
              <w:rPr>
                <w:rFonts w:ascii="Verdana" w:eastAsia="Aptos" w:hAnsi="Verdana" w:cs="Times New Roman"/>
                <w:lang w:val="es-ES"/>
              </w:rPr>
              <w:t xml:space="preserve"> quien ejerza la vigilancia del contrato, ya sea mediante la supervisión o a través de la interventoría, puede hacer uso de las facultades previstas en el artículo 84 de la Ley 1474 de 2011, para efectuar el seguimiento al cumplimiento obligacional del contrato y estará sometido a los deberes y responsabilidades que implica el ejercicio de dicha actividad. Sin embargo, resulta a bien señalar, que la supervisión de los contratos estatales deberá realizarse igualmente, de acuerdo con lo señalado en el contrato y en los documentos anexos a este. </w:t>
            </w:r>
          </w:p>
          <w:p w14:paraId="0F0B559E" w14:textId="77777777" w:rsidR="00C44BC4" w:rsidRPr="00501703" w:rsidRDefault="00C44BC4" w:rsidP="004D4A56">
            <w:pPr>
              <w:spacing w:line="276" w:lineRule="auto"/>
              <w:jc w:val="both"/>
              <w:rPr>
                <w:rFonts w:ascii="Verdana" w:eastAsia="Aptos" w:hAnsi="Verdana" w:cs="Times New Roman"/>
                <w:lang w:val="es-ES"/>
              </w:rPr>
            </w:pPr>
          </w:p>
          <w:p w14:paraId="40E04240" w14:textId="77777777" w:rsidR="00C44BC4" w:rsidRPr="00501703" w:rsidRDefault="00C44BC4" w:rsidP="004D4A56">
            <w:pPr>
              <w:spacing w:line="276" w:lineRule="auto"/>
              <w:jc w:val="both"/>
              <w:rPr>
                <w:rFonts w:ascii="Verdana" w:eastAsia="Aptos" w:hAnsi="Verdana" w:cs="Times New Roman"/>
                <w:lang w:val="es-ES"/>
              </w:rPr>
            </w:pPr>
            <w:r w:rsidRPr="00501703">
              <w:rPr>
                <w:rFonts w:ascii="Verdana" w:eastAsia="Aptos" w:hAnsi="Verdana" w:cs="Times New Roman"/>
                <w:lang w:val="es-ES"/>
              </w:rPr>
              <w:t xml:space="preserve">Adicionalmente, en la “Guía para el ejercicio de las funciones de Supervisión e Interventoría de los contratos del Estado” emitida por esta Agencia, se indica que el supervisor del contrato tendrá las siguientes funciones: a) apoyar el logro de los objetivos contractuales; b) velar por el cumplimiento del contrato en términos de plazos, calidades, cantidades y adecuada ejecución de los recursos del contrato; c) mantener en contacto a las partes del contrato; d) evitar la generación de controversias y propender por su rápida solución; e) llevar a cabo las labores de monitoreo y control de riesgos que se le asignen, </w:t>
            </w:r>
            <w:r w:rsidRPr="00501703">
              <w:rPr>
                <w:rFonts w:ascii="Verdana" w:eastAsia="Aptos" w:hAnsi="Verdana" w:cs="Times New Roman"/>
                <w:lang w:val="es-ES"/>
              </w:rPr>
              <w:lastRenderedPageBreak/>
              <w:t>en coordinación con el área responsable de cada riesgo incluido en el mapa correspondiente, así como la identificación y tratamiento de los riesgos que puedan surgir durante las diversas etapas del contrato; f) aprobar o rechazar por escrito, de forma oportuna y motivada la entrega de los bienes o servicios, cuando éstos no se ajustan a lo requerido en el contrato, especificaciones técnicas, condiciones y/o calidades acordadas; g) suscribir las actas que se generen durante la ejecución del contrato para dejar documentadas diversas situaciones y entre las que se encuentran las actas de actas parciales de avance, actas parciales de recibo y actas de recibo final; h) informar a la Entidad Estatal de hechos o circunstancias que puedan constituir actos de corrupción tipificados como conductas punibles, o que pongan en riesgo el cumplimiento del contrato; así como entregar los soportes necesarios para que la Entidad Estatal desarrolle las actividades correspondientes; e i) informar a la Entidad Estatal cuando se presente incumplimiento contractual; así como entregar los soportes necesarios para que la Entidad Estatal desarrolle las actividades correspondientes.</w:t>
            </w:r>
          </w:p>
          <w:bookmarkEnd w:id="3"/>
          <w:p w14:paraId="765A5F66" w14:textId="77777777" w:rsidR="00C44BC4" w:rsidRPr="00501703" w:rsidRDefault="00C44BC4" w:rsidP="004D4A56">
            <w:pPr>
              <w:spacing w:line="276" w:lineRule="auto"/>
              <w:jc w:val="both"/>
              <w:rPr>
                <w:rFonts w:ascii="Verdana" w:eastAsia="Aptos" w:hAnsi="Verdana" w:cs="Times New Roman"/>
                <w:lang w:val="es-ES"/>
              </w:rPr>
            </w:pPr>
          </w:p>
          <w:p w14:paraId="040AB735" w14:textId="77777777" w:rsidR="00C44BC4" w:rsidRPr="00501703" w:rsidRDefault="00C44BC4" w:rsidP="004D4A56">
            <w:pPr>
              <w:spacing w:line="276" w:lineRule="auto"/>
              <w:jc w:val="both"/>
              <w:rPr>
                <w:rFonts w:ascii="Verdana" w:eastAsia="Calibri" w:hAnsi="Verdana" w:cs="Arial"/>
                <w:lang w:val="es-ES"/>
              </w:rPr>
            </w:pPr>
            <w:r w:rsidRPr="00501703">
              <w:rPr>
                <w:rFonts w:ascii="Verdana" w:eastAsia="Aptos" w:hAnsi="Verdana" w:cs="Times New Roman"/>
                <w:lang w:val="es-ES"/>
              </w:rPr>
              <w:t>Finalmente, es de menester aclarar que Colombia Compra Eficiente sólo está facultada para resolver inquietudes de carácter general y que versen sobre la interpretación de las normas que rigen el Sistema de Compras y Contratación Pública. Por lo que, no será posible que se manifieste sobre aquellas que no se encuentren dentro del marco anterior, pues hacerlo, implicaría una extralimitación de las funciones y competencias que le fueron conferidas por el legislador.</w:t>
            </w:r>
          </w:p>
        </w:tc>
      </w:tr>
      <w:bookmarkEnd w:id="2"/>
    </w:tbl>
    <w:p w14:paraId="1F152B29" w14:textId="77777777" w:rsidR="00C44BC4" w:rsidRPr="00501703" w:rsidRDefault="00C44BC4" w:rsidP="00C44BC4">
      <w:pPr>
        <w:widowControl w:val="0"/>
        <w:autoSpaceDE w:val="0"/>
        <w:autoSpaceDN w:val="0"/>
        <w:spacing w:before="1" w:after="0" w:line="240" w:lineRule="auto"/>
        <w:ind w:left="360" w:hanging="360"/>
        <w:outlineLvl w:val="0"/>
        <w:rPr>
          <w:rFonts w:ascii="Verdana" w:eastAsia="Arial" w:hAnsi="Verdana" w:cs="Arial"/>
          <w:b/>
          <w:bCs/>
          <w:lang w:val="es-ES"/>
        </w:rPr>
      </w:pPr>
    </w:p>
    <w:p w14:paraId="0A2593B2" w14:textId="77777777" w:rsidR="00C44BC4" w:rsidRPr="00501703" w:rsidRDefault="00C44BC4" w:rsidP="00C44BC4">
      <w:pPr>
        <w:widowControl w:val="0"/>
        <w:autoSpaceDE w:val="0"/>
        <w:autoSpaceDN w:val="0"/>
        <w:spacing w:before="1" w:after="0" w:line="240" w:lineRule="auto"/>
        <w:ind w:left="360" w:hanging="360"/>
        <w:outlineLvl w:val="0"/>
        <w:rPr>
          <w:rFonts w:ascii="Verdana" w:eastAsia="Arial" w:hAnsi="Verdana" w:cs="Arial"/>
          <w:b/>
          <w:bCs/>
          <w:lang w:val="es-ES"/>
        </w:rPr>
      </w:pPr>
      <w:r w:rsidRPr="00501703">
        <w:rPr>
          <w:rFonts w:ascii="Verdana" w:eastAsia="Arial" w:hAnsi="Verdana" w:cs="Arial"/>
          <w:b/>
          <w:bCs/>
          <w:lang w:val="es-ES"/>
        </w:rPr>
        <w:t>3. Razones de la respuesta</w:t>
      </w:r>
    </w:p>
    <w:p w14:paraId="5E9FD84C" w14:textId="77777777" w:rsidR="00C44BC4" w:rsidRPr="00501703" w:rsidRDefault="00C44BC4" w:rsidP="00C44BC4">
      <w:pPr>
        <w:spacing w:after="0" w:line="276" w:lineRule="auto"/>
        <w:jc w:val="both"/>
        <w:rPr>
          <w:rFonts w:ascii="Verdana" w:eastAsia="Calibri" w:hAnsi="Verdana" w:cs="Arial"/>
          <w:lang w:val="es-ES"/>
        </w:rPr>
      </w:pPr>
    </w:p>
    <w:p w14:paraId="3539C423" w14:textId="77777777" w:rsidR="00C44BC4" w:rsidRPr="00501703" w:rsidRDefault="00C44BC4" w:rsidP="00C44BC4">
      <w:pPr>
        <w:spacing w:after="0" w:line="276" w:lineRule="auto"/>
        <w:jc w:val="both"/>
        <w:rPr>
          <w:rFonts w:ascii="Verdana" w:eastAsia="Calibri" w:hAnsi="Verdana" w:cs="Arial"/>
          <w:lang w:val="es-ES"/>
        </w:rPr>
      </w:pPr>
      <w:r w:rsidRPr="00501703">
        <w:rPr>
          <w:rFonts w:ascii="Verdana" w:eastAsia="Calibri" w:hAnsi="Verdana" w:cs="Arial"/>
          <w:lang w:val="es-ES"/>
        </w:rPr>
        <w:t xml:space="preserve">Las respuestas anteriores se sustentan en las siguientes consideraciones: </w:t>
      </w:r>
    </w:p>
    <w:p w14:paraId="0426351B" w14:textId="77777777" w:rsidR="00C44BC4" w:rsidRPr="00501703" w:rsidRDefault="00C44BC4" w:rsidP="00C44BC4">
      <w:pPr>
        <w:spacing w:after="0" w:line="276" w:lineRule="auto"/>
        <w:contextualSpacing/>
        <w:jc w:val="both"/>
        <w:rPr>
          <w:rFonts w:ascii="Verdana" w:eastAsia="Calibri" w:hAnsi="Verdana" w:cs="Arial"/>
          <w:lang w:val="es-ES"/>
        </w:rPr>
      </w:pPr>
      <w:bookmarkStart w:id="4" w:name="_Hlk173311098"/>
    </w:p>
    <w:p w14:paraId="48CFFDBD" w14:textId="77777777" w:rsidR="00C44BC4" w:rsidRPr="00501703" w:rsidRDefault="00C44BC4" w:rsidP="00C44BC4">
      <w:pPr>
        <w:numPr>
          <w:ilvl w:val="0"/>
          <w:numId w:val="2"/>
        </w:numPr>
        <w:spacing w:after="0" w:line="276" w:lineRule="auto"/>
        <w:contextualSpacing/>
        <w:jc w:val="both"/>
        <w:rPr>
          <w:rFonts w:ascii="Verdana" w:eastAsia="Calibri" w:hAnsi="Verdana" w:cs="Arial"/>
          <w:lang w:val="es-ES"/>
        </w:rPr>
      </w:pPr>
      <w:r w:rsidRPr="00501703">
        <w:rPr>
          <w:rFonts w:ascii="Verdana" w:eastAsia="Calibri" w:hAnsi="Verdana" w:cs="Arial"/>
          <w:lang w:val="es-ES"/>
        </w:rPr>
        <w:t xml:space="preserve">Uno de los postulados más importantes de un Estado Social de y Democrático de Derecho es el principio de publicidad,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w:t>
      </w:r>
      <w:r w:rsidRPr="00501703">
        <w:rPr>
          <w:rFonts w:ascii="Verdana" w:eastAsia="Calibri" w:hAnsi="Verdana" w:cs="Arial"/>
          <w:lang w:val="es-ES"/>
        </w:rPr>
        <w:lastRenderedPageBreak/>
        <w:t>excepcional, pues solo procede si existe causal constitucional o legal expresa–.</w:t>
      </w:r>
      <w:r w:rsidRPr="00501703">
        <w:rPr>
          <w:rFonts w:ascii="Verdana" w:eastAsia="Calibri" w:hAnsi="Verdana" w:cs="Arial"/>
        </w:rPr>
        <w:t> </w:t>
      </w:r>
    </w:p>
    <w:p w14:paraId="6E460696" w14:textId="77777777" w:rsidR="00C44BC4" w:rsidRPr="00501703" w:rsidRDefault="00C44BC4" w:rsidP="00C44BC4">
      <w:pPr>
        <w:spacing w:after="0" w:line="276" w:lineRule="auto"/>
        <w:ind w:left="720"/>
        <w:contextualSpacing/>
        <w:jc w:val="both"/>
        <w:rPr>
          <w:rFonts w:ascii="Verdana" w:eastAsia="Calibri" w:hAnsi="Verdana" w:cs="Arial"/>
          <w:lang w:val="es-ES"/>
        </w:rPr>
      </w:pPr>
    </w:p>
    <w:p w14:paraId="0F779AE9" w14:textId="77777777" w:rsidR="00C44BC4" w:rsidRPr="00501703" w:rsidRDefault="00C44BC4" w:rsidP="00C44BC4">
      <w:pPr>
        <w:numPr>
          <w:ilvl w:val="0"/>
          <w:numId w:val="2"/>
        </w:numPr>
        <w:spacing w:after="0" w:line="276" w:lineRule="auto"/>
        <w:contextualSpacing/>
        <w:jc w:val="both"/>
        <w:rPr>
          <w:rFonts w:ascii="Verdana" w:eastAsia="Calibri" w:hAnsi="Verdana" w:cs="Arial"/>
          <w:lang w:val="es-ES"/>
        </w:rPr>
      </w:pPr>
      <w:r w:rsidRPr="00501703">
        <w:rPr>
          <w:rFonts w:ascii="Verdana" w:eastAsia="Aptos" w:hAnsi="Verdana" w:cs="Arial"/>
          <w:shd w:val="clear" w:color="auto" w:fill="FFFFFF"/>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sidRPr="00501703">
        <w:rPr>
          <w:rFonts w:ascii="Verdana" w:eastAsia="Calibri" w:hAnsi="Verdana" w:cs="Arial"/>
          <w:color w:val="000000"/>
          <w:vertAlign w:val="superscript"/>
          <w:lang w:val="es-ES_tradnl"/>
        </w:rPr>
        <w:footnoteReference w:id="1"/>
      </w:r>
      <w:r w:rsidRPr="00501703">
        <w:rPr>
          <w:rFonts w:ascii="Verdana" w:eastAsia="Aptos" w:hAnsi="Verdana" w:cs="Arial"/>
          <w:shd w:val="clear" w:color="auto" w:fill="FFFFFF"/>
        </w:rPr>
        <w:t>”</w:t>
      </w:r>
      <w:r w:rsidRPr="00501703">
        <w:rPr>
          <w:rFonts w:ascii="Verdana" w:eastAsia="Calibri" w:hAnsi="Verdana" w:cs="Arial"/>
          <w:color w:val="000000"/>
          <w:lang w:val="es-ES_tradnl"/>
        </w:rPr>
        <w:t>.</w:t>
      </w:r>
    </w:p>
    <w:p w14:paraId="7A7E9E34" w14:textId="77777777" w:rsidR="00C44BC4" w:rsidRPr="00501703" w:rsidRDefault="00C44BC4" w:rsidP="00C44BC4">
      <w:pPr>
        <w:spacing w:line="276" w:lineRule="auto"/>
        <w:ind w:left="720"/>
        <w:contextualSpacing/>
        <w:jc w:val="both"/>
        <w:rPr>
          <w:rFonts w:ascii="Verdana" w:eastAsia="Aptos" w:hAnsi="Verdana" w:cs="Arial"/>
          <w:lang w:val="es-ES_tradnl" w:eastAsia="es-MX"/>
        </w:rPr>
      </w:pPr>
    </w:p>
    <w:p w14:paraId="66882E9E" w14:textId="77777777" w:rsidR="00C44BC4" w:rsidRPr="00501703" w:rsidRDefault="00C44BC4" w:rsidP="00C44BC4">
      <w:pPr>
        <w:numPr>
          <w:ilvl w:val="0"/>
          <w:numId w:val="3"/>
        </w:numPr>
        <w:spacing w:line="276" w:lineRule="auto"/>
        <w:contextualSpacing/>
        <w:jc w:val="both"/>
        <w:textAlignment w:val="baseline"/>
        <w:rPr>
          <w:rFonts w:ascii="Verdana" w:eastAsia="Aptos" w:hAnsi="Verdana" w:cs="Arial"/>
          <w:lang w:val="es-ES_tradnl" w:eastAsia="es-MX"/>
        </w:rPr>
      </w:pPr>
      <w:r w:rsidRPr="00501703">
        <w:rPr>
          <w:rFonts w:ascii="Verdana" w:eastAsia="Aptos" w:hAnsi="Verdana" w:cs="Arial"/>
          <w:lang w:val="es-ES_tradnl" w:eastAsia="es-MX"/>
        </w:rPr>
        <w:t>En ese sentido, resulta importante resaltar que 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Documentos del Proceso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11715BD0" w14:textId="77777777" w:rsidR="00C44BC4" w:rsidRPr="00501703" w:rsidRDefault="00C44BC4" w:rsidP="00C44BC4">
      <w:pPr>
        <w:spacing w:line="276" w:lineRule="auto"/>
        <w:ind w:left="720"/>
        <w:contextualSpacing/>
        <w:jc w:val="both"/>
        <w:textAlignment w:val="baseline"/>
        <w:rPr>
          <w:rFonts w:ascii="Verdana" w:eastAsia="Aptos" w:hAnsi="Verdana" w:cs="Arial"/>
          <w:lang w:val="es-ES_tradnl" w:eastAsia="es-MX"/>
        </w:rPr>
      </w:pPr>
    </w:p>
    <w:p w14:paraId="44DBEA11" w14:textId="77777777" w:rsidR="00C44BC4" w:rsidRPr="00501703" w:rsidRDefault="00C44BC4" w:rsidP="00C44BC4">
      <w:pPr>
        <w:numPr>
          <w:ilvl w:val="0"/>
          <w:numId w:val="3"/>
        </w:numPr>
        <w:spacing w:line="276" w:lineRule="auto"/>
        <w:contextualSpacing/>
        <w:jc w:val="both"/>
        <w:textAlignment w:val="baseline"/>
        <w:rPr>
          <w:rFonts w:ascii="Verdana" w:eastAsia="Aptos" w:hAnsi="Verdana" w:cs="Arial"/>
          <w:lang w:val="es-ES_tradnl" w:eastAsia="es-MX"/>
        </w:rPr>
      </w:pPr>
      <w:r w:rsidRPr="00501703">
        <w:rPr>
          <w:rFonts w:ascii="Verdana" w:eastAsia="Aptos" w:hAnsi="Verdana" w:cs="Arial"/>
          <w:lang w:val="es-ES_tradnl" w:eastAsia="es-MX"/>
        </w:rPr>
        <w:t xml:space="preserve">En consecuencia, para identificar los documentos que deben publicarse, es necesario realizar una interpretación sistemática de las disposiciones del Decreto 1082 del 2015, comoquiera que el anterior no es un listado </w:t>
      </w:r>
      <w:r w:rsidRPr="00501703">
        <w:rPr>
          <w:rFonts w:ascii="Verdana" w:eastAsia="Aptos" w:hAnsi="Verdana" w:cs="Arial"/>
          <w:lang w:val="es-ES_tradnl" w:eastAsia="es-MX"/>
        </w:rPr>
        <w:lastRenderedPageBreak/>
        <w:t>taxativo, sino enunciativo, porque además de los documentos enlistados, el artículo 2.2.1.1.1.3.1 ibidem,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43AF6E29" w14:textId="77777777" w:rsidR="00C44BC4" w:rsidRPr="00501703" w:rsidRDefault="00C44BC4" w:rsidP="00C44BC4">
      <w:pPr>
        <w:ind w:left="720"/>
        <w:contextualSpacing/>
        <w:rPr>
          <w:rFonts w:ascii="Verdana" w:eastAsia="Aptos" w:hAnsi="Verdana" w:cs="Arial"/>
          <w:lang w:val="es-ES_tradnl" w:eastAsia="es-MX"/>
        </w:rPr>
      </w:pPr>
    </w:p>
    <w:p w14:paraId="3C21E885" w14:textId="77777777" w:rsidR="00C44BC4" w:rsidRPr="00501703" w:rsidRDefault="00C44BC4" w:rsidP="00C44BC4">
      <w:pPr>
        <w:numPr>
          <w:ilvl w:val="0"/>
          <w:numId w:val="3"/>
        </w:numPr>
        <w:spacing w:line="276" w:lineRule="auto"/>
        <w:contextualSpacing/>
        <w:jc w:val="both"/>
        <w:rPr>
          <w:rFonts w:ascii="Verdana" w:eastAsia="Aptos" w:hAnsi="Verdana" w:cs="Arial"/>
          <w:lang w:val="es-ES" w:eastAsia="es-MX"/>
        </w:rPr>
      </w:pPr>
      <w:r w:rsidRPr="504E84A0">
        <w:rPr>
          <w:rFonts w:ascii="Verdana" w:eastAsia="Aptos" w:hAnsi="Verdana" w:cs="Arial"/>
          <w:lang w:val="es-ES" w:eastAsia="es-MX"/>
        </w:rPr>
        <w:t xml:space="preserve">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 En ese sentido, </w:t>
      </w:r>
      <w:bookmarkStart w:id="5" w:name="_Hlk178832591"/>
      <w:r w:rsidRPr="504E84A0">
        <w:rPr>
          <w:rFonts w:ascii="Verdana" w:eastAsia="Aptos" w:hAnsi="Verdana" w:cs="Arial"/>
          <w:lang w:val="es-ES" w:eastAsia="es-MX"/>
        </w:rPr>
        <w:t>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postcontractual deberán ser publicados en SECOP ll.</w:t>
      </w:r>
    </w:p>
    <w:bookmarkEnd w:id="5"/>
    <w:p w14:paraId="7BE2170C" w14:textId="77777777" w:rsidR="00C44BC4" w:rsidRPr="00501703" w:rsidRDefault="00C44BC4" w:rsidP="00C44BC4">
      <w:pPr>
        <w:ind w:left="720"/>
        <w:contextualSpacing/>
        <w:rPr>
          <w:rFonts w:ascii="Verdana" w:eastAsia="Aptos" w:hAnsi="Verdana" w:cs="Arial"/>
          <w:lang w:val="es-ES_tradnl" w:eastAsia="es-MX"/>
        </w:rPr>
      </w:pPr>
    </w:p>
    <w:p w14:paraId="2B9B144F" w14:textId="77777777" w:rsidR="00C44BC4" w:rsidRPr="00501703" w:rsidRDefault="00C44BC4" w:rsidP="00C44BC4">
      <w:pPr>
        <w:numPr>
          <w:ilvl w:val="0"/>
          <w:numId w:val="3"/>
        </w:numPr>
        <w:contextualSpacing/>
        <w:jc w:val="both"/>
        <w:rPr>
          <w:rFonts w:ascii="Verdana" w:eastAsia="Aptos" w:hAnsi="Verdana" w:cs="Arial"/>
          <w:bCs/>
        </w:rPr>
      </w:pPr>
      <w:r w:rsidRPr="00501703">
        <w:rPr>
          <w:rFonts w:ascii="Verdana" w:eastAsia="Aptos" w:hAnsi="Verdana" w:cs="Arial"/>
          <w:bCs/>
        </w:rPr>
        <w:t>Ahora bien, y atendiendo al objeto de la consulta, debe señalarse que la Ley 80 de 1993 establece en sus artículos 4, 5, 12, 14 y 26, entre otros aspectos, la obligación de las Entidades Estatales de velar por el correcto y oportuno cumplimiento de las prestaciones del contrato, las 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su adecuado cumplimiento.</w:t>
      </w:r>
    </w:p>
    <w:p w14:paraId="7766D25E" w14:textId="77777777" w:rsidR="00C44BC4" w:rsidRPr="00501703" w:rsidRDefault="00C44BC4" w:rsidP="00C44BC4">
      <w:pPr>
        <w:ind w:left="720"/>
        <w:contextualSpacing/>
        <w:rPr>
          <w:rFonts w:ascii="Verdana" w:eastAsia="Aptos" w:hAnsi="Verdana" w:cs="Arial"/>
          <w:bCs/>
        </w:rPr>
      </w:pPr>
    </w:p>
    <w:p w14:paraId="3EA15EC7" w14:textId="77777777" w:rsidR="00C44BC4" w:rsidRPr="00501703" w:rsidRDefault="00C44BC4" w:rsidP="00C44BC4">
      <w:pPr>
        <w:numPr>
          <w:ilvl w:val="0"/>
          <w:numId w:val="3"/>
        </w:numPr>
        <w:spacing w:line="276" w:lineRule="auto"/>
        <w:contextualSpacing/>
        <w:jc w:val="both"/>
        <w:textAlignment w:val="baseline"/>
        <w:rPr>
          <w:rFonts w:ascii="Verdana" w:eastAsia="Aptos" w:hAnsi="Verdana" w:cs="Arial"/>
          <w:lang w:val="es-ES_tradnl" w:eastAsia="es-MX"/>
        </w:rPr>
      </w:pPr>
      <w:r w:rsidRPr="00501703">
        <w:rPr>
          <w:rFonts w:ascii="Verdana" w:eastAsia="Calibri" w:hAnsi="Verdana" w:cs="Arial"/>
          <w:shd w:val="clear" w:color="auto" w:fill="FFFFFF"/>
        </w:rPr>
        <w:t xml:space="preserve">De esta forma, </w:t>
      </w:r>
      <w:r w:rsidRPr="00501703">
        <w:rPr>
          <w:rFonts w:ascii="Verdana" w:eastAsia="Aptos" w:hAnsi="Verdana" w:cs="Arial"/>
          <w:lang w:val="es-ES_tradnl" w:eastAsia="es-MX"/>
        </w:rPr>
        <w:t xml:space="preserve">las Leyes 1150 de 2007 y 1474 de 2011, complementan el régimen jurídico de la obligación de vigilar la correcta ejecución de los contratos estatales. En dichas normas se impone el debido proceso como principio rector en materia sancionatoria contractual, entre otros, para la </w:t>
      </w:r>
      <w:r w:rsidRPr="00501703">
        <w:rPr>
          <w:rFonts w:ascii="Verdana" w:eastAsia="Aptos" w:hAnsi="Verdana" w:cs="Arial"/>
          <w:lang w:val="es-ES_tradnl" w:eastAsia="es-MX"/>
        </w:rPr>
        <w:lastRenderedPageBreak/>
        <w:t>imposición de multas y la decisión de hacer efectiva la cláusula penal, principio que se debe respetar en el ejercicio del control y vigilancia de la ejecución contractual</w:t>
      </w:r>
      <w:r w:rsidRPr="00501703">
        <w:rPr>
          <w:rFonts w:ascii="Verdana" w:eastAsia="Aptos" w:hAnsi="Verdana" w:cs="Arial"/>
          <w:vertAlign w:val="superscript"/>
          <w:lang w:val="es-ES_tradnl" w:eastAsia="es-MX"/>
        </w:rPr>
        <w:footnoteReference w:id="2"/>
      </w:r>
      <w:r w:rsidRPr="00501703">
        <w:rPr>
          <w:rFonts w:ascii="Verdana" w:eastAsia="Aptos" w:hAnsi="Verdana" w:cs="Arial"/>
          <w:lang w:val="es-ES_tradnl" w:eastAsia="es-MX"/>
        </w:rPr>
        <w:t>. También se establecen los límites de la responsabilidad del representante legal ante la delegación de sus funciones en materia contractual</w:t>
      </w:r>
      <w:r w:rsidRPr="00501703">
        <w:rPr>
          <w:rFonts w:ascii="Verdana" w:eastAsia="Aptos" w:hAnsi="Verdana" w:cs="Arial"/>
          <w:vertAlign w:val="superscript"/>
          <w:lang w:val="es-ES_tradnl" w:eastAsia="es-MX"/>
        </w:rPr>
        <w:footnoteReference w:id="3"/>
      </w:r>
      <w:r w:rsidRPr="00501703">
        <w:rPr>
          <w:rFonts w:ascii="Verdana" w:eastAsia="Aptos" w:hAnsi="Verdana" w:cs="Arial"/>
          <w:lang w:val="es-ES_tradnl" w:eastAsia="es-MX"/>
        </w:rPr>
        <w:t xml:space="preserve"> y se regula la supervisión y la interventoría de los contratos estatales</w:t>
      </w:r>
      <w:r w:rsidRPr="00501703">
        <w:rPr>
          <w:rFonts w:ascii="Verdana" w:eastAsia="Aptos" w:hAnsi="Verdana" w:cs="Arial"/>
          <w:vertAlign w:val="superscript"/>
          <w:lang w:val="es-ES_tradnl" w:eastAsia="es-MX"/>
        </w:rPr>
        <w:footnoteReference w:id="4"/>
      </w:r>
      <w:r w:rsidRPr="00501703">
        <w:rPr>
          <w:rFonts w:ascii="Verdana" w:eastAsia="Aptos" w:hAnsi="Verdana" w:cs="Arial"/>
          <w:lang w:val="es-ES_tradnl" w:eastAsia="es-MX"/>
        </w:rPr>
        <w:t>.</w:t>
      </w:r>
    </w:p>
    <w:p w14:paraId="4FBDD13B" w14:textId="77777777" w:rsidR="00C44BC4" w:rsidRPr="00501703" w:rsidRDefault="00C44BC4" w:rsidP="00C44BC4">
      <w:pPr>
        <w:ind w:left="720"/>
        <w:contextualSpacing/>
        <w:rPr>
          <w:rFonts w:ascii="Verdana" w:eastAsia="Aptos" w:hAnsi="Verdana" w:cs="Arial"/>
          <w:lang w:val="es-ES_tradnl" w:eastAsia="es-MX"/>
        </w:rPr>
      </w:pPr>
    </w:p>
    <w:p w14:paraId="4010B593" w14:textId="77777777" w:rsidR="00C44BC4" w:rsidRPr="00501703" w:rsidRDefault="00C44BC4" w:rsidP="00C44BC4">
      <w:pPr>
        <w:numPr>
          <w:ilvl w:val="0"/>
          <w:numId w:val="3"/>
        </w:numPr>
        <w:spacing w:before="120" w:after="120" w:line="276" w:lineRule="auto"/>
        <w:contextualSpacing/>
        <w:jc w:val="both"/>
        <w:textAlignment w:val="baseline"/>
        <w:rPr>
          <w:rFonts w:ascii="Verdana" w:eastAsia="Aptos" w:hAnsi="Verdana" w:cs="Arial"/>
          <w:lang w:val="es-ES_tradnl" w:eastAsia="es-MX"/>
        </w:rPr>
      </w:pPr>
      <w:r w:rsidRPr="00501703">
        <w:rPr>
          <w:rFonts w:ascii="Verdana" w:eastAsia="Calibri" w:hAnsi="Verdana" w:cs="Arial"/>
          <w:shd w:val="clear" w:color="auto" w:fill="FFFFFF"/>
        </w:rPr>
        <w:t>Así pues, se tiene que,</w:t>
      </w:r>
      <w:r w:rsidRPr="00501703">
        <w:rPr>
          <w:rFonts w:ascii="Verdana" w:eastAsia="Aptos" w:hAnsi="Verdana" w:cs="Arial"/>
          <w:lang w:val="es-ES_tradnl" w:eastAsia="es-MX"/>
        </w:rPr>
        <w:t xml:space="preserve"> la jurisprudencia contencioso-administrativa, por su parte, ha considerado que la obligación de vigilar la correcta ejecución del objeto contractual es una función de la entidad contratante, en los siguientes términos: </w:t>
      </w:r>
    </w:p>
    <w:p w14:paraId="5C12ACE1" w14:textId="77777777" w:rsidR="00C44BC4" w:rsidRPr="00501703" w:rsidRDefault="00C44BC4" w:rsidP="00C44BC4">
      <w:pPr>
        <w:spacing w:after="0"/>
        <w:ind w:left="709"/>
        <w:contextualSpacing/>
        <w:jc w:val="both"/>
        <w:rPr>
          <w:rFonts w:ascii="Verdana" w:eastAsia="Aptos" w:hAnsi="Verdana" w:cs="Arial"/>
          <w:lang w:val="es-ES_tradnl" w:eastAsia="es-MX"/>
        </w:rPr>
      </w:pPr>
    </w:p>
    <w:p w14:paraId="537F23D5" w14:textId="77777777" w:rsidR="00C44BC4" w:rsidRPr="00501703" w:rsidRDefault="00C44BC4" w:rsidP="00C44BC4">
      <w:pPr>
        <w:spacing w:after="0" w:line="240" w:lineRule="auto"/>
        <w:ind w:left="1416" w:right="709"/>
        <w:contextualSpacing/>
        <w:jc w:val="both"/>
        <w:rPr>
          <w:rFonts w:ascii="Verdana" w:eastAsia="Aptos" w:hAnsi="Verdana" w:cs="Arial"/>
          <w:sz w:val="20"/>
          <w:szCs w:val="20"/>
          <w:lang w:val="es-ES_tradnl" w:eastAsia="es-MX"/>
        </w:rPr>
      </w:pPr>
      <w:bookmarkStart w:id="6" w:name="_Hlk178671999"/>
      <w:r w:rsidRPr="00501703">
        <w:rPr>
          <w:rFonts w:ascii="Verdana" w:eastAsia="Aptos" w:hAnsi="Verdana" w:cs="Arial"/>
          <w:sz w:val="20"/>
          <w:szCs w:val="20"/>
          <w:lang w:val="es-ES_tradnl" w:eastAsia="es-MX"/>
        </w:rPr>
        <w:t>“La función de vigilancia y control del contrato estatal supone el cuidado y la supervisión, de forma tal que en ejercicio de esa función</w:t>
      </w:r>
      <w:bookmarkEnd w:id="6"/>
      <w:r w:rsidRPr="00501703">
        <w:rPr>
          <w:rFonts w:ascii="Verdana" w:eastAsia="Aptos" w:hAnsi="Verdana" w:cs="Arial"/>
          <w:sz w:val="20"/>
          <w:szCs w:val="20"/>
          <w:lang w:val="es-ES_tradnl" w:eastAsia="es-MX"/>
        </w:rPr>
        <w:t>, quien administra la adecuada y oportuna ejecución del contrato no sólo debe velar por que las partes den cumplimiento a las obligaciones contractuales, sino que el contrato se ejecute en el tiempo y la forma convenidos, para esta forma garantizar la satisfacción de las necesidades que la administración buscaba alcanzar con la celebración del respectivo contrato”</w:t>
      </w:r>
      <w:r w:rsidRPr="00501703">
        <w:rPr>
          <w:rFonts w:ascii="Verdana" w:eastAsia="Aptos" w:hAnsi="Verdana" w:cs="Arial"/>
          <w:sz w:val="20"/>
          <w:szCs w:val="20"/>
          <w:vertAlign w:val="superscript"/>
          <w:lang w:val="es-ES_tradnl" w:eastAsia="es-MX"/>
        </w:rPr>
        <w:footnoteReference w:id="5"/>
      </w:r>
      <w:r w:rsidRPr="00501703">
        <w:rPr>
          <w:rFonts w:ascii="Verdana" w:eastAsia="Aptos" w:hAnsi="Verdana" w:cs="Arial"/>
          <w:sz w:val="20"/>
          <w:szCs w:val="20"/>
          <w:lang w:val="es-ES_tradnl" w:eastAsia="es-MX"/>
        </w:rPr>
        <w:t>.</w:t>
      </w:r>
    </w:p>
    <w:p w14:paraId="4F8E7207" w14:textId="77777777" w:rsidR="00C44BC4" w:rsidRPr="00501703" w:rsidRDefault="00C44BC4" w:rsidP="00C44BC4">
      <w:pPr>
        <w:spacing w:after="0" w:line="240" w:lineRule="auto"/>
        <w:ind w:left="1416" w:right="709"/>
        <w:contextualSpacing/>
        <w:jc w:val="both"/>
        <w:rPr>
          <w:rFonts w:ascii="Verdana" w:eastAsia="Aptos" w:hAnsi="Verdana" w:cs="Arial"/>
          <w:sz w:val="20"/>
          <w:szCs w:val="20"/>
          <w:lang w:val="es-ES_tradnl" w:eastAsia="es-MX"/>
        </w:rPr>
      </w:pPr>
    </w:p>
    <w:p w14:paraId="26B9539B" w14:textId="77777777" w:rsidR="00C44BC4" w:rsidRPr="00501703" w:rsidRDefault="00C44BC4" w:rsidP="00C44BC4">
      <w:pPr>
        <w:numPr>
          <w:ilvl w:val="0"/>
          <w:numId w:val="3"/>
        </w:numPr>
        <w:spacing w:after="0" w:line="276" w:lineRule="auto"/>
        <w:contextualSpacing/>
        <w:jc w:val="both"/>
        <w:textAlignment w:val="baseline"/>
        <w:rPr>
          <w:rFonts w:ascii="Verdana" w:eastAsia="Aptos" w:hAnsi="Verdana" w:cs="Arial"/>
          <w:lang w:val="es-ES" w:eastAsia="es-MX"/>
        </w:rPr>
      </w:pPr>
      <w:r w:rsidRPr="00501703">
        <w:rPr>
          <w:rFonts w:ascii="Verdana" w:eastAsia="Calibri" w:hAnsi="Verdana" w:cs="Arial"/>
          <w:shd w:val="clear" w:color="auto" w:fill="FFFFFF"/>
        </w:rPr>
        <w:t xml:space="preserve">En ese orden, la Ley </w:t>
      </w:r>
      <w:r w:rsidRPr="00501703">
        <w:rPr>
          <w:rFonts w:ascii="Verdana" w:eastAsia="Aptos" w:hAnsi="Verdana" w:cs="Arial"/>
          <w:lang w:val="es-ES" w:eastAsia="es-MX"/>
        </w:rPr>
        <w:t xml:space="preserve">1474 de 2011 enmarcó el seguimiento, control y vigilancia de la ejecución del contrato estatal dentro del principio de moralidad administrativa. El artículo 83 de la referida ley, establece que “con el fin de proteger la moralidad administrativa, de prevenir la ocurrencia de actos de corrupción y tutelar la transparencia de la actividad contractual, las entidades públicas están obligadas a vigilar permanentemente la correcta ejecución del objeto contratado a través de un supervisor o un interventor, según corresponda”. El legislador además definió las nociones de supervisión e interventoría, como mecanismos que pueden usar las Entidades Estatales para vigilar el contrato, en estos términos: </w:t>
      </w:r>
    </w:p>
    <w:p w14:paraId="2EC92BB7" w14:textId="77777777" w:rsidR="00C44BC4" w:rsidRPr="00501703" w:rsidRDefault="00C44BC4" w:rsidP="00C44BC4">
      <w:pPr>
        <w:spacing w:after="0" w:line="276" w:lineRule="auto"/>
        <w:ind w:left="720"/>
        <w:contextualSpacing/>
        <w:jc w:val="both"/>
        <w:textAlignment w:val="baseline"/>
        <w:rPr>
          <w:rFonts w:ascii="Verdana" w:eastAsia="Aptos" w:hAnsi="Verdana" w:cs="Arial"/>
          <w:lang w:val="es-ES_tradnl" w:eastAsia="es-MX"/>
        </w:rPr>
      </w:pPr>
    </w:p>
    <w:p w14:paraId="769ECD1D" w14:textId="77777777" w:rsidR="00C44BC4" w:rsidRPr="00501703" w:rsidRDefault="00C44BC4" w:rsidP="00C44BC4">
      <w:pPr>
        <w:spacing w:after="0" w:line="240" w:lineRule="auto"/>
        <w:ind w:left="1417" w:right="709"/>
        <w:jc w:val="both"/>
        <w:textAlignment w:val="baseline"/>
        <w:rPr>
          <w:rFonts w:ascii="Verdana" w:eastAsia="Aptos" w:hAnsi="Verdana" w:cs="Arial"/>
          <w:sz w:val="20"/>
          <w:szCs w:val="20"/>
          <w:lang w:val="es-ES" w:eastAsia="es-MX"/>
        </w:rPr>
      </w:pPr>
      <w:r w:rsidRPr="00501703">
        <w:rPr>
          <w:rFonts w:ascii="Verdana" w:eastAsia="Aptos" w:hAnsi="Verdana" w:cs="Arial"/>
          <w:sz w:val="20"/>
          <w:szCs w:val="20"/>
          <w:lang w:val="es-ES" w:eastAsia="es-MX"/>
        </w:rPr>
        <w:lastRenderedPageBreak/>
        <w:t>“La supervisión consistirá en el seguimiento técnico, administrativo, financiero, contable, y jurídico que sobre el cumplimiento del objeto del contrato, es ejercida por la misma entidad estatal cuando no requieran conocimientos especializadas. Para la supervisión, la entidad estatal podrá contratar personal de apoyo, a través de los contratos de prestación de servicio que sean requeridos.</w:t>
      </w:r>
    </w:p>
    <w:p w14:paraId="452FD63C" w14:textId="77777777" w:rsidR="00C44BC4" w:rsidRPr="00501703" w:rsidRDefault="00C44BC4" w:rsidP="00C44BC4">
      <w:pPr>
        <w:spacing w:after="0" w:line="240" w:lineRule="auto"/>
        <w:ind w:left="1418" w:right="709"/>
        <w:jc w:val="both"/>
        <w:textAlignment w:val="baseline"/>
        <w:rPr>
          <w:rFonts w:ascii="Verdana" w:eastAsia="Aptos" w:hAnsi="Verdana" w:cs="Arial"/>
          <w:sz w:val="20"/>
          <w:szCs w:val="20"/>
          <w:lang w:val="es-ES" w:eastAsia="es-MX"/>
        </w:rPr>
      </w:pPr>
      <w:r w:rsidRPr="00501703">
        <w:rPr>
          <w:rFonts w:ascii="Verdana" w:eastAsia="Aptos" w:hAnsi="Verdana" w:cs="Arial"/>
          <w:sz w:val="20"/>
          <w:szCs w:val="20"/>
          <w:lang w:val="es-ES" w:eastAsia="es-MX"/>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r w:rsidRPr="00501703">
        <w:rPr>
          <w:rFonts w:ascii="Verdana" w:eastAsia="Aptos" w:hAnsi="Verdana" w:cs="Arial"/>
          <w:sz w:val="20"/>
          <w:szCs w:val="20"/>
          <w:vertAlign w:val="superscript"/>
          <w:lang w:val="es-ES" w:eastAsia="es-MX"/>
        </w:rPr>
        <w:footnoteReference w:id="6"/>
      </w:r>
      <w:r w:rsidRPr="00501703">
        <w:rPr>
          <w:rFonts w:ascii="Verdana" w:eastAsia="Aptos" w:hAnsi="Verdana" w:cs="Arial"/>
          <w:sz w:val="20"/>
          <w:szCs w:val="20"/>
          <w:lang w:val="es-ES" w:eastAsia="es-MX"/>
        </w:rPr>
        <w:t>.</w:t>
      </w:r>
    </w:p>
    <w:p w14:paraId="573A89A5" w14:textId="77777777" w:rsidR="00C44BC4" w:rsidRPr="00501703" w:rsidRDefault="00C44BC4" w:rsidP="00C44BC4">
      <w:pPr>
        <w:spacing w:after="0" w:line="276" w:lineRule="auto"/>
        <w:ind w:left="720"/>
        <w:contextualSpacing/>
        <w:jc w:val="both"/>
        <w:textAlignment w:val="baseline"/>
        <w:rPr>
          <w:rFonts w:ascii="Verdana" w:eastAsia="Aptos" w:hAnsi="Verdana" w:cs="Arial"/>
          <w:lang w:val="es-ES" w:eastAsia="es-MX"/>
        </w:rPr>
      </w:pPr>
    </w:p>
    <w:p w14:paraId="7BBF7493" w14:textId="77777777" w:rsidR="00C44BC4" w:rsidRPr="00501703" w:rsidRDefault="00C44BC4" w:rsidP="00C44BC4">
      <w:pPr>
        <w:numPr>
          <w:ilvl w:val="0"/>
          <w:numId w:val="3"/>
        </w:numPr>
        <w:tabs>
          <w:tab w:val="left" w:pos="709"/>
        </w:tabs>
        <w:spacing w:before="120" w:after="120" w:line="276" w:lineRule="auto"/>
        <w:contextualSpacing/>
        <w:jc w:val="both"/>
        <w:rPr>
          <w:rFonts w:ascii="Verdana" w:eastAsia="Calibri" w:hAnsi="Verdana" w:cs="Arial"/>
          <w:shd w:val="clear" w:color="auto" w:fill="FFFFFF"/>
        </w:rPr>
      </w:pPr>
      <w:r w:rsidRPr="00501703">
        <w:rPr>
          <w:rFonts w:ascii="Verdana" w:eastAsia="Aptos" w:hAnsi="Verdana" w:cs="Arial"/>
          <w:bCs/>
        </w:rPr>
        <w:t>Sin perjuicio de lo anterior, según lo expresado por esta Agencia en el concepto No. 4201913000008240 del 20 de diciembre de 2019, de las disposiciones contenidas en los artículos 83 y 84 de la Ley 1474 de 2011, se infieren las siguientes características de la supervisión: i) la labor de supervisión siempre existirá en relación con cualquier contrato estatal, incluidos los contratos de prestación de servicios –a diferencia de la interventoría que depende del análisis de su necesidad y extensión</w:t>
      </w:r>
      <w:r w:rsidRPr="00501703">
        <w:rPr>
          <w:rFonts w:ascii="Verdana" w:eastAsia="Aptos" w:hAnsi="Verdana" w:cs="Arial"/>
          <w:bCs/>
          <w:vertAlign w:val="superscript"/>
        </w:rPr>
        <w:footnoteReference w:id="7"/>
      </w:r>
      <w:r w:rsidRPr="00501703">
        <w:rPr>
          <w:rFonts w:ascii="Verdana" w:eastAsia="Aptos" w:hAnsi="Verdana" w:cs="Arial"/>
          <w:bCs/>
        </w:rPr>
        <w:t xml:space="preserve">–; ii) no requiere conocimientos tan especializados como la interventoría; iii) se ejerce por la Entidad Estatal por conducto de la designación de servidores públicos idóneos para cumplir la función; iv) puede recibir apoyo de personal contratado para tal fin mediante contratos de prestación de servicios; y v) le es inseparable el seguimiento técnico, administrativo, financiero, contable y jurídico del contrato vigilado. </w:t>
      </w:r>
    </w:p>
    <w:p w14:paraId="7AE83258" w14:textId="77777777" w:rsidR="00C44BC4" w:rsidRPr="00501703" w:rsidRDefault="00C44BC4" w:rsidP="00C44BC4">
      <w:pPr>
        <w:tabs>
          <w:tab w:val="left" w:pos="709"/>
        </w:tabs>
        <w:spacing w:before="120" w:after="120" w:line="276" w:lineRule="auto"/>
        <w:ind w:left="720"/>
        <w:contextualSpacing/>
        <w:jc w:val="both"/>
        <w:rPr>
          <w:rFonts w:ascii="Verdana" w:eastAsia="Calibri" w:hAnsi="Verdana" w:cs="Arial"/>
          <w:shd w:val="clear" w:color="auto" w:fill="FFFFFF"/>
        </w:rPr>
      </w:pPr>
    </w:p>
    <w:p w14:paraId="38E05F6B" w14:textId="77777777" w:rsidR="00C44BC4" w:rsidRPr="00501703" w:rsidRDefault="00C44BC4" w:rsidP="00C44BC4">
      <w:pPr>
        <w:numPr>
          <w:ilvl w:val="0"/>
          <w:numId w:val="3"/>
        </w:numPr>
        <w:tabs>
          <w:tab w:val="left" w:pos="709"/>
        </w:tabs>
        <w:spacing w:before="120" w:after="120" w:line="276" w:lineRule="auto"/>
        <w:contextualSpacing/>
        <w:jc w:val="both"/>
        <w:rPr>
          <w:rFonts w:ascii="Verdana" w:eastAsia="Calibri" w:hAnsi="Verdana" w:cs="Arial"/>
          <w:shd w:val="clear" w:color="auto" w:fill="FFFFFF"/>
        </w:rPr>
      </w:pPr>
      <w:r w:rsidRPr="00501703">
        <w:rPr>
          <w:rFonts w:ascii="Verdana" w:eastAsia="Calibri" w:hAnsi="Verdana" w:cs="Arial"/>
          <w:shd w:val="clear" w:color="auto" w:fill="FFFFFF"/>
        </w:rPr>
        <w:t xml:space="preserve">Por otro lado, es preciso indicar que quien ejerza la vigilancia del contrato, ya sea mediante la supervisión o mediante la interventoría, puede hacer uso de las facultades previstas en el artículo 84 de la Ley 1474 de 2011, para efectuar el seguimiento al cumplimiento obligacional del contrato y estará sometido a los deberes y responsabilidades que implica el ejercicio de dicha actividad. Sin embargo, resulta a bien señalar, que la supervisión </w:t>
      </w:r>
      <w:r w:rsidRPr="00501703">
        <w:rPr>
          <w:rFonts w:ascii="Verdana" w:eastAsia="Calibri" w:hAnsi="Verdana" w:cs="Arial"/>
          <w:shd w:val="clear" w:color="auto" w:fill="FFFFFF"/>
        </w:rPr>
        <w:lastRenderedPageBreak/>
        <w:t xml:space="preserve">de los contratos estatales deberá realizarse igualmente, de acuerdo con lo señalado en el contrato y en los documentos anexos a este. </w:t>
      </w:r>
    </w:p>
    <w:p w14:paraId="12B952AE" w14:textId="77777777" w:rsidR="00C44BC4" w:rsidRPr="00501703" w:rsidRDefault="00C44BC4" w:rsidP="00C44BC4">
      <w:pPr>
        <w:tabs>
          <w:tab w:val="left" w:pos="709"/>
        </w:tabs>
        <w:spacing w:before="120" w:after="120" w:line="276" w:lineRule="auto"/>
        <w:ind w:left="720"/>
        <w:contextualSpacing/>
        <w:jc w:val="both"/>
        <w:rPr>
          <w:rFonts w:ascii="Verdana" w:eastAsia="Calibri" w:hAnsi="Verdana" w:cs="Arial"/>
          <w:shd w:val="clear" w:color="auto" w:fill="FFFFFF"/>
        </w:rPr>
      </w:pPr>
    </w:p>
    <w:p w14:paraId="6AA5A9A3" w14:textId="77777777" w:rsidR="00C44BC4" w:rsidRPr="00501703" w:rsidRDefault="00C44BC4" w:rsidP="00C44BC4">
      <w:pPr>
        <w:numPr>
          <w:ilvl w:val="0"/>
          <w:numId w:val="3"/>
        </w:numPr>
        <w:tabs>
          <w:tab w:val="left" w:pos="709"/>
        </w:tabs>
        <w:spacing w:before="120" w:after="120" w:line="276" w:lineRule="auto"/>
        <w:contextualSpacing/>
        <w:jc w:val="both"/>
        <w:rPr>
          <w:rFonts w:ascii="Verdana" w:eastAsia="Calibri" w:hAnsi="Verdana" w:cs="Arial"/>
          <w:shd w:val="clear" w:color="auto" w:fill="FFFFFF"/>
        </w:rPr>
      </w:pPr>
      <w:r w:rsidRPr="00501703">
        <w:rPr>
          <w:rFonts w:ascii="Verdana" w:eastAsia="Calibri" w:hAnsi="Verdana" w:cs="Arial"/>
          <w:shd w:val="clear" w:color="auto" w:fill="FFFFFF"/>
        </w:rPr>
        <w:t xml:space="preserve">Adicionalmente, en la “Guía para el ejercicio de las funciones de Supervisión e Interventoría de los contratos del Estado” emitida por esta Agencia, se indica que el supervisor del contrato tendrá las siguientes funciones: </w:t>
      </w:r>
    </w:p>
    <w:p w14:paraId="7069B68B" w14:textId="77777777" w:rsidR="00C44BC4" w:rsidRPr="00501703" w:rsidRDefault="00C44BC4" w:rsidP="00C44BC4">
      <w:pPr>
        <w:ind w:left="720"/>
        <w:contextualSpacing/>
        <w:rPr>
          <w:rFonts w:ascii="Verdana" w:eastAsia="Calibri" w:hAnsi="Verdana" w:cs="Arial"/>
          <w:shd w:val="clear" w:color="auto" w:fill="FFFFFF"/>
        </w:rPr>
      </w:pPr>
    </w:p>
    <w:p w14:paraId="228CD4A7" w14:textId="77777777" w:rsidR="00C44BC4" w:rsidRPr="00501703" w:rsidRDefault="00C44BC4" w:rsidP="00C44BC4">
      <w:pPr>
        <w:numPr>
          <w:ilvl w:val="1"/>
          <w:numId w:val="3"/>
        </w:numPr>
        <w:tabs>
          <w:tab w:val="left" w:pos="709"/>
        </w:tabs>
        <w:spacing w:before="120" w:after="120" w:line="240" w:lineRule="auto"/>
        <w:contextualSpacing/>
        <w:jc w:val="both"/>
        <w:rPr>
          <w:rFonts w:ascii="Verdana" w:eastAsia="Calibri" w:hAnsi="Verdana" w:cs="Arial"/>
          <w:sz w:val="20"/>
          <w:szCs w:val="20"/>
          <w:shd w:val="clear" w:color="auto" w:fill="FFFFFF"/>
        </w:rPr>
      </w:pPr>
      <w:r w:rsidRPr="00501703">
        <w:rPr>
          <w:rFonts w:ascii="Verdana" w:eastAsia="Calibri" w:hAnsi="Verdana" w:cs="Arial"/>
          <w:sz w:val="20"/>
          <w:szCs w:val="20"/>
          <w:shd w:val="clear" w:color="auto" w:fill="FFFFFF"/>
        </w:rPr>
        <w:t xml:space="preserve">Apoyar el logro de los objetivos contractuales, </w:t>
      </w:r>
    </w:p>
    <w:p w14:paraId="0FC6E2B6" w14:textId="77777777" w:rsidR="00C44BC4" w:rsidRPr="00501703" w:rsidRDefault="00C44BC4" w:rsidP="00C44BC4">
      <w:pPr>
        <w:numPr>
          <w:ilvl w:val="1"/>
          <w:numId w:val="3"/>
        </w:numPr>
        <w:tabs>
          <w:tab w:val="left" w:pos="709"/>
        </w:tabs>
        <w:spacing w:before="120" w:after="120" w:line="240" w:lineRule="auto"/>
        <w:contextualSpacing/>
        <w:jc w:val="both"/>
        <w:rPr>
          <w:rFonts w:ascii="Verdana" w:eastAsia="Calibri" w:hAnsi="Verdana" w:cs="Arial"/>
          <w:sz w:val="20"/>
          <w:szCs w:val="20"/>
          <w:shd w:val="clear" w:color="auto" w:fill="FFFFFF"/>
        </w:rPr>
      </w:pPr>
      <w:r w:rsidRPr="00501703">
        <w:rPr>
          <w:rFonts w:ascii="Verdana" w:eastAsia="Calibri" w:hAnsi="Verdana" w:cs="Arial"/>
          <w:sz w:val="20"/>
          <w:szCs w:val="20"/>
          <w:shd w:val="clear" w:color="auto" w:fill="FFFFFF"/>
        </w:rPr>
        <w:t xml:space="preserve">Velar por el cumplimiento del contrato en términos de plazos, calidades, cantidades y adecuada ejecución de los recursos del contrato, </w:t>
      </w:r>
    </w:p>
    <w:p w14:paraId="5BF42400" w14:textId="77777777" w:rsidR="00C44BC4" w:rsidRPr="00501703" w:rsidRDefault="00C44BC4" w:rsidP="00C44BC4">
      <w:pPr>
        <w:numPr>
          <w:ilvl w:val="1"/>
          <w:numId w:val="3"/>
        </w:numPr>
        <w:tabs>
          <w:tab w:val="left" w:pos="709"/>
        </w:tabs>
        <w:spacing w:before="120" w:after="120" w:line="240" w:lineRule="auto"/>
        <w:contextualSpacing/>
        <w:jc w:val="both"/>
        <w:rPr>
          <w:rFonts w:ascii="Verdana" w:eastAsia="Calibri" w:hAnsi="Verdana" w:cs="Arial"/>
          <w:sz w:val="20"/>
          <w:szCs w:val="20"/>
          <w:shd w:val="clear" w:color="auto" w:fill="FFFFFF"/>
        </w:rPr>
      </w:pPr>
      <w:r w:rsidRPr="00501703">
        <w:rPr>
          <w:rFonts w:ascii="Verdana" w:eastAsia="Calibri" w:hAnsi="Verdana" w:cs="Arial"/>
          <w:sz w:val="20"/>
          <w:szCs w:val="20"/>
          <w:shd w:val="clear" w:color="auto" w:fill="FFFFFF"/>
        </w:rPr>
        <w:t xml:space="preserve">Mantener en contacto a las partes del contrato, </w:t>
      </w:r>
    </w:p>
    <w:p w14:paraId="40160392" w14:textId="77777777" w:rsidR="00C44BC4" w:rsidRPr="00501703" w:rsidRDefault="00C44BC4" w:rsidP="00C44BC4">
      <w:pPr>
        <w:numPr>
          <w:ilvl w:val="1"/>
          <w:numId w:val="3"/>
        </w:numPr>
        <w:tabs>
          <w:tab w:val="left" w:pos="709"/>
        </w:tabs>
        <w:spacing w:before="120" w:after="120" w:line="240" w:lineRule="auto"/>
        <w:contextualSpacing/>
        <w:jc w:val="both"/>
        <w:rPr>
          <w:rFonts w:ascii="Verdana" w:eastAsia="Calibri" w:hAnsi="Verdana" w:cs="Arial"/>
          <w:sz w:val="20"/>
          <w:szCs w:val="20"/>
          <w:shd w:val="clear" w:color="auto" w:fill="FFFFFF"/>
        </w:rPr>
      </w:pPr>
      <w:r w:rsidRPr="00501703">
        <w:rPr>
          <w:rFonts w:ascii="Verdana" w:eastAsia="Calibri" w:hAnsi="Verdana" w:cs="Arial"/>
          <w:sz w:val="20"/>
          <w:szCs w:val="20"/>
          <w:shd w:val="clear" w:color="auto" w:fill="FFFFFF"/>
        </w:rPr>
        <w:t xml:space="preserve">Evitar la generación de controversias y propender por su rápida solución, </w:t>
      </w:r>
    </w:p>
    <w:p w14:paraId="2793BD46" w14:textId="77777777" w:rsidR="00C44BC4" w:rsidRPr="00501703" w:rsidRDefault="00C44BC4" w:rsidP="00C44BC4">
      <w:pPr>
        <w:numPr>
          <w:ilvl w:val="1"/>
          <w:numId w:val="3"/>
        </w:numPr>
        <w:tabs>
          <w:tab w:val="left" w:pos="709"/>
        </w:tabs>
        <w:spacing w:before="120" w:after="120" w:line="240" w:lineRule="auto"/>
        <w:contextualSpacing/>
        <w:jc w:val="both"/>
        <w:rPr>
          <w:rFonts w:ascii="Verdana" w:eastAsia="Calibri" w:hAnsi="Verdana" w:cs="Arial"/>
          <w:sz w:val="20"/>
          <w:szCs w:val="20"/>
          <w:shd w:val="clear" w:color="auto" w:fill="FFFFFF"/>
        </w:rPr>
      </w:pPr>
      <w:r w:rsidRPr="00501703">
        <w:rPr>
          <w:rFonts w:ascii="Verdana" w:eastAsia="Calibri" w:hAnsi="Verdana" w:cs="Arial"/>
          <w:sz w:val="20"/>
          <w:szCs w:val="20"/>
          <w:shd w:val="clear" w:color="auto" w:fill="FFFFFF"/>
        </w:rPr>
        <w:t xml:space="preserve">Llevar a cabo las labores de monitoreo y control de riesgos que se le asignen, en coordinación con el área responsable de cada riesgo incluido en el mapa correspondiente, así como la identificación y tratamiento de los riesgos que puedan surgir durante las diversas etapas del contrato, </w:t>
      </w:r>
    </w:p>
    <w:p w14:paraId="69D0F9F9" w14:textId="77777777" w:rsidR="00C44BC4" w:rsidRPr="00501703" w:rsidRDefault="00C44BC4" w:rsidP="00C44BC4">
      <w:pPr>
        <w:numPr>
          <w:ilvl w:val="1"/>
          <w:numId w:val="3"/>
        </w:numPr>
        <w:tabs>
          <w:tab w:val="left" w:pos="709"/>
        </w:tabs>
        <w:spacing w:before="120" w:after="120" w:line="240" w:lineRule="auto"/>
        <w:contextualSpacing/>
        <w:jc w:val="both"/>
        <w:rPr>
          <w:rFonts w:ascii="Verdana" w:eastAsia="Calibri" w:hAnsi="Verdana" w:cs="Arial"/>
          <w:sz w:val="20"/>
          <w:szCs w:val="20"/>
          <w:shd w:val="clear" w:color="auto" w:fill="FFFFFF"/>
        </w:rPr>
      </w:pPr>
      <w:r w:rsidRPr="00501703">
        <w:rPr>
          <w:rFonts w:ascii="Verdana" w:eastAsia="Calibri" w:hAnsi="Verdana" w:cs="Arial"/>
          <w:sz w:val="20"/>
          <w:szCs w:val="20"/>
          <w:shd w:val="clear" w:color="auto" w:fill="FFFFFF"/>
        </w:rPr>
        <w:t>Probar o rechazar por escrito, de forma oportuna y motivada la entrega de los bienes o servicios, cuando éstos no se ajustan a lo requerido en el contrato, especificaciones técnicas, condiciones y/o calidades acordadas,</w:t>
      </w:r>
    </w:p>
    <w:p w14:paraId="1112B39B" w14:textId="77777777" w:rsidR="00C44BC4" w:rsidRPr="00501703" w:rsidRDefault="00C44BC4" w:rsidP="00C44BC4">
      <w:pPr>
        <w:numPr>
          <w:ilvl w:val="1"/>
          <w:numId w:val="3"/>
        </w:numPr>
        <w:tabs>
          <w:tab w:val="left" w:pos="709"/>
        </w:tabs>
        <w:spacing w:before="120" w:after="120" w:line="240" w:lineRule="auto"/>
        <w:contextualSpacing/>
        <w:jc w:val="both"/>
        <w:rPr>
          <w:rFonts w:ascii="Verdana" w:eastAsia="Calibri" w:hAnsi="Verdana" w:cs="Arial"/>
          <w:sz w:val="20"/>
          <w:szCs w:val="20"/>
          <w:shd w:val="clear" w:color="auto" w:fill="FFFFFF"/>
        </w:rPr>
      </w:pPr>
      <w:r w:rsidRPr="00501703">
        <w:rPr>
          <w:rFonts w:ascii="Verdana" w:eastAsia="Calibri" w:hAnsi="Verdana" w:cs="Arial"/>
          <w:sz w:val="20"/>
          <w:szCs w:val="20"/>
          <w:shd w:val="clear" w:color="auto" w:fill="FFFFFF"/>
        </w:rPr>
        <w:t>Suscribir las actas que se generen durante la ejecución del contrato para dejar documentadas diversas situaciones y entre las que se encuentran las actas de actas parciales de avance, actas parciales de recibo y actas de recibo final,</w:t>
      </w:r>
    </w:p>
    <w:p w14:paraId="1580F53D" w14:textId="77777777" w:rsidR="00C44BC4" w:rsidRPr="00501703" w:rsidRDefault="00C44BC4" w:rsidP="00C44BC4">
      <w:pPr>
        <w:numPr>
          <w:ilvl w:val="1"/>
          <w:numId w:val="3"/>
        </w:numPr>
        <w:tabs>
          <w:tab w:val="left" w:pos="709"/>
        </w:tabs>
        <w:spacing w:before="120" w:after="120" w:line="240" w:lineRule="auto"/>
        <w:contextualSpacing/>
        <w:jc w:val="both"/>
        <w:rPr>
          <w:rFonts w:ascii="Verdana" w:eastAsia="Calibri" w:hAnsi="Verdana" w:cs="Arial"/>
          <w:sz w:val="20"/>
          <w:szCs w:val="20"/>
          <w:shd w:val="clear" w:color="auto" w:fill="FFFFFF"/>
        </w:rPr>
      </w:pPr>
      <w:r w:rsidRPr="00501703">
        <w:rPr>
          <w:rFonts w:ascii="Verdana" w:eastAsia="Calibri" w:hAnsi="Verdana" w:cs="Arial"/>
          <w:sz w:val="20"/>
          <w:szCs w:val="20"/>
          <w:shd w:val="clear" w:color="auto" w:fill="FFFFFF"/>
        </w:rPr>
        <w:t>Informar a la Entidad Estatal de hechos o circunstancias que puedan constituir actos de corrupción tipificados como conductas punibles, o que pongan en riesgo el cumplimiento del contrato; así como entregar los soportes necesarios para que la Entidad Estatal desarrolle las actividades correspondientes, e,</w:t>
      </w:r>
    </w:p>
    <w:p w14:paraId="0F4CD3EB" w14:textId="77777777" w:rsidR="00C44BC4" w:rsidRPr="00501703" w:rsidRDefault="00C44BC4" w:rsidP="00C44BC4">
      <w:pPr>
        <w:numPr>
          <w:ilvl w:val="1"/>
          <w:numId w:val="3"/>
        </w:numPr>
        <w:tabs>
          <w:tab w:val="left" w:pos="709"/>
        </w:tabs>
        <w:spacing w:before="120" w:after="120" w:line="240" w:lineRule="auto"/>
        <w:contextualSpacing/>
        <w:jc w:val="both"/>
        <w:rPr>
          <w:rFonts w:ascii="Verdana" w:eastAsia="Calibri" w:hAnsi="Verdana" w:cs="Arial"/>
          <w:sz w:val="20"/>
          <w:szCs w:val="20"/>
          <w:shd w:val="clear" w:color="auto" w:fill="FFFFFF"/>
        </w:rPr>
      </w:pPr>
      <w:r w:rsidRPr="00501703">
        <w:rPr>
          <w:rFonts w:ascii="Verdana" w:eastAsia="Calibri" w:hAnsi="Verdana" w:cs="Arial"/>
          <w:sz w:val="20"/>
          <w:szCs w:val="20"/>
          <w:shd w:val="clear" w:color="auto" w:fill="FFFFFF"/>
        </w:rPr>
        <w:t>Informar a la Entidad Estatal cuando se presente incumplimiento contractual; así como entregar los soportes necesarios para que la Entidad Estatal desarrolle las actividades correspondientes.</w:t>
      </w:r>
    </w:p>
    <w:p w14:paraId="116A9F0A" w14:textId="77777777" w:rsidR="00C44BC4" w:rsidRPr="00501703" w:rsidRDefault="00C44BC4" w:rsidP="00C44BC4">
      <w:pPr>
        <w:ind w:left="720"/>
        <w:contextualSpacing/>
        <w:rPr>
          <w:rFonts w:ascii="Verdana" w:eastAsia="Calibri" w:hAnsi="Verdana" w:cs="Arial"/>
          <w:shd w:val="clear" w:color="auto" w:fill="FFFFFF"/>
        </w:rPr>
      </w:pPr>
    </w:p>
    <w:p w14:paraId="4263ECBE" w14:textId="77777777" w:rsidR="00C44BC4" w:rsidRPr="00501703" w:rsidRDefault="00C44BC4" w:rsidP="00C44BC4">
      <w:pPr>
        <w:numPr>
          <w:ilvl w:val="0"/>
          <w:numId w:val="4"/>
        </w:numPr>
        <w:contextualSpacing/>
        <w:jc w:val="both"/>
        <w:rPr>
          <w:rFonts w:ascii="Verdana" w:eastAsia="Calibri" w:hAnsi="Verdana" w:cs="Arial"/>
          <w:shd w:val="clear" w:color="auto" w:fill="FFFFFF"/>
        </w:rPr>
      </w:pPr>
      <w:r w:rsidRPr="00501703">
        <w:rPr>
          <w:rFonts w:ascii="Verdana" w:eastAsia="Calibri" w:hAnsi="Verdana" w:cs="Arial"/>
          <w:shd w:val="clear" w:color="auto" w:fill="FFFFFF"/>
        </w:rPr>
        <w:t xml:space="preserve">La “Guía para el ejercicio de las funciones de Supervisión e Interventoría de los contratos del Estado”, es una herramienta pedagógica en la que se imparten lineamientos de buenas prácticas para el ejercicio de la supervisión e interventoría de los contratos estatales. Este documento se encuentra disponible par su consulta en el siguiente enlace: </w:t>
      </w:r>
    </w:p>
    <w:p w14:paraId="0E7E1203" w14:textId="77777777" w:rsidR="00C44BC4" w:rsidRPr="00501703" w:rsidRDefault="00C65001" w:rsidP="00C44BC4">
      <w:pPr>
        <w:spacing w:after="0" w:line="276" w:lineRule="auto"/>
        <w:ind w:left="720"/>
        <w:contextualSpacing/>
        <w:jc w:val="both"/>
        <w:rPr>
          <w:rFonts w:ascii="Verdana" w:eastAsia="Calibri" w:hAnsi="Verdana" w:cs="Arial"/>
          <w:color w:val="000000"/>
          <w:lang w:val="es-ES_tradnl"/>
        </w:rPr>
      </w:pPr>
      <w:hyperlink r:id="rId12" w:history="1">
        <w:r w:rsidR="00C44BC4" w:rsidRPr="00501703">
          <w:rPr>
            <w:rFonts w:ascii="Verdana" w:eastAsia="Times New Roman" w:hAnsi="Verdana" w:cs="Arial"/>
            <w:color w:val="467886"/>
            <w:szCs w:val="24"/>
            <w:u w:val="single"/>
            <w:lang w:val="es-ES_tradnl" w:eastAsia="es-ES_tradnl"/>
          </w:rPr>
          <w:t>https://www.colombiacompra.gov.co/sites/cce_public/files/cce_documents/cce_guia_para_el_ejercicio_de_las_funciones_de_supervision_e_interventoria_de_los_contratos_del_estado.pdf</w:t>
        </w:r>
      </w:hyperlink>
      <w:r w:rsidR="00C44BC4" w:rsidRPr="00501703">
        <w:rPr>
          <w:rFonts w:ascii="Verdana" w:eastAsia="Times New Roman" w:hAnsi="Verdana" w:cs="Arial"/>
          <w:color w:val="000000"/>
          <w:szCs w:val="24"/>
          <w:lang w:val="es-ES_tradnl" w:eastAsia="es-ES_tradnl"/>
        </w:rPr>
        <w:t xml:space="preserve"> </w:t>
      </w:r>
    </w:p>
    <w:p w14:paraId="1585C087" w14:textId="77777777" w:rsidR="00C44BC4" w:rsidRPr="00501703" w:rsidRDefault="00C44BC4" w:rsidP="00C44BC4">
      <w:pPr>
        <w:spacing w:after="0" w:line="276" w:lineRule="auto"/>
        <w:ind w:firstLine="709"/>
        <w:contextualSpacing/>
        <w:jc w:val="both"/>
        <w:rPr>
          <w:rFonts w:ascii="Verdana" w:eastAsia="Calibri" w:hAnsi="Verdana" w:cs="Arial"/>
          <w:lang w:val="es-ES_tradnl" w:eastAsia="es-ES_tradnl"/>
        </w:rPr>
      </w:pPr>
    </w:p>
    <w:p w14:paraId="4737C0CD" w14:textId="77777777" w:rsidR="00C44BC4" w:rsidRPr="00501703" w:rsidRDefault="00C44BC4" w:rsidP="00C44BC4">
      <w:pPr>
        <w:numPr>
          <w:ilvl w:val="0"/>
          <w:numId w:val="3"/>
        </w:numPr>
        <w:spacing w:after="0" w:line="276" w:lineRule="auto"/>
        <w:contextualSpacing/>
        <w:jc w:val="both"/>
        <w:rPr>
          <w:rFonts w:ascii="Verdana" w:eastAsia="Calibri" w:hAnsi="Verdana" w:cs="Arial"/>
          <w:shd w:val="clear" w:color="auto" w:fill="FFFFFF"/>
        </w:rPr>
      </w:pPr>
      <w:r w:rsidRPr="00501703">
        <w:rPr>
          <w:rFonts w:ascii="Verdana" w:eastAsia="Calibri" w:hAnsi="Verdana" w:cs="Arial"/>
          <w:lang w:val="es-ES"/>
        </w:rPr>
        <w:t xml:space="preserve">De conformidad con todo lo expuesto, puede colegirse que la supervisión de los contratos es uno de los medios para que las entidades ejerzan la </w:t>
      </w:r>
      <w:r w:rsidRPr="00501703">
        <w:rPr>
          <w:rFonts w:ascii="Verdana" w:eastAsia="Calibri" w:hAnsi="Verdana" w:cs="Arial"/>
          <w:lang w:val="es-ES"/>
        </w:rPr>
        <w:lastRenderedPageBreak/>
        <w:t>dirección, control y vigilancia de sus contratos, con el fin de lograr el objeto contractual. Por consiguiente, el supervisor, de acuerdo con lo señalado en la Ley 80 de 1993, tiene la obligación de desarrollar las actividades que impliquen la vigilancia y seguimiento del cumplimiento de los contratos, función que puede ser asignada a un empleado público siempre que se ajusten a las fijadas para el cargo.</w:t>
      </w:r>
    </w:p>
    <w:p w14:paraId="40EC566F" w14:textId="77777777" w:rsidR="00C44BC4" w:rsidRPr="00501703" w:rsidRDefault="00C44BC4" w:rsidP="00C44BC4">
      <w:pPr>
        <w:spacing w:line="276" w:lineRule="auto"/>
        <w:ind w:left="720"/>
        <w:contextualSpacing/>
        <w:rPr>
          <w:rFonts w:ascii="Verdana" w:eastAsia="Aptos" w:hAnsi="Verdana" w:cs="Arial"/>
          <w:color w:val="000000"/>
          <w:shd w:val="clear" w:color="auto" w:fill="FFFFFF"/>
        </w:rPr>
      </w:pPr>
    </w:p>
    <w:bookmarkEnd w:id="4"/>
    <w:p w14:paraId="45BCB19F" w14:textId="77777777" w:rsidR="00C44BC4" w:rsidRPr="00501703" w:rsidRDefault="00C44BC4" w:rsidP="00C44BC4">
      <w:pPr>
        <w:numPr>
          <w:ilvl w:val="0"/>
          <w:numId w:val="3"/>
        </w:numPr>
        <w:spacing w:after="0" w:line="276" w:lineRule="auto"/>
        <w:contextualSpacing/>
        <w:jc w:val="both"/>
        <w:rPr>
          <w:rFonts w:ascii="Verdana" w:eastAsia="Aptos" w:hAnsi="Verdana" w:cs="Arial"/>
          <w:shd w:val="clear" w:color="auto" w:fill="FFFFFF"/>
        </w:rPr>
      </w:pPr>
      <w:r w:rsidRPr="00501703">
        <w:rPr>
          <w:rFonts w:ascii="Verdana" w:eastAsia="Aptos" w:hAnsi="Verdana" w:cs="Arial"/>
          <w:shd w:val="clear" w:color="auto" w:fill="FFFFFF"/>
        </w:rPr>
        <w:t>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14:paraId="72F6FDAC" w14:textId="77777777" w:rsidR="00C44BC4" w:rsidRPr="00501703" w:rsidRDefault="00C44BC4" w:rsidP="00C44BC4">
      <w:pPr>
        <w:spacing w:after="0" w:line="276" w:lineRule="auto"/>
        <w:ind w:left="720"/>
        <w:contextualSpacing/>
        <w:jc w:val="both"/>
        <w:rPr>
          <w:rFonts w:ascii="Verdana" w:eastAsia="Calibri" w:hAnsi="Verdana" w:cs="Arial"/>
          <w:lang w:val="es-ES"/>
        </w:rPr>
      </w:pPr>
    </w:p>
    <w:p w14:paraId="086E9252" w14:textId="77777777" w:rsidR="00C44BC4" w:rsidRPr="00501703" w:rsidRDefault="00C44BC4" w:rsidP="00C44BC4">
      <w:pPr>
        <w:widowControl w:val="0"/>
        <w:autoSpaceDE w:val="0"/>
        <w:autoSpaceDN w:val="0"/>
        <w:spacing w:before="1" w:after="0" w:line="240" w:lineRule="auto"/>
        <w:outlineLvl w:val="0"/>
        <w:rPr>
          <w:rFonts w:ascii="Verdana" w:eastAsia="Arial" w:hAnsi="Verdana" w:cs="Arial"/>
          <w:b/>
          <w:bCs/>
          <w:lang w:val="es-ES"/>
        </w:rPr>
      </w:pPr>
      <w:r w:rsidRPr="00501703">
        <w:rPr>
          <w:rFonts w:ascii="Verdana" w:eastAsia="Arial" w:hAnsi="Verdana" w:cs="Arial"/>
          <w:b/>
          <w:bCs/>
          <w:lang w:val="es-ES"/>
        </w:rPr>
        <w:t>4.Referencias normativas, jurisprudenciales y otras fuentes:</w:t>
      </w:r>
    </w:p>
    <w:p w14:paraId="14EFF762" w14:textId="77777777" w:rsidR="00C44BC4" w:rsidRPr="00501703" w:rsidRDefault="00C44BC4" w:rsidP="00C44BC4">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44BC4" w:rsidRPr="00501703" w14:paraId="00E38E4A" w14:textId="77777777" w:rsidTr="004D4A56">
        <w:trPr>
          <w:trHeight w:val="870"/>
        </w:trPr>
        <w:tc>
          <w:tcPr>
            <w:tcW w:w="8647" w:type="dxa"/>
          </w:tcPr>
          <w:p w14:paraId="54F228CB" w14:textId="77777777" w:rsidR="00C44BC4" w:rsidRPr="00501703" w:rsidRDefault="00C44BC4" w:rsidP="00C44BC4">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501703">
              <w:rPr>
                <w:rFonts w:ascii="Verdana" w:eastAsia="Calibri" w:hAnsi="Verdana" w:cs="Arial"/>
                <w:lang w:val="es-ES"/>
              </w:rPr>
              <w:t>Ley 80 de 1993. Artículos 4, 5, 12, 14 y 26</w:t>
            </w:r>
          </w:p>
          <w:p w14:paraId="6913C471" w14:textId="77777777" w:rsidR="00C44BC4" w:rsidRPr="00501703" w:rsidRDefault="00C44BC4" w:rsidP="00C44BC4">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501703">
              <w:rPr>
                <w:rFonts w:ascii="Verdana" w:eastAsia="Calibri" w:hAnsi="Verdana" w:cs="Arial"/>
                <w:lang w:val="es-ES"/>
              </w:rPr>
              <w:t>Ley 1150 de 2007. Artículos 17 y 21</w:t>
            </w:r>
          </w:p>
          <w:p w14:paraId="366414F1" w14:textId="77777777" w:rsidR="00C44BC4" w:rsidRPr="00501703" w:rsidRDefault="00C44BC4" w:rsidP="00C44BC4">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501703">
              <w:rPr>
                <w:rFonts w:ascii="Verdana" w:eastAsia="Calibri" w:hAnsi="Verdana" w:cs="Arial"/>
                <w:lang w:val="es-ES"/>
              </w:rPr>
              <w:t>Ley 1474 de 2011. Artículos 83, 84, 85 y 86</w:t>
            </w:r>
          </w:p>
          <w:p w14:paraId="38843EFD" w14:textId="77777777" w:rsidR="00C44BC4" w:rsidRPr="00501703" w:rsidRDefault="00C44BC4" w:rsidP="00C44BC4">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501703">
              <w:rPr>
                <w:rFonts w:ascii="Verdana" w:eastAsia="Calibri" w:hAnsi="Verdana" w:cs="Arial"/>
                <w:lang w:val="es-ES"/>
              </w:rPr>
              <w:t>Ley 2195 de 2022. Artículo 53</w:t>
            </w:r>
          </w:p>
          <w:p w14:paraId="447136CB" w14:textId="77777777" w:rsidR="00C44BC4" w:rsidRPr="00501703" w:rsidRDefault="00C44BC4" w:rsidP="00C44BC4">
            <w:pPr>
              <w:widowControl w:val="0"/>
              <w:numPr>
                <w:ilvl w:val="0"/>
                <w:numId w:val="1"/>
              </w:numPr>
              <w:autoSpaceDE w:val="0"/>
              <w:autoSpaceDN w:val="0"/>
              <w:spacing w:line="276" w:lineRule="auto"/>
              <w:contextualSpacing/>
              <w:jc w:val="both"/>
              <w:rPr>
                <w:rFonts w:ascii="Verdana" w:eastAsia="Aptos" w:hAnsi="Verdana" w:cs="Arial"/>
              </w:rPr>
            </w:pPr>
            <w:r w:rsidRPr="00501703">
              <w:rPr>
                <w:rFonts w:ascii="Verdana" w:eastAsia="Calibri" w:hAnsi="Verdana" w:cs="Arial"/>
                <w:lang w:val="es-ES"/>
              </w:rPr>
              <w:t xml:space="preserve">Guía para el ejercicio de las funciones de Supervisión e Interventoría de los contratos del Estado, disponible </w:t>
            </w:r>
            <w:hyperlink r:id="rId13" w:history="1">
              <w:r w:rsidRPr="00501703">
                <w:rPr>
                  <w:rFonts w:ascii="Verdana" w:eastAsia="Calibri" w:hAnsi="Verdana" w:cs="Arial"/>
                  <w:color w:val="467886"/>
                  <w:u w:val="single"/>
                  <w:lang w:val="es-ES"/>
                </w:rPr>
                <w:t>aquí</w:t>
              </w:r>
            </w:hyperlink>
          </w:p>
          <w:p w14:paraId="464FDD24" w14:textId="77777777" w:rsidR="00C44BC4" w:rsidRPr="00501703" w:rsidRDefault="00C44BC4" w:rsidP="00C44BC4">
            <w:pPr>
              <w:widowControl w:val="0"/>
              <w:numPr>
                <w:ilvl w:val="0"/>
                <w:numId w:val="1"/>
              </w:numPr>
              <w:autoSpaceDE w:val="0"/>
              <w:autoSpaceDN w:val="0"/>
              <w:spacing w:line="276" w:lineRule="auto"/>
              <w:contextualSpacing/>
              <w:jc w:val="both"/>
              <w:rPr>
                <w:rFonts w:ascii="Verdana" w:eastAsia="Aptos" w:hAnsi="Verdana" w:cs="Arial"/>
              </w:rPr>
            </w:pPr>
            <w:r w:rsidRPr="00501703">
              <w:rPr>
                <w:rFonts w:ascii="Verdana" w:eastAsia="Calibri" w:hAnsi="Verdana" w:cs="Arial"/>
                <w:lang w:val="es-ES"/>
              </w:rPr>
              <w:t>Consejo de Estado. Sección 3ª. Sentencia del 27 de noviembre de 2017. M.P. Jaime Orlando Santofimio. Exp. 51.802</w:t>
            </w:r>
          </w:p>
        </w:tc>
      </w:tr>
    </w:tbl>
    <w:p w14:paraId="34D6690D" w14:textId="77777777" w:rsidR="00C44BC4" w:rsidRPr="00501703" w:rsidRDefault="00C44BC4" w:rsidP="00C44BC4">
      <w:pPr>
        <w:widowControl w:val="0"/>
        <w:autoSpaceDE w:val="0"/>
        <w:autoSpaceDN w:val="0"/>
        <w:spacing w:after="0" w:line="276" w:lineRule="auto"/>
        <w:jc w:val="both"/>
        <w:rPr>
          <w:rFonts w:ascii="Verdana" w:eastAsia="Aptos" w:hAnsi="Verdana" w:cs="Arial"/>
        </w:rPr>
      </w:pPr>
    </w:p>
    <w:p w14:paraId="2088EC18" w14:textId="77777777" w:rsidR="00C44BC4" w:rsidRPr="00501703" w:rsidRDefault="00C44BC4" w:rsidP="00C44BC4">
      <w:pPr>
        <w:widowControl w:val="0"/>
        <w:autoSpaceDE w:val="0"/>
        <w:autoSpaceDN w:val="0"/>
        <w:spacing w:before="1" w:after="0" w:line="240" w:lineRule="auto"/>
        <w:outlineLvl w:val="0"/>
        <w:rPr>
          <w:rFonts w:ascii="Verdana" w:eastAsia="Arial" w:hAnsi="Verdana" w:cs="Arial"/>
          <w:b/>
          <w:bCs/>
          <w:lang w:val="es-ES"/>
        </w:rPr>
      </w:pPr>
      <w:r w:rsidRPr="00501703">
        <w:rPr>
          <w:rFonts w:ascii="Verdana" w:eastAsia="Arial" w:hAnsi="Verdana" w:cs="Arial"/>
          <w:b/>
          <w:bCs/>
          <w:lang w:val="es-ES"/>
        </w:rPr>
        <w:t>5. Doctrina de la Agencia Nacional de Contratación Pública:</w:t>
      </w:r>
    </w:p>
    <w:p w14:paraId="3FD627ED" w14:textId="77777777" w:rsidR="00C44BC4" w:rsidRPr="00501703" w:rsidRDefault="00C44BC4" w:rsidP="00C44BC4">
      <w:pPr>
        <w:widowControl w:val="0"/>
        <w:autoSpaceDE w:val="0"/>
        <w:autoSpaceDN w:val="0"/>
        <w:spacing w:after="0" w:line="276" w:lineRule="auto"/>
        <w:jc w:val="both"/>
        <w:rPr>
          <w:rFonts w:ascii="Verdana" w:eastAsia="Aptos" w:hAnsi="Verdana" w:cs="Arial"/>
        </w:rPr>
      </w:pPr>
    </w:p>
    <w:p w14:paraId="15C69112" w14:textId="77777777" w:rsidR="00C44BC4" w:rsidRPr="00501703" w:rsidRDefault="00C44BC4" w:rsidP="00C44BC4">
      <w:pPr>
        <w:widowControl w:val="0"/>
        <w:autoSpaceDE w:val="0"/>
        <w:autoSpaceDN w:val="0"/>
        <w:spacing w:after="0" w:line="276" w:lineRule="auto"/>
        <w:jc w:val="both"/>
        <w:rPr>
          <w:rFonts w:ascii="Verdana" w:eastAsia="Aptos" w:hAnsi="Verdana" w:cs="Arial"/>
          <w:shd w:val="clear" w:color="auto" w:fill="FFFFFF"/>
          <w:lang w:val="es-ES"/>
        </w:rPr>
      </w:pPr>
      <w:r w:rsidRPr="00501703">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501703">
        <w:rPr>
          <w:rFonts w:ascii="Verdana" w:eastAsia="Calibri" w:hAnsi="Verdana" w:cs="Arial"/>
          <w:lang w:val="es-ES_tradnl" w:eastAsia="es-MX"/>
        </w:rPr>
        <w:t xml:space="preserve">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se pronunció sobre la obligación de controlar y vigilar la ejecución de los contratos estatales en los conceptos Conceptos radicado 4201913000004799 del 30 de agosto de 2019, 4201913000008240 del 20 de diciembre de 2019, C-064 del 28 de febrero de </w:t>
      </w:r>
      <w:r w:rsidRPr="00501703">
        <w:rPr>
          <w:rFonts w:ascii="Verdana" w:eastAsia="Calibri" w:hAnsi="Verdana" w:cs="Arial"/>
          <w:lang w:val="es-ES_tradnl" w:eastAsia="es-MX"/>
        </w:rPr>
        <w:lastRenderedPageBreak/>
        <w:t>2020, C-071 del 4 de marzo de 2020, C–077 del 18 de marzo de 2020, C–150 del 18 de marzo de 2020, C–134 del 30 de marzo de 2020, C–180 del 13 de abril de 2020, C-344 del 26 de mayo de 2020, C-414 del 30 de junio de 2021, C-506 de 3 de agosto de 2022, C-579 del 9 de septiembre de 2022, C-577 del 15 de septiembre de 2022, C-620 del 27 de septiembre de 2022, C-650 del 27 de septiembre de 2022, C-679 de 24 de octubre de 2022, C-818 del 28 de noviembre de 2022, C-830 de 28 de noviembre de 2022, C-800 de 29 de noviembre de 2022, C-930 de 30 de diciembre de 2022, C-932 de 30 de diciembre de 2022, C-975 de 8 de marzo de 2032, C-191 de 27 de abril de 2023, C-089 de 2024 de 17 de julio de 2024, C-255 de 14 de agosto de 2024</w:t>
      </w:r>
      <w:r w:rsidRPr="00501703">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501703">
          <w:rPr>
            <w:rFonts w:ascii="Verdana" w:eastAsia="Aptos" w:hAnsi="Verdana" w:cs="Arial"/>
            <w:color w:val="467886"/>
            <w:u w:val="single"/>
            <w:shd w:val="clear" w:color="auto" w:fill="FFFFFF"/>
            <w:lang w:val="es-ES"/>
          </w:rPr>
          <w:t>https://relatoria.colombiacompra.gov.co/</w:t>
        </w:r>
      </w:hyperlink>
      <w:r w:rsidRPr="00501703">
        <w:rPr>
          <w:rFonts w:ascii="Verdana" w:eastAsia="Aptos" w:hAnsi="Verdana" w:cs="Arial"/>
          <w:shd w:val="clear" w:color="auto" w:fill="FFFFFF"/>
          <w:lang w:val="es-ES"/>
        </w:rPr>
        <w:t xml:space="preserve">. </w:t>
      </w:r>
    </w:p>
    <w:p w14:paraId="7DB812C9" w14:textId="77777777" w:rsidR="00C44BC4" w:rsidRPr="00501703" w:rsidRDefault="00C44BC4" w:rsidP="00C44BC4">
      <w:pPr>
        <w:widowControl w:val="0"/>
        <w:autoSpaceDE w:val="0"/>
        <w:autoSpaceDN w:val="0"/>
        <w:spacing w:after="0" w:line="276" w:lineRule="auto"/>
        <w:jc w:val="both"/>
        <w:rPr>
          <w:rFonts w:ascii="Verdana" w:eastAsia="Aptos" w:hAnsi="Verdana" w:cs="Arial"/>
          <w:shd w:val="clear" w:color="auto" w:fill="FFFFFF"/>
          <w:lang w:val="es-ES"/>
        </w:rPr>
      </w:pPr>
    </w:p>
    <w:p w14:paraId="19B5B284" w14:textId="77777777" w:rsidR="00C44BC4" w:rsidRPr="00CF2E37" w:rsidRDefault="00C44BC4" w:rsidP="00C44BC4">
      <w:pPr>
        <w:widowControl w:val="0"/>
        <w:autoSpaceDE w:val="0"/>
        <w:autoSpaceDN w:val="0"/>
        <w:spacing w:after="0" w:line="276" w:lineRule="auto"/>
        <w:jc w:val="both"/>
        <w:rPr>
          <w:rFonts w:ascii="Verdana" w:eastAsia="Aptos" w:hAnsi="Verdana" w:cs="Arial"/>
          <w:shd w:val="clear" w:color="auto" w:fill="FFFFFF"/>
        </w:rPr>
      </w:pPr>
      <w:r w:rsidRPr="00CF2E37">
        <w:rPr>
          <w:rFonts w:ascii="Verdana" w:eastAsia="Aptos"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5" w:tgtFrame="_blank" w:tooltip="Dirección URL original: https://www.colombiacompra.gov.co/sala-de-prensa/boletin-digital/boletin-de-relatoria-2024-iv. Haga clic o pulse si confía en este vínculo." w:history="1">
        <w:r w:rsidRPr="00CF2E37">
          <w:rPr>
            <w:rStyle w:val="Hipervnculo"/>
            <w:rFonts w:ascii="Verdana" w:eastAsia="Aptos" w:hAnsi="Verdana" w:cs="Arial"/>
            <w:shd w:val="clear" w:color="auto" w:fill="FFFFFF"/>
          </w:rPr>
          <w:t>BOLETÍN DE RELATORÍA 2024 – IV | Colombia Compra Eficiente | Agencia Nacional de Contratación Pública</w:t>
        </w:r>
      </w:hyperlink>
    </w:p>
    <w:p w14:paraId="6A8E316A" w14:textId="77777777" w:rsidR="00C44BC4" w:rsidRPr="00501703" w:rsidRDefault="00C44BC4" w:rsidP="00C44BC4">
      <w:pPr>
        <w:widowControl w:val="0"/>
        <w:autoSpaceDE w:val="0"/>
        <w:autoSpaceDN w:val="0"/>
        <w:spacing w:after="0" w:line="276" w:lineRule="auto"/>
        <w:jc w:val="both"/>
        <w:rPr>
          <w:rFonts w:ascii="Verdana" w:eastAsia="Aptos" w:hAnsi="Verdana" w:cs="Arial"/>
          <w:shd w:val="clear" w:color="auto" w:fill="FFFFFF"/>
          <w:lang w:val="es-ES"/>
        </w:rPr>
      </w:pPr>
    </w:p>
    <w:p w14:paraId="6C0AA9F0" w14:textId="77777777" w:rsidR="00C44BC4" w:rsidRPr="00501703" w:rsidRDefault="00C44BC4" w:rsidP="00C44BC4">
      <w:pPr>
        <w:spacing w:after="0" w:line="240" w:lineRule="auto"/>
        <w:jc w:val="both"/>
        <w:rPr>
          <w:rFonts w:ascii="Verdana" w:eastAsia="Aptos" w:hAnsi="Verdana" w:cs="Times New Roman"/>
        </w:rPr>
      </w:pPr>
      <w:r w:rsidRPr="00501703">
        <w:rPr>
          <w:rFonts w:ascii="Verdana" w:eastAsia="Aptos" w:hAnsi="Verdana" w:cs="Times New Roman"/>
        </w:rPr>
        <w:t xml:space="preserve">Por último, lo invitamos a seguirnos en las redes sociales en las cuales se difunde información institucional: </w:t>
      </w:r>
    </w:p>
    <w:p w14:paraId="702654BF" w14:textId="77777777" w:rsidR="00C44BC4" w:rsidRPr="00501703" w:rsidRDefault="00C44BC4" w:rsidP="00C44BC4">
      <w:pPr>
        <w:spacing w:after="0" w:line="240" w:lineRule="auto"/>
        <w:jc w:val="both"/>
        <w:rPr>
          <w:rFonts w:ascii="Verdana" w:eastAsia="Aptos" w:hAnsi="Verdana" w:cs="Times New Roman"/>
        </w:rPr>
      </w:pPr>
    </w:p>
    <w:p w14:paraId="098E0745" w14:textId="77777777" w:rsidR="00C44BC4" w:rsidRPr="00501703" w:rsidRDefault="00C44BC4" w:rsidP="00C44BC4">
      <w:pPr>
        <w:spacing w:after="0" w:line="240" w:lineRule="auto"/>
        <w:jc w:val="both"/>
        <w:rPr>
          <w:rFonts w:ascii="Verdana" w:eastAsia="Aptos" w:hAnsi="Verdana" w:cs="Times New Roman"/>
        </w:rPr>
      </w:pPr>
      <w:r w:rsidRPr="00501703">
        <w:rPr>
          <w:rFonts w:ascii="Verdana" w:eastAsia="Aptos" w:hAnsi="Verdana" w:cs="Times New Roman"/>
        </w:rPr>
        <w:t xml:space="preserve">Twitter: </w:t>
      </w:r>
      <w:r w:rsidRPr="00501703">
        <w:rPr>
          <w:rFonts w:ascii="Verdana" w:eastAsia="Aptos" w:hAnsi="Verdana" w:cs="Arial"/>
          <w:color w:val="467886"/>
          <w:u w:val="single"/>
          <w:shd w:val="clear" w:color="auto" w:fill="FFFFFF"/>
          <w:lang w:val="es-ES"/>
        </w:rPr>
        <w:t>@colombiacompra</w:t>
      </w:r>
      <w:r w:rsidRPr="00501703">
        <w:rPr>
          <w:rFonts w:ascii="Verdana" w:eastAsia="Aptos" w:hAnsi="Verdana" w:cs="Times New Roman"/>
          <w:color w:val="156082"/>
        </w:rPr>
        <w:t xml:space="preserve"> </w:t>
      </w:r>
    </w:p>
    <w:p w14:paraId="28B99A7D" w14:textId="77777777" w:rsidR="00C44BC4" w:rsidRPr="00501703" w:rsidRDefault="00C44BC4" w:rsidP="00C44BC4">
      <w:pPr>
        <w:spacing w:after="0" w:line="240" w:lineRule="auto"/>
        <w:jc w:val="both"/>
        <w:rPr>
          <w:rFonts w:ascii="Verdana" w:eastAsia="Aptos" w:hAnsi="Verdana" w:cs="Times New Roman"/>
        </w:rPr>
      </w:pPr>
      <w:r w:rsidRPr="00501703">
        <w:rPr>
          <w:rFonts w:ascii="Verdana" w:eastAsia="Aptos" w:hAnsi="Verdana" w:cs="Times New Roman"/>
        </w:rPr>
        <w:t xml:space="preserve">Facebook: </w:t>
      </w:r>
      <w:r w:rsidRPr="00501703">
        <w:rPr>
          <w:rFonts w:ascii="Verdana" w:eastAsia="Aptos" w:hAnsi="Verdana" w:cs="Arial"/>
          <w:color w:val="467886"/>
          <w:u w:val="single"/>
          <w:shd w:val="clear" w:color="auto" w:fill="FFFFFF"/>
          <w:lang w:val="es-ES"/>
        </w:rPr>
        <w:t>ColombiaCompraEficiente</w:t>
      </w:r>
    </w:p>
    <w:p w14:paraId="73687EA1" w14:textId="77777777" w:rsidR="00C44BC4" w:rsidRPr="00501703" w:rsidRDefault="00C44BC4" w:rsidP="00C44BC4">
      <w:pPr>
        <w:spacing w:after="0" w:line="240" w:lineRule="auto"/>
        <w:jc w:val="both"/>
        <w:rPr>
          <w:rFonts w:ascii="Verdana" w:eastAsia="Aptos" w:hAnsi="Verdana" w:cs="Times New Roman"/>
        </w:rPr>
      </w:pPr>
      <w:r w:rsidRPr="00501703">
        <w:rPr>
          <w:rFonts w:ascii="Verdana" w:eastAsia="Aptos" w:hAnsi="Verdana" w:cs="Times New Roman"/>
        </w:rPr>
        <w:t xml:space="preserve">LinkedIn: </w:t>
      </w:r>
      <w:r w:rsidRPr="00501703">
        <w:rPr>
          <w:rFonts w:ascii="Verdana" w:eastAsia="Aptos" w:hAnsi="Verdana" w:cs="Arial"/>
          <w:color w:val="467886"/>
          <w:u w:val="single"/>
          <w:shd w:val="clear" w:color="auto" w:fill="FFFFFF"/>
          <w:lang w:val="es-ES"/>
        </w:rPr>
        <w:t>Agencia Nacional de Contratación Pública - Colombia Compra Eficiente</w:t>
      </w:r>
      <w:r w:rsidRPr="00501703">
        <w:rPr>
          <w:rFonts w:ascii="Verdana" w:eastAsia="Aptos" w:hAnsi="Verdana" w:cs="Times New Roman"/>
          <w:color w:val="156082"/>
        </w:rPr>
        <w:t xml:space="preserve"> </w:t>
      </w:r>
      <w:r w:rsidRPr="00501703">
        <w:rPr>
          <w:rFonts w:ascii="Verdana" w:eastAsia="Aptos" w:hAnsi="Verdana" w:cs="Times New Roman"/>
        </w:rPr>
        <w:t xml:space="preserve">Instagram: </w:t>
      </w:r>
      <w:r w:rsidRPr="00501703">
        <w:rPr>
          <w:rFonts w:ascii="Verdana" w:eastAsia="Aptos" w:hAnsi="Verdana" w:cs="Arial"/>
          <w:color w:val="467886"/>
          <w:u w:val="single"/>
          <w:shd w:val="clear" w:color="auto" w:fill="FFFFFF"/>
          <w:lang w:val="es-ES"/>
        </w:rPr>
        <w:t>@colombiacompraeficiente_cce</w:t>
      </w:r>
    </w:p>
    <w:p w14:paraId="0ACEE2CC" w14:textId="77777777" w:rsidR="00C44BC4" w:rsidRPr="00501703" w:rsidRDefault="00C44BC4" w:rsidP="00C44BC4">
      <w:pPr>
        <w:widowControl w:val="0"/>
        <w:autoSpaceDE w:val="0"/>
        <w:autoSpaceDN w:val="0"/>
        <w:spacing w:after="0" w:line="276" w:lineRule="auto"/>
        <w:jc w:val="both"/>
        <w:rPr>
          <w:rFonts w:ascii="Verdana" w:eastAsia="Aptos" w:hAnsi="Verdana" w:cs="Arial"/>
        </w:rPr>
      </w:pPr>
    </w:p>
    <w:p w14:paraId="3DDF6CC6" w14:textId="77777777" w:rsidR="00C44BC4" w:rsidRPr="00501703" w:rsidRDefault="00C44BC4" w:rsidP="00C44BC4">
      <w:pPr>
        <w:widowControl w:val="0"/>
        <w:autoSpaceDE w:val="0"/>
        <w:autoSpaceDN w:val="0"/>
        <w:spacing w:after="0" w:line="276" w:lineRule="auto"/>
        <w:jc w:val="both"/>
        <w:rPr>
          <w:rFonts w:ascii="Verdana" w:eastAsia="Aptos" w:hAnsi="Verdana" w:cs="Arial"/>
          <w:lang w:val="es-ES_tradnl"/>
        </w:rPr>
      </w:pPr>
      <w:r w:rsidRPr="00501703">
        <w:rPr>
          <w:rFonts w:ascii="Verdana" w:eastAsia="Aptos" w:hAnsi="Verdana" w:cs="Arial"/>
        </w:rPr>
        <w:t xml:space="preserve">Este concepto tiene el alcance previsto en el artículo 28 del Código de Procedimiento Administrativo y de lo Contencioso Administrativo </w:t>
      </w:r>
      <w:r w:rsidRPr="00501703">
        <w:rPr>
          <w:rFonts w:ascii="Verdana" w:eastAsia="Aptos" w:hAnsi="Verdana" w:cs="Arial"/>
          <w:lang w:val="es-ES_tradnl"/>
        </w:rPr>
        <w:t>y las expresiones aquí utilizadas con mayúscula inicial deben ser entendidas con el significado que les otorga el artículo 2.2.1.1.1.3.1. del Decreto 1082 de 2015.</w:t>
      </w:r>
    </w:p>
    <w:p w14:paraId="3F5CB867" w14:textId="77777777" w:rsidR="00C44BC4" w:rsidRPr="00501703" w:rsidRDefault="00C44BC4" w:rsidP="00C44BC4">
      <w:pPr>
        <w:widowControl w:val="0"/>
        <w:autoSpaceDE w:val="0"/>
        <w:autoSpaceDN w:val="0"/>
        <w:spacing w:after="0" w:line="276" w:lineRule="auto"/>
        <w:jc w:val="both"/>
        <w:rPr>
          <w:rFonts w:ascii="Verdana" w:eastAsia="Aptos" w:hAnsi="Verdana" w:cs="Arial"/>
        </w:rPr>
      </w:pPr>
    </w:p>
    <w:p w14:paraId="631B2467" w14:textId="77777777" w:rsidR="00C44BC4" w:rsidRPr="00501703" w:rsidRDefault="00C44BC4" w:rsidP="00C44BC4">
      <w:pPr>
        <w:spacing w:after="0" w:line="240" w:lineRule="auto"/>
        <w:rPr>
          <w:rFonts w:ascii="Verdana" w:eastAsia="Aptos" w:hAnsi="Verdana" w:cs="Arial"/>
          <w:lang w:eastAsia="es-CO"/>
        </w:rPr>
      </w:pPr>
      <w:r w:rsidRPr="00501703">
        <w:rPr>
          <w:rFonts w:ascii="Verdana" w:eastAsia="Times New Roman" w:hAnsi="Verdana" w:cs="Arial"/>
          <w:lang w:eastAsia="es-CO"/>
        </w:rPr>
        <w:t>Atentamente,</w:t>
      </w:r>
      <w:r w:rsidRPr="00501703">
        <w:rPr>
          <w:rFonts w:ascii="Verdana" w:eastAsia="Aptos" w:hAnsi="Verdana" w:cs="Arial"/>
          <w:lang w:eastAsia="es-CO"/>
        </w:rPr>
        <w:t xml:space="preserve"> </w:t>
      </w:r>
    </w:p>
    <w:p w14:paraId="23506D38" w14:textId="5A4CD19A" w:rsidR="00C44BC4" w:rsidRPr="00501703" w:rsidRDefault="004A1D83" w:rsidP="00C44BC4">
      <w:pPr>
        <w:spacing w:line="276" w:lineRule="auto"/>
        <w:jc w:val="center"/>
        <w:rPr>
          <w:rFonts w:ascii="Verdana" w:eastAsia="Aptos" w:hAnsi="Verdana" w:cs="Arial"/>
          <w:lang w:val="es-ES_tradnl" w:eastAsia="es-CO"/>
        </w:rPr>
      </w:pPr>
      <w:r w:rsidRPr="002C3AD6">
        <w:rPr>
          <w:rFonts w:ascii="Century Gothic" w:hAnsi="Century Gothic"/>
          <w:noProof/>
        </w:rPr>
        <w:lastRenderedPageBreak/>
        <w:drawing>
          <wp:inline distT="0" distB="0" distL="0" distR="0" wp14:anchorId="5011EBB8" wp14:editId="5A8CC576">
            <wp:extent cx="3772426" cy="1400370"/>
            <wp:effectExtent l="0" t="0" r="0" b="9525"/>
            <wp:docPr id="1780277293" name="Imagen 1" descr="Texto&#10;&#10;Descripción generada automáticamente">
              <a:extLst xmlns:a="http://schemas.openxmlformats.org/drawingml/2006/main">
                <a:ext uri="{FF2B5EF4-FFF2-40B4-BE49-F238E27FC236}">
                  <a16:creationId xmlns:a16="http://schemas.microsoft.com/office/drawing/2014/main" id="{FE0CC535-876F-42B8-9722-F602C0DEE1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r w:rsidR="00C44BC4" w:rsidRPr="00501703">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C44BC4" w:rsidRPr="00501703" w14:paraId="4789312D" w14:textId="77777777" w:rsidTr="004D4A56">
        <w:trPr>
          <w:trHeight w:val="286"/>
        </w:trPr>
        <w:tc>
          <w:tcPr>
            <w:tcW w:w="901" w:type="dxa"/>
            <w:vAlign w:val="center"/>
            <w:hideMark/>
          </w:tcPr>
          <w:p w14:paraId="5F7AC31A" w14:textId="77777777" w:rsidR="00C44BC4" w:rsidRPr="00501703" w:rsidRDefault="00C44BC4" w:rsidP="004D4A56">
            <w:pPr>
              <w:rPr>
                <w:rFonts w:ascii="Verdana" w:eastAsia="Aptos" w:hAnsi="Verdana" w:cs="Arial"/>
                <w:sz w:val="14"/>
                <w:szCs w:val="14"/>
                <w:lang w:eastAsia="es-ES"/>
              </w:rPr>
            </w:pPr>
            <w:r w:rsidRPr="00501703">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039B9A69" w14:textId="77777777" w:rsidR="00C44BC4" w:rsidRPr="00501703" w:rsidRDefault="00C44BC4" w:rsidP="004D4A56">
            <w:pPr>
              <w:rPr>
                <w:rFonts w:ascii="Verdana" w:eastAsia="Aptos" w:hAnsi="Verdana" w:cs="Arial"/>
                <w:sz w:val="14"/>
                <w:szCs w:val="14"/>
                <w:lang w:eastAsia="es-ES"/>
              </w:rPr>
            </w:pPr>
            <w:r w:rsidRPr="00501703">
              <w:rPr>
                <w:rFonts w:ascii="Verdana" w:eastAsia="Aptos" w:hAnsi="Verdana" w:cs="Arial"/>
                <w:sz w:val="14"/>
                <w:szCs w:val="14"/>
                <w:lang w:eastAsia="es-ES"/>
              </w:rPr>
              <w:t>Nasly Yeana Mosquera Rivas</w:t>
            </w:r>
          </w:p>
          <w:p w14:paraId="037F5915" w14:textId="77777777" w:rsidR="00C44BC4" w:rsidRPr="00501703" w:rsidRDefault="00C44BC4" w:rsidP="004D4A56">
            <w:pPr>
              <w:rPr>
                <w:rFonts w:ascii="Verdana" w:eastAsia="Aptos" w:hAnsi="Verdana" w:cs="Arial"/>
                <w:sz w:val="14"/>
                <w:szCs w:val="14"/>
                <w:lang w:eastAsia="es-ES"/>
              </w:rPr>
            </w:pPr>
            <w:r w:rsidRPr="00501703">
              <w:rPr>
                <w:rFonts w:ascii="Verdana" w:eastAsia="Aptos" w:hAnsi="Verdana" w:cs="Arial"/>
                <w:sz w:val="14"/>
                <w:szCs w:val="14"/>
                <w:lang w:eastAsia="es-ES"/>
              </w:rPr>
              <w:t>Analista T2–06 de la Subdirección de Gestión Contractual</w:t>
            </w:r>
          </w:p>
        </w:tc>
      </w:tr>
      <w:tr w:rsidR="00C44BC4" w:rsidRPr="00501703" w14:paraId="21880D9D" w14:textId="77777777" w:rsidTr="004D4A56">
        <w:trPr>
          <w:trHeight w:val="299"/>
        </w:trPr>
        <w:tc>
          <w:tcPr>
            <w:tcW w:w="901" w:type="dxa"/>
            <w:vAlign w:val="center"/>
          </w:tcPr>
          <w:p w14:paraId="75306E2D" w14:textId="77777777" w:rsidR="00C44BC4" w:rsidRPr="00501703" w:rsidRDefault="00C44BC4" w:rsidP="004D4A56">
            <w:pPr>
              <w:rPr>
                <w:rFonts w:ascii="Verdana" w:eastAsia="Aptos" w:hAnsi="Verdana" w:cs="Arial"/>
                <w:sz w:val="14"/>
                <w:szCs w:val="14"/>
                <w:lang w:eastAsia="es-ES"/>
              </w:rPr>
            </w:pPr>
            <w:r w:rsidRPr="00501703">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5DFFA497" w14:textId="77777777" w:rsidR="00C44BC4" w:rsidRPr="00501703" w:rsidRDefault="00C44BC4" w:rsidP="004D4A56">
            <w:pPr>
              <w:rPr>
                <w:rFonts w:ascii="Verdana" w:eastAsia="Aptos" w:hAnsi="Verdana" w:cs="Arial"/>
                <w:sz w:val="14"/>
                <w:szCs w:val="14"/>
                <w:lang w:eastAsia="es-ES"/>
              </w:rPr>
            </w:pPr>
            <w:r w:rsidRPr="00501703">
              <w:rPr>
                <w:rFonts w:ascii="Verdana" w:eastAsia="Aptos" w:hAnsi="Verdana" w:cs="Arial"/>
                <w:sz w:val="14"/>
                <w:szCs w:val="14"/>
                <w:lang w:eastAsia="es-ES"/>
              </w:rPr>
              <w:t>Cielo Victoria Gonzáles Meza</w:t>
            </w:r>
          </w:p>
          <w:p w14:paraId="335A1298" w14:textId="77777777" w:rsidR="00C44BC4" w:rsidRPr="00501703" w:rsidRDefault="00C44BC4" w:rsidP="004D4A56">
            <w:pPr>
              <w:rPr>
                <w:rFonts w:ascii="Verdana" w:eastAsia="Aptos" w:hAnsi="Verdana" w:cs="Arial"/>
                <w:sz w:val="14"/>
                <w:szCs w:val="14"/>
                <w:lang w:eastAsia="es-ES"/>
              </w:rPr>
            </w:pPr>
            <w:r w:rsidRPr="00501703">
              <w:rPr>
                <w:rFonts w:ascii="Verdana" w:eastAsia="Aptos" w:hAnsi="Verdana" w:cs="Arial"/>
                <w:sz w:val="14"/>
                <w:szCs w:val="14"/>
                <w:lang w:eastAsia="es-ES"/>
              </w:rPr>
              <w:t>Contratista de la Subdirección de Gestión Contractual</w:t>
            </w:r>
          </w:p>
        </w:tc>
      </w:tr>
      <w:tr w:rsidR="00C44BC4" w:rsidRPr="00501703" w14:paraId="6E47DEED" w14:textId="77777777" w:rsidTr="004D4A56">
        <w:trPr>
          <w:trHeight w:val="272"/>
        </w:trPr>
        <w:tc>
          <w:tcPr>
            <w:tcW w:w="901" w:type="dxa"/>
            <w:vAlign w:val="center"/>
            <w:hideMark/>
          </w:tcPr>
          <w:p w14:paraId="7B7F02F1" w14:textId="77777777" w:rsidR="00C44BC4" w:rsidRPr="00501703" w:rsidRDefault="00C44BC4" w:rsidP="004D4A56">
            <w:pPr>
              <w:rPr>
                <w:rFonts w:ascii="Verdana" w:eastAsia="Aptos" w:hAnsi="Verdana" w:cs="Arial"/>
                <w:sz w:val="14"/>
                <w:szCs w:val="14"/>
                <w:lang w:eastAsia="es-ES"/>
              </w:rPr>
            </w:pPr>
            <w:r w:rsidRPr="00501703">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52A0DF9F" w14:textId="77777777" w:rsidR="00C44BC4" w:rsidRPr="00501703" w:rsidRDefault="00C44BC4" w:rsidP="004D4A56">
            <w:pPr>
              <w:rPr>
                <w:rFonts w:ascii="Verdana" w:eastAsia="Aptos" w:hAnsi="Verdana" w:cs="Arial"/>
                <w:sz w:val="14"/>
                <w:szCs w:val="14"/>
                <w:lang w:eastAsia="es-ES"/>
              </w:rPr>
            </w:pPr>
            <w:r w:rsidRPr="00501703">
              <w:rPr>
                <w:rFonts w:ascii="Verdana" w:eastAsia="Aptos" w:hAnsi="Verdana" w:cs="Arial"/>
                <w:sz w:val="14"/>
                <w:szCs w:val="14"/>
                <w:lang w:eastAsia="es-ES"/>
              </w:rPr>
              <w:t>Carolina Quintero Gacharná</w:t>
            </w:r>
          </w:p>
          <w:p w14:paraId="00AFAB36" w14:textId="77777777" w:rsidR="00C44BC4" w:rsidRPr="00501703" w:rsidRDefault="00C44BC4" w:rsidP="004D4A56">
            <w:pPr>
              <w:rPr>
                <w:rFonts w:ascii="Verdana" w:eastAsia="Aptos" w:hAnsi="Verdana" w:cs="Arial"/>
                <w:sz w:val="14"/>
                <w:szCs w:val="14"/>
                <w:lang w:eastAsia="es-ES"/>
              </w:rPr>
            </w:pPr>
            <w:r w:rsidRPr="00501703">
              <w:rPr>
                <w:rFonts w:ascii="Verdana" w:eastAsia="Aptos" w:hAnsi="Verdana" w:cs="Arial"/>
                <w:sz w:val="14"/>
                <w:szCs w:val="14"/>
                <w:lang w:eastAsia="es-ES"/>
              </w:rPr>
              <w:t>Subdirectora de Gestión Contractual ANCP – CCE</w:t>
            </w:r>
          </w:p>
        </w:tc>
      </w:tr>
    </w:tbl>
    <w:p w14:paraId="56401FA9" w14:textId="77777777" w:rsidR="00C44BC4" w:rsidRPr="00501703" w:rsidRDefault="00C44BC4" w:rsidP="00C44BC4">
      <w:pPr>
        <w:spacing w:after="0" w:line="240" w:lineRule="auto"/>
        <w:rPr>
          <w:rFonts w:ascii="Verdana" w:eastAsia="Times New Roman" w:hAnsi="Verdana" w:cs="Arial"/>
          <w:sz w:val="24"/>
          <w:szCs w:val="24"/>
          <w:lang w:eastAsia="es-ES"/>
        </w:rPr>
      </w:pPr>
    </w:p>
    <w:p w14:paraId="750B7B9F" w14:textId="77777777" w:rsidR="00C44BC4" w:rsidRPr="00501703" w:rsidRDefault="00C44BC4" w:rsidP="00C44BC4">
      <w:pPr>
        <w:rPr>
          <w:rFonts w:ascii="Verdana" w:eastAsia="Aptos" w:hAnsi="Verdana" w:cs="Times New Roman"/>
        </w:rPr>
      </w:pPr>
    </w:p>
    <w:p w14:paraId="54926BCF" w14:textId="77777777" w:rsidR="00C44BC4" w:rsidRPr="00501703" w:rsidRDefault="00C44BC4" w:rsidP="00C44BC4">
      <w:pPr>
        <w:rPr>
          <w:rFonts w:ascii="Verdana" w:eastAsia="Aptos" w:hAnsi="Verdana" w:cs="Times New Roman"/>
        </w:rPr>
      </w:pPr>
    </w:p>
    <w:p w14:paraId="103ED784" w14:textId="77777777" w:rsidR="00C44BC4" w:rsidRPr="00501703" w:rsidRDefault="00C44BC4" w:rsidP="00C44BC4">
      <w:pPr>
        <w:rPr>
          <w:rFonts w:ascii="Verdana" w:eastAsia="Aptos" w:hAnsi="Verdana" w:cs="Times New Roman"/>
        </w:rPr>
      </w:pPr>
    </w:p>
    <w:p w14:paraId="55DEAB55" w14:textId="77777777" w:rsidR="00C44BC4" w:rsidRPr="00501703" w:rsidRDefault="00C44BC4" w:rsidP="00C44BC4">
      <w:pPr>
        <w:rPr>
          <w:rFonts w:ascii="Verdana" w:eastAsia="Aptos" w:hAnsi="Verdana" w:cs="Times New Roman"/>
        </w:rPr>
      </w:pPr>
    </w:p>
    <w:p w14:paraId="5A5FC78D" w14:textId="77777777" w:rsidR="00C44BC4" w:rsidRPr="00501703" w:rsidRDefault="00C44BC4" w:rsidP="00C44BC4"/>
    <w:p w14:paraId="00367F5C" w14:textId="77777777" w:rsidR="00C44BC4" w:rsidRDefault="00C44BC4"/>
    <w:sectPr w:rsidR="00C44BC4" w:rsidSect="00C44BC4">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634DC" w14:textId="77777777" w:rsidR="00C44BC4" w:rsidRDefault="00C44BC4" w:rsidP="00C44BC4">
      <w:pPr>
        <w:spacing w:after="0" w:line="240" w:lineRule="auto"/>
      </w:pPr>
      <w:r>
        <w:separator/>
      </w:r>
    </w:p>
  </w:endnote>
  <w:endnote w:type="continuationSeparator" w:id="0">
    <w:p w14:paraId="6628DEEA" w14:textId="77777777" w:rsidR="00C44BC4" w:rsidRDefault="00C44BC4" w:rsidP="00C4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A4974" w14:textId="77777777" w:rsidR="00A761D7" w:rsidRDefault="00A761D7">
    <w:pPr>
      <w:pStyle w:val="Piedepgina"/>
    </w:pPr>
  </w:p>
  <w:p w14:paraId="5F80E23F" w14:textId="77777777" w:rsidR="00A761D7" w:rsidRPr="00174B77" w:rsidRDefault="00A761D7"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501703">
      <w:rPr>
        <w:rFonts w:ascii="Verdana" w:eastAsia="Times New Roman" w:hAnsi="Verdana" w:cs="Times New Roman"/>
        <w:b/>
        <w:bCs/>
        <w:sz w:val="16"/>
        <w:szCs w:val="16"/>
        <w:lang w:val="es-ES"/>
      </w:rPr>
      <w:t xml:space="preserve">pág. </w:t>
    </w:r>
    <w:r w:rsidRPr="00501703">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501703">
      <w:rPr>
        <w:rFonts w:ascii="Verdana" w:eastAsia="Times New Roman" w:hAnsi="Verdana"/>
        <w:b/>
        <w:bCs/>
        <w:sz w:val="16"/>
        <w:szCs w:val="16"/>
      </w:rPr>
      <w:fldChar w:fldCharType="separate"/>
    </w:r>
    <w:r w:rsidRPr="00501703">
      <w:rPr>
        <w:rFonts w:ascii="Verdana" w:eastAsia="Times New Roman" w:hAnsi="Verdana"/>
        <w:b/>
        <w:bCs/>
        <w:sz w:val="16"/>
        <w:szCs w:val="16"/>
      </w:rPr>
      <w:t>1</w:t>
    </w:r>
    <w:r w:rsidRPr="00501703">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E74756F" w14:textId="77777777" w:rsidR="00A761D7" w:rsidRDefault="00A761D7"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4CA0868" w14:textId="77777777" w:rsidR="00A761D7" w:rsidRPr="00E41027" w:rsidRDefault="00A761D7" w:rsidP="00D520D8">
    <w:pPr>
      <w:spacing w:after="0"/>
      <w:jc w:val="both"/>
      <w:rPr>
        <w:rFonts w:ascii="Verdana" w:hAnsi="Verdana"/>
        <w:sz w:val="18"/>
        <w:szCs w:val="18"/>
      </w:rPr>
    </w:pPr>
    <w:r w:rsidRPr="00E41027">
      <w:rPr>
        <w:rFonts w:ascii="Verdana" w:hAnsi="Verdana"/>
        <w:sz w:val="18"/>
        <w:szCs w:val="18"/>
      </w:rPr>
      <w:t>Mesa de servicio: (+57) 601 7456788</w:t>
    </w:r>
  </w:p>
  <w:p w14:paraId="55B1329B" w14:textId="77777777" w:rsidR="00A761D7" w:rsidRDefault="00A761D7"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5AA9E" w14:textId="77777777" w:rsidR="00C44BC4" w:rsidRDefault="00C44BC4" w:rsidP="00C44BC4">
      <w:pPr>
        <w:spacing w:after="0" w:line="240" w:lineRule="auto"/>
      </w:pPr>
      <w:r>
        <w:separator/>
      </w:r>
    </w:p>
  </w:footnote>
  <w:footnote w:type="continuationSeparator" w:id="0">
    <w:p w14:paraId="68FCA963" w14:textId="77777777" w:rsidR="00C44BC4" w:rsidRDefault="00C44BC4" w:rsidP="00C44BC4">
      <w:pPr>
        <w:spacing w:after="0" w:line="240" w:lineRule="auto"/>
      </w:pPr>
      <w:r>
        <w:continuationSeparator/>
      </w:r>
    </w:p>
  </w:footnote>
  <w:footnote w:id="1">
    <w:p w14:paraId="579E1874" w14:textId="77777777" w:rsidR="00C44BC4" w:rsidRPr="00501703" w:rsidRDefault="00C44BC4" w:rsidP="00C44BC4">
      <w:pPr>
        <w:pStyle w:val="Textonotapie"/>
        <w:ind w:firstLine="709"/>
        <w:jc w:val="both"/>
        <w:rPr>
          <w:rFonts w:ascii="Verdana" w:hAnsi="Verdana" w:cs="Arial"/>
          <w:color w:val="000000"/>
          <w:sz w:val="16"/>
          <w:szCs w:val="16"/>
        </w:rPr>
      </w:pPr>
      <w:r w:rsidRPr="00501703">
        <w:rPr>
          <w:rStyle w:val="Refdenotaalpie"/>
          <w:rFonts w:ascii="Verdana" w:hAnsi="Verdana" w:cs="Arial"/>
          <w:color w:val="000000"/>
          <w:sz w:val="16"/>
          <w:szCs w:val="16"/>
        </w:rPr>
        <w:footnoteRef/>
      </w:r>
      <w:r w:rsidRPr="00501703">
        <w:rPr>
          <w:rFonts w:ascii="Verdana" w:hAnsi="Verdana" w:cs="Arial"/>
          <w:color w:val="000000"/>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71CEBBC" w14:textId="77777777" w:rsidR="00C44BC4" w:rsidRPr="00501703" w:rsidRDefault="00C44BC4" w:rsidP="00C44BC4">
      <w:pPr>
        <w:pStyle w:val="Textonotapie"/>
        <w:ind w:firstLine="709"/>
        <w:jc w:val="both"/>
        <w:rPr>
          <w:rFonts w:ascii="Verdana" w:hAnsi="Verdana" w:cs="Arial"/>
          <w:color w:val="000000"/>
          <w:sz w:val="16"/>
          <w:szCs w:val="16"/>
        </w:rPr>
      </w:pPr>
      <w:r w:rsidRPr="00501703">
        <w:rPr>
          <w:rFonts w:ascii="Verdana" w:hAnsi="Verdana" w:cs="Arial"/>
          <w:color w:val="000000"/>
          <w:sz w:val="16"/>
          <w:szCs w:val="16"/>
        </w:rPr>
        <w:t>Lo anterior, sin perjuicio de las publicaciones previstas en el numeral 3 del artículo 30 de la Ley 80 de 1993.</w:t>
      </w:r>
    </w:p>
    <w:p w14:paraId="5B8C8414" w14:textId="77777777" w:rsidR="00C44BC4" w:rsidRPr="00501703" w:rsidRDefault="00C44BC4" w:rsidP="00C44BC4">
      <w:pPr>
        <w:pStyle w:val="Textonotapie"/>
        <w:ind w:firstLine="709"/>
        <w:jc w:val="both"/>
        <w:rPr>
          <w:rFonts w:ascii="Verdana" w:hAnsi="Verdana" w:cs="Arial"/>
          <w:color w:val="000000"/>
          <w:sz w:val="16"/>
          <w:szCs w:val="16"/>
        </w:rPr>
      </w:pPr>
      <w:r w:rsidRPr="00501703">
        <w:rPr>
          <w:rFonts w:ascii="Verdana" w:hAnsi="Verdana" w:cs="Arial"/>
          <w:color w:val="000000"/>
          <w:sz w:val="16"/>
          <w:szCs w:val="16"/>
        </w:rPr>
        <w:t xml:space="preserve">Con el fin de materializar los objetivos a que se refiere el inciso anterior, el Gobierno Nacional desarrollará el Sistema Electrónico para la Contratación Pública, Secop, el cual: </w:t>
      </w:r>
    </w:p>
    <w:p w14:paraId="38B3EBFA" w14:textId="77777777" w:rsidR="00C44BC4" w:rsidRPr="00501703" w:rsidRDefault="00C44BC4" w:rsidP="00C44BC4">
      <w:pPr>
        <w:pStyle w:val="Textonotapie"/>
        <w:ind w:firstLine="709"/>
        <w:jc w:val="both"/>
        <w:rPr>
          <w:rFonts w:ascii="Verdana" w:hAnsi="Verdana" w:cs="Arial"/>
          <w:color w:val="000000"/>
          <w:sz w:val="16"/>
          <w:szCs w:val="16"/>
        </w:rPr>
      </w:pPr>
      <w:r w:rsidRPr="00501703">
        <w:rPr>
          <w:rFonts w:ascii="Verdana" w:hAnsi="Verdana" w:cs="Arial"/>
          <w:color w:val="000000"/>
          <w:sz w:val="16"/>
          <w:szCs w:val="16"/>
        </w:rPr>
        <w:t>[…]</w:t>
      </w:r>
    </w:p>
    <w:p w14:paraId="6970A132" w14:textId="77777777" w:rsidR="00C44BC4" w:rsidRPr="00501703" w:rsidRDefault="00C44BC4" w:rsidP="00C44BC4">
      <w:pPr>
        <w:pStyle w:val="Textonotapie"/>
        <w:ind w:firstLine="709"/>
        <w:jc w:val="both"/>
        <w:rPr>
          <w:rFonts w:ascii="Verdana" w:hAnsi="Verdana" w:cs="Arial"/>
          <w:color w:val="000000"/>
          <w:sz w:val="16"/>
          <w:szCs w:val="16"/>
        </w:rPr>
      </w:pPr>
      <w:r w:rsidRPr="00501703">
        <w:rPr>
          <w:rFonts w:ascii="Verdana" w:hAnsi="Verdana" w:cs="Arial"/>
          <w:color w:val="000000"/>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20E4F107" w14:textId="77777777" w:rsidR="00C44BC4" w:rsidRPr="00501703" w:rsidRDefault="00C44BC4" w:rsidP="00C44BC4">
      <w:pPr>
        <w:pStyle w:val="Textonotapie"/>
        <w:ind w:firstLine="709"/>
        <w:jc w:val="both"/>
        <w:rPr>
          <w:rFonts w:ascii="Verdana" w:hAnsi="Verdana" w:cs="Arial"/>
          <w:color w:val="000000"/>
          <w:sz w:val="16"/>
          <w:szCs w:val="16"/>
          <w:lang w:val="es-CO"/>
        </w:rPr>
      </w:pPr>
    </w:p>
  </w:footnote>
  <w:footnote w:id="2">
    <w:p w14:paraId="09FF68AC" w14:textId="77777777" w:rsidR="00C44BC4" w:rsidRPr="00916DF1" w:rsidRDefault="00C44BC4" w:rsidP="00C44BC4">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 17 de la Ley 1150 de 2007</w:t>
      </w:r>
    </w:p>
    <w:p w14:paraId="265F3AC5" w14:textId="77777777" w:rsidR="00C44BC4" w:rsidRPr="00916DF1" w:rsidRDefault="00C44BC4" w:rsidP="00C44BC4">
      <w:pPr>
        <w:pStyle w:val="Textonotapie"/>
        <w:ind w:firstLine="708"/>
        <w:jc w:val="both"/>
        <w:rPr>
          <w:rFonts w:ascii="Verdana" w:hAnsi="Verdana"/>
          <w:sz w:val="16"/>
          <w:szCs w:val="16"/>
          <w:lang w:val="es-CO"/>
        </w:rPr>
      </w:pPr>
    </w:p>
  </w:footnote>
  <w:footnote w:id="3">
    <w:p w14:paraId="2E5E5875" w14:textId="77777777" w:rsidR="00C44BC4" w:rsidRPr="00916DF1" w:rsidRDefault="00C44BC4" w:rsidP="00C44BC4">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 21 de la Ley 1150 de 2007</w:t>
      </w:r>
    </w:p>
    <w:p w14:paraId="74743F84" w14:textId="77777777" w:rsidR="00C44BC4" w:rsidRPr="00916DF1" w:rsidRDefault="00C44BC4" w:rsidP="00C44BC4">
      <w:pPr>
        <w:pStyle w:val="Textonotapie"/>
        <w:ind w:firstLine="708"/>
        <w:jc w:val="both"/>
        <w:rPr>
          <w:rFonts w:ascii="Verdana" w:hAnsi="Verdana"/>
          <w:sz w:val="16"/>
          <w:szCs w:val="16"/>
          <w:lang w:val="es-CO"/>
        </w:rPr>
      </w:pPr>
    </w:p>
  </w:footnote>
  <w:footnote w:id="4">
    <w:p w14:paraId="2AB5A1F1" w14:textId="77777777" w:rsidR="00C44BC4" w:rsidRPr="00916DF1" w:rsidRDefault="00C44BC4" w:rsidP="00C44BC4">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Artículos 83 a 86 de la Ley 1474 de 2011</w:t>
      </w:r>
    </w:p>
    <w:p w14:paraId="15125F1D" w14:textId="77777777" w:rsidR="00C44BC4" w:rsidRPr="00916DF1" w:rsidRDefault="00C44BC4" w:rsidP="00C44BC4">
      <w:pPr>
        <w:pStyle w:val="Textonotapie"/>
        <w:ind w:firstLine="708"/>
        <w:jc w:val="both"/>
        <w:rPr>
          <w:rFonts w:ascii="Verdana" w:hAnsi="Verdana"/>
          <w:sz w:val="16"/>
          <w:szCs w:val="16"/>
          <w:lang w:val="es-CO"/>
        </w:rPr>
      </w:pPr>
    </w:p>
  </w:footnote>
  <w:footnote w:id="5">
    <w:p w14:paraId="7CD796BA" w14:textId="77777777" w:rsidR="00C44BC4" w:rsidRPr="00916DF1" w:rsidRDefault="00C44BC4" w:rsidP="00C44BC4">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Consejo de Estado. Sección 3ª. Sentencia del 27 de noviembre de 2017. M.P. Jaime Orlando</w:t>
      </w:r>
    </w:p>
    <w:p w14:paraId="75BE4A70" w14:textId="77777777" w:rsidR="00C44BC4" w:rsidRPr="00916DF1" w:rsidRDefault="00C44BC4" w:rsidP="00C44BC4">
      <w:pPr>
        <w:pStyle w:val="Textonotapie"/>
        <w:jc w:val="both"/>
        <w:rPr>
          <w:rFonts w:ascii="Verdana" w:hAnsi="Verdana"/>
          <w:sz w:val="16"/>
          <w:szCs w:val="16"/>
        </w:rPr>
      </w:pPr>
      <w:r w:rsidRPr="00916DF1">
        <w:rPr>
          <w:rFonts w:ascii="Verdana" w:hAnsi="Verdana"/>
          <w:sz w:val="16"/>
          <w:szCs w:val="16"/>
        </w:rPr>
        <w:t>Santofimio. Exp. 51.802</w:t>
      </w:r>
    </w:p>
    <w:p w14:paraId="203AA80B" w14:textId="77777777" w:rsidR="00C44BC4" w:rsidRPr="00916DF1" w:rsidRDefault="00C44BC4" w:rsidP="00C44BC4">
      <w:pPr>
        <w:pStyle w:val="Textonotapie"/>
        <w:jc w:val="both"/>
        <w:rPr>
          <w:rFonts w:ascii="Verdana" w:hAnsi="Verdana"/>
          <w:sz w:val="16"/>
          <w:szCs w:val="16"/>
          <w:lang w:val="es-CO"/>
        </w:rPr>
      </w:pPr>
    </w:p>
  </w:footnote>
  <w:footnote w:id="6">
    <w:p w14:paraId="054D837E" w14:textId="77777777" w:rsidR="00C44BC4" w:rsidRPr="00916DF1" w:rsidRDefault="00C44BC4" w:rsidP="00C44BC4">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 83 de la Ley 1474 de 2011</w:t>
      </w:r>
    </w:p>
    <w:p w14:paraId="09BA35EB" w14:textId="77777777" w:rsidR="00C44BC4" w:rsidRPr="00916DF1" w:rsidRDefault="00C44BC4" w:rsidP="00C44BC4">
      <w:pPr>
        <w:pStyle w:val="Textonotapie"/>
        <w:ind w:firstLine="708"/>
        <w:jc w:val="both"/>
        <w:rPr>
          <w:rFonts w:ascii="Verdana" w:hAnsi="Verdana"/>
          <w:sz w:val="16"/>
          <w:szCs w:val="16"/>
          <w:lang w:val="es-CO"/>
        </w:rPr>
      </w:pPr>
    </w:p>
  </w:footnote>
  <w:footnote w:id="7">
    <w:p w14:paraId="47B3343D" w14:textId="77777777" w:rsidR="00C44BC4" w:rsidRPr="00916DF1" w:rsidRDefault="00C44BC4" w:rsidP="00C44BC4">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 excepción de la interventoría del contrato de obra adjudicado por licitación pública que es</w:t>
      </w:r>
    </w:p>
    <w:p w14:paraId="40E7E705" w14:textId="77777777" w:rsidR="00C44BC4" w:rsidRPr="00916DF1" w:rsidRDefault="00C44BC4" w:rsidP="00C44BC4">
      <w:pPr>
        <w:pStyle w:val="Textonotapie"/>
        <w:ind w:firstLine="708"/>
        <w:jc w:val="both"/>
        <w:rPr>
          <w:rFonts w:ascii="Verdana" w:hAnsi="Verdana"/>
          <w:sz w:val="16"/>
          <w:szCs w:val="16"/>
          <w:lang w:val="es-CO"/>
        </w:rPr>
      </w:pPr>
      <w:r w:rsidRPr="00916DF1">
        <w:rPr>
          <w:rFonts w:ascii="Verdana" w:hAnsi="Verdana"/>
          <w:sz w:val="16"/>
          <w:szCs w:val="16"/>
        </w:rPr>
        <w:t>obligatoria según el numeral 1° del artículo 32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68302" w14:textId="77777777" w:rsidR="00A761D7" w:rsidRDefault="00A761D7">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3A8365BA" wp14:editId="5DE2658A">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515E3839" wp14:editId="269FBB6D">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82CB58C" w14:textId="77777777" w:rsidR="00A761D7" w:rsidRDefault="00A761D7">
    <w:pPr>
      <w:pStyle w:val="Encabezado"/>
    </w:pPr>
  </w:p>
  <w:p w14:paraId="663DA32F" w14:textId="77777777" w:rsidR="00A761D7" w:rsidRDefault="00A761D7" w:rsidP="004A305D">
    <w:pPr>
      <w:spacing w:after="0"/>
      <w:rPr>
        <w:rFonts w:ascii="Verdana" w:hAnsi="Verdana"/>
        <w:b/>
        <w:bCs/>
      </w:rPr>
    </w:pPr>
  </w:p>
  <w:p w14:paraId="65AA2E7E" w14:textId="77777777" w:rsidR="00A761D7" w:rsidRPr="004A305D" w:rsidRDefault="00A761D7" w:rsidP="00B01B1A">
    <w:pPr>
      <w:spacing w:after="0" w:line="120" w:lineRule="auto"/>
      <w:rPr>
        <w:rFonts w:ascii="Century Gothic" w:eastAsia="Geo" w:hAnsi="Century Gothic" w:cs="Geo"/>
        <w:sz w:val="16"/>
        <w:szCs w:val="16"/>
        <w:lang w:eastAsia="es-CO"/>
      </w:rPr>
    </w:pPr>
  </w:p>
  <w:p w14:paraId="4CC6919B" w14:textId="77777777" w:rsidR="00A761D7" w:rsidRDefault="00A761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94D67"/>
    <w:multiLevelType w:val="hybridMultilevel"/>
    <w:tmpl w:val="5F1E5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BCD33FF"/>
    <w:multiLevelType w:val="hybridMultilevel"/>
    <w:tmpl w:val="907211E6"/>
    <w:lvl w:ilvl="0" w:tplc="240A0001">
      <w:start w:val="1"/>
      <w:numFmt w:val="bullet"/>
      <w:lvlText w:val=""/>
      <w:lvlJc w:val="left"/>
      <w:pPr>
        <w:ind w:left="720" w:hanging="360"/>
      </w:pPr>
      <w:rPr>
        <w:rFonts w:ascii="Symbol" w:hAnsi="Symbol" w:hint="default"/>
      </w:rPr>
    </w:lvl>
    <w:lvl w:ilvl="1" w:tplc="8F6A3E4E">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C4"/>
    <w:rsid w:val="004A1D83"/>
    <w:rsid w:val="00A761D7"/>
    <w:rsid w:val="00C406A4"/>
    <w:rsid w:val="00C44BC4"/>
    <w:rsid w:val="00C65001"/>
    <w:rsid w:val="00E110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7279"/>
  <w15:chartTrackingRefBased/>
  <w15:docId w15:val="{2D1922CB-173F-4004-9652-22FF6090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C4"/>
    <w:pPr>
      <w:spacing w:line="259" w:lineRule="auto"/>
    </w:pPr>
    <w:rPr>
      <w:kern w:val="0"/>
      <w:sz w:val="22"/>
      <w:szCs w:val="22"/>
      <w14:ligatures w14:val="none"/>
    </w:rPr>
  </w:style>
  <w:style w:type="paragraph" w:styleId="Ttulo1">
    <w:name w:val="heading 1"/>
    <w:basedOn w:val="Normal"/>
    <w:next w:val="Normal"/>
    <w:link w:val="Ttulo1Car"/>
    <w:uiPriority w:val="9"/>
    <w:qFormat/>
    <w:rsid w:val="00C44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4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4B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4B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4B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4B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4B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4B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4B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4B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4B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4B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4B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4B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4B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4B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4B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4BC4"/>
    <w:rPr>
      <w:rFonts w:eastAsiaTheme="majorEastAsia" w:cstheme="majorBidi"/>
      <w:color w:val="272727" w:themeColor="text1" w:themeTint="D8"/>
    </w:rPr>
  </w:style>
  <w:style w:type="paragraph" w:styleId="Ttulo">
    <w:name w:val="Title"/>
    <w:basedOn w:val="Normal"/>
    <w:next w:val="Normal"/>
    <w:link w:val="TtuloCar"/>
    <w:uiPriority w:val="10"/>
    <w:qFormat/>
    <w:rsid w:val="00C44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4B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4B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4B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4BC4"/>
    <w:pPr>
      <w:spacing w:before="160"/>
      <w:jc w:val="center"/>
    </w:pPr>
    <w:rPr>
      <w:i/>
      <w:iCs/>
      <w:color w:val="404040" w:themeColor="text1" w:themeTint="BF"/>
    </w:rPr>
  </w:style>
  <w:style w:type="character" w:customStyle="1" w:styleId="CitaCar">
    <w:name w:val="Cita Car"/>
    <w:basedOn w:val="Fuentedeprrafopredeter"/>
    <w:link w:val="Cita"/>
    <w:uiPriority w:val="29"/>
    <w:rsid w:val="00C44BC4"/>
    <w:rPr>
      <w:i/>
      <w:iCs/>
      <w:color w:val="404040" w:themeColor="text1" w:themeTint="BF"/>
    </w:rPr>
  </w:style>
  <w:style w:type="paragraph" w:styleId="Prrafodelista">
    <w:name w:val="List Paragraph"/>
    <w:basedOn w:val="Normal"/>
    <w:uiPriority w:val="34"/>
    <w:qFormat/>
    <w:rsid w:val="00C44BC4"/>
    <w:pPr>
      <w:ind w:left="720"/>
      <w:contextualSpacing/>
    </w:pPr>
  </w:style>
  <w:style w:type="character" w:styleId="nfasisintenso">
    <w:name w:val="Intense Emphasis"/>
    <w:basedOn w:val="Fuentedeprrafopredeter"/>
    <w:uiPriority w:val="21"/>
    <w:qFormat/>
    <w:rsid w:val="00C44BC4"/>
    <w:rPr>
      <w:i/>
      <w:iCs/>
      <w:color w:val="0F4761" w:themeColor="accent1" w:themeShade="BF"/>
    </w:rPr>
  </w:style>
  <w:style w:type="paragraph" w:styleId="Citadestacada">
    <w:name w:val="Intense Quote"/>
    <w:basedOn w:val="Normal"/>
    <w:next w:val="Normal"/>
    <w:link w:val="CitadestacadaCar"/>
    <w:uiPriority w:val="30"/>
    <w:qFormat/>
    <w:rsid w:val="00C44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4BC4"/>
    <w:rPr>
      <w:i/>
      <w:iCs/>
      <w:color w:val="0F4761" w:themeColor="accent1" w:themeShade="BF"/>
    </w:rPr>
  </w:style>
  <w:style w:type="character" w:styleId="Referenciaintensa">
    <w:name w:val="Intense Reference"/>
    <w:basedOn w:val="Fuentedeprrafopredeter"/>
    <w:uiPriority w:val="32"/>
    <w:qFormat/>
    <w:rsid w:val="00C44BC4"/>
    <w:rPr>
      <w:b/>
      <w:bCs/>
      <w:smallCaps/>
      <w:color w:val="0F4761" w:themeColor="accent1" w:themeShade="BF"/>
      <w:spacing w:val="5"/>
    </w:rPr>
  </w:style>
  <w:style w:type="paragraph" w:styleId="Encabezado">
    <w:name w:val="header"/>
    <w:basedOn w:val="Normal"/>
    <w:link w:val="EncabezadoCar"/>
    <w:uiPriority w:val="99"/>
    <w:unhideWhenUsed/>
    <w:rsid w:val="00C44B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BC4"/>
    <w:rPr>
      <w:kern w:val="0"/>
      <w:sz w:val="22"/>
      <w:szCs w:val="22"/>
      <w14:ligatures w14:val="none"/>
    </w:rPr>
  </w:style>
  <w:style w:type="paragraph" w:styleId="Piedepgina">
    <w:name w:val="footer"/>
    <w:basedOn w:val="Normal"/>
    <w:link w:val="PiedepginaCar"/>
    <w:uiPriority w:val="99"/>
    <w:unhideWhenUsed/>
    <w:rsid w:val="00C44B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BC4"/>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44BC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C44BC4"/>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C44BC4"/>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44BC4"/>
    <w:rPr>
      <w:vertAlign w:val="superscript"/>
    </w:rPr>
  </w:style>
  <w:style w:type="table" w:styleId="Tablaconcuadrcula">
    <w:name w:val="Table Grid"/>
    <w:basedOn w:val="Tablanormal"/>
    <w:uiPriority w:val="39"/>
    <w:qFormat/>
    <w:rsid w:val="00C44BC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4BC4"/>
    <w:rPr>
      <w:color w:val="0000FF"/>
      <w:u w:val="single"/>
    </w:rPr>
  </w:style>
  <w:style w:type="paragraph" w:customStyle="1" w:styleId="Appelnotedebasde">
    <w:name w:val="Appel note de bas de..."/>
    <w:basedOn w:val="Normal"/>
    <w:link w:val="Refdenotaalpie"/>
    <w:uiPriority w:val="99"/>
    <w:rsid w:val="00C44BC4"/>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C44BC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scaralape1@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2Fboletin-de-relatoria-2024-iv&amp;data=05%7C02%7Ccielo.gonzalez%40colombiacompra.gov.co%7C616b83c3423e4d31151908dce489c00d%7C7b09041e245149d08cb179d5e3d8c1be%7C0%7C0%7C638636527545229483%7CUnknown%7CTWFpbGZsb3d8eyJWIjoiMC4wLjAwMDAiLCJQIjoiV2luMzIiLCJBTiI6Ik1haWwiLCJXVCI6Mn0%3D%7C0%7C%7C%7C&amp;sdata=w8RjvGPlhQyXSt%2F1dfzbUAkVm%2B0d8zJNCr6moRtjms8%3D&amp;reserved=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AD6436-6502-4EC7-823D-A2B4532F7111}">
  <ds:schemaRefs>
    <ds:schemaRef ds:uri="http://schemas.microsoft.com/sharepoint/v3/contenttype/forms"/>
  </ds:schemaRefs>
</ds:datastoreItem>
</file>

<file path=customXml/itemProps2.xml><?xml version="1.0" encoding="utf-8"?>
<ds:datastoreItem xmlns:ds="http://schemas.openxmlformats.org/officeDocument/2006/customXml" ds:itemID="{DBD24C58-D7A3-4C19-9722-D95ABFF30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84E45-A7AD-46DF-BF6B-E842E1F67C5D}">
  <ds:schemaRefs>
    <ds:schemaRef ds:uri="9d85dbaf-23eb-4e57-a637-93dcacc8b1a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4582</Words>
  <Characters>25201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2024-10-08T00:25:00Z</dcterms:created>
  <dcterms:modified xsi:type="dcterms:W3CDTF">2024-10-08T00:25:00Z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