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6393C2" w14:textId="77777777" w:rsidR="00C90BD8" w:rsidRDefault="00C90BD8" w:rsidP="00C90BD8">
      <w:pPr>
        <w:spacing w:after="0" w:line="240" w:lineRule="auto"/>
        <w:jc w:val="both"/>
        <w:rPr>
          <w:rFonts w:ascii="Verdana" w:eastAsia="Geomanist Light" w:hAnsi="Verdana" w:cs="Arial"/>
          <w:lang w:val="es-MX"/>
        </w:rPr>
      </w:pPr>
    </w:p>
    <w:p w14:paraId="650151AC" w14:textId="77777777" w:rsidR="00C90BD8" w:rsidRPr="00C90BD8" w:rsidRDefault="00C90BD8" w:rsidP="00C90BD8">
      <w:pPr>
        <w:spacing w:after="0" w:line="240" w:lineRule="auto"/>
        <w:jc w:val="both"/>
        <w:rPr>
          <w:rFonts w:ascii="Verdana" w:eastAsia="Geomanist Light" w:hAnsi="Verdana" w:cs="Arial"/>
          <w:b/>
          <w:bCs/>
          <w:lang w:val="es-ES"/>
        </w:rPr>
      </w:pPr>
      <w:r w:rsidRPr="00C90BD8">
        <w:rPr>
          <w:rFonts w:ascii="Verdana" w:eastAsia="Geomanist Light" w:hAnsi="Verdana" w:cs="Arial"/>
          <w:b/>
          <w:bCs/>
          <w:lang w:val="es-ES"/>
        </w:rPr>
        <w:t xml:space="preserve">INHABILIDADES E INCOMPATIBILIDADES – Límites a la capacidad – Régimen </w:t>
      </w:r>
    </w:p>
    <w:p w14:paraId="7EA70EBE" w14:textId="77777777" w:rsidR="00C90BD8" w:rsidRPr="00C90BD8" w:rsidRDefault="00C90BD8" w:rsidP="00C90BD8">
      <w:pPr>
        <w:spacing w:after="0" w:line="240" w:lineRule="auto"/>
        <w:jc w:val="both"/>
        <w:rPr>
          <w:rFonts w:ascii="Verdana" w:eastAsia="Geomanist Light" w:hAnsi="Verdana" w:cs="Arial"/>
          <w:lang w:val="es-ES"/>
        </w:rPr>
      </w:pPr>
    </w:p>
    <w:p w14:paraId="69ED985D" w14:textId="77777777" w:rsidR="00C90BD8" w:rsidRPr="00C90BD8" w:rsidRDefault="00C90BD8" w:rsidP="00C90BD8">
      <w:pPr>
        <w:spacing w:after="0" w:line="240" w:lineRule="auto"/>
        <w:jc w:val="both"/>
        <w:rPr>
          <w:rFonts w:ascii="Verdana" w:eastAsia="Geomanist Light" w:hAnsi="Verdana" w:cs="Arial"/>
        </w:rPr>
      </w:pPr>
      <w:r w:rsidRPr="00C90BD8">
        <w:rPr>
          <w:rFonts w:ascii="Verdana" w:eastAsia="Geomanist Light" w:hAnsi="Verdana" w:cs="Arial"/>
          <w:lang w:val="es-ES"/>
        </w:rPr>
        <w:t xml:space="preserve">[…] </w:t>
      </w:r>
      <w:r w:rsidRPr="00C90BD8">
        <w:rPr>
          <w:rFonts w:ascii="Verdana" w:eastAsia="Geomanist Light" w:hAnsi="Verdana" w:cs="Arial"/>
          <w:lang w:val="es-ES_tradnl"/>
        </w:rPr>
        <w:t>e</w:t>
      </w:r>
      <w:r w:rsidRPr="00C90BD8">
        <w:rPr>
          <w:rFonts w:ascii="Verdana" w:eastAsia="Geomanist Light" w:hAnsi="Verdana" w:cs="Arial"/>
          <w:lang w:val="es-MX"/>
        </w:rPr>
        <w:t xml:space="preserve">l régimen de inhabilidades para contratar con el Estado es un conjunto de restricciones establecidas por el constituyente o por el legislador que afectan directamente la capacidad de las personas para establecer relaciones contractuales con el Estado, que pueden resultar de condenas, sanciones o situaciones previamente </w:t>
      </w:r>
      <w:r w:rsidRPr="00C90BD8">
        <w:rPr>
          <w:rFonts w:ascii="Verdana" w:eastAsia="Geomanist Light" w:hAnsi="Verdana" w:cs="Arial"/>
        </w:rPr>
        <w:t>consagradas</w:t>
      </w:r>
      <w:r w:rsidRPr="00C90BD8">
        <w:rPr>
          <w:rFonts w:ascii="Verdana" w:eastAsia="Geomanist Light" w:hAnsi="Verdana" w:cs="Arial"/>
          <w:lang w:val="es-MX"/>
        </w:rPr>
        <w:t xml:space="preserve"> por el ordenamiento jurídico</w:t>
      </w:r>
      <w:r w:rsidRPr="00C90BD8">
        <w:rPr>
          <w:rFonts w:ascii="Verdana" w:eastAsia="Geomanist Light" w:hAnsi="Verdana" w:cs="Arial"/>
        </w:rPr>
        <w:t xml:space="preserve">. </w:t>
      </w:r>
    </w:p>
    <w:p w14:paraId="5AFB260A" w14:textId="77777777" w:rsidR="00C90BD8" w:rsidRPr="00C90BD8" w:rsidRDefault="00C90BD8" w:rsidP="00C90BD8">
      <w:pPr>
        <w:spacing w:after="0" w:line="240" w:lineRule="auto"/>
        <w:jc w:val="both"/>
        <w:rPr>
          <w:rFonts w:ascii="Verdana" w:eastAsia="Geomanist Light" w:hAnsi="Verdana" w:cs="Arial"/>
        </w:rPr>
      </w:pPr>
    </w:p>
    <w:p w14:paraId="6FEF29F1" w14:textId="77777777" w:rsidR="00C90BD8" w:rsidRPr="00C90BD8" w:rsidRDefault="00C90BD8" w:rsidP="00C90BD8">
      <w:pPr>
        <w:spacing w:after="0" w:line="240" w:lineRule="auto"/>
        <w:jc w:val="both"/>
        <w:rPr>
          <w:rFonts w:ascii="Verdana" w:eastAsia="Geomanist Light" w:hAnsi="Verdana" w:cs="Arial"/>
          <w:b/>
          <w:bCs/>
          <w:lang w:val="es-ES"/>
        </w:rPr>
      </w:pPr>
      <w:r w:rsidRPr="00C90BD8">
        <w:rPr>
          <w:rFonts w:ascii="Verdana" w:eastAsia="Geomanist Light" w:hAnsi="Verdana" w:cs="Arial"/>
          <w:b/>
          <w:bCs/>
          <w:lang w:val="es-ES"/>
        </w:rPr>
        <w:t xml:space="preserve">INHABILIDADES E INCOMPATIBILIDADES – Concepto </w:t>
      </w:r>
    </w:p>
    <w:p w14:paraId="4528FA5C" w14:textId="77777777" w:rsidR="00C90BD8" w:rsidRPr="00C90BD8" w:rsidRDefault="00C90BD8" w:rsidP="00C90BD8">
      <w:pPr>
        <w:spacing w:after="0" w:line="240" w:lineRule="auto"/>
        <w:jc w:val="both"/>
        <w:rPr>
          <w:rFonts w:ascii="Verdana" w:eastAsia="Geomanist Light" w:hAnsi="Verdana" w:cs="Arial"/>
          <w:b/>
          <w:bCs/>
          <w:lang w:val="es-ES"/>
        </w:rPr>
      </w:pPr>
    </w:p>
    <w:p w14:paraId="50198658" w14:textId="77777777" w:rsidR="00C90BD8" w:rsidRPr="00C90BD8" w:rsidRDefault="00C90BD8" w:rsidP="00C90BD8">
      <w:pPr>
        <w:spacing w:after="0" w:line="240" w:lineRule="auto"/>
        <w:jc w:val="both"/>
        <w:rPr>
          <w:rFonts w:ascii="Verdana" w:eastAsia="Geomanist Light" w:hAnsi="Verdana" w:cs="Arial"/>
          <w:lang w:val="es-MX"/>
        </w:rPr>
      </w:pPr>
      <w:r w:rsidRPr="00C90BD8">
        <w:rPr>
          <w:rFonts w:ascii="Verdana" w:eastAsia="Geomanist Light" w:hAnsi="Verdana" w:cs="Arial"/>
        </w:rPr>
        <w:t>La</w:t>
      </w:r>
      <w:r w:rsidRPr="00C90BD8">
        <w:rPr>
          <w:rFonts w:ascii="Verdana" w:eastAsia="Geomanist Light" w:hAnsi="Verdana" w:cs="Arial"/>
          <w:lang w:val="es-MX"/>
        </w:rPr>
        <w:t xml:space="preserve"> Corte Constitucional explica que: “las inhabilidades representan una limitación a la capacidad para contratar con las Entidades del Estado y obedecen a la falta de aptitud o a la carencia de una cualidad, calidad o requisito en el sujeto incapacitado quien por esta razón no podrá hacer parte de una relación contractual”</w:t>
      </w:r>
      <w:r w:rsidRPr="00C90BD8">
        <w:rPr>
          <w:rFonts w:ascii="Verdana" w:eastAsia="Geomanist Light" w:hAnsi="Verdana" w:cs="Arial"/>
          <w:vertAlign w:val="superscript"/>
          <w:lang w:val="es-MX"/>
        </w:rPr>
        <w:t>.</w:t>
      </w:r>
    </w:p>
    <w:p w14:paraId="7E43BF86" w14:textId="77777777" w:rsidR="00C90BD8" w:rsidRPr="00C90BD8" w:rsidRDefault="00C90BD8" w:rsidP="00C90BD8">
      <w:pPr>
        <w:spacing w:after="0" w:line="240" w:lineRule="auto"/>
        <w:jc w:val="both"/>
        <w:rPr>
          <w:rFonts w:ascii="Verdana" w:eastAsia="Geomanist Light" w:hAnsi="Verdana" w:cs="Arial"/>
          <w:lang w:val="es-MX"/>
        </w:rPr>
      </w:pPr>
    </w:p>
    <w:p w14:paraId="0817648E" w14:textId="77777777" w:rsidR="00C90BD8" w:rsidRPr="00C90BD8" w:rsidRDefault="00C90BD8" w:rsidP="00C90BD8">
      <w:pPr>
        <w:spacing w:after="0" w:line="240" w:lineRule="auto"/>
        <w:jc w:val="both"/>
        <w:rPr>
          <w:rFonts w:ascii="Verdana" w:eastAsia="Geomanist Light" w:hAnsi="Verdana" w:cs="Arial"/>
          <w:lang w:val="es-MX"/>
        </w:rPr>
      </w:pPr>
      <w:r w:rsidRPr="00C90BD8">
        <w:rPr>
          <w:rFonts w:ascii="Verdana" w:eastAsia="Geomanist Light" w:hAnsi="Verdana" w:cs="Arial"/>
          <w:lang w:val="es-MX"/>
        </w:rPr>
        <w:t>La consagración de limitaciones que afectan la capacidad jurídica para contratar desarrolla los principios de la función administrativa consagrados en el artículo 209 de la Constitución Política, con especial énfasis el de moralidad.</w:t>
      </w:r>
    </w:p>
    <w:p w14:paraId="04794C38" w14:textId="77777777" w:rsidR="00C90BD8" w:rsidRPr="00C90BD8" w:rsidRDefault="00C90BD8" w:rsidP="00C90BD8">
      <w:pPr>
        <w:spacing w:after="0" w:line="240" w:lineRule="auto"/>
        <w:jc w:val="both"/>
        <w:rPr>
          <w:rFonts w:ascii="Verdana" w:eastAsia="Geomanist Light" w:hAnsi="Verdana" w:cs="Arial"/>
          <w:lang w:val="es-ES"/>
        </w:rPr>
      </w:pPr>
    </w:p>
    <w:p w14:paraId="3C6DAF66" w14:textId="231C9672" w:rsidR="00C90BD8" w:rsidRPr="00C90BD8" w:rsidRDefault="00C90BD8" w:rsidP="00C90BD8">
      <w:pPr>
        <w:spacing w:after="0" w:line="240" w:lineRule="auto"/>
        <w:jc w:val="both"/>
        <w:rPr>
          <w:rFonts w:ascii="Verdana" w:eastAsia="Geomanist Light" w:hAnsi="Verdana" w:cs="Arial"/>
          <w:b/>
          <w:bCs/>
          <w:lang w:val="es-ES"/>
        </w:rPr>
      </w:pPr>
      <w:r w:rsidRPr="00C90BD8">
        <w:rPr>
          <w:rFonts w:ascii="Verdana" w:eastAsia="Geomanist Light" w:hAnsi="Verdana" w:cs="Arial"/>
          <w:b/>
          <w:bCs/>
          <w:lang w:val="es-ES"/>
        </w:rPr>
        <w:t xml:space="preserve">INHABILIDADES E INCOMPATIBILIDADES – Interpretación restrictiva </w:t>
      </w:r>
    </w:p>
    <w:p w14:paraId="56EEB897" w14:textId="77777777" w:rsidR="00C90BD8" w:rsidRPr="00C90BD8" w:rsidRDefault="00C90BD8" w:rsidP="00C90BD8">
      <w:pPr>
        <w:spacing w:after="0" w:line="240" w:lineRule="auto"/>
        <w:jc w:val="both"/>
        <w:rPr>
          <w:rFonts w:ascii="Verdana" w:eastAsia="Geomanist Light" w:hAnsi="Verdana" w:cs="Arial"/>
          <w:b/>
          <w:bCs/>
          <w:lang w:val="es-ES"/>
        </w:rPr>
      </w:pPr>
    </w:p>
    <w:p w14:paraId="1F2C5F36" w14:textId="77777777" w:rsidR="00C90BD8" w:rsidRDefault="00C90BD8" w:rsidP="00C90BD8">
      <w:pPr>
        <w:spacing w:after="0" w:line="240" w:lineRule="auto"/>
        <w:jc w:val="both"/>
        <w:rPr>
          <w:rFonts w:ascii="Verdana" w:eastAsia="Geomanist Light" w:hAnsi="Verdana" w:cs="Arial"/>
        </w:rPr>
      </w:pPr>
      <w:r w:rsidRPr="00C90BD8">
        <w:rPr>
          <w:rFonts w:ascii="Verdana" w:eastAsia="Geomanist Light" w:hAnsi="Verdana" w:cs="Arial"/>
          <w:lang w:val="es-ES"/>
        </w:rPr>
        <w:t xml:space="preserve">[…] </w:t>
      </w:r>
      <w:r w:rsidRPr="00C90BD8">
        <w:rPr>
          <w:rFonts w:ascii="Verdana" w:eastAsia="Geomanist Light" w:hAnsi="Verdana" w:cs="Arial"/>
        </w:rPr>
        <w:t xml:space="preserve">el principio pro </w:t>
      </w:r>
      <w:proofErr w:type="spellStart"/>
      <w:r w:rsidRPr="00C90BD8">
        <w:rPr>
          <w:rFonts w:ascii="Verdana" w:eastAsia="Geomanist Light" w:hAnsi="Verdana" w:cs="Arial"/>
        </w:rPr>
        <w:t>libertate</w:t>
      </w:r>
      <w:proofErr w:type="spellEnd"/>
      <w:r w:rsidRPr="00C90BD8">
        <w:rPr>
          <w:rFonts w:ascii="Verdana" w:eastAsia="Geomanist Light" w:hAnsi="Verdana" w:cs="Arial"/>
        </w:rPr>
        <w:t xml:space="preserve"> es el que debe dirigir la interpretación de las disposiciones normativas que consagran restricciones de derechos, como sucede con las causales de inhabilidad e incompatibilidad en la contratación estatal. Por lo tanto, no es posible llevar a cabo la interpretación extensiva de estas, debiendo preferirse aquella que menos limita el derecho de las personas, salvaguardando el interés general en la contratación pública de manera que implique el menor sacrificio posible al derecho de igualdad.</w:t>
      </w:r>
    </w:p>
    <w:p w14:paraId="31FA16C5" w14:textId="77777777" w:rsidR="00C90BD8" w:rsidRDefault="00C90BD8" w:rsidP="00C90BD8">
      <w:pPr>
        <w:spacing w:after="0" w:line="240" w:lineRule="auto"/>
        <w:jc w:val="both"/>
        <w:rPr>
          <w:rFonts w:ascii="Verdana" w:eastAsia="Geomanist Light" w:hAnsi="Verdana" w:cs="Arial"/>
        </w:rPr>
      </w:pPr>
    </w:p>
    <w:p w14:paraId="275A5367" w14:textId="27612037" w:rsidR="00C90BD8" w:rsidRPr="00C90BD8" w:rsidRDefault="00C90BD8" w:rsidP="00C90BD8">
      <w:pPr>
        <w:spacing w:after="120" w:line="276" w:lineRule="auto"/>
        <w:jc w:val="both"/>
        <w:rPr>
          <w:rFonts w:ascii="Verdana" w:hAnsi="Verdana" w:cs="Arial"/>
          <w:b/>
          <w:lang w:val="es-ES_tradnl"/>
        </w:rPr>
      </w:pPr>
      <w:r w:rsidRPr="00CB71E4">
        <w:rPr>
          <w:rFonts w:ascii="Verdana" w:hAnsi="Verdana" w:cs="Arial"/>
          <w:b/>
          <w:lang w:val="es-ES_tradnl"/>
        </w:rPr>
        <w:t>INCOMPATIBILIDAD – Ley 80 de 1993 – Artículo 8, numeral 2, literal</w:t>
      </w:r>
      <w:r>
        <w:rPr>
          <w:rFonts w:ascii="Verdana" w:hAnsi="Verdana" w:cs="Arial"/>
          <w:b/>
          <w:lang w:val="es-ES_tradnl"/>
        </w:rPr>
        <w:t>es</w:t>
      </w:r>
      <w:r w:rsidRPr="00CB71E4">
        <w:rPr>
          <w:rFonts w:ascii="Verdana" w:hAnsi="Verdana" w:cs="Arial"/>
          <w:b/>
          <w:lang w:val="es-ES_tradnl"/>
        </w:rPr>
        <w:t xml:space="preserve"> b) </w:t>
      </w:r>
      <w:r>
        <w:rPr>
          <w:rFonts w:ascii="Verdana" w:hAnsi="Verdana" w:cs="Arial"/>
          <w:b/>
          <w:lang w:val="es-ES_tradnl"/>
        </w:rPr>
        <w:t xml:space="preserve">c) y d) </w:t>
      </w:r>
      <w:r w:rsidRPr="00CB71E4">
        <w:rPr>
          <w:rFonts w:ascii="Verdana" w:hAnsi="Verdana" w:cs="Arial"/>
          <w:b/>
          <w:lang w:val="es-ES_tradnl"/>
        </w:rPr>
        <w:t>– Relaciones de parentesco</w:t>
      </w:r>
    </w:p>
    <w:p w14:paraId="7C4025B1" w14:textId="77777777" w:rsidR="00C90BD8" w:rsidRPr="00C90BD8" w:rsidRDefault="00C90BD8" w:rsidP="00C90BD8">
      <w:pPr>
        <w:spacing w:after="0" w:line="240" w:lineRule="auto"/>
        <w:jc w:val="both"/>
        <w:rPr>
          <w:rFonts w:ascii="Verdana" w:hAnsi="Verdana"/>
          <w:i/>
          <w:iCs/>
          <w:sz w:val="20"/>
        </w:rPr>
      </w:pPr>
      <w:r w:rsidRPr="00CB71E4">
        <w:rPr>
          <w:rFonts w:ascii="Verdana" w:hAnsi="Verdana"/>
          <w:sz w:val="20"/>
        </w:rPr>
        <w:t xml:space="preserve">(…) En relación con el supuesto de hecho materia de consulta resulta relevante analizar si se configura la incompatibilidad establecida en </w:t>
      </w:r>
      <w:r>
        <w:rPr>
          <w:rFonts w:ascii="Verdana" w:hAnsi="Verdana"/>
          <w:sz w:val="20"/>
        </w:rPr>
        <w:t>los</w:t>
      </w:r>
      <w:r w:rsidRPr="00CB71E4">
        <w:rPr>
          <w:rFonts w:ascii="Verdana" w:hAnsi="Verdana"/>
          <w:sz w:val="20"/>
        </w:rPr>
        <w:t xml:space="preserve"> literal</w:t>
      </w:r>
      <w:r>
        <w:rPr>
          <w:rFonts w:ascii="Verdana" w:hAnsi="Verdana"/>
          <w:sz w:val="20"/>
        </w:rPr>
        <w:t>es</w:t>
      </w:r>
      <w:r w:rsidRPr="00CB71E4">
        <w:rPr>
          <w:rFonts w:ascii="Verdana" w:hAnsi="Verdana"/>
          <w:sz w:val="20"/>
        </w:rPr>
        <w:t xml:space="preserve"> b</w:t>
      </w:r>
      <w:r>
        <w:rPr>
          <w:rFonts w:ascii="Verdana" w:hAnsi="Verdana"/>
          <w:sz w:val="20"/>
        </w:rPr>
        <w:t>, c y d</w:t>
      </w:r>
      <w:r w:rsidRPr="00CB71E4">
        <w:rPr>
          <w:rFonts w:ascii="Verdana" w:hAnsi="Verdana"/>
          <w:sz w:val="20"/>
        </w:rPr>
        <w:t xml:space="preserve"> del numeral 2 artículo 8 de la Ley 80 de 1993, en virtud de la cual no pueden celebrar contratos estatales “(…) b) Las personas que tengan vínculos de parentesco, hasta el segundo grado de consanguinidad, segundo de afinidad o primero civil con los servidores públicos de los niveles directivo, asesor, ejecutivo o con los miembros de la junta o consejo directivo, o con las personas que ejerzan el control interno o fiscal de la entidad contratante</w:t>
      </w:r>
      <w:r>
        <w:rPr>
          <w:rFonts w:ascii="Verdana" w:hAnsi="Verdana"/>
          <w:sz w:val="20"/>
        </w:rPr>
        <w:t xml:space="preserve">, </w:t>
      </w:r>
      <w:r w:rsidRPr="00C90BD8">
        <w:rPr>
          <w:rFonts w:ascii="Verdana" w:hAnsi="Verdana"/>
          <w:i/>
          <w:iCs/>
          <w:sz w:val="20"/>
        </w:rPr>
        <w:t>c) El cónyuge </w:t>
      </w:r>
      <w:r w:rsidRPr="00C90BD8">
        <w:rPr>
          <w:rFonts w:ascii="Verdana" w:hAnsi="Verdana"/>
          <w:i/>
          <w:iCs/>
          <w:sz w:val="20"/>
          <w:u w:val="single"/>
        </w:rPr>
        <w:t>compañero o compañera permanente</w:t>
      </w:r>
      <w:r w:rsidRPr="00C90BD8">
        <w:rPr>
          <w:rFonts w:ascii="Verdana" w:hAnsi="Verdana"/>
          <w:i/>
          <w:iCs/>
          <w:sz w:val="20"/>
        </w:rPr>
        <w:t> del servidor público en los niveles directivo, asesor, ejecutivo, o de un miembro de la junta o consejo directivo, o de quien ejerza funciones de control interno o de control fiscal.</w:t>
      </w:r>
    </w:p>
    <w:p w14:paraId="43F2F64E" w14:textId="77777777" w:rsidR="00C90BD8" w:rsidRPr="00C90BD8" w:rsidRDefault="00C90BD8" w:rsidP="00C90BD8">
      <w:pPr>
        <w:spacing w:after="0" w:line="240" w:lineRule="auto"/>
        <w:jc w:val="both"/>
        <w:rPr>
          <w:rFonts w:ascii="Verdana" w:hAnsi="Verdana"/>
          <w:i/>
          <w:iCs/>
          <w:sz w:val="20"/>
        </w:rPr>
      </w:pPr>
    </w:p>
    <w:p w14:paraId="094BDD76" w14:textId="1AD93B60" w:rsidR="00C90BD8" w:rsidRPr="00C90BD8" w:rsidRDefault="00C90BD8" w:rsidP="00C90BD8">
      <w:pPr>
        <w:spacing w:after="0" w:line="240" w:lineRule="auto"/>
        <w:jc w:val="both"/>
        <w:rPr>
          <w:rFonts w:ascii="Verdana" w:hAnsi="Verdana"/>
          <w:i/>
          <w:iCs/>
          <w:sz w:val="20"/>
        </w:rPr>
      </w:pPr>
      <w:r w:rsidRPr="00C90BD8">
        <w:rPr>
          <w:rFonts w:ascii="Verdana" w:hAnsi="Verdana"/>
          <w:i/>
          <w:iCs/>
          <w:sz w:val="20"/>
        </w:rPr>
        <w:t>d)</w:t>
      </w:r>
      <w:r w:rsidRPr="00C90BD8">
        <w:rPr>
          <w:rFonts w:ascii="Verdana" w:hAnsi="Verdana"/>
          <w:sz w:val="20"/>
        </w:rPr>
        <w:t xml:space="preserve"> </w:t>
      </w:r>
      <w:r w:rsidRPr="00C90BD8">
        <w:rPr>
          <w:rFonts w:ascii="Verdana" w:hAnsi="Verdana"/>
          <w:i/>
          <w:iCs/>
          <w:sz w:val="20"/>
        </w:rPr>
        <w:t>Las corporaciones, asociaciones, fundaciones y las sociedades anónimas que no tengan el carácter de abiertas, así como las sociedades de responsabilidad limitada y las demás sociedades de personas en las que el servidor público en los niveles directivo, asesor o ejecutivo, o el miembro de la junta o consejo directivo, o el cónyuge, </w:t>
      </w:r>
      <w:r w:rsidRPr="00C90BD8">
        <w:rPr>
          <w:rFonts w:ascii="Verdana" w:hAnsi="Verdana"/>
          <w:i/>
          <w:iCs/>
          <w:sz w:val="20"/>
          <w:u w:val="single"/>
        </w:rPr>
        <w:t>compañero o compañera permanente</w:t>
      </w:r>
      <w:r w:rsidRPr="00C90BD8">
        <w:rPr>
          <w:rFonts w:ascii="Verdana" w:hAnsi="Verdana"/>
          <w:i/>
          <w:iCs/>
          <w:sz w:val="20"/>
        </w:rPr>
        <w:t> o los parientes hasta el segundo grado de consanguinidad, afinidad o civil de cualquiera de ello, tenga participación o desempeñe cargos de dirección o manejo.</w:t>
      </w:r>
      <w:r w:rsidRPr="00CB71E4">
        <w:rPr>
          <w:rFonts w:ascii="Verdana" w:hAnsi="Verdana"/>
          <w:sz w:val="20"/>
        </w:rPr>
        <w:t xml:space="preserve"> (…)”.</w:t>
      </w:r>
    </w:p>
    <w:p w14:paraId="044D52BE" w14:textId="77777777" w:rsidR="00C90BD8" w:rsidRPr="00C90BD8" w:rsidRDefault="00C90BD8" w:rsidP="00C90BD8">
      <w:pPr>
        <w:spacing w:after="0" w:line="240" w:lineRule="auto"/>
        <w:rPr>
          <w:rFonts w:ascii="Verdana" w:eastAsia="Geomanist Light" w:hAnsi="Verdana" w:cs="Arial"/>
          <w:lang w:val="es-MX"/>
        </w:rPr>
      </w:pPr>
    </w:p>
    <w:p w14:paraId="38A717E7" w14:textId="77777777" w:rsidR="00C90BD8" w:rsidRDefault="00C90BD8" w:rsidP="00273578">
      <w:pPr>
        <w:spacing w:after="0" w:line="240" w:lineRule="auto"/>
        <w:rPr>
          <w:rFonts w:ascii="Verdana" w:eastAsia="Geomanist Light" w:hAnsi="Verdana" w:cs="Arial"/>
          <w:lang w:val="es-MX"/>
        </w:rPr>
      </w:pPr>
    </w:p>
    <w:p w14:paraId="07B9C897" w14:textId="77777777" w:rsidR="00C90BD8" w:rsidRDefault="00C90BD8" w:rsidP="00273578">
      <w:pPr>
        <w:spacing w:after="0" w:line="240" w:lineRule="auto"/>
        <w:rPr>
          <w:rFonts w:ascii="Verdana" w:eastAsia="Geomanist Light" w:hAnsi="Verdana" w:cs="Arial"/>
          <w:lang w:val="es-MX"/>
        </w:rPr>
      </w:pPr>
    </w:p>
    <w:p w14:paraId="290F41FB" w14:textId="77777777" w:rsidR="00C90BD8" w:rsidRDefault="00C90BD8" w:rsidP="00273578">
      <w:pPr>
        <w:spacing w:after="0" w:line="240" w:lineRule="auto"/>
        <w:rPr>
          <w:rFonts w:ascii="Verdana" w:eastAsia="Geomanist Light" w:hAnsi="Verdana" w:cs="Arial"/>
          <w:lang w:val="es-MX"/>
        </w:rPr>
      </w:pPr>
    </w:p>
    <w:p w14:paraId="769717C8" w14:textId="77777777" w:rsidR="00C90BD8" w:rsidRDefault="00C90BD8" w:rsidP="00273578">
      <w:pPr>
        <w:spacing w:after="0" w:line="240" w:lineRule="auto"/>
        <w:rPr>
          <w:rFonts w:ascii="Verdana" w:eastAsia="Geomanist Light" w:hAnsi="Verdana" w:cs="Arial"/>
          <w:lang w:val="es-MX"/>
        </w:rPr>
      </w:pPr>
    </w:p>
    <w:p w14:paraId="2D4FA3FF" w14:textId="77777777" w:rsidR="00C90BD8" w:rsidRDefault="00C90BD8" w:rsidP="00273578">
      <w:pPr>
        <w:spacing w:after="0" w:line="240" w:lineRule="auto"/>
        <w:rPr>
          <w:rFonts w:ascii="Verdana" w:eastAsia="Geomanist Light" w:hAnsi="Verdana" w:cs="Arial"/>
          <w:lang w:val="es-MX"/>
        </w:rPr>
      </w:pPr>
    </w:p>
    <w:p w14:paraId="0ADBDCAA" w14:textId="77777777" w:rsidR="00C90BD8" w:rsidRDefault="00C90BD8" w:rsidP="00273578">
      <w:pPr>
        <w:spacing w:after="0" w:line="240" w:lineRule="auto"/>
        <w:rPr>
          <w:rFonts w:ascii="Verdana" w:eastAsia="Geomanist Light" w:hAnsi="Verdana" w:cs="Arial"/>
          <w:lang w:val="es-MX"/>
        </w:rPr>
      </w:pPr>
    </w:p>
    <w:p w14:paraId="1CA59BE1" w14:textId="77777777" w:rsidR="00C90BD8" w:rsidRDefault="00C90BD8" w:rsidP="00273578">
      <w:pPr>
        <w:spacing w:after="0" w:line="240" w:lineRule="auto"/>
        <w:rPr>
          <w:rFonts w:ascii="Verdana" w:eastAsia="Geomanist Light" w:hAnsi="Verdana" w:cs="Arial"/>
          <w:lang w:val="es-MX"/>
        </w:rPr>
      </w:pPr>
    </w:p>
    <w:p w14:paraId="47C4E512" w14:textId="77777777" w:rsidR="00C90BD8" w:rsidRDefault="00C90BD8" w:rsidP="00273578">
      <w:pPr>
        <w:spacing w:after="0" w:line="240" w:lineRule="auto"/>
        <w:rPr>
          <w:rFonts w:ascii="Verdana" w:eastAsia="Geomanist Light" w:hAnsi="Verdana" w:cs="Arial"/>
          <w:lang w:val="es-MX"/>
        </w:rPr>
      </w:pPr>
    </w:p>
    <w:p w14:paraId="519F137C" w14:textId="77777777" w:rsidR="00C90BD8" w:rsidRDefault="00C90BD8" w:rsidP="00273578">
      <w:pPr>
        <w:spacing w:after="0" w:line="240" w:lineRule="auto"/>
        <w:rPr>
          <w:rFonts w:ascii="Verdana" w:eastAsia="Geomanist Light" w:hAnsi="Verdana" w:cs="Arial"/>
          <w:lang w:val="es-MX"/>
        </w:rPr>
      </w:pPr>
    </w:p>
    <w:p w14:paraId="55D7803F" w14:textId="77777777" w:rsidR="00C90BD8" w:rsidRDefault="00C90BD8" w:rsidP="00273578">
      <w:pPr>
        <w:spacing w:after="0" w:line="240" w:lineRule="auto"/>
        <w:rPr>
          <w:rFonts w:ascii="Verdana" w:eastAsia="Geomanist Light" w:hAnsi="Verdana" w:cs="Arial"/>
          <w:lang w:val="es-MX"/>
        </w:rPr>
      </w:pPr>
    </w:p>
    <w:p w14:paraId="40CBB4EC" w14:textId="77777777" w:rsidR="00C90BD8" w:rsidRDefault="00C90BD8" w:rsidP="00273578">
      <w:pPr>
        <w:spacing w:after="0" w:line="240" w:lineRule="auto"/>
        <w:rPr>
          <w:rFonts w:ascii="Verdana" w:eastAsia="Geomanist Light" w:hAnsi="Verdana" w:cs="Arial"/>
          <w:lang w:val="es-MX"/>
        </w:rPr>
      </w:pPr>
    </w:p>
    <w:p w14:paraId="35DB6E99" w14:textId="77777777" w:rsidR="00C90BD8" w:rsidRDefault="00C90BD8" w:rsidP="00273578">
      <w:pPr>
        <w:spacing w:after="0" w:line="240" w:lineRule="auto"/>
        <w:rPr>
          <w:rFonts w:ascii="Verdana" w:eastAsia="Geomanist Light" w:hAnsi="Verdana" w:cs="Arial"/>
          <w:lang w:val="es-MX"/>
        </w:rPr>
      </w:pPr>
    </w:p>
    <w:p w14:paraId="2125D56B" w14:textId="77777777" w:rsidR="00C90BD8" w:rsidRDefault="00C90BD8" w:rsidP="00273578">
      <w:pPr>
        <w:spacing w:after="0" w:line="240" w:lineRule="auto"/>
        <w:rPr>
          <w:rFonts w:ascii="Verdana" w:eastAsia="Geomanist Light" w:hAnsi="Verdana" w:cs="Arial"/>
          <w:lang w:val="es-MX"/>
        </w:rPr>
      </w:pPr>
    </w:p>
    <w:p w14:paraId="1B8F6CAA" w14:textId="77777777" w:rsidR="00C90BD8" w:rsidRDefault="00C90BD8" w:rsidP="00273578">
      <w:pPr>
        <w:spacing w:after="0" w:line="240" w:lineRule="auto"/>
        <w:rPr>
          <w:rFonts w:ascii="Verdana" w:eastAsia="Geomanist Light" w:hAnsi="Verdana" w:cs="Arial"/>
          <w:lang w:val="es-MX"/>
        </w:rPr>
      </w:pPr>
    </w:p>
    <w:p w14:paraId="41975F51" w14:textId="77777777" w:rsidR="00C90BD8" w:rsidRDefault="00C90BD8" w:rsidP="00273578">
      <w:pPr>
        <w:spacing w:after="0" w:line="240" w:lineRule="auto"/>
        <w:rPr>
          <w:rFonts w:ascii="Verdana" w:eastAsia="Geomanist Light" w:hAnsi="Verdana" w:cs="Arial"/>
          <w:lang w:val="es-MX"/>
        </w:rPr>
      </w:pPr>
    </w:p>
    <w:p w14:paraId="49C6ED1C" w14:textId="77777777" w:rsidR="00C90BD8" w:rsidRDefault="00C90BD8" w:rsidP="00273578">
      <w:pPr>
        <w:spacing w:after="0" w:line="240" w:lineRule="auto"/>
        <w:rPr>
          <w:rFonts w:ascii="Verdana" w:eastAsia="Geomanist Light" w:hAnsi="Verdana" w:cs="Arial"/>
          <w:lang w:val="es-MX"/>
        </w:rPr>
      </w:pPr>
    </w:p>
    <w:p w14:paraId="14A2DC1A" w14:textId="77777777" w:rsidR="00C90BD8" w:rsidRDefault="00C90BD8" w:rsidP="00273578">
      <w:pPr>
        <w:spacing w:after="0" w:line="240" w:lineRule="auto"/>
        <w:rPr>
          <w:rFonts w:ascii="Verdana" w:eastAsia="Geomanist Light" w:hAnsi="Verdana" w:cs="Arial"/>
          <w:lang w:val="es-MX"/>
        </w:rPr>
      </w:pPr>
    </w:p>
    <w:p w14:paraId="7C87D297" w14:textId="77777777" w:rsidR="00C90BD8" w:rsidRDefault="00C90BD8" w:rsidP="00273578">
      <w:pPr>
        <w:spacing w:after="0" w:line="240" w:lineRule="auto"/>
        <w:rPr>
          <w:rFonts w:ascii="Verdana" w:eastAsia="Geomanist Light" w:hAnsi="Verdana" w:cs="Arial"/>
          <w:lang w:val="es-MX"/>
        </w:rPr>
      </w:pPr>
    </w:p>
    <w:p w14:paraId="7BB6EEA4" w14:textId="77777777" w:rsidR="00C90BD8" w:rsidRDefault="00C90BD8" w:rsidP="00273578">
      <w:pPr>
        <w:spacing w:after="0" w:line="240" w:lineRule="auto"/>
        <w:rPr>
          <w:rFonts w:ascii="Verdana" w:eastAsia="Geomanist Light" w:hAnsi="Verdana" w:cs="Arial"/>
          <w:lang w:val="es-MX"/>
        </w:rPr>
      </w:pPr>
    </w:p>
    <w:p w14:paraId="4D4AC2C1" w14:textId="77777777" w:rsidR="00C90BD8" w:rsidRDefault="00C90BD8" w:rsidP="00273578">
      <w:pPr>
        <w:spacing w:after="0" w:line="240" w:lineRule="auto"/>
        <w:rPr>
          <w:rFonts w:ascii="Verdana" w:eastAsia="Geomanist Light" w:hAnsi="Verdana" w:cs="Arial"/>
          <w:lang w:val="es-MX"/>
        </w:rPr>
      </w:pPr>
    </w:p>
    <w:p w14:paraId="4E7C434D" w14:textId="77777777" w:rsidR="00C90BD8" w:rsidRDefault="00C90BD8" w:rsidP="00273578">
      <w:pPr>
        <w:spacing w:after="0" w:line="240" w:lineRule="auto"/>
        <w:rPr>
          <w:rFonts w:ascii="Verdana" w:eastAsia="Geomanist Light" w:hAnsi="Verdana" w:cs="Arial"/>
          <w:lang w:val="es-MX"/>
        </w:rPr>
      </w:pPr>
    </w:p>
    <w:p w14:paraId="6A3D80B1" w14:textId="77777777" w:rsidR="00C90BD8" w:rsidRDefault="00C90BD8" w:rsidP="00273578">
      <w:pPr>
        <w:spacing w:after="0" w:line="240" w:lineRule="auto"/>
        <w:rPr>
          <w:rFonts w:ascii="Verdana" w:eastAsia="Geomanist Light" w:hAnsi="Verdana" w:cs="Arial"/>
          <w:lang w:val="es-MX"/>
        </w:rPr>
      </w:pPr>
    </w:p>
    <w:p w14:paraId="253B164B" w14:textId="77777777" w:rsidR="00C90BD8" w:rsidRDefault="00C90BD8" w:rsidP="00273578">
      <w:pPr>
        <w:spacing w:after="0" w:line="240" w:lineRule="auto"/>
        <w:rPr>
          <w:rFonts w:ascii="Verdana" w:eastAsia="Geomanist Light" w:hAnsi="Verdana" w:cs="Arial"/>
          <w:lang w:val="es-MX"/>
        </w:rPr>
      </w:pPr>
    </w:p>
    <w:p w14:paraId="45425F33" w14:textId="77777777" w:rsidR="00C90BD8" w:rsidRDefault="00C90BD8" w:rsidP="00273578">
      <w:pPr>
        <w:spacing w:after="0" w:line="240" w:lineRule="auto"/>
        <w:rPr>
          <w:rFonts w:ascii="Verdana" w:eastAsia="Geomanist Light" w:hAnsi="Verdana" w:cs="Arial"/>
          <w:lang w:val="es-MX"/>
        </w:rPr>
      </w:pPr>
    </w:p>
    <w:p w14:paraId="3C277FDA" w14:textId="77777777" w:rsidR="00C90BD8" w:rsidRDefault="00C90BD8" w:rsidP="00273578">
      <w:pPr>
        <w:spacing w:after="0" w:line="240" w:lineRule="auto"/>
        <w:rPr>
          <w:rFonts w:ascii="Verdana" w:eastAsia="Geomanist Light" w:hAnsi="Verdana" w:cs="Arial"/>
          <w:lang w:val="es-MX"/>
        </w:rPr>
      </w:pPr>
    </w:p>
    <w:p w14:paraId="5DE2380E" w14:textId="77777777" w:rsidR="00C90BD8" w:rsidRDefault="00C90BD8" w:rsidP="00273578">
      <w:pPr>
        <w:spacing w:after="0" w:line="240" w:lineRule="auto"/>
        <w:rPr>
          <w:rFonts w:ascii="Verdana" w:eastAsia="Geomanist Light" w:hAnsi="Verdana" w:cs="Arial"/>
          <w:lang w:val="es-MX"/>
        </w:rPr>
      </w:pPr>
    </w:p>
    <w:p w14:paraId="2E34A195" w14:textId="77777777" w:rsidR="00C90BD8" w:rsidRDefault="00C90BD8" w:rsidP="00273578">
      <w:pPr>
        <w:spacing w:after="0" w:line="240" w:lineRule="auto"/>
        <w:rPr>
          <w:rFonts w:ascii="Verdana" w:eastAsia="Geomanist Light" w:hAnsi="Verdana" w:cs="Arial"/>
          <w:lang w:val="es-MX"/>
        </w:rPr>
      </w:pPr>
    </w:p>
    <w:p w14:paraId="70B71F2F" w14:textId="77777777" w:rsidR="00C90BD8" w:rsidRDefault="00C90BD8" w:rsidP="00273578">
      <w:pPr>
        <w:spacing w:after="0" w:line="240" w:lineRule="auto"/>
        <w:rPr>
          <w:rFonts w:ascii="Verdana" w:eastAsia="Geomanist Light" w:hAnsi="Verdana" w:cs="Arial"/>
          <w:lang w:val="es-MX"/>
        </w:rPr>
      </w:pPr>
    </w:p>
    <w:p w14:paraId="3EA5E05D" w14:textId="77777777" w:rsidR="00C90BD8" w:rsidRDefault="00C90BD8" w:rsidP="00273578">
      <w:pPr>
        <w:spacing w:after="0" w:line="240" w:lineRule="auto"/>
        <w:rPr>
          <w:rFonts w:ascii="Verdana" w:eastAsia="Geomanist Light" w:hAnsi="Verdana" w:cs="Arial"/>
          <w:lang w:val="es-MX"/>
        </w:rPr>
      </w:pPr>
    </w:p>
    <w:p w14:paraId="345B5069" w14:textId="77777777" w:rsidR="00C90BD8" w:rsidRDefault="00C90BD8" w:rsidP="00273578">
      <w:pPr>
        <w:spacing w:after="0" w:line="240" w:lineRule="auto"/>
        <w:rPr>
          <w:rFonts w:ascii="Verdana" w:eastAsia="Geomanist Light" w:hAnsi="Verdana" w:cs="Arial"/>
          <w:lang w:val="es-MX"/>
        </w:rPr>
      </w:pPr>
    </w:p>
    <w:p w14:paraId="668BDC34" w14:textId="77777777" w:rsidR="00C90BD8" w:rsidRDefault="00C90BD8" w:rsidP="00273578">
      <w:pPr>
        <w:spacing w:after="0" w:line="240" w:lineRule="auto"/>
        <w:rPr>
          <w:rFonts w:ascii="Verdana" w:eastAsia="Geomanist Light" w:hAnsi="Verdana" w:cs="Arial"/>
          <w:lang w:val="es-MX"/>
        </w:rPr>
      </w:pPr>
    </w:p>
    <w:p w14:paraId="6CAC170D" w14:textId="77777777" w:rsidR="00C90BD8" w:rsidRDefault="00C90BD8" w:rsidP="00273578">
      <w:pPr>
        <w:spacing w:after="0" w:line="240" w:lineRule="auto"/>
        <w:rPr>
          <w:rFonts w:ascii="Verdana" w:eastAsia="Geomanist Light" w:hAnsi="Verdana" w:cs="Arial"/>
          <w:lang w:val="es-MX"/>
        </w:rPr>
      </w:pPr>
    </w:p>
    <w:p w14:paraId="2C424148" w14:textId="77777777" w:rsidR="00C90BD8" w:rsidRDefault="00C90BD8" w:rsidP="00273578">
      <w:pPr>
        <w:spacing w:after="0" w:line="240" w:lineRule="auto"/>
        <w:rPr>
          <w:rFonts w:ascii="Verdana" w:eastAsia="Geomanist Light" w:hAnsi="Verdana" w:cs="Arial"/>
          <w:lang w:val="es-MX"/>
        </w:rPr>
      </w:pPr>
    </w:p>
    <w:p w14:paraId="1E5C240B" w14:textId="77777777" w:rsidR="00C90BD8" w:rsidRDefault="00C90BD8" w:rsidP="00273578">
      <w:pPr>
        <w:spacing w:after="0" w:line="240" w:lineRule="auto"/>
        <w:rPr>
          <w:rFonts w:ascii="Verdana" w:eastAsia="Geomanist Light" w:hAnsi="Verdana" w:cs="Arial"/>
          <w:lang w:val="es-MX"/>
        </w:rPr>
      </w:pPr>
    </w:p>
    <w:p w14:paraId="75A0E4DA" w14:textId="77777777" w:rsidR="00C90BD8" w:rsidRDefault="00C90BD8" w:rsidP="00273578">
      <w:pPr>
        <w:spacing w:after="0" w:line="240" w:lineRule="auto"/>
        <w:rPr>
          <w:rFonts w:ascii="Verdana" w:eastAsia="Geomanist Light" w:hAnsi="Verdana" w:cs="Arial"/>
          <w:lang w:val="es-MX"/>
        </w:rPr>
      </w:pPr>
    </w:p>
    <w:p w14:paraId="24E4AA60" w14:textId="1AC794B7" w:rsidR="00273578" w:rsidRPr="00273578" w:rsidRDefault="00273578" w:rsidP="00273578">
      <w:pPr>
        <w:spacing w:after="0" w:line="240" w:lineRule="auto"/>
        <w:rPr>
          <w:rFonts w:ascii="Verdana" w:eastAsia="Geomanist Light" w:hAnsi="Verdana" w:cs="Arial"/>
          <w:lang w:val="es-MX"/>
        </w:rPr>
      </w:pPr>
      <w:r w:rsidRPr="00273578">
        <w:rPr>
          <w:rFonts w:ascii="Verdana" w:eastAsia="Geomanist Light" w:hAnsi="Verdana" w:cs="Arial"/>
          <w:lang w:val="es-MX"/>
        </w:rPr>
        <w:lastRenderedPageBreak/>
        <w:t>Bogotá D.C., [Día] de [</w:t>
      </w:r>
      <w:proofErr w:type="spellStart"/>
      <w:r w:rsidRPr="00273578">
        <w:rPr>
          <w:rFonts w:ascii="Verdana" w:eastAsia="Geomanist Light" w:hAnsi="Verdana" w:cs="Arial"/>
          <w:lang w:val="es-MX"/>
        </w:rPr>
        <w:t>Mes.NombreCapitalizado</w:t>
      </w:r>
      <w:proofErr w:type="spellEnd"/>
      <w:r w:rsidRPr="00273578">
        <w:rPr>
          <w:rFonts w:ascii="Verdana" w:eastAsia="Geomanist Light" w:hAnsi="Verdana" w:cs="Arial"/>
          <w:lang w:val="es-MX"/>
        </w:rPr>
        <w:t>] de [Año]</w:t>
      </w:r>
    </w:p>
    <w:p w14:paraId="7368DD12" w14:textId="78E3C51C" w:rsidR="00273578" w:rsidRDefault="00C90BD8" w:rsidP="00273578">
      <w:pPr>
        <w:spacing w:after="0" w:line="240" w:lineRule="auto"/>
        <w:jc w:val="both"/>
        <w:rPr>
          <w:rFonts w:ascii="Verdana" w:eastAsia="Calibri" w:hAnsi="Verdana" w:cs="Arial"/>
          <w:lang w:val="es-ES"/>
        </w:rPr>
      </w:pPr>
      <w:r w:rsidRPr="00C90BD8">
        <w:rPr>
          <w:rFonts w:ascii="Verdana" w:eastAsia="Calibri" w:hAnsi="Verdana" w:cs="Arial"/>
          <w:lang w:val="es-ES"/>
        </w:rPr>
        <w:drawing>
          <wp:anchor distT="0" distB="0" distL="114300" distR="114300" simplePos="0" relativeHeight="251658240" behindDoc="1" locked="0" layoutInCell="1" allowOverlap="1" wp14:anchorId="2E024A56" wp14:editId="2223CD90">
            <wp:simplePos x="0" y="0"/>
            <wp:positionH relativeFrom="column">
              <wp:posOffset>2676525</wp:posOffset>
            </wp:positionH>
            <wp:positionV relativeFrom="paragraph">
              <wp:posOffset>41910</wp:posOffset>
            </wp:positionV>
            <wp:extent cx="3696216" cy="1152686"/>
            <wp:effectExtent l="0" t="0" r="0" b="9525"/>
            <wp:wrapTight wrapText="bothSides">
              <wp:wrapPolygon edited="0">
                <wp:start x="0" y="0"/>
                <wp:lineTo x="0" y="21421"/>
                <wp:lineTo x="21489" y="21421"/>
                <wp:lineTo x="21489" y="0"/>
                <wp:lineTo x="0" y="0"/>
              </wp:wrapPolygon>
            </wp:wrapTight>
            <wp:docPr id="1528504122"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504122" name="Imagen 1" descr="Texto&#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3696216" cy="1152686"/>
                    </a:xfrm>
                    <a:prstGeom prst="rect">
                      <a:avLst/>
                    </a:prstGeom>
                  </pic:spPr>
                </pic:pic>
              </a:graphicData>
            </a:graphic>
          </wp:anchor>
        </w:drawing>
      </w:r>
    </w:p>
    <w:p w14:paraId="2CD938B4" w14:textId="77777777" w:rsidR="00C90BD8" w:rsidRDefault="00C90BD8" w:rsidP="00273578">
      <w:pPr>
        <w:spacing w:after="0" w:line="240" w:lineRule="auto"/>
        <w:jc w:val="both"/>
        <w:rPr>
          <w:rFonts w:ascii="Verdana" w:eastAsia="Calibri" w:hAnsi="Verdana" w:cs="Arial"/>
          <w:lang w:val="es-ES"/>
        </w:rPr>
      </w:pPr>
    </w:p>
    <w:p w14:paraId="3D9675AF" w14:textId="648E303F" w:rsidR="00C90BD8" w:rsidRDefault="00C90BD8" w:rsidP="00273578">
      <w:pPr>
        <w:spacing w:after="0" w:line="240" w:lineRule="auto"/>
        <w:jc w:val="both"/>
        <w:rPr>
          <w:rFonts w:ascii="Verdana" w:eastAsia="Calibri" w:hAnsi="Verdana" w:cs="Arial"/>
          <w:lang w:val="es-ES"/>
        </w:rPr>
      </w:pPr>
    </w:p>
    <w:p w14:paraId="012D4677" w14:textId="1F2F9270" w:rsidR="00C90BD8" w:rsidRDefault="00C90BD8" w:rsidP="00273578">
      <w:pPr>
        <w:spacing w:after="0" w:line="240" w:lineRule="auto"/>
        <w:jc w:val="both"/>
        <w:rPr>
          <w:rFonts w:ascii="Verdana" w:eastAsia="Calibri" w:hAnsi="Verdana" w:cs="Arial"/>
          <w:lang w:val="es-ES"/>
        </w:rPr>
      </w:pPr>
    </w:p>
    <w:p w14:paraId="18F5DE39" w14:textId="77777777" w:rsidR="00273578" w:rsidRPr="00273578" w:rsidRDefault="00273578" w:rsidP="00273578">
      <w:pPr>
        <w:spacing w:after="0" w:line="240" w:lineRule="auto"/>
        <w:rPr>
          <w:rFonts w:ascii="Verdana" w:eastAsia="Calibri" w:hAnsi="Verdana" w:cs="Arial"/>
          <w:lang w:val="es-MX" w:eastAsia="es-ES"/>
        </w:rPr>
      </w:pPr>
    </w:p>
    <w:p w14:paraId="2B5AECBA" w14:textId="77777777" w:rsidR="00273578" w:rsidRPr="00273578" w:rsidRDefault="00273578" w:rsidP="00273578">
      <w:pPr>
        <w:spacing w:after="0" w:line="240" w:lineRule="auto"/>
        <w:rPr>
          <w:rFonts w:ascii="Verdana" w:eastAsia="Calibri" w:hAnsi="Verdana" w:cs="Arial"/>
          <w:lang w:val="es-MX" w:eastAsia="es-ES"/>
        </w:rPr>
      </w:pPr>
    </w:p>
    <w:p w14:paraId="5A386200" w14:textId="77777777" w:rsidR="00273578" w:rsidRPr="00273578" w:rsidRDefault="00273578" w:rsidP="00273578">
      <w:pPr>
        <w:spacing w:after="0" w:line="240" w:lineRule="auto"/>
        <w:rPr>
          <w:rFonts w:ascii="Verdana" w:eastAsia="Calibri" w:hAnsi="Verdana" w:cs="Arial"/>
          <w:lang w:val="es-MX" w:eastAsia="es-ES"/>
        </w:rPr>
      </w:pPr>
      <w:r w:rsidRPr="00273578">
        <w:rPr>
          <w:rFonts w:ascii="Verdana" w:eastAsia="Calibri" w:hAnsi="Verdana" w:cs="Arial"/>
          <w:lang w:val="es-MX" w:eastAsia="es-ES"/>
        </w:rPr>
        <w:t>Señor</w:t>
      </w:r>
    </w:p>
    <w:p w14:paraId="40149050" w14:textId="77777777" w:rsidR="00273578" w:rsidRPr="00273578" w:rsidRDefault="00273578" w:rsidP="00273578">
      <w:pPr>
        <w:spacing w:after="0" w:line="240" w:lineRule="auto"/>
        <w:rPr>
          <w:rFonts w:ascii="Verdana" w:eastAsia="Calibri" w:hAnsi="Verdana" w:cs="Arial"/>
          <w:b/>
          <w:bCs/>
          <w:lang w:val="es-MX" w:eastAsia="es-ES"/>
        </w:rPr>
      </w:pPr>
      <w:r w:rsidRPr="00273578">
        <w:rPr>
          <w:rFonts w:ascii="Verdana" w:eastAsia="Calibri" w:hAnsi="Verdana" w:cs="Arial"/>
          <w:b/>
          <w:bCs/>
          <w:lang w:val="es-MX" w:eastAsia="es-ES"/>
        </w:rPr>
        <w:t>Miguel Jose Hurtado Taborda</w:t>
      </w:r>
    </w:p>
    <w:p w14:paraId="6FF11FA2" w14:textId="77777777" w:rsidR="00273578" w:rsidRPr="00273578" w:rsidRDefault="00273578" w:rsidP="00273578">
      <w:pPr>
        <w:spacing w:after="0" w:line="240" w:lineRule="auto"/>
        <w:rPr>
          <w:rFonts w:ascii="Verdana" w:eastAsia="Calibri" w:hAnsi="Verdana" w:cs="Arial"/>
          <w:lang w:val="es-MX" w:eastAsia="es-ES"/>
        </w:rPr>
      </w:pPr>
      <w:hyperlink r:id="rId11" w:history="1">
        <w:r w:rsidRPr="00273578">
          <w:rPr>
            <w:rFonts w:ascii="Verdana" w:eastAsia="Calibri" w:hAnsi="Verdana" w:cs="Arial"/>
            <w:color w:val="0000FF"/>
            <w:u w:val="single"/>
            <w:lang w:val="es-MX" w:eastAsia="es-ES"/>
          </w:rPr>
          <w:t>tramiger@gmail.com</w:t>
        </w:r>
      </w:hyperlink>
    </w:p>
    <w:p w14:paraId="10576A23" w14:textId="77777777" w:rsidR="00273578" w:rsidRPr="00273578" w:rsidRDefault="00273578" w:rsidP="00273578">
      <w:pPr>
        <w:spacing w:after="0" w:line="240" w:lineRule="auto"/>
        <w:rPr>
          <w:rFonts w:ascii="Verdana" w:eastAsia="Calibri" w:hAnsi="Verdana" w:cs="Arial"/>
          <w:lang w:val="es-ES" w:eastAsia="es-ES"/>
        </w:rPr>
      </w:pPr>
      <w:r w:rsidRPr="00273578">
        <w:rPr>
          <w:rFonts w:ascii="Verdana" w:eastAsia="Calibri" w:hAnsi="Verdana" w:cs="Arial"/>
          <w:lang w:val="es-ES" w:eastAsia="es-ES"/>
        </w:rPr>
        <w:t>Yolombo, Antioquia</w:t>
      </w:r>
    </w:p>
    <w:p w14:paraId="048F83EE" w14:textId="77777777" w:rsidR="00273578" w:rsidRPr="00273578" w:rsidRDefault="00273578" w:rsidP="00273578">
      <w:pPr>
        <w:spacing w:after="0" w:line="240" w:lineRule="auto"/>
        <w:rPr>
          <w:rFonts w:ascii="Verdana" w:eastAsia="Calibri" w:hAnsi="Verdana" w:cs="Arial"/>
          <w:b/>
          <w:bCs/>
          <w:lang w:val="es-ES_tradnl" w:eastAsia="es-ES_tradnl"/>
        </w:rPr>
      </w:pPr>
    </w:p>
    <w:p w14:paraId="10C4F251" w14:textId="77777777" w:rsidR="00273578" w:rsidRPr="00273578" w:rsidRDefault="00273578" w:rsidP="00273578">
      <w:pPr>
        <w:spacing w:after="0" w:line="240" w:lineRule="auto"/>
        <w:rPr>
          <w:rFonts w:ascii="Verdana" w:eastAsia="Calibri" w:hAnsi="Verdana" w:cs="Arial"/>
          <w:b/>
          <w:bCs/>
          <w:lang w:val="es-ES_tradnl" w:eastAsia="es-ES_tradnl"/>
        </w:rPr>
      </w:pPr>
    </w:p>
    <w:tbl>
      <w:tblPr>
        <w:tblStyle w:val="Tablaconcuadrcula1"/>
        <w:tblW w:w="878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273578" w:rsidRPr="00273578" w14:paraId="37C28D57" w14:textId="77777777" w:rsidTr="00273578">
        <w:trPr>
          <w:trHeight w:val="884"/>
        </w:trPr>
        <w:tc>
          <w:tcPr>
            <w:tcW w:w="2689" w:type="dxa"/>
          </w:tcPr>
          <w:p w14:paraId="6E90D162" w14:textId="77777777" w:rsidR="00273578" w:rsidRPr="00273578" w:rsidRDefault="00273578" w:rsidP="00273578">
            <w:pPr>
              <w:jc w:val="both"/>
              <w:rPr>
                <w:rFonts w:ascii="Verdana" w:hAnsi="Verdana" w:cs="Arial"/>
                <w:b/>
                <w:bCs/>
                <w:lang w:val="es-ES_tradnl" w:eastAsia="es-ES_tradnl"/>
              </w:rPr>
            </w:pPr>
          </w:p>
        </w:tc>
        <w:tc>
          <w:tcPr>
            <w:tcW w:w="6100" w:type="dxa"/>
            <w:hideMark/>
          </w:tcPr>
          <w:p w14:paraId="44BD9323" w14:textId="77777777" w:rsidR="00273578" w:rsidRPr="00273578" w:rsidRDefault="00273578" w:rsidP="00273578">
            <w:pPr>
              <w:jc w:val="both"/>
              <w:rPr>
                <w:rFonts w:ascii="Verdana" w:hAnsi="Verdana" w:cs="Arial"/>
                <w:b/>
                <w:bCs/>
                <w:lang w:val="es-ES" w:eastAsia="es-ES"/>
              </w:rPr>
            </w:pPr>
            <w:r w:rsidRPr="00273578">
              <w:rPr>
                <w:rFonts w:ascii="Verdana" w:hAnsi="Verdana" w:cs="Arial"/>
                <w:b/>
                <w:bCs/>
                <w:lang w:val="es-ES" w:eastAsia="es-ES"/>
              </w:rPr>
              <w:t xml:space="preserve">Concepto </w:t>
            </w:r>
            <w:r w:rsidRPr="00273578">
              <w:rPr>
                <w:rFonts w:ascii="Verdana" w:hAnsi="Verdana" w:cs="Arial"/>
                <w:b/>
                <w:bCs/>
                <w:lang w:val="es-MX" w:eastAsia="es-ES"/>
              </w:rPr>
              <w:t xml:space="preserve">C-601 </w:t>
            </w:r>
            <w:r w:rsidRPr="00273578">
              <w:rPr>
                <w:rFonts w:ascii="Verdana" w:hAnsi="Verdana" w:cs="Arial"/>
                <w:b/>
                <w:bCs/>
                <w:lang w:val="es-ES" w:eastAsia="es-ES"/>
              </w:rPr>
              <w:t>de 2024</w:t>
            </w:r>
          </w:p>
        </w:tc>
      </w:tr>
      <w:tr w:rsidR="00273578" w:rsidRPr="00273578" w14:paraId="33CB5F86" w14:textId="77777777" w:rsidTr="00273578">
        <w:trPr>
          <w:trHeight w:val="884"/>
        </w:trPr>
        <w:tc>
          <w:tcPr>
            <w:tcW w:w="2689" w:type="dxa"/>
            <w:hideMark/>
          </w:tcPr>
          <w:p w14:paraId="3DB52476" w14:textId="77777777" w:rsidR="00273578" w:rsidRPr="00273578" w:rsidRDefault="00273578" w:rsidP="00273578">
            <w:pPr>
              <w:jc w:val="both"/>
              <w:rPr>
                <w:rFonts w:ascii="Verdana" w:hAnsi="Verdana" w:cs="Arial"/>
                <w:lang w:val="es-ES_tradnl" w:eastAsia="es-ES_tradnl"/>
              </w:rPr>
            </w:pPr>
            <w:r w:rsidRPr="00273578">
              <w:rPr>
                <w:rFonts w:ascii="Verdana" w:hAnsi="Verdana" w:cs="Arial"/>
                <w:b/>
                <w:lang w:val="es-ES_tradnl" w:eastAsia="es-ES_tradnl"/>
              </w:rPr>
              <w:t>Temas:</w:t>
            </w:r>
            <w:r w:rsidRPr="00273578">
              <w:rPr>
                <w:rFonts w:ascii="Verdana" w:hAnsi="Verdana" w:cs="Arial"/>
                <w:lang w:val="es-ES_tradnl" w:eastAsia="es-ES_tradnl"/>
              </w:rPr>
              <w:t xml:space="preserve">                   </w:t>
            </w:r>
          </w:p>
        </w:tc>
        <w:tc>
          <w:tcPr>
            <w:tcW w:w="6100" w:type="dxa"/>
          </w:tcPr>
          <w:p w14:paraId="6944A53F" w14:textId="77777777" w:rsidR="00273578" w:rsidRPr="00273578" w:rsidRDefault="00273578" w:rsidP="00273578">
            <w:pPr>
              <w:jc w:val="both"/>
              <w:rPr>
                <w:rFonts w:ascii="Verdana" w:hAnsi="Verdana" w:cs="Arial"/>
                <w:b/>
                <w:bCs/>
                <w:lang w:val="es-ES_tradnl" w:eastAsia="es-ES"/>
              </w:rPr>
            </w:pPr>
            <w:r w:rsidRPr="00273578">
              <w:rPr>
                <w:rFonts w:ascii="Verdana" w:hAnsi="Verdana" w:cs="Arial"/>
                <w:bCs/>
                <w:lang w:val="es-ES_tradnl" w:eastAsia="es-ES"/>
              </w:rPr>
              <w:t>INHABILIDADES E INCOMPATIBILIDADES – Concepto – Principio de legalidad – Interpretación restrictiva / INCOMPATIBILIDAD – Ley 80 de 1993 – Artículo 8, numeral 2, literal b), c) y d) – Relaciones de parentesco</w:t>
            </w:r>
          </w:p>
          <w:p w14:paraId="09844EB0" w14:textId="77777777" w:rsidR="00273578" w:rsidRPr="00273578" w:rsidRDefault="00273578" w:rsidP="00273578">
            <w:pPr>
              <w:jc w:val="both"/>
              <w:rPr>
                <w:rFonts w:ascii="Verdana" w:hAnsi="Verdana" w:cs="Arial"/>
                <w:lang w:val="es-ES_tradnl" w:eastAsia="es-ES"/>
              </w:rPr>
            </w:pPr>
          </w:p>
        </w:tc>
      </w:tr>
      <w:tr w:rsidR="00273578" w:rsidRPr="00273578" w14:paraId="45B55F35" w14:textId="77777777" w:rsidTr="00273578">
        <w:tc>
          <w:tcPr>
            <w:tcW w:w="2689" w:type="dxa"/>
            <w:hideMark/>
          </w:tcPr>
          <w:p w14:paraId="1C1C6A41" w14:textId="77777777" w:rsidR="00273578" w:rsidRPr="00273578" w:rsidRDefault="00273578" w:rsidP="00273578">
            <w:pPr>
              <w:jc w:val="both"/>
              <w:rPr>
                <w:rFonts w:ascii="Verdana" w:hAnsi="Verdana" w:cs="Arial"/>
                <w:b/>
                <w:lang w:val="es-ES_tradnl" w:eastAsia="es-ES_tradnl"/>
              </w:rPr>
            </w:pPr>
            <w:r w:rsidRPr="00273578">
              <w:rPr>
                <w:rFonts w:ascii="Verdana" w:hAnsi="Verdana" w:cs="Arial"/>
                <w:b/>
                <w:lang w:val="es-ES_tradnl" w:eastAsia="es-ES_tradnl"/>
              </w:rPr>
              <w:t>Radicación:</w:t>
            </w:r>
            <w:r w:rsidRPr="00273578">
              <w:rPr>
                <w:rFonts w:ascii="Verdana" w:hAnsi="Verdana" w:cs="Arial"/>
                <w:lang w:val="es-ES_tradnl" w:eastAsia="es-ES_tradnl"/>
              </w:rPr>
              <w:t xml:space="preserve">               </w:t>
            </w:r>
          </w:p>
        </w:tc>
        <w:tc>
          <w:tcPr>
            <w:tcW w:w="6100" w:type="dxa"/>
          </w:tcPr>
          <w:p w14:paraId="0924F989" w14:textId="77777777" w:rsidR="00273578" w:rsidRPr="00273578" w:rsidRDefault="00273578" w:rsidP="00273578">
            <w:pPr>
              <w:jc w:val="both"/>
              <w:rPr>
                <w:rFonts w:ascii="Verdana" w:hAnsi="Verdana"/>
                <w:b/>
                <w:bCs/>
                <w:lang w:eastAsia="es-ES_tradnl"/>
              </w:rPr>
            </w:pPr>
            <w:r w:rsidRPr="00273578">
              <w:rPr>
                <w:rFonts w:ascii="Verdana" w:hAnsi="Verdana" w:cs="Arial"/>
                <w:lang w:val="es-ES_tradnl" w:eastAsia="es-ES_tradnl"/>
              </w:rPr>
              <w:t xml:space="preserve">Respuesta a consulta con radicado No. </w:t>
            </w:r>
            <w:r w:rsidRPr="00273578">
              <w:rPr>
                <w:rFonts w:ascii="Verdana" w:hAnsi="Verdana"/>
                <w:lang w:eastAsia="es-ES_tradnl"/>
              </w:rPr>
              <w:t>P20240912009298</w:t>
            </w:r>
          </w:p>
          <w:p w14:paraId="6A85BFE7" w14:textId="77777777" w:rsidR="00273578" w:rsidRPr="00273578" w:rsidRDefault="00273578" w:rsidP="00273578">
            <w:pPr>
              <w:jc w:val="both"/>
              <w:rPr>
                <w:rFonts w:ascii="Verdana" w:hAnsi="Verdana"/>
                <w:b/>
                <w:bCs/>
                <w:lang w:eastAsia="es-ES_tradnl"/>
              </w:rPr>
            </w:pPr>
          </w:p>
          <w:p w14:paraId="281FF788" w14:textId="77777777" w:rsidR="00273578" w:rsidRPr="00273578" w:rsidRDefault="00273578" w:rsidP="00273578">
            <w:pPr>
              <w:jc w:val="both"/>
              <w:rPr>
                <w:rFonts w:ascii="Verdana" w:hAnsi="Verdana"/>
                <w:b/>
                <w:bCs/>
                <w:lang w:eastAsia="es-ES_tradnl"/>
              </w:rPr>
            </w:pPr>
          </w:p>
          <w:p w14:paraId="6D67E47C" w14:textId="77777777" w:rsidR="00273578" w:rsidRPr="00273578" w:rsidRDefault="00273578" w:rsidP="00273578">
            <w:pPr>
              <w:jc w:val="both"/>
              <w:rPr>
                <w:rFonts w:ascii="Verdana" w:hAnsi="Verdana" w:cs="Arial"/>
                <w:lang w:val="es-ES_tradnl" w:eastAsia="es-ES_tradnl"/>
              </w:rPr>
            </w:pPr>
          </w:p>
        </w:tc>
      </w:tr>
    </w:tbl>
    <w:p w14:paraId="5A125F53" w14:textId="77777777" w:rsidR="00273578" w:rsidRPr="00273578" w:rsidRDefault="00273578" w:rsidP="00273578">
      <w:pPr>
        <w:spacing w:after="0" w:line="240" w:lineRule="auto"/>
        <w:jc w:val="both"/>
        <w:rPr>
          <w:rFonts w:ascii="Verdana" w:eastAsia="Calibri" w:hAnsi="Verdana" w:cs="Arial"/>
          <w:lang w:val="es-ES_tradnl" w:eastAsia="es-ES_tradnl"/>
        </w:rPr>
      </w:pPr>
    </w:p>
    <w:p w14:paraId="0DDFE2A6" w14:textId="77777777" w:rsidR="00273578" w:rsidRPr="00273578" w:rsidRDefault="00273578" w:rsidP="00273578">
      <w:pPr>
        <w:spacing w:after="0" w:line="240" w:lineRule="auto"/>
        <w:jc w:val="both"/>
        <w:rPr>
          <w:rFonts w:ascii="Verdana" w:eastAsia="Calibri" w:hAnsi="Verdana" w:cs="Arial"/>
          <w:lang w:val="es-ES_tradnl" w:eastAsia="es-ES_tradnl"/>
        </w:rPr>
      </w:pPr>
    </w:p>
    <w:p w14:paraId="6106B892" w14:textId="77777777" w:rsidR="00273578" w:rsidRPr="00273578" w:rsidRDefault="00273578" w:rsidP="00273578">
      <w:pPr>
        <w:spacing w:after="0" w:line="276" w:lineRule="auto"/>
        <w:jc w:val="both"/>
        <w:rPr>
          <w:rFonts w:ascii="Verdana" w:eastAsia="Calibri" w:hAnsi="Verdana" w:cs="Arial"/>
          <w:lang w:val="es-ES" w:eastAsia="es-ES"/>
        </w:rPr>
      </w:pPr>
      <w:r w:rsidRPr="00273578">
        <w:rPr>
          <w:rFonts w:ascii="Verdana" w:eastAsia="Calibri" w:hAnsi="Verdana" w:cs="Arial"/>
          <w:lang w:val="es-ES" w:eastAsia="es-ES"/>
        </w:rPr>
        <w:t xml:space="preserve">Estimado señor Hurtado: </w:t>
      </w:r>
    </w:p>
    <w:p w14:paraId="59E390B4" w14:textId="77777777" w:rsidR="00273578" w:rsidRPr="00273578" w:rsidRDefault="00273578" w:rsidP="00273578">
      <w:pPr>
        <w:tabs>
          <w:tab w:val="left" w:pos="3768"/>
        </w:tabs>
        <w:spacing w:after="0" w:line="276" w:lineRule="auto"/>
        <w:jc w:val="both"/>
        <w:rPr>
          <w:rFonts w:ascii="Verdana" w:eastAsia="Calibri" w:hAnsi="Verdana" w:cs="Arial"/>
          <w:lang w:val="es-ES" w:eastAsia="es-ES"/>
        </w:rPr>
      </w:pPr>
      <w:r w:rsidRPr="00273578">
        <w:rPr>
          <w:rFonts w:ascii="Verdana" w:eastAsia="Calibri" w:hAnsi="Verdana" w:cs="Arial"/>
          <w:lang w:val="es-ES" w:eastAsia="es-ES"/>
        </w:rPr>
        <w:tab/>
      </w:r>
    </w:p>
    <w:p w14:paraId="0A33372A" w14:textId="77777777" w:rsidR="00273578" w:rsidRPr="00273578" w:rsidRDefault="00273578" w:rsidP="00273578">
      <w:pPr>
        <w:spacing w:after="0" w:line="276" w:lineRule="auto"/>
        <w:jc w:val="both"/>
        <w:rPr>
          <w:rFonts w:ascii="Verdana" w:eastAsia="Calibri" w:hAnsi="Verdana" w:cs="Arial"/>
          <w:lang w:val="es-ES" w:eastAsia="es-ES"/>
        </w:rPr>
      </w:pPr>
      <w:r w:rsidRPr="00273578">
        <w:rPr>
          <w:rFonts w:ascii="Verdana" w:eastAsia="Calibri" w:hAnsi="Verdana" w:cs="Arial"/>
          <w:lang w:val="es-ES" w:eastAsia="es-ES"/>
        </w:rPr>
        <w:t>En ejercicio de la competencia otorgada por los artículos 3, numeral 5º, y 11, numeral 8º, del Decreto Ley 4170 de 2011,</w:t>
      </w:r>
      <w:r w:rsidRPr="00273578">
        <w:rPr>
          <w:rFonts w:ascii="Verdana" w:eastAsia="Arial MT" w:hAnsi="Verdana" w:cs="Arial MT"/>
          <w:lang w:val="es-ES" w:eastAsia="es-ES"/>
        </w:rPr>
        <w:t xml:space="preserve"> </w:t>
      </w:r>
      <w:r w:rsidRPr="00273578">
        <w:rPr>
          <w:rFonts w:ascii="Verdana" w:eastAsia="Calibri" w:hAnsi="Verdana" w:cs="Arial"/>
        </w:rPr>
        <w:t xml:space="preserve">así como lo establecido en el artículo 4 de la Resolución 1707 de 2018 expedida por esta Entidad, </w:t>
      </w:r>
      <w:r w:rsidRPr="00273578">
        <w:rPr>
          <w:rFonts w:ascii="Verdana" w:eastAsia="Calibri" w:hAnsi="Verdana" w:cs="Arial"/>
          <w:lang w:val="es-ES" w:eastAsia="es-ES"/>
        </w:rPr>
        <w:t xml:space="preserve">la Agencia Nacional de Contratación Pública – Colombia Compra Eficiente– responde su solicitud de consulta de fecha 12 de septiembre de 2024, en la cual manifiesta lo siguiente: </w:t>
      </w:r>
    </w:p>
    <w:p w14:paraId="69D7FDB4" w14:textId="77777777" w:rsidR="00273578" w:rsidRPr="00273578" w:rsidRDefault="00273578" w:rsidP="00273578">
      <w:pPr>
        <w:spacing w:after="0" w:line="240" w:lineRule="auto"/>
        <w:ind w:left="709" w:right="709"/>
        <w:jc w:val="both"/>
        <w:rPr>
          <w:rFonts w:ascii="Verdana" w:eastAsia="Century Gothic" w:hAnsi="Verdana" w:cs="Century Gothic"/>
          <w:sz w:val="20"/>
          <w:szCs w:val="20"/>
          <w:lang w:val="es-ES"/>
        </w:rPr>
      </w:pPr>
    </w:p>
    <w:p w14:paraId="1E2CCC1E" w14:textId="77777777" w:rsidR="00273578" w:rsidRPr="00273578" w:rsidRDefault="00273578" w:rsidP="00273578">
      <w:pPr>
        <w:spacing w:line="240" w:lineRule="auto"/>
        <w:ind w:left="709" w:right="709"/>
        <w:jc w:val="both"/>
        <w:rPr>
          <w:rFonts w:ascii="Verdana" w:eastAsia="Century Gothic" w:hAnsi="Verdana" w:cs="Century Gothic"/>
          <w:i/>
          <w:iCs/>
          <w:sz w:val="20"/>
          <w:szCs w:val="20"/>
        </w:rPr>
      </w:pPr>
      <w:r w:rsidRPr="00273578">
        <w:rPr>
          <w:rFonts w:ascii="Verdana" w:eastAsia="Century Gothic" w:hAnsi="Verdana" w:cs="Century Gothic"/>
          <w:i/>
          <w:iCs/>
          <w:sz w:val="20"/>
          <w:szCs w:val="20"/>
          <w:lang w:val="es-ES"/>
        </w:rPr>
        <w:t>“</w:t>
      </w:r>
      <w:r w:rsidRPr="00273578">
        <w:rPr>
          <w:rFonts w:ascii="Verdana" w:eastAsia="Century Gothic" w:hAnsi="Verdana" w:cs="Century Gothic"/>
          <w:i/>
          <w:iCs/>
          <w:sz w:val="20"/>
          <w:szCs w:val="20"/>
        </w:rPr>
        <w:t xml:space="preserve">Sírvanse responder en derecho y de forma clara y precisa </w:t>
      </w:r>
      <w:proofErr w:type="gramStart"/>
      <w:r w:rsidRPr="00273578">
        <w:rPr>
          <w:rFonts w:ascii="Verdana" w:eastAsia="Century Gothic" w:hAnsi="Verdana" w:cs="Century Gothic"/>
          <w:i/>
          <w:iCs/>
          <w:sz w:val="20"/>
          <w:szCs w:val="20"/>
        </w:rPr>
        <w:t>en relación a</w:t>
      </w:r>
      <w:proofErr w:type="gramEnd"/>
      <w:r w:rsidRPr="00273578">
        <w:rPr>
          <w:rFonts w:ascii="Verdana" w:eastAsia="Century Gothic" w:hAnsi="Verdana" w:cs="Century Gothic"/>
          <w:i/>
          <w:iCs/>
          <w:sz w:val="20"/>
          <w:szCs w:val="20"/>
        </w:rPr>
        <w:t xml:space="preserve"> las inhabilidades aplicables para cónyuges que trabajan como contratistas en una entidad territorial como asesores jurídicos y contable respectivamente. Agradezco su pronta ayuda.”</w:t>
      </w:r>
    </w:p>
    <w:p w14:paraId="379F59B0" w14:textId="77777777" w:rsidR="00273578" w:rsidRPr="00273578" w:rsidRDefault="00273578" w:rsidP="00273578">
      <w:pPr>
        <w:spacing w:line="240" w:lineRule="auto"/>
        <w:ind w:left="709" w:right="709"/>
        <w:jc w:val="both"/>
        <w:rPr>
          <w:rFonts w:ascii="Verdana" w:eastAsia="Calibri" w:hAnsi="Verdana" w:cs="Arial"/>
          <w:i/>
          <w:iCs/>
          <w:sz w:val="20"/>
          <w:szCs w:val="20"/>
          <w:shd w:val="clear" w:color="auto" w:fill="FFFFFF"/>
        </w:rPr>
      </w:pPr>
    </w:p>
    <w:p w14:paraId="77409704" w14:textId="77777777" w:rsidR="00273578" w:rsidRPr="00273578" w:rsidRDefault="00273578" w:rsidP="00273578">
      <w:pPr>
        <w:spacing w:after="120" w:line="276" w:lineRule="auto"/>
        <w:ind w:firstLine="709"/>
        <w:jc w:val="both"/>
        <w:rPr>
          <w:rFonts w:ascii="Verdana" w:eastAsia="Calibri" w:hAnsi="Verdana" w:cs="Arial"/>
          <w:szCs w:val="24"/>
          <w:lang w:val="es-ES_tradnl" w:eastAsia="es-ES_tradnl"/>
        </w:rPr>
      </w:pPr>
      <w:r w:rsidRPr="00273578">
        <w:rPr>
          <w:rFonts w:ascii="Verdana" w:eastAsia="Calibri" w:hAnsi="Verdana" w:cs="Arial"/>
          <w:lang w:val="es-ES" w:eastAsia="es-ES"/>
        </w:rPr>
        <w:lastRenderedPageBreak/>
        <w:t xml:space="preserve">De manera preliminar, resulta necesario resaltar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273578">
        <w:rPr>
          <w:rFonts w:ascii="Verdana" w:eastAsia="Calibri" w:hAnsi="Verdana" w:cs="Arial"/>
          <w:szCs w:val="24"/>
          <w:lang w:val="es-ES_tradnl" w:eastAsia="es-ES_tradnl"/>
        </w:rPr>
        <w:tab/>
      </w:r>
    </w:p>
    <w:p w14:paraId="03EE6BBE" w14:textId="77777777" w:rsidR="00273578" w:rsidRPr="00273578" w:rsidRDefault="00273578" w:rsidP="00273578">
      <w:pPr>
        <w:spacing w:after="0" w:line="276" w:lineRule="auto"/>
        <w:ind w:firstLine="708"/>
        <w:jc w:val="both"/>
        <w:rPr>
          <w:rFonts w:ascii="Verdana" w:eastAsia="Calibri" w:hAnsi="Verdana" w:cs="Arial"/>
          <w:lang w:val="es-ES" w:eastAsia="es-ES"/>
        </w:rPr>
      </w:pPr>
      <w:r w:rsidRPr="00273578">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 </w:t>
      </w:r>
    </w:p>
    <w:p w14:paraId="6CA81217" w14:textId="77777777" w:rsidR="00273578" w:rsidRPr="00273578" w:rsidRDefault="00273578" w:rsidP="00273578">
      <w:pPr>
        <w:spacing w:after="0" w:line="276" w:lineRule="auto"/>
        <w:ind w:firstLine="709"/>
        <w:jc w:val="both"/>
        <w:rPr>
          <w:rFonts w:ascii="Verdana" w:eastAsia="Calibri" w:hAnsi="Verdana" w:cs="Arial"/>
          <w:lang w:val="es-ES" w:eastAsia="es-ES"/>
        </w:rPr>
      </w:pPr>
    </w:p>
    <w:p w14:paraId="06CAF3CC" w14:textId="77777777" w:rsidR="00273578" w:rsidRPr="00273578" w:rsidRDefault="00273578" w:rsidP="00273578">
      <w:pPr>
        <w:numPr>
          <w:ilvl w:val="0"/>
          <w:numId w:val="16"/>
        </w:numPr>
        <w:tabs>
          <w:tab w:val="left" w:pos="142"/>
          <w:tab w:val="left" w:pos="284"/>
        </w:tabs>
        <w:spacing w:after="0" w:line="276" w:lineRule="auto"/>
        <w:ind w:left="0" w:firstLine="0"/>
        <w:contextualSpacing/>
        <w:jc w:val="both"/>
        <w:rPr>
          <w:rFonts w:ascii="Verdana" w:eastAsia="Century Gothic" w:hAnsi="Verdana" w:cs="Century Gothic"/>
          <w:b/>
          <w:bCs/>
          <w:lang w:val="es-ES"/>
        </w:rPr>
      </w:pPr>
      <w:r w:rsidRPr="00273578">
        <w:rPr>
          <w:rFonts w:ascii="Verdana" w:eastAsia="Century Gothic" w:hAnsi="Verdana" w:cs="Century Gothic"/>
          <w:b/>
          <w:bCs/>
          <w:lang w:val="es-ES"/>
        </w:rPr>
        <w:t>Problema planteado:</w:t>
      </w:r>
    </w:p>
    <w:p w14:paraId="32F77AE7" w14:textId="77777777" w:rsidR="00273578" w:rsidRPr="00273578" w:rsidRDefault="00273578" w:rsidP="00273578">
      <w:pPr>
        <w:tabs>
          <w:tab w:val="left" w:pos="426"/>
        </w:tabs>
        <w:spacing w:after="0" w:line="276" w:lineRule="auto"/>
        <w:jc w:val="both"/>
        <w:rPr>
          <w:rFonts w:ascii="Verdana" w:eastAsia="Century Gothic" w:hAnsi="Verdana" w:cs="Century Gothic"/>
          <w:lang w:val="es-ES"/>
        </w:rPr>
      </w:pPr>
    </w:p>
    <w:p w14:paraId="5B32C6AF" w14:textId="77777777" w:rsidR="00273578" w:rsidRPr="00273578" w:rsidRDefault="00273578" w:rsidP="00273578">
      <w:pPr>
        <w:spacing w:after="0" w:line="276" w:lineRule="auto"/>
        <w:jc w:val="both"/>
        <w:rPr>
          <w:rFonts w:ascii="Verdana" w:eastAsia="Century Gothic" w:hAnsi="Verdana" w:cs="Century Gothic"/>
        </w:rPr>
      </w:pPr>
      <w:r w:rsidRPr="00273578">
        <w:rPr>
          <w:rFonts w:ascii="Verdana" w:eastAsia="Century Gothic" w:hAnsi="Verdana" w:cs="Century Gothic"/>
        </w:rPr>
        <w:t xml:space="preserve">De acuerdo con el contenido de su solicitud, esta Agencia resolverá el siguiente problema jurídico: </w:t>
      </w:r>
    </w:p>
    <w:p w14:paraId="45FD0E73" w14:textId="77777777" w:rsidR="00273578" w:rsidRPr="00273578" w:rsidRDefault="00273578" w:rsidP="00273578">
      <w:pPr>
        <w:spacing w:after="0" w:line="276" w:lineRule="auto"/>
        <w:jc w:val="both"/>
        <w:rPr>
          <w:rFonts w:ascii="Verdana" w:eastAsia="Calibri" w:hAnsi="Verdana" w:cs="Arial"/>
        </w:rPr>
      </w:pPr>
    </w:p>
    <w:p w14:paraId="18203AAE" w14:textId="77777777" w:rsidR="00273578" w:rsidRPr="00273578" w:rsidRDefault="00273578" w:rsidP="00273578">
      <w:pPr>
        <w:numPr>
          <w:ilvl w:val="0"/>
          <w:numId w:val="19"/>
        </w:numPr>
        <w:spacing w:line="276" w:lineRule="auto"/>
        <w:contextualSpacing/>
        <w:jc w:val="both"/>
        <w:rPr>
          <w:rFonts w:ascii="Verdana" w:hAnsi="Verdana" w:cs="Arial"/>
          <w:lang w:val="es-ES"/>
        </w:rPr>
      </w:pPr>
      <w:r w:rsidRPr="00273578">
        <w:rPr>
          <w:rFonts w:ascii="Verdana" w:hAnsi="Verdana" w:cs="Arial"/>
          <w:lang w:val="es-ES"/>
        </w:rPr>
        <w:t>¿Se configura inhabilidad para contratar a dos cónyuges en una misma entidad territorial?</w:t>
      </w:r>
    </w:p>
    <w:p w14:paraId="2777E414" w14:textId="77777777" w:rsidR="00273578" w:rsidRPr="00273578" w:rsidRDefault="00273578" w:rsidP="00273578">
      <w:pPr>
        <w:spacing w:after="0" w:line="276" w:lineRule="auto"/>
        <w:ind w:left="1080"/>
        <w:contextualSpacing/>
        <w:jc w:val="both"/>
        <w:rPr>
          <w:rFonts w:ascii="Verdana" w:hAnsi="Verdana" w:cs="Arial"/>
          <w:lang w:val="es-ES"/>
        </w:rPr>
      </w:pPr>
    </w:p>
    <w:p w14:paraId="3D7595F4" w14:textId="77777777" w:rsidR="00273578" w:rsidRPr="00273578" w:rsidRDefault="00273578" w:rsidP="00273578">
      <w:pPr>
        <w:numPr>
          <w:ilvl w:val="0"/>
          <w:numId w:val="16"/>
        </w:numPr>
        <w:tabs>
          <w:tab w:val="left" w:pos="142"/>
          <w:tab w:val="left" w:pos="284"/>
        </w:tabs>
        <w:spacing w:after="0" w:line="276" w:lineRule="auto"/>
        <w:ind w:left="0" w:firstLine="0"/>
        <w:contextualSpacing/>
        <w:jc w:val="both"/>
        <w:rPr>
          <w:rFonts w:ascii="Verdana" w:eastAsia="Century Gothic" w:hAnsi="Verdana" w:cs="Century Gothic"/>
          <w:b/>
          <w:bCs/>
          <w:lang w:val="es-ES"/>
        </w:rPr>
      </w:pPr>
      <w:r w:rsidRPr="00273578">
        <w:rPr>
          <w:rFonts w:ascii="Verdana" w:eastAsia="Century Gothic" w:hAnsi="Verdana" w:cs="Century Gothic"/>
          <w:b/>
          <w:bCs/>
          <w:lang w:val="es-ES"/>
        </w:rPr>
        <w:t>Respuesta:</w:t>
      </w:r>
    </w:p>
    <w:p w14:paraId="63067E71" w14:textId="77777777" w:rsidR="00273578" w:rsidRPr="00273578" w:rsidRDefault="00273578" w:rsidP="00273578">
      <w:pPr>
        <w:tabs>
          <w:tab w:val="left" w:pos="142"/>
          <w:tab w:val="left" w:pos="284"/>
        </w:tabs>
        <w:spacing w:line="276" w:lineRule="auto"/>
        <w:contextualSpacing/>
        <w:jc w:val="both"/>
        <w:rPr>
          <w:rFonts w:ascii="Verdana" w:eastAsia="Century Gothic" w:hAnsi="Verdana" w:cs="Century Gothic"/>
          <w:b/>
          <w:bCs/>
          <w:lang w:val="es-ES"/>
        </w:rPr>
      </w:pPr>
    </w:p>
    <w:tbl>
      <w:tblPr>
        <w:tblStyle w:val="Tablaconcuadrcula1"/>
        <w:tblW w:w="0" w:type="auto"/>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273578" w:rsidRPr="00273578" w14:paraId="5EC889B8" w14:textId="77777777" w:rsidTr="00273578">
        <w:tc>
          <w:tcPr>
            <w:tcW w:w="8828" w:type="dxa"/>
            <w:tcBorders>
              <w:top w:val="dotted" w:sz="4" w:space="0" w:color="auto"/>
              <w:left w:val="dotted" w:sz="4" w:space="0" w:color="auto"/>
              <w:bottom w:val="dotted" w:sz="4" w:space="0" w:color="auto"/>
              <w:right w:val="dotted" w:sz="4" w:space="0" w:color="auto"/>
            </w:tcBorders>
          </w:tcPr>
          <w:p w14:paraId="0B2D95DD" w14:textId="77777777" w:rsidR="00273578" w:rsidRPr="00273578" w:rsidRDefault="00273578" w:rsidP="00273578">
            <w:pPr>
              <w:spacing w:after="255" w:line="276" w:lineRule="auto"/>
              <w:contextualSpacing/>
              <w:jc w:val="both"/>
              <w:rPr>
                <w:rFonts w:ascii="Verdana" w:hAnsi="Verdana" w:cs="Arial"/>
                <w:bCs/>
                <w:lang w:val="es-ES"/>
              </w:rPr>
            </w:pPr>
            <w:r w:rsidRPr="00273578">
              <w:rPr>
                <w:rFonts w:ascii="Verdana" w:hAnsi="Verdana" w:cs="Arial"/>
                <w:bCs/>
                <w:lang w:val="es-ES"/>
              </w:rPr>
              <w:t xml:space="preserve">De acuerdo con el criterio de interpretación restrictiva aplicable a las disposiciones del régimen de inhabilidades e incompatibilidades, no se advierte que se configure inhabilidad para celebrar contratos estatales con personas que tengan relaciones de parentesco en primer grado de afinidad para contratar de manera simultánea en una misma entidad estatal. En este evento, no hay lugar a la aplicación de la incompatibilidad prevista en los literales b, c) y d) del numeral 2 del artículo 8 de la Ley 80 de 1993, como quiera que, estas recaen sobre servidores públicos y no sobre contratistas, de hecho, descarta la configuración del supuesto de hecho previsto en dichos literales. </w:t>
            </w:r>
          </w:p>
          <w:p w14:paraId="6EDAE678" w14:textId="77777777" w:rsidR="00273578" w:rsidRPr="00273578" w:rsidRDefault="00273578" w:rsidP="00273578">
            <w:pPr>
              <w:tabs>
                <w:tab w:val="left" w:pos="142"/>
                <w:tab w:val="left" w:pos="284"/>
              </w:tabs>
              <w:spacing w:line="276" w:lineRule="auto"/>
              <w:contextualSpacing/>
              <w:jc w:val="both"/>
              <w:rPr>
                <w:rFonts w:ascii="Verdana" w:eastAsia="Century Gothic" w:hAnsi="Verdana" w:cs="Century Gothic"/>
                <w:bCs/>
                <w:lang w:val="es-ES"/>
              </w:rPr>
            </w:pPr>
          </w:p>
        </w:tc>
      </w:tr>
    </w:tbl>
    <w:p w14:paraId="2BF7AFE6" w14:textId="77777777" w:rsidR="00273578" w:rsidRPr="00273578" w:rsidRDefault="00273578" w:rsidP="00273578">
      <w:pPr>
        <w:tabs>
          <w:tab w:val="left" w:pos="142"/>
          <w:tab w:val="left" w:pos="284"/>
        </w:tabs>
        <w:spacing w:after="0" w:line="276" w:lineRule="auto"/>
        <w:jc w:val="both"/>
        <w:rPr>
          <w:rFonts w:ascii="Verdana" w:eastAsia="Century Gothic" w:hAnsi="Verdana" w:cs="Century Gothic"/>
          <w:b/>
          <w:bCs/>
          <w:lang w:val="es-ES"/>
        </w:rPr>
      </w:pPr>
    </w:p>
    <w:p w14:paraId="5823D029" w14:textId="77777777" w:rsidR="00273578" w:rsidRPr="00273578" w:rsidRDefault="00273578" w:rsidP="00273578">
      <w:pPr>
        <w:numPr>
          <w:ilvl w:val="0"/>
          <w:numId w:val="16"/>
        </w:numPr>
        <w:tabs>
          <w:tab w:val="left" w:pos="142"/>
          <w:tab w:val="left" w:pos="284"/>
        </w:tabs>
        <w:spacing w:after="0" w:line="276" w:lineRule="auto"/>
        <w:ind w:left="0" w:firstLine="0"/>
        <w:contextualSpacing/>
        <w:jc w:val="both"/>
        <w:rPr>
          <w:rFonts w:ascii="Verdana" w:eastAsia="Century Gothic" w:hAnsi="Verdana" w:cs="Century Gothic"/>
          <w:b/>
          <w:bCs/>
          <w:lang w:val="es-ES"/>
        </w:rPr>
      </w:pPr>
      <w:r w:rsidRPr="00273578">
        <w:rPr>
          <w:rFonts w:ascii="Verdana" w:eastAsia="Century Gothic" w:hAnsi="Verdana" w:cs="Century Gothic"/>
          <w:b/>
          <w:bCs/>
          <w:lang w:val="es-ES"/>
        </w:rPr>
        <w:t>Razones de la respuesta:</w:t>
      </w:r>
    </w:p>
    <w:p w14:paraId="70F5AB47" w14:textId="77777777" w:rsidR="00273578" w:rsidRPr="00273578" w:rsidRDefault="00273578" w:rsidP="00273578">
      <w:pPr>
        <w:spacing w:after="0" w:line="276" w:lineRule="auto"/>
        <w:jc w:val="both"/>
        <w:rPr>
          <w:rFonts w:ascii="Verdana" w:eastAsia="Calibri" w:hAnsi="Verdana" w:cs="Arial"/>
          <w:lang w:val="es-ES"/>
        </w:rPr>
      </w:pPr>
    </w:p>
    <w:p w14:paraId="1BB8C2B3" w14:textId="77777777" w:rsidR="00273578" w:rsidRPr="00273578" w:rsidRDefault="00273578" w:rsidP="00273578">
      <w:pPr>
        <w:spacing w:after="0" w:line="276" w:lineRule="auto"/>
        <w:jc w:val="both"/>
        <w:rPr>
          <w:rFonts w:ascii="Verdana" w:eastAsia="Calibri" w:hAnsi="Verdana" w:cs="Arial"/>
          <w:lang w:val="es-ES"/>
        </w:rPr>
      </w:pPr>
      <w:r w:rsidRPr="00273578">
        <w:rPr>
          <w:rFonts w:ascii="Verdana" w:eastAsia="Calibri" w:hAnsi="Verdana" w:cs="Arial"/>
          <w:lang w:val="es-ES"/>
        </w:rPr>
        <w:t xml:space="preserve">Lo anterior se sustenta en las siguientes consideraciones: </w:t>
      </w:r>
    </w:p>
    <w:p w14:paraId="1A1202E7" w14:textId="77777777" w:rsidR="00273578" w:rsidRPr="00273578" w:rsidRDefault="00273578" w:rsidP="00273578">
      <w:pPr>
        <w:spacing w:after="0" w:line="276" w:lineRule="auto"/>
        <w:jc w:val="both"/>
        <w:rPr>
          <w:rFonts w:ascii="Verdana" w:eastAsia="Calibri" w:hAnsi="Verdana" w:cs="Arial"/>
          <w:lang w:val="es-ES"/>
        </w:rPr>
      </w:pPr>
    </w:p>
    <w:p w14:paraId="40062266" w14:textId="77777777" w:rsidR="00273578" w:rsidRPr="00273578" w:rsidRDefault="00273578" w:rsidP="00273578">
      <w:pPr>
        <w:spacing w:after="0" w:line="276" w:lineRule="auto"/>
        <w:jc w:val="both"/>
        <w:rPr>
          <w:rFonts w:ascii="Verdana" w:eastAsia="Calibri" w:hAnsi="Verdana" w:cs="Arial"/>
        </w:rPr>
      </w:pPr>
      <w:bookmarkStart w:id="0" w:name="_Hlk108537388"/>
      <w:r w:rsidRPr="00273578">
        <w:rPr>
          <w:rFonts w:ascii="Verdana" w:eastAsia="Calibri" w:hAnsi="Verdana" w:cs="Arial"/>
        </w:rPr>
        <w:t>La Ley 80 de 1993 facultó de manera expresa a las entidades estatales para celebrar contratos y los demás acuerdos que permitan la autonomía de la voluntad y requieran el cumplimiento de los fines estatales, así como la continua y eficiente prestación de servicios públicos</w:t>
      </w:r>
      <w:r w:rsidRPr="00273578">
        <w:rPr>
          <w:rFonts w:ascii="Calibri" w:eastAsia="Calibri" w:hAnsi="Calibri" w:cs="Times New Roman"/>
          <w:vertAlign w:val="superscript"/>
        </w:rPr>
        <w:footnoteReference w:id="1"/>
      </w:r>
      <w:r w:rsidRPr="00273578">
        <w:rPr>
          <w:rFonts w:ascii="Verdana" w:eastAsia="Calibri" w:hAnsi="Verdana" w:cs="Arial"/>
        </w:rPr>
        <w:t>. Esto significa que las entidades estatales que se rigen por la Ley 80 de 1993, en virtud de la reseñada autonomía de la voluntad, pueden celebrar todos los acuerdos, indistintamente de su denominación como contratos o convenios, etc., que requieran para el cumplimiento de sus objetivos misionales y la consecuente realización de los fines estatales. No en vano, la función administrativa está al servicio de los intereses generales y para ello las autoridades administrativas tienen la obligación de coordinar sus actuaciones con el objetivo de lograr el adecuado cumplimiento de los fines del Estado</w:t>
      </w:r>
      <w:r w:rsidRPr="00273578">
        <w:rPr>
          <w:rFonts w:ascii="Calibri" w:eastAsia="Calibri" w:hAnsi="Calibri" w:cs="Times New Roman"/>
          <w:vertAlign w:val="superscript"/>
        </w:rPr>
        <w:footnoteReference w:id="2"/>
      </w:r>
      <w:r w:rsidRPr="00273578">
        <w:rPr>
          <w:rFonts w:ascii="Verdana" w:eastAsia="Calibri" w:hAnsi="Verdana" w:cs="Arial"/>
        </w:rPr>
        <w:t>.</w:t>
      </w:r>
    </w:p>
    <w:p w14:paraId="46626BA9" w14:textId="77777777" w:rsidR="00273578" w:rsidRPr="00273578" w:rsidRDefault="00273578" w:rsidP="00273578">
      <w:pPr>
        <w:spacing w:after="0" w:line="276" w:lineRule="auto"/>
        <w:jc w:val="both"/>
        <w:rPr>
          <w:rFonts w:ascii="Verdana" w:eastAsia="Calibri" w:hAnsi="Verdana" w:cs="Arial"/>
        </w:rPr>
      </w:pPr>
    </w:p>
    <w:p w14:paraId="48C90C9C" w14:textId="77777777" w:rsidR="00273578" w:rsidRPr="00273578" w:rsidRDefault="00273578" w:rsidP="00273578">
      <w:pPr>
        <w:spacing w:after="0" w:line="276" w:lineRule="auto"/>
        <w:jc w:val="both"/>
        <w:rPr>
          <w:rFonts w:ascii="Verdana" w:eastAsia="Calibri" w:hAnsi="Verdana" w:cs="Arial"/>
          <w:lang w:val="es-ES"/>
        </w:rPr>
      </w:pPr>
      <w:r w:rsidRPr="00273578">
        <w:rPr>
          <w:rFonts w:ascii="Verdana" w:eastAsia="Calibri" w:hAnsi="Verdana" w:cs="Arial"/>
          <w:lang w:val="es-ES"/>
        </w:rPr>
        <w:t>Ahora bien, el régimen de inhabilidades e incompatibilidades en la contratación pública responde al propósito de asegurar que la actividad de adquisición y provisión de bienes y servicios por parte de las entidades estatales se efectúe cumpliendo con los principios de la función administrativa y de la gestión fiscal, especialmente con probidad y transparencia. Por ello, como lo ha destacado la doctrina, las inhabilidades e incompatibilidades se han convertido en herramientas en la lucha contra la corrupción, adoptando paulatinamente un carácter sancionatorio o “</w:t>
      </w:r>
      <w:proofErr w:type="spellStart"/>
      <w:r w:rsidRPr="00273578">
        <w:rPr>
          <w:rFonts w:ascii="Verdana" w:eastAsia="Calibri" w:hAnsi="Verdana" w:cs="Arial"/>
          <w:lang w:val="es-ES"/>
        </w:rPr>
        <w:t>neopunitivo</w:t>
      </w:r>
      <w:proofErr w:type="spellEnd"/>
      <w:r w:rsidRPr="00273578">
        <w:rPr>
          <w:rFonts w:ascii="Verdana" w:eastAsia="Calibri" w:hAnsi="Verdana" w:cs="Arial"/>
          <w:lang w:val="es-ES"/>
        </w:rPr>
        <w:t>”</w:t>
      </w:r>
      <w:r w:rsidRPr="00273578">
        <w:rPr>
          <w:rFonts w:ascii="Calibri" w:eastAsia="Calibri" w:hAnsi="Calibri" w:cs="Times New Roman"/>
          <w:vertAlign w:val="superscript"/>
        </w:rPr>
        <w:footnoteReference w:id="3"/>
      </w:r>
      <w:r w:rsidRPr="00273578">
        <w:rPr>
          <w:rFonts w:ascii="Verdana" w:eastAsia="Calibri" w:hAnsi="Verdana" w:cs="Arial"/>
          <w:lang w:val="es-ES"/>
        </w:rPr>
        <w:t>. Si bien no todas las causales de inhabilidad y de incompatibilidad son consecuencia de una medida de reproche ni de una sanción previa, es indiscutible que en los años más recientes los lamentables hechos de corrupción han generado como respuesta del legislador, un incremento de las restricciones a la capacidad contractual, dirigidas a prevenir este tipo de situaciones o a sancionar tales conductas.</w:t>
      </w:r>
    </w:p>
    <w:p w14:paraId="63F58AD2" w14:textId="77777777" w:rsidR="00273578" w:rsidRPr="00273578" w:rsidRDefault="00273578" w:rsidP="00273578">
      <w:pPr>
        <w:spacing w:after="0" w:line="276" w:lineRule="auto"/>
        <w:jc w:val="both"/>
        <w:rPr>
          <w:rFonts w:ascii="Verdana" w:eastAsia="Calibri" w:hAnsi="Verdana" w:cs="Arial"/>
          <w:u w:val="single"/>
          <w:lang w:val="es-ES"/>
        </w:rPr>
      </w:pPr>
    </w:p>
    <w:p w14:paraId="5DDB856F" w14:textId="77777777" w:rsidR="00273578" w:rsidRPr="00273578" w:rsidRDefault="00273578" w:rsidP="00273578">
      <w:pPr>
        <w:spacing w:after="0" w:line="276" w:lineRule="auto"/>
        <w:jc w:val="both"/>
        <w:rPr>
          <w:rFonts w:ascii="Verdana" w:eastAsia="Calibri" w:hAnsi="Verdana" w:cs="Arial"/>
          <w:lang w:val="es-ES"/>
        </w:rPr>
      </w:pPr>
      <w:r w:rsidRPr="00273578">
        <w:rPr>
          <w:rFonts w:ascii="Verdana" w:eastAsia="Calibri" w:hAnsi="Verdana" w:cs="Arial"/>
          <w:lang w:val="es-ES"/>
        </w:rPr>
        <w:t xml:space="preserve">Asimismo, las inhabilidades e incompatibilidades, al ser restricciones o límites especiales a la capacidad para presentar ofertas y celebrar contratos estatales, </w:t>
      </w:r>
      <w:r w:rsidRPr="00273578">
        <w:rPr>
          <w:rFonts w:ascii="Verdana" w:eastAsia="Calibri" w:hAnsi="Verdana" w:cs="Arial"/>
          <w:lang w:val="es-ES"/>
        </w:rPr>
        <w:lastRenderedPageBreak/>
        <w:t xml:space="preserve">solo pueden tipificarse en la ley y su interpretación debe ser </w:t>
      </w:r>
      <w:r w:rsidRPr="00273578">
        <w:rPr>
          <w:rFonts w:ascii="Verdana" w:eastAsia="Calibri" w:hAnsi="Verdana" w:cs="Arial"/>
          <w:i/>
          <w:lang w:val="es-ES"/>
        </w:rPr>
        <w:t>restrictiva</w:t>
      </w:r>
      <w:r w:rsidRPr="00273578">
        <w:rPr>
          <w:rFonts w:ascii="Calibri" w:eastAsia="Calibri" w:hAnsi="Calibri" w:cs="Times New Roman"/>
          <w:vertAlign w:val="superscript"/>
        </w:rPr>
        <w:footnoteReference w:id="4"/>
      </w:r>
      <w:r w:rsidRPr="00273578">
        <w:rPr>
          <w:rFonts w:ascii="Verdana" w:eastAsia="Calibri" w:hAnsi="Verdana" w:cs="Arial"/>
          <w:lang w:val="es-ES"/>
        </w:rPr>
        <w:t>. De admitirse una interpretación extensiva, tales enunciados normativos podrían contemplar múltiples supuestos indeterminados, adquiriendo un cariz subjetivo, según el parecer o el sentido común de los operadores jurídicos, poniendo en riesgo principios como la igualdad, el debido proceso, la libre concurrencia y el ejercicio de la profesión u oficio. Tal ha sido la postura al interior de la jurisprudencia, tanto de la Corte Constitucional como de la Sección Tercera del Consejo de Estado.</w:t>
      </w:r>
    </w:p>
    <w:p w14:paraId="499AE9C9" w14:textId="77777777" w:rsidR="00273578" w:rsidRPr="00273578" w:rsidRDefault="00273578" w:rsidP="00273578">
      <w:pPr>
        <w:spacing w:after="0" w:line="276" w:lineRule="auto"/>
        <w:jc w:val="both"/>
        <w:rPr>
          <w:rFonts w:ascii="Verdana" w:eastAsia="Calibri" w:hAnsi="Verdana" w:cs="Arial"/>
          <w:lang w:val="es-ES"/>
        </w:rPr>
      </w:pPr>
    </w:p>
    <w:p w14:paraId="5707A487" w14:textId="77777777" w:rsidR="00273578" w:rsidRPr="00273578" w:rsidRDefault="00273578" w:rsidP="00273578">
      <w:pPr>
        <w:spacing w:after="0" w:line="276" w:lineRule="auto"/>
        <w:jc w:val="both"/>
        <w:rPr>
          <w:rFonts w:ascii="Verdana" w:eastAsia="Calibri" w:hAnsi="Verdana" w:cs="Arial"/>
          <w:lang w:val="es-ES"/>
        </w:rPr>
      </w:pPr>
      <w:r w:rsidRPr="00273578">
        <w:rPr>
          <w:rFonts w:ascii="Verdana" w:eastAsia="Calibri" w:hAnsi="Verdana" w:cs="Arial"/>
          <w:lang w:val="es-ES"/>
        </w:rPr>
        <w:t>En efecto, el máximo tribunal constitucional ha indicado que, al tratar de precisar el sentido de este tipo de normas, “[…] el intérprete de las disposiciones legislativas en     la materia ha de ceñirse en la mayor medida posible al tenor literal y gramatical de los enunciados normativos, sin que pueda acudir prima facie a criterios interpretativos tales como la analogía, la interpretación extensiva para ampliar el alcance de las causales legalmente fijadas”</w:t>
      </w:r>
      <w:r w:rsidRPr="00273578">
        <w:rPr>
          <w:rFonts w:ascii="Calibri" w:eastAsia="Calibri" w:hAnsi="Calibri" w:cs="Times New Roman"/>
          <w:vertAlign w:val="superscript"/>
        </w:rPr>
        <w:footnoteReference w:id="5"/>
      </w:r>
      <w:r w:rsidRPr="00273578">
        <w:rPr>
          <w:rFonts w:ascii="Verdana" w:eastAsia="Calibri" w:hAnsi="Verdana" w:cs="Arial"/>
          <w:lang w:val="es-ES"/>
        </w:rPr>
        <w:t>. Por su parte, el Consejo de Estado también ha acogido este criterio, considerando –como expresa la Sala de Consulta y Servicio Civil–, que “La interpretación restrictiva de las normas que establecen inhabilidades constituye una aplicación del principio del Estado de Derecho previsto en el artículo 6º de la Constitución, según el cual “Los particulares sólo son responsables ante las autoridades por infringir la Constitución y las leyes” lo que se traduce en que pueden hacer todo aquello que no les esté expresamente prohibido”</w:t>
      </w:r>
      <w:r w:rsidRPr="00273578">
        <w:rPr>
          <w:rFonts w:ascii="Calibri" w:eastAsia="Calibri" w:hAnsi="Calibri" w:cs="Times New Roman"/>
          <w:vertAlign w:val="superscript"/>
        </w:rPr>
        <w:footnoteReference w:id="6"/>
      </w:r>
      <w:r w:rsidRPr="00273578">
        <w:rPr>
          <w:rFonts w:ascii="Verdana" w:eastAsia="Calibri" w:hAnsi="Verdana" w:cs="Arial"/>
          <w:lang w:val="es-ES"/>
        </w:rPr>
        <w:t>. En tal sentido, la Sección Tercera ha señalado que:</w:t>
      </w:r>
    </w:p>
    <w:p w14:paraId="5B3FA715" w14:textId="77777777" w:rsidR="00273578" w:rsidRPr="00273578" w:rsidRDefault="00273578" w:rsidP="00273578">
      <w:pPr>
        <w:spacing w:after="0" w:line="276" w:lineRule="auto"/>
        <w:jc w:val="both"/>
        <w:rPr>
          <w:rFonts w:ascii="Verdana" w:eastAsia="Calibri" w:hAnsi="Verdana" w:cs="Arial"/>
          <w:lang w:val="es-ES"/>
        </w:rPr>
      </w:pPr>
    </w:p>
    <w:p w14:paraId="33F9BAE1" w14:textId="77777777" w:rsidR="00273578" w:rsidRPr="00273578" w:rsidRDefault="00273578" w:rsidP="00273578">
      <w:pPr>
        <w:spacing w:after="0" w:line="276" w:lineRule="auto"/>
        <w:jc w:val="both"/>
        <w:rPr>
          <w:rFonts w:ascii="Verdana" w:eastAsia="Calibri" w:hAnsi="Verdana" w:cs="Arial"/>
          <w:lang w:val="es-MX"/>
        </w:rPr>
      </w:pPr>
      <w:r w:rsidRPr="00273578">
        <w:rPr>
          <w:rFonts w:ascii="Verdana" w:eastAsia="Calibri" w:hAnsi="Verdana" w:cs="Arial"/>
          <w:lang w:val="es-ES"/>
        </w:rPr>
        <w:t xml:space="preserve">“(…) de conformidad con la jurisprudencia uniforme y reiterada de esta Corporación, la aplicación de las normas que contemplan inhabilidades e incompatibilidades, como en general de todas aquellas que comportan prohibiciones o limitaciones, deben responder a una interpretación restrictiva </w:t>
      </w:r>
      <w:r w:rsidRPr="00273578">
        <w:rPr>
          <w:rFonts w:ascii="Verdana" w:eastAsia="Calibri" w:hAnsi="Verdana" w:cs="Arial"/>
          <w:lang w:val="es-MX"/>
        </w:rPr>
        <w:t>que no permite su extensión, por vía de la figura de la analogía, a supuestos no contemplados por el ordenamiento”</w:t>
      </w:r>
      <w:r w:rsidRPr="00273578">
        <w:rPr>
          <w:rFonts w:ascii="Calibri" w:eastAsia="Calibri" w:hAnsi="Calibri" w:cs="Times New Roman"/>
          <w:vertAlign w:val="superscript"/>
        </w:rPr>
        <w:footnoteReference w:id="7"/>
      </w:r>
      <w:r w:rsidRPr="00273578">
        <w:rPr>
          <w:rFonts w:ascii="Verdana" w:eastAsia="Calibri" w:hAnsi="Verdana" w:cs="Arial"/>
          <w:lang w:val="es-MX"/>
        </w:rPr>
        <w:t>.</w:t>
      </w:r>
    </w:p>
    <w:p w14:paraId="0E8312F2" w14:textId="77777777" w:rsidR="00273578" w:rsidRPr="00273578" w:rsidRDefault="00273578" w:rsidP="00273578">
      <w:pPr>
        <w:spacing w:after="0" w:line="276" w:lineRule="auto"/>
        <w:jc w:val="both"/>
        <w:rPr>
          <w:rFonts w:ascii="Verdana" w:eastAsia="Calibri" w:hAnsi="Verdana" w:cs="Arial"/>
          <w:lang w:val="es-MX"/>
        </w:rPr>
      </w:pPr>
    </w:p>
    <w:p w14:paraId="557A9326" w14:textId="77777777" w:rsidR="00273578" w:rsidRPr="00273578" w:rsidRDefault="00273578" w:rsidP="00273578">
      <w:pPr>
        <w:spacing w:after="0" w:line="276" w:lineRule="auto"/>
        <w:jc w:val="both"/>
        <w:rPr>
          <w:rFonts w:ascii="Verdana" w:eastAsia="Calibri" w:hAnsi="Verdana" w:cs="Arial"/>
          <w:lang w:val="es-ES"/>
        </w:rPr>
      </w:pPr>
      <w:r w:rsidRPr="00273578">
        <w:rPr>
          <w:rFonts w:ascii="Verdana" w:eastAsia="Calibri" w:hAnsi="Verdana" w:cs="Arial"/>
          <w:lang w:val="es-ES"/>
        </w:rPr>
        <w:t xml:space="preserve">En relación con el supuesto de hecho materia de consulta resulta relevante analizar si se configura las incompatibilidades establecidas en los literales b), c) </w:t>
      </w:r>
      <w:r w:rsidRPr="00273578">
        <w:rPr>
          <w:rFonts w:ascii="Verdana" w:eastAsia="Calibri" w:hAnsi="Verdana" w:cs="Arial"/>
          <w:lang w:val="es-ES"/>
        </w:rPr>
        <w:lastRenderedPageBreak/>
        <w:t xml:space="preserve">y d), del numeral 2 artículo 8 de la Ley 80 de 1993, en virtud de los cuales no pueden celebrar contratos estatales: </w:t>
      </w:r>
    </w:p>
    <w:p w14:paraId="5A6BEC59" w14:textId="77777777" w:rsidR="00273578" w:rsidRPr="00273578" w:rsidRDefault="00273578" w:rsidP="00273578">
      <w:pPr>
        <w:spacing w:after="0" w:line="276" w:lineRule="auto"/>
        <w:jc w:val="both"/>
        <w:rPr>
          <w:rFonts w:ascii="Verdana" w:eastAsia="Calibri" w:hAnsi="Verdana" w:cs="Arial"/>
          <w:lang w:val="es-ES"/>
        </w:rPr>
      </w:pPr>
    </w:p>
    <w:p w14:paraId="79570079" w14:textId="77777777" w:rsidR="00273578" w:rsidRPr="00273578" w:rsidRDefault="00273578" w:rsidP="00273578">
      <w:pPr>
        <w:spacing w:after="0" w:line="276" w:lineRule="auto"/>
        <w:ind w:left="708"/>
        <w:jc w:val="both"/>
        <w:rPr>
          <w:rFonts w:ascii="Verdana" w:eastAsia="Calibri" w:hAnsi="Verdana" w:cs="Arial"/>
          <w:i/>
          <w:iCs/>
          <w:sz w:val="20"/>
          <w:szCs w:val="20"/>
        </w:rPr>
      </w:pPr>
      <w:r w:rsidRPr="00273578">
        <w:rPr>
          <w:rFonts w:ascii="Verdana" w:eastAsia="Calibri" w:hAnsi="Verdana" w:cs="Arial"/>
          <w:i/>
          <w:iCs/>
          <w:sz w:val="20"/>
          <w:szCs w:val="20"/>
          <w:lang w:val="es-ES"/>
        </w:rPr>
        <w:t>“</w:t>
      </w:r>
      <w:r w:rsidRPr="00273578">
        <w:rPr>
          <w:rFonts w:ascii="Verdana" w:eastAsia="Calibri" w:hAnsi="Verdana" w:cs="Arial"/>
          <w:i/>
          <w:iCs/>
          <w:sz w:val="20"/>
          <w:szCs w:val="20"/>
        </w:rPr>
        <w:t>(…)</w:t>
      </w:r>
    </w:p>
    <w:p w14:paraId="19BA229D" w14:textId="77777777" w:rsidR="00273578" w:rsidRPr="00273578" w:rsidRDefault="00273578" w:rsidP="00273578">
      <w:pPr>
        <w:spacing w:after="0" w:line="276" w:lineRule="auto"/>
        <w:ind w:left="708"/>
        <w:jc w:val="both"/>
        <w:rPr>
          <w:rFonts w:ascii="Verdana" w:eastAsia="Calibri" w:hAnsi="Verdana" w:cs="Arial"/>
          <w:i/>
          <w:iCs/>
          <w:sz w:val="20"/>
          <w:szCs w:val="20"/>
        </w:rPr>
      </w:pPr>
      <w:r w:rsidRPr="00273578">
        <w:rPr>
          <w:rFonts w:ascii="Verdana" w:eastAsia="Calibri" w:hAnsi="Verdana" w:cs="Arial"/>
          <w:i/>
          <w:iCs/>
          <w:sz w:val="20"/>
          <w:szCs w:val="20"/>
        </w:rPr>
        <w:t xml:space="preserve"> b) Las personas que tengan vínculos de parentesco, </w:t>
      </w:r>
      <w:r w:rsidRPr="00273578">
        <w:rPr>
          <w:rFonts w:ascii="Verdana" w:eastAsia="Calibri" w:hAnsi="Verdana" w:cs="Arial"/>
          <w:i/>
          <w:iCs/>
          <w:sz w:val="20"/>
          <w:szCs w:val="20"/>
          <w:u w:val="single"/>
        </w:rPr>
        <w:t>hasta el segundo grado de consanguinidad, segundo de afinidad o primero civil con los servidores públicos de los niveles directivo, asesor, ejecutivo</w:t>
      </w:r>
      <w:r w:rsidRPr="00273578">
        <w:rPr>
          <w:rFonts w:ascii="Verdana" w:eastAsia="Calibri" w:hAnsi="Verdana" w:cs="Arial"/>
          <w:i/>
          <w:iCs/>
          <w:sz w:val="20"/>
          <w:szCs w:val="20"/>
        </w:rPr>
        <w:t xml:space="preserve"> o con los miembros de la junta o consejo directivo, o con las personas que ejerzan el control interno o fiscal de la entidad contratante</w:t>
      </w:r>
    </w:p>
    <w:p w14:paraId="14CE8FDE" w14:textId="77777777" w:rsidR="00273578" w:rsidRPr="00273578" w:rsidRDefault="00273578" w:rsidP="00273578">
      <w:pPr>
        <w:spacing w:after="0" w:line="276" w:lineRule="auto"/>
        <w:ind w:left="708"/>
        <w:jc w:val="both"/>
        <w:rPr>
          <w:rFonts w:ascii="Verdana" w:eastAsia="Calibri" w:hAnsi="Verdana" w:cs="Arial"/>
          <w:i/>
          <w:iCs/>
          <w:sz w:val="20"/>
          <w:szCs w:val="20"/>
        </w:rPr>
      </w:pPr>
    </w:p>
    <w:p w14:paraId="5371FF47" w14:textId="77777777" w:rsidR="00273578" w:rsidRPr="00273578" w:rsidRDefault="00273578" w:rsidP="00273578">
      <w:pPr>
        <w:spacing w:after="0" w:line="276" w:lineRule="auto"/>
        <w:ind w:left="708"/>
        <w:jc w:val="both"/>
        <w:rPr>
          <w:rFonts w:ascii="Verdana" w:eastAsia="Calibri" w:hAnsi="Verdana" w:cs="Arial"/>
          <w:i/>
          <w:iCs/>
          <w:sz w:val="20"/>
          <w:szCs w:val="20"/>
        </w:rPr>
      </w:pPr>
      <w:bookmarkStart w:id="1" w:name="_Hlk181022356"/>
      <w:r w:rsidRPr="00273578">
        <w:rPr>
          <w:rFonts w:ascii="Verdana" w:eastAsia="Calibri" w:hAnsi="Verdana" w:cs="Arial"/>
          <w:i/>
          <w:iCs/>
          <w:sz w:val="20"/>
          <w:szCs w:val="20"/>
        </w:rPr>
        <w:t>c) El cónyuge </w:t>
      </w:r>
      <w:r w:rsidRPr="00273578">
        <w:rPr>
          <w:rFonts w:ascii="Verdana" w:eastAsia="Calibri" w:hAnsi="Verdana" w:cs="Arial"/>
          <w:i/>
          <w:iCs/>
          <w:sz w:val="20"/>
          <w:szCs w:val="20"/>
          <w:u w:val="single"/>
        </w:rPr>
        <w:t>compañero o compañera permanente</w:t>
      </w:r>
      <w:r w:rsidRPr="00273578">
        <w:rPr>
          <w:rFonts w:ascii="Verdana" w:eastAsia="Calibri" w:hAnsi="Verdana" w:cs="Arial"/>
          <w:i/>
          <w:iCs/>
          <w:sz w:val="20"/>
          <w:szCs w:val="20"/>
        </w:rPr>
        <w:t> del servidor público en los niveles directivo, asesor, ejecutivo, o de un miembro de la junta o consejo directivo, o de quien ejerza funciones de control interno o de control fiscal.</w:t>
      </w:r>
    </w:p>
    <w:p w14:paraId="575B3982" w14:textId="77777777" w:rsidR="00273578" w:rsidRPr="00273578" w:rsidRDefault="00273578" w:rsidP="00273578">
      <w:pPr>
        <w:spacing w:after="0" w:line="276" w:lineRule="auto"/>
        <w:ind w:left="708"/>
        <w:jc w:val="both"/>
        <w:rPr>
          <w:rFonts w:ascii="Verdana" w:eastAsia="Calibri" w:hAnsi="Verdana" w:cs="Arial"/>
          <w:i/>
          <w:iCs/>
          <w:sz w:val="20"/>
          <w:szCs w:val="20"/>
        </w:rPr>
      </w:pPr>
    </w:p>
    <w:p w14:paraId="61BA0D96" w14:textId="77777777" w:rsidR="00273578" w:rsidRPr="00273578" w:rsidRDefault="00273578" w:rsidP="00273578">
      <w:pPr>
        <w:spacing w:after="0" w:line="276" w:lineRule="auto"/>
        <w:ind w:left="708"/>
        <w:jc w:val="both"/>
        <w:rPr>
          <w:rFonts w:ascii="Verdana" w:eastAsia="Calibri" w:hAnsi="Verdana" w:cs="Arial"/>
          <w:i/>
          <w:iCs/>
          <w:sz w:val="20"/>
          <w:szCs w:val="20"/>
        </w:rPr>
      </w:pPr>
      <w:r w:rsidRPr="00273578">
        <w:rPr>
          <w:rFonts w:ascii="Verdana" w:eastAsia="Calibri" w:hAnsi="Verdana" w:cs="Arial"/>
          <w:i/>
          <w:iCs/>
          <w:sz w:val="20"/>
          <w:szCs w:val="20"/>
        </w:rPr>
        <w:t>d)</w:t>
      </w:r>
      <w:r w:rsidRPr="00273578">
        <w:rPr>
          <w:rFonts w:ascii="Work Sans" w:eastAsia="Calibri" w:hAnsi="Work Sans" w:cs="Times New Roman"/>
          <w:color w:val="333333"/>
          <w:sz w:val="20"/>
          <w:szCs w:val="20"/>
          <w:shd w:val="clear" w:color="auto" w:fill="FFFFFF"/>
        </w:rPr>
        <w:t xml:space="preserve"> </w:t>
      </w:r>
      <w:r w:rsidRPr="00273578">
        <w:rPr>
          <w:rFonts w:ascii="Verdana" w:eastAsia="Calibri" w:hAnsi="Verdana" w:cs="Arial"/>
          <w:i/>
          <w:iCs/>
          <w:sz w:val="20"/>
          <w:szCs w:val="20"/>
        </w:rPr>
        <w:t>Las corporaciones, asociaciones, fundaciones y las sociedades anónimas que no tengan el carácter de abiertas, así como las sociedades de responsabilidad limitada y las demás sociedades de personas en las que el servidor público en los niveles directivo, asesor o ejecutivo, o el miembro de la junta o consejo directivo, o el cónyuge, </w:t>
      </w:r>
      <w:r w:rsidRPr="00273578">
        <w:rPr>
          <w:rFonts w:ascii="Verdana" w:eastAsia="Calibri" w:hAnsi="Verdana" w:cs="Arial"/>
          <w:i/>
          <w:iCs/>
          <w:sz w:val="20"/>
          <w:szCs w:val="20"/>
          <w:u w:val="single"/>
        </w:rPr>
        <w:t>compañero o compañera permanente</w:t>
      </w:r>
      <w:r w:rsidRPr="00273578">
        <w:rPr>
          <w:rFonts w:ascii="Verdana" w:eastAsia="Calibri" w:hAnsi="Verdana" w:cs="Arial"/>
          <w:i/>
          <w:iCs/>
          <w:sz w:val="20"/>
          <w:szCs w:val="20"/>
        </w:rPr>
        <w:t xml:space="preserve"> o los parientes hasta el segundo grado de consanguinidad, afinidad o civil de cualquiera de ello, tenga participación o desempeñe cargos de dirección o manejo. </w:t>
      </w:r>
    </w:p>
    <w:bookmarkEnd w:id="1"/>
    <w:p w14:paraId="39A819C5" w14:textId="77777777" w:rsidR="00273578" w:rsidRPr="00273578" w:rsidRDefault="00273578" w:rsidP="00273578">
      <w:pPr>
        <w:spacing w:after="0" w:line="276" w:lineRule="auto"/>
        <w:ind w:left="708"/>
        <w:jc w:val="both"/>
        <w:rPr>
          <w:rFonts w:ascii="Verdana" w:eastAsia="Calibri" w:hAnsi="Verdana" w:cs="Arial"/>
          <w:i/>
          <w:iCs/>
          <w:sz w:val="20"/>
          <w:szCs w:val="20"/>
        </w:rPr>
      </w:pPr>
    </w:p>
    <w:p w14:paraId="00F17216" w14:textId="77777777" w:rsidR="00273578" w:rsidRPr="00273578" w:rsidRDefault="00273578" w:rsidP="00273578">
      <w:pPr>
        <w:spacing w:after="0" w:line="276" w:lineRule="auto"/>
        <w:ind w:left="708"/>
        <w:jc w:val="both"/>
        <w:rPr>
          <w:rFonts w:ascii="Verdana" w:eastAsia="Calibri" w:hAnsi="Verdana" w:cs="Arial"/>
          <w:sz w:val="20"/>
          <w:szCs w:val="20"/>
        </w:rPr>
      </w:pPr>
      <w:r w:rsidRPr="00273578">
        <w:rPr>
          <w:rFonts w:ascii="Verdana" w:eastAsia="Calibri" w:hAnsi="Verdana" w:cs="Arial"/>
          <w:i/>
          <w:iCs/>
          <w:sz w:val="20"/>
          <w:szCs w:val="20"/>
        </w:rPr>
        <w:t xml:space="preserve">(…)”. </w:t>
      </w:r>
      <w:r w:rsidRPr="00273578">
        <w:rPr>
          <w:rFonts w:ascii="Verdana" w:eastAsia="Calibri" w:hAnsi="Verdana" w:cs="Arial"/>
          <w:sz w:val="20"/>
          <w:szCs w:val="20"/>
        </w:rPr>
        <w:t>[Énfasis fuera de texto].</w:t>
      </w:r>
    </w:p>
    <w:p w14:paraId="49B26F76" w14:textId="77777777" w:rsidR="00273578" w:rsidRPr="00273578" w:rsidRDefault="00273578" w:rsidP="00273578">
      <w:pPr>
        <w:spacing w:after="0" w:line="276" w:lineRule="auto"/>
        <w:ind w:left="708"/>
        <w:jc w:val="both"/>
        <w:rPr>
          <w:rFonts w:ascii="Verdana" w:eastAsia="Calibri" w:hAnsi="Verdana" w:cs="Arial"/>
          <w:sz w:val="20"/>
          <w:szCs w:val="20"/>
        </w:rPr>
      </w:pPr>
    </w:p>
    <w:p w14:paraId="5D6AE7EB" w14:textId="77777777" w:rsidR="00273578" w:rsidRPr="00273578" w:rsidRDefault="00273578" w:rsidP="00273578">
      <w:pPr>
        <w:spacing w:after="0" w:line="276" w:lineRule="auto"/>
        <w:jc w:val="both"/>
        <w:rPr>
          <w:rFonts w:ascii="Verdana" w:eastAsia="Calibri" w:hAnsi="Verdana" w:cs="Arial"/>
          <w:lang w:val="es-ES"/>
        </w:rPr>
      </w:pPr>
      <w:r w:rsidRPr="00273578">
        <w:rPr>
          <w:rFonts w:ascii="Verdana" w:eastAsia="Calibri" w:hAnsi="Verdana" w:cs="Arial"/>
        </w:rPr>
        <w:tab/>
      </w:r>
      <w:r w:rsidRPr="00273578">
        <w:rPr>
          <w:rFonts w:ascii="Verdana" w:eastAsia="Calibri" w:hAnsi="Verdana" w:cs="Arial"/>
          <w:lang w:val="es-ES"/>
        </w:rPr>
        <w:t xml:space="preserve">En relación con el parentesco, conforme al Código Civil, este se clasifica en parentesco de consanguinidad o parentesco de afinidad. El parentesco de consanguinidad corresponde a la “(…) relación o conexión que existe entre las personas que descienden de un mismo tronco o raíz, o que están unidas por los vínculos de la sangre” </w:t>
      </w:r>
      <w:r w:rsidRPr="00273578">
        <w:rPr>
          <w:rFonts w:ascii="Calibri" w:eastAsia="Calibri" w:hAnsi="Calibri" w:cs="Times New Roman"/>
          <w:vertAlign w:val="superscript"/>
        </w:rPr>
        <w:footnoteReference w:id="8"/>
      </w:r>
      <w:r w:rsidRPr="00273578">
        <w:rPr>
          <w:rFonts w:ascii="Verdana" w:eastAsia="Calibri" w:hAnsi="Verdana" w:cs="Arial"/>
          <w:lang w:val="es-ES"/>
        </w:rPr>
        <w:t>. El parentesco de afinidad se refiere a la relación surgida entre una persona y los consanguíneos de su esposo, esposa o compañeros permanentes, según el caso</w:t>
      </w:r>
      <w:r w:rsidRPr="00273578">
        <w:rPr>
          <w:rFonts w:ascii="Calibri" w:eastAsia="Calibri" w:hAnsi="Calibri" w:cs="Times New Roman"/>
          <w:vertAlign w:val="superscript"/>
        </w:rPr>
        <w:footnoteReference w:id="9"/>
      </w:r>
      <w:r w:rsidRPr="00273578">
        <w:rPr>
          <w:rFonts w:ascii="Verdana" w:eastAsia="Calibri" w:hAnsi="Verdana" w:cs="Arial"/>
          <w:lang w:val="es-ES"/>
        </w:rPr>
        <w:t xml:space="preserve">. Es precio señalar que la Corte Constitucional si bien declaró la </w:t>
      </w:r>
      <w:proofErr w:type="spellStart"/>
      <w:r w:rsidRPr="00273578">
        <w:rPr>
          <w:rFonts w:ascii="Verdana" w:eastAsia="Calibri" w:hAnsi="Verdana" w:cs="Arial"/>
          <w:lang w:val="es-ES"/>
        </w:rPr>
        <w:t>inexequibilidad</w:t>
      </w:r>
      <w:proofErr w:type="spellEnd"/>
      <w:r w:rsidRPr="00273578">
        <w:rPr>
          <w:rFonts w:ascii="Verdana" w:eastAsia="Calibri" w:hAnsi="Verdana" w:cs="Arial"/>
          <w:lang w:val="es-ES"/>
        </w:rPr>
        <w:t xml:space="preserve"> del parentesco de afinidad ilegítima, reconoció la vigencia de la denominada afinidad extramatrimonial. Para estos efectos, sostuvo:</w:t>
      </w:r>
    </w:p>
    <w:p w14:paraId="695016CF" w14:textId="77777777" w:rsidR="00273578" w:rsidRPr="00273578" w:rsidRDefault="00273578" w:rsidP="00273578">
      <w:pPr>
        <w:spacing w:after="0" w:line="276" w:lineRule="auto"/>
        <w:jc w:val="both"/>
        <w:rPr>
          <w:rFonts w:ascii="Verdana" w:eastAsia="Calibri" w:hAnsi="Verdana" w:cs="Arial"/>
          <w:lang w:val="es-ES_tradnl"/>
        </w:rPr>
      </w:pPr>
    </w:p>
    <w:p w14:paraId="4087E761" w14:textId="77777777" w:rsidR="00273578" w:rsidRPr="00273578" w:rsidRDefault="00273578" w:rsidP="00273578">
      <w:pPr>
        <w:spacing w:after="0" w:line="276" w:lineRule="auto"/>
        <w:ind w:left="708"/>
        <w:jc w:val="both"/>
        <w:rPr>
          <w:rFonts w:ascii="Verdana" w:eastAsia="Calibri" w:hAnsi="Verdana" w:cs="Arial"/>
          <w:sz w:val="20"/>
          <w:szCs w:val="20"/>
          <w:lang w:val="es-ES_tradnl"/>
        </w:rPr>
      </w:pPr>
      <w:r w:rsidRPr="00273578">
        <w:rPr>
          <w:rFonts w:ascii="Verdana" w:eastAsia="Calibri" w:hAnsi="Verdana" w:cs="Arial"/>
          <w:sz w:val="20"/>
          <w:szCs w:val="20"/>
          <w:lang w:val="es-ES_tradnl"/>
        </w:rPr>
        <w:t xml:space="preserve">“En primer lugar, si el inciso primero del artículo 42 de la Constitución reconoce, en un pie de igualdad, la familia constituida por vínculos "naturales o jurídicos", </w:t>
      </w:r>
      <w:r w:rsidRPr="00273578">
        <w:rPr>
          <w:rFonts w:ascii="Verdana" w:eastAsia="Calibri" w:hAnsi="Verdana" w:cs="Arial"/>
          <w:sz w:val="20"/>
          <w:szCs w:val="20"/>
          <w:lang w:val="es-ES_tradnl"/>
        </w:rPr>
        <w:lastRenderedPageBreak/>
        <w:t>no se ve cómo la inexistencia del matrimonio origine una "consanguinidad ilegítima", entendiéndose ésta como ilícita.</w:t>
      </w:r>
    </w:p>
    <w:p w14:paraId="38C44875" w14:textId="77777777" w:rsidR="00273578" w:rsidRPr="00273578" w:rsidRDefault="00273578" w:rsidP="00273578">
      <w:pPr>
        <w:spacing w:after="0" w:line="276" w:lineRule="auto"/>
        <w:ind w:left="708"/>
        <w:jc w:val="both"/>
        <w:rPr>
          <w:rFonts w:ascii="Verdana" w:eastAsia="Calibri" w:hAnsi="Verdana" w:cs="Arial"/>
          <w:sz w:val="20"/>
          <w:szCs w:val="20"/>
          <w:lang w:val="es-ES_tradnl"/>
        </w:rPr>
      </w:pPr>
    </w:p>
    <w:p w14:paraId="5D1C90A3" w14:textId="77777777" w:rsidR="00273578" w:rsidRPr="00273578" w:rsidRDefault="00273578" w:rsidP="00273578">
      <w:pPr>
        <w:spacing w:after="0" w:line="276" w:lineRule="auto"/>
        <w:ind w:left="708"/>
        <w:jc w:val="both"/>
        <w:rPr>
          <w:rFonts w:ascii="Verdana" w:eastAsia="Calibri" w:hAnsi="Verdana" w:cs="Arial"/>
          <w:sz w:val="20"/>
          <w:szCs w:val="20"/>
          <w:lang w:val="es-ES_tradnl"/>
        </w:rPr>
      </w:pPr>
      <w:r w:rsidRPr="00273578">
        <w:rPr>
          <w:rFonts w:ascii="Verdana" w:eastAsia="Calibri" w:hAnsi="Verdana" w:cs="Arial"/>
          <w:sz w:val="20"/>
          <w:szCs w:val="20"/>
          <w:lang w:val="es-ES_tradnl"/>
        </w:rPr>
        <w:t>[…]</w:t>
      </w:r>
    </w:p>
    <w:p w14:paraId="2BE598C7" w14:textId="77777777" w:rsidR="00273578" w:rsidRPr="00273578" w:rsidRDefault="00273578" w:rsidP="00273578">
      <w:pPr>
        <w:spacing w:after="0" w:line="276" w:lineRule="auto"/>
        <w:ind w:left="708"/>
        <w:jc w:val="both"/>
        <w:rPr>
          <w:rFonts w:ascii="Verdana" w:eastAsia="Calibri" w:hAnsi="Verdana" w:cs="Arial"/>
          <w:sz w:val="20"/>
          <w:szCs w:val="20"/>
          <w:lang w:val="es-ES_tradnl"/>
        </w:rPr>
      </w:pPr>
    </w:p>
    <w:p w14:paraId="2222E2C9" w14:textId="77777777" w:rsidR="00273578" w:rsidRPr="00273578" w:rsidRDefault="00273578" w:rsidP="00273578">
      <w:pPr>
        <w:spacing w:after="0" w:line="276" w:lineRule="auto"/>
        <w:ind w:left="708"/>
        <w:jc w:val="both"/>
        <w:rPr>
          <w:rFonts w:ascii="Verdana" w:eastAsia="Calibri" w:hAnsi="Verdana" w:cs="Arial"/>
          <w:sz w:val="20"/>
          <w:szCs w:val="20"/>
          <w:lang w:val="es-ES"/>
        </w:rPr>
      </w:pPr>
      <w:r w:rsidRPr="00273578">
        <w:rPr>
          <w:rFonts w:ascii="Verdana" w:eastAsia="Calibri" w:hAnsi="Verdana" w:cs="Arial"/>
          <w:sz w:val="20"/>
          <w:szCs w:val="20"/>
          <w:lang w:val="es-ES"/>
        </w:rPr>
        <w:t xml:space="preserve">Expresamente se advierte que la declaración de </w:t>
      </w:r>
      <w:proofErr w:type="spellStart"/>
      <w:r w:rsidRPr="00273578">
        <w:rPr>
          <w:rFonts w:ascii="Verdana" w:eastAsia="Calibri" w:hAnsi="Verdana" w:cs="Arial"/>
          <w:sz w:val="20"/>
          <w:szCs w:val="20"/>
          <w:lang w:val="es-ES"/>
        </w:rPr>
        <w:t>inexequibilidad</w:t>
      </w:r>
      <w:proofErr w:type="spellEnd"/>
      <w:r w:rsidRPr="00273578">
        <w:rPr>
          <w:rFonts w:ascii="Verdana" w:eastAsia="Calibri" w:hAnsi="Verdana" w:cs="Arial"/>
          <w:sz w:val="20"/>
          <w:szCs w:val="20"/>
          <w:lang w:val="es-ES"/>
        </w:rPr>
        <w:t xml:space="preserve"> de los artículos 39 y 48 no implica la desaparición de la afinidad extramatrimonial, es decir, la originada en la unión permanente a que se refieren los artículos 126 y 179 de la Constitución, entre otros. Para todos los efectos legales, la afinidad extramatrimonial sigue existiendo</w:t>
      </w:r>
      <w:r w:rsidRPr="00273578">
        <w:rPr>
          <w:rFonts w:ascii="Calibri" w:eastAsia="Calibri" w:hAnsi="Calibri" w:cs="Times New Roman"/>
          <w:vertAlign w:val="superscript"/>
        </w:rPr>
        <w:footnoteReference w:id="10"/>
      </w:r>
      <w:r w:rsidRPr="00273578">
        <w:rPr>
          <w:rFonts w:ascii="Verdana" w:eastAsia="Calibri" w:hAnsi="Verdana" w:cs="Arial"/>
          <w:sz w:val="20"/>
          <w:szCs w:val="20"/>
          <w:lang w:val="es-ES"/>
        </w:rPr>
        <w:t>”.</w:t>
      </w:r>
    </w:p>
    <w:p w14:paraId="2F63005A" w14:textId="77777777" w:rsidR="00273578" w:rsidRPr="00273578" w:rsidRDefault="00273578" w:rsidP="00273578">
      <w:pPr>
        <w:spacing w:after="0" w:line="276" w:lineRule="auto"/>
        <w:jc w:val="both"/>
        <w:rPr>
          <w:rFonts w:ascii="Verdana" w:eastAsia="Calibri" w:hAnsi="Verdana" w:cs="Arial"/>
          <w:lang w:val="es-ES_tradnl"/>
        </w:rPr>
      </w:pPr>
    </w:p>
    <w:p w14:paraId="0411538B" w14:textId="77777777" w:rsidR="00273578" w:rsidRPr="00273578" w:rsidRDefault="00273578" w:rsidP="00273578">
      <w:pPr>
        <w:spacing w:after="0" w:line="276" w:lineRule="auto"/>
        <w:ind w:firstLine="708"/>
        <w:jc w:val="both"/>
        <w:rPr>
          <w:rFonts w:ascii="Verdana" w:eastAsia="Calibri" w:hAnsi="Verdana" w:cs="Arial"/>
          <w:lang w:val="es-ES"/>
        </w:rPr>
      </w:pPr>
      <w:r w:rsidRPr="00273578">
        <w:rPr>
          <w:rFonts w:ascii="Verdana" w:eastAsia="Calibri" w:hAnsi="Verdana" w:cs="Arial"/>
          <w:bCs/>
          <w:lang w:val="es-ES"/>
        </w:rPr>
        <w:t xml:space="preserve">Ahora bien, analizada la referida </w:t>
      </w:r>
      <w:r w:rsidRPr="00273578">
        <w:rPr>
          <w:rFonts w:ascii="Verdana" w:eastAsia="Calibri" w:hAnsi="Verdana" w:cs="Arial"/>
          <w:lang w:val="es-ES"/>
        </w:rPr>
        <w:t xml:space="preserve">incompatibilidad, se advierte que esta configura en quienes tienen relaciones de parentesco por consanguinidad o afinidad hasta el segundo grado, o primero civil, con los servidores públicos del nivel directivo, asesor o ejecutivo. En virtud de esta causal tienen entonces restringida la capacidad contractual personas como los padres, hijos, abuelos, hermanos, suegros, hermanos, yernos y/o nueras, de los servidores públicos del nivel directivo o asesor –como podemos razonablemente presumir que son los servidores públicos que fungen como representante legal, de la entidad contratante. </w:t>
      </w:r>
    </w:p>
    <w:p w14:paraId="27BE9C9E" w14:textId="77777777" w:rsidR="00273578" w:rsidRPr="00273578" w:rsidRDefault="00273578" w:rsidP="00273578">
      <w:pPr>
        <w:spacing w:after="0" w:line="276" w:lineRule="auto"/>
        <w:jc w:val="both"/>
        <w:rPr>
          <w:rFonts w:ascii="Verdana" w:eastAsia="Calibri" w:hAnsi="Verdana" w:cs="Arial"/>
          <w:lang w:val="es-ES"/>
        </w:rPr>
      </w:pPr>
    </w:p>
    <w:p w14:paraId="041D88B9" w14:textId="36351F6C" w:rsidR="00273578" w:rsidRPr="00C90BD8" w:rsidRDefault="00273578" w:rsidP="00273578">
      <w:pPr>
        <w:spacing w:after="0" w:line="276" w:lineRule="auto"/>
        <w:jc w:val="both"/>
        <w:rPr>
          <w:rFonts w:ascii="Verdana" w:eastAsia="Calibri" w:hAnsi="Verdana" w:cs="Arial"/>
          <w:bCs/>
        </w:rPr>
      </w:pPr>
      <w:r w:rsidRPr="00273578">
        <w:rPr>
          <w:rFonts w:ascii="Verdana" w:eastAsia="Calibri" w:hAnsi="Verdana" w:cs="Arial"/>
          <w:bCs/>
        </w:rPr>
        <w:t xml:space="preserve">En todo caso, debe advertirse que, corresponde a las Entidades Estatales, al verificar la capacidad jurídica de las personas con quienes pretenden suscribir contratos, determinar en cada caso concreto si se configura alguna inhabilidad, incompatibilidad o conflicto de interés. En ese sentido, la conclusión aquí expuesta no remplaza el deber de verificación de las Entidades Estatales, ni puede ser tomada como un juicio de valor sobre alguna situación de orden particular. </w:t>
      </w:r>
      <w:bookmarkEnd w:id="0"/>
    </w:p>
    <w:p w14:paraId="7C12E0AB" w14:textId="77777777" w:rsidR="00273578" w:rsidRPr="00273578" w:rsidRDefault="00273578" w:rsidP="00273578">
      <w:pPr>
        <w:spacing w:after="0" w:line="276" w:lineRule="auto"/>
        <w:jc w:val="both"/>
        <w:rPr>
          <w:rFonts w:ascii="Verdana" w:eastAsia="Century Gothic" w:hAnsi="Verdana" w:cs="Century Gothic"/>
          <w:bCs/>
          <w:lang w:val="es-ES"/>
        </w:rPr>
      </w:pPr>
    </w:p>
    <w:p w14:paraId="7B41FA8D" w14:textId="77777777" w:rsidR="00273578" w:rsidRPr="00273578" w:rsidRDefault="00273578" w:rsidP="00273578">
      <w:pPr>
        <w:spacing w:line="256" w:lineRule="auto"/>
        <w:jc w:val="both"/>
        <w:rPr>
          <w:rFonts w:ascii="Verdana" w:eastAsia="Calibri" w:hAnsi="Verdana" w:cs="Arial"/>
          <w:b/>
          <w:bCs/>
        </w:rPr>
      </w:pPr>
      <w:r w:rsidRPr="00273578">
        <w:rPr>
          <w:rFonts w:ascii="Verdana" w:eastAsia="Calibri" w:hAnsi="Verdana" w:cs="Arial"/>
          <w:b/>
          <w:bCs/>
        </w:rPr>
        <w:t>4. Referencias normativas, jurisprudenciales y otras fuentes:</w:t>
      </w:r>
    </w:p>
    <w:tbl>
      <w:tblPr>
        <w:tblStyle w:val="Tablaconcuadrcula1"/>
        <w:tblW w:w="864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0"/>
      </w:tblGrid>
      <w:tr w:rsidR="00273578" w:rsidRPr="00273578" w14:paraId="3641608F" w14:textId="77777777" w:rsidTr="00273578">
        <w:trPr>
          <w:trHeight w:val="1068"/>
        </w:trPr>
        <w:tc>
          <w:tcPr>
            <w:tcW w:w="8647" w:type="dxa"/>
            <w:tcBorders>
              <w:top w:val="dotted" w:sz="4" w:space="0" w:color="auto"/>
              <w:left w:val="dotted" w:sz="4" w:space="0" w:color="auto"/>
              <w:bottom w:val="dotted" w:sz="4" w:space="0" w:color="auto"/>
              <w:right w:val="dotted" w:sz="4" w:space="0" w:color="auto"/>
            </w:tcBorders>
          </w:tcPr>
          <w:p w14:paraId="2D35EBEF" w14:textId="77777777" w:rsidR="00273578" w:rsidRPr="00273578" w:rsidRDefault="00273578" w:rsidP="00273578">
            <w:pPr>
              <w:numPr>
                <w:ilvl w:val="0"/>
                <w:numId w:val="20"/>
              </w:numPr>
              <w:tabs>
                <w:tab w:val="left" w:pos="142"/>
                <w:tab w:val="left" w:pos="284"/>
              </w:tabs>
              <w:contextualSpacing/>
              <w:jc w:val="both"/>
              <w:rPr>
                <w:rFonts w:ascii="Verdana" w:eastAsia="Century Gothic" w:hAnsi="Verdana" w:cs="Century Gothic"/>
                <w:lang w:val="es-ES"/>
              </w:rPr>
            </w:pPr>
            <w:r w:rsidRPr="00273578">
              <w:rPr>
                <w:rFonts w:ascii="Verdana" w:eastAsia="Century Gothic" w:hAnsi="Verdana" w:cs="Century Gothic"/>
                <w:lang w:val="es-ES"/>
              </w:rPr>
              <w:t>Ley 80 de 1993, artículo 8 numeral 2 literales b, c y d artículo 32 numeral 3, artículo 40. Disponible en:</w:t>
            </w:r>
          </w:p>
          <w:p w14:paraId="08A8FB48" w14:textId="77777777" w:rsidR="00273578" w:rsidRPr="00273578" w:rsidRDefault="00273578" w:rsidP="00273578">
            <w:pPr>
              <w:tabs>
                <w:tab w:val="left" w:pos="142"/>
                <w:tab w:val="left" w:pos="284"/>
              </w:tabs>
              <w:jc w:val="both"/>
              <w:rPr>
                <w:rFonts w:ascii="Verdana" w:eastAsia="Century Gothic" w:hAnsi="Verdana" w:cs="Century Gothic"/>
                <w:bCs/>
                <w:lang w:val="es-ES_tradnl"/>
              </w:rPr>
            </w:pPr>
            <w:r w:rsidRPr="00273578">
              <w:rPr>
                <w:rFonts w:ascii="Verdana" w:eastAsia="Century Gothic" w:hAnsi="Verdana" w:cs="Century Gothic"/>
                <w:bCs/>
                <w:lang w:val="es-ES_tradnl"/>
              </w:rPr>
              <w:tab/>
            </w:r>
            <w:r w:rsidRPr="00273578">
              <w:rPr>
                <w:rFonts w:ascii="Verdana" w:eastAsia="Century Gothic" w:hAnsi="Verdana" w:cs="Century Gothic"/>
                <w:bCs/>
                <w:lang w:val="es-ES_tradnl"/>
              </w:rPr>
              <w:tab/>
            </w:r>
            <w:r w:rsidRPr="00273578">
              <w:rPr>
                <w:rFonts w:ascii="Verdana" w:eastAsia="Century Gothic" w:hAnsi="Verdana" w:cs="Century Gothic"/>
                <w:bCs/>
                <w:lang w:val="es-ES_tradnl"/>
              </w:rPr>
              <w:tab/>
            </w:r>
            <w:hyperlink r:id="rId12" w:history="1">
              <w:r w:rsidRPr="00273578">
                <w:rPr>
                  <w:rFonts w:ascii="Verdana" w:eastAsia="Century Gothic" w:hAnsi="Verdana" w:cs="Century Gothic"/>
                  <w:bCs/>
                  <w:color w:val="0000FF"/>
                  <w:u w:val="single"/>
                  <w:lang w:val="es-ES_tradnl"/>
                </w:rPr>
                <w:t>https://relatoria.colombiacompra.gov.co/normativa/ley-80-de-1993/</w:t>
              </w:r>
            </w:hyperlink>
          </w:p>
          <w:p w14:paraId="55BCA942" w14:textId="77777777" w:rsidR="00273578" w:rsidRPr="00273578" w:rsidRDefault="00273578" w:rsidP="00273578">
            <w:pPr>
              <w:ind w:left="720"/>
              <w:contextualSpacing/>
              <w:rPr>
                <w:rFonts w:ascii="Verdana" w:eastAsia="Century Gothic" w:hAnsi="Verdana" w:cs="Century Gothic"/>
                <w:bCs/>
                <w:lang w:val="es-ES_tradnl"/>
              </w:rPr>
            </w:pPr>
          </w:p>
          <w:p w14:paraId="41B63A58" w14:textId="77777777" w:rsidR="00273578" w:rsidRPr="00273578" w:rsidRDefault="00273578" w:rsidP="00273578">
            <w:pPr>
              <w:numPr>
                <w:ilvl w:val="0"/>
                <w:numId w:val="20"/>
              </w:numPr>
              <w:tabs>
                <w:tab w:val="left" w:pos="142"/>
                <w:tab w:val="left" w:pos="284"/>
              </w:tabs>
              <w:contextualSpacing/>
              <w:jc w:val="both"/>
              <w:rPr>
                <w:rFonts w:ascii="Verdana" w:eastAsia="Century Gothic" w:hAnsi="Verdana" w:cs="Century Gothic"/>
                <w:lang w:val="es-ES"/>
              </w:rPr>
            </w:pPr>
            <w:r w:rsidRPr="00273578">
              <w:rPr>
                <w:rFonts w:ascii="Verdana" w:eastAsia="Century Gothic" w:hAnsi="Verdana" w:cs="Century Gothic"/>
                <w:lang w:val="es-ES"/>
              </w:rPr>
              <w:t xml:space="preserve">Código Civil Colombiano. Artículo 36. Disponible en: </w:t>
            </w:r>
          </w:p>
          <w:p w14:paraId="06E914FE" w14:textId="77777777" w:rsidR="00273578" w:rsidRPr="00273578" w:rsidRDefault="00273578" w:rsidP="00273578">
            <w:pPr>
              <w:tabs>
                <w:tab w:val="left" w:pos="142"/>
                <w:tab w:val="left" w:pos="284"/>
              </w:tabs>
              <w:ind w:left="720"/>
              <w:contextualSpacing/>
              <w:jc w:val="both"/>
              <w:rPr>
                <w:rFonts w:ascii="Verdana" w:eastAsia="Century Gothic" w:hAnsi="Verdana" w:cs="Century Gothic"/>
                <w:lang w:val="es-ES"/>
              </w:rPr>
            </w:pPr>
            <w:hyperlink r:id="rId13" w:history="1">
              <w:r w:rsidRPr="00273578">
                <w:rPr>
                  <w:rFonts w:ascii="Verdana" w:eastAsia="Century Gothic" w:hAnsi="Verdana" w:cs="Century Gothic"/>
                  <w:color w:val="0000FF"/>
                  <w:u w:val="single"/>
                  <w:lang w:val="es-ES"/>
                </w:rPr>
                <w:t>https://relatoria.colombiacompra.gov.co/normativa/codigo-civil-ley-84-de-1873/</w:t>
              </w:r>
            </w:hyperlink>
          </w:p>
          <w:p w14:paraId="36D711A4" w14:textId="77777777" w:rsidR="00273578" w:rsidRPr="00273578" w:rsidRDefault="00273578" w:rsidP="00273578">
            <w:pPr>
              <w:tabs>
                <w:tab w:val="left" w:pos="142"/>
                <w:tab w:val="left" w:pos="284"/>
              </w:tabs>
              <w:ind w:left="720"/>
              <w:contextualSpacing/>
              <w:jc w:val="both"/>
              <w:rPr>
                <w:rFonts w:ascii="Verdana" w:eastAsia="Century Gothic" w:hAnsi="Verdana" w:cs="Century Gothic"/>
                <w:lang w:val="es-ES"/>
              </w:rPr>
            </w:pPr>
          </w:p>
          <w:p w14:paraId="73CC9159" w14:textId="77777777" w:rsidR="00273578" w:rsidRPr="00273578" w:rsidRDefault="00273578" w:rsidP="00273578">
            <w:pPr>
              <w:numPr>
                <w:ilvl w:val="0"/>
                <w:numId w:val="20"/>
              </w:numPr>
              <w:tabs>
                <w:tab w:val="left" w:pos="142"/>
                <w:tab w:val="left" w:pos="284"/>
              </w:tabs>
              <w:contextualSpacing/>
              <w:jc w:val="both"/>
              <w:rPr>
                <w:rFonts w:ascii="Verdana" w:eastAsia="Century Gothic" w:hAnsi="Verdana" w:cs="Century Gothic"/>
                <w:lang w:val="es-ES"/>
              </w:rPr>
            </w:pPr>
            <w:r w:rsidRPr="00273578">
              <w:rPr>
                <w:rFonts w:ascii="Verdana" w:eastAsia="Century Gothic" w:hAnsi="Verdana" w:cs="Century Gothic"/>
                <w:lang w:val="es-ES"/>
              </w:rPr>
              <w:lastRenderedPageBreak/>
              <w:t xml:space="preserve">Consejo de Estado. Sección Segunda. Sentencia del 9 de septiembre de 2021. Expediente No. 05001-23-33-000-2013-01143-01(1317-16). M.P. </w:t>
            </w:r>
            <w:proofErr w:type="spellStart"/>
            <w:r w:rsidRPr="00273578">
              <w:rPr>
                <w:rFonts w:ascii="Verdana" w:eastAsia="Century Gothic" w:hAnsi="Verdana" w:cs="Century Gothic"/>
                <w:lang w:val="es-ES"/>
              </w:rPr>
              <w:t>Dr</w:t>
            </w:r>
            <w:proofErr w:type="spellEnd"/>
            <w:r w:rsidRPr="00273578">
              <w:rPr>
                <w:rFonts w:ascii="Verdana" w:eastAsia="Century Gothic" w:hAnsi="Verdana" w:cs="Century Gothic"/>
                <w:lang w:val="es-ES"/>
              </w:rPr>
              <w:t xml:space="preserve"> Rafael Francisco Suárez Vargas. Disponible en:</w:t>
            </w:r>
          </w:p>
          <w:p w14:paraId="09F0FC32" w14:textId="77777777" w:rsidR="00273578" w:rsidRPr="00273578" w:rsidRDefault="00273578" w:rsidP="00273578">
            <w:pPr>
              <w:ind w:left="720"/>
              <w:contextualSpacing/>
              <w:rPr>
                <w:rFonts w:ascii="Verdana" w:eastAsia="Century Gothic" w:hAnsi="Verdana" w:cs="Century Gothic"/>
                <w:bCs/>
                <w:lang w:val="es-ES_tradnl"/>
              </w:rPr>
            </w:pPr>
          </w:p>
          <w:p w14:paraId="7D07BD30" w14:textId="77777777" w:rsidR="00273578" w:rsidRPr="00273578" w:rsidRDefault="00273578" w:rsidP="00273578">
            <w:pPr>
              <w:tabs>
                <w:tab w:val="left" w:pos="142"/>
                <w:tab w:val="left" w:pos="284"/>
              </w:tabs>
              <w:ind w:left="720"/>
              <w:contextualSpacing/>
              <w:jc w:val="both"/>
              <w:rPr>
                <w:rFonts w:ascii="Verdana" w:eastAsia="Century Gothic" w:hAnsi="Verdana" w:cs="Century Gothic"/>
                <w:bCs/>
                <w:lang w:val="es-ES_tradnl"/>
              </w:rPr>
            </w:pPr>
            <w:hyperlink r:id="rId14" w:history="1">
              <w:r w:rsidRPr="00273578">
                <w:rPr>
                  <w:rFonts w:ascii="Verdana" w:eastAsia="Century Gothic" w:hAnsi="Verdana" w:cs="Century Gothic"/>
                  <w:bCs/>
                  <w:color w:val="0000FF"/>
                  <w:u w:val="single"/>
                  <w:lang w:val="es-ES_tradnl"/>
                </w:rPr>
                <w:t>https://relatoria.colombiacompra.gov.co/providencias/05001-23-33-000-2013-01143-01_1317-16_ce-suj2-025-21/</w:t>
              </w:r>
            </w:hyperlink>
          </w:p>
          <w:p w14:paraId="2CF1CF07" w14:textId="77777777" w:rsidR="00273578" w:rsidRPr="00273578" w:rsidRDefault="00273578" w:rsidP="00273578">
            <w:pPr>
              <w:tabs>
                <w:tab w:val="left" w:pos="142"/>
                <w:tab w:val="left" w:pos="284"/>
              </w:tabs>
              <w:ind w:left="720"/>
              <w:contextualSpacing/>
              <w:jc w:val="both"/>
              <w:rPr>
                <w:rFonts w:ascii="Verdana" w:eastAsia="Century Gothic" w:hAnsi="Verdana" w:cs="Century Gothic"/>
                <w:bCs/>
                <w:lang w:val="es-ES_tradnl"/>
              </w:rPr>
            </w:pPr>
          </w:p>
          <w:p w14:paraId="53A00B4B" w14:textId="77777777" w:rsidR="00273578" w:rsidRPr="00273578" w:rsidRDefault="00273578" w:rsidP="00273578">
            <w:pPr>
              <w:numPr>
                <w:ilvl w:val="0"/>
                <w:numId w:val="20"/>
              </w:numPr>
              <w:tabs>
                <w:tab w:val="left" w:pos="142"/>
                <w:tab w:val="left" w:pos="284"/>
              </w:tabs>
              <w:contextualSpacing/>
              <w:jc w:val="both"/>
              <w:rPr>
                <w:rFonts w:ascii="Verdana" w:eastAsia="Century Gothic" w:hAnsi="Verdana" w:cs="Century Gothic"/>
                <w:lang w:val="es-ES"/>
              </w:rPr>
            </w:pPr>
            <w:r w:rsidRPr="00273578">
              <w:rPr>
                <w:rFonts w:ascii="Verdana" w:eastAsia="Century Gothic" w:hAnsi="Verdana" w:cs="Century Gothic"/>
                <w:lang w:val="es-ES"/>
              </w:rPr>
              <w:t xml:space="preserve">Consejo De Estado. Sección Tercera. Subsección C. Sentencia de Unificación del 2 de diciembre de 2013. </w:t>
            </w:r>
            <w:proofErr w:type="spellStart"/>
            <w:r w:rsidRPr="00273578">
              <w:rPr>
                <w:rFonts w:ascii="Verdana" w:eastAsia="Century Gothic" w:hAnsi="Verdana" w:cs="Century Gothic"/>
                <w:lang w:val="es-ES"/>
              </w:rPr>
              <w:t>Exp</w:t>
            </w:r>
            <w:proofErr w:type="spellEnd"/>
            <w:r w:rsidRPr="00273578">
              <w:rPr>
                <w:rFonts w:ascii="Verdana" w:eastAsia="Century Gothic" w:hAnsi="Verdana" w:cs="Century Gothic"/>
                <w:lang w:val="es-ES"/>
              </w:rPr>
              <w:t>. 41.719. C.P. Jaime Orlando Santofimio Gamboa. Disponible en:</w:t>
            </w:r>
          </w:p>
          <w:p w14:paraId="3DDE2E96" w14:textId="77777777" w:rsidR="00273578" w:rsidRPr="00273578" w:rsidRDefault="00273578" w:rsidP="00273578">
            <w:pPr>
              <w:tabs>
                <w:tab w:val="left" w:pos="142"/>
                <w:tab w:val="left" w:pos="284"/>
              </w:tabs>
              <w:ind w:left="720"/>
              <w:contextualSpacing/>
              <w:jc w:val="both"/>
              <w:rPr>
                <w:rFonts w:ascii="Verdana" w:eastAsia="Century Gothic" w:hAnsi="Verdana" w:cs="Century Gothic"/>
                <w:bCs/>
                <w:lang w:val="es-ES_tradnl"/>
              </w:rPr>
            </w:pPr>
            <w:hyperlink r:id="rId15" w:history="1">
              <w:r w:rsidRPr="00273578">
                <w:rPr>
                  <w:rFonts w:ascii="Verdana" w:eastAsia="Century Gothic" w:hAnsi="Verdana" w:cs="Century Gothic"/>
                  <w:bCs/>
                  <w:color w:val="0000FF"/>
                  <w:u w:val="single"/>
                  <w:lang w:val="es-ES_tradnl"/>
                </w:rPr>
                <w:t>https://relatoria.colombiacompra.gov.co/providencias/11001-03-26-000-2011-00039-00_41719/</w:t>
              </w:r>
            </w:hyperlink>
          </w:p>
          <w:p w14:paraId="0FAE1161" w14:textId="77777777" w:rsidR="00273578" w:rsidRPr="00273578" w:rsidRDefault="00273578" w:rsidP="00273578">
            <w:pPr>
              <w:tabs>
                <w:tab w:val="left" w:pos="142"/>
                <w:tab w:val="left" w:pos="284"/>
              </w:tabs>
              <w:ind w:left="720"/>
              <w:contextualSpacing/>
              <w:jc w:val="both"/>
              <w:rPr>
                <w:rFonts w:ascii="Verdana" w:eastAsia="Century Gothic" w:hAnsi="Verdana" w:cs="Century Gothic"/>
                <w:bCs/>
                <w:lang w:val="es-ES_tradnl"/>
              </w:rPr>
            </w:pPr>
          </w:p>
          <w:p w14:paraId="23DD6465" w14:textId="77777777" w:rsidR="00273578" w:rsidRPr="00273578" w:rsidRDefault="00273578" w:rsidP="00273578">
            <w:pPr>
              <w:ind w:left="720"/>
              <w:contextualSpacing/>
              <w:rPr>
                <w:rFonts w:ascii="Verdana" w:hAnsi="Verdana" w:cs="Arial"/>
                <w:sz w:val="12"/>
                <w:szCs w:val="12"/>
                <w:lang w:val="es-MX"/>
              </w:rPr>
            </w:pPr>
          </w:p>
          <w:p w14:paraId="7F614C55" w14:textId="77777777" w:rsidR="00273578" w:rsidRPr="00273578" w:rsidRDefault="00273578" w:rsidP="00273578">
            <w:pPr>
              <w:numPr>
                <w:ilvl w:val="0"/>
                <w:numId w:val="20"/>
              </w:numPr>
              <w:tabs>
                <w:tab w:val="left" w:pos="142"/>
                <w:tab w:val="left" w:pos="284"/>
              </w:tabs>
              <w:contextualSpacing/>
              <w:jc w:val="both"/>
              <w:rPr>
                <w:rFonts w:ascii="Verdana" w:eastAsia="Century Gothic" w:hAnsi="Verdana" w:cs="Century Gothic"/>
                <w:lang w:val="es-ES"/>
              </w:rPr>
            </w:pPr>
            <w:r w:rsidRPr="00273578">
              <w:rPr>
                <w:rFonts w:ascii="Verdana" w:eastAsia="Century Gothic" w:hAnsi="Verdana" w:cs="Century Gothic"/>
                <w:lang w:val="es-ES"/>
              </w:rPr>
              <w:t xml:space="preserve">Consejo de Estado. Sección Tercera. Subsección A. Sentencia del 24 de junio de 2015. </w:t>
            </w:r>
            <w:proofErr w:type="spellStart"/>
            <w:r w:rsidRPr="00273578">
              <w:rPr>
                <w:rFonts w:ascii="Verdana" w:eastAsia="Century Gothic" w:hAnsi="Verdana" w:cs="Century Gothic"/>
                <w:lang w:val="es-ES"/>
              </w:rPr>
              <w:t>Exp</w:t>
            </w:r>
            <w:proofErr w:type="spellEnd"/>
            <w:r w:rsidRPr="00273578">
              <w:rPr>
                <w:rFonts w:ascii="Verdana" w:eastAsia="Century Gothic" w:hAnsi="Verdana" w:cs="Century Gothic"/>
                <w:lang w:val="es-ES"/>
              </w:rPr>
              <w:t>. 40.635. Consejero Ponente: Hernán Andrade Rincón (E). Disponible en:</w:t>
            </w:r>
          </w:p>
          <w:p w14:paraId="52BA4A52" w14:textId="77777777" w:rsidR="00273578" w:rsidRPr="00273578" w:rsidRDefault="00273578" w:rsidP="00273578">
            <w:pPr>
              <w:tabs>
                <w:tab w:val="left" w:pos="142"/>
                <w:tab w:val="left" w:pos="284"/>
              </w:tabs>
              <w:ind w:left="720"/>
              <w:contextualSpacing/>
              <w:jc w:val="both"/>
              <w:rPr>
                <w:rFonts w:ascii="Verdana" w:eastAsia="Century Gothic" w:hAnsi="Verdana" w:cs="Century Gothic"/>
                <w:bCs/>
                <w:lang w:val="es-ES_tradnl"/>
              </w:rPr>
            </w:pPr>
            <w:hyperlink r:id="rId16" w:history="1">
              <w:r w:rsidRPr="00273578">
                <w:rPr>
                  <w:rFonts w:ascii="Verdana" w:eastAsia="Century Gothic" w:hAnsi="Verdana" w:cs="Century Gothic"/>
                  <w:bCs/>
                  <w:color w:val="0000FF"/>
                  <w:u w:val="single"/>
                  <w:lang w:val="es-ES_tradnl"/>
                </w:rPr>
                <w:t>https://relatoria.colombiacompra.gov.co/providencias/05001-23-31-000-1997-02636-01_40635/</w:t>
              </w:r>
            </w:hyperlink>
          </w:p>
          <w:p w14:paraId="4FC205ED" w14:textId="77777777" w:rsidR="00273578" w:rsidRPr="00273578" w:rsidRDefault="00273578" w:rsidP="00273578">
            <w:pPr>
              <w:ind w:left="720"/>
              <w:contextualSpacing/>
              <w:rPr>
                <w:rFonts w:ascii="Verdana" w:eastAsia="Century Gothic" w:hAnsi="Verdana" w:cs="Century Gothic"/>
                <w:bCs/>
                <w:lang w:val="es-ES_tradnl"/>
              </w:rPr>
            </w:pPr>
          </w:p>
          <w:p w14:paraId="616A42A4" w14:textId="77777777" w:rsidR="00273578" w:rsidRPr="00273578" w:rsidRDefault="00273578" w:rsidP="00273578">
            <w:pPr>
              <w:numPr>
                <w:ilvl w:val="0"/>
                <w:numId w:val="20"/>
              </w:numPr>
              <w:tabs>
                <w:tab w:val="left" w:pos="142"/>
                <w:tab w:val="left" w:pos="284"/>
              </w:tabs>
              <w:contextualSpacing/>
              <w:jc w:val="both"/>
              <w:rPr>
                <w:rFonts w:ascii="Verdana" w:eastAsia="Century Gothic" w:hAnsi="Verdana" w:cs="Century Gothic"/>
                <w:bCs/>
                <w:lang w:val="es-ES_tradnl"/>
              </w:rPr>
            </w:pPr>
            <w:r w:rsidRPr="00273578">
              <w:rPr>
                <w:rFonts w:ascii="Verdana" w:eastAsia="Century Gothic" w:hAnsi="Verdana" w:cs="Century Gothic"/>
                <w:bCs/>
                <w:lang w:val="es-ES_tradnl"/>
              </w:rPr>
              <w:t>CORTE CONSTITUCIONAL. Sentencia C‒595 de 1996. M.P. Jorge Arango Mejía. Disponible en:</w:t>
            </w:r>
          </w:p>
          <w:p w14:paraId="448B7CD9" w14:textId="77777777" w:rsidR="00273578" w:rsidRPr="00273578" w:rsidRDefault="00273578" w:rsidP="00273578">
            <w:pPr>
              <w:tabs>
                <w:tab w:val="left" w:pos="142"/>
                <w:tab w:val="left" w:pos="284"/>
              </w:tabs>
              <w:ind w:left="720"/>
              <w:contextualSpacing/>
              <w:jc w:val="both"/>
              <w:rPr>
                <w:rFonts w:ascii="Verdana" w:eastAsia="Century Gothic" w:hAnsi="Verdana" w:cs="Century Gothic"/>
                <w:bCs/>
                <w:lang w:val="es-ES_tradnl"/>
              </w:rPr>
            </w:pPr>
            <w:hyperlink r:id="rId17" w:history="1">
              <w:r w:rsidRPr="00273578">
                <w:rPr>
                  <w:rFonts w:ascii="Verdana" w:eastAsia="Century Gothic" w:hAnsi="Verdana" w:cs="Century Gothic"/>
                  <w:bCs/>
                  <w:color w:val="0000FF"/>
                  <w:u w:val="single"/>
                  <w:lang w:val="es-ES_tradnl"/>
                </w:rPr>
                <w:t>https://www.corteconstitucional.gov.co/relatoria/1996/C-595-96.htm</w:t>
              </w:r>
            </w:hyperlink>
          </w:p>
        </w:tc>
      </w:tr>
    </w:tbl>
    <w:p w14:paraId="05220B9E" w14:textId="77777777" w:rsidR="00273578" w:rsidRPr="00273578" w:rsidRDefault="00273578" w:rsidP="00273578">
      <w:pPr>
        <w:tabs>
          <w:tab w:val="left" w:pos="142"/>
          <w:tab w:val="left" w:pos="284"/>
        </w:tabs>
        <w:spacing w:after="0" w:line="276" w:lineRule="auto"/>
        <w:jc w:val="both"/>
        <w:rPr>
          <w:rFonts w:ascii="Verdana" w:eastAsia="Calibri" w:hAnsi="Verdana" w:cs="Arial"/>
        </w:rPr>
      </w:pPr>
    </w:p>
    <w:p w14:paraId="062472AF" w14:textId="77777777" w:rsidR="00273578" w:rsidRPr="00273578" w:rsidRDefault="00273578" w:rsidP="00273578">
      <w:pPr>
        <w:tabs>
          <w:tab w:val="left" w:pos="142"/>
          <w:tab w:val="left" w:pos="284"/>
        </w:tabs>
        <w:spacing w:after="0" w:line="276" w:lineRule="auto"/>
        <w:jc w:val="both"/>
        <w:rPr>
          <w:rFonts w:ascii="Verdana" w:eastAsia="Century Gothic" w:hAnsi="Verdana" w:cs="Century Gothic"/>
          <w:b/>
          <w:bCs/>
          <w:lang w:val="es-ES"/>
        </w:rPr>
      </w:pPr>
      <w:r w:rsidRPr="00273578">
        <w:rPr>
          <w:rFonts w:ascii="Verdana" w:eastAsia="Calibri" w:hAnsi="Verdana" w:cs="Arial"/>
          <w:b/>
          <w:bCs/>
        </w:rPr>
        <w:t xml:space="preserve">5. </w:t>
      </w:r>
      <w:r w:rsidRPr="00273578">
        <w:rPr>
          <w:rFonts w:ascii="Verdana" w:eastAsia="Century Gothic" w:hAnsi="Verdana" w:cs="Century Gothic"/>
          <w:b/>
          <w:bCs/>
          <w:lang w:val="es-ES"/>
        </w:rPr>
        <w:t>Doctrina de la Agencia Nacional de Contratación Pública:</w:t>
      </w:r>
    </w:p>
    <w:p w14:paraId="3F506596" w14:textId="77777777" w:rsidR="00273578" w:rsidRPr="00273578" w:rsidRDefault="00273578" w:rsidP="00273578">
      <w:pPr>
        <w:tabs>
          <w:tab w:val="left" w:pos="142"/>
          <w:tab w:val="left" w:pos="284"/>
        </w:tabs>
        <w:spacing w:after="0" w:line="276" w:lineRule="auto"/>
        <w:jc w:val="both"/>
        <w:rPr>
          <w:rFonts w:ascii="Verdana" w:eastAsia="Century Gothic" w:hAnsi="Verdana" w:cs="Century Gothic"/>
          <w:b/>
          <w:bCs/>
          <w:lang w:val="es-ES"/>
        </w:rPr>
      </w:pPr>
    </w:p>
    <w:p w14:paraId="0A56064F" w14:textId="77777777" w:rsidR="00273578" w:rsidRPr="00273578" w:rsidRDefault="00273578" w:rsidP="00273578">
      <w:pPr>
        <w:spacing w:after="0" w:line="276" w:lineRule="auto"/>
        <w:jc w:val="both"/>
        <w:rPr>
          <w:rFonts w:ascii="Verdana" w:eastAsia="Calibri" w:hAnsi="Verdana" w:cs="Arial"/>
          <w:color w:val="000000" w:themeColor="text1"/>
          <w:shd w:val="clear" w:color="auto" w:fill="FFFFFF"/>
        </w:rPr>
      </w:pPr>
      <w:r w:rsidRPr="00273578">
        <w:rPr>
          <w:rFonts w:ascii="Verdana" w:eastAsia="Calibri" w:hAnsi="Verdana" w:cs="Arial"/>
          <w:lang w:val="es-ES_tradnl" w:eastAsia="es-ES_tradnl"/>
        </w:rPr>
        <w:t>L</w:t>
      </w:r>
      <w:r w:rsidRPr="00273578">
        <w:rPr>
          <w:rFonts w:ascii="Verdana" w:eastAsia="Times New Roman" w:hAnsi="Verdana" w:cs="Arial"/>
          <w:lang w:val="es-ES_tradnl" w:eastAsia="es-ES_tradnl"/>
        </w:rPr>
        <w:t xml:space="preserve">a Agencia Nacional de Contratación Pública ― Colombia Compra Eficiente analizó el régimen de inhabilidades e incompatibilidades en la contratación pública, sus criterios de interpretación –restrictivo y </w:t>
      </w:r>
      <w:r w:rsidRPr="00273578">
        <w:rPr>
          <w:rFonts w:ascii="Verdana" w:eastAsia="Times New Roman" w:hAnsi="Verdana" w:cs="Arial"/>
          <w:i/>
          <w:lang w:val="es-ES_tradnl" w:eastAsia="es-ES_tradnl"/>
        </w:rPr>
        <w:t xml:space="preserve">pro </w:t>
      </w:r>
      <w:proofErr w:type="spellStart"/>
      <w:r w:rsidRPr="00273578">
        <w:rPr>
          <w:rFonts w:ascii="Verdana" w:eastAsia="Times New Roman" w:hAnsi="Verdana" w:cs="Arial"/>
          <w:i/>
          <w:lang w:val="es-ES_tradnl" w:eastAsia="es-ES_tradnl"/>
        </w:rPr>
        <w:t>libertate</w:t>
      </w:r>
      <w:proofErr w:type="spellEnd"/>
      <w:r w:rsidRPr="00273578">
        <w:rPr>
          <w:rFonts w:ascii="Verdana" w:eastAsia="Times New Roman" w:hAnsi="Verdana" w:cs="Arial"/>
          <w:lang w:val="es-ES_tradnl" w:eastAsia="es-ES_tradnl"/>
        </w:rPr>
        <w:t xml:space="preserve">– y sus efectos en la capacidad contractual, entre otros, en los conceptos: C-090 del 24 de febrero de 2020, C-125 del 3 de marzo de 2020, C-157 del 17 de marzo de 2020, C-273 del 21 de mayo de 2020, C-402 del 26 de junio de 2020, C-386 del 24 de julio de 2020, C-701 del 6 de enero de 2021, C-004 del 12 de febrero de 2021, C-210 del 12 de mayo de 2021, C-275 del 11 de junio de 2021, C-449 del 31 de agosto de 2021, C-028 del 28 de febrero de 2022, C-318 del 18 de mayo de 2022, C-252 del 30 de mayo de 2022, C-619 del 27 de septiembre de 2022, </w:t>
      </w:r>
      <w:r w:rsidRPr="00273578">
        <w:rPr>
          <w:rFonts w:ascii="Verdana" w:eastAsia="Calibri" w:hAnsi="Verdana" w:cs="Arial"/>
          <w:lang w:val="es-ES"/>
        </w:rPr>
        <w:t xml:space="preserve">C-731 de 10 de noviembre de 2022, C-059 de 13 de junio de 2023, C-289 del 15 de agosto de 2023 y C-136 del 06 de agosto de 2024, </w:t>
      </w:r>
      <w:r w:rsidRPr="00273578">
        <w:rPr>
          <w:rFonts w:ascii="Verdana" w:eastAsia="Times New Roman" w:hAnsi="Verdana" w:cs="Arial"/>
          <w:lang w:val="es-ES_tradnl" w:eastAsia="es-ES_tradnl"/>
        </w:rPr>
        <w:t>entre otros</w:t>
      </w:r>
      <w:r w:rsidRPr="00273578">
        <w:rPr>
          <w:rFonts w:ascii="Verdana" w:eastAsia="Calibri" w:hAnsi="Verdana" w:cs="Arial"/>
          <w:shd w:val="clear" w:color="auto" w:fill="FFFFFF"/>
          <w:lang w:val="es-ES"/>
        </w:rPr>
        <w:t xml:space="preserve">. </w:t>
      </w:r>
      <w:r w:rsidRPr="00273578">
        <w:rPr>
          <w:rFonts w:ascii="Verdana" w:eastAsia="Calibri" w:hAnsi="Verdana" w:cs="Arial"/>
          <w:color w:val="000000" w:themeColor="text1"/>
          <w:shd w:val="clear" w:color="auto" w:fill="FFFFFF"/>
        </w:rPr>
        <w:t xml:space="preserve">Estos y otros conceptos se encuentran disponibles para consulta en el Sistema de Relatoría de la Agencia, en el cual también podrás encontrar jurisprudencia del Consejo de Estado, laudos arbitrales y la normativa de la contratación </w:t>
      </w:r>
      <w:r w:rsidRPr="00273578">
        <w:rPr>
          <w:rFonts w:ascii="Verdana" w:eastAsia="Calibri" w:hAnsi="Verdana" w:cs="Arial"/>
          <w:color w:val="000000" w:themeColor="text1"/>
          <w:shd w:val="clear" w:color="auto" w:fill="FFFFFF"/>
        </w:rPr>
        <w:lastRenderedPageBreak/>
        <w:t>concordada con la doctrina de la Subdirección de Gestión Contractual. Accede a través del siguiente enlace: </w:t>
      </w:r>
      <w:hyperlink r:id="rId18" w:tgtFrame="_blank" w:tooltip="Dirección URL original: https://relatoria.colombiacompra.gov.co/. Haga clic o pulse si confía en este vínculo." w:history="1">
        <w:r w:rsidRPr="00273578">
          <w:rPr>
            <w:rFonts w:ascii="Verdana" w:eastAsia="Calibri" w:hAnsi="Verdana" w:cs="Arial"/>
            <w:color w:val="000000" w:themeColor="text1"/>
            <w:u w:val="single"/>
            <w:shd w:val="clear" w:color="auto" w:fill="FFFFFF"/>
          </w:rPr>
          <w:t>https://relatoria.colombiacompra.gov.co/</w:t>
        </w:r>
      </w:hyperlink>
      <w:r w:rsidRPr="00273578">
        <w:rPr>
          <w:rFonts w:ascii="Verdana" w:eastAsia="Calibri" w:hAnsi="Verdana" w:cs="Arial"/>
          <w:color w:val="000000" w:themeColor="text1"/>
          <w:shd w:val="clear" w:color="auto" w:fill="FFFFFF"/>
        </w:rPr>
        <w:t xml:space="preserve">. </w:t>
      </w:r>
    </w:p>
    <w:p w14:paraId="213CBDDF" w14:textId="77777777" w:rsidR="00273578" w:rsidRPr="00273578" w:rsidRDefault="00273578" w:rsidP="00273578">
      <w:pPr>
        <w:spacing w:after="0" w:line="276" w:lineRule="auto"/>
        <w:jc w:val="both"/>
        <w:rPr>
          <w:rFonts w:ascii="Verdana" w:eastAsia="Calibri" w:hAnsi="Verdana" w:cs="Arial"/>
          <w:color w:val="000000" w:themeColor="text1"/>
          <w:shd w:val="clear" w:color="auto" w:fill="FFFFFF"/>
        </w:rPr>
      </w:pPr>
    </w:p>
    <w:p w14:paraId="4FFECBE3" w14:textId="2F034781" w:rsidR="00273578" w:rsidRDefault="00273578" w:rsidP="00273578">
      <w:pPr>
        <w:spacing w:after="0" w:line="276" w:lineRule="auto"/>
        <w:jc w:val="both"/>
        <w:rPr>
          <w:rFonts w:ascii="Verdana" w:eastAsia="Calibri" w:hAnsi="Verdana" w:cs="Arial"/>
          <w:shd w:val="clear" w:color="auto" w:fill="FFFFFF"/>
          <w:lang w:val="es-ES"/>
        </w:rPr>
      </w:pPr>
      <w:r w:rsidRPr="00273578">
        <w:rPr>
          <w:rFonts w:ascii="Verdana" w:eastAsia="Calibri" w:hAnsi="Verdana" w:cs="Arial"/>
          <w:color w:val="000000" w:themeColor="text1"/>
          <w:shd w:val="clear" w:color="auto" w:fill="FFFFFF"/>
        </w:rPr>
        <w:t xml:space="preserve">Te invitamos a revisar la cuarta edición del Boletín de Relatoría de </w:t>
      </w:r>
      <w:proofErr w:type="gramStart"/>
      <w:r w:rsidRPr="00273578">
        <w:rPr>
          <w:rFonts w:ascii="Verdana" w:eastAsia="Calibri" w:hAnsi="Verdana" w:cs="Arial"/>
          <w:color w:val="000000" w:themeColor="text1"/>
          <w:shd w:val="clear" w:color="auto" w:fill="FFFFFF"/>
        </w:rPr>
        <w:t>2024,  en</w:t>
      </w:r>
      <w:proofErr w:type="gramEnd"/>
      <w:r w:rsidRPr="00273578">
        <w:rPr>
          <w:rFonts w:ascii="Verdana" w:eastAsia="Calibri" w:hAnsi="Verdana" w:cs="Arial"/>
          <w:color w:val="000000" w:themeColor="text1"/>
          <w:shd w:val="clear" w:color="auto" w:fill="FFFFFF"/>
        </w:rPr>
        <w:t xml:space="preserve"> el cual se explicaron los cambios más relevantes que fueron incorporados en los Documentos Tipo para el sector de Infraestructura de Transporte, en las modalidades de selección de Licitación de Obra Pública, Selección Abreviada de Menor Cuantía y Mínima Cuantía. Puede consultarlo en el siguiente enlace : </w:t>
      </w:r>
      <w:hyperlink r:id="rId19" w:tgtFrame="_blank" w:tooltip="Dirección URL original: https://www.colombiacompra.gov.co/sala-de-prensa/boletin-digital/boletin-de-relatoria-2024-iv. Haga clic o pulse si confía en este vínculo." w:history="1">
        <w:r w:rsidRPr="00273578">
          <w:rPr>
            <w:rFonts w:ascii="Verdana" w:eastAsia="Calibri" w:hAnsi="Verdana" w:cs="Arial"/>
            <w:color w:val="0000FF"/>
            <w:u w:val="single"/>
            <w:shd w:val="clear" w:color="auto" w:fill="FFFFFF"/>
          </w:rPr>
          <w:t>BOLETÍN DE RELATORÍA 2024 – IV | Colombia Compra Eficiente | Agencia Nacional de Contratación Pública</w:t>
        </w:r>
      </w:hyperlink>
      <w:r w:rsidRPr="00273578">
        <w:rPr>
          <w:rFonts w:ascii="Verdana" w:eastAsia="Calibri" w:hAnsi="Verdana" w:cs="Arial"/>
          <w:color w:val="000000" w:themeColor="text1"/>
          <w:shd w:val="clear" w:color="auto" w:fill="FFFFFF"/>
        </w:rPr>
        <w:t>.</w:t>
      </w:r>
    </w:p>
    <w:p w14:paraId="08FB1377" w14:textId="77777777" w:rsidR="00C90BD8" w:rsidRPr="00C90BD8" w:rsidRDefault="00C90BD8" w:rsidP="00273578">
      <w:pPr>
        <w:spacing w:after="0" w:line="276" w:lineRule="auto"/>
        <w:jc w:val="both"/>
        <w:rPr>
          <w:rFonts w:ascii="Verdana" w:eastAsia="Calibri" w:hAnsi="Verdana" w:cs="Arial"/>
          <w:shd w:val="clear" w:color="auto" w:fill="FFFFFF"/>
          <w:lang w:val="es-ES"/>
        </w:rPr>
      </w:pPr>
    </w:p>
    <w:p w14:paraId="7CE0B67A" w14:textId="77777777" w:rsidR="00273578" w:rsidRPr="00273578" w:rsidRDefault="00273578" w:rsidP="00273578">
      <w:pPr>
        <w:spacing w:after="0" w:line="240" w:lineRule="auto"/>
        <w:jc w:val="both"/>
        <w:rPr>
          <w:rFonts w:ascii="Calibri" w:eastAsia="Calibri" w:hAnsi="Calibri" w:cs="Times New Roman"/>
        </w:rPr>
      </w:pPr>
      <w:r w:rsidRPr="00273578">
        <w:rPr>
          <w:rFonts w:ascii="Verdana" w:eastAsia="Calibri" w:hAnsi="Verdana" w:cs="Times New Roman"/>
        </w:rPr>
        <w:t xml:space="preserve">Por último, lo invitamos a seguirnos en las redes sociales en las cuales se difunde información institucional: </w:t>
      </w:r>
    </w:p>
    <w:p w14:paraId="53C55F8E" w14:textId="77777777" w:rsidR="00273578" w:rsidRPr="00273578" w:rsidRDefault="00273578" w:rsidP="00273578">
      <w:pPr>
        <w:spacing w:after="0" w:line="240" w:lineRule="auto"/>
        <w:jc w:val="both"/>
        <w:rPr>
          <w:rFonts w:ascii="Verdana" w:eastAsia="Calibri" w:hAnsi="Verdana" w:cs="Times New Roman"/>
        </w:rPr>
      </w:pPr>
    </w:p>
    <w:p w14:paraId="55EFA087" w14:textId="77777777" w:rsidR="00273578" w:rsidRPr="00273578" w:rsidRDefault="00273578" w:rsidP="00273578">
      <w:pPr>
        <w:spacing w:after="0" w:line="240" w:lineRule="auto"/>
        <w:jc w:val="both"/>
        <w:rPr>
          <w:rFonts w:ascii="Verdana" w:eastAsia="Calibri" w:hAnsi="Verdana" w:cs="Times New Roman"/>
        </w:rPr>
      </w:pPr>
      <w:r w:rsidRPr="00273578">
        <w:rPr>
          <w:rFonts w:ascii="Verdana" w:eastAsia="Calibri" w:hAnsi="Verdana" w:cs="Times New Roman"/>
        </w:rPr>
        <w:t xml:space="preserve">Twitter: </w:t>
      </w:r>
      <w:r w:rsidRPr="00273578">
        <w:rPr>
          <w:rFonts w:ascii="Verdana" w:eastAsia="Calibri" w:hAnsi="Verdana" w:cs="Times New Roman"/>
          <w:color w:val="4472C4" w:themeColor="accent1"/>
          <w:u w:val="single"/>
        </w:rPr>
        <w:t>@colombiacompra</w:t>
      </w:r>
      <w:r w:rsidRPr="00273578">
        <w:rPr>
          <w:rFonts w:ascii="Verdana" w:eastAsia="Calibri" w:hAnsi="Verdana" w:cs="Times New Roman"/>
          <w:color w:val="4472C4" w:themeColor="accent1"/>
        </w:rPr>
        <w:t xml:space="preserve"> </w:t>
      </w:r>
    </w:p>
    <w:p w14:paraId="64EE41FE" w14:textId="77777777" w:rsidR="00273578" w:rsidRPr="00273578" w:rsidRDefault="00273578" w:rsidP="00273578">
      <w:pPr>
        <w:spacing w:after="0" w:line="240" w:lineRule="auto"/>
        <w:jc w:val="both"/>
        <w:rPr>
          <w:rFonts w:ascii="Verdana" w:eastAsia="Calibri" w:hAnsi="Verdana" w:cs="Times New Roman"/>
        </w:rPr>
      </w:pPr>
      <w:r w:rsidRPr="00273578">
        <w:rPr>
          <w:rFonts w:ascii="Verdana" w:eastAsia="Calibri" w:hAnsi="Verdana" w:cs="Times New Roman"/>
        </w:rPr>
        <w:t xml:space="preserve">Facebook: </w:t>
      </w:r>
      <w:proofErr w:type="spellStart"/>
      <w:r w:rsidRPr="00273578">
        <w:rPr>
          <w:rFonts w:ascii="Verdana" w:eastAsia="Calibri" w:hAnsi="Verdana" w:cs="Times New Roman"/>
          <w:color w:val="4472C4" w:themeColor="accent1"/>
          <w:u w:val="single"/>
        </w:rPr>
        <w:t>ColombiaCompraEficiente</w:t>
      </w:r>
      <w:proofErr w:type="spellEnd"/>
    </w:p>
    <w:p w14:paraId="23669D25" w14:textId="77777777" w:rsidR="00273578" w:rsidRPr="00273578" w:rsidRDefault="00273578" w:rsidP="00273578">
      <w:pPr>
        <w:spacing w:after="0" w:line="240" w:lineRule="auto"/>
        <w:jc w:val="both"/>
        <w:rPr>
          <w:rFonts w:ascii="Verdana" w:eastAsia="Calibri" w:hAnsi="Verdana" w:cs="Times New Roman"/>
        </w:rPr>
      </w:pPr>
      <w:r w:rsidRPr="00273578">
        <w:rPr>
          <w:rFonts w:ascii="Verdana" w:eastAsia="Calibri" w:hAnsi="Verdana" w:cs="Times New Roman"/>
        </w:rPr>
        <w:t xml:space="preserve">LinkedIn: </w:t>
      </w:r>
      <w:r w:rsidRPr="00273578">
        <w:rPr>
          <w:rFonts w:ascii="Verdana" w:eastAsia="Calibri" w:hAnsi="Verdana" w:cs="Times New Roman"/>
          <w:color w:val="4472C4" w:themeColor="accent1"/>
          <w:u w:val="single"/>
        </w:rPr>
        <w:t>Agencia Nacional de Contratación Pública - Colombia Compra Eficiente</w:t>
      </w:r>
      <w:r w:rsidRPr="00273578">
        <w:rPr>
          <w:rFonts w:ascii="Verdana" w:eastAsia="Calibri" w:hAnsi="Verdana" w:cs="Times New Roman"/>
          <w:color w:val="4472C4" w:themeColor="accent1"/>
        </w:rPr>
        <w:t xml:space="preserve"> </w:t>
      </w:r>
      <w:r w:rsidRPr="00273578">
        <w:rPr>
          <w:rFonts w:ascii="Verdana" w:eastAsia="Calibri" w:hAnsi="Verdana" w:cs="Times New Roman"/>
        </w:rPr>
        <w:t xml:space="preserve">Instagram: </w:t>
      </w:r>
      <w:r w:rsidRPr="00273578">
        <w:rPr>
          <w:rFonts w:ascii="Verdana" w:eastAsia="Calibri" w:hAnsi="Verdana" w:cs="Times New Roman"/>
          <w:color w:val="4472C4" w:themeColor="accent1"/>
          <w:u w:val="single"/>
        </w:rPr>
        <w:t>@colombiacompraeficiente_cce</w:t>
      </w:r>
    </w:p>
    <w:p w14:paraId="32A74F30" w14:textId="77777777" w:rsidR="00273578" w:rsidRPr="00273578" w:rsidRDefault="00273578" w:rsidP="00273578">
      <w:pPr>
        <w:widowControl w:val="0"/>
        <w:autoSpaceDE w:val="0"/>
        <w:autoSpaceDN w:val="0"/>
        <w:spacing w:after="0" w:line="276" w:lineRule="auto"/>
        <w:jc w:val="both"/>
        <w:rPr>
          <w:rFonts w:ascii="Verdana" w:eastAsia="Calibri" w:hAnsi="Verdana" w:cs="Times New Roman"/>
        </w:rPr>
      </w:pPr>
    </w:p>
    <w:p w14:paraId="5795A77F" w14:textId="77777777" w:rsidR="00273578" w:rsidRPr="00273578" w:rsidRDefault="00273578" w:rsidP="00273578">
      <w:pPr>
        <w:widowControl w:val="0"/>
        <w:autoSpaceDE w:val="0"/>
        <w:autoSpaceDN w:val="0"/>
        <w:spacing w:after="0" w:line="276" w:lineRule="auto"/>
        <w:jc w:val="both"/>
        <w:rPr>
          <w:rFonts w:ascii="Verdana" w:eastAsia="Calibri" w:hAnsi="Verdana" w:cs="Arial"/>
          <w:lang w:val="es-ES_tradnl"/>
        </w:rPr>
      </w:pPr>
      <w:r w:rsidRPr="00273578">
        <w:rPr>
          <w:rFonts w:ascii="Verdana" w:eastAsia="Calibri" w:hAnsi="Verdana" w:cs="Arial"/>
        </w:rPr>
        <w:t>Este concepto tiene el alcance previsto en el artículo 28 del Código de Procedimiento Administrativo y de lo Contencioso Administrativo.</w:t>
      </w:r>
    </w:p>
    <w:p w14:paraId="2347A2C8" w14:textId="77777777" w:rsidR="00273578" w:rsidRPr="00273578" w:rsidRDefault="00273578" w:rsidP="00273578">
      <w:pPr>
        <w:widowControl w:val="0"/>
        <w:autoSpaceDE w:val="0"/>
        <w:autoSpaceDN w:val="0"/>
        <w:spacing w:after="0" w:line="276" w:lineRule="auto"/>
        <w:jc w:val="both"/>
        <w:rPr>
          <w:rFonts w:ascii="Verdana" w:eastAsia="Calibri" w:hAnsi="Verdana" w:cs="Arial"/>
        </w:rPr>
      </w:pPr>
    </w:p>
    <w:p w14:paraId="0E3C9EDD" w14:textId="77777777" w:rsidR="00273578" w:rsidRPr="00273578" w:rsidRDefault="00273578" w:rsidP="00273578">
      <w:pPr>
        <w:spacing w:after="0" w:line="240" w:lineRule="auto"/>
        <w:rPr>
          <w:rFonts w:ascii="Verdana" w:eastAsia="Calibri" w:hAnsi="Verdana" w:cs="Arial"/>
          <w:lang w:eastAsia="es-CO"/>
        </w:rPr>
      </w:pPr>
      <w:r w:rsidRPr="00273578">
        <w:rPr>
          <w:rFonts w:ascii="Verdana" w:eastAsia="Times New Roman" w:hAnsi="Verdana" w:cs="Arial"/>
          <w:lang w:eastAsia="es-CO"/>
        </w:rPr>
        <w:t>Atentamente,</w:t>
      </w:r>
      <w:r w:rsidRPr="00273578">
        <w:rPr>
          <w:rFonts w:ascii="Verdana" w:eastAsia="Calibri" w:hAnsi="Verdana" w:cs="Arial"/>
          <w:lang w:eastAsia="es-CO"/>
        </w:rPr>
        <w:t xml:space="preserve"> </w:t>
      </w:r>
    </w:p>
    <w:p w14:paraId="46A72D59" w14:textId="79D6B99A" w:rsidR="00273578" w:rsidRPr="00273578" w:rsidRDefault="00C90BD8" w:rsidP="00273578">
      <w:pPr>
        <w:spacing w:line="276" w:lineRule="auto"/>
        <w:jc w:val="center"/>
        <w:rPr>
          <w:rFonts w:ascii="Verdana" w:eastAsia="Calibri" w:hAnsi="Verdana" w:cs="Arial"/>
          <w:color w:val="000000"/>
          <w:lang w:val="es-ES_tradnl" w:eastAsia="es-CO"/>
        </w:rPr>
      </w:pPr>
      <w:r w:rsidRPr="002C3AD6">
        <w:rPr>
          <w:rFonts w:ascii="Century Gothic" w:hAnsi="Century Gothic"/>
          <w:noProof/>
        </w:rPr>
        <w:drawing>
          <wp:inline distT="0" distB="0" distL="0" distR="0" wp14:anchorId="7BA0B991" wp14:editId="5FFBD7FA">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20"/>
                    <a:stretch>
                      <a:fillRect/>
                    </a:stretch>
                  </pic:blipFill>
                  <pic:spPr>
                    <a:xfrm>
                      <a:off x="0" y="0"/>
                      <a:ext cx="3772426" cy="1400370"/>
                    </a:xfrm>
                    <a:prstGeom prst="rect">
                      <a:avLst/>
                    </a:prstGeom>
                  </pic:spPr>
                </pic:pic>
              </a:graphicData>
            </a:graphic>
          </wp:inline>
        </w:drawing>
      </w:r>
    </w:p>
    <w:tbl>
      <w:tblPr>
        <w:tblStyle w:val="Tablaconcuadrcula1"/>
        <w:tblW w:w="652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273578" w:rsidRPr="00273578" w14:paraId="1ED3599C" w14:textId="77777777" w:rsidTr="00273578">
        <w:trPr>
          <w:trHeight w:val="315"/>
        </w:trPr>
        <w:tc>
          <w:tcPr>
            <w:tcW w:w="893" w:type="dxa"/>
            <w:vAlign w:val="center"/>
            <w:hideMark/>
          </w:tcPr>
          <w:p w14:paraId="1683777E" w14:textId="77777777" w:rsidR="00273578" w:rsidRPr="00273578" w:rsidRDefault="00273578" w:rsidP="00273578">
            <w:pPr>
              <w:rPr>
                <w:rFonts w:ascii="Verdana" w:hAnsi="Verdana" w:cs="Arial"/>
                <w:sz w:val="16"/>
                <w:szCs w:val="16"/>
                <w:lang w:val="es-ES" w:eastAsia="es-ES"/>
              </w:rPr>
            </w:pPr>
            <w:r w:rsidRPr="00273578">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4C8BCD2D" w14:textId="77777777" w:rsidR="00273578" w:rsidRPr="00273578" w:rsidRDefault="00273578" w:rsidP="00273578">
            <w:pPr>
              <w:rPr>
                <w:rFonts w:ascii="Verdana" w:eastAsia="Arial" w:hAnsi="Verdana" w:cs="Arial"/>
                <w:sz w:val="16"/>
                <w:szCs w:val="16"/>
              </w:rPr>
            </w:pPr>
            <w:r w:rsidRPr="00273578">
              <w:rPr>
                <w:rFonts w:ascii="Verdana" w:hAnsi="Verdana"/>
                <w:sz w:val="16"/>
                <w:szCs w:val="16"/>
              </w:rPr>
              <w:t>Juan Manuel Avendaño Robles</w:t>
            </w:r>
          </w:p>
          <w:p w14:paraId="2A4B1E3A" w14:textId="77777777" w:rsidR="00273578" w:rsidRPr="00273578" w:rsidRDefault="00273578" w:rsidP="00273578">
            <w:pPr>
              <w:rPr>
                <w:rFonts w:ascii="Verdana" w:eastAsia="Arial" w:hAnsi="Verdana" w:cs="Arial"/>
                <w:sz w:val="16"/>
                <w:szCs w:val="16"/>
              </w:rPr>
            </w:pPr>
            <w:r w:rsidRPr="00273578">
              <w:rPr>
                <w:rFonts w:ascii="Verdana" w:eastAsia="Arial" w:hAnsi="Verdana" w:cs="Arial"/>
                <w:sz w:val="16"/>
                <w:szCs w:val="16"/>
              </w:rPr>
              <w:t>Contratista de la Subdirección de Gestión Contractual</w:t>
            </w:r>
          </w:p>
        </w:tc>
      </w:tr>
      <w:tr w:rsidR="00273578" w:rsidRPr="00273578" w14:paraId="399B983D" w14:textId="77777777" w:rsidTr="00273578">
        <w:trPr>
          <w:trHeight w:val="330"/>
        </w:trPr>
        <w:tc>
          <w:tcPr>
            <w:tcW w:w="893" w:type="dxa"/>
            <w:vAlign w:val="center"/>
            <w:hideMark/>
          </w:tcPr>
          <w:p w14:paraId="2D21748A" w14:textId="77777777" w:rsidR="00273578" w:rsidRPr="00273578" w:rsidRDefault="00273578" w:rsidP="00273578">
            <w:pPr>
              <w:rPr>
                <w:rFonts w:ascii="Verdana" w:hAnsi="Verdana" w:cs="Arial"/>
                <w:sz w:val="16"/>
                <w:szCs w:val="16"/>
                <w:lang w:val="es-ES" w:eastAsia="es-ES"/>
              </w:rPr>
            </w:pPr>
            <w:r w:rsidRPr="00273578">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778094D1" w14:textId="77777777" w:rsidR="00273578" w:rsidRPr="00273578" w:rsidRDefault="00273578" w:rsidP="00273578">
            <w:pPr>
              <w:spacing w:after="255"/>
              <w:contextualSpacing/>
              <w:textAlignment w:val="baseline"/>
              <w:rPr>
                <w:rFonts w:ascii="Verdana" w:eastAsia="Times New Roman" w:hAnsi="Verdana" w:cs="Arial"/>
                <w:sz w:val="16"/>
                <w:szCs w:val="16"/>
                <w:lang w:eastAsia="es-ES_tradnl"/>
              </w:rPr>
            </w:pPr>
            <w:r w:rsidRPr="00273578">
              <w:rPr>
                <w:rFonts w:ascii="Verdana" w:eastAsia="Times New Roman" w:hAnsi="Verdana" w:cs="Arial"/>
                <w:sz w:val="16"/>
                <w:szCs w:val="16"/>
                <w:lang w:eastAsia="es-ES_tradnl"/>
              </w:rPr>
              <w:t>Ximena Ríos López</w:t>
            </w:r>
          </w:p>
          <w:p w14:paraId="1ADA0918" w14:textId="77777777" w:rsidR="00273578" w:rsidRPr="00273578" w:rsidRDefault="00273578" w:rsidP="00273578">
            <w:pPr>
              <w:spacing w:after="255"/>
              <w:contextualSpacing/>
              <w:textAlignment w:val="baseline"/>
              <w:rPr>
                <w:rFonts w:ascii="Verdana" w:eastAsia="Times New Roman" w:hAnsi="Verdana" w:cs="Segoe UI"/>
                <w:sz w:val="16"/>
                <w:szCs w:val="16"/>
                <w:lang w:eastAsia="es-ES_tradnl"/>
              </w:rPr>
            </w:pPr>
            <w:r w:rsidRPr="00273578">
              <w:rPr>
                <w:rFonts w:ascii="Verdana" w:eastAsia="Times New Roman" w:hAnsi="Verdana" w:cs="Arial"/>
                <w:sz w:val="16"/>
                <w:szCs w:val="16"/>
                <w:lang w:eastAsia="es-ES_tradnl"/>
              </w:rPr>
              <w:t>Gestor Código T1 Grado 11 de la Subdirección de Gestión Contractual</w:t>
            </w:r>
          </w:p>
        </w:tc>
      </w:tr>
      <w:tr w:rsidR="00273578" w:rsidRPr="00273578" w14:paraId="1E100B35" w14:textId="77777777" w:rsidTr="00273578">
        <w:trPr>
          <w:trHeight w:val="300"/>
        </w:trPr>
        <w:tc>
          <w:tcPr>
            <w:tcW w:w="893" w:type="dxa"/>
            <w:vAlign w:val="center"/>
            <w:hideMark/>
          </w:tcPr>
          <w:p w14:paraId="212C30AE" w14:textId="77777777" w:rsidR="00273578" w:rsidRPr="00273578" w:rsidRDefault="00273578" w:rsidP="00273578">
            <w:pPr>
              <w:rPr>
                <w:rFonts w:ascii="Verdana" w:hAnsi="Verdana" w:cs="Arial"/>
                <w:sz w:val="16"/>
                <w:szCs w:val="16"/>
                <w:lang w:val="es-ES" w:eastAsia="es-ES"/>
              </w:rPr>
            </w:pPr>
            <w:r w:rsidRPr="00273578">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375458DB" w14:textId="77777777" w:rsidR="00273578" w:rsidRPr="00273578" w:rsidRDefault="00273578" w:rsidP="00273578">
            <w:pPr>
              <w:rPr>
                <w:rFonts w:ascii="Verdana" w:hAnsi="Verdana" w:cs="Arial"/>
                <w:sz w:val="16"/>
                <w:szCs w:val="16"/>
                <w:lang w:val="pt-BR" w:eastAsia="es-ES"/>
              </w:rPr>
            </w:pPr>
            <w:r w:rsidRPr="00273578">
              <w:rPr>
                <w:rFonts w:ascii="Verdana" w:hAnsi="Verdana" w:cs="Arial"/>
                <w:sz w:val="16"/>
                <w:szCs w:val="16"/>
                <w:lang w:val="pt-BR" w:eastAsia="es-ES"/>
              </w:rPr>
              <w:t>Carolina Quintero Gacharná</w:t>
            </w:r>
          </w:p>
          <w:p w14:paraId="39E194A3" w14:textId="77777777" w:rsidR="00273578" w:rsidRPr="00273578" w:rsidRDefault="00273578" w:rsidP="00273578">
            <w:pPr>
              <w:rPr>
                <w:rFonts w:ascii="Verdana" w:hAnsi="Verdana" w:cs="Arial"/>
                <w:sz w:val="16"/>
                <w:szCs w:val="16"/>
                <w:lang w:val="pt-BR" w:eastAsia="es-ES"/>
              </w:rPr>
            </w:pPr>
            <w:r w:rsidRPr="00273578">
              <w:rPr>
                <w:rFonts w:ascii="Verdana" w:hAnsi="Verdana" w:cs="Arial"/>
                <w:sz w:val="16"/>
                <w:szCs w:val="16"/>
                <w:lang w:eastAsia="es-ES"/>
              </w:rPr>
              <w:t>Subdirectora</w:t>
            </w:r>
            <w:r w:rsidRPr="00273578">
              <w:rPr>
                <w:rFonts w:ascii="Verdana" w:hAnsi="Verdana" w:cs="Arial"/>
                <w:sz w:val="16"/>
                <w:szCs w:val="16"/>
                <w:lang w:val="pt-BR" w:eastAsia="es-ES"/>
              </w:rPr>
              <w:t xml:space="preserve"> de Gestión Contractual ANCP – CCE</w:t>
            </w:r>
          </w:p>
        </w:tc>
      </w:tr>
    </w:tbl>
    <w:p w14:paraId="0F293BF4" w14:textId="7BBFAB11" w:rsidR="00127233" w:rsidRPr="004723AA" w:rsidRDefault="00127233" w:rsidP="004723AA"/>
    <w:sectPr w:rsidR="00127233" w:rsidRPr="004723AA" w:rsidSect="007C0C0F">
      <w:headerReference w:type="default" r:id="rId21"/>
      <w:footerReference w:type="default" r:id="rId22"/>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649136" w14:textId="77777777" w:rsidR="0085327E" w:rsidRDefault="0085327E" w:rsidP="004A1847">
      <w:pPr>
        <w:spacing w:after="0" w:line="240" w:lineRule="auto"/>
      </w:pPr>
      <w:r>
        <w:separator/>
      </w:r>
    </w:p>
  </w:endnote>
  <w:endnote w:type="continuationSeparator" w:id="0">
    <w:p w14:paraId="0ACDFF59" w14:textId="77777777" w:rsidR="0085327E" w:rsidRDefault="0085327E"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0"/>
    <w:family w:val="auto"/>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ork Sans">
    <w:charset w:val="00"/>
    <w:family w:val="auto"/>
    <w:pitch w:val="variable"/>
    <w:sig w:usb0="A00000FF" w:usb1="5000E07B" w:usb2="00000000" w:usb3="00000000" w:csb0="00000193"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94D131" w14:textId="77777777" w:rsidR="0085327E" w:rsidRDefault="0085327E" w:rsidP="004A1847">
      <w:pPr>
        <w:spacing w:after="0" w:line="240" w:lineRule="auto"/>
      </w:pPr>
      <w:r>
        <w:separator/>
      </w:r>
    </w:p>
  </w:footnote>
  <w:footnote w:type="continuationSeparator" w:id="0">
    <w:p w14:paraId="4E5BCEED" w14:textId="77777777" w:rsidR="0085327E" w:rsidRDefault="0085327E" w:rsidP="004A1847">
      <w:pPr>
        <w:spacing w:after="0" w:line="240" w:lineRule="auto"/>
      </w:pPr>
      <w:r>
        <w:continuationSeparator/>
      </w:r>
    </w:p>
  </w:footnote>
  <w:footnote w:id="1">
    <w:p w14:paraId="65E1A5DD" w14:textId="77777777" w:rsidR="00273578" w:rsidRDefault="00273578" w:rsidP="00273578">
      <w:pPr>
        <w:pStyle w:val="Textonotapie"/>
        <w:ind w:firstLine="708"/>
        <w:rPr>
          <w:rFonts w:cs="Calibri"/>
          <w:sz w:val="12"/>
          <w:szCs w:val="12"/>
        </w:rPr>
      </w:pPr>
      <w:r>
        <w:rPr>
          <w:rStyle w:val="Refdenotaalpie"/>
          <w:rFonts w:cs="Calibri"/>
          <w:sz w:val="12"/>
          <w:szCs w:val="12"/>
        </w:rPr>
        <w:footnoteRef/>
      </w:r>
      <w:r>
        <w:rPr>
          <w:rFonts w:cs="Calibri"/>
          <w:sz w:val="12"/>
          <w:szCs w:val="12"/>
        </w:rPr>
        <w:t xml:space="preserve"> Artículos 3 y 40 de la Ley 80 de 1993.</w:t>
      </w:r>
    </w:p>
    <w:p w14:paraId="1CA4FEC8" w14:textId="77777777" w:rsidR="00273578" w:rsidRDefault="00273578" w:rsidP="00273578">
      <w:pPr>
        <w:pStyle w:val="Textonotapie"/>
        <w:ind w:firstLine="708"/>
        <w:rPr>
          <w:rFonts w:cs="Calibri"/>
          <w:sz w:val="12"/>
          <w:szCs w:val="12"/>
        </w:rPr>
      </w:pPr>
    </w:p>
  </w:footnote>
  <w:footnote w:id="2">
    <w:p w14:paraId="00CEFCED" w14:textId="77777777" w:rsidR="00273578" w:rsidRDefault="00273578" w:rsidP="00273578">
      <w:pPr>
        <w:pStyle w:val="Textonotapie"/>
        <w:ind w:firstLine="708"/>
        <w:rPr>
          <w:rFonts w:cs="Calibri"/>
          <w:sz w:val="12"/>
          <w:szCs w:val="12"/>
        </w:rPr>
      </w:pPr>
      <w:r>
        <w:rPr>
          <w:rStyle w:val="Refdenotaalpie"/>
          <w:rFonts w:cs="Calibri"/>
          <w:sz w:val="12"/>
          <w:szCs w:val="12"/>
        </w:rPr>
        <w:footnoteRef/>
      </w:r>
      <w:r>
        <w:rPr>
          <w:rFonts w:cs="Calibri"/>
          <w:sz w:val="12"/>
          <w:szCs w:val="12"/>
        </w:rPr>
        <w:t xml:space="preserve"> Artículo 209 de la Constitución Política de 1991.</w:t>
      </w:r>
    </w:p>
  </w:footnote>
  <w:footnote w:id="3">
    <w:p w14:paraId="1FC9C167" w14:textId="77777777" w:rsidR="00273578" w:rsidRDefault="00273578" w:rsidP="00273578">
      <w:pPr>
        <w:spacing w:after="0" w:line="240" w:lineRule="auto"/>
        <w:ind w:firstLine="709"/>
        <w:jc w:val="both"/>
        <w:rPr>
          <w:rFonts w:cs="Calibri"/>
          <w:color w:val="000000"/>
          <w:sz w:val="12"/>
          <w:szCs w:val="12"/>
        </w:rPr>
      </w:pPr>
    </w:p>
    <w:p w14:paraId="1A0D53D4" w14:textId="77777777" w:rsidR="00273578" w:rsidRDefault="00273578" w:rsidP="00273578">
      <w:pPr>
        <w:spacing w:after="0" w:line="240" w:lineRule="auto"/>
        <w:ind w:firstLine="709"/>
        <w:jc w:val="both"/>
        <w:rPr>
          <w:rFonts w:cs="Calibri"/>
          <w:color w:val="000000"/>
          <w:sz w:val="12"/>
          <w:szCs w:val="12"/>
        </w:rPr>
      </w:pPr>
      <w:r>
        <w:rPr>
          <w:rStyle w:val="Refdenotaalpie"/>
          <w:rFonts w:cs="Calibri"/>
          <w:color w:val="000000"/>
          <w:sz w:val="12"/>
          <w:szCs w:val="12"/>
        </w:rPr>
        <w:footnoteRef/>
      </w:r>
      <w:r>
        <w:rPr>
          <w:rFonts w:cs="Calibri"/>
          <w:color w:val="000000"/>
          <w:sz w:val="12"/>
          <w:szCs w:val="12"/>
        </w:rPr>
        <w:t xml:space="preserve"> BARRETO MORENO, Antonio Alejandro. Inhabilidades de la contratación estatal, efectos y neopunitivismo en el Estatuto Anticorrupción. En: ALVIAR GARCÍA, Helena (Coordinadora). Nuevas tendencias del Derecho administrativo. Bogotá: Universidad de los Andes; Temis, 2016. pp. 63-99.</w:t>
      </w:r>
    </w:p>
    <w:p w14:paraId="0C55AEF8" w14:textId="77777777" w:rsidR="00273578" w:rsidRDefault="00273578" w:rsidP="00273578">
      <w:pPr>
        <w:spacing w:after="0" w:line="240" w:lineRule="auto"/>
        <w:ind w:firstLine="709"/>
        <w:jc w:val="both"/>
        <w:rPr>
          <w:rFonts w:cs="Calibri"/>
          <w:color w:val="000000"/>
          <w:sz w:val="12"/>
          <w:szCs w:val="12"/>
        </w:rPr>
      </w:pPr>
    </w:p>
  </w:footnote>
  <w:footnote w:id="4">
    <w:p w14:paraId="4E260BBD" w14:textId="77777777" w:rsidR="00273578" w:rsidRDefault="00273578" w:rsidP="00273578">
      <w:pPr>
        <w:pStyle w:val="Textonotapie"/>
        <w:ind w:firstLine="709"/>
        <w:jc w:val="both"/>
        <w:rPr>
          <w:rFonts w:cs="Calibri"/>
          <w:color w:val="000000"/>
          <w:sz w:val="12"/>
          <w:szCs w:val="12"/>
        </w:rPr>
      </w:pPr>
      <w:r>
        <w:rPr>
          <w:rStyle w:val="Refdenotaalpie"/>
          <w:rFonts w:cs="Calibri"/>
          <w:color w:val="000000"/>
          <w:sz w:val="12"/>
          <w:szCs w:val="12"/>
        </w:rPr>
        <w:footnoteRef/>
      </w:r>
      <w:r>
        <w:rPr>
          <w:rFonts w:cs="Calibri"/>
          <w:color w:val="000000"/>
          <w:sz w:val="12"/>
          <w:szCs w:val="12"/>
        </w:rPr>
        <w:t xml:space="preserve"> Ibíd., p. 69</w:t>
      </w:r>
    </w:p>
    <w:p w14:paraId="249D373A" w14:textId="77777777" w:rsidR="00273578" w:rsidRDefault="00273578" w:rsidP="00273578">
      <w:pPr>
        <w:pStyle w:val="Textonotapie"/>
        <w:ind w:firstLine="709"/>
        <w:jc w:val="both"/>
        <w:rPr>
          <w:rFonts w:cs="Calibri"/>
          <w:color w:val="000000"/>
          <w:sz w:val="12"/>
          <w:szCs w:val="12"/>
        </w:rPr>
      </w:pPr>
    </w:p>
  </w:footnote>
  <w:footnote w:id="5">
    <w:p w14:paraId="3E5C7AE5" w14:textId="77777777" w:rsidR="00273578" w:rsidRDefault="00273578" w:rsidP="00273578">
      <w:pPr>
        <w:pStyle w:val="Textonotapie"/>
        <w:ind w:firstLine="709"/>
        <w:jc w:val="both"/>
        <w:rPr>
          <w:rFonts w:cs="Calibri"/>
          <w:color w:val="000000"/>
          <w:sz w:val="12"/>
          <w:szCs w:val="12"/>
        </w:rPr>
      </w:pPr>
      <w:r>
        <w:rPr>
          <w:rStyle w:val="Refdenotaalpie"/>
          <w:rFonts w:cs="Calibri"/>
          <w:color w:val="000000"/>
          <w:sz w:val="12"/>
          <w:szCs w:val="12"/>
        </w:rPr>
        <w:footnoteRef/>
      </w:r>
      <w:r>
        <w:rPr>
          <w:rFonts w:cs="Calibri"/>
          <w:color w:val="000000"/>
          <w:sz w:val="12"/>
          <w:szCs w:val="12"/>
        </w:rPr>
        <w:t xml:space="preserve"> Corte Constitucional. Sentencia T-1039 de 2006. Magistrado Ponente: Humberto Sierra Porto. La Corte ha mantenido este criterio en las sentencias: C-903 de 2008. Magistrado Ponente: Jaime Araujo Rentería; C-101 de 2018. Magistrada Ponente Gloria Stella Ortiz Delgado; entre otras.</w:t>
      </w:r>
    </w:p>
    <w:p w14:paraId="7CE38053" w14:textId="77777777" w:rsidR="00273578" w:rsidRDefault="00273578" w:rsidP="00273578">
      <w:pPr>
        <w:pStyle w:val="Textonotapie"/>
        <w:ind w:firstLine="709"/>
        <w:jc w:val="both"/>
        <w:rPr>
          <w:rFonts w:cs="Calibri"/>
          <w:color w:val="000000"/>
          <w:sz w:val="12"/>
          <w:szCs w:val="12"/>
        </w:rPr>
      </w:pPr>
    </w:p>
  </w:footnote>
  <w:footnote w:id="6">
    <w:p w14:paraId="3EBEE7E3" w14:textId="77777777" w:rsidR="00273578" w:rsidRDefault="00273578" w:rsidP="00273578">
      <w:pPr>
        <w:pStyle w:val="Textonotapie"/>
        <w:ind w:firstLine="709"/>
        <w:jc w:val="both"/>
        <w:rPr>
          <w:rFonts w:cs="Calibri"/>
          <w:color w:val="000000"/>
          <w:sz w:val="12"/>
          <w:szCs w:val="12"/>
        </w:rPr>
      </w:pPr>
      <w:r>
        <w:rPr>
          <w:rStyle w:val="Refdenotaalpie"/>
          <w:rFonts w:cs="Calibri"/>
          <w:color w:val="000000"/>
          <w:sz w:val="12"/>
          <w:szCs w:val="12"/>
        </w:rPr>
        <w:footnoteRef/>
      </w:r>
      <w:r>
        <w:rPr>
          <w:rFonts w:cs="Calibri"/>
          <w:color w:val="000000"/>
          <w:sz w:val="12"/>
          <w:szCs w:val="12"/>
        </w:rPr>
        <w:t xml:space="preserve"> Consejo de Estado. Sala de Consulta y Servicio Civil. Concepto del 30 de abril de 2015. Expediente: 2251. Consejero Ponente: Álvaro Namén Vargas.</w:t>
      </w:r>
    </w:p>
    <w:p w14:paraId="3CD2D37F" w14:textId="77777777" w:rsidR="00273578" w:rsidRDefault="00273578" w:rsidP="00273578">
      <w:pPr>
        <w:pStyle w:val="Textonotapie"/>
        <w:ind w:firstLine="709"/>
        <w:jc w:val="both"/>
        <w:rPr>
          <w:rFonts w:cs="Calibri"/>
          <w:color w:val="000000"/>
          <w:sz w:val="12"/>
          <w:szCs w:val="12"/>
        </w:rPr>
      </w:pPr>
    </w:p>
  </w:footnote>
  <w:footnote w:id="7">
    <w:p w14:paraId="7F08756A" w14:textId="77777777" w:rsidR="00273578" w:rsidRDefault="00273578" w:rsidP="00273578">
      <w:pPr>
        <w:spacing w:after="0" w:line="240" w:lineRule="auto"/>
        <w:ind w:firstLine="709"/>
        <w:jc w:val="both"/>
        <w:rPr>
          <w:rFonts w:cs="Calibri"/>
          <w:color w:val="000000"/>
          <w:sz w:val="12"/>
          <w:szCs w:val="12"/>
        </w:rPr>
      </w:pPr>
      <w:r>
        <w:rPr>
          <w:rStyle w:val="Refdenotaalpie"/>
          <w:rFonts w:cs="Calibri"/>
          <w:color w:val="000000"/>
          <w:sz w:val="12"/>
          <w:szCs w:val="12"/>
        </w:rPr>
        <w:footnoteRef/>
      </w:r>
      <w:r>
        <w:rPr>
          <w:rFonts w:cs="Calibri"/>
          <w:color w:val="000000"/>
          <w:sz w:val="12"/>
          <w:szCs w:val="12"/>
        </w:rPr>
        <w:t xml:space="preserve"> </w:t>
      </w:r>
      <w:r>
        <w:rPr>
          <w:rFonts w:cs="Calibri"/>
          <w:sz w:val="12"/>
          <w:szCs w:val="12"/>
          <w:lang w:val="es-MX"/>
        </w:rPr>
        <w:t>Consejo de Estado. Sección Tercera. Subsección A. Sentencia del 24 de junio de 2015. Exp. 40.635. Consejero Ponente: Hernán Andrade Rincón (E).</w:t>
      </w:r>
    </w:p>
    <w:p w14:paraId="028D7240" w14:textId="77777777" w:rsidR="00273578" w:rsidRDefault="00273578" w:rsidP="00273578">
      <w:pPr>
        <w:pStyle w:val="Textonotapie"/>
        <w:ind w:firstLine="709"/>
        <w:jc w:val="both"/>
        <w:rPr>
          <w:rFonts w:cs="Calibri"/>
          <w:color w:val="000000"/>
          <w:sz w:val="12"/>
          <w:szCs w:val="12"/>
        </w:rPr>
      </w:pPr>
    </w:p>
  </w:footnote>
  <w:footnote w:id="8">
    <w:p w14:paraId="0764B5C7" w14:textId="77777777" w:rsidR="00273578" w:rsidRDefault="00273578" w:rsidP="00273578">
      <w:pPr>
        <w:pStyle w:val="Textonotapie"/>
        <w:ind w:firstLine="709"/>
        <w:jc w:val="both"/>
        <w:rPr>
          <w:rFonts w:cs="Calibri"/>
          <w:sz w:val="12"/>
          <w:szCs w:val="12"/>
        </w:rPr>
      </w:pPr>
      <w:r>
        <w:rPr>
          <w:rStyle w:val="Refdenotaalpie"/>
          <w:rFonts w:cs="Calibri"/>
          <w:sz w:val="12"/>
          <w:szCs w:val="12"/>
        </w:rPr>
        <w:footnoteRef/>
      </w:r>
      <w:r>
        <w:rPr>
          <w:rFonts w:cs="Calibri"/>
          <w:sz w:val="12"/>
          <w:szCs w:val="12"/>
        </w:rPr>
        <w:t xml:space="preserve"> Código Civil: “Artículo 36”.</w:t>
      </w:r>
    </w:p>
    <w:p w14:paraId="3D9E536F" w14:textId="77777777" w:rsidR="00273578" w:rsidRDefault="00273578" w:rsidP="00273578">
      <w:pPr>
        <w:pStyle w:val="Textonotapie"/>
        <w:ind w:firstLine="709"/>
        <w:jc w:val="both"/>
        <w:rPr>
          <w:rFonts w:cs="Calibri"/>
          <w:sz w:val="12"/>
          <w:szCs w:val="12"/>
          <w:lang w:val="es-CO"/>
        </w:rPr>
      </w:pPr>
    </w:p>
  </w:footnote>
  <w:footnote w:id="9">
    <w:p w14:paraId="7DF3A65F" w14:textId="77777777" w:rsidR="00273578" w:rsidRDefault="00273578" w:rsidP="00273578">
      <w:pPr>
        <w:pStyle w:val="Textonotapie"/>
        <w:ind w:firstLine="709"/>
        <w:jc w:val="both"/>
        <w:rPr>
          <w:rFonts w:cs="Calibri"/>
          <w:sz w:val="12"/>
          <w:szCs w:val="12"/>
        </w:rPr>
      </w:pPr>
      <w:r>
        <w:rPr>
          <w:rStyle w:val="Refdenotaalpie"/>
          <w:rFonts w:cs="Calibri"/>
          <w:sz w:val="12"/>
          <w:szCs w:val="12"/>
        </w:rPr>
        <w:footnoteRef/>
      </w:r>
      <w:r>
        <w:rPr>
          <w:rFonts w:cs="Calibri"/>
          <w:sz w:val="12"/>
          <w:szCs w:val="12"/>
        </w:rPr>
        <w:t xml:space="preserve"> Código Civil: “Artículo 36”.</w:t>
      </w:r>
    </w:p>
    <w:p w14:paraId="0742925C" w14:textId="77777777" w:rsidR="00273578" w:rsidRDefault="00273578" w:rsidP="00273578">
      <w:pPr>
        <w:pStyle w:val="Textonotapie"/>
        <w:ind w:firstLine="709"/>
        <w:jc w:val="both"/>
        <w:rPr>
          <w:rFonts w:cs="Calibri"/>
          <w:sz w:val="12"/>
          <w:szCs w:val="12"/>
          <w:lang w:val="es-CO"/>
        </w:rPr>
      </w:pPr>
    </w:p>
  </w:footnote>
  <w:footnote w:id="10">
    <w:p w14:paraId="1FF5930A" w14:textId="77777777" w:rsidR="00273578" w:rsidRDefault="00273578" w:rsidP="00273578">
      <w:pPr>
        <w:pStyle w:val="Textonotapie"/>
        <w:ind w:firstLine="709"/>
        <w:jc w:val="both"/>
        <w:rPr>
          <w:rFonts w:cs="Calibri"/>
          <w:sz w:val="12"/>
          <w:szCs w:val="12"/>
        </w:rPr>
      </w:pPr>
      <w:r>
        <w:rPr>
          <w:rStyle w:val="Refdenotaalpie"/>
          <w:rFonts w:cs="Calibri"/>
          <w:sz w:val="12"/>
          <w:szCs w:val="12"/>
        </w:rPr>
        <w:footnoteRef/>
      </w:r>
      <w:r>
        <w:rPr>
          <w:rFonts w:cs="Calibri"/>
          <w:sz w:val="12"/>
          <w:szCs w:val="12"/>
        </w:rPr>
        <w:t xml:space="preserve"> Corte Constitucional. Sentencia C ‒ 595 de 1996. M.P. Jorge Arango Mejía.</w:t>
      </w:r>
    </w:p>
    <w:p w14:paraId="2B16A247" w14:textId="77777777" w:rsidR="00273578" w:rsidRDefault="00273578" w:rsidP="00273578">
      <w:pPr>
        <w:pStyle w:val="Textonotapie"/>
        <w:ind w:firstLine="709"/>
        <w:jc w:val="both"/>
        <w:rPr>
          <w:rFonts w:cs="Calibri"/>
          <w:sz w:val="12"/>
          <w:szCs w:val="12"/>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65408"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4" type="#_x0000_t75" style="width:11.4pt;height:11.4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3673EA2"/>
    <w:multiLevelType w:val="hybridMultilevel"/>
    <w:tmpl w:val="8438BB1C"/>
    <w:lvl w:ilvl="0" w:tplc="2E98FA78">
      <w:start w:val="1"/>
      <w:numFmt w:val="lowerRoman"/>
      <w:lvlText w:val="%1)"/>
      <w:lvlJc w:val="left"/>
      <w:pPr>
        <w:ind w:left="1080" w:hanging="72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48A74AE"/>
    <w:multiLevelType w:val="hybridMultilevel"/>
    <w:tmpl w:val="223E270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1"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2"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C9D7664"/>
    <w:multiLevelType w:val="hybridMultilevel"/>
    <w:tmpl w:val="CECAD6C4"/>
    <w:lvl w:ilvl="0" w:tplc="101C49F6">
      <w:start w:val="1"/>
      <w:numFmt w:val="lowerRoman"/>
      <w:lvlText w:val="%1)"/>
      <w:lvlJc w:val="left"/>
      <w:pPr>
        <w:ind w:left="1080" w:hanging="72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16cid:durableId="948779781">
    <w:abstractNumId w:val="6"/>
  </w:num>
  <w:num w:numId="2" w16cid:durableId="19822139">
    <w:abstractNumId w:val="2"/>
  </w:num>
  <w:num w:numId="3" w16cid:durableId="876742304">
    <w:abstractNumId w:val="4"/>
  </w:num>
  <w:num w:numId="4" w16cid:durableId="2451864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4"/>
  </w:num>
  <w:num w:numId="7" w16cid:durableId="1946422806">
    <w:abstractNumId w:val="5"/>
  </w:num>
  <w:num w:numId="8" w16cid:durableId="152644682">
    <w:abstractNumId w:val="13"/>
  </w:num>
  <w:num w:numId="9" w16cid:durableId="1317221377">
    <w:abstractNumId w:val="8"/>
  </w:num>
  <w:num w:numId="10" w16cid:durableId="1471245386">
    <w:abstractNumId w:val="12"/>
  </w:num>
  <w:num w:numId="11" w16cid:durableId="289172385">
    <w:abstractNumId w:val="9"/>
  </w:num>
  <w:num w:numId="12" w16cid:durableId="1470781324">
    <w:abstractNumId w:val="1"/>
  </w:num>
  <w:num w:numId="13" w16cid:durableId="1512908409">
    <w:abstractNumId w:val="3"/>
  </w:num>
  <w:num w:numId="14" w16cid:durableId="895897244">
    <w:abstractNumId w:val="15"/>
  </w:num>
  <w:num w:numId="15" w16cid:durableId="390349800">
    <w:abstractNumId w:val="11"/>
  </w:num>
  <w:num w:numId="16" w16cid:durableId="79259846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949762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43693499">
    <w:abstractNumId w:val="10"/>
  </w:num>
  <w:num w:numId="19" w16cid:durableId="180237837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427623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287B"/>
    <w:rsid w:val="00061B2A"/>
    <w:rsid w:val="00073345"/>
    <w:rsid w:val="00082362"/>
    <w:rsid w:val="000920B9"/>
    <w:rsid w:val="0009241F"/>
    <w:rsid w:val="00096F00"/>
    <w:rsid w:val="000A683E"/>
    <w:rsid w:val="000B19B9"/>
    <w:rsid w:val="000D0334"/>
    <w:rsid w:val="000F6486"/>
    <w:rsid w:val="00125105"/>
    <w:rsid w:val="00127233"/>
    <w:rsid w:val="00164957"/>
    <w:rsid w:val="001E4177"/>
    <w:rsid w:val="001F7DC6"/>
    <w:rsid w:val="002038AC"/>
    <w:rsid w:val="002110DA"/>
    <w:rsid w:val="002421BB"/>
    <w:rsid w:val="0025796E"/>
    <w:rsid w:val="002707A2"/>
    <w:rsid w:val="00273578"/>
    <w:rsid w:val="002951A0"/>
    <w:rsid w:val="002962BC"/>
    <w:rsid w:val="002A093D"/>
    <w:rsid w:val="002A0DD0"/>
    <w:rsid w:val="002A49AC"/>
    <w:rsid w:val="002A64FD"/>
    <w:rsid w:val="002C7A84"/>
    <w:rsid w:val="002E4FD9"/>
    <w:rsid w:val="003120F9"/>
    <w:rsid w:val="00322A85"/>
    <w:rsid w:val="00323BA7"/>
    <w:rsid w:val="00324168"/>
    <w:rsid w:val="00332816"/>
    <w:rsid w:val="003448F4"/>
    <w:rsid w:val="00357E57"/>
    <w:rsid w:val="0036094A"/>
    <w:rsid w:val="00374F5E"/>
    <w:rsid w:val="00377E3E"/>
    <w:rsid w:val="003A26D1"/>
    <w:rsid w:val="003A779E"/>
    <w:rsid w:val="003C7F03"/>
    <w:rsid w:val="003D0F4D"/>
    <w:rsid w:val="003D5B0D"/>
    <w:rsid w:val="003E0499"/>
    <w:rsid w:val="003F3941"/>
    <w:rsid w:val="00402771"/>
    <w:rsid w:val="00406575"/>
    <w:rsid w:val="0042722E"/>
    <w:rsid w:val="0044528D"/>
    <w:rsid w:val="0045398B"/>
    <w:rsid w:val="004723AA"/>
    <w:rsid w:val="004A1847"/>
    <w:rsid w:val="004A305D"/>
    <w:rsid w:val="004C75B6"/>
    <w:rsid w:val="004F21C4"/>
    <w:rsid w:val="004F685F"/>
    <w:rsid w:val="00504B45"/>
    <w:rsid w:val="005261FC"/>
    <w:rsid w:val="005566E8"/>
    <w:rsid w:val="00574867"/>
    <w:rsid w:val="00591460"/>
    <w:rsid w:val="00592628"/>
    <w:rsid w:val="005C3777"/>
    <w:rsid w:val="005C5CDC"/>
    <w:rsid w:val="005D476C"/>
    <w:rsid w:val="00606C68"/>
    <w:rsid w:val="00610812"/>
    <w:rsid w:val="006219F8"/>
    <w:rsid w:val="00650FF7"/>
    <w:rsid w:val="00665D70"/>
    <w:rsid w:val="00671DAC"/>
    <w:rsid w:val="006900D9"/>
    <w:rsid w:val="006D12F8"/>
    <w:rsid w:val="00706C16"/>
    <w:rsid w:val="0072412A"/>
    <w:rsid w:val="00756841"/>
    <w:rsid w:val="007649AB"/>
    <w:rsid w:val="00771D0C"/>
    <w:rsid w:val="007833AC"/>
    <w:rsid w:val="007B268C"/>
    <w:rsid w:val="007B7171"/>
    <w:rsid w:val="007C0C0F"/>
    <w:rsid w:val="007C3DC2"/>
    <w:rsid w:val="007E5497"/>
    <w:rsid w:val="00806F5F"/>
    <w:rsid w:val="00820278"/>
    <w:rsid w:val="0085327E"/>
    <w:rsid w:val="008571C2"/>
    <w:rsid w:val="008843B6"/>
    <w:rsid w:val="00891928"/>
    <w:rsid w:val="008A446D"/>
    <w:rsid w:val="008D180B"/>
    <w:rsid w:val="008F0EA7"/>
    <w:rsid w:val="00923EEF"/>
    <w:rsid w:val="009419F9"/>
    <w:rsid w:val="0095685E"/>
    <w:rsid w:val="00961B09"/>
    <w:rsid w:val="00965334"/>
    <w:rsid w:val="0097093E"/>
    <w:rsid w:val="009A0DFA"/>
    <w:rsid w:val="009B2D26"/>
    <w:rsid w:val="009C71FA"/>
    <w:rsid w:val="009C72E7"/>
    <w:rsid w:val="009D3058"/>
    <w:rsid w:val="009F3A13"/>
    <w:rsid w:val="00A122D3"/>
    <w:rsid w:val="00A17F13"/>
    <w:rsid w:val="00A20739"/>
    <w:rsid w:val="00A33C78"/>
    <w:rsid w:val="00AB0ADB"/>
    <w:rsid w:val="00B01B1A"/>
    <w:rsid w:val="00B63867"/>
    <w:rsid w:val="00B63886"/>
    <w:rsid w:val="00B72CD3"/>
    <w:rsid w:val="00B72FFF"/>
    <w:rsid w:val="00BB4F49"/>
    <w:rsid w:val="00BC3D36"/>
    <w:rsid w:val="00BD7F72"/>
    <w:rsid w:val="00BE5180"/>
    <w:rsid w:val="00C04FB3"/>
    <w:rsid w:val="00C25DF9"/>
    <w:rsid w:val="00C330EB"/>
    <w:rsid w:val="00C754BE"/>
    <w:rsid w:val="00C76B1C"/>
    <w:rsid w:val="00C90BD8"/>
    <w:rsid w:val="00C958AB"/>
    <w:rsid w:val="00CB6357"/>
    <w:rsid w:val="00CC1B26"/>
    <w:rsid w:val="00D423A2"/>
    <w:rsid w:val="00D520D8"/>
    <w:rsid w:val="00D6081D"/>
    <w:rsid w:val="00D63AC2"/>
    <w:rsid w:val="00D7383B"/>
    <w:rsid w:val="00D85BE1"/>
    <w:rsid w:val="00DA231B"/>
    <w:rsid w:val="00DA23A0"/>
    <w:rsid w:val="00DC39FC"/>
    <w:rsid w:val="00DF5254"/>
    <w:rsid w:val="00E16408"/>
    <w:rsid w:val="00E20894"/>
    <w:rsid w:val="00E245AB"/>
    <w:rsid w:val="00E2764C"/>
    <w:rsid w:val="00E27F2E"/>
    <w:rsid w:val="00E333E3"/>
    <w:rsid w:val="00E360CC"/>
    <w:rsid w:val="00E413EA"/>
    <w:rsid w:val="00E50AFE"/>
    <w:rsid w:val="00E75C92"/>
    <w:rsid w:val="00E771DC"/>
    <w:rsid w:val="00E8772A"/>
    <w:rsid w:val="00E90F6B"/>
    <w:rsid w:val="00E92C27"/>
    <w:rsid w:val="00EA0E3D"/>
    <w:rsid w:val="00EC38A7"/>
    <w:rsid w:val="00EE1AA8"/>
    <w:rsid w:val="00F31EDC"/>
    <w:rsid w:val="00F462B3"/>
    <w:rsid w:val="00F5664F"/>
    <w:rsid w:val="00F666C4"/>
    <w:rsid w:val="00F76AFC"/>
    <w:rsid w:val="00FA47C0"/>
    <w:rsid w:val="00FB48FE"/>
    <w:rsid w:val="00FB5DD1"/>
    <w:rsid w:val="00FC2B5D"/>
    <w:rsid w:val="00FF1449"/>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4723AA"/>
    <w:pPr>
      <w:spacing w:line="240" w:lineRule="exact"/>
    </w:pPr>
    <w:rPr>
      <w:vertAlign w:val="superscript"/>
    </w:rPr>
  </w:style>
  <w:style w:type="table" w:customStyle="1" w:styleId="Tablaconcuadrcula1">
    <w:name w:val="Tabla con cuadrícula1"/>
    <w:basedOn w:val="Tablanormal"/>
    <w:uiPriority w:val="39"/>
    <w:qFormat/>
    <w:rsid w:val="004723A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E333E3"/>
    <w:rPr>
      <w:sz w:val="16"/>
      <w:szCs w:val="16"/>
    </w:rPr>
  </w:style>
  <w:style w:type="paragraph" w:styleId="Textocomentario">
    <w:name w:val="annotation text"/>
    <w:basedOn w:val="Normal"/>
    <w:link w:val="TextocomentarioCar"/>
    <w:uiPriority w:val="99"/>
    <w:unhideWhenUsed/>
    <w:rsid w:val="00E333E3"/>
    <w:pPr>
      <w:spacing w:line="240" w:lineRule="auto"/>
    </w:pPr>
    <w:rPr>
      <w:sz w:val="20"/>
      <w:szCs w:val="20"/>
    </w:rPr>
  </w:style>
  <w:style w:type="character" w:customStyle="1" w:styleId="TextocomentarioCar">
    <w:name w:val="Texto comentario Car"/>
    <w:basedOn w:val="Fuentedeprrafopredeter"/>
    <w:link w:val="Textocomentario"/>
    <w:uiPriority w:val="99"/>
    <w:rsid w:val="00E333E3"/>
    <w:rPr>
      <w:sz w:val="20"/>
      <w:szCs w:val="20"/>
    </w:rPr>
  </w:style>
  <w:style w:type="paragraph" w:styleId="Asuntodelcomentario">
    <w:name w:val="annotation subject"/>
    <w:basedOn w:val="Textocomentario"/>
    <w:next w:val="Textocomentario"/>
    <w:link w:val="AsuntodelcomentarioCar"/>
    <w:uiPriority w:val="99"/>
    <w:semiHidden/>
    <w:unhideWhenUsed/>
    <w:rsid w:val="00E333E3"/>
    <w:rPr>
      <w:b/>
      <w:bCs/>
    </w:rPr>
  </w:style>
  <w:style w:type="character" w:customStyle="1" w:styleId="AsuntodelcomentarioCar">
    <w:name w:val="Asunto del comentario Car"/>
    <w:basedOn w:val="TextocomentarioCar"/>
    <w:link w:val="Asuntodelcomentario"/>
    <w:uiPriority w:val="99"/>
    <w:semiHidden/>
    <w:rsid w:val="00E333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371349679">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13495081">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elatoria.colombiacompra.gov.co/normativa/codigo-civil-ley-84-de-1873/" TargetMode="External"/><Relationship Id="rId18" Type="http://schemas.openxmlformats.org/officeDocument/2006/relationships/hyperlink" Target="https://nam02.safelinks.protection.outlook.com/?url=https%3A%2F%2Frelatoria.colombiacompra.gov.co%2F&amp;data=05%7C02%7Cjuan.avendano%40colombiacompra.gov.co%7C5aad36a736844ec87b2108dcc1fa4639%7C7b09041e245149d08cb179d5e3d8c1be%7C0%7C0%7C638598527916578281%7CUnknown%7CTWFpbGZsb3d8eyJWIjoiMC4wLjAwMDAiLCJQIjoiV2luMzIiLCJBTiI6Ik1haWwiLCJXVCI6Mn0%3D%7C0%7C%7C%7C&amp;sdata=ULogXxqZhlbRGnXip3V5oi2tcjWOQqeurmNDisBXQv0%3D&amp;reserved=0"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relatoria.colombiacompra.gov.co/normativa/ley-80-de-1993/" TargetMode="External"/><Relationship Id="rId17" Type="http://schemas.openxmlformats.org/officeDocument/2006/relationships/hyperlink" Target="https://www.corteconstitucional.gov.co/relatoria/1996/C-595-96.htm" TargetMode="External"/><Relationship Id="rId2" Type="http://schemas.openxmlformats.org/officeDocument/2006/relationships/customXml" Target="../customXml/item2.xml"/><Relationship Id="rId16" Type="http://schemas.openxmlformats.org/officeDocument/2006/relationships/hyperlink" Target="https://relatoria.colombiacompra.gov.co/providencias/05001-23-31-000-1997-02636-01_40635/"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ramiger@gmail.com"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relatoria.colombiacompra.gov.co/providencias/11001-03-26-000-2011-00039-00_41719/"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nam02.safelinks.protection.outlook.com/?url=https%3A%2F%2Fwww.colombiacompra.gov.co%2Fsala-de-prensa%2Fboletin-digital%2Fboletin-de-relatoria-2024-iv&amp;data=05%7C02%7Cjuan.avendano%40colombiacompra.gov.co%7C616b83c3423e4d31151908dce489c00d%7C7b09041e245149d08cb179d5e3d8c1be%7C0%7C0%7C638636527541272440%7CUnknown%7CTWFpbGZsb3d8eyJWIjoiMC4wLjAwMDAiLCJQIjoiV2luMzIiLCJBTiI6Ik1haWwiLCJXVCI6Mn0%3D%7C0%7C%7C%7C&amp;sdata=VOv0vUywNxNx7YXgqlxhlII5V3j%2Ffeq3dcExMx1BZ1g%3D&amp;reserved=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elatoria.colombiacompra.gov.co/providencias/05001-23-33-000-2013-01143-01_1317-16_ce-suj2-025-21/"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Props1.xml><?xml version="1.0" encoding="utf-8"?>
<ds:datastoreItem xmlns:ds="http://schemas.openxmlformats.org/officeDocument/2006/customXml" ds:itemID="{DE35FE0C-56B0-48D0-A6CB-BB502E2330C4}"/>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3129</Words>
  <Characters>17213</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Juan Manuel Avendaño Robles</cp:lastModifiedBy>
  <cp:revision>2</cp:revision>
  <cp:lastPrinted>2023-01-10T21:18:00Z</cp:lastPrinted>
  <dcterms:created xsi:type="dcterms:W3CDTF">2024-10-28T20:44:00Z</dcterms:created>
  <dcterms:modified xsi:type="dcterms:W3CDTF">2024-10-28T20:44:00Z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