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5E702" w14:textId="77777777" w:rsidR="00016DAA" w:rsidRPr="00611E72" w:rsidRDefault="00016DAA" w:rsidP="00016DAA">
      <w:pPr>
        <w:spacing w:after="0"/>
        <w:jc w:val="both"/>
        <w:rPr>
          <w:rFonts w:ascii="Verdana" w:eastAsia="Calibri" w:hAnsi="Verdana" w:cs="Arial"/>
          <w:b/>
          <w:bCs/>
          <w:color w:val="000000"/>
          <w:lang w:val="es-ES"/>
        </w:rPr>
      </w:pPr>
      <w:bookmarkStart w:id="0" w:name="_GoBack"/>
      <w:bookmarkEnd w:id="0"/>
      <w:r w:rsidRPr="00611E72">
        <w:rPr>
          <w:rFonts w:ascii="Verdana" w:eastAsia="Calibri" w:hAnsi="Verdana" w:cs="Arial"/>
          <w:b/>
          <w:bCs/>
          <w:color w:val="000000"/>
          <w:lang w:val="es-ES"/>
        </w:rPr>
        <w:t xml:space="preserve">PLANEACIÓN CONTRACTUAL – Noción – Deber de las entidades estatales – Principio de economía – Contratación directa </w:t>
      </w:r>
    </w:p>
    <w:p w14:paraId="759BF22B" w14:textId="77777777" w:rsidR="00016DAA" w:rsidRPr="00611E72" w:rsidRDefault="00016DAA" w:rsidP="00016DAA">
      <w:pPr>
        <w:spacing w:after="0"/>
        <w:jc w:val="both"/>
        <w:rPr>
          <w:rFonts w:ascii="Verdana" w:eastAsia="Calibri" w:hAnsi="Verdana" w:cs="Arial"/>
          <w:b/>
          <w:bCs/>
          <w:color w:val="000000"/>
          <w:lang w:val="es-ES"/>
        </w:rPr>
      </w:pPr>
    </w:p>
    <w:p w14:paraId="7AA64F88" w14:textId="77777777" w:rsidR="00016DAA" w:rsidRPr="00611E72" w:rsidRDefault="00016DAA" w:rsidP="00016DAA">
      <w:pPr>
        <w:spacing w:after="0"/>
        <w:jc w:val="both"/>
        <w:rPr>
          <w:rFonts w:ascii="Verdana" w:eastAsia="Calibri" w:hAnsi="Verdana" w:cs="Arial"/>
          <w:color w:val="000000"/>
          <w:sz w:val="20"/>
          <w:szCs w:val="20"/>
          <w:lang w:val="es-ES"/>
        </w:rPr>
      </w:pPr>
      <w:r w:rsidRPr="00611E72">
        <w:rPr>
          <w:rFonts w:ascii="Verdana" w:eastAsia="Calibri" w:hAnsi="Verdana" w:cs="Arial"/>
          <w:color w:val="000000"/>
          <w:sz w:val="20"/>
          <w:szCs w:val="20"/>
          <w:lang w:val="es-ES"/>
        </w:rPr>
        <w:t>La planeación contractual es una herramienta de gerencia pública, que exige estructurar el proceso contractual dedicando tiempo y esfuerzos para elaborar estudios previos, los cuales deberán ser adecuados a su alcance y complejidad. Esto, con la finalidad de determinar la necesidad que pretende satisfacer la Entidad Estatal, consultando el tipo de bienes y servicios que ofrece el mercado y sus características, especificaciones, precios, costos, riesgos, garantías, disponibilidad, oferentes, etc.</w:t>
      </w:r>
    </w:p>
    <w:p w14:paraId="5946149B" w14:textId="77777777" w:rsidR="00016DAA" w:rsidRPr="00611E72" w:rsidRDefault="00016DAA" w:rsidP="00016DAA">
      <w:pPr>
        <w:spacing w:after="0"/>
        <w:jc w:val="both"/>
        <w:rPr>
          <w:rFonts w:ascii="Verdana" w:eastAsia="Calibri" w:hAnsi="Verdana" w:cs="Arial"/>
          <w:color w:val="000000"/>
          <w:sz w:val="20"/>
          <w:szCs w:val="20"/>
          <w:lang w:val="es-ES"/>
        </w:rPr>
      </w:pPr>
      <w:r w:rsidRPr="00611E72">
        <w:rPr>
          <w:rFonts w:ascii="Verdana" w:eastAsia="Calibri" w:hAnsi="Verdana" w:cs="Arial"/>
          <w:color w:val="000000"/>
          <w:sz w:val="20"/>
          <w:szCs w:val="20"/>
          <w:lang w:val="es-ES"/>
        </w:rPr>
        <w:t>[…]</w:t>
      </w:r>
    </w:p>
    <w:p w14:paraId="7091766A" w14:textId="77777777" w:rsidR="00016DAA" w:rsidRPr="00611E72" w:rsidRDefault="00016DAA" w:rsidP="00016DAA">
      <w:pPr>
        <w:spacing w:after="0"/>
        <w:jc w:val="both"/>
        <w:rPr>
          <w:rFonts w:ascii="Verdana" w:eastAsia="Calibri" w:hAnsi="Verdana" w:cs="Arial"/>
          <w:color w:val="000000"/>
          <w:sz w:val="20"/>
          <w:szCs w:val="20"/>
          <w:lang w:val="es-ES"/>
        </w:rPr>
      </w:pPr>
      <w:r w:rsidRPr="00611E72">
        <w:rPr>
          <w:rFonts w:ascii="Verdana" w:eastAsia="Calibri" w:hAnsi="Verdana" w:cs="Arial"/>
          <w:color w:val="000000"/>
          <w:sz w:val="20"/>
          <w:szCs w:val="20"/>
          <w:lang w:val="es-ES"/>
        </w:rPr>
        <w:t>[…] en virtud del principio de economía, para iniciar un proceso de contratación, incluso de contratación directa, se requieran unos estudios previos. Con ellos, se estructuran, concretan y viabilizan los aspectos esenciales del futuro contrato, dentro de los cuales se encuentran su objeto y valor estimado, entre otros elementos. Por ello, el artículo 2.2.1.1.1.6.1 del Decreto 1082 de 2015 dispone que [l]a Entidad Estatal debe hacer, durante la etapa de planeación, el análisis necesario para conocer el sector relativo al objeto del Proceso de Contratación desde la perspectiva legal, comercial, financiera, organizacional, técnica y de análisis de Riesgo.</w:t>
      </w:r>
    </w:p>
    <w:p w14:paraId="1778C73B" w14:textId="77777777" w:rsidR="00016DAA" w:rsidRPr="00611E72" w:rsidRDefault="00016DAA" w:rsidP="00016DAA">
      <w:pPr>
        <w:spacing w:after="0"/>
        <w:jc w:val="both"/>
        <w:rPr>
          <w:rFonts w:ascii="Verdana" w:eastAsia="Calibri" w:hAnsi="Verdana" w:cs="Arial"/>
          <w:b/>
          <w:bCs/>
          <w:color w:val="000000"/>
          <w:lang w:val="es-ES"/>
        </w:rPr>
      </w:pPr>
    </w:p>
    <w:p w14:paraId="0F7FECB1" w14:textId="77777777" w:rsidR="00016DAA" w:rsidRPr="00611E72" w:rsidRDefault="00016DAA" w:rsidP="00016DAA">
      <w:pPr>
        <w:spacing w:after="0"/>
        <w:jc w:val="both"/>
        <w:rPr>
          <w:rFonts w:ascii="Verdana" w:eastAsia="Calibri" w:hAnsi="Verdana" w:cs="Arial"/>
          <w:b/>
          <w:bCs/>
          <w:color w:val="000000"/>
          <w:lang w:val="es-ES"/>
        </w:rPr>
      </w:pPr>
      <w:r w:rsidRPr="00611E72">
        <w:rPr>
          <w:rFonts w:ascii="Verdana" w:eastAsia="Calibri" w:hAnsi="Verdana" w:cs="Arial"/>
          <w:b/>
          <w:bCs/>
          <w:color w:val="000000"/>
          <w:lang w:val="es-ES"/>
        </w:rPr>
        <w:t xml:space="preserve">CONTRATACIÓN DIRECTA </w:t>
      </w:r>
      <w:r w:rsidRPr="00611E72">
        <w:rPr>
          <w:rFonts w:ascii="Verdana" w:eastAsia="Calibri" w:hAnsi="Verdana" w:cs="Arial"/>
          <w:b/>
          <w:bCs/>
          <w:color w:val="000000"/>
        </w:rPr>
        <w:t>–</w:t>
      </w:r>
      <w:r w:rsidRPr="00611E72">
        <w:rPr>
          <w:rFonts w:ascii="Verdana" w:eastAsia="Calibri" w:hAnsi="Verdana" w:cs="Arial"/>
          <w:b/>
          <w:bCs/>
          <w:color w:val="000000"/>
          <w:lang w:val="es-ES"/>
        </w:rPr>
        <w:t xml:space="preserve"> Contratación de peritos – Procedencia – Idoneidad del contratista</w:t>
      </w:r>
    </w:p>
    <w:p w14:paraId="39A7F601" w14:textId="77777777" w:rsidR="00016DAA" w:rsidRPr="00611E72" w:rsidRDefault="00016DAA" w:rsidP="00016DAA">
      <w:pPr>
        <w:spacing w:after="0"/>
        <w:jc w:val="both"/>
        <w:rPr>
          <w:rFonts w:ascii="Verdana" w:eastAsia="Calibri" w:hAnsi="Verdana" w:cs="Arial"/>
          <w:color w:val="000000"/>
          <w:sz w:val="20"/>
          <w:szCs w:val="20"/>
          <w:lang w:val="es-ES"/>
        </w:rPr>
      </w:pPr>
    </w:p>
    <w:p w14:paraId="7B954493" w14:textId="77777777" w:rsidR="00016DAA" w:rsidRPr="00611E72" w:rsidRDefault="00016DAA" w:rsidP="00016DAA">
      <w:pPr>
        <w:spacing w:after="0"/>
        <w:jc w:val="both"/>
        <w:rPr>
          <w:rFonts w:ascii="Verdana" w:eastAsia="Calibri" w:hAnsi="Verdana" w:cs="Arial"/>
          <w:color w:val="000000"/>
          <w:sz w:val="20"/>
          <w:szCs w:val="20"/>
          <w:lang w:val="es-ES"/>
        </w:rPr>
      </w:pPr>
      <w:r w:rsidRPr="00611E72">
        <w:rPr>
          <w:rFonts w:ascii="Verdana" w:eastAsia="Calibri" w:hAnsi="Verdana" w:cs="Arial"/>
          <w:color w:val="000000"/>
          <w:sz w:val="20"/>
          <w:szCs w:val="20"/>
          <w:lang w:val="es-ES"/>
        </w:rPr>
        <w:t>[…] se aprecia que la referida norma, insertó un nuevo literal al numeral 4 del artículo 2 de la Ley 1150 de 2007 que enlista las causales que permiten a las Entidades Estatales seleccionar objetivamente al futuro contratista mediante el procedimiento de excepcional de contratación directa, lo que a su vez, autoriza la contratación estatal, para los eventos contemplados en dichas causales , sin que medie convocatoria pública ni la obtención previa de varias ofertas, en los términos explicados en este concepto.</w:t>
      </w:r>
    </w:p>
    <w:p w14:paraId="2874AECB" w14:textId="77777777" w:rsidR="00016DAA" w:rsidRPr="00611E72" w:rsidRDefault="00016DAA" w:rsidP="00016DAA">
      <w:pPr>
        <w:spacing w:after="0"/>
        <w:jc w:val="both"/>
        <w:rPr>
          <w:rFonts w:ascii="Verdana" w:eastAsia="Calibri" w:hAnsi="Verdana" w:cs="Arial"/>
          <w:color w:val="000000"/>
          <w:sz w:val="20"/>
          <w:szCs w:val="20"/>
          <w:lang w:val="es-ES"/>
        </w:rPr>
      </w:pPr>
    </w:p>
    <w:p w14:paraId="1F627119" w14:textId="77777777" w:rsidR="00016DAA" w:rsidRPr="00611E72" w:rsidRDefault="00016DAA" w:rsidP="00016DAA">
      <w:pPr>
        <w:spacing w:after="0"/>
        <w:jc w:val="both"/>
        <w:rPr>
          <w:rFonts w:ascii="Verdana" w:eastAsia="Calibri" w:hAnsi="Verdana" w:cs="Arial"/>
          <w:color w:val="000000"/>
          <w:sz w:val="20"/>
          <w:szCs w:val="20"/>
          <w:lang w:val="es-ES"/>
        </w:rPr>
      </w:pPr>
      <w:r w:rsidRPr="00611E72">
        <w:rPr>
          <w:rFonts w:ascii="Verdana" w:eastAsia="Calibri" w:hAnsi="Verdana" w:cs="Arial"/>
          <w:color w:val="000000"/>
          <w:sz w:val="20"/>
          <w:szCs w:val="20"/>
          <w:lang w:val="es-ES"/>
        </w:rPr>
        <w:t>[…] la causal adicionada por el referido artículo 82, se circunscribe el objeto del contrato para el cual fue autorizada, toda vez que señala que dicha causal podrá utilizarse cuando las Entidades Estatales tengan la necesidad de acudir a expertos o asesores técnicos con la finalidad de presentar o contradecir un peritaje, que es una prueba técnica destinada a acreditar o comprobar hechos alegados por las partes o terceros en un proceso judicial.</w:t>
      </w:r>
    </w:p>
    <w:p w14:paraId="1E998D46" w14:textId="77777777" w:rsidR="00016DAA" w:rsidRPr="00611E72" w:rsidRDefault="00016DAA" w:rsidP="00016DAA">
      <w:pPr>
        <w:spacing w:after="0"/>
        <w:jc w:val="both"/>
        <w:rPr>
          <w:rFonts w:ascii="Verdana" w:eastAsia="Calibri" w:hAnsi="Verdana" w:cs="Arial"/>
          <w:color w:val="000000"/>
          <w:sz w:val="20"/>
          <w:szCs w:val="20"/>
          <w:lang w:val="es-ES"/>
        </w:rPr>
      </w:pPr>
      <w:r w:rsidRPr="00611E72">
        <w:rPr>
          <w:rFonts w:ascii="Verdana" w:eastAsia="Calibri" w:hAnsi="Verdana" w:cs="Arial"/>
          <w:color w:val="000000"/>
          <w:sz w:val="20"/>
          <w:szCs w:val="20"/>
          <w:lang w:val="es-ES"/>
        </w:rPr>
        <w:t>[…]</w:t>
      </w:r>
    </w:p>
    <w:p w14:paraId="03CD6AF5" w14:textId="77777777" w:rsidR="00016DAA" w:rsidRPr="00611E72" w:rsidRDefault="00016DAA" w:rsidP="00016DAA">
      <w:pPr>
        <w:spacing w:after="0"/>
        <w:jc w:val="both"/>
        <w:rPr>
          <w:rFonts w:ascii="Verdana" w:eastAsia="Calibri" w:hAnsi="Verdana" w:cs="Arial"/>
          <w:color w:val="000000"/>
          <w:sz w:val="20"/>
          <w:szCs w:val="20"/>
          <w:lang w:val="es-ES"/>
        </w:rPr>
      </w:pPr>
      <w:r w:rsidRPr="00611E72">
        <w:rPr>
          <w:rFonts w:ascii="Verdana" w:eastAsia="Calibri" w:hAnsi="Verdana" w:cs="Arial"/>
          <w:color w:val="000000"/>
          <w:sz w:val="20"/>
          <w:szCs w:val="20"/>
          <w:lang w:val="es-ES"/>
        </w:rPr>
        <w:t xml:space="preserve">La contratación recaerá sobre los servicios de un experto, llámese perito o asesor técnico, persona que debe ser contratada con especial eficiencia y celeridad, de ahí que el legislador haya autorizado acudir a la contratación directa, toda vez que, éste deberá cumplir con el objeto del contrato, que se traduce en la realización de un peritaje o de una asesoría técnica, de manera idónea según su experiencia y experticia, dentro de las oportunidades probatorias correspondientes y respetando los términos procesales con los que cuentan las entidades estatales en el proceso judicial para ejercer válidamente los actos procesales del caso para aportar o contradecir pruebas, como lo son, por ejemplo, la presentación o la contestación de la demanda. ello, en relación con la </w:t>
      </w:r>
      <w:r w:rsidRPr="00611E72">
        <w:rPr>
          <w:rFonts w:ascii="Verdana" w:eastAsia="Calibri" w:hAnsi="Verdana" w:cs="Arial"/>
          <w:color w:val="000000"/>
          <w:sz w:val="20"/>
          <w:szCs w:val="20"/>
          <w:lang w:val="es-ES"/>
        </w:rPr>
        <w:lastRenderedPageBreak/>
        <w:t>contratación de peritos o asesores técnicos para presentar o contradecir una prueba en un proceso judicial, la Entidad Estatal deberá verificar la idoneidad o experiencia del futuro contratista.</w:t>
      </w:r>
    </w:p>
    <w:p w14:paraId="7A8CF924" w14:textId="77777777" w:rsidR="00016DAA" w:rsidRPr="00611E72" w:rsidRDefault="00016DAA" w:rsidP="00016DAA">
      <w:pPr>
        <w:spacing w:after="0" w:line="240" w:lineRule="auto"/>
        <w:rPr>
          <w:rFonts w:ascii="Verdana" w:eastAsia="Aptos" w:hAnsi="Verdana" w:cs="Times New Roman"/>
          <w:sz w:val="20"/>
          <w:szCs w:val="20"/>
        </w:rPr>
      </w:pPr>
    </w:p>
    <w:p w14:paraId="0D3EC681" w14:textId="77777777" w:rsidR="00016DAA" w:rsidRPr="00611E72" w:rsidRDefault="00016DAA" w:rsidP="00016DAA">
      <w:pPr>
        <w:spacing w:after="0" w:line="240" w:lineRule="auto"/>
        <w:rPr>
          <w:rFonts w:ascii="Verdana" w:eastAsia="Aptos" w:hAnsi="Verdana" w:cs="Times New Roman"/>
          <w:sz w:val="20"/>
          <w:szCs w:val="20"/>
        </w:rPr>
      </w:pPr>
    </w:p>
    <w:p w14:paraId="3C51F00C" w14:textId="77777777" w:rsidR="00016DAA" w:rsidRPr="00611E72" w:rsidRDefault="00016DAA" w:rsidP="00016DAA">
      <w:pPr>
        <w:spacing w:after="0" w:line="240" w:lineRule="auto"/>
        <w:rPr>
          <w:rFonts w:ascii="Verdana" w:eastAsia="Aptos" w:hAnsi="Verdana" w:cs="Times New Roman"/>
          <w:sz w:val="20"/>
          <w:szCs w:val="20"/>
        </w:rPr>
      </w:pPr>
    </w:p>
    <w:p w14:paraId="2E72C424" w14:textId="77777777" w:rsidR="00016DAA" w:rsidRPr="00611E72" w:rsidRDefault="00016DAA" w:rsidP="00016DAA">
      <w:pPr>
        <w:spacing w:after="0" w:line="240" w:lineRule="auto"/>
        <w:rPr>
          <w:rFonts w:ascii="Verdana" w:eastAsia="Aptos" w:hAnsi="Verdana" w:cs="Times New Roman"/>
          <w:sz w:val="20"/>
          <w:szCs w:val="20"/>
        </w:rPr>
      </w:pPr>
    </w:p>
    <w:p w14:paraId="03DB735F" w14:textId="77777777" w:rsidR="00016DAA" w:rsidRPr="00611E72" w:rsidRDefault="00016DAA" w:rsidP="00016DAA">
      <w:pPr>
        <w:spacing w:after="0" w:line="240" w:lineRule="auto"/>
        <w:rPr>
          <w:rFonts w:ascii="Verdana" w:eastAsia="Aptos" w:hAnsi="Verdana" w:cs="Times New Roman"/>
          <w:sz w:val="20"/>
          <w:szCs w:val="20"/>
        </w:rPr>
      </w:pPr>
    </w:p>
    <w:p w14:paraId="14E5B245" w14:textId="77777777" w:rsidR="00016DAA" w:rsidRPr="00611E72" w:rsidRDefault="00016DAA" w:rsidP="00016DAA">
      <w:pPr>
        <w:spacing w:after="0" w:line="240" w:lineRule="auto"/>
        <w:rPr>
          <w:rFonts w:ascii="Verdana" w:eastAsia="Aptos" w:hAnsi="Verdana" w:cs="Times New Roman"/>
          <w:sz w:val="20"/>
          <w:szCs w:val="20"/>
        </w:rPr>
      </w:pPr>
    </w:p>
    <w:p w14:paraId="4AF4C1BB" w14:textId="77777777" w:rsidR="00016DAA" w:rsidRPr="00611E72" w:rsidRDefault="00016DAA" w:rsidP="00016DAA">
      <w:pPr>
        <w:spacing w:after="0" w:line="240" w:lineRule="auto"/>
        <w:rPr>
          <w:rFonts w:ascii="Verdana" w:eastAsia="Aptos" w:hAnsi="Verdana" w:cs="Times New Roman"/>
          <w:sz w:val="20"/>
          <w:szCs w:val="20"/>
        </w:rPr>
      </w:pPr>
    </w:p>
    <w:p w14:paraId="2AB8F369" w14:textId="77777777" w:rsidR="00016DAA" w:rsidRPr="00611E72" w:rsidRDefault="00016DAA" w:rsidP="00016DAA">
      <w:pPr>
        <w:spacing w:after="0" w:line="240" w:lineRule="auto"/>
        <w:rPr>
          <w:rFonts w:ascii="Verdana" w:eastAsia="Aptos" w:hAnsi="Verdana" w:cs="Times New Roman"/>
          <w:sz w:val="20"/>
          <w:szCs w:val="20"/>
        </w:rPr>
      </w:pPr>
    </w:p>
    <w:p w14:paraId="145EB9C5" w14:textId="77777777" w:rsidR="00016DAA" w:rsidRPr="00611E72" w:rsidRDefault="00016DAA" w:rsidP="00016DAA">
      <w:pPr>
        <w:spacing w:after="0" w:line="240" w:lineRule="auto"/>
        <w:rPr>
          <w:rFonts w:ascii="Verdana" w:eastAsia="Aptos" w:hAnsi="Verdana" w:cs="Times New Roman"/>
          <w:sz w:val="20"/>
          <w:szCs w:val="20"/>
        </w:rPr>
      </w:pPr>
    </w:p>
    <w:p w14:paraId="11097E01" w14:textId="77777777" w:rsidR="00016DAA" w:rsidRPr="00611E72" w:rsidRDefault="00016DAA" w:rsidP="00016DAA">
      <w:pPr>
        <w:spacing w:after="0" w:line="240" w:lineRule="auto"/>
        <w:rPr>
          <w:rFonts w:ascii="Verdana" w:eastAsia="Aptos" w:hAnsi="Verdana" w:cs="Times New Roman"/>
          <w:sz w:val="20"/>
          <w:szCs w:val="20"/>
        </w:rPr>
      </w:pPr>
    </w:p>
    <w:p w14:paraId="3433B21F" w14:textId="77777777" w:rsidR="00016DAA" w:rsidRPr="00611E72" w:rsidRDefault="00016DAA" w:rsidP="00016DAA">
      <w:pPr>
        <w:spacing w:after="0" w:line="240" w:lineRule="auto"/>
        <w:rPr>
          <w:rFonts w:ascii="Verdana" w:eastAsia="Aptos" w:hAnsi="Verdana" w:cs="Times New Roman"/>
          <w:sz w:val="20"/>
          <w:szCs w:val="20"/>
        </w:rPr>
      </w:pPr>
    </w:p>
    <w:p w14:paraId="3E452D39" w14:textId="77777777" w:rsidR="00016DAA" w:rsidRPr="00611E72" w:rsidRDefault="00016DAA" w:rsidP="00016DAA">
      <w:pPr>
        <w:spacing w:after="0" w:line="240" w:lineRule="auto"/>
        <w:rPr>
          <w:rFonts w:ascii="Verdana" w:eastAsia="Aptos" w:hAnsi="Verdana" w:cs="Times New Roman"/>
          <w:sz w:val="20"/>
          <w:szCs w:val="20"/>
        </w:rPr>
      </w:pPr>
    </w:p>
    <w:p w14:paraId="7EE4B500" w14:textId="77777777" w:rsidR="00016DAA" w:rsidRPr="00611E72" w:rsidRDefault="00016DAA" w:rsidP="00016DAA">
      <w:pPr>
        <w:spacing w:after="0" w:line="240" w:lineRule="auto"/>
        <w:rPr>
          <w:rFonts w:ascii="Verdana" w:eastAsia="Aptos" w:hAnsi="Verdana" w:cs="Times New Roman"/>
          <w:sz w:val="20"/>
          <w:szCs w:val="20"/>
        </w:rPr>
      </w:pPr>
    </w:p>
    <w:p w14:paraId="2700C447" w14:textId="77777777" w:rsidR="00016DAA" w:rsidRPr="00611E72" w:rsidRDefault="00016DAA" w:rsidP="00016DAA">
      <w:pPr>
        <w:spacing w:after="0" w:line="240" w:lineRule="auto"/>
        <w:rPr>
          <w:rFonts w:ascii="Verdana" w:eastAsia="Aptos" w:hAnsi="Verdana" w:cs="Times New Roman"/>
          <w:sz w:val="20"/>
          <w:szCs w:val="20"/>
        </w:rPr>
      </w:pPr>
    </w:p>
    <w:p w14:paraId="63769442" w14:textId="77777777" w:rsidR="00016DAA" w:rsidRPr="00611E72" w:rsidRDefault="00016DAA" w:rsidP="00016DAA">
      <w:pPr>
        <w:spacing w:after="0" w:line="240" w:lineRule="auto"/>
        <w:rPr>
          <w:rFonts w:ascii="Verdana" w:eastAsia="Aptos" w:hAnsi="Verdana" w:cs="Times New Roman"/>
          <w:sz w:val="20"/>
          <w:szCs w:val="20"/>
        </w:rPr>
      </w:pPr>
    </w:p>
    <w:p w14:paraId="57229838" w14:textId="77777777" w:rsidR="00016DAA" w:rsidRPr="00611E72" w:rsidRDefault="00016DAA" w:rsidP="00016DAA">
      <w:pPr>
        <w:spacing w:after="0" w:line="240" w:lineRule="auto"/>
        <w:rPr>
          <w:rFonts w:ascii="Verdana" w:eastAsia="Aptos" w:hAnsi="Verdana" w:cs="Times New Roman"/>
          <w:sz w:val="20"/>
          <w:szCs w:val="20"/>
        </w:rPr>
      </w:pPr>
    </w:p>
    <w:p w14:paraId="653679ED" w14:textId="77777777" w:rsidR="00016DAA" w:rsidRPr="00611E72" w:rsidRDefault="00016DAA" w:rsidP="00016DAA">
      <w:pPr>
        <w:spacing w:after="0" w:line="240" w:lineRule="auto"/>
        <w:rPr>
          <w:rFonts w:ascii="Verdana" w:eastAsia="Aptos" w:hAnsi="Verdana" w:cs="Times New Roman"/>
          <w:sz w:val="20"/>
          <w:szCs w:val="20"/>
        </w:rPr>
      </w:pPr>
    </w:p>
    <w:p w14:paraId="75F07447" w14:textId="77777777" w:rsidR="00016DAA" w:rsidRPr="00611E72" w:rsidRDefault="00016DAA" w:rsidP="00016DAA">
      <w:pPr>
        <w:spacing w:after="0" w:line="240" w:lineRule="auto"/>
        <w:rPr>
          <w:rFonts w:ascii="Verdana" w:eastAsia="Aptos" w:hAnsi="Verdana" w:cs="Times New Roman"/>
          <w:sz w:val="20"/>
          <w:szCs w:val="20"/>
        </w:rPr>
      </w:pPr>
    </w:p>
    <w:p w14:paraId="24A9B950" w14:textId="77777777" w:rsidR="00016DAA" w:rsidRPr="00611E72" w:rsidRDefault="00016DAA" w:rsidP="00016DAA">
      <w:pPr>
        <w:spacing w:after="0" w:line="240" w:lineRule="auto"/>
        <w:rPr>
          <w:rFonts w:ascii="Verdana" w:eastAsia="Aptos" w:hAnsi="Verdana" w:cs="Times New Roman"/>
          <w:sz w:val="20"/>
          <w:szCs w:val="20"/>
        </w:rPr>
      </w:pPr>
    </w:p>
    <w:p w14:paraId="1E36ECBC" w14:textId="77777777" w:rsidR="00016DAA" w:rsidRPr="00611E72" w:rsidRDefault="00016DAA" w:rsidP="00016DAA">
      <w:pPr>
        <w:spacing w:after="0" w:line="240" w:lineRule="auto"/>
        <w:rPr>
          <w:rFonts w:ascii="Verdana" w:eastAsia="Aptos" w:hAnsi="Verdana" w:cs="Times New Roman"/>
          <w:sz w:val="20"/>
          <w:szCs w:val="20"/>
        </w:rPr>
      </w:pPr>
    </w:p>
    <w:p w14:paraId="3C24A464" w14:textId="77777777" w:rsidR="00016DAA" w:rsidRPr="00611E72" w:rsidRDefault="00016DAA" w:rsidP="00016DAA">
      <w:pPr>
        <w:spacing w:after="0" w:line="240" w:lineRule="auto"/>
        <w:rPr>
          <w:rFonts w:ascii="Verdana" w:eastAsia="Aptos" w:hAnsi="Verdana" w:cs="Times New Roman"/>
          <w:sz w:val="20"/>
          <w:szCs w:val="20"/>
        </w:rPr>
      </w:pPr>
    </w:p>
    <w:p w14:paraId="64C35DBA" w14:textId="77777777" w:rsidR="00016DAA" w:rsidRPr="00611E72" w:rsidRDefault="00016DAA" w:rsidP="00016DAA">
      <w:pPr>
        <w:spacing w:after="0" w:line="240" w:lineRule="auto"/>
        <w:rPr>
          <w:rFonts w:ascii="Verdana" w:eastAsia="Aptos" w:hAnsi="Verdana" w:cs="Times New Roman"/>
          <w:sz w:val="20"/>
          <w:szCs w:val="20"/>
        </w:rPr>
      </w:pPr>
    </w:p>
    <w:p w14:paraId="35EF9AC3" w14:textId="77777777" w:rsidR="00016DAA" w:rsidRPr="00611E72" w:rsidRDefault="00016DAA" w:rsidP="00016DAA">
      <w:pPr>
        <w:spacing w:after="0" w:line="240" w:lineRule="auto"/>
        <w:rPr>
          <w:rFonts w:ascii="Verdana" w:eastAsia="Aptos" w:hAnsi="Verdana" w:cs="Times New Roman"/>
          <w:sz w:val="20"/>
          <w:szCs w:val="20"/>
        </w:rPr>
      </w:pPr>
    </w:p>
    <w:p w14:paraId="4410FDC9" w14:textId="77777777" w:rsidR="00016DAA" w:rsidRPr="00611E72" w:rsidRDefault="00016DAA" w:rsidP="00016DAA">
      <w:pPr>
        <w:spacing w:after="0" w:line="240" w:lineRule="auto"/>
        <w:rPr>
          <w:rFonts w:ascii="Verdana" w:eastAsia="Aptos" w:hAnsi="Verdana" w:cs="Times New Roman"/>
          <w:sz w:val="20"/>
          <w:szCs w:val="20"/>
        </w:rPr>
      </w:pPr>
    </w:p>
    <w:p w14:paraId="5AE4E4C8" w14:textId="77777777" w:rsidR="00016DAA" w:rsidRPr="00611E72" w:rsidRDefault="00016DAA" w:rsidP="00016DAA">
      <w:pPr>
        <w:spacing w:after="0" w:line="240" w:lineRule="auto"/>
        <w:rPr>
          <w:rFonts w:ascii="Verdana" w:eastAsia="Aptos" w:hAnsi="Verdana" w:cs="Times New Roman"/>
          <w:sz w:val="20"/>
          <w:szCs w:val="20"/>
        </w:rPr>
      </w:pPr>
    </w:p>
    <w:p w14:paraId="1A29A18D" w14:textId="77777777" w:rsidR="00016DAA" w:rsidRPr="00611E72" w:rsidRDefault="00016DAA" w:rsidP="00016DAA">
      <w:pPr>
        <w:spacing w:after="0" w:line="240" w:lineRule="auto"/>
        <w:rPr>
          <w:rFonts w:ascii="Verdana" w:eastAsia="Aptos" w:hAnsi="Verdana" w:cs="Times New Roman"/>
          <w:sz w:val="20"/>
          <w:szCs w:val="20"/>
        </w:rPr>
      </w:pPr>
    </w:p>
    <w:p w14:paraId="4A277058" w14:textId="77777777" w:rsidR="00016DAA" w:rsidRPr="00611E72" w:rsidRDefault="00016DAA" w:rsidP="00016DAA">
      <w:pPr>
        <w:spacing w:after="0" w:line="240" w:lineRule="auto"/>
        <w:rPr>
          <w:rFonts w:ascii="Verdana" w:eastAsia="Aptos" w:hAnsi="Verdana" w:cs="Times New Roman"/>
          <w:sz w:val="20"/>
          <w:szCs w:val="20"/>
        </w:rPr>
      </w:pPr>
    </w:p>
    <w:p w14:paraId="660DBCCE" w14:textId="77777777" w:rsidR="00016DAA" w:rsidRPr="00611E72" w:rsidRDefault="00016DAA" w:rsidP="00016DAA">
      <w:pPr>
        <w:spacing w:after="0" w:line="240" w:lineRule="auto"/>
        <w:rPr>
          <w:rFonts w:ascii="Verdana" w:eastAsia="Aptos" w:hAnsi="Verdana" w:cs="Times New Roman"/>
          <w:sz w:val="20"/>
          <w:szCs w:val="20"/>
        </w:rPr>
      </w:pPr>
    </w:p>
    <w:p w14:paraId="381106B3" w14:textId="77777777" w:rsidR="00016DAA" w:rsidRPr="00611E72" w:rsidRDefault="00016DAA" w:rsidP="00016DAA">
      <w:pPr>
        <w:spacing w:after="0" w:line="240" w:lineRule="auto"/>
        <w:rPr>
          <w:rFonts w:ascii="Verdana" w:eastAsia="Aptos" w:hAnsi="Verdana" w:cs="Times New Roman"/>
          <w:sz w:val="20"/>
          <w:szCs w:val="20"/>
        </w:rPr>
      </w:pPr>
    </w:p>
    <w:p w14:paraId="003ACF08" w14:textId="77777777" w:rsidR="00016DAA" w:rsidRPr="00611E72" w:rsidRDefault="00016DAA" w:rsidP="00016DAA">
      <w:pPr>
        <w:spacing w:after="0" w:line="240" w:lineRule="auto"/>
        <w:rPr>
          <w:rFonts w:ascii="Verdana" w:eastAsia="Aptos" w:hAnsi="Verdana" w:cs="Times New Roman"/>
          <w:sz w:val="20"/>
          <w:szCs w:val="20"/>
        </w:rPr>
      </w:pPr>
    </w:p>
    <w:p w14:paraId="6B251CC0" w14:textId="77777777" w:rsidR="00016DAA" w:rsidRPr="00611E72" w:rsidRDefault="00016DAA" w:rsidP="00016DAA">
      <w:pPr>
        <w:spacing w:after="0" w:line="240" w:lineRule="auto"/>
        <w:rPr>
          <w:rFonts w:ascii="Verdana" w:eastAsia="Aptos" w:hAnsi="Verdana" w:cs="Times New Roman"/>
          <w:sz w:val="20"/>
          <w:szCs w:val="20"/>
        </w:rPr>
      </w:pPr>
    </w:p>
    <w:p w14:paraId="09CCF075" w14:textId="77777777" w:rsidR="00016DAA" w:rsidRPr="00611E72" w:rsidRDefault="00016DAA" w:rsidP="00016DAA">
      <w:pPr>
        <w:spacing w:after="0" w:line="240" w:lineRule="auto"/>
        <w:rPr>
          <w:rFonts w:ascii="Verdana" w:eastAsia="Aptos" w:hAnsi="Verdana" w:cs="Times New Roman"/>
          <w:sz w:val="20"/>
          <w:szCs w:val="20"/>
        </w:rPr>
      </w:pPr>
    </w:p>
    <w:p w14:paraId="1631805D" w14:textId="77777777" w:rsidR="00016DAA" w:rsidRPr="00611E72" w:rsidRDefault="00016DAA" w:rsidP="00016DAA">
      <w:pPr>
        <w:spacing w:after="0" w:line="240" w:lineRule="auto"/>
        <w:rPr>
          <w:rFonts w:ascii="Verdana" w:eastAsia="Aptos" w:hAnsi="Verdana" w:cs="Times New Roman"/>
          <w:sz w:val="20"/>
          <w:szCs w:val="20"/>
        </w:rPr>
      </w:pPr>
    </w:p>
    <w:p w14:paraId="04162AAF" w14:textId="77777777" w:rsidR="00016DAA" w:rsidRPr="00611E72" w:rsidRDefault="00016DAA" w:rsidP="00016DAA">
      <w:pPr>
        <w:spacing w:after="0" w:line="240" w:lineRule="auto"/>
        <w:rPr>
          <w:rFonts w:ascii="Verdana" w:eastAsia="Aptos" w:hAnsi="Verdana" w:cs="Times New Roman"/>
          <w:sz w:val="20"/>
          <w:szCs w:val="20"/>
        </w:rPr>
      </w:pPr>
    </w:p>
    <w:p w14:paraId="61702635" w14:textId="77777777" w:rsidR="00016DAA" w:rsidRPr="00611E72" w:rsidRDefault="00016DAA" w:rsidP="00016DAA">
      <w:pPr>
        <w:spacing w:after="0" w:line="240" w:lineRule="auto"/>
        <w:rPr>
          <w:rFonts w:ascii="Verdana" w:eastAsia="Aptos" w:hAnsi="Verdana" w:cs="Times New Roman"/>
          <w:sz w:val="20"/>
          <w:szCs w:val="20"/>
        </w:rPr>
      </w:pPr>
    </w:p>
    <w:p w14:paraId="2676A6A8" w14:textId="77777777" w:rsidR="00016DAA" w:rsidRPr="00611E72" w:rsidRDefault="00016DAA" w:rsidP="00016DAA">
      <w:pPr>
        <w:spacing w:after="0" w:line="240" w:lineRule="auto"/>
        <w:rPr>
          <w:rFonts w:ascii="Verdana" w:eastAsia="Aptos" w:hAnsi="Verdana" w:cs="Times New Roman"/>
          <w:sz w:val="20"/>
          <w:szCs w:val="20"/>
        </w:rPr>
      </w:pPr>
    </w:p>
    <w:p w14:paraId="30E447FC" w14:textId="77777777" w:rsidR="00016DAA" w:rsidRPr="00611E72" w:rsidRDefault="00016DAA" w:rsidP="00016DAA">
      <w:pPr>
        <w:spacing w:after="0" w:line="240" w:lineRule="auto"/>
        <w:rPr>
          <w:rFonts w:ascii="Verdana" w:eastAsia="Aptos" w:hAnsi="Verdana" w:cs="Times New Roman"/>
          <w:sz w:val="20"/>
          <w:szCs w:val="20"/>
        </w:rPr>
      </w:pPr>
    </w:p>
    <w:p w14:paraId="40AA56EE" w14:textId="77777777" w:rsidR="00016DAA" w:rsidRPr="00611E72" w:rsidRDefault="00016DAA" w:rsidP="00016DAA">
      <w:pPr>
        <w:spacing w:after="0" w:line="240" w:lineRule="auto"/>
        <w:rPr>
          <w:rFonts w:ascii="Verdana" w:eastAsia="Aptos" w:hAnsi="Verdana" w:cs="Times New Roman"/>
          <w:sz w:val="20"/>
          <w:szCs w:val="20"/>
        </w:rPr>
      </w:pPr>
    </w:p>
    <w:p w14:paraId="61D5ADC5" w14:textId="77777777" w:rsidR="00016DAA" w:rsidRPr="00611E72" w:rsidRDefault="00016DAA" w:rsidP="00016DAA">
      <w:pPr>
        <w:spacing w:after="0" w:line="240" w:lineRule="auto"/>
        <w:rPr>
          <w:rFonts w:ascii="Verdana" w:eastAsia="Aptos" w:hAnsi="Verdana" w:cs="Times New Roman"/>
          <w:sz w:val="20"/>
          <w:szCs w:val="20"/>
        </w:rPr>
      </w:pPr>
    </w:p>
    <w:p w14:paraId="5D783914" w14:textId="77777777" w:rsidR="00016DAA" w:rsidRPr="00611E72" w:rsidRDefault="00016DAA" w:rsidP="00016DAA">
      <w:pPr>
        <w:spacing w:after="0" w:line="240" w:lineRule="auto"/>
        <w:rPr>
          <w:rFonts w:ascii="Verdana" w:eastAsia="Aptos" w:hAnsi="Verdana" w:cs="Times New Roman"/>
          <w:sz w:val="20"/>
          <w:szCs w:val="20"/>
        </w:rPr>
      </w:pPr>
    </w:p>
    <w:p w14:paraId="68329E49" w14:textId="77777777" w:rsidR="00016DAA" w:rsidRPr="00611E72" w:rsidRDefault="00016DAA" w:rsidP="00016DAA">
      <w:pPr>
        <w:spacing w:after="0" w:line="240" w:lineRule="auto"/>
        <w:rPr>
          <w:rFonts w:ascii="Verdana" w:eastAsia="Aptos" w:hAnsi="Verdana" w:cs="Times New Roman"/>
          <w:sz w:val="20"/>
          <w:szCs w:val="20"/>
        </w:rPr>
      </w:pPr>
    </w:p>
    <w:p w14:paraId="78EF578B" w14:textId="77777777" w:rsidR="00016DAA" w:rsidRPr="00611E72" w:rsidRDefault="00016DAA" w:rsidP="00016DAA">
      <w:pPr>
        <w:spacing w:after="0" w:line="240" w:lineRule="auto"/>
        <w:rPr>
          <w:rFonts w:ascii="Verdana" w:eastAsia="Aptos" w:hAnsi="Verdana" w:cs="Times New Roman"/>
          <w:sz w:val="20"/>
          <w:szCs w:val="20"/>
        </w:rPr>
      </w:pPr>
    </w:p>
    <w:p w14:paraId="10FE6776" w14:textId="77777777" w:rsidR="00016DAA" w:rsidRPr="00611E72" w:rsidRDefault="00016DAA" w:rsidP="00016DAA">
      <w:pPr>
        <w:spacing w:after="0" w:line="240" w:lineRule="auto"/>
        <w:rPr>
          <w:rFonts w:ascii="Verdana" w:eastAsia="Aptos" w:hAnsi="Verdana" w:cs="Times New Roman"/>
          <w:sz w:val="20"/>
          <w:szCs w:val="20"/>
        </w:rPr>
      </w:pPr>
    </w:p>
    <w:p w14:paraId="0AD3C601" w14:textId="77777777" w:rsidR="00016DAA" w:rsidRPr="00611E72" w:rsidRDefault="00016DAA" w:rsidP="00016DAA">
      <w:pPr>
        <w:spacing w:after="0" w:line="240" w:lineRule="auto"/>
        <w:rPr>
          <w:rFonts w:ascii="Verdana" w:eastAsia="Aptos" w:hAnsi="Verdana" w:cs="Times New Roman"/>
          <w:sz w:val="20"/>
          <w:szCs w:val="20"/>
        </w:rPr>
      </w:pPr>
    </w:p>
    <w:p w14:paraId="795FC750" w14:textId="77777777" w:rsidR="00016DAA" w:rsidRPr="00611E72" w:rsidRDefault="00016DAA" w:rsidP="00016DAA">
      <w:pPr>
        <w:spacing w:after="0" w:line="240" w:lineRule="auto"/>
        <w:rPr>
          <w:rFonts w:ascii="Verdana" w:eastAsia="Aptos" w:hAnsi="Verdana" w:cs="Times New Roman"/>
          <w:sz w:val="20"/>
          <w:szCs w:val="20"/>
        </w:rPr>
      </w:pPr>
    </w:p>
    <w:p w14:paraId="6A6E35AE" w14:textId="77777777" w:rsidR="00016DAA" w:rsidRPr="00611E72" w:rsidRDefault="00016DAA" w:rsidP="00016DAA">
      <w:pPr>
        <w:spacing w:after="0" w:line="240" w:lineRule="auto"/>
        <w:rPr>
          <w:rFonts w:ascii="Verdana" w:eastAsia="Geomanist Light" w:hAnsi="Verdana" w:cs="Arial"/>
          <w:lang w:val="es-MX"/>
        </w:rPr>
      </w:pPr>
      <w:r w:rsidRPr="00611E72">
        <w:rPr>
          <w:rFonts w:ascii="Verdana" w:eastAsia="Geomanist Light" w:hAnsi="Verdana" w:cs="Arial"/>
          <w:lang w:val="es-MX"/>
        </w:rPr>
        <w:lastRenderedPageBreak/>
        <w:t>Bogotá D.C., [Día] de [</w:t>
      </w:r>
      <w:proofErr w:type="spellStart"/>
      <w:r w:rsidRPr="00611E72">
        <w:rPr>
          <w:rFonts w:ascii="Verdana" w:eastAsia="Geomanist Light" w:hAnsi="Verdana" w:cs="Arial"/>
          <w:lang w:val="es-MX"/>
        </w:rPr>
        <w:t>Mes.NombreCapitalizado</w:t>
      </w:r>
      <w:proofErr w:type="spellEnd"/>
      <w:r w:rsidRPr="00611E72">
        <w:rPr>
          <w:rFonts w:ascii="Verdana" w:eastAsia="Geomanist Light" w:hAnsi="Verdana" w:cs="Arial"/>
          <w:lang w:val="es-MX"/>
        </w:rPr>
        <w:t>] de [Año]</w:t>
      </w:r>
    </w:p>
    <w:p w14:paraId="210E4A86" w14:textId="77777777" w:rsidR="00016DAA" w:rsidRPr="00611E72" w:rsidRDefault="00016DAA" w:rsidP="00016DAA">
      <w:pPr>
        <w:spacing w:after="0" w:line="240" w:lineRule="auto"/>
        <w:jc w:val="both"/>
        <w:rPr>
          <w:rFonts w:ascii="Verdana" w:eastAsia="Calibri" w:hAnsi="Verdana" w:cs="Arial"/>
          <w:lang w:val="es-ES"/>
        </w:rPr>
      </w:pPr>
    </w:p>
    <w:p w14:paraId="3C4DC940" w14:textId="3D697C5C" w:rsidR="00016DAA" w:rsidRPr="00611E72" w:rsidRDefault="00DE6EB7" w:rsidP="00016DAA">
      <w:pPr>
        <w:spacing w:after="0" w:line="240" w:lineRule="auto"/>
        <w:jc w:val="right"/>
        <w:rPr>
          <w:rFonts w:ascii="Verdana" w:eastAsia="Calibri" w:hAnsi="Verdana" w:cs="Arial"/>
          <w:lang w:val="es-ES"/>
        </w:rPr>
      </w:pPr>
      <w:r w:rsidRPr="00DE6EB7">
        <w:rPr>
          <w:rFonts w:ascii="Verdana" w:eastAsia="Calibri" w:hAnsi="Verdana" w:cs="Arial"/>
          <w:noProof/>
          <w:lang w:val="es-ES"/>
        </w:rPr>
        <w:drawing>
          <wp:inline distT="0" distB="0" distL="0" distR="0" wp14:anchorId="12D49F74" wp14:editId="522A588C">
            <wp:extent cx="3286584" cy="933580"/>
            <wp:effectExtent l="0" t="0" r="9525" b="0"/>
            <wp:docPr id="122004963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49639" name="Imagen 1" descr="Texto&#10;&#10;Descripción generada automáticamente"/>
                    <pic:cNvPicPr/>
                  </pic:nvPicPr>
                  <pic:blipFill>
                    <a:blip r:embed="rId11"/>
                    <a:stretch>
                      <a:fillRect/>
                    </a:stretch>
                  </pic:blipFill>
                  <pic:spPr>
                    <a:xfrm>
                      <a:off x="0" y="0"/>
                      <a:ext cx="3286584" cy="933580"/>
                    </a:xfrm>
                    <a:prstGeom prst="rect">
                      <a:avLst/>
                    </a:prstGeom>
                  </pic:spPr>
                </pic:pic>
              </a:graphicData>
            </a:graphic>
          </wp:inline>
        </w:drawing>
      </w:r>
    </w:p>
    <w:p w14:paraId="0F2E7C89" w14:textId="77777777" w:rsidR="00016DAA" w:rsidRPr="00173E1A" w:rsidRDefault="00016DAA" w:rsidP="00016DAA">
      <w:pPr>
        <w:spacing w:after="0" w:line="240" w:lineRule="auto"/>
        <w:jc w:val="both"/>
        <w:rPr>
          <w:rFonts w:ascii="Verdana" w:eastAsia="Calibri" w:hAnsi="Verdana" w:cs="Arial"/>
          <w:lang w:val="en-US" w:eastAsia="es-ES"/>
        </w:rPr>
      </w:pPr>
      <w:proofErr w:type="spellStart"/>
      <w:r w:rsidRPr="00173E1A">
        <w:rPr>
          <w:rFonts w:ascii="Verdana" w:eastAsia="Calibri" w:hAnsi="Verdana" w:cs="Arial"/>
          <w:lang w:val="en-US" w:eastAsia="es-ES"/>
        </w:rPr>
        <w:t>Señor</w:t>
      </w:r>
      <w:proofErr w:type="spellEnd"/>
    </w:p>
    <w:p w14:paraId="056C56E9" w14:textId="77777777" w:rsidR="00016DAA" w:rsidRPr="00173E1A" w:rsidRDefault="00016DAA" w:rsidP="00016DAA">
      <w:pPr>
        <w:spacing w:after="0" w:line="240" w:lineRule="auto"/>
        <w:rPr>
          <w:rFonts w:ascii="Verdana" w:eastAsia="Calibri" w:hAnsi="Verdana" w:cs="Arial"/>
          <w:b/>
          <w:lang w:val="en-US" w:eastAsia="es-ES"/>
        </w:rPr>
      </w:pPr>
      <w:r w:rsidRPr="00173E1A">
        <w:rPr>
          <w:rFonts w:ascii="Verdana" w:eastAsia="Calibri" w:hAnsi="Verdana" w:cs="Arial"/>
          <w:b/>
          <w:lang w:val="en-US" w:eastAsia="es-ES"/>
        </w:rPr>
        <w:t>William Eduardo Meneses</w:t>
      </w:r>
    </w:p>
    <w:p w14:paraId="284ED288" w14:textId="77777777" w:rsidR="00016DAA" w:rsidRPr="00173E1A" w:rsidRDefault="00F5720F" w:rsidP="00016DAA">
      <w:pPr>
        <w:spacing w:after="0" w:line="240" w:lineRule="auto"/>
        <w:rPr>
          <w:rFonts w:ascii="Verdana" w:eastAsia="Aptos" w:hAnsi="Verdana" w:cs="Times New Roman"/>
          <w:lang w:val="en-US"/>
        </w:rPr>
      </w:pPr>
      <w:hyperlink r:id="rId12" w:history="1">
        <w:r w:rsidR="00016DAA" w:rsidRPr="00173E1A">
          <w:rPr>
            <w:rFonts w:ascii="Verdana" w:eastAsia="Aptos" w:hAnsi="Verdana" w:cs="Times New Roman"/>
            <w:color w:val="467886"/>
            <w:u w:val="single"/>
            <w:lang w:val="en-US"/>
          </w:rPr>
          <w:t>wem2293@hotmail.com</w:t>
        </w:r>
      </w:hyperlink>
      <w:r w:rsidR="00016DAA" w:rsidRPr="00173E1A">
        <w:rPr>
          <w:rFonts w:ascii="Verdana" w:eastAsia="Aptos" w:hAnsi="Verdana" w:cs="Times New Roman"/>
          <w:lang w:val="en-US"/>
        </w:rPr>
        <w:t xml:space="preserve"> </w:t>
      </w:r>
    </w:p>
    <w:p w14:paraId="72EF737C" w14:textId="77777777" w:rsidR="00016DAA" w:rsidRPr="00611E72" w:rsidRDefault="00016DAA" w:rsidP="00016DAA">
      <w:pPr>
        <w:spacing w:after="0" w:line="240" w:lineRule="auto"/>
        <w:rPr>
          <w:rFonts w:ascii="Verdana" w:eastAsia="Calibri" w:hAnsi="Verdana" w:cs="Arial"/>
          <w:b/>
          <w:bCs/>
          <w:lang w:val="es-ES" w:eastAsia="es-ES"/>
        </w:rPr>
      </w:pPr>
      <w:r w:rsidRPr="00611E72">
        <w:rPr>
          <w:rFonts w:ascii="Verdana" w:eastAsia="Calibri" w:hAnsi="Verdana" w:cs="Arial"/>
          <w:lang w:val="es-ES" w:eastAsia="es-ES"/>
        </w:rPr>
        <w:t>Neiva, Huila</w:t>
      </w:r>
    </w:p>
    <w:p w14:paraId="672E5235" w14:textId="77777777" w:rsidR="00016DAA" w:rsidRPr="00611E72" w:rsidRDefault="00016DAA" w:rsidP="00016DAA">
      <w:pPr>
        <w:spacing w:after="0" w:line="240" w:lineRule="auto"/>
        <w:rPr>
          <w:rFonts w:ascii="Verdana" w:eastAsia="Calibri" w:hAnsi="Verdana" w:cs="Arial"/>
          <w:b/>
          <w:bCs/>
          <w:lang w:val="es-ES_tradnl" w:eastAsia="es-ES_tradnl"/>
        </w:rPr>
      </w:pPr>
    </w:p>
    <w:p w14:paraId="7714A653" w14:textId="77777777" w:rsidR="00016DAA" w:rsidRPr="00611E72" w:rsidRDefault="00016DAA" w:rsidP="00016DAA">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16DAA" w:rsidRPr="00611E72" w14:paraId="3766F3C8" w14:textId="77777777" w:rsidTr="00450DAF">
        <w:trPr>
          <w:trHeight w:val="884"/>
        </w:trPr>
        <w:tc>
          <w:tcPr>
            <w:tcW w:w="2689" w:type="dxa"/>
          </w:tcPr>
          <w:p w14:paraId="6E3DADA5" w14:textId="77777777" w:rsidR="00016DAA" w:rsidRPr="00611E72" w:rsidRDefault="00016DAA" w:rsidP="00450DAF">
            <w:pPr>
              <w:jc w:val="both"/>
              <w:rPr>
                <w:rFonts w:ascii="Verdana" w:eastAsia="Calibri" w:hAnsi="Verdana" w:cs="Arial"/>
                <w:b/>
                <w:bCs/>
                <w:lang w:val="es-ES_tradnl" w:eastAsia="es-ES_tradnl"/>
              </w:rPr>
            </w:pPr>
          </w:p>
        </w:tc>
        <w:tc>
          <w:tcPr>
            <w:tcW w:w="6100" w:type="dxa"/>
          </w:tcPr>
          <w:p w14:paraId="4F3B7792" w14:textId="77777777" w:rsidR="00016DAA" w:rsidRPr="00611E72" w:rsidRDefault="00016DAA" w:rsidP="00450DAF">
            <w:pPr>
              <w:jc w:val="both"/>
              <w:rPr>
                <w:rFonts w:ascii="Verdana" w:eastAsia="Calibri" w:hAnsi="Verdana" w:cs="Arial"/>
                <w:b/>
                <w:bCs/>
                <w:lang w:val="es-ES" w:eastAsia="es-ES"/>
              </w:rPr>
            </w:pPr>
            <w:r w:rsidRPr="00611E72">
              <w:rPr>
                <w:rFonts w:ascii="Verdana" w:eastAsia="Calibri" w:hAnsi="Verdana" w:cs="Arial"/>
                <w:b/>
                <w:bCs/>
                <w:lang w:val="es-ES" w:eastAsia="es-ES"/>
              </w:rPr>
              <w:t>Concepto C-632 de 2024</w:t>
            </w:r>
          </w:p>
        </w:tc>
      </w:tr>
      <w:tr w:rsidR="00016DAA" w:rsidRPr="00611E72" w14:paraId="5359040E" w14:textId="77777777" w:rsidTr="00450DAF">
        <w:trPr>
          <w:trHeight w:val="884"/>
        </w:trPr>
        <w:tc>
          <w:tcPr>
            <w:tcW w:w="2689" w:type="dxa"/>
          </w:tcPr>
          <w:p w14:paraId="03A30E09" w14:textId="77777777" w:rsidR="00016DAA" w:rsidRPr="00611E72" w:rsidRDefault="00016DAA" w:rsidP="00450DAF">
            <w:pPr>
              <w:jc w:val="both"/>
              <w:rPr>
                <w:rFonts w:ascii="Verdana" w:eastAsia="Calibri" w:hAnsi="Verdana" w:cs="Arial"/>
                <w:lang w:val="es-ES_tradnl" w:eastAsia="es-ES_tradnl"/>
              </w:rPr>
            </w:pPr>
            <w:r w:rsidRPr="00611E72">
              <w:rPr>
                <w:rFonts w:ascii="Verdana" w:eastAsia="Calibri" w:hAnsi="Verdana" w:cs="Arial"/>
                <w:b/>
                <w:lang w:val="es-ES_tradnl" w:eastAsia="es-ES_tradnl"/>
              </w:rPr>
              <w:t>Temas:</w:t>
            </w:r>
            <w:r w:rsidRPr="00611E72">
              <w:rPr>
                <w:rFonts w:ascii="Verdana" w:eastAsia="Calibri" w:hAnsi="Verdana" w:cs="Arial"/>
                <w:lang w:val="es-ES_tradnl" w:eastAsia="es-ES_tradnl"/>
              </w:rPr>
              <w:t xml:space="preserve">                   </w:t>
            </w:r>
          </w:p>
        </w:tc>
        <w:tc>
          <w:tcPr>
            <w:tcW w:w="6100" w:type="dxa"/>
          </w:tcPr>
          <w:p w14:paraId="215E2299" w14:textId="77777777" w:rsidR="00016DAA" w:rsidRPr="00611E72" w:rsidRDefault="00016DAA" w:rsidP="00450DAF">
            <w:pPr>
              <w:spacing w:line="276" w:lineRule="auto"/>
              <w:jc w:val="both"/>
              <w:rPr>
                <w:rFonts w:ascii="Verdana" w:eastAsia="Calibri" w:hAnsi="Verdana" w:cs="Arial"/>
                <w:lang w:val="es-ES" w:eastAsia="es-ES"/>
              </w:rPr>
            </w:pPr>
            <w:r w:rsidRPr="00611E72">
              <w:rPr>
                <w:rFonts w:ascii="Verdana" w:eastAsia="Calibri" w:hAnsi="Verdana" w:cs="Arial"/>
                <w:lang w:val="es-ES" w:eastAsia="es-ES"/>
              </w:rPr>
              <w:t>PLANEACIÓN CONTRACTUAL – Noción – Deber de las entidades estatales – Principio de economía – Contratación directa / CONTRATACIÓN DIRECTA – Contratación de peritos – Procedencia – Idoneidad del contratista</w:t>
            </w:r>
            <w:r>
              <w:rPr>
                <w:rFonts w:ascii="Verdana" w:eastAsia="Calibri" w:hAnsi="Verdana" w:cs="Arial"/>
                <w:lang w:val="es-ES" w:eastAsia="es-ES"/>
              </w:rPr>
              <w:t xml:space="preserve"> – </w:t>
            </w:r>
            <w:r w:rsidRPr="00611E72">
              <w:rPr>
                <w:rFonts w:ascii="Verdana" w:eastAsia="Calibri" w:hAnsi="Verdana" w:cs="Arial"/>
                <w:lang w:val="es-ES" w:eastAsia="es-ES"/>
              </w:rPr>
              <w:t>PRINCIPIOS DE LA CONTRATACIÓN PÚBLICA – Contratación directa – Transparencia – Selección objetiva – Aplicación</w:t>
            </w:r>
          </w:p>
          <w:p w14:paraId="33620B51" w14:textId="77777777" w:rsidR="00016DAA" w:rsidRPr="00611E72" w:rsidRDefault="00016DAA" w:rsidP="00450DAF">
            <w:pPr>
              <w:spacing w:line="276" w:lineRule="auto"/>
              <w:jc w:val="both"/>
              <w:rPr>
                <w:rFonts w:ascii="Verdana" w:eastAsia="Calibri" w:hAnsi="Verdana" w:cs="Arial"/>
                <w:highlight w:val="yellow"/>
                <w:lang w:val="es-ES" w:eastAsia="es-ES"/>
              </w:rPr>
            </w:pPr>
          </w:p>
        </w:tc>
      </w:tr>
      <w:tr w:rsidR="00016DAA" w:rsidRPr="00611E72" w14:paraId="6F0BDE03" w14:textId="77777777" w:rsidTr="00450DAF">
        <w:tc>
          <w:tcPr>
            <w:tcW w:w="2689" w:type="dxa"/>
          </w:tcPr>
          <w:p w14:paraId="18FD80EE" w14:textId="77777777" w:rsidR="00016DAA" w:rsidRPr="00611E72" w:rsidRDefault="00016DAA" w:rsidP="00450DAF">
            <w:pPr>
              <w:jc w:val="both"/>
              <w:rPr>
                <w:rFonts w:ascii="Verdana" w:eastAsia="Calibri" w:hAnsi="Verdana" w:cs="Arial"/>
                <w:b/>
                <w:lang w:val="es-ES_tradnl" w:eastAsia="es-ES_tradnl"/>
              </w:rPr>
            </w:pPr>
            <w:r w:rsidRPr="00611E72">
              <w:rPr>
                <w:rFonts w:ascii="Verdana" w:eastAsia="Calibri" w:hAnsi="Verdana" w:cs="Arial"/>
                <w:b/>
                <w:lang w:val="es-ES_tradnl" w:eastAsia="es-ES_tradnl"/>
              </w:rPr>
              <w:t>Radicación:</w:t>
            </w:r>
            <w:r w:rsidRPr="00611E72">
              <w:rPr>
                <w:rFonts w:ascii="Verdana" w:eastAsia="Calibri" w:hAnsi="Verdana" w:cs="Arial"/>
                <w:lang w:val="es-ES_tradnl" w:eastAsia="es-ES_tradnl"/>
              </w:rPr>
              <w:t xml:space="preserve">               </w:t>
            </w:r>
          </w:p>
        </w:tc>
        <w:tc>
          <w:tcPr>
            <w:tcW w:w="6100" w:type="dxa"/>
          </w:tcPr>
          <w:p w14:paraId="5047D6E5" w14:textId="77777777" w:rsidR="00016DAA" w:rsidRPr="00611E72" w:rsidRDefault="00016DAA" w:rsidP="00450DAF">
            <w:pPr>
              <w:jc w:val="both"/>
              <w:rPr>
                <w:rFonts w:ascii="Verdana" w:eastAsia="Calibri" w:hAnsi="Verdana" w:cs="Arial"/>
                <w:lang w:val="es-ES_tradnl" w:eastAsia="es-ES_tradnl"/>
              </w:rPr>
            </w:pPr>
            <w:r w:rsidRPr="00611E72">
              <w:rPr>
                <w:rFonts w:ascii="Verdana" w:eastAsia="Calibri" w:hAnsi="Verdana" w:cs="Arial"/>
                <w:lang w:val="es-ES_tradnl" w:eastAsia="es-ES_tradnl"/>
              </w:rPr>
              <w:t>Respuesta a consulta con radicado No. P20240918009548</w:t>
            </w:r>
          </w:p>
        </w:tc>
      </w:tr>
    </w:tbl>
    <w:p w14:paraId="35511C97" w14:textId="77777777" w:rsidR="00016DAA" w:rsidRPr="00611E72" w:rsidRDefault="00016DAA" w:rsidP="00016DAA">
      <w:pPr>
        <w:spacing w:after="0" w:line="240" w:lineRule="auto"/>
        <w:jc w:val="both"/>
        <w:rPr>
          <w:rFonts w:ascii="Verdana" w:eastAsia="Calibri" w:hAnsi="Verdana" w:cs="Arial"/>
          <w:lang w:val="es-ES_tradnl" w:eastAsia="es-ES_tradnl"/>
        </w:rPr>
      </w:pPr>
    </w:p>
    <w:p w14:paraId="03C29E4E" w14:textId="77777777" w:rsidR="00016DAA" w:rsidRPr="00611E72" w:rsidRDefault="00016DAA" w:rsidP="00016DAA">
      <w:pPr>
        <w:spacing w:after="0" w:line="240" w:lineRule="auto"/>
        <w:jc w:val="both"/>
        <w:rPr>
          <w:rFonts w:ascii="Verdana" w:eastAsia="Calibri" w:hAnsi="Verdana" w:cs="Arial"/>
          <w:lang w:val="es-ES_tradnl" w:eastAsia="es-ES_tradnl"/>
        </w:rPr>
      </w:pPr>
    </w:p>
    <w:p w14:paraId="5C3FDAD2" w14:textId="77777777" w:rsidR="00016DAA" w:rsidRPr="00611E72" w:rsidRDefault="00016DAA" w:rsidP="00016DAA">
      <w:pPr>
        <w:spacing w:after="0" w:line="276" w:lineRule="auto"/>
        <w:jc w:val="both"/>
        <w:rPr>
          <w:rFonts w:ascii="Verdana" w:eastAsia="Calibri" w:hAnsi="Verdana" w:cs="Arial"/>
          <w:lang w:val="es-ES" w:eastAsia="es-ES"/>
        </w:rPr>
      </w:pPr>
      <w:r w:rsidRPr="00611E72">
        <w:rPr>
          <w:rFonts w:ascii="Verdana" w:eastAsia="Calibri" w:hAnsi="Verdana" w:cs="Arial"/>
          <w:lang w:val="es-ES" w:eastAsia="es-ES"/>
        </w:rPr>
        <w:t xml:space="preserve">Estimado señor Meneses: </w:t>
      </w:r>
    </w:p>
    <w:p w14:paraId="18BA84E1" w14:textId="77777777" w:rsidR="00016DAA" w:rsidRPr="00611E72" w:rsidRDefault="00016DAA" w:rsidP="00016DAA">
      <w:pPr>
        <w:tabs>
          <w:tab w:val="left" w:pos="3768"/>
        </w:tabs>
        <w:spacing w:after="0" w:line="276" w:lineRule="auto"/>
        <w:jc w:val="both"/>
        <w:rPr>
          <w:rFonts w:ascii="Verdana" w:eastAsia="Calibri" w:hAnsi="Verdana" w:cs="Arial"/>
          <w:lang w:val="es-ES" w:eastAsia="es-ES"/>
        </w:rPr>
      </w:pPr>
    </w:p>
    <w:p w14:paraId="4688765E" w14:textId="77777777" w:rsidR="00016DAA" w:rsidRPr="00611E72" w:rsidRDefault="00016DAA" w:rsidP="00016DAA">
      <w:pPr>
        <w:spacing w:after="0" w:line="276" w:lineRule="auto"/>
        <w:jc w:val="both"/>
        <w:rPr>
          <w:rFonts w:ascii="Verdana" w:eastAsia="Calibri" w:hAnsi="Verdana" w:cs="Arial"/>
          <w:lang w:val="es-ES" w:eastAsia="es-ES"/>
        </w:rPr>
      </w:pPr>
      <w:r w:rsidRPr="00611E72">
        <w:rPr>
          <w:rFonts w:ascii="Verdana" w:eastAsia="Calibri" w:hAnsi="Verdana" w:cs="Arial"/>
          <w:lang w:val="es-ES" w:eastAsia="es-ES"/>
        </w:rPr>
        <w:t>En ejercicio de la competencia otorgada por los artículos 3, numeral 5º, y 11, numeral 8º, del Decreto Ley 4170 de 2011,</w:t>
      </w:r>
      <w:r w:rsidRPr="00611E72">
        <w:rPr>
          <w:rFonts w:ascii="Verdana" w:eastAsia="Arial MT" w:hAnsi="Verdana" w:cs="Arial MT"/>
          <w:lang w:val="es-ES" w:eastAsia="es-ES"/>
        </w:rPr>
        <w:t xml:space="preserve"> </w:t>
      </w:r>
      <w:r w:rsidRPr="00611E72">
        <w:rPr>
          <w:rFonts w:ascii="Verdana" w:eastAsia="Aptos" w:hAnsi="Verdana" w:cs="Arial"/>
        </w:rPr>
        <w:t xml:space="preserve">así como lo establecido en el artículo 4 de la Resolución 1707 de 2018 expedida por esta Entidad, </w:t>
      </w:r>
      <w:r w:rsidRPr="00611E72">
        <w:rPr>
          <w:rFonts w:ascii="Verdana" w:eastAsia="Calibri" w:hAnsi="Verdana" w:cs="Arial"/>
          <w:lang w:val="es-ES" w:eastAsia="es-ES"/>
        </w:rPr>
        <w:t xml:space="preserve">la Agencia Nacional de Contratación Pública – Colombia Compra Eficiente– responde su solicitud de petición de fecha del 18 de septiembre de 2024, en la que realiza la siguiente consulta: </w:t>
      </w:r>
    </w:p>
    <w:p w14:paraId="7C31CAB0" w14:textId="77777777" w:rsidR="00016DAA" w:rsidRPr="00611E72" w:rsidRDefault="00016DAA" w:rsidP="00016DAA">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1D39BA46" w14:textId="77777777" w:rsidR="00016DAA" w:rsidRPr="00611E72" w:rsidRDefault="00016DAA" w:rsidP="00016DAA">
      <w:pPr>
        <w:tabs>
          <w:tab w:val="left" w:pos="709"/>
        </w:tabs>
        <w:spacing w:after="0" w:line="240" w:lineRule="auto"/>
        <w:ind w:left="709" w:right="709"/>
        <w:jc w:val="both"/>
        <w:rPr>
          <w:rFonts w:ascii="Verdana" w:eastAsia="Calibri" w:hAnsi="Verdana" w:cs="Arial"/>
          <w:sz w:val="21"/>
          <w:szCs w:val="21"/>
          <w:lang w:val="es-MX"/>
        </w:rPr>
      </w:pPr>
      <w:r w:rsidRPr="00611E72">
        <w:rPr>
          <w:rFonts w:ascii="Verdana" w:eastAsia="Calibri" w:hAnsi="Verdana" w:cs="Arial"/>
          <w:sz w:val="21"/>
          <w:szCs w:val="21"/>
          <w:lang w:val="es-MX"/>
        </w:rPr>
        <w:t xml:space="preserve">“La presente es para solicitar que se ilustre sobre la causal de contratación directa que se indica la ley 1150 de 2007 en el artículo 2 numeral 4 literal k… “la selección de peritos expertos o asesores </w:t>
      </w:r>
      <w:r w:rsidRPr="00611E72">
        <w:rPr>
          <w:rFonts w:ascii="Verdana" w:eastAsia="Calibri" w:hAnsi="Verdana" w:cs="Arial"/>
          <w:sz w:val="21"/>
          <w:szCs w:val="21"/>
          <w:lang w:val="es-MX"/>
        </w:rPr>
        <w:lastRenderedPageBreak/>
        <w:t>técnicos para presentar o contradecir el dictamen pericial en procesos judiciales” …; ya que se tiene los siguientes interrogantes:</w:t>
      </w:r>
    </w:p>
    <w:p w14:paraId="4AABDE7B" w14:textId="77777777" w:rsidR="00016DAA" w:rsidRPr="00611E72" w:rsidRDefault="00016DAA" w:rsidP="00016DAA">
      <w:pPr>
        <w:numPr>
          <w:ilvl w:val="0"/>
          <w:numId w:val="9"/>
        </w:numPr>
        <w:tabs>
          <w:tab w:val="left" w:pos="709"/>
        </w:tabs>
        <w:spacing w:after="0" w:line="240" w:lineRule="auto"/>
        <w:ind w:right="709"/>
        <w:contextualSpacing/>
        <w:jc w:val="both"/>
        <w:rPr>
          <w:rFonts w:ascii="Verdana" w:eastAsia="Calibri" w:hAnsi="Verdana" w:cs="Arial"/>
          <w:sz w:val="21"/>
          <w:szCs w:val="21"/>
          <w:lang w:val="es-MX"/>
        </w:rPr>
      </w:pPr>
      <w:r w:rsidRPr="00611E72">
        <w:rPr>
          <w:rFonts w:ascii="Verdana" w:eastAsia="Calibri" w:hAnsi="Verdana" w:cs="Arial"/>
          <w:sz w:val="21"/>
          <w:szCs w:val="21"/>
          <w:lang w:val="es-MX"/>
        </w:rPr>
        <w:t>Se debe realizar análisis del sector para esta causal de contratación directa.</w:t>
      </w:r>
    </w:p>
    <w:p w14:paraId="3E82E05D" w14:textId="77777777" w:rsidR="00016DAA" w:rsidRPr="00611E72" w:rsidRDefault="00016DAA" w:rsidP="00016DAA">
      <w:pPr>
        <w:numPr>
          <w:ilvl w:val="0"/>
          <w:numId w:val="9"/>
        </w:numPr>
        <w:tabs>
          <w:tab w:val="left" w:pos="709"/>
        </w:tabs>
        <w:spacing w:after="0" w:line="240" w:lineRule="auto"/>
        <w:ind w:right="709"/>
        <w:contextualSpacing/>
        <w:jc w:val="both"/>
        <w:rPr>
          <w:rFonts w:ascii="Verdana" w:eastAsia="Calibri" w:hAnsi="Verdana" w:cs="Arial"/>
          <w:sz w:val="21"/>
          <w:szCs w:val="21"/>
          <w:lang w:val="es-MX"/>
        </w:rPr>
      </w:pPr>
      <w:r w:rsidRPr="00611E72">
        <w:rPr>
          <w:rFonts w:ascii="Verdana" w:eastAsia="Calibri" w:hAnsi="Verdana" w:cs="Arial"/>
          <w:sz w:val="21"/>
          <w:szCs w:val="21"/>
          <w:lang w:val="es-MX"/>
        </w:rPr>
        <w:t>La persona natural o jurídica debe acreditar idoneidad y experiencia en dictamen pericial para procesos judiciales.</w:t>
      </w:r>
    </w:p>
    <w:p w14:paraId="3DE614CB" w14:textId="77777777" w:rsidR="00016DAA" w:rsidRPr="00611E72" w:rsidRDefault="00016DAA" w:rsidP="00016DAA">
      <w:pPr>
        <w:numPr>
          <w:ilvl w:val="0"/>
          <w:numId w:val="9"/>
        </w:numPr>
        <w:tabs>
          <w:tab w:val="left" w:pos="709"/>
        </w:tabs>
        <w:spacing w:after="0" w:line="240" w:lineRule="auto"/>
        <w:ind w:right="709"/>
        <w:contextualSpacing/>
        <w:jc w:val="both"/>
        <w:rPr>
          <w:rFonts w:ascii="Verdana" w:eastAsia="Calibri" w:hAnsi="Verdana" w:cs="Arial"/>
          <w:sz w:val="21"/>
          <w:szCs w:val="21"/>
          <w:lang w:val="es-MX"/>
        </w:rPr>
      </w:pPr>
      <w:r w:rsidRPr="00611E72">
        <w:rPr>
          <w:rFonts w:ascii="Verdana" w:eastAsia="Calibri" w:hAnsi="Verdana" w:cs="Arial"/>
          <w:sz w:val="21"/>
          <w:szCs w:val="21"/>
          <w:lang w:val="es-MX"/>
        </w:rPr>
        <w:t>Si se contrata una persona jurídica el personal o equipo de trabajo propuesto debe acreditar idoneidad y experiencia en dictamen pericial para procesos judiciales”. [sic]</w:t>
      </w:r>
    </w:p>
    <w:p w14:paraId="3EB894C0" w14:textId="77777777" w:rsidR="00016DAA" w:rsidRPr="00611E72" w:rsidRDefault="00016DAA" w:rsidP="00016DAA">
      <w:pPr>
        <w:tabs>
          <w:tab w:val="left" w:pos="142"/>
          <w:tab w:val="left" w:pos="284"/>
        </w:tabs>
        <w:spacing w:line="276" w:lineRule="auto"/>
        <w:contextualSpacing/>
        <w:jc w:val="both"/>
        <w:rPr>
          <w:rFonts w:ascii="Verdana" w:eastAsia="Century Gothic" w:hAnsi="Verdana" w:cs="Century Gothic"/>
          <w:b/>
          <w:bCs/>
          <w:lang w:val="es-ES"/>
        </w:rPr>
      </w:pPr>
    </w:p>
    <w:p w14:paraId="4A2F5DE5" w14:textId="77777777" w:rsidR="00016DAA" w:rsidRPr="00611E72" w:rsidRDefault="00016DAA" w:rsidP="00016DAA">
      <w:pPr>
        <w:spacing w:after="120" w:line="276" w:lineRule="auto"/>
        <w:ind w:firstLine="709"/>
        <w:jc w:val="both"/>
        <w:rPr>
          <w:rFonts w:ascii="Verdana" w:eastAsia="Calibri" w:hAnsi="Verdana" w:cs="Arial"/>
          <w:szCs w:val="24"/>
          <w:lang w:val="es-ES_tradnl" w:eastAsia="es-ES_tradnl"/>
        </w:rPr>
      </w:pPr>
      <w:r w:rsidRPr="00611E7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1631F35C" w14:textId="77777777" w:rsidR="00016DAA" w:rsidRPr="00611E72" w:rsidRDefault="00016DAA" w:rsidP="00016DAA">
      <w:pPr>
        <w:spacing w:after="0" w:line="276" w:lineRule="auto"/>
        <w:ind w:firstLine="709"/>
        <w:jc w:val="both"/>
        <w:rPr>
          <w:rFonts w:ascii="Verdana" w:eastAsia="Calibri" w:hAnsi="Verdana" w:cs="Arial"/>
          <w:lang w:val="es-ES" w:eastAsia="es-ES"/>
        </w:rPr>
      </w:pPr>
      <w:r w:rsidRPr="00611E7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551C9BF" w14:textId="77777777" w:rsidR="00016DAA" w:rsidRPr="00611E72" w:rsidRDefault="00016DAA" w:rsidP="00016DAA">
      <w:pPr>
        <w:spacing w:after="0" w:line="276" w:lineRule="auto"/>
        <w:ind w:firstLine="709"/>
        <w:jc w:val="both"/>
        <w:rPr>
          <w:rFonts w:ascii="Verdana" w:eastAsia="Calibri" w:hAnsi="Verdana" w:cs="Arial"/>
          <w:lang w:val="es-ES" w:eastAsia="es-ES"/>
        </w:rPr>
      </w:pPr>
    </w:p>
    <w:p w14:paraId="7DB55623" w14:textId="77777777" w:rsidR="00016DAA" w:rsidRPr="00611E72" w:rsidRDefault="00016DAA" w:rsidP="00016DAA">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611E72">
        <w:rPr>
          <w:rFonts w:ascii="Verdana" w:eastAsia="Arial" w:hAnsi="Verdana" w:cs="Arial"/>
          <w:b/>
          <w:bCs/>
          <w:lang w:val="es-ES"/>
        </w:rPr>
        <w:t>1. Problema planteado:</w:t>
      </w:r>
    </w:p>
    <w:p w14:paraId="30B66DEF" w14:textId="77777777" w:rsidR="00016DAA" w:rsidRPr="00611E72" w:rsidRDefault="00016DAA" w:rsidP="00016DAA">
      <w:pPr>
        <w:tabs>
          <w:tab w:val="left" w:pos="426"/>
        </w:tabs>
        <w:spacing w:after="0" w:line="276" w:lineRule="auto"/>
        <w:jc w:val="both"/>
        <w:rPr>
          <w:rFonts w:ascii="Verdana" w:eastAsia="Century Gothic" w:hAnsi="Verdana" w:cs="Century Gothic"/>
          <w:lang w:val="es-ES"/>
        </w:rPr>
      </w:pPr>
    </w:p>
    <w:p w14:paraId="61A42EFB" w14:textId="77777777" w:rsidR="00016DAA" w:rsidRPr="00611E72" w:rsidRDefault="00016DAA" w:rsidP="00016DAA">
      <w:pPr>
        <w:spacing w:after="0" w:line="276" w:lineRule="auto"/>
        <w:jc w:val="both"/>
        <w:rPr>
          <w:rFonts w:ascii="Verdana" w:eastAsia="Century Gothic" w:hAnsi="Verdana" w:cs="Century Gothic"/>
        </w:rPr>
      </w:pPr>
      <w:r w:rsidRPr="00611E72">
        <w:rPr>
          <w:rFonts w:ascii="Verdana" w:eastAsia="Century Gothic" w:hAnsi="Verdana" w:cs="Century Gothic"/>
        </w:rPr>
        <w:t xml:space="preserve">De acuerdo con el contenido de su solicitud, le informamos que la misma se resolverá desde </w:t>
      </w:r>
      <w:r>
        <w:rPr>
          <w:rFonts w:ascii="Verdana" w:eastAsia="Century Gothic" w:hAnsi="Verdana" w:cs="Century Gothic"/>
        </w:rPr>
        <w:t>el</w:t>
      </w:r>
      <w:r w:rsidRPr="00611E72">
        <w:rPr>
          <w:rFonts w:ascii="Verdana" w:eastAsia="Century Gothic" w:hAnsi="Verdana" w:cs="Century Gothic"/>
        </w:rPr>
        <w:t xml:space="preserve"> siguiente</w:t>
      </w:r>
      <w:r>
        <w:rPr>
          <w:rFonts w:ascii="Verdana" w:eastAsia="Century Gothic" w:hAnsi="Verdana" w:cs="Century Gothic"/>
        </w:rPr>
        <w:t xml:space="preserve"> </w:t>
      </w:r>
      <w:r w:rsidRPr="00611E72">
        <w:rPr>
          <w:rFonts w:ascii="Verdana" w:eastAsia="Century Gothic" w:hAnsi="Verdana" w:cs="Century Gothic"/>
        </w:rPr>
        <w:t>problema jurídico</w:t>
      </w:r>
      <w:bookmarkStart w:id="1" w:name="_Hlk171070029"/>
      <w:r w:rsidRPr="00611E72">
        <w:rPr>
          <w:rFonts w:ascii="Verdana" w:eastAsia="Century Gothic" w:hAnsi="Verdana" w:cs="Century Gothic"/>
        </w:rPr>
        <w:t>: ¿</w:t>
      </w:r>
      <w:r>
        <w:rPr>
          <w:rFonts w:ascii="Verdana" w:eastAsia="Century Gothic" w:hAnsi="Verdana" w:cs="Century Gothic"/>
        </w:rPr>
        <w:t>P</w:t>
      </w:r>
      <w:r w:rsidRPr="00611E72">
        <w:rPr>
          <w:rFonts w:ascii="Verdana" w:eastAsia="Century Gothic" w:hAnsi="Verdana" w:cs="Century Gothic"/>
        </w:rPr>
        <w:t>ara hacer uso de la causal de contratación directa dispuesta en el literal k), del numeral 4, del artículo 2 de la Ley 1150 de 2007, deben realizarse estudios previos</w:t>
      </w:r>
      <w:r>
        <w:rPr>
          <w:rFonts w:ascii="Verdana" w:eastAsia="Century Gothic" w:hAnsi="Verdana" w:cs="Century Gothic"/>
        </w:rPr>
        <w:t xml:space="preserve"> y solicitarse idoneidad y experiencia del contratista y de su equipo de trabajo</w:t>
      </w:r>
      <w:r w:rsidRPr="00611E72">
        <w:rPr>
          <w:rFonts w:ascii="Verdana" w:eastAsia="Century Gothic" w:hAnsi="Verdana" w:cs="Century Gothic"/>
        </w:rPr>
        <w:t>?</w:t>
      </w:r>
    </w:p>
    <w:p w14:paraId="72AB461F" w14:textId="77777777" w:rsidR="00016DAA" w:rsidRPr="00611E72" w:rsidRDefault="00016DAA" w:rsidP="00016DAA">
      <w:pPr>
        <w:spacing w:after="0" w:line="276" w:lineRule="auto"/>
        <w:jc w:val="both"/>
        <w:rPr>
          <w:rFonts w:ascii="Verdana" w:eastAsia="Calibri" w:hAnsi="Verdana" w:cs="Arial"/>
          <w:lang w:val="es-ES"/>
        </w:rPr>
      </w:pPr>
    </w:p>
    <w:bookmarkEnd w:id="1"/>
    <w:p w14:paraId="2FAE0587" w14:textId="77777777" w:rsidR="00016DAA" w:rsidRPr="00611E72" w:rsidRDefault="00016DAA" w:rsidP="00016DAA">
      <w:pPr>
        <w:widowControl w:val="0"/>
        <w:autoSpaceDE w:val="0"/>
        <w:autoSpaceDN w:val="0"/>
        <w:spacing w:before="1" w:after="0" w:line="240" w:lineRule="auto"/>
        <w:jc w:val="both"/>
        <w:outlineLvl w:val="0"/>
        <w:rPr>
          <w:rFonts w:ascii="Verdana" w:eastAsia="Arial" w:hAnsi="Verdana" w:cs="Arial"/>
          <w:b/>
          <w:bCs/>
          <w:lang w:val="es-ES"/>
        </w:rPr>
      </w:pPr>
      <w:r w:rsidRPr="00611E72">
        <w:rPr>
          <w:rFonts w:ascii="Verdana" w:eastAsia="Arial" w:hAnsi="Verdana" w:cs="Arial"/>
          <w:b/>
          <w:bCs/>
          <w:lang w:val="es-ES"/>
        </w:rPr>
        <w:t>2. Respuesta:</w:t>
      </w:r>
    </w:p>
    <w:p w14:paraId="4216E608" w14:textId="77777777" w:rsidR="00016DAA" w:rsidRPr="00611E72" w:rsidRDefault="00016DAA" w:rsidP="00016DAA">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16DAA" w:rsidRPr="00611E72" w14:paraId="36059918" w14:textId="77777777" w:rsidTr="00450DAF">
        <w:tc>
          <w:tcPr>
            <w:tcW w:w="8828" w:type="dxa"/>
            <w:shd w:val="clear" w:color="auto" w:fill="auto"/>
          </w:tcPr>
          <w:p w14:paraId="0383A085" w14:textId="77777777" w:rsidR="00016DAA" w:rsidRPr="00611E72" w:rsidRDefault="00016DAA" w:rsidP="00450DAF">
            <w:pPr>
              <w:spacing w:line="276" w:lineRule="auto"/>
              <w:jc w:val="both"/>
              <w:rPr>
                <w:rFonts w:ascii="Verdana" w:eastAsia="Calibri" w:hAnsi="Verdana" w:cs="Arial"/>
                <w:lang w:val="es-ES"/>
              </w:rPr>
            </w:pPr>
            <w:bookmarkStart w:id="2" w:name="_Hlk171067516"/>
            <w:r w:rsidRPr="00611E72">
              <w:rPr>
                <w:rFonts w:ascii="Verdana" w:eastAsia="Calibri" w:hAnsi="Verdana" w:cs="Arial"/>
                <w:lang w:val="es-ES"/>
              </w:rPr>
              <w:lastRenderedPageBreak/>
              <w:t xml:space="preserve">Para utilizar </w:t>
            </w:r>
            <w:r w:rsidRPr="00611E72">
              <w:rPr>
                <w:rFonts w:ascii="Verdana" w:eastAsia="Century Gothic" w:hAnsi="Verdana" w:cs="Century Gothic"/>
              </w:rPr>
              <w:t>la causal de contratación directa dispuesta en el literal k), del numeral 4, del artículo 2 de la Ley 1150 de 2007</w:t>
            </w:r>
            <w:r w:rsidRPr="00611E72">
              <w:rPr>
                <w:rFonts w:ascii="Verdana" w:eastAsia="Calibri" w:hAnsi="Verdana" w:cs="Arial"/>
                <w:lang w:val="es-ES"/>
              </w:rPr>
              <w:t xml:space="preserve">, las Entidades Estatales deberán </w:t>
            </w:r>
            <w:r>
              <w:rPr>
                <w:rFonts w:ascii="Verdana" w:eastAsia="Calibri" w:hAnsi="Verdana" w:cs="Arial"/>
                <w:lang w:val="es-ES"/>
              </w:rPr>
              <w:t>realizar los respectivos estudios previos</w:t>
            </w:r>
            <w:r w:rsidRPr="00611E72">
              <w:rPr>
                <w:rFonts w:ascii="Verdana" w:eastAsia="Calibri" w:hAnsi="Verdana" w:cs="Arial"/>
                <w:lang w:val="es-ES"/>
              </w:rPr>
              <w:t>, en los términos dispuestos en el Estatuto General de Contratación de la Administración Pública –Ley 80 de 1993, Ley 1150 de 2007, Decreto 1082 de 2015 y demás normas que lo complementan o adicionan–. De igual forma, antes de celebrar el contrato</w:t>
            </w:r>
            <w:r>
              <w:rPr>
                <w:rFonts w:ascii="Verdana" w:eastAsia="Calibri" w:hAnsi="Verdana" w:cs="Arial"/>
                <w:lang w:val="es-ES"/>
              </w:rPr>
              <w:t>,</w:t>
            </w:r>
            <w:r w:rsidRPr="00611E72">
              <w:rPr>
                <w:rFonts w:ascii="Verdana" w:eastAsia="Calibri" w:hAnsi="Verdana" w:cs="Arial"/>
                <w:lang w:val="es-ES"/>
              </w:rPr>
              <w:t xml:space="preserve"> deberán expedir el acto administrativo de justificación de la contratación directa a que alude el artículo 2.2.1.2.1.4.1. del Decreto 1082 de 2015, en el cual se justificará la necesidad de acudir a dicha modalidad de selección y demás contenidos exigidos en el citado artículo, incluyendo la fundamentación de las razones por las cuales el contrato a celebrar se adecúa en </w:t>
            </w:r>
            <w:r>
              <w:rPr>
                <w:rFonts w:ascii="Verdana" w:eastAsia="Calibri" w:hAnsi="Verdana" w:cs="Arial"/>
                <w:lang w:val="es-ES"/>
              </w:rPr>
              <w:t>la referida causal.</w:t>
            </w:r>
          </w:p>
          <w:p w14:paraId="6BB1B919" w14:textId="77777777" w:rsidR="00016DAA" w:rsidRPr="00611E72" w:rsidRDefault="00016DAA" w:rsidP="00450DAF">
            <w:pPr>
              <w:spacing w:line="276" w:lineRule="auto"/>
              <w:jc w:val="both"/>
              <w:rPr>
                <w:rFonts w:ascii="Verdana" w:eastAsia="Calibri" w:hAnsi="Verdana" w:cs="Arial"/>
                <w:lang w:val="es-ES"/>
              </w:rPr>
            </w:pPr>
          </w:p>
          <w:p w14:paraId="1C16E96C" w14:textId="77777777" w:rsidR="00016DAA" w:rsidRPr="00611E72" w:rsidRDefault="00016DAA" w:rsidP="00450DAF">
            <w:pPr>
              <w:spacing w:line="276" w:lineRule="auto"/>
              <w:jc w:val="both"/>
              <w:rPr>
                <w:rFonts w:ascii="Verdana" w:eastAsia="Calibri" w:hAnsi="Verdana" w:cs="Arial"/>
                <w:lang w:val="es-ES"/>
              </w:rPr>
            </w:pPr>
            <w:r>
              <w:rPr>
                <w:rFonts w:ascii="Verdana" w:eastAsia="Calibri" w:hAnsi="Verdana" w:cs="Arial"/>
                <w:lang w:val="es-ES"/>
              </w:rPr>
              <w:t>Finalmente</w:t>
            </w:r>
            <w:r w:rsidRPr="00611E72">
              <w:rPr>
                <w:rFonts w:ascii="Verdana" w:eastAsia="Calibri" w:hAnsi="Verdana" w:cs="Arial"/>
                <w:lang w:val="es-ES"/>
              </w:rPr>
              <w:t>, se precisa que la causal de contratación directa</w:t>
            </w:r>
            <w:r>
              <w:rPr>
                <w:rFonts w:ascii="Verdana" w:eastAsia="Calibri" w:hAnsi="Verdana" w:cs="Arial"/>
                <w:lang w:val="es-ES"/>
              </w:rPr>
              <w:t xml:space="preserve"> señalada en </w:t>
            </w:r>
            <w:r w:rsidRPr="00611E72">
              <w:rPr>
                <w:rFonts w:ascii="Verdana" w:eastAsia="Century Gothic" w:hAnsi="Verdana" w:cs="Century Gothic"/>
              </w:rPr>
              <w:t>en el literal k), del numeral 4, del artículo 2 de la Ley 1150 de 2007</w:t>
            </w:r>
            <w:r w:rsidRPr="00611E72">
              <w:rPr>
                <w:rFonts w:ascii="Verdana" w:eastAsia="Calibri" w:hAnsi="Verdana" w:cs="Arial"/>
                <w:lang w:val="es-ES"/>
              </w:rPr>
              <w:t xml:space="preserve">, opera bajo ciertos supuestos de hecho que condicionan su utilización. Por lo que, en relación con la contratación de peritos o asesores técnicos para presentar o contradecir una prueba en un proceso judicial, la Entidad Estatal </w:t>
            </w:r>
            <w:r>
              <w:rPr>
                <w:rFonts w:ascii="Verdana" w:eastAsia="Calibri" w:hAnsi="Verdana" w:cs="Arial"/>
                <w:lang w:val="es-ES"/>
              </w:rPr>
              <w:t>tendrá la obligación de</w:t>
            </w:r>
            <w:r w:rsidRPr="00611E72">
              <w:rPr>
                <w:rFonts w:ascii="Verdana" w:eastAsia="Calibri" w:hAnsi="Verdana" w:cs="Arial"/>
                <w:lang w:val="es-ES"/>
              </w:rPr>
              <w:t xml:space="preserve"> verificar </w:t>
            </w:r>
            <w:r>
              <w:rPr>
                <w:rFonts w:ascii="Verdana" w:eastAsia="Calibri" w:hAnsi="Verdana" w:cs="Arial"/>
                <w:lang w:val="es-ES"/>
              </w:rPr>
              <w:t xml:space="preserve">mediante la documentación que estime pertinente, </w:t>
            </w:r>
            <w:r w:rsidRPr="00611E72">
              <w:rPr>
                <w:rFonts w:ascii="Verdana" w:eastAsia="Calibri" w:hAnsi="Verdana" w:cs="Arial"/>
                <w:lang w:val="es-ES"/>
              </w:rPr>
              <w:t>la idoneidad o experiencia del futuro contratista.</w:t>
            </w:r>
            <w:r>
              <w:rPr>
                <w:rFonts w:ascii="Verdana" w:eastAsia="Calibri" w:hAnsi="Verdana" w:cs="Arial"/>
                <w:lang w:val="es-ES"/>
              </w:rPr>
              <w:t xml:space="preserve"> Lo anterior, deberá determinarse en los respectivos estudios previos.</w:t>
            </w:r>
          </w:p>
        </w:tc>
      </w:tr>
      <w:bookmarkEnd w:id="2"/>
    </w:tbl>
    <w:p w14:paraId="0FCF04CA" w14:textId="77777777" w:rsidR="00016DAA" w:rsidRPr="00611E72" w:rsidRDefault="00016DAA" w:rsidP="00016DAA">
      <w:pPr>
        <w:widowControl w:val="0"/>
        <w:autoSpaceDE w:val="0"/>
        <w:autoSpaceDN w:val="0"/>
        <w:spacing w:before="1" w:after="0" w:line="240" w:lineRule="auto"/>
        <w:ind w:left="360" w:hanging="360"/>
        <w:outlineLvl w:val="0"/>
        <w:rPr>
          <w:rFonts w:ascii="Verdana" w:eastAsia="Arial" w:hAnsi="Verdana" w:cs="Arial"/>
          <w:b/>
          <w:bCs/>
          <w:lang w:val="es-ES"/>
        </w:rPr>
      </w:pPr>
    </w:p>
    <w:p w14:paraId="13F76F69" w14:textId="77777777" w:rsidR="00016DAA" w:rsidRPr="00611E72" w:rsidRDefault="00016DAA" w:rsidP="00016DAA">
      <w:pPr>
        <w:widowControl w:val="0"/>
        <w:autoSpaceDE w:val="0"/>
        <w:autoSpaceDN w:val="0"/>
        <w:spacing w:before="1" w:after="0" w:line="240" w:lineRule="auto"/>
        <w:ind w:left="360" w:hanging="360"/>
        <w:outlineLvl w:val="0"/>
        <w:rPr>
          <w:rFonts w:ascii="Verdana" w:eastAsia="Arial" w:hAnsi="Verdana" w:cs="Arial"/>
          <w:b/>
          <w:bCs/>
          <w:lang w:val="es-ES"/>
        </w:rPr>
      </w:pPr>
      <w:r w:rsidRPr="00611E72">
        <w:rPr>
          <w:rFonts w:ascii="Verdana" w:eastAsia="Arial" w:hAnsi="Verdana" w:cs="Arial"/>
          <w:b/>
          <w:bCs/>
          <w:lang w:val="es-ES"/>
        </w:rPr>
        <w:t>3. Razones de la respuesta</w:t>
      </w:r>
    </w:p>
    <w:p w14:paraId="1679C133" w14:textId="77777777" w:rsidR="00016DAA" w:rsidRPr="00611E72" w:rsidRDefault="00016DAA" w:rsidP="00016DAA">
      <w:pPr>
        <w:spacing w:after="0" w:line="276" w:lineRule="auto"/>
        <w:jc w:val="both"/>
        <w:rPr>
          <w:rFonts w:ascii="Verdana" w:eastAsia="Calibri" w:hAnsi="Verdana" w:cs="Arial"/>
          <w:lang w:val="es-ES"/>
        </w:rPr>
      </w:pPr>
    </w:p>
    <w:p w14:paraId="57F581E4" w14:textId="77777777" w:rsidR="00016DAA" w:rsidRPr="00611E72" w:rsidRDefault="00016DAA" w:rsidP="00016DAA">
      <w:pPr>
        <w:spacing w:after="0" w:line="276" w:lineRule="auto"/>
        <w:jc w:val="both"/>
        <w:rPr>
          <w:rFonts w:ascii="Verdana" w:eastAsia="Calibri" w:hAnsi="Verdana" w:cs="Arial"/>
          <w:lang w:val="es-ES"/>
        </w:rPr>
      </w:pPr>
      <w:r w:rsidRPr="00611E72">
        <w:rPr>
          <w:rFonts w:ascii="Verdana" w:eastAsia="Calibri" w:hAnsi="Verdana" w:cs="Arial"/>
          <w:lang w:val="es-ES"/>
        </w:rPr>
        <w:t xml:space="preserve">Las respuestas anteriores se sustentan en las siguientes consideraciones: </w:t>
      </w:r>
    </w:p>
    <w:p w14:paraId="0084E2CC" w14:textId="77777777" w:rsidR="00016DAA" w:rsidRPr="00611E72" w:rsidRDefault="00016DAA" w:rsidP="00016DAA">
      <w:pPr>
        <w:spacing w:after="0" w:line="276" w:lineRule="auto"/>
        <w:jc w:val="both"/>
        <w:rPr>
          <w:rFonts w:ascii="Verdana" w:eastAsia="Calibri" w:hAnsi="Verdana" w:cs="Arial"/>
          <w:lang w:val="es-ES"/>
        </w:rPr>
      </w:pPr>
    </w:p>
    <w:p w14:paraId="04FD4CDB" w14:textId="77777777" w:rsidR="00016DAA" w:rsidRPr="00611E72" w:rsidRDefault="00016DAA" w:rsidP="00016DAA">
      <w:pPr>
        <w:numPr>
          <w:ilvl w:val="0"/>
          <w:numId w:val="7"/>
        </w:numPr>
        <w:spacing w:line="276" w:lineRule="auto"/>
        <w:contextualSpacing/>
        <w:jc w:val="both"/>
        <w:rPr>
          <w:rFonts w:ascii="Verdana" w:eastAsia="Aptos" w:hAnsi="Verdana" w:cs="Arial"/>
          <w:lang w:val="es-ES_tradnl" w:eastAsia="es-MX"/>
        </w:rPr>
      </w:pPr>
      <w:bookmarkStart w:id="3" w:name="_Hlk173311098"/>
      <w:r w:rsidRPr="00611E72">
        <w:rPr>
          <w:rFonts w:ascii="Verdana" w:eastAsia="Calibri" w:hAnsi="Verdana" w:cs="Arial"/>
          <w:shd w:val="clear" w:color="auto" w:fill="FFFFFF"/>
        </w:rPr>
        <w:t>La planeación contractual es una herramienta de gerencia pública, que exige estructurar el proceso contractual dedicando tiempo y esfuerzos para elaborar estudios previos, los cuales deberán ser adecuados a su alcance y complejidad. Esto, con la finalidad de determinar la necesidad que pretende satisfacer la Entidad Estatal, consultando el tipo de bienes y servicios que ofrece el mercado y sus características, especificaciones, precios, costos, riesgos, garantías, disponibilidad, oferentes, etc.</w:t>
      </w:r>
    </w:p>
    <w:p w14:paraId="047A2F80" w14:textId="77777777" w:rsidR="00016DAA" w:rsidRPr="00611E72" w:rsidRDefault="00016DAA" w:rsidP="00016DAA">
      <w:pPr>
        <w:spacing w:line="276" w:lineRule="auto"/>
        <w:ind w:left="720"/>
        <w:contextualSpacing/>
        <w:jc w:val="both"/>
        <w:rPr>
          <w:rFonts w:ascii="Verdana" w:eastAsia="Aptos" w:hAnsi="Verdana" w:cs="Arial"/>
          <w:lang w:val="es-ES_tradnl" w:eastAsia="es-MX"/>
        </w:rPr>
      </w:pPr>
    </w:p>
    <w:p w14:paraId="5E7CFA7A" w14:textId="77777777" w:rsidR="00016DAA" w:rsidRPr="00611E72" w:rsidRDefault="00016DAA" w:rsidP="00016DAA">
      <w:pPr>
        <w:numPr>
          <w:ilvl w:val="0"/>
          <w:numId w:val="7"/>
        </w:numPr>
        <w:spacing w:line="276" w:lineRule="auto"/>
        <w:contextualSpacing/>
        <w:jc w:val="both"/>
        <w:textAlignment w:val="baseline"/>
        <w:rPr>
          <w:rFonts w:ascii="Verdana" w:eastAsia="Aptos" w:hAnsi="Verdana" w:cs="Arial"/>
          <w:lang w:val="es-ES_tradnl" w:eastAsia="es-MX"/>
        </w:rPr>
      </w:pPr>
      <w:r w:rsidRPr="00611E72">
        <w:rPr>
          <w:rFonts w:ascii="Verdana" w:eastAsia="Aptos" w:hAnsi="Verdana" w:cs="Arial"/>
          <w:lang w:val="es-ES_tradnl" w:eastAsia="es-MX"/>
        </w:rPr>
        <w:t xml:space="preserve">Por ello, una debida planeación debe conducir a una escogencia diligente de la mejor oferta, para beneficiar los intereses y fines públicos inmersos en la contratación de las Entidades Estatales, buscando siempre la </w:t>
      </w:r>
      <w:r w:rsidRPr="00611E72">
        <w:rPr>
          <w:rFonts w:ascii="Verdana" w:eastAsia="Aptos" w:hAnsi="Verdana" w:cs="Arial"/>
          <w:lang w:val="es-ES_tradnl" w:eastAsia="es-MX"/>
        </w:rPr>
        <w:lastRenderedPageBreak/>
        <w:t>correcta ejecución del contrato</w:t>
      </w:r>
      <w:r w:rsidRPr="00611E72">
        <w:rPr>
          <w:rFonts w:ascii="Verdana" w:eastAsia="Calibri" w:hAnsi="Verdana" w:cs="Arial"/>
          <w:vertAlign w:val="superscript"/>
          <w:lang w:val="es-MX"/>
        </w:rPr>
        <w:footnoteReference w:id="2"/>
      </w:r>
      <w:r w:rsidRPr="00611E72">
        <w:rPr>
          <w:rFonts w:ascii="Verdana" w:eastAsia="Calibri" w:hAnsi="Verdana" w:cs="Arial"/>
          <w:bCs/>
          <w:lang w:val="es-ES_tradnl"/>
        </w:rPr>
        <w:t xml:space="preserve">. En línea con lo anterior, el Estatuto General de Contratación de la Administración Pública –Ley 80 de 1993, Ley 1150 de 2007, Decreto 1082 de 2015 y demás normas que lo complementen o adicionen–,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colaboran en su consecución. En relación con el principio de economía, se tienen las siguientes reglas derivadas de su aplicación, lo cual está previsto en el artículo 25 de la Ley 80 de 1993, así: </w:t>
      </w:r>
    </w:p>
    <w:p w14:paraId="7BA204FE" w14:textId="77777777" w:rsidR="00016DAA" w:rsidRPr="00611E72" w:rsidRDefault="00016DAA" w:rsidP="00016DAA">
      <w:pPr>
        <w:ind w:left="720"/>
        <w:contextualSpacing/>
        <w:rPr>
          <w:rFonts w:ascii="Verdana" w:eastAsia="Aptos" w:hAnsi="Verdana" w:cs="Arial"/>
          <w:lang w:val="es-ES_tradnl" w:eastAsia="es-MX"/>
        </w:rPr>
      </w:pPr>
    </w:p>
    <w:p w14:paraId="11A67784" w14:textId="77777777" w:rsidR="00016DAA" w:rsidRPr="00611E72" w:rsidRDefault="00016DAA" w:rsidP="00016DAA">
      <w:pPr>
        <w:spacing w:line="240" w:lineRule="auto"/>
        <w:ind w:left="1416"/>
        <w:contextualSpacing/>
        <w:jc w:val="both"/>
        <w:textAlignment w:val="baseline"/>
        <w:rPr>
          <w:rFonts w:ascii="Verdana" w:eastAsia="Calibri" w:hAnsi="Verdana" w:cs="Arial"/>
          <w:sz w:val="20"/>
          <w:szCs w:val="20"/>
        </w:rPr>
      </w:pPr>
      <w:r w:rsidRPr="00611E72">
        <w:rPr>
          <w:rFonts w:ascii="Verdana" w:eastAsia="Aptos" w:hAnsi="Verdana" w:cs="Arial"/>
          <w:sz w:val="20"/>
          <w:szCs w:val="20"/>
          <w:lang w:val="es-ES_tradnl" w:eastAsia="es-MX"/>
        </w:rPr>
        <w:t>“7</w:t>
      </w:r>
      <w:r w:rsidRPr="00611E72">
        <w:rPr>
          <w:rFonts w:ascii="Verdana" w:eastAsia="Calibri" w:hAnsi="Verdana" w:cs="Arial"/>
          <w:sz w:val="20"/>
          <w:szCs w:val="20"/>
        </w:rPr>
        <w:t>. La conveniencia o inconveniencia del objeto a contratar y las autorizaciones y aprobaciones para ello, se analizarán o impartirán con antelación al inicio del proceso de selección del contratista o al de la firma del contrato, según el caso.</w:t>
      </w:r>
    </w:p>
    <w:p w14:paraId="3A43C484" w14:textId="77777777" w:rsidR="00016DAA" w:rsidRPr="00611E72" w:rsidRDefault="00016DAA" w:rsidP="00016DAA">
      <w:pPr>
        <w:spacing w:line="240" w:lineRule="auto"/>
        <w:ind w:left="1416"/>
        <w:contextualSpacing/>
        <w:jc w:val="both"/>
        <w:textAlignment w:val="baseline"/>
        <w:rPr>
          <w:rFonts w:ascii="Verdana" w:eastAsia="Calibri" w:hAnsi="Verdana" w:cs="Arial"/>
          <w:sz w:val="20"/>
          <w:szCs w:val="20"/>
        </w:rPr>
      </w:pPr>
      <w:r w:rsidRPr="00611E72">
        <w:rPr>
          <w:rFonts w:ascii="Verdana" w:eastAsia="Calibri" w:hAnsi="Verdana" w:cs="Arial"/>
          <w:sz w:val="20"/>
          <w:szCs w:val="20"/>
        </w:rPr>
        <w:t>[…]</w:t>
      </w:r>
    </w:p>
    <w:p w14:paraId="54D6D352" w14:textId="77777777" w:rsidR="00016DAA" w:rsidRPr="00611E72" w:rsidRDefault="00016DAA" w:rsidP="00016DAA">
      <w:pPr>
        <w:spacing w:line="240" w:lineRule="auto"/>
        <w:ind w:left="1416"/>
        <w:contextualSpacing/>
        <w:jc w:val="both"/>
        <w:textAlignment w:val="baseline"/>
        <w:rPr>
          <w:rFonts w:ascii="Verdana" w:eastAsia="Aptos" w:hAnsi="Verdana" w:cs="Arial"/>
          <w:sz w:val="20"/>
          <w:szCs w:val="20"/>
          <w:lang w:val="es-ES_tradnl" w:eastAsia="es-MX"/>
        </w:rPr>
      </w:pPr>
      <w:r w:rsidRPr="00611E72">
        <w:rPr>
          <w:rFonts w:ascii="Verdana" w:eastAsia="Calibri" w:hAnsi="Verdana" w:cs="Arial"/>
          <w:sz w:val="20"/>
          <w:szCs w:val="20"/>
        </w:rPr>
        <w:lastRenderedPageBreak/>
        <w:t xml:space="preserve">12. Previo a la apertura de un proceso de selección, o a la firma del contrato en el caso en que la </w:t>
      </w:r>
      <w:r w:rsidRPr="00611E72">
        <w:rPr>
          <w:rFonts w:ascii="Verdana" w:eastAsia="Calibri" w:hAnsi="Verdana" w:cs="Arial"/>
          <w:i/>
          <w:iCs/>
          <w:sz w:val="20"/>
          <w:szCs w:val="20"/>
        </w:rPr>
        <w:t>modalidad de selección sea contratación directa</w:t>
      </w:r>
      <w:r w:rsidRPr="00611E72">
        <w:rPr>
          <w:rFonts w:ascii="Verdana" w:eastAsia="Calibri" w:hAnsi="Verdana" w:cs="Arial"/>
          <w:sz w:val="20"/>
          <w:szCs w:val="20"/>
        </w:rPr>
        <w:t>, deberán elaborarse los estudios, diseños y proyectos requeridos, y los pliegos de condiciones, según corresponda.” [Cursivas propias]</w:t>
      </w:r>
    </w:p>
    <w:p w14:paraId="5075C2AF" w14:textId="77777777" w:rsidR="00016DAA" w:rsidRPr="00611E72" w:rsidRDefault="00016DAA" w:rsidP="00016DAA">
      <w:pPr>
        <w:ind w:left="720"/>
        <w:contextualSpacing/>
        <w:rPr>
          <w:rFonts w:ascii="Verdana" w:eastAsia="Aptos" w:hAnsi="Verdana" w:cs="Arial"/>
          <w:lang w:val="es-ES_tradnl" w:eastAsia="es-MX"/>
        </w:rPr>
      </w:pPr>
    </w:p>
    <w:p w14:paraId="50BAA1DE" w14:textId="77777777" w:rsidR="00016DAA" w:rsidRPr="00611E72" w:rsidRDefault="00016DAA" w:rsidP="00016DAA">
      <w:pPr>
        <w:numPr>
          <w:ilvl w:val="0"/>
          <w:numId w:val="7"/>
        </w:numPr>
        <w:spacing w:before="120" w:after="120" w:line="276" w:lineRule="auto"/>
        <w:contextualSpacing/>
        <w:jc w:val="both"/>
        <w:textAlignment w:val="baseline"/>
        <w:rPr>
          <w:rFonts w:ascii="Verdana" w:eastAsia="Aptos" w:hAnsi="Verdana" w:cs="Arial"/>
          <w:lang w:val="es-ES_tradnl" w:eastAsia="es-MX"/>
        </w:rPr>
      </w:pPr>
      <w:r w:rsidRPr="00611E72">
        <w:rPr>
          <w:rFonts w:ascii="Verdana" w:eastAsia="Aptos" w:hAnsi="Verdana" w:cs="Arial"/>
          <w:lang w:val="es-ES_tradnl" w:eastAsia="es-MX"/>
        </w:rPr>
        <w:t>De la norma citada se resalta que, en virtud del principio de economía, para iniciar un proceso de contratación, incluso de contratación directa, se requieran unos estudios previos. Con ellos, se estructuran, concretan y viabilizan los aspectos esenciales del futuro contrato, dentro de los cuales se encuentran su objeto y valor estimado, entre otros elementos. Por ello, el artículo 2.2.1.1.1.6.1 del Decreto 1082 de 2015 dispone que “La Entidad Estatal debe hacer, durante la etapa de planeación, el análisis necesario para conocer el sector relativo al objeto del Proceso de Contratación desde la perspectiva legal, comercial, financiera, organizacional, técnica y de análisis de Riesgo […]”.</w:t>
      </w:r>
    </w:p>
    <w:p w14:paraId="22E0A9E0" w14:textId="77777777" w:rsidR="00016DAA" w:rsidRPr="00611E72" w:rsidRDefault="00016DAA" w:rsidP="00016DAA">
      <w:pPr>
        <w:spacing w:after="0"/>
        <w:ind w:left="709"/>
        <w:contextualSpacing/>
        <w:jc w:val="both"/>
        <w:rPr>
          <w:rFonts w:ascii="Verdana" w:eastAsia="Aptos" w:hAnsi="Verdana" w:cs="Arial"/>
          <w:lang w:val="es-ES_tradnl" w:eastAsia="es-MX"/>
        </w:rPr>
      </w:pPr>
    </w:p>
    <w:p w14:paraId="1FE1C341" w14:textId="77777777" w:rsidR="00016DAA" w:rsidRPr="00611E72" w:rsidRDefault="00016DAA" w:rsidP="00016DAA">
      <w:pPr>
        <w:numPr>
          <w:ilvl w:val="0"/>
          <w:numId w:val="7"/>
        </w:numPr>
        <w:spacing w:after="0" w:line="276" w:lineRule="auto"/>
        <w:contextualSpacing/>
        <w:jc w:val="both"/>
        <w:textAlignment w:val="baseline"/>
        <w:rPr>
          <w:rFonts w:ascii="Verdana" w:eastAsia="Aptos" w:hAnsi="Verdana" w:cs="Arial"/>
          <w:lang w:val="es-ES" w:eastAsia="es-MX"/>
        </w:rPr>
      </w:pPr>
      <w:r w:rsidRPr="00611E72">
        <w:rPr>
          <w:rFonts w:ascii="Verdana" w:eastAsia="Aptos" w:hAnsi="Verdana" w:cs="Arial"/>
          <w:lang w:val="es-ES" w:eastAsia="es-MX"/>
        </w:rPr>
        <w:t>En ese orden puede colegirse, que la entidad debe realizar el análisis necesario para conocer el sector relativo al objeto del Proceso de Contratación, sin que sea relevante la modalidad de selección. Colombia Compra Eficiente dispone de una Guía para la Elaboración de Estudios del Sector, instrumento que sirve de apoyo para entender el mercado del bien, obra o servicio que la Entidad Estatal pretender adquirir. Lo anterior con el fin de que las Entidades Estatales puedan diseñar el Proceso de Contratación con la información necesaria para alcanzar los objetivos de eficacia, eficiencia, economía, promoción de la competencia y manejo del riesgo.</w:t>
      </w:r>
    </w:p>
    <w:p w14:paraId="330C5607" w14:textId="77777777" w:rsidR="00016DAA" w:rsidRPr="00611E72" w:rsidRDefault="00016DAA" w:rsidP="00016DAA">
      <w:pPr>
        <w:spacing w:after="0" w:line="276" w:lineRule="auto"/>
        <w:ind w:left="720"/>
        <w:contextualSpacing/>
        <w:jc w:val="both"/>
        <w:textAlignment w:val="baseline"/>
        <w:rPr>
          <w:rFonts w:ascii="Verdana" w:eastAsia="Aptos" w:hAnsi="Verdana" w:cs="Arial"/>
          <w:lang w:val="es-ES_tradnl" w:eastAsia="es-MX"/>
        </w:rPr>
      </w:pPr>
    </w:p>
    <w:p w14:paraId="7B4D13F8" w14:textId="77777777" w:rsidR="00016DAA" w:rsidRPr="00611E72" w:rsidRDefault="00016DAA" w:rsidP="00016DAA">
      <w:pPr>
        <w:numPr>
          <w:ilvl w:val="0"/>
          <w:numId w:val="7"/>
        </w:numPr>
        <w:tabs>
          <w:tab w:val="left" w:pos="709"/>
        </w:tabs>
        <w:spacing w:before="120" w:after="120" w:line="276" w:lineRule="auto"/>
        <w:contextualSpacing/>
        <w:jc w:val="both"/>
        <w:rPr>
          <w:rFonts w:ascii="Verdana" w:eastAsia="Calibri" w:hAnsi="Verdana" w:cs="Arial"/>
          <w:shd w:val="clear" w:color="auto" w:fill="FFFFFF"/>
        </w:rPr>
      </w:pPr>
      <w:r w:rsidRPr="00611E72">
        <w:rPr>
          <w:rFonts w:ascii="Verdana" w:eastAsia="Aptos" w:hAnsi="Verdana" w:cs="Arial"/>
          <w:bCs/>
        </w:rPr>
        <w:t xml:space="preserve">Ahora bien y atendiendo el objeto bajo consulta, debe destacarse que el artículo 82 de la Ley 2080 de 2021 adicionó una causal de contratación directa a las previstas en el numeral 4 del artículo 2 de la Ley 1150 de 2007. En tal sentido, el artículo 82 de la Ley 2080 de 2021 estableció lo siguiente: </w:t>
      </w:r>
    </w:p>
    <w:p w14:paraId="57041198" w14:textId="77777777" w:rsidR="00016DAA" w:rsidRPr="00611E72" w:rsidRDefault="00016DAA" w:rsidP="00016DAA">
      <w:pPr>
        <w:ind w:left="720"/>
        <w:contextualSpacing/>
        <w:rPr>
          <w:rFonts w:ascii="Verdana" w:eastAsia="Calibri" w:hAnsi="Verdana" w:cs="Arial"/>
          <w:shd w:val="clear" w:color="auto" w:fill="FFFFFF"/>
        </w:rPr>
      </w:pPr>
    </w:p>
    <w:p w14:paraId="5223E1D7" w14:textId="77777777" w:rsidR="00016DAA" w:rsidRPr="00611E72" w:rsidRDefault="00016DAA" w:rsidP="00016DAA">
      <w:pPr>
        <w:spacing w:line="240" w:lineRule="auto"/>
        <w:ind w:left="1134" w:right="1134"/>
        <w:contextualSpacing/>
        <w:jc w:val="both"/>
        <w:rPr>
          <w:rFonts w:ascii="Verdana" w:eastAsia="Calibri" w:hAnsi="Verdana" w:cs="Arial"/>
          <w:sz w:val="20"/>
          <w:szCs w:val="20"/>
          <w:shd w:val="clear" w:color="auto" w:fill="FFFFFF"/>
        </w:rPr>
      </w:pPr>
      <w:r w:rsidRPr="00611E72">
        <w:rPr>
          <w:rFonts w:ascii="Verdana" w:eastAsia="Calibri" w:hAnsi="Verdana" w:cs="Arial"/>
          <w:sz w:val="20"/>
          <w:szCs w:val="20"/>
          <w:shd w:val="clear" w:color="auto" w:fill="FFFFFF"/>
        </w:rPr>
        <w:t>“Artículo 82. Adiciónese un literal k) al numeral cuarto del artículo 2 de la Ley 1150 de 2007, así:</w:t>
      </w:r>
    </w:p>
    <w:p w14:paraId="459BC4FB" w14:textId="77777777" w:rsidR="00016DAA" w:rsidRPr="00611E72" w:rsidRDefault="00016DAA" w:rsidP="00016DAA">
      <w:pPr>
        <w:numPr>
          <w:ilvl w:val="0"/>
          <w:numId w:val="9"/>
        </w:numPr>
        <w:spacing w:before="120" w:after="0" w:line="240" w:lineRule="auto"/>
        <w:ind w:left="1134" w:right="1134"/>
        <w:contextualSpacing/>
        <w:jc w:val="both"/>
        <w:rPr>
          <w:rFonts w:ascii="Verdana" w:eastAsia="Calibri" w:hAnsi="Verdana" w:cs="Arial"/>
          <w:sz w:val="20"/>
          <w:szCs w:val="20"/>
          <w:shd w:val="clear" w:color="auto" w:fill="FFFFFF"/>
        </w:rPr>
      </w:pPr>
      <w:r w:rsidRPr="00611E72">
        <w:rPr>
          <w:rFonts w:ascii="Verdana" w:eastAsia="Calibri" w:hAnsi="Verdana" w:cs="Arial"/>
          <w:sz w:val="20"/>
          <w:szCs w:val="20"/>
          <w:shd w:val="clear" w:color="auto" w:fill="FFFFFF"/>
        </w:rPr>
        <w:t>Contratación directa. La modalidad de selección de contratación directa, solamente procederá en los siguientes casos:</w:t>
      </w:r>
    </w:p>
    <w:p w14:paraId="03E09CCA" w14:textId="77777777" w:rsidR="00016DAA" w:rsidRPr="00611E72" w:rsidRDefault="00016DAA" w:rsidP="00016DAA">
      <w:pPr>
        <w:spacing w:before="120" w:after="0" w:line="240" w:lineRule="auto"/>
        <w:ind w:left="1134" w:right="1134"/>
        <w:contextualSpacing/>
        <w:jc w:val="both"/>
        <w:rPr>
          <w:rFonts w:ascii="Verdana" w:eastAsia="Calibri" w:hAnsi="Verdana" w:cs="Arial"/>
          <w:sz w:val="20"/>
          <w:szCs w:val="20"/>
          <w:shd w:val="clear" w:color="auto" w:fill="FFFFFF"/>
        </w:rPr>
      </w:pPr>
      <w:r w:rsidRPr="00611E72">
        <w:rPr>
          <w:rFonts w:ascii="Verdana" w:eastAsia="Calibri" w:hAnsi="Verdana" w:cs="Arial"/>
          <w:sz w:val="20"/>
          <w:szCs w:val="20"/>
          <w:shd w:val="clear" w:color="auto" w:fill="FFFFFF"/>
        </w:rPr>
        <w:t>[…]</w:t>
      </w:r>
    </w:p>
    <w:p w14:paraId="5AEBAF6C" w14:textId="77777777" w:rsidR="00016DAA" w:rsidRPr="00611E72" w:rsidRDefault="00016DAA" w:rsidP="00016DAA">
      <w:pPr>
        <w:spacing w:after="0" w:line="240" w:lineRule="auto"/>
        <w:ind w:left="1134" w:right="1134"/>
        <w:contextualSpacing/>
        <w:jc w:val="both"/>
        <w:rPr>
          <w:rFonts w:ascii="Verdana" w:eastAsia="Calibri" w:hAnsi="Verdana" w:cs="Arial"/>
          <w:sz w:val="20"/>
          <w:szCs w:val="20"/>
          <w:shd w:val="clear" w:color="auto" w:fill="FFFFFF"/>
        </w:rPr>
      </w:pPr>
      <w:r w:rsidRPr="00611E72">
        <w:rPr>
          <w:rFonts w:ascii="Verdana" w:eastAsia="Calibri" w:hAnsi="Verdana" w:cs="Arial"/>
          <w:sz w:val="20"/>
          <w:szCs w:val="20"/>
          <w:shd w:val="clear" w:color="auto" w:fill="FFFFFF"/>
        </w:rPr>
        <w:t xml:space="preserve">k) La selección de peritos expertos o asesores técnicos para presentar o contradecir el dictamen pericial en procesos judiciales”. </w:t>
      </w:r>
    </w:p>
    <w:p w14:paraId="1EB5AB5C" w14:textId="77777777" w:rsidR="00016DAA" w:rsidRPr="00611E72" w:rsidRDefault="00016DAA" w:rsidP="00016DAA">
      <w:pPr>
        <w:spacing w:after="0" w:line="240" w:lineRule="auto"/>
        <w:ind w:left="709"/>
        <w:jc w:val="both"/>
        <w:rPr>
          <w:rFonts w:ascii="Verdana" w:eastAsia="Calibri" w:hAnsi="Verdana" w:cs="Arial"/>
          <w:sz w:val="20"/>
          <w:szCs w:val="20"/>
          <w:shd w:val="clear" w:color="auto" w:fill="FFFFFF"/>
        </w:rPr>
      </w:pPr>
    </w:p>
    <w:p w14:paraId="3A7BBC31" w14:textId="77777777" w:rsidR="00016DAA" w:rsidRPr="00611E72" w:rsidRDefault="00016DAA" w:rsidP="00016DAA">
      <w:pPr>
        <w:numPr>
          <w:ilvl w:val="0"/>
          <w:numId w:val="7"/>
        </w:numPr>
        <w:spacing w:before="120" w:line="276" w:lineRule="auto"/>
        <w:contextualSpacing/>
        <w:jc w:val="both"/>
        <w:rPr>
          <w:rFonts w:ascii="Verdana" w:eastAsia="Calibri" w:hAnsi="Verdana" w:cs="Arial"/>
          <w:color w:val="000000"/>
          <w:lang w:val="es-ES_tradnl"/>
        </w:rPr>
      </w:pPr>
      <w:r w:rsidRPr="00611E72">
        <w:rPr>
          <w:rFonts w:ascii="Verdana" w:eastAsia="Calibri" w:hAnsi="Verdana" w:cs="Arial"/>
          <w:shd w:val="clear" w:color="auto" w:fill="FFFFFF"/>
        </w:rPr>
        <w:t>De lo anterior, se aprecia que la referida norma, insertó un nuevo literal al numeral 4 del artículo 2 de la Ley 1150 de 2007 que enlista las causales que permiten a las Entidades Estatales seleccionar objetivamente al futuro contratista mediante el procedimiento de excepcional de contratación directa, lo que a su vez, autoriza la contratación estatal, para los eventos contemplados en dichas causales</w:t>
      </w:r>
      <w:r w:rsidRPr="00611E72">
        <w:rPr>
          <w:rFonts w:ascii="Verdana" w:eastAsia="Aptos" w:hAnsi="Verdana" w:cs="Arial"/>
          <w:color w:val="000000"/>
          <w:vertAlign w:val="superscript"/>
          <w:lang w:val="es-ES_tradnl"/>
        </w:rPr>
        <w:footnoteReference w:id="3"/>
      </w:r>
      <w:r w:rsidRPr="00611E72">
        <w:rPr>
          <w:rFonts w:ascii="Verdana" w:eastAsia="Aptos" w:hAnsi="Verdana" w:cs="Arial"/>
          <w:color w:val="000000"/>
          <w:lang w:val="es-ES_tradnl"/>
        </w:rPr>
        <w:t>,</w:t>
      </w:r>
      <w:r w:rsidRPr="00611E72">
        <w:rPr>
          <w:rFonts w:ascii="Verdana" w:eastAsia="Calibri" w:hAnsi="Verdana" w:cs="Arial"/>
          <w:shd w:val="clear" w:color="auto" w:fill="FFFFFF"/>
        </w:rPr>
        <w:t xml:space="preserve"> sin que medie convocatoria pública ni la obtención previa de varias ofertas, en los términos explicados en este concepto.</w:t>
      </w:r>
    </w:p>
    <w:p w14:paraId="37EF807D" w14:textId="77777777" w:rsidR="00016DAA" w:rsidRPr="00611E72" w:rsidRDefault="00016DAA" w:rsidP="00016DAA">
      <w:pPr>
        <w:spacing w:before="120" w:line="276" w:lineRule="auto"/>
        <w:ind w:left="720"/>
        <w:contextualSpacing/>
        <w:jc w:val="both"/>
        <w:rPr>
          <w:rFonts w:ascii="Verdana" w:eastAsia="Calibri" w:hAnsi="Verdana" w:cs="Arial"/>
          <w:color w:val="000000"/>
          <w:lang w:val="es-ES_tradnl"/>
        </w:rPr>
      </w:pPr>
    </w:p>
    <w:p w14:paraId="7A210955" w14:textId="77777777" w:rsidR="00016DAA" w:rsidRPr="00611E72" w:rsidRDefault="00016DAA" w:rsidP="00016DAA">
      <w:pPr>
        <w:numPr>
          <w:ilvl w:val="0"/>
          <w:numId w:val="7"/>
        </w:numPr>
        <w:spacing w:before="120" w:line="276" w:lineRule="auto"/>
        <w:contextualSpacing/>
        <w:jc w:val="both"/>
        <w:rPr>
          <w:rFonts w:ascii="Verdana" w:eastAsia="Calibri" w:hAnsi="Verdana" w:cs="Arial"/>
          <w:color w:val="000000"/>
          <w:lang w:val="es-ES"/>
        </w:rPr>
      </w:pPr>
      <w:r w:rsidRPr="037DBF47">
        <w:rPr>
          <w:rFonts w:ascii="Verdana" w:eastAsia="Calibri" w:hAnsi="Verdana" w:cs="Arial"/>
          <w:color w:val="000000" w:themeColor="text1"/>
          <w:lang w:val="es-ES"/>
        </w:rPr>
        <w:t>En ese sentido, la causal adicionada por el referido artículo 82, se circunscribe el objeto del contrato para el cual fue autorizada, toda vez que señala que dicha causal podrá utilizarse cuando las Entidades Estatales tengan la necesidad de acudir a expertos o asesores técnicos con la finalidad de presentar o contradecir un peritaje, que es una prueba técnica destinada a acreditar o comprobar hechos alegados por las partes o terceros en un proceso judicial. De esta forma, debe resaltarse que la referida causa de contratación directa, opera bajo ciertos supuestos de hecho previstos en las normas antes aludidas. Por lo que:</w:t>
      </w:r>
    </w:p>
    <w:p w14:paraId="606FFE7C" w14:textId="77777777" w:rsidR="00016DAA" w:rsidRPr="00611E72" w:rsidRDefault="00016DAA" w:rsidP="00016DAA">
      <w:pPr>
        <w:ind w:left="720"/>
        <w:contextualSpacing/>
        <w:rPr>
          <w:rFonts w:ascii="Verdana" w:eastAsia="Calibri" w:hAnsi="Verdana" w:cs="Arial"/>
          <w:color w:val="000000"/>
          <w:lang w:val="es-ES_tradnl"/>
        </w:rPr>
      </w:pPr>
    </w:p>
    <w:p w14:paraId="4382B795" w14:textId="77777777" w:rsidR="00016DAA" w:rsidRPr="00611E72" w:rsidRDefault="00016DAA" w:rsidP="00016DAA">
      <w:pPr>
        <w:numPr>
          <w:ilvl w:val="1"/>
          <w:numId w:val="7"/>
        </w:numPr>
        <w:spacing w:before="120" w:line="276" w:lineRule="auto"/>
        <w:ind w:left="1494"/>
        <w:contextualSpacing/>
        <w:jc w:val="both"/>
        <w:rPr>
          <w:rFonts w:ascii="Verdana" w:eastAsia="Calibri" w:hAnsi="Verdana" w:cs="Arial"/>
          <w:color w:val="000000"/>
          <w:lang w:val="es-ES"/>
        </w:rPr>
      </w:pPr>
      <w:r w:rsidRPr="037DBF47">
        <w:rPr>
          <w:rFonts w:ascii="Verdana" w:eastAsia="Calibri" w:hAnsi="Verdana" w:cs="Arial"/>
          <w:color w:val="000000" w:themeColor="text1"/>
          <w:lang w:val="es-ES"/>
        </w:rPr>
        <w:lastRenderedPageBreak/>
        <w:t>Es una causal de contratación que sólo puede ser utilizada por la Entidad Estatal en el marco de un proceso judicial, o cuando sea la entidad la que vaya a promover el inicio del proceso, pues la necesidad que justifica la contratación de un perito o un asesor técnico es la de hacer una prueba técnica, como lo es el dictamen pericial, para acreditar o soportar los hechos que servirán a la defensa de los intereses de la Entidad Estatal involucrados en una controversia judicial. En este sentido, el contrato se celebraría con la finalidad de presentar o contradecir el dictamen pericial en un proceso judicial.</w:t>
      </w:r>
    </w:p>
    <w:p w14:paraId="08C9B57C" w14:textId="77777777" w:rsidR="00016DAA" w:rsidRPr="00611E72" w:rsidRDefault="00016DAA" w:rsidP="00016DAA">
      <w:pPr>
        <w:spacing w:before="120" w:line="276" w:lineRule="auto"/>
        <w:ind w:left="1494"/>
        <w:contextualSpacing/>
        <w:jc w:val="both"/>
        <w:rPr>
          <w:rFonts w:ascii="Verdana" w:eastAsia="Calibri" w:hAnsi="Verdana" w:cs="Arial"/>
          <w:color w:val="000000"/>
          <w:lang w:val="es-ES_tradnl"/>
        </w:rPr>
      </w:pPr>
    </w:p>
    <w:p w14:paraId="3D440E2B" w14:textId="77777777" w:rsidR="00016DAA" w:rsidRPr="00611E72" w:rsidRDefault="00016DAA" w:rsidP="00016DAA">
      <w:pPr>
        <w:numPr>
          <w:ilvl w:val="1"/>
          <w:numId w:val="7"/>
        </w:numPr>
        <w:spacing w:before="120" w:line="276" w:lineRule="auto"/>
        <w:ind w:left="1494"/>
        <w:contextualSpacing/>
        <w:jc w:val="both"/>
        <w:rPr>
          <w:rFonts w:ascii="Verdana" w:eastAsia="Calibri" w:hAnsi="Verdana" w:cs="Arial"/>
          <w:color w:val="000000"/>
          <w:lang w:val="es-ES_tradnl"/>
        </w:rPr>
      </w:pPr>
      <w:r w:rsidRPr="00611E72">
        <w:rPr>
          <w:rFonts w:ascii="Verdana" w:eastAsia="Calibri" w:hAnsi="Verdana" w:cs="Arial"/>
          <w:color w:val="000000"/>
          <w:lang w:val="es-ES_tradnl"/>
        </w:rPr>
        <w:t>La contratación recaerá sobre los servicios de un experto, llámese perito o asesor técnico, persona que debe ser contratada con especial eficiencia y celeridad, de ahí que el legislador haya autorizado acudir a la contratación directa, toda vez que, éste deberá cumplir con el objeto del contrato, que se traduce en la realización de un peritaje o de una asesoría técnica, de manera idónea según su experiencia y experticia, dentro de las oportunidades probatorias correspondientes y respetando los términos procesales con los que cuentan las entidades estatales en el proceso judicial para ejercer válidamente los actos procesales del caso para aportar o contradecir pruebas, como lo son, por ejemplo, la presentación o la contestación de la demanda.</w:t>
      </w:r>
      <w:r w:rsidRPr="00611E72">
        <w:rPr>
          <w:rFonts w:ascii="Aptos" w:eastAsia="Aptos" w:hAnsi="Aptos" w:cs="Times New Roman"/>
        </w:rPr>
        <w:t xml:space="preserve"> </w:t>
      </w:r>
      <w:r w:rsidRPr="00611E72">
        <w:rPr>
          <w:rFonts w:ascii="Verdana" w:eastAsia="Calibri" w:hAnsi="Verdana" w:cs="Arial"/>
          <w:color w:val="000000"/>
          <w:lang w:val="es-ES_tradnl"/>
        </w:rPr>
        <w:t>ello, en relación con la contratación de peritos o asesores técnicos para presentar o contradecir una prueba en un proceso judicial, la Entidad Estatal deberá verificar la idoneidad o experiencia del futuro contratista.</w:t>
      </w:r>
    </w:p>
    <w:p w14:paraId="76E06355" w14:textId="77777777" w:rsidR="00016DAA" w:rsidRPr="00611E72" w:rsidRDefault="00016DAA" w:rsidP="00016DAA">
      <w:pPr>
        <w:ind w:left="720"/>
        <w:contextualSpacing/>
        <w:rPr>
          <w:rFonts w:ascii="Verdana" w:eastAsia="Calibri" w:hAnsi="Verdana" w:cs="Arial"/>
          <w:color w:val="000000"/>
          <w:lang w:val="es-ES_tradnl"/>
        </w:rPr>
      </w:pPr>
    </w:p>
    <w:bookmarkEnd w:id="3"/>
    <w:p w14:paraId="194F9A4F" w14:textId="77777777" w:rsidR="00016DAA" w:rsidRPr="00611E72" w:rsidRDefault="00016DAA" w:rsidP="00016DAA">
      <w:pPr>
        <w:numPr>
          <w:ilvl w:val="0"/>
          <w:numId w:val="10"/>
        </w:numPr>
        <w:spacing w:after="0" w:line="276" w:lineRule="auto"/>
        <w:contextualSpacing/>
        <w:jc w:val="both"/>
        <w:rPr>
          <w:rFonts w:ascii="Verdana" w:eastAsia="Aptos" w:hAnsi="Verdana" w:cs="Arial"/>
          <w:shd w:val="clear" w:color="auto" w:fill="FFFFFF"/>
        </w:rPr>
      </w:pPr>
      <w:r w:rsidRPr="00611E72">
        <w:rPr>
          <w:rFonts w:ascii="Verdana" w:eastAsia="Aptos" w:hAnsi="Verdana" w:cs="Arial"/>
          <w:shd w:val="clear" w:color="auto" w:fill="FFFFFF"/>
        </w:rPr>
        <w:t xml:space="preserve">Adicionalmente, debe aclararse que por expresa disposición legal, la contratación directa de peritos y asesores técnicos para la finalidad prevista en la causal del  literal k) del numeral 4° del artículo 2 de la Ley 1150 de 2007 comporta una excepción a la restricción de la contratación directa de las entidades estatales prevista en la Ley de Garantías Electorales –Ley 996 de 2005– por lo que una entidad estatal que requiera aportar o contradecir un dictamen pericial, dentro de un proceso judicial, podrá contratar directamente al perito o asesor técnico que requiera, aun en vigencia de la prohibición establecida en el artículo 33 de la Ley 996 de 2005, esto es, durante los cuatro (4) meses anteriores a las elecciones presidenciales y </w:t>
      </w:r>
      <w:r w:rsidRPr="00611E72">
        <w:rPr>
          <w:rFonts w:ascii="Verdana" w:eastAsia="Aptos" w:hAnsi="Verdana" w:cs="Arial"/>
          <w:shd w:val="clear" w:color="auto" w:fill="FFFFFF"/>
        </w:rPr>
        <w:lastRenderedPageBreak/>
        <w:t>hasta la fecha en la cual el presidente sea elegido. Esta excepción especial se establece claramente en el numeral 1 del artículo 222 de la Ley 1437 de 2011, de acuerdo con la modificación realizada por el artículo 58 de la Ley 2080 de 2021.</w:t>
      </w:r>
    </w:p>
    <w:p w14:paraId="1DDF87DE" w14:textId="77777777" w:rsidR="00016DAA" w:rsidRPr="00611E72" w:rsidRDefault="00016DAA" w:rsidP="00016DAA">
      <w:pPr>
        <w:spacing w:after="0" w:line="276" w:lineRule="auto"/>
        <w:ind w:left="360"/>
        <w:contextualSpacing/>
        <w:jc w:val="both"/>
        <w:rPr>
          <w:rFonts w:ascii="Verdana" w:eastAsia="Aptos" w:hAnsi="Verdana" w:cs="Arial"/>
          <w:shd w:val="clear" w:color="auto" w:fill="FFFFFF"/>
        </w:rPr>
      </w:pPr>
    </w:p>
    <w:p w14:paraId="236C07D9" w14:textId="77777777" w:rsidR="00016DAA" w:rsidRPr="00611E72" w:rsidRDefault="00016DAA" w:rsidP="00016DAA">
      <w:pPr>
        <w:numPr>
          <w:ilvl w:val="0"/>
          <w:numId w:val="10"/>
        </w:numPr>
        <w:spacing w:after="0" w:line="276" w:lineRule="auto"/>
        <w:contextualSpacing/>
        <w:jc w:val="both"/>
        <w:rPr>
          <w:rFonts w:ascii="Verdana" w:eastAsia="Aptos" w:hAnsi="Verdana" w:cs="Arial"/>
          <w:shd w:val="clear" w:color="auto" w:fill="FFFFFF"/>
        </w:rPr>
      </w:pPr>
      <w:r w:rsidRPr="00611E72">
        <w:rPr>
          <w:rFonts w:ascii="Verdana" w:eastAsia="Calibri" w:hAnsi="Verdana" w:cs="Arial"/>
          <w:color w:val="000000"/>
          <w:lang w:val="es-ES_tradnl"/>
        </w:rPr>
        <w:t>Finalmente, es preciso indicar que para hacer uso de esa causal de contratación directa, las Entidades Estatales deberán cumplir con la etapa de planeación precontractual, en los términos dispuestos en la Estatuto General de Contratación de la Administración Pública y sus normas reglamentarias, como se explicó previamente, así como el que antes de celebrar el contrato deberán expedir el acto administrativo de justificación de la contratación directa a que alude el artículo 2.2.1.2.1.4.1. del Decreto 1082 de 2015</w:t>
      </w:r>
      <w:r w:rsidRPr="00611E72">
        <w:rPr>
          <w:rFonts w:ascii="Verdana" w:eastAsia="Aptos" w:hAnsi="Verdana" w:cs="Arial"/>
          <w:color w:val="000000"/>
          <w:vertAlign w:val="superscript"/>
          <w:lang w:val="es-ES_tradnl"/>
        </w:rPr>
        <w:footnoteReference w:id="4"/>
      </w:r>
      <w:r w:rsidRPr="00611E72">
        <w:rPr>
          <w:rFonts w:ascii="Verdana" w:eastAsia="Calibri" w:hAnsi="Verdana" w:cs="Arial"/>
          <w:color w:val="000000"/>
          <w:lang w:val="es-ES_tradnl"/>
        </w:rPr>
        <w:t>, en el cual se justificará la necesidad de acudir a dicha modalidad de selección y demás contenidos exigidos en el artículo citado, incluyendo la fundamentación de las razones por las cuales el contrato a celebrar se enmarca en el literal k) adicionado por la Ley 2080 de 2021 al numeral 4° del artículo 2 de la ley 1150 de 2007. Lo anterior sin perjuicio de observar las demás exigencias desarrolladas en las consideraciones de este concepto, como, por ejemplo, la obligación de contar previamente con los respectivos estudios y documentos previos que fundamentan la contratación.</w:t>
      </w:r>
    </w:p>
    <w:p w14:paraId="0275CC27" w14:textId="77777777" w:rsidR="00016DAA" w:rsidRPr="00611E72" w:rsidRDefault="00016DAA" w:rsidP="00016DAA">
      <w:pPr>
        <w:spacing w:after="0" w:line="276" w:lineRule="auto"/>
        <w:ind w:left="720"/>
        <w:contextualSpacing/>
        <w:jc w:val="both"/>
        <w:rPr>
          <w:rFonts w:ascii="Verdana" w:eastAsia="Calibri" w:hAnsi="Verdana" w:cs="Arial"/>
          <w:lang w:val="es-ES"/>
        </w:rPr>
      </w:pPr>
    </w:p>
    <w:p w14:paraId="7C25B01B" w14:textId="77777777" w:rsidR="00016DAA" w:rsidRPr="00611E72" w:rsidRDefault="00016DAA" w:rsidP="00016DAA">
      <w:pPr>
        <w:widowControl w:val="0"/>
        <w:autoSpaceDE w:val="0"/>
        <w:autoSpaceDN w:val="0"/>
        <w:spacing w:before="1" w:after="0" w:line="240" w:lineRule="auto"/>
        <w:outlineLvl w:val="0"/>
        <w:rPr>
          <w:rFonts w:ascii="Verdana" w:eastAsia="Arial" w:hAnsi="Verdana" w:cs="Arial"/>
          <w:b/>
          <w:bCs/>
          <w:lang w:val="es-ES"/>
        </w:rPr>
      </w:pPr>
      <w:r w:rsidRPr="00611E72">
        <w:rPr>
          <w:rFonts w:ascii="Verdana" w:eastAsia="Arial" w:hAnsi="Verdana" w:cs="Arial"/>
          <w:b/>
          <w:bCs/>
          <w:lang w:val="es-ES"/>
        </w:rPr>
        <w:t>4.Referencias normativas, jurisprudenciales y otras fuentes:</w:t>
      </w:r>
    </w:p>
    <w:p w14:paraId="4CE20800" w14:textId="77777777" w:rsidR="00016DAA" w:rsidRPr="00611E72" w:rsidRDefault="00016DAA" w:rsidP="00016DAA">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016DAA" w:rsidRPr="00611E72" w14:paraId="5BD06987" w14:textId="77777777" w:rsidTr="00450DAF">
        <w:trPr>
          <w:trHeight w:val="870"/>
        </w:trPr>
        <w:tc>
          <w:tcPr>
            <w:tcW w:w="8647" w:type="dxa"/>
          </w:tcPr>
          <w:p w14:paraId="1659D313" w14:textId="77777777" w:rsidR="00016DAA" w:rsidRPr="00611E72" w:rsidRDefault="00016DAA" w:rsidP="00016DAA">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611E72">
              <w:rPr>
                <w:rFonts w:ascii="Verdana" w:eastAsia="Calibri" w:hAnsi="Verdana" w:cs="Arial"/>
                <w:lang w:val="es-ES"/>
              </w:rPr>
              <w:t>Ley 2080 de 2021. Artículo 82</w:t>
            </w:r>
          </w:p>
          <w:p w14:paraId="0F034909" w14:textId="77777777" w:rsidR="00016DAA" w:rsidRPr="00611E72" w:rsidRDefault="00016DAA" w:rsidP="00016DAA">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611E72">
              <w:rPr>
                <w:rFonts w:ascii="Verdana" w:eastAsia="Calibri" w:hAnsi="Verdana" w:cs="Arial"/>
                <w:lang w:val="es-ES"/>
              </w:rPr>
              <w:t>Ley 1150 de 2007. Artículo 2, numeral 4, literal k)</w:t>
            </w:r>
          </w:p>
          <w:p w14:paraId="0C159C8A" w14:textId="77777777" w:rsidR="00016DAA" w:rsidRPr="00611E72" w:rsidRDefault="00016DAA" w:rsidP="00016DAA">
            <w:pPr>
              <w:widowControl w:val="0"/>
              <w:numPr>
                <w:ilvl w:val="0"/>
                <w:numId w:val="2"/>
              </w:numPr>
              <w:autoSpaceDE w:val="0"/>
              <w:autoSpaceDN w:val="0"/>
              <w:spacing w:after="120" w:line="276" w:lineRule="auto"/>
              <w:contextualSpacing/>
              <w:jc w:val="both"/>
              <w:rPr>
                <w:rFonts w:ascii="Verdana" w:eastAsia="Calibri" w:hAnsi="Verdana" w:cs="Arial"/>
                <w:lang w:val="es-ES"/>
              </w:rPr>
            </w:pPr>
            <w:r w:rsidRPr="00611E72">
              <w:rPr>
                <w:rFonts w:ascii="Verdana" w:eastAsia="Calibri" w:hAnsi="Verdana" w:cs="Arial"/>
                <w:lang w:val="es-ES"/>
              </w:rPr>
              <w:t xml:space="preserve">Decreto 1082 de 2015. Artículo </w:t>
            </w:r>
            <w:r w:rsidRPr="00611E72">
              <w:rPr>
                <w:rFonts w:ascii="Verdana" w:eastAsia="Calibri" w:hAnsi="Verdana" w:cs="Arial"/>
                <w:color w:val="000000"/>
                <w:lang w:val="es-ES_tradnl"/>
              </w:rPr>
              <w:t xml:space="preserve">2.2.1.2.1.4.1 y </w:t>
            </w:r>
            <w:r w:rsidRPr="00611E72">
              <w:rPr>
                <w:rFonts w:ascii="Verdana" w:eastAsia="Aptos" w:hAnsi="Verdana" w:cs="Arial"/>
                <w:lang w:val="es-ES_tradnl" w:eastAsia="es-MX"/>
              </w:rPr>
              <w:t>2.2.1.1.1.6.1</w:t>
            </w:r>
          </w:p>
          <w:p w14:paraId="34230B70" w14:textId="77777777" w:rsidR="00016DAA" w:rsidRPr="00611E72" w:rsidRDefault="00016DAA" w:rsidP="00016DAA">
            <w:pPr>
              <w:widowControl w:val="0"/>
              <w:numPr>
                <w:ilvl w:val="0"/>
                <w:numId w:val="2"/>
              </w:numPr>
              <w:autoSpaceDE w:val="0"/>
              <w:autoSpaceDN w:val="0"/>
              <w:spacing w:line="276" w:lineRule="auto"/>
              <w:contextualSpacing/>
              <w:jc w:val="both"/>
              <w:rPr>
                <w:rFonts w:ascii="Verdana" w:eastAsia="Aptos" w:hAnsi="Verdana" w:cs="Arial"/>
              </w:rPr>
            </w:pPr>
            <w:r w:rsidRPr="00611E72">
              <w:rPr>
                <w:rFonts w:ascii="Verdana" w:eastAsia="Calibri" w:hAnsi="Verdana" w:cs="Arial"/>
                <w:lang w:val="es-ES"/>
              </w:rPr>
              <w:t xml:space="preserve">Guía para la Elaboración de los Estudios del Sector, disponible </w:t>
            </w:r>
            <w:hyperlink r:id="rId13" w:history="1">
              <w:r w:rsidRPr="00611E72">
                <w:rPr>
                  <w:rFonts w:ascii="Verdana" w:eastAsia="Calibri" w:hAnsi="Verdana" w:cs="Arial"/>
                  <w:color w:val="467886"/>
                  <w:u w:val="single"/>
                  <w:lang w:val="es-ES"/>
                </w:rPr>
                <w:t>aquí</w:t>
              </w:r>
            </w:hyperlink>
          </w:p>
          <w:p w14:paraId="3F7A8F18" w14:textId="77777777" w:rsidR="00016DAA" w:rsidRPr="00611E72" w:rsidRDefault="00016DAA" w:rsidP="00016DAA">
            <w:pPr>
              <w:widowControl w:val="0"/>
              <w:numPr>
                <w:ilvl w:val="0"/>
                <w:numId w:val="2"/>
              </w:numPr>
              <w:autoSpaceDE w:val="0"/>
              <w:autoSpaceDN w:val="0"/>
              <w:spacing w:line="276" w:lineRule="auto"/>
              <w:contextualSpacing/>
              <w:jc w:val="both"/>
              <w:rPr>
                <w:rFonts w:ascii="Verdana" w:eastAsia="Calibri" w:hAnsi="Verdana" w:cs="Arial"/>
                <w:lang w:val="es-ES"/>
              </w:rPr>
            </w:pPr>
            <w:r w:rsidRPr="00611E72">
              <w:rPr>
                <w:rFonts w:ascii="Verdana" w:eastAsia="Calibri" w:hAnsi="Verdana" w:cs="Arial"/>
                <w:lang w:val="es-ES"/>
              </w:rPr>
              <w:t xml:space="preserve">Corte Constitucional. Sentencia C-300 de 2012 M.P. Jorge Ignacio Pretel </w:t>
            </w:r>
            <w:proofErr w:type="spellStart"/>
            <w:r w:rsidRPr="00611E72">
              <w:rPr>
                <w:rFonts w:ascii="Verdana" w:eastAsia="Calibri" w:hAnsi="Verdana" w:cs="Arial"/>
                <w:lang w:val="es-ES"/>
              </w:rPr>
              <w:t>Chabljub</w:t>
            </w:r>
            <w:proofErr w:type="spellEnd"/>
          </w:p>
        </w:tc>
      </w:tr>
    </w:tbl>
    <w:p w14:paraId="656D49C4" w14:textId="77777777" w:rsidR="00016DAA" w:rsidRPr="00611E72" w:rsidRDefault="00016DAA" w:rsidP="00016DAA">
      <w:pPr>
        <w:widowControl w:val="0"/>
        <w:autoSpaceDE w:val="0"/>
        <w:autoSpaceDN w:val="0"/>
        <w:spacing w:after="0" w:line="276" w:lineRule="auto"/>
        <w:jc w:val="both"/>
        <w:rPr>
          <w:rFonts w:ascii="Verdana" w:eastAsia="Aptos" w:hAnsi="Verdana" w:cs="Arial"/>
        </w:rPr>
      </w:pPr>
    </w:p>
    <w:p w14:paraId="2CB3C95C" w14:textId="77777777" w:rsidR="00016DAA" w:rsidRPr="00611E72" w:rsidRDefault="00016DAA" w:rsidP="00016DAA">
      <w:pPr>
        <w:widowControl w:val="0"/>
        <w:autoSpaceDE w:val="0"/>
        <w:autoSpaceDN w:val="0"/>
        <w:spacing w:before="1" w:after="0" w:line="240" w:lineRule="auto"/>
        <w:outlineLvl w:val="0"/>
        <w:rPr>
          <w:rFonts w:ascii="Verdana" w:eastAsia="Arial" w:hAnsi="Verdana" w:cs="Arial"/>
          <w:b/>
          <w:bCs/>
          <w:lang w:val="es-ES"/>
        </w:rPr>
      </w:pPr>
      <w:r w:rsidRPr="00611E72">
        <w:rPr>
          <w:rFonts w:ascii="Verdana" w:eastAsia="Arial" w:hAnsi="Verdana" w:cs="Arial"/>
          <w:b/>
          <w:bCs/>
          <w:lang w:val="es-ES"/>
        </w:rPr>
        <w:lastRenderedPageBreak/>
        <w:t>5. Doctrina de la Agencia Nacional de Contratación Pública:</w:t>
      </w:r>
    </w:p>
    <w:p w14:paraId="08408A25" w14:textId="77777777" w:rsidR="00016DAA" w:rsidRPr="00611E72" w:rsidRDefault="00016DAA" w:rsidP="00016DAA">
      <w:pPr>
        <w:widowControl w:val="0"/>
        <w:autoSpaceDE w:val="0"/>
        <w:autoSpaceDN w:val="0"/>
        <w:spacing w:after="0" w:line="276" w:lineRule="auto"/>
        <w:jc w:val="both"/>
        <w:rPr>
          <w:rFonts w:ascii="Verdana" w:eastAsia="Aptos" w:hAnsi="Verdana" w:cs="Arial"/>
        </w:rPr>
      </w:pPr>
    </w:p>
    <w:p w14:paraId="2F005801" w14:textId="77777777" w:rsidR="00016DAA" w:rsidRPr="00611E72" w:rsidRDefault="00016DAA" w:rsidP="00016DAA">
      <w:pPr>
        <w:widowControl w:val="0"/>
        <w:autoSpaceDE w:val="0"/>
        <w:autoSpaceDN w:val="0"/>
        <w:spacing w:after="0" w:line="276" w:lineRule="auto"/>
        <w:jc w:val="both"/>
        <w:rPr>
          <w:rFonts w:ascii="Verdana" w:eastAsia="Aptos" w:hAnsi="Verdana" w:cs="Arial"/>
          <w:shd w:val="clear" w:color="auto" w:fill="FFFFFF"/>
          <w:lang w:val="es-ES"/>
        </w:rPr>
      </w:pPr>
      <w:r w:rsidRPr="00611E72">
        <w:rPr>
          <w:rFonts w:ascii="Verdana" w:eastAsia="Aptos" w:hAnsi="Verdana" w:cs="Arial"/>
          <w:shd w:val="clear" w:color="auto" w:fill="FFFFFF"/>
          <w:lang w:val="es-ES"/>
        </w:rPr>
        <w:t>Sobre la modalidad de selección de contratación directa, esta Subdirección se ha referido en los Conceptos</w:t>
      </w:r>
      <w:r w:rsidRPr="00611E72">
        <w:rPr>
          <w:rFonts w:ascii="Verdana" w:eastAsia="Calibri" w:hAnsi="Verdana" w:cs="Arial"/>
          <w:lang w:val="es-ES_tradnl" w:eastAsia="es-MX"/>
        </w:rPr>
        <w:t xml:space="preserve"> C-223 del 29 de abril de 2020, C-443 del 7 de julio de 2020, C-701 de 7 de diciembre de 2020, C-726 de 14 de diciembre de 2020, C-150 del 9 de abril de 2021, C-418 del 15 de agosto de 2021, C-339 del 18 de septiembre de 2024, C-450 del 17 de septiembre de 2024, C-440 del 18 de septiembre de 2024, C-443 del 18 de septiembre de 20204, C-459 del 18 de septiembre de 2024, C-455 del 18 de septiembre de 2024</w:t>
      </w:r>
      <w:r w:rsidRPr="00611E72">
        <w:rPr>
          <w:rFonts w:ascii="Verdana" w:eastAsia="Aptos" w:hAnsi="Verdana" w:cs="Arial"/>
          <w:shd w:val="clear" w:color="auto" w:fill="FFFFFF"/>
          <w:lang w:val="es-ES"/>
        </w:rPr>
        <w:t xml:space="preserve">, C- 456 del 19 de septiembre de 2024, C-518 del 30 de septiembre de 2024,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611E72">
          <w:rPr>
            <w:rFonts w:ascii="Verdana" w:eastAsia="Aptos" w:hAnsi="Verdana" w:cs="Arial"/>
            <w:color w:val="467886"/>
            <w:u w:val="single"/>
            <w:shd w:val="clear" w:color="auto" w:fill="FFFFFF"/>
            <w:lang w:val="es-ES"/>
          </w:rPr>
          <w:t>https://relatoria.colombiacompra.gov.co/</w:t>
        </w:r>
      </w:hyperlink>
      <w:r w:rsidRPr="00611E72">
        <w:rPr>
          <w:rFonts w:ascii="Verdana" w:eastAsia="Aptos" w:hAnsi="Verdana" w:cs="Arial"/>
          <w:shd w:val="clear" w:color="auto" w:fill="FFFFFF"/>
          <w:lang w:val="es-ES"/>
        </w:rPr>
        <w:t xml:space="preserve">. </w:t>
      </w:r>
    </w:p>
    <w:p w14:paraId="3B3CD86F" w14:textId="77777777" w:rsidR="00016DAA" w:rsidRPr="00611E72" w:rsidRDefault="00016DAA" w:rsidP="00016DAA">
      <w:pPr>
        <w:widowControl w:val="0"/>
        <w:autoSpaceDE w:val="0"/>
        <w:autoSpaceDN w:val="0"/>
        <w:spacing w:after="0" w:line="276" w:lineRule="auto"/>
        <w:jc w:val="both"/>
        <w:rPr>
          <w:rFonts w:ascii="Verdana" w:eastAsia="Aptos" w:hAnsi="Verdana" w:cs="Arial"/>
          <w:shd w:val="clear" w:color="auto" w:fill="FFFFFF"/>
          <w:lang w:val="es-ES"/>
        </w:rPr>
      </w:pPr>
    </w:p>
    <w:p w14:paraId="2847EB66" w14:textId="77777777" w:rsidR="00016DAA" w:rsidRPr="00611E72" w:rsidRDefault="00016DAA" w:rsidP="00016DAA">
      <w:pPr>
        <w:widowControl w:val="0"/>
        <w:autoSpaceDE w:val="0"/>
        <w:autoSpaceDN w:val="0"/>
        <w:spacing w:after="0" w:line="276" w:lineRule="auto"/>
        <w:jc w:val="both"/>
        <w:rPr>
          <w:rFonts w:ascii="Verdana" w:eastAsia="Aptos" w:hAnsi="Verdana" w:cs="Arial"/>
          <w:shd w:val="clear" w:color="auto" w:fill="FFFFFF"/>
          <w:lang w:val="es-ES"/>
        </w:rPr>
      </w:pPr>
      <w:r w:rsidRPr="00611E72">
        <w:rPr>
          <w:rFonts w:ascii="Verdana" w:eastAsia="Aptos"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5" w:tgtFrame="_blank" w:tooltip="Dirección URL original: https://www.colombiacompra.gov.co/sala-de-prensa/boletin-digital/boletin-de-relatoria-2024-iv. Haga clic o pulse si confía en este vínculo." w:history="1">
        <w:r w:rsidRPr="00611E72">
          <w:rPr>
            <w:rFonts w:ascii="Verdana" w:eastAsia="Aptos" w:hAnsi="Verdana" w:cs="Arial"/>
            <w:color w:val="467886"/>
            <w:u w:val="single"/>
            <w:shd w:val="clear" w:color="auto" w:fill="FFFFFF"/>
          </w:rPr>
          <w:t>BOLETÍN DE RELATORÍA 2024 – IV | Colombia Compra Eficiente | Agencia Nacional de Contratación Pública</w:t>
        </w:r>
      </w:hyperlink>
    </w:p>
    <w:p w14:paraId="6A1E700F" w14:textId="77777777" w:rsidR="00016DAA" w:rsidRPr="00611E72" w:rsidRDefault="00016DAA" w:rsidP="00016DAA">
      <w:pPr>
        <w:widowControl w:val="0"/>
        <w:autoSpaceDE w:val="0"/>
        <w:autoSpaceDN w:val="0"/>
        <w:spacing w:after="0" w:line="276" w:lineRule="auto"/>
        <w:jc w:val="both"/>
        <w:rPr>
          <w:rFonts w:ascii="Verdana" w:eastAsia="Aptos" w:hAnsi="Verdana" w:cs="Arial"/>
          <w:shd w:val="clear" w:color="auto" w:fill="FFFFFF"/>
          <w:lang w:val="es-ES"/>
        </w:rPr>
      </w:pPr>
    </w:p>
    <w:p w14:paraId="2CBDDEA5" w14:textId="77777777" w:rsidR="00016DAA" w:rsidRPr="00611E72" w:rsidRDefault="00016DAA" w:rsidP="00016DAA">
      <w:pPr>
        <w:spacing w:after="0" w:line="240" w:lineRule="auto"/>
        <w:jc w:val="both"/>
        <w:rPr>
          <w:rFonts w:ascii="Verdana" w:eastAsia="Aptos" w:hAnsi="Verdana" w:cs="Times New Roman"/>
        </w:rPr>
      </w:pPr>
      <w:r w:rsidRPr="00611E72">
        <w:rPr>
          <w:rFonts w:ascii="Verdana" w:eastAsia="Aptos" w:hAnsi="Verdana" w:cs="Times New Roman"/>
        </w:rPr>
        <w:t xml:space="preserve">Por último, lo invitamos a seguirnos en las redes sociales en las cuales se difunde información institucional: </w:t>
      </w:r>
    </w:p>
    <w:p w14:paraId="0B1328B3" w14:textId="77777777" w:rsidR="00016DAA" w:rsidRPr="00611E72" w:rsidRDefault="00016DAA" w:rsidP="00016DAA">
      <w:pPr>
        <w:spacing w:after="0" w:line="240" w:lineRule="auto"/>
        <w:jc w:val="both"/>
        <w:rPr>
          <w:rFonts w:ascii="Verdana" w:eastAsia="Aptos" w:hAnsi="Verdana" w:cs="Times New Roman"/>
        </w:rPr>
      </w:pPr>
    </w:p>
    <w:p w14:paraId="790D1CD0" w14:textId="77777777" w:rsidR="00016DAA" w:rsidRPr="00611E72" w:rsidRDefault="00016DAA" w:rsidP="00016DAA">
      <w:pPr>
        <w:spacing w:after="0" w:line="240" w:lineRule="auto"/>
        <w:jc w:val="both"/>
        <w:rPr>
          <w:rFonts w:ascii="Verdana" w:eastAsia="Aptos" w:hAnsi="Verdana" w:cs="Times New Roman"/>
        </w:rPr>
      </w:pPr>
      <w:r w:rsidRPr="00611E72">
        <w:rPr>
          <w:rFonts w:ascii="Verdana" w:eastAsia="Aptos" w:hAnsi="Verdana" w:cs="Times New Roman"/>
        </w:rPr>
        <w:t xml:space="preserve">Twitter: </w:t>
      </w:r>
      <w:r w:rsidRPr="00611E72">
        <w:rPr>
          <w:rFonts w:ascii="Verdana" w:eastAsia="Aptos" w:hAnsi="Verdana" w:cs="Arial"/>
          <w:color w:val="467886"/>
          <w:u w:val="single"/>
          <w:shd w:val="clear" w:color="auto" w:fill="FFFFFF"/>
          <w:lang w:val="es-ES"/>
        </w:rPr>
        <w:t>@colombiacompra</w:t>
      </w:r>
      <w:r w:rsidRPr="00611E72">
        <w:rPr>
          <w:rFonts w:ascii="Verdana" w:eastAsia="Aptos" w:hAnsi="Verdana" w:cs="Times New Roman"/>
          <w:color w:val="156082"/>
        </w:rPr>
        <w:t xml:space="preserve"> </w:t>
      </w:r>
    </w:p>
    <w:p w14:paraId="071743D6" w14:textId="77777777" w:rsidR="00016DAA" w:rsidRPr="00611E72" w:rsidRDefault="00016DAA" w:rsidP="00016DAA">
      <w:pPr>
        <w:spacing w:after="0" w:line="240" w:lineRule="auto"/>
        <w:jc w:val="both"/>
        <w:rPr>
          <w:rFonts w:ascii="Verdana" w:eastAsia="Aptos" w:hAnsi="Verdana" w:cs="Times New Roman"/>
        </w:rPr>
      </w:pPr>
      <w:r w:rsidRPr="00611E72">
        <w:rPr>
          <w:rFonts w:ascii="Verdana" w:eastAsia="Aptos" w:hAnsi="Verdana" w:cs="Times New Roman"/>
        </w:rPr>
        <w:t xml:space="preserve">Facebook: </w:t>
      </w:r>
      <w:proofErr w:type="spellStart"/>
      <w:r w:rsidRPr="00611E72">
        <w:rPr>
          <w:rFonts w:ascii="Verdana" w:eastAsia="Aptos" w:hAnsi="Verdana" w:cs="Arial"/>
          <w:color w:val="467886"/>
          <w:u w:val="single"/>
          <w:shd w:val="clear" w:color="auto" w:fill="FFFFFF"/>
          <w:lang w:val="es-ES"/>
        </w:rPr>
        <w:t>ColombiaCompraEficiente</w:t>
      </w:r>
      <w:proofErr w:type="spellEnd"/>
    </w:p>
    <w:p w14:paraId="22922E5A" w14:textId="77777777" w:rsidR="00016DAA" w:rsidRPr="00611E72" w:rsidRDefault="00016DAA" w:rsidP="00016DAA">
      <w:pPr>
        <w:spacing w:after="0" w:line="240" w:lineRule="auto"/>
        <w:jc w:val="both"/>
        <w:rPr>
          <w:rFonts w:ascii="Verdana" w:eastAsia="Aptos" w:hAnsi="Verdana" w:cs="Times New Roman"/>
        </w:rPr>
      </w:pPr>
      <w:r w:rsidRPr="00611E72">
        <w:rPr>
          <w:rFonts w:ascii="Verdana" w:eastAsia="Aptos" w:hAnsi="Verdana" w:cs="Times New Roman"/>
        </w:rPr>
        <w:t xml:space="preserve">LinkedIn: </w:t>
      </w:r>
      <w:r w:rsidRPr="00611E72">
        <w:rPr>
          <w:rFonts w:ascii="Verdana" w:eastAsia="Aptos" w:hAnsi="Verdana" w:cs="Arial"/>
          <w:color w:val="467886"/>
          <w:u w:val="single"/>
          <w:shd w:val="clear" w:color="auto" w:fill="FFFFFF"/>
          <w:lang w:val="es-ES"/>
        </w:rPr>
        <w:t>Agencia Nacional de Contratación Pública - Colombia Compra Eficiente</w:t>
      </w:r>
      <w:r w:rsidRPr="00611E72">
        <w:rPr>
          <w:rFonts w:ascii="Verdana" w:eastAsia="Aptos" w:hAnsi="Verdana" w:cs="Times New Roman"/>
          <w:color w:val="156082"/>
        </w:rPr>
        <w:t xml:space="preserve"> </w:t>
      </w:r>
      <w:r w:rsidRPr="00611E72">
        <w:rPr>
          <w:rFonts w:ascii="Verdana" w:eastAsia="Aptos" w:hAnsi="Verdana" w:cs="Times New Roman"/>
        </w:rPr>
        <w:t xml:space="preserve">Instagram: </w:t>
      </w:r>
      <w:r w:rsidRPr="00611E72">
        <w:rPr>
          <w:rFonts w:ascii="Verdana" w:eastAsia="Aptos" w:hAnsi="Verdana" w:cs="Arial"/>
          <w:color w:val="467886"/>
          <w:u w:val="single"/>
          <w:shd w:val="clear" w:color="auto" w:fill="FFFFFF"/>
          <w:lang w:val="es-ES"/>
        </w:rPr>
        <w:t>@colombiacompraeficiente_cce</w:t>
      </w:r>
    </w:p>
    <w:p w14:paraId="5D0902B8" w14:textId="77777777" w:rsidR="00016DAA" w:rsidRPr="00611E72" w:rsidRDefault="00016DAA" w:rsidP="00016DAA">
      <w:pPr>
        <w:widowControl w:val="0"/>
        <w:autoSpaceDE w:val="0"/>
        <w:autoSpaceDN w:val="0"/>
        <w:spacing w:after="0" w:line="276" w:lineRule="auto"/>
        <w:jc w:val="both"/>
        <w:rPr>
          <w:rFonts w:ascii="Verdana" w:eastAsia="Aptos" w:hAnsi="Verdana" w:cs="Arial"/>
        </w:rPr>
      </w:pPr>
    </w:p>
    <w:p w14:paraId="3DBA2662" w14:textId="77777777" w:rsidR="00016DAA" w:rsidRPr="00611E72" w:rsidRDefault="00016DAA" w:rsidP="00016DAA">
      <w:pPr>
        <w:widowControl w:val="0"/>
        <w:autoSpaceDE w:val="0"/>
        <w:autoSpaceDN w:val="0"/>
        <w:spacing w:after="0" w:line="276" w:lineRule="auto"/>
        <w:jc w:val="both"/>
        <w:rPr>
          <w:rFonts w:ascii="Verdana" w:eastAsia="Aptos" w:hAnsi="Verdana" w:cs="Arial"/>
          <w:lang w:val="es-ES_tradnl"/>
        </w:rPr>
      </w:pPr>
      <w:r w:rsidRPr="00611E72">
        <w:rPr>
          <w:rFonts w:ascii="Verdana" w:eastAsia="Aptos" w:hAnsi="Verdana" w:cs="Arial"/>
        </w:rPr>
        <w:t xml:space="preserve">Este concepto tiene el alcance previsto en el artículo 28 del Código de Procedimiento Administrativo y de lo Contencioso Administrativo </w:t>
      </w:r>
      <w:r w:rsidRPr="00611E72">
        <w:rPr>
          <w:rFonts w:ascii="Verdana" w:eastAsia="Aptos" w:hAnsi="Verdana" w:cs="Arial"/>
          <w:lang w:val="es-ES_tradnl"/>
        </w:rPr>
        <w:t>y las expresiones aquí utilizadas con mayúscula inicial deben ser entendidas con el significado que les otorga el artículo 2.2.1.1.1.3.1. del Decreto 1082 de 2015.</w:t>
      </w:r>
    </w:p>
    <w:p w14:paraId="295F59C4" w14:textId="77777777" w:rsidR="00016DAA" w:rsidRPr="00611E72" w:rsidRDefault="00016DAA" w:rsidP="00016DAA">
      <w:pPr>
        <w:widowControl w:val="0"/>
        <w:autoSpaceDE w:val="0"/>
        <w:autoSpaceDN w:val="0"/>
        <w:spacing w:after="0" w:line="276" w:lineRule="auto"/>
        <w:jc w:val="both"/>
        <w:rPr>
          <w:rFonts w:ascii="Verdana" w:eastAsia="Aptos" w:hAnsi="Verdana" w:cs="Arial"/>
        </w:rPr>
      </w:pPr>
    </w:p>
    <w:p w14:paraId="4A0377B7" w14:textId="77777777" w:rsidR="00016DAA" w:rsidRPr="00611E72" w:rsidRDefault="00016DAA" w:rsidP="00016DAA">
      <w:pPr>
        <w:spacing w:after="0" w:line="240" w:lineRule="auto"/>
        <w:rPr>
          <w:rFonts w:ascii="Verdana" w:eastAsia="Aptos" w:hAnsi="Verdana" w:cs="Arial"/>
          <w:lang w:eastAsia="es-CO"/>
        </w:rPr>
      </w:pPr>
      <w:r w:rsidRPr="00611E72">
        <w:rPr>
          <w:rFonts w:ascii="Verdana" w:eastAsia="Times New Roman" w:hAnsi="Verdana" w:cs="Arial"/>
          <w:lang w:eastAsia="es-CO"/>
        </w:rPr>
        <w:t>Atentamente,</w:t>
      </w:r>
      <w:r w:rsidRPr="00611E72">
        <w:rPr>
          <w:rFonts w:ascii="Verdana" w:eastAsia="Aptos" w:hAnsi="Verdana" w:cs="Arial"/>
          <w:lang w:eastAsia="es-CO"/>
        </w:rPr>
        <w:t xml:space="preserve"> </w:t>
      </w:r>
    </w:p>
    <w:p w14:paraId="02147436" w14:textId="5C0E5AF2" w:rsidR="00016DAA" w:rsidRPr="00611E72" w:rsidRDefault="0010506E" w:rsidP="00016DAA">
      <w:pPr>
        <w:spacing w:line="276" w:lineRule="auto"/>
        <w:jc w:val="center"/>
        <w:rPr>
          <w:rFonts w:ascii="Verdana" w:eastAsia="Aptos" w:hAnsi="Verdana" w:cs="Arial"/>
          <w:lang w:val="es-ES_tradnl" w:eastAsia="es-CO"/>
        </w:rPr>
      </w:pPr>
      <w:r w:rsidRPr="0010506E">
        <w:rPr>
          <w:rFonts w:ascii="Verdana" w:eastAsia="Aptos" w:hAnsi="Verdana" w:cs="Arial"/>
          <w:noProof/>
          <w:lang w:eastAsia="es-CO"/>
        </w:rPr>
        <w:lastRenderedPageBreak/>
        <w:drawing>
          <wp:inline distT="0" distB="0" distL="0" distR="0" wp14:anchorId="682C9D9C" wp14:editId="7E039BD7">
            <wp:extent cx="3771900" cy="1400175"/>
            <wp:effectExtent l="0" t="0" r="0" b="9525"/>
            <wp:docPr id="1243701933"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10506E">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016DAA" w:rsidRPr="00611E72" w14:paraId="11D91F5E" w14:textId="77777777" w:rsidTr="00450DAF">
        <w:trPr>
          <w:trHeight w:val="286"/>
        </w:trPr>
        <w:tc>
          <w:tcPr>
            <w:tcW w:w="901" w:type="dxa"/>
            <w:vAlign w:val="center"/>
            <w:hideMark/>
          </w:tcPr>
          <w:p w14:paraId="65BAEF17"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4F733D64"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Nasly Yeana Mosquera Rivas</w:t>
            </w:r>
          </w:p>
          <w:p w14:paraId="130715B9"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Analista T2–06 de la Subdirección de Gestión Contractual</w:t>
            </w:r>
          </w:p>
        </w:tc>
      </w:tr>
      <w:tr w:rsidR="00016DAA" w:rsidRPr="00611E72" w14:paraId="18B06EA8" w14:textId="77777777" w:rsidTr="00450DAF">
        <w:trPr>
          <w:trHeight w:val="299"/>
        </w:trPr>
        <w:tc>
          <w:tcPr>
            <w:tcW w:w="901" w:type="dxa"/>
            <w:vAlign w:val="center"/>
          </w:tcPr>
          <w:p w14:paraId="519525B9"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61D51C79"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Ximeno Ríos López</w:t>
            </w:r>
          </w:p>
          <w:p w14:paraId="47B227DF"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Gestor T1 - 11 de la Subdirección de Gestión Contractual</w:t>
            </w:r>
          </w:p>
        </w:tc>
      </w:tr>
      <w:tr w:rsidR="00016DAA" w:rsidRPr="00611E72" w14:paraId="3392DFC6" w14:textId="77777777" w:rsidTr="00450DAF">
        <w:trPr>
          <w:trHeight w:val="272"/>
        </w:trPr>
        <w:tc>
          <w:tcPr>
            <w:tcW w:w="901" w:type="dxa"/>
            <w:vAlign w:val="center"/>
            <w:hideMark/>
          </w:tcPr>
          <w:p w14:paraId="4391D1F0"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4C2FB2C9"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Carolina Quintero Gacharná</w:t>
            </w:r>
          </w:p>
          <w:p w14:paraId="5CEAB79D" w14:textId="77777777" w:rsidR="00016DAA" w:rsidRPr="00611E72" w:rsidRDefault="00016DAA" w:rsidP="00450DAF">
            <w:pPr>
              <w:rPr>
                <w:rFonts w:ascii="Verdana" w:eastAsia="Aptos" w:hAnsi="Verdana" w:cs="Arial"/>
                <w:sz w:val="14"/>
                <w:szCs w:val="14"/>
                <w:lang w:eastAsia="es-ES"/>
              </w:rPr>
            </w:pPr>
            <w:r w:rsidRPr="00611E72">
              <w:rPr>
                <w:rFonts w:ascii="Verdana" w:eastAsia="Aptos" w:hAnsi="Verdana" w:cs="Arial"/>
                <w:sz w:val="14"/>
                <w:szCs w:val="14"/>
                <w:lang w:eastAsia="es-ES"/>
              </w:rPr>
              <w:t>Subdirectora de Gestión Contractual ANCP – CCE</w:t>
            </w:r>
          </w:p>
        </w:tc>
      </w:tr>
    </w:tbl>
    <w:p w14:paraId="249F6B53" w14:textId="77777777" w:rsidR="00016DAA" w:rsidRPr="00611E72" w:rsidRDefault="00016DAA" w:rsidP="00016DAA">
      <w:pPr>
        <w:spacing w:after="0" w:line="240" w:lineRule="auto"/>
        <w:rPr>
          <w:rFonts w:ascii="Verdana" w:eastAsia="Times New Roman" w:hAnsi="Verdana" w:cs="Arial"/>
          <w:sz w:val="24"/>
          <w:szCs w:val="24"/>
          <w:lang w:eastAsia="es-ES"/>
        </w:rPr>
      </w:pPr>
    </w:p>
    <w:p w14:paraId="12E51211" w14:textId="77777777" w:rsidR="00016DAA" w:rsidRPr="00611E72" w:rsidRDefault="00016DAA" w:rsidP="00016DAA">
      <w:pPr>
        <w:rPr>
          <w:rFonts w:ascii="Verdana" w:eastAsia="Aptos" w:hAnsi="Verdana" w:cs="Times New Roman"/>
        </w:rPr>
      </w:pPr>
    </w:p>
    <w:p w14:paraId="78F2D184" w14:textId="77777777" w:rsidR="00016DAA" w:rsidRPr="00611E72" w:rsidRDefault="00016DAA" w:rsidP="00016DAA">
      <w:pPr>
        <w:rPr>
          <w:rFonts w:ascii="Verdana" w:eastAsia="Aptos" w:hAnsi="Verdana" w:cs="Times New Roman"/>
        </w:rPr>
      </w:pPr>
    </w:p>
    <w:p w14:paraId="165CAFC3" w14:textId="77777777" w:rsidR="00016DAA" w:rsidRPr="00611E72" w:rsidRDefault="00016DAA" w:rsidP="00016DAA"/>
    <w:p w14:paraId="7CCF9A96" w14:textId="77777777" w:rsidR="00016DAA" w:rsidRDefault="00016DAA" w:rsidP="00016DAA"/>
    <w:p w14:paraId="436A6906" w14:textId="77777777" w:rsidR="00016DAA" w:rsidRDefault="00016DAA" w:rsidP="00016DAA">
      <w:r>
        <w:t>.</w:t>
      </w:r>
    </w:p>
    <w:p w14:paraId="15142F1C" w14:textId="58D8F7C3" w:rsidR="00987692" w:rsidRPr="00016DAA" w:rsidRDefault="00987692" w:rsidP="00016DAA"/>
    <w:sectPr w:rsidR="00987692" w:rsidRPr="00016DAA" w:rsidSect="00987692">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C189" w14:textId="77777777" w:rsidR="004A7C74" w:rsidRDefault="004A7C74" w:rsidP="00987692">
      <w:pPr>
        <w:spacing w:after="0" w:line="240" w:lineRule="auto"/>
      </w:pPr>
      <w:r>
        <w:separator/>
      </w:r>
    </w:p>
  </w:endnote>
  <w:endnote w:type="continuationSeparator" w:id="0">
    <w:p w14:paraId="313EF426" w14:textId="77777777" w:rsidR="004A7C74" w:rsidRDefault="004A7C74" w:rsidP="00987692">
      <w:pPr>
        <w:spacing w:after="0" w:line="240" w:lineRule="auto"/>
      </w:pPr>
      <w:r>
        <w:continuationSeparator/>
      </w:r>
    </w:p>
  </w:endnote>
  <w:endnote w:type="continuationNotice" w:id="1">
    <w:p w14:paraId="6291390D" w14:textId="77777777" w:rsidR="004A7C74" w:rsidRDefault="004A7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0E8D" w14:textId="77777777" w:rsidR="00987692" w:rsidRDefault="00987692">
    <w:pPr>
      <w:pStyle w:val="Piedepgina"/>
    </w:pPr>
  </w:p>
  <w:p w14:paraId="494603A6" w14:textId="77777777" w:rsidR="00987692" w:rsidRPr="00174B77" w:rsidRDefault="00987692"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C49A2">
      <w:rPr>
        <w:rFonts w:ascii="Verdana" w:eastAsia="Times New Roman" w:hAnsi="Verdana" w:cs="Times New Roman"/>
        <w:b/>
        <w:bCs/>
        <w:sz w:val="16"/>
        <w:szCs w:val="16"/>
        <w:lang w:val="es-ES"/>
      </w:rPr>
      <w:t xml:space="preserve">pág. </w:t>
    </w:r>
    <w:r w:rsidRPr="00FC49A2">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C49A2">
      <w:rPr>
        <w:rFonts w:ascii="Verdana" w:eastAsia="Times New Roman" w:hAnsi="Verdana"/>
        <w:b/>
        <w:bCs/>
        <w:sz w:val="16"/>
        <w:szCs w:val="16"/>
      </w:rPr>
      <w:fldChar w:fldCharType="separate"/>
    </w:r>
    <w:r w:rsidRPr="00FC49A2">
      <w:rPr>
        <w:rFonts w:ascii="Verdana" w:eastAsia="Times New Roman" w:hAnsi="Verdana"/>
        <w:b/>
        <w:bCs/>
        <w:sz w:val="16"/>
        <w:szCs w:val="16"/>
      </w:rPr>
      <w:t>1</w:t>
    </w:r>
    <w:r w:rsidRPr="00FC49A2">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E06DBA3" w14:textId="77777777" w:rsidR="00987692" w:rsidRDefault="00987692"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824B803" w14:textId="77777777" w:rsidR="00987692" w:rsidRPr="00E41027" w:rsidRDefault="00987692" w:rsidP="00D520D8">
    <w:pPr>
      <w:spacing w:after="0"/>
      <w:jc w:val="both"/>
      <w:rPr>
        <w:rFonts w:ascii="Verdana" w:hAnsi="Verdana"/>
        <w:sz w:val="18"/>
        <w:szCs w:val="18"/>
      </w:rPr>
    </w:pPr>
    <w:r w:rsidRPr="00E41027">
      <w:rPr>
        <w:rFonts w:ascii="Verdana" w:hAnsi="Verdana"/>
        <w:sz w:val="18"/>
        <w:szCs w:val="18"/>
      </w:rPr>
      <w:t>Mesa de servicio: (+57) 601 7456788</w:t>
    </w:r>
  </w:p>
  <w:p w14:paraId="03B3FC9F" w14:textId="77777777" w:rsidR="00987692" w:rsidRDefault="00987692"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3E565" w14:textId="77777777" w:rsidR="004A7C74" w:rsidRDefault="004A7C74" w:rsidP="00987692">
      <w:pPr>
        <w:spacing w:after="0" w:line="240" w:lineRule="auto"/>
      </w:pPr>
      <w:r>
        <w:separator/>
      </w:r>
    </w:p>
  </w:footnote>
  <w:footnote w:type="continuationSeparator" w:id="0">
    <w:p w14:paraId="3AB30FB3" w14:textId="77777777" w:rsidR="004A7C74" w:rsidRDefault="004A7C74" w:rsidP="00987692">
      <w:pPr>
        <w:spacing w:after="0" w:line="240" w:lineRule="auto"/>
      </w:pPr>
      <w:r>
        <w:continuationSeparator/>
      </w:r>
    </w:p>
  </w:footnote>
  <w:footnote w:type="continuationNotice" w:id="1">
    <w:p w14:paraId="55C39994" w14:textId="77777777" w:rsidR="004A7C74" w:rsidRDefault="004A7C74">
      <w:pPr>
        <w:spacing w:after="0" w:line="240" w:lineRule="auto"/>
      </w:pPr>
    </w:p>
  </w:footnote>
  <w:footnote w:id="2">
    <w:p w14:paraId="75D3E4EB" w14:textId="77777777" w:rsidR="00016DAA" w:rsidRPr="00377CD2" w:rsidRDefault="00016DAA" w:rsidP="00016DAA">
      <w:pPr>
        <w:pStyle w:val="Textoindependiente"/>
        <w:spacing w:after="0"/>
        <w:ind w:left="100" w:right="105" w:firstLine="707"/>
        <w:jc w:val="both"/>
        <w:rPr>
          <w:rFonts w:ascii="Verdana" w:hAnsi="Verdana" w:cs="Arial"/>
          <w:sz w:val="16"/>
          <w:szCs w:val="16"/>
        </w:rPr>
      </w:pPr>
      <w:r w:rsidRPr="00377CD2">
        <w:rPr>
          <w:rStyle w:val="Refdenotaalpie"/>
          <w:rFonts w:ascii="Verdana" w:hAnsi="Verdana" w:cs="Arial"/>
          <w:sz w:val="16"/>
          <w:szCs w:val="16"/>
        </w:rPr>
        <w:footnoteRef/>
      </w:r>
      <w:r w:rsidRPr="00377CD2">
        <w:rPr>
          <w:rFonts w:ascii="Verdana" w:hAnsi="Verdana" w:cs="Arial"/>
          <w:sz w:val="16"/>
          <w:szCs w:val="16"/>
        </w:rPr>
        <w:t xml:space="preserve"> La Corte Constitucional, en Sentencia C-300 de 2012 M.P. Jorge Ignacio Pretel Chabljub, consideró al respecto: </w:t>
      </w:r>
      <w:r>
        <w:rPr>
          <w:rFonts w:ascii="Verdana" w:hAnsi="Verdana" w:cs="Arial"/>
          <w:sz w:val="16"/>
          <w:szCs w:val="16"/>
        </w:rPr>
        <w:t>“</w:t>
      </w:r>
      <w:r w:rsidRPr="00377CD2">
        <w:rPr>
          <w:rFonts w:ascii="Verdana" w:hAnsi="Verdana" w:cs="Arial"/>
          <w:sz w:val="16"/>
          <w:szCs w:val="16"/>
        </w:rPr>
        <w:t>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5D021157" w14:textId="77777777" w:rsidR="00016DAA" w:rsidRPr="00377CD2" w:rsidRDefault="00016DAA" w:rsidP="00016DAA">
      <w:pPr>
        <w:pStyle w:val="Textoindependiente"/>
        <w:spacing w:after="0"/>
        <w:ind w:left="100" w:right="103" w:firstLine="608"/>
        <w:jc w:val="both"/>
        <w:rPr>
          <w:rFonts w:ascii="Verdana" w:hAnsi="Verdana" w:cs="Arial"/>
          <w:sz w:val="16"/>
          <w:szCs w:val="16"/>
        </w:rPr>
      </w:pPr>
      <w:r w:rsidRPr="00377CD2">
        <w:rPr>
          <w:rFonts w:ascii="Verdana" w:hAnsi="Verdana" w:cs="Arial"/>
          <w:sz w:val="16"/>
          <w:szCs w:val="16"/>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33602E1E" w14:textId="77777777" w:rsidR="00016DAA" w:rsidRPr="00377CD2" w:rsidRDefault="00016DAA" w:rsidP="00016DAA">
      <w:pPr>
        <w:pStyle w:val="Textoindependiente"/>
        <w:spacing w:after="0"/>
        <w:ind w:left="100" w:right="103" w:firstLine="608"/>
        <w:jc w:val="both"/>
        <w:rPr>
          <w:rFonts w:ascii="Verdana" w:hAnsi="Verdana" w:cs="Arial"/>
          <w:sz w:val="16"/>
          <w:szCs w:val="16"/>
        </w:rPr>
      </w:pPr>
      <w:r w:rsidRPr="00377CD2">
        <w:rPr>
          <w:rFonts w:ascii="Verdana" w:hAnsi="Verdana" w:cs="Arial"/>
          <w:sz w:val="16"/>
          <w:szCs w:val="16"/>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r>
        <w:rPr>
          <w:rFonts w:ascii="Verdana" w:hAnsi="Verdana" w:cs="Arial"/>
          <w:sz w:val="16"/>
          <w:szCs w:val="16"/>
        </w:rPr>
        <w:t>”</w:t>
      </w:r>
      <w:r w:rsidRPr="00377CD2">
        <w:rPr>
          <w:rFonts w:ascii="Verdana" w:hAnsi="Verdana" w:cs="Arial"/>
          <w:sz w:val="16"/>
          <w:szCs w:val="16"/>
        </w:rPr>
        <w:t>.</w:t>
      </w:r>
    </w:p>
    <w:p w14:paraId="0BD603E0" w14:textId="77777777" w:rsidR="00016DAA" w:rsidRPr="00377CD2" w:rsidRDefault="00016DAA" w:rsidP="00016DAA">
      <w:pPr>
        <w:pStyle w:val="Textoindependiente"/>
        <w:spacing w:after="0"/>
        <w:ind w:left="100" w:right="105"/>
        <w:jc w:val="both"/>
        <w:rPr>
          <w:rFonts w:ascii="Verdana" w:hAnsi="Verdana" w:cs="Arial"/>
          <w:sz w:val="16"/>
          <w:szCs w:val="16"/>
        </w:rPr>
      </w:pPr>
    </w:p>
    <w:p w14:paraId="2C5F6D16" w14:textId="77777777" w:rsidR="00016DAA" w:rsidRPr="00377CD2" w:rsidRDefault="00016DAA" w:rsidP="00016DAA">
      <w:pPr>
        <w:pStyle w:val="Textonotapie"/>
        <w:jc w:val="both"/>
        <w:rPr>
          <w:rFonts w:ascii="Verdana" w:hAnsi="Verdana" w:cs="Arial"/>
          <w:sz w:val="16"/>
          <w:szCs w:val="16"/>
        </w:rPr>
      </w:pPr>
    </w:p>
  </w:footnote>
  <w:footnote w:id="3">
    <w:p w14:paraId="63E8AE1F"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377CD2">
        <w:rPr>
          <w:rStyle w:val="Refdenotaalpie"/>
          <w:rFonts w:ascii="Verdana" w:hAnsi="Verdana" w:cs="Arial"/>
          <w:sz w:val="16"/>
          <w:szCs w:val="16"/>
        </w:rPr>
        <w:footnoteRef/>
      </w:r>
      <w:r w:rsidRPr="00377CD2">
        <w:rPr>
          <w:rFonts w:ascii="Verdana" w:hAnsi="Verdana" w:cs="Arial"/>
          <w:sz w:val="16"/>
          <w:szCs w:val="16"/>
        </w:rPr>
        <w:t xml:space="preserve"> Ley 1150 de 2007</w:t>
      </w:r>
      <w:r w:rsidRPr="00611E72">
        <w:rPr>
          <w:rFonts w:ascii="Verdana" w:hAnsi="Verdana" w:cs="Arial"/>
          <w:color w:val="000000"/>
          <w:sz w:val="16"/>
          <w:szCs w:val="16"/>
          <w:lang w:val="es-ES"/>
        </w:rPr>
        <w:t>: “Artículo 2o. De las modalidades de selección. La escogencia del contratista se efectuará con arreglo a las modalidades de selección de licitación pública, selección abreviada, concurso de méritos y contratación directa, con base en las siguientes reglas:</w:t>
      </w:r>
    </w:p>
    <w:p w14:paraId="706CBFE3"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w:t>
      </w:r>
    </w:p>
    <w:p w14:paraId="170A657F"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4. Contratación directa. La modalidad de selección de contratación directa, solamente procederá en los siguientes casos:</w:t>
      </w:r>
    </w:p>
    <w:p w14:paraId="04E480B2"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a) Urgencia manifiesta;</w:t>
      </w:r>
    </w:p>
    <w:p w14:paraId="4D29F20C"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b) Contratación de empréstitos;</w:t>
      </w:r>
    </w:p>
    <w:p w14:paraId="5D3797D7"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c) &lt;Inciso 1o. modificado por el artículo 92 de la Ley 1474 de 2011. El nuevo texto es el siguiente:&gt; Contratos interadministrativos, siempre que las obligaciones derivadas del mismo tengan relación directa con el objeto de la entidad ejecutora señalado en la ley o en sus reglamentos.</w:t>
      </w:r>
    </w:p>
    <w:p w14:paraId="38C8F902"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w:t>
      </w:r>
    </w:p>
    <w:p w14:paraId="11059CC5"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d) La contratación de bienes y servicios en el sector Defensa y en el Departamento Administrativo de Seguridad-DAS, que necesiten reserva para su adquisición;</w:t>
      </w:r>
    </w:p>
    <w:p w14:paraId="1F5BD948"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e) Los contratos para el desarrollo de actividades científicas y tecnológicas;</w:t>
      </w:r>
    </w:p>
    <w:p w14:paraId="21AB5CF9"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f) Los contratos de encargo fiduciario que celebren las entidades territoriales cuando inician el Acuerdo de Reestructuración de Pasivos a que se refieren las Leyes 550 de 1999, 617 de 2000 y las normas que las modifiquen o adicionen, siempre y cuando los celebren con entidades financieras del sector público;</w:t>
      </w:r>
    </w:p>
    <w:p w14:paraId="461A90AD"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g) Cuando no exista pluralidad de oferentes en el mercado;</w:t>
      </w:r>
    </w:p>
    <w:p w14:paraId="042D1CFC"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h) Para la prestación de servicios profesionales y de apoyo a la gestión, o para la ejecución de trabajos artísticos que sólo puedan encomendarse a determinadas personas naturales;</w:t>
      </w:r>
    </w:p>
    <w:p w14:paraId="51BDA4BF"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i) El arrendamiento o adquisición de inmuebles.</w:t>
      </w:r>
    </w:p>
    <w:p w14:paraId="73660BE0"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j) &lt;Literal adicionado por el artículo 125 de la Ley 1753 de 2015. El nuevo texto es el siguiente:&gt; La contratación de bienes y servicios de la Dirección Nacional de Inteligencia (DNI), que requieran reserva para su adquisición.</w:t>
      </w:r>
    </w:p>
    <w:p w14:paraId="2CE27E12"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k) &lt;Literal adicionado por el artículo 82 de la Ley 2080 de 2021. El nuevo texto es el siguiente:&gt; La selección de peritos expertos o asesores técnicos para presentar o contradecir el dictamen pericial en procesos judiciales”.</w:t>
      </w:r>
    </w:p>
  </w:footnote>
  <w:footnote w:id="4">
    <w:p w14:paraId="080B4F62"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Style w:val="Refdenotaalpie"/>
          <w:rFonts w:ascii="Verdana" w:hAnsi="Verdana" w:cs="Arial"/>
          <w:color w:val="000000"/>
          <w:sz w:val="16"/>
          <w:szCs w:val="16"/>
        </w:rPr>
        <w:footnoteRef/>
      </w:r>
      <w:r w:rsidRPr="00611E72">
        <w:rPr>
          <w:rFonts w:ascii="Verdana" w:hAnsi="Verdana" w:cs="Arial"/>
          <w:color w:val="000000"/>
          <w:sz w:val="16"/>
          <w:szCs w:val="16"/>
        </w:rPr>
        <w:t xml:space="preserve"> </w:t>
      </w:r>
      <w:r w:rsidRPr="00611E72">
        <w:rPr>
          <w:rFonts w:ascii="Verdana" w:hAnsi="Verdana" w:cs="Arial"/>
          <w:color w:val="000000"/>
          <w:sz w:val="16"/>
          <w:szCs w:val="16"/>
          <w:lang w:val="es-ES"/>
        </w:rPr>
        <w:t>Así lo prevé el artículo 2.2.1.2.1.4.1. del Decreto 1082 de 2015: “La Entidad Estatal debe señalar en un acto administrativo la justificación para contratar bajo la modalidad de contratación directa, el cual debe contener:</w:t>
      </w:r>
    </w:p>
    <w:p w14:paraId="34F12A16"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1. La causal que invoca para contratar directamente.</w:t>
      </w:r>
    </w:p>
    <w:p w14:paraId="22E84C69"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2. El objeto del contrato.</w:t>
      </w:r>
    </w:p>
    <w:p w14:paraId="44C81762"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3. El presupuesto para la contratación y las condiciones que exigirá al contratista.</w:t>
      </w:r>
    </w:p>
    <w:p w14:paraId="4B35F021"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4. El lugar en el cual los interesados pueden consultar los estudios y documentos previos.</w:t>
      </w:r>
    </w:p>
    <w:p w14:paraId="6F4A008C" w14:textId="77777777" w:rsidR="00016DAA" w:rsidRPr="00611E72" w:rsidRDefault="00016DAA" w:rsidP="00016DAA">
      <w:pPr>
        <w:pStyle w:val="Textonotapie"/>
        <w:ind w:firstLine="709"/>
        <w:jc w:val="both"/>
        <w:rPr>
          <w:rFonts w:ascii="Verdana" w:hAnsi="Verdana" w:cs="Arial"/>
          <w:color w:val="000000"/>
          <w:sz w:val="16"/>
          <w:szCs w:val="16"/>
          <w:lang w:val="es-ES"/>
        </w:rPr>
      </w:pPr>
      <w:r w:rsidRPr="00611E72">
        <w:rPr>
          <w:rFonts w:ascii="Verdana" w:hAnsi="Verdana" w:cs="Arial"/>
          <w:color w:val="000000"/>
          <w:sz w:val="16"/>
          <w:szCs w:val="16"/>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0503DD8B" w14:textId="77777777" w:rsidR="00016DAA" w:rsidRPr="00611E72" w:rsidRDefault="00016DAA" w:rsidP="00016DAA">
      <w:pPr>
        <w:pStyle w:val="Textonotapie"/>
        <w:ind w:firstLine="709"/>
        <w:jc w:val="both"/>
        <w:rPr>
          <w:rFonts w:ascii="Verdana" w:hAnsi="Verdana" w:cs="Arial"/>
          <w:color w:val="000000"/>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64A6D" w14:textId="77777777" w:rsidR="00987692" w:rsidRDefault="00987692">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3120B891" wp14:editId="4F555729">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17FD9A7C" wp14:editId="771C51A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2320599" w14:textId="77777777" w:rsidR="00987692" w:rsidRDefault="00987692">
    <w:pPr>
      <w:pStyle w:val="Encabezado"/>
    </w:pPr>
  </w:p>
  <w:p w14:paraId="340D9BCB" w14:textId="77777777" w:rsidR="00987692" w:rsidRDefault="00987692" w:rsidP="004A305D">
    <w:pPr>
      <w:spacing w:after="0"/>
      <w:rPr>
        <w:rFonts w:ascii="Verdana" w:hAnsi="Verdana"/>
        <w:b/>
        <w:bCs/>
      </w:rPr>
    </w:pPr>
  </w:p>
  <w:p w14:paraId="091E9317" w14:textId="77777777" w:rsidR="00987692" w:rsidRPr="004A305D" w:rsidRDefault="00987692" w:rsidP="00B01B1A">
    <w:pPr>
      <w:spacing w:after="0" w:line="120" w:lineRule="auto"/>
      <w:rPr>
        <w:rFonts w:ascii="Century Gothic" w:eastAsia="Geo" w:hAnsi="Century Gothic" w:cs="Geo"/>
        <w:sz w:val="16"/>
        <w:szCs w:val="16"/>
        <w:lang w:eastAsia="es-CO"/>
      </w:rPr>
    </w:pPr>
  </w:p>
  <w:p w14:paraId="74FD92BF" w14:textId="77777777" w:rsidR="00987692" w:rsidRDefault="00987692"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1FA7E93"/>
    <w:multiLevelType w:val="hybridMultilevel"/>
    <w:tmpl w:val="287EB0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E405FFE"/>
    <w:multiLevelType w:val="hybridMultilevel"/>
    <w:tmpl w:val="CD40A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2135D5B"/>
    <w:multiLevelType w:val="hybridMultilevel"/>
    <w:tmpl w:val="9982A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3B856AF"/>
    <w:multiLevelType w:val="hybridMultilevel"/>
    <w:tmpl w:val="894EE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BB352F"/>
    <w:multiLevelType w:val="hybridMultilevel"/>
    <w:tmpl w:val="A9409576"/>
    <w:lvl w:ilvl="0" w:tplc="193455C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7FDB4625"/>
    <w:multiLevelType w:val="hybridMultilevel"/>
    <w:tmpl w:val="52448AC0"/>
    <w:lvl w:ilvl="0" w:tplc="5594766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6"/>
  </w:num>
  <w:num w:numId="5">
    <w:abstractNumId w:val="4"/>
  </w:num>
  <w:num w:numId="6">
    <w:abstractNumId w:val="8"/>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92"/>
    <w:rsid w:val="00001A8E"/>
    <w:rsid w:val="000020E1"/>
    <w:rsid w:val="00004AC7"/>
    <w:rsid w:val="000059DA"/>
    <w:rsid w:val="00006075"/>
    <w:rsid w:val="000066BA"/>
    <w:rsid w:val="000066E4"/>
    <w:rsid w:val="000067E2"/>
    <w:rsid w:val="00006A78"/>
    <w:rsid w:val="00007ADC"/>
    <w:rsid w:val="00007BED"/>
    <w:rsid w:val="00013D9B"/>
    <w:rsid w:val="00015133"/>
    <w:rsid w:val="00016DAA"/>
    <w:rsid w:val="000242AF"/>
    <w:rsid w:val="000255B0"/>
    <w:rsid w:val="00025F79"/>
    <w:rsid w:val="00025FF8"/>
    <w:rsid w:val="0002623F"/>
    <w:rsid w:val="00032FBC"/>
    <w:rsid w:val="000348AD"/>
    <w:rsid w:val="00035786"/>
    <w:rsid w:val="00035A16"/>
    <w:rsid w:val="00036852"/>
    <w:rsid w:val="000370FD"/>
    <w:rsid w:val="00040F9B"/>
    <w:rsid w:val="00041857"/>
    <w:rsid w:val="00044404"/>
    <w:rsid w:val="00044AA2"/>
    <w:rsid w:val="000477B9"/>
    <w:rsid w:val="00055827"/>
    <w:rsid w:val="00060A29"/>
    <w:rsid w:val="00061BF9"/>
    <w:rsid w:val="00066B12"/>
    <w:rsid w:val="00072C12"/>
    <w:rsid w:val="000745D2"/>
    <w:rsid w:val="00074F67"/>
    <w:rsid w:val="000829A1"/>
    <w:rsid w:val="00082E73"/>
    <w:rsid w:val="000864B1"/>
    <w:rsid w:val="00090B2D"/>
    <w:rsid w:val="00090F25"/>
    <w:rsid w:val="00092737"/>
    <w:rsid w:val="0009320F"/>
    <w:rsid w:val="0009452F"/>
    <w:rsid w:val="00095DF5"/>
    <w:rsid w:val="0009617A"/>
    <w:rsid w:val="000A13C9"/>
    <w:rsid w:val="000A2927"/>
    <w:rsid w:val="000A3117"/>
    <w:rsid w:val="000A5A75"/>
    <w:rsid w:val="000B0712"/>
    <w:rsid w:val="000B25C0"/>
    <w:rsid w:val="000B76B6"/>
    <w:rsid w:val="000C5E67"/>
    <w:rsid w:val="000C6B19"/>
    <w:rsid w:val="000D03EB"/>
    <w:rsid w:val="000E0C09"/>
    <w:rsid w:val="000E2A98"/>
    <w:rsid w:val="000E3395"/>
    <w:rsid w:val="000E70A0"/>
    <w:rsid w:val="000F26F7"/>
    <w:rsid w:val="000F4F11"/>
    <w:rsid w:val="000F6E17"/>
    <w:rsid w:val="001026E4"/>
    <w:rsid w:val="00103835"/>
    <w:rsid w:val="0010506E"/>
    <w:rsid w:val="001168FA"/>
    <w:rsid w:val="00116DBD"/>
    <w:rsid w:val="00116FB9"/>
    <w:rsid w:val="0012151D"/>
    <w:rsid w:val="00126F5C"/>
    <w:rsid w:val="001322AB"/>
    <w:rsid w:val="001400D4"/>
    <w:rsid w:val="001404CC"/>
    <w:rsid w:val="00146FE2"/>
    <w:rsid w:val="0014776D"/>
    <w:rsid w:val="00152463"/>
    <w:rsid w:val="00157752"/>
    <w:rsid w:val="00165378"/>
    <w:rsid w:val="001706F5"/>
    <w:rsid w:val="001753F4"/>
    <w:rsid w:val="001756A4"/>
    <w:rsid w:val="00175B7E"/>
    <w:rsid w:val="001823DB"/>
    <w:rsid w:val="00183125"/>
    <w:rsid w:val="00183529"/>
    <w:rsid w:val="0018477A"/>
    <w:rsid w:val="00185109"/>
    <w:rsid w:val="0018656F"/>
    <w:rsid w:val="00190E5E"/>
    <w:rsid w:val="00191EC0"/>
    <w:rsid w:val="001A0F69"/>
    <w:rsid w:val="001A5A81"/>
    <w:rsid w:val="001A6D9B"/>
    <w:rsid w:val="001C0D78"/>
    <w:rsid w:val="001C3628"/>
    <w:rsid w:val="001C5276"/>
    <w:rsid w:val="001C6A5D"/>
    <w:rsid w:val="001D407D"/>
    <w:rsid w:val="001D4516"/>
    <w:rsid w:val="001D632C"/>
    <w:rsid w:val="001E139B"/>
    <w:rsid w:val="001E158E"/>
    <w:rsid w:val="001E331C"/>
    <w:rsid w:val="001E6920"/>
    <w:rsid w:val="001E6C08"/>
    <w:rsid w:val="001E74AD"/>
    <w:rsid w:val="001F077E"/>
    <w:rsid w:val="001F0B3D"/>
    <w:rsid w:val="001F3675"/>
    <w:rsid w:val="001F5341"/>
    <w:rsid w:val="001F54B3"/>
    <w:rsid w:val="001F5888"/>
    <w:rsid w:val="001F5F99"/>
    <w:rsid w:val="001F75D8"/>
    <w:rsid w:val="002019CB"/>
    <w:rsid w:val="00203A83"/>
    <w:rsid w:val="00204ECD"/>
    <w:rsid w:val="0020631F"/>
    <w:rsid w:val="002100CB"/>
    <w:rsid w:val="0021113E"/>
    <w:rsid w:val="00212090"/>
    <w:rsid w:val="00212D6D"/>
    <w:rsid w:val="00215D68"/>
    <w:rsid w:val="00220A91"/>
    <w:rsid w:val="00220BB0"/>
    <w:rsid w:val="0022730D"/>
    <w:rsid w:val="00227E0E"/>
    <w:rsid w:val="00232DAA"/>
    <w:rsid w:val="0023550B"/>
    <w:rsid w:val="00236468"/>
    <w:rsid w:val="002367B0"/>
    <w:rsid w:val="00236B6A"/>
    <w:rsid w:val="00236E76"/>
    <w:rsid w:val="002423C6"/>
    <w:rsid w:val="00242C3F"/>
    <w:rsid w:val="00244E01"/>
    <w:rsid w:val="002477CD"/>
    <w:rsid w:val="002507CA"/>
    <w:rsid w:val="00251007"/>
    <w:rsid w:val="0025281B"/>
    <w:rsid w:val="00255A21"/>
    <w:rsid w:val="0025747F"/>
    <w:rsid w:val="00262B64"/>
    <w:rsid w:val="002662F2"/>
    <w:rsid w:val="002700D3"/>
    <w:rsid w:val="00270A27"/>
    <w:rsid w:val="002722A4"/>
    <w:rsid w:val="0027389B"/>
    <w:rsid w:val="00275D2C"/>
    <w:rsid w:val="00281225"/>
    <w:rsid w:val="00281AC2"/>
    <w:rsid w:val="00282F08"/>
    <w:rsid w:val="002871CF"/>
    <w:rsid w:val="002933EA"/>
    <w:rsid w:val="00295D5B"/>
    <w:rsid w:val="00297768"/>
    <w:rsid w:val="00297784"/>
    <w:rsid w:val="002A0FD1"/>
    <w:rsid w:val="002A3CDC"/>
    <w:rsid w:val="002A5D6D"/>
    <w:rsid w:val="002A73EB"/>
    <w:rsid w:val="002B4506"/>
    <w:rsid w:val="002B7889"/>
    <w:rsid w:val="002C082D"/>
    <w:rsid w:val="002C37DB"/>
    <w:rsid w:val="002C3D82"/>
    <w:rsid w:val="002C4941"/>
    <w:rsid w:val="002C5B36"/>
    <w:rsid w:val="002C6B5D"/>
    <w:rsid w:val="002D155F"/>
    <w:rsid w:val="002D2BD8"/>
    <w:rsid w:val="002D3C64"/>
    <w:rsid w:val="002D41E4"/>
    <w:rsid w:val="002D6CBA"/>
    <w:rsid w:val="002E110E"/>
    <w:rsid w:val="002F3827"/>
    <w:rsid w:val="002F4E88"/>
    <w:rsid w:val="002F5188"/>
    <w:rsid w:val="002F6E79"/>
    <w:rsid w:val="002F7C7D"/>
    <w:rsid w:val="003021C4"/>
    <w:rsid w:val="003023C9"/>
    <w:rsid w:val="00303E36"/>
    <w:rsid w:val="00304273"/>
    <w:rsid w:val="00307D4F"/>
    <w:rsid w:val="00310CD3"/>
    <w:rsid w:val="003174A2"/>
    <w:rsid w:val="003204A3"/>
    <w:rsid w:val="00323F9E"/>
    <w:rsid w:val="00332D14"/>
    <w:rsid w:val="003332DA"/>
    <w:rsid w:val="0033745C"/>
    <w:rsid w:val="00340173"/>
    <w:rsid w:val="00340D10"/>
    <w:rsid w:val="0034121F"/>
    <w:rsid w:val="00341391"/>
    <w:rsid w:val="003439D7"/>
    <w:rsid w:val="00343F4E"/>
    <w:rsid w:val="003441CD"/>
    <w:rsid w:val="003449C0"/>
    <w:rsid w:val="003461BF"/>
    <w:rsid w:val="00346AE8"/>
    <w:rsid w:val="00350F3F"/>
    <w:rsid w:val="0035586F"/>
    <w:rsid w:val="003571F0"/>
    <w:rsid w:val="00364FAC"/>
    <w:rsid w:val="00365AAF"/>
    <w:rsid w:val="00367E53"/>
    <w:rsid w:val="00367FFD"/>
    <w:rsid w:val="00370D54"/>
    <w:rsid w:val="003714A2"/>
    <w:rsid w:val="0037328B"/>
    <w:rsid w:val="0038045A"/>
    <w:rsid w:val="00380A29"/>
    <w:rsid w:val="00384AD8"/>
    <w:rsid w:val="0038523E"/>
    <w:rsid w:val="003867DD"/>
    <w:rsid w:val="003877C5"/>
    <w:rsid w:val="00390913"/>
    <w:rsid w:val="00392DFB"/>
    <w:rsid w:val="003938CC"/>
    <w:rsid w:val="00393B04"/>
    <w:rsid w:val="00396A8B"/>
    <w:rsid w:val="00396C4A"/>
    <w:rsid w:val="003978B1"/>
    <w:rsid w:val="003A220A"/>
    <w:rsid w:val="003A49A4"/>
    <w:rsid w:val="003A7051"/>
    <w:rsid w:val="003A7597"/>
    <w:rsid w:val="003A7DA3"/>
    <w:rsid w:val="003B3F3B"/>
    <w:rsid w:val="003B5AAC"/>
    <w:rsid w:val="003B7123"/>
    <w:rsid w:val="003C0C68"/>
    <w:rsid w:val="003C1CE5"/>
    <w:rsid w:val="003C1DD1"/>
    <w:rsid w:val="003D2A47"/>
    <w:rsid w:val="003D2D74"/>
    <w:rsid w:val="003D5170"/>
    <w:rsid w:val="003E1B1E"/>
    <w:rsid w:val="003E3352"/>
    <w:rsid w:val="003E4D71"/>
    <w:rsid w:val="003E5745"/>
    <w:rsid w:val="003F08B3"/>
    <w:rsid w:val="003F2190"/>
    <w:rsid w:val="003F4CFF"/>
    <w:rsid w:val="003F58D7"/>
    <w:rsid w:val="003F5999"/>
    <w:rsid w:val="004019DB"/>
    <w:rsid w:val="00407B19"/>
    <w:rsid w:val="00410067"/>
    <w:rsid w:val="00411713"/>
    <w:rsid w:val="00415BFD"/>
    <w:rsid w:val="0041609D"/>
    <w:rsid w:val="0041745C"/>
    <w:rsid w:val="00420C0C"/>
    <w:rsid w:val="004234E1"/>
    <w:rsid w:val="004239FB"/>
    <w:rsid w:val="00425659"/>
    <w:rsid w:val="00435ABC"/>
    <w:rsid w:val="00436AB3"/>
    <w:rsid w:val="00443DA4"/>
    <w:rsid w:val="00444893"/>
    <w:rsid w:val="00444955"/>
    <w:rsid w:val="00445189"/>
    <w:rsid w:val="00447620"/>
    <w:rsid w:val="0045015F"/>
    <w:rsid w:val="004509FB"/>
    <w:rsid w:val="00451323"/>
    <w:rsid w:val="004554C4"/>
    <w:rsid w:val="00457B19"/>
    <w:rsid w:val="00461BC5"/>
    <w:rsid w:val="00462BBA"/>
    <w:rsid w:val="00463377"/>
    <w:rsid w:val="004640E3"/>
    <w:rsid w:val="00464569"/>
    <w:rsid w:val="004670E7"/>
    <w:rsid w:val="0046764A"/>
    <w:rsid w:val="0047490F"/>
    <w:rsid w:val="004767D2"/>
    <w:rsid w:val="004770DE"/>
    <w:rsid w:val="0047714B"/>
    <w:rsid w:val="004812A2"/>
    <w:rsid w:val="00482EF1"/>
    <w:rsid w:val="0049065C"/>
    <w:rsid w:val="0049129F"/>
    <w:rsid w:val="00491C6C"/>
    <w:rsid w:val="00492051"/>
    <w:rsid w:val="00493C25"/>
    <w:rsid w:val="0049612B"/>
    <w:rsid w:val="0049662D"/>
    <w:rsid w:val="004A0C22"/>
    <w:rsid w:val="004A2BF5"/>
    <w:rsid w:val="004A39D2"/>
    <w:rsid w:val="004A4328"/>
    <w:rsid w:val="004A7C74"/>
    <w:rsid w:val="004B078C"/>
    <w:rsid w:val="004B2BEC"/>
    <w:rsid w:val="004B580D"/>
    <w:rsid w:val="004B58D6"/>
    <w:rsid w:val="004C0A97"/>
    <w:rsid w:val="004C2A9E"/>
    <w:rsid w:val="004D01E3"/>
    <w:rsid w:val="004D0B12"/>
    <w:rsid w:val="004D3B80"/>
    <w:rsid w:val="004D67A8"/>
    <w:rsid w:val="004F0141"/>
    <w:rsid w:val="004F3B81"/>
    <w:rsid w:val="004F5017"/>
    <w:rsid w:val="005005A3"/>
    <w:rsid w:val="0050260E"/>
    <w:rsid w:val="00503E6D"/>
    <w:rsid w:val="005070A3"/>
    <w:rsid w:val="00507B66"/>
    <w:rsid w:val="0051494A"/>
    <w:rsid w:val="00515289"/>
    <w:rsid w:val="00515C8B"/>
    <w:rsid w:val="005171B2"/>
    <w:rsid w:val="00520A1F"/>
    <w:rsid w:val="005259CF"/>
    <w:rsid w:val="00526185"/>
    <w:rsid w:val="00530469"/>
    <w:rsid w:val="00533B49"/>
    <w:rsid w:val="00534951"/>
    <w:rsid w:val="005354F0"/>
    <w:rsid w:val="00535D1E"/>
    <w:rsid w:val="005412B2"/>
    <w:rsid w:val="005426E2"/>
    <w:rsid w:val="005438C1"/>
    <w:rsid w:val="00544D12"/>
    <w:rsid w:val="005452FA"/>
    <w:rsid w:val="00545F09"/>
    <w:rsid w:val="00546308"/>
    <w:rsid w:val="0054650D"/>
    <w:rsid w:val="00547439"/>
    <w:rsid w:val="0054760C"/>
    <w:rsid w:val="0055166A"/>
    <w:rsid w:val="005526FC"/>
    <w:rsid w:val="00553520"/>
    <w:rsid w:val="00557492"/>
    <w:rsid w:val="005639E5"/>
    <w:rsid w:val="00570450"/>
    <w:rsid w:val="0057321A"/>
    <w:rsid w:val="00573A60"/>
    <w:rsid w:val="00575E45"/>
    <w:rsid w:val="0057778B"/>
    <w:rsid w:val="00577C57"/>
    <w:rsid w:val="00581A45"/>
    <w:rsid w:val="00590747"/>
    <w:rsid w:val="00592E1C"/>
    <w:rsid w:val="00593E09"/>
    <w:rsid w:val="005958F4"/>
    <w:rsid w:val="00597A08"/>
    <w:rsid w:val="005A14B1"/>
    <w:rsid w:val="005A2CC1"/>
    <w:rsid w:val="005A3B5F"/>
    <w:rsid w:val="005A58DF"/>
    <w:rsid w:val="005B45C6"/>
    <w:rsid w:val="005C08FB"/>
    <w:rsid w:val="005C10BE"/>
    <w:rsid w:val="005C43E9"/>
    <w:rsid w:val="005C5A7E"/>
    <w:rsid w:val="005C64A0"/>
    <w:rsid w:val="005D224E"/>
    <w:rsid w:val="005D2981"/>
    <w:rsid w:val="005D394F"/>
    <w:rsid w:val="005D756D"/>
    <w:rsid w:val="005E044E"/>
    <w:rsid w:val="005E28D4"/>
    <w:rsid w:val="005E517A"/>
    <w:rsid w:val="005E6530"/>
    <w:rsid w:val="005F07DE"/>
    <w:rsid w:val="005F26B2"/>
    <w:rsid w:val="005F45C2"/>
    <w:rsid w:val="005F5B67"/>
    <w:rsid w:val="005F7E83"/>
    <w:rsid w:val="00602506"/>
    <w:rsid w:val="0060320D"/>
    <w:rsid w:val="00604071"/>
    <w:rsid w:val="00604331"/>
    <w:rsid w:val="006077F9"/>
    <w:rsid w:val="00607C31"/>
    <w:rsid w:val="0061081E"/>
    <w:rsid w:val="006109C3"/>
    <w:rsid w:val="00612B92"/>
    <w:rsid w:val="00612DC5"/>
    <w:rsid w:val="00613854"/>
    <w:rsid w:val="006156E7"/>
    <w:rsid w:val="00615F0E"/>
    <w:rsid w:val="006206FD"/>
    <w:rsid w:val="006233F6"/>
    <w:rsid w:val="00625343"/>
    <w:rsid w:val="006277C6"/>
    <w:rsid w:val="006279D9"/>
    <w:rsid w:val="00627FBC"/>
    <w:rsid w:val="006304C8"/>
    <w:rsid w:val="00632CB6"/>
    <w:rsid w:val="00641B21"/>
    <w:rsid w:val="006442C0"/>
    <w:rsid w:val="00645473"/>
    <w:rsid w:val="00645B83"/>
    <w:rsid w:val="00646D96"/>
    <w:rsid w:val="00647024"/>
    <w:rsid w:val="006473F5"/>
    <w:rsid w:val="00655E1C"/>
    <w:rsid w:val="00657188"/>
    <w:rsid w:val="00657EAD"/>
    <w:rsid w:val="00661DEA"/>
    <w:rsid w:val="00662318"/>
    <w:rsid w:val="00666E4F"/>
    <w:rsid w:val="006676D9"/>
    <w:rsid w:val="00672DD1"/>
    <w:rsid w:val="00677EAE"/>
    <w:rsid w:val="00680DE1"/>
    <w:rsid w:val="00687A91"/>
    <w:rsid w:val="0069077C"/>
    <w:rsid w:val="006907F1"/>
    <w:rsid w:val="00691650"/>
    <w:rsid w:val="00694736"/>
    <w:rsid w:val="00696D31"/>
    <w:rsid w:val="006A0535"/>
    <w:rsid w:val="006A05EB"/>
    <w:rsid w:val="006A331B"/>
    <w:rsid w:val="006A3C1D"/>
    <w:rsid w:val="006A489F"/>
    <w:rsid w:val="006A4963"/>
    <w:rsid w:val="006B494A"/>
    <w:rsid w:val="006B49AB"/>
    <w:rsid w:val="006B72AB"/>
    <w:rsid w:val="006C0125"/>
    <w:rsid w:val="006C2C37"/>
    <w:rsid w:val="006C3F6E"/>
    <w:rsid w:val="006C51A0"/>
    <w:rsid w:val="006C533A"/>
    <w:rsid w:val="006C627E"/>
    <w:rsid w:val="006D45F3"/>
    <w:rsid w:val="006D6B8B"/>
    <w:rsid w:val="006E14E6"/>
    <w:rsid w:val="006E1668"/>
    <w:rsid w:val="006E56CC"/>
    <w:rsid w:val="006E7036"/>
    <w:rsid w:val="006F221F"/>
    <w:rsid w:val="006F2523"/>
    <w:rsid w:val="006F257D"/>
    <w:rsid w:val="006F28EA"/>
    <w:rsid w:val="006F34E8"/>
    <w:rsid w:val="006F4E4B"/>
    <w:rsid w:val="007039F8"/>
    <w:rsid w:val="00704ECA"/>
    <w:rsid w:val="00706F2E"/>
    <w:rsid w:val="007122FD"/>
    <w:rsid w:val="00712D0D"/>
    <w:rsid w:val="007135D7"/>
    <w:rsid w:val="00713D52"/>
    <w:rsid w:val="00714676"/>
    <w:rsid w:val="00714AFA"/>
    <w:rsid w:val="00715AE1"/>
    <w:rsid w:val="00715C8D"/>
    <w:rsid w:val="00717BC3"/>
    <w:rsid w:val="00724261"/>
    <w:rsid w:val="007246D3"/>
    <w:rsid w:val="00724F0F"/>
    <w:rsid w:val="00731C5A"/>
    <w:rsid w:val="00733E03"/>
    <w:rsid w:val="00736349"/>
    <w:rsid w:val="007428FD"/>
    <w:rsid w:val="0074629B"/>
    <w:rsid w:val="007630C8"/>
    <w:rsid w:val="00763907"/>
    <w:rsid w:val="0076663D"/>
    <w:rsid w:val="0076732B"/>
    <w:rsid w:val="00767CF3"/>
    <w:rsid w:val="00771C82"/>
    <w:rsid w:val="00772327"/>
    <w:rsid w:val="00772F99"/>
    <w:rsid w:val="00774060"/>
    <w:rsid w:val="00774C88"/>
    <w:rsid w:val="00774DB6"/>
    <w:rsid w:val="007762BB"/>
    <w:rsid w:val="00777339"/>
    <w:rsid w:val="007807E7"/>
    <w:rsid w:val="007808CB"/>
    <w:rsid w:val="00780DDD"/>
    <w:rsid w:val="00781859"/>
    <w:rsid w:val="00781A7B"/>
    <w:rsid w:val="00781AF3"/>
    <w:rsid w:val="00783DF7"/>
    <w:rsid w:val="00784E08"/>
    <w:rsid w:val="00787245"/>
    <w:rsid w:val="00792692"/>
    <w:rsid w:val="00793D96"/>
    <w:rsid w:val="007978D2"/>
    <w:rsid w:val="007A3432"/>
    <w:rsid w:val="007A3D47"/>
    <w:rsid w:val="007A3DC9"/>
    <w:rsid w:val="007A5B63"/>
    <w:rsid w:val="007A635B"/>
    <w:rsid w:val="007B16D3"/>
    <w:rsid w:val="007B2AA1"/>
    <w:rsid w:val="007B3E6E"/>
    <w:rsid w:val="007B59EE"/>
    <w:rsid w:val="007C16BA"/>
    <w:rsid w:val="007C1CE7"/>
    <w:rsid w:val="007C3122"/>
    <w:rsid w:val="007C4BBA"/>
    <w:rsid w:val="007D1CDF"/>
    <w:rsid w:val="007D272B"/>
    <w:rsid w:val="007D52BE"/>
    <w:rsid w:val="007D7952"/>
    <w:rsid w:val="007E0C4C"/>
    <w:rsid w:val="007E5D62"/>
    <w:rsid w:val="007F0D94"/>
    <w:rsid w:val="007F1784"/>
    <w:rsid w:val="007F3798"/>
    <w:rsid w:val="007F3A6E"/>
    <w:rsid w:val="007F5798"/>
    <w:rsid w:val="007F74C7"/>
    <w:rsid w:val="00802851"/>
    <w:rsid w:val="00803FE7"/>
    <w:rsid w:val="00804863"/>
    <w:rsid w:val="008056C3"/>
    <w:rsid w:val="00805EEF"/>
    <w:rsid w:val="00810006"/>
    <w:rsid w:val="00810FA0"/>
    <w:rsid w:val="0081382F"/>
    <w:rsid w:val="00817057"/>
    <w:rsid w:val="00823B22"/>
    <w:rsid w:val="00824293"/>
    <w:rsid w:val="00824326"/>
    <w:rsid w:val="00826F65"/>
    <w:rsid w:val="00827B1F"/>
    <w:rsid w:val="00837624"/>
    <w:rsid w:val="00837C67"/>
    <w:rsid w:val="00845C1E"/>
    <w:rsid w:val="00845CA7"/>
    <w:rsid w:val="008465E3"/>
    <w:rsid w:val="00846DD1"/>
    <w:rsid w:val="00846E0F"/>
    <w:rsid w:val="00846F07"/>
    <w:rsid w:val="008471D0"/>
    <w:rsid w:val="008513C0"/>
    <w:rsid w:val="00851595"/>
    <w:rsid w:val="00856365"/>
    <w:rsid w:val="008563A8"/>
    <w:rsid w:val="00860D64"/>
    <w:rsid w:val="008636FC"/>
    <w:rsid w:val="00865B94"/>
    <w:rsid w:val="00870E03"/>
    <w:rsid w:val="00874C24"/>
    <w:rsid w:val="00886A59"/>
    <w:rsid w:val="00891C77"/>
    <w:rsid w:val="00892B89"/>
    <w:rsid w:val="0089312D"/>
    <w:rsid w:val="00893B0D"/>
    <w:rsid w:val="00893BA8"/>
    <w:rsid w:val="00894AAC"/>
    <w:rsid w:val="008A2C44"/>
    <w:rsid w:val="008A32D6"/>
    <w:rsid w:val="008A34B4"/>
    <w:rsid w:val="008A3FB5"/>
    <w:rsid w:val="008A6DFF"/>
    <w:rsid w:val="008B309E"/>
    <w:rsid w:val="008B5436"/>
    <w:rsid w:val="008B5EE3"/>
    <w:rsid w:val="008C2660"/>
    <w:rsid w:val="008C3A77"/>
    <w:rsid w:val="008C74B7"/>
    <w:rsid w:val="008D2AD5"/>
    <w:rsid w:val="008D3C9B"/>
    <w:rsid w:val="008D4396"/>
    <w:rsid w:val="008D60BF"/>
    <w:rsid w:val="008D61D3"/>
    <w:rsid w:val="008D7F85"/>
    <w:rsid w:val="008E4463"/>
    <w:rsid w:val="008E4825"/>
    <w:rsid w:val="008E6744"/>
    <w:rsid w:val="008E6D3A"/>
    <w:rsid w:val="008F06B0"/>
    <w:rsid w:val="008F1785"/>
    <w:rsid w:val="008F3742"/>
    <w:rsid w:val="008F5B84"/>
    <w:rsid w:val="008F6718"/>
    <w:rsid w:val="009004B2"/>
    <w:rsid w:val="00900DFC"/>
    <w:rsid w:val="00900FCD"/>
    <w:rsid w:val="009034C7"/>
    <w:rsid w:val="009039E0"/>
    <w:rsid w:val="00907C86"/>
    <w:rsid w:val="00912812"/>
    <w:rsid w:val="00913598"/>
    <w:rsid w:val="00914DAA"/>
    <w:rsid w:val="009158EF"/>
    <w:rsid w:val="00916432"/>
    <w:rsid w:val="009209C3"/>
    <w:rsid w:val="00921699"/>
    <w:rsid w:val="009224D2"/>
    <w:rsid w:val="009248C6"/>
    <w:rsid w:val="009252FF"/>
    <w:rsid w:val="00926024"/>
    <w:rsid w:val="00932EDA"/>
    <w:rsid w:val="00933E8F"/>
    <w:rsid w:val="00934BB9"/>
    <w:rsid w:val="00935956"/>
    <w:rsid w:val="009360EE"/>
    <w:rsid w:val="00937B89"/>
    <w:rsid w:val="009416B1"/>
    <w:rsid w:val="00941D03"/>
    <w:rsid w:val="00943966"/>
    <w:rsid w:val="0094637D"/>
    <w:rsid w:val="00946B74"/>
    <w:rsid w:val="00950714"/>
    <w:rsid w:val="00950969"/>
    <w:rsid w:val="009539ED"/>
    <w:rsid w:val="00960FF2"/>
    <w:rsid w:val="00976241"/>
    <w:rsid w:val="009771C7"/>
    <w:rsid w:val="00982794"/>
    <w:rsid w:val="00983667"/>
    <w:rsid w:val="009837E6"/>
    <w:rsid w:val="00984047"/>
    <w:rsid w:val="00985D76"/>
    <w:rsid w:val="00987692"/>
    <w:rsid w:val="00990C1C"/>
    <w:rsid w:val="009916B0"/>
    <w:rsid w:val="009920CA"/>
    <w:rsid w:val="00993313"/>
    <w:rsid w:val="00993318"/>
    <w:rsid w:val="00993E2A"/>
    <w:rsid w:val="009946E2"/>
    <w:rsid w:val="00994CAF"/>
    <w:rsid w:val="0099705A"/>
    <w:rsid w:val="009A4FF3"/>
    <w:rsid w:val="009A6248"/>
    <w:rsid w:val="009A6ACD"/>
    <w:rsid w:val="009B15B1"/>
    <w:rsid w:val="009B3064"/>
    <w:rsid w:val="009B3B29"/>
    <w:rsid w:val="009B3DB1"/>
    <w:rsid w:val="009B46D1"/>
    <w:rsid w:val="009B6494"/>
    <w:rsid w:val="009C1B89"/>
    <w:rsid w:val="009C2ED6"/>
    <w:rsid w:val="009C3B7C"/>
    <w:rsid w:val="009C534D"/>
    <w:rsid w:val="009C7F7E"/>
    <w:rsid w:val="009D1EB4"/>
    <w:rsid w:val="009D1F72"/>
    <w:rsid w:val="009D360C"/>
    <w:rsid w:val="009D4456"/>
    <w:rsid w:val="009D6328"/>
    <w:rsid w:val="009D7B6A"/>
    <w:rsid w:val="009E350D"/>
    <w:rsid w:val="009E4241"/>
    <w:rsid w:val="009E49D3"/>
    <w:rsid w:val="009F50D1"/>
    <w:rsid w:val="009F7F03"/>
    <w:rsid w:val="00A0109E"/>
    <w:rsid w:val="00A04CF7"/>
    <w:rsid w:val="00A05853"/>
    <w:rsid w:val="00A0603F"/>
    <w:rsid w:val="00A10A80"/>
    <w:rsid w:val="00A11B4F"/>
    <w:rsid w:val="00A23623"/>
    <w:rsid w:val="00A250FC"/>
    <w:rsid w:val="00A25753"/>
    <w:rsid w:val="00A32112"/>
    <w:rsid w:val="00A32EC5"/>
    <w:rsid w:val="00A37C00"/>
    <w:rsid w:val="00A42A6F"/>
    <w:rsid w:val="00A45AE4"/>
    <w:rsid w:val="00A5499A"/>
    <w:rsid w:val="00A567CC"/>
    <w:rsid w:val="00A569B8"/>
    <w:rsid w:val="00A570C0"/>
    <w:rsid w:val="00A5721E"/>
    <w:rsid w:val="00A64CFC"/>
    <w:rsid w:val="00A6743B"/>
    <w:rsid w:val="00A67C14"/>
    <w:rsid w:val="00A7174A"/>
    <w:rsid w:val="00A71D29"/>
    <w:rsid w:val="00A723E3"/>
    <w:rsid w:val="00A72CEF"/>
    <w:rsid w:val="00A7331F"/>
    <w:rsid w:val="00A76D70"/>
    <w:rsid w:val="00A82473"/>
    <w:rsid w:val="00A83FA8"/>
    <w:rsid w:val="00A84967"/>
    <w:rsid w:val="00A85421"/>
    <w:rsid w:val="00A861EE"/>
    <w:rsid w:val="00A94248"/>
    <w:rsid w:val="00A97059"/>
    <w:rsid w:val="00A97363"/>
    <w:rsid w:val="00AA0971"/>
    <w:rsid w:val="00AA2BB5"/>
    <w:rsid w:val="00AA2CE1"/>
    <w:rsid w:val="00AA3BF3"/>
    <w:rsid w:val="00AA559B"/>
    <w:rsid w:val="00AA71C6"/>
    <w:rsid w:val="00AA7E45"/>
    <w:rsid w:val="00AB3FCD"/>
    <w:rsid w:val="00AB53E9"/>
    <w:rsid w:val="00AB610B"/>
    <w:rsid w:val="00AC0347"/>
    <w:rsid w:val="00AC11D3"/>
    <w:rsid w:val="00AC1565"/>
    <w:rsid w:val="00AD0658"/>
    <w:rsid w:val="00AD48DB"/>
    <w:rsid w:val="00AD5892"/>
    <w:rsid w:val="00AD5C4C"/>
    <w:rsid w:val="00AE019C"/>
    <w:rsid w:val="00AE06B7"/>
    <w:rsid w:val="00AE0806"/>
    <w:rsid w:val="00AE3871"/>
    <w:rsid w:val="00AE5E22"/>
    <w:rsid w:val="00AF00EA"/>
    <w:rsid w:val="00AF163E"/>
    <w:rsid w:val="00AF1F5B"/>
    <w:rsid w:val="00AF3204"/>
    <w:rsid w:val="00AF79BD"/>
    <w:rsid w:val="00B02701"/>
    <w:rsid w:val="00B07D52"/>
    <w:rsid w:val="00B114C5"/>
    <w:rsid w:val="00B12345"/>
    <w:rsid w:val="00B15EC6"/>
    <w:rsid w:val="00B167A5"/>
    <w:rsid w:val="00B16F4E"/>
    <w:rsid w:val="00B206D8"/>
    <w:rsid w:val="00B216DF"/>
    <w:rsid w:val="00B22755"/>
    <w:rsid w:val="00B242B3"/>
    <w:rsid w:val="00B3139A"/>
    <w:rsid w:val="00B33D32"/>
    <w:rsid w:val="00B3401E"/>
    <w:rsid w:val="00B340FD"/>
    <w:rsid w:val="00B3665B"/>
    <w:rsid w:val="00B379E1"/>
    <w:rsid w:val="00B43530"/>
    <w:rsid w:val="00B45CE3"/>
    <w:rsid w:val="00B4716F"/>
    <w:rsid w:val="00B50077"/>
    <w:rsid w:val="00B52404"/>
    <w:rsid w:val="00B53232"/>
    <w:rsid w:val="00B548BB"/>
    <w:rsid w:val="00B64B74"/>
    <w:rsid w:val="00B7056A"/>
    <w:rsid w:val="00B73804"/>
    <w:rsid w:val="00B74BF5"/>
    <w:rsid w:val="00B754D4"/>
    <w:rsid w:val="00B77475"/>
    <w:rsid w:val="00B8390F"/>
    <w:rsid w:val="00B84305"/>
    <w:rsid w:val="00B84DB0"/>
    <w:rsid w:val="00B850E7"/>
    <w:rsid w:val="00B859AE"/>
    <w:rsid w:val="00B90415"/>
    <w:rsid w:val="00B945E7"/>
    <w:rsid w:val="00B94EE4"/>
    <w:rsid w:val="00B95A6C"/>
    <w:rsid w:val="00B9697D"/>
    <w:rsid w:val="00B96EB1"/>
    <w:rsid w:val="00B9718A"/>
    <w:rsid w:val="00BA2A34"/>
    <w:rsid w:val="00BA36C3"/>
    <w:rsid w:val="00BA729C"/>
    <w:rsid w:val="00BB0D6B"/>
    <w:rsid w:val="00BB4F41"/>
    <w:rsid w:val="00BB7004"/>
    <w:rsid w:val="00BB71DA"/>
    <w:rsid w:val="00BD1087"/>
    <w:rsid w:val="00BD403F"/>
    <w:rsid w:val="00BD5303"/>
    <w:rsid w:val="00BD7BA9"/>
    <w:rsid w:val="00BE1A4B"/>
    <w:rsid w:val="00BE58C4"/>
    <w:rsid w:val="00BF0B30"/>
    <w:rsid w:val="00BF5188"/>
    <w:rsid w:val="00BF5A57"/>
    <w:rsid w:val="00C00906"/>
    <w:rsid w:val="00C02266"/>
    <w:rsid w:val="00C02751"/>
    <w:rsid w:val="00C114AB"/>
    <w:rsid w:val="00C11658"/>
    <w:rsid w:val="00C11D27"/>
    <w:rsid w:val="00C15AEF"/>
    <w:rsid w:val="00C15AF1"/>
    <w:rsid w:val="00C20A39"/>
    <w:rsid w:val="00C212C2"/>
    <w:rsid w:val="00C2647C"/>
    <w:rsid w:val="00C30FD1"/>
    <w:rsid w:val="00C319CB"/>
    <w:rsid w:val="00C33AA8"/>
    <w:rsid w:val="00C34A5C"/>
    <w:rsid w:val="00C35202"/>
    <w:rsid w:val="00C36181"/>
    <w:rsid w:val="00C363E2"/>
    <w:rsid w:val="00C41C54"/>
    <w:rsid w:val="00C42DEB"/>
    <w:rsid w:val="00C442DA"/>
    <w:rsid w:val="00C45B22"/>
    <w:rsid w:val="00C464DD"/>
    <w:rsid w:val="00C47B68"/>
    <w:rsid w:val="00C50F63"/>
    <w:rsid w:val="00C5219E"/>
    <w:rsid w:val="00C52B90"/>
    <w:rsid w:val="00C541FA"/>
    <w:rsid w:val="00C54ABE"/>
    <w:rsid w:val="00C54FEC"/>
    <w:rsid w:val="00C57775"/>
    <w:rsid w:val="00C60C02"/>
    <w:rsid w:val="00C610DF"/>
    <w:rsid w:val="00C62675"/>
    <w:rsid w:val="00C65129"/>
    <w:rsid w:val="00C662B8"/>
    <w:rsid w:val="00C6667F"/>
    <w:rsid w:val="00C733EC"/>
    <w:rsid w:val="00C75C0F"/>
    <w:rsid w:val="00C76CFF"/>
    <w:rsid w:val="00C778E7"/>
    <w:rsid w:val="00C810AA"/>
    <w:rsid w:val="00C8563B"/>
    <w:rsid w:val="00C8768A"/>
    <w:rsid w:val="00C87D1C"/>
    <w:rsid w:val="00C918C7"/>
    <w:rsid w:val="00C91BF1"/>
    <w:rsid w:val="00C93405"/>
    <w:rsid w:val="00C974F3"/>
    <w:rsid w:val="00CA02D5"/>
    <w:rsid w:val="00CA068F"/>
    <w:rsid w:val="00CA1704"/>
    <w:rsid w:val="00CA299F"/>
    <w:rsid w:val="00CA3368"/>
    <w:rsid w:val="00CA439B"/>
    <w:rsid w:val="00CC2FB0"/>
    <w:rsid w:val="00CC3444"/>
    <w:rsid w:val="00CC647C"/>
    <w:rsid w:val="00CC70C1"/>
    <w:rsid w:val="00CD0FA6"/>
    <w:rsid w:val="00CD3246"/>
    <w:rsid w:val="00CD481D"/>
    <w:rsid w:val="00CD5468"/>
    <w:rsid w:val="00CD57BF"/>
    <w:rsid w:val="00CD64F9"/>
    <w:rsid w:val="00CD70B6"/>
    <w:rsid w:val="00CD7FBD"/>
    <w:rsid w:val="00CE1D01"/>
    <w:rsid w:val="00CE6026"/>
    <w:rsid w:val="00CF0166"/>
    <w:rsid w:val="00CF4364"/>
    <w:rsid w:val="00CF45DE"/>
    <w:rsid w:val="00CF6833"/>
    <w:rsid w:val="00D03066"/>
    <w:rsid w:val="00D03957"/>
    <w:rsid w:val="00D04972"/>
    <w:rsid w:val="00D05B5B"/>
    <w:rsid w:val="00D0662A"/>
    <w:rsid w:val="00D069E7"/>
    <w:rsid w:val="00D1017B"/>
    <w:rsid w:val="00D116D9"/>
    <w:rsid w:val="00D139E4"/>
    <w:rsid w:val="00D16342"/>
    <w:rsid w:val="00D17AB9"/>
    <w:rsid w:val="00D2010E"/>
    <w:rsid w:val="00D2373D"/>
    <w:rsid w:val="00D26DE6"/>
    <w:rsid w:val="00D307CC"/>
    <w:rsid w:val="00D35997"/>
    <w:rsid w:val="00D35F2F"/>
    <w:rsid w:val="00D4223A"/>
    <w:rsid w:val="00D47935"/>
    <w:rsid w:val="00D553F4"/>
    <w:rsid w:val="00D57F59"/>
    <w:rsid w:val="00D62CC4"/>
    <w:rsid w:val="00D66170"/>
    <w:rsid w:val="00D664E3"/>
    <w:rsid w:val="00D678AE"/>
    <w:rsid w:val="00D720D1"/>
    <w:rsid w:val="00D72E9A"/>
    <w:rsid w:val="00D73772"/>
    <w:rsid w:val="00D75706"/>
    <w:rsid w:val="00D7668E"/>
    <w:rsid w:val="00D808B6"/>
    <w:rsid w:val="00D80D31"/>
    <w:rsid w:val="00D81A2B"/>
    <w:rsid w:val="00D8274B"/>
    <w:rsid w:val="00D82761"/>
    <w:rsid w:val="00D866A7"/>
    <w:rsid w:val="00D92F96"/>
    <w:rsid w:val="00D95455"/>
    <w:rsid w:val="00DA1758"/>
    <w:rsid w:val="00DA1955"/>
    <w:rsid w:val="00DB2747"/>
    <w:rsid w:val="00DB46C5"/>
    <w:rsid w:val="00DB5FF0"/>
    <w:rsid w:val="00DB6838"/>
    <w:rsid w:val="00DB7066"/>
    <w:rsid w:val="00DC1399"/>
    <w:rsid w:val="00DC2113"/>
    <w:rsid w:val="00DC60B0"/>
    <w:rsid w:val="00DC616F"/>
    <w:rsid w:val="00DC6310"/>
    <w:rsid w:val="00DD1072"/>
    <w:rsid w:val="00DD1BAB"/>
    <w:rsid w:val="00DD37CE"/>
    <w:rsid w:val="00DD6684"/>
    <w:rsid w:val="00DD77FA"/>
    <w:rsid w:val="00DE1003"/>
    <w:rsid w:val="00DE5AE2"/>
    <w:rsid w:val="00DE6D95"/>
    <w:rsid w:val="00DE6EB7"/>
    <w:rsid w:val="00DF1CB7"/>
    <w:rsid w:val="00DF297F"/>
    <w:rsid w:val="00DF3F23"/>
    <w:rsid w:val="00DF4E63"/>
    <w:rsid w:val="00DF5F51"/>
    <w:rsid w:val="00DF6642"/>
    <w:rsid w:val="00DF6FEA"/>
    <w:rsid w:val="00E02C2C"/>
    <w:rsid w:val="00E03B2D"/>
    <w:rsid w:val="00E0642C"/>
    <w:rsid w:val="00E15E36"/>
    <w:rsid w:val="00E21533"/>
    <w:rsid w:val="00E22AB6"/>
    <w:rsid w:val="00E231F7"/>
    <w:rsid w:val="00E243EF"/>
    <w:rsid w:val="00E24632"/>
    <w:rsid w:val="00E26C36"/>
    <w:rsid w:val="00E27101"/>
    <w:rsid w:val="00E35E22"/>
    <w:rsid w:val="00E37072"/>
    <w:rsid w:val="00E37886"/>
    <w:rsid w:val="00E37FD5"/>
    <w:rsid w:val="00E45FF3"/>
    <w:rsid w:val="00E51ADD"/>
    <w:rsid w:val="00E541FA"/>
    <w:rsid w:val="00E57A4B"/>
    <w:rsid w:val="00E62329"/>
    <w:rsid w:val="00E62A33"/>
    <w:rsid w:val="00E632B8"/>
    <w:rsid w:val="00E647E9"/>
    <w:rsid w:val="00E65EEE"/>
    <w:rsid w:val="00E70046"/>
    <w:rsid w:val="00E7262E"/>
    <w:rsid w:val="00E72BBB"/>
    <w:rsid w:val="00E732D4"/>
    <w:rsid w:val="00E7486F"/>
    <w:rsid w:val="00E77583"/>
    <w:rsid w:val="00E838BD"/>
    <w:rsid w:val="00E85084"/>
    <w:rsid w:val="00E927D6"/>
    <w:rsid w:val="00E92DC7"/>
    <w:rsid w:val="00E93861"/>
    <w:rsid w:val="00E940DD"/>
    <w:rsid w:val="00E9751A"/>
    <w:rsid w:val="00EA1834"/>
    <w:rsid w:val="00EA2835"/>
    <w:rsid w:val="00EB2E8F"/>
    <w:rsid w:val="00EB4415"/>
    <w:rsid w:val="00EB6930"/>
    <w:rsid w:val="00EC4787"/>
    <w:rsid w:val="00EC638E"/>
    <w:rsid w:val="00EC76C9"/>
    <w:rsid w:val="00ED49F5"/>
    <w:rsid w:val="00ED5E36"/>
    <w:rsid w:val="00ED6938"/>
    <w:rsid w:val="00EE3EC9"/>
    <w:rsid w:val="00EE4D48"/>
    <w:rsid w:val="00EE5110"/>
    <w:rsid w:val="00EE5855"/>
    <w:rsid w:val="00EE6D7B"/>
    <w:rsid w:val="00EF0BDA"/>
    <w:rsid w:val="00EF6615"/>
    <w:rsid w:val="00EF772E"/>
    <w:rsid w:val="00EF7FB0"/>
    <w:rsid w:val="00F020F0"/>
    <w:rsid w:val="00F0212A"/>
    <w:rsid w:val="00F0269E"/>
    <w:rsid w:val="00F078E2"/>
    <w:rsid w:val="00F10DE0"/>
    <w:rsid w:val="00F125A5"/>
    <w:rsid w:val="00F2773D"/>
    <w:rsid w:val="00F326E2"/>
    <w:rsid w:val="00F3670E"/>
    <w:rsid w:val="00F43FDE"/>
    <w:rsid w:val="00F45F66"/>
    <w:rsid w:val="00F51EBF"/>
    <w:rsid w:val="00F52AA0"/>
    <w:rsid w:val="00F56ABC"/>
    <w:rsid w:val="00F5720F"/>
    <w:rsid w:val="00F6065A"/>
    <w:rsid w:val="00F61298"/>
    <w:rsid w:val="00F6570B"/>
    <w:rsid w:val="00F65EB6"/>
    <w:rsid w:val="00F666B6"/>
    <w:rsid w:val="00F7236D"/>
    <w:rsid w:val="00F72625"/>
    <w:rsid w:val="00F742ED"/>
    <w:rsid w:val="00F74D3B"/>
    <w:rsid w:val="00F76404"/>
    <w:rsid w:val="00F77A98"/>
    <w:rsid w:val="00F801C7"/>
    <w:rsid w:val="00F91D1A"/>
    <w:rsid w:val="00F9254F"/>
    <w:rsid w:val="00F92989"/>
    <w:rsid w:val="00F93281"/>
    <w:rsid w:val="00F94F08"/>
    <w:rsid w:val="00F950C2"/>
    <w:rsid w:val="00F96200"/>
    <w:rsid w:val="00F97DC2"/>
    <w:rsid w:val="00FA1235"/>
    <w:rsid w:val="00FA1932"/>
    <w:rsid w:val="00FA6FA0"/>
    <w:rsid w:val="00FB0C8F"/>
    <w:rsid w:val="00FB2008"/>
    <w:rsid w:val="00FB5287"/>
    <w:rsid w:val="00FB5C78"/>
    <w:rsid w:val="00FB7468"/>
    <w:rsid w:val="00FC67FC"/>
    <w:rsid w:val="00FC6F42"/>
    <w:rsid w:val="00FC759C"/>
    <w:rsid w:val="00FD1F56"/>
    <w:rsid w:val="00FD5111"/>
    <w:rsid w:val="00FD662B"/>
    <w:rsid w:val="00FE000E"/>
    <w:rsid w:val="00FF1E65"/>
    <w:rsid w:val="00FF3CD3"/>
    <w:rsid w:val="00FF4C67"/>
    <w:rsid w:val="00FF66C3"/>
    <w:rsid w:val="00FF7190"/>
    <w:rsid w:val="00FF71BA"/>
    <w:rsid w:val="47862E06"/>
    <w:rsid w:val="65E9A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0F65"/>
  <w15:chartTrackingRefBased/>
  <w15:docId w15:val="{351A482C-82F6-4877-A5B1-BF601C9C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92"/>
    <w:pPr>
      <w:spacing w:line="259" w:lineRule="auto"/>
    </w:pPr>
    <w:rPr>
      <w:kern w:val="0"/>
      <w:sz w:val="22"/>
      <w:szCs w:val="22"/>
      <w14:ligatures w14:val="none"/>
    </w:rPr>
  </w:style>
  <w:style w:type="paragraph" w:styleId="Ttulo1">
    <w:name w:val="heading 1"/>
    <w:basedOn w:val="Normal"/>
    <w:next w:val="Normal"/>
    <w:link w:val="Ttulo1Car"/>
    <w:uiPriority w:val="9"/>
    <w:qFormat/>
    <w:rsid w:val="00987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7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76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76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76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76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76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76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76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6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76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76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76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76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76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76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76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7692"/>
    <w:rPr>
      <w:rFonts w:eastAsiaTheme="majorEastAsia" w:cstheme="majorBidi"/>
      <w:color w:val="272727" w:themeColor="text1" w:themeTint="D8"/>
    </w:rPr>
  </w:style>
  <w:style w:type="paragraph" w:styleId="Ttulo">
    <w:name w:val="Title"/>
    <w:basedOn w:val="Normal"/>
    <w:next w:val="Normal"/>
    <w:link w:val="TtuloCar"/>
    <w:uiPriority w:val="10"/>
    <w:qFormat/>
    <w:rsid w:val="00987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76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76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76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7692"/>
    <w:pPr>
      <w:spacing w:before="160"/>
      <w:jc w:val="center"/>
    </w:pPr>
    <w:rPr>
      <w:i/>
      <w:iCs/>
      <w:color w:val="404040" w:themeColor="text1" w:themeTint="BF"/>
    </w:rPr>
  </w:style>
  <w:style w:type="character" w:customStyle="1" w:styleId="CitaCar">
    <w:name w:val="Cita Car"/>
    <w:basedOn w:val="Fuentedeprrafopredeter"/>
    <w:link w:val="Cita"/>
    <w:uiPriority w:val="29"/>
    <w:rsid w:val="00987692"/>
    <w:rPr>
      <w:i/>
      <w:iCs/>
      <w:color w:val="404040" w:themeColor="text1" w:themeTint="BF"/>
    </w:rPr>
  </w:style>
  <w:style w:type="paragraph" w:styleId="Prrafodelista">
    <w:name w:val="List Paragraph"/>
    <w:basedOn w:val="Normal"/>
    <w:uiPriority w:val="34"/>
    <w:qFormat/>
    <w:rsid w:val="00987692"/>
    <w:pPr>
      <w:ind w:left="720"/>
      <w:contextualSpacing/>
    </w:pPr>
  </w:style>
  <w:style w:type="character" w:styleId="nfasisintenso">
    <w:name w:val="Intense Emphasis"/>
    <w:basedOn w:val="Fuentedeprrafopredeter"/>
    <w:uiPriority w:val="21"/>
    <w:qFormat/>
    <w:rsid w:val="00987692"/>
    <w:rPr>
      <w:i/>
      <w:iCs/>
      <w:color w:val="0F4761" w:themeColor="accent1" w:themeShade="BF"/>
    </w:rPr>
  </w:style>
  <w:style w:type="paragraph" w:styleId="Citadestacada">
    <w:name w:val="Intense Quote"/>
    <w:basedOn w:val="Normal"/>
    <w:next w:val="Normal"/>
    <w:link w:val="CitadestacadaCar"/>
    <w:uiPriority w:val="30"/>
    <w:qFormat/>
    <w:rsid w:val="00987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7692"/>
    <w:rPr>
      <w:i/>
      <w:iCs/>
      <w:color w:val="0F4761" w:themeColor="accent1" w:themeShade="BF"/>
    </w:rPr>
  </w:style>
  <w:style w:type="character" w:styleId="Referenciaintensa">
    <w:name w:val="Intense Reference"/>
    <w:basedOn w:val="Fuentedeprrafopredeter"/>
    <w:uiPriority w:val="32"/>
    <w:qFormat/>
    <w:rsid w:val="00987692"/>
    <w:rPr>
      <w:b/>
      <w:bCs/>
      <w:smallCaps/>
      <w:color w:val="0F4761" w:themeColor="accent1" w:themeShade="BF"/>
      <w:spacing w:val="5"/>
    </w:rPr>
  </w:style>
  <w:style w:type="paragraph" w:styleId="Encabezado">
    <w:name w:val="header"/>
    <w:basedOn w:val="Normal"/>
    <w:link w:val="EncabezadoCar"/>
    <w:uiPriority w:val="99"/>
    <w:unhideWhenUsed/>
    <w:rsid w:val="00987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692"/>
    <w:rPr>
      <w:kern w:val="0"/>
      <w:sz w:val="22"/>
      <w:szCs w:val="22"/>
      <w14:ligatures w14:val="none"/>
    </w:rPr>
  </w:style>
  <w:style w:type="paragraph" w:styleId="Piedepgina">
    <w:name w:val="footer"/>
    <w:basedOn w:val="Normal"/>
    <w:link w:val="PiedepginaCar"/>
    <w:uiPriority w:val="99"/>
    <w:unhideWhenUsed/>
    <w:rsid w:val="00987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692"/>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8769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87692"/>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87692"/>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87692"/>
    <w:rPr>
      <w:vertAlign w:val="superscript"/>
    </w:rPr>
  </w:style>
  <w:style w:type="table" w:styleId="Tablaconcuadrcula">
    <w:name w:val="Table Grid"/>
    <w:basedOn w:val="Tablanormal"/>
    <w:uiPriority w:val="39"/>
    <w:qFormat/>
    <w:rsid w:val="009876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87692"/>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9876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42B3"/>
    <w:rPr>
      <w:color w:val="467886" w:themeColor="hyperlink"/>
      <w:u w:val="single"/>
    </w:rPr>
  </w:style>
  <w:style w:type="character" w:styleId="Mencinsinresolver">
    <w:name w:val="Unresolved Mention"/>
    <w:basedOn w:val="Fuentedeprrafopredeter"/>
    <w:uiPriority w:val="99"/>
    <w:semiHidden/>
    <w:unhideWhenUsed/>
    <w:rsid w:val="00B242B3"/>
    <w:rPr>
      <w:color w:val="605E5C"/>
      <w:shd w:val="clear" w:color="auto" w:fill="E1DFDD"/>
    </w:rPr>
  </w:style>
  <w:style w:type="character" w:customStyle="1" w:styleId="baj">
    <w:name w:val="b_aj"/>
    <w:basedOn w:val="Fuentedeprrafopredeter"/>
    <w:rsid w:val="001F54B3"/>
  </w:style>
  <w:style w:type="character" w:styleId="nfasis">
    <w:name w:val="Emphasis"/>
    <w:basedOn w:val="Fuentedeprrafopredeter"/>
    <w:uiPriority w:val="20"/>
    <w:qFormat/>
    <w:rsid w:val="009A4FF3"/>
    <w:rPr>
      <w:i/>
      <w:iCs/>
    </w:rPr>
  </w:style>
  <w:style w:type="character" w:customStyle="1" w:styleId="normaltextrun">
    <w:name w:val="normaltextrun"/>
    <w:basedOn w:val="Fuentedeprrafopredeter"/>
    <w:rsid w:val="0047490F"/>
  </w:style>
  <w:style w:type="character" w:customStyle="1" w:styleId="eop">
    <w:name w:val="eop"/>
    <w:basedOn w:val="Fuentedeprrafopredeter"/>
    <w:rsid w:val="0047490F"/>
  </w:style>
  <w:style w:type="paragraph" w:customStyle="1" w:styleId="paragraph">
    <w:name w:val="paragraph"/>
    <w:basedOn w:val="Normal"/>
    <w:rsid w:val="0069077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016DAA"/>
    <w:pPr>
      <w:spacing w:after="120"/>
    </w:pPr>
  </w:style>
  <w:style w:type="character" w:customStyle="1" w:styleId="TextoindependienteCar">
    <w:name w:val="Texto independiente Car"/>
    <w:basedOn w:val="Fuentedeprrafopredeter"/>
    <w:link w:val="Textoindependiente"/>
    <w:uiPriority w:val="99"/>
    <w:semiHidden/>
    <w:rsid w:val="00016DA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os/cce-eicp-gi-18._gees_v.2_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m2293@hot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2Fboletin-de-relatoria-2024-iv&amp;data=05%7C02%7Cnasly.mosquera%40colombiacompra.gov.co%7C616b83c3423e4d31151908dce489c00d%7C7b09041e245149d08cb179d5e3d8c1be%7C0%7C0%7C638636527545461409%7CUnknown%7CTWFpbGZsb3d8eyJWIjoiMC4wLjAwMDAiLCJQIjoiV2luMzIiLCJBTiI6Ik1haWwiLCJXVCI6Mn0%3D%7C0%7C%7C%7C&amp;sdata=MPR5YM43ByFwtUMFFN%2BFiOjKoWHC%2FUTPmiDLqlVN4AM%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94B2E-FB6F-4455-8144-E379FB6B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D2D14-F6B5-440A-B8DF-379D7AAA1032}">
  <ds:schemaRef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a6cb9e4b-f1d1-4245-83ec-6cad768d538a"/>
    <ds:schemaRef ds:uri="9d85dbaf-23eb-4e57-a637-93dcacc8b1a1"/>
    <ds:schemaRef ds:uri="http://purl.org/dc/dcmitype/"/>
  </ds:schemaRefs>
</ds:datastoreItem>
</file>

<file path=customXml/itemProps3.xml><?xml version="1.0" encoding="utf-8"?>
<ds:datastoreItem xmlns:ds="http://schemas.openxmlformats.org/officeDocument/2006/customXml" ds:itemID="{C9AC34CF-FF6C-4D0F-93C8-E61A608BCAF1}">
  <ds:schemaRefs>
    <ds:schemaRef ds:uri="http://schemas.microsoft.com/sharepoint/v3/contenttype/forms"/>
  </ds:schemaRefs>
</ds:datastoreItem>
</file>

<file path=customXml/itemProps4.xml><?xml version="1.0" encoding="utf-8"?>
<ds:datastoreItem xmlns:ds="http://schemas.openxmlformats.org/officeDocument/2006/customXml" ds:itemID="{F9E50B1A-64A9-4F93-BF0B-BA8ACA3F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3218</Words>
  <Characters>17702</Characters>
  <Application>Microsoft Office Word</Application>
  <DocSecurity>0</DocSecurity>
  <Lines>147</Lines>
  <Paragraphs>41</Paragraphs>
  <ScaleCrop>false</ScaleCrop>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2024-10-30T19:25:00Z</dcterms:created>
  <dcterms:modified xsi:type="dcterms:W3CDTF">2024-10-30T19:25:00Z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