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853F" w14:textId="77777777" w:rsidR="00277ED2" w:rsidRPr="00CF50D6" w:rsidRDefault="00277ED2" w:rsidP="00277ED2">
      <w:pPr>
        <w:spacing w:after="0" w:line="240" w:lineRule="auto"/>
        <w:jc w:val="both"/>
        <w:rPr>
          <w:rFonts w:ascii="Verdana" w:eastAsia="Calibri" w:hAnsi="Verdana" w:cs="Arial"/>
          <w:b/>
          <w:bCs/>
          <w:lang w:val="es-ES_tradnl" w:eastAsia="es-ES_tradnl"/>
        </w:rPr>
      </w:pPr>
      <w:bookmarkStart w:id="0" w:name="_GoBack"/>
      <w:bookmarkEnd w:id="0"/>
      <w:r w:rsidRPr="00CF50D6">
        <w:rPr>
          <w:rFonts w:ascii="Verdana" w:eastAsia="Calibri" w:hAnsi="Verdana" w:cs="Arial"/>
          <w:b/>
          <w:bCs/>
          <w:lang w:val="es-ES_tradnl" w:eastAsia="es-ES_tradnl"/>
        </w:rPr>
        <w:t xml:space="preserve">RÉGIMEN DE INHABILIDADES – Noción – Contratación estatal – Finalidad </w:t>
      </w:r>
    </w:p>
    <w:p w14:paraId="205B7391" w14:textId="77777777" w:rsidR="00277ED2" w:rsidRPr="00CF50D6" w:rsidRDefault="00277ED2" w:rsidP="00277ED2">
      <w:pPr>
        <w:spacing w:after="0" w:line="240" w:lineRule="auto"/>
        <w:jc w:val="both"/>
        <w:rPr>
          <w:rFonts w:ascii="Verdana" w:eastAsia="Calibri" w:hAnsi="Verdana" w:cs="Arial"/>
          <w:b/>
          <w:bCs/>
          <w:sz w:val="20"/>
          <w:szCs w:val="20"/>
          <w:lang w:val="es-ES_tradnl" w:eastAsia="es-ES_tradnl"/>
        </w:rPr>
      </w:pPr>
    </w:p>
    <w:p w14:paraId="6F6D458F" w14:textId="77777777" w:rsidR="00277ED2" w:rsidRPr="00CF50D6" w:rsidRDefault="00277ED2" w:rsidP="00277ED2">
      <w:pPr>
        <w:spacing w:after="0" w:line="240" w:lineRule="auto"/>
        <w:jc w:val="both"/>
        <w:rPr>
          <w:rFonts w:ascii="Verdana" w:eastAsia="Aptos" w:hAnsi="Verdana" w:cs="Times New Roman"/>
          <w:sz w:val="20"/>
          <w:szCs w:val="20"/>
        </w:rPr>
      </w:pPr>
      <w:r w:rsidRPr="00CF50D6">
        <w:rPr>
          <w:rFonts w:ascii="Verdana" w:eastAsia="Aptos" w:hAnsi="Verdana" w:cs="Times New Roman"/>
          <w:sz w:val="20"/>
          <w:szCs w:val="20"/>
        </w:rPr>
        <w:t xml:space="preserve">El régimen de inhabilidades son prohibiciones para concurrir a los procedimientos de selección y para contratar con el Estado, que se derivan i) de la existencia de comportamientos reprochables o de sanciones anteriormente impuestas, </w:t>
      </w:r>
      <w:proofErr w:type="spellStart"/>
      <w:r w:rsidRPr="00CF50D6">
        <w:rPr>
          <w:rFonts w:ascii="Verdana" w:eastAsia="Aptos" w:hAnsi="Verdana" w:cs="Times New Roman"/>
          <w:sz w:val="20"/>
          <w:szCs w:val="20"/>
        </w:rPr>
        <w:t>ii</w:t>
      </w:r>
      <w:proofErr w:type="spellEnd"/>
      <w:r w:rsidRPr="00CF50D6">
        <w:rPr>
          <w:rFonts w:ascii="Verdana" w:eastAsia="Aptos" w:hAnsi="Verdana" w:cs="Times New Roman"/>
          <w:sz w:val="20"/>
          <w:szCs w:val="20"/>
        </w:rPr>
        <w:t xml:space="preserve">) de vínculos personales relaticos al parentesco o al estado civil o </w:t>
      </w:r>
      <w:proofErr w:type="spellStart"/>
      <w:r w:rsidRPr="00CF50D6">
        <w:rPr>
          <w:rFonts w:ascii="Verdana" w:eastAsia="Aptos" w:hAnsi="Verdana" w:cs="Times New Roman"/>
          <w:sz w:val="20"/>
          <w:szCs w:val="20"/>
        </w:rPr>
        <w:t>iii</w:t>
      </w:r>
      <w:proofErr w:type="spellEnd"/>
      <w:r w:rsidRPr="00CF50D6">
        <w:rPr>
          <w:rFonts w:ascii="Verdana" w:eastAsia="Aptos" w:hAnsi="Verdana" w:cs="Times New Roman"/>
          <w:sz w:val="20"/>
          <w:szCs w:val="20"/>
        </w:rPr>
        <w:t>) de una actividad u oficio que se desempeñó en el pasado.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CF50D6">
        <w:rPr>
          <w:rFonts w:ascii="Verdana" w:eastAsia="Aptos" w:hAnsi="Verdana" w:cs="Times New Roman"/>
          <w:sz w:val="20"/>
          <w:szCs w:val="20"/>
        </w:rPr>
        <w:t>neopunitivo</w:t>
      </w:r>
      <w:proofErr w:type="spellEnd"/>
      <w:r w:rsidRPr="00CF50D6">
        <w:rPr>
          <w:rFonts w:ascii="Verdana" w:eastAsia="Aptos" w:hAnsi="Verdana" w:cs="Times New Roman"/>
          <w:sz w:val="20"/>
          <w:szCs w:val="20"/>
        </w:rPr>
        <w:t>”.</w:t>
      </w:r>
    </w:p>
    <w:p w14:paraId="4E126E84" w14:textId="77777777" w:rsidR="00277ED2" w:rsidRPr="00CF50D6" w:rsidRDefault="00277ED2" w:rsidP="00277ED2">
      <w:pPr>
        <w:spacing w:after="0" w:line="240" w:lineRule="auto"/>
        <w:jc w:val="both"/>
        <w:rPr>
          <w:rFonts w:ascii="Verdana" w:eastAsia="Aptos" w:hAnsi="Verdana" w:cs="Times New Roman"/>
          <w:sz w:val="20"/>
          <w:szCs w:val="20"/>
        </w:rPr>
      </w:pPr>
    </w:p>
    <w:p w14:paraId="3426A9A0" w14:textId="77777777" w:rsidR="00277ED2" w:rsidRPr="00CF50D6" w:rsidRDefault="00277ED2" w:rsidP="00277ED2">
      <w:pPr>
        <w:spacing w:after="0" w:line="240" w:lineRule="auto"/>
        <w:jc w:val="both"/>
        <w:rPr>
          <w:rFonts w:ascii="Verdana" w:eastAsia="Aptos" w:hAnsi="Verdana" w:cs="Times New Roman"/>
          <w:sz w:val="20"/>
          <w:szCs w:val="20"/>
        </w:rPr>
      </w:pPr>
      <w:r w:rsidRPr="00CF50D6">
        <w:rPr>
          <w:rFonts w:ascii="Verdana" w:eastAsia="Aptos" w:hAnsi="Verdana" w:cs="Times New Roman"/>
          <w:sz w:val="20"/>
          <w:szCs w:val="20"/>
        </w:rPr>
        <w:t>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w:t>
      </w:r>
    </w:p>
    <w:p w14:paraId="4A4639A3" w14:textId="77777777" w:rsidR="00277ED2" w:rsidRPr="00CF50D6" w:rsidRDefault="00277ED2" w:rsidP="00277ED2">
      <w:pPr>
        <w:spacing w:after="0" w:line="240" w:lineRule="auto"/>
        <w:jc w:val="both"/>
        <w:rPr>
          <w:rFonts w:ascii="Verdana" w:eastAsia="Aptos" w:hAnsi="Verdana" w:cs="Times New Roman"/>
          <w:sz w:val="20"/>
          <w:szCs w:val="20"/>
          <w:highlight w:val="yellow"/>
        </w:rPr>
      </w:pPr>
    </w:p>
    <w:p w14:paraId="031E0C3E" w14:textId="77777777" w:rsidR="00277ED2" w:rsidRPr="00CF50D6" w:rsidRDefault="00277ED2" w:rsidP="00277ED2">
      <w:pPr>
        <w:spacing w:after="0" w:line="240" w:lineRule="auto"/>
        <w:jc w:val="both"/>
        <w:rPr>
          <w:rFonts w:ascii="Verdana" w:eastAsia="Calibri" w:hAnsi="Verdana" w:cs="Arial"/>
          <w:b/>
          <w:bCs/>
          <w:lang w:val="es-ES" w:eastAsia="es-ES"/>
        </w:rPr>
      </w:pPr>
      <w:r w:rsidRPr="00CF50D6">
        <w:rPr>
          <w:rFonts w:ascii="Verdana" w:eastAsia="Calibri" w:hAnsi="Verdana" w:cs="Arial"/>
          <w:b/>
          <w:bCs/>
          <w:lang w:val="es-ES" w:eastAsia="es-ES"/>
        </w:rPr>
        <w:t>BOLETÍN DE DEUDORES MOROSOS DEL ESTADO – Obligación de las entidades públicas – No constituye causal de inhabilidad – Ley 901 de 2004</w:t>
      </w:r>
    </w:p>
    <w:p w14:paraId="32C85AD3" w14:textId="77777777" w:rsidR="00277ED2" w:rsidRPr="00CF50D6" w:rsidRDefault="00277ED2" w:rsidP="00277ED2">
      <w:pPr>
        <w:spacing w:after="0" w:line="240" w:lineRule="auto"/>
        <w:jc w:val="both"/>
        <w:rPr>
          <w:rFonts w:ascii="Verdana" w:eastAsia="Calibri" w:hAnsi="Verdana" w:cs="Arial"/>
          <w:b/>
          <w:bCs/>
          <w:sz w:val="20"/>
          <w:szCs w:val="20"/>
          <w:highlight w:val="yellow"/>
          <w:lang w:val="es-ES_tradnl" w:eastAsia="es-ES_tradnl"/>
        </w:rPr>
      </w:pPr>
    </w:p>
    <w:p w14:paraId="4B512240" w14:textId="77777777" w:rsidR="00277ED2" w:rsidRPr="00CF50D6" w:rsidRDefault="00277ED2" w:rsidP="00277ED2">
      <w:pPr>
        <w:spacing w:after="0" w:line="240" w:lineRule="auto"/>
        <w:jc w:val="both"/>
        <w:rPr>
          <w:rFonts w:ascii="Verdana" w:eastAsia="Aptos" w:hAnsi="Verdana" w:cs="Times New Roman"/>
          <w:sz w:val="20"/>
          <w:szCs w:val="20"/>
        </w:rPr>
      </w:pPr>
      <w:r w:rsidRPr="00CF50D6">
        <w:rPr>
          <w:rFonts w:ascii="Verdana" w:eastAsia="Aptos" w:hAnsi="Verdana" w:cs="Times New Roman"/>
          <w:sz w:val="20"/>
          <w:szCs w:val="20"/>
        </w:rPr>
        <w:t>[...]pese a que el inciso segundo, del parágrafo 3, del artículo 4 de la Ley 716 de 2001, modificado por el artículo 2 de la Ley 901 de 2001, establecía en su tenor literal que la personas que aparecieran relacionadas en el Boletín de Deudores Morosos del Estado – BDME “no podrán celebrar contratos con el Estado, ni tomar posesión de cargos públicos, hasta tanto demuestren la cancelación de la totalidad de las obligaciones contraídas o acrediten la vigencia de un acuerdo de pago”, esta disposición quedó sin efectos, luego de que la Corte Constitucional mediante la Sentencia C-1083 de 2005, lo declarara inexequible.</w:t>
      </w:r>
    </w:p>
    <w:p w14:paraId="029BDAAE" w14:textId="77777777" w:rsidR="00277ED2" w:rsidRPr="00CF50D6" w:rsidRDefault="00277ED2" w:rsidP="00277ED2">
      <w:pPr>
        <w:spacing w:after="0" w:line="240" w:lineRule="auto"/>
        <w:jc w:val="both"/>
        <w:rPr>
          <w:rFonts w:ascii="Verdana" w:eastAsia="Aptos" w:hAnsi="Verdana" w:cs="Times New Roman"/>
          <w:sz w:val="20"/>
          <w:szCs w:val="20"/>
        </w:rPr>
      </w:pPr>
    </w:p>
    <w:p w14:paraId="3020E821" w14:textId="77777777" w:rsidR="00277ED2" w:rsidRPr="00CF50D6" w:rsidRDefault="00277ED2" w:rsidP="00277ED2">
      <w:pPr>
        <w:spacing w:after="0" w:line="240" w:lineRule="auto"/>
        <w:jc w:val="both"/>
        <w:rPr>
          <w:rFonts w:ascii="Verdana" w:eastAsia="Aptos" w:hAnsi="Verdana" w:cs="Times New Roman"/>
          <w:sz w:val="20"/>
          <w:szCs w:val="20"/>
        </w:rPr>
      </w:pPr>
      <w:r w:rsidRPr="00CF50D6">
        <w:rPr>
          <w:rFonts w:ascii="Verdana" w:eastAsia="Aptos" w:hAnsi="Verdana" w:cs="Times New Roman"/>
          <w:sz w:val="20"/>
          <w:szCs w:val="20"/>
        </w:rPr>
        <w:t>[…] puede colegirse entonces, que pese el parágrafo 3 del artículo 2 de la Ley 716 de 2001, modificado por el artículo 2 de la Ley 901 de 2001, le atribuyó a las Entidades Estatales la obligación de enviar a la Contaduría General de la Nación el boletín de deudores morosos, el que una persona natural o jurídica se encuentre relacionada en dicho boletín, ya no es considerado como una causal de inhabilidad para contratar con el Estado o para ostentar cargos públicos, pues como se indicó, la disposición que lo establecía fue dejada sin efectos por parte del Alto Tribunal Constitucional.</w:t>
      </w:r>
    </w:p>
    <w:p w14:paraId="79760631" w14:textId="77777777" w:rsidR="00277ED2" w:rsidRPr="00CF50D6" w:rsidRDefault="00277ED2" w:rsidP="00277ED2">
      <w:pPr>
        <w:spacing w:after="0" w:line="240" w:lineRule="auto"/>
        <w:jc w:val="both"/>
        <w:rPr>
          <w:rFonts w:ascii="Verdana" w:eastAsia="Aptos" w:hAnsi="Verdana" w:cs="Times New Roman"/>
          <w:sz w:val="20"/>
          <w:szCs w:val="20"/>
        </w:rPr>
      </w:pPr>
    </w:p>
    <w:p w14:paraId="3FD86C3A" w14:textId="77777777" w:rsidR="00277ED2" w:rsidRPr="00CF50D6" w:rsidRDefault="00277ED2" w:rsidP="00277ED2">
      <w:pPr>
        <w:spacing w:after="0" w:line="240" w:lineRule="auto"/>
        <w:jc w:val="both"/>
        <w:rPr>
          <w:rFonts w:ascii="Verdana" w:eastAsia="Aptos" w:hAnsi="Verdana" w:cs="Times New Roman"/>
          <w:sz w:val="20"/>
          <w:szCs w:val="20"/>
        </w:rPr>
      </w:pPr>
    </w:p>
    <w:p w14:paraId="6CBCD299" w14:textId="77777777" w:rsidR="00277ED2" w:rsidRPr="00CF50D6" w:rsidRDefault="00277ED2" w:rsidP="00277ED2">
      <w:pPr>
        <w:spacing w:after="0" w:line="240" w:lineRule="auto"/>
        <w:jc w:val="both"/>
        <w:rPr>
          <w:rFonts w:ascii="Verdana" w:eastAsia="Aptos" w:hAnsi="Verdana" w:cs="Times New Roman"/>
          <w:sz w:val="20"/>
          <w:szCs w:val="20"/>
        </w:rPr>
      </w:pPr>
    </w:p>
    <w:p w14:paraId="22E81625" w14:textId="77777777" w:rsidR="00277ED2" w:rsidRPr="00CF50D6" w:rsidRDefault="00277ED2" w:rsidP="00277ED2">
      <w:pPr>
        <w:spacing w:after="0" w:line="240" w:lineRule="auto"/>
        <w:jc w:val="both"/>
        <w:rPr>
          <w:rFonts w:ascii="Verdana" w:eastAsia="Aptos" w:hAnsi="Verdana" w:cs="Times New Roman"/>
          <w:sz w:val="20"/>
          <w:szCs w:val="20"/>
        </w:rPr>
      </w:pPr>
    </w:p>
    <w:p w14:paraId="3CA645E9" w14:textId="77777777" w:rsidR="00277ED2" w:rsidRPr="00CF50D6" w:rsidRDefault="00277ED2" w:rsidP="00277ED2">
      <w:pPr>
        <w:spacing w:after="0" w:line="240" w:lineRule="auto"/>
        <w:rPr>
          <w:rFonts w:ascii="Verdana" w:eastAsia="Geomanist Light" w:hAnsi="Verdana" w:cs="Arial"/>
          <w:lang w:val="es-MX"/>
        </w:rPr>
      </w:pPr>
      <w:r w:rsidRPr="00CF50D6">
        <w:rPr>
          <w:rFonts w:ascii="Verdana" w:eastAsia="Geomanist Light" w:hAnsi="Verdana" w:cs="Arial"/>
          <w:lang w:val="es-MX"/>
        </w:rPr>
        <w:t>Bogotá D.C., [Día] de [</w:t>
      </w:r>
      <w:proofErr w:type="spellStart"/>
      <w:r w:rsidRPr="00CF50D6">
        <w:rPr>
          <w:rFonts w:ascii="Verdana" w:eastAsia="Geomanist Light" w:hAnsi="Verdana" w:cs="Arial"/>
          <w:lang w:val="es-MX"/>
        </w:rPr>
        <w:t>Mes.NombreCapitalizado</w:t>
      </w:r>
      <w:proofErr w:type="spellEnd"/>
      <w:r w:rsidRPr="00CF50D6">
        <w:rPr>
          <w:rFonts w:ascii="Verdana" w:eastAsia="Geomanist Light" w:hAnsi="Verdana" w:cs="Arial"/>
          <w:lang w:val="es-MX"/>
        </w:rPr>
        <w:t>] de [Año]</w:t>
      </w:r>
    </w:p>
    <w:p w14:paraId="51D4C586" w14:textId="77777777" w:rsidR="00277ED2" w:rsidRPr="00CF50D6" w:rsidRDefault="00277ED2" w:rsidP="00277ED2">
      <w:pPr>
        <w:spacing w:after="0" w:line="240" w:lineRule="auto"/>
        <w:jc w:val="both"/>
        <w:rPr>
          <w:rFonts w:ascii="Verdana" w:eastAsia="Calibri" w:hAnsi="Verdana" w:cs="Arial"/>
          <w:lang w:val="es-ES"/>
        </w:rPr>
      </w:pPr>
    </w:p>
    <w:p w14:paraId="6AAA8343" w14:textId="7B0391F0" w:rsidR="00277ED2" w:rsidRPr="00CF50D6" w:rsidRDefault="00277ED2" w:rsidP="00277ED2">
      <w:pPr>
        <w:spacing w:after="0" w:line="240" w:lineRule="auto"/>
        <w:jc w:val="right"/>
        <w:rPr>
          <w:rFonts w:ascii="Verdana" w:eastAsia="Calibri" w:hAnsi="Verdana" w:cs="Arial"/>
          <w:lang w:val="es-ES"/>
        </w:rPr>
      </w:pPr>
      <w:r w:rsidRPr="00277ED2">
        <w:rPr>
          <w:rFonts w:ascii="Verdana" w:eastAsia="Calibri" w:hAnsi="Verdana" w:cs="Arial"/>
          <w:noProof/>
          <w:lang w:val="es-ES"/>
        </w:rPr>
        <w:drawing>
          <wp:inline distT="0" distB="0" distL="0" distR="0" wp14:anchorId="53029B8C" wp14:editId="3C6F842A">
            <wp:extent cx="3286584" cy="952633"/>
            <wp:effectExtent l="0" t="0" r="9525" b="0"/>
            <wp:docPr id="23197834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8341" name="Imagen 1" descr="Interfaz de usuario gráfica, Texto&#10;&#10;Descripción generada automáticamente"/>
                    <pic:cNvPicPr/>
                  </pic:nvPicPr>
                  <pic:blipFill>
                    <a:blip r:embed="rId10"/>
                    <a:stretch>
                      <a:fillRect/>
                    </a:stretch>
                  </pic:blipFill>
                  <pic:spPr>
                    <a:xfrm>
                      <a:off x="0" y="0"/>
                      <a:ext cx="3286584" cy="952633"/>
                    </a:xfrm>
                    <a:prstGeom prst="rect">
                      <a:avLst/>
                    </a:prstGeom>
                  </pic:spPr>
                </pic:pic>
              </a:graphicData>
            </a:graphic>
          </wp:inline>
        </w:drawing>
      </w:r>
    </w:p>
    <w:p w14:paraId="2A7A9C86" w14:textId="77777777" w:rsidR="00277ED2" w:rsidRPr="00CF50D6" w:rsidRDefault="00277ED2" w:rsidP="00277ED2">
      <w:pPr>
        <w:spacing w:after="0" w:line="240" w:lineRule="auto"/>
        <w:jc w:val="both"/>
        <w:rPr>
          <w:rFonts w:ascii="Verdana" w:eastAsia="Calibri" w:hAnsi="Verdana" w:cs="Arial"/>
          <w:lang w:val="es-ES"/>
        </w:rPr>
      </w:pPr>
    </w:p>
    <w:p w14:paraId="3CD38BD5" w14:textId="77777777" w:rsidR="00277ED2" w:rsidRPr="00CF50D6" w:rsidRDefault="00277ED2" w:rsidP="00277ED2">
      <w:pPr>
        <w:spacing w:after="0" w:line="240" w:lineRule="auto"/>
        <w:jc w:val="both"/>
        <w:rPr>
          <w:rFonts w:ascii="Verdana" w:eastAsia="Calibri" w:hAnsi="Verdana" w:cs="Arial"/>
          <w:lang w:val="es-ES" w:eastAsia="es-ES"/>
        </w:rPr>
      </w:pPr>
      <w:r w:rsidRPr="00CF50D6">
        <w:rPr>
          <w:rFonts w:ascii="Verdana" w:eastAsia="Calibri" w:hAnsi="Verdana" w:cs="Arial"/>
          <w:lang w:val="es-ES" w:eastAsia="es-ES"/>
        </w:rPr>
        <w:t>Señora</w:t>
      </w:r>
    </w:p>
    <w:p w14:paraId="1AA84B57" w14:textId="77777777" w:rsidR="00277ED2" w:rsidRPr="00CF50D6" w:rsidRDefault="00277ED2" w:rsidP="00277ED2">
      <w:pPr>
        <w:spacing w:after="0" w:line="240" w:lineRule="auto"/>
        <w:rPr>
          <w:rFonts w:ascii="Verdana" w:eastAsia="Calibri" w:hAnsi="Verdana" w:cs="Arial"/>
          <w:b/>
          <w:lang w:val="es-ES_tradnl" w:eastAsia="es-ES_tradnl"/>
        </w:rPr>
      </w:pPr>
      <w:r w:rsidRPr="00CF50D6">
        <w:rPr>
          <w:rFonts w:ascii="Verdana" w:eastAsia="Calibri" w:hAnsi="Verdana" w:cs="Arial"/>
          <w:b/>
          <w:lang w:val="es-ES_tradnl" w:eastAsia="es-ES_tradnl"/>
        </w:rPr>
        <w:t>Mariana Garcés Córdoba</w:t>
      </w:r>
    </w:p>
    <w:p w14:paraId="455EFDBB" w14:textId="77777777" w:rsidR="00277ED2" w:rsidRPr="00CF50D6" w:rsidRDefault="00276F42" w:rsidP="00277ED2">
      <w:pPr>
        <w:spacing w:after="0" w:line="240" w:lineRule="auto"/>
        <w:rPr>
          <w:rFonts w:ascii="Verdana" w:eastAsia="Aptos" w:hAnsi="Verdana" w:cs="Times New Roman"/>
        </w:rPr>
      </w:pPr>
      <w:hyperlink r:id="rId11" w:history="1">
        <w:r w:rsidR="00277ED2" w:rsidRPr="00CF50D6">
          <w:rPr>
            <w:rFonts w:ascii="Verdana" w:eastAsia="Aptos" w:hAnsi="Verdana" w:cs="Times New Roman"/>
            <w:color w:val="467886"/>
            <w:u w:val="single"/>
          </w:rPr>
          <w:t>mailto:andrescamiloperalta@outlook.es</w:t>
        </w:r>
      </w:hyperlink>
      <w:r w:rsidR="00277ED2" w:rsidRPr="00CF50D6">
        <w:rPr>
          <w:rFonts w:ascii="Verdana" w:eastAsia="Aptos" w:hAnsi="Verdana" w:cs="Times New Roman"/>
        </w:rPr>
        <w:t xml:space="preserve"> </w:t>
      </w:r>
    </w:p>
    <w:p w14:paraId="6838C074" w14:textId="77777777" w:rsidR="00277ED2" w:rsidRPr="00CF50D6" w:rsidRDefault="00277ED2" w:rsidP="00277ED2">
      <w:pPr>
        <w:spacing w:after="0" w:line="240" w:lineRule="auto"/>
        <w:rPr>
          <w:rFonts w:ascii="Verdana" w:eastAsia="Calibri" w:hAnsi="Verdana" w:cs="Arial"/>
          <w:b/>
          <w:bCs/>
          <w:lang w:val="es-ES" w:eastAsia="es-ES"/>
        </w:rPr>
      </w:pPr>
      <w:r w:rsidRPr="00CF50D6">
        <w:rPr>
          <w:rFonts w:ascii="Verdana" w:eastAsia="Calibri" w:hAnsi="Verdana" w:cs="Arial"/>
          <w:lang w:val="es-ES" w:eastAsia="es-ES"/>
        </w:rPr>
        <w:t>Santiago de Cali, Valle del Cauca</w:t>
      </w:r>
    </w:p>
    <w:p w14:paraId="643C13F4" w14:textId="77777777" w:rsidR="00277ED2" w:rsidRPr="00CF50D6" w:rsidRDefault="00277ED2" w:rsidP="00277ED2">
      <w:pPr>
        <w:spacing w:after="0" w:line="240" w:lineRule="auto"/>
        <w:rPr>
          <w:rFonts w:ascii="Verdana" w:eastAsia="Calibri" w:hAnsi="Verdana" w:cs="Arial"/>
          <w:b/>
          <w:bCs/>
          <w:lang w:val="es-ES_tradnl" w:eastAsia="es-ES_tradnl"/>
        </w:rPr>
      </w:pPr>
    </w:p>
    <w:p w14:paraId="6FD67478" w14:textId="77777777" w:rsidR="00277ED2" w:rsidRPr="00CF50D6" w:rsidRDefault="00277ED2" w:rsidP="00277ED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77ED2" w:rsidRPr="00CF50D6" w14:paraId="659F1990" w14:textId="77777777" w:rsidTr="0019617C">
        <w:trPr>
          <w:trHeight w:val="884"/>
        </w:trPr>
        <w:tc>
          <w:tcPr>
            <w:tcW w:w="2689" w:type="dxa"/>
          </w:tcPr>
          <w:p w14:paraId="113F10F7" w14:textId="77777777" w:rsidR="00277ED2" w:rsidRPr="00CF50D6" w:rsidRDefault="00277ED2" w:rsidP="0019617C">
            <w:pPr>
              <w:jc w:val="both"/>
              <w:rPr>
                <w:rFonts w:ascii="Verdana" w:eastAsia="Calibri" w:hAnsi="Verdana" w:cs="Arial"/>
                <w:b/>
                <w:bCs/>
                <w:lang w:val="es-ES_tradnl" w:eastAsia="es-ES_tradnl"/>
              </w:rPr>
            </w:pPr>
          </w:p>
        </w:tc>
        <w:tc>
          <w:tcPr>
            <w:tcW w:w="6100" w:type="dxa"/>
          </w:tcPr>
          <w:p w14:paraId="3B7A8077" w14:textId="77777777" w:rsidR="00277ED2" w:rsidRPr="00CF50D6" w:rsidRDefault="00277ED2" w:rsidP="0019617C">
            <w:pPr>
              <w:jc w:val="both"/>
              <w:rPr>
                <w:rFonts w:ascii="Verdana" w:eastAsia="Calibri" w:hAnsi="Verdana" w:cs="Arial"/>
                <w:b/>
                <w:bCs/>
                <w:lang w:val="es-ES" w:eastAsia="es-ES"/>
              </w:rPr>
            </w:pPr>
            <w:r w:rsidRPr="00CF50D6">
              <w:rPr>
                <w:rFonts w:ascii="Verdana" w:eastAsia="Calibri" w:hAnsi="Verdana" w:cs="Arial"/>
                <w:b/>
                <w:bCs/>
                <w:lang w:val="es-ES" w:eastAsia="es-ES"/>
              </w:rPr>
              <w:t>Concepto C-634 de 2024</w:t>
            </w:r>
          </w:p>
        </w:tc>
      </w:tr>
      <w:tr w:rsidR="00277ED2" w:rsidRPr="00CF50D6" w14:paraId="50288791" w14:textId="77777777" w:rsidTr="0019617C">
        <w:trPr>
          <w:trHeight w:val="884"/>
        </w:trPr>
        <w:tc>
          <w:tcPr>
            <w:tcW w:w="2689" w:type="dxa"/>
          </w:tcPr>
          <w:p w14:paraId="23A49C54" w14:textId="77777777" w:rsidR="00277ED2" w:rsidRPr="00CF50D6" w:rsidRDefault="00277ED2" w:rsidP="0019617C">
            <w:pPr>
              <w:jc w:val="both"/>
              <w:rPr>
                <w:rFonts w:ascii="Verdana" w:eastAsia="Calibri" w:hAnsi="Verdana" w:cs="Arial"/>
                <w:lang w:val="es-ES_tradnl" w:eastAsia="es-ES_tradnl"/>
              </w:rPr>
            </w:pPr>
            <w:r w:rsidRPr="00CF50D6">
              <w:rPr>
                <w:rFonts w:ascii="Verdana" w:eastAsia="Calibri" w:hAnsi="Verdana" w:cs="Arial"/>
                <w:b/>
                <w:lang w:val="es-ES_tradnl" w:eastAsia="es-ES_tradnl"/>
              </w:rPr>
              <w:t>Temas:</w:t>
            </w:r>
            <w:r w:rsidRPr="00CF50D6">
              <w:rPr>
                <w:rFonts w:ascii="Verdana" w:eastAsia="Calibri" w:hAnsi="Verdana" w:cs="Arial"/>
                <w:lang w:val="es-ES_tradnl" w:eastAsia="es-ES_tradnl"/>
              </w:rPr>
              <w:t xml:space="preserve">                   </w:t>
            </w:r>
          </w:p>
        </w:tc>
        <w:tc>
          <w:tcPr>
            <w:tcW w:w="6100" w:type="dxa"/>
          </w:tcPr>
          <w:p w14:paraId="7D0E1562" w14:textId="77777777" w:rsidR="00277ED2" w:rsidRPr="00CF50D6" w:rsidRDefault="00277ED2" w:rsidP="0019617C">
            <w:pPr>
              <w:spacing w:line="276" w:lineRule="auto"/>
              <w:jc w:val="both"/>
              <w:rPr>
                <w:rFonts w:ascii="Verdana" w:eastAsia="Calibri" w:hAnsi="Verdana" w:cs="Arial"/>
                <w:lang w:val="es-ES" w:eastAsia="es-ES"/>
              </w:rPr>
            </w:pPr>
            <w:r w:rsidRPr="00CF50D6">
              <w:rPr>
                <w:rFonts w:ascii="Verdana" w:eastAsia="Calibri" w:hAnsi="Verdana" w:cs="Arial"/>
                <w:lang w:val="es-ES" w:eastAsia="es-ES"/>
              </w:rPr>
              <w:t>RÉGIMEN DE INHABILIDADES – Noción – Contratación estatal – Finalidad – Origen / BOLETÍN DE DEUDORES MOROSOS DEL ESTADO – Obligación de las entidades públicas – No constituye causal de inhabilidad – Ley 901 de 2004</w:t>
            </w:r>
          </w:p>
          <w:p w14:paraId="20574CC3" w14:textId="77777777" w:rsidR="00277ED2" w:rsidRPr="00CF50D6" w:rsidRDefault="00277ED2" w:rsidP="0019617C">
            <w:pPr>
              <w:spacing w:line="276" w:lineRule="auto"/>
              <w:jc w:val="both"/>
              <w:rPr>
                <w:rFonts w:ascii="Verdana" w:eastAsia="Calibri" w:hAnsi="Verdana" w:cs="Arial"/>
                <w:lang w:val="es-ES" w:eastAsia="es-ES"/>
              </w:rPr>
            </w:pPr>
          </w:p>
        </w:tc>
      </w:tr>
      <w:tr w:rsidR="00277ED2" w:rsidRPr="00CF50D6" w14:paraId="173F0B28" w14:textId="77777777" w:rsidTr="0019617C">
        <w:tc>
          <w:tcPr>
            <w:tcW w:w="2689" w:type="dxa"/>
          </w:tcPr>
          <w:p w14:paraId="3DE59E64" w14:textId="77777777" w:rsidR="00277ED2" w:rsidRPr="00CF50D6" w:rsidRDefault="00277ED2" w:rsidP="0019617C">
            <w:pPr>
              <w:jc w:val="both"/>
              <w:rPr>
                <w:rFonts w:ascii="Verdana" w:eastAsia="Calibri" w:hAnsi="Verdana" w:cs="Arial"/>
                <w:b/>
                <w:lang w:val="es-ES_tradnl" w:eastAsia="es-ES_tradnl"/>
              </w:rPr>
            </w:pPr>
            <w:r w:rsidRPr="00CF50D6">
              <w:rPr>
                <w:rFonts w:ascii="Verdana" w:eastAsia="Calibri" w:hAnsi="Verdana" w:cs="Arial"/>
                <w:b/>
                <w:lang w:val="es-ES_tradnl" w:eastAsia="es-ES_tradnl"/>
              </w:rPr>
              <w:t>Radicación:</w:t>
            </w:r>
            <w:r w:rsidRPr="00CF50D6">
              <w:rPr>
                <w:rFonts w:ascii="Verdana" w:eastAsia="Calibri" w:hAnsi="Verdana" w:cs="Arial"/>
                <w:lang w:val="es-ES_tradnl" w:eastAsia="es-ES_tradnl"/>
              </w:rPr>
              <w:t xml:space="preserve">               </w:t>
            </w:r>
          </w:p>
        </w:tc>
        <w:tc>
          <w:tcPr>
            <w:tcW w:w="6100" w:type="dxa"/>
          </w:tcPr>
          <w:p w14:paraId="2CFA3E91" w14:textId="77777777" w:rsidR="00277ED2" w:rsidRPr="00CF50D6" w:rsidRDefault="00277ED2" w:rsidP="0019617C">
            <w:pPr>
              <w:jc w:val="both"/>
              <w:rPr>
                <w:rFonts w:ascii="Verdana" w:eastAsia="Calibri" w:hAnsi="Verdana" w:cs="Arial"/>
                <w:lang w:val="es-ES_tradnl" w:eastAsia="es-ES_tradnl"/>
              </w:rPr>
            </w:pPr>
            <w:r w:rsidRPr="00CF50D6">
              <w:rPr>
                <w:rFonts w:ascii="Verdana" w:eastAsia="Calibri" w:hAnsi="Verdana" w:cs="Arial"/>
                <w:lang w:val="es-ES_tradnl" w:eastAsia="es-ES_tradnl"/>
              </w:rPr>
              <w:t>Respuesta a consulta con radicado No. P20240919009572</w:t>
            </w:r>
            <w:r w:rsidRPr="00CF50D6">
              <w:rPr>
                <w:rFonts w:ascii="Verdana" w:eastAsia="Calibri" w:hAnsi="Verdana" w:cs="Arial"/>
                <w:lang w:val="es-ES_tradnl" w:eastAsia="es-ES_tradnl"/>
              </w:rPr>
              <w:tab/>
            </w:r>
            <w:r w:rsidRPr="00CF50D6">
              <w:rPr>
                <w:rFonts w:ascii="Verdana" w:eastAsia="Calibri" w:hAnsi="Verdana" w:cs="Arial"/>
                <w:lang w:val="es-ES_tradnl" w:eastAsia="es-ES_tradnl"/>
              </w:rPr>
              <w:tab/>
            </w:r>
          </w:p>
        </w:tc>
      </w:tr>
    </w:tbl>
    <w:p w14:paraId="689BC622" w14:textId="77777777" w:rsidR="00277ED2" w:rsidRPr="00CF50D6" w:rsidRDefault="00277ED2" w:rsidP="00277ED2">
      <w:pPr>
        <w:spacing w:after="0" w:line="240" w:lineRule="auto"/>
        <w:jc w:val="both"/>
        <w:rPr>
          <w:rFonts w:ascii="Verdana" w:eastAsia="Calibri" w:hAnsi="Verdana" w:cs="Arial"/>
          <w:lang w:val="es-ES_tradnl" w:eastAsia="es-ES_tradnl"/>
        </w:rPr>
      </w:pPr>
    </w:p>
    <w:p w14:paraId="3B0D06EE" w14:textId="77777777" w:rsidR="00277ED2" w:rsidRPr="00CF50D6" w:rsidRDefault="00277ED2" w:rsidP="00277ED2">
      <w:pPr>
        <w:spacing w:after="0" w:line="240" w:lineRule="auto"/>
        <w:jc w:val="both"/>
        <w:rPr>
          <w:rFonts w:ascii="Verdana" w:eastAsia="Calibri" w:hAnsi="Verdana" w:cs="Arial"/>
          <w:lang w:val="es-ES_tradnl" w:eastAsia="es-ES_tradnl"/>
        </w:rPr>
      </w:pPr>
    </w:p>
    <w:p w14:paraId="7DCFA69C" w14:textId="77777777" w:rsidR="00277ED2" w:rsidRPr="00CF50D6" w:rsidRDefault="00277ED2" w:rsidP="00277ED2">
      <w:pPr>
        <w:spacing w:after="0" w:line="276" w:lineRule="auto"/>
        <w:jc w:val="both"/>
        <w:rPr>
          <w:rFonts w:ascii="Verdana" w:eastAsia="Calibri" w:hAnsi="Verdana" w:cs="Arial"/>
          <w:lang w:val="es-ES" w:eastAsia="es-ES"/>
        </w:rPr>
      </w:pPr>
      <w:r w:rsidRPr="00CF50D6">
        <w:rPr>
          <w:rFonts w:ascii="Verdana" w:eastAsia="Calibri" w:hAnsi="Verdana" w:cs="Arial"/>
          <w:lang w:val="es-ES" w:eastAsia="es-ES"/>
        </w:rPr>
        <w:t xml:space="preserve">Estimada señora Garcés: </w:t>
      </w:r>
    </w:p>
    <w:p w14:paraId="223799D2" w14:textId="77777777" w:rsidR="00277ED2" w:rsidRPr="00CF50D6" w:rsidRDefault="00277ED2" w:rsidP="00277ED2">
      <w:pPr>
        <w:tabs>
          <w:tab w:val="left" w:pos="3768"/>
        </w:tabs>
        <w:spacing w:after="0" w:line="276" w:lineRule="auto"/>
        <w:jc w:val="both"/>
        <w:rPr>
          <w:rFonts w:ascii="Verdana" w:eastAsia="Calibri" w:hAnsi="Verdana" w:cs="Arial"/>
          <w:lang w:val="es-ES" w:eastAsia="es-ES"/>
        </w:rPr>
      </w:pPr>
      <w:r w:rsidRPr="00CF50D6">
        <w:rPr>
          <w:rFonts w:ascii="Verdana" w:eastAsia="Calibri" w:hAnsi="Verdana" w:cs="Arial"/>
          <w:lang w:val="es-ES" w:eastAsia="es-ES"/>
        </w:rPr>
        <w:tab/>
      </w:r>
    </w:p>
    <w:p w14:paraId="4A14DD89" w14:textId="77777777" w:rsidR="00277ED2" w:rsidRPr="00CF50D6" w:rsidRDefault="00277ED2" w:rsidP="00277ED2">
      <w:pPr>
        <w:spacing w:after="0" w:line="276" w:lineRule="auto"/>
        <w:jc w:val="both"/>
        <w:rPr>
          <w:rFonts w:ascii="Verdana" w:eastAsia="Calibri" w:hAnsi="Verdana" w:cs="Arial"/>
          <w:lang w:val="es-ES" w:eastAsia="es-ES"/>
        </w:rPr>
      </w:pPr>
      <w:r w:rsidRPr="00CF50D6">
        <w:rPr>
          <w:rFonts w:ascii="Verdana" w:eastAsia="Calibri" w:hAnsi="Verdana" w:cs="Arial"/>
          <w:lang w:val="es-ES" w:eastAsia="es-ES"/>
        </w:rPr>
        <w:t>En ejercicio de la competencia otorgada por los artículos 3, numeral 5º, y 11, numeral 8º, del Decreto Ley 4170 de 2011,</w:t>
      </w:r>
      <w:r w:rsidRPr="00CF50D6">
        <w:rPr>
          <w:rFonts w:ascii="Verdana" w:eastAsia="Arial MT" w:hAnsi="Verdana" w:cs="Arial MT"/>
          <w:lang w:val="es-ES" w:eastAsia="es-ES"/>
        </w:rPr>
        <w:t xml:space="preserve"> </w:t>
      </w:r>
      <w:r w:rsidRPr="00CF50D6">
        <w:rPr>
          <w:rFonts w:ascii="Verdana" w:eastAsia="Aptos" w:hAnsi="Verdana" w:cs="Arial"/>
        </w:rPr>
        <w:t xml:space="preserve">así como lo establecido en el artículo 4 de la Resolución 1707 de 2018 expedida por esta Entidad, </w:t>
      </w:r>
      <w:r w:rsidRPr="00CF50D6">
        <w:rPr>
          <w:rFonts w:ascii="Verdana" w:eastAsia="Calibri" w:hAnsi="Verdana" w:cs="Arial"/>
          <w:lang w:val="es-ES" w:eastAsia="es-ES"/>
        </w:rPr>
        <w:t xml:space="preserve">la Agencia Nacional de Contratación Pública – Colombia Compra Eficiente– responde su solicitud de consulta de fecha del 18 de septiembre de 2024, que fue remita por el Ministerio de Hacienda y Crédito Público mediante oficio con radicado No. 2-2024-049943 del mismo mes y año. Usted realiza las siguientes preguntas: </w:t>
      </w:r>
    </w:p>
    <w:p w14:paraId="1D83BF37" w14:textId="77777777" w:rsidR="00277ED2" w:rsidRPr="00CF50D6" w:rsidRDefault="00277ED2" w:rsidP="00277ED2">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24B70C7" w14:textId="77777777" w:rsidR="00277ED2" w:rsidRPr="00CF50D6" w:rsidRDefault="00277ED2" w:rsidP="00277ED2">
      <w:pPr>
        <w:tabs>
          <w:tab w:val="left" w:pos="709"/>
        </w:tabs>
        <w:spacing w:before="120" w:after="0" w:line="240" w:lineRule="auto"/>
        <w:ind w:left="709" w:right="709"/>
        <w:jc w:val="both"/>
        <w:rPr>
          <w:rFonts w:ascii="Verdana" w:eastAsia="Calibri" w:hAnsi="Verdana" w:cs="Arial"/>
          <w:b/>
          <w:bCs/>
          <w:sz w:val="20"/>
          <w:szCs w:val="20"/>
          <w:lang w:val="es-MX"/>
        </w:rPr>
      </w:pPr>
      <w:r w:rsidRPr="00CF50D6">
        <w:rPr>
          <w:rFonts w:ascii="Verdana" w:eastAsia="Calibri" w:hAnsi="Verdana" w:cs="Arial"/>
          <w:sz w:val="20"/>
          <w:szCs w:val="20"/>
          <w:lang w:val="es-MX"/>
        </w:rPr>
        <w:t xml:space="preserve">“1. </w:t>
      </w:r>
      <w:r w:rsidRPr="00CF50D6">
        <w:rPr>
          <w:rFonts w:ascii="Verdana" w:eastAsia="Calibri" w:hAnsi="Verdana" w:cs="Arial"/>
          <w:b/>
          <w:bCs/>
          <w:sz w:val="20"/>
          <w:szCs w:val="20"/>
          <w:lang w:val="es-MX"/>
        </w:rPr>
        <w:t xml:space="preserve">Puede una organización privada sin ánimo de lucro (ESAL) suscribir convenios y/o contratos con Ministerios u otras </w:t>
      </w:r>
      <w:r w:rsidRPr="00CF50D6">
        <w:rPr>
          <w:rFonts w:ascii="Verdana" w:eastAsia="Calibri" w:hAnsi="Verdana" w:cs="Arial"/>
          <w:b/>
          <w:bCs/>
          <w:sz w:val="20"/>
          <w:szCs w:val="20"/>
          <w:lang w:val="es-MX"/>
        </w:rPr>
        <w:lastRenderedPageBreak/>
        <w:t>organizaciones del Estado a pesar de estar reportadas en el boletín de deudores morosos de la Contaduría General de la Nación</w:t>
      </w:r>
    </w:p>
    <w:p w14:paraId="03326D4B" w14:textId="77777777" w:rsidR="00277ED2" w:rsidRPr="00CF50D6" w:rsidRDefault="00277ED2" w:rsidP="00277ED2">
      <w:pPr>
        <w:tabs>
          <w:tab w:val="left" w:pos="709"/>
        </w:tabs>
        <w:spacing w:before="120" w:after="0" w:line="240" w:lineRule="auto"/>
        <w:ind w:left="709" w:right="709"/>
        <w:jc w:val="both"/>
        <w:rPr>
          <w:rFonts w:ascii="Verdana" w:eastAsia="Calibri" w:hAnsi="Verdana" w:cs="Arial"/>
          <w:sz w:val="20"/>
          <w:szCs w:val="20"/>
          <w:lang w:val="es-MX"/>
        </w:rPr>
      </w:pPr>
      <w:r w:rsidRPr="00CF50D6">
        <w:rPr>
          <w:rFonts w:ascii="Verdana" w:eastAsia="Calibri" w:hAnsi="Verdana" w:cs="Arial"/>
          <w:sz w:val="20"/>
          <w:szCs w:val="20"/>
          <w:lang w:val="es-MX"/>
        </w:rPr>
        <w:t xml:space="preserve">2. Si la respuesta a la anterior pregunta es afirmativa, atentamente solicito al </w:t>
      </w:r>
      <w:r w:rsidRPr="00CF50D6">
        <w:rPr>
          <w:rFonts w:ascii="Verdana" w:eastAsia="Calibri" w:hAnsi="Verdana" w:cs="Arial"/>
          <w:b/>
          <w:bCs/>
          <w:sz w:val="20"/>
          <w:szCs w:val="20"/>
          <w:lang w:val="es-MX"/>
        </w:rPr>
        <w:t xml:space="preserve">Ministerio </w:t>
      </w:r>
      <w:r w:rsidRPr="00CF50D6">
        <w:rPr>
          <w:rFonts w:ascii="Verdana" w:eastAsia="Calibri" w:hAnsi="Verdana" w:cs="Arial"/>
          <w:sz w:val="20"/>
          <w:szCs w:val="20"/>
          <w:lang w:val="es-MX"/>
        </w:rPr>
        <w:t>que se sirva responder si considera que la prohibición para contratar con el sector público también es aplicable a aquellas entidades de derecho privado que hayan suscrito acuerdo de pago con la Dian u otras entidades con las que se tengan acreencias y que estén al día en el cumplimiento de los acuerdos.</w:t>
      </w:r>
    </w:p>
    <w:p w14:paraId="40979868" w14:textId="77777777" w:rsidR="00277ED2" w:rsidRPr="00CF50D6" w:rsidRDefault="00277ED2" w:rsidP="00277ED2">
      <w:pPr>
        <w:tabs>
          <w:tab w:val="left" w:pos="709"/>
        </w:tabs>
        <w:spacing w:before="120" w:after="0" w:line="240" w:lineRule="auto"/>
        <w:ind w:left="709" w:right="709"/>
        <w:jc w:val="both"/>
        <w:rPr>
          <w:rFonts w:ascii="Verdana" w:eastAsia="Calibri" w:hAnsi="Verdana" w:cs="Arial"/>
          <w:sz w:val="20"/>
          <w:szCs w:val="20"/>
          <w:lang w:val="es-MX"/>
        </w:rPr>
      </w:pPr>
      <w:r w:rsidRPr="00CF50D6">
        <w:rPr>
          <w:rFonts w:ascii="Verdana" w:eastAsia="Calibri" w:hAnsi="Verdana" w:cs="Arial"/>
          <w:sz w:val="20"/>
          <w:szCs w:val="20"/>
          <w:lang w:val="es-MX"/>
        </w:rPr>
        <w:t>3.Teniendo en cuenta lo decidido por la Corte Constitucional en la sentencia C 1083 del 24 de octubre de 2005, ¿Están autorizadas las entidades públicas para solicitar o verificar la información del reporte de morosos en las convocatorias, invitaciones, licitaciones o concursos que abren?</w:t>
      </w:r>
    </w:p>
    <w:p w14:paraId="12BEB689" w14:textId="77777777" w:rsidR="00277ED2" w:rsidRPr="00CF50D6" w:rsidRDefault="00277ED2" w:rsidP="00277ED2">
      <w:pPr>
        <w:tabs>
          <w:tab w:val="left" w:pos="709"/>
        </w:tabs>
        <w:spacing w:before="120" w:after="0" w:line="240" w:lineRule="auto"/>
        <w:ind w:left="709" w:right="709"/>
        <w:jc w:val="both"/>
        <w:rPr>
          <w:rFonts w:ascii="Verdana" w:eastAsia="Calibri" w:hAnsi="Verdana" w:cs="Arial"/>
          <w:sz w:val="20"/>
          <w:szCs w:val="20"/>
          <w:lang w:val="es-MX"/>
        </w:rPr>
      </w:pPr>
      <w:r w:rsidRPr="00CF50D6">
        <w:rPr>
          <w:rFonts w:ascii="Verdana" w:eastAsia="Calibri" w:hAnsi="Verdana" w:cs="Arial"/>
          <w:sz w:val="20"/>
          <w:szCs w:val="20"/>
          <w:lang w:val="es-MX"/>
        </w:rPr>
        <w:t>4. Si una entidad estatal pretende aplicar la inhabilidad establecida en los incisos 2 y 4 del parágrafo 3 del artículo 2 de la ley 901 de 2004, a pesar de que esas normas fueron declaradas inexequibles por la Corte Constitucional, y con ese argumento rechaza la contratación de quienes pretendan participar en las convocatorias, concursos, invitaciones o licitaciones públicas que abra, o si aduce esa norma para justificar la imposibilidad de celebrar convenios de asociación o cualquier tipo de contrato con las personas reportadas, ¿qué recursos o acción concede la ley a las personas afectadas, con el fin de forzar a la entidad a corregir esta práctica y ajustar sus conocimientos al orden constitucional?</w:t>
      </w:r>
    </w:p>
    <w:p w14:paraId="396D6DB4" w14:textId="77777777" w:rsidR="00277ED2" w:rsidRPr="00CF50D6" w:rsidRDefault="00277ED2" w:rsidP="00277ED2">
      <w:pPr>
        <w:tabs>
          <w:tab w:val="left" w:pos="709"/>
        </w:tabs>
        <w:spacing w:before="120" w:after="0" w:line="240" w:lineRule="auto"/>
        <w:ind w:left="709" w:right="709"/>
        <w:jc w:val="both"/>
        <w:rPr>
          <w:rFonts w:ascii="Verdana" w:eastAsia="Calibri" w:hAnsi="Verdana" w:cs="Arial"/>
          <w:sz w:val="20"/>
          <w:szCs w:val="20"/>
          <w:lang w:val="es-MX"/>
        </w:rPr>
      </w:pPr>
      <w:r w:rsidRPr="00CF50D6">
        <w:rPr>
          <w:rFonts w:ascii="Verdana" w:eastAsia="Calibri" w:hAnsi="Verdana" w:cs="Arial"/>
          <w:sz w:val="20"/>
          <w:szCs w:val="20"/>
          <w:lang w:val="es-MX"/>
        </w:rPr>
        <w:t xml:space="preserve">5. Comedidamente solicito al </w:t>
      </w:r>
      <w:r w:rsidRPr="00CF50D6">
        <w:rPr>
          <w:rFonts w:ascii="Verdana" w:eastAsia="Calibri" w:hAnsi="Verdana" w:cs="Arial"/>
          <w:b/>
          <w:bCs/>
          <w:sz w:val="20"/>
          <w:szCs w:val="20"/>
          <w:lang w:val="es-MX"/>
        </w:rPr>
        <w:t xml:space="preserve">Ministerio de Hacienda </w:t>
      </w:r>
      <w:r w:rsidRPr="00CF50D6">
        <w:rPr>
          <w:rFonts w:ascii="Verdana" w:eastAsia="Calibri" w:hAnsi="Verdana" w:cs="Arial"/>
          <w:sz w:val="20"/>
          <w:szCs w:val="20"/>
          <w:lang w:val="es-MX"/>
        </w:rPr>
        <w:t>que se sirva expedir una circular para instruir a las diversas entidades del Estado aclarando cómo deben proceder frente al tema del reporte en el boletín de deudores morosos de la Contaduría General de la Nación y a la suscripción de actos y contratos con entidades reportadas dando claridad a los funcionarios públicos y garantías a la ciudadanía en general que hoy se ve sujeta a la interpretación de las entidades y de los funcionarios de turno, a pesar de las notas que llevan sobre el particular los boletines de morosos expedidos por la Contaduría”. [sic] [Negrillas propias]</w:t>
      </w:r>
    </w:p>
    <w:p w14:paraId="36165441" w14:textId="77777777" w:rsidR="00277ED2" w:rsidRPr="00CF50D6" w:rsidRDefault="00277ED2" w:rsidP="00277ED2">
      <w:pPr>
        <w:tabs>
          <w:tab w:val="left" w:pos="142"/>
          <w:tab w:val="left" w:pos="284"/>
        </w:tabs>
        <w:spacing w:line="276" w:lineRule="auto"/>
        <w:contextualSpacing/>
        <w:jc w:val="both"/>
        <w:rPr>
          <w:rFonts w:ascii="Verdana" w:eastAsia="Century Gothic" w:hAnsi="Verdana" w:cs="Century Gothic"/>
          <w:b/>
          <w:bCs/>
          <w:lang w:val="es-ES"/>
        </w:rPr>
      </w:pPr>
    </w:p>
    <w:p w14:paraId="11AB0E7E" w14:textId="77777777" w:rsidR="00277ED2" w:rsidRPr="00CF50D6" w:rsidRDefault="00277ED2" w:rsidP="00277ED2">
      <w:pPr>
        <w:spacing w:after="120" w:line="276" w:lineRule="auto"/>
        <w:ind w:firstLine="709"/>
        <w:jc w:val="both"/>
        <w:rPr>
          <w:rFonts w:ascii="Verdana" w:eastAsia="Calibri" w:hAnsi="Verdana" w:cs="Arial"/>
          <w:szCs w:val="24"/>
          <w:lang w:val="es-ES_tradnl" w:eastAsia="es-ES_tradnl"/>
        </w:rPr>
      </w:pPr>
      <w:r w:rsidRPr="00CF50D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CF50D6">
        <w:rPr>
          <w:rFonts w:ascii="Verdana" w:eastAsia="Calibri" w:hAnsi="Verdana" w:cs="Arial"/>
          <w:lang w:val="es-ES" w:eastAsia="es-ES"/>
        </w:rPr>
        <w:lastRenderedPageBreak/>
        <w:t xml:space="preserve">interpretación de normas generales, por definición, no puede extenderse a la resolución de controversias, ni a brindar asesorías sobre casos puntuales. </w:t>
      </w:r>
      <w:r w:rsidRPr="00CF50D6">
        <w:rPr>
          <w:rFonts w:ascii="Verdana" w:eastAsia="Calibri" w:hAnsi="Verdana" w:cs="Arial"/>
          <w:szCs w:val="24"/>
          <w:lang w:val="es-ES_tradnl" w:eastAsia="es-ES_tradnl"/>
        </w:rPr>
        <w:tab/>
      </w:r>
    </w:p>
    <w:p w14:paraId="6A57B92F" w14:textId="77777777" w:rsidR="00277ED2" w:rsidRPr="00CF50D6" w:rsidRDefault="00277ED2" w:rsidP="00277ED2">
      <w:pPr>
        <w:spacing w:after="0" w:line="276" w:lineRule="auto"/>
        <w:ind w:firstLine="709"/>
        <w:jc w:val="both"/>
        <w:rPr>
          <w:rFonts w:ascii="Verdana" w:eastAsia="Calibri" w:hAnsi="Verdana" w:cs="Arial"/>
          <w:lang w:val="es-ES" w:eastAsia="es-ES"/>
        </w:rPr>
      </w:pPr>
      <w:r w:rsidRPr="00CF50D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2682FDE" w14:textId="77777777" w:rsidR="00277ED2" w:rsidRPr="00CF50D6" w:rsidRDefault="00277ED2" w:rsidP="00277ED2">
      <w:pPr>
        <w:spacing w:after="0" w:line="276" w:lineRule="auto"/>
        <w:ind w:firstLine="709"/>
        <w:jc w:val="both"/>
        <w:rPr>
          <w:rFonts w:ascii="Verdana" w:eastAsia="Calibri" w:hAnsi="Verdana" w:cs="Arial"/>
          <w:lang w:val="es-ES" w:eastAsia="es-ES"/>
        </w:rPr>
      </w:pPr>
    </w:p>
    <w:p w14:paraId="320131CA" w14:textId="77777777" w:rsidR="00277ED2" w:rsidRPr="00CF50D6" w:rsidRDefault="00277ED2" w:rsidP="00277ED2">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CF50D6">
        <w:rPr>
          <w:rFonts w:ascii="Verdana" w:eastAsia="Arial" w:hAnsi="Verdana" w:cs="Arial"/>
          <w:b/>
          <w:bCs/>
          <w:lang w:val="es-ES"/>
        </w:rPr>
        <w:t>1. Problema planteado:</w:t>
      </w:r>
    </w:p>
    <w:p w14:paraId="72DFD990" w14:textId="77777777" w:rsidR="00277ED2" w:rsidRPr="00CF50D6" w:rsidRDefault="00277ED2" w:rsidP="00277ED2">
      <w:pPr>
        <w:tabs>
          <w:tab w:val="left" w:pos="426"/>
        </w:tabs>
        <w:spacing w:after="0" w:line="276" w:lineRule="auto"/>
        <w:jc w:val="both"/>
        <w:rPr>
          <w:rFonts w:ascii="Verdana" w:eastAsia="Century Gothic" w:hAnsi="Verdana" w:cs="Century Gothic"/>
          <w:lang w:val="es-ES"/>
        </w:rPr>
      </w:pPr>
    </w:p>
    <w:p w14:paraId="10AA5896" w14:textId="77777777" w:rsidR="00277ED2" w:rsidRPr="00CF50D6" w:rsidRDefault="00277ED2" w:rsidP="00277ED2">
      <w:pPr>
        <w:spacing w:after="0" w:line="276" w:lineRule="auto"/>
        <w:jc w:val="both"/>
        <w:rPr>
          <w:rFonts w:ascii="Verdana" w:eastAsia="Century Gothic" w:hAnsi="Verdana" w:cs="Century Gothic"/>
          <w:color w:val="7030A0"/>
        </w:rPr>
      </w:pPr>
      <w:r w:rsidRPr="00CF50D6">
        <w:rPr>
          <w:rFonts w:ascii="Verdana" w:eastAsia="Century Gothic" w:hAnsi="Verdana" w:cs="Century Gothic"/>
        </w:rPr>
        <w:t>De acuerdo con el contenido de su solicitud, se evidencia que la misma está relacionada con el régimen de inhabilidades para contratar con el Estado. Por lo que, se resolverá su consulta desde los siguientes problemas jurídicos:</w:t>
      </w:r>
      <w:bookmarkStart w:id="1" w:name="_Hlk171070029"/>
      <w:r w:rsidRPr="00CF50D6">
        <w:rPr>
          <w:rFonts w:ascii="Verdana" w:eastAsia="Century Gothic" w:hAnsi="Verdana" w:cs="Century Gothic"/>
        </w:rPr>
        <w:t xml:space="preserve"> i) ¿si una persona natural o jurídica se encuentra relacionada en el Boletín de Deudores Morosos del Estado que administra la Contaduría General de la Nación, no puede contratar con el Estado?, y </w:t>
      </w:r>
      <w:proofErr w:type="spellStart"/>
      <w:r w:rsidRPr="00CF50D6">
        <w:rPr>
          <w:rFonts w:ascii="Verdana" w:eastAsia="Century Gothic" w:hAnsi="Verdana" w:cs="Century Gothic"/>
        </w:rPr>
        <w:t>ii</w:t>
      </w:r>
      <w:proofErr w:type="spellEnd"/>
      <w:r w:rsidRPr="00CF50D6">
        <w:rPr>
          <w:rFonts w:ascii="Verdana" w:eastAsia="Century Gothic" w:hAnsi="Verdana" w:cs="Century Gothic"/>
        </w:rPr>
        <w:t>) ¿las Entidades Estatales previo a la celebración de un contrato, deben revisar si el futuro contratista se encuentra o no inmerso en alguna causal de inhabilidad o incompatibilidad para contratar?</w:t>
      </w:r>
    </w:p>
    <w:p w14:paraId="72151BED" w14:textId="77777777" w:rsidR="00277ED2" w:rsidRPr="00CF50D6" w:rsidRDefault="00277ED2" w:rsidP="00277ED2">
      <w:pPr>
        <w:spacing w:after="0" w:line="276" w:lineRule="auto"/>
        <w:jc w:val="both"/>
        <w:rPr>
          <w:rFonts w:ascii="Verdana" w:eastAsia="Calibri" w:hAnsi="Verdana" w:cs="Arial"/>
          <w:color w:val="7030A0"/>
          <w:lang w:val="es-ES"/>
        </w:rPr>
      </w:pPr>
    </w:p>
    <w:bookmarkEnd w:id="1"/>
    <w:p w14:paraId="2EDD3E19" w14:textId="77777777" w:rsidR="00277ED2" w:rsidRPr="00CF50D6" w:rsidRDefault="00277ED2" w:rsidP="00277ED2">
      <w:pPr>
        <w:widowControl w:val="0"/>
        <w:autoSpaceDE w:val="0"/>
        <w:autoSpaceDN w:val="0"/>
        <w:spacing w:before="1" w:after="0" w:line="240" w:lineRule="auto"/>
        <w:jc w:val="both"/>
        <w:outlineLvl w:val="0"/>
        <w:rPr>
          <w:rFonts w:ascii="Verdana" w:eastAsia="Arial" w:hAnsi="Verdana" w:cs="Arial"/>
          <w:b/>
          <w:bCs/>
          <w:lang w:val="es-ES"/>
        </w:rPr>
      </w:pPr>
      <w:r w:rsidRPr="00CF50D6">
        <w:rPr>
          <w:rFonts w:ascii="Verdana" w:eastAsia="Arial" w:hAnsi="Verdana" w:cs="Arial"/>
          <w:b/>
          <w:bCs/>
          <w:lang w:val="es-ES"/>
        </w:rPr>
        <w:t>2. Respuesta:</w:t>
      </w:r>
    </w:p>
    <w:p w14:paraId="78A4073E" w14:textId="77777777" w:rsidR="00277ED2" w:rsidRPr="00CF50D6" w:rsidRDefault="00277ED2" w:rsidP="00277ED2">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77ED2" w:rsidRPr="00CF50D6" w14:paraId="48457C8C" w14:textId="77777777" w:rsidTr="0019617C">
        <w:tc>
          <w:tcPr>
            <w:tcW w:w="8828" w:type="dxa"/>
            <w:shd w:val="clear" w:color="auto" w:fill="auto"/>
          </w:tcPr>
          <w:p w14:paraId="47B6BE46" w14:textId="77777777" w:rsidR="00277ED2" w:rsidRPr="00CF50D6" w:rsidRDefault="00277ED2" w:rsidP="0019617C">
            <w:pPr>
              <w:spacing w:line="276" w:lineRule="auto"/>
              <w:jc w:val="both"/>
              <w:rPr>
                <w:rFonts w:ascii="Verdana" w:eastAsia="Calibri" w:hAnsi="Verdana" w:cs="Arial"/>
                <w:lang w:val="es-ES"/>
              </w:rPr>
            </w:pPr>
            <w:bookmarkStart w:id="2" w:name="_Hlk171067516"/>
            <w:r w:rsidRPr="00CF50D6">
              <w:rPr>
                <w:rFonts w:ascii="Verdana" w:eastAsia="Calibri" w:hAnsi="Verdana" w:cs="Arial"/>
                <w:lang w:val="es-ES"/>
              </w:rPr>
              <w:t xml:space="preserve">i)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 En ese sentido, al analizarse el régimen de inhabilidades, se observa que </w:t>
            </w:r>
            <w:r w:rsidRPr="00CF50D6">
              <w:rPr>
                <w:rFonts w:ascii="Verdana" w:eastAsia="Calibri" w:hAnsi="Verdana" w:cs="Arial"/>
                <w:i/>
                <w:iCs/>
                <w:lang w:val="es-ES"/>
              </w:rPr>
              <w:t>“el estar relacionado en el Boletín de Deudores Morosos del Estado que lleva la Contaduría General de la Nación”</w:t>
            </w:r>
            <w:r w:rsidRPr="00CF50D6">
              <w:rPr>
                <w:rFonts w:ascii="Verdana" w:eastAsia="Calibri" w:hAnsi="Verdana" w:cs="Arial"/>
                <w:lang w:val="es-ES"/>
              </w:rPr>
              <w:t xml:space="preserve"> no constituye una causal de inhabilidad para celebrar contratos con las Entidades Estatales ni para ostentar cargos públicos, puesto que, la disposición que sí lo establecía </w:t>
            </w:r>
            <w:r w:rsidRPr="00CF50D6">
              <w:rPr>
                <w:rFonts w:ascii="Verdana" w:eastAsia="Calibri" w:hAnsi="Verdana" w:cs="Arial"/>
                <w:lang w:val="es-ES"/>
              </w:rPr>
              <w:noBreakHyphen/>
              <w:t>esto, es el inciso segundo del parágrafo 3, del artículo 4 de la Ley 716 de 2001 adicionado por el artículo 2 de la Ley 901 de 2004</w:t>
            </w:r>
            <w:r w:rsidRPr="00CF50D6">
              <w:rPr>
                <w:rFonts w:ascii="Verdana" w:eastAsia="Calibri" w:hAnsi="Verdana" w:cs="Arial"/>
                <w:lang w:val="es-ES"/>
              </w:rPr>
              <w:noBreakHyphen/>
              <w:t xml:space="preserve"> fue declarada inexequible por la Corte Constitucional mediante la sentencia C-1083 de 2005.</w:t>
            </w:r>
          </w:p>
          <w:p w14:paraId="48AE5ADF" w14:textId="77777777" w:rsidR="00277ED2" w:rsidRPr="00CF50D6" w:rsidRDefault="00277ED2" w:rsidP="0019617C">
            <w:pPr>
              <w:spacing w:line="276" w:lineRule="auto"/>
              <w:jc w:val="both"/>
              <w:rPr>
                <w:rFonts w:ascii="Verdana" w:eastAsia="Calibri" w:hAnsi="Verdana" w:cs="Arial"/>
                <w:lang w:val="es-ES"/>
              </w:rPr>
            </w:pPr>
          </w:p>
          <w:p w14:paraId="63E0F5E0" w14:textId="77777777" w:rsidR="00277ED2" w:rsidRPr="00CF50D6" w:rsidRDefault="00277ED2" w:rsidP="0019617C">
            <w:pPr>
              <w:spacing w:line="276" w:lineRule="auto"/>
              <w:jc w:val="both"/>
              <w:rPr>
                <w:rFonts w:ascii="Verdana" w:eastAsia="Calibri" w:hAnsi="Verdana" w:cs="Arial"/>
                <w:lang w:val="es-ES"/>
              </w:rPr>
            </w:pPr>
            <w:proofErr w:type="spellStart"/>
            <w:r w:rsidRPr="00CF50D6">
              <w:rPr>
                <w:rFonts w:ascii="Verdana" w:eastAsia="Calibri" w:hAnsi="Verdana" w:cs="Arial"/>
                <w:lang w:val="es-ES"/>
              </w:rPr>
              <w:t>ii</w:t>
            </w:r>
            <w:proofErr w:type="spellEnd"/>
            <w:r w:rsidRPr="00CF50D6">
              <w:rPr>
                <w:rFonts w:ascii="Verdana" w:eastAsia="Calibri" w:hAnsi="Verdana" w:cs="Arial"/>
                <w:lang w:val="es-ES"/>
              </w:rPr>
              <w:t xml:space="preserve">) Sobre el particular, debe precisarse de una parte, que los particulares en principio, tienen el deber de determinar si incurren o no en causal de </w:t>
            </w:r>
            <w:r w:rsidRPr="00CF50D6">
              <w:rPr>
                <w:rFonts w:ascii="Verdana" w:eastAsia="Calibri" w:hAnsi="Verdana" w:cs="Arial"/>
                <w:lang w:val="es-ES"/>
              </w:rPr>
              <w:lastRenderedPageBreak/>
              <w:t>inhabilidad o incompatibilidad para suscribir contratos con las Entidades Estatales y, ostentar cargos públicos. Y, de otra parte, acorde con las disposiciones que rigen su actividad contractual, les atañe a las Entidades Estatales evaluar en cada caso, si uno o alguno de sus futuros contratistas, se encuentra o no inmerso en los límites especiales a la capacidad para presentar ofertas y celebrar contratos estatales, así como el determinar si la persona natural con la que se pretende la provisión de cargos de planta, se encuentra o no limitada para ello.</w:t>
            </w:r>
          </w:p>
        </w:tc>
      </w:tr>
      <w:bookmarkEnd w:id="2"/>
    </w:tbl>
    <w:p w14:paraId="2CC7EF76" w14:textId="77777777" w:rsidR="00277ED2" w:rsidRPr="00CF50D6" w:rsidRDefault="00277ED2" w:rsidP="00277ED2">
      <w:pPr>
        <w:tabs>
          <w:tab w:val="left" w:pos="142"/>
          <w:tab w:val="left" w:pos="967"/>
        </w:tabs>
        <w:spacing w:after="0" w:line="276" w:lineRule="auto"/>
        <w:jc w:val="both"/>
        <w:rPr>
          <w:rFonts w:ascii="Verdana" w:eastAsia="Century Gothic" w:hAnsi="Verdana" w:cs="Times New Roman"/>
          <w:b/>
          <w:bCs/>
          <w:lang w:val="es-ES"/>
        </w:rPr>
      </w:pPr>
    </w:p>
    <w:p w14:paraId="0D3A4B3A" w14:textId="77777777" w:rsidR="00277ED2" w:rsidRPr="00CF50D6" w:rsidRDefault="00277ED2" w:rsidP="00277ED2">
      <w:pPr>
        <w:widowControl w:val="0"/>
        <w:autoSpaceDE w:val="0"/>
        <w:autoSpaceDN w:val="0"/>
        <w:spacing w:before="1" w:after="0" w:line="240" w:lineRule="auto"/>
        <w:ind w:left="360" w:hanging="360"/>
        <w:outlineLvl w:val="0"/>
        <w:rPr>
          <w:rFonts w:ascii="Verdana" w:eastAsia="Arial" w:hAnsi="Verdana" w:cs="Arial"/>
          <w:b/>
          <w:bCs/>
          <w:lang w:val="es-ES"/>
        </w:rPr>
      </w:pPr>
      <w:r w:rsidRPr="00CF50D6">
        <w:rPr>
          <w:rFonts w:ascii="Verdana" w:eastAsia="Arial" w:hAnsi="Verdana" w:cs="Arial"/>
          <w:b/>
          <w:bCs/>
          <w:lang w:val="es-ES"/>
        </w:rPr>
        <w:t>3. Razones de la respuesta</w:t>
      </w:r>
    </w:p>
    <w:p w14:paraId="10649CE1" w14:textId="77777777" w:rsidR="00277ED2" w:rsidRPr="00CF50D6" w:rsidRDefault="00277ED2" w:rsidP="00277ED2">
      <w:pPr>
        <w:spacing w:after="0" w:line="276" w:lineRule="auto"/>
        <w:jc w:val="both"/>
        <w:rPr>
          <w:rFonts w:ascii="Verdana" w:eastAsia="Calibri" w:hAnsi="Verdana" w:cs="Arial"/>
          <w:lang w:val="es-ES"/>
        </w:rPr>
      </w:pPr>
    </w:p>
    <w:p w14:paraId="7EE32F0A" w14:textId="77777777" w:rsidR="00277ED2" w:rsidRPr="00CF50D6" w:rsidRDefault="00277ED2" w:rsidP="00277ED2">
      <w:pPr>
        <w:spacing w:after="0" w:line="276" w:lineRule="auto"/>
        <w:jc w:val="both"/>
        <w:rPr>
          <w:rFonts w:ascii="Verdana" w:eastAsia="Calibri" w:hAnsi="Verdana" w:cs="Arial"/>
          <w:lang w:val="es-ES"/>
        </w:rPr>
      </w:pPr>
      <w:r w:rsidRPr="00CF50D6">
        <w:rPr>
          <w:rFonts w:ascii="Verdana" w:eastAsia="Calibri" w:hAnsi="Verdana" w:cs="Arial"/>
          <w:lang w:val="es-ES"/>
        </w:rPr>
        <w:t xml:space="preserve">Las respuestas anteriores se sustentan en las siguientes consideraciones: </w:t>
      </w:r>
    </w:p>
    <w:p w14:paraId="6C908186" w14:textId="77777777" w:rsidR="00277ED2" w:rsidRPr="00CF50D6" w:rsidRDefault="00277ED2" w:rsidP="00277ED2">
      <w:pPr>
        <w:spacing w:after="0" w:line="276" w:lineRule="auto"/>
        <w:jc w:val="both"/>
        <w:rPr>
          <w:rFonts w:ascii="Verdana" w:eastAsia="Calibri" w:hAnsi="Verdana" w:cs="Arial"/>
          <w:lang w:val="es-ES"/>
        </w:rPr>
      </w:pPr>
    </w:p>
    <w:p w14:paraId="7EC5EB49" w14:textId="77777777" w:rsidR="00277ED2" w:rsidRPr="00CF50D6" w:rsidRDefault="00277ED2" w:rsidP="00277ED2">
      <w:pPr>
        <w:numPr>
          <w:ilvl w:val="0"/>
          <w:numId w:val="3"/>
        </w:numPr>
        <w:spacing w:after="0" w:line="276" w:lineRule="auto"/>
        <w:contextualSpacing/>
        <w:jc w:val="both"/>
        <w:rPr>
          <w:rFonts w:ascii="Verdana" w:eastAsia="Calibri" w:hAnsi="Verdana" w:cs="Arial"/>
          <w:lang w:val="es-ES"/>
        </w:rPr>
      </w:pPr>
      <w:bookmarkStart w:id="3" w:name="_Hlk173311098"/>
      <w:r w:rsidRPr="00CF50D6">
        <w:rPr>
          <w:rFonts w:ascii="Verdana" w:eastAsia="Calibri" w:hAnsi="Verdana" w:cs="Arial"/>
          <w:lang w:val="es-ES"/>
        </w:rPr>
        <w:t xml:space="preserve">El régimen de inhabilidades constituye una prohibición para concurrir a los procedimientos de selección y para contratar con el Estado, que se derivan </w:t>
      </w:r>
      <w:r w:rsidRPr="00CF50D6">
        <w:rPr>
          <w:rFonts w:ascii="Verdana" w:eastAsia="Calibri" w:hAnsi="Verdana" w:cs="Arial"/>
          <w:i/>
          <w:iCs/>
          <w:lang w:val="es-ES"/>
        </w:rPr>
        <w:t>i)</w:t>
      </w:r>
      <w:r w:rsidRPr="00CF50D6">
        <w:rPr>
          <w:rFonts w:ascii="Verdana" w:eastAsia="Calibri" w:hAnsi="Verdana" w:cs="Arial"/>
          <w:lang w:val="es-ES"/>
        </w:rPr>
        <w:t xml:space="preserve"> de la existencia de comportamientos reprochables o de sanciones anteriormente impuestas</w:t>
      </w:r>
      <w:r w:rsidRPr="00CF50D6">
        <w:rPr>
          <w:rFonts w:ascii="Verdana" w:eastAsia="Calibri" w:hAnsi="Verdana" w:cs="Arial"/>
          <w:color w:val="000000"/>
          <w:vertAlign w:val="superscript"/>
          <w:lang w:val="es-ES_tradnl"/>
        </w:rPr>
        <w:footnoteReference w:id="1"/>
      </w:r>
      <w:r w:rsidRPr="00CF50D6">
        <w:rPr>
          <w:rFonts w:ascii="Verdana" w:eastAsia="Arial" w:hAnsi="Verdana" w:cs="Arial"/>
          <w:color w:val="000000"/>
          <w:lang w:eastAsia="es-CO"/>
        </w:rPr>
        <w:t>,</w:t>
      </w:r>
      <w:r w:rsidRPr="00CF50D6">
        <w:rPr>
          <w:rFonts w:ascii="Verdana" w:eastAsia="Calibri" w:hAnsi="Verdana" w:cs="Arial"/>
          <w:lang w:val="es-ES"/>
        </w:rPr>
        <w:t xml:space="preserve"> </w:t>
      </w:r>
      <w:proofErr w:type="spellStart"/>
      <w:r w:rsidRPr="00CF50D6">
        <w:rPr>
          <w:rFonts w:ascii="Verdana" w:eastAsia="Calibri" w:hAnsi="Verdana" w:cs="Arial"/>
          <w:i/>
          <w:iCs/>
          <w:lang w:val="es-ES"/>
        </w:rPr>
        <w:t>ii</w:t>
      </w:r>
      <w:proofErr w:type="spellEnd"/>
      <w:r w:rsidRPr="00CF50D6">
        <w:rPr>
          <w:rFonts w:ascii="Verdana" w:eastAsia="Calibri" w:hAnsi="Verdana" w:cs="Arial"/>
          <w:i/>
          <w:iCs/>
          <w:lang w:val="es-ES"/>
        </w:rPr>
        <w:t xml:space="preserve">) </w:t>
      </w:r>
      <w:r w:rsidRPr="00CF50D6">
        <w:rPr>
          <w:rFonts w:ascii="Verdana" w:eastAsia="Calibri" w:hAnsi="Verdana" w:cs="Arial"/>
          <w:lang w:val="es-ES"/>
        </w:rPr>
        <w:t>de vínculos personales relaticos al parentesco o al estado civil</w:t>
      </w:r>
      <w:r w:rsidRPr="00CF50D6">
        <w:rPr>
          <w:rFonts w:ascii="Verdana" w:eastAsia="Calibri" w:hAnsi="Verdana" w:cs="Arial"/>
          <w:color w:val="000000"/>
          <w:vertAlign w:val="superscript"/>
          <w:lang w:val="es-ES_tradnl"/>
        </w:rPr>
        <w:footnoteReference w:id="2"/>
      </w:r>
      <w:r w:rsidRPr="00CF50D6">
        <w:rPr>
          <w:rFonts w:ascii="Arial" w:eastAsia="Arial" w:hAnsi="Arial" w:cs="Arial"/>
          <w:color w:val="000000"/>
          <w:lang w:eastAsia="es-CO"/>
        </w:rPr>
        <w:t xml:space="preserve"> </w:t>
      </w:r>
      <w:r w:rsidRPr="00CF50D6">
        <w:rPr>
          <w:rFonts w:ascii="Verdana" w:eastAsia="Calibri" w:hAnsi="Verdana" w:cs="Arial"/>
          <w:lang w:val="es-ES"/>
        </w:rPr>
        <w:t xml:space="preserve">o </w:t>
      </w:r>
      <w:proofErr w:type="spellStart"/>
      <w:r w:rsidRPr="00CF50D6">
        <w:rPr>
          <w:rFonts w:ascii="Verdana" w:eastAsia="Calibri" w:hAnsi="Verdana" w:cs="Arial"/>
          <w:i/>
          <w:iCs/>
          <w:lang w:val="es-ES"/>
        </w:rPr>
        <w:t>iii</w:t>
      </w:r>
      <w:proofErr w:type="spellEnd"/>
      <w:r w:rsidRPr="00CF50D6">
        <w:rPr>
          <w:rFonts w:ascii="Verdana" w:eastAsia="Calibri" w:hAnsi="Verdana" w:cs="Arial"/>
          <w:i/>
          <w:iCs/>
          <w:lang w:val="es-ES"/>
        </w:rPr>
        <w:t xml:space="preserve">) </w:t>
      </w:r>
      <w:r w:rsidRPr="00CF50D6">
        <w:rPr>
          <w:rFonts w:ascii="Verdana" w:eastAsia="Calibri" w:hAnsi="Verdana" w:cs="Arial"/>
          <w:lang w:val="es-ES"/>
        </w:rPr>
        <w:t xml:space="preserve">de una actividad u oficio que se </w:t>
      </w:r>
      <w:r w:rsidRPr="00CF50D6">
        <w:rPr>
          <w:rFonts w:ascii="Verdana" w:eastAsia="Calibri" w:hAnsi="Verdana" w:cs="Arial"/>
          <w:lang w:val="es-ES"/>
        </w:rPr>
        <w:lastRenderedPageBreak/>
        <w:t>desempeñó en el pasado</w:t>
      </w:r>
      <w:r w:rsidRPr="00CF50D6">
        <w:rPr>
          <w:rFonts w:ascii="Verdana" w:eastAsia="Calibri" w:hAnsi="Verdana" w:cs="Arial"/>
          <w:color w:val="000000"/>
          <w:vertAlign w:val="superscript"/>
          <w:lang w:val="es-ES_tradnl"/>
        </w:rPr>
        <w:footnoteReference w:id="3"/>
      </w:r>
      <w:r w:rsidRPr="00CF50D6">
        <w:rPr>
          <w:rFonts w:ascii="Verdana" w:eastAsia="Calibri" w:hAnsi="Verdana" w:cs="Arial"/>
          <w:color w:val="000000"/>
          <w:lang w:val="es-ES_tradnl"/>
        </w:rPr>
        <w:t>.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CF50D6">
        <w:rPr>
          <w:rFonts w:ascii="Verdana" w:eastAsia="Calibri" w:hAnsi="Verdana" w:cs="Arial"/>
          <w:color w:val="000000"/>
          <w:lang w:val="es-ES_tradnl"/>
        </w:rPr>
        <w:t>neopunitivo</w:t>
      </w:r>
      <w:proofErr w:type="spellEnd"/>
      <w:r w:rsidRPr="00CF50D6">
        <w:rPr>
          <w:rFonts w:ascii="Verdana" w:eastAsia="Calibri" w:hAnsi="Verdana" w:cs="Arial"/>
          <w:color w:val="000000"/>
          <w:lang w:val="es-ES_tradnl"/>
        </w:rPr>
        <w:t>”</w:t>
      </w:r>
      <w:r w:rsidRPr="00CF50D6">
        <w:rPr>
          <w:rFonts w:ascii="Verdana" w:eastAsia="Calibri" w:hAnsi="Verdana" w:cs="Arial"/>
          <w:color w:val="000000"/>
          <w:vertAlign w:val="superscript"/>
          <w:lang w:val="es-ES"/>
        </w:rPr>
        <w:footnoteReference w:id="4"/>
      </w:r>
      <w:r w:rsidRPr="00CF50D6">
        <w:rPr>
          <w:rFonts w:ascii="Verdana" w:eastAsia="Calibri" w:hAnsi="Verdana" w:cs="Arial"/>
          <w:color w:val="000000"/>
          <w:lang w:val="es-ES"/>
        </w:rPr>
        <w:t>.</w:t>
      </w:r>
    </w:p>
    <w:p w14:paraId="09E0483C" w14:textId="77777777" w:rsidR="00277ED2" w:rsidRPr="00CF50D6" w:rsidRDefault="00277ED2" w:rsidP="00277ED2">
      <w:pPr>
        <w:spacing w:after="0" w:line="276" w:lineRule="auto"/>
        <w:ind w:left="720"/>
        <w:contextualSpacing/>
        <w:jc w:val="both"/>
        <w:rPr>
          <w:rFonts w:ascii="Verdana" w:eastAsia="Calibri" w:hAnsi="Verdana" w:cs="Arial"/>
          <w:lang w:val="es-ES"/>
        </w:rPr>
      </w:pPr>
    </w:p>
    <w:p w14:paraId="7C3FCAE2" w14:textId="77777777" w:rsidR="00277ED2" w:rsidRPr="00CF50D6" w:rsidRDefault="00277ED2" w:rsidP="00277ED2">
      <w:pPr>
        <w:numPr>
          <w:ilvl w:val="0"/>
          <w:numId w:val="3"/>
        </w:numPr>
        <w:spacing w:after="0" w:line="276" w:lineRule="auto"/>
        <w:contextualSpacing/>
        <w:jc w:val="both"/>
        <w:rPr>
          <w:rFonts w:ascii="Verdana" w:eastAsia="Calibri" w:hAnsi="Verdana" w:cs="Arial"/>
          <w:lang w:val="es-ES"/>
        </w:rPr>
      </w:pPr>
      <w:r w:rsidRPr="00CF50D6">
        <w:rPr>
          <w:rFonts w:ascii="Verdana" w:eastAsia="Calibri" w:hAnsi="Verdana" w:cs="Arial"/>
          <w:lang w:val="es-ES"/>
        </w:rPr>
        <w:t xml:space="preserve">En consecuencia, las inhabilidades son circunstancias establecidas por la Constitución Política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w:t>
      </w:r>
      <w:r w:rsidRPr="00CF50D6">
        <w:rPr>
          <w:rFonts w:ascii="Verdana" w:eastAsia="Calibri" w:hAnsi="Verdana" w:cs="Arial"/>
          <w:lang w:val="es-ES"/>
        </w:rPr>
        <w:lastRenderedPageBreak/>
        <w:t xml:space="preserve">las personas para establecer relaciones contractuales con el Estado, que pueden resultar de condenas, sanciones o situaciones previamente establecidas por el ordenamiento jurídico. </w:t>
      </w:r>
    </w:p>
    <w:p w14:paraId="36573CEF" w14:textId="77777777" w:rsidR="00277ED2" w:rsidRPr="00CF50D6" w:rsidRDefault="00277ED2" w:rsidP="00277ED2">
      <w:pPr>
        <w:spacing w:after="0"/>
        <w:ind w:left="720"/>
        <w:contextualSpacing/>
        <w:rPr>
          <w:rFonts w:ascii="Verdana" w:eastAsia="Calibri" w:hAnsi="Verdana" w:cs="Arial"/>
          <w:lang w:val="es-ES"/>
        </w:rPr>
      </w:pPr>
    </w:p>
    <w:p w14:paraId="4BC967FA" w14:textId="77777777" w:rsidR="00277ED2" w:rsidRPr="00CF50D6" w:rsidRDefault="00277ED2" w:rsidP="00277ED2">
      <w:pPr>
        <w:numPr>
          <w:ilvl w:val="0"/>
          <w:numId w:val="3"/>
        </w:numPr>
        <w:spacing w:after="0" w:line="276" w:lineRule="auto"/>
        <w:jc w:val="both"/>
        <w:rPr>
          <w:rFonts w:ascii="Verdana" w:eastAsia="Aptos" w:hAnsi="Verdana" w:cs="Arial"/>
          <w:i/>
          <w:iCs/>
          <w:lang w:val="es-ES"/>
        </w:rPr>
      </w:pPr>
      <w:r w:rsidRPr="00CF50D6">
        <w:rPr>
          <w:rFonts w:ascii="Verdana" w:eastAsia="Arial" w:hAnsi="Verdana" w:cs="Arial"/>
          <w:color w:val="000000"/>
          <w:lang w:val="es-MX" w:eastAsia="es-CO"/>
        </w:rPr>
        <w:t xml:space="preserve">En esta medida, la Corte Constitucional explica que </w:t>
      </w:r>
      <w:r w:rsidRPr="00CF50D6">
        <w:rPr>
          <w:rFonts w:ascii="Verdana" w:eastAsia="Aptos" w:hAnsi="Verdana"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CF50D6">
        <w:rPr>
          <w:rFonts w:ascii="Verdana" w:eastAsia="Aptos" w:hAnsi="Verdana" w:cs="Arial"/>
          <w:i/>
          <w:iCs/>
          <w:vertAlign w:val="superscript"/>
          <w:lang w:val="es-ES"/>
        </w:rPr>
        <w:footnoteReference w:id="5"/>
      </w:r>
      <w:r w:rsidRPr="00CF50D6">
        <w:rPr>
          <w:rFonts w:ascii="Verdana" w:eastAsia="Aptos" w:hAnsi="Verdana" w:cs="Arial"/>
          <w:i/>
          <w:iCs/>
          <w:lang w:val="es-ES"/>
        </w:rPr>
        <w:t xml:space="preserve">. </w:t>
      </w:r>
      <w:r w:rsidRPr="00CF50D6">
        <w:rPr>
          <w:rFonts w:ascii="Verdana" w:eastAsia="Arial" w:hAnsi="Verdana" w:cs="Arial"/>
          <w:color w:val="000000"/>
          <w:lang w:val="es-MX" w:eastAsia="es-CO"/>
        </w:rPr>
        <w:t>Así pues,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bookmarkEnd w:id="3"/>
    <w:p w14:paraId="08A6C2C8" w14:textId="77777777" w:rsidR="00277ED2" w:rsidRPr="00CF50D6" w:rsidRDefault="00277ED2" w:rsidP="00277ED2">
      <w:pPr>
        <w:spacing w:after="0" w:line="276" w:lineRule="auto"/>
        <w:contextualSpacing/>
        <w:jc w:val="both"/>
        <w:rPr>
          <w:rFonts w:ascii="Verdana" w:eastAsia="Calibri" w:hAnsi="Verdana" w:cs="Arial"/>
        </w:rPr>
      </w:pPr>
    </w:p>
    <w:p w14:paraId="008B27C9" w14:textId="77777777" w:rsidR="00277ED2" w:rsidRPr="00CF50D6" w:rsidRDefault="00277ED2" w:rsidP="00277ED2">
      <w:pPr>
        <w:numPr>
          <w:ilvl w:val="0"/>
          <w:numId w:val="3"/>
        </w:numPr>
        <w:spacing w:after="0" w:line="276" w:lineRule="auto"/>
        <w:contextualSpacing/>
        <w:jc w:val="both"/>
        <w:rPr>
          <w:rFonts w:ascii="Verdana" w:eastAsia="Calibri" w:hAnsi="Verdana" w:cs="Arial"/>
        </w:rPr>
      </w:pPr>
      <w:r w:rsidRPr="00CF50D6">
        <w:rPr>
          <w:rFonts w:ascii="Verdana" w:eastAsia="Calibri" w:hAnsi="Verdana" w:cs="Arial"/>
        </w:rPr>
        <w:t>De esta forma,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7581F52D" w14:textId="77777777" w:rsidR="00277ED2" w:rsidRPr="00CF50D6" w:rsidRDefault="00277ED2" w:rsidP="00277ED2">
      <w:pPr>
        <w:spacing w:after="0"/>
        <w:ind w:left="720"/>
        <w:contextualSpacing/>
        <w:rPr>
          <w:rFonts w:ascii="Verdana" w:eastAsia="Calibri" w:hAnsi="Verdana" w:cs="Arial"/>
        </w:rPr>
      </w:pPr>
    </w:p>
    <w:p w14:paraId="15A7B12B" w14:textId="77777777" w:rsidR="00277ED2" w:rsidRPr="00CF50D6" w:rsidRDefault="00277ED2" w:rsidP="00277ED2">
      <w:pPr>
        <w:numPr>
          <w:ilvl w:val="0"/>
          <w:numId w:val="3"/>
        </w:numPr>
        <w:spacing w:after="0" w:line="276" w:lineRule="auto"/>
        <w:contextualSpacing/>
        <w:jc w:val="both"/>
        <w:rPr>
          <w:rFonts w:ascii="Verdana" w:eastAsia="Calibri" w:hAnsi="Verdana" w:cs="Arial"/>
          <w:i/>
          <w:iCs/>
        </w:rPr>
      </w:pPr>
      <w:r w:rsidRPr="00CF50D6">
        <w:rPr>
          <w:rFonts w:ascii="Verdana" w:eastAsia="Calibri" w:hAnsi="Verdana" w:cs="Arial"/>
        </w:rPr>
        <w:t>Lo anterior, claramente es aplicable al objeto bajo consulta. Esto, por cuanto, pese a que el inciso segundo, del parágrafo 3, del artículo 4 de la Ley 716 de 2001, modificado por el artículo 2 de la Ley 901 de 2001, establecía en su tenor literal que la personas que aparecieran relacionadas en el Boletín de Deudores Morosos del Estado – BDME “</w:t>
      </w:r>
      <w:r w:rsidRPr="00CF50D6">
        <w:rPr>
          <w:rFonts w:ascii="Verdana" w:eastAsia="Calibri" w:hAnsi="Verdana" w:cs="Arial"/>
          <w:i/>
          <w:iCs/>
        </w:rPr>
        <w:t xml:space="preserve">no podrán celebrar contratos con el Estado, ni tomar posesión de cargos públicos, hasta tanto demuestren la cancelación de la totalidad de las obligaciones contraídas o acrediten la vigencia de un acuerdo de pago”, </w:t>
      </w:r>
      <w:r w:rsidRPr="00CF50D6">
        <w:rPr>
          <w:rFonts w:ascii="Verdana" w:eastAsia="Calibri" w:hAnsi="Verdana" w:cs="Arial"/>
        </w:rPr>
        <w:t>esta disposición quedó sin efectos, luego de que la Corte Constitucional mediante la Sentencia C-1083 de 2005, lo declarara inexequible.</w:t>
      </w:r>
    </w:p>
    <w:p w14:paraId="5D447A56" w14:textId="77777777" w:rsidR="00277ED2" w:rsidRPr="00CF50D6" w:rsidRDefault="00277ED2" w:rsidP="00277ED2">
      <w:pPr>
        <w:ind w:left="720"/>
        <w:contextualSpacing/>
        <w:rPr>
          <w:rFonts w:ascii="Verdana" w:eastAsia="Calibri" w:hAnsi="Verdana" w:cs="Arial"/>
          <w:i/>
          <w:iCs/>
        </w:rPr>
      </w:pPr>
    </w:p>
    <w:p w14:paraId="27162C88" w14:textId="77777777" w:rsidR="00277ED2" w:rsidRPr="00CF50D6" w:rsidRDefault="00277ED2" w:rsidP="00277ED2">
      <w:pPr>
        <w:numPr>
          <w:ilvl w:val="0"/>
          <w:numId w:val="3"/>
        </w:numPr>
        <w:spacing w:after="0" w:line="276" w:lineRule="auto"/>
        <w:contextualSpacing/>
        <w:jc w:val="both"/>
        <w:rPr>
          <w:rFonts w:ascii="Verdana" w:eastAsia="Calibri" w:hAnsi="Verdana" w:cs="Arial"/>
          <w:i/>
          <w:iCs/>
        </w:rPr>
      </w:pPr>
      <w:r w:rsidRPr="00CF50D6">
        <w:rPr>
          <w:rFonts w:ascii="Verdana" w:eastAsia="Calibri" w:hAnsi="Verdana" w:cs="Arial"/>
        </w:rPr>
        <w:t xml:space="preserve">De lo anterior, puede colegirse entonces, que pese el parágrafo 3 del artículo 2 de la Ley 716 de 2001, modificado por el artículo 2 de la Ley </w:t>
      </w:r>
      <w:r w:rsidRPr="00CF50D6">
        <w:rPr>
          <w:rFonts w:ascii="Verdana" w:eastAsia="Calibri" w:hAnsi="Verdana" w:cs="Arial"/>
        </w:rPr>
        <w:lastRenderedPageBreak/>
        <w:t>901 de 2001, le atribuyó a las Entidades Estatales la obligación de enviar a la Contaduría General de la Nación el boletín de deudores morosos, el que una persona natural o jurídica se encuentre relacionada en dicho boletín, ya no es considerado como una causal de inhabilidad para contratar con el Estado o para ostentar cargos públicos, pues como se indicó, la disposición que lo establecía fue dejada sin efectos por parte del Alto Tribunal Constitucional.</w:t>
      </w:r>
    </w:p>
    <w:p w14:paraId="18B7177A" w14:textId="77777777" w:rsidR="00277ED2" w:rsidRPr="00CF50D6" w:rsidRDefault="00277ED2" w:rsidP="00277ED2">
      <w:pPr>
        <w:spacing w:after="0"/>
        <w:ind w:left="720"/>
        <w:contextualSpacing/>
        <w:rPr>
          <w:rFonts w:ascii="Verdana" w:eastAsia="Calibri" w:hAnsi="Verdana" w:cs="Arial"/>
        </w:rPr>
      </w:pPr>
    </w:p>
    <w:p w14:paraId="430C7465" w14:textId="77777777" w:rsidR="00277ED2" w:rsidRPr="00CF50D6" w:rsidRDefault="00277ED2" w:rsidP="00277ED2">
      <w:pPr>
        <w:widowControl w:val="0"/>
        <w:numPr>
          <w:ilvl w:val="0"/>
          <w:numId w:val="1"/>
        </w:numPr>
        <w:autoSpaceDE w:val="0"/>
        <w:autoSpaceDN w:val="0"/>
        <w:spacing w:after="0" w:line="276" w:lineRule="auto"/>
        <w:contextualSpacing/>
        <w:jc w:val="both"/>
        <w:rPr>
          <w:rFonts w:ascii="Verdana" w:eastAsia="Aptos" w:hAnsi="Verdana" w:cs="Arial"/>
        </w:rPr>
      </w:pPr>
      <w:r w:rsidRPr="00CF50D6">
        <w:rPr>
          <w:rFonts w:ascii="Verdana" w:eastAsia="Aptos" w:hAnsi="Verdana" w:cs="Arial"/>
        </w:rPr>
        <w:t>En conclusión, corresponde de una parte, a los particulares en principio, determinar si incurren o no en causal de inhabilidad o incompatibilidad para suscribir contratos con las entidades públicas y, ostentar cargos públicos. Y, de otra parte, acorde con las disposiciones que rigen su actividad contractual, les atañe a las Entidades Estatales evaluar en cada caso, si uno o alguno de sus futuros contratistas, se encuentra o no inmerso en los límites especiales a la capacidad para presentar ofertas y celebrar contratos estatales.</w:t>
      </w:r>
    </w:p>
    <w:p w14:paraId="4FDA0EB2" w14:textId="77777777" w:rsidR="00277ED2" w:rsidRPr="00CF50D6" w:rsidRDefault="00277ED2" w:rsidP="00277ED2">
      <w:pPr>
        <w:widowControl w:val="0"/>
        <w:autoSpaceDE w:val="0"/>
        <w:autoSpaceDN w:val="0"/>
        <w:spacing w:after="0" w:line="276" w:lineRule="auto"/>
        <w:contextualSpacing/>
        <w:jc w:val="both"/>
        <w:rPr>
          <w:rFonts w:ascii="Verdana" w:eastAsia="Aptos" w:hAnsi="Verdana" w:cs="Arial"/>
        </w:rPr>
      </w:pPr>
    </w:p>
    <w:p w14:paraId="7B72B1DB" w14:textId="77777777" w:rsidR="00277ED2" w:rsidRPr="00CF50D6" w:rsidRDefault="00277ED2" w:rsidP="00277ED2">
      <w:pPr>
        <w:widowControl w:val="0"/>
        <w:autoSpaceDE w:val="0"/>
        <w:autoSpaceDN w:val="0"/>
        <w:spacing w:before="1" w:after="0" w:line="240" w:lineRule="auto"/>
        <w:outlineLvl w:val="0"/>
        <w:rPr>
          <w:rFonts w:ascii="Arial" w:eastAsia="Arial" w:hAnsi="Arial" w:cs="Arial"/>
          <w:b/>
          <w:bCs/>
          <w:lang w:val="es-ES"/>
        </w:rPr>
      </w:pPr>
      <w:r w:rsidRPr="00CF50D6">
        <w:rPr>
          <w:rFonts w:ascii="Arial" w:eastAsia="Arial" w:hAnsi="Arial" w:cs="Arial"/>
          <w:b/>
          <w:bCs/>
          <w:lang w:val="es-ES"/>
        </w:rPr>
        <w:t xml:space="preserve">4. </w:t>
      </w:r>
      <w:r w:rsidRPr="00CF50D6">
        <w:rPr>
          <w:rFonts w:ascii="Verdana" w:eastAsia="Arial" w:hAnsi="Verdana" w:cs="Arial"/>
          <w:b/>
          <w:bCs/>
          <w:lang w:val="es-ES"/>
        </w:rPr>
        <w:t>Referencias normativas, jurisprudenciales y otras fuentes:</w:t>
      </w:r>
    </w:p>
    <w:p w14:paraId="7A1E0DAD" w14:textId="77777777" w:rsidR="00277ED2" w:rsidRPr="00CF50D6" w:rsidRDefault="00277ED2" w:rsidP="00277ED2">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77ED2" w:rsidRPr="00CF50D6" w14:paraId="13302A98" w14:textId="77777777" w:rsidTr="0019617C">
        <w:trPr>
          <w:trHeight w:val="870"/>
        </w:trPr>
        <w:tc>
          <w:tcPr>
            <w:tcW w:w="8647" w:type="dxa"/>
          </w:tcPr>
          <w:p w14:paraId="6DFF8E12" w14:textId="77777777" w:rsidR="00277ED2" w:rsidRPr="00CF50D6" w:rsidRDefault="00277ED2" w:rsidP="00277ED2">
            <w:pPr>
              <w:widowControl w:val="0"/>
              <w:numPr>
                <w:ilvl w:val="0"/>
                <w:numId w:val="2"/>
              </w:numPr>
              <w:autoSpaceDE w:val="0"/>
              <w:autoSpaceDN w:val="0"/>
              <w:spacing w:after="120" w:line="276" w:lineRule="auto"/>
              <w:contextualSpacing/>
              <w:jc w:val="both"/>
              <w:rPr>
                <w:rFonts w:ascii="Verdana" w:eastAsia="Aptos" w:hAnsi="Verdana" w:cs="Arial"/>
              </w:rPr>
            </w:pPr>
            <w:r w:rsidRPr="00CF50D6">
              <w:rPr>
                <w:rFonts w:ascii="Verdana" w:eastAsia="Calibri" w:hAnsi="Verdana" w:cs="Arial"/>
              </w:rPr>
              <w:t>Ley 716 de 2001</w:t>
            </w:r>
            <w:r w:rsidRPr="00CF50D6">
              <w:rPr>
                <w:rFonts w:ascii="Verdana" w:eastAsia="Aptos" w:hAnsi="Verdana" w:cs="Arial"/>
              </w:rPr>
              <w:t>. Artículo 4, parágrafo 3, inciso segundo</w:t>
            </w:r>
          </w:p>
          <w:p w14:paraId="7FFA3BDA" w14:textId="77777777" w:rsidR="00277ED2" w:rsidRPr="00CF50D6" w:rsidRDefault="00277ED2" w:rsidP="00277ED2">
            <w:pPr>
              <w:widowControl w:val="0"/>
              <w:numPr>
                <w:ilvl w:val="0"/>
                <w:numId w:val="2"/>
              </w:numPr>
              <w:autoSpaceDE w:val="0"/>
              <w:autoSpaceDN w:val="0"/>
              <w:spacing w:after="120" w:line="276" w:lineRule="auto"/>
              <w:contextualSpacing/>
              <w:jc w:val="both"/>
              <w:rPr>
                <w:rFonts w:ascii="Verdana" w:eastAsia="Aptos" w:hAnsi="Verdana" w:cs="Arial"/>
              </w:rPr>
            </w:pPr>
            <w:r w:rsidRPr="00CF50D6">
              <w:rPr>
                <w:rFonts w:ascii="Verdana" w:eastAsia="Aptos" w:hAnsi="Verdana" w:cs="Arial"/>
              </w:rPr>
              <w:t>Ley 901 de 2004. Artículo 2</w:t>
            </w:r>
          </w:p>
          <w:p w14:paraId="3DD70904" w14:textId="77777777" w:rsidR="00277ED2" w:rsidRPr="00CF50D6" w:rsidRDefault="00277ED2" w:rsidP="00277ED2">
            <w:pPr>
              <w:widowControl w:val="0"/>
              <w:numPr>
                <w:ilvl w:val="0"/>
                <w:numId w:val="2"/>
              </w:numPr>
              <w:autoSpaceDE w:val="0"/>
              <w:autoSpaceDN w:val="0"/>
              <w:spacing w:line="276" w:lineRule="auto"/>
              <w:contextualSpacing/>
              <w:jc w:val="both"/>
              <w:rPr>
                <w:rFonts w:ascii="Verdana" w:eastAsia="Aptos" w:hAnsi="Verdana" w:cs="Arial"/>
              </w:rPr>
            </w:pPr>
            <w:r w:rsidRPr="00CF50D6">
              <w:rPr>
                <w:rFonts w:ascii="Verdana" w:eastAsia="Calibri" w:hAnsi="Verdana" w:cs="Arial"/>
                <w:lang w:val="es-ES"/>
              </w:rPr>
              <w:t>Ley 80 de 1993. Artículo 8</w:t>
            </w:r>
          </w:p>
          <w:p w14:paraId="7D81AACD" w14:textId="77777777" w:rsidR="00277ED2" w:rsidRPr="00CF50D6" w:rsidRDefault="00277ED2" w:rsidP="00277ED2">
            <w:pPr>
              <w:widowControl w:val="0"/>
              <w:numPr>
                <w:ilvl w:val="0"/>
                <w:numId w:val="2"/>
              </w:numPr>
              <w:autoSpaceDE w:val="0"/>
              <w:autoSpaceDN w:val="0"/>
              <w:spacing w:line="276" w:lineRule="auto"/>
              <w:contextualSpacing/>
              <w:jc w:val="both"/>
              <w:rPr>
                <w:rFonts w:ascii="Verdana" w:eastAsia="Aptos" w:hAnsi="Verdana" w:cs="Arial"/>
              </w:rPr>
            </w:pPr>
            <w:r w:rsidRPr="00CF50D6">
              <w:rPr>
                <w:rFonts w:ascii="Verdana" w:eastAsia="Aptos" w:hAnsi="Verdana" w:cs="Arial"/>
              </w:rPr>
              <w:t>CORTE CONSTITUCIONAL. Sentencia C-1016 de 2012. M.P. Jorge Iván Palacio</w:t>
            </w:r>
          </w:p>
          <w:p w14:paraId="72827E32" w14:textId="77777777" w:rsidR="00277ED2" w:rsidRPr="00CF50D6" w:rsidRDefault="00277ED2" w:rsidP="00277ED2">
            <w:pPr>
              <w:widowControl w:val="0"/>
              <w:numPr>
                <w:ilvl w:val="0"/>
                <w:numId w:val="2"/>
              </w:numPr>
              <w:autoSpaceDE w:val="0"/>
              <w:autoSpaceDN w:val="0"/>
              <w:spacing w:line="276" w:lineRule="auto"/>
              <w:contextualSpacing/>
              <w:jc w:val="both"/>
              <w:rPr>
                <w:rFonts w:ascii="Verdana" w:eastAsia="Aptos" w:hAnsi="Verdana" w:cs="Arial"/>
              </w:rPr>
            </w:pPr>
            <w:r w:rsidRPr="00CF50D6">
              <w:rPr>
                <w:rFonts w:ascii="Verdana" w:eastAsia="Aptos" w:hAnsi="Verdana" w:cs="Arial"/>
              </w:rPr>
              <w:t xml:space="preserve">BARRETO ROZO, Antonio Alejandro. Inhabilidades de la contratación estatal, efectos y </w:t>
            </w:r>
            <w:proofErr w:type="spellStart"/>
            <w:r w:rsidRPr="00CF50D6">
              <w:rPr>
                <w:rFonts w:ascii="Verdana" w:eastAsia="Aptos" w:hAnsi="Verdana" w:cs="Arial"/>
              </w:rPr>
              <w:t>neopunitivismo</w:t>
            </w:r>
            <w:proofErr w:type="spellEnd"/>
            <w:r w:rsidRPr="00CF50D6">
              <w:rPr>
                <w:rFonts w:ascii="Verdana" w:eastAsia="Aptos" w:hAnsi="Verdana" w:cs="Arial"/>
              </w:rPr>
              <w:t xml:space="preserve"> en el Estatuto Anticorrupción</w:t>
            </w:r>
          </w:p>
        </w:tc>
      </w:tr>
    </w:tbl>
    <w:p w14:paraId="39DEC862" w14:textId="77777777" w:rsidR="00277ED2" w:rsidRPr="00CF50D6" w:rsidRDefault="00277ED2" w:rsidP="00277ED2">
      <w:pPr>
        <w:widowControl w:val="0"/>
        <w:autoSpaceDE w:val="0"/>
        <w:autoSpaceDN w:val="0"/>
        <w:spacing w:after="0" w:line="276" w:lineRule="auto"/>
        <w:jc w:val="both"/>
        <w:rPr>
          <w:rFonts w:ascii="Verdana" w:eastAsia="Aptos" w:hAnsi="Verdana" w:cs="Arial"/>
        </w:rPr>
      </w:pPr>
    </w:p>
    <w:p w14:paraId="32BA362A" w14:textId="77777777" w:rsidR="00277ED2" w:rsidRPr="00CF50D6" w:rsidRDefault="00277ED2" w:rsidP="00277ED2">
      <w:pPr>
        <w:widowControl w:val="0"/>
        <w:autoSpaceDE w:val="0"/>
        <w:autoSpaceDN w:val="0"/>
        <w:spacing w:before="1" w:after="0" w:line="240" w:lineRule="auto"/>
        <w:outlineLvl w:val="0"/>
        <w:rPr>
          <w:rFonts w:ascii="Verdana" w:eastAsia="Arial" w:hAnsi="Verdana" w:cs="Arial"/>
          <w:b/>
          <w:bCs/>
          <w:lang w:val="es-ES"/>
        </w:rPr>
      </w:pPr>
      <w:r w:rsidRPr="00CF50D6">
        <w:rPr>
          <w:rFonts w:ascii="Verdana" w:eastAsia="Arial" w:hAnsi="Verdana" w:cs="Arial"/>
          <w:b/>
          <w:bCs/>
          <w:lang w:val="es-ES"/>
        </w:rPr>
        <w:t>5. Doctrina de la Agencia Nacional de Contratación Pública:</w:t>
      </w:r>
    </w:p>
    <w:p w14:paraId="2CBCA594" w14:textId="77777777" w:rsidR="00277ED2" w:rsidRPr="00CF50D6" w:rsidRDefault="00277ED2" w:rsidP="00277ED2">
      <w:pPr>
        <w:widowControl w:val="0"/>
        <w:autoSpaceDE w:val="0"/>
        <w:autoSpaceDN w:val="0"/>
        <w:spacing w:after="0" w:line="276" w:lineRule="auto"/>
        <w:jc w:val="both"/>
        <w:rPr>
          <w:rFonts w:ascii="Verdana" w:eastAsia="Aptos" w:hAnsi="Verdana" w:cs="Arial"/>
        </w:rPr>
      </w:pPr>
    </w:p>
    <w:p w14:paraId="5C28DAB5" w14:textId="77777777" w:rsidR="00277ED2" w:rsidRPr="00CF50D6" w:rsidRDefault="00277ED2" w:rsidP="00277ED2">
      <w:pPr>
        <w:widowControl w:val="0"/>
        <w:autoSpaceDE w:val="0"/>
        <w:autoSpaceDN w:val="0"/>
        <w:spacing w:after="0" w:line="276" w:lineRule="auto"/>
        <w:jc w:val="both"/>
        <w:rPr>
          <w:rFonts w:ascii="Verdana" w:eastAsia="Aptos" w:hAnsi="Verdana" w:cs="Arial"/>
          <w:shd w:val="clear" w:color="auto" w:fill="FFFFFF"/>
          <w:lang w:val="es-ES"/>
        </w:rPr>
      </w:pPr>
      <w:r w:rsidRPr="00CF50D6">
        <w:rPr>
          <w:rFonts w:ascii="Verdana" w:eastAsia="Aptos" w:hAnsi="Verdana" w:cs="Arial"/>
          <w:shd w:val="clear" w:color="auto" w:fill="FFFFFF"/>
          <w:lang w:val="es-ES"/>
        </w:rPr>
        <w:t xml:space="preserve">Sobre el régimen de inhabilidades en la contratación estatal, esta Subdirección se ha referido en los Conceptos C-035 del 24 de abril de 2024, C-067 del 16 de mayo de 2024, C-041 del 29 de mayo de 2024, C-078 del 04 de junio de 2024, C-193 del 19 de julio de 2024, C-271 del 25 de julio de 2024, C-108 de 06 de agosto de 2024,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CF50D6">
          <w:rPr>
            <w:rFonts w:ascii="Verdana" w:eastAsia="Aptos" w:hAnsi="Verdana" w:cs="Arial"/>
            <w:color w:val="467886"/>
            <w:u w:val="single"/>
            <w:shd w:val="clear" w:color="auto" w:fill="FFFFFF"/>
            <w:lang w:val="es-ES"/>
          </w:rPr>
          <w:t>https://relatoria.colombiacompra.gov.co/</w:t>
        </w:r>
      </w:hyperlink>
      <w:r w:rsidRPr="00CF50D6">
        <w:rPr>
          <w:rFonts w:ascii="Verdana" w:eastAsia="Aptos" w:hAnsi="Verdana" w:cs="Arial"/>
          <w:shd w:val="clear" w:color="auto" w:fill="FFFFFF"/>
          <w:lang w:val="es-ES"/>
        </w:rPr>
        <w:t xml:space="preserve">. </w:t>
      </w:r>
    </w:p>
    <w:p w14:paraId="265B3795" w14:textId="77777777" w:rsidR="00277ED2" w:rsidRPr="00CF50D6" w:rsidRDefault="00277ED2" w:rsidP="00277ED2">
      <w:pPr>
        <w:widowControl w:val="0"/>
        <w:autoSpaceDE w:val="0"/>
        <w:autoSpaceDN w:val="0"/>
        <w:spacing w:after="0" w:line="276" w:lineRule="auto"/>
        <w:jc w:val="both"/>
        <w:rPr>
          <w:rFonts w:ascii="Verdana" w:eastAsia="Aptos" w:hAnsi="Verdana" w:cs="Arial"/>
          <w:shd w:val="clear" w:color="auto" w:fill="FFFFFF"/>
          <w:lang w:val="es-ES"/>
        </w:rPr>
      </w:pPr>
    </w:p>
    <w:p w14:paraId="14702334" w14:textId="77777777" w:rsidR="00277ED2" w:rsidRPr="00CF50D6" w:rsidRDefault="00277ED2" w:rsidP="00277ED2">
      <w:pPr>
        <w:widowControl w:val="0"/>
        <w:autoSpaceDE w:val="0"/>
        <w:autoSpaceDN w:val="0"/>
        <w:spacing w:after="0" w:line="276" w:lineRule="auto"/>
        <w:jc w:val="both"/>
        <w:rPr>
          <w:rFonts w:ascii="Verdana" w:eastAsia="Aptos" w:hAnsi="Verdana" w:cs="Arial"/>
          <w:shd w:val="clear" w:color="auto" w:fill="FFFFFF"/>
          <w:lang w:val="es-ES"/>
        </w:rPr>
      </w:pPr>
      <w:r w:rsidRPr="00CF50D6">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Dirección URL original: https://www.colombiacompra.gov.co/sala-de-prensa/boletin-digital/boletin-de-relatoria-2024-iv. Haga clic o pulse si confía en este vínculo." w:history="1">
        <w:r w:rsidRPr="00CF50D6">
          <w:rPr>
            <w:rFonts w:ascii="Verdana" w:eastAsia="Aptos" w:hAnsi="Verdana" w:cs="Arial"/>
            <w:color w:val="467886"/>
            <w:u w:val="single"/>
            <w:shd w:val="clear" w:color="auto" w:fill="FFFFFF"/>
          </w:rPr>
          <w:t>BOLETÍN DE RELATORÍA 2024 – IV | Colombia Compra Eficiente | Agencia Nacional de Contratación Pública</w:t>
        </w:r>
      </w:hyperlink>
    </w:p>
    <w:p w14:paraId="2D032DBA" w14:textId="77777777" w:rsidR="00277ED2" w:rsidRPr="00CF50D6" w:rsidRDefault="00277ED2" w:rsidP="00277ED2">
      <w:pPr>
        <w:widowControl w:val="0"/>
        <w:autoSpaceDE w:val="0"/>
        <w:autoSpaceDN w:val="0"/>
        <w:spacing w:after="0" w:line="276" w:lineRule="auto"/>
        <w:jc w:val="both"/>
        <w:rPr>
          <w:rFonts w:ascii="Verdana" w:eastAsia="Aptos" w:hAnsi="Verdana" w:cs="Arial"/>
          <w:shd w:val="clear" w:color="auto" w:fill="FFFFFF"/>
          <w:lang w:val="es-ES"/>
        </w:rPr>
      </w:pPr>
    </w:p>
    <w:p w14:paraId="6DFDF602" w14:textId="77777777" w:rsidR="00277ED2" w:rsidRPr="00CF50D6" w:rsidRDefault="00277ED2" w:rsidP="00277ED2">
      <w:pPr>
        <w:spacing w:after="0" w:line="240" w:lineRule="auto"/>
        <w:jc w:val="both"/>
        <w:rPr>
          <w:rFonts w:ascii="Verdana" w:eastAsia="Aptos" w:hAnsi="Verdana" w:cs="Times New Roman"/>
        </w:rPr>
      </w:pPr>
      <w:r w:rsidRPr="00CF50D6">
        <w:rPr>
          <w:rFonts w:ascii="Verdana" w:eastAsia="Aptos" w:hAnsi="Verdana" w:cs="Times New Roman"/>
        </w:rPr>
        <w:t xml:space="preserve">Por último, lo invitamos a seguirnos en las redes sociales en las cuales se difunde información institucional: </w:t>
      </w:r>
    </w:p>
    <w:p w14:paraId="42D3A8D5" w14:textId="77777777" w:rsidR="00277ED2" w:rsidRPr="00CF50D6" w:rsidRDefault="00277ED2" w:rsidP="00277ED2">
      <w:pPr>
        <w:spacing w:after="0" w:line="240" w:lineRule="auto"/>
        <w:jc w:val="both"/>
        <w:rPr>
          <w:rFonts w:ascii="Verdana" w:eastAsia="Aptos" w:hAnsi="Verdana" w:cs="Times New Roman"/>
        </w:rPr>
      </w:pPr>
    </w:p>
    <w:p w14:paraId="4D00C1D4" w14:textId="77777777" w:rsidR="00277ED2" w:rsidRPr="00CF50D6" w:rsidRDefault="00277ED2" w:rsidP="00277ED2">
      <w:pPr>
        <w:spacing w:after="0" w:line="240" w:lineRule="auto"/>
        <w:jc w:val="both"/>
        <w:rPr>
          <w:rFonts w:ascii="Verdana" w:eastAsia="Aptos" w:hAnsi="Verdana" w:cs="Times New Roman"/>
        </w:rPr>
      </w:pPr>
      <w:r w:rsidRPr="00CF50D6">
        <w:rPr>
          <w:rFonts w:ascii="Verdana" w:eastAsia="Aptos" w:hAnsi="Verdana" w:cs="Times New Roman"/>
        </w:rPr>
        <w:t xml:space="preserve">Twitter: </w:t>
      </w:r>
      <w:r w:rsidRPr="00CF50D6">
        <w:rPr>
          <w:rFonts w:ascii="Verdana" w:eastAsia="Aptos" w:hAnsi="Verdana" w:cs="Times New Roman"/>
          <w:color w:val="156082"/>
          <w:u w:val="single"/>
        </w:rPr>
        <w:t>@colombiacompra</w:t>
      </w:r>
      <w:r w:rsidRPr="00CF50D6">
        <w:rPr>
          <w:rFonts w:ascii="Verdana" w:eastAsia="Aptos" w:hAnsi="Verdana" w:cs="Times New Roman"/>
          <w:color w:val="156082"/>
        </w:rPr>
        <w:t xml:space="preserve"> </w:t>
      </w:r>
    </w:p>
    <w:p w14:paraId="3118C2AD" w14:textId="77777777" w:rsidR="00277ED2" w:rsidRPr="00CF50D6" w:rsidRDefault="00277ED2" w:rsidP="00277ED2">
      <w:pPr>
        <w:spacing w:after="0" w:line="240" w:lineRule="auto"/>
        <w:jc w:val="both"/>
        <w:rPr>
          <w:rFonts w:ascii="Verdana" w:eastAsia="Aptos" w:hAnsi="Verdana" w:cs="Times New Roman"/>
        </w:rPr>
      </w:pPr>
      <w:r w:rsidRPr="00CF50D6">
        <w:rPr>
          <w:rFonts w:ascii="Verdana" w:eastAsia="Aptos" w:hAnsi="Verdana" w:cs="Times New Roman"/>
        </w:rPr>
        <w:t xml:space="preserve">Facebook: </w:t>
      </w:r>
      <w:proofErr w:type="spellStart"/>
      <w:r w:rsidRPr="00CF50D6">
        <w:rPr>
          <w:rFonts w:ascii="Verdana" w:eastAsia="Aptos" w:hAnsi="Verdana" w:cs="Times New Roman"/>
          <w:color w:val="156082"/>
          <w:u w:val="single"/>
        </w:rPr>
        <w:t>ColombiaCompraEficiente</w:t>
      </w:r>
      <w:proofErr w:type="spellEnd"/>
    </w:p>
    <w:p w14:paraId="1DF12677" w14:textId="77777777" w:rsidR="00277ED2" w:rsidRPr="00CF50D6" w:rsidRDefault="00277ED2" w:rsidP="00277ED2">
      <w:pPr>
        <w:spacing w:after="0" w:line="240" w:lineRule="auto"/>
        <w:jc w:val="both"/>
        <w:rPr>
          <w:rFonts w:ascii="Verdana" w:eastAsia="Aptos" w:hAnsi="Verdana" w:cs="Times New Roman"/>
        </w:rPr>
      </w:pPr>
      <w:r w:rsidRPr="00CF50D6">
        <w:rPr>
          <w:rFonts w:ascii="Verdana" w:eastAsia="Aptos" w:hAnsi="Verdana" w:cs="Times New Roman"/>
        </w:rPr>
        <w:t xml:space="preserve">LinkedIn: </w:t>
      </w:r>
      <w:r w:rsidRPr="00CF50D6">
        <w:rPr>
          <w:rFonts w:ascii="Verdana" w:eastAsia="Aptos" w:hAnsi="Verdana" w:cs="Times New Roman"/>
          <w:color w:val="156082"/>
          <w:u w:val="single"/>
        </w:rPr>
        <w:t>Agencia Nacional de Contratación Pública - Colombia Compra Eficiente</w:t>
      </w:r>
      <w:r w:rsidRPr="00CF50D6">
        <w:rPr>
          <w:rFonts w:ascii="Verdana" w:eastAsia="Aptos" w:hAnsi="Verdana" w:cs="Times New Roman"/>
          <w:color w:val="156082"/>
        </w:rPr>
        <w:t xml:space="preserve"> </w:t>
      </w:r>
      <w:r w:rsidRPr="00CF50D6">
        <w:rPr>
          <w:rFonts w:ascii="Verdana" w:eastAsia="Aptos" w:hAnsi="Verdana" w:cs="Times New Roman"/>
        </w:rPr>
        <w:t xml:space="preserve">Instagram: </w:t>
      </w:r>
      <w:r w:rsidRPr="00CF50D6">
        <w:rPr>
          <w:rFonts w:ascii="Verdana" w:eastAsia="Aptos" w:hAnsi="Verdana" w:cs="Times New Roman"/>
          <w:color w:val="156082"/>
          <w:u w:val="single"/>
        </w:rPr>
        <w:t>@colombiacompraeficiente_cce</w:t>
      </w:r>
    </w:p>
    <w:p w14:paraId="475D5EE0" w14:textId="77777777" w:rsidR="00277ED2" w:rsidRPr="00CF50D6" w:rsidRDefault="00277ED2" w:rsidP="00277ED2">
      <w:pPr>
        <w:widowControl w:val="0"/>
        <w:autoSpaceDE w:val="0"/>
        <w:autoSpaceDN w:val="0"/>
        <w:spacing w:after="0" w:line="276" w:lineRule="auto"/>
        <w:jc w:val="both"/>
        <w:rPr>
          <w:rFonts w:ascii="Verdana" w:eastAsia="Aptos" w:hAnsi="Verdana" w:cs="Arial"/>
        </w:rPr>
      </w:pPr>
    </w:p>
    <w:p w14:paraId="640D8154" w14:textId="77777777" w:rsidR="00277ED2" w:rsidRPr="00CF50D6" w:rsidRDefault="00277ED2" w:rsidP="00277ED2">
      <w:pPr>
        <w:widowControl w:val="0"/>
        <w:autoSpaceDE w:val="0"/>
        <w:autoSpaceDN w:val="0"/>
        <w:spacing w:after="0" w:line="276" w:lineRule="auto"/>
        <w:jc w:val="both"/>
        <w:rPr>
          <w:rFonts w:ascii="Verdana" w:eastAsia="Aptos" w:hAnsi="Verdana" w:cs="Arial"/>
          <w:lang w:val="es-ES_tradnl"/>
        </w:rPr>
      </w:pPr>
      <w:r w:rsidRPr="00CF50D6">
        <w:rPr>
          <w:rFonts w:ascii="Verdana" w:eastAsia="Aptos" w:hAnsi="Verdana" w:cs="Arial"/>
        </w:rPr>
        <w:t xml:space="preserve">Este concepto tiene el alcance previsto en el artículo 28 del Código de Procedimiento Administrativo y de lo Contencioso Administrativo </w:t>
      </w:r>
      <w:r w:rsidRPr="00CF50D6">
        <w:rPr>
          <w:rFonts w:ascii="Verdana" w:eastAsia="Aptos" w:hAnsi="Verdana" w:cs="Arial"/>
          <w:lang w:val="es-ES_tradnl"/>
        </w:rPr>
        <w:t>y las expresiones aquí utilizadas con mayúscula inicial deben ser entendidas con el significado que les otorga el artículo 2.2.1.1.1.3.1. del Decreto 1082 de 2015.</w:t>
      </w:r>
    </w:p>
    <w:p w14:paraId="75275811" w14:textId="77777777" w:rsidR="00277ED2" w:rsidRPr="00CF50D6" w:rsidRDefault="00277ED2" w:rsidP="00277ED2">
      <w:pPr>
        <w:widowControl w:val="0"/>
        <w:autoSpaceDE w:val="0"/>
        <w:autoSpaceDN w:val="0"/>
        <w:spacing w:after="0" w:line="276" w:lineRule="auto"/>
        <w:jc w:val="both"/>
        <w:rPr>
          <w:rFonts w:ascii="Verdana" w:eastAsia="Aptos" w:hAnsi="Verdana" w:cs="Arial"/>
        </w:rPr>
      </w:pPr>
    </w:p>
    <w:p w14:paraId="016A7B3E" w14:textId="77777777" w:rsidR="00277ED2" w:rsidRPr="00CF50D6" w:rsidRDefault="00277ED2" w:rsidP="00277ED2">
      <w:pPr>
        <w:spacing w:after="0" w:line="240" w:lineRule="auto"/>
        <w:rPr>
          <w:rFonts w:ascii="Verdana" w:eastAsia="Aptos" w:hAnsi="Verdana" w:cs="Arial"/>
          <w:lang w:eastAsia="es-CO"/>
        </w:rPr>
      </w:pPr>
      <w:r w:rsidRPr="00CF50D6">
        <w:rPr>
          <w:rFonts w:ascii="Verdana" w:eastAsia="Times New Roman" w:hAnsi="Verdana" w:cs="Arial"/>
          <w:lang w:eastAsia="es-CO"/>
        </w:rPr>
        <w:t>Atentamente,</w:t>
      </w:r>
      <w:r w:rsidRPr="00CF50D6">
        <w:rPr>
          <w:rFonts w:ascii="Verdana" w:eastAsia="Aptos" w:hAnsi="Verdana" w:cs="Arial"/>
          <w:lang w:eastAsia="es-CO"/>
        </w:rPr>
        <w:t xml:space="preserve"> </w:t>
      </w:r>
    </w:p>
    <w:p w14:paraId="6D069EC3" w14:textId="1CD100A2" w:rsidR="00277ED2" w:rsidRPr="00CF50D6" w:rsidRDefault="00277ED2" w:rsidP="00277ED2">
      <w:pPr>
        <w:spacing w:line="276" w:lineRule="auto"/>
        <w:jc w:val="center"/>
        <w:rPr>
          <w:rFonts w:ascii="Verdana" w:eastAsia="Aptos" w:hAnsi="Verdana" w:cs="Arial"/>
          <w:lang w:val="es-ES_tradnl" w:eastAsia="es-CO"/>
        </w:rPr>
      </w:pPr>
      <w:r w:rsidRPr="00277ED2">
        <w:rPr>
          <w:rFonts w:ascii="Verdana" w:eastAsia="Aptos" w:hAnsi="Verdana" w:cs="Arial"/>
          <w:noProof/>
          <w:lang w:eastAsia="es-CO"/>
        </w:rPr>
        <w:drawing>
          <wp:inline distT="0" distB="0" distL="0" distR="0" wp14:anchorId="0C6E8ED9" wp14:editId="4CFAD33B">
            <wp:extent cx="3771900" cy="1400175"/>
            <wp:effectExtent l="0" t="0" r="0" b="9525"/>
            <wp:docPr id="69733760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277ED2">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277ED2" w:rsidRPr="00CF50D6" w14:paraId="5D5E66C0" w14:textId="77777777" w:rsidTr="0019617C">
        <w:trPr>
          <w:trHeight w:val="286"/>
        </w:trPr>
        <w:tc>
          <w:tcPr>
            <w:tcW w:w="901" w:type="dxa"/>
            <w:vAlign w:val="center"/>
            <w:hideMark/>
          </w:tcPr>
          <w:p w14:paraId="3205833F"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1888D631"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Nasly Yeana Mosquera Rivas</w:t>
            </w:r>
          </w:p>
          <w:p w14:paraId="548DC228"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Analista T2–06 de la Subdirección de Gestión Contractual</w:t>
            </w:r>
          </w:p>
        </w:tc>
      </w:tr>
      <w:tr w:rsidR="00277ED2" w:rsidRPr="00CF50D6" w14:paraId="3BBE9BA0" w14:textId="77777777" w:rsidTr="0019617C">
        <w:trPr>
          <w:trHeight w:val="299"/>
        </w:trPr>
        <w:tc>
          <w:tcPr>
            <w:tcW w:w="901" w:type="dxa"/>
            <w:vAlign w:val="center"/>
          </w:tcPr>
          <w:p w14:paraId="0998B503"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4264DEB9"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Juan David Cárdenas Cabeza</w:t>
            </w:r>
          </w:p>
          <w:p w14:paraId="32C1469C"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Contratista de la Subdirección de Gestión Contractual</w:t>
            </w:r>
          </w:p>
        </w:tc>
      </w:tr>
      <w:tr w:rsidR="00277ED2" w:rsidRPr="00CF50D6" w14:paraId="4297E32E" w14:textId="77777777" w:rsidTr="0019617C">
        <w:trPr>
          <w:trHeight w:val="272"/>
        </w:trPr>
        <w:tc>
          <w:tcPr>
            <w:tcW w:w="901" w:type="dxa"/>
            <w:vAlign w:val="center"/>
            <w:hideMark/>
          </w:tcPr>
          <w:p w14:paraId="1A651182"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25D6D89"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Carolina Quintero Gacharná</w:t>
            </w:r>
          </w:p>
          <w:p w14:paraId="453FFB48" w14:textId="77777777" w:rsidR="00277ED2" w:rsidRPr="00CF50D6" w:rsidRDefault="00277ED2" w:rsidP="0019617C">
            <w:pPr>
              <w:rPr>
                <w:rFonts w:ascii="Verdana" w:eastAsia="Aptos" w:hAnsi="Verdana" w:cs="Arial"/>
                <w:sz w:val="14"/>
                <w:szCs w:val="14"/>
                <w:lang w:eastAsia="es-ES"/>
              </w:rPr>
            </w:pPr>
            <w:r w:rsidRPr="00CF50D6">
              <w:rPr>
                <w:rFonts w:ascii="Verdana" w:eastAsia="Aptos" w:hAnsi="Verdana" w:cs="Arial"/>
                <w:sz w:val="14"/>
                <w:szCs w:val="14"/>
                <w:lang w:eastAsia="es-ES"/>
              </w:rPr>
              <w:t>Subdirectora de Gestión Contractual ANCP – CCE</w:t>
            </w:r>
          </w:p>
        </w:tc>
      </w:tr>
    </w:tbl>
    <w:p w14:paraId="57F3365F" w14:textId="77777777" w:rsidR="00277ED2" w:rsidRPr="00CF50D6" w:rsidRDefault="00277ED2" w:rsidP="00277ED2">
      <w:pPr>
        <w:rPr>
          <w:rFonts w:ascii="Aptos" w:eastAsia="Aptos" w:hAnsi="Aptos" w:cs="Times New Roman"/>
        </w:rPr>
      </w:pPr>
    </w:p>
    <w:p w14:paraId="2879D279" w14:textId="77777777" w:rsidR="00277ED2" w:rsidRPr="00CF50D6" w:rsidRDefault="00277ED2" w:rsidP="00277ED2">
      <w:pPr>
        <w:rPr>
          <w:rFonts w:ascii="Aptos" w:eastAsia="Aptos" w:hAnsi="Aptos" w:cs="Times New Roman"/>
        </w:rPr>
      </w:pPr>
    </w:p>
    <w:p w14:paraId="64023221" w14:textId="77777777" w:rsidR="00277ED2" w:rsidRDefault="00277ED2"/>
    <w:sectPr w:rsidR="00277ED2" w:rsidSect="00277ED2">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5C460" w14:textId="77777777" w:rsidR="00277ED2" w:rsidRDefault="00277ED2" w:rsidP="00277ED2">
      <w:pPr>
        <w:spacing w:after="0" w:line="240" w:lineRule="auto"/>
      </w:pPr>
      <w:r>
        <w:separator/>
      </w:r>
    </w:p>
  </w:endnote>
  <w:endnote w:type="continuationSeparator" w:id="0">
    <w:p w14:paraId="1CE76FEF" w14:textId="77777777" w:rsidR="00277ED2" w:rsidRDefault="00277ED2" w:rsidP="0027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45E1" w14:textId="77777777" w:rsidR="00C83ED5" w:rsidRDefault="00276F42">
    <w:pPr>
      <w:pStyle w:val="Piedepgina"/>
    </w:pPr>
  </w:p>
  <w:p w14:paraId="28749564" w14:textId="77777777" w:rsidR="00C83ED5" w:rsidRPr="00174B77" w:rsidRDefault="00276F4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CF50D6">
      <w:rPr>
        <w:rFonts w:ascii="Verdana" w:eastAsia="Times New Roman" w:hAnsi="Verdana" w:cs="Times New Roman"/>
        <w:b/>
        <w:bCs/>
        <w:sz w:val="16"/>
        <w:szCs w:val="16"/>
        <w:lang w:val="es-ES"/>
      </w:rPr>
      <w:t xml:space="preserve">pág. </w:t>
    </w:r>
    <w:r w:rsidRPr="00CF50D6">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CF50D6">
      <w:rPr>
        <w:rFonts w:ascii="Verdana" w:eastAsia="Times New Roman" w:hAnsi="Verdana"/>
        <w:b/>
        <w:bCs/>
        <w:sz w:val="16"/>
        <w:szCs w:val="16"/>
      </w:rPr>
      <w:fldChar w:fldCharType="separate"/>
    </w:r>
    <w:r w:rsidRPr="00CF50D6">
      <w:rPr>
        <w:rFonts w:ascii="Verdana" w:eastAsia="Times New Roman" w:hAnsi="Verdana"/>
        <w:b/>
        <w:bCs/>
        <w:sz w:val="16"/>
        <w:szCs w:val="16"/>
      </w:rPr>
      <w:t>1</w:t>
    </w:r>
    <w:r w:rsidRPr="00CF50D6">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B93F034" w14:textId="77777777" w:rsidR="00C83ED5" w:rsidRDefault="00276F4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572AA53" w14:textId="77777777" w:rsidR="00C83ED5" w:rsidRPr="00E41027" w:rsidRDefault="00276F42" w:rsidP="00D520D8">
    <w:pPr>
      <w:spacing w:after="0"/>
      <w:jc w:val="both"/>
      <w:rPr>
        <w:rFonts w:ascii="Verdana" w:hAnsi="Verdana"/>
        <w:sz w:val="18"/>
        <w:szCs w:val="18"/>
      </w:rPr>
    </w:pPr>
    <w:r w:rsidRPr="00E41027">
      <w:rPr>
        <w:rFonts w:ascii="Verdana" w:hAnsi="Verdana"/>
        <w:sz w:val="18"/>
        <w:szCs w:val="18"/>
      </w:rPr>
      <w:t>Mesa de servicio: (+57) 601 7456788</w:t>
    </w:r>
  </w:p>
  <w:p w14:paraId="6AFCE4CD" w14:textId="77777777" w:rsidR="00C83ED5" w:rsidRDefault="00276F4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2885" w14:textId="77777777" w:rsidR="00277ED2" w:rsidRDefault="00277ED2" w:rsidP="00277ED2">
      <w:pPr>
        <w:spacing w:after="0" w:line="240" w:lineRule="auto"/>
      </w:pPr>
      <w:r>
        <w:separator/>
      </w:r>
    </w:p>
  </w:footnote>
  <w:footnote w:type="continuationSeparator" w:id="0">
    <w:p w14:paraId="6034A578" w14:textId="77777777" w:rsidR="00277ED2" w:rsidRDefault="00277ED2" w:rsidP="00277ED2">
      <w:pPr>
        <w:spacing w:after="0" w:line="240" w:lineRule="auto"/>
      </w:pPr>
      <w:r>
        <w:continuationSeparator/>
      </w:r>
    </w:p>
  </w:footnote>
  <w:footnote w:id="1">
    <w:p w14:paraId="5640D474" w14:textId="77777777" w:rsidR="00277ED2" w:rsidRPr="007D1434" w:rsidRDefault="00277ED2" w:rsidP="00277ED2">
      <w:pPr>
        <w:spacing w:after="0" w:line="240" w:lineRule="auto"/>
        <w:ind w:firstLine="709"/>
        <w:jc w:val="both"/>
        <w:rPr>
          <w:rFonts w:ascii="Verdana" w:hAnsi="Verdana" w:cs="Arial"/>
          <w:color w:val="000000"/>
          <w:sz w:val="16"/>
          <w:szCs w:val="16"/>
          <w:lang w:val="es-ES"/>
        </w:rPr>
      </w:pPr>
      <w:r w:rsidRPr="007D1434">
        <w:rPr>
          <w:rStyle w:val="Refdenotaalpie"/>
          <w:rFonts w:ascii="Verdana" w:hAnsi="Verdana" w:cs="Arial"/>
          <w:color w:val="000000"/>
          <w:sz w:val="16"/>
          <w:szCs w:val="16"/>
        </w:rPr>
        <w:footnoteRef/>
      </w:r>
      <w:r w:rsidRPr="007D1434">
        <w:rPr>
          <w:rFonts w:ascii="Verdana" w:hAnsi="Verdana" w:cs="Arial"/>
          <w:color w:val="000000"/>
          <w:sz w:val="16"/>
          <w:szCs w:val="16"/>
        </w:rPr>
        <w:t xml:space="preserve"> </w:t>
      </w:r>
      <w:r w:rsidRPr="007D1434">
        <w:rPr>
          <w:rFonts w:ascii="Verdana" w:hAnsi="Verdana" w:cs="Arial"/>
          <w:color w:val="000000"/>
          <w:sz w:val="16"/>
          <w:szCs w:val="16"/>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102356E9" w14:textId="77777777" w:rsidR="00277ED2" w:rsidRPr="007D1434" w:rsidRDefault="00277ED2" w:rsidP="00277ED2">
      <w:pPr>
        <w:spacing w:after="0" w:line="240" w:lineRule="auto"/>
        <w:ind w:firstLine="709"/>
        <w:jc w:val="both"/>
        <w:rPr>
          <w:rFonts w:ascii="Verdana" w:hAnsi="Verdana" w:cs="Arial"/>
          <w:color w:val="000000"/>
          <w:sz w:val="16"/>
          <w:szCs w:val="16"/>
          <w:lang w:val="es-ES"/>
        </w:rPr>
      </w:pPr>
    </w:p>
  </w:footnote>
  <w:footnote w:id="2">
    <w:p w14:paraId="36C9EA48" w14:textId="77777777" w:rsidR="00277ED2" w:rsidRPr="007D1434" w:rsidRDefault="00277ED2" w:rsidP="00277ED2">
      <w:pPr>
        <w:pStyle w:val="Textonotapie"/>
        <w:ind w:firstLine="709"/>
        <w:jc w:val="both"/>
        <w:rPr>
          <w:rFonts w:ascii="Verdana" w:hAnsi="Verdana" w:cs="Arial"/>
          <w:color w:val="000000"/>
          <w:sz w:val="16"/>
          <w:szCs w:val="16"/>
        </w:rPr>
      </w:pPr>
      <w:r w:rsidRPr="007D1434">
        <w:rPr>
          <w:rStyle w:val="Refdenotaalpie"/>
          <w:rFonts w:ascii="Verdana" w:hAnsi="Verdana" w:cs="Arial"/>
          <w:color w:val="000000"/>
          <w:sz w:val="16"/>
          <w:szCs w:val="16"/>
        </w:rPr>
        <w:footnoteRef/>
      </w:r>
      <w:r w:rsidRPr="007D1434">
        <w:rPr>
          <w:rFonts w:ascii="Verdana" w:hAnsi="Verdana" w:cs="Arial"/>
          <w:color w:val="000000"/>
          <w:sz w:val="16"/>
          <w:szCs w:val="16"/>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r w:rsidRPr="007D1434">
        <w:rPr>
          <w:rFonts w:ascii="Verdana" w:hAnsi="Verdana" w:cs="Arial"/>
          <w:color w:val="000000"/>
          <w:sz w:val="16"/>
          <w:szCs w:val="16"/>
        </w:rPr>
        <w:t>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7B2DAA7D" w14:textId="77777777" w:rsidR="00277ED2" w:rsidRPr="007D1434" w:rsidRDefault="00277ED2" w:rsidP="00277ED2">
      <w:pPr>
        <w:pStyle w:val="Textonotapie"/>
        <w:ind w:firstLine="709"/>
        <w:jc w:val="both"/>
        <w:rPr>
          <w:rFonts w:ascii="Verdana" w:hAnsi="Verdana" w:cs="Arial"/>
          <w:color w:val="000000"/>
          <w:sz w:val="16"/>
          <w:szCs w:val="16"/>
          <w:lang w:val="es-CO"/>
        </w:rPr>
      </w:pPr>
    </w:p>
  </w:footnote>
  <w:footnote w:id="3">
    <w:p w14:paraId="21F2718D" w14:textId="77777777" w:rsidR="00277ED2" w:rsidRPr="007D1434" w:rsidRDefault="00277ED2" w:rsidP="00277ED2">
      <w:pPr>
        <w:pStyle w:val="Textonotapie"/>
        <w:ind w:firstLine="709"/>
        <w:jc w:val="both"/>
        <w:rPr>
          <w:rFonts w:ascii="Verdana" w:hAnsi="Verdana" w:cs="Arial"/>
          <w:color w:val="000000"/>
          <w:sz w:val="16"/>
          <w:szCs w:val="16"/>
        </w:rPr>
      </w:pPr>
      <w:r w:rsidRPr="007D1434">
        <w:rPr>
          <w:rStyle w:val="Refdenotaalpie"/>
          <w:rFonts w:ascii="Verdana" w:hAnsi="Verdana" w:cs="Arial"/>
          <w:color w:val="000000"/>
          <w:sz w:val="16"/>
          <w:szCs w:val="16"/>
        </w:rPr>
        <w:footnoteRef/>
      </w:r>
      <w:r w:rsidRPr="007D1434">
        <w:rPr>
          <w:rFonts w:ascii="Verdana" w:hAnsi="Verdana" w:cs="Arial"/>
          <w:color w:val="000000"/>
          <w:sz w:val="16"/>
          <w:szCs w:val="16"/>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r w:rsidRPr="007D1434">
        <w:rPr>
          <w:rFonts w:ascii="Verdana" w:hAnsi="Verdana" w:cs="Arial"/>
          <w:color w:val="000000"/>
          <w:sz w:val="16"/>
          <w:szCs w:val="16"/>
        </w:rPr>
        <w:t xml:space="preserve">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6CFAF6AD" w14:textId="77777777" w:rsidR="00277ED2" w:rsidRPr="007D1434" w:rsidRDefault="00277ED2" w:rsidP="00277ED2">
      <w:pPr>
        <w:pStyle w:val="Textonotapie"/>
        <w:ind w:firstLine="709"/>
        <w:jc w:val="both"/>
        <w:rPr>
          <w:rFonts w:ascii="Verdana" w:hAnsi="Verdana" w:cs="Arial"/>
          <w:color w:val="000000"/>
          <w:sz w:val="16"/>
          <w:szCs w:val="16"/>
          <w:lang w:val="es-CO"/>
        </w:rPr>
      </w:pPr>
    </w:p>
  </w:footnote>
  <w:footnote w:id="4">
    <w:p w14:paraId="72D63D7C" w14:textId="77777777" w:rsidR="00277ED2" w:rsidRPr="007D1434" w:rsidRDefault="00277ED2" w:rsidP="00277ED2">
      <w:pPr>
        <w:pStyle w:val="Textonotapie"/>
        <w:ind w:firstLine="709"/>
        <w:jc w:val="both"/>
        <w:rPr>
          <w:rFonts w:ascii="Verdana" w:hAnsi="Verdana" w:cs="Arial"/>
          <w:color w:val="000000"/>
          <w:sz w:val="16"/>
          <w:szCs w:val="16"/>
        </w:rPr>
      </w:pPr>
      <w:r w:rsidRPr="007D1434">
        <w:rPr>
          <w:rStyle w:val="Refdenotaalpie"/>
          <w:rFonts w:ascii="Verdana" w:hAnsi="Verdana" w:cs="Arial"/>
          <w:color w:val="000000"/>
          <w:sz w:val="16"/>
          <w:szCs w:val="16"/>
        </w:rPr>
        <w:footnoteRef/>
      </w:r>
      <w:r w:rsidRPr="007D1434">
        <w:rPr>
          <w:rFonts w:ascii="Verdana" w:hAnsi="Verdana" w:cs="Arial"/>
          <w:color w:val="000000"/>
          <w:sz w:val="16"/>
          <w:szCs w:val="16"/>
        </w:rPr>
        <w:t xml:space="preserve"> BARRETO ROZO, Antonio Alejandro. Inhabilidades de la contratación estatal, efectos y </w:t>
      </w:r>
      <w:r w:rsidRPr="007D1434">
        <w:rPr>
          <w:rFonts w:ascii="Verdana" w:hAnsi="Verdana" w:cs="Arial"/>
          <w:color w:val="000000"/>
          <w:sz w:val="16"/>
          <w:szCs w:val="16"/>
        </w:rPr>
        <w:t>neopunitivismo en el Estatuto Anticorrupción. En: ALVIAR GARCÍA, Helena (Coordinadora). Nuevas tendencias del Derecho administrativo. Bogotá: Universidad de los Andes; Temis, 2016. pp. 63-99.</w:t>
      </w:r>
    </w:p>
    <w:p w14:paraId="2001BAF4" w14:textId="77777777" w:rsidR="00277ED2" w:rsidRPr="007D1434" w:rsidRDefault="00277ED2" w:rsidP="00277ED2">
      <w:pPr>
        <w:pStyle w:val="Textonotapie"/>
        <w:ind w:firstLine="709"/>
        <w:jc w:val="both"/>
        <w:rPr>
          <w:rFonts w:ascii="Verdana" w:hAnsi="Verdana" w:cs="Arial"/>
          <w:color w:val="000000"/>
          <w:sz w:val="16"/>
          <w:szCs w:val="16"/>
        </w:rPr>
      </w:pPr>
    </w:p>
  </w:footnote>
  <w:footnote w:id="5">
    <w:p w14:paraId="7D6DF4AF" w14:textId="77777777" w:rsidR="00277ED2" w:rsidRPr="007D1434" w:rsidRDefault="00277ED2" w:rsidP="00277ED2">
      <w:pPr>
        <w:pStyle w:val="Textonotapie"/>
        <w:ind w:firstLine="709"/>
        <w:jc w:val="both"/>
        <w:rPr>
          <w:rFonts w:ascii="Verdana" w:hAnsi="Verdana" w:cs="Arial"/>
          <w:sz w:val="16"/>
          <w:szCs w:val="16"/>
        </w:rPr>
      </w:pPr>
      <w:r w:rsidRPr="007D1434">
        <w:rPr>
          <w:rStyle w:val="Refdenotaalpie"/>
          <w:rFonts w:ascii="Verdana" w:hAnsi="Verdana" w:cs="Arial"/>
          <w:sz w:val="16"/>
          <w:szCs w:val="16"/>
        </w:rPr>
        <w:footnoteRef/>
      </w:r>
      <w:r w:rsidRPr="007D1434">
        <w:rPr>
          <w:rFonts w:ascii="Verdana" w:hAnsi="Verdana" w:cs="Arial"/>
          <w:sz w:val="16"/>
          <w:szCs w:val="16"/>
        </w:rPr>
        <w:t xml:space="preserve"> CORTE CONSTITUCIONAL. Sentencia C-1016 de 2012. M.P. Jorge Iván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D9CD" w14:textId="77777777" w:rsidR="00C83ED5" w:rsidRDefault="00276F4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7052890" wp14:editId="2BF1ED64">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B2CCDF8" wp14:editId="00E6AF9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EC093F7" w14:textId="77777777" w:rsidR="00C83ED5" w:rsidRDefault="00276F42">
    <w:pPr>
      <w:pStyle w:val="Encabezado"/>
    </w:pPr>
  </w:p>
  <w:p w14:paraId="3CF96CBB" w14:textId="77777777" w:rsidR="00C83ED5" w:rsidRDefault="00276F42" w:rsidP="004A305D">
    <w:pPr>
      <w:spacing w:after="0"/>
      <w:rPr>
        <w:rFonts w:ascii="Verdana" w:hAnsi="Verdana"/>
        <w:b/>
        <w:bCs/>
      </w:rPr>
    </w:pPr>
  </w:p>
  <w:p w14:paraId="47CD2178" w14:textId="77777777" w:rsidR="00C83ED5" w:rsidRPr="004A305D" w:rsidRDefault="00276F42" w:rsidP="00B01B1A">
    <w:pPr>
      <w:spacing w:after="0" w:line="120" w:lineRule="auto"/>
      <w:rPr>
        <w:rFonts w:ascii="Century Gothic" w:eastAsia="Geo" w:hAnsi="Century Gothic" w:cs="Geo"/>
        <w:sz w:val="16"/>
        <w:szCs w:val="16"/>
        <w:lang w:eastAsia="es-CO"/>
      </w:rPr>
    </w:pPr>
  </w:p>
  <w:p w14:paraId="2389C2C6" w14:textId="77777777" w:rsidR="00C83ED5" w:rsidRDefault="00276F4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3F54C8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9056D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2"/>
    <w:rsid w:val="00276F42"/>
    <w:rsid w:val="00277ED2"/>
    <w:rsid w:val="00F271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98EF"/>
  <w15:chartTrackingRefBased/>
  <w15:docId w15:val="{A0A61090-27CF-4049-8D88-80389909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D2"/>
    <w:pPr>
      <w:spacing w:line="259" w:lineRule="auto"/>
    </w:pPr>
    <w:rPr>
      <w:kern w:val="0"/>
      <w:sz w:val="22"/>
      <w:szCs w:val="22"/>
      <w14:ligatures w14:val="none"/>
    </w:rPr>
  </w:style>
  <w:style w:type="paragraph" w:styleId="Ttulo1">
    <w:name w:val="heading 1"/>
    <w:basedOn w:val="Normal"/>
    <w:next w:val="Normal"/>
    <w:link w:val="Ttulo1Car"/>
    <w:uiPriority w:val="9"/>
    <w:qFormat/>
    <w:rsid w:val="00277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7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7E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7E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7E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7E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7E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7E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7E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7E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7E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7E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7E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7E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7E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7E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7E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7ED2"/>
    <w:rPr>
      <w:rFonts w:eastAsiaTheme="majorEastAsia" w:cstheme="majorBidi"/>
      <w:color w:val="272727" w:themeColor="text1" w:themeTint="D8"/>
    </w:rPr>
  </w:style>
  <w:style w:type="paragraph" w:styleId="Ttulo">
    <w:name w:val="Title"/>
    <w:basedOn w:val="Normal"/>
    <w:next w:val="Normal"/>
    <w:link w:val="TtuloCar"/>
    <w:uiPriority w:val="10"/>
    <w:qFormat/>
    <w:rsid w:val="00277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7E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7E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7E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7ED2"/>
    <w:pPr>
      <w:spacing w:before="160"/>
      <w:jc w:val="center"/>
    </w:pPr>
    <w:rPr>
      <w:i/>
      <w:iCs/>
      <w:color w:val="404040" w:themeColor="text1" w:themeTint="BF"/>
    </w:rPr>
  </w:style>
  <w:style w:type="character" w:customStyle="1" w:styleId="CitaCar">
    <w:name w:val="Cita Car"/>
    <w:basedOn w:val="Fuentedeprrafopredeter"/>
    <w:link w:val="Cita"/>
    <w:uiPriority w:val="29"/>
    <w:rsid w:val="00277ED2"/>
    <w:rPr>
      <w:i/>
      <w:iCs/>
      <w:color w:val="404040" w:themeColor="text1" w:themeTint="BF"/>
    </w:rPr>
  </w:style>
  <w:style w:type="paragraph" w:styleId="Prrafodelista">
    <w:name w:val="List Paragraph"/>
    <w:basedOn w:val="Normal"/>
    <w:uiPriority w:val="34"/>
    <w:qFormat/>
    <w:rsid w:val="00277ED2"/>
    <w:pPr>
      <w:ind w:left="720"/>
      <w:contextualSpacing/>
    </w:pPr>
  </w:style>
  <w:style w:type="character" w:styleId="nfasisintenso">
    <w:name w:val="Intense Emphasis"/>
    <w:basedOn w:val="Fuentedeprrafopredeter"/>
    <w:uiPriority w:val="21"/>
    <w:qFormat/>
    <w:rsid w:val="00277ED2"/>
    <w:rPr>
      <w:i/>
      <w:iCs/>
      <w:color w:val="0F4761" w:themeColor="accent1" w:themeShade="BF"/>
    </w:rPr>
  </w:style>
  <w:style w:type="paragraph" w:styleId="Citadestacada">
    <w:name w:val="Intense Quote"/>
    <w:basedOn w:val="Normal"/>
    <w:next w:val="Normal"/>
    <w:link w:val="CitadestacadaCar"/>
    <w:uiPriority w:val="30"/>
    <w:qFormat/>
    <w:rsid w:val="00277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7ED2"/>
    <w:rPr>
      <w:i/>
      <w:iCs/>
      <w:color w:val="0F4761" w:themeColor="accent1" w:themeShade="BF"/>
    </w:rPr>
  </w:style>
  <w:style w:type="character" w:styleId="Referenciaintensa">
    <w:name w:val="Intense Reference"/>
    <w:basedOn w:val="Fuentedeprrafopredeter"/>
    <w:uiPriority w:val="32"/>
    <w:qFormat/>
    <w:rsid w:val="00277ED2"/>
    <w:rPr>
      <w:b/>
      <w:bCs/>
      <w:smallCaps/>
      <w:color w:val="0F4761" w:themeColor="accent1" w:themeShade="BF"/>
      <w:spacing w:val="5"/>
    </w:rPr>
  </w:style>
  <w:style w:type="paragraph" w:styleId="Encabezado">
    <w:name w:val="header"/>
    <w:basedOn w:val="Normal"/>
    <w:link w:val="EncabezadoCar"/>
    <w:uiPriority w:val="99"/>
    <w:unhideWhenUsed/>
    <w:rsid w:val="00277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ED2"/>
    <w:rPr>
      <w:kern w:val="0"/>
      <w:sz w:val="22"/>
      <w:szCs w:val="22"/>
      <w14:ligatures w14:val="none"/>
    </w:rPr>
  </w:style>
  <w:style w:type="paragraph" w:styleId="Piedepgina">
    <w:name w:val="footer"/>
    <w:basedOn w:val="Normal"/>
    <w:link w:val="PiedepginaCar"/>
    <w:uiPriority w:val="99"/>
    <w:unhideWhenUsed/>
    <w:rsid w:val="00277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ED2"/>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7ED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277ED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77ED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77ED2"/>
    <w:rPr>
      <w:vertAlign w:val="superscript"/>
    </w:rPr>
  </w:style>
  <w:style w:type="table" w:styleId="Tablaconcuadrcula">
    <w:name w:val="Table Grid"/>
    <w:basedOn w:val="Tablanormal"/>
    <w:uiPriority w:val="39"/>
    <w:qFormat/>
    <w:rsid w:val="00277E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77ED2"/>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277E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scamiloperalta@outlook.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FD4B4-B91B-494A-9D33-F7733E59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64BE1-1E3E-4F5D-8869-82EDF48441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ACE23D9B-B39D-4D7E-8223-E1601C512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15422</Characters>
  <Application>Microsoft Office Word</Application>
  <DocSecurity>0</DocSecurity>
  <Lines>128</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2024-10-31T18:14:00Z</dcterms:created>
  <dcterms:modified xsi:type="dcterms:W3CDTF">2024-10-31T18:14:00Z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