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396DBB" w:rsidR="00F10662" w:rsidP="00F10662" w:rsidRDefault="00F10662" w14:paraId="605EE4B1" w14:textId="77777777">
      <w:pPr>
        <w:pStyle w:val="Textoindependiente"/>
        <w:spacing w:after="0" w:line="240" w:lineRule="auto"/>
        <w:ind w:right="102"/>
        <w:jc w:val="both"/>
        <w:rPr>
          <w:rFonts w:ascii="Verdana" w:hAnsi="Verdana" w:cs="Arial"/>
          <w:b/>
          <w:color w:val="000000" w:themeColor="text1"/>
          <w:sz w:val="20"/>
          <w:szCs w:val="20"/>
          <w:lang w:val="es-ES_tradnl"/>
        </w:rPr>
      </w:pPr>
    </w:p>
    <w:p w:rsidRPr="00396DBB" w:rsidR="00F10662" w:rsidP="00F10662" w:rsidRDefault="00F10662" w14:paraId="337851D0" w14:textId="77777777">
      <w:pPr>
        <w:pStyle w:val="Textoindependiente"/>
        <w:spacing w:after="0" w:line="240" w:lineRule="auto"/>
        <w:ind w:right="102"/>
        <w:jc w:val="both"/>
        <w:rPr>
          <w:rFonts w:ascii="Verdana" w:hAnsi="Verdana" w:cs="Arial"/>
          <w:b/>
          <w:color w:val="000000" w:themeColor="text1"/>
          <w:lang w:val="es-ES_tradnl"/>
        </w:rPr>
      </w:pPr>
      <w:r w:rsidRPr="00396DBB">
        <w:rPr>
          <w:rFonts w:ascii="Verdana" w:hAnsi="Verdana" w:cs="Arial"/>
          <w:b/>
          <w:color w:val="000000" w:themeColor="text1"/>
          <w:lang w:val="es-ES_tradnl"/>
        </w:rPr>
        <w:t xml:space="preserve">DECRETO 092 DE 2017 – Finalidad – Clases de contratos </w:t>
      </w:r>
    </w:p>
    <w:p w:rsidRPr="00396DBB" w:rsidR="00F10662" w:rsidP="00F10662" w:rsidRDefault="00F10662" w14:paraId="29E7678A" w14:textId="77777777">
      <w:pPr>
        <w:pStyle w:val="Textoindependiente"/>
        <w:spacing w:after="0" w:line="240" w:lineRule="auto"/>
        <w:ind w:right="102"/>
        <w:jc w:val="both"/>
        <w:rPr>
          <w:rFonts w:ascii="Verdana" w:hAnsi="Verdana" w:cs="Arial"/>
          <w:color w:val="000000" w:themeColor="text1"/>
          <w:sz w:val="20"/>
          <w:szCs w:val="20"/>
          <w:lang w:val="es-ES_tradnl"/>
        </w:rPr>
      </w:pPr>
    </w:p>
    <w:p w:rsidRPr="00396DBB" w:rsidR="00F10662" w:rsidP="44F4FB97" w:rsidRDefault="00F10662" w14:paraId="2D7BDDD8" w14:textId="77777777">
      <w:pPr>
        <w:spacing w:after="0" w:line="240" w:lineRule="auto"/>
        <w:jc w:val="both"/>
        <w:rPr>
          <w:rFonts w:ascii="Verdana" w:hAnsi="Verdana" w:eastAsia="Arial" w:cs="Arial"/>
          <w:color w:val="000000" w:themeColor="text1"/>
          <w:sz w:val="20"/>
          <w:szCs w:val="20"/>
          <w:lang w:val="es-ES"/>
        </w:rPr>
      </w:pPr>
      <w:r w:rsidRPr="44F4FB97" w:rsidR="00F10662">
        <w:rPr>
          <w:rFonts w:ascii="Verdana" w:hAnsi="Verdana" w:eastAsia="Arial" w:cs="Arial"/>
          <w:color w:val="000000" w:themeColor="text1" w:themeTint="FF" w:themeShade="FF"/>
          <w:sz w:val="20"/>
          <w:szCs w:val="20"/>
          <w:lang w:val="es-ES"/>
        </w:rPr>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w:t>
      </w:r>
      <w:r w:rsidRPr="44F4FB97" w:rsidR="00F10662">
        <w:rPr>
          <w:rFonts w:ascii="Verdana" w:hAnsi="Verdana" w:eastAsia="Arial" w:cs="Arial"/>
          <w:color w:val="000000" w:themeColor="text1" w:themeTint="FF" w:themeShade="FF"/>
          <w:sz w:val="20"/>
          <w:szCs w:val="20"/>
          <w:lang w:val="es-ES"/>
        </w:rPr>
        <w:t>ii</w:t>
      </w:r>
      <w:r w:rsidRPr="44F4FB97" w:rsidR="00F10662">
        <w:rPr>
          <w:rFonts w:ascii="Verdana" w:hAnsi="Verdana" w:eastAsia="Arial" w:cs="Arial"/>
          <w:color w:val="000000" w:themeColor="text1" w:themeTint="FF" w:themeShade="FF"/>
          <w:sz w:val="20"/>
          <w:szCs w:val="20"/>
          <w:lang w:val="es-ES"/>
        </w:rPr>
        <w:t>) los convenios de asociación, para el desarrollo conjunto de actividades relacionadas con las funciones de las entidades estatales, en desarrollo del artículo 96 de la Ley 489 de 1998.</w:t>
      </w:r>
    </w:p>
    <w:p w:rsidRPr="00396DBB" w:rsidR="00F10662" w:rsidP="00F10662" w:rsidRDefault="00F10662" w14:paraId="03FA709A" w14:textId="77777777">
      <w:pPr>
        <w:spacing w:after="0" w:line="240" w:lineRule="auto"/>
        <w:jc w:val="both"/>
        <w:rPr>
          <w:rFonts w:ascii="Verdana" w:hAnsi="Verdana" w:eastAsia="Calibri" w:cs="Arial"/>
          <w:b/>
          <w:color w:val="000000" w:themeColor="text1"/>
          <w:lang w:val="es-ES_tradnl"/>
        </w:rPr>
      </w:pPr>
    </w:p>
    <w:p w:rsidRPr="00396DBB" w:rsidR="00F10662" w:rsidP="00F10662" w:rsidRDefault="00F10662" w14:paraId="39BE8236" w14:textId="77777777">
      <w:pPr>
        <w:spacing w:after="0" w:line="240" w:lineRule="auto"/>
        <w:jc w:val="both"/>
        <w:rPr>
          <w:rFonts w:ascii="Verdana" w:hAnsi="Verdana" w:eastAsia="Calibri" w:cs="Arial"/>
          <w:b/>
          <w:color w:val="000000" w:themeColor="text1"/>
          <w:lang w:val="es-ES_tradnl"/>
        </w:rPr>
      </w:pPr>
      <w:r w:rsidRPr="00396DBB">
        <w:rPr>
          <w:rFonts w:ascii="Verdana" w:hAnsi="Verdana" w:eastAsia="Calibri" w:cs="Arial"/>
          <w:b/>
          <w:color w:val="000000" w:themeColor="text1"/>
          <w:lang w:val="es-ES_tradnl"/>
        </w:rPr>
        <w:t xml:space="preserve">CONTRATACIÓN CON ESAL – Contrato de colaboración – Objeto – Alcance </w:t>
      </w:r>
    </w:p>
    <w:p w:rsidRPr="00396DBB" w:rsidR="00F10662" w:rsidP="00F10662" w:rsidRDefault="00F10662" w14:paraId="5C962948" w14:textId="77777777">
      <w:pPr>
        <w:spacing w:after="0" w:line="240" w:lineRule="auto"/>
        <w:jc w:val="both"/>
        <w:rPr>
          <w:rFonts w:ascii="Verdana" w:hAnsi="Verdana" w:eastAsia="Calibri" w:cs="Arial"/>
          <w:bCs/>
          <w:color w:val="000000" w:themeColor="text1"/>
          <w:sz w:val="20"/>
          <w:szCs w:val="20"/>
          <w:lang w:val="es-ES_tradnl"/>
        </w:rPr>
      </w:pPr>
    </w:p>
    <w:p w:rsidRPr="00396DBB" w:rsidR="00F10662" w:rsidP="00F10662" w:rsidRDefault="00F10662" w14:paraId="07BA9CEE" w14:textId="77777777">
      <w:pPr>
        <w:spacing w:after="0" w:line="240" w:lineRule="auto"/>
        <w:jc w:val="both"/>
        <w:rPr>
          <w:rFonts w:ascii="Verdana" w:hAnsi="Verdana" w:cs="Arial"/>
          <w:color w:val="000000" w:themeColor="text1"/>
          <w:sz w:val="20"/>
          <w:szCs w:val="20"/>
          <w:lang w:val="es-ES_tradnl"/>
        </w:rPr>
      </w:pPr>
      <w:r w:rsidRPr="00396DBB">
        <w:rPr>
          <w:rFonts w:ascii="Verdana" w:hAnsi="Verdana" w:cs="Arial"/>
          <w:color w:val="000000" w:themeColor="text1"/>
          <w:sz w:val="20"/>
          <w:szCs w:val="20"/>
          <w:lang w:val="es-ES_tradnl"/>
        </w:rPr>
        <w:t>Los contratos del artículo 355 de la Constitución Política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w:t>
      </w:r>
    </w:p>
    <w:p w:rsidRPr="00396DBB" w:rsidR="00F10662" w:rsidP="00F10662" w:rsidRDefault="00F10662" w14:paraId="1D230DE9" w14:textId="77777777">
      <w:pPr>
        <w:spacing w:after="0" w:line="240" w:lineRule="auto"/>
        <w:jc w:val="both"/>
        <w:rPr>
          <w:rFonts w:ascii="Verdana" w:hAnsi="Verdana" w:cs="Arial"/>
          <w:color w:val="000000" w:themeColor="text1"/>
          <w:sz w:val="21"/>
          <w:szCs w:val="21"/>
          <w:lang w:val="es-ES_tradnl"/>
        </w:rPr>
      </w:pPr>
    </w:p>
    <w:p w:rsidRPr="00396DBB" w:rsidR="00F10662" w:rsidP="00F10662" w:rsidRDefault="00F10662" w14:paraId="64D96701" w14:textId="77777777">
      <w:pPr>
        <w:spacing w:after="0" w:line="240" w:lineRule="auto"/>
        <w:jc w:val="both"/>
        <w:rPr>
          <w:rFonts w:ascii="Verdana" w:hAnsi="Verdana" w:eastAsia="Calibri" w:cs="Arial"/>
          <w:b/>
          <w:color w:val="000000" w:themeColor="text1"/>
          <w:lang w:val="es-ES_tradnl"/>
        </w:rPr>
      </w:pPr>
      <w:bookmarkStart w:name="_Hlk109118876" w:id="0"/>
      <w:r w:rsidRPr="00396DBB">
        <w:rPr>
          <w:rFonts w:ascii="Verdana" w:hAnsi="Verdana" w:eastAsia="Calibri" w:cs="Arial"/>
          <w:b/>
          <w:color w:val="000000" w:themeColor="text1"/>
          <w:lang w:val="es-ES_tradnl"/>
        </w:rPr>
        <w:t>CONTRATACIÓN CON ESAL –</w:t>
      </w:r>
      <w:bookmarkEnd w:id="0"/>
      <w:r w:rsidRPr="00396DBB">
        <w:rPr>
          <w:rFonts w:ascii="Verdana" w:hAnsi="Verdana" w:eastAsia="Calibri" w:cs="Arial"/>
          <w:b/>
          <w:color w:val="000000" w:themeColor="text1"/>
          <w:lang w:val="es-ES_tradnl"/>
        </w:rPr>
        <w:t xml:space="preserve"> Contrato de asociación – Objeto – Alcance </w:t>
      </w:r>
    </w:p>
    <w:p w:rsidRPr="00396DBB" w:rsidR="00F10662" w:rsidP="00F10662" w:rsidRDefault="00F10662" w14:paraId="03517685" w14:textId="77777777">
      <w:pPr>
        <w:spacing w:after="0" w:line="240" w:lineRule="auto"/>
        <w:jc w:val="both"/>
        <w:rPr>
          <w:rFonts w:ascii="Verdana" w:hAnsi="Verdana" w:eastAsia="Calibri" w:cs="Arial"/>
          <w:b/>
          <w:color w:val="000000" w:themeColor="text1"/>
          <w:lang w:val="es-ES_tradnl"/>
        </w:rPr>
      </w:pPr>
    </w:p>
    <w:p w:rsidRPr="00396DBB" w:rsidR="00F10662" w:rsidP="44F4FB97" w:rsidRDefault="00F10662" w14:paraId="673C8808" w14:textId="77777777">
      <w:pPr>
        <w:spacing w:after="0" w:line="240" w:lineRule="auto"/>
        <w:jc w:val="both"/>
        <w:rPr>
          <w:rFonts w:ascii="Verdana" w:hAnsi="Verdana" w:cs="Arial"/>
          <w:color w:val="000000" w:themeColor="text1"/>
          <w:sz w:val="20"/>
          <w:szCs w:val="20"/>
          <w:lang w:val="es-ES"/>
        </w:rPr>
      </w:pPr>
      <w:r w:rsidRPr="44F4FB97" w:rsidR="00F10662">
        <w:rPr>
          <w:rFonts w:ascii="Verdana" w:hAnsi="Verdana" w:cs="Arial"/>
          <w:color w:val="000000" w:themeColor="text1" w:themeTint="FF" w:themeShade="FF"/>
          <w:sz w:val="20"/>
          <w:szCs w:val="20"/>
          <w:lang w:val="es-ES"/>
        </w:rPr>
        <w:t>De otro lado, los convenios de asociación «[t]</w:t>
      </w:r>
      <w:r w:rsidRPr="44F4FB97" w:rsidR="00F10662">
        <w:rPr>
          <w:rFonts w:ascii="Verdana" w:hAnsi="Verdana" w:cs="Arial"/>
          <w:color w:val="000000" w:themeColor="text1" w:themeTint="FF" w:themeShade="FF"/>
          <w:sz w:val="20"/>
          <w:szCs w:val="20"/>
          <w:lang w:val="es-ES"/>
        </w:rPr>
        <w:t>ienen</w:t>
      </w:r>
      <w:r w:rsidRPr="44F4FB97" w:rsidR="00F10662">
        <w:rPr>
          <w:rFonts w:ascii="Verdana" w:hAnsi="Verdana" w:cs="Arial"/>
          <w:color w:val="000000" w:themeColor="text1" w:themeTint="FF" w:themeShade="FF"/>
          <w:sz w:val="20"/>
          <w:szCs w:val="20"/>
          <w:lang w:val="es-ES"/>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w:t>
      </w:r>
      <w:r w:rsidRPr="44F4FB97" w:rsidR="00F10662">
        <w:rPr>
          <w:rFonts w:ascii="Verdana" w:hAnsi="Verdana" w:cs="Arial"/>
          <w:color w:val="000000" w:themeColor="text1" w:themeTint="FF" w:themeShade="FF"/>
          <w:sz w:val="20"/>
          <w:szCs w:val="20"/>
          <w:lang w:val="es-ES"/>
        </w:rPr>
        <w:t>y</w:t>
      </w:r>
      <w:r w:rsidRPr="44F4FB97" w:rsidR="00F10662">
        <w:rPr>
          <w:rFonts w:ascii="Verdana" w:hAnsi="Verdana" w:cs="Arial"/>
          <w:color w:val="000000" w:themeColor="text1" w:themeTint="FF" w:themeShade="FF"/>
          <w:sz w:val="20"/>
          <w:szCs w:val="20"/>
          <w:lang w:val="es-ES"/>
        </w:rPr>
        <w:t xml:space="preserve"> por tanto, la entidad no instruye al contratista para desarrollar los programas o actividades previstas, sino que se asocia con él para el cumplimiento de objetivos comunes.</w:t>
      </w:r>
    </w:p>
    <w:p w:rsidRPr="00396DBB" w:rsidR="00F10662" w:rsidP="00F10662" w:rsidRDefault="00F10662" w14:paraId="183B9232" w14:textId="77777777">
      <w:pPr>
        <w:spacing w:after="0" w:line="240" w:lineRule="auto"/>
        <w:jc w:val="both"/>
        <w:rPr>
          <w:rFonts w:ascii="Verdana" w:hAnsi="Verdana" w:cs="Arial"/>
          <w:color w:val="000000" w:themeColor="text1"/>
          <w:sz w:val="20"/>
          <w:szCs w:val="20"/>
          <w:lang w:val="es-ES_tradnl"/>
        </w:rPr>
      </w:pPr>
    </w:p>
    <w:p w:rsidRPr="00396DBB" w:rsidR="00F10662" w:rsidP="00F10662" w:rsidRDefault="00F10662" w14:paraId="4064593D" w14:textId="77777777">
      <w:pPr>
        <w:spacing w:after="0" w:line="240" w:lineRule="auto"/>
        <w:jc w:val="both"/>
        <w:rPr>
          <w:rFonts w:ascii="Verdana" w:hAnsi="Verdana" w:eastAsia="Calibri" w:cs="Arial"/>
          <w:b/>
          <w:color w:val="000000" w:themeColor="text1"/>
          <w:lang w:val="es-ES_tradnl"/>
        </w:rPr>
      </w:pPr>
      <w:r w:rsidRPr="00396DBB">
        <w:rPr>
          <w:rFonts w:ascii="Verdana" w:hAnsi="Verdana" w:eastAsia="Calibri" w:cs="Arial"/>
          <w:b/>
          <w:color w:val="000000" w:themeColor="text1"/>
          <w:lang w:val="es-ES_tradnl"/>
        </w:rPr>
        <w:t>CONVENIOS DE ASOCIACIÓN – Multiplicidad de sujetos – Límites legales</w:t>
      </w:r>
    </w:p>
    <w:p w:rsidRPr="00396DBB" w:rsidR="00F10662" w:rsidP="00F10662" w:rsidRDefault="00F10662" w14:paraId="64C0412A" w14:textId="77777777">
      <w:pPr>
        <w:spacing w:after="0" w:line="240" w:lineRule="auto"/>
        <w:jc w:val="both"/>
        <w:rPr>
          <w:rFonts w:ascii="Verdana" w:hAnsi="Verdana" w:cs="Arial"/>
          <w:color w:val="000000" w:themeColor="text1"/>
          <w:sz w:val="20"/>
          <w:szCs w:val="20"/>
          <w:lang w:val="es-ES_tradnl"/>
        </w:rPr>
      </w:pPr>
    </w:p>
    <w:p w:rsidRPr="00396DBB" w:rsidR="00F10662" w:rsidP="44F4FB97" w:rsidRDefault="00F10662" w14:paraId="3E90D774" w14:textId="77777777" w14:noSpellErr="1">
      <w:pPr>
        <w:pStyle w:val="Sinespaciado"/>
        <w:jc w:val="both"/>
        <w:rPr>
          <w:rFonts w:ascii="Verdana" w:hAnsi="Verdana" w:cs="Arial"/>
          <w:color w:val="000000" w:themeColor="text1"/>
          <w:sz w:val="20"/>
          <w:szCs w:val="20"/>
          <w:lang w:val="es-ES"/>
        </w:rPr>
      </w:pPr>
      <w:r w:rsidRPr="44F4FB97" w:rsidR="00F10662">
        <w:rPr>
          <w:rFonts w:ascii="Verdana" w:hAnsi="Verdana" w:cs="Arial"/>
          <w:color w:val="000000" w:themeColor="text1" w:themeTint="FF" w:themeShade="FF"/>
          <w:sz w:val="20"/>
          <w:szCs w:val="20"/>
          <w:lang w:val="es-ES"/>
        </w:rPr>
        <w:t xml:space="preserve">La normativa vigente no impide que varias entidades suscriban conjuntamente el convenio de asociación y tampoco que dos o más ESAL pueden hacerlo, a través de las figuras asociativas autorizadas por la ley, por ejemplo, como unión temporal o como consorcio.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w:t>
      </w:r>
      <w:r w:rsidRPr="44F4FB97" w:rsidR="00F10662">
        <w:rPr>
          <w:rFonts w:ascii="Verdana" w:hAnsi="Verdana" w:cs="Arial"/>
          <w:color w:val="000000" w:themeColor="text1" w:themeTint="FF" w:themeShade="FF"/>
          <w:sz w:val="20"/>
          <w:szCs w:val="20"/>
          <w:lang w:val="es-ES"/>
        </w:rPr>
        <w:t xml:space="preserve">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092 de 2017, deben «asegurarse que no haya otras ESAL que ofrezcan su compromiso de recursos en dinero en una proporción no inferior al 30% del valor total del convenio. </w:t>
      </w:r>
      <w:r w:rsidRPr="44F4FB97" w:rsidR="00F10662">
        <w:rPr>
          <w:rFonts w:ascii="Verdana" w:hAnsi="Verdana" w:cs="Arial"/>
          <w:color w:val="000000" w:themeColor="text1" w:themeTint="FF" w:themeShade="FF"/>
          <w:sz w:val="20"/>
          <w:szCs w:val="20"/>
          <w:lang w:val="es-ES"/>
        </w:rPr>
        <w:t>En caso de que la entidad encuentre que más de una ESAL le ofrece al menos el 30% de recursos en dinero para el convenio de asociación, debe seleccionar objetivamente con cual asociarse».</w:t>
      </w:r>
    </w:p>
    <w:p w:rsidRPr="00396DBB" w:rsidR="00F10662" w:rsidP="00F10662" w:rsidRDefault="00F10662" w14:paraId="55A645E5" w14:textId="77777777">
      <w:pPr>
        <w:pStyle w:val="Sinespaciado"/>
        <w:jc w:val="both"/>
        <w:rPr>
          <w:rFonts w:ascii="Verdana" w:hAnsi="Verdana" w:cs="Arial"/>
          <w:color w:val="000000" w:themeColor="text1"/>
          <w:sz w:val="20"/>
          <w:szCs w:val="20"/>
          <w:lang w:val="es-ES_tradnl"/>
        </w:rPr>
      </w:pPr>
    </w:p>
    <w:p w:rsidRPr="00396DBB" w:rsidR="00F10662" w:rsidP="00F10662" w:rsidRDefault="00F10662" w14:paraId="66D44A57" w14:textId="77777777">
      <w:pPr>
        <w:spacing w:after="0" w:line="240" w:lineRule="auto"/>
        <w:jc w:val="both"/>
        <w:rPr>
          <w:rFonts w:ascii="Verdana" w:hAnsi="Verdana" w:eastAsia="Calibri" w:cs="Arial"/>
          <w:b/>
          <w:color w:val="000000" w:themeColor="text1"/>
          <w:lang w:val="es-ES_tradnl"/>
        </w:rPr>
      </w:pPr>
      <w:r w:rsidRPr="00396DBB">
        <w:rPr>
          <w:rFonts w:ascii="Verdana" w:hAnsi="Verdana" w:eastAsia="Calibri" w:cs="Arial"/>
          <w:b/>
          <w:color w:val="000000" w:themeColor="text1"/>
          <w:lang w:val="es-ES_tradnl"/>
        </w:rPr>
        <w:t xml:space="preserve">DECRETO 092 DE 2017 – Criterios – Aplicación </w:t>
      </w:r>
    </w:p>
    <w:p w:rsidRPr="00396DBB" w:rsidR="00F10662" w:rsidP="00F10662" w:rsidRDefault="00F10662" w14:paraId="7934D7E0" w14:textId="77777777">
      <w:pPr>
        <w:spacing w:after="0" w:line="240" w:lineRule="auto"/>
        <w:jc w:val="both"/>
        <w:rPr>
          <w:rFonts w:ascii="Verdana" w:hAnsi="Verdana" w:cs="Arial"/>
          <w:color w:val="000000" w:themeColor="text1"/>
          <w:sz w:val="21"/>
          <w:szCs w:val="21"/>
          <w:lang w:val="es-ES_tradnl"/>
        </w:rPr>
      </w:pPr>
    </w:p>
    <w:p w:rsidRPr="00396DBB" w:rsidR="00F10662" w:rsidP="44F4FB97" w:rsidRDefault="00F10662" w14:paraId="7B4A9845" w14:textId="77777777" w14:noSpellErr="1">
      <w:pPr>
        <w:spacing w:after="0" w:line="240" w:lineRule="auto"/>
        <w:jc w:val="both"/>
        <w:rPr>
          <w:rFonts w:ascii="Verdana" w:hAnsi="Verdana" w:cs="Arial"/>
          <w:color w:val="000000" w:themeColor="text1"/>
          <w:sz w:val="20"/>
          <w:szCs w:val="20"/>
          <w:lang w:val="es-ES"/>
        </w:rPr>
      </w:pPr>
      <w:r w:rsidRPr="44F4FB97" w:rsidR="00F10662">
        <w:rPr>
          <w:rFonts w:ascii="Verdana" w:hAnsi="Verdana" w:cs="Arial"/>
          <w:color w:val="000000" w:themeColor="text1" w:themeTint="FF" w:themeShade="FF"/>
          <w:sz w:val="20"/>
          <w:szCs w:val="20"/>
          <w:lang w:val="es-ES"/>
        </w:rPr>
        <w:t xml:space="preserve">[…] De acuerdo con lo anterior, no todas las actividades que las entidades estatales deben desarrollar para alcanzar sus objetivos misionales deben ejecutarse a través de la celebración de contratos del artículo 355 superior o convenios de asociación. Debe tenerse en cuenta que lo que determina la aplicación del Decreto 092 de 2017 no es únicamente el carácter de las ESAL sino el objeto del contrato o convenio que la entidad pretende adelantar. </w:t>
      </w:r>
      <w:r w:rsidRPr="44F4FB97" w:rsidR="00F10662">
        <w:rPr>
          <w:rFonts w:ascii="Verdana" w:hAnsi="Verdana" w:cs="Arial"/>
          <w:color w:val="000000" w:themeColor="text1" w:themeTint="FF" w:themeShade="FF"/>
          <w:sz w:val="20"/>
          <w:szCs w:val="20"/>
          <w:lang w:val="es-ES"/>
        </w:rPr>
        <w:t>Por tanto, el hecho de que se trate de una entidad sin ánimo de lucro no implica que necesariamente deba celebrarse un contrato de colaboración o un convenio de asociación.</w:t>
      </w:r>
    </w:p>
    <w:p w:rsidRPr="00396DBB" w:rsidR="00F10662" w:rsidP="00F10662" w:rsidRDefault="00F10662" w14:paraId="77C07E7B" w14:textId="77777777">
      <w:pPr>
        <w:pStyle w:val="Sinespaciado"/>
        <w:jc w:val="both"/>
        <w:rPr>
          <w:rFonts w:ascii="Verdana" w:hAnsi="Verdana" w:cs="Arial"/>
          <w:color w:val="000000" w:themeColor="text1"/>
          <w:sz w:val="20"/>
          <w:szCs w:val="20"/>
          <w:lang w:val="es-ES_tradnl"/>
        </w:rPr>
      </w:pPr>
    </w:p>
    <w:p w:rsidRPr="00396DBB" w:rsidR="00F10662" w:rsidP="00F10662" w:rsidRDefault="00F10662" w14:paraId="2EC138C9" w14:textId="77777777">
      <w:pPr>
        <w:pStyle w:val="Textoindependiente"/>
        <w:spacing w:after="0" w:line="240" w:lineRule="auto"/>
        <w:ind w:right="102"/>
        <w:jc w:val="both"/>
        <w:rPr>
          <w:rFonts w:ascii="Verdana" w:hAnsi="Verdana" w:cs="Arial"/>
          <w:b/>
          <w:bCs/>
          <w:color w:val="000000" w:themeColor="text1"/>
          <w:lang w:val="es-ES_tradnl"/>
        </w:rPr>
      </w:pPr>
      <w:r w:rsidRPr="00396DBB">
        <w:rPr>
          <w:rFonts w:ascii="Verdana" w:hAnsi="Verdana" w:cs="Arial"/>
          <w:b/>
          <w:bCs/>
          <w:color w:val="000000" w:themeColor="text1"/>
          <w:lang w:val="es-ES_tradnl"/>
        </w:rPr>
        <w:t xml:space="preserve">CONVENIOS DE ASOCIACIÓN – Suscripción con </w:t>
      </w:r>
      <w:r>
        <w:rPr>
          <w:rFonts w:ascii="Verdana" w:hAnsi="Verdana" w:cs="Arial"/>
          <w:b/>
          <w:bCs/>
          <w:color w:val="000000" w:themeColor="text1"/>
          <w:lang w:val="es-ES_tradnl"/>
        </w:rPr>
        <w:t>ESAL</w:t>
      </w:r>
    </w:p>
    <w:p w:rsidRPr="00396DBB" w:rsidR="00F10662" w:rsidP="00F10662" w:rsidRDefault="00F10662" w14:paraId="45AC337D" w14:textId="77777777">
      <w:pPr>
        <w:pStyle w:val="Textoindependiente"/>
        <w:spacing w:after="0" w:line="240" w:lineRule="auto"/>
        <w:ind w:right="102"/>
        <w:jc w:val="both"/>
        <w:rPr>
          <w:rFonts w:ascii="Verdana" w:hAnsi="Verdana" w:cs="Arial"/>
          <w:b/>
          <w:color w:val="000000" w:themeColor="text1"/>
          <w:lang w:val="es-ES_tradnl"/>
        </w:rPr>
      </w:pPr>
    </w:p>
    <w:p w:rsidRPr="00396DBB" w:rsidR="00F10662" w:rsidP="00F10662" w:rsidRDefault="00F10662" w14:paraId="7A400C49" w14:textId="77777777">
      <w:pPr>
        <w:spacing w:after="0" w:line="240" w:lineRule="auto"/>
        <w:jc w:val="both"/>
        <w:rPr>
          <w:rFonts w:ascii="Verdana" w:hAnsi="Verdana" w:cs="Arial" w:eastAsiaTheme="minorEastAsia"/>
          <w:color w:val="000000" w:themeColor="text1"/>
          <w:sz w:val="20"/>
          <w:szCs w:val="20"/>
          <w:lang w:eastAsia="es-CO"/>
        </w:rPr>
      </w:pPr>
      <w:r>
        <w:rPr>
          <w:rFonts w:ascii="Verdana" w:hAnsi="Verdana" w:cs="Arial" w:eastAsiaTheme="minorEastAsia"/>
          <w:color w:val="000000" w:themeColor="text1"/>
          <w:sz w:val="20"/>
          <w:szCs w:val="20"/>
          <w:lang w:val="es-ES_tradnl" w:eastAsia="es-CO"/>
        </w:rPr>
        <w:t>D</w:t>
      </w:r>
      <w:proofErr w:type="spellStart"/>
      <w:r w:rsidRPr="00396DBB">
        <w:rPr>
          <w:rFonts w:ascii="Verdana" w:hAnsi="Verdana" w:cs="Arial" w:eastAsiaTheme="minorEastAsia"/>
          <w:color w:val="000000" w:themeColor="text1"/>
          <w:sz w:val="20"/>
          <w:szCs w:val="20"/>
          <w:lang w:eastAsia="es-CO"/>
        </w:rPr>
        <w:t>e</w:t>
      </w:r>
      <w:proofErr w:type="spellEnd"/>
      <w:r w:rsidRPr="00396DBB">
        <w:rPr>
          <w:rFonts w:ascii="Verdana" w:hAnsi="Verdana" w:cs="Arial" w:eastAsiaTheme="minorEastAsia"/>
          <w:color w:val="000000" w:themeColor="text1"/>
          <w:sz w:val="20"/>
          <w:szCs w:val="20"/>
          <w:lang w:eastAsia="es-CO"/>
        </w:rPr>
        <w:t xml:space="preserve"> acuerdo con el artículo 355 de la Constitución, al que remite el inciso segundo del artículo 96 de la Ley 489 de 1998, los </w:t>
      </w:r>
      <w:r w:rsidRPr="00396DBB">
        <w:rPr>
          <w:rFonts w:ascii="Verdana" w:hAnsi="Verdana" w:cs="Arial" w:eastAsiaTheme="minorEastAsia"/>
          <w:i/>
          <w:iCs/>
          <w:color w:val="000000" w:themeColor="text1"/>
          <w:sz w:val="20"/>
          <w:szCs w:val="20"/>
          <w:lang w:eastAsia="es-CO"/>
        </w:rPr>
        <w:t xml:space="preserve">convenios de asociación </w:t>
      </w:r>
      <w:r w:rsidRPr="00396DBB">
        <w:rPr>
          <w:rFonts w:ascii="Verdana" w:hAnsi="Verdana" w:cs="Arial" w:eastAsiaTheme="minorEastAsia"/>
          <w:color w:val="000000" w:themeColor="text1"/>
          <w:sz w:val="20"/>
          <w:szCs w:val="20"/>
          <w:lang w:eastAsia="es-CO"/>
        </w:rPr>
        <w:t>sólo pueden suscribirse con ESAL. Esto es así porque si bien es cierto que el mencionado artículo 96 se refiere genéricamente a la noción “personas jurídicas particulares”, también lo es que el inciso segundo del mismo artículo establece que estos “se celebrarán de conformidad con lo dispuesto en el artículo 355 de la Constitución Política”, esto es “</w:t>
      </w:r>
      <w:r w:rsidRPr="00396DBB">
        <w:rPr>
          <w:rFonts w:ascii="Verdana" w:hAnsi="Verdana" w:cs="Arial" w:eastAsiaTheme="minorEastAsia"/>
          <w:i/>
          <w:iCs/>
          <w:color w:val="000000" w:themeColor="text1"/>
          <w:sz w:val="20"/>
          <w:szCs w:val="20"/>
          <w:lang w:eastAsia="es-CO"/>
        </w:rPr>
        <w:t>con entidades privadas sin ánimo de lucro y de reconocida idoneidad</w:t>
      </w:r>
      <w:r w:rsidRPr="00396DBB">
        <w:rPr>
          <w:rFonts w:ascii="Verdana" w:hAnsi="Verdana" w:cs="Arial" w:eastAsiaTheme="minorEastAsia"/>
          <w:color w:val="000000" w:themeColor="text1"/>
          <w:sz w:val="20"/>
          <w:szCs w:val="20"/>
          <w:lang w:eastAsia="es-CO"/>
        </w:rPr>
        <w:t xml:space="preserve"> con el fin de impulsar programas y actividades de interés público acordes con el Plan Nacional y los planes seccionales de Desarrollo” (Énfasis fuera de texto). Incluso el artículo 5 del Decreto 092 de 2017, que desarrolla la citada norma constitucional, se refiere expresamente a los </w:t>
      </w:r>
      <w:r w:rsidRPr="00396DBB">
        <w:rPr>
          <w:rFonts w:ascii="Verdana" w:hAnsi="Verdana" w:cs="Arial" w:eastAsiaTheme="minorEastAsia"/>
          <w:i/>
          <w:iCs/>
          <w:color w:val="000000" w:themeColor="text1"/>
          <w:sz w:val="20"/>
          <w:szCs w:val="20"/>
          <w:lang w:eastAsia="es-CO"/>
        </w:rPr>
        <w:t xml:space="preserve">convenios de asociación </w:t>
      </w:r>
      <w:r w:rsidRPr="00396DBB">
        <w:rPr>
          <w:rFonts w:ascii="Verdana" w:hAnsi="Verdana" w:cs="Arial" w:eastAsiaTheme="minorEastAsia"/>
          <w:color w:val="000000" w:themeColor="text1"/>
          <w:sz w:val="20"/>
          <w:szCs w:val="20"/>
          <w:lang w:eastAsia="es-CO"/>
        </w:rPr>
        <w:t>celebrados entre ESAL y entidades estatales, mas no con personas naturales o jurídicas particulares en general.</w:t>
      </w:r>
    </w:p>
    <w:p w:rsidRPr="00F10662" w:rsidR="00F10662" w:rsidP="00EE4B76" w:rsidRDefault="00F10662" w14:paraId="158F25A0" w14:textId="77777777">
      <w:pPr>
        <w:spacing w:after="0" w:line="240" w:lineRule="auto"/>
        <w:rPr>
          <w:rFonts w:ascii="Verdana" w:hAnsi="Verdana" w:eastAsia="Geomanist Light" w:cs="Arial"/>
          <w:color w:val="000000" w:themeColor="text1"/>
        </w:rPr>
      </w:pPr>
    </w:p>
    <w:p w:rsidR="00F10662" w:rsidP="00EE4B76" w:rsidRDefault="00F10662" w14:paraId="1EC5D809" w14:textId="77777777">
      <w:pPr>
        <w:spacing w:after="0" w:line="240" w:lineRule="auto"/>
        <w:rPr>
          <w:rFonts w:ascii="Verdana" w:hAnsi="Verdana" w:eastAsia="Geomanist Light" w:cs="Arial"/>
          <w:color w:val="000000" w:themeColor="text1"/>
          <w:lang w:val="es-MX"/>
        </w:rPr>
      </w:pPr>
    </w:p>
    <w:p w:rsidR="00F10662" w:rsidP="00EE4B76" w:rsidRDefault="00F10662" w14:paraId="68951124" w14:textId="77777777">
      <w:pPr>
        <w:spacing w:after="0" w:line="240" w:lineRule="auto"/>
        <w:rPr>
          <w:rFonts w:ascii="Verdana" w:hAnsi="Verdana" w:eastAsia="Geomanist Light" w:cs="Arial"/>
          <w:color w:val="000000" w:themeColor="text1"/>
          <w:lang w:val="es-MX"/>
        </w:rPr>
      </w:pPr>
    </w:p>
    <w:p w:rsidR="00F10662" w:rsidP="00EE4B76" w:rsidRDefault="00F10662" w14:paraId="1C78F67B" w14:textId="77777777">
      <w:pPr>
        <w:spacing w:after="0" w:line="240" w:lineRule="auto"/>
        <w:rPr>
          <w:rFonts w:ascii="Verdana" w:hAnsi="Verdana" w:eastAsia="Geomanist Light" w:cs="Arial"/>
          <w:color w:val="000000" w:themeColor="text1"/>
          <w:lang w:val="es-MX"/>
        </w:rPr>
      </w:pPr>
    </w:p>
    <w:p w:rsidR="00F10662" w:rsidP="00EE4B76" w:rsidRDefault="00F10662" w14:paraId="4AB16C47" w14:textId="77777777">
      <w:pPr>
        <w:spacing w:after="0" w:line="240" w:lineRule="auto"/>
        <w:rPr>
          <w:rFonts w:ascii="Verdana" w:hAnsi="Verdana" w:eastAsia="Geomanist Light" w:cs="Arial"/>
          <w:color w:val="000000" w:themeColor="text1"/>
          <w:lang w:val="es-MX"/>
        </w:rPr>
      </w:pPr>
    </w:p>
    <w:p w:rsidR="00F10662" w:rsidP="00EE4B76" w:rsidRDefault="00F10662" w14:paraId="247936B5" w14:textId="77777777">
      <w:pPr>
        <w:spacing w:after="0" w:line="240" w:lineRule="auto"/>
        <w:rPr>
          <w:rFonts w:ascii="Verdana" w:hAnsi="Verdana" w:eastAsia="Geomanist Light" w:cs="Arial"/>
          <w:color w:val="000000" w:themeColor="text1"/>
          <w:lang w:val="es-MX"/>
        </w:rPr>
      </w:pPr>
    </w:p>
    <w:p w:rsidR="00F10662" w:rsidP="00EE4B76" w:rsidRDefault="00F10662" w14:paraId="4F722D5E" w14:textId="77777777">
      <w:pPr>
        <w:spacing w:after="0" w:line="240" w:lineRule="auto"/>
        <w:rPr>
          <w:rFonts w:ascii="Verdana" w:hAnsi="Verdana" w:eastAsia="Geomanist Light" w:cs="Arial"/>
          <w:color w:val="000000" w:themeColor="text1"/>
          <w:lang w:val="es-MX"/>
        </w:rPr>
      </w:pPr>
    </w:p>
    <w:p w:rsidR="00F10662" w:rsidP="00EE4B76" w:rsidRDefault="00F10662" w14:paraId="333139A0" w14:textId="77777777">
      <w:pPr>
        <w:spacing w:after="0" w:line="240" w:lineRule="auto"/>
        <w:rPr>
          <w:rFonts w:ascii="Verdana" w:hAnsi="Verdana" w:eastAsia="Geomanist Light" w:cs="Arial"/>
          <w:color w:val="000000" w:themeColor="text1"/>
          <w:lang w:val="es-MX"/>
        </w:rPr>
      </w:pPr>
    </w:p>
    <w:p w:rsidR="00F10662" w:rsidP="00EE4B76" w:rsidRDefault="00F10662" w14:paraId="7CFE7027" w14:textId="77777777">
      <w:pPr>
        <w:spacing w:after="0" w:line="240" w:lineRule="auto"/>
        <w:rPr>
          <w:rFonts w:ascii="Verdana" w:hAnsi="Verdana" w:eastAsia="Geomanist Light" w:cs="Arial"/>
          <w:color w:val="000000" w:themeColor="text1"/>
          <w:lang w:val="es-MX"/>
        </w:rPr>
      </w:pPr>
    </w:p>
    <w:p w:rsidR="00F10662" w:rsidP="00EE4B76" w:rsidRDefault="00F10662" w14:paraId="46F889F4" w14:textId="77777777">
      <w:pPr>
        <w:spacing w:after="0" w:line="240" w:lineRule="auto"/>
        <w:rPr>
          <w:rFonts w:ascii="Verdana" w:hAnsi="Verdana" w:eastAsia="Geomanist Light" w:cs="Arial"/>
          <w:color w:val="000000" w:themeColor="text1"/>
          <w:lang w:val="es-MX"/>
        </w:rPr>
      </w:pPr>
    </w:p>
    <w:p w:rsidR="00F10662" w:rsidP="00EE4B76" w:rsidRDefault="00F10662" w14:paraId="3C5CD2C8" w14:textId="77777777">
      <w:pPr>
        <w:spacing w:after="0" w:line="240" w:lineRule="auto"/>
        <w:rPr>
          <w:rFonts w:ascii="Verdana" w:hAnsi="Verdana" w:eastAsia="Geomanist Light" w:cs="Arial"/>
          <w:color w:val="000000" w:themeColor="text1"/>
          <w:lang w:val="es-MX"/>
        </w:rPr>
      </w:pPr>
    </w:p>
    <w:p w:rsidRPr="00593A5F" w:rsidR="00EE4B76" w:rsidP="00EE4B76" w:rsidRDefault="00EE4B76" w14:paraId="1D051A5A" w14:textId="47D11D46">
      <w:pPr>
        <w:spacing w:after="0" w:line="240" w:lineRule="auto"/>
        <w:rPr>
          <w:rFonts w:ascii="Verdana" w:hAnsi="Verdana" w:eastAsia="Geomanist Light" w:cs="Arial"/>
          <w:color w:val="201F1E"/>
          <w:lang w:val="es-MX"/>
        </w:rPr>
      </w:pPr>
      <w:r w:rsidRPr="00593A5F">
        <w:rPr>
          <w:rFonts w:ascii="Verdana" w:hAnsi="Verdana" w:eastAsia="Geomanist Light" w:cs="Arial"/>
          <w:color w:val="000000" w:themeColor="text1"/>
          <w:lang w:val="es-MX"/>
        </w:rPr>
        <w:t>Bogotá D.C., </w:t>
      </w:r>
      <w:r w:rsidRPr="00A526D1" w:rsidR="00A526D1">
        <w:rPr>
          <w:rFonts w:ascii="Verdana" w:hAnsi="Verdana" w:eastAsia="Geomanist Light" w:cs="Arial"/>
          <w:color w:val="201F1E"/>
          <w:lang w:val="es-MX"/>
        </w:rPr>
        <w:t>29 de Octubre de 2024</w:t>
      </w:r>
    </w:p>
    <w:p w:rsidR="00EE4B76" w:rsidP="00EE4B76" w:rsidRDefault="00EE4B76" w14:paraId="67D0B606" w14:textId="77777777">
      <w:pPr>
        <w:spacing w:after="0" w:line="240" w:lineRule="auto"/>
        <w:jc w:val="both"/>
        <w:rPr>
          <w:rFonts w:ascii="Verdana" w:hAnsi="Verdana" w:eastAsia="Calibri" w:cs="Arial"/>
          <w:color w:val="000000"/>
          <w:lang w:val="es-ES"/>
        </w:rPr>
      </w:pPr>
    </w:p>
    <w:p w:rsidR="00A526D1" w:rsidP="00A526D1" w:rsidRDefault="00A526D1" w14:paraId="725B33F5" w14:textId="45D7A324">
      <w:pPr>
        <w:spacing w:after="0" w:line="240" w:lineRule="auto"/>
        <w:jc w:val="right"/>
        <w:rPr>
          <w:rFonts w:ascii="Verdana" w:hAnsi="Verdana" w:eastAsia="Calibri" w:cs="Arial"/>
          <w:color w:val="000000"/>
          <w:lang w:val="es-ES"/>
        </w:rPr>
      </w:pPr>
      <w:r w:rsidRPr="00A526D1">
        <w:rPr>
          <w:rFonts w:ascii="Verdana" w:hAnsi="Verdana" w:eastAsia="Calibri" w:cs="Arial"/>
          <w:noProof/>
          <w:color w:val="000000"/>
          <w:lang w:val="es-ES"/>
        </w:rPr>
        <w:drawing>
          <wp:inline distT="0" distB="0" distL="0" distR="0" wp14:anchorId="7C9A7E15" wp14:editId="4DE3DBF2">
            <wp:extent cx="3238500" cy="901700"/>
            <wp:effectExtent l="0" t="0" r="0" b="0"/>
            <wp:docPr id="18047509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750929" name=""/>
                    <pic:cNvPicPr/>
                  </pic:nvPicPr>
                  <pic:blipFill>
                    <a:blip r:embed="rId10"/>
                    <a:stretch>
                      <a:fillRect/>
                    </a:stretch>
                  </pic:blipFill>
                  <pic:spPr>
                    <a:xfrm>
                      <a:off x="0" y="0"/>
                      <a:ext cx="3238500" cy="901700"/>
                    </a:xfrm>
                    <a:prstGeom prst="rect">
                      <a:avLst/>
                    </a:prstGeom>
                  </pic:spPr>
                </pic:pic>
              </a:graphicData>
            </a:graphic>
          </wp:inline>
        </w:drawing>
      </w:r>
    </w:p>
    <w:p w:rsidRPr="00593A5F" w:rsidR="00EE4B76" w:rsidP="00EE4B76" w:rsidRDefault="00EE4B76" w14:paraId="4CE40162" w14:textId="77777777">
      <w:pPr>
        <w:spacing w:after="0" w:line="240" w:lineRule="auto"/>
        <w:jc w:val="both"/>
        <w:rPr>
          <w:rFonts w:ascii="Verdana" w:hAnsi="Verdana" w:eastAsia="Calibri" w:cs="Arial"/>
          <w:color w:val="000000"/>
          <w:lang w:val="es-ES"/>
        </w:rPr>
      </w:pPr>
    </w:p>
    <w:p w:rsidRPr="00B96799" w:rsidR="00EE4B76" w:rsidP="00EE4B76" w:rsidRDefault="00EE4B76" w14:paraId="6215FA72" w14:textId="77777777">
      <w:pPr>
        <w:spacing w:after="0" w:line="240" w:lineRule="auto"/>
        <w:jc w:val="both"/>
        <w:rPr>
          <w:rFonts w:ascii="Verdana" w:hAnsi="Verdana" w:eastAsia="Calibri" w:cs="Arial"/>
          <w:lang w:val="es-ES" w:eastAsia="es-ES"/>
        </w:rPr>
      </w:pPr>
      <w:r w:rsidRPr="00B96799">
        <w:rPr>
          <w:rFonts w:ascii="Verdana" w:hAnsi="Verdana" w:eastAsia="Calibri" w:cs="Arial"/>
          <w:lang w:val="es-ES" w:eastAsia="es-ES"/>
        </w:rPr>
        <w:t>Seño</w:t>
      </w:r>
      <w:r>
        <w:rPr>
          <w:rFonts w:ascii="Verdana" w:hAnsi="Verdana" w:eastAsia="Calibri" w:cs="Arial"/>
          <w:lang w:val="es-ES" w:eastAsia="es-ES"/>
        </w:rPr>
        <w:t>r</w:t>
      </w:r>
    </w:p>
    <w:p w:rsidR="00EE4B76" w:rsidP="00EE4B76" w:rsidRDefault="00EE4B76" w14:paraId="0035CC32" w14:textId="77777777">
      <w:pPr>
        <w:spacing w:after="0" w:line="240" w:lineRule="auto"/>
        <w:rPr>
          <w:rFonts w:ascii="Verdana" w:hAnsi="Verdana" w:eastAsia="Calibri" w:cs="Arial"/>
          <w:b/>
          <w:lang w:val="es-ES_tradnl" w:eastAsia="es-ES_tradnl"/>
        </w:rPr>
      </w:pPr>
      <w:r w:rsidRPr="005B552C">
        <w:rPr>
          <w:rFonts w:ascii="Verdana" w:hAnsi="Verdana" w:eastAsia="Calibri" w:cs="Arial"/>
          <w:b/>
          <w:lang w:val="es-ES_tradnl" w:eastAsia="es-ES_tradnl"/>
        </w:rPr>
        <w:t>Luis Alexander Moscoso Osorio</w:t>
      </w:r>
      <w:r>
        <w:rPr>
          <w:rFonts w:ascii="Verdana" w:hAnsi="Verdana" w:eastAsia="Calibri" w:cs="Arial"/>
          <w:b/>
          <w:lang w:val="es-ES_tradnl" w:eastAsia="es-ES_tradnl"/>
        </w:rPr>
        <w:t xml:space="preserve"> </w:t>
      </w:r>
    </w:p>
    <w:p w:rsidRPr="005B552C" w:rsidR="00EE4B76" w:rsidP="00EE4B76" w:rsidRDefault="00EE4B76" w14:paraId="2AE75968" w14:textId="77777777">
      <w:pPr>
        <w:spacing w:after="0" w:line="240" w:lineRule="auto"/>
        <w:rPr>
          <w:rFonts w:ascii="Verdana" w:hAnsi="Verdana" w:eastAsia="Calibri" w:cs="Arial"/>
          <w:lang w:val="es-ES" w:eastAsia="es-ES"/>
        </w:rPr>
      </w:pPr>
      <w:hyperlink w:history="1" r:id="rId11">
        <w:r w:rsidRPr="001C149F">
          <w:rPr>
            <w:rStyle w:val="Hipervnculo"/>
            <w:rFonts w:ascii="Verdana" w:hAnsi="Verdana"/>
          </w:rPr>
          <w:t>Notificaciones_SGDEA@saludcapital.gov.co</w:t>
        </w:r>
      </w:hyperlink>
      <w:r>
        <w:rPr>
          <w:rFonts w:ascii="Verdana" w:hAnsi="Verdana"/>
        </w:rPr>
        <w:t xml:space="preserve"> </w:t>
      </w:r>
      <w:r w:rsidRPr="005B552C">
        <w:rPr>
          <w:rFonts w:ascii="Verdana" w:hAnsi="Verdana"/>
        </w:rPr>
        <w:t xml:space="preserve">  </w:t>
      </w:r>
      <w:r w:rsidRPr="005B552C">
        <w:rPr>
          <w:rFonts w:ascii="Verdana" w:hAnsi="Verdana" w:eastAsia="Calibri" w:cs="Arial"/>
          <w:lang w:val="es-ES" w:eastAsia="es-ES"/>
        </w:rPr>
        <w:t xml:space="preserve">    </w:t>
      </w:r>
    </w:p>
    <w:p w:rsidR="00EE4B76" w:rsidP="00EE4B76" w:rsidRDefault="00EE4B76" w14:paraId="085DA9F3" w14:textId="77777777">
      <w:pPr>
        <w:spacing w:after="0" w:line="240" w:lineRule="auto"/>
        <w:rPr>
          <w:rFonts w:ascii="Verdana" w:hAnsi="Verdana" w:eastAsia="Calibri" w:cs="Arial"/>
          <w:lang w:val="es-ES" w:eastAsia="es-ES"/>
        </w:rPr>
      </w:pPr>
      <w:r w:rsidRPr="0090408E">
        <w:rPr>
          <w:rFonts w:ascii="Verdana" w:hAnsi="Verdana" w:eastAsia="Calibri" w:cs="Arial"/>
          <w:lang w:val="es-ES" w:eastAsia="es-ES"/>
        </w:rPr>
        <w:t>Bogotá D.C.</w:t>
      </w:r>
      <w:r>
        <w:rPr>
          <w:rFonts w:ascii="Verdana" w:hAnsi="Verdana" w:eastAsia="Calibri" w:cs="Arial"/>
          <w:lang w:val="es-ES" w:eastAsia="es-ES"/>
        </w:rPr>
        <w:t xml:space="preserve"> </w:t>
      </w:r>
    </w:p>
    <w:p w:rsidRPr="00593A5F" w:rsidR="00EE4B76" w:rsidP="00EE4B76" w:rsidRDefault="00EE4B76" w14:paraId="0C4D95DD" w14:textId="77777777">
      <w:pPr>
        <w:spacing w:after="0" w:line="240" w:lineRule="auto"/>
        <w:rPr>
          <w:rFonts w:ascii="Verdana" w:hAnsi="Verdana" w:eastAsia="Calibri" w:cs="Arial"/>
          <w:b/>
          <w:bCs/>
          <w:color w:val="000000"/>
          <w:lang w:val="es-ES_tradnl" w:eastAsia="es-ES_tradnl"/>
        </w:rPr>
      </w:pPr>
    </w:p>
    <w:p w:rsidRPr="00593A5F" w:rsidR="00EE4B76" w:rsidP="00EE4B76" w:rsidRDefault="00EE4B76" w14:paraId="177AF6CF" w14:textId="77777777">
      <w:pPr>
        <w:spacing w:after="0" w:line="240" w:lineRule="auto"/>
        <w:rPr>
          <w:rFonts w:ascii="Verdana" w:hAnsi="Verdana" w:eastAsia="Calibri" w:cs="Arial"/>
          <w:b/>
          <w:bCs/>
          <w:color w:val="000000"/>
          <w:lang w:val="es-ES_tradnl" w:eastAsia="es-ES_tradnl"/>
        </w:rPr>
      </w:pPr>
    </w:p>
    <w:tbl>
      <w:tblPr>
        <w:tblStyle w:val="Tablaconcuadrcula"/>
        <w:tblW w:w="87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100"/>
      </w:tblGrid>
      <w:tr w:rsidRPr="00593A5F" w:rsidR="00EE4B76" w:rsidTr="0011033F" w14:paraId="460E3C5C" w14:textId="77777777">
        <w:trPr>
          <w:trHeight w:val="884"/>
        </w:trPr>
        <w:tc>
          <w:tcPr>
            <w:tcW w:w="2689" w:type="dxa"/>
          </w:tcPr>
          <w:p w:rsidRPr="00C00976" w:rsidR="00EE4B76" w:rsidP="0011033F" w:rsidRDefault="00EE4B76" w14:paraId="635B2D87" w14:textId="77777777">
            <w:pPr>
              <w:jc w:val="both"/>
              <w:rPr>
                <w:rFonts w:ascii="Verdana" w:hAnsi="Verdana" w:eastAsia="Calibri" w:cs="Arial"/>
                <w:b/>
                <w:bCs/>
                <w:color w:val="7030A0"/>
                <w:lang w:val="es-ES_tradnl" w:eastAsia="es-ES_tradnl"/>
              </w:rPr>
            </w:pPr>
          </w:p>
        </w:tc>
        <w:tc>
          <w:tcPr>
            <w:tcW w:w="6100" w:type="dxa"/>
          </w:tcPr>
          <w:p w:rsidRPr="00C00976" w:rsidR="00EE4B76" w:rsidP="0011033F" w:rsidRDefault="00EE4B76" w14:paraId="3BEE7513" w14:textId="77777777">
            <w:pPr>
              <w:jc w:val="both"/>
              <w:rPr>
                <w:rFonts w:ascii="Verdana" w:hAnsi="Verdana" w:eastAsia="Calibri" w:cs="Arial"/>
                <w:b/>
                <w:bCs/>
                <w:color w:val="7030A0"/>
                <w:lang w:val="es-ES" w:eastAsia="es-ES"/>
              </w:rPr>
            </w:pPr>
            <w:r w:rsidRPr="008E6AD9">
              <w:rPr>
                <w:rFonts w:ascii="Verdana" w:hAnsi="Verdana" w:eastAsia="Calibri" w:cs="Arial"/>
                <w:b/>
                <w:bCs/>
                <w:lang w:val="es-ES" w:eastAsia="es-ES"/>
              </w:rPr>
              <w:t xml:space="preserve">Concepto C – </w:t>
            </w:r>
            <w:r>
              <w:rPr>
                <w:rFonts w:ascii="Verdana" w:hAnsi="Verdana" w:eastAsia="Calibri" w:cs="Arial"/>
                <w:b/>
                <w:bCs/>
                <w:lang w:val="es-ES" w:eastAsia="es-ES"/>
              </w:rPr>
              <w:t>281</w:t>
            </w:r>
            <w:r w:rsidRPr="008E6AD9">
              <w:rPr>
                <w:rFonts w:ascii="Verdana" w:hAnsi="Verdana" w:eastAsia="Calibri" w:cs="Arial"/>
                <w:b/>
                <w:bCs/>
                <w:lang w:val="es-ES" w:eastAsia="es-ES"/>
              </w:rPr>
              <w:t xml:space="preserve"> de 2024</w:t>
            </w:r>
          </w:p>
        </w:tc>
      </w:tr>
      <w:tr w:rsidRPr="00593A5F" w:rsidR="00EE4B76" w:rsidTr="0011033F" w14:paraId="29BEBE40" w14:textId="77777777">
        <w:trPr>
          <w:trHeight w:val="884"/>
        </w:trPr>
        <w:tc>
          <w:tcPr>
            <w:tcW w:w="2689" w:type="dxa"/>
          </w:tcPr>
          <w:p w:rsidRPr="00593A5F" w:rsidR="00EE4B76" w:rsidP="0011033F" w:rsidRDefault="00EE4B76" w14:paraId="2B2E62D3" w14:textId="77777777">
            <w:pPr>
              <w:jc w:val="both"/>
              <w:rPr>
                <w:rFonts w:ascii="Verdana" w:hAnsi="Verdana" w:eastAsia="Calibri" w:cs="Arial"/>
                <w:color w:val="000000"/>
                <w:lang w:val="es-ES_tradnl" w:eastAsia="es-ES_tradnl"/>
              </w:rPr>
            </w:pPr>
            <w:r w:rsidRPr="00593A5F">
              <w:rPr>
                <w:rFonts w:ascii="Verdana" w:hAnsi="Verdana" w:eastAsia="Calibri" w:cs="Arial"/>
                <w:b/>
                <w:color w:val="000000"/>
                <w:lang w:val="es-ES_tradnl" w:eastAsia="es-ES_tradnl"/>
              </w:rPr>
              <w:t>Temas:</w:t>
            </w:r>
            <w:r w:rsidRPr="00593A5F">
              <w:rPr>
                <w:rFonts w:ascii="Verdana" w:hAnsi="Verdana" w:eastAsia="Calibri" w:cs="Arial"/>
                <w:color w:val="000000"/>
                <w:lang w:val="es-ES_tradnl" w:eastAsia="es-ES_tradnl"/>
              </w:rPr>
              <w:t xml:space="preserve">                   </w:t>
            </w:r>
          </w:p>
        </w:tc>
        <w:tc>
          <w:tcPr>
            <w:tcW w:w="6100" w:type="dxa"/>
          </w:tcPr>
          <w:p w:rsidRPr="00A11406" w:rsidR="00EE4B76" w:rsidP="0011033F" w:rsidRDefault="00EE4B76" w14:paraId="2D92047B" w14:textId="77777777">
            <w:pPr>
              <w:spacing w:line="276" w:lineRule="auto"/>
              <w:jc w:val="both"/>
              <w:rPr>
                <w:rFonts w:ascii="Verdana" w:hAnsi="Verdana" w:eastAsia="Calibri" w:cs="Arial"/>
                <w:lang w:val="es-ES" w:eastAsia="es-ES"/>
              </w:rPr>
            </w:pPr>
            <w:r w:rsidRPr="009F1423">
              <w:rPr>
                <w:rFonts w:ascii="Verdana" w:hAnsi="Verdana" w:eastAsia="Calibri" w:cs="Arial"/>
                <w:lang w:val="es-ES" w:eastAsia="es-ES"/>
              </w:rPr>
              <w:t>DECRETO 092 DE 2017 – Finalidad – Clases de contratos / CONTRATACIÓN CON ESAL – Contrato de colaboración – Objeto – Alcance / CONTRATACIÓN CON ESAL – Contrato de asociación – Objeto – Alcance / CONVENIOS DE ASOCIACIÓN – Multiplicidad de sujetos – Límites legales / DECRETO 092 DE 2017 – Criterios – Aplicación /</w:t>
            </w:r>
            <w:r w:rsidRPr="00B6323A">
              <w:rPr>
                <w:rFonts w:ascii="Verdana" w:hAnsi="Verdana" w:eastAsia="Calibri" w:cs="Arial"/>
                <w:lang w:val="es-ES" w:eastAsia="es-ES"/>
              </w:rPr>
              <w:t xml:space="preserve"> </w:t>
            </w:r>
            <w:r w:rsidRPr="009F1423">
              <w:rPr>
                <w:rFonts w:ascii="Verdana" w:hAnsi="Verdana" w:eastAsia="Calibri" w:cs="Arial"/>
                <w:lang w:val="es-ES" w:eastAsia="es-ES"/>
              </w:rPr>
              <w:t>CONVENIOS DE ASOCIACIÓN – Suscripción con ESAL</w:t>
            </w:r>
            <w:r w:rsidRPr="009E03E6">
              <w:rPr>
                <w:rFonts w:ascii="Verdana" w:hAnsi="Verdana" w:eastAsia="Calibri" w:cs="Arial"/>
                <w:lang w:val="es-ES" w:eastAsia="es-ES"/>
              </w:rPr>
              <w:t xml:space="preserve">  </w:t>
            </w:r>
            <w:r w:rsidRPr="006E6F30">
              <w:rPr>
                <w:rFonts w:ascii="Verdana" w:hAnsi="Verdana" w:eastAsia="Calibri" w:cs="Arial"/>
                <w:lang w:val="es-ES" w:eastAsia="es-ES"/>
              </w:rPr>
              <w:t xml:space="preserve"> </w:t>
            </w:r>
            <w:r w:rsidRPr="00FA3A97">
              <w:rPr>
                <w:rFonts w:ascii="Verdana" w:hAnsi="Verdana" w:eastAsia="Calibri" w:cs="Arial"/>
                <w:lang w:val="es-ES" w:eastAsia="es-ES"/>
              </w:rPr>
              <w:t xml:space="preserve">  </w:t>
            </w:r>
          </w:p>
          <w:p w:rsidRPr="00593A5F" w:rsidR="00EE4B76" w:rsidP="0011033F" w:rsidRDefault="00EE4B76" w14:paraId="55C2B5A1" w14:textId="77777777">
            <w:pPr>
              <w:spacing w:line="276" w:lineRule="auto"/>
              <w:jc w:val="both"/>
              <w:rPr>
                <w:rFonts w:ascii="Verdana" w:hAnsi="Verdana" w:eastAsia="Calibri" w:cs="Arial"/>
                <w:lang w:val="es-ES" w:eastAsia="es-ES"/>
              </w:rPr>
            </w:pPr>
            <w:r w:rsidRPr="00A11406">
              <w:rPr>
                <w:rFonts w:ascii="Verdana" w:hAnsi="Verdana" w:eastAsia="Calibri" w:cs="Arial"/>
                <w:lang w:val="es-ES" w:eastAsia="es-ES"/>
              </w:rPr>
              <w:t xml:space="preserve"> </w:t>
            </w:r>
            <w:r w:rsidRPr="00D1484F">
              <w:rPr>
                <w:rFonts w:ascii="Verdana" w:hAnsi="Verdana" w:eastAsia="Calibri" w:cs="Arial"/>
                <w:lang w:val="es-ES" w:eastAsia="es-ES"/>
              </w:rPr>
              <w:t xml:space="preserve"> </w:t>
            </w:r>
          </w:p>
        </w:tc>
      </w:tr>
      <w:tr w:rsidRPr="008E6AD9" w:rsidR="00EE4B76" w:rsidTr="0011033F" w14:paraId="001CBC27" w14:textId="77777777">
        <w:tc>
          <w:tcPr>
            <w:tcW w:w="2689" w:type="dxa"/>
          </w:tcPr>
          <w:p w:rsidRPr="008E6AD9" w:rsidR="00EE4B76" w:rsidP="0011033F" w:rsidRDefault="00EE4B76" w14:paraId="15957226" w14:textId="77777777">
            <w:pPr>
              <w:jc w:val="both"/>
              <w:rPr>
                <w:rFonts w:ascii="Verdana" w:hAnsi="Verdana" w:eastAsia="Calibri" w:cs="Arial"/>
                <w:b/>
                <w:lang w:val="es-ES_tradnl" w:eastAsia="es-ES_tradnl"/>
              </w:rPr>
            </w:pPr>
            <w:r w:rsidRPr="008E6AD9">
              <w:rPr>
                <w:rFonts w:ascii="Verdana" w:hAnsi="Verdana" w:eastAsia="Calibri" w:cs="Arial"/>
                <w:b/>
                <w:lang w:val="es-ES_tradnl" w:eastAsia="es-ES_tradnl"/>
              </w:rPr>
              <w:t>Radicación:</w:t>
            </w:r>
            <w:r w:rsidRPr="008E6AD9">
              <w:rPr>
                <w:rFonts w:ascii="Verdana" w:hAnsi="Verdana" w:eastAsia="Calibri" w:cs="Arial"/>
                <w:lang w:val="es-ES_tradnl" w:eastAsia="es-ES_tradnl"/>
              </w:rPr>
              <w:t xml:space="preserve">               </w:t>
            </w:r>
          </w:p>
        </w:tc>
        <w:tc>
          <w:tcPr>
            <w:tcW w:w="6100" w:type="dxa"/>
          </w:tcPr>
          <w:p w:rsidRPr="008E6AD9" w:rsidR="00EE4B76" w:rsidP="0011033F" w:rsidRDefault="00EE4B76" w14:paraId="2148C791" w14:textId="77777777">
            <w:pPr>
              <w:spacing w:line="276" w:lineRule="auto"/>
              <w:jc w:val="both"/>
              <w:rPr>
                <w:rFonts w:ascii="Verdana" w:hAnsi="Verdana" w:eastAsia="Calibri" w:cs="Arial"/>
                <w:lang w:eastAsia="es-ES_tradnl"/>
              </w:rPr>
            </w:pPr>
            <w:r w:rsidRPr="008E6AD9">
              <w:rPr>
                <w:rFonts w:ascii="Verdana" w:hAnsi="Verdana" w:eastAsia="Calibri" w:cs="Arial"/>
                <w:lang w:val="es-ES_tradnl" w:eastAsia="es-ES_tradnl"/>
              </w:rPr>
              <w:t xml:space="preserve">Respuesta a </w:t>
            </w:r>
            <w:r>
              <w:rPr>
                <w:rFonts w:ascii="Verdana" w:hAnsi="Verdana" w:eastAsia="Calibri" w:cs="Arial"/>
                <w:lang w:val="es-ES_tradnl" w:eastAsia="es-ES_tradnl"/>
              </w:rPr>
              <w:t xml:space="preserve">la </w:t>
            </w:r>
            <w:r w:rsidRPr="008E6AD9">
              <w:rPr>
                <w:rFonts w:ascii="Verdana" w:hAnsi="Verdana" w:eastAsia="Calibri" w:cs="Arial"/>
                <w:lang w:val="es-ES_tradnl" w:eastAsia="es-ES_tradnl"/>
              </w:rPr>
              <w:t>consulta con radicado No.</w:t>
            </w:r>
            <w:r>
              <w:rPr>
                <w:rFonts w:ascii="Verdana" w:hAnsi="Verdana" w:eastAsia="Calibri" w:cs="Arial"/>
                <w:lang w:val="es-ES_tradnl" w:eastAsia="es-ES_tradnl"/>
              </w:rPr>
              <w:t xml:space="preserve"> </w:t>
            </w:r>
            <w:r w:rsidRPr="005B552C">
              <w:rPr>
                <w:rFonts w:ascii="Verdana" w:hAnsi="Verdana" w:eastAsia="Calibri" w:cs="Arial"/>
                <w:lang w:val="es-ES_tradnl" w:eastAsia="es-ES_tradnl"/>
              </w:rPr>
              <w:t>P20240924009752</w:t>
            </w:r>
            <w:r w:rsidRPr="008E6AD9">
              <w:rPr>
                <w:rFonts w:ascii="Verdana" w:hAnsi="Verdana" w:eastAsia="Calibri" w:cs="Arial"/>
                <w:lang w:val="es-ES_tradnl" w:eastAsia="es-ES_tradnl"/>
              </w:rPr>
              <w:t xml:space="preserve"> </w:t>
            </w:r>
            <w:r>
              <w:rPr>
                <w:rFonts w:ascii="Verdana" w:hAnsi="Verdana" w:eastAsia="Calibri" w:cs="Arial"/>
                <w:lang w:val="es-ES_tradnl" w:eastAsia="es-ES_tradnl"/>
              </w:rPr>
              <w:t xml:space="preserve">                                   </w:t>
            </w:r>
          </w:p>
        </w:tc>
      </w:tr>
    </w:tbl>
    <w:p w:rsidRPr="00593A5F" w:rsidR="00EE4B76" w:rsidP="00EE4B76" w:rsidRDefault="00EE4B76" w14:paraId="696AD9AA" w14:textId="77777777">
      <w:pPr>
        <w:spacing w:after="0" w:line="240" w:lineRule="auto"/>
        <w:jc w:val="both"/>
        <w:rPr>
          <w:rFonts w:ascii="Verdana" w:hAnsi="Verdana" w:eastAsia="Calibri" w:cs="Arial"/>
          <w:color w:val="000000"/>
          <w:lang w:val="es-ES_tradnl" w:eastAsia="es-ES_tradnl"/>
        </w:rPr>
      </w:pPr>
    </w:p>
    <w:p w:rsidRPr="00593A5F" w:rsidR="00EE4B76" w:rsidP="00EE4B76" w:rsidRDefault="00EE4B76" w14:paraId="432D431F" w14:textId="77777777">
      <w:pPr>
        <w:spacing w:after="0" w:line="240" w:lineRule="auto"/>
        <w:jc w:val="both"/>
        <w:rPr>
          <w:rFonts w:ascii="Verdana" w:hAnsi="Verdana" w:eastAsia="Calibri" w:cs="Arial"/>
          <w:color w:val="000000"/>
          <w:lang w:val="es-ES_tradnl" w:eastAsia="es-ES_tradnl"/>
        </w:rPr>
      </w:pPr>
    </w:p>
    <w:p w:rsidRPr="008E6AD9" w:rsidR="00EE4B76" w:rsidP="00EE4B76" w:rsidRDefault="00EE4B76" w14:paraId="3A74E7DC" w14:textId="77777777">
      <w:pPr>
        <w:spacing w:after="0" w:line="276" w:lineRule="auto"/>
        <w:jc w:val="both"/>
        <w:rPr>
          <w:rFonts w:ascii="Verdana" w:hAnsi="Verdana" w:eastAsia="Calibri" w:cs="Arial"/>
          <w:lang w:val="es-ES" w:eastAsia="es-ES"/>
        </w:rPr>
      </w:pPr>
      <w:r w:rsidRPr="008E6AD9">
        <w:rPr>
          <w:rFonts w:ascii="Verdana" w:hAnsi="Verdana" w:eastAsia="Calibri" w:cs="Arial"/>
          <w:lang w:val="es-ES" w:eastAsia="es-ES"/>
        </w:rPr>
        <w:t>Estimad</w:t>
      </w:r>
      <w:r>
        <w:rPr>
          <w:rFonts w:ascii="Verdana" w:hAnsi="Verdana" w:eastAsia="Calibri" w:cs="Arial"/>
          <w:lang w:val="es-ES" w:eastAsia="es-ES"/>
        </w:rPr>
        <w:t>o</w:t>
      </w:r>
      <w:r w:rsidRPr="008E6AD9">
        <w:rPr>
          <w:rFonts w:ascii="Verdana" w:hAnsi="Verdana" w:eastAsia="Calibri" w:cs="Arial"/>
          <w:lang w:val="es-ES" w:eastAsia="es-ES"/>
        </w:rPr>
        <w:t xml:space="preserve"> señor </w:t>
      </w:r>
      <w:r w:rsidRPr="005B552C">
        <w:rPr>
          <w:rFonts w:ascii="Verdana" w:hAnsi="Verdana" w:eastAsia="Calibri" w:cs="Arial"/>
          <w:lang w:val="es-ES" w:eastAsia="es-ES"/>
        </w:rPr>
        <w:t>Moscoso Osorio</w:t>
      </w:r>
      <w:r w:rsidRPr="008E6AD9">
        <w:rPr>
          <w:rFonts w:ascii="Verdana" w:hAnsi="Verdana" w:eastAsia="Calibri" w:cs="Arial"/>
          <w:lang w:val="es-ES" w:eastAsia="es-ES"/>
        </w:rPr>
        <w:t xml:space="preserve">: </w:t>
      </w:r>
    </w:p>
    <w:p w:rsidR="00EE4B76" w:rsidP="00EE4B76" w:rsidRDefault="00EE4B76" w14:paraId="31EFB678" w14:textId="77777777">
      <w:pPr>
        <w:tabs>
          <w:tab w:val="left" w:pos="3768"/>
        </w:tabs>
        <w:spacing w:after="0" w:line="276" w:lineRule="auto"/>
        <w:jc w:val="both"/>
        <w:rPr>
          <w:rFonts w:ascii="Verdana" w:hAnsi="Verdana" w:eastAsia="Calibri" w:cs="Arial"/>
          <w:color w:val="000000" w:themeColor="text1"/>
          <w:lang w:val="es-ES" w:eastAsia="es-ES"/>
        </w:rPr>
      </w:pPr>
      <w:r>
        <w:rPr>
          <w:rFonts w:ascii="Verdana" w:hAnsi="Verdana" w:eastAsia="Calibri" w:cs="Arial"/>
          <w:color w:val="000000" w:themeColor="text1"/>
          <w:lang w:val="es-ES" w:eastAsia="es-ES"/>
        </w:rPr>
        <w:tab/>
      </w:r>
    </w:p>
    <w:p w:rsidRPr="00593A5F" w:rsidR="00EE4B76" w:rsidP="00EE4B76" w:rsidRDefault="00EE4B76" w14:paraId="5437E160" w14:textId="77777777">
      <w:pPr>
        <w:spacing w:after="0" w:line="276" w:lineRule="auto"/>
        <w:jc w:val="both"/>
        <w:rPr>
          <w:rFonts w:ascii="Verdana" w:hAnsi="Verdana" w:eastAsia="Calibri" w:cs="Arial"/>
          <w:color w:val="7030A0"/>
          <w:lang w:val="es-ES" w:eastAsia="es-ES"/>
        </w:rPr>
      </w:pPr>
      <w:r w:rsidRPr="00593A5F">
        <w:rPr>
          <w:rFonts w:ascii="Verdana" w:hAnsi="Verdana" w:eastAsia="Calibri" w:cs="Arial"/>
          <w:color w:val="000000" w:themeColor="text1"/>
          <w:lang w:val="es-ES" w:eastAsia="es-ES"/>
        </w:rPr>
        <w:t>En ejercicio de la competencia otorgada por los artículos 3, numeral 5º, y 11, numeral 8º, del Decreto Ley 4170 de 2011,</w:t>
      </w:r>
      <w:r w:rsidRPr="00593A5F">
        <w:rPr>
          <w:rFonts w:ascii="Verdana" w:hAnsi="Verdana" w:eastAsia="Arial MT"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hAnsi="Verdana" w:eastAsia="Calibri" w:cs="Arial"/>
          <w:color w:val="000000" w:themeColor="text1"/>
          <w:lang w:val="es-ES" w:eastAsia="es-ES"/>
        </w:rPr>
        <w:t>la Agencia Nacional de Contratación Pública – Colombia Compra Eficiente responde su solicitud de</w:t>
      </w:r>
      <w:r>
        <w:rPr>
          <w:rFonts w:ascii="Verdana" w:hAnsi="Verdana" w:eastAsia="Calibri" w:cs="Arial"/>
          <w:color w:val="000000" w:themeColor="text1"/>
          <w:lang w:val="es-ES" w:eastAsia="es-ES"/>
        </w:rPr>
        <w:t xml:space="preserve"> consulta de </w:t>
      </w:r>
      <w:r w:rsidRPr="008E6AD9">
        <w:rPr>
          <w:rFonts w:ascii="Verdana" w:hAnsi="Verdana" w:eastAsia="Calibri" w:cs="Arial"/>
          <w:lang w:val="es-ES" w:eastAsia="es-ES"/>
        </w:rPr>
        <w:t>fecha</w:t>
      </w:r>
      <w:r>
        <w:rPr>
          <w:rFonts w:ascii="Verdana" w:hAnsi="Verdana" w:eastAsia="Calibri" w:cs="Arial"/>
          <w:lang w:val="es-ES" w:eastAsia="es-ES"/>
        </w:rPr>
        <w:t xml:space="preserve"> 23 de septiembre</w:t>
      </w:r>
      <w:r w:rsidRPr="008E6AD9">
        <w:rPr>
          <w:rFonts w:ascii="Verdana" w:hAnsi="Verdana" w:eastAsia="Calibri" w:cs="Arial"/>
          <w:lang w:val="es-ES" w:eastAsia="es-ES"/>
        </w:rPr>
        <w:t xml:space="preserve"> de 2024,</w:t>
      </w:r>
      <w:r>
        <w:rPr>
          <w:rFonts w:ascii="Verdana" w:hAnsi="Verdana" w:eastAsia="Calibri" w:cs="Arial"/>
          <w:lang w:val="es-ES" w:eastAsia="es-ES"/>
        </w:rPr>
        <w:t xml:space="preserve"> </w:t>
      </w:r>
      <w:r w:rsidRPr="008E6AD9">
        <w:rPr>
          <w:rFonts w:ascii="Verdana" w:hAnsi="Verdana" w:eastAsia="Calibri" w:cs="Arial"/>
          <w:lang w:val="es-ES" w:eastAsia="es-ES"/>
        </w:rPr>
        <w:t>en la</w:t>
      </w:r>
      <w:r>
        <w:rPr>
          <w:rFonts w:ascii="Verdana" w:hAnsi="Verdana" w:eastAsia="Calibri" w:cs="Arial"/>
          <w:lang w:val="es-ES" w:eastAsia="es-ES"/>
        </w:rPr>
        <w:t>s</w:t>
      </w:r>
      <w:r w:rsidRPr="008E6AD9">
        <w:rPr>
          <w:rFonts w:ascii="Verdana" w:hAnsi="Verdana" w:eastAsia="Calibri" w:cs="Arial"/>
          <w:lang w:val="es-ES" w:eastAsia="es-ES"/>
        </w:rPr>
        <w:t xml:space="preserve"> cua</w:t>
      </w:r>
      <w:r>
        <w:rPr>
          <w:rFonts w:ascii="Verdana" w:hAnsi="Verdana" w:eastAsia="Calibri" w:cs="Arial"/>
          <w:lang w:val="es-ES" w:eastAsia="es-ES"/>
        </w:rPr>
        <w:t>l manifiesta lo siguiente</w:t>
      </w:r>
      <w:r w:rsidRPr="008E6AD9">
        <w:rPr>
          <w:rFonts w:ascii="Verdana" w:hAnsi="Verdana" w:eastAsia="Calibri" w:cs="Arial"/>
          <w:lang w:val="es-ES" w:eastAsia="es-ES"/>
        </w:rPr>
        <w:t xml:space="preserve">: </w:t>
      </w:r>
    </w:p>
    <w:p w:rsidRPr="00272A7B" w:rsidR="00EE4B76" w:rsidP="00EE4B76" w:rsidRDefault="00EE4B76" w14:paraId="7ECDFA29" w14:textId="77777777">
      <w:pPr>
        <w:pStyle w:val="Prrafodelista"/>
        <w:tabs>
          <w:tab w:val="left" w:pos="142"/>
          <w:tab w:val="left" w:pos="284"/>
        </w:tabs>
        <w:spacing w:line="276" w:lineRule="auto"/>
        <w:ind w:left="0"/>
        <w:jc w:val="both"/>
        <w:rPr>
          <w:rFonts w:ascii="Verdana" w:hAnsi="Verdana" w:eastAsia="Century Gothic" w:cs="Century Gothic"/>
          <w:b/>
          <w:bCs/>
        </w:rPr>
      </w:pPr>
    </w:p>
    <w:p w:rsidRPr="006E7258" w:rsidR="00EE4B76" w:rsidP="00EE4B76" w:rsidRDefault="00EE4B76" w14:paraId="3F02F260" w14:textId="77777777">
      <w:pPr>
        <w:spacing w:after="120" w:line="240" w:lineRule="auto"/>
        <w:ind w:left="709" w:right="709"/>
        <w:jc w:val="both"/>
        <w:rPr>
          <w:rFonts w:ascii="Verdana" w:hAnsi="Verdana" w:eastAsia="Century Gothic" w:cs="Century Gothic"/>
          <w:sz w:val="21"/>
          <w:szCs w:val="21"/>
          <w:lang w:val="es-ES"/>
        </w:rPr>
      </w:pPr>
      <w:bookmarkStart w:name="_Hlk95313578" w:id="1"/>
      <w:r w:rsidRPr="006E7258">
        <w:rPr>
          <w:rFonts w:ascii="Verdana" w:hAnsi="Verdana" w:eastAsia="Century Gothic" w:cs="Century Gothic"/>
          <w:sz w:val="21"/>
          <w:szCs w:val="21"/>
          <w:lang w:val="es-ES"/>
        </w:rPr>
        <w:t>“</w:t>
      </w:r>
      <w:bookmarkEnd w:id="1"/>
      <w:r w:rsidRPr="006E7258">
        <w:rPr>
          <w:rFonts w:ascii="Verdana" w:hAnsi="Verdana" w:eastAsia="Century Gothic" w:cs="Century Gothic"/>
          <w:sz w:val="21"/>
          <w:szCs w:val="21"/>
          <w:lang w:val="es-ES"/>
        </w:rPr>
        <w:t xml:space="preserve">La Secretaría Distrital de Salud pretende suscribir un acuerdo de voluntades o convenio con las Entidades Promotoras de Salud-EPS, el cual tendrá por objeto:  </w:t>
      </w:r>
    </w:p>
    <w:p w:rsidRPr="006E7258" w:rsidR="00EE4B76" w:rsidP="00EE4B76" w:rsidRDefault="00EE4B76" w14:paraId="6F1933E6" w14:textId="77777777">
      <w:pPr>
        <w:spacing w:after="120" w:line="240" w:lineRule="auto"/>
        <w:ind w:left="851" w:right="851"/>
        <w:jc w:val="both"/>
        <w:rPr>
          <w:rFonts w:ascii="Verdana" w:hAnsi="Verdana" w:eastAsia="Century Gothic" w:cs="Century Gothic"/>
          <w:b/>
          <w:bCs/>
          <w:sz w:val="21"/>
          <w:szCs w:val="21"/>
          <w:lang w:val="es-ES"/>
        </w:rPr>
      </w:pPr>
      <w:r w:rsidRPr="006E7258">
        <w:rPr>
          <w:rFonts w:ascii="Verdana" w:hAnsi="Verdana" w:eastAsia="Century Gothic" w:cs="Century Gothic"/>
          <w:b/>
          <w:bCs/>
          <w:sz w:val="21"/>
          <w:szCs w:val="21"/>
          <w:lang w:val="es-ES"/>
        </w:rPr>
        <w:t xml:space="preserve">‘Aunar esfuerzos entre la Secretaría Distrital de Salud y las Entidades Promotoras de Salud-EPS, para coordinar las acciones que contribuyan a la organización, conformación e implementación de la red integrada e integral de servicios de salud de Bogotá D.C., en garantía del Derecho a la Salud’.  </w:t>
      </w:r>
    </w:p>
    <w:p w:rsidRPr="006E7258" w:rsidR="00EE4B76" w:rsidP="00EE4B76" w:rsidRDefault="00EE4B76" w14:paraId="34E8F564" w14:textId="77777777">
      <w:pPr>
        <w:spacing w:after="120" w:line="240" w:lineRule="auto"/>
        <w:ind w:left="709" w:right="709"/>
        <w:jc w:val="both"/>
        <w:rPr>
          <w:rFonts w:ascii="Verdana" w:hAnsi="Verdana" w:eastAsia="Century Gothic" w:cs="Century Gothic"/>
          <w:sz w:val="21"/>
          <w:szCs w:val="21"/>
          <w:lang w:val="es-ES"/>
        </w:rPr>
      </w:pPr>
      <w:r w:rsidRPr="006E7258">
        <w:rPr>
          <w:rFonts w:ascii="Verdana" w:hAnsi="Verdana" w:eastAsia="Century Gothic" w:cs="Century Gothic"/>
          <w:sz w:val="21"/>
          <w:szCs w:val="21"/>
          <w:lang w:val="es-ES"/>
        </w:rPr>
        <w:t xml:space="preserve">Dentro de la justificación que presenta el área para la celebración de este convenio se encuentra en la necesidad avanzar en el programa 10.4. Salud pública integrada e integral del Plan de Desarrollo del Distrito, así:  </w:t>
      </w:r>
    </w:p>
    <w:p w:rsidRPr="006E7258" w:rsidR="00EE4B76" w:rsidP="00EE4B76" w:rsidRDefault="00EE4B76" w14:paraId="681ADA50" w14:textId="77777777">
      <w:pPr>
        <w:spacing w:after="120" w:line="240" w:lineRule="auto"/>
        <w:ind w:left="851" w:right="851"/>
        <w:jc w:val="both"/>
        <w:rPr>
          <w:rFonts w:ascii="Verdana" w:hAnsi="Verdana" w:eastAsia="Century Gothic" w:cs="Century Gothic"/>
          <w:sz w:val="21"/>
          <w:szCs w:val="21"/>
          <w:lang w:val="es-ES"/>
        </w:rPr>
      </w:pPr>
      <w:r w:rsidRPr="006E7258">
        <w:rPr>
          <w:rFonts w:ascii="Verdana" w:hAnsi="Verdana" w:eastAsia="Century Gothic" w:cs="Century Gothic"/>
          <w:sz w:val="21"/>
          <w:szCs w:val="21"/>
          <w:lang w:val="es-ES"/>
        </w:rPr>
        <w:t xml:space="preserve">‘Para el Bien-Estar de las personas, con el desarrollo de este programa, se busca la articulación intersectorial y transectorial mediante los mecanismos de coordinación y cooperación para favorecer el desarrollo de alianzas y potenciar acciones de gobernanza y Atención Primaria Social para la afectación positiva de los determinantes sociales de las inequidades en salud dadas por condiciones socioeconómicas y ambientales; y del acceso a servicios básicos y características personales sobre hábitos aprendidos y estilos de vida. En este sentido, a través del fortalecimiento de la autoridad sanitaria y la participación ciudadana, se adelantarán acciones orientadas a lograr una gestión en salud coordinada para incidir en la capacidad de la ciudad en atender las diferentes enfermedades tanto físicas como mentales de los habitantes; y en busca de reducir las inequidades de la población. Para la efectividad de lo anterior, y en aras del cumplimiento de los pilares de la Atención Primaria Social, será determinante el fomento y modernización de las instancias de participación en salud dispuestas por la Ley, (…) que permiten aunar esfuerzos en el marco de las problemáticas prioritarias en salud pública haciendo énfasis en salud mental, para lo cual es necesaria la articulación con la Red Distrital de Salud Mental en la ciudad. Se busca que desde el ejercicio de la gobernanza y la gobernabilidad pueda obtenerse un mayor logro de los objetivos colectivos en salud, mayores niveles de participación ciudadana y de grupos de interés, y una mejor rectoría, con miras a aumentar el número de acciones de inspección, vigilancia y control, y a la promoción de liderazgos comunitarios, desde los enfoques de género, de derechos humanos, diferencial-poblacional e interseccional. Una buena rectoría o gobernanza en salud, en relación con los determinantes sociales implica procesos transparentes e incluyentes de toma de decisiones que tengan en cuenta a todos los grupos poblacionales y sectores sociales interesados, para garantizar que se reconozcan las necesidades de </w:t>
      </w:r>
      <w:r w:rsidRPr="006E7258">
        <w:rPr>
          <w:rFonts w:ascii="Verdana" w:hAnsi="Verdana" w:eastAsia="Century Gothic" w:cs="Century Gothic"/>
          <w:sz w:val="21"/>
          <w:szCs w:val="21"/>
          <w:lang w:val="es-ES"/>
        </w:rPr>
        <w:t xml:space="preserve">los más afectados por las inequidades sociales y sanitarias. Por ello, se contará con un sistema de información sectorial e intersectorial para la operación, monitoreo, comunicación y divulgación de resultados de la </w:t>
      </w:r>
      <w:proofErr w:type="spellStart"/>
      <w:r w:rsidRPr="006E7258">
        <w:rPr>
          <w:rFonts w:ascii="Verdana" w:hAnsi="Verdana" w:eastAsia="Century Gothic" w:cs="Century Gothic"/>
          <w:sz w:val="21"/>
          <w:szCs w:val="21"/>
          <w:lang w:val="es-ES"/>
        </w:rPr>
        <w:t>APSocial</w:t>
      </w:r>
      <w:proofErr w:type="spellEnd"/>
      <w:r w:rsidRPr="006E7258">
        <w:rPr>
          <w:rFonts w:ascii="Verdana" w:hAnsi="Verdana" w:eastAsia="Century Gothic" w:cs="Century Gothic"/>
          <w:sz w:val="21"/>
          <w:szCs w:val="21"/>
          <w:lang w:val="es-ES"/>
        </w:rPr>
        <w:t xml:space="preserve"> de Bogotá que contribuya a la toma de decisiones y el conocimiento de información. Además, que suministre datos confiables y de calidad, que aborden los determinantes sociales de la salud y contribuyan con información a los tomadores de decisiones en políticas públicas y para conocimiento de los habitantes de Bogotá’.</w:t>
      </w:r>
    </w:p>
    <w:p w:rsidR="00EE4B76" w:rsidP="00EE4B76" w:rsidRDefault="00EE4B76" w14:paraId="693618DC" w14:textId="77777777">
      <w:pPr>
        <w:spacing w:after="120" w:line="240" w:lineRule="auto"/>
        <w:ind w:left="709" w:right="709"/>
        <w:jc w:val="both"/>
        <w:rPr>
          <w:rFonts w:ascii="Verdana" w:hAnsi="Verdana" w:eastAsia="Century Gothic" w:cs="Century Gothic"/>
          <w:sz w:val="21"/>
          <w:szCs w:val="21"/>
          <w:lang w:val="es-ES"/>
        </w:rPr>
      </w:pPr>
      <w:r>
        <w:rPr>
          <w:rFonts w:ascii="Verdana" w:hAnsi="Verdana" w:eastAsia="Century Gothic" w:cs="Century Gothic"/>
          <w:sz w:val="23"/>
          <w:szCs w:val="23"/>
          <w:lang w:val="es-ES"/>
        </w:rPr>
        <w:t>[…]</w:t>
      </w:r>
      <w:r>
        <w:rPr>
          <w:rFonts w:ascii="Verdana" w:hAnsi="Verdana" w:eastAsia="Century Gothic" w:cs="Century Gothic"/>
          <w:sz w:val="21"/>
          <w:szCs w:val="21"/>
          <w:lang w:val="es-ES"/>
        </w:rPr>
        <w:t>” (Énfasis dentro del texto)</w:t>
      </w:r>
      <w:r w:rsidRPr="0090408E">
        <w:rPr>
          <w:rFonts w:ascii="Verdana" w:hAnsi="Verdana" w:eastAsia="Century Gothic" w:cs="Century Gothic"/>
          <w:sz w:val="21"/>
          <w:szCs w:val="21"/>
          <w:lang w:val="es-ES"/>
        </w:rPr>
        <w:t>.</w:t>
      </w:r>
      <w:r w:rsidRPr="006040CE">
        <w:rPr>
          <w:rFonts w:ascii="Verdana" w:hAnsi="Verdana" w:eastAsia="Century Gothic" w:cs="Century Gothic"/>
          <w:sz w:val="21"/>
          <w:szCs w:val="21"/>
          <w:lang w:val="es-ES"/>
        </w:rPr>
        <w:t xml:space="preserve"> </w:t>
      </w:r>
    </w:p>
    <w:p w:rsidRPr="006E7258" w:rsidR="00EE4B76" w:rsidP="00EE4B76" w:rsidRDefault="00EE4B76" w14:paraId="5B649C0B" w14:textId="77777777">
      <w:pPr>
        <w:spacing w:after="0" w:line="276" w:lineRule="auto"/>
        <w:ind w:left="709" w:right="709"/>
        <w:jc w:val="both"/>
        <w:rPr>
          <w:rFonts w:ascii="Verdana" w:hAnsi="Verdana" w:eastAsia="Century Gothic" w:cs="Century Gothic"/>
          <w:lang w:val="es-ES"/>
        </w:rPr>
      </w:pPr>
    </w:p>
    <w:p w:rsidR="00EE4B76" w:rsidP="00EE4B76" w:rsidRDefault="00EE4B76" w14:paraId="3DC32FF5" w14:textId="77777777">
      <w:pPr>
        <w:spacing w:after="0" w:line="240" w:lineRule="auto"/>
        <w:ind w:left="709" w:right="709"/>
        <w:jc w:val="both"/>
        <w:rPr>
          <w:rFonts w:ascii="Verdana" w:hAnsi="Verdana" w:eastAsia="Century Gothic" w:cs="Century Gothic"/>
          <w:sz w:val="21"/>
          <w:szCs w:val="21"/>
          <w:lang w:val="es-ES"/>
        </w:rPr>
      </w:pPr>
      <w:r>
        <w:rPr>
          <w:rFonts w:ascii="Verdana" w:hAnsi="Verdana" w:eastAsia="Century Gothic" w:cs="Century Gothic"/>
          <w:sz w:val="21"/>
          <w:szCs w:val="21"/>
          <w:lang w:val="es-ES"/>
        </w:rPr>
        <w:t>Bajo estas consideraciones:</w:t>
      </w:r>
    </w:p>
    <w:p w:rsidRPr="006E7258" w:rsidR="00EE4B76" w:rsidP="00EE4B76" w:rsidRDefault="00EE4B76" w14:paraId="04139B4E" w14:textId="77777777">
      <w:pPr>
        <w:spacing w:after="0" w:line="276" w:lineRule="auto"/>
        <w:ind w:left="709" w:right="709"/>
        <w:jc w:val="both"/>
        <w:rPr>
          <w:rFonts w:ascii="Verdana" w:hAnsi="Verdana" w:eastAsia="Century Gothic" w:cs="Century Gothic"/>
          <w:lang w:val="es-ES"/>
        </w:rPr>
      </w:pPr>
    </w:p>
    <w:p w:rsidRPr="00FA0F71" w:rsidR="00EE4B76" w:rsidP="00EE4B76" w:rsidRDefault="00EE4B76" w14:paraId="7F39B5E1" w14:textId="77777777">
      <w:pPr>
        <w:spacing w:after="0" w:line="240" w:lineRule="auto"/>
        <w:ind w:left="709" w:right="709"/>
        <w:jc w:val="both"/>
        <w:rPr>
          <w:rFonts w:ascii="Verdana" w:hAnsi="Verdana" w:cs="Arial"/>
          <w:sz w:val="21"/>
          <w:szCs w:val="21"/>
          <w:shd w:val="clear" w:color="auto" w:fill="FFFFFF"/>
          <w:lang w:val="es-ES"/>
        </w:rPr>
      </w:pPr>
      <w:r>
        <w:rPr>
          <w:rStyle w:val="normaltextrun"/>
          <w:rFonts w:ascii="Verdana" w:hAnsi="Verdana" w:cs="Arial"/>
          <w:sz w:val="21"/>
          <w:szCs w:val="21"/>
          <w:shd w:val="clear" w:color="auto" w:fill="FFFFFF"/>
          <w:lang w:val="es-ES"/>
        </w:rPr>
        <w:t>“[…]</w:t>
      </w:r>
      <w:r w:rsidRPr="0090408E">
        <w:rPr>
          <w:rStyle w:val="normaltextrun"/>
          <w:rFonts w:ascii="Verdana" w:hAnsi="Verdana" w:cs="Arial"/>
          <w:sz w:val="21"/>
          <w:szCs w:val="21"/>
          <w:shd w:val="clear" w:color="auto" w:fill="FFFFFF"/>
          <w:lang w:val="es-ES"/>
        </w:rPr>
        <w:t xml:space="preserve"> </w:t>
      </w:r>
      <w:r w:rsidRPr="006E7258">
        <w:rPr>
          <w:rStyle w:val="normaltextrun"/>
          <w:rFonts w:ascii="Verdana" w:hAnsi="Verdana" w:cs="Arial"/>
          <w:sz w:val="21"/>
          <w:szCs w:val="21"/>
          <w:shd w:val="clear" w:color="auto" w:fill="FFFFFF"/>
          <w:lang w:val="es-ES"/>
        </w:rPr>
        <w:t>se requiere saber s</w:t>
      </w:r>
      <w:r>
        <w:rPr>
          <w:rStyle w:val="normaltextrun"/>
          <w:rFonts w:ascii="Verdana" w:hAnsi="Verdana" w:cs="Arial"/>
          <w:sz w:val="21"/>
          <w:szCs w:val="21"/>
          <w:shd w:val="clear" w:color="auto" w:fill="FFFFFF"/>
          <w:lang w:val="es-ES"/>
        </w:rPr>
        <w:t>i</w:t>
      </w:r>
      <w:r w:rsidRPr="006E7258">
        <w:rPr>
          <w:rStyle w:val="normaltextrun"/>
          <w:rFonts w:ascii="Verdana" w:hAnsi="Verdana" w:cs="Arial"/>
          <w:sz w:val="21"/>
          <w:szCs w:val="21"/>
          <w:shd w:val="clear" w:color="auto" w:fill="FFFFFF"/>
          <w:lang w:val="es-ES"/>
        </w:rPr>
        <w:t xml:space="preserve">, con base en la normativa prevista, las personas jurídicas particulares que no son </w:t>
      </w:r>
      <w:r>
        <w:rPr>
          <w:rStyle w:val="normaltextrun"/>
          <w:rFonts w:ascii="Verdana" w:hAnsi="Verdana" w:cs="Arial"/>
          <w:sz w:val="21"/>
          <w:szCs w:val="21"/>
          <w:shd w:val="clear" w:color="auto" w:fill="FFFFFF"/>
          <w:lang w:val="es-ES"/>
        </w:rPr>
        <w:t>‘</w:t>
      </w:r>
      <w:r w:rsidRPr="006E7258">
        <w:rPr>
          <w:rStyle w:val="normaltextrun"/>
          <w:rFonts w:ascii="Verdana" w:hAnsi="Verdana" w:cs="Arial"/>
          <w:sz w:val="21"/>
          <w:szCs w:val="21"/>
          <w:shd w:val="clear" w:color="auto" w:fill="FFFFFF"/>
          <w:lang w:val="es-ES"/>
        </w:rPr>
        <w:t>ENTIDADES SIN ÁNIMO DE LUCRO</w:t>
      </w:r>
      <w:r>
        <w:rPr>
          <w:rStyle w:val="normaltextrun"/>
          <w:rFonts w:ascii="Verdana" w:hAnsi="Verdana" w:cs="Arial"/>
          <w:sz w:val="21"/>
          <w:szCs w:val="21"/>
          <w:shd w:val="clear" w:color="auto" w:fill="FFFFFF"/>
          <w:lang w:val="es-ES"/>
        </w:rPr>
        <w:t>’</w:t>
      </w:r>
      <w:r w:rsidRPr="006E7258">
        <w:rPr>
          <w:rStyle w:val="normaltextrun"/>
          <w:rFonts w:ascii="Verdana" w:hAnsi="Verdana" w:cs="Arial"/>
          <w:sz w:val="21"/>
          <w:szCs w:val="21"/>
          <w:shd w:val="clear" w:color="auto" w:fill="FFFFFF"/>
          <w:lang w:val="es-ES"/>
        </w:rPr>
        <w:t xml:space="preserve">, pueden celebrar convenios de asociación con entidades públicas, sin erogación de recursos; solo con el soporte normativo en el artículo 96 de la Ley 489 de 1998 o sí, por el contrario, existe otra tipología o forma de asociación, cooperación u acuerdo de voluntades prevista en la Ley, que permita a las  entidades públicas y privadas, coordinar acciones intersectoriales que no generen erogación de recursos, pero comprometa a las partes, diferentes al </w:t>
      </w:r>
      <w:r>
        <w:rPr>
          <w:rStyle w:val="normaltextrun"/>
          <w:rFonts w:ascii="Verdana" w:hAnsi="Verdana" w:cs="Arial"/>
          <w:sz w:val="21"/>
          <w:szCs w:val="21"/>
          <w:shd w:val="clear" w:color="auto" w:fill="FFFFFF"/>
          <w:lang w:val="es-ES"/>
        </w:rPr>
        <w:t>‘</w:t>
      </w:r>
      <w:r w:rsidRPr="006E7258">
        <w:rPr>
          <w:rStyle w:val="normaltextrun"/>
          <w:rFonts w:ascii="Verdana" w:hAnsi="Verdana" w:cs="Arial"/>
          <w:sz w:val="21"/>
          <w:szCs w:val="21"/>
          <w:shd w:val="clear" w:color="auto" w:fill="FFFFFF"/>
          <w:lang w:val="es-ES"/>
        </w:rPr>
        <w:t>memorando de Entendimiento</w:t>
      </w:r>
      <w:r>
        <w:rPr>
          <w:rStyle w:val="normaltextrun"/>
          <w:rFonts w:ascii="Verdana" w:hAnsi="Verdana" w:cs="Arial"/>
          <w:sz w:val="21"/>
          <w:szCs w:val="21"/>
          <w:shd w:val="clear" w:color="auto" w:fill="FFFFFF"/>
          <w:lang w:val="es-ES"/>
        </w:rPr>
        <w:t>’</w:t>
      </w:r>
      <w:r w:rsidRPr="006E7258">
        <w:rPr>
          <w:rStyle w:val="normaltextrun"/>
          <w:rFonts w:ascii="Verdana" w:hAnsi="Verdana" w:cs="Arial"/>
          <w:sz w:val="21"/>
          <w:szCs w:val="21"/>
          <w:shd w:val="clear" w:color="auto" w:fill="FFFFFF"/>
          <w:lang w:val="es-ES"/>
        </w:rPr>
        <w:t xml:space="preserve"> o </w:t>
      </w:r>
      <w:r>
        <w:rPr>
          <w:rStyle w:val="normaltextrun"/>
          <w:rFonts w:ascii="Verdana" w:hAnsi="Verdana" w:cs="Arial"/>
          <w:sz w:val="21"/>
          <w:szCs w:val="21"/>
          <w:shd w:val="clear" w:color="auto" w:fill="FFFFFF"/>
          <w:lang w:val="es-ES"/>
        </w:rPr>
        <w:t>‘</w:t>
      </w:r>
      <w:r w:rsidRPr="006E7258">
        <w:rPr>
          <w:rStyle w:val="normaltextrun"/>
          <w:rFonts w:ascii="Verdana" w:hAnsi="Verdana" w:cs="Arial"/>
          <w:sz w:val="21"/>
          <w:szCs w:val="21"/>
          <w:shd w:val="clear" w:color="auto" w:fill="FFFFFF"/>
          <w:lang w:val="es-ES"/>
        </w:rPr>
        <w:t>cartas de intención</w:t>
      </w:r>
      <w:r>
        <w:rPr>
          <w:rStyle w:val="normaltextrun"/>
          <w:rFonts w:ascii="Verdana" w:hAnsi="Verdana" w:cs="Arial"/>
          <w:sz w:val="21"/>
          <w:szCs w:val="21"/>
          <w:shd w:val="clear" w:color="auto" w:fill="FFFFFF"/>
          <w:lang w:val="es-ES"/>
        </w:rPr>
        <w:t>’</w:t>
      </w:r>
      <w:r w:rsidRPr="006040CE">
        <w:rPr>
          <w:rFonts w:ascii="Verdana" w:hAnsi="Verdana" w:eastAsia="Century Gothic" w:cs="Century Gothic"/>
          <w:sz w:val="21"/>
          <w:szCs w:val="21"/>
          <w:lang w:val="es-ES"/>
        </w:rPr>
        <w:t>”.</w:t>
      </w:r>
      <w:r>
        <w:rPr>
          <w:rFonts w:ascii="Verdana" w:hAnsi="Verdana" w:eastAsia="Century Gothic" w:cs="Century Gothic"/>
          <w:sz w:val="20"/>
          <w:szCs w:val="20"/>
          <w:lang w:val="es-ES"/>
        </w:rPr>
        <w:t xml:space="preserve"> </w:t>
      </w:r>
    </w:p>
    <w:p w:rsidRPr="008E6AD9" w:rsidR="00EE4B76" w:rsidP="00EE4B76" w:rsidRDefault="00EE4B76" w14:paraId="640381EE" w14:textId="77777777">
      <w:pPr>
        <w:pStyle w:val="Prrafodelista"/>
        <w:tabs>
          <w:tab w:val="left" w:pos="142"/>
          <w:tab w:val="left" w:pos="284"/>
        </w:tabs>
        <w:spacing w:line="276" w:lineRule="auto"/>
        <w:ind w:left="0"/>
        <w:jc w:val="both"/>
        <w:rPr>
          <w:rFonts w:ascii="Verdana" w:hAnsi="Verdana" w:eastAsia="Century Gothic" w:cs="Century Gothic"/>
          <w:b/>
          <w:bCs/>
        </w:rPr>
      </w:pPr>
    </w:p>
    <w:p w:rsidRPr="00A652FF" w:rsidR="00EE4B76" w:rsidP="00EE4B76" w:rsidRDefault="00EE4B76" w14:paraId="759C77C7" w14:textId="77777777">
      <w:pPr>
        <w:spacing w:after="120" w:line="276" w:lineRule="auto"/>
        <w:ind w:firstLine="709"/>
        <w:jc w:val="both"/>
        <w:rPr>
          <w:rFonts w:ascii="Verdana" w:hAnsi="Verdana" w:eastAsia="Calibri" w:cs="Arial"/>
          <w:color w:val="000000"/>
          <w:lang w:val="es-ES" w:eastAsia="es-ES"/>
        </w:rPr>
      </w:pPr>
      <w:r>
        <w:rPr>
          <w:rFonts w:ascii="Verdana" w:hAnsi="Verdana" w:eastAsia="Calibri" w:cs="Arial"/>
          <w:color w:val="000000"/>
          <w:lang w:val="es-ES" w:eastAsia="es-ES"/>
        </w:rPr>
        <w:t>De manera preliminar</w:t>
      </w:r>
      <w:r w:rsidRPr="00593A5F">
        <w:rPr>
          <w:rFonts w:ascii="Verdana" w:hAnsi="Verdana" w:eastAsia="Calibri" w:cs="Arial"/>
          <w:color w:val="000000"/>
          <w:lang w:val="es-ES" w:eastAsia="es-ES"/>
        </w:rPr>
        <w:t>, resulta necesario acotar que esta entidad s</w:t>
      </w:r>
      <w:r>
        <w:rPr>
          <w:rFonts w:ascii="Verdana" w:hAnsi="Verdana" w:eastAsia="Calibri" w:cs="Arial"/>
          <w:color w:val="000000"/>
          <w:lang w:val="es-ES" w:eastAsia="es-ES"/>
        </w:rPr>
        <w:t>ó</w:t>
      </w:r>
      <w:r w:rsidRPr="00593A5F">
        <w:rPr>
          <w:rFonts w:ascii="Verdana" w:hAnsi="Verdana" w:eastAsia="Calibri" w:cs="Arial"/>
          <w:color w:val="000000"/>
          <w:lang w:val="es-ES" w:eastAsia="es-ES"/>
        </w:rPr>
        <w:t xml:space="preserve">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Pr>
          <w:rFonts w:ascii="Verdana" w:hAnsi="Verdana" w:eastAsia="Calibri" w:cs="Arial"/>
          <w:color w:val="000000"/>
          <w:lang w:val="es-ES" w:eastAsia="es-ES"/>
        </w:rPr>
        <w:t>concretos</w:t>
      </w:r>
      <w:r w:rsidRPr="00593A5F">
        <w:rPr>
          <w:rFonts w:ascii="Verdana" w:hAnsi="Verdana" w:eastAsia="Calibri" w:cs="Arial"/>
          <w:color w:val="000000"/>
          <w:lang w:val="es-ES" w:eastAsia="es-ES"/>
        </w:rPr>
        <w:t xml:space="preserve">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hAnsi="Verdana" w:eastAsia="Calibri" w:cs="Arial"/>
          <w:color w:val="000000"/>
          <w:szCs w:val="24"/>
          <w:lang w:val="es-ES_tradnl" w:eastAsia="es-ES_tradnl"/>
        </w:rPr>
        <w:tab/>
      </w:r>
    </w:p>
    <w:p w:rsidR="00EE4B76" w:rsidP="00EE4B76" w:rsidRDefault="00EE4B76" w14:paraId="0EABF1DA" w14:textId="77777777">
      <w:pPr>
        <w:spacing w:after="0" w:line="276" w:lineRule="auto"/>
        <w:ind w:firstLine="709"/>
        <w:jc w:val="both"/>
        <w:rPr>
          <w:rFonts w:ascii="Verdana" w:hAnsi="Verdana" w:eastAsia="Calibri" w:cs="Arial"/>
          <w:color w:val="000000"/>
          <w:lang w:val="es-ES" w:eastAsia="es-ES"/>
        </w:rPr>
      </w:pPr>
      <w:r w:rsidRPr="00593A5F">
        <w:rPr>
          <w:rFonts w:ascii="Verdana" w:hAnsi="Verdana" w:eastAsia="Calibri"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hAnsi="Verdana" w:eastAsia="Calibri" w:cs="Arial"/>
          <w:color w:val="000000"/>
          <w:lang w:val="es-ES" w:eastAsia="es-ES"/>
        </w:rPr>
        <w:t>s circunstancias</w:t>
      </w:r>
      <w:r w:rsidRPr="00593A5F">
        <w:rPr>
          <w:rFonts w:ascii="Verdana" w:hAnsi="Verdana" w:eastAsia="Calibri" w:cs="Arial"/>
          <w:color w:val="000000"/>
          <w:lang w:val="es-ES" w:eastAsia="es-ES"/>
        </w:rPr>
        <w:t xml:space="preserve"> </w:t>
      </w:r>
      <w:r>
        <w:rPr>
          <w:rFonts w:ascii="Verdana" w:hAnsi="Verdana" w:eastAsia="Calibri" w:cs="Arial"/>
          <w:color w:val="000000"/>
          <w:lang w:val="es-ES" w:eastAsia="es-ES"/>
        </w:rPr>
        <w:t xml:space="preserve">específicas que la </w:t>
      </w:r>
      <w:r>
        <w:rPr>
          <w:rFonts w:ascii="Verdana" w:hAnsi="Verdana" w:eastAsia="Calibri" w:cs="Arial"/>
          <w:color w:val="000000"/>
          <w:lang w:val="es-ES" w:eastAsia="es-ES"/>
        </w:rPr>
        <w:t>haya motivado</w:t>
      </w:r>
      <w:r w:rsidRPr="00593A5F">
        <w:rPr>
          <w:rFonts w:ascii="Verdana" w:hAnsi="Verdana" w:eastAsia="Calibri" w:cs="Arial"/>
          <w:color w:val="000000"/>
          <w:lang w:val="es-ES" w:eastAsia="es-ES"/>
        </w:rPr>
        <w:t xml:space="preserve">, pero haciendo unas consideraciones sobre las normas generales relacionadas con </w:t>
      </w:r>
      <w:r>
        <w:rPr>
          <w:rFonts w:ascii="Verdana" w:hAnsi="Verdana" w:eastAsia="Calibri" w:cs="Arial"/>
          <w:color w:val="000000"/>
          <w:lang w:val="es-ES" w:eastAsia="es-ES"/>
        </w:rPr>
        <w:t>el</w:t>
      </w:r>
      <w:r w:rsidRPr="00247BDE">
        <w:rPr>
          <w:rFonts w:ascii="Verdana" w:hAnsi="Verdana" w:eastAsia="Calibri" w:cs="Arial"/>
          <w:color w:val="7030A0"/>
          <w:lang w:val="es-ES" w:eastAsia="es-ES"/>
        </w:rPr>
        <w:t xml:space="preserve"> </w:t>
      </w:r>
      <w:r>
        <w:rPr>
          <w:rFonts w:ascii="Verdana" w:hAnsi="Verdana" w:eastAsia="Calibri" w:cs="Arial"/>
          <w:color w:val="000000"/>
          <w:lang w:val="es-ES" w:eastAsia="es-ES"/>
        </w:rPr>
        <w:t>problema</w:t>
      </w:r>
      <w:r w:rsidRPr="00247BDE">
        <w:rPr>
          <w:rFonts w:ascii="Verdana" w:hAnsi="Verdana" w:eastAsia="Calibri" w:cs="Arial"/>
          <w:color w:val="7030A0"/>
          <w:lang w:val="es-ES" w:eastAsia="es-ES"/>
        </w:rPr>
        <w:t xml:space="preserve"> </w:t>
      </w:r>
      <w:r>
        <w:rPr>
          <w:rFonts w:ascii="Verdana" w:hAnsi="Verdana" w:eastAsia="Calibri" w:cs="Arial"/>
          <w:color w:val="000000"/>
          <w:lang w:val="es-ES" w:eastAsia="es-ES"/>
        </w:rPr>
        <w:t>jurídico</w:t>
      </w:r>
      <w:r w:rsidRPr="00247BDE">
        <w:rPr>
          <w:rFonts w:ascii="Verdana" w:hAnsi="Verdana" w:eastAsia="Calibri" w:cs="Arial"/>
          <w:color w:val="7030A0"/>
          <w:lang w:val="es-ES" w:eastAsia="es-ES"/>
        </w:rPr>
        <w:t xml:space="preserve"> </w:t>
      </w:r>
      <w:r>
        <w:rPr>
          <w:rFonts w:ascii="Verdana" w:hAnsi="Verdana" w:eastAsia="Calibri" w:cs="Arial"/>
          <w:color w:val="000000"/>
          <w:lang w:val="es-ES" w:eastAsia="es-ES"/>
        </w:rPr>
        <w:t>de su</w:t>
      </w:r>
      <w:r w:rsidRPr="00593A5F">
        <w:rPr>
          <w:rFonts w:ascii="Verdana" w:hAnsi="Verdana" w:eastAsia="Calibri" w:cs="Arial"/>
          <w:color w:val="000000"/>
          <w:lang w:val="es-ES" w:eastAsia="es-ES"/>
        </w:rPr>
        <w:t xml:space="preserve"> consulta.</w:t>
      </w:r>
      <w:r>
        <w:rPr>
          <w:rFonts w:ascii="Verdana" w:hAnsi="Verdana" w:eastAsia="Calibri" w:cs="Arial"/>
          <w:color w:val="000000"/>
          <w:lang w:val="es-ES" w:eastAsia="es-ES"/>
        </w:rPr>
        <w:t xml:space="preserve"> </w:t>
      </w:r>
      <w:r w:rsidRPr="00593A5F">
        <w:rPr>
          <w:rFonts w:ascii="Verdana" w:hAnsi="Verdana" w:eastAsia="Calibri" w:cs="Arial"/>
          <w:color w:val="000000"/>
          <w:lang w:val="es-ES" w:eastAsia="es-ES"/>
        </w:rPr>
        <w:t xml:space="preserve"> </w:t>
      </w:r>
    </w:p>
    <w:p w:rsidRPr="00593A5F" w:rsidR="00EE4B76" w:rsidP="00EE4B76" w:rsidRDefault="00EE4B76" w14:paraId="7569E287" w14:textId="77777777">
      <w:pPr>
        <w:spacing w:after="0" w:line="276" w:lineRule="auto"/>
        <w:ind w:firstLine="709"/>
        <w:jc w:val="both"/>
        <w:rPr>
          <w:rFonts w:ascii="Verdana" w:hAnsi="Verdana" w:eastAsia="Calibri" w:cs="Arial"/>
          <w:color w:val="000000"/>
          <w:lang w:val="es-ES" w:eastAsia="es-ES"/>
        </w:rPr>
      </w:pPr>
    </w:p>
    <w:p w:rsidRPr="00593A5F" w:rsidR="00EE4B76" w:rsidP="00EE4B76" w:rsidRDefault="00EE4B76" w14:paraId="7A2446EE" w14:textId="77777777">
      <w:pPr>
        <w:pStyle w:val="Prrafodelista"/>
        <w:numPr>
          <w:ilvl w:val="0"/>
          <w:numId w:val="16"/>
        </w:numPr>
        <w:tabs>
          <w:tab w:val="left" w:pos="142"/>
          <w:tab w:val="left" w:pos="284"/>
        </w:tabs>
        <w:spacing w:after="0" w:line="276" w:lineRule="auto"/>
        <w:ind w:left="0" w:firstLine="0"/>
        <w:jc w:val="both"/>
        <w:rPr>
          <w:rFonts w:ascii="Verdana" w:hAnsi="Verdana" w:eastAsia="Century Gothic" w:cs="Century Gothic"/>
          <w:b/>
          <w:bCs/>
        </w:rPr>
      </w:pPr>
      <w:r w:rsidRPr="00593A5F">
        <w:rPr>
          <w:rFonts w:ascii="Verdana" w:hAnsi="Verdana" w:eastAsia="Century Gothic" w:cs="Century Gothic"/>
          <w:b/>
          <w:bCs/>
        </w:rPr>
        <w:t>Problema planteado:</w:t>
      </w:r>
    </w:p>
    <w:p w:rsidRPr="00593A5F" w:rsidR="00EE4B76" w:rsidP="00EE4B76" w:rsidRDefault="00EE4B76" w14:paraId="5CC21C42" w14:textId="77777777">
      <w:pPr>
        <w:tabs>
          <w:tab w:val="left" w:pos="426"/>
        </w:tabs>
        <w:spacing w:after="0" w:line="276" w:lineRule="auto"/>
        <w:jc w:val="both"/>
        <w:rPr>
          <w:rFonts w:ascii="Verdana" w:hAnsi="Verdana" w:eastAsia="Century Gothic" w:cs="Century Gothic"/>
          <w:lang w:val="es-ES"/>
        </w:rPr>
      </w:pPr>
    </w:p>
    <w:p w:rsidRPr="00593A5F" w:rsidR="00EE4B76" w:rsidP="00EE4B76" w:rsidRDefault="00EE4B76" w14:paraId="1DC2FD4D" w14:textId="77777777">
      <w:pPr>
        <w:spacing w:after="0" w:line="276" w:lineRule="auto"/>
        <w:jc w:val="both"/>
        <w:rPr>
          <w:rFonts w:ascii="Verdana" w:hAnsi="Verdana" w:eastAsia="Century Gothic" w:cs="Century Gothic"/>
        </w:rPr>
      </w:pPr>
      <w:r>
        <w:rPr>
          <w:rFonts w:ascii="Verdana" w:hAnsi="Verdana" w:eastAsia="Century Gothic" w:cs="Century Gothic"/>
        </w:rPr>
        <w:t xml:space="preserve">De acuerdo con el contenido de </w:t>
      </w:r>
      <w:r w:rsidRPr="00593A5F">
        <w:rPr>
          <w:rFonts w:ascii="Verdana" w:hAnsi="Verdana" w:eastAsia="Century Gothic" w:cs="Century Gothic"/>
        </w:rPr>
        <w:t xml:space="preserve">su solicitud, esta Agencia resolverá </w:t>
      </w:r>
      <w:r>
        <w:rPr>
          <w:rFonts w:ascii="Verdana" w:hAnsi="Verdana" w:eastAsia="Century Gothic" w:cs="Century Gothic"/>
        </w:rPr>
        <w:t>el</w:t>
      </w:r>
      <w:r w:rsidRPr="00593A5F">
        <w:rPr>
          <w:rFonts w:ascii="Verdana" w:hAnsi="Verdana" w:eastAsia="Century Gothic" w:cs="Century Gothic"/>
        </w:rPr>
        <w:t xml:space="preserve"> siguiente problema jurídico: </w:t>
      </w:r>
      <w:r>
        <w:rPr>
          <w:rFonts w:ascii="Verdana" w:hAnsi="Verdana" w:eastAsia="Century Gothic" w:cs="Century Gothic"/>
        </w:rPr>
        <w:t xml:space="preserve">¿los convenios de asociación únicamente pueden celebrarse con ESAL?       </w:t>
      </w:r>
      <w:r w:rsidRPr="00C00976">
        <w:rPr>
          <w:rFonts w:ascii="Verdana" w:hAnsi="Verdana" w:eastAsia="Century Gothic" w:cs="Century Gothic"/>
          <w:color w:val="7030A0"/>
        </w:rPr>
        <w:t xml:space="preserve"> </w:t>
      </w:r>
    </w:p>
    <w:p w:rsidRPr="004B140F" w:rsidR="00EE4B76" w:rsidP="00EE4B76" w:rsidRDefault="00EE4B76" w14:paraId="5C7C26F9" w14:textId="77777777">
      <w:pPr>
        <w:spacing w:after="0" w:line="276" w:lineRule="auto"/>
        <w:jc w:val="both"/>
        <w:rPr>
          <w:rFonts w:ascii="Verdana" w:hAnsi="Verdana" w:eastAsia="Calibri" w:cs="Arial"/>
          <w:color w:val="7030A0"/>
        </w:rPr>
      </w:pPr>
    </w:p>
    <w:p w:rsidRPr="00593A5F" w:rsidR="00EE4B76" w:rsidP="00EE4B76" w:rsidRDefault="00EE4B76" w14:paraId="21EFFA8C"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593A5F">
        <w:rPr>
          <w:rFonts w:ascii="Verdana" w:hAnsi="Verdana" w:eastAsia="Century Gothic" w:cs="Century Gothic"/>
          <w:b/>
          <w:bCs/>
        </w:rPr>
        <w:t>Respuesta:</w:t>
      </w:r>
    </w:p>
    <w:p w:rsidRPr="00593A5F" w:rsidR="00EE4B76" w:rsidP="00EE4B76" w:rsidRDefault="00EE4B76" w14:paraId="0E6B8968" w14:textId="77777777">
      <w:pPr>
        <w:tabs>
          <w:tab w:val="left" w:pos="142"/>
          <w:tab w:val="left" w:pos="284"/>
        </w:tabs>
        <w:spacing w:after="0" w:line="276" w:lineRule="auto"/>
        <w:jc w:val="both"/>
        <w:rPr>
          <w:rFonts w:ascii="Verdana" w:hAnsi="Verdana" w:eastAsia="Century Gothic" w:cs="Century Gothic"/>
          <w:b/>
          <w:bCs/>
          <w:lang w:val="es-ES"/>
        </w:rPr>
      </w:pPr>
    </w:p>
    <w:tbl>
      <w:tblPr>
        <w:tblStyle w:val="Tablaconcuadrcula"/>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w:rsidRPr="00593A5F" w:rsidR="00EE4B76" w:rsidTr="0011033F" w14:paraId="787DD5D0" w14:textId="77777777">
        <w:trPr>
          <w:jc w:val="center"/>
        </w:trPr>
        <w:tc>
          <w:tcPr>
            <w:tcW w:w="8828" w:type="dxa"/>
            <w:shd w:val="clear" w:color="auto" w:fill="auto"/>
          </w:tcPr>
          <w:p w:rsidR="00EE4B76" w:rsidP="0011033F" w:rsidRDefault="00EE4B76" w14:paraId="4E830544" w14:textId="77777777">
            <w:pPr>
              <w:spacing w:before="120" w:after="120" w:line="276" w:lineRule="auto"/>
              <w:jc w:val="both"/>
              <w:rPr>
                <w:rFonts w:ascii="Verdana" w:hAnsi="Verdana" w:cs="Arial"/>
                <w:color w:val="000000" w:themeColor="text1"/>
              </w:rPr>
            </w:pPr>
            <w:bookmarkStart w:name="_Hlk171694685" w:id="2"/>
            <w:r>
              <w:rPr>
                <w:rFonts w:ascii="Verdana" w:hAnsi="Verdana" w:eastAsia="Times New Roman" w:cs="Arial"/>
                <w:color w:val="000000"/>
                <w:lang w:val="es-ES_tradnl" w:eastAsia="es-ES_tradnl"/>
              </w:rPr>
              <w:t>Conforme a la interpretación de las normas generales del sistema de compras públicas, d</w:t>
            </w:r>
            <w:proofErr w:type="spellStart"/>
            <w:r w:rsidRPr="00F12E64">
              <w:rPr>
                <w:rFonts w:ascii="Verdana" w:hAnsi="Verdana" w:eastAsia="Calibri" w:cs="Arial"/>
                <w:color w:val="000000" w:themeColor="text1"/>
              </w:rPr>
              <w:t>e</w:t>
            </w:r>
            <w:proofErr w:type="spellEnd"/>
            <w:r w:rsidRPr="00F12E64">
              <w:rPr>
                <w:rFonts w:ascii="Verdana" w:hAnsi="Verdana" w:eastAsia="Calibri" w:cs="Arial"/>
                <w:color w:val="000000" w:themeColor="text1"/>
              </w:rPr>
              <w:t xml:space="preserve"> acuerdo con el artículo 355 de la Constitución, al que remite el inciso segundo del artículo 96 de la Ley 489 de 1998, los </w:t>
            </w:r>
            <w:r w:rsidRPr="00F12E64">
              <w:rPr>
                <w:rFonts w:ascii="Verdana" w:hAnsi="Verdana" w:eastAsia="Calibri" w:cs="Arial"/>
                <w:i/>
                <w:iCs/>
                <w:color w:val="000000" w:themeColor="text1"/>
              </w:rPr>
              <w:t xml:space="preserve">convenios de asociación </w:t>
            </w:r>
            <w:r w:rsidRPr="00F12E64">
              <w:rPr>
                <w:rFonts w:ascii="Verdana" w:hAnsi="Verdana" w:eastAsia="Calibri" w:cs="Arial"/>
                <w:color w:val="000000" w:themeColor="text1"/>
              </w:rPr>
              <w:t>s</w:t>
            </w:r>
            <w:r>
              <w:rPr>
                <w:rFonts w:ascii="Verdana" w:hAnsi="Verdana" w:eastAsia="Calibri" w:cs="Arial"/>
                <w:color w:val="000000" w:themeColor="text1"/>
              </w:rPr>
              <w:t>ó</w:t>
            </w:r>
            <w:r w:rsidRPr="00F12E64">
              <w:rPr>
                <w:rFonts w:ascii="Verdana" w:hAnsi="Verdana" w:eastAsia="Calibri" w:cs="Arial"/>
                <w:color w:val="000000" w:themeColor="text1"/>
              </w:rPr>
              <w:t>lo pueden suscribir</w:t>
            </w:r>
            <w:r>
              <w:rPr>
                <w:rFonts w:ascii="Verdana" w:hAnsi="Verdana" w:eastAsia="Calibri" w:cs="Arial"/>
                <w:color w:val="000000" w:themeColor="text1"/>
              </w:rPr>
              <w:t>se</w:t>
            </w:r>
            <w:r w:rsidRPr="00F12E64">
              <w:rPr>
                <w:rFonts w:ascii="Verdana" w:hAnsi="Verdana" w:eastAsia="Calibri" w:cs="Arial"/>
                <w:color w:val="000000" w:themeColor="text1"/>
              </w:rPr>
              <w:t xml:space="preserve"> con ESAL</w:t>
            </w:r>
            <w:r w:rsidRPr="00F12E64">
              <w:rPr>
                <w:rFonts w:ascii="Verdana" w:hAnsi="Verdana" w:cs="Arial"/>
                <w:color w:val="000000" w:themeColor="text1"/>
              </w:rPr>
              <w:t xml:space="preserve">. Esto es así porque si bien es cierto que el mencionado artículo 96 se refiere genéricamente a la noción </w:t>
            </w:r>
            <w:r>
              <w:rPr>
                <w:rFonts w:ascii="Verdana" w:hAnsi="Verdana" w:cs="Arial"/>
                <w:color w:val="000000" w:themeColor="text1"/>
              </w:rPr>
              <w:t>“</w:t>
            </w:r>
            <w:r w:rsidRPr="00F12E64">
              <w:rPr>
                <w:rFonts w:ascii="Verdana" w:hAnsi="Verdana" w:cs="Arial"/>
                <w:color w:val="000000" w:themeColor="text1"/>
              </w:rPr>
              <w:t>personas jurídicas particulares</w:t>
            </w:r>
            <w:r>
              <w:rPr>
                <w:rFonts w:ascii="Verdana" w:hAnsi="Verdana" w:cs="Arial"/>
                <w:color w:val="000000" w:themeColor="text1"/>
              </w:rPr>
              <w:t>”</w:t>
            </w:r>
            <w:r w:rsidRPr="00F12E64">
              <w:rPr>
                <w:rFonts w:ascii="Verdana" w:hAnsi="Verdana" w:cs="Arial"/>
                <w:color w:val="000000" w:themeColor="text1"/>
              </w:rPr>
              <w:t xml:space="preserve">, también lo es que el inciso segundo del mismo artículo establece que estos </w:t>
            </w:r>
            <w:r>
              <w:rPr>
                <w:rFonts w:ascii="Verdana" w:hAnsi="Verdana" w:cs="Arial"/>
                <w:color w:val="000000" w:themeColor="text1"/>
              </w:rPr>
              <w:t>“</w:t>
            </w:r>
            <w:r w:rsidRPr="00F12E64">
              <w:rPr>
                <w:rFonts w:ascii="Verdana" w:hAnsi="Verdana" w:cs="Arial"/>
                <w:color w:val="000000" w:themeColor="text1"/>
              </w:rPr>
              <w:t>se celebrarán de conformidad con lo dispuesto en el artículo 355 de la Constitución Política</w:t>
            </w:r>
            <w:r>
              <w:rPr>
                <w:rFonts w:ascii="Verdana" w:hAnsi="Verdana" w:cs="Arial"/>
                <w:color w:val="000000" w:themeColor="text1"/>
              </w:rPr>
              <w:t>”</w:t>
            </w:r>
            <w:r w:rsidRPr="00F12E64">
              <w:rPr>
                <w:rFonts w:ascii="Verdana" w:hAnsi="Verdana" w:cs="Arial"/>
                <w:color w:val="000000" w:themeColor="text1"/>
              </w:rPr>
              <w:t xml:space="preserve">, esto es </w:t>
            </w:r>
            <w:r>
              <w:rPr>
                <w:rFonts w:ascii="Verdana" w:hAnsi="Verdana" w:cs="Arial"/>
                <w:color w:val="000000" w:themeColor="text1"/>
              </w:rPr>
              <w:t>“</w:t>
            </w:r>
            <w:r w:rsidRPr="00F12E64">
              <w:rPr>
                <w:rFonts w:ascii="Verdana" w:hAnsi="Verdana" w:cs="Arial"/>
                <w:i/>
                <w:iCs/>
                <w:color w:val="000000" w:themeColor="text1"/>
              </w:rPr>
              <w:t>con entidades privadas sin ánimo de lucro y de reconocida idoneidad</w:t>
            </w:r>
            <w:r w:rsidRPr="00F12E64">
              <w:rPr>
                <w:rFonts w:ascii="Verdana" w:hAnsi="Verdana" w:cs="Arial"/>
                <w:color w:val="000000" w:themeColor="text1"/>
              </w:rPr>
              <w:t xml:space="preserve"> con el fin de impulsar programas y actividades de interés público acordes con el Plan Nacional y los planes seccionales de Desarrollo</w:t>
            </w:r>
            <w:r>
              <w:rPr>
                <w:rFonts w:ascii="Verdana" w:hAnsi="Verdana" w:cs="Arial"/>
                <w:color w:val="000000" w:themeColor="text1"/>
              </w:rPr>
              <w:t>”</w:t>
            </w:r>
            <w:r w:rsidRPr="00F12E64">
              <w:rPr>
                <w:rFonts w:ascii="Verdana" w:hAnsi="Verdana" w:cs="Arial"/>
                <w:color w:val="000000" w:themeColor="text1"/>
              </w:rPr>
              <w:t xml:space="preserve"> (</w:t>
            </w:r>
            <w:r>
              <w:rPr>
                <w:rFonts w:ascii="Verdana" w:hAnsi="Verdana" w:cs="Arial"/>
                <w:color w:val="000000" w:themeColor="text1"/>
              </w:rPr>
              <w:t>Énfasis fuera de texto</w:t>
            </w:r>
            <w:r w:rsidRPr="00F12E64">
              <w:rPr>
                <w:rFonts w:ascii="Verdana" w:hAnsi="Verdana" w:cs="Arial"/>
                <w:color w:val="000000" w:themeColor="text1"/>
              </w:rPr>
              <w:t xml:space="preserve">). Incluso el artículo 5 del Decreto </w:t>
            </w:r>
            <w:r>
              <w:rPr>
                <w:rFonts w:ascii="Verdana" w:hAnsi="Verdana" w:cs="Arial"/>
                <w:color w:val="000000" w:themeColor="text1"/>
              </w:rPr>
              <w:t>0</w:t>
            </w:r>
            <w:r w:rsidRPr="00F12E64">
              <w:rPr>
                <w:rFonts w:ascii="Verdana" w:hAnsi="Verdana" w:cs="Arial"/>
                <w:color w:val="000000" w:themeColor="text1"/>
              </w:rPr>
              <w:t xml:space="preserve">92 de 2017, que desarrolla la citada norma constitucional, se refiere expresamente a los </w:t>
            </w:r>
            <w:r w:rsidRPr="00F12E64">
              <w:rPr>
                <w:rFonts w:ascii="Verdana" w:hAnsi="Verdana" w:cs="Arial"/>
                <w:i/>
                <w:iCs/>
                <w:color w:val="000000" w:themeColor="text1"/>
              </w:rPr>
              <w:t xml:space="preserve">convenios de asociación </w:t>
            </w:r>
            <w:r w:rsidRPr="00F12E64">
              <w:rPr>
                <w:rFonts w:ascii="Verdana" w:hAnsi="Verdana" w:cs="Arial"/>
                <w:color w:val="000000" w:themeColor="text1"/>
              </w:rPr>
              <w:t>celebrados entre ESAL y entidades estatales</w:t>
            </w:r>
            <w:r>
              <w:rPr>
                <w:rFonts w:ascii="Verdana" w:hAnsi="Verdana" w:cs="Arial"/>
                <w:color w:val="000000" w:themeColor="text1"/>
              </w:rPr>
              <w:t>, mas no</w:t>
            </w:r>
            <w:r w:rsidRPr="00F12E64">
              <w:rPr>
                <w:rFonts w:ascii="Verdana" w:hAnsi="Verdana" w:cs="Arial"/>
                <w:color w:val="000000" w:themeColor="text1"/>
              </w:rPr>
              <w:t xml:space="preserve"> con personas naturales o jurídicas particulares</w:t>
            </w:r>
            <w:r>
              <w:rPr>
                <w:rFonts w:ascii="Verdana" w:hAnsi="Verdana" w:cs="Arial"/>
                <w:color w:val="000000" w:themeColor="text1"/>
              </w:rPr>
              <w:t xml:space="preserve"> en general</w:t>
            </w:r>
            <w:r w:rsidRPr="00F12E64">
              <w:rPr>
                <w:rFonts w:ascii="Verdana" w:hAnsi="Verdana" w:cs="Arial"/>
                <w:color w:val="000000" w:themeColor="text1"/>
              </w:rPr>
              <w:t>.</w:t>
            </w:r>
          </w:p>
          <w:p w:rsidRPr="006046E1" w:rsidR="00D47526" w:rsidP="006046E1" w:rsidRDefault="00EE4B76" w14:paraId="136DDB2C" w14:textId="01E0044E">
            <w:pPr>
              <w:tabs>
                <w:tab w:val="left" w:pos="709"/>
              </w:tabs>
              <w:spacing w:line="276" w:lineRule="auto"/>
              <w:ind w:firstLine="733"/>
              <w:jc w:val="both"/>
              <w:rPr>
                <w:rFonts w:ascii="Verdana" w:hAnsi="Verdana" w:eastAsia="Calibri" w:cs="Arial"/>
                <w:bCs/>
                <w:color w:val="000000" w:themeColor="text1"/>
              </w:rPr>
            </w:pPr>
            <w:r w:rsidRPr="00243975">
              <w:rPr>
                <w:rFonts w:ascii="Verdana" w:hAnsi="Verdana" w:eastAsia="Calibri" w:cs="Arial"/>
                <w:color w:val="000000" w:themeColor="text1"/>
              </w:rPr>
              <w:t>En todo caso, el análisis requerido para viabilidad de</w:t>
            </w:r>
            <w:r>
              <w:rPr>
                <w:rFonts w:ascii="Verdana" w:hAnsi="Verdana" w:eastAsia="Calibri" w:cs="Arial"/>
                <w:color w:val="000000" w:themeColor="text1"/>
              </w:rPr>
              <w:t xml:space="preserve">l convenio </w:t>
            </w:r>
            <w:r w:rsidRPr="00243975">
              <w:rPr>
                <w:rFonts w:ascii="Verdana" w:hAnsi="Verdana" w:eastAsia="Calibri" w:cs="Arial"/>
                <w:color w:val="000000" w:themeColor="text1"/>
              </w:rPr>
              <w:t>mencionado en la consulta debe real</w:t>
            </w:r>
            <w:r>
              <w:rPr>
                <w:rFonts w:ascii="Verdana" w:hAnsi="Verdana" w:eastAsia="Calibri" w:cs="Arial"/>
                <w:color w:val="000000" w:themeColor="text1"/>
              </w:rPr>
              <w:t>izarse</w:t>
            </w:r>
            <w:r w:rsidRPr="00243975">
              <w:rPr>
                <w:rFonts w:ascii="Verdana" w:hAnsi="Verdana" w:eastAsia="Calibri" w:cs="Arial"/>
                <w:color w:val="000000" w:themeColor="text1"/>
              </w:rPr>
              <w:t xml:space="preserve"> por quienes tengan interés en ello, de acuerdo con lo explicado la aclaración preliminar del presente oficio</w:t>
            </w:r>
            <w:r w:rsidRPr="00F417E8">
              <w:rPr>
                <w:rFonts w:ascii="Verdana" w:hAnsi="Verdana" w:eastAsia="Calibri" w:cs="Arial"/>
                <w:color w:val="000000" w:themeColor="text1"/>
              </w:rPr>
              <w:t>.</w:t>
            </w:r>
            <w:r>
              <w:rPr>
                <w:rFonts w:ascii="Verdana" w:hAnsi="Verdana" w:eastAsia="Calibri" w:cs="Arial"/>
                <w:color w:val="000000" w:themeColor="text1"/>
              </w:rPr>
              <w:t xml:space="preserve"> </w:t>
            </w:r>
            <w:r w:rsidRPr="00243975">
              <w:rPr>
                <w:rFonts w:ascii="Verdana" w:hAnsi="Verdana" w:eastAsia="Calibri" w:cs="Arial"/>
                <w:color w:val="000000" w:themeColor="text1"/>
              </w:rPr>
              <w:t>La entidad contratante definirá en cada caso concreto lo relacionado con la “[…] tipología o forma de asociación, cooperación u acuerdo de voluntades prevista en la Ley, que permita a las entidades públicas y privadas, coordinar acciones intersectoriales que no generen erogación de recursos, pero comprometa a las partes, diferentes al ‘memorando de Entendimiento’ o ‘cartas de intención’”</w:t>
            </w:r>
            <w:r>
              <w:rPr>
                <w:rFonts w:ascii="Verdana" w:hAnsi="Verdana" w:eastAsia="Calibri" w:cs="Arial"/>
                <w:color w:val="000000" w:themeColor="text1"/>
              </w:rPr>
              <w:t xml:space="preserve">. </w:t>
            </w:r>
            <w:r w:rsidRPr="00F417E8">
              <w:rPr>
                <w:rFonts w:ascii="Verdana" w:hAnsi="Verdana" w:eastAsia="Calibri" w:cs="Arial"/>
                <w:color w:val="000000" w:themeColor="text1"/>
              </w:rPr>
              <w:t xml:space="preserve">De esta manera, cada entidad definirá la forma de adelantar su gestión contractual, sin que sea atribución de Colombia Compra Eficiente </w:t>
            </w:r>
            <w:r>
              <w:rPr>
                <w:rFonts w:ascii="Verdana" w:hAnsi="Verdana" w:eastAsia="Calibri" w:cs="Arial"/>
                <w:color w:val="000000" w:themeColor="text1"/>
              </w:rPr>
              <w:t>coadyuvar en la estructuración de los procesos correspondientes</w:t>
            </w:r>
            <w:r w:rsidRPr="00F417E8">
              <w:rPr>
                <w:rFonts w:ascii="Verdana" w:hAnsi="Verdana" w:eastAsia="Calibri" w:cs="Arial"/>
                <w:color w:val="000000" w:themeColor="text1"/>
              </w:rPr>
              <w:t>.</w:t>
            </w:r>
            <w:r>
              <w:rPr>
                <w:rFonts w:ascii="Verdana" w:hAnsi="Verdana" w:eastAsia="Times New Roman" w:cs="Arial"/>
                <w:color w:val="000000"/>
                <w:lang w:val="es-ES_tradnl" w:eastAsia="es-ES_tradnl"/>
              </w:rPr>
              <w:t xml:space="preserve">  </w:t>
            </w:r>
            <w:r>
              <w:rPr>
                <w:rFonts w:ascii="Verdana" w:hAnsi="Verdana" w:eastAsia="Calibri" w:cs="Arial"/>
                <w:bCs/>
                <w:color w:val="000000" w:themeColor="text1"/>
              </w:rPr>
              <w:t xml:space="preserve"> </w:t>
            </w:r>
          </w:p>
        </w:tc>
      </w:tr>
    </w:tbl>
    <w:p w:rsidRPr="00593A5F" w:rsidR="00EE4B76" w:rsidP="00EE4B76" w:rsidRDefault="00EE4B76" w14:paraId="0E807A90" w14:textId="77777777">
      <w:pPr>
        <w:tabs>
          <w:tab w:val="left" w:pos="142"/>
          <w:tab w:val="left" w:pos="284"/>
        </w:tabs>
        <w:spacing w:after="0" w:line="276" w:lineRule="auto"/>
        <w:jc w:val="both"/>
        <w:rPr>
          <w:rFonts w:ascii="Verdana" w:hAnsi="Verdana" w:eastAsia="Century Gothic" w:cs="Century Gothic"/>
          <w:b/>
          <w:bCs/>
          <w:lang w:val="es-ES"/>
        </w:rPr>
      </w:pPr>
    </w:p>
    <w:bookmarkEnd w:id="2"/>
    <w:p w:rsidRPr="00593A5F" w:rsidR="00EE4B76" w:rsidP="00EE4B76" w:rsidRDefault="00EE4B76" w14:paraId="71EA8C4C"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593A5F">
        <w:rPr>
          <w:rFonts w:ascii="Verdana" w:hAnsi="Verdana" w:eastAsia="Century Gothic" w:cs="Century Gothic"/>
          <w:b/>
          <w:bCs/>
        </w:rPr>
        <w:t>Razones de la respuesta:</w:t>
      </w:r>
    </w:p>
    <w:p w:rsidRPr="00593A5F" w:rsidR="00EE4B76" w:rsidP="00EE4B76" w:rsidRDefault="00EE4B76" w14:paraId="4E154355" w14:textId="77777777">
      <w:pPr>
        <w:spacing w:after="0" w:line="276" w:lineRule="auto"/>
        <w:jc w:val="both"/>
        <w:rPr>
          <w:rFonts w:ascii="Verdana" w:hAnsi="Verdana" w:eastAsia="Calibri" w:cs="Arial"/>
          <w:color w:val="7030A0"/>
          <w:lang w:val="es-ES"/>
        </w:rPr>
      </w:pPr>
    </w:p>
    <w:p w:rsidR="00EE4B76" w:rsidP="00EE4B76" w:rsidRDefault="00EE4B76" w14:paraId="20C4FA29" w14:textId="77777777">
      <w:pPr>
        <w:spacing w:after="0" w:line="276" w:lineRule="auto"/>
        <w:jc w:val="both"/>
        <w:rPr>
          <w:rFonts w:ascii="Verdana" w:hAnsi="Verdana" w:eastAsia="Calibri" w:cs="Arial"/>
          <w:lang w:val="es-ES"/>
        </w:rPr>
      </w:pPr>
      <w:r w:rsidRPr="00B96799">
        <w:rPr>
          <w:rFonts w:ascii="Verdana" w:hAnsi="Verdana" w:eastAsia="Calibri" w:cs="Arial"/>
          <w:lang w:val="es-ES"/>
        </w:rPr>
        <w:t>Lo anterior se sustenta en las siguientes consideraciones:</w:t>
      </w:r>
    </w:p>
    <w:p w:rsidRPr="00415608" w:rsidR="00EE4B76" w:rsidP="00EE4B76" w:rsidRDefault="00EE4B76" w14:paraId="3FBDA80C" w14:textId="77777777">
      <w:pPr>
        <w:spacing w:after="0" w:line="276" w:lineRule="auto"/>
        <w:jc w:val="both"/>
        <w:rPr>
          <w:rFonts w:ascii="Verdana" w:hAnsi="Verdana" w:eastAsia="Calibri" w:cs="Arial"/>
          <w:lang w:val="es-ES"/>
        </w:rPr>
      </w:pPr>
    </w:p>
    <w:p w:rsidRPr="008544C5" w:rsidR="00EE4B76" w:rsidP="00EE4B76" w:rsidRDefault="00EE4B76" w14:paraId="69E4B431" w14:textId="77777777">
      <w:pPr>
        <w:spacing w:line="276" w:lineRule="auto"/>
        <w:jc w:val="both"/>
        <w:rPr>
          <w:rFonts w:ascii="Verdana" w:hAnsi="Verdana" w:eastAsia="Calibri" w:cs="Arial"/>
          <w:bCs/>
          <w:lang w:val="es-ES_tradnl"/>
        </w:rPr>
      </w:pPr>
      <w:r w:rsidRPr="008544C5">
        <w:rPr>
          <w:rFonts w:ascii="Verdana" w:hAnsi="Verdana" w:eastAsia="Calibri" w:cs="Arial"/>
          <w:bCs/>
          <w:lang w:val="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8544C5">
        <w:rPr>
          <w:rStyle w:val="Refdenotaalpie"/>
          <w:rFonts w:ascii="Verdana" w:hAnsi="Verdana" w:cs="Arial"/>
        </w:rPr>
        <w:footnoteReference w:id="1"/>
      </w:r>
      <w:r w:rsidRPr="008544C5">
        <w:rPr>
          <w:rFonts w:ascii="Verdana" w:hAnsi="Verdana" w:eastAsia="Calibri" w:cs="Arial"/>
          <w:bCs/>
          <w:lang w:val="es-ES_tradnl"/>
        </w:rPr>
        <w:t>.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8544C5">
        <w:rPr>
          <w:rStyle w:val="Refdenotaalpie"/>
          <w:rFonts w:ascii="Verdana" w:hAnsi="Verdana" w:eastAsia="Calibri" w:cs="Arial"/>
          <w:bCs/>
          <w:lang w:val="es-ES_tradnl"/>
        </w:rPr>
        <w:footnoteReference w:id="2"/>
      </w:r>
      <w:r w:rsidRPr="008544C5">
        <w:rPr>
          <w:rFonts w:ascii="Verdana" w:hAnsi="Verdana" w:eastAsia="Calibri" w:cs="Arial"/>
          <w:bCs/>
          <w:lang w:val="es-ES_tradnl"/>
        </w:rPr>
        <w:t>.</w:t>
      </w:r>
    </w:p>
    <w:p w:rsidRPr="008544C5" w:rsidR="00EE4B76" w:rsidP="3F35FC5F" w:rsidRDefault="00EE4B76" w14:paraId="05E1A1DB" w14:textId="77777777">
      <w:pPr>
        <w:spacing w:before="120" w:after="120" w:line="276" w:lineRule="auto"/>
        <w:ind w:firstLine="709"/>
        <w:jc w:val="both"/>
        <w:rPr>
          <w:rFonts w:ascii="Verdana" w:hAnsi="Verdana" w:eastAsia="Calibri" w:cs="Arial"/>
          <w:lang w:val="es-ES"/>
        </w:rPr>
      </w:pPr>
      <w:bookmarkStart w:name="_Hlk38819155" w:id="4"/>
      <w:r w:rsidRPr="3F35FC5F">
        <w:rPr>
          <w:rFonts w:ascii="Verdana" w:hAnsi="Verdana" w:eastAsia="Calibri" w:cs="Arial"/>
          <w:lang w:val="es-ES"/>
        </w:rPr>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w:t>
      </w:r>
      <w:proofErr w:type="spellStart"/>
      <w:r w:rsidRPr="3F35FC5F">
        <w:rPr>
          <w:rFonts w:ascii="Verdana" w:hAnsi="Verdana" w:eastAsia="Calibri" w:cs="Arial"/>
          <w:lang w:val="es-ES"/>
        </w:rPr>
        <w:t>ii</w:t>
      </w:r>
      <w:proofErr w:type="spellEnd"/>
      <w:r w:rsidRPr="3F35FC5F">
        <w:rPr>
          <w:rFonts w:ascii="Verdana" w:hAnsi="Verdana" w:eastAsia="Calibri" w:cs="Arial"/>
          <w:lang w:val="es-ES"/>
        </w:rPr>
        <w:t xml:space="preserve">) los convenios de asociación, para el desarrollo conjunto de actividades relacionadas con las funciones de las entidades estatales, en desarrollo del artículo 96 de la Ley 489 de 1998. </w:t>
      </w:r>
      <w:bookmarkEnd w:id="4"/>
    </w:p>
    <w:p w:rsidRPr="008544C5" w:rsidR="00EE4B76" w:rsidP="3F35FC5F" w:rsidRDefault="00EE4B76" w14:paraId="3C0B112C" w14:textId="77777777">
      <w:pPr>
        <w:spacing w:before="120" w:after="120" w:line="276" w:lineRule="auto"/>
        <w:ind w:firstLine="709"/>
        <w:jc w:val="both"/>
        <w:rPr>
          <w:rFonts w:ascii="Verdana" w:hAnsi="Verdana" w:eastAsia="Calibri" w:cs="Arial"/>
          <w:lang w:val="es-ES"/>
        </w:rPr>
      </w:pPr>
      <w:bookmarkStart w:name="_Hlk95756032" w:id="5"/>
      <w:r w:rsidRPr="3F35FC5F">
        <w:rPr>
          <w:rFonts w:ascii="Verdana" w:hAnsi="Verdana" w:eastAsia="Calibri" w:cs="Arial"/>
          <w:lang w:val="es-ES"/>
        </w:rPr>
        <w:t xml:space="preserve">Los </w:t>
      </w:r>
      <w:r w:rsidRPr="3F35FC5F">
        <w:rPr>
          <w:rFonts w:ascii="Verdana" w:hAnsi="Verdana" w:eastAsia="Calibri" w:cs="Arial"/>
          <w:i/>
          <w:iCs/>
          <w:lang w:val="es-ES"/>
        </w:rPr>
        <w:t>contratos del artículo 355 de la Constitución Política</w:t>
      </w:r>
      <w:r w:rsidRPr="3F35FC5F">
        <w:rPr>
          <w:rFonts w:ascii="Verdana" w:hAnsi="Verdana" w:eastAsia="Calibri" w:cs="Arial"/>
          <w:lang w:val="es-ES"/>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w:t>
      </w:r>
      <w:r w:rsidRPr="3F35FC5F">
        <w:rPr>
          <w:rFonts w:ascii="Verdana" w:hAnsi="Verdana" w:eastAsia="Calibri" w:cs="Arial"/>
          <w:lang w:val="es-ES"/>
        </w:rPr>
        <w:t xml:space="preserve">acciones de fomento. Para celebrar estos contratos, según lo establece el artículo 3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3F35FC5F">
        <w:rPr>
          <w:rFonts w:ascii="Verdana" w:hAnsi="Verdana" w:eastAsia="Calibri" w:cs="Arial"/>
          <w:lang w:val="es-ES"/>
        </w:rPr>
        <w:t>ii</w:t>
      </w:r>
      <w:proofErr w:type="spellEnd"/>
      <w:r w:rsidRPr="3F35FC5F">
        <w:rPr>
          <w:rFonts w:ascii="Verdana" w:hAnsi="Verdana" w:eastAsia="Calibri" w:cs="Arial"/>
          <w:lang w:val="es-ES"/>
        </w:rPr>
        <w:t>) que no haya una contraprestación directa a favor de la entidad estatal, es decir, que el programa o actividad a desarrollar este dirigida al beneficio de la población en general, ya que cuando se adquieren bienes o servicios o se ejecutan obras en una relación conmutativa, las normas aplicables son las del Estatuto General de Contratación. Solo cuando se reúnan estas condiciones es procedente celebrar contratos del artículo 355 de la Constitución Política; de lo contrario, se aplicarán las normas del Estatuto General de Contratación de la Administración Pública.</w:t>
      </w:r>
    </w:p>
    <w:bookmarkEnd w:id="5"/>
    <w:p w:rsidRPr="008544C5" w:rsidR="00EE4B76" w:rsidP="00EE4B76" w:rsidRDefault="00EE4B76" w14:paraId="0F9E8AD2" w14:textId="77777777">
      <w:pPr>
        <w:spacing w:before="120" w:after="120" w:line="276" w:lineRule="auto"/>
        <w:ind w:firstLine="709"/>
        <w:jc w:val="both"/>
        <w:rPr>
          <w:rFonts w:ascii="Verdana" w:hAnsi="Verdana" w:eastAsia="Calibri" w:cs="Arial"/>
          <w:bCs/>
          <w:lang w:val="es-ES_tradnl"/>
        </w:rPr>
      </w:pPr>
      <w:r w:rsidRPr="008544C5">
        <w:rPr>
          <w:rFonts w:ascii="Verdana" w:hAnsi="Verdana" w:eastAsia="Calibri" w:cs="Arial"/>
          <w:bCs/>
          <w:lang w:val="es-ES_tradnl"/>
        </w:rPr>
        <w:t xml:space="preserve">De otro lado, los </w:t>
      </w:r>
      <w:r w:rsidRPr="008544C5">
        <w:rPr>
          <w:rFonts w:ascii="Verdana" w:hAnsi="Verdana" w:eastAsia="Calibri" w:cs="Arial"/>
          <w:bCs/>
          <w:i/>
          <w:lang w:val="es-ES_tradnl"/>
        </w:rPr>
        <w:t>convenios de asociación</w:t>
      </w:r>
      <w:r w:rsidRPr="008544C5">
        <w:rPr>
          <w:rFonts w:ascii="Verdana" w:hAnsi="Verdana" w:eastAsia="Calibri" w:cs="Arial"/>
          <w:bCs/>
          <w:lang w:val="es-ES_tradnl"/>
        </w:rPr>
        <w:t xml:space="preserve"> “[t]</w:t>
      </w:r>
      <w:proofErr w:type="spellStart"/>
      <w:r w:rsidRPr="008544C5">
        <w:rPr>
          <w:rFonts w:ascii="Verdana" w:hAnsi="Verdana" w:eastAsia="Calibri" w:cs="Arial"/>
          <w:bCs/>
          <w:lang w:val="es-ES_tradnl"/>
        </w:rPr>
        <w:t>ienen</w:t>
      </w:r>
      <w:proofErr w:type="spellEnd"/>
      <w:r w:rsidRPr="008544C5">
        <w:rPr>
          <w:rFonts w:ascii="Verdana" w:hAnsi="Verdana" w:eastAsia="Calibri" w:cs="Arial"/>
          <w:bCs/>
          <w:lang w:val="es-ES_tradn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8544C5">
        <w:rPr>
          <w:rStyle w:val="Refdenotaalpie"/>
          <w:rFonts w:ascii="Verdana" w:hAnsi="Verdana" w:cs="Arial"/>
        </w:rPr>
        <w:footnoteReference w:id="3"/>
      </w:r>
      <w:r w:rsidRPr="008544C5">
        <w:rPr>
          <w:rFonts w:ascii="Verdana" w:hAnsi="Verdana" w:eastAsia="Calibri" w:cs="Arial"/>
          <w:bCs/>
          <w:lang w:val="es-ES_tradnl"/>
        </w:rPr>
        <w:t xml:space="preserve">.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w:t>
      </w:r>
      <w:proofErr w:type="gramStart"/>
      <w:r w:rsidRPr="008544C5">
        <w:rPr>
          <w:rFonts w:ascii="Verdana" w:hAnsi="Verdana" w:eastAsia="Calibri" w:cs="Arial"/>
          <w:bCs/>
          <w:lang w:val="es-ES_tradnl"/>
        </w:rPr>
        <w:t>y</w:t>
      </w:r>
      <w:proofErr w:type="gramEnd"/>
      <w:r w:rsidRPr="008544C5">
        <w:rPr>
          <w:rFonts w:ascii="Verdana" w:hAnsi="Verdana" w:eastAsia="Calibri" w:cs="Arial"/>
          <w:bCs/>
          <w:lang w:val="es-ES_tradnl"/>
        </w:rPr>
        <w:t xml:space="preserve"> por tanto, la entidad no instruye al contratista para desarrollar los programas o actividades previstas, sino que se asocia con él para el cumplimiento de objetivos comunes</w:t>
      </w:r>
      <w:r w:rsidRPr="008544C5">
        <w:rPr>
          <w:rStyle w:val="Refdenotaalpie"/>
          <w:rFonts w:ascii="Verdana" w:hAnsi="Verdana" w:cs="Arial"/>
        </w:rPr>
        <w:footnoteReference w:id="4"/>
      </w:r>
      <w:r w:rsidRPr="008544C5">
        <w:rPr>
          <w:rFonts w:ascii="Verdana" w:hAnsi="Verdana" w:eastAsia="Calibri" w:cs="Arial"/>
          <w:bCs/>
          <w:lang w:val="es-ES_tradnl"/>
        </w:rPr>
        <w:t>.</w:t>
      </w:r>
    </w:p>
    <w:p w:rsidRPr="008544C5" w:rsidR="00EE4B76" w:rsidP="00EE4B76" w:rsidRDefault="00EE4B76" w14:paraId="504058DB" w14:textId="77777777">
      <w:pPr>
        <w:spacing w:before="120" w:after="120" w:line="276" w:lineRule="auto"/>
        <w:ind w:firstLine="709"/>
        <w:jc w:val="both"/>
        <w:rPr>
          <w:rFonts w:ascii="Verdana" w:hAnsi="Verdana" w:eastAsia="Calibri" w:cs="Arial"/>
          <w:bCs/>
        </w:rPr>
      </w:pPr>
      <w:r w:rsidRPr="008544C5">
        <w:rPr>
          <w:rFonts w:ascii="Verdana" w:hAnsi="Verdana" w:eastAsia="Calibri" w:cs="Arial"/>
          <w:bCs/>
          <w:lang w:val="es-ES_tradnl"/>
        </w:rPr>
        <w:t>La normativa vigente no impide que varias entidades suscriban conjuntamente el convenio de asociación y tampoco que dos o más ESAL pueden hacerlo, a través de las figuras asociativas autorizadas por la ley, por ejemplo, como unión temporal o como consorcio</w:t>
      </w:r>
      <w:r w:rsidRPr="008544C5">
        <w:rPr>
          <w:rFonts w:ascii="Verdana" w:hAnsi="Verdana" w:eastAsia="Calibri" w:cs="Arial"/>
          <w:bCs/>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w:t>
      </w:r>
      <w:r w:rsidRPr="008544C5">
        <w:rPr>
          <w:rFonts w:ascii="Verdana" w:hAnsi="Verdana" w:eastAsia="Calibri" w:cs="Arial"/>
          <w:bCs/>
        </w:rPr>
        <w:t>cuando la entidad sin ánimo de lucro comprometa recursos en dinero para la ejecución de esas actividades en una proporción no inferior al 30% del valor total del convenio”, las entidades deben asegurarse de que su contratista, es decir, las ESAL, aporte al menos el treinta por ciento del valor del convenio para celebrarlo directamente. 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rsidRPr="008544C5" w:rsidR="00EE4B76" w:rsidP="00EE4B76" w:rsidRDefault="00EE4B76" w14:paraId="4F9D96BC" w14:textId="77777777">
      <w:pPr>
        <w:spacing w:before="120" w:after="120" w:line="276" w:lineRule="auto"/>
        <w:ind w:firstLine="709"/>
        <w:jc w:val="both"/>
        <w:rPr>
          <w:rFonts w:ascii="Verdana" w:hAnsi="Verdana"/>
        </w:rPr>
      </w:pPr>
      <w:r w:rsidRPr="008544C5">
        <w:rPr>
          <w:rFonts w:ascii="Verdana" w:hAnsi="Verdana" w:cs="Arial"/>
          <w:color w:val="000000" w:themeColor="text1"/>
        </w:rPr>
        <w:t xml:space="preserve">La noción “seleccionar de forma objetiva”, contenida en la disposición </w:t>
      </w:r>
      <w:r w:rsidRPr="008544C5">
        <w:rPr>
          <w:rFonts w:ascii="Verdana" w:hAnsi="Verdana" w:cs="Arial"/>
          <w:i/>
          <w:iCs/>
          <w:color w:val="000000" w:themeColor="text1"/>
        </w:rPr>
        <w:t xml:space="preserve">sub examine </w:t>
      </w:r>
      <w:r w:rsidRPr="008544C5">
        <w:rPr>
          <w:rFonts w:ascii="Verdana" w:hAnsi="Verdana" w:cs="Arial"/>
          <w:color w:val="000000" w:themeColor="text1"/>
        </w:rPr>
        <w:t>no puede ser entendida como una remisión total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ello, la entidad puede tomar la decisión de acudir a los procesos de selección de contratistas que establece el Estatuto General de Contratación de la Administración Pública o, incluso, al trámite que regula el inciso 2 del artículo 2 del Decreto 092 de 2017.</w:t>
      </w:r>
    </w:p>
    <w:p w:rsidRPr="008544C5" w:rsidR="00EE4B76" w:rsidP="00EE4B76" w:rsidRDefault="00EE4B76" w14:paraId="6BAC8795" w14:textId="77777777">
      <w:pPr>
        <w:pStyle w:val="Sinespaciado"/>
        <w:spacing w:line="276" w:lineRule="auto"/>
        <w:ind w:firstLine="708"/>
        <w:jc w:val="both"/>
        <w:rPr>
          <w:rFonts w:ascii="Verdana" w:hAnsi="Verdana" w:cs="Arial"/>
          <w:color w:val="000000" w:themeColor="text1"/>
          <w:sz w:val="22"/>
        </w:rPr>
      </w:pPr>
      <w:r w:rsidRPr="008544C5">
        <w:rPr>
          <w:rFonts w:ascii="Verdana" w:hAnsi="Verdana" w:cs="Arial"/>
          <w:color w:val="000000" w:themeColor="text1"/>
          <w:sz w:val="22"/>
        </w:rPr>
        <w:t>Es importante aclarar que los negocios jurídicos que regula el Decreto 092 de 2017 “[…] son esencialmente distintos a los contratos para la adquisición y aprovisionamiento de bienes, obras o servicios regulados por el estatuto de contratación y[, como tal,] no hacen parte del sistema de compra pública. […] De acuerdo con lo anterior, si la entidad estatal adquiere o se abastece de un bien, obra o servicio en un contrato conmutativo en el cual el proveedor es una [ESAL], debe aplicar el régimen contenido en las Leyes 80 de 1993 y 1150 de 2007, y no el Decreto 092 de 2017”</w:t>
      </w:r>
      <w:r w:rsidRPr="008544C5">
        <w:rPr>
          <w:rStyle w:val="Refdenotaalpie"/>
          <w:rFonts w:ascii="Verdana" w:hAnsi="Verdana" w:cs="Arial"/>
          <w:color w:val="000000" w:themeColor="text1"/>
          <w:sz w:val="22"/>
        </w:rPr>
        <w:footnoteReference w:id="5"/>
      </w:r>
      <w:r w:rsidRPr="008544C5">
        <w:rPr>
          <w:rFonts w:ascii="Verdana" w:hAnsi="Verdana" w:cs="Arial"/>
          <w:color w:val="000000" w:themeColor="text1"/>
          <w:sz w:val="22"/>
        </w:rPr>
        <w:t>. Así lo consideró la Sala de Consulta y Servicio Civil del Consejo de Estado</w:t>
      </w:r>
      <w:r w:rsidRPr="008544C5">
        <w:rPr>
          <w:rStyle w:val="Refdenotaalpie"/>
          <w:rFonts w:ascii="Verdana" w:hAnsi="Verdana" w:cs="Arial"/>
          <w:color w:val="000000" w:themeColor="text1"/>
          <w:sz w:val="22"/>
        </w:rPr>
        <w:footnoteReference w:id="6"/>
      </w:r>
      <w:r w:rsidRPr="008544C5">
        <w:rPr>
          <w:rFonts w:ascii="Verdana" w:hAnsi="Verdana" w:cs="Arial"/>
          <w:color w:val="000000" w:themeColor="text1"/>
          <w:sz w:val="22"/>
        </w:rPr>
        <w:t>:</w:t>
      </w:r>
    </w:p>
    <w:p w:rsidRPr="008544C5" w:rsidR="00EE4B76" w:rsidP="00EE4B76" w:rsidRDefault="00EE4B76" w14:paraId="54DA3E70" w14:textId="77777777">
      <w:pPr>
        <w:pStyle w:val="Sinespaciado"/>
        <w:spacing w:line="276" w:lineRule="auto"/>
        <w:jc w:val="both"/>
        <w:rPr>
          <w:rFonts w:ascii="Verdana" w:hAnsi="Verdana" w:cs="Arial"/>
          <w:color w:val="000000" w:themeColor="text1"/>
          <w:sz w:val="22"/>
        </w:rPr>
      </w:pPr>
    </w:p>
    <w:p w:rsidRPr="008544C5" w:rsidR="00EE4B76" w:rsidP="00EE4B76" w:rsidRDefault="00EE4B76" w14:paraId="539A2A53" w14:textId="77777777">
      <w:pPr>
        <w:spacing w:line="240" w:lineRule="auto"/>
        <w:ind w:left="709" w:right="709"/>
        <w:jc w:val="both"/>
        <w:rPr>
          <w:rFonts w:ascii="Verdana" w:hAnsi="Verdana" w:eastAsia="Calibri" w:cs="Arial"/>
          <w:color w:val="000000" w:themeColor="text1"/>
          <w:sz w:val="21"/>
          <w:szCs w:val="21"/>
        </w:rPr>
      </w:pPr>
      <w:r w:rsidRPr="008544C5">
        <w:rPr>
          <w:rFonts w:ascii="Verdana" w:hAnsi="Verdana" w:eastAsia="Calibri" w:cs="Arial"/>
          <w:color w:val="000000" w:themeColor="text1"/>
          <w:sz w:val="21"/>
          <w:szCs w:val="21"/>
        </w:rPr>
        <w:t xml:space="preserve">“Como ya se indicó, el objeto de los contratos que autoriza el inciso segundo del artículo 355 Superior, se limita a la realización de actividades o programas de interés público que, conforme a los planes de desarrollo, adelanten instituciones privadas sin ánimo de lucro. Aquellos que generan una contraprestación directa a favor de la entidad contratante y los que tienen por objeto desarrollar proyectos </w:t>
      </w:r>
      <w:r w:rsidRPr="008544C5">
        <w:rPr>
          <w:rFonts w:ascii="Verdana" w:hAnsi="Verdana" w:eastAsia="Calibri" w:cs="Arial"/>
          <w:color w:val="000000" w:themeColor="text1"/>
          <w:sz w:val="21"/>
          <w:szCs w:val="21"/>
        </w:rPr>
        <w:t>específicos, corresponden al giro normal de las funciones propias de la entidad estatal, y por lo tanto, se tipifican dentro de cualquiera de las modalidades de contratación de la ley 80 de 1.993, debiendo sujetarse a los procedimientos allí previstos, en especial los de escogencia del contratista.</w:t>
      </w:r>
    </w:p>
    <w:p w:rsidRPr="008544C5" w:rsidR="00EE4B76" w:rsidP="00EE4B76" w:rsidRDefault="00EE4B76" w14:paraId="5C56919C" w14:textId="77777777">
      <w:pPr>
        <w:spacing w:after="0" w:line="240" w:lineRule="auto"/>
        <w:ind w:left="708" w:right="709"/>
        <w:jc w:val="both"/>
        <w:rPr>
          <w:rFonts w:ascii="Verdana" w:hAnsi="Verdana" w:eastAsia="Calibri" w:cs="Arial"/>
          <w:color w:val="000000" w:themeColor="text1"/>
          <w:sz w:val="21"/>
          <w:szCs w:val="21"/>
        </w:rPr>
      </w:pPr>
      <w:r w:rsidRPr="008544C5">
        <w:rPr>
          <w:rFonts w:ascii="Verdana" w:hAnsi="Verdana" w:eastAsia="Calibri" w:cs="Arial"/>
          <w:color w:val="000000" w:themeColor="text1"/>
          <w:sz w:val="21"/>
          <w:szCs w:val="21"/>
        </w:rPr>
        <w:t>Cuando el artículo 355 autoriza a las entidades estatales a celebrar contratos para “impulsar” programas y actividades de interés público, se refiere a los del ente privado y no a los del Estado, pues respecto de éste el deber constitucional es no sólo impulsarlos sino cumplirlos, conforme las disposiciones contractuales vigentes, como sería por ejemplo, contratos de prestación de servicios o de obra pública”.</w:t>
      </w:r>
    </w:p>
    <w:p w:rsidRPr="008544C5" w:rsidR="00EE4B76" w:rsidP="00EE4B76" w:rsidRDefault="00EE4B76" w14:paraId="001CF740" w14:textId="77777777">
      <w:pPr>
        <w:spacing w:after="0" w:line="276" w:lineRule="auto"/>
        <w:ind w:firstLine="708"/>
        <w:jc w:val="both"/>
        <w:rPr>
          <w:rFonts w:ascii="Verdana" w:hAnsi="Verdana" w:eastAsia="Calibri" w:cs="Arial"/>
          <w:color w:val="000000" w:themeColor="text1"/>
        </w:rPr>
      </w:pPr>
      <w:bookmarkStart w:name="_Hlk95756200" w:id="6"/>
    </w:p>
    <w:p w:rsidRPr="008544C5" w:rsidR="00EE4B76" w:rsidP="00EE4B76" w:rsidRDefault="00EE4B76" w14:paraId="7246031A" w14:textId="77777777">
      <w:pPr>
        <w:spacing w:after="0" w:line="276" w:lineRule="auto"/>
        <w:ind w:firstLine="708"/>
        <w:jc w:val="both"/>
        <w:rPr>
          <w:rFonts w:ascii="Verdana" w:hAnsi="Verdana" w:eastAsia="Calibri" w:cs="Arial"/>
          <w:color w:val="000000" w:themeColor="text1"/>
        </w:rPr>
      </w:pPr>
      <w:r w:rsidRPr="008544C5">
        <w:rPr>
          <w:rFonts w:ascii="Verdana" w:hAnsi="Verdana" w:eastAsia="Calibri" w:cs="Arial"/>
          <w:color w:val="000000" w:themeColor="text1"/>
        </w:rPr>
        <w:t xml:space="preserve">De acuerdo con lo anterior, no todas las actividades que las entidades estatales deben desarrollar para alcanzar sus objetivos misionales deben ejecutarse a través de la celebración de contratos del artículo 355 superior o convenios de asociación. Debe tenerse en cuenta que lo que determina la aplicación del Decreto 092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 </w:t>
      </w:r>
      <w:bookmarkEnd w:id="6"/>
      <w:r w:rsidRPr="008544C5">
        <w:rPr>
          <w:rFonts w:ascii="Verdana" w:hAnsi="Verdana" w:eastAsia="Calibri" w:cs="Arial"/>
          <w:color w:val="000000" w:themeColor="text1"/>
        </w:rPr>
        <w:t xml:space="preserve">Así lo reconoció la Corte Constitucional en la </w:t>
      </w:r>
      <w:r>
        <w:rPr>
          <w:rFonts w:ascii="Verdana" w:hAnsi="Verdana" w:eastAsia="Calibri" w:cs="Arial"/>
          <w:color w:val="000000" w:themeColor="text1"/>
        </w:rPr>
        <w:t>S</w:t>
      </w:r>
      <w:r w:rsidRPr="008544C5">
        <w:rPr>
          <w:rFonts w:ascii="Verdana" w:hAnsi="Verdana" w:eastAsia="Calibri" w:cs="Arial"/>
          <w:color w:val="000000" w:themeColor="text1"/>
        </w:rPr>
        <w:t>entencia C-287 del 18 de abril de 2012, en la que sostuvo lo siguiente:</w:t>
      </w:r>
    </w:p>
    <w:p w:rsidRPr="008544C5" w:rsidR="00EE4B76" w:rsidP="00EE4B76" w:rsidRDefault="00EE4B76" w14:paraId="02F1E6C6" w14:textId="77777777">
      <w:pPr>
        <w:spacing w:after="0" w:line="276" w:lineRule="auto"/>
        <w:ind w:firstLine="708"/>
        <w:jc w:val="both"/>
        <w:rPr>
          <w:rFonts w:ascii="Verdana" w:hAnsi="Verdana" w:eastAsia="Calibri" w:cs="Arial"/>
          <w:color w:val="000000" w:themeColor="text1"/>
        </w:rPr>
      </w:pPr>
    </w:p>
    <w:p w:rsidRPr="008544C5" w:rsidR="00EE4B76" w:rsidP="00EE4B76" w:rsidRDefault="00EE4B76" w14:paraId="152EF20E" w14:textId="77777777">
      <w:pPr>
        <w:spacing w:line="240" w:lineRule="auto"/>
        <w:ind w:left="709" w:right="709"/>
        <w:jc w:val="both"/>
        <w:rPr>
          <w:rFonts w:ascii="Verdana" w:hAnsi="Verdana" w:eastAsia="Calibri" w:cs="Arial"/>
          <w:color w:val="000000" w:themeColor="text1"/>
          <w:sz w:val="21"/>
          <w:szCs w:val="21"/>
        </w:rPr>
      </w:pPr>
      <w:r w:rsidRPr="008544C5">
        <w:rPr>
          <w:rFonts w:ascii="Verdana" w:hAnsi="Verdana" w:eastAsia="Calibri" w:cs="Arial"/>
          <w:color w:val="000000" w:themeColor="text1"/>
          <w:sz w:val="21"/>
          <w:szCs w:val="21"/>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rsidRPr="008544C5" w:rsidR="00EE4B76" w:rsidP="00EE4B76" w:rsidRDefault="00EE4B76" w14:paraId="4508B870" w14:textId="77777777">
      <w:pPr>
        <w:spacing w:after="0" w:line="240" w:lineRule="auto"/>
        <w:ind w:left="709" w:right="709"/>
        <w:jc w:val="both"/>
        <w:rPr>
          <w:rFonts w:ascii="Verdana" w:hAnsi="Verdana" w:eastAsia="Calibri" w:cs="Arial"/>
          <w:color w:val="000000" w:themeColor="text1"/>
          <w:sz w:val="21"/>
          <w:szCs w:val="21"/>
        </w:rPr>
      </w:pPr>
      <w:r w:rsidRPr="008544C5">
        <w:rPr>
          <w:rFonts w:ascii="Verdana" w:hAnsi="Verdana" w:eastAsia="Calibri" w:cs="Arial"/>
          <w:i/>
          <w:iCs/>
          <w:color w:val="000000" w:themeColor="text1"/>
          <w:sz w:val="21"/>
          <w:szCs w:val="21"/>
        </w:rPr>
        <w:t>Sin embargo, el hecho que no persigan una finalidad lucrativa,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8544C5">
        <w:rPr>
          <w:rFonts w:ascii="Verdana" w:hAnsi="Verdana" w:eastAsia="Calibri" w:cs="Arial"/>
          <w:color w:val="000000" w:themeColor="text1"/>
          <w:sz w:val="21"/>
          <w:szCs w:val="21"/>
        </w:rPr>
        <w:t>.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 (Énfasis fuera de texto)</w:t>
      </w:r>
    </w:p>
    <w:p w:rsidRPr="008544C5" w:rsidR="00EE4B76" w:rsidP="00EE4B76" w:rsidRDefault="00EE4B76" w14:paraId="7A9877C0" w14:textId="77777777">
      <w:pPr>
        <w:spacing w:after="0" w:line="276" w:lineRule="auto"/>
        <w:ind w:firstLine="709"/>
        <w:jc w:val="both"/>
        <w:rPr>
          <w:rFonts w:ascii="Verdana" w:hAnsi="Verdana" w:eastAsia="Calibri" w:cs="Arial"/>
          <w:color w:val="000000" w:themeColor="text1"/>
        </w:rPr>
      </w:pPr>
    </w:p>
    <w:p w:rsidR="00EE4B76" w:rsidP="00EE4B76" w:rsidRDefault="00EE4B76" w14:paraId="46370380" w14:textId="77777777">
      <w:pPr>
        <w:spacing w:after="120" w:line="276" w:lineRule="auto"/>
        <w:ind w:firstLine="709"/>
        <w:jc w:val="both"/>
        <w:rPr>
          <w:rFonts w:ascii="Verdana" w:hAnsi="Verdana" w:eastAsia="Calibri" w:cs="Arial"/>
          <w:color w:val="000000" w:themeColor="text1"/>
        </w:rPr>
      </w:pPr>
      <w:r w:rsidRPr="008544C5">
        <w:rPr>
          <w:rFonts w:ascii="Verdana" w:hAnsi="Verdana" w:eastAsia="Calibri" w:cs="Arial"/>
          <w:color w:val="000000" w:themeColor="text1"/>
        </w:rPr>
        <w:t xml:space="preserve">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Con todo, las ESAL pueden participar en igualdad de condiciones en procesos de contratación regidos por la Ley 80 de 1993, la Ley 1150 de 2007 y el Decreto 1082 de 2015, siempre y cuando cumplan con los requisitos exigidos en los documentos del proceso. De esta manera, ni los </w:t>
      </w:r>
      <w:r w:rsidRPr="008544C5">
        <w:rPr>
          <w:rFonts w:ascii="Verdana" w:hAnsi="Verdana" w:eastAsia="Calibri" w:cs="Arial"/>
          <w:i/>
          <w:iCs/>
          <w:color w:val="000000" w:themeColor="text1"/>
        </w:rPr>
        <w:t>contratos del artículo 355 de la Constitución Política</w:t>
      </w:r>
      <w:r w:rsidRPr="008544C5">
        <w:rPr>
          <w:rFonts w:ascii="Verdana" w:hAnsi="Verdana" w:eastAsia="Calibri" w:cs="Arial"/>
          <w:color w:val="000000" w:themeColor="text1"/>
        </w:rPr>
        <w:t xml:space="preserve"> ni los </w:t>
      </w:r>
      <w:r w:rsidRPr="008544C5">
        <w:rPr>
          <w:rFonts w:ascii="Verdana" w:hAnsi="Verdana" w:eastAsia="Calibri" w:cs="Arial"/>
          <w:i/>
          <w:iCs/>
          <w:color w:val="000000" w:themeColor="text1"/>
        </w:rPr>
        <w:t>convenios de asociación</w:t>
      </w:r>
      <w:r w:rsidRPr="008544C5">
        <w:rPr>
          <w:rFonts w:ascii="Verdana" w:hAnsi="Verdana" w:eastAsia="Calibri" w:cs="Arial"/>
          <w:color w:val="000000" w:themeColor="text1"/>
        </w:rPr>
        <w:t xml:space="preserve"> del artículo 96 de la Ley 489 de 1998 generan utilidades para la ESAL, pues en dicho caso se trataría de un contrato en el que se debe remunerar al contratista por los servicios prestados, el cual, por eso mismo, tiene un régimen legal distinto.</w:t>
      </w:r>
    </w:p>
    <w:p w:rsidR="00EE4B76" w:rsidP="3F35FC5F" w:rsidRDefault="00EE4B76" w14:paraId="478E1DFD" w14:textId="77777777">
      <w:pPr>
        <w:spacing w:after="0" w:line="276" w:lineRule="auto"/>
        <w:ind w:firstLine="708"/>
        <w:jc w:val="both"/>
        <w:rPr>
          <w:rFonts w:ascii="Verdana" w:hAnsi="Verdana" w:cs="Arial"/>
          <w:color w:val="000000" w:themeColor="text1"/>
          <w:shd w:val="clear" w:color="auto" w:fill="FFFFFF"/>
          <w:lang w:val="es-ES"/>
        </w:rPr>
      </w:pPr>
      <w:r w:rsidRPr="3F35FC5F">
        <w:rPr>
          <w:rFonts w:ascii="Verdana" w:hAnsi="Verdana" w:cs="Arial"/>
          <w:color w:val="000000" w:themeColor="text1"/>
          <w:shd w:val="clear" w:color="auto" w:fill="FFFFFF"/>
          <w:lang w:val="es-ES"/>
        </w:rPr>
        <w:t xml:space="preserve">Teniendo en cuenta que el artículo 355 de la Constitución Política prohíbe que las entidades estatales decreten donaciones y concedan auxilios a personas de derecho privado, pero en el inciso segundo permite celebrar ciertos contratos con entidades privadas sin ánimo de lucro, los convenios a que se refieren los artículos 5 del Decreto 092 de 2017 y 96 de la Ley 489 de 1998 sólo pueden celebrarse con ESAL. Sobre el particular, la Corte Constitucional en sentencia C-671 de 1999 se pronunció frente a la demanda de </w:t>
      </w:r>
      <w:proofErr w:type="spellStart"/>
      <w:r w:rsidRPr="3F35FC5F">
        <w:rPr>
          <w:rFonts w:ascii="Verdana" w:hAnsi="Verdana" w:cs="Arial"/>
          <w:color w:val="000000" w:themeColor="text1"/>
          <w:shd w:val="clear" w:color="auto" w:fill="FFFFFF"/>
          <w:lang w:val="es-ES"/>
        </w:rPr>
        <w:t>inexequibilidad</w:t>
      </w:r>
      <w:proofErr w:type="spellEnd"/>
      <w:r w:rsidRPr="3F35FC5F">
        <w:rPr>
          <w:rFonts w:ascii="Verdana" w:hAnsi="Verdana" w:cs="Arial"/>
          <w:color w:val="000000" w:themeColor="text1"/>
          <w:shd w:val="clear" w:color="auto" w:fill="FFFFFF"/>
          <w:lang w:val="es-ES"/>
        </w:rPr>
        <w:t xml:space="preserve"> del artículo 96 de la Ley 489 de 1998, destacando las siguientes consideraciones:</w:t>
      </w:r>
    </w:p>
    <w:p w:rsidRPr="00257DE3" w:rsidR="00EE4B76" w:rsidP="00EE4B76" w:rsidRDefault="00EE4B76" w14:paraId="3221609B" w14:textId="77777777">
      <w:pPr>
        <w:spacing w:after="0" w:line="276" w:lineRule="auto"/>
        <w:ind w:firstLine="708"/>
        <w:jc w:val="both"/>
        <w:rPr>
          <w:rFonts w:ascii="Verdana" w:hAnsi="Verdana" w:cs="Arial"/>
          <w:color w:val="000000" w:themeColor="text1"/>
          <w:shd w:val="clear" w:color="auto" w:fill="FFFFFF"/>
          <w:lang w:val="es-ES_tradnl"/>
        </w:rPr>
      </w:pPr>
    </w:p>
    <w:p w:rsidR="00EE4B76" w:rsidP="00EE4B76" w:rsidRDefault="00EE4B76" w14:paraId="4583F127" w14:textId="77777777">
      <w:pPr>
        <w:shd w:val="clear" w:color="auto" w:fill="FFFFFF"/>
        <w:spacing w:after="0" w:line="240" w:lineRule="auto"/>
        <w:ind w:left="709" w:right="709"/>
        <w:jc w:val="both"/>
        <w:rPr>
          <w:rFonts w:ascii="Verdana" w:hAnsi="Verdana" w:cs="Arial"/>
          <w:sz w:val="21"/>
          <w:szCs w:val="21"/>
        </w:rPr>
      </w:pPr>
      <w:r>
        <w:rPr>
          <w:rFonts w:ascii="Verdana" w:hAnsi="Verdana" w:cs="Arial"/>
          <w:sz w:val="21"/>
          <w:szCs w:val="21"/>
        </w:rPr>
        <w:t>“</w:t>
      </w:r>
      <w:r w:rsidRPr="00257DE3">
        <w:rPr>
          <w:rFonts w:ascii="Verdana" w:hAnsi="Verdana" w:cs="Arial"/>
          <w:sz w:val="21"/>
          <w:szCs w:val="21"/>
        </w:rPr>
        <w:t xml:space="preserve">[…] si el legislador autoriza la asociación de entidades estatales con personas jurídicas particulares con las finalidades ya mencionadas, estableció, en defensa de la transparencia del manejo de los dineros públicos, que los convenios de asociación a que se hace referencia serán celebrados "de conformidad con lo dispuesto en el artículo 355 de la Constitución Política", lo que significa que no podrá, en ningún caso pretextarse la celebración de los mismos para otorgar o decretar auxilios o donaciones a favor de personas naturales o jurídicas de derecho privado, de una parte; y, de otra, </w:t>
      </w:r>
      <w:r w:rsidRPr="00257DE3">
        <w:rPr>
          <w:rFonts w:ascii="Verdana" w:hAnsi="Verdana" w:cs="Arial"/>
          <w:i/>
          <w:iCs/>
          <w:sz w:val="21"/>
          <w:szCs w:val="21"/>
        </w:rPr>
        <w:t>el acatamiento a la disposición constitucional mencionada, impone la celebración de contratos con entidades privadas sin ánimo de lucro y de reconocida idoneidad</w:t>
      </w:r>
      <w:r w:rsidRPr="00257DE3">
        <w:rPr>
          <w:rFonts w:ascii="Verdana" w:hAnsi="Verdana" w:cs="Arial"/>
          <w:sz w:val="21"/>
          <w:szCs w:val="21"/>
        </w:rPr>
        <w:t xml:space="preserve">, pero </w:t>
      </w:r>
      <w:r>
        <w:rPr>
          <w:rFonts w:ascii="Verdana" w:hAnsi="Verdana" w:cs="Arial"/>
          <w:sz w:val="21"/>
          <w:szCs w:val="21"/>
        </w:rPr>
        <w:t>‘</w:t>
      </w:r>
      <w:r w:rsidRPr="00257DE3">
        <w:rPr>
          <w:rFonts w:ascii="Verdana" w:hAnsi="Verdana" w:cs="Arial"/>
          <w:sz w:val="21"/>
          <w:szCs w:val="21"/>
        </w:rPr>
        <w:t>con el fin de impulsar programas y actividades de interés público acordes con el Plan Nacional y los Planes Seccionales de Desarrollo</w:t>
      </w:r>
      <w:r>
        <w:rPr>
          <w:rFonts w:ascii="Verdana" w:hAnsi="Verdana" w:cs="Arial"/>
          <w:sz w:val="21"/>
          <w:szCs w:val="21"/>
        </w:rPr>
        <w:t>’</w:t>
      </w:r>
      <w:r w:rsidRPr="00257DE3">
        <w:rPr>
          <w:rFonts w:ascii="Verdana" w:hAnsi="Verdana" w:cs="Arial"/>
          <w:sz w:val="21"/>
          <w:szCs w:val="21"/>
        </w:rPr>
        <w:t>, tal cual lo ordena el citado artículo 355 de la Carta Política</w:t>
      </w:r>
      <w:r>
        <w:rPr>
          <w:rFonts w:ascii="Verdana" w:hAnsi="Verdana" w:cs="Arial"/>
          <w:sz w:val="21"/>
          <w:szCs w:val="21"/>
        </w:rPr>
        <w:t>”</w:t>
      </w:r>
      <w:r w:rsidRPr="00257DE3">
        <w:rPr>
          <w:rFonts w:ascii="Verdana" w:hAnsi="Verdana" w:cs="Arial"/>
          <w:sz w:val="21"/>
          <w:szCs w:val="21"/>
          <w:vertAlign w:val="superscript"/>
        </w:rPr>
        <w:footnoteReference w:id="7"/>
      </w:r>
      <w:r w:rsidRPr="00257DE3">
        <w:rPr>
          <w:rFonts w:ascii="Verdana" w:hAnsi="Verdana" w:cs="Arial"/>
          <w:sz w:val="21"/>
          <w:szCs w:val="21"/>
        </w:rPr>
        <w:t>.</w:t>
      </w:r>
      <w:r>
        <w:rPr>
          <w:rFonts w:ascii="Verdana" w:hAnsi="Verdana" w:cs="Arial"/>
          <w:sz w:val="21"/>
          <w:szCs w:val="21"/>
        </w:rPr>
        <w:t xml:space="preserve"> (Énfasis </w:t>
      </w:r>
      <w:r w:rsidRPr="00257DE3">
        <w:rPr>
          <w:rFonts w:ascii="Verdana" w:hAnsi="Verdana" w:cs="Arial"/>
          <w:sz w:val="21"/>
          <w:szCs w:val="21"/>
        </w:rPr>
        <w:t>fuera de texto)</w:t>
      </w:r>
    </w:p>
    <w:p w:rsidRPr="00257DE3" w:rsidR="00EE4B76" w:rsidP="00EE4B76" w:rsidRDefault="00EE4B76" w14:paraId="71C72CA6" w14:textId="77777777">
      <w:pPr>
        <w:shd w:val="clear" w:color="auto" w:fill="FFFFFF"/>
        <w:spacing w:after="0" w:line="276" w:lineRule="auto"/>
        <w:ind w:left="708"/>
        <w:jc w:val="both"/>
        <w:rPr>
          <w:rFonts w:ascii="Verdana" w:hAnsi="Verdana" w:cs="Arial"/>
        </w:rPr>
      </w:pPr>
    </w:p>
    <w:p w:rsidR="00EE4B76" w:rsidP="00EE4B76" w:rsidRDefault="00EE4B76" w14:paraId="0108C116" w14:textId="77777777">
      <w:pPr>
        <w:shd w:val="clear" w:color="auto" w:fill="FFFFFF"/>
        <w:spacing w:after="0"/>
        <w:jc w:val="both"/>
        <w:rPr>
          <w:rFonts w:ascii="Verdana" w:hAnsi="Verdana" w:cs="Arial"/>
          <w:color w:val="000000" w:themeColor="text1"/>
        </w:rPr>
      </w:pPr>
      <w:r>
        <w:rPr>
          <w:rFonts w:ascii="Arial" w:hAnsi="Arial" w:cs="Arial"/>
          <w:sz w:val="21"/>
          <w:szCs w:val="21"/>
        </w:rPr>
        <w:tab/>
      </w:r>
      <w:r w:rsidRPr="00257DE3">
        <w:rPr>
          <w:rFonts w:ascii="Verdana" w:hAnsi="Verdana" w:cs="Arial"/>
        </w:rPr>
        <w:t xml:space="preserve">Por tanto, </w:t>
      </w:r>
      <w:r w:rsidRPr="00257DE3">
        <w:rPr>
          <w:rFonts w:ascii="Verdana" w:hAnsi="Verdana" w:eastAsia="Times New Roman" w:cs="Arial"/>
          <w:color w:val="000000"/>
          <w:lang w:val="es-ES_tradnl" w:eastAsia="es-ES_tradnl"/>
        </w:rPr>
        <w:t>d</w:t>
      </w:r>
      <w:proofErr w:type="spellStart"/>
      <w:r w:rsidRPr="00257DE3">
        <w:rPr>
          <w:rFonts w:ascii="Verdana" w:hAnsi="Verdana" w:eastAsia="Calibri" w:cs="Arial"/>
          <w:color w:val="000000" w:themeColor="text1"/>
        </w:rPr>
        <w:t>e</w:t>
      </w:r>
      <w:proofErr w:type="spellEnd"/>
      <w:r w:rsidRPr="00257DE3">
        <w:rPr>
          <w:rFonts w:ascii="Verdana" w:hAnsi="Verdana" w:eastAsia="Calibri" w:cs="Arial"/>
          <w:color w:val="000000" w:themeColor="text1"/>
        </w:rPr>
        <w:t xml:space="preserve"> acuerdo con el artículo 355 de la Constitución, al que remite el inciso segundo del artículo 96 de la Ley 489 de 1998, los </w:t>
      </w:r>
      <w:r w:rsidRPr="00257DE3">
        <w:rPr>
          <w:rFonts w:ascii="Verdana" w:hAnsi="Verdana" w:eastAsia="Calibri" w:cs="Arial"/>
          <w:i/>
          <w:iCs/>
          <w:color w:val="000000" w:themeColor="text1"/>
        </w:rPr>
        <w:t xml:space="preserve">convenios de </w:t>
      </w:r>
      <w:r w:rsidRPr="00257DE3">
        <w:rPr>
          <w:rFonts w:ascii="Verdana" w:hAnsi="Verdana" w:eastAsia="Calibri" w:cs="Arial"/>
          <w:i/>
          <w:iCs/>
          <w:color w:val="000000" w:themeColor="text1"/>
        </w:rPr>
        <w:t xml:space="preserve">asociación </w:t>
      </w:r>
      <w:r w:rsidRPr="00257DE3">
        <w:rPr>
          <w:rFonts w:ascii="Verdana" w:hAnsi="Verdana" w:eastAsia="Calibri" w:cs="Arial"/>
          <w:color w:val="000000" w:themeColor="text1"/>
        </w:rPr>
        <w:t>sólo pueden suscribirse con ESAL</w:t>
      </w:r>
      <w:r w:rsidRPr="00257DE3">
        <w:rPr>
          <w:rFonts w:ascii="Verdana" w:hAnsi="Verdana" w:cs="Arial"/>
          <w:color w:val="000000" w:themeColor="text1"/>
        </w:rPr>
        <w:t>. Esto es así porque si bien es cierto que el mencionado artículo 96 se refiere genéricamente a la noción “personas jurídicas particulares”, también lo es que el inciso segundo del mismo artículo establece que estos “se celebrarán de conformidad con lo dispuesto en el artículo 355 de la Constitución Política”, esto es “</w:t>
      </w:r>
      <w:r w:rsidRPr="00257DE3">
        <w:rPr>
          <w:rFonts w:ascii="Verdana" w:hAnsi="Verdana" w:cs="Arial"/>
          <w:i/>
          <w:iCs/>
          <w:color w:val="000000" w:themeColor="text1"/>
        </w:rPr>
        <w:t>con entidades privadas sin ánimo de lucro y de reconocida idoneidad</w:t>
      </w:r>
      <w:r w:rsidRPr="00257DE3">
        <w:rPr>
          <w:rFonts w:ascii="Verdana" w:hAnsi="Verdana" w:cs="Arial"/>
          <w:color w:val="000000" w:themeColor="text1"/>
        </w:rPr>
        <w:t xml:space="preserve"> con el fin de impulsar programas y actividades de interés público acordes con el Plan Nacional y los planes seccionales de Desarrollo” (Énfasis fuera de texto). Incluso el artículo 5 del Decreto 092 de 2017, que desarrolla la citada norma constitucional, se refiere expresamente a los </w:t>
      </w:r>
      <w:r w:rsidRPr="00257DE3">
        <w:rPr>
          <w:rFonts w:ascii="Verdana" w:hAnsi="Verdana" w:cs="Arial"/>
          <w:i/>
          <w:iCs/>
          <w:color w:val="000000" w:themeColor="text1"/>
        </w:rPr>
        <w:t xml:space="preserve">convenios de asociación </w:t>
      </w:r>
      <w:r w:rsidRPr="00257DE3">
        <w:rPr>
          <w:rFonts w:ascii="Verdana" w:hAnsi="Verdana" w:cs="Arial"/>
          <w:color w:val="000000" w:themeColor="text1"/>
        </w:rPr>
        <w:t>celebrados entre ESAL y entidades estatales, mas no con personas naturales o jurídicas particulares en general.</w:t>
      </w:r>
    </w:p>
    <w:p w:rsidR="00EE4B76" w:rsidP="00EE4B76" w:rsidRDefault="00EE4B76" w14:paraId="47E4284E" w14:textId="77777777">
      <w:pPr>
        <w:spacing w:before="120" w:after="120" w:line="276" w:lineRule="auto"/>
        <w:ind w:firstLine="709"/>
        <w:jc w:val="both"/>
        <w:rPr>
          <w:rFonts w:ascii="Verdana" w:hAnsi="Verdana" w:eastAsia="Calibri" w:cs="Arial"/>
          <w:color w:val="000000" w:themeColor="text1"/>
        </w:rPr>
      </w:pPr>
      <w:r w:rsidRPr="00257DE3">
        <w:rPr>
          <w:rFonts w:ascii="Verdana" w:hAnsi="Verdana" w:eastAsia="Calibri" w:cs="Arial"/>
          <w:color w:val="000000" w:themeColor="text1"/>
        </w:rPr>
        <w:t xml:space="preserve">Independientemente de que se trate de </w:t>
      </w:r>
      <w:r w:rsidRPr="00243975">
        <w:rPr>
          <w:rFonts w:ascii="Verdana" w:hAnsi="Verdana" w:cs="Arial"/>
          <w:i/>
          <w:iCs/>
          <w:color w:val="000000" w:themeColor="text1"/>
        </w:rPr>
        <w:t>contratos de interés público</w:t>
      </w:r>
      <w:r w:rsidRPr="00257DE3">
        <w:rPr>
          <w:rFonts w:ascii="Verdana" w:hAnsi="Verdana" w:cs="Arial"/>
          <w:color w:val="000000" w:themeColor="text1"/>
        </w:rPr>
        <w:t xml:space="preserve">, en los términos del artículo 355 de la Constitución Política, o de </w:t>
      </w:r>
      <w:r w:rsidRPr="00243975">
        <w:rPr>
          <w:rFonts w:ascii="Verdana" w:hAnsi="Verdana" w:cs="Arial"/>
          <w:i/>
          <w:iCs/>
          <w:color w:val="000000" w:themeColor="text1"/>
        </w:rPr>
        <w:t>convenios de asociación</w:t>
      </w:r>
      <w:r w:rsidRPr="00257DE3">
        <w:rPr>
          <w:rFonts w:ascii="Verdana" w:hAnsi="Verdana" w:cs="Arial"/>
          <w:color w:val="000000" w:themeColor="text1"/>
        </w:rPr>
        <w:t xml:space="preserve"> del artículo 96 de la Ley 489 de 1998, en ambos negocios jurídicos aplica el régimen de inhabilidades e incompatibilidades de las entidades sometidas al Estatuto General de Contratación Pública. Al respecto, el artículo 6 del Decreto 092 de 2017 dispone que “Las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el presente decreto”. Este reglamento autónomo también remite a los principios de la contratación estatal y a las normas presupuestales –art. 7–, así como de las normas generales de la contratación pública excepto en lo reglamentado en dicho decreto –art. 8–.</w:t>
      </w:r>
      <w:r w:rsidRPr="00257DE3">
        <w:rPr>
          <w:rFonts w:ascii="Verdana" w:hAnsi="Verdana" w:eastAsia="Calibri" w:cs="Arial"/>
          <w:color w:val="000000" w:themeColor="text1"/>
        </w:rPr>
        <w:t xml:space="preserve"> </w:t>
      </w:r>
    </w:p>
    <w:p w:rsidRPr="00F417E8" w:rsidR="00EE4B76" w:rsidP="00EE4B76" w:rsidRDefault="00EE4B76" w14:paraId="16EB24D6" w14:textId="77777777">
      <w:pPr>
        <w:tabs>
          <w:tab w:val="left" w:pos="709"/>
        </w:tabs>
        <w:spacing w:after="120" w:line="276" w:lineRule="auto"/>
        <w:jc w:val="both"/>
        <w:rPr>
          <w:rFonts w:ascii="Verdana" w:hAnsi="Verdana" w:eastAsia="Calibri" w:cs="Arial"/>
          <w:color w:val="000000" w:themeColor="text1"/>
        </w:rPr>
      </w:pPr>
      <w:r>
        <w:rPr>
          <w:rFonts w:ascii="Verdana" w:hAnsi="Verdana" w:eastAsia="Calibri" w:cs="Arial"/>
          <w:color w:val="000000" w:themeColor="text1"/>
        </w:rPr>
        <w:tab/>
      </w:r>
      <w:r w:rsidRPr="00930BB6">
        <w:rPr>
          <w:rFonts w:ascii="Verdana" w:hAnsi="Verdana" w:eastAsia="Calibri" w:cs="Arial"/>
          <w:color w:val="000000" w:themeColor="text1"/>
        </w:rPr>
        <w:t>En todo caso, el análisis requerido para viabilidad del convenio mencionado en la consulta debe realizarse por quienes tengan interés en ello, de acuerdo con lo explicado la aclaración preliminar del presente oficio</w:t>
      </w:r>
      <w:r w:rsidRPr="00F417E8">
        <w:rPr>
          <w:rFonts w:ascii="Verdana" w:hAnsi="Verdana" w:eastAsia="Calibri" w:cs="Arial"/>
          <w:color w:val="000000" w:themeColor="text1"/>
        </w:rPr>
        <w:t>. De esta manera, las afirmaciones aquí realizadas</w:t>
      </w:r>
      <w:r>
        <w:rPr>
          <w:rFonts w:ascii="Verdana" w:hAnsi="Verdana" w:eastAsia="Calibri" w:cs="Arial"/>
          <w:color w:val="000000" w:themeColor="text1"/>
        </w:rPr>
        <w:t xml:space="preserve"> </w:t>
      </w:r>
      <w:r w:rsidRPr="00F417E8">
        <w:rPr>
          <w:rFonts w:ascii="Verdana" w:hAnsi="Verdana" w:eastAsia="Calibri" w:cs="Arial"/>
          <w:color w:val="000000" w:themeColor="text1"/>
        </w:rPr>
        <w:t>no</w:t>
      </w:r>
      <w:r>
        <w:rPr>
          <w:rFonts w:ascii="Verdana" w:hAnsi="Verdana" w:eastAsia="Calibri" w:cs="Arial"/>
          <w:color w:val="000000" w:themeColor="text1"/>
        </w:rPr>
        <w:t xml:space="preserve"> </w:t>
      </w:r>
      <w:r w:rsidRPr="00F417E8">
        <w:rPr>
          <w:rFonts w:ascii="Verdana" w:hAnsi="Verdana" w:eastAsia="Calibri" w:cs="Arial"/>
          <w:color w:val="000000" w:themeColor="text1"/>
        </w:rPr>
        <w:t>pueden ser interpretadas como juicios de valor sobre circunstancias</w:t>
      </w:r>
      <w:r>
        <w:rPr>
          <w:rFonts w:ascii="Verdana" w:hAnsi="Verdana" w:eastAsia="Calibri" w:cs="Arial"/>
          <w:color w:val="000000" w:themeColor="text1"/>
        </w:rPr>
        <w:t xml:space="preserve"> </w:t>
      </w:r>
      <w:r w:rsidRPr="00F417E8">
        <w:rPr>
          <w:rFonts w:ascii="Verdana" w:hAnsi="Verdana" w:eastAsia="Calibri" w:cs="Arial"/>
          <w:color w:val="000000" w:themeColor="text1"/>
        </w:rPr>
        <w:t>concretas</w:t>
      </w:r>
      <w:r>
        <w:rPr>
          <w:rFonts w:ascii="Verdana" w:hAnsi="Verdana" w:eastAsia="Calibri" w:cs="Arial"/>
          <w:color w:val="000000" w:themeColor="text1"/>
        </w:rPr>
        <w:t xml:space="preserve"> </w:t>
      </w:r>
      <w:r w:rsidRPr="00F417E8">
        <w:rPr>
          <w:rFonts w:ascii="Verdana" w:hAnsi="Verdana" w:eastAsia="Calibri" w:cs="Arial"/>
          <w:color w:val="000000" w:themeColor="text1"/>
        </w:rPr>
        <w:t>relacionadas con los hechos que motivan la consulta. Por lo anterior, previo concepto de sus asesores, la solución de situaciones particulares corresponde a los interesados</w:t>
      </w:r>
      <w:r>
        <w:rPr>
          <w:rFonts w:ascii="Verdana" w:hAnsi="Verdana" w:eastAsia="Calibri" w:cs="Arial"/>
          <w:color w:val="000000" w:themeColor="text1"/>
        </w:rPr>
        <w:t xml:space="preserve"> </w:t>
      </w:r>
      <w:r w:rsidRPr="00F417E8">
        <w:rPr>
          <w:rFonts w:ascii="Verdana" w:hAnsi="Verdana" w:eastAsia="Calibri" w:cs="Arial"/>
          <w:color w:val="000000" w:themeColor="text1"/>
        </w:rPr>
        <w:t>adoptar la decisión correspondiente y, en caso de conflicto, a las autoridades judiciales, fiscales y disciplinarias.</w:t>
      </w:r>
    </w:p>
    <w:p w:rsidR="00EE4B76" w:rsidP="00EE4B76" w:rsidRDefault="00EE4B76" w14:paraId="55F0E548" w14:textId="77777777">
      <w:pPr>
        <w:tabs>
          <w:tab w:val="left" w:pos="709"/>
        </w:tabs>
        <w:spacing w:after="0" w:line="276" w:lineRule="auto"/>
        <w:jc w:val="both"/>
        <w:rPr>
          <w:rFonts w:ascii="Verdana" w:hAnsi="Verdana" w:eastAsia="Calibri" w:cs="Arial"/>
          <w:color w:val="000000" w:themeColor="text1"/>
        </w:rPr>
      </w:pPr>
      <w:r>
        <w:rPr>
          <w:rFonts w:ascii="Verdana" w:hAnsi="Verdana" w:eastAsia="Calibri" w:cs="Arial"/>
          <w:color w:val="000000" w:themeColor="text1"/>
        </w:rPr>
        <w:tab/>
      </w:r>
      <w:r>
        <w:rPr>
          <w:rFonts w:ascii="Verdana" w:hAnsi="Verdana" w:eastAsia="Calibri" w:cs="Arial"/>
          <w:color w:val="000000" w:themeColor="text1"/>
        </w:rPr>
        <w:t>L</w:t>
      </w:r>
      <w:r w:rsidRPr="00F417E8">
        <w:rPr>
          <w:rFonts w:ascii="Verdana" w:hAnsi="Verdana" w:eastAsia="Calibri" w:cs="Arial"/>
          <w:color w:val="000000" w:themeColor="text1"/>
        </w:rPr>
        <w:t>a entidad contratante definirá en cada caso concreto lo</w:t>
      </w:r>
      <w:r>
        <w:rPr>
          <w:rFonts w:ascii="Verdana" w:hAnsi="Verdana" w:eastAsia="Calibri" w:cs="Arial"/>
          <w:color w:val="000000" w:themeColor="text1"/>
        </w:rPr>
        <w:t xml:space="preserve"> </w:t>
      </w:r>
      <w:r w:rsidRPr="00F417E8">
        <w:rPr>
          <w:rFonts w:ascii="Verdana" w:hAnsi="Verdana" w:eastAsia="Calibri" w:cs="Arial"/>
          <w:color w:val="000000" w:themeColor="text1"/>
        </w:rPr>
        <w:t>relacionado con</w:t>
      </w:r>
      <w:r>
        <w:rPr>
          <w:rFonts w:ascii="Verdana" w:hAnsi="Verdana" w:eastAsia="Calibri" w:cs="Arial"/>
          <w:color w:val="000000" w:themeColor="text1"/>
        </w:rPr>
        <w:t xml:space="preserve"> la “[…] </w:t>
      </w:r>
      <w:r w:rsidRPr="00243975">
        <w:rPr>
          <w:rFonts w:ascii="Verdana" w:hAnsi="Verdana" w:eastAsia="Calibri" w:cs="Arial"/>
          <w:color w:val="000000" w:themeColor="text1"/>
        </w:rPr>
        <w:t xml:space="preserve">tipología o forma de asociación, cooperación u acuerdo de voluntades prevista en la Ley, que permita a las  entidades públicas y privadas, coordinar acciones intersectoriales que no generen erogación de recursos, pero comprometa a las partes, diferentes al ‘memorando de Entendimiento’ o ‘cartas </w:t>
      </w:r>
      <w:r w:rsidRPr="00243975">
        <w:rPr>
          <w:rFonts w:ascii="Verdana" w:hAnsi="Verdana" w:eastAsia="Calibri" w:cs="Arial"/>
          <w:color w:val="000000" w:themeColor="text1"/>
        </w:rPr>
        <w:t>de intención’”</w:t>
      </w:r>
      <w:r w:rsidRPr="00F417E8">
        <w:rPr>
          <w:rFonts w:ascii="Verdana" w:hAnsi="Verdana" w:eastAsia="Calibri" w:cs="Arial"/>
          <w:color w:val="000000" w:themeColor="text1"/>
        </w:rPr>
        <w:t xml:space="preserve">. Al tratarse de un análisis que debe realizarse en el procedimiento contractual específico, la Agencia no puede definir un criterio universal y absoluto, sino que brinda elementos de carácter general para que los partícipes del sistema de compras y contratación pública adopten la decisión que corresponda, lo cual es acorde con el principio de juridicidad. De esta manera, cada entidad definirá la forma de adelantar su gestión contractual, sin que sea atribución de Colombia Compra Eficiente </w:t>
      </w:r>
      <w:r>
        <w:rPr>
          <w:rFonts w:ascii="Verdana" w:hAnsi="Verdana" w:eastAsia="Calibri" w:cs="Arial"/>
          <w:color w:val="000000" w:themeColor="text1"/>
        </w:rPr>
        <w:t>coadyuvar en la estructuración de los procesos correspondientes</w:t>
      </w:r>
      <w:r w:rsidRPr="00F417E8">
        <w:rPr>
          <w:rFonts w:ascii="Verdana" w:hAnsi="Verdana" w:eastAsia="Calibri" w:cs="Arial"/>
          <w:color w:val="000000" w:themeColor="text1"/>
        </w:rPr>
        <w:t>.</w:t>
      </w:r>
    </w:p>
    <w:p w:rsidRPr="00182C89" w:rsidR="00EE4B76" w:rsidP="00EE4B76" w:rsidRDefault="00EE4B76" w14:paraId="1598D632" w14:textId="77777777">
      <w:pPr>
        <w:tabs>
          <w:tab w:val="left" w:pos="709"/>
        </w:tabs>
        <w:spacing w:after="0" w:line="276" w:lineRule="auto"/>
        <w:jc w:val="both"/>
        <w:rPr>
          <w:rFonts w:ascii="Verdana" w:hAnsi="Verdana" w:eastAsia="Calibri" w:cs="Arial"/>
          <w:color w:val="000000" w:themeColor="text1"/>
        </w:rPr>
      </w:pPr>
    </w:p>
    <w:p w:rsidRPr="00593A5F" w:rsidR="00EE4B76" w:rsidP="00EE4B76" w:rsidRDefault="00EE4B76" w14:paraId="235E0A3E"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593A5F">
        <w:rPr>
          <w:rFonts w:ascii="Verdana" w:hAnsi="Verdana" w:eastAsia="Century Gothic" w:cs="Century Gothic"/>
          <w:b/>
          <w:bCs/>
        </w:rPr>
        <w:t>Referencias normativas:</w:t>
      </w:r>
    </w:p>
    <w:p w:rsidRPr="00593A5F" w:rsidR="00EE4B76" w:rsidP="00EE4B76" w:rsidRDefault="00EE4B76" w14:paraId="69BBAA56" w14:textId="77777777">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8647"/>
      </w:tblGrid>
      <w:tr w:rsidRPr="002407CE" w:rsidR="00EE4B76" w:rsidTr="0011033F" w14:paraId="029607A0" w14:textId="77777777">
        <w:trPr>
          <w:trHeight w:val="870"/>
          <w:jc w:val="center"/>
        </w:trPr>
        <w:tc>
          <w:tcPr>
            <w:tcW w:w="8647" w:type="dxa"/>
          </w:tcPr>
          <w:p w:rsidR="00EE4B76" w:rsidP="00EE4B76" w:rsidRDefault="00EE4B76" w14:paraId="5F829FD3" w14:textId="77777777">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 xml:space="preserve">Constitución Política de 1991, artículo </w:t>
            </w:r>
            <w:proofErr w:type="gramStart"/>
            <w:r>
              <w:rPr>
                <w:rFonts w:ascii="Verdana" w:hAnsi="Verdana" w:cs="Arial"/>
              </w:rPr>
              <w:t>355..</w:t>
            </w:r>
            <w:proofErr w:type="gramEnd"/>
          </w:p>
          <w:p w:rsidRPr="006D3F06" w:rsidR="00EE4B76" w:rsidP="00EE4B76" w:rsidRDefault="00EE4B76" w14:paraId="313A41C9" w14:textId="77777777">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489 de 1998, artículo 96.</w:t>
            </w:r>
          </w:p>
          <w:p w:rsidRPr="00C02F8B" w:rsidR="00EE4B76" w:rsidP="00EE4B76" w:rsidRDefault="00EE4B76" w14:paraId="22FA9796" w14:textId="77777777">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 xml:space="preserve">Decreto 092 de 2017, artículos 3 y 5. </w:t>
            </w:r>
          </w:p>
        </w:tc>
      </w:tr>
    </w:tbl>
    <w:p w:rsidRPr="002407CE" w:rsidR="00EE4B76" w:rsidP="00EE4B76" w:rsidRDefault="00EE4B76" w14:paraId="50AF2618" w14:textId="77777777">
      <w:pPr>
        <w:widowControl w:val="0"/>
        <w:autoSpaceDE w:val="0"/>
        <w:autoSpaceDN w:val="0"/>
        <w:spacing w:after="0" w:line="276" w:lineRule="auto"/>
        <w:jc w:val="both"/>
        <w:rPr>
          <w:rFonts w:ascii="Verdana" w:hAnsi="Verdana" w:cs="Arial"/>
        </w:rPr>
      </w:pPr>
    </w:p>
    <w:p w:rsidRPr="00593A5F" w:rsidR="00EE4B76" w:rsidP="00EE4B76" w:rsidRDefault="00EE4B76" w14:paraId="6A553D90"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Pr>
          <w:rFonts w:ascii="Verdana" w:hAnsi="Verdana" w:eastAsia="Century Gothic" w:cs="Century Gothic"/>
          <w:b/>
          <w:bCs/>
        </w:rPr>
        <w:t>Doctrina de la Agencia Nacional de Contratación Pública</w:t>
      </w:r>
      <w:r w:rsidRPr="00593A5F">
        <w:rPr>
          <w:rFonts w:ascii="Verdana" w:hAnsi="Verdana" w:eastAsia="Century Gothic" w:cs="Century Gothic"/>
          <w:b/>
          <w:bCs/>
        </w:rPr>
        <w:t>:</w:t>
      </w:r>
    </w:p>
    <w:p w:rsidRPr="00593A5F" w:rsidR="00EE4B76" w:rsidP="00EE4B76" w:rsidRDefault="00EE4B76" w14:paraId="63279BCC" w14:textId="77777777">
      <w:pPr>
        <w:widowControl w:val="0"/>
        <w:autoSpaceDE w:val="0"/>
        <w:autoSpaceDN w:val="0"/>
        <w:spacing w:after="0" w:line="276" w:lineRule="auto"/>
        <w:jc w:val="both"/>
        <w:rPr>
          <w:rFonts w:ascii="Verdana" w:hAnsi="Verdana" w:cs="Arial"/>
        </w:rPr>
      </w:pPr>
    </w:p>
    <w:p w:rsidRPr="00ED0098" w:rsidR="00EE4B76" w:rsidP="00EE4B76" w:rsidRDefault="00EE4B76" w14:paraId="0190BCD3" w14:textId="77777777">
      <w:pPr>
        <w:widowControl w:val="0"/>
        <w:autoSpaceDE w:val="0"/>
        <w:autoSpaceDN w:val="0"/>
        <w:spacing w:after="0" w:line="276" w:lineRule="auto"/>
        <w:jc w:val="both"/>
        <w:rPr>
          <w:rStyle w:val="normaltextrun"/>
          <w:rFonts w:ascii="Verdana" w:hAnsi="Verdana" w:cs="Arial"/>
          <w:shd w:val="clear" w:color="auto" w:fill="FFFFFF"/>
        </w:rPr>
      </w:pPr>
      <w:r w:rsidRPr="008D0AB0">
        <w:rPr>
          <w:rStyle w:val="normaltextrun"/>
          <w:rFonts w:ascii="Verdana" w:hAnsi="Verdana" w:cs="Arial"/>
          <w:shd w:val="clear" w:color="auto" w:fill="FFFFFF"/>
        </w:rPr>
        <w:t xml:space="preserve">Esta Subdirección se ha pronunciado sobre </w:t>
      </w:r>
      <w:r>
        <w:rPr>
          <w:rStyle w:val="normaltextrun"/>
          <w:rFonts w:ascii="Verdana" w:hAnsi="Verdana" w:cs="Arial"/>
          <w:shd w:val="clear" w:color="auto" w:fill="FFFFFF"/>
        </w:rPr>
        <w:t>el régimen contractual de las ESAL</w:t>
      </w:r>
      <w:r w:rsidRPr="008D0AB0">
        <w:rPr>
          <w:rStyle w:val="normaltextrun"/>
          <w:rFonts w:ascii="Verdana" w:hAnsi="Verdana" w:cs="Arial"/>
          <w:shd w:val="clear" w:color="auto" w:fill="FFFFFF"/>
        </w:rPr>
        <w:t xml:space="preserve"> </w:t>
      </w:r>
      <w:r w:rsidRPr="00ED0098">
        <w:rPr>
          <w:rStyle w:val="normaltextrun"/>
          <w:rFonts w:ascii="Verdana" w:hAnsi="Verdana" w:cs="Arial"/>
          <w:shd w:val="clear" w:color="auto" w:fill="FFFFFF"/>
        </w:rPr>
        <w:t>con fundamento en el Decreto 092 de 2017 en los Conceptos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C-364 de 26 de julio de 2021, C-379 de 20 de julio de 2021, C-537 del 27 de septiembre de 2021,  C-021 del 22 de febrero de 2022, C-236 del 27 de abril de 2022, C-273 del 6 de mayo de 2022, C-274 del 6 de mayo de 2022, C-291 del 18 de mayo de 2022, C-331 del 24 de mayo de 2022, C-477 del 26 de julio de 2022, C-550 del 31 de agosto de 2022, C-560 del 7 de septiembre de 2022, C-624 del 28 de septiembre de 2022, C-771 del 30 de diciembre de 2022, C-853 del 9 de diciembre de 2022, C-351 del 6 de octubre de 2023, C-054 del 24 de abril de 2024</w:t>
      </w:r>
      <w:r>
        <w:rPr>
          <w:rStyle w:val="normaltextrun"/>
          <w:rFonts w:ascii="Verdana" w:hAnsi="Verdana" w:cs="Arial"/>
          <w:shd w:val="clear" w:color="auto" w:fill="FFFFFF"/>
        </w:rPr>
        <w:t>, C-</w:t>
      </w:r>
      <w:r w:rsidRPr="00ED0098">
        <w:rPr>
          <w:rStyle w:val="normaltextrun"/>
          <w:rFonts w:ascii="Verdana" w:hAnsi="Verdana" w:cs="Arial"/>
          <w:shd w:val="clear" w:color="auto" w:fill="FFFFFF"/>
        </w:rPr>
        <w:t xml:space="preserve">064 del 24 de abril de </w:t>
      </w:r>
      <w:r w:rsidRPr="00ED0098">
        <w:rPr>
          <w:rStyle w:val="normaltextrun"/>
          <w:rFonts w:ascii="Verdana" w:hAnsi="Verdana" w:cs="Arial"/>
          <w:shd w:val="clear" w:color="auto" w:fill="FFFFFF"/>
        </w:rPr>
        <w:t>2024</w:t>
      </w:r>
      <w:r>
        <w:rPr>
          <w:rStyle w:val="normaltextrun"/>
          <w:rFonts w:ascii="Verdana" w:hAnsi="Verdana" w:cs="Arial"/>
          <w:shd w:val="clear" w:color="auto" w:fill="FFFFFF"/>
        </w:rPr>
        <w:t xml:space="preserve"> y C-080 del 7 de mayo de 2024</w:t>
      </w:r>
      <w:r w:rsidRPr="008D0AB0">
        <w:rPr>
          <w:rStyle w:val="normaltextrun"/>
          <w:rFonts w:ascii="Verdana" w:hAnsi="Verdana" w:cs="Arial"/>
          <w:shd w:val="clear" w:color="auto" w:fill="FFFFFF"/>
        </w:rPr>
        <w:t xml:space="preserve">. Estos y otros se encuentran disponibles para consulta en el Sistema de relatoría de la Agencia, al cual puede accederse a través del siguiente enlace: </w:t>
      </w:r>
      <w:hyperlink w:history="1" r:id="rId12">
        <w:r w:rsidRPr="00186F77">
          <w:rPr>
            <w:rStyle w:val="Hipervnculo"/>
            <w:rFonts w:ascii="Verdana" w:hAnsi="Verdana" w:cs="Arial"/>
            <w:shd w:val="clear" w:color="auto" w:fill="FFFFFF"/>
          </w:rPr>
          <w:t>https://relatoria.colombiacompra.gov.co/busqueda/conceptos</w:t>
        </w:r>
      </w:hyperlink>
      <w:r>
        <w:rPr>
          <w:rStyle w:val="normaltextrun"/>
          <w:rFonts w:ascii="Verdana" w:hAnsi="Verdana" w:cs="Arial"/>
          <w:shd w:val="clear" w:color="auto" w:fill="FFFFFF"/>
        </w:rPr>
        <w:t>.</w:t>
      </w:r>
      <w:r w:rsidRPr="008D0AB0">
        <w:rPr>
          <w:rStyle w:val="normaltextrun"/>
          <w:rFonts w:ascii="Verdana" w:hAnsi="Verdana" w:cs="Arial"/>
          <w:shd w:val="clear" w:color="auto" w:fill="FFFFFF"/>
        </w:rPr>
        <w:t xml:space="preserve"> </w:t>
      </w:r>
      <w:r>
        <w:rPr>
          <w:rStyle w:val="normaltextrun"/>
          <w:rFonts w:ascii="Verdana" w:hAnsi="Verdana" w:cs="Arial"/>
          <w:color w:val="FF0000"/>
          <w:shd w:val="clear" w:color="auto" w:fill="FFFFFF"/>
          <w:lang w:val="es-ES"/>
        </w:rPr>
        <w:t xml:space="preserve"> </w:t>
      </w:r>
    </w:p>
    <w:p w:rsidR="00EE4B76" w:rsidP="00EE4B76" w:rsidRDefault="00EE4B76" w14:paraId="28A8AAB8" w14:textId="77777777">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rsidRPr="00A1554D" w:rsidR="00EE4B76" w:rsidP="00EE4B76" w:rsidRDefault="00EE4B76" w14:paraId="69AA13EF" w14:textId="77777777">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w:history="1" r:id="rId13">
        <w:r w:rsidRPr="003705EA">
          <w:rPr>
            <w:rStyle w:val="Hipervnculo"/>
            <w:rFonts w:ascii="Verdana" w:hAnsi="Verdana" w:cs="Arial"/>
            <w:shd w:val="clear" w:color="auto" w:fill="FFFFFF"/>
            <w:lang w:val="es-ES"/>
          </w:rPr>
          <w:t>https://www.colombiacompra.gov.co/sala-de-prensa/boletin-digital</w:t>
        </w:r>
      </w:hyperlink>
      <w:r w:rsidRPr="00EA761C">
        <w:rPr>
          <w:rStyle w:val="Hipervnculo"/>
          <w:rFonts w:ascii="Verdana" w:hAnsi="Verdana" w:cs="Arial"/>
          <w:shd w:val="clear" w:color="auto" w:fill="FFFFFF"/>
          <w:lang w:val="es-ES"/>
        </w:rPr>
        <w:t>.</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rsidRPr="00593A5F" w:rsidR="00EE4B76" w:rsidP="00EE4B76" w:rsidRDefault="00EE4B76" w14:paraId="3CCB9AEB" w14:textId="77777777">
      <w:pPr>
        <w:widowControl w:val="0"/>
        <w:autoSpaceDE w:val="0"/>
        <w:autoSpaceDN w:val="0"/>
        <w:spacing w:after="0" w:line="276" w:lineRule="auto"/>
        <w:jc w:val="both"/>
        <w:rPr>
          <w:rFonts w:ascii="Verdana" w:hAnsi="Verdana" w:cs="Arial"/>
        </w:rPr>
      </w:pPr>
    </w:p>
    <w:p w:rsidRPr="00593A5F" w:rsidR="00EE4B76" w:rsidP="00EE4B76" w:rsidRDefault="00EE4B76" w14:paraId="6A02F87E" w14:textId="77777777">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rsidRPr="00593A5F" w:rsidR="00EE4B76" w:rsidP="00EE4B76" w:rsidRDefault="00EE4B76" w14:paraId="0F03F2C9" w14:textId="77777777">
      <w:pPr>
        <w:widowControl w:val="0"/>
        <w:autoSpaceDE w:val="0"/>
        <w:autoSpaceDN w:val="0"/>
        <w:spacing w:after="0" w:line="276" w:lineRule="auto"/>
        <w:jc w:val="both"/>
        <w:rPr>
          <w:rFonts w:ascii="Verdana" w:hAnsi="Verdana" w:cs="Arial"/>
        </w:rPr>
      </w:pPr>
    </w:p>
    <w:p w:rsidRPr="00593A5F" w:rsidR="00EE4B76" w:rsidP="00EE4B76" w:rsidRDefault="00EE4B76" w14:paraId="2585C9E9" w14:textId="77777777">
      <w:pPr>
        <w:spacing w:after="0" w:line="240" w:lineRule="auto"/>
        <w:rPr>
          <w:rFonts w:ascii="Verdana" w:hAnsi="Verdana" w:cs="Arial"/>
          <w:lang w:eastAsia="es-CO"/>
        </w:rPr>
      </w:pPr>
      <w:r w:rsidRPr="00593A5F">
        <w:rPr>
          <w:rFonts w:ascii="Verdana" w:hAnsi="Verdana" w:eastAsia="Times New Roman" w:cs="Arial"/>
          <w:lang w:eastAsia="es-CO"/>
        </w:rPr>
        <w:t>Atentamente,</w:t>
      </w:r>
      <w:r w:rsidRPr="00593A5F">
        <w:rPr>
          <w:rFonts w:ascii="Verdana" w:hAnsi="Verdana" w:cs="Arial"/>
          <w:lang w:eastAsia="es-CO"/>
        </w:rPr>
        <w:t xml:space="preserve"> </w:t>
      </w:r>
    </w:p>
    <w:p w:rsidRPr="00593A5F" w:rsidR="00EE4B76" w:rsidP="00EE4B76" w:rsidRDefault="00AE1B96" w14:paraId="189FAEA9" w14:textId="0A19A941">
      <w:pPr>
        <w:spacing w:line="276" w:lineRule="auto"/>
        <w:jc w:val="center"/>
        <w:rPr>
          <w:rFonts w:ascii="Verdana" w:hAnsi="Verdana" w:cs="Arial"/>
          <w:color w:val="000000"/>
          <w:lang w:val="es-ES_tradnl" w:eastAsia="es-CO"/>
        </w:rPr>
      </w:pPr>
      <w:r>
        <w:rPr>
          <w:noProof/>
        </w:rPr>
        <w:drawing>
          <wp:inline distT="0" distB="0" distL="0" distR="0" wp14:anchorId="157ED605" wp14:editId="3DE53927">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3"/>
        <w:gridCol w:w="5628"/>
      </w:tblGrid>
      <w:tr w:rsidRPr="00593A5F" w:rsidR="00EE4B76" w:rsidTr="0011033F" w14:paraId="4D6B82D5" w14:textId="77777777">
        <w:trPr>
          <w:trHeight w:val="315"/>
        </w:trPr>
        <w:tc>
          <w:tcPr>
            <w:tcW w:w="893" w:type="dxa"/>
            <w:vAlign w:val="center"/>
            <w:hideMark/>
          </w:tcPr>
          <w:p w:rsidRPr="003751C7" w:rsidR="00EE4B76" w:rsidP="0011033F" w:rsidRDefault="00EE4B76" w14:paraId="40FC5A05"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color="7F7F7F" w:themeColor="text1" w:themeTint="80" w:sz="4" w:space="0"/>
              <w:right w:val="nil"/>
            </w:tcBorders>
            <w:vAlign w:val="center"/>
            <w:hideMark/>
          </w:tcPr>
          <w:p w:rsidRPr="00254A7A" w:rsidR="00EE4B76" w:rsidP="0011033F" w:rsidRDefault="00EE4B76" w14:paraId="2C163661" w14:textId="77777777">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rsidRPr="00254A7A" w:rsidR="00EE4B76" w:rsidP="0011033F" w:rsidRDefault="00EE4B76" w14:paraId="6B30E26E" w14:textId="77777777">
            <w:pPr>
              <w:contextualSpacing/>
              <w:rPr>
                <w:rFonts w:ascii="Verdana" w:hAnsi="Verdana" w:eastAsia="Arial" w:cs="Arial"/>
                <w:sz w:val="16"/>
                <w:szCs w:val="16"/>
              </w:rPr>
            </w:pPr>
            <w:r w:rsidRPr="00254A7A">
              <w:rPr>
                <w:rStyle w:val="normaltextrun"/>
                <w:rFonts w:ascii="Verdana" w:hAnsi="Verdana"/>
                <w:sz w:val="16"/>
                <w:szCs w:val="16"/>
              </w:rPr>
              <w:t>Contratista de la Subdirección de Gestión Contractual</w:t>
            </w:r>
          </w:p>
        </w:tc>
      </w:tr>
      <w:tr w:rsidRPr="00593A5F" w:rsidR="00EE4B76" w:rsidTr="0011033F" w14:paraId="3E080FFD" w14:textId="77777777">
        <w:trPr>
          <w:trHeight w:val="330"/>
        </w:trPr>
        <w:tc>
          <w:tcPr>
            <w:tcW w:w="893" w:type="dxa"/>
            <w:vAlign w:val="center"/>
            <w:hideMark/>
          </w:tcPr>
          <w:p w:rsidRPr="003751C7" w:rsidR="00EE4B76" w:rsidP="0011033F" w:rsidRDefault="00EE4B76" w14:paraId="3086FC5F"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color="7F7F7F" w:themeColor="text1" w:themeTint="80" w:sz="4" w:space="0"/>
              <w:left w:val="nil"/>
              <w:bottom w:val="dotted" w:color="7F7F7F" w:themeColor="text1" w:themeTint="80" w:sz="4" w:space="0"/>
              <w:right w:val="nil"/>
            </w:tcBorders>
            <w:vAlign w:val="center"/>
            <w:hideMark/>
          </w:tcPr>
          <w:p w:rsidRPr="00254A7A" w:rsidR="00EE4B76" w:rsidP="0011033F" w:rsidRDefault="00EE4B76" w14:paraId="458C9DEE" w14:textId="77777777">
            <w:pPr>
              <w:pStyle w:val="paragraph"/>
              <w:spacing w:after="0"/>
              <w:contextualSpacing/>
              <w:textAlignment w:val="baseline"/>
              <w:rPr>
                <w:rStyle w:val="normaltextrun"/>
                <w:rFonts w:ascii="Verdana" w:hAnsi="Verdana" w:cs="Arial"/>
                <w:sz w:val="16"/>
                <w:szCs w:val="16"/>
                <w:lang w:val="es-ES"/>
              </w:rPr>
            </w:pPr>
            <w:r w:rsidRPr="00254A7A">
              <w:rPr>
                <w:rStyle w:val="normaltextrun"/>
                <w:rFonts w:ascii="Verdana" w:hAnsi="Verdana" w:cs="Arial"/>
                <w:sz w:val="16"/>
                <w:szCs w:val="16"/>
                <w:lang w:val="es-ES"/>
              </w:rPr>
              <w:t>Alejandro Sarmiento Cantillo</w:t>
            </w:r>
          </w:p>
          <w:p w:rsidRPr="00254A7A" w:rsidR="00EE4B76" w:rsidP="0011033F" w:rsidRDefault="00EE4B76" w14:paraId="3E938FFF" w14:textId="77777777">
            <w:pPr>
              <w:pStyle w:val="paragraph"/>
              <w:spacing w:before="0" w:beforeAutospacing="0" w:after="0" w:afterAutospacing="0"/>
              <w:contextualSpacing/>
              <w:textAlignment w:val="baseline"/>
              <w:rPr>
                <w:rFonts w:ascii="Verdana" w:hAnsi="Verdana" w:cs="Segoe UI"/>
                <w:sz w:val="16"/>
                <w:szCs w:val="16"/>
              </w:rPr>
            </w:pPr>
            <w:r w:rsidRPr="00254A7A">
              <w:rPr>
                <w:rStyle w:val="normaltextrun"/>
                <w:rFonts w:ascii="Verdana" w:hAnsi="Verdana" w:cs="Arial"/>
                <w:sz w:val="16"/>
                <w:szCs w:val="16"/>
                <w:lang w:val="es-ES"/>
              </w:rPr>
              <w:t>Gestor T1 ‒ 15 de la Subdirección de Gestión Contractual</w:t>
            </w:r>
            <w:r w:rsidRPr="00254A7A">
              <w:rPr>
                <w:rStyle w:val="eop"/>
                <w:rFonts w:ascii="Verdana" w:hAnsi="Verdana" w:cs="Arial"/>
                <w:sz w:val="16"/>
                <w:szCs w:val="16"/>
              </w:rPr>
              <w:t> </w:t>
            </w:r>
          </w:p>
        </w:tc>
      </w:tr>
      <w:tr w:rsidRPr="00593A5F" w:rsidR="00EE4B76" w:rsidTr="0011033F" w14:paraId="6D71B9EB" w14:textId="77777777">
        <w:trPr>
          <w:trHeight w:val="300"/>
        </w:trPr>
        <w:tc>
          <w:tcPr>
            <w:tcW w:w="893" w:type="dxa"/>
            <w:vAlign w:val="center"/>
          </w:tcPr>
          <w:p w:rsidRPr="003751C7" w:rsidR="00EE4B76" w:rsidP="0011033F" w:rsidRDefault="00EE4B76" w14:paraId="565A3B65"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color="7F7F7F" w:themeColor="text1" w:themeTint="80" w:sz="4" w:space="0"/>
              <w:left w:val="nil"/>
              <w:bottom w:val="dotted" w:color="7F7F7F" w:themeColor="text1" w:themeTint="80" w:sz="4" w:space="0"/>
              <w:right w:val="nil"/>
            </w:tcBorders>
            <w:vAlign w:val="center"/>
          </w:tcPr>
          <w:p w:rsidRPr="003751C7" w:rsidR="00EE4B76" w:rsidP="0011033F" w:rsidRDefault="00EE4B76" w14:paraId="5EA56D67" w14:textId="77777777">
            <w:pPr>
              <w:contextualSpacing/>
              <w:rPr>
                <w:rFonts w:ascii="Verdana" w:hAnsi="Verdana" w:eastAsia="Calibri" w:cs="Arial"/>
                <w:sz w:val="16"/>
                <w:szCs w:val="16"/>
                <w:lang w:val="pt-BR" w:eastAsia="es-ES"/>
              </w:rPr>
            </w:pPr>
            <w:r w:rsidRPr="003751C7">
              <w:rPr>
                <w:rFonts w:ascii="Verdana" w:hAnsi="Verdana" w:eastAsia="Calibri" w:cs="Arial"/>
                <w:sz w:val="16"/>
                <w:szCs w:val="16"/>
                <w:lang w:val="pt-BR" w:eastAsia="es-ES"/>
              </w:rPr>
              <w:t>Carolina Quintero Gacharná</w:t>
            </w:r>
          </w:p>
          <w:p w:rsidRPr="003751C7" w:rsidR="00EE4B76" w:rsidP="0011033F" w:rsidRDefault="00EE4B76" w14:paraId="0B62EED9" w14:textId="77777777">
            <w:pPr>
              <w:contextualSpacing/>
              <w:rPr>
                <w:rFonts w:ascii="Verdana" w:hAnsi="Verdana" w:eastAsia="Calibri" w:cs="Arial"/>
                <w:sz w:val="16"/>
                <w:szCs w:val="16"/>
                <w:lang w:val="pt-BR" w:eastAsia="es-ES"/>
              </w:rPr>
            </w:pPr>
            <w:r w:rsidRPr="003751C7">
              <w:rPr>
                <w:rFonts w:ascii="Verdana" w:hAnsi="Verdana" w:eastAsia="Calibri" w:cs="Arial"/>
                <w:sz w:val="16"/>
                <w:szCs w:val="16"/>
                <w:lang w:eastAsia="es-ES"/>
              </w:rPr>
              <w:t>Subdirectora</w:t>
            </w:r>
            <w:r w:rsidRPr="003751C7">
              <w:rPr>
                <w:rFonts w:ascii="Verdana" w:hAnsi="Verdana" w:eastAsia="Calibri" w:cs="Arial"/>
                <w:sz w:val="16"/>
                <w:szCs w:val="16"/>
                <w:lang w:val="pt-BR" w:eastAsia="es-ES"/>
              </w:rPr>
              <w:t xml:space="preserve"> de Gestión Contractual ANCP – CCE</w:t>
            </w:r>
          </w:p>
        </w:tc>
      </w:tr>
    </w:tbl>
    <w:p w:rsidRPr="00593A5F" w:rsidR="00EE4B76" w:rsidP="00EE4B76" w:rsidRDefault="00EE4B76" w14:paraId="3EF66A53" w14:textId="77777777">
      <w:pPr>
        <w:spacing w:after="0" w:line="240" w:lineRule="auto"/>
        <w:rPr>
          <w:rFonts w:ascii="Verdana" w:hAnsi="Verdana" w:eastAsia="Times New Roman" w:cs="Arial"/>
          <w:sz w:val="24"/>
          <w:szCs w:val="24"/>
          <w:lang w:eastAsia="es-ES"/>
        </w:rPr>
      </w:pPr>
    </w:p>
    <w:p w:rsidRPr="002C1F16" w:rsidR="00127233" w:rsidP="002C1F16" w:rsidRDefault="00127233" w14:paraId="0F293BF4" w14:textId="7BBFAB11"/>
    <w:sectPr w:rsidRPr="002C1F16" w:rsidR="00127233" w:rsidSect="007C0C0F">
      <w:headerReference w:type="default" r:id="rId15"/>
      <w:footerReference w:type="default" r:id="rId16"/>
      <w:pgSz w:w="12240" w:h="15840" w:orient="portrait"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F66CC" w:rsidP="004A1847" w:rsidRDefault="009F66CC" w14:paraId="2F4950ED" w14:textId="77777777">
      <w:pPr>
        <w:spacing w:after="0" w:line="240" w:lineRule="auto"/>
      </w:pPr>
      <w:r>
        <w:separator/>
      </w:r>
    </w:p>
  </w:endnote>
  <w:endnote w:type="continuationSeparator" w:id="0">
    <w:p w:rsidR="009F66CC" w:rsidP="004A1847" w:rsidRDefault="009F66CC" w14:paraId="16C0C97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4D"/>
    <w:family w:val="auto"/>
    <w:pitch w:val="variable"/>
    <w:sig w:usb0="A000002F" w:usb1="1000004A" w:usb2="00000000" w:usb3="00000000" w:csb0="00000193" w:csb1="00000000"/>
  </w:font>
  <w:font w:name="Geo">
    <w:altName w:val="Calibri"/>
    <w:panose1 w:val="020B0604020202020204"/>
    <w:charset w:val="00"/>
    <w:family w:val="auto"/>
    <w:pitch w:val="default"/>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1847" w:rsidRDefault="004A1847" w14:paraId="18911A32" w14:textId="6CE791A4">
    <w:pPr>
      <w:pStyle w:val="Piedepgina"/>
    </w:pPr>
  </w:p>
  <w:p w:rsidRPr="00174B77" w:rsidR="00D520D8" w:rsidP="00D520D8" w:rsidRDefault="00D520D8" w14:paraId="594D6D9F"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D520D8" w:rsidP="00D520D8" w:rsidRDefault="00D520D8" w14:paraId="0A735DD5"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D520D8" w:rsidP="00D520D8" w:rsidRDefault="00D520D8" w14:paraId="06E36B88" w14:textId="77777777">
    <w:pPr>
      <w:spacing w:after="0"/>
      <w:jc w:val="both"/>
      <w:rPr>
        <w:rFonts w:ascii="Verdana" w:hAnsi="Verdana"/>
        <w:sz w:val="18"/>
        <w:szCs w:val="18"/>
      </w:rPr>
    </w:pPr>
    <w:r w:rsidRPr="00E41027">
      <w:rPr>
        <w:rFonts w:ascii="Verdana" w:hAnsi="Verdana"/>
        <w:sz w:val="18"/>
        <w:szCs w:val="18"/>
      </w:rPr>
      <w:t>Mesa de servicio: (+57) 601 7456788</w:t>
    </w:r>
  </w:p>
  <w:p w:rsidR="006219F8" w:rsidP="0025796E" w:rsidRDefault="00D520D8" w14:paraId="744661F5" w14:textId="593AA28F">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sidR="00FA47C0">
      <w:rPr>
        <w:rFonts w:ascii="Century Gothic" w:hAnsi="Century Gothic" w:eastAsia="Geo" w:cs="Geo"/>
        <w:b/>
        <w:color w:val="000000"/>
        <w:sz w:val="16"/>
        <w:szCs w:val="16"/>
        <w:lang w:eastAsia="es-CO"/>
      </w:rPr>
      <w:t xml:space="preserve">Código: </w:t>
    </w:r>
    <w:r w:rsidRPr="004A305D" w:rsidR="00FA47C0">
      <w:rPr>
        <w:rFonts w:ascii="Century Gothic" w:hAnsi="Century Gothic" w:eastAsia="Geo" w:cs="Geo"/>
        <w:bCs/>
        <w:color w:val="000000"/>
        <w:sz w:val="16"/>
        <w:szCs w:val="16"/>
        <w:lang w:eastAsia="es-CO"/>
      </w:rPr>
      <w:t>CCE-</w:t>
    </w:r>
    <w:r w:rsidR="00FA47C0">
      <w:rPr>
        <w:rFonts w:ascii="Century Gothic" w:hAnsi="Century Gothic" w:eastAsia="Geo" w:cs="Geo"/>
        <w:bCs/>
        <w:color w:val="000000"/>
        <w:sz w:val="16"/>
        <w:szCs w:val="16"/>
        <w:lang w:eastAsia="es-CO"/>
      </w:rPr>
      <w:t>REC</w:t>
    </w:r>
    <w:r w:rsidRPr="004A305D" w:rsidR="00FA47C0">
      <w:rPr>
        <w:rFonts w:ascii="Century Gothic" w:hAnsi="Century Gothic" w:eastAsia="Geo" w:cs="Geo"/>
        <w:bCs/>
        <w:color w:val="000000"/>
        <w:sz w:val="16"/>
        <w:szCs w:val="16"/>
        <w:lang w:eastAsia="es-CO"/>
      </w:rPr>
      <w:t>-FM-</w:t>
    </w:r>
    <w:r w:rsidR="00FA47C0">
      <w:rPr>
        <w:rFonts w:ascii="Century Gothic" w:hAnsi="Century Gothic" w:eastAsia="Geo" w:cs="Geo"/>
        <w:bCs/>
        <w:color w:val="000000"/>
        <w:sz w:val="16"/>
        <w:szCs w:val="16"/>
        <w:lang w:eastAsia="es-CO"/>
      </w:rPr>
      <w:t>17</w:t>
    </w:r>
    <w:r w:rsidR="0025796E">
      <w:rPr>
        <w:rFonts w:ascii="Century Gothic" w:hAnsi="Century Gothic" w:eastAsia="Geo" w:cs="Geo"/>
        <w:bCs/>
        <w:color w:val="000000"/>
        <w:sz w:val="16"/>
        <w:szCs w:val="16"/>
        <w:lang w:eastAsia="es-CO"/>
      </w:rPr>
      <w:t xml:space="preserve"> </w:t>
    </w:r>
    <w:r w:rsidRPr="004A305D" w:rsidR="00FA47C0">
      <w:rPr>
        <w:rFonts w:ascii="Century Gothic" w:hAnsi="Century Gothic" w:eastAsia="Geo" w:cs="Geo"/>
        <w:b/>
        <w:color w:val="000000"/>
        <w:sz w:val="16"/>
        <w:szCs w:val="16"/>
        <w:lang w:eastAsia="es-CO"/>
      </w:rPr>
      <w:t>Versión</w:t>
    </w:r>
    <w:r w:rsidRPr="004A305D" w:rsidR="00FA47C0">
      <w:rPr>
        <w:rFonts w:ascii="Century Gothic" w:hAnsi="Century Gothic" w:eastAsia="Arial Nova" w:cs="Arial Nova"/>
        <w:b/>
        <w:color w:val="000000"/>
        <w:sz w:val="16"/>
        <w:szCs w:val="16"/>
        <w:lang w:eastAsia="es-CO"/>
      </w:rPr>
      <w:t xml:space="preserve">: </w:t>
    </w:r>
    <w:r w:rsidRPr="004A305D" w:rsidR="00FA47C0">
      <w:rPr>
        <w:rFonts w:ascii="Century Gothic" w:hAnsi="Century Gothic" w:eastAsia="Geo" w:cs="Geo"/>
        <w:sz w:val="16"/>
        <w:szCs w:val="16"/>
        <w:lang w:eastAsia="es-CO"/>
      </w:rPr>
      <w:t>0</w:t>
    </w:r>
    <w:r w:rsidR="00FA47C0">
      <w:rPr>
        <w:rFonts w:ascii="Century Gothic" w:hAnsi="Century Gothic" w:eastAsia="Geo" w:cs="Geo"/>
        <w:sz w:val="16"/>
        <w:szCs w:val="16"/>
        <w:lang w:eastAsia="es-CO"/>
      </w:rPr>
      <w:t>2</w:t>
    </w:r>
    <w:r w:rsidRPr="004A305D" w:rsidR="00FA47C0">
      <w:rPr>
        <w:rFonts w:ascii="Century Gothic" w:hAnsi="Century Gothic" w:eastAsia="Geo" w:cs="Geo"/>
        <w:sz w:val="16"/>
        <w:szCs w:val="16"/>
        <w:lang w:eastAsia="es-CO"/>
      </w:rPr>
      <w:t xml:space="preserve"> </w:t>
    </w:r>
    <w:r w:rsidR="0025796E">
      <w:rPr>
        <w:rFonts w:ascii="Century Gothic" w:hAnsi="Century Gothic" w:eastAsia="Geo"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F66CC" w:rsidP="004A1847" w:rsidRDefault="009F66CC" w14:paraId="5A8A7E69" w14:textId="77777777">
      <w:pPr>
        <w:spacing w:after="0" w:line="240" w:lineRule="auto"/>
      </w:pPr>
      <w:r>
        <w:separator/>
      </w:r>
    </w:p>
  </w:footnote>
  <w:footnote w:type="continuationSeparator" w:id="0">
    <w:p w:rsidR="009F66CC" w:rsidP="004A1847" w:rsidRDefault="009F66CC" w14:paraId="0E863568" w14:textId="77777777">
      <w:pPr>
        <w:spacing w:after="0" w:line="240" w:lineRule="auto"/>
      </w:pPr>
      <w:r>
        <w:continuationSeparator/>
      </w:r>
    </w:p>
  </w:footnote>
  <w:footnote w:id="1">
    <w:p w:rsidRPr="008544C5" w:rsidR="00EE4B76" w:rsidP="00EE4B76" w:rsidRDefault="00EE4B76" w14:paraId="024E3648" w14:textId="77777777">
      <w:pPr>
        <w:pStyle w:val="Textonotapie"/>
        <w:ind w:firstLine="708"/>
        <w:jc w:val="both"/>
        <w:rPr>
          <w:rFonts w:ascii="Verdana" w:hAnsi="Verdana" w:cs="Arial"/>
          <w:sz w:val="16"/>
          <w:szCs w:val="16"/>
        </w:rPr>
      </w:pPr>
      <w:r w:rsidRPr="008544C5">
        <w:rPr>
          <w:rStyle w:val="Refdenotaalpie"/>
          <w:rFonts w:ascii="Verdana" w:hAnsi="Verdana" w:cs="Arial"/>
          <w:sz w:val="16"/>
          <w:szCs w:val="16"/>
        </w:rPr>
        <w:footnoteRef/>
      </w:r>
      <w:r w:rsidRPr="008544C5">
        <w:rPr>
          <w:rFonts w:ascii="Verdana" w:hAnsi="Verdana" w:cs="Arial"/>
          <w:sz w:val="16"/>
          <w:szCs w:val="16"/>
        </w:rPr>
        <w:t xml:space="preserve"> Sobre esta norma, consultar los conceptos del 8 de octubre de 2019, con radicado No. 2201913000007532, y del 20 de diciembre de 2019, con radicado No. 4201913000008240.</w:t>
      </w:r>
    </w:p>
  </w:footnote>
  <w:footnote w:id="2">
    <w:p w:rsidRPr="008544C5" w:rsidR="00EE4B76" w:rsidP="00EE4B76" w:rsidRDefault="00EE4B76" w14:paraId="0D852AD9" w14:textId="77777777">
      <w:pPr>
        <w:pStyle w:val="Textonotapie"/>
        <w:ind w:firstLine="708"/>
        <w:jc w:val="both"/>
        <w:rPr>
          <w:rFonts w:ascii="Verdana" w:hAnsi="Verdana" w:cs="Arial"/>
          <w:sz w:val="16"/>
          <w:szCs w:val="16"/>
        </w:rPr>
      </w:pPr>
      <w:r w:rsidRPr="008544C5">
        <w:rPr>
          <w:rStyle w:val="Refdenotaalpie"/>
          <w:rFonts w:ascii="Verdana" w:hAnsi="Verdana"/>
          <w:sz w:val="16"/>
          <w:szCs w:val="16"/>
        </w:rPr>
        <w:footnoteRef/>
      </w:r>
      <w:r w:rsidRPr="008544C5">
        <w:rPr>
          <w:rFonts w:ascii="Verdana" w:hAnsi="Verdana"/>
          <w:sz w:val="16"/>
          <w:szCs w:val="16"/>
        </w:rPr>
        <w:t xml:space="preserve"> </w:t>
      </w:r>
      <w:r w:rsidRPr="008544C5">
        <w:rPr>
          <w:rFonts w:ascii="Verdana" w:hAnsi="Verdana" w:cs="Arial"/>
          <w:sz w:val="16"/>
          <w:szCs w:val="16"/>
        </w:rPr>
        <w:t>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rsidRPr="008544C5" w:rsidR="00EE4B76" w:rsidP="00EE4B76" w:rsidRDefault="00EE4B76" w14:paraId="48C96D46" w14:textId="77777777">
      <w:pPr>
        <w:pStyle w:val="Textonotapie"/>
        <w:ind w:firstLine="708"/>
        <w:jc w:val="both"/>
        <w:rPr>
          <w:rFonts w:ascii="Verdana" w:hAnsi="Verdana" w:cs="Arial"/>
          <w:sz w:val="16"/>
          <w:szCs w:val="16"/>
        </w:rPr>
      </w:pPr>
      <w:r w:rsidRPr="008544C5">
        <w:rPr>
          <w:rFonts w:ascii="Verdana" w:hAnsi="Verdana" w:cs="Arial"/>
          <w:sz w:val="16"/>
          <w:szCs w:val="16"/>
        </w:rPr>
        <w:t xml:space="preserve">Los convenios de asociación a que se refiere el presente artículo </w:t>
      </w:r>
      <w:bookmarkStart w:name="_Hlk36023315" w:id="3"/>
      <w:r w:rsidRPr="008544C5">
        <w:rPr>
          <w:rFonts w:ascii="Verdana" w:hAnsi="Verdana" w:cs="Arial"/>
          <w:sz w:val="16"/>
          <w:szCs w:val="16"/>
        </w:rPr>
        <w:t>se celebrarán de conformidad con lo dispuesto en el artículo 355 de la Constitución Política</w:t>
      </w:r>
      <w:bookmarkEnd w:id="3"/>
      <w:r w:rsidRPr="008544C5">
        <w:rPr>
          <w:rFonts w:ascii="Verdana" w:hAnsi="Verdana" w:cs="Arial"/>
          <w:sz w:val="16"/>
          <w:szCs w:val="16"/>
        </w:rPr>
        <w:t>, en ellos se determinará con precisión su objeto, término, obligaciones de las partes, aportes, coordinación y todos aquellos aspectos que se consideren pertinentes”.</w:t>
      </w:r>
    </w:p>
  </w:footnote>
  <w:footnote w:id="3">
    <w:p w:rsidRPr="008544C5" w:rsidR="00EE4B76" w:rsidP="00EE4B76" w:rsidRDefault="00EE4B76" w14:paraId="7271E7E0" w14:textId="77777777">
      <w:pPr>
        <w:pStyle w:val="Textonotapie"/>
        <w:ind w:firstLine="708"/>
        <w:jc w:val="both"/>
        <w:rPr>
          <w:rFonts w:ascii="Verdana" w:hAnsi="Verdana" w:cs="Arial"/>
          <w:sz w:val="16"/>
          <w:szCs w:val="16"/>
        </w:rPr>
      </w:pPr>
      <w:r w:rsidRPr="008544C5">
        <w:rPr>
          <w:rStyle w:val="Refdenotaalpie"/>
          <w:rFonts w:ascii="Verdana" w:hAnsi="Verdana" w:cs="Arial"/>
          <w:sz w:val="16"/>
          <w:szCs w:val="16"/>
        </w:rPr>
        <w:footnoteRef/>
      </w:r>
      <w:r w:rsidRPr="008544C5">
        <w:rPr>
          <w:rFonts w:ascii="Verdana" w:hAnsi="Verdana" w:cs="Arial"/>
          <w:sz w:val="16"/>
          <w:szCs w:val="16"/>
        </w:rPr>
        <w:t xml:space="preserve"> Concepto del 3 de septiembre de 2019, con radicado No. 2201913000006512.</w:t>
      </w:r>
    </w:p>
  </w:footnote>
  <w:footnote w:id="4">
    <w:p w:rsidRPr="008544C5" w:rsidR="00EE4B76" w:rsidP="00EE4B76" w:rsidRDefault="00EE4B76" w14:paraId="16D9673A" w14:textId="77777777">
      <w:pPr>
        <w:pStyle w:val="Textonotapie"/>
        <w:ind w:firstLine="708"/>
        <w:jc w:val="both"/>
        <w:rPr>
          <w:rFonts w:ascii="Verdana" w:hAnsi="Verdana" w:cs="Arial"/>
          <w:sz w:val="16"/>
          <w:szCs w:val="16"/>
        </w:rPr>
      </w:pPr>
      <w:r w:rsidRPr="008544C5">
        <w:rPr>
          <w:rStyle w:val="Refdenotaalpie"/>
          <w:rFonts w:ascii="Verdana" w:hAnsi="Verdana" w:cs="Arial"/>
          <w:sz w:val="16"/>
          <w:szCs w:val="16"/>
        </w:rPr>
        <w:footnoteRef/>
      </w:r>
      <w:r w:rsidRPr="008544C5">
        <w:rPr>
          <w:rFonts w:ascii="Verdana" w:hAnsi="Verdana" w:cs="Arial"/>
          <w:sz w:val="16"/>
          <w:szCs w:val="16"/>
        </w:rPr>
        <w:t xml:space="preserve"> Sobre la naturaleza de los convenios de asociación, se reitera lo expuesto en el concepto del 19 de noviembre de 2019, con radicado No. 2201913000008611.</w:t>
      </w:r>
    </w:p>
  </w:footnote>
  <w:footnote w:id="5">
    <w:p w:rsidRPr="008544C5" w:rsidR="00EE4B76" w:rsidP="00EE4B76" w:rsidRDefault="00EE4B76" w14:paraId="2D59D04C" w14:textId="77777777">
      <w:pPr>
        <w:pStyle w:val="Textonotapie"/>
        <w:ind w:firstLine="708"/>
        <w:jc w:val="both"/>
        <w:rPr>
          <w:rFonts w:ascii="Verdana" w:hAnsi="Verdana" w:cs="Arial"/>
          <w:color w:val="000000" w:themeColor="text1"/>
          <w:sz w:val="16"/>
          <w:szCs w:val="16"/>
        </w:rPr>
      </w:pPr>
      <w:r w:rsidRPr="008544C5">
        <w:rPr>
          <w:rStyle w:val="Refdenotaalpie"/>
          <w:rFonts w:ascii="Verdana" w:hAnsi="Verdana" w:cs="Arial"/>
          <w:color w:val="000000" w:themeColor="text1"/>
          <w:sz w:val="16"/>
          <w:szCs w:val="16"/>
        </w:rPr>
        <w:footnoteRef/>
      </w:r>
      <w:r w:rsidRPr="008544C5">
        <w:rPr>
          <w:rFonts w:ascii="Verdana" w:hAnsi="Verdana" w:cs="Arial"/>
          <w:color w:val="000000" w:themeColor="text1"/>
          <w:sz w:val="16"/>
          <w:szCs w:val="16"/>
        </w:rPr>
        <w:t xml:space="preserve"> Cfr. Concepto del 21 de agosto de 2019, dictado dentro del radicado No. 2201913000006047.</w:t>
      </w:r>
    </w:p>
  </w:footnote>
  <w:footnote w:id="6">
    <w:p w:rsidRPr="008544C5" w:rsidR="00EE4B76" w:rsidP="00EE4B76" w:rsidRDefault="00EE4B76" w14:paraId="6998BE3C" w14:textId="77777777">
      <w:pPr>
        <w:pStyle w:val="Textonotapie"/>
        <w:ind w:firstLine="708"/>
        <w:jc w:val="both"/>
        <w:rPr>
          <w:rFonts w:ascii="Verdana" w:hAnsi="Verdana" w:cs="Arial"/>
          <w:color w:val="000000" w:themeColor="text1"/>
          <w:sz w:val="16"/>
          <w:szCs w:val="16"/>
          <w:lang w:val="es-ES"/>
        </w:rPr>
      </w:pPr>
      <w:r w:rsidRPr="008544C5">
        <w:rPr>
          <w:rStyle w:val="Refdenotaalpie"/>
          <w:rFonts w:ascii="Verdana" w:hAnsi="Verdana" w:cs="Arial"/>
          <w:color w:val="000000" w:themeColor="text1"/>
          <w:sz w:val="16"/>
          <w:szCs w:val="16"/>
        </w:rPr>
        <w:footnoteRef/>
      </w:r>
      <w:r w:rsidRPr="008544C5">
        <w:rPr>
          <w:rFonts w:ascii="Verdana" w:hAnsi="Verdana" w:cs="Arial"/>
          <w:color w:val="000000" w:themeColor="text1"/>
          <w:sz w:val="16"/>
          <w:szCs w:val="16"/>
        </w:rPr>
        <w:t xml:space="preserve"> Concepto del 24 de febrero de 2005, con radicado No. 1626, C.P. Dra. Gloria Duque Hernández</w:t>
      </w:r>
    </w:p>
  </w:footnote>
  <w:footnote w:id="7">
    <w:p w:rsidRPr="00D75A81" w:rsidR="00EE4B76" w:rsidP="00EE4B76" w:rsidRDefault="00EE4B76" w14:paraId="23C700B4" w14:textId="77777777">
      <w:pPr>
        <w:pStyle w:val="Textonotapie"/>
        <w:ind w:firstLine="708"/>
        <w:jc w:val="both"/>
        <w:rPr>
          <w:rFonts w:ascii="Verdana" w:hAnsi="Verdana" w:cs="Arial"/>
          <w:color w:val="000000" w:themeColor="text1"/>
          <w:sz w:val="16"/>
          <w:szCs w:val="16"/>
          <w:lang w:val="es-CO"/>
        </w:rPr>
      </w:pPr>
      <w:r w:rsidRPr="00D75A81">
        <w:rPr>
          <w:rStyle w:val="Refdenotaalpie"/>
          <w:rFonts w:ascii="Verdana" w:hAnsi="Verdana"/>
          <w:color w:val="000000" w:themeColor="text1"/>
          <w:sz w:val="16"/>
          <w:szCs w:val="16"/>
        </w:rPr>
        <w:footnoteRef/>
      </w:r>
      <w:r w:rsidRPr="00D75A81">
        <w:rPr>
          <w:rStyle w:val="Refdenotaalpie"/>
          <w:rFonts w:ascii="Verdana" w:hAnsi="Verdana" w:cs="Arial"/>
          <w:color w:val="000000" w:themeColor="text1"/>
          <w:sz w:val="16"/>
          <w:szCs w:val="16"/>
        </w:rPr>
        <w:t xml:space="preserve"> </w:t>
      </w:r>
      <w:r w:rsidRPr="00D75A81">
        <w:rPr>
          <w:rFonts w:ascii="Verdana" w:hAnsi="Verdana" w:cs="Arial"/>
          <w:color w:val="000000" w:themeColor="text1"/>
          <w:sz w:val="16"/>
          <w:szCs w:val="16"/>
          <w:lang w:val="es-CO"/>
        </w:rPr>
        <w:t>CORTE CONSTITUCIONAL. Sentencia C-671 de 1999. M.P. Alfredo Beltrán Sierra.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9D3058" w14:paraId="435F4D03" w14:textId="0903BF04">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756841" w:rsidRDefault="00756841" w14:paraId="1BE2B9AE" w14:textId="4B94DB3B">
    <w:pPr>
      <w:pStyle w:val="Encabezado"/>
    </w:pPr>
  </w:p>
  <w:p w:rsidR="00DC39FC" w:rsidP="004A305D" w:rsidRDefault="00DC39FC" w14:paraId="3079FC11" w14:textId="77777777">
    <w:pPr>
      <w:spacing w:after="0"/>
      <w:rPr>
        <w:rFonts w:ascii="Verdana" w:hAnsi="Verdana"/>
        <w:b/>
        <w:bCs/>
      </w:rPr>
    </w:pPr>
  </w:p>
  <w:p w:rsidRPr="004A305D" w:rsidR="004A305D" w:rsidP="00B01B1A" w:rsidRDefault="004A305D" w14:paraId="5E18350A" w14:textId="705F7B76">
    <w:pPr>
      <w:spacing w:after="0" w:line="120" w:lineRule="auto"/>
      <w:rPr>
        <w:rFonts w:ascii="Century Gothic" w:hAnsi="Century Gothic" w:eastAsia="Geo" w:cs="Geo"/>
        <w:sz w:val="16"/>
        <w:szCs w:val="16"/>
        <w:lang w:eastAsia="es-CO"/>
      </w:rPr>
    </w:pPr>
  </w:p>
  <w:p w:rsidR="008A446D" w:rsidP="00061B2A" w:rsidRDefault="008A446D" w14:paraId="1FD1C243" w14:textId="6D74A3CF">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66" style="width:11.65pt;height:11.65pt" o:bullet="t" type="#_x0000_t75">
        <v:imagedata o:title="mso1B13" r:id="rId1"/>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hint="default" w:ascii="Symbol" w:hAnsi="Symbol"/>
      </w:rPr>
    </w:lvl>
    <w:lvl w:ilvl="1" w:tplc="240A0003" w:tentative="1">
      <w:start w:val="1"/>
      <w:numFmt w:val="bullet"/>
      <w:lvlText w:val="o"/>
      <w:lvlJc w:val="left"/>
      <w:pPr>
        <w:ind w:left="1505" w:hanging="360"/>
      </w:pPr>
      <w:rPr>
        <w:rFonts w:hint="default" w:ascii="Courier New" w:hAnsi="Courier New" w:cs="Courier New"/>
      </w:rPr>
    </w:lvl>
    <w:lvl w:ilvl="2" w:tplc="240A0005" w:tentative="1">
      <w:start w:val="1"/>
      <w:numFmt w:val="bullet"/>
      <w:lvlText w:val=""/>
      <w:lvlJc w:val="left"/>
      <w:pPr>
        <w:ind w:left="2225" w:hanging="360"/>
      </w:pPr>
      <w:rPr>
        <w:rFonts w:hint="default" w:ascii="Wingdings" w:hAnsi="Wingdings"/>
      </w:rPr>
    </w:lvl>
    <w:lvl w:ilvl="3" w:tplc="240A0001" w:tentative="1">
      <w:start w:val="1"/>
      <w:numFmt w:val="bullet"/>
      <w:lvlText w:val=""/>
      <w:lvlJc w:val="left"/>
      <w:pPr>
        <w:ind w:left="2945" w:hanging="360"/>
      </w:pPr>
      <w:rPr>
        <w:rFonts w:hint="default" w:ascii="Symbol" w:hAnsi="Symbol"/>
      </w:rPr>
    </w:lvl>
    <w:lvl w:ilvl="4" w:tplc="240A0003" w:tentative="1">
      <w:start w:val="1"/>
      <w:numFmt w:val="bullet"/>
      <w:lvlText w:val="o"/>
      <w:lvlJc w:val="left"/>
      <w:pPr>
        <w:ind w:left="3665" w:hanging="360"/>
      </w:pPr>
      <w:rPr>
        <w:rFonts w:hint="default" w:ascii="Courier New" w:hAnsi="Courier New" w:cs="Courier New"/>
      </w:rPr>
    </w:lvl>
    <w:lvl w:ilvl="5" w:tplc="240A0005" w:tentative="1">
      <w:start w:val="1"/>
      <w:numFmt w:val="bullet"/>
      <w:lvlText w:val=""/>
      <w:lvlJc w:val="left"/>
      <w:pPr>
        <w:ind w:left="4385" w:hanging="360"/>
      </w:pPr>
      <w:rPr>
        <w:rFonts w:hint="default" w:ascii="Wingdings" w:hAnsi="Wingdings"/>
      </w:rPr>
    </w:lvl>
    <w:lvl w:ilvl="6" w:tplc="240A0001" w:tentative="1">
      <w:start w:val="1"/>
      <w:numFmt w:val="bullet"/>
      <w:lvlText w:val=""/>
      <w:lvlJc w:val="left"/>
      <w:pPr>
        <w:ind w:left="5105" w:hanging="360"/>
      </w:pPr>
      <w:rPr>
        <w:rFonts w:hint="default" w:ascii="Symbol" w:hAnsi="Symbol"/>
      </w:rPr>
    </w:lvl>
    <w:lvl w:ilvl="7" w:tplc="240A0003" w:tentative="1">
      <w:start w:val="1"/>
      <w:numFmt w:val="bullet"/>
      <w:lvlText w:val="o"/>
      <w:lvlJc w:val="left"/>
      <w:pPr>
        <w:ind w:left="5825" w:hanging="360"/>
      </w:pPr>
      <w:rPr>
        <w:rFonts w:hint="default" w:ascii="Courier New" w:hAnsi="Courier New" w:cs="Courier New"/>
      </w:rPr>
    </w:lvl>
    <w:lvl w:ilvl="8" w:tplc="240A0005" w:tentative="1">
      <w:start w:val="1"/>
      <w:numFmt w:val="bullet"/>
      <w:lvlText w:val=""/>
      <w:lvlJc w:val="left"/>
      <w:pPr>
        <w:ind w:left="6545" w:hanging="360"/>
      </w:pPr>
      <w:rPr>
        <w:rFonts w:hint="default" w:ascii="Wingdings" w:hAnsi="Wingdings"/>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8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F6486"/>
    <w:rsid w:val="001052F0"/>
    <w:rsid w:val="00125105"/>
    <w:rsid w:val="00127233"/>
    <w:rsid w:val="001E4177"/>
    <w:rsid w:val="001F7DC6"/>
    <w:rsid w:val="002421BB"/>
    <w:rsid w:val="0025796E"/>
    <w:rsid w:val="002707A2"/>
    <w:rsid w:val="002951A0"/>
    <w:rsid w:val="002962BC"/>
    <w:rsid w:val="002A093D"/>
    <w:rsid w:val="002A0DD0"/>
    <w:rsid w:val="002A49AC"/>
    <w:rsid w:val="002A64FD"/>
    <w:rsid w:val="002C1F16"/>
    <w:rsid w:val="002C7A84"/>
    <w:rsid w:val="002E4FD9"/>
    <w:rsid w:val="00302A49"/>
    <w:rsid w:val="00322A85"/>
    <w:rsid w:val="00324168"/>
    <w:rsid w:val="0033120B"/>
    <w:rsid w:val="003448F4"/>
    <w:rsid w:val="00374F5E"/>
    <w:rsid w:val="00377E3E"/>
    <w:rsid w:val="003A26D1"/>
    <w:rsid w:val="003A779E"/>
    <w:rsid w:val="003D0F4D"/>
    <w:rsid w:val="003D5B0D"/>
    <w:rsid w:val="003E0499"/>
    <w:rsid w:val="003F3941"/>
    <w:rsid w:val="00406575"/>
    <w:rsid w:val="00411BA3"/>
    <w:rsid w:val="00420815"/>
    <w:rsid w:val="0042722E"/>
    <w:rsid w:val="00433CF3"/>
    <w:rsid w:val="0044528D"/>
    <w:rsid w:val="00467C34"/>
    <w:rsid w:val="004A1847"/>
    <w:rsid w:val="004A305D"/>
    <w:rsid w:val="004A5170"/>
    <w:rsid w:val="004F21C4"/>
    <w:rsid w:val="004F685F"/>
    <w:rsid w:val="005566E8"/>
    <w:rsid w:val="00574867"/>
    <w:rsid w:val="00591460"/>
    <w:rsid w:val="00592628"/>
    <w:rsid w:val="005C3777"/>
    <w:rsid w:val="005C5CDC"/>
    <w:rsid w:val="005D476C"/>
    <w:rsid w:val="006046E1"/>
    <w:rsid w:val="00610812"/>
    <w:rsid w:val="006219F8"/>
    <w:rsid w:val="00650FF7"/>
    <w:rsid w:val="00665D70"/>
    <w:rsid w:val="00671DAC"/>
    <w:rsid w:val="006900D9"/>
    <w:rsid w:val="006D12F8"/>
    <w:rsid w:val="00706C16"/>
    <w:rsid w:val="00756841"/>
    <w:rsid w:val="0076378E"/>
    <w:rsid w:val="007649AB"/>
    <w:rsid w:val="00771D0C"/>
    <w:rsid w:val="0078222C"/>
    <w:rsid w:val="007833AC"/>
    <w:rsid w:val="007B268C"/>
    <w:rsid w:val="007B7171"/>
    <w:rsid w:val="007C0C0F"/>
    <w:rsid w:val="007C3DC2"/>
    <w:rsid w:val="007E5497"/>
    <w:rsid w:val="00806F5F"/>
    <w:rsid w:val="00820278"/>
    <w:rsid w:val="008843B6"/>
    <w:rsid w:val="00891928"/>
    <w:rsid w:val="008A446D"/>
    <w:rsid w:val="008D180B"/>
    <w:rsid w:val="008F0EA7"/>
    <w:rsid w:val="00923EEF"/>
    <w:rsid w:val="009419F9"/>
    <w:rsid w:val="0095685E"/>
    <w:rsid w:val="00961B09"/>
    <w:rsid w:val="00965334"/>
    <w:rsid w:val="0097093E"/>
    <w:rsid w:val="009A0DFA"/>
    <w:rsid w:val="009B2D26"/>
    <w:rsid w:val="009C71FA"/>
    <w:rsid w:val="009C72E7"/>
    <w:rsid w:val="009D3058"/>
    <w:rsid w:val="009F3A13"/>
    <w:rsid w:val="009F66CC"/>
    <w:rsid w:val="00A122D3"/>
    <w:rsid w:val="00A17F13"/>
    <w:rsid w:val="00A20739"/>
    <w:rsid w:val="00A323F7"/>
    <w:rsid w:val="00A33C78"/>
    <w:rsid w:val="00A526D1"/>
    <w:rsid w:val="00AB0ADB"/>
    <w:rsid w:val="00AE1B96"/>
    <w:rsid w:val="00B01B1A"/>
    <w:rsid w:val="00B72CD3"/>
    <w:rsid w:val="00B72FFF"/>
    <w:rsid w:val="00BC3D36"/>
    <w:rsid w:val="00BD6B9F"/>
    <w:rsid w:val="00BD7F72"/>
    <w:rsid w:val="00C04FB3"/>
    <w:rsid w:val="00C330EB"/>
    <w:rsid w:val="00C432B9"/>
    <w:rsid w:val="00C754BE"/>
    <w:rsid w:val="00C76B1C"/>
    <w:rsid w:val="00C81495"/>
    <w:rsid w:val="00CB6357"/>
    <w:rsid w:val="00CC1B26"/>
    <w:rsid w:val="00D423A2"/>
    <w:rsid w:val="00D47526"/>
    <w:rsid w:val="00D520D8"/>
    <w:rsid w:val="00D63AC2"/>
    <w:rsid w:val="00D7383B"/>
    <w:rsid w:val="00DA231B"/>
    <w:rsid w:val="00DA23A0"/>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B58D4"/>
    <w:rsid w:val="00EC38A7"/>
    <w:rsid w:val="00EE1AA8"/>
    <w:rsid w:val="00EE4B76"/>
    <w:rsid w:val="00F10662"/>
    <w:rsid w:val="00F31EDC"/>
    <w:rsid w:val="00F462B3"/>
    <w:rsid w:val="00F5664F"/>
    <w:rsid w:val="00F666C4"/>
    <w:rsid w:val="00F76AFC"/>
    <w:rsid w:val="00FA47C0"/>
    <w:rsid w:val="00FB5DD1"/>
    <w:rsid w:val="00FC2B5D"/>
    <w:rsid w:val="00FF1449"/>
    <w:rsid w:val="3F35FC5F"/>
    <w:rsid w:val="44F4FB97"/>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paragraph" w:customStyle="1">
    <w:name w:val="paragraph"/>
    <w:basedOn w:val="Normal"/>
    <w:rsid w:val="00322A8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abchar" w:customStyle="1">
    <w:name w:val="tabchar"/>
    <w:basedOn w:val="Fuentedeprrafopredeter"/>
    <w:rsid w:val="00322A85"/>
  </w:style>
  <w:style w:type="character" w:styleId="eop" w:customStyle="1">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blanco" w:customStyle="1">
    <w:name w:val="blanco"/>
    <w:basedOn w:val="Normal"/>
    <w:rsid w:val="00C76B1C"/>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Appelnotedebasde" w:customStyle="1">
    <w:name w:val="Appel note de bas de..."/>
    <w:basedOn w:val="Normal"/>
    <w:link w:val="Refdenotaalpie"/>
    <w:uiPriority w:val="99"/>
    <w:rsid w:val="00EE4B76"/>
    <w:pPr>
      <w:spacing w:line="240" w:lineRule="exact"/>
    </w:pPr>
    <w:rPr>
      <w:vertAlign w:val="superscript"/>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E4B76"/>
    <w:rPr>
      <w:rFonts w:ascii="Geomanist Light" w:hAnsi="Geomanist Light"/>
      <w:lang w:val="es-ES"/>
    </w:rPr>
  </w:style>
  <w:style w:type="paragraph" w:styleId="Textoindependiente">
    <w:name w:val="Body Text"/>
    <w:basedOn w:val="Normal"/>
    <w:link w:val="TextoindependienteCar"/>
    <w:uiPriority w:val="99"/>
    <w:unhideWhenUsed/>
    <w:rsid w:val="00EE4B76"/>
    <w:pPr>
      <w:spacing w:after="120" w:line="276" w:lineRule="auto"/>
    </w:pPr>
    <w:rPr>
      <w:rFonts w:eastAsiaTheme="minorEastAsia"/>
      <w:lang w:eastAsia="es-CO"/>
    </w:rPr>
  </w:style>
  <w:style w:type="character" w:styleId="TextoindependienteCar" w:customStyle="1">
    <w:name w:val="Texto independiente Car"/>
    <w:basedOn w:val="Fuentedeprrafopredeter"/>
    <w:link w:val="Textoindependiente"/>
    <w:uiPriority w:val="99"/>
    <w:rsid w:val="00EE4B76"/>
    <w:rPr>
      <w:rFonts w:eastAsiaTheme="minorEastAsia"/>
      <w:lang w:eastAsia="es-CO"/>
    </w:rPr>
  </w:style>
  <w:style w:type="paragraph" w:styleId="Sinespaciado">
    <w:name w:val="No Spacing"/>
    <w:aliases w:val="No Indent"/>
    <w:uiPriority w:val="3"/>
    <w:qFormat/>
    <w:rsid w:val="00EE4B76"/>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colombiacompra.gov.co/sala-de-prensa/boletin-digital"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relatoria.colombiacompra.gov.co/busqueda/concepto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Notificaciones_SGDEA@saludcapital.gov.co"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2.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png" Id="rId14" /></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4A541065-E084-4356-9EB6-AE3D86D3A3EE}"/>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Juan David Montoya Penagos</lastModifiedBy>
  <revision>6</revision>
  <lastPrinted>2023-01-10T21:18:00.0000000Z</lastPrinted>
  <dcterms:created xsi:type="dcterms:W3CDTF">2024-10-25T14:08:00.0000000Z</dcterms:created>
  <dcterms:modified xsi:type="dcterms:W3CDTF">2024-11-12T17:24:17.7693044Z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